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A1641" w14:textId="77777777" w:rsidR="00D03A4F" w:rsidRPr="00D03A4F" w:rsidRDefault="00D03A4F" w:rsidP="00D03A4F">
      <w:pPr>
        <w:spacing w:after="0"/>
        <w:jc w:val="center"/>
        <w:rPr>
          <w:rFonts w:ascii="Times New Roman" w:eastAsia="Times New Roman" w:hAnsi="Times New Roman" w:cs="Times New Roman"/>
          <w:sz w:val="40"/>
          <w:szCs w:val="40"/>
          <w:lang w:eastAsia="ru-RU"/>
        </w:rPr>
      </w:pPr>
      <w:r w:rsidRPr="00D03A4F">
        <w:rPr>
          <w:rFonts w:ascii="Times New Roman" w:eastAsia="Times New Roman" w:hAnsi="Times New Roman" w:cs="Times New Roman"/>
          <w:sz w:val="40"/>
          <w:szCs w:val="40"/>
          <w:lang w:eastAsia="ru-RU"/>
        </w:rPr>
        <w:t>Министерство труда и социальной защиты</w:t>
      </w:r>
    </w:p>
    <w:p w14:paraId="054474CA" w14:textId="77777777" w:rsidR="00D03A4F" w:rsidRPr="00D03A4F" w:rsidRDefault="00D03A4F" w:rsidP="00D03A4F">
      <w:pPr>
        <w:spacing w:after="0"/>
        <w:jc w:val="center"/>
        <w:rPr>
          <w:rFonts w:ascii="Times New Roman" w:eastAsia="Times New Roman" w:hAnsi="Times New Roman" w:cs="Times New Roman"/>
          <w:sz w:val="40"/>
          <w:szCs w:val="40"/>
          <w:lang w:eastAsia="ru-RU"/>
        </w:rPr>
      </w:pPr>
      <w:r w:rsidRPr="00D03A4F">
        <w:rPr>
          <w:rFonts w:ascii="Times New Roman" w:eastAsia="Times New Roman" w:hAnsi="Times New Roman" w:cs="Times New Roman"/>
          <w:sz w:val="40"/>
          <w:szCs w:val="40"/>
          <w:lang w:eastAsia="ru-RU"/>
        </w:rPr>
        <w:t>Российской Федерации</w:t>
      </w:r>
    </w:p>
    <w:p w14:paraId="2E410D33" w14:textId="77777777" w:rsidR="00D03A4F" w:rsidRPr="00D03A4F" w:rsidRDefault="00D03A4F" w:rsidP="00D03A4F">
      <w:pPr>
        <w:spacing w:after="0"/>
        <w:ind w:firstLine="709"/>
        <w:jc w:val="center"/>
        <w:rPr>
          <w:rFonts w:ascii="Times New Roman" w:eastAsia="Times New Roman" w:hAnsi="Times New Roman" w:cs="Times New Roman"/>
          <w:sz w:val="40"/>
          <w:szCs w:val="40"/>
          <w:lang w:eastAsia="ru-RU"/>
        </w:rPr>
      </w:pPr>
    </w:p>
    <w:p w14:paraId="10A430A0" w14:textId="77777777" w:rsidR="00D03A4F" w:rsidRPr="00D03A4F" w:rsidRDefault="00D03A4F" w:rsidP="00D03A4F">
      <w:pPr>
        <w:spacing w:after="0"/>
        <w:ind w:firstLine="709"/>
        <w:jc w:val="center"/>
        <w:rPr>
          <w:rFonts w:ascii="Times New Roman" w:eastAsia="Times New Roman" w:hAnsi="Times New Roman" w:cs="Times New Roman"/>
          <w:sz w:val="40"/>
          <w:szCs w:val="40"/>
          <w:lang w:eastAsia="ru-RU"/>
        </w:rPr>
      </w:pPr>
    </w:p>
    <w:p w14:paraId="05EA2E77" w14:textId="77777777" w:rsidR="00D03A4F" w:rsidRPr="00D03A4F" w:rsidRDefault="00D03A4F" w:rsidP="00D03A4F">
      <w:pPr>
        <w:tabs>
          <w:tab w:val="left" w:pos="5220"/>
        </w:tabs>
        <w:spacing w:after="0"/>
        <w:ind w:firstLine="709"/>
        <w:rPr>
          <w:rFonts w:ascii="Times New Roman" w:eastAsia="Times New Roman" w:hAnsi="Times New Roman" w:cs="Times New Roman"/>
          <w:b/>
          <w:sz w:val="48"/>
          <w:szCs w:val="48"/>
          <w:lang w:eastAsia="ru-RU"/>
        </w:rPr>
      </w:pPr>
    </w:p>
    <w:p w14:paraId="04053186" w14:textId="77777777" w:rsidR="00D03A4F" w:rsidRPr="00D03A4F" w:rsidRDefault="00D03A4F" w:rsidP="00D03A4F">
      <w:pPr>
        <w:tabs>
          <w:tab w:val="left" w:pos="5220"/>
        </w:tabs>
        <w:spacing w:after="0"/>
        <w:ind w:firstLine="709"/>
        <w:rPr>
          <w:rFonts w:ascii="Times New Roman" w:eastAsia="Times New Roman" w:hAnsi="Times New Roman" w:cs="Times New Roman"/>
          <w:b/>
          <w:sz w:val="48"/>
          <w:szCs w:val="48"/>
          <w:lang w:eastAsia="ru-RU"/>
        </w:rPr>
      </w:pPr>
    </w:p>
    <w:p w14:paraId="56498E30" w14:textId="77777777" w:rsidR="00D03A4F" w:rsidRPr="00D03A4F" w:rsidRDefault="00D03A4F" w:rsidP="00D03A4F">
      <w:pPr>
        <w:tabs>
          <w:tab w:val="left" w:pos="5220"/>
        </w:tabs>
        <w:spacing w:after="0"/>
        <w:jc w:val="center"/>
        <w:rPr>
          <w:rFonts w:ascii="Times New Roman" w:eastAsia="Times New Roman" w:hAnsi="Times New Roman" w:cs="Times New Roman"/>
          <w:b/>
          <w:sz w:val="48"/>
          <w:szCs w:val="48"/>
          <w:lang w:eastAsia="ru-RU"/>
        </w:rPr>
      </w:pPr>
    </w:p>
    <w:p w14:paraId="5EE09D3B" w14:textId="77777777" w:rsidR="00D03A4F" w:rsidRPr="00D03A4F" w:rsidRDefault="00D03A4F" w:rsidP="00D03A4F">
      <w:pPr>
        <w:spacing w:after="0"/>
        <w:jc w:val="center"/>
        <w:rPr>
          <w:rFonts w:ascii="Times New Roman" w:eastAsia="Times New Roman" w:hAnsi="Times New Roman" w:cs="Times New Roman"/>
          <w:b/>
          <w:sz w:val="48"/>
          <w:szCs w:val="48"/>
          <w:lang w:eastAsia="ru-RU"/>
        </w:rPr>
      </w:pPr>
      <w:r w:rsidRPr="00D03A4F">
        <w:rPr>
          <w:rFonts w:ascii="Times New Roman" w:eastAsia="Times New Roman" w:hAnsi="Times New Roman" w:cs="Times New Roman"/>
          <w:b/>
          <w:sz w:val="48"/>
          <w:szCs w:val="48"/>
          <w:lang w:eastAsia="ru-RU"/>
        </w:rPr>
        <w:t>ГОСУДАРСТВЕННЫЙ ДОКЛАД</w:t>
      </w:r>
    </w:p>
    <w:p w14:paraId="69FCB972" w14:textId="77777777" w:rsidR="00D03A4F" w:rsidRPr="00D03A4F" w:rsidRDefault="00D03A4F" w:rsidP="00D03A4F">
      <w:pPr>
        <w:spacing w:after="0"/>
        <w:jc w:val="center"/>
        <w:rPr>
          <w:rFonts w:ascii="Times New Roman" w:eastAsia="Times New Roman" w:hAnsi="Times New Roman" w:cs="Times New Roman"/>
          <w:b/>
          <w:sz w:val="48"/>
          <w:szCs w:val="48"/>
          <w:lang w:eastAsia="ru-RU"/>
        </w:rPr>
      </w:pPr>
      <w:r w:rsidRPr="00D03A4F">
        <w:rPr>
          <w:rFonts w:ascii="Times New Roman" w:eastAsia="Times New Roman" w:hAnsi="Times New Roman" w:cs="Times New Roman"/>
          <w:b/>
          <w:sz w:val="48"/>
          <w:szCs w:val="48"/>
          <w:lang w:eastAsia="ru-RU"/>
        </w:rPr>
        <w:t>О ПОЛОЖЕНИИ ДЕТЕЙ И СЕМЕЙ, ИМЕЮЩИХ ДЕТЕЙ,</w:t>
      </w:r>
    </w:p>
    <w:p w14:paraId="1F634287" w14:textId="77777777" w:rsidR="00D03A4F" w:rsidRPr="00D03A4F" w:rsidRDefault="00D03A4F" w:rsidP="00D03A4F">
      <w:pPr>
        <w:spacing w:after="0"/>
        <w:jc w:val="center"/>
        <w:rPr>
          <w:rFonts w:ascii="Times New Roman" w:eastAsia="Times New Roman" w:hAnsi="Times New Roman" w:cs="Times New Roman"/>
          <w:b/>
          <w:sz w:val="48"/>
          <w:szCs w:val="48"/>
          <w:lang w:eastAsia="ru-RU"/>
        </w:rPr>
      </w:pPr>
      <w:r w:rsidRPr="00D03A4F">
        <w:rPr>
          <w:rFonts w:ascii="Times New Roman" w:eastAsia="Times New Roman" w:hAnsi="Times New Roman" w:cs="Times New Roman"/>
          <w:b/>
          <w:sz w:val="48"/>
          <w:szCs w:val="48"/>
          <w:lang w:eastAsia="ru-RU"/>
        </w:rPr>
        <w:t>В РОССИЙСКОЙ ФЕДЕРАЦИИ</w:t>
      </w:r>
    </w:p>
    <w:p w14:paraId="3DFBEF0A" w14:textId="77777777" w:rsidR="00D03A4F" w:rsidRPr="00D03A4F" w:rsidRDefault="00D03A4F" w:rsidP="00D03A4F">
      <w:pPr>
        <w:spacing w:after="0"/>
        <w:jc w:val="center"/>
        <w:rPr>
          <w:rFonts w:ascii="Times New Roman" w:eastAsia="Times New Roman" w:hAnsi="Times New Roman" w:cs="Times New Roman"/>
          <w:b/>
          <w:sz w:val="48"/>
          <w:szCs w:val="48"/>
          <w:lang w:eastAsia="ru-RU"/>
        </w:rPr>
      </w:pPr>
    </w:p>
    <w:p w14:paraId="050E1CBE" w14:textId="77777777" w:rsidR="00D03A4F" w:rsidRPr="00D03A4F" w:rsidRDefault="00D03A4F" w:rsidP="00D03A4F">
      <w:pPr>
        <w:spacing w:after="0"/>
        <w:jc w:val="center"/>
        <w:rPr>
          <w:rFonts w:ascii="Times New Roman" w:eastAsia="Times New Roman" w:hAnsi="Times New Roman" w:cs="Times New Roman"/>
          <w:b/>
          <w:sz w:val="44"/>
          <w:szCs w:val="44"/>
          <w:lang w:eastAsia="ru-RU"/>
        </w:rPr>
      </w:pPr>
      <w:r w:rsidRPr="00D03A4F">
        <w:rPr>
          <w:rFonts w:ascii="Times New Roman" w:eastAsia="Times New Roman" w:hAnsi="Times New Roman" w:cs="Times New Roman"/>
          <w:b/>
          <w:sz w:val="44"/>
          <w:szCs w:val="44"/>
          <w:lang w:eastAsia="ru-RU"/>
        </w:rPr>
        <w:t>20</w:t>
      </w:r>
      <w:r w:rsidR="00004E37">
        <w:rPr>
          <w:rFonts w:ascii="Times New Roman" w:eastAsia="Times New Roman" w:hAnsi="Times New Roman" w:cs="Times New Roman"/>
          <w:b/>
          <w:sz w:val="44"/>
          <w:szCs w:val="44"/>
          <w:lang w:eastAsia="ru-RU"/>
        </w:rPr>
        <w:t>2</w:t>
      </w:r>
      <w:r w:rsidR="007D7ED6">
        <w:rPr>
          <w:rFonts w:ascii="Times New Roman" w:eastAsia="Times New Roman" w:hAnsi="Times New Roman" w:cs="Times New Roman"/>
          <w:b/>
          <w:sz w:val="44"/>
          <w:szCs w:val="44"/>
          <w:lang w:eastAsia="ru-RU"/>
        </w:rPr>
        <w:t>1</w:t>
      </w:r>
      <w:r w:rsidRPr="00D03A4F">
        <w:rPr>
          <w:rFonts w:ascii="Times New Roman" w:eastAsia="Times New Roman" w:hAnsi="Times New Roman" w:cs="Times New Roman"/>
          <w:b/>
          <w:sz w:val="44"/>
          <w:szCs w:val="44"/>
          <w:lang w:eastAsia="ru-RU"/>
        </w:rPr>
        <w:t xml:space="preserve"> год</w:t>
      </w:r>
    </w:p>
    <w:p w14:paraId="09714ACA" w14:textId="77777777"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14:paraId="5A4EEFD6" w14:textId="77777777"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14:paraId="2153D762" w14:textId="77777777"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14:paraId="287AA0FF" w14:textId="77777777"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14:paraId="037F1AAD" w14:textId="77777777"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14:paraId="3E2F0FA0" w14:textId="77777777"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14:paraId="2E77507B" w14:textId="77777777"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14:paraId="325752FB" w14:textId="77777777"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14:paraId="5B1727EC" w14:textId="77777777"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pPr>
    </w:p>
    <w:p w14:paraId="2263602E" w14:textId="77777777" w:rsidR="00D03A4F" w:rsidRPr="00D03A4F" w:rsidRDefault="00D03A4F" w:rsidP="00D03A4F">
      <w:pPr>
        <w:spacing w:after="0"/>
        <w:ind w:firstLine="709"/>
        <w:jc w:val="center"/>
        <w:rPr>
          <w:rFonts w:ascii="Times New Roman" w:eastAsia="Times New Roman" w:hAnsi="Times New Roman" w:cs="Times New Roman"/>
          <w:b/>
          <w:sz w:val="48"/>
          <w:szCs w:val="48"/>
          <w:lang w:eastAsia="ru-RU"/>
        </w:rPr>
        <w:sectPr w:rsidR="00D03A4F" w:rsidRPr="00D03A4F" w:rsidSect="00944CB1">
          <w:footerReference w:type="default" r:id="rId8"/>
          <w:pgSz w:w="11906" w:h="16838"/>
          <w:pgMar w:top="1134" w:right="850" w:bottom="1134" w:left="1701" w:header="708" w:footer="708" w:gutter="0"/>
          <w:cols w:space="708"/>
          <w:titlePg/>
          <w:docGrid w:linePitch="360"/>
        </w:sectPr>
      </w:pPr>
    </w:p>
    <w:p w14:paraId="596D7736" w14:textId="77777777" w:rsidR="00D03A4F" w:rsidRPr="00D03A4F" w:rsidRDefault="00D03A4F" w:rsidP="00D03A4F">
      <w:pPr>
        <w:tabs>
          <w:tab w:val="left" w:pos="7740"/>
        </w:tabs>
        <w:spacing w:after="0" w:line="312"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lastRenderedPageBreak/>
        <w:t>СОДЕРЖАНИЕ</w:t>
      </w:r>
    </w:p>
    <w:tbl>
      <w:tblPr>
        <w:tblW w:w="10226" w:type="dxa"/>
        <w:jc w:val="center"/>
        <w:tblLayout w:type="fixed"/>
        <w:tblLook w:val="01E0" w:firstRow="1" w:lastRow="1" w:firstColumn="1" w:lastColumn="1" w:noHBand="0" w:noVBand="0"/>
      </w:tblPr>
      <w:tblGrid>
        <w:gridCol w:w="9506"/>
        <w:gridCol w:w="720"/>
      </w:tblGrid>
      <w:tr w:rsidR="00D03A4F" w:rsidRPr="00D03A4F" w14:paraId="3FE601E7" w14:textId="77777777" w:rsidTr="00944CB1">
        <w:trPr>
          <w:jc w:val="center"/>
        </w:trPr>
        <w:tc>
          <w:tcPr>
            <w:tcW w:w="9506" w:type="dxa"/>
            <w:hideMark/>
          </w:tcPr>
          <w:p w14:paraId="57833CCA" w14:textId="77777777" w:rsidR="00D03A4F" w:rsidRPr="00D03A4F" w:rsidRDefault="00D03A4F" w:rsidP="00D03A4F">
            <w:pPr>
              <w:spacing w:before="60" w:after="6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sz w:val="28"/>
                <w:szCs w:val="28"/>
                <w:lang w:eastAsia="ru-RU"/>
              </w:rPr>
              <w:t xml:space="preserve">Введение </w:t>
            </w:r>
            <w:r w:rsidRPr="00D03A4F">
              <w:rPr>
                <w:rFonts w:ascii="Times New Roman" w:eastAsia="Times New Roman" w:hAnsi="Times New Roman" w:cs="Times New Roman"/>
                <w:sz w:val="28"/>
                <w:szCs w:val="28"/>
                <w:lang w:eastAsia="ru-RU"/>
              </w:rPr>
              <w:t>..................................................................................................................</w:t>
            </w:r>
          </w:p>
        </w:tc>
        <w:tc>
          <w:tcPr>
            <w:tcW w:w="720" w:type="dxa"/>
            <w:vAlign w:val="bottom"/>
            <w:hideMark/>
          </w:tcPr>
          <w:p w14:paraId="60BFF9FB" w14:textId="77777777" w:rsidR="00D03A4F" w:rsidRPr="009E523E" w:rsidRDefault="007B4C21" w:rsidP="00D03A4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D03A4F" w:rsidRPr="00D03A4F" w14:paraId="4A0D0300" w14:textId="77777777" w:rsidTr="00944CB1">
        <w:trPr>
          <w:jc w:val="center"/>
        </w:trPr>
        <w:tc>
          <w:tcPr>
            <w:tcW w:w="9506" w:type="dxa"/>
            <w:hideMark/>
          </w:tcPr>
          <w:p w14:paraId="75E3CE16" w14:textId="77777777" w:rsidR="00D03A4F" w:rsidRPr="00D03A4F" w:rsidRDefault="00D03A4F" w:rsidP="00D03A4F">
            <w:pPr>
              <w:spacing w:before="60" w:after="6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sz w:val="28"/>
                <w:szCs w:val="28"/>
                <w:lang w:eastAsia="ru-RU"/>
              </w:rPr>
              <w:t>1. Основные демографические характеристики</w:t>
            </w:r>
            <w:r w:rsidRPr="00D03A4F">
              <w:rPr>
                <w:rFonts w:ascii="Times New Roman" w:eastAsia="Times New Roman" w:hAnsi="Times New Roman" w:cs="Times New Roman"/>
                <w:sz w:val="28"/>
                <w:szCs w:val="28"/>
                <w:lang w:eastAsia="ru-RU"/>
              </w:rPr>
              <w:t>..............................................</w:t>
            </w:r>
          </w:p>
        </w:tc>
        <w:tc>
          <w:tcPr>
            <w:tcW w:w="720" w:type="dxa"/>
            <w:vAlign w:val="bottom"/>
            <w:hideMark/>
          </w:tcPr>
          <w:p w14:paraId="3F6613A9" w14:textId="77777777" w:rsidR="00D03A4F" w:rsidRPr="009E523E" w:rsidRDefault="007B4C21" w:rsidP="00D03A4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D03A4F" w:rsidRPr="00D03A4F" w14:paraId="07217237" w14:textId="77777777" w:rsidTr="00944CB1">
        <w:trPr>
          <w:jc w:val="center"/>
        </w:trPr>
        <w:tc>
          <w:tcPr>
            <w:tcW w:w="9506" w:type="dxa"/>
            <w:hideMark/>
          </w:tcPr>
          <w:p w14:paraId="7038F136" w14:textId="77777777" w:rsidR="00D03A4F" w:rsidRPr="00D03A4F" w:rsidRDefault="00D03A4F" w:rsidP="00D03A4F">
            <w:pPr>
              <w:spacing w:before="60" w:after="6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b/>
                <w:sz w:val="28"/>
                <w:szCs w:val="28"/>
                <w:lang w:eastAsia="ru-RU"/>
              </w:rPr>
              <w:t>2. Уровень жизни семей, имеющих детей</w:t>
            </w:r>
            <w:r w:rsidRPr="00D03A4F">
              <w:rPr>
                <w:rFonts w:ascii="Times New Roman" w:eastAsia="Times New Roman" w:hAnsi="Times New Roman" w:cs="Times New Roman"/>
                <w:sz w:val="28"/>
                <w:szCs w:val="28"/>
                <w:lang w:eastAsia="ru-RU"/>
              </w:rPr>
              <w:t>..........................................................</w:t>
            </w:r>
          </w:p>
        </w:tc>
        <w:tc>
          <w:tcPr>
            <w:tcW w:w="720" w:type="dxa"/>
            <w:vAlign w:val="bottom"/>
            <w:hideMark/>
          </w:tcPr>
          <w:p w14:paraId="538A9921" w14:textId="77777777" w:rsidR="00D03A4F" w:rsidRPr="009E523E" w:rsidRDefault="007B4C21" w:rsidP="00D03A4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D03A4F" w:rsidRPr="00D03A4F" w14:paraId="495E6EC8" w14:textId="77777777" w:rsidTr="00944CB1">
        <w:trPr>
          <w:jc w:val="center"/>
        </w:trPr>
        <w:tc>
          <w:tcPr>
            <w:tcW w:w="9506" w:type="dxa"/>
            <w:hideMark/>
          </w:tcPr>
          <w:p w14:paraId="292758B0" w14:textId="77777777"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Социально-экономические условия реализации государственной политики в отношении семей, имеющих детей.........................................................................</w:t>
            </w:r>
          </w:p>
        </w:tc>
        <w:tc>
          <w:tcPr>
            <w:tcW w:w="720" w:type="dxa"/>
            <w:vAlign w:val="bottom"/>
          </w:tcPr>
          <w:p w14:paraId="65820DF5" w14:textId="77777777" w:rsidR="00D03A4F" w:rsidRPr="009E523E" w:rsidRDefault="007B4C21" w:rsidP="00D03A4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D03A4F" w:rsidRPr="00D03A4F" w14:paraId="45B3E0C8" w14:textId="77777777" w:rsidTr="00944CB1">
        <w:trPr>
          <w:jc w:val="center"/>
        </w:trPr>
        <w:tc>
          <w:tcPr>
            <w:tcW w:w="9506" w:type="dxa"/>
            <w:hideMark/>
          </w:tcPr>
          <w:p w14:paraId="46CCD562" w14:textId="77777777"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Оценка социально-экономического положения семей, имеющих детей...........</w:t>
            </w:r>
          </w:p>
        </w:tc>
        <w:tc>
          <w:tcPr>
            <w:tcW w:w="720" w:type="dxa"/>
            <w:vAlign w:val="bottom"/>
            <w:hideMark/>
          </w:tcPr>
          <w:p w14:paraId="3B22EB91" w14:textId="77777777" w:rsidR="00D03A4F" w:rsidRPr="009E523E" w:rsidRDefault="007B4C21" w:rsidP="00D03A4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D03A4F" w:rsidRPr="00D03A4F" w14:paraId="7635CA7C" w14:textId="77777777" w:rsidTr="00944CB1">
        <w:trPr>
          <w:jc w:val="center"/>
        </w:trPr>
        <w:tc>
          <w:tcPr>
            <w:tcW w:w="9506" w:type="dxa"/>
            <w:hideMark/>
          </w:tcPr>
          <w:p w14:paraId="20C340F5" w14:textId="77777777"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Государственные пособия и дополнительные меры государственной поддержки семей, имеющих детей.........................................................................</w:t>
            </w:r>
          </w:p>
        </w:tc>
        <w:tc>
          <w:tcPr>
            <w:tcW w:w="720" w:type="dxa"/>
            <w:vAlign w:val="bottom"/>
          </w:tcPr>
          <w:p w14:paraId="7D9FCAD8" w14:textId="55423457" w:rsidR="00D03A4F" w:rsidRPr="009E523E" w:rsidRDefault="007B4C21" w:rsidP="00077EBA">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77EBA">
              <w:rPr>
                <w:rFonts w:ascii="Times New Roman" w:eastAsia="Times New Roman" w:hAnsi="Times New Roman" w:cs="Times New Roman"/>
                <w:sz w:val="24"/>
                <w:szCs w:val="24"/>
                <w:lang w:eastAsia="ru-RU"/>
              </w:rPr>
              <w:t>5</w:t>
            </w:r>
          </w:p>
        </w:tc>
      </w:tr>
      <w:tr w:rsidR="00D03A4F" w:rsidRPr="00D03A4F" w14:paraId="0E211D2D" w14:textId="77777777" w:rsidTr="00944CB1">
        <w:trPr>
          <w:jc w:val="center"/>
        </w:trPr>
        <w:tc>
          <w:tcPr>
            <w:tcW w:w="9506" w:type="dxa"/>
            <w:hideMark/>
          </w:tcPr>
          <w:p w14:paraId="08A5E75E" w14:textId="77777777"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Меры налоговой поддержки семей, имеющих детей...........................................</w:t>
            </w:r>
          </w:p>
        </w:tc>
        <w:tc>
          <w:tcPr>
            <w:tcW w:w="720" w:type="dxa"/>
            <w:vAlign w:val="bottom"/>
            <w:hideMark/>
          </w:tcPr>
          <w:p w14:paraId="5FA9BF6A" w14:textId="1EF683E9" w:rsidR="00D03A4F" w:rsidRPr="009E523E" w:rsidRDefault="007B4C21" w:rsidP="00441EC3">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41EC3">
              <w:rPr>
                <w:rFonts w:ascii="Times New Roman" w:eastAsia="Times New Roman" w:hAnsi="Times New Roman" w:cs="Times New Roman"/>
                <w:sz w:val="24"/>
                <w:szCs w:val="24"/>
                <w:lang w:eastAsia="ru-RU"/>
              </w:rPr>
              <w:t>1</w:t>
            </w:r>
          </w:p>
        </w:tc>
      </w:tr>
      <w:tr w:rsidR="00D03A4F" w:rsidRPr="00D03A4F" w14:paraId="20064A76" w14:textId="77777777" w:rsidTr="00944CB1">
        <w:trPr>
          <w:jc w:val="center"/>
        </w:trPr>
        <w:tc>
          <w:tcPr>
            <w:tcW w:w="9506" w:type="dxa"/>
            <w:hideMark/>
          </w:tcPr>
          <w:p w14:paraId="27690EC2" w14:textId="2A455C0B" w:rsidR="00D03A4F" w:rsidRPr="00D03A4F" w:rsidRDefault="00D03A4F" w:rsidP="003B77D7">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Пенсионное обеспечение семей, имеющих детей, государственная социальная помощь, денежные выплаты семьям с детьми-инвалидами................................</w:t>
            </w:r>
            <w:r w:rsidR="0011113F" w:rsidRPr="00D03A4F">
              <w:rPr>
                <w:rFonts w:ascii="Times New Roman" w:eastAsia="Times New Roman" w:hAnsi="Times New Roman" w:cs="Times New Roman"/>
                <w:sz w:val="28"/>
                <w:szCs w:val="28"/>
                <w:lang w:eastAsia="ru-RU"/>
              </w:rPr>
              <w:t>................................................................</w:t>
            </w:r>
            <w:r w:rsidR="0011113F">
              <w:rPr>
                <w:rFonts w:ascii="Times New Roman" w:eastAsia="Times New Roman" w:hAnsi="Times New Roman" w:cs="Times New Roman"/>
                <w:sz w:val="28"/>
                <w:szCs w:val="28"/>
                <w:lang w:eastAsia="ru-RU"/>
              </w:rPr>
              <w:t>....</w:t>
            </w:r>
            <w:r w:rsidR="0011113F" w:rsidRPr="00D03A4F">
              <w:rPr>
                <w:rFonts w:ascii="Times New Roman" w:eastAsia="Times New Roman" w:hAnsi="Times New Roman" w:cs="Times New Roman"/>
                <w:sz w:val="28"/>
                <w:szCs w:val="28"/>
                <w:lang w:eastAsia="ru-RU"/>
              </w:rPr>
              <w:t>............</w:t>
            </w:r>
          </w:p>
        </w:tc>
        <w:tc>
          <w:tcPr>
            <w:tcW w:w="720" w:type="dxa"/>
            <w:vAlign w:val="bottom"/>
          </w:tcPr>
          <w:p w14:paraId="0467DFED" w14:textId="18663451" w:rsidR="00D03A4F" w:rsidRPr="009E523E" w:rsidRDefault="007B4C21" w:rsidP="00441EC3">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41EC3">
              <w:rPr>
                <w:rFonts w:ascii="Times New Roman" w:eastAsia="Times New Roman" w:hAnsi="Times New Roman" w:cs="Times New Roman"/>
                <w:sz w:val="24"/>
                <w:szCs w:val="24"/>
                <w:lang w:eastAsia="ru-RU"/>
              </w:rPr>
              <w:t>2</w:t>
            </w:r>
          </w:p>
        </w:tc>
      </w:tr>
      <w:tr w:rsidR="00D03A4F" w:rsidRPr="00D03A4F" w14:paraId="3A6AA375" w14:textId="77777777" w:rsidTr="00944CB1">
        <w:trPr>
          <w:jc w:val="center"/>
        </w:trPr>
        <w:tc>
          <w:tcPr>
            <w:tcW w:w="9506" w:type="dxa"/>
            <w:hideMark/>
          </w:tcPr>
          <w:p w14:paraId="2C634FA9" w14:textId="77777777"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Государственная социальная помощь малоимущим семьям...............................</w:t>
            </w:r>
          </w:p>
        </w:tc>
        <w:tc>
          <w:tcPr>
            <w:tcW w:w="720" w:type="dxa"/>
            <w:vAlign w:val="bottom"/>
            <w:hideMark/>
          </w:tcPr>
          <w:p w14:paraId="78F3C21C" w14:textId="0B8502A1" w:rsidR="00D03A4F" w:rsidRPr="009E523E" w:rsidRDefault="00441EC3"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r>
      <w:tr w:rsidR="00D03A4F" w:rsidRPr="00D03A4F" w14:paraId="5B945158" w14:textId="77777777" w:rsidTr="00944CB1">
        <w:trPr>
          <w:jc w:val="center"/>
        </w:trPr>
        <w:tc>
          <w:tcPr>
            <w:tcW w:w="9506" w:type="dxa"/>
            <w:hideMark/>
          </w:tcPr>
          <w:p w14:paraId="280D9FF0" w14:textId="77777777" w:rsidR="00D03A4F" w:rsidRPr="00D03A4F" w:rsidRDefault="00D03A4F" w:rsidP="00D03A4F">
            <w:pPr>
              <w:spacing w:before="60" w:after="60" w:line="240" w:lineRule="auto"/>
              <w:jc w:val="both"/>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8"/>
                <w:szCs w:val="28"/>
                <w:lang w:eastAsia="ru-RU"/>
              </w:rPr>
              <w:t>Меры поддержки многодетных семей...................................................................</w:t>
            </w:r>
          </w:p>
        </w:tc>
        <w:tc>
          <w:tcPr>
            <w:tcW w:w="720" w:type="dxa"/>
            <w:vAlign w:val="bottom"/>
            <w:hideMark/>
          </w:tcPr>
          <w:p w14:paraId="2DBD8B43" w14:textId="29ECD87E" w:rsidR="00D03A4F" w:rsidRPr="009E523E" w:rsidRDefault="00441EC3"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r>
      <w:tr w:rsidR="00D03A4F" w:rsidRPr="00D03A4F" w14:paraId="63868B3D" w14:textId="77777777" w:rsidTr="00944CB1">
        <w:trPr>
          <w:jc w:val="center"/>
        </w:trPr>
        <w:tc>
          <w:tcPr>
            <w:tcW w:w="9506" w:type="dxa"/>
            <w:hideMark/>
          </w:tcPr>
          <w:p w14:paraId="64018C29" w14:textId="77777777"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Calibri" w:hAnsi="Times New Roman" w:cs="Times New Roman"/>
                <w:sz w:val="28"/>
                <w:szCs w:val="28"/>
              </w:rPr>
              <w:t>Меры по взысканию алиментов на несовершеннолетних детей</w:t>
            </w:r>
            <w:r w:rsidRPr="00D03A4F">
              <w:rPr>
                <w:rFonts w:ascii="Times New Roman" w:eastAsia="Times New Roman" w:hAnsi="Times New Roman" w:cs="Times New Roman"/>
                <w:sz w:val="28"/>
                <w:szCs w:val="28"/>
                <w:lang w:eastAsia="ru-RU"/>
              </w:rPr>
              <w:t>.........................</w:t>
            </w:r>
          </w:p>
        </w:tc>
        <w:tc>
          <w:tcPr>
            <w:tcW w:w="720" w:type="dxa"/>
            <w:vAlign w:val="bottom"/>
            <w:hideMark/>
          </w:tcPr>
          <w:p w14:paraId="2A6AF004" w14:textId="1637899D" w:rsidR="00D03A4F" w:rsidRPr="009E523E" w:rsidRDefault="00441EC3"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r>
      <w:tr w:rsidR="00D03A4F" w:rsidRPr="00D03A4F" w14:paraId="6F8172F9" w14:textId="77777777" w:rsidTr="00944CB1">
        <w:trPr>
          <w:jc w:val="center"/>
        </w:trPr>
        <w:tc>
          <w:tcPr>
            <w:tcW w:w="9506" w:type="dxa"/>
            <w:hideMark/>
          </w:tcPr>
          <w:p w14:paraId="3B988F6F"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3. Жилищные условия семей, имеющих детей</w:t>
            </w:r>
            <w:r w:rsidRPr="00D03A4F">
              <w:rPr>
                <w:rFonts w:ascii="Times New Roman" w:eastAsia="Times New Roman" w:hAnsi="Times New Roman" w:cs="Times New Roman"/>
                <w:sz w:val="28"/>
                <w:szCs w:val="28"/>
                <w:lang w:eastAsia="ru-RU"/>
              </w:rPr>
              <w:t>.................................................</w:t>
            </w:r>
          </w:p>
        </w:tc>
        <w:tc>
          <w:tcPr>
            <w:tcW w:w="720" w:type="dxa"/>
            <w:vAlign w:val="bottom"/>
            <w:hideMark/>
          </w:tcPr>
          <w:p w14:paraId="66C35ADB" w14:textId="7F7A23B5" w:rsidR="00D03A4F" w:rsidRPr="009E523E" w:rsidRDefault="00441EC3"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r>
      <w:tr w:rsidR="00D03A4F" w:rsidRPr="00D03A4F" w14:paraId="0D9DB8BC" w14:textId="77777777" w:rsidTr="00944CB1">
        <w:trPr>
          <w:jc w:val="center"/>
        </w:trPr>
        <w:tc>
          <w:tcPr>
            <w:tcW w:w="9506" w:type="dxa"/>
            <w:hideMark/>
          </w:tcPr>
          <w:p w14:paraId="5424BE7B"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Обеспечение жильем молодых семей, имеющих детей.......................................</w:t>
            </w:r>
          </w:p>
        </w:tc>
        <w:tc>
          <w:tcPr>
            <w:tcW w:w="720" w:type="dxa"/>
            <w:vAlign w:val="bottom"/>
            <w:hideMark/>
          </w:tcPr>
          <w:p w14:paraId="20AC509F" w14:textId="4E0CBBE3" w:rsidR="00D03A4F" w:rsidRPr="009E523E" w:rsidRDefault="00441EC3"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r>
      <w:tr w:rsidR="00D03A4F" w:rsidRPr="00D03A4F" w14:paraId="7DEFE26D" w14:textId="77777777" w:rsidTr="00944CB1">
        <w:trPr>
          <w:jc w:val="center"/>
        </w:trPr>
        <w:tc>
          <w:tcPr>
            <w:tcW w:w="9506" w:type="dxa"/>
            <w:hideMark/>
          </w:tcPr>
          <w:p w14:paraId="76C4B705"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Обеспечение жильем многодетных семей.............................................................</w:t>
            </w:r>
          </w:p>
        </w:tc>
        <w:tc>
          <w:tcPr>
            <w:tcW w:w="720" w:type="dxa"/>
            <w:vAlign w:val="bottom"/>
            <w:hideMark/>
          </w:tcPr>
          <w:p w14:paraId="73AE39E4" w14:textId="23F8914F" w:rsidR="00D03A4F" w:rsidRPr="009E523E" w:rsidRDefault="00441EC3" w:rsidP="00C96DB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r>
      <w:tr w:rsidR="00D03A4F" w:rsidRPr="00D03A4F" w14:paraId="114E2C16" w14:textId="77777777" w:rsidTr="00944CB1">
        <w:trPr>
          <w:jc w:val="center"/>
        </w:trPr>
        <w:tc>
          <w:tcPr>
            <w:tcW w:w="9506" w:type="dxa"/>
            <w:hideMark/>
          </w:tcPr>
          <w:p w14:paraId="76CE6083"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Обеспечение жильем детей-сирот и детей, оставшихся без попечения родителей..................................................................................................................</w:t>
            </w:r>
          </w:p>
        </w:tc>
        <w:tc>
          <w:tcPr>
            <w:tcW w:w="720" w:type="dxa"/>
            <w:vAlign w:val="bottom"/>
          </w:tcPr>
          <w:p w14:paraId="6659779A" w14:textId="0D0BAD56" w:rsidR="00D03A4F" w:rsidRPr="009E523E" w:rsidRDefault="007B4C21" w:rsidP="00441EC3">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41EC3">
              <w:rPr>
                <w:rFonts w:ascii="Times New Roman" w:eastAsia="Times New Roman" w:hAnsi="Times New Roman" w:cs="Times New Roman"/>
                <w:sz w:val="24"/>
                <w:szCs w:val="24"/>
                <w:lang w:eastAsia="ru-RU"/>
              </w:rPr>
              <w:t>8</w:t>
            </w:r>
          </w:p>
        </w:tc>
      </w:tr>
      <w:tr w:rsidR="00D03A4F" w:rsidRPr="00D03A4F" w14:paraId="5759D885" w14:textId="77777777" w:rsidTr="00944CB1">
        <w:trPr>
          <w:jc w:val="center"/>
        </w:trPr>
        <w:tc>
          <w:tcPr>
            <w:tcW w:w="9506" w:type="dxa"/>
            <w:hideMark/>
          </w:tcPr>
          <w:p w14:paraId="7EFDF2FF"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4. Состояние здоровья женщин и детей</w:t>
            </w:r>
            <w:r w:rsidRPr="00D03A4F">
              <w:rPr>
                <w:rFonts w:ascii="Times New Roman" w:eastAsia="Times New Roman" w:hAnsi="Times New Roman" w:cs="Times New Roman"/>
                <w:sz w:val="28"/>
                <w:szCs w:val="28"/>
                <w:lang w:eastAsia="ru-RU"/>
              </w:rPr>
              <w:t>.............................................................</w:t>
            </w:r>
          </w:p>
        </w:tc>
        <w:tc>
          <w:tcPr>
            <w:tcW w:w="720" w:type="dxa"/>
            <w:vAlign w:val="bottom"/>
            <w:hideMark/>
          </w:tcPr>
          <w:p w14:paraId="6F602AE0" w14:textId="2E28E833" w:rsidR="00D03A4F" w:rsidRPr="009E523E" w:rsidRDefault="007B4C21" w:rsidP="00441EC3">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41EC3">
              <w:rPr>
                <w:rFonts w:ascii="Times New Roman" w:eastAsia="Times New Roman" w:hAnsi="Times New Roman" w:cs="Times New Roman"/>
                <w:sz w:val="24"/>
                <w:szCs w:val="24"/>
                <w:lang w:eastAsia="ru-RU"/>
              </w:rPr>
              <w:t>3</w:t>
            </w:r>
          </w:p>
        </w:tc>
      </w:tr>
      <w:tr w:rsidR="00D03A4F" w:rsidRPr="00D03A4F" w14:paraId="532914C3" w14:textId="77777777" w:rsidTr="00944CB1">
        <w:trPr>
          <w:jc w:val="center"/>
        </w:trPr>
        <w:tc>
          <w:tcPr>
            <w:tcW w:w="9506" w:type="dxa"/>
            <w:hideMark/>
          </w:tcPr>
          <w:p w14:paraId="2CD45DFA"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Оценка состояния здоровья женщин и детей........................................................</w:t>
            </w:r>
          </w:p>
        </w:tc>
        <w:tc>
          <w:tcPr>
            <w:tcW w:w="720" w:type="dxa"/>
            <w:vAlign w:val="bottom"/>
            <w:hideMark/>
          </w:tcPr>
          <w:p w14:paraId="6A261CBB" w14:textId="04C3C00A" w:rsidR="00D03A4F" w:rsidRPr="009E523E" w:rsidRDefault="007B4C21" w:rsidP="00441EC3">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41EC3">
              <w:rPr>
                <w:rFonts w:ascii="Times New Roman" w:eastAsia="Times New Roman" w:hAnsi="Times New Roman" w:cs="Times New Roman"/>
                <w:sz w:val="24"/>
                <w:szCs w:val="24"/>
                <w:lang w:eastAsia="ru-RU"/>
              </w:rPr>
              <w:t>3</w:t>
            </w:r>
          </w:p>
        </w:tc>
      </w:tr>
      <w:tr w:rsidR="00D03A4F" w:rsidRPr="00D03A4F" w14:paraId="0F24BECD" w14:textId="77777777" w:rsidTr="00944CB1">
        <w:trPr>
          <w:jc w:val="center"/>
        </w:trPr>
        <w:tc>
          <w:tcPr>
            <w:tcW w:w="9506" w:type="dxa"/>
            <w:hideMark/>
          </w:tcPr>
          <w:p w14:paraId="6A0E6D15"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Обязательное медицинское страхование женщин и детей, доступность квалифицированной медицинской помощи и лекарственное обеспечение женщин и детей........................................................................................................</w:t>
            </w:r>
          </w:p>
        </w:tc>
        <w:tc>
          <w:tcPr>
            <w:tcW w:w="720" w:type="dxa"/>
            <w:vAlign w:val="bottom"/>
          </w:tcPr>
          <w:p w14:paraId="467B9C37" w14:textId="0FFAAB4B" w:rsidR="00D03A4F" w:rsidRPr="009E523E" w:rsidRDefault="007B4C21" w:rsidP="00441EC3">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41EC3">
              <w:rPr>
                <w:rFonts w:ascii="Times New Roman" w:eastAsia="Times New Roman" w:hAnsi="Times New Roman" w:cs="Times New Roman"/>
                <w:sz w:val="24"/>
                <w:szCs w:val="24"/>
                <w:lang w:eastAsia="ru-RU"/>
              </w:rPr>
              <w:t>0</w:t>
            </w:r>
          </w:p>
        </w:tc>
      </w:tr>
      <w:tr w:rsidR="00D03A4F" w:rsidRPr="00D03A4F" w14:paraId="3BFE211E" w14:textId="77777777" w:rsidTr="00944CB1">
        <w:trPr>
          <w:jc w:val="center"/>
        </w:trPr>
        <w:tc>
          <w:tcPr>
            <w:tcW w:w="9506" w:type="dxa"/>
            <w:hideMark/>
          </w:tcPr>
          <w:p w14:paraId="0FB889A1" w14:textId="77777777"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lastRenderedPageBreak/>
              <w:t>Формирование здорового образа жизни детей......................................................</w:t>
            </w:r>
          </w:p>
        </w:tc>
        <w:tc>
          <w:tcPr>
            <w:tcW w:w="720" w:type="dxa"/>
            <w:vAlign w:val="bottom"/>
            <w:hideMark/>
          </w:tcPr>
          <w:p w14:paraId="3584A015" w14:textId="30424CA0" w:rsidR="00D03A4F" w:rsidRPr="009E523E" w:rsidRDefault="00AF2FDC" w:rsidP="00441EC3">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41EC3">
              <w:rPr>
                <w:rFonts w:ascii="Times New Roman" w:eastAsia="Times New Roman" w:hAnsi="Times New Roman" w:cs="Times New Roman"/>
                <w:sz w:val="24"/>
                <w:szCs w:val="24"/>
                <w:lang w:eastAsia="ru-RU"/>
              </w:rPr>
              <w:t>7</w:t>
            </w:r>
          </w:p>
        </w:tc>
      </w:tr>
      <w:tr w:rsidR="00D03A4F" w:rsidRPr="00D03A4F" w14:paraId="63307D67" w14:textId="77777777" w:rsidTr="00944CB1">
        <w:trPr>
          <w:jc w:val="center"/>
        </w:trPr>
        <w:tc>
          <w:tcPr>
            <w:tcW w:w="9506" w:type="dxa"/>
            <w:hideMark/>
          </w:tcPr>
          <w:p w14:paraId="1F494D6C" w14:textId="77777777" w:rsidR="00D03A4F" w:rsidRPr="00D03A4F" w:rsidRDefault="00D03A4F" w:rsidP="00D03A4F">
            <w:pPr>
              <w:spacing w:before="60" w:after="60" w:line="240" w:lineRule="auto"/>
              <w:jc w:val="both"/>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5. Состояние питания дете</w:t>
            </w:r>
            <w:r w:rsidRPr="00D03A4F">
              <w:rPr>
                <w:rFonts w:ascii="Times New Roman" w:eastAsia="Times New Roman" w:hAnsi="Times New Roman" w:cs="Times New Roman"/>
                <w:b/>
                <w:webHidden/>
                <w:sz w:val="28"/>
                <w:szCs w:val="28"/>
                <w:lang w:eastAsia="ru-RU"/>
              </w:rPr>
              <w:t>й</w:t>
            </w:r>
            <w:r w:rsidRPr="00D03A4F">
              <w:rPr>
                <w:rFonts w:ascii="Times New Roman" w:eastAsia="Times New Roman" w:hAnsi="Times New Roman" w:cs="Times New Roman"/>
                <w:sz w:val="28"/>
                <w:szCs w:val="28"/>
                <w:lang w:eastAsia="ru-RU"/>
              </w:rPr>
              <w:t>..................................................................................</w:t>
            </w:r>
          </w:p>
        </w:tc>
        <w:tc>
          <w:tcPr>
            <w:tcW w:w="720" w:type="dxa"/>
            <w:vAlign w:val="bottom"/>
            <w:hideMark/>
          </w:tcPr>
          <w:p w14:paraId="5A2BF3B0" w14:textId="74A75B18" w:rsidR="00D03A4F" w:rsidRPr="009E523E" w:rsidRDefault="007B4C21" w:rsidP="00441EC3">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41EC3">
              <w:rPr>
                <w:rFonts w:ascii="Times New Roman" w:eastAsia="Times New Roman" w:hAnsi="Times New Roman" w:cs="Times New Roman"/>
                <w:sz w:val="24"/>
                <w:szCs w:val="24"/>
                <w:lang w:eastAsia="ru-RU"/>
              </w:rPr>
              <w:t>09</w:t>
            </w:r>
          </w:p>
        </w:tc>
      </w:tr>
      <w:tr w:rsidR="00D03A4F" w:rsidRPr="00D03A4F" w14:paraId="0E561E5E" w14:textId="77777777" w:rsidTr="00944CB1">
        <w:trPr>
          <w:jc w:val="center"/>
        </w:trPr>
        <w:tc>
          <w:tcPr>
            <w:tcW w:w="9506" w:type="dxa"/>
            <w:hideMark/>
          </w:tcPr>
          <w:p w14:paraId="5647C9C9"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6. Образование, воспитание и развитие детей</w:t>
            </w:r>
            <w:r w:rsidRPr="00D03A4F">
              <w:rPr>
                <w:rFonts w:ascii="Times New Roman" w:eastAsia="Times New Roman" w:hAnsi="Times New Roman" w:cs="Times New Roman"/>
                <w:sz w:val="28"/>
                <w:szCs w:val="28"/>
                <w:lang w:eastAsia="ru-RU"/>
              </w:rPr>
              <w:t>..................................................</w:t>
            </w:r>
          </w:p>
        </w:tc>
        <w:tc>
          <w:tcPr>
            <w:tcW w:w="720" w:type="dxa"/>
            <w:vAlign w:val="bottom"/>
            <w:hideMark/>
          </w:tcPr>
          <w:p w14:paraId="1B14F70B" w14:textId="71F253C1" w:rsidR="00D03A4F" w:rsidRPr="009E523E" w:rsidRDefault="007B4C21" w:rsidP="00441EC3">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441EC3">
              <w:rPr>
                <w:rFonts w:ascii="Times New Roman" w:eastAsia="Times New Roman" w:hAnsi="Times New Roman" w:cs="Times New Roman"/>
                <w:sz w:val="24"/>
                <w:szCs w:val="24"/>
                <w:lang w:eastAsia="ru-RU"/>
              </w:rPr>
              <w:t>6</w:t>
            </w:r>
          </w:p>
        </w:tc>
      </w:tr>
      <w:tr w:rsidR="00D03A4F" w:rsidRPr="00D03A4F" w14:paraId="1CEE84BB" w14:textId="77777777" w:rsidTr="00944CB1">
        <w:trPr>
          <w:jc w:val="center"/>
        </w:trPr>
        <w:tc>
          <w:tcPr>
            <w:tcW w:w="9506" w:type="dxa"/>
            <w:hideMark/>
          </w:tcPr>
          <w:p w14:paraId="18D7A690"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Доступность дошкольных образовательных организаций..................................</w:t>
            </w:r>
          </w:p>
        </w:tc>
        <w:tc>
          <w:tcPr>
            <w:tcW w:w="720" w:type="dxa"/>
            <w:vAlign w:val="bottom"/>
            <w:hideMark/>
          </w:tcPr>
          <w:p w14:paraId="241D8E73" w14:textId="7B8197CA" w:rsidR="00D03A4F" w:rsidRPr="009E523E" w:rsidRDefault="007B4C21" w:rsidP="00441EC3">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441EC3">
              <w:rPr>
                <w:rFonts w:ascii="Times New Roman" w:eastAsia="Times New Roman" w:hAnsi="Times New Roman" w:cs="Times New Roman"/>
                <w:sz w:val="24"/>
                <w:szCs w:val="24"/>
                <w:lang w:eastAsia="ru-RU"/>
              </w:rPr>
              <w:t>6</w:t>
            </w:r>
          </w:p>
        </w:tc>
      </w:tr>
      <w:tr w:rsidR="00D03A4F" w:rsidRPr="00D03A4F" w14:paraId="086D6C74" w14:textId="77777777" w:rsidTr="00944CB1">
        <w:trPr>
          <w:jc w:val="center"/>
        </w:trPr>
        <w:tc>
          <w:tcPr>
            <w:tcW w:w="9506" w:type="dxa"/>
            <w:hideMark/>
          </w:tcPr>
          <w:p w14:paraId="0566C132"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Общее</w:t>
            </w:r>
            <w:r w:rsidRPr="00D03A4F">
              <w:rPr>
                <w:rFonts w:ascii="Times New Roman" w:eastAsia="Times New Roman" w:hAnsi="Times New Roman" w:cs="Times New Roman"/>
                <w:iCs/>
                <w:sz w:val="28"/>
                <w:szCs w:val="28"/>
                <w:lang w:eastAsia="ru-RU"/>
              </w:rPr>
              <w:t xml:space="preserve"> образование</w:t>
            </w:r>
            <w:r w:rsidRPr="00D03A4F">
              <w:rPr>
                <w:rFonts w:ascii="Times New Roman" w:eastAsia="Times New Roman" w:hAnsi="Times New Roman" w:cs="Times New Roman"/>
                <w:sz w:val="28"/>
                <w:szCs w:val="28"/>
                <w:lang w:eastAsia="ru-RU"/>
              </w:rPr>
              <w:t>..................................................................................................</w:t>
            </w:r>
          </w:p>
        </w:tc>
        <w:tc>
          <w:tcPr>
            <w:tcW w:w="720" w:type="dxa"/>
            <w:vAlign w:val="bottom"/>
            <w:hideMark/>
          </w:tcPr>
          <w:p w14:paraId="520E44AC" w14:textId="35ACDCB9" w:rsidR="00D03A4F" w:rsidRPr="009E523E" w:rsidRDefault="007B4C21" w:rsidP="00441EC3">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441EC3">
              <w:rPr>
                <w:rFonts w:ascii="Times New Roman" w:eastAsia="Times New Roman" w:hAnsi="Times New Roman" w:cs="Times New Roman"/>
                <w:sz w:val="24"/>
                <w:szCs w:val="24"/>
                <w:lang w:eastAsia="ru-RU"/>
              </w:rPr>
              <w:t>6</w:t>
            </w:r>
          </w:p>
        </w:tc>
      </w:tr>
      <w:tr w:rsidR="00D03A4F" w:rsidRPr="00D03A4F" w14:paraId="74969A82" w14:textId="77777777" w:rsidTr="00944CB1">
        <w:trPr>
          <w:jc w:val="center"/>
        </w:trPr>
        <w:tc>
          <w:tcPr>
            <w:tcW w:w="9506" w:type="dxa"/>
            <w:hideMark/>
          </w:tcPr>
          <w:p w14:paraId="68E65C2E"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Профессиональное образование.............................................................................</w:t>
            </w:r>
          </w:p>
        </w:tc>
        <w:tc>
          <w:tcPr>
            <w:tcW w:w="720" w:type="dxa"/>
            <w:vAlign w:val="bottom"/>
            <w:hideMark/>
          </w:tcPr>
          <w:p w14:paraId="686B39D5" w14:textId="619E10C0" w:rsidR="00D03A4F" w:rsidRPr="009E523E" w:rsidRDefault="007B4C21" w:rsidP="00441EC3">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441EC3">
              <w:rPr>
                <w:rFonts w:ascii="Times New Roman" w:eastAsia="Times New Roman" w:hAnsi="Times New Roman" w:cs="Times New Roman"/>
                <w:sz w:val="24"/>
                <w:szCs w:val="24"/>
                <w:lang w:eastAsia="ru-RU"/>
              </w:rPr>
              <w:t>5</w:t>
            </w:r>
          </w:p>
        </w:tc>
      </w:tr>
      <w:tr w:rsidR="00D03A4F" w:rsidRPr="00D03A4F" w14:paraId="163F45F6" w14:textId="77777777" w:rsidTr="00944CB1">
        <w:trPr>
          <w:jc w:val="center"/>
        </w:trPr>
        <w:tc>
          <w:tcPr>
            <w:tcW w:w="9506" w:type="dxa"/>
            <w:hideMark/>
          </w:tcPr>
          <w:p w14:paraId="50B27047"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Воспитание и развитие детей..................................................................................</w:t>
            </w:r>
          </w:p>
        </w:tc>
        <w:tc>
          <w:tcPr>
            <w:tcW w:w="720" w:type="dxa"/>
            <w:vAlign w:val="bottom"/>
            <w:hideMark/>
          </w:tcPr>
          <w:p w14:paraId="688A21CB" w14:textId="71617C03" w:rsidR="00D03A4F" w:rsidRPr="009E523E" w:rsidRDefault="007B4C21" w:rsidP="00441EC3">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441EC3">
              <w:rPr>
                <w:rFonts w:ascii="Times New Roman" w:eastAsia="Times New Roman" w:hAnsi="Times New Roman" w:cs="Times New Roman"/>
                <w:sz w:val="24"/>
                <w:szCs w:val="24"/>
                <w:lang w:eastAsia="ru-RU"/>
              </w:rPr>
              <w:t>6</w:t>
            </w:r>
          </w:p>
        </w:tc>
      </w:tr>
      <w:tr w:rsidR="00D03A4F" w:rsidRPr="00D03A4F" w14:paraId="2F7AD1A8" w14:textId="77777777" w:rsidTr="00944CB1">
        <w:trPr>
          <w:jc w:val="center"/>
        </w:trPr>
        <w:tc>
          <w:tcPr>
            <w:tcW w:w="9506" w:type="dxa"/>
            <w:hideMark/>
          </w:tcPr>
          <w:p w14:paraId="146BA059" w14:textId="77777777" w:rsidR="00D03A4F" w:rsidRPr="00D03A4F" w:rsidRDefault="00D03A4F" w:rsidP="00D03A4F">
            <w:pPr>
              <w:spacing w:before="60" w:after="60" w:line="240" w:lineRule="auto"/>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Обучение детей с ограниченными возможностями здоровья.............................</w:t>
            </w:r>
          </w:p>
        </w:tc>
        <w:tc>
          <w:tcPr>
            <w:tcW w:w="720" w:type="dxa"/>
            <w:vAlign w:val="bottom"/>
          </w:tcPr>
          <w:p w14:paraId="7FF32FB9" w14:textId="6D4BF2C9" w:rsidR="00D03A4F" w:rsidRPr="009E523E" w:rsidRDefault="009C05F9" w:rsidP="00441EC3">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41EC3">
              <w:rPr>
                <w:rFonts w:ascii="Times New Roman" w:eastAsia="Times New Roman" w:hAnsi="Times New Roman" w:cs="Times New Roman"/>
                <w:sz w:val="24"/>
                <w:szCs w:val="24"/>
                <w:lang w:eastAsia="ru-RU"/>
              </w:rPr>
              <w:t>49</w:t>
            </w:r>
          </w:p>
        </w:tc>
      </w:tr>
      <w:tr w:rsidR="00D03A4F" w:rsidRPr="00D03A4F" w14:paraId="6EF499BC" w14:textId="77777777" w:rsidTr="00944CB1">
        <w:trPr>
          <w:jc w:val="center"/>
        </w:trPr>
        <w:tc>
          <w:tcPr>
            <w:tcW w:w="9506" w:type="dxa"/>
            <w:hideMark/>
          </w:tcPr>
          <w:p w14:paraId="15C9E0D7"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Поддержка одаренных детей...................................................................................</w:t>
            </w:r>
          </w:p>
        </w:tc>
        <w:tc>
          <w:tcPr>
            <w:tcW w:w="720" w:type="dxa"/>
            <w:vAlign w:val="bottom"/>
            <w:hideMark/>
          </w:tcPr>
          <w:p w14:paraId="7CC36487" w14:textId="4DEFE0B2" w:rsidR="00D03A4F" w:rsidRPr="009E523E" w:rsidRDefault="007B4C21" w:rsidP="00441EC3">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441EC3">
              <w:rPr>
                <w:rFonts w:ascii="Times New Roman" w:eastAsia="Times New Roman" w:hAnsi="Times New Roman" w:cs="Times New Roman"/>
                <w:sz w:val="24"/>
                <w:szCs w:val="24"/>
                <w:lang w:eastAsia="ru-RU"/>
              </w:rPr>
              <w:t>6</w:t>
            </w:r>
          </w:p>
        </w:tc>
      </w:tr>
      <w:tr w:rsidR="00D03A4F" w:rsidRPr="00D03A4F" w14:paraId="51CF65FA" w14:textId="77777777" w:rsidTr="00944CB1">
        <w:trPr>
          <w:jc w:val="center"/>
        </w:trPr>
        <w:tc>
          <w:tcPr>
            <w:tcW w:w="9506" w:type="dxa"/>
            <w:hideMark/>
          </w:tcPr>
          <w:p w14:paraId="38BAA387"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Мероприятия, направленные на обеспечение информационной безопасности несовершеннолетних................................................................................................</w:t>
            </w:r>
          </w:p>
        </w:tc>
        <w:tc>
          <w:tcPr>
            <w:tcW w:w="720" w:type="dxa"/>
            <w:vAlign w:val="bottom"/>
            <w:hideMark/>
          </w:tcPr>
          <w:p w14:paraId="6B2050FA" w14:textId="417844A1" w:rsidR="00D03A4F" w:rsidRPr="009E523E" w:rsidRDefault="007B4C21" w:rsidP="00441EC3">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41EC3">
              <w:rPr>
                <w:rFonts w:ascii="Times New Roman" w:eastAsia="Times New Roman" w:hAnsi="Times New Roman" w:cs="Times New Roman"/>
                <w:sz w:val="24"/>
                <w:szCs w:val="24"/>
                <w:lang w:eastAsia="ru-RU"/>
              </w:rPr>
              <w:t>76</w:t>
            </w:r>
          </w:p>
        </w:tc>
      </w:tr>
      <w:tr w:rsidR="00D03A4F" w:rsidRPr="00D03A4F" w14:paraId="50C03914" w14:textId="77777777" w:rsidTr="00944CB1">
        <w:trPr>
          <w:jc w:val="center"/>
        </w:trPr>
        <w:tc>
          <w:tcPr>
            <w:tcW w:w="9506" w:type="dxa"/>
            <w:hideMark/>
          </w:tcPr>
          <w:p w14:paraId="1C881C09"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7. Развитие досуга детей и семей, имеющих детей</w:t>
            </w:r>
            <w:r w:rsidRPr="00D03A4F">
              <w:rPr>
                <w:rFonts w:ascii="Times New Roman" w:eastAsia="Times New Roman" w:hAnsi="Times New Roman" w:cs="Times New Roman"/>
                <w:sz w:val="28"/>
                <w:szCs w:val="28"/>
                <w:lang w:eastAsia="ru-RU"/>
              </w:rPr>
              <w:t>...........................................</w:t>
            </w:r>
          </w:p>
        </w:tc>
        <w:tc>
          <w:tcPr>
            <w:tcW w:w="720" w:type="dxa"/>
            <w:vAlign w:val="bottom"/>
            <w:hideMark/>
          </w:tcPr>
          <w:p w14:paraId="2CA8548C" w14:textId="60FB0D0F" w:rsidR="00D03A4F" w:rsidRPr="009E523E" w:rsidRDefault="009E21D7" w:rsidP="009C05F9">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41EC3">
              <w:rPr>
                <w:rFonts w:ascii="Times New Roman" w:eastAsia="Times New Roman" w:hAnsi="Times New Roman" w:cs="Times New Roman"/>
                <w:sz w:val="24"/>
                <w:szCs w:val="24"/>
                <w:lang w:eastAsia="ru-RU"/>
              </w:rPr>
              <w:t>92</w:t>
            </w:r>
          </w:p>
        </w:tc>
      </w:tr>
      <w:tr w:rsidR="00D03A4F" w:rsidRPr="00D03A4F" w14:paraId="3EF7999B" w14:textId="77777777" w:rsidTr="00944CB1">
        <w:trPr>
          <w:jc w:val="center"/>
        </w:trPr>
        <w:tc>
          <w:tcPr>
            <w:tcW w:w="9506" w:type="dxa"/>
            <w:hideMark/>
          </w:tcPr>
          <w:p w14:paraId="795A9346"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Организация культурного досуга детей и семей, имеющих детей......................</w:t>
            </w:r>
          </w:p>
        </w:tc>
        <w:tc>
          <w:tcPr>
            <w:tcW w:w="720" w:type="dxa"/>
            <w:vAlign w:val="bottom"/>
            <w:hideMark/>
          </w:tcPr>
          <w:p w14:paraId="22D0CA8F" w14:textId="5FF73BEC" w:rsidR="00D03A4F" w:rsidRPr="009E523E" w:rsidRDefault="009E21D7" w:rsidP="00441EC3">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C05F9">
              <w:rPr>
                <w:rFonts w:ascii="Times New Roman" w:eastAsia="Times New Roman" w:hAnsi="Times New Roman" w:cs="Times New Roman"/>
                <w:sz w:val="24"/>
                <w:szCs w:val="24"/>
                <w:lang w:eastAsia="ru-RU"/>
              </w:rPr>
              <w:t>9</w:t>
            </w:r>
            <w:r w:rsidR="00441EC3">
              <w:rPr>
                <w:rFonts w:ascii="Times New Roman" w:eastAsia="Times New Roman" w:hAnsi="Times New Roman" w:cs="Times New Roman"/>
                <w:sz w:val="24"/>
                <w:szCs w:val="24"/>
                <w:lang w:eastAsia="ru-RU"/>
              </w:rPr>
              <w:t>2</w:t>
            </w:r>
          </w:p>
        </w:tc>
      </w:tr>
      <w:tr w:rsidR="00D03A4F" w:rsidRPr="00D03A4F" w14:paraId="2EC3B0C0" w14:textId="77777777" w:rsidTr="00944CB1">
        <w:trPr>
          <w:jc w:val="center"/>
        </w:trPr>
        <w:tc>
          <w:tcPr>
            <w:tcW w:w="9506" w:type="dxa"/>
            <w:hideMark/>
          </w:tcPr>
          <w:p w14:paraId="3BCC97FD"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Развитие детского и семейного спорта, физической культуры и туризма.........</w:t>
            </w:r>
          </w:p>
        </w:tc>
        <w:tc>
          <w:tcPr>
            <w:tcW w:w="720" w:type="dxa"/>
            <w:vAlign w:val="bottom"/>
            <w:hideMark/>
          </w:tcPr>
          <w:p w14:paraId="32EFA618" w14:textId="0993FA89" w:rsidR="00D03A4F" w:rsidRPr="009E523E" w:rsidRDefault="009C05F9" w:rsidP="00441EC3">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441EC3">
              <w:rPr>
                <w:rFonts w:ascii="Times New Roman" w:eastAsia="Times New Roman" w:hAnsi="Times New Roman" w:cs="Times New Roman"/>
                <w:sz w:val="24"/>
                <w:szCs w:val="24"/>
                <w:lang w:eastAsia="ru-RU"/>
              </w:rPr>
              <w:t>0</w:t>
            </w:r>
          </w:p>
        </w:tc>
      </w:tr>
      <w:tr w:rsidR="00D03A4F" w:rsidRPr="00D03A4F" w14:paraId="60669B9C" w14:textId="77777777" w:rsidTr="00944CB1">
        <w:trPr>
          <w:jc w:val="center"/>
        </w:trPr>
        <w:tc>
          <w:tcPr>
            <w:tcW w:w="9506" w:type="dxa"/>
            <w:hideMark/>
          </w:tcPr>
          <w:p w14:paraId="24607AE9"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Организация отдыха и оздоровления детей...........................................................</w:t>
            </w:r>
          </w:p>
        </w:tc>
        <w:tc>
          <w:tcPr>
            <w:tcW w:w="720" w:type="dxa"/>
            <w:vAlign w:val="bottom"/>
            <w:hideMark/>
          </w:tcPr>
          <w:p w14:paraId="24580939" w14:textId="2D30B824" w:rsidR="00D03A4F" w:rsidRPr="009E523E" w:rsidRDefault="009E21D7" w:rsidP="00441EC3">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C05F9">
              <w:rPr>
                <w:rFonts w:ascii="Times New Roman" w:eastAsia="Times New Roman" w:hAnsi="Times New Roman" w:cs="Times New Roman"/>
                <w:sz w:val="24"/>
                <w:szCs w:val="24"/>
                <w:lang w:eastAsia="ru-RU"/>
              </w:rPr>
              <w:t>1</w:t>
            </w:r>
            <w:r w:rsidR="00441EC3">
              <w:rPr>
                <w:rFonts w:ascii="Times New Roman" w:eastAsia="Times New Roman" w:hAnsi="Times New Roman" w:cs="Times New Roman"/>
                <w:sz w:val="24"/>
                <w:szCs w:val="24"/>
                <w:lang w:eastAsia="ru-RU"/>
              </w:rPr>
              <w:t>2</w:t>
            </w:r>
          </w:p>
        </w:tc>
      </w:tr>
      <w:tr w:rsidR="00D03A4F" w:rsidRPr="00D03A4F" w14:paraId="5595A59E" w14:textId="77777777" w:rsidTr="00944CB1">
        <w:trPr>
          <w:jc w:val="center"/>
        </w:trPr>
        <w:tc>
          <w:tcPr>
            <w:tcW w:w="9506" w:type="dxa"/>
            <w:hideMark/>
          </w:tcPr>
          <w:p w14:paraId="5B6C8996"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8. Трудовая занятость подростков и родителей, имеющих детей</w:t>
            </w:r>
            <w:r w:rsidRPr="00D03A4F">
              <w:rPr>
                <w:rFonts w:ascii="Times New Roman" w:eastAsia="Times New Roman" w:hAnsi="Times New Roman" w:cs="Times New Roman"/>
                <w:sz w:val="28"/>
                <w:szCs w:val="28"/>
                <w:lang w:eastAsia="ru-RU"/>
              </w:rPr>
              <w:t>.................</w:t>
            </w:r>
          </w:p>
        </w:tc>
        <w:tc>
          <w:tcPr>
            <w:tcW w:w="720" w:type="dxa"/>
            <w:vAlign w:val="bottom"/>
          </w:tcPr>
          <w:p w14:paraId="6DE71821" w14:textId="5F8D7905" w:rsidR="00D03A4F" w:rsidRPr="009E523E" w:rsidRDefault="009E21D7" w:rsidP="00441EC3">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C05F9">
              <w:rPr>
                <w:rFonts w:ascii="Times New Roman" w:eastAsia="Times New Roman" w:hAnsi="Times New Roman" w:cs="Times New Roman"/>
                <w:sz w:val="24"/>
                <w:szCs w:val="24"/>
                <w:lang w:eastAsia="ru-RU"/>
              </w:rPr>
              <w:t>2</w:t>
            </w:r>
            <w:r w:rsidR="00441EC3">
              <w:rPr>
                <w:rFonts w:ascii="Times New Roman" w:eastAsia="Times New Roman" w:hAnsi="Times New Roman" w:cs="Times New Roman"/>
                <w:sz w:val="24"/>
                <w:szCs w:val="24"/>
                <w:lang w:eastAsia="ru-RU"/>
              </w:rPr>
              <w:t>4</w:t>
            </w:r>
          </w:p>
        </w:tc>
      </w:tr>
      <w:tr w:rsidR="00D03A4F" w:rsidRPr="00D03A4F" w14:paraId="14D08DF9" w14:textId="77777777" w:rsidTr="00944CB1">
        <w:trPr>
          <w:jc w:val="center"/>
        </w:trPr>
        <w:tc>
          <w:tcPr>
            <w:tcW w:w="9506" w:type="dxa"/>
            <w:hideMark/>
          </w:tcPr>
          <w:p w14:paraId="68FF9382"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tc>
        <w:tc>
          <w:tcPr>
            <w:tcW w:w="720" w:type="dxa"/>
            <w:vAlign w:val="bottom"/>
          </w:tcPr>
          <w:p w14:paraId="2FCADEC2" w14:textId="32BFBA02" w:rsidR="00D03A4F" w:rsidRPr="009E523E" w:rsidRDefault="009E21D7" w:rsidP="00441EC3">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C05F9">
              <w:rPr>
                <w:rFonts w:ascii="Times New Roman" w:eastAsia="Times New Roman" w:hAnsi="Times New Roman" w:cs="Times New Roman"/>
                <w:sz w:val="24"/>
                <w:szCs w:val="24"/>
                <w:lang w:eastAsia="ru-RU"/>
              </w:rPr>
              <w:t>2</w:t>
            </w:r>
            <w:r w:rsidR="00441EC3">
              <w:rPr>
                <w:rFonts w:ascii="Times New Roman" w:eastAsia="Times New Roman" w:hAnsi="Times New Roman" w:cs="Times New Roman"/>
                <w:sz w:val="24"/>
                <w:szCs w:val="24"/>
                <w:lang w:eastAsia="ru-RU"/>
              </w:rPr>
              <w:t>4</w:t>
            </w:r>
          </w:p>
        </w:tc>
      </w:tr>
      <w:tr w:rsidR="00D03A4F" w:rsidRPr="00D03A4F" w14:paraId="5608336C" w14:textId="77777777" w:rsidTr="00944CB1">
        <w:trPr>
          <w:jc w:val="center"/>
        </w:trPr>
        <w:tc>
          <w:tcPr>
            <w:tcW w:w="9506" w:type="dxa"/>
            <w:hideMark/>
          </w:tcPr>
          <w:p w14:paraId="1FE3469A"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tc>
        <w:tc>
          <w:tcPr>
            <w:tcW w:w="720" w:type="dxa"/>
            <w:vAlign w:val="bottom"/>
          </w:tcPr>
          <w:p w14:paraId="6D183DD0" w14:textId="09EA6C92" w:rsidR="00D03A4F" w:rsidRPr="009E523E" w:rsidRDefault="009E21D7" w:rsidP="00441EC3">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41EC3">
              <w:rPr>
                <w:rFonts w:ascii="Times New Roman" w:eastAsia="Times New Roman" w:hAnsi="Times New Roman" w:cs="Times New Roman"/>
                <w:sz w:val="24"/>
                <w:szCs w:val="24"/>
                <w:lang w:eastAsia="ru-RU"/>
              </w:rPr>
              <w:t>28</w:t>
            </w:r>
          </w:p>
        </w:tc>
      </w:tr>
      <w:tr w:rsidR="00D03A4F" w:rsidRPr="00D03A4F" w14:paraId="35016CFB" w14:textId="77777777" w:rsidTr="00944CB1">
        <w:trPr>
          <w:jc w:val="center"/>
        </w:trPr>
        <w:tc>
          <w:tcPr>
            <w:tcW w:w="9506" w:type="dxa"/>
            <w:hideMark/>
          </w:tcPr>
          <w:p w14:paraId="13A98E94" w14:textId="77777777" w:rsidR="00D03A4F" w:rsidRPr="00D03A4F" w:rsidRDefault="00D03A4F" w:rsidP="00D03A4F">
            <w:pPr>
              <w:spacing w:before="60" w:after="60" w:line="240" w:lineRule="auto"/>
              <w:rPr>
                <w:rFonts w:ascii="Times New Roman" w:eastAsia="Times New Roman" w:hAnsi="Times New Roman" w:cs="Times New Roman"/>
                <w:sz w:val="24"/>
                <w:szCs w:val="24"/>
                <w:lang w:eastAsia="ru-RU"/>
              </w:rPr>
            </w:pPr>
            <w:r w:rsidRPr="00D03A4F">
              <w:rPr>
                <w:rFonts w:ascii="Times New Roman" w:eastAsia="Times New Roman" w:hAnsi="Times New Roman" w:cs="Times New Roman"/>
                <w:sz w:val="28"/>
                <w:szCs w:val="28"/>
                <w:lang w:eastAsia="ru-RU"/>
              </w:rPr>
              <w:t>Дополнительное профессиональное образование, профессиональное обучение родителей с детьми дошкольного возраста, в том числе многодетных родителей и родителей, имеющих детей-инвалидов....................</w:t>
            </w:r>
          </w:p>
        </w:tc>
        <w:tc>
          <w:tcPr>
            <w:tcW w:w="720" w:type="dxa"/>
            <w:vAlign w:val="bottom"/>
          </w:tcPr>
          <w:p w14:paraId="6ACF7D29" w14:textId="09BABDC1" w:rsidR="00D03A4F" w:rsidRPr="009E523E" w:rsidRDefault="009E21D7" w:rsidP="00441EC3">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C05F9">
              <w:rPr>
                <w:rFonts w:ascii="Times New Roman" w:eastAsia="Times New Roman" w:hAnsi="Times New Roman" w:cs="Times New Roman"/>
                <w:sz w:val="24"/>
                <w:szCs w:val="24"/>
                <w:lang w:eastAsia="ru-RU"/>
              </w:rPr>
              <w:t>3</w:t>
            </w:r>
            <w:r w:rsidR="00441EC3">
              <w:rPr>
                <w:rFonts w:ascii="Times New Roman" w:eastAsia="Times New Roman" w:hAnsi="Times New Roman" w:cs="Times New Roman"/>
                <w:sz w:val="24"/>
                <w:szCs w:val="24"/>
                <w:lang w:eastAsia="ru-RU"/>
              </w:rPr>
              <w:t>3</w:t>
            </w:r>
          </w:p>
        </w:tc>
      </w:tr>
      <w:tr w:rsidR="00D03A4F" w:rsidRPr="00D03A4F" w14:paraId="1D577A5C" w14:textId="77777777" w:rsidTr="00944CB1">
        <w:trPr>
          <w:jc w:val="center"/>
        </w:trPr>
        <w:tc>
          <w:tcPr>
            <w:tcW w:w="9506" w:type="dxa"/>
            <w:hideMark/>
          </w:tcPr>
          <w:p w14:paraId="12BE9FFE"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lastRenderedPageBreak/>
              <w:t>Содействие совмещению родителями приносящей доход деятельности с выполнением семейных обязанностей, в том числе путем развития форм присмотра и ухода за детьми..................................................................................</w:t>
            </w:r>
          </w:p>
        </w:tc>
        <w:tc>
          <w:tcPr>
            <w:tcW w:w="720" w:type="dxa"/>
            <w:vAlign w:val="bottom"/>
          </w:tcPr>
          <w:p w14:paraId="360C9FB4" w14:textId="290DB09D" w:rsidR="00D03A4F" w:rsidRPr="009E523E" w:rsidRDefault="009E21D7" w:rsidP="00441EC3">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C05F9">
              <w:rPr>
                <w:rFonts w:ascii="Times New Roman" w:eastAsia="Times New Roman" w:hAnsi="Times New Roman" w:cs="Times New Roman"/>
                <w:sz w:val="24"/>
                <w:szCs w:val="24"/>
                <w:lang w:eastAsia="ru-RU"/>
              </w:rPr>
              <w:t>3</w:t>
            </w:r>
            <w:r w:rsidR="00441EC3">
              <w:rPr>
                <w:rFonts w:ascii="Times New Roman" w:eastAsia="Times New Roman" w:hAnsi="Times New Roman" w:cs="Times New Roman"/>
                <w:sz w:val="24"/>
                <w:szCs w:val="24"/>
                <w:lang w:eastAsia="ru-RU"/>
              </w:rPr>
              <w:t>4</w:t>
            </w:r>
          </w:p>
        </w:tc>
      </w:tr>
      <w:tr w:rsidR="00D03A4F" w:rsidRPr="00D03A4F" w14:paraId="21FDB753" w14:textId="77777777" w:rsidTr="00944CB1">
        <w:trPr>
          <w:jc w:val="center"/>
        </w:trPr>
        <w:tc>
          <w:tcPr>
            <w:tcW w:w="9506" w:type="dxa"/>
            <w:hideMark/>
          </w:tcPr>
          <w:p w14:paraId="3FFDD737"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9. Профилактика семейного неблагополучия, социального сиротства и</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b/>
                <w:sz w:val="28"/>
                <w:szCs w:val="28"/>
                <w:lang w:eastAsia="ru-RU"/>
              </w:rPr>
              <w:t>жестокого обращения с детьми</w:t>
            </w:r>
            <w:r w:rsidRPr="00D03A4F">
              <w:rPr>
                <w:rFonts w:ascii="Times New Roman" w:eastAsia="Times New Roman" w:hAnsi="Times New Roman" w:cs="Times New Roman"/>
                <w:sz w:val="28"/>
                <w:szCs w:val="28"/>
                <w:lang w:eastAsia="ru-RU"/>
              </w:rPr>
              <w:t>.........................................................................</w:t>
            </w:r>
          </w:p>
        </w:tc>
        <w:tc>
          <w:tcPr>
            <w:tcW w:w="720" w:type="dxa"/>
            <w:vAlign w:val="bottom"/>
          </w:tcPr>
          <w:p w14:paraId="083630E0" w14:textId="02EA4359" w:rsidR="00D03A4F" w:rsidRPr="009E523E" w:rsidRDefault="009E21D7" w:rsidP="00441EC3">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41EC3">
              <w:rPr>
                <w:rFonts w:ascii="Times New Roman" w:eastAsia="Times New Roman" w:hAnsi="Times New Roman" w:cs="Times New Roman"/>
                <w:sz w:val="24"/>
                <w:szCs w:val="24"/>
                <w:lang w:eastAsia="ru-RU"/>
              </w:rPr>
              <w:t>37</w:t>
            </w:r>
          </w:p>
        </w:tc>
      </w:tr>
      <w:tr w:rsidR="00D03A4F" w:rsidRPr="00D03A4F" w14:paraId="69F06A8C" w14:textId="77777777" w:rsidTr="00944CB1">
        <w:trPr>
          <w:jc w:val="center"/>
        </w:trPr>
        <w:tc>
          <w:tcPr>
            <w:tcW w:w="9506" w:type="dxa"/>
            <w:hideMark/>
          </w:tcPr>
          <w:p w14:paraId="1D6EBC9A"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Развитие системы социального обслуживания семьи и детей............................</w:t>
            </w:r>
          </w:p>
        </w:tc>
        <w:tc>
          <w:tcPr>
            <w:tcW w:w="720" w:type="dxa"/>
            <w:vAlign w:val="bottom"/>
            <w:hideMark/>
          </w:tcPr>
          <w:p w14:paraId="3C46246E" w14:textId="089F566F" w:rsidR="00D03A4F" w:rsidRPr="009E523E" w:rsidRDefault="009E21D7" w:rsidP="00441EC3">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41EC3">
              <w:rPr>
                <w:rFonts w:ascii="Times New Roman" w:eastAsia="Times New Roman" w:hAnsi="Times New Roman" w:cs="Times New Roman"/>
                <w:sz w:val="24"/>
                <w:szCs w:val="24"/>
                <w:lang w:eastAsia="ru-RU"/>
              </w:rPr>
              <w:t>37</w:t>
            </w:r>
          </w:p>
        </w:tc>
      </w:tr>
      <w:tr w:rsidR="00D03A4F" w:rsidRPr="00D03A4F" w14:paraId="2B7996A2" w14:textId="77777777" w:rsidTr="00944CB1">
        <w:trPr>
          <w:jc w:val="center"/>
        </w:trPr>
        <w:tc>
          <w:tcPr>
            <w:tcW w:w="9506" w:type="dxa"/>
            <w:hideMark/>
          </w:tcPr>
          <w:p w14:paraId="47346DDA"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Предоставление социальных услуг семьям, имеющим детей, и детям, в том числе находящимся в социально опасном положении.........................................</w:t>
            </w:r>
          </w:p>
        </w:tc>
        <w:tc>
          <w:tcPr>
            <w:tcW w:w="720" w:type="dxa"/>
            <w:vAlign w:val="bottom"/>
          </w:tcPr>
          <w:p w14:paraId="41671ABD" w14:textId="5FE4BE56" w:rsidR="00D03A4F" w:rsidRPr="009E523E" w:rsidRDefault="009E21D7" w:rsidP="00441EC3">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41EC3">
              <w:rPr>
                <w:rFonts w:ascii="Times New Roman" w:eastAsia="Times New Roman" w:hAnsi="Times New Roman" w:cs="Times New Roman"/>
                <w:sz w:val="24"/>
                <w:szCs w:val="24"/>
                <w:lang w:eastAsia="ru-RU"/>
              </w:rPr>
              <w:t>38</w:t>
            </w:r>
          </w:p>
        </w:tc>
      </w:tr>
      <w:tr w:rsidR="00D03A4F" w:rsidRPr="00D03A4F" w14:paraId="7C946ECE" w14:textId="77777777" w:rsidTr="00944CB1">
        <w:trPr>
          <w:jc w:val="center"/>
        </w:trPr>
        <w:tc>
          <w:tcPr>
            <w:tcW w:w="9506" w:type="dxa"/>
            <w:hideMark/>
          </w:tcPr>
          <w:p w14:paraId="729493C0"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Предоставление социальных услуг семьям, имеющим детей-инвалидов.........</w:t>
            </w:r>
          </w:p>
        </w:tc>
        <w:tc>
          <w:tcPr>
            <w:tcW w:w="720" w:type="dxa"/>
            <w:vAlign w:val="bottom"/>
          </w:tcPr>
          <w:p w14:paraId="48F510DB" w14:textId="320651EC" w:rsidR="00D03A4F" w:rsidRPr="009E523E" w:rsidRDefault="009E21D7" w:rsidP="00441EC3">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13524">
              <w:rPr>
                <w:rFonts w:ascii="Times New Roman" w:eastAsia="Times New Roman" w:hAnsi="Times New Roman" w:cs="Times New Roman"/>
                <w:sz w:val="24"/>
                <w:szCs w:val="24"/>
                <w:lang w:eastAsia="ru-RU"/>
              </w:rPr>
              <w:t>4</w:t>
            </w:r>
            <w:r w:rsidR="00441EC3">
              <w:rPr>
                <w:rFonts w:ascii="Times New Roman" w:eastAsia="Times New Roman" w:hAnsi="Times New Roman" w:cs="Times New Roman"/>
                <w:sz w:val="24"/>
                <w:szCs w:val="24"/>
                <w:lang w:eastAsia="ru-RU"/>
              </w:rPr>
              <w:t>3</w:t>
            </w:r>
          </w:p>
        </w:tc>
      </w:tr>
      <w:tr w:rsidR="00D03A4F" w:rsidRPr="00D03A4F" w14:paraId="187E7246" w14:textId="77777777" w:rsidTr="00944CB1">
        <w:trPr>
          <w:jc w:val="center"/>
        </w:trPr>
        <w:tc>
          <w:tcPr>
            <w:tcW w:w="9506" w:type="dxa"/>
            <w:hideMark/>
          </w:tcPr>
          <w:p w14:paraId="656BDF74"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Развитие социального патроната в отношении семей, находящихся в социально опасном положении..............................................................................</w:t>
            </w:r>
          </w:p>
        </w:tc>
        <w:tc>
          <w:tcPr>
            <w:tcW w:w="720" w:type="dxa"/>
            <w:vAlign w:val="bottom"/>
            <w:hideMark/>
          </w:tcPr>
          <w:p w14:paraId="7668407A" w14:textId="038DAD56" w:rsidR="00D03A4F" w:rsidRPr="009E523E" w:rsidRDefault="009E21D7" w:rsidP="00441EC3">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C05F9">
              <w:rPr>
                <w:rFonts w:ascii="Times New Roman" w:eastAsia="Times New Roman" w:hAnsi="Times New Roman" w:cs="Times New Roman"/>
                <w:sz w:val="24"/>
                <w:szCs w:val="24"/>
                <w:lang w:eastAsia="ru-RU"/>
              </w:rPr>
              <w:t>4</w:t>
            </w:r>
            <w:r w:rsidR="00441EC3">
              <w:rPr>
                <w:rFonts w:ascii="Times New Roman" w:eastAsia="Times New Roman" w:hAnsi="Times New Roman" w:cs="Times New Roman"/>
                <w:sz w:val="24"/>
                <w:szCs w:val="24"/>
                <w:lang w:eastAsia="ru-RU"/>
              </w:rPr>
              <w:t>4</w:t>
            </w:r>
          </w:p>
        </w:tc>
      </w:tr>
      <w:tr w:rsidR="00D03A4F" w:rsidRPr="00D03A4F" w14:paraId="02C45DC8" w14:textId="77777777" w:rsidTr="00944CB1">
        <w:trPr>
          <w:jc w:val="center"/>
        </w:trPr>
        <w:tc>
          <w:tcPr>
            <w:tcW w:w="9506" w:type="dxa"/>
            <w:hideMark/>
          </w:tcPr>
          <w:p w14:paraId="45F294E9"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Устройство детей-сирот, детей, оставшихся без попечения родителей, на воспитание в семьи..................................................................................................</w:t>
            </w:r>
          </w:p>
        </w:tc>
        <w:tc>
          <w:tcPr>
            <w:tcW w:w="720" w:type="dxa"/>
            <w:vAlign w:val="bottom"/>
          </w:tcPr>
          <w:p w14:paraId="0647924E" w14:textId="36D8AA11" w:rsidR="00D03A4F" w:rsidRPr="009E523E" w:rsidRDefault="009E21D7" w:rsidP="00441EC3">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C05F9">
              <w:rPr>
                <w:rFonts w:ascii="Times New Roman" w:eastAsia="Times New Roman" w:hAnsi="Times New Roman" w:cs="Times New Roman"/>
                <w:sz w:val="24"/>
                <w:szCs w:val="24"/>
                <w:lang w:eastAsia="ru-RU"/>
              </w:rPr>
              <w:t>4</w:t>
            </w:r>
            <w:r w:rsidR="00441EC3">
              <w:rPr>
                <w:rFonts w:ascii="Times New Roman" w:eastAsia="Times New Roman" w:hAnsi="Times New Roman" w:cs="Times New Roman"/>
                <w:sz w:val="24"/>
                <w:szCs w:val="24"/>
                <w:lang w:eastAsia="ru-RU"/>
              </w:rPr>
              <w:t>5</w:t>
            </w:r>
          </w:p>
        </w:tc>
      </w:tr>
      <w:tr w:rsidR="00D03A4F" w:rsidRPr="00D03A4F" w14:paraId="5A72EC46" w14:textId="77777777" w:rsidTr="00944CB1">
        <w:trPr>
          <w:jc w:val="center"/>
        </w:trPr>
        <w:tc>
          <w:tcPr>
            <w:tcW w:w="9506" w:type="dxa"/>
            <w:hideMark/>
          </w:tcPr>
          <w:p w14:paraId="424E71E9"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Устройство детей в организации для детей-сирот и детей, оставшихся без попечения родителей...............................................................................................</w:t>
            </w:r>
          </w:p>
        </w:tc>
        <w:tc>
          <w:tcPr>
            <w:tcW w:w="720" w:type="dxa"/>
            <w:vAlign w:val="bottom"/>
          </w:tcPr>
          <w:p w14:paraId="5674D096" w14:textId="13607F07" w:rsidR="00D03A4F" w:rsidRPr="009E523E" w:rsidRDefault="009E21D7" w:rsidP="00441EC3">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41EC3">
              <w:rPr>
                <w:rFonts w:ascii="Times New Roman" w:eastAsia="Times New Roman" w:hAnsi="Times New Roman" w:cs="Times New Roman"/>
                <w:sz w:val="24"/>
                <w:szCs w:val="24"/>
                <w:lang w:eastAsia="ru-RU"/>
              </w:rPr>
              <w:t>46</w:t>
            </w:r>
          </w:p>
        </w:tc>
      </w:tr>
      <w:tr w:rsidR="00D03A4F" w:rsidRPr="00D03A4F" w14:paraId="68764EC0" w14:textId="77777777" w:rsidTr="00944CB1">
        <w:trPr>
          <w:jc w:val="center"/>
        </w:trPr>
        <w:tc>
          <w:tcPr>
            <w:tcW w:w="9506" w:type="dxa"/>
            <w:hideMark/>
          </w:tcPr>
          <w:p w14:paraId="05DF14D9"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Деятельность органов внутренних дел по профилактике семейного неблагополучия и жестокого обращения с детьми...............................................</w:t>
            </w:r>
          </w:p>
        </w:tc>
        <w:tc>
          <w:tcPr>
            <w:tcW w:w="720" w:type="dxa"/>
            <w:vAlign w:val="bottom"/>
          </w:tcPr>
          <w:p w14:paraId="5A2F6D05" w14:textId="2E555106" w:rsidR="00D03A4F" w:rsidRPr="009E523E" w:rsidRDefault="009E21D7" w:rsidP="00441EC3">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41EC3">
              <w:rPr>
                <w:rFonts w:ascii="Times New Roman" w:eastAsia="Times New Roman" w:hAnsi="Times New Roman" w:cs="Times New Roman"/>
                <w:sz w:val="24"/>
                <w:szCs w:val="24"/>
                <w:lang w:eastAsia="ru-RU"/>
              </w:rPr>
              <w:t>48</w:t>
            </w:r>
          </w:p>
        </w:tc>
      </w:tr>
      <w:tr w:rsidR="00D03A4F" w:rsidRPr="00D03A4F" w14:paraId="6533F492" w14:textId="77777777" w:rsidTr="00944CB1">
        <w:trPr>
          <w:jc w:val="center"/>
        </w:trPr>
        <w:tc>
          <w:tcPr>
            <w:tcW w:w="9506" w:type="dxa"/>
          </w:tcPr>
          <w:p w14:paraId="1DB81835"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Деятельность органов опеки и попечительства, органов, осуществляющих управление в сфере образования, здравоохранения, социальной защиты населения, и органов по делам молодежи по профилактике семейного неблагополучия и жестокого обращения с детьми..............................................</w:t>
            </w:r>
          </w:p>
        </w:tc>
        <w:tc>
          <w:tcPr>
            <w:tcW w:w="720" w:type="dxa"/>
            <w:vAlign w:val="bottom"/>
          </w:tcPr>
          <w:p w14:paraId="3A8577C8" w14:textId="77777777" w:rsidR="00D03A4F" w:rsidRPr="009E523E" w:rsidRDefault="00D03A4F" w:rsidP="00D03A4F">
            <w:pPr>
              <w:spacing w:before="60" w:after="60" w:line="240" w:lineRule="auto"/>
              <w:jc w:val="center"/>
              <w:rPr>
                <w:rFonts w:ascii="Times New Roman" w:eastAsia="Times New Roman" w:hAnsi="Times New Roman" w:cs="Times New Roman"/>
                <w:sz w:val="24"/>
                <w:szCs w:val="24"/>
                <w:lang w:eastAsia="ru-RU"/>
              </w:rPr>
            </w:pPr>
          </w:p>
          <w:p w14:paraId="2D50F4EC" w14:textId="77777777" w:rsidR="00D03A4F" w:rsidRPr="009E523E" w:rsidRDefault="00D03A4F" w:rsidP="00D03A4F">
            <w:pPr>
              <w:spacing w:before="60" w:after="60" w:line="240" w:lineRule="auto"/>
              <w:jc w:val="center"/>
              <w:rPr>
                <w:rFonts w:ascii="Times New Roman" w:eastAsia="Times New Roman" w:hAnsi="Times New Roman" w:cs="Times New Roman"/>
                <w:sz w:val="24"/>
                <w:szCs w:val="24"/>
                <w:lang w:eastAsia="ru-RU"/>
              </w:rPr>
            </w:pPr>
          </w:p>
          <w:p w14:paraId="15D0BD3B" w14:textId="77777777" w:rsidR="00D03A4F" w:rsidRPr="009E523E" w:rsidRDefault="00D03A4F" w:rsidP="00D03A4F">
            <w:pPr>
              <w:spacing w:before="60" w:after="60" w:line="240" w:lineRule="auto"/>
              <w:jc w:val="center"/>
              <w:rPr>
                <w:rFonts w:ascii="Times New Roman" w:eastAsia="Times New Roman" w:hAnsi="Times New Roman" w:cs="Times New Roman"/>
                <w:sz w:val="24"/>
                <w:szCs w:val="24"/>
                <w:lang w:eastAsia="ru-RU"/>
              </w:rPr>
            </w:pPr>
          </w:p>
          <w:p w14:paraId="03F83C75" w14:textId="46C8E551" w:rsidR="00D03A4F" w:rsidRPr="009E523E" w:rsidRDefault="009E21D7" w:rsidP="00441EC3">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C05F9">
              <w:rPr>
                <w:rFonts w:ascii="Times New Roman" w:eastAsia="Times New Roman" w:hAnsi="Times New Roman" w:cs="Times New Roman"/>
                <w:sz w:val="24"/>
                <w:szCs w:val="24"/>
                <w:lang w:eastAsia="ru-RU"/>
              </w:rPr>
              <w:t>6</w:t>
            </w:r>
            <w:r w:rsidR="00441EC3">
              <w:rPr>
                <w:rFonts w:ascii="Times New Roman" w:eastAsia="Times New Roman" w:hAnsi="Times New Roman" w:cs="Times New Roman"/>
                <w:sz w:val="24"/>
                <w:szCs w:val="24"/>
                <w:lang w:eastAsia="ru-RU"/>
              </w:rPr>
              <w:t>3</w:t>
            </w:r>
          </w:p>
        </w:tc>
      </w:tr>
      <w:tr w:rsidR="00D03A4F" w:rsidRPr="00D03A4F" w14:paraId="781956FC" w14:textId="77777777" w:rsidTr="003B261A">
        <w:trPr>
          <w:jc w:val="center"/>
        </w:trPr>
        <w:tc>
          <w:tcPr>
            <w:tcW w:w="9506" w:type="dxa"/>
            <w:hideMark/>
          </w:tcPr>
          <w:p w14:paraId="153A7B5B"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Деятельность комиссий по делам несовершеннолетних и защите их прав.......</w:t>
            </w:r>
          </w:p>
        </w:tc>
        <w:tc>
          <w:tcPr>
            <w:tcW w:w="720" w:type="dxa"/>
            <w:vAlign w:val="bottom"/>
          </w:tcPr>
          <w:p w14:paraId="7F9AFE43" w14:textId="66BF8CCE" w:rsidR="00D03A4F" w:rsidRPr="009E523E" w:rsidRDefault="009E21D7" w:rsidP="00441EC3">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41EC3">
              <w:rPr>
                <w:rFonts w:ascii="Times New Roman" w:eastAsia="Times New Roman" w:hAnsi="Times New Roman" w:cs="Times New Roman"/>
                <w:sz w:val="24"/>
                <w:szCs w:val="24"/>
                <w:lang w:eastAsia="ru-RU"/>
              </w:rPr>
              <w:t>67</w:t>
            </w:r>
          </w:p>
        </w:tc>
      </w:tr>
      <w:tr w:rsidR="00D03A4F" w:rsidRPr="00D03A4F" w14:paraId="6615A196" w14:textId="77777777" w:rsidTr="00944CB1">
        <w:trPr>
          <w:jc w:val="center"/>
        </w:trPr>
        <w:tc>
          <w:tcPr>
            <w:tcW w:w="9506" w:type="dxa"/>
            <w:hideMark/>
          </w:tcPr>
          <w:p w14:paraId="7F2AEB1E" w14:textId="77777777" w:rsidR="00D03A4F" w:rsidRPr="00D03A4F" w:rsidRDefault="00D03A4F" w:rsidP="00D03A4F">
            <w:pPr>
              <w:autoSpaceDE w:val="0"/>
              <w:autoSpaceDN w:val="0"/>
              <w:adjustRightInd w:val="0"/>
              <w:spacing w:before="60" w:after="60" w:line="240" w:lineRule="auto"/>
              <w:outlineLvl w:val="0"/>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10. Укрепление института семьи, духовно-нравственных традиций семейных отношений</w:t>
            </w:r>
            <w:r w:rsidRPr="00D03A4F">
              <w:rPr>
                <w:rFonts w:ascii="Times New Roman" w:eastAsia="Times New Roman" w:hAnsi="Times New Roman" w:cs="Times New Roman"/>
                <w:sz w:val="28"/>
                <w:szCs w:val="28"/>
                <w:lang w:eastAsia="ru-RU"/>
              </w:rPr>
              <w:t>............................................................................................</w:t>
            </w:r>
          </w:p>
        </w:tc>
        <w:tc>
          <w:tcPr>
            <w:tcW w:w="720" w:type="dxa"/>
            <w:vAlign w:val="bottom"/>
          </w:tcPr>
          <w:p w14:paraId="2C8ADB8E" w14:textId="079FC2E5" w:rsidR="00D03A4F" w:rsidRPr="009E523E" w:rsidRDefault="009E21D7" w:rsidP="00441EC3">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C05F9">
              <w:rPr>
                <w:rFonts w:ascii="Times New Roman" w:eastAsia="Times New Roman" w:hAnsi="Times New Roman" w:cs="Times New Roman"/>
                <w:sz w:val="24"/>
                <w:szCs w:val="24"/>
                <w:lang w:eastAsia="ru-RU"/>
              </w:rPr>
              <w:t>7</w:t>
            </w:r>
            <w:r w:rsidR="00441EC3">
              <w:rPr>
                <w:rFonts w:ascii="Times New Roman" w:eastAsia="Times New Roman" w:hAnsi="Times New Roman" w:cs="Times New Roman"/>
                <w:sz w:val="24"/>
                <w:szCs w:val="24"/>
                <w:lang w:eastAsia="ru-RU"/>
              </w:rPr>
              <w:t>2</w:t>
            </w:r>
          </w:p>
        </w:tc>
      </w:tr>
      <w:tr w:rsidR="00D03A4F" w:rsidRPr="00D03A4F" w14:paraId="3F3FCD95" w14:textId="77777777" w:rsidTr="00944CB1">
        <w:trPr>
          <w:jc w:val="center"/>
        </w:trPr>
        <w:tc>
          <w:tcPr>
            <w:tcW w:w="9506" w:type="dxa"/>
            <w:hideMark/>
          </w:tcPr>
          <w:p w14:paraId="66E4F0E0"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11. Профилактика безнадзорности и правонарушений несовершеннолетних и в отношении несовершеннолетних</w:t>
            </w:r>
            <w:r w:rsidRPr="00D03A4F">
              <w:rPr>
                <w:rFonts w:ascii="Times New Roman" w:eastAsia="Times New Roman" w:hAnsi="Times New Roman" w:cs="Times New Roman"/>
                <w:sz w:val="28"/>
                <w:szCs w:val="28"/>
                <w:lang w:eastAsia="ru-RU"/>
              </w:rPr>
              <w:t>..........................</w:t>
            </w:r>
          </w:p>
        </w:tc>
        <w:tc>
          <w:tcPr>
            <w:tcW w:w="720" w:type="dxa"/>
            <w:vAlign w:val="bottom"/>
          </w:tcPr>
          <w:p w14:paraId="77F9A51A" w14:textId="23456EBE" w:rsidR="00D03A4F" w:rsidRPr="009E523E" w:rsidRDefault="009E21D7" w:rsidP="00441EC3">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611F7">
              <w:rPr>
                <w:rFonts w:ascii="Times New Roman" w:eastAsia="Times New Roman" w:hAnsi="Times New Roman" w:cs="Times New Roman"/>
                <w:sz w:val="24"/>
                <w:szCs w:val="24"/>
                <w:lang w:eastAsia="ru-RU"/>
              </w:rPr>
              <w:t>7</w:t>
            </w:r>
            <w:r w:rsidR="00441EC3">
              <w:rPr>
                <w:rFonts w:ascii="Times New Roman" w:eastAsia="Times New Roman" w:hAnsi="Times New Roman" w:cs="Times New Roman"/>
                <w:sz w:val="24"/>
                <w:szCs w:val="24"/>
                <w:lang w:eastAsia="ru-RU"/>
              </w:rPr>
              <w:t>6</w:t>
            </w:r>
          </w:p>
        </w:tc>
      </w:tr>
      <w:tr w:rsidR="00D03A4F" w:rsidRPr="00D03A4F" w14:paraId="726B0816" w14:textId="77777777" w:rsidTr="00944CB1">
        <w:trPr>
          <w:jc w:val="center"/>
        </w:trPr>
        <w:tc>
          <w:tcPr>
            <w:tcW w:w="9506" w:type="dxa"/>
            <w:hideMark/>
          </w:tcPr>
          <w:p w14:paraId="0DBE9FC7"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 xml:space="preserve">12. Положение несовершеннолетних, находящихся в специальных учебно-воспитательных учреждениях для обучающихся с </w:t>
            </w:r>
            <w:proofErr w:type="spellStart"/>
            <w:r w:rsidRPr="00D03A4F">
              <w:rPr>
                <w:rFonts w:ascii="Times New Roman" w:eastAsia="Times New Roman" w:hAnsi="Times New Roman" w:cs="Times New Roman"/>
                <w:b/>
                <w:sz w:val="28"/>
                <w:szCs w:val="28"/>
                <w:lang w:eastAsia="ru-RU"/>
              </w:rPr>
              <w:t>девиантным</w:t>
            </w:r>
            <w:proofErr w:type="spellEnd"/>
            <w:r w:rsidRPr="00D03A4F">
              <w:rPr>
                <w:rFonts w:ascii="Times New Roman" w:eastAsia="Times New Roman" w:hAnsi="Times New Roman" w:cs="Times New Roman"/>
                <w:b/>
                <w:sz w:val="28"/>
                <w:szCs w:val="28"/>
                <w:lang w:eastAsia="ru-RU"/>
              </w:rPr>
              <w:t xml:space="preserve"> (общественно опасным) поведением</w:t>
            </w:r>
            <w:r w:rsidRPr="00D03A4F">
              <w:rPr>
                <w:rFonts w:ascii="Times New Roman" w:eastAsia="Times New Roman" w:hAnsi="Times New Roman" w:cs="Times New Roman"/>
                <w:sz w:val="28"/>
                <w:szCs w:val="28"/>
                <w:lang w:eastAsia="ru-RU"/>
              </w:rPr>
              <w:t>..................................................................</w:t>
            </w:r>
          </w:p>
        </w:tc>
        <w:tc>
          <w:tcPr>
            <w:tcW w:w="720" w:type="dxa"/>
            <w:vAlign w:val="bottom"/>
          </w:tcPr>
          <w:p w14:paraId="6504562E" w14:textId="1E083B23" w:rsidR="00D03A4F" w:rsidRPr="009E523E" w:rsidRDefault="009E21D7" w:rsidP="00441EC3">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C05F9">
              <w:rPr>
                <w:rFonts w:ascii="Times New Roman" w:eastAsia="Times New Roman" w:hAnsi="Times New Roman" w:cs="Times New Roman"/>
                <w:sz w:val="24"/>
                <w:szCs w:val="24"/>
                <w:lang w:eastAsia="ru-RU"/>
              </w:rPr>
              <w:t>2</w:t>
            </w:r>
            <w:r w:rsidR="00441EC3">
              <w:rPr>
                <w:rFonts w:ascii="Times New Roman" w:eastAsia="Times New Roman" w:hAnsi="Times New Roman" w:cs="Times New Roman"/>
                <w:sz w:val="24"/>
                <w:szCs w:val="24"/>
                <w:lang w:eastAsia="ru-RU"/>
              </w:rPr>
              <w:t>2</w:t>
            </w:r>
          </w:p>
        </w:tc>
      </w:tr>
      <w:tr w:rsidR="00D03A4F" w:rsidRPr="00D03A4F" w14:paraId="67B19194" w14:textId="77777777" w:rsidTr="00944CB1">
        <w:trPr>
          <w:jc w:val="center"/>
        </w:trPr>
        <w:tc>
          <w:tcPr>
            <w:tcW w:w="9506" w:type="dxa"/>
            <w:hideMark/>
          </w:tcPr>
          <w:p w14:paraId="0F222AFB"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13. Положение несовершеннолетних, отбывающих наказание в воспитательных колониях</w:t>
            </w:r>
            <w:r w:rsidRPr="00D03A4F">
              <w:rPr>
                <w:rFonts w:ascii="Times New Roman" w:eastAsia="Times New Roman" w:hAnsi="Times New Roman" w:cs="Times New Roman"/>
                <w:sz w:val="28"/>
                <w:szCs w:val="28"/>
                <w:lang w:eastAsia="ru-RU"/>
              </w:rPr>
              <w:t>...................................................................................</w:t>
            </w:r>
          </w:p>
        </w:tc>
        <w:tc>
          <w:tcPr>
            <w:tcW w:w="720" w:type="dxa"/>
            <w:vAlign w:val="bottom"/>
          </w:tcPr>
          <w:p w14:paraId="2CD7A3BF" w14:textId="48BB18C4" w:rsidR="00D03A4F" w:rsidRPr="009E523E" w:rsidRDefault="009E21D7" w:rsidP="00441EC3">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C05F9">
              <w:rPr>
                <w:rFonts w:ascii="Times New Roman" w:eastAsia="Times New Roman" w:hAnsi="Times New Roman" w:cs="Times New Roman"/>
                <w:sz w:val="24"/>
                <w:szCs w:val="24"/>
                <w:lang w:eastAsia="ru-RU"/>
              </w:rPr>
              <w:t>3</w:t>
            </w:r>
            <w:r w:rsidR="00441EC3">
              <w:rPr>
                <w:rFonts w:ascii="Times New Roman" w:eastAsia="Times New Roman" w:hAnsi="Times New Roman" w:cs="Times New Roman"/>
                <w:sz w:val="24"/>
                <w:szCs w:val="24"/>
                <w:lang w:eastAsia="ru-RU"/>
              </w:rPr>
              <w:t>4</w:t>
            </w:r>
          </w:p>
        </w:tc>
      </w:tr>
      <w:tr w:rsidR="00D03A4F" w:rsidRPr="00D03A4F" w14:paraId="6134D9CD" w14:textId="77777777" w:rsidTr="00944CB1">
        <w:trPr>
          <w:jc w:val="center"/>
        </w:trPr>
        <w:tc>
          <w:tcPr>
            <w:tcW w:w="9506" w:type="dxa"/>
            <w:hideMark/>
          </w:tcPr>
          <w:p w14:paraId="222AC7A3"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lastRenderedPageBreak/>
              <w:t>14. Консолидированный бюджет в интересах детей</w:t>
            </w:r>
            <w:r w:rsidRPr="00D03A4F">
              <w:rPr>
                <w:rFonts w:ascii="Times New Roman" w:eastAsia="Times New Roman" w:hAnsi="Times New Roman" w:cs="Times New Roman"/>
                <w:sz w:val="28"/>
                <w:szCs w:val="28"/>
                <w:lang w:eastAsia="ru-RU"/>
              </w:rPr>
              <w:t>.......................................</w:t>
            </w:r>
          </w:p>
        </w:tc>
        <w:tc>
          <w:tcPr>
            <w:tcW w:w="720" w:type="dxa"/>
            <w:vAlign w:val="bottom"/>
          </w:tcPr>
          <w:p w14:paraId="5E398F21" w14:textId="5F2E9F0D" w:rsidR="00D03A4F" w:rsidRPr="009E523E" w:rsidRDefault="009E21D7" w:rsidP="00441EC3">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13524">
              <w:rPr>
                <w:rFonts w:ascii="Times New Roman" w:eastAsia="Times New Roman" w:hAnsi="Times New Roman" w:cs="Times New Roman"/>
                <w:sz w:val="24"/>
                <w:szCs w:val="24"/>
                <w:lang w:eastAsia="ru-RU"/>
              </w:rPr>
              <w:t>4</w:t>
            </w:r>
            <w:r w:rsidR="00441EC3">
              <w:rPr>
                <w:rFonts w:ascii="Times New Roman" w:eastAsia="Times New Roman" w:hAnsi="Times New Roman" w:cs="Times New Roman"/>
                <w:sz w:val="24"/>
                <w:szCs w:val="24"/>
                <w:lang w:eastAsia="ru-RU"/>
              </w:rPr>
              <w:t>2</w:t>
            </w:r>
          </w:p>
        </w:tc>
      </w:tr>
      <w:tr w:rsidR="00D03A4F" w:rsidRPr="00D03A4F" w14:paraId="4D575EBC" w14:textId="77777777" w:rsidTr="00944CB1">
        <w:trPr>
          <w:jc w:val="center"/>
        </w:trPr>
        <w:tc>
          <w:tcPr>
            <w:tcW w:w="9506" w:type="dxa"/>
            <w:hideMark/>
          </w:tcPr>
          <w:p w14:paraId="43946E21" w14:textId="77777777" w:rsidR="00D03A4F" w:rsidRPr="00D03A4F" w:rsidRDefault="00D03A4F" w:rsidP="00D03A4F">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b/>
                <w:sz w:val="28"/>
                <w:szCs w:val="28"/>
                <w:lang w:eastAsia="ru-RU"/>
              </w:rPr>
              <w:t>Заключение</w:t>
            </w:r>
            <w:r w:rsidRPr="00D03A4F">
              <w:rPr>
                <w:rFonts w:ascii="Times New Roman" w:eastAsia="Times New Roman" w:hAnsi="Times New Roman" w:cs="Times New Roman"/>
                <w:sz w:val="28"/>
                <w:szCs w:val="28"/>
                <w:lang w:eastAsia="ru-RU"/>
              </w:rPr>
              <w:t>.............................................................................................................</w:t>
            </w:r>
          </w:p>
        </w:tc>
        <w:tc>
          <w:tcPr>
            <w:tcW w:w="720" w:type="dxa"/>
            <w:vAlign w:val="bottom"/>
            <w:hideMark/>
          </w:tcPr>
          <w:p w14:paraId="3051CDF8" w14:textId="69389F73" w:rsidR="00D03A4F" w:rsidRPr="009E523E" w:rsidRDefault="009E21D7" w:rsidP="00441EC3">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D01A3">
              <w:rPr>
                <w:rFonts w:ascii="Times New Roman" w:eastAsia="Times New Roman" w:hAnsi="Times New Roman" w:cs="Times New Roman"/>
                <w:sz w:val="24"/>
                <w:szCs w:val="24"/>
                <w:lang w:eastAsia="ru-RU"/>
              </w:rPr>
              <w:t>4</w:t>
            </w:r>
            <w:r w:rsidR="00441EC3">
              <w:rPr>
                <w:rFonts w:ascii="Times New Roman" w:eastAsia="Times New Roman" w:hAnsi="Times New Roman" w:cs="Times New Roman"/>
                <w:sz w:val="24"/>
                <w:szCs w:val="24"/>
                <w:lang w:eastAsia="ru-RU"/>
              </w:rPr>
              <w:t>4</w:t>
            </w:r>
          </w:p>
        </w:tc>
      </w:tr>
      <w:tr w:rsidR="00D03A4F" w:rsidRPr="00D03A4F" w14:paraId="2E58228E" w14:textId="77777777" w:rsidTr="00944CB1">
        <w:trPr>
          <w:jc w:val="center"/>
        </w:trPr>
        <w:tc>
          <w:tcPr>
            <w:tcW w:w="9506" w:type="dxa"/>
            <w:hideMark/>
          </w:tcPr>
          <w:p w14:paraId="2BDA429E" w14:textId="77777777" w:rsidR="00D03A4F" w:rsidRPr="00D03A4F" w:rsidRDefault="00D03A4F" w:rsidP="00D03A4F">
            <w:pPr>
              <w:spacing w:before="60" w:after="60" w:line="240" w:lineRule="auto"/>
              <w:rPr>
                <w:rFonts w:ascii="Times New Roman" w:eastAsia="Times New Roman" w:hAnsi="Times New Roman" w:cs="Times New Roman"/>
                <w:b/>
                <w:sz w:val="24"/>
                <w:szCs w:val="28"/>
                <w:lang w:eastAsia="ru-RU"/>
              </w:rPr>
            </w:pPr>
            <w:r w:rsidRPr="00D03A4F">
              <w:rPr>
                <w:rFonts w:ascii="Times New Roman" w:eastAsia="Times New Roman" w:hAnsi="Times New Roman" w:cs="Times New Roman"/>
                <w:b/>
                <w:sz w:val="28"/>
                <w:szCs w:val="28"/>
                <w:lang w:eastAsia="ru-RU"/>
              </w:rPr>
              <w:t>Приложение 1</w:t>
            </w:r>
          </w:p>
        </w:tc>
        <w:tc>
          <w:tcPr>
            <w:tcW w:w="720" w:type="dxa"/>
            <w:vAlign w:val="bottom"/>
            <w:hideMark/>
          </w:tcPr>
          <w:p w14:paraId="6F3A6596" w14:textId="77777777" w:rsidR="00D03A4F" w:rsidRPr="009E523E" w:rsidRDefault="00D03A4F" w:rsidP="00D03A4F">
            <w:pPr>
              <w:spacing w:before="60" w:after="60" w:line="240" w:lineRule="auto"/>
              <w:jc w:val="center"/>
              <w:rPr>
                <w:rFonts w:ascii="Times New Roman" w:eastAsia="Times New Roman" w:hAnsi="Times New Roman" w:cs="Times New Roman"/>
                <w:sz w:val="24"/>
                <w:szCs w:val="24"/>
                <w:lang w:eastAsia="ru-RU"/>
              </w:rPr>
            </w:pPr>
          </w:p>
        </w:tc>
      </w:tr>
      <w:tr w:rsidR="00D03A4F" w:rsidRPr="00D03A4F" w14:paraId="57A7573B" w14:textId="77777777" w:rsidTr="00944CB1">
        <w:trPr>
          <w:jc w:val="center"/>
        </w:trPr>
        <w:tc>
          <w:tcPr>
            <w:tcW w:w="9506" w:type="dxa"/>
            <w:hideMark/>
          </w:tcPr>
          <w:p w14:paraId="06326D31" w14:textId="77777777" w:rsidR="00D03A4F" w:rsidRPr="00D03A4F" w:rsidRDefault="00D03A4F" w:rsidP="007D7ED6">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Перечень основных нормативно-правовых актов по вопросам семьи и детей, принятых в 20</w:t>
            </w:r>
            <w:r w:rsidR="00004E37">
              <w:rPr>
                <w:rFonts w:ascii="Times New Roman" w:eastAsia="Times New Roman" w:hAnsi="Times New Roman" w:cs="Times New Roman"/>
                <w:sz w:val="28"/>
                <w:szCs w:val="28"/>
                <w:lang w:eastAsia="ru-RU"/>
              </w:rPr>
              <w:t>2</w:t>
            </w:r>
            <w:r w:rsidR="007D7ED6">
              <w:rPr>
                <w:rFonts w:ascii="Times New Roman" w:eastAsia="Times New Roman" w:hAnsi="Times New Roman" w:cs="Times New Roman"/>
                <w:sz w:val="28"/>
                <w:szCs w:val="28"/>
                <w:lang w:eastAsia="ru-RU"/>
              </w:rPr>
              <w:t>1</w:t>
            </w:r>
            <w:r w:rsidRPr="00D03A4F">
              <w:rPr>
                <w:rFonts w:ascii="Times New Roman" w:eastAsia="Times New Roman" w:hAnsi="Times New Roman" w:cs="Times New Roman"/>
                <w:sz w:val="28"/>
                <w:szCs w:val="28"/>
                <w:lang w:eastAsia="ru-RU"/>
              </w:rPr>
              <w:t> году..............................................................................................</w:t>
            </w:r>
          </w:p>
        </w:tc>
        <w:tc>
          <w:tcPr>
            <w:tcW w:w="720" w:type="dxa"/>
            <w:vAlign w:val="bottom"/>
          </w:tcPr>
          <w:p w14:paraId="5793AED7" w14:textId="7A18DF45" w:rsidR="00D03A4F" w:rsidRPr="009E523E" w:rsidRDefault="009E21D7" w:rsidP="00441EC3">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41EC3">
              <w:rPr>
                <w:rFonts w:ascii="Times New Roman" w:eastAsia="Times New Roman" w:hAnsi="Times New Roman" w:cs="Times New Roman"/>
                <w:sz w:val="24"/>
                <w:szCs w:val="24"/>
                <w:lang w:eastAsia="ru-RU"/>
              </w:rPr>
              <w:t>46</w:t>
            </w:r>
          </w:p>
        </w:tc>
      </w:tr>
      <w:tr w:rsidR="00D03A4F" w:rsidRPr="00D03A4F" w14:paraId="01EC9CB2" w14:textId="77777777" w:rsidTr="00944CB1">
        <w:trPr>
          <w:jc w:val="center"/>
        </w:trPr>
        <w:tc>
          <w:tcPr>
            <w:tcW w:w="9506" w:type="dxa"/>
            <w:hideMark/>
          </w:tcPr>
          <w:p w14:paraId="49CA4634" w14:textId="77777777" w:rsidR="00D03A4F" w:rsidRPr="00D03A4F" w:rsidRDefault="00D03A4F" w:rsidP="00D03A4F">
            <w:pPr>
              <w:spacing w:before="60" w:after="60" w:line="240" w:lineRule="auto"/>
              <w:rPr>
                <w:rFonts w:ascii="Times New Roman" w:eastAsia="Times New Roman" w:hAnsi="Times New Roman" w:cs="Times New Roman"/>
                <w:b/>
                <w:sz w:val="24"/>
                <w:szCs w:val="28"/>
                <w:lang w:eastAsia="ru-RU"/>
              </w:rPr>
            </w:pPr>
            <w:r w:rsidRPr="00D03A4F">
              <w:rPr>
                <w:rFonts w:ascii="Times New Roman" w:eastAsia="Times New Roman" w:hAnsi="Times New Roman" w:cs="Times New Roman"/>
                <w:b/>
                <w:sz w:val="28"/>
                <w:szCs w:val="28"/>
                <w:lang w:eastAsia="ru-RU"/>
              </w:rPr>
              <w:t>Приложение 2</w:t>
            </w:r>
          </w:p>
        </w:tc>
        <w:tc>
          <w:tcPr>
            <w:tcW w:w="720" w:type="dxa"/>
            <w:vAlign w:val="bottom"/>
            <w:hideMark/>
          </w:tcPr>
          <w:p w14:paraId="6FF41593" w14:textId="77777777" w:rsidR="00D03A4F" w:rsidRPr="009E523E" w:rsidRDefault="00D03A4F" w:rsidP="00D03A4F">
            <w:pPr>
              <w:spacing w:before="60" w:after="60" w:line="240" w:lineRule="auto"/>
              <w:jc w:val="center"/>
              <w:rPr>
                <w:rFonts w:ascii="Times New Roman" w:eastAsia="Times New Roman" w:hAnsi="Times New Roman" w:cs="Times New Roman"/>
                <w:sz w:val="24"/>
                <w:szCs w:val="24"/>
                <w:lang w:eastAsia="ru-RU"/>
              </w:rPr>
            </w:pPr>
          </w:p>
        </w:tc>
      </w:tr>
      <w:tr w:rsidR="00D03A4F" w:rsidRPr="00D03A4F" w14:paraId="72E0E576" w14:textId="77777777" w:rsidTr="00944CB1">
        <w:trPr>
          <w:jc w:val="center"/>
        </w:trPr>
        <w:tc>
          <w:tcPr>
            <w:tcW w:w="9506" w:type="dxa"/>
            <w:hideMark/>
          </w:tcPr>
          <w:p w14:paraId="6D44088A" w14:textId="77777777" w:rsidR="00D03A4F" w:rsidRPr="00D03A4F" w:rsidRDefault="00D03A4F" w:rsidP="007D7ED6">
            <w:pPr>
              <w:spacing w:before="60" w:after="60" w:line="240" w:lineRule="auto"/>
              <w:rPr>
                <w:rFonts w:ascii="Times New Roman" w:eastAsia="Times New Roman" w:hAnsi="Times New Roman" w:cs="Times New Roman"/>
                <w:sz w:val="24"/>
                <w:szCs w:val="28"/>
                <w:lang w:eastAsia="ru-RU"/>
              </w:rPr>
            </w:pPr>
            <w:r w:rsidRPr="00D03A4F">
              <w:rPr>
                <w:rFonts w:ascii="Times New Roman" w:eastAsia="Times New Roman" w:hAnsi="Times New Roman" w:cs="Times New Roman"/>
                <w:sz w:val="28"/>
                <w:szCs w:val="28"/>
                <w:lang w:eastAsia="ru-RU"/>
              </w:rPr>
              <w:t>Статистические данные, характеризующие положение детей и семей, имеющих детей, в Российской Федерации в 20</w:t>
            </w:r>
            <w:r w:rsidR="00004E37">
              <w:rPr>
                <w:rFonts w:ascii="Times New Roman" w:eastAsia="Times New Roman" w:hAnsi="Times New Roman" w:cs="Times New Roman"/>
                <w:sz w:val="28"/>
                <w:szCs w:val="28"/>
                <w:lang w:eastAsia="ru-RU"/>
              </w:rPr>
              <w:t>2</w:t>
            </w:r>
            <w:r w:rsidR="007D7ED6">
              <w:rPr>
                <w:rFonts w:ascii="Times New Roman" w:eastAsia="Times New Roman" w:hAnsi="Times New Roman" w:cs="Times New Roman"/>
                <w:sz w:val="28"/>
                <w:szCs w:val="28"/>
                <w:lang w:eastAsia="ru-RU"/>
              </w:rPr>
              <w:t>1</w:t>
            </w:r>
            <w:r w:rsidRPr="00D03A4F">
              <w:rPr>
                <w:rFonts w:ascii="Times New Roman" w:eastAsia="Times New Roman" w:hAnsi="Times New Roman" w:cs="Times New Roman"/>
                <w:sz w:val="28"/>
                <w:szCs w:val="28"/>
                <w:lang w:eastAsia="ru-RU"/>
              </w:rPr>
              <w:t xml:space="preserve"> году.......................................</w:t>
            </w:r>
          </w:p>
        </w:tc>
        <w:tc>
          <w:tcPr>
            <w:tcW w:w="720" w:type="dxa"/>
            <w:vAlign w:val="bottom"/>
          </w:tcPr>
          <w:p w14:paraId="660898F5" w14:textId="05ED8C13" w:rsidR="00D03A4F" w:rsidRPr="009E523E" w:rsidRDefault="009E21D7" w:rsidP="00441EC3">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C05F9">
              <w:rPr>
                <w:rFonts w:ascii="Times New Roman" w:eastAsia="Times New Roman" w:hAnsi="Times New Roman" w:cs="Times New Roman"/>
                <w:sz w:val="24"/>
                <w:szCs w:val="24"/>
                <w:lang w:eastAsia="ru-RU"/>
              </w:rPr>
              <w:t>6</w:t>
            </w:r>
            <w:r w:rsidR="00441EC3">
              <w:rPr>
                <w:rFonts w:ascii="Times New Roman" w:eastAsia="Times New Roman" w:hAnsi="Times New Roman" w:cs="Times New Roman"/>
                <w:sz w:val="24"/>
                <w:szCs w:val="24"/>
                <w:lang w:eastAsia="ru-RU"/>
              </w:rPr>
              <w:t>3</w:t>
            </w:r>
          </w:p>
        </w:tc>
      </w:tr>
    </w:tbl>
    <w:p w14:paraId="38CFE6BD" w14:textId="77777777"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14:paraId="1AD3B8B4" w14:textId="77777777" w:rsidR="00944CB1" w:rsidRDefault="00944CB1" w:rsidP="00D03A4F">
      <w:pPr>
        <w:spacing w:after="0"/>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47619547" w14:textId="77777777"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lastRenderedPageBreak/>
        <w:t>ВВЕДЕНИЕ</w:t>
      </w:r>
    </w:p>
    <w:p w14:paraId="05A88E00" w14:textId="77777777" w:rsidR="00D03A4F" w:rsidRDefault="00D03A4F" w:rsidP="00D03A4F">
      <w:pPr>
        <w:spacing w:after="0"/>
        <w:ind w:firstLine="709"/>
        <w:jc w:val="both"/>
        <w:rPr>
          <w:rFonts w:ascii="Times New Roman" w:eastAsia="Times New Roman" w:hAnsi="Times New Roman" w:cs="Times New Roman"/>
          <w:b/>
          <w:sz w:val="28"/>
          <w:szCs w:val="28"/>
          <w:lang w:eastAsia="ru-RU"/>
        </w:rPr>
      </w:pPr>
    </w:p>
    <w:p w14:paraId="2E5C5B3C" w14:textId="77777777" w:rsidR="002C2A63" w:rsidRDefault="002C2A63" w:rsidP="00D03A4F">
      <w:pPr>
        <w:spacing w:after="0" w:line="312" w:lineRule="auto"/>
        <w:ind w:firstLine="72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2021 г</w:t>
      </w:r>
      <w:r w:rsidR="00B377D5">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продолжалась реализация основных документов стратегического планирования, в том числе непосредственно влияющих на положение детей, а также работа по совершенствованию законодательства Российской Федерации в сфере защиты прав и интересов семей и детей.</w:t>
      </w:r>
    </w:p>
    <w:p w14:paraId="2824E058" w14:textId="77777777" w:rsidR="00371752" w:rsidRDefault="00A3625F" w:rsidP="00371752">
      <w:pPr>
        <w:spacing w:after="0" w:line="312" w:lineRule="auto"/>
        <w:ind w:firstLine="72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Во исполнение Указа Президента Российской Федерации от 29 мая 2017 г. </w:t>
      </w:r>
      <w:r>
        <w:rPr>
          <w:rFonts w:ascii="Times New Roman" w:eastAsia="Calibri" w:hAnsi="Times New Roman" w:cs="Times New Roman"/>
          <w:sz w:val="28"/>
          <w:szCs w:val="28"/>
          <w:lang w:eastAsia="ru-RU"/>
        </w:rPr>
        <w:br/>
        <w:t xml:space="preserve">№ 240 «Об объявлении в Российской Федерации Десятилетия детства» с учетом достигнутых в 2018-2020 </w:t>
      </w:r>
      <w:r w:rsidR="00B377D5">
        <w:rPr>
          <w:rFonts w:ascii="Times New Roman" w:eastAsia="Calibri" w:hAnsi="Times New Roman" w:cs="Times New Roman"/>
          <w:sz w:val="28"/>
          <w:szCs w:val="28"/>
          <w:lang w:eastAsia="ru-RU"/>
        </w:rPr>
        <w:t>гг.</w:t>
      </w:r>
      <w:r>
        <w:rPr>
          <w:rFonts w:ascii="Times New Roman" w:eastAsia="Calibri" w:hAnsi="Times New Roman" w:cs="Times New Roman"/>
          <w:sz w:val="28"/>
          <w:szCs w:val="28"/>
          <w:lang w:eastAsia="ru-RU"/>
        </w:rPr>
        <w:t xml:space="preserve"> результатов началась реализация плана основных мероприятий, проводимых в рамках Десятилетия детства, на период до 2027 г</w:t>
      </w:r>
      <w:r w:rsidR="00B377D5">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утвержденного распоряжением Правительства Российской Федерации от 23 января 2021 г. № 122-р (далее – план основных мероприятий, проводимых в рамках Десятилетия детства, на период до 2027 г</w:t>
      </w:r>
      <w:r w:rsidR="00B377D5">
        <w:rPr>
          <w:rFonts w:ascii="Times New Roman" w:eastAsia="Calibri" w:hAnsi="Times New Roman" w:cs="Times New Roman"/>
          <w:sz w:val="28"/>
          <w:szCs w:val="28"/>
          <w:lang w:eastAsia="ru-RU"/>
        </w:rPr>
        <w:t>.</w:t>
      </w:r>
      <w:r w:rsidR="00371752">
        <w:rPr>
          <w:rFonts w:ascii="Times New Roman" w:eastAsia="Calibri" w:hAnsi="Times New Roman" w:cs="Times New Roman"/>
          <w:sz w:val="28"/>
          <w:szCs w:val="28"/>
          <w:lang w:eastAsia="ru-RU"/>
        </w:rPr>
        <w:t>).</w:t>
      </w:r>
    </w:p>
    <w:p w14:paraId="29BF57C0" w14:textId="2C1489DB" w:rsidR="00482C49" w:rsidRDefault="00A3625F" w:rsidP="002B23E1">
      <w:pPr>
        <w:spacing w:after="0" w:line="312" w:lineRule="auto"/>
        <w:ind w:firstLine="72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На новом этапе деятельность государственных органов федерального и регионального уровней, общественных организаций будет ориентирована на укрепление и охрану здоровья детей, создание благоприятных условий для гармоничного развития детей, повышение качества и доступности медицинской помощи; обеспечение материального и семейного благополучия, снижение негативного влияния бедности на качество жизни детей; воспитание гармонично развитой и социально ответственной личности; формирование и развитие благоприятной среды для полноценного образования, воспитания и развития различных категорий детей; </w:t>
      </w:r>
      <w:r w:rsidR="00482C49">
        <w:rPr>
          <w:rFonts w:ascii="Times New Roman" w:eastAsia="Calibri" w:hAnsi="Times New Roman" w:cs="Times New Roman"/>
          <w:sz w:val="28"/>
          <w:szCs w:val="28"/>
          <w:lang w:eastAsia="ru-RU"/>
        </w:rPr>
        <w:t>обеспечение социализации детей, оставшихся без попечения родителей; включение в активную жизнь общества детей</w:t>
      </w:r>
      <w:r w:rsidR="003A5DEC">
        <w:rPr>
          <w:rFonts w:ascii="Times New Roman" w:eastAsia="Calibri" w:hAnsi="Times New Roman" w:cs="Times New Roman"/>
          <w:sz w:val="28"/>
          <w:szCs w:val="28"/>
          <w:lang w:eastAsia="ru-RU"/>
        </w:rPr>
        <w:t xml:space="preserve"> с </w:t>
      </w:r>
      <w:r w:rsidR="00482C49">
        <w:rPr>
          <w:rFonts w:ascii="Times New Roman" w:eastAsia="Calibri" w:hAnsi="Times New Roman" w:cs="Times New Roman"/>
          <w:sz w:val="28"/>
          <w:szCs w:val="28"/>
          <w:lang w:eastAsia="ru-RU"/>
        </w:rPr>
        <w:t>инвалид</w:t>
      </w:r>
      <w:r w:rsidR="003A5DEC">
        <w:rPr>
          <w:rFonts w:ascii="Times New Roman" w:eastAsia="Calibri" w:hAnsi="Times New Roman" w:cs="Times New Roman"/>
          <w:sz w:val="28"/>
          <w:szCs w:val="28"/>
          <w:lang w:eastAsia="ru-RU"/>
        </w:rPr>
        <w:t>ностью</w:t>
      </w:r>
      <w:r w:rsidR="00482C49">
        <w:rPr>
          <w:rFonts w:ascii="Times New Roman" w:eastAsia="Calibri" w:hAnsi="Times New Roman" w:cs="Times New Roman"/>
          <w:sz w:val="28"/>
          <w:szCs w:val="28"/>
          <w:lang w:eastAsia="ru-RU"/>
        </w:rPr>
        <w:t xml:space="preserve"> и детей с ограниченными возможностями здоровья; обеспечение комплексной безопасности детей.</w:t>
      </w:r>
    </w:p>
    <w:p w14:paraId="2C963B0A" w14:textId="3D8083BC" w:rsidR="002C2A63" w:rsidRDefault="002C2A63" w:rsidP="00AB4FF6">
      <w:pPr>
        <w:spacing w:after="0" w:line="312" w:lineRule="auto"/>
        <w:ind w:firstLine="72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Расширена система мер социальной поддержки: с 1 июля 2021 г</w:t>
      </w:r>
      <w:r w:rsidR="00B377D5">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введены ежемесячные пособия беременным женщинам, вставшим на учет в ранние сроки беременности, и на детей в воз</w:t>
      </w:r>
      <w:r>
        <w:rPr>
          <w:rFonts w:ascii="Times New Roman" w:eastAsia="Calibri" w:hAnsi="Times New Roman" w:cs="Times New Roman"/>
          <w:sz w:val="28"/>
          <w:szCs w:val="28"/>
          <w:lang w:eastAsia="ru-RU"/>
        </w:rPr>
        <w:lastRenderedPageBreak/>
        <w:t xml:space="preserve">расте от 8 до 17 лет, воспитываемых </w:t>
      </w:r>
      <w:r w:rsidR="00443BAB">
        <w:rPr>
          <w:rFonts w:ascii="Times New Roman" w:eastAsia="Calibri" w:hAnsi="Times New Roman" w:cs="Times New Roman"/>
          <w:sz w:val="28"/>
          <w:szCs w:val="28"/>
          <w:lang w:eastAsia="ru-RU"/>
        </w:rPr>
        <w:t xml:space="preserve">одинокими </w:t>
      </w:r>
      <w:r>
        <w:rPr>
          <w:rFonts w:ascii="Times New Roman" w:eastAsia="Calibri" w:hAnsi="Times New Roman" w:cs="Times New Roman"/>
          <w:sz w:val="28"/>
          <w:szCs w:val="28"/>
          <w:lang w:eastAsia="ru-RU"/>
        </w:rPr>
        <w:t>родителями, ежемесячная выплата на детей в возрасте от 3 до 7 лет включительно, введенная с 1 января 2020 г</w:t>
      </w:r>
      <w:r w:rsidR="00B377D5">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стала предоставляться в дифференцированном размере</w:t>
      </w:r>
      <w:r w:rsidR="00A3625F">
        <w:rPr>
          <w:rFonts w:ascii="Times New Roman" w:eastAsia="Calibri" w:hAnsi="Times New Roman" w:cs="Times New Roman"/>
          <w:sz w:val="28"/>
          <w:szCs w:val="28"/>
          <w:lang w:eastAsia="ru-RU"/>
        </w:rPr>
        <w:t xml:space="preserve"> в зависимости от уровня доходов семьи. С учетом аналогичных условий и порядка предоставления выплат беременным женщинам и на детей в возрасте от 3 до 17 лет постепенно </w:t>
      </w:r>
      <w:r w:rsidR="005A68C9">
        <w:rPr>
          <w:rFonts w:ascii="Times New Roman" w:eastAsia="Calibri" w:hAnsi="Times New Roman" w:cs="Times New Roman"/>
          <w:sz w:val="28"/>
          <w:szCs w:val="28"/>
          <w:lang w:eastAsia="ru-RU"/>
        </w:rPr>
        <w:t xml:space="preserve">начала </w:t>
      </w:r>
      <w:r w:rsidR="00A3625F">
        <w:rPr>
          <w:rFonts w:ascii="Times New Roman" w:eastAsia="Calibri" w:hAnsi="Times New Roman" w:cs="Times New Roman"/>
          <w:sz w:val="28"/>
          <w:szCs w:val="28"/>
          <w:lang w:eastAsia="ru-RU"/>
        </w:rPr>
        <w:t>выстр</w:t>
      </w:r>
      <w:r w:rsidR="005A68C9">
        <w:rPr>
          <w:rFonts w:ascii="Times New Roman" w:eastAsia="Calibri" w:hAnsi="Times New Roman" w:cs="Times New Roman"/>
          <w:sz w:val="28"/>
          <w:szCs w:val="28"/>
          <w:lang w:eastAsia="ru-RU"/>
        </w:rPr>
        <w:t xml:space="preserve">аиваться </w:t>
      </w:r>
      <w:r w:rsidR="00A3625F">
        <w:rPr>
          <w:rFonts w:ascii="Times New Roman" w:eastAsia="Calibri" w:hAnsi="Times New Roman" w:cs="Times New Roman"/>
          <w:sz w:val="28"/>
          <w:szCs w:val="28"/>
          <w:lang w:eastAsia="ru-RU"/>
        </w:rPr>
        <w:t>целостная система мер социальной поддержки</w:t>
      </w:r>
      <w:r w:rsidR="00443BAB">
        <w:rPr>
          <w:rFonts w:ascii="Times New Roman" w:eastAsia="Calibri" w:hAnsi="Times New Roman" w:cs="Times New Roman"/>
          <w:sz w:val="28"/>
          <w:szCs w:val="28"/>
          <w:lang w:eastAsia="ru-RU"/>
        </w:rPr>
        <w:t xml:space="preserve"> семей с детьми от момента наступления беременности до достижения ребенком возраста 17 лет</w:t>
      </w:r>
      <w:r w:rsidR="00A3625F">
        <w:rPr>
          <w:rFonts w:ascii="Times New Roman" w:eastAsia="Calibri" w:hAnsi="Times New Roman" w:cs="Times New Roman"/>
          <w:sz w:val="28"/>
          <w:szCs w:val="28"/>
          <w:lang w:eastAsia="ru-RU"/>
        </w:rPr>
        <w:t>.</w:t>
      </w:r>
      <w:r w:rsidR="00AB4FF6">
        <w:rPr>
          <w:rFonts w:ascii="Times New Roman" w:eastAsia="Calibri" w:hAnsi="Times New Roman" w:cs="Times New Roman"/>
          <w:sz w:val="28"/>
          <w:szCs w:val="28"/>
          <w:lang w:eastAsia="ru-RU"/>
        </w:rPr>
        <w:t xml:space="preserve"> Кроме того, продолжалась работа по переходу на принципы «Социального казначейства», когда меры социальной поддержки предоставляются гражданам в </w:t>
      </w:r>
      <w:proofErr w:type="spellStart"/>
      <w:r w:rsidR="00AB4FF6">
        <w:rPr>
          <w:rFonts w:ascii="Times New Roman" w:eastAsia="Calibri" w:hAnsi="Times New Roman" w:cs="Times New Roman"/>
          <w:sz w:val="28"/>
          <w:szCs w:val="28"/>
          <w:lang w:eastAsia="ru-RU"/>
        </w:rPr>
        <w:t>проактивном</w:t>
      </w:r>
      <w:proofErr w:type="spellEnd"/>
      <w:r w:rsidR="00AB4FF6">
        <w:rPr>
          <w:rFonts w:ascii="Times New Roman" w:eastAsia="Calibri" w:hAnsi="Times New Roman" w:cs="Times New Roman"/>
          <w:sz w:val="28"/>
          <w:szCs w:val="28"/>
          <w:lang w:eastAsia="ru-RU"/>
        </w:rPr>
        <w:t xml:space="preserve"> формате в связи с наступлением «жизненного события» или на основании одного заявления.</w:t>
      </w:r>
    </w:p>
    <w:p w14:paraId="1A63C3C1" w14:textId="77777777" w:rsidR="00371752" w:rsidRDefault="00371752" w:rsidP="00371752">
      <w:pPr>
        <w:spacing w:after="0" w:line="312" w:lineRule="auto"/>
        <w:ind w:firstLine="720"/>
        <w:contextualSpacing/>
        <w:jc w:val="both"/>
        <w:rPr>
          <w:rFonts w:ascii="Times New Roman" w:eastAsia="Calibri" w:hAnsi="Times New Roman" w:cs="Times New Roman"/>
          <w:sz w:val="28"/>
          <w:szCs w:val="28"/>
          <w:lang w:eastAsia="ru-RU"/>
        </w:rPr>
      </w:pPr>
      <w:r w:rsidRPr="008541F4">
        <w:rPr>
          <w:rFonts w:ascii="Times New Roman" w:eastAsia="Times New Roman" w:hAnsi="Times New Roman" w:cs="Times New Roman"/>
          <w:color w:val="000000"/>
          <w:sz w:val="28"/>
          <w:szCs w:val="28"/>
          <w:lang w:eastAsia="ru-RU" w:bidi="ru-RU"/>
        </w:rPr>
        <w:t>В целях совершенствования в трудовом законодательстве гибких форм занятости, применения информационно-коммуникационных технологий в трудовых отношениях</w:t>
      </w:r>
      <w:r>
        <w:rPr>
          <w:rFonts w:ascii="Times New Roman" w:eastAsia="Calibri" w:hAnsi="Times New Roman" w:cs="Times New Roman"/>
          <w:sz w:val="28"/>
          <w:szCs w:val="28"/>
          <w:lang w:eastAsia="ru-RU"/>
        </w:rPr>
        <w:t xml:space="preserve"> с 1 января 2021 г</w:t>
      </w:r>
      <w:r w:rsidR="00B377D5">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вступил в силу </w:t>
      </w:r>
      <w:r w:rsidR="00FC296D">
        <w:rPr>
          <w:rFonts w:ascii="Times New Roman" w:eastAsia="Calibri" w:hAnsi="Times New Roman" w:cs="Times New Roman"/>
          <w:sz w:val="28"/>
          <w:szCs w:val="28"/>
          <w:lang w:eastAsia="ru-RU"/>
        </w:rPr>
        <w:t>Ф</w:t>
      </w:r>
      <w:r>
        <w:rPr>
          <w:rFonts w:ascii="Times New Roman" w:eastAsia="Calibri" w:hAnsi="Times New Roman" w:cs="Times New Roman"/>
          <w:sz w:val="28"/>
          <w:szCs w:val="28"/>
          <w:lang w:eastAsia="ru-RU"/>
        </w:rPr>
        <w:t>едеральный закон, расширяющий возможности организации дистанционной работы.</w:t>
      </w:r>
    </w:p>
    <w:p w14:paraId="005983C8" w14:textId="77777777" w:rsidR="002B23E1" w:rsidRDefault="00863054" w:rsidP="00D03A4F">
      <w:pPr>
        <w:spacing w:after="0" w:line="312" w:lineRule="auto"/>
        <w:ind w:firstLine="720"/>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Н</w:t>
      </w:r>
      <w:r w:rsidR="002B23E1">
        <w:rPr>
          <w:rFonts w:ascii="Times New Roman" w:eastAsia="Calibri" w:hAnsi="Times New Roman" w:cs="Times New Roman"/>
          <w:sz w:val="28"/>
          <w:szCs w:val="28"/>
          <w:lang w:eastAsia="ru-RU"/>
        </w:rPr>
        <w:t xml:space="preserve">аблюдается положительная динамика </w:t>
      </w:r>
      <w:r w:rsidRPr="00207819">
        <w:rPr>
          <w:rFonts w:ascii="Times New Roman" w:eastAsia="Times New Roman" w:hAnsi="Times New Roman" w:cs="Times New Roman"/>
          <w:sz w:val="28"/>
          <w:szCs w:val="28"/>
          <w:lang w:eastAsia="ru-RU"/>
        </w:rPr>
        <w:t>по количеству общеобразовательных организаций, в которых были созданы условия для питания обучающихся</w:t>
      </w:r>
      <w:r>
        <w:rPr>
          <w:rFonts w:ascii="Times New Roman" w:eastAsia="Times New Roman" w:hAnsi="Times New Roman" w:cs="Times New Roman"/>
          <w:sz w:val="28"/>
          <w:szCs w:val="28"/>
          <w:lang w:eastAsia="ru-RU"/>
        </w:rPr>
        <w:t>, снижается частота выявленных нарушений санитарного законодательства.</w:t>
      </w:r>
    </w:p>
    <w:p w14:paraId="052139C5" w14:textId="77777777" w:rsidR="00863054" w:rsidRDefault="00863054" w:rsidP="00D03A4F">
      <w:pPr>
        <w:spacing w:after="0" w:line="312" w:lineRule="auto"/>
        <w:ind w:firstLine="720"/>
        <w:contextualSpacing/>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Несмотря на сохранявшиеся ограничения, связанные с распространением новой коронавирусной инфекции, увеличилось число детей и взрослых, вовлекаемых в занятия физической культур</w:t>
      </w:r>
      <w:r w:rsidR="00371752">
        <w:rPr>
          <w:rFonts w:ascii="Times New Roman" w:eastAsia="Times New Roman" w:hAnsi="Times New Roman" w:cs="Times New Roman"/>
          <w:sz w:val="28"/>
          <w:szCs w:val="28"/>
          <w:lang w:eastAsia="ru-RU"/>
        </w:rPr>
        <w:t>ой и спортом</w:t>
      </w:r>
      <w:r>
        <w:rPr>
          <w:rFonts w:ascii="Times New Roman" w:eastAsia="Times New Roman" w:hAnsi="Times New Roman" w:cs="Times New Roman"/>
          <w:sz w:val="28"/>
          <w:szCs w:val="28"/>
          <w:lang w:eastAsia="ru-RU"/>
        </w:rPr>
        <w:t>.</w:t>
      </w:r>
    </w:p>
    <w:p w14:paraId="66B1F130" w14:textId="77777777" w:rsidR="002B23E1" w:rsidRDefault="002B23E1" w:rsidP="00D03A4F">
      <w:pPr>
        <w:spacing w:after="0" w:line="312" w:lineRule="auto"/>
        <w:ind w:firstLine="72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Несмотря на принимаемые на протяжении последних лет меры по улучшению положения детей и семей, имеющих детей, в ряде сфер по-прежнему не в полной мере решены актуальные проблемы.</w:t>
      </w:r>
    </w:p>
    <w:p w14:paraId="537EB69C" w14:textId="2D738863" w:rsidR="002B23E1" w:rsidRDefault="002B23E1" w:rsidP="00D03A4F">
      <w:pPr>
        <w:spacing w:after="0" w:line="312" w:lineRule="auto"/>
        <w:ind w:firstLine="72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Так, сохраняется проблема обеспечения детей-сирот и детей, оставшихся без попечения родителей, жилыми помещениями, </w:t>
      </w:r>
      <w:r>
        <w:rPr>
          <w:rFonts w:ascii="Times New Roman" w:eastAsia="Calibri" w:hAnsi="Times New Roman" w:cs="Times New Roman"/>
          <w:sz w:val="28"/>
          <w:szCs w:val="28"/>
          <w:lang w:eastAsia="ru-RU"/>
        </w:rPr>
        <w:lastRenderedPageBreak/>
        <w:t>а также с охватом дошкольным образова</w:t>
      </w:r>
      <w:r w:rsidR="005C635F">
        <w:rPr>
          <w:rFonts w:ascii="Times New Roman" w:eastAsia="Calibri" w:hAnsi="Times New Roman" w:cs="Times New Roman"/>
          <w:sz w:val="28"/>
          <w:szCs w:val="28"/>
          <w:lang w:eastAsia="ru-RU"/>
        </w:rPr>
        <w:t>нием детей в возрасте до 3 лет.</w:t>
      </w:r>
    </w:p>
    <w:p w14:paraId="3F304F25" w14:textId="77777777" w:rsidR="00D03A4F" w:rsidRPr="00D03A4F" w:rsidRDefault="00D03A4F" w:rsidP="00D03A4F">
      <w:pPr>
        <w:spacing w:after="0" w:line="312" w:lineRule="auto"/>
        <w:ind w:firstLine="720"/>
        <w:contextualSpacing/>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В настоящем докладе содержится анализ основных аспектов государственной политики в отношении детей и семей, имеющих детей, за 20</w:t>
      </w:r>
      <w:r w:rsidR="00004E37">
        <w:rPr>
          <w:rFonts w:ascii="Times New Roman" w:eastAsia="Calibri" w:hAnsi="Times New Roman" w:cs="Times New Roman"/>
          <w:sz w:val="28"/>
          <w:szCs w:val="28"/>
          <w:lang w:eastAsia="ru-RU"/>
        </w:rPr>
        <w:t xml:space="preserve">20 </w:t>
      </w:r>
      <w:r w:rsidRPr="00D03A4F">
        <w:rPr>
          <w:rFonts w:ascii="Times New Roman" w:eastAsia="Calibri" w:hAnsi="Times New Roman" w:cs="Times New Roman"/>
          <w:sz w:val="28"/>
          <w:szCs w:val="28"/>
          <w:lang w:eastAsia="ru-RU"/>
        </w:rPr>
        <w:t>г</w:t>
      </w:r>
      <w:r w:rsidR="00B377D5">
        <w:rPr>
          <w:rFonts w:ascii="Times New Roman" w:eastAsia="Calibri" w:hAnsi="Times New Roman" w:cs="Times New Roman"/>
          <w:sz w:val="28"/>
          <w:szCs w:val="28"/>
          <w:lang w:eastAsia="ru-RU"/>
        </w:rPr>
        <w:t>.</w:t>
      </w:r>
      <w:r w:rsidRPr="00D03A4F">
        <w:rPr>
          <w:rFonts w:ascii="Times New Roman" w:eastAsia="Calibri" w:hAnsi="Times New Roman" w:cs="Times New Roman"/>
          <w:sz w:val="28"/>
          <w:szCs w:val="28"/>
          <w:lang w:eastAsia="ru-RU"/>
        </w:rPr>
        <w:t xml:space="preserve"> в сравнении с 201</w:t>
      </w:r>
      <w:r w:rsidR="00004E37">
        <w:rPr>
          <w:rFonts w:ascii="Times New Roman" w:eastAsia="Calibri" w:hAnsi="Times New Roman" w:cs="Times New Roman"/>
          <w:sz w:val="28"/>
          <w:szCs w:val="28"/>
          <w:lang w:eastAsia="ru-RU"/>
        </w:rPr>
        <w:t>8</w:t>
      </w:r>
      <w:r w:rsidRPr="00D03A4F">
        <w:rPr>
          <w:rFonts w:ascii="Times New Roman" w:eastAsia="Calibri" w:hAnsi="Times New Roman" w:cs="Times New Roman"/>
          <w:sz w:val="28"/>
          <w:szCs w:val="28"/>
          <w:lang w:eastAsia="ru-RU"/>
        </w:rPr>
        <w:t xml:space="preserve"> и 201</w:t>
      </w:r>
      <w:r w:rsidR="00004E37">
        <w:rPr>
          <w:rFonts w:ascii="Times New Roman" w:eastAsia="Calibri" w:hAnsi="Times New Roman" w:cs="Times New Roman"/>
          <w:sz w:val="28"/>
          <w:szCs w:val="28"/>
          <w:lang w:eastAsia="ru-RU"/>
        </w:rPr>
        <w:t>9</w:t>
      </w:r>
      <w:r w:rsidRPr="00D03A4F">
        <w:rPr>
          <w:rFonts w:ascii="Times New Roman" w:eastAsia="Calibri" w:hAnsi="Times New Roman" w:cs="Times New Roman"/>
          <w:sz w:val="28"/>
          <w:szCs w:val="28"/>
          <w:lang w:eastAsia="ru-RU"/>
        </w:rPr>
        <w:t xml:space="preserve"> г</w:t>
      </w:r>
      <w:r w:rsidR="00B377D5">
        <w:rPr>
          <w:rFonts w:ascii="Times New Roman" w:eastAsia="Calibri" w:hAnsi="Times New Roman" w:cs="Times New Roman"/>
          <w:sz w:val="28"/>
          <w:szCs w:val="28"/>
          <w:lang w:eastAsia="ru-RU"/>
        </w:rPr>
        <w:t>г</w:t>
      </w:r>
      <w:r w:rsidRPr="00D03A4F">
        <w:rPr>
          <w:rFonts w:ascii="Times New Roman" w:eastAsia="Calibri" w:hAnsi="Times New Roman" w:cs="Times New Roman"/>
          <w:sz w:val="28"/>
          <w:szCs w:val="28"/>
          <w:lang w:eastAsia="ru-RU"/>
        </w:rPr>
        <w:t>.</w:t>
      </w:r>
    </w:p>
    <w:p w14:paraId="3B591B6E" w14:textId="77777777" w:rsidR="00D03A4F" w:rsidRPr="00D03A4F" w:rsidRDefault="00D03A4F" w:rsidP="00D03A4F">
      <w:pPr>
        <w:spacing w:after="0" w:line="312" w:lineRule="auto"/>
        <w:ind w:firstLine="720"/>
        <w:contextualSpacing/>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 xml:space="preserve">Доклад подготовлен в соответствии со статьей 22 Федерального закона </w:t>
      </w:r>
      <w:r w:rsidR="007A3CF2">
        <w:rPr>
          <w:rFonts w:ascii="Times New Roman" w:eastAsia="Calibri" w:hAnsi="Times New Roman" w:cs="Times New Roman"/>
          <w:sz w:val="28"/>
          <w:szCs w:val="28"/>
          <w:lang w:eastAsia="ru-RU"/>
        </w:rPr>
        <w:br/>
      </w:r>
      <w:r w:rsidRPr="00D03A4F">
        <w:rPr>
          <w:rFonts w:ascii="Times New Roman" w:eastAsia="Calibri" w:hAnsi="Times New Roman" w:cs="Times New Roman"/>
          <w:sz w:val="28"/>
          <w:szCs w:val="28"/>
          <w:lang w:eastAsia="ru-RU"/>
        </w:rPr>
        <w:t xml:space="preserve">от 24 июля 1998 г. № 124-ФЗ </w:t>
      </w:r>
      <w:r w:rsidRPr="00D03A4F">
        <w:rPr>
          <w:rFonts w:ascii="Times New Roman" w:eastAsia="Times New Roman" w:hAnsi="Times New Roman" w:cs="Times New Roman"/>
          <w:sz w:val="28"/>
          <w:szCs w:val="28"/>
          <w:lang w:eastAsia="ru-RU"/>
        </w:rPr>
        <w:t>«</w:t>
      </w:r>
      <w:r w:rsidRPr="00D03A4F">
        <w:rPr>
          <w:rFonts w:ascii="Times New Roman" w:eastAsia="Calibri" w:hAnsi="Times New Roman" w:cs="Times New Roman"/>
          <w:sz w:val="28"/>
          <w:szCs w:val="28"/>
          <w:lang w:eastAsia="ru-RU"/>
        </w:rPr>
        <w:t>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положении детей и семей, имеющих детей, в Российской Федерации» в целях обеспечения органов государственной власти Российской Федерации 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14:paraId="647E0E65" w14:textId="064A9712" w:rsidR="00D03A4F" w:rsidRPr="00D03A4F" w:rsidRDefault="009C64B5" w:rsidP="00D03A4F">
      <w:pPr>
        <w:spacing w:after="0" w:line="312" w:lineRule="auto"/>
        <w:ind w:firstLine="72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Доклад</w:t>
      </w:r>
      <w:r w:rsidR="00D03A4F" w:rsidRPr="00D03A4F">
        <w:rPr>
          <w:rFonts w:ascii="Times New Roman" w:eastAsia="Calibri" w:hAnsi="Times New Roman" w:cs="Times New Roman"/>
          <w:sz w:val="28"/>
          <w:szCs w:val="28"/>
          <w:lang w:eastAsia="ru-RU"/>
        </w:rPr>
        <w:t xml:space="preserve">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иностранных граждан), трудовой занятости, профилактики семейного неблагополучия и социального сиротства, поддержки детей, находящихся в трудной жизненной ситуации.</w:t>
      </w:r>
    </w:p>
    <w:p w14:paraId="52FB24D0" w14:textId="77777777" w:rsidR="00D03A4F" w:rsidRPr="00D03A4F" w:rsidRDefault="00D03A4F" w:rsidP="00D03A4F">
      <w:pPr>
        <w:spacing w:after="0" w:line="312" w:lineRule="auto"/>
        <w:ind w:firstLine="720"/>
        <w:contextualSpacing/>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14:paraId="70396EF9" w14:textId="4623F83C" w:rsidR="00D03A4F" w:rsidRPr="00DA199D" w:rsidRDefault="00D03A4F" w:rsidP="00DA199D">
      <w:pPr>
        <w:spacing w:after="0" w:line="312" w:lineRule="auto"/>
        <w:ind w:firstLine="720"/>
        <w:jc w:val="both"/>
        <w:rPr>
          <w:rFonts w:ascii="Times New Roman" w:eastAsia="Calibri" w:hAnsi="Times New Roman" w:cs="Times New Roman"/>
          <w:sz w:val="28"/>
          <w:szCs w:val="28"/>
          <w:lang w:eastAsia="ru-RU"/>
        </w:rPr>
      </w:pPr>
      <w:r w:rsidRPr="00D03A4F">
        <w:rPr>
          <w:rFonts w:ascii="Times New Roman" w:eastAsia="Calibri" w:hAnsi="Times New Roman" w:cs="Times New Roman"/>
          <w:sz w:val="28"/>
          <w:szCs w:val="28"/>
          <w:lang w:eastAsia="ru-RU"/>
        </w:rPr>
        <w:t>В приложении к докладу приведены перечень основных нормативных правовых актов, принятых в 20</w:t>
      </w:r>
      <w:r w:rsidR="00004E37">
        <w:rPr>
          <w:rFonts w:ascii="Times New Roman" w:eastAsia="Calibri" w:hAnsi="Times New Roman" w:cs="Times New Roman"/>
          <w:sz w:val="28"/>
          <w:szCs w:val="28"/>
          <w:lang w:eastAsia="ru-RU"/>
        </w:rPr>
        <w:t>20</w:t>
      </w:r>
      <w:r w:rsidRPr="00D03A4F">
        <w:rPr>
          <w:rFonts w:ascii="Times New Roman" w:eastAsia="Calibri" w:hAnsi="Times New Roman" w:cs="Times New Roman"/>
          <w:sz w:val="28"/>
          <w:szCs w:val="28"/>
          <w:lang w:eastAsia="ru-RU"/>
        </w:rPr>
        <w:t xml:space="preserve"> г</w:t>
      </w:r>
      <w:r w:rsidR="00B377D5">
        <w:rPr>
          <w:rFonts w:ascii="Times New Roman" w:eastAsia="Calibri" w:hAnsi="Times New Roman" w:cs="Times New Roman"/>
          <w:sz w:val="28"/>
          <w:szCs w:val="28"/>
          <w:lang w:eastAsia="ru-RU"/>
        </w:rPr>
        <w:t>.</w:t>
      </w:r>
      <w:r w:rsidRPr="00D03A4F">
        <w:rPr>
          <w:rFonts w:ascii="Times New Roman" w:eastAsia="Calibri" w:hAnsi="Times New Roman" w:cs="Times New Roman"/>
          <w:sz w:val="28"/>
          <w:szCs w:val="28"/>
          <w:lang w:eastAsia="ru-RU"/>
        </w:rPr>
        <w:t>, оказывающих влияние на различные аспекты жизнедеятельности детей и семей с детьми, а также статистические показатели, характеризующие динами</w:t>
      </w:r>
      <w:r w:rsidR="00BB5821">
        <w:rPr>
          <w:rFonts w:ascii="Times New Roman" w:eastAsia="Calibri" w:hAnsi="Times New Roman" w:cs="Times New Roman"/>
          <w:sz w:val="28"/>
          <w:szCs w:val="28"/>
          <w:lang w:eastAsia="ru-RU"/>
        </w:rPr>
        <w:t xml:space="preserve">ку изменения положения детей в </w:t>
      </w:r>
      <w:r w:rsidRPr="00D03A4F">
        <w:rPr>
          <w:rFonts w:ascii="Times New Roman" w:eastAsia="Calibri" w:hAnsi="Times New Roman" w:cs="Times New Roman"/>
          <w:sz w:val="28"/>
          <w:szCs w:val="28"/>
          <w:lang w:eastAsia="ru-RU"/>
        </w:rPr>
        <w:t>201</w:t>
      </w:r>
      <w:r w:rsidR="00004E37">
        <w:rPr>
          <w:rFonts w:ascii="Times New Roman" w:eastAsia="Calibri" w:hAnsi="Times New Roman" w:cs="Times New Roman"/>
          <w:sz w:val="28"/>
          <w:szCs w:val="28"/>
          <w:lang w:eastAsia="ru-RU"/>
        </w:rPr>
        <w:t>8</w:t>
      </w:r>
      <w:r w:rsidR="004D65EF">
        <w:rPr>
          <w:rFonts w:ascii="Times New Roman" w:eastAsia="Times New Roman" w:hAnsi="Times New Roman" w:cs="Times New Roman"/>
          <w:sz w:val="28"/>
          <w:szCs w:val="28"/>
          <w:lang w:eastAsia="ru-RU"/>
        </w:rPr>
        <w:t>-</w:t>
      </w:r>
      <w:r w:rsidRPr="00D03A4F">
        <w:rPr>
          <w:rFonts w:ascii="Times New Roman" w:eastAsia="Calibri" w:hAnsi="Times New Roman" w:cs="Times New Roman"/>
          <w:sz w:val="28"/>
          <w:szCs w:val="28"/>
          <w:lang w:eastAsia="ru-RU"/>
        </w:rPr>
        <w:t>20</w:t>
      </w:r>
      <w:r w:rsidR="00004E37">
        <w:rPr>
          <w:rFonts w:ascii="Times New Roman" w:eastAsia="Calibri" w:hAnsi="Times New Roman" w:cs="Times New Roman"/>
          <w:sz w:val="28"/>
          <w:szCs w:val="28"/>
          <w:lang w:eastAsia="ru-RU"/>
        </w:rPr>
        <w:t>20</w:t>
      </w:r>
      <w:r w:rsidRPr="00D03A4F">
        <w:rPr>
          <w:rFonts w:ascii="Times New Roman" w:eastAsia="Calibri" w:hAnsi="Times New Roman" w:cs="Times New Roman"/>
          <w:sz w:val="28"/>
          <w:szCs w:val="28"/>
          <w:lang w:eastAsia="ru-RU"/>
        </w:rPr>
        <w:t xml:space="preserve"> г</w:t>
      </w:r>
      <w:r w:rsidR="00B377D5">
        <w:rPr>
          <w:rFonts w:ascii="Times New Roman" w:eastAsia="Calibri" w:hAnsi="Times New Roman" w:cs="Times New Roman"/>
          <w:sz w:val="28"/>
          <w:szCs w:val="28"/>
          <w:lang w:eastAsia="ru-RU"/>
        </w:rPr>
        <w:t>г</w:t>
      </w:r>
      <w:r w:rsidRPr="00D03A4F">
        <w:rPr>
          <w:rFonts w:ascii="Times New Roman" w:eastAsia="Calibri" w:hAnsi="Times New Roman" w:cs="Times New Roman"/>
          <w:sz w:val="28"/>
          <w:szCs w:val="28"/>
          <w:lang w:eastAsia="ru-RU"/>
        </w:rPr>
        <w:t xml:space="preserve">. </w:t>
      </w:r>
    </w:p>
    <w:p w14:paraId="666349BB" w14:textId="77777777"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rsidSect="00BB5821">
          <w:headerReference w:type="default" r:id="rId9"/>
          <w:pgSz w:w="11906" w:h="16838"/>
          <w:pgMar w:top="1134" w:right="567" w:bottom="1134" w:left="1134" w:header="708" w:footer="708" w:gutter="0"/>
          <w:pgNumType w:start="2"/>
          <w:cols w:space="708"/>
          <w:titlePg/>
          <w:docGrid w:linePitch="360"/>
        </w:sectPr>
      </w:pPr>
    </w:p>
    <w:p w14:paraId="0A106DC5" w14:textId="77777777" w:rsidR="00D03A4F" w:rsidRPr="00D03A4F" w:rsidRDefault="00D03A4F" w:rsidP="00D03A4F">
      <w:pPr>
        <w:shd w:val="clear" w:color="auto" w:fill="FFFFFF"/>
        <w:spacing w:after="240" w:line="312" w:lineRule="auto"/>
        <w:ind w:firstLine="709"/>
        <w:jc w:val="center"/>
        <w:rPr>
          <w:rFonts w:ascii="Times New Roman" w:eastAsia="Times New Roman" w:hAnsi="Times New Roman" w:cs="Times New Roman"/>
          <w:b/>
          <w:spacing w:val="3"/>
          <w:sz w:val="28"/>
          <w:szCs w:val="28"/>
          <w:lang w:eastAsia="ru-RU"/>
        </w:rPr>
      </w:pPr>
      <w:r w:rsidRPr="00D03A4F">
        <w:rPr>
          <w:rFonts w:ascii="Times New Roman" w:eastAsia="Times New Roman" w:hAnsi="Times New Roman" w:cs="Times New Roman"/>
          <w:b/>
          <w:spacing w:val="3"/>
          <w:sz w:val="28"/>
          <w:szCs w:val="28"/>
          <w:lang w:eastAsia="ru-RU"/>
        </w:rPr>
        <w:lastRenderedPageBreak/>
        <w:t>1. ОСНОВНЫЕ ДЕМОГРАФИЧЕСКИЕ ХАРАКТЕРИСТИКИ</w:t>
      </w:r>
    </w:p>
    <w:p w14:paraId="334FC215" w14:textId="77777777" w:rsidR="00AE5DF9" w:rsidRPr="00B12AA1" w:rsidRDefault="00AE5DF9" w:rsidP="00195355">
      <w:pPr>
        <w:widowControl w:val="0"/>
        <w:spacing w:after="0" w:line="312" w:lineRule="auto"/>
        <w:ind w:firstLine="709"/>
        <w:jc w:val="both"/>
        <w:rPr>
          <w:rFonts w:ascii="Times New Roman" w:eastAsia="Times New Roman" w:hAnsi="Times New Roman" w:cs="Times New Roman"/>
          <w:sz w:val="28"/>
          <w:szCs w:val="28"/>
          <w:lang w:eastAsia="ru-RU"/>
        </w:rPr>
      </w:pPr>
      <w:r w:rsidRPr="00B12AA1">
        <w:rPr>
          <w:rFonts w:ascii="Times New Roman" w:eastAsia="Times New Roman" w:hAnsi="Times New Roman" w:cs="Times New Roman"/>
          <w:sz w:val="28"/>
          <w:szCs w:val="28"/>
          <w:lang w:eastAsia="ru-RU"/>
        </w:rPr>
        <w:t>По оценке Росстата, численность постоянного населения Российской Федерации на 1 января 2022 г</w:t>
      </w:r>
      <w:r w:rsidR="00B377D5" w:rsidRPr="00B12AA1">
        <w:rPr>
          <w:rFonts w:ascii="Times New Roman" w:eastAsia="Times New Roman" w:hAnsi="Times New Roman" w:cs="Times New Roman"/>
          <w:sz w:val="28"/>
          <w:szCs w:val="28"/>
          <w:lang w:eastAsia="ru-RU"/>
        </w:rPr>
        <w:t>.</w:t>
      </w:r>
      <w:r w:rsidRPr="00B12AA1">
        <w:rPr>
          <w:rFonts w:ascii="Times New Roman" w:eastAsia="Times New Roman" w:hAnsi="Times New Roman" w:cs="Times New Roman"/>
          <w:sz w:val="28"/>
          <w:szCs w:val="28"/>
          <w:lang w:eastAsia="ru-RU"/>
        </w:rPr>
        <w:t xml:space="preserve"> составила 145,6 млн человек.</w:t>
      </w:r>
    </w:p>
    <w:p w14:paraId="15D57D38" w14:textId="77777777" w:rsidR="00AE5DF9" w:rsidRPr="00B12AA1" w:rsidRDefault="00AE5DF9" w:rsidP="00195355">
      <w:pPr>
        <w:widowControl w:val="0"/>
        <w:spacing w:after="0" w:line="312" w:lineRule="auto"/>
        <w:ind w:firstLine="709"/>
        <w:jc w:val="both"/>
        <w:rPr>
          <w:rFonts w:ascii="Times New Roman" w:eastAsia="Times New Roman" w:hAnsi="Times New Roman" w:cs="Times New Roman"/>
          <w:sz w:val="28"/>
          <w:szCs w:val="28"/>
          <w:lang w:eastAsia="ru-RU"/>
        </w:rPr>
      </w:pPr>
      <w:r w:rsidRPr="00B12AA1">
        <w:rPr>
          <w:rFonts w:ascii="Times New Roman" w:eastAsia="Times New Roman" w:hAnsi="Times New Roman" w:cs="Times New Roman"/>
          <w:sz w:val="28"/>
          <w:szCs w:val="28"/>
          <w:lang w:eastAsia="ru-RU"/>
        </w:rPr>
        <w:t>В 2021 г</w:t>
      </w:r>
      <w:r w:rsidR="00B377D5" w:rsidRPr="00B12AA1">
        <w:rPr>
          <w:rFonts w:ascii="Times New Roman" w:eastAsia="Times New Roman" w:hAnsi="Times New Roman" w:cs="Times New Roman"/>
          <w:sz w:val="28"/>
          <w:szCs w:val="28"/>
          <w:lang w:eastAsia="ru-RU"/>
        </w:rPr>
        <w:t>.</w:t>
      </w:r>
      <w:r w:rsidRPr="00B12AA1">
        <w:rPr>
          <w:rFonts w:ascii="Times New Roman" w:eastAsia="Times New Roman" w:hAnsi="Times New Roman" w:cs="Times New Roman"/>
          <w:sz w:val="28"/>
          <w:szCs w:val="28"/>
          <w:lang w:eastAsia="ru-RU"/>
        </w:rPr>
        <w:t xml:space="preserve"> продолжалась реализация Концепции демографической политики Российской Федерации на период до 2025 г</w:t>
      </w:r>
      <w:r w:rsidR="00B377D5" w:rsidRPr="00B12AA1">
        <w:rPr>
          <w:rFonts w:ascii="Times New Roman" w:eastAsia="Times New Roman" w:hAnsi="Times New Roman" w:cs="Times New Roman"/>
          <w:sz w:val="28"/>
          <w:szCs w:val="28"/>
          <w:lang w:eastAsia="ru-RU"/>
        </w:rPr>
        <w:t>.</w:t>
      </w:r>
      <w:r w:rsidRPr="00B12AA1">
        <w:rPr>
          <w:rFonts w:ascii="Times New Roman" w:eastAsia="Times New Roman" w:hAnsi="Times New Roman" w:cs="Times New Roman"/>
          <w:sz w:val="28"/>
          <w:szCs w:val="28"/>
          <w:lang w:eastAsia="ru-RU"/>
        </w:rPr>
        <w:t>, утвержденной Указом Президента Российской Федерац</w:t>
      </w:r>
      <w:r w:rsidR="00FB69EB" w:rsidRPr="00B12AA1">
        <w:rPr>
          <w:rFonts w:ascii="Times New Roman" w:eastAsia="Times New Roman" w:hAnsi="Times New Roman" w:cs="Times New Roman"/>
          <w:sz w:val="28"/>
          <w:szCs w:val="28"/>
          <w:lang w:eastAsia="ru-RU"/>
        </w:rPr>
        <w:t xml:space="preserve">ии от 9 октября 2007 г. № 1351 </w:t>
      </w:r>
      <w:r w:rsidRPr="00B12AA1">
        <w:rPr>
          <w:rFonts w:ascii="Times New Roman" w:eastAsia="Times New Roman" w:hAnsi="Times New Roman" w:cs="Times New Roman"/>
          <w:sz w:val="28"/>
          <w:szCs w:val="28"/>
          <w:lang w:eastAsia="ru-RU"/>
        </w:rPr>
        <w:t>(далее – Концепция демографической политики Российской Федерации на период до 2025 г</w:t>
      </w:r>
      <w:r w:rsidR="00B377D5" w:rsidRPr="00B12AA1">
        <w:rPr>
          <w:rFonts w:ascii="Times New Roman" w:eastAsia="Times New Roman" w:hAnsi="Times New Roman" w:cs="Times New Roman"/>
          <w:sz w:val="28"/>
          <w:szCs w:val="28"/>
          <w:lang w:eastAsia="ru-RU"/>
        </w:rPr>
        <w:t>.</w:t>
      </w:r>
      <w:r w:rsidRPr="00B12AA1">
        <w:rPr>
          <w:rFonts w:ascii="Times New Roman" w:eastAsia="Times New Roman" w:hAnsi="Times New Roman" w:cs="Times New Roman"/>
          <w:sz w:val="28"/>
          <w:szCs w:val="28"/>
          <w:lang w:eastAsia="ru-RU"/>
        </w:rPr>
        <w:t>), направленной на усиление государственной поддержки семей в связи с рождением и воспитанием детей.</w:t>
      </w:r>
    </w:p>
    <w:p w14:paraId="3A317BCD" w14:textId="0107A2E5" w:rsidR="00AE5DF9" w:rsidRPr="00B12AA1" w:rsidRDefault="00AE5DF9" w:rsidP="00195355">
      <w:pPr>
        <w:widowControl w:val="0"/>
        <w:spacing w:after="0" w:line="312" w:lineRule="auto"/>
        <w:ind w:firstLine="709"/>
        <w:jc w:val="both"/>
        <w:rPr>
          <w:rFonts w:ascii="Times New Roman" w:eastAsia="Times New Roman" w:hAnsi="Times New Roman" w:cs="Times New Roman"/>
          <w:sz w:val="28"/>
          <w:szCs w:val="28"/>
          <w:lang w:eastAsia="ru-RU"/>
        </w:rPr>
      </w:pPr>
      <w:r w:rsidRPr="00B12AA1">
        <w:rPr>
          <w:rFonts w:ascii="Times New Roman" w:eastAsia="Times New Roman" w:hAnsi="Times New Roman" w:cs="Times New Roman"/>
          <w:spacing w:val="-4"/>
          <w:sz w:val="28"/>
          <w:szCs w:val="28"/>
          <w:lang w:eastAsia="ru-RU"/>
        </w:rPr>
        <w:t>На 1 января 2022 г</w:t>
      </w:r>
      <w:r w:rsidR="00B377D5" w:rsidRPr="00B12AA1">
        <w:rPr>
          <w:rFonts w:ascii="Times New Roman" w:eastAsia="Times New Roman" w:hAnsi="Times New Roman" w:cs="Times New Roman"/>
          <w:spacing w:val="-4"/>
          <w:sz w:val="28"/>
          <w:szCs w:val="28"/>
          <w:lang w:eastAsia="ru-RU"/>
        </w:rPr>
        <w:t>.</w:t>
      </w:r>
      <w:r w:rsidRPr="00B12AA1">
        <w:rPr>
          <w:rFonts w:ascii="Times New Roman" w:eastAsia="Times New Roman" w:hAnsi="Times New Roman" w:cs="Times New Roman"/>
          <w:spacing w:val="-4"/>
          <w:sz w:val="28"/>
          <w:szCs w:val="28"/>
          <w:lang w:eastAsia="ru-RU"/>
        </w:rPr>
        <w:t>, по оценке Росстата, численность детей и подростков</w:t>
      </w:r>
      <w:r w:rsidRPr="00B12AA1">
        <w:rPr>
          <w:rFonts w:ascii="Times New Roman" w:eastAsia="Times New Roman" w:hAnsi="Times New Roman" w:cs="Times New Roman"/>
          <w:sz w:val="28"/>
          <w:szCs w:val="28"/>
          <w:lang w:eastAsia="ru-RU"/>
        </w:rPr>
        <w:t xml:space="preserve"> в возрасте до 18 лет, постоянно проживающих в Российской Федерации, составила 30 328 тыс. человек. Доля детей и подростков в общей численности населения не изменилась и составила</w:t>
      </w:r>
      <w:r w:rsidR="001E5E46" w:rsidRPr="00B12AA1">
        <w:rPr>
          <w:rFonts w:ascii="Times New Roman" w:eastAsia="Times New Roman" w:hAnsi="Times New Roman" w:cs="Times New Roman"/>
          <w:sz w:val="28"/>
          <w:szCs w:val="28"/>
          <w:lang w:eastAsia="ru-RU"/>
        </w:rPr>
        <w:t xml:space="preserve"> </w:t>
      </w:r>
      <w:r w:rsidRPr="00B12AA1">
        <w:rPr>
          <w:rFonts w:ascii="Times New Roman" w:eastAsia="Times New Roman" w:hAnsi="Times New Roman" w:cs="Times New Roman"/>
          <w:sz w:val="28"/>
          <w:szCs w:val="28"/>
          <w:lang w:eastAsia="ru-RU"/>
        </w:rPr>
        <w:t>20,8%. В результате снижения рождаемости, зафиксированной в 2021 г</w:t>
      </w:r>
      <w:r w:rsidR="00B377D5" w:rsidRPr="00B12AA1">
        <w:rPr>
          <w:rFonts w:ascii="Times New Roman" w:eastAsia="Times New Roman" w:hAnsi="Times New Roman" w:cs="Times New Roman"/>
          <w:sz w:val="28"/>
          <w:szCs w:val="28"/>
          <w:lang w:eastAsia="ru-RU"/>
        </w:rPr>
        <w:t>.</w:t>
      </w:r>
      <w:r w:rsidRPr="00B12AA1">
        <w:rPr>
          <w:rFonts w:ascii="Times New Roman" w:eastAsia="Times New Roman" w:hAnsi="Times New Roman" w:cs="Times New Roman"/>
          <w:sz w:val="28"/>
          <w:szCs w:val="28"/>
          <w:lang w:eastAsia="ru-RU"/>
        </w:rPr>
        <w:t>, численность детей в возрасте от 0 до 4 лет включительно составила 7 598 тыс. человек (-6,0%). Сокращение численности детей и подростков наблюдалось и возрасте 5-6 лет, составив 3 826 тыс. человек (-1,3%).</w:t>
      </w:r>
      <w:r w:rsidR="00414107" w:rsidRPr="00B12AA1">
        <w:rPr>
          <w:rFonts w:ascii="Times New Roman" w:eastAsia="Times New Roman" w:hAnsi="Times New Roman" w:cs="Times New Roman"/>
          <w:sz w:val="28"/>
          <w:szCs w:val="28"/>
          <w:lang w:eastAsia="ru-RU"/>
        </w:rPr>
        <w:t xml:space="preserve"> При этом рост показателя зафиксирован в старших возрастных группах:</w:t>
      </w:r>
      <w:r w:rsidRPr="00B12AA1">
        <w:rPr>
          <w:rFonts w:ascii="Times New Roman" w:eastAsia="Times New Roman" w:hAnsi="Times New Roman" w:cs="Times New Roman"/>
          <w:sz w:val="28"/>
          <w:szCs w:val="28"/>
          <w:lang w:eastAsia="ru-RU"/>
        </w:rPr>
        <w:t xml:space="preserve"> 15 </w:t>
      </w:r>
      <w:r w:rsidR="00414107" w:rsidRPr="00B12AA1">
        <w:rPr>
          <w:rFonts w:ascii="Times New Roman" w:eastAsia="Times New Roman" w:hAnsi="Times New Roman" w:cs="Times New Roman"/>
          <w:sz w:val="28"/>
          <w:szCs w:val="28"/>
          <w:lang w:eastAsia="ru-RU"/>
        </w:rPr>
        <w:t>894</w:t>
      </w:r>
      <w:r w:rsidRPr="00B12AA1">
        <w:rPr>
          <w:rFonts w:ascii="Times New Roman" w:eastAsia="Times New Roman" w:hAnsi="Times New Roman" w:cs="Times New Roman"/>
          <w:sz w:val="28"/>
          <w:szCs w:val="28"/>
          <w:lang w:eastAsia="ru-RU"/>
        </w:rPr>
        <w:t xml:space="preserve"> тыс. человек (+</w:t>
      </w:r>
      <w:r w:rsidR="00414107" w:rsidRPr="00B12AA1">
        <w:rPr>
          <w:rFonts w:ascii="Times New Roman" w:eastAsia="Times New Roman" w:hAnsi="Times New Roman" w:cs="Times New Roman"/>
          <w:sz w:val="28"/>
          <w:szCs w:val="28"/>
          <w:lang w:eastAsia="ru-RU"/>
        </w:rPr>
        <w:t>3</w:t>
      </w:r>
      <w:r w:rsidRPr="00B12AA1">
        <w:rPr>
          <w:rFonts w:ascii="Times New Roman" w:eastAsia="Times New Roman" w:hAnsi="Times New Roman" w:cs="Times New Roman"/>
          <w:sz w:val="28"/>
          <w:szCs w:val="28"/>
          <w:lang w:eastAsia="ru-RU"/>
        </w:rPr>
        <w:t>,</w:t>
      </w:r>
      <w:r w:rsidR="00414107" w:rsidRPr="00B12AA1">
        <w:rPr>
          <w:rFonts w:ascii="Times New Roman" w:eastAsia="Times New Roman" w:hAnsi="Times New Roman" w:cs="Times New Roman"/>
          <w:sz w:val="28"/>
          <w:szCs w:val="28"/>
          <w:lang w:eastAsia="ru-RU"/>
        </w:rPr>
        <w:t>0</w:t>
      </w:r>
      <w:r w:rsidRPr="00B12AA1">
        <w:rPr>
          <w:rFonts w:ascii="Times New Roman" w:eastAsia="Times New Roman" w:hAnsi="Times New Roman" w:cs="Times New Roman"/>
          <w:sz w:val="28"/>
          <w:szCs w:val="28"/>
          <w:lang w:eastAsia="ru-RU"/>
        </w:rPr>
        <w:t xml:space="preserve">%) – 7-15 лет; </w:t>
      </w:r>
      <w:r w:rsidR="00414107" w:rsidRPr="00B12AA1">
        <w:rPr>
          <w:rFonts w:ascii="Times New Roman" w:eastAsia="Times New Roman" w:hAnsi="Times New Roman" w:cs="Times New Roman"/>
          <w:sz w:val="28"/>
          <w:szCs w:val="28"/>
          <w:lang w:eastAsia="ru-RU"/>
        </w:rPr>
        <w:t>3</w:t>
      </w:r>
      <w:r w:rsidRPr="00B12AA1">
        <w:rPr>
          <w:rFonts w:ascii="Times New Roman" w:eastAsia="Times New Roman" w:hAnsi="Times New Roman" w:cs="Times New Roman"/>
          <w:sz w:val="28"/>
          <w:szCs w:val="28"/>
          <w:lang w:eastAsia="ru-RU"/>
        </w:rPr>
        <w:t> </w:t>
      </w:r>
      <w:r w:rsidR="00414107" w:rsidRPr="00B12AA1">
        <w:rPr>
          <w:rFonts w:ascii="Times New Roman" w:eastAsia="Times New Roman" w:hAnsi="Times New Roman" w:cs="Times New Roman"/>
          <w:sz w:val="28"/>
          <w:szCs w:val="28"/>
          <w:lang w:eastAsia="ru-RU"/>
        </w:rPr>
        <w:t>011</w:t>
      </w:r>
      <w:r w:rsidRPr="00B12AA1">
        <w:rPr>
          <w:rFonts w:ascii="Times New Roman" w:eastAsia="Times New Roman" w:hAnsi="Times New Roman" w:cs="Times New Roman"/>
          <w:sz w:val="28"/>
          <w:szCs w:val="28"/>
          <w:lang w:eastAsia="ru-RU"/>
        </w:rPr>
        <w:t xml:space="preserve"> тыс. человек (+</w:t>
      </w:r>
      <w:r w:rsidR="00414107" w:rsidRPr="00B12AA1">
        <w:rPr>
          <w:rFonts w:ascii="Times New Roman" w:eastAsia="Times New Roman" w:hAnsi="Times New Roman" w:cs="Times New Roman"/>
          <w:sz w:val="28"/>
          <w:szCs w:val="28"/>
          <w:lang w:eastAsia="ru-RU"/>
        </w:rPr>
        <w:t>0</w:t>
      </w:r>
      <w:r w:rsidRPr="00B12AA1">
        <w:rPr>
          <w:rFonts w:ascii="Times New Roman" w:eastAsia="Times New Roman" w:hAnsi="Times New Roman" w:cs="Times New Roman"/>
          <w:sz w:val="28"/>
          <w:szCs w:val="28"/>
          <w:lang w:eastAsia="ru-RU"/>
        </w:rPr>
        <w:t>,</w:t>
      </w:r>
      <w:r w:rsidR="00414107" w:rsidRPr="00B12AA1">
        <w:rPr>
          <w:rFonts w:ascii="Times New Roman" w:eastAsia="Times New Roman" w:hAnsi="Times New Roman" w:cs="Times New Roman"/>
          <w:sz w:val="28"/>
          <w:szCs w:val="28"/>
          <w:lang w:eastAsia="ru-RU"/>
        </w:rPr>
        <w:t>5</w:t>
      </w:r>
      <w:r w:rsidRPr="00B12AA1">
        <w:rPr>
          <w:rFonts w:ascii="Times New Roman" w:eastAsia="Times New Roman" w:hAnsi="Times New Roman" w:cs="Times New Roman"/>
          <w:sz w:val="28"/>
          <w:szCs w:val="28"/>
          <w:lang w:eastAsia="ru-RU"/>
        </w:rPr>
        <w:t>%) – 16-17 лет.</w:t>
      </w:r>
    </w:p>
    <w:p w14:paraId="176732A1" w14:textId="77777777" w:rsidR="00AE5DF9" w:rsidRPr="00B12AA1" w:rsidRDefault="00AE5DF9" w:rsidP="00195355">
      <w:pPr>
        <w:widowControl w:val="0"/>
        <w:spacing w:after="0" w:line="312" w:lineRule="auto"/>
        <w:ind w:firstLine="709"/>
        <w:jc w:val="both"/>
        <w:rPr>
          <w:rFonts w:ascii="Times New Roman" w:eastAsia="Times New Roman" w:hAnsi="Times New Roman" w:cs="Times New Roman"/>
          <w:sz w:val="28"/>
          <w:szCs w:val="28"/>
          <w:lang w:eastAsia="ru-RU"/>
        </w:rPr>
      </w:pPr>
      <w:r w:rsidRPr="00B12AA1">
        <w:rPr>
          <w:rFonts w:ascii="Times New Roman" w:eastAsia="Times New Roman" w:hAnsi="Times New Roman" w:cs="Times New Roman"/>
          <w:sz w:val="28"/>
          <w:szCs w:val="28"/>
          <w:lang w:eastAsia="ru-RU"/>
        </w:rPr>
        <w:t>В 202</w:t>
      </w:r>
      <w:r w:rsidR="00414107" w:rsidRPr="00B12AA1">
        <w:rPr>
          <w:rFonts w:ascii="Times New Roman" w:eastAsia="Times New Roman" w:hAnsi="Times New Roman" w:cs="Times New Roman"/>
          <w:sz w:val="28"/>
          <w:szCs w:val="28"/>
          <w:lang w:eastAsia="ru-RU"/>
        </w:rPr>
        <w:t>1</w:t>
      </w:r>
      <w:r w:rsidRPr="00B12AA1">
        <w:rPr>
          <w:rFonts w:ascii="Times New Roman" w:eastAsia="Times New Roman" w:hAnsi="Times New Roman" w:cs="Times New Roman"/>
          <w:sz w:val="28"/>
          <w:szCs w:val="28"/>
          <w:lang w:eastAsia="ru-RU"/>
        </w:rPr>
        <w:t xml:space="preserve"> г</w:t>
      </w:r>
      <w:r w:rsidR="00B377D5" w:rsidRPr="00B12AA1">
        <w:rPr>
          <w:rFonts w:ascii="Times New Roman" w:eastAsia="Times New Roman" w:hAnsi="Times New Roman" w:cs="Times New Roman"/>
          <w:sz w:val="28"/>
          <w:szCs w:val="28"/>
          <w:lang w:eastAsia="ru-RU"/>
        </w:rPr>
        <w:t>.</w:t>
      </w:r>
      <w:r w:rsidRPr="00B12AA1">
        <w:rPr>
          <w:rFonts w:ascii="Times New Roman" w:eastAsia="Times New Roman" w:hAnsi="Times New Roman" w:cs="Times New Roman"/>
          <w:sz w:val="28"/>
          <w:szCs w:val="28"/>
          <w:lang w:eastAsia="ru-RU"/>
        </w:rPr>
        <w:t xml:space="preserve"> родилось на </w:t>
      </w:r>
      <w:r w:rsidR="00414107" w:rsidRPr="00B12AA1">
        <w:rPr>
          <w:rFonts w:ascii="Times New Roman" w:eastAsia="Times New Roman" w:hAnsi="Times New Roman" w:cs="Times New Roman"/>
          <w:sz w:val="28"/>
          <w:szCs w:val="28"/>
          <w:lang w:eastAsia="ru-RU"/>
        </w:rPr>
        <w:t>3</w:t>
      </w:r>
      <w:r w:rsidR="007A3CF2" w:rsidRPr="00B12AA1">
        <w:rPr>
          <w:rFonts w:ascii="Times New Roman" w:eastAsia="Times New Roman" w:hAnsi="Times New Roman" w:cs="Times New Roman"/>
          <w:sz w:val="28"/>
          <w:szCs w:val="28"/>
          <w:lang w:eastAsia="ru-RU"/>
        </w:rPr>
        <w:t>8</w:t>
      </w:r>
      <w:r w:rsidRPr="00B12AA1">
        <w:rPr>
          <w:rFonts w:ascii="Times New Roman" w:eastAsia="Times New Roman" w:hAnsi="Times New Roman" w:cs="Times New Roman"/>
          <w:sz w:val="28"/>
          <w:szCs w:val="28"/>
          <w:lang w:eastAsia="ru-RU"/>
        </w:rPr>
        <w:t>,</w:t>
      </w:r>
      <w:r w:rsidR="007A3CF2" w:rsidRPr="00B12AA1">
        <w:rPr>
          <w:rFonts w:ascii="Times New Roman" w:eastAsia="Times New Roman" w:hAnsi="Times New Roman" w:cs="Times New Roman"/>
          <w:sz w:val="28"/>
          <w:szCs w:val="28"/>
          <w:lang w:eastAsia="ru-RU"/>
        </w:rPr>
        <w:t>2</w:t>
      </w:r>
      <w:r w:rsidRPr="00B12AA1">
        <w:rPr>
          <w:rFonts w:ascii="Times New Roman" w:eastAsia="Times New Roman" w:hAnsi="Times New Roman" w:cs="Times New Roman"/>
          <w:sz w:val="28"/>
          <w:szCs w:val="28"/>
          <w:lang w:eastAsia="ru-RU"/>
        </w:rPr>
        <w:t xml:space="preserve"> тыс. детей меньше, чем в 20</w:t>
      </w:r>
      <w:r w:rsidR="00414107" w:rsidRPr="00B12AA1">
        <w:rPr>
          <w:rFonts w:ascii="Times New Roman" w:eastAsia="Times New Roman" w:hAnsi="Times New Roman" w:cs="Times New Roman"/>
          <w:sz w:val="28"/>
          <w:szCs w:val="28"/>
          <w:lang w:eastAsia="ru-RU"/>
        </w:rPr>
        <w:t>20</w:t>
      </w:r>
      <w:r w:rsidRPr="00B12AA1">
        <w:rPr>
          <w:rFonts w:ascii="Times New Roman" w:eastAsia="Times New Roman" w:hAnsi="Times New Roman" w:cs="Times New Roman"/>
          <w:sz w:val="28"/>
          <w:szCs w:val="28"/>
          <w:lang w:eastAsia="ru-RU"/>
        </w:rPr>
        <w:t xml:space="preserve"> г</w:t>
      </w:r>
      <w:r w:rsidR="00B377D5" w:rsidRPr="00B12AA1">
        <w:rPr>
          <w:rFonts w:ascii="Times New Roman" w:eastAsia="Times New Roman" w:hAnsi="Times New Roman" w:cs="Times New Roman"/>
          <w:sz w:val="28"/>
          <w:szCs w:val="28"/>
          <w:lang w:eastAsia="ru-RU"/>
        </w:rPr>
        <w:t>.</w:t>
      </w:r>
      <w:r w:rsidRPr="00B12AA1">
        <w:rPr>
          <w:rFonts w:ascii="Times New Roman" w:eastAsia="Times New Roman" w:hAnsi="Times New Roman" w:cs="Times New Roman"/>
          <w:sz w:val="28"/>
          <w:szCs w:val="28"/>
          <w:lang w:eastAsia="ru-RU"/>
        </w:rPr>
        <w:t xml:space="preserve"> (202</w:t>
      </w:r>
      <w:r w:rsidR="00414107" w:rsidRPr="00B12AA1">
        <w:rPr>
          <w:rFonts w:ascii="Times New Roman" w:eastAsia="Times New Roman" w:hAnsi="Times New Roman" w:cs="Times New Roman"/>
          <w:sz w:val="28"/>
          <w:szCs w:val="28"/>
          <w:lang w:eastAsia="ru-RU"/>
        </w:rPr>
        <w:t>1</w:t>
      </w:r>
      <w:r w:rsidRPr="00B12AA1">
        <w:rPr>
          <w:rFonts w:ascii="Times New Roman" w:eastAsia="Times New Roman" w:hAnsi="Times New Roman" w:cs="Times New Roman"/>
          <w:sz w:val="28"/>
          <w:szCs w:val="28"/>
          <w:lang w:eastAsia="ru-RU"/>
        </w:rPr>
        <w:t xml:space="preserve"> г. – 1 </w:t>
      </w:r>
      <w:r w:rsidR="007A3CF2" w:rsidRPr="00B12AA1">
        <w:rPr>
          <w:rFonts w:ascii="Times New Roman" w:eastAsia="Times New Roman" w:hAnsi="Times New Roman" w:cs="Times New Roman"/>
          <w:sz w:val="28"/>
          <w:szCs w:val="28"/>
          <w:lang w:eastAsia="ru-RU"/>
        </w:rPr>
        <w:t>398</w:t>
      </w:r>
      <w:r w:rsidRPr="00B12AA1">
        <w:rPr>
          <w:rFonts w:ascii="Times New Roman" w:eastAsia="Times New Roman" w:hAnsi="Times New Roman" w:cs="Times New Roman"/>
          <w:sz w:val="28"/>
          <w:szCs w:val="28"/>
          <w:lang w:eastAsia="ru-RU"/>
        </w:rPr>
        <w:t>,</w:t>
      </w:r>
      <w:r w:rsidR="007A3CF2" w:rsidRPr="00B12AA1">
        <w:rPr>
          <w:rFonts w:ascii="Times New Roman" w:eastAsia="Times New Roman" w:hAnsi="Times New Roman" w:cs="Times New Roman"/>
          <w:sz w:val="28"/>
          <w:szCs w:val="28"/>
          <w:lang w:eastAsia="ru-RU"/>
        </w:rPr>
        <w:t>3</w:t>
      </w:r>
      <w:r w:rsidRPr="00B12AA1">
        <w:rPr>
          <w:rFonts w:ascii="Times New Roman" w:eastAsia="Times New Roman" w:hAnsi="Times New Roman" w:cs="Times New Roman"/>
          <w:sz w:val="28"/>
          <w:szCs w:val="28"/>
          <w:lang w:eastAsia="ru-RU"/>
        </w:rPr>
        <w:t xml:space="preserve"> тыс. детей; 20</w:t>
      </w:r>
      <w:r w:rsidR="00414107" w:rsidRPr="00B12AA1">
        <w:rPr>
          <w:rFonts w:ascii="Times New Roman" w:eastAsia="Times New Roman" w:hAnsi="Times New Roman" w:cs="Times New Roman"/>
          <w:sz w:val="28"/>
          <w:szCs w:val="28"/>
          <w:lang w:eastAsia="ru-RU"/>
        </w:rPr>
        <w:t>20</w:t>
      </w:r>
      <w:r w:rsidRPr="00B12AA1">
        <w:rPr>
          <w:rFonts w:ascii="Times New Roman" w:eastAsia="Times New Roman" w:hAnsi="Times New Roman" w:cs="Times New Roman"/>
          <w:sz w:val="28"/>
          <w:szCs w:val="28"/>
          <w:lang w:eastAsia="ru-RU"/>
        </w:rPr>
        <w:t> г. – 1 4</w:t>
      </w:r>
      <w:r w:rsidR="00414107" w:rsidRPr="00B12AA1">
        <w:rPr>
          <w:rFonts w:ascii="Times New Roman" w:eastAsia="Times New Roman" w:hAnsi="Times New Roman" w:cs="Times New Roman"/>
          <w:sz w:val="28"/>
          <w:szCs w:val="28"/>
          <w:lang w:eastAsia="ru-RU"/>
        </w:rPr>
        <w:t>3</w:t>
      </w:r>
      <w:r w:rsidR="007A3CF2" w:rsidRPr="00B12AA1">
        <w:rPr>
          <w:rFonts w:ascii="Times New Roman" w:eastAsia="Times New Roman" w:hAnsi="Times New Roman" w:cs="Times New Roman"/>
          <w:sz w:val="28"/>
          <w:szCs w:val="28"/>
          <w:lang w:eastAsia="ru-RU"/>
        </w:rPr>
        <w:t>6</w:t>
      </w:r>
      <w:r w:rsidRPr="00B12AA1">
        <w:rPr>
          <w:rFonts w:ascii="Times New Roman" w:eastAsia="Times New Roman" w:hAnsi="Times New Roman" w:cs="Times New Roman"/>
          <w:sz w:val="28"/>
          <w:szCs w:val="28"/>
          <w:lang w:eastAsia="ru-RU"/>
        </w:rPr>
        <w:t>,</w:t>
      </w:r>
      <w:r w:rsidR="007A3CF2" w:rsidRPr="00B12AA1">
        <w:rPr>
          <w:rFonts w:ascii="Times New Roman" w:eastAsia="Times New Roman" w:hAnsi="Times New Roman" w:cs="Times New Roman"/>
          <w:sz w:val="28"/>
          <w:szCs w:val="28"/>
          <w:lang w:eastAsia="ru-RU"/>
        </w:rPr>
        <w:t>5</w:t>
      </w:r>
      <w:r w:rsidRPr="00B12AA1">
        <w:rPr>
          <w:rFonts w:ascii="Times New Roman" w:eastAsia="Times New Roman" w:hAnsi="Times New Roman" w:cs="Times New Roman"/>
          <w:sz w:val="28"/>
          <w:szCs w:val="28"/>
          <w:lang w:eastAsia="ru-RU"/>
        </w:rPr>
        <w:t> тыс. детей; 201</w:t>
      </w:r>
      <w:r w:rsidR="00414107" w:rsidRPr="00B12AA1">
        <w:rPr>
          <w:rFonts w:ascii="Times New Roman" w:eastAsia="Times New Roman" w:hAnsi="Times New Roman" w:cs="Times New Roman"/>
          <w:sz w:val="28"/>
          <w:szCs w:val="28"/>
          <w:lang w:eastAsia="ru-RU"/>
        </w:rPr>
        <w:t>9</w:t>
      </w:r>
      <w:r w:rsidRPr="00B12AA1">
        <w:rPr>
          <w:rFonts w:ascii="Times New Roman" w:eastAsia="Times New Roman" w:hAnsi="Times New Roman" w:cs="Times New Roman"/>
          <w:sz w:val="28"/>
          <w:szCs w:val="28"/>
          <w:lang w:eastAsia="ru-RU"/>
        </w:rPr>
        <w:t> г. – 1 </w:t>
      </w:r>
      <w:r w:rsidR="00414107" w:rsidRPr="00B12AA1">
        <w:rPr>
          <w:rFonts w:ascii="Times New Roman" w:eastAsia="Times New Roman" w:hAnsi="Times New Roman" w:cs="Times New Roman"/>
          <w:sz w:val="28"/>
          <w:szCs w:val="28"/>
          <w:lang w:eastAsia="ru-RU"/>
        </w:rPr>
        <w:t>481</w:t>
      </w:r>
      <w:r w:rsidRPr="00B12AA1">
        <w:rPr>
          <w:rFonts w:ascii="Times New Roman" w:eastAsia="Times New Roman" w:hAnsi="Times New Roman" w:cs="Times New Roman"/>
          <w:sz w:val="28"/>
          <w:szCs w:val="28"/>
          <w:lang w:eastAsia="ru-RU"/>
        </w:rPr>
        <w:t>,</w:t>
      </w:r>
      <w:r w:rsidR="00414107" w:rsidRPr="00B12AA1">
        <w:rPr>
          <w:rFonts w:ascii="Times New Roman" w:eastAsia="Times New Roman" w:hAnsi="Times New Roman" w:cs="Times New Roman"/>
          <w:sz w:val="28"/>
          <w:szCs w:val="28"/>
          <w:lang w:eastAsia="ru-RU"/>
        </w:rPr>
        <w:t>1</w:t>
      </w:r>
      <w:r w:rsidRPr="00B12AA1">
        <w:rPr>
          <w:rFonts w:ascii="Times New Roman" w:eastAsia="Times New Roman" w:hAnsi="Times New Roman" w:cs="Times New Roman"/>
          <w:sz w:val="28"/>
          <w:szCs w:val="28"/>
          <w:lang w:eastAsia="ru-RU"/>
        </w:rPr>
        <w:t xml:space="preserve"> тыс. детей). </w:t>
      </w:r>
      <w:r w:rsidR="00414107" w:rsidRPr="00B12AA1">
        <w:rPr>
          <w:rFonts w:ascii="Times New Roman" w:eastAsia="Times New Roman" w:hAnsi="Times New Roman" w:cs="Times New Roman"/>
          <w:sz w:val="28"/>
          <w:szCs w:val="28"/>
          <w:lang w:eastAsia="ru-RU"/>
        </w:rPr>
        <w:t>С</w:t>
      </w:r>
      <w:r w:rsidRPr="00B12AA1">
        <w:rPr>
          <w:rFonts w:ascii="Times New Roman" w:eastAsia="Times New Roman" w:hAnsi="Times New Roman" w:cs="Times New Roman"/>
          <w:sz w:val="28"/>
          <w:szCs w:val="28"/>
          <w:lang w:eastAsia="ru-RU"/>
        </w:rPr>
        <w:t>уммарный коэффициент рождаемости, характеризующий среднее число детей, рожденных одной женщиной репродуктивного возраста, в 202</w:t>
      </w:r>
      <w:r w:rsidR="00186DE4" w:rsidRPr="00B12AA1">
        <w:rPr>
          <w:rFonts w:ascii="Times New Roman" w:eastAsia="Times New Roman" w:hAnsi="Times New Roman" w:cs="Times New Roman"/>
          <w:sz w:val="28"/>
          <w:szCs w:val="28"/>
          <w:lang w:eastAsia="ru-RU"/>
        </w:rPr>
        <w:t>1</w:t>
      </w:r>
      <w:r w:rsidRPr="00B12AA1">
        <w:rPr>
          <w:rFonts w:ascii="Times New Roman" w:eastAsia="Times New Roman" w:hAnsi="Times New Roman" w:cs="Times New Roman"/>
          <w:sz w:val="28"/>
          <w:szCs w:val="28"/>
          <w:lang w:eastAsia="ru-RU"/>
        </w:rPr>
        <w:t xml:space="preserve"> </w:t>
      </w:r>
      <w:r w:rsidR="00B377D5" w:rsidRPr="00B12AA1">
        <w:rPr>
          <w:rFonts w:ascii="Times New Roman" w:eastAsia="Times New Roman" w:hAnsi="Times New Roman" w:cs="Times New Roman"/>
          <w:sz w:val="28"/>
          <w:szCs w:val="28"/>
          <w:lang w:eastAsia="ru-RU"/>
        </w:rPr>
        <w:t>г.</w:t>
      </w:r>
      <w:r w:rsidRPr="00B12AA1">
        <w:rPr>
          <w:rFonts w:ascii="Times New Roman" w:eastAsia="Times New Roman" w:hAnsi="Times New Roman" w:cs="Times New Roman"/>
          <w:sz w:val="28"/>
          <w:szCs w:val="28"/>
          <w:lang w:eastAsia="ru-RU"/>
        </w:rPr>
        <w:t xml:space="preserve"> </w:t>
      </w:r>
      <w:r w:rsidR="00186DE4" w:rsidRPr="00B12AA1">
        <w:rPr>
          <w:rFonts w:ascii="Times New Roman" w:eastAsia="Times New Roman" w:hAnsi="Times New Roman" w:cs="Times New Roman"/>
          <w:sz w:val="28"/>
          <w:szCs w:val="28"/>
          <w:lang w:eastAsia="ru-RU"/>
        </w:rPr>
        <w:t>сохранился на уровне прошлого года</w:t>
      </w:r>
      <w:r w:rsidRPr="00B12AA1">
        <w:rPr>
          <w:rFonts w:ascii="Times New Roman" w:eastAsia="Times New Roman" w:hAnsi="Times New Roman" w:cs="Times New Roman"/>
          <w:sz w:val="28"/>
          <w:szCs w:val="28"/>
          <w:lang w:eastAsia="ru-RU"/>
        </w:rPr>
        <w:t xml:space="preserve"> и составил 1,505 детей на 1 женщину (</w:t>
      </w:r>
      <w:r w:rsidR="00186DE4" w:rsidRPr="00B12AA1">
        <w:rPr>
          <w:rFonts w:ascii="Times New Roman" w:eastAsia="Times New Roman" w:hAnsi="Times New Roman" w:cs="Times New Roman"/>
          <w:sz w:val="28"/>
          <w:szCs w:val="28"/>
          <w:lang w:eastAsia="ru-RU"/>
        </w:rPr>
        <w:t>2020 г. – 1,505 детей;</w:t>
      </w:r>
      <w:r w:rsidR="00E76DB0" w:rsidRPr="00B12AA1">
        <w:rPr>
          <w:rFonts w:ascii="Times New Roman" w:eastAsia="Times New Roman" w:hAnsi="Times New Roman" w:cs="Times New Roman"/>
          <w:sz w:val="28"/>
          <w:szCs w:val="28"/>
          <w:lang w:eastAsia="ru-RU"/>
        </w:rPr>
        <w:t> </w:t>
      </w:r>
      <w:r w:rsidRPr="00B12AA1">
        <w:rPr>
          <w:rFonts w:ascii="Times New Roman" w:eastAsia="Times New Roman" w:hAnsi="Times New Roman" w:cs="Times New Roman"/>
          <w:sz w:val="28"/>
          <w:szCs w:val="28"/>
          <w:lang w:eastAsia="ru-RU"/>
        </w:rPr>
        <w:t>2019 г. – 1,504 ребенка; 2018 г. – 1,579 детей).</w:t>
      </w:r>
    </w:p>
    <w:p w14:paraId="6D0E0514" w14:textId="6A9879B1" w:rsidR="00AE5DF9" w:rsidRPr="00B12AA1" w:rsidRDefault="00AE5DF9" w:rsidP="00195355">
      <w:pPr>
        <w:widowControl w:val="0"/>
        <w:spacing w:after="0" w:line="312" w:lineRule="auto"/>
        <w:ind w:firstLine="709"/>
        <w:jc w:val="both"/>
        <w:rPr>
          <w:rFonts w:ascii="Times New Roman" w:eastAsia="Times New Roman" w:hAnsi="Times New Roman" w:cs="Times New Roman"/>
          <w:sz w:val="28"/>
          <w:szCs w:val="28"/>
          <w:lang w:eastAsia="ru-RU"/>
        </w:rPr>
      </w:pPr>
      <w:r w:rsidRPr="00B12AA1">
        <w:rPr>
          <w:rFonts w:ascii="Times New Roman" w:eastAsia="Times New Roman" w:hAnsi="Times New Roman" w:cs="Times New Roman"/>
          <w:sz w:val="28"/>
          <w:szCs w:val="28"/>
          <w:lang w:eastAsia="ru-RU"/>
        </w:rPr>
        <w:t>Общий коэффициент рождаемости в 202</w:t>
      </w:r>
      <w:r w:rsidR="00186DE4" w:rsidRPr="00B12AA1">
        <w:rPr>
          <w:rFonts w:ascii="Times New Roman" w:eastAsia="Times New Roman" w:hAnsi="Times New Roman" w:cs="Times New Roman"/>
          <w:sz w:val="28"/>
          <w:szCs w:val="28"/>
          <w:lang w:eastAsia="ru-RU"/>
        </w:rPr>
        <w:t>1</w:t>
      </w:r>
      <w:r w:rsidRPr="00B12AA1">
        <w:rPr>
          <w:rFonts w:ascii="Times New Roman" w:eastAsia="Times New Roman" w:hAnsi="Times New Roman" w:cs="Times New Roman"/>
          <w:sz w:val="28"/>
          <w:szCs w:val="28"/>
          <w:lang w:eastAsia="ru-RU"/>
        </w:rPr>
        <w:t xml:space="preserve"> г</w:t>
      </w:r>
      <w:r w:rsidR="00B377D5" w:rsidRPr="00B12AA1">
        <w:rPr>
          <w:rFonts w:ascii="Times New Roman" w:eastAsia="Times New Roman" w:hAnsi="Times New Roman" w:cs="Times New Roman"/>
          <w:sz w:val="28"/>
          <w:szCs w:val="28"/>
          <w:lang w:eastAsia="ru-RU"/>
        </w:rPr>
        <w:t>.</w:t>
      </w:r>
      <w:r w:rsidRPr="00B12AA1">
        <w:rPr>
          <w:rFonts w:ascii="Times New Roman" w:eastAsia="Times New Roman" w:hAnsi="Times New Roman" w:cs="Times New Roman"/>
          <w:sz w:val="28"/>
          <w:szCs w:val="28"/>
          <w:lang w:eastAsia="ru-RU"/>
        </w:rPr>
        <w:t xml:space="preserve"> </w:t>
      </w:r>
      <w:r w:rsidR="00186DE4" w:rsidRPr="00B12AA1">
        <w:rPr>
          <w:rFonts w:ascii="Times New Roman" w:eastAsia="Times New Roman" w:hAnsi="Times New Roman" w:cs="Times New Roman"/>
          <w:sz w:val="28"/>
          <w:szCs w:val="28"/>
          <w:lang w:eastAsia="ru-RU"/>
        </w:rPr>
        <w:t xml:space="preserve">несколько </w:t>
      </w:r>
      <w:r w:rsidRPr="00B12AA1">
        <w:rPr>
          <w:rFonts w:ascii="Times New Roman" w:eastAsia="Times New Roman" w:hAnsi="Times New Roman" w:cs="Times New Roman"/>
          <w:sz w:val="28"/>
          <w:szCs w:val="28"/>
          <w:lang w:eastAsia="ru-RU"/>
        </w:rPr>
        <w:t>снизился до 9,</w:t>
      </w:r>
      <w:r w:rsidR="00186DE4" w:rsidRPr="00B12AA1">
        <w:rPr>
          <w:rFonts w:ascii="Times New Roman" w:eastAsia="Times New Roman" w:hAnsi="Times New Roman" w:cs="Times New Roman"/>
          <w:sz w:val="28"/>
          <w:szCs w:val="28"/>
          <w:lang w:eastAsia="ru-RU"/>
        </w:rPr>
        <w:t>6</w:t>
      </w:r>
      <w:r w:rsidRPr="00B12AA1">
        <w:rPr>
          <w:rFonts w:ascii="Times New Roman" w:eastAsia="Times New Roman" w:hAnsi="Times New Roman" w:cs="Times New Roman"/>
          <w:sz w:val="28"/>
          <w:szCs w:val="28"/>
          <w:lang w:eastAsia="ru-RU"/>
        </w:rPr>
        <w:t xml:space="preserve"> родившихся на 1 000 человек населения </w:t>
      </w:r>
      <w:r w:rsidR="006405C7" w:rsidRPr="00B12AA1">
        <w:rPr>
          <w:rFonts w:ascii="Times New Roman" w:eastAsia="Times New Roman" w:hAnsi="Times New Roman" w:cs="Times New Roman"/>
          <w:sz w:val="28"/>
          <w:szCs w:val="28"/>
          <w:lang w:eastAsia="ru-RU"/>
        </w:rPr>
        <w:t xml:space="preserve">(2020 г. – </w:t>
      </w:r>
      <w:r w:rsidR="006405C7" w:rsidRPr="00B12AA1">
        <w:rPr>
          <w:rFonts w:ascii="Times New Roman" w:eastAsia="Times New Roman" w:hAnsi="Times New Roman" w:cs="Times New Roman"/>
          <w:sz w:val="28"/>
          <w:szCs w:val="28"/>
          <w:lang w:eastAsia="ru-RU"/>
        </w:rPr>
        <w:lastRenderedPageBreak/>
        <w:t xml:space="preserve">9,8 родившихся на 1 000 человек населения; </w:t>
      </w:r>
      <w:r w:rsidRPr="00B12AA1">
        <w:rPr>
          <w:rFonts w:ascii="Times New Roman" w:eastAsia="Times New Roman" w:hAnsi="Times New Roman" w:cs="Times New Roman"/>
          <w:sz w:val="28"/>
          <w:szCs w:val="28"/>
          <w:lang w:eastAsia="ru-RU"/>
        </w:rPr>
        <w:t>2019 г. – 10,1 родившихся на 1 000 человек населения; 2018 г. – 10,9 родившихся на 1 000 человек населения). Снижение обусловлено в том числе снижением численности женщин репродуктивного возраста.</w:t>
      </w:r>
    </w:p>
    <w:p w14:paraId="4DE5D21E" w14:textId="450B6C22" w:rsidR="00AE5DF9" w:rsidRPr="00B12AA1" w:rsidRDefault="00AE5DF9" w:rsidP="00195355">
      <w:pPr>
        <w:widowControl w:val="0"/>
        <w:spacing w:after="0" w:line="312" w:lineRule="auto"/>
        <w:ind w:firstLine="709"/>
        <w:jc w:val="both"/>
        <w:rPr>
          <w:rFonts w:ascii="Times New Roman" w:eastAsia="Times New Roman" w:hAnsi="Times New Roman" w:cs="Times New Roman"/>
          <w:sz w:val="28"/>
          <w:szCs w:val="28"/>
          <w:lang w:eastAsia="ru-RU"/>
        </w:rPr>
      </w:pPr>
      <w:r w:rsidRPr="00B12AA1">
        <w:rPr>
          <w:rFonts w:ascii="Times New Roman" w:eastAsia="Times New Roman" w:hAnsi="Times New Roman" w:cs="Times New Roman"/>
          <w:sz w:val="28"/>
          <w:szCs w:val="28"/>
          <w:lang w:eastAsia="ru-RU"/>
        </w:rPr>
        <w:t>Так, на 1 января 202</w:t>
      </w:r>
      <w:r w:rsidR="003D4FBF" w:rsidRPr="00B12AA1">
        <w:rPr>
          <w:rFonts w:ascii="Times New Roman" w:eastAsia="Times New Roman" w:hAnsi="Times New Roman" w:cs="Times New Roman"/>
          <w:sz w:val="28"/>
          <w:szCs w:val="28"/>
          <w:lang w:eastAsia="ru-RU"/>
        </w:rPr>
        <w:t>2</w:t>
      </w:r>
      <w:r w:rsidR="00C32610" w:rsidRPr="00B12AA1">
        <w:rPr>
          <w:rFonts w:ascii="Times New Roman" w:eastAsia="Times New Roman" w:hAnsi="Times New Roman" w:cs="Times New Roman"/>
          <w:sz w:val="28"/>
          <w:szCs w:val="28"/>
          <w:lang w:eastAsia="ru-RU"/>
        </w:rPr>
        <w:t> </w:t>
      </w:r>
      <w:r w:rsidRPr="00B12AA1">
        <w:rPr>
          <w:rFonts w:ascii="Times New Roman" w:eastAsia="Times New Roman" w:hAnsi="Times New Roman" w:cs="Times New Roman"/>
          <w:sz w:val="28"/>
          <w:szCs w:val="28"/>
          <w:lang w:eastAsia="ru-RU"/>
        </w:rPr>
        <w:t>г</w:t>
      </w:r>
      <w:r w:rsidR="00B377D5" w:rsidRPr="00B12AA1">
        <w:rPr>
          <w:rFonts w:ascii="Times New Roman" w:eastAsia="Times New Roman" w:hAnsi="Times New Roman" w:cs="Times New Roman"/>
          <w:sz w:val="28"/>
          <w:szCs w:val="28"/>
          <w:lang w:eastAsia="ru-RU"/>
        </w:rPr>
        <w:t>.</w:t>
      </w:r>
      <w:r w:rsidRPr="00B12AA1">
        <w:rPr>
          <w:rFonts w:ascii="Times New Roman" w:eastAsia="Times New Roman" w:hAnsi="Times New Roman" w:cs="Times New Roman"/>
          <w:sz w:val="28"/>
          <w:szCs w:val="28"/>
          <w:lang w:eastAsia="ru-RU"/>
        </w:rPr>
        <w:t xml:space="preserve"> по сравнению с началом 202</w:t>
      </w:r>
      <w:r w:rsidR="003D4FBF" w:rsidRPr="00B12AA1">
        <w:rPr>
          <w:rFonts w:ascii="Times New Roman" w:eastAsia="Times New Roman" w:hAnsi="Times New Roman" w:cs="Times New Roman"/>
          <w:sz w:val="28"/>
          <w:szCs w:val="28"/>
          <w:lang w:eastAsia="ru-RU"/>
        </w:rPr>
        <w:t>1</w:t>
      </w:r>
      <w:r w:rsidRPr="00B12AA1">
        <w:rPr>
          <w:rFonts w:ascii="Times New Roman" w:eastAsia="Times New Roman" w:hAnsi="Times New Roman" w:cs="Times New Roman"/>
          <w:sz w:val="28"/>
          <w:szCs w:val="28"/>
          <w:lang w:eastAsia="ru-RU"/>
        </w:rPr>
        <w:t xml:space="preserve"> г</w:t>
      </w:r>
      <w:r w:rsidR="00B377D5" w:rsidRPr="00B12AA1">
        <w:rPr>
          <w:rFonts w:ascii="Times New Roman" w:eastAsia="Times New Roman" w:hAnsi="Times New Roman" w:cs="Times New Roman"/>
          <w:sz w:val="28"/>
          <w:szCs w:val="28"/>
          <w:lang w:eastAsia="ru-RU"/>
        </w:rPr>
        <w:t>.</w:t>
      </w:r>
      <w:r w:rsidRPr="00B12AA1">
        <w:rPr>
          <w:rFonts w:ascii="Times New Roman" w:eastAsia="Times New Roman" w:hAnsi="Times New Roman" w:cs="Times New Roman"/>
          <w:sz w:val="28"/>
          <w:szCs w:val="28"/>
          <w:lang w:eastAsia="ru-RU"/>
        </w:rPr>
        <w:t xml:space="preserve"> снижение численности женщин в возрасте 15-49 лет составило </w:t>
      </w:r>
      <w:r w:rsidR="007B1F10" w:rsidRPr="00B12AA1">
        <w:rPr>
          <w:rFonts w:ascii="Times New Roman" w:eastAsia="Times New Roman" w:hAnsi="Times New Roman" w:cs="Times New Roman"/>
          <w:sz w:val="28"/>
          <w:szCs w:val="28"/>
          <w:lang w:eastAsia="ru-RU"/>
        </w:rPr>
        <w:t>215</w:t>
      </w:r>
      <w:r w:rsidRPr="00B12AA1">
        <w:rPr>
          <w:rFonts w:ascii="Times New Roman" w:eastAsia="Times New Roman" w:hAnsi="Times New Roman" w:cs="Times New Roman"/>
          <w:sz w:val="28"/>
          <w:szCs w:val="28"/>
          <w:lang w:eastAsia="ru-RU"/>
        </w:rPr>
        <w:t>,</w:t>
      </w:r>
      <w:r w:rsidR="007B1F10" w:rsidRPr="00B12AA1">
        <w:rPr>
          <w:rFonts w:ascii="Times New Roman" w:eastAsia="Times New Roman" w:hAnsi="Times New Roman" w:cs="Times New Roman"/>
          <w:sz w:val="28"/>
          <w:szCs w:val="28"/>
          <w:lang w:eastAsia="ru-RU"/>
        </w:rPr>
        <w:t>0</w:t>
      </w:r>
      <w:r w:rsidR="00B377D5" w:rsidRPr="00B12AA1">
        <w:rPr>
          <w:rFonts w:ascii="Times New Roman" w:eastAsia="Times New Roman" w:hAnsi="Times New Roman" w:cs="Times New Roman"/>
          <w:sz w:val="28"/>
          <w:szCs w:val="28"/>
          <w:lang w:eastAsia="ru-RU"/>
        </w:rPr>
        <w:t xml:space="preserve"> тыс. человек или </w:t>
      </w:r>
      <w:r w:rsidRPr="00B12AA1">
        <w:rPr>
          <w:rFonts w:ascii="Times New Roman" w:eastAsia="Times New Roman" w:hAnsi="Times New Roman" w:cs="Times New Roman"/>
          <w:sz w:val="28"/>
          <w:szCs w:val="28"/>
          <w:lang w:eastAsia="ru-RU"/>
        </w:rPr>
        <w:t>-0,</w:t>
      </w:r>
      <w:r w:rsidR="007B1F10" w:rsidRPr="00B12AA1">
        <w:rPr>
          <w:rFonts w:ascii="Times New Roman" w:eastAsia="Times New Roman" w:hAnsi="Times New Roman" w:cs="Times New Roman"/>
          <w:sz w:val="28"/>
          <w:szCs w:val="28"/>
          <w:lang w:eastAsia="ru-RU"/>
        </w:rPr>
        <w:t>6</w:t>
      </w:r>
      <w:r w:rsidRPr="00B12AA1">
        <w:rPr>
          <w:rFonts w:ascii="Times New Roman" w:eastAsia="Times New Roman" w:hAnsi="Times New Roman" w:cs="Times New Roman"/>
          <w:sz w:val="28"/>
          <w:szCs w:val="28"/>
          <w:lang w:eastAsia="ru-RU"/>
        </w:rPr>
        <w:t xml:space="preserve">%. </w:t>
      </w:r>
      <w:r w:rsidR="007B1F10" w:rsidRPr="00B12AA1">
        <w:rPr>
          <w:rFonts w:ascii="Times New Roman" w:eastAsia="Times New Roman" w:hAnsi="Times New Roman" w:cs="Times New Roman"/>
          <w:sz w:val="28"/>
          <w:szCs w:val="28"/>
          <w:lang w:eastAsia="ru-RU"/>
        </w:rPr>
        <w:t>Н</w:t>
      </w:r>
      <w:r w:rsidRPr="00B12AA1">
        <w:rPr>
          <w:rFonts w:ascii="Times New Roman" w:eastAsia="Times New Roman" w:hAnsi="Times New Roman" w:cs="Times New Roman"/>
          <w:sz w:val="28"/>
          <w:szCs w:val="28"/>
          <w:lang w:eastAsia="ru-RU"/>
        </w:rPr>
        <w:t>аибольшее влияние на рождаемость оказывает численност</w:t>
      </w:r>
      <w:r w:rsidR="007B1F10" w:rsidRPr="00B12AA1">
        <w:rPr>
          <w:rFonts w:ascii="Times New Roman" w:eastAsia="Times New Roman" w:hAnsi="Times New Roman" w:cs="Times New Roman"/>
          <w:sz w:val="28"/>
          <w:szCs w:val="28"/>
          <w:lang w:eastAsia="ru-RU"/>
        </w:rPr>
        <w:t>ь</w:t>
      </w:r>
      <w:r w:rsidRPr="00B12AA1">
        <w:rPr>
          <w:rFonts w:ascii="Times New Roman" w:eastAsia="Times New Roman" w:hAnsi="Times New Roman" w:cs="Times New Roman"/>
          <w:sz w:val="28"/>
          <w:szCs w:val="28"/>
          <w:lang w:eastAsia="ru-RU"/>
        </w:rPr>
        <w:t xml:space="preserve"> женщин в возрасте 19-29 лет, котор</w:t>
      </w:r>
      <w:r w:rsidR="007B1F10" w:rsidRPr="00B12AA1">
        <w:rPr>
          <w:rFonts w:ascii="Times New Roman" w:eastAsia="Times New Roman" w:hAnsi="Times New Roman" w:cs="Times New Roman"/>
          <w:sz w:val="28"/>
          <w:szCs w:val="28"/>
          <w:lang w:eastAsia="ru-RU"/>
        </w:rPr>
        <w:t>ая по сравнению с предыдущим годом снизилась</w:t>
      </w:r>
      <w:r w:rsidR="00E40EFE" w:rsidRPr="00B12AA1">
        <w:rPr>
          <w:rFonts w:ascii="Times New Roman" w:eastAsia="Times New Roman" w:hAnsi="Times New Roman" w:cs="Times New Roman"/>
          <w:sz w:val="28"/>
          <w:szCs w:val="28"/>
          <w:lang w:eastAsia="ru-RU"/>
        </w:rPr>
        <w:t> </w:t>
      </w:r>
      <w:r w:rsidR="007B1F10" w:rsidRPr="00B12AA1">
        <w:rPr>
          <w:rFonts w:ascii="Times New Roman" w:eastAsia="Times New Roman" w:hAnsi="Times New Roman" w:cs="Times New Roman"/>
          <w:sz w:val="28"/>
          <w:szCs w:val="28"/>
          <w:lang w:eastAsia="ru-RU"/>
        </w:rPr>
        <w:t>на 257,7 тыс.</w:t>
      </w:r>
      <w:r w:rsidR="007B1F10" w:rsidRPr="00B12AA1">
        <w:rPr>
          <w:rFonts w:ascii="Times New Roman" w:eastAsia="Times New Roman" w:hAnsi="Times New Roman" w:cs="Times New Roman"/>
          <w:spacing w:val="-4"/>
          <w:sz w:val="28"/>
          <w:szCs w:val="28"/>
          <w:lang w:eastAsia="ru-RU"/>
        </w:rPr>
        <w:t xml:space="preserve"> женщин и составила 7 914,3 тыс. женщин</w:t>
      </w:r>
      <w:r w:rsidRPr="00B12AA1">
        <w:rPr>
          <w:rFonts w:ascii="Times New Roman" w:eastAsia="Times New Roman" w:hAnsi="Times New Roman" w:cs="Times New Roman"/>
          <w:sz w:val="28"/>
          <w:szCs w:val="28"/>
          <w:lang w:eastAsia="ru-RU"/>
        </w:rPr>
        <w:t xml:space="preserve">. </w:t>
      </w:r>
      <w:r w:rsidR="007B1F10" w:rsidRPr="00B12AA1">
        <w:rPr>
          <w:rFonts w:ascii="Times New Roman" w:eastAsia="Times New Roman" w:hAnsi="Times New Roman" w:cs="Times New Roman"/>
          <w:sz w:val="28"/>
          <w:szCs w:val="28"/>
          <w:lang w:eastAsia="ru-RU"/>
        </w:rPr>
        <w:t xml:space="preserve">При этом отмечается замедление темпов снижения </w:t>
      </w:r>
      <w:r w:rsidR="006752BD" w:rsidRPr="00B12AA1">
        <w:rPr>
          <w:rFonts w:ascii="Times New Roman" w:eastAsia="Times New Roman" w:hAnsi="Times New Roman" w:cs="Times New Roman"/>
          <w:sz w:val="28"/>
          <w:szCs w:val="28"/>
          <w:lang w:eastAsia="ru-RU"/>
        </w:rPr>
        <w:t>до -3,2% (за период с начала 2021 г</w:t>
      </w:r>
      <w:r w:rsidR="00706A68" w:rsidRPr="00B12AA1">
        <w:rPr>
          <w:rFonts w:ascii="Times New Roman" w:eastAsia="Times New Roman" w:hAnsi="Times New Roman" w:cs="Times New Roman"/>
          <w:sz w:val="28"/>
          <w:szCs w:val="28"/>
          <w:lang w:eastAsia="ru-RU"/>
        </w:rPr>
        <w:t>.</w:t>
      </w:r>
      <w:r w:rsidR="006752BD" w:rsidRPr="00B12AA1">
        <w:rPr>
          <w:rFonts w:ascii="Times New Roman" w:eastAsia="Times New Roman" w:hAnsi="Times New Roman" w:cs="Times New Roman"/>
          <w:sz w:val="28"/>
          <w:szCs w:val="28"/>
          <w:lang w:eastAsia="ru-RU"/>
        </w:rPr>
        <w:t xml:space="preserve"> – 8 172,0 тыс. женщин, -483,5 тыс. женщин или -5,6% к предыдущему периоду; на начало 2020 </w:t>
      </w:r>
      <w:r w:rsidR="00706A68" w:rsidRPr="00B12AA1">
        <w:rPr>
          <w:rFonts w:ascii="Times New Roman" w:eastAsia="Times New Roman" w:hAnsi="Times New Roman" w:cs="Times New Roman"/>
          <w:sz w:val="28"/>
          <w:szCs w:val="28"/>
          <w:lang w:eastAsia="ru-RU"/>
        </w:rPr>
        <w:t>г.</w:t>
      </w:r>
      <w:r w:rsidR="006752BD" w:rsidRPr="00B12AA1">
        <w:rPr>
          <w:rFonts w:ascii="Times New Roman" w:eastAsia="Times New Roman" w:hAnsi="Times New Roman" w:cs="Times New Roman"/>
          <w:sz w:val="28"/>
          <w:szCs w:val="28"/>
          <w:lang w:eastAsia="ru-RU"/>
        </w:rPr>
        <w:t xml:space="preserve"> – 8 655,5 тыс. женщин, -477,2 тыс. женщин или -5,2% к предыдущему периоду; на начало 2019 </w:t>
      </w:r>
      <w:r w:rsidR="00706A68" w:rsidRPr="00B12AA1">
        <w:rPr>
          <w:rFonts w:ascii="Times New Roman" w:eastAsia="Times New Roman" w:hAnsi="Times New Roman" w:cs="Times New Roman"/>
          <w:sz w:val="28"/>
          <w:szCs w:val="28"/>
          <w:lang w:eastAsia="ru-RU"/>
        </w:rPr>
        <w:t>г.</w:t>
      </w:r>
      <w:r w:rsidR="006752BD" w:rsidRPr="00B12AA1">
        <w:rPr>
          <w:rFonts w:ascii="Times New Roman" w:eastAsia="Times New Roman" w:hAnsi="Times New Roman" w:cs="Times New Roman"/>
          <w:sz w:val="28"/>
          <w:szCs w:val="28"/>
          <w:lang w:eastAsia="ru-RU"/>
        </w:rPr>
        <w:t xml:space="preserve"> – 9 132,7 тыс. женщин, </w:t>
      </w:r>
      <w:r w:rsidR="00E92579">
        <w:rPr>
          <w:rFonts w:ascii="Times New Roman" w:eastAsia="Times New Roman" w:hAnsi="Times New Roman" w:cs="Times New Roman"/>
          <w:sz w:val="28"/>
          <w:szCs w:val="28"/>
          <w:lang w:eastAsia="ru-RU"/>
        </w:rPr>
        <w:br/>
      </w:r>
      <w:r w:rsidR="006752BD" w:rsidRPr="00B12AA1">
        <w:rPr>
          <w:rFonts w:ascii="Times New Roman" w:eastAsia="Times New Roman" w:hAnsi="Times New Roman" w:cs="Times New Roman"/>
          <w:sz w:val="28"/>
          <w:szCs w:val="28"/>
          <w:lang w:eastAsia="ru-RU"/>
        </w:rPr>
        <w:t>-587,3 тыс. женщин или -6,0% к предыдущему периоду).</w:t>
      </w:r>
    </w:p>
    <w:p w14:paraId="04BA9A80" w14:textId="68C597CC" w:rsidR="00AE5DF9" w:rsidRPr="00B12AA1" w:rsidRDefault="00AE5DF9" w:rsidP="00195355">
      <w:pPr>
        <w:widowControl w:val="0"/>
        <w:spacing w:after="0" w:line="312" w:lineRule="auto"/>
        <w:ind w:firstLine="709"/>
        <w:jc w:val="both"/>
        <w:rPr>
          <w:rFonts w:ascii="Times New Roman" w:eastAsia="Times New Roman" w:hAnsi="Times New Roman" w:cs="Times New Roman"/>
          <w:sz w:val="28"/>
          <w:szCs w:val="28"/>
          <w:lang w:eastAsia="ru-RU"/>
        </w:rPr>
      </w:pPr>
      <w:r w:rsidRPr="00B12AA1">
        <w:rPr>
          <w:rFonts w:ascii="Times New Roman" w:eastAsia="Times New Roman" w:hAnsi="Times New Roman" w:cs="Times New Roman"/>
          <w:sz w:val="28"/>
          <w:szCs w:val="28"/>
          <w:lang w:eastAsia="ru-RU"/>
        </w:rPr>
        <w:t>В 202</w:t>
      </w:r>
      <w:r w:rsidR="006752BD" w:rsidRPr="00B12AA1">
        <w:rPr>
          <w:rFonts w:ascii="Times New Roman" w:eastAsia="Times New Roman" w:hAnsi="Times New Roman" w:cs="Times New Roman"/>
          <w:sz w:val="28"/>
          <w:szCs w:val="28"/>
          <w:lang w:eastAsia="ru-RU"/>
        </w:rPr>
        <w:t>1</w:t>
      </w:r>
      <w:r w:rsidRPr="00B12AA1">
        <w:rPr>
          <w:rFonts w:ascii="Times New Roman" w:eastAsia="Times New Roman" w:hAnsi="Times New Roman" w:cs="Times New Roman"/>
          <w:sz w:val="28"/>
          <w:szCs w:val="28"/>
          <w:lang w:eastAsia="ru-RU"/>
        </w:rPr>
        <w:t xml:space="preserve"> г</w:t>
      </w:r>
      <w:r w:rsidR="00B377D5" w:rsidRPr="00B12AA1">
        <w:rPr>
          <w:rFonts w:ascii="Times New Roman" w:eastAsia="Times New Roman" w:hAnsi="Times New Roman" w:cs="Times New Roman"/>
          <w:sz w:val="28"/>
          <w:szCs w:val="28"/>
          <w:lang w:eastAsia="ru-RU"/>
        </w:rPr>
        <w:t>.</w:t>
      </w:r>
      <w:r w:rsidRPr="00B12AA1">
        <w:rPr>
          <w:rFonts w:ascii="Times New Roman" w:eastAsia="Times New Roman" w:hAnsi="Times New Roman" w:cs="Times New Roman"/>
          <w:sz w:val="28"/>
          <w:szCs w:val="28"/>
          <w:lang w:eastAsia="ru-RU"/>
        </w:rPr>
        <w:t xml:space="preserve"> по сравнению с предыдущим годом число заключаемых браков </w:t>
      </w:r>
      <w:r w:rsidR="006752BD" w:rsidRPr="00B12AA1">
        <w:rPr>
          <w:rFonts w:ascii="Times New Roman" w:eastAsia="Times New Roman" w:hAnsi="Times New Roman" w:cs="Times New Roman"/>
          <w:sz w:val="28"/>
          <w:szCs w:val="28"/>
          <w:lang w:eastAsia="ru-RU"/>
        </w:rPr>
        <w:t>увеличилось</w:t>
      </w:r>
      <w:r w:rsidRPr="00B12AA1">
        <w:rPr>
          <w:rFonts w:ascii="Times New Roman" w:eastAsia="Times New Roman" w:hAnsi="Times New Roman" w:cs="Times New Roman"/>
          <w:sz w:val="28"/>
          <w:szCs w:val="28"/>
          <w:lang w:eastAsia="ru-RU"/>
        </w:rPr>
        <w:t xml:space="preserve"> и составило </w:t>
      </w:r>
      <w:r w:rsidR="00247725" w:rsidRPr="00B12AA1">
        <w:rPr>
          <w:rFonts w:ascii="Times New Roman" w:eastAsia="Times New Roman" w:hAnsi="Times New Roman" w:cs="Times New Roman"/>
          <w:sz w:val="28"/>
          <w:szCs w:val="28"/>
          <w:lang w:eastAsia="ru-RU"/>
        </w:rPr>
        <w:t>923</w:t>
      </w:r>
      <w:r w:rsidRPr="00B12AA1">
        <w:rPr>
          <w:rFonts w:ascii="Times New Roman" w:eastAsia="Times New Roman" w:hAnsi="Times New Roman" w:cs="Times New Roman"/>
          <w:sz w:val="28"/>
          <w:szCs w:val="28"/>
          <w:lang w:eastAsia="ru-RU"/>
        </w:rPr>
        <w:t>,</w:t>
      </w:r>
      <w:r w:rsidR="00247725" w:rsidRPr="00B12AA1">
        <w:rPr>
          <w:rFonts w:ascii="Times New Roman" w:eastAsia="Times New Roman" w:hAnsi="Times New Roman" w:cs="Times New Roman"/>
          <w:sz w:val="28"/>
          <w:szCs w:val="28"/>
          <w:lang w:eastAsia="ru-RU"/>
        </w:rPr>
        <w:t>6</w:t>
      </w:r>
      <w:r w:rsidRPr="00B12AA1">
        <w:rPr>
          <w:rFonts w:ascii="Times New Roman" w:eastAsia="Times New Roman" w:hAnsi="Times New Roman" w:cs="Times New Roman"/>
          <w:sz w:val="28"/>
          <w:szCs w:val="28"/>
          <w:lang w:eastAsia="ru-RU"/>
        </w:rPr>
        <w:t> тыс. (</w:t>
      </w:r>
      <w:r w:rsidR="00247725" w:rsidRPr="00B12AA1">
        <w:rPr>
          <w:rFonts w:ascii="Times New Roman" w:eastAsia="Times New Roman" w:hAnsi="Times New Roman" w:cs="Times New Roman"/>
          <w:sz w:val="28"/>
          <w:szCs w:val="28"/>
          <w:lang w:eastAsia="ru-RU"/>
        </w:rPr>
        <w:t xml:space="preserve">2020 г. – 770,9 тыс. браков; </w:t>
      </w:r>
      <w:r w:rsidRPr="00B12AA1">
        <w:rPr>
          <w:rFonts w:ascii="Times New Roman" w:eastAsia="Times New Roman" w:hAnsi="Times New Roman" w:cs="Times New Roman"/>
          <w:sz w:val="28"/>
          <w:szCs w:val="28"/>
          <w:lang w:eastAsia="ru-RU"/>
        </w:rPr>
        <w:t xml:space="preserve">2019 г. – 950,2 тыс. браков; 2018 г. – 893,0 тыс. браков; 2017 г. – 1 049,7 тыс. браков). Коэффициент </w:t>
      </w:r>
      <w:proofErr w:type="spellStart"/>
      <w:r w:rsidRPr="00B12AA1">
        <w:rPr>
          <w:rFonts w:ascii="Times New Roman" w:eastAsia="Times New Roman" w:hAnsi="Times New Roman" w:cs="Times New Roman"/>
          <w:sz w:val="28"/>
          <w:szCs w:val="28"/>
          <w:lang w:eastAsia="ru-RU"/>
        </w:rPr>
        <w:t>брачности</w:t>
      </w:r>
      <w:proofErr w:type="spellEnd"/>
      <w:r w:rsidRPr="00B12AA1">
        <w:rPr>
          <w:rFonts w:ascii="Times New Roman" w:eastAsia="Times New Roman" w:hAnsi="Times New Roman" w:cs="Times New Roman"/>
          <w:sz w:val="28"/>
          <w:szCs w:val="28"/>
          <w:lang w:eastAsia="ru-RU"/>
        </w:rPr>
        <w:t xml:space="preserve"> в 202</w:t>
      </w:r>
      <w:r w:rsidR="00247725" w:rsidRPr="00B12AA1">
        <w:rPr>
          <w:rFonts w:ascii="Times New Roman" w:eastAsia="Times New Roman" w:hAnsi="Times New Roman" w:cs="Times New Roman"/>
          <w:sz w:val="28"/>
          <w:szCs w:val="28"/>
          <w:lang w:eastAsia="ru-RU"/>
        </w:rPr>
        <w:t>1</w:t>
      </w:r>
      <w:r w:rsidRPr="00B12AA1">
        <w:rPr>
          <w:rFonts w:ascii="Times New Roman" w:eastAsia="Times New Roman" w:hAnsi="Times New Roman" w:cs="Times New Roman"/>
          <w:sz w:val="28"/>
          <w:szCs w:val="28"/>
          <w:lang w:eastAsia="ru-RU"/>
        </w:rPr>
        <w:t xml:space="preserve"> г</w:t>
      </w:r>
      <w:r w:rsidR="00B377D5" w:rsidRPr="00B12AA1">
        <w:rPr>
          <w:rFonts w:ascii="Times New Roman" w:eastAsia="Times New Roman" w:hAnsi="Times New Roman" w:cs="Times New Roman"/>
          <w:sz w:val="28"/>
          <w:szCs w:val="28"/>
          <w:lang w:eastAsia="ru-RU"/>
        </w:rPr>
        <w:t>.</w:t>
      </w:r>
      <w:r w:rsidRPr="00B12AA1">
        <w:rPr>
          <w:rFonts w:ascii="Times New Roman" w:eastAsia="Times New Roman" w:hAnsi="Times New Roman" w:cs="Times New Roman"/>
          <w:sz w:val="28"/>
          <w:szCs w:val="28"/>
          <w:lang w:eastAsia="ru-RU"/>
        </w:rPr>
        <w:t xml:space="preserve"> составил </w:t>
      </w:r>
      <w:r w:rsidR="00247725" w:rsidRPr="00B12AA1">
        <w:rPr>
          <w:rFonts w:ascii="Times New Roman" w:eastAsia="Times New Roman" w:hAnsi="Times New Roman" w:cs="Times New Roman"/>
          <w:sz w:val="28"/>
          <w:szCs w:val="28"/>
          <w:lang w:eastAsia="ru-RU"/>
        </w:rPr>
        <w:t xml:space="preserve">6,3 на 1 000 человек населения (2020 г. – </w:t>
      </w:r>
      <w:r w:rsidRPr="00B12AA1">
        <w:rPr>
          <w:rFonts w:ascii="Times New Roman" w:eastAsia="Times New Roman" w:hAnsi="Times New Roman" w:cs="Times New Roman"/>
          <w:sz w:val="28"/>
          <w:szCs w:val="28"/>
          <w:lang w:eastAsia="ru-RU"/>
        </w:rPr>
        <w:t>5,3 на 1 000 человек населения</w:t>
      </w:r>
      <w:r w:rsidR="00247725" w:rsidRPr="00B12AA1">
        <w:rPr>
          <w:rFonts w:ascii="Times New Roman" w:eastAsia="Times New Roman" w:hAnsi="Times New Roman" w:cs="Times New Roman"/>
          <w:sz w:val="28"/>
          <w:szCs w:val="28"/>
          <w:lang w:eastAsia="ru-RU"/>
        </w:rPr>
        <w:t xml:space="preserve">; </w:t>
      </w:r>
      <w:r w:rsidRPr="00B12AA1">
        <w:rPr>
          <w:rFonts w:ascii="Times New Roman" w:eastAsia="Times New Roman" w:hAnsi="Times New Roman" w:cs="Times New Roman"/>
          <w:sz w:val="28"/>
          <w:szCs w:val="28"/>
          <w:lang w:eastAsia="ru-RU"/>
        </w:rPr>
        <w:t>2019 г. – 6,5 на 1 000 человек; 2018 г. – 6,1 на 1 000 человек населения; 2017 г. – 7,1 на 1 000 человек нас</w:t>
      </w:r>
      <w:r w:rsidR="00247725" w:rsidRPr="00B12AA1">
        <w:rPr>
          <w:rFonts w:ascii="Times New Roman" w:eastAsia="Times New Roman" w:hAnsi="Times New Roman" w:cs="Times New Roman"/>
          <w:sz w:val="28"/>
          <w:szCs w:val="28"/>
          <w:lang w:eastAsia="ru-RU"/>
        </w:rPr>
        <w:t>еления</w:t>
      </w:r>
      <w:r w:rsidRPr="00B12AA1">
        <w:rPr>
          <w:rFonts w:ascii="Times New Roman" w:eastAsia="Times New Roman" w:hAnsi="Times New Roman" w:cs="Times New Roman"/>
          <w:sz w:val="28"/>
          <w:szCs w:val="28"/>
          <w:lang w:eastAsia="ru-RU"/>
        </w:rPr>
        <w:t>).</w:t>
      </w:r>
    </w:p>
    <w:p w14:paraId="05C5CC90" w14:textId="5B3331AC" w:rsidR="00AE5DF9" w:rsidRPr="00B12AA1" w:rsidRDefault="00247725" w:rsidP="00195355">
      <w:pPr>
        <w:widowControl w:val="0"/>
        <w:spacing w:after="0" w:line="312" w:lineRule="auto"/>
        <w:ind w:firstLine="709"/>
        <w:jc w:val="both"/>
        <w:rPr>
          <w:rFonts w:ascii="Times New Roman" w:eastAsia="Times New Roman" w:hAnsi="Times New Roman" w:cs="Times New Roman"/>
          <w:sz w:val="28"/>
          <w:szCs w:val="28"/>
          <w:lang w:eastAsia="ru-RU"/>
        </w:rPr>
      </w:pPr>
      <w:r w:rsidRPr="00D959C3">
        <w:rPr>
          <w:rFonts w:ascii="Times New Roman" w:eastAsia="Times New Roman" w:hAnsi="Times New Roman" w:cs="Times New Roman"/>
          <w:sz w:val="28"/>
          <w:szCs w:val="28"/>
          <w:lang w:eastAsia="ru-RU"/>
        </w:rPr>
        <w:t>Второй год подряд наблюдается рост к</w:t>
      </w:r>
      <w:r w:rsidR="00AE5DF9" w:rsidRPr="00D959C3">
        <w:rPr>
          <w:rFonts w:ascii="Times New Roman" w:eastAsia="Times New Roman" w:hAnsi="Times New Roman" w:cs="Times New Roman"/>
          <w:sz w:val="28"/>
          <w:szCs w:val="28"/>
          <w:lang w:eastAsia="ru-RU"/>
        </w:rPr>
        <w:t>оэффициент</w:t>
      </w:r>
      <w:r w:rsidRPr="00D959C3">
        <w:rPr>
          <w:rFonts w:ascii="Times New Roman" w:eastAsia="Times New Roman" w:hAnsi="Times New Roman" w:cs="Times New Roman"/>
          <w:sz w:val="28"/>
          <w:szCs w:val="28"/>
          <w:lang w:eastAsia="ru-RU"/>
        </w:rPr>
        <w:t>а</w:t>
      </w:r>
      <w:r w:rsidR="00FA019A" w:rsidRPr="00D959C3">
        <w:rPr>
          <w:rFonts w:ascii="Times New Roman" w:eastAsia="Times New Roman" w:hAnsi="Times New Roman" w:cs="Times New Roman"/>
          <w:sz w:val="28"/>
          <w:szCs w:val="28"/>
          <w:lang w:eastAsia="ru-RU"/>
        </w:rPr>
        <w:t xml:space="preserve"> материнской смертности, </w:t>
      </w:r>
      <w:r w:rsidR="00AE5DF9" w:rsidRPr="00D959C3">
        <w:rPr>
          <w:rFonts w:ascii="Times New Roman" w:eastAsia="Times New Roman" w:hAnsi="Times New Roman" w:cs="Times New Roman"/>
          <w:sz w:val="28"/>
          <w:szCs w:val="28"/>
          <w:lang w:eastAsia="ru-RU"/>
        </w:rPr>
        <w:t>состави</w:t>
      </w:r>
      <w:r w:rsidR="00FA019A" w:rsidRPr="00D959C3">
        <w:rPr>
          <w:rFonts w:ascii="Times New Roman" w:eastAsia="Times New Roman" w:hAnsi="Times New Roman" w:cs="Times New Roman"/>
          <w:sz w:val="28"/>
          <w:szCs w:val="28"/>
          <w:lang w:eastAsia="ru-RU"/>
        </w:rPr>
        <w:t>вшего</w:t>
      </w:r>
      <w:r w:rsidR="00E40EFE" w:rsidRPr="00D959C3">
        <w:rPr>
          <w:rFonts w:ascii="Times New Roman" w:eastAsia="Times New Roman" w:hAnsi="Times New Roman" w:cs="Times New Roman"/>
          <w:sz w:val="28"/>
          <w:szCs w:val="28"/>
          <w:lang w:eastAsia="ru-RU"/>
        </w:rPr>
        <w:t> </w:t>
      </w:r>
      <w:r w:rsidR="00FA019A" w:rsidRPr="00D959C3">
        <w:rPr>
          <w:rFonts w:ascii="Times New Roman" w:eastAsia="Times New Roman" w:hAnsi="Times New Roman" w:cs="Times New Roman"/>
          <w:sz w:val="28"/>
          <w:szCs w:val="28"/>
          <w:lang w:eastAsia="ru-RU"/>
        </w:rPr>
        <w:t>34</w:t>
      </w:r>
      <w:r w:rsidR="00AE5DF9" w:rsidRPr="00D959C3">
        <w:rPr>
          <w:rFonts w:ascii="Times New Roman" w:eastAsia="Times New Roman" w:hAnsi="Times New Roman" w:cs="Times New Roman"/>
          <w:sz w:val="28"/>
          <w:szCs w:val="28"/>
          <w:lang w:eastAsia="ru-RU"/>
        </w:rPr>
        <w:t>,</w:t>
      </w:r>
      <w:r w:rsidR="00FA019A" w:rsidRPr="00D959C3">
        <w:rPr>
          <w:rFonts w:ascii="Times New Roman" w:eastAsia="Times New Roman" w:hAnsi="Times New Roman" w:cs="Times New Roman"/>
          <w:sz w:val="28"/>
          <w:szCs w:val="28"/>
          <w:lang w:eastAsia="ru-RU"/>
        </w:rPr>
        <w:t>5</w:t>
      </w:r>
      <w:r w:rsidR="00AE5DF9" w:rsidRPr="00D959C3">
        <w:rPr>
          <w:rFonts w:ascii="Times New Roman" w:eastAsia="Times New Roman" w:hAnsi="Times New Roman" w:cs="Times New Roman"/>
          <w:sz w:val="28"/>
          <w:szCs w:val="28"/>
          <w:lang w:eastAsia="ru-RU"/>
        </w:rPr>
        <w:t xml:space="preserve"> на 100 тыс. родившихся живыми (</w:t>
      </w:r>
      <w:r w:rsidR="00FA019A" w:rsidRPr="00D959C3">
        <w:rPr>
          <w:rFonts w:ascii="Times New Roman" w:eastAsia="Times New Roman" w:hAnsi="Times New Roman" w:cs="Times New Roman"/>
          <w:sz w:val="28"/>
          <w:szCs w:val="28"/>
          <w:lang w:eastAsia="ru-RU"/>
        </w:rPr>
        <w:t xml:space="preserve">2020 г. – 11,2 на 100 тыс. родившихся живыми; </w:t>
      </w:r>
      <w:r w:rsidR="00AE5DF9" w:rsidRPr="00D959C3">
        <w:rPr>
          <w:rFonts w:ascii="Times New Roman" w:eastAsia="Times New Roman" w:hAnsi="Times New Roman" w:cs="Times New Roman"/>
          <w:sz w:val="28"/>
          <w:szCs w:val="28"/>
          <w:lang w:eastAsia="ru-RU"/>
        </w:rPr>
        <w:t>2019 г. – 9,0 на 100 тыс. родившихся живыми; 2018 г. – 9,1 на 100 тыс. родившихся живыми; 2017 г. – 8,</w:t>
      </w:r>
      <w:r w:rsidR="00FA019A" w:rsidRPr="00D959C3">
        <w:rPr>
          <w:rFonts w:ascii="Times New Roman" w:eastAsia="Times New Roman" w:hAnsi="Times New Roman" w:cs="Times New Roman"/>
          <w:sz w:val="28"/>
          <w:szCs w:val="28"/>
          <w:lang w:eastAsia="ru-RU"/>
        </w:rPr>
        <w:t>8 на 100 тыс. родившихся живыми</w:t>
      </w:r>
      <w:r w:rsidR="00AE5DF9" w:rsidRPr="00D959C3">
        <w:rPr>
          <w:rFonts w:ascii="Times New Roman" w:eastAsia="Times New Roman" w:hAnsi="Times New Roman" w:cs="Times New Roman"/>
          <w:sz w:val="28"/>
          <w:szCs w:val="28"/>
          <w:lang w:eastAsia="ru-RU"/>
        </w:rPr>
        <w:t>).</w:t>
      </w:r>
    </w:p>
    <w:p w14:paraId="10455C4C" w14:textId="62402BB7" w:rsidR="00AE5DF9" w:rsidRPr="00B12AA1" w:rsidRDefault="00FC03F1" w:rsidP="00195355">
      <w:pPr>
        <w:widowControl w:val="0"/>
        <w:spacing w:after="0" w:line="312" w:lineRule="auto"/>
        <w:ind w:firstLine="709"/>
        <w:jc w:val="both"/>
        <w:rPr>
          <w:rFonts w:ascii="Times New Roman" w:eastAsia="Times New Roman" w:hAnsi="Times New Roman" w:cs="Times New Roman"/>
          <w:sz w:val="28"/>
          <w:szCs w:val="28"/>
          <w:lang w:eastAsia="ru-RU"/>
        </w:rPr>
      </w:pPr>
      <w:r w:rsidRPr="00B12AA1">
        <w:rPr>
          <w:rFonts w:ascii="Times New Roman" w:eastAsia="Times New Roman" w:hAnsi="Times New Roman" w:cs="Times New Roman"/>
          <w:sz w:val="28"/>
          <w:szCs w:val="28"/>
          <w:lang w:eastAsia="ru-RU"/>
        </w:rPr>
        <w:t>После с</w:t>
      </w:r>
      <w:r w:rsidR="00AE5DF9" w:rsidRPr="00B12AA1">
        <w:rPr>
          <w:rFonts w:ascii="Times New Roman" w:eastAsia="Times New Roman" w:hAnsi="Times New Roman" w:cs="Times New Roman"/>
          <w:sz w:val="28"/>
          <w:szCs w:val="28"/>
          <w:lang w:eastAsia="ru-RU"/>
        </w:rPr>
        <w:t>нижени</w:t>
      </w:r>
      <w:r w:rsidRPr="00B12AA1">
        <w:rPr>
          <w:rFonts w:ascii="Times New Roman" w:eastAsia="Times New Roman" w:hAnsi="Times New Roman" w:cs="Times New Roman"/>
          <w:sz w:val="28"/>
          <w:szCs w:val="28"/>
          <w:lang w:eastAsia="ru-RU"/>
        </w:rPr>
        <w:t>я</w:t>
      </w:r>
      <w:r w:rsidR="00AE5DF9" w:rsidRPr="00B12AA1">
        <w:rPr>
          <w:rFonts w:ascii="Times New Roman" w:eastAsia="Times New Roman" w:hAnsi="Times New Roman" w:cs="Times New Roman"/>
          <w:sz w:val="28"/>
          <w:szCs w:val="28"/>
          <w:lang w:eastAsia="ru-RU"/>
        </w:rPr>
        <w:t xml:space="preserve"> младенческой смертности на протяжении </w:t>
      </w:r>
      <w:r w:rsidRPr="00B12AA1">
        <w:rPr>
          <w:rFonts w:ascii="Times New Roman" w:eastAsia="Times New Roman" w:hAnsi="Times New Roman" w:cs="Times New Roman"/>
          <w:sz w:val="28"/>
          <w:szCs w:val="28"/>
          <w:lang w:eastAsia="ru-RU"/>
        </w:rPr>
        <w:t>нескольких лет в 2021 г</w:t>
      </w:r>
      <w:r w:rsidR="00B377D5" w:rsidRPr="00B12AA1">
        <w:rPr>
          <w:rFonts w:ascii="Times New Roman" w:eastAsia="Times New Roman" w:hAnsi="Times New Roman" w:cs="Times New Roman"/>
          <w:sz w:val="28"/>
          <w:szCs w:val="28"/>
          <w:lang w:eastAsia="ru-RU"/>
        </w:rPr>
        <w:t>.</w:t>
      </w:r>
      <w:r w:rsidRPr="00B12AA1">
        <w:rPr>
          <w:rFonts w:ascii="Times New Roman" w:eastAsia="Times New Roman" w:hAnsi="Times New Roman" w:cs="Times New Roman"/>
          <w:sz w:val="28"/>
          <w:szCs w:val="28"/>
          <w:lang w:eastAsia="ru-RU"/>
        </w:rPr>
        <w:t xml:space="preserve"> показатель незначительно превысил уровень прошлого года на 0,4%, составив 6,5 тыс. детей</w:t>
      </w:r>
      <w:r w:rsidR="00AE5DF9" w:rsidRPr="00B12AA1">
        <w:rPr>
          <w:rFonts w:ascii="Times New Roman" w:eastAsia="Times New Roman" w:hAnsi="Times New Roman" w:cs="Times New Roman"/>
          <w:sz w:val="28"/>
          <w:szCs w:val="28"/>
          <w:lang w:eastAsia="ru-RU"/>
        </w:rPr>
        <w:t xml:space="preserve"> (2020 г. – </w:t>
      </w:r>
      <w:r w:rsidR="00AE5DF9" w:rsidRPr="00B12AA1">
        <w:rPr>
          <w:rFonts w:ascii="Times New Roman" w:eastAsia="Times New Roman" w:hAnsi="Times New Roman" w:cs="Times New Roman"/>
          <w:sz w:val="28"/>
          <w:szCs w:val="28"/>
          <w:lang w:eastAsia="ru-RU"/>
        </w:rPr>
        <w:lastRenderedPageBreak/>
        <w:t xml:space="preserve">6,5 тыс. детей; 2019 г. – 7,3 тыс. детей; 2018 г. – 8,2 тыс. </w:t>
      </w:r>
      <w:r w:rsidR="005274F2" w:rsidRPr="00B12AA1">
        <w:rPr>
          <w:rFonts w:ascii="Times New Roman" w:eastAsia="Times New Roman" w:hAnsi="Times New Roman" w:cs="Times New Roman"/>
          <w:sz w:val="28"/>
          <w:szCs w:val="28"/>
          <w:lang w:eastAsia="ru-RU"/>
        </w:rPr>
        <w:t>детей; 2017 г. – 9,6 тыс. детей</w:t>
      </w:r>
      <w:r w:rsidR="00AE5DF9" w:rsidRPr="00B12AA1">
        <w:rPr>
          <w:rFonts w:ascii="Times New Roman" w:eastAsia="Times New Roman" w:hAnsi="Times New Roman" w:cs="Times New Roman"/>
          <w:sz w:val="28"/>
          <w:szCs w:val="28"/>
          <w:lang w:eastAsia="ru-RU"/>
        </w:rPr>
        <w:t>). В 202</w:t>
      </w:r>
      <w:r w:rsidR="005274F2" w:rsidRPr="00B12AA1">
        <w:rPr>
          <w:rFonts w:ascii="Times New Roman" w:eastAsia="Times New Roman" w:hAnsi="Times New Roman" w:cs="Times New Roman"/>
          <w:sz w:val="28"/>
          <w:szCs w:val="28"/>
          <w:lang w:eastAsia="ru-RU"/>
        </w:rPr>
        <w:t>1</w:t>
      </w:r>
      <w:r w:rsidR="00AE5DF9" w:rsidRPr="00B12AA1">
        <w:rPr>
          <w:rFonts w:ascii="Times New Roman" w:eastAsia="Times New Roman" w:hAnsi="Times New Roman" w:cs="Times New Roman"/>
          <w:sz w:val="28"/>
          <w:szCs w:val="28"/>
          <w:lang w:eastAsia="ru-RU"/>
        </w:rPr>
        <w:t xml:space="preserve"> г</w:t>
      </w:r>
      <w:r w:rsidR="00B377D5" w:rsidRPr="00B12AA1">
        <w:rPr>
          <w:rFonts w:ascii="Times New Roman" w:eastAsia="Times New Roman" w:hAnsi="Times New Roman" w:cs="Times New Roman"/>
          <w:sz w:val="28"/>
          <w:szCs w:val="28"/>
          <w:lang w:eastAsia="ru-RU"/>
        </w:rPr>
        <w:t>.</w:t>
      </w:r>
      <w:r w:rsidR="00AE5DF9" w:rsidRPr="00B12AA1">
        <w:rPr>
          <w:rFonts w:ascii="Times New Roman" w:eastAsia="Times New Roman" w:hAnsi="Times New Roman" w:cs="Times New Roman"/>
          <w:sz w:val="28"/>
          <w:szCs w:val="28"/>
          <w:lang w:eastAsia="ru-RU"/>
        </w:rPr>
        <w:t xml:space="preserve"> по сравнению с 20</w:t>
      </w:r>
      <w:r w:rsidR="005274F2" w:rsidRPr="00B12AA1">
        <w:rPr>
          <w:rFonts w:ascii="Times New Roman" w:eastAsia="Times New Roman" w:hAnsi="Times New Roman" w:cs="Times New Roman"/>
          <w:sz w:val="28"/>
          <w:szCs w:val="28"/>
          <w:lang w:eastAsia="ru-RU"/>
        </w:rPr>
        <w:t>20</w:t>
      </w:r>
      <w:r w:rsidR="00B377D5" w:rsidRPr="00B12AA1">
        <w:rPr>
          <w:rFonts w:ascii="Times New Roman" w:eastAsia="Times New Roman" w:hAnsi="Times New Roman" w:cs="Times New Roman"/>
          <w:sz w:val="28"/>
          <w:szCs w:val="28"/>
          <w:lang w:eastAsia="ru-RU"/>
        </w:rPr>
        <w:t xml:space="preserve"> г.</w:t>
      </w:r>
      <w:r w:rsidR="00AE5DF9" w:rsidRPr="00B12AA1">
        <w:rPr>
          <w:rFonts w:ascii="Times New Roman" w:eastAsia="Times New Roman" w:hAnsi="Times New Roman" w:cs="Times New Roman"/>
          <w:sz w:val="28"/>
          <w:szCs w:val="28"/>
          <w:lang w:eastAsia="ru-RU"/>
        </w:rPr>
        <w:t xml:space="preserve"> число умерших детей в возрасте до 1 года </w:t>
      </w:r>
      <w:r w:rsidR="005274F2" w:rsidRPr="00B12AA1">
        <w:rPr>
          <w:rFonts w:ascii="Times New Roman" w:eastAsia="Times New Roman" w:hAnsi="Times New Roman" w:cs="Times New Roman"/>
          <w:sz w:val="28"/>
          <w:szCs w:val="28"/>
          <w:lang w:eastAsia="ru-RU"/>
        </w:rPr>
        <w:t>увеличи</w:t>
      </w:r>
      <w:r w:rsidR="00AE5DF9" w:rsidRPr="00B12AA1">
        <w:rPr>
          <w:rFonts w:ascii="Times New Roman" w:eastAsia="Times New Roman" w:hAnsi="Times New Roman" w:cs="Times New Roman"/>
          <w:sz w:val="28"/>
          <w:szCs w:val="28"/>
          <w:lang w:eastAsia="ru-RU"/>
        </w:rPr>
        <w:t xml:space="preserve">лось на </w:t>
      </w:r>
      <w:r w:rsidR="005274F2" w:rsidRPr="00B12AA1">
        <w:rPr>
          <w:rFonts w:ascii="Times New Roman" w:eastAsia="Times New Roman" w:hAnsi="Times New Roman" w:cs="Times New Roman"/>
          <w:sz w:val="28"/>
          <w:szCs w:val="28"/>
          <w:lang w:eastAsia="ru-RU"/>
        </w:rPr>
        <w:t>27</w:t>
      </w:r>
      <w:r w:rsidR="00AE5DF9" w:rsidRPr="00B12AA1">
        <w:rPr>
          <w:rFonts w:ascii="Times New Roman" w:eastAsia="Times New Roman" w:hAnsi="Times New Roman" w:cs="Times New Roman"/>
          <w:sz w:val="28"/>
          <w:szCs w:val="28"/>
          <w:lang w:eastAsia="ru-RU"/>
        </w:rPr>
        <w:t xml:space="preserve"> человек, показатель младенческой смертности на 1 000 родившихся живыми </w:t>
      </w:r>
      <w:r w:rsidR="005274F2" w:rsidRPr="00B12AA1">
        <w:rPr>
          <w:rFonts w:ascii="Times New Roman" w:eastAsia="Times New Roman" w:hAnsi="Times New Roman" w:cs="Times New Roman"/>
          <w:sz w:val="28"/>
          <w:szCs w:val="28"/>
          <w:lang w:eastAsia="ru-RU"/>
        </w:rPr>
        <w:t>также увеличился на 0,1 промилле</w:t>
      </w:r>
      <w:r w:rsidR="00AE5DF9" w:rsidRPr="00B12AA1">
        <w:rPr>
          <w:rFonts w:ascii="Times New Roman" w:eastAsia="Times New Roman" w:hAnsi="Times New Roman" w:cs="Times New Roman"/>
          <w:sz w:val="28"/>
          <w:szCs w:val="28"/>
          <w:lang w:eastAsia="ru-RU"/>
        </w:rPr>
        <w:t xml:space="preserve"> и составил </w:t>
      </w:r>
      <w:r w:rsidR="00E92579">
        <w:rPr>
          <w:rFonts w:ascii="Times New Roman" w:eastAsia="Times New Roman" w:hAnsi="Times New Roman" w:cs="Times New Roman"/>
          <w:sz w:val="28"/>
          <w:szCs w:val="28"/>
          <w:lang w:eastAsia="ru-RU"/>
        </w:rPr>
        <w:br/>
      </w:r>
      <w:r w:rsidR="00AE5DF9" w:rsidRPr="00B12AA1">
        <w:rPr>
          <w:rFonts w:ascii="Times New Roman" w:eastAsia="Times New Roman" w:hAnsi="Times New Roman" w:cs="Times New Roman"/>
          <w:sz w:val="28"/>
          <w:szCs w:val="28"/>
          <w:lang w:eastAsia="ru-RU"/>
        </w:rPr>
        <w:t>4,</w:t>
      </w:r>
      <w:r w:rsidR="005274F2" w:rsidRPr="00B12AA1">
        <w:rPr>
          <w:rFonts w:ascii="Times New Roman" w:eastAsia="Times New Roman" w:hAnsi="Times New Roman" w:cs="Times New Roman"/>
          <w:sz w:val="28"/>
          <w:szCs w:val="28"/>
          <w:lang w:eastAsia="ru-RU"/>
        </w:rPr>
        <w:t>6</w:t>
      </w:r>
      <w:r w:rsidR="00AE5DF9" w:rsidRPr="00B12AA1">
        <w:rPr>
          <w:rFonts w:ascii="Times New Roman" w:eastAsia="Times New Roman" w:hAnsi="Times New Roman" w:cs="Times New Roman"/>
          <w:sz w:val="28"/>
          <w:szCs w:val="28"/>
          <w:lang w:eastAsia="ru-RU"/>
        </w:rPr>
        <w:t xml:space="preserve"> (</w:t>
      </w:r>
      <w:r w:rsidR="005274F2" w:rsidRPr="00B12AA1">
        <w:rPr>
          <w:rFonts w:ascii="Times New Roman" w:eastAsia="Times New Roman" w:hAnsi="Times New Roman" w:cs="Times New Roman"/>
          <w:sz w:val="28"/>
          <w:szCs w:val="28"/>
          <w:lang w:eastAsia="ru-RU"/>
        </w:rPr>
        <w:t xml:space="preserve">2020 г. – 4,5; </w:t>
      </w:r>
      <w:r w:rsidR="00AE5DF9" w:rsidRPr="00B12AA1">
        <w:rPr>
          <w:rFonts w:ascii="Times New Roman" w:eastAsia="Times New Roman" w:hAnsi="Times New Roman" w:cs="Times New Roman"/>
          <w:sz w:val="28"/>
          <w:szCs w:val="28"/>
          <w:lang w:eastAsia="ru-RU"/>
        </w:rPr>
        <w:t>2019</w:t>
      </w:r>
      <w:r w:rsidR="00772DE8" w:rsidRPr="00B12AA1">
        <w:rPr>
          <w:rFonts w:ascii="Times New Roman" w:eastAsia="Times New Roman" w:hAnsi="Times New Roman" w:cs="Times New Roman"/>
          <w:sz w:val="28"/>
          <w:szCs w:val="28"/>
          <w:lang w:eastAsia="ru-RU"/>
        </w:rPr>
        <w:t xml:space="preserve"> г.</w:t>
      </w:r>
      <w:r w:rsidR="00AE5DF9" w:rsidRPr="00B12AA1">
        <w:rPr>
          <w:rFonts w:ascii="Times New Roman" w:eastAsia="Times New Roman" w:hAnsi="Times New Roman" w:cs="Times New Roman"/>
          <w:sz w:val="28"/>
          <w:szCs w:val="28"/>
          <w:lang w:eastAsia="ru-RU"/>
        </w:rPr>
        <w:t xml:space="preserve"> – 4,9; 2018 г. – 5,1; 2017 г. – 5,6).</w:t>
      </w:r>
    </w:p>
    <w:p w14:paraId="4FF29AFD" w14:textId="5E28D023" w:rsidR="00D03A4F" w:rsidRPr="00A76310" w:rsidRDefault="00B24DF1" w:rsidP="00A76310">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Миграционный прирост в 2021 году </w:t>
      </w:r>
      <w:r w:rsidR="00D87F30" w:rsidRPr="00B12AA1">
        <w:rPr>
          <w:rFonts w:ascii="Times New Roman" w:eastAsia="Times New Roman" w:hAnsi="Times New Roman" w:cs="Times New Roman"/>
          <w:sz w:val="28"/>
          <w:szCs w:val="28"/>
          <w:lang w:eastAsia="ru-RU"/>
        </w:rPr>
        <w:t>составил 429,9 тыс. человек.</w:t>
      </w:r>
    </w:p>
    <w:p w14:paraId="2930AB69" w14:textId="77777777"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rsidSect="00FB69EB">
          <w:pgSz w:w="11906" w:h="16838" w:code="9"/>
          <w:pgMar w:top="1134" w:right="567" w:bottom="1134" w:left="1134" w:header="709" w:footer="567" w:gutter="0"/>
          <w:cols w:space="708"/>
          <w:docGrid w:linePitch="360"/>
        </w:sectPr>
      </w:pPr>
    </w:p>
    <w:p w14:paraId="4B2CAA45" w14:textId="77777777" w:rsidR="00D03A4F" w:rsidRPr="00D03A4F" w:rsidRDefault="00D03A4F" w:rsidP="00D03A4F">
      <w:pPr>
        <w:spacing w:after="240" w:line="240" w:lineRule="auto"/>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lastRenderedPageBreak/>
        <w:t>2. УРОВЕНЬ ЖИЗНИ СЕМЕЙ, ИМЕЮЩИХ ДЕТЕЙ</w:t>
      </w:r>
    </w:p>
    <w:p w14:paraId="0B8CEBB7" w14:textId="77777777" w:rsidR="00D03A4F" w:rsidRDefault="00D03A4F" w:rsidP="00D03A4F">
      <w:pPr>
        <w:spacing w:after="240"/>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Социально-экономические условия реализации государственной политики в отношении семей, имеющих детей</w:t>
      </w:r>
    </w:p>
    <w:p w14:paraId="383B8C5F" w14:textId="77D59585" w:rsidR="00C35664" w:rsidRPr="00711C0A" w:rsidRDefault="00C35664" w:rsidP="00C35664">
      <w:pPr>
        <w:pStyle w:val="Style2"/>
        <w:shd w:val="clear" w:color="auto" w:fill="auto"/>
        <w:spacing w:after="0" w:line="312" w:lineRule="auto"/>
        <w:ind w:firstLine="709"/>
        <w:jc w:val="both"/>
        <w:rPr>
          <w:sz w:val="28"/>
          <w:szCs w:val="28"/>
        </w:rPr>
      </w:pPr>
      <w:r w:rsidRPr="00711C0A">
        <w:rPr>
          <w:rFonts w:ascii="Times New Roman" w:eastAsia="Times New Roman" w:hAnsi="Times New Roman" w:cs="Times New Roman"/>
          <w:color w:val="000000"/>
          <w:sz w:val="28"/>
          <w:szCs w:val="28"/>
          <w:lang w:eastAsia="ru-RU" w:bidi="ru-RU"/>
        </w:rPr>
        <w:t>Необходимые предпосылки для решения задач социального развития, включая</w:t>
      </w:r>
      <w:r w:rsidR="00772DE8" w:rsidRPr="003875E5">
        <w:rPr>
          <w:rFonts w:ascii="Times New Roman" w:eastAsia="Times New Roman" w:hAnsi="Times New Roman" w:cs="Times New Roman"/>
          <w:sz w:val="28"/>
          <w:szCs w:val="28"/>
          <w:lang w:eastAsia="ru-RU"/>
        </w:rPr>
        <w:t> </w:t>
      </w:r>
      <w:r w:rsidRPr="00711C0A">
        <w:rPr>
          <w:rFonts w:ascii="Times New Roman" w:eastAsia="Times New Roman" w:hAnsi="Times New Roman" w:cs="Times New Roman"/>
          <w:color w:val="000000"/>
          <w:sz w:val="28"/>
          <w:szCs w:val="28"/>
          <w:lang w:eastAsia="ru-RU" w:bidi="ru-RU"/>
        </w:rPr>
        <w:t xml:space="preserve">улучшение положения </w:t>
      </w:r>
      <w:r w:rsidR="00C159F3" w:rsidRPr="00711C0A">
        <w:rPr>
          <w:rFonts w:ascii="Times New Roman" w:eastAsia="Times New Roman" w:hAnsi="Times New Roman" w:cs="Times New Roman"/>
          <w:color w:val="000000"/>
          <w:sz w:val="28"/>
          <w:szCs w:val="28"/>
          <w:lang w:eastAsia="ru-RU" w:bidi="ru-RU"/>
        </w:rPr>
        <w:t xml:space="preserve">детей и </w:t>
      </w:r>
      <w:r w:rsidRPr="00711C0A">
        <w:rPr>
          <w:rFonts w:ascii="Times New Roman" w:eastAsia="Times New Roman" w:hAnsi="Times New Roman" w:cs="Times New Roman"/>
          <w:color w:val="000000"/>
          <w:sz w:val="28"/>
          <w:szCs w:val="28"/>
          <w:lang w:eastAsia="ru-RU" w:bidi="ru-RU"/>
        </w:rPr>
        <w:t>семьи</w:t>
      </w:r>
      <w:r>
        <w:rPr>
          <w:rFonts w:ascii="Times New Roman" w:eastAsia="Times New Roman" w:hAnsi="Times New Roman" w:cs="Times New Roman"/>
          <w:color w:val="000000"/>
          <w:sz w:val="28"/>
          <w:szCs w:val="28"/>
          <w:lang w:eastAsia="ru-RU" w:bidi="ru-RU"/>
        </w:rPr>
        <w:t>, имеющей детей,</w:t>
      </w:r>
      <w:r w:rsidRPr="00711C0A">
        <w:rPr>
          <w:rFonts w:ascii="Times New Roman" w:eastAsia="Times New Roman" w:hAnsi="Times New Roman" w:cs="Times New Roman"/>
          <w:color w:val="000000"/>
          <w:sz w:val="28"/>
          <w:szCs w:val="28"/>
          <w:lang w:eastAsia="ru-RU" w:bidi="ru-RU"/>
        </w:rPr>
        <w:t xml:space="preserve"> создает развитие экономики.</w:t>
      </w:r>
    </w:p>
    <w:p w14:paraId="5F84D786" w14:textId="77777777" w:rsidR="00C35664" w:rsidRPr="00711C0A" w:rsidRDefault="00C35664" w:rsidP="00C35664">
      <w:pPr>
        <w:pStyle w:val="Style2"/>
        <w:shd w:val="clear" w:color="auto" w:fill="auto"/>
        <w:spacing w:after="0" w:line="312" w:lineRule="auto"/>
        <w:ind w:firstLine="709"/>
        <w:jc w:val="both"/>
        <w:rPr>
          <w:sz w:val="28"/>
          <w:szCs w:val="28"/>
        </w:rPr>
      </w:pPr>
      <w:r w:rsidRPr="00711C0A">
        <w:rPr>
          <w:rFonts w:ascii="Times New Roman" w:eastAsia="Times New Roman" w:hAnsi="Times New Roman" w:cs="Times New Roman"/>
          <w:color w:val="000000"/>
          <w:sz w:val="28"/>
          <w:szCs w:val="28"/>
          <w:lang w:eastAsia="ru-RU" w:bidi="ru-RU"/>
        </w:rPr>
        <w:t>В связи с этим основное внимание</w:t>
      </w:r>
      <w:r w:rsidR="0009297A">
        <w:rPr>
          <w:rFonts w:ascii="Times New Roman" w:eastAsia="Times New Roman" w:hAnsi="Times New Roman" w:cs="Times New Roman"/>
          <w:color w:val="000000"/>
          <w:sz w:val="28"/>
          <w:szCs w:val="28"/>
          <w:lang w:eastAsia="ru-RU" w:bidi="ru-RU"/>
        </w:rPr>
        <w:t xml:space="preserve"> при определении мер социально-</w:t>
      </w:r>
      <w:r w:rsidRPr="00711C0A">
        <w:rPr>
          <w:rFonts w:ascii="Times New Roman" w:eastAsia="Times New Roman" w:hAnsi="Times New Roman" w:cs="Times New Roman"/>
          <w:color w:val="000000"/>
          <w:sz w:val="28"/>
          <w:szCs w:val="28"/>
          <w:lang w:eastAsia="ru-RU" w:bidi="ru-RU"/>
        </w:rPr>
        <w:t xml:space="preserve">экономического развития уделяется </w:t>
      </w:r>
      <w:r>
        <w:rPr>
          <w:rFonts w:ascii="Times New Roman" w:eastAsia="Times New Roman" w:hAnsi="Times New Roman" w:cs="Times New Roman"/>
          <w:color w:val="000000"/>
          <w:sz w:val="28"/>
          <w:szCs w:val="28"/>
          <w:lang w:eastAsia="ru-RU" w:bidi="ru-RU"/>
        </w:rPr>
        <w:t xml:space="preserve">проведению мер, направленных на обеспечение макроэкономической стабильности, поддержку потребительского спроса на основе устойчивого роста доходов, поддержку инвестиционной активности, </w:t>
      </w:r>
      <w:r w:rsidRPr="00711C0A">
        <w:rPr>
          <w:rFonts w:ascii="Times New Roman" w:eastAsia="Times New Roman" w:hAnsi="Times New Roman" w:cs="Times New Roman"/>
          <w:color w:val="000000"/>
          <w:sz w:val="28"/>
          <w:szCs w:val="28"/>
          <w:lang w:eastAsia="ru-RU" w:bidi="ru-RU"/>
        </w:rPr>
        <w:t>создани</w:t>
      </w:r>
      <w:r>
        <w:rPr>
          <w:rFonts w:ascii="Times New Roman" w:eastAsia="Times New Roman" w:hAnsi="Times New Roman" w:cs="Times New Roman"/>
          <w:color w:val="000000"/>
          <w:sz w:val="28"/>
          <w:szCs w:val="28"/>
          <w:lang w:eastAsia="ru-RU" w:bidi="ru-RU"/>
        </w:rPr>
        <w:t>е</w:t>
      </w:r>
      <w:r w:rsidRPr="00711C0A">
        <w:rPr>
          <w:rFonts w:ascii="Times New Roman" w:eastAsia="Times New Roman" w:hAnsi="Times New Roman" w:cs="Times New Roman"/>
          <w:color w:val="000000"/>
          <w:sz w:val="28"/>
          <w:szCs w:val="28"/>
          <w:lang w:eastAsia="ru-RU" w:bidi="ru-RU"/>
        </w:rPr>
        <w:t xml:space="preserve"> других условий устойчивой экономической динамики.</w:t>
      </w:r>
    </w:p>
    <w:p w14:paraId="064D26AB" w14:textId="52DA03BD" w:rsidR="004A129E" w:rsidRDefault="00C35664" w:rsidP="004A129E">
      <w:pPr>
        <w:pStyle w:val="Style2"/>
        <w:shd w:val="clear" w:color="auto" w:fill="auto"/>
        <w:spacing w:after="0" w:line="312" w:lineRule="auto"/>
        <w:ind w:firstLine="709"/>
        <w:jc w:val="both"/>
        <w:rPr>
          <w:rFonts w:ascii="Times New Roman" w:eastAsia="Times New Roman" w:hAnsi="Times New Roman" w:cs="Times New Roman"/>
          <w:color w:val="000000"/>
          <w:sz w:val="28"/>
          <w:szCs w:val="28"/>
          <w:lang w:eastAsia="ru-RU" w:bidi="ru-RU"/>
        </w:rPr>
      </w:pPr>
      <w:r w:rsidRPr="00711C0A">
        <w:rPr>
          <w:rFonts w:ascii="Times New Roman" w:eastAsia="Times New Roman" w:hAnsi="Times New Roman" w:cs="Times New Roman"/>
          <w:color w:val="000000"/>
          <w:sz w:val="28"/>
          <w:szCs w:val="28"/>
          <w:lang w:eastAsia="ru-RU" w:bidi="ru-RU"/>
        </w:rPr>
        <w:t>В 202</w:t>
      </w:r>
      <w:r w:rsidR="004A129E">
        <w:rPr>
          <w:rFonts w:ascii="Times New Roman" w:eastAsia="Times New Roman" w:hAnsi="Times New Roman" w:cs="Times New Roman"/>
          <w:color w:val="000000"/>
          <w:sz w:val="28"/>
          <w:szCs w:val="28"/>
          <w:lang w:eastAsia="ru-RU" w:bidi="ru-RU"/>
        </w:rPr>
        <w:t>1</w:t>
      </w:r>
      <w:r w:rsidRPr="00711C0A">
        <w:rPr>
          <w:rFonts w:ascii="Times New Roman" w:eastAsia="Times New Roman" w:hAnsi="Times New Roman" w:cs="Times New Roman"/>
          <w:color w:val="000000"/>
          <w:sz w:val="28"/>
          <w:szCs w:val="28"/>
          <w:lang w:eastAsia="ru-RU" w:bidi="ru-RU"/>
        </w:rPr>
        <w:t xml:space="preserve"> г. </w:t>
      </w:r>
      <w:r w:rsidR="004A129E">
        <w:rPr>
          <w:rFonts w:ascii="Times New Roman" w:eastAsia="Times New Roman" w:hAnsi="Times New Roman" w:cs="Times New Roman"/>
          <w:color w:val="000000"/>
          <w:sz w:val="28"/>
          <w:szCs w:val="28"/>
          <w:lang w:eastAsia="ru-RU" w:bidi="ru-RU"/>
        </w:rPr>
        <w:t>российская экономика полностью отыграла падение предыдущего года, продемонстрировав максимальные темпы роста с 2008 г</w:t>
      </w:r>
      <w:r w:rsidR="00B377D5">
        <w:rPr>
          <w:rFonts w:ascii="Times New Roman" w:eastAsia="Times New Roman" w:hAnsi="Times New Roman" w:cs="Times New Roman"/>
          <w:color w:val="000000"/>
          <w:sz w:val="28"/>
          <w:szCs w:val="28"/>
          <w:lang w:eastAsia="ru-RU" w:bidi="ru-RU"/>
        </w:rPr>
        <w:t>.</w:t>
      </w:r>
      <w:r w:rsidR="004A129E">
        <w:rPr>
          <w:rFonts w:ascii="Times New Roman" w:eastAsia="Times New Roman" w:hAnsi="Times New Roman" w:cs="Times New Roman"/>
          <w:color w:val="000000"/>
          <w:sz w:val="28"/>
          <w:szCs w:val="28"/>
          <w:lang w:eastAsia="ru-RU" w:bidi="ru-RU"/>
        </w:rPr>
        <w:t xml:space="preserve">: рост ВВП составил 4,7% (2020 г. – снижение на 2,7%). </w:t>
      </w:r>
      <w:r w:rsidRPr="00711C0A">
        <w:rPr>
          <w:rFonts w:ascii="Times New Roman" w:eastAsia="Times New Roman" w:hAnsi="Times New Roman" w:cs="Times New Roman"/>
          <w:color w:val="000000"/>
          <w:sz w:val="28"/>
          <w:szCs w:val="28"/>
          <w:lang w:eastAsia="ru-RU" w:bidi="ru-RU"/>
        </w:rPr>
        <w:t xml:space="preserve">Основными факторами </w:t>
      </w:r>
      <w:r w:rsidR="004A129E">
        <w:rPr>
          <w:rFonts w:ascii="Times New Roman" w:eastAsia="Times New Roman" w:hAnsi="Times New Roman" w:cs="Times New Roman"/>
          <w:color w:val="000000"/>
          <w:sz w:val="28"/>
          <w:szCs w:val="28"/>
          <w:lang w:eastAsia="ru-RU" w:bidi="ru-RU"/>
        </w:rPr>
        <w:t>повышения</w:t>
      </w:r>
      <w:r w:rsidRPr="00711C0A">
        <w:rPr>
          <w:rFonts w:ascii="Times New Roman" w:eastAsia="Times New Roman" w:hAnsi="Times New Roman" w:cs="Times New Roman"/>
          <w:color w:val="000000"/>
          <w:sz w:val="28"/>
          <w:szCs w:val="28"/>
          <w:lang w:eastAsia="ru-RU" w:bidi="ru-RU"/>
        </w:rPr>
        <w:t xml:space="preserve"> темпов роста экономики России </w:t>
      </w:r>
      <w:r w:rsidR="004A129E">
        <w:rPr>
          <w:rFonts w:ascii="Times New Roman" w:eastAsia="Times New Roman" w:hAnsi="Times New Roman" w:cs="Times New Roman"/>
          <w:color w:val="000000"/>
          <w:sz w:val="28"/>
          <w:szCs w:val="28"/>
          <w:lang w:eastAsia="ru-RU" w:bidi="ru-RU"/>
        </w:rPr>
        <w:t>со стороны производства стали</w:t>
      </w:r>
      <w:r w:rsidRPr="00711C0A">
        <w:rPr>
          <w:rFonts w:ascii="Times New Roman" w:eastAsia="Times New Roman" w:hAnsi="Times New Roman" w:cs="Times New Roman"/>
          <w:color w:val="000000"/>
          <w:sz w:val="28"/>
          <w:szCs w:val="28"/>
          <w:lang w:eastAsia="ru-RU" w:bidi="ru-RU"/>
        </w:rPr>
        <w:t xml:space="preserve">: </w:t>
      </w:r>
      <w:r w:rsidR="007F6A81">
        <w:rPr>
          <w:rFonts w:ascii="Times New Roman" w:eastAsia="Times New Roman" w:hAnsi="Times New Roman" w:cs="Times New Roman"/>
          <w:color w:val="000000"/>
          <w:sz w:val="28"/>
          <w:szCs w:val="28"/>
          <w:lang w:eastAsia="ru-RU" w:bidi="ru-RU"/>
        </w:rPr>
        <w:t xml:space="preserve">рост объемов оптовой и розничной торговли (0,9 </w:t>
      </w:r>
      <w:proofErr w:type="spellStart"/>
      <w:r w:rsidR="007F6A81">
        <w:rPr>
          <w:rFonts w:ascii="Times New Roman" w:eastAsia="Times New Roman" w:hAnsi="Times New Roman" w:cs="Times New Roman"/>
          <w:color w:val="000000"/>
          <w:sz w:val="28"/>
          <w:szCs w:val="28"/>
          <w:lang w:eastAsia="ru-RU" w:bidi="ru-RU"/>
        </w:rPr>
        <w:t>п.п</w:t>
      </w:r>
      <w:proofErr w:type="spellEnd"/>
      <w:r w:rsidR="007F6A81">
        <w:rPr>
          <w:rFonts w:ascii="Times New Roman" w:eastAsia="Times New Roman" w:hAnsi="Times New Roman" w:cs="Times New Roman"/>
          <w:color w:val="000000"/>
          <w:sz w:val="28"/>
          <w:szCs w:val="28"/>
          <w:lang w:eastAsia="ru-RU" w:bidi="ru-RU"/>
        </w:rPr>
        <w:t xml:space="preserve">.), рост выпуска обрабатывающих производств (0,6 </w:t>
      </w:r>
      <w:proofErr w:type="spellStart"/>
      <w:r w:rsidR="007F6A81">
        <w:rPr>
          <w:rFonts w:ascii="Times New Roman" w:eastAsia="Times New Roman" w:hAnsi="Times New Roman" w:cs="Times New Roman"/>
          <w:color w:val="000000"/>
          <w:sz w:val="28"/>
          <w:szCs w:val="28"/>
          <w:lang w:eastAsia="ru-RU" w:bidi="ru-RU"/>
        </w:rPr>
        <w:t>п.п</w:t>
      </w:r>
      <w:proofErr w:type="spellEnd"/>
      <w:r w:rsidR="007F6A81">
        <w:rPr>
          <w:rFonts w:ascii="Times New Roman" w:eastAsia="Times New Roman" w:hAnsi="Times New Roman" w:cs="Times New Roman"/>
          <w:color w:val="000000"/>
          <w:sz w:val="28"/>
          <w:szCs w:val="28"/>
          <w:lang w:eastAsia="ru-RU" w:bidi="ru-RU"/>
        </w:rPr>
        <w:t xml:space="preserve">.) и добычи полезных ископаемых (0,3 </w:t>
      </w:r>
      <w:proofErr w:type="spellStart"/>
      <w:r w:rsidR="007F6A81">
        <w:rPr>
          <w:rFonts w:ascii="Times New Roman" w:eastAsia="Times New Roman" w:hAnsi="Times New Roman" w:cs="Times New Roman"/>
          <w:color w:val="000000"/>
          <w:sz w:val="28"/>
          <w:szCs w:val="28"/>
          <w:lang w:eastAsia="ru-RU" w:bidi="ru-RU"/>
        </w:rPr>
        <w:t>п.п</w:t>
      </w:r>
      <w:proofErr w:type="spellEnd"/>
      <w:r w:rsidR="007F6A81">
        <w:rPr>
          <w:rFonts w:ascii="Times New Roman" w:eastAsia="Times New Roman" w:hAnsi="Times New Roman" w:cs="Times New Roman"/>
          <w:color w:val="000000"/>
          <w:sz w:val="28"/>
          <w:szCs w:val="28"/>
          <w:lang w:eastAsia="ru-RU" w:bidi="ru-RU"/>
        </w:rPr>
        <w:t xml:space="preserve">.), услуг транспортировки и хранения </w:t>
      </w:r>
      <w:r w:rsidR="00E92579">
        <w:rPr>
          <w:rFonts w:ascii="Times New Roman" w:eastAsia="Times New Roman" w:hAnsi="Times New Roman" w:cs="Times New Roman"/>
          <w:color w:val="000000"/>
          <w:sz w:val="28"/>
          <w:szCs w:val="28"/>
          <w:lang w:eastAsia="ru-RU" w:bidi="ru-RU"/>
        </w:rPr>
        <w:br/>
      </w:r>
      <w:r w:rsidR="007F6A81">
        <w:rPr>
          <w:rFonts w:ascii="Times New Roman" w:eastAsia="Times New Roman" w:hAnsi="Times New Roman" w:cs="Times New Roman"/>
          <w:color w:val="000000"/>
          <w:sz w:val="28"/>
          <w:szCs w:val="28"/>
          <w:lang w:eastAsia="ru-RU" w:bidi="ru-RU"/>
        </w:rPr>
        <w:t xml:space="preserve">(0,4 </w:t>
      </w:r>
      <w:proofErr w:type="spellStart"/>
      <w:r w:rsidR="007F6A81">
        <w:rPr>
          <w:rFonts w:ascii="Times New Roman" w:eastAsia="Times New Roman" w:hAnsi="Times New Roman" w:cs="Times New Roman"/>
          <w:color w:val="000000"/>
          <w:sz w:val="28"/>
          <w:szCs w:val="28"/>
          <w:lang w:eastAsia="ru-RU" w:bidi="ru-RU"/>
        </w:rPr>
        <w:t>п.п</w:t>
      </w:r>
      <w:proofErr w:type="spellEnd"/>
      <w:r w:rsidR="007F6A81">
        <w:rPr>
          <w:rFonts w:ascii="Times New Roman" w:eastAsia="Times New Roman" w:hAnsi="Times New Roman" w:cs="Times New Roman"/>
          <w:color w:val="000000"/>
          <w:sz w:val="28"/>
          <w:szCs w:val="28"/>
          <w:lang w:eastAsia="ru-RU" w:bidi="ru-RU"/>
        </w:rPr>
        <w:t xml:space="preserve">.), выпуск строительства (0,3 </w:t>
      </w:r>
      <w:proofErr w:type="spellStart"/>
      <w:r w:rsidR="007F6A81">
        <w:rPr>
          <w:rFonts w:ascii="Times New Roman" w:eastAsia="Times New Roman" w:hAnsi="Times New Roman" w:cs="Times New Roman"/>
          <w:color w:val="000000"/>
          <w:sz w:val="28"/>
          <w:szCs w:val="28"/>
          <w:lang w:eastAsia="ru-RU" w:bidi="ru-RU"/>
        </w:rPr>
        <w:t>п.п</w:t>
      </w:r>
      <w:proofErr w:type="spellEnd"/>
      <w:r w:rsidR="007F6A81">
        <w:rPr>
          <w:rFonts w:ascii="Times New Roman" w:eastAsia="Times New Roman" w:hAnsi="Times New Roman" w:cs="Times New Roman"/>
          <w:color w:val="000000"/>
          <w:sz w:val="28"/>
          <w:szCs w:val="28"/>
          <w:lang w:eastAsia="ru-RU" w:bidi="ru-RU"/>
        </w:rPr>
        <w:t xml:space="preserve">.), деятельности по обеспечению электроэнергией, газом и паром, водоснабжения (0,2 </w:t>
      </w:r>
      <w:proofErr w:type="spellStart"/>
      <w:r w:rsidR="007F6A81">
        <w:rPr>
          <w:rFonts w:ascii="Times New Roman" w:eastAsia="Times New Roman" w:hAnsi="Times New Roman" w:cs="Times New Roman"/>
          <w:color w:val="000000"/>
          <w:sz w:val="28"/>
          <w:szCs w:val="28"/>
          <w:lang w:eastAsia="ru-RU" w:bidi="ru-RU"/>
        </w:rPr>
        <w:t>п.п</w:t>
      </w:r>
      <w:proofErr w:type="spellEnd"/>
      <w:r w:rsidR="007F6A81">
        <w:rPr>
          <w:rFonts w:ascii="Times New Roman" w:eastAsia="Times New Roman" w:hAnsi="Times New Roman" w:cs="Times New Roman"/>
          <w:color w:val="000000"/>
          <w:sz w:val="28"/>
          <w:szCs w:val="28"/>
          <w:lang w:eastAsia="ru-RU" w:bidi="ru-RU"/>
        </w:rPr>
        <w:t xml:space="preserve">. суммарно). Вклад базовых отраслей экономики составил 2,7 </w:t>
      </w:r>
      <w:proofErr w:type="spellStart"/>
      <w:r w:rsidR="007F6A81">
        <w:rPr>
          <w:rFonts w:ascii="Times New Roman" w:eastAsia="Times New Roman" w:hAnsi="Times New Roman" w:cs="Times New Roman"/>
          <w:color w:val="000000"/>
          <w:sz w:val="28"/>
          <w:szCs w:val="28"/>
          <w:lang w:eastAsia="ru-RU" w:bidi="ru-RU"/>
        </w:rPr>
        <w:t>п.п</w:t>
      </w:r>
      <w:proofErr w:type="spellEnd"/>
      <w:r w:rsidR="007F6A81">
        <w:rPr>
          <w:rFonts w:ascii="Times New Roman" w:eastAsia="Times New Roman" w:hAnsi="Times New Roman" w:cs="Times New Roman"/>
          <w:color w:val="000000"/>
          <w:sz w:val="28"/>
          <w:szCs w:val="28"/>
          <w:lang w:eastAsia="ru-RU" w:bidi="ru-RU"/>
        </w:rPr>
        <w:t xml:space="preserve">., вклад других отраслей и чистых налогов на продукты и импорт около 2,0 </w:t>
      </w:r>
      <w:proofErr w:type="spellStart"/>
      <w:r w:rsidR="007F6A81">
        <w:rPr>
          <w:rFonts w:ascii="Times New Roman" w:eastAsia="Times New Roman" w:hAnsi="Times New Roman" w:cs="Times New Roman"/>
          <w:color w:val="000000"/>
          <w:sz w:val="28"/>
          <w:szCs w:val="28"/>
          <w:lang w:eastAsia="ru-RU" w:bidi="ru-RU"/>
        </w:rPr>
        <w:t>п.п</w:t>
      </w:r>
      <w:proofErr w:type="spellEnd"/>
      <w:r w:rsidR="007F6A81">
        <w:rPr>
          <w:rFonts w:ascii="Times New Roman" w:eastAsia="Times New Roman" w:hAnsi="Times New Roman" w:cs="Times New Roman"/>
          <w:color w:val="000000"/>
          <w:sz w:val="28"/>
          <w:szCs w:val="28"/>
          <w:lang w:eastAsia="ru-RU" w:bidi="ru-RU"/>
        </w:rPr>
        <w:t>.</w:t>
      </w:r>
    </w:p>
    <w:p w14:paraId="58D132AE" w14:textId="77777777" w:rsidR="00624EB7" w:rsidRDefault="00C35664" w:rsidP="00C35664">
      <w:pPr>
        <w:pStyle w:val="Style2"/>
        <w:shd w:val="clear" w:color="auto" w:fill="auto"/>
        <w:spacing w:after="0" w:line="312" w:lineRule="auto"/>
        <w:ind w:firstLine="709"/>
        <w:jc w:val="both"/>
        <w:rPr>
          <w:rFonts w:ascii="Times New Roman" w:eastAsia="Times New Roman" w:hAnsi="Times New Roman" w:cs="Times New Roman"/>
          <w:color w:val="000000"/>
          <w:sz w:val="28"/>
          <w:szCs w:val="28"/>
          <w:lang w:eastAsia="ru-RU" w:bidi="ru-RU"/>
        </w:rPr>
      </w:pPr>
      <w:r w:rsidRPr="00711C0A">
        <w:rPr>
          <w:rFonts w:ascii="Times New Roman" w:eastAsia="Times New Roman" w:hAnsi="Times New Roman" w:cs="Times New Roman"/>
          <w:color w:val="000000"/>
          <w:sz w:val="28"/>
          <w:szCs w:val="28"/>
          <w:lang w:eastAsia="ru-RU" w:bidi="ru-RU"/>
        </w:rPr>
        <w:t xml:space="preserve">В разрезе компонентов использования основной вклад в </w:t>
      </w:r>
      <w:r w:rsidR="007F6A81">
        <w:rPr>
          <w:rFonts w:ascii="Times New Roman" w:eastAsia="Times New Roman" w:hAnsi="Times New Roman" w:cs="Times New Roman"/>
          <w:color w:val="000000"/>
          <w:sz w:val="28"/>
          <w:szCs w:val="28"/>
          <w:lang w:eastAsia="ru-RU" w:bidi="ru-RU"/>
        </w:rPr>
        <w:t>темпы</w:t>
      </w:r>
      <w:r w:rsidRPr="00711C0A">
        <w:rPr>
          <w:rFonts w:ascii="Times New Roman" w:eastAsia="Times New Roman" w:hAnsi="Times New Roman" w:cs="Times New Roman"/>
          <w:color w:val="000000"/>
          <w:sz w:val="28"/>
          <w:szCs w:val="28"/>
          <w:lang w:eastAsia="ru-RU" w:bidi="ru-RU"/>
        </w:rPr>
        <w:t xml:space="preserve"> роста внесли расходы на конечное потребление домашних хозяйств (вклад составил </w:t>
      </w:r>
      <w:r w:rsidR="007F6A81">
        <w:rPr>
          <w:rFonts w:ascii="Times New Roman" w:eastAsia="Times New Roman" w:hAnsi="Times New Roman" w:cs="Times New Roman"/>
          <w:color w:val="000000"/>
          <w:sz w:val="28"/>
          <w:szCs w:val="28"/>
          <w:lang w:eastAsia="ru-RU" w:bidi="ru-RU"/>
        </w:rPr>
        <w:t>+</w:t>
      </w:r>
      <w:r w:rsidRPr="00711C0A">
        <w:rPr>
          <w:rFonts w:ascii="Times New Roman" w:eastAsia="Times New Roman" w:hAnsi="Times New Roman" w:cs="Times New Roman"/>
          <w:color w:val="000000"/>
          <w:sz w:val="28"/>
          <w:szCs w:val="28"/>
          <w:lang w:eastAsia="ru-RU" w:bidi="ru-RU"/>
        </w:rPr>
        <w:t>4,</w:t>
      </w:r>
      <w:r w:rsidR="007F6A81">
        <w:rPr>
          <w:rFonts w:ascii="Times New Roman" w:eastAsia="Times New Roman" w:hAnsi="Times New Roman" w:cs="Times New Roman"/>
          <w:color w:val="000000"/>
          <w:sz w:val="28"/>
          <w:szCs w:val="28"/>
          <w:lang w:eastAsia="ru-RU" w:bidi="ru-RU"/>
        </w:rPr>
        <w:t>8</w:t>
      </w:r>
      <w:r w:rsidR="006D7A82" w:rsidRPr="003875E5">
        <w:rPr>
          <w:rFonts w:ascii="Times New Roman" w:eastAsia="Times New Roman" w:hAnsi="Times New Roman" w:cs="Times New Roman"/>
          <w:sz w:val="28"/>
          <w:szCs w:val="28"/>
          <w:lang w:eastAsia="ru-RU"/>
        </w:rPr>
        <w:t> </w:t>
      </w:r>
      <w:proofErr w:type="spellStart"/>
      <w:r w:rsidRPr="00711C0A">
        <w:rPr>
          <w:rFonts w:ascii="Times New Roman" w:eastAsia="Times New Roman" w:hAnsi="Times New Roman" w:cs="Times New Roman"/>
          <w:color w:val="000000"/>
          <w:sz w:val="28"/>
          <w:szCs w:val="28"/>
          <w:lang w:eastAsia="ru-RU" w:bidi="ru-RU"/>
        </w:rPr>
        <w:t>п.п</w:t>
      </w:r>
      <w:proofErr w:type="spellEnd"/>
      <w:r w:rsidRPr="00711C0A">
        <w:rPr>
          <w:rFonts w:ascii="Times New Roman" w:eastAsia="Times New Roman" w:hAnsi="Times New Roman" w:cs="Times New Roman"/>
          <w:color w:val="000000"/>
          <w:sz w:val="28"/>
          <w:szCs w:val="28"/>
          <w:lang w:eastAsia="ru-RU" w:bidi="ru-RU"/>
        </w:rPr>
        <w:t xml:space="preserve">. после </w:t>
      </w:r>
      <w:r w:rsidR="007F6A81">
        <w:rPr>
          <w:rFonts w:ascii="Times New Roman" w:eastAsia="Times New Roman" w:hAnsi="Times New Roman" w:cs="Times New Roman"/>
          <w:color w:val="000000"/>
          <w:sz w:val="28"/>
          <w:szCs w:val="28"/>
          <w:lang w:eastAsia="ru-RU" w:bidi="ru-RU"/>
        </w:rPr>
        <w:t>-3</w:t>
      </w:r>
      <w:r w:rsidRPr="00711C0A">
        <w:rPr>
          <w:rFonts w:ascii="Times New Roman" w:eastAsia="Times New Roman" w:hAnsi="Times New Roman" w:cs="Times New Roman"/>
          <w:color w:val="000000"/>
          <w:sz w:val="28"/>
          <w:szCs w:val="28"/>
          <w:lang w:eastAsia="ru-RU" w:bidi="ru-RU"/>
        </w:rPr>
        <w:t>,</w:t>
      </w:r>
      <w:r w:rsidR="007F6A81">
        <w:rPr>
          <w:rFonts w:ascii="Times New Roman" w:eastAsia="Times New Roman" w:hAnsi="Times New Roman" w:cs="Times New Roman"/>
          <w:color w:val="000000"/>
          <w:sz w:val="28"/>
          <w:szCs w:val="28"/>
          <w:lang w:eastAsia="ru-RU" w:bidi="ru-RU"/>
        </w:rPr>
        <w:t>8</w:t>
      </w:r>
      <w:r w:rsidR="006D7A82" w:rsidRPr="003875E5">
        <w:rPr>
          <w:rFonts w:ascii="Times New Roman" w:eastAsia="Times New Roman" w:hAnsi="Times New Roman" w:cs="Times New Roman"/>
          <w:sz w:val="28"/>
          <w:szCs w:val="28"/>
          <w:lang w:eastAsia="ru-RU"/>
        </w:rPr>
        <w:t> </w:t>
      </w:r>
      <w:proofErr w:type="spellStart"/>
      <w:r w:rsidRPr="00711C0A">
        <w:rPr>
          <w:rFonts w:ascii="Times New Roman" w:eastAsia="Times New Roman" w:hAnsi="Times New Roman" w:cs="Times New Roman"/>
          <w:color w:val="000000"/>
          <w:sz w:val="28"/>
          <w:szCs w:val="28"/>
          <w:lang w:eastAsia="ru-RU" w:bidi="ru-RU"/>
        </w:rPr>
        <w:t>п.п</w:t>
      </w:r>
      <w:proofErr w:type="spellEnd"/>
      <w:r w:rsidRPr="00711C0A">
        <w:rPr>
          <w:rFonts w:ascii="Times New Roman" w:eastAsia="Times New Roman" w:hAnsi="Times New Roman" w:cs="Times New Roman"/>
          <w:color w:val="000000"/>
          <w:sz w:val="28"/>
          <w:szCs w:val="28"/>
          <w:lang w:eastAsia="ru-RU" w:bidi="ru-RU"/>
        </w:rPr>
        <w:t>. в 20</w:t>
      </w:r>
      <w:r w:rsidR="007F6A81">
        <w:rPr>
          <w:rFonts w:ascii="Times New Roman" w:eastAsia="Times New Roman" w:hAnsi="Times New Roman" w:cs="Times New Roman"/>
          <w:color w:val="000000"/>
          <w:sz w:val="28"/>
          <w:szCs w:val="28"/>
          <w:lang w:eastAsia="ru-RU" w:bidi="ru-RU"/>
        </w:rPr>
        <w:t>20</w:t>
      </w:r>
      <w:r w:rsidRPr="00711C0A">
        <w:rPr>
          <w:rFonts w:ascii="Times New Roman" w:eastAsia="Times New Roman" w:hAnsi="Times New Roman" w:cs="Times New Roman"/>
          <w:color w:val="000000"/>
          <w:sz w:val="28"/>
          <w:szCs w:val="28"/>
          <w:lang w:eastAsia="ru-RU" w:bidi="ru-RU"/>
        </w:rPr>
        <w:t xml:space="preserve"> г</w:t>
      </w:r>
      <w:r w:rsidR="00B377D5">
        <w:rPr>
          <w:rFonts w:ascii="Times New Roman" w:eastAsia="Times New Roman" w:hAnsi="Times New Roman" w:cs="Times New Roman"/>
          <w:color w:val="000000"/>
          <w:sz w:val="28"/>
          <w:szCs w:val="28"/>
          <w:lang w:eastAsia="ru-RU" w:bidi="ru-RU"/>
        </w:rPr>
        <w:t>.</w:t>
      </w:r>
      <w:r w:rsidRPr="00711C0A">
        <w:rPr>
          <w:rFonts w:ascii="Times New Roman" w:eastAsia="Times New Roman" w:hAnsi="Times New Roman" w:cs="Times New Roman"/>
          <w:color w:val="000000"/>
          <w:sz w:val="28"/>
          <w:szCs w:val="28"/>
          <w:lang w:eastAsia="ru-RU" w:bidi="ru-RU"/>
        </w:rPr>
        <w:t xml:space="preserve">), </w:t>
      </w:r>
      <w:r w:rsidR="00624EB7">
        <w:rPr>
          <w:rFonts w:ascii="Times New Roman" w:eastAsia="Times New Roman" w:hAnsi="Times New Roman" w:cs="Times New Roman"/>
          <w:color w:val="000000"/>
          <w:sz w:val="28"/>
          <w:szCs w:val="28"/>
          <w:lang w:eastAsia="ru-RU" w:bidi="ru-RU"/>
        </w:rPr>
        <w:t xml:space="preserve">валовое накопление основного капитала (+1,5 </w:t>
      </w:r>
      <w:proofErr w:type="spellStart"/>
      <w:r w:rsidR="00624EB7">
        <w:rPr>
          <w:rFonts w:ascii="Times New Roman" w:eastAsia="Times New Roman" w:hAnsi="Times New Roman" w:cs="Times New Roman"/>
          <w:color w:val="000000"/>
          <w:sz w:val="28"/>
          <w:szCs w:val="28"/>
          <w:lang w:eastAsia="ru-RU" w:bidi="ru-RU"/>
        </w:rPr>
        <w:t>п.п</w:t>
      </w:r>
      <w:proofErr w:type="spellEnd"/>
      <w:r w:rsidR="00624EB7">
        <w:rPr>
          <w:rFonts w:ascii="Times New Roman" w:eastAsia="Times New Roman" w:hAnsi="Times New Roman" w:cs="Times New Roman"/>
          <w:color w:val="000000"/>
          <w:sz w:val="28"/>
          <w:szCs w:val="28"/>
          <w:lang w:eastAsia="ru-RU" w:bidi="ru-RU"/>
        </w:rPr>
        <w:t xml:space="preserve">. после </w:t>
      </w:r>
      <w:r w:rsidR="006D7A82">
        <w:rPr>
          <w:rFonts w:ascii="Times New Roman" w:eastAsia="Times New Roman" w:hAnsi="Times New Roman" w:cs="Times New Roman"/>
          <w:color w:val="000000"/>
          <w:sz w:val="28"/>
          <w:szCs w:val="28"/>
          <w:lang w:eastAsia="ru-RU" w:bidi="ru-RU"/>
        </w:rPr>
        <w:br/>
      </w:r>
      <w:r w:rsidR="00624EB7">
        <w:rPr>
          <w:rFonts w:ascii="Times New Roman" w:eastAsia="Times New Roman" w:hAnsi="Times New Roman" w:cs="Times New Roman"/>
          <w:color w:val="000000"/>
          <w:sz w:val="28"/>
          <w:szCs w:val="28"/>
          <w:lang w:eastAsia="ru-RU" w:bidi="ru-RU"/>
        </w:rPr>
        <w:t xml:space="preserve">-1,0 </w:t>
      </w:r>
      <w:proofErr w:type="spellStart"/>
      <w:r w:rsidR="00624EB7">
        <w:rPr>
          <w:rFonts w:ascii="Times New Roman" w:eastAsia="Times New Roman" w:hAnsi="Times New Roman" w:cs="Times New Roman"/>
          <w:color w:val="000000"/>
          <w:sz w:val="28"/>
          <w:szCs w:val="28"/>
          <w:lang w:eastAsia="ru-RU" w:bidi="ru-RU"/>
        </w:rPr>
        <w:t>п.п</w:t>
      </w:r>
      <w:proofErr w:type="spellEnd"/>
      <w:r w:rsidR="00624EB7">
        <w:rPr>
          <w:rFonts w:ascii="Times New Roman" w:eastAsia="Times New Roman" w:hAnsi="Times New Roman" w:cs="Times New Roman"/>
          <w:color w:val="000000"/>
          <w:sz w:val="28"/>
          <w:szCs w:val="28"/>
          <w:lang w:eastAsia="ru-RU" w:bidi="ru-RU"/>
        </w:rPr>
        <w:t>. в 2020 г</w:t>
      </w:r>
      <w:r w:rsidR="00B377D5">
        <w:rPr>
          <w:rFonts w:ascii="Times New Roman" w:eastAsia="Times New Roman" w:hAnsi="Times New Roman" w:cs="Times New Roman"/>
          <w:color w:val="000000"/>
          <w:sz w:val="28"/>
          <w:szCs w:val="28"/>
          <w:lang w:eastAsia="ru-RU" w:bidi="ru-RU"/>
        </w:rPr>
        <w:t>.</w:t>
      </w:r>
      <w:r w:rsidR="00624EB7">
        <w:rPr>
          <w:rFonts w:ascii="Times New Roman" w:eastAsia="Times New Roman" w:hAnsi="Times New Roman" w:cs="Times New Roman"/>
          <w:color w:val="000000"/>
          <w:sz w:val="28"/>
          <w:szCs w:val="28"/>
          <w:lang w:eastAsia="ru-RU" w:bidi="ru-RU"/>
        </w:rPr>
        <w:t xml:space="preserve">), вклад чистого экспорта был отрицательным в условиях опережающего восстановления импорта (-2,6 </w:t>
      </w:r>
      <w:proofErr w:type="spellStart"/>
      <w:r w:rsidR="00624EB7">
        <w:rPr>
          <w:rFonts w:ascii="Times New Roman" w:eastAsia="Times New Roman" w:hAnsi="Times New Roman" w:cs="Times New Roman"/>
          <w:color w:val="000000"/>
          <w:sz w:val="28"/>
          <w:szCs w:val="28"/>
          <w:lang w:eastAsia="ru-RU" w:bidi="ru-RU"/>
        </w:rPr>
        <w:t>п.п</w:t>
      </w:r>
      <w:proofErr w:type="spellEnd"/>
      <w:r w:rsidR="00624EB7">
        <w:rPr>
          <w:rFonts w:ascii="Times New Roman" w:eastAsia="Times New Roman" w:hAnsi="Times New Roman" w:cs="Times New Roman"/>
          <w:color w:val="000000"/>
          <w:sz w:val="28"/>
          <w:szCs w:val="28"/>
          <w:lang w:eastAsia="ru-RU" w:bidi="ru-RU"/>
        </w:rPr>
        <w:t xml:space="preserve">. после +1,3 </w:t>
      </w:r>
      <w:proofErr w:type="spellStart"/>
      <w:r w:rsidR="00624EB7">
        <w:rPr>
          <w:rFonts w:ascii="Times New Roman" w:eastAsia="Times New Roman" w:hAnsi="Times New Roman" w:cs="Times New Roman"/>
          <w:color w:val="000000"/>
          <w:sz w:val="28"/>
          <w:szCs w:val="28"/>
          <w:lang w:eastAsia="ru-RU" w:bidi="ru-RU"/>
        </w:rPr>
        <w:t>п.п</w:t>
      </w:r>
      <w:proofErr w:type="spellEnd"/>
      <w:r w:rsidR="00624EB7">
        <w:rPr>
          <w:rFonts w:ascii="Times New Roman" w:eastAsia="Times New Roman" w:hAnsi="Times New Roman" w:cs="Times New Roman"/>
          <w:color w:val="000000"/>
          <w:sz w:val="28"/>
          <w:szCs w:val="28"/>
          <w:lang w:eastAsia="ru-RU" w:bidi="ru-RU"/>
        </w:rPr>
        <w:t>. в 2020 г</w:t>
      </w:r>
      <w:r w:rsidR="00B377D5">
        <w:rPr>
          <w:rFonts w:ascii="Times New Roman" w:eastAsia="Times New Roman" w:hAnsi="Times New Roman" w:cs="Times New Roman"/>
          <w:color w:val="000000"/>
          <w:sz w:val="28"/>
          <w:szCs w:val="28"/>
          <w:lang w:eastAsia="ru-RU" w:bidi="ru-RU"/>
        </w:rPr>
        <w:t>.</w:t>
      </w:r>
      <w:r w:rsidR="00624EB7">
        <w:rPr>
          <w:rFonts w:ascii="Times New Roman" w:eastAsia="Times New Roman" w:hAnsi="Times New Roman" w:cs="Times New Roman"/>
          <w:color w:val="000000"/>
          <w:sz w:val="28"/>
          <w:szCs w:val="28"/>
          <w:lang w:eastAsia="ru-RU" w:bidi="ru-RU"/>
        </w:rPr>
        <w:t>).</w:t>
      </w:r>
    </w:p>
    <w:p w14:paraId="3690E22F" w14:textId="77777777" w:rsidR="00B24DF1" w:rsidRDefault="00624EB7" w:rsidP="00C35664">
      <w:pPr>
        <w:pStyle w:val="Style2"/>
        <w:shd w:val="clear" w:color="auto" w:fill="auto"/>
        <w:spacing w:after="0" w:line="312"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Правительством Российской Федерации ведется постоянная </w:t>
      </w:r>
      <w:r>
        <w:rPr>
          <w:rFonts w:ascii="Times New Roman" w:eastAsia="Times New Roman" w:hAnsi="Times New Roman" w:cs="Times New Roman"/>
          <w:color w:val="000000"/>
          <w:sz w:val="28"/>
          <w:szCs w:val="28"/>
          <w:lang w:eastAsia="ru-RU" w:bidi="ru-RU"/>
        </w:rPr>
        <w:lastRenderedPageBreak/>
        <w:t xml:space="preserve">работа по стимулированию роста доходов населения. В целях обеспечения роста осуществлялся широкий комплекс мер, направленных на поддержку особо уязвимых групп граждан, в том числе через повышение уровня социального обеспечения и адресности мер социальной поддержки. </w:t>
      </w:r>
      <w:r w:rsidRPr="00B12AA1">
        <w:rPr>
          <w:rFonts w:ascii="Times New Roman" w:eastAsia="Times New Roman" w:hAnsi="Times New Roman" w:cs="Times New Roman"/>
          <w:color w:val="000000"/>
          <w:sz w:val="28"/>
          <w:szCs w:val="28"/>
          <w:lang w:eastAsia="ru-RU" w:bidi="ru-RU"/>
        </w:rPr>
        <w:t xml:space="preserve">Большое внимание в рамках оказания поддержки уделялось семьям с детьми. </w:t>
      </w:r>
    </w:p>
    <w:p w14:paraId="6C921EC4" w14:textId="73AA057E" w:rsidR="00C35664" w:rsidRPr="00B12AA1" w:rsidRDefault="00B24DF1" w:rsidP="00C35664">
      <w:pPr>
        <w:pStyle w:val="Style2"/>
        <w:shd w:val="clear" w:color="auto" w:fill="auto"/>
        <w:spacing w:after="0" w:line="312" w:lineRule="auto"/>
        <w:ind w:firstLine="709"/>
        <w:jc w:val="both"/>
        <w:rPr>
          <w:sz w:val="28"/>
          <w:szCs w:val="28"/>
        </w:rPr>
      </w:pPr>
      <w:r>
        <w:rPr>
          <w:rFonts w:ascii="Times New Roman" w:eastAsia="Times New Roman" w:hAnsi="Times New Roman" w:cs="Times New Roman"/>
          <w:color w:val="000000"/>
          <w:sz w:val="28"/>
          <w:szCs w:val="28"/>
          <w:lang w:eastAsia="ru-RU" w:bidi="ru-RU"/>
        </w:rPr>
        <w:t>Р</w:t>
      </w:r>
      <w:r w:rsidR="00C35664" w:rsidRPr="00B12AA1">
        <w:rPr>
          <w:rFonts w:ascii="Times New Roman" w:eastAsia="Times New Roman" w:hAnsi="Times New Roman" w:cs="Times New Roman"/>
          <w:color w:val="000000"/>
          <w:sz w:val="28"/>
          <w:szCs w:val="28"/>
          <w:lang w:eastAsia="ru-RU" w:bidi="ru-RU"/>
        </w:rPr>
        <w:t>ост реальной заработной платы в целом по экономике по итогам 202</w:t>
      </w:r>
      <w:r w:rsidR="00624EB7" w:rsidRPr="00B12AA1">
        <w:rPr>
          <w:rFonts w:ascii="Times New Roman" w:eastAsia="Times New Roman" w:hAnsi="Times New Roman" w:cs="Times New Roman"/>
          <w:color w:val="000000"/>
          <w:sz w:val="28"/>
          <w:szCs w:val="28"/>
          <w:lang w:eastAsia="ru-RU" w:bidi="ru-RU"/>
        </w:rPr>
        <w:t>1</w:t>
      </w:r>
      <w:r w:rsidR="00C35664" w:rsidRPr="00B12AA1">
        <w:rPr>
          <w:rFonts w:ascii="Times New Roman" w:eastAsia="Times New Roman" w:hAnsi="Times New Roman" w:cs="Times New Roman"/>
          <w:color w:val="000000"/>
          <w:sz w:val="28"/>
          <w:szCs w:val="28"/>
          <w:lang w:eastAsia="ru-RU" w:bidi="ru-RU"/>
        </w:rPr>
        <w:t xml:space="preserve"> г</w:t>
      </w:r>
      <w:r w:rsidR="00E17755" w:rsidRPr="00B12AA1">
        <w:rPr>
          <w:rFonts w:ascii="Times New Roman" w:eastAsia="Times New Roman" w:hAnsi="Times New Roman" w:cs="Times New Roman"/>
          <w:color w:val="000000"/>
          <w:sz w:val="28"/>
          <w:szCs w:val="28"/>
          <w:lang w:eastAsia="ru-RU" w:bidi="ru-RU"/>
        </w:rPr>
        <w:t>.</w:t>
      </w:r>
      <w:r w:rsidR="00C35664" w:rsidRPr="00B12AA1">
        <w:rPr>
          <w:rFonts w:ascii="Times New Roman" w:eastAsia="Times New Roman" w:hAnsi="Times New Roman" w:cs="Times New Roman"/>
          <w:color w:val="000000"/>
          <w:sz w:val="28"/>
          <w:szCs w:val="28"/>
          <w:lang w:eastAsia="ru-RU" w:bidi="ru-RU"/>
        </w:rPr>
        <w:t xml:space="preserve"> в годовом выражении составил </w:t>
      </w:r>
      <w:r w:rsidR="00624EB7" w:rsidRPr="00B12AA1">
        <w:rPr>
          <w:rFonts w:ascii="Times New Roman" w:eastAsia="Times New Roman" w:hAnsi="Times New Roman" w:cs="Times New Roman"/>
          <w:color w:val="000000"/>
          <w:sz w:val="28"/>
          <w:szCs w:val="28"/>
          <w:lang w:eastAsia="ru-RU" w:bidi="ru-RU"/>
        </w:rPr>
        <w:t>4</w:t>
      </w:r>
      <w:r w:rsidR="00C35664" w:rsidRPr="00B12AA1">
        <w:rPr>
          <w:rFonts w:ascii="Times New Roman" w:eastAsia="Times New Roman" w:hAnsi="Times New Roman" w:cs="Times New Roman"/>
          <w:color w:val="000000"/>
          <w:sz w:val="28"/>
          <w:szCs w:val="28"/>
          <w:lang w:eastAsia="ru-RU" w:bidi="ru-RU"/>
        </w:rPr>
        <w:t>,</w:t>
      </w:r>
      <w:r w:rsidR="00624EB7" w:rsidRPr="00B12AA1">
        <w:rPr>
          <w:rFonts w:ascii="Times New Roman" w:eastAsia="Times New Roman" w:hAnsi="Times New Roman" w:cs="Times New Roman"/>
          <w:color w:val="000000"/>
          <w:sz w:val="28"/>
          <w:szCs w:val="28"/>
          <w:lang w:eastAsia="ru-RU" w:bidi="ru-RU"/>
        </w:rPr>
        <w:t>5</w:t>
      </w:r>
      <w:r w:rsidR="00C35664" w:rsidRPr="00B12AA1">
        <w:rPr>
          <w:rFonts w:ascii="Times New Roman" w:eastAsia="Times New Roman" w:hAnsi="Times New Roman" w:cs="Times New Roman"/>
          <w:color w:val="000000"/>
          <w:sz w:val="28"/>
          <w:szCs w:val="28"/>
          <w:lang w:eastAsia="ru-RU" w:bidi="ru-RU"/>
        </w:rPr>
        <w:t xml:space="preserve">% (рост номинальной заработной платы – </w:t>
      </w:r>
      <w:r w:rsidR="00624EB7" w:rsidRPr="00B12AA1">
        <w:rPr>
          <w:rFonts w:ascii="Times New Roman" w:eastAsia="Times New Roman" w:hAnsi="Times New Roman" w:cs="Times New Roman"/>
          <w:color w:val="000000"/>
          <w:sz w:val="28"/>
          <w:szCs w:val="28"/>
          <w:lang w:eastAsia="ru-RU" w:bidi="ru-RU"/>
        </w:rPr>
        <w:t>11,5</w:t>
      </w:r>
      <w:r w:rsidR="00C35664" w:rsidRPr="00B12AA1">
        <w:rPr>
          <w:rFonts w:ascii="Times New Roman" w:eastAsia="Times New Roman" w:hAnsi="Times New Roman" w:cs="Times New Roman"/>
          <w:color w:val="000000"/>
          <w:sz w:val="28"/>
          <w:szCs w:val="28"/>
          <w:lang w:eastAsia="ru-RU" w:bidi="ru-RU"/>
        </w:rPr>
        <w:t xml:space="preserve">%). </w:t>
      </w:r>
      <w:r w:rsidR="00624EB7" w:rsidRPr="00B12AA1">
        <w:rPr>
          <w:rFonts w:ascii="Times New Roman" w:eastAsia="Times New Roman" w:hAnsi="Times New Roman" w:cs="Times New Roman"/>
          <w:color w:val="000000"/>
          <w:sz w:val="28"/>
          <w:szCs w:val="28"/>
          <w:lang w:eastAsia="ru-RU" w:bidi="ru-RU"/>
        </w:rPr>
        <w:t>Р</w:t>
      </w:r>
      <w:r w:rsidR="00C35664" w:rsidRPr="00B12AA1">
        <w:rPr>
          <w:rFonts w:ascii="Times New Roman" w:eastAsia="Times New Roman" w:hAnsi="Times New Roman" w:cs="Times New Roman"/>
          <w:color w:val="000000"/>
          <w:sz w:val="28"/>
          <w:szCs w:val="28"/>
          <w:lang w:eastAsia="ru-RU" w:bidi="ru-RU"/>
        </w:rPr>
        <w:t xml:space="preserve">еальные располагаемые денежные доходы после </w:t>
      </w:r>
      <w:r w:rsidR="00624EB7" w:rsidRPr="00B12AA1">
        <w:rPr>
          <w:rFonts w:ascii="Times New Roman" w:eastAsia="Times New Roman" w:hAnsi="Times New Roman" w:cs="Times New Roman"/>
          <w:color w:val="000000"/>
          <w:sz w:val="28"/>
          <w:szCs w:val="28"/>
          <w:lang w:eastAsia="ru-RU" w:bidi="ru-RU"/>
        </w:rPr>
        <w:t>снижения</w:t>
      </w:r>
      <w:r w:rsidR="00C35664" w:rsidRPr="00B12AA1">
        <w:rPr>
          <w:rFonts w:ascii="Times New Roman" w:eastAsia="Times New Roman" w:hAnsi="Times New Roman" w:cs="Times New Roman"/>
          <w:color w:val="000000"/>
          <w:sz w:val="28"/>
          <w:szCs w:val="28"/>
          <w:lang w:eastAsia="ru-RU" w:bidi="ru-RU"/>
        </w:rPr>
        <w:t xml:space="preserve"> в 20</w:t>
      </w:r>
      <w:r w:rsidR="00624EB7" w:rsidRPr="00B12AA1">
        <w:rPr>
          <w:rFonts w:ascii="Times New Roman" w:eastAsia="Times New Roman" w:hAnsi="Times New Roman" w:cs="Times New Roman"/>
          <w:color w:val="000000"/>
          <w:sz w:val="28"/>
          <w:szCs w:val="28"/>
          <w:lang w:eastAsia="ru-RU" w:bidi="ru-RU"/>
        </w:rPr>
        <w:t>20</w:t>
      </w:r>
      <w:r w:rsidR="00C35664" w:rsidRPr="00B12AA1">
        <w:rPr>
          <w:rFonts w:ascii="Times New Roman" w:eastAsia="Times New Roman" w:hAnsi="Times New Roman" w:cs="Times New Roman"/>
          <w:color w:val="000000"/>
          <w:sz w:val="28"/>
          <w:szCs w:val="28"/>
          <w:lang w:eastAsia="ru-RU" w:bidi="ru-RU"/>
        </w:rPr>
        <w:t xml:space="preserve"> г</w:t>
      </w:r>
      <w:r w:rsidR="00E17755" w:rsidRPr="00B12AA1">
        <w:rPr>
          <w:rFonts w:ascii="Times New Roman" w:eastAsia="Times New Roman" w:hAnsi="Times New Roman" w:cs="Times New Roman"/>
          <w:color w:val="000000"/>
          <w:sz w:val="28"/>
          <w:szCs w:val="28"/>
          <w:lang w:eastAsia="ru-RU" w:bidi="ru-RU"/>
        </w:rPr>
        <w:t>.</w:t>
      </w:r>
      <w:r w:rsidR="00C35664" w:rsidRPr="00B12AA1">
        <w:rPr>
          <w:rFonts w:ascii="Times New Roman" w:eastAsia="Times New Roman" w:hAnsi="Times New Roman" w:cs="Times New Roman"/>
          <w:color w:val="000000"/>
          <w:sz w:val="28"/>
          <w:szCs w:val="28"/>
          <w:lang w:eastAsia="ru-RU" w:bidi="ru-RU"/>
        </w:rPr>
        <w:t xml:space="preserve"> на </w:t>
      </w:r>
      <w:r w:rsidR="00624EB7" w:rsidRPr="00B12AA1">
        <w:rPr>
          <w:rFonts w:ascii="Times New Roman" w:eastAsia="Times New Roman" w:hAnsi="Times New Roman" w:cs="Times New Roman"/>
          <w:color w:val="000000"/>
          <w:sz w:val="28"/>
          <w:szCs w:val="28"/>
          <w:lang w:eastAsia="ru-RU" w:bidi="ru-RU"/>
        </w:rPr>
        <w:t>-2</w:t>
      </w:r>
      <w:r w:rsidR="00C35664" w:rsidRPr="00B12AA1">
        <w:rPr>
          <w:rFonts w:ascii="Times New Roman" w:eastAsia="Times New Roman" w:hAnsi="Times New Roman" w:cs="Times New Roman"/>
          <w:color w:val="000000"/>
          <w:sz w:val="28"/>
          <w:szCs w:val="28"/>
          <w:lang w:eastAsia="ru-RU" w:bidi="ru-RU"/>
        </w:rPr>
        <w:t>,0% по итогам 202</w:t>
      </w:r>
      <w:r w:rsidR="00624EB7" w:rsidRPr="00B12AA1">
        <w:rPr>
          <w:rFonts w:ascii="Times New Roman" w:eastAsia="Times New Roman" w:hAnsi="Times New Roman" w:cs="Times New Roman"/>
          <w:color w:val="000000"/>
          <w:sz w:val="28"/>
          <w:szCs w:val="28"/>
          <w:lang w:eastAsia="ru-RU" w:bidi="ru-RU"/>
        </w:rPr>
        <w:t>1</w:t>
      </w:r>
      <w:r w:rsidR="00C35664" w:rsidRPr="00B12AA1">
        <w:rPr>
          <w:rFonts w:ascii="Times New Roman" w:eastAsia="Times New Roman" w:hAnsi="Times New Roman" w:cs="Times New Roman"/>
          <w:color w:val="000000"/>
          <w:sz w:val="28"/>
          <w:szCs w:val="28"/>
          <w:lang w:eastAsia="ru-RU" w:bidi="ru-RU"/>
        </w:rPr>
        <w:t xml:space="preserve"> г</w:t>
      </w:r>
      <w:r w:rsidR="00E17755" w:rsidRPr="00B12AA1">
        <w:rPr>
          <w:rFonts w:ascii="Times New Roman" w:eastAsia="Times New Roman" w:hAnsi="Times New Roman" w:cs="Times New Roman"/>
          <w:color w:val="000000"/>
          <w:sz w:val="28"/>
          <w:szCs w:val="28"/>
          <w:lang w:eastAsia="ru-RU" w:bidi="ru-RU"/>
        </w:rPr>
        <w:t>.</w:t>
      </w:r>
      <w:r w:rsidR="00624EB7" w:rsidRPr="00B12AA1">
        <w:rPr>
          <w:rFonts w:ascii="Times New Roman" w:eastAsia="Times New Roman" w:hAnsi="Times New Roman" w:cs="Times New Roman"/>
          <w:color w:val="000000"/>
          <w:sz w:val="28"/>
          <w:szCs w:val="28"/>
          <w:lang w:eastAsia="ru-RU" w:bidi="ru-RU"/>
        </w:rPr>
        <w:t>, по предварительным данным Росстата,</w:t>
      </w:r>
      <w:r w:rsidR="001B24B0" w:rsidRPr="00B12AA1">
        <w:rPr>
          <w:rFonts w:ascii="Times New Roman" w:eastAsia="Times New Roman" w:hAnsi="Times New Roman" w:cs="Times New Roman"/>
          <w:sz w:val="28"/>
          <w:szCs w:val="28"/>
          <w:lang w:eastAsia="ru-RU"/>
        </w:rPr>
        <w:t> </w:t>
      </w:r>
      <w:r w:rsidR="00624EB7" w:rsidRPr="00B12AA1">
        <w:rPr>
          <w:rFonts w:ascii="Times New Roman" w:eastAsia="Times New Roman" w:hAnsi="Times New Roman" w:cs="Times New Roman"/>
          <w:color w:val="000000"/>
          <w:sz w:val="28"/>
          <w:szCs w:val="28"/>
          <w:lang w:eastAsia="ru-RU" w:bidi="ru-RU"/>
        </w:rPr>
        <w:t>увеличились</w:t>
      </w:r>
      <w:r w:rsidR="00C35664" w:rsidRPr="00B12AA1">
        <w:rPr>
          <w:rFonts w:ascii="Times New Roman" w:eastAsia="Times New Roman" w:hAnsi="Times New Roman" w:cs="Times New Roman"/>
          <w:color w:val="000000"/>
          <w:sz w:val="28"/>
          <w:szCs w:val="28"/>
          <w:lang w:eastAsia="ru-RU" w:bidi="ru-RU"/>
        </w:rPr>
        <w:t xml:space="preserve"> на </w:t>
      </w:r>
      <w:r w:rsidR="00624EB7" w:rsidRPr="00B12AA1">
        <w:rPr>
          <w:rFonts w:ascii="Times New Roman" w:eastAsia="Times New Roman" w:hAnsi="Times New Roman" w:cs="Times New Roman"/>
          <w:color w:val="000000"/>
          <w:sz w:val="28"/>
          <w:szCs w:val="28"/>
          <w:lang w:eastAsia="ru-RU" w:bidi="ru-RU"/>
        </w:rPr>
        <w:t>3</w:t>
      </w:r>
      <w:r w:rsidR="00C35664" w:rsidRPr="00B12AA1">
        <w:rPr>
          <w:rFonts w:ascii="Times New Roman" w:eastAsia="Times New Roman" w:hAnsi="Times New Roman" w:cs="Times New Roman"/>
          <w:color w:val="000000"/>
          <w:sz w:val="28"/>
          <w:szCs w:val="28"/>
          <w:lang w:eastAsia="ru-RU" w:bidi="ru-RU"/>
        </w:rPr>
        <w:t>,</w:t>
      </w:r>
      <w:r w:rsidR="00624EB7" w:rsidRPr="00B12AA1">
        <w:rPr>
          <w:rFonts w:ascii="Times New Roman" w:eastAsia="Times New Roman" w:hAnsi="Times New Roman" w:cs="Times New Roman"/>
          <w:color w:val="000000"/>
          <w:sz w:val="28"/>
          <w:szCs w:val="28"/>
          <w:lang w:eastAsia="ru-RU" w:bidi="ru-RU"/>
        </w:rPr>
        <w:t>0</w:t>
      </w:r>
      <w:r w:rsidR="00C35664" w:rsidRPr="00B12AA1">
        <w:rPr>
          <w:rFonts w:ascii="Times New Roman" w:eastAsia="Times New Roman" w:hAnsi="Times New Roman" w:cs="Times New Roman"/>
          <w:color w:val="000000"/>
          <w:sz w:val="28"/>
          <w:szCs w:val="28"/>
          <w:lang w:eastAsia="ru-RU" w:bidi="ru-RU"/>
        </w:rPr>
        <w:t xml:space="preserve">%. </w:t>
      </w:r>
      <w:r w:rsidR="00F02218" w:rsidRPr="00B12AA1">
        <w:rPr>
          <w:rFonts w:ascii="Times New Roman" w:eastAsia="Times New Roman" w:hAnsi="Times New Roman" w:cs="Times New Roman"/>
          <w:color w:val="000000"/>
          <w:sz w:val="28"/>
          <w:szCs w:val="28"/>
          <w:lang w:eastAsia="ru-RU" w:bidi="ru-RU"/>
        </w:rPr>
        <w:t>Рост доходов был обеспечен</w:t>
      </w:r>
      <w:r w:rsidR="001B24B0" w:rsidRPr="00B12AA1">
        <w:rPr>
          <w:rFonts w:ascii="Times New Roman" w:eastAsia="Times New Roman" w:hAnsi="Times New Roman" w:cs="Times New Roman"/>
          <w:color w:val="000000"/>
          <w:sz w:val="28"/>
          <w:szCs w:val="28"/>
          <w:lang w:eastAsia="ru-RU" w:bidi="ru-RU"/>
        </w:rPr>
        <w:t>,</w:t>
      </w:r>
      <w:r w:rsidR="00F02218" w:rsidRPr="00B12AA1">
        <w:rPr>
          <w:rFonts w:ascii="Times New Roman" w:eastAsia="Times New Roman" w:hAnsi="Times New Roman" w:cs="Times New Roman"/>
          <w:color w:val="000000"/>
          <w:sz w:val="28"/>
          <w:szCs w:val="28"/>
          <w:lang w:eastAsia="ru-RU" w:bidi="ru-RU"/>
        </w:rPr>
        <w:t xml:space="preserve"> в том числе за счет реализации мер социальной поддержки: единовременные выплаты на школьников в августе, пенсионерам и военнослужащим в сентябре. Д</w:t>
      </w:r>
      <w:r w:rsidR="00C35664" w:rsidRPr="00B12AA1">
        <w:rPr>
          <w:rFonts w:ascii="Times New Roman" w:eastAsia="Times New Roman" w:hAnsi="Times New Roman" w:cs="Times New Roman"/>
          <w:color w:val="000000"/>
          <w:sz w:val="28"/>
          <w:szCs w:val="28"/>
          <w:lang w:eastAsia="ru-RU" w:bidi="ru-RU"/>
        </w:rPr>
        <w:t>енежные доходы в среднем на душу населения в 202</w:t>
      </w:r>
      <w:r w:rsidR="00F02218" w:rsidRPr="00B12AA1">
        <w:rPr>
          <w:rFonts w:ascii="Times New Roman" w:eastAsia="Times New Roman" w:hAnsi="Times New Roman" w:cs="Times New Roman"/>
          <w:color w:val="000000"/>
          <w:sz w:val="28"/>
          <w:szCs w:val="28"/>
          <w:lang w:eastAsia="ru-RU" w:bidi="ru-RU"/>
        </w:rPr>
        <w:t>1</w:t>
      </w:r>
      <w:r w:rsidR="00C35664" w:rsidRPr="00B12AA1">
        <w:rPr>
          <w:rFonts w:ascii="Times New Roman" w:eastAsia="Times New Roman" w:hAnsi="Times New Roman" w:cs="Times New Roman"/>
          <w:color w:val="000000"/>
          <w:sz w:val="28"/>
          <w:szCs w:val="28"/>
          <w:lang w:eastAsia="ru-RU" w:bidi="ru-RU"/>
        </w:rPr>
        <w:t xml:space="preserve"> г</w:t>
      </w:r>
      <w:r w:rsidR="00E17755" w:rsidRPr="00B12AA1">
        <w:rPr>
          <w:rFonts w:ascii="Times New Roman" w:eastAsia="Times New Roman" w:hAnsi="Times New Roman" w:cs="Times New Roman"/>
          <w:color w:val="000000"/>
          <w:sz w:val="28"/>
          <w:szCs w:val="28"/>
          <w:lang w:eastAsia="ru-RU" w:bidi="ru-RU"/>
        </w:rPr>
        <w:t>.</w:t>
      </w:r>
      <w:r w:rsidR="00C35664" w:rsidRPr="00B12AA1">
        <w:rPr>
          <w:rFonts w:ascii="Times New Roman" w:eastAsia="Times New Roman" w:hAnsi="Times New Roman" w:cs="Times New Roman"/>
          <w:color w:val="000000"/>
          <w:sz w:val="28"/>
          <w:szCs w:val="28"/>
          <w:lang w:eastAsia="ru-RU" w:bidi="ru-RU"/>
        </w:rPr>
        <w:t xml:space="preserve"> составили </w:t>
      </w:r>
      <w:r w:rsidR="00E92579">
        <w:rPr>
          <w:rFonts w:ascii="Times New Roman" w:eastAsia="Times New Roman" w:hAnsi="Times New Roman" w:cs="Times New Roman"/>
          <w:color w:val="000000"/>
          <w:sz w:val="28"/>
          <w:szCs w:val="28"/>
          <w:lang w:eastAsia="ru-RU" w:bidi="ru-RU"/>
        </w:rPr>
        <w:br/>
      </w:r>
      <w:r w:rsidR="005353FD" w:rsidRPr="00B12AA1">
        <w:rPr>
          <w:rFonts w:ascii="Times New Roman" w:eastAsia="Times New Roman" w:hAnsi="Times New Roman" w:cs="Times New Roman"/>
          <w:color w:val="000000"/>
          <w:sz w:val="28"/>
          <w:szCs w:val="28"/>
          <w:lang w:eastAsia="ru-RU" w:bidi="ru-RU"/>
        </w:rPr>
        <w:t>40</w:t>
      </w:r>
      <w:r w:rsidR="001B24B0" w:rsidRPr="00B12AA1">
        <w:rPr>
          <w:rFonts w:ascii="Times New Roman" w:eastAsia="Times New Roman" w:hAnsi="Times New Roman" w:cs="Times New Roman"/>
          <w:sz w:val="28"/>
          <w:szCs w:val="28"/>
          <w:lang w:eastAsia="ru-RU"/>
        </w:rPr>
        <w:t> </w:t>
      </w:r>
      <w:r w:rsidR="005353FD" w:rsidRPr="00B12AA1">
        <w:rPr>
          <w:rFonts w:ascii="Times New Roman" w:eastAsia="Times New Roman" w:hAnsi="Times New Roman" w:cs="Times New Roman"/>
          <w:color w:val="000000"/>
          <w:sz w:val="28"/>
          <w:szCs w:val="28"/>
          <w:lang w:eastAsia="ru-RU" w:bidi="ru-RU"/>
        </w:rPr>
        <w:t>0</w:t>
      </w:r>
      <w:r w:rsidR="00C35664" w:rsidRPr="00B12AA1">
        <w:rPr>
          <w:rFonts w:ascii="Times New Roman" w:eastAsia="Times New Roman" w:hAnsi="Times New Roman" w:cs="Times New Roman"/>
          <w:color w:val="000000"/>
          <w:sz w:val="28"/>
          <w:szCs w:val="28"/>
          <w:lang w:eastAsia="ru-RU" w:bidi="ru-RU"/>
        </w:rPr>
        <w:t>40 рублей</w:t>
      </w:r>
      <w:r w:rsidR="005353FD" w:rsidRPr="00B12AA1">
        <w:rPr>
          <w:rFonts w:ascii="Times New Roman" w:eastAsia="Times New Roman" w:hAnsi="Times New Roman" w:cs="Times New Roman"/>
          <w:color w:val="000000"/>
          <w:sz w:val="28"/>
          <w:szCs w:val="28"/>
          <w:lang w:eastAsia="ru-RU" w:bidi="ru-RU"/>
        </w:rPr>
        <w:t xml:space="preserve"> в среднем за месяц</w:t>
      </w:r>
      <w:r w:rsidR="00C35664" w:rsidRPr="00B12AA1">
        <w:rPr>
          <w:rFonts w:ascii="Times New Roman" w:eastAsia="Times New Roman" w:hAnsi="Times New Roman" w:cs="Times New Roman"/>
          <w:color w:val="000000"/>
          <w:sz w:val="28"/>
          <w:szCs w:val="28"/>
          <w:lang w:eastAsia="ru-RU" w:bidi="ru-RU"/>
        </w:rPr>
        <w:t xml:space="preserve">, </w:t>
      </w:r>
      <w:r w:rsidR="005353FD" w:rsidRPr="00B12AA1">
        <w:rPr>
          <w:rFonts w:ascii="Times New Roman" w:eastAsia="Times New Roman" w:hAnsi="Times New Roman" w:cs="Times New Roman"/>
          <w:color w:val="000000"/>
          <w:sz w:val="28"/>
          <w:szCs w:val="28"/>
          <w:lang w:eastAsia="ru-RU" w:bidi="ru-RU"/>
        </w:rPr>
        <w:t xml:space="preserve">увеличившись </w:t>
      </w:r>
      <w:r w:rsidR="00C35664" w:rsidRPr="00B12AA1">
        <w:rPr>
          <w:rFonts w:ascii="Times New Roman" w:eastAsia="Times New Roman" w:hAnsi="Times New Roman" w:cs="Times New Roman"/>
          <w:color w:val="000000"/>
          <w:sz w:val="28"/>
          <w:szCs w:val="28"/>
          <w:lang w:eastAsia="ru-RU" w:bidi="ru-RU"/>
        </w:rPr>
        <w:t>в номинальном выражении на 1</w:t>
      </w:r>
      <w:r w:rsidR="005353FD" w:rsidRPr="00B12AA1">
        <w:rPr>
          <w:rFonts w:ascii="Times New Roman" w:eastAsia="Times New Roman" w:hAnsi="Times New Roman" w:cs="Times New Roman"/>
          <w:color w:val="000000"/>
          <w:sz w:val="28"/>
          <w:szCs w:val="28"/>
          <w:lang w:eastAsia="ru-RU" w:bidi="ru-RU"/>
        </w:rPr>
        <w:t>0</w:t>
      </w:r>
      <w:r w:rsidR="00C35664" w:rsidRPr="00B12AA1">
        <w:rPr>
          <w:rFonts w:ascii="Times New Roman" w:eastAsia="Times New Roman" w:hAnsi="Times New Roman" w:cs="Times New Roman"/>
          <w:color w:val="000000"/>
          <w:sz w:val="28"/>
          <w:szCs w:val="28"/>
          <w:lang w:eastAsia="ru-RU" w:bidi="ru-RU"/>
        </w:rPr>
        <w:t>,</w:t>
      </w:r>
      <w:r w:rsidR="005353FD" w:rsidRPr="00B12AA1">
        <w:rPr>
          <w:rFonts w:ascii="Times New Roman" w:eastAsia="Times New Roman" w:hAnsi="Times New Roman" w:cs="Times New Roman"/>
          <w:color w:val="000000"/>
          <w:sz w:val="28"/>
          <w:szCs w:val="28"/>
          <w:lang w:eastAsia="ru-RU" w:bidi="ru-RU"/>
        </w:rPr>
        <w:t>5</w:t>
      </w:r>
      <w:r w:rsidR="00C35664" w:rsidRPr="00B12AA1">
        <w:rPr>
          <w:rFonts w:ascii="Times New Roman" w:eastAsia="Times New Roman" w:hAnsi="Times New Roman" w:cs="Times New Roman"/>
          <w:color w:val="000000"/>
          <w:sz w:val="28"/>
          <w:szCs w:val="28"/>
          <w:lang w:eastAsia="ru-RU" w:bidi="ru-RU"/>
        </w:rPr>
        <w:t>% по сравнению с 20</w:t>
      </w:r>
      <w:r w:rsidR="005353FD" w:rsidRPr="00B12AA1">
        <w:rPr>
          <w:rFonts w:ascii="Times New Roman" w:eastAsia="Times New Roman" w:hAnsi="Times New Roman" w:cs="Times New Roman"/>
          <w:color w:val="000000"/>
          <w:sz w:val="28"/>
          <w:szCs w:val="28"/>
          <w:lang w:eastAsia="ru-RU" w:bidi="ru-RU"/>
        </w:rPr>
        <w:t>20</w:t>
      </w:r>
      <w:r w:rsidR="00C35664" w:rsidRPr="00B12AA1">
        <w:rPr>
          <w:rFonts w:ascii="Times New Roman" w:eastAsia="Times New Roman" w:hAnsi="Times New Roman" w:cs="Times New Roman"/>
          <w:color w:val="000000"/>
          <w:sz w:val="28"/>
          <w:szCs w:val="28"/>
          <w:lang w:eastAsia="ru-RU" w:bidi="ru-RU"/>
        </w:rPr>
        <w:t xml:space="preserve"> г</w:t>
      </w:r>
      <w:r w:rsidR="00E17755" w:rsidRPr="00B12AA1">
        <w:rPr>
          <w:rFonts w:ascii="Times New Roman" w:eastAsia="Times New Roman" w:hAnsi="Times New Roman" w:cs="Times New Roman"/>
          <w:color w:val="000000"/>
          <w:sz w:val="28"/>
          <w:szCs w:val="28"/>
          <w:lang w:eastAsia="ru-RU" w:bidi="ru-RU"/>
        </w:rPr>
        <w:t>.</w:t>
      </w:r>
      <w:r w:rsidR="00C35664" w:rsidRPr="00B12AA1">
        <w:rPr>
          <w:rFonts w:ascii="Times New Roman" w:eastAsia="Times New Roman" w:hAnsi="Times New Roman" w:cs="Times New Roman"/>
          <w:color w:val="000000"/>
          <w:sz w:val="28"/>
          <w:szCs w:val="28"/>
          <w:lang w:eastAsia="ru-RU" w:bidi="ru-RU"/>
        </w:rPr>
        <w:t xml:space="preserve"> (3</w:t>
      </w:r>
      <w:r w:rsidR="005353FD" w:rsidRPr="00B12AA1">
        <w:rPr>
          <w:rFonts w:ascii="Times New Roman" w:eastAsia="Times New Roman" w:hAnsi="Times New Roman" w:cs="Times New Roman"/>
          <w:color w:val="000000"/>
          <w:sz w:val="28"/>
          <w:szCs w:val="28"/>
          <w:lang w:eastAsia="ru-RU" w:bidi="ru-RU"/>
        </w:rPr>
        <w:t>6</w:t>
      </w:r>
      <w:r w:rsidR="007B4F29" w:rsidRPr="00B12AA1">
        <w:rPr>
          <w:rFonts w:ascii="Times New Roman" w:eastAsia="Times New Roman" w:hAnsi="Times New Roman" w:cs="Times New Roman"/>
          <w:sz w:val="28"/>
          <w:szCs w:val="28"/>
          <w:lang w:eastAsia="ru-RU"/>
        </w:rPr>
        <w:t> </w:t>
      </w:r>
      <w:r w:rsidR="005353FD" w:rsidRPr="00B12AA1">
        <w:rPr>
          <w:rFonts w:ascii="Times New Roman" w:eastAsia="Times New Roman" w:hAnsi="Times New Roman" w:cs="Times New Roman"/>
          <w:color w:val="000000"/>
          <w:sz w:val="28"/>
          <w:szCs w:val="28"/>
          <w:lang w:eastAsia="ru-RU" w:bidi="ru-RU"/>
        </w:rPr>
        <w:t>240</w:t>
      </w:r>
      <w:r w:rsidR="00C35664" w:rsidRPr="00B12AA1">
        <w:rPr>
          <w:rFonts w:ascii="Times New Roman" w:eastAsia="Times New Roman" w:hAnsi="Times New Roman" w:cs="Times New Roman"/>
          <w:color w:val="000000"/>
          <w:sz w:val="28"/>
          <w:szCs w:val="28"/>
          <w:lang w:eastAsia="ru-RU" w:bidi="ru-RU"/>
        </w:rPr>
        <w:t xml:space="preserve"> рублей).</w:t>
      </w:r>
    </w:p>
    <w:p w14:paraId="3CB33213" w14:textId="77777777" w:rsidR="00C35664" w:rsidRPr="00711C0A" w:rsidRDefault="00C35664" w:rsidP="00C35664">
      <w:pPr>
        <w:pStyle w:val="Style2"/>
        <w:shd w:val="clear" w:color="auto" w:fill="auto"/>
        <w:spacing w:after="0" w:line="312" w:lineRule="auto"/>
        <w:ind w:firstLine="709"/>
        <w:jc w:val="both"/>
        <w:rPr>
          <w:sz w:val="28"/>
          <w:szCs w:val="28"/>
        </w:rPr>
      </w:pPr>
      <w:r w:rsidRPr="00B12AA1">
        <w:rPr>
          <w:rFonts w:ascii="Times New Roman" w:eastAsia="Times New Roman" w:hAnsi="Times New Roman" w:cs="Times New Roman"/>
          <w:color w:val="000000"/>
          <w:sz w:val="28"/>
          <w:szCs w:val="28"/>
          <w:lang w:eastAsia="ru-RU" w:bidi="ru-RU"/>
        </w:rPr>
        <w:t>В 202</w:t>
      </w:r>
      <w:r w:rsidR="00F12529" w:rsidRPr="00B12AA1">
        <w:rPr>
          <w:rFonts w:ascii="Times New Roman" w:eastAsia="Times New Roman" w:hAnsi="Times New Roman" w:cs="Times New Roman"/>
          <w:color w:val="000000"/>
          <w:sz w:val="28"/>
          <w:szCs w:val="28"/>
          <w:lang w:eastAsia="ru-RU" w:bidi="ru-RU"/>
        </w:rPr>
        <w:t>1</w:t>
      </w:r>
      <w:r w:rsidR="00E17755" w:rsidRPr="00B12AA1">
        <w:rPr>
          <w:rFonts w:ascii="Times New Roman" w:eastAsia="Times New Roman" w:hAnsi="Times New Roman" w:cs="Times New Roman"/>
          <w:color w:val="000000"/>
          <w:sz w:val="28"/>
          <w:szCs w:val="28"/>
          <w:lang w:eastAsia="ru-RU" w:bidi="ru-RU"/>
        </w:rPr>
        <w:t xml:space="preserve"> г.</w:t>
      </w:r>
      <w:r w:rsidRPr="00B12AA1">
        <w:rPr>
          <w:rFonts w:ascii="Times New Roman" w:eastAsia="Times New Roman" w:hAnsi="Times New Roman" w:cs="Times New Roman"/>
          <w:color w:val="000000"/>
          <w:sz w:val="28"/>
          <w:szCs w:val="28"/>
          <w:lang w:eastAsia="ru-RU" w:bidi="ru-RU"/>
        </w:rPr>
        <w:t xml:space="preserve"> доля доходов, направленная населением на потре</w:t>
      </w:r>
      <w:r w:rsidR="00F12529" w:rsidRPr="00B12AA1">
        <w:rPr>
          <w:rFonts w:ascii="Times New Roman" w:eastAsia="Times New Roman" w:hAnsi="Times New Roman" w:cs="Times New Roman"/>
          <w:color w:val="000000"/>
          <w:sz w:val="28"/>
          <w:szCs w:val="28"/>
          <w:lang w:eastAsia="ru-RU" w:bidi="ru-RU"/>
        </w:rPr>
        <w:t>бительские расходы, составила 80</w:t>
      </w:r>
      <w:r w:rsidRPr="00B12AA1">
        <w:rPr>
          <w:rFonts w:ascii="Times New Roman" w:eastAsia="Times New Roman" w:hAnsi="Times New Roman" w:cs="Times New Roman"/>
          <w:color w:val="000000"/>
          <w:sz w:val="28"/>
          <w:szCs w:val="28"/>
          <w:lang w:eastAsia="ru-RU" w:bidi="ru-RU"/>
        </w:rPr>
        <w:t>,</w:t>
      </w:r>
      <w:r w:rsidR="00F12529" w:rsidRPr="00B12AA1">
        <w:rPr>
          <w:rFonts w:ascii="Times New Roman" w:eastAsia="Times New Roman" w:hAnsi="Times New Roman" w:cs="Times New Roman"/>
          <w:color w:val="000000"/>
          <w:sz w:val="28"/>
          <w:szCs w:val="28"/>
          <w:lang w:eastAsia="ru-RU" w:bidi="ru-RU"/>
        </w:rPr>
        <w:t>6</w:t>
      </w:r>
      <w:r w:rsidRPr="00B12AA1">
        <w:rPr>
          <w:rFonts w:ascii="Times New Roman" w:eastAsia="Times New Roman" w:hAnsi="Times New Roman" w:cs="Times New Roman"/>
          <w:color w:val="000000"/>
          <w:sz w:val="28"/>
          <w:szCs w:val="28"/>
          <w:lang w:eastAsia="ru-RU" w:bidi="ru-RU"/>
        </w:rPr>
        <w:t>%, что на 4,</w:t>
      </w:r>
      <w:r w:rsidR="00F12529" w:rsidRPr="00B12AA1">
        <w:rPr>
          <w:rFonts w:ascii="Times New Roman" w:eastAsia="Times New Roman" w:hAnsi="Times New Roman" w:cs="Times New Roman"/>
          <w:color w:val="000000"/>
          <w:sz w:val="28"/>
          <w:szCs w:val="28"/>
          <w:lang w:eastAsia="ru-RU" w:bidi="ru-RU"/>
        </w:rPr>
        <w:t>9</w:t>
      </w:r>
      <w:r w:rsidR="00854676" w:rsidRPr="00B12AA1">
        <w:rPr>
          <w:rFonts w:ascii="Times New Roman" w:eastAsia="Times New Roman" w:hAnsi="Times New Roman" w:cs="Times New Roman"/>
          <w:sz w:val="28"/>
          <w:szCs w:val="28"/>
          <w:lang w:eastAsia="ru-RU"/>
        </w:rPr>
        <w:t> </w:t>
      </w:r>
      <w:proofErr w:type="spellStart"/>
      <w:r w:rsidRPr="00B12AA1">
        <w:rPr>
          <w:rFonts w:ascii="Times New Roman" w:eastAsia="Times New Roman" w:hAnsi="Times New Roman" w:cs="Times New Roman"/>
          <w:color w:val="000000"/>
          <w:sz w:val="28"/>
          <w:szCs w:val="28"/>
          <w:lang w:eastAsia="ru-RU" w:bidi="ru-RU"/>
        </w:rPr>
        <w:t>п.п</w:t>
      </w:r>
      <w:proofErr w:type="spellEnd"/>
      <w:r w:rsidRPr="00B12AA1">
        <w:rPr>
          <w:rFonts w:ascii="Times New Roman" w:eastAsia="Times New Roman" w:hAnsi="Times New Roman" w:cs="Times New Roman"/>
          <w:color w:val="000000"/>
          <w:sz w:val="28"/>
          <w:szCs w:val="28"/>
          <w:lang w:eastAsia="ru-RU" w:bidi="ru-RU"/>
        </w:rPr>
        <w:t xml:space="preserve">. </w:t>
      </w:r>
      <w:r w:rsidR="00F12529" w:rsidRPr="00B12AA1">
        <w:rPr>
          <w:rFonts w:ascii="Times New Roman" w:eastAsia="Times New Roman" w:hAnsi="Times New Roman" w:cs="Times New Roman"/>
          <w:color w:val="000000"/>
          <w:sz w:val="28"/>
          <w:szCs w:val="28"/>
          <w:lang w:eastAsia="ru-RU" w:bidi="ru-RU"/>
        </w:rPr>
        <w:t>бол</w:t>
      </w:r>
      <w:r w:rsidRPr="00B12AA1">
        <w:rPr>
          <w:rFonts w:ascii="Times New Roman" w:eastAsia="Times New Roman" w:hAnsi="Times New Roman" w:cs="Times New Roman"/>
          <w:color w:val="000000"/>
          <w:sz w:val="28"/>
          <w:szCs w:val="28"/>
          <w:lang w:eastAsia="ru-RU" w:bidi="ru-RU"/>
        </w:rPr>
        <w:t>ьше аналогичного показателя 20</w:t>
      </w:r>
      <w:r w:rsidR="00F12529" w:rsidRPr="00B12AA1">
        <w:rPr>
          <w:rFonts w:ascii="Times New Roman" w:eastAsia="Times New Roman" w:hAnsi="Times New Roman" w:cs="Times New Roman"/>
          <w:color w:val="000000"/>
          <w:sz w:val="28"/>
          <w:szCs w:val="28"/>
          <w:lang w:eastAsia="ru-RU" w:bidi="ru-RU"/>
        </w:rPr>
        <w:t>20</w:t>
      </w:r>
      <w:r w:rsidRPr="00B12AA1">
        <w:rPr>
          <w:rFonts w:ascii="Times New Roman" w:eastAsia="Times New Roman" w:hAnsi="Times New Roman" w:cs="Times New Roman"/>
          <w:color w:val="000000"/>
          <w:sz w:val="28"/>
          <w:szCs w:val="28"/>
          <w:lang w:eastAsia="ru-RU" w:bidi="ru-RU"/>
        </w:rPr>
        <w:t xml:space="preserve"> г. При этом на оплату услуг населением было направлено 1</w:t>
      </w:r>
      <w:r w:rsidR="00222A3C" w:rsidRPr="00B12AA1">
        <w:rPr>
          <w:rFonts w:ascii="Times New Roman" w:eastAsia="Times New Roman" w:hAnsi="Times New Roman" w:cs="Times New Roman"/>
          <w:color w:val="000000"/>
          <w:sz w:val="28"/>
          <w:szCs w:val="28"/>
          <w:lang w:eastAsia="ru-RU" w:bidi="ru-RU"/>
        </w:rPr>
        <w:t>7</w:t>
      </w:r>
      <w:r w:rsidRPr="00B12AA1">
        <w:rPr>
          <w:rFonts w:ascii="Times New Roman" w:eastAsia="Times New Roman" w:hAnsi="Times New Roman" w:cs="Times New Roman"/>
          <w:color w:val="000000"/>
          <w:sz w:val="28"/>
          <w:szCs w:val="28"/>
          <w:lang w:eastAsia="ru-RU" w:bidi="ru-RU"/>
        </w:rPr>
        <w:t>,</w:t>
      </w:r>
      <w:r w:rsidR="00222A3C" w:rsidRPr="00B12AA1">
        <w:rPr>
          <w:rFonts w:ascii="Times New Roman" w:eastAsia="Times New Roman" w:hAnsi="Times New Roman" w:cs="Times New Roman"/>
          <w:color w:val="000000"/>
          <w:sz w:val="28"/>
          <w:szCs w:val="28"/>
          <w:lang w:eastAsia="ru-RU" w:bidi="ru-RU"/>
        </w:rPr>
        <w:t>5</w:t>
      </w:r>
      <w:r w:rsidRPr="00B12AA1">
        <w:rPr>
          <w:rFonts w:ascii="Times New Roman" w:eastAsia="Times New Roman" w:hAnsi="Times New Roman" w:cs="Times New Roman"/>
          <w:color w:val="000000"/>
          <w:sz w:val="28"/>
          <w:szCs w:val="28"/>
          <w:lang w:eastAsia="ru-RU" w:bidi="ru-RU"/>
        </w:rPr>
        <w:t xml:space="preserve">% доходов. На покупку товаров население направило </w:t>
      </w:r>
      <w:r w:rsidR="00222A3C" w:rsidRPr="00B12AA1">
        <w:rPr>
          <w:rFonts w:ascii="Times New Roman" w:eastAsia="Times New Roman" w:hAnsi="Times New Roman" w:cs="Times New Roman"/>
          <w:color w:val="000000"/>
          <w:sz w:val="28"/>
          <w:szCs w:val="28"/>
          <w:lang w:eastAsia="ru-RU" w:bidi="ru-RU"/>
        </w:rPr>
        <w:t>61</w:t>
      </w:r>
      <w:r w:rsidRPr="00B12AA1">
        <w:rPr>
          <w:rFonts w:ascii="Times New Roman" w:eastAsia="Times New Roman" w:hAnsi="Times New Roman" w:cs="Times New Roman"/>
          <w:color w:val="000000"/>
          <w:sz w:val="28"/>
          <w:szCs w:val="28"/>
          <w:lang w:eastAsia="ru-RU" w:bidi="ru-RU"/>
        </w:rPr>
        <w:t>,</w:t>
      </w:r>
      <w:r w:rsidR="00222A3C" w:rsidRPr="00B12AA1">
        <w:rPr>
          <w:rFonts w:ascii="Times New Roman" w:eastAsia="Times New Roman" w:hAnsi="Times New Roman" w:cs="Times New Roman"/>
          <w:color w:val="000000"/>
          <w:sz w:val="28"/>
          <w:szCs w:val="28"/>
          <w:lang w:eastAsia="ru-RU" w:bidi="ru-RU"/>
        </w:rPr>
        <w:t>7</w:t>
      </w:r>
      <w:r w:rsidRPr="00B12AA1">
        <w:rPr>
          <w:rFonts w:ascii="Times New Roman" w:eastAsia="Times New Roman" w:hAnsi="Times New Roman" w:cs="Times New Roman"/>
          <w:color w:val="000000"/>
          <w:sz w:val="28"/>
          <w:szCs w:val="28"/>
          <w:lang w:eastAsia="ru-RU" w:bidi="ru-RU"/>
        </w:rPr>
        <w:t>% денежных доходов.</w:t>
      </w:r>
    </w:p>
    <w:p w14:paraId="4194D9E5" w14:textId="77777777" w:rsidR="00C35664" w:rsidRPr="00711C0A" w:rsidRDefault="00C35664" w:rsidP="00C35664">
      <w:pPr>
        <w:pStyle w:val="Style2"/>
        <w:shd w:val="clear" w:color="auto" w:fill="auto"/>
        <w:spacing w:after="0" w:line="312" w:lineRule="auto"/>
        <w:ind w:firstLine="709"/>
        <w:jc w:val="both"/>
        <w:rPr>
          <w:sz w:val="28"/>
          <w:szCs w:val="28"/>
        </w:rPr>
      </w:pPr>
      <w:r w:rsidRPr="00711C0A">
        <w:rPr>
          <w:rFonts w:ascii="Times New Roman" w:eastAsia="Times New Roman" w:hAnsi="Times New Roman" w:cs="Times New Roman"/>
          <w:color w:val="000000"/>
          <w:sz w:val="28"/>
          <w:szCs w:val="28"/>
          <w:lang w:eastAsia="ru-RU" w:bidi="ru-RU"/>
        </w:rPr>
        <w:t xml:space="preserve">Реализация бюджетной политики </w:t>
      </w:r>
      <w:r w:rsidR="00915D63">
        <w:rPr>
          <w:rFonts w:ascii="Times New Roman" w:eastAsia="Times New Roman" w:hAnsi="Times New Roman" w:cs="Times New Roman"/>
          <w:color w:val="000000"/>
          <w:sz w:val="28"/>
          <w:szCs w:val="28"/>
          <w:lang w:eastAsia="ru-RU" w:bidi="ru-RU"/>
        </w:rPr>
        <w:t xml:space="preserve">в </w:t>
      </w:r>
      <w:r w:rsidRPr="00711C0A">
        <w:rPr>
          <w:rFonts w:ascii="Times New Roman" w:eastAsia="Times New Roman" w:hAnsi="Times New Roman" w:cs="Times New Roman"/>
          <w:color w:val="000000"/>
          <w:sz w:val="28"/>
          <w:szCs w:val="28"/>
          <w:lang w:eastAsia="ru-RU" w:bidi="ru-RU"/>
        </w:rPr>
        <w:t>202</w:t>
      </w:r>
      <w:r w:rsidR="00915D63">
        <w:rPr>
          <w:rFonts w:ascii="Times New Roman" w:eastAsia="Times New Roman" w:hAnsi="Times New Roman" w:cs="Times New Roman"/>
          <w:color w:val="000000"/>
          <w:sz w:val="28"/>
          <w:szCs w:val="28"/>
          <w:lang w:eastAsia="ru-RU" w:bidi="ru-RU"/>
        </w:rPr>
        <w:t>1</w:t>
      </w:r>
      <w:r w:rsidRPr="00711C0A">
        <w:rPr>
          <w:rFonts w:ascii="Times New Roman" w:eastAsia="Times New Roman" w:hAnsi="Times New Roman" w:cs="Times New Roman"/>
          <w:color w:val="000000"/>
          <w:sz w:val="28"/>
          <w:szCs w:val="28"/>
          <w:lang w:eastAsia="ru-RU" w:bidi="ru-RU"/>
        </w:rPr>
        <w:t xml:space="preserve"> г</w:t>
      </w:r>
      <w:r w:rsidR="00E17755">
        <w:rPr>
          <w:rFonts w:ascii="Times New Roman" w:eastAsia="Times New Roman" w:hAnsi="Times New Roman" w:cs="Times New Roman"/>
          <w:color w:val="000000"/>
          <w:sz w:val="28"/>
          <w:szCs w:val="28"/>
          <w:lang w:eastAsia="ru-RU" w:bidi="ru-RU"/>
        </w:rPr>
        <w:t>.</w:t>
      </w:r>
      <w:r w:rsidRPr="00711C0A">
        <w:rPr>
          <w:rFonts w:ascii="Times New Roman" w:eastAsia="Times New Roman" w:hAnsi="Times New Roman" w:cs="Times New Roman"/>
          <w:color w:val="000000"/>
          <w:sz w:val="28"/>
          <w:szCs w:val="28"/>
          <w:lang w:eastAsia="ru-RU" w:bidi="ru-RU"/>
        </w:rPr>
        <w:t xml:space="preserve"> осуществлялась в условиях</w:t>
      </w:r>
      <w:r w:rsidR="00915D63">
        <w:rPr>
          <w:rFonts w:ascii="Times New Roman" w:eastAsia="Times New Roman" w:hAnsi="Times New Roman" w:cs="Times New Roman"/>
          <w:color w:val="000000"/>
          <w:sz w:val="28"/>
          <w:szCs w:val="28"/>
          <w:lang w:eastAsia="ru-RU" w:bidi="ru-RU"/>
        </w:rPr>
        <w:t xml:space="preserve"> необходимости концентрации финансовых ресурсов для поддержки экономики в ходе борьбы с последствиями распространения новой коронавирусной инфекции и сохранения траектории развития, заданной национальными целями развития Российской Федерации в процессе реализации ранее запущенных проектов</w:t>
      </w:r>
      <w:r w:rsidRPr="00711C0A">
        <w:rPr>
          <w:rFonts w:ascii="Times New Roman" w:eastAsia="Times New Roman" w:hAnsi="Times New Roman" w:cs="Times New Roman"/>
          <w:color w:val="000000"/>
          <w:sz w:val="28"/>
          <w:szCs w:val="28"/>
          <w:lang w:eastAsia="ru-RU" w:bidi="ru-RU"/>
        </w:rPr>
        <w:t>.</w:t>
      </w:r>
      <w:r w:rsidR="00915D63">
        <w:rPr>
          <w:rFonts w:ascii="Times New Roman" w:eastAsia="Times New Roman" w:hAnsi="Times New Roman" w:cs="Times New Roman"/>
          <w:color w:val="000000"/>
          <w:sz w:val="28"/>
          <w:szCs w:val="28"/>
          <w:lang w:eastAsia="ru-RU" w:bidi="ru-RU"/>
        </w:rPr>
        <w:t xml:space="preserve"> Увеличение доходов федерального бюджета в результате роста нефтегазовых доходов, связанного с ростом рублевой цены на нефть и повышения налоговых нефтегазовых доходов бюджета, обусловленных восстановлением экономики, позволило сформировать профицит федерального бюджета.</w:t>
      </w:r>
    </w:p>
    <w:p w14:paraId="0677FB9D" w14:textId="7B5B2BBE" w:rsidR="00C35664" w:rsidRPr="00711C0A" w:rsidRDefault="00C35664" w:rsidP="00C35664">
      <w:pPr>
        <w:pStyle w:val="Style2"/>
        <w:shd w:val="clear" w:color="auto" w:fill="auto"/>
        <w:spacing w:after="0" w:line="312" w:lineRule="auto"/>
        <w:ind w:firstLine="709"/>
        <w:jc w:val="both"/>
        <w:rPr>
          <w:sz w:val="28"/>
          <w:szCs w:val="28"/>
        </w:rPr>
      </w:pPr>
      <w:r w:rsidRPr="00711C0A">
        <w:rPr>
          <w:rFonts w:ascii="Times New Roman" w:eastAsia="Times New Roman" w:hAnsi="Times New Roman" w:cs="Times New Roman"/>
          <w:color w:val="000000"/>
          <w:sz w:val="28"/>
          <w:szCs w:val="28"/>
          <w:lang w:eastAsia="ru-RU" w:bidi="ru-RU"/>
        </w:rPr>
        <w:lastRenderedPageBreak/>
        <w:t>Его размер по итогам 202</w:t>
      </w:r>
      <w:r w:rsidR="00915D63">
        <w:rPr>
          <w:rFonts w:ascii="Times New Roman" w:eastAsia="Times New Roman" w:hAnsi="Times New Roman" w:cs="Times New Roman"/>
          <w:color w:val="000000"/>
          <w:sz w:val="28"/>
          <w:szCs w:val="28"/>
          <w:lang w:eastAsia="ru-RU" w:bidi="ru-RU"/>
        </w:rPr>
        <w:t>1</w:t>
      </w:r>
      <w:r w:rsidRPr="00711C0A">
        <w:rPr>
          <w:rFonts w:ascii="Times New Roman" w:eastAsia="Times New Roman" w:hAnsi="Times New Roman" w:cs="Times New Roman"/>
          <w:color w:val="000000"/>
          <w:sz w:val="28"/>
          <w:szCs w:val="28"/>
          <w:lang w:eastAsia="ru-RU" w:bidi="ru-RU"/>
        </w:rPr>
        <w:t xml:space="preserve"> г</w:t>
      </w:r>
      <w:r w:rsidR="00E17755">
        <w:rPr>
          <w:rFonts w:ascii="Times New Roman" w:eastAsia="Times New Roman" w:hAnsi="Times New Roman" w:cs="Times New Roman"/>
          <w:color w:val="000000"/>
          <w:sz w:val="28"/>
          <w:szCs w:val="28"/>
          <w:lang w:eastAsia="ru-RU" w:bidi="ru-RU"/>
        </w:rPr>
        <w:t>.</w:t>
      </w:r>
      <w:r w:rsidRPr="00711C0A">
        <w:rPr>
          <w:rFonts w:ascii="Times New Roman" w:eastAsia="Times New Roman" w:hAnsi="Times New Roman" w:cs="Times New Roman"/>
          <w:color w:val="000000"/>
          <w:sz w:val="28"/>
          <w:szCs w:val="28"/>
          <w:lang w:eastAsia="ru-RU" w:bidi="ru-RU"/>
        </w:rPr>
        <w:t xml:space="preserve"> составил </w:t>
      </w:r>
      <w:r w:rsidR="00915D63">
        <w:rPr>
          <w:rFonts w:ascii="Times New Roman" w:eastAsia="Times New Roman" w:hAnsi="Times New Roman" w:cs="Times New Roman"/>
          <w:color w:val="000000"/>
          <w:sz w:val="28"/>
          <w:szCs w:val="28"/>
          <w:lang w:eastAsia="ru-RU" w:bidi="ru-RU"/>
        </w:rPr>
        <w:t>0</w:t>
      </w:r>
      <w:r w:rsidR="008A1C25">
        <w:rPr>
          <w:rFonts w:ascii="Times New Roman" w:eastAsia="Times New Roman" w:hAnsi="Times New Roman" w:cs="Times New Roman"/>
          <w:color w:val="000000"/>
          <w:sz w:val="28"/>
          <w:szCs w:val="28"/>
          <w:lang w:eastAsia="ru-RU" w:bidi="ru-RU"/>
        </w:rPr>
        <w:t>,8% ВВП (в 2020 г</w:t>
      </w:r>
      <w:r w:rsidR="00E17755">
        <w:rPr>
          <w:rFonts w:ascii="Times New Roman" w:eastAsia="Times New Roman" w:hAnsi="Times New Roman" w:cs="Times New Roman"/>
          <w:color w:val="000000"/>
          <w:sz w:val="28"/>
          <w:szCs w:val="28"/>
          <w:lang w:eastAsia="ru-RU" w:bidi="ru-RU"/>
        </w:rPr>
        <w:t>.</w:t>
      </w:r>
      <w:r w:rsidR="008A1C25">
        <w:rPr>
          <w:rFonts w:ascii="Times New Roman" w:eastAsia="Times New Roman" w:hAnsi="Times New Roman" w:cs="Times New Roman"/>
          <w:color w:val="000000"/>
          <w:sz w:val="28"/>
          <w:szCs w:val="28"/>
          <w:lang w:eastAsia="ru-RU" w:bidi="ru-RU"/>
        </w:rPr>
        <w:t xml:space="preserve"> де</w:t>
      </w:r>
      <w:r w:rsidRPr="00711C0A">
        <w:rPr>
          <w:rFonts w:ascii="Times New Roman" w:eastAsia="Times New Roman" w:hAnsi="Times New Roman" w:cs="Times New Roman"/>
          <w:color w:val="000000"/>
          <w:sz w:val="28"/>
          <w:szCs w:val="28"/>
          <w:lang w:eastAsia="ru-RU" w:bidi="ru-RU"/>
        </w:rPr>
        <w:t xml:space="preserve">фицит составил </w:t>
      </w:r>
      <w:r w:rsidR="008A1C25">
        <w:rPr>
          <w:rFonts w:ascii="Times New Roman" w:eastAsia="Times New Roman" w:hAnsi="Times New Roman" w:cs="Times New Roman"/>
          <w:color w:val="000000"/>
          <w:sz w:val="28"/>
          <w:szCs w:val="28"/>
          <w:lang w:eastAsia="ru-RU" w:bidi="ru-RU"/>
        </w:rPr>
        <w:t>4</w:t>
      </w:r>
      <w:r w:rsidRPr="00711C0A">
        <w:rPr>
          <w:rFonts w:ascii="Times New Roman" w:eastAsia="Times New Roman" w:hAnsi="Times New Roman" w:cs="Times New Roman"/>
          <w:color w:val="000000"/>
          <w:sz w:val="28"/>
          <w:szCs w:val="28"/>
          <w:lang w:eastAsia="ru-RU" w:bidi="ru-RU"/>
        </w:rPr>
        <w:t>,</w:t>
      </w:r>
      <w:r w:rsidR="008A1C25">
        <w:rPr>
          <w:rFonts w:ascii="Times New Roman" w:eastAsia="Times New Roman" w:hAnsi="Times New Roman" w:cs="Times New Roman"/>
          <w:color w:val="000000"/>
          <w:sz w:val="28"/>
          <w:szCs w:val="28"/>
          <w:lang w:eastAsia="ru-RU" w:bidi="ru-RU"/>
        </w:rPr>
        <w:t>0</w:t>
      </w:r>
      <w:r w:rsidRPr="00711C0A">
        <w:rPr>
          <w:rFonts w:ascii="Times New Roman" w:eastAsia="Times New Roman" w:hAnsi="Times New Roman" w:cs="Times New Roman"/>
          <w:color w:val="000000"/>
          <w:sz w:val="28"/>
          <w:szCs w:val="28"/>
          <w:lang w:eastAsia="ru-RU" w:bidi="ru-RU"/>
        </w:rPr>
        <w:t xml:space="preserve">%). </w:t>
      </w:r>
    </w:p>
    <w:p w14:paraId="43FC6C35" w14:textId="77777777" w:rsidR="00C35664" w:rsidRDefault="00C35664" w:rsidP="00C35664">
      <w:pPr>
        <w:pStyle w:val="Style2"/>
        <w:shd w:val="clear" w:color="auto" w:fill="auto"/>
        <w:spacing w:after="0" w:line="312" w:lineRule="auto"/>
        <w:ind w:firstLine="709"/>
        <w:jc w:val="both"/>
        <w:rPr>
          <w:rFonts w:ascii="Times New Roman" w:eastAsia="Times New Roman" w:hAnsi="Times New Roman" w:cs="Times New Roman"/>
          <w:color w:val="000000"/>
          <w:sz w:val="28"/>
          <w:szCs w:val="28"/>
          <w:lang w:eastAsia="ru-RU" w:bidi="ru-RU"/>
        </w:rPr>
      </w:pPr>
      <w:r w:rsidRPr="00711C0A">
        <w:rPr>
          <w:rFonts w:ascii="Times New Roman" w:eastAsia="Times New Roman" w:hAnsi="Times New Roman" w:cs="Times New Roman"/>
          <w:color w:val="000000"/>
          <w:sz w:val="28"/>
          <w:szCs w:val="28"/>
          <w:lang w:eastAsia="ru-RU" w:bidi="ru-RU"/>
        </w:rPr>
        <w:t>Ключевая ставка за 202</w:t>
      </w:r>
      <w:r w:rsidR="00DB21F2">
        <w:rPr>
          <w:rFonts w:ascii="Times New Roman" w:eastAsia="Times New Roman" w:hAnsi="Times New Roman" w:cs="Times New Roman"/>
          <w:color w:val="000000"/>
          <w:sz w:val="28"/>
          <w:szCs w:val="28"/>
          <w:lang w:eastAsia="ru-RU" w:bidi="ru-RU"/>
        </w:rPr>
        <w:t>1</w:t>
      </w:r>
      <w:r w:rsidRPr="00711C0A">
        <w:rPr>
          <w:rFonts w:ascii="Times New Roman" w:eastAsia="Times New Roman" w:hAnsi="Times New Roman" w:cs="Times New Roman"/>
          <w:color w:val="000000"/>
          <w:sz w:val="28"/>
          <w:szCs w:val="28"/>
          <w:lang w:eastAsia="ru-RU" w:bidi="ru-RU"/>
        </w:rPr>
        <w:t xml:space="preserve"> </w:t>
      </w:r>
      <w:r w:rsidR="00E17755">
        <w:rPr>
          <w:rFonts w:ascii="Times New Roman" w:eastAsia="Times New Roman" w:hAnsi="Times New Roman" w:cs="Times New Roman"/>
          <w:color w:val="000000"/>
          <w:sz w:val="28"/>
          <w:szCs w:val="28"/>
          <w:lang w:eastAsia="ru-RU" w:bidi="ru-RU"/>
        </w:rPr>
        <w:t>г.</w:t>
      </w:r>
      <w:r w:rsidRPr="00711C0A">
        <w:rPr>
          <w:rFonts w:ascii="Times New Roman" w:eastAsia="Times New Roman" w:hAnsi="Times New Roman" w:cs="Times New Roman"/>
          <w:color w:val="000000"/>
          <w:sz w:val="28"/>
          <w:szCs w:val="28"/>
          <w:lang w:eastAsia="ru-RU" w:bidi="ru-RU"/>
        </w:rPr>
        <w:t xml:space="preserve"> была </w:t>
      </w:r>
      <w:r w:rsidR="00DB21F2">
        <w:rPr>
          <w:rFonts w:ascii="Times New Roman" w:eastAsia="Times New Roman" w:hAnsi="Times New Roman" w:cs="Times New Roman"/>
          <w:color w:val="000000"/>
          <w:sz w:val="28"/>
          <w:szCs w:val="28"/>
          <w:lang w:eastAsia="ru-RU" w:bidi="ru-RU"/>
        </w:rPr>
        <w:t>повышена</w:t>
      </w:r>
      <w:r w:rsidRPr="00711C0A">
        <w:rPr>
          <w:rFonts w:ascii="Times New Roman" w:eastAsia="Times New Roman" w:hAnsi="Times New Roman" w:cs="Times New Roman"/>
          <w:color w:val="000000"/>
          <w:sz w:val="28"/>
          <w:szCs w:val="28"/>
          <w:lang w:eastAsia="ru-RU" w:bidi="ru-RU"/>
        </w:rPr>
        <w:t xml:space="preserve"> на </w:t>
      </w:r>
      <w:r w:rsidR="00DB21F2">
        <w:rPr>
          <w:rFonts w:ascii="Times New Roman" w:eastAsia="Times New Roman" w:hAnsi="Times New Roman" w:cs="Times New Roman"/>
          <w:color w:val="000000"/>
          <w:sz w:val="28"/>
          <w:szCs w:val="28"/>
          <w:lang w:eastAsia="ru-RU" w:bidi="ru-RU"/>
        </w:rPr>
        <w:t>4</w:t>
      </w:r>
      <w:r w:rsidRPr="00711C0A">
        <w:rPr>
          <w:rFonts w:ascii="Times New Roman" w:eastAsia="Times New Roman" w:hAnsi="Times New Roman" w:cs="Times New Roman"/>
          <w:color w:val="000000"/>
          <w:sz w:val="28"/>
          <w:szCs w:val="28"/>
          <w:lang w:eastAsia="ru-RU" w:bidi="ru-RU"/>
        </w:rPr>
        <w:t>,</w:t>
      </w:r>
      <w:r w:rsidR="00DB21F2">
        <w:rPr>
          <w:rFonts w:ascii="Times New Roman" w:eastAsia="Times New Roman" w:hAnsi="Times New Roman" w:cs="Times New Roman"/>
          <w:color w:val="000000"/>
          <w:sz w:val="28"/>
          <w:szCs w:val="28"/>
          <w:lang w:eastAsia="ru-RU" w:bidi="ru-RU"/>
        </w:rPr>
        <w:t>25</w:t>
      </w:r>
      <w:r w:rsidR="008334D7" w:rsidRPr="003875E5">
        <w:rPr>
          <w:rFonts w:ascii="Times New Roman" w:eastAsia="Times New Roman" w:hAnsi="Times New Roman" w:cs="Times New Roman"/>
          <w:sz w:val="28"/>
          <w:szCs w:val="28"/>
          <w:lang w:eastAsia="ru-RU"/>
        </w:rPr>
        <w:t> </w:t>
      </w:r>
      <w:proofErr w:type="spellStart"/>
      <w:r w:rsidRPr="00711C0A">
        <w:rPr>
          <w:rFonts w:ascii="Times New Roman" w:eastAsia="Times New Roman" w:hAnsi="Times New Roman" w:cs="Times New Roman"/>
          <w:color w:val="000000"/>
          <w:sz w:val="28"/>
          <w:szCs w:val="28"/>
          <w:lang w:eastAsia="ru-RU" w:bidi="ru-RU"/>
        </w:rPr>
        <w:t>п.п</w:t>
      </w:r>
      <w:proofErr w:type="spellEnd"/>
      <w:r w:rsidRPr="00711C0A">
        <w:rPr>
          <w:rFonts w:ascii="Times New Roman" w:eastAsia="Times New Roman" w:hAnsi="Times New Roman" w:cs="Times New Roman"/>
          <w:color w:val="000000"/>
          <w:sz w:val="28"/>
          <w:szCs w:val="28"/>
          <w:lang w:eastAsia="ru-RU" w:bidi="ru-RU"/>
        </w:rPr>
        <w:t xml:space="preserve">. с </w:t>
      </w:r>
      <w:r w:rsidR="00DB21F2">
        <w:rPr>
          <w:rFonts w:ascii="Times New Roman" w:eastAsia="Times New Roman" w:hAnsi="Times New Roman" w:cs="Times New Roman"/>
          <w:color w:val="000000"/>
          <w:sz w:val="28"/>
          <w:szCs w:val="28"/>
          <w:lang w:eastAsia="ru-RU" w:bidi="ru-RU"/>
        </w:rPr>
        <w:t>4</w:t>
      </w:r>
      <w:r w:rsidRPr="00711C0A">
        <w:rPr>
          <w:rFonts w:ascii="Times New Roman" w:eastAsia="Times New Roman" w:hAnsi="Times New Roman" w:cs="Times New Roman"/>
          <w:color w:val="000000"/>
          <w:sz w:val="28"/>
          <w:szCs w:val="28"/>
          <w:lang w:eastAsia="ru-RU" w:bidi="ru-RU"/>
        </w:rPr>
        <w:t xml:space="preserve">,25% до </w:t>
      </w:r>
      <w:r w:rsidR="00DB21F2">
        <w:rPr>
          <w:rFonts w:ascii="Times New Roman" w:eastAsia="Times New Roman" w:hAnsi="Times New Roman" w:cs="Times New Roman"/>
          <w:color w:val="000000"/>
          <w:sz w:val="28"/>
          <w:szCs w:val="28"/>
          <w:lang w:eastAsia="ru-RU" w:bidi="ru-RU"/>
        </w:rPr>
        <w:t>8,</w:t>
      </w:r>
      <w:r w:rsidRPr="00711C0A">
        <w:rPr>
          <w:rFonts w:ascii="Times New Roman" w:eastAsia="Times New Roman" w:hAnsi="Times New Roman" w:cs="Times New Roman"/>
          <w:color w:val="000000"/>
          <w:sz w:val="28"/>
          <w:szCs w:val="28"/>
          <w:lang w:eastAsia="ru-RU" w:bidi="ru-RU"/>
        </w:rPr>
        <w:t xml:space="preserve">5% с целью сдерживания инфляционных факторов. </w:t>
      </w:r>
      <w:r w:rsidR="00F947A4">
        <w:rPr>
          <w:rFonts w:ascii="Times New Roman" w:eastAsia="Times New Roman" w:hAnsi="Times New Roman" w:cs="Times New Roman"/>
          <w:color w:val="000000"/>
          <w:sz w:val="28"/>
          <w:szCs w:val="28"/>
          <w:lang w:eastAsia="ru-RU" w:bidi="ru-RU"/>
        </w:rPr>
        <w:t>Ускорение</w:t>
      </w:r>
      <w:r w:rsidRPr="00711C0A">
        <w:rPr>
          <w:rFonts w:ascii="Times New Roman" w:eastAsia="Times New Roman" w:hAnsi="Times New Roman" w:cs="Times New Roman"/>
          <w:color w:val="000000"/>
          <w:sz w:val="28"/>
          <w:szCs w:val="28"/>
          <w:lang w:eastAsia="ru-RU" w:bidi="ru-RU"/>
        </w:rPr>
        <w:t xml:space="preserve"> рост</w:t>
      </w:r>
      <w:r w:rsidR="00F947A4">
        <w:rPr>
          <w:rFonts w:ascii="Times New Roman" w:eastAsia="Times New Roman" w:hAnsi="Times New Roman" w:cs="Times New Roman"/>
          <w:color w:val="000000"/>
          <w:sz w:val="28"/>
          <w:szCs w:val="28"/>
          <w:lang w:eastAsia="ru-RU" w:bidi="ru-RU"/>
        </w:rPr>
        <w:t>а</w:t>
      </w:r>
      <w:r w:rsidRPr="00711C0A">
        <w:rPr>
          <w:rFonts w:ascii="Times New Roman" w:eastAsia="Times New Roman" w:hAnsi="Times New Roman" w:cs="Times New Roman"/>
          <w:color w:val="000000"/>
          <w:sz w:val="28"/>
          <w:szCs w:val="28"/>
          <w:lang w:eastAsia="ru-RU" w:bidi="ru-RU"/>
        </w:rPr>
        <w:t xml:space="preserve"> кредитного портфеля банков был</w:t>
      </w:r>
      <w:r w:rsidR="00F947A4">
        <w:rPr>
          <w:rFonts w:ascii="Times New Roman" w:eastAsia="Times New Roman" w:hAnsi="Times New Roman" w:cs="Times New Roman"/>
          <w:color w:val="000000"/>
          <w:sz w:val="28"/>
          <w:szCs w:val="28"/>
          <w:lang w:eastAsia="ru-RU" w:bidi="ru-RU"/>
        </w:rPr>
        <w:t>о</w:t>
      </w:r>
      <w:r w:rsidRPr="00711C0A">
        <w:rPr>
          <w:rFonts w:ascii="Times New Roman" w:eastAsia="Times New Roman" w:hAnsi="Times New Roman" w:cs="Times New Roman"/>
          <w:color w:val="000000"/>
          <w:sz w:val="28"/>
          <w:szCs w:val="28"/>
          <w:lang w:eastAsia="ru-RU" w:bidi="ru-RU"/>
        </w:rPr>
        <w:t xml:space="preserve"> обусловлен</w:t>
      </w:r>
      <w:r w:rsidR="00F947A4">
        <w:rPr>
          <w:rFonts w:ascii="Times New Roman" w:eastAsia="Times New Roman" w:hAnsi="Times New Roman" w:cs="Times New Roman"/>
          <w:color w:val="000000"/>
          <w:sz w:val="28"/>
          <w:szCs w:val="28"/>
          <w:lang w:eastAsia="ru-RU" w:bidi="ru-RU"/>
        </w:rPr>
        <w:t>о</w:t>
      </w:r>
      <w:r w:rsidR="00B9772E" w:rsidRPr="003875E5">
        <w:rPr>
          <w:rFonts w:ascii="Times New Roman" w:eastAsia="Times New Roman" w:hAnsi="Times New Roman" w:cs="Times New Roman"/>
          <w:sz w:val="28"/>
          <w:szCs w:val="28"/>
          <w:lang w:eastAsia="ru-RU"/>
        </w:rPr>
        <w:t> </w:t>
      </w:r>
      <w:r w:rsidR="00F947A4">
        <w:rPr>
          <w:rFonts w:ascii="Times New Roman" w:eastAsia="Times New Roman" w:hAnsi="Times New Roman" w:cs="Times New Roman"/>
          <w:color w:val="000000"/>
          <w:sz w:val="28"/>
          <w:szCs w:val="28"/>
          <w:lang w:eastAsia="ru-RU" w:bidi="ru-RU"/>
        </w:rPr>
        <w:t>повышением спроса во всех сегментах кредитования, с опережающим увеличением сектора ипотечного кредитования.</w:t>
      </w:r>
    </w:p>
    <w:p w14:paraId="45D0139B" w14:textId="77777777" w:rsidR="00C35664" w:rsidRPr="002A702F" w:rsidRDefault="00F947A4" w:rsidP="009B51B2">
      <w:pPr>
        <w:pStyle w:val="Style2"/>
        <w:shd w:val="clear" w:color="auto" w:fill="auto"/>
        <w:spacing w:after="0" w:line="312" w:lineRule="auto"/>
        <w:ind w:firstLine="709"/>
        <w:jc w:val="both"/>
        <w:rPr>
          <w:sz w:val="28"/>
          <w:szCs w:val="28"/>
        </w:rPr>
      </w:pPr>
      <w:r>
        <w:rPr>
          <w:rFonts w:ascii="Times New Roman" w:eastAsia="Times New Roman" w:hAnsi="Times New Roman" w:cs="Times New Roman"/>
          <w:color w:val="000000"/>
          <w:sz w:val="28"/>
          <w:szCs w:val="28"/>
          <w:lang w:eastAsia="ru-RU" w:bidi="ru-RU"/>
        </w:rPr>
        <w:t>Инфляция на конец 2021 г</w:t>
      </w:r>
      <w:r w:rsidR="00E17755">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 xml:space="preserve"> составила 8,4% (декабрь 2020 г. – 4,9%). Ключевым драйвером инфляции стал рост цен на мировых рынках сырья и разгон мировой инфляции</w:t>
      </w:r>
      <w:r w:rsidR="009B51B2">
        <w:rPr>
          <w:rFonts w:ascii="Times New Roman" w:eastAsia="Times New Roman" w:hAnsi="Times New Roman" w:cs="Times New Roman"/>
          <w:color w:val="000000"/>
          <w:sz w:val="28"/>
          <w:szCs w:val="28"/>
          <w:lang w:eastAsia="ru-RU" w:bidi="ru-RU"/>
        </w:rPr>
        <w:t xml:space="preserve"> на фоне восстановления мировой экономики после пандемии. </w:t>
      </w:r>
      <w:r>
        <w:rPr>
          <w:rFonts w:ascii="Times New Roman" w:eastAsia="Times New Roman" w:hAnsi="Times New Roman" w:cs="Times New Roman"/>
          <w:color w:val="000000"/>
          <w:sz w:val="28"/>
          <w:szCs w:val="28"/>
          <w:lang w:eastAsia="ru-RU" w:bidi="ru-RU"/>
        </w:rPr>
        <w:t>Давление мировых цен сопровождается ограничением внутреннего предложения по отде</w:t>
      </w:r>
      <w:r w:rsidR="009B51B2">
        <w:rPr>
          <w:rFonts w:ascii="Times New Roman" w:eastAsia="Times New Roman" w:hAnsi="Times New Roman" w:cs="Times New Roman"/>
          <w:color w:val="000000"/>
          <w:sz w:val="28"/>
          <w:szCs w:val="28"/>
          <w:lang w:eastAsia="ru-RU" w:bidi="ru-RU"/>
        </w:rPr>
        <w:t>льным продовольственным товарам в связи со снижением урожая ряда сельскохозяйственных культур и нарушением логистических производственных цепочек.</w:t>
      </w:r>
    </w:p>
    <w:p w14:paraId="5CA19B26" w14:textId="77777777" w:rsidR="00E92579" w:rsidRDefault="00E92579" w:rsidP="00D03A4F">
      <w:pPr>
        <w:spacing w:before="240" w:after="240"/>
        <w:ind w:firstLine="709"/>
        <w:jc w:val="center"/>
        <w:rPr>
          <w:rFonts w:ascii="Times New Roman" w:eastAsia="Times New Roman" w:hAnsi="Times New Roman" w:cs="Times New Roman"/>
          <w:b/>
          <w:sz w:val="28"/>
          <w:szCs w:val="28"/>
          <w:lang w:eastAsia="ru-RU"/>
        </w:rPr>
      </w:pPr>
    </w:p>
    <w:p w14:paraId="5A8CFFCB" w14:textId="77777777" w:rsid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Оценка социально-экономического положения семей, имеющих детей</w:t>
      </w:r>
    </w:p>
    <w:p w14:paraId="6E3DEA75" w14:textId="77777777" w:rsidR="002A702F" w:rsidRPr="00D03A4F" w:rsidRDefault="002A702F" w:rsidP="002A702F">
      <w:pPr>
        <w:tabs>
          <w:tab w:val="left" w:pos="0"/>
        </w:tabs>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14:paraId="585870EE" w14:textId="77777777" w:rsidR="002A702F" w:rsidRPr="00D03A4F" w:rsidRDefault="002A702F" w:rsidP="002A702F">
      <w:pPr>
        <w:tabs>
          <w:tab w:val="left" w:pos="0"/>
        </w:tabs>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На стабильность семьи, репродуктивное поведение и здоровье членов семьи оказывает влияние уровень и качество их жизни.</w:t>
      </w:r>
    </w:p>
    <w:p w14:paraId="53F13FFD" w14:textId="7F3DC2B2" w:rsidR="002A702F" w:rsidRPr="00D03A4F" w:rsidRDefault="002A702F" w:rsidP="002A702F">
      <w:pPr>
        <w:tabs>
          <w:tab w:val="left" w:pos="0"/>
        </w:tabs>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2021 г</w:t>
      </w:r>
      <w:r w:rsidR="00E1775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согласно предварительным данным Росстата, рост </w:t>
      </w:r>
      <w:r w:rsidR="00B24DF1">
        <w:rPr>
          <w:rFonts w:ascii="Times New Roman" w:eastAsia="Times New Roman" w:hAnsi="Times New Roman" w:cs="Times New Roman"/>
          <w:sz w:val="28"/>
          <w:szCs w:val="28"/>
          <w:lang w:eastAsia="ru-RU"/>
        </w:rPr>
        <w:t xml:space="preserve">реальных доходов населения </w:t>
      </w:r>
      <w:r>
        <w:rPr>
          <w:rFonts w:ascii="Times New Roman" w:eastAsia="Times New Roman" w:hAnsi="Times New Roman" w:cs="Times New Roman"/>
          <w:sz w:val="28"/>
          <w:szCs w:val="28"/>
          <w:lang w:eastAsia="ru-RU"/>
        </w:rPr>
        <w:t>составил 103,0% к 2020 г</w:t>
      </w:r>
      <w:r w:rsidR="00E17755">
        <w:rPr>
          <w:rFonts w:ascii="Times New Roman" w:eastAsia="Times New Roman" w:hAnsi="Times New Roman" w:cs="Times New Roman"/>
          <w:sz w:val="28"/>
          <w:szCs w:val="28"/>
          <w:lang w:eastAsia="ru-RU"/>
        </w:rPr>
        <w:t>.</w:t>
      </w:r>
      <w:r w:rsidR="00B9772E" w:rsidRPr="003875E5">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в связи увеличением </w:t>
      </w:r>
      <w:r w:rsidRPr="00041330">
        <w:rPr>
          <w:rFonts w:ascii="Times New Roman" w:eastAsia="Times New Roman" w:hAnsi="Times New Roman" w:cs="Times New Roman"/>
          <w:sz w:val="28"/>
          <w:szCs w:val="28"/>
          <w:lang w:eastAsia="ru-RU"/>
        </w:rPr>
        <w:t>дол</w:t>
      </w:r>
      <w:r>
        <w:rPr>
          <w:rFonts w:ascii="Times New Roman" w:eastAsia="Times New Roman" w:hAnsi="Times New Roman" w:cs="Times New Roman"/>
          <w:sz w:val="28"/>
          <w:szCs w:val="28"/>
          <w:lang w:eastAsia="ru-RU"/>
        </w:rPr>
        <w:t>и</w:t>
      </w:r>
      <w:r w:rsidRPr="00041330">
        <w:rPr>
          <w:rFonts w:ascii="Times New Roman" w:eastAsia="Times New Roman" w:hAnsi="Times New Roman" w:cs="Times New Roman"/>
          <w:sz w:val="28"/>
          <w:szCs w:val="28"/>
          <w:lang w:eastAsia="ru-RU"/>
        </w:rPr>
        <w:t xml:space="preserve"> доходов от предпринимательской деятельности, оплаты труда и прочих денежных поступлений</w:t>
      </w:r>
      <w:r>
        <w:rPr>
          <w:rFonts w:ascii="Times New Roman" w:eastAsia="Times New Roman" w:hAnsi="Times New Roman" w:cs="Times New Roman"/>
          <w:sz w:val="28"/>
          <w:szCs w:val="28"/>
          <w:lang w:eastAsia="ru-RU"/>
        </w:rPr>
        <w:t>, в том числе мер государственной поддержки населения.</w:t>
      </w:r>
    </w:p>
    <w:p w14:paraId="6930AB78" w14:textId="77777777" w:rsidR="002A702F" w:rsidRPr="00D03A4F" w:rsidRDefault="002A702F" w:rsidP="002A702F">
      <w:pPr>
        <w:tabs>
          <w:tab w:val="left" w:pos="0"/>
        </w:tab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 этом р</w:t>
      </w:r>
      <w:r w:rsidRPr="006F1140">
        <w:rPr>
          <w:rFonts w:ascii="Times New Roman" w:eastAsia="Times New Roman" w:hAnsi="Times New Roman" w:cs="Times New Roman"/>
          <w:sz w:val="28"/>
          <w:szCs w:val="28"/>
          <w:lang w:eastAsia="ru-RU"/>
        </w:rPr>
        <w:t>еальная начисленная заработная плата в 20</w:t>
      </w:r>
      <w:r>
        <w:rPr>
          <w:rFonts w:ascii="Times New Roman" w:eastAsia="Times New Roman" w:hAnsi="Times New Roman" w:cs="Times New Roman"/>
          <w:sz w:val="28"/>
          <w:szCs w:val="28"/>
          <w:lang w:eastAsia="ru-RU"/>
        </w:rPr>
        <w:t>21</w:t>
      </w:r>
      <w:r w:rsidRPr="006F1140">
        <w:rPr>
          <w:rFonts w:ascii="Times New Roman" w:eastAsia="Times New Roman" w:hAnsi="Times New Roman" w:cs="Times New Roman"/>
          <w:sz w:val="28"/>
          <w:szCs w:val="28"/>
          <w:lang w:eastAsia="ru-RU"/>
        </w:rPr>
        <w:t> г</w:t>
      </w:r>
      <w:r w:rsidR="00E17755">
        <w:rPr>
          <w:rFonts w:ascii="Times New Roman" w:eastAsia="Times New Roman" w:hAnsi="Times New Roman" w:cs="Times New Roman"/>
          <w:sz w:val="28"/>
          <w:szCs w:val="28"/>
          <w:lang w:eastAsia="ru-RU"/>
        </w:rPr>
        <w:t>.</w:t>
      </w:r>
      <w:r w:rsidRPr="006F11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увеличилась на 4,5% </w:t>
      </w:r>
      <w:r w:rsidRPr="006F1140">
        <w:rPr>
          <w:rFonts w:ascii="Times New Roman" w:eastAsia="Times New Roman" w:hAnsi="Times New Roman" w:cs="Times New Roman"/>
          <w:sz w:val="28"/>
          <w:szCs w:val="28"/>
          <w:lang w:eastAsia="ru-RU"/>
        </w:rPr>
        <w:t>к уровню предыдущего года (</w:t>
      </w:r>
      <w:r>
        <w:rPr>
          <w:rFonts w:ascii="Times New Roman" w:eastAsia="Times New Roman" w:hAnsi="Times New Roman" w:cs="Times New Roman"/>
          <w:sz w:val="28"/>
          <w:szCs w:val="28"/>
          <w:lang w:eastAsia="ru-RU"/>
        </w:rPr>
        <w:t>2020</w:t>
      </w:r>
      <w:r w:rsidRPr="006F1140">
        <w:rPr>
          <w:rFonts w:ascii="Times New Roman" w:eastAsia="Times New Roman" w:hAnsi="Times New Roman" w:cs="Times New Roman"/>
          <w:sz w:val="28"/>
          <w:szCs w:val="28"/>
          <w:lang w:eastAsia="ru-RU"/>
        </w:rPr>
        <w:t> г. –</w:t>
      </w:r>
      <w:r>
        <w:rPr>
          <w:rFonts w:ascii="Times New Roman" w:eastAsia="Times New Roman" w:hAnsi="Times New Roman" w:cs="Times New Roman"/>
          <w:sz w:val="28"/>
          <w:szCs w:val="28"/>
          <w:lang w:eastAsia="ru-RU"/>
        </w:rPr>
        <w:t xml:space="preserve"> 3,8%; </w:t>
      </w:r>
      <w:r w:rsidRPr="006F1140">
        <w:rPr>
          <w:rFonts w:ascii="Times New Roman" w:eastAsia="Times New Roman" w:hAnsi="Times New Roman" w:cs="Times New Roman"/>
          <w:sz w:val="28"/>
          <w:szCs w:val="28"/>
          <w:lang w:eastAsia="ru-RU"/>
        </w:rPr>
        <w:t>2019 г. –</w:t>
      </w:r>
      <w:r>
        <w:rPr>
          <w:rFonts w:ascii="Times New Roman" w:eastAsia="Times New Roman" w:hAnsi="Times New Roman" w:cs="Times New Roman"/>
          <w:sz w:val="28"/>
          <w:szCs w:val="28"/>
          <w:lang w:eastAsia="ru-RU"/>
        </w:rPr>
        <w:t xml:space="preserve"> 4,8%; 2018 г. – 8</w:t>
      </w:r>
      <w:r w:rsidRPr="006F114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Pr="006F1140">
        <w:rPr>
          <w:rFonts w:ascii="Times New Roman" w:eastAsia="Times New Roman" w:hAnsi="Times New Roman" w:cs="Times New Roman"/>
          <w:sz w:val="28"/>
          <w:szCs w:val="28"/>
          <w:lang w:eastAsia="ru-RU"/>
        </w:rPr>
        <w:t>%).</w:t>
      </w:r>
    </w:p>
    <w:p w14:paraId="0B2EFD47" w14:textId="77777777" w:rsidR="002A702F" w:rsidRPr="00B12271" w:rsidRDefault="002A702F" w:rsidP="002A702F">
      <w:pPr>
        <w:tabs>
          <w:tab w:val="left" w:pos="993"/>
        </w:tabs>
        <w:spacing w:after="0" w:line="312" w:lineRule="auto"/>
        <w:ind w:firstLine="709"/>
        <w:jc w:val="both"/>
        <w:rPr>
          <w:rFonts w:ascii="Times New Roman" w:eastAsia="Times New Roman" w:hAnsi="Times New Roman" w:cs="Times New Roman"/>
          <w:sz w:val="28"/>
          <w:szCs w:val="28"/>
          <w:lang w:eastAsia="ru-RU"/>
        </w:rPr>
      </w:pPr>
      <w:r w:rsidRPr="00B12271">
        <w:rPr>
          <w:rFonts w:ascii="Times New Roman" w:eastAsia="Times New Roman" w:hAnsi="Times New Roman" w:cs="Times New Roman"/>
          <w:sz w:val="28"/>
          <w:szCs w:val="28"/>
          <w:lang w:eastAsia="ru-RU"/>
        </w:rPr>
        <w:t>В 202</w:t>
      </w:r>
      <w:r>
        <w:rPr>
          <w:rFonts w:ascii="Times New Roman" w:eastAsia="Times New Roman" w:hAnsi="Times New Roman" w:cs="Times New Roman"/>
          <w:sz w:val="28"/>
          <w:szCs w:val="28"/>
          <w:lang w:eastAsia="ru-RU"/>
        </w:rPr>
        <w:t>1</w:t>
      </w:r>
      <w:r w:rsidRPr="00B12271">
        <w:rPr>
          <w:rFonts w:ascii="Times New Roman" w:eastAsia="Times New Roman" w:hAnsi="Times New Roman" w:cs="Times New Roman"/>
          <w:sz w:val="28"/>
          <w:szCs w:val="28"/>
          <w:lang w:eastAsia="ru-RU"/>
        </w:rPr>
        <w:t> г</w:t>
      </w:r>
      <w:r w:rsidR="00E17755">
        <w:rPr>
          <w:rFonts w:ascii="Times New Roman" w:eastAsia="Times New Roman" w:hAnsi="Times New Roman" w:cs="Times New Roman"/>
          <w:sz w:val="28"/>
          <w:szCs w:val="28"/>
          <w:lang w:eastAsia="ru-RU"/>
        </w:rPr>
        <w:t>.</w:t>
      </w:r>
      <w:r w:rsidRPr="00B12271">
        <w:rPr>
          <w:rFonts w:ascii="Times New Roman" w:eastAsia="Times New Roman" w:hAnsi="Times New Roman" w:cs="Times New Roman"/>
          <w:sz w:val="28"/>
          <w:szCs w:val="28"/>
          <w:lang w:eastAsia="ru-RU"/>
        </w:rPr>
        <w:t xml:space="preserve"> численность населения с доходами ниже прожиточного минимума составила 1</w:t>
      </w:r>
      <w:r>
        <w:rPr>
          <w:rFonts w:ascii="Times New Roman" w:eastAsia="Times New Roman" w:hAnsi="Times New Roman" w:cs="Times New Roman"/>
          <w:sz w:val="28"/>
          <w:szCs w:val="28"/>
          <w:lang w:eastAsia="ru-RU"/>
        </w:rPr>
        <w:t>6</w:t>
      </w:r>
      <w:r w:rsidRPr="00B1227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1 млн </w:t>
      </w:r>
      <w:r w:rsidRPr="00B12271">
        <w:rPr>
          <w:rFonts w:ascii="Times New Roman" w:eastAsia="Times New Roman" w:hAnsi="Times New Roman" w:cs="Times New Roman"/>
          <w:sz w:val="28"/>
          <w:szCs w:val="28"/>
          <w:lang w:eastAsia="ru-RU"/>
        </w:rPr>
        <w:t>человек или 1</w:t>
      </w:r>
      <w:r>
        <w:rPr>
          <w:rFonts w:ascii="Times New Roman" w:eastAsia="Times New Roman" w:hAnsi="Times New Roman" w:cs="Times New Roman"/>
          <w:sz w:val="28"/>
          <w:szCs w:val="28"/>
          <w:lang w:eastAsia="ru-RU"/>
        </w:rPr>
        <w:t>1</w:t>
      </w:r>
      <w:r w:rsidRPr="00B1227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B12271">
        <w:rPr>
          <w:rFonts w:ascii="Times New Roman" w:eastAsia="Times New Roman" w:hAnsi="Times New Roman" w:cs="Times New Roman"/>
          <w:sz w:val="28"/>
          <w:szCs w:val="28"/>
          <w:lang w:eastAsia="ru-RU"/>
        </w:rPr>
        <w:t xml:space="preserve">% от общей численности населения </w:t>
      </w:r>
      <w:r>
        <w:rPr>
          <w:rFonts w:ascii="Times New Roman" w:eastAsia="Times New Roman" w:hAnsi="Times New Roman" w:cs="Times New Roman"/>
          <w:sz w:val="28"/>
          <w:szCs w:val="28"/>
          <w:lang w:eastAsia="ru-RU"/>
        </w:rPr>
        <w:br/>
      </w:r>
      <w:r w:rsidRPr="00B1227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2020 г. – 17,</w:t>
      </w:r>
      <w:r w:rsidR="00C3402E">
        <w:rPr>
          <w:rFonts w:ascii="Times New Roman" w:eastAsia="Times New Roman" w:hAnsi="Times New Roman" w:cs="Times New Roman"/>
          <w:sz w:val="28"/>
          <w:szCs w:val="28"/>
          <w:lang w:eastAsia="ru-RU"/>
        </w:rPr>
        <w:t>7</w:t>
      </w:r>
      <w:r w:rsidRPr="00B12271">
        <w:rPr>
          <w:rFonts w:ascii="Times New Roman" w:eastAsia="Times New Roman" w:hAnsi="Times New Roman" w:cs="Times New Roman"/>
          <w:sz w:val="28"/>
          <w:szCs w:val="28"/>
          <w:lang w:eastAsia="ru-RU"/>
        </w:rPr>
        <w:t> млн человек или 12,</w:t>
      </w:r>
      <w:r>
        <w:rPr>
          <w:rFonts w:ascii="Times New Roman" w:eastAsia="Times New Roman" w:hAnsi="Times New Roman" w:cs="Times New Roman"/>
          <w:sz w:val="28"/>
          <w:szCs w:val="28"/>
          <w:lang w:eastAsia="ru-RU"/>
        </w:rPr>
        <w:t>1</w:t>
      </w:r>
      <w:r w:rsidRPr="00B12271">
        <w:rPr>
          <w:rFonts w:ascii="Times New Roman" w:eastAsia="Times New Roman" w:hAnsi="Times New Roman" w:cs="Times New Roman"/>
          <w:sz w:val="28"/>
          <w:szCs w:val="28"/>
          <w:lang w:eastAsia="ru-RU"/>
        </w:rPr>
        <w:t>%; 2019 г. – 18,</w:t>
      </w:r>
      <w:r w:rsidR="00C3402E">
        <w:rPr>
          <w:rFonts w:ascii="Times New Roman" w:eastAsia="Times New Roman" w:hAnsi="Times New Roman" w:cs="Times New Roman"/>
          <w:sz w:val="28"/>
          <w:szCs w:val="28"/>
          <w:lang w:eastAsia="ru-RU"/>
        </w:rPr>
        <w:t>0</w:t>
      </w:r>
      <w:r w:rsidRPr="00B12271">
        <w:rPr>
          <w:rFonts w:ascii="Times New Roman" w:eastAsia="Times New Roman" w:hAnsi="Times New Roman" w:cs="Times New Roman"/>
          <w:sz w:val="28"/>
          <w:szCs w:val="28"/>
          <w:lang w:eastAsia="ru-RU"/>
        </w:rPr>
        <w:t xml:space="preserve"> млн человек или 12,3%; </w:t>
      </w:r>
      <w:r>
        <w:rPr>
          <w:rFonts w:ascii="Times New Roman" w:eastAsia="Times New Roman" w:hAnsi="Times New Roman" w:cs="Times New Roman"/>
          <w:sz w:val="28"/>
          <w:szCs w:val="28"/>
          <w:lang w:eastAsia="ru-RU"/>
        </w:rPr>
        <w:br/>
        <w:t>2018 г. – 18,4 млн</w:t>
      </w:r>
      <w:r w:rsidRPr="00B12271">
        <w:rPr>
          <w:rFonts w:ascii="Times New Roman" w:eastAsia="Times New Roman" w:hAnsi="Times New Roman" w:cs="Times New Roman"/>
          <w:sz w:val="28"/>
          <w:szCs w:val="28"/>
          <w:lang w:eastAsia="ru-RU"/>
        </w:rPr>
        <w:t xml:space="preserve"> человек или 12,6%).</w:t>
      </w:r>
    </w:p>
    <w:p w14:paraId="24B748BD" w14:textId="7F631448" w:rsidR="002A702F" w:rsidRPr="00E67E3E" w:rsidRDefault="002A702F" w:rsidP="002A702F">
      <w:pPr>
        <w:spacing w:after="0" w:line="312" w:lineRule="auto"/>
        <w:ind w:firstLine="709"/>
        <w:jc w:val="both"/>
        <w:rPr>
          <w:rFonts w:ascii="Times New Roman" w:eastAsia="Times New Roman" w:hAnsi="Times New Roman" w:cs="Times New Roman"/>
          <w:sz w:val="28"/>
          <w:szCs w:val="28"/>
          <w:lang w:eastAsia="ru-RU"/>
        </w:rPr>
      </w:pPr>
      <w:r w:rsidRPr="00E67E3E">
        <w:rPr>
          <w:rFonts w:ascii="Times New Roman" w:eastAsia="Times New Roman" w:hAnsi="Times New Roman" w:cs="Times New Roman"/>
          <w:sz w:val="28"/>
          <w:szCs w:val="28"/>
          <w:lang w:eastAsia="ru-RU"/>
        </w:rPr>
        <w:t xml:space="preserve">Дифференциация денежных доходов (соотношение между </w:t>
      </w:r>
      <w:r>
        <w:rPr>
          <w:rFonts w:ascii="Times New Roman" w:eastAsia="Times New Roman" w:hAnsi="Times New Roman" w:cs="Times New Roman"/>
          <w:sz w:val="28"/>
          <w:szCs w:val="28"/>
          <w:lang w:eastAsia="ru-RU"/>
        </w:rPr>
        <w:t xml:space="preserve">денежными </w:t>
      </w:r>
      <w:r w:rsidRPr="00E67E3E">
        <w:rPr>
          <w:rFonts w:ascii="Times New Roman" w:eastAsia="Times New Roman" w:hAnsi="Times New Roman" w:cs="Times New Roman"/>
          <w:sz w:val="28"/>
          <w:szCs w:val="28"/>
          <w:lang w:eastAsia="ru-RU"/>
        </w:rPr>
        <w:t>доходами 10% наиболее обеспеченного населения и 10% наименее обеспеченного населения) в 202</w:t>
      </w:r>
      <w:r>
        <w:rPr>
          <w:rFonts w:ascii="Times New Roman" w:eastAsia="Times New Roman" w:hAnsi="Times New Roman" w:cs="Times New Roman"/>
          <w:sz w:val="28"/>
          <w:szCs w:val="28"/>
          <w:lang w:eastAsia="ru-RU"/>
        </w:rPr>
        <w:t>1</w:t>
      </w:r>
      <w:r w:rsidRPr="00E67E3E">
        <w:rPr>
          <w:rFonts w:ascii="Times New Roman" w:eastAsia="Times New Roman" w:hAnsi="Times New Roman" w:cs="Times New Roman"/>
          <w:sz w:val="28"/>
          <w:szCs w:val="28"/>
          <w:lang w:eastAsia="ru-RU"/>
        </w:rPr>
        <w:t> г</w:t>
      </w:r>
      <w:r w:rsidR="00E17755">
        <w:rPr>
          <w:rFonts w:ascii="Times New Roman" w:eastAsia="Times New Roman" w:hAnsi="Times New Roman" w:cs="Times New Roman"/>
          <w:sz w:val="28"/>
          <w:szCs w:val="28"/>
          <w:lang w:eastAsia="ru-RU"/>
        </w:rPr>
        <w:t>.</w:t>
      </w:r>
      <w:r w:rsidRPr="00E67E3E">
        <w:rPr>
          <w:rFonts w:ascii="Times New Roman" w:eastAsia="Times New Roman" w:hAnsi="Times New Roman" w:cs="Times New Roman"/>
          <w:sz w:val="28"/>
          <w:szCs w:val="28"/>
          <w:lang w:eastAsia="ru-RU"/>
        </w:rPr>
        <w:t xml:space="preserve"> составила 1</w:t>
      </w:r>
      <w:r>
        <w:rPr>
          <w:rFonts w:ascii="Times New Roman" w:eastAsia="Times New Roman" w:hAnsi="Times New Roman" w:cs="Times New Roman"/>
          <w:sz w:val="28"/>
          <w:szCs w:val="28"/>
          <w:lang w:eastAsia="ru-RU"/>
        </w:rPr>
        <w:t>5</w:t>
      </w:r>
      <w:r w:rsidRPr="00E67E3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E67E3E">
        <w:rPr>
          <w:rFonts w:ascii="Times New Roman" w:eastAsia="Times New Roman" w:hAnsi="Times New Roman" w:cs="Times New Roman"/>
          <w:sz w:val="28"/>
          <w:szCs w:val="28"/>
          <w:lang w:eastAsia="ru-RU"/>
        </w:rPr>
        <w:t> раза (</w:t>
      </w:r>
      <w:r>
        <w:rPr>
          <w:rFonts w:ascii="Times New Roman" w:eastAsia="Times New Roman" w:hAnsi="Times New Roman" w:cs="Times New Roman"/>
          <w:sz w:val="28"/>
          <w:szCs w:val="28"/>
          <w:lang w:eastAsia="ru-RU"/>
        </w:rPr>
        <w:t>2020 г. – 14,9</w:t>
      </w:r>
      <w:r w:rsidRPr="00E67E3E">
        <w:rPr>
          <w:rFonts w:ascii="Times New Roman" w:eastAsia="Times New Roman" w:hAnsi="Times New Roman" w:cs="Times New Roman"/>
          <w:sz w:val="28"/>
          <w:szCs w:val="28"/>
          <w:lang w:eastAsia="ru-RU"/>
        </w:rPr>
        <w:t xml:space="preserve"> раза; 2019 г. – 15,</w:t>
      </w:r>
      <w:r>
        <w:rPr>
          <w:rFonts w:ascii="Times New Roman" w:eastAsia="Times New Roman" w:hAnsi="Times New Roman" w:cs="Times New Roman"/>
          <w:sz w:val="28"/>
          <w:szCs w:val="28"/>
          <w:lang w:eastAsia="ru-RU"/>
        </w:rPr>
        <w:t>6</w:t>
      </w:r>
      <w:r w:rsidRPr="00E67E3E">
        <w:rPr>
          <w:rFonts w:ascii="Times New Roman" w:eastAsia="Times New Roman" w:hAnsi="Times New Roman" w:cs="Times New Roman"/>
          <w:sz w:val="28"/>
          <w:szCs w:val="28"/>
          <w:lang w:eastAsia="ru-RU"/>
        </w:rPr>
        <w:t xml:space="preserve"> раза; </w:t>
      </w:r>
      <w:r w:rsidR="00E92579">
        <w:rPr>
          <w:rFonts w:ascii="Times New Roman" w:eastAsia="Times New Roman" w:hAnsi="Times New Roman" w:cs="Times New Roman"/>
          <w:sz w:val="28"/>
          <w:szCs w:val="28"/>
          <w:lang w:eastAsia="ru-RU"/>
        </w:rPr>
        <w:br/>
      </w:r>
      <w:r w:rsidRPr="00E67E3E">
        <w:rPr>
          <w:rFonts w:ascii="Times New Roman" w:eastAsia="Times New Roman" w:hAnsi="Times New Roman" w:cs="Times New Roman"/>
          <w:sz w:val="28"/>
          <w:szCs w:val="28"/>
          <w:lang w:eastAsia="ru-RU"/>
        </w:rPr>
        <w:t>2018 г. – 15,</w:t>
      </w:r>
      <w:r>
        <w:rPr>
          <w:rFonts w:ascii="Times New Roman" w:eastAsia="Times New Roman" w:hAnsi="Times New Roman" w:cs="Times New Roman"/>
          <w:sz w:val="28"/>
          <w:szCs w:val="28"/>
          <w:lang w:eastAsia="ru-RU"/>
        </w:rPr>
        <w:t>8</w:t>
      </w:r>
      <w:r w:rsidRPr="00E67E3E">
        <w:rPr>
          <w:rFonts w:ascii="Times New Roman" w:eastAsia="Times New Roman" w:hAnsi="Times New Roman" w:cs="Times New Roman"/>
          <w:sz w:val="28"/>
          <w:szCs w:val="28"/>
          <w:lang w:eastAsia="ru-RU"/>
        </w:rPr>
        <w:t xml:space="preserve"> раза).</w:t>
      </w:r>
    </w:p>
    <w:p w14:paraId="266E3A20" w14:textId="77777777" w:rsidR="002A702F" w:rsidRPr="00105027" w:rsidRDefault="002A702F" w:rsidP="002A702F">
      <w:pPr>
        <w:tabs>
          <w:tab w:val="left" w:pos="180"/>
        </w:tabs>
        <w:spacing w:after="0" w:line="312" w:lineRule="auto"/>
        <w:ind w:firstLine="709"/>
        <w:jc w:val="both"/>
        <w:rPr>
          <w:rFonts w:ascii="Times New Roman" w:eastAsia="Times New Roman" w:hAnsi="Times New Roman" w:cs="Times New Roman"/>
          <w:sz w:val="28"/>
          <w:szCs w:val="28"/>
          <w:lang w:eastAsia="ru-RU"/>
        </w:rPr>
      </w:pPr>
      <w:r w:rsidRPr="00105027">
        <w:rPr>
          <w:rFonts w:ascii="Times New Roman" w:eastAsia="Times New Roman" w:hAnsi="Times New Roman" w:cs="Times New Roman"/>
          <w:sz w:val="28"/>
          <w:szCs w:val="28"/>
          <w:lang w:eastAsia="ru-RU"/>
        </w:rPr>
        <w:t>Дефицит денежного дохода малоимущего населения в 202</w:t>
      </w:r>
      <w:r>
        <w:rPr>
          <w:rFonts w:ascii="Times New Roman" w:eastAsia="Times New Roman" w:hAnsi="Times New Roman" w:cs="Times New Roman"/>
          <w:sz w:val="28"/>
          <w:szCs w:val="28"/>
          <w:lang w:eastAsia="ru-RU"/>
        </w:rPr>
        <w:t>1</w:t>
      </w:r>
      <w:r w:rsidRPr="00105027">
        <w:rPr>
          <w:rFonts w:ascii="Times New Roman" w:eastAsia="Times New Roman" w:hAnsi="Times New Roman" w:cs="Times New Roman"/>
          <w:sz w:val="28"/>
          <w:szCs w:val="28"/>
          <w:lang w:eastAsia="ru-RU"/>
        </w:rPr>
        <w:t> г</w:t>
      </w:r>
      <w:r w:rsidR="00E17755">
        <w:rPr>
          <w:rFonts w:ascii="Times New Roman" w:eastAsia="Times New Roman" w:hAnsi="Times New Roman" w:cs="Times New Roman"/>
          <w:sz w:val="28"/>
          <w:szCs w:val="28"/>
          <w:lang w:eastAsia="ru-RU"/>
        </w:rPr>
        <w:t>.</w:t>
      </w:r>
      <w:r w:rsidRPr="00105027">
        <w:rPr>
          <w:rFonts w:ascii="Times New Roman" w:eastAsia="Times New Roman" w:hAnsi="Times New Roman" w:cs="Times New Roman"/>
          <w:sz w:val="28"/>
          <w:szCs w:val="28"/>
          <w:lang w:eastAsia="ru-RU"/>
        </w:rPr>
        <w:t xml:space="preserve"> составил </w:t>
      </w:r>
      <w:r>
        <w:rPr>
          <w:rFonts w:ascii="Times New Roman" w:eastAsia="Times New Roman" w:hAnsi="Times New Roman" w:cs="Times New Roman"/>
          <w:sz w:val="28"/>
          <w:szCs w:val="28"/>
          <w:lang w:eastAsia="ru-RU"/>
        </w:rPr>
        <w:t>0</w:t>
      </w:r>
      <w:r w:rsidRPr="0010502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Pr="00105027">
        <w:rPr>
          <w:rFonts w:ascii="Times New Roman" w:eastAsia="Times New Roman" w:hAnsi="Times New Roman" w:cs="Times New Roman"/>
          <w:sz w:val="28"/>
          <w:szCs w:val="28"/>
          <w:lang w:eastAsia="ru-RU"/>
        </w:rPr>
        <w:t>% общего объема денежных доходов населения (</w:t>
      </w:r>
      <w:r>
        <w:rPr>
          <w:rFonts w:ascii="Times New Roman" w:eastAsia="Times New Roman" w:hAnsi="Times New Roman" w:cs="Times New Roman"/>
          <w:sz w:val="28"/>
          <w:szCs w:val="28"/>
          <w:lang w:eastAsia="ru-RU"/>
        </w:rPr>
        <w:t>2020 г. – 1,1</w:t>
      </w:r>
      <w:r w:rsidRPr="00105027">
        <w:rPr>
          <w:rFonts w:ascii="Times New Roman" w:eastAsia="Times New Roman" w:hAnsi="Times New Roman" w:cs="Times New Roman"/>
          <w:sz w:val="28"/>
          <w:szCs w:val="28"/>
          <w:lang w:eastAsia="ru-RU"/>
        </w:rPr>
        <w:t xml:space="preserve">%; 2019 г. – 1,2%; </w:t>
      </w:r>
      <w:r w:rsidR="00E17755">
        <w:rPr>
          <w:rFonts w:ascii="Times New Roman" w:eastAsia="Times New Roman" w:hAnsi="Times New Roman" w:cs="Times New Roman"/>
          <w:sz w:val="28"/>
          <w:szCs w:val="28"/>
          <w:lang w:eastAsia="ru-RU"/>
        </w:rPr>
        <w:br/>
      </w:r>
      <w:r w:rsidRPr="00105027">
        <w:rPr>
          <w:rFonts w:ascii="Times New Roman" w:eastAsia="Times New Roman" w:hAnsi="Times New Roman" w:cs="Times New Roman"/>
          <w:sz w:val="28"/>
          <w:szCs w:val="28"/>
          <w:lang w:eastAsia="ru-RU"/>
        </w:rPr>
        <w:t>2018 г. – 1,2%).</w:t>
      </w:r>
    </w:p>
    <w:p w14:paraId="6DB8B1B1" w14:textId="77777777" w:rsidR="002A702F" w:rsidRDefault="002A702F" w:rsidP="00384475">
      <w:pPr>
        <w:tabs>
          <w:tab w:val="left" w:pos="180"/>
        </w:tabs>
        <w:spacing w:after="0" w:line="312" w:lineRule="auto"/>
        <w:ind w:firstLine="709"/>
        <w:jc w:val="both"/>
        <w:rPr>
          <w:rFonts w:ascii="Times New Roman" w:eastAsia="Times New Roman" w:hAnsi="Times New Roman" w:cs="Times New Roman"/>
          <w:sz w:val="28"/>
          <w:szCs w:val="28"/>
          <w:lang w:eastAsia="ru-RU"/>
        </w:rPr>
      </w:pPr>
      <w:r w:rsidRPr="00823537">
        <w:rPr>
          <w:rFonts w:ascii="Times New Roman" w:eastAsia="Times New Roman" w:hAnsi="Times New Roman" w:cs="Times New Roman"/>
          <w:bCs/>
          <w:color w:val="000000"/>
          <w:sz w:val="28"/>
          <w:szCs w:val="28"/>
          <w:lang w:eastAsia="ru-RU"/>
        </w:rPr>
        <w:t>В</w:t>
      </w:r>
      <w:r w:rsidR="008334D7" w:rsidRPr="003875E5">
        <w:rPr>
          <w:rFonts w:ascii="Times New Roman" w:eastAsia="Times New Roman" w:hAnsi="Times New Roman" w:cs="Times New Roman"/>
          <w:sz w:val="28"/>
          <w:szCs w:val="28"/>
          <w:lang w:eastAsia="ru-RU"/>
        </w:rPr>
        <w:t> </w:t>
      </w:r>
      <w:r w:rsidRPr="00823537">
        <w:rPr>
          <w:rFonts w:ascii="Times New Roman" w:eastAsia="Times New Roman" w:hAnsi="Times New Roman" w:cs="Times New Roman"/>
          <w:bCs/>
          <w:color w:val="000000"/>
          <w:sz w:val="28"/>
          <w:szCs w:val="28"/>
          <w:lang w:eastAsia="ru-RU"/>
        </w:rPr>
        <w:t>структуре</w:t>
      </w:r>
      <w:r w:rsidR="008334D7" w:rsidRPr="003875E5">
        <w:rPr>
          <w:rFonts w:ascii="Times New Roman" w:eastAsia="Times New Roman" w:hAnsi="Times New Roman" w:cs="Times New Roman"/>
          <w:sz w:val="28"/>
          <w:szCs w:val="28"/>
          <w:lang w:eastAsia="ru-RU"/>
        </w:rPr>
        <w:t> </w:t>
      </w:r>
      <w:r w:rsidRPr="00823537">
        <w:rPr>
          <w:rFonts w:ascii="Times New Roman" w:eastAsia="Times New Roman" w:hAnsi="Times New Roman" w:cs="Times New Roman"/>
          <w:bCs/>
          <w:color w:val="000000"/>
          <w:sz w:val="28"/>
          <w:szCs w:val="28"/>
          <w:lang w:eastAsia="ru-RU"/>
        </w:rPr>
        <w:t>денежных</w:t>
      </w:r>
      <w:r w:rsidR="008334D7" w:rsidRPr="003875E5">
        <w:rPr>
          <w:rFonts w:ascii="Times New Roman" w:eastAsia="Times New Roman" w:hAnsi="Times New Roman" w:cs="Times New Roman"/>
          <w:sz w:val="28"/>
          <w:szCs w:val="28"/>
          <w:lang w:eastAsia="ru-RU"/>
        </w:rPr>
        <w:t> </w:t>
      </w:r>
      <w:r w:rsidRPr="00823537">
        <w:rPr>
          <w:rFonts w:ascii="Times New Roman" w:eastAsia="Times New Roman" w:hAnsi="Times New Roman" w:cs="Times New Roman"/>
          <w:bCs/>
          <w:color w:val="000000"/>
          <w:sz w:val="28"/>
          <w:szCs w:val="28"/>
          <w:lang w:eastAsia="ru-RU"/>
        </w:rPr>
        <w:t>доходов</w:t>
      </w:r>
      <w:r w:rsidR="008334D7" w:rsidRPr="003875E5">
        <w:rPr>
          <w:rFonts w:ascii="Times New Roman" w:eastAsia="Times New Roman" w:hAnsi="Times New Roman" w:cs="Times New Roman"/>
          <w:sz w:val="28"/>
          <w:szCs w:val="28"/>
          <w:lang w:eastAsia="ru-RU"/>
        </w:rPr>
        <w:t> </w:t>
      </w:r>
      <w:r w:rsidRPr="00823537">
        <w:rPr>
          <w:rFonts w:ascii="Times New Roman" w:eastAsia="Times New Roman" w:hAnsi="Times New Roman" w:cs="Times New Roman"/>
          <w:bCs/>
          <w:color w:val="000000"/>
          <w:sz w:val="28"/>
          <w:szCs w:val="28"/>
          <w:lang w:eastAsia="ru-RU"/>
        </w:rPr>
        <w:t>населения</w:t>
      </w:r>
      <w:r w:rsidRPr="00823537">
        <w:rPr>
          <w:rFonts w:ascii="Times New Roman" w:eastAsia="Times New Roman" w:hAnsi="Times New Roman" w:cs="Times New Roman"/>
          <w:color w:val="000000"/>
          <w:sz w:val="28"/>
          <w:szCs w:val="28"/>
          <w:lang w:eastAsia="ru-RU"/>
        </w:rPr>
        <w:t xml:space="preserve"> по источникам поступления основную и </w:t>
      </w:r>
      <w:r>
        <w:rPr>
          <w:rFonts w:ascii="Times New Roman" w:eastAsia="Times New Roman" w:hAnsi="Times New Roman" w:cs="Times New Roman"/>
          <w:color w:val="000000"/>
          <w:sz w:val="28"/>
          <w:szCs w:val="28"/>
          <w:lang w:eastAsia="ru-RU"/>
        </w:rPr>
        <w:t>постоянно</w:t>
      </w:r>
      <w:r w:rsidRPr="00823537">
        <w:rPr>
          <w:rFonts w:ascii="Times New Roman" w:eastAsia="Times New Roman" w:hAnsi="Times New Roman" w:cs="Times New Roman"/>
          <w:color w:val="000000"/>
          <w:sz w:val="28"/>
          <w:szCs w:val="28"/>
          <w:lang w:eastAsia="ru-RU"/>
        </w:rPr>
        <w:t xml:space="preserve"> увеличивающуюся </w:t>
      </w:r>
      <w:r w:rsidRPr="00823537">
        <w:rPr>
          <w:rFonts w:ascii="Times New Roman" w:eastAsia="Times New Roman" w:hAnsi="Times New Roman" w:cs="Times New Roman"/>
          <w:bCs/>
          <w:color w:val="000000"/>
          <w:sz w:val="28"/>
          <w:szCs w:val="28"/>
          <w:lang w:eastAsia="ru-RU"/>
        </w:rPr>
        <w:t>долю</w:t>
      </w:r>
      <w:r w:rsidRPr="00823537">
        <w:rPr>
          <w:rFonts w:ascii="Times New Roman" w:eastAsia="Times New Roman" w:hAnsi="Times New Roman" w:cs="Times New Roman"/>
          <w:color w:val="000000"/>
          <w:sz w:val="28"/>
          <w:szCs w:val="28"/>
          <w:lang w:eastAsia="ru-RU"/>
        </w:rPr>
        <w:t xml:space="preserve"> занимает </w:t>
      </w:r>
      <w:r w:rsidRPr="00823537">
        <w:rPr>
          <w:rFonts w:ascii="Times New Roman" w:eastAsia="Times New Roman" w:hAnsi="Times New Roman" w:cs="Times New Roman"/>
          <w:bCs/>
          <w:color w:val="000000"/>
          <w:sz w:val="28"/>
          <w:szCs w:val="28"/>
          <w:lang w:eastAsia="ru-RU"/>
        </w:rPr>
        <w:t>оплата</w:t>
      </w:r>
      <w:r w:rsidR="008334D7" w:rsidRPr="003875E5">
        <w:rPr>
          <w:rFonts w:ascii="Times New Roman" w:eastAsia="Times New Roman" w:hAnsi="Times New Roman" w:cs="Times New Roman"/>
          <w:sz w:val="28"/>
          <w:szCs w:val="28"/>
          <w:lang w:eastAsia="ru-RU"/>
        </w:rPr>
        <w:t> </w:t>
      </w:r>
      <w:r w:rsidR="008334D7">
        <w:rPr>
          <w:rFonts w:ascii="Times New Roman" w:eastAsia="Times New Roman" w:hAnsi="Times New Roman" w:cs="Times New Roman"/>
          <w:bCs/>
          <w:color w:val="000000"/>
          <w:sz w:val="28"/>
          <w:szCs w:val="28"/>
          <w:lang w:eastAsia="ru-RU"/>
        </w:rPr>
        <w:t xml:space="preserve">труда </w:t>
      </w:r>
      <w:r w:rsidR="00D228B6">
        <w:rPr>
          <w:rFonts w:ascii="Times New Roman" w:eastAsia="Times New Roman" w:hAnsi="Times New Roman" w:cs="Times New Roman"/>
          <w:bCs/>
          <w:color w:val="000000"/>
          <w:sz w:val="28"/>
          <w:szCs w:val="28"/>
          <w:lang w:eastAsia="ru-RU"/>
        </w:rPr>
        <w:br/>
      </w:r>
      <w:r w:rsidRPr="00823537">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2021 г. – 57,7</w:t>
      </w:r>
      <w:r w:rsidRPr="00823537">
        <w:rPr>
          <w:rFonts w:ascii="Times New Roman" w:eastAsia="Times New Roman" w:hAnsi="Times New Roman" w:cs="Times New Roman"/>
          <w:bCs/>
          <w:color w:val="000000"/>
          <w:sz w:val="28"/>
          <w:szCs w:val="28"/>
          <w:lang w:eastAsia="ru-RU"/>
        </w:rPr>
        <w:t>%; 2020 г. – 5</w:t>
      </w:r>
      <w:r>
        <w:rPr>
          <w:rFonts w:ascii="Times New Roman" w:eastAsia="Times New Roman" w:hAnsi="Times New Roman" w:cs="Times New Roman"/>
          <w:bCs/>
          <w:color w:val="000000"/>
          <w:sz w:val="28"/>
          <w:szCs w:val="28"/>
          <w:lang w:eastAsia="ru-RU"/>
        </w:rPr>
        <w:t>7</w:t>
      </w:r>
      <w:r w:rsidRPr="00823537">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2</w:t>
      </w:r>
      <w:r w:rsidRPr="00823537">
        <w:rPr>
          <w:rFonts w:ascii="Times New Roman" w:eastAsia="Times New Roman" w:hAnsi="Times New Roman" w:cs="Times New Roman"/>
          <w:bCs/>
          <w:color w:val="000000"/>
          <w:sz w:val="28"/>
          <w:szCs w:val="28"/>
          <w:lang w:eastAsia="ru-RU"/>
        </w:rPr>
        <w:t>%; 2019 г. – 57,</w:t>
      </w:r>
      <w:r>
        <w:rPr>
          <w:rFonts w:ascii="Times New Roman" w:eastAsia="Times New Roman" w:hAnsi="Times New Roman" w:cs="Times New Roman"/>
          <w:bCs/>
          <w:color w:val="000000"/>
          <w:sz w:val="28"/>
          <w:szCs w:val="28"/>
          <w:lang w:eastAsia="ru-RU"/>
        </w:rPr>
        <w:t>3</w:t>
      </w:r>
      <w:r w:rsidRPr="00823537">
        <w:rPr>
          <w:rFonts w:ascii="Times New Roman" w:eastAsia="Times New Roman" w:hAnsi="Times New Roman" w:cs="Times New Roman"/>
          <w:bCs/>
          <w:color w:val="000000"/>
          <w:sz w:val="28"/>
          <w:szCs w:val="28"/>
          <w:lang w:eastAsia="ru-RU"/>
        </w:rPr>
        <w:t>%; 2018 г. – 57,</w:t>
      </w:r>
      <w:r>
        <w:rPr>
          <w:rFonts w:ascii="Times New Roman" w:eastAsia="Times New Roman" w:hAnsi="Times New Roman" w:cs="Times New Roman"/>
          <w:bCs/>
          <w:color w:val="000000"/>
          <w:sz w:val="28"/>
          <w:szCs w:val="28"/>
          <w:lang w:eastAsia="ru-RU"/>
        </w:rPr>
        <w:t>1</w:t>
      </w:r>
      <w:r w:rsidRPr="00823537">
        <w:rPr>
          <w:rFonts w:ascii="Times New Roman" w:eastAsia="Times New Roman" w:hAnsi="Times New Roman" w:cs="Times New Roman"/>
          <w:bCs/>
          <w:color w:val="000000"/>
          <w:sz w:val="28"/>
          <w:szCs w:val="28"/>
          <w:lang w:eastAsia="ru-RU"/>
        </w:rPr>
        <w:t>%).</w:t>
      </w:r>
      <w:r w:rsidRPr="00823537">
        <w:rPr>
          <w:rFonts w:ascii="Times New Roman" w:eastAsia="Times New Roman" w:hAnsi="Times New Roman" w:cs="Times New Roman"/>
          <w:sz w:val="28"/>
          <w:szCs w:val="28"/>
          <w:lang w:eastAsia="ru-RU"/>
        </w:rPr>
        <w:t xml:space="preserve"> Доля</w:t>
      </w:r>
      <w:r w:rsidRPr="00A56A09">
        <w:rPr>
          <w:rFonts w:ascii="Times New Roman" w:eastAsia="Times New Roman" w:hAnsi="Times New Roman" w:cs="Times New Roman"/>
          <w:sz w:val="28"/>
          <w:szCs w:val="28"/>
          <w:lang w:eastAsia="ru-RU"/>
        </w:rPr>
        <w:t xml:space="preserve"> социальных выплат в общем объеме денежных доходов населения в 20</w:t>
      </w:r>
      <w:r>
        <w:rPr>
          <w:rFonts w:ascii="Times New Roman" w:eastAsia="Times New Roman" w:hAnsi="Times New Roman" w:cs="Times New Roman"/>
          <w:sz w:val="28"/>
          <w:szCs w:val="28"/>
          <w:lang w:eastAsia="ru-RU"/>
        </w:rPr>
        <w:t>21</w:t>
      </w:r>
      <w:r w:rsidR="008334D7" w:rsidRPr="003875E5">
        <w:rPr>
          <w:rFonts w:ascii="Times New Roman" w:eastAsia="Times New Roman" w:hAnsi="Times New Roman" w:cs="Times New Roman"/>
          <w:sz w:val="28"/>
          <w:szCs w:val="28"/>
          <w:lang w:eastAsia="ru-RU"/>
        </w:rPr>
        <w:t> </w:t>
      </w:r>
      <w:r w:rsidRPr="00A56A09">
        <w:rPr>
          <w:rFonts w:ascii="Times New Roman" w:eastAsia="Times New Roman" w:hAnsi="Times New Roman" w:cs="Times New Roman"/>
          <w:sz w:val="28"/>
          <w:szCs w:val="28"/>
          <w:lang w:eastAsia="ru-RU"/>
        </w:rPr>
        <w:t>г</w:t>
      </w:r>
      <w:r w:rsidR="00E17755">
        <w:rPr>
          <w:rFonts w:ascii="Times New Roman" w:eastAsia="Times New Roman" w:hAnsi="Times New Roman" w:cs="Times New Roman"/>
          <w:sz w:val="28"/>
          <w:szCs w:val="28"/>
          <w:lang w:eastAsia="ru-RU"/>
        </w:rPr>
        <w:t>.</w:t>
      </w:r>
      <w:r w:rsidRPr="00A56A09">
        <w:rPr>
          <w:rFonts w:ascii="Times New Roman" w:eastAsia="Times New Roman" w:hAnsi="Times New Roman" w:cs="Times New Roman"/>
          <w:sz w:val="28"/>
          <w:szCs w:val="28"/>
          <w:lang w:eastAsia="ru-RU"/>
        </w:rPr>
        <w:t xml:space="preserve"> составила </w:t>
      </w:r>
      <w:r>
        <w:rPr>
          <w:rFonts w:ascii="Times New Roman" w:eastAsia="Times New Roman" w:hAnsi="Times New Roman" w:cs="Times New Roman"/>
          <w:sz w:val="28"/>
          <w:szCs w:val="28"/>
          <w:lang w:eastAsia="ru-RU"/>
        </w:rPr>
        <w:t>20,7</w:t>
      </w:r>
      <w:r w:rsidRPr="00A56A09">
        <w:rPr>
          <w:rFonts w:ascii="Times New Roman" w:eastAsia="Times New Roman" w:hAnsi="Times New Roman" w:cs="Times New Roman"/>
          <w:sz w:val="28"/>
          <w:szCs w:val="28"/>
          <w:lang w:eastAsia="ru-RU"/>
        </w:rPr>
        <w:t xml:space="preserve">% </w:t>
      </w:r>
      <w:r w:rsidR="00D228B6">
        <w:rPr>
          <w:rFonts w:ascii="Times New Roman" w:eastAsia="Times New Roman" w:hAnsi="Times New Roman" w:cs="Times New Roman"/>
          <w:sz w:val="28"/>
          <w:szCs w:val="28"/>
          <w:lang w:eastAsia="ru-RU"/>
        </w:rPr>
        <w:br/>
      </w:r>
      <w:r w:rsidRPr="00A56A0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2020 г. – 21,4</w:t>
      </w:r>
      <w:r w:rsidRPr="00A56A09">
        <w:rPr>
          <w:rFonts w:ascii="Times New Roman" w:eastAsia="Times New Roman" w:hAnsi="Times New Roman" w:cs="Times New Roman"/>
          <w:sz w:val="28"/>
          <w:szCs w:val="28"/>
          <w:lang w:eastAsia="ru-RU"/>
        </w:rPr>
        <w:t>%; 2019 г. – 18,</w:t>
      </w:r>
      <w:r>
        <w:rPr>
          <w:rFonts w:ascii="Times New Roman" w:eastAsia="Times New Roman" w:hAnsi="Times New Roman" w:cs="Times New Roman"/>
          <w:sz w:val="28"/>
          <w:szCs w:val="28"/>
          <w:lang w:eastAsia="ru-RU"/>
        </w:rPr>
        <w:t>8</w:t>
      </w:r>
      <w:r w:rsidRPr="00A56A09">
        <w:rPr>
          <w:rFonts w:ascii="Times New Roman" w:eastAsia="Times New Roman" w:hAnsi="Times New Roman" w:cs="Times New Roman"/>
          <w:sz w:val="28"/>
          <w:szCs w:val="28"/>
          <w:lang w:eastAsia="ru-RU"/>
        </w:rPr>
        <w:t>%; 2018</w:t>
      </w:r>
      <w:r w:rsidR="006433CF" w:rsidRPr="00B12271">
        <w:rPr>
          <w:rFonts w:ascii="Times New Roman" w:eastAsia="Times New Roman" w:hAnsi="Times New Roman" w:cs="Times New Roman"/>
          <w:sz w:val="28"/>
          <w:szCs w:val="28"/>
          <w:lang w:eastAsia="ru-RU"/>
        </w:rPr>
        <w:t> </w:t>
      </w:r>
      <w:r w:rsidRPr="00A56A09">
        <w:rPr>
          <w:rFonts w:ascii="Times New Roman" w:eastAsia="Times New Roman" w:hAnsi="Times New Roman" w:cs="Times New Roman"/>
          <w:sz w:val="28"/>
          <w:szCs w:val="28"/>
          <w:lang w:eastAsia="ru-RU"/>
        </w:rPr>
        <w:t>г. – 19,0</w:t>
      </w:r>
      <w:r>
        <w:rPr>
          <w:rFonts w:ascii="Times New Roman" w:eastAsia="Times New Roman" w:hAnsi="Times New Roman" w:cs="Times New Roman"/>
          <w:sz w:val="28"/>
          <w:szCs w:val="28"/>
          <w:lang w:eastAsia="ru-RU"/>
        </w:rPr>
        <w:t>%</w:t>
      </w:r>
      <w:r w:rsidRPr="00A56A09">
        <w:rPr>
          <w:rFonts w:ascii="Times New Roman" w:eastAsia="Times New Roman" w:hAnsi="Times New Roman" w:cs="Times New Roman"/>
          <w:sz w:val="28"/>
          <w:szCs w:val="28"/>
          <w:lang w:eastAsia="ru-RU"/>
        </w:rPr>
        <w:t>).</w:t>
      </w:r>
    </w:p>
    <w:p w14:paraId="6185CBDC" w14:textId="77777777" w:rsidR="00D03A4F" w:rsidRDefault="00D03A4F" w:rsidP="00B700C5">
      <w:pPr>
        <w:widowControl w:val="0"/>
        <w:spacing w:before="120" w:after="120" w:line="312" w:lineRule="auto"/>
        <w:ind w:firstLine="709"/>
        <w:jc w:val="center"/>
        <w:rPr>
          <w:rFonts w:ascii="Times New Roman" w:eastAsia="Times New Roman" w:hAnsi="Times New Roman" w:cs="Times New Roman"/>
          <w:i/>
          <w:sz w:val="28"/>
          <w:szCs w:val="28"/>
        </w:rPr>
      </w:pPr>
      <w:r w:rsidRPr="00D03A4F">
        <w:rPr>
          <w:rFonts w:ascii="Times New Roman" w:eastAsia="Times New Roman" w:hAnsi="Times New Roman" w:cs="Times New Roman"/>
          <w:i/>
          <w:sz w:val="28"/>
          <w:szCs w:val="28"/>
        </w:rPr>
        <w:t>Общая характеристика российского рынка детских товаров</w:t>
      </w:r>
    </w:p>
    <w:p w14:paraId="64EA9ACD" w14:textId="4933DE21" w:rsidR="00437510" w:rsidRPr="00437510" w:rsidRDefault="00437510" w:rsidP="00C93C3C">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437510">
        <w:rPr>
          <w:rFonts w:ascii="Times New Roman" w:eastAsia="Times New Roman" w:hAnsi="Times New Roman" w:cs="Times New Roman"/>
          <w:color w:val="000000"/>
          <w:sz w:val="28"/>
          <w:szCs w:val="28"/>
          <w:lang w:eastAsia="ru-RU" w:bidi="ru-RU"/>
        </w:rPr>
        <w:t>Распоряжением Правительства Российской Федерации от 11 июля 2020 г.</w:t>
      </w:r>
      <w:r w:rsidR="00E215B0">
        <w:rPr>
          <w:rFonts w:ascii="Times New Roman" w:eastAsia="Times New Roman" w:hAnsi="Times New Roman" w:cs="Times New Roman"/>
          <w:color w:val="000000"/>
          <w:sz w:val="28"/>
          <w:szCs w:val="28"/>
          <w:lang w:eastAsia="ru-RU" w:bidi="ru-RU"/>
        </w:rPr>
        <w:br/>
      </w:r>
      <w:r w:rsidRPr="00437510">
        <w:rPr>
          <w:rFonts w:ascii="Times New Roman" w:eastAsia="Times New Roman" w:hAnsi="Times New Roman" w:cs="Times New Roman"/>
          <w:color w:val="000000"/>
          <w:sz w:val="28"/>
          <w:szCs w:val="28"/>
          <w:lang w:eastAsia="ru-RU" w:bidi="ru-RU"/>
        </w:rPr>
        <w:t xml:space="preserve">№ 1813-р (в редакции распоряжения Правительства Российской Федерации </w:t>
      </w:r>
      <w:r w:rsidR="00E215B0">
        <w:rPr>
          <w:rFonts w:ascii="Times New Roman" w:eastAsia="Times New Roman" w:hAnsi="Times New Roman" w:cs="Times New Roman"/>
          <w:color w:val="000000"/>
          <w:sz w:val="28"/>
          <w:szCs w:val="28"/>
          <w:lang w:eastAsia="ru-RU" w:bidi="ru-RU"/>
        </w:rPr>
        <w:br/>
      </w:r>
      <w:r w:rsidRPr="00437510">
        <w:rPr>
          <w:rFonts w:ascii="Times New Roman" w:eastAsia="Times New Roman" w:hAnsi="Times New Roman" w:cs="Times New Roman"/>
          <w:color w:val="000000"/>
          <w:sz w:val="28"/>
          <w:szCs w:val="28"/>
          <w:lang w:eastAsia="ru-RU" w:bidi="ru-RU"/>
        </w:rPr>
        <w:t>от 15 июня 2022 г</w:t>
      </w:r>
      <w:r w:rsidR="00E215B0">
        <w:rPr>
          <w:rFonts w:ascii="Times New Roman" w:eastAsia="Times New Roman" w:hAnsi="Times New Roman" w:cs="Times New Roman"/>
          <w:color w:val="000000"/>
          <w:sz w:val="28"/>
          <w:szCs w:val="28"/>
          <w:lang w:eastAsia="ru-RU" w:bidi="ru-RU"/>
        </w:rPr>
        <w:t>.</w:t>
      </w:r>
      <w:r w:rsidRPr="00437510">
        <w:rPr>
          <w:rFonts w:ascii="Times New Roman" w:eastAsia="Times New Roman" w:hAnsi="Times New Roman" w:cs="Times New Roman"/>
          <w:color w:val="000000"/>
          <w:sz w:val="28"/>
          <w:szCs w:val="28"/>
          <w:lang w:eastAsia="ru-RU" w:bidi="ru-RU"/>
        </w:rPr>
        <w:t xml:space="preserve"> № 1571-р) утвержден План мероприятий («дорожной карты») по развитию индустрии детских товаров на </w:t>
      </w:r>
      <w:r w:rsidRPr="00437510">
        <w:rPr>
          <w:rFonts w:ascii="Times New Roman" w:eastAsia="Times New Roman" w:hAnsi="Times New Roman" w:cs="Times New Roman"/>
          <w:color w:val="000000"/>
          <w:sz w:val="28"/>
          <w:szCs w:val="28"/>
          <w:lang w:eastAsia="ru-RU" w:bidi="ru-RU"/>
        </w:rPr>
        <w:lastRenderedPageBreak/>
        <w:t>2020-2024 г</w:t>
      </w:r>
      <w:r w:rsidR="00E17755">
        <w:rPr>
          <w:rFonts w:ascii="Times New Roman" w:eastAsia="Times New Roman" w:hAnsi="Times New Roman" w:cs="Times New Roman"/>
          <w:color w:val="000000"/>
          <w:sz w:val="28"/>
          <w:szCs w:val="28"/>
          <w:lang w:eastAsia="ru-RU" w:bidi="ru-RU"/>
        </w:rPr>
        <w:t>г.</w:t>
      </w:r>
      <w:r w:rsidRPr="00437510">
        <w:rPr>
          <w:rFonts w:ascii="Times New Roman" w:eastAsia="Times New Roman" w:hAnsi="Times New Roman" w:cs="Times New Roman"/>
          <w:color w:val="000000"/>
          <w:sz w:val="28"/>
          <w:szCs w:val="28"/>
          <w:lang w:eastAsia="ru-RU" w:bidi="ru-RU"/>
        </w:rPr>
        <w:t xml:space="preserve"> (далее </w:t>
      </w:r>
      <w:r w:rsidR="00E17755">
        <w:rPr>
          <w:rFonts w:ascii="Times New Roman" w:eastAsia="Times New Roman" w:hAnsi="Times New Roman" w:cs="Times New Roman"/>
          <w:color w:val="000000"/>
          <w:sz w:val="28"/>
          <w:szCs w:val="28"/>
          <w:lang w:eastAsia="ru-RU" w:bidi="ru-RU"/>
        </w:rPr>
        <w:t xml:space="preserve">по тексту </w:t>
      </w:r>
      <w:r w:rsidR="00B700C5">
        <w:rPr>
          <w:rFonts w:ascii="Times New Roman" w:eastAsia="Times New Roman" w:hAnsi="Times New Roman" w:cs="Times New Roman"/>
          <w:color w:val="000000"/>
          <w:sz w:val="28"/>
          <w:szCs w:val="28"/>
          <w:lang w:eastAsia="ru-RU" w:bidi="ru-RU"/>
        </w:rPr>
        <w:t xml:space="preserve">подраздела </w:t>
      </w:r>
      <w:r w:rsidRPr="00437510">
        <w:rPr>
          <w:rFonts w:ascii="Times New Roman" w:eastAsia="Times New Roman" w:hAnsi="Times New Roman" w:cs="Times New Roman"/>
          <w:color w:val="000000"/>
          <w:sz w:val="28"/>
          <w:szCs w:val="28"/>
          <w:lang w:eastAsia="ru-RU" w:bidi="ru-RU"/>
        </w:rPr>
        <w:t xml:space="preserve">– План мероприятий), определяющий основные направления развития отрасли </w:t>
      </w:r>
      <w:r w:rsidR="00E92579">
        <w:rPr>
          <w:rFonts w:ascii="Times New Roman" w:eastAsia="Times New Roman" w:hAnsi="Times New Roman" w:cs="Times New Roman"/>
          <w:color w:val="000000"/>
          <w:sz w:val="28"/>
          <w:szCs w:val="28"/>
          <w:lang w:eastAsia="ru-RU" w:bidi="ru-RU"/>
        </w:rPr>
        <w:br/>
      </w:r>
      <w:r w:rsidRPr="00437510">
        <w:rPr>
          <w:rFonts w:ascii="Times New Roman" w:eastAsia="Times New Roman" w:hAnsi="Times New Roman" w:cs="Times New Roman"/>
          <w:color w:val="000000"/>
          <w:sz w:val="28"/>
          <w:szCs w:val="28"/>
          <w:lang w:eastAsia="ru-RU" w:bidi="ru-RU"/>
        </w:rPr>
        <w:t>до 2024 г.</w:t>
      </w:r>
    </w:p>
    <w:p w14:paraId="1741892F" w14:textId="79D7F588" w:rsidR="00437510" w:rsidRPr="00437510" w:rsidRDefault="00437510" w:rsidP="00C93C3C">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437510">
        <w:rPr>
          <w:rFonts w:ascii="Times New Roman" w:eastAsia="Times New Roman" w:hAnsi="Times New Roman" w:cs="Times New Roman"/>
          <w:color w:val="000000"/>
          <w:sz w:val="28"/>
          <w:szCs w:val="28"/>
          <w:lang w:eastAsia="ru-RU" w:bidi="ru-RU"/>
        </w:rPr>
        <w:t>Доля российских товаров на рынке является одним из ключевых показателей развития индустрии детских товаров. Плановое значение доли российских товаров для детей на внутреннем рынке на 2021 г</w:t>
      </w:r>
      <w:r w:rsidR="00E215B0">
        <w:rPr>
          <w:rFonts w:ascii="Times New Roman" w:eastAsia="Times New Roman" w:hAnsi="Times New Roman" w:cs="Times New Roman"/>
          <w:color w:val="000000"/>
          <w:sz w:val="28"/>
          <w:szCs w:val="28"/>
          <w:lang w:eastAsia="ru-RU" w:bidi="ru-RU"/>
        </w:rPr>
        <w:t>. составля</w:t>
      </w:r>
      <w:r w:rsidR="00A622C2">
        <w:rPr>
          <w:rFonts w:ascii="Times New Roman" w:eastAsia="Times New Roman" w:hAnsi="Times New Roman" w:cs="Times New Roman"/>
          <w:color w:val="000000"/>
          <w:sz w:val="28"/>
          <w:szCs w:val="28"/>
          <w:lang w:eastAsia="ru-RU" w:bidi="ru-RU"/>
        </w:rPr>
        <w:t>ет</w:t>
      </w:r>
      <w:r w:rsidR="00E215B0">
        <w:rPr>
          <w:rFonts w:ascii="Times New Roman" w:eastAsia="Times New Roman" w:hAnsi="Times New Roman" w:cs="Times New Roman"/>
          <w:color w:val="000000"/>
          <w:sz w:val="28"/>
          <w:szCs w:val="28"/>
          <w:lang w:eastAsia="ru-RU" w:bidi="ru-RU"/>
        </w:rPr>
        <w:t xml:space="preserve"> 30,5</w:t>
      </w:r>
      <w:r w:rsidRPr="00437510">
        <w:rPr>
          <w:rFonts w:ascii="Times New Roman" w:eastAsia="Times New Roman" w:hAnsi="Times New Roman" w:cs="Times New Roman"/>
          <w:color w:val="000000"/>
          <w:sz w:val="28"/>
          <w:szCs w:val="28"/>
          <w:lang w:eastAsia="ru-RU" w:bidi="ru-RU"/>
        </w:rPr>
        <w:t>%, на 2022 г</w:t>
      </w:r>
      <w:r w:rsidR="00E215B0">
        <w:rPr>
          <w:rFonts w:ascii="Times New Roman" w:eastAsia="Times New Roman" w:hAnsi="Times New Roman" w:cs="Times New Roman"/>
          <w:color w:val="000000"/>
          <w:sz w:val="28"/>
          <w:szCs w:val="28"/>
          <w:lang w:eastAsia="ru-RU" w:bidi="ru-RU"/>
        </w:rPr>
        <w:t>. – 32</w:t>
      </w:r>
      <w:r w:rsidRPr="00437510">
        <w:rPr>
          <w:rFonts w:ascii="Times New Roman" w:eastAsia="Times New Roman" w:hAnsi="Times New Roman" w:cs="Times New Roman"/>
          <w:color w:val="000000"/>
          <w:sz w:val="28"/>
          <w:szCs w:val="28"/>
          <w:lang w:eastAsia="ru-RU" w:bidi="ru-RU"/>
        </w:rPr>
        <w:t xml:space="preserve">%, </w:t>
      </w:r>
      <w:r w:rsidR="00E92579">
        <w:rPr>
          <w:rFonts w:ascii="Times New Roman" w:eastAsia="Times New Roman" w:hAnsi="Times New Roman" w:cs="Times New Roman"/>
          <w:color w:val="000000"/>
          <w:sz w:val="28"/>
          <w:szCs w:val="28"/>
          <w:lang w:eastAsia="ru-RU" w:bidi="ru-RU"/>
        </w:rPr>
        <w:br/>
      </w:r>
      <w:r w:rsidRPr="00437510">
        <w:rPr>
          <w:rFonts w:ascii="Times New Roman" w:eastAsia="Times New Roman" w:hAnsi="Times New Roman" w:cs="Times New Roman"/>
          <w:color w:val="000000"/>
          <w:sz w:val="28"/>
          <w:szCs w:val="28"/>
          <w:lang w:eastAsia="ru-RU" w:bidi="ru-RU"/>
        </w:rPr>
        <w:t>на 2023 г</w:t>
      </w:r>
      <w:r w:rsidR="00E215B0">
        <w:rPr>
          <w:rFonts w:ascii="Times New Roman" w:eastAsia="Times New Roman" w:hAnsi="Times New Roman" w:cs="Times New Roman"/>
          <w:color w:val="000000"/>
          <w:sz w:val="28"/>
          <w:szCs w:val="28"/>
          <w:lang w:eastAsia="ru-RU" w:bidi="ru-RU"/>
        </w:rPr>
        <w:t>.</w:t>
      </w:r>
      <w:r w:rsidRPr="00437510">
        <w:rPr>
          <w:rFonts w:ascii="Times New Roman" w:eastAsia="Times New Roman" w:hAnsi="Times New Roman" w:cs="Times New Roman"/>
          <w:color w:val="000000"/>
          <w:sz w:val="28"/>
          <w:szCs w:val="28"/>
          <w:lang w:eastAsia="ru-RU" w:bidi="ru-RU"/>
        </w:rPr>
        <w:t xml:space="preserve"> – 34%, на 2024 г</w:t>
      </w:r>
      <w:r w:rsidR="00E215B0">
        <w:rPr>
          <w:rFonts w:ascii="Times New Roman" w:eastAsia="Times New Roman" w:hAnsi="Times New Roman" w:cs="Times New Roman"/>
          <w:color w:val="000000"/>
          <w:sz w:val="28"/>
          <w:szCs w:val="28"/>
          <w:lang w:eastAsia="ru-RU" w:bidi="ru-RU"/>
        </w:rPr>
        <w:t>. – 35</w:t>
      </w:r>
      <w:r w:rsidRPr="00437510">
        <w:rPr>
          <w:rFonts w:ascii="Times New Roman" w:eastAsia="Times New Roman" w:hAnsi="Times New Roman" w:cs="Times New Roman"/>
          <w:color w:val="000000"/>
          <w:sz w:val="28"/>
          <w:szCs w:val="28"/>
          <w:lang w:eastAsia="ru-RU" w:bidi="ru-RU"/>
        </w:rPr>
        <w:t>%.</w:t>
      </w:r>
    </w:p>
    <w:p w14:paraId="48389A54" w14:textId="77777777" w:rsidR="00437510" w:rsidRPr="00437510" w:rsidRDefault="00437510" w:rsidP="00C93C3C">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437510">
        <w:rPr>
          <w:rFonts w:ascii="Times New Roman" w:eastAsia="Times New Roman" w:hAnsi="Times New Roman" w:cs="Times New Roman"/>
          <w:color w:val="000000"/>
          <w:sz w:val="28"/>
          <w:szCs w:val="28"/>
          <w:lang w:eastAsia="ru-RU" w:bidi="ru-RU"/>
        </w:rPr>
        <w:t>В 202</w:t>
      </w:r>
      <w:r w:rsidR="00E215B0">
        <w:rPr>
          <w:rFonts w:ascii="Times New Roman" w:eastAsia="Times New Roman" w:hAnsi="Times New Roman" w:cs="Times New Roman"/>
          <w:color w:val="000000"/>
          <w:sz w:val="28"/>
          <w:szCs w:val="28"/>
          <w:lang w:eastAsia="ru-RU" w:bidi="ru-RU"/>
        </w:rPr>
        <w:t>1</w:t>
      </w:r>
      <w:r w:rsidRPr="00437510">
        <w:rPr>
          <w:rFonts w:ascii="Times New Roman" w:eastAsia="Times New Roman" w:hAnsi="Times New Roman" w:cs="Times New Roman"/>
          <w:color w:val="000000"/>
          <w:sz w:val="28"/>
          <w:szCs w:val="28"/>
          <w:lang w:eastAsia="ru-RU" w:bidi="ru-RU"/>
        </w:rPr>
        <w:t xml:space="preserve"> г</w:t>
      </w:r>
      <w:r w:rsidR="00207B87">
        <w:rPr>
          <w:rFonts w:ascii="Times New Roman" w:eastAsia="Times New Roman" w:hAnsi="Times New Roman" w:cs="Times New Roman"/>
          <w:color w:val="000000"/>
          <w:sz w:val="28"/>
          <w:szCs w:val="28"/>
          <w:lang w:eastAsia="ru-RU" w:bidi="ru-RU"/>
        </w:rPr>
        <w:t>.</w:t>
      </w:r>
      <w:r w:rsidRPr="00437510">
        <w:rPr>
          <w:rFonts w:ascii="Times New Roman" w:eastAsia="Times New Roman" w:hAnsi="Times New Roman" w:cs="Times New Roman"/>
          <w:color w:val="000000"/>
          <w:sz w:val="28"/>
          <w:szCs w:val="28"/>
          <w:lang w:eastAsia="ru-RU" w:bidi="ru-RU"/>
        </w:rPr>
        <w:t xml:space="preserve"> доля отечественной продукции на российском рынке детских товаров составила</w:t>
      </w:r>
      <w:r w:rsidR="00E215B0">
        <w:rPr>
          <w:rFonts w:ascii="Times New Roman" w:eastAsia="Times New Roman" w:hAnsi="Times New Roman" w:cs="Times New Roman"/>
          <w:color w:val="000000"/>
          <w:sz w:val="28"/>
          <w:szCs w:val="28"/>
          <w:lang w:eastAsia="ru-RU" w:bidi="ru-RU"/>
        </w:rPr>
        <w:t xml:space="preserve"> 34,1</w:t>
      </w:r>
      <w:r w:rsidR="00E215B0" w:rsidRPr="00437510">
        <w:rPr>
          <w:rFonts w:ascii="Times New Roman" w:eastAsia="Times New Roman" w:hAnsi="Times New Roman" w:cs="Times New Roman"/>
          <w:color w:val="000000"/>
          <w:sz w:val="28"/>
          <w:szCs w:val="28"/>
          <w:lang w:eastAsia="ru-RU" w:bidi="ru-RU"/>
        </w:rPr>
        <w:t>%</w:t>
      </w:r>
      <w:r w:rsidR="00E215B0">
        <w:rPr>
          <w:rFonts w:ascii="Times New Roman" w:eastAsia="Times New Roman" w:hAnsi="Times New Roman" w:cs="Times New Roman"/>
          <w:color w:val="000000"/>
          <w:sz w:val="28"/>
          <w:szCs w:val="28"/>
          <w:lang w:eastAsia="ru-RU" w:bidi="ru-RU"/>
        </w:rPr>
        <w:t xml:space="preserve"> (2020 г. – 27,4</w:t>
      </w:r>
      <w:r w:rsidRPr="00437510">
        <w:rPr>
          <w:rFonts w:ascii="Times New Roman" w:eastAsia="Times New Roman" w:hAnsi="Times New Roman" w:cs="Times New Roman"/>
          <w:color w:val="000000"/>
          <w:sz w:val="28"/>
          <w:szCs w:val="28"/>
          <w:lang w:eastAsia="ru-RU" w:bidi="ru-RU"/>
        </w:rPr>
        <w:t>%</w:t>
      </w:r>
      <w:r w:rsidR="00E215B0">
        <w:rPr>
          <w:rFonts w:ascii="Times New Roman" w:eastAsia="Times New Roman" w:hAnsi="Times New Roman" w:cs="Times New Roman"/>
          <w:color w:val="000000"/>
          <w:sz w:val="28"/>
          <w:szCs w:val="28"/>
          <w:lang w:eastAsia="ru-RU" w:bidi="ru-RU"/>
        </w:rPr>
        <w:t>)</w:t>
      </w:r>
      <w:r w:rsidRPr="00437510">
        <w:rPr>
          <w:rFonts w:ascii="Times New Roman" w:eastAsia="Times New Roman" w:hAnsi="Times New Roman" w:cs="Times New Roman"/>
          <w:color w:val="000000"/>
          <w:sz w:val="28"/>
          <w:szCs w:val="28"/>
          <w:lang w:eastAsia="ru-RU" w:bidi="ru-RU"/>
        </w:rPr>
        <w:t>.</w:t>
      </w:r>
    </w:p>
    <w:p w14:paraId="3E856294" w14:textId="77777777" w:rsidR="00384475" w:rsidRDefault="00437510" w:rsidP="00384475">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437510">
        <w:rPr>
          <w:rFonts w:ascii="Times New Roman" w:eastAsia="Times New Roman" w:hAnsi="Times New Roman" w:cs="Times New Roman"/>
          <w:color w:val="000000"/>
          <w:sz w:val="28"/>
          <w:szCs w:val="28"/>
          <w:lang w:eastAsia="ru-RU" w:bidi="ru-RU"/>
        </w:rPr>
        <w:t>Объем рынка товаров для детей в 202</w:t>
      </w:r>
      <w:r w:rsidR="001E3A31">
        <w:rPr>
          <w:rFonts w:ascii="Times New Roman" w:eastAsia="Times New Roman" w:hAnsi="Times New Roman" w:cs="Times New Roman"/>
          <w:color w:val="000000"/>
          <w:sz w:val="28"/>
          <w:szCs w:val="28"/>
          <w:lang w:eastAsia="ru-RU" w:bidi="ru-RU"/>
        </w:rPr>
        <w:t>1 г</w:t>
      </w:r>
      <w:r w:rsidR="00E17755">
        <w:rPr>
          <w:rFonts w:ascii="Times New Roman" w:eastAsia="Times New Roman" w:hAnsi="Times New Roman" w:cs="Times New Roman"/>
          <w:color w:val="000000"/>
          <w:sz w:val="28"/>
          <w:szCs w:val="28"/>
          <w:lang w:eastAsia="ru-RU" w:bidi="ru-RU"/>
        </w:rPr>
        <w:t>.</w:t>
      </w:r>
      <w:r w:rsidR="001E3A31">
        <w:rPr>
          <w:rFonts w:ascii="Times New Roman" w:eastAsia="Times New Roman" w:hAnsi="Times New Roman" w:cs="Times New Roman"/>
          <w:color w:val="000000"/>
          <w:sz w:val="28"/>
          <w:szCs w:val="28"/>
          <w:lang w:eastAsia="ru-RU" w:bidi="ru-RU"/>
        </w:rPr>
        <w:t xml:space="preserve"> составил 983,7 млрд</w:t>
      </w:r>
      <w:r w:rsidR="00E215B0">
        <w:rPr>
          <w:rFonts w:ascii="Times New Roman" w:eastAsia="Times New Roman" w:hAnsi="Times New Roman" w:cs="Times New Roman"/>
          <w:color w:val="000000"/>
          <w:sz w:val="28"/>
          <w:szCs w:val="28"/>
          <w:lang w:eastAsia="ru-RU" w:bidi="ru-RU"/>
        </w:rPr>
        <w:t xml:space="preserve"> рублей </w:t>
      </w:r>
      <w:r w:rsidR="00E215B0">
        <w:rPr>
          <w:rFonts w:ascii="Times New Roman" w:eastAsia="Times New Roman" w:hAnsi="Times New Roman" w:cs="Times New Roman"/>
          <w:color w:val="000000"/>
          <w:sz w:val="28"/>
          <w:szCs w:val="28"/>
          <w:lang w:eastAsia="ru-RU" w:bidi="ru-RU"/>
        </w:rPr>
        <w:br/>
      </w:r>
      <w:r w:rsidRPr="00437510">
        <w:rPr>
          <w:rFonts w:ascii="Times New Roman" w:eastAsia="Times New Roman" w:hAnsi="Times New Roman" w:cs="Times New Roman"/>
          <w:color w:val="000000"/>
          <w:sz w:val="28"/>
          <w:szCs w:val="28"/>
          <w:lang w:eastAsia="ru-RU" w:bidi="ru-RU"/>
        </w:rPr>
        <w:t>(2020 г</w:t>
      </w:r>
      <w:r w:rsidR="00E215B0">
        <w:rPr>
          <w:rFonts w:ascii="Times New Roman" w:eastAsia="Times New Roman" w:hAnsi="Times New Roman" w:cs="Times New Roman"/>
          <w:color w:val="000000"/>
          <w:sz w:val="28"/>
          <w:szCs w:val="28"/>
          <w:lang w:eastAsia="ru-RU" w:bidi="ru-RU"/>
        </w:rPr>
        <w:t>.</w:t>
      </w:r>
      <w:r w:rsidRPr="00437510">
        <w:rPr>
          <w:rFonts w:ascii="Times New Roman" w:eastAsia="Times New Roman" w:hAnsi="Times New Roman" w:cs="Times New Roman"/>
          <w:color w:val="000000"/>
          <w:sz w:val="28"/>
          <w:szCs w:val="28"/>
          <w:lang w:eastAsia="ru-RU" w:bidi="ru-RU"/>
        </w:rPr>
        <w:t xml:space="preserve"> – 832 млрд руб</w:t>
      </w:r>
      <w:r w:rsidR="00E215B0">
        <w:rPr>
          <w:rFonts w:ascii="Times New Roman" w:eastAsia="Times New Roman" w:hAnsi="Times New Roman" w:cs="Times New Roman"/>
          <w:color w:val="000000"/>
          <w:sz w:val="28"/>
          <w:szCs w:val="28"/>
          <w:lang w:eastAsia="ru-RU" w:bidi="ru-RU"/>
        </w:rPr>
        <w:t>лей</w:t>
      </w:r>
      <w:r w:rsidRPr="00437510">
        <w:rPr>
          <w:rFonts w:ascii="Times New Roman" w:eastAsia="Times New Roman" w:hAnsi="Times New Roman" w:cs="Times New Roman"/>
          <w:color w:val="000000"/>
          <w:sz w:val="28"/>
          <w:szCs w:val="28"/>
          <w:lang w:eastAsia="ru-RU" w:bidi="ru-RU"/>
        </w:rPr>
        <w:t>), при этом на 1</w:t>
      </w:r>
      <w:r w:rsidR="00BF6EC8" w:rsidRPr="003875E5">
        <w:rPr>
          <w:rFonts w:ascii="Times New Roman" w:eastAsia="Times New Roman" w:hAnsi="Times New Roman" w:cs="Times New Roman"/>
          <w:sz w:val="28"/>
          <w:szCs w:val="28"/>
          <w:lang w:eastAsia="ru-RU"/>
        </w:rPr>
        <w:t> </w:t>
      </w:r>
      <w:r w:rsidRPr="00437510">
        <w:rPr>
          <w:rFonts w:ascii="Times New Roman" w:eastAsia="Times New Roman" w:hAnsi="Times New Roman" w:cs="Times New Roman"/>
          <w:color w:val="000000"/>
          <w:sz w:val="28"/>
          <w:szCs w:val="28"/>
          <w:lang w:eastAsia="ru-RU" w:bidi="ru-RU"/>
        </w:rPr>
        <w:t>600 российских производителей пришлось 335,4 млрд руб</w:t>
      </w:r>
      <w:r w:rsidR="00E215B0">
        <w:rPr>
          <w:rFonts w:ascii="Times New Roman" w:eastAsia="Times New Roman" w:hAnsi="Times New Roman" w:cs="Times New Roman"/>
          <w:color w:val="000000"/>
          <w:sz w:val="28"/>
          <w:szCs w:val="28"/>
          <w:lang w:eastAsia="ru-RU" w:bidi="ru-RU"/>
        </w:rPr>
        <w:t>лей</w:t>
      </w:r>
      <w:r w:rsidRPr="00437510">
        <w:rPr>
          <w:rFonts w:ascii="Times New Roman" w:eastAsia="Times New Roman" w:hAnsi="Times New Roman" w:cs="Times New Roman"/>
          <w:color w:val="000000"/>
          <w:sz w:val="28"/>
          <w:szCs w:val="28"/>
          <w:lang w:eastAsia="ru-RU" w:bidi="ru-RU"/>
        </w:rPr>
        <w:t>.</w:t>
      </w:r>
      <w:r w:rsidR="00BF6EC8" w:rsidRPr="003875E5">
        <w:rPr>
          <w:rFonts w:ascii="Times New Roman" w:eastAsia="Times New Roman" w:hAnsi="Times New Roman" w:cs="Times New Roman"/>
          <w:sz w:val="28"/>
          <w:szCs w:val="28"/>
          <w:lang w:eastAsia="ru-RU"/>
        </w:rPr>
        <w:t> </w:t>
      </w:r>
      <w:r w:rsidRPr="00437510">
        <w:rPr>
          <w:rFonts w:ascii="Times New Roman" w:eastAsia="Times New Roman" w:hAnsi="Times New Roman" w:cs="Times New Roman"/>
          <w:color w:val="000000"/>
          <w:sz w:val="28"/>
          <w:szCs w:val="28"/>
          <w:lang w:eastAsia="ru-RU" w:bidi="ru-RU"/>
        </w:rPr>
        <w:t>На сегодняшний день в Российской Федерации наибольшим по объему рынка</w:t>
      </w:r>
      <w:r w:rsidR="00BF6EC8" w:rsidRPr="003875E5">
        <w:rPr>
          <w:rFonts w:ascii="Times New Roman" w:eastAsia="Times New Roman" w:hAnsi="Times New Roman" w:cs="Times New Roman"/>
          <w:sz w:val="28"/>
          <w:szCs w:val="28"/>
          <w:lang w:eastAsia="ru-RU"/>
        </w:rPr>
        <w:t> </w:t>
      </w:r>
      <w:r w:rsidRPr="00437510">
        <w:rPr>
          <w:rFonts w:ascii="Times New Roman" w:eastAsia="Times New Roman" w:hAnsi="Times New Roman" w:cs="Times New Roman"/>
          <w:color w:val="000000"/>
          <w:sz w:val="28"/>
          <w:szCs w:val="28"/>
          <w:lang w:eastAsia="ru-RU" w:bidi="ru-RU"/>
        </w:rPr>
        <w:t>является сегмент детской одежды и обуви, его объемы составляют порядка 295 млрд руб</w:t>
      </w:r>
      <w:r w:rsidR="00CD587A">
        <w:rPr>
          <w:rFonts w:ascii="Times New Roman" w:eastAsia="Times New Roman" w:hAnsi="Times New Roman" w:cs="Times New Roman"/>
          <w:color w:val="000000"/>
          <w:sz w:val="28"/>
          <w:szCs w:val="28"/>
          <w:lang w:eastAsia="ru-RU" w:bidi="ru-RU"/>
        </w:rPr>
        <w:t>лей</w:t>
      </w:r>
      <w:r w:rsidRPr="00437510">
        <w:rPr>
          <w:rFonts w:ascii="Times New Roman" w:eastAsia="Times New Roman" w:hAnsi="Times New Roman" w:cs="Times New Roman"/>
          <w:color w:val="000000"/>
          <w:sz w:val="28"/>
          <w:szCs w:val="28"/>
          <w:lang w:eastAsia="ru-RU" w:bidi="ru-RU"/>
        </w:rPr>
        <w:t>. Вторым по объему рынка является сегмент санитарно-гигиенических средств –</w:t>
      </w:r>
      <w:r w:rsidR="00BF6EC8" w:rsidRPr="003875E5">
        <w:rPr>
          <w:rFonts w:ascii="Times New Roman" w:eastAsia="Times New Roman" w:hAnsi="Times New Roman" w:cs="Times New Roman"/>
          <w:sz w:val="28"/>
          <w:szCs w:val="28"/>
          <w:lang w:eastAsia="ru-RU"/>
        </w:rPr>
        <w:t> </w:t>
      </w:r>
      <w:r w:rsidRPr="00437510">
        <w:rPr>
          <w:rFonts w:ascii="Times New Roman" w:eastAsia="Times New Roman" w:hAnsi="Times New Roman" w:cs="Times New Roman"/>
          <w:color w:val="000000"/>
          <w:sz w:val="28"/>
          <w:szCs w:val="28"/>
          <w:lang w:eastAsia="ru-RU" w:bidi="ru-RU"/>
        </w:rPr>
        <w:t>226,4 млрд руб</w:t>
      </w:r>
      <w:r w:rsidR="00CD587A">
        <w:rPr>
          <w:rFonts w:ascii="Times New Roman" w:eastAsia="Times New Roman" w:hAnsi="Times New Roman" w:cs="Times New Roman"/>
          <w:color w:val="000000"/>
          <w:sz w:val="28"/>
          <w:szCs w:val="28"/>
          <w:lang w:eastAsia="ru-RU" w:bidi="ru-RU"/>
        </w:rPr>
        <w:t>лей</w:t>
      </w:r>
      <w:r w:rsidRPr="00437510">
        <w:rPr>
          <w:rFonts w:ascii="Times New Roman" w:eastAsia="Times New Roman" w:hAnsi="Times New Roman" w:cs="Times New Roman"/>
          <w:color w:val="000000"/>
          <w:sz w:val="28"/>
          <w:szCs w:val="28"/>
          <w:lang w:eastAsia="ru-RU" w:bidi="ru-RU"/>
        </w:rPr>
        <w:t>, далее следует сегмент детских игр и игрушек – 185,7 млрд руб</w:t>
      </w:r>
      <w:r w:rsidR="00CD587A">
        <w:rPr>
          <w:rFonts w:ascii="Times New Roman" w:eastAsia="Times New Roman" w:hAnsi="Times New Roman" w:cs="Times New Roman"/>
          <w:color w:val="000000"/>
          <w:sz w:val="28"/>
          <w:szCs w:val="28"/>
          <w:lang w:eastAsia="ru-RU" w:bidi="ru-RU"/>
        </w:rPr>
        <w:t>лей</w:t>
      </w:r>
      <w:r w:rsidRPr="00437510">
        <w:rPr>
          <w:rFonts w:ascii="Times New Roman" w:eastAsia="Times New Roman" w:hAnsi="Times New Roman" w:cs="Times New Roman"/>
          <w:color w:val="000000"/>
          <w:sz w:val="28"/>
          <w:szCs w:val="28"/>
          <w:lang w:eastAsia="ru-RU" w:bidi="ru-RU"/>
        </w:rPr>
        <w:t>, доля которого от всего рынка составляет 18,8%. Наиболее динамично растущим сегментом в 2021 г</w:t>
      </w:r>
      <w:r w:rsidR="00E17755">
        <w:rPr>
          <w:rFonts w:ascii="Times New Roman" w:eastAsia="Times New Roman" w:hAnsi="Times New Roman" w:cs="Times New Roman"/>
          <w:color w:val="000000"/>
          <w:sz w:val="28"/>
          <w:szCs w:val="28"/>
          <w:lang w:eastAsia="ru-RU" w:bidi="ru-RU"/>
        </w:rPr>
        <w:t>.</w:t>
      </w:r>
      <w:r w:rsidRPr="00437510">
        <w:rPr>
          <w:rFonts w:ascii="Times New Roman" w:eastAsia="Times New Roman" w:hAnsi="Times New Roman" w:cs="Times New Roman"/>
          <w:color w:val="000000"/>
          <w:sz w:val="28"/>
          <w:szCs w:val="28"/>
          <w:lang w:eastAsia="ru-RU" w:bidi="ru-RU"/>
        </w:rPr>
        <w:t xml:space="preserve"> является сегмент учебного оборудования. Стимулом для роста данного сегмента являются закупки в рамках национального проекта «Образование», благодаря которым школы ежегодно приобретают учебное оборудование и средства обучения.</w:t>
      </w:r>
    </w:p>
    <w:p w14:paraId="1E23AE58" w14:textId="77777777" w:rsidR="00C93C3C" w:rsidRDefault="00C93C3C" w:rsidP="004D65EF">
      <w:pPr>
        <w:widowControl w:val="0"/>
        <w:spacing w:after="0" w:line="312" w:lineRule="auto"/>
        <w:jc w:val="both"/>
        <w:rPr>
          <w:rFonts w:ascii="Times New Roman" w:eastAsia="Times New Roman" w:hAnsi="Times New Roman" w:cs="Times New Roman"/>
          <w:sz w:val="28"/>
          <w:szCs w:val="28"/>
        </w:rPr>
      </w:pPr>
      <w:r w:rsidRPr="00792CEB">
        <w:rPr>
          <w:rFonts w:ascii="Times New Roman" w:eastAsia="Times New Roman" w:hAnsi="Times New Roman" w:cs="Times New Roman"/>
          <w:noProof/>
          <w:sz w:val="18"/>
          <w:szCs w:val="18"/>
          <w:lang w:eastAsia="ru-RU"/>
        </w:rPr>
        <w:lastRenderedPageBreak/>
        <w:drawing>
          <wp:anchor distT="0" distB="0" distL="114300" distR="114300" simplePos="0" relativeHeight="251657216" behindDoc="1" locked="0" layoutInCell="1" allowOverlap="1" wp14:anchorId="35CE2C0F" wp14:editId="417D1178">
            <wp:simplePos x="0" y="0"/>
            <wp:positionH relativeFrom="margin">
              <wp:posOffset>0</wp:posOffset>
            </wp:positionH>
            <wp:positionV relativeFrom="paragraph">
              <wp:posOffset>304165</wp:posOffset>
            </wp:positionV>
            <wp:extent cx="6401435" cy="318135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1435" cy="3181350"/>
                    </a:xfrm>
                    <a:prstGeom prst="rect">
                      <a:avLst/>
                    </a:prstGeom>
                    <a:noFill/>
                    <a:ln>
                      <a:noFill/>
                    </a:ln>
                  </pic:spPr>
                </pic:pic>
              </a:graphicData>
            </a:graphic>
          </wp:anchor>
        </w:drawing>
      </w:r>
    </w:p>
    <w:p w14:paraId="59E432FE" w14:textId="77777777" w:rsidR="004D65EF" w:rsidRDefault="004D65EF" w:rsidP="00C93C3C">
      <w:pPr>
        <w:widowControl w:val="0"/>
        <w:spacing w:after="0" w:line="312" w:lineRule="auto"/>
        <w:ind w:firstLine="709"/>
        <w:jc w:val="both"/>
        <w:rPr>
          <w:rFonts w:ascii="Times New Roman" w:eastAsia="Calibri" w:hAnsi="Times New Roman" w:cs="Times New Roman"/>
          <w:sz w:val="28"/>
          <w:szCs w:val="28"/>
        </w:rPr>
      </w:pPr>
    </w:p>
    <w:p w14:paraId="22852FFD" w14:textId="77777777" w:rsidR="00C93C3C" w:rsidRDefault="00C93C3C" w:rsidP="00C93C3C">
      <w:pPr>
        <w:widowControl w:val="0"/>
        <w:spacing w:after="0" w:line="312" w:lineRule="auto"/>
        <w:ind w:firstLine="709"/>
        <w:jc w:val="both"/>
        <w:rPr>
          <w:rFonts w:ascii="Times New Roman" w:eastAsia="Calibri" w:hAnsi="Times New Roman" w:cs="Times New Roman"/>
          <w:color w:val="000000"/>
          <w:sz w:val="28"/>
          <w:szCs w:val="28"/>
        </w:rPr>
      </w:pPr>
      <w:r w:rsidRPr="00C93C3C">
        <w:rPr>
          <w:rFonts w:ascii="Times New Roman" w:eastAsia="Calibri" w:hAnsi="Times New Roman" w:cs="Times New Roman"/>
          <w:sz w:val="28"/>
          <w:szCs w:val="28"/>
        </w:rPr>
        <w:t>Всего в 2021 г</w:t>
      </w:r>
      <w:r w:rsidR="00E17755">
        <w:rPr>
          <w:rFonts w:ascii="Times New Roman" w:eastAsia="Calibri" w:hAnsi="Times New Roman" w:cs="Times New Roman"/>
          <w:sz w:val="28"/>
          <w:szCs w:val="28"/>
        </w:rPr>
        <w:t>.</w:t>
      </w:r>
      <w:r w:rsidRPr="00C93C3C">
        <w:rPr>
          <w:rFonts w:ascii="Times New Roman" w:eastAsia="Calibri" w:hAnsi="Times New Roman" w:cs="Times New Roman"/>
          <w:sz w:val="28"/>
          <w:szCs w:val="28"/>
        </w:rPr>
        <w:t xml:space="preserve"> импорт товаров для детей составил порядка 8 млрд долл</w:t>
      </w:r>
      <w:r w:rsidR="00202724">
        <w:rPr>
          <w:rFonts w:ascii="Times New Roman" w:eastAsia="Calibri" w:hAnsi="Times New Roman" w:cs="Times New Roman"/>
          <w:sz w:val="28"/>
          <w:szCs w:val="28"/>
        </w:rPr>
        <w:t>аров</w:t>
      </w:r>
      <w:r w:rsidRPr="00C93C3C">
        <w:rPr>
          <w:rFonts w:ascii="Times New Roman" w:eastAsia="Calibri" w:hAnsi="Times New Roman" w:cs="Times New Roman"/>
          <w:sz w:val="28"/>
          <w:szCs w:val="28"/>
        </w:rPr>
        <w:t xml:space="preserve"> США. Наиболее импортируемым сегментом в Российскую Федерацию в 2021 г</w:t>
      </w:r>
      <w:r w:rsidR="00E17755">
        <w:rPr>
          <w:rFonts w:ascii="Times New Roman" w:eastAsia="Calibri" w:hAnsi="Times New Roman" w:cs="Times New Roman"/>
          <w:sz w:val="28"/>
          <w:szCs w:val="28"/>
        </w:rPr>
        <w:t>.</w:t>
      </w:r>
      <w:r w:rsidRPr="00C93C3C">
        <w:rPr>
          <w:rFonts w:ascii="Times New Roman" w:eastAsia="Calibri" w:hAnsi="Times New Roman" w:cs="Times New Roman"/>
          <w:sz w:val="28"/>
          <w:szCs w:val="28"/>
        </w:rPr>
        <w:t xml:space="preserve"> остается сегмент детской одежды и обуви, доля которого составляет</w:t>
      </w:r>
      <w:r w:rsidR="00202724" w:rsidRPr="003875E5">
        <w:rPr>
          <w:rFonts w:ascii="Times New Roman" w:eastAsia="Times New Roman" w:hAnsi="Times New Roman" w:cs="Times New Roman"/>
          <w:sz w:val="28"/>
          <w:szCs w:val="28"/>
          <w:lang w:eastAsia="ru-RU"/>
        </w:rPr>
        <w:t> </w:t>
      </w:r>
      <w:r>
        <w:rPr>
          <w:rFonts w:ascii="Times New Roman" w:eastAsia="Calibri" w:hAnsi="Times New Roman" w:cs="Times New Roman"/>
          <w:color w:val="000000"/>
          <w:sz w:val="28"/>
          <w:szCs w:val="28"/>
        </w:rPr>
        <w:t xml:space="preserve">39% от всего </w:t>
      </w:r>
      <w:r w:rsidRPr="00D56F70">
        <w:rPr>
          <w:rFonts w:ascii="Times New Roman" w:eastAsia="Calibri" w:hAnsi="Times New Roman" w:cs="Times New Roman"/>
          <w:color w:val="000000"/>
          <w:sz w:val="28"/>
          <w:szCs w:val="28"/>
        </w:rPr>
        <w:t>импорта, далее следует сегмент игр и игрушек с долей 27%.</w:t>
      </w:r>
    </w:p>
    <w:p w14:paraId="6A8EBE18" w14:textId="77777777" w:rsidR="00C93C3C" w:rsidRDefault="00C93C3C" w:rsidP="00C93C3C">
      <w:pPr>
        <w:widowControl w:val="0"/>
        <w:spacing w:after="0" w:line="360" w:lineRule="auto"/>
        <w:ind w:right="-1" w:firstLine="708"/>
        <w:jc w:val="both"/>
        <w:rPr>
          <w:rFonts w:ascii="Times New Roman" w:eastAsia="Calibri" w:hAnsi="Times New Roman" w:cs="Times New Roman"/>
          <w:color w:val="000000"/>
          <w:sz w:val="28"/>
          <w:szCs w:val="28"/>
        </w:rPr>
      </w:pPr>
      <w:r w:rsidRPr="00087380">
        <w:rPr>
          <w:rFonts w:ascii="Times New Roman" w:eastAsia="Calibri" w:hAnsi="Times New Roman" w:cs="Times New Roman"/>
          <w:noProof/>
          <w:color w:val="000000"/>
          <w:sz w:val="28"/>
          <w:szCs w:val="28"/>
          <w:lang w:eastAsia="ru-RU"/>
        </w:rPr>
        <w:drawing>
          <wp:anchor distT="0" distB="0" distL="114300" distR="114300" simplePos="0" relativeHeight="251661312" behindDoc="0" locked="0" layoutInCell="1" allowOverlap="1" wp14:anchorId="7613F026" wp14:editId="75F0CD8C">
            <wp:simplePos x="0" y="0"/>
            <wp:positionH relativeFrom="margin">
              <wp:posOffset>0</wp:posOffset>
            </wp:positionH>
            <wp:positionV relativeFrom="paragraph">
              <wp:posOffset>304800</wp:posOffset>
            </wp:positionV>
            <wp:extent cx="6419850" cy="357187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9850" cy="3571875"/>
                    </a:xfrm>
                    <a:prstGeom prst="rect">
                      <a:avLst/>
                    </a:prstGeom>
                    <a:noFill/>
                    <a:ln>
                      <a:noFill/>
                    </a:ln>
                  </pic:spPr>
                </pic:pic>
              </a:graphicData>
            </a:graphic>
          </wp:anchor>
        </w:drawing>
      </w:r>
    </w:p>
    <w:p w14:paraId="6CF35B6A" w14:textId="77777777" w:rsidR="00E92579" w:rsidRDefault="00E92579" w:rsidP="00C93C3C">
      <w:pPr>
        <w:widowControl w:val="0"/>
        <w:spacing w:after="0" w:line="312" w:lineRule="auto"/>
        <w:ind w:firstLine="709"/>
        <w:jc w:val="both"/>
        <w:rPr>
          <w:rFonts w:ascii="Times New Roman" w:eastAsia="Calibri" w:hAnsi="Times New Roman" w:cs="Times New Roman"/>
          <w:color w:val="000000"/>
          <w:sz w:val="28"/>
          <w:szCs w:val="28"/>
        </w:rPr>
      </w:pPr>
    </w:p>
    <w:p w14:paraId="011F9FF9" w14:textId="3EEBA1A7" w:rsidR="00C93C3C" w:rsidRDefault="00C93C3C" w:rsidP="00C93C3C">
      <w:pPr>
        <w:widowControl w:val="0"/>
        <w:spacing w:after="0" w:line="312" w:lineRule="auto"/>
        <w:ind w:firstLine="709"/>
        <w:jc w:val="both"/>
        <w:rPr>
          <w:rFonts w:ascii="Times New Roman" w:eastAsia="Calibri" w:hAnsi="Times New Roman" w:cs="Times New Roman"/>
          <w:color w:val="000000"/>
          <w:sz w:val="28"/>
          <w:szCs w:val="28"/>
        </w:rPr>
      </w:pPr>
      <w:r w:rsidRPr="00CB2FA3">
        <w:rPr>
          <w:rFonts w:ascii="Times New Roman" w:eastAsia="Calibri" w:hAnsi="Times New Roman" w:cs="Times New Roman"/>
          <w:color w:val="000000"/>
          <w:sz w:val="28"/>
          <w:szCs w:val="28"/>
        </w:rPr>
        <w:t xml:space="preserve">Объем экспорта в 2021 </w:t>
      </w:r>
      <w:r>
        <w:rPr>
          <w:rFonts w:ascii="Times New Roman" w:eastAsia="Calibri" w:hAnsi="Times New Roman" w:cs="Times New Roman"/>
          <w:color w:val="000000"/>
          <w:sz w:val="28"/>
          <w:szCs w:val="28"/>
        </w:rPr>
        <w:t>г</w:t>
      </w:r>
      <w:r w:rsidR="00E17755">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составил 661,9 млн долл</w:t>
      </w:r>
      <w:r w:rsidR="00816483">
        <w:rPr>
          <w:rFonts w:ascii="Times New Roman" w:eastAsia="Calibri" w:hAnsi="Times New Roman" w:cs="Times New Roman"/>
          <w:color w:val="000000"/>
          <w:sz w:val="28"/>
          <w:szCs w:val="28"/>
        </w:rPr>
        <w:t>аров</w:t>
      </w:r>
      <w:r w:rsidRPr="00CB2FA3">
        <w:rPr>
          <w:rFonts w:ascii="Times New Roman" w:eastAsia="Calibri" w:hAnsi="Times New Roman" w:cs="Times New Roman"/>
          <w:color w:val="000000"/>
          <w:sz w:val="28"/>
          <w:szCs w:val="28"/>
        </w:rPr>
        <w:t xml:space="preserve"> США. Наибольший</w:t>
      </w:r>
      <w:r w:rsidR="00816483" w:rsidRPr="003875E5">
        <w:rPr>
          <w:rFonts w:ascii="Times New Roman" w:eastAsia="Times New Roman" w:hAnsi="Times New Roman" w:cs="Times New Roman"/>
          <w:sz w:val="28"/>
          <w:szCs w:val="28"/>
          <w:lang w:eastAsia="ru-RU"/>
        </w:rPr>
        <w:t> </w:t>
      </w:r>
      <w:r w:rsidRPr="00087380">
        <w:rPr>
          <w:rFonts w:ascii="Times New Roman" w:eastAsia="Calibri" w:hAnsi="Times New Roman" w:cs="Times New Roman"/>
          <w:color w:val="000000"/>
          <w:sz w:val="28"/>
          <w:szCs w:val="28"/>
        </w:rPr>
        <w:t>прирост в экспорте показали детская мебель</w:t>
      </w:r>
      <w:r w:rsidR="00FF1188">
        <w:rPr>
          <w:rFonts w:ascii="Times New Roman" w:eastAsia="Calibri" w:hAnsi="Times New Roman" w:cs="Times New Roman"/>
          <w:color w:val="000000"/>
          <w:sz w:val="28"/>
          <w:szCs w:val="28"/>
        </w:rPr>
        <w:t>,</w:t>
      </w:r>
      <w:r w:rsidRPr="00087380">
        <w:rPr>
          <w:rFonts w:ascii="Times New Roman" w:eastAsia="Calibri" w:hAnsi="Times New Roman" w:cs="Times New Roman"/>
          <w:color w:val="000000"/>
          <w:sz w:val="28"/>
          <w:szCs w:val="28"/>
        </w:rPr>
        <w:t xml:space="preserve"> това</w:t>
      </w:r>
      <w:r>
        <w:rPr>
          <w:rFonts w:ascii="Times New Roman" w:eastAsia="Calibri" w:hAnsi="Times New Roman" w:cs="Times New Roman"/>
          <w:color w:val="000000"/>
          <w:sz w:val="28"/>
          <w:szCs w:val="28"/>
        </w:rPr>
        <w:t>ры (более 45%) и игрушки (более 24%).</w:t>
      </w:r>
    </w:p>
    <w:p w14:paraId="3548D399" w14:textId="64373EF1" w:rsidR="00C93C3C" w:rsidRDefault="00C93C3C" w:rsidP="00C93C3C">
      <w:pPr>
        <w:widowControl w:val="0"/>
        <w:spacing w:after="0" w:line="312" w:lineRule="auto"/>
        <w:ind w:firstLine="709"/>
        <w:jc w:val="both"/>
        <w:rPr>
          <w:rFonts w:ascii="Times New Roman" w:eastAsia="Calibri" w:hAnsi="Times New Roman" w:cs="Times New Roman"/>
          <w:color w:val="000000"/>
          <w:sz w:val="28"/>
          <w:szCs w:val="28"/>
        </w:rPr>
      </w:pPr>
      <w:r w:rsidRPr="003A3BA8">
        <w:rPr>
          <w:rFonts w:ascii="Times New Roman" w:eastAsia="Calibri" w:hAnsi="Times New Roman" w:cs="Times New Roman"/>
          <w:color w:val="000000"/>
          <w:sz w:val="28"/>
          <w:szCs w:val="28"/>
        </w:rPr>
        <w:t>Наибольшими по объему экспорта сегментами рынка детских товаров в 2021 г</w:t>
      </w:r>
      <w:r w:rsidR="00E17755">
        <w:rPr>
          <w:rFonts w:ascii="Times New Roman" w:eastAsia="Calibri" w:hAnsi="Times New Roman" w:cs="Times New Roman"/>
          <w:color w:val="000000"/>
          <w:sz w:val="28"/>
          <w:szCs w:val="28"/>
        </w:rPr>
        <w:t>.</w:t>
      </w:r>
      <w:r w:rsidRPr="003A3BA8">
        <w:rPr>
          <w:rFonts w:ascii="Times New Roman" w:eastAsia="Calibri" w:hAnsi="Times New Roman" w:cs="Times New Roman"/>
          <w:color w:val="000000"/>
          <w:sz w:val="28"/>
          <w:szCs w:val="28"/>
        </w:rPr>
        <w:t xml:space="preserve"> стали санитарно-гигиеничес</w:t>
      </w:r>
      <w:r w:rsidR="00CD587A">
        <w:rPr>
          <w:rFonts w:ascii="Times New Roman" w:eastAsia="Calibri" w:hAnsi="Times New Roman" w:cs="Times New Roman"/>
          <w:color w:val="000000"/>
          <w:sz w:val="28"/>
          <w:szCs w:val="28"/>
        </w:rPr>
        <w:t xml:space="preserve">кие и косметические средства – </w:t>
      </w:r>
      <w:r w:rsidRPr="003A3BA8">
        <w:rPr>
          <w:rFonts w:ascii="Times New Roman" w:eastAsia="Calibri" w:hAnsi="Times New Roman" w:cs="Times New Roman"/>
          <w:color w:val="000000"/>
          <w:sz w:val="28"/>
          <w:szCs w:val="28"/>
        </w:rPr>
        <w:t>278 млн долл</w:t>
      </w:r>
      <w:r w:rsidR="00816483">
        <w:rPr>
          <w:rFonts w:ascii="Times New Roman" w:eastAsia="Calibri" w:hAnsi="Times New Roman" w:cs="Times New Roman"/>
          <w:color w:val="000000"/>
          <w:sz w:val="28"/>
          <w:szCs w:val="28"/>
        </w:rPr>
        <w:t>аров</w:t>
      </w:r>
      <w:r w:rsidRPr="003A3BA8">
        <w:rPr>
          <w:rFonts w:ascii="Times New Roman" w:eastAsia="Calibri" w:hAnsi="Times New Roman" w:cs="Times New Roman"/>
          <w:color w:val="000000"/>
          <w:sz w:val="28"/>
          <w:szCs w:val="28"/>
        </w:rPr>
        <w:t xml:space="preserve"> США, одежда и обувь – 141,8 млн долл</w:t>
      </w:r>
      <w:r w:rsidR="00816483">
        <w:rPr>
          <w:rFonts w:ascii="Times New Roman" w:eastAsia="Calibri" w:hAnsi="Times New Roman" w:cs="Times New Roman"/>
          <w:color w:val="000000"/>
          <w:sz w:val="28"/>
          <w:szCs w:val="28"/>
        </w:rPr>
        <w:t>аров</w:t>
      </w:r>
      <w:r w:rsidRPr="003A3BA8">
        <w:rPr>
          <w:rFonts w:ascii="Times New Roman" w:eastAsia="Calibri" w:hAnsi="Times New Roman" w:cs="Times New Roman"/>
          <w:color w:val="000000"/>
          <w:sz w:val="28"/>
          <w:szCs w:val="28"/>
        </w:rPr>
        <w:t xml:space="preserve"> США, а также игры, игрушки и </w:t>
      </w:r>
      <w:r w:rsidR="00E92579">
        <w:rPr>
          <w:rFonts w:ascii="Times New Roman" w:eastAsia="Calibri" w:hAnsi="Times New Roman" w:cs="Times New Roman"/>
          <w:color w:val="000000"/>
          <w:sz w:val="28"/>
          <w:szCs w:val="28"/>
        </w:rPr>
        <w:br/>
      </w:r>
      <w:r w:rsidRPr="003A3BA8">
        <w:rPr>
          <w:rFonts w:ascii="Times New Roman" w:eastAsia="Calibri" w:hAnsi="Times New Roman" w:cs="Times New Roman"/>
          <w:color w:val="000000"/>
          <w:sz w:val="28"/>
          <w:szCs w:val="28"/>
        </w:rPr>
        <w:t>робототехника – 134,5 млн долл</w:t>
      </w:r>
      <w:r w:rsidR="00816483">
        <w:rPr>
          <w:rFonts w:ascii="Times New Roman" w:eastAsia="Calibri" w:hAnsi="Times New Roman" w:cs="Times New Roman"/>
          <w:color w:val="000000"/>
          <w:sz w:val="28"/>
          <w:szCs w:val="28"/>
        </w:rPr>
        <w:t>аров</w:t>
      </w:r>
      <w:r w:rsidRPr="003A3BA8">
        <w:rPr>
          <w:rFonts w:ascii="Times New Roman" w:eastAsia="Calibri" w:hAnsi="Times New Roman" w:cs="Times New Roman"/>
          <w:color w:val="000000"/>
          <w:sz w:val="28"/>
          <w:szCs w:val="28"/>
        </w:rPr>
        <w:t xml:space="preserve"> США.</w:t>
      </w:r>
    </w:p>
    <w:p w14:paraId="45EA5AA4" w14:textId="36768ABA" w:rsidR="00C93C3C" w:rsidRDefault="00C93C3C" w:rsidP="00C93C3C">
      <w:pPr>
        <w:widowControl w:val="0"/>
        <w:spacing w:after="0" w:line="312" w:lineRule="auto"/>
        <w:ind w:firstLine="708"/>
        <w:jc w:val="both"/>
        <w:rPr>
          <w:rFonts w:ascii="Times New Roman" w:eastAsia="Calibri" w:hAnsi="Times New Roman" w:cs="Times New Roman"/>
          <w:color w:val="000000"/>
          <w:sz w:val="28"/>
          <w:szCs w:val="28"/>
        </w:rPr>
      </w:pPr>
      <w:r w:rsidRPr="00087380">
        <w:rPr>
          <w:rFonts w:ascii="Times New Roman" w:eastAsia="Calibri" w:hAnsi="Times New Roman" w:cs="Times New Roman"/>
          <w:color w:val="000000"/>
          <w:sz w:val="28"/>
          <w:szCs w:val="28"/>
        </w:rPr>
        <w:lastRenderedPageBreak/>
        <w:t xml:space="preserve">По данным, представленным АНО «Российская система качества» </w:t>
      </w:r>
      <w:r w:rsidR="00E92579">
        <w:rPr>
          <w:rFonts w:ascii="Times New Roman" w:eastAsia="Calibri" w:hAnsi="Times New Roman" w:cs="Times New Roman"/>
          <w:color w:val="000000"/>
          <w:sz w:val="28"/>
          <w:szCs w:val="28"/>
        </w:rPr>
        <w:br/>
      </w:r>
      <w:r w:rsidRPr="00087380">
        <w:rPr>
          <w:rFonts w:ascii="Times New Roman" w:eastAsia="Calibri" w:hAnsi="Times New Roman" w:cs="Times New Roman"/>
          <w:color w:val="000000"/>
          <w:sz w:val="28"/>
          <w:szCs w:val="28"/>
        </w:rPr>
        <w:t>(далее –</w:t>
      </w:r>
      <w:r w:rsidR="00816483" w:rsidRPr="003875E5">
        <w:rPr>
          <w:rFonts w:ascii="Times New Roman" w:eastAsia="Times New Roman" w:hAnsi="Times New Roman" w:cs="Times New Roman"/>
          <w:sz w:val="28"/>
          <w:szCs w:val="28"/>
          <w:lang w:eastAsia="ru-RU"/>
        </w:rPr>
        <w:t> </w:t>
      </w:r>
      <w:proofErr w:type="spellStart"/>
      <w:r w:rsidRPr="00087380">
        <w:rPr>
          <w:rFonts w:ascii="Times New Roman" w:eastAsia="Calibri" w:hAnsi="Times New Roman" w:cs="Times New Roman"/>
          <w:color w:val="000000"/>
          <w:sz w:val="28"/>
          <w:szCs w:val="28"/>
        </w:rPr>
        <w:t>Роскачество</w:t>
      </w:r>
      <w:proofErr w:type="spellEnd"/>
      <w:r w:rsidRPr="00087380">
        <w:rPr>
          <w:rFonts w:ascii="Times New Roman" w:eastAsia="Calibri" w:hAnsi="Times New Roman" w:cs="Times New Roman"/>
          <w:color w:val="000000"/>
          <w:sz w:val="28"/>
          <w:szCs w:val="28"/>
        </w:rPr>
        <w:t>), ключевыми критериями для потребителя являются: качественное</w:t>
      </w:r>
      <w:r w:rsidR="00816483" w:rsidRPr="003875E5">
        <w:rPr>
          <w:rFonts w:ascii="Times New Roman" w:eastAsia="Times New Roman" w:hAnsi="Times New Roman" w:cs="Times New Roman"/>
          <w:sz w:val="28"/>
          <w:szCs w:val="28"/>
          <w:lang w:eastAsia="ru-RU"/>
        </w:rPr>
        <w:t> </w:t>
      </w:r>
      <w:r w:rsidRPr="00087380">
        <w:rPr>
          <w:rFonts w:ascii="Times New Roman" w:eastAsia="Calibri" w:hAnsi="Times New Roman" w:cs="Times New Roman"/>
          <w:color w:val="000000"/>
          <w:sz w:val="28"/>
          <w:szCs w:val="28"/>
        </w:rPr>
        <w:t>изготовление, безопасность использования, н</w:t>
      </w:r>
      <w:r>
        <w:rPr>
          <w:rFonts w:ascii="Times New Roman" w:eastAsia="Calibri" w:hAnsi="Times New Roman" w:cs="Times New Roman"/>
          <w:color w:val="000000"/>
          <w:sz w:val="28"/>
          <w:szCs w:val="28"/>
        </w:rPr>
        <w:t xml:space="preserve">атуральные материалы, удобство, </w:t>
      </w:r>
      <w:r w:rsidRPr="00087380">
        <w:rPr>
          <w:rFonts w:ascii="Times New Roman" w:eastAsia="Calibri" w:hAnsi="Times New Roman" w:cs="Times New Roman"/>
          <w:color w:val="000000"/>
          <w:sz w:val="28"/>
          <w:szCs w:val="28"/>
        </w:rPr>
        <w:t>доступная цена товаров для детей.</w:t>
      </w:r>
    </w:p>
    <w:p w14:paraId="4AA4248D" w14:textId="77777777" w:rsidR="00C93C3C" w:rsidRDefault="00C93C3C" w:rsidP="00816483">
      <w:pPr>
        <w:widowControl w:val="0"/>
        <w:spacing w:after="0" w:line="312" w:lineRule="auto"/>
        <w:ind w:firstLine="708"/>
        <w:jc w:val="both"/>
        <w:rPr>
          <w:rFonts w:ascii="Times New Roman" w:eastAsia="Calibri" w:hAnsi="Times New Roman" w:cs="Times New Roman"/>
          <w:color w:val="000000"/>
          <w:sz w:val="28"/>
          <w:szCs w:val="28"/>
        </w:rPr>
      </w:pPr>
      <w:r w:rsidRPr="00087380">
        <w:rPr>
          <w:rFonts w:ascii="Times New Roman" w:eastAsia="Calibri" w:hAnsi="Times New Roman" w:cs="Times New Roman"/>
          <w:color w:val="000000"/>
          <w:sz w:val="28"/>
          <w:szCs w:val="28"/>
        </w:rPr>
        <w:t xml:space="preserve">По данным консалтинговой компании </w:t>
      </w:r>
      <w:r>
        <w:rPr>
          <w:rFonts w:ascii="Times New Roman" w:eastAsia="Calibri" w:hAnsi="Times New Roman" w:cs="Times New Roman"/>
          <w:color w:val="000000"/>
          <w:sz w:val="28"/>
          <w:szCs w:val="28"/>
        </w:rPr>
        <w:t>«</w:t>
      </w:r>
      <w:proofErr w:type="spellStart"/>
      <w:r w:rsidRPr="00087380">
        <w:rPr>
          <w:rFonts w:ascii="Times New Roman" w:eastAsia="Calibri" w:hAnsi="Times New Roman" w:cs="Times New Roman"/>
          <w:color w:val="000000"/>
          <w:sz w:val="28"/>
          <w:szCs w:val="28"/>
        </w:rPr>
        <w:t>Deloitte</w:t>
      </w:r>
      <w:proofErr w:type="spellEnd"/>
      <w:r>
        <w:rPr>
          <w:rFonts w:ascii="Times New Roman" w:eastAsia="Calibri" w:hAnsi="Times New Roman" w:cs="Times New Roman"/>
          <w:color w:val="000000"/>
          <w:sz w:val="28"/>
          <w:szCs w:val="28"/>
        </w:rPr>
        <w:t>»</w:t>
      </w:r>
      <w:r w:rsidR="00816483">
        <w:rPr>
          <w:rFonts w:ascii="Times New Roman" w:eastAsia="Calibri" w:hAnsi="Times New Roman" w:cs="Times New Roman"/>
          <w:color w:val="000000"/>
          <w:sz w:val="28"/>
          <w:szCs w:val="28"/>
        </w:rPr>
        <w:t>,</w:t>
      </w:r>
      <w:r w:rsidRPr="00087380">
        <w:rPr>
          <w:rFonts w:ascii="Times New Roman" w:eastAsia="Calibri" w:hAnsi="Times New Roman" w:cs="Times New Roman"/>
          <w:color w:val="000000"/>
          <w:sz w:val="28"/>
          <w:szCs w:val="28"/>
        </w:rPr>
        <w:t xml:space="preserve"> доля россиян, приобретающих</w:t>
      </w:r>
      <w:r w:rsidR="00816483" w:rsidRPr="003875E5">
        <w:rPr>
          <w:rFonts w:ascii="Times New Roman" w:eastAsia="Times New Roman" w:hAnsi="Times New Roman" w:cs="Times New Roman"/>
          <w:sz w:val="28"/>
          <w:szCs w:val="28"/>
          <w:lang w:eastAsia="ru-RU"/>
        </w:rPr>
        <w:t> </w:t>
      </w:r>
      <w:r w:rsidRPr="00087380">
        <w:rPr>
          <w:rFonts w:ascii="Times New Roman" w:eastAsia="Calibri" w:hAnsi="Times New Roman" w:cs="Times New Roman"/>
          <w:color w:val="000000"/>
          <w:sz w:val="28"/>
          <w:szCs w:val="28"/>
        </w:rPr>
        <w:t>детские товары онлайн, растет по сравнению с показателями 2019 г</w:t>
      </w:r>
      <w:r w:rsidR="00E17755">
        <w:rPr>
          <w:rFonts w:ascii="Times New Roman" w:eastAsia="Calibri" w:hAnsi="Times New Roman" w:cs="Times New Roman"/>
          <w:color w:val="000000"/>
          <w:sz w:val="28"/>
          <w:szCs w:val="28"/>
        </w:rPr>
        <w:t>.</w:t>
      </w:r>
      <w:r w:rsidRPr="00087380">
        <w:rPr>
          <w:rFonts w:ascii="Times New Roman" w:eastAsia="Calibri" w:hAnsi="Times New Roman" w:cs="Times New Roman"/>
          <w:color w:val="000000"/>
          <w:sz w:val="28"/>
          <w:szCs w:val="28"/>
        </w:rPr>
        <w:t xml:space="preserve"> (с 5</w:t>
      </w:r>
      <w:r w:rsidR="00816483">
        <w:rPr>
          <w:rFonts w:ascii="Times New Roman" w:eastAsia="Calibri" w:hAnsi="Times New Roman" w:cs="Times New Roman"/>
          <w:color w:val="000000"/>
          <w:sz w:val="28"/>
          <w:szCs w:val="28"/>
        </w:rPr>
        <w:t xml:space="preserve">9% в 2019 г. </w:t>
      </w:r>
      <w:r w:rsidRPr="00087380">
        <w:rPr>
          <w:rFonts w:ascii="Times New Roman" w:eastAsia="Calibri" w:hAnsi="Times New Roman" w:cs="Times New Roman"/>
          <w:color w:val="000000"/>
          <w:sz w:val="28"/>
          <w:szCs w:val="28"/>
        </w:rPr>
        <w:t>до 67% в 2021 г.), частота приобретения дет</w:t>
      </w:r>
      <w:r>
        <w:rPr>
          <w:rFonts w:ascii="Times New Roman" w:eastAsia="Calibri" w:hAnsi="Times New Roman" w:cs="Times New Roman"/>
          <w:color w:val="000000"/>
          <w:sz w:val="28"/>
          <w:szCs w:val="28"/>
        </w:rPr>
        <w:t xml:space="preserve">ских товаров в офлайн магазинах </w:t>
      </w:r>
      <w:r w:rsidRPr="00087380">
        <w:rPr>
          <w:rFonts w:ascii="Times New Roman" w:eastAsia="Calibri" w:hAnsi="Times New Roman" w:cs="Times New Roman"/>
          <w:color w:val="000000"/>
          <w:sz w:val="28"/>
          <w:szCs w:val="28"/>
        </w:rPr>
        <w:t>снизилась вдвое по сравнению с 2019 г</w:t>
      </w:r>
      <w:r w:rsidR="00816483">
        <w:rPr>
          <w:rFonts w:ascii="Times New Roman" w:eastAsia="Calibri" w:hAnsi="Times New Roman" w:cs="Times New Roman"/>
          <w:color w:val="000000"/>
          <w:sz w:val="28"/>
          <w:szCs w:val="28"/>
        </w:rPr>
        <w:t>.</w:t>
      </w:r>
      <w:r w:rsidRPr="00087380">
        <w:rPr>
          <w:rFonts w:ascii="Times New Roman" w:eastAsia="Calibri" w:hAnsi="Times New Roman" w:cs="Times New Roman"/>
          <w:color w:val="000000"/>
          <w:sz w:val="28"/>
          <w:szCs w:val="28"/>
        </w:rPr>
        <w:t xml:space="preserve"> Средняя</w:t>
      </w:r>
      <w:r>
        <w:rPr>
          <w:rFonts w:ascii="Times New Roman" w:eastAsia="Calibri" w:hAnsi="Times New Roman" w:cs="Times New Roman"/>
          <w:color w:val="000000"/>
          <w:sz w:val="28"/>
          <w:szCs w:val="28"/>
        </w:rPr>
        <w:t xml:space="preserve"> сумма чека при покупке детских </w:t>
      </w:r>
      <w:r w:rsidRPr="00087380">
        <w:rPr>
          <w:rFonts w:ascii="Times New Roman" w:eastAsia="Calibri" w:hAnsi="Times New Roman" w:cs="Times New Roman"/>
          <w:color w:val="000000"/>
          <w:sz w:val="28"/>
          <w:szCs w:val="28"/>
        </w:rPr>
        <w:t>товаров в розничных магазинах также увеличивается</w:t>
      </w:r>
      <w:r w:rsidR="00816483">
        <w:rPr>
          <w:rFonts w:ascii="Times New Roman" w:eastAsia="Calibri" w:hAnsi="Times New Roman" w:cs="Times New Roman"/>
          <w:color w:val="000000"/>
          <w:sz w:val="28"/>
          <w:szCs w:val="28"/>
        </w:rPr>
        <w:t xml:space="preserve">: в 2019 г. она составляла </w:t>
      </w:r>
      <w:r>
        <w:rPr>
          <w:rFonts w:ascii="Times New Roman" w:eastAsia="Calibri" w:hAnsi="Times New Roman" w:cs="Times New Roman"/>
          <w:color w:val="000000"/>
          <w:sz w:val="28"/>
          <w:szCs w:val="28"/>
        </w:rPr>
        <w:t>1</w:t>
      </w:r>
      <w:r w:rsidR="00816483" w:rsidRPr="003875E5">
        <w:rPr>
          <w:rFonts w:ascii="Times New Roman" w:eastAsia="Times New Roman" w:hAnsi="Times New Roman" w:cs="Times New Roman"/>
          <w:sz w:val="28"/>
          <w:szCs w:val="28"/>
          <w:lang w:eastAsia="ru-RU"/>
        </w:rPr>
        <w:t> </w:t>
      </w:r>
      <w:r>
        <w:rPr>
          <w:rFonts w:ascii="Times New Roman" w:eastAsia="Calibri" w:hAnsi="Times New Roman" w:cs="Times New Roman"/>
          <w:color w:val="000000"/>
          <w:sz w:val="28"/>
          <w:szCs w:val="28"/>
        </w:rPr>
        <w:t xml:space="preserve">850 </w:t>
      </w:r>
      <w:r w:rsidRPr="00087380">
        <w:rPr>
          <w:rFonts w:ascii="Times New Roman" w:eastAsia="Calibri" w:hAnsi="Times New Roman" w:cs="Times New Roman"/>
          <w:color w:val="000000"/>
          <w:sz w:val="28"/>
          <w:szCs w:val="28"/>
        </w:rPr>
        <w:t>руб</w:t>
      </w:r>
      <w:r w:rsidR="00F5006E">
        <w:rPr>
          <w:rFonts w:ascii="Times New Roman" w:eastAsia="Calibri" w:hAnsi="Times New Roman" w:cs="Times New Roman"/>
          <w:color w:val="000000"/>
          <w:sz w:val="28"/>
          <w:szCs w:val="28"/>
        </w:rPr>
        <w:t>лей</w:t>
      </w:r>
      <w:r w:rsidRPr="00087380">
        <w:rPr>
          <w:rFonts w:ascii="Times New Roman" w:eastAsia="Calibri" w:hAnsi="Times New Roman" w:cs="Times New Roman"/>
          <w:color w:val="000000"/>
          <w:sz w:val="28"/>
          <w:szCs w:val="28"/>
        </w:rPr>
        <w:t>, в 2021 г</w:t>
      </w:r>
      <w:r w:rsidR="00F5006E">
        <w:rPr>
          <w:rFonts w:ascii="Times New Roman" w:eastAsia="Calibri" w:hAnsi="Times New Roman" w:cs="Times New Roman"/>
          <w:color w:val="000000"/>
          <w:sz w:val="28"/>
          <w:szCs w:val="28"/>
        </w:rPr>
        <w:t>.</w:t>
      </w:r>
      <w:r w:rsidRPr="00087380">
        <w:rPr>
          <w:rFonts w:ascii="Times New Roman" w:eastAsia="Calibri" w:hAnsi="Times New Roman" w:cs="Times New Roman"/>
          <w:color w:val="000000"/>
          <w:sz w:val="28"/>
          <w:szCs w:val="28"/>
        </w:rPr>
        <w:t xml:space="preserve"> – 2</w:t>
      </w:r>
      <w:r w:rsidR="00816483" w:rsidRPr="003875E5">
        <w:rPr>
          <w:rFonts w:ascii="Times New Roman" w:eastAsia="Times New Roman" w:hAnsi="Times New Roman" w:cs="Times New Roman"/>
          <w:sz w:val="28"/>
          <w:szCs w:val="28"/>
          <w:lang w:eastAsia="ru-RU"/>
        </w:rPr>
        <w:t> </w:t>
      </w:r>
      <w:r w:rsidRPr="00087380">
        <w:rPr>
          <w:rFonts w:ascii="Times New Roman" w:eastAsia="Calibri" w:hAnsi="Times New Roman" w:cs="Times New Roman"/>
          <w:color w:val="000000"/>
          <w:sz w:val="28"/>
          <w:szCs w:val="28"/>
        </w:rPr>
        <w:t>500 руб</w:t>
      </w:r>
      <w:r w:rsidR="00F5006E">
        <w:rPr>
          <w:rFonts w:ascii="Times New Roman" w:eastAsia="Calibri" w:hAnsi="Times New Roman" w:cs="Times New Roman"/>
          <w:color w:val="000000"/>
          <w:sz w:val="28"/>
          <w:szCs w:val="28"/>
        </w:rPr>
        <w:t>лей</w:t>
      </w:r>
      <w:r w:rsidRPr="00087380">
        <w:rPr>
          <w:rFonts w:ascii="Times New Roman" w:eastAsia="Calibri" w:hAnsi="Times New Roman" w:cs="Times New Roman"/>
          <w:color w:val="000000"/>
          <w:sz w:val="28"/>
          <w:szCs w:val="28"/>
        </w:rPr>
        <w:t>. 41% потреби</w:t>
      </w:r>
      <w:r>
        <w:rPr>
          <w:rFonts w:ascii="Times New Roman" w:eastAsia="Calibri" w:hAnsi="Times New Roman" w:cs="Times New Roman"/>
          <w:color w:val="000000"/>
          <w:sz w:val="28"/>
          <w:szCs w:val="28"/>
        </w:rPr>
        <w:t xml:space="preserve">телей детских товаров отмечают, </w:t>
      </w:r>
      <w:r w:rsidRPr="00087380">
        <w:rPr>
          <w:rFonts w:ascii="Times New Roman" w:eastAsia="Calibri" w:hAnsi="Times New Roman" w:cs="Times New Roman"/>
          <w:color w:val="000000"/>
          <w:sz w:val="28"/>
          <w:szCs w:val="28"/>
        </w:rPr>
        <w:t>что испытывают необходимость экономить при пок</w:t>
      </w:r>
      <w:r w:rsidR="00F5006E">
        <w:rPr>
          <w:rFonts w:ascii="Times New Roman" w:eastAsia="Calibri" w:hAnsi="Times New Roman" w:cs="Times New Roman"/>
          <w:color w:val="000000"/>
          <w:sz w:val="28"/>
          <w:szCs w:val="28"/>
        </w:rPr>
        <w:t>упке детских товаров. При этом</w:t>
      </w:r>
      <w:r w:rsidR="00816483" w:rsidRPr="003875E5">
        <w:rPr>
          <w:rFonts w:ascii="Times New Roman" w:eastAsia="Times New Roman" w:hAnsi="Times New Roman" w:cs="Times New Roman"/>
          <w:sz w:val="28"/>
          <w:szCs w:val="28"/>
          <w:lang w:eastAsia="ru-RU"/>
        </w:rPr>
        <w:t> </w:t>
      </w:r>
      <w:r w:rsidRPr="00087380">
        <w:rPr>
          <w:rFonts w:ascii="Times New Roman" w:eastAsia="Calibri" w:hAnsi="Times New Roman" w:cs="Times New Roman"/>
          <w:color w:val="000000"/>
          <w:sz w:val="28"/>
          <w:szCs w:val="28"/>
        </w:rPr>
        <w:t>треть опрошенных (32%) не экономят на товарах для детей.</w:t>
      </w:r>
    </w:p>
    <w:p w14:paraId="161B04A6" w14:textId="77777777" w:rsidR="00C93C3C" w:rsidRDefault="00C93C3C" w:rsidP="00C93C3C">
      <w:pPr>
        <w:widowControl w:val="0"/>
        <w:spacing w:after="0" w:line="312" w:lineRule="auto"/>
        <w:ind w:firstLine="708"/>
        <w:jc w:val="both"/>
        <w:rPr>
          <w:rFonts w:ascii="Times New Roman" w:eastAsia="Calibri" w:hAnsi="Times New Roman" w:cs="Times New Roman"/>
          <w:color w:val="000000"/>
          <w:sz w:val="28"/>
          <w:szCs w:val="28"/>
        </w:rPr>
      </w:pPr>
      <w:r w:rsidRPr="00087380">
        <w:rPr>
          <w:rFonts w:ascii="Times New Roman" w:eastAsia="Calibri" w:hAnsi="Times New Roman" w:cs="Times New Roman"/>
          <w:color w:val="000000"/>
          <w:sz w:val="28"/>
          <w:szCs w:val="28"/>
        </w:rPr>
        <w:t>Наиболее популярными категориями детск</w:t>
      </w:r>
      <w:r>
        <w:rPr>
          <w:rFonts w:ascii="Times New Roman" w:eastAsia="Calibri" w:hAnsi="Times New Roman" w:cs="Times New Roman"/>
          <w:color w:val="000000"/>
          <w:sz w:val="28"/>
          <w:szCs w:val="28"/>
        </w:rPr>
        <w:t xml:space="preserve">их товаров по-прежнему являются </w:t>
      </w:r>
      <w:r w:rsidRPr="00087380">
        <w:rPr>
          <w:rFonts w:ascii="Times New Roman" w:eastAsia="Calibri" w:hAnsi="Times New Roman" w:cs="Times New Roman"/>
          <w:color w:val="000000"/>
          <w:sz w:val="28"/>
          <w:szCs w:val="28"/>
        </w:rPr>
        <w:t>игры и игрушки (67%), детская одежда и обувь (60%).</w:t>
      </w:r>
    </w:p>
    <w:p w14:paraId="258E1C76" w14:textId="77777777" w:rsidR="00C93C3C" w:rsidRPr="000D2F93" w:rsidRDefault="00C93C3C" w:rsidP="00C93C3C">
      <w:pPr>
        <w:widowControl w:val="0"/>
        <w:spacing w:after="0" w:line="312" w:lineRule="auto"/>
        <w:ind w:firstLine="708"/>
        <w:jc w:val="both"/>
        <w:rPr>
          <w:rFonts w:ascii="Times New Roman" w:eastAsia="Calibri" w:hAnsi="Times New Roman" w:cs="Times New Roman"/>
          <w:color w:val="000000"/>
          <w:sz w:val="28"/>
          <w:szCs w:val="28"/>
        </w:rPr>
      </w:pPr>
      <w:r w:rsidRPr="000D2F93">
        <w:rPr>
          <w:rFonts w:ascii="Times New Roman" w:eastAsia="Calibri" w:hAnsi="Times New Roman" w:cs="Times New Roman"/>
          <w:color w:val="000000"/>
          <w:sz w:val="28"/>
          <w:szCs w:val="28"/>
        </w:rPr>
        <w:t>В 2021 г</w:t>
      </w:r>
      <w:r w:rsidR="00E17755">
        <w:rPr>
          <w:rFonts w:ascii="Times New Roman" w:eastAsia="Calibri" w:hAnsi="Times New Roman" w:cs="Times New Roman"/>
          <w:color w:val="000000"/>
          <w:sz w:val="28"/>
          <w:szCs w:val="28"/>
        </w:rPr>
        <w:t>.</w:t>
      </w:r>
      <w:r w:rsidRPr="000D2F93">
        <w:rPr>
          <w:rFonts w:ascii="Times New Roman" w:eastAsia="Calibri" w:hAnsi="Times New Roman" w:cs="Times New Roman"/>
          <w:color w:val="000000"/>
          <w:sz w:val="28"/>
          <w:szCs w:val="28"/>
        </w:rPr>
        <w:t xml:space="preserve"> одним из драйверов потребительского спроса на детские товары</w:t>
      </w:r>
      <w:r w:rsidR="006363F7" w:rsidRPr="003875E5">
        <w:rPr>
          <w:rFonts w:ascii="Times New Roman" w:eastAsia="Times New Roman" w:hAnsi="Times New Roman" w:cs="Times New Roman"/>
          <w:sz w:val="28"/>
          <w:szCs w:val="28"/>
          <w:lang w:eastAsia="ru-RU"/>
        </w:rPr>
        <w:t> </w:t>
      </w:r>
      <w:r w:rsidRPr="000D2F93">
        <w:rPr>
          <w:rFonts w:ascii="Times New Roman" w:eastAsia="Calibri" w:hAnsi="Times New Roman" w:cs="Times New Roman"/>
          <w:color w:val="000000"/>
          <w:sz w:val="28"/>
          <w:szCs w:val="28"/>
        </w:rPr>
        <w:t xml:space="preserve">стала </w:t>
      </w:r>
      <w:r w:rsidR="00F5006E">
        <w:rPr>
          <w:rFonts w:ascii="Times New Roman" w:eastAsia="Calibri" w:hAnsi="Times New Roman" w:cs="Times New Roman"/>
          <w:color w:val="000000"/>
          <w:sz w:val="28"/>
          <w:szCs w:val="28"/>
        </w:rPr>
        <w:t>единовременная</w:t>
      </w:r>
      <w:r w:rsidRPr="000D2F93">
        <w:rPr>
          <w:rFonts w:ascii="Times New Roman" w:eastAsia="Calibri" w:hAnsi="Times New Roman" w:cs="Times New Roman"/>
          <w:color w:val="000000"/>
          <w:sz w:val="28"/>
          <w:szCs w:val="28"/>
        </w:rPr>
        <w:t xml:space="preserve"> выплата</w:t>
      </w:r>
      <w:r w:rsidR="00F5006E">
        <w:rPr>
          <w:rFonts w:ascii="Times New Roman" w:eastAsia="Calibri" w:hAnsi="Times New Roman" w:cs="Times New Roman"/>
          <w:color w:val="000000"/>
          <w:sz w:val="28"/>
          <w:szCs w:val="28"/>
        </w:rPr>
        <w:t>, представлявшаяся</w:t>
      </w:r>
      <w:r w:rsidRPr="000D2F93">
        <w:rPr>
          <w:rFonts w:ascii="Times New Roman" w:eastAsia="Calibri" w:hAnsi="Times New Roman" w:cs="Times New Roman"/>
          <w:color w:val="000000"/>
          <w:sz w:val="28"/>
          <w:szCs w:val="28"/>
        </w:rPr>
        <w:t xml:space="preserve"> на </w:t>
      </w:r>
      <w:r w:rsidR="00F5006E">
        <w:rPr>
          <w:rFonts w:ascii="Times New Roman" w:eastAsia="Calibri" w:hAnsi="Times New Roman" w:cs="Times New Roman"/>
          <w:color w:val="000000"/>
          <w:sz w:val="28"/>
          <w:szCs w:val="28"/>
        </w:rPr>
        <w:t>детей школьного возраста</w:t>
      </w:r>
      <w:r w:rsidRPr="000D2F93">
        <w:rPr>
          <w:rFonts w:ascii="Times New Roman" w:eastAsia="Calibri" w:hAnsi="Times New Roman" w:cs="Times New Roman"/>
          <w:color w:val="000000"/>
          <w:sz w:val="28"/>
          <w:szCs w:val="28"/>
        </w:rPr>
        <w:t>. Расходы на подготовку к учебному году в 2021 г</w:t>
      </w:r>
      <w:r w:rsidR="00E17755">
        <w:rPr>
          <w:rFonts w:ascii="Times New Roman" w:eastAsia="Calibri" w:hAnsi="Times New Roman" w:cs="Times New Roman"/>
          <w:color w:val="000000"/>
          <w:sz w:val="28"/>
          <w:szCs w:val="28"/>
        </w:rPr>
        <w:t>.</w:t>
      </w:r>
      <w:r w:rsidRPr="000D2F93">
        <w:rPr>
          <w:rFonts w:ascii="Times New Roman" w:eastAsia="Calibri" w:hAnsi="Times New Roman" w:cs="Times New Roman"/>
          <w:color w:val="000000"/>
          <w:sz w:val="28"/>
          <w:szCs w:val="28"/>
        </w:rPr>
        <w:t xml:space="preserve"> в целом на ребенка составили 11</w:t>
      </w:r>
      <w:r w:rsidR="00D14271" w:rsidRPr="003875E5">
        <w:rPr>
          <w:rFonts w:ascii="Times New Roman" w:eastAsia="Times New Roman" w:hAnsi="Times New Roman" w:cs="Times New Roman"/>
          <w:sz w:val="28"/>
          <w:szCs w:val="28"/>
          <w:lang w:eastAsia="ru-RU"/>
        </w:rPr>
        <w:t> </w:t>
      </w:r>
      <w:r w:rsidRPr="000D2F93">
        <w:rPr>
          <w:rFonts w:ascii="Times New Roman" w:eastAsia="Calibri" w:hAnsi="Times New Roman" w:cs="Times New Roman"/>
          <w:color w:val="000000"/>
          <w:sz w:val="28"/>
          <w:szCs w:val="28"/>
        </w:rPr>
        <w:t>165 руб</w:t>
      </w:r>
      <w:r w:rsidR="00F5006E">
        <w:rPr>
          <w:rFonts w:ascii="Times New Roman" w:eastAsia="Calibri" w:hAnsi="Times New Roman" w:cs="Times New Roman"/>
          <w:color w:val="000000"/>
          <w:sz w:val="28"/>
          <w:szCs w:val="28"/>
        </w:rPr>
        <w:t>лей</w:t>
      </w:r>
      <w:r w:rsidRPr="000D2F93">
        <w:rPr>
          <w:rFonts w:ascii="Times New Roman" w:eastAsia="Calibri" w:hAnsi="Times New Roman" w:cs="Times New Roman"/>
          <w:color w:val="000000"/>
          <w:sz w:val="28"/>
          <w:szCs w:val="28"/>
        </w:rPr>
        <w:t>. Это на 7,5% выше показателя 2020 г</w:t>
      </w:r>
      <w:r w:rsidR="00E17755">
        <w:rPr>
          <w:rFonts w:ascii="Times New Roman" w:eastAsia="Calibri" w:hAnsi="Times New Roman" w:cs="Times New Roman"/>
          <w:color w:val="000000"/>
          <w:sz w:val="28"/>
          <w:szCs w:val="28"/>
        </w:rPr>
        <w:t>.</w:t>
      </w:r>
      <w:r w:rsidRPr="000D2F93">
        <w:rPr>
          <w:rFonts w:ascii="Times New Roman" w:eastAsia="Calibri" w:hAnsi="Times New Roman" w:cs="Times New Roman"/>
          <w:color w:val="000000"/>
          <w:sz w:val="28"/>
          <w:szCs w:val="28"/>
        </w:rPr>
        <w:t xml:space="preserve">, но лишь на 4,7% больше, чем в 2019 </w:t>
      </w:r>
      <w:r w:rsidR="00E17755">
        <w:rPr>
          <w:rFonts w:ascii="Times New Roman" w:eastAsia="Calibri" w:hAnsi="Times New Roman" w:cs="Times New Roman"/>
          <w:color w:val="000000"/>
          <w:sz w:val="28"/>
          <w:szCs w:val="28"/>
        </w:rPr>
        <w:t>г</w:t>
      </w:r>
      <w:r w:rsidRPr="000D2F93">
        <w:rPr>
          <w:rFonts w:ascii="Times New Roman" w:eastAsia="Calibri" w:hAnsi="Times New Roman" w:cs="Times New Roman"/>
          <w:color w:val="000000"/>
          <w:sz w:val="28"/>
          <w:szCs w:val="28"/>
        </w:rPr>
        <w:t>.</w:t>
      </w:r>
    </w:p>
    <w:p w14:paraId="57E6B1A2" w14:textId="77777777" w:rsidR="00C93C3C" w:rsidRPr="000D2F93" w:rsidRDefault="00C93C3C" w:rsidP="00C93C3C">
      <w:pPr>
        <w:widowControl w:val="0"/>
        <w:spacing w:after="0" w:line="312" w:lineRule="auto"/>
        <w:ind w:firstLine="708"/>
        <w:jc w:val="both"/>
        <w:rPr>
          <w:rFonts w:ascii="Times New Roman" w:eastAsia="Calibri" w:hAnsi="Times New Roman" w:cs="Times New Roman"/>
          <w:color w:val="000000"/>
          <w:sz w:val="28"/>
          <w:szCs w:val="28"/>
        </w:rPr>
      </w:pPr>
      <w:r w:rsidRPr="000D2F93">
        <w:rPr>
          <w:rFonts w:ascii="Times New Roman" w:eastAsia="Calibri" w:hAnsi="Times New Roman" w:cs="Times New Roman"/>
          <w:color w:val="000000"/>
          <w:sz w:val="28"/>
          <w:szCs w:val="28"/>
        </w:rPr>
        <w:t xml:space="preserve">По оценкам </w:t>
      </w:r>
      <w:r>
        <w:rPr>
          <w:rFonts w:ascii="Times New Roman" w:eastAsia="Calibri" w:hAnsi="Times New Roman" w:cs="Times New Roman"/>
          <w:color w:val="000000"/>
          <w:sz w:val="28"/>
          <w:szCs w:val="28"/>
        </w:rPr>
        <w:t>«</w:t>
      </w:r>
      <w:proofErr w:type="spellStart"/>
      <w:r w:rsidRPr="000D2F93">
        <w:rPr>
          <w:rFonts w:ascii="Times New Roman" w:eastAsia="Calibri" w:hAnsi="Times New Roman" w:cs="Times New Roman"/>
          <w:color w:val="000000"/>
          <w:sz w:val="28"/>
          <w:szCs w:val="28"/>
        </w:rPr>
        <w:t>СберИндекса</w:t>
      </w:r>
      <w:proofErr w:type="spellEnd"/>
      <w:r>
        <w:rPr>
          <w:rFonts w:ascii="Times New Roman" w:eastAsia="Calibri" w:hAnsi="Times New Roman" w:cs="Times New Roman"/>
          <w:color w:val="000000"/>
          <w:sz w:val="28"/>
          <w:szCs w:val="28"/>
        </w:rPr>
        <w:t>»</w:t>
      </w:r>
      <w:r w:rsidRPr="000D2F93">
        <w:rPr>
          <w:rFonts w:ascii="Times New Roman" w:eastAsia="Calibri" w:hAnsi="Times New Roman" w:cs="Times New Roman"/>
          <w:color w:val="000000"/>
          <w:sz w:val="28"/>
          <w:szCs w:val="28"/>
        </w:rPr>
        <w:t>, объем трат в августе сверх сезонной и трендовой нормы составил 203,2 млрд руб</w:t>
      </w:r>
      <w:r w:rsidR="00F5006E">
        <w:rPr>
          <w:rFonts w:ascii="Times New Roman" w:eastAsia="Calibri" w:hAnsi="Times New Roman" w:cs="Times New Roman"/>
          <w:color w:val="000000"/>
          <w:sz w:val="28"/>
          <w:szCs w:val="28"/>
        </w:rPr>
        <w:t>лей. Более 4</w:t>
      </w:r>
      <w:r w:rsidRPr="000D2F93">
        <w:rPr>
          <w:rFonts w:ascii="Times New Roman" w:eastAsia="Calibri" w:hAnsi="Times New Roman" w:cs="Times New Roman"/>
          <w:color w:val="000000"/>
          <w:sz w:val="28"/>
          <w:szCs w:val="28"/>
        </w:rPr>
        <w:t>% от всех августовских расходов были обеспечены президентской выплатой. Таким образом, социальные выплаты оказали существенную поддержку потребитель</w:t>
      </w:r>
      <w:r w:rsidR="0076640F">
        <w:rPr>
          <w:rFonts w:ascii="Times New Roman" w:eastAsia="Calibri" w:hAnsi="Times New Roman" w:cs="Times New Roman"/>
          <w:color w:val="000000"/>
          <w:sz w:val="28"/>
          <w:szCs w:val="28"/>
        </w:rPr>
        <w:t>ского спроса на детские товары.</w:t>
      </w:r>
    </w:p>
    <w:p w14:paraId="48397ABA" w14:textId="77777777" w:rsidR="00C93C3C" w:rsidRPr="00087380" w:rsidRDefault="00C93C3C" w:rsidP="00C93C3C">
      <w:pPr>
        <w:widowControl w:val="0"/>
        <w:spacing w:after="0" w:line="312" w:lineRule="auto"/>
        <w:ind w:firstLine="708"/>
        <w:jc w:val="both"/>
        <w:rPr>
          <w:rFonts w:ascii="Times New Roman" w:eastAsia="Calibri" w:hAnsi="Times New Roman" w:cs="Times New Roman"/>
          <w:color w:val="000000"/>
          <w:sz w:val="28"/>
          <w:szCs w:val="28"/>
        </w:rPr>
      </w:pPr>
      <w:r w:rsidRPr="000D2F93">
        <w:rPr>
          <w:rFonts w:ascii="Times New Roman" w:eastAsia="Calibri" w:hAnsi="Times New Roman" w:cs="Times New Roman"/>
          <w:color w:val="000000"/>
          <w:sz w:val="28"/>
          <w:szCs w:val="28"/>
        </w:rPr>
        <w:lastRenderedPageBreak/>
        <w:t xml:space="preserve">Как показал социологический опрос Центра изучения потребительского поведения </w:t>
      </w:r>
      <w:proofErr w:type="spellStart"/>
      <w:r w:rsidRPr="000D2F93">
        <w:rPr>
          <w:rFonts w:ascii="Times New Roman" w:eastAsia="Calibri" w:hAnsi="Times New Roman" w:cs="Times New Roman"/>
          <w:color w:val="000000"/>
          <w:sz w:val="28"/>
          <w:szCs w:val="28"/>
        </w:rPr>
        <w:t>Роскачества</w:t>
      </w:r>
      <w:proofErr w:type="spellEnd"/>
      <w:r w:rsidR="00195355" w:rsidRPr="003875E5">
        <w:rPr>
          <w:rFonts w:ascii="Times New Roman" w:eastAsia="Times New Roman" w:hAnsi="Times New Roman" w:cs="Times New Roman"/>
          <w:sz w:val="28"/>
          <w:szCs w:val="28"/>
          <w:lang w:eastAsia="ru-RU"/>
        </w:rPr>
        <w:t> </w:t>
      </w:r>
      <w:r w:rsidRPr="00570F48">
        <w:rPr>
          <w:rFonts w:ascii="Times New Roman" w:eastAsia="Calibri" w:hAnsi="Times New Roman" w:cs="Times New Roman"/>
          <w:color w:val="000000"/>
          <w:sz w:val="28"/>
          <w:szCs w:val="28"/>
        </w:rPr>
        <w:t xml:space="preserve">(ЦИПП </w:t>
      </w:r>
      <w:proofErr w:type="spellStart"/>
      <w:r w:rsidRPr="00570F48">
        <w:rPr>
          <w:rFonts w:ascii="Times New Roman" w:eastAsia="Calibri" w:hAnsi="Times New Roman" w:cs="Times New Roman"/>
          <w:color w:val="000000"/>
          <w:sz w:val="28"/>
          <w:szCs w:val="28"/>
        </w:rPr>
        <w:t>Роскачества</w:t>
      </w:r>
      <w:proofErr w:type="spellEnd"/>
      <w:r w:rsidRPr="00570F48">
        <w:rPr>
          <w:rFonts w:ascii="Times New Roman" w:eastAsia="Calibri" w:hAnsi="Times New Roman" w:cs="Times New Roman"/>
          <w:color w:val="000000"/>
          <w:sz w:val="28"/>
          <w:szCs w:val="28"/>
        </w:rPr>
        <w:t>)</w:t>
      </w:r>
      <w:r w:rsidRPr="000D2F93">
        <w:rPr>
          <w:rFonts w:ascii="Times New Roman" w:eastAsia="Calibri" w:hAnsi="Times New Roman" w:cs="Times New Roman"/>
          <w:color w:val="000000"/>
          <w:sz w:val="28"/>
          <w:szCs w:val="28"/>
        </w:rPr>
        <w:t>, проведенный в мае 2021 г</w:t>
      </w:r>
      <w:r w:rsidR="00E17755">
        <w:rPr>
          <w:rFonts w:ascii="Times New Roman" w:eastAsia="Calibri" w:hAnsi="Times New Roman" w:cs="Times New Roman"/>
          <w:color w:val="000000"/>
          <w:sz w:val="28"/>
          <w:szCs w:val="28"/>
        </w:rPr>
        <w:t>.</w:t>
      </w:r>
      <w:r w:rsidR="0076640F">
        <w:rPr>
          <w:rFonts w:ascii="Times New Roman" w:eastAsia="Calibri" w:hAnsi="Times New Roman" w:cs="Times New Roman"/>
          <w:color w:val="000000"/>
          <w:sz w:val="28"/>
          <w:szCs w:val="28"/>
        </w:rPr>
        <w:t>,</w:t>
      </w:r>
      <w:r w:rsidRPr="000D2F93">
        <w:rPr>
          <w:rFonts w:ascii="Times New Roman" w:eastAsia="Calibri" w:hAnsi="Times New Roman" w:cs="Times New Roman"/>
          <w:color w:val="000000"/>
          <w:sz w:val="28"/>
          <w:szCs w:val="28"/>
        </w:rPr>
        <w:t xml:space="preserve"> половина опрошенных родителей, у которых есть дети в возрасте 7</w:t>
      </w:r>
      <w:r w:rsidR="00E17755">
        <w:rPr>
          <w:rFonts w:ascii="Times New Roman" w:eastAsia="Calibri" w:hAnsi="Times New Roman" w:cs="Times New Roman"/>
          <w:color w:val="000000"/>
          <w:sz w:val="28"/>
          <w:szCs w:val="28"/>
        </w:rPr>
        <w:t>-</w:t>
      </w:r>
      <w:r w:rsidRPr="000D2F93">
        <w:rPr>
          <w:rFonts w:ascii="Times New Roman" w:eastAsia="Calibri" w:hAnsi="Times New Roman" w:cs="Times New Roman"/>
          <w:color w:val="000000"/>
          <w:sz w:val="28"/>
          <w:szCs w:val="28"/>
        </w:rPr>
        <w:t>17 лет, планировали потратить выделенные деньги на школьные принадлежности (53%) и одежду/обувь (48%).</w:t>
      </w:r>
    </w:p>
    <w:p w14:paraId="60261A78" w14:textId="77777777" w:rsidR="00C93C3C" w:rsidRPr="00BF50AB" w:rsidRDefault="0076640F" w:rsidP="00C93C3C">
      <w:pPr>
        <w:widowControl w:val="0"/>
        <w:spacing w:after="0" w:line="312"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Вместе с тем</w:t>
      </w:r>
      <w:r w:rsidR="00C93C3C" w:rsidRPr="00BF50AB">
        <w:rPr>
          <w:rFonts w:ascii="Times New Roman" w:eastAsia="Calibri" w:hAnsi="Times New Roman" w:cs="Times New Roman"/>
          <w:color w:val="000000"/>
          <w:sz w:val="28"/>
          <w:szCs w:val="28"/>
        </w:rPr>
        <w:t xml:space="preserve"> аналитики выделяют следующие тенденции развития российского рынка детских игр и игрушек:</w:t>
      </w:r>
    </w:p>
    <w:p w14:paraId="30D252D3" w14:textId="77777777" w:rsidR="00C93C3C" w:rsidRPr="00BF50AB" w:rsidRDefault="00C93C3C" w:rsidP="00C93C3C">
      <w:pPr>
        <w:widowControl w:val="0"/>
        <w:spacing w:after="0" w:line="312" w:lineRule="auto"/>
        <w:ind w:firstLine="708"/>
        <w:jc w:val="both"/>
        <w:rPr>
          <w:rFonts w:ascii="Times New Roman" w:eastAsia="Calibri" w:hAnsi="Times New Roman" w:cs="Times New Roman"/>
          <w:color w:val="000000"/>
          <w:sz w:val="28"/>
          <w:szCs w:val="28"/>
        </w:rPr>
      </w:pPr>
      <w:r w:rsidRPr="00BF50AB">
        <w:rPr>
          <w:rFonts w:ascii="Times New Roman" w:eastAsia="Calibri" w:hAnsi="Times New Roman" w:cs="Times New Roman"/>
          <w:color w:val="000000"/>
          <w:sz w:val="28"/>
          <w:szCs w:val="28"/>
        </w:rPr>
        <w:t xml:space="preserve">1. Рост продаж игр и </w:t>
      </w:r>
      <w:proofErr w:type="spellStart"/>
      <w:r w:rsidRPr="00BF50AB">
        <w:rPr>
          <w:rFonts w:ascii="Times New Roman" w:eastAsia="Calibri" w:hAnsi="Times New Roman" w:cs="Times New Roman"/>
          <w:color w:val="000000"/>
          <w:sz w:val="28"/>
          <w:szCs w:val="28"/>
        </w:rPr>
        <w:t>пазлов</w:t>
      </w:r>
      <w:proofErr w:type="spellEnd"/>
      <w:r w:rsidRPr="00BF50AB">
        <w:rPr>
          <w:rFonts w:ascii="Times New Roman" w:eastAsia="Calibri" w:hAnsi="Times New Roman" w:cs="Times New Roman"/>
          <w:color w:val="000000"/>
          <w:sz w:val="28"/>
          <w:szCs w:val="28"/>
        </w:rPr>
        <w:t>. В период пандемии спрос на данную категорию товаров существенно увеличился в связи с самоизоляцией. Это один из наиболее растущих сегментов рынка игрушек.</w:t>
      </w:r>
    </w:p>
    <w:p w14:paraId="0FC02B57" w14:textId="77777777" w:rsidR="00C93C3C" w:rsidRPr="00BF50AB" w:rsidRDefault="00C93C3C" w:rsidP="0076640F">
      <w:pPr>
        <w:widowControl w:val="0"/>
        <w:spacing w:after="0" w:line="312" w:lineRule="auto"/>
        <w:ind w:firstLine="708"/>
        <w:jc w:val="both"/>
        <w:rPr>
          <w:rFonts w:ascii="Times New Roman" w:eastAsia="Calibri" w:hAnsi="Times New Roman" w:cs="Times New Roman"/>
          <w:color w:val="000000"/>
          <w:sz w:val="28"/>
          <w:szCs w:val="28"/>
        </w:rPr>
      </w:pPr>
      <w:r w:rsidRPr="00BF50AB">
        <w:rPr>
          <w:rFonts w:ascii="Times New Roman" w:eastAsia="Calibri" w:hAnsi="Times New Roman" w:cs="Times New Roman"/>
          <w:color w:val="000000"/>
          <w:sz w:val="28"/>
          <w:szCs w:val="28"/>
        </w:rPr>
        <w:t>2. Рост продаж уличных и спортивных игрушек. Рост данного сегмента отмечается в июне, после снятия ограничений и открытия магазинов. Игрушки для улицы стали альтернативой путешествиям. Рост категории составил 24%.</w:t>
      </w:r>
      <w:r w:rsidR="00A86E59" w:rsidRPr="003875E5">
        <w:rPr>
          <w:rFonts w:ascii="Times New Roman" w:eastAsia="Times New Roman" w:hAnsi="Times New Roman" w:cs="Times New Roman"/>
          <w:sz w:val="28"/>
          <w:szCs w:val="28"/>
          <w:lang w:eastAsia="ru-RU"/>
        </w:rPr>
        <w:t> </w:t>
      </w:r>
      <w:r w:rsidRPr="00BF50AB">
        <w:rPr>
          <w:rFonts w:ascii="Times New Roman" w:eastAsia="Calibri" w:hAnsi="Times New Roman" w:cs="Times New Roman"/>
          <w:color w:val="000000"/>
          <w:sz w:val="28"/>
          <w:szCs w:val="28"/>
        </w:rPr>
        <w:t xml:space="preserve">Лидеры продаж в этой категории </w:t>
      </w:r>
      <w:r w:rsidR="0076640F">
        <w:rPr>
          <w:rFonts w:ascii="Times New Roman" w:eastAsia="Calibri" w:hAnsi="Times New Roman" w:cs="Times New Roman"/>
          <w:color w:val="000000"/>
          <w:sz w:val="28"/>
          <w:szCs w:val="28"/>
        </w:rPr>
        <w:t>–</w:t>
      </w:r>
      <w:r w:rsidRPr="00BF50AB">
        <w:rPr>
          <w:rFonts w:ascii="Times New Roman" w:eastAsia="Calibri" w:hAnsi="Times New Roman" w:cs="Times New Roman"/>
          <w:color w:val="000000"/>
          <w:sz w:val="28"/>
          <w:szCs w:val="28"/>
        </w:rPr>
        <w:t xml:space="preserve"> надувные бассейны и бластеры.</w:t>
      </w:r>
    </w:p>
    <w:p w14:paraId="5A4B7568" w14:textId="7CB4DFFA" w:rsidR="00C93C3C" w:rsidRPr="00BF50AB" w:rsidRDefault="00C93C3C" w:rsidP="00C93C3C">
      <w:pPr>
        <w:widowControl w:val="0"/>
        <w:spacing w:after="0" w:line="312" w:lineRule="auto"/>
        <w:ind w:firstLine="708"/>
        <w:jc w:val="both"/>
        <w:rPr>
          <w:rFonts w:ascii="Times New Roman" w:eastAsia="Calibri" w:hAnsi="Times New Roman" w:cs="Times New Roman"/>
          <w:color w:val="000000"/>
          <w:sz w:val="28"/>
          <w:szCs w:val="28"/>
        </w:rPr>
      </w:pPr>
      <w:r w:rsidRPr="00BF50AB">
        <w:rPr>
          <w:rFonts w:ascii="Times New Roman" w:eastAsia="Calibri" w:hAnsi="Times New Roman" w:cs="Times New Roman"/>
          <w:color w:val="000000"/>
          <w:sz w:val="28"/>
          <w:szCs w:val="28"/>
        </w:rPr>
        <w:t xml:space="preserve">3. Рост продаж сегмента дорогих игрушек. </w:t>
      </w:r>
      <w:r w:rsidR="00B24DF1">
        <w:rPr>
          <w:rFonts w:ascii="Times New Roman" w:eastAsia="Calibri" w:hAnsi="Times New Roman" w:cs="Times New Roman"/>
          <w:color w:val="000000"/>
          <w:sz w:val="28"/>
          <w:szCs w:val="28"/>
        </w:rPr>
        <w:t>О</w:t>
      </w:r>
      <w:r w:rsidRPr="00BF50AB">
        <w:rPr>
          <w:rFonts w:ascii="Times New Roman" w:eastAsia="Calibri" w:hAnsi="Times New Roman" w:cs="Times New Roman"/>
          <w:color w:val="000000"/>
          <w:sz w:val="28"/>
          <w:szCs w:val="28"/>
        </w:rPr>
        <w:t>тмечается увеличение продаж дорогих игрушек. Это объясняется снижением</w:t>
      </w:r>
      <w:r w:rsidR="00A86E59">
        <w:rPr>
          <w:rFonts w:ascii="Times New Roman" w:eastAsia="Calibri" w:hAnsi="Times New Roman" w:cs="Times New Roman"/>
          <w:color w:val="000000"/>
          <w:sz w:val="28"/>
          <w:szCs w:val="28"/>
        </w:rPr>
        <w:t xml:space="preserve"> количества импульсных покупок </w:t>
      </w:r>
      <w:r w:rsidRPr="00BF50AB">
        <w:rPr>
          <w:rFonts w:ascii="Times New Roman" w:eastAsia="Calibri" w:hAnsi="Times New Roman" w:cs="Times New Roman"/>
          <w:color w:val="000000"/>
          <w:sz w:val="28"/>
          <w:szCs w:val="28"/>
        </w:rPr>
        <w:t>и ростом вовлеченности родителей при выборе игрушек.</w:t>
      </w:r>
    </w:p>
    <w:p w14:paraId="1BE3F797" w14:textId="77777777" w:rsidR="00C93C3C" w:rsidRPr="00BF50AB" w:rsidRDefault="00C93C3C" w:rsidP="00C93C3C">
      <w:pPr>
        <w:widowControl w:val="0"/>
        <w:spacing w:after="0" w:line="312" w:lineRule="auto"/>
        <w:ind w:firstLine="708"/>
        <w:jc w:val="both"/>
        <w:rPr>
          <w:rFonts w:ascii="Times New Roman" w:eastAsia="Calibri" w:hAnsi="Times New Roman" w:cs="Times New Roman"/>
          <w:color w:val="000000"/>
          <w:sz w:val="28"/>
          <w:szCs w:val="28"/>
        </w:rPr>
      </w:pPr>
      <w:r w:rsidRPr="00BF50AB">
        <w:rPr>
          <w:rFonts w:ascii="Times New Roman" w:eastAsia="Calibri" w:hAnsi="Times New Roman" w:cs="Times New Roman"/>
          <w:color w:val="000000"/>
          <w:sz w:val="28"/>
          <w:szCs w:val="28"/>
        </w:rPr>
        <w:t>4. Увеличение доли продаж собственных торговых марок сетей (СТМ).</w:t>
      </w:r>
    </w:p>
    <w:p w14:paraId="139E2969" w14:textId="77777777" w:rsidR="00C93C3C" w:rsidRDefault="00C93C3C" w:rsidP="00C93C3C">
      <w:pPr>
        <w:widowControl w:val="0"/>
        <w:spacing w:after="0" w:line="312" w:lineRule="auto"/>
        <w:ind w:firstLine="708"/>
        <w:jc w:val="both"/>
        <w:rPr>
          <w:rFonts w:ascii="Times New Roman" w:eastAsia="Calibri" w:hAnsi="Times New Roman" w:cs="Times New Roman"/>
          <w:color w:val="000000"/>
          <w:sz w:val="28"/>
          <w:szCs w:val="28"/>
        </w:rPr>
      </w:pPr>
      <w:r w:rsidRPr="00BF50AB">
        <w:rPr>
          <w:rFonts w:ascii="Times New Roman" w:eastAsia="Calibri" w:hAnsi="Times New Roman" w:cs="Times New Roman"/>
          <w:color w:val="000000"/>
          <w:sz w:val="28"/>
          <w:szCs w:val="28"/>
        </w:rPr>
        <w:t xml:space="preserve">5. Рост количества </w:t>
      </w:r>
      <w:proofErr w:type="spellStart"/>
      <w:r w:rsidRPr="00BF50AB">
        <w:rPr>
          <w:rFonts w:ascii="Times New Roman" w:eastAsia="Calibri" w:hAnsi="Times New Roman" w:cs="Times New Roman"/>
          <w:color w:val="000000"/>
          <w:sz w:val="28"/>
          <w:szCs w:val="28"/>
        </w:rPr>
        <w:t>нишевых</w:t>
      </w:r>
      <w:proofErr w:type="spellEnd"/>
      <w:r w:rsidRPr="00BF50AB">
        <w:rPr>
          <w:rFonts w:ascii="Times New Roman" w:eastAsia="Calibri" w:hAnsi="Times New Roman" w:cs="Times New Roman"/>
          <w:color w:val="000000"/>
          <w:sz w:val="28"/>
          <w:szCs w:val="28"/>
        </w:rPr>
        <w:t xml:space="preserve"> продуктов. Рынок игрушек становится более </w:t>
      </w:r>
      <w:proofErr w:type="spellStart"/>
      <w:r w:rsidRPr="00BF50AB">
        <w:rPr>
          <w:rFonts w:ascii="Times New Roman" w:eastAsia="Calibri" w:hAnsi="Times New Roman" w:cs="Times New Roman"/>
          <w:color w:val="000000"/>
          <w:sz w:val="28"/>
          <w:szCs w:val="28"/>
        </w:rPr>
        <w:t>нишевым</w:t>
      </w:r>
      <w:proofErr w:type="spellEnd"/>
      <w:r w:rsidRPr="00BF50AB">
        <w:rPr>
          <w:rFonts w:ascii="Times New Roman" w:eastAsia="Calibri" w:hAnsi="Times New Roman" w:cs="Times New Roman"/>
          <w:color w:val="000000"/>
          <w:sz w:val="28"/>
          <w:szCs w:val="28"/>
        </w:rPr>
        <w:t>, растет количество брендов и франшиз, причем количество маленьких брендов растет быстрее, чем глобальных.</w:t>
      </w:r>
    </w:p>
    <w:p w14:paraId="35A7548C" w14:textId="77777777" w:rsidR="00C93C3C" w:rsidRDefault="00C93C3C" w:rsidP="00C93C3C">
      <w:pPr>
        <w:widowControl w:val="0"/>
        <w:spacing w:after="0" w:line="312"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Минпромторгом России в 2021 г</w:t>
      </w:r>
      <w:r w:rsidR="00E17755">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w:t>
      </w:r>
      <w:r w:rsidRPr="00256D35">
        <w:rPr>
          <w:rFonts w:ascii="Times New Roman" w:eastAsia="Calibri" w:hAnsi="Times New Roman" w:cs="Times New Roman"/>
          <w:color w:val="000000"/>
          <w:sz w:val="28"/>
          <w:szCs w:val="28"/>
        </w:rPr>
        <w:t>проведен анализ реализации в субъектах Росс</w:t>
      </w:r>
      <w:r>
        <w:rPr>
          <w:rFonts w:ascii="Times New Roman" w:eastAsia="Calibri" w:hAnsi="Times New Roman" w:cs="Times New Roman"/>
          <w:color w:val="000000"/>
          <w:sz w:val="28"/>
          <w:szCs w:val="28"/>
        </w:rPr>
        <w:t xml:space="preserve">ийской Федерации акции «Подарок </w:t>
      </w:r>
      <w:r w:rsidRPr="00256D35">
        <w:rPr>
          <w:rFonts w:ascii="Times New Roman" w:eastAsia="Calibri" w:hAnsi="Times New Roman" w:cs="Times New Roman"/>
          <w:color w:val="000000"/>
          <w:sz w:val="28"/>
          <w:szCs w:val="28"/>
        </w:rPr>
        <w:t>новорожденному» совместно с производит</w:t>
      </w:r>
      <w:r>
        <w:rPr>
          <w:rFonts w:ascii="Times New Roman" w:eastAsia="Calibri" w:hAnsi="Times New Roman" w:cs="Times New Roman"/>
          <w:color w:val="000000"/>
          <w:sz w:val="28"/>
          <w:szCs w:val="28"/>
        </w:rPr>
        <w:t xml:space="preserve">елями товаров для новорожденных </w:t>
      </w:r>
      <w:r w:rsidRPr="00256D35">
        <w:rPr>
          <w:rFonts w:ascii="Times New Roman" w:eastAsia="Calibri" w:hAnsi="Times New Roman" w:cs="Times New Roman"/>
          <w:color w:val="000000"/>
          <w:sz w:val="28"/>
          <w:szCs w:val="28"/>
        </w:rPr>
        <w:t>и руководителями субъектов Российской Федерации.</w:t>
      </w:r>
    </w:p>
    <w:p w14:paraId="6F63498F" w14:textId="77777777" w:rsidR="00C93C3C" w:rsidRPr="00756634" w:rsidRDefault="00C93C3C" w:rsidP="00C93C3C">
      <w:pPr>
        <w:widowControl w:val="0"/>
        <w:spacing w:after="0" w:line="312" w:lineRule="auto"/>
        <w:ind w:firstLine="708"/>
        <w:jc w:val="both"/>
        <w:rPr>
          <w:rFonts w:ascii="Times New Roman" w:eastAsia="Calibri" w:hAnsi="Times New Roman" w:cs="Times New Roman"/>
          <w:color w:val="000000"/>
          <w:sz w:val="28"/>
          <w:szCs w:val="28"/>
        </w:rPr>
      </w:pPr>
      <w:r w:rsidRPr="00256D35">
        <w:rPr>
          <w:rFonts w:ascii="Times New Roman" w:eastAsia="Calibri" w:hAnsi="Times New Roman" w:cs="Times New Roman"/>
          <w:color w:val="000000"/>
          <w:sz w:val="28"/>
          <w:szCs w:val="28"/>
        </w:rPr>
        <w:t xml:space="preserve">По информации, представленной </w:t>
      </w:r>
      <w:r w:rsidR="00A86E59">
        <w:rPr>
          <w:rFonts w:ascii="Times New Roman" w:eastAsia="Calibri" w:hAnsi="Times New Roman" w:cs="Times New Roman"/>
          <w:color w:val="000000"/>
          <w:sz w:val="28"/>
          <w:szCs w:val="28"/>
        </w:rPr>
        <w:t xml:space="preserve">органами исполнительной власти </w:t>
      </w:r>
      <w:r w:rsidR="00DA217A">
        <w:rPr>
          <w:rFonts w:ascii="Times New Roman" w:eastAsia="Calibri" w:hAnsi="Times New Roman" w:cs="Times New Roman"/>
          <w:color w:val="000000"/>
          <w:sz w:val="28"/>
          <w:szCs w:val="28"/>
        </w:rPr>
        <w:br/>
      </w:r>
      <w:r w:rsidRPr="00256D35">
        <w:rPr>
          <w:rFonts w:ascii="Times New Roman" w:eastAsia="Calibri" w:hAnsi="Times New Roman" w:cs="Times New Roman"/>
          <w:color w:val="000000"/>
          <w:sz w:val="28"/>
          <w:szCs w:val="28"/>
        </w:rPr>
        <w:lastRenderedPageBreak/>
        <w:t xml:space="preserve">67 </w:t>
      </w:r>
      <w:r>
        <w:rPr>
          <w:rFonts w:ascii="Times New Roman" w:eastAsia="Calibri" w:hAnsi="Times New Roman" w:cs="Times New Roman"/>
          <w:color w:val="000000"/>
          <w:sz w:val="28"/>
          <w:szCs w:val="28"/>
        </w:rPr>
        <w:t>с</w:t>
      </w:r>
      <w:r w:rsidR="00BA4359">
        <w:rPr>
          <w:rFonts w:ascii="Times New Roman" w:eastAsia="Calibri" w:hAnsi="Times New Roman" w:cs="Times New Roman"/>
          <w:color w:val="000000"/>
          <w:sz w:val="28"/>
          <w:szCs w:val="28"/>
        </w:rPr>
        <w:t>убъект</w:t>
      </w:r>
      <w:r w:rsidR="00A86E59">
        <w:rPr>
          <w:rFonts w:ascii="Times New Roman" w:eastAsia="Calibri" w:hAnsi="Times New Roman" w:cs="Times New Roman"/>
          <w:color w:val="000000"/>
          <w:sz w:val="28"/>
          <w:szCs w:val="28"/>
        </w:rPr>
        <w:t>ов</w:t>
      </w:r>
      <w:r w:rsidR="00BA4359">
        <w:rPr>
          <w:rFonts w:ascii="Times New Roman" w:eastAsia="Calibri" w:hAnsi="Times New Roman" w:cs="Times New Roman"/>
          <w:color w:val="000000"/>
          <w:sz w:val="28"/>
          <w:szCs w:val="28"/>
        </w:rPr>
        <w:t xml:space="preserve"> Российской Федерации, </w:t>
      </w:r>
      <w:r w:rsidRPr="00256D35">
        <w:rPr>
          <w:rFonts w:ascii="Times New Roman" w:eastAsia="Calibri" w:hAnsi="Times New Roman" w:cs="Times New Roman"/>
          <w:color w:val="000000"/>
          <w:sz w:val="28"/>
          <w:szCs w:val="28"/>
        </w:rPr>
        <w:t>в 2021 г</w:t>
      </w:r>
      <w:r w:rsidR="00E17755">
        <w:rPr>
          <w:rFonts w:ascii="Times New Roman" w:eastAsia="Calibri" w:hAnsi="Times New Roman" w:cs="Times New Roman"/>
          <w:color w:val="000000"/>
          <w:sz w:val="28"/>
          <w:szCs w:val="28"/>
        </w:rPr>
        <w:t>.</w:t>
      </w:r>
      <w:r w:rsidRPr="00256D35">
        <w:rPr>
          <w:rFonts w:ascii="Times New Roman" w:eastAsia="Calibri" w:hAnsi="Times New Roman" w:cs="Times New Roman"/>
          <w:color w:val="000000"/>
          <w:sz w:val="28"/>
          <w:szCs w:val="28"/>
        </w:rPr>
        <w:t xml:space="preserve"> </w:t>
      </w:r>
      <w:r w:rsidR="00A86E59" w:rsidRPr="00256D35">
        <w:rPr>
          <w:rFonts w:ascii="Times New Roman" w:eastAsia="Calibri" w:hAnsi="Times New Roman" w:cs="Times New Roman"/>
          <w:color w:val="000000"/>
          <w:sz w:val="28"/>
          <w:szCs w:val="28"/>
        </w:rPr>
        <w:t>указанное</w:t>
      </w:r>
      <w:r w:rsidR="00A86E59" w:rsidRPr="003875E5">
        <w:rPr>
          <w:rFonts w:ascii="Times New Roman" w:eastAsia="Times New Roman" w:hAnsi="Times New Roman" w:cs="Times New Roman"/>
          <w:sz w:val="28"/>
          <w:szCs w:val="28"/>
          <w:lang w:eastAsia="ru-RU"/>
        </w:rPr>
        <w:t> </w:t>
      </w:r>
      <w:r w:rsidR="00A86E59" w:rsidRPr="00256D35">
        <w:rPr>
          <w:rFonts w:ascii="Times New Roman" w:eastAsia="Calibri" w:hAnsi="Times New Roman" w:cs="Times New Roman"/>
          <w:color w:val="000000"/>
          <w:sz w:val="28"/>
          <w:szCs w:val="28"/>
        </w:rPr>
        <w:t>мероприятие реализов</w:t>
      </w:r>
      <w:r w:rsidR="00A86E59">
        <w:rPr>
          <w:rFonts w:ascii="Times New Roman" w:eastAsia="Calibri" w:hAnsi="Times New Roman" w:cs="Times New Roman"/>
          <w:color w:val="000000"/>
          <w:sz w:val="28"/>
          <w:szCs w:val="28"/>
        </w:rPr>
        <w:t>ыв</w:t>
      </w:r>
      <w:r w:rsidR="00A86E59" w:rsidRPr="00256D35">
        <w:rPr>
          <w:rFonts w:ascii="Times New Roman" w:eastAsia="Calibri" w:hAnsi="Times New Roman" w:cs="Times New Roman"/>
          <w:color w:val="000000"/>
          <w:sz w:val="28"/>
          <w:szCs w:val="28"/>
        </w:rPr>
        <w:t>ал</w:t>
      </w:r>
      <w:r w:rsidR="00A86E59">
        <w:rPr>
          <w:rFonts w:ascii="Times New Roman" w:eastAsia="Calibri" w:hAnsi="Times New Roman" w:cs="Times New Roman"/>
          <w:color w:val="000000"/>
          <w:sz w:val="28"/>
          <w:szCs w:val="28"/>
        </w:rPr>
        <w:t>ось</w:t>
      </w:r>
      <w:r w:rsidR="00A86E59" w:rsidRPr="00256D35">
        <w:rPr>
          <w:rFonts w:ascii="Times New Roman" w:eastAsia="Calibri" w:hAnsi="Times New Roman" w:cs="Times New Roman"/>
          <w:color w:val="000000"/>
          <w:sz w:val="28"/>
          <w:szCs w:val="28"/>
        </w:rPr>
        <w:t xml:space="preserve"> </w:t>
      </w:r>
      <w:r w:rsidRPr="00256D35">
        <w:rPr>
          <w:rFonts w:ascii="Times New Roman" w:eastAsia="Calibri" w:hAnsi="Times New Roman" w:cs="Times New Roman"/>
          <w:color w:val="000000"/>
          <w:sz w:val="28"/>
          <w:szCs w:val="28"/>
        </w:rPr>
        <w:t>32 региона</w:t>
      </w:r>
      <w:r w:rsidR="00A86E59">
        <w:rPr>
          <w:rFonts w:ascii="Times New Roman" w:eastAsia="Calibri" w:hAnsi="Times New Roman" w:cs="Times New Roman"/>
          <w:color w:val="000000"/>
          <w:sz w:val="28"/>
          <w:szCs w:val="28"/>
        </w:rPr>
        <w:t>ми</w:t>
      </w:r>
      <w:r w:rsidRPr="00256D35">
        <w:rPr>
          <w:rFonts w:ascii="Times New Roman" w:eastAsia="Calibri" w:hAnsi="Times New Roman" w:cs="Times New Roman"/>
          <w:color w:val="000000"/>
          <w:sz w:val="28"/>
          <w:szCs w:val="28"/>
        </w:rPr>
        <w:t xml:space="preserve"> (</w:t>
      </w:r>
      <w:r w:rsidR="00BA4359" w:rsidRPr="00256D35">
        <w:rPr>
          <w:rFonts w:ascii="Times New Roman" w:eastAsia="Calibri" w:hAnsi="Times New Roman" w:cs="Times New Roman"/>
          <w:color w:val="000000"/>
          <w:sz w:val="28"/>
          <w:szCs w:val="28"/>
        </w:rPr>
        <w:t>Республики Башкортостан</w:t>
      </w:r>
      <w:r w:rsidR="00BA4359">
        <w:rPr>
          <w:rFonts w:ascii="Times New Roman" w:eastAsia="Calibri" w:hAnsi="Times New Roman" w:cs="Times New Roman"/>
          <w:color w:val="000000"/>
          <w:sz w:val="28"/>
          <w:szCs w:val="28"/>
        </w:rPr>
        <w:t xml:space="preserve">, </w:t>
      </w:r>
      <w:r w:rsidR="00BA4359" w:rsidRPr="00256D35">
        <w:rPr>
          <w:rFonts w:ascii="Times New Roman" w:eastAsia="Calibri" w:hAnsi="Times New Roman" w:cs="Times New Roman"/>
          <w:color w:val="000000"/>
          <w:sz w:val="28"/>
          <w:szCs w:val="28"/>
        </w:rPr>
        <w:t xml:space="preserve">Карелия, Татарстан, </w:t>
      </w:r>
      <w:r w:rsidR="00BA4359">
        <w:rPr>
          <w:rFonts w:ascii="Times New Roman" w:eastAsia="Calibri" w:hAnsi="Times New Roman" w:cs="Times New Roman"/>
          <w:color w:val="000000"/>
          <w:sz w:val="28"/>
          <w:szCs w:val="28"/>
        </w:rPr>
        <w:t xml:space="preserve">Саха (Якутия), </w:t>
      </w:r>
      <w:r w:rsidR="00922F54" w:rsidRPr="00256D35">
        <w:rPr>
          <w:rFonts w:ascii="Times New Roman" w:eastAsia="Calibri" w:hAnsi="Times New Roman" w:cs="Times New Roman"/>
          <w:color w:val="000000"/>
          <w:sz w:val="28"/>
          <w:szCs w:val="28"/>
        </w:rPr>
        <w:t>Забайкальский</w:t>
      </w:r>
      <w:r w:rsidR="00922F54">
        <w:rPr>
          <w:rFonts w:ascii="Times New Roman" w:eastAsia="Calibri" w:hAnsi="Times New Roman" w:cs="Times New Roman"/>
          <w:color w:val="000000"/>
          <w:sz w:val="28"/>
          <w:szCs w:val="28"/>
        </w:rPr>
        <w:t xml:space="preserve">, </w:t>
      </w:r>
      <w:r w:rsidR="00BA4359">
        <w:rPr>
          <w:rFonts w:ascii="Times New Roman" w:eastAsia="Calibri" w:hAnsi="Times New Roman" w:cs="Times New Roman"/>
          <w:color w:val="000000"/>
          <w:sz w:val="28"/>
          <w:szCs w:val="28"/>
        </w:rPr>
        <w:t xml:space="preserve">Камчатский, Пермский и </w:t>
      </w:r>
      <w:r w:rsidR="00BA4359" w:rsidRPr="00256D35">
        <w:rPr>
          <w:rFonts w:ascii="Times New Roman" w:eastAsia="Calibri" w:hAnsi="Times New Roman" w:cs="Times New Roman"/>
          <w:color w:val="000000"/>
          <w:sz w:val="28"/>
          <w:szCs w:val="28"/>
        </w:rPr>
        <w:t>Хабаровский кра</w:t>
      </w:r>
      <w:r w:rsidR="00BA4359">
        <w:rPr>
          <w:rFonts w:ascii="Times New Roman" w:eastAsia="Calibri" w:hAnsi="Times New Roman" w:cs="Times New Roman"/>
          <w:color w:val="000000"/>
          <w:sz w:val="28"/>
          <w:szCs w:val="28"/>
        </w:rPr>
        <w:t>я</w:t>
      </w:r>
      <w:r w:rsidR="00BA4359" w:rsidRPr="00256D35">
        <w:rPr>
          <w:rFonts w:ascii="Times New Roman" w:eastAsia="Calibri" w:hAnsi="Times New Roman" w:cs="Times New Roman"/>
          <w:color w:val="000000"/>
          <w:sz w:val="28"/>
          <w:szCs w:val="28"/>
        </w:rPr>
        <w:t xml:space="preserve">, </w:t>
      </w:r>
      <w:r w:rsidR="00922F54" w:rsidRPr="00256D35">
        <w:rPr>
          <w:rFonts w:ascii="Times New Roman" w:eastAsia="Calibri" w:hAnsi="Times New Roman" w:cs="Times New Roman"/>
          <w:color w:val="000000"/>
          <w:sz w:val="28"/>
          <w:szCs w:val="28"/>
        </w:rPr>
        <w:t xml:space="preserve">Белгородская, </w:t>
      </w:r>
      <w:r w:rsidR="00922F54">
        <w:rPr>
          <w:rFonts w:ascii="Times New Roman" w:eastAsia="Calibri" w:hAnsi="Times New Roman" w:cs="Times New Roman"/>
          <w:color w:val="000000"/>
          <w:sz w:val="28"/>
          <w:szCs w:val="28"/>
        </w:rPr>
        <w:t xml:space="preserve">Брянская, </w:t>
      </w:r>
      <w:r w:rsidR="00922F54" w:rsidRPr="00256D35">
        <w:rPr>
          <w:rFonts w:ascii="Times New Roman" w:eastAsia="Calibri" w:hAnsi="Times New Roman" w:cs="Times New Roman"/>
          <w:color w:val="000000"/>
          <w:sz w:val="28"/>
          <w:szCs w:val="28"/>
        </w:rPr>
        <w:t>Волгоградская,</w:t>
      </w:r>
      <w:r w:rsidR="00A86E59" w:rsidRPr="003875E5">
        <w:rPr>
          <w:rFonts w:ascii="Times New Roman" w:eastAsia="Times New Roman" w:hAnsi="Times New Roman" w:cs="Times New Roman"/>
          <w:sz w:val="28"/>
          <w:szCs w:val="28"/>
          <w:lang w:eastAsia="ru-RU"/>
        </w:rPr>
        <w:t> </w:t>
      </w:r>
      <w:r w:rsidR="00922F54" w:rsidRPr="00256D35">
        <w:rPr>
          <w:rFonts w:ascii="Times New Roman" w:eastAsia="Calibri" w:hAnsi="Times New Roman" w:cs="Times New Roman"/>
          <w:color w:val="000000"/>
          <w:sz w:val="28"/>
          <w:szCs w:val="28"/>
        </w:rPr>
        <w:t>Вологодская,</w:t>
      </w:r>
      <w:r w:rsidR="00A86E59" w:rsidRPr="003875E5">
        <w:rPr>
          <w:rFonts w:ascii="Times New Roman" w:eastAsia="Times New Roman" w:hAnsi="Times New Roman" w:cs="Times New Roman"/>
          <w:sz w:val="28"/>
          <w:szCs w:val="28"/>
          <w:lang w:eastAsia="ru-RU"/>
        </w:rPr>
        <w:t> </w:t>
      </w:r>
      <w:r w:rsidR="00922F54" w:rsidRPr="00256D35">
        <w:rPr>
          <w:rFonts w:ascii="Times New Roman" w:eastAsia="Calibri" w:hAnsi="Times New Roman" w:cs="Times New Roman"/>
          <w:color w:val="000000"/>
          <w:sz w:val="28"/>
          <w:szCs w:val="28"/>
        </w:rPr>
        <w:t>К</w:t>
      </w:r>
      <w:r w:rsidR="00922F54">
        <w:rPr>
          <w:rFonts w:ascii="Times New Roman" w:eastAsia="Calibri" w:hAnsi="Times New Roman" w:cs="Times New Roman"/>
          <w:color w:val="000000"/>
          <w:sz w:val="28"/>
          <w:szCs w:val="28"/>
        </w:rPr>
        <w:t xml:space="preserve">алужская, </w:t>
      </w:r>
      <w:r w:rsidR="00922F54" w:rsidRPr="00256D35">
        <w:rPr>
          <w:rFonts w:ascii="Times New Roman" w:eastAsia="Calibri" w:hAnsi="Times New Roman" w:cs="Times New Roman"/>
          <w:color w:val="000000"/>
          <w:sz w:val="28"/>
          <w:szCs w:val="28"/>
        </w:rPr>
        <w:t>Костромская, Курская, Ленинградская, Новгород</w:t>
      </w:r>
      <w:r w:rsidR="00922F54">
        <w:rPr>
          <w:rFonts w:ascii="Times New Roman" w:eastAsia="Calibri" w:hAnsi="Times New Roman" w:cs="Times New Roman"/>
          <w:color w:val="000000"/>
          <w:sz w:val="28"/>
          <w:szCs w:val="28"/>
        </w:rPr>
        <w:t xml:space="preserve">ская, </w:t>
      </w:r>
      <w:r w:rsidRPr="00256D35">
        <w:rPr>
          <w:rFonts w:ascii="Times New Roman" w:eastAsia="Calibri" w:hAnsi="Times New Roman" w:cs="Times New Roman"/>
          <w:color w:val="000000"/>
          <w:sz w:val="28"/>
          <w:szCs w:val="28"/>
        </w:rPr>
        <w:t xml:space="preserve">Московская, </w:t>
      </w:r>
      <w:r w:rsidR="00922F54">
        <w:rPr>
          <w:rFonts w:ascii="Times New Roman" w:eastAsia="Calibri" w:hAnsi="Times New Roman" w:cs="Times New Roman"/>
          <w:color w:val="000000"/>
          <w:sz w:val="28"/>
          <w:szCs w:val="28"/>
        </w:rPr>
        <w:t xml:space="preserve">Мурманская, </w:t>
      </w:r>
      <w:r w:rsidR="00922F54" w:rsidRPr="00256D35">
        <w:rPr>
          <w:rFonts w:ascii="Times New Roman" w:eastAsia="Calibri" w:hAnsi="Times New Roman" w:cs="Times New Roman"/>
          <w:color w:val="000000"/>
          <w:sz w:val="28"/>
          <w:szCs w:val="28"/>
        </w:rPr>
        <w:t xml:space="preserve">Самарская, </w:t>
      </w:r>
      <w:r w:rsidR="00922F54">
        <w:rPr>
          <w:rFonts w:ascii="Times New Roman" w:eastAsia="Calibri" w:hAnsi="Times New Roman" w:cs="Times New Roman"/>
          <w:color w:val="000000"/>
          <w:sz w:val="28"/>
          <w:szCs w:val="28"/>
        </w:rPr>
        <w:t xml:space="preserve">Сахалинская, </w:t>
      </w:r>
      <w:r w:rsidR="00922F54" w:rsidRPr="00256D35">
        <w:rPr>
          <w:rFonts w:ascii="Times New Roman" w:eastAsia="Calibri" w:hAnsi="Times New Roman" w:cs="Times New Roman"/>
          <w:color w:val="000000"/>
          <w:sz w:val="28"/>
          <w:szCs w:val="28"/>
        </w:rPr>
        <w:t>Тамбовская,</w:t>
      </w:r>
      <w:r w:rsidR="00A86E59" w:rsidRPr="003875E5">
        <w:rPr>
          <w:rFonts w:ascii="Times New Roman" w:eastAsia="Times New Roman" w:hAnsi="Times New Roman" w:cs="Times New Roman"/>
          <w:sz w:val="28"/>
          <w:szCs w:val="28"/>
          <w:lang w:eastAsia="ru-RU"/>
        </w:rPr>
        <w:t> </w:t>
      </w:r>
      <w:r w:rsidR="00922F54" w:rsidRPr="00256D35">
        <w:rPr>
          <w:rFonts w:ascii="Times New Roman" w:eastAsia="Calibri" w:hAnsi="Times New Roman" w:cs="Times New Roman"/>
          <w:color w:val="000000"/>
          <w:sz w:val="28"/>
          <w:szCs w:val="28"/>
        </w:rPr>
        <w:t>Тверская,</w:t>
      </w:r>
      <w:r w:rsidR="00A86E59" w:rsidRPr="003875E5">
        <w:rPr>
          <w:rFonts w:ascii="Times New Roman" w:eastAsia="Times New Roman" w:hAnsi="Times New Roman" w:cs="Times New Roman"/>
          <w:sz w:val="28"/>
          <w:szCs w:val="28"/>
          <w:lang w:eastAsia="ru-RU"/>
        </w:rPr>
        <w:t> </w:t>
      </w:r>
      <w:r w:rsidRPr="00256D35">
        <w:rPr>
          <w:rFonts w:ascii="Times New Roman" w:eastAsia="Calibri" w:hAnsi="Times New Roman" w:cs="Times New Roman"/>
          <w:color w:val="000000"/>
          <w:sz w:val="28"/>
          <w:szCs w:val="28"/>
        </w:rPr>
        <w:t xml:space="preserve">Тульская, Челябинская, </w:t>
      </w:r>
      <w:r>
        <w:rPr>
          <w:rFonts w:ascii="Times New Roman" w:eastAsia="Calibri" w:hAnsi="Times New Roman" w:cs="Times New Roman"/>
          <w:color w:val="000000"/>
          <w:sz w:val="28"/>
          <w:szCs w:val="28"/>
        </w:rPr>
        <w:t xml:space="preserve">Ульяновская, Ненецкий автономный </w:t>
      </w:r>
      <w:r w:rsidRPr="00256D35">
        <w:rPr>
          <w:rFonts w:ascii="Times New Roman" w:eastAsia="Calibri" w:hAnsi="Times New Roman" w:cs="Times New Roman"/>
          <w:color w:val="000000"/>
          <w:sz w:val="28"/>
          <w:szCs w:val="28"/>
        </w:rPr>
        <w:t>округ, Чукотский автономный</w:t>
      </w:r>
      <w:r w:rsidR="00A86E59" w:rsidRPr="003875E5">
        <w:rPr>
          <w:rFonts w:ascii="Times New Roman" w:eastAsia="Times New Roman" w:hAnsi="Times New Roman" w:cs="Times New Roman"/>
          <w:sz w:val="28"/>
          <w:szCs w:val="28"/>
          <w:lang w:eastAsia="ru-RU"/>
        </w:rPr>
        <w:t> </w:t>
      </w:r>
      <w:r w:rsidRPr="00256D35">
        <w:rPr>
          <w:rFonts w:ascii="Times New Roman" w:eastAsia="Calibri" w:hAnsi="Times New Roman" w:cs="Times New Roman"/>
          <w:color w:val="000000"/>
          <w:sz w:val="28"/>
          <w:szCs w:val="28"/>
        </w:rPr>
        <w:t xml:space="preserve">округ, Ямало-Ненецкий автономный </w:t>
      </w:r>
      <w:r w:rsidRPr="00756634">
        <w:rPr>
          <w:rFonts w:ascii="Times New Roman" w:eastAsia="Calibri" w:hAnsi="Times New Roman" w:cs="Times New Roman"/>
          <w:color w:val="000000"/>
          <w:sz w:val="28"/>
          <w:szCs w:val="28"/>
        </w:rPr>
        <w:t>округ</w:t>
      </w:r>
      <w:r w:rsidR="00BA4359">
        <w:rPr>
          <w:rFonts w:ascii="Times New Roman" w:eastAsia="Calibri" w:hAnsi="Times New Roman" w:cs="Times New Roman"/>
          <w:color w:val="000000"/>
          <w:sz w:val="28"/>
          <w:szCs w:val="28"/>
        </w:rPr>
        <w:t>,</w:t>
      </w:r>
      <w:r w:rsidR="00A86E59" w:rsidRPr="003875E5">
        <w:rPr>
          <w:rFonts w:ascii="Times New Roman" w:eastAsia="Times New Roman" w:hAnsi="Times New Roman" w:cs="Times New Roman"/>
          <w:sz w:val="28"/>
          <w:szCs w:val="28"/>
          <w:lang w:eastAsia="ru-RU"/>
        </w:rPr>
        <w:t> </w:t>
      </w:r>
      <w:r w:rsidR="00922F54" w:rsidRPr="00256D35">
        <w:rPr>
          <w:rFonts w:ascii="Times New Roman" w:eastAsia="Calibri" w:hAnsi="Times New Roman" w:cs="Times New Roman"/>
          <w:color w:val="000000"/>
          <w:sz w:val="28"/>
          <w:szCs w:val="28"/>
        </w:rPr>
        <w:t>Еврейская автономная область,</w:t>
      </w:r>
      <w:r w:rsidR="00922F54">
        <w:rPr>
          <w:rFonts w:ascii="Times New Roman" w:eastAsia="Calibri" w:hAnsi="Times New Roman" w:cs="Times New Roman"/>
          <w:color w:val="000000"/>
          <w:sz w:val="28"/>
          <w:szCs w:val="28"/>
        </w:rPr>
        <w:t xml:space="preserve"> г</w:t>
      </w:r>
      <w:r w:rsidR="00BA4359" w:rsidRPr="00256D35">
        <w:rPr>
          <w:rFonts w:ascii="Times New Roman" w:eastAsia="Calibri" w:hAnsi="Times New Roman" w:cs="Times New Roman"/>
          <w:color w:val="000000"/>
          <w:sz w:val="28"/>
          <w:szCs w:val="28"/>
        </w:rPr>
        <w:t>. Москва</w:t>
      </w:r>
      <w:r w:rsidR="00BA4359">
        <w:rPr>
          <w:rFonts w:ascii="Times New Roman" w:eastAsia="Calibri" w:hAnsi="Times New Roman" w:cs="Times New Roman"/>
          <w:color w:val="000000"/>
          <w:sz w:val="28"/>
          <w:szCs w:val="28"/>
        </w:rPr>
        <w:t>,</w:t>
      </w:r>
      <w:r w:rsidR="00A86E59" w:rsidRPr="003875E5">
        <w:rPr>
          <w:rFonts w:ascii="Times New Roman" w:eastAsia="Times New Roman" w:hAnsi="Times New Roman" w:cs="Times New Roman"/>
          <w:sz w:val="28"/>
          <w:szCs w:val="28"/>
          <w:lang w:eastAsia="ru-RU"/>
        </w:rPr>
        <w:t> </w:t>
      </w:r>
      <w:r w:rsidR="00BA4359">
        <w:rPr>
          <w:rFonts w:ascii="Times New Roman" w:eastAsia="Calibri" w:hAnsi="Times New Roman" w:cs="Times New Roman"/>
          <w:color w:val="000000"/>
          <w:sz w:val="28"/>
          <w:szCs w:val="28"/>
        </w:rPr>
        <w:t>г. Севастополь)</w:t>
      </w:r>
      <w:r w:rsidRPr="00756634">
        <w:rPr>
          <w:rFonts w:ascii="Times New Roman" w:eastAsia="Calibri" w:hAnsi="Times New Roman" w:cs="Times New Roman"/>
          <w:color w:val="000000"/>
          <w:sz w:val="28"/>
          <w:szCs w:val="28"/>
        </w:rPr>
        <w:t xml:space="preserve">, а в стадии разработки находятся еще </w:t>
      </w:r>
      <w:r w:rsidR="00A86E59">
        <w:rPr>
          <w:rFonts w:ascii="Times New Roman" w:eastAsia="Calibri" w:hAnsi="Times New Roman" w:cs="Times New Roman"/>
          <w:color w:val="000000"/>
          <w:sz w:val="28"/>
          <w:szCs w:val="28"/>
        </w:rPr>
        <w:t xml:space="preserve">в </w:t>
      </w:r>
      <w:r w:rsidRPr="00756634">
        <w:rPr>
          <w:rFonts w:ascii="Times New Roman" w:eastAsia="Calibri" w:hAnsi="Times New Roman" w:cs="Times New Roman"/>
          <w:color w:val="000000"/>
          <w:sz w:val="28"/>
          <w:szCs w:val="28"/>
        </w:rPr>
        <w:t>4</w:t>
      </w:r>
      <w:r w:rsidR="00A86E59">
        <w:rPr>
          <w:rFonts w:ascii="Times New Roman" w:eastAsia="Calibri" w:hAnsi="Times New Roman" w:cs="Times New Roman"/>
          <w:color w:val="000000"/>
          <w:sz w:val="28"/>
          <w:szCs w:val="28"/>
        </w:rPr>
        <w:t xml:space="preserve"> регионах</w:t>
      </w:r>
      <w:r w:rsidRPr="00256D35">
        <w:rPr>
          <w:rFonts w:ascii="Times New Roman" w:eastAsia="Calibri" w:hAnsi="Times New Roman" w:cs="Times New Roman"/>
          <w:color w:val="000000"/>
          <w:sz w:val="28"/>
          <w:szCs w:val="28"/>
        </w:rPr>
        <w:t xml:space="preserve"> (Республика Коми, </w:t>
      </w:r>
      <w:r w:rsidR="00052F52" w:rsidRPr="00256D35">
        <w:rPr>
          <w:rFonts w:ascii="Times New Roman" w:eastAsia="Calibri" w:hAnsi="Times New Roman" w:cs="Times New Roman"/>
          <w:color w:val="000000"/>
          <w:sz w:val="28"/>
          <w:szCs w:val="28"/>
        </w:rPr>
        <w:t>Республика Северная Осетия-Алания</w:t>
      </w:r>
      <w:r w:rsidR="00052F52">
        <w:rPr>
          <w:rFonts w:ascii="Times New Roman" w:eastAsia="Calibri" w:hAnsi="Times New Roman" w:cs="Times New Roman"/>
          <w:color w:val="000000"/>
          <w:sz w:val="28"/>
          <w:szCs w:val="28"/>
        </w:rPr>
        <w:t>,</w:t>
      </w:r>
      <w:r w:rsidR="00A86E59" w:rsidRPr="003875E5">
        <w:rPr>
          <w:rFonts w:ascii="Times New Roman" w:eastAsia="Times New Roman" w:hAnsi="Times New Roman" w:cs="Times New Roman"/>
          <w:sz w:val="28"/>
          <w:szCs w:val="28"/>
          <w:lang w:eastAsia="ru-RU"/>
        </w:rPr>
        <w:t> </w:t>
      </w:r>
      <w:r w:rsidRPr="00256D35">
        <w:rPr>
          <w:rFonts w:ascii="Times New Roman" w:eastAsia="Calibri" w:hAnsi="Times New Roman" w:cs="Times New Roman"/>
          <w:color w:val="000000"/>
          <w:sz w:val="28"/>
          <w:szCs w:val="28"/>
        </w:rPr>
        <w:t>Ас</w:t>
      </w:r>
      <w:r>
        <w:rPr>
          <w:rFonts w:ascii="Times New Roman" w:eastAsia="Calibri" w:hAnsi="Times New Roman" w:cs="Times New Roman"/>
          <w:color w:val="000000"/>
          <w:sz w:val="28"/>
          <w:szCs w:val="28"/>
        </w:rPr>
        <w:t>трахан</w:t>
      </w:r>
      <w:r w:rsidR="008366CF">
        <w:rPr>
          <w:rFonts w:ascii="Times New Roman" w:eastAsia="Calibri" w:hAnsi="Times New Roman" w:cs="Times New Roman"/>
          <w:color w:val="000000"/>
          <w:sz w:val="28"/>
          <w:szCs w:val="28"/>
        </w:rPr>
        <w:t xml:space="preserve">ская, </w:t>
      </w:r>
      <w:r>
        <w:rPr>
          <w:rFonts w:ascii="Times New Roman" w:eastAsia="Calibri" w:hAnsi="Times New Roman" w:cs="Times New Roman"/>
          <w:color w:val="000000"/>
          <w:sz w:val="28"/>
          <w:szCs w:val="28"/>
        </w:rPr>
        <w:t xml:space="preserve">Магаданская </w:t>
      </w:r>
      <w:r w:rsidR="008366CF">
        <w:rPr>
          <w:rFonts w:ascii="Times New Roman" w:eastAsia="Calibri" w:hAnsi="Times New Roman" w:cs="Times New Roman"/>
          <w:color w:val="000000"/>
          <w:sz w:val="28"/>
          <w:szCs w:val="28"/>
        </w:rPr>
        <w:t>области</w:t>
      </w:r>
      <w:r w:rsidRPr="00256D35">
        <w:rPr>
          <w:rFonts w:ascii="Times New Roman" w:eastAsia="Calibri" w:hAnsi="Times New Roman" w:cs="Times New Roman"/>
          <w:color w:val="000000"/>
          <w:sz w:val="28"/>
          <w:szCs w:val="28"/>
        </w:rPr>
        <w:t>).</w:t>
      </w:r>
    </w:p>
    <w:p w14:paraId="4F09F6D3" w14:textId="77777777" w:rsidR="00C93C3C" w:rsidRDefault="00C93C3C" w:rsidP="00C93C3C">
      <w:pPr>
        <w:widowControl w:val="0"/>
        <w:spacing w:after="0" w:line="312" w:lineRule="auto"/>
        <w:ind w:firstLine="708"/>
        <w:jc w:val="both"/>
        <w:rPr>
          <w:rFonts w:ascii="Times New Roman" w:eastAsia="Calibri" w:hAnsi="Times New Roman" w:cs="Times New Roman"/>
          <w:color w:val="000000"/>
          <w:sz w:val="28"/>
          <w:szCs w:val="28"/>
        </w:rPr>
      </w:pPr>
      <w:r w:rsidRPr="00256D35">
        <w:rPr>
          <w:rFonts w:ascii="Times New Roman" w:eastAsia="Calibri" w:hAnsi="Times New Roman" w:cs="Times New Roman"/>
          <w:color w:val="000000"/>
          <w:sz w:val="28"/>
          <w:szCs w:val="28"/>
        </w:rPr>
        <w:t>В г. Санкт-Петербурге с 2011 г</w:t>
      </w:r>
      <w:r w:rsidR="00E17755">
        <w:rPr>
          <w:rFonts w:ascii="Times New Roman" w:eastAsia="Calibri" w:hAnsi="Times New Roman" w:cs="Times New Roman"/>
          <w:color w:val="000000"/>
          <w:sz w:val="28"/>
          <w:szCs w:val="28"/>
        </w:rPr>
        <w:t>.</w:t>
      </w:r>
      <w:r w:rsidRPr="00256D35">
        <w:rPr>
          <w:rFonts w:ascii="Times New Roman" w:eastAsia="Calibri" w:hAnsi="Times New Roman" w:cs="Times New Roman"/>
          <w:color w:val="000000"/>
          <w:sz w:val="28"/>
          <w:szCs w:val="28"/>
        </w:rPr>
        <w:t xml:space="preserve"> пред</w:t>
      </w:r>
      <w:r>
        <w:rPr>
          <w:rFonts w:ascii="Times New Roman" w:eastAsia="Calibri" w:hAnsi="Times New Roman" w:cs="Times New Roman"/>
          <w:color w:val="000000"/>
          <w:sz w:val="28"/>
          <w:szCs w:val="28"/>
        </w:rPr>
        <w:t xml:space="preserve">оставляется дополнительная мера </w:t>
      </w:r>
      <w:r w:rsidRPr="00256D35">
        <w:rPr>
          <w:rFonts w:ascii="Times New Roman" w:eastAsia="Calibri" w:hAnsi="Times New Roman" w:cs="Times New Roman"/>
          <w:color w:val="000000"/>
          <w:sz w:val="28"/>
          <w:szCs w:val="28"/>
        </w:rPr>
        <w:t>социальной поддержки в виде единовремен</w:t>
      </w:r>
      <w:r w:rsidR="003C3E0D">
        <w:rPr>
          <w:rFonts w:ascii="Times New Roman" w:eastAsia="Calibri" w:hAnsi="Times New Roman" w:cs="Times New Roman"/>
          <w:color w:val="000000"/>
          <w:sz w:val="28"/>
          <w:szCs w:val="28"/>
        </w:rPr>
        <w:t xml:space="preserve">ной компенсационной выплаты </w:t>
      </w:r>
      <w:r>
        <w:rPr>
          <w:rFonts w:ascii="Times New Roman" w:eastAsia="Calibri" w:hAnsi="Times New Roman" w:cs="Times New Roman"/>
          <w:color w:val="000000"/>
          <w:sz w:val="28"/>
          <w:szCs w:val="28"/>
        </w:rPr>
        <w:t xml:space="preserve">при </w:t>
      </w:r>
      <w:r w:rsidRPr="00256D35">
        <w:rPr>
          <w:rFonts w:ascii="Times New Roman" w:eastAsia="Calibri" w:hAnsi="Times New Roman" w:cs="Times New Roman"/>
          <w:color w:val="000000"/>
          <w:sz w:val="28"/>
          <w:szCs w:val="28"/>
        </w:rPr>
        <w:t>рождении ребенка для приобретения предметов</w:t>
      </w:r>
      <w:r>
        <w:rPr>
          <w:rFonts w:ascii="Times New Roman" w:eastAsia="Calibri" w:hAnsi="Times New Roman" w:cs="Times New Roman"/>
          <w:color w:val="000000"/>
          <w:sz w:val="28"/>
          <w:szCs w:val="28"/>
        </w:rPr>
        <w:t xml:space="preserve"> детского ассортимента. Размеры </w:t>
      </w:r>
      <w:r w:rsidRPr="00256D35">
        <w:rPr>
          <w:rFonts w:ascii="Times New Roman" w:eastAsia="Calibri" w:hAnsi="Times New Roman" w:cs="Times New Roman"/>
          <w:color w:val="000000"/>
          <w:sz w:val="28"/>
          <w:szCs w:val="28"/>
        </w:rPr>
        <w:t>выплат в 2021 г</w:t>
      </w:r>
      <w:r w:rsidR="00E17755">
        <w:rPr>
          <w:rFonts w:ascii="Times New Roman" w:eastAsia="Calibri" w:hAnsi="Times New Roman" w:cs="Times New Roman"/>
          <w:color w:val="000000"/>
          <w:sz w:val="28"/>
          <w:szCs w:val="28"/>
        </w:rPr>
        <w:t>.</w:t>
      </w:r>
      <w:r w:rsidRPr="00256D35">
        <w:rPr>
          <w:rFonts w:ascii="Times New Roman" w:eastAsia="Calibri" w:hAnsi="Times New Roman" w:cs="Times New Roman"/>
          <w:color w:val="000000"/>
          <w:sz w:val="28"/>
          <w:szCs w:val="28"/>
        </w:rPr>
        <w:t xml:space="preserve"> составляют: 33 439 руб</w:t>
      </w:r>
      <w:r w:rsidR="00052F52">
        <w:rPr>
          <w:rFonts w:ascii="Times New Roman" w:eastAsia="Calibri" w:hAnsi="Times New Roman" w:cs="Times New Roman"/>
          <w:color w:val="000000"/>
          <w:sz w:val="28"/>
          <w:szCs w:val="28"/>
        </w:rPr>
        <w:t>лей</w:t>
      </w:r>
      <w:r w:rsidRPr="00256D35">
        <w:rPr>
          <w:rFonts w:ascii="Times New Roman" w:eastAsia="Calibri" w:hAnsi="Times New Roman" w:cs="Times New Roman"/>
          <w:color w:val="000000"/>
          <w:sz w:val="28"/>
          <w:szCs w:val="28"/>
        </w:rPr>
        <w:t xml:space="preserve"> – на</w:t>
      </w:r>
      <w:r>
        <w:rPr>
          <w:rFonts w:ascii="Times New Roman" w:eastAsia="Calibri" w:hAnsi="Times New Roman" w:cs="Times New Roman"/>
          <w:color w:val="000000"/>
          <w:sz w:val="28"/>
          <w:szCs w:val="28"/>
        </w:rPr>
        <w:t xml:space="preserve"> первого ребенка; 44 588 руб</w:t>
      </w:r>
      <w:r w:rsidR="00052F52">
        <w:rPr>
          <w:rFonts w:ascii="Times New Roman" w:eastAsia="Calibri" w:hAnsi="Times New Roman" w:cs="Times New Roman"/>
          <w:color w:val="000000"/>
          <w:sz w:val="28"/>
          <w:szCs w:val="28"/>
        </w:rPr>
        <w:t>лей</w:t>
      </w:r>
      <w:r w:rsidR="003C3E0D">
        <w:rPr>
          <w:rFonts w:ascii="Times New Roman" w:eastAsia="Calibri" w:hAnsi="Times New Roman" w:cs="Times New Roman"/>
          <w:color w:val="000000"/>
          <w:sz w:val="28"/>
          <w:szCs w:val="28"/>
        </w:rPr>
        <w:t xml:space="preserve"> – </w:t>
      </w:r>
      <w:r w:rsidRPr="00256D35">
        <w:rPr>
          <w:rFonts w:ascii="Times New Roman" w:eastAsia="Calibri" w:hAnsi="Times New Roman" w:cs="Times New Roman"/>
          <w:color w:val="000000"/>
          <w:sz w:val="28"/>
          <w:szCs w:val="28"/>
        </w:rPr>
        <w:t>на второго ребенка; 55 733 руб</w:t>
      </w:r>
      <w:r w:rsidR="00052F52">
        <w:rPr>
          <w:rFonts w:ascii="Times New Roman" w:eastAsia="Calibri" w:hAnsi="Times New Roman" w:cs="Times New Roman"/>
          <w:color w:val="000000"/>
          <w:sz w:val="28"/>
          <w:szCs w:val="28"/>
        </w:rPr>
        <w:t>лей</w:t>
      </w:r>
      <w:r w:rsidRPr="00256D35">
        <w:rPr>
          <w:rFonts w:ascii="Times New Roman" w:eastAsia="Calibri" w:hAnsi="Times New Roman" w:cs="Times New Roman"/>
          <w:color w:val="000000"/>
          <w:sz w:val="28"/>
          <w:szCs w:val="28"/>
        </w:rPr>
        <w:t xml:space="preserve"> – на треть</w:t>
      </w:r>
      <w:r>
        <w:rPr>
          <w:rFonts w:ascii="Times New Roman" w:eastAsia="Calibri" w:hAnsi="Times New Roman" w:cs="Times New Roman"/>
          <w:color w:val="000000"/>
          <w:sz w:val="28"/>
          <w:szCs w:val="28"/>
        </w:rPr>
        <w:t xml:space="preserve">его и последующих детей. Деньги </w:t>
      </w:r>
      <w:r w:rsidRPr="00256D35">
        <w:rPr>
          <w:rFonts w:ascii="Times New Roman" w:eastAsia="Calibri" w:hAnsi="Times New Roman" w:cs="Times New Roman"/>
          <w:color w:val="000000"/>
          <w:sz w:val="28"/>
          <w:szCs w:val="28"/>
        </w:rPr>
        <w:t>перечисляются на карту «Детская» и могут быть</w:t>
      </w:r>
      <w:r>
        <w:rPr>
          <w:rFonts w:ascii="Times New Roman" w:eastAsia="Calibri" w:hAnsi="Times New Roman" w:cs="Times New Roman"/>
          <w:color w:val="000000"/>
          <w:sz w:val="28"/>
          <w:szCs w:val="28"/>
        </w:rPr>
        <w:t xml:space="preserve"> потрачены в специализированных </w:t>
      </w:r>
      <w:r w:rsidRPr="00256D35">
        <w:rPr>
          <w:rFonts w:ascii="Times New Roman" w:eastAsia="Calibri" w:hAnsi="Times New Roman" w:cs="Times New Roman"/>
          <w:color w:val="000000"/>
          <w:sz w:val="28"/>
          <w:szCs w:val="28"/>
        </w:rPr>
        <w:t>магазинах. В Псковской области с 2019 г</w:t>
      </w:r>
      <w:r w:rsidR="00E17755">
        <w:rPr>
          <w:rFonts w:ascii="Times New Roman" w:eastAsia="Calibri" w:hAnsi="Times New Roman" w:cs="Times New Roman"/>
          <w:color w:val="000000"/>
          <w:sz w:val="28"/>
          <w:szCs w:val="28"/>
        </w:rPr>
        <w:t>.</w:t>
      </w:r>
      <w:r w:rsidRPr="00256D35">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также проводится акция «Подарок </w:t>
      </w:r>
      <w:r w:rsidRPr="00256D35">
        <w:rPr>
          <w:rFonts w:ascii="Times New Roman" w:eastAsia="Calibri" w:hAnsi="Times New Roman" w:cs="Times New Roman"/>
          <w:color w:val="000000"/>
          <w:sz w:val="28"/>
          <w:szCs w:val="28"/>
        </w:rPr>
        <w:t>новорожденному» в виде вручения подарочного с</w:t>
      </w:r>
      <w:r>
        <w:rPr>
          <w:rFonts w:ascii="Times New Roman" w:eastAsia="Calibri" w:hAnsi="Times New Roman" w:cs="Times New Roman"/>
          <w:color w:val="000000"/>
          <w:sz w:val="28"/>
          <w:szCs w:val="28"/>
        </w:rPr>
        <w:t xml:space="preserve">ертификата номиналом </w:t>
      </w:r>
      <w:r w:rsidR="007C04F5">
        <w:rPr>
          <w:rFonts w:ascii="Times New Roman" w:eastAsia="Calibri" w:hAnsi="Times New Roman" w:cs="Times New Roman"/>
          <w:color w:val="000000"/>
          <w:sz w:val="28"/>
          <w:szCs w:val="28"/>
        </w:rPr>
        <w:br/>
      </w:r>
      <w:r>
        <w:rPr>
          <w:rFonts w:ascii="Times New Roman" w:eastAsia="Calibri" w:hAnsi="Times New Roman" w:cs="Times New Roman"/>
          <w:color w:val="000000"/>
          <w:sz w:val="28"/>
          <w:szCs w:val="28"/>
        </w:rPr>
        <w:t>5</w:t>
      </w:r>
      <w:r w:rsidR="003C3E0D">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000 руб</w:t>
      </w:r>
      <w:r w:rsidR="00052F52">
        <w:rPr>
          <w:rFonts w:ascii="Times New Roman" w:eastAsia="Calibri" w:hAnsi="Times New Roman" w:cs="Times New Roman"/>
          <w:color w:val="000000"/>
          <w:sz w:val="28"/>
          <w:szCs w:val="28"/>
        </w:rPr>
        <w:t>лей</w:t>
      </w:r>
      <w:r>
        <w:rPr>
          <w:rFonts w:ascii="Times New Roman" w:eastAsia="Calibri" w:hAnsi="Times New Roman" w:cs="Times New Roman"/>
          <w:color w:val="000000"/>
          <w:sz w:val="28"/>
          <w:szCs w:val="28"/>
        </w:rPr>
        <w:t xml:space="preserve">, </w:t>
      </w:r>
      <w:r w:rsidRPr="00256D35">
        <w:rPr>
          <w:rFonts w:ascii="Times New Roman" w:eastAsia="Calibri" w:hAnsi="Times New Roman" w:cs="Times New Roman"/>
          <w:color w:val="000000"/>
          <w:sz w:val="28"/>
          <w:szCs w:val="28"/>
        </w:rPr>
        <w:t>а в Ханты-Мансийском автономном ок</w:t>
      </w:r>
      <w:r>
        <w:rPr>
          <w:rFonts w:ascii="Times New Roman" w:eastAsia="Calibri" w:hAnsi="Times New Roman" w:cs="Times New Roman"/>
          <w:color w:val="000000"/>
          <w:sz w:val="28"/>
          <w:szCs w:val="28"/>
        </w:rPr>
        <w:t xml:space="preserve">руге вручается подарочная карта </w:t>
      </w:r>
      <w:r w:rsidR="003C3E0D">
        <w:rPr>
          <w:rFonts w:ascii="Times New Roman" w:eastAsia="Calibri" w:hAnsi="Times New Roman" w:cs="Times New Roman"/>
          <w:color w:val="000000"/>
          <w:sz w:val="28"/>
          <w:szCs w:val="28"/>
        </w:rPr>
        <w:t>номиналом</w:t>
      </w:r>
      <w:r w:rsidRPr="00256D35">
        <w:rPr>
          <w:rFonts w:ascii="Times New Roman" w:eastAsia="Calibri" w:hAnsi="Times New Roman" w:cs="Times New Roman"/>
          <w:color w:val="000000"/>
          <w:sz w:val="28"/>
          <w:szCs w:val="28"/>
        </w:rPr>
        <w:t xml:space="preserve"> 20 000 руб</w:t>
      </w:r>
      <w:r w:rsidR="00052F52">
        <w:rPr>
          <w:rFonts w:ascii="Times New Roman" w:eastAsia="Calibri" w:hAnsi="Times New Roman" w:cs="Times New Roman"/>
          <w:color w:val="000000"/>
          <w:sz w:val="28"/>
          <w:szCs w:val="28"/>
        </w:rPr>
        <w:t>лей</w:t>
      </w:r>
      <w:r w:rsidRPr="00256D35">
        <w:rPr>
          <w:rFonts w:ascii="Times New Roman" w:eastAsia="Calibri" w:hAnsi="Times New Roman" w:cs="Times New Roman"/>
          <w:color w:val="000000"/>
          <w:sz w:val="28"/>
          <w:szCs w:val="28"/>
        </w:rPr>
        <w:t>.</w:t>
      </w:r>
    </w:p>
    <w:p w14:paraId="4C4ECA81" w14:textId="77777777" w:rsidR="00C93C3C" w:rsidRDefault="00C93C3C" w:rsidP="00C93C3C">
      <w:pPr>
        <w:widowControl w:val="0"/>
        <w:spacing w:after="0" w:line="312" w:lineRule="auto"/>
        <w:ind w:firstLine="708"/>
        <w:jc w:val="both"/>
        <w:rPr>
          <w:rFonts w:ascii="Times New Roman" w:eastAsia="Calibri" w:hAnsi="Times New Roman" w:cs="Times New Roman"/>
          <w:color w:val="000000"/>
          <w:sz w:val="28"/>
          <w:szCs w:val="28"/>
        </w:rPr>
      </w:pPr>
      <w:r w:rsidRPr="00256D35">
        <w:rPr>
          <w:rFonts w:ascii="Times New Roman" w:eastAsia="Calibri" w:hAnsi="Times New Roman" w:cs="Times New Roman"/>
          <w:color w:val="000000"/>
          <w:sz w:val="28"/>
          <w:szCs w:val="28"/>
        </w:rPr>
        <w:t>В Челябинской области акция «Подарок новорожденному» бы</w:t>
      </w:r>
      <w:r>
        <w:rPr>
          <w:rFonts w:ascii="Times New Roman" w:eastAsia="Calibri" w:hAnsi="Times New Roman" w:cs="Times New Roman"/>
          <w:color w:val="000000"/>
          <w:sz w:val="28"/>
          <w:szCs w:val="28"/>
        </w:rPr>
        <w:t xml:space="preserve">ла приурочена </w:t>
      </w:r>
      <w:r>
        <w:rPr>
          <w:rFonts w:ascii="Times New Roman" w:eastAsia="Calibri" w:hAnsi="Times New Roman" w:cs="Times New Roman"/>
          <w:color w:val="000000"/>
          <w:sz w:val="28"/>
          <w:szCs w:val="28"/>
        </w:rPr>
        <w:br/>
      </w:r>
      <w:r w:rsidR="009F4BAA">
        <w:rPr>
          <w:rFonts w:ascii="Times New Roman" w:eastAsia="Calibri" w:hAnsi="Times New Roman" w:cs="Times New Roman"/>
          <w:color w:val="000000"/>
          <w:sz w:val="28"/>
          <w:szCs w:val="28"/>
        </w:rPr>
        <w:t>к</w:t>
      </w:r>
      <w:r w:rsidRPr="00256D35">
        <w:rPr>
          <w:rFonts w:ascii="Times New Roman" w:eastAsia="Calibri" w:hAnsi="Times New Roman" w:cs="Times New Roman"/>
          <w:color w:val="000000"/>
          <w:sz w:val="28"/>
          <w:szCs w:val="28"/>
        </w:rPr>
        <w:t xml:space="preserve"> 85-летию региона. Каждому ребенку, родившемуся в юбилейный год, вручался</w:t>
      </w:r>
      <w:r w:rsidR="003C3E0D" w:rsidRPr="003875E5">
        <w:rPr>
          <w:rFonts w:ascii="Times New Roman" w:eastAsia="Times New Roman" w:hAnsi="Times New Roman" w:cs="Times New Roman"/>
          <w:sz w:val="28"/>
          <w:szCs w:val="28"/>
          <w:lang w:eastAsia="ru-RU"/>
        </w:rPr>
        <w:t> </w:t>
      </w:r>
      <w:r w:rsidRPr="00256D35">
        <w:rPr>
          <w:rFonts w:ascii="Times New Roman" w:eastAsia="Calibri" w:hAnsi="Times New Roman" w:cs="Times New Roman"/>
          <w:color w:val="000000"/>
          <w:sz w:val="28"/>
          <w:szCs w:val="28"/>
        </w:rPr>
        <w:t>подарочный комплект детских принадлежностей</w:t>
      </w:r>
      <w:r>
        <w:rPr>
          <w:rFonts w:ascii="Times New Roman" w:eastAsia="Calibri" w:hAnsi="Times New Roman" w:cs="Times New Roman"/>
          <w:color w:val="000000"/>
          <w:sz w:val="28"/>
          <w:szCs w:val="28"/>
        </w:rPr>
        <w:t>.</w:t>
      </w:r>
    </w:p>
    <w:p w14:paraId="05BB8624" w14:textId="77777777" w:rsidR="00C93C3C" w:rsidRDefault="00C93C3C" w:rsidP="00C93C3C">
      <w:pPr>
        <w:widowControl w:val="0"/>
        <w:spacing w:after="0" w:line="312" w:lineRule="auto"/>
        <w:ind w:firstLine="708"/>
        <w:jc w:val="both"/>
        <w:rPr>
          <w:rFonts w:ascii="Times New Roman" w:eastAsia="Calibri" w:hAnsi="Times New Roman" w:cs="Times New Roman"/>
          <w:color w:val="000000"/>
          <w:sz w:val="28"/>
          <w:szCs w:val="28"/>
        </w:rPr>
      </w:pPr>
      <w:r w:rsidRPr="00256D35">
        <w:rPr>
          <w:rFonts w:ascii="Times New Roman" w:eastAsia="Calibri" w:hAnsi="Times New Roman" w:cs="Times New Roman"/>
          <w:color w:val="000000"/>
          <w:sz w:val="28"/>
          <w:szCs w:val="28"/>
        </w:rPr>
        <w:t xml:space="preserve">В Республике Алтай подарочный набор </w:t>
      </w:r>
      <w:r>
        <w:rPr>
          <w:rFonts w:ascii="Times New Roman" w:eastAsia="Calibri" w:hAnsi="Times New Roman" w:cs="Times New Roman"/>
          <w:color w:val="000000"/>
          <w:sz w:val="28"/>
          <w:szCs w:val="28"/>
        </w:rPr>
        <w:t xml:space="preserve">детского ассортимента вручается </w:t>
      </w:r>
      <w:r w:rsidRPr="00256D35">
        <w:rPr>
          <w:rFonts w:ascii="Times New Roman" w:eastAsia="Calibri" w:hAnsi="Times New Roman" w:cs="Times New Roman"/>
          <w:color w:val="000000"/>
          <w:sz w:val="28"/>
          <w:szCs w:val="28"/>
        </w:rPr>
        <w:t>семьям, родившим двух и более детей, а в Ярославской области подарок выдается</w:t>
      </w:r>
      <w:r w:rsidR="003C3E0D" w:rsidRPr="003875E5">
        <w:rPr>
          <w:rFonts w:ascii="Times New Roman" w:eastAsia="Times New Roman" w:hAnsi="Times New Roman" w:cs="Times New Roman"/>
          <w:sz w:val="28"/>
          <w:szCs w:val="28"/>
          <w:lang w:eastAsia="ru-RU"/>
        </w:rPr>
        <w:t> </w:t>
      </w:r>
      <w:r w:rsidRPr="00256D35">
        <w:rPr>
          <w:rFonts w:ascii="Times New Roman" w:eastAsia="Calibri" w:hAnsi="Times New Roman" w:cs="Times New Roman"/>
          <w:color w:val="000000"/>
          <w:sz w:val="28"/>
          <w:szCs w:val="28"/>
        </w:rPr>
        <w:t>матери, у которой одновременно родил</w:t>
      </w:r>
      <w:r w:rsidR="00D02314">
        <w:rPr>
          <w:rFonts w:ascii="Times New Roman" w:eastAsia="Calibri" w:hAnsi="Times New Roman" w:cs="Times New Roman"/>
          <w:color w:val="000000"/>
          <w:sz w:val="28"/>
          <w:szCs w:val="28"/>
        </w:rPr>
        <w:t>о</w:t>
      </w:r>
      <w:r w:rsidRPr="00256D35">
        <w:rPr>
          <w:rFonts w:ascii="Times New Roman" w:eastAsia="Calibri" w:hAnsi="Times New Roman" w:cs="Times New Roman"/>
          <w:color w:val="000000"/>
          <w:sz w:val="28"/>
          <w:szCs w:val="28"/>
        </w:rPr>
        <w:t>сь трое и более детей</w:t>
      </w:r>
      <w:r>
        <w:rPr>
          <w:rFonts w:ascii="Times New Roman" w:eastAsia="Calibri" w:hAnsi="Times New Roman" w:cs="Times New Roman"/>
          <w:color w:val="000000"/>
          <w:sz w:val="28"/>
          <w:szCs w:val="28"/>
        </w:rPr>
        <w:t>.</w:t>
      </w:r>
    </w:p>
    <w:p w14:paraId="0615CD4D" w14:textId="77777777" w:rsidR="00C93C3C" w:rsidRDefault="00C93C3C" w:rsidP="00C93C3C">
      <w:pPr>
        <w:widowControl w:val="0"/>
        <w:spacing w:after="0" w:line="312" w:lineRule="auto"/>
        <w:ind w:firstLine="708"/>
        <w:jc w:val="both"/>
        <w:rPr>
          <w:rFonts w:ascii="Times New Roman" w:eastAsia="Calibri" w:hAnsi="Times New Roman" w:cs="Times New Roman"/>
          <w:color w:val="000000"/>
          <w:sz w:val="28"/>
          <w:szCs w:val="28"/>
        </w:rPr>
      </w:pPr>
      <w:r w:rsidRPr="00256D35">
        <w:rPr>
          <w:rFonts w:ascii="Times New Roman" w:eastAsia="Calibri" w:hAnsi="Times New Roman" w:cs="Times New Roman"/>
          <w:color w:val="000000"/>
          <w:sz w:val="28"/>
          <w:szCs w:val="28"/>
        </w:rPr>
        <w:lastRenderedPageBreak/>
        <w:t>С целью оказания помощи молодым мамам, находящимся в трудной</w:t>
      </w:r>
      <w:r w:rsidR="003C3E0D" w:rsidRPr="003875E5">
        <w:rPr>
          <w:rFonts w:ascii="Times New Roman" w:eastAsia="Times New Roman" w:hAnsi="Times New Roman" w:cs="Times New Roman"/>
          <w:sz w:val="28"/>
          <w:szCs w:val="28"/>
          <w:lang w:eastAsia="ru-RU"/>
        </w:rPr>
        <w:t> </w:t>
      </w:r>
      <w:r w:rsidRPr="00256D35">
        <w:rPr>
          <w:rFonts w:ascii="Times New Roman" w:eastAsia="Calibri" w:hAnsi="Times New Roman" w:cs="Times New Roman"/>
          <w:color w:val="000000"/>
          <w:sz w:val="28"/>
          <w:szCs w:val="28"/>
        </w:rPr>
        <w:t>жизненной ситуации, в Кировской и Волгоградской областях администрация</w:t>
      </w:r>
      <w:r w:rsidR="003C3E0D" w:rsidRPr="00256D35">
        <w:rPr>
          <w:rFonts w:ascii="Times New Roman" w:eastAsia="Calibri" w:hAnsi="Times New Roman" w:cs="Times New Roman"/>
          <w:color w:val="000000"/>
          <w:sz w:val="28"/>
          <w:szCs w:val="28"/>
        </w:rPr>
        <w:t>ми</w:t>
      </w:r>
      <w:r w:rsidR="003C3E0D" w:rsidRPr="003875E5">
        <w:rPr>
          <w:rFonts w:ascii="Times New Roman" w:eastAsia="Times New Roman" w:hAnsi="Times New Roman" w:cs="Times New Roman"/>
          <w:sz w:val="28"/>
          <w:szCs w:val="28"/>
          <w:lang w:eastAsia="ru-RU"/>
        </w:rPr>
        <w:t> </w:t>
      </w:r>
      <w:r w:rsidRPr="00256D35">
        <w:rPr>
          <w:rFonts w:ascii="Times New Roman" w:eastAsia="Calibri" w:hAnsi="Times New Roman" w:cs="Times New Roman"/>
          <w:color w:val="000000"/>
          <w:sz w:val="28"/>
          <w:szCs w:val="28"/>
        </w:rPr>
        <w:t>муниципальных районов совместно с организациями здравоохран</w:t>
      </w:r>
      <w:r>
        <w:rPr>
          <w:rFonts w:ascii="Times New Roman" w:eastAsia="Calibri" w:hAnsi="Times New Roman" w:cs="Times New Roman"/>
          <w:color w:val="000000"/>
          <w:sz w:val="28"/>
          <w:szCs w:val="28"/>
        </w:rPr>
        <w:t xml:space="preserve">ения </w:t>
      </w:r>
      <w:r w:rsidRPr="00256D35">
        <w:rPr>
          <w:rFonts w:ascii="Times New Roman" w:eastAsia="Calibri" w:hAnsi="Times New Roman" w:cs="Times New Roman"/>
          <w:color w:val="000000"/>
          <w:sz w:val="28"/>
          <w:szCs w:val="28"/>
        </w:rPr>
        <w:t>и социального обслуживания населения</w:t>
      </w:r>
      <w:r>
        <w:rPr>
          <w:rFonts w:ascii="Times New Roman" w:eastAsia="Calibri" w:hAnsi="Times New Roman" w:cs="Times New Roman"/>
          <w:color w:val="000000"/>
          <w:sz w:val="28"/>
          <w:szCs w:val="28"/>
        </w:rPr>
        <w:t xml:space="preserve"> области проводились совместные </w:t>
      </w:r>
      <w:r w:rsidRPr="00256D35">
        <w:rPr>
          <w:rFonts w:ascii="Times New Roman" w:eastAsia="Calibri" w:hAnsi="Times New Roman" w:cs="Times New Roman"/>
          <w:color w:val="000000"/>
          <w:sz w:val="28"/>
          <w:szCs w:val="28"/>
        </w:rPr>
        <w:t>мероприятия по вручению «Подарка новорожденному».</w:t>
      </w:r>
    </w:p>
    <w:p w14:paraId="0D71BB9F" w14:textId="525418E3" w:rsidR="00C93C3C" w:rsidRPr="00220326" w:rsidRDefault="00C93C3C" w:rsidP="00C93C3C">
      <w:pPr>
        <w:widowControl w:val="0"/>
        <w:spacing w:after="0" w:line="312" w:lineRule="auto"/>
        <w:ind w:firstLine="708"/>
        <w:jc w:val="both"/>
        <w:rPr>
          <w:rFonts w:ascii="Times New Roman" w:eastAsia="Calibri" w:hAnsi="Times New Roman" w:cs="Times New Roman"/>
          <w:color w:val="000000"/>
          <w:sz w:val="28"/>
          <w:szCs w:val="28"/>
        </w:rPr>
      </w:pPr>
      <w:r w:rsidRPr="00220326">
        <w:rPr>
          <w:rFonts w:ascii="Times New Roman" w:eastAsia="Calibri" w:hAnsi="Times New Roman" w:cs="Times New Roman"/>
          <w:color w:val="000000"/>
          <w:sz w:val="28"/>
          <w:szCs w:val="28"/>
        </w:rPr>
        <w:t>В Красноярском крае предусмотрено обес</w:t>
      </w:r>
      <w:r>
        <w:rPr>
          <w:rFonts w:ascii="Times New Roman" w:eastAsia="Calibri" w:hAnsi="Times New Roman" w:cs="Times New Roman"/>
          <w:color w:val="000000"/>
          <w:sz w:val="28"/>
          <w:szCs w:val="28"/>
        </w:rPr>
        <w:t xml:space="preserve">печение семей из числа коренных </w:t>
      </w:r>
      <w:r w:rsidRPr="00220326">
        <w:rPr>
          <w:rFonts w:ascii="Times New Roman" w:eastAsia="Calibri" w:hAnsi="Times New Roman" w:cs="Times New Roman"/>
          <w:color w:val="000000"/>
          <w:sz w:val="28"/>
          <w:szCs w:val="28"/>
        </w:rPr>
        <w:t>малочисленных народов Севера комплек</w:t>
      </w:r>
      <w:r>
        <w:rPr>
          <w:rFonts w:ascii="Times New Roman" w:eastAsia="Calibri" w:hAnsi="Times New Roman" w:cs="Times New Roman"/>
          <w:color w:val="000000"/>
          <w:sz w:val="28"/>
          <w:szCs w:val="28"/>
        </w:rPr>
        <w:t xml:space="preserve">тами для новорожденных, которые </w:t>
      </w:r>
      <w:r w:rsidRPr="00220326">
        <w:rPr>
          <w:rFonts w:ascii="Times New Roman" w:eastAsia="Calibri" w:hAnsi="Times New Roman" w:cs="Times New Roman"/>
          <w:color w:val="000000"/>
          <w:sz w:val="28"/>
          <w:szCs w:val="28"/>
        </w:rPr>
        <w:t>включают детские одеяла, пеленки, р</w:t>
      </w:r>
      <w:r w:rsidR="000121EC">
        <w:rPr>
          <w:rFonts w:ascii="Times New Roman" w:eastAsia="Calibri" w:hAnsi="Times New Roman" w:cs="Times New Roman"/>
          <w:color w:val="000000"/>
          <w:sz w:val="28"/>
          <w:szCs w:val="28"/>
        </w:rPr>
        <w:t>аспашонки, чепчики, подгузники.</w:t>
      </w:r>
    </w:p>
    <w:p w14:paraId="5F378286" w14:textId="77777777" w:rsidR="00C93C3C" w:rsidRDefault="00C93C3C" w:rsidP="00052F52">
      <w:pPr>
        <w:widowControl w:val="0"/>
        <w:spacing w:after="0" w:line="312" w:lineRule="auto"/>
        <w:ind w:firstLine="708"/>
        <w:jc w:val="both"/>
        <w:rPr>
          <w:rFonts w:ascii="Times New Roman" w:eastAsia="Calibri" w:hAnsi="Times New Roman" w:cs="Times New Roman"/>
          <w:color w:val="000000"/>
          <w:sz w:val="28"/>
          <w:szCs w:val="28"/>
        </w:rPr>
      </w:pPr>
      <w:r w:rsidRPr="00220326">
        <w:rPr>
          <w:rFonts w:ascii="Times New Roman" w:eastAsia="Calibri" w:hAnsi="Times New Roman" w:cs="Times New Roman"/>
          <w:color w:val="000000"/>
          <w:sz w:val="28"/>
          <w:szCs w:val="28"/>
        </w:rPr>
        <w:t>В медицинских организациях Оренбур</w:t>
      </w:r>
      <w:r>
        <w:rPr>
          <w:rFonts w:ascii="Times New Roman" w:eastAsia="Calibri" w:hAnsi="Times New Roman" w:cs="Times New Roman"/>
          <w:color w:val="000000"/>
          <w:sz w:val="28"/>
          <w:szCs w:val="28"/>
        </w:rPr>
        <w:t xml:space="preserve">гской области проводилась акция </w:t>
      </w:r>
      <w:r w:rsidRPr="00220326">
        <w:rPr>
          <w:rFonts w:ascii="Times New Roman" w:eastAsia="Calibri" w:hAnsi="Times New Roman" w:cs="Times New Roman"/>
          <w:color w:val="000000"/>
          <w:sz w:val="28"/>
          <w:szCs w:val="28"/>
        </w:rPr>
        <w:t>«Подарок новорожденному», приуроченная к Пр</w:t>
      </w:r>
      <w:r>
        <w:rPr>
          <w:rFonts w:ascii="Times New Roman" w:eastAsia="Calibri" w:hAnsi="Times New Roman" w:cs="Times New Roman"/>
          <w:color w:val="000000"/>
          <w:sz w:val="28"/>
          <w:szCs w:val="28"/>
        </w:rPr>
        <w:t xml:space="preserve">азднику «День матери в России», </w:t>
      </w:r>
      <w:r w:rsidRPr="00220326">
        <w:rPr>
          <w:rFonts w:ascii="Times New Roman" w:eastAsia="Calibri" w:hAnsi="Times New Roman" w:cs="Times New Roman"/>
          <w:color w:val="000000"/>
          <w:sz w:val="28"/>
          <w:szCs w:val="28"/>
        </w:rPr>
        <w:t>«Покров день». В Чувашской Республике</w:t>
      </w:r>
      <w:r>
        <w:rPr>
          <w:rFonts w:ascii="Times New Roman" w:eastAsia="Calibri" w:hAnsi="Times New Roman" w:cs="Times New Roman"/>
          <w:color w:val="000000"/>
          <w:sz w:val="28"/>
          <w:szCs w:val="28"/>
        </w:rPr>
        <w:t xml:space="preserve"> акция «Подарок новорожденному» </w:t>
      </w:r>
      <w:r w:rsidRPr="00220326">
        <w:rPr>
          <w:rFonts w:ascii="Times New Roman" w:eastAsia="Calibri" w:hAnsi="Times New Roman" w:cs="Times New Roman"/>
          <w:color w:val="000000"/>
          <w:sz w:val="28"/>
          <w:szCs w:val="28"/>
        </w:rPr>
        <w:t>приурочена ко Дню защиты детей.</w:t>
      </w:r>
      <w:r w:rsidR="00040D79" w:rsidRPr="003875E5">
        <w:rPr>
          <w:rFonts w:ascii="Times New Roman" w:eastAsia="Times New Roman" w:hAnsi="Times New Roman" w:cs="Times New Roman"/>
          <w:sz w:val="28"/>
          <w:szCs w:val="28"/>
          <w:lang w:eastAsia="ru-RU"/>
        </w:rPr>
        <w:t> </w:t>
      </w:r>
      <w:r w:rsidRPr="00220326">
        <w:rPr>
          <w:rFonts w:ascii="Times New Roman" w:eastAsia="Calibri" w:hAnsi="Times New Roman" w:cs="Times New Roman"/>
          <w:color w:val="000000"/>
          <w:sz w:val="28"/>
          <w:szCs w:val="28"/>
        </w:rPr>
        <w:t>В Ростовской области и Республике Морд</w:t>
      </w:r>
      <w:r>
        <w:rPr>
          <w:rFonts w:ascii="Times New Roman" w:eastAsia="Calibri" w:hAnsi="Times New Roman" w:cs="Times New Roman"/>
          <w:color w:val="000000"/>
          <w:sz w:val="28"/>
          <w:szCs w:val="28"/>
        </w:rPr>
        <w:t xml:space="preserve">овия мероприятие осуществляется </w:t>
      </w:r>
      <w:r w:rsidRPr="00220326">
        <w:rPr>
          <w:rFonts w:ascii="Times New Roman" w:eastAsia="Calibri" w:hAnsi="Times New Roman" w:cs="Times New Roman"/>
          <w:color w:val="000000"/>
          <w:sz w:val="28"/>
          <w:szCs w:val="28"/>
        </w:rPr>
        <w:t>в рамках оказания благотворительной помощи.</w:t>
      </w:r>
    </w:p>
    <w:p w14:paraId="6C41A2B7" w14:textId="77777777" w:rsidR="000121EC" w:rsidRDefault="00C93C3C" w:rsidP="000121EC">
      <w:pPr>
        <w:widowControl w:val="0"/>
        <w:spacing w:after="0" w:line="312" w:lineRule="auto"/>
        <w:ind w:firstLine="708"/>
        <w:jc w:val="both"/>
        <w:rPr>
          <w:rFonts w:ascii="Times New Roman" w:eastAsia="Calibri" w:hAnsi="Times New Roman" w:cs="Times New Roman"/>
          <w:color w:val="000000"/>
          <w:sz w:val="28"/>
          <w:szCs w:val="28"/>
        </w:rPr>
      </w:pPr>
      <w:r w:rsidRPr="00756634">
        <w:rPr>
          <w:rFonts w:ascii="Times New Roman" w:eastAsia="Calibri" w:hAnsi="Times New Roman" w:cs="Times New Roman"/>
          <w:color w:val="000000"/>
          <w:sz w:val="28"/>
          <w:szCs w:val="28"/>
        </w:rPr>
        <w:t xml:space="preserve">В г. Москве в подарок новорожденному </w:t>
      </w:r>
      <w:r w:rsidRPr="00583800">
        <w:rPr>
          <w:rFonts w:ascii="Times New Roman" w:eastAsia="Calibri" w:hAnsi="Times New Roman" w:cs="Times New Roman"/>
          <w:color w:val="000000"/>
          <w:sz w:val="28"/>
          <w:szCs w:val="28"/>
        </w:rPr>
        <w:t>входят 45 товаров для детей, из которых 32 товара пост</w:t>
      </w:r>
      <w:r w:rsidR="000121EC">
        <w:rPr>
          <w:rFonts w:ascii="Times New Roman" w:eastAsia="Calibri" w:hAnsi="Times New Roman" w:cs="Times New Roman"/>
          <w:color w:val="000000"/>
          <w:sz w:val="28"/>
          <w:szCs w:val="28"/>
        </w:rPr>
        <w:t>авляют российские производители</w:t>
      </w:r>
      <w:r w:rsidRPr="00756634">
        <w:rPr>
          <w:rFonts w:ascii="Times New Roman" w:eastAsia="Calibri" w:hAnsi="Times New Roman" w:cs="Times New Roman"/>
          <w:color w:val="000000"/>
          <w:sz w:val="28"/>
          <w:szCs w:val="28"/>
        </w:rPr>
        <w:t>.</w:t>
      </w:r>
      <w:r w:rsidR="006D1A5D" w:rsidRPr="003875E5">
        <w:rPr>
          <w:rFonts w:ascii="Times New Roman" w:eastAsia="Times New Roman" w:hAnsi="Times New Roman" w:cs="Times New Roman"/>
          <w:sz w:val="28"/>
          <w:szCs w:val="28"/>
          <w:lang w:eastAsia="ru-RU"/>
        </w:rPr>
        <w:t> </w:t>
      </w:r>
      <w:r w:rsidRPr="00756634">
        <w:rPr>
          <w:rFonts w:ascii="Times New Roman" w:eastAsia="Calibri" w:hAnsi="Times New Roman" w:cs="Times New Roman"/>
          <w:color w:val="000000"/>
          <w:sz w:val="28"/>
          <w:szCs w:val="28"/>
        </w:rPr>
        <w:t>В Московской области 49 позиций (54 товара) составляют «Подарок новорожденному», из которых 43 производят российские предприятия.</w:t>
      </w:r>
      <w:r w:rsidR="006D1A5D" w:rsidRPr="003875E5">
        <w:rPr>
          <w:rFonts w:ascii="Times New Roman" w:eastAsia="Times New Roman" w:hAnsi="Times New Roman" w:cs="Times New Roman"/>
          <w:sz w:val="28"/>
          <w:szCs w:val="28"/>
          <w:lang w:eastAsia="ru-RU"/>
        </w:rPr>
        <w:t> </w:t>
      </w:r>
      <w:r w:rsidRPr="00756634">
        <w:rPr>
          <w:rFonts w:ascii="Times New Roman" w:eastAsia="Calibri" w:hAnsi="Times New Roman" w:cs="Times New Roman"/>
          <w:color w:val="000000"/>
          <w:sz w:val="28"/>
          <w:szCs w:val="28"/>
        </w:rPr>
        <w:t>В Тверской области из 50 наименований продукции в «Подарке новорожденному» 38 поста</w:t>
      </w:r>
      <w:r w:rsidR="000121EC">
        <w:rPr>
          <w:rFonts w:ascii="Times New Roman" w:eastAsia="Calibri" w:hAnsi="Times New Roman" w:cs="Times New Roman"/>
          <w:color w:val="000000"/>
          <w:sz w:val="28"/>
          <w:szCs w:val="28"/>
        </w:rPr>
        <w:t>вляют российские производители.</w:t>
      </w:r>
    </w:p>
    <w:p w14:paraId="184A41D7" w14:textId="22273D27" w:rsidR="00C93C3C" w:rsidRPr="00220326" w:rsidRDefault="00C93C3C" w:rsidP="000121EC">
      <w:pPr>
        <w:widowControl w:val="0"/>
        <w:spacing w:after="0" w:line="312" w:lineRule="auto"/>
        <w:ind w:firstLine="708"/>
        <w:jc w:val="both"/>
        <w:rPr>
          <w:rFonts w:ascii="Times New Roman" w:eastAsia="Calibri" w:hAnsi="Times New Roman" w:cs="Times New Roman"/>
          <w:color w:val="000000"/>
          <w:sz w:val="28"/>
          <w:szCs w:val="28"/>
        </w:rPr>
      </w:pPr>
      <w:r w:rsidRPr="00756634">
        <w:rPr>
          <w:rFonts w:ascii="Times New Roman" w:eastAsia="Calibri" w:hAnsi="Times New Roman" w:cs="Times New Roman"/>
          <w:color w:val="000000"/>
          <w:sz w:val="28"/>
          <w:szCs w:val="28"/>
        </w:rPr>
        <w:t>В Вологодской области все 14 предметов п</w:t>
      </w:r>
      <w:r>
        <w:rPr>
          <w:rFonts w:ascii="Times New Roman" w:eastAsia="Calibri" w:hAnsi="Times New Roman" w:cs="Times New Roman"/>
          <w:color w:val="000000"/>
          <w:sz w:val="28"/>
          <w:szCs w:val="28"/>
        </w:rPr>
        <w:t xml:space="preserve">одарка поставляют отечественные </w:t>
      </w:r>
      <w:r w:rsidRPr="00756634">
        <w:rPr>
          <w:rFonts w:ascii="Times New Roman" w:eastAsia="Calibri" w:hAnsi="Times New Roman" w:cs="Times New Roman"/>
          <w:color w:val="000000"/>
          <w:sz w:val="28"/>
          <w:szCs w:val="28"/>
        </w:rPr>
        <w:t xml:space="preserve">производители, а в Новгородской области </w:t>
      </w:r>
      <w:r w:rsidR="00052F52">
        <w:rPr>
          <w:rFonts w:ascii="Times New Roman" w:eastAsia="Calibri" w:hAnsi="Times New Roman" w:cs="Times New Roman"/>
          <w:color w:val="000000"/>
          <w:sz w:val="28"/>
          <w:szCs w:val="28"/>
        </w:rPr>
        <w:t xml:space="preserve">– </w:t>
      </w:r>
      <w:r w:rsidRPr="00756634">
        <w:rPr>
          <w:rFonts w:ascii="Times New Roman" w:eastAsia="Calibri" w:hAnsi="Times New Roman" w:cs="Times New Roman"/>
          <w:color w:val="000000"/>
          <w:sz w:val="28"/>
          <w:szCs w:val="28"/>
        </w:rPr>
        <w:t xml:space="preserve">все 11 предметов. В Республике Карелия </w:t>
      </w:r>
      <w:r w:rsidR="007A4AB8">
        <w:rPr>
          <w:rFonts w:ascii="Times New Roman" w:eastAsia="Calibri" w:hAnsi="Times New Roman" w:cs="Times New Roman"/>
          <w:color w:val="000000"/>
          <w:sz w:val="28"/>
          <w:szCs w:val="28"/>
        </w:rPr>
        <w:t>таких</w:t>
      </w:r>
      <w:r w:rsidR="00052F52">
        <w:rPr>
          <w:rFonts w:ascii="Times New Roman" w:eastAsia="Calibri" w:hAnsi="Times New Roman" w:cs="Times New Roman"/>
          <w:color w:val="000000"/>
          <w:sz w:val="28"/>
          <w:szCs w:val="28"/>
        </w:rPr>
        <w:t xml:space="preserve"> </w:t>
      </w:r>
      <w:r w:rsidR="007A4AB8" w:rsidRPr="00756634">
        <w:rPr>
          <w:rFonts w:ascii="Times New Roman" w:eastAsia="Calibri" w:hAnsi="Times New Roman" w:cs="Times New Roman"/>
          <w:color w:val="000000"/>
          <w:sz w:val="28"/>
          <w:szCs w:val="28"/>
        </w:rPr>
        <w:t xml:space="preserve">предметов </w:t>
      </w:r>
      <w:r w:rsidRPr="00756634">
        <w:rPr>
          <w:rFonts w:ascii="Times New Roman" w:eastAsia="Calibri" w:hAnsi="Times New Roman" w:cs="Times New Roman"/>
          <w:color w:val="000000"/>
          <w:sz w:val="28"/>
          <w:szCs w:val="28"/>
        </w:rPr>
        <w:t>15, Республик</w:t>
      </w:r>
      <w:r w:rsidR="00052F52">
        <w:rPr>
          <w:rFonts w:ascii="Times New Roman" w:eastAsia="Calibri" w:hAnsi="Times New Roman" w:cs="Times New Roman"/>
          <w:color w:val="000000"/>
          <w:sz w:val="28"/>
          <w:szCs w:val="28"/>
        </w:rPr>
        <w:t>е</w:t>
      </w:r>
      <w:r w:rsidRPr="00756634">
        <w:rPr>
          <w:rFonts w:ascii="Times New Roman" w:eastAsia="Calibri" w:hAnsi="Times New Roman" w:cs="Times New Roman"/>
          <w:color w:val="000000"/>
          <w:sz w:val="28"/>
          <w:szCs w:val="28"/>
        </w:rPr>
        <w:t xml:space="preserve"> Башкортостан </w:t>
      </w:r>
      <w:r w:rsidR="00052F52">
        <w:rPr>
          <w:rFonts w:ascii="Times New Roman" w:eastAsia="Calibri" w:hAnsi="Times New Roman" w:cs="Times New Roman"/>
          <w:color w:val="000000"/>
          <w:sz w:val="28"/>
          <w:szCs w:val="28"/>
        </w:rPr>
        <w:t xml:space="preserve">– </w:t>
      </w:r>
      <w:r w:rsidRPr="00756634">
        <w:rPr>
          <w:rFonts w:ascii="Times New Roman" w:eastAsia="Calibri" w:hAnsi="Times New Roman" w:cs="Times New Roman"/>
          <w:color w:val="000000"/>
          <w:sz w:val="28"/>
          <w:szCs w:val="28"/>
        </w:rPr>
        <w:t>7 предметов, Белгородск</w:t>
      </w:r>
      <w:r w:rsidR="00052F52">
        <w:rPr>
          <w:rFonts w:ascii="Times New Roman" w:eastAsia="Calibri" w:hAnsi="Times New Roman" w:cs="Times New Roman"/>
          <w:color w:val="000000"/>
          <w:sz w:val="28"/>
          <w:szCs w:val="28"/>
        </w:rPr>
        <w:t>ой</w:t>
      </w:r>
      <w:r w:rsidR="006D1A5D" w:rsidRPr="003875E5">
        <w:rPr>
          <w:rFonts w:ascii="Times New Roman" w:eastAsia="Times New Roman" w:hAnsi="Times New Roman" w:cs="Times New Roman"/>
          <w:sz w:val="28"/>
          <w:szCs w:val="28"/>
          <w:lang w:eastAsia="ru-RU"/>
        </w:rPr>
        <w:t> </w:t>
      </w:r>
      <w:r w:rsidR="000121EC">
        <w:rPr>
          <w:rFonts w:ascii="Times New Roman" w:eastAsia="Times New Roman" w:hAnsi="Times New Roman" w:cs="Times New Roman"/>
          <w:sz w:val="28"/>
          <w:szCs w:val="28"/>
          <w:lang w:eastAsia="ru-RU"/>
        </w:rPr>
        <w:br/>
      </w:r>
      <w:r w:rsidR="00052F52">
        <w:rPr>
          <w:rFonts w:ascii="Times New Roman" w:eastAsia="Calibri" w:hAnsi="Times New Roman" w:cs="Times New Roman"/>
          <w:color w:val="000000"/>
          <w:sz w:val="28"/>
          <w:szCs w:val="28"/>
        </w:rPr>
        <w:t xml:space="preserve">области – </w:t>
      </w:r>
      <w:r w:rsidRPr="00756634">
        <w:rPr>
          <w:rFonts w:ascii="Times New Roman" w:eastAsia="Calibri" w:hAnsi="Times New Roman" w:cs="Times New Roman"/>
          <w:color w:val="000000"/>
          <w:sz w:val="28"/>
          <w:szCs w:val="28"/>
        </w:rPr>
        <w:t>6 предметов, Ульяновск</w:t>
      </w:r>
      <w:r w:rsidR="00052F52">
        <w:rPr>
          <w:rFonts w:ascii="Times New Roman" w:eastAsia="Calibri" w:hAnsi="Times New Roman" w:cs="Times New Roman"/>
          <w:color w:val="000000"/>
          <w:sz w:val="28"/>
          <w:szCs w:val="28"/>
        </w:rPr>
        <w:t>ой</w:t>
      </w:r>
      <w:r w:rsidRPr="00756634">
        <w:rPr>
          <w:rFonts w:ascii="Times New Roman" w:eastAsia="Calibri" w:hAnsi="Times New Roman" w:cs="Times New Roman"/>
          <w:color w:val="000000"/>
          <w:sz w:val="28"/>
          <w:szCs w:val="28"/>
        </w:rPr>
        <w:t xml:space="preserve"> област</w:t>
      </w:r>
      <w:r w:rsidR="00052F52">
        <w:rPr>
          <w:rFonts w:ascii="Times New Roman" w:eastAsia="Calibri" w:hAnsi="Times New Roman" w:cs="Times New Roman"/>
          <w:color w:val="000000"/>
          <w:sz w:val="28"/>
          <w:szCs w:val="28"/>
        </w:rPr>
        <w:t>и</w:t>
      </w:r>
      <w:r w:rsidR="006D1A5D" w:rsidRPr="003875E5">
        <w:rPr>
          <w:rFonts w:ascii="Times New Roman" w:eastAsia="Times New Roman" w:hAnsi="Times New Roman" w:cs="Times New Roman"/>
          <w:sz w:val="28"/>
          <w:szCs w:val="28"/>
          <w:lang w:eastAsia="ru-RU"/>
        </w:rPr>
        <w:t> </w:t>
      </w:r>
      <w:r w:rsidR="00052F52">
        <w:rPr>
          <w:rFonts w:ascii="Times New Roman" w:eastAsia="Calibri" w:hAnsi="Times New Roman" w:cs="Times New Roman"/>
          <w:color w:val="000000"/>
          <w:sz w:val="28"/>
          <w:szCs w:val="28"/>
        </w:rPr>
        <w:t xml:space="preserve">– </w:t>
      </w:r>
      <w:r w:rsidRPr="00756634">
        <w:rPr>
          <w:rFonts w:ascii="Times New Roman" w:eastAsia="Calibri" w:hAnsi="Times New Roman" w:cs="Times New Roman"/>
          <w:color w:val="000000"/>
          <w:sz w:val="28"/>
          <w:szCs w:val="28"/>
        </w:rPr>
        <w:t>12 предметов, Ленинградск</w:t>
      </w:r>
      <w:r w:rsidR="006D1A5D">
        <w:rPr>
          <w:rFonts w:ascii="Times New Roman" w:eastAsia="Calibri" w:hAnsi="Times New Roman" w:cs="Times New Roman"/>
          <w:color w:val="000000"/>
          <w:sz w:val="28"/>
          <w:szCs w:val="28"/>
        </w:rPr>
        <w:t xml:space="preserve">ой </w:t>
      </w:r>
      <w:r w:rsidRPr="00756634">
        <w:rPr>
          <w:rFonts w:ascii="Times New Roman" w:eastAsia="Calibri" w:hAnsi="Times New Roman" w:cs="Times New Roman"/>
          <w:color w:val="000000"/>
          <w:sz w:val="28"/>
          <w:szCs w:val="28"/>
        </w:rPr>
        <w:t>област</w:t>
      </w:r>
      <w:r w:rsidR="00052F52">
        <w:rPr>
          <w:rFonts w:ascii="Times New Roman" w:eastAsia="Calibri" w:hAnsi="Times New Roman" w:cs="Times New Roman"/>
          <w:color w:val="000000"/>
          <w:sz w:val="28"/>
          <w:szCs w:val="28"/>
        </w:rPr>
        <w:t>и и Республике Татарстан</w:t>
      </w:r>
      <w:r w:rsidR="006D1A5D" w:rsidRPr="003875E5">
        <w:rPr>
          <w:rFonts w:ascii="Times New Roman" w:eastAsia="Times New Roman" w:hAnsi="Times New Roman" w:cs="Times New Roman"/>
          <w:sz w:val="28"/>
          <w:szCs w:val="28"/>
          <w:lang w:eastAsia="ru-RU"/>
        </w:rPr>
        <w:t> </w:t>
      </w:r>
      <w:r w:rsidR="00052F52">
        <w:rPr>
          <w:rFonts w:ascii="Times New Roman" w:eastAsia="Calibri" w:hAnsi="Times New Roman" w:cs="Times New Roman"/>
          <w:color w:val="000000"/>
          <w:sz w:val="28"/>
          <w:szCs w:val="28"/>
        </w:rPr>
        <w:t xml:space="preserve">– </w:t>
      </w:r>
      <w:r w:rsidRPr="00756634">
        <w:rPr>
          <w:rFonts w:ascii="Times New Roman" w:eastAsia="Calibri" w:hAnsi="Times New Roman" w:cs="Times New Roman"/>
          <w:color w:val="000000"/>
          <w:sz w:val="28"/>
          <w:szCs w:val="28"/>
        </w:rPr>
        <w:t>14 предметов, Самарск</w:t>
      </w:r>
      <w:r w:rsidR="00052F52">
        <w:rPr>
          <w:rFonts w:ascii="Times New Roman" w:eastAsia="Calibri" w:hAnsi="Times New Roman" w:cs="Times New Roman"/>
          <w:color w:val="000000"/>
          <w:sz w:val="28"/>
          <w:szCs w:val="28"/>
        </w:rPr>
        <w:t>ой</w:t>
      </w:r>
      <w:r w:rsidRPr="00756634">
        <w:rPr>
          <w:rFonts w:ascii="Times New Roman" w:eastAsia="Calibri" w:hAnsi="Times New Roman" w:cs="Times New Roman"/>
          <w:color w:val="000000"/>
          <w:sz w:val="28"/>
          <w:szCs w:val="28"/>
        </w:rPr>
        <w:t xml:space="preserve"> област</w:t>
      </w:r>
      <w:r w:rsidR="00052F52">
        <w:rPr>
          <w:rFonts w:ascii="Times New Roman" w:eastAsia="Calibri" w:hAnsi="Times New Roman" w:cs="Times New Roman"/>
          <w:color w:val="000000"/>
          <w:sz w:val="28"/>
          <w:szCs w:val="28"/>
        </w:rPr>
        <w:t>и</w:t>
      </w:r>
      <w:r w:rsidR="006D1A5D" w:rsidRPr="003875E5">
        <w:rPr>
          <w:rFonts w:ascii="Times New Roman" w:eastAsia="Times New Roman" w:hAnsi="Times New Roman" w:cs="Times New Roman"/>
          <w:sz w:val="28"/>
          <w:szCs w:val="28"/>
          <w:lang w:eastAsia="ru-RU"/>
        </w:rPr>
        <w:t> </w:t>
      </w:r>
      <w:r w:rsidR="00052F52">
        <w:rPr>
          <w:rFonts w:ascii="Times New Roman" w:eastAsia="Calibri" w:hAnsi="Times New Roman" w:cs="Times New Roman"/>
          <w:color w:val="000000"/>
          <w:sz w:val="28"/>
          <w:szCs w:val="28"/>
        </w:rPr>
        <w:t xml:space="preserve">– </w:t>
      </w:r>
      <w:r w:rsidRPr="00756634">
        <w:rPr>
          <w:rFonts w:ascii="Times New Roman" w:eastAsia="Calibri" w:hAnsi="Times New Roman" w:cs="Times New Roman"/>
          <w:color w:val="000000"/>
          <w:sz w:val="28"/>
          <w:szCs w:val="28"/>
        </w:rPr>
        <w:t xml:space="preserve">27 предметов, Брянская область от 2 до 19 предметов за счет </w:t>
      </w:r>
      <w:r w:rsidR="006D1A5D">
        <w:rPr>
          <w:rFonts w:ascii="Times New Roman" w:eastAsia="Calibri" w:hAnsi="Times New Roman" w:cs="Times New Roman"/>
          <w:color w:val="000000"/>
          <w:sz w:val="28"/>
          <w:szCs w:val="28"/>
        </w:rPr>
        <w:t xml:space="preserve">средств </w:t>
      </w:r>
      <w:r w:rsidRPr="00756634">
        <w:rPr>
          <w:rFonts w:ascii="Times New Roman" w:eastAsia="Calibri" w:hAnsi="Times New Roman" w:cs="Times New Roman"/>
          <w:color w:val="000000"/>
          <w:sz w:val="28"/>
          <w:szCs w:val="28"/>
        </w:rPr>
        <w:t>муниципалитетов, Камчатск</w:t>
      </w:r>
      <w:r w:rsidR="00052F52">
        <w:rPr>
          <w:rFonts w:ascii="Times New Roman" w:eastAsia="Calibri" w:hAnsi="Times New Roman" w:cs="Times New Roman"/>
          <w:color w:val="000000"/>
          <w:sz w:val="28"/>
          <w:szCs w:val="28"/>
        </w:rPr>
        <w:t>ом</w:t>
      </w:r>
      <w:r w:rsidRPr="00756634">
        <w:rPr>
          <w:rFonts w:ascii="Times New Roman" w:eastAsia="Calibri" w:hAnsi="Times New Roman" w:cs="Times New Roman"/>
          <w:color w:val="000000"/>
          <w:sz w:val="28"/>
          <w:szCs w:val="28"/>
        </w:rPr>
        <w:t xml:space="preserve"> кра</w:t>
      </w:r>
      <w:r w:rsidR="00052F52">
        <w:rPr>
          <w:rFonts w:ascii="Times New Roman" w:eastAsia="Calibri" w:hAnsi="Times New Roman" w:cs="Times New Roman"/>
          <w:color w:val="000000"/>
          <w:sz w:val="28"/>
          <w:szCs w:val="28"/>
        </w:rPr>
        <w:t>е –</w:t>
      </w:r>
      <w:r w:rsidRPr="00756634">
        <w:rPr>
          <w:rFonts w:ascii="Times New Roman" w:eastAsia="Calibri" w:hAnsi="Times New Roman" w:cs="Times New Roman"/>
          <w:color w:val="000000"/>
          <w:sz w:val="28"/>
          <w:szCs w:val="28"/>
        </w:rPr>
        <w:t xml:space="preserve"> </w:t>
      </w:r>
      <w:r w:rsidR="00566C57">
        <w:rPr>
          <w:rFonts w:ascii="Times New Roman" w:eastAsia="Calibri" w:hAnsi="Times New Roman" w:cs="Times New Roman"/>
          <w:color w:val="000000"/>
          <w:sz w:val="28"/>
          <w:szCs w:val="28"/>
        </w:rPr>
        <w:br/>
      </w:r>
      <w:r w:rsidRPr="00756634">
        <w:rPr>
          <w:rFonts w:ascii="Times New Roman" w:eastAsia="Calibri" w:hAnsi="Times New Roman" w:cs="Times New Roman"/>
          <w:color w:val="000000"/>
          <w:sz w:val="28"/>
          <w:szCs w:val="28"/>
        </w:rPr>
        <w:t>19 предметов, г. Севастопол</w:t>
      </w:r>
      <w:r w:rsidR="00052F52">
        <w:rPr>
          <w:rFonts w:ascii="Times New Roman" w:eastAsia="Calibri" w:hAnsi="Times New Roman" w:cs="Times New Roman"/>
          <w:color w:val="000000"/>
          <w:sz w:val="28"/>
          <w:szCs w:val="28"/>
        </w:rPr>
        <w:t>е –</w:t>
      </w:r>
      <w:r w:rsidRPr="00756634">
        <w:rPr>
          <w:rFonts w:ascii="Times New Roman" w:eastAsia="Calibri" w:hAnsi="Times New Roman" w:cs="Times New Roman"/>
          <w:color w:val="000000"/>
          <w:sz w:val="28"/>
          <w:szCs w:val="28"/>
        </w:rPr>
        <w:t xml:space="preserve"> 20 предметов, Хабаровск</w:t>
      </w:r>
      <w:r w:rsidR="00052F52">
        <w:rPr>
          <w:rFonts w:ascii="Times New Roman" w:eastAsia="Calibri" w:hAnsi="Times New Roman" w:cs="Times New Roman"/>
          <w:color w:val="000000"/>
          <w:sz w:val="28"/>
          <w:szCs w:val="28"/>
        </w:rPr>
        <w:t>ом</w:t>
      </w:r>
      <w:r w:rsidRPr="00756634">
        <w:rPr>
          <w:rFonts w:ascii="Times New Roman" w:eastAsia="Calibri" w:hAnsi="Times New Roman" w:cs="Times New Roman"/>
          <w:color w:val="000000"/>
          <w:sz w:val="28"/>
          <w:szCs w:val="28"/>
        </w:rPr>
        <w:t xml:space="preserve"> </w:t>
      </w:r>
      <w:r w:rsidRPr="00756634">
        <w:rPr>
          <w:rFonts w:ascii="Times New Roman" w:eastAsia="Calibri" w:hAnsi="Times New Roman" w:cs="Times New Roman"/>
          <w:color w:val="000000"/>
          <w:sz w:val="28"/>
          <w:szCs w:val="28"/>
        </w:rPr>
        <w:lastRenderedPageBreak/>
        <w:t>кра</w:t>
      </w:r>
      <w:r w:rsidR="00052F52">
        <w:rPr>
          <w:rFonts w:ascii="Times New Roman" w:eastAsia="Calibri" w:hAnsi="Times New Roman" w:cs="Times New Roman"/>
          <w:color w:val="000000"/>
          <w:sz w:val="28"/>
          <w:szCs w:val="28"/>
        </w:rPr>
        <w:t>е</w:t>
      </w:r>
      <w:r w:rsidR="006D1A5D" w:rsidRPr="003875E5">
        <w:rPr>
          <w:rFonts w:ascii="Times New Roman" w:eastAsia="Times New Roman" w:hAnsi="Times New Roman" w:cs="Times New Roman"/>
          <w:sz w:val="28"/>
          <w:szCs w:val="28"/>
          <w:lang w:eastAsia="ru-RU"/>
        </w:rPr>
        <w:t> </w:t>
      </w:r>
      <w:r w:rsidR="00052F52">
        <w:rPr>
          <w:rFonts w:ascii="Times New Roman" w:eastAsia="Calibri" w:hAnsi="Times New Roman" w:cs="Times New Roman"/>
          <w:color w:val="000000"/>
          <w:sz w:val="28"/>
          <w:szCs w:val="28"/>
        </w:rPr>
        <w:t xml:space="preserve">– </w:t>
      </w:r>
      <w:r w:rsidRPr="00756634">
        <w:rPr>
          <w:rFonts w:ascii="Times New Roman" w:eastAsia="Calibri" w:hAnsi="Times New Roman" w:cs="Times New Roman"/>
          <w:color w:val="000000"/>
          <w:sz w:val="28"/>
          <w:szCs w:val="28"/>
        </w:rPr>
        <w:t>18 предметов, Забайкальск</w:t>
      </w:r>
      <w:r w:rsidR="00052F52">
        <w:rPr>
          <w:rFonts w:ascii="Times New Roman" w:eastAsia="Calibri" w:hAnsi="Times New Roman" w:cs="Times New Roman"/>
          <w:color w:val="000000"/>
          <w:sz w:val="28"/>
          <w:szCs w:val="28"/>
        </w:rPr>
        <w:t>ом</w:t>
      </w:r>
      <w:r w:rsidRPr="00756634">
        <w:rPr>
          <w:rFonts w:ascii="Times New Roman" w:eastAsia="Calibri" w:hAnsi="Times New Roman" w:cs="Times New Roman"/>
          <w:color w:val="000000"/>
          <w:sz w:val="28"/>
          <w:szCs w:val="28"/>
        </w:rPr>
        <w:t xml:space="preserve"> кра</w:t>
      </w:r>
      <w:r w:rsidR="00052F52">
        <w:rPr>
          <w:rFonts w:ascii="Times New Roman" w:eastAsia="Calibri" w:hAnsi="Times New Roman" w:cs="Times New Roman"/>
          <w:color w:val="000000"/>
          <w:sz w:val="28"/>
          <w:szCs w:val="28"/>
        </w:rPr>
        <w:t>е –</w:t>
      </w:r>
      <w:r w:rsidRPr="00756634">
        <w:rPr>
          <w:rFonts w:ascii="Times New Roman" w:eastAsia="Calibri" w:hAnsi="Times New Roman" w:cs="Times New Roman"/>
          <w:color w:val="000000"/>
          <w:sz w:val="28"/>
          <w:szCs w:val="28"/>
        </w:rPr>
        <w:t xml:space="preserve"> 24 предмета, Еврейск</w:t>
      </w:r>
      <w:r w:rsidR="00052F52">
        <w:rPr>
          <w:rFonts w:ascii="Times New Roman" w:eastAsia="Calibri" w:hAnsi="Times New Roman" w:cs="Times New Roman"/>
          <w:color w:val="000000"/>
          <w:sz w:val="28"/>
          <w:szCs w:val="28"/>
        </w:rPr>
        <w:t>ой</w:t>
      </w:r>
      <w:r w:rsidRPr="00756634">
        <w:rPr>
          <w:rFonts w:ascii="Times New Roman" w:eastAsia="Calibri" w:hAnsi="Times New Roman" w:cs="Times New Roman"/>
          <w:color w:val="000000"/>
          <w:sz w:val="28"/>
          <w:szCs w:val="28"/>
        </w:rPr>
        <w:t xml:space="preserve"> автономн</w:t>
      </w:r>
      <w:r w:rsidR="00052F52">
        <w:rPr>
          <w:rFonts w:ascii="Times New Roman" w:eastAsia="Calibri" w:hAnsi="Times New Roman" w:cs="Times New Roman"/>
          <w:color w:val="000000"/>
          <w:sz w:val="28"/>
          <w:szCs w:val="28"/>
        </w:rPr>
        <w:t>ой</w:t>
      </w:r>
      <w:r w:rsidRPr="00756634">
        <w:rPr>
          <w:rFonts w:ascii="Times New Roman" w:eastAsia="Calibri" w:hAnsi="Times New Roman" w:cs="Times New Roman"/>
          <w:color w:val="000000"/>
          <w:sz w:val="28"/>
          <w:szCs w:val="28"/>
        </w:rPr>
        <w:t xml:space="preserve"> област</w:t>
      </w:r>
      <w:r w:rsidR="00052F52">
        <w:rPr>
          <w:rFonts w:ascii="Times New Roman" w:eastAsia="Calibri" w:hAnsi="Times New Roman" w:cs="Times New Roman"/>
          <w:color w:val="000000"/>
          <w:sz w:val="28"/>
          <w:szCs w:val="28"/>
        </w:rPr>
        <w:t>и</w:t>
      </w:r>
      <w:r w:rsidR="0071690C" w:rsidRPr="003875E5">
        <w:rPr>
          <w:rFonts w:ascii="Times New Roman" w:eastAsia="Times New Roman" w:hAnsi="Times New Roman" w:cs="Times New Roman"/>
          <w:sz w:val="28"/>
          <w:szCs w:val="28"/>
          <w:lang w:eastAsia="ru-RU"/>
        </w:rPr>
        <w:t> </w:t>
      </w:r>
      <w:r w:rsidR="00052F52">
        <w:rPr>
          <w:rFonts w:ascii="Times New Roman" w:eastAsia="Calibri" w:hAnsi="Times New Roman" w:cs="Times New Roman"/>
          <w:color w:val="000000"/>
          <w:sz w:val="28"/>
          <w:szCs w:val="28"/>
        </w:rPr>
        <w:t xml:space="preserve">– </w:t>
      </w:r>
      <w:r w:rsidRPr="00756634">
        <w:rPr>
          <w:rFonts w:ascii="Times New Roman" w:eastAsia="Calibri" w:hAnsi="Times New Roman" w:cs="Times New Roman"/>
          <w:color w:val="000000"/>
          <w:sz w:val="28"/>
          <w:szCs w:val="28"/>
        </w:rPr>
        <w:t>7 предметов, Чукотск</w:t>
      </w:r>
      <w:r w:rsidR="00052F52">
        <w:rPr>
          <w:rFonts w:ascii="Times New Roman" w:eastAsia="Calibri" w:hAnsi="Times New Roman" w:cs="Times New Roman"/>
          <w:color w:val="000000"/>
          <w:sz w:val="28"/>
          <w:szCs w:val="28"/>
        </w:rPr>
        <w:t>ом</w:t>
      </w:r>
      <w:r w:rsidRPr="00756634">
        <w:rPr>
          <w:rFonts w:ascii="Times New Roman" w:eastAsia="Calibri" w:hAnsi="Times New Roman" w:cs="Times New Roman"/>
          <w:color w:val="000000"/>
          <w:sz w:val="28"/>
          <w:szCs w:val="28"/>
        </w:rPr>
        <w:t xml:space="preserve"> автономн</w:t>
      </w:r>
      <w:r w:rsidR="00052F52">
        <w:rPr>
          <w:rFonts w:ascii="Times New Roman" w:eastAsia="Calibri" w:hAnsi="Times New Roman" w:cs="Times New Roman"/>
          <w:color w:val="000000"/>
          <w:sz w:val="28"/>
          <w:szCs w:val="28"/>
        </w:rPr>
        <w:t>ом</w:t>
      </w:r>
      <w:r w:rsidRPr="00756634">
        <w:rPr>
          <w:rFonts w:ascii="Times New Roman" w:eastAsia="Calibri" w:hAnsi="Times New Roman" w:cs="Times New Roman"/>
          <w:color w:val="000000"/>
          <w:sz w:val="28"/>
          <w:szCs w:val="28"/>
        </w:rPr>
        <w:t xml:space="preserve"> округ</w:t>
      </w:r>
      <w:r w:rsidR="00052F52">
        <w:rPr>
          <w:rFonts w:ascii="Times New Roman" w:eastAsia="Calibri" w:hAnsi="Times New Roman" w:cs="Times New Roman"/>
          <w:color w:val="000000"/>
          <w:sz w:val="28"/>
          <w:szCs w:val="28"/>
        </w:rPr>
        <w:t>е –</w:t>
      </w:r>
      <w:r w:rsidRPr="00756634">
        <w:rPr>
          <w:rFonts w:ascii="Times New Roman" w:eastAsia="Calibri" w:hAnsi="Times New Roman" w:cs="Times New Roman"/>
          <w:color w:val="000000"/>
          <w:sz w:val="28"/>
          <w:szCs w:val="28"/>
        </w:rPr>
        <w:t xml:space="preserve"> 26 предметов.</w:t>
      </w:r>
    </w:p>
    <w:p w14:paraId="73CC941E" w14:textId="1DDAD141" w:rsidR="00C93C3C" w:rsidRDefault="00C93C3C" w:rsidP="00052F52">
      <w:pPr>
        <w:widowControl w:val="0"/>
        <w:spacing w:after="0" w:line="312" w:lineRule="auto"/>
        <w:ind w:firstLine="708"/>
        <w:jc w:val="both"/>
        <w:rPr>
          <w:rFonts w:ascii="Times New Roman" w:eastAsia="Calibri" w:hAnsi="Times New Roman" w:cs="Times New Roman"/>
          <w:color w:val="000000"/>
          <w:sz w:val="28"/>
          <w:szCs w:val="28"/>
        </w:rPr>
      </w:pPr>
      <w:r w:rsidRPr="00220326">
        <w:rPr>
          <w:rFonts w:ascii="Times New Roman" w:eastAsia="Calibri" w:hAnsi="Times New Roman" w:cs="Times New Roman"/>
          <w:color w:val="000000"/>
          <w:sz w:val="28"/>
          <w:szCs w:val="28"/>
        </w:rPr>
        <w:t>В каждом субъекте Российской Федерации к формированию «подар</w:t>
      </w:r>
      <w:r>
        <w:rPr>
          <w:rFonts w:ascii="Times New Roman" w:eastAsia="Calibri" w:hAnsi="Times New Roman" w:cs="Times New Roman"/>
          <w:color w:val="000000"/>
          <w:sz w:val="28"/>
          <w:szCs w:val="28"/>
        </w:rPr>
        <w:t xml:space="preserve">ка </w:t>
      </w:r>
      <w:r w:rsidRPr="00220326">
        <w:rPr>
          <w:rFonts w:ascii="Times New Roman" w:eastAsia="Calibri" w:hAnsi="Times New Roman" w:cs="Times New Roman"/>
          <w:color w:val="000000"/>
          <w:sz w:val="28"/>
          <w:szCs w:val="28"/>
        </w:rPr>
        <w:t>новорожденному» подходят индивидуально</w:t>
      </w:r>
      <w:r w:rsidR="0071690C" w:rsidRPr="003875E5">
        <w:rPr>
          <w:rFonts w:ascii="Times New Roman" w:eastAsia="Times New Roman" w:hAnsi="Times New Roman" w:cs="Times New Roman"/>
          <w:sz w:val="28"/>
          <w:szCs w:val="28"/>
          <w:lang w:eastAsia="ru-RU"/>
        </w:rPr>
        <w:t> </w:t>
      </w:r>
      <w:r w:rsidRPr="00756634">
        <w:rPr>
          <w:rFonts w:ascii="Times New Roman" w:eastAsia="Calibri" w:hAnsi="Times New Roman" w:cs="Times New Roman"/>
          <w:color w:val="000000"/>
          <w:sz w:val="28"/>
          <w:szCs w:val="28"/>
        </w:rPr>
        <w:t>(от 1 до 58 предметов в наборе).</w:t>
      </w:r>
      <w:r w:rsidR="0071690C" w:rsidRPr="0071690C">
        <w:rPr>
          <w:rFonts w:ascii="Times New Roman" w:eastAsia="Times New Roman" w:hAnsi="Times New Roman" w:cs="Times New Roman"/>
          <w:sz w:val="28"/>
          <w:szCs w:val="28"/>
          <w:lang w:eastAsia="ru-RU"/>
        </w:rPr>
        <w:t xml:space="preserve"> </w:t>
      </w:r>
      <w:r w:rsidR="0071690C" w:rsidRPr="003875E5">
        <w:rPr>
          <w:rFonts w:ascii="Times New Roman" w:eastAsia="Times New Roman" w:hAnsi="Times New Roman" w:cs="Times New Roman"/>
          <w:sz w:val="28"/>
          <w:szCs w:val="28"/>
          <w:lang w:eastAsia="ru-RU"/>
        </w:rPr>
        <w:t> </w:t>
      </w:r>
      <w:r w:rsidRPr="00220326">
        <w:rPr>
          <w:rFonts w:ascii="Times New Roman" w:eastAsia="Calibri" w:hAnsi="Times New Roman" w:cs="Times New Roman"/>
          <w:color w:val="000000"/>
          <w:sz w:val="28"/>
          <w:szCs w:val="28"/>
        </w:rPr>
        <w:t>Максимальное наполнение кор</w:t>
      </w:r>
      <w:r>
        <w:rPr>
          <w:rFonts w:ascii="Times New Roman" w:eastAsia="Calibri" w:hAnsi="Times New Roman" w:cs="Times New Roman"/>
          <w:color w:val="000000"/>
          <w:sz w:val="28"/>
          <w:szCs w:val="28"/>
        </w:rPr>
        <w:t xml:space="preserve">зины представлено в подарке для </w:t>
      </w:r>
      <w:r w:rsidRPr="00220326">
        <w:rPr>
          <w:rFonts w:ascii="Times New Roman" w:eastAsia="Calibri" w:hAnsi="Times New Roman" w:cs="Times New Roman"/>
          <w:color w:val="000000"/>
          <w:sz w:val="28"/>
          <w:szCs w:val="28"/>
        </w:rPr>
        <w:t xml:space="preserve">новорожденного Тверской области 50 товаров </w:t>
      </w:r>
      <w:r>
        <w:rPr>
          <w:rFonts w:ascii="Times New Roman" w:eastAsia="Calibri" w:hAnsi="Times New Roman" w:cs="Times New Roman"/>
          <w:color w:val="000000"/>
          <w:sz w:val="28"/>
          <w:szCs w:val="28"/>
        </w:rPr>
        <w:t xml:space="preserve">(58 единиц), которые пригодятся </w:t>
      </w:r>
      <w:r w:rsidRPr="00220326">
        <w:rPr>
          <w:rFonts w:ascii="Times New Roman" w:eastAsia="Calibri" w:hAnsi="Times New Roman" w:cs="Times New Roman"/>
          <w:color w:val="000000"/>
          <w:sz w:val="28"/>
          <w:szCs w:val="28"/>
        </w:rPr>
        <w:t xml:space="preserve">в первые полгода жизни. </w:t>
      </w:r>
      <w:r>
        <w:rPr>
          <w:rFonts w:ascii="Times New Roman" w:eastAsia="Calibri" w:hAnsi="Times New Roman" w:cs="Times New Roman"/>
          <w:color w:val="000000"/>
          <w:sz w:val="28"/>
          <w:szCs w:val="28"/>
        </w:rPr>
        <w:t xml:space="preserve">Главными требованиями </w:t>
      </w:r>
      <w:r w:rsidRPr="00220326">
        <w:rPr>
          <w:rFonts w:ascii="Times New Roman" w:eastAsia="Calibri" w:hAnsi="Times New Roman" w:cs="Times New Roman"/>
          <w:color w:val="000000"/>
          <w:sz w:val="28"/>
          <w:szCs w:val="28"/>
        </w:rPr>
        <w:t>к составу является качество и нейтральная расцветк</w:t>
      </w:r>
      <w:r w:rsidR="000121EC">
        <w:rPr>
          <w:rFonts w:ascii="Times New Roman" w:eastAsia="Calibri" w:hAnsi="Times New Roman" w:cs="Times New Roman"/>
          <w:color w:val="000000"/>
          <w:sz w:val="28"/>
          <w:szCs w:val="28"/>
        </w:rPr>
        <w:t>а.</w:t>
      </w:r>
    </w:p>
    <w:p w14:paraId="0A5B39E3" w14:textId="77777777" w:rsidR="00C93C3C" w:rsidRDefault="00585E83" w:rsidP="00C93C3C">
      <w:pPr>
        <w:widowControl w:val="0"/>
        <w:spacing w:after="0" w:line="312"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Е</w:t>
      </w:r>
      <w:r w:rsidR="00C93C3C" w:rsidRPr="003461A5">
        <w:rPr>
          <w:rFonts w:ascii="Times New Roman" w:eastAsia="Calibri" w:hAnsi="Times New Roman" w:cs="Times New Roman"/>
          <w:color w:val="000000"/>
          <w:sz w:val="28"/>
          <w:szCs w:val="28"/>
        </w:rPr>
        <w:t>жегодн</w:t>
      </w:r>
      <w:r>
        <w:rPr>
          <w:rFonts w:ascii="Times New Roman" w:eastAsia="Calibri" w:hAnsi="Times New Roman" w:cs="Times New Roman"/>
          <w:color w:val="000000"/>
          <w:sz w:val="28"/>
          <w:szCs w:val="28"/>
        </w:rPr>
        <w:t>ым</w:t>
      </w:r>
      <w:r w:rsidR="0071690C" w:rsidRPr="003875E5">
        <w:rPr>
          <w:rFonts w:ascii="Times New Roman" w:eastAsia="Times New Roman" w:hAnsi="Times New Roman" w:cs="Times New Roman"/>
          <w:sz w:val="28"/>
          <w:szCs w:val="28"/>
          <w:lang w:eastAsia="ru-RU"/>
        </w:rPr>
        <w:t> </w:t>
      </w:r>
      <w:r>
        <w:rPr>
          <w:rFonts w:ascii="Times New Roman" w:eastAsia="Calibri" w:hAnsi="Times New Roman" w:cs="Times New Roman"/>
          <w:color w:val="000000"/>
          <w:sz w:val="28"/>
          <w:szCs w:val="28"/>
        </w:rPr>
        <w:t>стало проведение ряда</w:t>
      </w:r>
      <w:r w:rsidR="0071690C" w:rsidRPr="003875E5">
        <w:rPr>
          <w:rFonts w:ascii="Times New Roman" w:eastAsia="Times New Roman" w:hAnsi="Times New Roman" w:cs="Times New Roman"/>
          <w:sz w:val="28"/>
          <w:szCs w:val="28"/>
          <w:lang w:eastAsia="ru-RU"/>
        </w:rPr>
        <w:t> </w:t>
      </w:r>
      <w:proofErr w:type="spellStart"/>
      <w:r w:rsidR="00C93C3C">
        <w:rPr>
          <w:rFonts w:ascii="Times New Roman" w:eastAsia="Calibri" w:hAnsi="Times New Roman" w:cs="Times New Roman"/>
          <w:color w:val="000000"/>
          <w:sz w:val="28"/>
          <w:szCs w:val="28"/>
        </w:rPr>
        <w:t>конгрессно</w:t>
      </w:r>
      <w:proofErr w:type="spellEnd"/>
      <w:r w:rsidR="00C93C3C">
        <w:rPr>
          <w:rFonts w:ascii="Times New Roman" w:eastAsia="Calibri" w:hAnsi="Times New Roman" w:cs="Times New Roman"/>
          <w:color w:val="000000"/>
          <w:sz w:val="28"/>
          <w:szCs w:val="28"/>
        </w:rPr>
        <w:t>-</w:t>
      </w:r>
      <w:r w:rsidR="00C93C3C" w:rsidRPr="003461A5">
        <w:rPr>
          <w:rFonts w:ascii="Times New Roman" w:eastAsia="Calibri" w:hAnsi="Times New Roman" w:cs="Times New Roman"/>
          <w:color w:val="000000"/>
          <w:sz w:val="28"/>
          <w:szCs w:val="28"/>
        </w:rPr>
        <w:t>выставочных мероприятий в формате коллект</w:t>
      </w:r>
      <w:r w:rsidR="00C93C3C">
        <w:rPr>
          <w:rFonts w:ascii="Times New Roman" w:eastAsia="Calibri" w:hAnsi="Times New Roman" w:cs="Times New Roman"/>
          <w:color w:val="000000"/>
          <w:sz w:val="28"/>
          <w:szCs w:val="28"/>
        </w:rPr>
        <w:t xml:space="preserve">ивных экспозиций производителей </w:t>
      </w:r>
      <w:r w:rsidR="00C93C3C" w:rsidRPr="003461A5">
        <w:rPr>
          <w:rFonts w:ascii="Times New Roman" w:eastAsia="Calibri" w:hAnsi="Times New Roman" w:cs="Times New Roman"/>
          <w:color w:val="000000"/>
          <w:sz w:val="28"/>
          <w:szCs w:val="28"/>
        </w:rPr>
        <w:t>индустрии детских товаров.</w:t>
      </w:r>
    </w:p>
    <w:p w14:paraId="68C87E06" w14:textId="77777777" w:rsidR="00C93C3C" w:rsidRDefault="00585E83" w:rsidP="00C93C3C">
      <w:pPr>
        <w:widowControl w:val="0"/>
        <w:spacing w:after="0" w:line="312"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Так, с</w:t>
      </w:r>
      <w:r w:rsidR="00C93C3C" w:rsidRPr="00243BCB">
        <w:rPr>
          <w:rFonts w:ascii="Times New Roman" w:eastAsia="Calibri" w:hAnsi="Times New Roman" w:cs="Times New Roman"/>
          <w:color w:val="000000"/>
          <w:sz w:val="28"/>
          <w:szCs w:val="28"/>
        </w:rPr>
        <w:t xml:space="preserve"> 1 по 2 июня 2021 г</w:t>
      </w:r>
      <w:r w:rsidR="00365C18">
        <w:rPr>
          <w:rFonts w:ascii="Times New Roman" w:eastAsia="Calibri" w:hAnsi="Times New Roman" w:cs="Times New Roman"/>
          <w:color w:val="000000"/>
          <w:sz w:val="28"/>
          <w:szCs w:val="28"/>
        </w:rPr>
        <w:t>.</w:t>
      </w:r>
      <w:r w:rsidR="00C93C3C" w:rsidRPr="00243BCB">
        <w:rPr>
          <w:rFonts w:ascii="Times New Roman" w:eastAsia="Calibri" w:hAnsi="Times New Roman" w:cs="Times New Roman"/>
          <w:color w:val="000000"/>
          <w:sz w:val="28"/>
          <w:szCs w:val="28"/>
        </w:rPr>
        <w:t xml:space="preserve"> в г. Кемерово </w:t>
      </w:r>
      <w:r w:rsidR="00365C18" w:rsidRPr="00243BCB">
        <w:rPr>
          <w:rFonts w:ascii="Times New Roman" w:eastAsia="Calibri" w:hAnsi="Times New Roman" w:cs="Times New Roman"/>
          <w:color w:val="000000"/>
          <w:sz w:val="28"/>
          <w:szCs w:val="28"/>
        </w:rPr>
        <w:t>по инициативе Уполномоче</w:t>
      </w:r>
      <w:r w:rsidR="00365C18">
        <w:rPr>
          <w:rFonts w:ascii="Times New Roman" w:eastAsia="Calibri" w:hAnsi="Times New Roman" w:cs="Times New Roman"/>
          <w:color w:val="000000"/>
          <w:sz w:val="28"/>
          <w:szCs w:val="28"/>
        </w:rPr>
        <w:t xml:space="preserve">нного при Президенте Российской </w:t>
      </w:r>
      <w:r w:rsidR="00365C18" w:rsidRPr="00243BCB">
        <w:rPr>
          <w:rFonts w:ascii="Times New Roman" w:eastAsia="Calibri" w:hAnsi="Times New Roman" w:cs="Times New Roman"/>
          <w:color w:val="000000"/>
          <w:sz w:val="28"/>
          <w:szCs w:val="28"/>
        </w:rPr>
        <w:t>Федерации по правам ребенка при поддер</w:t>
      </w:r>
      <w:r w:rsidR="00365C18">
        <w:rPr>
          <w:rFonts w:ascii="Times New Roman" w:eastAsia="Calibri" w:hAnsi="Times New Roman" w:cs="Times New Roman"/>
          <w:color w:val="000000"/>
          <w:sz w:val="28"/>
          <w:szCs w:val="28"/>
        </w:rPr>
        <w:t xml:space="preserve">жке </w:t>
      </w:r>
      <w:proofErr w:type="spellStart"/>
      <w:r w:rsidR="00365C18">
        <w:rPr>
          <w:rFonts w:ascii="Times New Roman" w:eastAsia="Calibri" w:hAnsi="Times New Roman" w:cs="Times New Roman"/>
          <w:color w:val="000000"/>
          <w:sz w:val="28"/>
          <w:szCs w:val="28"/>
        </w:rPr>
        <w:t>Минпромторга</w:t>
      </w:r>
      <w:proofErr w:type="spellEnd"/>
      <w:r w:rsidR="00365C18">
        <w:rPr>
          <w:rFonts w:ascii="Times New Roman" w:eastAsia="Calibri" w:hAnsi="Times New Roman" w:cs="Times New Roman"/>
          <w:color w:val="000000"/>
          <w:sz w:val="28"/>
          <w:szCs w:val="28"/>
        </w:rPr>
        <w:t xml:space="preserve"> России проведен</w:t>
      </w:r>
      <w:r w:rsidR="00C93C3C">
        <w:rPr>
          <w:rFonts w:ascii="Times New Roman" w:eastAsia="Calibri" w:hAnsi="Times New Roman" w:cs="Times New Roman"/>
          <w:color w:val="000000"/>
          <w:sz w:val="28"/>
          <w:szCs w:val="28"/>
        </w:rPr>
        <w:t xml:space="preserve"> I Всероссийский Форум «Вектор детства </w:t>
      </w:r>
      <w:r>
        <w:rPr>
          <w:rFonts w:ascii="Times New Roman" w:eastAsia="Calibri" w:hAnsi="Times New Roman" w:cs="Times New Roman"/>
          <w:color w:val="000000"/>
          <w:sz w:val="28"/>
          <w:szCs w:val="28"/>
        </w:rPr>
        <w:t>–</w:t>
      </w:r>
      <w:r w:rsidR="00C93C3C">
        <w:rPr>
          <w:rFonts w:ascii="Times New Roman" w:eastAsia="Calibri" w:hAnsi="Times New Roman" w:cs="Times New Roman"/>
          <w:color w:val="000000"/>
          <w:sz w:val="28"/>
          <w:szCs w:val="28"/>
        </w:rPr>
        <w:t xml:space="preserve"> 2021», </w:t>
      </w:r>
      <w:r w:rsidR="00365C18">
        <w:rPr>
          <w:rFonts w:ascii="Times New Roman" w:eastAsia="Calibri" w:hAnsi="Times New Roman" w:cs="Times New Roman"/>
          <w:color w:val="000000"/>
          <w:sz w:val="28"/>
          <w:szCs w:val="28"/>
        </w:rPr>
        <w:t>приуроченный</w:t>
      </w:r>
      <w:r w:rsidR="00C93C3C" w:rsidRPr="00243BCB">
        <w:rPr>
          <w:rFonts w:ascii="Times New Roman" w:eastAsia="Calibri" w:hAnsi="Times New Roman" w:cs="Times New Roman"/>
          <w:color w:val="000000"/>
          <w:sz w:val="28"/>
          <w:szCs w:val="28"/>
        </w:rPr>
        <w:t xml:space="preserve"> к </w:t>
      </w:r>
      <w:r w:rsidR="00C93C3C">
        <w:rPr>
          <w:rFonts w:ascii="Times New Roman" w:eastAsia="Calibri" w:hAnsi="Times New Roman" w:cs="Times New Roman"/>
          <w:color w:val="000000"/>
          <w:sz w:val="28"/>
          <w:szCs w:val="28"/>
        </w:rPr>
        <w:t xml:space="preserve">Международному дню защиты детей. </w:t>
      </w:r>
      <w:r w:rsidR="00C93C3C" w:rsidRPr="00243BCB">
        <w:rPr>
          <w:rFonts w:ascii="Times New Roman" w:eastAsia="Calibri" w:hAnsi="Times New Roman" w:cs="Times New Roman"/>
          <w:color w:val="000000"/>
          <w:sz w:val="28"/>
          <w:szCs w:val="28"/>
        </w:rPr>
        <w:t>В рамках Форума в Ледовом Дворце «Кузб</w:t>
      </w:r>
      <w:r w:rsidR="00C93C3C">
        <w:rPr>
          <w:rFonts w:ascii="Times New Roman" w:eastAsia="Calibri" w:hAnsi="Times New Roman" w:cs="Times New Roman"/>
          <w:color w:val="000000"/>
          <w:sz w:val="28"/>
          <w:szCs w:val="28"/>
        </w:rPr>
        <w:t xml:space="preserve">асс» была организована выставка </w:t>
      </w:r>
      <w:r w:rsidR="00C93C3C" w:rsidRPr="00243BCB">
        <w:rPr>
          <w:rFonts w:ascii="Times New Roman" w:eastAsia="Calibri" w:hAnsi="Times New Roman" w:cs="Times New Roman"/>
          <w:color w:val="000000"/>
          <w:sz w:val="28"/>
          <w:szCs w:val="28"/>
        </w:rPr>
        <w:t>достижений индустрии детских то</w:t>
      </w:r>
      <w:r w:rsidR="00C93C3C">
        <w:rPr>
          <w:rFonts w:ascii="Times New Roman" w:eastAsia="Calibri" w:hAnsi="Times New Roman" w:cs="Times New Roman"/>
          <w:color w:val="000000"/>
          <w:sz w:val="28"/>
          <w:szCs w:val="28"/>
        </w:rPr>
        <w:t>в</w:t>
      </w:r>
      <w:r w:rsidR="00365C18">
        <w:rPr>
          <w:rFonts w:ascii="Times New Roman" w:eastAsia="Calibri" w:hAnsi="Times New Roman" w:cs="Times New Roman"/>
          <w:color w:val="000000"/>
          <w:sz w:val="28"/>
          <w:szCs w:val="28"/>
        </w:rPr>
        <w:t xml:space="preserve">аров общей площадью 600 кв. м, </w:t>
      </w:r>
      <w:r w:rsidR="00C93C3C" w:rsidRPr="00243BCB">
        <w:rPr>
          <w:rFonts w:ascii="Times New Roman" w:eastAsia="Calibri" w:hAnsi="Times New Roman" w:cs="Times New Roman"/>
          <w:color w:val="000000"/>
          <w:sz w:val="28"/>
          <w:szCs w:val="28"/>
        </w:rPr>
        <w:t>50 производителей представили свою п</w:t>
      </w:r>
      <w:r w:rsidR="00C93C3C">
        <w:rPr>
          <w:rFonts w:ascii="Times New Roman" w:eastAsia="Calibri" w:hAnsi="Times New Roman" w:cs="Times New Roman"/>
          <w:color w:val="000000"/>
          <w:sz w:val="28"/>
          <w:szCs w:val="28"/>
        </w:rPr>
        <w:t>р</w:t>
      </w:r>
      <w:r w:rsidR="00365C18">
        <w:rPr>
          <w:rFonts w:ascii="Times New Roman" w:eastAsia="Calibri" w:hAnsi="Times New Roman" w:cs="Times New Roman"/>
          <w:color w:val="000000"/>
          <w:sz w:val="28"/>
          <w:szCs w:val="28"/>
        </w:rPr>
        <w:t xml:space="preserve">одукцию (более 380 экспонатов) </w:t>
      </w:r>
      <w:r w:rsidR="00C93C3C" w:rsidRPr="00243BCB">
        <w:rPr>
          <w:rFonts w:ascii="Times New Roman" w:eastAsia="Calibri" w:hAnsi="Times New Roman" w:cs="Times New Roman"/>
          <w:color w:val="000000"/>
          <w:sz w:val="28"/>
          <w:szCs w:val="28"/>
        </w:rPr>
        <w:t>в следующих отраслях: игрушки и игры, робототехника, косметические средства,</w:t>
      </w:r>
      <w:r w:rsidR="00365C18" w:rsidRPr="003875E5">
        <w:rPr>
          <w:rFonts w:ascii="Times New Roman" w:eastAsia="Times New Roman" w:hAnsi="Times New Roman" w:cs="Times New Roman"/>
          <w:sz w:val="28"/>
          <w:szCs w:val="28"/>
          <w:lang w:eastAsia="ru-RU"/>
        </w:rPr>
        <w:t> </w:t>
      </w:r>
      <w:r w:rsidR="00C93C3C" w:rsidRPr="00243BCB">
        <w:rPr>
          <w:rFonts w:ascii="Times New Roman" w:eastAsia="Calibri" w:hAnsi="Times New Roman" w:cs="Times New Roman"/>
          <w:color w:val="000000"/>
          <w:sz w:val="28"/>
          <w:szCs w:val="28"/>
        </w:rPr>
        <w:t>детская мебель, учебное оборудование, товары д</w:t>
      </w:r>
      <w:r w:rsidR="00C93C3C">
        <w:rPr>
          <w:rFonts w:ascii="Times New Roman" w:eastAsia="Calibri" w:hAnsi="Times New Roman" w:cs="Times New Roman"/>
          <w:color w:val="000000"/>
          <w:sz w:val="28"/>
          <w:szCs w:val="28"/>
        </w:rPr>
        <w:t xml:space="preserve">ля творчества, </w:t>
      </w:r>
      <w:r w:rsidR="00365C18">
        <w:rPr>
          <w:rFonts w:ascii="Times New Roman" w:eastAsia="Calibri" w:hAnsi="Times New Roman" w:cs="Times New Roman"/>
          <w:color w:val="000000"/>
          <w:sz w:val="28"/>
          <w:szCs w:val="28"/>
        </w:rPr>
        <w:t xml:space="preserve">товары для детей </w:t>
      </w:r>
      <w:r w:rsidR="00C93C3C" w:rsidRPr="00243BCB">
        <w:rPr>
          <w:rFonts w:ascii="Times New Roman" w:eastAsia="Calibri" w:hAnsi="Times New Roman" w:cs="Times New Roman"/>
          <w:color w:val="000000"/>
          <w:sz w:val="28"/>
          <w:szCs w:val="28"/>
        </w:rPr>
        <w:t>с ограниченными возможностями, спортивные товары.</w:t>
      </w:r>
    </w:p>
    <w:p w14:paraId="6E978DBC" w14:textId="7EDA3E69" w:rsidR="00C93C3C" w:rsidRDefault="00C93C3C" w:rsidP="00C93C3C">
      <w:pPr>
        <w:widowControl w:val="0"/>
        <w:spacing w:after="0" w:line="312" w:lineRule="auto"/>
        <w:ind w:firstLine="708"/>
        <w:jc w:val="both"/>
        <w:rPr>
          <w:rFonts w:ascii="Times New Roman" w:eastAsia="Calibri" w:hAnsi="Times New Roman" w:cs="Times New Roman"/>
          <w:color w:val="000000"/>
          <w:sz w:val="28"/>
          <w:szCs w:val="28"/>
        </w:rPr>
      </w:pPr>
      <w:r w:rsidRPr="00243BCB">
        <w:rPr>
          <w:rFonts w:ascii="Times New Roman" w:eastAsia="Calibri" w:hAnsi="Times New Roman" w:cs="Times New Roman"/>
          <w:color w:val="000000"/>
          <w:sz w:val="28"/>
          <w:szCs w:val="28"/>
        </w:rPr>
        <w:t>С 21 по 24 сентября 2021 г. в</w:t>
      </w:r>
      <w:r>
        <w:rPr>
          <w:rFonts w:ascii="Times New Roman" w:eastAsia="Calibri" w:hAnsi="Times New Roman" w:cs="Times New Roman"/>
          <w:color w:val="000000"/>
          <w:sz w:val="28"/>
          <w:szCs w:val="28"/>
        </w:rPr>
        <w:t xml:space="preserve"> </w:t>
      </w:r>
      <w:r w:rsidR="00566C57">
        <w:rPr>
          <w:rFonts w:ascii="Times New Roman" w:eastAsia="Calibri" w:hAnsi="Times New Roman" w:cs="Times New Roman"/>
          <w:color w:val="000000"/>
          <w:sz w:val="28"/>
          <w:szCs w:val="28"/>
        </w:rPr>
        <w:t xml:space="preserve">«Экспоцентре» совместно прошли </w:t>
      </w:r>
      <w:r w:rsidR="00566C57">
        <w:rPr>
          <w:rFonts w:ascii="Times New Roman" w:eastAsia="Calibri" w:hAnsi="Times New Roman" w:cs="Times New Roman"/>
          <w:color w:val="000000"/>
          <w:sz w:val="28"/>
          <w:szCs w:val="28"/>
        </w:rPr>
        <w:br/>
      </w:r>
      <w:r w:rsidRPr="00243BCB">
        <w:rPr>
          <w:rFonts w:ascii="Times New Roman" w:eastAsia="Calibri" w:hAnsi="Times New Roman" w:cs="Times New Roman"/>
          <w:color w:val="000000"/>
          <w:sz w:val="28"/>
          <w:szCs w:val="28"/>
        </w:rPr>
        <w:t>26 международная выставка «Мир детства – 2021» и 26-я международная выставка</w:t>
      </w:r>
      <w:r w:rsidR="00365C18" w:rsidRPr="003875E5">
        <w:rPr>
          <w:rFonts w:ascii="Times New Roman" w:eastAsia="Times New Roman" w:hAnsi="Times New Roman" w:cs="Times New Roman"/>
          <w:sz w:val="28"/>
          <w:szCs w:val="28"/>
          <w:lang w:eastAsia="ru-RU"/>
        </w:rPr>
        <w:t> </w:t>
      </w:r>
      <w:r w:rsidRPr="00243BCB">
        <w:rPr>
          <w:rFonts w:ascii="Times New Roman" w:eastAsia="Calibri" w:hAnsi="Times New Roman" w:cs="Times New Roman"/>
          <w:color w:val="000000"/>
          <w:sz w:val="28"/>
          <w:szCs w:val="28"/>
        </w:rPr>
        <w:t>«CJF – Детская мода-2021. Осень»</w:t>
      </w:r>
      <w:r>
        <w:rPr>
          <w:rFonts w:ascii="Times New Roman" w:eastAsia="Calibri" w:hAnsi="Times New Roman" w:cs="Times New Roman"/>
          <w:color w:val="000000"/>
          <w:sz w:val="28"/>
          <w:szCs w:val="28"/>
        </w:rPr>
        <w:t xml:space="preserve">. </w:t>
      </w:r>
      <w:r w:rsidRPr="00243BCB">
        <w:rPr>
          <w:rFonts w:ascii="Times New Roman" w:eastAsia="Calibri" w:hAnsi="Times New Roman" w:cs="Times New Roman"/>
          <w:color w:val="000000"/>
          <w:sz w:val="28"/>
          <w:szCs w:val="28"/>
        </w:rPr>
        <w:t>Участники и B2B-посетители смогли увидет</w:t>
      </w:r>
      <w:r>
        <w:rPr>
          <w:rFonts w:ascii="Times New Roman" w:eastAsia="Calibri" w:hAnsi="Times New Roman" w:cs="Times New Roman"/>
          <w:color w:val="000000"/>
          <w:sz w:val="28"/>
          <w:szCs w:val="28"/>
        </w:rPr>
        <w:t xml:space="preserve">ь весь спектр новинок индустрии </w:t>
      </w:r>
      <w:r w:rsidRPr="00243BCB">
        <w:rPr>
          <w:rFonts w:ascii="Times New Roman" w:eastAsia="Calibri" w:hAnsi="Times New Roman" w:cs="Times New Roman"/>
          <w:color w:val="000000"/>
          <w:sz w:val="28"/>
          <w:szCs w:val="28"/>
        </w:rPr>
        <w:t>детских товаров и детской моды.</w:t>
      </w:r>
      <w:r w:rsidR="00365C18" w:rsidRPr="003875E5">
        <w:rPr>
          <w:rFonts w:ascii="Times New Roman" w:eastAsia="Times New Roman" w:hAnsi="Times New Roman" w:cs="Times New Roman"/>
          <w:sz w:val="28"/>
          <w:szCs w:val="28"/>
          <w:lang w:eastAsia="ru-RU"/>
        </w:rPr>
        <w:t> </w:t>
      </w:r>
      <w:r w:rsidRPr="00243BCB">
        <w:rPr>
          <w:rFonts w:ascii="Times New Roman" w:eastAsia="Calibri" w:hAnsi="Times New Roman" w:cs="Times New Roman"/>
          <w:color w:val="000000"/>
          <w:sz w:val="28"/>
          <w:szCs w:val="28"/>
        </w:rPr>
        <w:t>«Мир детства – 2021» и «CJF – Детская мода</w:t>
      </w:r>
      <w:r>
        <w:rPr>
          <w:rFonts w:ascii="Times New Roman" w:eastAsia="Calibri" w:hAnsi="Times New Roman" w:cs="Times New Roman"/>
          <w:color w:val="000000"/>
          <w:sz w:val="28"/>
          <w:szCs w:val="28"/>
        </w:rPr>
        <w:t xml:space="preserve">-2021. Осень» – место ежегодных </w:t>
      </w:r>
      <w:r w:rsidRPr="00243BCB">
        <w:rPr>
          <w:rFonts w:ascii="Times New Roman" w:eastAsia="Calibri" w:hAnsi="Times New Roman" w:cs="Times New Roman"/>
          <w:color w:val="000000"/>
          <w:sz w:val="28"/>
          <w:szCs w:val="28"/>
        </w:rPr>
        <w:t>деловых встреч ведущих экспертов по прои</w:t>
      </w:r>
      <w:r>
        <w:rPr>
          <w:rFonts w:ascii="Times New Roman" w:eastAsia="Calibri" w:hAnsi="Times New Roman" w:cs="Times New Roman"/>
          <w:color w:val="000000"/>
          <w:sz w:val="28"/>
          <w:szCs w:val="28"/>
        </w:rPr>
        <w:t xml:space="preserve">зводству, продвижению, продажам </w:t>
      </w:r>
      <w:r w:rsidRPr="00243BCB">
        <w:rPr>
          <w:rFonts w:ascii="Times New Roman" w:eastAsia="Calibri" w:hAnsi="Times New Roman" w:cs="Times New Roman"/>
          <w:color w:val="000000"/>
          <w:sz w:val="28"/>
          <w:szCs w:val="28"/>
        </w:rPr>
        <w:t xml:space="preserve">и </w:t>
      </w:r>
      <w:r w:rsidRPr="00243BCB">
        <w:rPr>
          <w:rFonts w:ascii="Times New Roman" w:eastAsia="Calibri" w:hAnsi="Times New Roman" w:cs="Times New Roman"/>
          <w:color w:val="000000"/>
          <w:sz w:val="28"/>
          <w:szCs w:val="28"/>
        </w:rPr>
        <w:lastRenderedPageBreak/>
        <w:t>развитию индустрии товаров для детей, в том ч</w:t>
      </w:r>
      <w:r>
        <w:rPr>
          <w:rFonts w:ascii="Times New Roman" w:eastAsia="Calibri" w:hAnsi="Times New Roman" w:cs="Times New Roman"/>
          <w:color w:val="000000"/>
          <w:sz w:val="28"/>
          <w:szCs w:val="28"/>
        </w:rPr>
        <w:t xml:space="preserve">исле в области онлайн-торговли, </w:t>
      </w:r>
      <w:r w:rsidRPr="00243BCB">
        <w:rPr>
          <w:rFonts w:ascii="Times New Roman" w:eastAsia="Calibri" w:hAnsi="Times New Roman" w:cs="Times New Roman"/>
          <w:color w:val="000000"/>
          <w:sz w:val="28"/>
          <w:szCs w:val="28"/>
        </w:rPr>
        <w:t>логистики, SMM.</w:t>
      </w:r>
    </w:p>
    <w:p w14:paraId="4725522B" w14:textId="77777777" w:rsidR="00C93C3C" w:rsidRDefault="00C93C3C" w:rsidP="00585E83">
      <w:pPr>
        <w:widowControl w:val="0"/>
        <w:spacing w:after="0" w:line="312" w:lineRule="auto"/>
        <w:ind w:firstLine="708"/>
        <w:jc w:val="both"/>
        <w:rPr>
          <w:rFonts w:ascii="Times New Roman" w:eastAsia="Calibri" w:hAnsi="Times New Roman" w:cs="Times New Roman"/>
          <w:color w:val="000000"/>
          <w:sz w:val="28"/>
          <w:szCs w:val="28"/>
        </w:rPr>
      </w:pPr>
      <w:r w:rsidRPr="00243BCB">
        <w:rPr>
          <w:rFonts w:ascii="Times New Roman" w:eastAsia="Calibri" w:hAnsi="Times New Roman" w:cs="Times New Roman"/>
          <w:color w:val="000000"/>
          <w:sz w:val="28"/>
          <w:szCs w:val="28"/>
        </w:rPr>
        <w:t>Более двух с половиной десятилет</w:t>
      </w:r>
      <w:r>
        <w:rPr>
          <w:rFonts w:ascii="Times New Roman" w:eastAsia="Calibri" w:hAnsi="Times New Roman" w:cs="Times New Roman"/>
          <w:color w:val="000000"/>
          <w:sz w:val="28"/>
          <w:szCs w:val="28"/>
        </w:rPr>
        <w:t xml:space="preserve">ий обе выставки в «Экспоцентре» </w:t>
      </w:r>
      <w:r w:rsidRPr="00243BCB">
        <w:rPr>
          <w:rFonts w:ascii="Times New Roman" w:eastAsia="Calibri" w:hAnsi="Times New Roman" w:cs="Times New Roman"/>
          <w:color w:val="000000"/>
          <w:sz w:val="28"/>
          <w:szCs w:val="28"/>
        </w:rPr>
        <w:t>представляют лучшее, что производится для по</w:t>
      </w:r>
      <w:r>
        <w:rPr>
          <w:rFonts w:ascii="Times New Roman" w:eastAsia="Calibri" w:hAnsi="Times New Roman" w:cs="Times New Roman"/>
          <w:color w:val="000000"/>
          <w:sz w:val="28"/>
          <w:szCs w:val="28"/>
        </w:rPr>
        <w:t xml:space="preserve">драстающих поколений. В событии </w:t>
      </w:r>
      <w:r w:rsidRPr="00243BCB">
        <w:rPr>
          <w:rFonts w:ascii="Times New Roman" w:eastAsia="Calibri" w:hAnsi="Times New Roman" w:cs="Times New Roman"/>
          <w:color w:val="000000"/>
          <w:sz w:val="28"/>
          <w:szCs w:val="28"/>
        </w:rPr>
        <w:t>приняли участие более 550 компаний из 14 стран и 26 регионов России.</w:t>
      </w:r>
      <w:r w:rsidR="00365C18" w:rsidRPr="003875E5">
        <w:rPr>
          <w:rFonts w:ascii="Times New Roman" w:eastAsia="Times New Roman" w:hAnsi="Times New Roman" w:cs="Times New Roman"/>
          <w:sz w:val="28"/>
          <w:szCs w:val="28"/>
          <w:lang w:eastAsia="ru-RU"/>
        </w:rPr>
        <w:t> </w:t>
      </w:r>
      <w:r w:rsidRPr="00243BCB">
        <w:rPr>
          <w:rFonts w:ascii="Times New Roman" w:eastAsia="Calibri" w:hAnsi="Times New Roman" w:cs="Times New Roman"/>
          <w:color w:val="000000"/>
          <w:sz w:val="28"/>
          <w:szCs w:val="28"/>
        </w:rPr>
        <w:t>Объединенная насыщенная деловая программ</w:t>
      </w:r>
      <w:r>
        <w:rPr>
          <w:rFonts w:ascii="Times New Roman" w:eastAsia="Calibri" w:hAnsi="Times New Roman" w:cs="Times New Roman"/>
          <w:color w:val="000000"/>
          <w:sz w:val="28"/>
          <w:szCs w:val="28"/>
        </w:rPr>
        <w:t xml:space="preserve">а выставок «Мир детства – 2021» </w:t>
      </w:r>
      <w:r w:rsidRPr="00243BCB">
        <w:rPr>
          <w:rFonts w:ascii="Times New Roman" w:eastAsia="Calibri" w:hAnsi="Times New Roman" w:cs="Times New Roman"/>
          <w:color w:val="000000"/>
          <w:sz w:val="28"/>
          <w:szCs w:val="28"/>
        </w:rPr>
        <w:t>и «CJF – Детская мода-2021. Осень» насчитывае</w:t>
      </w:r>
      <w:r>
        <w:rPr>
          <w:rFonts w:ascii="Times New Roman" w:eastAsia="Calibri" w:hAnsi="Times New Roman" w:cs="Times New Roman"/>
          <w:color w:val="000000"/>
          <w:sz w:val="28"/>
          <w:szCs w:val="28"/>
        </w:rPr>
        <w:t xml:space="preserve">т более 40 крупных мероприятий, </w:t>
      </w:r>
      <w:r w:rsidRPr="00243BCB">
        <w:rPr>
          <w:rFonts w:ascii="Times New Roman" w:eastAsia="Calibri" w:hAnsi="Times New Roman" w:cs="Times New Roman"/>
          <w:color w:val="000000"/>
          <w:sz w:val="28"/>
          <w:szCs w:val="28"/>
        </w:rPr>
        <w:t>которые посвящены актуальным трендам отрасли.</w:t>
      </w:r>
    </w:p>
    <w:p w14:paraId="7DCE129C" w14:textId="72473CC7" w:rsidR="00C93C3C" w:rsidRPr="004361BF" w:rsidRDefault="00C93C3C" w:rsidP="00585E83">
      <w:pPr>
        <w:widowControl w:val="0"/>
        <w:spacing w:after="0" w:line="312"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w:t>
      </w:r>
      <w:r w:rsidRPr="00BF50AB">
        <w:rPr>
          <w:rFonts w:ascii="Times New Roman" w:eastAsia="Calibri" w:hAnsi="Times New Roman" w:cs="Times New Roman"/>
          <w:color w:val="000000"/>
          <w:sz w:val="28"/>
          <w:szCs w:val="28"/>
        </w:rPr>
        <w:t xml:space="preserve"> период с 7 по 9 декабря 2021 г. </w:t>
      </w:r>
      <w:r>
        <w:rPr>
          <w:rFonts w:ascii="Times New Roman" w:eastAsia="Calibri" w:hAnsi="Times New Roman" w:cs="Times New Roman"/>
          <w:color w:val="000000"/>
          <w:sz w:val="28"/>
          <w:szCs w:val="28"/>
        </w:rPr>
        <w:t>в</w:t>
      </w:r>
      <w:r w:rsidRPr="00BF50AB">
        <w:rPr>
          <w:rFonts w:ascii="Times New Roman" w:eastAsia="Calibri" w:hAnsi="Times New Roman" w:cs="Times New Roman"/>
          <w:color w:val="000000"/>
          <w:sz w:val="28"/>
          <w:szCs w:val="28"/>
        </w:rPr>
        <w:t xml:space="preserve"> целях организации взаимодействия и открытого диалога органов исполнительной власти, профильных организаций, производителей и потребителей продукции реабилитационной направленности, а также повышения информированности участников рынка реабилитационной индустрии о современной отечественной продукции реабилитационной направленности в соответствии с постановлением Правительства Российской Федерации от 7 сентября 2020 г. № 1362 Минпромторгом России было организ</w:t>
      </w:r>
      <w:r>
        <w:rPr>
          <w:rFonts w:ascii="Times New Roman" w:eastAsia="Calibri" w:hAnsi="Times New Roman" w:cs="Times New Roman"/>
          <w:color w:val="000000"/>
          <w:sz w:val="28"/>
          <w:szCs w:val="28"/>
        </w:rPr>
        <w:t>овано проведение VI Национального</w:t>
      </w:r>
      <w:r w:rsidRPr="00BF50AB">
        <w:rPr>
          <w:rFonts w:ascii="Times New Roman" w:eastAsia="Calibri" w:hAnsi="Times New Roman" w:cs="Times New Roman"/>
          <w:color w:val="000000"/>
          <w:sz w:val="28"/>
          <w:szCs w:val="28"/>
        </w:rPr>
        <w:t xml:space="preserve"> форума реабилитационной индустрии и универсального дизайна «Надежда на технологии» (далее</w:t>
      </w:r>
      <w:r w:rsidR="00585E83">
        <w:rPr>
          <w:rFonts w:ascii="Times New Roman" w:eastAsia="Calibri" w:hAnsi="Times New Roman" w:cs="Times New Roman"/>
          <w:color w:val="000000"/>
          <w:sz w:val="28"/>
          <w:szCs w:val="28"/>
        </w:rPr>
        <w:t xml:space="preserve"> по тексту подраздела</w:t>
      </w:r>
      <w:r w:rsidRPr="00BF50AB">
        <w:rPr>
          <w:rFonts w:ascii="Times New Roman" w:eastAsia="Calibri" w:hAnsi="Times New Roman" w:cs="Times New Roman"/>
          <w:color w:val="000000"/>
          <w:sz w:val="28"/>
          <w:szCs w:val="28"/>
        </w:rPr>
        <w:t xml:space="preserve"> – Форум) в очно-заочном формате с участием представителей федеральных органов власти, институтов развития, предприятий промышленности, экспертов и потребителей продуктов р</w:t>
      </w:r>
      <w:r>
        <w:rPr>
          <w:rFonts w:ascii="Times New Roman" w:eastAsia="Calibri" w:hAnsi="Times New Roman" w:cs="Times New Roman"/>
          <w:color w:val="000000"/>
          <w:sz w:val="28"/>
          <w:szCs w:val="28"/>
        </w:rPr>
        <w:t>еабилитационной направленности.</w:t>
      </w:r>
      <w:r w:rsidR="00627C12" w:rsidRPr="003875E5">
        <w:rPr>
          <w:rFonts w:ascii="Times New Roman" w:eastAsia="Times New Roman" w:hAnsi="Times New Roman" w:cs="Times New Roman"/>
          <w:sz w:val="28"/>
          <w:szCs w:val="28"/>
          <w:lang w:eastAsia="ru-RU"/>
        </w:rPr>
        <w:t> </w:t>
      </w:r>
      <w:r w:rsidRPr="004361BF">
        <w:rPr>
          <w:rFonts w:ascii="Times New Roman" w:eastAsia="Calibri" w:hAnsi="Times New Roman" w:cs="Times New Roman"/>
          <w:color w:val="000000"/>
          <w:sz w:val="28"/>
          <w:szCs w:val="28"/>
        </w:rPr>
        <w:t xml:space="preserve">В течение трех дней проведено 8 тематических сессий, а также онлайн-выставка предприятий-производителей реабилитационной̆ индустрии, в которой приняли участие более 40 компаний, а также </w:t>
      </w:r>
      <w:proofErr w:type="spellStart"/>
      <w:r w:rsidRPr="004361BF">
        <w:rPr>
          <w:rFonts w:ascii="Times New Roman" w:eastAsia="Calibri" w:hAnsi="Times New Roman" w:cs="Times New Roman"/>
          <w:color w:val="000000"/>
          <w:sz w:val="28"/>
          <w:szCs w:val="28"/>
        </w:rPr>
        <w:t>Хакатон</w:t>
      </w:r>
      <w:proofErr w:type="spellEnd"/>
      <w:r w:rsidRPr="004361BF">
        <w:rPr>
          <w:rFonts w:ascii="Times New Roman" w:eastAsia="Calibri" w:hAnsi="Times New Roman" w:cs="Times New Roman"/>
          <w:color w:val="000000"/>
          <w:sz w:val="28"/>
          <w:szCs w:val="28"/>
        </w:rPr>
        <w:t>, объединивший 10 команд-участников, которые презентовали тренажеры и мобильные приложения, позволяющие пациентам тренир</w:t>
      </w:r>
      <w:r w:rsidR="00BB3EE9">
        <w:rPr>
          <w:rFonts w:ascii="Times New Roman" w:eastAsia="Calibri" w:hAnsi="Times New Roman" w:cs="Times New Roman"/>
          <w:color w:val="000000"/>
          <w:sz w:val="28"/>
          <w:szCs w:val="28"/>
        </w:rPr>
        <w:t>овать произношение слов и фраз.</w:t>
      </w:r>
    </w:p>
    <w:p w14:paraId="65ACE674" w14:textId="77777777" w:rsidR="00C93C3C" w:rsidRDefault="00C93C3C" w:rsidP="00C93C3C">
      <w:pPr>
        <w:widowControl w:val="0"/>
        <w:spacing w:after="0" w:line="312" w:lineRule="auto"/>
        <w:ind w:firstLine="708"/>
        <w:jc w:val="both"/>
        <w:rPr>
          <w:rFonts w:ascii="Times New Roman" w:eastAsia="Calibri" w:hAnsi="Times New Roman" w:cs="Times New Roman"/>
          <w:color w:val="000000"/>
          <w:sz w:val="28"/>
          <w:szCs w:val="28"/>
        </w:rPr>
      </w:pPr>
      <w:r w:rsidRPr="006A54DE">
        <w:rPr>
          <w:rFonts w:ascii="Times New Roman" w:eastAsia="Calibri" w:hAnsi="Times New Roman" w:cs="Times New Roman"/>
          <w:color w:val="000000"/>
          <w:sz w:val="28"/>
          <w:szCs w:val="28"/>
        </w:rPr>
        <w:t xml:space="preserve">С </w:t>
      </w:r>
      <w:r>
        <w:rPr>
          <w:rFonts w:ascii="Times New Roman" w:eastAsia="Calibri" w:hAnsi="Times New Roman" w:cs="Times New Roman"/>
          <w:color w:val="000000"/>
          <w:sz w:val="28"/>
          <w:szCs w:val="28"/>
        </w:rPr>
        <w:t>15 по 17 декабря 2021</w:t>
      </w:r>
      <w:r w:rsidRPr="006A54DE">
        <w:rPr>
          <w:rFonts w:ascii="Times New Roman" w:eastAsia="Calibri" w:hAnsi="Times New Roman" w:cs="Times New Roman"/>
          <w:color w:val="000000"/>
          <w:sz w:val="28"/>
          <w:szCs w:val="28"/>
        </w:rPr>
        <w:t xml:space="preserve"> г. состоялся</w:t>
      </w:r>
      <w:r w:rsidR="00BB3EE9" w:rsidRPr="003875E5">
        <w:rPr>
          <w:rFonts w:ascii="Times New Roman" w:eastAsia="Times New Roman" w:hAnsi="Times New Roman" w:cs="Times New Roman"/>
          <w:sz w:val="28"/>
          <w:szCs w:val="28"/>
          <w:lang w:eastAsia="ru-RU"/>
        </w:rPr>
        <w:t> </w:t>
      </w:r>
      <w:r w:rsidRPr="00220326">
        <w:rPr>
          <w:rFonts w:ascii="Times New Roman" w:eastAsia="Calibri" w:hAnsi="Times New Roman" w:cs="Times New Roman"/>
          <w:color w:val="000000"/>
          <w:sz w:val="28"/>
          <w:szCs w:val="28"/>
        </w:rPr>
        <w:t>XII Конгресс индустрии детских</w:t>
      </w:r>
      <w:r w:rsidR="00BB3EE9" w:rsidRPr="003875E5">
        <w:rPr>
          <w:rFonts w:ascii="Times New Roman" w:eastAsia="Times New Roman" w:hAnsi="Times New Roman" w:cs="Times New Roman"/>
          <w:sz w:val="28"/>
          <w:szCs w:val="28"/>
          <w:lang w:eastAsia="ru-RU"/>
        </w:rPr>
        <w:t> </w:t>
      </w:r>
      <w:r w:rsidRPr="00220326">
        <w:rPr>
          <w:rFonts w:ascii="Times New Roman" w:eastAsia="Calibri" w:hAnsi="Times New Roman" w:cs="Times New Roman"/>
          <w:color w:val="000000"/>
          <w:sz w:val="28"/>
          <w:szCs w:val="28"/>
        </w:rPr>
        <w:t>товаров (далее</w:t>
      </w:r>
      <w:r w:rsidR="00BB3EE9">
        <w:rPr>
          <w:rFonts w:ascii="Times New Roman" w:eastAsia="Calibri" w:hAnsi="Times New Roman" w:cs="Times New Roman"/>
          <w:color w:val="000000"/>
          <w:sz w:val="28"/>
          <w:szCs w:val="28"/>
        </w:rPr>
        <w:t xml:space="preserve"> по тексту подраздела</w:t>
      </w:r>
      <w:r w:rsidRPr="00220326">
        <w:rPr>
          <w:rFonts w:ascii="Times New Roman" w:eastAsia="Calibri" w:hAnsi="Times New Roman" w:cs="Times New Roman"/>
          <w:color w:val="000000"/>
          <w:sz w:val="28"/>
          <w:szCs w:val="28"/>
        </w:rPr>
        <w:t xml:space="preserve"> – Конгресс), </w:t>
      </w:r>
      <w:r w:rsidRPr="00220326">
        <w:rPr>
          <w:rFonts w:ascii="Times New Roman" w:eastAsia="Calibri" w:hAnsi="Times New Roman" w:cs="Times New Roman"/>
          <w:color w:val="000000"/>
          <w:sz w:val="28"/>
          <w:szCs w:val="28"/>
        </w:rPr>
        <w:lastRenderedPageBreak/>
        <w:t>организатором которого выступила Ассоциация</w:t>
      </w:r>
      <w:r w:rsidR="00BB3EE9" w:rsidRPr="003875E5">
        <w:rPr>
          <w:rFonts w:ascii="Times New Roman" w:eastAsia="Times New Roman" w:hAnsi="Times New Roman" w:cs="Times New Roman"/>
          <w:sz w:val="28"/>
          <w:szCs w:val="28"/>
          <w:lang w:eastAsia="ru-RU"/>
        </w:rPr>
        <w:t> </w:t>
      </w:r>
      <w:r w:rsidRPr="00220326">
        <w:rPr>
          <w:rFonts w:ascii="Times New Roman" w:eastAsia="Calibri" w:hAnsi="Times New Roman" w:cs="Times New Roman"/>
          <w:color w:val="000000"/>
          <w:sz w:val="28"/>
          <w:szCs w:val="28"/>
        </w:rPr>
        <w:t>предприятий индустрии детских товаров «АИДТ».</w:t>
      </w:r>
    </w:p>
    <w:p w14:paraId="3511CCAE" w14:textId="77777777" w:rsidR="00C93C3C" w:rsidRPr="00220326" w:rsidRDefault="00C93C3C" w:rsidP="00C93C3C">
      <w:pPr>
        <w:widowControl w:val="0"/>
        <w:spacing w:after="0" w:line="312" w:lineRule="auto"/>
        <w:ind w:firstLine="708"/>
        <w:jc w:val="both"/>
        <w:rPr>
          <w:rFonts w:ascii="Times New Roman" w:eastAsia="Calibri" w:hAnsi="Times New Roman" w:cs="Times New Roman"/>
          <w:color w:val="000000"/>
          <w:sz w:val="28"/>
          <w:szCs w:val="28"/>
        </w:rPr>
      </w:pPr>
      <w:r w:rsidRPr="00220326">
        <w:rPr>
          <w:rFonts w:ascii="Times New Roman" w:eastAsia="Calibri" w:hAnsi="Times New Roman" w:cs="Times New Roman"/>
          <w:color w:val="000000"/>
          <w:sz w:val="28"/>
          <w:szCs w:val="28"/>
        </w:rPr>
        <w:t xml:space="preserve">Конгресс индустрии детских товаров </w:t>
      </w:r>
      <w:r w:rsidR="00585E83">
        <w:rPr>
          <w:rFonts w:ascii="Times New Roman" w:eastAsia="Calibri" w:hAnsi="Times New Roman" w:cs="Times New Roman"/>
          <w:color w:val="000000"/>
          <w:sz w:val="28"/>
          <w:szCs w:val="28"/>
        </w:rPr>
        <w:t>–</w:t>
      </w:r>
      <w:r w:rsidRPr="00220326">
        <w:rPr>
          <w:rFonts w:ascii="Times New Roman" w:eastAsia="Calibri" w:hAnsi="Times New Roman" w:cs="Times New Roman"/>
          <w:color w:val="000000"/>
          <w:sz w:val="28"/>
          <w:szCs w:val="28"/>
        </w:rPr>
        <w:t xml:space="preserve"> главное отраслевое событие года,</w:t>
      </w:r>
      <w:r w:rsidR="00BB3EE9" w:rsidRPr="003875E5">
        <w:rPr>
          <w:rFonts w:ascii="Times New Roman" w:eastAsia="Times New Roman" w:hAnsi="Times New Roman" w:cs="Times New Roman"/>
          <w:sz w:val="28"/>
          <w:szCs w:val="28"/>
          <w:lang w:eastAsia="ru-RU"/>
        </w:rPr>
        <w:t> </w:t>
      </w:r>
      <w:r w:rsidRPr="00220326">
        <w:rPr>
          <w:rFonts w:ascii="Times New Roman" w:eastAsia="Calibri" w:hAnsi="Times New Roman" w:cs="Times New Roman"/>
          <w:color w:val="000000"/>
          <w:sz w:val="28"/>
          <w:szCs w:val="28"/>
        </w:rPr>
        <w:t>которое проводится в целях организации</w:t>
      </w:r>
      <w:r>
        <w:rPr>
          <w:rFonts w:ascii="Times New Roman" w:eastAsia="Calibri" w:hAnsi="Times New Roman" w:cs="Times New Roman"/>
          <w:color w:val="000000"/>
          <w:sz w:val="28"/>
          <w:szCs w:val="28"/>
        </w:rPr>
        <w:t xml:space="preserve"> прямого диалога между бизнесом </w:t>
      </w:r>
      <w:r w:rsidRPr="00220326">
        <w:rPr>
          <w:rFonts w:ascii="Times New Roman" w:eastAsia="Calibri" w:hAnsi="Times New Roman" w:cs="Times New Roman"/>
          <w:color w:val="000000"/>
          <w:sz w:val="28"/>
          <w:szCs w:val="28"/>
        </w:rPr>
        <w:t>и государством, популяризации лучших практи</w:t>
      </w:r>
      <w:r>
        <w:rPr>
          <w:rFonts w:ascii="Times New Roman" w:eastAsia="Calibri" w:hAnsi="Times New Roman" w:cs="Times New Roman"/>
          <w:color w:val="000000"/>
          <w:sz w:val="28"/>
          <w:szCs w:val="28"/>
        </w:rPr>
        <w:t xml:space="preserve">к лидеров отрасли, формирования </w:t>
      </w:r>
      <w:r w:rsidRPr="00220326">
        <w:rPr>
          <w:rFonts w:ascii="Times New Roman" w:eastAsia="Calibri" w:hAnsi="Times New Roman" w:cs="Times New Roman"/>
          <w:color w:val="000000"/>
          <w:sz w:val="28"/>
          <w:szCs w:val="28"/>
        </w:rPr>
        <w:t>новых инструментов международной и научно-производственной кооперации.</w:t>
      </w:r>
    </w:p>
    <w:p w14:paraId="06E5EF34" w14:textId="669E67AE" w:rsidR="00C93C3C" w:rsidRDefault="00C93C3C" w:rsidP="00585E83">
      <w:pPr>
        <w:widowControl w:val="0"/>
        <w:spacing w:after="0" w:line="312" w:lineRule="auto"/>
        <w:ind w:firstLine="708"/>
        <w:jc w:val="both"/>
        <w:rPr>
          <w:rFonts w:ascii="Times New Roman" w:eastAsia="Calibri" w:hAnsi="Times New Roman" w:cs="Times New Roman"/>
          <w:color w:val="000000"/>
          <w:sz w:val="28"/>
          <w:szCs w:val="28"/>
        </w:rPr>
      </w:pPr>
      <w:r w:rsidRPr="00220326">
        <w:rPr>
          <w:rFonts w:ascii="Times New Roman" w:eastAsia="Calibri" w:hAnsi="Times New Roman" w:cs="Times New Roman"/>
          <w:color w:val="000000"/>
          <w:sz w:val="28"/>
          <w:szCs w:val="28"/>
        </w:rPr>
        <w:t>Более 2 300 представителей индустрии детских товаров стали участниками</w:t>
      </w:r>
      <w:r w:rsidR="00266EEA" w:rsidRPr="003875E5">
        <w:rPr>
          <w:rFonts w:ascii="Times New Roman" w:eastAsia="Times New Roman" w:hAnsi="Times New Roman" w:cs="Times New Roman"/>
          <w:sz w:val="28"/>
          <w:szCs w:val="28"/>
          <w:lang w:eastAsia="ru-RU"/>
        </w:rPr>
        <w:t> </w:t>
      </w:r>
      <w:r w:rsidR="00585E83">
        <w:rPr>
          <w:rFonts w:ascii="Times New Roman" w:eastAsia="Calibri" w:hAnsi="Times New Roman" w:cs="Times New Roman"/>
          <w:color w:val="000000"/>
          <w:sz w:val="28"/>
          <w:szCs w:val="28"/>
        </w:rPr>
        <w:t>Конгресса в онлайн-</w:t>
      </w:r>
      <w:r w:rsidRPr="00220326">
        <w:rPr>
          <w:rFonts w:ascii="Times New Roman" w:eastAsia="Calibri" w:hAnsi="Times New Roman" w:cs="Times New Roman"/>
          <w:color w:val="000000"/>
          <w:sz w:val="28"/>
          <w:szCs w:val="28"/>
        </w:rPr>
        <w:t>формате</w:t>
      </w:r>
      <w:r>
        <w:rPr>
          <w:rFonts w:ascii="Times New Roman" w:eastAsia="Calibri" w:hAnsi="Times New Roman" w:cs="Times New Roman"/>
          <w:color w:val="000000"/>
          <w:sz w:val="28"/>
          <w:szCs w:val="28"/>
        </w:rPr>
        <w:t xml:space="preserve">. </w:t>
      </w:r>
      <w:r w:rsidRPr="003461A5">
        <w:rPr>
          <w:rFonts w:ascii="Times New Roman" w:eastAsia="Calibri" w:hAnsi="Times New Roman" w:cs="Times New Roman"/>
          <w:color w:val="000000"/>
          <w:sz w:val="28"/>
          <w:szCs w:val="28"/>
        </w:rPr>
        <w:t xml:space="preserve">За 2 дня работы Конгресса проведены </w:t>
      </w:r>
      <w:r w:rsidR="00266EEA">
        <w:rPr>
          <w:rFonts w:ascii="Times New Roman" w:eastAsia="Calibri" w:hAnsi="Times New Roman" w:cs="Times New Roman"/>
          <w:color w:val="000000"/>
          <w:sz w:val="28"/>
          <w:szCs w:val="28"/>
        </w:rPr>
        <w:br/>
      </w:r>
      <w:r w:rsidRPr="003461A5">
        <w:rPr>
          <w:rFonts w:ascii="Times New Roman" w:eastAsia="Calibri" w:hAnsi="Times New Roman" w:cs="Times New Roman"/>
          <w:color w:val="000000"/>
          <w:sz w:val="28"/>
          <w:szCs w:val="28"/>
        </w:rPr>
        <w:t>19</w:t>
      </w:r>
      <w:r>
        <w:rPr>
          <w:rFonts w:ascii="Times New Roman" w:eastAsia="Calibri" w:hAnsi="Times New Roman" w:cs="Times New Roman"/>
          <w:color w:val="000000"/>
          <w:sz w:val="28"/>
          <w:szCs w:val="28"/>
        </w:rPr>
        <w:t xml:space="preserve"> мероприятий деловой программы: </w:t>
      </w:r>
      <w:r w:rsidRPr="003461A5">
        <w:rPr>
          <w:rFonts w:ascii="Times New Roman" w:eastAsia="Calibri" w:hAnsi="Times New Roman" w:cs="Times New Roman"/>
          <w:color w:val="000000"/>
          <w:sz w:val="28"/>
          <w:szCs w:val="28"/>
        </w:rPr>
        <w:t>3 пленарные дискуссии, 5 панельных и стр</w:t>
      </w:r>
      <w:r>
        <w:rPr>
          <w:rFonts w:ascii="Times New Roman" w:eastAsia="Calibri" w:hAnsi="Times New Roman" w:cs="Times New Roman"/>
          <w:color w:val="000000"/>
          <w:sz w:val="28"/>
          <w:szCs w:val="28"/>
        </w:rPr>
        <w:t xml:space="preserve">атегических дискуссий и сессий, </w:t>
      </w:r>
      <w:r w:rsidRPr="003461A5">
        <w:rPr>
          <w:rFonts w:ascii="Times New Roman" w:eastAsia="Calibri" w:hAnsi="Times New Roman" w:cs="Times New Roman"/>
          <w:color w:val="000000"/>
          <w:sz w:val="28"/>
          <w:szCs w:val="28"/>
        </w:rPr>
        <w:t>11 практических сессий в формате «бизнес-диало</w:t>
      </w:r>
      <w:r>
        <w:rPr>
          <w:rFonts w:ascii="Times New Roman" w:eastAsia="Calibri" w:hAnsi="Times New Roman" w:cs="Times New Roman"/>
          <w:color w:val="000000"/>
          <w:sz w:val="28"/>
          <w:szCs w:val="28"/>
        </w:rPr>
        <w:t>г</w:t>
      </w:r>
      <w:r w:rsidR="00566C57">
        <w:rPr>
          <w:rFonts w:ascii="Times New Roman" w:eastAsia="Calibri" w:hAnsi="Times New Roman" w:cs="Times New Roman"/>
          <w:color w:val="000000"/>
          <w:sz w:val="28"/>
          <w:szCs w:val="28"/>
        </w:rPr>
        <w:t>».</w:t>
      </w:r>
      <w:r w:rsidR="00266EEA" w:rsidRPr="003875E5">
        <w:rPr>
          <w:rFonts w:ascii="Times New Roman" w:eastAsia="Times New Roman" w:hAnsi="Times New Roman" w:cs="Times New Roman"/>
          <w:sz w:val="28"/>
          <w:szCs w:val="28"/>
          <w:lang w:eastAsia="ru-RU"/>
        </w:rPr>
        <w:t> </w:t>
      </w:r>
      <w:r w:rsidRPr="003461A5">
        <w:rPr>
          <w:rFonts w:ascii="Times New Roman" w:eastAsia="Calibri" w:hAnsi="Times New Roman" w:cs="Times New Roman"/>
          <w:color w:val="000000"/>
          <w:sz w:val="28"/>
          <w:szCs w:val="28"/>
        </w:rPr>
        <w:t>Ключевой темой Конгресса стал</w:t>
      </w:r>
      <w:r w:rsidR="00585E83">
        <w:rPr>
          <w:rFonts w:ascii="Times New Roman" w:eastAsia="Calibri" w:hAnsi="Times New Roman" w:cs="Times New Roman"/>
          <w:color w:val="000000"/>
          <w:sz w:val="28"/>
          <w:szCs w:val="28"/>
        </w:rPr>
        <w:t>о</w:t>
      </w:r>
      <w:r w:rsidRPr="003461A5">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Устойчивое развитие в интересах </w:t>
      </w:r>
      <w:r w:rsidRPr="003461A5">
        <w:rPr>
          <w:rFonts w:ascii="Times New Roman" w:eastAsia="Calibri" w:hAnsi="Times New Roman" w:cs="Times New Roman"/>
          <w:color w:val="000000"/>
          <w:sz w:val="28"/>
          <w:szCs w:val="28"/>
        </w:rPr>
        <w:t xml:space="preserve">детства», </w:t>
      </w:r>
      <w:r w:rsidR="00585E83">
        <w:rPr>
          <w:rFonts w:ascii="Times New Roman" w:eastAsia="Calibri" w:hAnsi="Times New Roman" w:cs="Times New Roman"/>
          <w:color w:val="000000"/>
          <w:sz w:val="28"/>
          <w:szCs w:val="28"/>
        </w:rPr>
        <w:t>нашедш</w:t>
      </w:r>
      <w:r w:rsidR="00266EEA">
        <w:rPr>
          <w:rFonts w:ascii="Times New Roman" w:eastAsia="Calibri" w:hAnsi="Times New Roman" w:cs="Times New Roman"/>
          <w:color w:val="000000"/>
          <w:sz w:val="28"/>
          <w:szCs w:val="28"/>
        </w:rPr>
        <w:t>ей</w:t>
      </w:r>
      <w:r w:rsidR="00585E83">
        <w:rPr>
          <w:rFonts w:ascii="Times New Roman" w:eastAsia="Calibri" w:hAnsi="Times New Roman" w:cs="Times New Roman"/>
          <w:color w:val="000000"/>
          <w:sz w:val="28"/>
          <w:szCs w:val="28"/>
        </w:rPr>
        <w:t xml:space="preserve"> отражение</w:t>
      </w:r>
      <w:r w:rsidRPr="003461A5">
        <w:rPr>
          <w:rFonts w:ascii="Times New Roman" w:eastAsia="Calibri" w:hAnsi="Times New Roman" w:cs="Times New Roman"/>
          <w:color w:val="000000"/>
          <w:sz w:val="28"/>
          <w:szCs w:val="28"/>
        </w:rPr>
        <w:t xml:space="preserve"> в </w:t>
      </w:r>
      <w:r w:rsidR="004D65EF">
        <w:rPr>
          <w:rFonts w:ascii="Times New Roman" w:eastAsia="Calibri" w:hAnsi="Times New Roman" w:cs="Times New Roman"/>
          <w:sz w:val="28"/>
          <w:szCs w:val="28"/>
          <w:lang w:eastAsia="ru-RU"/>
        </w:rPr>
        <w:t>план основных мероприятий, проводимых в рамках Десятилетия детства, на период до 2027 г</w:t>
      </w:r>
      <w:r w:rsidR="00E7283D">
        <w:rPr>
          <w:rFonts w:ascii="Times New Roman" w:eastAsia="Calibri" w:hAnsi="Times New Roman" w:cs="Times New Roman"/>
          <w:sz w:val="28"/>
          <w:szCs w:val="28"/>
          <w:lang w:eastAsia="ru-RU"/>
        </w:rPr>
        <w:t>.</w:t>
      </w:r>
      <w:r w:rsidR="004D65EF">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и определя</w:t>
      </w:r>
      <w:r w:rsidR="00585E83">
        <w:rPr>
          <w:rFonts w:ascii="Times New Roman" w:eastAsia="Calibri" w:hAnsi="Times New Roman" w:cs="Times New Roman"/>
          <w:color w:val="000000"/>
          <w:sz w:val="28"/>
          <w:szCs w:val="28"/>
        </w:rPr>
        <w:t>ющ</w:t>
      </w:r>
      <w:r w:rsidR="00266EEA">
        <w:rPr>
          <w:rFonts w:ascii="Times New Roman" w:eastAsia="Calibri" w:hAnsi="Times New Roman" w:cs="Times New Roman"/>
          <w:color w:val="000000"/>
          <w:sz w:val="28"/>
          <w:szCs w:val="28"/>
        </w:rPr>
        <w:t>ей</w:t>
      </w:r>
      <w:r>
        <w:rPr>
          <w:rFonts w:ascii="Times New Roman" w:eastAsia="Calibri" w:hAnsi="Times New Roman" w:cs="Times New Roman"/>
          <w:color w:val="000000"/>
          <w:sz w:val="28"/>
          <w:szCs w:val="28"/>
        </w:rPr>
        <w:t xml:space="preserve"> все важные </w:t>
      </w:r>
      <w:r w:rsidRPr="003461A5">
        <w:rPr>
          <w:rFonts w:ascii="Times New Roman" w:eastAsia="Calibri" w:hAnsi="Times New Roman" w:cs="Times New Roman"/>
          <w:color w:val="000000"/>
          <w:sz w:val="28"/>
          <w:szCs w:val="28"/>
        </w:rPr>
        <w:t>и сложные задачи промышленности.</w:t>
      </w:r>
    </w:p>
    <w:p w14:paraId="79EE8CCD" w14:textId="77777777" w:rsidR="00C93C3C" w:rsidRDefault="00C93C3C" w:rsidP="00C93C3C">
      <w:pPr>
        <w:widowControl w:val="0"/>
        <w:tabs>
          <w:tab w:val="left" w:pos="7365"/>
        </w:tabs>
        <w:spacing w:after="0" w:line="312" w:lineRule="auto"/>
        <w:ind w:firstLine="708"/>
        <w:jc w:val="both"/>
        <w:rPr>
          <w:rFonts w:ascii="Times New Roman" w:eastAsia="Calibri" w:hAnsi="Times New Roman" w:cs="Times New Roman"/>
          <w:color w:val="000000"/>
          <w:sz w:val="28"/>
          <w:szCs w:val="28"/>
        </w:rPr>
      </w:pPr>
      <w:r w:rsidRPr="005F4AB9">
        <w:rPr>
          <w:rFonts w:ascii="Times New Roman" w:eastAsia="Calibri" w:hAnsi="Times New Roman" w:cs="Times New Roman"/>
          <w:color w:val="000000"/>
          <w:sz w:val="28"/>
          <w:szCs w:val="28"/>
        </w:rPr>
        <w:t>17 декабря 2021 г. состоялось заседание Сове</w:t>
      </w:r>
      <w:r>
        <w:rPr>
          <w:rFonts w:ascii="Times New Roman" w:eastAsia="Calibri" w:hAnsi="Times New Roman" w:cs="Times New Roman"/>
          <w:color w:val="000000"/>
          <w:sz w:val="28"/>
          <w:szCs w:val="28"/>
        </w:rPr>
        <w:t xml:space="preserve">та при Президенте Российской Федерации по реализации </w:t>
      </w:r>
      <w:r w:rsidRPr="005F4AB9">
        <w:rPr>
          <w:rFonts w:ascii="Times New Roman" w:eastAsia="Calibri" w:hAnsi="Times New Roman" w:cs="Times New Roman"/>
          <w:color w:val="000000"/>
          <w:sz w:val="28"/>
          <w:szCs w:val="28"/>
        </w:rPr>
        <w:t>государственной политики в сфере защиты се</w:t>
      </w:r>
      <w:r>
        <w:rPr>
          <w:rFonts w:ascii="Times New Roman" w:eastAsia="Calibri" w:hAnsi="Times New Roman" w:cs="Times New Roman"/>
          <w:color w:val="000000"/>
          <w:sz w:val="28"/>
          <w:szCs w:val="28"/>
        </w:rPr>
        <w:t xml:space="preserve">мьи и детей на тему: «Индустрия </w:t>
      </w:r>
      <w:r w:rsidRPr="005F4AB9">
        <w:rPr>
          <w:rFonts w:ascii="Times New Roman" w:eastAsia="Calibri" w:hAnsi="Times New Roman" w:cs="Times New Roman"/>
          <w:color w:val="000000"/>
          <w:sz w:val="28"/>
          <w:szCs w:val="28"/>
        </w:rPr>
        <w:t>детских товаров: состояние, п</w:t>
      </w:r>
      <w:r>
        <w:rPr>
          <w:rFonts w:ascii="Times New Roman" w:eastAsia="Calibri" w:hAnsi="Times New Roman" w:cs="Times New Roman"/>
          <w:color w:val="000000"/>
          <w:sz w:val="28"/>
          <w:szCs w:val="28"/>
        </w:rPr>
        <w:t xml:space="preserve">роблемы и перспективы развития» </w:t>
      </w:r>
      <w:r w:rsidRPr="005F4AB9">
        <w:rPr>
          <w:rFonts w:ascii="Times New Roman" w:eastAsia="Calibri" w:hAnsi="Times New Roman" w:cs="Times New Roman"/>
          <w:color w:val="000000"/>
          <w:sz w:val="28"/>
          <w:szCs w:val="28"/>
        </w:rPr>
        <w:t>под председательством В.И. Матвиенко.</w:t>
      </w:r>
      <w:r w:rsidR="00266EEA" w:rsidRPr="003875E5">
        <w:rPr>
          <w:rFonts w:ascii="Times New Roman" w:eastAsia="Times New Roman" w:hAnsi="Times New Roman" w:cs="Times New Roman"/>
          <w:sz w:val="28"/>
          <w:szCs w:val="28"/>
          <w:lang w:eastAsia="ru-RU"/>
        </w:rPr>
        <w:t> </w:t>
      </w:r>
      <w:r w:rsidRPr="005F4AB9">
        <w:rPr>
          <w:rFonts w:ascii="Times New Roman" w:eastAsia="Calibri" w:hAnsi="Times New Roman" w:cs="Times New Roman"/>
          <w:color w:val="000000"/>
          <w:sz w:val="28"/>
          <w:szCs w:val="28"/>
        </w:rPr>
        <w:t>В рамках заседания была организована выс</w:t>
      </w:r>
      <w:r>
        <w:rPr>
          <w:rFonts w:ascii="Times New Roman" w:eastAsia="Calibri" w:hAnsi="Times New Roman" w:cs="Times New Roman"/>
          <w:color w:val="000000"/>
          <w:sz w:val="28"/>
          <w:szCs w:val="28"/>
        </w:rPr>
        <w:t xml:space="preserve">тавка отечественных товаров для </w:t>
      </w:r>
      <w:r w:rsidRPr="005F4AB9">
        <w:rPr>
          <w:rFonts w:ascii="Times New Roman" w:eastAsia="Calibri" w:hAnsi="Times New Roman" w:cs="Times New Roman"/>
          <w:color w:val="000000"/>
          <w:sz w:val="28"/>
          <w:szCs w:val="28"/>
        </w:rPr>
        <w:t>детей</w:t>
      </w:r>
      <w:r w:rsidR="00585E83">
        <w:rPr>
          <w:rFonts w:ascii="Times New Roman" w:eastAsia="Calibri" w:hAnsi="Times New Roman" w:cs="Times New Roman"/>
          <w:color w:val="000000"/>
          <w:sz w:val="28"/>
          <w:szCs w:val="28"/>
        </w:rPr>
        <w:t>,</w:t>
      </w:r>
      <w:r w:rsidRPr="005F4AB9">
        <w:rPr>
          <w:rFonts w:ascii="Times New Roman" w:eastAsia="Calibri" w:hAnsi="Times New Roman" w:cs="Times New Roman"/>
          <w:color w:val="000000"/>
          <w:sz w:val="28"/>
          <w:szCs w:val="28"/>
        </w:rPr>
        <w:t xml:space="preserve"> на которой была представлена</w:t>
      </w:r>
      <w:r>
        <w:rPr>
          <w:rFonts w:ascii="Times New Roman" w:eastAsia="Calibri" w:hAnsi="Times New Roman" w:cs="Times New Roman"/>
          <w:color w:val="000000"/>
          <w:sz w:val="28"/>
          <w:szCs w:val="28"/>
        </w:rPr>
        <w:t xml:space="preserve"> продукция более 40 предприятий </w:t>
      </w:r>
      <w:r w:rsidRPr="005F4AB9">
        <w:rPr>
          <w:rFonts w:ascii="Times New Roman" w:eastAsia="Calibri" w:hAnsi="Times New Roman" w:cs="Times New Roman"/>
          <w:color w:val="000000"/>
          <w:sz w:val="28"/>
          <w:szCs w:val="28"/>
        </w:rPr>
        <w:t>промышленности по следующим напра</w:t>
      </w:r>
      <w:r>
        <w:rPr>
          <w:rFonts w:ascii="Times New Roman" w:eastAsia="Calibri" w:hAnsi="Times New Roman" w:cs="Times New Roman"/>
          <w:color w:val="000000"/>
          <w:sz w:val="28"/>
          <w:szCs w:val="28"/>
        </w:rPr>
        <w:t xml:space="preserve">влениям: игры и игрушки, товары </w:t>
      </w:r>
      <w:r w:rsidRPr="005F4AB9">
        <w:rPr>
          <w:rFonts w:ascii="Times New Roman" w:eastAsia="Calibri" w:hAnsi="Times New Roman" w:cs="Times New Roman"/>
          <w:color w:val="000000"/>
          <w:sz w:val="28"/>
          <w:szCs w:val="28"/>
        </w:rPr>
        <w:t>для новорожденных, одежда и обувь, школьная</w:t>
      </w:r>
      <w:r>
        <w:rPr>
          <w:rFonts w:ascii="Times New Roman" w:eastAsia="Calibri" w:hAnsi="Times New Roman" w:cs="Times New Roman"/>
          <w:color w:val="000000"/>
          <w:sz w:val="28"/>
          <w:szCs w:val="28"/>
        </w:rPr>
        <w:t xml:space="preserve"> форма, детская мебель, учебное </w:t>
      </w:r>
      <w:r w:rsidRPr="005F4AB9">
        <w:rPr>
          <w:rFonts w:ascii="Times New Roman" w:eastAsia="Calibri" w:hAnsi="Times New Roman" w:cs="Times New Roman"/>
          <w:color w:val="000000"/>
          <w:sz w:val="28"/>
          <w:szCs w:val="28"/>
        </w:rPr>
        <w:t>оборудование, товары для спорта и отдыха, музыкальные инструменты и др.</w:t>
      </w:r>
    </w:p>
    <w:p w14:paraId="4F9C7AE6" w14:textId="77777777" w:rsidR="00D03A4F" w:rsidRDefault="00D03A4F" w:rsidP="00D03A4F">
      <w:pPr>
        <w:widowControl w:val="0"/>
        <w:spacing w:before="120" w:after="120" w:line="312" w:lineRule="auto"/>
        <w:ind w:firstLine="709"/>
        <w:jc w:val="center"/>
        <w:rPr>
          <w:rFonts w:ascii="Times New Roman" w:eastAsia="Times New Roman" w:hAnsi="Times New Roman" w:cs="Times New Roman"/>
          <w:i/>
          <w:sz w:val="28"/>
          <w:szCs w:val="28"/>
        </w:rPr>
      </w:pPr>
      <w:r w:rsidRPr="00D03A4F">
        <w:rPr>
          <w:rFonts w:ascii="Times New Roman" w:eastAsia="Times New Roman" w:hAnsi="Times New Roman" w:cs="Times New Roman"/>
          <w:i/>
          <w:sz w:val="28"/>
          <w:szCs w:val="28"/>
        </w:rPr>
        <w:t>Характеристика миграционных процессов</w:t>
      </w:r>
    </w:p>
    <w:p w14:paraId="4123AF15" w14:textId="77777777" w:rsidR="004C3BAD" w:rsidRPr="00BB5821" w:rsidRDefault="004C3BAD" w:rsidP="004C3BAD">
      <w:pPr>
        <w:spacing w:after="0" w:line="312" w:lineRule="auto"/>
        <w:ind w:firstLine="709"/>
        <w:jc w:val="both"/>
        <w:rPr>
          <w:rFonts w:ascii="Times New Roman" w:eastAsia="Calibri" w:hAnsi="Times New Roman" w:cs="Times New Roman"/>
          <w:sz w:val="28"/>
          <w:szCs w:val="28"/>
        </w:rPr>
      </w:pPr>
      <w:r w:rsidRPr="00BB5821">
        <w:rPr>
          <w:rFonts w:ascii="Times New Roman" w:eastAsia="Calibri" w:hAnsi="Times New Roman" w:cs="Times New Roman"/>
          <w:sz w:val="28"/>
          <w:szCs w:val="28"/>
        </w:rPr>
        <w:t>На развитие миграционной ситуации на территории Российской Федерации в 2021 г</w:t>
      </w:r>
      <w:r w:rsidR="00E7283D">
        <w:rPr>
          <w:rFonts w:ascii="Times New Roman" w:eastAsia="Calibri" w:hAnsi="Times New Roman" w:cs="Times New Roman"/>
          <w:sz w:val="28"/>
          <w:szCs w:val="28"/>
        </w:rPr>
        <w:t>.</w:t>
      </w:r>
      <w:r w:rsidRPr="00BB5821">
        <w:rPr>
          <w:rFonts w:ascii="Times New Roman" w:eastAsia="Calibri" w:hAnsi="Times New Roman" w:cs="Times New Roman"/>
          <w:sz w:val="28"/>
          <w:szCs w:val="28"/>
        </w:rPr>
        <w:t xml:space="preserve"> значительно повлияли ограничения, направленные на противодействие распространению коронавирусной инфекции (COVID-19). В целях обеспечения безопасности </w:t>
      </w:r>
      <w:r w:rsidRPr="00BB5821">
        <w:rPr>
          <w:rFonts w:ascii="Times New Roman" w:eastAsia="Calibri" w:hAnsi="Times New Roman" w:cs="Times New Roman"/>
          <w:sz w:val="28"/>
          <w:szCs w:val="28"/>
        </w:rPr>
        <w:lastRenderedPageBreak/>
        <w:t>государства, защиты здоровья населения распоряжением Правительства Российской Федерации от 16 марта 2020 г. № 635-р въезд иностранных граждан в Российскую Федерацию временно ограничен.</w:t>
      </w:r>
    </w:p>
    <w:p w14:paraId="11009731" w14:textId="4B0BE8BF" w:rsidR="004C3BAD" w:rsidRPr="00BB5821" w:rsidRDefault="004C3BAD" w:rsidP="004C3BAD">
      <w:pPr>
        <w:spacing w:after="0" w:line="312" w:lineRule="auto"/>
        <w:ind w:firstLine="709"/>
        <w:jc w:val="both"/>
        <w:rPr>
          <w:rFonts w:ascii="Times New Roman" w:eastAsia="Calibri" w:hAnsi="Times New Roman" w:cs="Times New Roman"/>
          <w:sz w:val="28"/>
          <w:szCs w:val="28"/>
        </w:rPr>
      </w:pPr>
      <w:r w:rsidRPr="00BB5821">
        <w:rPr>
          <w:rFonts w:ascii="Times New Roman" w:eastAsia="Calibri" w:hAnsi="Times New Roman" w:cs="Times New Roman"/>
          <w:sz w:val="28"/>
          <w:szCs w:val="28"/>
        </w:rPr>
        <w:t>По данным Государственной информационной системы миграционного учета, на территорию страны в 2021 г</w:t>
      </w:r>
      <w:r w:rsidR="00E7283D">
        <w:rPr>
          <w:rFonts w:ascii="Times New Roman" w:eastAsia="Calibri" w:hAnsi="Times New Roman" w:cs="Times New Roman"/>
          <w:sz w:val="28"/>
          <w:szCs w:val="28"/>
        </w:rPr>
        <w:t>.</w:t>
      </w:r>
      <w:r w:rsidRPr="00BB5821">
        <w:rPr>
          <w:rFonts w:ascii="Times New Roman" w:eastAsia="Calibri" w:hAnsi="Times New Roman" w:cs="Times New Roman"/>
          <w:sz w:val="28"/>
          <w:szCs w:val="28"/>
        </w:rPr>
        <w:t xml:space="preserve"> прибыло 7,3 млн иностранных граждан и лиц без гражданства (2020 г</w:t>
      </w:r>
      <w:r w:rsidR="00A10449" w:rsidRPr="00BB5821">
        <w:rPr>
          <w:rFonts w:ascii="Times New Roman" w:eastAsia="Calibri" w:hAnsi="Times New Roman" w:cs="Times New Roman"/>
          <w:sz w:val="28"/>
          <w:szCs w:val="28"/>
        </w:rPr>
        <w:t>.</w:t>
      </w:r>
      <w:r w:rsidR="00651104" w:rsidRPr="003875E5">
        <w:rPr>
          <w:rFonts w:ascii="Times New Roman" w:eastAsia="Times New Roman" w:hAnsi="Times New Roman" w:cs="Times New Roman"/>
          <w:sz w:val="28"/>
          <w:szCs w:val="28"/>
          <w:lang w:eastAsia="ru-RU"/>
        </w:rPr>
        <w:t> </w:t>
      </w:r>
      <w:r w:rsidRPr="00BB5821">
        <w:rPr>
          <w:rFonts w:ascii="Times New Roman" w:eastAsia="Calibri" w:hAnsi="Times New Roman" w:cs="Times New Roman"/>
          <w:sz w:val="28"/>
          <w:szCs w:val="28"/>
        </w:rPr>
        <w:t>– 5,9 млн</w:t>
      </w:r>
      <w:r w:rsidR="00A10449" w:rsidRPr="00BB5821">
        <w:rPr>
          <w:rFonts w:ascii="Times New Roman" w:eastAsia="Calibri" w:hAnsi="Times New Roman" w:cs="Times New Roman"/>
          <w:sz w:val="28"/>
          <w:szCs w:val="28"/>
        </w:rPr>
        <w:t xml:space="preserve"> человек</w:t>
      </w:r>
      <w:r w:rsidRPr="00BB5821">
        <w:rPr>
          <w:rFonts w:ascii="Times New Roman" w:eastAsia="Calibri" w:hAnsi="Times New Roman" w:cs="Times New Roman"/>
          <w:sz w:val="28"/>
          <w:szCs w:val="28"/>
        </w:rPr>
        <w:t xml:space="preserve">; 2019 </w:t>
      </w:r>
      <w:r w:rsidR="00A10449" w:rsidRPr="00BB5821">
        <w:rPr>
          <w:rFonts w:ascii="Times New Roman" w:eastAsia="Calibri" w:hAnsi="Times New Roman" w:cs="Times New Roman"/>
          <w:sz w:val="28"/>
          <w:szCs w:val="28"/>
        </w:rPr>
        <w:t>г.</w:t>
      </w:r>
      <w:r w:rsidRPr="00BB5821">
        <w:rPr>
          <w:rFonts w:ascii="Times New Roman" w:eastAsia="Calibri" w:hAnsi="Times New Roman" w:cs="Times New Roman"/>
          <w:sz w:val="28"/>
          <w:szCs w:val="28"/>
        </w:rPr>
        <w:t xml:space="preserve"> – 19,6 млн</w:t>
      </w:r>
      <w:r w:rsidR="00A10449" w:rsidRPr="00BB5821">
        <w:rPr>
          <w:rFonts w:ascii="Times New Roman" w:eastAsia="Calibri" w:hAnsi="Times New Roman" w:cs="Times New Roman"/>
          <w:sz w:val="28"/>
          <w:szCs w:val="28"/>
        </w:rPr>
        <w:t xml:space="preserve"> человек</w:t>
      </w:r>
      <w:r w:rsidRPr="00BB5821">
        <w:rPr>
          <w:rFonts w:ascii="Times New Roman" w:eastAsia="Calibri" w:hAnsi="Times New Roman" w:cs="Times New Roman"/>
          <w:sz w:val="28"/>
          <w:szCs w:val="28"/>
        </w:rPr>
        <w:t>).</w:t>
      </w:r>
    </w:p>
    <w:p w14:paraId="5EB4EF1E" w14:textId="77777777" w:rsidR="004C3BAD" w:rsidRPr="00BB5821" w:rsidRDefault="004C3BAD" w:rsidP="004C3BAD">
      <w:pPr>
        <w:spacing w:after="0" w:line="312" w:lineRule="auto"/>
        <w:ind w:firstLine="709"/>
        <w:jc w:val="both"/>
        <w:rPr>
          <w:rFonts w:ascii="Times New Roman" w:eastAsia="Calibri" w:hAnsi="Times New Roman" w:cs="Times New Roman"/>
          <w:sz w:val="28"/>
          <w:szCs w:val="28"/>
        </w:rPr>
      </w:pPr>
      <w:r w:rsidRPr="00BB5821">
        <w:rPr>
          <w:rFonts w:ascii="Times New Roman" w:eastAsia="Calibri" w:hAnsi="Times New Roman" w:cs="Times New Roman"/>
          <w:sz w:val="28"/>
          <w:szCs w:val="28"/>
        </w:rPr>
        <w:t xml:space="preserve">Численность прибывших детей в возрасте до 18 лет составила 648,5 тыс. человек или 8,9% от общего числа </w:t>
      </w:r>
      <w:r w:rsidR="00BB5821" w:rsidRPr="00BB5821">
        <w:rPr>
          <w:rFonts w:ascii="Times New Roman" w:eastAsia="Calibri" w:hAnsi="Times New Roman" w:cs="Times New Roman"/>
          <w:sz w:val="28"/>
          <w:szCs w:val="28"/>
        </w:rPr>
        <w:t xml:space="preserve">иностранных граждан, въехавших </w:t>
      </w:r>
      <w:r w:rsidRPr="00BB5821">
        <w:rPr>
          <w:rFonts w:ascii="Times New Roman" w:eastAsia="Calibri" w:hAnsi="Times New Roman" w:cs="Times New Roman"/>
          <w:sz w:val="28"/>
          <w:szCs w:val="28"/>
        </w:rPr>
        <w:t>на территорию Российской Федерации (2020 г</w:t>
      </w:r>
      <w:r w:rsidR="00A10449" w:rsidRPr="00BB5821">
        <w:rPr>
          <w:rFonts w:ascii="Times New Roman" w:eastAsia="Calibri" w:hAnsi="Times New Roman" w:cs="Times New Roman"/>
          <w:sz w:val="28"/>
          <w:szCs w:val="28"/>
        </w:rPr>
        <w:t>.</w:t>
      </w:r>
      <w:r w:rsidR="00BB5821" w:rsidRPr="00BB5821">
        <w:rPr>
          <w:rFonts w:ascii="Times New Roman" w:eastAsia="Calibri" w:hAnsi="Times New Roman" w:cs="Times New Roman"/>
          <w:sz w:val="28"/>
          <w:szCs w:val="28"/>
        </w:rPr>
        <w:t xml:space="preserve"> – 307,6 тыс. или 5,2%; </w:t>
      </w:r>
      <w:r w:rsidRPr="00BB5821">
        <w:rPr>
          <w:rFonts w:ascii="Times New Roman" w:eastAsia="Calibri" w:hAnsi="Times New Roman" w:cs="Times New Roman"/>
          <w:sz w:val="28"/>
          <w:szCs w:val="28"/>
        </w:rPr>
        <w:t>2019 г</w:t>
      </w:r>
      <w:r w:rsidR="00A10449" w:rsidRPr="00BB5821">
        <w:rPr>
          <w:rFonts w:ascii="Times New Roman" w:eastAsia="Calibri" w:hAnsi="Times New Roman" w:cs="Times New Roman"/>
          <w:sz w:val="28"/>
          <w:szCs w:val="28"/>
        </w:rPr>
        <w:t>.</w:t>
      </w:r>
      <w:r w:rsidRPr="00BB5821">
        <w:rPr>
          <w:rFonts w:ascii="Times New Roman" w:eastAsia="Calibri" w:hAnsi="Times New Roman" w:cs="Times New Roman"/>
          <w:sz w:val="28"/>
          <w:szCs w:val="28"/>
        </w:rPr>
        <w:t xml:space="preserve"> – 1,5 млн или 7,5%).</w:t>
      </w:r>
    </w:p>
    <w:p w14:paraId="5E463434" w14:textId="77777777" w:rsidR="004C3BAD" w:rsidRPr="00E7283D" w:rsidRDefault="004C3BAD" w:rsidP="004C3BAD">
      <w:pPr>
        <w:spacing w:after="0" w:line="312" w:lineRule="auto"/>
        <w:ind w:firstLine="709"/>
        <w:jc w:val="both"/>
        <w:rPr>
          <w:rFonts w:ascii="Times New Roman" w:eastAsia="Calibri" w:hAnsi="Times New Roman" w:cs="Times New Roman"/>
          <w:sz w:val="28"/>
          <w:szCs w:val="28"/>
        </w:rPr>
      </w:pPr>
      <w:r w:rsidRPr="00E7283D">
        <w:rPr>
          <w:rFonts w:ascii="Times New Roman" w:eastAsia="Calibri" w:hAnsi="Times New Roman" w:cs="Times New Roman"/>
          <w:sz w:val="28"/>
          <w:szCs w:val="28"/>
        </w:rPr>
        <w:t xml:space="preserve">В числе въезжающих несовершеннолетних мигрантов большинство традиционно прибывает из </w:t>
      </w:r>
      <w:r w:rsidRPr="00E7283D">
        <w:rPr>
          <w:rFonts w:ascii="Times New Roman" w:eastAsia="Calibri" w:hAnsi="Times New Roman" w:cs="Times New Roman"/>
          <w:bCs/>
          <w:sz w:val="28"/>
          <w:szCs w:val="28"/>
        </w:rPr>
        <w:t xml:space="preserve">государств – участников </w:t>
      </w:r>
      <w:r w:rsidRPr="00E7283D">
        <w:rPr>
          <w:rFonts w:ascii="Times New Roman" w:eastAsia="Calibri" w:hAnsi="Times New Roman" w:cs="Times New Roman"/>
          <w:sz w:val="28"/>
          <w:szCs w:val="28"/>
        </w:rPr>
        <w:t>СНГ – 88,8% (2020 г</w:t>
      </w:r>
      <w:r w:rsidR="007A0748" w:rsidRPr="00E7283D">
        <w:rPr>
          <w:rFonts w:ascii="Times New Roman" w:eastAsia="Calibri" w:hAnsi="Times New Roman" w:cs="Times New Roman"/>
          <w:sz w:val="28"/>
          <w:szCs w:val="28"/>
        </w:rPr>
        <w:t>.</w:t>
      </w:r>
      <w:r w:rsidRPr="00E7283D">
        <w:rPr>
          <w:rFonts w:ascii="Times New Roman" w:eastAsia="Calibri" w:hAnsi="Times New Roman" w:cs="Times New Roman"/>
          <w:sz w:val="28"/>
          <w:szCs w:val="28"/>
        </w:rPr>
        <w:t xml:space="preserve"> – 82,8%; 2019 г</w:t>
      </w:r>
      <w:r w:rsidR="007A0748" w:rsidRPr="00E7283D">
        <w:rPr>
          <w:rFonts w:ascii="Times New Roman" w:eastAsia="Calibri" w:hAnsi="Times New Roman" w:cs="Times New Roman"/>
          <w:sz w:val="28"/>
          <w:szCs w:val="28"/>
        </w:rPr>
        <w:t>.</w:t>
      </w:r>
      <w:r w:rsidR="00E7283D" w:rsidRPr="00E7283D">
        <w:rPr>
          <w:rFonts w:ascii="Times New Roman" w:eastAsia="Calibri" w:hAnsi="Times New Roman" w:cs="Times New Roman"/>
          <w:sz w:val="28"/>
          <w:szCs w:val="28"/>
        </w:rPr>
        <w:t xml:space="preserve"> – 69,4%).</w:t>
      </w:r>
    </w:p>
    <w:p w14:paraId="464D94B8" w14:textId="5FD86862" w:rsidR="004C3BAD" w:rsidRPr="003618C2" w:rsidRDefault="004C3BAD" w:rsidP="007A0748">
      <w:pPr>
        <w:spacing w:after="0" w:line="312" w:lineRule="auto"/>
        <w:ind w:firstLine="709"/>
        <w:jc w:val="both"/>
        <w:rPr>
          <w:rFonts w:ascii="Times New Roman" w:eastAsia="Calibri" w:hAnsi="Times New Roman" w:cs="Times New Roman"/>
          <w:sz w:val="28"/>
          <w:szCs w:val="28"/>
        </w:rPr>
      </w:pPr>
      <w:r w:rsidRPr="003618C2">
        <w:rPr>
          <w:rFonts w:ascii="Times New Roman" w:eastAsia="Calibri" w:hAnsi="Times New Roman" w:cs="Times New Roman"/>
          <w:sz w:val="28"/>
          <w:szCs w:val="28"/>
        </w:rPr>
        <w:t>В 2021 г</w:t>
      </w:r>
      <w:r w:rsidR="00A7474D">
        <w:rPr>
          <w:rFonts w:ascii="Times New Roman" w:eastAsia="Calibri" w:hAnsi="Times New Roman" w:cs="Times New Roman"/>
          <w:sz w:val="28"/>
          <w:szCs w:val="28"/>
        </w:rPr>
        <w:t>.</w:t>
      </w:r>
      <w:r w:rsidRPr="003618C2">
        <w:rPr>
          <w:rFonts w:ascii="Times New Roman" w:eastAsia="Calibri" w:hAnsi="Times New Roman" w:cs="Times New Roman"/>
          <w:sz w:val="28"/>
          <w:szCs w:val="28"/>
        </w:rPr>
        <w:t xml:space="preserve"> численность детей, прибывши</w:t>
      </w:r>
      <w:r w:rsidR="007A0748" w:rsidRPr="003618C2">
        <w:rPr>
          <w:rFonts w:ascii="Times New Roman" w:eastAsia="Calibri" w:hAnsi="Times New Roman" w:cs="Times New Roman"/>
          <w:sz w:val="28"/>
          <w:szCs w:val="28"/>
        </w:rPr>
        <w:t xml:space="preserve">х из данных стран, увеличилась по </w:t>
      </w:r>
      <w:r w:rsidRPr="003618C2">
        <w:rPr>
          <w:rFonts w:ascii="Times New Roman" w:eastAsia="Calibri" w:hAnsi="Times New Roman" w:cs="Times New Roman"/>
          <w:sz w:val="28"/>
          <w:szCs w:val="28"/>
        </w:rPr>
        <w:t>сравнени</w:t>
      </w:r>
      <w:r w:rsidR="007A0748" w:rsidRPr="003618C2">
        <w:rPr>
          <w:rFonts w:ascii="Times New Roman" w:eastAsia="Calibri" w:hAnsi="Times New Roman" w:cs="Times New Roman"/>
          <w:sz w:val="28"/>
          <w:szCs w:val="28"/>
        </w:rPr>
        <w:t>ю</w:t>
      </w:r>
      <w:r w:rsidRPr="003618C2">
        <w:rPr>
          <w:rFonts w:ascii="Times New Roman" w:eastAsia="Calibri" w:hAnsi="Times New Roman" w:cs="Times New Roman"/>
          <w:sz w:val="28"/>
          <w:szCs w:val="28"/>
        </w:rPr>
        <w:t xml:space="preserve"> с 2020 г</w:t>
      </w:r>
      <w:r w:rsidR="00A7474D">
        <w:rPr>
          <w:rFonts w:ascii="Times New Roman" w:eastAsia="Calibri" w:hAnsi="Times New Roman" w:cs="Times New Roman"/>
          <w:sz w:val="28"/>
          <w:szCs w:val="28"/>
        </w:rPr>
        <w:t>.</w:t>
      </w:r>
      <w:r w:rsidRPr="003618C2">
        <w:rPr>
          <w:rFonts w:ascii="Times New Roman" w:eastAsia="Calibri" w:hAnsi="Times New Roman" w:cs="Times New Roman"/>
          <w:sz w:val="28"/>
          <w:szCs w:val="28"/>
        </w:rPr>
        <w:t xml:space="preserve"> на 321 тыс. человек или в 2,3 раза, при этом осталась ниже показателя 2019 г</w:t>
      </w:r>
      <w:r w:rsidR="00A7474D">
        <w:rPr>
          <w:rFonts w:ascii="Times New Roman" w:eastAsia="Calibri" w:hAnsi="Times New Roman" w:cs="Times New Roman"/>
          <w:sz w:val="28"/>
          <w:szCs w:val="28"/>
        </w:rPr>
        <w:t>.</w:t>
      </w:r>
      <w:r w:rsidRPr="003618C2">
        <w:rPr>
          <w:rFonts w:ascii="Times New Roman" w:eastAsia="Calibri" w:hAnsi="Times New Roman" w:cs="Times New Roman"/>
          <w:sz w:val="28"/>
          <w:szCs w:val="28"/>
        </w:rPr>
        <w:t xml:space="preserve"> на 50%. Наибольшая доля в числе прибывших несовершеннолетних мигрантов из стран СНГ принадлежит гражданам Украины </w:t>
      </w:r>
      <w:r w:rsidR="00651104" w:rsidRPr="003618C2">
        <w:rPr>
          <w:rFonts w:ascii="Times New Roman" w:eastAsia="Calibri" w:hAnsi="Times New Roman" w:cs="Times New Roman"/>
          <w:sz w:val="28"/>
          <w:szCs w:val="28"/>
        </w:rPr>
        <w:t>–</w:t>
      </w:r>
      <w:r w:rsidR="001E0E7D">
        <w:rPr>
          <w:rFonts w:ascii="Times New Roman" w:eastAsia="Calibri" w:hAnsi="Times New Roman" w:cs="Times New Roman"/>
          <w:sz w:val="28"/>
          <w:szCs w:val="28"/>
        </w:rPr>
        <w:t xml:space="preserve"> </w:t>
      </w:r>
      <w:r w:rsidRPr="003618C2">
        <w:rPr>
          <w:rFonts w:ascii="Times New Roman" w:eastAsia="Calibri" w:hAnsi="Times New Roman" w:cs="Times New Roman"/>
          <w:sz w:val="28"/>
          <w:szCs w:val="28"/>
        </w:rPr>
        <w:t xml:space="preserve">27,4% (+42,5 тыс. человек), Таджикистана </w:t>
      </w:r>
      <w:r w:rsidR="00651104" w:rsidRPr="003618C2">
        <w:rPr>
          <w:rFonts w:ascii="Times New Roman" w:eastAsia="Calibri" w:hAnsi="Times New Roman" w:cs="Times New Roman"/>
          <w:sz w:val="28"/>
          <w:szCs w:val="28"/>
        </w:rPr>
        <w:t xml:space="preserve">– </w:t>
      </w:r>
      <w:r w:rsidRPr="003618C2">
        <w:rPr>
          <w:rFonts w:ascii="Times New Roman" w:eastAsia="Calibri" w:hAnsi="Times New Roman" w:cs="Times New Roman"/>
          <w:sz w:val="28"/>
          <w:szCs w:val="28"/>
        </w:rPr>
        <w:t xml:space="preserve">22% (+104,3 тыс. человек), Киргизии </w:t>
      </w:r>
      <w:r w:rsidR="00651104" w:rsidRPr="003618C2">
        <w:rPr>
          <w:rFonts w:ascii="Times New Roman" w:eastAsia="Calibri" w:hAnsi="Times New Roman" w:cs="Times New Roman"/>
          <w:sz w:val="28"/>
          <w:szCs w:val="28"/>
        </w:rPr>
        <w:t xml:space="preserve">– </w:t>
      </w:r>
      <w:r w:rsidRPr="003618C2">
        <w:rPr>
          <w:rFonts w:ascii="Times New Roman" w:eastAsia="Calibri" w:hAnsi="Times New Roman" w:cs="Times New Roman"/>
          <w:sz w:val="28"/>
          <w:szCs w:val="28"/>
        </w:rPr>
        <w:t>13,2% (+60,9 тыс. человек), Узбекистана</w:t>
      </w:r>
      <w:r w:rsidR="00651104" w:rsidRPr="003618C2">
        <w:rPr>
          <w:rFonts w:ascii="Times New Roman" w:eastAsia="Calibri" w:hAnsi="Times New Roman" w:cs="Times New Roman"/>
          <w:sz w:val="28"/>
          <w:szCs w:val="28"/>
        </w:rPr>
        <w:t xml:space="preserve"> –</w:t>
      </w:r>
      <w:r w:rsidRPr="003618C2">
        <w:rPr>
          <w:rFonts w:ascii="Times New Roman" w:eastAsia="Calibri" w:hAnsi="Times New Roman" w:cs="Times New Roman"/>
          <w:sz w:val="28"/>
          <w:szCs w:val="28"/>
        </w:rPr>
        <w:t xml:space="preserve"> 12,5% (+55,5 тыс. человек) и Казахстана </w:t>
      </w:r>
      <w:r w:rsidR="00651104" w:rsidRPr="003618C2">
        <w:rPr>
          <w:rFonts w:ascii="Times New Roman" w:eastAsia="Calibri" w:hAnsi="Times New Roman" w:cs="Times New Roman"/>
          <w:sz w:val="28"/>
          <w:szCs w:val="28"/>
        </w:rPr>
        <w:t xml:space="preserve">– </w:t>
      </w:r>
      <w:r w:rsidRPr="003618C2">
        <w:rPr>
          <w:rFonts w:ascii="Times New Roman" w:eastAsia="Calibri" w:hAnsi="Times New Roman" w:cs="Times New Roman"/>
          <w:sz w:val="28"/>
          <w:szCs w:val="28"/>
        </w:rPr>
        <w:t>11% (+12,3 тыс. человек).</w:t>
      </w:r>
    </w:p>
    <w:p w14:paraId="294F2AEA" w14:textId="77777777" w:rsidR="004C3BAD" w:rsidRPr="003618C2" w:rsidRDefault="004C3BAD" w:rsidP="004C3BAD">
      <w:pPr>
        <w:spacing w:after="0" w:line="312" w:lineRule="auto"/>
        <w:ind w:firstLine="709"/>
        <w:jc w:val="both"/>
        <w:rPr>
          <w:rFonts w:ascii="Times New Roman" w:eastAsia="Calibri" w:hAnsi="Times New Roman" w:cs="Times New Roman"/>
          <w:sz w:val="28"/>
          <w:szCs w:val="28"/>
        </w:rPr>
      </w:pPr>
      <w:r w:rsidRPr="003618C2">
        <w:rPr>
          <w:rFonts w:ascii="Times New Roman" w:eastAsia="Calibri" w:hAnsi="Times New Roman" w:cs="Times New Roman"/>
          <w:sz w:val="28"/>
          <w:szCs w:val="28"/>
        </w:rPr>
        <w:t>Доля числа въехавших несовершеннолетних граждан из государств Европейского союза составила 3% (+3,5 тыс. человек; 2020 г</w:t>
      </w:r>
      <w:r w:rsidR="00311F73" w:rsidRPr="003618C2">
        <w:rPr>
          <w:rFonts w:ascii="Times New Roman" w:eastAsia="Calibri" w:hAnsi="Times New Roman" w:cs="Times New Roman"/>
          <w:sz w:val="28"/>
          <w:szCs w:val="28"/>
        </w:rPr>
        <w:t>.</w:t>
      </w:r>
      <w:r w:rsidRPr="003618C2">
        <w:rPr>
          <w:rFonts w:ascii="Times New Roman" w:eastAsia="Calibri" w:hAnsi="Times New Roman" w:cs="Times New Roman"/>
          <w:sz w:val="28"/>
          <w:szCs w:val="28"/>
        </w:rPr>
        <w:t xml:space="preserve"> – 5,2%; 2019 г</w:t>
      </w:r>
      <w:r w:rsidR="00311F73" w:rsidRPr="003618C2">
        <w:rPr>
          <w:rFonts w:ascii="Times New Roman" w:eastAsia="Calibri" w:hAnsi="Times New Roman" w:cs="Times New Roman"/>
          <w:sz w:val="28"/>
          <w:szCs w:val="28"/>
        </w:rPr>
        <w:t>.</w:t>
      </w:r>
      <w:r w:rsidRPr="003618C2">
        <w:rPr>
          <w:rFonts w:ascii="Times New Roman" w:eastAsia="Calibri" w:hAnsi="Times New Roman" w:cs="Times New Roman"/>
          <w:sz w:val="28"/>
          <w:szCs w:val="28"/>
        </w:rPr>
        <w:t xml:space="preserve"> – 9,7%), подавляющее большинство среди которых составляют граждане Германии </w:t>
      </w:r>
      <w:r w:rsidR="00311F73" w:rsidRPr="003618C2">
        <w:rPr>
          <w:rFonts w:ascii="Times New Roman" w:eastAsia="Calibri" w:hAnsi="Times New Roman" w:cs="Times New Roman"/>
          <w:sz w:val="28"/>
          <w:szCs w:val="28"/>
        </w:rPr>
        <w:t xml:space="preserve">– </w:t>
      </w:r>
      <w:r w:rsidRPr="003618C2">
        <w:rPr>
          <w:rFonts w:ascii="Times New Roman" w:eastAsia="Calibri" w:hAnsi="Times New Roman" w:cs="Times New Roman"/>
          <w:sz w:val="28"/>
          <w:szCs w:val="28"/>
        </w:rPr>
        <w:t xml:space="preserve">44,6% (+6,7 тыс. человек), Франции </w:t>
      </w:r>
      <w:r w:rsidR="00311F73" w:rsidRPr="003618C2">
        <w:rPr>
          <w:rFonts w:ascii="Times New Roman" w:eastAsia="Calibri" w:hAnsi="Times New Roman" w:cs="Times New Roman"/>
          <w:sz w:val="28"/>
          <w:szCs w:val="28"/>
        </w:rPr>
        <w:t xml:space="preserve">– </w:t>
      </w:r>
      <w:r w:rsidRPr="003618C2">
        <w:rPr>
          <w:rFonts w:ascii="Times New Roman" w:eastAsia="Calibri" w:hAnsi="Times New Roman" w:cs="Times New Roman"/>
          <w:sz w:val="28"/>
          <w:szCs w:val="28"/>
        </w:rPr>
        <w:t xml:space="preserve">9,5% (+485 человек), Латвии </w:t>
      </w:r>
      <w:r w:rsidR="00311F73" w:rsidRPr="003618C2">
        <w:rPr>
          <w:rFonts w:ascii="Times New Roman" w:eastAsia="Calibri" w:hAnsi="Times New Roman" w:cs="Times New Roman"/>
          <w:sz w:val="28"/>
          <w:szCs w:val="28"/>
        </w:rPr>
        <w:t xml:space="preserve">– </w:t>
      </w:r>
      <w:r w:rsidRPr="003618C2">
        <w:rPr>
          <w:rFonts w:ascii="Times New Roman" w:eastAsia="Calibri" w:hAnsi="Times New Roman" w:cs="Times New Roman"/>
          <w:sz w:val="28"/>
          <w:szCs w:val="28"/>
        </w:rPr>
        <w:t xml:space="preserve">5,5% (-1,3 тыс. человек), Италии </w:t>
      </w:r>
      <w:r w:rsidR="00311F73" w:rsidRPr="003618C2">
        <w:rPr>
          <w:rFonts w:ascii="Times New Roman" w:eastAsia="Calibri" w:hAnsi="Times New Roman" w:cs="Times New Roman"/>
          <w:sz w:val="28"/>
          <w:szCs w:val="28"/>
        </w:rPr>
        <w:t xml:space="preserve">– </w:t>
      </w:r>
      <w:r w:rsidRPr="003618C2">
        <w:rPr>
          <w:rFonts w:ascii="Times New Roman" w:eastAsia="Calibri" w:hAnsi="Times New Roman" w:cs="Times New Roman"/>
          <w:sz w:val="28"/>
          <w:szCs w:val="28"/>
        </w:rPr>
        <w:t xml:space="preserve">4,6% (+425 человек) и Великобритании </w:t>
      </w:r>
      <w:r w:rsidR="00311F73" w:rsidRPr="003618C2">
        <w:rPr>
          <w:rFonts w:ascii="Times New Roman" w:eastAsia="Calibri" w:hAnsi="Times New Roman" w:cs="Times New Roman"/>
          <w:sz w:val="28"/>
          <w:szCs w:val="28"/>
        </w:rPr>
        <w:t xml:space="preserve">– </w:t>
      </w:r>
      <w:r w:rsidRPr="003618C2">
        <w:rPr>
          <w:rFonts w:ascii="Times New Roman" w:eastAsia="Calibri" w:hAnsi="Times New Roman" w:cs="Times New Roman"/>
          <w:sz w:val="28"/>
          <w:szCs w:val="28"/>
        </w:rPr>
        <w:t>4,3% (+284 человека).</w:t>
      </w:r>
    </w:p>
    <w:p w14:paraId="5D2E2534" w14:textId="77777777" w:rsidR="004C3BAD" w:rsidRPr="003618C2" w:rsidRDefault="004C3BAD" w:rsidP="004C3BAD">
      <w:pPr>
        <w:spacing w:after="0" w:line="312" w:lineRule="auto"/>
        <w:ind w:firstLine="709"/>
        <w:jc w:val="both"/>
        <w:rPr>
          <w:rFonts w:ascii="Times New Roman" w:eastAsia="Calibri" w:hAnsi="Times New Roman" w:cs="Times New Roman"/>
          <w:sz w:val="28"/>
          <w:szCs w:val="28"/>
        </w:rPr>
      </w:pPr>
      <w:r w:rsidRPr="003618C2">
        <w:rPr>
          <w:rFonts w:ascii="Times New Roman" w:eastAsia="Calibri" w:hAnsi="Times New Roman" w:cs="Times New Roman"/>
          <w:sz w:val="28"/>
          <w:szCs w:val="28"/>
        </w:rPr>
        <w:t>Порядка 60% (2020 г</w:t>
      </w:r>
      <w:r w:rsidR="00311F73" w:rsidRPr="003618C2">
        <w:rPr>
          <w:rFonts w:ascii="Times New Roman" w:eastAsia="Calibri" w:hAnsi="Times New Roman" w:cs="Times New Roman"/>
          <w:sz w:val="28"/>
          <w:szCs w:val="28"/>
        </w:rPr>
        <w:t>.</w:t>
      </w:r>
      <w:r w:rsidRPr="003618C2">
        <w:rPr>
          <w:rFonts w:ascii="Times New Roman" w:eastAsia="Calibri" w:hAnsi="Times New Roman" w:cs="Times New Roman"/>
          <w:sz w:val="28"/>
          <w:szCs w:val="28"/>
        </w:rPr>
        <w:t xml:space="preserve"> – 62%; 2019 г</w:t>
      </w:r>
      <w:r w:rsidR="00311F73" w:rsidRPr="003618C2">
        <w:rPr>
          <w:rFonts w:ascii="Times New Roman" w:eastAsia="Calibri" w:hAnsi="Times New Roman" w:cs="Times New Roman"/>
          <w:sz w:val="28"/>
          <w:szCs w:val="28"/>
        </w:rPr>
        <w:t>.</w:t>
      </w:r>
      <w:r w:rsidRPr="003618C2">
        <w:rPr>
          <w:rFonts w:ascii="Times New Roman" w:eastAsia="Calibri" w:hAnsi="Times New Roman" w:cs="Times New Roman"/>
          <w:sz w:val="28"/>
          <w:szCs w:val="28"/>
        </w:rPr>
        <w:t xml:space="preserve"> – 60%) несовершеннолетних мигрантов прибыли с родителями, заявивши</w:t>
      </w:r>
      <w:r w:rsidR="00311F73" w:rsidRPr="003618C2">
        <w:rPr>
          <w:rFonts w:ascii="Times New Roman" w:eastAsia="Calibri" w:hAnsi="Times New Roman" w:cs="Times New Roman"/>
          <w:sz w:val="28"/>
          <w:szCs w:val="28"/>
        </w:rPr>
        <w:t xml:space="preserve">ми частную цель своего въезда, </w:t>
      </w:r>
      <w:r w:rsidRPr="003618C2">
        <w:rPr>
          <w:rFonts w:ascii="Times New Roman" w:eastAsia="Calibri" w:hAnsi="Times New Roman" w:cs="Times New Roman"/>
          <w:sz w:val="28"/>
          <w:szCs w:val="28"/>
        </w:rPr>
        <w:t>8,8% (2020 г</w:t>
      </w:r>
      <w:r w:rsidR="005150A3" w:rsidRPr="003618C2">
        <w:rPr>
          <w:rFonts w:ascii="Times New Roman" w:eastAsia="Calibri" w:hAnsi="Times New Roman" w:cs="Times New Roman"/>
          <w:sz w:val="28"/>
          <w:szCs w:val="28"/>
        </w:rPr>
        <w:t>.</w:t>
      </w:r>
      <w:r w:rsidRPr="003618C2">
        <w:rPr>
          <w:rFonts w:ascii="Times New Roman" w:eastAsia="Calibri" w:hAnsi="Times New Roman" w:cs="Times New Roman"/>
          <w:sz w:val="28"/>
          <w:szCs w:val="28"/>
        </w:rPr>
        <w:t xml:space="preserve"> – 6,8%; 2019 г</w:t>
      </w:r>
      <w:r w:rsidR="005150A3" w:rsidRPr="003618C2">
        <w:rPr>
          <w:rFonts w:ascii="Times New Roman" w:eastAsia="Calibri" w:hAnsi="Times New Roman" w:cs="Times New Roman"/>
          <w:sz w:val="28"/>
          <w:szCs w:val="28"/>
        </w:rPr>
        <w:t>.</w:t>
      </w:r>
      <w:r w:rsidRPr="003618C2">
        <w:rPr>
          <w:rFonts w:ascii="Times New Roman" w:eastAsia="Calibri" w:hAnsi="Times New Roman" w:cs="Times New Roman"/>
          <w:sz w:val="28"/>
          <w:szCs w:val="28"/>
        </w:rPr>
        <w:t xml:space="preserve"> – 5,3%) – «учеба», 4% (2020 г</w:t>
      </w:r>
      <w:r w:rsidR="005150A3" w:rsidRPr="003618C2">
        <w:rPr>
          <w:rFonts w:ascii="Times New Roman" w:eastAsia="Calibri" w:hAnsi="Times New Roman" w:cs="Times New Roman"/>
          <w:sz w:val="28"/>
          <w:szCs w:val="28"/>
        </w:rPr>
        <w:t>.</w:t>
      </w:r>
      <w:r w:rsidRPr="003618C2">
        <w:rPr>
          <w:rFonts w:ascii="Times New Roman" w:eastAsia="Calibri" w:hAnsi="Times New Roman" w:cs="Times New Roman"/>
          <w:sz w:val="28"/>
          <w:szCs w:val="28"/>
        </w:rPr>
        <w:t xml:space="preserve"> – 6%; 2019 </w:t>
      </w:r>
      <w:r w:rsidR="005150A3" w:rsidRPr="003618C2">
        <w:rPr>
          <w:rFonts w:ascii="Times New Roman" w:eastAsia="Calibri" w:hAnsi="Times New Roman" w:cs="Times New Roman"/>
          <w:sz w:val="28"/>
          <w:szCs w:val="28"/>
        </w:rPr>
        <w:t>г.</w:t>
      </w:r>
      <w:r w:rsidRPr="003618C2">
        <w:rPr>
          <w:rFonts w:ascii="Times New Roman" w:eastAsia="Calibri" w:hAnsi="Times New Roman" w:cs="Times New Roman"/>
          <w:sz w:val="28"/>
          <w:szCs w:val="28"/>
        </w:rPr>
        <w:t xml:space="preserve"> – 17,9%) – «туризм» и только 2,7% (2020 г</w:t>
      </w:r>
      <w:r w:rsidR="005150A3" w:rsidRPr="003618C2">
        <w:rPr>
          <w:rFonts w:ascii="Times New Roman" w:eastAsia="Calibri" w:hAnsi="Times New Roman" w:cs="Times New Roman"/>
          <w:sz w:val="28"/>
          <w:szCs w:val="28"/>
        </w:rPr>
        <w:t>.</w:t>
      </w:r>
      <w:r w:rsidRPr="003618C2">
        <w:rPr>
          <w:rFonts w:ascii="Times New Roman" w:eastAsia="Calibri" w:hAnsi="Times New Roman" w:cs="Times New Roman"/>
          <w:sz w:val="28"/>
          <w:szCs w:val="28"/>
        </w:rPr>
        <w:t xml:space="preserve"> – 3%; 2019 г</w:t>
      </w:r>
      <w:r w:rsidR="005150A3" w:rsidRPr="003618C2">
        <w:rPr>
          <w:rFonts w:ascii="Times New Roman" w:eastAsia="Calibri" w:hAnsi="Times New Roman" w:cs="Times New Roman"/>
          <w:sz w:val="28"/>
          <w:szCs w:val="28"/>
        </w:rPr>
        <w:t>.</w:t>
      </w:r>
      <w:r w:rsidRPr="003618C2">
        <w:rPr>
          <w:rFonts w:ascii="Times New Roman" w:eastAsia="Calibri" w:hAnsi="Times New Roman" w:cs="Times New Roman"/>
          <w:sz w:val="28"/>
          <w:szCs w:val="28"/>
        </w:rPr>
        <w:t xml:space="preserve"> – 1,7%) детей прибыли совместно с трудовыми мигрантами. </w:t>
      </w:r>
    </w:p>
    <w:p w14:paraId="4E561FB2" w14:textId="77777777" w:rsidR="004C3BAD" w:rsidRPr="003618C2" w:rsidRDefault="004C3BAD" w:rsidP="004C3BAD">
      <w:pPr>
        <w:spacing w:after="0" w:line="312" w:lineRule="auto"/>
        <w:ind w:firstLine="709"/>
        <w:jc w:val="both"/>
        <w:rPr>
          <w:rFonts w:ascii="Times New Roman" w:eastAsia="Calibri" w:hAnsi="Times New Roman" w:cs="Times New Roman"/>
          <w:sz w:val="28"/>
          <w:szCs w:val="28"/>
        </w:rPr>
      </w:pPr>
      <w:r w:rsidRPr="003618C2">
        <w:rPr>
          <w:rFonts w:ascii="Times New Roman" w:eastAsia="Calibri" w:hAnsi="Times New Roman" w:cs="Times New Roman"/>
          <w:sz w:val="28"/>
          <w:szCs w:val="28"/>
        </w:rPr>
        <w:t>Наибольший процент детей, прибывших совместно с родителями, наблюдается среди граждан Андорры (35,5%), Вануату (20%), Катара (19,3%), Объединенных Арабских Эмиратов (18,7%) и Израиля (18,4%).</w:t>
      </w:r>
    </w:p>
    <w:p w14:paraId="590AC767" w14:textId="3EF397BA" w:rsidR="004C3BAD" w:rsidRPr="003618C2" w:rsidRDefault="004C3BAD" w:rsidP="004C3BAD">
      <w:pPr>
        <w:spacing w:after="0" w:line="312" w:lineRule="auto"/>
        <w:ind w:firstLine="709"/>
        <w:jc w:val="both"/>
        <w:rPr>
          <w:rFonts w:ascii="Times New Roman" w:eastAsia="Calibri" w:hAnsi="Times New Roman" w:cs="Times New Roman"/>
          <w:sz w:val="28"/>
          <w:szCs w:val="28"/>
        </w:rPr>
      </w:pPr>
      <w:r w:rsidRPr="003618C2">
        <w:rPr>
          <w:rFonts w:ascii="Times New Roman" w:eastAsia="Calibri" w:hAnsi="Times New Roman" w:cs="Times New Roman"/>
          <w:sz w:val="28"/>
          <w:szCs w:val="28"/>
        </w:rPr>
        <w:t xml:space="preserve">В 2021 </w:t>
      </w:r>
      <w:r w:rsidR="00A7474D">
        <w:rPr>
          <w:rFonts w:ascii="Times New Roman" w:eastAsia="Calibri" w:hAnsi="Times New Roman" w:cs="Times New Roman"/>
          <w:sz w:val="28"/>
          <w:szCs w:val="28"/>
        </w:rPr>
        <w:t>г.</w:t>
      </w:r>
      <w:r w:rsidRPr="003618C2">
        <w:rPr>
          <w:rFonts w:ascii="Times New Roman" w:eastAsia="Calibri" w:hAnsi="Times New Roman" w:cs="Times New Roman"/>
          <w:sz w:val="28"/>
          <w:szCs w:val="28"/>
        </w:rPr>
        <w:t xml:space="preserve"> с территории Российской Федерации выехало 5,6 млн иностранных граждан (-3,1%), в том числе несовершеннолетних иностранных граждан – 425,5 тыс. человек или 7,6% (2020 г</w:t>
      </w:r>
      <w:r w:rsidR="003618C2" w:rsidRPr="003618C2">
        <w:rPr>
          <w:rFonts w:ascii="Times New Roman" w:eastAsia="Calibri" w:hAnsi="Times New Roman" w:cs="Times New Roman"/>
          <w:sz w:val="28"/>
          <w:szCs w:val="28"/>
        </w:rPr>
        <w:t>.</w:t>
      </w:r>
      <w:r w:rsidRPr="003618C2">
        <w:rPr>
          <w:rFonts w:ascii="Times New Roman" w:eastAsia="Calibri" w:hAnsi="Times New Roman" w:cs="Times New Roman"/>
          <w:sz w:val="28"/>
          <w:szCs w:val="28"/>
        </w:rPr>
        <w:t xml:space="preserve"> – 426,4 тыс. или 7,4%; 2019 </w:t>
      </w:r>
      <w:r w:rsidR="003618C2" w:rsidRPr="003618C2">
        <w:rPr>
          <w:rFonts w:ascii="Times New Roman" w:eastAsia="Calibri" w:hAnsi="Times New Roman" w:cs="Times New Roman"/>
          <w:sz w:val="28"/>
          <w:szCs w:val="28"/>
        </w:rPr>
        <w:t xml:space="preserve">г. </w:t>
      </w:r>
      <w:r w:rsidR="00566C57">
        <w:rPr>
          <w:rFonts w:ascii="Times New Roman" w:eastAsia="Calibri" w:hAnsi="Times New Roman" w:cs="Times New Roman"/>
          <w:sz w:val="28"/>
          <w:szCs w:val="28"/>
        </w:rPr>
        <w:t xml:space="preserve">– </w:t>
      </w:r>
      <w:r w:rsidRPr="003618C2">
        <w:rPr>
          <w:rFonts w:ascii="Times New Roman" w:eastAsia="Calibri" w:hAnsi="Times New Roman" w:cs="Times New Roman"/>
          <w:sz w:val="28"/>
          <w:szCs w:val="28"/>
        </w:rPr>
        <w:t>1,3 млн или 7,5%).</w:t>
      </w:r>
    </w:p>
    <w:p w14:paraId="0D90AF29" w14:textId="77777777" w:rsidR="004C3BAD" w:rsidRPr="003618C2" w:rsidRDefault="004C3BAD" w:rsidP="004C3BAD">
      <w:pPr>
        <w:spacing w:after="0" w:line="312" w:lineRule="auto"/>
        <w:ind w:firstLine="709"/>
        <w:jc w:val="both"/>
        <w:rPr>
          <w:rFonts w:ascii="Times New Roman" w:eastAsia="Calibri" w:hAnsi="Times New Roman" w:cs="Times New Roman"/>
          <w:sz w:val="28"/>
          <w:szCs w:val="28"/>
        </w:rPr>
      </w:pPr>
      <w:r w:rsidRPr="003618C2">
        <w:rPr>
          <w:rFonts w:ascii="Times New Roman" w:eastAsia="Calibri" w:hAnsi="Times New Roman" w:cs="Times New Roman"/>
          <w:sz w:val="28"/>
          <w:szCs w:val="28"/>
        </w:rPr>
        <w:t>В целях урегулирования правовог</w:t>
      </w:r>
      <w:r w:rsidR="003618C2" w:rsidRPr="003618C2">
        <w:rPr>
          <w:rFonts w:ascii="Times New Roman" w:eastAsia="Calibri" w:hAnsi="Times New Roman" w:cs="Times New Roman"/>
          <w:sz w:val="28"/>
          <w:szCs w:val="28"/>
        </w:rPr>
        <w:t xml:space="preserve">о положения иностранных граждан </w:t>
      </w:r>
      <w:r w:rsidRPr="003618C2">
        <w:rPr>
          <w:rFonts w:ascii="Times New Roman" w:eastAsia="Calibri" w:hAnsi="Times New Roman" w:cs="Times New Roman"/>
          <w:sz w:val="28"/>
          <w:szCs w:val="28"/>
        </w:rPr>
        <w:t>в Российской Федерации изданы указы Президента Российской Федерации от 18 апреля 2020 г. № 274 «О временных мерах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коронавирусной инфекции COVID-19» и от 15 июня 2021 г. № 364 «О временных мерах по урегулированию правового положения иностранных граждан и лиц без гражданства в Российской Федерации в период преодоления последствий распространения новой коронавирусной инфекции (COVID-19)»</w:t>
      </w:r>
      <w:r w:rsidR="003618C2" w:rsidRPr="003618C2">
        <w:rPr>
          <w:rFonts w:ascii="Times New Roman" w:eastAsia="Calibri" w:hAnsi="Times New Roman" w:cs="Times New Roman"/>
          <w:sz w:val="28"/>
          <w:szCs w:val="28"/>
        </w:rPr>
        <w:t xml:space="preserve"> (далее – Указ Президента Российской Федерации от 15 июня 2021 г. № 364)</w:t>
      </w:r>
      <w:r w:rsidRPr="003618C2">
        <w:rPr>
          <w:rFonts w:ascii="Times New Roman" w:eastAsia="Calibri" w:hAnsi="Times New Roman" w:cs="Times New Roman"/>
          <w:sz w:val="28"/>
          <w:szCs w:val="28"/>
        </w:rPr>
        <w:t>.</w:t>
      </w:r>
    </w:p>
    <w:p w14:paraId="029C6B39" w14:textId="77777777" w:rsidR="004C3BAD" w:rsidRPr="00297405" w:rsidRDefault="004C3BAD" w:rsidP="004C3BAD">
      <w:pPr>
        <w:spacing w:after="0" w:line="312" w:lineRule="auto"/>
        <w:ind w:firstLine="709"/>
        <w:jc w:val="both"/>
        <w:rPr>
          <w:rFonts w:ascii="Times New Roman" w:eastAsia="Calibri" w:hAnsi="Times New Roman" w:cs="Times New Roman"/>
          <w:sz w:val="28"/>
          <w:szCs w:val="28"/>
        </w:rPr>
      </w:pPr>
      <w:r w:rsidRPr="00297405">
        <w:rPr>
          <w:rFonts w:ascii="Times New Roman" w:eastAsia="Calibri" w:hAnsi="Times New Roman" w:cs="Times New Roman"/>
          <w:sz w:val="28"/>
          <w:szCs w:val="28"/>
        </w:rPr>
        <w:t xml:space="preserve">В соответствии с пунктом 2 Указа </w:t>
      </w:r>
      <w:r w:rsidR="00297405" w:rsidRPr="00297405">
        <w:rPr>
          <w:rFonts w:ascii="Times New Roman" w:eastAsia="Calibri" w:hAnsi="Times New Roman" w:cs="Times New Roman"/>
          <w:sz w:val="28"/>
          <w:szCs w:val="28"/>
        </w:rPr>
        <w:t xml:space="preserve">Президента Российской Федерации </w:t>
      </w:r>
      <w:r w:rsidR="00297405" w:rsidRPr="00297405">
        <w:rPr>
          <w:rFonts w:ascii="Times New Roman" w:eastAsia="Calibri" w:hAnsi="Times New Roman" w:cs="Times New Roman"/>
          <w:sz w:val="28"/>
          <w:szCs w:val="28"/>
        </w:rPr>
        <w:br/>
        <w:t xml:space="preserve">от 15 июня 2021 г. </w:t>
      </w:r>
      <w:r w:rsidRPr="00297405">
        <w:rPr>
          <w:rFonts w:ascii="Times New Roman" w:eastAsia="Calibri" w:hAnsi="Times New Roman" w:cs="Times New Roman"/>
          <w:sz w:val="28"/>
          <w:szCs w:val="28"/>
          <w:lang w:bidi="ru-RU"/>
        </w:rPr>
        <w:t>№ 364 д</w:t>
      </w:r>
      <w:r w:rsidRPr="00297405">
        <w:rPr>
          <w:rFonts w:ascii="Times New Roman" w:eastAsia="Calibri" w:hAnsi="Times New Roman" w:cs="Times New Roman"/>
          <w:sz w:val="28"/>
          <w:szCs w:val="28"/>
        </w:rPr>
        <w:t>о 30 сентября 2021 г</w:t>
      </w:r>
      <w:r w:rsidR="00A7474D">
        <w:rPr>
          <w:rFonts w:ascii="Times New Roman" w:eastAsia="Calibri" w:hAnsi="Times New Roman" w:cs="Times New Roman"/>
          <w:sz w:val="28"/>
          <w:szCs w:val="28"/>
        </w:rPr>
        <w:t>.</w:t>
      </w:r>
      <w:r w:rsidRPr="00297405">
        <w:rPr>
          <w:rFonts w:ascii="Times New Roman" w:eastAsia="Calibri" w:hAnsi="Times New Roman" w:cs="Times New Roman"/>
          <w:sz w:val="28"/>
          <w:szCs w:val="28"/>
        </w:rPr>
        <w:t xml:space="preserve"> включительно иностранным гражданам,</w:t>
      </w:r>
      <w:r w:rsidR="009D57B7">
        <w:rPr>
          <w:rFonts w:ascii="Times New Roman" w:eastAsia="Calibri" w:hAnsi="Times New Roman" w:cs="Times New Roman"/>
          <w:sz w:val="28"/>
          <w:szCs w:val="28"/>
        </w:rPr>
        <w:t xml:space="preserve"> прибывшим в Россию до пандеми</w:t>
      </w:r>
      <w:r w:rsidRPr="00297405">
        <w:rPr>
          <w:rFonts w:ascii="Times New Roman" w:eastAsia="Calibri" w:hAnsi="Times New Roman" w:cs="Times New Roman"/>
          <w:sz w:val="28"/>
          <w:szCs w:val="28"/>
        </w:rPr>
        <w:t xml:space="preserve">и </w:t>
      </w:r>
      <w:r w:rsidR="00297405" w:rsidRPr="00297405">
        <w:rPr>
          <w:rFonts w:ascii="Times New Roman" w:eastAsia="Calibri" w:hAnsi="Times New Roman" w:cs="Times New Roman"/>
          <w:sz w:val="28"/>
          <w:szCs w:val="28"/>
        </w:rPr>
        <w:t xml:space="preserve">и </w:t>
      </w:r>
      <w:r w:rsidRPr="00297405">
        <w:rPr>
          <w:rFonts w:ascii="Times New Roman" w:eastAsia="Calibri" w:hAnsi="Times New Roman" w:cs="Times New Roman"/>
          <w:sz w:val="28"/>
          <w:szCs w:val="28"/>
        </w:rPr>
        <w:t xml:space="preserve">не имеющим по состоянию </w:t>
      </w:r>
      <w:r w:rsidR="00297405" w:rsidRPr="00297405">
        <w:rPr>
          <w:rFonts w:ascii="Times New Roman" w:eastAsia="Calibri" w:hAnsi="Times New Roman" w:cs="Times New Roman"/>
          <w:sz w:val="28"/>
          <w:szCs w:val="28"/>
        </w:rPr>
        <w:br/>
      </w:r>
      <w:r w:rsidRPr="00297405">
        <w:rPr>
          <w:rFonts w:ascii="Times New Roman" w:eastAsia="Calibri" w:hAnsi="Times New Roman" w:cs="Times New Roman"/>
          <w:sz w:val="28"/>
          <w:szCs w:val="28"/>
        </w:rPr>
        <w:t>на 16 июня 2021 г</w:t>
      </w:r>
      <w:r w:rsidR="00A7474D">
        <w:rPr>
          <w:rFonts w:ascii="Times New Roman" w:eastAsia="Calibri" w:hAnsi="Times New Roman" w:cs="Times New Roman"/>
          <w:sz w:val="28"/>
          <w:szCs w:val="28"/>
        </w:rPr>
        <w:t>.</w:t>
      </w:r>
      <w:r w:rsidRPr="00297405">
        <w:rPr>
          <w:rFonts w:ascii="Times New Roman" w:eastAsia="Calibri" w:hAnsi="Times New Roman" w:cs="Times New Roman"/>
          <w:sz w:val="28"/>
          <w:szCs w:val="28"/>
        </w:rPr>
        <w:t xml:space="preserve"> законных оснований для нахождения в Российской Федерации, была предоставлена </w:t>
      </w:r>
      <w:r w:rsidRPr="00297405">
        <w:rPr>
          <w:rFonts w:ascii="Times New Roman" w:eastAsia="Calibri" w:hAnsi="Times New Roman" w:cs="Times New Roman"/>
          <w:sz w:val="28"/>
          <w:szCs w:val="28"/>
          <w:lang w:bidi="ru-RU"/>
        </w:rPr>
        <w:t>возможность легализации</w:t>
      </w:r>
      <w:r w:rsidRPr="00297405">
        <w:rPr>
          <w:rFonts w:ascii="Times New Roman" w:eastAsia="Calibri" w:hAnsi="Times New Roman" w:cs="Times New Roman"/>
          <w:sz w:val="28"/>
          <w:szCs w:val="28"/>
        </w:rPr>
        <w:t xml:space="preserve"> без принятия в отношении таких лиц (за некоторыми исключениями) решений об административном выдворении, о депортации, </w:t>
      </w:r>
      <w:proofErr w:type="spellStart"/>
      <w:r w:rsidRPr="00297405">
        <w:rPr>
          <w:rFonts w:ascii="Times New Roman" w:eastAsia="Calibri" w:hAnsi="Times New Roman" w:cs="Times New Roman"/>
          <w:sz w:val="28"/>
          <w:szCs w:val="28"/>
        </w:rPr>
        <w:t>реадмиссии</w:t>
      </w:r>
      <w:proofErr w:type="spellEnd"/>
      <w:r w:rsidRPr="00297405">
        <w:rPr>
          <w:rFonts w:ascii="Times New Roman" w:eastAsia="Calibri" w:hAnsi="Times New Roman" w:cs="Times New Roman"/>
          <w:sz w:val="28"/>
          <w:szCs w:val="28"/>
        </w:rPr>
        <w:t xml:space="preserve">, </w:t>
      </w:r>
      <w:proofErr w:type="spellStart"/>
      <w:r w:rsidRPr="00297405">
        <w:rPr>
          <w:rFonts w:ascii="Times New Roman" w:eastAsia="Calibri" w:hAnsi="Times New Roman" w:cs="Times New Roman"/>
          <w:sz w:val="28"/>
          <w:szCs w:val="28"/>
        </w:rPr>
        <w:t>неразрешении</w:t>
      </w:r>
      <w:proofErr w:type="spellEnd"/>
      <w:r w:rsidRPr="00297405">
        <w:rPr>
          <w:rFonts w:ascii="Times New Roman" w:eastAsia="Calibri" w:hAnsi="Times New Roman" w:cs="Times New Roman"/>
          <w:sz w:val="28"/>
          <w:szCs w:val="28"/>
        </w:rPr>
        <w:t xml:space="preserve"> въезда или нежелательности пребывания (проживания), сокращении срока временного пребывания.</w:t>
      </w:r>
    </w:p>
    <w:p w14:paraId="45CA2D71" w14:textId="77777777" w:rsidR="004C3BAD" w:rsidRPr="007A6DB1" w:rsidRDefault="004C3BAD" w:rsidP="00490F87">
      <w:pPr>
        <w:spacing w:after="0" w:line="312" w:lineRule="auto"/>
        <w:ind w:firstLine="709"/>
        <w:jc w:val="both"/>
        <w:rPr>
          <w:rFonts w:ascii="Times New Roman" w:eastAsia="Calibri" w:hAnsi="Times New Roman" w:cs="Times New Roman"/>
          <w:sz w:val="28"/>
          <w:szCs w:val="28"/>
        </w:rPr>
      </w:pPr>
      <w:r w:rsidRPr="007A6DB1">
        <w:rPr>
          <w:rFonts w:ascii="Times New Roman" w:eastAsia="Calibri" w:hAnsi="Times New Roman" w:cs="Times New Roman"/>
          <w:sz w:val="28"/>
          <w:szCs w:val="28"/>
        </w:rPr>
        <w:t>На начало 2022 г</w:t>
      </w:r>
      <w:r w:rsidR="00A7474D">
        <w:rPr>
          <w:rFonts w:ascii="Times New Roman" w:eastAsia="Calibri" w:hAnsi="Times New Roman" w:cs="Times New Roman"/>
          <w:sz w:val="28"/>
          <w:szCs w:val="28"/>
        </w:rPr>
        <w:t>.</w:t>
      </w:r>
      <w:r w:rsidRPr="007A6DB1">
        <w:rPr>
          <w:rFonts w:ascii="Times New Roman" w:eastAsia="Calibri" w:hAnsi="Times New Roman" w:cs="Times New Roman"/>
          <w:sz w:val="28"/>
          <w:szCs w:val="28"/>
        </w:rPr>
        <w:t xml:space="preserve"> на территории Р</w:t>
      </w:r>
      <w:r w:rsidR="00A7474D">
        <w:rPr>
          <w:rFonts w:ascii="Times New Roman" w:eastAsia="Calibri" w:hAnsi="Times New Roman" w:cs="Times New Roman"/>
          <w:sz w:val="28"/>
          <w:szCs w:val="28"/>
        </w:rPr>
        <w:t xml:space="preserve">оссийской Федерации находилось </w:t>
      </w:r>
      <w:r w:rsidR="00490F87">
        <w:rPr>
          <w:rFonts w:ascii="Times New Roman" w:eastAsia="Calibri" w:hAnsi="Times New Roman" w:cs="Times New Roman"/>
          <w:sz w:val="28"/>
          <w:szCs w:val="28"/>
        </w:rPr>
        <w:br/>
      </w:r>
      <w:r w:rsidRPr="007A6DB1">
        <w:rPr>
          <w:rFonts w:ascii="Times New Roman" w:eastAsia="Calibri" w:hAnsi="Times New Roman" w:cs="Times New Roman"/>
          <w:sz w:val="28"/>
          <w:szCs w:val="28"/>
        </w:rPr>
        <w:t>5,9 млн иностранных граждан (-17,1%), из которых 577 тыс. составляли дети мигрантов, большинство из которых яв</w:t>
      </w:r>
      <w:r w:rsidR="00A7474D">
        <w:rPr>
          <w:rFonts w:ascii="Times New Roman" w:eastAsia="Calibri" w:hAnsi="Times New Roman" w:cs="Times New Roman"/>
          <w:sz w:val="28"/>
          <w:szCs w:val="28"/>
        </w:rPr>
        <w:t xml:space="preserve">ляются гражданами Таджикистана </w:t>
      </w:r>
      <w:r w:rsidR="00490F87">
        <w:rPr>
          <w:rFonts w:ascii="Times New Roman" w:eastAsia="Calibri" w:hAnsi="Times New Roman" w:cs="Times New Roman"/>
          <w:sz w:val="28"/>
          <w:szCs w:val="28"/>
        </w:rPr>
        <w:br/>
      </w:r>
      <w:r w:rsidRPr="007A6DB1">
        <w:rPr>
          <w:rFonts w:ascii="Times New Roman" w:eastAsia="Calibri" w:hAnsi="Times New Roman" w:cs="Times New Roman"/>
          <w:sz w:val="28"/>
          <w:szCs w:val="28"/>
        </w:rPr>
        <w:t xml:space="preserve">(144,8 тыс. человек или 25,1%), Киргизии (91,1 тыс. человек или 15,8%), Узбекистана (80,6 тыс. человек или 14%) и Украины (55,5 тыс. человек или 9,6%). </w:t>
      </w:r>
    </w:p>
    <w:p w14:paraId="783E29AE" w14:textId="77777777" w:rsidR="004C3BAD" w:rsidRPr="007A6DB1" w:rsidRDefault="004C3BAD" w:rsidP="004C3BAD">
      <w:pPr>
        <w:spacing w:after="0" w:line="312" w:lineRule="auto"/>
        <w:ind w:firstLine="709"/>
        <w:jc w:val="both"/>
        <w:rPr>
          <w:rFonts w:ascii="Times New Roman" w:eastAsia="Calibri" w:hAnsi="Times New Roman" w:cs="Times New Roman"/>
          <w:sz w:val="28"/>
          <w:szCs w:val="28"/>
        </w:rPr>
      </w:pPr>
      <w:r w:rsidRPr="007A6DB1">
        <w:rPr>
          <w:rFonts w:ascii="Times New Roman" w:eastAsia="Calibri" w:hAnsi="Times New Roman" w:cs="Times New Roman"/>
          <w:sz w:val="28"/>
          <w:szCs w:val="28"/>
        </w:rPr>
        <w:t>В числе детей-мигрантов стран дальнего зарубежья большинство находящихся в России прибыли из Эстонии (4,1</w:t>
      </w:r>
      <w:r w:rsidR="00297405" w:rsidRPr="007A6DB1">
        <w:rPr>
          <w:rFonts w:ascii="Times New Roman" w:eastAsia="Calibri" w:hAnsi="Times New Roman" w:cs="Times New Roman"/>
          <w:sz w:val="28"/>
          <w:szCs w:val="28"/>
        </w:rPr>
        <w:t xml:space="preserve"> тыс. человек или 0,7%), Китая </w:t>
      </w:r>
      <w:r w:rsidRPr="007A6DB1">
        <w:rPr>
          <w:rFonts w:ascii="Times New Roman" w:eastAsia="Calibri" w:hAnsi="Times New Roman" w:cs="Times New Roman"/>
          <w:sz w:val="28"/>
          <w:szCs w:val="28"/>
        </w:rPr>
        <w:t>(3,6 тыс. человек или 0,6%) и Германии (3,4 тыс. человек или 0,6%).</w:t>
      </w:r>
    </w:p>
    <w:p w14:paraId="03D2030F" w14:textId="77777777" w:rsidR="004C3BAD" w:rsidRPr="007A6DB1" w:rsidRDefault="004C3BAD" w:rsidP="004C3BAD">
      <w:pPr>
        <w:spacing w:after="0" w:line="312" w:lineRule="auto"/>
        <w:ind w:firstLine="709"/>
        <w:jc w:val="both"/>
        <w:rPr>
          <w:rFonts w:ascii="Times New Roman" w:eastAsia="Calibri" w:hAnsi="Times New Roman" w:cs="Times New Roman"/>
          <w:sz w:val="28"/>
          <w:szCs w:val="28"/>
        </w:rPr>
      </w:pPr>
      <w:r w:rsidRPr="00AB4FF6">
        <w:rPr>
          <w:rFonts w:ascii="Times New Roman" w:eastAsia="Calibri" w:hAnsi="Times New Roman" w:cs="Times New Roman"/>
          <w:sz w:val="28"/>
          <w:szCs w:val="28"/>
        </w:rPr>
        <w:t xml:space="preserve">Принятие </w:t>
      </w:r>
      <w:r w:rsidR="00AB4FF6" w:rsidRPr="00AB4FF6">
        <w:rPr>
          <w:rFonts w:ascii="Times New Roman" w:eastAsia="Calibri" w:hAnsi="Times New Roman" w:cs="Times New Roman"/>
          <w:sz w:val="28"/>
          <w:szCs w:val="28"/>
        </w:rPr>
        <w:t xml:space="preserve">в 2018-2020 гг. </w:t>
      </w:r>
      <w:r w:rsidRPr="00AB4FF6">
        <w:rPr>
          <w:rFonts w:ascii="Times New Roman" w:eastAsia="Calibri" w:hAnsi="Times New Roman" w:cs="Times New Roman"/>
          <w:sz w:val="28"/>
          <w:szCs w:val="28"/>
        </w:rPr>
        <w:t>значительного колич</w:t>
      </w:r>
      <w:r w:rsidR="00AB4FF6" w:rsidRPr="00AB4FF6">
        <w:rPr>
          <w:rFonts w:ascii="Times New Roman" w:eastAsia="Calibri" w:hAnsi="Times New Roman" w:cs="Times New Roman"/>
          <w:sz w:val="28"/>
          <w:szCs w:val="28"/>
        </w:rPr>
        <w:t xml:space="preserve">ества нормативных правовых актов, </w:t>
      </w:r>
      <w:r w:rsidRPr="007A6DB1">
        <w:rPr>
          <w:rFonts w:ascii="Times New Roman" w:eastAsia="Calibri" w:hAnsi="Times New Roman" w:cs="Times New Roman"/>
          <w:sz w:val="28"/>
          <w:szCs w:val="28"/>
        </w:rPr>
        <w:t>регулирующих миграционные процессы в стране, направленных на упрощение процедуры получения российского гражданства и сокращение административных барьеров, позволило увеличить число иностранных граждан</w:t>
      </w:r>
      <w:r w:rsidR="003E5944">
        <w:rPr>
          <w:rFonts w:ascii="Times New Roman" w:eastAsia="Calibri" w:hAnsi="Times New Roman" w:cs="Times New Roman"/>
          <w:sz w:val="28"/>
          <w:szCs w:val="28"/>
        </w:rPr>
        <w:t>,</w:t>
      </w:r>
      <w:r w:rsidRPr="007A6DB1">
        <w:rPr>
          <w:rFonts w:ascii="Times New Roman" w:eastAsia="Calibri" w:hAnsi="Times New Roman" w:cs="Times New Roman"/>
          <w:sz w:val="28"/>
          <w:szCs w:val="28"/>
        </w:rPr>
        <w:t xml:space="preserve"> принятых в гражданство Российской Федерации, включая несовершеннолетних детей мигрантов.</w:t>
      </w:r>
    </w:p>
    <w:p w14:paraId="2ACBF9E4" w14:textId="42E970BA" w:rsidR="007A6DB1" w:rsidRDefault="004C3BAD" w:rsidP="007A6DB1">
      <w:pPr>
        <w:spacing w:after="0" w:line="312" w:lineRule="auto"/>
        <w:ind w:firstLine="709"/>
        <w:jc w:val="both"/>
        <w:rPr>
          <w:rFonts w:ascii="Times New Roman" w:eastAsia="Calibri" w:hAnsi="Times New Roman" w:cs="Times New Roman"/>
          <w:sz w:val="28"/>
          <w:szCs w:val="28"/>
        </w:rPr>
      </w:pPr>
      <w:r w:rsidRPr="007A6DB1">
        <w:rPr>
          <w:rFonts w:ascii="Times New Roman" w:eastAsia="Calibri" w:hAnsi="Times New Roman" w:cs="Times New Roman"/>
          <w:sz w:val="28"/>
          <w:szCs w:val="28"/>
        </w:rPr>
        <w:t>Так, за 2021 г</w:t>
      </w:r>
      <w:r w:rsidR="00A7474D">
        <w:rPr>
          <w:rFonts w:ascii="Times New Roman" w:eastAsia="Calibri" w:hAnsi="Times New Roman" w:cs="Times New Roman"/>
          <w:sz w:val="28"/>
          <w:szCs w:val="28"/>
        </w:rPr>
        <w:t>.</w:t>
      </w:r>
      <w:r w:rsidRPr="007A6DB1">
        <w:rPr>
          <w:rFonts w:ascii="Times New Roman" w:eastAsia="Calibri" w:hAnsi="Times New Roman" w:cs="Times New Roman"/>
          <w:sz w:val="28"/>
          <w:szCs w:val="28"/>
        </w:rPr>
        <w:t xml:space="preserve"> в гражданство Российской Федерации принято 735,4 тыс. иностранных граждан, что на 12% больше показателя за 2020 г</w:t>
      </w:r>
      <w:r w:rsidR="00A7474D">
        <w:rPr>
          <w:rFonts w:ascii="Times New Roman" w:eastAsia="Calibri" w:hAnsi="Times New Roman" w:cs="Times New Roman"/>
          <w:sz w:val="28"/>
          <w:szCs w:val="28"/>
        </w:rPr>
        <w:t>.</w:t>
      </w:r>
      <w:r w:rsidRPr="007A6DB1">
        <w:rPr>
          <w:rFonts w:ascii="Times New Roman" w:eastAsia="Calibri" w:hAnsi="Times New Roman" w:cs="Times New Roman"/>
          <w:sz w:val="28"/>
          <w:szCs w:val="28"/>
        </w:rPr>
        <w:t xml:space="preserve">, в том числе </w:t>
      </w:r>
      <w:r w:rsidR="00566C57">
        <w:rPr>
          <w:rFonts w:ascii="Times New Roman" w:eastAsia="Calibri" w:hAnsi="Times New Roman" w:cs="Times New Roman"/>
          <w:sz w:val="28"/>
          <w:szCs w:val="28"/>
        </w:rPr>
        <w:br/>
      </w:r>
      <w:r w:rsidR="007A6DB1" w:rsidRPr="007A6DB1">
        <w:rPr>
          <w:rFonts w:ascii="Times New Roman" w:eastAsia="Calibri" w:hAnsi="Times New Roman" w:cs="Times New Roman"/>
          <w:sz w:val="28"/>
          <w:szCs w:val="28"/>
        </w:rPr>
        <w:t xml:space="preserve">168,3 тыс. </w:t>
      </w:r>
      <w:r w:rsidRPr="007A6DB1">
        <w:rPr>
          <w:rFonts w:ascii="Times New Roman" w:eastAsia="Calibri" w:hAnsi="Times New Roman" w:cs="Times New Roman"/>
          <w:sz w:val="28"/>
          <w:szCs w:val="28"/>
        </w:rPr>
        <w:t>лиц, не достигших возраста 18 лет (+24,8%; 2020 г</w:t>
      </w:r>
      <w:r w:rsidR="007A6DB1" w:rsidRPr="007A6DB1">
        <w:rPr>
          <w:rFonts w:ascii="Times New Roman" w:eastAsia="Calibri" w:hAnsi="Times New Roman" w:cs="Times New Roman"/>
          <w:sz w:val="28"/>
          <w:szCs w:val="28"/>
        </w:rPr>
        <w:t>.</w:t>
      </w:r>
      <w:r w:rsidRPr="007A6DB1">
        <w:rPr>
          <w:rFonts w:ascii="Times New Roman" w:eastAsia="Calibri" w:hAnsi="Times New Roman" w:cs="Times New Roman"/>
          <w:sz w:val="28"/>
          <w:szCs w:val="28"/>
        </w:rPr>
        <w:t xml:space="preserve"> – 134,9 тыс.; </w:t>
      </w:r>
      <w:r w:rsidR="00566C57">
        <w:rPr>
          <w:rFonts w:ascii="Times New Roman" w:eastAsia="Calibri" w:hAnsi="Times New Roman" w:cs="Times New Roman"/>
          <w:sz w:val="28"/>
          <w:szCs w:val="28"/>
        </w:rPr>
        <w:br/>
      </w:r>
      <w:r w:rsidRPr="007A6DB1">
        <w:rPr>
          <w:rFonts w:ascii="Times New Roman" w:eastAsia="Calibri" w:hAnsi="Times New Roman" w:cs="Times New Roman"/>
          <w:sz w:val="28"/>
          <w:szCs w:val="28"/>
        </w:rPr>
        <w:t>2019 г</w:t>
      </w:r>
      <w:r w:rsidR="007A6DB1" w:rsidRPr="007A6DB1">
        <w:rPr>
          <w:rFonts w:ascii="Times New Roman" w:eastAsia="Calibri" w:hAnsi="Times New Roman" w:cs="Times New Roman"/>
          <w:sz w:val="28"/>
          <w:szCs w:val="28"/>
        </w:rPr>
        <w:t>.</w:t>
      </w:r>
      <w:r w:rsidRPr="007A6DB1">
        <w:rPr>
          <w:rFonts w:ascii="Times New Roman" w:eastAsia="Calibri" w:hAnsi="Times New Roman" w:cs="Times New Roman"/>
          <w:sz w:val="28"/>
          <w:szCs w:val="28"/>
        </w:rPr>
        <w:t xml:space="preserve"> – 111,7 тыс.).</w:t>
      </w:r>
    </w:p>
    <w:p w14:paraId="6E3E7671" w14:textId="3877B727" w:rsidR="004C3BAD" w:rsidRPr="00D4485E" w:rsidRDefault="004C3BAD" w:rsidP="007A6DB1">
      <w:pPr>
        <w:spacing w:after="0" w:line="312" w:lineRule="auto"/>
        <w:ind w:firstLine="709"/>
        <w:jc w:val="both"/>
        <w:rPr>
          <w:rFonts w:ascii="Times New Roman" w:eastAsia="Calibri" w:hAnsi="Times New Roman" w:cs="Times New Roman"/>
          <w:sz w:val="28"/>
          <w:szCs w:val="28"/>
        </w:rPr>
      </w:pPr>
      <w:r w:rsidRPr="00D4485E">
        <w:rPr>
          <w:rFonts w:ascii="Times New Roman" w:eastAsia="Calibri" w:hAnsi="Times New Roman" w:cs="Times New Roman"/>
          <w:sz w:val="28"/>
          <w:szCs w:val="28"/>
        </w:rPr>
        <w:t>Порядка половины (</w:t>
      </w:r>
      <w:r w:rsidR="00A120DB" w:rsidRPr="00D4485E">
        <w:rPr>
          <w:rFonts w:ascii="Times New Roman" w:eastAsia="Calibri" w:hAnsi="Times New Roman" w:cs="Times New Roman"/>
          <w:sz w:val="28"/>
          <w:szCs w:val="28"/>
        </w:rPr>
        <w:t xml:space="preserve">2021 г. – </w:t>
      </w:r>
      <w:r w:rsidRPr="00D4485E">
        <w:rPr>
          <w:rFonts w:ascii="Times New Roman" w:eastAsia="Calibri" w:hAnsi="Times New Roman" w:cs="Times New Roman"/>
          <w:sz w:val="28"/>
          <w:szCs w:val="28"/>
        </w:rPr>
        <w:t>41,6%; 2020 г</w:t>
      </w:r>
      <w:r w:rsidR="007A6DB1" w:rsidRPr="00D4485E">
        <w:rPr>
          <w:rFonts w:ascii="Times New Roman" w:eastAsia="Calibri" w:hAnsi="Times New Roman" w:cs="Times New Roman"/>
          <w:sz w:val="28"/>
          <w:szCs w:val="28"/>
        </w:rPr>
        <w:t>.</w:t>
      </w:r>
      <w:r w:rsidRPr="00D4485E">
        <w:rPr>
          <w:rFonts w:ascii="Times New Roman" w:eastAsia="Calibri" w:hAnsi="Times New Roman" w:cs="Times New Roman"/>
          <w:sz w:val="28"/>
          <w:szCs w:val="28"/>
        </w:rPr>
        <w:t xml:space="preserve"> – 48%; 2019 г</w:t>
      </w:r>
      <w:r w:rsidR="007A6DB1" w:rsidRPr="00D4485E">
        <w:rPr>
          <w:rFonts w:ascii="Times New Roman" w:eastAsia="Calibri" w:hAnsi="Times New Roman" w:cs="Times New Roman"/>
          <w:sz w:val="28"/>
          <w:szCs w:val="28"/>
        </w:rPr>
        <w:t>.</w:t>
      </w:r>
      <w:r w:rsidRPr="00D4485E">
        <w:rPr>
          <w:rFonts w:ascii="Times New Roman" w:eastAsia="Calibri" w:hAnsi="Times New Roman" w:cs="Times New Roman"/>
          <w:sz w:val="28"/>
          <w:szCs w:val="28"/>
        </w:rPr>
        <w:t xml:space="preserve"> – 34,4%) всех несовершеннолетних мигрантов приняты в российское гражданство по гуманитарным основаниям</w:t>
      </w:r>
      <w:r w:rsidR="007A6DB1" w:rsidRPr="00D4485E">
        <w:rPr>
          <w:rFonts w:ascii="Times New Roman" w:eastAsia="Calibri" w:hAnsi="Times New Roman" w:cs="Times New Roman"/>
          <w:sz w:val="28"/>
          <w:szCs w:val="28"/>
        </w:rPr>
        <w:t xml:space="preserve"> на основании части 8</w:t>
      </w:r>
      <w:r w:rsidR="00566C57">
        <w:rPr>
          <w:rFonts w:ascii="Times New Roman" w:eastAsia="Calibri" w:hAnsi="Times New Roman" w:cs="Times New Roman"/>
          <w:sz w:val="28"/>
          <w:szCs w:val="28"/>
        </w:rPr>
        <w:t xml:space="preserve"> статьи 14 Федерального закона </w:t>
      </w:r>
      <w:r w:rsidR="00566C57">
        <w:rPr>
          <w:rFonts w:ascii="Times New Roman" w:eastAsia="Calibri" w:hAnsi="Times New Roman" w:cs="Times New Roman"/>
          <w:sz w:val="28"/>
          <w:szCs w:val="28"/>
        </w:rPr>
        <w:br/>
      </w:r>
      <w:r w:rsidR="007A6DB1" w:rsidRPr="00D4485E">
        <w:rPr>
          <w:rFonts w:ascii="Times New Roman" w:eastAsia="Calibri" w:hAnsi="Times New Roman" w:cs="Times New Roman"/>
          <w:sz w:val="28"/>
          <w:szCs w:val="28"/>
        </w:rPr>
        <w:t xml:space="preserve">от 31 мая 2002 г. № 62-ФЗ «О гражданстве Российской Федерации» </w:t>
      </w:r>
      <w:r w:rsidRPr="00D4485E">
        <w:rPr>
          <w:rFonts w:ascii="Times New Roman" w:eastAsia="Calibri" w:hAnsi="Times New Roman" w:cs="Times New Roman"/>
          <w:sz w:val="28"/>
          <w:szCs w:val="28"/>
        </w:rPr>
        <w:t>(</w:t>
      </w:r>
      <w:r w:rsidR="00566C57">
        <w:rPr>
          <w:rFonts w:ascii="Times New Roman" w:eastAsia="Calibri" w:hAnsi="Times New Roman" w:cs="Times New Roman"/>
          <w:sz w:val="28"/>
          <w:szCs w:val="28"/>
        </w:rPr>
        <w:t xml:space="preserve">2021 г. – </w:t>
      </w:r>
      <w:r w:rsidRPr="00D4485E">
        <w:rPr>
          <w:rFonts w:ascii="Times New Roman" w:eastAsia="Calibri" w:hAnsi="Times New Roman" w:cs="Times New Roman"/>
          <w:sz w:val="28"/>
          <w:szCs w:val="28"/>
        </w:rPr>
        <w:t>70 тыс.</w:t>
      </w:r>
      <w:r w:rsidR="007A6DB1" w:rsidRPr="00D4485E">
        <w:rPr>
          <w:rFonts w:ascii="Times New Roman" w:eastAsia="Calibri" w:hAnsi="Times New Roman" w:cs="Times New Roman"/>
          <w:sz w:val="28"/>
          <w:szCs w:val="28"/>
        </w:rPr>
        <w:t xml:space="preserve"> и</w:t>
      </w:r>
      <w:r w:rsidR="00A120DB" w:rsidRPr="00D4485E">
        <w:rPr>
          <w:rFonts w:ascii="Times New Roman" w:eastAsia="Calibri" w:hAnsi="Times New Roman" w:cs="Times New Roman"/>
          <w:sz w:val="28"/>
          <w:szCs w:val="28"/>
        </w:rPr>
        <w:t>ли</w:t>
      </w:r>
      <w:r w:rsidRPr="00D4485E">
        <w:rPr>
          <w:rFonts w:ascii="Times New Roman" w:eastAsia="Calibri" w:hAnsi="Times New Roman" w:cs="Times New Roman"/>
          <w:sz w:val="28"/>
          <w:szCs w:val="28"/>
        </w:rPr>
        <w:t xml:space="preserve"> +8,2%; 2020 г</w:t>
      </w:r>
      <w:r w:rsidR="007A6DB1" w:rsidRPr="00D4485E">
        <w:rPr>
          <w:rFonts w:ascii="Times New Roman" w:eastAsia="Calibri" w:hAnsi="Times New Roman" w:cs="Times New Roman"/>
          <w:sz w:val="28"/>
          <w:szCs w:val="28"/>
        </w:rPr>
        <w:t>.</w:t>
      </w:r>
      <w:r w:rsidRPr="00D4485E">
        <w:rPr>
          <w:rFonts w:ascii="Times New Roman" w:eastAsia="Calibri" w:hAnsi="Times New Roman" w:cs="Times New Roman"/>
          <w:sz w:val="28"/>
          <w:szCs w:val="28"/>
        </w:rPr>
        <w:t xml:space="preserve"> – 64,7 тыс.; 2019 г</w:t>
      </w:r>
      <w:r w:rsidR="007A6DB1" w:rsidRPr="00D4485E">
        <w:rPr>
          <w:rFonts w:ascii="Times New Roman" w:eastAsia="Calibri" w:hAnsi="Times New Roman" w:cs="Times New Roman"/>
          <w:sz w:val="28"/>
          <w:szCs w:val="28"/>
        </w:rPr>
        <w:t>.</w:t>
      </w:r>
      <w:r w:rsidRPr="00D4485E">
        <w:rPr>
          <w:rFonts w:ascii="Times New Roman" w:eastAsia="Calibri" w:hAnsi="Times New Roman" w:cs="Times New Roman"/>
          <w:sz w:val="28"/>
          <w:szCs w:val="28"/>
        </w:rPr>
        <w:t xml:space="preserve"> – 38,4 тыс.).</w:t>
      </w:r>
    </w:p>
    <w:p w14:paraId="6D52CC5A" w14:textId="745585D3" w:rsidR="004C3BAD" w:rsidRPr="00D4485E" w:rsidRDefault="004C3BAD" w:rsidP="004C3BAD">
      <w:pPr>
        <w:spacing w:after="0" w:line="312" w:lineRule="auto"/>
        <w:ind w:firstLine="709"/>
        <w:jc w:val="both"/>
        <w:rPr>
          <w:rFonts w:ascii="Times New Roman" w:eastAsia="Calibri" w:hAnsi="Times New Roman" w:cs="Times New Roman"/>
          <w:sz w:val="28"/>
          <w:szCs w:val="28"/>
        </w:rPr>
      </w:pPr>
      <w:r w:rsidRPr="00D4485E">
        <w:rPr>
          <w:rFonts w:ascii="Times New Roman" w:eastAsia="Calibri" w:hAnsi="Times New Roman" w:cs="Times New Roman"/>
          <w:sz w:val="28"/>
          <w:szCs w:val="28"/>
        </w:rPr>
        <w:t>Значительную долю несовершеннолетних, принятых в российское гражданство, также составляют дети участников Государственной программы</w:t>
      </w:r>
      <w:r w:rsidR="007A6DB1" w:rsidRPr="00D4485E">
        <w:rPr>
          <w:rFonts w:ascii="Times New Roman" w:eastAsia="Calibri" w:hAnsi="Times New Roman" w:cs="Times New Roman"/>
          <w:sz w:val="28"/>
          <w:szCs w:val="28"/>
        </w:rPr>
        <w:t xml:space="preserve"> по оказанию содействия добровольному переселению в Российскую Федерацию соотечественников, проживающих за рубежом</w:t>
      </w:r>
      <w:r w:rsidR="007A6DB1" w:rsidRPr="00D4485E">
        <w:rPr>
          <w:rFonts w:ascii="Times New Roman" w:eastAsia="Calibri" w:hAnsi="Times New Roman" w:cs="Times New Roman"/>
          <w:sz w:val="28"/>
          <w:szCs w:val="28"/>
          <w:vertAlign w:val="superscript"/>
        </w:rPr>
        <w:t xml:space="preserve"> </w:t>
      </w:r>
      <w:r w:rsidRPr="00D4485E">
        <w:rPr>
          <w:rFonts w:ascii="Times New Roman" w:eastAsia="Calibri" w:hAnsi="Times New Roman" w:cs="Times New Roman"/>
          <w:sz w:val="28"/>
          <w:szCs w:val="28"/>
        </w:rPr>
        <w:t>и членов их семей</w:t>
      </w:r>
      <w:r w:rsidR="00C74B8B" w:rsidRPr="00D4485E">
        <w:rPr>
          <w:rFonts w:ascii="Times New Roman" w:eastAsia="Calibri" w:hAnsi="Times New Roman" w:cs="Times New Roman"/>
          <w:sz w:val="28"/>
          <w:szCs w:val="28"/>
        </w:rPr>
        <w:t>,</w:t>
      </w:r>
      <w:r w:rsidRPr="00D4485E">
        <w:rPr>
          <w:rFonts w:ascii="Times New Roman" w:eastAsia="Calibri" w:hAnsi="Times New Roman" w:cs="Times New Roman"/>
          <w:sz w:val="28"/>
          <w:szCs w:val="28"/>
        </w:rPr>
        <w:t xml:space="preserve"> – 12,5% </w:t>
      </w:r>
      <w:r w:rsidR="00566C57">
        <w:rPr>
          <w:rFonts w:ascii="Times New Roman" w:eastAsia="Calibri" w:hAnsi="Times New Roman" w:cs="Times New Roman"/>
          <w:sz w:val="28"/>
          <w:szCs w:val="28"/>
        </w:rPr>
        <w:br/>
      </w:r>
      <w:r w:rsidRPr="00D4485E">
        <w:rPr>
          <w:rFonts w:ascii="Times New Roman" w:eastAsia="Calibri" w:hAnsi="Times New Roman" w:cs="Times New Roman"/>
          <w:sz w:val="28"/>
          <w:szCs w:val="28"/>
        </w:rPr>
        <w:t>(</w:t>
      </w:r>
      <w:r w:rsidR="00A120DB" w:rsidRPr="00D4485E">
        <w:rPr>
          <w:rFonts w:ascii="Times New Roman" w:eastAsia="Calibri" w:hAnsi="Times New Roman" w:cs="Times New Roman"/>
          <w:sz w:val="28"/>
          <w:szCs w:val="28"/>
        </w:rPr>
        <w:t xml:space="preserve">2021 г. – </w:t>
      </w:r>
      <w:r w:rsidRPr="00D4485E">
        <w:rPr>
          <w:rFonts w:ascii="Times New Roman" w:eastAsia="Calibri" w:hAnsi="Times New Roman" w:cs="Times New Roman"/>
          <w:sz w:val="28"/>
          <w:szCs w:val="28"/>
        </w:rPr>
        <w:t>21,1 тыс. человек; 2020 г</w:t>
      </w:r>
      <w:r w:rsidR="00C74B8B" w:rsidRPr="00D4485E">
        <w:rPr>
          <w:rFonts w:ascii="Times New Roman" w:eastAsia="Calibri" w:hAnsi="Times New Roman" w:cs="Times New Roman"/>
          <w:sz w:val="28"/>
          <w:szCs w:val="28"/>
        </w:rPr>
        <w:t>.</w:t>
      </w:r>
      <w:r w:rsidRPr="00D4485E">
        <w:rPr>
          <w:rFonts w:ascii="Times New Roman" w:eastAsia="Calibri" w:hAnsi="Times New Roman" w:cs="Times New Roman"/>
          <w:sz w:val="28"/>
          <w:szCs w:val="28"/>
        </w:rPr>
        <w:t xml:space="preserve"> – 22,4 тыс. человек или 16,6%; 2019 г</w:t>
      </w:r>
      <w:r w:rsidR="00C74B8B" w:rsidRPr="00D4485E">
        <w:rPr>
          <w:rFonts w:ascii="Times New Roman" w:eastAsia="Calibri" w:hAnsi="Times New Roman" w:cs="Times New Roman"/>
          <w:sz w:val="28"/>
          <w:szCs w:val="28"/>
        </w:rPr>
        <w:t>.</w:t>
      </w:r>
      <w:r w:rsidRPr="00D4485E">
        <w:rPr>
          <w:rFonts w:ascii="Times New Roman" w:eastAsia="Calibri" w:hAnsi="Times New Roman" w:cs="Times New Roman"/>
          <w:sz w:val="28"/>
          <w:szCs w:val="28"/>
        </w:rPr>
        <w:t xml:space="preserve"> – 30,7 тыс. человек или 27,5%).</w:t>
      </w:r>
    </w:p>
    <w:p w14:paraId="1C7689EA" w14:textId="77777777" w:rsidR="004C3BAD" w:rsidRPr="00D4485E" w:rsidRDefault="004C3BAD" w:rsidP="004C3BAD">
      <w:pPr>
        <w:spacing w:after="0" w:line="312" w:lineRule="auto"/>
        <w:ind w:firstLine="709"/>
        <w:jc w:val="both"/>
        <w:rPr>
          <w:rFonts w:ascii="Times New Roman" w:eastAsia="Calibri" w:hAnsi="Times New Roman" w:cs="Times New Roman"/>
          <w:sz w:val="28"/>
          <w:szCs w:val="28"/>
        </w:rPr>
      </w:pPr>
      <w:r w:rsidRPr="00D4485E">
        <w:rPr>
          <w:rFonts w:ascii="Times New Roman" w:eastAsia="Calibri" w:hAnsi="Times New Roman" w:cs="Times New Roman"/>
          <w:sz w:val="28"/>
          <w:szCs w:val="28"/>
        </w:rPr>
        <w:t>Упрощение порядка получения российского гражданства для граждан Республики Беларусь, Республики Казахстан, Республики Молдова и Украины, позволило увеличить число детей этих стран, принятых в гражданство Российской Федерации, с 72,5 тыс. в 2019 г</w:t>
      </w:r>
      <w:r w:rsidR="00A7474D">
        <w:rPr>
          <w:rFonts w:ascii="Times New Roman" w:eastAsia="Calibri" w:hAnsi="Times New Roman" w:cs="Times New Roman"/>
          <w:sz w:val="28"/>
          <w:szCs w:val="28"/>
        </w:rPr>
        <w:t>.</w:t>
      </w:r>
      <w:r w:rsidRPr="00D4485E">
        <w:rPr>
          <w:rFonts w:ascii="Times New Roman" w:eastAsia="Calibri" w:hAnsi="Times New Roman" w:cs="Times New Roman"/>
          <w:sz w:val="28"/>
          <w:szCs w:val="28"/>
        </w:rPr>
        <w:t xml:space="preserve"> до 99,4 тыс. в 2021 г.</w:t>
      </w:r>
    </w:p>
    <w:p w14:paraId="0A959B2C" w14:textId="77777777" w:rsidR="004C3BAD" w:rsidRPr="00D4485E" w:rsidRDefault="004C3BAD" w:rsidP="004C3BAD">
      <w:pPr>
        <w:spacing w:after="0" w:line="312" w:lineRule="auto"/>
        <w:ind w:firstLine="709"/>
        <w:jc w:val="both"/>
        <w:rPr>
          <w:rFonts w:ascii="Times New Roman" w:eastAsia="Calibri" w:hAnsi="Times New Roman" w:cs="Times New Roman"/>
          <w:sz w:val="28"/>
          <w:szCs w:val="28"/>
        </w:rPr>
      </w:pPr>
    </w:p>
    <w:p w14:paraId="286E8D33" w14:textId="77777777" w:rsidR="004C3BAD" w:rsidRPr="00D4485E" w:rsidRDefault="004C3BAD" w:rsidP="004C3BAD">
      <w:pPr>
        <w:spacing w:after="0" w:line="240" w:lineRule="auto"/>
        <w:ind w:firstLine="709"/>
        <w:jc w:val="both"/>
        <w:rPr>
          <w:rFonts w:ascii="Times New Roman" w:eastAsia="Calibri" w:hAnsi="Times New Roman" w:cs="Times New Roman"/>
          <w:spacing w:val="-4"/>
          <w:sz w:val="6"/>
          <w:szCs w:val="6"/>
        </w:rPr>
      </w:pPr>
    </w:p>
    <w:tbl>
      <w:tblPr>
        <w:tblStyle w:val="2f7"/>
        <w:tblW w:w="9870" w:type="dxa"/>
        <w:tblInd w:w="108" w:type="dxa"/>
        <w:tblLook w:val="04A0" w:firstRow="1" w:lastRow="0" w:firstColumn="1" w:lastColumn="0" w:noHBand="0" w:noVBand="1"/>
      </w:tblPr>
      <w:tblGrid>
        <w:gridCol w:w="2694"/>
        <w:gridCol w:w="2463"/>
        <w:gridCol w:w="2464"/>
        <w:gridCol w:w="2249"/>
      </w:tblGrid>
      <w:tr w:rsidR="004C3BAD" w:rsidRPr="00D4485E" w14:paraId="68AF59CE" w14:textId="77777777" w:rsidTr="00A7474D">
        <w:tc>
          <w:tcPr>
            <w:tcW w:w="2694" w:type="dxa"/>
          </w:tcPr>
          <w:p w14:paraId="342BA96E" w14:textId="77777777" w:rsidR="004C3BAD" w:rsidRPr="00A7474D" w:rsidRDefault="004C3BAD" w:rsidP="004C3BAD">
            <w:pPr>
              <w:jc w:val="center"/>
              <w:rPr>
                <w:rFonts w:ascii="Times New Roman" w:eastAsia="Calibri" w:hAnsi="Times New Roman" w:cs="Times New Roman"/>
                <w:b/>
                <w:sz w:val="24"/>
                <w:szCs w:val="24"/>
              </w:rPr>
            </w:pPr>
            <w:r w:rsidRPr="00A7474D">
              <w:rPr>
                <w:rFonts w:ascii="Times New Roman" w:eastAsia="Calibri" w:hAnsi="Times New Roman" w:cs="Times New Roman"/>
                <w:b/>
                <w:sz w:val="24"/>
                <w:szCs w:val="24"/>
              </w:rPr>
              <w:t>Гражданство детей мигрантов</w:t>
            </w:r>
          </w:p>
        </w:tc>
        <w:tc>
          <w:tcPr>
            <w:tcW w:w="2463" w:type="dxa"/>
            <w:vAlign w:val="center"/>
          </w:tcPr>
          <w:p w14:paraId="0A0FBAE1" w14:textId="77777777" w:rsidR="004C3BAD" w:rsidRPr="00A7474D" w:rsidRDefault="004C3BAD" w:rsidP="00A7474D">
            <w:pPr>
              <w:jc w:val="center"/>
              <w:rPr>
                <w:rFonts w:ascii="Times New Roman" w:eastAsia="Calibri" w:hAnsi="Times New Roman" w:cs="Times New Roman"/>
                <w:b/>
                <w:sz w:val="24"/>
                <w:szCs w:val="24"/>
              </w:rPr>
            </w:pPr>
            <w:r w:rsidRPr="00A7474D">
              <w:rPr>
                <w:rFonts w:ascii="Times New Roman" w:eastAsia="Calibri" w:hAnsi="Times New Roman" w:cs="Times New Roman"/>
                <w:b/>
                <w:sz w:val="24"/>
                <w:szCs w:val="24"/>
              </w:rPr>
              <w:t>2021 г</w:t>
            </w:r>
            <w:r w:rsidR="00A7474D" w:rsidRPr="00A7474D">
              <w:rPr>
                <w:rFonts w:ascii="Times New Roman" w:eastAsia="Calibri" w:hAnsi="Times New Roman" w:cs="Times New Roman"/>
                <w:b/>
                <w:sz w:val="24"/>
                <w:szCs w:val="24"/>
              </w:rPr>
              <w:t>.</w:t>
            </w:r>
          </w:p>
        </w:tc>
        <w:tc>
          <w:tcPr>
            <w:tcW w:w="2464" w:type="dxa"/>
            <w:vAlign w:val="center"/>
          </w:tcPr>
          <w:p w14:paraId="1880FC05" w14:textId="77777777" w:rsidR="004C3BAD" w:rsidRPr="00A7474D" w:rsidRDefault="004C3BAD" w:rsidP="00A7474D">
            <w:pPr>
              <w:jc w:val="center"/>
              <w:rPr>
                <w:rFonts w:ascii="Times New Roman" w:eastAsia="Calibri" w:hAnsi="Times New Roman" w:cs="Times New Roman"/>
                <w:b/>
                <w:sz w:val="24"/>
                <w:szCs w:val="24"/>
              </w:rPr>
            </w:pPr>
            <w:r w:rsidRPr="00A7474D">
              <w:rPr>
                <w:rFonts w:ascii="Times New Roman" w:eastAsia="Calibri" w:hAnsi="Times New Roman" w:cs="Times New Roman"/>
                <w:b/>
                <w:sz w:val="24"/>
                <w:szCs w:val="24"/>
              </w:rPr>
              <w:t>2020 г</w:t>
            </w:r>
            <w:r w:rsidR="00A7474D" w:rsidRPr="00A7474D">
              <w:rPr>
                <w:rFonts w:ascii="Times New Roman" w:eastAsia="Calibri" w:hAnsi="Times New Roman" w:cs="Times New Roman"/>
                <w:b/>
                <w:sz w:val="24"/>
                <w:szCs w:val="24"/>
              </w:rPr>
              <w:t>.</w:t>
            </w:r>
          </w:p>
        </w:tc>
        <w:tc>
          <w:tcPr>
            <w:tcW w:w="2249" w:type="dxa"/>
            <w:vAlign w:val="center"/>
          </w:tcPr>
          <w:p w14:paraId="2750FAB9" w14:textId="77777777" w:rsidR="004C3BAD" w:rsidRPr="00A7474D" w:rsidRDefault="004C3BAD" w:rsidP="00A7474D">
            <w:pPr>
              <w:jc w:val="center"/>
              <w:rPr>
                <w:rFonts w:ascii="Times New Roman" w:eastAsia="Calibri" w:hAnsi="Times New Roman" w:cs="Times New Roman"/>
                <w:b/>
                <w:sz w:val="24"/>
                <w:szCs w:val="24"/>
              </w:rPr>
            </w:pPr>
            <w:r w:rsidRPr="00A7474D">
              <w:rPr>
                <w:rFonts w:ascii="Times New Roman" w:eastAsia="Calibri" w:hAnsi="Times New Roman" w:cs="Times New Roman"/>
                <w:b/>
                <w:sz w:val="24"/>
                <w:szCs w:val="24"/>
              </w:rPr>
              <w:t>2019 г</w:t>
            </w:r>
            <w:r w:rsidR="00A7474D" w:rsidRPr="00A7474D">
              <w:rPr>
                <w:rFonts w:ascii="Times New Roman" w:eastAsia="Calibri" w:hAnsi="Times New Roman" w:cs="Times New Roman"/>
                <w:b/>
                <w:sz w:val="24"/>
                <w:szCs w:val="24"/>
              </w:rPr>
              <w:t>.</w:t>
            </w:r>
          </w:p>
        </w:tc>
      </w:tr>
      <w:tr w:rsidR="004C3BAD" w:rsidRPr="00D4485E" w14:paraId="642E1D25" w14:textId="77777777" w:rsidTr="00A7474D">
        <w:trPr>
          <w:trHeight w:val="455"/>
        </w:trPr>
        <w:tc>
          <w:tcPr>
            <w:tcW w:w="2694" w:type="dxa"/>
          </w:tcPr>
          <w:p w14:paraId="2A15226F" w14:textId="77777777" w:rsidR="004C3BAD" w:rsidRPr="00A7474D" w:rsidRDefault="004C3BAD" w:rsidP="004C3BAD">
            <w:pPr>
              <w:jc w:val="center"/>
              <w:rPr>
                <w:rFonts w:ascii="Times New Roman" w:eastAsia="Calibri" w:hAnsi="Times New Roman" w:cs="Times New Roman"/>
                <w:sz w:val="24"/>
                <w:szCs w:val="24"/>
              </w:rPr>
            </w:pPr>
            <w:r w:rsidRPr="00A7474D">
              <w:rPr>
                <w:rFonts w:ascii="Times New Roman" w:eastAsia="Calibri" w:hAnsi="Times New Roman" w:cs="Times New Roman"/>
                <w:sz w:val="24"/>
                <w:szCs w:val="24"/>
              </w:rPr>
              <w:t>Республика Беларусь</w:t>
            </w:r>
          </w:p>
        </w:tc>
        <w:tc>
          <w:tcPr>
            <w:tcW w:w="2463" w:type="dxa"/>
          </w:tcPr>
          <w:p w14:paraId="07D6B3B3" w14:textId="77777777" w:rsidR="004C3BAD" w:rsidRPr="00A7474D" w:rsidRDefault="004C3BAD" w:rsidP="004C3BAD">
            <w:pPr>
              <w:jc w:val="center"/>
              <w:rPr>
                <w:rFonts w:ascii="Times New Roman" w:eastAsia="Calibri" w:hAnsi="Times New Roman" w:cs="Times New Roman"/>
                <w:sz w:val="24"/>
                <w:szCs w:val="24"/>
              </w:rPr>
            </w:pPr>
            <w:r w:rsidRPr="00A7474D">
              <w:rPr>
                <w:rFonts w:ascii="Times New Roman" w:eastAsia="Calibri" w:hAnsi="Times New Roman" w:cs="Times New Roman"/>
                <w:sz w:val="24"/>
                <w:szCs w:val="24"/>
              </w:rPr>
              <w:t>4 177</w:t>
            </w:r>
          </w:p>
        </w:tc>
        <w:tc>
          <w:tcPr>
            <w:tcW w:w="2464" w:type="dxa"/>
          </w:tcPr>
          <w:p w14:paraId="52B8966B" w14:textId="77777777" w:rsidR="004C3BAD" w:rsidRPr="00A7474D" w:rsidRDefault="004C3BAD" w:rsidP="004C3BAD">
            <w:pPr>
              <w:jc w:val="center"/>
              <w:rPr>
                <w:rFonts w:ascii="Times New Roman" w:eastAsia="Calibri" w:hAnsi="Times New Roman" w:cs="Times New Roman"/>
                <w:sz w:val="24"/>
                <w:szCs w:val="24"/>
              </w:rPr>
            </w:pPr>
            <w:r w:rsidRPr="00A7474D">
              <w:rPr>
                <w:rFonts w:ascii="Times New Roman" w:eastAsia="Calibri" w:hAnsi="Times New Roman" w:cs="Times New Roman"/>
                <w:sz w:val="24"/>
                <w:szCs w:val="24"/>
              </w:rPr>
              <w:t>1 523</w:t>
            </w:r>
          </w:p>
        </w:tc>
        <w:tc>
          <w:tcPr>
            <w:tcW w:w="2249" w:type="dxa"/>
          </w:tcPr>
          <w:p w14:paraId="0E6F7026" w14:textId="77777777" w:rsidR="004C3BAD" w:rsidRPr="00A7474D" w:rsidRDefault="004C3BAD" w:rsidP="004C3BAD">
            <w:pPr>
              <w:jc w:val="center"/>
              <w:rPr>
                <w:rFonts w:ascii="Times New Roman" w:eastAsia="Calibri" w:hAnsi="Times New Roman" w:cs="Times New Roman"/>
                <w:sz w:val="24"/>
                <w:szCs w:val="24"/>
              </w:rPr>
            </w:pPr>
            <w:r w:rsidRPr="00A7474D">
              <w:rPr>
                <w:rFonts w:ascii="Times New Roman" w:eastAsia="Calibri" w:hAnsi="Times New Roman" w:cs="Times New Roman"/>
                <w:sz w:val="24"/>
                <w:szCs w:val="24"/>
              </w:rPr>
              <w:t>933</w:t>
            </w:r>
          </w:p>
        </w:tc>
      </w:tr>
      <w:tr w:rsidR="004C3BAD" w:rsidRPr="00D4485E" w14:paraId="6487F9D6" w14:textId="77777777" w:rsidTr="00A7474D">
        <w:trPr>
          <w:trHeight w:val="420"/>
        </w:trPr>
        <w:tc>
          <w:tcPr>
            <w:tcW w:w="2694" w:type="dxa"/>
          </w:tcPr>
          <w:p w14:paraId="58210F3F" w14:textId="77777777" w:rsidR="004C3BAD" w:rsidRPr="00A7474D" w:rsidRDefault="004C3BAD" w:rsidP="004C3BAD">
            <w:pPr>
              <w:jc w:val="center"/>
              <w:rPr>
                <w:rFonts w:ascii="Times New Roman" w:eastAsia="Calibri" w:hAnsi="Times New Roman" w:cs="Times New Roman"/>
                <w:sz w:val="24"/>
                <w:szCs w:val="24"/>
              </w:rPr>
            </w:pPr>
            <w:r w:rsidRPr="00A7474D">
              <w:rPr>
                <w:rFonts w:ascii="Times New Roman" w:eastAsia="Calibri" w:hAnsi="Times New Roman" w:cs="Times New Roman"/>
                <w:sz w:val="24"/>
                <w:szCs w:val="24"/>
              </w:rPr>
              <w:t>Республика Казахстан</w:t>
            </w:r>
          </w:p>
        </w:tc>
        <w:tc>
          <w:tcPr>
            <w:tcW w:w="2463" w:type="dxa"/>
          </w:tcPr>
          <w:p w14:paraId="0752D8EE" w14:textId="77777777" w:rsidR="004C3BAD" w:rsidRPr="00A7474D" w:rsidRDefault="004C3BAD" w:rsidP="004C3BAD">
            <w:pPr>
              <w:jc w:val="center"/>
              <w:rPr>
                <w:rFonts w:ascii="Times New Roman" w:eastAsia="Calibri" w:hAnsi="Times New Roman" w:cs="Times New Roman"/>
                <w:sz w:val="24"/>
                <w:szCs w:val="24"/>
              </w:rPr>
            </w:pPr>
            <w:r w:rsidRPr="00A7474D">
              <w:rPr>
                <w:rFonts w:ascii="Times New Roman" w:eastAsia="Calibri" w:hAnsi="Times New Roman" w:cs="Times New Roman"/>
                <w:sz w:val="24"/>
                <w:szCs w:val="24"/>
              </w:rPr>
              <w:t>13 238</w:t>
            </w:r>
          </w:p>
        </w:tc>
        <w:tc>
          <w:tcPr>
            <w:tcW w:w="2464" w:type="dxa"/>
          </w:tcPr>
          <w:p w14:paraId="1058CB4D" w14:textId="77777777" w:rsidR="004C3BAD" w:rsidRPr="00A7474D" w:rsidRDefault="004C3BAD" w:rsidP="004C3BAD">
            <w:pPr>
              <w:jc w:val="center"/>
              <w:rPr>
                <w:rFonts w:ascii="Times New Roman" w:eastAsia="Calibri" w:hAnsi="Times New Roman" w:cs="Times New Roman"/>
                <w:sz w:val="24"/>
                <w:szCs w:val="24"/>
              </w:rPr>
            </w:pPr>
            <w:r w:rsidRPr="00A7474D">
              <w:rPr>
                <w:rFonts w:ascii="Times New Roman" w:eastAsia="Calibri" w:hAnsi="Times New Roman" w:cs="Times New Roman"/>
                <w:sz w:val="24"/>
                <w:szCs w:val="24"/>
              </w:rPr>
              <w:t>11 142</w:t>
            </w:r>
          </w:p>
        </w:tc>
        <w:tc>
          <w:tcPr>
            <w:tcW w:w="2249" w:type="dxa"/>
          </w:tcPr>
          <w:p w14:paraId="397BFC39" w14:textId="77777777" w:rsidR="004C3BAD" w:rsidRPr="00A7474D" w:rsidRDefault="004C3BAD" w:rsidP="004C3BAD">
            <w:pPr>
              <w:jc w:val="center"/>
              <w:rPr>
                <w:rFonts w:ascii="Times New Roman" w:eastAsia="Calibri" w:hAnsi="Times New Roman" w:cs="Times New Roman"/>
                <w:sz w:val="24"/>
                <w:szCs w:val="24"/>
              </w:rPr>
            </w:pPr>
            <w:r w:rsidRPr="00A7474D">
              <w:rPr>
                <w:rFonts w:ascii="Times New Roman" w:eastAsia="Calibri" w:hAnsi="Times New Roman" w:cs="Times New Roman"/>
                <w:sz w:val="24"/>
                <w:szCs w:val="24"/>
              </w:rPr>
              <w:t>15 054</w:t>
            </w:r>
          </w:p>
        </w:tc>
      </w:tr>
      <w:tr w:rsidR="004C3BAD" w:rsidRPr="00D4485E" w14:paraId="608CDF16" w14:textId="77777777" w:rsidTr="00A7474D">
        <w:trPr>
          <w:trHeight w:val="411"/>
        </w:trPr>
        <w:tc>
          <w:tcPr>
            <w:tcW w:w="2694" w:type="dxa"/>
          </w:tcPr>
          <w:p w14:paraId="4F886C7F" w14:textId="77777777" w:rsidR="004C3BAD" w:rsidRPr="00A7474D" w:rsidRDefault="004C3BAD" w:rsidP="004C3BAD">
            <w:pPr>
              <w:jc w:val="center"/>
              <w:rPr>
                <w:rFonts w:ascii="Times New Roman" w:eastAsia="Calibri" w:hAnsi="Times New Roman" w:cs="Times New Roman"/>
                <w:sz w:val="24"/>
                <w:szCs w:val="24"/>
              </w:rPr>
            </w:pPr>
            <w:r w:rsidRPr="00A7474D">
              <w:rPr>
                <w:rFonts w:ascii="Times New Roman" w:eastAsia="Calibri" w:hAnsi="Times New Roman" w:cs="Times New Roman"/>
                <w:sz w:val="24"/>
                <w:szCs w:val="24"/>
              </w:rPr>
              <w:t>Республика Молдова</w:t>
            </w:r>
          </w:p>
        </w:tc>
        <w:tc>
          <w:tcPr>
            <w:tcW w:w="2463" w:type="dxa"/>
          </w:tcPr>
          <w:p w14:paraId="3FB7113D" w14:textId="77777777" w:rsidR="004C3BAD" w:rsidRPr="00A7474D" w:rsidRDefault="004C3BAD" w:rsidP="004C3BAD">
            <w:pPr>
              <w:jc w:val="center"/>
              <w:rPr>
                <w:rFonts w:ascii="Times New Roman" w:eastAsia="Calibri" w:hAnsi="Times New Roman" w:cs="Times New Roman"/>
                <w:sz w:val="24"/>
                <w:szCs w:val="24"/>
              </w:rPr>
            </w:pPr>
            <w:r w:rsidRPr="00A7474D">
              <w:rPr>
                <w:rFonts w:ascii="Times New Roman" w:eastAsia="Calibri" w:hAnsi="Times New Roman" w:cs="Times New Roman"/>
                <w:sz w:val="24"/>
                <w:szCs w:val="24"/>
              </w:rPr>
              <w:t>4 146</w:t>
            </w:r>
          </w:p>
        </w:tc>
        <w:tc>
          <w:tcPr>
            <w:tcW w:w="2464" w:type="dxa"/>
          </w:tcPr>
          <w:p w14:paraId="6D1D277A" w14:textId="77777777" w:rsidR="004C3BAD" w:rsidRPr="00A7474D" w:rsidRDefault="004C3BAD" w:rsidP="004C3BAD">
            <w:pPr>
              <w:jc w:val="center"/>
              <w:rPr>
                <w:rFonts w:ascii="Times New Roman" w:eastAsia="Calibri" w:hAnsi="Times New Roman" w:cs="Times New Roman"/>
                <w:sz w:val="24"/>
                <w:szCs w:val="24"/>
              </w:rPr>
            </w:pPr>
            <w:r w:rsidRPr="00A7474D">
              <w:rPr>
                <w:rFonts w:ascii="Times New Roman" w:eastAsia="Calibri" w:hAnsi="Times New Roman" w:cs="Times New Roman"/>
                <w:sz w:val="24"/>
                <w:szCs w:val="24"/>
              </w:rPr>
              <w:t>3 840</w:t>
            </w:r>
          </w:p>
        </w:tc>
        <w:tc>
          <w:tcPr>
            <w:tcW w:w="2249" w:type="dxa"/>
          </w:tcPr>
          <w:p w14:paraId="128056C1" w14:textId="77777777" w:rsidR="004C3BAD" w:rsidRPr="00A7474D" w:rsidRDefault="004C3BAD" w:rsidP="004C3BAD">
            <w:pPr>
              <w:jc w:val="center"/>
              <w:rPr>
                <w:rFonts w:ascii="Times New Roman" w:eastAsia="Calibri" w:hAnsi="Times New Roman" w:cs="Times New Roman"/>
                <w:sz w:val="24"/>
                <w:szCs w:val="24"/>
              </w:rPr>
            </w:pPr>
            <w:r w:rsidRPr="00A7474D">
              <w:rPr>
                <w:rFonts w:ascii="Times New Roman" w:eastAsia="Calibri" w:hAnsi="Times New Roman" w:cs="Times New Roman"/>
                <w:sz w:val="24"/>
                <w:szCs w:val="24"/>
              </w:rPr>
              <w:t>3 098</w:t>
            </w:r>
          </w:p>
        </w:tc>
      </w:tr>
      <w:tr w:rsidR="004C3BAD" w:rsidRPr="00D4485E" w14:paraId="4E1F37ED" w14:textId="77777777" w:rsidTr="00A7474D">
        <w:trPr>
          <w:trHeight w:val="417"/>
        </w:trPr>
        <w:tc>
          <w:tcPr>
            <w:tcW w:w="2694" w:type="dxa"/>
          </w:tcPr>
          <w:p w14:paraId="175738F2" w14:textId="77777777" w:rsidR="004C3BAD" w:rsidRPr="00A7474D" w:rsidRDefault="004C3BAD" w:rsidP="004C3BAD">
            <w:pPr>
              <w:jc w:val="center"/>
              <w:rPr>
                <w:rFonts w:ascii="Times New Roman" w:eastAsia="Calibri" w:hAnsi="Times New Roman" w:cs="Times New Roman"/>
                <w:sz w:val="24"/>
                <w:szCs w:val="24"/>
              </w:rPr>
            </w:pPr>
            <w:r w:rsidRPr="00A7474D">
              <w:rPr>
                <w:rFonts w:ascii="Times New Roman" w:eastAsia="Calibri" w:hAnsi="Times New Roman" w:cs="Times New Roman"/>
                <w:sz w:val="24"/>
                <w:szCs w:val="24"/>
              </w:rPr>
              <w:t>Украина</w:t>
            </w:r>
          </w:p>
        </w:tc>
        <w:tc>
          <w:tcPr>
            <w:tcW w:w="2463" w:type="dxa"/>
          </w:tcPr>
          <w:p w14:paraId="08304940" w14:textId="77777777" w:rsidR="004C3BAD" w:rsidRPr="00A7474D" w:rsidRDefault="004C3BAD" w:rsidP="004C3BAD">
            <w:pPr>
              <w:jc w:val="center"/>
              <w:rPr>
                <w:rFonts w:ascii="Times New Roman" w:eastAsia="Calibri" w:hAnsi="Times New Roman" w:cs="Times New Roman"/>
                <w:sz w:val="24"/>
                <w:szCs w:val="24"/>
              </w:rPr>
            </w:pPr>
            <w:r w:rsidRPr="00A7474D">
              <w:rPr>
                <w:rFonts w:ascii="Times New Roman" w:eastAsia="Calibri" w:hAnsi="Times New Roman" w:cs="Times New Roman"/>
                <w:sz w:val="24"/>
                <w:szCs w:val="24"/>
              </w:rPr>
              <w:t>77 802</w:t>
            </w:r>
          </w:p>
        </w:tc>
        <w:tc>
          <w:tcPr>
            <w:tcW w:w="2464" w:type="dxa"/>
          </w:tcPr>
          <w:p w14:paraId="3F76CB9B" w14:textId="77777777" w:rsidR="004C3BAD" w:rsidRPr="00A7474D" w:rsidRDefault="004C3BAD" w:rsidP="004C3BAD">
            <w:pPr>
              <w:jc w:val="center"/>
              <w:rPr>
                <w:rFonts w:ascii="Times New Roman" w:eastAsia="Calibri" w:hAnsi="Times New Roman" w:cs="Times New Roman"/>
                <w:sz w:val="24"/>
                <w:szCs w:val="24"/>
              </w:rPr>
            </w:pPr>
            <w:r w:rsidRPr="00A7474D">
              <w:rPr>
                <w:rFonts w:ascii="Times New Roman" w:eastAsia="Calibri" w:hAnsi="Times New Roman" w:cs="Times New Roman"/>
                <w:sz w:val="24"/>
                <w:szCs w:val="24"/>
              </w:rPr>
              <w:t>73 597</w:t>
            </w:r>
          </w:p>
        </w:tc>
        <w:tc>
          <w:tcPr>
            <w:tcW w:w="2249" w:type="dxa"/>
          </w:tcPr>
          <w:p w14:paraId="4B6DCB5B" w14:textId="77777777" w:rsidR="004C3BAD" w:rsidRPr="00A7474D" w:rsidRDefault="004C3BAD" w:rsidP="004C3BAD">
            <w:pPr>
              <w:jc w:val="center"/>
              <w:rPr>
                <w:rFonts w:ascii="Times New Roman" w:eastAsia="Calibri" w:hAnsi="Times New Roman" w:cs="Times New Roman"/>
                <w:sz w:val="24"/>
                <w:szCs w:val="24"/>
              </w:rPr>
            </w:pPr>
            <w:r w:rsidRPr="00A7474D">
              <w:rPr>
                <w:rFonts w:ascii="Times New Roman" w:eastAsia="Calibri" w:hAnsi="Times New Roman" w:cs="Times New Roman"/>
                <w:sz w:val="24"/>
                <w:szCs w:val="24"/>
              </w:rPr>
              <w:t>53 459</w:t>
            </w:r>
          </w:p>
        </w:tc>
      </w:tr>
      <w:tr w:rsidR="004C3BAD" w:rsidRPr="00D4485E" w14:paraId="3F6B76E5" w14:textId="77777777" w:rsidTr="00A7474D">
        <w:tc>
          <w:tcPr>
            <w:tcW w:w="2694" w:type="dxa"/>
          </w:tcPr>
          <w:p w14:paraId="1EB15F15" w14:textId="77777777" w:rsidR="004C3BAD" w:rsidRPr="00A7474D" w:rsidRDefault="004C3BAD" w:rsidP="004C3BAD">
            <w:pPr>
              <w:jc w:val="center"/>
              <w:rPr>
                <w:rFonts w:ascii="Times New Roman" w:eastAsia="Calibri" w:hAnsi="Times New Roman" w:cs="Times New Roman"/>
                <w:b/>
                <w:sz w:val="24"/>
                <w:szCs w:val="24"/>
              </w:rPr>
            </w:pPr>
            <w:r w:rsidRPr="00A7474D">
              <w:rPr>
                <w:rFonts w:ascii="Times New Roman" w:eastAsia="Calibri" w:hAnsi="Times New Roman" w:cs="Times New Roman"/>
                <w:b/>
                <w:sz w:val="24"/>
                <w:szCs w:val="24"/>
              </w:rPr>
              <w:t>ВСЕГО</w:t>
            </w:r>
          </w:p>
        </w:tc>
        <w:tc>
          <w:tcPr>
            <w:tcW w:w="2463" w:type="dxa"/>
          </w:tcPr>
          <w:p w14:paraId="15997642" w14:textId="77777777" w:rsidR="004C3BAD" w:rsidRPr="00A7474D" w:rsidRDefault="004C3BAD" w:rsidP="004C3BAD">
            <w:pPr>
              <w:jc w:val="center"/>
              <w:rPr>
                <w:rFonts w:ascii="Times New Roman" w:eastAsia="Calibri" w:hAnsi="Times New Roman" w:cs="Times New Roman"/>
                <w:b/>
                <w:sz w:val="24"/>
                <w:szCs w:val="24"/>
              </w:rPr>
            </w:pPr>
            <w:r w:rsidRPr="00A7474D">
              <w:rPr>
                <w:rFonts w:ascii="Times New Roman" w:eastAsia="Calibri" w:hAnsi="Times New Roman" w:cs="Times New Roman"/>
                <w:b/>
                <w:sz w:val="24"/>
                <w:szCs w:val="24"/>
              </w:rPr>
              <w:t>99 363</w:t>
            </w:r>
          </w:p>
        </w:tc>
        <w:tc>
          <w:tcPr>
            <w:tcW w:w="2464" w:type="dxa"/>
          </w:tcPr>
          <w:p w14:paraId="3B5A7C59" w14:textId="77777777" w:rsidR="004C3BAD" w:rsidRPr="00A7474D" w:rsidRDefault="004C3BAD" w:rsidP="004C3BAD">
            <w:pPr>
              <w:jc w:val="center"/>
              <w:rPr>
                <w:rFonts w:ascii="Times New Roman" w:eastAsia="Calibri" w:hAnsi="Times New Roman" w:cs="Times New Roman"/>
                <w:b/>
                <w:sz w:val="24"/>
                <w:szCs w:val="24"/>
              </w:rPr>
            </w:pPr>
            <w:r w:rsidRPr="00A7474D">
              <w:rPr>
                <w:rFonts w:ascii="Times New Roman" w:eastAsia="Calibri" w:hAnsi="Times New Roman" w:cs="Times New Roman"/>
                <w:b/>
                <w:sz w:val="24"/>
                <w:szCs w:val="24"/>
              </w:rPr>
              <w:t>90 102</w:t>
            </w:r>
          </w:p>
        </w:tc>
        <w:tc>
          <w:tcPr>
            <w:tcW w:w="2249" w:type="dxa"/>
          </w:tcPr>
          <w:p w14:paraId="196128EB" w14:textId="77777777" w:rsidR="004C3BAD" w:rsidRPr="00A7474D" w:rsidRDefault="004C3BAD" w:rsidP="004C3BAD">
            <w:pPr>
              <w:jc w:val="center"/>
              <w:rPr>
                <w:rFonts w:ascii="Times New Roman" w:eastAsia="Calibri" w:hAnsi="Times New Roman" w:cs="Times New Roman"/>
                <w:b/>
                <w:sz w:val="24"/>
                <w:szCs w:val="24"/>
              </w:rPr>
            </w:pPr>
            <w:r w:rsidRPr="00A7474D">
              <w:rPr>
                <w:rFonts w:ascii="Times New Roman" w:eastAsia="Calibri" w:hAnsi="Times New Roman" w:cs="Times New Roman"/>
                <w:b/>
                <w:sz w:val="24"/>
                <w:szCs w:val="24"/>
              </w:rPr>
              <w:t>72 544</w:t>
            </w:r>
          </w:p>
        </w:tc>
      </w:tr>
    </w:tbl>
    <w:p w14:paraId="18BCF986" w14:textId="77777777" w:rsidR="004C3BAD" w:rsidRPr="00D4485E" w:rsidRDefault="004C3BAD" w:rsidP="004C3BAD">
      <w:pPr>
        <w:spacing w:after="0" w:line="240" w:lineRule="auto"/>
        <w:ind w:firstLine="709"/>
        <w:jc w:val="both"/>
        <w:rPr>
          <w:rFonts w:ascii="Times New Roman" w:eastAsia="Calibri" w:hAnsi="Times New Roman" w:cs="Times New Roman"/>
          <w:spacing w:val="-4"/>
          <w:sz w:val="6"/>
          <w:szCs w:val="6"/>
        </w:rPr>
      </w:pPr>
    </w:p>
    <w:p w14:paraId="24BD445A" w14:textId="77777777" w:rsidR="004C3BAD" w:rsidRPr="00D4485E" w:rsidRDefault="004C3BAD" w:rsidP="004C3BAD">
      <w:pPr>
        <w:spacing w:after="0" w:line="240" w:lineRule="auto"/>
        <w:ind w:firstLine="709"/>
        <w:jc w:val="both"/>
        <w:rPr>
          <w:rFonts w:ascii="Times New Roman" w:eastAsia="Calibri" w:hAnsi="Times New Roman" w:cs="Times New Roman"/>
          <w:spacing w:val="-4"/>
          <w:sz w:val="28"/>
          <w:szCs w:val="28"/>
        </w:rPr>
      </w:pPr>
    </w:p>
    <w:p w14:paraId="0BF3ECCB" w14:textId="141C3679" w:rsidR="004C3BAD" w:rsidRPr="00D4485E" w:rsidRDefault="004C3BAD" w:rsidP="004C3BAD">
      <w:pPr>
        <w:spacing w:after="0" w:line="312" w:lineRule="auto"/>
        <w:ind w:firstLine="709"/>
        <w:jc w:val="both"/>
        <w:rPr>
          <w:rFonts w:ascii="Times New Roman" w:eastAsia="Calibri" w:hAnsi="Times New Roman" w:cs="Times New Roman"/>
          <w:sz w:val="28"/>
          <w:szCs w:val="28"/>
        </w:rPr>
      </w:pPr>
      <w:r w:rsidRPr="00D4485E">
        <w:rPr>
          <w:rFonts w:ascii="Times New Roman" w:eastAsia="Calibri" w:hAnsi="Times New Roman" w:cs="Times New Roman"/>
          <w:sz w:val="28"/>
          <w:szCs w:val="28"/>
        </w:rPr>
        <w:t>На 42,4% увеличилось число принятых в гражданство Российской Федерации детей, чьи родители приз</w:t>
      </w:r>
      <w:r w:rsidR="00C74B8B" w:rsidRPr="00D4485E">
        <w:rPr>
          <w:rFonts w:ascii="Times New Roman" w:eastAsia="Calibri" w:hAnsi="Times New Roman" w:cs="Times New Roman"/>
          <w:sz w:val="28"/>
          <w:szCs w:val="28"/>
        </w:rPr>
        <w:t xml:space="preserve">наны носителями русского языка </w:t>
      </w:r>
      <w:r w:rsidRPr="00D4485E">
        <w:rPr>
          <w:rFonts w:ascii="Times New Roman" w:eastAsia="Calibri" w:hAnsi="Times New Roman" w:cs="Times New Roman"/>
          <w:sz w:val="28"/>
          <w:szCs w:val="28"/>
        </w:rPr>
        <w:t>(</w:t>
      </w:r>
      <w:r w:rsidR="00566C57">
        <w:rPr>
          <w:rFonts w:ascii="Times New Roman" w:eastAsia="Calibri" w:hAnsi="Times New Roman" w:cs="Times New Roman"/>
          <w:sz w:val="28"/>
          <w:szCs w:val="28"/>
        </w:rPr>
        <w:t xml:space="preserve">2021 г. – 6,8 тыс.; </w:t>
      </w:r>
      <w:r w:rsidR="00566C57">
        <w:rPr>
          <w:rFonts w:ascii="Times New Roman" w:eastAsia="Calibri" w:hAnsi="Times New Roman" w:cs="Times New Roman"/>
          <w:sz w:val="28"/>
          <w:szCs w:val="28"/>
        </w:rPr>
        <w:br/>
      </w:r>
      <w:r w:rsidR="00A120DB" w:rsidRPr="00D4485E">
        <w:rPr>
          <w:rFonts w:ascii="Times New Roman" w:eastAsia="Calibri" w:hAnsi="Times New Roman" w:cs="Times New Roman"/>
          <w:sz w:val="28"/>
          <w:szCs w:val="28"/>
        </w:rPr>
        <w:t>2020 г.</w:t>
      </w:r>
      <w:r w:rsidRPr="00D4485E">
        <w:rPr>
          <w:rFonts w:ascii="Times New Roman" w:eastAsia="Calibri" w:hAnsi="Times New Roman" w:cs="Times New Roman"/>
          <w:sz w:val="28"/>
          <w:szCs w:val="28"/>
        </w:rPr>
        <w:t xml:space="preserve"> – 4,8 тыс.; 2019 г</w:t>
      </w:r>
      <w:r w:rsidR="00A120DB" w:rsidRPr="00D4485E">
        <w:rPr>
          <w:rFonts w:ascii="Times New Roman" w:eastAsia="Calibri" w:hAnsi="Times New Roman" w:cs="Times New Roman"/>
          <w:sz w:val="28"/>
          <w:szCs w:val="28"/>
        </w:rPr>
        <w:t>.</w:t>
      </w:r>
      <w:r w:rsidRPr="00D4485E">
        <w:rPr>
          <w:rFonts w:ascii="Times New Roman" w:eastAsia="Calibri" w:hAnsi="Times New Roman" w:cs="Times New Roman"/>
          <w:sz w:val="28"/>
          <w:szCs w:val="28"/>
        </w:rPr>
        <w:t xml:space="preserve"> – 5,7 тыс.), на 9,6% уменьшилось число детей, принимающих гражданство </w:t>
      </w:r>
      <w:r w:rsidR="00C74B8B" w:rsidRPr="00D4485E">
        <w:rPr>
          <w:rFonts w:ascii="Times New Roman" w:eastAsia="Calibri" w:hAnsi="Times New Roman" w:cs="Times New Roman"/>
          <w:sz w:val="28"/>
          <w:szCs w:val="28"/>
        </w:rPr>
        <w:t xml:space="preserve">Российской Федерации совместно </w:t>
      </w:r>
      <w:r w:rsidRPr="00D4485E">
        <w:rPr>
          <w:rFonts w:ascii="Times New Roman" w:eastAsia="Calibri" w:hAnsi="Times New Roman" w:cs="Times New Roman"/>
          <w:sz w:val="28"/>
          <w:szCs w:val="28"/>
        </w:rPr>
        <w:t>с родителем, состоящим в браке с гр</w:t>
      </w:r>
      <w:r w:rsidR="00C74B8B" w:rsidRPr="00D4485E">
        <w:rPr>
          <w:rFonts w:ascii="Times New Roman" w:eastAsia="Calibri" w:hAnsi="Times New Roman" w:cs="Times New Roman"/>
          <w:sz w:val="28"/>
          <w:szCs w:val="28"/>
        </w:rPr>
        <w:t xml:space="preserve">ажданином Российской Федерации </w:t>
      </w:r>
      <w:r w:rsidRPr="00D4485E">
        <w:rPr>
          <w:rFonts w:ascii="Times New Roman" w:eastAsia="Calibri" w:hAnsi="Times New Roman" w:cs="Times New Roman"/>
          <w:sz w:val="28"/>
          <w:szCs w:val="28"/>
        </w:rPr>
        <w:t>не менее трех лет (</w:t>
      </w:r>
      <w:r w:rsidR="00A120DB" w:rsidRPr="00D4485E">
        <w:rPr>
          <w:rFonts w:ascii="Times New Roman" w:eastAsia="Calibri" w:hAnsi="Times New Roman" w:cs="Times New Roman"/>
          <w:sz w:val="28"/>
          <w:szCs w:val="28"/>
        </w:rPr>
        <w:t xml:space="preserve">2021 г. – </w:t>
      </w:r>
      <w:r w:rsidRPr="00D4485E">
        <w:rPr>
          <w:rFonts w:ascii="Times New Roman" w:eastAsia="Calibri" w:hAnsi="Times New Roman" w:cs="Times New Roman"/>
          <w:sz w:val="28"/>
          <w:szCs w:val="28"/>
        </w:rPr>
        <w:t xml:space="preserve">3 тыс.; </w:t>
      </w:r>
      <w:r w:rsidR="00566C57">
        <w:rPr>
          <w:rFonts w:ascii="Times New Roman" w:eastAsia="Calibri" w:hAnsi="Times New Roman" w:cs="Times New Roman"/>
          <w:sz w:val="28"/>
          <w:szCs w:val="28"/>
        </w:rPr>
        <w:br/>
      </w:r>
      <w:r w:rsidRPr="00D4485E">
        <w:rPr>
          <w:rFonts w:ascii="Times New Roman" w:eastAsia="Calibri" w:hAnsi="Times New Roman" w:cs="Times New Roman"/>
          <w:sz w:val="28"/>
          <w:szCs w:val="28"/>
        </w:rPr>
        <w:t>2020 г</w:t>
      </w:r>
      <w:r w:rsidR="00A120DB" w:rsidRPr="00D4485E">
        <w:rPr>
          <w:rFonts w:ascii="Times New Roman" w:eastAsia="Calibri" w:hAnsi="Times New Roman" w:cs="Times New Roman"/>
          <w:sz w:val="28"/>
          <w:szCs w:val="28"/>
        </w:rPr>
        <w:t>.</w:t>
      </w:r>
      <w:r w:rsidRPr="00D4485E">
        <w:rPr>
          <w:rFonts w:ascii="Times New Roman" w:eastAsia="Calibri" w:hAnsi="Times New Roman" w:cs="Times New Roman"/>
          <w:sz w:val="28"/>
          <w:szCs w:val="28"/>
        </w:rPr>
        <w:t xml:space="preserve"> – 3,3 тыс.; 2019 г</w:t>
      </w:r>
      <w:r w:rsidR="00A120DB" w:rsidRPr="00D4485E">
        <w:rPr>
          <w:rFonts w:ascii="Times New Roman" w:eastAsia="Calibri" w:hAnsi="Times New Roman" w:cs="Times New Roman"/>
          <w:sz w:val="28"/>
          <w:szCs w:val="28"/>
        </w:rPr>
        <w:t>.</w:t>
      </w:r>
      <w:r w:rsidRPr="00D4485E">
        <w:rPr>
          <w:rFonts w:ascii="Times New Roman" w:eastAsia="Calibri" w:hAnsi="Times New Roman" w:cs="Times New Roman"/>
          <w:sz w:val="28"/>
          <w:szCs w:val="28"/>
        </w:rPr>
        <w:t xml:space="preserve"> – 2,9 тыс.).</w:t>
      </w:r>
    </w:p>
    <w:p w14:paraId="27CFCEC9" w14:textId="6DBD5FFB" w:rsidR="004C3BAD" w:rsidRPr="00D4485E" w:rsidRDefault="004C3BAD" w:rsidP="004C3BAD">
      <w:pPr>
        <w:spacing w:after="0" w:line="312" w:lineRule="auto"/>
        <w:ind w:firstLine="709"/>
        <w:jc w:val="both"/>
        <w:rPr>
          <w:rFonts w:ascii="Times New Roman" w:eastAsia="Calibri" w:hAnsi="Times New Roman" w:cs="Times New Roman"/>
          <w:sz w:val="28"/>
          <w:szCs w:val="28"/>
        </w:rPr>
      </w:pPr>
      <w:r w:rsidRPr="00D4485E">
        <w:rPr>
          <w:rFonts w:ascii="Times New Roman" w:eastAsia="Calibri" w:hAnsi="Times New Roman" w:cs="Times New Roman"/>
          <w:sz w:val="28"/>
          <w:szCs w:val="28"/>
        </w:rPr>
        <w:t>Также в российское гражданство принято 325 детей (-23,2%; 2020 г</w:t>
      </w:r>
      <w:r w:rsidR="00A120DB" w:rsidRPr="00D4485E">
        <w:rPr>
          <w:rFonts w:ascii="Times New Roman" w:eastAsia="Calibri" w:hAnsi="Times New Roman" w:cs="Times New Roman"/>
          <w:sz w:val="28"/>
          <w:szCs w:val="28"/>
        </w:rPr>
        <w:t>.</w:t>
      </w:r>
      <w:r w:rsidRPr="00D4485E">
        <w:rPr>
          <w:rFonts w:ascii="Times New Roman" w:eastAsia="Calibri" w:hAnsi="Times New Roman" w:cs="Times New Roman"/>
          <w:sz w:val="28"/>
          <w:szCs w:val="28"/>
        </w:rPr>
        <w:t xml:space="preserve"> – 423</w:t>
      </w:r>
      <w:r w:rsidR="00A120DB" w:rsidRPr="00D4485E">
        <w:rPr>
          <w:rFonts w:ascii="Times New Roman" w:eastAsia="Calibri" w:hAnsi="Times New Roman" w:cs="Times New Roman"/>
          <w:sz w:val="28"/>
          <w:szCs w:val="28"/>
        </w:rPr>
        <w:t xml:space="preserve"> ребенка</w:t>
      </w:r>
      <w:r w:rsidRPr="00D4485E">
        <w:rPr>
          <w:rFonts w:ascii="Times New Roman" w:eastAsia="Calibri" w:hAnsi="Times New Roman" w:cs="Times New Roman"/>
          <w:sz w:val="28"/>
          <w:szCs w:val="28"/>
        </w:rPr>
        <w:t>; 2019 г</w:t>
      </w:r>
      <w:r w:rsidR="00A120DB" w:rsidRPr="00D4485E">
        <w:rPr>
          <w:rFonts w:ascii="Times New Roman" w:eastAsia="Calibri" w:hAnsi="Times New Roman" w:cs="Times New Roman"/>
          <w:sz w:val="28"/>
          <w:szCs w:val="28"/>
        </w:rPr>
        <w:t>.</w:t>
      </w:r>
      <w:r w:rsidRPr="00D4485E">
        <w:rPr>
          <w:rFonts w:ascii="Times New Roman" w:eastAsia="Calibri" w:hAnsi="Times New Roman" w:cs="Times New Roman"/>
          <w:sz w:val="28"/>
          <w:szCs w:val="28"/>
        </w:rPr>
        <w:t xml:space="preserve"> – 455</w:t>
      </w:r>
      <w:r w:rsidR="00A120DB" w:rsidRPr="00D4485E">
        <w:rPr>
          <w:rFonts w:ascii="Times New Roman" w:eastAsia="Calibri" w:hAnsi="Times New Roman" w:cs="Times New Roman"/>
          <w:sz w:val="28"/>
          <w:szCs w:val="28"/>
        </w:rPr>
        <w:t xml:space="preserve"> детей</w:t>
      </w:r>
      <w:r w:rsidRPr="00D4485E">
        <w:rPr>
          <w:rFonts w:ascii="Times New Roman" w:eastAsia="Calibri" w:hAnsi="Times New Roman" w:cs="Times New Roman"/>
          <w:sz w:val="28"/>
          <w:szCs w:val="28"/>
        </w:rPr>
        <w:t>), над которыми установлена опека или попечительство гражданина Российской Федерации, 44 ребенка (-20%; 2020 г</w:t>
      </w:r>
      <w:r w:rsidR="00A120DB" w:rsidRPr="00D4485E">
        <w:rPr>
          <w:rFonts w:ascii="Times New Roman" w:eastAsia="Calibri" w:hAnsi="Times New Roman" w:cs="Times New Roman"/>
          <w:sz w:val="28"/>
          <w:szCs w:val="28"/>
        </w:rPr>
        <w:t>.</w:t>
      </w:r>
      <w:r w:rsidRPr="00D4485E">
        <w:rPr>
          <w:rFonts w:ascii="Times New Roman" w:eastAsia="Calibri" w:hAnsi="Times New Roman" w:cs="Times New Roman"/>
          <w:sz w:val="28"/>
          <w:szCs w:val="28"/>
        </w:rPr>
        <w:t xml:space="preserve"> – 55</w:t>
      </w:r>
      <w:r w:rsidR="00A120DB" w:rsidRPr="00D4485E">
        <w:rPr>
          <w:rFonts w:ascii="Times New Roman" w:eastAsia="Calibri" w:hAnsi="Times New Roman" w:cs="Times New Roman"/>
          <w:sz w:val="28"/>
          <w:szCs w:val="28"/>
        </w:rPr>
        <w:t xml:space="preserve"> детей</w:t>
      </w:r>
      <w:r w:rsidRPr="00D4485E">
        <w:rPr>
          <w:rFonts w:ascii="Times New Roman" w:eastAsia="Calibri" w:hAnsi="Times New Roman" w:cs="Times New Roman"/>
          <w:sz w:val="28"/>
          <w:szCs w:val="28"/>
        </w:rPr>
        <w:t xml:space="preserve">; </w:t>
      </w:r>
      <w:r w:rsidR="00566C57">
        <w:rPr>
          <w:rFonts w:ascii="Times New Roman" w:eastAsia="Calibri" w:hAnsi="Times New Roman" w:cs="Times New Roman"/>
          <w:sz w:val="28"/>
          <w:szCs w:val="28"/>
        </w:rPr>
        <w:br/>
      </w:r>
      <w:r w:rsidRPr="00D4485E">
        <w:rPr>
          <w:rFonts w:ascii="Times New Roman" w:eastAsia="Calibri" w:hAnsi="Times New Roman" w:cs="Times New Roman"/>
          <w:sz w:val="28"/>
          <w:szCs w:val="28"/>
        </w:rPr>
        <w:t>2019 г</w:t>
      </w:r>
      <w:r w:rsidR="00A120DB" w:rsidRPr="00D4485E">
        <w:rPr>
          <w:rFonts w:ascii="Times New Roman" w:eastAsia="Calibri" w:hAnsi="Times New Roman" w:cs="Times New Roman"/>
          <w:sz w:val="28"/>
          <w:szCs w:val="28"/>
        </w:rPr>
        <w:t>.</w:t>
      </w:r>
      <w:r w:rsidRPr="00D4485E">
        <w:rPr>
          <w:rFonts w:ascii="Times New Roman" w:eastAsia="Calibri" w:hAnsi="Times New Roman" w:cs="Times New Roman"/>
          <w:sz w:val="28"/>
          <w:szCs w:val="28"/>
        </w:rPr>
        <w:t xml:space="preserve"> – 64</w:t>
      </w:r>
      <w:r w:rsidR="00A120DB" w:rsidRPr="00D4485E">
        <w:rPr>
          <w:rFonts w:ascii="Times New Roman" w:eastAsia="Calibri" w:hAnsi="Times New Roman" w:cs="Times New Roman"/>
          <w:sz w:val="28"/>
          <w:szCs w:val="28"/>
        </w:rPr>
        <w:t xml:space="preserve"> ребенка), </w:t>
      </w:r>
      <w:r w:rsidRPr="00D4485E">
        <w:rPr>
          <w:rFonts w:ascii="Times New Roman" w:eastAsia="Calibri" w:hAnsi="Times New Roman" w:cs="Times New Roman"/>
          <w:sz w:val="28"/>
          <w:szCs w:val="28"/>
        </w:rPr>
        <w:t xml:space="preserve">помещенных под надзор российской организации для </w:t>
      </w:r>
      <w:r w:rsidR="00566C57">
        <w:rPr>
          <w:rFonts w:ascii="Times New Roman" w:eastAsia="Calibri" w:hAnsi="Times New Roman" w:cs="Times New Roman"/>
          <w:sz w:val="28"/>
          <w:szCs w:val="28"/>
        </w:rPr>
        <w:br/>
      </w:r>
      <w:r w:rsidRPr="00D4485E">
        <w:rPr>
          <w:rFonts w:ascii="Times New Roman" w:eastAsia="Calibri" w:hAnsi="Times New Roman" w:cs="Times New Roman"/>
          <w:sz w:val="28"/>
          <w:szCs w:val="28"/>
        </w:rPr>
        <w:t>детей-сирот и детей, ост</w:t>
      </w:r>
      <w:r w:rsidR="00A120DB" w:rsidRPr="00D4485E">
        <w:rPr>
          <w:rFonts w:ascii="Times New Roman" w:eastAsia="Calibri" w:hAnsi="Times New Roman" w:cs="Times New Roman"/>
          <w:sz w:val="28"/>
          <w:szCs w:val="28"/>
        </w:rPr>
        <w:t>авшихся без попечения родителей, 22 ребенка</w:t>
      </w:r>
      <w:r w:rsidRPr="00D4485E">
        <w:rPr>
          <w:rFonts w:ascii="Times New Roman" w:eastAsia="Calibri" w:hAnsi="Times New Roman" w:cs="Times New Roman"/>
          <w:sz w:val="28"/>
          <w:szCs w:val="28"/>
        </w:rPr>
        <w:t xml:space="preserve"> (-24,1%;</w:t>
      </w:r>
      <w:r w:rsidR="00566C57">
        <w:rPr>
          <w:rFonts w:ascii="Times New Roman" w:eastAsia="Calibri" w:hAnsi="Times New Roman" w:cs="Times New Roman"/>
          <w:sz w:val="28"/>
          <w:szCs w:val="28"/>
        </w:rPr>
        <w:br/>
      </w:r>
      <w:r w:rsidRPr="00D4485E">
        <w:rPr>
          <w:rFonts w:ascii="Times New Roman" w:eastAsia="Calibri" w:hAnsi="Times New Roman" w:cs="Times New Roman"/>
          <w:sz w:val="28"/>
          <w:szCs w:val="28"/>
        </w:rPr>
        <w:t>2020 г</w:t>
      </w:r>
      <w:r w:rsidR="00A120DB" w:rsidRPr="00D4485E">
        <w:rPr>
          <w:rFonts w:ascii="Times New Roman" w:eastAsia="Calibri" w:hAnsi="Times New Roman" w:cs="Times New Roman"/>
          <w:sz w:val="28"/>
          <w:szCs w:val="28"/>
        </w:rPr>
        <w:t>.</w:t>
      </w:r>
      <w:r w:rsidRPr="00D4485E">
        <w:rPr>
          <w:rFonts w:ascii="Times New Roman" w:eastAsia="Calibri" w:hAnsi="Times New Roman" w:cs="Times New Roman"/>
          <w:sz w:val="28"/>
          <w:szCs w:val="28"/>
        </w:rPr>
        <w:t xml:space="preserve"> – 29</w:t>
      </w:r>
      <w:r w:rsidR="00A120DB" w:rsidRPr="00D4485E">
        <w:rPr>
          <w:rFonts w:ascii="Times New Roman" w:eastAsia="Calibri" w:hAnsi="Times New Roman" w:cs="Times New Roman"/>
          <w:sz w:val="28"/>
          <w:szCs w:val="28"/>
        </w:rPr>
        <w:t xml:space="preserve"> детей; </w:t>
      </w:r>
      <w:r w:rsidRPr="00D4485E">
        <w:rPr>
          <w:rFonts w:ascii="Times New Roman" w:eastAsia="Calibri" w:hAnsi="Times New Roman" w:cs="Times New Roman"/>
          <w:sz w:val="28"/>
          <w:szCs w:val="28"/>
        </w:rPr>
        <w:t>2019 г</w:t>
      </w:r>
      <w:r w:rsidR="00A120DB" w:rsidRPr="00D4485E">
        <w:rPr>
          <w:rFonts w:ascii="Times New Roman" w:eastAsia="Calibri" w:hAnsi="Times New Roman" w:cs="Times New Roman"/>
          <w:sz w:val="28"/>
          <w:szCs w:val="28"/>
        </w:rPr>
        <w:t>.</w:t>
      </w:r>
      <w:r w:rsidRPr="00D4485E">
        <w:rPr>
          <w:rFonts w:ascii="Times New Roman" w:eastAsia="Calibri" w:hAnsi="Times New Roman" w:cs="Times New Roman"/>
          <w:sz w:val="28"/>
          <w:szCs w:val="28"/>
        </w:rPr>
        <w:t xml:space="preserve"> – 33</w:t>
      </w:r>
      <w:r w:rsidR="00A120DB" w:rsidRPr="00D4485E">
        <w:rPr>
          <w:rFonts w:ascii="Times New Roman" w:eastAsia="Calibri" w:hAnsi="Times New Roman" w:cs="Times New Roman"/>
          <w:sz w:val="28"/>
          <w:szCs w:val="28"/>
        </w:rPr>
        <w:t xml:space="preserve"> ребенка</w:t>
      </w:r>
      <w:r w:rsidRPr="00D4485E">
        <w:rPr>
          <w:rFonts w:ascii="Times New Roman" w:eastAsia="Calibri" w:hAnsi="Times New Roman" w:cs="Times New Roman"/>
          <w:sz w:val="28"/>
          <w:szCs w:val="28"/>
        </w:rPr>
        <w:t>) – при усыновлении (удочерении) супругами, один из которых является гражданином Российской Федерации, а другой имеет иное гражданство.</w:t>
      </w:r>
    </w:p>
    <w:p w14:paraId="6A3CC0D8" w14:textId="274DFD21" w:rsidR="004C3BAD" w:rsidRPr="00D4485E" w:rsidRDefault="004C3BAD" w:rsidP="004C3BAD">
      <w:pPr>
        <w:spacing w:after="0" w:line="312" w:lineRule="auto"/>
        <w:ind w:firstLine="709"/>
        <w:jc w:val="both"/>
        <w:rPr>
          <w:rFonts w:ascii="Times New Roman" w:eastAsia="Calibri" w:hAnsi="Times New Roman" w:cs="Times New Roman"/>
          <w:sz w:val="28"/>
          <w:szCs w:val="28"/>
        </w:rPr>
      </w:pPr>
      <w:r w:rsidRPr="00D4485E">
        <w:rPr>
          <w:rFonts w:ascii="Times New Roman" w:eastAsia="Calibri" w:hAnsi="Times New Roman" w:cs="Times New Roman"/>
          <w:sz w:val="28"/>
          <w:szCs w:val="28"/>
        </w:rPr>
        <w:t>Наибольшее количество детей</w:t>
      </w:r>
      <w:r w:rsidR="00A120DB" w:rsidRPr="00D4485E">
        <w:rPr>
          <w:rFonts w:ascii="Times New Roman" w:eastAsia="Calibri" w:hAnsi="Times New Roman" w:cs="Times New Roman"/>
          <w:sz w:val="28"/>
          <w:szCs w:val="28"/>
        </w:rPr>
        <w:t xml:space="preserve"> иностранных граждан, принятых </w:t>
      </w:r>
      <w:r w:rsidRPr="00D4485E">
        <w:rPr>
          <w:rFonts w:ascii="Times New Roman" w:eastAsia="Calibri" w:hAnsi="Times New Roman" w:cs="Times New Roman"/>
          <w:sz w:val="28"/>
          <w:szCs w:val="28"/>
        </w:rPr>
        <w:t>в гражданство Российской Федерации,</w:t>
      </w:r>
      <w:r w:rsidR="00A120DB" w:rsidRPr="00D4485E">
        <w:rPr>
          <w:rFonts w:ascii="Times New Roman" w:eastAsia="Calibri" w:hAnsi="Times New Roman" w:cs="Times New Roman"/>
          <w:sz w:val="28"/>
          <w:szCs w:val="28"/>
        </w:rPr>
        <w:t xml:space="preserve"> </w:t>
      </w:r>
      <w:r w:rsidR="00553D4E">
        <w:rPr>
          <w:rFonts w:ascii="Times New Roman" w:eastAsia="Calibri" w:hAnsi="Times New Roman" w:cs="Times New Roman"/>
          <w:sz w:val="28"/>
          <w:szCs w:val="28"/>
        </w:rPr>
        <w:t>ранее являлись гражданами</w:t>
      </w:r>
      <w:r w:rsidR="00A120DB" w:rsidRPr="00D4485E">
        <w:rPr>
          <w:rFonts w:ascii="Times New Roman" w:eastAsia="Calibri" w:hAnsi="Times New Roman" w:cs="Times New Roman"/>
          <w:sz w:val="28"/>
          <w:szCs w:val="28"/>
        </w:rPr>
        <w:t xml:space="preserve"> Украины </w:t>
      </w:r>
      <w:r w:rsidRPr="00D4485E">
        <w:rPr>
          <w:rFonts w:ascii="Times New Roman" w:eastAsia="Calibri" w:hAnsi="Times New Roman" w:cs="Times New Roman"/>
          <w:sz w:val="28"/>
          <w:szCs w:val="28"/>
        </w:rPr>
        <w:t>(77,8 тыс. человек или 46,2% от всех несовершеннолетних, принятых в российское гражданство;</w:t>
      </w:r>
      <w:r w:rsidR="000D78E3">
        <w:rPr>
          <w:rFonts w:ascii="Times New Roman" w:eastAsia="Calibri" w:hAnsi="Times New Roman" w:cs="Times New Roman"/>
          <w:sz w:val="28"/>
          <w:szCs w:val="28"/>
        </w:rPr>
        <w:t xml:space="preserve"> </w:t>
      </w:r>
      <w:r w:rsidRPr="00D4485E">
        <w:rPr>
          <w:rFonts w:ascii="Times New Roman" w:eastAsia="Calibri" w:hAnsi="Times New Roman" w:cs="Times New Roman"/>
          <w:sz w:val="28"/>
          <w:szCs w:val="28"/>
        </w:rPr>
        <w:t>2020 г</w:t>
      </w:r>
      <w:r w:rsidR="00404C7F" w:rsidRPr="00D4485E">
        <w:rPr>
          <w:rFonts w:ascii="Times New Roman" w:eastAsia="Calibri" w:hAnsi="Times New Roman" w:cs="Times New Roman"/>
          <w:sz w:val="28"/>
          <w:szCs w:val="28"/>
        </w:rPr>
        <w:t>.</w:t>
      </w:r>
      <w:r w:rsidRPr="00D4485E">
        <w:rPr>
          <w:rFonts w:ascii="Times New Roman" w:eastAsia="Calibri" w:hAnsi="Times New Roman" w:cs="Times New Roman"/>
          <w:sz w:val="28"/>
          <w:szCs w:val="28"/>
        </w:rPr>
        <w:t xml:space="preserve"> – 73,5 тыс. или 54,5%; 2019 г</w:t>
      </w:r>
      <w:r w:rsidR="00404C7F" w:rsidRPr="00D4485E">
        <w:rPr>
          <w:rFonts w:ascii="Times New Roman" w:eastAsia="Calibri" w:hAnsi="Times New Roman" w:cs="Times New Roman"/>
          <w:sz w:val="28"/>
          <w:szCs w:val="28"/>
        </w:rPr>
        <w:t>.</w:t>
      </w:r>
      <w:r w:rsidRPr="00D4485E">
        <w:rPr>
          <w:rFonts w:ascii="Times New Roman" w:eastAsia="Calibri" w:hAnsi="Times New Roman" w:cs="Times New Roman"/>
          <w:sz w:val="28"/>
          <w:szCs w:val="28"/>
        </w:rPr>
        <w:t xml:space="preserve"> – 53,5 тыс. или 47,8%), Таджикистана (34,9 тыс. или 20,7%; 2020 г</w:t>
      </w:r>
      <w:r w:rsidR="00F22C31" w:rsidRPr="00D4485E">
        <w:rPr>
          <w:rFonts w:ascii="Times New Roman" w:eastAsia="Calibri" w:hAnsi="Times New Roman" w:cs="Times New Roman"/>
          <w:sz w:val="28"/>
          <w:szCs w:val="28"/>
        </w:rPr>
        <w:t>.</w:t>
      </w:r>
      <w:r w:rsidRPr="00D4485E">
        <w:rPr>
          <w:rFonts w:ascii="Times New Roman" w:eastAsia="Calibri" w:hAnsi="Times New Roman" w:cs="Times New Roman"/>
          <w:sz w:val="28"/>
          <w:szCs w:val="28"/>
        </w:rPr>
        <w:t xml:space="preserve"> – 2</w:t>
      </w:r>
      <w:r w:rsidR="00A120DB" w:rsidRPr="00D4485E">
        <w:rPr>
          <w:rFonts w:ascii="Times New Roman" w:eastAsia="Calibri" w:hAnsi="Times New Roman" w:cs="Times New Roman"/>
          <w:sz w:val="28"/>
          <w:szCs w:val="28"/>
        </w:rPr>
        <w:t>0,9 тыс. или 15,5%; 2019 г</w:t>
      </w:r>
      <w:r w:rsidR="00F22C31" w:rsidRPr="00D4485E">
        <w:rPr>
          <w:rFonts w:ascii="Times New Roman" w:eastAsia="Calibri" w:hAnsi="Times New Roman" w:cs="Times New Roman"/>
          <w:sz w:val="28"/>
          <w:szCs w:val="28"/>
        </w:rPr>
        <w:t>.</w:t>
      </w:r>
      <w:r w:rsidR="00A120DB" w:rsidRPr="00D4485E">
        <w:rPr>
          <w:rFonts w:ascii="Times New Roman" w:eastAsia="Calibri" w:hAnsi="Times New Roman" w:cs="Times New Roman"/>
          <w:sz w:val="28"/>
          <w:szCs w:val="28"/>
        </w:rPr>
        <w:t xml:space="preserve"> – </w:t>
      </w:r>
      <w:r w:rsidRPr="00D4485E">
        <w:rPr>
          <w:rFonts w:ascii="Times New Roman" w:eastAsia="Calibri" w:hAnsi="Times New Roman" w:cs="Times New Roman"/>
          <w:sz w:val="28"/>
          <w:szCs w:val="28"/>
        </w:rPr>
        <w:t xml:space="preserve">17,7 тыс. или 15,9%), Казахстана </w:t>
      </w:r>
      <w:r w:rsidR="00566C57">
        <w:rPr>
          <w:rFonts w:ascii="Times New Roman" w:eastAsia="Calibri" w:hAnsi="Times New Roman" w:cs="Times New Roman"/>
          <w:sz w:val="28"/>
          <w:szCs w:val="28"/>
        </w:rPr>
        <w:br/>
      </w:r>
      <w:r w:rsidRPr="00D4485E">
        <w:rPr>
          <w:rFonts w:ascii="Times New Roman" w:eastAsia="Calibri" w:hAnsi="Times New Roman" w:cs="Times New Roman"/>
          <w:sz w:val="28"/>
          <w:szCs w:val="28"/>
        </w:rPr>
        <w:t>(13,2 тыс. или 7,9%; 2020 г</w:t>
      </w:r>
      <w:r w:rsidR="00F22C31" w:rsidRPr="00D4485E">
        <w:rPr>
          <w:rFonts w:ascii="Times New Roman" w:eastAsia="Calibri" w:hAnsi="Times New Roman" w:cs="Times New Roman"/>
          <w:sz w:val="28"/>
          <w:szCs w:val="28"/>
        </w:rPr>
        <w:t>.</w:t>
      </w:r>
      <w:r w:rsidRPr="00D4485E">
        <w:rPr>
          <w:rFonts w:ascii="Times New Roman" w:eastAsia="Calibri" w:hAnsi="Times New Roman" w:cs="Times New Roman"/>
          <w:sz w:val="28"/>
          <w:szCs w:val="28"/>
        </w:rPr>
        <w:t xml:space="preserve"> – 11,1 тыс. или 8,2%; 2019 г</w:t>
      </w:r>
      <w:r w:rsidR="00F22C31" w:rsidRPr="00D4485E">
        <w:rPr>
          <w:rFonts w:ascii="Times New Roman" w:eastAsia="Calibri" w:hAnsi="Times New Roman" w:cs="Times New Roman"/>
          <w:sz w:val="28"/>
          <w:szCs w:val="28"/>
        </w:rPr>
        <w:t>.</w:t>
      </w:r>
      <w:r w:rsidRPr="00D4485E">
        <w:rPr>
          <w:rFonts w:ascii="Times New Roman" w:eastAsia="Calibri" w:hAnsi="Times New Roman" w:cs="Times New Roman"/>
          <w:sz w:val="28"/>
          <w:szCs w:val="28"/>
        </w:rPr>
        <w:t xml:space="preserve"> – 15,1 тыс. или 13,5%) и Армении (10,7 тыс. или 6,4%</w:t>
      </w:r>
      <w:r w:rsidR="007A6DB1" w:rsidRPr="00D4485E">
        <w:rPr>
          <w:rFonts w:ascii="Times New Roman" w:eastAsia="Calibri" w:hAnsi="Times New Roman" w:cs="Times New Roman"/>
          <w:sz w:val="28"/>
          <w:szCs w:val="28"/>
        </w:rPr>
        <w:t>; 2020 г</w:t>
      </w:r>
      <w:r w:rsidR="00614E03" w:rsidRPr="00D4485E">
        <w:rPr>
          <w:rFonts w:ascii="Times New Roman" w:eastAsia="Calibri" w:hAnsi="Times New Roman" w:cs="Times New Roman"/>
          <w:sz w:val="28"/>
          <w:szCs w:val="28"/>
        </w:rPr>
        <w:t>.</w:t>
      </w:r>
      <w:r w:rsidR="007A6DB1" w:rsidRPr="00D4485E">
        <w:rPr>
          <w:rFonts w:ascii="Times New Roman" w:eastAsia="Calibri" w:hAnsi="Times New Roman" w:cs="Times New Roman"/>
          <w:sz w:val="28"/>
          <w:szCs w:val="28"/>
        </w:rPr>
        <w:t xml:space="preserve"> – 7,3 тыс. </w:t>
      </w:r>
      <w:r w:rsidRPr="00D4485E">
        <w:rPr>
          <w:rFonts w:ascii="Times New Roman" w:eastAsia="Calibri" w:hAnsi="Times New Roman" w:cs="Times New Roman"/>
          <w:sz w:val="28"/>
          <w:szCs w:val="28"/>
        </w:rPr>
        <w:t>или 5,4%; 2019 г</w:t>
      </w:r>
      <w:r w:rsidR="00614E03" w:rsidRPr="00D4485E">
        <w:rPr>
          <w:rFonts w:ascii="Times New Roman" w:eastAsia="Calibri" w:hAnsi="Times New Roman" w:cs="Times New Roman"/>
          <w:sz w:val="28"/>
          <w:szCs w:val="28"/>
        </w:rPr>
        <w:t>.</w:t>
      </w:r>
      <w:r w:rsidRPr="00D4485E">
        <w:rPr>
          <w:rFonts w:ascii="Times New Roman" w:eastAsia="Calibri" w:hAnsi="Times New Roman" w:cs="Times New Roman"/>
          <w:sz w:val="28"/>
          <w:szCs w:val="28"/>
        </w:rPr>
        <w:t xml:space="preserve"> – 7,1 тыс. или 6,4%).</w:t>
      </w:r>
    </w:p>
    <w:p w14:paraId="37BF17C7" w14:textId="474000E5" w:rsidR="004C3BAD" w:rsidRPr="00D4485E" w:rsidRDefault="004C3BAD" w:rsidP="004C3BAD">
      <w:pPr>
        <w:spacing w:after="0" w:line="312" w:lineRule="auto"/>
        <w:ind w:firstLine="709"/>
        <w:jc w:val="both"/>
        <w:rPr>
          <w:rFonts w:ascii="Times New Roman" w:eastAsia="Calibri" w:hAnsi="Times New Roman" w:cs="Times New Roman"/>
          <w:sz w:val="28"/>
          <w:szCs w:val="28"/>
        </w:rPr>
      </w:pPr>
      <w:r w:rsidRPr="00D4485E">
        <w:rPr>
          <w:rFonts w:ascii="Times New Roman" w:eastAsia="Calibri" w:hAnsi="Times New Roman" w:cs="Times New Roman"/>
          <w:sz w:val="28"/>
          <w:szCs w:val="28"/>
        </w:rPr>
        <w:t>По состоянию на 31 декабря 20</w:t>
      </w:r>
      <w:r w:rsidR="00A120DB" w:rsidRPr="00D4485E">
        <w:rPr>
          <w:rFonts w:ascii="Times New Roman" w:eastAsia="Calibri" w:hAnsi="Times New Roman" w:cs="Times New Roman"/>
          <w:sz w:val="28"/>
          <w:szCs w:val="28"/>
        </w:rPr>
        <w:t>21 г</w:t>
      </w:r>
      <w:r w:rsidR="00252E7D" w:rsidRPr="00D4485E">
        <w:rPr>
          <w:rFonts w:ascii="Times New Roman" w:eastAsia="Calibri" w:hAnsi="Times New Roman" w:cs="Times New Roman"/>
          <w:sz w:val="28"/>
          <w:szCs w:val="28"/>
        </w:rPr>
        <w:t>.</w:t>
      </w:r>
      <w:r w:rsidR="00A120DB" w:rsidRPr="00D4485E">
        <w:rPr>
          <w:rFonts w:ascii="Times New Roman" w:eastAsia="Calibri" w:hAnsi="Times New Roman" w:cs="Times New Roman"/>
          <w:sz w:val="28"/>
          <w:szCs w:val="28"/>
        </w:rPr>
        <w:t xml:space="preserve"> число лиц, находящихся </w:t>
      </w:r>
      <w:r w:rsidRPr="00D4485E">
        <w:rPr>
          <w:rFonts w:ascii="Times New Roman" w:eastAsia="Calibri" w:hAnsi="Times New Roman" w:cs="Times New Roman"/>
          <w:sz w:val="28"/>
          <w:szCs w:val="28"/>
        </w:rPr>
        <w:t>на территории Российской Федерации с неурегулированным правовым статусом, составля</w:t>
      </w:r>
      <w:r w:rsidR="00252E7D" w:rsidRPr="00D4485E">
        <w:rPr>
          <w:rFonts w:ascii="Times New Roman" w:eastAsia="Calibri" w:hAnsi="Times New Roman" w:cs="Times New Roman"/>
          <w:sz w:val="28"/>
          <w:szCs w:val="28"/>
        </w:rPr>
        <w:t>ло</w:t>
      </w:r>
      <w:r w:rsidRPr="00D4485E">
        <w:rPr>
          <w:rFonts w:ascii="Times New Roman" w:eastAsia="Calibri" w:hAnsi="Times New Roman" w:cs="Times New Roman"/>
          <w:sz w:val="28"/>
          <w:szCs w:val="28"/>
        </w:rPr>
        <w:t xml:space="preserve"> </w:t>
      </w:r>
      <w:r w:rsidR="00252E7D" w:rsidRPr="00D4485E">
        <w:rPr>
          <w:rFonts w:ascii="Times New Roman" w:eastAsia="Calibri" w:hAnsi="Times New Roman" w:cs="Times New Roman"/>
          <w:sz w:val="28"/>
          <w:szCs w:val="28"/>
        </w:rPr>
        <w:br/>
      </w:r>
      <w:r w:rsidRPr="00D4485E">
        <w:rPr>
          <w:rFonts w:ascii="Times New Roman" w:eastAsia="Calibri" w:hAnsi="Times New Roman" w:cs="Times New Roman"/>
          <w:sz w:val="28"/>
          <w:szCs w:val="28"/>
        </w:rPr>
        <w:t>4,4 тыс. человек, в том числе 14 несовершеннолетних (2020 г</w:t>
      </w:r>
      <w:r w:rsidR="00614E03" w:rsidRPr="00D4485E">
        <w:rPr>
          <w:rFonts w:ascii="Times New Roman" w:eastAsia="Calibri" w:hAnsi="Times New Roman" w:cs="Times New Roman"/>
          <w:sz w:val="28"/>
          <w:szCs w:val="28"/>
        </w:rPr>
        <w:t>.</w:t>
      </w:r>
      <w:r w:rsidRPr="00D4485E">
        <w:rPr>
          <w:rFonts w:ascii="Times New Roman" w:eastAsia="Calibri" w:hAnsi="Times New Roman" w:cs="Times New Roman"/>
          <w:sz w:val="28"/>
          <w:szCs w:val="28"/>
        </w:rPr>
        <w:t xml:space="preserve"> – 42; 2019 г</w:t>
      </w:r>
      <w:r w:rsidR="00614E03" w:rsidRPr="00D4485E">
        <w:rPr>
          <w:rFonts w:ascii="Times New Roman" w:eastAsia="Calibri" w:hAnsi="Times New Roman" w:cs="Times New Roman"/>
          <w:sz w:val="28"/>
          <w:szCs w:val="28"/>
        </w:rPr>
        <w:t>.</w:t>
      </w:r>
      <w:r w:rsidRPr="00D4485E">
        <w:rPr>
          <w:rFonts w:ascii="Times New Roman" w:eastAsia="Calibri" w:hAnsi="Times New Roman" w:cs="Times New Roman"/>
          <w:sz w:val="28"/>
          <w:szCs w:val="28"/>
        </w:rPr>
        <w:t xml:space="preserve"> – 50), из которых 13 человек имеют право на приобретение гражданства Российской Федерации в соответствии с главой </w:t>
      </w:r>
      <w:r w:rsidRPr="00D4485E">
        <w:rPr>
          <w:rFonts w:ascii="Times New Roman" w:eastAsia="Calibri" w:hAnsi="Times New Roman" w:cs="Times New Roman"/>
          <w:sz w:val="28"/>
          <w:szCs w:val="28"/>
          <w:lang w:val="en-US"/>
        </w:rPr>
        <w:t>VIII</w:t>
      </w:r>
      <w:r w:rsidRPr="00D4485E">
        <w:rPr>
          <w:rFonts w:ascii="Times New Roman" w:eastAsia="Calibri" w:hAnsi="Times New Roman" w:cs="Times New Roman"/>
          <w:sz w:val="28"/>
          <w:szCs w:val="28"/>
        </w:rPr>
        <w:t xml:space="preserve"> </w:t>
      </w:r>
      <w:r w:rsidR="00614E03" w:rsidRPr="00D4485E">
        <w:rPr>
          <w:rFonts w:ascii="Times New Roman" w:eastAsia="Calibri" w:hAnsi="Times New Roman" w:cs="Times New Roman"/>
          <w:sz w:val="28"/>
          <w:szCs w:val="28"/>
        </w:rPr>
        <w:t>Федерал</w:t>
      </w:r>
      <w:r w:rsidR="00566C57">
        <w:rPr>
          <w:rFonts w:ascii="Times New Roman" w:eastAsia="Calibri" w:hAnsi="Times New Roman" w:cs="Times New Roman"/>
          <w:sz w:val="28"/>
          <w:szCs w:val="28"/>
        </w:rPr>
        <w:t xml:space="preserve">ьного закона от 31 мая 2002 г. </w:t>
      </w:r>
      <w:r w:rsidR="00566C57">
        <w:rPr>
          <w:rFonts w:ascii="Times New Roman" w:eastAsia="Calibri" w:hAnsi="Times New Roman" w:cs="Times New Roman"/>
          <w:sz w:val="28"/>
          <w:szCs w:val="28"/>
        </w:rPr>
        <w:br/>
      </w:r>
      <w:r w:rsidR="00614E03" w:rsidRPr="00D4485E">
        <w:rPr>
          <w:rFonts w:ascii="Times New Roman" w:eastAsia="Calibri" w:hAnsi="Times New Roman" w:cs="Times New Roman"/>
          <w:sz w:val="28"/>
          <w:szCs w:val="28"/>
        </w:rPr>
        <w:t>№ 62-ФЗ</w:t>
      </w:r>
      <w:r w:rsidRPr="00D4485E">
        <w:rPr>
          <w:rFonts w:ascii="Times New Roman" w:eastAsia="Calibri" w:hAnsi="Times New Roman" w:cs="Times New Roman"/>
          <w:sz w:val="28"/>
          <w:szCs w:val="28"/>
        </w:rPr>
        <w:t>.</w:t>
      </w:r>
    </w:p>
    <w:p w14:paraId="39000A0E" w14:textId="753CE1E8" w:rsidR="004C3BAD" w:rsidRPr="00D4485E" w:rsidRDefault="004C3BAD" w:rsidP="004C3BAD">
      <w:pPr>
        <w:spacing w:after="0" w:line="312" w:lineRule="auto"/>
        <w:ind w:firstLine="709"/>
        <w:jc w:val="both"/>
        <w:rPr>
          <w:rFonts w:ascii="Times New Roman" w:eastAsia="Calibri" w:hAnsi="Times New Roman" w:cs="Times New Roman"/>
          <w:sz w:val="28"/>
          <w:szCs w:val="28"/>
        </w:rPr>
      </w:pPr>
      <w:r w:rsidRPr="00D4485E">
        <w:rPr>
          <w:rFonts w:ascii="Times New Roman" w:eastAsia="Calibri" w:hAnsi="Times New Roman" w:cs="Times New Roman"/>
          <w:sz w:val="28"/>
          <w:szCs w:val="28"/>
        </w:rPr>
        <w:t>В 2021 г</w:t>
      </w:r>
      <w:r w:rsidR="00A7474D">
        <w:rPr>
          <w:rFonts w:ascii="Times New Roman" w:eastAsia="Calibri" w:hAnsi="Times New Roman" w:cs="Times New Roman"/>
          <w:sz w:val="28"/>
          <w:szCs w:val="28"/>
        </w:rPr>
        <w:t>.</w:t>
      </w:r>
      <w:r w:rsidRPr="00D4485E">
        <w:rPr>
          <w:rFonts w:ascii="Times New Roman" w:eastAsia="Calibri" w:hAnsi="Times New Roman" w:cs="Times New Roman"/>
          <w:sz w:val="28"/>
          <w:szCs w:val="28"/>
        </w:rPr>
        <w:t xml:space="preserve"> 428,9 тыс. дет</w:t>
      </w:r>
      <w:r w:rsidR="00EC6141">
        <w:rPr>
          <w:rFonts w:ascii="Times New Roman" w:eastAsia="Calibri" w:hAnsi="Times New Roman" w:cs="Times New Roman"/>
          <w:sz w:val="28"/>
          <w:szCs w:val="28"/>
        </w:rPr>
        <w:t>ям</w:t>
      </w:r>
      <w:r w:rsidRPr="00D4485E">
        <w:rPr>
          <w:rFonts w:ascii="Times New Roman" w:eastAsia="Calibri" w:hAnsi="Times New Roman" w:cs="Times New Roman"/>
          <w:sz w:val="28"/>
          <w:szCs w:val="28"/>
        </w:rPr>
        <w:t xml:space="preserve"> </w:t>
      </w:r>
      <w:r w:rsidR="00EC6141">
        <w:rPr>
          <w:rFonts w:ascii="Times New Roman" w:eastAsia="Calibri" w:hAnsi="Times New Roman" w:cs="Times New Roman"/>
          <w:sz w:val="28"/>
          <w:szCs w:val="28"/>
        </w:rPr>
        <w:t>удостоверено</w:t>
      </w:r>
      <w:r w:rsidRPr="00D4485E">
        <w:rPr>
          <w:rFonts w:ascii="Times New Roman" w:eastAsia="Calibri" w:hAnsi="Times New Roman" w:cs="Times New Roman"/>
          <w:sz w:val="28"/>
          <w:szCs w:val="28"/>
        </w:rPr>
        <w:t xml:space="preserve"> гражданство Российской Федерации по рождению (2020 г</w:t>
      </w:r>
      <w:r w:rsidR="00614E03" w:rsidRPr="00D4485E">
        <w:rPr>
          <w:rFonts w:ascii="Times New Roman" w:eastAsia="Calibri" w:hAnsi="Times New Roman" w:cs="Times New Roman"/>
          <w:sz w:val="28"/>
          <w:szCs w:val="28"/>
        </w:rPr>
        <w:t>.</w:t>
      </w:r>
      <w:r w:rsidRPr="00D4485E">
        <w:rPr>
          <w:rFonts w:ascii="Times New Roman" w:eastAsia="Calibri" w:hAnsi="Times New Roman" w:cs="Times New Roman"/>
          <w:sz w:val="28"/>
          <w:szCs w:val="28"/>
        </w:rPr>
        <w:t xml:space="preserve"> – 474,8 тыс.; 2019 г</w:t>
      </w:r>
      <w:r w:rsidR="00614E03" w:rsidRPr="00D4485E">
        <w:rPr>
          <w:rFonts w:ascii="Times New Roman" w:eastAsia="Calibri" w:hAnsi="Times New Roman" w:cs="Times New Roman"/>
          <w:sz w:val="28"/>
          <w:szCs w:val="28"/>
        </w:rPr>
        <w:t>.</w:t>
      </w:r>
      <w:r w:rsidRPr="00D4485E">
        <w:rPr>
          <w:rFonts w:ascii="Times New Roman" w:eastAsia="Calibri" w:hAnsi="Times New Roman" w:cs="Times New Roman"/>
          <w:sz w:val="28"/>
          <w:szCs w:val="28"/>
        </w:rPr>
        <w:t xml:space="preserve"> – 603,1 тыс.). Кроме того, гражданство Российской Федерации оформлено 66 детям, родители котор</w:t>
      </w:r>
      <w:r w:rsidR="00A7474D">
        <w:rPr>
          <w:rFonts w:ascii="Times New Roman" w:eastAsia="Calibri" w:hAnsi="Times New Roman" w:cs="Times New Roman"/>
          <w:sz w:val="28"/>
          <w:szCs w:val="28"/>
        </w:rPr>
        <w:t>ых</w:t>
      </w:r>
      <w:r w:rsidR="00185E22">
        <w:rPr>
          <w:rFonts w:ascii="Times New Roman" w:eastAsia="Calibri" w:hAnsi="Times New Roman" w:cs="Times New Roman"/>
          <w:sz w:val="28"/>
          <w:szCs w:val="28"/>
        </w:rPr>
        <w:t xml:space="preserve"> не</w:t>
      </w:r>
      <w:r w:rsidRPr="00D4485E">
        <w:rPr>
          <w:rFonts w:ascii="Times New Roman" w:eastAsia="Calibri" w:hAnsi="Times New Roman" w:cs="Times New Roman"/>
          <w:sz w:val="28"/>
          <w:szCs w:val="28"/>
        </w:rPr>
        <w:t xml:space="preserve">известны </w:t>
      </w:r>
      <w:r w:rsidR="00566C57">
        <w:rPr>
          <w:rFonts w:ascii="Times New Roman" w:eastAsia="Calibri" w:hAnsi="Times New Roman" w:cs="Times New Roman"/>
          <w:sz w:val="28"/>
          <w:szCs w:val="28"/>
        </w:rPr>
        <w:br/>
      </w:r>
      <w:r w:rsidRPr="00D4485E">
        <w:rPr>
          <w:rFonts w:ascii="Times New Roman" w:eastAsia="Calibri" w:hAnsi="Times New Roman" w:cs="Times New Roman"/>
          <w:sz w:val="28"/>
          <w:szCs w:val="28"/>
        </w:rPr>
        <w:t>(2020 г</w:t>
      </w:r>
      <w:r w:rsidR="00614E03" w:rsidRPr="00D4485E">
        <w:rPr>
          <w:rFonts w:ascii="Times New Roman" w:eastAsia="Calibri" w:hAnsi="Times New Roman" w:cs="Times New Roman"/>
          <w:sz w:val="28"/>
          <w:szCs w:val="28"/>
        </w:rPr>
        <w:t>.</w:t>
      </w:r>
      <w:r w:rsidRPr="00D4485E">
        <w:rPr>
          <w:rFonts w:ascii="Times New Roman" w:eastAsia="Calibri" w:hAnsi="Times New Roman" w:cs="Times New Roman"/>
          <w:sz w:val="28"/>
          <w:szCs w:val="28"/>
        </w:rPr>
        <w:t xml:space="preserve"> – 83; 2019 г</w:t>
      </w:r>
      <w:r w:rsidR="00614E03" w:rsidRPr="00D4485E">
        <w:rPr>
          <w:rFonts w:ascii="Times New Roman" w:eastAsia="Calibri" w:hAnsi="Times New Roman" w:cs="Times New Roman"/>
          <w:sz w:val="28"/>
          <w:szCs w:val="28"/>
        </w:rPr>
        <w:t>.</w:t>
      </w:r>
      <w:r w:rsidRPr="00D4485E">
        <w:rPr>
          <w:rFonts w:ascii="Times New Roman" w:eastAsia="Calibri" w:hAnsi="Times New Roman" w:cs="Times New Roman"/>
          <w:sz w:val="28"/>
          <w:szCs w:val="28"/>
        </w:rPr>
        <w:t xml:space="preserve"> – 222), 45 детям, усыновленным (удочеренным) гражданином Российской Федерации или супругами, являющимися гражданами Российской Федерации, или супругами, один из которых является гражданином Российской Федерации, а другой – лицом без гражданства либо при отсутствии в течение года со </w:t>
      </w:r>
      <w:r w:rsidRPr="00D4485E">
        <w:rPr>
          <w:rFonts w:ascii="Times New Roman" w:eastAsia="Calibri" w:hAnsi="Times New Roman" w:cs="Times New Roman"/>
          <w:iCs/>
          <w:sz w:val="28"/>
          <w:szCs w:val="28"/>
        </w:rPr>
        <w:t>дня усыновления (удочерения) заявления обоих усыновителей</w:t>
      </w:r>
      <w:r w:rsidRPr="00D4485E">
        <w:rPr>
          <w:rFonts w:ascii="Times New Roman" w:eastAsia="Calibri" w:hAnsi="Times New Roman" w:cs="Times New Roman"/>
          <w:sz w:val="28"/>
          <w:szCs w:val="28"/>
        </w:rPr>
        <w:t xml:space="preserve"> (20</w:t>
      </w:r>
      <w:r w:rsidR="00614E03" w:rsidRPr="00D4485E">
        <w:rPr>
          <w:rFonts w:ascii="Times New Roman" w:eastAsia="Calibri" w:hAnsi="Times New Roman" w:cs="Times New Roman"/>
          <w:sz w:val="28"/>
          <w:szCs w:val="28"/>
        </w:rPr>
        <w:t>20 г.</w:t>
      </w:r>
      <w:r w:rsidRPr="00D4485E">
        <w:rPr>
          <w:rFonts w:ascii="Times New Roman" w:eastAsia="Calibri" w:hAnsi="Times New Roman" w:cs="Times New Roman"/>
          <w:sz w:val="28"/>
          <w:szCs w:val="28"/>
        </w:rPr>
        <w:t xml:space="preserve"> – 36; </w:t>
      </w:r>
      <w:r w:rsidR="00566C57">
        <w:rPr>
          <w:rFonts w:ascii="Times New Roman" w:eastAsia="Calibri" w:hAnsi="Times New Roman" w:cs="Times New Roman"/>
          <w:sz w:val="28"/>
          <w:szCs w:val="28"/>
        </w:rPr>
        <w:br/>
      </w:r>
      <w:r w:rsidRPr="00D4485E">
        <w:rPr>
          <w:rFonts w:ascii="Times New Roman" w:eastAsia="Calibri" w:hAnsi="Times New Roman" w:cs="Times New Roman"/>
          <w:sz w:val="28"/>
          <w:szCs w:val="28"/>
        </w:rPr>
        <w:t xml:space="preserve">2019 </w:t>
      </w:r>
      <w:r w:rsidR="00614E03" w:rsidRPr="00D4485E">
        <w:rPr>
          <w:rFonts w:ascii="Times New Roman" w:eastAsia="Calibri" w:hAnsi="Times New Roman" w:cs="Times New Roman"/>
          <w:sz w:val="28"/>
          <w:szCs w:val="28"/>
        </w:rPr>
        <w:t>г.</w:t>
      </w:r>
      <w:r w:rsidRPr="00D4485E">
        <w:rPr>
          <w:rFonts w:ascii="Times New Roman" w:eastAsia="Calibri" w:hAnsi="Times New Roman" w:cs="Times New Roman"/>
          <w:sz w:val="28"/>
          <w:szCs w:val="28"/>
        </w:rPr>
        <w:t xml:space="preserve"> – 64).</w:t>
      </w:r>
    </w:p>
    <w:p w14:paraId="518E8FFB" w14:textId="6D4528C7" w:rsidR="004C3BAD" w:rsidRPr="00D4485E" w:rsidRDefault="004C3BAD" w:rsidP="004C3BAD">
      <w:pPr>
        <w:spacing w:after="0" w:line="312" w:lineRule="auto"/>
        <w:ind w:firstLine="709"/>
        <w:jc w:val="both"/>
        <w:rPr>
          <w:rFonts w:ascii="Times New Roman" w:eastAsia="Calibri" w:hAnsi="Times New Roman" w:cs="Times New Roman"/>
          <w:sz w:val="28"/>
          <w:szCs w:val="28"/>
        </w:rPr>
      </w:pPr>
      <w:r w:rsidRPr="00D4485E">
        <w:rPr>
          <w:rFonts w:ascii="Times New Roman" w:eastAsia="Calibri" w:hAnsi="Times New Roman" w:cs="Times New Roman"/>
          <w:sz w:val="28"/>
          <w:szCs w:val="28"/>
        </w:rPr>
        <w:t>В 2021 г</w:t>
      </w:r>
      <w:r w:rsidR="00185E22">
        <w:rPr>
          <w:rFonts w:ascii="Times New Roman" w:eastAsia="Calibri" w:hAnsi="Times New Roman" w:cs="Times New Roman"/>
          <w:sz w:val="28"/>
          <w:szCs w:val="28"/>
        </w:rPr>
        <w:t>.</w:t>
      </w:r>
      <w:r w:rsidRPr="00D4485E">
        <w:rPr>
          <w:rFonts w:ascii="Times New Roman" w:eastAsia="Calibri" w:hAnsi="Times New Roman" w:cs="Times New Roman"/>
          <w:sz w:val="28"/>
          <w:szCs w:val="28"/>
        </w:rPr>
        <w:t xml:space="preserve"> в отношении 10,4 тыс. детей – граждан Российской Федерации поданы уведомления о наличии у них иного гражданства (</w:t>
      </w:r>
      <w:r w:rsidR="00614E03" w:rsidRPr="00D4485E">
        <w:rPr>
          <w:rFonts w:ascii="Times New Roman" w:eastAsia="Calibri" w:hAnsi="Times New Roman" w:cs="Times New Roman"/>
          <w:sz w:val="28"/>
          <w:szCs w:val="28"/>
        </w:rPr>
        <w:t xml:space="preserve">2021 г. – </w:t>
      </w:r>
      <w:r w:rsidRPr="00D4485E">
        <w:rPr>
          <w:rFonts w:ascii="Times New Roman" w:eastAsia="Calibri" w:hAnsi="Times New Roman" w:cs="Times New Roman"/>
          <w:sz w:val="28"/>
          <w:szCs w:val="28"/>
        </w:rPr>
        <w:t xml:space="preserve">6,4 тыс.; 2020 </w:t>
      </w:r>
      <w:r w:rsidR="00614E03" w:rsidRPr="00D4485E">
        <w:rPr>
          <w:rFonts w:ascii="Times New Roman" w:eastAsia="Calibri" w:hAnsi="Times New Roman" w:cs="Times New Roman"/>
          <w:sz w:val="28"/>
          <w:szCs w:val="28"/>
        </w:rPr>
        <w:t>г.</w:t>
      </w:r>
      <w:r w:rsidRPr="00D4485E">
        <w:rPr>
          <w:rFonts w:ascii="Times New Roman" w:eastAsia="Calibri" w:hAnsi="Times New Roman" w:cs="Times New Roman"/>
          <w:sz w:val="28"/>
          <w:szCs w:val="28"/>
        </w:rPr>
        <w:t xml:space="preserve"> – 3,7 тыс.; 2019 г</w:t>
      </w:r>
      <w:r w:rsidR="00614E03" w:rsidRPr="00D4485E">
        <w:rPr>
          <w:rFonts w:ascii="Times New Roman" w:eastAsia="Calibri" w:hAnsi="Times New Roman" w:cs="Times New Roman"/>
          <w:sz w:val="28"/>
          <w:szCs w:val="28"/>
        </w:rPr>
        <w:t>.</w:t>
      </w:r>
      <w:r w:rsidRPr="00D4485E">
        <w:rPr>
          <w:rFonts w:ascii="Times New Roman" w:eastAsia="Calibri" w:hAnsi="Times New Roman" w:cs="Times New Roman"/>
          <w:sz w:val="28"/>
          <w:szCs w:val="28"/>
        </w:rPr>
        <w:t xml:space="preserve"> – 8,5 тыс.) или о наличии документа на право постоянного проживания в иностранном государстве (</w:t>
      </w:r>
      <w:r w:rsidR="00614E03" w:rsidRPr="00D4485E">
        <w:rPr>
          <w:rFonts w:ascii="Times New Roman" w:eastAsia="Calibri" w:hAnsi="Times New Roman" w:cs="Times New Roman"/>
          <w:sz w:val="28"/>
          <w:szCs w:val="28"/>
        </w:rPr>
        <w:t xml:space="preserve">2021 г. – </w:t>
      </w:r>
      <w:r w:rsidRPr="00D4485E">
        <w:rPr>
          <w:rFonts w:ascii="Times New Roman" w:eastAsia="Calibri" w:hAnsi="Times New Roman" w:cs="Times New Roman"/>
          <w:sz w:val="28"/>
          <w:szCs w:val="28"/>
        </w:rPr>
        <w:t>4 тыс.; 2020 г</w:t>
      </w:r>
      <w:r w:rsidR="00614E03" w:rsidRPr="00D4485E">
        <w:rPr>
          <w:rFonts w:ascii="Times New Roman" w:eastAsia="Calibri" w:hAnsi="Times New Roman" w:cs="Times New Roman"/>
          <w:sz w:val="28"/>
          <w:szCs w:val="28"/>
        </w:rPr>
        <w:t>.</w:t>
      </w:r>
      <w:r w:rsidRPr="00D4485E">
        <w:rPr>
          <w:rFonts w:ascii="Times New Roman" w:eastAsia="Calibri" w:hAnsi="Times New Roman" w:cs="Times New Roman"/>
          <w:sz w:val="28"/>
          <w:szCs w:val="28"/>
        </w:rPr>
        <w:t xml:space="preserve"> – 1,5 тыс.; 2019 </w:t>
      </w:r>
      <w:r w:rsidR="00614E03" w:rsidRPr="00D4485E">
        <w:rPr>
          <w:rFonts w:ascii="Times New Roman" w:eastAsia="Calibri" w:hAnsi="Times New Roman" w:cs="Times New Roman"/>
          <w:sz w:val="28"/>
          <w:szCs w:val="28"/>
        </w:rPr>
        <w:t>г.</w:t>
      </w:r>
      <w:r w:rsidRPr="00D4485E">
        <w:rPr>
          <w:rFonts w:ascii="Times New Roman" w:eastAsia="Calibri" w:hAnsi="Times New Roman" w:cs="Times New Roman"/>
          <w:sz w:val="28"/>
          <w:szCs w:val="28"/>
        </w:rPr>
        <w:t xml:space="preserve"> – 2,6 тыс.).</w:t>
      </w:r>
    </w:p>
    <w:p w14:paraId="6536624E" w14:textId="77777777" w:rsidR="004C3BAD" w:rsidRPr="00D4485E" w:rsidRDefault="004C3BAD" w:rsidP="004C3BAD">
      <w:pPr>
        <w:spacing w:after="0" w:line="312" w:lineRule="auto"/>
        <w:ind w:firstLine="709"/>
        <w:jc w:val="both"/>
        <w:rPr>
          <w:rFonts w:ascii="Times New Roman" w:eastAsia="Calibri" w:hAnsi="Times New Roman" w:cs="Times New Roman"/>
          <w:sz w:val="28"/>
          <w:szCs w:val="28"/>
        </w:rPr>
      </w:pPr>
      <w:r w:rsidRPr="00D4485E">
        <w:rPr>
          <w:rFonts w:ascii="Times New Roman" w:eastAsia="Calibri" w:hAnsi="Times New Roman" w:cs="Times New Roman"/>
          <w:sz w:val="28"/>
          <w:szCs w:val="28"/>
        </w:rPr>
        <w:t>Российская Федерация является учас</w:t>
      </w:r>
      <w:r w:rsidR="00614E03" w:rsidRPr="00D4485E">
        <w:rPr>
          <w:rFonts w:ascii="Times New Roman" w:eastAsia="Calibri" w:hAnsi="Times New Roman" w:cs="Times New Roman"/>
          <w:sz w:val="28"/>
          <w:szCs w:val="28"/>
        </w:rPr>
        <w:t>тником Конвенции ООН 1951 г</w:t>
      </w:r>
      <w:r w:rsidR="00185E22">
        <w:rPr>
          <w:rFonts w:ascii="Times New Roman" w:eastAsia="Calibri" w:hAnsi="Times New Roman" w:cs="Times New Roman"/>
          <w:sz w:val="28"/>
          <w:szCs w:val="28"/>
        </w:rPr>
        <w:t>.</w:t>
      </w:r>
      <w:r w:rsidR="00614E03" w:rsidRPr="00D4485E">
        <w:rPr>
          <w:rFonts w:ascii="Times New Roman" w:eastAsia="Calibri" w:hAnsi="Times New Roman" w:cs="Times New Roman"/>
          <w:sz w:val="28"/>
          <w:szCs w:val="28"/>
        </w:rPr>
        <w:t xml:space="preserve"> </w:t>
      </w:r>
      <w:r w:rsidRPr="00D4485E">
        <w:rPr>
          <w:rFonts w:ascii="Times New Roman" w:eastAsia="Calibri" w:hAnsi="Times New Roman" w:cs="Times New Roman"/>
          <w:sz w:val="28"/>
          <w:szCs w:val="28"/>
        </w:rPr>
        <w:t>и Протокола к ней 1967 г</w:t>
      </w:r>
      <w:r w:rsidR="00185E22">
        <w:rPr>
          <w:rFonts w:ascii="Times New Roman" w:eastAsia="Calibri" w:hAnsi="Times New Roman" w:cs="Times New Roman"/>
          <w:sz w:val="28"/>
          <w:szCs w:val="28"/>
        </w:rPr>
        <w:t>.</w:t>
      </w:r>
      <w:r w:rsidRPr="00D4485E">
        <w:rPr>
          <w:rFonts w:ascii="Times New Roman" w:eastAsia="Calibri" w:hAnsi="Times New Roman" w:cs="Times New Roman"/>
          <w:sz w:val="28"/>
          <w:szCs w:val="28"/>
        </w:rPr>
        <w:t>, касающихся статуса беженца, а также целого ряда других международных инструментов в</w:t>
      </w:r>
      <w:r w:rsidR="00614E03" w:rsidRPr="00D4485E">
        <w:rPr>
          <w:rFonts w:ascii="Times New Roman" w:eastAsia="Calibri" w:hAnsi="Times New Roman" w:cs="Times New Roman"/>
          <w:sz w:val="28"/>
          <w:szCs w:val="28"/>
        </w:rPr>
        <w:t xml:space="preserve"> области защиты прав человека. </w:t>
      </w:r>
      <w:r w:rsidRPr="00D4485E">
        <w:rPr>
          <w:rFonts w:ascii="Times New Roman" w:eastAsia="Calibri" w:hAnsi="Times New Roman" w:cs="Times New Roman"/>
          <w:sz w:val="28"/>
          <w:szCs w:val="28"/>
        </w:rPr>
        <w:t>В Российской Федерации создана развитая система законодательства в области защиты беженцев и перемещенных лиц.</w:t>
      </w:r>
    </w:p>
    <w:p w14:paraId="7266272B" w14:textId="77777777" w:rsidR="004C3BAD" w:rsidRPr="00D4485E" w:rsidRDefault="004C3BAD" w:rsidP="004C3BAD">
      <w:pPr>
        <w:spacing w:after="0" w:line="312" w:lineRule="auto"/>
        <w:ind w:firstLine="709"/>
        <w:jc w:val="both"/>
        <w:rPr>
          <w:rFonts w:ascii="Times New Roman" w:eastAsia="Calibri" w:hAnsi="Times New Roman" w:cs="Times New Roman"/>
          <w:sz w:val="28"/>
          <w:szCs w:val="28"/>
        </w:rPr>
      </w:pPr>
      <w:r w:rsidRPr="00D4485E">
        <w:rPr>
          <w:rFonts w:ascii="Times New Roman" w:eastAsia="Calibri" w:hAnsi="Times New Roman" w:cs="Times New Roman"/>
          <w:sz w:val="28"/>
          <w:szCs w:val="28"/>
        </w:rPr>
        <w:t>Вопросы экономических, социальных и</w:t>
      </w:r>
      <w:r w:rsidR="00710531" w:rsidRPr="00D4485E">
        <w:rPr>
          <w:rFonts w:ascii="Times New Roman" w:eastAsia="Calibri" w:hAnsi="Times New Roman" w:cs="Times New Roman"/>
          <w:sz w:val="28"/>
          <w:szCs w:val="28"/>
        </w:rPr>
        <w:t xml:space="preserve"> правовых гарантий защиты прав </w:t>
      </w:r>
      <w:r w:rsidRPr="00D4485E">
        <w:rPr>
          <w:rFonts w:ascii="Times New Roman" w:eastAsia="Calibri" w:hAnsi="Times New Roman" w:cs="Times New Roman"/>
          <w:sz w:val="28"/>
          <w:szCs w:val="28"/>
        </w:rPr>
        <w:t>и законных интересов беженцев ре</w:t>
      </w:r>
      <w:r w:rsidR="00BB689B">
        <w:rPr>
          <w:rFonts w:ascii="Times New Roman" w:eastAsia="Calibri" w:hAnsi="Times New Roman" w:cs="Times New Roman"/>
          <w:sz w:val="28"/>
          <w:szCs w:val="28"/>
        </w:rPr>
        <w:t xml:space="preserve">гулируются Федеральным законом </w:t>
      </w:r>
      <w:r w:rsidRPr="00D4485E">
        <w:rPr>
          <w:rFonts w:ascii="Times New Roman" w:eastAsia="Calibri" w:hAnsi="Times New Roman" w:cs="Times New Roman"/>
          <w:sz w:val="28"/>
          <w:szCs w:val="28"/>
        </w:rPr>
        <w:t>от 19 февраля 2003 г. № 4528-1 «О беженцах».</w:t>
      </w:r>
    </w:p>
    <w:p w14:paraId="53F99ED8" w14:textId="77777777" w:rsidR="004C3BAD" w:rsidRPr="00D4485E" w:rsidRDefault="004C3BAD" w:rsidP="004C3BAD">
      <w:pPr>
        <w:spacing w:after="0" w:line="312" w:lineRule="auto"/>
        <w:ind w:firstLine="709"/>
        <w:jc w:val="both"/>
        <w:rPr>
          <w:rFonts w:ascii="Times New Roman" w:eastAsia="Calibri" w:hAnsi="Times New Roman" w:cs="Times New Roman"/>
          <w:sz w:val="28"/>
          <w:szCs w:val="28"/>
        </w:rPr>
      </w:pPr>
      <w:r w:rsidRPr="00D4485E">
        <w:rPr>
          <w:rFonts w:ascii="Times New Roman" w:eastAsia="Calibri" w:hAnsi="Times New Roman" w:cs="Times New Roman"/>
          <w:sz w:val="28"/>
          <w:szCs w:val="28"/>
          <w:lang w:bidi="ru-RU"/>
        </w:rPr>
        <w:t>Признание беженцем лица, не достиг</w:t>
      </w:r>
      <w:r w:rsidR="00710531" w:rsidRPr="00D4485E">
        <w:rPr>
          <w:rFonts w:ascii="Times New Roman" w:eastAsia="Calibri" w:hAnsi="Times New Roman" w:cs="Times New Roman"/>
          <w:sz w:val="28"/>
          <w:szCs w:val="28"/>
          <w:lang w:bidi="ru-RU"/>
        </w:rPr>
        <w:t xml:space="preserve">шего возраста восемнадцати лет </w:t>
      </w:r>
      <w:r w:rsidRPr="00D4485E">
        <w:rPr>
          <w:rFonts w:ascii="Times New Roman" w:eastAsia="Calibri" w:hAnsi="Times New Roman" w:cs="Times New Roman"/>
          <w:sz w:val="28"/>
          <w:szCs w:val="28"/>
          <w:lang w:bidi="ru-RU"/>
        </w:rPr>
        <w:t>и прибывшего на территорию Российской Федерации без сопровождения родителей или опекунов, либо определение его иного пра</w:t>
      </w:r>
      <w:r w:rsidR="00710531" w:rsidRPr="00D4485E">
        <w:rPr>
          <w:rFonts w:ascii="Times New Roman" w:eastAsia="Calibri" w:hAnsi="Times New Roman" w:cs="Times New Roman"/>
          <w:sz w:val="28"/>
          <w:szCs w:val="28"/>
          <w:lang w:bidi="ru-RU"/>
        </w:rPr>
        <w:t xml:space="preserve">вового положения </w:t>
      </w:r>
      <w:r w:rsidRPr="00D4485E">
        <w:rPr>
          <w:rFonts w:ascii="Times New Roman" w:eastAsia="Calibri" w:hAnsi="Times New Roman" w:cs="Times New Roman"/>
          <w:sz w:val="28"/>
          <w:szCs w:val="28"/>
          <w:lang w:bidi="ru-RU"/>
        </w:rPr>
        <w:t xml:space="preserve">на территории Российской Федерации осуществляется с учетом интересов несовершеннолетнего лица в соответствии с положениями </w:t>
      </w:r>
      <w:r w:rsidR="00710531" w:rsidRPr="00D4485E">
        <w:rPr>
          <w:rFonts w:ascii="Times New Roman" w:eastAsia="Calibri" w:hAnsi="Times New Roman" w:cs="Times New Roman"/>
          <w:sz w:val="28"/>
          <w:szCs w:val="28"/>
          <w:lang w:bidi="ru-RU"/>
        </w:rPr>
        <w:t xml:space="preserve">пункта 5 статьи 3 </w:t>
      </w:r>
      <w:r w:rsidRPr="00D4485E">
        <w:rPr>
          <w:rFonts w:ascii="Times New Roman" w:eastAsia="Calibri" w:hAnsi="Times New Roman" w:cs="Times New Roman"/>
          <w:sz w:val="28"/>
          <w:szCs w:val="28"/>
          <w:lang w:bidi="ru-RU"/>
        </w:rPr>
        <w:t xml:space="preserve">Федерального закона </w:t>
      </w:r>
      <w:r w:rsidR="00710531" w:rsidRPr="00D4485E">
        <w:rPr>
          <w:rFonts w:ascii="Times New Roman" w:eastAsia="Calibri" w:hAnsi="Times New Roman" w:cs="Times New Roman"/>
          <w:sz w:val="28"/>
          <w:szCs w:val="28"/>
          <w:lang w:bidi="ru-RU"/>
        </w:rPr>
        <w:br/>
        <w:t>от 19 февраля 2003 г. № 4528-1</w:t>
      </w:r>
      <w:r w:rsidRPr="00D4485E">
        <w:rPr>
          <w:rFonts w:ascii="Times New Roman" w:eastAsia="Calibri" w:hAnsi="Times New Roman" w:cs="Times New Roman"/>
          <w:sz w:val="28"/>
          <w:szCs w:val="28"/>
          <w:lang w:bidi="ru-RU"/>
        </w:rPr>
        <w:t>.</w:t>
      </w:r>
    </w:p>
    <w:p w14:paraId="2A4FB8FC" w14:textId="77777777" w:rsidR="004C3BAD" w:rsidRPr="00D4485E" w:rsidRDefault="00710531" w:rsidP="004C3BAD">
      <w:pPr>
        <w:spacing w:after="0" w:line="312" w:lineRule="auto"/>
        <w:ind w:firstLine="709"/>
        <w:jc w:val="both"/>
        <w:rPr>
          <w:rFonts w:ascii="Times New Roman" w:eastAsia="Calibri" w:hAnsi="Times New Roman" w:cs="Times New Roman"/>
          <w:sz w:val="28"/>
          <w:szCs w:val="28"/>
          <w:lang w:bidi="ru-RU"/>
        </w:rPr>
      </w:pPr>
      <w:r w:rsidRPr="00D4485E">
        <w:rPr>
          <w:rFonts w:ascii="Times New Roman" w:eastAsia="Calibri" w:hAnsi="Times New Roman" w:cs="Times New Roman"/>
          <w:sz w:val="28"/>
          <w:szCs w:val="28"/>
          <w:lang w:bidi="ru-RU"/>
        </w:rPr>
        <w:t xml:space="preserve">Согласно подпунктам 7 и 11 пункта 1 статьи 8 Федерального закона </w:t>
      </w:r>
      <w:r w:rsidRPr="00D4485E">
        <w:rPr>
          <w:rFonts w:ascii="Times New Roman" w:eastAsia="Calibri" w:hAnsi="Times New Roman" w:cs="Times New Roman"/>
          <w:sz w:val="28"/>
          <w:szCs w:val="28"/>
          <w:lang w:bidi="ru-RU"/>
        </w:rPr>
        <w:br/>
        <w:t>от 19 февраля 2003 г. № 4528-1 л</w:t>
      </w:r>
      <w:r w:rsidR="004C3BAD" w:rsidRPr="00D4485E">
        <w:rPr>
          <w:rFonts w:ascii="Times New Roman" w:eastAsia="Calibri" w:hAnsi="Times New Roman" w:cs="Times New Roman"/>
          <w:sz w:val="28"/>
          <w:szCs w:val="28"/>
          <w:lang w:bidi="ru-RU"/>
        </w:rPr>
        <w:t>ица, признанные беженцами, и прибывшие с ним члены его семьи имеют право на</w:t>
      </w:r>
      <w:r w:rsidRPr="00D4485E">
        <w:rPr>
          <w:rFonts w:ascii="Times New Roman" w:eastAsia="Calibri" w:hAnsi="Times New Roman" w:cs="Times New Roman"/>
          <w:sz w:val="28"/>
          <w:szCs w:val="28"/>
        </w:rPr>
        <w:t> </w:t>
      </w:r>
      <w:r w:rsidR="004C3BAD" w:rsidRPr="00D4485E">
        <w:rPr>
          <w:rFonts w:ascii="Times New Roman" w:eastAsia="Calibri" w:hAnsi="Times New Roman" w:cs="Times New Roman"/>
          <w:sz w:val="28"/>
          <w:szCs w:val="28"/>
          <w:lang w:bidi="ru-RU"/>
        </w:rPr>
        <w:t>медицинскую и лекарственную помощь, социальную защиту, включая социальное обеспечение, наравне с гражданами Российской Федерации, в том числе на получение содействия в устройстве детей в государственные или муниципальные дошкольные образовательные организации, а также общеобразовательные, профессиональные и организации высшего образования наравне с гражданами Российской Федерации.</w:t>
      </w:r>
    </w:p>
    <w:p w14:paraId="4F786055" w14:textId="77777777" w:rsidR="004C3BAD" w:rsidRPr="00D4485E" w:rsidRDefault="004C3BAD" w:rsidP="004C3BAD">
      <w:pPr>
        <w:spacing w:after="0" w:line="312" w:lineRule="auto"/>
        <w:ind w:firstLine="709"/>
        <w:jc w:val="both"/>
        <w:rPr>
          <w:rFonts w:ascii="Times New Roman" w:eastAsia="Calibri" w:hAnsi="Times New Roman" w:cs="Times New Roman"/>
          <w:sz w:val="28"/>
          <w:szCs w:val="28"/>
        </w:rPr>
      </w:pPr>
      <w:r w:rsidRPr="00D4485E">
        <w:rPr>
          <w:rFonts w:ascii="Times New Roman" w:eastAsia="Calibri" w:hAnsi="Times New Roman" w:cs="Times New Roman"/>
          <w:sz w:val="28"/>
          <w:szCs w:val="28"/>
        </w:rPr>
        <w:t>Всего за 2021 г</w:t>
      </w:r>
      <w:r w:rsidR="00BC5B80">
        <w:rPr>
          <w:rFonts w:ascii="Times New Roman" w:eastAsia="Calibri" w:hAnsi="Times New Roman" w:cs="Times New Roman"/>
          <w:sz w:val="28"/>
          <w:szCs w:val="28"/>
        </w:rPr>
        <w:t>.</w:t>
      </w:r>
      <w:r w:rsidRPr="00D4485E">
        <w:rPr>
          <w:rFonts w:ascii="Times New Roman" w:eastAsia="Calibri" w:hAnsi="Times New Roman" w:cs="Times New Roman"/>
          <w:sz w:val="28"/>
          <w:szCs w:val="28"/>
        </w:rPr>
        <w:t xml:space="preserve"> с ходатайствами о признании беженцем на территории Российской Федерации обратилось 145 человек, количество несовершеннолетних детей, включенных в ходатайства, </w:t>
      </w:r>
      <w:r w:rsidR="0099232F" w:rsidRPr="00D4485E">
        <w:rPr>
          <w:rFonts w:ascii="Times New Roman" w:eastAsia="Calibri" w:hAnsi="Times New Roman" w:cs="Times New Roman"/>
          <w:sz w:val="28"/>
          <w:szCs w:val="28"/>
        </w:rPr>
        <w:t>составило</w:t>
      </w:r>
      <w:r w:rsidRPr="00D4485E">
        <w:rPr>
          <w:rFonts w:ascii="Times New Roman" w:eastAsia="Calibri" w:hAnsi="Times New Roman" w:cs="Times New Roman"/>
          <w:sz w:val="28"/>
          <w:szCs w:val="28"/>
        </w:rPr>
        <w:t xml:space="preserve"> 19 </w:t>
      </w:r>
      <w:r w:rsidR="0099232F" w:rsidRPr="00D4485E">
        <w:rPr>
          <w:rFonts w:ascii="Times New Roman" w:eastAsia="Calibri" w:hAnsi="Times New Roman" w:cs="Times New Roman"/>
          <w:sz w:val="28"/>
          <w:szCs w:val="28"/>
        </w:rPr>
        <w:t xml:space="preserve">человек </w:t>
      </w:r>
      <w:r w:rsidRPr="00D4485E">
        <w:rPr>
          <w:rFonts w:ascii="Times New Roman" w:eastAsia="Calibri" w:hAnsi="Times New Roman" w:cs="Times New Roman"/>
          <w:sz w:val="28"/>
          <w:szCs w:val="28"/>
        </w:rPr>
        <w:t>(2020 г</w:t>
      </w:r>
      <w:r w:rsidR="0099232F" w:rsidRPr="00D4485E">
        <w:rPr>
          <w:rFonts w:ascii="Times New Roman" w:eastAsia="Calibri" w:hAnsi="Times New Roman" w:cs="Times New Roman"/>
          <w:sz w:val="28"/>
          <w:szCs w:val="28"/>
        </w:rPr>
        <w:t>.</w:t>
      </w:r>
      <w:r w:rsidRPr="00D4485E">
        <w:rPr>
          <w:rFonts w:ascii="Times New Roman" w:eastAsia="Calibri" w:hAnsi="Times New Roman" w:cs="Times New Roman"/>
          <w:sz w:val="28"/>
          <w:szCs w:val="28"/>
        </w:rPr>
        <w:t xml:space="preserve"> – 43; 2019 г</w:t>
      </w:r>
      <w:r w:rsidR="0099232F" w:rsidRPr="00D4485E">
        <w:rPr>
          <w:rFonts w:ascii="Times New Roman" w:eastAsia="Calibri" w:hAnsi="Times New Roman" w:cs="Times New Roman"/>
          <w:sz w:val="28"/>
          <w:szCs w:val="28"/>
        </w:rPr>
        <w:t>.</w:t>
      </w:r>
      <w:r w:rsidRPr="00D4485E">
        <w:rPr>
          <w:rFonts w:ascii="Times New Roman" w:eastAsia="Calibri" w:hAnsi="Times New Roman" w:cs="Times New Roman"/>
          <w:sz w:val="28"/>
          <w:szCs w:val="28"/>
        </w:rPr>
        <w:t xml:space="preserve"> – 48).</w:t>
      </w:r>
    </w:p>
    <w:p w14:paraId="58146CFA" w14:textId="615A6978" w:rsidR="004C3BAD" w:rsidRPr="00D4485E" w:rsidRDefault="004C3BAD" w:rsidP="004C3BAD">
      <w:pPr>
        <w:spacing w:after="0" w:line="312" w:lineRule="auto"/>
        <w:ind w:firstLine="709"/>
        <w:jc w:val="both"/>
        <w:rPr>
          <w:rFonts w:ascii="Times New Roman" w:eastAsia="Calibri" w:hAnsi="Times New Roman" w:cs="Times New Roman"/>
          <w:sz w:val="28"/>
          <w:szCs w:val="28"/>
        </w:rPr>
      </w:pPr>
      <w:r w:rsidRPr="00D4485E">
        <w:rPr>
          <w:rFonts w:ascii="Times New Roman" w:eastAsia="Calibri" w:hAnsi="Times New Roman" w:cs="Times New Roman"/>
          <w:sz w:val="28"/>
          <w:szCs w:val="28"/>
        </w:rPr>
        <w:t>С заявлениями о предоставлении временного убежища на территории Российской Федерации обратилось 4,7 тыс. чел</w:t>
      </w:r>
      <w:r w:rsidR="0099232F" w:rsidRPr="00D4485E">
        <w:rPr>
          <w:rFonts w:ascii="Times New Roman" w:eastAsia="Calibri" w:hAnsi="Times New Roman" w:cs="Times New Roman"/>
          <w:sz w:val="28"/>
          <w:szCs w:val="28"/>
        </w:rPr>
        <w:t>овек</w:t>
      </w:r>
      <w:r w:rsidRPr="00D4485E">
        <w:rPr>
          <w:rFonts w:ascii="Times New Roman" w:eastAsia="Calibri" w:hAnsi="Times New Roman" w:cs="Times New Roman"/>
          <w:sz w:val="28"/>
          <w:szCs w:val="28"/>
        </w:rPr>
        <w:t>, количество несовершеннолетних детей, включенных в заявления, – 617 человек (2020 г</w:t>
      </w:r>
      <w:r w:rsidR="00577022" w:rsidRPr="00D4485E">
        <w:rPr>
          <w:rFonts w:ascii="Times New Roman" w:eastAsia="Calibri" w:hAnsi="Times New Roman" w:cs="Times New Roman"/>
          <w:sz w:val="28"/>
          <w:szCs w:val="28"/>
        </w:rPr>
        <w:t>.</w:t>
      </w:r>
      <w:r w:rsidRPr="00D4485E">
        <w:rPr>
          <w:rFonts w:ascii="Times New Roman" w:eastAsia="Calibri" w:hAnsi="Times New Roman" w:cs="Times New Roman"/>
          <w:sz w:val="28"/>
          <w:szCs w:val="28"/>
        </w:rPr>
        <w:t xml:space="preserve"> – 878</w:t>
      </w:r>
      <w:r w:rsidR="00577022" w:rsidRPr="00D4485E">
        <w:rPr>
          <w:rFonts w:ascii="Times New Roman" w:eastAsia="Calibri" w:hAnsi="Times New Roman" w:cs="Times New Roman"/>
          <w:sz w:val="28"/>
          <w:szCs w:val="28"/>
        </w:rPr>
        <w:t xml:space="preserve"> несовершеннолетних</w:t>
      </w:r>
      <w:r w:rsidRPr="00D4485E">
        <w:rPr>
          <w:rFonts w:ascii="Times New Roman" w:eastAsia="Calibri" w:hAnsi="Times New Roman" w:cs="Times New Roman"/>
          <w:sz w:val="28"/>
          <w:szCs w:val="28"/>
        </w:rPr>
        <w:t>; 2019 г</w:t>
      </w:r>
      <w:r w:rsidR="00577022" w:rsidRPr="00D4485E">
        <w:rPr>
          <w:rFonts w:ascii="Times New Roman" w:eastAsia="Calibri" w:hAnsi="Times New Roman" w:cs="Times New Roman"/>
          <w:sz w:val="28"/>
          <w:szCs w:val="28"/>
        </w:rPr>
        <w:t>.</w:t>
      </w:r>
      <w:r w:rsidRPr="00D4485E">
        <w:rPr>
          <w:rFonts w:ascii="Times New Roman" w:eastAsia="Calibri" w:hAnsi="Times New Roman" w:cs="Times New Roman"/>
          <w:sz w:val="28"/>
          <w:szCs w:val="28"/>
        </w:rPr>
        <w:t xml:space="preserve"> – 1,4 тыс.</w:t>
      </w:r>
      <w:r w:rsidR="00577022" w:rsidRPr="00D4485E">
        <w:rPr>
          <w:rFonts w:ascii="Times New Roman" w:eastAsia="Calibri" w:hAnsi="Times New Roman" w:cs="Times New Roman"/>
          <w:sz w:val="28"/>
          <w:szCs w:val="28"/>
        </w:rPr>
        <w:t xml:space="preserve"> несовершеннолетних</w:t>
      </w:r>
      <w:r w:rsidRPr="00D4485E">
        <w:rPr>
          <w:rFonts w:ascii="Times New Roman" w:eastAsia="Calibri" w:hAnsi="Times New Roman" w:cs="Times New Roman"/>
          <w:sz w:val="28"/>
          <w:szCs w:val="28"/>
        </w:rPr>
        <w:t xml:space="preserve">). Также с указанным заявлением обратился </w:t>
      </w:r>
      <w:r w:rsidR="00135082">
        <w:rPr>
          <w:rFonts w:ascii="Times New Roman" w:eastAsia="Calibri" w:hAnsi="Times New Roman" w:cs="Times New Roman"/>
          <w:sz w:val="28"/>
          <w:szCs w:val="28"/>
        </w:rPr>
        <w:br/>
      </w:r>
      <w:r w:rsidR="00577022" w:rsidRPr="00D4485E">
        <w:rPr>
          <w:rFonts w:ascii="Times New Roman" w:eastAsia="Calibri" w:hAnsi="Times New Roman" w:cs="Times New Roman"/>
          <w:sz w:val="28"/>
          <w:szCs w:val="28"/>
        </w:rPr>
        <w:t>1</w:t>
      </w:r>
      <w:r w:rsidR="00733971">
        <w:rPr>
          <w:rFonts w:ascii="Times New Roman" w:eastAsia="Calibri" w:hAnsi="Times New Roman" w:cs="Times New Roman"/>
          <w:sz w:val="28"/>
          <w:szCs w:val="28"/>
        </w:rPr>
        <w:t xml:space="preserve"> </w:t>
      </w:r>
      <w:r w:rsidRPr="00D4485E">
        <w:rPr>
          <w:rFonts w:ascii="Times New Roman" w:eastAsia="Calibri" w:hAnsi="Times New Roman" w:cs="Times New Roman"/>
          <w:sz w:val="28"/>
          <w:szCs w:val="28"/>
        </w:rPr>
        <w:t>несовершеннолетний, прибывший на территорию Российской Федерации без сопровождения родителей и опекунов (2020 г</w:t>
      </w:r>
      <w:r w:rsidR="00577022" w:rsidRPr="00D4485E">
        <w:rPr>
          <w:rFonts w:ascii="Times New Roman" w:eastAsia="Calibri" w:hAnsi="Times New Roman" w:cs="Times New Roman"/>
          <w:sz w:val="28"/>
          <w:szCs w:val="28"/>
        </w:rPr>
        <w:t>.</w:t>
      </w:r>
      <w:r w:rsidRPr="00D4485E">
        <w:rPr>
          <w:rFonts w:ascii="Times New Roman" w:eastAsia="Calibri" w:hAnsi="Times New Roman" w:cs="Times New Roman"/>
          <w:sz w:val="28"/>
          <w:szCs w:val="28"/>
        </w:rPr>
        <w:t xml:space="preserve"> – 4; 2019 г</w:t>
      </w:r>
      <w:r w:rsidR="00577022" w:rsidRPr="00D4485E">
        <w:rPr>
          <w:rFonts w:ascii="Times New Roman" w:eastAsia="Calibri" w:hAnsi="Times New Roman" w:cs="Times New Roman"/>
          <w:sz w:val="28"/>
          <w:szCs w:val="28"/>
        </w:rPr>
        <w:t>.</w:t>
      </w:r>
      <w:r w:rsidRPr="00D4485E">
        <w:rPr>
          <w:rFonts w:ascii="Times New Roman" w:eastAsia="Calibri" w:hAnsi="Times New Roman" w:cs="Times New Roman"/>
          <w:sz w:val="28"/>
          <w:szCs w:val="28"/>
        </w:rPr>
        <w:t xml:space="preserve"> – 0).</w:t>
      </w:r>
    </w:p>
    <w:p w14:paraId="22A59354" w14:textId="77777777" w:rsidR="004C3BAD" w:rsidRPr="00D4485E" w:rsidRDefault="004C3BAD" w:rsidP="004C3BAD">
      <w:pPr>
        <w:spacing w:after="0" w:line="312" w:lineRule="auto"/>
        <w:ind w:firstLine="709"/>
        <w:jc w:val="both"/>
        <w:rPr>
          <w:rFonts w:ascii="Times New Roman" w:eastAsia="Calibri" w:hAnsi="Times New Roman" w:cs="Times New Roman"/>
          <w:sz w:val="28"/>
          <w:szCs w:val="28"/>
        </w:rPr>
      </w:pPr>
      <w:r w:rsidRPr="00D4485E">
        <w:rPr>
          <w:rFonts w:ascii="Times New Roman" w:eastAsia="Calibri" w:hAnsi="Times New Roman" w:cs="Times New Roman"/>
          <w:sz w:val="28"/>
          <w:szCs w:val="28"/>
        </w:rPr>
        <w:t>По состоянию на 1 января 2022 г</w:t>
      </w:r>
      <w:r w:rsidR="00997977">
        <w:rPr>
          <w:rFonts w:ascii="Times New Roman" w:eastAsia="Calibri" w:hAnsi="Times New Roman" w:cs="Times New Roman"/>
          <w:sz w:val="28"/>
          <w:szCs w:val="28"/>
        </w:rPr>
        <w:t>.</w:t>
      </w:r>
      <w:r w:rsidRPr="00D4485E">
        <w:rPr>
          <w:rFonts w:ascii="Times New Roman" w:eastAsia="Calibri" w:hAnsi="Times New Roman" w:cs="Times New Roman"/>
          <w:sz w:val="28"/>
          <w:szCs w:val="28"/>
        </w:rPr>
        <w:t xml:space="preserve"> на учете состоял 331 человек, имеющий статус беженца на территории Российской Федерации, 75 из которых дети </w:t>
      </w:r>
      <w:r w:rsidR="00577022" w:rsidRPr="00D4485E">
        <w:rPr>
          <w:rFonts w:ascii="Times New Roman" w:eastAsia="Calibri" w:hAnsi="Times New Roman" w:cs="Times New Roman"/>
          <w:sz w:val="28"/>
          <w:szCs w:val="28"/>
        </w:rPr>
        <w:br/>
      </w:r>
      <w:r w:rsidRPr="00D4485E">
        <w:rPr>
          <w:rFonts w:ascii="Times New Roman" w:eastAsia="Calibri" w:hAnsi="Times New Roman" w:cs="Times New Roman"/>
          <w:sz w:val="28"/>
          <w:szCs w:val="28"/>
        </w:rPr>
        <w:t>(2020 г</w:t>
      </w:r>
      <w:r w:rsidR="00577022" w:rsidRPr="00D4485E">
        <w:rPr>
          <w:rFonts w:ascii="Times New Roman" w:eastAsia="Calibri" w:hAnsi="Times New Roman" w:cs="Times New Roman"/>
          <w:sz w:val="28"/>
          <w:szCs w:val="28"/>
        </w:rPr>
        <w:t>.</w:t>
      </w:r>
      <w:r w:rsidRPr="00D4485E">
        <w:rPr>
          <w:rFonts w:ascii="Times New Roman" w:eastAsia="Calibri" w:hAnsi="Times New Roman" w:cs="Times New Roman"/>
          <w:sz w:val="28"/>
          <w:szCs w:val="28"/>
        </w:rPr>
        <w:t xml:space="preserve"> – 106</w:t>
      </w:r>
      <w:r w:rsidR="00577022" w:rsidRPr="00D4485E">
        <w:rPr>
          <w:rFonts w:ascii="Times New Roman" w:eastAsia="Calibri" w:hAnsi="Times New Roman" w:cs="Times New Roman"/>
          <w:sz w:val="28"/>
          <w:szCs w:val="28"/>
        </w:rPr>
        <w:t xml:space="preserve"> детей</w:t>
      </w:r>
      <w:r w:rsidRPr="00D4485E">
        <w:rPr>
          <w:rFonts w:ascii="Times New Roman" w:eastAsia="Calibri" w:hAnsi="Times New Roman" w:cs="Times New Roman"/>
          <w:sz w:val="28"/>
          <w:szCs w:val="28"/>
        </w:rPr>
        <w:t>; 2019 г</w:t>
      </w:r>
      <w:r w:rsidR="00577022" w:rsidRPr="00D4485E">
        <w:rPr>
          <w:rFonts w:ascii="Times New Roman" w:eastAsia="Calibri" w:hAnsi="Times New Roman" w:cs="Times New Roman"/>
          <w:sz w:val="28"/>
          <w:szCs w:val="28"/>
        </w:rPr>
        <w:t>.</w:t>
      </w:r>
      <w:r w:rsidRPr="00D4485E">
        <w:rPr>
          <w:rFonts w:ascii="Times New Roman" w:eastAsia="Calibri" w:hAnsi="Times New Roman" w:cs="Times New Roman"/>
          <w:sz w:val="28"/>
          <w:szCs w:val="28"/>
        </w:rPr>
        <w:t xml:space="preserve"> – 111</w:t>
      </w:r>
      <w:r w:rsidR="00577022" w:rsidRPr="00D4485E">
        <w:rPr>
          <w:rFonts w:ascii="Times New Roman" w:eastAsia="Calibri" w:hAnsi="Times New Roman" w:cs="Times New Roman"/>
          <w:sz w:val="28"/>
          <w:szCs w:val="28"/>
        </w:rPr>
        <w:t xml:space="preserve"> детей</w:t>
      </w:r>
      <w:r w:rsidRPr="00D4485E">
        <w:rPr>
          <w:rFonts w:ascii="Times New Roman" w:eastAsia="Calibri" w:hAnsi="Times New Roman" w:cs="Times New Roman"/>
          <w:sz w:val="28"/>
          <w:szCs w:val="28"/>
        </w:rPr>
        <w:t>), и 10,6 тыс. человек, которым предоставлено временное убежище на территории Российской Федерации, 2,2 тыс. из которых дети (2020 г</w:t>
      </w:r>
      <w:r w:rsidR="00577022" w:rsidRPr="00D4485E">
        <w:rPr>
          <w:rFonts w:ascii="Times New Roman" w:eastAsia="Calibri" w:hAnsi="Times New Roman" w:cs="Times New Roman"/>
          <w:sz w:val="28"/>
          <w:szCs w:val="28"/>
        </w:rPr>
        <w:t>.</w:t>
      </w:r>
      <w:r w:rsidRPr="00D4485E">
        <w:rPr>
          <w:rFonts w:ascii="Times New Roman" w:eastAsia="Calibri" w:hAnsi="Times New Roman" w:cs="Times New Roman"/>
          <w:sz w:val="28"/>
          <w:szCs w:val="28"/>
        </w:rPr>
        <w:t xml:space="preserve"> – 4,3 тыс. </w:t>
      </w:r>
      <w:r w:rsidR="00577022" w:rsidRPr="00D4485E">
        <w:rPr>
          <w:rFonts w:ascii="Times New Roman" w:eastAsia="Calibri" w:hAnsi="Times New Roman" w:cs="Times New Roman"/>
          <w:sz w:val="28"/>
          <w:szCs w:val="28"/>
        </w:rPr>
        <w:t>детей</w:t>
      </w:r>
      <w:r w:rsidRPr="00D4485E">
        <w:rPr>
          <w:rFonts w:ascii="Times New Roman" w:eastAsia="Calibri" w:hAnsi="Times New Roman" w:cs="Times New Roman"/>
          <w:sz w:val="28"/>
          <w:szCs w:val="28"/>
        </w:rPr>
        <w:t>; 2019 г</w:t>
      </w:r>
      <w:r w:rsidR="00577022" w:rsidRPr="00D4485E">
        <w:rPr>
          <w:rFonts w:ascii="Times New Roman" w:eastAsia="Calibri" w:hAnsi="Times New Roman" w:cs="Times New Roman"/>
          <w:sz w:val="28"/>
          <w:szCs w:val="28"/>
        </w:rPr>
        <w:t>.</w:t>
      </w:r>
      <w:r w:rsidRPr="00D4485E">
        <w:rPr>
          <w:rFonts w:ascii="Times New Roman" w:eastAsia="Calibri" w:hAnsi="Times New Roman" w:cs="Times New Roman"/>
          <w:sz w:val="28"/>
          <w:szCs w:val="28"/>
        </w:rPr>
        <w:t xml:space="preserve"> – 10,2 тыс.</w:t>
      </w:r>
      <w:r w:rsidR="00577022" w:rsidRPr="00D4485E">
        <w:rPr>
          <w:rFonts w:ascii="Times New Roman" w:eastAsia="Calibri" w:hAnsi="Times New Roman" w:cs="Times New Roman"/>
          <w:sz w:val="28"/>
          <w:szCs w:val="28"/>
        </w:rPr>
        <w:t xml:space="preserve"> детей</w:t>
      </w:r>
      <w:r w:rsidRPr="00D4485E">
        <w:rPr>
          <w:rFonts w:ascii="Times New Roman" w:eastAsia="Calibri" w:hAnsi="Times New Roman" w:cs="Times New Roman"/>
          <w:sz w:val="28"/>
          <w:szCs w:val="28"/>
        </w:rPr>
        <w:t>).</w:t>
      </w:r>
    </w:p>
    <w:p w14:paraId="4511D58E" w14:textId="77777777" w:rsidR="004C3BAD" w:rsidRPr="00D4485E" w:rsidRDefault="004C3BAD" w:rsidP="004C3BAD">
      <w:pPr>
        <w:spacing w:after="0" w:line="312" w:lineRule="auto"/>
        <w:ind w:firstLine="709"/>
        <w:jc w:val="both"/>
        <w:rPr>
          <w:rFonts w:ascii="Times New Roman" w:eastAsia="Calibri" w:hAnsi="Times New Roman" w:cs="Times New Roman"/>
          <w:sz w:val="28"/>
          <w:szCs w:val="28"/>
        </w:rPr>
      </w:pPr>
      <w:r w:rsidRPr="00D4485E">
        <w:rPr>
          <w:rFonts w:ascii="Times New Roman" w:eastAsia="Calibri" w:hAnsi="Times New Roman" w:cs="Times New Roman"/>
          <w:sz w:val="28"/>
          <w:szCs w:val="28"/>
        </w:rPr>
        <w:t xml:space="preserve">Большинство детей со статусом </w:t>
      </w:r>
      <w:r w:rsidR="00577022" w:rsidRPr="00D4485E">
        <w:rPr>
          <w:rFonts w:ascii="Times New Roman" w:eastAsia="Calibri" w:hAnsi="Times New Roman" w:cs="Times New Roman"/>
          <w:sz w:val="28"/>
          <w:szCs w:val="28"/>
        </w:rPr>
        <w:t xml:space="preserve">беженца прибыло из Афганистана </w:t>
      </w:r>
      <w:r w:rsidRPr="00D4485E">
        <w:rPr>
          <w:rFonts w:ascii="Times New Roman" w:eastAsia="Calibri" w:hAnsi="Times New Roman" w:cs="Times New Roman"/>
          <w:sz w:val="28"/>
          <w:szCs w:val="28"/>
        </w:rPr>
        <w:t>(50 человек или 66,7%) и Украины (9 человек или 12%</w:t>
      </w:r>
      <w:r w:rsidR="00577022" w:rsidRPr="00D4485E">
        <w:rPr>
          <w:rFonts w:ascii="Times New Roman" w:eastAsia="Calibri" w:hAnsi="Times New Roman" w:cs="Times New Roman"/>
          <w:sz w:val="28"/>
          <w:szCs w:val="28"/>
        </w:rPr>
        <w:t>). Большинство детей,</w:t>
      </w:r>
      <w:r w:rsidRPr="00D4485E">
        <w:rPr>
          <w:rFonts w:ascii="Times New Roman" w:eastAsia="Calibri" w:hAnsi="Times New Roman" w:cs="Times New Roman"/>
          <w:sz w:val="28"/>
          <w:szCs w:val="28"/>
        </w:rPr>
        <w:t xml:space="preserve"> имеющих временное убежище на территории Российской Федерации</w:t>
      </w:r>
      <w:r w:rsidR="00577022" w:rsidRPr="00D4485E">
        <w:rPr>
          <w:rFonts w:ascii="Times New Roman" w:eastAsia="Calibri" w:hAnsi="Times New Roman" w:cs="Times New Roman"/>
          <w:sz w:val="28"/>
          <w:szCs w:val="28"/>
        </w:rPr>
        <w:t>, прибыло</w:t>
      </w:r>
      <w:r w:rsidRPr="00D4485E">
        <w:rPr>
          <w:rFonts w:ascii="Times New Roman" w:eastAsia="Calibri" w:hAnsi="Times New Roman" w:cs="Times New Roman"/>
          <w:sz w:val="28"/>
          <w:szCs w:val="28"/>
        </w:rPr>
        <w:t xml:space="preserve"> из Украины (1,9 тыс. или 83,3%</w:t>
      </w:r>
      <w:r w:rsidR="00577022" w:rsidRPr="00D4485E">
        <w:rPr>
          <w:rFonts w:ascii="Times New Roman" w:eastAsia="Calibri" w:hAnsi="Times New Roman" w:cs="Times New Roman"/>
          <w:sz w:val="28"/>
          <w:szCs w:val="28"/>
        </w:rPr>
        <w:t xml:space="preserve">) </w:t>
      </w:r>
      <w:r w:rsidRPr="00D4485E">
        <w:rPr>
          <w:rFonts w:ascii="Times New Roman" w:eastAsia="Calibri" w:hAnsi="Times New Roman" w:cs="Times New Roman"/>
          <w:sz w:val="28"/>
          <w:szCs w:val="28"/>
        </w:rPr>
        <w:t>и Афганистана (199 человек или 8,9%).</w:t>
      </w:r>
    </w:p>
    <w:p w14:paraId="583A92D5" w14:textId="77777777" w:rsidR="004C3BAD" w:rsidRPr="00D4485E" w:rsidRDefault="004C3BAD" w:rsidP="004C3BAD">
      <w:pPr>
        <w:spacing w:after="0" w:line="312" w:lineRule="auto"/>
        <w:ind w:firstLine="709"/>
        <w:jc w:val="both"/>
        <w:rPr>
          <w:rFonts w:ascii="Times New Roman" w:eastAsia="Calibri" w:hAnsi="Times New Roman" w:cs="Times New Roman"/>
          <w:sz w:val="28"/>
          <w:szCs w:val="28"/>
        </w:rPr>
      </w:pPr>
      <w:r w:rsidRPr="00D4485E">
        <w:rPr>
          <w:rFonts w:ascii="Times New Roman" w:eastAsia="Calibri" w:hAnsi="Times New Roman" w:cs="Times New Roman"/>
          <w:sz w:val="28"/>
          <w:szCs w:val="28"/>
        </w:rPr>
        <w:t xml:space="preserve">При этом наибольший процент детей-беженцев в числе граждан своей страны наблюдается у граждан Таджикистана (75%), Киргизии (60%), Ливана (60%), Ирака (50%) и </w:t>
      </w:r>
      <w:proofErr w:type="spellStart"/>
      <w:r w:rsidRPr="00D4485E">
        <w:rPr>
          <w:rFonts w:ascii="Times New Roman" w:eastAsia="Calibri" w:hAnsi="Times New Roman" w:cs="Times New Roman"/>
          <w:sz w:val="28"/>
          <w:szCs w:val="28"/>
        </w:rPr>
        <w:t>Бангладеша</w:t>
      </w:r>
      <w:proofErr w:type="spellEnd"/>
      <w:r w:rsidRPr="00D4485E">
        <w:rPr>
          <w:rFonts w:ascii="Times New Roman" w:eastAsia="Calibri" w:hAnsi="Times New Roman" w:cs="Times New Roman"/>
          <w:sz w:val="28"/>
          <w:szCs w:val="28"/>
        </w:rPr>
        <w:t xml:space="preserve"> (50%), детей, имеющих временное убежище</w:t>
      </w:r>
      <w:r w:rsidR="00577022" w:rsidRPr="00D4485E">
        <w:rPr>
          <w:rFonts w:ascii="Times New Roman" w:eastAsia="Calibri" w:hAnsi="Times New Roman" w:cs="Times New Roman"/>
          <w:sz w:val="28"/>
          <w:szCs w:val="28"/>
        </w:rPr>
        <w:t xml:space="preserve"> – у граждан</w:t>
      </w:r>
      <w:r w:rsidRPr="00D4485E">
        <w:rPr>
          <w:rFonts w:ascii="Times New Roman" w:eastAsia="Calibri" w:hAnsi="Times New Roman" w:cs="Times New Roman"/>
          <w:sz w:val="28"/>
          <w:szCs w:val="28"/>
        </w:rPr>
        <w:t xml:space="preserve"> Эстонии (60%), Республики Корея (50%), Анголы (50%) и Германии (46,7%).</w:t>
      </w:r>
    </w:p>
    <w:p w14:paraId="5A1FE4F2" w14:textId="77777777" w:rsidR="004C3BAD" w:rsidRPr="00A120DB" w:rsidRDefault="004C3BAD" w:rsidP="004C3BAD">
      <w:pPr>
        <w:spacing w:after="0" w:line="312" w:lineRule="auto"/>
        <w:ind w:firstLine="709"/>
        <w:jc w:val="both"/>
        <w:rPr>
          <w:rFonts w:ascii="Times New Roman" w:eastAsia="Calibri" w:hAnsi="Times New Roman" w:cs="Times New Roman"/>
          <w:sz w:val="28"/>
          <w:szCs w:val="28"/>
        </w:rPr>
      </w:pPr>
      <w:r w:rsidRPr="00D4485E">
        <w:rPr>
          <w:rFonts w:ascii="Times New Roman" w:eastAsia="Calibri" w:hAnsi="Times New Roman" w:cs="Times New Roman"/>
          <w:sz w:val="28"/>
          <w:szCs w:val="28"/>
        </w:rPr>
        <w:t xml:space="preserve">В рамках реализации Государственной программы </w:t>
      </w:r>
      <w:r w:rsidR="00577022" w:rsidRPr="00D4485E">
        <w:rPr>
          <w:rFonts w:ascii="Times New Roman" w:eastAsia="Calibri" w:hAnsi="Times New Roman" w:cs="Times New Roman"/>
          <w:sz w:val="28"/>
          <w:szCs w:val="28"/>
        </w:rPr>
        <w:t>по оказанию содействия добровольному переселению в Российскую Федерацию соотечественников, проживающих за рубежом</w:t>
      </w:r>
      <w:r w:rsidR="00577022" w:rsidRPr="00D4485E">
        <w:rPr>
          <w:rFonts w:ascii="Times New Roman" w:eastAsia="Calibri" w:hAnsi="Times New Roman" w:cs="Times New Roman"/>
          <w:sz w:val="28"/>
          <w:szCs w:val="28"/>
          <w:vertAlign w:val="superscript"/>
        </w:rPr>
        <w:t xml:space="preserve"> </w:t>
      </w:r>
      <w:r w:rsidR="00577022" w:rsidRPr="00D4485E">
        <w:rPr>
          <w:rFonts w:ascii="Times New Roman" w:eastAsia="Calibri" w:hAnsi="Times New Roman" w:cs="Times New Roman"/>
          <w:sz w:val="28"/>
          <w:szCs w:val="28"/>
        </w:rPr>
        <w:t>и членов их семей, в 2021 г</w:t>
      </w:r>
      <w:r w:rsidR="00997977">
        <w:rPr>
          <w:rFonts w:ascii="Times New Roman" w:eastAsia="Calibri" w:hAnsi="Times New Roman" w:cs="Times New Roman"/>
          <w:sz w:val="28"/>
          <w:szCs w:val="28"/>
        </w:rPr>
        <w:t>.</w:t>
      </w:r>
      <w:r w:rsidR="00577022" w:rsidRPr="00D4485E">
        <w:rPr>
          <w:rFonts w:ascii="Times New Roman" w:eastAsia="Calibri" w:hAnsi="Times New Roman" w:cs="Times New Roman"/>
          <w:sz w:val="28"/>
          <w:szCs w:val="28"/>
        </w:rPr>
        <w:t xml:space="preserve"> </w:t>
      </w:r>
      <w:r w:rsidRPr="00D4485E">
        <w:rPr>
          <w:rFonts w:ascii="Times New Roman" w:eastAsia="Calibri" w:hAnsi="Times New Roman" w:cs="Times New Roman"/>
          <w:sz w:val="28"/>
          <w:szCs w:val="28"/>
        </w:rPr>
        <w:t>в Российскую Федерацию переселились 78,5 т</w:t>
      </w:r>
      <w:r w:rsidR="00577022" w:rsidRPr="00D4485E">
        <w:rPr>
          <w:rFonts w:ascii="Times New Roman" w:eastAsia="Calibri" w:hAnsi="Times New Roman" w:cs="Times New Roman"/>
          <w:sz w:val="28"/>
          <w:szCs w:val="28"/>
        </w:rPr>
        <w:t xml:space="preserve">ыс. соотечественников и членов их семей, из них 19,6 </w:t>
      </w:r>
      <w:r w:rsidRPr="00D4485E">
        <w:rPr>
          <w:rFonts w:ascii="Times New Roman" w:eastAsia="Calibri" w:hAnsi="Times New Roman" w:cs="Times New Roman"/>
          <w:sz w:val="28"/>
          <w:szCs w:val="28"/>
        </w:rPr>
        <w:t xml:space="preserve">тыс. </w:t>
      </w:r>
      <w:r w:rsidR="00577022" w:rsidRPr="00D4485E">
        <w:rPr>
          <w:rFonts w:ascii="Times New Roman" w:eastAsia="Calibri" w:hAnsi="Times New Roman" w:cs="Times New Roman"/>
          <w:sz w:val="28"/>
          <w:szCs w:val="28"/>
        </w:rPr>
        <w:t xml:space="preserve">детей </w:t>
      </w:r>
      <w:r w:rsidRPr="00D4485E">
        <w:rPr>
          <w:rFonts w:ascii="Times New Roman" w:eastAsia="Calibri" w:hAnsi="Times New Roman" w:cs="Times New Roman"/>
          <w:sz w:val="28"/>
          <w:szCs w:val="28"/>
        </w:rPr>
        <w:t>или 25% (2020 г</w:t>
      </w:r>
      <w:r w:rsidR="00577022" w:rsidRPr="00D4485E">
        <w:rPr>
          <w:rFonts w:ascii="Times New Roman" w:eastAsia="Calibri" w:hAnsi="Times New Roman" w:cs="Times New Roman"/>
          <w:sz w:val="28"/>
          <w:szCs w:val="28"/>
        </w:rPr>
        <w:t xml:space="preserve">. – 13,2 тыс. детей или 21,3%; </w:t>
      </w:r>
      <w:r w:rsidRPr="00D4485E">
        <w:rPr>
          <w:rFonts w:ascii="Times New Roman" w:eastAsia="Calibri" w:hAnsi="Times New Roman" w:cs="Times New Roman"/>
          <w:sz w:val="28"/>
          <w:szCs w:val="28"/>
        </w:rPr>
        <w:t>2019 г</w:t>
      </w:r>
      <w:r w:rsidR="00577022" w:rsidRPr="00D4485E">
        <w:rPr>
          <w:rFonts w:ascii="Times New Roman" w:eastAsia="Calibri" w:hAnsi="Times New Roman" w:cs="Times New Roman"/>
          <w:sz w:val="28"/>
          <w:szCs w:val="28"/>
        </w:rPr>
        <w:t>.</w:t>
      </w:r>
      <w:r w:rsidRPr="00D4485E">
        <w:rPr>
          <w:rFonts w:ascii="Times New Roman" w:eastAsia="Calibri" w:hAnsi="Times New Roman" w:cs="Times New Roman"/>
          <w:sz w:val="28"/>
          <w:szCs w:val="28"/>
        </w:rPr>
        <w:t xml:space="preserve"> – 25,6 тыс. </w:t>
      </w:r>
      <w:r w:rsidR="00577022" w:rsidRPr="00D4485E">
        <w:rPr>
          <w:rFonts w:ascii="Times New Roman" w:eastAsia="Calibri" w:hAnsi="Times New Roman" w:cs="Times New Roman"/>
          <w:sz w:val="28"/>
          <w:szCs w:val="28"/>
        </w:rPr>
        <w:t xml:space="preserve">детей </w:t>
      </w:r>
      <w:r w:rsidRPr="00D4485E">
        <w:rPr>
          <w:rFonts w:ascii="Times New Roman" w:eastAsia="Calibri" w:hAnsi="Times New Roman" w:cs="Times New Roman"/>
          <w:sz w:val="28"/>
          <w:szCs w:val="28"/>
        </w:rPr>
        <w:t>или 23,6%).</w:t>
      </w:r>
    </w:p>
    <w:p w14:paraId="149F0384" w14:textId="77777777" w:rsidR="00D03A4F" w:rsidRP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1D1EC4">
        <w:rPr>
          <w:rFonts w:ascii="Times New Roman" w:eastAsia="Times New Roman" w:hAnsi="Times New Roman" w:cs="Times New Roman"/>
          <w:b/>
          <w:sz w:val="28"/>
          <w:szCs w:val="28"/>
          <w:lang w:eastAsia="ru-RU"/>
        </w:rPr>
        <w:t>Государственные пособия и дополнительные меры государственной поддержки семей, имеющих детей</w:t>
      </w:r>
    </w:p>
    <w:p w14:paraId="33568C23" w14:textId="77777777" w:rsidR="0010107D" w:rsidRPr="0010107D"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Меры социальной поддержки семей, имеющих детей, устанавливаются как на федеральном уровне, так и на региональном.</w:t>
      </w:r>
    </w:p>
    <w:p w14:paraId="1A4AE280" w14:textId="77777777" w:rsidR="0010107D" w:rsidRPr="0010107D"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xml:space="preserve">Система государственных пособий семьям, имеющим детей, на федеральном уровне устанавливается Федеральным законом от 19 мая 1995 г. № 81-ФЗ </w:t>
      </w:r>
      <w:r w:rsidR="00BB5821">
        <w:rPr>
          <w:rFonts w:ascii="Times New Roman" w:eastAsia="Times New Roman" w:hAnsi="Times New Roman" w:cs="Times New Roman"/>
          <w:sz w:val="28"/>
          <w:szCs w:val="28"/>
          <w:lang w:eastAsia="ru-RU"/>
        </w:rPr>
        <w:br/>
      </w:r>
      <w:r w:rsidRPr="0010107D">
        <w:rPr>
          <w:rFonts w:ascii="Times New Roman" w:eastAsia="Times New Roman" w:hAnsi="Times New Roman" w:cs="Times New Roman"/>
          <w:sz w:val="28"/>
          <w:szCs w:val="28"/>
          <w:lang w:eastAsia="ru-RU"/>
        </w:rPr>
        <w:t>«О государственных посо</w:t>
      </w:r>
      <w:r w:rsidR="00BB5821">
        <w:rPr>
          <w:rFonts w:ascii="Times New Roman" w:eastAsia="Times New Roman" w:hAnsi="Times New Roman" w:cs="Times New Roman"/>
          <w:sz w:val="28"/>
          <w:szCs w:val="28"/>
          <w:lang w:eastAsia="ru-RU"/>
        </w:rPr>
        <w:t xml:space="preserve">биях гражданам, имеющим детей» </w:t>
      </w:r>
      <w:r w:rsidRPr="0010107D">
        <w:rPr>
          <w:rFonts w:ascii="Times New Roman" w:eastAsia="Times New Roman" w:hAnsi="Times New Roman" w:cs="Times New Roman"/>
          <w:sz w:val="28"/>
          <w:szCs w:val="28"/>
          <w:lang w:eastAsia="ru-RU"/>
        </w:rPr>
        <w:t>(далее – Федеральный закон от 19 мая 1995 г. № 81-ФЗ).</w:t>
      </w:r>
    </w:p>
    <w:p w14:paraId="45DFFC6D" w14:textId="77777777" w:rsidR="0010107D" w:rsidRPr="0010107D"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14:paraId="3CE3B6B7" w14:textId="77777777" w:rsidR="0010107D" w:rsidRPr="0010107D" w:rsidRDefault="0010107D" w:rsidP="0010107D">
      <w:pPr>
        <w:widowControl w:val="0"/>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10107D">
        <w:rPr>
          <w:rFonts w:ascii="Times New Roman" w:eastAsia="Times New Roman" w:hAnsi="Times New Roman" w:cs="Times New Roman"/>
          <w:color w:val="000000"/>
          <w:sz w:val="28"/>
          <w:szCs w:val="28"/>
        </w:rPr>
        <w:t>– ФСС)</w:t>
      </w:r>
      <w:r w:rsidRPr="0010107D">
        <w:rPr>
          <w:rFonts w:ascii="Times New Roman" w:eastAsia="Times New Roman" w:hAnsi="Times New Roman" w:cs="Times New Roman"/>
          <w:sz w:val="28"/>
          <w:szCs w:val="28"/>
          <w:lang w:eastAsia="ru-RU"/>
        </w:rPr>
        <w:t>, гражданам, не подлежащим</w:t>
      </w:r>
      <w:r w:rsidR="00E619F5" w:rsidRPr="00D03A4F">
        <w:rPr>
          <w:rFonts w:ascii="Times New Roman" w:eastAsia="Times New Roman" w:hAnsi="Times New Roman" w:cs="Times New Roman"/>
          <w:sz w:val="28"/>
          <w:szCs w:val="28"/>
          <w:lang w:eastAsia="ru-RU"/>
        </w:rPr>
        <w:t> </w:t>
      </w:r>
      <w:r w:rsidRPr="0010107D">
        <w:rPr>
          <w:rFonts w:ascii="Times New Roman" w:eastAsia="Times New Roman" w:hAnsi="Times New Roman" w:cs="Times New Roman"/>
          <w:sz w:val="28"/>
          <w:szCs w:val="28"/>
          <w:lang w:eastAsia="ru-RU"/>
        </w:rPr>
        <w:t xml:space="preserve">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10107D">
        <w:rPr>
          <w:rFonts w:ascii="Times New Roman" w:eastAsia="Times New Roman" w:hAnsi="Times New Roman" w:cs="Times New Roman"/>
          <w:color w:val="000000"/>
          <w:sz w:val="28"/>
          <w:szCs w:val="28"/>
        </w:rPr>
        <w:t>–</w:t>
      </w:r>
      <w:r w:rsidRPr="0010107D">
        <w:rPr>
          <w:rFonts w:ascii="Times New Roman" w:eastAsia="Times New Roman" w:hAnsi="Times New Roman" w:cs="Times New Roman"/>
          <w:sz w:val="28"/>
          <w:szCs w:val="28"/>
          <w:lang w:eastAsia="ru-RU"/>
        </w:rPr>
        <w:t xml:space="preserve"> за счет средств федерального бюджета.</w:t>
      </w:r>
    </w:p>
    <w:p w14:paraId="06E57183" w14:textId="77777777" w:rsidR="0010107D" w:rsidRPr="0010107D" w:rsidRDefault="0010107D" w:rsidP="0010107D">
      <w:pPr>
        <w:widowControl w:val="0"/>
        <w:spacing w:after="0" w:line="312" w:lineRule="auto"/>
        <w:ind w:firstLine="709"/>
        <w:jc w:val="both"/>
        <w:rPr>
          <w:rFonts w:ascii="Times New Roman" w:eastAsia="Times New Roman" w:hAnsi="Times New Roman" w:cs="Times New Roman"/>
          <w:sz w:val="28"/>
          <w:szCs w:val="28"/>
          <w:lang w:eastAsia="ru-RU"/>
        </w:rPr>
      </w:pPr>
      <w:r w:rsidRPr="00013706">
        <w:rPr>
          <w:rFonts w:ascii="Times New Roman" w:eastAsia="Times New Roman" w:hAnsi="Times New Roman" w:cs="Times New Roman"/>
          <w:sz w:val="28"/>
          <w:szCs w:val="28"/>
          <w:lang w:eastAsia="ru-RU"/>
        </w:rPr>
        <w:t>В 202</w:t>
      </w:r>
      <w:r w:rsidR="00C76E9F">
        <w:rPr>
          <w:rFonts w:ascii="Times New Roman" w:eastAsia="Times New Roman" w:hAnsi="Times New Roman" w:cs="Times New Roman"/>
          <w:sz w:val="28"/>
          <w:szCs w:val="28"/>
          <w:lang w:eastAsia="ru-RU"/>
        </w:rPr>
        <w:t>1</w:t>
      </w:r>
      <w:r w:rsidRPr="00013706">
        <w:rPr>
          <w:rFonts w:ascii="Times New Roman" w:eastAsia="Times New Roman" w:hAnsi="Times New Roman" w:cs="Times New Roman"/>
          <w:sz w:val="28"/>
          <w:szCs w:val="28"/>
          <w:lang w:eastAsia="ru-RU"/>
        </w:rPr>
        <w:t xml:space="preserve"> г</w:t>
      </w:r>
      <w:r w:rsidR="00997977">
        <w:rPr>
          <w:rFonts w:ascii="Times New Roman" w:eastAsia="Times New Roman" w:hAnsi="Times New Roman" w:cs="Times New Roman"/>
          <w:sz w:val="28"/>
          <w:szCs w:val="28"/>
          <w:lang w:eastAsia="ru-RU"/>
        </w:rPr>
        <w:t>.</w:t>
      </w:r>
      <w:r w:rsidRPr="00013706">
        <w:rPr>
          <w:rFonts w:ascii="Times New Roman" w:eastAsia="Times New Roman" w:hAnsi="Times New Roman" w:cs="Times New Roman"/>
          <w:sz w:val="28"/>
          <w:szCs w:val="28"/>
          <w:lang w:eastAsia="ru-RU"/>
        </w:rPr>
        <w:t xml:space="preserve"> произведена индексация государственных пособий в связи с рождением и воспитанием детей на </w:t>
      </w:r>
      <w:r w:rsidR="00C76E9F">
        <w:rPr>
          <w:rFonts w:ascii="Times New Roman" w:eastAsia="Times New Roman" w:hAnsi="Times New Roman" w:cs="Times New Roman"/>
          <w:sz w:val="28"/>
          <w:szCs w:val="28"/>
          <w:lang w:eastAsia="ru-RU"/>
        </w:rPr>
        <w:t>4,9%</w:t>
      </w:r>
      <w:r w:rsidRPr="00013706">
        <w:rPr>
          <w:rFonts w:ascii="Times New Roman" w:eastAsia="Times New Roman" w:hAnsi="Times New Roman" w:cs="Times New Roman"/>
          <w:sz w:val="28"/>
          <w:szCs w:val="28"/>
          <w:lang w:eastAsia="ru-RU"/>
        </w:rPr>
        <w:t xml:space="preserve"> (</w:t>
      </w:r>
      <w:r w:rsidR="00C76E9F">
        <w:rPr>
          <w:rFonts w:ascii="Times New Roman" w:eastAsia="Times New Roman" w:hAnsi="Times New Roman" w:cs="Times New Roman"/>
          <w:sz w:val="28"/>
          <w:szCs w:val="28"/>
          <w:lang w:eastAsia="ru-RU"/>
        </w:rPr>
        <w:t xml:space="preserve">2020 г. – </w:t>
      </w:r>
      <w:r w:rsidR="00C76E9F" w:rsidRPr="00013706">
        <w:rPr>
          <w:rFonts w:ascii="Times New Roman" w:eastAsia="Times New Roman" w:hAnsi="Times New Roman" w:cs="Times New Roman"/>
          <w:sz w:val="28"/>
          <w:szCs w:val="28"/>
          <w:lang w:eastAsia="ru-RU"/>
        </w:rPr>
        <w:t>3,0%</w:t>
      </w:r>
      <w:r w:rsidR="00C76E9F">
        <w:rPr>
          <w:rFonts w:ascii="Times New Roman" w:eastAsia="Times New Roman" w:hAnsi="Times New Roman" w:cs="Times New Roman"/>
          <w:sz w:val="28"/>
          <w:szCs w:val="28"/>
          <w:lang w:eastAsia="ru-RU"/>
        </w:rPr>
        <w:t>; 2019 г. – 4,3%</w:t>
      </w:r>
      <w:r w:rsidRPr="00013706">
        <w:rPr>
          <w:rFonts w:ascii="Times New Roman" w:eastAsia="Times New Roman" w:hAnsi="Times New Roman" w:cs="Times New Roman"/>
          <w:sz w:val="28"/>
          <w:szCs w:val="28"/>
          <w:lang w:eastAsia="ru-RU"/>
        </w:rPr>
        <w:t>).</w:t>
      </w:r>
    </w:p>
    <w:p w14:paraId="2B4058B3" w14:textId="77777777" w:rsidR="0010107D" w:rsidRPr="0010107D"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Размеры государственных пособий в связи с рождением и воспитанием детей, предоставляемых лицам, не подлежащим обязательному социальному страхованию на случай временной нетрудоспособности и в связи с материнством, в указанном периоде составляли:</w:t>
      </w:r>
    </w:p>
    <w:p w14:paraId="5E97A803" w14:textId="77777777" w:rsidR="0010107D" w:rsidRPr="0010107D" w:rsidRDefault="0010107D" w:rsidP="0010107D">
      <w:pPr>
        <w:spacing w:after="0" w:line="312" w:lineRule="auto"/>
        <w:ind w:firstLine="709"/>
        <w:jc w:val="both"/>
        <w:rPr>
          <w:rFonts w:ascii="Times New Roman" w:eastAsia="Times New Roman" w:hAnsi="Times New Roman" w:cs="Times New Roman"/>
          <w:sz w:val="28"/>
          <w:szCs w:val="28"/>
          <w:highlight w:val="yellow"/>
          <w:lang w:eastAsia="ru-RU"/>
        </w:rPr>
      </w:pPr>
      <w:r w:rsidRPr="0010107D">
        <w:rPr>
          <w:rFonts w:ascii="Times New Roman" w:eastAsia="Times New Roman" w:hAnsi="Times New Roman" w:cs="Times New Roman"/>
          <w:sz w:val="28"/>
          <w:szCs w:val="28"/>
          <w:lang w:eastAsia="ru-RU"/>
        </w:rPr>
        <w:t xml:space="preserve">- единовременное пособие женщинам, вставшим на учет в медицинских организациях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физическими лицами, </w:t>
      </w:r>
      <w:r w:rsidR="0027579C">
        <w:rPr>
          <w:rFonts w:ascii="Times New Roman" w:eastAsia="Times New Roman" w:hAnsi="Times New Roman" w:cs="Times New Roman"/>
          <w:sz w:val="28"/>
          <w:szCs w:val="28"/>
          <w:lang w:eastAsia="ru-RU"/>
        </w:rPr>
        <w:t xml:space="preserve">действовавшее до 1 июля </w:t>
      </w:r>
      <w:r w:rsidR="00C76E9F">
        <w:rPr>
          <w:rFonts w:ascii="Times New Roman" w:eastAsia="Times New Roman" w:hAnsi="Times New Roman" w:cs="Times New Roman"/>
          <w:sz w:val="28"/>
          <w:szCs w:val="28"/>
          <w:lang w:eastAsia="ru-RU"/>
        </w:rPr>
        <w:br/>
      </w:r>
      <w:r w:rsidR="0027579C">
        <w:rPr>
          <w:rFonts w:ascii="Times New Roman" w:eastAsia="Times New Roman" w:hAnsi="Times New Roman" w:cs="Times New Roman"/>
          <w:sz w:val="28"/>
          <w:szCs w:val="28"/>
          <w:lang w:eastAsia="ru-RU"/>
        </w:rPr>
        <w:t xml:space="preserve">2021 г. </w:t>
      </w:r>
      <w:r w:rsidRPr="0010107D">
        <w:rPr>
          <w:rFonts w:ascii="Times New Roman" w:eastAsia="Times New Roman" w:hAnsi="Times New Roman" w:cs="Times New Roman"/>
          <w:sz w:val="28"/>
          <w:szCs w:val="28"/>
          <w:lang w:eastAsia="ru-RU"/>
        </w:rPr>
        <w:t xml:space="preserve">– </w:t>
      </w:r>
      <w:r w:rsidR="00C76E9F">
        <w:rPr>
          <w:rFonts w:ascii="Times New Roman" w:eastAsia="Times New Roman" w:hAnsi="Times New Roman" w:cs="Times New Roman"/>
          <w:sz w:val="28"/>
          <w:szCs w:val="28"/>
          <w:lang w:eastAsia="ru-RU"/>
        </w:rPr>
        <w:t>708</w:t>
      </w:r>
      <w:r w:rsidRPr="0010107D">
        <w:rPr>
          <w:rFonts w:ascii="Times New Roman" w:eastAsia="Times New Roman" w:hAnsi="Times New Roman" w:cs="Times New Roman"/>
          <w:sz w:val="28"/>
          <w:szCs w:val="28"/>
          <w:lang w:eastAsia="ru-RU"/>
        </w:rPr>
        <w:t>,</w:t>
      </w:r>
      <w:r w:rsidR="00C76E9F">
        <w:rPr>
          <w:rFonts w:ascii="Times New Roman" w:eastAsia="Times New Roman" w:hAnsi="Times New Roman" w:cs="Times New Roman"/>
          <w:sz w:val="28"/>
          <w:szCs w:val="28"/>
          <w:lang w:eastAsia="ru-RU"/>
        </w:rPr>
        <w:t>23</w:t>
      </w:r>
      <w:r w:rsidR="003B386C">
        <w:rPr>
          <w:rFonts w:ascii="Times New Roman" w:eastAsia="Times New Roman" w:hAnsi="Times New Roman" w:cs="Times New Roman"/>
          <w:sz w:val="28"/>
          <w:szCs w:val="28"/>
          <w:lang w:eastAsia="ru-RU"/>
        </w:rPr>
        <w:t xml:space="preserve"> рублей </w:t>
      </w:r>
      <w:r w:rsidRPr="0010107D">
        <w:rPr>
          <w:rFonts w:ascii="Times New Roman" w:eastAsia="Times New Roman" w:hAnsi="Times New Roman" w:cs="Times New Roman"/>
          <w:sz w:val="28"/>
          <w:szCs w:val="28"/>
          <w:lang w:eastAsia="ru-RU"/>
        </w:rPr>
        <w:t>(</w:t>
      </w:r>
      <w:r w:rsidR="00C76E9F">
        <w:rPr>
          <w:rFonts w:ascii="Times New Roman" w:eastAsia="Times New Roman" w:hAnsi="Times New Roman" w:cs="Times New Roman"/>
          <w:sz w:val="28"/>
          <w:szCs w:val="28"/>
          <w:lang w:eastAsia="ru-RU"/>
        </w:rPr>
        <w:t xml:space="preserve">2020 г. – 675,15 рублей; </w:t>
      </w:r>
      <w:r w:rsidR="00E619F5">
        <w:rPr>
          <w:rFonts w:ascii="Times New Roman" w:eastAsia="Times New Roman" w:hAnsi="Times New Roman" w:cs="Times New Roman"/>
          <w:sz w:val="28"/>
          <w:szCs w:val="28"/>
          <w:lang w:eastAsia="ru-RU"/>
        </w:rPr>
        <w:t xml:space="preserve">2019 г. – </w:t>
      </w:r>
      <w:r w:rsidR="00E619F5" w:rsidRPr="0010107D">
        <w:rPr>
          <w:rFonts w:ascii="Times New Roman" w:eastAsia="Times New Roman" w:hAnsi="Times New Roman" w:cs="Times New Roman"/>
          <w:sz w:val="28"/>
          <w:szCs w:val="28"/>
          <w:lang w:eastAsia="ru-RU"/>
        </w:rPr>
        <w:t xml:space="preserve">655,49 </w:t>
      </w:r>
      <w:r w:rsidR="00E619F5">
        <w:rPr>
          <w:rFonts w:ascii="Times New Roman" w:eastAsia="Times New Roman" w:hAnsi="Times New Roman" w:cs="Times New Roman"/>
          <w:sz w:val="28"/>
          <w:szCs w:val="28"/>
          <w:lang w:eastAsia="ru-RU"/>
        </w:rPr>
        <w:t>р</w:t>
      </w:r>
      <w:r w:rsidR="00C76E9F">
        <w:rPr>
          <w:rFonts w:ascii="Times New Roman" w:eastAsia="Times New Roman" w:hAnsi="Times New Roman" w:cs="Times New Roman"/>
          <w:sz w:val="28"/>
          <w:szCs w:val="28"/>
          <w:lang w:eastAsia="ru-RU"/>
        </w:rPr>
        <w:t>ублей</w:t>
      </w:r>
      <w:r w:rsidRPr="0010107D">
        <w:rPr>
          <w:rFonts w:ascii="Times New Roman" w:eastAsia="Times New Roman" w:hAnsi="Times New Roman" w:cs="Times New Roman"/>
          <w:sz w:val="28"/>
          <w:szCs w:val="28"/>
          <w:lang w:eastAsia="ru-RU"/>
        </w:rPr>
        <w:t>);</w:t>
      </w:r>
    </w:p>
    <w:p w14:paraId="7B1564E3" w14:textId="77777777" w:rsidR="0010107D" w:rsidRPr="0010107D"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xml:space="preserve">- единовременное пособие при рождении ребенка – </w:t>
      </w:r>
      <w:r w:rsidR="00C76E9F">
        <w:rPr>
          <w:rFonts w:ascii="Times New Roman" w:eastAsia="Times New Roman" w:hAnsi="Times New Roman" w:cs="Times New Roman"/>
          <w:sz w:val="28"/>
          <w:szCs w:val="28"/>
          <w:lang w:eastAsia="ru-RU"/>
        </w:rPr>
        <w:t xml:space="preserve">18 886,32 рублей </w:t>
      </w:r>
      <w:r w:rsidRPr="0010107D">
        <w:rPr>
          <w:rFonts w:ascii="Times New Roman" w:eastAsia="Times New Roman" w:hAnsi="Times New Roman" w:cs="Times New Roman"/>
          <w:sz w:val="28"/>
          <w:szCs w:val="28"/>
          <w:lang w:eastAsia="ru-RU"/>
        </w:rPr>
        <w:t>(</w:t>
      </w:r>
      <w:r w:rsidR="00C76E9F">
        <w:rPr>
          <w:rFonts w:ascii="Times New Roman" w:eastAsia="Times New Roman" w:hAnsi="Times New Roman" w:cs="Times New Roman"/>
          <w:sz w:val="28"/>
          <w:szCs w:val="28"/>
          <w:lang w:eastAsia="ru-RU"/>
        </w:rPr>
        <w:t xml:space="preserve">2020 г. – 18 004,12 рублей; </w:t>
      </w:r>
      <w:r w:rsidR="00E619F5">
        <w:rPr>
          <w:rFonts w:ascii="Times New Roman" w:eastAsia="Times New Roman" w:hAnsi="Times New Roman" w:cs="Times New Roman"/>
          <w:sz w:val="28"/>
          <w:szCs w:val="28"/>
          <w:lang w:eastAsia="ru-RU"/>
        </w:rPr>
        <w:t xml:space="preserve">2019 г. – </w:t>
      </w:r>
      <w:r w:rsidR="00E619F5" w:rsidRPr="0010107D">
        <w:rPr>
          <w:rFonts w:ascii="Times New Roman" w:eastAsia="Times New Roman" w:hAnsi="Times New Roman" w:cs="Times New Roman"/>
          <w:sz w:val="28"/>
          <w:szCs w:val="28"/>
          <w:lang w:eastAsia="ru-RU"/>
        </w:rPr>
        <w:t>17 479,73 рублей</w:t>
      </w:r>
      <w:r w:rsidRPr="0010107D">
        <w:rPr>
          <w:rFonts w:ascii="Times New Roman" w:eastAsia="Times New Roman" w:hAnsi="Times New Roman" w:cs="Times New Roman"/>
          <w:sz w:val="28"/>
          <w:szCs w:val="28"/>
          <w:lang w:eastAsia="ru-RU"/>
        </w:rPr>
        <w:t>);</w:t>
      </w:r>
    </w:p>
    <w:p w14:paraId="7ECC4495" w14:textId="77777777" w:rsidR="0010107D" w:rsidRPr="0010107D" w:rsidRDefault="0010107D" w:rsidP="0010107D">
      <w:pPr>
        <w:spacing w:after="0" w:line="312" w:lineRule="auto"/>
        <w:ind w:firstLine="709"/>
        <w:jc w:val="both"/>
        <w:rPr>
          <w:rFonts w:ascii="Times New Roman" w:eastAsia="Times New Roman" w:hAnsi="Times New Roman" w:cs="Times New Roman"/>
          <w:sz w:val="28"/>
          <w:szCs w:val="28"/>
          <w:highlight w:val="yellow"/>
          <w:lang w:eastAsia="ru-RU"/>
        </w:rPr>
      </w:pPr>
      <w:r w:rsidRPr="0010107D">
        <w:rPr>
          <w:rFonts w:ascii="Times New Roman" w:eastAsia="Times New Roman" w:hAnsi="Times New Roman" w:cs="Times New Roman"/>
          <w:sz w:val="28"/>
          <w:szCs w:val="28"/>
          <w:lang w:eastAsia="ru-RU"/>
        </w:rPr>
        <w:t xml:space="preserve">- ежемесячное пособие по уходу за ребенком: минимальный размер – </w:t>
      </w:r>
      <w:r w:rsidR="00C76E9F">
        <w:rPr>
          <w:rFonts w:ascii="Times New Roman" w:eastAsia="Times New Roman" w:hAnsi="Times New Roman" w:cs="Times New Roman"/>
          <w:sz w:val="28"/>
          <w:szCs w:val="28"/>
          <w:lang w:eastAsia="ru-RU"/>
        </w:rPr>
        <w:t xml:space="preserve">7 082,85 рубля </w:t>
      </w:r>
      <w:r w:rsidRPr="0010107D">
        <w:rPr>
          <w:rFonts w:ascii="Times New Roman" w:eastAsia="Times New Roman" w:hAnsi="Times New Roman" w:cs="Times New Roman"/>
          <w:sz w:val="28"/>
          <w:szCs w:val="28"/>
          <w:lang w:eastAsia="ru-RU"/>
        </w:rPr>
        <w:t>(</w:t>
      </w:r>
      <w:r w:rsidR="00C76E9F">
        <w:rPr>
          <w:rFonts w:ascii="Times New Roman" w:eastAsia="Times New Roman" w:hAnsi="Times New Roman" w:cs="Times New Roman"/>
          <w:sz w:val="28"/>
          <w:szCs w:val="28"/>
          <w:lang w:eastAsia="ru-RU"/>
        </w:rPr>
        <w:t>2020 г. – 6 752 рубля, до 1 июня 2020 г</w:t>
      </w:r>
      <w:r w:rsidR="00E95A81">
        <w:rPr>
          <w:rFonts w:ascii="Times New Roman" w:eastAsia="Times New Roman" w:hAnsi="Times New Roman" w:cs="Times New Roman"/>
          <w:sz w:val="28"/>
          <w:szCs w:val="28"/>
          <w:lang w:eastAsia="ru-RU"/>
        </w:rPr>
        <w:t>.</w:t>
      </w:r>
      <w:r w:rsidR="00C76E9F">
        <w:rPr>
          <w:rFonts w:ascii="Times New Roman" w:eastAsia="Times New Roman" w:hAnsi="Times New Roman" w:cs="Times New Roman"/>
          <w:sz w:val="28"/>
          <w:szCs w:val="28"/>
          <w:lang w:eastAsia="ru-RU"/>
        </w:rPr>
        <w:t xml:space="preserve"> – 3 375,77 рублей </w:t>
      </w:r>
      <w:r w:rsidR="00C76E9F" w:rsidRPr="0010107D">
        <w:rPr>
          <w:rFonts w:ascii="Times New Roman" w:eastAsia="Times New Roman" w:hAnsi="Times New Roman" w:cs="Times New Roman"/>
          <w:sz w:val="28"/>
          <w:szCs w:val="28"/>
          <w:lang w:eastAsia="ru-RU"/>
        </w:rPr>
        <w:t xml:space="preserve">по уходу за первым ребенком и </w:t>
      </w:r>
      <w:r w:rsidR="00C76E9F">
        <w:rPr>
          <w:rFonts w:ascii="Times New Roman" w:eastAsia="Times New Roman" w:hAnsi="Times New Roman" w:cs="Times New Roman"/>
          <w:sz w:val="28"/>
          <w:szCs w:val="28"/>
          <w:lang w:eastAsia="ru-RU"/>
        </w:rPr>
        <w:t xml:space="preserve">6 751,54 рубль </w:t>
      </w:r>
      <w:r w:rsidR="00C76E9F" w:rsidRPr="0010107D">
        <w:rPr>
          <w:rFonts w:ascii="Times New Roman" w:eastAsia="Times New Roman" w:hAnsi="Times New Roman" w:cs="Times New Roman"/>
          <w:sz w:val="28"/>
          <w:szCs w:val="28"/>
          <w:lang w:eastAsia="ru-RU"/>
        </w:rPr>
        <w:t>по уходу за вторым ребенком и последующими детьми</w:t>
      </w:r>
      <w:r w:rsidR="00C76E9F">
        <w:rPr>
          <w:rFonts w:ascii="Times New Roman" w:eastAsia="Times New Roman" w:hAnsi="Times New Roman" w:cs="Times New Roman"/>
          <w:sz w:val="28"/>
          <w:szCs w:val="28"/>
          <w:lang w:eastAsia="ru-RU"/>
        </w:rPr>
        <w:t>;</w:t>
      </w:r>
      <w:r w:rsidR="00C76E9F" w:rsidRPr="0010107D">
        <w:rPr>
          <w:rFonts w:ascii="Times New Roman" w:eastAsia="Times New Roman" w:hAnsi="Times New Roman" w:cs="Times New Roman"/>
          <w:sz w:val="28"/>
          <w:szCs w:val="28"/>
          <w:lang w:eastAsia="ru-RU"/>
        </w:rPr>
        <w:t xml:space="preserve"> </w:t>
      </w:r>
      <w:r w:rsidR="006A00D4">
        <w:rPr>
          <w:rFonts w:ascii="Times New Roman" w:eastAsia="Times New Roman" w:hAnsi="Times New Roman" w:cs="Times New Roman"/>
          <w:sz w:val="28"/>
          <w:szCs w:val="28"/>
          <w:lang w:eastAsia="ru-RU"/>
        </w:rPr>
        <w:t xml:space="preserve">2019 г. </w:t>
      </w:r>
      <w:r w:rsidR="00610606">
        <w:rPr>
          <w:rFonts w:ascii="Times New Roman" w:eastAsia="Times New Roman" w:hAnsi="Times New Roman" w:cs="Times New Roman"/>
          <w:sz w:val="28"/>
          <w:szCs w:val="28"/>
          <w:lang w:eastAsia="ru-RU"/>
        </w:rPr>
        <w:t>–</w:t>
      </w:r>
      <w:r w:rsidR="00B34EE5" w:rsidRPr="0010107D">
        <w:rPr>
          <w:rFonts w:ascii="Times New Roman" w:eastAsia="Times New Roman" w:hAnsi="Times New Roman" w:cs="Times New Roman"/>
          <w:sz w:val="28"/>
          <w:szCs w:val="28"/>
          <w:lang w:eastAsia="ru-RU"/>
        </w:rPr>
        <w:t> </w:t>
      </w:r>
      <w:r w:rsidR="006A00D4" w:rsidRPr="0010107D">
        <w:rPr>
          <w:rFonts w:ascii="Times New Roman" w:eastAsia="Times New Roman" w:hAnsi="Times New Roman" w:cs="Times New Roman"/>
          <w:sz w:val="28"/>
          <w:szCs w:val="28"/>
          <w:lang w:eastAsia="ru-RU"/>
        </w:rPr>
        <w:t xml:space="preserve">3 277,45 рублей </w:t>
      </w:r>
      <w:r w:rsidR="006A00D4">
        <w:rPr>
          <w:rFonts w:ascii="Times New Roman" w:eastAsia="Times New Roman" w:hAnsi="Times New Roman" w:cs="Times New Roman"/>
          <w:sz w:val="28"/>
          <w:szCs w:val="28"/>
          <w:lang w:eastAsia="ru-RU"/>
        </w:rPr>
        <w:t xml:space="preserve">и </w:t>
      </w:r>
      <w:r w:rsidR="006A00D4" w:rsidRPr="0010107D">
        <w:rPr>
          <w:rFonts w:ascii="Times New Roman" w:eastAsia="Times New Roman" w:hAnsi="Times New Roman" w:cs="Times New Roman"/>
          <w:sz w:val="28"/>
          <w:szCs w:val="28"/>
          <w:lang w:eastAsia="ru-RU"/>
        </w:rPr>
        <w:t>6 554,89 рубля</w:t>
      </w:r>
      <w:r w:rsidR="00C76E9F">
        <w:rPr>
          <w:rFonts w:ascii="Times New Roman" w:eastAsia="Times New Roman" w:hAnsi="Times New Roman" w:cs="Times New Roman"/>
          <w:sz w:val="28"/>
          <w:szCs w:val="28"/>
          <w:lang w:eastAsia="ru-RU"/>
        </w:rPr>
        <w:t>, соответственно</w:t>
      </w:r>
      <w:r w:rsidRPr="0010107D">
        <w:rPr>
          <w:rFonts w:ascii="Times New Roman" w:eastAsia="Times New Roman" w:hAnsi="Times New Roman" w:cs="Times New Roman"/>
          <w:sz w:val="28"/>
          <w:szCs w:val="28"/>
          <w:lang w:eastAsia="ru-RU"/>
        </w:rPr>
        <w:t>),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w:t>
      </w:r>
      <w:r w:rsidR="006A00D4">
        <w:rPr>
          <w:rFonts w:ascii="Times New Roman" w:eastAsia="Times New Roman" w:hAnsi="Times New Roman" w:cs="Times New Roman"/>
          <w:sz w:val="28"/>
          <w:szCs w:val="28"/>
          <w:lang w:eastAsia="ru-RU"/>
        </w:rPr>
        <w:t xml:space="preserve"> </w:t>
      </w:r>
      <w:r w:rsidR="00E95A81">
        <w:rPr>
          <w:rFonts w:ascii="Times New Roman" w:eastAsia="Times New Roman" w:hAnsi="Times New Roman" w:cs="Times New Roman"/>
          <w:sz w:val="28"/>
          <w:szCs w:val="28"/>
          <w:lang w:eastAsia="ru-RU"/>
        </w:rPr>
        <w:t xml:space="preserve">14 165,7 рублей </w:t>
      </w:r>
      <w:r w:rsidR="00C76E9F">
        <w:rPr>
          <w:rFonts w:ascii="Times New Roman" w:eastAsia="Times New Roman" w:hAnsi="Times New Roman" w:cs="Times New Roman"/>
          <w:sz w:val="28"/>
          <w:szCs w:val="28"/>
          <w:lang w:eastAsia="ru-RU"/>
        </w:rPr>
        <w:t>(2020 г. –</w:t>
      </w:r>
      <w:r w:rsidR="00E56CA3">
        <w:rPr>
          <w:rFonts w:ascii="Times New Roman" w:eastAsia="Times New Roman" w:hAnsi="Times New Roman" w:cs="Times New Roman"/>
          <w:sz w:val="28"/>
          <w:szCs w:val="28"/>
          <w:lang w:eastAsia="ru-RU"/>
        </w:rPr>
        <w:t xml:space="preserve"> 13 504,0 рублей</w:t>
      </w:r>
      <w:r w:rsidR="00C76E9F">
        <w:rPr>
          <w:rFonts w:ascii="Times New Roman" w:eastAsia="Times New Roman" w:hAnsi="Times New Roman" w:cs="Times New Roman"/>
          <w:sz w:val="28"/>
          <w:szCs w:val="28"/>
          <w:lang w:eastAsia="ru-RU"/>
        </w:rPr>
        <w:t xml:space="preserve">; </w:t>
      </w:r>
      <w:r w:rsidR="006A00D4">
        <w:rPr>
          <w:rFonts w:ascii="Times New Roman" w:eastAsia="Times New Roman" w:hAnsi="Times New Roman" w:cs="Times New Roman"/>
          <w:sz w:val="28"/>
          <w:szCs w:val="28"/>
          <w:lang w:eastAsia="ru-RU"/>
        </w:rPr>
        <w:t xml:space="preserve">2019 г. – </w:t>
      </w:r>
      <w:r w:rsidR="006A00D4" w:rsidRPr="0010107D">
        <w:rPr>
          <w:rFonts w:ascii="Times New Roman" w:eastAsia="Times New Roman" w:hAnsi="Times New Roman" w:cs="Times New Roman"/>
          <w:sz w:val="28"/>
          <w:szCs w:val="28"/>
          <w:lang w:eastAsia="ru-RU"/>
        </w:rPr>
        <w:t>13 109,81 рублей</w:t>
      </w:r>
      <w:r w:rsidRPr="0010107D">
        <w:rPr>
          <w:rFonts w:ascii="Times New Roman" w:eastAsia="Times New Roman" w:hAnsi="Times New Roman" w:cs="Times New Roman"/>
          <w:sz w:val="28"/>
          <w:szCs w:val="28"/>
          <w:lang w:eastAsia="ru-RU"/>
        </w:rPr>
        <w:t>);</w:t>
      </w:r>
    </w:p>
    <w:p w14:paraId="7D700C86" w14:textId="77777777" w:rsidR="0010107D" w:rsidRPr="0010107D" w:rsidRDefault="0010107D" w:rsidP="0010107D">
      <w:pPr>
        <w:spacing w:after="0" w:line="319"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единовременное пособие беременной жене военнослужащего, проходящего военную службу по призыву, –</w:t>
      </w:r>
      <w:r w:rsidR="00B9772E">
        <w:rPr>
          <w:rFonts w:ascii="Times New Roman" w:eastAsia="Times New Roman" w:hAnsi="Times New Roman" w:cs="Times New Roman"/>
          <w:sz w:val="28"/>
          <w:szCs w:val="28"/>
          <w:lang w:eastAsia="ru-RU"/>
        </w:rPr>
        <w:t xml:space="preserve"> 29 908,46 рублей </w:t>
      </w:r>
      <w:r w:rsidRPr="0010107D">
        <w:rPr>
          <w:rFonts w:ascii="Times New Roman" w:eastAsia="Times New Roman" w:hAnsi="Times New Roman" w:cs="Times New Roman"/>
          <w:sz w:val="28"/>
          <w:szCs w:val="28"/>
          <w:lang w:eastAsia="ru-RU"/>
        </w:rPr>
        <w:t>(</w:t>
      </w:r>
      <w:r w:rsidR="00740392">
        <w:rPr>
          <w:rFonts w:ascii="Times New Roman" w:eastAsia="Times New Roman" w:hAnsi="Times New Roman" w:cs="Times New Roman"/>
          <w:sz w:val="28"/>
          <w:szCs w:val="28"/>
          <w:lang w:eastAsia="ru-RU"/>
        </w:rPr>
        <w:t>2020</w:t>
      </w:r>
      <w:r w:rsidR="00B9772E">
        <w:rPr>
          <w:rFonts w:ascii="Times New Roman" w:eastAsia="Times New Roman" w:hAnsi="Times New Roman" w:cs="Times New Roman"/>
          <w:sz w:val="28"/>
          <w:szCs w:val="28"/>
          <w:lang w:eastAsia="ru-RU"/>
        </w:rPr>
        <w:t xml:space="preserve"> г. – 28 511,4 рублей; </w:t>
      </w:r>
      <w:r w:rsidR="00B9772E">
        <w:rPr>
          <w:rFonts w:ascii="Times New Roman" w:eastAsia="Times New Roman" w:hAnsi="Times New Roman" w:cs="Times New Roman"/>
          <w:sz w:val="28"/>
          <w:szCs w:val="28"/>
          <w:lang w:eastAsia="ru-RU"/>
        </w:rPr>
        <w:br/>
      </w:r>
      <w:r w:rsidR="006A00D4">
        <w:rPr>
          <w:rFonts w:ascii="Times New Roman" w:eastAsia="Times New Roman" w:hAnsi="Times New Roman" w:cs="Times New Roman"/>
          <w:sz w:val="28"/>
          <w:szCs w:val="28"/>
          <w:lang w:eastAsia="ru-RU"/>
        </w:rPr>
        <w:t xml:space="preserve">2019 г. – </w:t>
      </w:r>
      <w:r w:rsidR="00DB3950">
        <w:rPr>
          <w:rFonts w:ascii="Times New Roman" w:eastAsia="Times New Roman" w:hAnsi="Times New Roman" w:cs="Times New Roman"/>
          <w:sz w:val="28"/>
          <w:szCs w:val="28"/>
          <w:lang w:eastAsia="ru-RU"/>
        </w:rPr>
        <w:t>27 680,</w:t>
      </w:r>
      <w:r w:rsidR="006A00D4" w:rsidRPr="0010107D">
        <w:rPr>
          <w:rFonts w:ascii="Times New Roman" w:eastAsia="Times New Roman" w:hAnsi="Times New Roman" w:cs="Times New Roman"/>
          <w:sz w:val="28"/>
          <w:szCs w:val="28"/>
          <w:lang w:eastAsia="ru-RU"/>
        </w:rPr>
        <w:t>97 рублей</w:t>
      </w:r>
      <w:r w:rsidRPr="0010107D">
        <w:rPr>
          <w:rFonts w:ascii="Times New Roman" w:eastAsia="Times New Roman" w:hAnsi="Times New Roman" w:cs="Times New Roman"/>
          <w:sz w:val="28"/>
          <w:szCs w:val="28"/>
          <w:lang w:eastAsia="ru-RU"/>
        </w:rPr>
        <w:t>);</w:t>
      </w:r>
    </w:p>
    <w:p w14:paraId="4E9D6F62" w14:textId="77777777" w:rsidR="0010107D" w:rsidRPr="0010107D" w:rsidRDefault="0010107D" w:rsidP="0010107D">
      <w:pPr>
        <w:spacing w:after="0" w:line="319"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xml:space="preserve">- ежемесячное пособие на ребенка военнослужащего, проходящего военную службу по призыву, – </w:t>
      </w:r>
      <w:r w:rsidR="00B9772E">
        <w:rPr>
          <w:rFonts w:ascii="Times New Roman" w:eastAsia="Times New Roman" w:hAnsi="Times New Roman" w:cs="Times New Roman"/>
          <w:sz w:val="28"/>
          <w:szCs w:val="28"/>
          <w:lang w:eastAsia="ru-RU"/>
        </w:rPr>
        <w:t xml:space="preserve">12 817,91 рублей </w:t>
      </w:r>
      <w:r w:rsidRPr="0010107D">
        <w:rPr>
          <w:rFonts w:ascii="Times New Roman" w:eastAsia="Times New Roman" w:hAnsi="Times New Roman" w:cs="Times New Roman"/>
          <w:sz w:val="28"/>
          <w:szCs w:val="28"/>
          <w:lang w:eastAsia="ru-RU"/>
        </w:rPr>
        <w:t>(</w:t>
      </w:r>
      <w:r w:rsidR="00B9772E">
        <w:rPr>
          <w:rFonts w:ascii="Times New Roman" w:eastAsia="Times New Roman" w:hAnsi="Times New Roman" w:cs="Times New Roman"/>
          <w:sz w:val="28"/>
          <w:szCs w:val="28"/>
          <w:lang w:eastAsia="ru-RU"/>
        </w:rPr>
        <w:t xml:space="preserve">2020 г. – 12 219,17 рублей; </w:t>
      </w:r>
      <w:r w:rsidR="006A00D4">
        <w:rPr>
          <w:rFonts w:ascii="Times New Roman" w:eastAsia="Times New Roman" w:hAnsi="Times New Roman" w:cs="Times New Roman"/>
          <w:sz w:val="28"/>
          <w:szCs w:val="28"/>
          <w:lang w:eastAsia="ru-RU"/>
        </w:rPr>
        <w:t xml:space="preserve">2019 г. </w:t>
      </w:r>
      <w:r w:rsidR="004A3091">
        <w:rPr>
          <w:rFonts w:ascii="Times New Roman" w:eastAsia="Times New Roman" w:hAnsi="Times New Roman" w:cs="Times New Roman"/>
          <w:sz w:val="28"/>
          <w:szCs w:val="28"/>
          <w:lang w:eastAsia="ru-RU"/>
        </w:rPr>
        <w:t xml:space="preserve">– </w:t>
      </w:r>
      <w:r w:rsidR="00B9772E">
        <w:rPr>
          <w:rFonts w:ascii="Times New Roman" w:eastAsia="Times New Roman" w:hAnsi="Times New Roman" w:cs="Times New Roman"/>
          <w:sz w:val="28"/>
          <w:szCs w:val="28"/>
          <w:lang w:eastAsia="ru-RU"/>
        </w:rPr>
        <w:t>11 863,27 рубля</w:t>
      </w:r>
      <w:r w:rsidRPr="0010107D">
        <w:rPr>
          <w:rFonts w:ascii="Times New Roman" w:eastAsia="Times New Roman" w:hAnsi="Times New Roman" w:cs="Times New Roman"/>
          <w:sz w:val="28"/>
          <w:szCs w:val="28"/>
          <w:lang w:eastAsia="ru-RU"/>
        </w:rPr>
        <w:t>);</w:t>
      </w:r>
    </w:p>
    <w:p w14:paraId="08C6E270" w14:textId="77777777" w:rsidR="0010107D" w:rsidRPr="0010107D" w:rsidRDefault="0010107D" w:rsidP="0010107D">
      <w:pPr>
        <w:spacing w:after="0" w:line="319" w:lineRule="auto"/>
        <w:ind w:firstLine="709"/>
        <w:jc w:val="both"/>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w:t>
      </w:r>
      <w:r w:rsidR="00B9772E">
        <w:rPr>
          <w:rFonts w:ascii="Times New Roman" w:eastAsia="Times New Roman" w:hAnsi="Times New Roman" w:cs="Times New Roman"/>
          <w:sz w:val="28"/>
          <w:szCs w:val="28"/>
          <w:lang w:eastAsia="ru-RU"/>
        </w:rPr>
        <w:t xml:space="preserve">18 886,32 рублей </w:t>
      </w:r>
      <w:r w:rsidRPr="0010107D">
        <w:rPr>
          <w:rFonts w:ascii="Times New Roman" w:eastAsia="Times New Roman" w:hAnsi="Times New Roman" w:cs="Times New Roman"/>
          <w:sz w:val="28"/>
          <w:szCs w:val="28"/>
          <w:lang w:eastAsia="ru-RU"/>
        </w:rPr>
        <w:t>(</w:t>
      </w:r>
      <w:r w:rsidR="00B9772E">
        <w:rPr>
          <w:rFonts w:ascii="Times New Roman" w:eastAsia="Times New Roman" w:hAnsi="Times New Roman" w:cs="Times New Roman"/>
          <w:sz w:val="28"/>
          <w:szCs w:val="28"/>
          <w:lang w:eastAsia="ru-RU"/>
        </w:rPr>
        <w:t xml:space="preserve">2020 г. – 18 004,12 рубля; </w:t>
      </w:r>
      <w:r w:rsidR="00041F56">
        <w:rPr>
          <w:rFonts w:ascii="Times New Roman" w:eastAsia="Times New Roman" w:hAnsi="Times New Roman" w:cs="Times New Roman"/>
          <w:sz w:val="28"/>
          <w:szCs w:val="28"/>
          <w:lang w:eastAsia="ru-RU"/>
        </w:rPr>
        <w:t xml:space="preserve">2019 г. – </w:t>
      </w:r>
      <w:r w:rsidR="00041F56" w:rsidRPr="0010107D">
        <w:rPr>
          <w:rFonts w:ascii="Times New Roman" w:eastAsia="Times New Roman" w:hAnsi="Times New Roman" w:cs="Times New Roman"/>
          <w:sz w:val="28"/>
          <w:szCs w:val="28"/>
          <w:lang w:eastAsia="ru-RU"/>
        </w:rPr>
        <w:t>17 479,73 рублей</w:t>
      </w:r>
      <w:r w:rsidRPr="0010107D">
        <w:rPr>
          <w:rFonts w:ascii="Times New Roman" w:eastAsia="Times New Roman" w:hAnsi="Times New Roman" w:cs="Times New Roman"/>
          <w:sz w:val="28"/>
          <w:szCs w:val="28"/>
          <w:lang w:eastAsia="ru-RU"/>
        </w:rPr>
        <w:t>).</w:t>
      </w:r>
    </w:p>
    <w:p w14:paraId="50E9A260" w14:textId="25B20FAA" w:rsidR="0010107D" w:rsidRPr="0010107D" w:rsidRDefault="0010107D" w:rsidP="0010107D">
      <w:pPr>
        <w:shd w:val="clear" w:color="auto" w:fill="FFFFFF"/>
        <w:spacing w:after="0" w:line="319" w:lineRule="auto"/>
        <w:ind w:firstLine="709"/>
        <w:jc w:val="both"/>
        <w:outlineLvl w:val="1"/>
        <w:rPr>
          <w:rFonts w:ascii="Times New Roman" w:eastAsia="Calibri" w:hAnsi="Times New Roman" w:cs="Times New Roman"/>
          <w:sz w:val="28"/>
          <w:szCs w:val="28"/>
        </w:rPr>
      </w:pPr>
      <w:r w:rsidRPr="0010107D">
        <w:rPr>
          <w:rFonts w:ascii="Times New Roman" w:eastAsia="Calibri" w:hAnsi="Times New Roman" w:cs="Times New Roman"/>
          <w:sz w:val="28"/>
          <w:szCs w:val="28"/>
        </w:rPr>
        <w:t>При усыновлении ребенка</w:t>
      </w:r>
      <w:r w:rsidR="003B77D7">
        <w:rPr>
          <w:rFonts w:ascii="Times New Roman" w:eastAsia="Calibri" w:hAnsi="Times New Roman" w:cs="Times New Roman"/>
          <w:sz w:val="28"/>
          <w:szCs w:val="28"/>
        </w:rPr>
        <w:t xml:space="preserve"> с инвалидностью</w:t>
      </w:r>
      <w:r w:rsidRPr="0010107D">
        <w:rPr>
          <w:rFonts w:ascii="Times New Roman" w:eastAsia="Calibri" w:hAnsi="Times New Roman" w:cs="Times New Roman"/>
          <w:sz w:val="28"/>
          <w:szCs w:val="28"/>
        </w:rPr>
        <w:t>, ребенка в возрасте старше 7 лет, а также детей, являющихся братьями и (или) сестрами, начиная с 2013 г</w:t>
      </w:r>
      <w:r w:rsidR="00997977">
        <w:rPr>
          <w:rFonts w:ascii="Times New Roman" w:eastAsia="Calibri" w:hAnsi="Times New Roman" w:cs="Times New Roman"/>
          <w:sz w:val="28"/>
          <w:szCs w:val="28"/>
        </w:rPr>
        <w:t>.</w:t>
      </w:r>
      <w:r w:rsidRPr="0010107D">
        <w:rPr>
          <w:rFonts w:ascii="Times New Roman" w:eastAsia="Calibri" w:hAnsi="Times New Roman" w:cs="Times New Roman"/>
          <w:sz w:val="28"/>
          <w:szCs w:val="28"/>
        </w:rPr>
        <w:t>, назначается единовременное пособие при передаче ребенка в семью. В 20</w:t>
      </w:r>
      <w:r w:rsidR="006221A7">
        <w:rPr>
          <w:rFonts w:ascii="Times New Roman" w:eastAsia="Calibri" w:hAnsi="Times New Roman" w:cs="Times New Roman"/>
          <w:sz w:val="28"/>
          <w:szCs w:val="28"/>
        </w:rPr>
        <w:t>20</w:t>
      </w:r>
      <w:r w:rsidRPr="0010107D">
        <w:rPr>
          <w:rFonts w:ascii="Times New Roman" w:eastAsia="Calibri" w:hAnsi="Times New Roman" w:cs="Times New Roman"/>
          <w:sz w:val="28"/>
          <w:szCs w:val="28"/>
        </w:rPr>
        <w:t xml:space="preserve"> г</w:t>
      </w:r>
      <w:r w:rsidR="00997977">
        <w:rPr>
          <w:rFonts w:ascii="Times New Roman" w:eastAsia="Calibri" w:hAnsi="Times New Roman" w:cs="Times New Roman"/>
          <w:sz w:val="28"/>
          <w:szCs w:val="28"/>
        </w:rPr>
        <w:t>.</w:t>
      </w:r>
      <w:r w:rsidRPr="0010107D">
        <w:rPr>
          <w:rFonts w:ascii="Times New Roman" w:eastAsia="Calibri" w:hAnsi="Times New Roman" w:cs="Times New Roman"/>
          <w:sz w:val="28"/>
          <w:szCs w:val="28"/>
        </w:rPr>
        <w:t xml:space="preserve"> размер данного пособия составил </w:t>
      </w:r>
      <w:r w:rsidR="009002D1">
        <w:rPr>
          <w:rFonts w:ascii="Times New Roman" w:eastAsia="Calibri" w:hAnsi="Times New Roman" w:cs="Times New Roman"/>
          <w:sz w:val="28"/>
          <w:szCs w:val="28"/>
        </w:rPr>
        <w:t xml:space="preserve">144 306,88 рублей </w:t>
      </w:r>
      <w:r w:rsidRPr="0010107D">
        <w:rPr>
          <w:rFonts w:ascii="Times New Roman" w:eastAsia="Calibri" w:hAnsi="Times New Roman" w:cs="Times New Roman"/>
          <w:sz w:val="28"/>
          <w:szCs w:val="28"/>
        </w:rPr>
        <w:t>(</w:t>
      </w:r>
      <w:r w:rsidR="00B9772E">
        <w:rPr>
          <w:rFonts w:ascii="Times New Roman" w:eastAsia="Calibri" w:hAnsi="Times New Roman" w:cs="Times New Roman"/>
          <w:sz w:val="28"/>
          <w:szCs w:val="28"/>
        </w:rPr>
        <w:t xml:space="preserve">2020 г. – 137 566,14 рублей; </w:t>
      </w:r>
      <w:r w:rsidR="006221A7">
        <w:rPr>
          <w:rFonts w:ascii="Times New Roman" w:eastAsia="Calibri" w:hAnsi="Times New Roman" w:cs="Times New Roman"/>
          <w:sz w:val="28"/>
          <w:szCs w:val="28"/>
        </w:rPr>
        <w:t xml:space="preserve">2019 г. – </w:t>
      </w:r>
      <w:r w:rsidR="006221A7" w:rsidRPr="0010107D">
        <w:rPr>
          <w:rFonts w:ascii="Times New Roman" w:eastAsia="Calibri" w:hAnsi="Times New Roman" w:cs="Times New Roman"/>
          <w:sz w:val="28"/>
          <w:szCs w:val="28"/>
        </w:rPr>
        <w:t>133 559,36 рублей</w:t>
      </w:r>
      <w:r w:rsidRPr="0010107D">
        <w:rPr>
          <w:rFonts w:ascii="Times New Roman" w:eastAsia="Calibri" w:hAnsi="Times New Roman" w:cs="Times New Roman"/>
          <w:sz w:val="28"/>
          <w:szCs w:val="28"/>
        </w:rPr>
        <w:t>).</w:t>
      </w:r>
    </w:p>
    <w:p w14:paraId="2E0725DA" w14:textId="77777777" w:rsidR="0010107D" w:rsidRPr="0010107D" w:rsidRDefault="0010107D" w:rsidP="0010107D">
      <w:pPr>
        <w:shd w:val="clear" w:color="auto" w:fill="FFFFFF"/>
        <w:spacing w:after="0" w:line="319" w:lineRule="auto"/>
        <w:ind w:firstLine="709"/>
        <w:jc w:val="both"/>
        <w:outlineLvl w:val="1"/>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В 20</w:t>
      </w:r>
      <w:r w:rsidR="006221A7">
        <w:rPr>
          <w:rFonts w:ascii="Times New Roman" w:eastAsia="Times New Roman" w:hAnsi="Times New Roman" w:cs="Times New Roman"/>
          <w:sz w:val="28"/>
          <w:szCs w:val="28"/>
          <w:lang w:eastAsia="ru-RU"/>
        </w:rPr>
        <w:t>2</w:t>
      </w:r>
      <w:r w:rsidR="009002D1">
        <w:rPr>
          <w:rFonts w:ascii="Times New Roman" w:eastAsia="Times New Roman" w:hAnsi="Times New Roman" w:cs="Times New Roman"/>
          <w:sz w:val="28"/>
          <w:szCs w:val="28"/>
          <w:lang w:eastAsia="ru-RU"/>
        </w:rPr>
        <w:t>1</w:t>
      </w:r>
      <w:r w:rsidRPr="0010107D">
        <w:rPr>
          <w:rFonts w:ascii="Times New Roman" w:eastAsia="Times New Roman" w:hAnsi="Times New Roman" w:cs="Times New Roman"/>
          <w:sz w:val="28"/>
          <w:szCs w:val="28"/>
          <w:lang w:eastAsia="ru-RU"/>
        </w:rPr>
        <w:t xml:space="preserve"> г</w:t>
      </w:r>
      <w:r w:rsidR="00997977">
        <w:rPr>
          <w:rFonts w:ascii="Times New Roman" w:eastAsia="Times New Roman" w:hAnsi="Times New Roman" w:cs="Times New Roman"/>
          <w:sz w:val="28"/>
          <w:szCs w:val="28"/>
          <w:lang w:eastAsia="ru-RU"/>
        </w:rPr>
        <w:t>.</w:t>
      </w:r>
      <w:r w:rsidRPr="0010107D">
        <w:rPr>
          <w:rFonts w:ascii="Times New Roman" w:eastAsia="Times New Roman" w:hAnsi="Times New Roman" w:cs="Times New Roman"/>
          <w:sz w:val="28"/>
          <w:szCs w:val="28"/>
          <w:lang w:eastAsia="ru-RU"/>
        </w:rPr>
        <w:t xml:space="preserve"> на выплату государственных пособий из федерального бюджета было направлено:</w:t>
      </w:r>
    </w:p>
    <w:p w14:paraId="6343E207" w14:textId="77777777" w:rsidR="0010107D" w:rsidRPr="0010107D" w:rsidRDefault="003B386C" w:rsidP="0010107D">
      <w:pPr>
        <w:shd w:val="clear" w:color="auto" w:fill="FFFFFF"/>
        <w:spacing w:after="0" w:line="319"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221A7">
        <w:rPr>
          <w:rFonts w:ascii="Times New Roman" w:eastAsia="Times New Roman" w:hAnsi="Times New Roman" w:cs="Times New Roman"/>
          <w:sz w:val="28"/>
          <w:szCs w:val="28"/>
          <w:lang w:eastAsia="ru-RU"/>
        </w:rPr>
        <w:t xml:space="preserve"> </w:t>
      </w:r>
      <w:r w:rsidR="009002D1">
        <w:rPr>
          <w:rFonts w:ascii="Times New Roman" w:eastAsia="Times New Roman" w:hAnsi="Times New Roman" w:cs="Times New Roman"/>
          <w:sz w:val="28"/>
          <w:szCs w:val="28"/>
          <w:lang w:eastAsia="ru-RU"/>
        </w:rPr>
        <w:t xml:space="preserve">83 113,5 млн рублей </w:t>
      </w:r>
      <w:r w:rsidR="006221A7">
        <w:rPr>
          <w:rFonts w:ascii="Times New Roman" w:eastAsia="Times New Roman" w:hAnsi="Times New Roman" w:cs="Times New Roman"/>
          <w:sz w:val="28"/>
          <w:szCs w:val="28"/>
          <w:lang w:eastAsia="ru-RU"/>
        </w:rPr>
        <w:t xml:space="preserve">– </w:t>
      </w:r>
      <w:r w:rsidR="0010107D" w:rsidRPr="0010107D">
        <w:rPr>
          <w:rFonts w:ascii="Times New Roman" w:eastAsia="Times New Roman" w:hAnsi="Times New Roman" w:cs="Times New Roman"/>
          <w:sz w:val="28"/>
          <w:szCs w:val="28"/>
          <w:lang w:eastAsia="ru-RU"/>
        </w:rPr>
        <w:t>на выплату единовременного пособия женщинам, вставшим на учет в медицинских организациях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w:t>
      </w:r>
      <w:r w:rsidR="009002D1">
        <w:rPr>
          <w:rFonts w:ascii="Times New Roman" w:eastAsia="Times New Roman" w:hAnsi="Times New Roman" w:cs="Times New Roman"/>
          <w:sz w:val="28"/>
          <w:szCs w:val="28"/>
          <w:lang w:eastAsia="ru-RU"/>
        </w:rPr>
        <w:t xml:space="preserve">2020 г. – 73 557,5 млн рублей; </w:t>
      </w:r>
      <w:r w:rsidR="006221A7">
        <w:rPr>
          <w:rFonts w:ascii="Times New Roman" w:eastAsia="Times New Roman" w:hAnsi="Times New Roman" w:cs="Times New Roman"/>
          <w:sz w:val="28"/>
          <w:szCs w:val="28"/>
          <w:lang w:eastAsia="ru-RU"/>
        </w:rPr>
        <w:t xml:space="preserve">2019 г. </w:t>
      </w:r>
      <w:r w:rsidR="00E46D2E">
        <w:rPr>
          <w:rFonts w:ascii="Times New Roman" w:eastAsia="Times New Roman" w:hAnsi="Times New Roman" w:cs="Times New Roman"/>
          <w:sz w:val="28"/>
          <w:szCs w:val="28"/>
          <w:lang w:eastAsia="ru-RU"/>
        </w:rPr>
        <w:t>–</w:t>
      </w:r>
      <w:r w:rsidR="009002D1" w:rsidRPr="0010107D">
        <w:rPr>
          <w:rFonts w:ascii="Times New Roman" w:eastAsia="Times New Roman" w:hAnsi="Times New Roman" w:cs="Times New Roman"/>
          <w:sz w:val="28"/>
          <w:szCs w:val="28"/>
          <w:lang w:eastAsia="ru-RU"/>
        </w:rPr>
        <w:t> </w:t>
      </w:r>
      <w:r w:rsidR="006221A7" w:rsidRPr="0010107D">
        <w:rPr>
          <w:rFonts w:ascii="Times New Roman" w:eastAsia="Times New Roman" w:hAnsi="Times New Roman" w:cs="Times New Roman"/>
          <w:sz w:val="28"/>
          <w:szCs w:val="28"/>
          <w:lang w:eastAsia="ru-RU"/>
        </w:rPr>
        <w:t>71 678,0 млн рублей</w:t>
      </w:r>
      <w:r w:rsidR="0010107D" w:rsidRPr="0010107D">
        <w:rPr>
          <w:rFonts w:ascii="Times New Roman" w:eastAsia="Times New Roman" w:hAnsi="Times New Roman" w:cs="Times New Roman"/>
          <w:sz w:val="28"/>
          <w:szCs w:val="28"/>
          <w:lang w:eastAsia="ru-RU"/>
        </w:rPr>
        <w:t>);</w:t>
      </w:r>
    </w:p>
    <w:p w14:paraId="3E430B79" w14:textId="77777777" w:rsidR="0010107D" w:rsidRPr="0010107D" w:rsidRDefault="003B386C" w:rsidP="0010107D">
      <w:pPr>
        <w:shd w:val="clear" w:color="auto" w:fill="FFFFFF"/>
        <w:spacing w:after="0" w:line="319"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34EE5">
        <w:rPr>
          <w:rFonts w:ascii="Times New Roman" w:eastAsia="Times New Roman" w:hAnsi="Times New Roman" w:cs="Times New Roman"/>
          <w:sz w:val="28"/>
          <w:szCs w:val="28"/>
          <w:lang w:eastAsia="ru-RU"/>
        </w:rPr>
        <w:t> 658,6 млн</w:t>
      </w:r>
      <w:r w:rsidR="00B32C62">
        <w:rPr>
          <w:rFonts w:ascii="Times New Roman" w:eastAsia="Times New Roman" w:hAnsi="Times New Roman" w:cs="Times New Roman"/>
          <w:sz w:val="28"/>
          <w:szCs w:val="28"/>
          <w:lang w:eastAsia="ru-RU"/>
        </w:rPr>
        <w:t xml:space="preserve"> рублей</w:t>
      </w:r>
      <w:r w:rsidR="006221A7">
        <w:rPr>
          <w:rFonts w:ascii="Times New Roman" w:eastAsia="Times New Roman" w:hAnsi="Times New Roman" w:cs="Times New Roman"/>
          <w:sz w:val="28"/>
          <w:szCs w:val="28"/>
          <w:lang w:eastAsia="ru-RU"/>
        </w:rPr>
        <w:t xml:space="preserve"> – </w:t>
      </w:r>
      <w:r w:rsidR="0010107D" w:rsidRPr="0010107D">
        <w:rPr>
          <w:rFonts w:ascii="Times New Roman" w:eastAsia="Times New Roman" w:hAnsi="Times New Roman" w:cs="Times New Roman"/>
          <w:sz w:val="28"/>
          <w:szCs w:val="28"/>
          <w:lang w:eastAsia="ru-RU"/>
        </w:rPr>
        <w:t>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w:t>
      </w:r>
      <w:r w:rsidR="003A0CE0">
        <w:rPr>
          <w:rFonts w:ascii="Times New Roman" w:eastAsia="Times New Roman" w:hAnsi="Times New Roman" w:cs="Times New Roman"/>
          <w:sz w:val="28"/>
          <w:szCs w:val="28"/>
          <w:lang w:eastAsia="ru-RU"/>
        </w:rPr>
        <w:t>2020 г. – 659,4 млн</w:t>
      </w:r>
      <w:r w:rsidR="00B32C62">
        <w:rPr>
          <w:rFonts w:ascii="Times New Roman" w:eastAsia="Times New Roman" w:hAnsi="Times New Roman" w:cs="Times New Roman"/>
          <w:sz w:val="28"/>
          <w:szCs w:val="28"/>
          <w:lang w:eastAsia="ru-RU"/>
        </w:rPr>
        <w:t xml:space="preserve"> рублей; </w:t>
      </w:r>
      <w:r w:rsidR="006221A7">
        <w:rPr>
          <w:rFonts w:ascii="Times New Roman" w:eastAsia="Times New Roman" w:hAnsi="Times New Roman" w:cs="Times New Roman"/>
          <w:sz w:val="28"/>
          <w:szCs w:val="28"/>
          <w:lang w:eastAsia="ru-RU"/>
        </w:rPr>
        <w:t xml:space="preserve">2019 г. – </w:t>
      </w:r>
      <w:r w:rsidR="00ED0F51">
        <w:rPr>
          <w:rFonts w:ascii="Times New Roman" w:eastAsia="Times New Roman" w:hAnsi="Times New Roman" w:cs="Times New Roman"/>
          <w:sz w:val="28"/>
          <w:szCs w:val="28"/>
          <w:lang w:eastAsia="ru-RU"/>
        </w:rPr>
        <w:t>722,2 млн</w:t>
      </w:r>
      <w:r w:rsidR="006221A7" w:rsidRPr="0010107D">
        <w:rPr>
          <w:rFonts w:ascii="Times New Roman" w:eastAsia="Times New Roman" w:hAnsi="Times New Roman" w:cs="Times New Roman"/>
          <w:sz w:val="28"/>
          <w:szCs w:val="28"/>
          <w:lang w:eastAsia="ru-RU"/>
        </w:rPr>
        <w:t xml:space="preserve"> рублей</w:t>
      </w:r>
      <w:r w:rsidR="0010107D" w:rsidRPr="0010107D">
        <w:rPr>
          <w:rFonts w:ascii="Times New Roman" w:eastAsia="Times New Roman" w:hAnsi="Times New Roman" w:cs="Times New Roman"/>
          <w:sz w:val="28"/>
          <w:szCs w:val="28"/>
          <w:lang w:eastAsia="ru-RU"/>
        </w:rPr>
        <w:t>);</w:t>
      </w:r>
    </w:p>
    <w:p w14:paraId="2D1BEE22" w14:textId="77777777" w:rsidR="0010107D" w:rsidRDefault="003B386C" w:rsidP="0010107D">
      <w:pPr>
        <w:shd w:val="clear" w:color="auto" w:fill="FFFFFF"/>
        <w:spacing w:after="0" w:line="319" w:lineRule="auto"/>
        <w:ind w:firstLine="709"/>
        <w:jc w:val="both"/>
        <w:outlineLvl w:val="1"/>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w:t>
      </w:r>
      <w:r w:rsidR="00B34EE5">
        <w:rPr>
          <w:rFonts w:ascii="Times New Roman" w:eastAsia="Times New Roman" w:hAnsi="Times New Roman" w:cs="Times New Roman"/>
          <w:sz w:val="28"/>
          <w:szCs w:val="28"/>
          <w:lang w:eastAsia="ru-RU"/>
        </w:rPr>
        <w:t> 1 165,2 млн</w:t>
      </w:r>
      <w:r w:rsidR="007E67BA">
        <w:rPr>
          <w:rFonts w:ascii="Times New Roman" w:eastAsia="Times New Roman" w:hAnsi="Times New Roman" w:cs="Times New Roman"/>
          <w:sz w:val="28"/>
          <w:szCs w:val="28"/>
          <w:lang w:eastAsia="ru-RU"/>
        </w:rPr>
        <w:t xml:space="preserve"> рублей</w:t>
      </w:r>
      <w:r w:rsidR="0010107D" w:rsidRPr="0010107D">
        <w:rPr>
          <w:rFonts w:ascii="Times New Roman" w:eastAsia="Times New Roman" w:hAnsi="Times New Roman" w:cs="Times New Roman"/>
          <w:sz w:val="28"/>
          <w:szCs w:val="28"/>
          <w:lang w:eastAsia="ru-RU"/>
        </w:rPr>
        <w:t xml:space="preserve"> – на выплату единовременных пособий </w:t>
      </w:r>
      <w:r w:rsidR="0010107D" w:rsidRPr="0010107D">
        <w:rPr>
          <w:rFonts w:ascii="Times New Roman" w:eastAsia="Calibri" w:hAnsi="Times New Roman" w:cs="Times New Roman"/>
          <w:sz w:val="28"/>
          <w:szCs w:val="28"/>
          <w:lang w:eastAsia="ru-RU"/>
        </w:rPr>
        <w:t>при всех формах устройства детей-сирот в семьи граждан (</w:t>
      </w:r>
      <w:r w:rsidR="007E67BA">
        <w:rPr>
          <w:rFonts w:ascii="Times New Roman" w:eastAsia="Calibri" w:hAnsi="Times New Roman" w:cs="Times New Roman"/>
          <w:sz w:val="28"/>
          <w:szCs w:val="28"/>
          <w:lang w:eastAsia="ru-RU"/>
        </w:rPr>
        <w:t xml:space="preserve">2020 г. – </w:t>
      </w:r>
      <w:r w:rsidR="007E67BA">
        <w:rPr>
          <w:rFonts w:ascii="Times New Roman" w:eastAsia="Times New Roman" w:hAnsi="Times New Roman" w:cs="Times New Roman"/>
          <w:sz w:val="28"/>
          <w:szCs w:val="28"/>
          <w:lang w:eastAsia="ru-RU"/>
        </w:rPr>
        <w:t>982,9 млн</w:t>
      </w:r>
      <w:r w:rsidR="007E67BA" w:rsidRPr="0010107D">
        <w:rPr>
          <w:rFonts w:ascii="Times New Roman" w:eastAsia="Times New Roman" w:hAnsi="Times New Roman" w:cs="Times New Roman"/>
          <w:sz w:val="28"/>
          <w:szCs w:val="28"/>
          <w:lang w:eastAsia="ru-RU"/>
        </w:rPr>
        <w:t xml:space="preserve"> рублей</w:t>
      </w:r>
      <w:r w:rsidR="007E67BA">
        <w:rPr>
          <w:rFonts w:ascii="Times New Roman" w:eastAsia="Times New Roman" w:hAnsi="Times New Roman" w:cs="Times New Roman"/>
          <w:sz w:val="28"/>
          <w:szCs w:val="28"/>
          <w:lang w:eastAsia="ru-RU"/>
        </w:rPr>
        <w:t>;</w:t>
      </w:r>
      <w:r w:rsidR="007E67BA">
        <w:rPr>
          <w:rFonts w:ascii="Times New Roman" w:eastAsia="Calibri" w:hAnsi="Times New Roman" w:cs="Times New Roman"/>
          <w:sz w:val="28"/>
          <w:szCs w:val="28"/>
          <w:lang w:eastAsia="ru-RU"/>
        </w:rPr>
        <w:t xml:space="preserve"> </w:t>
      </w:r>
      <w:r w:rsidR="00ED0F51">
        <w:rPr>
          <w:rFonts w:ascii="Times New Roman" w:eastAsia="Calibri" w:hAnsi="Times New Roman" w:cs="Times New Roman"/>
          <w:sz w:val="28"/>
          <w:szCs w:val="28"/>
          <w:lang w:eastAsia="ru-RU"/>
        </w:rPr>
        <w:t>2019 г. – 1 119,7 млн</w:t>
      </w:r>
      <w:r w:rsidR="00563B26">
        <w:rPr>
          <w:rFonts w:ascii="Times New Roman" w:eastAsia="Calibri" w:hAnsi="Times New Roman" w:cs="Times New Roman"/>
          <w:sz w:val="28"/>
          <w:szCs w:val="28"/>
          <w:lang w:eastAsia="ru-RU"/>
        </w:rPr>
        <w:t xml:space="preserve"> рублей</w:t>
      </w:r>
      <w:r w:rsidR="0010107D" w:rsidRPr="0010107D">
        <w:rPr>
          <w:rFonts w:ascii="Times New Roman" w:eastAsia="Times New Roman" w:hAnsi="Times New Roman" w:cs="Times New Roman"/>
          <w:sz w:val="28"/>
          <w:szCs w:val="28"/>
          <w:lang w:eastAsia="ru-RU"/>
        </w:rPr>
        <w:t>)</w:t>
      </w:r>
      <w:r w:rsidR="0010107D" w:rsidRPr="0010107D">
        <w:rPr>
          <w:rFonts w:ascii="Times New Roman" w:eastAsia="Calibri" w:hAnsi="Times New Roman" w:cs="Times New Roman"/>
          <w:sz w:val="28"/>
          <w:szCs w:val="28"/>
          <w:lang w:eastAsia="ru-RU"/>
        </w:rPr>
        <w:t>.</w:t>
      </w:r>
    </w:p>
    <w:p w14:paraId="238B6BA4" w14:textId="77777777" w:rsidR="00563B26" w:rsidRDefault="00563B26" w:rsidP="0010107D">
      <w:pPr>
        <w:shd w:val="clear" w:color="auto" w:fill="FFFFFF"/>
        <w:spacing w:after="0" w:line="319"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Федеральным законом от 26 мая 2021 г. № 151-ФЗ «О внесении изменений в отдельные законодательные акты Российской Федерации» с 1 июля 2021 г. вместо единовременного пособия женщинам, вставшим на учет в медицинск</w:t>
      </w:r>
      <w:r w:rsidR="009E13B1">
        <w:rPr>
          <w:rFonts w:ascii="Times New Roman" w:eastAsia="Times New Roman" w:hAnsi="Times New Roman" w:cs="Times New Roman"/>
          <w:sz w:val="28"/>
          <w:szCs w:val="28"/>
          <w:lang w:eastAsia="ru-RU"/>
        </w:rPr>
        <w:t>их</w:t>
      </w:r>
      <w:r>
        <w:rPr>
          <w:rFonts w:ascii="Times New Roman" w:eastAsia="Times New Roman" w:hAnsi="Times New Roman" w:cs="Times New Roman"/>
          <w:sz w:val="28"/>
          <w:szCs w:val="28"/>
          <w:lang w:eastAsia="ru-RU"/>
        </w:rPr>
        <w:t xml:space="preserve"> организаци</w:t>
      </w:r>
      <w:r w:rsidR="009E13B1">
        <w:rPr>
          <w:rFonts w:ascii="Times New Roman" w:eastAsia="Times New Roman" w:hAnsi="Times New Roman" w:cs="Times New Roman"/>
          <w:sz w:val="28"/>
          <w:szCs w:val="28"/>
          <w:lang w:eastAsia="ru-RU"/>
        </w:rPr>
        <w:t>ях</w:t>
      </w:r>
      <w:r>
        <w:rPr>
          <w:rFonts w:ascii="Times New Roman" w:eastAsia="Times New Roman" w:hAnsi="Times New Roman" w:cs="Times New Roman"/>
          <w:sz w:val="28"/>
          <w:szCs w:val="28"/>
          <w:lang w:eastAsia="ru-RU"/>
        </w:rPr>
        <w:t xml:space="preserve"> в ранние сроки беременности, введено ежемесячное пособие женщин</w:t>
      </w:r>
      <w:r w:rsidR="009E13B1">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вставш</w:t>
      </w:r>
      <w:r w:rsidR="009E13B1">
        <w:rPr>
          <w:rFonts w:ascii="Times New Roman" w:eastAsia="Times New Roman" w:hAnsi="Times New Roman" w:cs="Times New Roman"/>
          <w:sz w:val="28"/>
          <w:szCs w:val="28"/>
          <w:lang w:eastAsia="ru-RU"/>
        </w:rPr>
        <w:t>ей</w:t>
      </w:r>
      <w:r>
        <w:rPr>
          <w:rFonts w:ascii="Times New Roman" w:eastAsia="Times New Roman" w:hAnsi="Times New Roman" w:cs="Times New Roman"/>
          <w:sz w:val="28"/>
          <w:szCs w:val="28"/>
          <w:lang w:eastAsia="ru-RU"/>
        </w:rPr>
        <w:t xml:space="preserve"> на учет в медицинской организации в ранние сроки беременности, в размере 50% величины прожиточного минимума для трудоспособного населения в субъекте Российской Федерации </w:t>
      </w:r>
      <w:r w:rsidR="000249F3">
        <w:rPr>
          <w:rFonts w:ascii="Times New Roman" w:eastAsia="Times New Roman" w:hAnsi="Times New Roman" w:cs="Times New Roman"/>
          <w:sz w:val="28"/>
          <w:szCs w:val="28"/>
          <w:lang w:eastAsia="ru-RU"/>
        </w:rPr>
        <w:t>по месту жительства (пребывания) или фактического проживания заявителя, установленной на дату обращения за назначением пособия.</w:t>
      </w:r>
    </w:p>
    <w:p w14:paraId="36AD2B86" w14:textId="0EB8637C" w:rsidR="000249F3" w:rsidRDefault="000249F3" w:rsidP="0010107D">
      <w:pPr>
        <w:shd w:val="clear" w:color="auto" w:fill="FFFFFF"/>
        <w:spacing w:after="0" w:line="319"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определении права на </w:t>
      </w:r>
      <w:r w:rsidR="009E13B1">
        <w:rPr>
          <w:rFonts w:ascii="Times New Roman" w:eastAsia="Times New Roman" w:hAnsi="Times New Roman" w:cs="Times New Roman"/>
          <w:sz w:val="28"/>
          <w:szCs w:val="28"/>
          <w:lang w:eastAsia="ru-RU"/>
        </w:rPr>
        <w:t xml:space="preserve">вышеуказанное </w:t>
      </w:r>
      <w:r>
        <w:rPr>
          <w:rFonts w:ascii="Times New Roman" w:eastAsia="Times New Roman" w:hAnsi="Times New Roman" w:cs="Times New Roman"/>
          <w:sz w:val="28"/>
          <w:szCs w:val="28"/>
          <w:lang w:eastAsia="ru-RU"/>
        </w:rPr>
        <w:t xml:space="preserve">ежемесячное пособие применяется комплексная оценка нуждаемости, </w:t>
      </w:r>
      <w:r w:rsidR="00686788">
        <w:rPr>
          <w:rFonts w:ascii="Times New Roman" w:eastAsia="Times New Roman" w:hAnsi="Times New Roman" w:cs="Times New Roman"/>
          <w:sz w:val="28"/>
          <w:szCs w:val="28"/>
          <w:lang w:eastAsia="ru-RU"/>
        </w:rPr>
        <w:t xml:space="preserve">то есть помимо среднедушевого дохода семьи также оценивается движимое и недвижимое имущество, финансовые накопления, вовлеченность в занятость трудоспособных членов семьи. </w:t>
      </w:r>
      <w:r w:rsidR="006D0FC7">
        <w:rPr>
          <w:rFonts w:ascii="Times New Roman" w:eastAsia="Times New Roman" w:hAnsi="Times New Roman" w:cs="Times New Roman"/>
          <w:sz w:val="28"/>
          <w:szCs w:val="28"/>
          <w:lang w:eastAsia="ru-RU"/>
        </w:rPr>
        <w:t xml:space="preserve">Также установлен перечень </w:t>
      </w:r>
      <w:r w:rsidR="00E4247E">
        <w:rPr>
          <w:rFonts w:ascii="Times New Roman" w:eastAsia="Times New Roman" w:hAnsi="Times New Roman" w:cs="Times New Roman"/>
          <w:sz w:val="28"/>
          <w:szCs w:val="28"/>
          <w:lang w:eastAsia="ru-RU"/>
        </w:rPr>
        <w:t xml:space="preserve">объективных </w:t>
      </w:r>
      <w:r w:rsidR="006D0FC7">
        <w:rPr>
          <w:rFonts w:ascii="Times New Roman" w:eastAsia="Times New Roman" w:hAnsi="Times New Roman" w:cs="Times New Roman"/>
          <w:sz w:val="28"/>
          <w:szCs w:val="28"/>
          <w:lang w:eastAsia="ru-RU"/>
        </w:rPr>
        <w:t xml:space="preserve">причин, при наличии которых трудоспособные члены семьи могут не иметь дохода: поиск работы в течение 6 месяцев, </w:t>
      </w:r>
      <w:r w:rsidR="00186DE7">
        <w:rPr>
          <w:rFonts w:ascii="Times New Roman" w:eastAsia="Times New Roman" w:hAnsi="Times New Roman" w:cs="Times New Roman"/>
          <w:sz w:val="28"/>
          <w:szCs w:val="28"/>
          <w:lang w:eastAsia="ru-RU"/>
        </w:rPr>
        <w:t xml:space="preserve">осуществление ухода за ребенком в возрасте до 3 лет, ребенком-инвалидом или инвалидом с детства </w:t>
      </w:r>
      <w:r w:rsidR="00186DE7">
        <w:rPr>
          <w:rFonts w:ascii="Times New Roman" w:eastAsia="Times New Roman" w:hAnsi="Times New Roman" w:cs="Times New Roman"/>
          <w:sz w:val="28"/>
          <w:szCs w:val="28"/>
          <w:lang w:val="en-US" w:eastAsia="ru-RU"/>
        </w:rPr>
        <w:t>I</w:t>
      </w:r>
      <w:r w:rsidR="00186DE7" w:rsidRPr="00186DE7">
        <w:rPr>
          <w:rFonts w:ascii="Times New Roman" w:eastAsia="Times New Roman" w:hAnsi="Times New Roman" w:cs="Times New Roman"/>
          <w:sz w:val="28"/>
          <w:szCs w:val="28"/>
          <w:lang w:eastAsia="ru-RU"/>
        </w:rPr>
        <w:t xml:space="preserve"> </w:t>
      </w:r>
      <w:r w:rsidR="00186DE7">
        <w:rPr>
          <w:rFonts w:ascii="Times New Roman" w:eastAsia="Times New Roman" w:hAnsi="Times New Roman" w:cs="Times New Roman"/>
          <w:sz w:val="28"/>
          <w:szCs w:val="28"/>
          <w:lang w:eastAsia="ru-RU"/>
        </w:rPr>
        <w:t>группы, престарелым, прохождение военной службы, отнесение родителя к категории единственного родителя или отнесение к категории многодетной семьи.</w:t>
      </w:r>
    </w:p>
    <w:p w14:paraId="2C6B8F52" w14:textId="77777777" w:rsidR="004F574A" w:rsidRPr="00F2784D" w:rsidRDefault="004F574A" w:rsidP="0010107D">
      <w:pPr>
        <w:shd w:val="clear" w:color="auto" w:fill="FFFFFF"/>
        <w:spacing w:after="0" w:line="319"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2021 г</w:t>
      </w:r>
      <w:r w:rsidR="00443EE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пособие предоставлено 196,7 тыс. беременных женщин на сумму </w:t>
      </w:r>
      <w:r w:rsidR="00F2784D">
        <w:rPr>
          <w:rFonts w:ascii="Times New Roman" w:eastAsia="Times New Roman" w:hAnsi="Times New Roman" w:cs="Times New Roman"/>
          <w:sz w:val="28"/>
          <w:szCs w:val="28"/>
          <w:lang w:eastAsia="ru-RU"/>
        </w:rPr>
        <w:t xml:space="preserve">почти </w:t>
      </w:r>
      <w:r w:rsidR="00F2784D" w:rsidRPr="00F2784D">
        <w:rPr>
          <w:rFonts w:ascii="Times New Roman" w:eastAsia="Times New Roman" w:hAnsi="Times New Roman" w:cs="Times New Roman"/>
          <w:sz w:val="28"/>
          <w:szCs w:val="28"/>
          <w:lang w:eastAsia="ru-RU"/>
        </w:rPr>
        <w:t>4</w:t>
      </w:r>
      <w:r w:rsidR="00F2784D">
        <w:rPr>
          <w:rFonts w:ascii="Times New Roman" w:eastAsia="Times New Roman" w:hAnsi="Times New Roman" w:cs="Times New Roman"/>
          <w:sz w:val="28"/>
          <w:szCs w:val="28"/>
          <w:lang w:eastAsia="ru-RU"/>
        </w:rPr>
        <w:t>,4 млрд рублей.</w:t>
      </w:r>
    </w:p>
    <w:p w14:paraId="3565F5E3" w14:textId="77777777" w:rsidR="0010107D" w:rsidRPr="0010107D" w:rsidRDefault="0010107D" w:rsidP="0010107D">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10107D">
        <w:rPr>
          <w:rFonts w:ascii="Times New Roman" w:eastAsia="Calibri" w:hAnsi="Times New Roman" w:cs="Times New Roman"/>
          <w:color w:val="000000"/>
          <w:sz w:val="28"/>
          <w:szCs w:val="28"/>
          <w:shd w:val="clear" w:color="auto" w:fill="FFFFFF"/>
        </w:rPr>
        <w:t xml:space="preserve">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осуществляется в рамках обязательного социального страхования и регулируется Федеральным законом от 29 декабря 2006 г. № 255-ФЗ «Об обязательном социальном страховании на случай временной нетрудоспособности и в связи с материнством» (далее – Федеральный закон </w:t>
      </w:r>
      <w:r w:rsidR="008E4EA1">
        <w:rPr>
          <w:rFonts w:ascii="Times New Roman" w:eastAsia="Calibri" w:hAnsi="Times New Roman" w:cs="Times New Roman"/>
          <w:color w:val="000000"/>
          <w:sz w:val="28"/>
          <w:szCs w:val="28"/>
          <w:shd w:val="clear" w:color="auto" w:fill="FFFFFF"/>
        </w:rPr>
        <w:br/>
      </w:r>
      <w:r w:rsidRPr="0010107D">
        <w:rPr>
          <w:rFonts w:ascii="Times New Roman" w:eastAsia="Calibri" w:hAnsi="Times New Roman" w:cs="Times New Roman"/>
          <w:color w:val="000000"/>
          <w:sz w:val="28"/>
          <w:szCs w:val="28"/>
          <w:shd w:val="clear" w:color="auto" w:fill="FFFFFF"/>
        </w:rPr>
        <w:t>от 29 декабря 2006 г. № 255-ФЗ).</w:t>
      </w:r>
    </w:p>
    <w:p w14:paraId="2396C8AD" w14:textId="77777777" w:rsidR="0010107D" w:rsidRPr="0010107D" w:rsidRDefault="0010107D" w:rsidP="0010107D">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Гражданам, подлежащим обязательному социальному страхованию на случай временной нетрудоспособности и в связи с материнством, выплачиваются пособие по беременности и родам, ежемесячное пособие по уходу за ребенком, единовременное пособие при рождении ребенка.</w:t>
      </w:r>
    </w:p>
    <w:p w14:paraId="6A9D6C10" w14:textId="77777777" w:rsidR="008B780A" w:rsidRPr="0010107D" w:rsidRDefault="008B780A" w:rsidP="008B780A">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 xml:space="preserve">Пособие по беременности и родам выплачивается застрахованной женщине суммарно за весь период отпуска по беременности и родам продолжительностью </w:t>
      </w:r>
      <w:r w:rsidR="005A71AE">
        <w:rPr>
          <w:rFonts w:ascii="Times New Roman" w:eastAsia="Calibri" w:hAnsi="Times New Roman" w:cs="Times New Roman"/>
          <w:color w:val="000000"/>
          <w:sz w:val="28"/>
          <w:szCs w:val="28"/>
          <w:shd w:val="clear" w:color="auto" w:fill="FFFFFF"/>
        </w:rPr>
        <w:br/>
      </w:r>
      <w:r w:rsidRPr="0010107D">
        <w:rPr>
          <w:rFonts w:ascii="Times New Roman" w:eastAsia="Calibri" w:hAnsi="Times New Roman" w:cs="Times New Roman"/>
          <w:color w:val="000000"/>
          <w:sz w:val="28"/>
          <w:szCs w:val="28"/>
          <w:shd w:val="clear" w:color="auto" w:fill="FFFFFF"/>
        </w:rPr>
        <w:t xml:space="preserve">70 (в случае многоплодной беременности – 84) календарных дней до родов и 70 </w:t>
      </w:r>
      <w:r w:rsidR="005A71AE">
        <w:rPr>
          <w:rFonts w:ascii="Times New Roman" w:eastAsia="Calibri" w:hAnsi="Times New Roman" w:cs="Times New Roman"/>
          <w:color w:val="000000"/>
          <w:sz w:val="28"/>
          <w:szCs w:val="28"/>
          <w:shd w:val="clear" w:color="auto" w:fill="FFFFFF"/>
        </w:rPr>
        <w:br/>
      </w:r>
      <w:r w:rsidRPr="0010107D">
        <w:rPr>
          <w:rFonts w:ascii="Times New Roman" w:eastAsia="Calibri" w:hAnsi="Times New Roman" w:cs="Times New Roman"/>
          <w:color w:val="000000"/>
          <w:sz w:val="28"/>
          <w:szCs w:val="28"/>
          <w:shd w:val="clear" w:color="auto" w:fill="FFFFFF"/>
        </w:rPr>
        <w:t>(в случае осложненных родов – 86, при рождении двух или более детей – 110) календарных дней после родов в размере 100</w:t>
      </w:r>
      <w:r w:rsidR="00443EEA">
        <w:rPr>
          <w:rFonts w:ascii="Times New Roman" w:eastAsia="Calibri" w:hAnsi="Times New Roman" w:cs="Times New Roman"/>
          <w:color w:val="000000"/>
          <w:sz w:val="28"/>
          <w:szCs w:val="28"/>
          <w:shd w:val="clear" w:color="auto" w:fill="FFFFFF"/>
        </w:rPr>
        <w:t>%</w:t>
      </w:r>
      <w:r w:rsidRPr="0010107D">
        <w:rPr>
          <w:rFonts w:ascii="Times New Roman" w:eastAsia="Calibri" w:hAnsi="Times New Roman" w:cs="Times New Roman"/>
          <w:color w:val="000000"/>
          <w:sz w:val="28"/>
          <w:szCs w:val="28"/>
          <w:shd w:val="clear" w:color="auto" w:fill="FFFFFF"/>
        </w:rPr>
        <w:t xml:space="preserve"> среднего заработка (статьи 10 и 11 Федерального закона от 29 декабря 2006 г. № 255-ФЗ).</w:t>
      </w:r>
    </w:p>
    <w:p w14:paraId="34478C23" w14:textId="77777777" w:rsidR="0010107D" w:rsidRPr="0010107D" w:rsidRDefault="0010107D" w:rsidP="0010107D">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Застрахованн</w:t>
      </w:r>
      <w:r w:rsidR="008B780A">
        <w:rPr>
          <w:rFonts w:ascii="Times New Roman" w:eastAsia="Calibri" w:hAnsi="Times New Roman" w:cs="Times New Roman"/>
          <w:color w:val="000000"/>
          <w:sz w:val="28"/>
          <w:szCs w:val="28"/>
          <w:shd w:val="clear" w:color="auto" w:fill="FFFFFF"/>
        </w:rPr>
        <w:t>ой</w:t>
      </w:r>
      <w:r w:rsidR="00186DE7">
        <w:rPr>
          <w:rFonts w:ascii="Times New Roman" w:eastAsia="Calibri" w:hAnsi="Times New Roman" w:cs="Times New Roman"/>
          <w:color w:val="000000"/>
          <w:sz w:val="28"/>
          <w:szCs w:val="28"/>
          <w:shd w:val="clear" w:color="auto" w:fill="FFFFFF"/>
        </w:rPr>
        <w:t> </w:t>
      </w:r>
      <w:r w:rsidR="008B780A">
        <w:rPr>
          <w:rFonts w:ascii="Times New Roman" w:eastAsia="Calibri" w:hAnsi="Times New Roman" w:cs="Times New Roman"/>
          <w:color w:val="000000"/>
          <w:sz w:val="28"/>
          <w:szCs w:val="28"/>
          <w:shd w:val="clear" w:color="auto" w:fill="FFFFFF"/>
        </w:rPr>
        <w:t>женщине</w:t>
      </w:r>
      <w:r w:rsidRPr="0010107D">
        <w:rPr>
          <w:rFonts w:ascii="Times New Roman" w:eastAsia="Calibri" w:hAnsi="Times New Roman" w:cs="Times New Roman"/>
          <w:color w:val="000000"/>
          <w:sz w:val="28"/>
          <w:szCs w:val="28"/>
          <w:shd w:val="clear" w:color="auto" w:fill="FFFFFF"/>
        </w:rPr>
        <w:t>, имеющ</w:t>
      </w:r>
      <w:r w:rsidR="008B780A">
        <w:rPr>
          <w:rFonts w:ascii="Times New Roman" w:eastAsia="Calibri" w:hAnsi="Times New Roman" w:cs="Times New Roman"/>
          <w:color w:val="000000"/>
          <w:sz w:val="28"/>
          <w:szCs w:val="28"/>
          <w:shd w:val="clear" w:color="auto" w:fill="FFFFFF"/>
        </w:rPr>
        <w:t>ей</w:t>
      </w:r>
      <w:r w:rsidRPr="0010107D">
        <w:rPr>
          <w:rFonts w:ascii="Times New Roman" w:eastAsia="Calibri" w:hAnsi="Times New Roman" w:cs="Times New Roman"/>
          <w:color w:val="000000"/>
          <w:sz w:val="28"/>
          <w:szCs w:val="28"/>
          <w:shd w:val="clear" w:color="auto" w:fill="FFFFFF"/>
        </w:rPr>
        <w:t xml:space="preserve"> страховой стаж менее 6 месяцев, пособи</w:t>
      </w:r>
      <w:r w:rsidR="00EB0B54">
        <w:rPr>
          <w:rFonts w:ascii="Times New Roman" w:eastAsia="Calibri" w:hAnsi="Times New Roman" w:cs="Times New Roman"/>
          <w:color w:val="000000"/>
          <w:sz w:val="28"/>
          <w:szCs w:val="28"/>
          <w:shd w:val="clear" w:color="auto" w:fill="FFFFFF"/>
        </w:rPr>
        <w:t>е</w:t>
      </w:r>
      <w:r w:rsidRPr="0010107D">
        <w:rPr>
          <w:rFonts w:ascii="Times New Roman" w:eastAsia="Calibri" w:hAnsi="Times New Roman" w:cs="Times New Roman"/>
          <w:color w:val="000000"/>
          <w:sz w:val="28"/>
          <w:szCs w:val="28"/>
          <w:shd w:val="clear" w:color="auto" w:fill="FFFFFF"/>
        </w:rPr>
        <w:t xml:space="preserve"> по беременности и родам выплачива</w:t>
      </w:r>
      <w:r w:rsidR="00EB0B54">
        <w:rPr>
          <w:rFonts w:ascii="Times New Roman" w:eastAsia="Calibri" w:hAnsi="Times New Roman" w:cs="Times New Roman"/>
          <w:color w:val="000000"/>
          <w:sz w:val="28"/>
          <w:szCs w:val="28"/>
          <w:shd w:val="clear" w:color="auto" w:fill="FFFFFF"/>
        </w:rPr>
        <w:t>е</w:t>
      </w:r>
      <w:r w:rsidRPr="0010107D">
        <w:rPr>
          <w:rFonts w:ascii="Times New Roman" w:eastAsia="Calibri" w:hAnsi="Times New Roman" w:cs="Times New Roman"/>
          <w:color w:val="000000"/>
          <w:sz w:val="28"/>
          <w:szCs w:val="28"/>
          <w:shd w:val="clear" w:color="auto" w:fill="FFFFFF"/>
        </w:rPr>
        <w:t>тся в размере, не превышающем за полный календарный месяц минимального размера оплаты труда, установленного федеральным законом, а в районах и местностях, в которых в установленном порядке применяются районные коэффициенты к заработной плате, в размере, не превышающем МРОТ с учетом этих коэффициентов.</w:t>
      </w:r>
    </w:p>
    <w:p w14:paraId="37D7EAE4" w14:textId="77777777" w:rsidR="0010107D" w:rsidRPr="0010107D" w:rsidRDefault="0010107D" w:rsidP="0010107D">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В 20</w:t>
      </w:r>
      <w:r w:rsidR="006221A7">
        <w:rPr>
          <w:rFonts w:ascii="Times New Roman" w:eastAsia="Calibri" w:hAnsi="Times New Roman" w:cs="Times New Roman"/>
          <w:color w:val="000000"/>
          <w:sz w:val="28"/>
          <w:szCs w:val="28"/>
          <w:shd w:val="clear" w:color="auto" w:fill="FFFFFF"/>
        </w:rPr>
        <w:t>2</w:t>
      </w:r>
      <w:r w:rsidR="00381305">
        <w:rPr>
          <w:rFonts w:ascii="Times New Roman" w:eastAsia="Calibri" w:hAnsi="Times New Roman" w:cs="Times New Roman"/>
          <w:color w:val="000000"/>
          <w:sz w:val="28"/>
          <w:szCs w:val="28"/>
          <w:shd w:val="clear" w:color="auto" w:fill="FFFFFF"/>
        </w:rPr>
        <w:t>1</w:t>
      </w:r>
      <w:r w:rsidRPr="0010107D">
        <w:rPr>
          <w:rFonts w:ascii="Times New Roman" w:eastAsia="Calibri" w:hAnsi="Times New Roman" w:cs="Times New Roman"/>
          <w:color w:val="000000"/>
          <w:sz w:val="28"/>
          <w:szCs w:val="28"/>
          <w:shd w:val="clear" w:color="auto" w:fill="FFFFFF"/>
        </w:rPr>
        <w:t xml:space="preserve"> г</w:t>
      </w:r>
      <w:r w:rsidR="00443EEA">
        <w:rPr>
          <w:rFonts w:ascii="Times New Roman" w:eastAsia="Calibri" w:hAnsi="Times New Roman" w:cs="Times New Roman"/>
          <w:color w:val="000000"/>
          <w:sz w:val="28"/>
          <w:szCs w:val="28"/>
          <w:shd w:val="clear" w:color="auto" w:fill="FFFFFF"/>
        </w:rPr>
        <w:t>.</w:t>
      </w:r>
      <w:r w:rsidRPr="0010107D">
        <w:rPr>
          <w:rFonts w:ascii="Times New Roman" w:eastAsia="Calibri" w:hAnsi="Times New Roman" w:cs="Times New Roman"/>
          <w:color w:val="000000"/>
          <w:sz w:val="28"/>
          <w:szCs w:val="28"/>
          <w:shd w:val="clear" w:color="auto" w:fill="FFFFFF"/>
        </w:rPr>
        <w:t xml:space="preserve"> максимальная сумма пособия по беременности и родам составляла </w:t>
      </w:r>
      <w:r w:rsidR="00381305">
        <w:rPr>
          <w:rFonts w:ascii="Times New Roman" w:eastAsia="Calibri" w:hAnsi="Times New Roman" w:cs="Times New Roman"/>
          <w:color w:val="000000"/>
          <w:sz w:val="28"/>
          <w:szCs w:val="28"/>
          <w:shd w:val="clear" w:color="auto" w:fill="FFFFFF"/>
        </w:rPr>
        <w:t>74 001,20 рубл</w:t>
      </w:r>
      <w:r w:rsidR="00813EDE">
        <w:rPr>
          <w:rFonts w:ascii="Times New Roman" w:eastAsia="Calibri" w:hAnsi="Times New Roman" w:cs="Times New Roman"/>
          <w:color w:val="000000"/>
          <w:sz w:val="28"/>
          <w:szCs w:val="28"/>
          <w:shd w:val="clear" w:color="auto" w:fill="FFFFFF"/>
        </w:rPr>
        <w:t>я</w:t>
      </w:r>
      <w:r w:rsidR="00381305">
        <w:rPr>
          <w:rFonts w:ascii="Times New Roman" w:eastAsia="Calibri" w:hAnsi="Times New Roman" w:cs="Times New Roman"/>
          <w:color w:val="000000"/>
          <w:sz w:val="28"/>
          <w:szCs w:val="28"/>
          <w:shd w:val="clear" w:color="auto" w:fill="FFFFFF"/>
        </w:rPr>
        <w:t xml:space="preserve"> </w:t>
      </w:r>
      <w:r w:rsidRPr="0010107D">
        <w:rPr>
          <w:rFonts w:ascii="Times New Roman" w:eastAsia="Calibri" w:hAnsi="Times New Roman" w:cs="Times New Roman"/>
          <w:color w:val="000000"/>
          <w:sz w:val="28"/>
          <w:szCs w:val="28"/>
          <w:shd w:val="clear" w:color="auto" w:fill="FFFFFF"/>
        </w:rPr>
        <w:t>в средн</w:t>
      </w:r>
      <w:r w:rsidR="00081376">
        <w:rPr>
          <w:rFonts w:ascii="Times New Roman" w:eastAsia="Calibri" w:hAnsi="Times New Roman" w:cs="Times New Roman"/>
          <w:color w:val="000000"/>
          <w:sz w:val="28"/>
          <w:szCs w:val="28"/>
          <w:shd w:val="clear" w:color="auto" w:fill="FFFFFF"/>
        </w:rPr>
        <w:t xml:space="preserve">ем за полный календарный месяц </w:t>
      </w:r>
      <w:r w:rsidRPr="0010107D">
        <w:rPr>
          <w:rFonts w:ascii="Times New Roman" w:eastAsia="Calibri" w:hAnsi="Times New Roman" w:cs="Times New Roman"/>
          <w:color w:val="000000"/>
          <w:sz w:val="28"/>
          <w:szCs w:val="28"/>
          <w:shd w:val="clear" w:color="auto" w:fill="FFFFFF"/>
        </w:rPr>
        <w:t>(</w:t>
      </w:r>
      <w:r w:rsidR="00381305">
        <w:rPr>
          <w:rFonts w:ascii="Times New Roman" w:eastAsia="Calibri" w:hAnsi="Times New Roman" w:cs="Times New Roman"/>
          <w:color w:val="000000"/>
          <w:sz w:val="28"/>
          <w:szCs w:val="28"/>
          <w:shd w:val="clear" w:color="auto" w:fill="FFFFFF"/>
        </w:rPr>
        <w:t>2020 г. – 69</w:t>
      </w:r>
      <w:r w:rsidR="00813EDE">
        <w:rPr>
          <w:rFonts w:ascii="Times New Roman" w:eastAsia="Calibri" w:hAnsi="Times New Roman" w:cs="Times New Roman"/>
          <w:color w:val="000000"/>
          <w:sz w:val="28"/>
          <w:szCs w:val="28"/>
          <w:shd w:val="clear" w:color="auto" w:fill="FFFFFF"/>
        </w:rPr>
        <w:t> </w:t>
      </w:r>
      <w:r w:rsidR="00381305">
        <w:rPr>
          <w:rFonts w:ascii="Times New Roman" w:eastAsia="Calibri" w:hAnsi="Times New Roman" w:cs="Times New Roman"/>
          <w:color w:val="000000"/>
          <w:sz w:val="28"/>
          <w:szCs w:val="28"/>
          <w:shd w:val="clear" w:color="auto" w:fill="FFFFFF"/>
        </w:rPr>
        <w:t>961</w:t>
      </w:r>
      <w:r w:rsidR="00813EDE">
        <w:rPr>
          <w:rFonts w:ascii="Times New Roman" w:eastAsia="Calibri" w:hAnsi="Times New Roman" w:cs="Times New Roman"/>
          <w:color w:val="000000"/>
          <w:sz w:val="28"/>
          <w:szCs w:val="28"/>
          <w:shd w:val="clear" w:color="auto" w:fill="FFFFFF"/>
        </w:rPr>
        <w:t>,65</w:t>
      </w:r>
      <w:r w:rsidR="00381305">
        <w:rPr>
          <w:rFonts w:ascii="Times New Roman" w:eastAsia="Calibri" w:hAnsi="Times New Roman" w:cs="Times New Roman"/>
          <w:color w:val="000000"/>
          <w:sz w:val="28"/>
          <w:szCs w:val="28"/>
          <w:shd w:val="clear" w:color="auto" w:fill="FFFFFF"/>
        </w:rPr>
        <w:t xml:space="preserve"> рубл</w:t>
      </w:r>
      <w:r w:rsidR="00813EDE">
        <w:rPr>
          <w:rFonts w:ascii="Times New Roman" w:eastAsia="Calibri" w:hAnsi="Times New Roman" w:cs="Times New Roman"/>
          <w:color w:val="000000"/>
          <w:sz w:val="28"/>
          <w:szCs w:val="28"/>
          <w:shd w:val="clear" w:color="auto" w:fill="FFFFFF"/>
        </w:rPr>
        <w:t>я</w:t>
      </w:r>
      <w:r w:rsidR="00381305">
        <w:rPr>
          <w:rFonts w:ascii="Times New Roman" w:eastAsia="Calibri" w:hAnsi="Times New Roman" w:cs="Times New Roman"/>
          <w:color w:val="000000"/>
          <w:sz w:val="28"/>
          <w:szCs w:val="28"/>
          <w:shd w:val="clear" w:color="auto" w:fill="FFFFFF"/>
        </w:rPr>
        <w:t xml:space="preserve">; </w:t>
      </w:r>
      <w:r w:rsidR="006221A7">
        <w:rPr>
          <w:rFonts w:ascii="Times New Roman" w:eastAsia="Calibri" w:hAnsi="Times New Roman" w:cs="Times New Roman"/>
          <w:color w:val="000000"/>
          <w:sz w:val="28"/>
          <w:szCs w:val="28"/>
          <w:shd w:val="clear" w:color="auto" w:fill="FFFFFF"/>
        </w:rPr>
        <w:t xml:space="preserve">2019 г. – </w:t>
      </w:r>
      <w:r w:rsidR="006221A7" w:rsidRPr="0010107D">
        <w:rPr>
          <w:rFonts w:ascii="Times New Roman" w:eastAsia="Calibri" w:hAnsi="Times New Roman" w:cs="Times New Roman"/>
          <w:color w:val="000000"/>
          <w:sz w:val="28"/>
          <w:szCs w:val="28"/>
          <w:shd w:val="clear" w:color="auto" w:fill="FFFFFF"/>
        </w:rPr>
        <w:t>65</w:t>
      </w:r>
      <w:r w:rsidR="00813EDE">
        <w:rPr>
          <w:rFonts w:ascii="Times New Roman" w:eastAsia="Calibri" w:hAnsi="Times New Roman" w:cs="Times New Roman"/>
          <w:color w:val="000000"/>
          <w:sz w:val="28"/>
          <w:szCs w:val="28"/>
          <w:shd w:val="clear" w:color="auto" w:fill="FFFFFF"/>
        </w:rPr>
        <w:t> </w:t>
      </w:r>
      <w:r w:rsidR="006221A7" w:rsidRPr="0010107D">
        <w:rPr>
          <w:rFonts w:ascii="Times New Roman" w:eastAsia="Calibri" w:hAnsi="Times New Roman" w:cs="Times New Roman"/>
          <w:color w:val="000000"/>
          <w:sz w:val="28"/>
          <w:szCs w:val="28"/>
          <w:shd w:val="clear" w:color="auto" w:fill="FFFFFF"/>
        </w:rPr>
        <w:t>380</w:t>
      </w:r>
      <w:r w:rsidR="00813EDE">
        <w:rPr>
          <w:rFonts w:ascii="Times New Roman" w:eastAsia="Calibri" w:hAnsi="Times New Roman" w:cs="Times New Roman"/>
          <w:color w:val="000000"/>
          <w:sz w:val="28"/>
          <w:szCs w:val="28"/>
          <w:shd w:val="clear" w:color="auto" w:fill="FFFFFF"/>
        </w:rPr>
        <w:t>,67</w:t>
      </w:r>
      <w:r w:rsidR="006221A7" w:rsidRPr="0010107D">
        <w:rPr>
          <w:rFonts w:ascii="Times New Roman" w:eastAsia="Calibri" w:hAnsi="Times New Roman" w:cs="Times New Roman"/>
          <w:color w:val="000000"/>
          <w:sz w:val="28"/>
          <w:szCs w:val="28"/>
          <w:shd w:val="clear" w:color="auto" w:fill="FFFFFF"/>
        </w:rPr>
        <w:t xml:space="preserve"> рубл</w:t>
      </w:r>
      <w:r w:rsidR="00813EDE">
        <w:rPr>
          <w:rFonts w:ascii="Times New Roman" w:eastAsia="Calibri" w:hAnsi="Times New Roman" w:cs="Times New Roman"/>
          <w:color w:val="000000"/>
          <w:sz w:val="28"/>
          <w:szCs w:val="28"/>
          <w:shd w:val="clear" w:color="auto" w:fill="FFFFFF"/>
        </w:rPr>
        <w:t>я</w:t>
      </w:r>
      <w:r w:rsidRPr="0010107D">
        <w:rPr>
          <w:rFonts w:ascii="Times New Roman" w:eastAsia="Calibri" w:hAnsi="Times New Roman" w:cs="Times New Roman"/>
          <w:color w:val="000000"/>
          <w:sz w:val="28"/>
          <w:szCs w:val="28"/>
          <w:shd w:val="clear" w:color="auto" w:fill="FFFFFF"/>
        </w:rPr>
        <w:t>).</w:t>
      </w:r>
      <w:r w:rsidR="00381305">
        <w:rPr>
          <w:rFonts w:ascii="Times New Roman" w:eastAsia="Calibri" w:hAnsi="Times New Roman" w:cs="Times New Roman"/>
          <w:color w:val="000000"/>
          <w:sz w:val="28"/>
          <w:szCs w:val="28"/>
          <w:shd w:val="clear" w:color="auto" w:fill="FFFFFF"/>
        </w:rPr>
        <w:t xml:space="preserve"> Максимальная сумма пособия по беременности и родам (в случае если роды протекали без осложнений) за 140 дней составляла </w:t>
      </w:r>
      <w:r w:rsidR="005A71AE">
        <w:rPr>
          <w:rFonts w:ascii="Times New Roman" w:eastAsia="Calibri" w:hAnsi="Times New Roman" w:cs="Times New Roman"/>
          <w:color w:val="000000"/>
          <w:sz w:val="28"/>
          <w:szCs w:val="28"/>
          <w:shd w:val="clear" w:color="auto" w:fill="FFFFFF"/>
        </w:rPr>
        <w:br/>
      </w:r>
      <w:r w:rsidR="00381305">
        <w:rPr>
          <w:rFonts w:ascii="Times New Roman" w:eastAsia="Calibri" w:hAnsi="Times New Roman" w:cs="Times New Roman"/>
          <w:color w:val="000000"/>
          <w:sz w:val="28"/>
          <w:szCs w:val="28"/>
          <w:shd w:val="clear" w:color="auto" w:fill="FFFFFF"/>
        </w:rPr>
        <w:t>340 795 рублей (2020 г. – 322 191,80 рубл</w:t>
      </w:r>
      <w:r w:rsidR="00813EDE">
        <w:rPr>
          <w:rFonts w:ascii="Times New Roman" w:eastAsia="Calibri" w:hAnsi="Times New Roman" w:cs="Times New Roman"/>
          <w:color w:val="000000"/>
          <w:sz w:val="28"/>
          <w:szCs w:val="28"/>
          <w:shd w:val="clear" w:color="auto" w:fill="FFFFFF"/>
        </w:rPr>
        <w:t>я</w:t>
      </w:r>
      <w:r w:rsidR="00381305">
        <w:rPr>
          <w:rFonts w:ascii="Times New Roman" w:eastAsia="Calibri" w:hAnsi="Times New Roman" w:cs="Times New Roman"/>
          <w:color w:val="000000"/>
          <w:sz w:val="28"/>
          <w:szCs w:val="28"/>
          <w:shd w:val="clear" w:color="auto" w:fill="FFFFFF"/>
        </w:rPr>
        <w:t>; 2019 г. – 301 095,20 рубл</w:t>
      </w:r>
      <w:r w:rsidR="00813EDE">
        <w:rPr>
          <w:rFonts w:ascii="Times New Roman" w:eastAsia="Calibri" w:hAnsi="Times New Roman" w:cs="Times New Roman"/>
          <w:color w:val="000000"/>
          <w:sz w:val="28"/>
          <w:szCs w:val="28"/>
          <w:shd w:val="clear" w:color="auto" w:fill="FFFFFF"/>
        </w:rPr>
        <w:t>я</w:t>
      </w:r>
      <w:r w:rsidR="00381305">
        <w:rPr>
          <w:rFonts w:ascii="Times New Roman" w:eastAsia="Calibri" w:hAnsi="Times New Roman" w:cs="Times New Roman"/>
          <w:color w:val="000000"/>
          <w:sz w:val="28"/>
          <w:szCs w:val="28"/>
          <w:shd w:val="clear" w:color="auto" w:fill="FFFFFF"/>
        </w:rPr>
        <w:t>).</w:t>
      </w:r>
    </w:p>
    <w:p w14:paraId="715AEDF0" w14:textId="77777777" w:rsidR="0010107D" w:rsidRPr="0010107D" w:rsidRDefault="0010107D" w:rsidP="0010107D">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Дополнительно к пособию по беременности и родам</w:t>
      </w:r>
      <w:r w:rsidR="00186DE7">
        <w:rPr>
          <w:rFonts w:ascii="Times New Roman" w:eastAsia="Calibri" w:hAnsi="Times New Roman" w:cs="Times New Roman"/>
          <w:color w:val="000000"/>
          <w:sz w:val="28"/>
          <w:szCs w:val="28"/>
          <w:shd w:val="clear" w:color="auto" w:fill="FFFFFF"/>
        </w:rPr>
        <w:t> </w:t>
      </w:r>
      <w:r w:rsidR="00381305">
        <w:rPr>
          <w:rFonts w:ascii="Times New Roman" w:eastAsia="Calibri" w:hAnsi="Times New Roman" w:cs="Times New Roman"/>
          <w:color w:val="000000"/>
          <w:sz w:val="28"/>
          <w:szCs w:val="28"/>
          <w:shd w:val="clear" w:color="auto" w:fill="FFFFFF"/>
        </w:rPr>
        <w:t>до 1 июля 2021 г</w:t>
      </w:r>
      <w:r w:rsidR="00443EEA">
        <w:rPr>
          <w:rFonts w:ascii="Times New Roman" w:eastAsia="Calibri" w:hAnsi="Times New Roman" w:cs="Times New Roman"/>
          <w:color w:val="000000"/>
          <w:sz w:val="28"/>
          <w:szCs w:val="28"/>
          <w:shd w:val="clear" w:color="auto" w:fill="FFFFFF"/>
        </w:rPr>
        <w:t>.</w:t>
      </w:r>
      <w:r w:rsidR="00381305">
        <w:rPr>
          <w:rFonts w:ascii="Times New Roman" w:eastAsia="Calibri" w:hAnsi="Times New Roman" w:cs="Times New Roman"/>
          <w:color w:val="000000"/>
          <w:sz w:val="28"/>
          <w:szCs w:val="28"/>
          <w:shd w:val="clear" w:color="auto" w:fill="FFFFFF"/>
        </w:rPr>
        <w:t xml:space="preserve"> </w:t>
      </w:r>
      <w:r w:rsidRPr="0010107D">
        <w:rPr>
          <w:rFonts w:ascii="Times New Roman" w:eastAsia="Calibri" w:hAnsi="Times New Roman" w:cs="Times New Roman"/>
          <w:color w:val="000000"/>
          <w:sz w:val="28"/>
          <w:szCs w:val="28"/>
          <w:shd w:val="clear" w:color="auto" w:fill="FFFFFF"/>
        </w:rPr>
        <w:t>выплачива</w:t>
      </w:r>
      <w:r w:rsidR="006221A7">
        <w:rPr>
          <w:rFonts w:ascii="Times New Roman" w:eastAsia="Calibri" w:hAnsi="Times New Roman" w:cs="Times New Roman"/>
          <w:color w:val="000000"/>
          <w:sz w:val="28"/>
          <w:szCs w:val="28"/>
          <w:shd w:val="clear" w:color="auto" w:fill="FFFFFF"/>
        </w:rPr>
        <w:t>лось</w:t>
      </w:r>
      <w:r w:rsidRPr="0010107D">
        <w:rPr>
          <w:rFonts w:ascii="Times New Roman" w:eastAsia="Calibri" w:hAnsi="Times New Roman" w:cs="Times New Roman"/>
          <w:color w:val="000000"/>
          <w:sz w:val="28"/>
          <w:szCs w:val="28"/>
          <w:shd w:val="clear" w:color="auto" w:fill="FFFFFF"/>
        </w:rPr>
        <w:t xml:space="preserve"> единовременное пособие женщинам, вставшим на учет в медицинских организациях в ранние сроки беременности (до 12 недель).</w:t>
      </w:r>
    </w:p>
    <w:p w14:paraId="48670A78" w14:textId="77777777" w:rsidR="0010107D" w:rsidRPr="0010107D" w:rsidRDefault="0010107D" w:rsidP="0010107D">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 xml:space="preserve">С 1 февраля </w:t>
      </w:r>
      <w:r w:rsidR="0037024E">
        <w:rPr>
          <w:rFonts w:ascii="Times New Roman" w:eastAsia="Calibri" w:hAnsi="Times New Roman" w:cs="Times New Roman"/>
          <w:color w:val="000000"/>
          <w:sz w:val="28"/>
          <w:szCs w:val="28"/>
          <w:shd w:val="clear" w:color="auto" w:fill="FFFFFF"/>
        </w:rPr>
        <w:t xml:space="preserve">до 1 июля </w:t>
      </w:r>
      <w:r w:rsidRPr="0010107D">
        <w:rPr>
          <w:rFonts w:ascii="Times New Roman" w:eastAsia="Calibri" w:hAnsi="Times New Roman" w:cs="Times New Roman"/>
          <w:color w:val="000000"/>
          <w:sz w:val="28"/>
          <w:szCs w:val="28"/>
          <w:shd w:val="clear" w:color="auto" w:fill="FFFFFF"/>
        </w:rPr>
        <w:t>20</w:t>
      </w:r>
      <w:r w:rsidR="00381305">
        <w:rPr>
          <w:rFonts w:ascii="Times New Roman" w:eastAsia="Calibri" w:hAnsi="Times New Roman" w:cs="Times New Roman"/>
          <w:color w:val="000000"/>
          <w:sz w:val="28"/>
          <w:szCs w:val="28"/>
          <w:shd w:val="clear" w:color="auto" w:fill="FFFFFF"/>
        </w:rPr>
        <w:t>21</w:t>
      </w:r>
      <w:r w:rsidRPr="0010107D">
        <w:rPr>
          <w:rFonts w:ascii="Times New Roman" w:eastAsia="Calibri" w:hAnsi="Times New Roman" w:cs="Times New Roman"/>
          <w:color w:val="000000"/>
          <w:sz w:val="28"/>
          <w:szCs w:val="28"/>
          <w:shd w:val="clear" w:color="auto" w:fill="FFFFFF"/>
        </w:rPr>
        <w:t xml:space="preserve"> г</w:t>
      </w:r>
      <w:r w:rsidR="00443EEA">
        <w:rPr>
          <w:rFonts w:ascii="Times New Roman" w:eastAsia="Calibri" w:hAnsi="Times New Roman" w:cs="Times New Roman"/>
          <w:color w:val="000000"/>
          <w:sz w:val="28"/>
          <w:szCs w:val="28"/>
          <w:shd w:val="clear" w:color="auto" w:fill="FFFFFF"/>
        </w:rPr>
        <w:t>.</w:t>
      </w:r>
      <w:r w:rsidRPr="0010107D">
        <w:rPr>
          <w:rFonts w:ascii="Times New Roman" w:eastAsia="Calibri" w:hAnsi="Times New Roman" w:cs="Times New Roman"/>
          <w:color w:val="000000"/>
          <w:sz w:val="28"/>
          <w:szCs w:val="28"/>
          <w:shd w:val="clear" w:color="auto" w:fill="FFFFFF"/>
        </w:rPr>
        <w:t xml:space="preserve"> размер указанного пособия составлял </w:t>
      </w:r>
      <w:r w:rsidR="00C16180">
        <w:rPr>
          <w:rFonts w:ascii="Times New Roman" w:eastAsia="Calibri" w:hAnsi="Times New Roman" w:cs="Times New Roman"/>
          <w:color w:val="000000"/>
          <w:sz w:val="28"/>
          <w:szCs w:val="28"/>
          <w:shd w:val="clear" w:color="auto" w:fill="FFFFFF"/>
        </w:rPr>
        <w:br/>
      </w:r>
      <w:r w:rsidR="00333495">
        <w:rPr>
          <w:rFonts w:ascii="Times New Roman" w:eastAsia="Calibri" w:hAnsi="Times New Roman" w:cs="Times New Roman"/>
          <w:color w:val="000000"/>
          <w:sz w:val="28"/>
          <w:szCs w:val="28"/>
          <w:shd w:val="clear" w:color="auto" w:fill="FFFFFF"/>
        </w:rPr>
        <w:t>708,23</w:t>
      </w:r>
      <w:r w:rsidRPr="0010107D">
        <w:rPr>
          <w:rFonts w:ascii="Times New Roman" w:eastAsia="Calibri" w:hAnsi="Times New Roman" w:cs="Times New Roman"/>
          <w:color w:val="000000"/>
          <w:sz w:val="28"/>
          <w:szCs w:val="28"/>
          <w:shd w:val="clear" w:color="auto" w:fill="FFFFFF"/>
        </w:rPr>
        <w:t xml:space="preserve"> рубл</w:t>
      </w:r>
      <w:r w:rsidR="00813EDE">
        <w:rPr>
          <w:rFonts w:ascii="Times New Roman" w:eastAsia="Calibri" w:hAnsi="Times New Roman" w:cs="Times New Roman"/>
          <w:color w:val="000000"/>
          <w:sz w:val="28"/>
          <w:szCs w:val="28"/>
          <w:shd w:val="clear" w:color="auto" w:fill="FFFFFF"/>
        </w:rPr>
        <w:t>я</w:t>
      </w:r>
      <w:r w:rsidRPr="0010107D">
        <w:rPr>
          <w:rFonts w:ascii="Times New Roman" w:eastAsia="Calibri" w:hAnsi="Times New Roman" w:cs="Times New Roman"/>
          <w:color w:val="000000"/>
          <w:sz w:val="28"/>
          <w:szCs w:val="28"/>
          <w:shd w:val="clear" w:color="auto" w:fill="FFFFFF"/>
        </w:rPr>
        <w:t xml:space="preserve"> (</w:t>
      </w:r>
      <w:r w:rsidR="00381305" w:rsidRPr="0010107D">
        <w:rPr>
          <w:rFonts w:ascii="Times New Roman" w:eastAsia="Calibri" w:hAnsi="Times New Roman" w:cs="Times New Roman"/>
          <w:color w:val="000000"/>
          <w:sz w:val="28"/>
          <w:szCs w:val="28"/>
          <w:shd w:val="clear" w:color="auto" w:fill="FFFFFF"/>
        </w:rPr>
        <w:t>с 1 февраля 20</w:t>
      </w:r>
      <w:r w:rsidR="00333495">
        <w:rPr>
          <w:rFonts w:ascii="Times New Roman" w:eastAsia="Calibri" w:hAnsi="Times New Roman" w:cs="Times New Roman"/>
          <w:color w:val="000000"/>
          <w:sz w:val="28"/>
          <w:szCs w:val="28"/>
          <w:shd w:val="clear" w:color="auto" w:fill="FFFFFF"/>
        </w:rPr>
        <w:t xml:space="preserve">20 </w:t>
      </w:r>
      <w:r w:rsidR="00381305" w:rsidRPr="0010107D">
        <w:rPr>
          <w:rFonts w:ascii="Times New Roman" w:eastAsia="Calibri" w:hAnsi="Times New Roman" w:cs="Times New Roman"/>
          <w:color w:val="000000"/>
          <w:sz w:val="28"/>
          <w:szCs w:val="28"/>
          <w:shd w:val="clear" w:color="auto" w:fill="FFFFFF"/>
        </w:rPr>
        <w:t>г</w:t>
      </w:r>
      <w:r w:rsidR="00443EEA">
        <w:rPr>
          <w:rFonts w:ascii="Times New Roman" w:eastAsia="Calibri" w:hAnsi="Times New Roman" w:cs="Times New Roman"/>
          <w:color w:val="000000"/>
          <w:sz w:val="28"/>
          <w:szCs w:val="28"/>
          <w:shd w:val="clear" w:color="auto" w:fill="FFFFFF"/>
        </w:rPr>
        <w:t>.</w:t>
      </w:r>
      <w:r w:rsidR="00381305" w:rsidRPr="0010107D">
        <w:rPr>
          <w:rFonts w:ascii="Times New Roman" w:eastAsia="Calibri" w:hAnsi="Times New Roman" w:cs="Times New Roman"/>
          <w:color w:val="000000"/>
          <w:sz w:val="28"/>
          <w:szCs w:val="28"/>
          <w:shd w:val="clear" w:color="auto" w:fill="FFFFFF"/>
        </w:rPr>
        <w:t xml:space="preserve"> –</w:t>
      </w:r>
      <w:r w:rsidR="00381305">
        <w:rPr>
          <w:rFonts w:ascii="Times New Roman" w:eastAsia="Calibri" w:hAnsi="Times New Roman" w:cs="Times New Roman"/>
          <w:color w:val="000000"/>
          <w:sz w:val="28"/>
          <w:szCs w:val="28"/>
          <w:shd w:val="clear" w:color="auto" w:fill="FFFFFF"/>
        </w:rPr>
        <w:t xml:space="preserve"> </w:t>
      </w:r>
      <w:r w:rsidR="00381305" w:rsidRPr="0010107D">
        <w:rPr>
          <w:rFonts w:ascii="Times New Roman" w:eastAsia="Calibri" w:hAnsi="Times New Roman" w:cs="Times New Roman"/>
          <w:color w:val="000000"/>
          <w:sz w:val="28"/>
          <w:szCs w:val="28"/>
          <w:shd w:val="clear" w:color="auto" w:fill="FFFFFF"/>
        </w:rPr>
        <w:t>6</w:t>
      </w:r>
      <w:r w:rsidR="00381305">
        <w:rPr>
          <w:rFonts w:ascii="Times New Roman" w:eastAsia="Calibri" w:hAnsi="Times New Roman" w:cs="Times New Roman"/>
          <w:color w:val="000000"/>
          <w:sz w:val="28"/>
          <w:szCs w:val="28"/>
          <w:shd w:val="clear" w:color="auto" w:fill="FFFFFF"/>
        </w:rPr>
        <w:t>7</w:t>
      </w:r>
      <w:r w:rsidR="00381305" w:rsidRPr="0010107D">
        <w:rPr>
          <w:rFonts w:ascii="Times New Roman" w:eastAsia="Calibri" w:hAnsi="Times New Roman" w:cs="Times New Roman"/>
          <w:color w:val="000000"/>
          <w:sz w:val="28"/>
          <w:szCs w:val="28"/>
          <w:shd w:val="clear" w:color="auto" w:fill="FFFFFF"/>
        </w:rPr>
        <w:t>5,</w:t>
      </w:r>
      <w:r w:rsidR="00381305">
        <w:rPr>
          <w:rFonts w:ascii="Times New Roman" w:eastAsia="Calibri" w:hAnsi="Times New Roman" w:cs="Times New Roman"/>
          <w:color w:val="000000"/>
          <w:sz w:val="28"/>
          <w:szCs w:val="28"/>
          <w:shd w:val="clear" w:color="auto" w:fill="FFFFFF"/>
        </w:rPr>
        <w:t xml:space="preserve">15 </w:t>
      </w:r>
      <w:r w:rsidR="00381305" w:rsidRPr="0010107D">
        <w:rPr>
          <w:rFonts w:ascii="Times New Roman" w:eastAsia="Calibri" w:hAnsi="Times New Roman" w:cs="Times New Roman"/>
          <w:color w:val="000000"/>
          <w:sz w:val="28"/>
          <w:szCs w:val="28"/>
          <w:shd w:val="clear" w:color="auto" w:fill="FFFFFF"/>
        </w:rPr>
        <w:t>рубл</w:t>
      </w:r>
      <w:r w:rsidR="00813EDE">
        <w:rPr>
          <w:rFonts w:ascii="Times New Roman" w:eastAsia="Calibri" w:hAnsi="Times New Roman" w:cs="Times New Roman"/>
          <w:color w:val="000000"/>
          <w:sz w:val="28"/>
          <w:szCs w:val="28"/>
          <w:shd w:val="clear" w:color="auto" w:fill="FFFFFF"/>
        </w:rPr>
        <w:t>я</w:t>
      </w:r>
      <w:r w:rsidR="00381305">
        <w:rPr>
          <w:rFonts w:ascii="Times New Roman" w:eastAsia="Calibri" w:hAnsi="Times New Roman" w:cs="Times New Roman"/>
          <w:color w:val="000000"/>
          <w:sz w:val="28"/>
          <w:szCs w:val="28"/>
          <w:shd w:val="clear" w:color="auto" w:fill="FFFFFF"/>
        </w:rPr>
        <w:t xml:space="preserve">; </w:t>
      </w:r>
      <w:r w:rsidR="006221A7">
        <w:rPr>
          <w:rFonts w:ascii="Times New Roman" w:eastAsia="Calibri" w:hAnsi="Times New Roman" w:cs="Times New Roman"/>
          <w:color w:val="000000"/>
          <w:sz w:val="28"/>
          <w:szCs w:val="28"/>
          <w:shd w:val="clear" w:color="auto" w:fill="FFFFFF"/>
        </w:rPr>
        <w:t>с 1 февраля 2019 г</w:t>
      </w:r>
      <w:r w:rsidR="00443EEA">
        <w:rPr>
          <w:rFonts w:ascii="Times New Roman" w:eastAsia="Calibri" w:hAnsi="Times New Roman" w:cs="Times New Roman"/>
          <w:color w:val="000000"/>
          <w:sz w:val="28"/>
          <w:szCs w:val="28"/>
          <w:shd w:val="clear" w:color="auto" w:fill="FFFFFF"/>
        </w:rPr>
        <w:t>.</w:t>
      </w:r>
      <w:r w:rsidR="006221A7">
        <w:rPr>
          <w:rFonts w:ascii="Times New Roman" w:eastAsia="Calibri" w:hAnsi="Times New Roman" w:cs="Times New Roman"/>
          <w:color w:val="000000"/>
          <w:sz w:val="28"/>
          <w:szCs w:val="28"/>
          <w:shd w:val="clear" w:color="auto" w:fill="FFFFFF"/>
        </w:rPr>
        <w:t xml:space="preserve"> – </w:t>
      </w:r>
      <w:r w:rsidR="006221A7" w:rsidRPr="0010107D">
        <w:rPr>
          <w:rFonts w:ascii="Times New Roman" w:eastAsia="Calibri" w:hAnsi="Times New Roman" w:cs="Times New Roman"/>
          <w:color w:val="000000"/>
          <w:sz w:val="28"/>
          <w:szCs w:val="28"/>
          <w:shd w:val="clear" w:color="auto" w:fill="FFFFFF"/>
        </w:rPr>
        <w:t xml:space="preserve">655,49 </w:t>
      </w:r>
      <w:r w:rsidR="006221A7">
        <w:rPr>
          <w:rFonts w:ascii="Times New Roman" w:eastAsia="Calibri" w:hAnsi="Times New Roman" w:cs="Times New Roman"/>
          <w:color w:val="000000"/>
          <w:sz w:val="28"/>
          <w:szCs w:val="28"/>
          <w:shd w:val="clear" w:color="auto" w:fill="FFFFFF"/>
        </w:rPr>
        <w:t>рубл</w:t>
      </w:r>
      <w:r w:rsidR="00813EDE">
        <w:rPr>
          <w:rFonts w:ascii="Times New Roman" w:eastAsia="Calibri" w:hAnsi="Times New Roman" w:cs="Times New Roman"/>
          <w:color w:val="000000"/>
          <w:sz w:val="28"/>
          <w:szCs w:val="28"/>
          <w:shd w:val="clear" w:color="auto" w:fill="FFFFFF"/>
        </w:rPr>
        <w:t>я</w:t>
      </w:r>
      <w:r w:rsidRPr="0010107D">
        <w:rPr>
          <w:rFonts w:ascii="Times New Roman" w:eastAsia="Calibri" w:hAnsi="Times New Roman" w:cs="Times New Roman"/>
          <w:color w:val="000000"/>
          <w:sz w:val="28"/>
          <w:szCs w:val="28"/>
          <w:shd w:val="clear" w:color="auto" w:fill="FFFFFF"/>
        </w:rPr>
        <w:t>).</w:t>
      </w:r>
    </w:p>
    <w:p w14:paraId="34098838" w14:textId="77777777" w:rsidR="0010107D" w:rsidRDefault="0010107D" w:rsidP="0010107D">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10107D">
        <w:rPr>
          <w:rFonts w:ascii="Times New Roman" w:eastAsia="Calibri" w:hAnsi="Times New Roman" w:cs="Times New Roman"/>
          <w:color w:val="000000"/>
          <w:sz w:val="28"/>
          <w:szCs w:val="28"/>
          <w:shd w:val="clear" w:color="auto" w:fill="FFFFFF"/>
        </w:rPr>
        <w:t>Кроме того, одному из родителей либо лицу, его заменяющему, выплачивается единовременное пособие при рождении ребенка. В случае рождения двух или более детей указанное пособие выплачивается на каждого ребенка.</w:t>
      </w:r>
    </w:p>
    <w:p w14:paraId="6CBB9206" w14:textId="77777777" w:rsidR="00EB0B54" w:rsidRPr="0010107D" w:rsidRDefault="008B780A" w:rsidP="0010107D">
      <w:pPr>
        <w:widowControl w:val="0"/>
        <w:spacing w:after="0" w:line="312"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Р</w:t>
      </w:r>
      <w:r w:rsidR="00EB0B54">
        <w:rPr>
          <w:rFonts w:ascii="Times New Roman" w:eastAsia="Times New Roman" w:hAnsi="Times New Roman" w:cs="Times New Roman"/>
          <w:sz w:val="28"/>
          <w:szCs w:val="28"/>
          <w:lang w:eastAsia="ru-RU"/>
        </w:rPr>
        <w:t xml:space="preserve">азмер </w:t>
      </w:r>
      <w:r w:rsidR="00EB0B54" w:rsidRPr="0010107D">
        <w:rPr>
          <w:rFonts w:ascii="Times New Roman" w:eastAsia="Times New Roman" w:hAnsi="Times New Roman" w:cs="Times New Roman"/>
          <w:sz w:val="28"/>
          <w:szCs w:val="28"/>
          <w:lang w:eastAsia="ru-RU"/>
        </w:rPr>
        <w:t>единовременно</w:t>
      </w:r>
      <w:r w:rsidR="00EB0B54">
        <w:rPr>
          <w:rFonts w:ascii="Times New Roman" w:eastAsia="Times New Roman" w:hAnsi="Times New Roman" w:cs="Times New Roman"/>
          <w:sz w:val="28"/>
          <w:szCs w:val="28"/>
          <w:lang w:eastAsia="ru-RU"/>
        </w:rPr>
        <w:t>го</w:t>
      </w:r>
      <w:r w:rsidR="00EB0B54" w:rsidRPr="0010107D">
        <w:rPr>
          <w:rFonts w:ascii="Times New Roman" w:eastAsia="Times New Roman" w:hAnsi="Times New Roman" w:cs="Times New Roman"/>
          <w:sz w:val="28"/>
          <w:szCs w:val="28"/>
          <w:lang w:eastAsia="ru-RU"/>
        </w:rPr>
        <w:t xml:space="preserve"> пособи</w:t>
      </w:r>
      <w:r w:rsidR="00EB0B54">
        <w:rPr>
          <w:rFonts w:ascii="Times New Roman" w:eastAsia="Times New Roman" w:hAnsi="Times New Roman" w:cs="Times New Roman"/>
          <w:sz w:val="28"/>
          <w:szCs w:val="28"/>
          <w:lang w:eastAsia="ru-RU"/>
        </w:rPr>
        <w:t>я</w:t>
      </w:r>
      <w:r w:rsidR="00EB0B54" w:rsidRPr="0010107D">
        <w:rPr>
          <w:rFonts w:ascii="Times New Roman" w:eastAsia="Times New Roman" w:hAnsi="Times New Roman" w:cs="Times New Roman"/>
          <w:sz w:val="28"/>
          <w:szCs w:val="28"/>
          <w:lang w:eastAsia="ru-RU"/>
        </w:rPr>
        <w:t xml:space="preserve"> при рождении ребенка </w:t>
      </w:r>
      <w:r w:rsidR="00EB0B54">
        <w:rPr>
          <w:rFonts w:ascii="Times New Roman" w:eastAsia="Times New Roman" w:hAnsi="Times New Roman" w:cs="Times New Roman"/>
          <w:sz w:val="28"/>
          <w:szCs w:val="28"/>
          <w:lang w:eastAsia="ru-RU"/>
        </w:rPr>
        <w:t>с 1 февраля 202</w:t>
      </w:r>
      <w:r w:rsidR="00333495">
        <w:rPr>
          <w:rFonts w:ascii="Times New Roman" w:eastAsia="Times New Roman" w:hAnsi="Times New Roman" w:cs="Times New Roman"/>
          <w:sz w:val="28"/>
          <w:szCs w:val="28"/>
          <w:lang w:eastAsia="ru-RU"/>
        </w:rPr>
        <w:t>1</w:t>
      </w:r>
      <w:r w:rsidR="00EB0B54">
        <w:rPr>
          <w:rFonts w:ascii="Times New Roman" w:eastAsia="Times New Roman" w:hAnsi="Times New Roman" w:cs="Times New Roman"/>
          <w:sz w:val="28"/>
          <w:szCs w:val="28"/>
          <w:lang w:eastAsia="ru-RU"/>
        </w:rPr>
        <w:t xml:space="preserve"> г</w:t>
      </w:r>
      <w:r w:rsidR="00443EEA">
        <w:rPr>
          <w:rFonts w:ascii="Times New Roman" w:eastAsia="Times New Roman" w:hAnsi="Times New Roman" w:cs="Times New Roman"/>
          <w:sz w:val="28"/>
          <w:szCs w:val="28"/>
          <w:lang w:eastAsia="ru-RU"/>
        </w:rPr>
        <w:t>.</w:t>
      </w:r>
      <w:r w:rsidR="00EB0B5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для застрахованных лиц </w:t>
      </w:r>
      <w:r w:rsidR="00EB0B54">
        <w:rPr>
          <w:rFonts w:ascii="Times New Roman" w:eastAsia="Times New Roman" w:hAnsi="Times New Roman" w:cs="Times New Roman"/>
          <w:sz w:val="28"/>
          <w:szCs w:val="28"/>
          <w:lang w:eastAsia="ru-RU"/>
        </w:rPr>
        <w:t>составлял</w:t>
      </w:r>
      <w:r w:rsidR="00333495">
        <w:rPr>
          <w:rFonts w:ascii="Times New Roman" w:eastAsia="Times New Roman" w:hAnsi="Times New Roman" w:cs="Times New Roman"/>
          <w:sz w:val="28"/>
          <w:szCs w:val="28"/>
          <w:lang w:eastAsia="ru-RU"/>
        </w:rPr>
        <w:t> 18 886,32</w:t>
      </w:r>
      <w:r>
        <w:rPr>
          <w:rFonts w:ascii="Times New Roman" w:eastAsia="Times New Roman" w:hAnsi="Times New Roman" w:cs="Times New Roman"/>
          <w:sz w:val="28"/>
          <w:szCs w:val="28"/>
          <w:lang w:eastAsia="ru-RU"/>
        </w:rPr>
        <w:t xml:space="preserve"> рубл</w:t>
      </w:r>
      <w:r w:rsidR="00813EDE">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w:t>
      </w:r>
      <w:r w:rsidR="00EB0B54" w:rsidRPr="0010107D">
        <w:rPr>
          <w:rFonts w:ascii="Times New Roman" w:eastAsia="Times New Roman" w:hAnsi="Times New Roman" w:cs="Times New Roman"/>
          <w:sz w:val="28"/>
          <w:szCs w:val="28"/>
          <w:lang w:eastAsia="ru-RU"/>
        </w:rPr>
        <w:t>(</w:t>
      </w:r>
      <w:r w:rsidR="0037024E">
        <w:rPr>
          <w:rFonts w:ascii="Times New Roman" w:eastAsia="Times New Roman" w:hAnsi="Times New Roman" w:cs="Times New Roman"/>
          <w:sz w:val="28"/>
          <w:szCs w:val="28"/>
          <w:lang w:eastAsia="ru-RU"/>
        </w:rPr>
        <w:t xml:space="preserve">с 1 февраля </w:t>
      </w:r>
      <w:r w:rsidR="00333495">
        <w:rPr>
          <w:rFonts w:ascii="Times New Roman" w:eastAsia="Times New Roman" w:hAnsi="Times New Roman" w:cs="Times New Roman"/>
          <w:sz w:val="28"/>
          <w:szCs w:val="28"/>
          <w:lang w:eastAsia="ru-RU"/>
        </w:rPr>
        <w:t>2020 г. – 18 004,12 рубл</w:t>
      </w:r>
      <w:r w:rsidR="00813EDE">
        <w:rPr>
          <w:rFonts w:ascii="Times New Roman" w:eastAsia="Times New Roman" w:hAnsi="Times New Roman" w:cs="Times New Roman"/>
          <w:sz w:val="28"/>
          <w:szCs w:val="28"/>
          <w:lang w:eastAsia="ru-RU"/>
        </w:rPr>
        <w:t>я</w:t>
      </w:r>
      <w:r w:rsidR="00333495">
        <w:rPr>
          <w:rFonts w:ascii="Times New Roman" w:eastAsia="Times New Roman" w:hAnsi="Times New Roman" w:cs="Times New Roman"/>
          <w:sz w:val="28"/>
          <w:szCs w:val="28"/>
          <w:lang w:eastAsia="ru-RU"/>
        </w:rPr>
        <w:t xml:space="preserve">; </w:t>
      </w:r>
      <w:r w:rsidR="0037024E">
        <w:rPr>
          <w:rFonts w:ascii="Times New Roman" w:eastAsia="Times New Roman" w:hAnsi="Times New Roman" w:cs="Times New Roman"/>
          <w:sz w:val="28"/>
          <w:szCs w:val="28"/>
          <w:lang w:eastAsia="ru-RU"/>
        </w:rPr>
        <w:t xml:space="preserve">с 1 февраля </w:t>
      </w:r>
      <w:r w:rsidR="00EB0B54">
        <w:rPr>
          <w:rFonts w:ascii="Times New Roman" w:eastAsia="Times New Roman" w:hAnsi="Times New Roman" w:cs="Times New Roman"/>
          <w:sz w:val="28"/>
          <w:szCs w:val="28"/>
          <w:lang w:eastAsia="ru-RU"/>
        </w:rPr>
        <w:t xml:space="preserve">2019 г. – </w:t>
      </w:r>
      <w:r w:rsidR="00813EDE">
        <w:rPr>
          <w:rFonts w:ascii="Times New Roman" w:eastAsia="Times New Roman" w:hAnsi="Times New Roman" w:cs="Times New Roman"/>
          <w:sz w:val="28"/>
          <w:szCs w:val="28"/>
          <w:lang w:eastAsia="ru-RU"/>
        </w:rPr>
        <w:t>17 479,73 рубля</w:t>
      </w:r>
      <w:r w:rsidR="00EB0B54" w:rsidRPr="0010107D">
        <w:rPr>
          <w:rFonts w:ascii="Times New Roman" w:eastAsia="Times New Roman" w:hAnsi="Times New Roman" w:cs="Times New Roman"/>
          <w:sz w:val="28"/>
          <w:szCs w:val="28"/>
          <w:lang w:eastAsia="ru-RU"/>
        </w:rPr>
        <w:t>)</w:t>
      </w:r>
      <w:r w:rsidR="00333495">
        <w:rPr>
          <w:rFonts w:ascii="Times New Roman" w:eastAsia="Times New Roman" w:hAnsi="Times New Roman" w:cs="Times New Roman"/>
          <w:sz w:val="28"/>
          <w:szCs w:val="28"/>
          <w:lang w:eastAsia="ru-RU"/>
        </w:rPr>
        <w:t>.</w:t>
      </w:r>
    </w:p>
    <w:p w14:paraId="72DDED88" w14:textId="77777777" w:rsidR="0010107D" w:rsidRPr="0010107D" w:rsidRDefault="0010107D" w:rsidP="0010107D">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 xml:space="preserve">После окончания отпуска по беременности и родам работающим женщинам предоставляется отпуск по уходу за ребенком до достижения им возраста 3 лет. За период такого отпуска </w:t>
      </w:r>
      <w:r w:rsidR="00333495">
        <w:rPr>
          <w:rFonts w:ascii="Times New Roman" w:eastAsia="Calibri" w:hAnsi="Times New Roman" w:cs="Times New Roman"/>
          <w:color w:val="000000"/>
          <w:sz w:val="28"/>
          <w:szCs w:val="28"/>
          <w:shd w:val="clear" w:color="auto" w:fill="FFFFFF"/>
        </w:rPr>
        <w:t xml:space="preserve">до достижения ребенком возраста </w:t>
      </w:r>
      <w:r w:rsidRPr="0010107D">
        <w:rPr>
          <w:rFonts w:ascii="Times New Roman" w:eastAsia="Calibri" w:hAnsi="Times New Roman" w:cs="Times New Roman"/>
          <w:color w:val="000000"/>
          <w:sz w:val="28"/>
          <w:szCs w:val="28"/>
          <w:shd w:val="clear" w:color="auto" w:fill="FFFFFF"/>
        </w:rPr>
        <w:t>1,5 лет выплачивается ежемесячное пособие по уходу за ребенком.</w:t>
      </w:r>
    </w:p>
    <w:p w14:paraId="46EE7643" w14:textId="77777777" w:rsidR="0010107D" w:rsidRPr="0010107D" w:rsidRDefault="0010107D" w:rsidP="0010107D">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Отпуск по уходу за ребенком с выплатой ежемесячного пособия по уходу за ребенком может быть предоставлен отцу ребенка, другому родственнику или опекуну, фактически осуществляющему уход за ребенком и подлежащему обязательному социальному страхованию.</w:t>
      </w:r>
    </w:p>
    <w:p w14:paraId="453BCBEB" w14:textId="77777777" w:rsidR="0010107D" w:rsidRPr="0010107D" w:rsidRDefault="0010107D" w:rsidP="0010107D">
      <w:pPr>
        <w:widowControl w:val="0"/>
        <w:spacing w:after="0" w:line="312" w:lineRule="auto"/>
        <w:ind w:firstLine="709"/>
        <w:jc w:val="both"/>
        <w:rPr>
          <w:rFonts w:ascii="Calibri" w:eastAsia="Calibri" w:hAnsi="Calibri" w:cs="Times New Roman"/>
          <w:sz w:val="28"/>
          <w:szCs w:val="28"/>
        </w:rPr>
      </w:pPr>
      <w:r w:rsidRPr="0010107D">
        <w:rPr>
          <w:rFonts w:ascii="Times New Roman" w:eastAsia="Calibri" w:hAnsi="Times New Roman" w:cs="Times New Roman"/>
          <w:color w:val="000000"/>
          <w:sz w:val="28"/>
          <w:szCs w:val="28"/>
          <w:shd w:val="clear" w:color="auto" w:fill="FFFFFF"/>
        </w:rPr>
        <w:t>Ежемесячное пособие по уходу за ребенком выплачивается в размере</w:t>
      </w:r>
      <w:r w:rsidR="00C14424">
        <w:rPr>
          <w:rFonts w:ascii="Times New Roman" w:eastAsia="Calibri" w:hAnsi="Times New Roman" w:cs="Times New Roman"/>
          <w:color w:val="000000"/>
          <w:sz w:val="28"/>
          <w:szCs w:val="28"/>
          <w:shd w:val="clear" w:color="auto" w:fill="FFFFFF"/>
        </w:rPr>
        <w:t xml:space="preserve"> </w:t>
      </w:r>
      <w:r w:rsidRPr="0010107D">
        <w:rPr>
          <w:rFonts w:ascii="Times New Roman" w:eastAsia="Calibri" w:hAnsi="Times New Roman" w:cs="Times New Roman"/>
          <w:color w:val="000000"/>
          <w:sz w:val="28"/>
          <w:szCs w:val="28"/>
          <w:shd w:val="clear" w:color="auto" w:fill="FFFFFF"/>
        </w:rPr>
        <w:t>40</w:t>
      </w:r>
      <w:r w:rsidR="00AB19DF">
        <w:rPr>
          <w:rFonts w:ascii="Times New Roman" w:eastAsia="Calibri" w:hAnsi="Times New Roman" w:cs="Times New Roman"/>
          <w:color w:val="000000"/>
          <w:sz w:val="28"/>
          <w:szCs w:val="28"/>
          <w:shd w:val="clear" w:color="auto" w:fill="FFFFFF"/>
        </w:rPr>
        <w:t>%</w:t>
      </w:r>
      <w:r w:rsidRPr="0010107D">
        <w:rPr>
          <w:rFonts w:ascii="Times New Roman" w:eastAsia="Calibri" w:hAnsi="Times New Roman" w:cs="Times New Roman"/>
          <w:color w:val="000000"/>
          <w:sz w:val="28"/>
          <w:szCs w:val="28"/>
          <w:shd w:val="clear" w:color="auto" w:fill="FFFFFF"/>
        </w:rPr>
        <w:t xml:space="preserve"> среднего заработка застрахованного лица, но не менее минимального размера этого пособия, установленного Федеральным законом от 19 мая 1995 г. № 81-ФЗ.</w:t>
      </w:r>
    </w:p>
    <w:p w14:paraId="220ADF93" w14:textId="77777777" w:rsidR="0010107D" w:rsidRPr="0010107D" w:rsidRDefault="0010107D" w:rsidP="0010107D">
      <w:pPr>
        <w:autoSpaceDE w:val="0"/>
        <w:autoSpaceDN w:val="0"/>
        <w:adjustRightInd w:val="0"/>
        <w:spacing w:after="0" w:line="312" w:lineRule="auto"/>
        <w:ind w:firstLine="709"/>
        <w:jc w:val="both"/>
        <w:outlineLvl w:val="1"/>
        <w:rPr>
          <w:rFonts w:ascii="Times New Roman" w:eastAsia="Times New Roman" w:hAnsi="Times New Roman" w:cs="Times New Roman"/>
          <w:sz w:val="28"/>
          <w:szCs w:val="28"/>
          <w:lang w:eastAsia="ru-RU"/>
        </w:rPr>
      </w:pPr>
      <w:r w:rsidRPr="0010107D">
        <w:rPr>
          <w:rFonts w:ascii="Times New Roman" w:eastAsia="Times New Roman" w:hAnsi="Times New Roman" w:cs="Times New Roman"/>
          <w:sz w:val="28"/>
          <w:szCs w:val="28"/>
          <w:lang w:eastAsia="ru-RU"/>
        </w:rPr>
        <w:t>В 20</w:t>
      </w:r>
      <w:r w:rsidR="00AB19DF">
        <w:rPr>
          <w:rFonts w:ascii="Times New Roman" w:eastAsia="Times New Roman" w:hAnsi="Times New Roman" w:cs="Times New Roman"/>
          <w:sz w:val="28"/>
          <w:szCs w:val="28"/>
          <w:lang w:eastAsia="ru-RU"/>
        </w:rPr>
        <w:t>2</w:t>
      </w:r>
      <w:r w:rsidR="00E73DE5">
        <w:rPr>
          <w:rFonts w:ascii="Times New Roman" w:eastAsia="Times New Roman" w:hAnsi="Times New Roman" w:cs="Times New Roman"/>
          <w:sz w:val="28"/>
          <w:szCs w:val="28"/>
          <w:lang w:eastAsia="ru-RU"/>
        </w:rPr>
        <w:t>1</w:t>
      </w:r>
      <w:r w:rsidRPr="0010107D">
        <w:rPr>
          <w:rFonts w:ascii="Times New Roman" w:eastAsia="Times New Roman" w:hAnsi="Times New Roman" w:cs="Times New Roman"/>
          <w:sz w:val="28"/>
          <w:szCs w:val="28"/>
          <w:lang w:eastAsia="ru-RU"/>
        </w:rPr>
        <w:t xml:space="preserve"> г</w:t>
      </w:r>
      <w:r w:rsidR="00443EEA">
        <w:rPr>
          <w:rFonts w:ascii="Times New Roman" w:eastAsia="Times New Roman" w:hAnsi="Times New Roman" w:cs="Times New Roman"/>
          <w:sz w:val="28"/>
          <w:szCs w:val="28"/>
          <w:lang w:eastAsia="ru-RU"/>
        </w:rPr>
        <w:t>.</w:t>
      </w:r>
      <w:r w:rsidRPr="0010107D">
        <w:rPr>
          <w:rFonts w:ascii="Times New Roman" w:eastAsia="Times New Roman" w:hAnsi="Times New Roman" w:cs="Times New Roman"/>
          <w:sz w:val="28"/>
          <w:szCs w:val="28"/>
          <w:lang w:eastAsia="ru-RU"/>
        </w:rPr>
        <w:t xml:space="preserve"> максимальн</w:t>
      </w:r>
      <w:r w:rsidR="009E13B1">
        <w:rPr>
          <w:rFonts w:ascii="Times New Roman" w:eastAsia="Times New Roman" w:hAnsi="Times New Roman" w:cs="Times New Roman"/>
          <w:sz w:val="28"/>
          <w:szCs w:val="28"/>
          <w:lang w:eastAsia="ru-RU"/>
        </w:rPr>
        <w:t>ый</w:t>
      </w:r>
      <w:r w:rsidRPr="0010107D">
        <w:rPr>
          <w:rFonts w:ascii="Times New Roman" w:eastAsia="Times New Roman" w:hAnsi="Times New Roman" w:cs="Times New Roman"/>
          <w:sz w:val="28"/>
          <w:szCs w:val="28"/>
          <w:lang w:eastAsia="ru-RU"/>
        </w:rPr>
        <w:t xml:space="preserve"> </w:t>
      </w:r>
      <w:r w:rsidR="009E13B1">
        <w:rPr>
          <w:rFonts w:ascii="Times New Roman" w:eastAsia="Times New Roman" w:hAnsi="Times New Roman" w:cs="Times New Roman"/>
          <w:sz w:val="28"/>
          <w:szCs w:val="28"/>
          <w:lang w:eastAsia="ru-RU"/>
        </w:rPr>
        <w:t>размер</w:t>
      </w:r>
      <w:r w:rsidRPr="0010107D">
        <w:rPr>
          <w:rFonts w:ascii="Times New Roman" w:eastAsia="Times New Roman" w:hAnsi="Times New Roman" w:cs="Times New Roman"/>
          <w:sz w:val="28"/>
          <w:szCs w:val="28"/>
          <w:lang w:eastAsia="ru-RU"/>
        </w:rPr>
        <w:t xml:space="preserve"> ежемесячного пособия по уходу за ребенком составлял </w:t>
      </w:r>
      <w:r w:rsidR="00E73DE5">
        <w:rPr>
          <w:rFonts w:ascii="Times New Roman" w:eastAsia="Times New Roman" w:hAnsi="Times New Roman" w:cs="Times New Roman"/>
          <w:sz w:val="28"/>
          <w:szCs w:val="28"/>
          <w:lang w:eastAsia="ru-RU"/>
        </w:rPr>
        <w:t>29 600,48</w:t>
      </w:r>
      <w:r w:rsidR="00813EDE">
        <w:rPr>
          <w:rFonts w:ascii="Times New Roman" w:eastAsia="Times New Roman" w:hAnsi="Times New Roman" w:cs="Times New Roman"/>
          <w:sz w:val="28"/>
          <w:szCs w:val="28"/>
          <w:lang w:eastAsia="ru-RU"/>
        </w:rPr>
        <w:t xml:space="preserve"> рубля</w:t>
      </w:r>
      <w:r w:rsidR="004753B8">
        <w:rPr>
          <w:rFonts w:ascii="Times New Roman" w:eastAsia="Times New Roman" w:hAnsi="Times New Roman" w:cs="Times New Roman"/>
          <w:sz w:val="28"/>
          <w:szCs w:val="28"/>
          <w:lang w:eastAsia="ru-RU"/>
        </w:rPr>
        <w:t xml:space="preserve"> </w:t>
      </w:r>
      <w:r w:rsidRPr="0010107D">
        <w:rPr>
          <w:rFonts w:ascii="Times New Roman" w:eastAsia="Times New Roman" w:hAnsi="Times New Roman" w:cs="Times New Roman"/>
          <w:sz w:val="28"/>
          <w:szCs w:val="28"/>
          <w:lang w:eastAsia="ru-RU"/>
        </w:rPr>
        <w:t>(</w:t>
      </w:r>
      <w:r w:rsidR="00E73DE5" w:rsidRPr="0010107D">
        <w:rPr>
          <w:rFonts w:ascii="Times New Roman" w:eastAsia="Times New Roman" w:hAnsi="Times New Roman" w:cs="Times New Roman"/>
          <w:sz w:val="28"/>
          <w:szCs w:val="28"/>
          <w:lang w:eastAsia="ru-RU"/>
        </w:rPr>
        <w:t>2</w:t>
      </w:r>
      <w:r w:rsidR="00E73DE5">
        <w:rPr>
          <w:rFonts w:ascii="Times New Roman" w:eastAsia="Times New Roman" w:hAnsi="Times New Roman" w:cs="Times New Roman"/>
          <w:sz w:val="28"/>
          <w:szCs w:val="28"/>
          <w:lang w:eastAsia="ru-RU"/>
        </w:rPr>
        <w:t>020 г. –</w:t>
      </w:r>
      <w:r w:rsidR="00360C14">
        <w:rPr>
          <w:rFonts w:ascii="Times New Roman" w:eastAsia="Times New Roman" w:hAnsi="Times New Roman" w:cs="Times New Roman"/>
          <w:sz w:val="28"/>
          <w:szCs w:val="28"/>
          <w:lang w:eastAsia="ru-RU"/>
        </w:rPr>
        <w:t> </w:t>
      </w:r>
      <w:r w:rsidR="00E73DE5">
        <w:rPr>
          <w:rFonts w:ascii="Times New Roman" w:eastAsia="Times New Roman" w:hAnsi="Times New Roman" w:cs="Times New Roman"/>
          <w:sz w:val="28"/>
          <w:szCs w:val="28"/>
          <w:lang w:eastAsia="ru-RU"/>
        </w:rPr>
        <w:t>27 984,66 рубл</w:t>
      </w:r>
      <w:r w:rsidR="00813EDE">
        <w:rPr>
          <w:rFonts w:ascii="Times New Roman" w:eastAsia="Times New Roman" w:hAnsi="Times New Roman" w:cs="Times New Roman"/>
          <w:sz w:val="28"/>
          <w:szCs w:val="28"/>
          <w:lang w:eastAsia="ru-RU"/>
        </w:rPr>
        <w:t>я</w:t>
      </w:r>
      <w:r w:rsidR="00E73DE5">
        <w:rPr>
          <w:rFonts w:ascii="Times New Roman" w:eastAsia="Times New Roman" w:hAnsi="Times New Roman" w:cs="Times New Roman"/>
          <w:sz w:val="28"/>
          <w:szCs w:val="28"/>
          <w:lang w:eastAsia="ru-RU"/>
        </w:rPr>
        <w:t xml:space="preserve">; </w:t>
      </w:r>
      <w:r w:rsidR="00AB19DF">
        <w:rPr>
          <w:rFonts w:ascii="Times New Roman" w:eastAsia="Times New Roman" w:hAnsi="Times New Roman" w:cs="Times New Roman"/>
          <w:sz w:val="28"/>
          <w:szCs w:val="28"/>
          <w:lang w:eastAsia="ru-RU"/>
        </w:rPr>
        <w:t xml:space="preserve">2019 г. – </w:t>
      </w:r>
      <w:r w:rsidR="00AB19DF" w:rsidRPr="0010107D">
        <w:rPr>
          <w:rFonts w:ascii="Times New Roman" w:eastAsia="Times New Roman" w:hAnsi="Times New Roman" w:cs="Times New Roman"/>
          <w:sz w:val="28"/>
          <w:szCs w:val="28"/>
          <w:lang w:eastAsia="ru-RU"/>
        </w:rPr>
        <w:t>26 152,27 рубл</w:t>
      </w:r>
      <w:r w:rsidR="00813EDE">
        <w:rPr>
          <w:rFonts w:ascii="Times New Roman" w:eastAsia="Times New Roman" w:hAnsi="Times New Roman" w:cs="Times New Roman"/>
          <w:sz w:val="28"/>
          <w:szCs w:val="28"/>
          <w:lang w:eastAsia="ru-RU"/>
        </w:rPr>
        <w:t>я</w:t>
      </w:r>
      <w:r w:rsidRPr="0010107D">
        <w:rPr>
          <w:rFonts w:ascii="Times New Roman" w:eastAsia="Times New Roman" w:hAnsi="Times New Roman" w:cs="Times New Roman"/>
          <w:sz w:val="28"/>
          <w:szCs w:val="28"/>
          <w:lang w:eastAsia="ru-RU"/>
        </w:rPr>
        <w:t>).</w:t>
      </w:r>
    </w:p>
    <w:p w14:paraId="162FBEC8" w14:textId="77777777" w:rsidR="00186DE7" w:rsidRPr="0010107D" w:rsidRDefault="00186DE7" w:rsidP="00186DE7">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два календарных года, предшествующих году наступления страхового случая.</w:t>
      </w:r>
    </w:p>
    <w:p w14:paraId="40B6B0DC" w14:textId="77777777" w:rsidR="00186DE7" w:rsidRPr="0010107D" w:rsidRDefault="00186DE7" w:rsidP="00186DE7">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10107D">
        <w:rPr>
          <w:rFonts w:ascii="Times New Roman" w:eastAsia="Calibri" w:hAnsi="Times New Roman" w:cs="Times New Roman"/>
          <w:color w:val="000000"/>
          <w:sz w:val="28"/>
          <w:szCs w:val="28"/>
          <w:shd w:val="clear" w:color="auto" w:fill="FFFFFF"/>
        </w:rPr>
        <w:t>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на обязательное социальное страхование на случай временной нетрудоспособности и в связи с материнством (в 201</w:t>
      </w:r>
      <w:r>
        <w:rPr>
          <w:rFonts w:ascii="Times New Roman" w:eastAsia="Calibri" w:hAnsi="Times New Roman" w:cs="Times New Roman"/>
          <w:color w:val="000000"/>
          <w:sz w:val="28"/>
          <w:szCs w:val="28"/>
          <w:shd w:val="clear" w:color="auto" w:fill="FFFFFF"/>
        </w:rPr>
        <w:t>9</w:t>
      </w:r>
      <w:r w:rsidRPr="0010107D">
        <w:rPr>
          <w:rFonts w:ascii="Times New Roman" w:eastAsia="Calibri" w:hAnsi="Times New Roman" w:cs="Times New Roman"/>
          <w:color w:val="000000"/>
          <w:sz w:val="28"/>
          <w:szCs w:val="28"/>
          <w:shd w:val="clear" w:color="auto" w:fill="FFFFFF"/>
        </w:rPr>
        <w:t xml:space="preserve"> г</w:t>
      </w:r>
      <w:r w:rsidR="00443EEA">
        <w:rPr>
          <w:rFonts w:ascii="Times New Roman" w:eastAsia="Calibri" w:hAnsi="Times New Roman" w:cs="Times New Roman"/>
          <w:color w:val="000000"/>
          <w:sz w:val="28"/>
          <w:szCs w:val="28"/>
          <w:shd w:val="clear" w:color="auto" w:fill="FFFFFF"/>
        </w:rPr>
        <w:t>.</w:t>
      </w:r>
      <w:r w:rsidRPr="0010107D">
        <w:rPr>
          <w:rFonts w:ascii="Times New Roman" w:eastAsia="Calibri" w:hAnsi="Times New Roman" w:cs="Times New Roman"/>
          <w:color w:val="000000"/>
          <w:sz w:val="28"/>
          <w:szCs w:val="28"/>
          <w:shd w:val="clear" w:color="auto" w:fill="FFFFFF"/>
        </w:rPr>
        <w:t xml:space="preserve"> предельная база для начисления страховых взносов на обязательное социальное страхование </w:t>
      </w:r>
      <w:r w:rsidR="0037024E">
        <w:rPr>
          <w:rFonts w:ascii="Times New Roman" w:eastAsia="Calibri" w:hAnsi="Times New Roman" w:cs="Times New Roman"/>
          <w:color w:val="000000"/>
          <w:sz w:val="28"/>
          <w:szCs w:val="28"/>
          <w:shd w:val="clear" w:color="auto" w:fill="FFFFFF"/>
        </w:rPr>
        <w:t xml:space="preserve">на случай временной нетрудоспособности и </w:t>
      </w:r>
      <w:r w:rsidRPr="0010107D">
        <w:rPr>
          <w:rFonts w:ascii="Times New Roman" w:eastAsia="Calibri" w:hAnsi="Times New Roman" w:cs="Times New Roman"/>
          <w:color w:val="000000"/>
          <w:sz w:val="28"/>
          <w:szCs w:val="28"/>
          <w:shd w:val="clear" w:color="auto" w:fill="FFFFFF"/>
        </w:rPr>
        <w:t xml:space="preserve">в связи с материнством составляла </w:t>
      </w:r>
      <w:r>
        <w:rPr>
          <w:rFonts w:ascii="Times New Roman" w:eastAsia="Calibri" w:hAnsi="Times New Roman" w:cs="Times New Roman"/>
          <w:color w:val="000000"/>
          <w:sz w:val="28"/>
          <w:szCs w:val="28"/>
          <w:shd w:val="clear" w:color="auto" w:fill="FFFFFF"/>
        </w:rPr>
        <w:t>86</w:t>
      </w:r>
      <w:r w:rsidRPr="0010107D">
        <w:rPr>
          <w:rFonts w:ascii="Times New Roman" w:eastAsia="Calibri" w:hAnsi="Times New Roman" w:cs="Times New Roman"/>
          <w:color w:val="000000"/>
          <w:sz w:val="28"/>
          <w:szCs w:val="28"/>
          <w:shd w:val="clear" w:color="auto" w:fill="FFFFFF"/>
        </w:rPr>
        <w:t xml:space="preserve">5 000 рублей, </w:t>
      </w:r>
      <w:r>
        <w:rPr>
          <w:rFonts w:ascii="Times New Roman" w:eastAsia="Calibri" w:hAnsi="Times New Roman" w:cs="Times New Roman"/>
          <w:color w:val="000000"/>
          <w:sz w:val="28"/>
          <w:szCs w:val="28"/>
          <w:shd w:val="clear" w:color="auto" w:fill="FFFFFF"/>
        </w:rPr>
        <w:t>в 2020 г</w:t>
      </w:r>
      <w:r w:rsidR="00443EEA">
        <w:rPr>
          <w:rFonts w:ascii="Times New Roman" w:eastAsia="Calibri" w:hAnsi="Times New Roman" w:cs="Times New Roman"/>
          <w:color w:val="000000"/>
          <w:sz w:val="28"/>
          <w:szCs w:val="28"/>
          <w:shd w:val="clear" w:color="auto" w:fill="FFFFFF"/>
        </w:rPr>
        <w:t>.</w:t>
      </w:r>
      <w:r>
        <w:rPr>
          <w:rFonts w:ascii="Times New Roman" w:eastAsia="Calibri" w:hAnsi="Times New Roman" w:cs="Times New Roman"/>
          <w:color w:val="000000"/>
          <w:sz w:val="28"/>
          <w:szCs w:val="28"/>
          <w:shd w:val="clear" w:color="auto" w:fill="FFFFFF"/>
        </w:rPr>
        <w:t xml:space="preserve"> – 912 000 рублей</w:t>
      </w:r>
      <w:r w:rsidRPr="0010107D">
        <w:rPr>
          <w:rFonts w:ascii="Times New Roman" w:eastAsia="Calibri" w:hAnsi="Times New Roman" w:cs="Times New Roman"/>
          <w:color w:val="000000"/>
          <w:sz w:val="28"/>
          <w:szCs w:val="28"/>
          <w:shd w:val="clear" w:color="auto" w:fill="FFFFFF"/>
        </w:rPr>
        <w:t>).</w:t>
      </w:r>
    </w:p>
    <w:p w14:paraId="3BABB639" w14:textId="77777777" w:rsidR="008B780A" w:rsidRPr="008B780A" w:rsidRDefault="008B780A" w:rsidP="0010107D">
      <w:pPr>
        <w:shd w:val="clear" w:color="auto" w:fill="FFFFFF"/>
        <w:spacing w:after="0" w:line="312" w:lineRule="auto"/>
        <w:ind w:firstLine="709"/>
        <w:jc w:val="both"/>
        <w:outlineLvl w:val="1"/>
        <w:rPr>
          <w:rFonts w:ascii="Times New Roman" w:eastAsia="Calibri" w:hAnsi="Times New Roman" w:cs="Times New Roman"/>
          <w:color w:val="000000"/>
          <w:sz w:val="28"/>
          <w:szCs w:val="28"/>
          <w:shd w:val="clear" w:color="auto" w:fill="FFFFFF"/>
        </w:rPr>
      </w:pPr>
      <w:r w:rsidRPr="008B780A">
        <w:rPr>
          <w:rFonts w:ascii="Times New Roman" w:eastAsia="Calibri" w:hAnsi="Times New Roman" w:cs="Times New Roman"/>
          <w:color w:val="000000"/>
          <w:sz w:val="28"/>
          <w:szCs w:val="28"/>
          <w:shd w:val="clear" w:color="auto" w:fill="FFFFFF"/>
        </w:rPr>
        <w:t>С 1 января 202</w:t>
      </w:r>
      <w:r w:rsidR="00453425">
        <w:rPr>
          <w:rFonts w:ascii="Times New Roman" w:eastAsia="Calibri" w:hAnsi="Times New Roman" w:cs="Times New Roman"/>
          <w:color w:val="000000"/>
          <w:sz w:val="28"/>
          <w:szCs w:val="28"/>
          <w:shd w:val="clear" w:color="auto" w:fill="FFFFFF"/>
        </w:rPr>
        <w:t>1</w:t>
      </w:r>
      <w:r w:rsidRPr="008B780A">
        <w:rPr>
          <w:rFonts w:ascii="Times New Roman" w:eastAsia="Calibri" w:hAnsi="Times New Roman" w:cs="Times New Roman"/>
          <w:color w:val="000000"/>
          <w:sz w:val="28"/>
          <w:szCs w:val="28"/>
          <w:shd w:val="clear" w:color="auto" w:fill="FFFFFF"/>
        </w:rPr>
        <w:t xml:space="preserve"> г</w:t>
      </w:r>
      <w:r w:rsidR="000042F9">
        <w:rPr>
          <w:rFonts w:ascii="Times New Roman" w:eastAsia="Calibri" w:hAnsi="Times New Roman" w:cs="Times New Roman"/>
          <w:color w:val="000000"/>
          <w:sz w:val="28"/>
          <w:szCs w:val="28"/>
          <w:shd w:val="clear" w:color="auto" w:fill="FFFFFF"/>
        </w:rPr>
        <w:t>.</w:t>
      </w:r>
      <w:r w:rsidRPr="008B780A">
        <w:rPr>
          <w:rFonts w:ascii="Times New Roman" w:eastAsia="Calibri" w:hAnsi="Times New Roman" w:cs="Times New Roman"/>
          <w:color w:val="000000"/>
          <w:sz w:val="28"/>
          <w:szCs w:val="28"/>
          <w:shd w:val="clear" w:color="auto" w:fill="FFFFFF"/>
        </w:rPr>
        <w:t xml:space="preserve"> постановлением Правительства Российской Федерации </w:t>
      </w:r>
      <w:r w:rsidR="000042F9">
        <w:rPr>
          <w:rFonts w:ascii="Times New Roman" w:eastAsia="Calibri" w:hAnsi="Times New Roman" w:cs="Times New Roman"/>
          <w:color w:val="000000"/>
          <w:sz w:val="28"/>
          <w:szCs w:val="28"/>
          <w:shd w:val="clear" w:color="auto" w:fill="FFFFFF"/>
        </w:rPr>
        <w:br/>
      </w:r>
      <w:r w:rsidRPr="008B780A">
        <w:rPr>
          <w:rFonts w:ascii="Times New Roman" w:eastAsia="Calibri" w:hAnsi="Times New Roman" w:cs="Times New Roman"/>
          <w:color w:val="000000"/>
          <w:sz w:val="28"/>
          <w:szCs w:val="28"/>
          <w:shd w:val="clear" w:color="auto" w:fill="FFFFFF"/>
        </w:rPr>
        <w:t xml:space="preserve">от </w:t>
      </w:r>
      <w:r w:rsidR="00453425">
        <w:rPr>
          <w:rFonts w:ascii="Times New Roman" w:eastAsia="Calibri" w:hAnsi="Times New Roman" w:cs="Times New Roman"/>
          <w:color w:val="000000"/>
          <w:sz w:val="28"/>
          <w:szCs w:val="28"/>
          <w:shd w:val="clear" w:color="auto" w:fill="FFFFFF"/>
        </w:rPr>
        <w:t>2</w:t>
      </w:r>
      <w:r w:rsidRPr="008B780A">
        <w:rPr>
          <w:rFonts w:ascii="Times New Roman" w:eastAsia="Calibri" w:hAnsi="Times New Roman" w:cs="Times New Roman"/>
          <w:color w:val="000000"/>
          <w:sz w:val="28"/>
          <w:szCs w:val="28"/>
          <w:shd w:val="clear" w:color="auto" w:fill="FFFFFF"/>
        </w:rPr>
        <w:t>6 ноября 20</w:t>
      </w:r>
      <w:r w:rsidR="00453425">
        <w:rPr>
          <w:rFonts w:ascii="Times New Roman" w:eastAsia="Calibri" w:hAnsi="Times New Roman" w:cs="Times New Roman"/>
          <w:color w:val="000000"/>
          <w:sz w:val="28"/>
          <w:szCs w:val="28"/>
          <w:shd w:val="clear" w:color="auto" w:fill="FFFFFF"/>
        </w:rPr>
        <w:t>20 г. № 1935</w:t>
      </w:r>
      <w:r w:rsidRPr="008B780A">
        <w:rPr>
          <w:rFonts w:ascii="Times New Roman" w:eastAsia="Calibri" w:hAnsi="Times New Roman" w:cs="Times New Roman"/>
          <w:color w:val="000000"/>
          <w:sz w:val="28"/>
          <w:szCs w:val="28"/>
          <w:shd w:val="clear" w:color="auto" w:fill="FFFFFF"/>
        </w:rPr>
        <w:t xml:space="preserve">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202</w:t>
      </w:r>
      <w:r w:rsidR="00453425">
        <w:rPr>
          <w:rFonts w:ascii="Times New Roman" w:eastAsia="Calibri" w:hAnsi="Times New Roman" w:cs="Times New Roman"/>
          <w:color w:val="000000"/>
          <w:sz w:val="28"/>
          <w:szCs w:val="28"/>
          <w:shd w:val="clear" w:color="auto" w:fill="FFFFFF"/>
        </w:rPr>
        <w:t>1</w:t>
      </w:r>
      <w:r w:rsidRPr="008B780A">
        <w:rPr>
          <w:rFonts w:ascii="Times New Roman" w:eastAsia="Calibri" w:hAnsi="Times New Roman" w:cs="Times New Roman"/>
          <w:color w:val="000000"/>
          <w:sz w:val="28"/>
          <w:szCs w:val="28"/>
          <w:shd w:val="clear" w:color="auto" w:fill="FFFFFF"/>
        </w:rPr>
        <w:t xml:space="preserve"> г.» </w:t>
      </w:r>
      <w:r w:rsidRPr="00DD3C75">
        <w:rPr>
          <w:rFonts w:ascii="Times New Roman" w:eastAsia="Calibri" w:hAnsi="Times New Roman" w:cs="Times New Roman"/>
          <w:color w:val="000000"/>
          <w:sz w:val="28"/>
          <w:szCs w:val="28"/>
          <w:shd w:val="clear" w:color="auto" w:fill="FFFFFF"/>
        </w:rPr>
        <w:t xml:space="preserve">установлена предельная величина базы для исчисления страховых взносов на обязательное социальное страхование на случай временной нетрудоспособности и в связи с материнством, </w:t>
      </w:r>
      <w:r w:rsidR="00453425" w:rsidRPr="00DD3C75">
        <w:rPr>
          <w:rFonts w:ascii="Times New Roman" w:eastAsia="Calibri" w:hAnsi="Times New Roman" w:cs="Times New Roman"/>
          <w:color w:val="000000"/>
          <w:sz w:val="28"/>
          <w:szCs w:val="28"/>
          <w:shd w:val="clear" w:color="auto" w:fill="FFFFFF"/>
        </w:rPr>
        <w:t>в размере</w:t>
      </w:r>
      <w:r w:rsidRPr="00DD3C75">
        <w:rPr>
          <w:rFonts w:ascii="Times New Roman" w:eastAsia="Calibri" w:hAnsi="Times New Roman" w:cs="Times New Roman"/>
          <w:color w:val="000000"/>
          <w:sz w:val="28"/>
          <w:szCs w:val="28"/>
          <w:shd w:val="clear" w:color="auto" w:fill="FFFFFF"/>
        </w:rPr>
        <w:t xml:space="preserve"> 9</w:t>
      </w:r>
      <w:r w:rsidR="00453425" w:rsidRPr="00DD3C75">
        <w:rPr>
          <w:rFonts w:ascii="Times New Roman" w:eastAsia="Calibri" w:hAnsi="Times New Roman" w:cs="Times New Roman"/>
          <w:color w:val="000000"/>
          <w:sz w:val="28"/>
          <w:szCs w:val="28"/>
          <w:shd w:val="clear" w:color="auto" w:fill="FFFFFF"/>
        </w:rPr>
        <w:t>66 000 рублей</w:t>
      </w:r>
      <w:r w:rsidRPr="00DD3C75">
        <w:rPr>
          <w:rFonts w:ascii="Times New Roman" w:eastAsia="Calibri" w:hAnsi="Times New Roman" w:cs="Times New Roman"/>
          <w:color w:val="000000"/>
          <w:sz w:val="28"/>
          <w:szCs w:val="28"/>
          <w:shd w:val="clear" w:color="auto" w:fill="FFFFFF"/>
        </w:rPr>
        <w:t>.</w:t>
      </w:r>
      <w:r w:rsidRPr="008B780A">
        <w:rPr>
          <w:rFonts w:ascii="Times New Roman" w:eastAsia="Calibri" w:hAnsi="Times New Roman" w:cs="Times New Roman"/>
          <w:color w:val="000000"/>
          <w:sz w:val="28"/>
          <w:szCs w:val="28"/>
          <w:shd w:val="clear" w:color="auto" w:fill="FFFFFF"/>
        </w:rPr>
        <w:t xml:space="preserve"> </w:t>
      </w:r>
    </w:p>
    <w:p w14:paraId="457A7B6E" w14:textId="77777777" w:rsidR="008B780A" w:rsidRDefault="008B780A" w:rsidP="0010107D">
      <w:pPr>
        <w:shd w:val="clear" w:color="auto" w:fill="FFFFFF"/>
        <w:spacing w:after="0" w:line="312" w:lineRule="auto"/>
        <w:ind w:firstLine="709"/>
        <w:jc w:val="both"/>
        <w:outlineLvl w:val="1"/>
        <w:rPr>
          <w:rFonts w:ascii="Times New Roman" w:eastAsia="Calibri" w:hAnsi="Times New Roman" w:cs="Times New Roman"/>
          <w:color w:val="000000"/>
          <w:sz w:val="28"/>
          <w:szCs w:val="28"/>
          <w:shd w:val="clear" w:color="auto" w:fill="FFFFFF"/>
        </w:rPr>
      </w:pPr>
      <w:r w:rsidRPr="008B780A">
        <w:rPr>
          <w:rFonts w:ascii="Times New Roman" w:eastAsia="Calibri" w:hAnsi="Times New Roman" w:cs="Times New Roman"/>
          <w:color w:val="000000"/>
          <w:sz w:val="28"/>
          <w:szCs w:val="28"/>
          <w:shd w:val="clear" w:color="auto" w:fill="FFFFFF"/>
        </w:rPr>
        <w:t xml:space="preserve">Поскольку предельная величина базы для исчисления страховых взносов увеличивается ежегодно в соответствии с ростом средней заработной платы, действующий порядок исчисления пособий по обязательному социальному страхованию на случай временной нетрудоспособности и в связи с материнством из заработка, на который начисляются страховые взносы, позволяет каждый год повышать максимальные </w:t>
      </w:r>
      <w:r w:rsidR="009E13B1">
        <w:rPr>
          <w:rFonts w:ascii="Times New Roman" w:eastAsia="Calibri" w:hAnsi="Times New Roman" w:cs="Times New Roman"/>
          <w:color w:val="000000"/>
          <w:sz w:val="28"/>
          <w:szCs w:val="28"/>
          <w:shd w:val="clear" w:color="auto" w:fill="FFFFFF"/>
        </w:rPr>
        <w:t>размеры</w:t>
      </w:r>
      <w:r w:rsidRPr="008B780A">
        <w:rPr>
          <w:rFonts w:ascii="Times New Roman" w:eastAsia="Calibri" w:hAnsi="Times New Roman" w:cs="Times New Roman"/>
          <w:color w:val="000000"/>
          <w:sz w:val="28"/>
          <w:szCs w:val="28"/>
          <w:shd w:val="clear" w:color="auto" w:fill="FFFFFF"/>
        </w:rPr>
        <w:t xml:space="preserve"> пособий.</w:t>
      </w:r>
    </w:p>
    <w:p w14:paraId="06DDF2D2" w14:textId="77777777" w:rsidR="0010107D" w:rsidRPr="004B5437" w:rsidRDefault="0010107D" w:rsidP="0010107D">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sidRPr="004B5437">
        <w:rPr>
          <w:rFonts w:ascii="Times New Roman" w:eastAsia="Times New Roman" w:hAnsi="Times New Roman" w:cs="Times New Roman"/>
          <w:sz w:val="28"/>
          <w:szCs w:val="28"/>
          <w:lang w:eastAsia="ru-RU"/>
        </w:rPr>
        <w:t>В 20</w:t>
      </w:r>
      <w:r w:rsidR="00EB0B54" w:rsidRPr="004B5437">
        <w:rPr>
          <w:rFonts w:ascii="Times New Roman" w:eastAsia="Times New Roman" w:hAnsi="Times New Roman" w:cs="Times New Roman"/>
          <w:sz w:val="28"/>
          <w:szCs w:val="28"/>
          <w:lang w:eastAsia="ru-RU"/>
        </w:rPr>
        <w:t>2</w:t>
      </w:r>
      <w:r w:rsidR="003B601F" w:rsidRPr="004B5437">
        <w:rPr>
          <w:rFonts w:ascii="Times New Roman" w:eastAsia="Times New Roman" w:hAnsi="Times New Roman" w:cs="Times New Roman"/>
          <w:sz w:val="28"/>
          <w:szCs w:val="28"/>
          <w:lang w:eastAsia="ru-RU"/>
        </w:rPr>
        <w:t>1</w:t>
      </w:r>
      <w:r w:rsidRPr="004B5437">
        <w:rPr>
          <w:rFonts w:ascii="Times New Roman" w:eastAsia="Times New Roman" w:hAnsi="Times New Roman" w:cs="Times New Roman"/>
          <w:sz w:val="28"/>
          <w:szCs w:val="28"/>
          <w:lang w:eastAsia="ru-RU"/>
        </w:rPr>
        <w:t xml:space="preserve"> г</w:t>
      </w:r>
      <w:r w:rsidR="00443EEA">
        <w:rPr>
          <w:rFonts w:ascii="Times New Roman" w:eastAsia="Times New Roman" w:hAnsi="Times New Roman" w:cs="Times New Roman"/>
          <w:sz w:val="28"/>
          <w:szCs w:val="28"/>
          <w:lang w:eastAsia="ru-RU"/>
        </w:rPr>
        <w:t>.</w:t>
      </w:r>
      <w:r w:rsidRPr="004B5437">
        <w:rPr>
          <w:rFonts w:ascii="Times New Roman" w:eastAsia="Times New Roman" w:hAnsi="Times New Roman" w:cs="Times New Roman"/>
          <w:sz w:val="28"/>
          <w:szCs w:val="28"/>
          <w:lang w:eastAsia="ru-RU"/>
        </w:rPr>
        <w:t xml:space="preserve"> расходы ФСС на выплату государственных пособий составили:</w:t>
      </w:r>
    </w:p>
    <w:p w14:paraId="0BB91D30" w14:textId="77777777" w:rsidR="0010107D" w:rsidRPr="004B5437" w:rsidRDefault="00ED0F51" w:rsidP="0010107D">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sidRPr="004B5437">
        <w:rPr>
          <w:rFonts w:ascii="Times New Roman" w:eastAsia="Times New Roman" w:hAnsi="Times New Roman" w:cs="Times New Roman"/>
          <w:sz w:val="28"/>
          <w:szCs w:val="28"/>
          <w:lang w:eastAsia="ru-RU"/>
        </w:rPr>
        <w:t>- 0,4</w:t>
      </w:r>
      <w:r w:rsidR="00EE7ADC" w:rsidRPr="004B5437">
        <w:rPr>
          <w:rFonts w:ascii="Times New Roman" w:eastAsia="Times New Roman" w:hAnsi="Times New Roman" w:cs="Times New Roman"/>
          <w:sz w:val="28"/>
          <w:szCs w:val="28"/>
          <w:lang w:eastAsia="ru-RU"/>
        </w:rPr>
        <w:t>3</w:t>
      </w:r>
      <w:r w:rsidRPr="004B5437">
        <w:rPr>
          <w:rFonts w:ascii="Times New Roman" w:eastAsia="Times New Roman" w:hAnsi="Times New Roman" w:cs="Times New Roman"/>
          <w:sz w:val="28"/>
          <w:szCs w:val="28"/>
          <w:lang w:eastAsia="ru-RU"/>
        </w:rPr>
        <w:t xml:space="preserve"> млрд</w:t>
      </w:r>
      <w:r w:rsidR="0010107D" w:rsidRPr="004B5437">
        <w:rPr>
          <w:rFonts w:ascii="Times New Roman" w:eastAsia="Times New Roman" w:hAnsi="Times New Roman" w:cs="Times New Roman"/>
          <w:sz w:val="28"/>
          <w:szCs w:val="28"/>
          <w:lang w:eastAsia="ru-RU"/>
        </w:rPr>
        <w:t xml:space="preserve"> рублей – на выплату единовременного пособия женщинам, вставшим на учет в медицинских организациях в ранние сроки беременности </w:t>
      </w:r>
      <w:r w:rsidR="00EE7ADC" w:rsidRPr="004B5437">
        <w:rPr>
          <w:rFonts w:ascii="Times New Roman" w:eastAsia="Times New Roman" w:hAnsi="Times New Roman" w:cs="Times New Roman"/>
          <w:sz w:val="28"/>
          <w:szCs w:val="28"/>
          <w:lang w:eastAsia="ru-RU"/>
        </w:rPr>
        <w:br/>
      </w:r>
      <w:r w:rsidR="0010107D" w:rsidRPr="004B5437">
        <w:rPr>
          <w:rFonts w:ascii="Times New Roman" w:eastAsia="Times New Roman" w:hAnsi="Times New Roman" w:cs="Times New Roman"/>
          <w:sz w:val="28"/>
          <w:szCs w:val="28"/>
          <w:lang w:eastAsia="ru-RU"/>
        </w:rPr>
        <w:t>(</w:t>
      </w:r>
      <w:r w:rsidRPr="004B5437">
        <w:rPr>
          <w:rFonts w:ascii="Times New Roman" w:eastAsia="Times New Roman" w:hAnsi="Times New Roman" w:cs="Times New Roman"/>
          <w:sz w:val="28"/>
          <w:szCs w:val="28"/>
          <w:lang w:eastAsia="ru-RU"/>
        </w:rPr>
        <w:t>20</w:t>
      </w:r>
      <w:r w:rsidR="00EE7ADC" w:rsidRPr="004B5437">
        <w:rPr>
          <w:rFonts w:ascii="Times New Roman" w:eastAsia="Times New Roman" w:hAnsi="Times New Roman" w:cs="Times New Roman"/>
          <w:sz w:val="28"/>
          <w:szCs w:val="28"/>
          <w:lang w:eastAsia="ru-RU"/>
        </w:rPr>
        <w:t>20</w:t>
      </w:r>
      <w:r w:rsidRPr="004B5437">
        <w:rPr>
          <w:rFonts w:ascii="Times New Roman" w:eastAsia="Times New Roman" w:hAnsi="Times New Roman" w:cs="Times New Roman"/>
          <w:sz w:val="28"/>
          <w:szCs w:val="28"/>
          <w:lang w:eastAsia="ru-RU"/>
        </w:rPr>
        <w:t xml:space="preserve"> г. – 0,49 млрд</w:t>
      </w:r>
      <w:r w:rsidR="009040D5" w:rsidRPr="004B5437">
        <w:rPr>
          <w:rFonts w:ascii="Times New Roman" w:eastAsia="Times New Roman" w:hAnsi="Times New Roman" w:cs="Times New Roman"/>
          <w:sz w:val="28"/>
          <w:szCs w:val="28"/>
          <w:lang w:eastAsia="ru-RU"/>
        </w:rPr>
        <w:t xml:space="preserve"> рублей; 201</w:t>
      </w:r>
      <w:r w:rsidR="00EE7ADC" w:rsidRPr="004B5437">
        <w:rPr>
          <w:rFonts w:ascii="Times New Roman" w:eastAsia="Times New Roman" w:hAnsi="Times New Roman" w:cs="Times New Roman"/>
          <w:sz w:val="28"/>
          <w:szCs w:val="28"/>
          <w:lang w:eastAsia="ru-RU"/>
        </w:rPr>
        <w:t>9</w:t>
      </w:r>
      <w:r w:rsidR="009040D5" w:rsidRPr="004B5437">
        <w:rPr>
          <w:rFonts w:ascii="Times New Roman" w:eastAsia="Times New Roman" w:hAnsi="Times New Roman" w:cs="Times New Roman"/>
          <w:sz w:val="28"/>
          <w:szCs w:val="28"/>
          <w:lang w:eastAsia="ru-RU"/>
        </w:rPr>
        <w:t xml:space="preserve"> г. –</w:t>
      </w:r>
      <w:r w:rsidRPr="004B5437">
        <w:rPr>
          <w:rFonts w:ascii="Times New Roman" w:eastAsia="Times New Roman" w:hAnsi="Times New Roman" w:cs="Times New Roman"/>
          <w:sz w:val="28"/>
          <w:szCs w:val="28"/>
          <w:lang w:eastAsia="ru-RU"/>
        </w:rPr>
        <w:t xml:space="preserve"> 0,</w:t>
      </w:r>
      <w:r w:rsidR="00EE7ADC" w:rsidRPr="004B5437">
        <w:rPr>
          <w:rFonts w:ascii="Times New Roman" w:eastAsia="Times New Roman" w:hAnsi="Times New Roman" w:cs="Times New Roman"/>
          <w:sz w:val="28"/>
          <w:szCs w:val="28"/>
          <w:lang w:eastAsia="ru-RU"/>
        </w:rPr>
        <w:t>49</w:t>
      </w:r>
      <w:r w:rsidRPr="004B5437">
        <w:rPr>
          <w:rFonts w:ascii="Times New Roman" w:eastAsia="Times New Roman" w:hAnsi="Times New Roman" w:cs="Times New Roman"/>
          <w:sz w:val="28"/>
          <w:szCs w:val="28"/>
          <w:lang w:eastAsia="ru-RU"/>
        </w:rPr>
        <w:t xml:space="preserve"> млрд</w:t>
      </w:r>
      <w:r w:rsidR="009040D5" w:rsidRPr="004B5437">
        <w:rPr>
          <w:rFonts w:ascii="Times New Roman" w:eastAsia="Times New Roman" w:hAnsi="Times New Roman" w:cs="Times New Roman"/>
          <w:sz w:val="28"/>
          <w:szCs w:val="28"/>
          <w:lang w:eastAsia="ru-RU"/>
        </w:rPr>
        <w:t xml:space="preserve"> рублей</w:t>
      </w:r>
      <w:r w:rsidR="0010107D" w:rsidRPr="004B5437">
        <w:rPr>
          <w:rFonts w:ascii="Times New Roman" w:eastAsia="Times New Roman" w:hAnsi="Times New Roman" w:cs="Times New Roman"/>
          <w:sz w:val="28"/>
          <w:szCs w:val="28"/>
          <w:lang w:eastAsia="ru-RU"/>
        </w:rPr>
        <w:t>);</w:t>
      </w:r>
    </w:p>
    <w:p w14:paraId="57A16512" w14:textId="77777777" w:rsidR="0010107D" w:rsidRPr="004B5437" w:rsidRDefault="0010107D" w:rsidP="0010107D">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sidRPr="004B5437">
        <w:rPr>
          <w:rFonts w:ascii="Times New Roman" w:eastAsia="Times New Roman" w:hAnsi="Times New Roman" w:cs="Times New Roman"/>
          <w:sz w:val="28"/>
          <w:szCs w:val="28"/>
          <w:lang w:eastAsia="ru-RU"/>
        </w:rPr>
        <w:t>- 1</w:t>
      </w:r>
      <w:r w:rsidR="00EE7ADC" w:rsidRPr="004B5437">
        <w:rPr>
          <w:rFonts w:ascii="Times New Roman" w:eastAsia="Times New Roman" w:hAnsi="Times New Roman" w:cs="Times New Roman"/>
          <w:sz w:val="28"/>
          <w:szCs w:val="28"/>
          <w:lang w:eastAsia="ru-RU"/>
        </w:rPr>
        <w:t>23</w:t>
      </w:r>
      <w:r w:rsidRPr="004B5437">
        <w:rPr>
          <w:rFonts w:ascii="Times New Roman" w:eastAsia="Times New Roman" w:hAnsi="Times New Roman" w:cs="Times New Roman"/>
          <w:sz w:val="28"/>
          <w:szCs w:val="28"/>
          <w:lang w:eastAsia="ru-RU"/>
        </w:rPr>
        <w:t>,</w:t>
      </w:r>
      <w:r w:rsidR="00EE7ADC" w:rsidRPr="004B5437">
        <w:rPr>
          <w:rFonts w:ascii="Times New Roman" w:eastAsia="Times New Roman" w:hAnsi="Times New Roman" w:cs="Times New Roman"/>
          <w:sz w:val="28"/>
          <w:szCs w:val="28"/>
          <w:lang w:eastAsia="ru-RU"/>
        </w:rPr>
        <w:t>4</w:t>
      </w:r>
      <w:r w:rsidRPr="004B5437">
        <w:rPr>
          <w:rFonts w:ascii="Times New Roman" w:eastAsia="Times New Roman" w:hAnsi="Times New Roman" w:cs="Times New Roman"/>
          <w:sz w:val="28"/>
          <w:szCs w:val="28"/>
          <w:lang w:eastAsia="ru-RU"/>
        </w:rPr>
        <w:t xml:space="preserve"> млрд рублей – на выплату пособия по беременности и родам </w:t>
      </w:r>
      <w:r w:rsidR="00F17CCF">
        <w:rPr>
          <w:rFonts w:ascii="Times New Roman" w:eastAsia="Times New Roman" w:hAnsi="Times New Roman" w:cs="Times New Roman"/>
          <w:sz w:val="28"/>
          <w:szCs w:val="28"/>
          <w:lang w:eastAsia="ru-RU"/>
        </w:rPr>
        <w:br/>
      </w:r>
      <w:r w:rsidRPr="004B5437">
        <w:rPr>
          <w:rFonts w:ascii="Times New Roman" w:eastAsia="Times New Roman" w:hAnsi="Times New Roman" w:cs="Times New Roman"/>
          <w:sz w:val="28"/>
          <w:szCs w:val="28"/>
          <w:lang w:eastAsia="ru-RU"/>
        </w:rPr>
        <w:t>(</w:t>
      </w:r>
      <w:r w:rsidR="00EE7ADC" w:rsidRPr="004B5437">
        <w:rPr>
          <w:rFonts w:ascii="Times New Roman" w:eastAsia="Times New Roman" w:hAnsi="Times New Roman" w:cs="Times New Roman"/>
          <w:sz w:val="28"/>
          <w:szCs w:val="28"/>
          <w:lang w:eastAsia="ru-RU"/>
        </w:rPr>
        <w:t xml:space="preserve">2020 г. – 118,37 млрд рублей; </w:t>
      </w:r>
      <w:r w:rsidR="009040D5" w:rsidRPr="004B5437">
        <w:rPr>
          <w:rFonts w:ascii="Times New Roman" w:eastAsia="Times New Roman" w:hAnsi="Times New Roman" w:cs="Times New Roman"/>
          <w:sz w:val="28"/>
          <w:szCs w:val="28"/>
          <w:lang w:eastAsia="ru-RU"/>
        </w:rPr>
        <w:t>2019 г. – 115</w:t>
      </w:r>
      <w:r w:rsidR="00ED0F51" w:rsidRPr="004B5437">
        <w:rPr>
          <w:rFonts w:ascii="Times New Roman" w:eastAsia="Times New Roman" w:hAnsi="Times New Roman" w:cs="Times New Roman"/>
          <w:sz w:val="28"/>
          <w:szCs w:val="28"/>
          <w:lang w:eastAsia="ru-RU"/>
        </w:rPr>
        <w:t>,2 млрд</w:t>
      </w:r>
      <w:r w:rsidR="00EE7ADC" w:rsidRPr="004B5437">
        <w:rPr>
          <w:rFonts w:ascii="Times New Roman" w:eastAsia="Times New Roman" w:hAnsi="Times New Roman" w:cs="Times New Roman"/>
          <w:sz w:val="28"/>
          <w:szCs w:val="28"/>
          <w:lang w:eastAsia="ru-RU"/>
        </w:rPr>
        <w:t xml:space="preserve"> рублей</w:t>
      </w:r>
      <w:r w:rsidRPr="004B5437">
        <w:rPr>
          <w:rFonts w:ascii="Times New Roman" w:eastAsia="Times New Roman" w:hAnsi="Times New Roman" w:cs="Times New Roman"/>
          <w:sz w:val="28"/>
          <w:szCs w:val="28"/>
          <w:lang w:eastAsia="ru-RU"/>
        </w:rPr>
        <w:t>);</w:t>
      </w:r>
    </w:p>
    <w:p w14:paraId="65AF4AF0" w14:textId="77777777" w:rsidR="0010107D" w:rsidRPr="004B5437" w:rsidRDefault="0010107D" w:rsidP="0010107D">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sidRPr="004B5437">
        <w:rPr>
          <w:rFonts w:ascii="Times New Roman" w:eastAsia="Times New Roman" w:hAnsi="Times New Roman" w:cs="Times New Roman"/>
          <w:sz w:val="28"/>
          <w:szCs w:val="28"/>
          <w:lang w:eastAsia="ru-RU"/>
        </w:rPr>
        <w:t>- 1</w:t>
      </w:r>
      <w:r w:rsidR="00EE7ADC" w:rsidRPr="004B5437">
        <w:rPr>
          <w:rFonts w:ascii="Times New Roman" w:eastAsia="Times New Roman" w:hAnsi="Times New Roman" w:cs="Times New Roman"/>
          <w:sz w:val="28"/>
          <w:szCs w:val="28"/>
          <w:lang w:eastAsia="ru-RU"/>
        </w:rPr>
        <w:t>9</w:t>
      </w:r>
      <w:r w:rsidRPr="004B5437">
        <w:rPr>
          <w:rFonts w:ascii="Times New Roman" w:eastAsia="Times New Roman" w:hAnsi="Times New Roman" w:cs="Times New Roman"/>
          <w:sz w:val="28"/>
          <w:szCs w:val="28"/>
          <w:lang w:eastAsia="ru-RU"/>
        </w:rPr>
        <w:t>,</w:t>
      </w:r>
      <w:r w:rsidR="00EE7ADC" w:rsidRPr="004B5437">
        <w:rPr>
          <w:rFonts w:ascii="Times New Roman" w:eastAsia="Times New Roman" w:hAnsi="Times New Roman" w:cs="Times New Roman"/>
          <w:sz w:val="28"/>
          <w:szCs w:val="28"/>
          <w:lang w:eastAsia="ru-RU"/>
        </w:rPr>
        <w:t>2</w:t>
      </w:r>
      <w:r w:rsidR="009040D5" w:rsidRPr="004B5437">
        <w:rPr>
          <w:rFonts w:ascii="Times New Roman" w:eastAsia="Times New Roman" w:hAnsi="Times New Roman" w:cs="Times New Roman"/>
          <w:sz w:val="28"/>
          <w:szCs w:val="28"/>
          <w:lang w:eastAsia="ru-RU"/>
        </w:rPr>
        <w:t>6</w:t>
      </w:r>
      <w:r w:rsidR="00EE7ADC" w:rsidRPr="004B5437">
        <w:rPr>
          <w:rFonts w:ascii="Times New Roman" w:eastAsia="Times New Roman" w:hAnsi="Times New Roman" w:cs="Times New Roman"/>
          <w:sz w:val="28"/>
          <w:szCs w:val="28"/>
          <w:lang w:eastAsia="ru-RU"/>
        </w:rPr>
        <w:t xml:space="preserve"> млрд</w:t>
      </w:r>
      <w:r w:rsidRPr="004B5437">
        <w:rPr>
          <w:rFonts w:ascii="Times New Roman" w:eastAsia="Times New Roman" w:hAnsi="Times New Roman" w:cs="Times New Roman"/>
          <w:sz w:val="28"/>
          <w:szCs w:val="28"/>
          <w:lang w:eastAsia="ru-RU"/>
        </w:rPr>
        <w:t xml:space="preserve"> рублей – на выплату единовременного пособия при рождении ребенка (</w:t>
      </w:r>
      <w:r w:rsidR="00EE7ADC" w:rsidRPr="004B5437">
        <w:rPr>
          <w:rFonts w:ascii="Times New Roman" w:eastAsia="Times New Roman" w:hAnsi="Times New Roman" w:cs="Times New Roman"/>
          <w:sz w:val="28"/>
          <w:szCs w:val="28"/>
          <w:lang w:eastAsia="ru-RU"/>
        </w:rPr>
        <w:t xml:space="preserve">2020 г. – 18,59 млрд рублей; </w:t>
      </w:r>
      <w:r w:rsidR="009040D5" w:rsidRPr="004B5437">
        <w:rPr>
          <w:rFonts w:ascii="Times New Roman" w:eastAsia="Times New Roman" w:hAnsi="Times New Roman" w:cs="Times New Roman"/>
          <w:sz w:val="28"/>
          <w:szCs w:val="28"/>
          <w:lang w:eastAsia="ru-RU"/>
        </w:rPr>
        <w:t>2019 г. – 19,2</w:t>
      </w:r>
      <w:r w:rsidR="00ED0F51" w:rsidRPr="004B5437">
        <w:rPr>
          <w:rFonts w:ascii="Times New Roman" w:eastAsia="Times New Roman" w:hAnsi="Times New Roman" w:cs="Times New Roman"/>
          <w:sz w:val="28"/>
          <w:szCs w:val="28"/>
          <w:lang w:eastAsia="ru-RU"/>
        </w:rPr>
        <w:t xml:space="preserve"> млрд</w:t>
      </w:r>
      <w:r w:rsidR="009040D5" w:rsidRPr="004B5437">
        <w:rPr>
          <w:rFonts w:ascii="Times New Roman" w:eastAsia="Times New Roman" w:hAnsi="Times New Roman" w:cs="Times New Roman"/>
          <w:sz w:val="28"/>
          <w:szCs w:val="28"/>
          <w:lang w:eastAsia="ru-RU"/>
        </w:rPr>
        <w:t xml:space="preserve"> рублей</w:t>
      </w:r>
      <w:r w:rsidRPr="004B5437">
        <w:rPr>
          <w:rFonts w:ascii="Times New Roman" w:eastAsia="Times New Roman" w:hAnsi="Times New Roman" w:cs="Times New Roman"/>
          <w:sz w:val="28"/>
          <w:szCs w:val="28"/>
          <w:lang w:eastAsia="ru-RU"/>
        </w:rPr>
        <w:t>);</w:t>
      </w:r>
    </w:p>
    <w:p w14:paraId="10DACC81" w14:textId="77777777" w:rsidR="0010107D" w:rsidRPr="004B5437" w:rsidRDefault="00A3121F" w:rsidP="0010107D">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sidRPr="004B5437">
        <w:rPr>
          <w:rFonts w:ascii="Times New Roman" w:eastAsia="Times New Roman" w:hAnsi="Times New Roman" w:cs="Times New Roman"/>
          <w:sz w:val="28"/>
          <w:szCs w:val="28"/>
          <w:lang w:eastAsia="ru-RU"/>
        </w:rPr>
        <w:t>- 1</w:t>
      </w:r>
      <w:r w:rsidR="00EE7ADC" w:rsidRPr="004B5437">
        <w:rPr>
          <w:rFonts w:ascii="Times New Roman" w:eastAsia="Times New Roman" w:hAnsi="Times New Roman" w:cs="Times New Roman"/>
          <w:sz w:val="28"/>
          <w:szCs w:val="28"/>
          <w:lang w:eastAsia="ru-RU"/>
        </w:rPr>
        <w:t>64</w:t>
      </w:r>
      <w:r w:rsidRPr="004B5437">
        <w:rPr>
          <w:rFonts w:ascii="Times New Roman" w:eastAsia="Times New Roman" w:hAnsi="Times New Roman" w:cs="Times New Roman"/>
          <w:sz w:val="28"/>
          <w:szCs w:val="28"/>
          <w:lang w:eastAsia="ru-RU"/>
        </w:rPr>
        <w:t>,</w:t>
      </w:r>
      <w:r w:rsidR="00EE7ADC" w:rsidRPr="004B5437">
        <w:rPr>
          <w:rFonts w:ascii="Times New Roman" w:eastAsia="Times New Roman" w:hAnsi="Times New Roman" w:cs="Times New Roman"/>
          <w:sz w:val="28"/>
          <w:szCs w:val="28"/>
          <w:lang w:eastAsia="ru-RU"/>
        </w:rPr>
        <w:t>74</w:t>
      </w:r>
      <w:r w:rsidR="00ED0F51" w:rsidRPr="004B5437">
        <w:rPr>
          <w:rFonts w:ascii="Times New Roman" w:eastAsia="Times New Roman" w:hAnsi="Times New Roman" w:cs="Times New Roman"/>
          <w:sz w:val="28"/>
          <w:szCs w:val="28"/>
          <w:lang w:eastAsia="ru-RU"/>
        </w:rPr>
        <w:t xml:space="preserve"> млрд</w:t>
      </w:r>
      <w:r w:rsidR="0010107D" w:rsidRPr="004B5437">
        <w:rPr>
          <w:rFonts w:ascii="Times New Roman" w:eastAsia="Times New Roman" w:hAnsi="Times New Roman" w:cs="Times New Roman"/>
          <w:sz w:val="28"/>
          <w:szCs w:val="28"/>
          <w:lang w:eastAsia="ru-RU"/>
        </w:rPr>
        <w:t xml:space="preserve"> рублей – на выплату ежемесячного пособия по уходу за ребенком (</w:t>
      </w:r>
      <w:r w:rsidR="00EE7ADC" w:rsidRPr="004B5437">
        <w:rPr>
          <w:rFonts w:ascii="Times New Roman" w:eastAsia="Times New Roman" w:hAnsi="Times New Roman" w:cs="Times New Roman"/>
          <w:sz w:val="28"/>
          <w:szCs w:val="28"/>
          <w:lang w:eastAsia="ru-RU"/>
        </w:rPr>
        <w:t xml:space="preserve">2020 г. – 156,86 млрд рублей; </w:t>
      </w:r>
      <w:r w:rsidRPr="004B5437">
        <w:rPr>
          <w:rFonts w:ascii="Times New Roman" w:eastAsia="Times New Roman" w:hAnsi="Times New Roman" w:cs="Times New Roman"/>
          <w:sz w:val="28"/>
          <w:szCs w:val="28"/>
          <w:lang w:eastAsia="ru-RU"/>
        </w:rPr>
        <w:t>2019 г. – 156,</w:t>
      </w:r>
      <w:r w:rsidR="009E13B1">
        <w:rPr>
          <w:rFonts w:ascii="Times New Roman" w:eastAsia="Times New Roman" w:hAnsi="Times New Roman" w:cs="Times New Roman"/>
          <w:sz w:val="28"/>
          <w:szCs w:val="28"/>
          <w:lang w:eastAsia="ru-RU"/>
        </w:rPr>
        <w:t>1</w:t>
      </w:r>
      <w:r w:rsidRPr="004B5437">
        <w:rPr>
          <w:rFonts w:ascii="Times New Roman" w:eastAsia="Times New Roman" w:hAnsi="Times New Roman" w:cs="Times New Roman"/>
          <w:sz w:val="28"/>
          <w:szCs w:val="28"/>
          <w:lang w:eastAsia="ru-RU"/>
        </w:rPr>
        <w:t>1</w:t>
      </w:r>
      <w:r w:rsidR="00ED0F51" w:rsidRPr="004B5437">
        <w:rPr>
          <w:rFonts w:ascii="Times New Roman" w:eastAsia="Times New Roman" w:hAnsi="Times New Roman" w:cs="Times New Roman"/>
          <w:sz w:val="28"/>
          <w:szCs w:val="28"/>
          <w:lang w:eastAsia="ru-RU"/>
        </w:rPr>
        <w:t xml:space="preserve"> млрд</w:t>
      </w:r>
      <w:r w:rsidRPr="004B5437">
        <w:rPr>
          <w:rFonts w:ascii="Times New Roman" w:eastAsia="Times New Roman" w:hAnsi="Times New Roman" w:cs="Times New Roman"/>
          <w:sz w:val="28"/>
          <w:szCs w:val="28"/>
          <w:lang w:eastAsia="ru-RU"/>
        </w:rPr>
        <w:t xml:space="preserve"> рублей</w:t>
      </w:r>
      <w:r w:rsidR="0010107D" w:rsidRPr="004B5437">
        <w:rPr>
          <w:rFonts w:ascii="Times New Roman" w:eastAsia="Times New Roman" w:hAnsi="Times New Roman" w:cs="Times New Roman"/>
          <w:sz w:val="28"/>
          <w:szCs w:val="28"/>
          <w:lang w:eastAsia="ru-RU"/>
        </w:rPr>
        <w:t>).</w:t>
      </w:r>
    </w:p>
    <w:p w14:paraId="34E4393F" w14:textId="77777777" w:rsidR="0010107D" w:rsidRPr="004B5437" w:rsidRDefault="0010107D" w:rsidP="0010107D">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sidRPr="004B5437">
        <w:rPr>
          <w:rFonts w:ascii="Times New Roman" w:eastAsia="Times New Roman" w:hAnsi="Times New Roman" w:cs="Times New Roman"/>
          <w:sz w:val="28"/>
          <w:szCs w:val="28"/>
          <w:lang w:eastAsia="ru-RU"/>
        </w:rPr>
        <w:t>В 20</w:t>
      </w:r>
      <w:r w:rsidR="00EE7ADC" w:rsidRPr="004B5437">
        <w:rPr>
          <w:rFonts w:ascii="Times New Roman" w:eastAsia="Times New Roman" w:hAnsi="Times New Roman" w:cs="Times New Roman"/>
          <w:sz w:val="28"/>
          <w:szCs w:val="28"/>
          <w:lang w:eastAsia="ru-RU"/>
        </w:rPr>
        <w:t>21</w:t>
      </w:r>
      <w:r w:rsidRPr="004B5437">
        <w:rPr>
          <w:rFonts w:ascii="Times New Roman" w:eastAsia="Times New Roman" w:hAnsi="Times New Roman" w:cs="Times New Roman"/>
          <w:sz w:val="28"/>
          <w:szCs w:val="28"/>
          <w:lang w:eastAsia="ru-RU"/>
        </w:rPr>
        <w:t xml:space="preserve"> г</w:t>
      </w:r>
      <w:r w:rsidR="00443EEA">
        <w:rPr>
          <w:rFonts w:ascii="Times New Roman" w:eastAsia="Times New Roman" w:hAnsi="Times New Roman" w:cs="Times New Roman"/>
          <w:sz w:val="28"/>
          <w:szCs w:val="28"/>
          <w:lang w:eastAsia="ru-RU"/>
        </w:rPr>
        <w:t>.</w:t>
      </w:r>
      <w:r w:rsidRPr="004B5437">
        <w:rPr>
          <w:rFonts w:ascii="Times New Roman" w:eastAsia="Times New Roman" w:hAnsi="Times New Roman" w:cs="Times New Roman"/>
          <w:sz w:val="28"/>
          <w:szCs w:val="28"/>
          <w:lang w:eastAsia="ru-RU"/>
        </w:rPr>
        <w:t xml:space="preserve"> расходы ФСС на выплату государственных пособий лицам, работающим и проживающим в районах Крайнего Севера и приравненных к ним местностям, оценочно составили:</w:t>
      </w:r>
    </w:p>
    <w:p w14:paraId="3274EB32" w14:textId="77777777" w:rsidR="0010107D" w:rsidRPr="004B5437" w:rsidRDefault="00ED0F51" w:rsidP="0010107D">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sidRPr="004B5437">
        <w:rPr>
          <w:rFonts w:ascii="Times New Roman" w:eastAsia="Times New Roman" w:hAnsi="Times New Roman" w:cs="Times New Roman"/>
          <w:sz w:val="28"/>
          <w:szCs w:val="28"/>
          <w:lang w:eastAsia="ru-RU"/>
        </w:rPr>
        <w:t>- 0,09 млрд</w:t>
      </w:r>
      <w:r w:rsidR="0010107D" w:rsidRPr="004B5437">
        <w:rPr>
          <w:rFonts w:ascii="Times New Roman" w:eastAsia="Times New Roman" w:hAnsi="Times New Roman" w:cs="Times New Roman"/>
          <w:sz w:val="28"/>
          <w:szCs w:val="28"/>
          <w:lang w:eastAsia="ru-RU"/>
        </w:rPr>
        <w:t xml:space="preserve"> рублей – на выплату единовременного пособия женщинам, вставшим на учет в медицинских организациях в ранние сроки беременности </w:t>
      </w:r>
      <w:r w:rsidR="00EE7ADC" w:rsidRPr="004B5437">
        <w:rPr>
          <w:rFonts w:ascii="Times New Roman" w:eastAsia="Times New Roman" w:hAnsi="Times New Roman" w:cs="Times New Roman"/>
          <w:sz w:val="28"/>
          <w:szCs w:val="28"/>
          <w:lang w:eastAsia="ru-RU"/>
        </w:rPr>
        <w:br/>
      </w:r>
      <w:r w:rsidR="0010107D" w:rsidRPr="004B5437">
        <w:rPr>
          <w:rFonts w:ascii="Times New Roman" w:eastAsia="Times New Roman" w:hAnsi="Times New Roman" w:cs="Times New Roman"/>
          <w:sz w:val="28"/>
          <w:szCs w:val="28"/>
          <w:lang w:eastAsia="ru-RU"/>
        </w:rPr>
        <w:t>(</w:t>
      </w:r>
      <w:r w:rsidR="00A3121F" w:rsidRPr="004B5437">
        <w:rPr>
          <w:rFonts w:ascii="Times New Roman" w:eastAsia="Times New Roman" w:hAnsi="Times New Roman" w:cs="Times New Roman"/>
          <w:sz w:val="28"/>
          <w:szCs w:val="28"/>
          <w:lang w:eastAsia="ru-RU"/>
        </w:rPr>
        <w:t>20</w:t>
      </w:r>
      <w:r w:rsidR="00EE7ADC" w:rsidRPr="004B5437">
        <w:rPr>
          <w:rFonts w:ascii="Times New Roman" w:eastAsia="Times New Roman" w:hAnsi="Times New Roman" w:cs="Times New Roman"/>
          <w:sz w:val="28"/>
          <w:szCs w:val="28"/>
          <w:lang w:eastAsia="ru-RU"/>
        </w:rPr>
        <w:t>20</w:t>
      </w:r>
      <w:r w:rsidR="00A3121F" w:rsidRPr="004B5437">
        <w:rPr>
          <w:rFonts w:ascii="Times New Roman" w:eastAsia="Times New Roman" w:hAnsi="Times New Roman" w:cs="Times New Roman"/>
          <w:sz w:val="28"/>
          <w:szCs w:val="28"/>
          <w:lang w:eastAsia="ru-RU"/>
        </w:rPr>
        <w:t xml:space="preserve"> г. – 0,</w:t>
      </w:r>
      <w:r w:rsidR="009E13B1">
        <w:rPr>
          <w:rFonts w:ascii="Times New Roman" w:eastAsia="Times New Roman" w:hAnsi="Times New Roman" w:cs="Times New Roman"/>
          <w:sz w:val="28"/>
          <w:szCs w:val="28"/>
          <w:lang w:eastAsia="ru-RU"/>
        </w:rPr>
        <w:t>10</w:t>
      </w:r>
      <w:r w:rsidR="00A3121F" w:rsidRPr="004B5437">
        <w:rPr>
          <w:rFonts w:ascii="Times New Roman" w:eastAsia="Times New Roman" w:hAnsi="Times New Roman" w:cs="Times New Roman"/>
          <w:sz w:val="28"/>
          <w:szCs w:val="28"/>
          <w:lang w:eastAsia="ru-RU"/>
        </w:rPr>
        <w:t xml:space="preserve"> млрд рублей; </w:t>
      </w:r>
      <w:r w:rsidR="0010107D" w:rsidRPr="004B5437">
        <w:rPr>
          <w:rFonts w:ascii="Times New Roman" w:eastAsia="Times New Roman" w:hAnsi="Times New Roman" w:cs="Times New Roman"/>
          <w:sz w:val="28"/>
          <w:szCs w:val="28"/>
          <w:lang w:eastAsia="ru-RU"/>
        </w:rPr>
        <w:t>201</w:t>
      </w:r>
      <w:r w:rsidR="00EE7ADC" w:rsidRPr="004B5437">
        <w:rPr>
          <w:rFonts w:ascii="Times New Roman" w:eastAsia="Times New Roman" w:hAnsi="Times New Roman" w:cs="Times New Roman"/>
          <w:sz w:val="28"/>
          <w:szCs w:val="28"/>
          <w:lang w:eastAsia="ru-RU"/>
        </w:rPr>
        <w:t>9</w:t>
      </w:r>
      <w:r w:rsidR="0010107D" w:rsidRPr="004B5437">
        <w:rPr>
          <w:rFonts w:ascii="Times New Roman" w:eastAsia="Times New Roman" w:hAnsi="Times New Roman" w:cs="Times New Roman"/>
          <w:sz w:val="28"/>
          <w:szCs w:val="28"/>
          <w:lang w:eastAsia="ru-RU"/>
        </w:rPr>
        <w:t xml:space="preserve"> г. – 0,</w:t>
      </w:r>
      <w:r w:rsidR="009E13B1">
        <w:rPr>
          <w:rFonts w:ascii="Times New Roman" w:eastAsia="Times New Roman" w:hAnsi="Times New Roman" w:cs="Times New Roman"/>
          <w:sz w:val="28"/>
          <w:szCs w:val="28"/>
          <w:lang w:eastAsia="ru-RU"/>
        </w:rPr>
        <w:t>10</w:t>
      </w:r>
      <w:r w:rsidR="0010107D" w:rsidRPr="004B5437">
        <w:rPr>
          <w:rFonts w:ascii="Times New Roman" w:eastAsia="Times New Roman" w:hAnsi="Times New Roman" w:cs="Times New Roman"/>
          <w:sz w:val="28"/>
          <w:szCs w:val="28"/>
          <w:lang w:eastAsia="ru-RU"/>
        </w:rPr>
        <w:t xml:space="preserve"> млрд рублей);</w:t>
      </w:r>
    </w:p>
    <w:p w14:paraId="4A6FB7AD" w14:textId="77777777" w:rsidR="0010107D" w:rsidRPr="004B5437" w:rsidRDefault="0010107D" w:rsidP="0010107D">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sidRPr="004B5437">
        <w:rPr>
          <w:rFonts w:ascii="Times New Roman" w:eastAsia="Times New Roman" w:hAnsi="Times New Roman" w:cs="Times New Roman"/>
          <w:sz w:val="28"/>
          <w:szCs w:val="28"/>
          <w:lang w:eastAsia="ru-RU"/>
        </w:rPr>
        <w:t xml:space="preserve">- </w:t>
      </w:r>
      <w:r w:rsidR="00A3121F" w:rsidRPr="004B5437">
        <w:rPr>
          <w:rFonts w:ascii="Times New Roman" w:eastAsia="Times New Roman" w:hAnsi="Times New Roman" w:cs="Times New Roman"/>
          <w:sz w:val="28"/>
          <w:szCs w:val="28"/>
          <w:lang w:eastAsia="ru-RU"/>
        </w:rPr>
        <w:t>2</w:t>
      </w:r>
      <w:r w:rsidR="00EE7ADC" w:rsidRPr="004B5437">
        <w:rPr>
          <w:rFonts w:ascii="Times New Roman" w:eastAsia="Times New Roman" w:hAnsi="Times New Roman" w:cs="Times New Roman"/>
          <w:sz w:val="28"/>
          <w:szCs w:val="28"/>
          <w:lang w:eastAsia="ru-RU"/>
        </w:rPr>
        <w:t>2</w:t>
      </w:r>
      <w:r w:rsidR="00A3121F" w:rsidRPr="004B5437">
        <w:rPr>
          <w:rFonts w:ascii="Times New Roman" w:eastAsia="Times New Roman" w:hAnsi="Times New Roman" w:cs="Times New Roman"/>
          <w:sz w:val="28"/>
          <w:szCs w:val="28"/>
          <w:lang w:eastAsia="ru-RU"/>
        </w:rPr>
        <w:t>,</w:t>
      </w:r>
      <w:r w:rsidR="00EE7ADC" w:rsidRPr="004B5437">
        <w:rPr>
          <w:rFonts w:ascii="Times New Roman" w:eastAsia="Times New Roman" w:hAnsi="Times New Roman" w:cs="Times New Roman"/>
          <w:sz w:val="28"/>
          <w:szCs w:val="28"/>
          <w:lang w:eastAsia="ru-RU"/>
        </w:rPr>
        <w:t>56</w:t>
      </w:r>
      <w:r w:rsidR="00ED0F51" w:rsidRPr="004B5437">
        <w:rPr>
          <w:rFonts w:ascii="Times New Roman" w:eastAsia="Times New Roman" w:hAnsi="Times New Roman" w:cs="Times New Roman"/>
          <w:sz w:val="28"/>
          <w:szCs w:val="28"/>
          <w:lang w:eastAsia="ru-RU"/>
        </w:rPr>
        <w:t xml:space="preserve"> млрд</w:t>
      </w:r>
      <w:r w:rsidRPr="004B5437">
        <w:rPr>
          <w:rFonts w:ascii="Times New Roman" w:eastAsia="Times New Roman" w:hAnsi="Times New Roman" w:cs="Times New Roman"/>
          <w:sz w:val="28"/>
          <w:szCs w:val="28"/>
          <w:lang w:eastAsia="ru-RU"/>
        </w:rPr>
        <w:t xml:space="preserve"> рублей – на выплату пособия по беременности и родам (</w:t>
      </w:r>
      <w:r w:rsidR="00EE7ADC" w:rsidRPr="004B5437">
        <w:rPr>
          <w:rFonts w:ascii="Times New Roman" w:eastAsia="Times New Roman" w:hAnsi="Times New Roman" w:cs="Times New Roman"/>
          <w:sz w:val="28"/>
          <w:szCs w:val="28"/>
          <w:lang w:eastAsia="ru-RU"/>
        </w:rPr>
        <w:t>2020 г. – 2</w:t>
      </w:r>
      <w:r w:rsidR="009E13B1">
        <w:rPr>
          <w:rFonts w:ascii="Times New Roman" w:eastAsia="Times New Roman" w:hAnsi="Times New Roman" w:cs="Times New Roman"/>
          <w:sz w:val="28"/>
          <w:szCs w:val="28"/>
          <w:lang w:eastAsia="ru-RU"/>
        </w:rPr>
        <w:t>1</w:t>
      </w:r>
      <w:r w:rsidR="00EE7ADC" w:rsidRPr="004B5437">
        <w:rPr>
          <w:rFonts w:ascii="Times New Roman" w:eastAsia="Times New Roman" w:hAnsi="Times New Roman" w:cs="Times New Roman"/>
          <w:sz w:val="28"/>
          <w:szCs w:val="28"/>
          <w:lang w:eastAsia="ru-RU"/>
        </w:rPr>
        <w:t>,</w:t>
      </w:r>
      <w:r w:rsidR="009E13B1">
        <w:rPr>
          <w:rFonts w:ascii="Times New Roman" w:eastAsia="Times New Roman" w:hAnsi="Times New Roman" w:cs="Times New Roman"/>
          <w:sz w:val="28"/>
          <w:szCs w:val="28"/>
          <w:lang w:eastAsia="ru-RU"/>
        </w:rPr>
        <w:t>66</w:t>
      </w:r>
      <w:r w:rsidR="00EE7ADC" w:rsidRPr="004B5437">
        <w:rPr>
          <w:rFonts w:ascii="Times New Roman" w:eastAsia="Times New Roman" w:hAnsi="Times New Roman" w:cs="Times New Roman"/>
          <w:sz w:val="28"/>
          <w:szCs w:val="28"/>
          <w:lang w:eastAsia="ru-RU"/>
        </w:rPr>
        <w:t xml:space="preserve"> млрд рублей; </w:t>
      </w:r>
      <w:r w:rsidR="00A3121F" w:rsidRPr="004B5437">
        <w:rPr>
          <w:rFonts w:ascii="Times New Roman" w:eastAsia="Times New Roman" w:hAnsi="Times New Roman" w:cs="Times New Roman"/>
          <w:sz w:val="28"/>
          <w:szCs w:val="28"/>
          <w:lang w:eastAsia="ru-RU"/>
        </w:rPr>
        <w:t xml:space="preserve">2019 г. – </w:t>
      </w:r>
      <w:r w:rsidR="009E13B1">
        <w:rPr>
          <w:rFonts w:ascii="Times New Roman" w:eastAsia="Times New Roman" w:hAnsi="Times New Roman" w:cs="Times New Roman"/>
          <w:sz w:val="28"/>
          <w:szCs w:val="28"/>
          <w:lang w:eastAsia="ru-RU"/>
        </w:rPr>
        <w:t>20</w:t>
      </w:r>
      <w:r w:rsidR="00A3121F" w:rsidRPr="004B5437">
        <w:rPr>
          <w:rFonts w:ascii="Times New Roman" w:eastAsia="Times New Roman" w:hAnsi="Times New Roman" w:cs="Times New Roman"/>
          <w:sz w:val="28"/>
          <w:szCs w:val="28"/>
          <w:lang w:eastAsia="ru-RU"/>
        </w:rPr>
        <w:t>,</w:t>
      </w:r>
      <w:r w:rsidR="009E13B1">
        <w:rPr>
          <w:rFonts w:ascii="Times New Roman" w:eastAsia="Times New Roman" w:hAnsi="Times New Roman" w:cs="Times New Roman"/>
          <w:sz w:val="28"/>
          <w:szCs w:val="28"/>
          <w:lang w:eastAsia="ru-RU"/>
        </w:rPr>
        <w:t>70</w:t>
      </w:r>
      <w:r w:rsidR="00ED0F51" w:rsidRPr="004B5437">
        <w:rPr>
          <w:rFonts w:ascii="Times New Roman" w:eastAsia="Times New Roman" w:hAnsi="Times New Roman" w:cs="Times New Roman"/>
          <w:sz w:val="28"/>
          <w:szCs w:val="28"/>
          <w:lang w:eastAsia="ru-RU"/>
        </w:rPr>
        <w:t xml:space="preserve"> млрд</w:t>
      </w:r>
      <w:r w:rsidR="00A3121F" w:rsidRPr="004B5437">
        <w:rPr>
          <w:rFonts w:ascii="Times New Roman" w:eastAsia="Times New Roman" w:hAnsi="Times New Roman" w:cs="Times New Roman"/>
          <w:sz w:val="28"/>
          <w:szCs w:val="28"/>
          <w:lang w:eastAsia="ru-RU"/>
        </w:rPr>
        <w:t xml:space="preserve"> рублей</w:t>
      </w:r>
      <w:r w:rsidRPr="004B5437">
        <w:rPr>
          <w:rFonts w:ascii="Times New Roman" w:eastAsia="Times New Roman" w:hAnsi="Times New Roman" w:cs="Times New Roman"/>
          <w:sz w:val="28"/>
          <w:szCs w:val="28"/>
          <w:lang w:eastAsia="ru-RU"/>
        </w:rPr>
        <w:t>);</w:t>
      </w:r>
    </w:p>
    <w:p w14:paraId="3AE651DF" w14:textId="77777777" w:rsidR="0010107D" w:rsidRPr="004B5437" w:rsidRDefault="0010107D" w:rsidP="0010107D">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sidRPr="004B5437">
        <w:rPr>
          <w:rFonts w:ascii="Times New Roman" w:eastAsia="Times New Roman" w:hAnsi="Times New Roman" w:cs="Times New Roman"/>
          <w:sz w:val="28"/>
          <w:szCs w:val="28"/>
          <w:lang w:eastAsia="ru-RU"/>
        </w:rPr>
        <w:t xml:space="preserve">- </w:t>
      </w:r>
      <w:r w:rsidR="00EE7ADC" w:rsidRPr="004B5437">
        <w:rPr>
          <w:rFonts w:ascii="Times New Roman" w:eastAsia="Times New Roman" w:hAnsi="Times New Roman" w:cs="Times New Roman"/>
          <w:sz w:val="28"/>
          <w:szCs w:val="28"/>
          <w:lang w:eastAsia="ru-RU"/>
        </w:rPr>
        <w:t>4</w:t>
      </w:r>
      <w:r w:rsidRPr="004B5437">
        <w:rPr>
          <w:rFonts w:ascii="Times New Roman" w:eastAsia="Times New Roman" w:hAnsi="Times New Roman" w:cs="Times New Roman"/>
          <w:sz w:val="28"/>
          <w:szCs w:val="28"/>
          <w:lang w:eastAsia="ru-RU"/>
        </w:rPr>
        <w:t>,</w:t>
      </w:r>
      <w:r w:rsidR="00EE7ADC" w:rsidRPr="004B5437">
        <w:rPr>
          <w:rFonts w:ascii="Times New Roman" w:eastAsia="Times New Roman" w:hAnsi="Times New Roman" w:cs="Times New Roman"/>
          <w:sz w:val="28"/>
          <w:szCs w:val="28"/>
          <w:lang w:eastAsia="ru-RU"/>
        </w:rPr>
        <w:t>03</w:t>
      </w:r>
      <w:r w:rsidR="00ED0F51" w:rsidRPr="004B5437">
        <w:rPr>
          <w:rFonts w:ascii="Times New Roman" w:eastAsia="Times New Roman" w:hAnsi="Times New Roman" w:cs="Times New Roman"/>
          <w:sz w:val="28"/>
          <w:szCs w:val="28"/>
          <w:lang w:eastAsia="ru-RU"/>
        </w:rPr>
        <w:t xml:space="preserve"> млрд</w:t>
      </w:r>
      <w:r w:rsidRPr="004B5437">
        <w:rPr>
          <w:rFonts w:ascii="Times New Roman" w:eastAsia="Times New Roman" w:hAnsi="Times New Roman" w:cs="Times New Roman"/>
          <w:sz w:val="28"/>
          <w:szCs w:val="28"/>
          <w:lang w:eastAsia="ru-RU"/>
        </w:rPr>
        <w:t xml:space="preserve"> рублей – на выплату единовременного пособия при рождении ребенка (</w:t>
      </w:r>
      <w:r w:rsidR="00EE7ADC" w:rsidRPr="004B5437">
        <w:rPr>
          <w:rFonts w:ascii="Times New Roman" w:eastAsia="Times New Roman" w:hAnsi="Times New Roman" w:cs="Times New Roman"/>
          <w:sz w:val="28"/>
          <w:szCs w:val="28"/>
          <w:lang w:eastAsia="ru-RU"/>
        </w:rPr>
        <w:t>2020 г. – 3,</w:t>
      </w:r>
      <w:r w:rsidR="009E13B1">
        <w:rPr>
          <w:rFonts w:ascii="Times New Roman" w:eastAsia="Times New Roman" w:hAnsi="Times New Roman" w:cs="Times New Roman"/>
          <w:sz w:val="28"/>
          <w:szCs w:val="28"/>
          <w:lang w:eastAsia="ru-RU"/>
        </w:rPr>
        <w:t>86</w:t>
      </w:r>
      <w:r w:rsidR="00EE7ADC" w:rsidRPr="004B5437">
        <w:rPr>
          <w:rFonts w:ascii="Times New Roman" w:eastAsia="Times New Roman" w:hAnsi="Times New Roman" w:cs="Times New Roman"/>
          <w:sz w:val="28"/>
          <w:szCs w:val="28"/>
          <w:lang w:eastAsia="ru-RU"/>
        </w:rPr>
        <w:t xml:space="preserve"> млрд рублей; </w:t>
      </w:r>
      <w:r w:rsidR="00A3121F" w:rsidRPr="004B5437">
        <w:rPr>
          <w:rFonts w:ascii="Times New Roman" w:eastAsia="Times New Roman" w:hAnsi="Times New Roman" w:cs="Times New Roman"/>
          <w:sz w:val="28"/>
          <w:szCs w:val="28"/>
          <w:lang w:eastAsia="ru-RU"/>
        </w:rPr>
        <w:t xml:space="preserve">2019 г. – </w:t>
      </w:r>
      <w:r w:rsidR="009E13B1">
        <w:rPr>
          <w:rFonts w:ascii="Times New Roman" w:eastAsia="Times New Roman" w:hAnsi="Times New Roman" w:cs="Times New Roman"/>
          <w:sz w:val="28"/>
          <w:szCs w:val="28"/>
          <w:lang w:eastAsia="ru-RU"/>
        </w:rPr>
        <w:t>4</w:t>
      </w:r>
      <w:r w:rsidR="00A3121F" w:rsidRPr="004B5437">
        <w:rPr>
          <w:rFonts w:ascii="Times New Roman" w:eastAsia="Times New Roman" w:hAnsi="Times New Roman" w:cs="Times New Roman"/>
          <w:sz w:val="28"/>
          <w:szCs w:val="28"/>
          <w:lang w:eastAsia="ru-RU"/>
        </w:rPr>
        <w:t xml:space="preserve"> </w:t>
      </w:r>
      <w:r w:rsidR="00BA26A5" w:rsidRPr="004B5437">
        <w:rPr>
          <w:rFonts w:ascii="Times New Roman" w:eastAsia="Times New Roman" w:hAnsi="Times New Roman" w:cs="Times New Roman"/>
          <w:sz w:val="28"/>
          <w:szCs w:val="28"/>
          <w:lang w:eastAsia="ru-RU"/>
        </w:rPr>
        <w:t>млрд</w:t>
      </w:r>
      <w:r w:rsidR="00A3121F" w:rsidRPr="004B5437">
        <w:rPr>
          <w:rFonts w:ascii="Times New Roman" w:eastAsia="Times New Roman" w:hAnsi="Times New Roman" w:cs="Times New Roman"/>
          <w:sz w:val="28"/>
          <w:szCs w:val="28"/>
          <w:lang w:eastAsia="ru-RU"/>
        </w:rPr>
        <w:t xml:space="preserve"> рублей</w:t>
      </w:r>
      <w:r w:rsidRPr="004B5437">
        <w:rPr>
          <w:rFonts w:ascii="Times New Roman" w:eastAsia="Times New Roman" w:hAnsi="Times New Roman" w:cs="Times New Roman"/>
          <w:sz w:val="28"/>
          <w:szCs w:val="28"/>
          <w:lang w:eastAsia="ru-RU"/>
        </w:rPr>
        <w:t>);</w:t>
      </w:r>
    </w:p>
    <w:p w14:paraId="30DFB2AD" w14:textId="77777777" w:rsidR="0010107D" w:rsidRPr="0010107D" w:rsidRDefault="0010107D" w:rsidP="0010107D">
      <w:pPr>
        <w:shd w:val="clear" w:color="auto" w:fill="FFFFFF"/>
        <w:spacing w:after="0" w:line="312" w:lineRule="auto"/>
        <w:ind w:firstLine="709"/>
        <w:jc w:val="both"/>
        <w:outlineLvl w:val="1"/>
        <w:rPr>
          <w:rFonts w:ascii="Times New Roman" w:eastAsia="Times New Roman" w:hAnsi="Times New Roman" w:cs="Times New Roman"/>
          <w:sz w:val="28"/>
          <w:szCs w:val="28"/>
          <w:lang w:eastAsia="ru-RU"/>
        </w:rPr>
      </w:pPr>
      <w:r w:rsidRPr="004B5437">
        <w:rPr>
          <w:rFonts w:ascii="Times New Roman" w:eastAsia="Times New Roman" w:hAnsi="Times New Roman" w:cs="Times New Roman"/>
          <w:sz w:val="28"/>
          <w:szCs w:val="28"/>
          <w:lang w:eastAsia="ru-RU"/>
        </w:rPr>
        <w:t xml:space="preserve">- </w:t>
      </w:r>
      <w:r w:rsidR="004B5437" w:rsidRPr="004B5437">
        <w:rPr>
          <w:rFonts w:ascii="Times New Roman" w:eastAsia="Times New Roman" w:hAnsi="Times New Roman" w:cs="Times New Roman"/>
          <w:sz w:val="28"/>
          <w:szCs w:val="28"/>
          <w:lang w:eastAsia="ru-RU"/>
        </w:rPr>
        <w:t>30</w:t>
      </w:r>
      <w:r w:rsidRPr="004B5437">
        <w:rPr>
          <w:rFonts w:ascii="Times New Roman" w:eastAsia="Times New Roman" w:hAnsi="Times New Roman" w:cs="Times New Roman"/>
          <w:sz w:val="28"/>
          <w:szCs w:val="28"/>
          <w:lang w:eastAsia="ru-RU"/>
        </w:rPr>
        <w:t>,</w:t>
      </w:r>
      <w:r w:rsidR="004B5437" w:rsidRPr="004B5437">
        <w:rPr>
          <w:rFonts w:ascii="Times New Roman" w:eastAsia="Times New Roman" w:hAnsi="Times New Roman" w:cs="Times New Roman"/>
          <w:sz w:val="28"/>
          <w:szCs w:val="28"/>
          <w:lang w:eastAsia="ru-RU"/>
        </w:rPr>
        <w:t>16</w:t>
      </w:r>
      <w:r w:rsidR="00BA26A5" w:rsidRPr="004B5437">
        <w:rPr>
          <w:rFonts w:ascii="Times New Roman" w:eastAsia="Times New Roman" w:hAnsi="Times New Roman" w:cs="Times New Roman"/>
          <w:sz w:val="28"/>
          <w:szCs w:val="28"/>
          <w:lang w:eastAsia="ru-RU"/>
        </w:rPr>
        <w:t xml:space="preserve"> млрд</w:t>
      </w:r>
      <w:r w:rsidRPr="004B5437">
        <w:rPr>
          <w:rFonts w:ascii="Times New Roman" w:eastAsia="Times New Roman" w:hAnsi="Times New Roman" w:cs="Times New Roman"/>
          <w:sz w:val="28"/>
          <w:szCs w:val="28"/>
          <w:lang w:eastAsia="ru-RU"/>
        </w:rPr>
        <w:t xml:space="preserve"> рублей – на выплату ежемесячного пособия по уходу за ребенком (</w:t>
      </w:r>
      <w:r w:rsidR="004B5437" w:rsidRPr="004B5437">
        <w:rPr>
          <w:rFonts w:ascii="Times New Roman" w:eastAsia="Times New Roman" w:hAnsi="Times New Roman" w:cs="Times New Roman"/>
          <w:sz w:val="28"/>
          <w:szCs w:val="28"/>
          <w:lang w:eastAsia="ru-RU"/>
        </w:rPr>
        <w:t>2020 г. – 2</w:t>
      </w:r>
      <w:r w:rsidR="009E13B1">
        <w:rPr>
          <w:rFonts w:ascii="Times New Roman" w:eastAsia="Times New Roman" w:hAnsi="Times New Roman" w:cs="Times New Roman"/>
          <w:sz w:val="28"/>
          <w:szCs w:val="28"/>
          <w:lang w:eastAsia="ru-RU"/>
        </w:rPr>
        <w:t>8</w:t>
      </w:r>
      <w:r w:rsidR="004B5437" w:rsidRPr="004B5437">
        <w:rPr>
          <w:rFonts w:ascii="Times New Roman" w:eastAsia="Times New Roman" w:hAnsi="Times New Roman" w:cs="Times New Roman"/>
          <w:sz w:val="28"/>
          <w:szCs w:val="28"/>
          <w:lang w:eastAsia="ru-RU"/>
        </w:rPr>
        <w:t>,</w:t>
      </w:r>
      <w:r w:rsidR="009E13B1">
        <w:rPr>
          <w:rFonts w:ascii="Times New Roman" w:eastAsia="Times New Roman" w:hAnsi="Times New Roman" w:cs="Times New Roman"/>
          <w:sz w:val="28"/>
          <w:szCs w:val="28"/>
          <w:lang w:eastAsia="ru-RU"/>
        </w:rPr>
        <w:t>56</w:t>
      </w:r>
      <w:r w:rsidR="004B5437" w:rsidRPr="004B5437">
        <w:rPr>
          <w:rFonts w:ascii="Times New Roman" w:eastAsia="Times New Roman" w:hAnsi="Times New Roman" w:cs="Times New Roman"/>
          <w:sz w:val="28"/>
          <w:szCs w:val="28"/>
          <w:lang w:eastAsia="ru-RU"/>
        </w:rPr>
        <w:t xml:space="preserve"> млрд рублей; </w:t>
      </w:r>
      <w:r w:rsidR="00A3121F" w:rsidRPr="004B5437">
        <w:rPr>
          <w:rFonts w:ascii="Times New Roman" w:eastAsia="Times New Roman" w:hAnsi="Times New Roman" w:cs="Times New Roman"/>
          <w:sz w:val="28"/>
          <w:szCs w:val="28"/>
          <w:lang w:eastAsia="ru-RU"/>
        </w:rPr>
        <w:t>2019 г. – 2</w:t>
      </w:r>
      <w:r w:rsidR="009E13B1">
        <w:rPr>
          <w:rFonts w:ascii="Times New Roman" w:eastAsia="Times New Roman" w:hAnsi="Times New Roman" w:cs="Times New Roman"/>
          <w:sz w:val="28"/>
          <w:szCs w:val="28"/>
          <w:lang w:eastAsia="ru-RU"/>
        </w:rPr>
        <w:t>8</w:t>
      </w:r>
      <w:r w:rsidR="00A3121F" w:rsidRPr="004B5437">
        <w:rPr>
          <w:rFonts w:ascii="Times New Roman" w:eastAsia="Times New Roman" w:hAnsi="Times New Roman" w:cs="Times New Roman"/>
          <w:sz w:val="28"/>
          <w:szCs w:val="28"/>
          <w:lang w:eastAsia="ru-RU"/>
        </w:rPr>
        <w:t>,</w:t>
      </w:r>
      <w:r w:rsidR="009E13B1">
        <w:rPr>
          <w:rFonts w:ascii="Times New Roman" w:eastAsia="Times New Roman" w:hAnsi="Times New Roman" w:cs="Times New Roman"/>
          <w:sz w:val="28"/>
          <w:szCs w:val="28"/>
          <w:lang w:eastAsia="ru-RU"/>
        </w:rPr>
        <w:t>28</w:t>
      </w:r>
      <w:r w:rsidR="00BA26A5" w:rsidRPr="004B5437">
        <w:rPr>
          <w:rFonts w:ascii="Times New Roman" w:eastAsia="Times New Roman" w:hAnsi="Times New Roman" w:cs="Times New Roman"/>
          <w:sz w:val="28"/>
          <w:szCs w:val="28"/>
          <w:lang w:eastAsia="ru-RU"/>
        </w:rPr>
        <w:t xml:space="preserve"> млрд</w:t>
      </w:r>
      <w:r w:rsidR="00A3121F" w:rsidRPr="004B5437">
        <w:rPr>
          <w:rFonts w:ascii="Times New Roman" w:eastAsia="Times New Roman" w:hAnsi="Times New Roman" w:cs="Times New Roman"/>
          <w:sz w:val="28"/>
          <w:szCs w:val="28"/>
          <w:lang w:eastAsia="ru-RU"/>
        </w:rPr>
        <w:t xml:space="preserve"> рублей</w:t>
      </w:r>
      <w:r w:rsidRPr="004B5437">
        <w:rPr>
          <w:rFonts w:ascii="Times New Roman" w:eastAsia="Times New Roman" w:hAnsi="Times New Roman" w:cs="Times New Roman"/>
          <w:sz w:val="28"/>
          <w:szCs w:val="28"/>
          <w:lang w:eastAsia="ru-RU"/>
        </w:rPr>
        <w:t>).</w:t>
      </w:r>
    </w:p>
    <w:p w14:paraId="10D66873" w14:textId="77777777" w:rsidR="0010107D" w:rsidRPr="0010107D" w:rsidRDefault="0010107D" w:rsidP="0010107D">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В 20</w:t>
      </w:r>
      <w:r w:rsidR="00273C8C">
        <w:rPr>
          <w:rFonts w:ascii="Times New Roman" w:eastAsia="Calibri" w:hAnsi="Times New Roman" w:cs="Times New Roman"/>
          <w:color w:val="000000"/>
          <w:sz w:val="28"/>
          <w:szCs w:val="28"/>
          <w:shd w:val="clear" w:color="auto" w:fill="FFFFFF"/>
        </w:rPr>
        <w:t>2</w:t>
      </w:r>
      <w:r w:rsidR="003B601F">
        <w:rPr>
          <w:rFonts w:ascii="Times New Roman" w:eastAsia="Calibri" w:hAnsi="Times New Roman" w:cs="Times New Roman"/>
          <w:color w:val="000000"/>
          <w:sz w:val="28"/>
          <w:szCs w:val="28"/>
          <w:shd w:val="clear" w:color="auto" w:fill="FFFFFF"/>
        </w:rPr>
        <w:t xml:space="preserve">1 </w:t>
      </w:r>
      <w:r w:rsidRPr="0010107D">
        <w:rPr>
          <w:rFonts w:ascii="Times New Roman" w:eastAsia="Calibri" w:hAnsi="Times New Roman" w:cs="Times New Roman"/>
          <w:color w:val="000000"/>
          <w:sz w:val="28"/>
          <w:szCs w:val="28"/>
          <w:shd w:val="clear" w:color="auto" w:fill="FFFFFF"/>
        </w:rPr>
        <w:t>г</w:t>
      </w:r>
      <w:r w:rsidR="00443EEA">
        <w:rPr>
          <w:rFonts w:ascii="Times New Roman" w:eastAsia="Calibri" w:hAnsi="Times New Roman" w:cs="Times New Roman"/>
          <w:color w:val="000000"/>
          <w:sz w:val="28"/>
          <w:szCs w:val="28"/>
          <w:shd w:val="clear" w:color="auto" w:fill="FFFFFF"/>
        </w:rPr>
        <w:t>.</w:t>
      </w:r>
      <w:r w:rsidRPr="0010107D">
        <w:rPr>
          <w:rFonts w:ascii="Times New Roman" w:eastAsia="Calibri" w:hAnsi="Times New Roman" w:cs="Times New Roman"/>
          <w:color w:val="000000"/>
          <w:sz w:val="28"/>
          <w:szCs w:val="28"/>
          <w:shd w:val="clear" w:color="auto" w:fill="FFFFFF"/>
        </w:rPr>
        <w:t xml:space="preserve"> продолжалось активное внедрение технологии формирования </w:t>
      </w:r>
      <w:r w:rsidR="003B601F" w:rsidRPr="0010107D">
        <w:rPr>
          <w:rFonts w:ascii="Times New Roman" w:eastAsia="Calibri" w:hAnsi="Times New Roman" w:cs="Times New Roman"/>
          <w:color w:val="000000"/>
          <w:sz w:val="28"/>
          <w:szCs w:val="28"/>
          <w:shd w:val="clear" w:color="auto" w:fill="FFFFFF"/>
        </w:rPr>
        <w:t xml:space="preserve">электронного </w:t>
      </w:r>
      <w:r w:rsidRPr="0010107D">
        <w:rPr>
          <w:rFonts w:ascii="Times New Roman" w:eastAsia="Calibri" w:hAnsi="Times New Roman" w:cs="Times New Roman"/>
          <w:color w:val="000000"/>
          <w:sz w:val="28"/>
          <w:szCs w:val="28"/>
          <w:shd w:val="clear" w:color="auto" w:fill="FFFFFF"/>
        </w:rPr>
        <w:t>листка нетрудоспособности, на основании которого выплачивается, в том числе пособие по беременности и родам.</w:t>
      </w:r>
    </w:p>
    <w:p w14:paraId="0C71AFD7" w14:textId="77777777" w:rsidR="0010107D" w:rsidRPr="0010107D" w:rsidRDefault="0010107D" w:rsidP="0010107D">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С 1 июля 2017 г</w:t>
      </w:r>
      <w:r w:rsidR="00E20112">
        <w:rPr>
          <w:rFonts w:ascii="Times New Roman" w:eastAsia="Calibri" w:hAnsi="Times New Roman" w:cs="Times New Roman"/>
          <w:color w:val="000000"/>
          <w:sz w:val="28"/>
          <w:szCs w:val="28"/>
          <w:shd w:val="clear" w:color="auto" w:fill="FFFFFF"/>
        </w:rPr>
        <w:t>.</w:t>
      </w:r>
      <w:r w:rsidRPr="0010107D">
        <w:rPr>
          <w:rFonts w:ascii="Times New Roman" w:eastAsia="Calibri" w:hAnsi="Times New Roman" w:cs="Times New Roman"/>
          <w:color w:val="000000"/>
          <w:sz w:val="28"/>
          <w:szCs w:val="28"/>
          <w:shd w:val="clear" w:color="auto" w:fill="FFFFFF"/>
        </w:rPr>
        <w:t xml:space="preserve"> частью 5</w:t>
      </w:r>
      <w:r w:rsidR="003B601F">
        <w:rPr>
          <w:rFonts w:ascii="Times New Roman" w:eastAsia="Calibri" w:hAnsi="Times New Roman" w:cs="Times New Roman"/>
          <w:color w:val="000000"/>
          <w:sz w:val="28"/>
          <w:szCs w:val="28"/>
          <w:shd w:val="clear" w:color="auto" w:fill="FFFFFF"/>
        </w:rPr>
        <w:t xml:space="preserve"> статьи 13 Федерального закона </w:t>
      </w:r>
      <w:r w:rsidRPr="0010107D">
        <w:rPr>
          <w:rFonts w:ascii="Times New Roman" w:eastAsia="Calibri" w:hAnsi="Times New Roman" w:cs="Times New Roman"/>
          <w:color w:val="000000"/>
          <w:sz w:val="28"/>
          <w:szCs w:val="28"/>
          <w:shd w:val="clear" w:color="auto" w:fill="FFFFFF"/>
        </w:rPr>
        <w:t>от 29 декабря 2006 г. № 255-ФЗ</w:t>
      </w:r>
      <w:r w:rsidR="009E13B1">
        <w:rPr>
          <w:rFonts w:ascii="Times New Roman" w:eastAsia="Calibri" w:hAnsi="Times New Roman" w:cs="Times New Roman"/>
          <w:color w:val="000000"/>
          <w:sz w:val="28"/>
          <w:szCs w:val="28"/>
          <w:shd w:val="clear" w:color="auto" w:fill="FFFFFF"/>
        </w:rPr>
        <w:t xml:space="preserve"> в редакции, действовавшей до 31 декабря 2021 г. включительно,</w:t>
      </w:r>
      <w:r w:rsidRPr="0010107D">
        <w:rPr>
          <w:rFonts w:ascii="Times New Roman" w:eastAsia="Calibri" w:hAnsi="Times New Roman" w:cs="Times New Roman"/>
          <w:color w:val="000000"/>
          <w:sz w:val="28"/>
          <w:szCs w:val="28"/>
          <w:shd w:val="clear" w:color="auto" w:fill="FFFFFF"/>
        </w:rPr>
        <w:t xml:space="preserve"> </w:t>
      </w:r>
      <w:r w:rsidR="009E13B1">
        <w:rPr>
          <w:rFonts w:ascii="Times New Roman" w:eastAsia="Calibri" w:hAnsi="Times New Roman" w:cs="Times New Roman"/>
          <w:color w:val="000000"/>
          <w:sz w:val="28"/>
          <w:szCs w:val="28"/>
          <w:shd w:val="clear" w:color="auto" w:fill="FFFFFF"/>
        </w:rPr>
        <w:t xml:space="preserve">была </w:t>
      </w:r>
      <w:r w:rsidRPr="0010107D">
        <w:rPr>
          <w:rFonts w:ascii="Times New Roman" w:eastAsia="Calibri" w:hAnsi="Times New Roman" w:cs="Times New Roman"/>
          <w:color w:val="000000"/>
          <w:sz w:val="28"/>
          <w:szCs w:val="28"/>
          <w:shd w:val="clear" w:color="auto" w:fill="FFFFFF"/>
        </w:rPr>
        <w:t>предусмотрена возможность оформления листка нетрудоспособности как на бумажном носителе, так и в форме электронного документа (с письменного согласия застрахованного лица). Такой электронный документ имеет равную юридическую силу с листком нетрудоспособности, оформленным на бумажном носителе.</w:t>
      </w:r>
    </w:p>
    <w:p w14:paraId="00737718" w14:textId="77777777" w:rsidR="0010107D" w:rsidRPr="0010107D" w:rsidRDefault="0010107D" w:rsidP="0010107D">
      <w:pPr>
        <w:widowControl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color w:val="000000"/>
          <w:sz w:val="28"/>
          <w:szCs w:val="28"/>
          <w:shd w:val="clear" w:color="auto" w:fill="FFFFFF"/>
        </w:rPr>
        <w:t>Назначение и выплата пособия по беременности и родам осуществля</w:t>
      </w:r>
      <w:r w:rsidR="0037024E">
        <w:rPr>
          <w:rFonts w:ascii="Times New Roman" w:eastAsia="Calibri" w:hAnsi="Times New Roman" w:cs="Times New Roman"/>
          <w:color w:val="000000"/>
          <w:sz w:val="28"/>
          <w:szCs w:val="28"/>
          <w:shd w:val="clear" w:color="auto" w:fill="FFFFFF"/>
        </w:rPr>
        <w:t>лись</w:t>
      </w:r>
      <w:r w:rsidRPr="0010107D">
        <w:rPr>
          <w:rFonts w:ascii="Times New Roman" w:eastAsia="Calibri" w:hAnsi="Times New Roman" w:cs="Times New Roman"/>
          <w:color w:val="000000"/>
          <w:sz w:val="28"/>
          <w:szCs w:val="28"/>
          <w:shd w:val="clear" w:color="auto" w:fill="FFFFFF"/>
        </w:rPr>
        <w:t xml:space="preserve"> на основании листка нетрудоспособности в электронно</w:t>
      </w:r>
      <w:r w:rsidR="0037024E">
        <w:rPr>
          <w:rFonts w:ascii="Times New Roman" w:eastAsia="Calibri" w:hAnsi="Times New Roman" w:cs="Times New Roman"/>
          <w:color w:val="000000"/>
          <w:sz w:val="28"/>
          <w:szCs w:val="28"/>
          <w:shd w:val="clear" w:color="auto" w:fill="FFFFFF"/>
        </w:rPr>
        <w:t>й</w:t>
      </w:r>
      <w:r w:rsidRPr="0010107D">
        <w:rPr>
          <w:rFonts w:ascii="Times New Roman" w:eastAsia="Calibri" w:hAnsi="Times New Roman" w:cs="Times New Roman"/>
          <w:color w:val="000000"/>
          <w:sz w:val="28"/>
          <w:szCs w:val="28"/>
          <w:shd w:val="clear" w:color="auto" w:fill="FFFFFF"/>
        </w:rPr>
        <w:t xml:space="preserve"> </w:t>
      </w:r>
      <w:r w:rsidR="0037024E">
        <w:rPr>
          <w:rFonts w:ascii="Times New Roman" w:eastAsia="Calibri" w:hAnsi="Times New Roman" w:cs="Times New Roman"/>
          <w:color w:val="000000"/>
          <w:sz w:val="28"/>
          <w:szCs w:val="28"/>
          <w:shd w:val="clear" w:color="auto" w:fill="FFFFFF"/>
        </w:rPr>
        <w:t>форме</w:t>
      </w:r>
      <w:r w:rsidRPr="0010107D">
        <w:rPr>
          <w:rFonts w:ascii="Times New Roman" w:eastAsia="Calibri" w:hAnsi="Times New Roman" w:cs="Times New Roman"/>
          <w:color w:val="000000"/>
          <w:sz w:val="28"/>
          <w:szCs w:val="28"/>
          <w:shd w:val="clear" w:color="auto" w:fill="FFFFFF"/>
        </w:rPr>
        <w:t xml:space="preserve"> в случае, если медицинская организация и работодатель явля</w:t>
      </w:r>
      <w:r w:rsidR="00476693">
        <w:rPr>
          <w:rFonts w:ascii="Times New Roman" w:eastAsia="Calibri" w:hAnsi="Times New Roman" w:cs="Times New Roman"/>
          <w:color w:val="000000"/>
          <w:sz w:val="28"/>
          <w:szCs w:val="28"/>
          <w:shd w:val="clear" w:color="auto" w:fill="FFFFFF"/>
        </w:rPr>
        <w:t>лись</w:t>
      </w:r>
      <w:r w:rsidRPr="0010107D">
        <w:rPr>
          <w:rFonts w:ascii="Times New Roman" w:eastAsia="Calibri" w:hAnsi="Times New Roman" w:cs="Times New Roman"/>
          <w:color w:val="000000"/>
          <w:sz w:val="28"/>
          <w:szCs w:val="28"/>
          <w:shd w:val="clear" w:color="auto" w:fill="FFFFFF"/>
        </w:rPr>
        <w:t xml:space="preserve">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14:paraId="68AC78BB" w14:textId="77777777" w:rsidR="0010107D" w:rsidRPr="0010107D" w:rsidRDefault="00EB0B54" w:rsidP="0010107D">
      <w:pPr>
        <w:widowControl w:val="0"/>
        <w:spacing w:after="0" w:line="319" w:lineRule="auto"/>
        <w:ind w:firstLine="709"/>
        <w:jc w:val="both"/>
        <w:rPr>
          <w:rFonts w:ascii="Times New Roman" w:eastAsia="Calibri" w:hAnsi="Times New Roman" w:cs="Times New Roman"/>
          <w:sz w:val="28"/>
          <w:szCs w:val="28"/>
        </w:rPr>
      </w:pPr>
      <w:r w:rsidRPr="00EB0B54">
        <w:rPr>
          <w:rFonts w:ascii="Times New Roman" w:eastAsia="Calibri" w:hAnsi="Times New Roman" w:cs="Times New Roman"/>
          <w:sz w:val="28"/>
          <w:szCs w:val="28"/>
          <w:shd w:val="clear" w:color="auto" w:fill="FFFFFF"/>
        </w:rPr>
        <w:t xml:space="preserve">Технология формирования </w:t>
      </w:r>
      <w:r w:rsidR="00063580" w:rsidRPr="00273C8C">
        <w:rPr>
          <w:rFonts w:ascii="Times New Roman" w:eastAsia="Calibri" w:hAnsi="Times New Roman" w:cs="Times New Roman"/>
          <w:color w:val="000000"/>
          <w:sz w:val="28"/>
          <w:szCs w:val="28"/>
          <w:shd w:val="clear" w:color="auto" w:fill="FFFFFF"/>
        </w:rPr>
        <w:t>электронного</w:t>
      </w:r>
      <w:r w:rsidR="00063580" w:rsidRPr="00EB0B54">
        <w:rPr>
          <w:rFonts w:ascii="Times New Roman" w:eastAsia="Calibri" w:hAnsi="Times New Roman" w:cs="Times New Roman"/>
          <w:sz w:val="28"/>
          <w:szCs w:val="28"/>
          <w:shd w:val="clear" w:color="auto" w:fill="FFFFFF"/>
        </w:rPr>
        <w:t xml:space="preserve"> </w:t>
      </w:r>
      <w:r w:rsidRPr="00EB0B54">
        <w:rPr>
          <w:rFonts w:ascii="Times New Roman" w:eastAsia="Calibri" w:hAnsi="Times New Roman" w:cs="Times New Roman"/>
          <w:sz w:val="28"/>
          <w:szCs w:val="28"/>
          <w:shd w:val="clear" w:color="auto" w:fill="FFFFFF"/>
        </w:rPr>
        <w:t xml:space="preserve">листка нетрудоспособности </w:t>
      </w:r>
      <w:r w:rsidR="0010107D" w:rsidRPr="0010107D">
        <w:rPr>
          <w:rFonts w:ascii="Times New Roman" w:eastAsia="Calibri" w:hAnsi="Times New Roman" w:cs="Times New Roman"/>
          <w:color w:val="000000"/>
          <w:sz w:val="28"/>
          <w:szCs w:val="28"/>
          <w:shd w:val="clear" w:color="auto" w:fill="FFFFFF"/>
        </w:rPr>
        <w:t>позвол</w:t>
      </w:r>
      <w:r w:rsidR="00063580">
        <w:rPr>
          <w:rFonts w:ascii="Times New Roman" w:eastAsia="Calibri" w:hAnsi="Times New Roman" w:cs="Times New Roman"/>
          <w:color w:val="000000"/>
          <w:sz w:val="28"/>
          <w:szCs w:val="28"/>
          <w:shd w:val="clear" w:color="auto" w:fill="FFFFFF"/>
        </w:rPr>
        <w:t>ила</w:t>
      </w:r>
      <w:r w:rsidR="0010107D" w:rsidRPr="0010107D">
        <w:rPr>
          <w:rFonts w:ascii="Times New Roman" w:eastAsia="Calibri" w:hAnsi="Times New Roman" w:cs="Times New Roman"/>
          <w:color w:val="000000"/>
          <w:sz w:val="28"/>
          <w:szCs w:val="28"/>
          <w:shd w:val="clear" w:color="auto" w:fill="FFFFFF"/>
        </w:rPr>
        <w:t xml:space="preserve"> оптимизировать процесс </w:t>
      </w:r>
      <w:r>
        <w:rPr>
          <w:rFonts w:ascii="Times New Roman" w:eastAsia="Calibri" w:hAnsi="Times New Roman" w:cs="Times New Roman"/>
          <w:color w:val="000000"/>
          <w:sz w:val="28"/>
          <w:szCs w:val="28"/>
          <w:shd w:val="clear" w:color="auto" w:fill="FFFFFF"/>
        </w:rPr>
        <w:t>назначения и выплаты страхового обеспечения</w:t>
      </w:r>
      <w:r w:rsidR="0010107D" w:rsidRPr="0010107D">
        <w:rPr>
          <w:rFonts w:ascii="Times New Roman" w:eastAsia="Calibri" w:hAnsi="Times New Roman" w:cs="Times New Roman"/>
          <w:color w:val="000000"/>
          <w:sz w:val="28"/>
          <w:szCs w:val="28"/>
          <w:shd w:val="clear" w:color="auto" w:fill="FFFFFF"/>
        </w:rPr>
        <w:t xml:space="preserve">, </w:t>
      </w:r>
      <w:r w:rsidR="00063580">
        <w:rPr>
          <w:rFonts w:ascii="Times New Roman" w:eastAsia="Calibri" w:hAnsi="Times New Roman" w:cs="Times New Roman"/>
          <w:color w:val="000000"/>
          <w:sz w:val="28"/>
          <w:szCs w:val="28"/>
          <w:shd w:val="clear" w:color="auto" w:fill="FFFFFF"/>
        </w:rPr>
        <w:t>с</w:t>
      </w:r>
      <w:r w:rsidR="0010107D" w:rsidRPr="0010107D">
        <w:rPr>
          <w:rFonts w:ascii="Times New Roman" w:eastAsia="Calibri" w:hAnsi="Times New Roman" w:cs="Times New Roman"/>
          <w:color w:val="000000"/>
          <w:sz w:val="28"/>
          <w:szCs w:val="28"/>
          <w:shd w:val="clear" w:color="auto" w:fill="FFFFFF"/>
        </w:rPr>
        <w:t>дела</w:t>
      </w:r>
      <w:r w:rsidR="00063580">
        <w:rPr>
          <w:rFonts w:ascii="Times New Roman" w:eastAsia="Calibri" w:hAnsi="Times New Roman" w:cs="Times New Roman"/>
          <w:color w:val="000000"/>
          <w:sz w:val="28"/>
          <w:szCs w:val="28"/>
          <w:shd w:val="clear" w:color="auto" w:fill="FFFFFF"/>
        </w:rPr>
        <w:t>ть</w:t>
      </w:r>
      <w:r w:rsidR="0010107D" w:rsidRPr="0010107D">
        <w:rPr>
          <w:rFonts w:ascii="Times New Roman" w:eastAsia="Calibri" w:hAnsi="Times New Roman" w:cs="Times New Roman"/>
          <w:color w:val="000000"/>
          <w:sz w:val="28"/>
          <w:szCs w:val="28"/>
          <w:shd w:val="clear" w:color="auto" w:fill="FFFFFF"/>
        </w:rPr>
        <w:t xml:space="preserve"> обмен информацией о страховых случаях прозрачным, сни</w:t>
      </w:r>
      <w:r w:rsidR="00063580">
        <w:rPr>
          <w:rFonts w:ascii="Times New Roman" w:eastAsia="Calibri" w:hAnsi="Times New Roman" w:cs="Times New Roman"/>
          <w:color w:val="000000"/>
          <w:sz w:val="28"/>
          <w:szCs w:val="28"/>
          <w:shd w:val="clear" w:color="auto" w:fill="FFFFFF"/>
        </w:rPr>
        <w:t xml:space="preserve">зить </w:t>
      </w:r>
      <w:r w:rsidR="0010107D" w:rsidRPr="0010107D">
        <w:rPr>
          <w:rFonts w:ascii="Times New Roman" w:eastAsia="Calibri" w:hAnsi="Times New Roman" w:cs="Times New Roman"/>
          <w:color w:val="000000"/>
          <w:sz w:val="28"/>
          <w:szCs w:val="28"/>
          <w:shd w:val="clear" w:color="auto" w:fill="FFFFFF"/>
        </w:rPr>
        <w:t>трудозатраты</w:t>
      </w:r>
      <w:r w:rsidR="00476693">
        <w:rPr>
          <w:rFonts w:ascii="Times New Roman" w:eastAsia="Calibri" w:hAnsi="Times New Roman" w:cs="Times New Roman"/>
          <w:color w:val="000000"/>
          <w:sz w:val="28"/>
          <w:szCs w:val="28"/>
          <w:shd w:val="clear" w:color="auto" w:fill="FFFFFF"/>
        </w:rPr>
        <w:t> </w:t>
      </w:r>
      <w:r w:rsidRPr="00EB0B54">
        <w:rPr>
          <w:rFonts w:ascii="Times New Roman" w:eastAsia="Calibri" w:hAnsi="Times New Roman" w:cs="Times New Roman"/>
          <w:sz w:val="28"/>
          <w:szCs w:val="28"/>
          <w:shd w:val="clear" w:color="auto" w:fill="FFFFFF"/>
        </w:rPr>
        <w:t>на оформление листков нетрудоспособности в медицинских организациях</w:t>
      </w:r>
      <w:r w:rsidR="00476693">
        <w:rPr>
          <w:rFonts w:ascii="Times New Roman" w:eastAsia="Calibri" w:hAnsi="Times New Roman" w:cs="Times New Roman"/>
          <w:color w:val="000000"/>
          <w:sz w:val="28"/>
          <w:szCs w:val="28"/>
          <w:shd w:val="clear" w:color="auto" w:fill="FFFFFF"/>
        </w:rPr>
        <w:t> </w:t>
      </w:r>
      <w:r w:rsidR="0010107D" w:rsidRPr="0010107D">
        <w:rPr>
          <w:rFonts w:ascii="Times New Roman" w:eastAsia="Calibri" w:hAnsi="Times New Roman" w:cs="Times New Roman"/>
          <w:color w:val="000000"/>
          <w:sz w:val="28"/>
          <w:szCs w:val="28"/>
          <w:shd w:val="clear" w:color="auto" w:fill="FFFFFF"/>
        </w:rPr>
        <w:t xml:space="preserve">и у страхователей. В свою очередь </w:t>
      </w:r>
      <w:r>
        <w:rPr>
          <w:rFonts w:ascii="Times New Roman" w:eastAsia="Calibri" w:hAnsi="Times New Roman" w:cs="Times New Roman"/>
          <w:color w:val="000000"/>
          <w:sz w:val="28"/>
          <w:szCs w:val="28"/>
          <w:shd w:val="clear" w:color="auto" w:fill="FFFFFF"/>
        </w:rPr>
        <w:t>страхователь</w:t>
      </w:r>
      <w:r w:rsidR="0010107D" w:rsidRPr="0010107D">
        <w:rPr>
          <w:rFonts w:ascii="Times New Roman" w:eastAsia="Calibri" w:hAnsi="Times New Roman" w:cs="Times New Roman"/>
          <w:color w:val="000000"/>
          <w:sz w:val="28"/>
          <w:szCs w:val="28"/>
          <w:shd w:val="clear" w:color="auto" w:fill="FFFFFF"/>
        </w:rPr>
        <w:t xml:space="preserve"> изба</w:t>
      </w:r>
      <w:r>
        <w:rPr>
          <w:rFonts w:ascii="Times New Roman" w:eastAsia="Calibri" w:hAnsi="Times New Roman" w:cs="Times New Roman"/>
          <w:color w:val="000000"/>
          <w:sz w:val="28"/>
          <w:szCs w:val="28"/>
          <w:shd w:val="clear" w:color="auto" w:fill="FFFFFF"/>
        </w:rPr>
        <w:t>влен</w:t>
      </w:r>
      <w:r w:rsidR="0010107D" w:rsidRPr="0010107D">
        <w:rPr>
          <w:rFonts w:ascii="Times New Roman" w:eastAsia="Calibri" w:hAnsi="Times New Roman" w:cs="Times New Roman"/>
          <w:color w:val="000000"/>
          <w:sz w:val="28"/>
          <w:szCs w:val="28"/>
          <w:shd w:val="clear" w:color="auto" w:fill="FFFFFF"/>
        </w:rPr>
        <w:t xml:space="preserve"> от необходимости проверять правильность оформления листка нетрудоспособности, вести учет и хранение бланков строгой отчетности. Участие застрахованного лица в процессе передачи сведений о страховом случае минимизи</w:t>
      </w:r>
      <w:r w:rsidR="00476693">
        <w:rPr>
          <w:rFonts w:ascii="Times New Roman" w:eastAsia="Calibri" w:hAnsi="Times New Roman" w:cs="Times New Roman"/>
          <w:color w:val="000000"/>
          <w:sz w:val="28"/>
          <w:szCs w:val="28"/>
          <w:shd w:val="clear" w:color="auto" w:fill="FFFFFF"/>
        </w:rPr>
        <w:t>ровано</w:t>
      </w:r>
      <w:r w:rsidR="0010107D" w:rsidRPr="0010107D">
        <w:rPr>
          <w:rFonts w:ascii="Times New Roman" w:eastAsia="Calibri" w:hAnsi="Times New Roman" w:cs="Times New Roman"/>
          <w:color w:val="000000"/>
          <w:sz w:val="28"/>
          <w:szCs w:val="28"/>
          <w:shd w:val="clear" w:color="auto" w:fill="FFFFFF"/>
        </w:rPr>
        <w:t>, исключ</w:t>
      </w:r>
      <w:r w:rsidR="00476693">
        <w:rPr>
          <w:rFonts w:ascii="Times New Roman" w:eastAsia="Calibri" w:hAnsi="Times New Roman" w:cs="Times New Roman"/>
          <w:color w:val="000000"/>
          <w:sz w:val="28"/>
          <w:szCs w:val="28"/>
          <w:shd w:val="clear" w:color="auto" w:fill="FFFFFF"/>
        </w:rPr>
        <w:t>ена</w:t>
      </w:r>
      <w:r w:rsidR="0010107D" w:rsidRPr="0010107D">
        <w:rPr>
          <w:rFonts w:ascii="Times New Roman" w:eastAsia="Calibri" w:hAnsi="Times New Roman" w:cs="Times New Roman"/>
          <w:color w:val="000000"/>
          <w:sz w:val="28"/>
          <w:szCs w:val="28"/>
          <w:shd w:val="clear" w:color="auto" w:fill="FFFFFF"/>
        </w:rPr>
        <w:t xml:space="preserve"> возможность потери листка нетрудоспособности.</w:t>
      </w:r>
    </w:p>
    <w:p w14:paraId="3BA093CC" w14:textId="77777777" w:rsidR="00273C8C" w:rsidRDefault="0010107D" w:rsidP="00273C8C">
      <w:pPr>
        <w:widowControl w:val="0"/>
        <w:spacing w:after="0" w:line="312" w:lineRule="auto"/>
        <w:ind w:firstLine="709"/>
        <w:jc w:val="both"/>
        <w:rPr>
          <w:rFonts w:ascii="Times New Roman" w:eastAsia="Calibri" w:hAnsi="Times New Roman" w:cs="Times New Roman"/>
          <w:color w:val="000000"/>
          <w:sz w:val="28"/>
          <w:szCs w:val="28"/>
          <w:shd w:val="clear" w:color="auto" w:fill="FFFFFF"/>
        </w:rPr>
      </w:pPr>
      <w:r w:rsidRPr="00273C8C">
        <w:rPr>
          <w:rFonts w:ascii="Times New Roman" w:eastAsia="Calibri" w:hAnsi="Times New Roman" w:cs="Times New Roman"/>
          <w:color w:val="000000"/>
          <w:sz w:val="28"/>
          <w:szCs w:val="28"/>
          <w:shd w:val="clear" w:color="auto" w:fill="FFFFFF"/>
        </w:rPr>
        <w:t xml:space="preserve">Мониторинг реализации технологии </w:t>
      </w:r>
      <w:r w:rsidR="00063580" w:rsidRPr="00273C8C">
        <w:rPr>
          <w:rFonts w:ascii="Times New Roman" w:eastAsia="Calibri" w:hAnsi="Times New Roman" w:cs="Times New Roman"/>
          <w:color w:val="000000"/>
          <w:sz w:val="28"/>
          <w:szCs w:val="28"/>
          <w:shd w:val="clear" w:color="auto" w:fill="FFFFFF"/>
        </w:rPr>
        <w:t xml:space="preserve">электронного </w:t>
      </w:r>
      <w:r w:rsidRPr="00273C8C">
        <w:rPr>
          <w:rFonts w:ascii="Times New Roman" w:eastAsia="Calibri" w:hAnsi="Times New Roman" w:cs="Times New Roman"/>
          <w:color w:val="000000"/>
          <w:sz w:val="28"/>
          <w:szCs w:val="28"/>
          <w:shd w:val="clear" w:color="auto" w:fill="FFFFFF"/>
        </w:rPr>
        <w:t>листка нетрудоспособности в 20</w:t>
      </w:r>
      <w:r w:rsidR="00273C8C" w:rsidRPr="00273C8C">
        <w:rPr>
          <w:rFonts w:ascii="Times New Roman" w:eastAsia="Calibri" w:hAnsi="Times New Roman" w:cs="Times New Roman"/>
          <w:color w:val="000000"/>
          <w:sz w:val="28"/>
          <w:szCs w:val="28"/>
          <w:shd w:val="clear" w:color="auto" w:fill="FFFFFF"/>
        </w:rPr>
        <w:t>2</w:t>
      </w:r>
      <w:r w:rsidR="00063580">
        <w:rPr>
          <w:rFonts w:ascii="Times New Roman" w:eastAsia="Calibri" w:hAnsi="Times New Roman" w:cs="Times New Roman"/>
          <w:color w:val="000000"/>
          <w:sz w:val="28"/>
          <w:szCs w:val="28"/>
          <w:shd w:val="clear" w:color="auto" w:fill="FFFFFF"/>
        </w:rPr>
        <w:t>1</w:t>
      </w:r>
      <w:r w:rsidRPr="00273C8C">
        <w:rPr>
          <w:rFonts w:ascii="Times New Roman" w:eastAsia="Calibri" w:hAnsi="Times New Roman" w:cs="Times New Roman"/>
          <w:color w:val="000000"/>
          <w:sz w:val="28"/>
          <w:szCs w:val="28"/>
          <w:shd w:val="clear" w:color="auto" w:fill="FFFFFF"/>
        </w:rPr>
        <w:t xml:space="preserve"> г</w:t>
      </w:r>
      <w:r w:rsidR="00443EEA">
        <w:rPr>
          <w:rFonts w:ascii="Times New Roman" w:eastAsia="Calibri" w:hAnsi="Times New Roman" w:cs="Times New Roman"/>
          <w:color w:val="000000"/>
          <w:sz w:val="28"/>
          <w:szCs w:val="28"/>
          <w:shd w:val="clear" w:color="auto" w:fill="FFFFFF"/>
        </w:rPr>
        <w:t>.</w:t>
      </w:r>
      <w:r w:rsidRPr="00273C8C">
        <w:rPr>
          <w:rFonts w:ascii="Times New Roman" w:eastAsia="Calibri" w:hAnsi="Times New Roman" w:cs="Times New Roman"/>
          <w:color w:val="000000"/>
          <w:sz w:val="28"/>
          <w:szCs w:val="28"/>
          <w:shd w:val="clear" w:color="auto" w:fill="FFFFFF"/>
        </w:rPr>
        <w:t xml:space="preserve"> показал прогрессивный рост участия страхователей и медицинских организаций в формировании </w:t>
      </w:r>
      <w:r w:rsidR="00063580" w:rsidRPr="00273C8C">
        <w:rPr>
          <w:rFonts w:ascii="Times New Roman" w:eastAsia="Calibri" w:hAnsi="Times New Roman" w:cs="Times New Roman"/>
          <w:color w:val="000000"/>
          <w:sz w:val="28"/>
          <w:szCs w:val="28"/>
          <w:shd w:val="clear" w:color="auto" w:fill="FFFFFF"/>
        </w:rPr>
        <w:t xml:space="preserve">электронного </w:t>
      </w:r>
      <w:r w:rsidR="00063580">
        <w:rPr>
          <w:rFonts w:ascii="Times New Roman" w:eastAsia="Calibri" w:hAnsi="Times New Roman" w:cs="Times New Roman"/>
          <w:color w:val="000000"/>
          <w:sz w:val="28"/>
          <w:szCs w:val="28"/>
          <w:shd w:val="clear" w:color="auto" w:fill="FFFFFF"/>
        </w:rPr>
        <w:t>листка нетрудоспособности</w:t>
      </w:r>
      <w:r w:rsidRPr="00273C8C">
        <w:rPr>
          <w:rFonts w:ascii="Times New Roman" w:eastAsia="Calibri" w:hAnsi="Times New Roman" w:cs="Times New Roman"/>
          <w:color w:val="000000"/>
          <w:sz w:val="28"/>
          <w:szCs w:val="28"/>
          <w:shd w:val="clear" w:color="auto" w:fill="FFFFFF"/>
        </w:rPr>
        <w:t>.</w:t>
      </w:r>
      <w:r w:rsidR="00063580">
        <w:rPr>
          <w:rFonts w:ascii="Times New Roman" w:eastAsia="Calibri" w:hAnsi="Times New Roman" w:cs="Times New Roman"/>
          <w:color w:val="000000"/>
          <w:sz w:val="28"/>
          <w:szCs w:val="28"/>
          <w:shd w:val="clear" w:color="auto" w:fill="FFFFFF"/>
        </w:rPr>
        <w:t xml:space="preserve"> К концу 2021 г</w:t>
      </w:r>
      <w:r w:rsidR="00443EEA">
        <w:rPr>
          <w:rFonts w:ascii="Times New Roman" w:eastAsia="Calibri" w:hAnsi="Times New Roman" w:cs="Times New Roman"/>
          <w:color w:val="000000"/>
          <w:sz w:val="28"/>
          <w:szCs w:val="28"/>
          <w:shd w:val="clear" w:color="auto" w:fill="FFFFFF"/>
        </w:rPr>
        <w:t>.</w:t>
      </w:r>
      <w:r w:rsidR="00063580">
        <w:rPr>
          <w:rFonts w:ascii="Times New Roman" w:eastAsia="Calibri" w:hAnsi="Times New Roman" w:cs="Times New Roman"/>
          <w:color w:val="000000"/>
          <w:sz w:val="28"/>
          <w:szCs w:val="28"/>
          <w:shd w:val="clear" w:color="auto" w:fill="FFFFFF"/>
        </w:rPr>
        <w:t xml:space="preserve"> охват медицинских организаций и страхователей приблизился к 100%.</w:t>
      </w:r>
    </w:p>
    <w:p w14:paraId="1A52D3B3" w14:textId="77777777" w:rsidR="00063580" w:rsidRDefault="00063580" w:rsidP="00273C8C">
      <w:pPr>
        <w:widowControl w:val="0"/>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соответствии с Федеральным законом от 29 декабря 2020 г. № 478-ФЗ </w:t>
      </w:r>
      <w:r>
        <w:rPr>
          <w:rFonts w:ascii="Times New Roman" w:eastAsia="Calibri" w:hAnsi="Times New Roman" w:cs="Times New Roman"/>
          <w:sz w:val="28"/>
          <w:szCs w:val="28"/>
        </w:rPr>
        <w:br/>
        <w:t xml:space="preserve">«О внесении изменений в отдельные законодательные акты </w:t>
      </w:r>
      <w:r w:rsidR="00265D38">
        <w:rPr>
          <w:rFonts w:ascii="Times New Roman" w:eastAsia="Calibri" w:hAnsi="Times New Roman" w:cs="Times New Roman"/>
          <w:sz w:val="28"/>
          <w:szCs w:val="28"/>
        </w:rPr>
        <w:t>Российской Федерации» с 1 января 2021 г</w:t>
      </w:r>
      <w:r w:rsidR="00E65A8F">
        <w:rPr>
          <w:rFonts w:ascii="Times New Roman" w:eastAsia="Calibri" w:hAnsi="Times New Roman" w:cs="Times New Roman"/>
          <w:sz w:val="28"/>
          <w:szCs w:val="28"/>
        </w:rPr>
        <w:t>.</w:t>
      </w:r>
      <w:r w:rsidR="00265D38">
        <w:rPr>
          <w:rFonts w:ascii="Times New Roman" w:eastAsia="Calibri" w:hAnsi="Times New Roman" w:cs="Times New Roman"/>
          <w:sz w:val="28"/>
          <w:szCs w:val="28"/>
        </w:rPr>
        <w:t xml:space="preserve"> на всей территории Российской Федерации осуществлен переход на «прямые выплаты» пособий по обязательному социальному страхованию. Пилотный проект «Прямые выплаты», длившийся на протяжении 10 лет </w:t>
      </w:r>
      <w:r w:rsidR="00F17CCF">
        <w:rPr>
          <w:rFonts w:ascii="Times New Roman" w:eastAsia="Calibri" w:hAnsi="Times New Roman" w:cs="Times New Roman"/>
          <w:sz w:val="28"/>
          <w:szCs w:val="28"/>
        </w:rPr>
        <w:br/>
      </w:r>
      <w:r w:rsidR="00265D38">
        <w:rPr>
          <w:rFonts w:ascii="Times New Roman" w:eastAsia="Calibri" w:hAnsi="Times New Roman" w:cs="Times New Roman"/>
          <w:sz w:val="28"/>
          <w:szCs w:val="28"/>
        </w:rPr>
        <w:t xml:space="preserve">(с 2011 г. по 2020 г. включительно) и предусматривающий постепенное распространение на территории Российской Федерации нового порядка назначения и выплаты страхового обеспечения по обязательному социальному страхованию </w:t>
      </w:r>
      <w:r w:rsidR="0037024E">
        <w:rPr>
          <w:rFonts w:ascii="Times New Roman" w:eastAsia="Calibri" w:hAnsi="Times New Roman" w:cs="Times New Roman"/>
          <w:sz w:val="28"/>
          <w:szCs w:val="28"/>
        </w:rPr>
        <w:t xml:space="preserve">застрахованным </w:t>
      </w:r>
      <w:r w:rsidR="00265D38">
        <w:rPr>
          <w:rFonts w:ascii="Times New Roman" w:eastAsia="Calibri" w:hAnsi="Times New Roman" w:cs="Times New Roman"/>
          <w:sz w:val="28"/>
          <w:szCs w:val="28"/>
        </w:rPr>
        <w:t>лицам непосредственно органами ФСС, завершился.</w:t>
      </w:r>
    </w:p>
    <w:p w14:paraId="769044A7" w14:textId="47DEF5A4" w:rsidR="00265D38" w:rsidRDefault="00265D38" w:rsidP="00273C8C">
      <w:pPr>
        <w:widowControl w:val="0"/>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2021 г</w:t>
      </w:r>
      <w:r w:rsidR="00443EEA">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DD3C75">
        <w:rPr>
          <w:rFonts w:ascii="Times New Roman" w:eastAsia="Calibri" w:hAnsi="Times New Roman" w:cs="Times New Roman"/>
          <w:sz w:val="28"/>
          <w:szCs w:val="28"/>
        </w:rPr>
        <w:t xml:space="preserve">стал </w:t>
      </w:r>
      <w:r>
        <w:rPr>
          <w:rFonts w:ascii="Times New Roman" w:eastAsia="Calibri" w:hAnsi="Times New Roman" w:cs="Times New Roman"/>
          <w:sz w:val="28"/>
          <w:szCs w:val="28"/>
        </w:rPr>
        <w:t xml:space="preserve">переходным периодом между окончанием пилотного проекта </w:t>
      </w:r>
      <w:r w:rsidR="009E13B1">
        <w:rPr>
          <w:rFonts w:ascii="Times New Roman" w:eastAsia="Calibri" w:hAnsi="Times New Roman" w:cs="Times New Roman"/>
          <w:sz w:val="28"/>
          <w:szCs w:val="28"/>
        </w:rPr>
        <w:t xml:space="preserve">«Прямые выплаты» </w:t>
      </w:r>
      <w:r>
        <w:rPr>
          <w:rFonts w:ascii="Times New Roman" w:eastAsia="Calibri" w:hAnsi="Times New Roman" w:cs="Times New Roman"/>
          <w:sz w:val="28"/>
          <w:szCs w:val="28"/>
        </w:rPr>
        <w:t>и внедрением технологии беззаявительного порядка назначения и выплаты пособий по обязательному социальному страхованию.</w:t>
      </w:r>
    </w:p>
    <w:p w14:paraId="17A6B794" w14:textId="77777777" w:rsidR="00265D38" w:rsidRDefault="00265D38" w:rsidP="00273C8C">
      <w:pPr>
        <w:widowControl w:val="0"/>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Принят Федеральный закон от 30 апреля 2021 г. № 126-ФЗ «О внесении изменений в отдельные законодательные акты Российской Федерации по вопросам обязательного социального страхования</w:t>
      </w:r>
      <w:r w:rsidR="00F140D7">
        <w:rPr>
          <w:rFonts w:ascii="Times New Roman" w:eastAsia="Calibri" w:hAnsi="Times New Roman" w:cs="Times New Roman"/>
          <w:sz w:val="28"/>
          <w:szCs w:val="28"/>
        </w:rPr>
        <w:t>»</w:t>
      </w:r>
      <w:r>
        <w:rPr>
          <w:rFonts w:ascii="Times New Roman" w:eastAsia="Calibri" w:hAnsi="Times New Roman" w:cs="Times New Roman"/>
          <w:sz w:val="28"/>
          <w:szCs w:val="28"/>
        </w:rPr>
        <w:t xml:space="preserve"> (далее – Федеральный закон от 30 апреля 2021 г. № 126-ФЗ), которым внесены изменения в Федеральный закон от 29 декабря 2006 г. № 255-ФЗ и закреплен механизм «прямых выплат</w:t>
      </w:r>
      <w:r w:rsidR="009E13B1">
        <w:rPr>
          <w:rFonts w:ascii="Times New Roman" w:eastAsia="Calibri" w:hAnsi="Times New Roman" w:cs="Times New Roman"/>
          <w:sz w:val="28"/>
          <w:szCs w:val="28"/>
        </w:rPr>
        <w:t>»</w:t>
      </w:r>
      <w:r>
        <w:rPr>
          <w:rFonts w:ascii="Times New Roman" w:eastAsia="Calibri" w:hAnsi="Times New Roman" w:cs="Times New Roman"/>
          <w:sz w:val="28"/>
          <w:szCs w:val="28"/>
        </w:rPr>
        <w:t xml:space="preserve"> страхового обеспечения по обязатель</w:t>
      </w:r>
      <w:r w:rsidR="00BB100A">
        <w:rPr>
          <w:rFonts w:ascii="Times New Roman" w:eastAsia="Calibri" w:hAnsi="Times New Roman" w:cs="Times New Roman"/>
          <w:sz w:val="28"/>
          <w:szCs w:val="28"/>
        </w:rPr>
        <w:t xml:space="preserve">ному социальному страхованию непосредственно страховщиком, а также технология назначения и выплаты страхового обеспечения, основанная на </w:t>
      </w:r>
      <w:proofErr w:type="spellStart"/>
      <w:r w:rsidR="00BB100A">
        <w:rPr>
          <w:rFonts w:ascii="Times New Roman" w:eastAsia="Calibri" w:hAnsi="Times New Roman" w:cs="Times New Roman"/>
          <w:sz w:val="28"/>
          <w:szCs w:val="28"/>
        </w:rPr>
        <w:t>проактивном</w:t>
      </w:r>
      <w:proofErr w:type="spellEnd"/>
      <w:r w:rsidR="00BB100A">
        <w:rPr>
          <w:rFonts w:ascii="Times New Roman" w:eastAsia="Calibri" w:hAnsi="Times New Roman" w:cs="Times New Roman"/>
          <w:sz w:val="28"/>
          <w:szCs w:val="28"/>
        </w:rPr>
        <w:t xml:space="preserve"> режиме взаимодействия с гражданами, максимальном использовании информационных ресурсов и электронном документообороте, что позволило в целом повысить эффективность механизма «прямых» выплат страхового обеспечения.</w:t>
      </w:r>
    </w:p>
    <w:p w14:paraId="71DD5472" w14:textId="6882F9E9" w:rsidR="00BB100A" w:rsidRDefault="00BB100A" w:rsidP="009E13B1">
      <w:pPr>
        <w:widowControl w:val="0"/>
        <w:spacing w:after="0" w:line="312" w:lineRule="auto"/>
        <w:ind w:firstLine="709"/>
        <w:jc w:val="both"/>
        <w:rPr>
          <w:rFonts w:ascii="Times New Roman" w:eastAsia="Calibri" w:hAnsi="Times New Roman" w:cs="Times New Roman"/>
          <w:sz w:val="28"/>
          <w:szCs w:val="28"/>
        </w:rPr>
      </w:pPr>
      <w:r w:rsidRPr="009828AD">
        <w:rPr>
          <w:rFonts w:ascii="Times New Roman" w:eastAsia="Calibri" w:hAnsi="Times New Roman" w:cs="Times New Roman"/>
          <w:sz w:val="28"/>
          <w:szCs w:val="28"/>
        </w:rPr>
        <w:t>С</w:t>
      </w:r>
      <w:r w:rsidR="005A656B" w:rsidRPr="009828AD">
        <w:rPr>
          <w:rFonts w:ascii="Times New Roman" w:eastAsia="Calibri" w:hAnsi="Times New Roman" w:cs="Times New Roman"/>
          <w:sz w:val="28"/>
          <w:szCs w:val="28"/>
        </w:rPr>
        <w:t xml:space="preserve"> учетом внесенных в 2021 г</w:t>
      </w:r>
      <w:r w:rsidR="00443EEA">
        <w:rPr>
          <w:rFonts w:ascii="Times New Roman" w:eastAsia="Calibri" w:hAnsi="Times New Roman" w:cs="Times New Roman"/>
          <w:sz w:val="28"/>
          <w:szCs w:val="28"/>
        </w:rPr>
        <w:t>.</w:t>
      </w:r>
      <w:r w:rsidR="005A656B" w:rsidRPr="009828AD">
        <w:rPr>
          <w:rFonts w:ascii="Times New Roman" w:eastAsia="Calibri" w:hAnsi="Times New Roman" w:cs="Times New Roman"/>
          <w:sz w:val="28"/>
          <w:szCs w:val="28"/>
        </w:rPr>
        <w:t xml:space="preserve"> изменений</w:t>
      </w:r>
      <w:r w:rsidR="005A656B">
        <w:rPr>
          <w:rFonts w:ascii="Times New Roman" w:eastAsia="Calibri" w:hAnsi="Times New Roman" w:cs="Times New Roman"/>
          <w:sz w:val="28"/>
          <w:szCs w:val="28"/>
        </w:rPr>
        <w:t xml:space="preserve"> с</w:t>
      </w:r>
      <w:r>
        <w:rPr>
          <w:rFonts w:ascii="Times New Roman" w:eastAsia="Calibri" w:hAnsi="Times New Roman" w:cs="Times New Roman"/>
          <w:sz w:val="28"/>
          <w:szCs w:val="28"/>
        </w:rPr>
        <w:t xml:space="preserve"> 1 января 2022 г</w:t>
      </w:r>
      <w:r w:rsidR="00E65A8F">
        <w:rPr>
          <w:rFonts w:ascii="Times New Roman" w:eastAsia="Calibri" w:hAnsi="Times New Roman" w:cs="Times New Roman"/>
          <w:sz w:val="28"/>
          <w:szCs w:val="28"/>
        </w:rPr>
        <w:t>.</w:t>
      </w:r>
      <w:r>
        <w:rPr>
          <w:rFonts w:ascii="Times New Roman" w:eastAsia="Calibri" w:hAnsi="Times New Roman" w:cs="Times New Roman"/>
          <w:sz w:val="28"/>
          <w:szCs w:val="28"/>
        </w:rPr>
        <w:t xml:space="preserve"> предусмотрено назначение пособия по беременности и родам в </w:t>
      </w:r>
      <w:proofErr w:type="spellStart"/>
      <w:r>
        <w:rPr>
          <w:rFonts w:ascii="Times New Roman" w:eastAsia="Calibri" w:hAnsi="Times New Roman" w:cs="Times New Roman"/>
          <w:sz w:val="28"/>
          <w:szCs w:val="28"/>
        </w:rPr>
        <w:t>проактивном</w:t>
      </w:r>
      <w:proofErr w:type="spellEnd"/>
      <w:r>
        <w:rPr>
          <w:rFonts w:ascii="Times New Roman" w:eastAsia="Calibri" w:hAnsi="Times New Roman" w:cs="Times New Roman"/>
          <w:sz w:val="28"/>
          <w:szCs w:val="28"/>
        </w:rPr>
        <w:t xml:space="preserve"> режиме (без подачи застрахованным лицом заявления) на основании электронного листка нетрудоспособности, формирование которого в форме электронного документа стал</w:t>
      </w:r>
      <w:r w:rsidR="009E13B1">
        <w:rPr>
          <w:rFonts w:ascii="Times New Roman" w:eastAsia="Calibri" w:hAnsi="Times New Roman" w:cs="Times New Roman"/>
          <w:sz w:val="28"/>
          <w:szCs w:val="28"/>
        </w:rPr>
        <w:t>о с указанной даты обязательным. Страхователи передают в информационную систему страховщика в составе сведений для формирования электронного листка нетрудоспособности сведения, необходимые для назначения и выплаты пособий по временной нетрудоспособности, по беременности и родам.</w:t>
      </w:r>
      <w:r>
        <w:rPr>
          <w:rFonts w:ascii="Times New Roman" w:eastAsia="Calibri" w:hAnsi="Times New Roman" w:cs="Times New Roman"/>
          <w:sz w:val="28"/>
          <w:szCs w:val="28"/>
        </w:rPr>
        <w:t xml:space="preserve"> Единовременное пособие при рождении ребенка с 1 января 2022 г</w:t>
      </w:r>
      <w:r w:rsidR="00BA7BF2">
        <w:rPr>
          <w:rFonts w:ascii="Times New Roman" w:eastAsia="Calibri" w:hAnsi="Times New Roman" w:cs="Times New Roman"/>
          <w:sz w:val="28"/>
          <w:szCs w:val="28"/>
        </w:rPr>
        <w:t>.</w:t>
      </w:r>
      <w:r>
        <w:rPr>
          <w:rFonts w:ascii="Times New Roman" w:eastAsia="Calibri" w:hAnsi="Times New Roman" w:cs="Times New Roman"/>
          <w:sz w:val="28"/>
          <w:szCs w:val="28"/>
        </w:rPr>
        <w:t xml:space="preserve"> также назначается </w:t>
      </w:r>
      <w:proofErr w:type="spellStart"/>
      <w:r>
        <w:rPr>
          <w:rFonts w:ascii="Times New Roman" w:eastAsia="Calibri" w:hAnsi="Times New Roman" w:cs="Times New Roman"/>
          <w:sz w:val="28"/>
          <w:szCs w:val="28"/>
        </w:rPr>
        <w:t>проактивно</w:t>
      </w:r>
      <w:proofErr w:type="spellEnd"/>
      <w:r>
        <w:rPr>
          <w:rFonts w:ascii="Times New Roman" w:eastAsia="Calibri" w:hAnsi="Times New Roman" w:cs="Times New Roman"/>
          <w:sz w:val="28"/>
          <w:szCs w:val="28"/>
        </w:rPr>
        <w:t xml:space="preserve"> на основании сведений</w:t>
      </w:r>
      <w:r w:rsidR="009E13B1">
        <w:rPr>
          <w:rFonts w:ascii="Times New Roman" w:eastAsia="Calibri" w:hAnsi="Times New Roman" w:cs="Times New Roman"/>
          <w:sz w:val="28"/>
          <w:szCs w:val="28"/>
        </w:rPr>
        <w:t xml:space="preserve"> о государственной регистрации рождения</w:t>
      </w:r>
      <w:r>
        <w:rPr>
          <w:rFonts w:ascii="Times New Roman" w:eastAsia="Calibri" w:hAnsi="Times New Roman" w:cs="Times New Roman"/>
          <w:sz w:val="28"/>
          <w:szCs w:val="28"/>
        </w:rPr>
        <w:t>, содержащихся в Едином государственном реестре записей актов гражданского состояния (ЕГР ЗАГС), поступающих страховщику. Другие необходимые для назначения и выплаты страхового обеспечения сведения запрашиваются страховщиком у ПФР, ФНС России и других государственных органов с использованием единой системы межведомственного электронного взаимодействия.</w:t>
      </w:r>
    </w:p>
    <w:p w14:paraId="52FD95A5" w14:textId="77777777" w:rsidR="00BB100A" w:rsidRDefault="00BB100A" w:rsidP="00273C8C">
      <w:pPr>
        <w:widowControl w:val="0"/>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Информационное взаимодействие страхователей и страховщика в электронном виде осуществляется с использованием системы электронного документооборота страховщика. При этом сведения, представляемые страхователем для назначения и выплаты страхового обеспечения, максимально минимизированы.</w:t>
      </w:r>
    </w:p>
    <w:p w14:paraId="6562BB13" w14:textId="77777777" w:rsidR="00BB71D2" w:rsidRPr="00BB71D2" w:rsidRDefault="0010107D" w:rsidP="0027579C">
      <w:pPr>
        <w:spacing w:after="0" w:line="312" w:lineRule="auto"/>
        <w:ind w:firstLine="709"/>
        <w:jc w:val="both"/>
        <w:rPr>
          <w:rFonts w:ascii="Times New Roman" w:hAnsi="Times New Roman" w:cs="Times New Roman"/>
          <w:sz w:val="28"/>
          <w:szCs w:val="28"/>
        </w:rPr>
      </w:pPr>
      <w:r w:rsidRPr="0010107D">
        <w:rPr>
          <w:rFonts w:ascii="Times New Roman" w:eastAsia="Times New Roman" w:hAnsi="Times New Roman" w:cs="Times New Roman"/>
          <w:sz w:val="28"/>
          <w:szCs w:val="28"/>
          <w:lang w:eastAsia="ru-RU"/>
        </w:rPr>
        <w:t>В дополнение к действующей системе государственных пособий в связи с рождением и воспитанием детей, установленной в соответствии с Федеральным законом от 19 мая 1995 г</w:t>
      </w:r>
      <w:r w:rsidR="00081376">
        <w:rPr>
          <w:rFonts w:ascii="Times New Roman" w:eastAsia="Times New Roman" w:hAnsi="Times New Roman" w:cs="Times New Roman"/>
          <w:sz w:val="28"/>
          <w:szCs w:val="28"/>
          <w:lang w:eastAsia="ru-RU"/>
        </w:rPr>
        <w:t xml:space="preserve">. № 81-ФЗ, Федеральным законом </w:t>
      </w:r>
      <w:r w:rsidRPr="0010107D">
        <w:rPr>
          <w:rFonts w:ascii="Times New Roman" w:eastAsia="Times New Roman" w:hAnsi="Times New Roman" w:cs="Times New Roman"/>
          <w:sz w:val="28"/>
          <w:szCs w:val="28"/>
          <w:lang w:eastAsia="ru-RU"/>
        </w:rPr>
        <w:t xml:space="preserve">от 28 декабря 2017 г. </w:t>
      </w:r>
      <w:r w:rsidR="00BB100A">
        <w:rPr>
          <w:rFonts w:ascii="Times New Roman" w:eastAsia="Times New Roman" w:hAnsi="Times New Roman" w:cs="Times New Roman"/>
          <w:sz w:val="28"/>
          <w:szCs w:val="28"/>
          <w:lang w:eastAsia="ru-RU"/>
        </w:rPr>
        <w:br/>
      </w:r>
      <w:r w:rsidRPr="0010107D">
        <w:rPr>
          <w:rFonts w:ascii="Times New Roman" w:eastAsia="Times New Roman" w:hAnsi="Times New Roman" w:cs="Times New Roman"/>
          <w:sz w:val="28"/>
          <w:szCs w:val="28"/>
          <w:lang w:eastAsia="ru-RU"/>
        </w:rPr>
        <w:t>№ 418-ФЗ «О ежемесячных выплатах семьям, имеющим детей» предусмотрены дополнительные демографические меры в виде ежемесячных выплат в связи с рождением (усыновлением) с 1 января 2018 г</w:t>
      </w:r>
      <w:r w:rsidR="00F6671A">
        <w:rPr>
          <w:rFonts w:ascii="Times New Roman" w:eastAsia="Times New Roman" w:hAnsi="Times New Roman" w:cs="Times New Roman"/>
          <w:sz w:val="28"/>
          <w:szCs w:val="28"/>
          <w:lang w:eastAsia="ru-RU"/>
        </w:rPr>
        <w:t>.</w:t>
      </w:r>
      <w:r w:rsidRPr="0010107D">
        <w:rPr>
          <w:rFonts w:ascii="Times New Roman" w:eastAsia="Times New Roman" w:hAnsi="Times New Roman" w:cs="Times New Roman"/>
          <w:sz w:val="28"/>
          <w:szCs w:val="28"/>
          <w:lang w:eastAsia="ru-RU"/>
        </w:rPr>
        <w:t xml:space="preserve"> первого ребенка, а также второго ребенка за счет средств мат</w:t>
      </w:r>
      <w:r w:rsidR="0027579C">
        <w:rPr>
          <w:rFonts w:ascii="Times New Roman" w:eastAsia="Times New Roman" w:hAnsi="Times New Roman" w:cs="Times New Roman"/>
          <w:sz w:val="28"/>
          <w:szCs w:val="28"/>
          <w:lang w:eastAsia="ru-RU"/>
        </w:rPr>
        <w:t>еринского (семейного) капитала.</w:t>
      </w:r>
    </w:p>
    <w:p w14:paraId="17AFA378" w14:textId="77777777" w:rsidR="0010107D" w:rsidRPr="000B5896"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0B5896">
        <w:rPr>
          <w:rFonts w:ascii="Times New Roman" w:eastAsia="Times New Roman" w:hAnsi="Times New Roman" w:cs="Times New Roman"/>
          <w:sz w:val="28"/>
          <w:szCs w:val="28"/>
          <w:lang w:eastAsia="ru-RU"/>
        </w:rPr>
        <w:t>Ежемесячная выплата в связи с рождением (усыновлением) первого ребенка в 20</w:t>
      </w:r>
      <w:r w:rsidR="00F208B4" w:rsidRPr="000B5896">
        <w:rPr>
          <w:rFonts w:ascii="Times New Roman" w:eastAsia="Times New Roman" w:hAnsi="Times New Roman" w:cs="Times New Roman"/>
          <w:sz w:val="28"/>
          <w:szCs w:val="28"/>
          <w:lang w:eastAsia="ru-RU"/>
        </w:rPr>
        <w:t>2</w:t>
      </w:r>
      <w:r w:rsidR="0079077A">
        <w:rPr>
          <w:rFonts w:ascii="Times New Roman" w:eastAsia="Times New Roman" w:hAnsi="Times New Roman" w:cs="Times New Roman"/>
          <w:sz w:val="28"/>
          <w:szCs w:val="28"/>
          <w:lang w:eastAsia="ru-RU"/>
        </w:rPr>
        <w:t>1</w:t>
      </w:r>
      <w:r w:rsidR="007F5DDC" w:rsidRPr="000B5896">
        <w:rPr>
          <w:rFonts w:ascii="Times New Roman" w:eastAsia="Times New Roman" w:hAnsi="Times New Roman" w:cs="Times New Roman"/>
          <w:sz w:val="28"/>
          <w:szCs w:val="28"/>
          <w:lang w:eastAsia="ru-RU"/>
        </w:rPr>
        <w:t> </w:t>
      </w:r>
      <w:r w:rsidR="00F208B4" w:rsidRPr="000B5896">
        <w:rPr>
          <w:rFonts w:ascii="Times New Roman" w:eastAsia="Times New Roman" w:hAnsi="Times New Roman" w:cs="Times New Roman"/>
          <w:sz w:val="28"/>
          <w:szCs w:val="28"/>
          <w:lang w:eastAsia="ru-RU"/>
        </w:rPr>
        <w:t>г</w:t>
      </w:r>
      <w:r w:rsidR="00443EEA">
        <w:rPr>
          <w:rFonts w:ascii="Times New Roman" w:eastAsia="Times New Roman" w:hAnsi="Times New Roman" w:cs="Times New Roman"/>
          <w:sz w:val="28"/>
          <w:szCs w:val="28"/>
          <w:lang w:eastAsia="ru-RU"/>
        </w:rPr>
        <w:t>.</w:t>
      </w:r>
      <w:r w:rsidR="00F208B4" w:rsidRPr="000B5896">
        <w:rPr>
          <w:rFonts w:ascii="Times New Roman" w:eastAsia="Times New Roman" w:hAnsi="Times New Roman" w:cs="Times New Roman"/>
          <w:sz w:val="28"/>
          <w:szCs w:val="28"/>
          <w:lang w:eastAsia="ru-RU"/>
        </w:rPr>
        <w:t xml:space="preserve"> осуществлена </w:t>
      </w:r>
      <w:r w:rsidR="000B5896" w:rsidRPr="000B5896">
        <w:rPr>
          <w:rFonts w:ascii="Times New Roman" w:eastAsia="Times New Roman" w:hAnsi="Times New Roman" w:cs="Times New Roman"/>
          <w:sz w:val="28"/>
          <w:szCs w:val="28"/>
          <w:lang w:eastAsia="ru-RU"/>
        </w:rPr>
        <w:t>1,4</w:t>
      </w:r>
      <w:r w:rsidR="00F208B4" w:rsidRPr="000B5896">
        <w:rPr>
          <w:rFonts w:ascii="Times New Roman" w:eastAsia="Times New Roman" w:hAnsi="Times New Roman" w:cs="Times New Roman"/>
          <w:sz w:val="28"/>
          <w:szCs w:val="28"/>
          <w:lang w:eastAsia="ru-RU"/>
        </w:rPr>
        <w:t xml:space="preserve"> </w:t>
      </w:r>
      <w:r w:rsidR="000B5896" w:rsidRPr="000B5896">
        <w:rPr>
          <w:rFonts w:ascii="Times New Roman" w:eastAsia="Times New Roman" w:hAnsi="Times New Roman" w:cs="Times New Roman"/>
          <w:sz w:val="28"/>
          <w:szCs w:val="28"/>
          <w:lang w:eastAsia="ru-RU"/>
        </w:rPr>
        <w:t>млн</w:t>
      </w:r>
      <w:r w:rsidR="00F208B4" w:rsidRPr="000B5896">
        <w:rPr>
          <w:rFonts w:ascii="Times New Roman" w:eastAsia="Times New Roman" w:hAnsi="Times New Roman" w:cs="Times New Roman"/>
          <w:sz w:val="28"/>
          <w:szCs w:val="28"/>
          <w:lang w:eastAsia="ru-RU"/>
        </w:rPr>
        <w:t xml:space="preserve"> семей</w:t>
      </w:r>
      <w:r w:rsidRPr="000B5896">
        <w:rPr>
          <w:rFonts w:ascii="Times New Roman" w:eastAsia="Times New Roman" w:hAnsi="Times New Roman" w:cs="Times New Roman"/>
          <w:sz w:val="28"/>
          <w:szCs w:val="28"/>
          <w:lang w:eastAsia="ru-RU"/>
        </w:rPr>
        <w:t xml:space="preserve">, </w:t>
      </w:r>
      <w:r w:rsidR="00F208B4" w:rsidRPr="000B5896">
        <w:rPr>
          <w:rFonts w:ascii="Times New Roman" w:eastAsia="Times New Roman" w:hAnsi="Times New Roman" w:cs="Times New Roman"/>
          <w:sz w:val="28"/>
          <w:szCs w:val="28"/>
          <w:lang w:eastAsia="ru-RU"/>
        </w:rPr>
        <w:t xml:space="preserve">в связи с рождением (усыновлением) второго ребенка </w:t>
      </w:r>
      <w:r w:rsidR="000B5896" w:rsidRPr="000B5896">
        <w:rPr>
          <w:rFonts w:ascii="Times New Roman" w:eastAsia="Times New Roman" w:hAnsi="Times New Roman" w:cs="Times New Roman"/>
          <w:sz w:val="28"/>
          <w:szCs w:val="28"/>
          <w:lang w:eastAsia="ru-RU"/>
        </w:rPr>
        <w:t>– 316,7 тыс. семей</w:t>
      </w:r>
      <w:r w:rsidRPr="000B5896">
        <w:rPr>
          <w:rFonts w:ascii="Times New Roman" w:eastAsia="Times New Roman" w:hAnsi="Times New Roman" w:cs="Times New Roman"/>
          <w:sz w:val="28"/>
          <w:szCs w:val="28"/>
          <w:lang w:eastAsia="ru-RU"/>
        </w:rPr>
        <w:t xml:space="preserve">. Объем средств, израсходованный на предоставление ежемесячной выплаты в связи с рождением первого ребенка, составил </w:t>
      </w:r>
      <w:r w:rsidR="000B5896">
        <w:rPr>
          <w:rFonts w:ascii="Times New Roman" w:eastAsia="Times New Roman" w:hAnsi="Times New Roman" w:cs="Times New Roman"/>
          <w:sz w:val="28"/>
          <w:szCs w:val="28"/>
          <w:lang w:eastAsia="ru-RU"/>
        </w:rPr>
        <w:t>141,4 млрд</w:t>
      </w:r>
      <w:r w:rsidRPr="000B5896">
        <w:rPr>
          <w:rFonts w:ascii="Times New Roman" w:eastAsia="Times New Roman" w:hAnsi="Times New Roman" w:cs="Times New Roman"/>
          <w:sz w:val="28"/>
          <w:szCs w:val="28"/>
          <w:lang w:eastAsia="ru-RU"/>
        </w:rPr>
        <w:t xml:space="preserve"> рублей</w:t>
      </w:r>
      <w:r w:rsidR="000B5896">
        <w:rPr>
          <w:rFonts w:ascii="Times New Roman" w:eastAsia="Times New Roman" w:hAnsi="Times New Roman" w:cs="Times New Roman"/>
          <w:sz w:val="28"/>
          <w:szCs w:val="28"/>
          <w:lang w:eastAsia="ru-RU"/>
        </w:rPr>
        <w:t xml:space="preserve"> (2020 г. – 115,7 млрд рублей)</w:t>
      </w:r>
      <w:r w:rsidRPr="000B5896">
        <w:rPr>
          <w:rFonts w:ascii="Times New Roman" w:eastAsia="Times New Roman" w:hAnsi="Times New Roman" w:cs="Times New Roman"/>
          <w:sz w:val="28"/>
          <w:szCs w:val="28"/>
          <w:lang w:eastAsia="ru-RU"/>
        </w:rPr>
        <w:t>, в связи</w:t>
      </w:r>
      <w:r w:rsidR="000B5896" w:rsidRPr="000B5896">
        <w:rPr>
          <w:rFonts w:ascii="Times New Roman" w:eastAsia="Times New Roman" w:hAnsi="Times New Roman" w:cs="Times New Roman"/>
          <w:sz w:val="28"/>
          <w:szCs w:val="28"/>
          <w:lang w:eastAsia="ru-RU"/>
        </w:rPr>
        <w:t xml:space="preserve"> с рождением второго ребенка – 22</w:t>
      </w:r>
      <w:r w:rsidRPr="000B5896">
        <w:rPr>
          <w:rFonts w:ascii="Times New Roman" w:eastAsia="Times New Roman" w:hAnsi="Times New Roman" w:cs="Times New Roman"/>
          <w:sz w:val="28"/>
          <w:szCs w:val="28"/>
          <w:lang w:eastAsia="ru-RU"/>
        </w:rPr>
        <w:t>,</w:t>
      </w:r>
      <w:r w:rsidR="000B5896" w:rsidRPr="000B5896">
        <w:rPr>
          <w:rFonts w:ascii="Times New Roman" w:eastAsia="Times New Roman" w:hAnsi="Times New Roman" w:cs="Times New Roman"/>
          <w:sz w:val="28"/>
          <w:szCs w:val="28"/>
          <w:lang w:eastAsia="ru-RU"/>
        </w:rPr>
        <w:t>6</w:t>
      </w:r>
      <w:r w:rsidR="00BA26A5" w:rsidRPr="000B5896">
        <w:rPr>
          <w:rFonts w:ascii="Times New Roman" w:eastAsia="Times New Roman" w:hAnsi="Times New Roman" w:cs="Times New Roman"/>
          <w:sz w:val="28"/>
          <w:szCs w:val="28"/>
          <w:lang w:eastAsia="ru-RU"/>
        </w:rPr>
        <w:t xml:space="preserve"> млрд</w:t>
      </w:r>
      <w:r w:rsidRPr="000B5896">
        <w:rPr>
          <w:rFonts w:ascii="Times New Roman" w:eastAsia="Times New Roman" w:hAnsi="Times New Roman" w:cs="Times New Roman"/>
          <w:sz w:val="28"/>
          <w:szCs w:val="28"/>
          <w:lang w:eastAsia="ru-RU"/>
        </w:rPr>
        <w:t xml:space="preserve"> рублей</w:t>
      </w:r>
      <w:r w:rsidR="000B5896">
        <w:rPr>
          <w:rFonts w:ascii="Times New Roman" w:eastAsia="Times New Roman" w:hAnsi="Times New Roman" w:cs="Times New Roman"/>
          <w:sz w:val="28"/>
          <w:szCs w:val="28"/>
          <w:lang w:eastAsia="ru-RU"/>
        </w:rPr>
        <w:t xml:space="preserve"> (2020 г. – 16,8 млрд рублей)</w:t>
      </w:r>
      <w:r w:rsidRPr="000B5896">
        <w:rPr>
          <w:rFonts w:ascii="Times New Roman" w:eastAsia="Times New Roman" w:hAnsi="Times New Roman" w:cs="Times New Roman"/>
          <w:sz w:val="28"/>
          <w:szCs w:val="28"/>
          <w:lang w:eastAsia="ru-RU"/>
        </w:rPr>
        <w:t>.</w:t>
      </w:r>
    </w:p>
    <w:p w14:paraId="481EE4B8" w14:textId="77777777" w:rsidR="00BB71D2" w:rsidRPr="003E22BD" w:rsidRDefault="003E22BD" w:rsidP="00BB71D2">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Продолжено осуществление </w:t>
      </w:r>
      <w:r w:rsidRPr="003E22BD">
        <w:rPr>
          <w:rFonts w:ascii="Times New Roman" w:hAnsi="Times New Roman" w:cs="Times New Roman"/>
          <w:sz w:val="28"/>
          <w:szCs w:val="28"/>
        </w:rPr>
        <w:t xml:space="preserve">ежемесячной выплаты на ребенка в возрасте </w:t>
      </w:r>
      <w:r w:rsidR="004F574A">
        <w:rPr>
          <w:rFonts w:ascii="Times New Roman" w:hAnsi="Times New Roman" w:cs="Times New Roman"/>
          <w:sz w:val="28"/>
          <w:szCs w:val="28"/>
        </w:rPr>
        <w:br/>
      </w:r>
      <w:r w:rsidRPr="003E22BD">
        <w:rPr>
          <w:rFonts w:ascii="Times New Roman" w:hAnsi="Times New Roman" w:cs="Times New Roman"/>
          <w:sz w:val="28"/>
          <w:szCs w:val="28"/>
        </w:rPr>
        <w:t>от 3 до 7 лет включительно для семей со среднедушевым доходом ниже величины регионального прожиточного минимума</w:t>
      </w:r>
      <w:r>
        <w:rPr>
          <w:rFonts w:ascii="Times New Roman" w:hAnsi="Times New Roman" w:cs="Times New Roman"/>
          <w:sz w:val="28"/>
          <w:szCs w:val="28"/>
        </w:rPr>
        <w:t>, установленной</w:t>
      </w:r>
      <w:r w:rsidRPr="003E22BD">
        <w:rPr>
          <w:rFonts w:ascii="Times New Roman" w:hAnsi="Times New Roman" w:cs="Times New Roman"/>
          <w:sz w:val="28"/>
          <w:szCs w:val="28"/>
        </w:rPr>
        <w:t xml:space="preserve"> </w:t>
      </w:r>
      <w:r w:rsidR="00BB71D2" w:rsidRPr="003E22BD">
        <w:rPr>
          <w:rFonts w:ascii="Times New Roman" w:hAnsi="Times New Roman" w:cs="Times New Roman"/>
          <w:sz w:val="28"/>
          <w:szCs w:val="28"/>
        </w:rPr>
        <w:t>Указом Президента Российской Федерации от 20 марта 2020 г. № 199 «О дополнительных мерах государственной поддержки семей, имеющих детей».</w:t>
      </w:r>
    </w:p>
    <w:p w14:paraId="64395489" w14:textId="77777777" w:rsidR="004F574A" w:rsidRDefault="004F574A" w:rsidP="004F574A">
      <w:pPr>
        <w:pStyle w:val="Style40"/>
        <w:shd w:val="clear" w:color="auto" w:fill="auto"/>
        <w:spacing w:line="312" w:lineRule="auto"/>
        <w:ind w:firstLine="709"/>
        <w:jc w:val="both"/>
        <w:rPr>
          <w:rStyle w:val="CharStyle10"/>
          <w:rFonts w:ascii="Times New Roman" w:hAnsi="Times New Roman"/>
          <w:color w:val="000000"/>
          <w:sz w:val="28"/>
          <w:szCs w:val="28"/>
          <w:u w:val="none"/>
        </w:rPr>
      </w:pPr>
      <w:r w:rsidRPr="003E22BD">
        <w:rPr>
          <w:rStyle w:val="CharStyle10"/>
          <w:rFonts w:ascii="Times New Roman" w:hAnsi="Times New Roman"/>
          <w:color w:val="000000"/>
          <w:sz w:val="28"/>
          <w:szCs w:val="28"/>
          <w:u w:val="none"/>
        </w:rPr>
        <w:t>В 2021 г</w:t>
      </w:r>
      <w:r w:rsidR="00443EEA">
        <w:rPr>
          <w:rStyle w:val="CharStyle10"/>
          <w:rFonts w:ascii="Times New Roman" w:hAnsi="Times New Roman"/>
          <w:color w:val="000000"/>
          <w:sz w:val="28"/>
          <w:szCs w:val="28"/>
          <w:u w:val="none"/>
        </w:rPr>
        <w:t>.</w:t>
      </w:r>
      <w:r w:rsidRPr="003E22BD">
        <w:rPr>
          <w:rStyle w:val="CharStyle10"/>
          <w:rFonts w:ascii="Times New Roman" w:hAnsi="Times New Roman"/>
          <w:color w:val="000000"/>
          <w:sz w:val="28"/>
          <w:szCs w:val="28"/>
          <w:u w:val="none"/>
        </w:rPr>
        <w:t xml:space="preserve"> ежемесячная денежная выплата осуществлена на 5,2 млн детей (нарастающим итогом). На выплату ежемесячной денежной выплаты из федерального бюджета направлено 309 013,4 млн рублей (2020 г. – 213 666,7 млн рублей).</w:t>
      </w:r>
    </w:p>
    <w:p w14:paraId="066D08FB" w14:textId="77777777" w:rsidR="003E22BD" w:rsidRPr="00215606" w:rsidRDefault="003E22BD" w:rsidP="003E22BD">
      <w:pPr>
        <w:spacing w:after="0" w:line="312" w:lineRule="auto"/>
        <w:ind w:firstLine="709"/>
        <w:jc w:val="both"/>
        <w:rPr>
          <w:rFonts w:ascii="Times New Roman" w:hAnsi="Times New Roman" w:cs="Times New Roman"/>
          <w:sz w:val="28"/>
          <w:szCs w:val="28"/>
        </w:rPr>
      </w:pPr>
      <w:r w:rsidRPr="00215606">
        <w:rPr>
          <w:rFonts w:ascii="Times New Roman" w:hAnsi="Times New Roman" w:cs="Times New Roman"/>
          <w:sz w:val="28"/>
          <w:szCs w:val="28"/>
        </w:rPr>
        <w:t>В целях увеличения с 1 января 2021 г</w:t>
      </w:r>
      <w:r w:rsidR="00F6671A">
        <w:rPr>
          <w:rFonts w:ascii="Times New Roman" w:hAnsi="Times New Roman" w:cs="Times New Roman"/>
          <w:sz w:val="28"/>
          <w:szCs w:val="28"/>
        </w:rPr>
        <w:t>.</w:t>
      </w:r>
      <w:r w:rsidRPr="00215606">
        <w:rPr>
          <w:rFonts w:ascii="Times New Roman" w:hAnsi="Times New Roman" w:cs="Times New Roman"/>
          <w:sz w:val="28"/>
          <w:szCs w:val="28"/>
        </w:rPr>
        <w:t xml:space="preserve"> размера ежемесячной выплаты семьям, среднедушевой доход которых после ее получения не достиг величины прожиточного минимума на душу населения, установленной в субъекте Российской Федерации, подписан Указ Президента Российской Федерации от</w:t>
      </w:r>
      <w:r>
        <w:rPr>
          <w:rFonts w:ascii="Times New Roman" w:hAnsi="Times New Roman" w:cs="Times New Roman"/>
          <w:sz w:val="28"/>
          <w:szCs w:val="28"/>
        </w:rPr>
        <w:t xml:space="preserve"> 10</w:t>
      </w:r>
      <w:r w:rsidRPr="00215606">
        <w:rPr>
          <w:rFonts w:ascii="Times New Roman" w:hAnsi="Times New Roman" w:cs="Times New Roman"/>
          <w:sz w:val="28"/>
          <w:szCs w:val="28"/>
        </w:rPr>
        <w:t> марта 2021 г.</w:t>
      </w:r>
      <w:r>
        <w:rPr>
          <w:rFonts w:ascii="Times New Roman" w:hAnsi="Times New Roman" w:cs="Times New Roman"/>
          <w:sz w:val="28"/>
          <w:szCs w:val="28"/>
        </w:rPr>
        <w:t xml:space="preserve"> </w:t>
      </w:r>
      <w:r w:rsidRPr="00215606">
        <w:rPr>
          <w:rFonts w:ascii="Times New Roman" w:hAnsi="Times New Roman" w:cs="Times New Roman"/>
          <w:sz w:val="28"/>
          <w:szCs w:val="28"/>
        </w:rPr>
        <w:t>№ 140 «О внесении изменений в Указ През</w:t>
      </w:r>
      <w:r>
        <w:rPr>
          <w:rFonts w:ascii="Times New Roman" w:hAnsi="Times New Roman" w:cs="Times New Roman"/>
          <w:sz w:val="28"/>
          <w:szCs w:val="28"/>
        </w:rPr>
        <w:t xml:space="preserve">идента Российской Федерации </w:t>
      </w:r>
      <w:r>
        <w:rPr>
          <w:rFonts w:ascii="Times New Roman" w:hAnsi="Times New Roman" w:cs="Times New Roman"/>
          <w:sz w:val="28"/>
          <w:szCs w:val="28"/>
        </w:rPr>
        <w:br/>
        <w:t xml:space="preserve">от </w:t>
      </w:r>
      <w:r w:rsidRPr="00215606">
        <w:rPr>
          <w:rFonts w:ascii="Times New Roman" w:hAnsi="Times New Roman" w:cs="Times New Roman"/>
          <w:sz w:val="28"/>
          <w:szCs w:val="28"/>
        </w:rPr>
        <w:t xml:space="preserve">20 марта 2020 г. № 199 «О дополнительных мерах поддержки семей, имеющих детей» (далее – Указ </w:t>
      </w:r>
      <w:r>
        <w:rPr>
          <w:rFonts w:ascii="Times New Roman" w:hAnsi="Times New Roman" w:cs="Times New Roman"/>
          <w:sz w:val="28"/>
          <w:szCs w:val="28"/>
        </w:rPr>
        <w:t xml:space="preserve">Президента Российской Федерации от 10 марта 2021 г. </w:t>
      </w:r>
      <w:r w:rsidRPr="00215606">
        <w:rPr>
          <w:rFonts w:ascii="Times New Roman" w:hAnsi="Times New Roman" w:cs="Times New Roman"/>
          <w:sz w:val="28"/>
          <w:szCs w:val="28"/>
        </w:rPr>
        <w:t>№ 140)</w:t>
      </w:r>
      <w:r>
        <w:rPr>
          <w:rFonts w:ascii="Times New Roman" w:hAnsi="Times New Roman" w:cs="Times New Roman"/>
          <w:sz w:val="28"/>
          <w:szCs w:val="28"/>
        </w:rPr>
        <w:t>.</w:t>
      </w:r>
    </w:p>
    <w:p w14:paraId="1FFE264E" w14:textId="77777777" w:rsidR="003E22BD" w:rsidRPr="003E22BD" w:rsidRDefault="003E22BD" w:rsidP="003E22BD">
      <w:pPr>
        <w:spacing w:after="0" w:line="312" w:lineRule="auto"/>
        <w:ind w:firstLine="709"/>
        <w:jc w:val="both"/>
        <w:rPr>
          <w:rFonts w:ascii="Times New Roman" w:hAnsi="Times New Roman" w:cs="Times New Roman"/>
          <w:sz w:val="28"/>
          <w:szCs w:val="28"/>
        </w:rPr>
      </w:pPr>
      <w:r w:rsidRPr="003E22BD">
        <w:rPr>
          <w:rFonts w:ascii="Times New Roman" w:hAnsi="Times New Roman" w:cs="Times New Roman"/>
          <w:sz w:val="28"/>
          <w:szCs w:val="28"/>
        </w:rPr>
        <w:t xml:space="preserve">В соответствии с Указом </w:t>
      </w:r>
      <w:r>
        <w:rPr>
          <w:rFonts w:ascii="Times New Roman" w:hAnsi="Times New Roman" w:cs="Times New Roman"/>
          <w:sz w:val="28"/>
          <w:szCs w:val="28"/>
        </w:rPr>
        <w:t xml:space="preserve">Президента Российской Федерации от 10 марта </w:t>
      </w:r>
      <w:r>
        <w:rPr>
          <w:rFonts w:ascii="Times New Roman" w:hAnsi="Times New Roman" w:cs="Times New Roman"/>
          <w:sz w:val="28"/>
          <w:szCs w:val="28"/>
        </w:rPr>
        <w:br/>
        <w:t xml:space="preserve">2021 г. </w:t>
      </w:r>
      <w:r w:rsidRPr="003E22BD">
        <w:rPr>
          <w:rFonts w:ascii="Times New Roman" w:hAnsi="Times New Roman" w:cs="Times New Roman"/>
          <w:sz w:val="28"/>
          <w:szCs w:val="28"/>
        </w:rPr>
        <w:t>№ 140 с 1 января 2021 г. размер ежемесячной выплаты может быть назначен в размере:</w:t>
      </w:r>
    </w:p>
    <w:p w14:paraId="74103CC0" w14:textId="77777777" w:rsidR="003E22BD" w:rsidRPr="003E22BD" w:rsidRDefault="003E22BD" w:rsidP="003E22BD">
      <w:pPr>
        <w:spacing w:after="0" w:line="312" w:lineRule="auto"/>
        <w:ind w:firstLine="709"/>
        <w:jc w:val="both"/>
        <w:rPr>
          <w:rFonts w:ascii="Times New Roman" w:hAnsi="Times New Roman" w:cs="Times New Roman"/>
          <w:sz w:val="28"/>
          <w:szCs w:val="28"/>
        </w:rPr>
      </w:pPr>
      <w:r w:rsidRPr="003E22BD">
        <w:rPr>
          <w:rFonts w:ascii="Times New Roman" w:hAnsi="Times New Roman" w:cs="Times New Roman"/>
          <w:sz w:val="28"/>
          <w:szCs w:val="28"/>
        </w:rPr>
        <w:t>50% от регионального прожиточного минимума для детей, в случае если размер среднедушевого дохода семьи не превышает региональный прожиточный минимум на душу населения;</w:t>
      </w:r>
    </w:p>
    <w:p w14:paraId="2DF7775B" w14:textId="77777777" w:rsidR="003E22BD" w:rsidRPr="003E22BD" w:rsidRDefault="003E22BD" w:rsidP="003E22BD">
      <w:pPr>
        <w:spacing w:after="0" w:line="312" w:lineRule="auto"/>
        <w:ind w:firstLine="709"/>
        <w:jc w:val="both"/>
        <w:rPr>
          <w:rFonts w:ascii="Times New Roman" w:hAnsi="Times New Roman" w:cs="Times New Roman"/>
          <w:sz w:val="28"/>
          <w:szCs w:val="28"/>
        </w:rPr>
      </w:pPr>
      <w:r w:rsidRPr="003E22BD">
        <w:rPr>
          <w:rFonts w:ascii="Times New Roman" w:hAnsi="Times New Roman" w:cs="Times New Roman"/>
          <w:sz w:val="28"/>
          <w:szCs w:val="28"/>
        </w:rPr>
        <w:t>75% от регионального прожиточного минимума для детей, в случае если размер среднедушевого дохода семьи, рассчитанны</w:t>
      </w:r>
      <w:r>
        <w:rPr>
          <w:rFonts w:ascii="Times New Roman" w:hAnsi="Times New Roman" w:cs="Times New Roman"/>
          <w:sz w:val="28"/>
          <w:szCs w:val="28"/>
        </w:rPr>
        <w:t>й с учетом выплаты в размере 50</w:t>
      </w:r>
      <w:r w:rsidRPr="003E22BD">
        <w:rPr>
          <w:rFonts w:ascii="Times New Roman" w:hAnsi="Times New Roman" w:cs="Times New Roman"/>
          <w:sz w:val="28"/>
          <w:szCs w:val="28"/>
        </w:rPr>
        <w:t>% не превышает региональный прожиточный минимум на душу населения;</w:t>
      </w:r>
    </w:p>
    <w:p w14:paraId="09AA9D3A" w14:textId="77777777" w:rsidR="003E22BD" w:rsidRPr="00215606" w:rsidRDefault="003E22BD" w:rsidP="003E22BD">
      <w:pPr>
        <w:spacing w:after="0" w:line="312" w:lineRule="auto"/>
        <w:ind w:firstLine="709"/>
        <w:jc w:val="both"/>
        <w:rPr>
          <w:rFonts w:ascii="Times New Roman" w:hAnsi="Times New Roman" w:cs="Times New Roman"/>
          <w:sz w:val="28"/>
          <w:szCs w:val="28"/>
        </w:rPr>
      </w:pPr>
      <w:r w:rsidRPr="003E22BD">
        <w:rPr>
          <w:rFonts w:ascii="Times New Roman" w:hAnsi="Times New Roman" w:cs="Times New Roman"/>
          <w:sz w:val="28"/>
          <w:szCs w:val="28"/>
        </w:rPr>
        <w:t xml:space="preserve">100% от регионального прожиточного минимума для детей, в случае если размер среднедушевого дохода семьи, рассчитанный с учетом выплаты в размере </w:t>
      </w:r>
      <w:r>
        <w:rPr>
          <w:rFonts w:ascii="Times New Roman" w:hAnsi="Times New Roman" w:cs="Times New Roman"/>
          <w:sz w:val="28"/>
          <w:szCs w:val="28"/>
        </w:rPr>
        <w:t>75</w:t>
      </w:r>
      <w:r w:rsidRPr="003E22BD">
        <w:rPr>
          <w:rFonts w:ascii="Times New Roman" w:hAnsi="Times New Roman" w:cs="Times New Roman"/>
          <w:sz w:val="28"/>
          <w:szCs w:val="28"/>
        </w:rPr>
        <w:t>% не превышает региональный прожиточный минимум на душу населения.</w:t>
      </w:r>
    </w:p>
    <w:p w14:paraId="715E7244" w14:textId="77777777" w:rsidR="003E22BD" w:rsidRDefault="003E22BD" w:rsidP="003E22BD">
      <w:pPr>
        <w:spacing w:after="0" w:line="312" w:lineRule="auto"/>
        <w:ind w:firstLine="709"/>
        <w:jc w:val="both"/>
        <w:rPr>
          <w:rFonts w:ascii="Times New Roman" w:hAnsi="Times New Roman" w:cs="Times New Roman"/>
          <w:sz w:val="28"/>
          <w:szCs w:val="28"/>
        </w:rPr>
      </w:pPr>
      <w:r w:rsidRPr="00215606">
        <w:rPr>
          <w:rFonts w:ascii="Times New Roman" w:hAnsi="Times New Roman" w:cs="Times New Roman"/>
          <w:sz w:val="28"/>
          <w:szCs w:val="28"/>
        </w:rPr>
        <w:t xml:space="preserve">Указом </w:t>
      </w:r>
      <w:r>
        <w:rPr>
          <w:rFonts w:ascii="Times New Roman" w:hAnsi="Times New Roman" w:cs="Times New Roman"/>
          <w:sz w:val="28"/>
          <w:szCs w:val="28"/>
        </w:rPr>
        <w:t xml:space="preserve">Президента Российской Федерации от 10 марта 2021 г. </w:t>
      </w:r>
      <w:r w:rsidRPr="00215606">
        <w:rPr>
          <w:rFonts w:ascii="Times New Roman" w:hAnsi="Times New Roman" w:cs="Times New Roman"/>
          <w:sz w:val="28"/>
          <w:szCs w:val="28"/>
        </w:rPr>
        <w:t>№ 140 также предусматрива</w:t>
      </w:r>
      <w:r>
        <w:rPr>
          <w:rFonts w:ascii="Times New Roman" w:hAnsi="Times New Roman" w:cs="Times New Roman"/>
          <w:sz w:val="28"/>
          <w:szCs w:val="28"/>
        </w:rPr>
        <w:t>лось</w:t>
      </w:r>
      <w:r w:rsidRPr="00215606">
        <w:rPr>
          <w:rFonts w:ascii="Times New Roman" w:hAnsi="Times New Roman" w:cs="Times New Roman"/>
          <w:sz w:val="28"/>
          <w:szCs w:val="28"/>
        </w:rPr>
        <w:t xml:space="preserve">, что граждане, которым ежемесячная выплата назначена </w:t>
      </w:r>
      <w:r>
        <w:rPr>
          <w:rFonts w:ascii="Times New Roman" w:hAnsi="Times New Roman" w:cs="Times New Roman"/>
          <w:sz w:val="28"/>
          <w:szCs w:val="28"/>
        </w:rPr>
        <w:br/>
      </w:r>
      <w:r w:rsidRPr="00215606">
        <w:rPr>
          <w:rFonts w:ascii="Times New Roman" w:hAnsi="Times New Roman" w:cs="Times New Roman"/>
          <w:sz w:val="28"/>
          <w:szCs w:val="28"/>
        </w:rPr>
        <w:t>до 1 апреля 2021 г</w:t>
      </w:r>
      <w:r w:rsidR="00B206AE">
        <w:rPr>
          <w:rFonts w:ascii="Times New Roman" w:hAnsi="Times New Roman" w:cs="Times New Roman"/>
          <w:sz w:val="28"/>
          <w:szCs w:val="28"/>
        </w:rPr>
        <w:t>.</w:t>
      </w:r>
      <w:r w:rsidRPr="00215606">
        <w:rPr>
          <w:rFonts w:ascii="Times New Roman" w:hAnsi="Times New Roman" w:cs="Times New Roman"/>
          <w:sz w:val="28"/>
          <w:szCs w:val="28"/>
        </w:rPr>
        <w:t xml:space="preserve"> в размере </w:t>
      </w:r>
      <w:r>
        <w:rPr>
          <w:rFonts w:ascii="Times New Roman" w:hAnsi="Times New Roman" w:cs="Times New Roman"/>
          <w:sz w:val="28"/>
          <w:szCs w:val="28"/>
        </w:rPr>
        <w:t>50%</w:t>
      </w:r>
      <w:r w:rsidRPr="00215606">
        <w:rPr>
          <w:rFonts w:ascii="Times New Roman" w:hAnsi="Times New Roman" w:cs="Times New Roman"/>
          <w:sz w:val="28"/>
          <w:szCs w:val="28"/>
        </w:rPr>
        <w:t xml:space="preserve"> величины прожиточного миним</w:t>
      </w:r>
      <w:r>
        <w:rPr>
          <w:rFonts w:ascii="Times New Roman" w:hAnsi="Times New Roman" w:cs="Times New Roman"/>
          <w:sz w:val="28"/>
          <w:szCs w:val="28"/>
        </w:rPr>
        <w:t xml:space="preserve">ума для детей, были вправе начиная с </w:t>
      </w:r>
      <w:r w:rsidRPr="00215606">
        <w:rPr>
          <w:rFonts w:ascii="Times New Roman" w:hAnsi="Times New Roman" w:cs="Times New Roman"/>
          <w:sz w:val="28"/>
          <w:szCs w:val="28"/>
        </w:rPr>
        <w:t>1</w:t>
      </w:r>
      <w:r>
        <w:rPr>
          <w:rFonts w:ascii="Times New Roman" w:hAnsi="Times New Roman" w:cs="Times New Roman"/>
          <w:sz w:val="28"/>
          <w:szCs w:val="28"/>
        </w:rPr>
        <w:t xml:space="preserve"> апреля </w:t>
      </w:r>
      <w:r w:rsidRPr="00215606">
        <w:rPr>
          <w:rFonts w:ascii="Times New Roman" w:hAnsi="Times New Roman" w:cs="Times New Roman"/>
          <w:sz w:val="28"/>
          <w:szCs w:val="28"/>
        </w:rPr>
        <w:t>2021</w:t>
      </w:r>
      <w:r>
        <w:rPr>
          <w:rFonts w:ascii="Times New Roman" w:hAnsi="Times New Roman" w:cs="Times New Roman"/>
          <w:sz w:val="28"/>
          <w:szCs w:val="28"/>
        </w:rPr>
        <w:t xml:space="preserve"> </w:t>
      </w:r>
      <w:r w:rsidRPr="00215606">
        <w:rPr>
          <w:rFonts w:ascii="Times New Roman" w:hAnsi="Times New Roman" w:cs="Times New Roman"/>
          <w:sz w:val="28"/>
          <w:szCs w:val="28"/>
        </w:rPr>
        <w:t>г</w:t>
      </w:r>
      <w:r w:rsidR="00B206AE">
        <w:rPr>
          <w:rFonts w:ascii="Times New Roman" w:hAnsi="Times New Roman" w:cs="Times New Roman"/>
          <w:sz w:val="28"/>
          <w:szCs w:val="28"/>
        </w:rPr>
        <w:t>.</w:t>
      </w:r>
      <w:r w:rsidRPr="00215606">
        <w:rPr>
          <w:rFonts w:ascii="Times New Roman" w:hAnsi="Times New Roman" w:cs="Times New Roman"/>
          <w:sz w:val="28"/>
          <w:szCs w:val="28"/>
        </w:rPr>
        <w:t xml:space="preserve"> обратиться за назначением ежемесячной выплаты в увеличенном разме</w:t>
      </w:r>
      <w:r>
        <w:rPr>
          <w:rFonts w:ascii="Times New Roman" w:hAnsi="Times New Roman" w:cs="Times New Roman"/>
          <w:sz w:val="28"/>
          <w:szCs w:val="28"/>
        </w:rPr>
        <w:t xml:space="preserve">ре за период с 1 января 2021 </w:t>
      </w:r>
      <w:r w:rsidRPr="00215606">
        <w:rPr>
          <w:rFonts w:ascii="Times New Roman" w:hAnsi="Times New Roman" w:cs="Times New Roman"/>
          <w:sz w:val="28"/>
          <w:szCs w:val="28"/>
        </w:rPr>
        <w:t>г.</w:t>
      </w:r>
    </w:p>
    <w:p w14:paraId="4F527D62" w14:textId="4F825FE2" w:rsidR="004F574A" w:rsidRPr="00186DE7" w:rsidRDefault="003E22BD" w:rsidP="004F574A">
      <w:pPr>
        <w:shd w:val="clear" w:color="auto" w:fill="FFFFFF"/>
        <w:spacing w:after="0" w:line="319" w:lineRule="auto"/>
        <w:ind w:firstLine="709"/>
        <w:jc w:val="both"/>
        <w:outlineLvl w:val="1"/>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Кроме того, постановлением Правительства Российской Федерации </w:t>
      </w:r>
      <w:r>
        <w:rPr>
          <w:rFonts w:ascii="Times New Roman" w:hAnsi="Times New Roman" w:cs="Times New Roman"/>
          <w:sz w:val="28"/>
          <w:szCs w:val="28"/>
        </w:rPr>
        <w:br/>
        <w:t xml:space="preserve">от 31 марта 2021 г. № 489 внесены изменения в Основные требования к порядку назначения и осуществления ежемесячной денежной выплаты на ребенка в возрасте от 3 до 7 лет включительно, утвержденные постановлением Правительства Российской Федерации от 31 марта 2020 г. № 384, в соответствии с которыми при назначении ежемесячной </w:t>
      </w:r>
      <w:r w:rsidR="004F574A">
        <w:rPr>
          <w:rFonts w:ascii="Times New Roman" w:hAnsi="Times New Roman" w:cs="Times New Roman"/>
          <w:sz w:val="28"/>
          <w:szCs w:val="28"/>
        </w:rPr>
        <w:t xml:space="preserve">денежной выплаты учитывается комплексная оценка нуждаемости. </w:t>
      </w:r>
      <w:r w:rsidR="004F574A">
        <w:rPr>
          <w:rFonts w:ascii="Times New Roman" w:eastAsia="Times New Roman" w:hAnsi="Times New Roman" w:cs="Times New Roman"/>
          <w:sz w:val="28"/>
          <w:szCs w:val="28"/>
          <w:lang w:eastAsia="ru-RU"/>
        </w:rPr>
        <w:t>То есть помимо среднедушевого дохода семьи также оценивается движимое и недвижимое имущество, финансовые накопления, вовлеченность в занятость трудоспособных членов семьи. Также установлен перечень «</w:t>
      </w:r>
      <w:r w:rsidR="00DD3C75">
        <w:rPr>
          <w:rFonts w:ascii="Times New Roman" w:eastAsia="Times New Roman" w:hAnsi="Times New Roman" w:cs="Times New Roman"/>
          <w:sz w:val="28"/>
          <w:szCs w:val="28"/>
          <w:lang w:eastAsia="ru-RU"/>
        </w:rPr>
        <w:t xml:space="preserve">объективных </w:t>
      </w:r>
      <w:r w:rsidR="004F574A">
        <w:rPr>
          <w:rFonts w:ascii="Times New Roman" w:eastAsia="Times New Roman" w:hAnsi="Times New Roman" w:cs="Times New Roman"/>
          <w:sz w:val="28"/>
          <w:szCs w:val="28"/>
          <w:lang w:eastAsia="ru-RU"/>
        </w:rPr>
        <w:t xml:space="preserve">причин», при наличии которых трудоспособные члены семьи могут не иметь дохода: поиск работы в течение 6 месяцев, осуществление ухода за ребенком в возрасте до 3 лет, ребенком-инвалидом или инвалидом с детства </w:t>
      </w:r>
      <w:r w:rsidR="004F574A">
        <w:rPr>
          <w:rFonts w:ascii="Times New Roman" w:eastAsia="Times New Roman" w:hAnsi="Times New Roman" w:cs="Times New Roman"/>
          <w:sz w:val="28"/>
          <w:szCs w:val="28"/>
          <w:lang w:eastAsia="ru-RU"/>
        </w:rPr>
        <w:br/>
      </w:r>
      <w:r w:rsidR="004F574A">
        <w:rPr>
          <w:rFonts w:ascii="Times New Roman" w:eastAsia="Times New Roman" w:hAnsi="Times New Roman" w:cs="Times New Roman"/>
          <w:sz w:val="28"/>
          <w:szCs w:val="28"/>
          <w:lang w:val="en-US" w:eastAsia="ru-RU"/>
        </w:rPr>
        <w:t>I</w:t>
      </w:r>
      <w:r w:rsidR="004F574A" w:rsidRPr="00186DE7">
        <w:rPr>
          <w:rFonts w:ascii="Times New Roman" w:eastAsia="Times New Roman" w:hAnsi="Times New Roman" w:cs="Times New Roman"/>
          <w:sz w:val="28"/>
          <w:szCs w:val="28"/>
          <w:lang w:eastAsia="ru-RU"/>
        </w:rPr>
        <w:t xml:space="preserve"> </w:t>
      </w:r>
      <w:r w:rsidR="004F574A">
        <w:rPr>
          <w:rFonts w:ascii="Times New Roman" w:eastAsia="Times New Roman" w:hAnsi="Times New Roman" w:cs="Times New Roman"/>
          <w:sz w:val="28"/>
          <w:szCs w:val="28"/>
          <w:lang w:eastAsia="ru-RU"/>
        </w:rPr>
        <w:t>группы, престарелым, прохождение военной службы, отнесение родителя к категории единственного родителя или отнесение к категории многодетной семьи.</w:t>
      </w:r>
    </w:p>
    <w:p w14:paraId="2AA0FAFC" w14:textId="77777777" w:rsidR="003E22BD" w:rsidRDefault="004F574A" w:rsidP="003E22BD">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Введенные требования и условия предоставления выплаты были распространены на упоминаемое выше ежемесячное пособие беременной женщине, вставшей на учет в медицинской организации в ранние сроки беременности, а также на ежемесячное пособие на детей в возрасте от 8 до 17 лет, родители которых воспитывают их в одиночку, в том числе в связи с уклонением второго родителя от уплаты алиментов, введенное с 1 июля 2021 г. При этом ежемесячное пособие на детей в возрасте от 8 до 17 лет было установлено в размере 50% величины прожиточного минимум для детей в субъекте Российской Федерации по месту жительства (пребывания) или фактического проживания заявителя, установленной на дату обращения за пособием.</w:t>
      </w:r>
    </w:p>
    <w:p w14:paraId="7CC95BFA" w14:textId="77777777" w:rsidR="004F574A" w:rsidRPr="00215606" w:rsidRDefault="004F574A" w:rsidP="003E22BD">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2021 г</w:t>
      </w:r>
      <w:r w:rsidR="00B33C3A">
        <w:rPr>
          <w:rFonts w:ascii="Times New Roman" w:hAnsi="Times New Roman" w:cs="Times New Roman"/>
          <w:sz w:val="28"/>
          <w:szCs w:val="28"/>
        </w:rPr>
        <w:t>.</w:t>
      </w:r>
      <w:r>
        <w:rPr>
          <w:rFonts w:ascii="Times New Roman" w:hAnsi="Times New Roman" w:cs="Times New Roman"/>
          <w:sz w:val="28"/>
          <w:szCs w:val="28"/>
        </w:rPr>
        <w:t xml:space="preserve"> пособие осуществлялось в отношении 1,59 млн детей</w:t>
      </w:r>
      <w:r w:rsidR="00AD3923">
        <w:rPr>
          <w:rFonts w:ascii="Times New Roman" w:hAnsi="Times New Roman" w:cs="Times New Roman"/>
          <w:sz w:val="28"/>
          <w:szCs w:val="28"/>
        </w:rPr>
        <w:t xml:space="preserve"> на сумму</w:t>
      </w:r>
      <w:r>
        <w:rPr>
          <w:rFonts w:ascii="Times New Roman" w:hAnsi="Times New Roman" w:cs="Times New Roman"/>
          <w:sz w:val="28"/>
          <w:szCs w:val="28"/>
        </w:rPr>
        <w:t xml:space="preserve"> </w:t>
      </w:r>
      <w:r w:rsidR="00F17CCF">
        <w:rPr>
          <w:rFonts w:ascii="Times New Roman" w:hAnsi="Times New Roman" w:cs="Times New Roman"/>
          <w:sz w:val="28"/>
          <w:szCs w:val="28"/>
        </w:rPr>
        <w:br/>
      </w:r>
      <w:r w:rsidR="00F81317">
        <w:rPr>
          <w:rFonts w:ascii="Times New Roman" w:hAnsi="Times New Roman" w:cs="Times New Roman"/>
          <w:sz w:val="28"/>
          <w:szCs w:val="28"/>
        </w:rPr>
        <w:t>47,1 млрд рублей.</w:t>
      </w:r>
    </w:p>
    <w:p w14:paraId="53DA7C22" w14:textId="77777777" w:rsidR="004B5437" w:rsidRDefault="004B5437" w:rsidP="00BB71D2">
      <w:pPr>
        <w:pStyle w:val="Style40"/>
        <w:shd w:val="clear" w:color="auto" w:fill="auto"/>
        <w:spacing w:line="312" w:lineRule="auto"/>
        <w:ind w:firstLine="709"/>
        <w:jc w:val="both"/>
        <w:rPr>
          <w:rStyle w:val="CharStyle10"/>
          <w:rFonts w:ascii="Times New Roman" w:hAnsi="Times New Roman"/>
          <w:sz w:val="28"/>
          <w:szCs w:val="28"/>
          <w:u w:val="none"/>
        </w:rPr>
      </w:pPr>
      <w:r>
        <w:rPr>
          <w:rStyle w:val="CharStyle10"/>
          <w:rFonts w:ascii="Times New Roman" w:hAnsi="Times New Roman"/>
          <w:sz w:val="28"/>
          <w:szCs w:val="28"/>
          <w:u w:val="none"/>
        </w:rPr>
        <w:t xml:space="preserve">В соответствии с Федеральным законом от 29 декабря 2006 г. № 255-ФЗ </w:t>
      </w:r>
      <w:r>
        <w:rPr>
          <w:rStyle w:val="CharStyle10"/>
          <w:rFonts w:ascii="Times New Roman" w:hAnsi="Times New Roman"/>
          <w:sz w:val="28"/>
          <w:szCs w:val="28"/>
          <w:u w:val="none"/>
        </w:rPr>
        <w:br/>
        <w:t>с 1 сентября 2021 г. финансовое обеспечение расходов на выплату пособия по временной нетрудоспособности при необходимости осуществления ухода за больным ребенком в возрасте до 8 лет в части, превышающей размер указанного пособия, определяемый в зависимости от продолжительности страхового стажа застрахованного лица в соответствии с частью 1 статьи 7 вышеуказанного Федерального закона, осуществляется за счет межбюджетных трансфертов из федерального бюджета, предоставляемых бюджету ФСС.</w:t>
      </w:r>
    </w:p>
    <w:p w14:paraId="7FD8F6FE" w14:textId="77777777" w:rsidR="004B5437" w:rsidRPr="004B5437" w:rsidRDefault="004B5437" w:rsidP="00BB71D2">
      <w:pPr>
        <w:pStyle w:val="Style40"/>
        <w:shd w:val="clear" w:color="auto" w:fill="auto"/>
        <w:spacing w:line="312" w:lineRule="auto"/>
        <w:ind w:firstLine="709"/>
        <w:jc w:val="both"/>
        <w:rPr>
          <w:rFonts w:ascii="Times New Roman" w:hAnsi="Times New Roman"/>
          <w:bCs/>
          <w:shd w:val="clear" w:color="auto" w:fill="FFFFFF"/>
        </w:rPr>
      </w:pPr>
      <w:r>
        <w:rPr>
          <w:rStyle w:val="CharStyle10"/>
          <w:rFonts w:ascii="Times New Roman" w:hAnsi="Times New Roman"/>
          <w:sz w:val="28"/>
          <w:szCs w:val="28"/>
          <w:u w:val="none"/>
        </w:rPr>
        <w:t>На основании распоряжения Правительства Российской Федерации от 10 июля 2021 г. № 1887-р Минфину России из резервного фонда Правительства Российской Федерации выделены бюджетные ассигнования в объеме 930 млн рублей, в полном объеме и своевременно перечисленные в бюджет ФСС</w:t>
      </w:r>
      <w:r w:rsidR="006F1CE0">
        <w:rPr>
          <w:rStyle w:val="CharStyle10"/>
          <w:rFonts w:ascii="Times New Roman" w:hAnsi="Times New Roman"/>
          <w:sz w:val="28"/>
          <w:szCs w:val="28"/>
          <w:u w:val="none"/>
        </w:rPr>
        <w:t>.</w:t>
      </w:r>
    </w:p>
    <w:p w14:paraId="41887BE3" w14:textId="77777777" w:rsidR="0077696F" w:rsidRPr="004B5437"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4B5437">
        <w:rPr>
          <w:rFonts w:ascii="Times New Roman" w:eastAsia="Times New Roman" w:hAnsi="Times New Roman" w:cs="Times New Roman"/>
          <w:sz w:val="28"/>
          <w:szCs w:val="28"/>
          <w:lang w:eastAsia="ru-RU"/>
        </w:rPr>
        <w:t>Федеральным закон</w:t>
      </w:r>
      <w:r w:rsidR="0077696F" w:rsidRPr="004B5437">
        <w:rPr>
          <w:rFonts w:ascii="Times New Roman" w:eastAsia="Times New Roman" w:hAnsi="Times New Roman" w:cs="Times New Roman"/>
          <w:sz w:val="28"/>
          <w:szCs w:val="28"/>
          <w:lang w:eastAsia="ru-RU"/>
        </w:rPr>
        <w:t xml:space="preserve">ом от 24 июля 1998 г. № 125-ФЗ </w:t>
      </w:r>
      <w:r w:rsidRPr="004B5437">
        <w:rPr>
          <w:rFonts w:ascii="Times New Roman" w:eastAsia="Times New Roman" w:hAnsi="Times New Roman" w:cs="Times New Roman"/>
          <w:sz w:val="28"/>
          <w:szCs w:val="28"/>
          <w:lang w:eastAsia="ru-RU"/>
        </w:rPr>
        <w:t xml:space="preserve">«Об обязательном социальном страховании от несчастных случаев на производстве и профессиональных заболеваний» </w:t>
      </w:r>
      <w:r w:rsidR="0077696F" w:rsidRPr="004B5437">
        <w:rPr>
          <w:rFonts w:ascii="Times New Roman" w:eastAsia="Times New Roman" w:hAnsi="Times New Roman" w:cs="Times New Roman"/>
          <w:sz w:val="28"/>
          <w:szCs w:val="28"/>
          <w:lang w:eastAsia="ru-RU"/>
        </w:rPr>
        <w:t xml:space="preserve">определен круг лиц, имеющих право на страховые выплаты в связи со смертью застрахованного в результате наступления страхового случая. К такой категории лиц относятся несовершеннолетние дети погибшего застрахованного (до достижения ими возраста 18 лет), а также дети, достигшие </w:t>
      </w:r>
      <w:r w:rsidR="00F513D9">
        <w:rPr>
          <w:rFonts w:ascii="Times New Roman" w:eastAsia="Times New Roman" w:hAnsi="Times New Roman" w:cs="Times New Roman"/>
          <w:sz w:val="28"/>
          <w:szCs w:val="28"/>
          <w:lang w:eastAsia="ru-RU"/>
        </w:rPr>
        <w:br/>
      </w:r>
      <w:r w:rsidR="0077696F" w:rsidRPr="004B5437">
        <w:rPr>
          <w:rFonts w:ascii="Times New Roman" w:eastAsia="Times New Roman" w:hAnsi="Times New Roman" w:cs="Times New Roman"/>
          <w:sz w:val="28"/>
          <w:szCs w:val="28"/>
          <w:lang w:eastAsia="ru-RU"/>
        </w:rPr>
        <w:t>18-летнего возраста, но обучающиеся по очной форме обучения, но не более чем до 23 лет.</w:t>
      </w:r>
    </w:p>
    <w:p w14:paraId="2C0598FF" w14:textId="77777777" w:rsidR="0010107D" w:rsidRPr="004B5437"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4B5437">
        <w:rPr>
          <w:rFonts w:ascii="Times New Roman" w:eastAsia="Times New Roman" w:hAnsi="Times New Roman" w:cs="Times New Roman"/>
          <w:sz w:val="28"/>
          <w:szCs w:val="28"/>
          <w:lang w:eastAsia="ru-RU"/>
        </w:rPr>
        <w:t xml:space="preserve">По данным ФСС, </w:t>
      </w:r>
      <w:r w:rsidR="009B357D" w:rsidRPr="004B5437">
        <w:rPr>
          <w:rFonts w:ascii="Times New Roman" w:eastAsia="Times New Roman" w:hAnsi="Times New Roman" w:cs="Times New Roman"/>
          <w:sz w:val="28"/>
          <w:szCs w:val="28"/>
          <w:lang w:eastAsia="ru-RU"/>
        </w:rPr>
        <w:t>за 202</w:t>
      </w:r>
      <w:r w:rsidR="004B5437" w:rsidRPr="004B5437">
        <w:rPr>
          <w:rFonts w:ascii="Times New Roman" w:eastAsia="Times New Roman" w:hAnsi="Times New Roman" w:cs="Times New Roman"/>
          <w:sz w:val="28"/>
          <w:szCs w:val="28"/>
          <w:lang w:eastAsia="ru-RU"/>
        </w:rPr>
        <w:t>1</w:t>
      </w:r>
      <w:r w:rsidR="009B357D" w:rsidRPr="004B5437">
        <w:rPr>
          <w:rFonts w:ascii="Times New Roman" w:eastAsia="Times New Roman" w:hAnsi="Times New Roman" w:cs="Times New Roman"/>
          <w:sz w:val="28"/>
          <w:szCs w:val="28"/>
          <w:lang w:eastAsia="ru-RU"/>
        </w:rPr>
        <w:t xml:space="preserve"> г</w:t>
      </w:r>
      <w:r w:rsidR="00B33C3A">
        <w:rPr>
          <w:rFonts w:ascii="Times New Roman" w:eastAsia="Times New Roman" w:hAnsi="Times New Roman" w:cs="Times New Roman"/>
          <w:sz w:val="28"/>
          <w:szCs w:val="28"/>
          <w:lang w:eastAsia="ru-RU"/>
        </w:rPr>
        <w:t>.</w:t>
      </w:r>
      <w:r w:rsidR="009B357D" w:rsidRPr="004B5437">
        <w:rPr>
          <w:rFonts w:ascii="Times New Roman" w:eastAsia="Times New Roman" w:hAnsi="Times New Roman" w:cs="Times New Roman"/>
          <w:sz w:val="28"/>
          <w:szCs w:val="28"/>
          <w:lang w:eastAsia="ru-RU"/>
        </w:rPr>
        <w:t xml:space="preserve"> количество получателей по данной категории лиц составило</w:t>
      </w:r>
      <w:r w:rsidRPr="004B5437">
        <w:rPr>
          <w:rFonts w:ascii="Times New Roman" w:eastAsia="Times New Roman" w:hAnsi="Times New Roman" w:cs="Times New Roman"/>
          <w:sz w:val="28"/>
          <w:szCs w:val="28"/>
          <w:lang w:eastAsia="ru-RU"/>
        </w:rPr>
        <w:t>:</w:t>
      </w:r>
    </w:p>
    <w:p w14:paraId="6DCB26D5" w14:textId="77777777" w:rsidR="0010107D" w:rsidRPr="004B5437"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4B5437">
        <w:rPr>
          <w:rFonts w:ascii="Times New Roman" w:eastAsia="Times New Roman" w:hAnsi="Times New Roman" w:cs="Times New Roman"/>
          <w:sz w:val="28"/>
          <w:szCs w:val="28"/>
          <w:lang w:eastAsia="ru-RU"/>
        </w:rPr>
        <w:t>- 1</w:t>
      </w:r>
      <w:r w:rsidR="004B5437" w:rsidRPr="004B5437">
        <w:rPr>
          <w:rFonts w:ascii="Times New Roman" w:eastAsia="Times New Roman" w:hAnsi="Times New Roman" w:cs="Times New Roman"/>
          <w:sz w:val="28"/>
          <w:szCs w:val="28"/>
          <w:lang w:eastAsia="ru-RU"/>
        </w:rPr>
        <w:t>2</w:t>
      </w:r>
      <w:r w:rsidRPr="004B5437">
        <w:rPr>
          <w:rFonts w:ascii="Times New Roman" w:eastAsia="Times New Roman" w:hAnsi="Times New Roman" w:cs="Times New Roman"/>
          <w:sz w:val="28"/>
          <w:szCs w:val="28"/>
          <w:lang w:eastAsia="ru-RU"/>
        </w:rPr>
        <w:t>,</w:t>
      </w:r>
      <w:r w:rsidR="004B5437" w:rsidRPr="004B5437">
        <w:rPr>
          <w:rFonts w:ascii="Times New Roman" w:eastAsia="Times New Roman" w:hAnsi="Times New Roman" w:cs="Times New Roman"/>
          <w:sz w:val="28"/>
          <w:szCs w:val="28"/>
          <w:lang w:eastAsia="ru-RU"/>
        </w:rPr>
        <w:t>9</w:t>
      </w:r>
      <w:r w:rsidRPr="004B5437">
        <w:rPr>
          <w:rFonts w:ascii="Times New Roman" w:eastAsia="Times New Roman" w:hAnsi="Times New Roman" w:cs="Times New Roman"/>
          <w:sz w:val="28"/>
          <w:szCs w:val="28"/>
          <w:lang w:eastAsia="ru-RU"/>
        </w:rPr>
        <w:t xml:space="preserve"> тыс. человек (до достижения ребенком возраста 18 лет), </w:t>
      </w:r>
      <w:r w:rsidR="009B357D" w:rsidRPr="004B5437">
        <w:rPr>
          <w:rFonts w:ascii="Times New Roman" w:eastAsia="Times New Roman" w:hAnsi="Times New Roman" w:cs="Times New Roman"/>
          <w:sz w:val="28"/>
          <w:szCs w:val="28"/>
          <w:lang w:eastAsia="ru-RU"/>
        </w:rPr>
        <w:t>с</w:t>
      </w:r>
      <w:r w:rsidRPr="004B5437">
        <w:rPr>
          <w:rFonts w:ascii="Times New Roman" w:eastAsia="Times New Roman" w:hAnsi="Times New Roman" w:cs="Times New Roman"/>
          <w:sz w:val="28"/>
          <w:szCs w:val="28"/>
          <w:lang w:eastAsia="ru-RU"/>
        </w:rPr>
        <w:t>редний размер ежемесячной страховой выплаты составляет 1</w:t>
      </w:r>
      <w:r w:rsidR="004B5437" w:rsidRPr="004B5437">
        <w:rPr>
          <w:rFonts w:ascii="Times New Roman" w:eastAsia="Times New Roman" w:hAnsi="Times New Roman" w:cs="Times New Roman"/>
          <w:sz w:val="28"/>
          <w:szCs w:val="28"/>
          <w:lang w:eastAsia="ru-RU"/>
        </w:rPr>
        <w:t>4</w:t>
      </w:r>
      <w:r w:rsidRPr="004B5437">
        <w:rPr>
          <w:rFonts w:ascii="Times New Roman" w:eastAsia="Times New Roman" w:hAnsi="Times New Roman" w:cs="Times New Roman"/>
          <w:sz w:val="28"/>
          <w:szCs w:val="28"/>
          <w:lang w:eastAsia="ru-RU"/>
        </w:rPr>
        <w:t>,</w:t>
      </w:r>
      <w:r w:rsidR="004B5437" w:rsidRPr="004B5437">
        <w:rPr>
          <w:rFonts w:ascii="Times New Roman" w:eastAsia="Times New Roman" w:hAnsi="Times New Roman" w:cs="Times New Roman"/>
          <w:sz w:val="28"/>
          <w:szCs w:val="28"/>
          <w:lang w:eastAsia="ru-RU"/>
        </w:rPr>
        <w:t>6</w:t>
      </w:r>
      <w:r w:rsidRPr="004B5437">
        <w:rPr>
          <w:rFonts w:ascii="Times New Roman" w:eastAsia="Times New Roman" w:hAnsi="Times New Roman" w:cs="Times New Roman"/>
          <w:sz w:val="28"/>
          <w:szCs w:val="28"/>
          <w:lang w:eastAsia="ru-RU"/>
        </w:rPr>
        <w:t xml:space="preserve"> тыс. рублей;</w:t>
      </w:r>
    </w:p>
    <w:p w14:paraId="259D9C10" w14:textId="77777777" w:rsidR="0010107D" w:rsidRPr="004B5437" w:rsidRDefault="0010107D" w:rsidP="0010107D">
      <w:pPr>
        <w:spacing w:after="0" w:line="312" w:lineRule="auto"/>
        <w:ind w:firstLine="709"/>
        <w:jc w:val="both"/>
        <w:rPr>
          <w:rFonts w:ascii="Times New Roman" w:eastAsia="Times New Roman" w:hAnsi="Times New Roman" w:cs="Times New Roman"/>
          <w:sz w:val="28"/>
          <w:szCs w:val="28"/>
          <w:lang w:eastAsia="ru-RU"/>
        </w:rPr>
      </w:pPr>
      <w:r w:rsidRPr="004B5437">
        <w:rPr>
          <w:rFonts w:ascii="Times New Roman" w:eastAsia="Times New Roman" w:hAnsi="Times New Roman" w:cs="Times New Roman"/>
          <w:sz w:val="28"/>
          <w:szCs w:val="28"/>
          <w:lang w:eastAsia="ru-RU"/>
        </w:rPr>
        <w:t xml:space="preserve">- </w:t>
      </w:r>
      <w:r w:rsidR="004B5437" w:rsidRPr="004B5437">
        <w:rPr>
          <w:rFonts w:ascii="Times New Roman" w:eastAsia="Times New Roman" w:hAnsi="Times New Roman" w:cs="Times New Roman"/>
          <w:sz w:val="28"/>
          <w:szCs w:val="28"/>
          <w:lang w:eastAsia="ru-RU"/>
        </w:rPr>
        <w:t>6</w:t>
      </w:r>
      <w:r w:rsidRPr="004B5437">
        <w:rPr>
          <w:rFonts w:ascii="Times New Roman" w:eastAsia="Times New Roman" w:hAnsi="Times New Roman" w:cs="Times New Roman"/>
          <w:sz w:val="28"/>
          <w:szCs w:val="28"/>
          <w:lang w:eastAsia="ru-RU"/>
        </w:rPr>
        <w:t>,</w:t>
      </w:r>
      <w:r w:rsidR="004B5437" w:rsidRPr="004B5437">
        <w:rPr>
          <w:rFonts w:ascii="Times New Roman" w:eastAsia="Times New Roman" w:hAnsi="Times New Roman" w:cs="Times New Roman"/>
          <w:sz w:val="28"/>
          <w:szCs w:val="28"/>
          <w:lang w:eastAsia="ru-RU"/>
        </w:rPr>
        <w:t>0</w:t>
      </w:r>
      <w:r w:rsidRPr="004B5437">
        <w:rPr>
          <w:rFonts w:ascii="Times New Roman" w:eastAsia="Times New Roman" w:hAnsi="Times New Roman" w:cs="Times New Roman"/>
          <w:sz w:val="28"/>
          <w:szCs w:val="28"/>
          <w:lang w:eastAsia="ru-RU"/>
        </w:rPr>
        <w:t xml:space="preserve"> тыс. человек (совершеннолетние, обучающиеся по очной форме обучения, но не более чем до достижения возраста 23 лет), </w:t>
      </w:r>
      <w:r w:rsidR="009B357D" w:rsidRPr="004B5437">
        <w:rPr>
          <w:rFonts w:ascii="Times New Roman" w:eastAsia="Times New Roman" w:hAnsi="Times New Roman" w:cs="Times New Roman"/>
          <w:sz w:val="28"/>
          <w:szCs w:val="28"/>
          <w:lang w:eastAsia="ru-RU"/>
        </w:rPr>
        <w:t>с</w:t>
      </w:r>
      <w:r w:rsidRPr="004B5437">
        <w:rPr>
          <w:rFonts w:ascii="Times New Roman" w:eastAsia="Times New Roman" w:hAnsi="Times New Roman" w:cs="Times New Roman"/>
          <w:sz w:val="28"/>
          <w:szCs w:val="28"/>
          <w:lang w:eastAsia="ru-RU"/>
        </w:rPr>
        <w:t>редний размер ежемесячно</w:t>
      </w:r>
      <w:r w:rsidR="00A35CC9" w:rsidRPr="004B5437">
        <w:rPr>
          <w:rFonts w:ascii="Times New Roman" w:eastAsia="Times New Roman" w:hAnsi="Times New Roman" w:cs="Times New Roman"/>
          <w:sz w:val="28"/>
          <w:szCs w:val="28"/>
          <w:lang w:eastAsia="ru-RU"/>
        </w:rPr>
        <w:t xml:space="preserve">й страховой выплаты составляет </w:t>
      </w:r>
      <w:r w:rsidRPr="004B5437">
        <w:rPr>
          <w:rFonts w:ascii="Times New Roman" w:eastAsia="Times New Roman" w:hAnsi="Times New Roman" w:cs="Times New Roman"/>
          <w:sz w:val="28"/>
          <w:szCs w:val="28"/>
          <w:lang w:eastAsia="ru-RU"/>
        </w:rPr>
        <w:t>1</w:t>
      </w:r>
      <w:r w:rsidR="004B5437" w:rsidRPr="004B5437">
        <w:rPr>
          <w:rFonts w:ascii="Times New Roman" w:eastAsia="Times New Roman" w:hAnsi="Times New Roman" w:cs="Times New Roman"/>
          <w:sz w:val="28"/>
          <w:szCs w:val="28"/>
          <w:lang w:eastAsia="ru-RU"/>
        </w:rPr>
        <w:t>4</w:t>
      </w:r>
      <w:r w:rsidRPr="004B5437">
        <w:rPr>
          <w:rFonts w:ascii="Times New Roman" w:eastAsia="Times New Roman" w:hAnsi="Times New Roman" w:cs="Times New Roman"/>
          <w:sz w:val="28"/>
          <w:szCs w:val="28"/>
          <w:lang w:eastAsia="ru-RU"/>
        </w:rPr>
        <w:t>,</w:t>
      </w:r>
      <w:r w:rsidR="004B5437" w:rsidRPr="004B5437">
        <w:rPr>
          <w:rFonts w:ascii="Times New Roman" w:eastAsia="Times New Roman" w:hAnsi="Times New Roman" w:cs="Times New Roman"/>
          <w:sz w:val="28"/>
          <w:szCs w:val="28"/>
          <w:lang w:eastAsia="ru-RU"/>
        </w:rPr>
        <w:t>1</w:t>
      </w:r>
      <w:r w:rsidRPr="004B5437">
        <w:rPr>
          <w:rFonts w:ascii="Times New Roman" w:eastAsia="Times New Roman" w:hAnsi="Times New Roman" w:cs="Times New Roman"/>
          <w:sz w:val="28"/>
          <w:szCs w:val="28"/>
          <w:lang w:eastAsia="ru-RU"/>
        </w:rPr>
        <w:t xml:space="preserve"> тыс. рублей.</w:t>
      </w:r>
    </w:p>
    <w:p w14:paraId="2A78CDD5" w14:textId="77777777" w:rsidR="009B357D" w:rsidRPr="004B5437" w:rsidRDefault="009B357D" w:rsidP="0010107D">
      <w:pPr>
        <w:spacing w:after="0" w:line="312" w:lineRule="auto"/>
        <w:ind w:firstLine="709"/>
        <w:jc w:val="both"/>
        <w:rPr>
          <w:rFonts w:ascii="Times New Roman" w:eastAsia="Times New Roman" w:hAnsi="Times New Roman" w:cs="Times New Roman"/>
          <w:sz w:val="28"/>
          <w:szCs w:val="28"/>
          <w:lang w:eastAsia="ru-RU"/>
        </w:rPr>
      </w:pPr>
      <w:r w:rsidRPr="004B5437">
        <w:rPr>
          <w:rFonts w:ascii="Times New Roman" w:eastAsia="Times New Roman" w:hAnsi="Times New Roman" w:cs="Times New Roman"/>
          <w:sz w:val="28"/>
          <w:szCs w:val="28"/>
          <w:lang w:eastAsia="ru-RU"/>
        </w:rPr>
        <w:t>Лицам, имеющим право на получение страховых выплат в случае смерти застрахованного, размер ежемесячной страховой выплаты исчисляется, исходя из среднего месячного заработка застрахованного, который учитывает заработную плату, выплаченную в соответствии с требованиями статьи 315 Трудового кодекса Российской Федерации (т.е. с применением районных коэффициентов и процентных надбавок к заработной плате).</w:t>
      </w:r>
    </w:p>
    <w:p w14:paraId="777D2ACF" w14:textId="77777777" w:rsidR="009B357D" w:rsidRPr="004B5437" w:rsidRDefault="009B357D" w:rsidP="0010107D">
      <w:pPr>
        <w:spacing w:after="0" w:line="312" w:lineRule="auto"/>
        <w:ind w:firstLine="709"/>
        <w:jc w:val="both"/>
        <w:rPr>
          <w:rFonts w:ascii="Times New Roman" w:eastAsia="Times New Roman" w:hAnsi="Times New Roman" w:cs="Times New Roman"/>
          <w:sz w:val="28"/>
          <w:szCs w:val="28"/>
          <w:lang w:eastAsia="ru-RU"/>
        </w:rPr>
      </w:pPr>
      <w:r w:rsidRPr="004B5437">
        <w:rPr>
          <w:rFonts w:ascii="Times New Roman" w:eastAsia="Times New Roman" w:hAnsi="Times New Roman" w:cs="Times New Roman"/>
          <w:sz w:val="28"/>
          <w:szCs w:val="28"/>
          <w:lang w:eastAsia="ru-RU"/>
        </w:rPr>
        <w:t>В 202</w:t>
      </w:r>
      <w:r w:rsidR="004B5437" w:rsidRPr="004B5437">
        <w:rPr>
          <w:rFonts w:ascii="Times New Roman" w:eastAsia="Times New Roman" w:hAnsi="Times New Roman" w:cs="Times New Roman"/>
          <w:sz w:val="28"/>
          <w:szCs w:val="28"/>
          <w:lang w:eastAsia="ru-RU"/>
        </w:rPr>
        <w:t>1</w:t>
      </w:r>
      <w:r w:rsidRPr="004B5437">
        <w:rPr>
          <w:rFonts w:ascii="Times New Roman" w:eastAsia="Times New Roman" w:hAnsi="Times New Roman" w:cs="Times New Roman"/>
          <w:sz w:val="28"/>
          <w:szCs w:val="28"/>
          <w:lang w:eastAsia="ru-RU"/>
        </w:rPr>
        <w:t xml:space="preserve"> г</w:t>
      </w:r>
      <w:r w:rsidR="00B33C3A">
        <w:rPr>
          <w:rFonts w:ascii="Times New Roman" w:eastAsia="Times New Roman" w:hAnsi="Times New Roman" w:cs="Times New Roman"/>
          <w:sz w:val="28"/>
          <w:szCs w:val="28"/>
          <w:lang w:eastAsia="ru-RU"/>
        </w:rPr>
        <w:t>.</w:t>
      </w:r>
      <w:r w:rsidRPr="004B5437">
        <w:rPr>
          <w:rFonts w:ascii="Times New Roman" w:eastAsia="Times New Roman" w:hAnsi="Times New Roman" w:cs="Times New Roman"/>
          <w:sz w:val="28"/>
          <w:szCs w:val="28"/>
          <w:lang w:eastAsia="ru-RU"/>
        </w:rPr>
        <w:t xml:space="preserve"> в территориальных органах ФСС, относящихся к районам Крайнего Севера и приравненных к ним местностях, количество получателей, имеющих право на получение страховых выплат в случае смерти застрахованного лица, оценочно составило:</w:t>
      </w:r>
    </w:p>
    <w:p w14:paraId="17E03D84" w14:textId="77777777" w:rsidR="009135C2" w:rsidRPr="004B5437" w:rsidRDefault="009B357D" w:rsidP="009135C2">
      <w:pPr>
        <w:spacing w:after="0" w:line="312" w:lineRule="auto"/>
        <w:ind w:firstLine="709"/>
        <w:jc w:val="both"/>
        <w:rPr>
          <w:rFonts w:ascii="Times New Roman" w:eastAsia="Times New Roman" w:hAnsi="Times New Roman" w:cs="Times New Roman"/>
          <w:sz w:val="28"/>
          <w:szCs w:val="28"/>
          <w:lang w:eastAsia="ru-RU"/>
        </w:rPr>
      </w:pPr>
      <w:r w:rsidRPr="004B5437">
        <w:rPr>
          <w:rFonts w:ascii="Times New Roman" w:eastAsia="Times New Roman" w:hAnsi="Times New Roman" w:cs="Times New Roman"/>
          <w:sz w:val="28"/>
          <w:szCs w:val="28"/>
          <w:lang w:eastAsia="ru-RU"/>
        </w:rPr>
        <w:t>- 3,</w:t>
      </w:r>
      <w:r w:rsidR="004B5437" w:rsidRPr="004B5437">
        <w:rPr>
          <w:rFonts w:ascii="Times New Roman" w:eastAsia="Times New Roman" w:hAnsi="Times New Roman" w:cs="Times New Roman"/>
          <w:sz w:val="28"/>
          <w:szCs w:val="28"/>
          <w:lang w:eastAsia="ru-RU"/>
        </w:rPr>
        <w:t>5</w:t>
      </w:r>
      <w:r w:rsidRPr="004B5437">
        <w:rPr>
          <w:rFonts w:ascii="Times New Roman" w:eastAsia="Times New Roman" w:hAnsi="Times New Roman" w:cs="Times New Roman"/>
          <w:sz w:val="28"/>
          <w:szCs w:val="28"/>
          <w:lang w:eastAsia="ru-RU"/>
        </w:rPr>
        <w:t xml:space="preserve"> тыс. человек </w:t>
      </w:r>
      <w:r w:rsidR="009135C2" w:rsidRPr="004B5437">
        <w:rPr>
          <w:rFonts w:ascii="Times New Roman" w:eastAsia="Times New Roman" w:hAnsi="Times New Roman" w:cs="Times New Roman"/>
          <w:sz w:val="28"/>
          <w:szCs w:val="28"/>
          <w:lang w:eastAsia="ru-RU"/>
        </w:rPr>
        <w:t>(до достижения ребенком возраста 18 лет), средний размер ежемесячной страховой выплаты составляет 18,</w:t>
      </w:r>
      <w:r w:rsidR="004B5437" w:rsidRPr="004B5437">
        <w:rPr>
          <w:rFonts w:ascii="Times New Roman" w:eastAsia="Times New Roman" w:hAnsi="Times New Roman" w:cs="Times New Roman"/>
          <w:sz w:val="28"/>
          <w:szCs w:val="28"/>
          <w:lang w:eastAsia="ru-RU"/>
        </w:rPr>
        <w:t>2</w:t>
      </w:r>
      <w:r w:rsidR="009135C2" w:rsidRPr="004B5437">
        <w:rPr>
          <w:rFonts w:ascii="Times New Roman" w:eastAsia="Times New Roman" w:hAnsi="Times New Roman" w:cs="Times New Roman"/>
          <w:sz w:val="28"/>
          <w:szCs w:val="28"/>
          <w:lang w:eastAsia="ru-RU"/>
        </w:rPr>
        <w:t xml:space="preserve"> тыс. рублей;</w:t>
      </w:r>
    </w:p>
    <w:p w14:paraId="10A49D3D" w14:textId="77777777" w:rsidR="004B5437" w:rsidRPr="004B5437" w:rsidRDefault="009135C2" w:rsidP="004B5437">
      <w:pPr>
        <w:spacing w:after="0" w:line="312" w:lineRule="auto"/>
        <w:ind w:firstLine="709"/>
        <w:jc w:val="both"/>
        <w:rPr>
          <w:rFonts w:ascii="Times New Roman" w:eastAsia="Times New Roman" w:hAnsi="Times New Roman" w:cs="Times New Roman"/>
          <w:sz w:val="28"/>
          <w:szCs w:val="28"/>
          <w:lang w:eastAsia="ru-RU"/>
        </w:rPr>
      </w:pPr>
      <w:r w:rsidRPr="004B5437">
        <w:rPr>
          <w:rFonts w:ascii="Times New Roman" w:eastAsia="Times New Roman" w:hAnsi="Times New Roman" w:cs="Times New Roman"/>
          <w:sz w:val="28"/>
          <w:szCs w:val="28"/>
          <w:lang w:eastAsia="ru-RU"/>
        </w:rPr>
        <w:t>- 1,7 тыс. человек (совершеннолетние, обучающиеся по очной форме обучения, но не более чем до достижения возраста 23 лет), средний размер ежемесячной страховой выплаты составляет 1</w:t>
      </w:r>
      <w:r w:rsidR="004B5437" w:rsidRPr="004B5437">
        <w:rPr>
          <w:rFonts w:ascii="Times New Roman" w:eastAsia="Times New Roman" w:hAnsi="Times New Roman" w:cs="Times New Roman"/>
          <w:sz w:val="28"/>
          <w:szCs w:val="28"/>
          <w:lang w:eastAsia="ru-RU"/>
        </w:rPr>
        <w:t>8</w:t>
      </w:r>
      <w:r w:rsidRPr="004B5437">
        <w:rPr>
          <w:rFonts w:ascii="Times New Roman" w:eastAsia="Times New Roman" w:hAnsi="Times New Roman" w:cs="Times New Roman"/>
          <w:sz w:val="28"/>
          <w:szCs w:val="28"/>
          <w:lang w:eastAsia="ru-RU"/>
        </w:rPr>
        <w:t>,</w:t>
      </w:r>
      <w:r w:rsidR="004B5437" w:rsidRPr="004B5437">
        <w:rPr>
          <w:rFonts w:ascii="Times New Roman" w:eastAsia="Times New Roman" w:hAnsi="Times New Roman" w:cs="Times New Roman"/>
          <w:sz w:val="28"/>
          <w:szCs w:val="28"/>
          <w:lang w:eastAsia="ru-RU"/>
        </w:rPr>
        <w:t>1</w:t>
      </w:r>
      <w:r w:rsidRPr="004B5437">
        <w:rPr>
          <w:rFonts w:ascii="Times New Roman" w:eastAsia="Times New Roman" w:hAnsi="Times New Roman" w:cs="Times New Roman"/>
          <w:sz w:val="28"/>
          <w:szCs w:val="28"/>
          <w:lang w:eastAsia="ru-RU"/>
        </w:rPr>
        <w:t xml:space="preserve"> тыс. рублей.</w:t>
      </w:r>
    </w:p>
    <w:p w14:paraId="1630EE0D" w14:textId="77777777" w:rsidR="0010107D" w:rsidRPr="00094A62" w:rsidRDefault="002C7A78" w:rsidP="0010107D">
      <w:pPr>
        <w:spacing w:after="0" w:line="312" w:lineRule="auto"/>
        <w:ind w:firstLine="709"/>
        <w:jc w:val="both"/>
        <w:rPr>
          <w:rFonts w:ascii="Times New Roman" w:eastAsia="Times New Roman" w:hAnsi="Times New Roman" w:cs="Times New Roman"/>
          <w:sz w:val="28"/>
          <w:szCs w:val="28"/>
          <w:lang w:eastAsia="ru-RU"/>
        </w:rPr>
      </w:pPr>
      <w:r w:rsidRPr="00094A62">
        <w:rPr>
          <w:rFonts w:ascii="Times New Roman" w:eastAsia="Times New Roman" w:hAnsi="Times New Roman" w:cs="Times New Roman"/>
          <w:sz w:val="28"/>
          <w:szCs w:val="28"/>
          <w:lang w:eastAsia="ru-RU"/>
        </w:rPr>
        <w:t>Федеральным законом от 4 июня 2011 г. № 128-ФЗ</w:t>
      </w:r>
      <w:r w:rsidR="0010107D" w:rsidRPr="00094A62">
        <w:rPr>
          <w:rFonts w:ascii="Times New Roman" w:eastAsia="Times New Roman" w:hAnsi="Times New Roman" w:cs="Times New Roman"/>
          <w:sz w:val="28"/>
          <w:szCs w:val="28"/>
          <w:lang w:eastAsia="ru-RU"/>
        </w:rPr>
        <w:t xml:space="preserve">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w:t>
      </w:r>
      <w:r w:rsidR="00B4092D">
        <w:rPr>
          <w:rFonts w:ascii="Times New Roman" w:eastAsia="Times New Roman" w:hAnsi="Times New Roman" w:cs="Times New Roman"/>
          <w:sz w:val="28"/>
          <w:szCs w:val="28"/>
          <w:lang w:eastAsia="ru-RU"/>
        </w:rPr>
        <w:t>а выплата ежемесячного пособия.</w:t>
      </w:r>
    </w:p>
    <w:p w14:paraId="6E2927BC" w14:textId="77777777" w:rsidR="0010107D" w:rsidRPr="00094A62" w:rsidRDefault="002C7A78" w:rsidP="0010107D">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094A62">
        <w:rPr>
          <w:rFonts w:ascii="Times New Roman" w:eastAsia="Times New Roman" w:hAnsi="Times New Roman" w:cs="Times New Roman"/>
          <w:sz w:val="28"/>
          <w:szCs w:val="28"/>
          <w:lang w:eastAsia="ru-RU"/>
        </w:rPr>
        <w:t>В 2021 г</w:t>
      </w:r>
      <w:r w:rsidR="00B33C3A">
        <w:rPr>
          <w:rFonts w:ascii="Times New Roman" w:eastAsia="Times New Roman" w:hAnsi="Times New Roman" w:cs="Times New Roman"/>
          <w:sz w:val="28"/>
          <w:szCs w:val="28"/>
          <w:lang w:eastAsia="ru-RU"/>
        </w:rPr>
        <w:t>.</w:t>
      </w:r>
      <w:r w:rsidRPr="00094A62">
        <w:rPr>
          <w:rFonts w:ascii="Times New Roman" w:eastAsia="Times New Roman" w:hAnsi="Times New Roman" w:cs="Times New Roman"/>
          <w:sz w:val="28"/>
          <w:szCs w:val="28"/>
          <w:lang w:eastAsia="ru-RU"/>
        </w:rPr>
        <w:t xml:space="preserve"> на эти цели было направлено 658,1 млн рублей (2020 г. – 689,3 млн рублей; 2019 г. – 601,2 млн рублей).</w:t>
      </w:r>
    </w:p>
    <w:p w14:paraId="3BE64E49" w14:textId="1E32CE12" w:rsidR="0010107D" w:rsidRDefault="002C7A78" w:rsidP="00094A62">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094A62">
        <w:rPr>
          <w:rFonts w:ascii="Times New Roman" w:eastAsia="Times New Roman" w:hAnsi="Times New Roman" w:cs="Times New Roman"/>
          <w:sz w:val="28"/>
          <w:szCs w:val="28"/>
          <w:lang w:eastAsia="ru-RU"/>
        </w:rPr>
        <w:t xml:space="preserve">В соответствии с Законом Российской </w:t>
      </w:r>
      <w:r w:rsidR="00135082">
        <w:rPr>
          <w:rFonts w:ascii="Times New Roman" w:eastAsia="Times New Roman" w:hAnsi="Times New Roman" w:cs="Times New Roman"/>
          <w:sz w:val="28"/>
          <w:szCs w:val="28"/>
          <w:lang w:eastAsia="ru-RU"/>
        </w:rPr>
        <w:t xml:space="preserve">Федерации от 21 января 1993 г. </w:t>
      </w:r>
      <w:r w:rsidR="00135082">
        <w:rPr>
          <w:rFonts w:ascii="Times New Roman" w:eastAsia="Times New Roman" w:hAnsi="Times New Roman" w:cs="Times New Roman"/>
          <w:sz w:val="28"/>
          <w:szCs w:val="28"/>
          <w:lang w:eastAsia="ru-RU"/>
        </w:rPr>
        <w:br/>
      </w:r>
      <w:r w:rsidRPr="00094A62">
        <w:rPr>
          <w:rFonts w:ascii="Times New Roman" w:eastAsia="Times New Roman" w:hAnsi="Times New Roman" w:cs="Times New Roman"/>
          <w:sz w:val="28"/>
          <w:szCs w:val="28"/>
          <w:lang w:eastAsia="ru-RU"/>
        </w:rPr>
        <w:t>№ 4328-1</w:t>
      </w:r>
      <w:r w:rsidR="0010107D" w:rsidRPr="00094A62">
        <w:rPr>
          <w:rFonts w:ascii="Times New Roman" w:eastAsia="Times New Roman" w:hAnsi="Times New Roman" w:cs="Times New Roman"/>
          <w:sz w:val="28"/>
          <w:szCs w:val="28"/>
          <w:lang w:eastAsia="ru-RU"/>
        </w:rPr>
        <w:t xml:space="preserve"> предусмотрено предоставление пособий на проведение летнего оздоровительного отдыха детей военнослужащих,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w:t>
      </w:r>
      <w:r w:rsidR="00094A62" w:rsidRPr="00094A62">
        <w:rPr>
          <w:rFonts w:ascii="Times New Roman" w:eastAsia="Times New Roman" w:hAnsi="Times New Roman" w:cs="Times New Roman"/>
          <w:sz w:val="28"/>
          <w:szCs w:val="28"/>
          <w:lang w:eastAsia="ru-RU"/>
        </w:rPr>
        <w:t>.</w:t>
      </w:r>
    </w:p>
    <w:p w14:paraId="0D560B15" w14:textId="77777777" w:rsidR="00094A62" w:rsidRPr="0010107D" w:rsidRDefault="00094A62" w:rsidP="00094A62">
      <w:pPr>
        <w:shd w:val="clear" w:color="auto" w:fill="FFFFFF"/>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2021 г</w:t>
      </w:r>
      <w:r w:rsidR="00B33C3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из федерального бюджета было направлено 595 млн рублей </w:t>
      </w:r>
      <w:r>
        <w:rPr>
          <w:rFonts w:ascii="Times New Roman" w:eastAsia="Times New Roman" w:hAnsi="Times New Roman" w:cs="Times New Roman"/>
          <w:sz w:val="28"/>
          <w:szCs w:val="28"/>
          <w:lang w:eastAsia="ru-RU"/>
        </w:rPr>
        <w:br/>
        <w:t>(2020 г. – 559,5 млн рублей; 2019 г. – 557,2 млн рублей).</w:t>
      </w:r>
    </w:p>
    <w:p w14:paraId="38F3DFD3" w14:textId="77777777" w:rsidR="0010107D" w:rsidRPr="0010107D"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10107D">
        <w:rPr>
          <w:rFonts w:ascii="Times New Roman" w:eastAsia="Calibri" w:hAnsi="Times New Roman" w:cs="Times New Roman"/>
          <w:sz w:val="28"/>
          <w:szCs w:val="28"/>
        </w:rPr>
        <w:t>В</w:t>
      </w:r>
      <w:r w:rsidR="00094A62">
        <w:rPr>
          <w:rFonts w:ascii="Times New Roman" w:eastAsia="Calibri" w:hAnsi="Times New Roman" w:cs="Times New Roman"/>
          <w:sz w:val="28"/>
          <w:szCs w:val="28"/>
        </w:rPr>
        <w:t xml:space="preserve"> рамках подпрограммы «Обеспечен</w:t>
      </w:r>
      <w:r w:rsidRPr="0010107D">
        <w:rPr>
          <w:rFonts w:ascii="Times New Roman" w:eastAsia="Calibri" w:hAnsi="Times New Roman" w:cs="Times New Roman"/>
          <w:sz w:val="28"/>
          <w:szCs w:val="28"/>
        </w:rPr>
        <w:t>ие государственной поддержки семей, имеющих детей»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14:paraId="7EDE6828" w14:textId="77777777" w:rsidR="0010107D" w:rsidRPr="0010107D" w:rsidRDefault="00712B25"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 выплату указанного пособия из федерального бюджета в 202</w:t>
      </w:r>
      <w:r w:rsidR="007F5DDC">
        <w:rPr>
          <w:rFonts w:ascii="Times New Roman" w:eastAsia="Calibri" w:hAnsi="Times New Roman" w:cs="Times New Roman"/>
          <w:sz w:val="28"/>
          <w:szCs w:val="28"/>
        </w:rPr>
        <w:t>1</w:t>
      </w:r>
      <w:r>
        <w:rPr>
          <w:rFonts w:ascii="Times New Roman" w:eastAsia="Calibri" w:hAnsi="Times New Roman" w:cs="Times New Roman"/>
          <w:sz w:val="28"/>
          <w:szCs w:val="28"/>
        </w:rPr>
        <w:t xml:space="preserve"> г</w:t>
      </w:r>
      <w:r w:rsidR="00B33C3A">
        <w:rPr>
          <w:rFonts w:ascii="Times New Roman" w:eastAsia="Calibri" w:hAnsi="Times New Roman" w:cs="Times New Roman"/>
          <w:sz w:val="28"/>
          <w:szCs w:val="28"/>
        </w:rPr>
        <w:t>.</w:t>
      </w:r>
      <w:r w:rsidR="00BA26A5">
        <w:rPr>
          <w:rFonts w:ascii="Times New Roman" w:eastAsia="Calibri" w:hAnsi="Times New Roman" w:cs="Times New Roman"/>
          <w:sz w:val="28"/>
          <w:szCs w:val="28"/>
        </w:rPr>
        <w:t xml:space="preserve"> было направлено </w:t>
      </w:r>
      <w:r w:rsidR="007F5DDC">
        <w:rPr>
          <w:rFonts w:ascii="Times New Roman" w:eastAsia="Calibri" w:hAnsi="Times New Roman" w:cs="Times New Roman"/>
          <w:sz w:val="28"/>
          <w:szCs w:val="28"/>
        </w:rPr>
        <w:t xml:space="preserve">11 623,2 </w:t>
      </w:r>
      <w:r w:rsidR="00BA26A5">
        <w:rPr>
          <w:rFonts w:ascii="Times New Roman" w:eastAsia="Calibri" w:hAnsi="Times New Roman" w:cs="Times New Roman"/>
          <w:sz w:val="28"/>
          <w:szCs w:val="28"/>
        </w:rPr>
        <w:t>млн</w:t>
      </w:r>
      <w:r>
        <w:rPr>
          <w:rFonts w:ascii="Times New Roman" w:eastAsia="Calibri" w:hAnsi="Times New Roman" w:cs="Times New Roman"/>
          <w:sz w:val="28"/>
          <w:szCs w:val="28"/>
        </w:rPr>
        <w:t xml:space="preserve"> рублей (</w:t>
      </w:r>
      <w:r w:rsidR="007F5DDC">
        <w:rPr>
          <w:rFonts w:ascii="Times New Roman" w:eastAsia="Calibri" w:hAnsi="Times New Roman" w:cs="Times New Roman"/>
          <w:sz w:val="28"/>
          <w:szCs w:val="28"/>
        </w:rPr>
        <w:t xml:space="preserve">2020 г. – 11 449,7 млн рублей; </w:t>
      </w:r>
      <w:r>
        <w:rPr>
          <w:rFonts w:ascii="Times New Roman" w:eastAsia="Calibri" w:hAnsi="Times New Roman" w:cs="Times New Roman"/>
          <w:sz w:val="28"/>
          <w:szCs w:val="28"/>
        </w:rPr>
        <w:t>2019 г. – 10 150,6 млн рублей).</w:t>
      </w:r>
    </w:p>
    <w:p w14:paraId="354EC3D0" w14:textId="77777777" w:rsidR="0010107D" w:rsidRPr="00837670" w:rsidRDefault="0010107D" w:rsidP="0010107D">
      <w:pPr>
        <w:suppressAutoHyphens/>
        <w:spacing w:after="0" w:line="312" w:lineRule="auto"/>
        <w:ind w:firstLine="709"/>
        <w:jc w:val="both"/>
        <w:rPr>
          <w:rFonts w:ascii="Times New Roman" w:eastAsia="Calibri" w:hAnsi="Times New Roman" w:cs="Times New Roman"/>
          <w:sz w:val="28"/>
          <w:szCs w:val="28"/>
          <w:lang w:eastAsia="ar-SA"/>
        </w:rPr>
      </w:pPr>
      <w:r w:rsidRPr="00837670">
        <w:rPr>
          <w:rFonts w:ascii="Times New Roman" w:eastAsia="Calibri" w:hAnsi="Times New Roman" w:cs="Times New Roman"/>
          <w:sz w:val="28"/>
          <w:szCs w:val="28"/>
          <w:lang w:eastAsia="ar-SA"/>
        </w:rPr>
        <w:t>Кроме того, одному из родителей (опекуну, попечителю) по его письменному заявлению предоставляются 4 дополнительных оплачиваемых выходных дня в месяц дл</w:t>
      </w:r>
      <w:r w:rsidR="00081376" w:rsidRPr="00837670">
        <w:rPr>
          <w:rFonts w:ascii="Times New Roman" w:eastAsia="Calibri" w:hAnsi="Times New Roman" w:cs="Times New Roman"/>
          <w:sz w:val="28"/>
          <w:szCs w:val="28"/>
          <w:lang w:eastAsia="ar-SA"/>
        </w:rPr>
        <w:t xml:space="preserve">я ухода за ребенком-инвалидом. </w:t>
      </w:r>
      <w:r w:rsidRPr="00837670">
        <w:rPr>
          <w:rFonts w:ascii="Times New Roman" w:eastAsia="Calibri" w:hAnsi="Times New Roman" w:cs="Times New Roman"/>
          <w:sz w:val="28"/>
          <w:szCs w:val="28"/>
          <w:lang w:eastAsia="ar-SA"/>
        </w:rP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14:paraId="29BAD104" w14:textId="77777777" w:rsidR="0010107D" w:rsidRDefault="0010107D" w:rsidP="0010107D">
      <w:pPr>
        <w:suppressAutoHyphens/>
        <w:spacing w:after="0" w:line="312" w:lineRule="auto"/>
        <w:ind w:firstLine="709"/>
        <w:jc w:val="both"/>
        <w:rPr>
          <w:rFonts w:ascii="Times New Roman" w:eastAsia="Calibri" w:hAnsi="Times New Roman" w:cs="Times New Roman"/>
          <w:sz w:val="28"/>
          <w:szCs w:val="28"/>
          <w:highlight w:val="yellow"/>
          <w:lang w:eastAsia="ar-SA"/>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3063"/>
        <w:gridCol w:w="3902"/>
      </w:tblGrid>
      <w:tr w:rsidR="0010107D" w:rsidRPr="003521F6" w14:paraId="1FC65479" w14:textId="77777777" w:rsidTr="00135082">
        <w:tc>
          <w:tcPr>
            <w:tcW w:w="2606" w:type="dxa"/>
            <w:vMerge w:val="restart"/>
          </w:tcPr>
          <w:p w14:paraId="2A9962DE" w14:textId="77777777" w:rsidR="0010107D" w:rsidRPr="00837670" w:rsidRDefault="0010107D" w:rsidP="0010107D">
            <w:pPr>
              <w:suppressAutoHyphens/>
              <w:spacing w:after="0" w:line="312" w:lineRule="auto"/>
              <w:jc w:val="both"/>
              <w:rPr>
                <w:rFonts w:ascii="Times New Roman" w:eastAsia="Calibri" w:hAnsi="Times New Roman" w:cs="Times New Roman"/>
                <w:lang w:eastAsia="ar-SA"/>
              </w:rPr>
            </w:pPr>
          </w:p>
        </w:tc>
        <w:tc>
          <w:tcPr>
            <w:tcW w:w="6965" w:type="dxa"/>
            <w:gridSpan w:val="2"/>
          </w:tcPr>
          <w:p w14:paraId="5972AF92" w14:textId="6E63248C" w:rsidR="0010107D" w:rsidRPr="00837670" w:rsidRDefault="0010107D" w:rsidP="003B77D7">
            <w:pPr>
              <w:suppressAutoHyphens/>
              <w:spacing w:after="0" w:line="240" w:lineRule="auto"/>
              <w:jc w:val="center"/>
              <w:rPr>
                <w:rFonts w:ascii="Times New Roman" w:eastAsia="Calibri" w:hAnsi="Times New Roman" w:cs="Times New Roman"/>
                <w:b/>
                <w:lang w:eastAsia="ar-SA"/>
              </w:rPr>
            </w:pPr>
            <w:r w:rsidRPr="00837670">
              <w:rPr>
                <w:rFonts w:ascii="Times New Roman" w:eastAsia="Calibri" w:hAnsi="Times New Roman" w:cs="Times New Roman"/>
                <w:b/>
                <w:lang w:eastAsia="ar-SA"/>
              </w:rPr>
              <w:t>Оплата четырех дополнительных выходных дней в месяц по уходу за детьми</w:t>
            </w:r>
            <w:r w:rsidR="003B77D7">
              <w:rPr>
                <w:rFonts w:ascii="Times New Roman" w:eastAsia="Calibri" w:hAnsi="Times New Roman" w:cs="Times New Roman"/>
                <w:b/>
                <w:lang w:eastAsia="ar-SA"/>
              </w:rPr>
              <w:t xml:space="preserve"> с инвалидностью</w:t>
            </w:r>
          </w:p>
        </w:tc>
      </w:tr>
      <w:tr w:rsidR="0010107D" w:rsidRPr="003521F6" w14:paraId="667972DC" w14:textId="77777777" w:rsidTr="00135082">
        <w:tc>
          <w:tcPr>
            <w:tcW w:w="2606" w:type="dxa"/>
            <w:vMerge/>
          </w:tcPr>
          <w:p w14:paraId="16A37708" w14:textId="77777777" w:rsidR="0010107D" w:rsidRPr="00837670" w:rsidRDefault="0010107D" w:rsidP="0010107D">
            <w:pPr>
              <w:suppressAutoHyphens/>
              <w:spacing w:after="0" w:line="312" w:lineRule="auto"/>
              <w:jc w:val="both"/>
              <w:rPr>
                <w:rFonts w:ascii="Times New Roman" w:eastAsia="Calibri" w:hAnsi="Times New Roman" w:cs="Times New Roman"/>
                <w:lang w:eastAsia="ar-SA"/>
              </w:rPr>
            </w:pPr>
          </w:p>
        </w:tc>
        <w:tc>
          <w:tcPr>
            <w:tcW w:w="3063" w:type="dxa"/>
          </w:tcPr>
          <w:p w14:paraId="181A35EA" w14:textId="77777777" w:rsidR="0010107D" w:rsidRPr="00837670" w:rsidRDefault="00BA26A5" w:rsidP="0010107D">
            <w:pPr>
              <w:suppressAutoHyphens/>
              <w:spacing w:after="0" w:line="312" w:lineRule="auto"/>
              <w:jc w:val="center"/>
              <w:rPr>
                <w:rFonts w:ascii="Times New Roman" w:eastAsia="Calibri" w:hAnsi="Times New Roman" w:cs="Times New Roman"/>
                <w:b/>
                <w:lang w:eastAsia="ar-SA"/>
              </w:rPr>
            </w:pPr>
            <w:r w:rsidRPr="00837670">
              <w:rPr>
                <w:rFonts w:ascii="Times New Roman" w:eastAsia="Calibri" w:hAnsi="Times New Roman" w:cs="Times New Roman"/>
                <w:b/>
                <w:lang w:eastAsia="ar-SA"/>
              </w:rPr>
              <w:t>Расходы в млн</w:t>
            </w:r>
            <w:r w:rsidR="0010107D" w:rsidRPr="00837670">
              <w:rPr>
                <w:rFonts w:ascii="Times New Roman" w:eastAsia="Calibri" w:hAnsi="Times New Roman" w:cs="Times New Roman"/>
                <w:b/>
                <w:lang w:eastAsia="ar-SA"/>
              </w:rPr>
              <w:t xml:space="preserve"> рублей</w:t>
            </w:r>
          </w:p>
        </w:tc>
        <w:tc>
          <w:tcPr>
            <w:tcW w:w="3902" w:type="dxa"/>
          </w:tcPr>
          <w:p w14:paraId="40931AD7" w14:textId="77777777" w:rsidR="0010107D" w:rsidRPr="00837670" w:rsidRDefault="0010107D" w:rsidP="0010107D">
            <w:pPr>
              <w:suppressAutoHyphens/>
              <w:spacing w:after="0" w:line="240" w:lineRule="auto"/>
              <w:jc w:val="center"/>
              <w:rPr>
                <w:rFonts w:ascii="Times New Roman" w:eastAsia="Calibri" w:hAnsi="Times New Roman" w:cs="Times New Roman"/>
                <w:b/>
                <w:lang w:eastAsia="ar-SA"/>
              </w:rPr>
            </w:pPr>
            <w:r w:rsidRPr="00837670">
              <w:rPr>
                <w:rFonts w:ascii="Times New Roman" w:eastAsia="Calibri" w:hAnsi="Times New Roman" w:cs="Times New Roman"/>
                <w:b/>
                <w:lang w:eastAsia="ar-SA"/>
              </w:rPr>
              <w:t>Количество оплаченных дней (тыс. дней)</w:t>
            </w:r>
          </w:p>
        </w:tc>
      </w:tr>
      <w:tr w:rsidR="00837670" w:rsidRPr="003521F6" w14:paraId="6D9F9522" w14:textId="77777777" w:rsidTr="00135082">
        <w:tc>
          <w:tcPr>
            <w:tcW w:w="2606" w:type="dxa"/>
          </w:tcPr>
          <w:p w14:paraId="5C384A12" w14:textId="77777777" w:rsidR="00837670" w:rsidRPr="00837670" w:rsidRDefault="00837670" w:rsidP="00B33C3A">
            <w:pPr>
              <w:suppressAutoHyphens/>
              <w:spacing w:after="0" w:line="312" w:lineRule="auto"/>
              <w:jc w:val="center"/>
              <w:rPr>
                <w:rFonts w:ascii="Times New Roman" w:eastAsia="Calibri" w:hAnsi="Times New Roman" w:cs="Times New Roman"/>
                <w:lang w:eastAsia="ar-SA"/>
              </w:rPr>
            </w:pPr>
            <w:r w:rsidRPr="00837670">
              <w:rPr>
                <w:rFonts w:ascii="Times New Roman" w:eastAsia="Calibri" w:hAnsi="Times New Roman" w:cs="Times New Roman"/>
                <w:lang w:eastAsia="ar-SA"/>
              </w:rPr>
              <w:t>2018 г</w:t>
            </w:r>
            <w:r w:rsidR="00B33C3A">
              <w:rPr>
                <w:rFonts w:ascii="Times New Roman" w:eastAsia="Calibri" w:hAnsi="Times New Roman" w:cs="Times New Roman"/>
                <w:lang w:eastAsia="ar-SA"/>
              </w:rPr>
              <w:t>.</w:t>
            </w:r>
          </w:p>
        </w:tc>
        <w:tc>
          <w:tcPr>
            <w:tcW w:w="3063" w:type="dxa"/>
          </w:tcPr>
          <w:p w14:paraId="767E80CF" w14:textId="77777777" w:rsidR="00837670" w:rsidRPr="00837670" w:rsidRDefault="00837670" w:rsidP="00837670">
            <w:pPr>
              <w:suppressAutoHyphens/>
              <w:spacing w:after="0" w:line="312" w:lineRule="auto"/>
              <w:jc w:val="center"/>
              <w:rPr>
                <w:rFonts w:ascii="Times New Roman" w:eastAsia="Calibri" w:hAnsi="Times New Roman" w:cs="Times New Roman"/>
                <w:lang w:eastAsia="ar-SA"/>
              </w:rPr>
            </w:pPr>
            <w:r w:rsidRPr="00837670">
              <w:rPr>
                <w:rFonts w:ascii="Times New Roman" w:eastAsia="Calibri" w:hAnsi="Times New Roman" w:cs="Times New Roman"/>
                <w:lang w:eastAsia="ar-SA"/>
              </w:rPr>
              <w:t>3 943,2</w:t>
            </w:r>
          </w:p>
        </w:tc>
        <w:tc>
          <w:tcPr>
            <w:tcW w:w="3902" w:type="dxa"/>
          </w:tcPr>
          <w:p w14:paraId="6E207118" w14:textId="77777777" w:rsidR="00837670" w:rsidRPr="00837670" w:rsidRDefault="00837670" w:rsidP="00837670">
            <w:pPr>
              <w:suppressAutoHyphens/>
              <w:spacing w:after="0" w:line="312" w:lineRule="auto"/>
              <w:jc w:val="center"/>
              <w:rPr>
                <w:rFonts w:ascii="Times New Roman" w:eastAsia="Calibri" w:hAnsi="Times New Roman" w:cs="Times New Roman"/>
                <w:lang w:eastAsia="ar-SA"/>
              </w:rPr>
            </w:pPr>
            <w:r w:rsidRPr="00837670">
              <w:rPr>
                <w:rFonts w:ascii="Times New Roman" w:eastAsia="Calibri" w:hAnsi="Times New Roman" w:cs="Times New Roman"/>
                <w:lang w:eastAsia="ar-SA"/>
              </w:rPr>
              <w:t>1 397,6</w:t>
            </w:r>
          </w:p>
        </w:tc>
      </w:tr>
      <w:tr w:rsidR="00837670" w:rsidRPr="003521F6" w14:paraId="53C2FFCF" w14:textId="77777777" w:rsidTr="00135082">
        <w:tc>
          <w:tcPr>
            <w:tcW w:w="2606" w:type="dxa"/>
          </w:tcPr>
          <w:p w14:paraId="1E293D74" w14:textId="77777777" w:rsidR="00837670" w:rsidRPr="00837670" w:rsidRDefault="00837670" w:rsidP="00B33C3A">
            <w:pPr>
              <w:suppressAutoHyphens/>
              <w:spacing w:after="0" w:line="312" w:lineRule="auto"/>
              <w:jc w:val="center"/>
              <w:rPr>
                <w:rFonts w:ascii="Times New Roman" w:eastAsia="Calibri" w:hAnsi="Times New Roman" w:cs="Times New Roman"/>
                <w:lang w:eastAsia="ar-SA"/>
              </w:rPr>
            </w:pPr>
            <w:r w:rsidRPr="00837670">
              <w:rPr>
                <w:rFonts w:ascii="Times New Roman" w:eastAsia="Calibri" w:hAnsi="Times New Roman" w:cs="Times New Roman"/>
                <w:lang w:eastAsia="ar-SA"/>
              </w:rPr>
              <w:t>2019 г</w:t>
            </w:r>
            <w:r w:rsidR="00B33C3A">
              <w:rPr>
                <w:rFonts w:ascii="Times New Roman" w:eastAsia="Calibri" w:hAnsi="Times New Roman" w:cs="Times New Roman"/>
                <w:lang w:eastAsia="ar-SA"/>
              </w:rPr>
              <w:t>.</w:t>
            </w:r>
          </w:p>
        </w:tc>
        <w:tc>
          <w:tcPr>
            <w:tcW w:w="3063" w:type="dxa"/>
          </w:tcPr>
          <w:p w14:paraId="2F27479C" w14:textId="77777777" w:rsidR="00837670" w:rsidRPr="00837670" w:rsidRDefault="00837670" w:rsidP="00837670">
            <w:pPr>
              <w:suppressAutoHyphens/>
              <w:spacing w:after="0" w:line="312" w:lineRule="auto"/>
              <w:jc w:val="center"/>
              <w:rPr>
                <w:rFonts w:ascii="Times New Roman" w:eastAsia="Calibri" w:hAnsi="Times New Roman" w:cs="Times New Roman"/>
                <w:lang w:eastAsia="ar-SA"/>
              </w:rPr>
            </w:pPr>
            <w:r w:rsidRPr="00837670">
              <w:rPr>
                <w:rFonts w:ascii="Times New Roman" w:eastAsia="Calibri" w:hAnsi="Times New Roman" w:cs="Times New Roman"/>
                <w:lang w:eastAsia="ar-SA"/>
              </w:rPr>
              <w:t>4 790,6</w:t>
            </w:r>
          </w:p>
        </w:tc>
        <w:tc>
          <w:tcPr>
            <w:tcW w:w="3902" w:type="dxa"/>
          </w:tcPr>
          <w:p w14:paraId="10F2F58E" w14:textId="77777777" w:rsidR="00837670" w:rsidRPr="00837670" w:rsidRDefault="00837670" w:rsidP="00837670">
            <w:pPr>
              <w:suppressAutoHyphens/>
              <w:spacing w:after="0" w:line="312" w:lineRule="auto"/>
              <w:jc w:val="center"/>
              <w:rPr>
                <w:rFonts w:ascii="Times New Roman" w:eastAsia="Calibri" w:hAnsi="Times New Roman" w:cs="Times New Roman"/>
                <w:lang w:eastAsia="ar-SA"/>
              </w:rPr>
            </w:pPr>
            <w:r w:rsidRPr="00837670">
              <w:rPr>
                <w:rFonts w:ascii="Times New Roman" w:eastAsia="Calibri" w:hAnsi="Times New Roman" w:cs="Times New Roman"/>
                <w:lang w:eastAsia="ar-SA"/>
              </w:rPr>
              <w:t>1 515,6</w:t>
            </w:r>
          </w:p>
        </w:tc>
      </w:tr>
      <w:tr w:rsidR="00837670" w:rsidRPr="003521F6" w14:paraId="4B5B7828" w14:textId="77777777" w:rsidTr="00135082">
        <w:tc>
          <w:tcPr>
            <w:tcW w:w="2606" w:type="dxa"/>
          </w:tcPr>
          <w:p w14:paraId="7ADC7D04" w14:textId="77777777" w:rsidR="00837670" w:rsidRPr="00837670" w:rsidRDefault="00837670" w:rsidP="00B33C3A">
            <w:pPr>
              <w:suppressAutoHyphens/>
              <w:spacing w:after="0" w:line="312" w:lineRule="auto"/>
              <w:jc w:val="center"/>
              <w:rPr>
                <w:rFonts w:ascii="Times New Roman" w:eastAsia="Calibri" w:hAnsi="Times New Roman" w:cs="Times New Roman"/>
                <w:lang w:eastAsia="ar-SA"/>
              </w:rPr>
            </w:pPr>
            <w:r w:rsidRPr="00837670">
              <w:rPr>
                <w:rFonts w:ascii="Times New Roman" w:eastAsia="Calibri" w:hAnsi="Times New Roman" w:cs="Times New Roman"/>
                <w:lang w:eastAsia="ar-SA"/>
              </w:rPr>
              <w:t>2020 г</w:t>
            </w:r>
            <w:r w:rsidR="00B33C3A">
              <w:rPr>
                <w:rFonts w:ascii="Times New Roman" w:eastAsia="Calibri" w:hAnsi="Times New Roman" w:cs="Times New Roman"/>
                <w:lang w:eastAsia="ar-SA"/>
              </w:rPr>
              <w:t>.</w:t>
            </w:r>
          </w:p>
        </w:tc>
        <w:tc>
          <w:tcPr>
            <w:tcW w:w="3063" w:type="dxa"/>
          </w:tcPr>
          <w:p w14:paraId="77B4F3F7" w14:textId="77777777" w:rsidR="00837670" w:rsidRPr="00837670" w:rsidRDefault="00837670" w:rsidP="00837670">
            <w:pPr>
              <w:suppressAutoHyphens/>
              <w:spacing w:after="0" w:line="312" w:lineRule="auto"/>
              <w:jc w:val="center"/>
              <w:rPr>
                <w:rFonts w:ascii="Times New Roman" w:eastAsia="Calibri" w:hAnsi="Times New Roman" w:cs="Times New Roman"/>
                <w:lang w:eastAsia="ar-SA"/>
              </w:rPr>
            </w:pPr>
            <w:r w:rsidRPr="00837670">
              <w:rPr>
                <w:rFonts w:ascii="Times New Roman" w:eastAsia="Calibri" w:hAnsi="Times New Roman" w:cs="Times New Roman"/>
                <w:lang w:eastAsia="ar-SA"/>
              </w:rPr>
              <w:t>4 744,3</w:t>
            </w:r>
          </w:p>
        </w:tc>
        <w:tc>
          <w:tcPr>
            <w:tcW w:w="3902" w:type="dxa"/>
          </w:tcPr>
          <w:p w14:paraId="7400521F" w14:textId="77777777" w:rsidR="00837670" w:rsidRPr="00837670" w:rsidRDefault="00837670" w:rsidP="00837670">
            <w:pPr>
              <w:suppressAutoHyphens/>
              <w:spacing w:after="0" w:line="312" w:lineRule="auto"/>
              <w:jc w:val="center"/>
              <w:rPr>
                <w:rFonts w:ascii="Times New Roman" w:eastAsia="Calibri" w:hAnsi="Times New Roman" w:cs="Times New Roman"/>
                <w:lang w:eastAsia="ar-SA"/>
              </w:rPr>
            </w:pPr>
            <w:r w:rsidRPr="00837670">
              <w:rPr>
                <w:rFonts w:ascii="Times New Roman" w:eastAsia="Calibri" w:hAnsi="Times New Roman" w:cs="Times New Roman"/>
                <w:lang w:eastAsia="ar-SA"/>
              </w:rPr>
              <w:t>1 384,7</w:t>
            </w:r>
          </w:p>
        </w:tc>
      </w:tr>
      <w:tr w:rsidR="00837670" w:rsidRPr="003521F6" w14:paraId="466116EE" w14:textId="77777777" w:rsidTr="00135082">
        <w:tc>
          <w:tcPr>
            <w:tcW w:w="2606" w:type="dxa"/>
          </w:tcPr>
          <w:p w14:paraId="0F1D6AFB" w14:textId="77777777" w:rsidR="00837670" w:rsidRPr="00837670" w:rsidRDefault="00837670" w:rsidP="00B33C3A">
            <w:pPr>
              <w:suppressAutoHyphens/>
              <w:spacing w:after="0" w:line="312" w:lineRule="auto"/>
              <w:jc w:val="center"/>
              <w:rPr>
                <w:rFonts w:ascii="Times New Roman" w:eastAsia="Calibri" w:hAnsi="Times New Roman" w:cs="Times New Roman"/>
                <w:lang w:eastAsia="ar-SA"/>
              </w:rPr>
            </w:pPr>
            <w:r w:rsidRPr="00837670">
              <w:rPr>
                <w:rFonts w:ascii="Times New Roman" w:eastAsia="Calibri" w:hAnsi="Times New Roman" w:cs="Times New Roman"/>
                <w:lang w:eastAsia="ar-SA"/>
              </w:rPr>
              <w:t>2021 г</w:t>
            </w:r>
            <w:r w:rsidR="00B33C3A">
              <w:rPr>
                <w:rFonts w:ascii="Times New Roman" w:eastAsia="Calibri" w:hAnsi="Times New Roman" w:cs="Times New Roman"/>
                <w:lang w:eastAsia="ar-SA"/>
              </w:rPr>
              <w:t>.</w:t>
            </w:r>
          </w:p>
        </w:tc>
        <w:tc>
          <w:tcPr>
            <w:tcW w:w="3063" w:type="dxa"/>
          </w:tcPr>
          <w:p w14:paraId="769DC77E" w14:textId="77777777" w:rsidR="00837670" w:rsidRPr="00837670" w:rsidRDefault="00837670" w:rsidP="00837670">
            <w:pPr>
              <w:suppressAutoHyphens/>
              <w:spacing w:after="0" w:line="312" w:lineRule="auto"/>
              <w:jc w:val="center"/>
              <w:rPr>
                <w:rFonts w:ascii="Times New Roman" w:eastAsia="Calibri" w:hAnsi="Times New Roman" w:cs="Times New Roman"/>
                <w:lang w:eastAsia="ar-SA"/>
              </w:rPr>
            </w:pPr>
            <w:r w:rsidRPr="00837670">
              <w:rPr>
                <w:rFonts w:ascii="Times New Roman" w:eastAsia="Calibri" w:hAnsi="Times New Roman" w:cs="Times New Roman"/>
                <w:lang w:eastAsia="ar-SA"/>
              </w:rPr>
              <w:t>4 752,7</w:t>
            </w:r>
          </w:p>
        </w:tc>
        <w:tc>
          <w:tcPr>
            <w:tcW w:w="3902" w:type="dxa"/>
          </w:tcPr>
          <w:p w14:paraId="1DFB2257" w14:textId="77777777" w:rsidR="00837670" w:rsidRPr="00837670" w:rsidRDefault="00837670" w:rsidP="00837670">
            <w:pPr>
              <w:suppressAutoHyphens/>
              <w:spacing w:after="0" w:line="312" w:lineRule="auto"/>
              <w:jc w:val="center"/>
              <w:rPr>
                <w:rFonts w:ascii="Times New Roman" w:eastAsia="Calibri" w:hAnsi="Times New Roman" w:cs="Times New Roman"/>
                <w:lang w:eastAsia="ar-SA"/>
              </w:rPr>
            </w:pPr>
            <w:r w:rsidRPr="00837670">
              <w:rPr>
                <w:rFonts w:ascii="Times New Roman" w:eastAsia="Calibri" w:hAnsi="Times New Roman" w:cs="Times New Roman"/>
                <w:lang w:eastAsia="ar-SA"/>
              </w:rPr>
              <w:t>1 308,4</w:t>
            </w:r>
          </w:p>
        </w:tc>
      </w:tr>
    </w:tbl>
    <w:p w14:paraId="15B99290" w14:textId="77777777" w:rsidR="0010107D" w:rsidRPr="003521F6" w:rsidRDefault="0010107D" w:rsidP="0010107D">
      <w:pPr>
        <w:suppressAutoHyphens/>
        <w:spacing w:after="0" w:line="312" w:lineRule="auto"/>
        <w:jc w:val="both"/>
        <w:rPr>
          <w:rFonts w:ascii="Times New Roman" w:eastAsia="Calibri" w:hAnsi="Times New Roman" w:cs="Times New Roman"/>
          <w:sz w:val="28"/>
          <w:szCs w:val="28"/>
          <w:highlight w:val="yellow"/>
          <w:lang w:eastAsia="ar-SA"/>
        </w:rPr>
      </w:pPr>
    </w:p>
    <w:p w14:paraId="0B385996" w14:textId="77777777" w:rsidR="0010107D" w:rsidRPr="00837670" w:rsidRDefault="0010107D" w:rsidP="0010107D">
      <w:pPr>
        <w:spacing w:after="0" w:line="312" w:lineRule="auto"/>
        <w:ind w:firstLine="709"/>
        <w:jc w:val="both"/>
        <w:rPr>
          <w:rFonts w:ascii="Times New Roman" w:eastAsia="Calibri" w:hAnsi="Times New Roman" w:cs="Times New Roman"/>
          <w:sz w:val="28"/>
          <w:szCs w:val="28"/>
          <w:lang w:eastAsia="ar-SA"/>
        </w:rPr>
      </w:pPr>
      <w:r w:rsidRPr="00837670">
        <w:rPr>
          <w:rFonts w:ascii="Times New Roman" w:eastAsia="Calibri" w:hAnsi="Times New Roman" w:cs="Times New Roman"/>
          <w:sz w:val="28"/>
          <w:szCs w:val="28"/>
          <w:lang w:eastAsia="ar-SA"/>
        </w:rPr>
        <w:t>В рамках реализации Указа П</w:t>
      </w:r>
      <w:r w:rsidR="00081376" w:rsidRPr="00837670">
        <w:rPr>
          <w:rFonts w:ascii="Times New Roman" w:eastAsia="Calibri" w:hAnsi="Times New Roman" w:cs="Times New Roman"/>
          <w:sz w:val="28"/>
          <w:szCs w:val="28"/>
          <w:lang w:eastAsia="ar-SA"/>
        </w:rPr>
        <w:t xml:space="preserve">резидента Российской Федерации </w:t>
      </w:r>
      <w:r w:rsidRPr="00837670">
        <w:rPr>
          <w:rFonts w:ascii="Times New Roman" w:eastAsia="Calibri" w:hAnsi="Times New Roman" w:cs="Times New Roman"/>
          <w:sz w:val="28"/>
          <w:szCs w:val="28"/>
          <w:lang w:eastAsia="ar-SA"/>
        </w:rPr>
        <w:t xml:space="preserve">от 26 марта 2008 г. № 404 </w:t>
      </w:r>
      <w:r w:rsidRPr="00837670">
        <w:rPr>
          <w:rFonts w:ascii="Times New Roman" w:eastAsia="Calibri" w:hAnsi="Times New Roman" w:cs="Times New Roman"/>
          <w:sz w:val="28"/>
          <w:szCs w:val="28"/>
        </w:rPr>
        <w:t xml:space="preserve">«О создании фонда </w:t>
      </w:r>
      <w:r w:rsidRPr="00837670">
        <w:rPr>
          <w:rFonts w:ascii="Times New Roman" w:eastAsia="Calibri" w:hAnsi="Times New Roman" w:cs="Times New Roman"/>
          <w:sz w:val="28"/>
          <w:szCs w:val="28"/>
          <w:lang w:eastAsia="ar-SA"/>
        </w:rPr>
        <w:t>поддержки детей, находящихся в трудной жизненной ситуации</w:t>
      </w:r>
      <w:r w:rsidRPr="00837670">
        <w:rPr>
          <w:rFonts w:ascii="Times New Roman" w:eastAsia="Calibri" w:hAnsi="Times New Roman" w:cs="Times New Roman"/>
          <w:sz w:val="28"/>
          <w:szCs w:val="28"/>
        </w:rPr>
        <w:t>»</w:t>
      </w:r>
      <w:r w:rsidR="00705A6D" w:rsidRPr="00837670">
        <w:rPr>
          <w:rFonts w:ascii="Times New Roman" w:eastAsia="Calibri" w:hAnsi="Times New Roman" w:cs="Times New Roman"/>
          <w:sz w:val="28"/>
          <w:szCs w:val="28"/>
          <w:lang w:eastAsia="ar-SA"/>
        </w:rPr>
        <w:t xml:space="preserve"> в 202</w:t>
      </w:r>
      <w:r w:rsidR="00CA4B34">
        <w:rPr>
          <w:rFonts w:ascii="Times New Roman" w:eastAsia="Calibri" w:hAnsi="Times New Roman" w:cs="Times New Roman"/>
          <w:sz w:val="28"/>
          <w:szCs w:val="28"/>
          <w:lang w:eastAsia="ar-SA"/>
        </w:rPr>
        <w:t>1</w:t>
      </w:r>
      <w:r w:rsidRPr="00837670">
        <w:rPr>
          <w:rFonts w:ascii="Times New Roman" w:eastAsia="Calibri" w:hAnsi="Times New Roman" w:cs="Times New Roman"/>
          <w:sz w:val="28"/>
          <w:szCs w:val="28"/>
          <w:lang w:eastAsia="ar-SA"/>
        </w:rPr>
        <w:t xml:space="preserve"> г</w:t>
      </w:r>
      <w:r w:rsidR="00D87B9A">
        <w:rPr>
          <w:rFonts w:ascii="Times New Roman" w:eastAsia="Calibri" w:hAnsi="Times New Roman" w:cs="Times New Roman"/>
          <w:sz w:val="28"/>
          <w:szCs w:val="28"/>
          <w:lang w:eastAsia="ar-SA"/>
        </w:rPr>
        <w:t>.</w:t>
      </w:r>
      <w:r w:rsidRPr="00837670">
        <w:rPr>
          <w:rFonts w:ascii="Times New Roman" w:eastAsia="Calibri" w:hAnsi="Times New Roman" w:cs="Times New Roman"/>
          <w:sz w:val="28"/>
          <w:szCs w:val="28"/>
          <w:lang w:eastAsia="ar-SA"/>
        </w:rPr>
        <w:t xml:space="preserve"> продолжилось выделение субсидий Фонду поддержки детей, находящихся в трудной жизненной ситуации.</w:t>
      </w:r>
    </w:p>
    <w:p w14:paraId="0BD1769C" w14:textId="77777777" w:rsidR="0010107D" w:rsidRPr="00837670" w:rsidRDefault="0010107D" w:rsidP="00B636F7">
      <w:pPr>
        <w:spacing w:after="0" w:line="312" w:lineRule="auto"/>
        <w:ind w:firstLine="709"/>
        <w:jc w:val="both"/>
        <w:rPr>
          <w:rFonts w:ascii="Times New Roman" w:eastAsia="Calibri" w:hAnsi="Times New Roman" w:cs="Times New Roman"/>
          <w:sz w:val="28"/>
          <w:szCs w:val="28"/>
          <w:lang w:eastAsia="ar-SA"/>
        </w:rPr>
      </w:pPr>
      <w:r w:rsidRPr="00837670">
        <w:rPr>
          <w:rFonts w:ascii="Times New Roman" w:eastAsia="Calibri" w:hAnsi="Times New Roman" w:cs="Times New Roman"/>
          <w:sz w:val="28"/>
          <w:szCs w:val="28"/>
          <w:lang w:eastAsia="ar-SA"/>
        </w:rPr>
        <w:t>Объем субсидий, предоставленных указанному Фонду</w:t>
      </w:r>
      <w:r w:rsidR="00837670" w:rsidRPr="00837670">
        <w:rPr>
          <w:rFonts w:ascii="Times New Roman" w:eastAsia="Calibri" w:hAnsi="Times New Roman" w:cs="Times New Roman"/>
          <w:sz w:val="28"/>
          <w:szCs w:val="28"/>
          <w:lang w:eastAsia="ar-SA"/>
        </w:rPr>
        <w:t xml:space="preserve"> в </w:t>
      </w:r>
      <w:r w:rsidR="00B33C3A">
        <w:rPr>
          <w:rFonts w:ascii="Times New Roman" w:eastAsia="Calibri" w:hAnsi="Times New Roman" w:cs="Times New Roman"/>
          <w:sz w:val="28"/>
          <w:szCs w:val="28"/>
          <w:lang w:eastAsia="ar-SA"/>
        </w:rPr>
        <w:t>2019-2021 гг.</w:t>
      </w:r>
      <w:r w:rsidR="00837670" w:rsidRPr="00837670">
        <w:rPr>
          <w:rFonts w:ascii="Times New Roman" w:eastAsia="Calibri" w:hAnsi="Times New Roman" w:cs="Times New Roman"/>
          <w:sz w:val="28"/>
          <w:szCs w:val="28"/>
          <w:lang w:eastAsia="ar-SA"/>
        </w:rPr>
        <w:t xml:space="preserve">, составил </w:t>
      </w:r>
      <w:r w:rsidR="00BA26A5" w:rsidRPr="00837670">
        <w:rPr>
          <w:rFonts w:ascii="Times New Roman" w:eastAsia="Calibri" w:hAnsi="Times New Roman" w:cs="Times New Roman"/>
          <w:sz w:val="28"/>
          <w:szCs w:val="28"/>
          <w:lang w:eastAsia="ar-SA"/>
        </w:rPr>
        <w:t>855,0 млн</w:t>
      </w:r>
      <w:r w:rsidRPr="00837670">
        <w:rPr>
          <w:rFonts w:ascii="Times New Roman" w:eastAsia="Calibri" w:hAnsi="Times New Roman" w:cs="Times New Roman"/>
          <w:sz w:val="28"/>
          <w:szCs w:val="28"/>
          <w:lang w:eastAsia="ar-SA"/>
        </w:rPr>
        <w:t xml:space="preserve"> рублей ежегодно.</w:t>
      </w:r>
    </w:p>
    <w:p w14:paraId="7DBFEB1A" w14:textId="406B7148" w:rsidR="00B636F7" w:rsidRPr="00B636F7" w:rsidRDefault="00B636F7" w:rsidP="00B636F7">
      <w:pPr>
        <w:spacing w:after="0" w:line="312" w:lineRule="auto"/>
        <w:ind w:firstLine="709"/>
        <w:jc w:val="both"/>
        <w:rPr>
          <w:rFonts w:ascii="Times New Roman" w:eastAsia="Calibri" w:hAnsi="Times New Roman" w:cs="Times New Roman"/>
          <w:sz w:val="28"/>
          <w:szCs w:val="28"/>
        </w:rPr>
      </w:pPr>
      <w:r w:rsidRPr="00B636F7">
        <w:rPr>
          <w:rFonts w:ascii="Times New Roman" w:eastAsia="Calibri" w:hAnsi="Times New Roman" w:cs="Times New Roman"/>
          <w:sz w:val="28"/>
          <w:szCs w:val="28"/>
        </w:rPr>
        <w:t>В целях поддержки семей, воспитывающих детей школьного возраста, Указом Президента Российской Федерации от 2 июля 2021 г. № 396 была предоставлена единовременная выплата в размере 10 тыс. рублей. Право на получение единовременной выплаты установлено одному из родителей (усыновителей, опекунов, попечителей) детей в возрасте от 6 до 18 лет, имеющих гражданство Российской Федерации (при условии достижения ребенком возраста 6 лет не позднее 1 сентября 2021 г.), а также инвалидам, лицам с ограниченными возможностями здоровья в возрасте от 18 до 23 лет, имеющим гражданство Российской Федерации и обучающимся по основным общеобразовательным программам, либо одному из их родителей (законных представителей).</w:t>
      </w:r>
    </w:p>
    <w:p w14:paraId="46AB39A2" w14:textId="77777777" w:rsidR="009F30D7" w:rsidRPr="00B636F7" w:rsidRDefault="00B636F7" w:rsidP="009F30D7">
      <w:pPr>
        <w:spacing w:after="0" w:line="312" w:lineRule="auto"/>
        <w:ind w:firstLine="709"/>
        <w:jc w:val="both"/>
        <w:rPr>
          <w:rFonts w:ascii="Times New Roman" w:eastAsia="Calibri" w:hAnsi="Times New Roman" w:cs="Times New Roman"/>
          <w:sz w:val="28"/>
          <w:szCs w:val="28"/>
        </w:rPr>
      </w:pPr>
      <w:r w:rsidRPr="00B636F7">
        <w:rPr>
          <w:rFonts w:ascii="Times New Roman" w:eastAsia="Calibri" w:hAnsi="Times New Roman" w:cs="Times New Roman"/>
          <w:sz w:val="28"/>
          <w:szCs w:val="28"/>
        </w:rPr>
        <w:t>На осуществление единовременной выплаты бюджету ПФР был предоставлен межбюджетный трансферт в объеме 209 614 млн рублей, из которых 204 534,7 млн рублей – из резервного фонда Правительства Российской Федерации.</w:t>
      </w:r>
    </w:p>
    <w:p w14:paraId="31CED8FD" w14:textId="77777777" w:rsidR="0010107D" w:rsidRPr="00B636F7"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B636F7">
        <w:rPr>
          <w:rFonts w:ascii="Times New Roman" w:eastAsia="Calibri" w:hAnsi="Times New Roman" w:cs="Times New Roman"/>
          <w:sz w:val="28"/>
          <w:szCs w:val="28"/>
        </w:rPr>
        <w:t xml:space="preserve">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B636F7">
        <w:rPr>
          <w:rFonts w:ascii="Times New Roman" w:eastAsia="Calibri" w:hAnsi="Times New Roman" w:cs="Times New Roman"/>
          <w:sz w:val="28"/>
          <w:szCs w:val="28"/>
          <w:lang w:eastAsia="ar-SA"/>
        </w:rPr>
        <w:t xml:space="preserve">– Федеральный закон от 6 октября 1999 г. № 184-ФЗ) </w:t>
      </w:r>
      <w:r w:rsidRPr="00B636F7">
        <w:rPr>
          <w:rFonts w:ascii="Times New Roman" w:eastAsia="Calibri" w:hAnsi="Times New Roman" w:cs="Times New Roman"/>
          <w:sz w:val="28"/>
          <w:szCs w:val="28"/>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r w:rsidR="00793ED3">
        <w:rPr>
          <w:rFonts w:ascii="Times New Roman" w:eastAsia="Calibri" w:hAnsi="Times New Roman" w:cs="Times New Roman"/>
          <w:sz w:val="28"/>
          <w:szCs w:val="28"/>
        </w:rPr>
        <w:t xml:space="preserve"> (с 1 января 2023 г. действует Федеральный закон от 21 декабря 2021 г. № 414-ФЗ «Об общих принципах организации публичной власти в субъектах Российской Федерации»)</w:t>
      </w:r>
      <w:r w:rsidRPr="00B636F7">
        <w:rPr>
          <w:rFonts w:ascii="Times New Roman" w:eastAsia="Calibri" w:hAnsi="Times New Roman" w:cs="Times New Roman"/>
          <w:sz w:val="28"/>
          <w:szCs w:val="28"/>
        </w:rPr>
        <w:t>.</w:t>
      </w:r>
    </w:p>
    <w:p w14:paraId="67673348" w14:textId="77777777" w:rsidR="0010107D" w:rsidRPr="00B636F7"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B636F7">
        <w:rPr>
          <w:rFonts w:ascii="Times New Roman" w:eastAsia="Calibri" w:hAnsi="Times New Roman" w:cs="Times New Roman"/>
          <w:sz w:val="28"/>
          <w:szCs w:val="28"/>
        </w:rPr>
        <w:t>В соответствии с Федеральным законом от 6 октября 1999 г. № 184-ФЗ, а также статьей 16 Федерального закона от 19 мая 1995 г. № 81-ФЗ</w:t>
      </w:r>
      <w:r w:rsidR="00B33C3A">
        <w:rPr>
          <w:rFonts w:ascii="Times New Roman" w:eastAsia="Calibri" w:hAnsi="Times New Roman" w:cs="Times New Roman"/>
          <w:sz w:val="28"/>
          <w:szCs w:val="28"/>
        </w:rPr>
        <w:t xml:space="preserve"> </w:t>
      </w:r>
      <w:r w:rsidRPr="00B636F7">
        <w:rPr>
          <w:rFonts w:ascii="Times New Roman" w:eastAsia="Calibri" w:hAnsi="Times New Roman" w:cs="Times New Roman"/>
          <w:sz w:val="28"/>
          <w:szCs w:val="28"/>
        </w:rPr>
        <w:t>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14:paraId="7D273508" w14:textId="77777777" w:rsidR="0010107D" w:rsidRPr="00B636F7"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B636F7">
        <w:rPr>
          <w:rFonts w:ascii="Times New Roman" w:eastAsia="Calibri" w:hAnsi="Times New Roman" w:cs="Times New Roman"/>
          <w:sz w:val="28"/>
          <w:szCs w:val="28"/>
        </w:rPr>
        <w:t>В связи с вступлением в силу с 1 января</w:t>
      </w:r>
      <w:r w:rsidR="00AB016E" w:rsidRPr="00B636F7">
        <w:rPr>
          <w:rFonts w:ascii="Times New Roman" w:eastAsia="Calibri" w:hAnsi="Times New Roman" w:cs="Times New Roman"/>
          <w:sz w:val="28"/>
          <w:szCs w:val="28"/>
        </w:rPr>
        <w:t xml:space="preserve"> 2016 г</w:t>
      </w:r>
      <w:r w:rsidR="00793ED3">
        <w:rPr>
          <w:rFonts w:ascii="Times New Roman" w:eastAsia="Calibri" w:hAnsi="Times New Roman" w:cs="Times New Roman"/>
          <w:sz w:val="28"/>
          <w:szCs w:val="28"/>
        </w:rPr>
        <w:t>.</w:t>
      </w:r>
      <w:r w:rsidR="00AB016E" w:rsidRPr="00B636F7">
        <w:rPr>
          <w:rFonts w:ascii="Times New Roman" w:eastAsia="Calibri" w:hAnsi="Times New Roman" w:cs="Times New Roman"/>
          <w:sz w:val="28"/>
          <w:szCs w:val="28"/>
        </w:rPr>
        <w:t xml:space="preserve"> Федерального закона </w:t>
      </w:r>
      <w:r w:rsidR="00793ED3">
        <w:rPr>
          <w:rFonts w:ascii="Times New Roman" w:eastAsia="Calibri" w:hAnsi="Times New Roman" w:cs="Times New Roman"/>
          <w:sz w:val="28"/>
          <w:szCs w:val="28"/>
        </w:rPr>
        <w:br/>
      </w:r>
      <w:r w:rsidRPr="00B636F7">
        <w:rPr>
          <w:rFonts w:ascii="Times New Roman" w:eastAsia="Calibri" w:hAnsi="Times New Roman" w:cs="Times New Roman"/>
          <w:sz w:val="28"/>
          <w:szCs w:val="28"/>
        </w:rPr>
        <w:t>от 29 декабря 2015 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14:paraId="642A78FA" w14:textId="77777777" w:rsidR="0010107D" w:rsidRPr="00B636F7"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B636F7">
        <w:rPr>
          <w:rFonts w:ascii="Times New Roman" w:eastAsia="Calibri" w:hAnsi="Times New Roman" w:cs="Times New Roman"/>
          <w:sz w:val="28"/>
          <w:szCs w:val="28"/>
        </w:rPr>
        <w:t xml:space="preserve">Во всех субъектах Российской Федерации установлена система мер социальной поддержки семей с детьми, в том числе в виде пособий на ребенка: в базовом размере; на детей одиноких матерей; на детей военнослужащих по призыву; на детей, родители которых уклоняются от уплаты алиментов; на детей из многодетных семей; на детей-инвалидов; на детей родителей-инвалидов и другие. </w:t>
      </w:r>
    </w:p>
    <w:p w14:paraId="4C6FFF70" w14:textId="77777777" w:rsidR="0010107D" w:rsidRPr="00B636F7" w:rsidRDefault="0010107D" w:rsidP="0010107D">
      <w:pPr>
        <w:autoSpaceDE w:val="0"/>
        <w:autoSpaceDN w:val="0"/>
        <w:adjustRightInd w:val="0"/>
        <w:spacing w:after="0" w:line="312" w:lineRule="auto"/>
        <w:ind w:firstLine="709"/>
        <w:jc w:val="both"/>
        <w:rPr>
          <w:rFonts w:ascii="Times New Roman" w:eastAsia="Calibri" w:hAnsi="Times New Roman" w:cs="Times New Roman"/>
          <w:sz w:val="28"/>
          <w:szCs w:val="28"/>
        </w:rPr>
      </w:pPr>
      <w:r w:rsidRPr="00B636F7">
        <w:rPr>
          <w:rFonts w:ascii="Times New Roman" w:eastAsia="Calibri" w:hAnsi="Times New Roman" w:cs="Times New Roman"/>
          <w:bCs/>
          <w:sz w:val="28"/>
          <w:szCs w:val="28"/>
        </w:rPr>
        <w:t xml:space="preserve">Как правило, размер пособия на детей одиноких матерей выше минимального размера пособия в 2 раза; размер пособия </w:t>
      </w:r>
      <w:r w:rsidRPr="00B636F7">
        <w:rPr>
          <w:rFonts w:ascii="Times New Roman" w:eastAsia="Calibri" w:hAnsi="Times New Roman" w:cs="Times New Roman"/>
          <w:sz w:val="28"/>
          <w:szCs w:val="28"/>
        </w:rPr>
        <w:t xml:space="preserve">на детей военнослужащих по призыву и детей, родители которых уклоняются от уплаты алиментов, </w:t>
      </w:r>
      <w:r w:rsidRPr="00B636F7">
        <w:rPr>
          <w:rFonts w:ascii="Times New Roman" w:eastAsia="Calibri" w:hAnsi="Times New Roman" w:cs="Times New Roman"/>
          <w:sz w:val="28"/>
          <w:szCs w:val="28"/>
          <w:lang w:eastAsia="ar-SA"/>
        </w:rPr>
        <w:t>–</w:t>
      </w:r>
      <w:r w:rsidRPr="00B636F7">
        <w:rPr>
          <w:rFonts w:ascii="Times New Roman" w:eastAsia="Calibri" w:hAnsi="Times New Roman" w:cs="Times New Roman"/>
          <w:sz w:val="28"/>
          <w:szCs w:val="28"/>
        </w:rPr>
        <w:t xml:space="preserve"> в 1,5 раза.</w:t>
      </w:r>
    </w:p>
    <w:p w14:paraId="7FA745BF" w14:textId="77777777" w:rsidR="0010107D" w:rsidRPr="00B636F7" w:rsidRDefault="0010107D" w:rsidP="0010107D">
      <w:pPr>
        <w:autoSpaceDE w:val="0"/>
        <w:autoSpaceDN w:val="0"/>
        <w:adjustRightInd w:val="0"/>
        <w:spacing w:after="0" w:line="312" w:lineRule="auto"/>
        <w:ind w:firstLine="709"/>
        <w:jc w:val="both"/>
        <w:rPr>
          <w:rFonts w:ascii="Times New Roman" w:eastAsia="Calibri" w:hAnsi="Times New Roman" w:cs="Times New Roman"/>
          <w:bCs/>
          <w:sz w:val="28"/>
          <w:szCs w:val="28"/>
        </w:rPr>
      </w:pPr>
      <w:r w:rsidRPr="00B636F7">
        <w:rPr>
          <w:rFonts w:ascii="Times New Roman" w:eastAsia="Calibri" w:hAnsi="Times New Roman" w:cs="Times New Roman"/>
          <w:bCs/>
          <w:sz w:val="28"/>
          <w:szCs w:val="28"/>
        </w:rPr>
        <w:t>Пособие на ребенка в местностях, где установлены районные коэффициенты к заработной плате, выплачивается с учетом районного коэффициента.</w:t>
      </w:r>
    </w:p>
    <w:p w14:paraId="4F2BBD54" w14:textId="77777777" w:rsidR="0010107D" w:rsidRPr="0010107D" w:rsidRDefault="0010107D" w:rsidP="0010107D">
      <w:pPr>
        <w:autoSpaceDE w:val="0"/>
        <w:autoSpaceDN w:val="0"/>
        <w:adjustRightInd w:val="0"/>
        <w:spacing w:after="0" w:line="312" w:lineRule="auto"/>
        <w:ind w:firstLine="709"/>
        <w:jc w:val="both"/>
        <w:rPr>
          <w:rFonts w:ascii="Times New Roman" w:eastAsia="Calibri" w:hAnsi="Times New Roman" w:cs="Times New Roman"/>
          <w:bCs/>
          <w:sz w:val="28"/>
          <w:szCs w:val="28"/>
        </w:rPr>
      </w:pPr>
      <w:r w:rsidRPr="00BF31C6">
        <w:rPr>
          <w:rFonts w:ascii="Times New Roman" w:eastAsia="Calibri" w:hAnsi="Times New Roman" w:cs="Times New Roman"/>
          <w:bCs/>
          <w:sz w:val="28"/>
          <w:szCs w:val="28"/>
        </w:rPr>
        <w:t>По состоянию на декабрь 20</w:t>
      </w:r>
      <w:r w:rsidR="00F9769C" w:rsidRPr="00BF31C6">
        <w:rPr>
          <w:rFonts w:ascii="Times New Roman" w:eastAsia="Calibri" w:hAnsi="Times New Roman" w:cs="Times New Roman"/>
          <w:bCs/>
          <w:sz w:val="28"/>
          <w:szCs w:val="28"/>
        </w:rPr>
        <w:t>2</w:t>
      </w:r>
      <w:r w:rsidR="00B636F7" w:rsidRPr="00BF31C6">
        <w:rPr>
          <w:rFonts w:ascii="Times New Roman" w:eastAsia="Calibri" w:hAnsi="Times New Roman" w:cs="Times New Roman"/>
          <w:bCs/>
          <w:sz w:val="28"/>
          <w:szCs w:val="28"/>
        </w:rPr>
        <w:t>1</w:t>
      </w:r>
      <w:r w:rsidRPr="00BF31C6">
        <w:rPr>
          <w:rFonts w:ascii="Times New Roman" w:eastAsia="Calibri" w:hAnsi="Times New Roman" w:cs="Times New Roman"/>
          <w:bCs/>
          <w:sz w:val="28"/>
          <w:szCs w:val="28"/>
        </w:rPr>
        <w:t xml:space="preserve"> г</w:t>
      </w:r>
      <w:r w:rsidR="00D36DD1">
        <w:rPr>
          <w:rFonts w:ascii="Times New Roman" w:eastAsia="Calibri" w:hAnsi="Times New Roman" w:cs="Times New Roman"/>
          <w:bCs/>
          <w:sz w:val="28"/>
          <w:szCs w:val="28"/>
        </w:rPr>
        <w:t>.</w:t>
      </w:r>
      <w:r w:rsidRPr="00BF31C6">
        <w:rPr>
          <w:rFonts w:ascii="Times New Roman" w:eastAsia="Calibri" w:hAnsi="Times New Roman" w:cs="Times New Roman"/>
          <w:bCs/>
          <w:sz w:val="28"/>
          <w:szCs w:val="28"/>
        </w:rPr>
        <w:t xml:space="preserve"> численность получателей пособия на ребенка составила </w:t>
      </w:r>
      <w:r w:rsidR="00B636F7" w:rsidRPr="00BF31C6">
        <w:rPr>
          <w:rFonts w:ascii="Times New Roman" w:eastAsia="Calibri" w:hAnsi="Times New Roman" w:cs="Times New Roman"/>
          <w:bCs/>
          <w:sz w:val="28"/>
          <w:szCs w:val="28"/>
        </w:rPr>
        <w:t xml:space="preserve">3,6 млн человек </w:t>
      </w:r>
      <w:r w:rsidRPr="00BF31C6">
        <w:rPr>
          <w:rFonts w:ascii="Times New Roman" w:eastAsia="Calibri" w:hAnsi="Times New Roman" w:cs="Times New Roman"/>
          <w:bCs/>
          <w:sz w:val="28"/>
          <w:szCs w:val="28"/>
        </w:rPr>
        <w:t>(</w:t>
      </w:r>
      <w:r w:rsidR="00B636F7" w:rsidRPr="00BF31C6">
        <w:rPr>
          <w:rFonts w:ascii="Times New Roman" w:eastAsia="Calibri" w:hAnsi="Times New Roman" w:cs="Times New Roman"/>
          <w:bCs/>
          <w:sz w:val="28"/>
          <w:szCs w:val="28"/>
        </w:rPr>
        <w:t xml:space="preserve">2020 г. </w:t>
      </w:r>
      <w:r w:rsidR="00B636F7" w:rsidRPr="00BF31C6">
        <w:rPr>
          <w:rFonts w:ascii="Times New Roman" w:eastAsia="Calibri" w:hAnsi="Times New Roman" w:cs="Times New Roman"/>
          <w:sz w:val="28"/>
          <w:szCs w:val="28"/>
        </w:rPr>
        <w:t>–</w:t>
      </w:r>
      <w:r w:rsidR="00B636F7" w:rsidRPr="00BF31C6">
        <w:rPr>
          <w:rFonts w:ascii="Times New Roman" w:eastAsia="Calibri" w:hAnsi="Times New Roman" w:cs="Times New Roman"/>
          <w:bCs/>
          <w:sz w:val="28"/>
          <w:szCs w:val="28"/>
        </w:rPr>
        <w:t xml:space="preserve"> 4,1 млн человек; </w:t>
      </w:r>
      <w:r w:rsidR="00F9769C" w:rsidRPr="00BF31C6">
        <w:rPr>
          <w:rFonts w:ascii="Times New Roman" w:eastAsia="Calibri" w:hAnsi="Times New Roman" w:cs="Times New Roman"/>
          <w:bCs/>
          <w:sz w:val="28"/>
          <w:szCs w:val="28"/>
        </w:rPr>
        <w:t xml:space="preserve">2019 г. </w:t>
      </w:r>
      <w:r w:rsidR="00F9769C" w:rsidRPr="00BF31C6">
        <w:rPr>
          <w:rFonts w:ascii="Times New Roman" w:eastAsia="Calibri" w:hAnsi="Times New Roman" w:cs="Times New Roman"/>
          <w:sz w:val="28"/>
          <w:szCs w:val="28"/>
        </w:rPr>
        <w:t>–</w:t>
      </w:r>
      <w:r w:rsidR="00BA26A5" w:rsidRPr="00BF31C6">
        <w:rPr>
          <w:rFonts w:ascii="Times New Roman" w:eastAsia="Calibri" w:hAnsi="Times New Roman" w:cs="Times New Roman"/>
          <w:bCs/>
          <w:sz w:val="28"/>
          <w:szCs w:val="28"/>
        </w:rPr>
        <w:t xml:space="preserve"> 3,6 млн</w:t>
      </w:r>
      <w:r w:rsidR="00B636F7" w:rsidRPr="00BF31C6">
        <w:rPr>
          <w:rFonts w:ascii="Times New Roman" w:eastAsia="Calibri" w:hAnsi="Times New Roman" w:cs="Times New Roman"/>
          <w:bCs/>
          <w:sz w:val="28"/>
          <w:szCs w:val="28"/>
        </w:rPr>
        <w:t xml:space="preserve"> человек). Пособия назначены на 6</w:t>
      </w:r>
      <w:r w:rsidRPr="00BF31C6">
        <w:rPr>
          <w:rFonts w:ascii="Times New Roman" w:eastAsia="Calibri" w:hAnsi="Times New Roman" w:cs="Times New Roman"/>
          <w:bCs/>
          <w:sz w:val="28"/>
          <w:szCs w:val="28"/>
        </w:rPr>
        <w:t>,</w:t>
      </w:r>
      <w:r w:rsidR="005B0C81" w:rsidRPr="00BF31C6">
        <w:rPr>
          <w:rFonts w:ascii="Times New Roman" w:eastAsia="Calibri" w:hAnsi="Times New Roman" w:cs="Times New Roman"/>
          <w:bCs/>
          <w:sz w:val="28"/>
          <w:szCs w:val="28"/>
        </w:rPr>
        <w:t>8</w:t>
      </w:r>
      <w:r w:rsidR="00BA26A5" w:rsidRPr="00BF31C6">
        <w:rPr>
          <w:rFonts w:ascii="Times New Roman" w:eastAsia="Calibri" w:hAnsi="Times New Roman" w:cs="Times New Roman"/>
          <w:bCs/>
          <w:sz w:val="28"/>
          <w:szCs w:val="28"/>
        </w:rPr>
        <w:t xml:space="preserve"> млн</w:t>
      </w:r>
      <w:r w:rsidRPr="00BF31C6">
        <w:rPr>
          <w:rFonts w:ascii="Times New Roman" w:eastAsia="Calibri" w:hAnsi="Times New Roman" w:cs="Times New Roman"/>
          <w:bCs/>
          <w:sz w:val="28"/>
          <w:szCs w:val="28"/>
        </w:rPr>
        <w:t xml:space="preserve"> детей (</w:t>
      </w:r>
      <w:r w:rsidR="00B636F7" w:rsidRPr="00BF31C6">
        <w:rPr>
          <w:rFonts w:ascii="Times New Roman" w:eastAsia="Calibri" w:hAnsi="Times New Roman" w:cs="Times New Roman"/>
          <w:bCs/>
          <w:sz w:val="28"/>
          <w:szCs w:val="28"/>
        </w:rPr>
        <w:t xml:space="preserve">2020 г. – 7,7 млн человек; </w:t>
      </w:r>
      <w:r w:rsidR="00F9769C" w:rsidRPr="00BF31C6">
        <w:rPr>
          <w:rFonts w:ascii="Times New Roman" w:eastAsia="Calibri" w:hAnsi="Times New Roman" w:cs="Times New Roman"/>
          <w:bCs/>
          <w:sz w:val="28"/>
          <w:szCs w:val="28"/>
        </w:rPr>
        <w:t xml:space="preserve">2019 г. </w:t>
      </w:r>
      <w:r w:rsidR="00F9769C" w:rsidRPr="00BF31C6">
        <w:rPr>
          <w:rFonts w:ascii="Times New Roman" w:eastAsia="Calibri" w:hAnsi="Times New Roman" w:cs="Times New Roman"/>
          <w:sz w:val="28"/>
          <w:szCs w:val="28"/>
        </w:rPr>
        <w:t>–</w:t>
      </w:r>
      <w:r w:rsidR="00BA26A5" w:rsidRPr="00BF31C6">
        <w:rPr>
          <w:rFonts w:ascii="Times New Roman" w:eastAsia="Calibri" w:hAnsi="Times New Roman" w:cs="Times New Roman"/>
          <w:bCs/>
          <w:sz w:val="28"/>
          <w:szCs w:val="28"/>
        </w:rPr>
        <w:t xml:space="preserve"> 7,0 млн</w:t>
      </w:r>
      <w:r w:rsidR="00B636F7" w:rsidRPr="00BF31C6">
        <w:rPr>
          <w:rFonts w:ascii="Times New Roman" w:eastAsia="Calibri" w:hAnsi="Times New Roman" w:cs="Times New Roman"/>
          <w:bCs/>
          <w:sz w:val="28"/>
          <w:szCs w:val="28"/>
        </w:rPr>
        <w:t xml:space="preserve"> человек</w:t>
      </w:r>
      <w:r w:rsidRPr="00BF31C6">
        <w:rPr>
          <w:rFonts w:ascii="Times New Roman" w:eastAsia="Calibri" w:hAnsi="Times New Roman" w:cs="Times New Roman"/>
          <w:bCs/>
          <w:sz w:val="28"/>
          <w:szCs w:val="28"/>
        </w:rPr>
        <w:t xml:space="preserve">). Сумма выплаченных пособий по субъектам Российской Федерации </w:t>
      </w:r>
      <w:r w:rsidR="001D2951">
        <w:rPr>
          <w:rFonts w:ascii="Times New Roman" w:eastAsia="Calibri" w:hAnsi="Times New Roman" w:cs="Times New Roman"/>
          <w:bCs/>
          <w:sz w:val="28"/>
          <w:szCs w:val="28"/>
        </w:rPr>
        <w:br/>
      </w:r>
      <w:r w:rsidRPr="00BF31C6">
        <w:rPr>
          <w:rFonts w:ascii="Times New Roman" w:eastAsia="Calibri" w:hAnsi="Times New Roman" w:cs="Times New Roman"/>
          <w:bCs/>
          <w:sz w:val="28"/>
          <w:szCs w:val="28"/>
        </w:rPr>
        <w:t>за 20</w:t>
      </w:r>
      <w:r w:rsidR="00F9769C" w:rsidRPr="00BF31C6">
        <w:rPr>
          <w:rFonts w:ascii="Times New Roman" w:eastAsia="Calibri" w:hAnsi="Times New Roman" w:cs="Times New Roman"/>
          <w:bCs/>
          <w:sz w:val="28"/>
          <w:szCs w:val="28"/>
        </w:rPr>
        <w:t>2</w:t>
      </w:r>
      <w:r w:rsidR="009D19E7">
        <w:rPr>
          <w:rFonts w:ascii="Times New Roman" w:eastAsia="Calibri" w:hAnsi="Times New Roman" w:cs="Times New Roman"/>
          <w:bCs/>
          <w:sz w:val="28"/>
          <w:szCs w:val="28"/>
        </w:rPr>
        <w:t>1</w:t>
      </w:r>
      <w:r w:rsidRPr="00BF31C6">
        <w:rPr>
          <w:rFonts w:ascii="Times New Roman" w:eastAsia="Calibri" w:hAnsi="Times New Roman" w:cs="Times New Roman"/>
          <w:bCs/>
          <w:sz w:val="28"/>
          <w:szCs w:val="28"/>
        </w:rPr>
        <w:t xml:space="preserve"> г</w:t>
      </w:r>
      <w:r w:rsidR="001D2951">
        <w:rPr>
          <w:rFonts w:ascii="Times New Roman" w:eastAsia="Calibri" w:hAnsi="Times New Roman" w:cs="Times New Roman"/>
          <w:bCs/>
          <w:sz w:val="28"/>
          <w:szCs w:val="28"/>
        </w:rPr>
        <w:t>.</w:t>
      </w:r>
      <w:r w:rsidRPr="00BF31C6">
        <w:rPr>
          <w:rFonts w:ascii="Times New Roman" w:eastAsia="Calibri" w:hAnsi="Times New Roman" w:cs="Times New Roman"/>
          <w:bCs/>
          <w:sz w:val="28"/>
          <w:szCs w:val="28"/>
        </w:rPr>
        <w:t xml:space="preserve"> составила </w:t>
      </w:r>
      <w:r w:rsidR="00586AE8" w:rsidRPr="00BF31C6">
        <w:rPr>
          <w:rFonts w:ascii="Times New Roman" w:eastAsia="Calibri" w:hAnsi="Times New Roman" w:cs="Times New Roman"/>
          <w:bCs/>
          <w:sz w:val="28"/>
          <w:szCs w:val="28"/>
        </w:rPr>
        <w:t>7</w:t>
      </w:r>
      <w:r w:rsidR="005B0C81" w:rsidRPr="00BF31C6">
        <w:rPr>
          <w:rFonts w:ascii="Times New Roman" w:eastAsia="Calibri" w:hAnsi="Times New Roman" w:cs="Times New Roman"/>
          <w:bCs/>
          <w:sz w:val="28"/>
          <w:szCs w:val="28"/>
        </w:rPr>
        <w:t>7</w:t>
      </w:r>
      <w:r w:rsidRPr="00BF31C6">
        <w:rPr>
          <w:rFonts w:ascii="Times New Roman" w:eastAsia="Calibri" w:hAnsi="Times New Roman" w:cs="Times New Roman"/>
          <w:bCs/>
          <w:sz w:val="28"/>
          <w:szCs w:val="28"/>
        </w:rPr>
        <w:t>,</w:t>
      </w:r>
      <w:r w:rsidR="005B0C81" w:rsidRPr="00BF31C6">
        <w:rPr>
          <w:rFonts w:ascii="Times New Roman" w:eastAsia="Calibri" w:hAnsi="Times New Roman" w:cs="Times New Roman"/>
          <w:bCs/>
          <w:sz w:val="28"/>
          <w:szCs w:val="28"/>
        </w:rPr>
        <w:t>1</w:t>
      </w:r>
      <w:r w:rsidR="00BA26A5" w:rsidRPr="00BF31C6">
        <w:rPr>
          <w:rFonts w:ascii="Times New Roman" w:eastAsia="Calibri" w:hAnsi="Times New Roman" w:cs="Times New Roman"/>
          <w:bCs/>
          <w:sz w:val="28"/>
          <w:szCs w:val="28"/>
        </w:rPr>
        <w:t xml:space="preserve"> млрд</w:t>
      </w:r>
      <w:r w:rsidRPr="00BF31C6">
        <w:rPr>
          <w:rFonts w:ascii="Times New Roman" w:eastAsia="Calibri" w:hAnsi="Times New Roman" w:cs="Times New Roman"/>
          <w:bCs/>
          <w:sz w:val="28"/>
          <w:szCs w:val="28"/>
        </w:rPr>
        <w:t xml:space="preserve"> рублей (</w:t>
      </w:r>
      <w:r w:rsidR="00D36DD1">
        <w:rPr>
          <w:rFonts w:ascii="Times New Roman" w:eastAsia="Calibri" w:hAnsi="Times New Roman" w:cs="Times New Roman"/>
          <w:bCs/>
          <w:sz w:val="28"/>
          <w:szCs w:val="28"/>
        </w:rPr>
        <w:t xml:space="preserve">2020 г. – 76,5 млрд рублей; </w:t>
      </w:r>
      <w:r w:rsidR="00F9769C" w:rsidRPr="00BF31C6">
        <w:rPr>
          <w:rFonts w:ascii="Times New Roman" w:eastAsia="Calibri" w:hAnsi="Times New Roman" w:cs="Times New Roman"/>
          <w:bCs/>
          <w:sz w:val="28"/>
          <w:szCs w:val="28"/>
        </w:rPr>
        <w:t xml:space="preserve">2019 г. </w:t>
      </w:r>
      <w:r w:rsidR="00F9769C" w:rsidRPr="00BF31C6">
        <w:rPr>
          <w:rFonts w:ascii="Times New Roman" w:eastAsia="Calibri" w:hAnsi="Times New Roman" w:cs="Times New Roman"/>
          <w:sz w:val="28"/>
          <w:szCs w:val="28"/>
        </w:rPr>
        <w:t>–</w:t>
      </w:r>
      <w:r w:rsidR="00BA26A5" w:rsidRPr="00BF31C6">
        <w:rPr>
          <w:rFonts w:ascii="Times New Roman" w:eastAsia="Calibri" w:hAnsi="Times New Roman" w:cs="Times New Roman"/>
          <w:bCs/>
          <w:sz w:val="28"/>
          <w:szCs w:val="28"/>
        </w:rPr>
        <w:t xml:space="preserve"> 65,9 млрд</w:t>
      </w:r>
      <w:r w:rsidR="00F9769C" w:rsidRPr="00BF31C6">
        <w:rPr>
          <w:rFonts w:ascii="Times New Roman" w:eastAsia="Calibri" w:hAnsi="Times New Roman" w:cs="Times New Roman"/>
          <w:bCs/>
          <w:sz w:val="28"/>
          <w:szCs w:val="28"/>
        </w:rPr>
        <w:t xml:space="preserve"> рублей</w:t>
      </w:r>
      <w:r w:rsidRPr="00BF31C6">
        <w:rPr>
          <w:rFonts w:ascii="Times New Roman" w:eastAsia="Calibri" w:hAnsi="Times New Roman" w:cs="Times New Roman"/>
          <w:bCs/>
          <w:sz w:val="28"/>
          <w:szCs w:val="28"/>
        </w:rPr>
        <w:t>).</w:t>
      </w:r>
    </w:p>
    <w:p w14:paraId="5C0B0C9E" w14:textId="77777777"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14:paraId="2EEFDFB8" w14:textId="77777777" w:rsidR="00D03A4F" w:rsidRDefault="00D03A4F" w:rsidP="00D03A4F">
      <w:pPr>
        <w:spacing w:after="0" w:line="312" w:lineRule="auto"/>
        <w:ind w:firstLine="709"/>
        <w:jc w:val="center"/>
        <w:rPr>
          <w:rFonts w:ascii="Times New Roman" w:eastAsia="Times New Roman" w:hAnsi="Times New Roman" w:cs="Times New Roman"/>
          <w:b/>
          <w:i/>
          <w:sz w:val="28"/>
          <w:szCs w:val="28"/>
          <w:lang w:eastAsia="ru-RU"/>
        </w:rPr>
      </w:pPr>
      <w:r w:rsidRPr="00D03A4F">
        <w:rPr>
          <w:rFonts w:ascii="Times New Roman" w:eastAsia="Times New Roman" w:hAnsi="Times New Roman" w:cs="Times New Roman"/>
          <w:b/>
          <w:i/>
          <w:sz w:val="28"/>
          <w:szCs w:val="28"/>
          <w:lang w:eastAsia="ru-RU"/>
        </w:rPr>
        <w:t>Дополнительные меры государственной поддержки семей, имеющих детей</w:t>
      </w:r>
    </w:p>
    <w:p w14:paraId="436652E9" w14:textId="43393CC8" w:rsidR="00146781" w:rsidRDefault="00146781" w:rsidP="00146781">
      <w:pPr>
        <w:widowControl w:val="0"/>
        <w:spacing w:after="0" w:line="312" w:lineRule="auto"/>
        <w:ind w:firstLine="709"/>
        <w:jc w:val="both"/>
        <w:rPr>
          <w:rFonts w:ascii="Times New Roman" w:eastAsia="Calibri" w:hAnsi="Times New Roman" w:cs="Times New Roman"/>
          <w:sz w:val="28"/>
          <w:szCs w:val="28"/>
          <w:shd w:val="clear" w:color="auto" w:fill="FFFFFF"/>
        </w:rPr>
      </w:pPr>
      <w:r w:rsidRPr="00D03A4F">
        <w:rPr>
          <w:rFonts w:ascii="Times New Roman" w:eastAsia="Calibri" w:hAnsi="Times New Roman" w:cs="Times New Roman"/>
          <w:sz w:val="28"/>
          <w:szCs w:val="28"/>
          <w:shd w:val="clear" w:color="auto" w:fill="FFFFFF"/>
        </w:rPr>
        <w:t>В соответствии с Федеральным</w:t>
      </w:r>
      <w:r w:rsidR="008327D8">
        <w:rPr>
          <w:rFonts w:ascii="Times New Roman" w:eastAsia="Calibri" w:hAnsi="Times New Roman" w:cs="Times New Roman"/>
          <w:sz w:val="28"/>
          <w:szCs w:val="28"/>
          <w:shd w:val="clear" w:color="auto" w:fill="FFFFFF"/>
        </w:rPr>
        <w:t xml:space="preserve"> законом от 29 декабря 2006 г. </w:t>
      </w:r>
      <w:r w:rsidRPr="00D03A4F">
        <w:rPr>
          <w:rFonts w:ascii="Times New Roman" w:eastAsia="Calibri" w:hAnsi="Times New Roman" w:cs="Times New Roman"/>
          <w:sz w:val="28"/>
          <w:szCs w:val="28"/>
          <w:shd w:val="clear" w:color="auto" w:fill="FFFFFF"/>
        </w:rPr>
        <w:t xml:space="preserve">№ 256-ФЗ </w:t>
      </w:r>
      <w:r w:rsidR="00BB5821">
        <w:rPr>
          <w:rFonts w:ascii="Times New Roman" w:eastAsia="Calibri" w:hAnsi="Times New Roman" w:cs="Times New Roman"/>
          <w:sz w:val="28"/>
          <w:szCs w:val="28"/>
          <w:shd w:val="clear" w:color="auto" w:fill="FFFFFF"/>
        </w:rPr>
        <w:br/>
      </w:r>
      <w:r w:rsidRPr="00D03A4F">
        <w:rPr>
          <w:rFonts w:ascii="Times New Roman" w:eastAsia="Calibri" w:hAnsi="Times New Roman" w:cs="Times New Roman"/>
          <w:sz w:val="28"/>
          <w:szCs w:val="28"/>
          <w:shd w:val="clear" w:color="auto" w:fill="FFFFFF"/>
        </w:rPr>
        <w:t>«О дополнительных мерах государственной поддержки семей, имеющих детей» (далее – Федеральн</w:t>
      </w:r>
      <w:r w:rsidR="008327D8">
        <w:rPr>
          <w:rFonts w:ascii="Times New Roman" w:eastAsia="Calibri" w:hAnsi="Times New Roman" w:cs="Times New Roman"/>
          <w:sz w:val="28"/>
          <w:szCs w:val="28"/>
          <w:shd w:val="clear" w:color="auto" w:fill="FFFFFF"/>
        </w:rPr>
        <w:t xml:space="preserve">ый закон от 29 декабря 2006 г. </w:t>
      </w:r>
      <w:r w:rsidRPr="00D03A4F">
        <w:rPr>
          <w:rFonts w:ascii="Times New Roman" w:eastAsia="Calibri" w:hAnsi="Times New Roman" w:cs="Times New Roman"/>
          <w:sz w:val="28"/>
          <w:szCs w:val="28"/>
          <w:shd w:val="clear" w:color="auto" w:fill="FFFFFF"/>
        </w:rPr>
        <w:t xml:space="preserve">№ 256-ФЗ) право на получение дополнительных мер государственной поддержки семей, имеющих детей, в виде материнского (семейного) капитала возникает </w:t>
      </w:r>
      <w:r w:rsidR="00511E96" w:rsidRPr="00D03A4F">
        <w:rPr>
          <w:rFonts w:ascii="Times New Roman" w:eastAsia="Calibri" w:hAnsi="Times New Roman" w:cs="Times New Roman"/>
          <w:sz w:val="28"/>
          <w:szCs w:val="28"/>
          <w:shd w:val="clear" w:color="auto" w:fill="FFFFFF"/>
        </w:rPr>
        <w:t xml:space="preserve">у граждан Российской Федерации </w:t>
      </w:r>
      <w:r w:rsidRPr="00D03A4F">
        <w:rPr>
          <w:rFonts w:ascii="Times New Roman" w:eastAsia="Calibri" w:hAnsi="Times New Roman" w:cs="Times New Roman"/>
          <w:sz w:val="28"/>
          <w:szCs w:val="28"/>
          <w:shd w:val="clear" w:color="auto" w:fill="FFFFFF"/>
        </w:rPr>
        <w:t xml:space="preserve">при рождении (усыновлении) </w:t>
      </w:r>
      <w:r w:rsidR="00760E92">
        <w:rPr>
          <w:rFonts w:ascii="Times New Roman" w:eastAsia="Calibri" w:hAnsi="Times New Roman" w:cs="Times New Roman"/>
          <w:sz w:val="28"/>
          <w:szCs w:val="28"/>
          <w:shd w:val="clear" w:color="auto" w:fill="FFFFFF"/>
        </w:rPr>
        <w:t xml:space="preserve">первого, </w:t>
      </w:r>
      <w:r w:rsidR="00FA11E4">
        <w:rPr>
          <w:rFonts w:ascii="Times New Roman" w:eastAsia="Calibri" w:hAnsi="Times New Roman" w:cs="Times New Roman"/>
          <w:sz w:val="28"/>
          <w:szCs w:val="28"/>
          <w:shd w:val="clear" w:color="auto" w:fill="FFFFFF"/>
        </w:rPr>
        <w:t xml:space="preserve">второго ребенка, а также третьего ребенка или </w:t>
      </w:r>
      <w:r w:rsidRPr="00D03A4F">
        <w:rPr>
          <w:rFonts w:ascii="Times New Roman" w:eastAsia="Calibri" w:hAnsi="Times New Roman" w:cs="Times New Roman"/>
          <w:sz w:val="28"/>
          <w:szCs w:val="28"/>
          <w:shd w:val="clear" w:color="auto" w:fill="FFFFFF"/>
        </w:rPr>
        <w:t>последующих детей</w:t>
      </w:r>
      <w:r w:rsidR="00511E96">
        <w:rPr>
          <w:rFonts w:ascii="Times New Roman" w:eastAsia="Calibri" w:hAnsi="Times New Roman" w:cs="Times New Roman"/>
          <w:sz w:val="28"/>
          <w:szCs w:val="28"/>
          <w:shd w:val="clear" w:color="auto" w:fill="FFFFFF"/>
        </w:rPr>
        <w:t>,</w:t>
      </w:r>
      <w:r w:rsidR="00E3755A" w:rsidRPr="00FA11E4">
        <w:rPr>
          <w:rFonts w:ascii="Times New Roman" w:eastAsia="Calibri" w:hAnsi="Times New Roman" w:cs="Times New Roman"/>
          <w:sz w:val="28"/>
          <w:szCs w:val="28"/>
          <w:shd w:val="clear" w:color="auto" w:fill="FFFFFF"/>
        </w:rPr>
        <w:t xml:space="preserve"> </w:t>
      </w:r>
      <w:r w:rsidR="00E3755A">
        <w:rPr>
          <w:rFonts w:ascii="Times New Roman" w:eastAsia="Calibri" w:hAnsi="Times New Roman" w:cs="Times New Roman"/>
          <w:sz w:val="28"/>
          <w:szCs w:val="28"/>
          <w:shd w:val="clear" w:color="auto" w:fill="FFFFFF"/>
        </w:rPr>
        <w:t>если право на получение материнского</w:t>
      </w:r>
      <w:r w:rsidR="00FA11E4">
        <w:rPr>
          <w:rFonts w:ascii="Times New Roman" w:eastAsia="Calibri" w:hAnsi="Times New Roman" w:cs="Times New Roman"/>
          <w:sz w:val="28"/>
          <w:szCs w:val="28"/>
          <w:shd w:val="clear" w:color="auto" w:fill="FFFFFF"/>
        </w:rPr>
        <w:t xml:space="preserve"> (семейного)</w:t>
      </w:r>
      <w:r w:rsidR="00E3755A">
        <w:rPr>
          <w:rFonts w:ascii="Times New Roman" w:eastAsia="Calibri" w:hAnsi="Times New Roman" w:cs="Times New Roman"/>
          <w:sz w:val="28"/>
          <w:szCs w:val="28"/>
          <w:shd w:val="clear" w:color="auto" w:fill="FFFFFF"/>
        </w:rPr>
        <w:t xml:space="preserve"> капитала не возникло ранее, </w:t>
      </w:r>
      <w:r w:rsidR="00511E96">
        <w:rPr>
          <w:rFonts w:ascii="Times New Roman" w:eastAsia="Calibri" w:hAnsi="Times New Roman" w:cs="Times New Roman"/>
          <w:sz w:val="28"/>
          <w:szCs w:val="28"/>
          <w:shd w:val="clear" w:color="auto" w:fill="FFFFFF"/>
        </w:rPr>
        <w:t>имеющих гражданство Российской Федерации</w:t>
      </w:r>
      <w:r w:rsidRPr="00D03A4F">
        <w:rPr>
          <w:rFonts w:ascii="Times New Roman" w:eastAsia="Calibri" w:hAnsi="Times New Roman" w:cs="Times New Roman"/>
          <w:sz w:val="28"/>
          <w:szCs w:val="28"/>
          <w:shd w:val="clear" w:color="auto" w:fill="FFFFFF"/>
        </w:rPr>
        <w:t>.</w:t>
      </w:r>
    </w:p>
    <w:p w14:paraId="47878FE8" w14:textId="716A4EBC" w:rsidR="00180AC2" w:rsidRPr="006C4B3C" w:rsidRDefault="00146781" w:rsidP="006C4B3C">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Расходы на предоставление материнского (семейного) капитала осуществля</w:t>
      </w:r>
      <w:r w:rsidR="00E3755A">
        <w:rPr>
          <w:rFonts w:ascii="Times New Roman" w:eastAsia="Calibri" w:hAnsi="Times New Roman" w:cs="Times New Roman"/>
          <w:sz w:val="28"/>
          <w:szCs w:val="28"/>
          <w:shd w:val="clear" w:color="auto" w:fill="FFFFFF"/>
        </w:rPr>
        <w:t>лись</w:t>
      </w:r>
      <w:r w:rsidR="00FA11E4">
        <w:rPr>
          <w:rFonts w:ascii="Times New Roman" w:eastAsia="Calibri" w:hAnsi="Times New Roman" w:cs="Times New Roman"/>
          <w:sz w:val="28"/>
          <w:szCs w:val="28"/>
          <w:shd w:val="clear" w:color="auto" w:fill="FFFFFF"/>
        </w:rPr>
        <w:t xml:space="preserve"> </w:t>
      </w:r>
      <w:r w:rsidRPr="00D03A4F">
        <w:rPr>
          <w:rFonts w:ascii="Times New Roman" w:eastAsia="Calibri" w:hAnsi="Times New Roman" w:cs="Times New Roman"/>
          <w:sz w:val="28"/>
          <w:szCs w:val="28"/>
          <w:shd w:val="clear" w:color="auto" w:fill="FFFFFF"/>
        </w:rPr>
        <w:t xml:space="preserve">за счет межбюджетных трансфертов, передаваемых из федерального </w:t>
      </w:r>
      <w:r w:rsidR="00FA11E4">
        <w:rPr>
          <w:rFonts w:ascii="Times New Roman" w:eastAsia="Calibri" w:hAnsi="Times New Roman" w:cs="Times New Roman"/>
          <w:sz w:val="28"/>
          <w:szCs w:val="28"/>
          <w:shd w:val="clear" w:color="auto" w:fill="FFFFFF"/>
        </w:rPr>
        <w:t>бюджета в бюджет ПФР</w:t>
      </w:r>
      <w:r w:rsidRPr="00D03A4F">
        <w:rPr>
          <w:rFonts w:ascii="Times New Roman" w:eastAsia="Calibri" w:hAnsi="Times New Roman" w:cs="Times New Roman"/>
          <w:sz w:val="28"/>
          <w:szCs w:val="28"/>
          <w:shd w:val="clear" w:color="auto" w:fill="FFFFFF"/>
        </w:rPr>
        <w:t>.</w:t>
      </w:r>
      <w:r w:rsidR="006C4B3C">
        <w:rPr>
          <w:rFonts w:ascii="Times New Roman" w:eastAsia="Calibri" w:hAnsi="Times New Roman" w:cs="Times New Roman"/>
          <w:sz w:val="28"/>
          <w:szCs w:val="28"/>
        </w:rPr>
        <w:t xml:space="preserve"> </w:t>
      </w:r>
      <w:r w:rsidRPr="00180AC2">
        <w:rPr>
          <w:rFonts w:ascii="Times New Roman" w:eastAsia="Calibri" w:hAnsi="Times New Roman" w:cs="Times New Roman"/>
          <w:sz w:val="28"/>
          <w:szCs w:val="28"/>
          <w:shd w:val="clear" w:color="auto" w:fill="FFFFFF"/>
        </w:rPr>
        <w:t xml:space="preserve">В соответствии с Федеральным законом </w:t>
      </w:r>
      <w:r w:rsidR="006D2135">
        <w:rPr>
          <w:rFonts w:ascii="Times New Roman" w:eastAsia="Calibri" w:hAnsi="Times New Roman" w:cs="Times New Roman"/>
          <w:sz w:val="28"/>
          <w:szCs w:val="28"/>
          <w:shd w:val="clear" w:color="auto" w:fill="FFFFFF"/>
        </w:rPr>
        <w:br/>
      </w:r>
      <w:r w:rsidRPr="00180AC2">
        <w:rPr>
          <w:rFonts w:ascii="Times New Roman" w:eastAsia="Calibri" w:hAnsi="Times New Roman" w:cs="Times New Roman"/>
          <w:sz w:val="28"/>
          <w:szCs w:val="28"/>
          <w:shd w:val="clear" w:color="auto" w:fill="FFFFFF"/>
        </w:rPr>
        <w:t xml:space="preserve">от </w:t>
      </w:r>
      <w:r w:rsidR="00760E92">
        <w:rPr>
          <w:rFonts w:ascii="Times New Roman" w:eastAsia="Calibri" w:hAnsi="Times New Roman" w:cs="Times New Roman"/>
          <w:sz w:val="28"/>
          <w:szCs w:val="28"/>
          <w:shd w:val="clear" w:color="auto" w:fill="FFFFFF"/>
        </w:rPr>
        <w:t>8</w:t>
      </w:r>
      <w:r w:rsidR="00896DFD">
        <w:rPr>
          <w:rFonts w:ascii="Times New Roman" w:eastAsia="Calibri" w:hAnsi="Times New Roman" w:cs="Times New Roman"/>
          <w:sz w:val="28"/>
          <w:szCs w:val="28"/>
        </w:rPr>
        <w:t> </w:t>
      </w:r>
      <w:r w:rsidR="00180AC2">
        <w:rPr>
          <w:rFonts w:ascii="Times New Roman" w:eastAsia="Calibri" w:hAnsi="Times New Roman" w:cs="Times New Roman"/>
          <w:sz w:val="28"/>
          <w:szCs w:val="28"/>
          <w:shd w:val="clear" w:color="auto" w:fill="FFFFFF"/>
        </w:rPr>
        <w:t>декабря</w:t>
      </w:r>
      <w:r w:rsidRPr="00180AC2">
        <w:rPr>
          <w:rFonts w:ascii="Times New Roman" w:eastAsia="Calibri" w:hAnsi="Times New Roman" w:cs="Times New Roman"/>
          <w:sz w:val="28"/>
          <w:szCs w:val="28"/>
          <w:shd w:val="clear" w:color="auto" w:fill="FFFFFF"/>
        </w:rPr>
        <w:t xml:space="preserve"> 20</w:t>
      </w:r>
      <w:r w:rsidR="00760E92">
        <w:rPr>
          <w:rFonts w:ascii="Times New Roman" w:eastAsia="Calibri" w:hAnsi="Times New Roman" w:cs="Times New Roman"/>
          <w:sz w:val="28"/>
          <w:szCs w:val="28"/>
          <w:shd w:val="clear" w:color="auto" w:fill="FFFFFF"/>
        </w:rPr>
        <w:t xml:space="preserve">20 </w:t>
      </w:r>
      <w:r w:rsidRPr="00180AC2">
        <w:rPr>
          <w:rFonts w:ascii="Times New Roman" w:eastAsia="Calibri" w:hAnsi="Times New Roman" w:cs="Times New Roman"/>
          <w:sz w:val="28"/>
          <w:szCs w:val="28"/>
          <w:shd w:val="clear" w:color="auto" w:fill="FFFFFF"/>
        </w:rPr>
        <w:t xml:space="preserve">г. № </w:t>
      </w:r>
      <w:r w:rsidR="00180AC2">
        <w:rPr>
          <w:rFonts w:ascii="Times New Roman" w:eastAsia="Calibri" w:hAnsi="Times New Roman" w:cs="Times New Roman"/>
          <w:sz w:val="28"/>
          <w:szCs w:val="28"/>
          <w:shd w:val="clear" w:color="auto" w:fill="FFFFFF"/>
        </w:rPr>
        <w:t>38</w:t>
      </w:r>
      <w:r w:rsidR="00760E92">
        <w:rPr>
          <w:rFonts w:ascii="Times New Roman" w:eastAsia="Calibri" w:hAnsi="Times New Roman" w:cs="Times New Roman"/>
          <w:sz w:val="28"/>
          <w:szCs w:val="28"/>
          <w:shd w:val="clear" w:color="auto" w:fill="FFFFFF"/>
        </w:rPr>
        <w:t>5</w:t>
      </w:r>
      <w:r w:rsidRPr="00180AC2">
        <w:rPr>
          <w:rFonts w:ascii="Times New Roman" w:eastAsia="Calibri" w:hAnsi="Times New Roman" w:cs="Times New Roman"/>
          <w:sz w:val="28"/>
          <w:szCs w:val="28"/>
          <w:shd w:val="clear" w:color="auto" w:fill="FFFFFF"/>
        </w:rPr>
        <w:t>-ФЗ «О федеральном бюджете на 20</w:t>
      </w:r>
      <w:r w:rsidR="00180AC2">
        <w:rPr>
          <w:rFonts w:ascii="Times New Roman" w:eastAsia="Calibri" w:hAnsi="Times New Roman" w:cs="Times New Roman"/>
          <w:sz w:val="28"/>
          <w:szCs w:val="28"/>
          <w:shd w:val="clear" w:color="auto" w:fill="FFFFFF"/>
        </w:rPr>
        <w:t>2</w:t>
      </w:r>
      <w:r w:rsidR="00760E92">
        <w:rPr>
          <w:rFonts w:ascii="Times New Roman" w:eastAsia="Calibri" w:hAnsi="Times New Roman" w:cs="Times New Roman"/>
          <w:sz w:val="28"/>
          <w:szCs w:val="28"/>
          <w:shd w:val="clear" w:color="auto" w:fill="FFFFFF"/>
        </w:rPr>
        <w:t>1</w:t>
      </w:r>
      <w:r w:rsidRPr="00180AC2">
        <w:rPr>
          <w:rFonts w:ascii="Times New Roman" w:eastAsia="Calibri" w:hAnsi="Times New Roman" w:cs="Times New Roman"/>
          <w:sz w:val="28"/>
          <w:szCs w:val="28"/>
          <w:shd w:val="clear" w:color="auto" w:fill="FFFFFF"/>
        </w:rPr>
        <w:t xml:space="preserve"> год и на плановый период 202</w:t>
      </w:r>
      <w:r w:rsidR="00760E92">
        <w:rPr>
          <w:rFonts w:ascii="Times New Roman" w:eastAsia="Calibri" w:hAnsi="Times New Roman" w:cs="Times New Roman"/>
          <w:sz w:val="28"/>
          <w:szCs w:val="28"/>
          <w:shd w:val="clear" w:color="auto" w:fill="FFFFFF"/>
        </w:rPr>
        <w:t>2</w:t>
      </w:r>
      <w:r w:rsidRPr="00180AC2">
        <w:rPr>
          <w:rFonts w:ascii="Times New Roman" w:eastAsia="Calibri" w:hAnsi="Times New Roman" w:cs="Times New Roman"/>
          <w:sz w:val="28"/>
          <w:szCs w:val="28"/>
          <w:shd w:val="clear" w:color="auto" w:fill="FFFFFF"/>
        </w:rPr>
        <w:t xml:space="preserve"> и 202</w:t>
      </w:r>
      <w:r w:rsidR="00760E92">
        <w:rPr>
          <w:rFonts w:ascii="Times New Roman" w:eastAsia="Calibri" w:hAnsi="Times New Roman" w:cs="Times New Roman"/>
          <w:sz w:val="28"/>
          <w:szCs w:val="28"/>
          <w:shd w:val="clear" w:color="auto" w:fill="FFFFFF"/>
        </w:rPr>
        <w:t>3</w:t>
      </w:r>
      <w:r w:rsidRPr="00180AC2">
        <w:rPr>
          <w:rFonts w:ascii="Times New Roman" w:eastAsia="Calibri" w:hAnsi="Times New Roman" w:cs="Times New Roman"/>
          <w:sz w:val="28"/>
          <w:szCs w:val="28"/>
          <w:shd w:val="clear" w:color="auto" w:fill="FFFFFF"/>
        </w:rPr>
        <w:t xml:space="preserve"> годов» </w:t>
      </w:r>
      <w:r w:rsidR="00180AC2">
        <w:rPr>
          <w:rFonts w:ascii="Times New Roman" w:eastAsia="Calibri" w:hAnsi="Times New Roman" w:cs="Times New Roman"/>
          <w:sz w:val="28"/>
          <w:szCs w:val="28"/>
          <w:shd w:val="clear" w:color="auto" w:fill="FFFFFF"/>
        </w:rPr>
        <w:t>о</w:t>
      </w:r>
      <w:r w:rsidR="00180AC2" w:rsidRPr="00180AC2">
        <w:rPr>
          <w:rFonts w:ascii="Times New Roman" w:eastAsia="Calibri" w:hAnsi="Times New Roman" w:cs="Times New Roman"/>
          <w:sz w:val="28"/>
          <w:szCs w:val="28"/>
          <w:shd w:val="clear" w:color="auto" w:fill="FFFFFF"/>
        </w:rPr>
        <w:t>бъем межбюджетного трансферта из федерального бюджета бюджету ПФР на предоставление материнского (семейного) капитала составил</w:t>
      </w:r>
      <w:r w:rsidR="00896DFD">
        <w:rPr>
          <w:rFonts w:ascii="Times New Roman" w:eastAsia="Calibri" w:hAnsi="Times New Roman" w:cs="Times New Roman"/>
          <w:sz w:val="28"/>
          <w:szCs w:val="28"/>
        </w:rPr>
        <w:t> </w:t>
      </w:r>
      <w:r w:rsidR="00760E92">
        <w:rPr>
          <w:rFonts w:ascii="Times New Roman" w:eastAsia="Calibri" w:hAnsi="Times New Roman" w:cs="Times New Roman"/>
          <w:sz w:val="28"/>
          <w:szCs w:val="28"/>
          <w:shd w:val="clear" w:color="auto" w:fill="FFFFFF"/>
        </w:rPr>
        <w:t>333</w:t>
      </w:r>
      <w:r w:rsidR="00C24BF2">
        <w:rPr>
          <w:rFonts w:ascii="Times New Roman" w:eastAsia="Calibri" w:hAnsi="Times New Roman" w:cs="Times New Roman"/>
          <w:sz w:val="28"/>
          <w:szCs w:val="28"/>
          <w:shd w:val="clear" w:color="auto" w:fill="FFFFFF"/>
        </w:rPr>
        <w:t>,</w:t>
      </w:r>
      <w:r w:rsidR="00760E92">
        <w:rPr>
          <w:rFonts w:ascii="Times New Roman" w:eastAsia="Calibri" w:hAnsi="Times New Roman" w:cs="Times New Roman"/>
          <w:sz w:val="28"/>
          <w:szCs w:val="28"/>
          <w:shd w:val="clear" w:color="auto" w:fill="FFFFFF"/>
        </w:rPr>
        <w:t>117</w:t>
      </w:r>
      <w:r w:rsidR="00C24BF2">
        <w:rPr>
          <w:rFonts w:ascii="Times New Roman" w:eastAsia="Calibri" w:hAnsi="Times New Roman" w:cs="Times New Roman"/>
          <w:sz w:val="28"/>
          <w:szCs w:val="28"/>
          <w:shd w:val="clear" w:color="auto" w:fill="FFFFFF"/>
        </w:rPr>
        <w:t xml:space="preserve"> млрд</w:t>
      </w:r>
      <w:r w:rsidR="00180AC2">
        <w:rPr>
          <w:rFonts w:ascii="Times New Roman" w:eastAsia="Calibri" w:hAnsi="Times New Roman" w:cs="Times New Roman"/>
          <w:sz w:val="28"/>
          <w:szCs w:val="28"/>
          <w:shd w:val="clear" w:color="auto" w:fill="FFFFFF"/>
        </w:rPr>
        <w:t xml:space="preserve"> рублей.</w:t>
      </w:r>
      <w:r w:rsidR="006C4B3C">
        <w:rPr>
          <w:rFonts w:ascii="Times New Roman" w:eastAsia="Calibri" w:hAnsi="Times New Roman" w:cs="Times New Roman"/>
          <w:sz w:val="28"/>
          <w:szCs w:val="28"/>
          <w:shd w:val="clear" w:color="auto" w:fill="FFFFFF"/>
        </w:rPr>
        <w:t xml:space="preserve"> Кроме того, на осуществление указанной выплаты привлекались переходящие остатки средств федерального бюджета по состоянию на 1 января 2021 г. Кассовые расходы ПФР на предоставление материнского (семейного) капитала за 2021 г</w:t>
      </w:r>
      <w:r w:rsidR="001D2951">
        <w:rPr>
          <w:rFonts w:ascii="Times New Roman" w:eastAsia="Calibri" w:hAnsi="Times New Roman" w:cs="Times New Roman"/>
          <w:sz w:val="28"/>
          <w:szCs w:val="28"/>
          <w:shd w:val="clear" w:color="auto" w:fill="FFFFFF"/>
        </w:rPr>
        <w:t>.</w:t>
      </w:r>
      <w:r w:rsidR="006C4B3C">
        <w:rPr>
          <w:rFonts w:ascii="Times New Roman" w:eastAsia="Calibri" w:hAnsi="Times New Roman" w:cs="Times New Roman"/>
          <w:sz w:val="28"/>
          <w:szCs w:val="28"/>
          <w:shd w:val="clear" w:color="auto" w:fill="FFFFFF"/>
        </w:rPr>
        <w:t xml:space="preserve"> составили 398 994,1 млн рублей.</w:t>
      </w:r>
    </w:p>
    <w:p w14:paraId="36A89A43" w14:textId="0D21B1E0" w:rsidR="00180AC2" w:rsidRDefault="00180AC2" w:rsidP="00146781">
      <w:pPr>
        <w:widowControl w:val="0"/>
        <w:spacing w:after="0" w:line="312"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 1 января 202</w:t>
      </w:r>
      <w:r w:rsidR="00760E92">
        <w:rPr>
          <w:rFonts w:ascii="Times New Roman" w:eastAsia="Calibri" w:hAnsi="Times New Roman" w:cs="Times New Roman"/>
          <w:sz w:val="28"/>
          <w:szCs w:val="28"/>
          <w:shd w:val="clear" w:color="auto" w:fill="FFFFFF"/>
        </w:rPr>
        <w:t>1</w:t>
      </w:r>
      <w:r>
        <w:rPr>
          <w:rFonts w:ascii="Times New Roman" w:eastAsia="Calibri" w:hAnsi="Times New Roman" w:cs="Times New Roman"/>
          <w:sz w:val="28"/>
          <w:szCs w:val="28"/>
          <w:shd w:val="clear" w:color="auto" w:fill="FFFFFF"/>
        </w:rPr>
        <w:t xml:space="preserve"> г</w:t>
      </w:r>
      <w:r w:rsidR="006D2135">
        <w:rPr>
          <w:rFonts w:ascii="Times New Roman" w:eastAsia="Calibri" w:hAnsi="Times New Roman" w:cs="Times New Roman"/>
          <w:sz w:val="28"/>
          <w:szCs w:val="28"/>
          <w:shd w:val="clear" w:color="auto" w:fill="FFFFFF"/>
        </w:rPr>
        <w:t>.</w:t>
      </w:r>
      <w:r>
        <w:rPr>
          <w:rFonts w:ascii="Times New Roman" w:eastAsia="Calibri" w:hAnsi="Times New Roman" w:cs="Times New Roman"/>
          <w:sz w:val="28"/>
          <w:szCs w:val="28"/>
          <w:shd w:val="clear" w:color="auto" w:fill="FFFFFF"/>
        </w:rPr>
        <w:t xml:space="preserve"> размер материнского (семейного) капитала проиндексирован и </w:t>
      </w:r>
      <w:r w:rsidR="00146781" w:rsidRPr="00180AC2">
        <w:rPr>
          <w:rFonts w:ascii="Times New Roman" w:eastAsia="Calibri" w:hAnsi="Times New Roman" w:cs="Times New Roman"/>
          <w:sz w:val="28"/>
          <w:szCs w:val="28"/>
          <w:shd w:val="clear" w:color="auto" w:fill="FFFFFF"/>
        </w:rPr>
        <w:t>составил 4</w:t>
      </w:r>
      <w:r w:rsidR="00760E92">
        <w:rPr>
          <w:rFonts w:ascii="Times New Roman" w:eastAsia="Calibri" w:hAnsi="Times New Roman" w:cs="Times New Roman"/>
          <w:sz w:val="28"/>
          <w:szCs w:val="28"/>
          <w:shd w:val="clear" w:color="auto" w:fill="FFFFFF"/>
        </w:rPr>
        <w:t>83 881,83</w:t>
      </w:r>
      <w:r w:rsidR="00146781" w:rsidRPr="00180AC2">
        <w:rPr>
          <w:rFonts w:ascii="Times New Roman" w:eastAsia="Calibri" w:hAnsi="Times New Roman" w:cs="Times New Roman"/>
          <w:sz w:val="28"/>
          <w:szCs w:val="28"/>
          <w:shd w:val="clear" w:color="auto" w:fill="FFFFFF"/>
        </w:rPr>
        <w:t xml:space="preserve"> рубл</w:t>
      </w:r>
      <w:r w:rsidR="00760E92">
        <w:rPr>
          <w:rFonts w:ascii="Times New Roman" w:eastAsia="Calibri" w:hAnsi="Times New Roman" w:cs="Times New Roman"/>
          <w:sz w:val="28"/>
          <w:szCs w:val="28"/>
          <w:shd w:val="clear" w:color="auto" w:fill="FFFFFF"/>
        </w:rPr>
        <w:t>ь</w:t>
      </w:r>
      <w:r>
        <w:rPr>
          <w:rFonts w:ascii="Times New Roman" w:eastAsia="Calibri" w:hAnsi="Times New Roman" w:cs="Times New Roman"/>
          <w:sz w:val="28"/>
          <w:szCs w:val="28"/>
          <w:shd w:val="clear" w:color="auto" w:fill="FFFFFF"/>
        </w:rPr>
        <w:t xml:space="preserve"> при рождении (усыновлении) первого ребенка, а также если право на его получение возникло в связи с рождением (усыновлением) второго ребенка или последующих детей до 1 января 2020 г</w:t>
      </w:r>
      <w:r w:rsidR="006D2135">
        <w:rPr>
          <w:rFonts w:ascii="Times New Roman" w:eastAsia="Calibri" w:hAnsi="Times New Roman" w:cs="Times New Roman"/>
          <w:sz w:val="28"/>
          <w:szCs w:val="28"/>
          <w:shd w:val="clear" w:color="auto" w:fill="FFFFFF"/>
        </w:rPr>
        <w:t>.</w:t>
      </w:r>
      <w:r>
        <w:rPr>
          <w:rFonts w:ascii="Times New Roman" w:eastAsia="Calibri" w:hAnsi="Times New Roman" w:cs="Times New Roman"/>
          <w:sz w:val="28"/>
          <w:szCs w:val="28"/>
          <w:shd w:val="clear" w:color="auto" w:fill="FFFFFF"/>
        </w:rPr>
        <w:t>, и 6</w:t>
      </w:r>
      <w:r w:rsidR="00760E92">
        <w:rPr>
          <w:rFonts w:ascii="Times New Roman" w:eastAsia="Calibri" w:hAnsi="Times New Roman" w:cs="Times New Roman"/>
          <w:sz w:val="28"/>
          <w:szCs w:val="28"/>
          <w:shd w:val="clear" w:color="auto" w:fill="FFFFFF"/>
        </w:rPr>
        <w:t>39 431,83</w:t>
      </w:r>
      <w:r>
        <w:rPr>
          <w:rFonts w:ascii="Times New Roman" w:eastAsia="Calibri" w:hAnsi="Times New Roman" w:cs="Times New Roman"/>
          <w:sz w:val="28"/>
          <w:szCs w:val="28"/>
          <w:shd w:val="clear" w:color="auto" w:fill="FFFFFF"/>
        </w:rPr>
        <w:t xml:space="preserve"> рубл</w:t>
      </w:r>
      <w:r w:rsidR="00760E92">
        <w:rPr>
          <w:rFonts w:ascii="Times New Roman" w:eastAsia="Calibri" w:hAnsi="Times New Roman" w:cs="Times New Roman"/>
          <w:sz w:val="28"/>
          <w:szCs w:val="28"/>
          <w:shd w:val="clear" w:color="auto" w:fill="FFFFFF"/>
        </w:rPr>
        <w:t>ь</w:t>
      </w:r>
      <w:r>
        <w:rPr>
          <w:rFonts w:ascii="Times New Roman" w:eastAsia="Calibri" w:hAnsi="Times New Roman" w:cs="Times New Roman"/>
          <w:sz w:val="28"/>
          <w:szCs w:val="28"/>
          <w:shd w:val="clear" w:color="auto" w:fill="FFFFFF"/>
        </w:rPr>
        <w:t xml:space="preserve"> при рождении с 1 января 2020 г</w:t>
      </w:r>
      <w:r w:rsidR="006D2135">
        <w:rPr>
          <w:rFonts w:ascii="Times New Roman" w:eastAsia="Calibri" w:hAnsi="Times New Roman" w:cs="Times New Roman"/>
          <w:sz w:val="28"/>
          <w:szCs w:val="28"/>
          <w:shd w:val="clear" w:color="auto" w:fill="FFFFFF"/>
        </w:rPr>
        <w:t>.</w:t>
      </w:r>
      <w:r>
        <w:rPr>
          <w:rFonts w:ascii="Times New Roman" w:eastAsia="Calibri" w:hAnsi="Times New Roman" w:cs="Times New Roman"/>
          <w:sz w:val="28"/>
          <w:szCs w:val="28"/>
          <w:shd w:val="clear" w:color="auto" w:fill="FFFFFF"/>
        </w:rPr>
        <w:t xml:space="preserve"> второго ребенка</w:t>
      </w:r>
      <w:r w:rsidR="00043A60">
        <w:rPr>
          <w:rFonts w:ascii="Times New Roman" w:eastAsia="Calibri" w:hAnsi="Times New Roman" w:cs="Times New Roman"/>
          <w:sz w:val="28"/>
          <w:szCs w:val="28"/>
          <w:shd w:val="clear" w:color="auto" w:fill="FFFFFF"/>
        </w:rPr>
        <w:t>, а также третьего ребенка или</w:t>
      </w:r>
      <w:r>
        <w:rPr>
          <w:rFonts w:ascii="Times New Roman" w:eastAsia="Calibri" w:hAnsi="Times New Roman" w:cs="Times New Roman"/>
          <w:sz w:val="28"/>
          <w:szCs w:val="28"/>
          <w:shd w:val="clear" w:color="auto" w:fill="FFFFFF"/>
        </w:rPr>
        <w:t xml:space="preserve"> последующих детей</w:t>
      </w:r>
      <w:r w:rsidR="00043A60">
        <w:rPr>
          <w:rFonts w:ascii="Times New Roman" w:eastAsia="Calibri" w:hAnsi="Times New Roman" w:cs="Times New Roman"/>
          <w:sz w:val="28"/>
          <w:szCs w:val="28"/>
          <w:shd w:val="clear" w:color="auto" w:fill="FFFFFF"/>
        </w:rPr>
        <w:t>, если ранее право на материнский (семейный) капитал не возникло</w:t>
      </w:r>
      <w:r>
        <w:rPr>
          <w:rFonts w:ascii="Times New Roman" w:eastAsia="Calibri" w:hAnsi="Times New Roman" w:cs="Times New Roman"/>
          <w:sz w:val="28"/>
          <w:szCs w:val="28"/>
          <w:shd w:val="clear" w:color="auto" w:fill="FFFFFF"/>
        </w:rPr>
        <w:t>. В случае рождения</w:t>
      </w:r>
      <w:r w:rsidR="0042553D">
        <w:rPr>
          <w:rFonts w:ascii="Times New Roman" w:eastAsia="Calibri" w:hAnsi="Times New Roman" w:cs="Times New Roman"/>
          <w:sz w:val="28"/>
          <w:szCs w:val="28"/>
          <w:shd w:val="clear" w:color="auto" w:fill="FFFFFF"/>
        </w:rPr>
        <w:t xml:space="preserve"> (усыновления)</w:t>
      </w:r>
      <w:r>
        <w:rPr>
          <w:rFonts w:ascii="Times New Roman" w:eastAsia="Calibri" w:hAnsi="Times New Roman" w:cs="Times New Roman"/>
          <w:sz w:val="28"/>
          <w:szCs w:val="28"/>
          <w:shd w:val="clear" w:color="auto" w:fill="FFFFFF"/>
        </w:rPr>
        <w:t xml:space="preserve"> второго ребенка с 1 января 2020 г</w:t>
      </w:r>
      <w:r w:rsidR="006D2135">
        <w:rPr>
          <w:rFonts w:ascii="Times New Roman" w:eastAsia="Calibri" w:hAnsi="Times New Roman" w:cs="Times New Roman"/>
          <w:sz w:val="28"/>
          <w:szCs w:val="28"/>
          <w:shd w:val="clear" w:color="auto" w:fill="FFFFFF"/>
        </w:rPr>
        <w:t>.</w:t>
      </w:r>
      <w:r>
        <w:rPr>
          <w:rFonts w:ascii="Times New Roman" w:eastAsia="Calibri" w:hAnsi="Times New Roman" w:cs="Times New Roman"/>
          <w:sz w:val="28"/>
          <w:szCs w:val="28"/>
          <w:shd w:val="clear" w:color="auto" w:fill="FFFFFF"/>
        </w:rPr>
        <w:t xml:space="preserve"> при условии, что первый ребенок также рожден </w:t>
      </w:r>
      <w:r w:rsidR="0042553D">
        <w:rPr>
          <w:rFonts w:ascii="Times New Roman" w:eastAsia="Calibri" w:hAnsi="Times New Roman" w:cs="Times New Roman"/>
          <w:sz w:val="28"/>
          <w:szCs w:val="28"/>
          <w:shd w:val="clear" w:color="auto" w:fill="FFFFFF"/>
        </w:rPr>
        <w:t>(усыновлен) с 1 января 2020 г</w:t>
      </w:r>
      <w:r w:rsidR="006D2135">
        <w:rPr>
          <w:rFonts w:ascii="Times New Roman" w:eastAsia="Calibri" w:hAnsi="Times New Roman" w:cs="Times New Roman"/>
          <w:sz w:val="28"/>
          <w:szCs w:val="28"/>
          <w:shd w:val="clear" w:color="auto" w:fill="FFFFFF"/>
        </w:rPr>
        <w:t>.</w:t>
      </w:r>
      <w:r w:rsidR="008B7B9B">
        <w:rPr>
          <w:rFonts w:ascii="Times New Roman" w:eastAsia="Calibri" w:hAnsi="Times New Roman" w:cs="Times New Roman"/>
          <w:sz w:val="28"/>
          <w:szCs w:val="28"/>
          <w:shd w:val="clear" w:color="auto" w:fill="FFFFFF"/>
        </w:rPr>
        <w:t>,</w:t>
      </w:r>
      <w:r w:rsidR="0042553D">
        <w:rPr>
          <w:rFonts w:ascii="Times New Roman" w:eastAsia="Calibri" w:hAnsi="Times New Roman" w:cs="Times New Roman"/>
          <w:sz w:val="28"/>
          <w:szCs w:val="28"/>
          <w:shd w:val="clear" w:color="auto" w:fill="FFFFFF"/>
        </w:rPr>
        <w:t xml:space="preserve"> материнский (семейный) капитал увеличивался на 15</w:t>
      </w:r>
      <w:r w:rsidR="00760E92">
        <w:rPr>
          <w:rFonts w:ascii="Times New Roman" w:eastAsia="Calibri" w:hAnsi="Times New Roman" w:cs="Times New Roman"/>
          <w:sz w:val="28"/>
          <w:szCs w:val="28"/>
          <w:shd w:val="clear" w:color="auto" w:fill="FFFFFF"/>
        </w:rPr>
        <w:t>5,6</w:t>
      </w:r>
      <w:r w:rsidR="0042553D">
        <w:rPr>
          <w:rFonts w:ascii="Times New Roman" w:eastAsia="Calibri" w:hAnsi="Times New Roman" w:cs="Times New Roman"/>
          <w:sz w:val="28"/>
          <w:szCs w:val="28"/>
          <w:shd w:val="clear" w:color="auto" w:fill="FFFFFF"/>
        </w:rPr>
        <w:t xml:space="preserve"> тыс. рублей, составляя в общей сумме 6</w:t>
      </w:r>
      <w:r w:rsidR="00760E92">
        <w:rPr>
          <w:rFonts w:ascii="Times New Roman" w:eastAsia="Calibri" w:hAnsi="Times New Roman" w:cs="Times New Roman"/>
          <w:sz w:val="28"/>
          <w:szCs w:val="28"/>
          <w:shd w:val="clear" w:color="auto" w:fill="FFFFFF"/>
        </w:rPr>
        <w:t>39 431,83</w:t>
      </w:r>
      <w:r w:rsidR="0042553D">
        <w:rPr>
          <w:rFonts w:ascii="Times New Roman" w:eastAsia="Calibri" w:hAnsi="Times New Roman" w:cs="Times New Roman"/>
          <w:sz w:val="28"/>
          <w:szCs w:val="28"/>
          <w:shd w:val="clear" w:color="auto" w:fill="FFFFFF"/>
        </w:rPr>
        <w:t xml:space="preserve"> рубл</w:t>
      </w:r>
      <w:r w:rsidR="00760E92">
        <w:rPr>
          <w:rFonts w:ascii="Times New Roman" w:eastAsia="Calibri" w:hAnsi="Times New Roman" w:cs="Times New Roman"/>
          <w:sz w:val="28"/>
          <w:szCs w:val="28"/>
          <w:shd w:val="clear" w:color="auto" w:fill="FFFFFF"/>
        </w:rPr>
        <w:t>ь</w:t>
      </w:r>
      <w:r w:rsidR="0042553D">
        <w:rPr>
          <w:rFonts w:ascii="Times New Roman" w:eastAsia="Calibri" w:hAnsi="Times New Roman" w:cs="Times New Roman"/>
          <w:sz w:val="28"/>
          <w:szCs w:val="28"/>
          <w:shd w:val="clear" w:color="auto" w:fill="FFFFFF"/>
        </w:rPr>
        <w:t>.</w:t>
      </w:r>
    </w:p>
    <w:p w14:paraId="7D32D427" w14:textId="0F03CF67" w:rsidR="00146781" w:rsidRPr="00D03A4F" w:rsidRDefault="00146781" w:rsidP="00146781">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За время реализации Федеральног</w:t>
      </w:r>
      <w:r w:rsidR="00BB5821">
        <w:rPr>
          <w:rFonts w:ascii="Times New Roman" w:eastAsia="Calibri" w:hAnsi="Times New Roman" w:cs="Times New Roman"/>
          <w:sz w:val="28"/>
          <w:szCs w:val="28"/>
          <w:shd w:val="clear" w:color="auto" w:fill="FFFFFF"/>
        </w:rPr>
        <w:t xml:space="preserve">о закона от 29 декабря 2006 г. </w:t>
      </w:r>
      <w:r w:rsidRPr="00D03A4F">
        <w:rPr>
          <w:rFonts w:ascii="Times New Roman" w:eastAsia="Calibri" w:hAnsi="Times New Roman" w:cs="Times New Roman"/>
          <w:sz w:val="28"/>
          <w:szCs w:val="28"/>
          <w:shd w:val="clear" w:color="auto" w:fill="FFFFFF"/>
        </w:rPr>
        <w:t>№ 256-ФЗ по состоянию на 1 января 202</w:t>
      </w:r>
      <w:r w:rsidR="00F915C8">
        <w:rPr>
          <w:rFonts w:ascii="Times New Roman" w:eastAsia="Calibri" w:hAnsi="Times New Roman" w:cs="Times New Roman"/>
          <w:sz w:val="28"/>
          <w:szCs w:val="28"/>
          <w:shd w:val="clear" w:color="auto" w:fill="FFFFFF"/>
        </w:rPr>
        <w:t>2</w:t>
      </w:r>
      <w:r w:rsidRPr="00D03A4F">
        <w:rPr>
          <w:rFonts w:ascii="Times New Roman" w:eastAsia="Calibri" w:hAnsi="Times New Roman" w:cs="Times New Roman"/>
          <w:sz w:val="28"/>
          <w:szCs w:val="28"/>
          <w:shd w:val="clear" w:color="auto" w:fill="FFFFFF"/>
        </w:rPr>
        <w:t xml:space="preserve"> г</w:t>
      </w:r>
      <w:r w:rsidR="006D2135">
        <w:rPr>
          <w:rFonts w:ascii="Times New Roman" w:eastAsia="Calibri" w:hAnsi="Times New Roman" w:cs="Times New Roman"/>
          <w:sz w:val="28"/>
          <w:szCs w:val="28"/>
          <w:shd w:val="clear" w:color="auto" w:fill="FFFFFF"/>
        </w:rPr>
        <w:t>.</w:t>
      </w:r>
      <w:r w:rsidRPr="00D03A4F">
        <w:rPr>
          <w:rFonts w:ascii="Times New Roman" w:eastAsia="Calibri" w:hAnsi="Times New Roman" w:cs="Times New Roman"/>
          <w:sz w:val="28"/>
          <w:szCs w:val="28"/>
          <w:shd w:val="clear" w:color="auto" w:fill="FFFFFF"/>
        </w:rPr>
        <w:t xml:space="preserve"> территориальными органами ПФР выдано </w:t>
      </w:r>
      <w:r w:rsidR="0042553D">
        <w:rPr>
          <w:rFonts w:ascii="Times New Roman" w:eastAsia="Calibri" w:hAnsi="Times New Roman" w:cs="Times New Roman"/>
          <w:sz w:val="28"/>
          <w:szCs w:val="28"/>
          <w:shd w:val="clear" w:color="auto" w:fill="FFFFFF"/>
        </w:rPr>
        <w:t>1</w:t>
      </w:r>
      <w:r w:rsidR="00F915C8">
        <w:rPr>
          <w:rFonts w:ascii="Times New Roman" w:eastAsia="Calibri" w:hAnsi="Times New Roman" w:cs="Times New Roman"/>
          <w:sz w:val="28"/>
          <w:szCs w:val="28"/>
          <w:shd w:val="clear" w:color="auto" w:fill="FFFFFF"/>
        </w:rPr>
        <w:t>1</w:t>
      </w:r>
      <w:r w:rsidR="0042553D">
        <w:rPr>
          <w:rFonts w:ascii="Times New Roman" w:eastAsia="Calibri" w:hAnsi="Times New Roman" w:cs="Times New Roman"/>
          <w:sz w:val="28"/>
          <w:szCs w:val="28"/>
          <w:shd w:val="clear" w:color="auto" w:fill="FFFFFF"/>
        </w:rPr>
        <w:t> </w:t>
      </w:r>
      <w:r w:rsidR="00F915C8">
        <w:rPr>
          <w:rFonts w:ascii="Times New Roman" w:eastAsia="Calibri" w:hAnsi="Times New Roman" w:cs="Times New Roman"/>
          <w:sz w:val="28"/>
          <w:szCs w:val="28"/>
          <w:shd w:val="clear" w:color="auto" w:fill="FFFFFF"/>
        </w:rPr>
        <w:t>924</w:t>
      </w:r>
      <w:r w:rsidR="001F5D8F">
        <w:rPr>
          <w:rFonts w:ascii="Times New Roman" w:eastAsia="Calibri" w:hAnsi="Times New Roman" w:cs="Times New Roman"/>
          <w:sz w:val="28"/>
          <w:szCs w:val="28"/>
        </w:rPr>
        <w:t> </w:t>
      </w:r>
      <w:r w:rsidR="00F915C8">
        <w:rPr>
          <w:rFonts w:ascii="Times New Roman" w:eastAsia="Calibri" w:hAnsi="Times New Roman" w:cs="Times New Roman"/>
          <w:sz w:val="28"/>
          <w:szCs w:val="28"/>
          <w:shd w:val="clear" w:color="auto" w:fill="FFFFFF"/>
        </w:rPr>
        <w:t>343</w:t>
      </w:r>
      <w:r w:rsidRPr="00D03A4F">
        <w:rPr>
          <w:rFonts w:ascii="Times New Roman" w:eastAsia="Calibri" w:hAnsi="Times New Roman" w:cs="Times New Roman"/>
          <w:sz w:val="28"/>
          <w:szCs w:val="28"/>
          <w:shd w:val="clear" w:color="auto" w:fill="FFFFFF"/>
        </w:rPr>
        <w:t xml:space="preserve"> государственных сертификат</w:t>
      </w:r>
      <w:r w:rsidR="009B13E0">
        <w:rPr>
          <w:rFonts w:ascii="Times New Roman" w:eastAsia="Calibri" w:hAnsi="Times New Roman" w:cs="Times New Roman"/>
          <w:sz w:val="28"/>
          <w:szCs w:val="28"/>
          <w:shd w:val="clear" w:color="auto" w:fill="FFFFFF"/>
        </w:rPr>
        <w:t>а</w:t>
      </w:r>
      <w:r w:rsidRPr="00D03A4F">
        <w:rPr>
          <w:rFonts w:ascii="Times New Roman" w:eastAsia="Calibri" w:hAnsi="Times New Roman" w:cs="Times New Roman"/>
          <w:sz w:val="28"/>
          <w:szCs w:val="28"/>
          <w:shd w:val="clear" w:color="auto" w:fill="FFFFFF"/>
        </w:rPr>
        <w:t xml:space="preserve"> на материнский (семейный) капитал. В 20</w:t>
      </w:r>
      <w:r w:rsidR="0042553D">
        <w:rPr>
          <w:rFonts w:ascii="Times New Roman" w:eastAsia="Calibri" w:hAnsi="Times New Roman" w:cs="Times New Roman"/>
          <w:sz w:val="28"/>
          <w:szCs w:val="28"/>
          <w:shd w:val="clear" w:color="auto" w:fill="FFFFFF"/>
        </w:rPr>
        <w:t>2</w:t>
      </w:r>
      <w:r w:rsidR="00F915C8">
        <w:rPr>
          <w:rFonts w:ascii="Times New Roman" w:eastAsia="Calibri" w:hAnsi="Times New Roman" w:cs="Times New Roman"/>
          <w:sz w:val="28"/>
          <w:szCs w:val="28"/>
          <w:shd w:val="clear" w:color="auto" w:fill="FFFFFF"/>
        </w:rPr>
        <w:t>1</w:t>
      </w:r>
      <w:r w:rsidRPr="00D03A4F">
        <w:rPr>
          <w:rFonts w:ascii="Times New Roman" w:eastAsia="Calibri" w:hAnsi="Times New Roman" w:cs="Times New Roman"/>
          <w:sz w:val="28"/>
          <w:szCs w:val="28"/>
          <w:shd w:val="clear" w:color="auto" w:fill="FFFFFF"/>
        </w:rPr>
        <w:t xml:space="preserve"> г</w:t>
      </w:r>
      <w:r w:rsidR="001D2951">
        <w:rPr>
          <w:rFonts w:ascii="Times New Roman" w:eastAsia="Calibri" w:hAnsi="Times New Roman" w:cs="Times New Roman"/>
          <w:sz w:val="28"/>
          <w:szCs w:val="28"/>
          <w:shd w:val="clear" w:color="auto" w:fill="FFFFFF"/>
        </w:rPr>
        <w:t>.</w:t>
      </w:r>
      <w:r w:rsidRPr="00D03A4F">
        <w:rPr>
          <w:rFonts w:ascii="Times New Roman" w:eastAsia="Calibri" w:hAnsi="Times New Roman" w:cs="Times New Roman"/>
          <w:sz w:val="28"/>
          <w:szCs w:val="28"/>
          <w:shd w:val="clear" w:color="auto" w:fill="FFFFFF"/>
        </w:rPr>
        <w:t xml:space="preserve"> выдан </w:t>
      </w:r>
      <w:r w:rsidR="00135082">
        <w:rPr>
          <w:rFonts w:ascii="Times New Roman" w:eastAsia="Calibri" w:hAnsi="Times New Roman" w:cs="Times New Roman"/>
          <w:sz w:val="28"/>
          <w:szCs w:val="28"/>
          <w:shd w:val="clear" w:color="auto" w:fill="FFFFFF"/>
        </w:rPr>
        <w:br/>
      </w:r>
      <w:r w:rsidR="0042553D" w:rsidRPr="0042553D">
        <w:rPr>
          <w:rFonts w:ascii="Times New Roman" w:eastAsia="Calibri" w:hAnsi="Times New Roman" w:cs="Times New Roman"/>
          <w:sz w:val="28"/>
          <w:szCs w:val="28"/>
        </w:rPr>
        <w:t xml:space="preserve">1 </w:t>
      </w:r>
      <w:r w:rsidR="00F915C8">
        <w:rPr>
          <w:rFonts w:ascii="Times New Roman" w:eastAsia="Calibri" w:hAnsi="Times New Roman" w:cs="Times New Roman"/>
          <w:sz w:val="28"/>
          <w:szCs w:val="28"/>
        </w:rPr>
        <w:t>053</w:t>
      </w:r>
      <w:r w:rsidR="001F5D8F">
        <w:rPr>
          <w:rFonts w:ascii="Times New Roman" w:eastAsia="Calibri" w:hAnsi="Times New Roman" w:cs="Times New Roman"/>
          <w:sz w:val="28"/>
          <w:szCs w:val="28"/>
        </w:rPr>
        <w:t> </w:t>
      </w:r>
      <w:r w:rsidR="00F915C8">
        <w:rPr>
          <w:rFonts w:ascii="Times New Roman" w:eastAsia="Calibri" w:hAnsi="Times New Roman" w:cs="Times New Roman"/>
          <w:sz w:val="28"/>
          <w:szCs w:val="28"/>
        </w:rPr>
        <w:t>461</w:t>
      </w:r>
      <w:r w:rsidR="0042553D" w:rsidRPr="0042553D">
        <w:rPr>
          <w:rFonts w:ascii="Times New Roman" w:eastAsia="Calibri" w:hAnsi="Times New Roman" w:cs="Times New Roman"/>
          <w:sz w:val="28"/>
          <w:szCs w:val="28"/>
        </w:rPr>
        <w:t xml:space="preserve"> сертификат</w:t>
      </w:r>
      <w:r w:rsidRPr="00D03A4F">
        <w:rPr>
          <w:rFonts w:ascii="Times New Roman" w:eastAsia="Calibri" w:hAnsi="Times New Roman" w:cs="Times New Roman"/>
          <w:sz w:val="28"/>
          <w:szCs w:val="28"/>
          <w:shd w:val="clear" w:color="auto" w:fill="FFFFFF"/>
        </w:rPr>
        <w:t>.</w:t>
      </w:r>
    </w:p>
    <w:p w14:paraId="2201D7E0" w14:textId="77777777" w:rsidR="00146781" w:rsidRPr="00D03A4F" w:rsidRDefault="00424D57" w:rsidP="00146781">
      <w:pPr>
        <w:widowControl w:val="0"/>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Общее к</w:t>
      </w:r>
      <w:r w:rsidR="00146781" w:rsidRPr="00D03A4F">
        <w:rPr>
          <w:rFonts w:ascii="Times New Roman" w:eastAsia="Calibri" w:hAnsi="Times New Roman" w:cs="Times New Roman"/>
          <w:sz w:val="28"/>
          <w:szCs w:val="28"/>
          <w:shd w:val="clear" w:color="auto" w:fill="FFFFFF"/>
        </w:rPr>
        <w:t xml:space="preserve">оличество обращений с заявлениями о распоряжении средствами материнского (семейного) капитала составило </w:t>
      </w:r>
      <w:r w:rsidR="00F915C8">
        <w:rPr>
          <w:rFonts w:ascii="Times New Roman" w:eastAsia="Calibri" w:hAnsi="Times New Roman" w:cs="Times New Roman"/>
          <w:sz w:val="28"/>
          <w:szCs w:val="28"/>
          <w:shd w:val="clear" w:color="auto" w:fill="FFFFFF"/>
        </w:rPr>
        <w:t>10</w:t>
      </w:r>
      <w:r>
        <w:rPr>
          <w:rFonts w:ascii="Times New Roman" w:eastAsia="Calibri" w:hAnsi="Times New Roman" w:cs="Times New Roman"/>
          <w:sz w:val="28"/>
          <w:szCs w:val="28"/>
          <w:shd w:val="clear" w:color="auto" w:fill="FFFFFF"/>
        </w:rPr>
        <w:t> </w:t>
      </w:r>
      <w:r w:rsidR="00F915C8">
        <w:rPr>
          <w:rFonts w:ascii="Times New Roman" w:eastAsia="Calibri" w:hAnsi="Times New Roman" w:cs="Times New Roman"/>
          <w:sz w:val="28"/>
          <w:szCs w:val="28"/>
          <w:shd w:val="clear" w:color="auto" w:fill="FFFFFF"/>
        </w:rPr>
        <w:t>157</w:t>
      </w:r>
      <w:r w:rsidR="00253BEA">
        <w:rPr>
          <w:rFonts w:ascii="Times New Roman" w:eastAsia="Calibri" w:hAnsi="Times New Roman" w:cs="Times New Roman"/>
          <w:sz w:val="28"/>
          <w:szCs w:val="28"/>
        </w:rPr>
        <w:t> </w:t>
      </w:r>
      <w:r w:rsidR="00F915C8">
        <w:rPr>
          <w:rFonts w:ascii="Times New Roman" w:eastAsia="Calibri" w:hAnsi="Times New Roman" w:cs="Times New Roman"/>
          <w:sz w:val="28"/>
          <w:szCs w:val="28"/>
          <w:shd w:val="clear" w:color="auto" w:fill="FFFFFF"/>
        </w:rPr>
        <w:t>875</w:t>
      </w:r>
      <w:r w:rsidR="00146781" w:rsidRPr="00D03A4F">
        <w:rPr>
          <w:rFonts w:ascii="Times New Roman" w:eastAsia="Calibri" w:hAnsi="Times New Roman" w:cs="Times New Roman"/>
          <w:sz w:val="28"/>
          <w:szCs w:val="28"/>
          <w:shd w:val="clear" w:color="auto" w:fill="FFFFFF"/>
        </w:rPr>
        <w:t>, в том числе:</w:t>
      </w:r>
    </w:p>
    <w:p w14:paraId="3BC38205" w14:textId="77777777" w:rsidR="00146781" w:rsidRPr="00D03A4F" w:rsidRDefault="00F915C8" w:rsidP="00146781">
      <w:pPr>
        <w:widowControl w:val="0"/>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8</w:t>
      </w:r>
      <w:r w:rsidR="00424D57">
        <w:rPr>
          <w:rFonts w:ascii="Times New Roman" w:eastAsia="Calibri" w:hAnsi="Times New Roman" w:cs="Times New Roman"/>
          <w:sz w:val="28"/>
          <w:szCs w:val="28"/>
          <w:shd w:val="clear" w:color="auto" w:fill="FFFFFF"/>
        </w:rPr>
        <w:t> 1</w:t>
      </w:r>
      <w:r>
        <w:rPr>
          <w:rFonts w:ascii="Times New Roman" w:eastAsia="Calibri" w:hAnsi="Times New Roman" w:cs="Times New Roman"/>
          <w:sz w:val="28"/>
          <w:szCs w:val="28"/>
          <w:shd w:val="clear" w:color="auto" w:fill="FFFFFF"/>
        </w:rPr>
        <w:t>01</w:t>
      </w:r>
      <w:r w:rsidR="00253BEA">
        <w:rPr>
          <w:rFonts w:ascii="Times New Roman" w:eastAsia="Calibri" w:hAnsi="Times New Roman" w:cs="Times New Roman"/>
          <w:sz w:val="28"/>
          <w:szCs w:val="28"/>
        </w:rPr>
        <w:t> </w:t>
      </w:r>
      <w:r>
        <w:rPr>
          <w:rFonts w:ascii="Times New Roman" w:eastAsia="Calibri" w:hAnsi="Times New Roman" w:cs="Times New Roman"/>
          <w:sz w:val="28"/>
          <w:szCs w:val="28"/>
          <w:shd w:val="clear" w:color="auto" w:fill="FFFFFF"/>
        </w:rPr>
        <w:t>332</w:t>
      </w:r>
      <w:r w:rsidR="00146781" w:rsidRPr="00D03A4F">
        <w:rPr>
          <w:rFonts w:ascii="Times New Roman" w:eastAsia="Calibri" w:hAnsi="Times New Roman" w:cs="Times New Roman"/>
          <w:sz w:val="28"/>
          <w:szCs w:val="28"/>
          <w:shd w:val="clear" w:color="auto" w:fill="FFFFFF"/>
        </w:rPr>
        <w:t xml:space="preserve"> заявлени</w:t>
      </w:r>
      <w:r>
        <w:rPr>
          <w:rFonts w:ascii="Times New Roman" w:eastAsia="Calibri" w:hAnsi="Times New Roman" w:cs="Times New Roman"/>
          <w:sz w:val="28"/>
          <w:szCs w:val="28"/>
          <w:shd w:val="clear" w:color="auto" w:fill="FFFFFF"/>
        </w:rPr>
        <w:t>я</w:t>
      </w:r>
      <w:r w:rsidR="00146781" w:rsidRPr="00D03A4F">
        <w:rPr>
          <w:rFonts w:ascii="Times New Roman" w:eastAsia="Calibri" w:hAnsi="Times New Roman" w:cs="Times New Roman"/>
          <w:sz w:val="28"/>
          <w:szCs w:val="28"/>
          <w:shd w:val="clear" w:color="auto" w:fill="FFFFFF"/>
        </w:rPr>
        <w:t xml:space="preserve"> подано на улучшение жилищных условий (</w:t>
      </w:r>
      <w:r>
        <w:rPr>
          <w:rFonts w:ascii="Times New Roman" w:eastAsia="Calibri" w:hAnsi="Times New Roman" w:cs="Times New Roman"/>
          <w:sz w:val="28"/>
          <w:szCs w:val="28"/>
          <w:shd w:val="clear" w:color="auto" w:fill="FFFFFF"/>
        </w:rPr>
        <w:t>79</w:t>
      </w:r>
      <w:r w:rsidR="00146781" w:rsidRPr="00D03A4F">
        <w:rPr>
          <w:rFonts w:ascii="Times New Roman" w:eastAsia="Calibri" w:hAnsi="Times New Roman" w:cs="Times New Roman"/>
          <w:sz w:val="28"/>
          <w:szCs w:val="28"/>
          <w:shd w:val="clear" w:color="auto" w:fill="FFFFFF"/>
        </w:rPr>
        <w:t>,</w:t>
      </w:r>
      <w:r>
        <w:rPr>
          <w:rFonts w:ascii="Times New Roman" w:eastAsia="Calibri" w:hAnsi="Times New Roman" w:cs="Times New Roman"/>
          <w:sz w:val="28"/>
          <w:szCs w:val="28"/>
          <w:shd w:val="clear" w:color="auto" w:fill="FFFFFF"/>
        </w:rPr>
        <w:t>75</w:t>
      </w:r>
      <w:r w:rsidR="00146781" w:rsidRPr="00D03A4F">
        <w:rPr>
          <w:rFonts w:ascii="Times New Roman" w:eastAsia="Calibri" w:hAnsi="Times New Roman" w:cs="Times New Roman"/>
          <w:sz w:val="28"/>
          <w:szCs w:val="28"/>
          <w:shd w:val="clear" w:color="auto" w:fill="FFFFFF"/>
        </w:rPr>
        <w:t>% от общего количества обращений);</w:t>
      </w:r>
    </w:p>
    <w:p w14:paraId="565FC4E5" w14:textId="77777777" w:rsidR="00146781" w:rsidRPr="00D03A4F" w:rsidRDefault="00424D57" w:rsidP="00146781">
      <w:pPr>
        <w:widowControl w:val="0"/>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1 </w:t>
      </w:r>
      <w:r w:rsidR="00F915C8">
        <w:rPr>
          <w:rFonts w:ascii="Times New Roman" w:eastAsia="Calibri" w:hAnsi="Times New Roman" w:cs="Times New Roman"/>
          <w:sz w:val="28"/>
          <w:szCs w:val="28"/>
          <w:shd w:val="clear" w:color="auto" w:fill="FFFFFF"/>
        </w:rPr>
        <w:t>346</w:t>
      </w:r>
      <w:r w:rsidR="00253BEA">
        <w:rPr>
          <w:rFonts w:ascii="Times New Roman" w:eastAsia="Calibri" w:hAnsi="Times New Roman" w:cs="Times New Roman"/>
          <w:sz w:val="28"/>
          <w:szCs w:val="28"/>
        </w:rPr>
        <w:t> </w:t>
      </w:r>
      <w:r w:rsidR="00F915C8">
        <w:rPr>
          <w:rFonts w:ascii="Times New Roman" w:eastAsia="Calibri" w:hAnsi="Times New Roman" w:cs="Times New Roman"/>
          <w:sz w:val="28"/>
          <w:szCs w:val="28"/>
          <w:shd w:val="clear" w:color="auto" w:fill="FFFFFF"/>
        </w:rPr>
        <w:t>648</w:t>
      </w:r>
      <w:r w:rsidR="00086237">
        <w:rPr>
          <w:rFonts w:ascii="Times New Roman" w:eastAsia="Calibri" w:hAnsi="Times New Roman" w:cs="Times New Roman"/>
          <w:sz w:val="28"/>
          <w:szCs w:val="28"/>
          <w:shd w:val="clear" w:color="auto" w:fill="FFFFFF"/>
        </w:rPr>
        <w:t xml:space="preserve"> заявлени</w:t>
      </w:r>
      <w:r w:rsidR="00F915C8">
        <w:rPr>
          <w:rFonts w:ascii="Times New Roman" w:eastAsia="Calibri" w:hAnsi="Times New Roman" w:cs="Times New Roman"/>
          <w:sz w:val="28"/>
          <w:szCs w:val="28"/>
          <w:shd w:val="clear" w:color="auto" w:fill="FFFFFF"/>
        </w:rPr>
        <w:t>й</w:t>
      </w:r>
      <w:r w:rsidR="00146781" w:rsidRPr="00D03A4F">
        <w:rPr>
          <w:rFonts w:ascii="Times New Roman" w:eastAsia="Calibri" w:hAnsi="Times New Roman" w:cs="Times New Roman"/>
          <w:sz w:val="28"/>
          <w:szCs w:val="28"/>
          <w:shd w:val="clear" w:color="auto" w:fill="FFFFFF"/>
        </w:rPr>
        <w:t xml:space="preserve"> – на оказание платных образовательных услуг (1</w:t>
      </w:r>
      <w:r w:rsidR="00F915C8">
        <w:rPr>
          <w:rFonts w:ascii="Times New Roman" w:eastAsia="Calibri" w:hAnsi="Times New Roman" w:cs="Times New Roman"/>
          <w:sz w:val="28"/>
          <w:szCs w:val="28"/>
          <w:shd w:val="clear" w:color="auto" w:fill="FFFFFF"/>
        </w:rPr>
        <w:t>3</w:t>
      </w:r>
      <w:r w:rsidR="00146781" w:rsidRPr="00D03A4F">
        <w:rPr>
          <w:rFonts w:ascii="Times New Roman" w:eastAsia="Calibri" w:hAnsi="Times New Roman" w:cs="Times New Roman"/>
          <w:sz w:val="28"/>
          <w:szCs w:val="28"/>
          <w:shd w:val="clear" w:color="auto" w:fill="FFFFFF"/>
        </w:rPr>
        <w:t>,</w:t>
      </w:r>
      <w:r w:rsidR="00F915C8">
        <w:rPr>
          <w:rFonts w:ascii="Times New Roman" w:eastAsia="Calibri" w:hAnsi="Times New Roman" w:cs="Times New Roman"/>
          <w:sz w:val="28"/>
          <w:szCs w:val="28"/>
          <w:shd w:val="clear" w:color="auto" w:fill="FFFFFF"/>
        </w:rPr>
        <w:t>26</w:t>
      </w:r>
      <w:r w:rsidR="00146781" w:rsidRPr="00D03A4F">
        <w:rPr>
          <w:rFonts w:ascii="Times New Roman" w:eastAsia="Calibri" w:hAnsi="Times New Roman" w:cs="Times New Roman"/>
          <w:sz w:val="28"/>
          <w:szCs w:val="28"/>
          <w:shd w:val="clear" w:color="auto" w:fill="FFFFFF"/>
        </w:rPr>
        <w:t>% от общего количества обращений);</w:t>
      </w:r>
    </w:p>
    <w:p w14:paraId="33115F2E" w14:textId="77777777" w:rsidR="00146781" w:rsidRPr="00D03A4F" w:rsidRDefault="00F915C8" w:rsidP="00146781">
      <w:pPr>
        <w:widowControl w:val="0"/>
        <w:spacing w:after="0" w:line="30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10</w:t>
      </w:r>
      <w:r w:rsidR="00253BEA">
        <w:rPr>
          <w:rFonts w:ascii="Times New Roman" w:eastAsia="Calibri" w:hAnsi="Times New Roman" w:cs="Times New Roman"/>
          <w:sz w:val="28"/>
          <w:szCs w:val="28"/>
        </w:rPr>
        <w:t> </w:t>
      </w:r>
      <w:r>
        <w:rPr>
          <w:rFonts w:ascii="Times New Roman" w:eastAsia="Calibri" w:hAnsi="Times New Roman" w:cs="Times New Roman"/>
          <w:sz w:val="28"/>
          <w:szCs w:val="28"/>
          <w:shd w:val="clear" w:color="auto" w:fill="FFFFFF"/>
        </w:rPr>
        <w:t>140</w:t>
      </w:r>
      <w:r w:rsidR="00146781" w:rsidRPr="00D03A4F">
        <w:rPr>
          <w:rFonts w:ascii="Times New Roman" w:eastAsia="Calibri" w:hAnsi="Times New Roman" w:cs="Times New Roman"/>
          <w:sz w:val="28"/>
          <w:szCs w:val="28"/>
          <w:shd w:val="clear" w:color="auto" w:fill="FFFFFF"/>
        </w:rPr>
        <w:t xml:space="preserve"> заявлени</w:t>
      </w:r>
      <w:r w:rsidR="00086237">
        <w:rPr>
          <w:rFonts w:ascii="Times New Roman" w:eastAsia="Calibri" w:hAnsi="Times New Roman" w:cs="Times New Roman"/>
          <w:sz w:val="28"/>
          <w:szCs w:val="28"/>
          <w:shd w:val="clear" w:color="auto" w:fill="FFFFFF"/>
        </w:rPr>
        <w:t>й</w:t>
      </w:r>
      <w:r w:rsidR="00146781" w:rsidRPr="00D03A4F">
        <w:rPr>
          <w:rFonts w:ascii="Times New Roman" w:eastAsia="Calibri" w:hAnsi="Times New Roman" w:cs="Times New Roman"/>
          <w:sz w:val="28"/>
          <w:szCs w:val="28"/>
          <w:shd w:val="clear" w:color="auto" w:fill="FFFFFF"/>
        </w:rPr>
        <w:t xml:space="preserve"> – на формирование накопительной пенсии женщины (0,</w:t>
      </w:r>
      <w:r>
        <w:rPr>
          <w:rFonts w:ascii="Times New Roman" w:eastAsia="Calibri" w:hAnsi="Times New Roman" w:cs="Times New Roman"/>
          <w:sz w:val="28"/>
          <w:szCs w:val="28"/>
          <w:shd w:val="clear" w:color="auto" w:fill="FFFFFF"/>
        </w:rPr>
        <w:t>1</w:t>
      </w:r>
      <w:r w:rsidR="00146781" w:rsidRPr="00D03A4F">
        <w:rPr>
          <w:rFonts w:ascii="Times New Roman" w:eastAsia="Calibri" w:hAnsi="Times New Roman" w:cs="Times New Roman"/>
          <w:sz w:val="28"/>
          <w:szCs w:val="28"/>
          <w:shd w:val="clear" w:color="auto" w:fill="FFFFFF"/>
        </w:rPr>
        <w:t>% от общего количества обращений);</w:t>
      </w:r>
    </w:p>
    <w:p w14:paraId="3C7D4752" w14:textId="77777777" w:rsidR="00146781" w:rsidRPr="00D03A4F" w:rsidRDefault="00F915C8" w:rsidP="00146781">
      <w:pPr>
        <w:widowControl w:val="0"/>
        <w:spacing w:after="0" w:line="30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642</w:t>
      </w:r>
      <w:r w:rsidR="00146781" w:rsidRPr="00D03A4F">
        <w:rPr>
          <w:rFonts w:ascii="Times New Roman" w:eastAsia="Calibri" w:hAnsi="Times New Roman" w:cs="Times New Roman"/>
          <w:sz w:val="28"/>
          <w:szCs w:val="28"/>
          <w:shd w:val="clear" w:color="auto" w:fill="FFFFFF"/>
        </w:rPr>
        <w:t xml:space="preserve"> заявлени</w:t>
      </w:r>
      <w:r>
        <w:rPr>
          <w:rFonts w:ascii="Times New Roman" w:eastAsia="Calibri" w:hAnsi="Times New Roman" w:cs="Times New Roman"/>
          <w:sz w:val="28"/>
          <w:szCs w:val="28"/>
          <w:shd w:val="clear" w:color="auto" w:fill="FFFFFF"/>
        </w:rPr>
        <w:t>я</w:t>
      </w:r>
      <w:r w:rsidR="00146781" w:rsidRPr="00D03A4F">
        <w:rPr>
          <w:rFonts w:ascii="Times New Roman" w:eastAsia="Calibri" w:hAnsi="Times New Roman" w:cs="Times New Roman"/>
          <w:sz w:val="28"/>
          <w:szCs w:val="28"/>
          <w:shd w:val="clear" w:color="auto" w:fill="FFFFFF"/>
        </w:rPr>
        <w:t xml:space="preserve"> – на компенсацию расходов, связанных с приобретением товаров и услуг, предназначенных для социальной адаптации и интеграции в общество детей-инвалидов (0,00</w:t>
      </w:r>
      <w:r>
        <w:rPr>
          <w:rFonts w:ascii="Times New Roman" w:eastAsia="Calibri" w:hAnsi="Times New Roman" w:cs="Times New Roman"/>
          <w:sz w:val="28"/>
          <w:szCs w:val="28"/>
          <w:shd w:val="clear" w:color="auto" w:fill="FFFFFF"/>
        </w:rPr>
        <w:t>6</w:t>
      </w:r>
      <w:r w:rsidR="00146781" w:rsidRPr="00D03A4F">
        <w:rPr>
          <w:rFonts w:ascii="Times New Roman" w:eastAsia="Calibri" w:hAnsi="Times New Roman" w:cs="Times New Roman"/>
          <w:sz w:val="28"/>
          <w:szCs w:val="28"/>
          <w:shd w:val="clear" w:color="auto" w:fill="FFFFFF"/>
        </w:rPr>
        <w:t>% от общего количества обращений);</w:t>
      </w:r>
    </w:p>
    <w:p w14:paraId="2D25E5F0" w14:textId="77777777" w:rsidR="00146781" w:rsidRPr="00D03A4F" w:rsidRDefault="00F915C8" w:rsidP="00146781">
      <w:pPr>
        <w:widowControl w:val="0"/>
        <w:spacing w:after="0" w:line="30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699 113</w:t>
      </w:r>
      <w:r w:rsidR="00146781" w:rsidRPr="00D03A4F">
        <w:rPr>
          <w:rFonts w:ascii="Times New Roman" w:eastAsia="Calibri" w:hAnsi="Times New Roman" w:cs="Times New Roman"/>
          <w:sz w:val="28"/>
          <w:szCs w:val="28"/>
          <w:shd w:val="clear" w:color="auto" w:fill="FFFFFF"/>
        </w:rPr>
        <w:t xml:space="preserve"> заявлений – на ежемесячную выплату в связи с рождением (усыновлением) второго ребенка (</w:t>
      </w:r>
      <w:r>
        <w:rPr>
          <w:rFonts w:ascii="Times New Roman" w:eastAsia="Calibri" w:hAnsi="Times New Roman" w:cs="Times New Roman"/>
          <w:sz w:val="28"/>
          <w:szCs w:val="28"/>
          <w:shd w:val="clear" w:color="auto" w:fill="FFFFFF"/>
        </w:rPr>
        <w:t>6</w:t>
      </w:r>
      <w:r w:rsidR="00146781" w:rsidRPr="00D03A4F">
        <w:rPr>
          <w:rFonts w:ascii="Times New Roman" w:eastAsia="Calibri" w:hAnsi="Times New Roman" w:cs="Times New Roman"/>
          <w:sz w:val="28"/>
          <w:szCs w:val="28"/>
          <w:shd w:val="clear" w:color="auto" w:fill="FFFFFF"/>
        </w:rPr>
        <w:t>,</w:t>
      </w:r>
      <w:r>
        <w:rPr>
          <w:rFonts w:ascii="Times New Roman" w:eastAsia="Calibri" w:hAnsi="Times New Roman" w:cs="Times New Roman"/>
          <w:sz w:val="28"/>
          <w:szCs w:val="28"/>
          <w:shd w:val="clear" w:color="auto" w:fill="FFFFFF"/>
        </w:rPr>
        <w:t>88</w:t>
      </w:r>
      <w:r w:rsidR="00146781" w:rsidRPr="00D03A4F">
        <w:rPr>
          <w:rFonts w:ascii="Times New Roman" w:eastAsia="Calibri" w:hAnsi="Times New Roman" w:cs="Times New Roman"/>
          <w:sz w:val="28"/>
          <w:szCs w:val="28"/>
          <w:shd w:val="clear" w:color="auto" w:fill="FFFFFF"/>
        </w:rPr>
        <w:t>% от общего количества обращений).</w:t>
      </w:r>
    </w:p>
    <w:p w14:paraId="21F2F72A" w14:textId="77777777" w:rsidR="00146781" w:rsidRPr="00D03A4F" w:rsidRDefault="00146781" w:rsidP="00146781">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В 20</w:t>
      </w:r>
      <w:r w:rsidR="00086237">
        <w:rPr>
          <w:rFonts w:ascii="Times New Roman" w:eastAsia="Calibri" w:hAnsi="Times New Roman" w:cs="Times New Roman"/>
          <w:sz w:val="28"/>
          <w:szCs w:val="28"/>
          <w:shd w:val="clear" w:color="auto" w:fill="FFFFFF"/>
        </w:rPr>
        <w:t>2</w:t>
      </w:r>
      <w:r w:rsidR="00F915C8">
        <w:rPr>
          <w:rFonts w:ascii="Times New Roman" w:eastAsia="Calibri" w:hAnsi="Times New Roman" w:cs="Times New Roman"/>
          <w:sz w:val="28"/>
          <w:szCs w:val="28"/>
          <w:shd w:val="clear" w:color="auto" w:fill="FFFFFF"/>
        </w:rPr>
        <w:t>1</w:t>
      </w:r>
      <w:r w:rsidRPr="00D03A4F">
        <w:rPr>
          <w:rFonts w:ascii="Times New Roman" w:eastAsia="Calibri" w:hAnsi="Times New Roman" w:cs="Times New Roman"/>
          <w:sz w:val="28"/>
          <w:szCs w:val="28"/>
          <w:shd w:val="clear" w:color="auto" w:fill="FFFFFF"/>
        </w:rPr>
        <w:t xml:space="preserve"> г</w:t>
      </w:r>
      <w:r w:rsidR="001D2951">
        <w:rPr>
          <w:rFonts w:ascii="Times New Roman" w:eastAsia="Calibri" w:hAnsi="Times New Roman" w:cs="Times New Roman"/>
          <w:sz w:val="28"/>
          <w:szCs w:val="28"/>
          <w:shd w:val="clear" w:color="auto" w:fill="FFFFFF"/>
        </w:rPr>
        <w:t>.</w:t>
      </w:r>
      <w:r w:rsidRPr="00D03A4F">
        <w:rPr>
          <w:rFonts w:ascii="Times New Roman" w:eastAsia="Calibri" w:hAnsi="Times New Roman" w:cs="Times New Roman"/>
          <w:sz w:val="28"/>
          <w:szCs w:val="28"/>
          <w:shd w:val="clear" w:color="auto" w:fill="FFFFFF"/>
        </w:rPr>
        <w:t xml:space="preserve"> с заявлениями о распоряжении средствами материнского (семейного) капитала в территориальные органы ПФР обратилось </w:t>
      </w:r>
      <w:r w:rsidR="00086237">
        <w:rPr>
          <w:rFonts w:ascii="Times New Roman" w:eastAsia="Calibri" w:hAnsi="Times New Roman" w:cs="Times New Roman"/>
          <w:sz w:val="28"/>
          <w:szCs w:val="28"/>
          <w:shd w:val="clear" w:color="auto" w:fill="FFFFFF"/>
        </w:rPr>
        <w:t>1 </w:t>
      </w:r>
      <w:r w:rsidR="00F915C8">
        <w:rPr>
          <w:rFonts w:ascii="Times New Roman" w:eastAsia="Calibri" w:hAnsi="Times New Roman" w:cs="Times New Roman"/>
          <w:sz w:val="28"/>
          <w:szCs w:val="28"/>
          <w:shd w:val="clear" w:color="auto" w:fill="FFFFFF"/>
        </w:rPr>
        <w:t xml:space="preserve">482 961 </w:t>
      </w:r>
      <w:r w:rsidRPr="00D03A4F">
        <w:rPr>
          <w:rFonts w:ascii="Times New Roman" w:eastAsia="Calibri" w:hAnsi="Times New Roman" w:cs="Times New Roman"/>
          <w:sz w:val="28"/>
          <w:szCs w:val="28"/>
          <w:shd w:val="clear" w:color="auto" w:fill="FFFFFF"/>
        </w:rPr>
        <w:t>граждан</w:t>
      </w:r>
      <w:r w:rsidR="00F915C8">
        <w:rPr>
          <w:rFonts w:ascii="Times New Roman" w:eastAsia="Calibri" w:hAnsi="Times New Roman" w:cs="Times New Roman"/>
          <w:sz w:val="28"/>
          <w:szCs w:val="28"/>
          <w:shd w:val="clear" w:color="auto" w:fill="FFFFFF"/>
        </w:rPr>
        <w:t>ин</w:t>
      </w:r>
      <w:r w:rsidRPr="00D03A4F">
        <w:rPr>
          <w:rFonts w:ascii="Times New Roman" w:eastAsia="Calibri" w:hAnsi="Times New Roman" w:cs="Times New Roman"/>
          <w:sz w:val="28"/>
          <w:szCs w:val="28"/>
          <w:shd w:val="clear" w:color="auto" w:fill="FFFFFF"/>
        </w:rPr>
        <w:t>, в том числе:</w:t>
      </w:r>
    </w:p>
    <w:p w14:paraId="0100CAF9" w14:textId="77777777" w:rsidR="00146781" w:rsidRPr="00D03A4F" w:rsidRDefault="00F915C8" w:rsidP="00146781">
      <w:pPr>
        <w:widowControl w:val="0"/>
        <w:spacing w:after="0" w:line="30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912 605</w:t>
      </w:r>
      <w:r w:rsidR="00146781" w:rsidRPr="00D03A4F">
        <w:rPr>
          <w:rFonts w:ascii="Times New Roman" w:eastAsia="Calibri" w:hAnsi="Times New Roman" w:cs="Times New Roman"/>
          <w:sz w:val="28"/>
          <w:szCs w:val="28"/>
          <w:shd w:val="clear" w:color="auto" w:fill="FFFFFF"/>
        </w:rPr>
        <w:t xml:space="preserve"> граждан –</w:t>
      </w:r>
      <w:r w:rsidR="00146781" w:rsidRPr="00D03A4F">
        <w:rPr>
          <w:rFonts w:ascii="Times New Roman" w:eastAsia="Calibri" w:hAnsi="Times New Roman" w:cs="Times New Roman"/>
          <w:sz w:val="28"/>
          <w:szCs w:val="28"/>
        </w:rPr>
        <w:t> </w:t>
      </w:r>
      <w:r w:rsidR="00146781" w:rsidRPr="00D03A4F">
        <w:rPr>
          <w:rFonts w:ascii="Times New Roman" w:eastAsia="Calibri" w:hAnsi="Times New Roman" w:cs="Times New Roman"/>
          <w:sz w:val="28"/>
          <w:szCs w:val="28"/>
          <w:shd w:val="clear" w:color="auto" w:fill="FFFFFF"/>
        </w:rPr>
        <w:t>с заявлениями о распоряжении средствами материнского (семейного) капитала н</w:t>
      </w:r>
      <w:r w:rsidR="00086237">
        <w:rPr>
          <w:rFonts w:ascii="Times New Roman" w:eastAsia="Calibri" w:hAnsi="Times New Roman" w:cs="Times New Roman"/>
          <w:sz w:val="28"/>
          <w:szCs w:val="28"/>
          <w:shd w:val="clear" w:color="auto" w:fill="FFFFFF"/>
        </w:rPr>
        <w:t>а улучшение жилищных условий (6</w:t>
      </w:r>
      <w:r>
        <w:rPr>
          <w:rFonts w:ascii="Times New Roman" w:eastAsia="Calibri" w:hAnsi="Times New Roman" w:cs="Times New Roman"/>
          <w:sz w:val="28"/>
          <w:szCs w:val="28"/>
          <w:shd w:val="clear" w:color="auto" w:fill="FFFFFF"/>
        </w:rPr>
        <w:t>1</w:t>
      </w:r>
      <w:r w:rsidR="00146781" w:rsidRPr="00D03A4F">
        <w:rPr>
          <w:rFonts w:ascii="Times New Roman" w:eastAsia="Calibri" w:hAnsi="Times New Roman" w:cs="Times New Roman"/>
          <w:sz w:val="28"/>
          <w:szCs w:val="28"/>
          <w:shd w:val="clear" w:color="auto" w:fill="FFFFFF"/>
        </w:rPr>
        <w:t>,</w:t>
      </w:r>
      <w:r>
        <w:rPr>
          <w:rFonts w:ascii="Times New Roman" w:eastAsia="Calibri" w:hAnsi="Times New Roman" w:cs="Times New Roman"/>
          <w:sz w:val="28"/>
          <w:szCs w:val="28"/>
          <w:shd w:val="clear" w:color="auto" w:fill="FFFFFF"/>
        </w:rPr>
        <w:t>54</w:t>
      </w:r>
      <w:r w:rsidR="00146781" w:rsidRPr="00D03A4F">
        <w:rPr>
          <w:rFonts w:ascii="Times New Roman" w:eastAsia="Calibri" w:hAnsi="Times New Roman" w:cs="Times New Roman"/>
          <w:sz w:val="28"/>
          <w:szCs w:val="28"/>
          <w:shd w:val="clear" w:color="auto" w:fill="FFFFFF"/>
        </w:rPr>
        <w:t>% от общего числа обращений);</w:t>
      </w:r>
    </w:p>
    <w:p w14:paraId="1677553A" w14:textId="77777777" w:rsidR="00146781" w:rsidRPr="00D03A4F" w:rsidRDefault="00F915C8" w:rsidP="00146781">
      <w:pPr>
        <w:widowControl w:val="0"/>
        <w:spacing w:after="0" w:line="30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270 777</w:t>
      </w:r>
      <w:r w:rsidR="00146781" w:rsidRPr="00D03A4F">
        <w:rPr>
          <w:rFonts w:ascii="Times New Roman" w:eastAsia="Calibri" w:hAnsi="Times New Roman" w:cs="Times New Roman"/>
          <w:sz w:val="28"/>
          <w:szCs w:val="28"/>
          <w:shd w:val="clear" w:color="auto" w:fill="FFFFFF"/>
        </w:rPr>
        <w:t xml:space="preserve"> граждан –</w:t>
      </w:r>
      <w:r w:rsidR="00086237" w:rsidRPr="00D03A4F">
        <w:rPr>
          <w:rFonts w:ascii="Times New Roman" w:eastAsia="Calibri" w:hAnsi="Times New Roman" w:cs="Times New Roman"/>
          <w:sz w:val="28"/>
          <w:szCs w:val="28"/>
        </w:rPr>
        <w:t> </w:t>
      </w:r>
      <w:r w:rsidR="00146781" w:rsidRPr="00D03A4F">
        <w:rPr>
          <w:rFonts w:ascii="Times New Roman" w:eastAsia="Calibri" w:hAnsi="Times New Roman" w:cs="Times New Roman"/>
          <w:sz w:val="28"/>
          <w:szCs w:val="28"/>
          <w:shd w:val="clear" w:color="auto" w:fill="FFFFFF"/>
        </w:rPr>
        <w:t>с заявлениями о распоряжении средствами материнского (семейного) капитала на оказание платных образовательных услуг (</w:t>
      </w:r>
      <w:r w:rsidR="00086237">
        <w:rPr>
          <w:rFonts w:ascii="Times New Roman" w:eastAsia="Calibri" w:hAnsi="Times New Roman" w:cs="Times New Roman"/>
          <w:sz w:val="28"/>
          <w:szCs w:val="28"/>
          <w:shd w:val="clear" w:color="auto" w:fill="FFFFFF"/>
        </w:rPr>
        <w:t>1</w:t>
      </w:r>
      <w:r>
        <w:rPr>
          <w:rFonts w:ascii="Times New Roman" w:eastAsia="Calibri" w:hAnsi="Times New Roman" w:cs="Times New Roman"/>
          <w:sz w:val="28"/>
          <w:szCs w:val="28"/>
          <w:shd w:val="clear" w:color="auto" w:fill="FFFFFF"/>
        </w:rPr>
        <w:t>8</w:t>
      </w:r>
      <w:r w:rsidR="00086237">
        <w:rPr>
          <w:rFonts w:ascii="Times New Roman" w:eastAsia="Calibri" w:hAnsi="Times New Roman" w:cs="Times New Roman"/>
          <w:sz w:val="28"/>
          <w:szCs w:val="28"/>
          <w:shd w:val="clear" w:color="auto" w:fill="FFFFFF"/>
        </w:rPr>
        <w:t>,</w:t>
      </w:r>
      <w:r>
        <w:rPr>
          <w:rFonts w:ascii="Times New Roman" w:eastAsia="Calibri" w:hAnsi="Times New Roman" w:cs="Times New Roman"/>
          <w:sz w:val="28"/>
          <w:szCs w:val="28"/>
          <w:shd w:val="clear" w:color="auto" w:fill="FFFFFF"/>
        </w:rPr>
        <w:t>26</w:t>
      </w:r>
      <w:r w:rsidR="00146781" w:rsidRPr="00D03A4F">
        <w:rPr>
          <w:rFonts w:ascii="Times New Roman" w:eastAsia="Calibri" w:hAnsi="Times New Roman" w:cs="Times New Roman"/>
          <w:sz w:val="28"/>
          <w:szCs w:val="28"/>
          <w:shd w:val="clear" w:color="auto" w:fill="FFFFFF"/>
        </w:rPr>
        <w:t>% от общего числа обращений);</w:t>
      </w:r>
    </w:p>
    <w:p w14:paraId="7B0D5055" w14:textId="77777777" w:rsidR="00146781" w:rsidRPr="00D03A4F" w:rsidRDefault="00F915C8" w:rsidP="00146781">
      <w:pPr>
        <w:widowControl w:val="0"/>
        <w:spacing w:after="0" w:line="30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4 070</w:t>
      </w:r>
      <w:r w:rsidR="00146781" w:rsidRPr="00D03A4F">
        <w:rPr>
          <w:rFonts w:ascii="Times New Roman" w:eastAsia="Calibri" w:hAnsi="Times New Roman" w:cs="Times New Roman"/>
          <w:sz w:val="28"/>
          <w:szCs w:val="28"/>
          <w:shd w:val="clear" w:color="auto" w:fill="FFFFFF"/>
        </w:rPr>
        <w:t xml:space="preserve"> граждан –</w:t>
      </w:r>
      <w:r w:rsidR="00146781" w:rsidRPr="00D03A4F">
        <w:rPr>
          <w:rFonts w:ascii="Times New Roman" w:eastAsia="Calibri" w:hAnsi="Times New Roman" w:cs="Times New Roman"/>
          <w:sz w:val="28"/>
          <w:szCs w:val="28"/>
        </w:rPr>
        <w:t> </w:t>
      </w:r>
      <w:r w:rsidR="00146781" w:rsidRPr="00D03A4F">
        <w:rPr>
          <w:rFonts w:ascii="Times New Roman" w:eastAsia="Calibri" w:hAnsi="Times New Roman" w:cs="Times New Roman"/>
          <w:sz w:val="28"/>
          <w:szCs w:val="28"/>
          <w:shd w:val="clear" w:color="auto" w:fill="FFFFFF"/>
        </w:rPr>
        <w:t>с заявлениями о распоряжении средствами материнского (семейного) капитала на формирование накопительной пенсии женщины (0,</w:t>
      </w:r>
      <w:r>
        <w:rPr>
          <w:rFonts w:ascii="Times New Roman" w:eastAsia="Calibri" w:hAnsi="Times New Roman" w:cs="Times New Roman"/>
          <w:sz w:val="28"/>
          <w:szCs w:val="28"/>
          <w:shd w:val="clear" w:color="auto" w:fill="FFFFFF"/>
        </w:rPr>
        <w:t>27</w:t>
      </w:r>
      <w:r w:rsidR="00146781" w:rsidRPr="00D03A4F">
        <w:rPr>
          <w:rFonts w:ascii="Times New Roman" w:eastAsia="Calibri" w:hAnsi="Times New Roman" w:cs="Times New Roman"/>
          <w:sz w:val="28"/>
          <w:szCs w:val="28"/>
          <w:shd w:val="clear" w:color="auto" w:fill="FFFFFF"/>
        </w:rPr>
        <w:t>% от общего числа обращений);</w:t>
      </w:r>
    </w:p>
    <w:p w14:paraId="48CFD669" w14:textId="60B19CA4" w:rsidR="00146781" w:rsidRPr="00D03A4F" w:rsidRDefault="00A90C75" w:rsidP="00146781">
      <w:pPr>
        <w:widowControl w:val="0"/>
        <w:spacing w:after="0" w:line="30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1</w:t>
      </w:r>
      <w:r w:rsidR="00F915C8">
        <w:rPr>
          <w:rFonts w:ascii="Times New Roman" w:eastAsia="Calibri" w:hAnsi="Times New Roman" w:cs="Times New Roman"/>
          <w:sz w:val="28"/>
          <w:szCs w:val="28"/>
          <w:shd w:val="clear" w:color="auto" w:fill="FFFFFF"/>
        </w:rPr>
        <w:t>86</w:t>
      </w:r>
      <w:r w:rsidR="00146781" w:rsidRPr="00D03A4F">
        <w:rPr>
          <w:rFonts w:ascii="Times New Roman" w:eastAsia="Calibri" w:hAnsi="Times New Roman" w:cs="Times New Roman"/>
          <w:sz w:val="28"/>
          <w:szCs w:val="28"/>
          <w:shd w:val="clear" w:color="auto" w:fill="FFFFFF"/>
        </w:rPr>
        <w:t xml:space="preserve"> граждан –</w:t>
      </w:r>
      <w:r w:rsidR="00146781" w:rsidRPr="00D03A4F">
        <w:rPr>
          <w:rFonts w:ascii="Times New Roman" w:eastAsia="Calibri" w:hAnsi="Times New Roman" w:cs="Times New Roman"/>
          <w:sz w:val="28"/>
          <w:szCs w:val="28"/>
        </w:rPr>
        <w:t> </w:t>
      </w:r>
      <w:r w:rsidR="00146781" w:rsidRPr="00D03A4F">
        <w:rPr>
          <w:rFonts w:ascii="Times New Roman" w:eastAsia="Calibri" w:hAnsi="Times New Roman" w:cs="Times New Roman"/>
          <w:sz w:val="28"/>
          <w:szCs w:val="28"/>
          <w:shd w:val="clear" w:color="auto" w:fill="FFFFFF"/>
        </w:rPr>
        <w:t>с заявлениями о распоряжении средствами материнского (семейного) капитала на компенсацию затрат на приобретение товаров и услуг, обеспечив</w:t>
      </w:r>
      <w:r w:rsidR="00BB5821">
        <w:rPr>
          <w:rFonts w:ascii="Times New Roman" w:eastAsia="Calibri" w:hAnsi="Times New Roman" w:cs="Times New Roman"/>
          <w:sz w:val="28"/>
          <w:szCs w:val="28"/>
          <w:shd w:val="clear" w:color="auto" w:fill="FFFFFF"/>
        </w:rPr>
        <w:t xml:space="preserve">ающих адаптацию и социализацию </w:t>
      </w:r>
      <w:r w:rsidR="00146781" w:rsidRPr="00D03A4F">
        <w:rPr>
          <w:rFonts w:ascii="Times New Roman" w:eastAsia="Calibri" w:hAnsi="Times New Roman" w:cs="Times New Roman"/>
          <w:sz w:val="28"/>
          <w:szCs w:val="28"/>
          <w:shd w:val="clear" w:color="auto" w:fill="FFFFFF"/>
        </w:rPr>
        <w:t>детей</w:t>
      </w:r>
      <w:r w:rsidR="00DD3C75">
        <w:rPr>
          <w:rFonts w:ascii="Times New Roman" w:eastAsia="Calibri" w:hAnsi="Times New Roman" w:cs="Times New Roman"/>
          <w:sz w:val="28"/>
          <w:szCs w:val="28"/>
          <w:shd w:val="clear" w:color="auto" w:fill="FFFFFF"/>
        </w:rPr>
        <w:t xml:space="preserve"> с инвалидностью</w:t>
      </w:r>
      <w:r w:rsidR="00146781" w:rsidRPr="00D03A4F">
        <w:rPr>
          <w:rFonts w:ascii="Times New Roman" w:eastAsia="Calibri" w:hAnsi="Times New Roman" w:cs="Times New Roman"/>
          <w:sz w:val="28"/>
          <w:szCs w:val="28"/>
          <w:shd w:val="clear" w:color="auto" w:fill="FFFFFF"/>
        </w:rPr>
        <w:t xml:space="preserve"> (0,</w:t>
      </w:r>
      <w:r w:rsidR="006C4B3C">
        <w:rPr>
          <w:rFonts w:ascii="Times New Roman" w:eastAsia="Calibri" w:hAnsi="Times New Roman" w:cs="Times New Roman"/>
          <w:sz w:val="28"/>
          <w:szCs w:val="28"/>
          <w:shd w:val="clear" w:color="auto" w:fill="FFFFFF"/>
        </w:rPr>
        <w:t>01</w:t>
      </w:r>
      <w:r w:rsidR="00146781" w:rsidRPr="00D03A4F">
        <w:rPr>
          <w:rFonts w:ascii="Times New Roman" w:eastAsia="Calibri" w:hAnsi="Times New Roman" w:cs="Times New Roman"/>
          <w:sz w:val="28"/>
          <w:szCs w:val="28"/>
          <w:shd w:val="clear" w:color="auto" w:fill="FFFFFF"/>
        </w:rPr>
        <w:t>% от общего числа обращений);</w:t>
      </w:r>
    </w:p>
    <w:p w14:paraId="6861503C" w14:textId="77777777" w:rsidR="00146781" w:rsidRPr="00D03A4F" w:rsidRDefault="00A90C75" w:rsidP="00146781">
      <w:pPr>
        <w:widowControl w:val="0"/>
        <w:spacing w:after="0" w:line="30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2</w:t>
      </w:r>
      <w:r w:rsidR="00F915C8">
        <w:rPr>
          <w:rFonts w:ascii="Times New Roman" w:eastAsia="Calibri" w:hAnsi="Times New Roman" w:cs="Times New Roman"/>
          <w:sz w:val="28"/>
          <w:szCs w:val="28"/>
          <w:shd w:val="clear" w:color="auto" w:fill="FFFFFF"/>
        </w:rPr>
        <w:t>95</w:t>
      </w:r>
      <w:r w:rsidR="00253BEA">
        <w:rPr>
          <w:rFonts w:ascii="Times New Roman" w:eastAsia="Calibri" w:hAnsi="Times New Roman" w:cs="Times New Roman"/>
          <w:sz w:val="28"/>
          <w:szCs w:val="28"/>
        </w:rPr>
        <w:t> </w:t>
      </w:r>
      <w:r w:rsidR="00F915C8">
        <w:rPr>
          <w:rFonts w:ascii="Times New Roman" w:eastAsia="Calibri" w:hAnsi="Times New Roman" w:cs="Times New Roman"/>
          <w:sz w:val="28"/>
          <w:szCs w:val="28"/>
          <w:shd w:val="clear" w:color="auto" w:fill="FFFFFF"/>
        </w:rPr>
        <w:t>32</w:t>
      </w:r>
      <w:r>
        <w:rPr>
          <w:rFonts w:ascii="Times New Roman" w:eastAsia="Calibri" w:hAnsi="Times New Roman" w:cs="Times New Roman"/>
          <w:sz w:val="28"/>
          <w:szCs w:val="28"/>
          <w:shd w:val="clear" w:color="auto" w:fill="FFFFFF"/>
        </w:rPr>
        <w:t>3</w:t>
      </w:r>
      <w:r w:rsidR="00146781" w:rsidRPr="00D03A4F">
        <w:rPr>
          <w:rFonts w:ascii="Times New Roman" w:eastAsia="Calibri" w:hAnsi="Times New Roman" w:cs="Times New Roman"/>
          <w:sz w:val="28"/>
          <w:szCs w:val="28"/>
          <w:shd w:val="clear" w:color="auto" w:fill="FFFFFF"/>
        </w:rPr>
        <w:t xml:space="preserve"> гражданина –</w:t>
      </w:r>
      <w:r w:rsidR="00146781" w:rsidRPr="00D03A4F">
        <w:rPr>
          <w:rFonts w:ascii="Times New Roman" w:eastAsia="Calibri" w:hAnsi="Times New Roman" w:cs="Times New Roman"/>
          <w:sz w:val="28"/>
          <w:szCs w:val="28"/>
        </w:rPr>
        <w:t> </w:t>
      </w:r>
      <w:r w:rsidR="00146781" w:rsidRPr="00D03A4F">
        <w:rPr>
          <w:rFonts w:ascii="Times New Roman" w:eastAsia="Calibri" w:hAnsi="Times New Roman" w:cs="Times New Roman"/>
          <w:sz w:val="28"/>
          <w:szCs w:val="28"/>
          <w:shd w:val="clear" w:color="auto" w:fill="FFFFFF"/>
        </w:rPr>
        <w:t>с заявлениями о назначении ежемесячной выплаты в связи с рождением (усыновлением) второго ребенка (</w:t>
      </w:r>
      <w:r w:rsidR="00F915C8">
        <w:rPr>
          <w:rFonts w:ascii="Times New Roman" w:eastAsia="Calibri" w:hAnsi="Times New Roman" w:cs="Times New Roman"/>
          <w:sz w:val="28"/>
          <w:szCs w:val="28"/>
          <w:shd w:val="clear" w:color="auto" w:fill="FFFFFF"/>
        </w:rPr>
        <w:t>19</w:t>
      </w:r>
      <w:r w:rsidR="00146781" w:rsidRPr="00D03A4F">
        <w:rPr>
          <w:rFonts w:ascii="Times New Roman" w:eastAsia="Calibri" w:hAnsi="Times New Roman" w:cs="Times New Roman"/>
          <w:sz w:val="28"/>
          <w:szCs w:val="28"/>
          <w:shd w:val="clear" w:color="auto" w:fill="FFFFFF"/>
        </w:rPr>
        <w:t>,</w:t>
      </w:r>
      <w:r w:rsidR="00F915C8">
        <w:rPr>
          <w:rFonts w:ascii="Times New Roman" w:eastAsia="Calibri" w:hAnsi="Times New Roman" w:cs="Times New Roman"/>
          <w:sz w:val="28"/>
          <w:szCs w:val="28"/>
          <w:shd w:val="clear" w:color="auto" w:fill="FFFFFF"/>
        </w:rPr>
        <w:t>91</w:t>
      </w:r>
      <w:r w:rsidR="00146781" w:rsidRPr="00D03A4F">
        <w:rPr>
          <w:rFonts w:ascii="Times New Roman" w:eastAsia="Calibri" w:hAnsi="Times New Roman" w:cs="Times New Roman"/>
          <w:sz w:val="28"/>
          <w:szCs w:val="28"/>
          <w:shd w:val="clear" w:color="auto" w:fill="FFFFFF"/>
        </w:rPr>
        <w:t>% от общего числа обращений).</w:t>
      </w:r>
    </w:p>
    <w:p w14:paraId="785002AF" w14:textId="2038518D" w:rsidR="00146781" w:rsidRPr="00D03A4F" w:rsidRDefault="00146781" w:rsidP="00146781">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 xml:space="preserve">Объем средств, направленных на предоставление дополнительных мер государственной поддержки за все время </w:t>
      </w:r>
      <w:r w:rsidR="00BB5821">
        <w:rPr>
          <w:rFonts w:ascii="Times New Roman" w:eastAsia="Calibri" w:hAnsi="Times New Roman" w:cs="Times New Roman"/>
          <w:sz w:val="28"/>
          <w:szCs w:val="28"/>
          <w:shd w:val="clear" w:color="auto" w:fill="FFFFFF"/>
        </w:rPr>
        <w:t xml:space="preserve">реализации Федерального закона </w:t>
      </w:r>
      <w:r w:rsidR="00BB5821">
        <w:rPr>
          <w:rFonts w:ascii="Times New Roman" w:eastAsia="Calibri" w:hAnsi="Times New Roman" w:cs="Times New Roman"/>
          <w:sz w:val="28"/>
          <w:szCs w:val="28"/>
          <w:shd w:val="clear" w:color="auto" w:fill="FFFFFF"/>
        </w:rPr>
        <w:br/>
      </w:r>
      <w:r w:rsidR="00F915C8">
        <w:rPr>
          <w:rFonts w:ascii="Times New Roman" w:eastAsia="Calibri" w:hAnsi="Times New Roman" w:cs="Times New Roman"/>
          <w:sz w:val="28"/>
          <w:szCs w:val="28"/>
          <w:shd w:val="clear" w:color="auto" w:fill="FFFFFF"/>
        </w:rPr>
        <w:t>о</w:t>
      </w:r>
      <w:r w:rsidRPr="00D03A4F">
        <w:rPr>
          <w:rFonts w:ascii="Times New Roman" w:eastAsia="Calibri" w:hAnsi="Times New Roman" w:cs="Times New Roman"/>
          <w:sz w:val="28"/>
          <w:szCs w:val="28"/>
          <w:shd w:val="clear" w:color="auto" w:fill="FFFFFF"/>
        </w:rPr>
        <w:t xml:space="preserve">т 29 декабря 2006 г. № 256-ФЗ </w:t>
      </w:r>
      <w:r w:rsidR="00F915C8" w:rsidRPr="00D03A4F">
        <w:rPr>
          <w:rFonts w:ascii="Times New Roman" w:eastAsia="Calibri" w:hAnsi="Times New Roman" w:cs="Times New Roman"/>
          <w:sz w:val="28"/>
          <w:szCs w:val="28"/>
          <w:shd w:val="clear" w:color="auto" w:fill="FFFFFF"/>
        </w:rPr>
        <w:t>по</w:t>
      </w:r>
      <w:r w:rsidR="00F915C8">
        <w:rPr>
          <w:rFonts w:ascii="Times New Roman" w:eastAsia="Calibri" w:hAnsi="Times New Roman" w:cs="Times New Roman"/>
          <w:sz w:val="28"/>
          <w:szCs w:val="28"/>
          <w:shd w:val="clear" w:color="auto" w:fill="FFFFFF"/>
        </w:rPr>
        <w:t xml:space="preserve"> состоянию на 1 января 2022 г</w:t>
      </w:r>
      <w:r w:rsidR="001D2951">
        <w:rPr>
          <w:rFonts w:ascii="Times New Roman" w:eastAsia="Calibri" w:hAnsi="Times New Roman" w:cs="Times New Roman"/>
          <w:sz w:val="28"/>
          <w:szCs w:val="28"/>
          <w:shd w:val="clear" w:color="auto" w:fill="FFFFFF"/>
        </w:rPr>
        <w:t>.</w:t>
      </w:r>
      <w:r w:rsidR="00F915C8">
        <w:rPr>
          <w:rFonts w:ascii="Times New Roman" w:eastAsia="Calibri" w:hAnsi="Times New Roman" w:cs="Times New Roman"/>
          <w:sz w:val="28"/>
          <w:szCs w:val="28"/>
          <w:shd w:val="clear" w:color="auto" w:fill="FFFFFF"/>
        </w:rPr>
        <w:t xml:space="preserve"> </w:t>
      </w:r>
      <w:r w:rsidRPr="00D03A4F">
        <w:rPr>
          <w:rFonts w:ascii="Times New Roman" w:eastAsia="Calibri" w:hAnsi="Times New Roman" w:cs="Times New Roman"/>
          <w:sz w:val="28"/>
          <w:szCs w:val="28"/>
          <w:shd w:val="clear" w:color="auto" w:fill="FFFFFF"/>
        </w:rPr>
        <w:t>по всем направлениям использования средств материнского (семейного) капитала,</w:t>
      </w:r>
      <w:r w:rsidRPr="00D03A4F">
        <w:rPr>
          <w:rFonts w:ascii="Times New Roman" w:eastAsia="Calibri" w:hAnsi="Times New Roman" w:cs="Times New Roman"/>
          <w:sz w:val="28"/>
          <w:szCs w:val="28"/>
        </w:rPr>
        <w:t> </w:t>
      </w:r>
      <w:r w:rsidRPr="00D03A4F">
        <w:rPr>
          <w:rFonts w:ascii="Times New Roman" w:eastAsia="Calibri" w:hAnsi="Times New Roman" w:cs="Times New Roman"/>
          <w:sz w:val="28"/>
          <w:szCs w:val="28"/>
          <w:shd w:val="clear" w:color="auto" w:fill="FFFFFF"/>
        </w:rPr>
        <w:t xml:space="preserve">составил </w:t>
      </w:r>
      <w:r w:rsidR="00135082">
        <w:rPr>
          <w:rFonts w:ascii="Times New Roman" w:eastAsia="Calibri" w:hAnsi="Times New Roman" w:cs="Times New Roman"/>
          <w:sz w:val="28"/>
          <w:szCs w:val="28"/>
          <w:shd w:val="clear" w:color="auto" w:fill="FFFFFF"/>
        </w:rPr>
        <w:br/>
      </w:r>
      <w:r w:rsidR="00F915C8">
        <w:rPr>
          <w:rFonts w:ascii="Times New Roman" w:eastAsia="Calibri" w:hAnsi="Times New Roman" w:cs="Times New Roman"/>
          <w:sz w:val="28"/>
          <w:szCs w:val="28"/>
          <w:shd w:val="clear" w:color="auto" w:fill="FFFFFF"/>
        </w:rPr>
        <w:t>3 220</w:t>
      </w:r>
      <w:r w:rsidRPr="00D03A4F">
        <w:rPr>
          <w:rFonts w:ascii="Times New Roman" w:eastAsia="Calibri" w:hAnsi="Times New Roman" w:cs="Times New Roman"/>
          <w:sz w:val="28"/>
          <w:szCs w:val="28"/>
          <w:shd w:val="clear" w:color="auto" w:fill="FFFFFF"/>
        </w:rPr>
        <w:t>,</w:t>
      </w:r>
      <w:r w:rsidR="00F915C8">
        <w:rPr>
          <w:rFonts w:ascii="Times New Roman" w:eastAsia="Calibri" w:hAnsi="Times New Roman" w:cs="Times New Roman"/>
          <w:sz w:val="28"/>
          <w:szCs w:val="28"/>
          <w:shd w:val="clear" w:color="auto" w:fill="FFFFFF"/>
        </w:rPr>
        <w:t>253</w:t>
      </w:r>
      <w:r w:rsidR="00C24BF2">
        <w:rPr>
          <w:rFonts w:ascii="Times New Roman" w:eastAsia="Calibri" w:hAnsi="Times New Roman" w:cs="Times New Roman"/>
          <w:sz w:val="28"/>
          <w:szCs w:val="28"/>
          <w:shd w:val="clear" w:color="auto" w:fill="FFFFFF"/>
        </w:rPr>
        <w:t xml:space="preserve"> млрд</w:t>
      </w:r>
      <w:r w:rsidRPr="00D03A4F">
        <w:rPr>
          <w:rFonts w:ascii="Times New Roman" w:eastAsia="Calibri" w:hAnsi="Times New Roman" w:cs="Times New Roman"/>
          <w:sz w:val="28"/>
          <w:szCs w:val="28"/>
          <w:shd w:val="clear" w:color="auto" w:fill="FFFFFF"/>
        </w:rPr>
        <w:t xml:space="preserve"> рублей (20</w:t>
      </w:r>
      <w:r w:rsidR="00A90C75">
        <w:rPr>
          <w:rFonts w:ascii="Times New Roman" w:eastAsia="Calibri" w:hAnsi="Times New Roman" w:cs="Times New Roman"/>
          <w:sz w:val="28"/>
          <w:szCs w:val="28"/>
          <w:shd w:val="clear" w:color="auto" w:fill="FFFFFF"/>
        </w:rPr>
        <w:t>2</w:t>
      </w:r>
      <w:r w:rsidR="00F915C8">
        <w:rPr>
          <w:rFonts w:ascii="Times New Roman" w:eastAsia="Calibri" w:hAnsi="Times New Roman" w:cs="Times New Roman"/>
          <w:sz w:val="28"/>
          <w:szCs w:val="28"/>
          <w:shd w:val="clear" w:color="auto" w:fill="FFFFFF"/>
        </w:rPr>
        <w:t>1</w:t>
      </w:r>
      <w:r w:rsidRPr="00D03A4F">
        <w:rPr>
          <w:rFonts w:ascii="Times New Roman" w:eastAsia="Calibri" w:hAnsi="Times New Roman" w:cs="Times New Roman"/>
          <w:sz w:val="28"/>
          <w:szCs w:val="28"/>
          <w:shd w:val="clear" w:color="auto" w:fill="FFFFFF"/>
        </w:rPr>
        <w:t xml:space="preserve"> г. – </w:t>
      </w:r>
      <w:r w:rsidR="00A90C75">
        <w:rPr>
          <w:rFonts w:ascii="Times New Roman" w:eastAsia="Calibri" w:hAnsi="Times New Roman" w:cs="Times New Roman"/>
          <w:sz w:val="28"/>
          <w:szCs w:val="28"/>
          <w:shd w:val="clear" w:color="auto" w:fill="FFFFFF"/>
        </w:rPr>
        <w:t>3</w:t>
      </w:r>
      <w:r w:rsidR="00F915C8">
        <w:rPr>
          <w:rFonts w:ascii="Times New Roman" w:eastAsia="Calibri" w:hAnsi="Times New Roman" w:cs="Times New Roman"/>
          <w:sz w:val="28"/>
          <w:szCs w:val="28"/>
          <w:shd w:val="clear" w:color="auto" w:fill="FFFFFF"/>
        </w:rPr>
        <w:t>99</w:t>
      </w:r>
      <w:r w:rsidRPr="00D03A4F">
        <w:rPr>
          <w:rFonts w:ascii="Times New Roman" w:eastAsia="Calibri" w:hAnsi="Times New Roman" w:cs="Times New Roman"/>
          <w:sz w:val="28"/>
          <w:szCs w:val="28"/>
          <w:shd w:val="clear" w:color="auto" w:fill="FFFFFF"/>
        </w:rPr>
        <w:t>,</w:t>
      </w:r>
      <w:r w:rsidR="00F915C8">
        <w:rPr>
          <w:rFonts w:ascii="Times New Roman" w:eastAsia="Calibri" w:hAnsi="Times New Roman" w:cs="Times New Roman"/>
          <w:sz w:val="28"/>
          <w:szCs w:val="28"/>
          <w:shd w:val="clear" w:color="auto" w:fill="FFFFFF"/>
        </w:rPr>
        <w:t>247</w:t>
      </w:r>
      <w:r w:rsidR="00C24BF2">
        <w:rPr>
          <w:rFonts w:ascii="Times New Roman" w:eastAsia="Calibri" w:hAnsi="Times New Roman" w:cs="Times New Roman"/>
          <w:sz w:val="28"/>
          <w:szCs w:val="28"/>
          <w:shd w:val="clear" w:color="auto" w:fill="FFFFFF"/>
        </w:rPr>
        <w:t xml:space="preserve"> млрд</w:t>
      </w:r>
      <w:r w:rsidRPr="00D03A4F">
        <w:rPr>
          <w:rFonts w:ascii="Times New Roman" w:eastAsia="Calibri" w:hAnsi="Times New Roman" w:cs="Times New Roman"/>
          <w:sz w:val="28"/>
          <w:szCs w:val="28"/>
          <w:shd w:val="clear" w:color="auto" w:fill="FFFFFF"/>
        </w:rPr>
        <w:t xml:space="preserve"> рублей), в том числе:</w:t>
      </w:r>
    </w:p>
    <w:p w14:paraId="3083DB34" w14:textId="77777777" w:rsidR="00146781" w:rsidRPr="00D03A4F" w:rsidRDefault="00146781" w:rsidP="00146781">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 xml:space="preserve">на улучшение жилищных условий – </w:t>
      </w:r>
      <w:r w:rsidR="00F915C8">
        <w:rPr>
          <w:rFonts w:ascii="Times New Roman" w:eastAsia="Calibri" w:hAnsi="Times New Roman" w:cs="Times New Roman"/>
          <w:sz w:val="28"/>
          <w:szCs w:val="28"/>
          <w:shd w:val="clear" w:color="auto" w:fill="FFFFFF"/>
        </w:rPr>
        <w:t>3 089,842</w:t>
      </w:r>
      <w:r w:rsidR="00C24BF2">
        <w:rPr>
          <w:rFonts w:ascii="Times New Roman" w:eastAsia="Calibri" w:hAnsi="Times New Roman" w:cs="Times New Roman"/>
          <w:sz w:val="28"/>
          <w:szCs w:val="28"/>
          <w:shd w:val="clear" w:color="auto" w:fill="FFFFFF"/>
        </w:rPr>
        <w:t xml:space="preserve"> млрд</w:t>
      </w:r>
      <w:r w:rsidR="00BB5821">
        <w:rPr>
          <w:rFonts w:ascii="Times New Roman" w:eastAsia="Calibri" w:hAnsi="Times New Roman" w:cs="Times New Roman"/>
          <w:sz w:val="28"/>
          <w:szCs w:val="28"/>
          <w:shd w:val="clear" w:color="auto" w:fill="FFFFFF"/>
        </w:rPr>
        <w:t xml:space="preserve"> рублей </w:t>
      </w:r>
      <w:r w:rsidRPr="00D03A4F">
        <w:rPr>
          <w:rFonts w:ascii="Times New Roman" w:eastAsia="Calibri" w:hAnsi="Times New Roman" w:cs="Times New Roman"/>
          <w:sz w:val="28"/>
          <w:szCs w:val="28"/>
          <w:shd w:val="clear" w:color="auto" w:fill="FFFFFF"/>
        </w:rPr>
        <w:t>(20</w:t>
      </w:r>
      <w:r w:rsidR="00A90C75">
        <w:rPr>
          <w:rFonts w:ascii="Times New Roman" w:eastAsia="Calibri" w:hAnsi="Times New Roman" w:cs="Times New Roman"/>
          <w:sz w:val="28"/>
          <w:szCs w:val="28"/>
          <w:shd w:val="clear" w:color="auto" w:fill="FFFFFF"/>
        </w:rPr>
        <w:t>2</w:t>
      </w:r>
      <w:r w:rsidR="00F915C8">
        <w:rPr>
          <w:rFonts w:ascii="Times New Roman" w:eastAsia="Calibri" w:hAnsi="Times New Roman" w:cs="Times New Roman"/>
          <w:sz w:val="28"/>
          <w:szCs w:val="28"/>
          <w:shd w:val="clear" w:color="auto" w:fill="FFFFFF"/>
        </w:rPr>
        <w:t>1</w:t>
      </w:r>
      <w:r w:rsidRPr="00D03A4F">
        <w:rPr>
          <w:rFonts w:ascii="Times New Roman" w:eastAsia="Calibri" w:hAnsi="Times New Roman" w:cs="Times New Roman"/>
          <w:sz w:val="28"/>
          <w:szCs w:val="28"/>
          <w:shd w:val="clear" w:color="auto" w:fill="FFFFFF"/>
        </w:rPr>
        <w:t xml:space="preserve"> г. – </w:t>
      </w:r>
      <w:r w:rsidR="00F915C8">
        <w:rPr>
          <w:rFonts w:ascii="Times New Roman" w:eastAsia="Calibri" w:hAnsi="Times New Roman" w:cs="Times New Roman"/>
          <w:sz w:val="28"/>
          <w:szCs w:val="28"/>
          <w:shd w:val="clear" w:color="auto" w:fill="FFFFFF"/>
        </w:rPr>
        <w:t>361</w:t>
      </w:r>
      <w:r w:rsidRPr="00D03A4F">
        <w:rPr>
          <w:rFonts w:ascii="Times New Roman" w:eastAsia="Calibri" w:hAnsi="Times New Roman" w:cs="Times New Roman"/>
          <w:sz w:val="28"/>
          <w:szCs w:val="28"/>
          <w:shd w:val="clear" w:color="auto" w:fill="FFFFFF"/>
        </w:rPr>
        <w:t>,</w:t>
      </w:r>
      <w:r w:rsidR="00F915C8">
        <w:rPr>
          <w:rFonts w:ascii="Times New Roman" w:eastAsia="Calibri" w:hAnsi="Times New Roman" w:cs="Times New Roman"/>
          <w:sz w:val="28"/>
          <w:szCs w:val="28"/>
          <w:shd w:val="clear" w:color="auto" w:fill="FFFFFF"/>
        </w:rPr>
        <w:t>115</w:t>
      </w:r>
      <w:r w:rsidRPr="00D03A4F">
        <w:rPr>
          <w:rFonts w:ascii="Times New Roman" w:eastAsia="Calibri" w:hAnsi="Times New Roman" w:cs="Times New Roman"/>
          <w:sz w:val="28"/>
          <w:szCs w:val="28"/>
          <w:shd w:val="clear" w:color="auto" w:fill="FFFFFF"/>
        </w:rPr>
        <w:t xml:space="preserve"> млрд рублей), из них:</w:t>
      </w:r>
    </w:p>
    <w:p w14:paraId="4D7D1575" w14:textId="77777777" w:rsidR="00146781" w:rsidRPr="00D03A4F" w:rsidRDefault="00146781" w:rsidP="00146781">
      <w:pPr>
        <w:widowControl w:val="0"/>
        <w:spacing w:after="0" w:line="30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 xml:space="preserve">на погашение основного долга и уплату процентов по кредитам и займам, полученным на приобретение или строительство жилья – </w:t>
      </w:r>
      <w:r w:rsidR="00F6133E">
        <w:rPr>
          <w:rFonts w:ascii="Times New Roman" w:eastAsia="Calibri" w:hAnsi="Times New Roman" w:cs="Times New Roman"/>
          <w:sz w:val="28"/>
          <w:szCs w:val="28"/>
          <w:shd w:val="clear" w:color="auto" w:fill="FFFFFF"/>
        </w:rPr>
        <w:t>2 096,924</w:t>
      </w:r>
      <w:r w:rsidRPr="00D03A4F">
        <w:rPr>
          <w:rFonts w:ascii="Times New Roman" w:eastAsia="Calibri" w:hAnsi="Times New Roman" w:cs="Times New Roman"/>
          <w:sz w:val="28"/>
          <w:szCs w:val="28"/>
          <w:shd w:val="clear" w:color="auto" w:fill="FFFFFF"/>
        </w:rPr>
        <w:t xml:space="preserve"> млрд рублей </w:t>
      </w:r>
      <w:r w:rsidR="00BB5821">
        <w:rPr>
          <w:rFonts w:ascii="Times New Roman" w:eastAsia="Calibri" w:hAnsi="Times New Roman" w:cs="Times New Roman"/>
          <w:sz w:val="28"/>
          <w:szCs w:val="28"/>
          <w:shd w:val="clear" w:color="auto" w:fill="FFFFFF"/>
        </w:rPr>
        <w:br/>
      </w:r>
      <w:r w:rsidRPr="00D03A4F">
        <w:rPr>
          <w:rFonts w:ascii="Times New Roman" w:eastAsia="Calibri" w:hAnsi="Times New Roman" w:cs="Times New Roman"/>
          <w:sz w:val="28"/>
          <w:szCs w:val="28"/>
          <w:shd w:val="clear" w:color="auto" w:fill="FFFFFF"/>
        </w:rPr>
        <w:t>(20</w:t>
      </w:r>
      <w:r w:rsidR="00A90C75">
        <w:rPr>
          <w:rFonts w:ascii="Times New Roman" w:eastAsia="Calibri" w:hAnsi="Times New Roman" w:cs="Times New Roman"/>
          <w:sz w:val="28"/>
          <w:szCs w:val="28"/>
          <w:shd w:val="clear" w:color="auto" w:fill="FFFFFF"/>
        </w:rPr>
        <w:t>2</w:t>
      </w:r>
      <w:r w:rsidR="00F6133E">
        <w:rPr>
          <w:rFonts w:ascii="Times New Roman" w:eastAsia="Calibri" w:hAnsi="Times New Roman" w:cs="Times New Roman"/>
          <w:sz w:val="28"/>
          <w:szCs w:val="28"/>
          <w:shd w:val="clear" w:color="auto" w:fill="FFFFFF"/>
        </w:rPr>
        <w:t>1</w:t>
      </w:r>
      <w:r w:rsidRPr="00D03A4F">
        <w:rPr>
          <w:rFonts w:ascii="Times New Roman" w:eastAsia="Calibri" w:hAnsi="Times New Roman" w:cs="Times New Roman"/>
          <w:sz w:val="28"/>
          <w:szCs w:val="28"/>
          <w:shd w:val="clear" w:color="auto" w:fill="FFFFFF"/>
        </w:rPr>
        <w:t xml:space="preserve"> г. – </w:t>
      </w:r>
      <w:r w:rsidR="00A90C75">
        <w:rPr>
          <w:rFonts w:ascii="Times New Roman" w:eastAsia="Calibri" w:hAnsi="Times New Roman" w:cs="Times New Roman"/>
          <w:sz w:val="28"/>
          <w:szCs w:val="28"/>
          <w:shd w:val="clear" w:color="auto" w:fill="FFFFFF"/>
        </w:rPr>
        <w:t>2</w:t>
      </w:r>
      <w:r w:rsidR="00F6133E">
        <w:rPr>
          <w:rFonts w:ascii="Times New Roman" w:eastAsia="Calibri" w:hAnsi="Times New Roman" w:cs="Times New Roman"/>
          <w:sz w:val="28"/>
          <w:szCs w:val="28"/>
          <w:shd w:val="clear" w:color="auto" w:fill="FFFFFF"/>
        </w:rPr>
        <w:t>81</w:t>
      </w:r>
      <w:r w:rsidRPr="00D03A4F">
        <w:rPr>
          <w:rFonts w:ascii="Times New Roman" w:eastAsia="Calibri" w:hAnsi="Times New Roman" w:cs="Times New Roman"/>
          <w:sz w:val="28"/>
          <w:szCs w:val="28"/>
          <w:shd w:val="clear" w:color="auto" w:fill="FFFFFF"/>
        </w:rPr>
        <w:t>,</w:t>
      </w:r>
      <w:r w:rsidR="00F6133E">
        <w:rPr>
          <w:rFonts w:ascii="Times New Roman" w:eastAsia="Calibri" w:hAnsi="Times New Roman" w:cs="Times New Roman"/>
          <w:sz w:val="28"/>
          <w:szCs w:val="28"/>
          <w:shd w:val="clear" w:color="auto" w:fill="FFFFFF"/>
        </w:rPr>
        <w:t>615</w:t>
      </w:r>
      <w:r w:rsidRPr="00D03A4F">
        <w:rPr>
          <w:rFonts w:ascii="Times New Roman" w:eastAsia="Calibri" w:hAnsi="Times New Roman" w:cs="Times New Roman"/>
          <w:sz w:val="28"/>
          <w:szCs w:val="28"/>
          <w:shd w:val="clear" w:color="auto" w:fill="FFFFFF"/>
        </w:rPr>
        <w:t xml:space="preserve"> млрд рублей);</w:t>
      </w:r>
    </w:p>
    <w:p w14:paraId="52AD12DA" w14:textId="77777777" w:rsidR="00146781" w:rsidRPr="00D03A4F" w:rsidRDefault="00146781" w:rsidP="00146781">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на улучшение жилищных усл</w:t>
      </w:r>
      <w:r w:rsidR="00BB5821">
        <w:rPr>
          <w:rFonts w:ascii="Times New Roman" w:eastAsia="Calibri" w:hAnsi="Times New Roman" w:cs="Times New Roman"/>
          <w:sz w:val="28"/>
          <w:szCs w:val="28"/>
          <w:shd w:val="clear" w:color="auto" w:fill="FFFFFF"/>
        </w:rPr>
        <w:t xml:space="preserve">овий без привлечения кредитных </w:t>
      </w:r>
      <w:r w:rsidRPr="00D03A4F">
        <w:rPr>
          <w:rFonts w:ascii="Times New Roman" w:eastAsia="Calibri" w:hAnsi="Times New Roman" w:cs="Times New Roman"/>
          <w:sz w:val="28"/>
          <w:szCs w:val="28"/>
          <w:shd w:val="clear" w:color="auto" w:fill="FFFFFF"/>
        </w:rPr>
        <w:t xml:space="preserve">средств – </w:t>
      </w:r>
      <w:r w:rsidR="00D36CDE">
        <w:rPr>
          <w:rFonts w:ascii="Times New Roman" w:eastAsia="Calibri" w:hAnsi="Times New Roman" w:cs="Times New Roman"/>
          <w:sz w:val="28"/>
          <w:szCs w:val="28"/>
          <w:shd w:val="clear" w:color="auto" w:fill="FFFFFF"/>
        </w:rPr>
        <w:t>9</w:t>
      </w:r>
      <w:r w:rsidR="00DF54D0">
        <w:rPr>
          <w:rFonts w:ascii="Times New Roman" w:eastAsia="Calibri" w:hAnsi="Times New Roman" w:cs="Times New Roman"/>
          <w:sz w:val="28"/>
          <w:szCs w:val="28"/>
          <w:shd w:val="clear" w:color="auto" w:fill="FFFFFF"/>
        </w:rPr>
        <w:t>92</w:t>
      </w:r>
      <w:r w:rsidRPr="00D03A4F">
        <w:rPr>
          <w:rFonts w:ascii="Times New Roman" w:eastAsia="Calibri" w:hAnsi="Times New Roman" w:cs="Times New Roman"/>
          <w:sz w:val="28"/>
          <w:szCs w:val="28"/>
          <w:shd w:val="clear" w:color="auto" w:fill="FFFFFF"/>
        </w:rPr>
        <w:t>,</w:t>
      </w:r>
      <w:r w:rsidR="00DF54D0">
        <w:rPr>
          <w:rFonts w:ascii="Times New Roman" w:eastAsia="Calibri" w:hAnsi="Times New Roman" w:cs="Times New Roman"/>
          <w:sz w:val="28"/>
          <w:szCs w:val="28"/>
          <w:shd w:val="clear" w:color="auto" w:fill="FFFFFF"/>
        </w:rPr>
        <w:t>9</w:t>
      </w:r>
      <w:r w:rsidR="00D36CDE">
        <w:rPr>
          <w:rFonts w:ascii="Times New Roman" w:eastAsia="Calibri" w:hAnsi="Times New Roman" w:cs="Times New Roman"/>
          <w:sz w:val="28"/>
          <w:szCs w:val="28"/>
          <w:shd w:val="clear" w:color="auto" w:fill="FFFFFF"/>
        </w:rPr>
        <w:t>18</w:t>
      </w:r>
      <w:r w:rsidR="00C24BF2">
        <w:rPr>
          <w:rFonts w:ascii="Times New Roman" w:eastAsia="Calibri" w:hAnsi="Times New Roman" w:cs="Times New Roman"/>
          <w:sz w:val="28"/>
          <w:szCs w:val="28"/>
          <w:shd w:val="clear" w:color="auto" w:fill="FFFFFF"/>
        </w:rPr>
        <w:t xml:space="preserve"> млрд</w:t>
      </w:r>
      <w:r w:rsidRPr="00D03A4F">
        <w:rPr>
          <w:rFonts w:ascii="Times New Roman" w:eastAsia="Calibri" w:hAnsi="Times New Roman" w:cs="Times New Roman"/>
          <w:sz w:val="28"/>
          <w:szCs w:val="28"/>
          <w:shd w:val="clear" w:color="auto" w:fill="FFFFFF"/>
        </w:rPr>
        <w:t xml:space="preserve"> рублей (20</w:t>
      </w:r>
      <w:r w:rsidR="00D36CDE">
        <w:rPr>
          <w:rFonts w:ascii="Times New Roman" w:eastAsia="Calibri" w:hAnsi="Times New Roman" w:cs="Times New Roman"/>
          <w:sz w:val="28"/>
          <w:szCs w:val="28"/>
          <w:shd w:val="clear" w:color="auto" w:fill="FFFFFF"/>
        </w:rPr>
        <w:t>2</w:t>
      </w:r>
      <w:r w:rsidR="00DF54D0">
        <w:rPr>
          <w:rFonts w:ascii="Times New Roman" w:eastAsia="Calibri" w:hAnsi="Times New Roman" w:cs="Times New Roman"/>
          <w:sz w:val="28"/>
          <w:szCs w:val="28"/>
          <w:shd w:val="clear" w:color="auto" w:fill="FFFFFF"/>
        </w:rPr>
        <w:t>1</w:t>
      </w:r>
      <w:r w:rsidRPr="00D03A4F">
        <w:rPr>
          <w:rFonts w:ascii="Times New Roman" w:eastAsia="Calibri" w:hAnsi="Times New Roman" w:cs="Times New Roman"/>
          <w:sz w:val="28"/>
          <w:szCs w:val="28"/>
          <w:shd w:val="clear" w:color="auto" w:fill="FFFFFF"/>
        </w:rPr>
        <w:t xml:space="preserve"> г. – </w:t>
      </w:r>
      <w:r w:rsidR="00DF54D0">
        <w:rPr>
          <w:rFonts w:ascii="Times New Roman" w:eastAsia="Calibri" w:hAnsi="Times New Roman" w:cs="Times New Roman"/>
          <w:sz w:val="28"/>
          <w:szCs w:val="28"/>
          <w:shd w:val="clear" w:color="auto" w:fill="FFFFFF"/>
        </w:rPr>
        <w:t>79</w:t>
      </w:r>
      <w:r w:rsidRPr="00D03A4F">
        <w:rPr>
          <w:rFonts w:ascii="Times New Roman" w:eastAsia="Calibri" w:hAnsi="Times New Roman" w:cs="Times New Roman"/>
          <w:sz w:val="28"/>
          <w:szCs w:val="28"/>
          <w:shd w:val="clear" w:color="auto" w:fill="FFFFFF"/>
        </w:rPr>
        <w:t>,</w:t>
      </w:r>
      <w:r w:rsidR="00DF54D0">
        <w:rPr>
          <w:rFonts w:ascii="Times New Roman" w:eastAsia="Calibri" w:hAnsi="Times New Roman" w:cs="Times New Roman"/>
          <w:sz w:val="28"/>
          <w:szCs w:val="28"/>
          <w:shd w:val="clear" w:color="auto" w:fill="FFFFFF"/>
        </w:rPr>
        <w:t>500</w:t>
      </w:r>
      <w:r w:rsidRPr="00D03A4F">
        <w:rPr>
          <w:rFonts w:ascii="Times New Roman" w:eastAsia="Calibri" w:hAnsi="Times New Roman" w:cs="Times New Roman"/>
          <w:sz w:val="28"/>
          <w:szCs w:val="28"/>
          <w:shd w:val="clear" w:color="auto" w:fill="FFFFFF"/>
        </w:rPr>
        <w:t xml:space="preserve"> млрд рублей);</w:t>
      </w:r>
    </w:p>
    <w:p w14:paraId="54B91DDF" w14:textId="77777777" w:rsidR="00146781" w:rsidRPr="00D03A4F" w:rsidRDefault="00146781" w:rsidP="00146781">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 xml:space="preserve">на получение образования детей </w:t>
      </w:r>
      <w:r>
        <w:rPr>
          <w:rFonts w:ascii="Times New Roman" w:eastAsia="Calibri" w:hAnsi="Times New Roman" w:cs="Times New Roman"/>
          <w:sz w:val="28"/>
          <w:szCs w:val="28"/>
          <w:shd w:val="clear" w:color="auto" w:fill="FFFFFF"/>
        </w:rPr>
        <w:t xml:space="preserve">– </w:t>
      </w:r>
      <w:r w:rsidR="00DF54D0">
        <w:rPr>
          <w:rFonts w:ascii="Times New Roman" w:eastAsia="Calibri" w:hAnsi="Times New Roman" w:cs="Times New Roman"/>
          <w:sz w:val="28"/>
          <w:szCs w:val="28"/>
          <w:shd w:val="clear" w:color="auto" w:fill="FFFFFF"/>
        </w:rPr>
        <w:t>78</w:t>
      </w:r>
      <w:r>
        <w:rPr>
          <w:rFonts w:ascii="Times New Roman" w:eastAsia="Calibri" w:hAnsi="Times New Roman" w:cs="Times New Roman"/>
          <w:sz w:val="28"/>
          <w:szCs w:val="28"/>
          <w:shd w:val="clear" w:color="auto" w:fill="FFFFFF"/>
        </w:rPr>
        <w:t>,</w:t>
      </w:r>
      <w:r w:rsidR="00DF54D0">
        <w:rPr>
          <w:rFonts w:ascii="Times New Roman" w:eastAsia="Calibri" w:hAnsi="Times New Roman" w:cs="Times New Roman"/>
          <w:sz w:val="28"/>
          <w:szCs w:val="28"/>
          <w:shd w:val="clear" w:color="auto" w:fill="FFFFFF"/>
        </w:rPr>
        <w:t>10</w:t>
      </w:r>
      <w:r w:rsidR="00D36CDE">
        <w:rPr>
          <w:rFonts w:ascii="Times New Roman" w:eastAsia="Calibri" w:hAnsi="Times New Roman" w:cs="Times New Roman"/>
          <w:sz w:val="28"/>
          <w:szCs w:val="28"/>
          <w:shd w:val="clear" w:color="auto" w:fill="FFFFFF"/>
        </w:rPr>
        <w:t>3 млрд рублей (202</w:t>
      </w:r>
      <w:r w:rsidR="00DF54D0">
        <w:rPr>
          <w:rFonts w:ascii="Times New Roman" w:eastAsia="Calibri" w:hAnsi="Times New Roman" w:cs="Times New Roman"/>
          <w:sz w:val="28"/>
          <w:szCs w:val="28"/>
          <w:shd w:val="clear" w:color="auto" w:fill="FFFFFF"/>
        </w:rPr>
        <w:t>1</w:t>
      </w:r>
      <w:r w:rsidR="00BB5821">
        <w:rPr>
          <w:rFonts w:ascii="Times New Roman" w:eastAsia="Calibri" w:hAnsi="Times New Roman" w:cs="Times New Roman"/>
          <w:sz w:val="28"/>
          <w:szCs w:val="28"/>
          <w:shd w:val="clear" w:color="auto" w:fill="FFFFFF"/>
        </w:rPr>
        <w:t xml:space="preserve"> г. – </w:t>
      </w:r>
      <w:r w:rsidRPr="00D03A4F">
        <w:rPr>
          <w:rFonts w:ascii="Times New Roman" w:eastAsia="Calibri" w:hAnsi="Times New Roman" w:cs="Times New Roman"/>
          <w:sz w:val="28"/>
          <w:szCs w:val="28"/>
          <w:shd w:val="clear" w:color="auto" w:fill="FFFFFF"/>
        </w:rPr>
        <w:t>1</w:t>
      </w:r>
      <w:r w:rsidR="00DF54D0">
        <w:rPr>
          <w:rFonts w:ascii="Times New Roman" w:eastAsia="Calibri" w:hAnsi="Times New Roman" w:cs="Times New Roman"/>
          <w:sz w:val="28"/>
          <w:szCs w:val="28"/>
          <w:shd w:val="clear" w:color="auto" w:fill="FFFFFF"/>
        </w:rPr>
        <w:t>5</w:t>
      </w:r>
      <w:r w:rsidRPr="00D03A4F">
        <w:rPr>
          <w:rFonts w:ascii="Times New Roman" w:eastAsia="Calibri" w:hAnsi="Times New Roman" w:cs="Times New Roman"/>
          <w:sz w:val="28"/>
          <w:szCs w:val="28"/>
          <w:shd w:val="clear" w:color="auto" w:fill="FFFFFF"/>
        </w:rPr>
        <w:t>,</w:t>
      </w:r>
      <w:r w:rsidR="00DF54D0">
        <w:rPr>
          <w:rFonts w:ascii="Times New Roman" w:eastAsia="Calibri" w:hAnsi="Times New Roman" w:cs="Times New Roman"/>
          <w:sz w:val="28"/>
          <w:szCs w:val="28"/>
          <w:shd w:val="clear" w:color="auto" w:fill="FFFFFF"/>
        </w:rPr>
        <w:t>240</w:t>
      </w:r>
      <w:r w:rsidR="00C24BF2">
        <w:rPr>
          <w:rFonts w:ascii="Times New Roman" w:eastAsia="Calibri" w:hAnsi="Times New Roman" w:cs="Times New Roman"/>
          <w:sz w:val="28"/>
          <w:szCs w:val="28"/>
          <w:shd w:val="clear" w:color="auto" w:fill="FFFFFF"/>
        </w:rPr>
        <w:t xml:space="preserve"> млрд</w:t>
      </w:r>
      <w:r w:rsidRPr="00D03A4F">
        <w:rPr>
          <w:rFonts w:ascii="Times New Roman" w:eastAsia="Calibri" w:hAnsi="Times New Roman" w:cs="Times New Roman"/>
          <w:sz w:val="28"/>
          <w:szCs w:val="28"/>
          <w:shd w:val="clear" w:color="auto" w:fill="FFFFFF"/>
        </w:rPr>
        <w:t xml:space="preserve"> рублей);</w:t>
      </w:r>
    </w:p>
    <w:p w14:paraId="5CBBC455" w14:textId="77777777" w:rsidR="00146781" w:rsidRPr="00D03A4F" w:rsidRDefault="00146781" w:rsidP="00146781">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на формирование накопительной пенсии женщин – 1,</w:t>
      </w:r>
      <w:r w:rsidR="00DF54D0">
        <w:rPr>
          <w:rFonts w:ascii="Times New Roman" w:eastAsia="Calibri" w:hAnsi="Times New Roman" w:cs="Times New Roman"/>
          <w:sz w:val="28"/>
          <w:szCs w:val="28"/>
          <w:shd w:val="clear" w:color="auto" w:fill="FFFFFF"/>
        </w:rPr>
        <w:t>486</w:t>
      </w:r>
      <w:r w:rsidRPr="00D03A4F">
        <w:rPr>
          <w:rFonts w:ascii="Times New Roman" w:eastAsia="Calibri" w:hAnsi="Times New Roman" w:cs="Times New Roman"/>
          <w:sz w:val="28"/>
          <w:szCs w:val="28"/>
          <w:shd w:val="clear" w:color="auto" w:fill="FFFFFF"/>
        </w:rPr>
        <w:t xml:space="preserve"> млрд рублей </w:t>
      </w:r>
      <w:r w:rsidR="00BB5821">
        <w:rPr>
          <w:rFonts w:ascii="Times New Roman" w:eastAsia="Calibri" w:hAnsi="Times New Roman" w:cs="Times New Roman"/>
          <w:sz w:val="28"/>
          <w:szCs w:val="28"/>
          <w:shd w:val="clear" w:color="auto" w:fill="FFFFFF"/>
        </w:rPr>
        <w:br/>
      </w:r>
      <w:r w:rsidRPr="00D03A4F">
        <w:rPr>
          <w:rFonts w:ascii="Times New Roman" w:eastAsia="Calibri" w:hAnsi="Times New Roman" w:cs="Times New Roman"/>
          <w:sz w:val="28"/>
          <w:szCs w:val="28"/>
          <w:shd w:val="clear" w:color="auto" w:fill="FFFFFF"/>
        </w:rPr>
        <w:t>(20</w:t>
      </w:r>
      <w:r w:rsidR="00B36F90">
        <w:rPr>
          <w:rFonts w:ascii="Times New Roman" w:eastAsia="Calibri" w:hAnsi="Times New Roman" w:cs="Times New Roman"/>
          <w:sz w:val="28"/>
          <w:szCs w:val="28"/>
          <w:shd w:val="clear" w:color="auto" w:fill="FFFFFF"/>
        </w:rPr>
        <w:t>2</w:t>
      </w:r>
      <w:r w:rsidR="00DF54D0">
        <w:rPr>
          <w:rFonts w:ascii="Times New Roman" w:eastAsia="Calibri" w:hAnsi="Times New Roman" w:cs="Times New Roman"/>
          <w:sz w:val="28"/>
          <w:szCs w:val="28"/>
          <w:shd w:val="clear" w:color="auto" w:fill="FFFFFF"/>
        </w:rPr>
        <w:t>1</w:t>
      </w:r>
      <w:r w:rsidRPr="00D03A4F">
        <w:rPr>
          <w:rFonts w:ascii="Times New Roman" w:eastAsia="Calibri" w:hAnsi="Times New Roman" w:cs="Times New Roman"/>
          <w:sz w:val="28"/>
          <w:szCs w:val="28"/>
          <w:shd w:val="clear" w:color="auto" w:fill="FFFFFF"/>
        </w:rPr>
        <w:t xml:space="preserve"> г. – 0,</w:t>
      </w:r>
      <w:r w:rsidR="00DF54D0">
        <w:rPr>
          <w:rFonts w:ascii="Times New Roman" w:eastAsia="Calibri" w:hAnsi="Times New Roman" w:cs="Times New Roman"/>
          <w:sz w:val="28"/>
          <w:szCs w:val="28"/>
          <w:shd w:val="clear" w:color="auto" w:fill="FFFFFF"/>
        </w:rPr>
        <w:t>253</w:t>
      </w:r>
      <w:r w:rsidR="003F74BF">
        <w:rPr>
          <w:rFonts w:ascii="Times New Roman" w:eastAsia="Calibri" w:hAnsi="Times New Roman" w:cs="Times New Roman"/>
          <w:sz w:val="28"/>
          <w:szCs w:val="28"/>
          <w:shd w:val="clear" w:color="auto" w:fill="FFFFFF"/>
        </w:rPr>
        <w:t> </w:t>
      </w:r>
      <w:r w:rsidR="00C24BF2">
        <w:rPr>
          <w:rFonts w:ascii="Times New Roman" w:eastAsia="Calibri" w:hAnsi="Times New Roman" w:cs="Times New Roman"/>
          <w:sz w:val="28"/>
          <w:szCs w:val="28"/>
          <w:shd w:val="clear" w:color="auto" w:fill="FFFFFF"/>
        </w:rPr>
        <w:t>млрд</w:t>
      </w:r>
      <w:r w:rsidRPr="00D03A4F">
        <w:rPr>
          <w:rFonts w:ascii="Times New Roman" w:eastAsia="Calibri" w:hAnsi="Times New Roman" w:cs="Times New Roman"/>
          <w:sz w:val="28"/>
          <w:szCs w:val="28"/>
          <w:shd w:val="clear" w:color="auto" w:fill="FFFFFF"/>
        </w:rPr>
        <w:t xml:space="preserve"> рублей);</w:t>
      </w:r>
    </w:p>
    <w:p w14:paraId="2A67E64B" w14:textId="77777777" w:rsidR="00146781" w:rsidRPr="00D03A4F" w:rsidRDefault="00146781" w:rsidP="00146781">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на компенсацию расходов, связанных с приобретением товаров и услуг, предназначенных для социальной адаптации и интеграции в общество детей- инвалидов, – 0,0</w:t>
      </w:r>
      <w:r w:rsidR="00786B1E">
        <w:rPr>
          <w:rFonts w:ascii="Times New Roman" w:eastAsia="Calibri" w:hAnsi="Times New Roman" w:cs="Times New Roman"/>
          <w:sz w:val="28"/>
          <w:szCs w:val="28"/>
          <w:shd w:val="clear" w:color="auto" w:fill="FFFFFF"/>
        </w:rPr>
        <w:t>23</w:t>
      </w:r>
      <w:r w:rsidR="00C24BF2">
        <w:rPr>
          <w:rFonts w:ascii="Times New Roman" w:eastAsia="Calibri" w:hAnsi="Times New Roman" w:cs="Times New Roman"/>
          <w:sz w:val="28"/>
          <w:szCs w:val="28"/>
          <w:shd w:val="clear" w:color="auto" w:fill="FFFFFF"/>
        </w:rPr>
        <w:t xml:space="preserve"> млрд</w:t>
      </w:r>
      <w:r w:rsidR="00B36F90">
        <w:rPr>
          <w:rFonts w:ascii="Times New Roman" w:eastAsia="Calibri" w:hAnsi="Times New Roman" w:cs="Times New Roman"/>
          <w:sz w:val="28"/>
          <w:szCs w:val="28"/>
          <w:shd w:val="clear" w:color="auto" w:fill="FFFFFF"/>
        </w:rPr>
        <w:t xml:space="preserve"> рублей (202</w:t>
      </w:r>
      <w:r w:rsidR="00786B1E">
        <w:rPr>
          <w:rFonts w:ascii="Times New Roman" w:eastAsia="Calibri" w:hAnsi="Times New Roman" w:cs="Times New Roman"/>
          <w:sz w:val="28"/>
          <w:szCs w:val="28"/>
          <w:shd w:val="clear" w:color="auto" w:fill="FFFFFF"/>
        </w:rPr>
        <w:t>1</w:t>
      </w:r>
      <w:r w:rsidR="00C24BF2">
        <w:rPr>
          <w:rFonts w:ascii="Times New Roman" w:eastAsia="Calibri" w:hAnsi="Times New Roman" w:cs="Times New Roman"/>
          <w:sz w:val="28"/>
          <w:szCs w:val="28"/>
          <w:shd w:val="clear" w:color="auto" w:fill="FFFFFF"/>
        </w:rPr>
        <w:t xml:space="preserve"> г. – 0,00</w:t>
      </w:r>
      <w:r w:rsidR="00786B1E">
        <w:rPr>
          <w:rFonts w:ascii="Times New Roman" w:eastAsia="Calibri" w:hAnsi="Times New Roman" w:cs="Times New Roman"/>
          <w:sz w:val="28"/>
          <w:szCs w:val="28"/>
          <w:shd w:val="clear" w:color="auto" w:fill="FFFFFF"/>
        </w:rPr>
        <w:t>5</w:t>
      </w:r>
      <w:r w:rsidR="00C24BF2">
        <w:rPr>
          <w:rFonts w:ascii="Times New Roman" w:eastAsia="Calibri" w:hAnsi="Times New Roman" w:cs="Times New Roman"/>
          <w:sz w:val="28"/>
          <w:szCs w:val="28"/>
          <w:shd w:val="clear" w:color="auto" w:fill="FFFFFF"/>
        </w:rPr>
        <w:t xml:space="preserve"> млрд</w:t>
      </w:r>
      <w:r w:rsidRPr="00D03A4F">
        <w:rPr>
          <w:rFonts w:ascii="Times New Roman" w:eastAsia="Calibri" w:hAnsi="Times New Roman" w:cs="Times New Roman"/>
          <w:sz w:val="28"/>
          <w:szCs w:val="28"/>
          <w:shd w:val="clear" w:color="auto" w:fill="FFFFFF"/>
        </w:rPr>
        <w:t xml:space="preserve"> рублей);</w:t>
      </w:r>
    </w:p>
    <w:p w14:paraId="6EFA96EC" w14:textId="77777777" w:rsidR="00146781" w:rsidRPr="00D03A4F" w:rsidRDefault="00146781" w:rsidP="00146781">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 xml:space="preserve">на ежемесячную выплату в связи с рождением (усыновлением) второго </w:t>
      </w:r>
      <w:r w:rsidR="00BB5821">
        <w:rPr>
          <w:rFonts w:ascii="Times New Roman" w:eastAsia="Calibri" w:hAnsi="Times New Roman" w:cs="Times New Roman"/>
          <w:sz w:val="28"/>
          <w:szCs w:val="28"/>
          <w:shd w:val="clear" w:color="auto" w:fill="FFFFFF"/>
        </w:rPr>
        <w:br/>
      </w:r>
      <w:r w:rsidRPr="00D03A4F">
        <w:rPr>
          <w:rFonts w:ascii="Times New Roman" w:eastAsia="Calibri" w:hAnsi="Times New Roman" w:cs="Times New Roman"/>
          <w:sz w:val="28"/>
          <w:szCs w:val="28"/>
          <w:shd w:val="clear" w:color="auto" w:fill="FFFFFF"/>
        </w:rPr>
        <w:t xml:space="preserve">ребенка – </w:t>
      </w:r>
      <w:r w:rsidR="00786B1E">
        <w:rPr>
          <w:rFonts w:ascii="Times New Roman" w:eastAsia="Calibri" w:hAnsi="Times New Roman" w:cs="Times New Roman"/>
          <w:sz w:val="28"/>
          <w:szCs w:val="28"/>
          <w:shd w:val="clear" w:color="auto" w:fill="FFFFFF"/>
        </w:rPr>
        <w:t>50</w:t>
      </w:r>
      <w:r w:rsidRPr="00D03A4F">
        <w:rPr>
          <w:rFonts w:ascii="Times New Roman" w:eastAsia="Calibri" w:hAnsi="Times New Roman" w:cs="Times New Roman"/>
          <w:sz w:val="28"/>
          <w:szCs w:val="28"/>
          <w:shd w:val="clear" w:color="auto" w:fill="FFFFFF"/>
        </w:rPr>
        <w:t>,</w:t>
      </w:r>
      <w:r w:rsidR="00786B1E">
        <w:rPr>
          <w:rFonts w:ascii="Times New Roman" w:eastAsia="Calibri" w:hAnsi="Times New Roman" w:cs="Times New Roman"/>
          <w:sz w:val="28"/>
          <w:szCs w:val="28"/>
          <w:shd w:val="clear" w:color="auto" w:fill="FFFFFF"/>
        </w:rPr>
        <w:t>799</w:t>
      </w:r>
      <w:r w:rsidR="00C24BF2">
        <w:rPr>
          <w:rFonts w:ascii="Times New Roman" w:eastAsia="Calibri" w:hAnsi="Times New Roman" w:cs="Times New Roman"/>
          <w:sz w:val="28"/>
          <w:szCs w:val="28"/>
          <w:shd w:val="clear" w:color="auto" w:fill="FFFFFF"/>
        </w:rPr>
        <w:t xml:space="preserve"> млрд</w:t>
      </w:r>
      <w:r w:rsidRPr="00D03A4F">
        <w:rPr>
          <w:rFonts w:ascii="Times New Roman" w:eastAsia="Calibri" w:hAnsi="Times New Roman" w:cs="Times New Roman"/>
          <w:sz w:val="28"/>
          <w:szCs w:val="28"/>
          <w:shd w:val="clear" w:color="auto" w:fill="FFFFFF"/>
        </w:rPr>
        <w:t xml:space="preserve"> рублей (20</w:t>
      </w:r>
      <w:r w:rsidR="00B36F90">
        <w:rPr>
          <w:rFonts w:ascii="Times New Roman" w:eastAsia="Calibri" w:hAnsi="Times New Roman" w:cs="Times New Roman"/>
          <w:sz w:val="28"/>
          <w:szCs w:val="28"/>
          <w:shd w:val="clear" w:color="auto" w:fill="FFFFFF"/>
        </w:rPr>
        <w:t>2</w:t>
      </w:r>
      <w:r w:rsidR="00786B1E">
        <w:rPr>
          <w:rFonts w:ascii="Times New Roman" w:eastAsia="Calibri" w:hAnsi="Times New Roman" w:cs="Times New Roman"/>
          <w:sz w:val="28"/>
          <w:szCs w:val="28"/>
          <w:shd w:val="clear" w:color="auto" w:fill="FFFFFF"/>
        </w:rPr>
        <w:t>1</w:t>
      </w:r>
      <w:r w:rsidRPr="00D03A4F">
        <w:rPr>
          <w:rFonts w:ascii="Times New Roman" w:eastAsia="Calibri" w:hAnsi="Times New Roman" w:cs="Times New Roman"/>
          <w:sz w:val="28"/>
          <w:szCs w:val="28"/>
          <w:shd w:val="clear" w:color="auto" w:fill="FFFFFF"/>
        </w:rPr>
        <w:t xml:space="preserve"> г.</w:t>
      </w:r>
      <w:r w:rsidRPr="00D03A4F">
        <w:rPr>
          <w:rFonts w:ascii="Times New Roman" w:eastAsia="Calibri" w:hAnsi="Times New Roman" w:cs="Times New Roman"/>
          <w:sz w:val="28"/>
          <w:szCs w:val="28"/>
        </w:rPr>
        <w:t> </w:t>
      </w:r>
      <w:r w:rsidRPr="00D03A4F">
        <w:rPr>
          <w:rFonts w:ascii="Times New Roman" w:eastAsia="Calibri" w:hAnsi="Times New Roman" w:cs="Times New Roman"/>
          <w:sz w:val="28"/>
          <w:szCs w:val="28"/>
          <w:shd w:val="clear" w:color="auto" w:fill="FFFFFF"/>
        </w:rPr>
        <w:t xml:space="preserve">– </w:t>
      </w:r>
      <w:r w:rsidR="00786B1E">
        <w:rPr>
          <w:rFonts w:ascii="Times New Roman" w:eastAsia="Calibri" w:hAnsi="Times New Roman" w:cs="Times New Roman"/>
          <w:sz w:val="28"/>
          <w:szCs w:val="28"/>
          <w:shd w:val="clear" w:color="auto" w:fill="FFFFFF"/>
        </w:rPr>
        <w:t>22</w:t>
      </w:r>
      <w:r w:rsidRPr="00D03A4F">
        <w:rPr>
          <w:rFonts w:ascii="Times New Roman" w:eastAsia="Calibri" w:hAnsi="Times New Roman" w:cs="Times New Roman"/>
          <w:sz w:val="28"/>
          <w:szCs w:val="28"/>
          <w:shd w:val="clear" w:color="auto" w:fill="FFFFFF"/>
        </w:rPr>
        <w:t>,</w:t>
      </w:r>
      <w:r w:rsidR="00786B1E">
        <w:rPr>
          <w:rFonts w:ascii="Times New Roman" w:eastAsia="Calibri" w:hAnsi="Times New Roman" w:cs="Times New Roman"/>
          <w:sz w:val="28"/>
          <w:szCs w:val="28"/>
          <w:shd w:val="clear" w:color="auto" w:fill="FFFFFF"/>
        </w:rPr>
        <w:t>634</w:t>
      </w:r>
      <w:r w:rsidR="00C24BF2">
        <w:rPr>
          <w:rFonts w:ascii="Times New Roman" w:eastAsia="Calibri" w:hAnsi="Times New Roman" w:cs="Times New Roman"/>
          <w:sz w:val="28"/>
          <w:szCs w:val="28"/>
          <w:shd w:val="clear" w:color="auto" w:fill="FFFFFF"/>
        </w:rPr>
        <w:t xml:space="preserve"> млрд</w:t>
      </w:r>
      <w:r w:rsidRPr="00D03A4F">
        <w:rPr>
          <w:rFonts w:ascii="Times New Roman" w:eastAsia="Calibri" w:hAnsi="Times New Roman" w:cs="Times New Roman"/>
          <w:sz w:val="28"/>
          <w:szCs w:val="28"/>
          <w:shd w:val="clear" w:color="auto" w:fill="FFFFFF"/>
        </w:rPr>
        <w:t xml:space="preserve"> рублей);</w:t>
      </w:r>
    </w:p>
    <w:p w14:paraId="1E7CC71C" w14:textId="77777777" w:rsidR="00146781" w:rsidRPr="00D03A4F" w:rsidRDefault="00146781" w:rsidP="00146781">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shd w:val="clear" w:color="auto" w:fill="FFFFFF"/>
        </w:rPr>
        <w:t>на предоставление единовременной выплаты за счет средств материнского (семейного) капитала</w:t>
      </w:r>
      <w:r w:rsidR="00786B1E">
        <w:rPr>
          <w:rFonts w:ascii="Times New Roman" w:eastAsia="Calibri" w:hAnsi="Times New Roman" w:cs="Times New Roman"/>
          <w:sz w:val="28"/>
          <w:szCs w:val="28"/>
          <w:shd w:val="clear" w:color="auto" w:fill="FFFFFF"/>
        </w:rPr>
        <w:t xml:space="preserve"> в период 2009-2011 гг</w:t>
      </w:r>
      <w:r w:rsidR="00FE0A09">
        <w:rPr>
          <w:rFonts w:ascii="Times New Roman" w:eastAsia="Calibri" w:hAnsi="Times New Roman" w:cs="Times New Roman"/>
          <w:sz w:val="28"/>
          <w:szCs w:val="28"/>
          <w:shd w:val="clear" w:color="auto" w:fill="FFFFFF"/>
        </w:rPr>
        <w:t>.</w:t>
      </w:r>
      <w:r w:rsidR="00786B1E">
        <w:rPr>
          <w:rFonts w:ascii="Times New Roman" w:eastAsia="Calibri" w:hAnsi="Times New Roman" w:cs="Times New Roman"/>
          <w:sz w:val="28"/>
          <w:szCs w:val="28"/>
          <w:shd w:val="clear" w:color="auto" w:fill="FFFFFF"/>
        </w:rPr>
        <w:t>, 2015-2016 гг.</w:t>
      </w:r>
      <w:r w:rsidRPr="00D03A4F">
        <w:rPr>
          <w:rFonts w:ascii="Times New Roman" w:eastAsia="Calibri" w:hAnsi="Times New Roman" w:cs="Times New Roman"/>
          <w:sz w:val="28"/>
          <w:szCs w:val="28"/>
          <w:shd w:val="clear" w:color="auto" w:fill="FFFFFF"/>
        </w:rPr>
        <w:t xml:space="preserve"> – 128,33</w:t>
      </w:r>
      <w:r w:rsidR="00B36F90">
        <w:rPr>
          <w:rFonts w:ascii="Times New Roman" w:eastAsia="Calibri" w:hAnsi="Times New Roman" w:cs="Times New Roman"/>
          <w:sz w:val="28"/>
          <w:szCs w:val="28"/>
          <w:shd w:val="clear" w:color="auto" w:fill="FFFFFF"/>
        </w:rPr>
        <w:t>4</w:t>
      </w:r>
      <w:r w:rsidR="00C24BF2">
        <w:rPr>
          <w:rFonts w:ascii="Times New Roman" w:eastAsia="Calibri" w:hAnsi="Times New Roman" w:cs="Times New Roman"/>
          <w:sz w:val="28"/>
          <w:szCs w:val="28"/>
          <w:shd w:val="clear" w:color="auto" w:fill="FFFFFF"/>
        </w:rPr>
        <w:t xml:space="preserve"> млрд</w:t>
      </w:r>
      <w:r w:rsidRPr="00D03A4F">
        <w:rPr>
          <w:rFonts w:ascii="Times New Roman" w:eastAsia="Calibri" w:hAnsi="Times New Roman" w:cs="Times New Roman"/>
          <w:sz w:val="28"/>
          <w:szCs w:val="28"/>
          <w:shd w:val="clear" w:color="auto" w:fill="FFFFFF"/>
        </w:rPr>
        <w:t xml:space="preserve"> рублей.</w:t>
      </w:r>
    </w:p>
    <w:p w14:paraId="33EF3BE3" w14:textId="77777777" w:rsidR="00146781" w:rsidRDefault="00146781" w:rsidP="00146781">
      <w:pPr>
        <w:widowControl w:val="0"/>
        <w:spacing w:after="0" w:line="312" w:lineRule="auto"/>
        <w:ind w:firstLine="709"/>
        <w:jc w:val="both"/>
        <w:rPr>
          <w:rFonts w:ascii="Times New Roman" w:eastAsia="Calibri" w:hAnsi="Times New Roman" w:cs="Times New Roman"/>
          <w:sz w:val="28"/>
          <w:szCs w:val="28"/>
          <w:shd w:val="clear" w:color="auto" w:fill="FFFFFF"/>
        </w:rPr>
      </w:pPr>
      <w:r w:rsidRPr="00D03A4F">
        <w:rPr>
          <w:rFonts w:ascii="Times New Roman" w:eastAsia="Calibri" w:hAnsi="Times New Roman" w:cs="Times New Roman"/>
          <w:sz w:val="28"/>
          <w:szCs w:val="28"/>
          <w:shd w:val="clear" w:color="auto" w:fill="FFFFFF"/>
        </w:rPr>
        <w:t>В 20</w:t>
      </w:r>
      <w:r w:rsidR="00B36F90">
        <w:rPr>
          <w:rFonts w:ascii="Times New Roman" w:eastAsia="Calibri" w:hAnsi="Times New Roman" w:cs="Times New Roman"/>
          <w:sz w:val="28"/>
          <w:szCs w:val="28"/>
          <w:shd w:val="clear" w:color="auto" w:fill="FFFFFF"/>
        </w:rPr>
        <w:t>2</w:t>
      </w:r>
      <w:r w:rsidR="00DF54D0">
        <w:rPr>
          <w:rFonts w:ascii="Times New Roman" w:eastAsia="Calibri" w:hAnsi="Times New Roman" w:cs="Times New Roman"/>
          <w:sz w:val="28"/>
          <w:szCs w:val="28"/>
          <w:shd w:val="clear" w:color="auto" w:fill="FFFFFF"/>
        </w:rPr>
        <w:t>1</w:t>
      </w:r>
      <w:r w:rsidRPr="00D03A4F">
        <w:rPr>
          <w:rFonts w:ascii="Times New Roman" w:eastAsia="Calibri" w:hAnsi="Times New Roman" w:cs="Times New Roman"/>
          <w:sz w:val="28"/>
          <w:szCs w:val="28"/>
          <w:shd w:val="clear" w:color="auto" w:fill="FFFFFF"/>
        </w:rPr>
        <w:t xml:space="preserve"> г</w:t>
      </w:r>
      <w:r w:rsidR="001D2951">
        <w:rPr>
          <w:rFonts w:ascii="Times New Roman" w:eastAsia="Calibri" w:hAnsi="Times New Roman" w:cs="Times New Roman"/>
          <w:sz w:val="28"/>
          <w:szCs w:val="28"/>
          <w:shd w:val="clear" w:color="auto" w:fill="FFFFFF"/>
        </w:rPr>
        <w:t>.</w:t>
      </w:r>
      <w:r w:rsidRPr="00D03A4F">
        <w:rPr>
          <w:rFonts w:ascii="Times New Roman" w:eastAsia="Calibri" w:hAnsi="Times New Roman" w:cs="Times New Roman"/>
          <w:sz w:val="28"/>
          <w:szCs w:val="28"/>
          <w:shd w:val="clear" w:color="auto" w:fill="FFFFFF"/>
        </w:rPr>
        <w:t xml:space="preserve">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14:paraId="7BD94E93" w14:textId="77777777" w:rsidR="00786B1E" w:rsidRDefault="00786B1E" w:rsidP="00786B1E">
      <w:pPr>
        <w:widowControl w:val="0"/>
        <w:spacing w:after="0" w:line="312" w:lineRule="auto"/>
        <w:ind w:firstLine="709"/>
        <w:jc w:val="both"/>
        <w:rPr>
          <w:rFonts w:ascii="Times New Roman" w:eastAsia="Calibri" w:hAnsi="Times New Roman" w:cs="Times New Roman"/>
          <w:sz w:val="28"/>
          <w:szCs w:val="28"/>
          <w:shd w:val="clear" w:color="auto" w:fill="FFFFFF"/>
        </w:rPr>
      </w:pPr>
      <w:r w:rsidRPr="00786B1E">
        <w:rPr>
          <w:rFonts w:ascii="Times New Roman" w:eastAsia="Calibri" w:hAnsi="Times New Roman" w:cs="Times New Roman"/>
          <w:sz w:val="28"/>
          <w:szCs w:val="28"/>
          <w:shd w:val="clear" w:color="auto" w:fill="FFFFFF"/>
        </w:rPr>
        <w:t xml:space="preserve">Постановлением Правительства Российской Федерации от 16 апреля 2021 г. </w:t>
      </w:r>
      <w:r w:rsidR="00FE0A09">
        <w:rPr>
          <w:rFonts w:ascii="Times New Roman" w:eastAsia="Calibri" w:hAnsi="Times New Roman" w:cs="Times New Roman"/>
          <w:sz w:val="28"/>
          <w:szCs w:val="28"/>
          <w:shd w:val="clear" w:color="auto" w:fill="FFFFFF"/>
        </w:rPr>
        <w:br/>
      </w:r>
      <w:r w:rsidRPr="00786B1E">
        <w:rPr>
          <w:rFonts w:ascii="Times New Roman" w:eastAsia="Calibri" w:hAnsi="Times New Roman" w:cs="Times New Roman"/>
          <w:sz w:val="28"/>
          <w:szCs w:val="28"/>
          <w:shd w:val="clear" w:color="auto" w:fill="FFFFFF"/>
        </w:rPr>
        <w:t>№ 603 внесены изменения в Правила направления средств (части средств) материнского (семейного) капитала на улучшение жилищных условий, утвержденные постановлением Правительства Российск</w:t>
      </w:r>
      <w:r>
        <w:rPr>
          <w:rFonts w:ascii="Times New Roman" w:eastAsia="Calibri" w:hAnsi="Times New Roman" w:cs="Times New Roman"/>
          <w:sz w:val="28"/>
          <w:szCs w:val="28"/>
          <w:shd w:val="clear" w:color="auto" w:fill="FFFFFF"/>
        </w:rPr>
        <w:t xml:space="preserve">ой Федерации от 12 декабря </w:t>
      </w:r>
      <w:r w:rsidRPr="00786B1E">
        <w:rPr>
          <w:rFonts w:ascii="Times New Roman" w:eastAsia="Calibri" w:hAnsi="Times New Roman" w:cs="Times New Roman"/>
          <w:sz w:val="28"/>
          <w:szCs w:val="28"/>
          <w:shd w:val="clear" w:color="auto" w:fill="FFFFFF"/>
        </w:rPr>
        <w:t>2007 г. № 862, в части обеспечения возможности для семей с детьми рефинансировать ипотечный кредит, на погашение которого направлены средства материнского (семейного) капитала.</w:t>
      </w:r>
    </w:p>
    <w:p w14:paraId="5AA858CF" w14:textId="77777777" w:rsidR="00660CDF" w:rsidRDefault="00660CDF" w:rsidP="00786B1E">
      <w:pPr>
        <w:widowControl w:val="0"/>
        <w:spacing w:after="0" w:line="312"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Федеральным законом от 21 декабря 2021 г. № 415-ФЗ внесены изменения в Федеральный закон от 29 декабря 2006 г. № 256-ФЗ в части порядка ежегодного пересмотра размера материнского (семейного) капитала. До 1 февраля 2022 г. размер материнского (семейного) капитала ежегодно пересматривался с учетом темпов роста инфляции, начиная с 1 ф</w:t>
      </w:r>
      <w:r w:rsidR="00BB5821">
        <w:rPr>
          <w:rFonts w:ascii="Times New Roman" w:eastAsia="Calibri" w:hAnsi="Times New Roman" w:cs="Times New Roman"/>
          <w:sz w:val="28"/>
          <w:szCs w:val="28"/>
          <w:shd w:val="clear" w:color="auto" w:fill="FFFFFF"/>
        </w:rPr>
        <w:t xml:space="preserve">евраля </w:t>
      </w:r>
      <w:r>
        <w:rPr>
          <w:rFonts w:ascii="Times New Roman" w:eastAsia="Calibri" w:hAnsi="Times New Roman" w:cs="Times New Roman"/>
          <w:sz w:val="28"/>
          <w:szCs w:val="28"/>
          <w:shd w:val="clear" w:color="auto" w:fill="FFFFFF"/>
        </w:rPr>
        <w:t>2022 г.</w:t>
      </w:r>
      <w:r w:rsidR="001D638D">
        <w:rPr>
          <w:rFonts w:ascii="Times New Roman" w:eastAsia="Calibri" w:hAnsi="Times New Roman" w:cs="Times New Roman"/>
          <w:sz w:val="28"/>
          <w:szCs w:val="28"/>
          <w:shd w:val="clear" w:color="auto" w:fill="FFFFFF"/>
        </w:rPr>
        <w:t xml:space="preserve"> будет пересматриваться</w:t>
      </w:r>
      <w:r>
        <w:rPr>
          <w:rFonts w:ascii="Times New Roman" w:eastAsia="Calibri" w:hAnsi="Times New Roman" w:cs="Times New Roman"/>
          <w:sz w:val="28"/>
          <w:szCs w:val="28"/>
          <w:shd w:val="clear" w:color="auto" w:fill="FFFFFF"/>
        </w:rPr>
        <w:t xml:space="preserve"> исходя из индекса роста потребительских цен за предыдущий год в соответствии с коэффициентом индексации, определяемым Правительством Российской Федерации.</w:t>
      </w:r>
    </w:p>
    <w:p w14:paraId="0763DD56" w14:textId="77777777" w:rsidR="00D03A4F" w:rsidRDefault="00D03A4F" w:rsidP="00D03A4F">
      <w:pPr>
        <w:autoSpaceDE w:val="0"/>
        <w:autoSpaceDN w:val="0"/>
        <w:adjustRightInd w:val="0"/>
        <w:spacing w:before="240" w:after="240" w:line="312" w:lineRule="auto"/>
        <w:ind w:firstLine="709"/>
        <w:jc w:val="center"/>
        <w:rPr>
          <w:rFonts w:ascii="Times New Roman" w:eastAsia="Calibri" w:hAnsi="Times New Roman" w:cs="Times New Roman"/>
          <w:b/>
          <w:sz w:val="28"/>
          <w:szCs w:val="28"/>
        </w:rPr>
      </w:pPr>
      <w:r w:rsidRPr="00D03A4F">
        <w:rPr>
          <w:rFonts w:ascii="Times New Roman" w:eastAsia="Calibri" w:hAnsi="Times New Roman" w:cs="Times New Roman"/>
          <w:b/>
          <w:sz w:val="28"/>
          <w:szCs w:val="28"/>
        </w:rPr>
        <w:t>Меры налоговой поддержки семей, имеющих детей</w:t>
      </w:r>
    </w:p>
    <w:p w14:paraId="1D2EE172" w14:textId="77777777" w:rsidR="006A41D5" w:rsidRPr="006A41D5" w:rsidRDefault="006A41D5" w:rsidP="006A41D5">
      <w:pPr>
        <w:spacing w:after="0" w:line="312" w:lineRule="auto"/>
        <w:ind w:firstLine="709"/>
        <w:jc w:val="both"/>
        <w:rPr>
          <w:rFonts w:ascii="Times New Roman" w:hAnsi="Times New Roman" w:cs="Times New Roman"/>
          <w:color w:val="000000" w:themeColor="text1"/>
          <w:sz w:val="28"/>
          <w:szCs w:val="28"/>
        </w:rPr>
      </w:pPr>
      <w:r w:rsidRPr="006A41D5">
        <w:rPr>
          <w:rFonts w:ascii="Times New Roman" w:hAnsi="Times New Roman" w:cs="Times New Roman"/>
          <w:color w:val="000000" w:themeColor="text1"/>
          <w:sz w:val="28"/>
          <w:szCs w:val="28"/>
        </w:rPr>
        <w:t>В главе 23 «Налог на доходы физических лиц» Налогового кодекса Российской Федерации (далее по тексту подраздела – Кодекс, НДФЛ) снижение налоговой нагрузки по НДФЛ в отношении отдельных категорий налогоплательщиков обеспечивается применением налоговых вычетов, а также освобождений от уплаты налога.</w:t>
      </w:r>
    </w:p>
    <w:p w14:paraId="2A8B848B" w14:textId="77777777" w:rsidR="006A41D5" w:rsidRPr="006A41D5" w:rsidRDefault="006A41D5" w:rsidP="006A41D5">
      <w:pPr>
        <w:spacing w:after="0" w:line="312" w:lineRule="auto"/>
        <w:ind w:firstLine="709"/>
        <w:jc w:val="both"/>
        <w:rPr>
          <w:rFonts w:ascii="Times New Roman" w:hAnsi="Times New Roman" w:cs="Times New Roman"/>
          <w:color w:val="000000" w:themeColor="text1"/>
          <w:sz w:val="28"/>
          <w:szCs w:val="28"/>
        </w:rPr>
      </w:pPr>
      <w:r w:rsidRPr="006A41D5">
        <w:rPr>
          <w:rFonts w:ascii="Times New Roman" w:hAnsi="Times New Roman" w:cs="Times New Roman"/>
          <w:color w:val="000000" w:themeColor="text1"/>
          <w:sz w:val="28"/>
          <w:szCs w:val="28"/>
        </w:rPr>
        <w:t>Кодексом предусмотрены, в частности, стандартные, социальные, имущественные налоговые вычеты по НДФЛ. Указанные налоговые вычеты имеют, как правило, выраженный социальный характер и предоставляются в случае осуществления налогоплательщиками расходов, например, на обучение, лечение, обеспечение жильем. Сумма таких расходов уменьшает налоговую базу по НДФЛ в налоговом периоде и, соответственно, снижается сумма налога к уплате в бюджет.</w:t>
      </w:r>
    </w:p>
    <w:p w14:paraId="45688FD4" w14:textId="77777777" w:rsidR="006A41D5" w:rsidRPr="006A41D5" w:rsidRDefault="006A41D5" w:rsidP="006A41D5">
      <w:pPr>
        <w:spacing w:after="0" w:line="312" w:lineRule="auto"/>
        <w:ind w:firstLine="709"/>
        <w:jc w:val="both"/>
        <w:rPr>
          <w:rFonts w:ascii="Times New Roman" w:hAnsi="Times New Roman" w:cs="Times New Roman"/>
          <w:color w:val="000000" w:themeColor="text1"/>
          <w:sz w:val="28"/>
          <w:szCs w:val="28"/>
        </w:rPr>
      </w:pPr>
      <w:r w:rsidRPr="006A41D5">
        <w:rPr>
          <w:rFonts w:ascii="Times New Roman" w:hAnsi="Times New Roman" w:cs="Times New Roman"/>
          <w:color w:val="000000" w:themeColor="text1"/>
          <w:sz w:val="28"/>
          <w:szCs w:val="28"/>
        </w:rPr>
        <w:t>Так, стандартные налоговые вычеты по НДФЛ предоставляются родителям, супругам родителей, усыновителям, опекунам, попечителям, приемным родителям, супругам приемных родителей, на обеспечении которых находятся дети.</w:t>
      </w:r>
    </w:p>
    <w:p w14:paraId="57628EDB" w14:textId="77777777" w:rsidR="006A41D5" w:rsidRPr="006A41D5" w:rsidRDefault="006A41D5" w:rsidP="006A41D5">
      <w:pPr>
        <w:spacing w:after="0" w:line="312" w:lineRule="auto"/>
        <w:ind w:firstLine="709"/>
        <w:jc w:val="both"/>
        <w:rPr>
          <w:rFonts w:ascii="Times New Roman" w:hAnsi="Times New Roman" w:cs="Times New Roman"/>
          <w:color w:val="000000" w:themeColor="text1"/>
          <w:sz w:val="28"/>
          <w:szCs w:val="28"/>
        </w:rPr>
      </w:pPr>
      <w:r w:rsidRPr="006A41D5">
        <w:rPr>
          <w:rFonts w:ascii="Times New Roman" w:hAnsi="Times New Roman" w:cs="Times New Roman"/>
          <w:color w:val="000000" w:themeColor="text1"/>
          <w:sz w:val="28"/>
          <w:szCs w:val="28"/>
        </w:rPr>
        <w:t>Кроме того, налогоплательщики</w:t>
      </w:r>
      <w:r>
        <w:rPr>
          <w:rFonts w:ascii="Times New Roman" w:hAnsi="Times New Roman" w:cs="Times New Roman"/>
          <w:color w:val="000000" w:themeColor="text1"/>
          <w:sz w:val="28"/>
          <w:szCs w:val="28"/>
        </w:rPr>
        <w:t xml:space="preserve"> – </w:t>
      </w:r>
      <w:r w:rsidRPr="006A41D5">
        <w:rPr>
          <w:rFonts w:ascii="Times New Roman" w:hAnsi="Times New Roman" w:cs="Times New Roman"/>
          <w:color w:val="000000" w:themeColor="text1"/>
          <w:sz w:val="28"/>
          <w:szCs w:val="28"/>
        </w:rPr>
        <w:t>родители вправе получать социальный налоговый вычет по расходам, связанным с обучением своих детей по очной форме обучения, а также их лечением в медицинских организациях, индивидуальных предпринимателей, осуществляющих медицинскую деятельность.</w:t>
      </w:r>
    </w:p>
    <w:p w14:paraId="7B0F5566" w14:textId="77777777" w:rsidR="006A41D5" w:rsidRPr="006A41D5" w:rsidRDefault="006A41D5" w:rsidP="006A41D5">
      <w:pPr>
        <w:spacing w:after="0" w:line="312" w:lineRule="auto"/>
        <w:ind w:firstLine="709"/>
        <w:jc w:val="both"/>
        <w:rPr>
          <w:rFonts w:ascii="Times New Roman" w:hAnsi="Times New Roman" w:cs="Times New Roman"/>
          <w:color w:val="000000" w:themeColor="text1"/>
          <w:sz w:val="28"/>
          <w:szCs w:val="28"/>
        </w:rPr>
      </w:pPr>
      <w:r w:rsidRPr="006A41D5">
        <w:rPr>
          <w:rFonts w:ascii="Times New Roman" w:hAnsi="Times New Roman" w:cs="Times New Roman"/>
          <w:color w:val="000000" w:themeColor="text1"/>
          <w:sz w:val="28"/>
          <w:szCs w:val="28"/>
        </w:rPr>
        <w:t xml:space="preserve">Меры, которые принимались в отношении поддержки многодетных семей, также сопровождались введением налоговых преференций в виде освобождений от налогообложения следующих видов доходов физических лиц, </w:t>
      </w:r>
      <w:r w:rsidR="00FA4915">
        <w:rPr>
          <w:rFonts w:ascii="Times New Roman" w:hAnsi="Times New Roman" w:cs="Times New Roman"/>
          <w:color w:val="000000" w:themeColor="text1"/>
          <w:sz w:val="28"/>
          <w:szCs w:val="28"/>
        </w:rPr>
        <w:t>например</w:t>
      </w:r>
      <w:r w:rsidRPr="006A41D5">
        <w:rPr>
          <w:rFonts w:ascii="Times New Roman" w:hAnsi="Times New Roman" w:cs="Times New Roman"/>
          <w:color w:val="000000" w:themeColor="text1"/>
          <w:sz w:val="28"/>
          <w:szCs w:val="28"/>
        </w:rPr>
        <w:t>:</w:t>
      </w:r>
    </w:p>
    <w:p w14:paraId="164C3533" w14:textId="77777777" w:rsidR="006A41D5" w:rsidRPr="006A41D5" w:rsidRDefault="006A41D5" w:rsidP="006A41D5">
      <w:pPr>
        <w:spacing w:after="0" w:line="312" w:lineRule="auto"/>
        <w:ind w:firstLine="709"/>
        <w:jc w:val="both"/>
        <w:rPr>
          <w:rFonts w:ascii="Times New Roman" w:hAnsi="Times New Roman" w:cs="Times New Roman"/>
          <w:color w:val="000000" w:themeColor="text1"/>
          <w:sz w:val="28"/>
          <w:szCs w:val="28"/>
        </w:rPr>
      </w:pPr>
      <w:r w:rsidRPr="006A41D5">
        <w:rPr>
          <w:rFonts w:ascii="Times New Roman" w:hAnsi="Times New Roman" w:cs="Times New Roman"/>
          <w:color w:val="000000" w:themeColor="text1"/>
          <w:sz w:val="28"/>
          <w:szCs w:val="28"/>
        </w:rPr>
        <w:t>поддержки в виде материнского (семейного) капитала в случаях и в порядке, предоставляемой</w:t>
      </w:r>
      <w:r w:rsidR="00F01EBB">
        <w:rPr>
          <w:rFonts w:ascii="Times New Roman" w:hAnsi="Times New Roman" w:cs="Times New Roman"/>
          <w:color w:val="000000" w:themeColor="text1"/>
          <w:sz w:val="28"/>
          <w:szCs w:val="28"/>
        </w:rPr>
        <w:t xml:space="preserve"> в соответствии с</w:t>
      </w:r>
      <w:r w:rsidRPr="006A41D5">
        <w:rPr>
          <w:rFonts w:ascii="Times New Roman" w:hAnsi="Times New Roman" w:cs="Times New Roman"/>
          <w:color w:val="000000" w:themeColor="text1"/>
          <w:sz w:val="28"/>
          <w:szCs w:val="28"/>
        </w:rPr>
        <w:t xml:space="preserve"> Федеральным законом </w:t>
      </w:r>
      <w:r w:rsidR="00BB5821">
        <w:rPr>
          <w:rFonts w:ascii="Times New Roman" w:hAnsi="Times New Roman" w:cs="Times New Roman"/>
          <w:color w:val="000000"/>
          <w:sz w:val="28"/>
          <w:szCs w:val="28"/>
          <w:shd w:val="clear" w:color="auto" w:fill="FFFFFF"/>
        </w:rPr>
        <w:t xml:space="preserve">от 29 декабря 2006 г. </w:t>
      </w:r>
      <w:r w:rsidR="00F01EBB">
        <w:rPr>
          <w:rFonts w:ascii="Times New Roman" w:hAnsi="Times New Roman" w:cs="Times New Roman"/>
          <w:color w:val="000000"/>
          <w:sz w:val="28"/>
          <w:szCs w:val="28"/>
          <w:shd w:val="clear" w:color="auto" w:fill="FFFFFF"/>
        </w:rPr>
        <w:br/>
      </w:r>
      <w:r w:rsidRPr="006A41D5">
        <w:rPr>
          <w:rFonts w:ascii="Times New Roman" w:hAnsi="Times New Roman" w:cs="Times New Roman"/>
          <w:color w:val="000000" w:themeColor="text1"/>
          <w:sz w:val="28"/>
          <w:szCs w:val="28"/>
        </w:rPr>
        <w:t>№ 256-ФЗ;</w:t>
      </w:r>
    </w:p>
    <w:p w14:paraId="04A1A4D8" w14:textId="4C611104" w:rsidR="006A41D5" w:rsidRPr="006A41D5" w:rsidRDefault="006A41D5" w:rsidP="006A41D5">
      <w:pPr>
        <w:spacing w:after="0" w:line="312" w:lineRule="auto"/>
        <w:ind w:firstLine="709"/>
        <w:jc w:val="both"/>
        <w:rPr>
          <w:rFonts w:ascii="Times New Roman" w:hAnsi="Times New Roman" w:cs="Times New Roman"/>
          <w:color w:val="000000" w:themeColor="text1"/>
          <w:sz w:val="28"/>
          <w:szCs w:val="28"/>
        </w:rPr>
      </w:pPr>
      <w:r w:rsidRPr="006A41D5">
        <w:rPr>
          <w:rFonts w:ascii="Times New Roman" w:hAnsi="Times New Roman" w:cs="Times New Roman"/>
          <w:color w:val="000000" w:themeColor="text1"/>
          <w:sz w:val="28"/>
          <w:szCs w:val="28"/>
        </w:rPr>
        <w:t>ежемесячной выплаты в связи с рождением (усыновлением) первого ребенка и (или) ежемесячной выплаты в связи с рождением (усыновлением) второго ребенка, осуществляемых в соот</w:t>
      </w:r>
      <w:r w:rsidR="005B3A4F">
        <w:rPr>
          <w:rFonts w:ascii="Times New Roman" w:hAnsi="Times New Roman" w:cs="Times New Roman"/>
          <w:color w:val="000000" w:themeColor="text1"/>
          <w:sz w:val="28"/>
          <w:szCs w:val="28"/>
        </w:rPr>
        <w:t xml:space="preserve">ветствии с Федеральным законом </w:t>
      </w:r>
      <w:r w:rsidRPr="006A41D5">
        <w:rPr>
          <w:rFonts w:ascii="Times New Roman" w:hAnsi="Times New Roman" w:cs="Times New Roman"/>
          <w:color w:val="000000" w:themeColor="text1"/>
          <w:sz w:val="28"/>
          <w:szCs w:val="28"/>
        </w:rPr>
        <w:t xml:space="preserve">от 28 декабря 2017 г. </w:t>
      </w:r>
      <w:r w:rsidR="00135082">
        <w:rPr>
          <w:rFonts w:ascii="Times New Roman" w:hAnsi="Times New Roman" w:cs="Times New Roman"/>
          <w:color w:val="000000" w:themeColor="text1"/>
          <w:sz w:val="28"/>
          <w:szCs w:val="28"/>
        </w:rPr>
        <w:br/>
      </w:r>
      <w:r w:rsidRPr="006A41D5">
        <w:rPr>
          <w:rFonts w:ascii="Times New Roman" w:hAnsi="Times New Roman" w:cs="Times New Roman"/>
          <w:color w:val="000000" w:themeColor="text1"/>
          <w:sz w:val="28"/>
          <w:szCs w:val="28"/>
        </w:rPr>
        <w:t>№ 418-ФЗ;</w:t>
      </w:r>
    </w:p>
    <w:p w14:paraId="483DB89A" w14:textId="77777777" w:rsidR="006A41D5" w:rsidRPr="006A41D5" w:rsidRDefault="006A41D5" w:rsidP="006A41D5">
      <w:pPr>
        <w:spacing w:after="0" w:line="312" w:lineRule="auto"/>
        <w:ind w:firstLine="709"/>
        <w:jc w:val="both"/>
        <w:rPr>
          <w:rFonts w:ascii="Times New Roman" w:hAnsi="Times New Roman" w:cs="Times New Roman"/>
          <w:color w:val="000000" w:themeColor="text1"/>
          <w:sz w:val="28"/>
          <w:szCs w:val="28"/>
        </w:rPr>
      </w:pPr>
      <w:r w:rsidRPr="006A41D5">
        <w:rPr>
          <w:rFonts w:ascii="Times New Roman" w:hAnsi="Times New Roman" w:cs="Times New Roman"/>
          <w:color w:val="000000" w:themeColor="text1"/>
          <w:sz w:val="28"/>
          <w:szCs w:val="28"/>
        </w:rPr>
        <w:t>однократной выплаты в размере 450 000 рублей на погашение обязательств по ипотечному жилищному кредиту при рождении третьего ребенка или последующих детей.</w:t>
      </w:r>
    </w:p>
    <w:p w14:paraId="02DFC663" w14:textId="0F8E9731" w:rsid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837670">
        <w:rPr>
          <w:rFonts w:ascii="Times New Roman" w:eastAsia="Times New Roman" w:hAnsi="Times New Roman" w:cs="Times New Roman"/>
          <w:b/>
          <w:sz w:val="28"/>
          <w:szCs w:val="28"/>
          <w:lang w:eastAsia="ru-RU"/>
        </w:rPr>
        <w:t>Пенсионное обеспечение семей, имеющих детей, государственная социальная помощь, денежные выплаты семьям с детьми-инвалидами</w:t>
      </w:r>
    </w:p>
    <w:p w14:paraId="5DCA80A8" w14:textId="77777777" w:rsidR="006153EB" w:rsidRPr="006153EB" w:rsidRDefault="006153EB" w:rsidP="006153EB">
      <w:pPr>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Pr="006153EB">
        <w:rPr>
          <w:rFonts w:ascii="Times New Roman" w:hAnsi="Times New Roman" w:cs="Times New Roman"/>
          <w:sz w:val="28"/>
          <w:szCs w:val="28"/>
        </w:rPr>
        <w:t>1 января 2021 г</w:t>
      </w:r>
      <w:r w:rsidR="006D2135">
        <w:rPr>
          <w:rFonts w:ascii="Times New Roman" w:hAnsi="Times New Roman" w:cs="Times New Roman"/>
          <w:sz w:val="28"/>
          <w:szCs w:val="28"/>
        </w:rPr>
        <w:t>.</w:t>
      </w:r>
      <w:r w:rsidRPr="006153EB">
        <w:rPr>
          <w:rFonts w:ascii="Times New Roman" w:hAnsi="Times New Roman" w:cs="Times New Roman"/>
          <w:sz w:val="28"/>
          <w:szCs w:val="28"/>
        </w:rPr>
        <w:t xml:space="preserve"> в соответствии со статьей 10 Федерального закона</w:t>
      </w:r>
      <w:r w:rsidR="006D2135">
        <w:rPr>
          <w:rFonts w:ascii="Times New Roman" w:hAnsi="Times New Roman" w:cs="Times New Roman"/>
          <w:sz w:val="28"/>
          <w:szCs w:val="28"/>
        </w:rPr>
        <w:t xml:space="preserve"> </w:t>
      </w:r>
      <w:r w:rsidR="006D2135">
        <w:rPr>
          <w:rFonts w:ascii="Times New Roman" w:hAnsi="Times New Roman" w:cs="Times New Roman"/>
          <w:sz w:val="28"/>
          <w:szCs w:val="28"/>
        </w:rPr>
        <w:br/>
      </w:r>
      <w:r w:rsidRPr="006153EB">
        <w:rPr>
          <w:rFonts w:ascii="Times New Roman" w:hAnsi="Times New Roman" w:cs="Times New Roman"/>
          <w:sz w:val="28"/>
          <w:szCs w:val="28"/>
        </w:rPr>
        <w:t>от 3 октября 2018 г. № 350-ФЗ «О внесении измене</w:t>
      </w:r>
      <w:r>
        <w:rPr>
          <w:rFonts w:ascii="Times New Roman" w:hAnsi="Times New Roman" w:cs="Times New Roman"/>
          <w:sz w:val="28"/>
          <w:szCs w:val="28"/>
        </w:rPr>
        <w:t xml:space="preserve">ний в отдельные законодательные </w:t>
      </w:r>
      <w:r w:rsidRPr="006153EB">
        <w:rPr>
          <w:rFonts w:ascii="Times New Roman" w:hAnsi="Times New Roman" w:cs="Times New Roman"/>
          <w:sz w:val="28"/>
          <w:szCs w:val="28"/>
        </w:rPr>
        <w:t>акты Российской Федерации по вопросам назначения и выплаты пенсий» стоимо</w:t>
      </w:r>
      <w:r>
        <w:rPr>
          <w:rFonts w:ascii="Times New Roman" w:hAnsi="Times New Roman" w:cs="Times New Roman"/>
          <w:sz w:val="28"/>
          <w:szCs w:val="28"/>
        </w:rPr>
        <w:t xml:space="preserve">сть </w:t>
      </w:r>
      <w:r w:rsidRPr="006153EB">
        <w:rPr>
          <w:rFonts w:ascii="Times New Roman" w:hAnsi="Times New Roman" w:cs="Times New Roman"/>
          <w:sz w:val="28"/>
          <w:szCs w:val="28"/>
        </w:rPr>
        <w:t>одного пенсионного коэффициента была увеличена н</w:t>
      </w:r>
      <w:r>
        <w:rPr>
          <w:rFonts w:ascii="Times New Roman" w:hAnsi="Times New Roman" w:cs="Times New Roman"/>
          <w:sz w:val="28"/>
          <w:szCs w:val="28"/>
        </w:rPr>
        <w:t xml:space="preserve">а 6,3% и установлена в размере </w:t>
      </w:r>
      <w:r w:rsidRPr="006153EB">
        <w:rPr>
          <w:rFonts w:ascii="Times New Roman" w:hAnsi="Times New Roman" w:cs="Times New Roman"/>
          <w:sz w:val="28"/>
          <w:szCs w:val="28"/>
        </w:rPr>
        <w:t>98,86 рубля, размер фиксированной выплаты к стра</w:t>
      </w:r>
      <w:r>
        <w:rPr>
          <w:rFonts w:ascii="Times New Roman" w:hAnsi="Times New Roman" w:cs="Times New Roman"/>
          <w:sz w:val="28"/>
          <w:szCs w:val="28"/>
        </w:rPr>
        <w:t xml:space="preserve">ховой пенсии установлен в сумме </w:t>
      </w:r>
      <w:r w:rsidRPr="006153EB">
        <w:rPr>
          <w:rFonts w:ascii="Times New Roman" w:hAnsi="Times New Roman" w:cs="Times New Roman"/>
          <w:sz w:val="28"/>
          <w:szCs w:val="28"/>
        </w:rPr>
        <w:t>6 044,48 рубля, размер фиксированной выплаты к ст</w:t>
      </w:r>
      <w:r>
        <w:rPr>
          <w:rFonts w:ascii="Times New Roman" w:hAnsi="Times New Roman" w:cs="Times New Roman"/>
          <w:sz w:val="28"/>
          <w:szCs w:val="28"/>
        </w:rPr>
        <w:t xml:space="preserve">раховой пенсии по случаю потери </w:t>
      </w:r>
      <w:r w:rsidRPr="006153EB">
        <w:rPr>
          <w:rFonts w:ascii="Times New Roman" w:hAnsi="Times New Roman" w:cs="Times New Roman"/>
          <w:sz w:val="28"/>
          <w:szCs w:val="28"/>
        </w:rPr>
        <w:t>кормильца составил 3 022,24 рубля.</w:t>
      </w:r>
    </w:p>
    <w:p w14:paraId="3CB68BD2" w14:textId="42D6A550" w:rsidR="006153EB" w:rsidRPr="006153EB" w:rsidRDefault="006153EB" w:rsidP="006153EB">
      <w:pPr>
        <w:autoSpaceDE w:val="0"/>
        <w:autoSpaceDN w:val="0"/>
        <w:adjustRightInd w:val="0"/>
        <w:spacing w:after="0" w:line="312" w:lineRule="auto"/>
        <w:ind w:firstLine="709"/>
        <w:jc w:val="both"/>
        <w:rPr>
          <w:rFonts w:ascii="Times New Roman" w:hAnsi="Times New Roman" w:cs="Times New Roman"/>
          <w:sz w:val="28"/>
          <w:szCs w:val="28"/>
        </w:rPr>
      </w:pPr>
      <w:r w:rsidRPr="006153EB">
        <w:rPr>
          <w:rFonts w:ascii="Times New Roman" w:hAnsi="Times New Roman" w:cs="Times New Roman"/>
          <w:sz w:val="28"/>
          <w:szCs w:val="28"/>
        </w:rPr>
        <w:t>Согласно нормам Федерального закона от</w:t>
      </w:r>
      <w:r>
        <w:rPr>
          <w:rFonts w:ascii="Times New Roman" w:hAnsi="Times New Roman" w:cs="Times New Roman"/>
          <w:sz w:val="28"/>
          <w:szCs w:val="28"/>
        </w:rPr>
        <w:t xml:space="preserve"> 15 декабря 2001 г. № 166-ФЗ </w:t>
      </w:r>
      <w:r>
        <w:rPr>
          <w:rFonts w:ascii="Times New Roman" w:hAnsi="Times New Roman" w:cs="Times New Roman"/>
          <w:sz w:val="28"/>
          <w:szCs w:val="28"/>
        </w:rPr>
        <w:br/>
        <w:t xml:space="preserve">«О </w:t>
      </w:r>
      <w:r w:rsidRPr="006153EB">
        <w:rPr>
          <w:rFonts w:ascii="Times New Roman" w:hAnsi="Times New Roman" w:cs="Times New Roman"/>
          <w:sz w:val="28"/>
          <w:szCs w:val="28"/>
        </w:rPr>
        <w:t>государственном пенсионном обеспечении в Р</w:t>
      </w:r>
      <w:r>
        <w:rPr>
          <w:rFonts w:ascii="Times New Roman" w:hAnsi="Times New Roman" w:cs="Times New Roman"/>
          <w:sz w:val="28"/>
          <w:szCs w:val="28"/>
        </w:rPr>
        <w:t>оссийской Федерации»</w:t>
      </w:r>
      <w:r w:rsidR="00474D2E">
        <w:rPr>
          <w:rFonts w:ascii="Times New Roman" w:hAnsi="Times New Roman" w:cs="Times New Roman"/>
          <w:sz w:val="28"/>
          <w:szCs w:val="28"/>
        </w:rPr>
        <w:t>,</w:t>
      </w:r>
      <w:r>
        <w:rPr>
          <w:rFonts w:ascii="Times New Roman" w:hAnsi="Times New Roman" w:cs="Times New Roman"/>
          <w:sz w:val="28"/>
          <w:szCs w:val="28"/>
        </w:rPr>
        <w:t xml:space="preserve"> социальная </w:t>
      </w:r>
      <w:r w:rsidRPr="006153EB">
        <w:rPr>
          <w:rFonts w:ascii="Times New Roman" w:hAnsi="Times New Roman" w:cs="Times New Roman"/>
          <w:sz w:val="28"/>
          <w:szCs w:val="28"/>
        </w:rPr>
        <w:t>пенсия индексируется ежегодно с 1 апреля исхо</w:t>
      </w:r>
      <w:r>
        <w:rPr>
          <w:rFonts w:ascii="Times New Roman" w:hAnsi="Times New Roman" w:cs="Times New Roman"/>
          <w:sz w:val="28"/>
          <w:szCs w:val="28"/>
        </w:rPr>
        <w:t xml:space="preserve">дя из темпов роста прожиточного </w:t>
      </w:r>
      <w:r w:rsidRPr="006153EB">
        <w:rPr>
          <w:rFonts w:ascii="Times New Roman" w:hAnsi="Times New Roman" w:cs="Times New Roman"/>
          <w:sz w:val="28"/>
          <w:szCs w:val="28"/>
        </w:rPr>
        <w:t>минимума пенсионера в Российской Федерации</w:t>
      </w:r>
      <w:r>
        <w:rPr>
          <w:rFonts w:ascii="Times New Roman" w:hAnsi="Times New Roman" w:cs="Times New Roman"/>
          <w:sz w:val="28"/>
          <w:szCs w:val="28"/>
        </w:rPr>
        <w:t>. В 2021 г</w:t>
      </w:r>
      <w:r w:rsidR="00713788">
        <w:rPr>
          <w:rFonts w:ascii="Times New Roman" w:hAnsi="Times New Roman" w:cs="Times New Roman"/>
          <w:sz w:val="28"/>
          <w:szCs w:val="28"/>
        </w:rPr>
        <w:t>.</w:t>
      </w:r>
      <w:r>
        <w:rPr>
          <w:rFonts w:ascii="Times New Roman" w:hAnsi="Times New Roman" w:cs="Times New Roman"/>
          <w:sz w:val="28"/>
          <w:szCs w:val="28"/>
        </w:rPr>
        <w:t xml:space="preserve"> в </w:t>
      </w:r>
      <w:r w:rsidRPr="006153EB">
        <w:rPr>
          <w:rFonts w:ascii="Times New Roman" w:hAnsi="Times New Roman" w:cs="Times New Roman"/>
          <w:sz w:val="28"/>
          <w:szCs w:val="28"/>
        </w:rPr>
        <w:t>соответствии с постановлением Правительства Р</w:t>
      </w:r>
      <w:r>
        <w:rPr>
          <w:rFonts w:ascii="Times New Roman" w:hAnsi="Times New Roman" w:cs="Times New Roman"/>
          <w:sz w:val="28"/>
          <w:szCs w:val="28"/>
        </w:rPr>
        <w:t xml:space="preserve">оссийской Федерации от 23 марта </w:t>
      </w:r>
      <w:r w:rsidRPr="006153EB">
        <w:rPr>
          <w:rFonts w:ascii="Times New Roman" w:hAnsi="Times New Roman" w:cs="Times New Roman"/>
          <w:sz w:val="28"/>
          <w:szCs w:val="28"/>
        </w:rPr>
        <w:t xml:space="preserve">2021 г. № 443 </w:t>
      </w:r>
      <w:r w:rsidR="00135082">
        <w:rPr>
          <w:rFonts w:ascii="Times New Roman" w:hAnsi="Times New Roman" w:cs="Times New Roman"/>
          <w:sz w:val="28"/>
          <w:szCs w:val="28"/>
        </w:rPr>
        <w:br/>
      </w:r>
      <w:r w:rsidRPr="006153EB">
        <w:rPr>
          <w:rFonts w:ascii="Times New Roman" w:hAnsi="Times New Roman" w:cs="Times New Roman"/>
          <w:sz w:val="28"/>
          <w:szCs w:val="28"/>
        </w:rPr>
        <w:t>«Об утверждении коэффициент</w:t>
      </w:r>
      <w:r>
        <w:rPr>
          <w:rFonts w:ascii="Times New Roman" w:hAnsi="Times New Roman" w:cs="Times New Roman"/>
          <w:sz w:val="28"/>
          <w:szCs w:val="28"/>
        </w:rPr>
        <w:t xml:space="preserve">а индексации с 1 апреля 2021 г. </w:t>
      </w:r>
      <w:r w:rsidRPr="006153EB">
        <w:rPr>
          <w:rFonts w:ascii="Times New Roman" w:hAnsi="Times New Roman" w:cs="Times New Roman"/>
          <w:sz w:val="28"/>
          <w:szCs w:val="28"/>
        </w:rPr>
        <w:t>социальных пенсий» осуществлена индексация на 3</w:t>
      </w:r>
      <w:r>
        <w:rPr>
          <w:rFonts w:ascii="Times New Roman" w:hAnsi="Times New Roman" w:cs="Times New Roman"/>
          <w:sz w:val="28"/>
          <w:szCs w:val="28"/>
        </w:rPr>
        <w:t xml:space="preserve">,4% социальных пенсий и других </w:t>
      </w:r>
      <w:r w:rsidRPr="006153EB">
        <w:rPr>
          <w:rFonts w:ascii="Times New Roman" w:hAnsi="Times New Roman" w:cs="Times New Roman"/>
          <w:sz w:val="28"/>
          <w:szCs w:val="28"/>
        </w:rPr>
        <w:t>выплат, размер увеличения которых зависит от роста социальных пенсий.</w:t>
      </w:r>
    </w:p>
    <w:p w14:paraId="421EB927" w14:textId="2454AF4B" w:rsidR="006153EB" w:rsidRDefault="006153EB" w:rsidP="006153EB">
      <w:pPr>
        <w:autoSpaceDE w:val="0"/>
        <w:autoSpaceDN w:val="0"/>
        <w:adjustRightInd w:val="0"/>
        <w:spacing w:after="0" w:line="312" w:lineRule="auto"/>
        <w:ind w:firstLine="709"/>
        <w:jc w:val="both"/>
        <w:rPr>
          <w:rFonts w:ascii="Times New Roman" w:hAnsi="Times New Roman" w:cs="Times New Roman"/>
          <w:sz w:val="28"/>
          <w:szCs w:val="28"/>
        </w:rPr>
      </w:pPr>
      <w:r w:rsidRPr="006153EB">
        <w:rPr>
          <w:rFonts w:ascii="Times New Roman" w:hAnsi="Times New Roman" w:cs="Times New Roman"/>
          <w:sz w:val="28"/>
          <w:szCs w:val="28"/>
        </w:rPr>
        <w:t>Размер социальной пенсии по инвали</w:t>
      </w:r>
      <w:r>
        <w:rPr>
          <w:rFonts w:ascii="Times New Roman" w:hAnsi="Times New Roman" w:cs="Times New Roman"/>
          <w:sz w:val="28"/>
          <w:szCs w:val="28"/>
        </w:rPr>
        <w:t>дности детям</w:t>
      </w:r>
      <w:r w:rsidR="003B77D7">
        <w:rPr>
          <w:rFonts w:ascii="Times New Roman" w:hAnsi="Times New Roman" w:cs="Times New Roman"/>
          <w:sz w:val="28"/>
          <w:szCs w:val="28"/>
        </w:rPr>
        <w:t xml:space="preserve"> с инвалидностью</w:t>
      </w:r>
      <w:r>
        <w:rPr>
          <w:rFonts w:ascii="Times New Roman" w:hAnsi="Times New Roman" w:cs="Times New Roman"/>
          <w:sz w:val="28"/>
          <w:szCs w:val="28"/>
        </w:rPr>
        <w:t xml:space="preserve"> составил 13 912,1 рубл</w:t>
      </w:r>
      <w:r w:rsidR="0033705B">
        <w:rPr>
          <w:rFonts w:ascii="Times New Roman" w:hAnsi="Times New Roman" w:cs="Times New Roman"/>
          <w:sz w:val="28"/>
          <w:szCs w:val="28"/>
        </w:rPr>
        <w:t>я</w:t>
      </w:r>
      <w:r>
        <w:rPr>
          <w:rFonts w:ascii="Times New Roman" w:hAnsi="Times New Roman" w:cs="Times New Roman"/>
          <w:sz w:val="28"/>
          <w:szCs w:val="28"/>
        </w:rPr>
        <w:t xml:space="preserve">. </w:t>
      </w:r>
    </w:p>
    <w:p w14:paraId="2FB1DA0C" w14:textId="77777777" w:rsidR="006153EB" w:rsidRPr="006153EB" w:rsidRDefault="006153EB" w:rsidP="006153EB">
      <w:pPr>
        <w:autoSpaceDE w:val="0"/>
        <w:autoSpaceDN w:val="0"/>
        <w:adjustRightInd w:val="0"/>
        <w:spacing w:after="0" w:line="312" w:lineRule="auto"/>
        <w:ind w:firstLine="709"/>
        <w:jc w:val="both"/>
        <w:rPr>
          <w:rFonts w:ascii="Times New Roman" w:hAnsi="Times New Roman" w:cs="Times New Roman"/>
          <w:sz w:val="28"/>
          <w:szCs w:val="28"/>
        </w:rPr>
      </w:pPr>
      <w:r w:rsidRPr="006153EB">
        <w:rPr>
          <w:rFonts w:ascii="Times New Roman" w:hAnsi="Times New Roman" w:cs="Times New Roman"/>
          <w:sz w:val="28"/>
          <w:szCs w:val="28"/>
        </w:rPr>
        <w:t>Детям в возрасте до 18 лет, а также старше этого возраста, обучающи</w:t>
      </w:r>
      <w:r>
        <w:rPr>
          <w:rFonts w:ascii="Times New Roman" w:hAnsi="Times New Roman" w:cs="Times New Roman"/>
          <w:sz w:val="28"/>
          <w:szCs w:val="28"/>
        </w:rPr>
        <w:t xml:space="preserve">мся по </w:t>
      </w:r>
      <w:r w:rsidRPr="006153EB">
        <w:rPr>
          <w:rFonts w:ascii="Times New Roman" w:hAnsi="Times New Roman" w:cs="Times New Roman"/>
          <w:sz w:val="28"/>
          <w:szCs w:val="28"/>
        </w:rPr>
        <w:t>очной форме по основным образовател</w:t>
      </w:r>
      <w:r>
        <w:rPr>
          <w:rFonts w:ascii="Times New Roman" w:hAnsi="Times New Roman" w:cs="Times New Roman"/>
          <w:sz w:val="28"/>
          <w:szCs w:val="28"/>
        </w:rPr>
        <w:t xml:space="preserve">ьным программам в организациях, </w:t>
      </w:r>
      <w:r w:rsidRPr="006153EB">
        <w:rPr>
          <w:rFonts w:ascii="Times New Roman" w:hAnsi="Times New Roman" w:cs="Times New Roman"/>
          <w:sz w:val="28"/>
          <w:szCs w:val="28"/>
        </w:rPr>
        <w:t>осуществляющих образовательную деятельность, до</w:t>
      </w:r>
      <w:r>
        <w:rPr>
          <w:rFonts w:ascii="Times New Roman" w:hAnsi="Times New Roman" w:cs="Times New Roman"/>
          <w:sz w:val="28"/>
          <w:szCs w:val="28"/>
        </w:rPr>
        <w:t xml:space="preserve"> окончания ими такого обучения, </w:t>
      </w:r>
      <w:r w:rsidRPr="006153EB">
        <w:rPr>
          <w:rFonts w:ascii="Times New Roman" w:hAnsi="Times New Roman" w:cs="Times New Roman"/>
          <w:sz w:val="28"/>
          <w:szCs w:val="28"/>
        </w:rPr>
        <w:t>но не дольше чем до 23 лет, устанавливается соц</w:t>
      </w:r>
      <w:r>
        <w:rPr>
          <w:rFonts w:ascii="Times New Roman" w:hAnsi="Times New Roman" w:cs="Times New Roman"/>
          <w:sz w:val="28"/>
          <w:szCs w:val="28"/>
        </w:rPr>
        <w:t xml:space="preserve">иальная пенсия по случаю потери </w:t>
      </w:r>
      <w:r w:rsidRPr="006153EB">
        <w:rPr>
          <w:rFonts w:ascii="Times New Roman" w:hAnsi="Times New Roman" w:cs="Times New Roman"/>
          <w:sz w:val="28"/>
          <w:szCs w:val="28"/>
        </w:rPr>
        <w:t>кормильца:</w:t>
      </w:r>
    </w:p>
    <w:p w14:paraId="5506BFC5" w14:textId="77777777" w:rsidR="006153EB" w:rsidRPr="006153EB" w:rsidRDefault="006153EB" w:rsidP="006153EB">
      <w:pPr>
        <w:autoSpaceDE w:val="0"/>
        <w:autoSpaceDN w:val="0"/>
        <w:adjustRightInd w:val="0"/>
        <w:spacing w:after="0" w:line="312" w:lineRule="auto"/>
        <w:ind w:firstLine="709"/>
        <w:jc w:val="both"/>
        <w:rPr>
          <w:rFonts w:ascii="Times New Roman" w:hAnsi="Times New Roman" w:cs="Times New Roman"/>
          <w:sz w:val="28"/>
          <w:szCs w:val="28"/>
        </w:rPr>
      </w:pPr>
      <w:r w:rsidRPr="006153EB">
        <w:rPr>
          <w:rFonts w:ascii="Times New Roman" w:hAnsi="Times New Roman" w:cs="Times New Roman"/>
          <w:sz w:val="28"/>
          <w:szCs w:val="28"/>
        </w:rPr>
        <w:t>потерявшим одного из родителей в размере 5</w:t>
      </w:r>
      <w:r w:rsidR="006D2135">
        <w:rPr>
          <w:rFonts w:ascii="Times New Roman" w:hAnsi="Times New Roman" w:cs="Times New Roman"/>
          <w:sz w:val="28"/>
          <w:szCs w:val="28"/>
        </w:rPr>
        <w:t xml:space="preserve"> </w:t>
      </w:r>
      <w:r w:rsidRPr="006153EB">
        <w:rPr>
          <w:rFonts w:ascii="Times New Roman" w:hAnsi="Times New Roman" w:cs="Times New Roman"/>
          <w:sz w:val="28"/>
          <w:szCs w:val="28"/>
        </w:rPr>
        <w:t>796,76 рубля;</w:t>
      </w:r>
    </w:p>
    <w:p w14:paraId="7EF7D85B" w14:textId="77777777" w:rsidR="006153EB" w:rsidRPr="006153EB" w:rsidRDefault="006153EB" w:rsidP="00BE5E56">
      <w:pPr>
        <w:autoSpaceDE w:val="0"/>
        <w:autoSpaceDN w:val="0"/>
        <w:adjustRightInd w:val="0"/>
        <w:spacing w:after="0" w:line="312" w:lineRule="auto"/>
        <w:ind w:firstLine="709"/>
        <w:jc w:val="both"/>
        <w:rPr>
          <w:rFonts w:ascii="Times New Roman" w:hAnsi="Times New Roman" w:cs="Times New Roman"/>
          <w:sz w:val="28"/>
          <w:szCs w:val="28"/>
        </w:rPr>
      </w:pPr>
      <w:r w:rsidRPr="006153EB">
        <w:rPr>
          <w:rFonts w:ascii="Times New Roman" w:hAnsi="Times New Roman" w:cs="Times New Roman"/>
          <w:sz w:val="28"/>
          <w:szCs w:val="28"/>
        </w:rPr>
        <w:t>потерявшим обоих родителей (детям умерш</w:t>
      </w:r>
      <w:r w:rsidR="00BE5E56">
        <w:rPr>
          <w:rFonts w:ascii="Times New Roman" w:hAnsi="Times New Roman" w:cs="Times New Roman"/>
          <w:sz w:val="28"/>
          <w:szCs w:val="28"/>
        </w:rPr>
        <w:t xml:space="preserve">ей одинокой матери), детям, оба </w:t>
      </w:r>
      <w:r w:rsidRPr="006153EB">
        <w:rPr>
          <w:rFonts w:ascii="Times New Roman" w:hAnsi="Times New Roman" w:cs="Times New Roman"/>
          <w:sz w:val="28"/>
          <w:szCs w:val="28"/>
        </w:rPr>
        <w:t>родителя которых неизвестны, в размере 11 593,58 рубля.</w:t>
      </w:r>
    </w:p>
    <w:p w14:paraId="05341B91" w14:textId="77777777" w:rsidR="006153EB" w:rsidRPr="006153EB" w:rsidRDefault="006153EB" w:rsidP="006153EB">
      <w:pPr>
        <w:autoSpaceDE w:val="0"/>
        <w:autoSpaceDN w:val="0"/>
        <w:adjustRightInd w:val="0"/>
        <w:spacing w:after="0" w:line="312" w:lineRule="auto"/>
        <w:ind w:firstLine="709"/>
        <w:jc w:val="both"/>
        <w:rPr>
          <w:rFonts w:ascii="Times New Roman" w:hAnsi="Times New Roman" w:cs="Times New Roman"/>
          <w:sz w:val="28"/>
          <w:szCs w:val="28"/>
        </w:rPr>
      </w:pPr>
      <w:r w:rsidRPr="006153EB">
        <w:rPr>
          <w:rFonts w:ascii="Times New Roman" w:hAnsi="Times New Roman" w:cs="Times New Roman"/>
          <w:sz w:val="28"/>
          <w:szCs w:val="28"/>
        </w:rPr>
        <w:t>В случае гибели (смерти) военнослужащих</w:t>
      </w:r>
      <w:r>
        <w:rPr>
          <w:rFonts w:ascii="Times New Roman" w:hAnsi="Times New Roman" w:cs="Times New Roman"/>
          <w:sz w:val="28"/>
          <w:szCs w:val="28"/>
        </w:rPr>
        <w:t xml:space="preserve">, проходивших военную службу по </w:t>
      </w:r>
      <w:r w:rsidRPr="006153EB">
        <w:rPr>
          <w:rFonts w:ascii="Times New Roman" w:hAnsi="Times New Roman" w:cs="Times New Roman"/>
          <w:sz w:val="28"/>
          <w:szCs w:val="28"/>
        </w:rPr>
        <w:t xml:space="preserve">призыву в качестве солдат, матросов, сержантов и </w:t>
      </w:r>
      <w:r>
        <w:rPr>
          <w:rFonts w:ascii="Times New Roman" w:hAnsi="Times New Roman" w:cs="Times New Roman"/>
          <w:sz w:val="28"/>
          <w:szCs w:val="28"/>
        </w:rPr>
        <w:t xml:space="preserve">старшин, устанавливается пенсия </w:t>
      </w:r>
      <w:r w:rsidRPr="006153EB">
        <w:rPr>
          <w:rFonts w:ascii="Times New Roman" w:hAnsi="Times New Roman" w:cs="Times New Roman"/>
          <w:sz w:val="28"/>
          <w:szCs w:val="28"/>
        </w:rPr>
        <w:t xml:space="preserve">по случаю потери кормильца, размер которой </w:t>
      </w:r>
      <w:r>
        <w:rPr>
          <w:rFonts w:ascii="Times New Roman" w:hAnsi="Times New Roman" w:cs="Times New Roman"/>
          <w:sz w:val="28"/>
          <w:szCs w:val="28"/>
        </w:rPr>
        <w:t>в зависимости от причины смерти кормильца составляет 200</w:t>
      </w:r>
      <w:r w:rsidR="00DB037A">
        <w:rPr>
          <w:rFonts w:ascii="Times New Roman" w:hAnsi="Times New Roman" w:cs="Times New Roman"/>
          <w:sz w:val="28"/>
          <w:szCs w:val="28"/>
        </w:rPr>
        <w:t>% или 150</w:t>
      </w:r>
      <w:r w:rsidRPr="006153EB">
        <w:rPr>
          <w:rFonts w:ascii="Times New Roman" w:hAnsi="Times New Roman" w:cs="Times New Roman"/>
          <w:sz w:val="28"/>
          <w:szCs w:val="28"/>
        </w:rPr>
        <w:t>% размера соц</w:t>
      </w:r>
      <w:r>
        <w:rPr>
          <w:rFonts w:ascii="Times New Roman" w:hAnsi="Times New Roman" w:cs="Times New Roman"/>
          <w:sz w:val="28"/>
          <w:szCs w:val="28"/>
        </w:rPr>
        <w:t xml:space="preserve">иальной пенсии (11 593,52 рубля </w:t>
      </w:r>
      <w:r w:rsidRPr="006153EB">
        <w:rPr>
          <w:rFonts w:ascii="Times New Roman" w:hAnsi="Times New Roman" w:cs="Times New Roman"/>
          <w:sz w:val="28"/>
          <w:szCs w:val="28"/>
        </w:rPr>
        <w:t>или 8 695,14 рубля</w:t>
      </w:r>
      <w:r w:rsidR="00EE3748">
        <w:rPr>
          <w:rFonts w:ascii="Times New Roman" w:hAnsi="Times New Roman" w:cs="Times New Roman"/>
          <w:sz w:val="28"/>
          <w:szCs w:val="28"/>
        </w:rPr>
        <w:t>,</w:t>
      </w:r>
      <w:r w:rsidRPr="006153EB">
        <w:rPr>
          <w:rFonts w:ascii="Times New Roman" w:hAnsi="Times New Roman" w:cs="Times New Roman"/>
          <w:sz w:val="28"/>
          <w:szCs w:val="28"/>
        </w:rPr>
        <w:t xml:space="preserve"> соответственно).</w:t>
      </w:r>
    </w:p>
    <w:p w14:paraId="3B122A92" w14:textId="77777777" w:rsidR="006153EB" w:rsidRPr="006153EB" w:rsidRDefault="006153EB" w:rsidP="006153EB">
      <w:pPr>
        <w:autoSpaceDE w:val="0"/>
        <w:autoSpaceDN w:val="0"/>
        <w:adjustRightInd w:val="0"/>
        <w:spacing w:after="0" w:line="312" w:lineRule="auto"/>
        <w:ind w:firstLine="709"/>
        <w:jc w:val="both"/>
        <w:rPr>
          <w:rFonts w:ascii="Times New Roman" w:hAnsi="Times New Roman" w:cs="Times New Roman"/>
          <w:sz w:val="28"/>
          <w:szCs w:val="28"/>
        </w:rPr>
      </w:pPr>
      <w:r w:rsidRPr="006153EB">
        <w:rPr>
          <w:rFonts w:ascii="Times New Roman" w:hAnsi="Times New Roman" w:cs="Times New Roman"/>
          <w:sz w:val="28"/>
          <w:szCs w:val="28"/>
        </w:rPr>
        <w:t>Детям отдельных категорий гра</w:t>
      </w:r>
      <w:r>
        <w:rPr>
          <w:rFonts w:ascii="Times New Roman" w:hAnsi="Times New Roman" w:cs="Times New Roman"/>
          <w:sz w:val="28"/>
          <w:szCs w:val="28"/>
        </w:rPr>
        <w:t xml:space="preserve">ждан, пострадавших в результате </w:t>
      </w:r>
      <w:r w:rsidRPr="006153EB">
        <w:rPr>
          <w:rFonts w:ascii="Times New Roman" w:hAnsi="Times New Roman" w:cs="Times New Roman"/>
          <w:sz w:val="28"/>
          <w:szCs w:val="28"/>
        </w:rPr>
        <w:t>радиационных или техногенных катастроф, потеряв</w:t>
      </w:r>
      <w:r>
        <w:rPr>
          <w:rFonts w:ascii="Times New Roman" w:hAnsi="Times New Roman" w:cs="Times New Roman"/>
          <w:sz w:val="28"/>
          <w:szCs w:val="28"/>
        </w:rPr>
        <w:t xml:space="preserve">шим одного или обоих родителей, </w:t>
      </w:r>
      <w:r w:rsidRPr="006153EB">
        <w:rPr>
          <w:rFonts w:ascii="Times New Roman" w:hAnsi="Times New Roman" w:cs="Times New Roman"/>
          <w:sz w:val="28"/>
          <w:szCs w:val="28"/>
        </w:rPr>
        <w:t>в том числе детям умершей одинокой матери, у</w:t>
      </w:r>
      <w:r>
        <w:rPr>
          <w:rFonts w:ascii="Times New Roman" w:hAnsi="Times New Roman" w:cs="Times New Roman"/>
          <w:sz w:val="28"/>
          <w:szCs w:val="28"/>
        </w:rPr>
        <w:t xml:space="preserve">станавливается пенсия по случаю </w:t>
      </w:r>
      <w:r w:rsidRPr="006153EB">
        <w:rPr>
          <w:rFonts w:ascii="Times New Roman" w:hAnsi="Times New Roman" w:cs="Times New Roman"/>
          <w:sz w:val="28"/>
          <w:szCs w:val="28"/>
        </w:rPr>
        <w:t>потери кормильца, размер которой составляет 125</w:t>
      </w:r>
      <w:r w:rsidR="0038544C">
        <w:rPr>
          <w:rFonts w:ascii="Times New Roman" w:hAnsi="Times New Roman" w:cs="Times New Roman"/>
          <w:sz w:val="28"/>
          <w:szCs w:val="28"/>
        </w:rPr>
        <w:t>% или 250</w:t>
      </w:r>
      <w:r>
        <w:rPr>
          <w:rFonts w:ascii="Times New Roman" w:hAnsi="Times New Roman" w:cs="Times New Roman"/>
          <w:sz w:val="28"/>
          <w:szCs w:val="28"/>
        </w:rPr>
        <w:t xml:space="preserve">% размера социальной </w:t>
      </w:r>
      <w:r w:rsidRPr="006153EB">
        <w:rPr>
          <w:rFonts w:ascii="Times New Roman" w:hAnsi="Times New Roman" w:cs="Times New Roman"/>
          <w:sz w:val="28"/>
          <w:szCs w:val="28"/>
        </w:rPr>
        <w:t>пенсии (7 245,95 рубля или 14 491,9 рубля соответственно).</w:t>
      </w:r>
    </w:p>
    <w:p w14:paraId="42F7F2EA" w14:textId="1A1EF33F" w:rsidR="006153EB" w:rsidRPr="006153EB" w:rsidRDefault="006153EB" w:rsidP="006153EB">
      <w:pPr>
        <w:autoSpaceDE w:val="0"/>
        <w:autoSpaceDN w:val="0"/>
        <w:adjustRightInd w:val="0"/>
        <w:spacing w:after="0" w:line="312" w:lineRule="auto"/>
        <w:ind w:firstLine="709"/>
        <w:jc w:val="both"/>
        <w:rPr>
          <w:rFonts w:ascii="Times New Roman" w:hAnsi="Times New Roman" w:cs="Times New Roman"/>
          <w:sz w:val="28"/>
          <w:szCs w:val="28"/>
        </w:rPr>
      </w:pPr>
      <w:r w:rsidRPr="006153EB">
        <w:rPr>
          <w:rFonts w:ascii="Times New Roman" w:hAnsi="Times New Roman" w:cs="Times New Roman"/>
          <w:sz w:val="28"/>
          <w:szCs w:val="28"/>
        </w:rPr>
        <w:t>В соответствии с Указом Президента Рос</w:t>
      </w:r>
      <w:r>
        <w:rPr>
          <w:rFonts w:ascii="Times New Roman" w:hAnsi="Times New Roman" w:cs="Times New Roman"/>
          <w:sz w:val="28"/>
          <w:szCs w:val="28"/>
        </w:rPr>
        <w:t xml:space="preserve">сийской Федерации от 26 февраля </w:t>
      </w:r>
      <w:r w:rsidR="00043A60">
        <w:rPr>
          <w:rFonts w:ascii="Times New Roman" w:hAnsi="Times New Roman" w:cs="Times New Roman"/>
          <w:sz w:val="28"/>
          <w:szCs w:val="28"/>
        </w:rPr>
        <w:br/>
      </w:r>
      <w:r w:rsidRPr="006153EB">
        <w:rPr>
          <w:rFonts w:ascii="Times New Roman" w:hAnsi="Times New Roman" w:cs="Times New Roman"/>
          <w:sz w:val="28"/>
          <w:szCs w:val="28"/>
        </w:rPr>
        <w:t>2013 г. № 175 «О ежемесячных выплатах лицам,</w:t>
      </w:r>
      <w:r>
        <w:rPr>
          <w:rFonts w:ascii="Times New Roman" w:hAnsi="Times New Roman" w:cs="Times New Roman"/>
          <w:sz w:val="28"/>
          <w:szCs w:val="28"/>
        </w:rPr>
        <w:t xml:space="preserve"> осуществляющим уход </w:t>
      </w:r>
      <w:r w:rsidR="007D7D66">
        <w:rPr>
          <w:rFonts w:ascii="Times New Roman" w:hAnsi="Times New Roman" w:cs="Times New Roman"/>
          <w:sz w:val="28"/>
          <w:szCs w:val="28"/>
        </w:rPr>
        <w:br/>
      </w:r>
      <w:r>
        <w:rPr>
          <w:rFonts w:ascii="Times New Roman" w:hAnsi="Times New Roman" w:cs="Times New Roman"/>
          <w:sz w:val="28"/>
          <w:szCs w:val="28"/>
        </w:rPr>
        <w:t>за детьми-</w:t>
      </w:r>
      <w:r w:rsidRPr="006153EB">
        <w:rPr>
          <w:rFonts w:ascii="Times New Roman" w:hAnsi="Times New Roman" w:cs="Times New Roman"/>
          <w:sz w:val="28"/>
          <w:szCs w:val="28"/>
        </w:rPr>
        <w:t>инвалидами и инвалидами с детства I групп</w:t>
      </w:r>
      <w:r>
        <w:rPr>
          <w:rFonts w:ascii="Times New Roman" w:hAnsi="Times New Roman" w:cs="Times New Roman"/>
          <w:sz w:val="28"/>
          <w:szCs w:val="28"/>
        </w:rPr>
        <w:t>ы» в отношении каждого ребенка</w:t>
      </w:r>
      <w:r w:rsidR="003B77D7">
        <w:rPr>
          <w:rFonts w:ascii="Times New Roman" w:hAnsi="Times New Roman" w:cs="Times New Roman"/>
          <w:sz w:val="28"/>
          <w:szCs w:val="28"/>
        </w:rPr>
        <w:t xml:space="preserve"> с инвалидностью</w:t>
      </w:r>
      <w:r w:rsidRPr="006153EB">
        <w:rPr>
          <w:rFonts w:ascii="Times New Roman" w:hAnsi="Times New Roman" w:cs="Times New Roman"/>
          <w:sz w:val="28"/>
          <w:szCs w:val="28"/>
        </w:rPr>
        <w:t xml:space="preserve"> или </w:t>
      </w:r>
      <w:r w:rsidR="003B77D7">
        <w:rPr>
          <w:rFonts w:ascii="Times New Roman" w:hAnsi="Times New Roman" w:cs="Times New Roman"/>
          <w:sz w:val="28"/>
          <w:szCs w:val="28"/>
        </w:rPr>
        <w:t>инвалидностью</w:t>
      </w:r>
      <w:r w:rsidR="003B77D7" w:rsidRPr="006153EB">
        <w:rPr>
          <w:rFonts w:ascii="Times New Roman" w:hAnsi="Times New Roman" w:cs="Times New Roman"/>
          <w:sz w:val="28"/>
          <w:szCs w:val="28"/>
        </w:rPr>
        <w:t xml:space="preserve"> </w:t>
      </w:r>
      <w:r w:rsidRPr="006153EB">
        <w:rPr>
          <w:rFonts w:ascii="Times New Roman" w:hAnsi="Times New Roman" w:cs="Times New Roman"/>
          <w:sz w:val="28"/>
          <w:szCs w:val="28"/>
        </w:rPr>
        <w:t>с детства I группы к уст</w:t>
      </w:r>
      <w:r>
        <w:rPr>
          <w:rFonts w:ascii="Times New Roman" w:hAnsi="Times New Roman" w:cs="Times New Roman"/>
          <w:sz w:val="28"/>
          <w:szCs w:val="28"/>
        </w:rPr>
        <w:t>ановленной ребенку</w:t>
      </w:r>
      <w:r w:rsidR="003B77D7">
        <w:rPr>
          <w:rFonts w:ascii="Times New Roman" w:hAnsi="Times New Roman" w:cs="Times New Roman"/>
          <w:sz w:val="28"/>
          <w:szCs w:val="28"/>
        </w:rPr>
        <w:t xml:space="preserve"> с инвалидностью</w:t>
      </w:r>
      <w:r>
        <w:rPr>
          <w:rFonts w:ascii="Times New Roman" w:hAnsi="Times New Roman" w:cs="Times New Roman"/>
          <w:sz w:val="28"/>
          <w:szCs w:val="28"/>
        </w:rPr>
        <w:t xml:space="preserve"> или </w:t>
      </w:r>
      <w:r w:rsidRPr="006153EB">
        <w:rPr>
          <w:rFonts w:ascii="Times New Roman" w:hAnsi="Times New Roman" w:cs="Times New Roman"/>
          <w:sz w:val="28"/>
          <w:szCs w:val="28"/>
        </w:rPr>
        <w:t>инвалиду с детства I группы пенсии на пе</w:t>
      </w:r>
      <w:r>
        <w:rPr>
          <w:rFonts w:ascii="Times New Roman" w:hAnsi="Times New Roman" w:cs="Times New Roman"/>
          <w:sz w:val="28"/>
          <w:szCs w:val="28"/>
        </w:rPr>
        <w:t xml:space="preserve">риод осуществления ухода за ним </w:t>
      </w:r>
      <w:r w:rsidRPr="006153EB">
        <w:rPr>
          <w:rFonts w:ascii="Times New Roman" w:hAnsi="Times New Roman" w:cs="Times New Roman"/>
          <w:sz w:val="28"/>
          <w:szCs w:val="28"/>
        </w:rPr>
        <w:t>производятся ежемесячные выплаты одному неработающему трудоспособному лицу.</w:t>
      </w:r>
    </w:p>
    <w:p w14:paraId="3D2EC69C" w14:textId="6E7F15D9" w:rsidR="006153EB" w:rsidRPr="006153EB" w:rsidRDefault="006153EB" w:rsidP="006153EB">
      <w:pPr>
        <w:autoSpaceDE w:val="0"/>
        <w:autoSpaceDN w:val="0"/>
        <w:adjustRightInd w:val="0"/>
        <w:spacing w:after="0" w:line="312" w:lineRule="auto"/>
        <w:ind w:firstLine="709"/>
        <w:jc w:val="both"/>
        <w:rPr>
          <w:rFonts w:ascii="Times New Roman" w:hAnsi="Times New Roman" w:cs="Times New Roman"/>
          <w:sz w:val="28"/>
          <w:szCs w:val="28"/>
        </w:rPr>
      </w:pPr>
      <w:r w:rsidRPr="006153EB">
        <w:rPr>
          <w:rFonts w:ascii="Times New Roman" w:hAnsi="Times New Roman" w:cs="Times New Roman"/>
          <w:sz w:val="28"/>
          <w:szCs w:val="28"/>
        </w:rPr>
        <w:t>Размер ежемесячных выплат родителю (усынови</w:t>
      </w:r>
      <w:r>
        <w:rPr>
          <w:rFonts w:ascii="Times New Roman" w:hAnsi="Times New Roman" w:cs="Times New Roman"/>
          <w:sz w:val="28"/>
          <w:szCs w:val="28"/>
        </w:rPr>
        <w:t xml:space="preserve">телю) или опекуну (попечителю), </w:t>
      </w:r>
      <w:r w:rsidRPr="006153EB">
        <w:rPr>
          <w:rFonts w:ascii="Times New Roman" w:hAnsi="Times New Roman" w:cs="Times New Roman"/>
          <w:sz w:val="28"/>
          <w:szCs w:val="28"/>
        </w:rPr>
        <w:t>осуществляющим уход за ребенком</w:t>
      </w:r>
      <w:r w:rsidR="00DD3C75">
        <w:rPr>
          <w:rFonts w:ascii="Times New Roman" w:hAnsi="Times New Roman" w:cs="Times New Roman"/>
          <w:sz w:val="28"/>
          <w:szCs w:val="28"/>
        </w:rPr>
        <w:t xml:space="preserve"> с инвалидностью</w:t>
      </w:r>
      <w:r w:rsidRPr="006153EB">
        <w:rPr>
          <w:rFonts w:ascii="Times New Roman" w:hAnsi="Times New Roman" w:cs="Times New Roman"/>
          <w:sz w:val="28"/>
          <w:szCs w:val="28"/>
        </w:rPr>
        <w:t xml:space="preserve"> в</w:t>
      </w:r>
      <w:r>
        <w:rPr>
          <w:rFonts w:ascii="Times New Roman" w:hAnsi="Times New Roman" w:cs="Times New Roman"/>
          <w:sz w:val="28"/>
          <w:szCs w:val="28"/>
        </w:rPr>
        <w:t xml:space="preserve"> возрасте до 18 лет, составляет </w:t>
      </w:r>
      <w:r w:rsidRPr="006153EB">
        <w:rPr>
          <w:rFonts w:ascii="Times New Roman" w:hAnsi="Times New Roman" w:cs="Times New Roman"/>
          <w:sz w:val="28"/>
          <w:szCs w:val="28"/>
        </w:rPr>
        <w:t>10 000 рублей, другим лицам – 1 200 рублей.</w:t>
      </w:r>
    </w:p>
    <w:p w14:paraId="46863313" w14:textId="77777777" w:rsidR="006153EB" w:rsidRPr="006153EB" w:rsidRDefault="006153EB" w:rsidP="006153EB">
      <w:pPr>
        <w:autoSpaceDE w:val="0"/>
        <w:autoSpaceDN w:val="0"/>
        <w:adjustRightInd w:val="0"/>
        <w:spacing w:after="0" w:line="312" w:lineRule="auto"/>
        <w:ind w:firstLine="709"/>
        <w:jc w:val="both"/>
        <w:rPr>
          <w:rFonts w:ascii="Times New Roman" w:hAnsi="Times New Roman" w:cs="Times New Roman"/>
          <w:sz w:val="28"/>
          <w:szCs w:val="28"/>
        </w:rPr>
      </w:pPr>
      <w:r w:rsidRPr="006153EB">
        <w:rPr>
          <w:rFonts w:ascii="Times New Roman" w:hAnsi="Times New Roman" w:cs="Times New Roman"/>
          <w:sz w:val="28"/>
          <w:szCs w:val="28"/>
        </w:rPr>
        <w:t>Размер ежемесячных выплат для граждан,</w:t>
      </w:r>
      <w:r>
        <w:rPr>
          <w:rFonts w:ascii="Times New Roman" w:hAnsi="Times New Roman" w:cs="Times New Roman"/>
          <w:sz w:val="28"/>
          <w:szCs w:val="28"/>
        </w:rPr>
        <w:t xml:space="preserve"> проживающих в районах Крайнего </w:t>
      </w:r>
      <w:r w:rsidRPr="006153EB">
        <w:rPr>
          <w:rFonts w:ascii="Times New Roman" w:hAnsi="Times New Roman" w:cs="Times New Roman"/>
          <w:sz w:val="28"/>
          <w:szCs w:val="28"/>
        </w:rPr>
        <w:t>Севера и приравненных к ним местностях, в ра</w:t>
      </w:r>
      <w:r>
        <w:rPr>
          <w:rFonts w:ascii="Times New Roman" w:hAnsi="Times New Roman" w:cs="Times New Roman"/>
          <w:sz w:val="28"/>
          <w:szCs w:val="28"/>
        </w:rPr>
        <w:t xml:space="preserve">йонах с тяжелыми климатическими </w:t>
      </w:r>
      <w:r w:rsidRPr="006153EB">
        <w:rPr>
          <w:rFonts w:ascii="Times New Roman" w:hAnsi="Times New Roman" w:cs="Times New Roman"/>
          <w:sz w:val="28"/>
          <w:szCs w:val="28"/>
        </w:rPr>
        <w:t>условиями, требующих дополнительных матери</w:t>
      </w:r>
      <w:r>
        <w:rPr>
          <w:rFonts w:ascii="Times New Roman" w:hAnsi="Times New Roman" w:cs="Times New Roman"/>
          <w:sz w:val="28"/>
          <w:szCs w:val="28"/>
        </w:rPr>
        <w:t xml:space="preserve">альных и физиологических затрат </w:t>
      </w:r>
      <w:r w:rsidRPr="006153EB">
        <w:rPr>
          <w:rFonts w:ascii="Times New Roman" w:hAnsi="Times New Roman" w:cs="Times New Roman"/>
          <w:sz w:val="28"/>
          <w:szCs w:val="28"/>
        </w:rPr>
        <w:t>проживающих там граждан, увеличивается на соответствующий районн</w:t>
      </w:r>
      <w:r>
        <w:rPr>
          <w:rFonts w:ascii="Times New Roman" w:hAnsi="Times New Roman" w:cs="Times New Roman"/>
          <w:sz w:val="28"/>
          <w:szCs w:val="28"/>
        </w:rPr>
        <w:t xml:space="preserve">ый </w:t>
      </w:r>
      <w:r w:rsidRPr="006153EB">
        <w:rPr>
          <w:rFonts w:ascii="Times New Roman" w:hAnsi="Times New Roman" w:cs="Times New Roman"/>
          <w:sz w:val="28"/>
          <w:szCs w:val="28"/>
        </w:rPr>
        <w:t>коэффициент.</w:t>
      </w:r>
    </w:p>
    <w:p w14:paraId="25624907" w14:textId="7C251302" w:rsidR="006153EB" w:rsidRPr="006153EB" w:rsidRDefault="006153EB" w:rsidP="006153EB">
      <w:pPr>
        <w:autoSpaceDE w:val="0"/>
        <w:autoSpaceDN w:val="0"/>
        <w:adjustRightInd w:val="0"/>
        <w:spacing w:after="0" w:line="312" w:lineRule="auto"/>
        <w:ind w:firstLine="709"/>
        <w:jc w:val="both"/>
        <w:rPr>
          <w:rFonts w:ascii="Times New Roman" w:hAnsi="Times New Roman" w:cs="Times New Roman"/>
          <w:sz w:val="28"/>
          <w:szCs w:val="28"/>
        </w:rPr>
      </w:pPr>
      <w:r w:rsidRPr="006153EB">
        <w:rPr>
          <w:rFonts w:ascii="Times New Roman" w:hAnsi="Times New Roman" w:cs="Times New Roman"/>
          <w:sz w:val="28"/>
          <w:szCs w:val="28"/>
        </w:rPr>
        <w:t>Дети</w:t>
      </w:r>
      <w:r w:rsidR="00DD3C75">
        <w:rPr>
          <w:rFonts w:ascii="Times New Roman" w:hAnsi="Times New Roman" w:cs="Times New Roman"/>
          <w:sz w:val="28"/>
          <w:szCs w:val="28"/>
        </w:rPr>
        <w:t xml:space="preserve"> с инвалидностью</w:t>
      </w:r>
      <w:r w:rsidRPr="006153EB">
        <w:rPr>
          <w:rFonts w:ascii="Times New Roman" w:hAnsi="Times New Roman" w:cs="Times New Roman"/>
          <w:sz w:val="28"/>
          <w:szCs w:val="28"/>
        </w:rPr>
        <w:t>, получающие социальную п</w:t>
      </w:r>
      <w:r>
        <w:rPr>
          <w:rFonts w:ascii="Times New Roman" w:hAnsi="Times New Roman" w:cs="Times New Roman"/>
          <w:sz w:val="28"/>
          <w:szCs w:val="28"/>
        </w:rPr>
        <w:t xml:space="preserve">енсию и дети, получающие пенсию </w:t>
      </w:r>
      <w:r w:rsidRPr="006153EB">
        <w:rPr>
          <w:rFonts w:ascii="Times New Roman" w:hAnsi="Times New Roman" w:cs="Times New Roman"/>
          <w:sz w:val="28"/>
          <w:szCs w:val="28"/>
        </w:rPr>
        <w:t>по случаю потери кормильца, в случае если сум</w:t>
      </w:r>
      <w:r>
        <w:rPr>
          <w:rFonts w:ascii="Times New Roman" w:hAnsi="Times New Roman" w:cs="Times New Roman"/>
          <w:sz w:val="28"/>
          <w:szCs w:val="28"/>
        </w:rPr>
        <w:t xml:space="preserve">ма их материального обеспечения </w:t>
      </w:r>
      <w:r w:rsidRPr="006153EB">
        <w:rPr>
          <w:rFonts w:ascii="Times New Roman" w:hAnsi="Times New Roman" w:cs="Times New Roman"/>
          <w:sz w:val="28"/>
          <w:szCs w:val="28"/>
        </w:rPr>
        <w:t>ниже величины прожиточного минимума пенсио</w:t>
      </w:r>
      <w:r>
        <w:rPr>
          <w:rFonts w:ascii="Times New Roman" w:hAnsi="Times New Roman" w:cs="Times New Roman"/>
          <w:sz w:val="28"/>
          <w:szCs w:val="28"/>
        </w:rPr>
        <w:t xml:space="preserve">нера, установленного в субъекте </w:t>
      </w:r>
      <w:r w:rsidRPr="006153EB">
        <w:rPr>
          <w:rFonts w:ascii="Times New Roman" w:hAnsi="Times New Roman" w:cs="Times New Roman"/>
          <w:sz w:val="28"/>
          <w:szCs w:val="28"/>
        </w:rPr>
        <w:t xml:space="preserve">Российской Федерации по месту их жительства </w:t>
      </w:r>
      <w:r>
        <w:rPr>
          <w:rFonts w:ascii="Times New Roman" w:hAnsi="Times New Roman" w:cs="Times New Roman"/>
          <w:sz w:val="28"/>
          <w:szCs w:val="28"/>
        </w:rPr>
        <w:t xml:space="preserve">(пребывания), в соответствии со </w:t>
      </w:r>
      <w:r w:rsidRPr="006153EB">
        <w:rPr>
          <w:rFonts w:ascii="Times New Roman" w:hAnsi="Times New Roman" w:cs="Times New Roman"/>
          <w:sz w:val="28"/>
          <w:szCs w:val="28"/>
        </w:rPr>
        <w:t>статьей 12</w:t>
      </w:r>
      <w:r w:rsidR="00972929">
        <w:rPr>
          <w:rFonts w:ascii="Times New Roman" w:hAnsi="Times New Roman" w:cs="Times New Roman"/>
          <w:sz w:val="28"/>
          <w:szCs w:val="28"/>
        </w:rPr>
        <w:t>.</w:t>
      </w:r>
      <w:r w:rsidRPr="00972929">
        <w:rPr>
          <w:rFonts w:ascii="Times New Roman" w:hAnsi="Times New Roman" w:cs="Times New Roman"/>
          <w:sz w:val="28"/>
          <w:szCs w:val="28"/>
        </w:rPr>
        <w:t>1</w:t>
      </w:r>
      <w:r w:rsidRPr="006153EB">
        <w:rPr>
          <w:rFonts w:ascii="Times New Roman" w:hAnsi="Times New Roman" w:cs="Times New Roman"/>
          <w:sz w:val="28"/>
          <w:szCs w:val="28"/>
        </w:rPr>
        <w:t xml:space="preserve"> Федерального закона от 17 июля 1999</w:t>
      </w:r>
      <w:r>
        <w:rPr>
          <w:rFonts w:ascii="Times New Roman" w:hAnsi="Times New Roman" w:cs="Times New Roman"/>
          <w:sz w:val="28"/>
          <w:szCs w:val="28"/>
        </w:rPr>
        <w:t xml:space="preserve"> г. № 178-ФЗ </w:t>
      </w:r>
      <w:r>
        <w:rPr>
          <w:rFonts w:ascii="Times New Roman" w:hAnsi="Times New Roman" w:cs="Times New Roman"/>
          <w:sz w:val="28"/>
          <w:szCs w:val="28"/>
        </w:rPr>
        <w:br/>
        <w:t xml:space="preserve">«О государственной </w:t>
      </w:r>
      <w:r w:rsidRPr="006153EB">
        <w:rPr>
          <w:rFonts w:ascii="Times New Roman" w:hAnsi="Times New Roman" w:cs="Times New Roman"/>
          <w:sz w:val="28"/>
          <w:szCs w:val="28"/>
        </w:rPr>
        <w:t>социальной помощи», имеют право на социальную доплату к пенсии.</w:t>
      </w:r>
    </w:p>
    <w:p w14:paraId="46986550" w14:textId="77777777" w:rsidR="006153EB" w:rsidRPr="006153EB" w:rsidRDefault="006153EB" w:rsidP="006153EB">
      <w:pPr>
        <w:autoSpaceDE w:val="0"/>
        <w:autoSpaceDN w:val="0"/>
        <w:adjustRightInd w:val="0"/>
        <w:spacing w:after="0" w:line="312" w:lineRule="auto"/>
        <w:ind w:firstLine="709"/>
        <w:jc w:val="both"/>
        <w:rPr>
          <w:rFonts w:ascii="Times New Roman" w:hAnsi="Times New Roman" w:cs="Times New Roman"/>
          <w:sz w:val="28"/>
          <w:szCs w:val="28"/>
        </w:rPr>
      </w:pPr>
      <w:r w:rsidRPr="006153EB">
        <w:rPr>
          <w:rFonts w:ascii="Times New Roman" w:hAnsi="Times New Roman" w:cs="Times New Roman"/>
          <w:sz w:val="28"/>
          <w:szCs w:val="28"/>
        </w:rPr>
        <w:t>Социальная доплата к пенсии является одной из форм государственной</w:t>
      </w:r>
      <w:r>
        <w:rPr>
          <w:rFonts w:ascii="Times New Roman" w:hAnsi="Times New Roman" w:cs="Times New Roman"/>
          <w:sz w:val="28"/>
          <w:szCs w:val="28"/>
        </w:rPr>
        <w:t xml:space="preserve"> </w:t>
      </w:r>
      <w:r w:rsidRPr="006153EB">
        <w:rPr>
          <w:rFonts w:ascii="Times New Roman" w:hAnsi="Times New Roman" w:cs="Times New Roman"/>
          <w:sz w:val="28"/>
          <w:szCs w:val="28"/>
        </w:rPr>
        <w:t>социальной помощи, устанавливаемой Федерал</w:t>
      </w:r>
      <w:r>
        <w:rPr>
          <w:rFonts w:ascii="Times New Roman" w:hAnsi="Times New Roman" w:cs="Times New Roman"/>
          <w:sz w:val="28"/>
          <w:szCs w:val="28"/>
        </w:rPr>
        <w:t xml:space="preserve">ьным законом от 17 июля 1999 г. </w:t>
      </w:r>
      <w:r>
        <w:rPr>
          <w:rFonts w:ascii="Times New Roman" w:hAnsi="Times New Roman" w:cs="Times New Roman"/>
          <w:sz w:val="28"/>
          <w:szCs w:val="28"/>
        </w:rPr>
        <w:br/>
      </w:r>
      <w:r w:rsidRPr="006153EB">
        <w:rPr>
          <w:rFonts w:ascii="Times New Roman" w:hAnsi="Times New Roman" w:cs="Times New Roman"/>
          <w:sz w:val="28"/>
          <w:szCs w:val="28"/>
        </w:rPr>
        <w:t>№ 178-ФЗ «О государственной социальной помощи</w:t>
      </w:r>
      <w:r>
        <w:rPr>
          <w:rFonts w:ascii="Times New Roman" w:hAnsi="Times New Roman" w:cs="Times New Roman"/>
          <w:sz w:val="28"/>
          <w:szCs w:val="28"/>
        </w:rPr>
        <w:t xml:space="preserve">» (далее – Федеральный закон </w:t>
      </w:r>
      <w:r w:rsidR="00CB59DF">
        <w:rPr>
          <w:rFonts w:ascii="Times New Roman" w:hAnsi="Times New Roman" w:cs="Times New Roman"/>
          <w:sz w:val="28"/>
          <w:szCs w:val="28"/>
        </w:rPr>
        <w:br/>
      </w:r>
      <w:r w:rsidR="00FF4562">
        <w:rPr>
          <w:rFonts w:ascii="Times New Roman" w:hAnsi="Times New Roman" w:cs="Times New Roman"/>
          <w:sz w:val="28"/>
          <w:szCs w:val="28"/>
        </w:rPr>
        <w:t>от 17 июля 1999 г. № 178-ФЗ</w:t>
      </w:r>
      <w:r w:rsidRPr="006153EB">
        <w:rPr>
          <w:rFonts w:ascii="Times New Roman" w:hAnsi="Times New Roman" w:cs="Times New Roman"/>
          <w:sz w:val="28"/>
          <w:szCs w:val="28"/>
        </w:rPr>
        <w:t xml:space="preserve">), которая </w:t>
      </w:r>
      <w:r>
        <w:rPr>
          <w:rFonts w:ascii="Times New Roman" w:hAnsi="Times New Roman" w:cs="Times New Roman"/>
          <w:sz w:val="28"/>
          <w:szCs w:val="28"/>
        </w:rPr>
        <w:t xml:space="preserve">оказывается в целях поддержания </w:t>
      </w:r>
      <w:r w:rsidRPr="006153EB">
        <w:rPr>
          <w:rFonts w:ascii="Times New Roman" w:hAnsi="Times New Roman" w:cs="Times New Roman"/>
          <w:sz w:val="28"/>
          <w:szCs w:val="28"/>
        </w:rPr>
        <w:t>уровня жизни малоимущих семей и малоимущ</w:t>
      </w:r>
      <w:r>
        <w:rPr>
          <w:rFonts w:ascii="Times New Roman" w:hAnsi="Times New Roman" w:cs="Times New Roman"/>
          <w:sz w:val="28"/>
          <w:szCs w:val="28"/>
        </w:rPr>
        <w:t xml:space="preserve">их одиноко проживающих граждан, </w:t>
      </w:r>
      <w:r w:rsidRPr="006153EB">
        <w:rPr>
          <w:rFonts w:ascii="Times New Roman" w:hAnsi="Times New Roman" w:cs="Times New Roman"/>
          <w:sz w:val="28"/>
          <w:szCs w:val="28"/>
        </w:rPr>
        <w:t xml:space="preserve">среднедушевой доход которых ниже </w:t>
      </w:r>
      <w:r>
        <w:rPr>
          <w:rFonts w:ascii="Times New Roman" w:hAnsi="Times New Roman" w:cs="Times New Roman"/>
          <w:sz w:val="28"/>
          <w:szCs w:val="28"/>
        </w:rPr>
        <w:t xml:space="preserve">величины прожиточного минимума, </w:t>
      </w:r>
      <w:r w:rsidRPr="006153EB">
        <w:rPr>
          <w:rFonts w:ascii="Times New Roman" w:hAnsi="Times New Roman" w:cs="Times New Roman"/>
          <w:sz w:val="28"/>
          <w:szCs w:val="28"/>
        </w:rPr>
        <w:t>установленного в субъекте Российской Федерации.</w:t>
      </w:r>
    </w:p>
    <w:p w14:paraId="5F738ABF" w14:textId="77777777" w:rsidR="009F01C0" w:rsidRDefault="006153EB" w:rsidP="006153EB">
      <w:pPr>
        <w:autoSpaceDE w:val="0"/>
        <w:autoSpaceDN w:val="0"/>
        <w:adjustRightInd w:val="0"/>
        <w:spacing w:after="0" w:line="312" w:lineRule="auto"/>
        <w:ind w:firstLine="709"/>
        <w:jc w:val="both"/>
        <w:rPr>
          <w:rFonts w:ascii="Times New Roman" w:hAnsi="Times New Roman" w:cs="Times New Roman"/>
          <w:sz w:val="28"/>
          <w:szCs w:val="28"/>
        </w:rPr>
      </w:pPr>
      <w:r w:rsidRPr="006153EB">
        <w:rPr>
          <w:rFonts w:ascii="Times New Roman" w:hAnsi="Times New Roman" w:cs="Times New Roman"/>
          <w:sz w:val="28"/>
          <w:szCs w:val="28"/>
        </w:rPr>
        <w:t xml:space="preserve">Социальная доплата к пенсии может быть </w:t>
      </w:r>
      <w:r>
        <w:rPr>
          <w:rFonts w:ascii="Times New Roman" w:hAnsi="Times New Roman" w:cs="Times New Roman"/>
          <w:sz w:val="28"/>
          <w:szCs w:val="28"/>
        </w:rPr>
        <w:t xml:space="preserve">федеральной социальной доплатой </w:t>
      </w:r>
      <w:r w:rsidRPr="006153EB">
        <w:rPr>
          <w:rFonts w:ascii="Times New Roman" w:hAnsi="Times New Roman" w:cs="Times New Roman"/>
          <w:sz w:val="28"/>
          <w:szCs w:val="28"/>
        </w:rPr>
        <w:t>(ФСД), которая устанавливается пенси</w:t>
      </w:r>
      <w:r>
        <w:rPr>
          <w:rFonts w:ascii="Times New Roman" w:hAnsi="Times New Roman" w:cs="Times New Roman"/>
          <w:sz w:val="28"/>
          <w:szCs w:val="28"/>
        </w:rPr>
        <w:t xml:space="preserve">онеру территориальными органами </w:t>
      </w:r>
      <w:r w:rsidR="007F54F9">
        <w:rPr>
          <w:rFonts w:ascii="Times New Roman" w:hAnsi="Times New Roman" w:cs="Times New Roman"/>
          <w:sz w:val="28"/>
          <w:szCs w:val="28"/>
        </w:rPr>
        <w:t>ПФР</w:t>
      </w:r>
      <w:r>
        <w:rPr>
          <w:rFonts w:ascii="Times New Roman" w:hAnsi="Times New Roman" w:cs="Times New Roman"/>
          <w:sz w:val="28"/>
          <w:szCs w:val="28"/>
        </w:rPr>
        <w:t xml:space="preserve"> в случае, если общая сумма его </w:t>
      </w:r>
      <w:r w:rsidRPr="006153EB">
        <w:rPr>
          <w:rFonts w:ascii="Times New Roman" w:hAnsi="Times New Roman" w:cs="Times New Roman"/>
          <w:sz w:val="28"/>
          <w:szCs w:val="28"/>
        </w:rPr>
        <w:t>материального обеспечения не достигает</w:t>
      </w:r>
      <w:r>
        <w:rPr>
          <w:rFonts w:ascii="Times New Roman" w:hAnsi="Times New Roman" w:cs="Times New Roman"/>
          <w:sz w:val="28"/>
          <w:szCs w:val="28"/>
        </w:rPr>
        <w:t xml:space="preserve"> величины прожиточного минимума </w:t>
      </w:r>
      <w:r w:rsidRPr="006153EB">
        <w:rPr>
          <w:rFonts w:ascii="Times New Roman" w:hAnsi="Times New Roman" w:cs="Times New Roman"/>
          <w:sz w:val="28"/>
          <w:szCs w:val="28"/>
        </w:rPr>
        <w:t>пенсионера, установленной в субъекте Российской Федерации по мест</w:t>
      </w:r>
      <w:r>
        <w:rPr>
          <w:rFonts w:ascii="Times New Roman" w:hAnsi="Times New Roman" w:cs="Times New Roman"/>
          <w:sz w:val="28"/>
          <w:szCs w:val="28"/>
        </w:rPr>
        <w:t xml:space="preserve">у его </w:t>
      </w:r>
      <w:r w:rsidRPr="006153EB">
        <w:rPr>
          <w:rFonts w:ascii="Times New Roman" w:hAnsi="Times New Roman" w:cs="Times New Roman"/>
          <w:sz w:val="28"/>
          <w:szCs w:val="28"/>
        </w:rPr>
        <w:t>жительства или месту его пребывания и не пр</w:t>
      </w:r>
      <w:r>
        <w:rPr>
          <w:rFonts w:ascii="Times New Roman" w:hAnsi="Times New Roman" w:cs="Times New Roman"/>
          <w:sz w:val="28"/>
          <w:szCs w:val="28"/>
        </w:rPr>
        <w:t xml:space="preserve">евышающей величину прожиточного </w:t>
      </w:r>
      <w:r w:rsidRPr="006153EB">
        <w:rPr>
          <w:rFonts w:ascii="Times New Roman" w:hAnsi="Times New Roman" w:cs="Times New Roman"/>
          <w:sz w:val="28"/>
          <w:szCs w:val="28"/>
        </w:rPr>
        <w:t>минимума пенсионера в целом по Российской Фе</w:t>
      </w:r>
      <w:r>
        <w:rPr>
          <w:rFonts w:ascii="Times New Roman" w:hAnsi="Times New Roman" w:cs="Times New Roman"/>
          <w:sz w:val="28"/>
          <w:szCs w:val="28"/>
        </w:rPr>
        <w:t xml:space="preserve">дерации или региональной (РСД), </w:t>
      </w:r>
      <w:r w:rsidRPr="006153EB">
        <w:rPr>
          <w:rFonts w:ascii="Times New Roman" w:hAnsi="Times New Roman" w:cs="Times New Roman"/>
          <w:sz w:val="28"/>
          <w:szCs w:val="28"/>
        </w:rPr>
        <w:t>которая устанавливается пенсионеру уполно</w:t>
      </w:r>
      <w:r>
        <w:rPr>
          <w:rFonts w:ascii="Times New Roman" w:hAnsi="Times New Roman" w:cs="Times New Roman"/>
          <w:sz w:val="28"/>
          <w:szCs w:val="28"/>
        </w:rPr>
        <w:t xml:space="preserve">моченным органом исполнительной </w:t>
      </w:r>
      <w:r w:rsidRPr="006153EB">
        <w:rPr>
          <w:rFonts w:ascii="Times New Roman" w:hAnsi="Times New Roman" w:cs="Times New Roman"/>
          <w:sz w:val="28"/>
          <w:szCs w:val="28"/>
        </w:rPr>
        <w:t>власти субъекта Российской Федерации</w:t>
      </w:r>
      <w:r>
        <w:rPr>
          <w:rFonts w:ascii="Times New Roman" w:hAnsi="Times New Roman" w:cs="Times New Roman"/>
          <w:sz w:val="28"/>
          <w:szCs w:val="28"/>
        </w:rPr>
        <w:t xml:space="preserve"> в случае, если общая сумма его </w:t>
      </w:r>
      <w:r w:rsidRPr="006153EB">
        <w:rPr>
          <w:rFonts w:ascii="Times New Roman" w:hAnsi="Times New Roman" w:cs="Times New Roman"/>
          <w:sz w:val="28"/>
          <w:szCs w:val="28"/>
        </w:rPr>
        <w:t>материального обеспечения не достигает</w:t>
      </w:r>
      <w:r>
        <w:rPr>
          <w:rFonts w:ascii="Times New Roman" w:hAnsi="Times New Roman" w:cs="Times New Roman"/>
          <w:sz w:val="28"/>
          <w:szCs w:val="28"/>
        </w:rPr>
        <w:t xml:space="preserve"> величины прожиточного минимума </w:t>
      </w:r>
      <w:r w:rsidRPr="006153EB">
        <w:rPr>
          <w:rFonts w:ascii="Times New Roman" w:hAnsi="Times New Roman" w:cs="Times New Roman"/>
          <w:sz w:val="28"/>
          <w:szCs w:val="28"/>
        </w:rPr>
        <w:t>пенсионера, установленной в субъекте Ро</w:t>
      </w:r>
      <w:r>
        <w:rPr>
          <w:rFonts w:ascii="Times New Roman" w:hAnsi="Times New Roman" w:cs="Times New Roman"/>
          <w:sz w:val="28"/>
          <w:szCs w:val="28"/>
        </w:rPr>
        <w:t xml:space="preserve">ссийской Федерации по месту его </w:t>
      </w:r>
      <w:r w:rsidRPr="006153EB">
        <w:rPr>
          <w:rFonts w:ascii="Times New Roman" w:hAnsi="Times New Roman" w:cs="Times New Roman"/>
          <w:sz w:val="28"/>
          <w:szCs w:val="28"/>
        </w:rPr>
        <w:t>жительства или по месту его пребывания, превышающей величину прожиточного</w:t>
      </w:r>
      <w:r>
        <w:rPr>
          <w:rFonts w:ascii="Times New Roman" w:hAnsi="Times New Roman" w:cs="Times New Roman"/>
          <w:sz w:val="28"/>
          <w:szCs w:val="28"/>
        </w:rPr>
        <w:t xml:space="preserve"> </w:t>
      </w:r>
      <w:r w:rsidRPr="006153EB">
        <w:rPr>
          <w:rFonts w:ascii="Times New Roman" w:hAnsi="Times New Roman" w:cs="Times New Roman"/>
          <w:sz w:val="28"/>
          <w:szCs w:val="28"/>
        </w:rPr>
        <w:t>минимума пенсионера в целом по Российской Федерации.</w:t>
      </w:r>
    </w:p>
    <w:p w14:paraId="6E9EB5AC" w14:textId="35573F8B" w:rsidR="00EE3748" w:rsidRDefault="00EE3748" w:rsidP="006153EB">
      <w:pPr>
        <w:autoSpaceDE w:val="0"/>
        <w:autoSpaceDN w:val="0"/>
        <w:adjustRightInd w:val="0"/>
        <w:spacing w:after="0" w:line="312" w:lineRule="auto"/>
        <w:ind w:firstLine="709"/>
        <w:jc w:val="both"/>
        <w:rPr>
          <w:rFonts w:ascii="Times New Roman" w:hAnsi="Times New Roman" w:cs="Times New Roman"/>
          <w:sz w:val="28"/>
          <w:szCs w:val="28"/>
        </w:rPr>
      </w:pPr>
      <w:r w:rsidRPr="00FF4562">
        <w:rPr>
          <w:rFonts w:ascii="Times New Roman" w:hAnsi="Times New Roman" w:cs="Times New Roman"/>
          <w:sz w:val="28"/>
          <w:szCs w:val="28"/>
        </w:rPr>
        <w:t xml:space="preserve">В соответствии с Федеральным законом </w:t>
      </w:r>
      <w:r w:rsidR="00F17B41" w:rsidRPr="00FF4562">
        <w:rPr>
          <w:rFonts w:ascii="Times New Roman" w:hAnsi="Times New Roman" w:cs="Times New Roman"/>
          <w:sz w:val="28"/>
          <w:szCs w:val="28"/>
        </w:rPr>
        <w:t>от 24 ноября 1995 г. № 181-ФЗ</w:t>
      </w:r>
      <w:r w:rsidR="00FF4562" w:rsidRPr="00FF4562">
        <w:rPr>
          <w:rFonts w:ascii="Times New Roman" w:hAnsi="Times New Roman" w:cs="Times New Roman"/>
          <w:sz w:val="28"/>
          <w:szCs w:val="28"/>
        </w:rPr>
        <w:t xml:space="preserve"> </w:t>
      </w:r>
      <w:r w:rsidR="00FF4562">
        <w:rPr>
          <w:rFonts w:ascii="Times New Roman" w:hAnsi="Times New Roman" w:cs="Times New Roman"/>
          <w:sz w:val="28"/>
          <w:szCs w:val="28"/>
        </w:rPr>
        <w:br/>
        <w:t xml:space="preserve">«О социальной защите инвалидов в Российской Федерации» (далее – Федеральный закон от 24 ноября 1995 г. № 181-ФЗ) </w:t>
      </w:r>
      <w:r w:rsidR="007765EE">
        <w:rPr>
          <w:rFonts w:ascii="Times New Roman" w:hAnsi="Times New Roman" w:cs="Times New Roman"/>
          <w:sz w:val="28"/>
          <w:szCs w:val="28"/>
        </w:rPr>
        <w:t>дети</w:t>
      </w:r>
      <w:r w:rsidR="00DD3C75">
        <w:rPr>
          <w:rFonts w:ascii="Times New Roman" w:hAnsi="Times New Roman" w:cs="Times New Roman"/>
          <w:sz w:val="28"/>
          <w:szCs w:val="28"/>
        </w:rPr>
        <w:t xml:space="preserve"> с инвалидностью</w:t>
      </w:r>
      <w:r w:rsidR="007765EE">
        <w:rPr>
          <w:rFonts w:ascii="Times New Roman" w:hAnsi="Times New Roman" w:cs="Times New Roman"/>
          <w:sz w:val="28"/>
          <w:szCs w:val="28"/>
        </w:rPr>
        <w:t xml:space="preserve"> имеют право на ежемесячную </w:t>
      </w:r>
      <w:r w:rsidR="006C4B3C">
        <w:rPr>
          <w:rFonts w:ascii="Times New Roman" w:hAnsi="Times New Roman" w:cs="Times New Roman"/>
          <w:sz w:val="28"/>
          <w:szCs w:val="28"/>
        </w:rPr>
        <w:t xml:space="preserve">денежную </w:t>
      </w:r>
      <w:r w:rsidR="007765EE">
        <w:rPr>
          <w:rFonts w:ascii="Times New Roman" w:hAnsi="Times New Roman" w:cs="Times New Roman"/>
          <w:sz w:val="28"/>
          <w:szCs w:val="28"/>
        </w:rPr>
        <w:t>выплату (далее по тексту подраздела – ЕДВ), размер которой подлежит ежегодной индексации с 1 февраля на индекс потребительских цен за предыду</w:t>
      </w:r>
      <w:r w:rsidR="006C4B3C">
        <w:rPr>
          <w:rFonts w:ascii="Times New Roman" w:hAnsi="Times New Roman" w:cs="Times New Roman"/>
          <w:sz w:val="28"/>
          <w:szCs w:val="28"/>
        </w:rPr>
        <w:t xml:space="preserve">щий год. </w:t>
      </w:r>
      <w:r w:rsidR="007765EE">
        <w:rPr>
          <w:rFonts w:ascii="Times New Roman" w:hAnsi="Times New Roman" w:cs="Times New Roman"/>
          <w:sz w:val="28"/>
          <w:szCs w:val="28"/>
        </w:rPr>
        <w:t>С 1 февраля 2021 г</w:t>
      </w:r>
      <w:r w:rsidR="006D2135">
        <w:rPr>
          <w:rFonts w:ascii="Times New Roman" w:hAnsi="Times New Roman" w:cs="Times New Roman"/>
          <w:sz w:val="28"/>
          <w:szCs w:val="28"/>
        </w:rPr>
        <w:t>.</w:t>
      </w:r>
      <w:r w:rsidR="007765EE">
        <w:rPr>
          <w:rFonts w:ascii="Times New Roman" w:hAnsi="Times New Roman" w:cs="Times New Roman"/>
          <w:sz w:val="28"/>
          <w:szCs w:val="28"/>
        </w:rPr>
        <w:t xml:space="preserve"> полный размер ЕДВ был проиндексирован на 4,9% и составил 2 919,02 рублей. Часть суммы ЕДВ может направляться на финансирование набора социальных услуг, стоимость которого с учетом индексации составила 1 211,66 рублей.</w:t>
      </w:r>
    </w:p>
    <w:p w14:paraId="59AC8417" w14:textId="77777777" w:rsidR="007178AF" w:rsidRDefault="007178AF" w:rsidP="006153EB">
      <w:pPr>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детей-инвалидов санаторно-курортным лечением и бесплатным проездом к месту лечения и обратно осуществляется согласно Федеральному закону от 17 июля 1999 г. № 178-ФЗ.</w:t>
      </w:r>
    </w:p>
    <w:p w14:paraId="4A5442E4" w14:textId="77777777" w:rsidR="007178AF" w:rsidRDefault="007178AF" w:rsidP="006153EB">
      <w:pPr>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санаторно-курортной путевки ребенок-инвалид имеет право на вторую путевку и на бесплатный проезд на пригородном железнодорожном транспорте, а также на ме</w:t>
      </w:r>
      <w:r w:rsidR="00132AA4">
        <w:rPr>
          <w:rFonts w:ascii="Times New Roman" w:hAnsi="Times New Roman" w:cs="Times New Roman"/>
          <w:sz w:val="28"/>
          <w:szCs w:val="28"/>
        </w:rPr>
        <w:t>ждугородном транспорте к месту лечения и обратно для сопровождающего его лица.</w:t>
      </w:r>
    </w:p>
    <w:p w14:paraId="1D970B2F" w14:textId="6F2D8F3C" w:rsidR="007765EE" w:rsidRDefault="007765EE" w:rsidP="006153EB">
      <w:pPr>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Бесплатный проезд к месту лечения и обратно </w:t>
      </w:r>
      <w:r w:rsidR="00132AA4">
        <w:rPr>
          <w:rFonts w:ascii="Times New Roman" w:hAnsi="Times New Roman" w:cs="Times New Roman"/>
          <w:sz w:val="28"/>
          <w:szCs w:val="28"/>
        </w:rPr>
        <w:t>осуществляется различными видами транспорта: железнодорожным, автомобильным, водным и авиационным, при отсутствии железнодорожного сообщения либо при меньшей стоимости авиаперелета по сравнению со стоимостью проезда железнодорожным транспортом, либо при наличии у ребенка</w:t>
      </w:r>
      <w:r w:rsidR="003B77D7">
        <w:rPr>
          <w:rFonts w:ascii="Times New Roman" w:hAnsi="Times New Roman" w:cs="Times New Roman"/>
          <w:sz w:val="28"/>
          <w:szCs w:val="28"/>
        </w:rPr>
        <w:t xml:space="preserve"> с инвалидностью</w:t>
      </w:r>
      <w:r w:rsidR="00132AA4">
        <w:rPr>
          <w:rFonts w:ascii="Times New Roman" w:hAnsi="Times New Roman" w:cs="Times New Roman"/>
          <w:sz w:val="28"/>
          <w:szCs w:val="28"/>
        </w:rPr>
        <w:t>, заболевания или травмы спинного мозга.</w:t>
      </w:r>
    </w:p>
    <w:p w14:paraId="4694C232" w14:textId="41DCE589" w:rsidR="00837670" w:rsidRPr="00FF4562" w:rsidRDefault="00837670" w:rsidP="006153EB">
      <w:pPr>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2021 г</w:t>
      </w:r>
      <w:r w:rsidR="00DA342E">
        <w:rPr>
          <w:rFonts w:ascii="Times New Roman" w:hAnsi="Times New Roman" w:cs="Times New Roman"/>
          <w:sz w:val="28"/>
          <w:szCs w:val="28"/>
        </w:rPr>
        <w:t>.</w:t>
      </w:r>
      <w:r>
        <w:rPr>
          <w:rFonts w:ascii="Times New Roman" w:hAnsi="Times New Roman" w:cs="Times New Roman"/>
          <w:sz w:val="28"/>
          <w:szCs w:val="28"/>
        </w:rPr>
        <w:t xml:space="preserve"> в 83 субъектах Российской Федерации и г. Байконуре территориальными органами ФСС детям</w:t>
      </w:r>
      <w:r w:rsidR="00DD3C75">
        <w:rPr>
          <w:rFonts w:ascii="Times New Roman" w:hAnsi="Times New Roman" w:cs="Times New Roman"/>
          <w:sz w:val="28"/>
          <w:szCs w:val="28"/>
        </w:rPr>
        <w:t xml:space="preserve"> с инвалидностью</w:t>
      </w:r>
      <w:r>
        <w:rPr>
          <w:rFonts w:ascii="Times New Roman" w:hAnsi="Times New Roman" w:cs="Times New Roman"/>
          <w:sz w:val="28"/>
          <w:szCs w:val="28"/>
        </w:rPr>
        <w:t xml:space="preserve"> (с учетом сопровождающих лиц) предоставлено 32,2 тыс. путевок на санаторно-курортное лечение.</w:t>
      </w:r>
    </w:p>
    <w:p w14:paraId="53EAD3E0" w14:textId="77777777" w:rsidR="009F01C0" w:rsidRDefault="009F01C0" w:rsidP="009F01C0">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Государственная социальная помощь малоимущим семьям</w:t>
      </w:r>
    </w:p>
    <w:p w14:paraId="72CF1ECD" w14:textId="77777777" w:rsidR="009F01C0" w:rsidRPr="00F14714" w:rsidRDefault="009F01C0" w:rsidP="009F01C0">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F14714">
        <w:rPr>
          <w:rFonts w:ascii="Times New Roman" w:eastAsia="Times New Roman" w:hAnsi="Times New Roman" w:cs="Times New Roman"/>
          <w:sz w:val="28"/>
          <w:szCs w:val="28"/>
          <w:lang w:eastAsia="ru-RU"/>
        </w:rPr>
        <w:t>Указом Президента Российской Федерации от 21</w:t>
      </w:r>
      <w:r w:rsidR="001D064F" w:rsidRPr="00D03A4F">
        <w:rPr>
          <w:rFonts w:ascii="Times New Roman" w:eastAsia="Calibri" w:hAnsi="Times New Roman" w:cs="Times New Roman"/>
          <w:sz w:val="28"/>
          <w:szCs w:val="28"/>
        </w:rPr>
        <w:t> </w:t>
      </w:r>
      <w:r w:rsidRPr="00F14714">
        <w:rPr>
          <w:rFonts w:ascii="Times New Roman" w:eastAsia="Times New Roman" w:hAnsi="Times New Roman" w:cs="Times New Roman"/>
          <w:sz w:val="28"/>
          <w:szCs w:val="28"/>
          <w:lang w:eastAsia="ru-RU"/>
        </w:rPr>
        <w:t>июля 2020</w:t>
      </w:r>
      <w:r w:rsidR="001D064F" w:rsidRPr="00D03A4F">
        <w:rPr>
          <w:rFonts w:ascii="Times New Roman" w:eastAsia="Calibri" w:hAnsi="Times New Roman" w:cs="Times New Roman"/>
          <w:sz w:val="28"/>
          <w:szCs w:val="28"/>
        </w:rPr>
        <w:t> </w:t>
      </w:r>
      <w:r w:rsidRPr="00F14714">
        <w:rPr>
          <w:rFonts w:ascii="Times New Roman" w:eastAsia="Times New Roman" w:hAnsi="Times New Roman" w:cs="Times New Roman"/>
          <w:sz w:val="28"/>
          <w:szCs w:val="28"/>
          <w:lang w:eastAsia="ru-RU"/>
        </w:rPr>
        <w:t>г. №</w:t>
      </w:r>
      <w:r w:rsidR="001D064F" w:rsidRPr="00D03A4F">
        <w:rPr>
          <w:rFonts w:ascii="Times New Roman" w:eastAsia="Calibri" w:hAnsi="Times New Roman" w:cs="Times New Roman"/>
          <w:sz w:val="28"/>
          <w:szCs w:val="28"/>
        </w:rPr>
        <w:t> </w:t>
      </w:r>
      <w:r w:rsidRPr="00F14714">
        <w:rPr>
          <w:rFonts w:ascii="Times New Roman" w:eastAsia="Times New Roman" w:hAnsi="Times New Roman" w:cs="Times New Roman"/>
          <w:sz w:val="28"/>
          <w:szCs w:val="28"/>
          <w:lang w:eastAsia="ru-RU"/>
        </w:rPr>
        <w:t>474 Правительству Российской Федерации поручено обеспечить достижение национальных целей развития Российской Федерации на период до 2030</w:t>
      </w:r>
      <w:r w:rsidR="001D064F" w:rsidRPr="00D03A4F">
        <w:rPr>
          <w:rFonts w:ascii="Times New Roman" w:eastAsia="Calibri" w:hAnsi="Times New Roman" w:cs="Times New Roman"/>
          <w:sz w:val="28"/>
          <w:szCs w:val="28"/>
        </w:rPr>
        <w:t> </w:t>
      </w:r>
      <w:r w:rsidRPr="00F14714">
        <w:rPr>
          <w:rFonts w:ascii="Times New Roman" w:eastAsia="Times New Roman" w:hAnsi="Times New Roman" w:cs="Times New Roman"/>
          <w:sz w:val="28"/>
          <w:szCs w:val="28"/>
          <w:lang w:eastAsia="ru-RU"/>
        </w:rPr>
        <w:t>г</w:t>
      </w:r>
      <w:r w:rsidR="00DA342E">
        <w:rPr>
          <w:rFonts w:ascii="Times New Roman" w:eastAsia="Times New Roman" w:hAnsi="Times New Roman" w:cs="Times New Roman"/>
          <w:sz w:val="28"/>
          <w:szCs w:val="28"/>
          <w:lang w:eastAsia="ru-RU"/>
        </w:rPr>
        <w:t>.</w:t>
      </w:r>
      <w:r w:rsidRPr="00F14714">
        <w:rPr>
          <w:rFonts w:ascii="Times New Roman" w:eastAsia="Times New Roman" w:hAnsi="Times New Roman" w:cs="Times New Roman"/>
          <w:sz w:val="28"/>
          <w:szCs w:val="28"/>
          <w:lang w:eastAsia="ru-RU"/>
        </w:rPr>
        <w:t>, в том числе устойчивого роста реальных доходов граждан, а также роста уровня пенсионного обеспечения выше уровня инфляции, снижение в два раза уровня бедности в Российской Федерации.</w:t>
      </w:r>
    </w:p>
    <w:p w14:paraId="0EDD83EE" w14:textId="77777777" w:rsidR="009F01C0" w:rsidRPr="00F14714" w:rsidRDefault="009F01C0" w:rsidP="009F01C0">
      <w:pPr>
        <w:spacing w:after="0" w:line="312" w:lineRule="auto"/>
        <w:ind w:firstLine="709"/>
        <w:jc w:val="both"/>
        <w:rPr>
          <w:rFonts w:ascii="Times New Roman" w:eastAsia="Times New Roman" w:hAnsi="Times New Roman" w:cs="Times New Roman"/>
          <w:sz w:val="28"/>
          <w:szCs w:val="28"/>
          <w:lang w:eastAsia="ru-RU"/>
        </w:rPr>
      </w:pPr>
      <w:r w:rsidRPr="00F14714">
        <w:rPr>
          <w:rFonts w:ascii="Times New Roman" w:eastAsia="Times New Roman" w:hAnsi="Times New Roman" w:cs="Times New Roman"/>
          <w:sz w:val="28"/>
          <w:szCs w:val="28"/>
          <w:lang w:eastAsia="ru-RU"/>
        </w:rPr>
        <w:t xml:space="preserve">Достижение поставленной национальной цели развития обеспечивается за счет осуществления мер по повышению </w:t>
      </w:r>
      <w:r w:rsidR="003B1512">
        <w:rPr>
          <w:rFonts w:ascii="Times New Roman" w:eastAsia="Times New Roman" w:hAnsi="Times New Roman" w:cs="Times New Roman"/>
          <w:sz w:val="28"/>
          <w:szCs w:val="28"/>
          <w:lang w:eastAsia="ru-RU"/>
        </w:rPr>
        <w:t>минимального размера оплаты труда</w:t>
      </w:r>
      <w:r w:rsidRPr="00F14714">
        <w:rPr>
          <w:rFonts w:ascii="Times New Roman" w:eastAsia="Times New Roman" w:hAnsi="Times New Roman" w:cs="Times New Roman"/>
          <w:sz w:val="28"/>
          <w:szCs w:val="28"/>
          <w:lang w:eastAsia="ru-RU"/>
        </w:rPr>
        <w:t xml:space="preserve"> и заработной платы работников бюджетной сферы, размеров пенсий и других социальных выплат, развитию системы государственной поддержки граждан, нуждающихся в социальной защите, повышению эффективности социальной помощи гражданам с низкими доходами, содействию занятости населения, индексации социальных выплат, ускорению социально-экономического развития регионов, прежде всего сельских территорий.</w:t>
      </w:r>
    </w:p>
    <w:p w14:paraId="631AF2D6" w14:textId="77777777" w:rsidR="009F01C0" w:rsidRPr="00F14714" w:rsidRDefault="009F01C0" w:rsidP="009F01C0">
      <w:pPr>
        <w:spacing w:after="0" w:line="312" w:lineRule="auto"/>
        <w:ind w:firstLine="709"/>
        <w:jc w:val="both"/>
        <w:rPr>
          <w:rFonts w:ascii="Times New Roman" w:eastAsia="Times New Roman" w:hAnsi="Times New Roman" w:cs="Times New Roman"/>
          <w:sz w:val="28"/>
          <w:szCs w:val="28"/>
          <w:lang w:eastAsia="ru-RU"/>
        </w:rPr>
      </w:pPr>
      <w:r w:rsidRPr="00F14714">
        <w:rPr>
          <w:rFonts w:ascii="Times New Roman" w:eastAsia="Times New Roman" w:hAnsi="Times New Roman" w:cs="Times New Roman"/>
          <w:sz w:val="28"/>
          <w:szCs w:val="28"/>
          <w:lang w:eastAsia="ru-RU"/>
        </w:rPr>
        <w:t>В целях расширения круга получателей в 2020 г</w:t>
      </w:r>
      <w:r w:rsidR="00DA342E">
        <w:rPr>
          <w:rFonts w:ascii="Times New Roman" w:eastAsia="Times New Roman" w:hAnsi="Times New Roman" w:cs="Times New Roman"/>
          <w:sz w:val="28"/>
          <w:szCs w:val="28"/>
          <w:lang w:eastAsia="ru-RU"/>
        </w:rPr>
        <w:t>.</w:t>
      </w:r>
      <w:r w:rsidRPr="00F14714">
        <w:rPr>
          <w:rFonts w:ascii="Times New Roman" w:eastAsia="Times New Roman" w:hAnsi="Times New Roman" w:cs="Times New Roman"/>
          <w:sz w:val="28"/>
          <w:szCs w:val="28"/>
          <w:lang w:eastAsia="ru-RU"/>
        </w:rPr>
        <w:t xml:space="preserve"> в рамках реализации пилотного проекта по повышению реальных доходов граждан и снижению в два раза уровня бедности (далее </w:t>
      </w:r>
      <w:r>
        <w:rPr>
          <w:rFonts w:ascii="Times New Roman" w:eastAsia="Times New Roman" w:hAnsi="Times New Roman" w:cs="Times New Roman"/>
          <w:sz w:val="28"/>
          <w:szCs w:val="28"/>
          <w:lang w:eastAsia="ru-RU"/>
        </w:rPr>
        <w:t xml:space="preserve">по тексту подраздела </w:t>
      </w:r>
      <w:r w:rsidRPr="00F14714">
        <w:rPr>
          <w:rFonts w:ascii="Times New Roman" w:eastAsia="Times New Roman" w:hAnsi="Times New Roman" w:cs="Times New Roman"/>
          <w:sz w:val="28"/>
          <w:szCs w:val="28"/>
          <w:lang w:eastAsia="ru-RU"/>
        </w:rPr>
        <w:t>– пилотный проект) впервые из федерального бюджета бюджетам 21 субъекта Российской Федерации были предоставлены субсидии на реализацию мероприятий, направленных на оказание государственной социальной помощи на основании социального контракта.</w:t>
      </w:r>
      <w:r w:rsidR="001D064F" w:rsidRPr="001D064F">
        <w:rPr>
          <w:rFonts w:ascii="Times New Roman" w:eastAsia="Calibri" w:hAnsi="Times New Roman" w:cs="Times New Roman"/>
          <w:sz w:val="28"/>
          <w:szCs w:val="28"/>
        </w:rPr>
        <w:t xml:space="preserve"> </w:t>
      </w:r>
      <w:r w:rsidR="001D064F" w:rsidRPr="00D03A4F">
        <w:rPr>
          <w:rFonts w:ascii="Times New Roman" w:eastAsia="Calibri" w:hAnsi="Times New Roman" w:cs="Times New Roman"/>
          <w:sz w:val="28"/>
          <w:szCs w:val="28"/>
        </w:rPr>
        <w:t> </w:t>
      </w:r>
      <w:r w:rsidRPr="00F14714">
        <w:rPr>
          <w:rFonts w:ascii="Times New Roman" w:eastAsia="Times New Roman" w:hAnsi="Times New Roman" w:cs="Times New Roman"/>
          <w:sz w:val="28"/>
          <w:szCs w:val="28"/>
          <w:lang w:eastAsia="ru-RU"/>
        </w:rPr>
        <w:t xml:space="preserve">Реализация пилотных проектов показала востребованность и эффективность механизма </w:t>
      </w:r>
      <w:r>
        <w:rPr>
          <w:rFonts w:ascii="Times New Roman" w:eastAsia="Times New Roman" w:hAnsi="Times New Roman" w:cs="Times New Roman"/>
          <w:sz w:val="28"/>
          <w:szCs w:val="28"/>
          <w:lang w:eastAsia="ru-RU"/>
        </w:rPr>
        <w:t>социального контракта.</w:t>
      </w:r>
    </w:p>
    <w:p w14:paraId="1BE2F07C" w14:textId="77777777" w:rsidR="009F01C0" w:rsidRDefault="009F01C0" w:rsidP="009F01C0">
      <w:pPr>
        <w:spacing w:after="0" w:line="312" w:lineRule="auto"/>
        <w:ind w:firstLine="709"/>
        <w:jc w:val="both"/>
        <w:rPr>
          <w:rFonts w:ascii="Times New Roman" w:eastAsia="Times New Roman" w:hAnsi="Times New Roman" w:cs="Times New Roman"/>
          <w:sz w:val="28"/>
          <w:szCs w:val="28"/>
          <w:lang w:eastAsia="ru-RU"/>
        </w:rPr>
      </w:pPr>
      <w:r w:rsidRPr="00425B80">
        <w:rPr>
          <w:rFonts w:ascii="Times New Roman" w:eastAsia="Times New Roman" w:hAnsi="Times New Roman" w:cs="Times New Roman"/>
          <w:sz w:val="28"/>
          <w:szCs w:val="28"/>
          <w:lang w:eastAsia="ru-RU"/>
        </w:rPr>
        <w:t>В целях дальнейшего активного внедрения практики оказания государственной социальной помощи на основании социального контракта с 2021 г</w:t>
      </w:r>
      <w:r w:rsidR="00DA342E">
        <w:rPr>
          <w:rFonts w:ascii="Times New Roman" w:eastAsia="Times New Roman" w:hAnsi="Times New Roman" w:cs="Times New Roman"/>
          <w:sz w:val="28"/>
          <w:szCs w:val="28"/>
          <w:lang w:eastAsia="ru-RU"/>
        </w:rPr>
        <w:t>.</w:t>
      </w:r>
      <w:r w:rsidRPr="00425B80">
        <w:rPr>
          <w:rFonts w:ascii="Times New Roman" w:eastAsia="Times New Roman" w:hAnsi="Times New Roman" w:cs="Times New Roman"/>
          <w:sz w:val="28"/>
          <w:szCs w:val="28"/>
          <w:lang w:eastAsia="ru-RU"/>
        </w:rPr>
        <w:t xml:space="preserve"> субсидии из федерального бюджета на </w:t>
      </w:r>
      <w:proofErr w:type="spellStart"/>
      <w:r w:rsidRPr="00425B80">
        <w:rPr>
          <w:rFonts w:ascii="Times New Roman" w:eastAsia="Times New Roman" w:hAnsi="Times New Roman" w:cs="Times New Roman"/>
          <w:sz w:val="28"/>
          <w:szCs w:val="28"/>
          <w:lang w:eastAsia="ru-RU"/>
        </w:rPr>
        <w:t>софинансирование</w:t>
      </w:r>
      <w:proofErr w:type="spellEnd"/>
      <w:r w:rsidRPr="00425B80">
        <w:rPr>
          <w:rFonts w:ascii="Times New Roman" w:eastAsia="Times New Roman" w:hAnsi="Times New Roman" w:cs="Times New Roman"/>
          <w:sz w:val="28"/>
          <w:szCs w:val="28"/>
          <w:lang w:eastAsia="ru-RU"/>
        </w:rPr>
        <w:t xml:space="preserve"> расходных обязательств субъектов Российской Федерации, связанных с оказанием государственной социальной помощи на основании социального контракта отдельным категориям граждан, были предоставлены всем субъектам Российской Федерации (кроме </w:t>
      </w:r>
      <w:r w:rsidR="000A11EF">
        <w:rPr>
          <w:rFonts w:ascii="Times New Roman" w:eastAsia="Times New Roman" w:hAnsi="Times New Roman" w:cs="Times New Roman"/>
          <w:sz w:val="28"/>
          <w:szCs w:val="28"/>
          <w:lang w:eastAsia="ru-RU"/>
        </w:rPr>
        <w:br/>
      </w:r>
      <w:r w:rsidRPr="00425B80">
        <w:rPr>
          <w:rFonts w:ascii="Times New Roman" w:eastAsia="Times New Roman" w:hAnsi="Times New Roman" w:cs="Times New Roman"/>
          <w:sz w:val="28"/>
          <w:szCs w:val="28"/>
          <w:lang w:eastAsia="ru-RU"/>
        </w:rPr>
        <w:t>г</w:t>
      </w:r>
      <w:r w:rsidR="001D064F">
        <w:rPr>
          <w:rFonts w:ascii="Times New Roman" w:eastAsia="Times New Roman" w:hAnsi="Times New Roman" w:cs="Times New Roman"/>
          <w:sz w:val="28"/>
          <w:szCs w:val="28"/>
          <w:lang w:eastAsia="ru-RU"/>
        </w:rPr>
        <w:t>.</w:t>
      </w:r>
      <w:r w:rsidRPr="00425B80">
        <w:rPr>
          <w:rFonts w:ascii="Times New Roman" w:eastAsia="Times New Roman" w:hAnsi="Times New Roman" w:cs="Times New Roman"/>
          <w:sz w:val="28"/>
          <w:szCs w:val="28"/>
          <w:lang w:eastAsia="ru-RU"/>
        </w:rPr>
        <w:t xml:space="preserve"> Москвы, реализующей мероприятия социального контракт</w:t>
      </w:r>
      <w:r>
        <w:rPr>
          <w:rFonts w:ascii="Times New Roman" w:eastAsia="Times New Roman" w:hAnsi="Times New Roman" w:cs="Times New Roman"/>
          <w:sz w:val="28"/>
          <w:szCs w:val="28"/>
          <w:lang w:eastAsia="ru-RU"/>
        </w:rPr>
        <w:t>а за счет собственных средств).</w:t>
      </w:r>
    </w:p>
    <w:p w14:paraId="6C30785F" w14:textId="77777777" w:rsidR="009F01C0" w:rsidRDefault="009F01C0" w:rsidP="009F01C0">
      <w:pPr>
        <w:spacing w:after="0" w:line="312" w:lineRule="auto"/>
        <w:ind w:firstLine="709"/>
        <w:jc w:val="both"/>
        <w:rPr>
          <w:rFonts w:ascii="Times New Roman" w:eastAsia="Times New Roman" w:hAnsi="Times New Roman" w:cs="Times New Roman"/>
          <w:sz w:val="28"/>
          <w:szCs w:val="28"/>
          <w:lang w:eastAsia="ru-RU"/>
        </w:rPr>
      </w:pPr>
      <w:r w:rsidRPr="00425B80">
        <w:rPr>
          <w:rFonts w:ascii="Times New Roman" w:eastAsia="Times New Roman" w:hAnsi="Times New Roman" w:cs="Times New Roman"/>
          <w:sz w:val="28"/>
          <w:szCs w:val="28"/>
          <w:lang w:eastAsia="ru-RU"/>
        </w:rPr>
        <w:t>Общий объем средств федерального бюджета, предусмотренных на реализацию социального контракта в 2</w:t>
      </w:r>
      <w:r w:rsidR="001E3A31">
        <w:rPr>
          <w:rFonts w:ascii="Times New Roman" w:eastAsia="Times New Roman" w:hAnsi="Times New Roman" w:cs="Times New Roman"/>
          <w:sz w:val="28"/>
          <w:szCs w:val="28"/>
          <w:lang w:eastAsia="ru-RU"/>
        </w:rPr>
        <w:t>021 г</w:t>
      </w:r>
      <w:r w:rsidR="00DA342E">
        <w:rPr>
          <w:rFonts w:ascii="Times New Roman" w:eastAsia="Times New Roman" w:hAnsi="Times New Roman" w:cs="Times New Roman"/>
          <w:sz w:val="28"/>
          <w:szCs w:val="28"/>
          <w:lang w:eastAsia="ru-RU"/>
        </w:rPr>
        <w:t>.</w:t>
      </w:r>
      <w:r w:rsidR="001E3A31">
        <w:rPr>
          <w:rFonts w:ascii="Times New Roman" w:eastAsia="Times New Roman" w:hAnsi="Times New Roman" w:cs="Times New Roman"/>
          <w:sz w:val="28"/>
          <w:szCs w:val="28"/>
          <w:lang w:eastAsia="ru-RU"/>
        </w:rPr>
        <w:t>, составил 22 085,7 млн</w:t>
      </w:r>
      <w:r w:rsidR="007B6E4E">
        <w:rPr>
          <w:rFonts w:ascii="Times New Roman" w:eastAsia="Times New Roman" w:hAnsi="Times New Roman" w:cs="Times New Roman"/>
          <w:sz w:val="28"/>
          <w:szCs w:val="28"/>
          <w:lang w:eastAsia="ru-RU"/>
        </w:rPr>
        <w:t xml:space="preserve"> рублей, из них 749,5 млн</w:t>
      </w:r>
      <w:r w:rsidRPr="00425B80">
        <w:rPr>
          <w:rFonts w:ascii="Times New Roman" w:eastAsia="Times New Roman" w:hAnsi="Times New Roman" w:cs="Times New Roman"/>
          <w:sz w:val="28"/>
          <w:szCs w:val="28"/>
          <w:lang w:eastAsia="ru-RU"/>
        </w:rPr>
        <w:t xml:space="preserve"> рублей </w:t>
      </w:r>
      <w:r>
        <w:rPr>
          <w:rFonts w:ascii="Times New Roman" w:eastAsia="Times New Roman" w:hAnsi="Times New Roman" w:cs="Times New Roman"/>
          <w:sz w:val="28"/>
          <w:szCs w:val="28"/>
          <w:lang w:eastAsia="ru-RU"/>
        </w:rPr>
        <w:t xml:space="preserve">– </w:t>
      </w:r>
      <w:r w:rsidRPr="00425B80">
        <w:rPr>
          <w:rFonts w:ascii="Times New Roman" w:eastAsia="Times New Roman" w:hAnsi="Times New Roman" w:cs="Times New Roman"/>
          <w:sz w:val="28"/>
          <w:szCs w:val="28"/>
          <w:lang w:eastAsia="ru-RU"/>
        </w:rPr>
        <w:t>средства резервного фонда Прав</w:t>
      </w:r>
      <w:r w:rsidR="00181EAF">
        <w:rPr>
          <w:rFonts w:ascii="Times New Roman" w:eastAsia="Times New Roman" w:hAnsi="Times New Roman" w:cs="Times New Roman"/>
          <w:sz w:val="28"/>
          <w:szCs w:val="28"/>
          <w:lang w:eastAsia="ru-RU"/>
        </w:rPr>
        <w:t>ительства Российской Федерации.</w:t>
      </w:r>
    </w:p>
    <w:p w14:paraId="1A86BE9D" w14:textId="77777777" w:rsidR="009F01C0" w:rsidRDefault="009F01C0" w:rsidP="009F01C0">
      <w:pPr>
        <w:spacing w:after="0" w:line="312" w:lineRule="auto"/>
        <w:ind w:firstLine="709"/>
        <w:jc w:val="both"/>
        <w:rPr>
          <w:rFonts w:ascii="Times New Roman" w:eastAsia="Times New Roman" w:hAnsi="Times New Roman" w:cs="Times New Roman"/>
          <w:sz w:val="28"/>
          <w:szCs w:val="28"/>
          <w:lang w:eastAsia="ru-RU"/>
        </w:rPr>
      </w:pPr>
      <w:r w:rsidRPr="00425B80">
        <w:rPr>
          <w:rFonts w:ascii="Times New Roman" w:eastAsia="Times New Roman" w:hAnsi="Times New Roman" w:cs="Times New Roman"/>
          <w:sz w:val="28"/>
          <w:szCs w:val="28"/>
          <w:lang w:eastAsia="ru-RU"/>
        </w:rPr>
        <w:t>Объем денежных средств федерального бюджета, фактически израсходованных регионами в 2021 г</w:t>
      </w:r>
      <w:r w:rsidR="00DA342E">
        <w:rPr>
          <w:rFonts w:ascii="Times New Roman" w:eastAsia="Times New Roman" w:hAnsi="Times New Roman" w:cs="Times New Roman"/>
          <w:sz w:val="28"/>
          <w:szCs w:val="28"/>
          <w:lang w:eastAsia="ru-RU"/>
        </w:rPr>
        <w:t>.</w:t>
      </w:r>
      <w:r w:rsidRPr="00425B80">
        <w:rPr>
          <w:rFonts w:ascii="Times New Roman" w:eastAsia="Times New Roman" w:hAnsi="Times New Roman" w:cs="Times New Roman"/>
          <w:sz w:val="28"/>
          <w:szCs w:val="28"/>
          <w:lang w:eastAsia="ru-RU"/>
        </w:rPr>
        <w:t xml:space="preserve"> на оказание государственной социальной помощи на основании социального контракта, составил 21 703,7 млн рублей (кассовое исполнение </w:t>
      </w:r>
      <w:r>
        <w:rPr>
          <w:rFonts w:ascii="Times New Roman" w:eastAsia="Times New Roman" w:hAnsi="Times New Roman" w:cs="Times New Roman"/>
          <w:sz w:val="28"/>
          <w:szCs w:val="28"/>
          <w:lang w:eastAsia="ru-RU"/>
        </w:rPr>
        <w:t xml:space="preserve">– </w:t>
      </w:r>
      <w:r w:rsidR="001D064F">
        <w:rPr>
          <w:rFonts w:ascii="Times New Roman" w:eastAsia="Times New Roman" w:hAnsi="Times New Roman" w:cs="Times New Roman"/>
          <w:sz w:val="28"/>
          <w:szCs w:val="28"/>
          <w:lang w:eastAsia="ru-RU"/>
        </w:rPr>
        <w:t>98,3%</w:t>
      </w:r>
      <w:r w:rsidR="007B6E4E">
        <w:rPr>
          <w:rFonts w:ascii="Times New Roman" w:eastAsia="Times New Roman" w:hAnsi="Times New Roman" w:cs="Times New Roman"/>
          <w:sz w:val="28"/>
          <w:szCs w:val="28"/>
          <w:lang w:eastAsia="ru-RU"/>
        </w:rPr>
        <w:t>), в том числе 749,5 млн</w:t>
      </w:r>
      <w:r w:rsidRPr="00425B80">
        <w:rPr>
          <w:rFonts w:ascii="Times New Roman" w:eastAsia="Times New Roman" w:hAnsi="Times New Roman" w:cs="Times New Roman"/>
          <w:sz w:val="28"/>
          <w:szCs w:val="28"/>
          <w:lang w:eastAsia="ru-RU"/>
        </w:rPr>
        <w:t xml:space="preserve"> рублей из средств резервного фонда Правительства Российской Федерации (кассовое исполнение </w:t>
      </w:r>
      <w:r>
        <w:rPr>
          <w:rFonts w:ascii="Times New Roman" w:eastAsia="Times New Roman" w:hAnsi="Times New Roman" w:cs="Times New Roman"/>
          <w:sz w:val="28"/>
          <w:szCs w:val="28"/>
          <w:lang w:eastAsia="ru-RU"/>
        </w:rPr>
        <w:t xml:space="preserve">– </w:t>
      </w:r>
      <w:r w:rsidR="00181EAF">
        <w:rPr>
          <w:rFonts w:ascii="Times New Roman" w:eastAsia="Times New Roman" w:hAnsi="Times New Roman" w:cs="Times New Roman"/>
          <w:sz w:val="28"/>
          <w:szCs w:val="28"/>
          <w:lang w:eastAsia="ru-RU"/>
        </w:rPr>
        <w:t>100%).</w:t>
      </w:r>
    </w:p>
    <w:p w14:paraId="3E4B484E" w14:textId="77777777" w:rsidR="009F01C0" w:rsidRPr="005757A5" w:rsidRDefault="009F01C0" w:rsidP="009F01C0">
      <w:pPr>
        <w:tabs>
          <w:tab w:val="left" w:pos="1946"/>
        </w:tabs>
        <w:spacing w:after="0" w:line="312" w:lineRule="auto"/>
        <w:ind w:firstLine="709"/>
        <w:jc w:val="both"/>
        <w:rPr>
          <w:rFonts w:ascii="Times New Roman" w:eastAsia="Times New Roman" w:hAnsi="Times New Roman" w:cs="Times New Roman"/>
          <w:sz w:val="28"/>
          <w:szCs w:val="28"/>
          <w:lang w:eastAsia="ru-RU"/>
        </w:rPr>
      </w:pPr>
      <w:r w:rsidRPr="005757A5">
        <w:rPr>
          <w:rFonts w:ascii="Times New Roman" w:eastAsia="Times New Roman" w:hAnsi="Times New Roman" w:cs="Times New Roman"/>
          <w:sz w:val="28"/>
          <w:szCs w:val="28"/>
          <w:lang w:eastAsia="ru-RU"/>
        </w:rPr>
        <w:t>В целом по Российской Федерации в 2021 г</w:t>
      </w:r>
      <w:r w:rsidR="00DA342E">
        <w:rPr>
          <w:rFonts w:ascii="Times New Roman" w:eastAsia="Times New Roman" w:hAnsi="Times New Roman" w:cs="Times New Roman"/>
          <w:sz w:val="28"/>
          <w:szCs w:val="28"/>
          <w:lang w:eastAsia="ru-RU"/>
        </w:rPr>
        <w:t>.</w:t>
      </w:r>
      <w:r w:rsidRPr="005757A5">
        <w:rPr>
          <w:rFonts w:ascii="Times New Roman" w:eastAsia="Times New Roman" w:hAnsi="Times New Roman" w:cs="Times New Roman"/>
          <w:sz w:val="28"/>
          <w:szCs w:val="28"/>
          <w:lang w:eastAsia="ru-RU"/>
        </w:rPr>
        <w:t xml:space="preserve"> заключено 282,1 тыс. социальных контрактов с охватом 981,2 тыс., из них по мероприятиям, направленным на поиск работы</w:t>
      </w:r>
      <w:r w:rsidR="001E1927">
        <w:rPr>
          <w:rFonts w:ascii="Times New Roman" w:eastAsia="Times New Roman" w:hAnsi="Times New Roman" w:cs="Times New Roman"/>
          <w:sz w:val="28"/>
          <w:szCs w:val="28"/>
          <w:lang w:eastAsia="ru-RU"/>
        </w:rPr>
        <w:t>,</w:t>
      </w:r>
      <w:r w:rsidRPr="005757A5">
        <w:rPr>
          <w:rFonts w:ascii="Times New Roman" w:eastAsia="Times New Roman" w:hAnsi="Times New Roman" w:cs="Times New Roman"/>
          <w:sz w:val="28"/>
          <w:szCs w:val="28"/>
          <w:lang w:eastAsia="ru-RU"/>
        </w:rPr>
        <w:t xml:space="preserve"> – 112,1 тыс. (39,7%), осуществление индивидуальной предпринимательской деятельности – 65,9 тыс. (23,4%), ведение личного подсобного хозяйства – 26,8 тыс. (9,5%), ины</w:t>
      </w:r>
      <w:r w:rsidR="00F112FA">
        <w:rPr>
          <w:rFonts w:ascii="Times New Roman" w:eastAsia="Times New Roman" w:hAnsi="Times New Roman" w:cs="Times New Roman"/>
          <w:sz w:val="28"/>
          <w:szCs w:val="28"/>
          <w:lang w:eastAsia="ru-RU"/>
        </w:rPr>
        <w:t>м</w:t>
      </w:r>
      <w:r w:rsidRPr="005757A5">
        <w:rPr>
          <w:rFonts w:ascii="Times New Roman" w:eastAsia="Times New Roman" w:hAnsi="Times New Roman" w:cs="Times New Roman"/>
          <w:sz w:val="28"/>
          <w:szCs w:val="28"/>
          <w:lang w:eastAsia="ru-RU"/>
        </w:rPr>
        <w:t xml:space="preserve"> мероприятия</w:t>
      </w:r>
      <w:r w:rsidR="00F112FA">
        <w:rPr>
          <w:rFonts w:ascii="Times New Roman" w:eastAsia="Times New Roman" w:hAnsi="Times New Roman" w:cs="Times New Roman"/>
          <w:sz w:val="28"/>
          <w:szCs w:val="28"/>
          <w:lang w:eastAsia="ru-RU"/>
        </w:rPr>
        <w:t>м, направленным</w:t>
      </w:r>
      <w:r w:rsidRPr="005757A5">
        <w:rPr>
          <w:rFonts w:ascii="Times New Roman" w:eastAsia="Times New Roman" w:hAnsi="Times New Roman" w:cs="Times New Roman"/>
          <w:sz w:val="28"/>
          <w:szCs w:val="28"/>
          <w:lang w:eastAsia="ru-RU"/>
        </w:rPr>
        <w:t xml:space="preserve"> на преодоление гражданином трудной жизненной ситуации</w:t>
      </w:r>
      <w:r w:rsidR="001E1927">
        <w:rPr>
          <w:rFonts w:ascii="Times New Roman" w:eastAsia="Times New Roman" w:hAnsi="Times New Roman" w:cs="Times New Roman"/>
          <w:sz w:val="28"/>
          <w:szCs w:val="28"/>
          <w:lang w:eastAsia="ru-RU"/>
        </w:rPr>
        <w:t>,</w:t>
      </w:r>
      <w:r w:rsidRPr="005757A5">
        <w:rPr>
          <w:rFonts w:ascii="Times New Roman" w:eastAsia="Times New Roman" w:hAnsi="Times New Roman" w:cs="Times New Roman"/>
          <w:sz w:val="28"/>
          <w:szCs w:val="28"/>
          <w:lang w:eastAsia="ru-RU"/>
        </w:rPr>
        <w:t xml:space="preserve"> – 77,3 тыс. (27,4%).</w:t>
      </w:r>
    </w:p>
    <w:p w14:paraId="6921A5CF" w14:textId="77777777" w:rsidR="009F01C0" w:rsidRPr="005757A5" w:rsidRDefault="009F01C0" w:rsidP="009F01C0">
      <w:pPr>
        <w:tabs>
          <w:tab w:val="left" w:pos="1946"/>
        </w:tabs>
        <w:spacing w:after="0" w:line="312" w:lineRule="auto"/>
        <w:ind w:firstLine="709"/>
        <w:jc w:val="both"/>
        <w:rPr>
          <w:rFonts w:ascii="Times New Roman" w:eastAsia="Times New Roman" w:hAnsi="Times New Roman" w:cs="Times New Roman"/>
          <w:sz w:val="28"/>
          <w:szCs w:val="28"/>
          <w:lang w:eastAsia="ru-RU"/>
        </w:rPr>
      </w:pPr>
      <w:r w:rsidRPr="005757A5">
        <w:rPr>
          <w:rFonts w:ascii="Times New Roman" w:eastAsia="Times New Roman" w:hAnsi="Times New Roman" w:cs="Times New Roman"/>
          <w:sz w:val="28"/>
          <w:szCs w:val="28"/>
          <w:lang w:eastAsia="ru-RU"/>
        </w:rPr>
        <w:t>В приоритетном порядке социальные контракты в 2021 г</w:t>
      </w:r>
      <w:r w:rsidR="00DA342E">
        <w:rPr>
          <w:rFonts w:ascii="Times New Roman" w:eastAsia="Times New Roman" w:hAnsi="Times New Roman" w:cs="Times New Roman"/>
          <w:sz w:val="28"/>
          <w:szCs w:val="28"/>
          <w:lang w:eastAsia="ru-RU"/>
        </w:rPr>
        <w:t>.</w:t>
      </w:r>
      <w:r w:rsidRPr="005757A5">
        <w:rPr>
          <w:rFonts w:ascii="Times New Roman" w:eastAsia="Times New Roman" w:hAnsi="Times New Roman" w:cs="Times New Roman"/>
          <w:sz w:val="28"/>
          <w:szCs w:val="28"/>
          <w:lang w:eastAsia="ru-RU"/>
        </w:rPr>
        <w:t xml:space="preserve"> заключались с семьями с де</w:t>
      </w:r>
      <w:r w:rsidR="00F112FA">
        <w:rPr>
          <w:rFonts w:ascii="Times New Roman" w:eastAsia="Times New Roman" w:hAnsi="Times New Roman" w:cs="Times New Roman"/>
          <w:sz w:val="28"/>
          <w:szCs w:val="28"/>
          <w:lang w:eastAsia="ru-RU"/>
        </w:rPr>
        <w:t>тьми – 74,8%, из которых 36,2% семьи</w:t>
      </w:r>
      <w:r w:rsidRPr="005757A5">
        <w:rPr>
          <w:rFonts w:ascii="Times New Roman" w:eastAsia="Times New Roman" w:hAnsi="Times New Roman" w:cs="Times New Roman"/>
          <w:sz w:val="28"/>
          <w:szCs w:val="28"/>
          <w:lang w:eastAsia="ru-RU"/>
        </w:rPr>
        <w:t xml:space="preserve"> с тремя и более детьми.</w:t>
      </w:r>
    </w:p>
    <w:p w14:paraId="4AE2EF5C" w14:textId="4C82F12B" w:rsidR="009F01C0" w:rsidRPr="005757A5" w:rsidRDefault="009F01C0" w:rsidP="009F01C0">
      <w:pPr>
        <w:tabs>
          <w:tab w:val="left" w:pos="1946"/>
        </w:tabs>
        <w:spacing w:after="0" w:line="312" w:lineRule="auto"/>
        <w:ind w:firstLine="709"/>
        <w:jc w:val="both"/>
        <w:rPr>
          <w:rFonts w:ascii="Times New Roman" w:eastAsia="Times New Roman" w:hAnsi="Times New Roman" w:cs="Times New Roman"/>
          <w:sz w:val="28"/>
          <w:szCs w:val="28"/>
          <w:lang w:eastAsia="ru-RU"/>
        </w:rPr>
      </w:pPr>
      <w:r w:rsidRPr="005757A5">
        <w:rPr>
          <w:rFonts w:ascii="Times New Roman" w:eastAsia="Times New Roman" w:hAnsi="Times New Roman" w:cs="Times New Roman"/>
          <w:sz w:val="28"/>
          <w:szCs w:val="28"/>
          <w:lang w:eastAsia="ru-RU"/>
        </w:rPr>
        <w:t xml:space="preserve">Доля граждан, охваченных государственной социальной помощью на основании социального контракта, в общей численности малоимущих граждан </w:t>
      </w:r>
      <w:r w:rsidR="00135082">
        <w:rPr>
          <w:rFonts w:ascii="Times New Roman" w:eastAsia="Times New Roman" w:hAnsi="Times New Roman" w:cs="Times New Roman"/>
          <w:sz w:val="28"/>
          <w:szCs w:val="28"/>
          <w:lang w:eastAsia="ru-RU"/>
        </w:rPr>
        <w:br/>
      </w:r>
      <w:r w:rsidRPr="005757A5">
        <w:rPr>
          <w:rFonts w:ascii="Times New Roman" w:eastAsia="Times New Roman" w:hAnsi="Times New Roman" w:cs="Times New Roman"/>
          <w:sz w:val="28"/>
          <w:szCs w:val="28"/>
          <w:lang w:eastAsia="ru-RU"/>
        </w:rPr>
        <w:t>в 2021 г</w:t>
      </w:r>
      <w:r w:rsidR="00DA342E">
        <w:rPr>
          <w:rFonts w:ascii="Times New Roman" w:eastAsia="Times New Roman" w:hAnsi="Times New Roman" w:cs="Times New Roman"/>
          <w:sz w:val="28"/>
          <w:szCs w:val="28"/>
          <w:lang w:eastAsia="ru-RU"/>
        </w:rPr>
        <w:t>.</w:t>
      </w:r>
      <w:r w:rsidRPr="005757A5">
        <w:rPr>
          <w:rFonts w:ascii="Times New Roman" w:eastAsia="Times New Roman" w:hAnsi="Times New Roman" w:cs="Times New Roman"/>
          <w:sz w:val="28"/>
          <w:szCs w:val="28"/>
          <w:lang w:eastAsia="ru-RU"/>
        </w:rPr>
        <w:t xml:space="preserve"> составила 5,5%. У 52,5% граждан из числа охваченных социальным контрактом уровень среднедушевого дохода увеличился, в том числе у 22,5% граждан уровень среднедушевого дохода по окончани</w:t>
      </w:r>
      <w:r w:rsidR="001B2D70">
        <w:rPr>
          <w:rFonts w:ascii="Times New Roman" w:eastAsia="Times New Roman" w:hAnsi="Times New Roman" w:cs="Times New Roman"/>
          <w:sz w:val="28"/>
          <w:szCs w:val="28"/>
          <w:lang w:eastAsia="ru-RU"/>
        </w:rPr>
        <w:t>и</w:t>
      </w:r>
      <w:r w:rsidRPr="005757A5">
        <w:rPr>
          <w:rFonts w:ascii="Times New Roman" w:eastAsia="Times New Roman" w:hAnsi="Times New Roman" w:cs="Times New Roman"/>
          <w:sz w:val="28"/>
          <w:szCs w:val="28"/>
          <w:lang w:eastAsia="ru-RU"/>
        </w:rPr>
        <w:t xml:space="preserve"> срока действия социального контракта превысил региональный прожиточный минимум.</w:t>
      </w:r>
    </w:p>
    <w:p w14:paraId="7F056B3E" w14:textId="77777777" w:rsidR="009F01C0" w:rsidRPr="005757A5" w:rsidRDefault="009F01C0" w:rsidP="009F01C0">
      <w:pPr>
        <w:tabs>
          <w:tab w:val="left" w:pos="1946"/>
        </w:tabs>
        <w:spacing w:after="0" w:line="312" w:lineRule="auto"/>
        <w:ind w:firstLine="709"/>
        <w:jc w:val="both"/>
        <w:rPr>
          <w:rFonts w:ascii="Times New Roman" w:eastAsia="Times New Roman" w:hAnsi="Times New Roman" w:cs="Times New Roman"/>
          <w:sz w:val="28"/>
          <w:szCs w:val="28"/>
          <w:lang w:eastAsia="ru-RU"/>
        </w:rPr>
      </w:pPr>
      <w:r w:rsidRPr="005757A5">
        <w:rPr>
          <w:rFonts w:ascii="Times New Roman" w:eastAsia="Times New Roman" w:hAnsi="Times New Roman" w:cs="Times New Roman"/>
          <w:sz w:val="28"/>
          <w:szCs w:val="28"/>
          <w:lang w:eastAsia="ru-RU"/>
        </w:rPr>
        <w:t>По итогам реализации социального контракта среднедушевой доход граждан, из числа охваченных данной мерой социальной поддержки, в среднем увеличился в 1,5 раза.</w:t>
      </w:r>
    </w:p>
    <w:p w14:paraId="0DF02D07" w14:textId="77777777" w:rsidR="009F01C0" w:rsidRPr="00F14714" w:rsidRDefault="009F01C0" w:rsidP="009F01C0">
      <w:pPr>
        <w:tabs>
          <w:tab w:val="left" w:pos="1946"/>
        </w:tabs>
        <w:spacing w:after="0" w:line="312" w:lineRule="auto"/>
        <w:ind w:firstLine="709"/>
        <w:jc w:val="both"/>
        <w:rPr>
          <w:rFonts w:ascii="Times New Roman" w:eastAsia="Times New Roman" w:hAnsi="Times New Roman" w:cs="Times New Roman"/>
          <w:sz w:val="28"/>
          <w:szCs w:val="28"/>
          <w:lang w:eastAsia="ru-RU"/>
        </w:rPr>
      </w:pPr>
      <w:r w:rsidRPr="005757A5">
        <w:rPr>
          <w:rFonts w:ascii="Times New Roman" w:eastAsia="Times New Roman" w:hAnsi="Times New Roman" w:cs="Times New Roman"/>
          <w:sz w:val="28"/>
          <w:szCs w:val="28"/>
          <w:lang w:eastAsia="ru-RU"/>
        </w:rPr>
        <w:t>С учетом обратной связи, полученной от граждан, общественных организаций и субъектов Российской Федерации в ходе мониторинга реализации мероприятий социального контракта в 2021 г</w:t>
      </w:r>
      <w:r w:rsidR="00DA342E">
        <w:rPr>
          <w:rFonts w:ascii="Times New Roman" w:eastAsia="Times New Roman" w:hAnsi="Times New Roman" w:cs="Times New Roman"/>
          <w:sz w:val="28"/>
          <w:szCs w:val="28"/>
          <w:lang w:eastAsia="ru-RU"/>
        </w:rPr>
        <w:t>.</w:t>
      </w:r>
      <w:r w:rsidR="00B82C39">
        <w:rPr>
          <w:rFonts w:ascii="Times New Roman" w:eastAsia="Times New Roman" w:hAnsi="Times New Roman" w:cs="Times New Roman"/>
          <w:sz w:val="28"/>
          <w:szCs w:val="28"/>
          <w:lang w:eastAsia="ru-RU"/>
        </w:rPr>
        <w:t>,</w:t>
      </w:r>
      <w:r w:rsidRPr="005757A5">
        <w:rPr>
          <w:rFonts w:ascii="Times New Roman" w:eastAsia="Times New Roman" w:hAnsi="Times New Roman" w:cs="Times New Roman"/>
          <w:sz w:val="28"/>
          <w:szCs w:val="28"/>
          <w:lang w:eastAsia="ru-RU"/>
        </w:rPr>
        <w:t xml:space="preserve"> Минтрудом России были собраны и обобщены лучшие практики реализации социального контракта в целях их последующего тиражирования во всех субъектах Российской Федерации.</w:t>
      </w:r>
    </w:p>
    <w:p w14:paraId="51FC10A0" w14:textId="77777777" w:rsidR="001D064F" w:rsidRDefault="009F01C0" w:rsidP="001D064F">
      <w:pPr>
        <w:tabs>
          <w:tab w:val="left" w:pos="1946"/>
        </w:tabs>
        <w:spacing w:after="0" w:line="312" w:lineRule="auto"/>
        <w:ind w:firstLine="709"/>
        <w:jc w:val="both"/>
        <w:rPr>
          <w:rFonts w:ascii="Times New Roman" w:eastAsia="Times New Roman" w:hAnsi="Times New Roman" w:cs="Times New Roman"/>
          <w:bCs/>
          <w:sz w:val="28"/>
          <w:szCs w:val="28"/>
          <w:lang w:eastAsia="ru-RU"/>
        </w:rPr>
      </w:pPr>
      <w:r w:rsidRPr="00F14714">
        <w:rPr>
          <w:rFonts w:ascii="Times New Roman" w:eastAsia="Times New Roman" w:hAnsi="Times New Roman" w:cs="Times New Roman"/>
          <w:sz w:val="28"/>
          <w:szCs w:val="28"/>
          <w:lang w:eastAsia="ru-RU"/>
        </w:rPr>
        <w:t xml:space="preserve">Государственной программой Российской Федерации «Социальная поддержка граждан», утвержденной постановлением Правительства Российской Федерации </w:t>
      </w:r>
      <w:r>
        <w:rPr>
          <w:rFonts w:ascii="Times New Roman" w:eastAsia="Times New Roman" w:hAnsi="Times New Roman" w:cs="Times New Roman"/>
          <w:sz w:val="28"/>
          <w:szCs w:val="28"/>
          <w:lang w:eastAsia="ru-RU"/>
        </w:rPr>
        <w:br/>
      </w:r>
      <w:r w:rsidRPr="00F14714">
        <w:rPr>
          <w:rFonts w:ascii="Times New Roman" w:eastAsia="Times New Roman" w:hAnsi="Times New Roman" w:cs="Times New Roman"/>
          <w:sz w:val="28"/>
          <w:szCs w:val="28"/>
          <w:lang w:eastAsia="ru-RU"/>
        </w:rPr>
        <w:t>от 15</w:t>
      </w:r>
      <w:r w:rsidR="00EA3E28" w:rsidRPr="00D03A4F">
        <w:rPr>
          <w:rFonts w:ascii="Times New Roman" w:eastAsia="Calibri" w:hAnsi="Times New Roman" w:cs="Times New Roman"/>
          <w:sz w:val="28"/>
          <w:szCs w:val="28"/>
        </w:rPr>
        <w:t> </w:t>
      </w:r>
      <w:r w:rsidRPr="00F14714">
        <w:rPr>
          <w:rFonts w:ascii="Times New Roman" w:eastAsia="Times New Roman" w:hAnsi="Times New Roman" w:cs="Times New Roman"/>
          <w:sz w:val="28"/>
          <w:szCs w:val="28"/>
          <w:lang w:eastAsia="ru-RU"/>
        </w:rPr>
        <w:t>апреля 2014</w:t>
      </w:r>
      <w:r w:rsidR="00EA3E28" w:rsidRPr="00D03A4F">
        <w:rPr>
          <w:rFonts w:ascii="Times New Roman" w:eastAsia="Calibri" w:hAnsi="Times New Roman" w:cs="Times New Roman"/>
          <w:sz w:val="28"/>
          <w:szCs w:val="28"/>
        </w:rPr>
        <w:t> </w:t>
      </w:r>
      <w:r w:rsidRPr="00F14714">
        <w:rPr>
          <w:rFonts w:ascii="Times New Roman" w:eastAsia="Times New Roman" w:hAnsi="Times New Roman" w:cs="Times New Roman"/>
          <w:sz w:val="28"/>
          <w:szCs w:val="28"/>
          <w:lang w:eastAsia="ru-RU"/>
        </w:rPr>
        <w:t>г. №</w:t>
      </w:r>
      <w:r w:rsidR="00EA3E28" w:rsidRPr="00D03A4F">
        <w:rPr>
          <w:rFonts w:ascii="Times New Roman" w:eastAsia="Calibri" w:hAnsi="Times New Roman" w:cs="Times New Roman"/>
          <w:sz w:val="28"/>
          <w:szCs w:val="28"/>
        </w:rPr>
        <w:t> </w:t>
      </w:r>
      <w:r w:rsidRPr="00F14714">
        <w:rPr>
          <w:rFonts w:ascii="Times New Roman" w:eastAsia="Times New Roman" w:hAnsi="Times New Roman" w:cs="Times New Roman"/>
          <w:sz w:val="28"/>
          <w:szCs w:val="28"/>
          <w:lang w:eastAsia="ru-RU"/>
        </w:rPr>
        <w:t>296, к</w:t>
      </w:r>
      <w:r>
        <w:rPr>
          <w:rFonts w:ascii="Times New Roman" w:eastAsia="Times New Roman" w:hAnsi="Times New Roman" w:cs="Times New Roman"/>
          <w:sz w:val="28"/>
          <w:szCs w:val="28"/>
          <w:lang w:eastAsia="ru-RU"/>
        </w:rPr>
        <w:t xml:space="preserve"> 2024 </w:t>
      </w:r>
      <w:r w:rsidRPr="00F14714">
        <w:rPr>
          <w:rFonts w:ascii="Times New Roman" w:eastAsia="Times New Roman" w:hAnsi="Times New Roman" w:cs="Times New Roman"/>
          <w:sz w:val="28"/>
          <w:szCs w:val="28"/>
          <w:lang w:eastAsia="ru-RU"/>
        </w:rPr>
        <w:t>г</w:t>
      </w:r>
      <w:r w:rsidR="00DA342E">
        <w:rPr>
          <w:rFonts w:ascii="Times New Roman" w:eastAsia="Times New Roman" w:hAnsi="Times New Roman" w:cs="Times New Roman"/>
          <w:sz w:val="28"/>
          <w:szCs w:val="28"/>
          <w:lang w:eastAsia="ru-RU"/>
        </w:rPr>
        <w:t>.</w:t>
      </w:r>
      <w:r w:rsidRPr="00F14714">
        <w:rPr>
          <w:rFonts w:ascii="Times New Roman" w:eastAsia="Times New Roman" w:hAnsi="Times New Roman" w:cs="Times New Roman"/>
          <w:sz w:val="28"/>
          <w:szCs w:val="28"/>
          <w:lang w:eastAsia="ru-RU"/>
        </w:rPr>
        <w:t xml:space="preserve"> предусмотрено увеличение доли граждан, охваченных государственной социальной помощью на основании социального контракта, в общей числе</w:t>
      </w:r>
      <w:r>
        <w:rPr>
          <w:rFonts w:ascii="Times New Roman" w:eastAsia="Times New Roman" w:hAnsi="Times New Roman" w:cs="Times New Roman"/>
          <w:sz w:val="28"/>
          <w:szCs w:val="28"/>
          <w:lang w:eastAsia="ru-RU"/>
        </w:rPr>
        <w:t>нности малоимущих граждан, до 6</w:t>
      </w:r>
      <w:r w:rsidRPr="00F14714">
        <w:rPr>
          <w:rFonts w:ascii="Times New Roman" w:eastAsia="Times New Roman" w:hAnsi="Times New Roman" w:cs="Times New Roman"/>
          <w:sz w:val="28"/>
          <w:szCs w:val="28"/>
          <w:lang w:eastAsia="ru-RU"/>
        </w:rPr>
        <w:t>%, увеличение доли граждан, охваченных государственной социальной помощью на основании социального контракта, среднедушевой доход (среднедушевой доход семьи)</w:t>
      </w:r>
      <w:r w:rsidR="00EA3E28" w:rsidRPr="00D03A4F">
        <w:rPr>
          <w:rFonts w:ascii="Times New Roman" w:eastAsia="Calibri" w:hAnsi="Times New Roman" w:cs="Times New Roman"/>
          <w:sz w:val="28"/>
          <w:szCs w:val="28"/>
        </w:rPr>
        <w:t> </w:t>
      </w:r>
      <w:r w:rsidRPr="00F14714">
        <w:rPr>
          <w:rFonts w:ascii="Times New Roman" w:eastAsia="Times New Roman" w:hAnsi="Times New Roman" w:cs="Times New Roman"/>
          <w:sz w:val="28"/>
          <w:szCs w:val="28"/>
          <w:lang w:eastAsia="ru-RU"/>
        </w:rPr>
        <w:t>которы</w:t>
      </w:r>
      <w:r>
        <w:rPr>
          <w:rFonts w:ascii="Times New Roman" w:eastAsia="Times New Roman" w:hAnsi="Times New Roman" w:cs="Times New Roman"/>
          <w:sz w:val="28"/>
          <w:szCs w:val="28"/>
          <w:lang w:eastAsia="ru-RU"/>
        </w:rPr>
        <w:t>х</w:t>
      </w:r>
      <w:r w:rsidRPr="00F14714">
        <w:rPr>
          <w:rFonts w:ascii="Times New Roman" w:eastAsia="Times New Roman" w:hAnsi="Times New Roman" w:cs="Times New Roman"/>
          <w:sz w:val="28"/>
          <w:szCs w:val="28"/>
          <w:lang w:eastAsia="ru-RU"/>
        </w:rPr>
        <w:t xml:space="preserve">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w:t>
      </w:r>
      <w:r>
        <w:rPr>
          <w:rFonts w:ascii="Times New Roman" w:eastAsia="Times New Roman" w:hAnsi="Times New Roman" w:cs="Times New Roman"/>
          <w:sz w:val="28"/>
          <w:szCs w:val="28"/>
          <w:lang w:eastAsia="ru-RU"/>
        </w:rPr>
        <w:t>ии социального контракта, до 50</w:t>
      </w:r>
      <w:r w:rsidRPr="00F14714">
        <w:rPr>
          <w:rFonts w:ascii="Times New Roman" w:eastAsia="Times New Roman" w:hAnsi="Times New Roman" w:cs="Times New Roman"/>
          <w:sz w:val="28"/>
          <w:szCs w:val="28"/>
          <w:lang w:eastAsia="ru-RU"/>
        </w:rPr>
        <w:t>% и увеличение доли граждан, охваченных государственной социальной помощью на основании социального контракта, среднедушевой доход</w:t>
      </w:r>
      <w:r>
        <w:rPr>
          <w:rFonts w:ascii="Times New Roman" w:eastAsia="Times New Roman" w:hAnsi="Times New Roman" w:cs="Times New Roman"/>
          <w:sz w:val="28"/>
          <w:szCs w:val="28"/>
          <w:lang w:eastAsia="ru-RU"/>
        </w:rPr>
        <w:t xml:space="preserve"> (среднедушевой доход семьи)</w:t>
      </w:r>
      <w:r w:rsidRPr="00F14714">
        <w:rPr>
          <w:rFonts w:ascii="Times New Roman" w:eastAsia="Times New Roman" w:hAnsi="Times New Roman" w:cs="Times New Roman"/>
          <w:sz w:val="28"/>
          <w:szCs w:val="28"/>
          <w:lang w:eastAsia="ru-RU"/>
        </w:rPr>
        <w:t xml:space="preserve">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до 22%.</w:t>
      </w:r>
      <w:r w:rsidR="001D064F" w:rsidRPr="001D064F">
        <w:rPr>
          <w:rFonts w:ascii="Times New Roman" w:eastAsia="Times New Roman" w:hAnsi="Times New Roman" w:cs="Times New Roman"/>
          <w:bCs/>
          <w:sz w:val="28"/>
          <w:szCs w:val="28"/>
          <w:lang w:eastAsia="ru-RU"/>
        </w:rPr>
        <w:t xml:space="preserve"> </w:t>
      </w:r>
    </w:p>
    <w:p w14:paraId="4E16B4F9" w14:textId="77777777" w:rsidR="001D064F" w:rsidRPr="00F14714" w:rsidRDefault="001D064F" w:rsidP="001D064F">
      <w:pPr>
        <w:tabs>
          <w:tab w:val="left" w:pos="1946"/>
        </w:tabs>
        <w:spacing w:after="0" w:line="312"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w:t>
      </w:r>
      <w:r w:rsidRPr="00F14714">
        <w:rPr>
          <w:rFonts w:ascii="Times New Roman" w:eastAsia="Times New Roman" w:hAnsi="Times New Roman" w:cs="Times New Roman"/>
          <w:bCs/>
          <w:sz w:val="28"/>
          <w:szCs w:val="28"/>
          <w:lang w:eastAsia="ru-RU"/>
        </w:rPr>
        <w:t>соответствии со статьей</w:t>
      </w:r>
      <w:r w:rsidRPr="00D03A4F">
        <w:rPr>
          <w:rFonts w:ascii="Times New Roman" w:eastAsia="Calibri" w:hAnsi="Times New Roman" w:cs="Times New Roman"/>
          <w:sz w:val="28"/>
          <w:szCs w:val="28"/>
        </w:rPr>
        <w:t> </w:t>
      </w:r>
      <w:r w:rsidRPr="00F14714">
        <w:rPr>
          <w:rFonts w:ascii="Times New Roman" w:eastAsia="Times New Roman" w:hAnsi="Times New Roman" w:cs="Times New Roman"/>
          <w:bCs/>
          <w:sz w:val="28"/>
          <w:szCs w:val="28"/>
          <w:lang w:eastAsia="ru-RU"/>
        </w:rPr>
        <w:t>159 Жилищного кодекса Российской Федерации гражданам с низкими доходами предоставляются субсидии на оплату жилого помещения и коммунальных услуг.</w:t>
      </w:r>
    </w:p>
    <w:p w14:paraId="58298F0B" w14:textId="5E9F9A46" w:rsidR="001D064F" w:rsidRPr="00FD3EE2" w:rsidRDefault="001D064F" w:rsidP="001D064F">
      <w:pPr>
        <w:tabs>
          <w:tab w:val="left" w:pos="1946"/>
        </w:tabs>
        <w:spacing w:after="0" w:line="312" w:lineRule="auto"/>
        <w:ind w:firstLine="709"/>
        <w:jc w:val="both"/>
        <w:rPr>
          <w:rFonts w:ascii="Times New Roman" w:eastAsia="Times New Roman" w:hAnsi="Times New Roman" w:cs="Times New Roman"/>
          <w:bCs/>
          <w:sz w:val="28"/>
          <w:szCs w:val="28"/>
          <w:lang w:eastAsia="ru-RU"/>
        </w:rPr>
      </w:pPr>
      <w:r w:rsidRPr="00016CF8">
        <w:rPr>
          <w:rFonts w:ascii="Times New Roman" w:eastAsia="Times New Roman" w:hAnsi="Times New Roman" w:cs="Times New Roman"/>
          <w:bCs/>
          <w:sz w:val="28"/>
          <w:szCs w:val="28"/>
          <w:lang w:eastAsia="ru-RU"/>
        </w:rPr>
        <w:t>Число семей, получивших субсидии на оплату жилого помещения и коммунальных услуг, по состоянию на конец 2021 г</w:t>
      </w:r>
      <w:r w:rsidR="00DA342E">
        <w:rPr>
          <w:rFonts w:ascii="Times New Roman" w:eastAsia="Times New Roman" w:hAnsi="Times New Roman" w:cs="Times New Roman"/>
          <w:bCs/>
          <w:sz w:val="28"/>
          <w:szCs w:val="28"/>
          <w:lang w:eastAsia="ru-RU"/>
        </w:rPr>
        <w:t>.</w:t>
      </w:r>
      <w:r w:rsidRPr="00016CF8">
        <w:rPr>
          <w:rFonts w:ascii="Times New Roman" w:eastAsia="Times New Roman" w:hAnsi="Times New Roman" w:cs="Times New Roman"/>
          <w:bCs/>
          <w:sz w:val="28"/>
          <w:szCs w:val="28"/>
          <w:lang w:eastAsia="ru-RU"/>
        </w:rPr>
        <w:t xml:space="preserve"> </w:t>
      </w:r>
      <w:r w:rsidR="0023253E">
        <w:rPr>
          <w:rFonts w:ascii="Times New Roman" w:eastAsia="Times New Roman" w:hAnsi="Times New Roman" w:cs="Times New Roman"/>
          <w:bCs/>
          <w:sz w:val="28"/>
          <w:szCs w:val="28"/>
          <w:lang w:eastAsia="ru-RU"/>
        </w:rPr>
        <w:t xml:space="preserve">уменьшилось </w:t>
      </w:r>
      <w:r w:rsidRPr="00016CF8">
        <w:rPr>
          <w:rFonts w:ascii="Times New Roman" w:eastAsia="Times New Roman" w:hAnsi="Times New Roman" w:cs="Times New Roman"/>
          <w:bCs/>
          <w:sz w:val="28"/>
          <w:szCs w:val="28"/>
          <w:lang w:eastAsia="ru-RU"/>
        </w:rPr>
        <w:t xml:space="preserve">до </w:t>
      </w:r>
      <w:r w:rsidR="0023253E">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,6</w:t>
      </w:r>
      <w:r w:rsidR="0023253E">
        <w:rPr>
          <w:rFonts w:ascii="Times New Roman" w:eastAsia="Times New Roman" w:hAnsi="Times New Roman" w:cs="Times New Roman"/>
          <w:bCs/>
          <w:sz w:val="28"/>
          <w:szCs w:val="28"/>
          <w:lang w:eastAsia="ru-RU"/>
        </w:rPr>
        <w:t>1</w:t>
      </w:r>
      <w:r w:rsidRPr="00016CF8">
        <w:rPr>
          <w:rFonts w:ascii="Times New Roman" w:eastAsia="Times New Roman" w:hAnsi="Times New Roman" w:cs="Times New Roman"/>
          <w:bCs/>
          <w:sz w:val="28"/>
          <w:szCs w:val="28"/>
          <w:lang w:eastAsia="ru-RU"/>
        </w:rPr>
        <w:t xml:space="preserve"> млн</w:t>
      </w:r>
      <w:r w:rsidR="00EA3E28" w:rsidRPr="00D03A4F">
        <w:rPr>
          <w:rFonts w:ascii="Times New Roman" w:eastAsia="Calibri" w:hAnsi="Times New Roman" w:cs="Times New Roman"/>
          <w:sz w:val="28"/>
          <w:szCs w:val="28"/>
        </w:rPr>
        <w:t> </w:t>
      </w:r>
      <w:r w:rsidR="00990227">
        <w:rPr>
          <w:rFonts w:ascii="Times New Roman" w:eastAsia="Calibri" w:hAnsi="Times New Roman" w:cs="Times New Roman"/>
          <w:sz w:val="28"/>
          <w:szCs w:val="28"/>
        </w:rPr>
        <w:br/>
      </w:r>
      <w:r w:rsidRPr="00016CF8">
        <w:rPr>
          <w:rFonts w:ascii="Times New Roman" w:eastAsia="Times New Roman" w:hAnsi="Times New Roman" w:cs="Times New Roman"/>
          <w:bCs/>
          <w:sz w:val="28"/>
          <w:szCs w:val="28"/>
          <w:lang w:eastAsia="ru-RU"/>
        </w:rPr>
        <w:t>(на конец 2020 г. – 3,23 млн семей; на конец 2019 г. – 3,0 млн</w:t>
      </w:r>
      <w:r>
        <w:rPr>
          <w:rFonts w:ascii="Times New Roman" w:eastAsia="Times New Roman" w:hAnsi="Times New Roman" w:cs="Times New Roman"/>
          <w:bCs/>
          <w:sz w:val="28"/>
          <w:szCs w:val="28"/>
          <w:lang w:eastAsia="ru-RU"/>
        </w:rPr>
        <w:t xml:space="preserve"> семей</w:t>
      </w:r>
      <w:r w:rsidRPr="00016CF8">
        <w:rPr>
          <w:rFonts w:ascii="Times New Roman" w:eastAsia="Times New Roman" w:hAnsi="Times New Roman" w:cs="Times New Roman"/>
          <w:bCs/>
          <w:sz w:val="28"/>
          <w:szCs w:val="28"/>
          <w:lang w:eastAsia="ru-RU"/>
        </w:rPr>
        <w:t>). Среднемесячный размер субсидии на семью в 2021 г</w:t>
      </w:r>
      <w:r w:rsidR="00DA342E">
        <w:rPr>
          <w:rFonts w:ascii="Times New Roman" w:eastAsia="Times New Roman" w:hAnsi="Times New Roman" w:cs="Times New Roman"/>
          <w:bCs/>
          <w:sz w:val="28"/>
          <w:szCs w:val="28"/>
          <w:lang w:eastAsia="ru-RU"/>
        </w:rPr>
        <w:t>.</w:t>
      </w:r>
      <w:r w:rsidRPr="00016CF8">
        <w:rPr>
          <w:rFonts w:ascii="Times New Roman" w:eastAsia="Times New Roman" w:hAnsi="Times New Roman" w:cs="Times New Roman"/>
          <w:bCs/>
          <w:sz w:val="28"/>
          <w:szCs w:val="28"/>
          <w:lang w:eastAsia="ru-RU"/>
        </w:rPr>
        <w:t xml:space="preserve"> составил </w:t>
      </w:r>
      <w:r>
        <w:rPr>
          <w:rFonts w:ascii="Times New Roman" w:eastAsia="Times New Roman" w:hAnsi="Times New Roman" w:cs="Times New Roman"/>
          <w:bCs/>
          <w:sz w:val="28"/>
          <w:szCs w:val="28"/>
          <w:lang w:eastAsia="ru-RU"/>
        </w:rPr>
        <w:t>1 695</w:t>
      </w:r>
      <w:r w:rsidRPr="00016CF8">
        <w:rPr>
          <w:rFonts w:ascii="Times New Roman" w:eastAsia="Times New Roman" w:hAnsi="Times New Roman" w:cs="Times New Roman"/>
          <w:bCs/>
          <w:sz w:val="28"/>
          <w:szCs w:val="28"/>
          <w:lang w:eastAsia="ru-RU"/>
        </w:rPr>
        <w:t xml:space="preserve"> рубл</w:t>
      </w:r>
      <w:r>
        <w:rPr>
          <w:rFonts w:ascii="Times New Roman" w:eastAsia="Times New Roman" w:hAnsi="Times New Roman" w:cs="Times New Roman"/>
          <w:bCs/>
          <w:sz w:val="28"/>
          <w:szCs w:val="28"/>
          <w:lang w:eastAsia="ru-RU"/>
        </w:rPr>
        <w:t>ей</w:t>
      </w:r>
      <w:r w:rsidRPr="00016CF8">
        <w:rPr>
          <w:rFonts w:ascii="Times New Roman" w:eastAsia="Times New Roman" w:hAnsi="Times New Roman" w:cs="Times New Roman"/>
          <w:bCs/>
          <w:sz w:val="28"/>
          <w:szCs w:val="28"/>
          <w:lang w:eastAsia="ru-RU"/>
        </w:rPr>
        <w:t xml:space="preserve"> (2020 г. – 1 782 рубл</w:t>
      </w:r>
      <w:r>
        <w:rPr>
          <w:rFonts w:ascii="Times New Roman" w:eastAsia="Times New Roman" w:hAnsi="Times New Roman" w:cs="Times New Roman"/>
          <w:bCs/>
          <w:sz w:val="28"/>
          <w:szCs w:val="28"/>
          <w:lang w:eastAsia="ru-RU"/>
        </w:rPr>
        <w:t>я</w:t>
      </w:r>
      <w:r w:rsidRPr="00016CF8">
        <w:rPr>
          <w:rFonts w:ascii="Times New Roman" w:eastAsia="Times New Roman" w:hAnsi="Times New Roman" w:cs="Times New Roman"/>
          <w:bCs/>
          <w:sz w:val="28"/>
          <w:szCs w:val="28"/>
          <w:lang w:eastAsia="ru-RU"/>
        </w:rPr>
        <w:t xml:space="preserve">; </w:t>
      </w:r>
      <w:r w:rsidR="00135082">
        <w:rPr>
          <w:rFonts w:ascii="Times New Roman" w:eastAsia="Times New Roman" w:hAnsi="Times New Roman" w:cs="Times New Roman"/>
          <w:bCs/>
          <w:sz w:val="28"/>
          <w:szCs w:val="28"/>
          <w:lang w:eastAsia="ru-RU"/>
        </w:rPr>
        <w:br/>
      </w:r>
      <w:r w:rsidRPr="00016CF8">
        <w:rPr>
          <w:rFonts w:ascii="Times New Roman" w:eastAsia="Times New Roman" w:hAnsi="Times New Roman" w:cs="Times New Roman"/>
          <w:bCs/>
          <w:sz w:val="28"/>
          <w:szCs w:val="28"/>
          <w:lang w:eastAsia="ru-RU"/>
        </w:rPr>
        <w:t>2019 г. – 1 590</w:t>
      </w:r>
      <w:r>
        <w:rPr>
          <w:rFonts w:ascii="Times New Roman" w:eastAsia="Times New Roman" w:hAnsi="Times New Roman" w:cs="Times New Roman"/>
          <w:bCs/>
          <w:sz w:val="28"/>
          <w:szCs w:val="28"/>
          <w:lang w:eastAsia="ru-RU"/>
        </w:rPr>
        <w:t xml:space="preserve"> рублей)</w:t>
      </w:r>
      <w:r w:rsidR="00954C54">
        <w:rPr>
          <w:rFonts w:ascii="Times New Roman" w:eastAsia="Times New Roman" w:hAnsi="Times New Roman" w:cs="Times New Roman"/>
          <w:bCs/>
          <w:sz w:val="28"/>
          <w:szCs w:val="28"/>
          <w:lang w:eastAsia="ru-RU"/>
        </w:rPr>
        <w:t>.</w:t>
      </w:r>
    </w:p>
    <w:p w14:paraId="4D6189FD" w14:textId="77777777" w:rsidR="009F01C0" w:rsidRPr="007A20A6" w:rsidRDefault="00D03A4F" w:rsidP="009F01C0">
      <w:pPr>
        <w:spacing w:before="240" w:after="240"/>
        <w:ind w:firstLine="709"/>
        <w:jc w:val="center"/>
        <w:rPr>
          <w:rFonts w:ascii="Times New Roman" w:eastAsia="Times New Roman" w:hAnsi="Times New Roman" w:cs="Times New Roman"/>
          <w:b/>
          <w:sz w:val="28"/>
          <w:szCs w:val="28"/>
          <w:lang w:eastAsia="ru-RU"/>
        </w:rPr>
      </w:pPr>
      <w:r w:rsidRPr="00EE25E0">
        <w:rPr>
          <w:rFonts w:ascii="Times New Roman" w:eastAsia="Times New Roman" w:hAnsi="Times New Roman" w:cs="Times New Roman"/>
          <w:b/>
          <w:sz w:val="28"/>
          <w:szCs w:val="28"/>
          <w:lang w:eastAsia="ru-RU"/>
        </w:rPr>
        <w:t>Меры поддержки многодетных семей</w:t>
      </w:r>
    </w:p>
    <w:p w14:paraId="31F78574" w14:textId="77777777" w:rsidR="00397B2B" w:rsidRPr="00397B2B" w:rsidRDefault="00397B2B" w:rsidP="002B5644">
      <w:pPr>
        <w:spacing w:after="0" w:line="312" w:lineRule="auto"/>
        <w:ind w:firstLine="709"/>
        <w:jc w:val="both"/>
        <w:rPr>
          <w:rFonts w:ascii="Times New Roman" w:eastAsia="Times New Roman" w:hAnsi="Times New Roman" w:cs="Times New Roman"/>
          <w:sz w:val="28"/>
          <w:szCs w:val="28"/>
          <w:lang w:eastAsia="ru-RU"/>
        </w:rPr>
      </w:pPr>
      <w:r w:rsidRPr="00397B2B">
        <w:rPr>
          <w:rFonts w:ascii="Times New Roman" w:eastAsia="Times New Roman" w:hAnsi="Times New Roman" w:cs="Times New Roman"/>
          <w:sz w:val="28"/>
          <w:szCs w:val="28"/>
          <w:lang w:eastAsia="ru-RU"/>
        </w:rPr>
        <w:t>По состоянию на 1 января 2022 г</w:t>
      </w:r>
      <w:r w:rsidR="001E1927">
        <w:rPr>
          <w:rFonts w:ascii="Times New Roman" w:eastAsia="Times New Roman" w:hAnsi="Times New Roman" w:cs="Times New Roman"/>
          <w:sz w:val="28"/>
          <w:szCs w:val="28"/>
          <w:lang w:eastAsia="ru-RU"/>
        </w:rPr>
        <w:t>.</w:t>
      </w:r>
      <w:r w:rsidRPr="00397B2B">
        <w:rPr>
          <w:rFonts w:ascii="Times New Roman" w:eastAsia="Times New Roman" w:hAnsi="Times New Roman" w:cs="Times New Roman"/>
          <w:sz w:val="28"/>
          <w:szCs w:val="28"/>
          <w:lang w:eastAsia="ru-RU"/>
        </w:rPr>
        <w:t xml:space="preserve"> по данным органов исполнительной власти субъектов Российской Федерации численность много</w:t>
      </w:r>
      <w:r w:rsidR="007B6E4E">
        <w:rPr>
          <w:rFonts w:ascii="Times New Roman" w:eastAsia="Times New Roman" w:hAnsi="Times New Roman" w:cs="Times New Roman"/>
          <w:sz w:val="28"/>
          <w:szCs w:val="28"/>
          <w:lang w:eastAsia="ru-RU"/>
        </w:rPr>
        <w:t xml:space="preserve">детных семей составляет </w:t>
      </w:r>
      <w:r w:rsidR="001E1927">
        <w:rPr>
          <w:rFonts w:ascii="Times New Roman" w:eastAsia="Times New Roman" w:hAnsi="Times New Roman" w:cs="Times New Roman"/>
          <w:sz w:val="28"/>
          <w:szCs w:val="28"/>
          <w:lang w:eastAsia="ru-RU"/>
        </w:rPr>
        <w:br/>
      </w:r>
      <w:r w:rsidR="007B6E4E">
        <w:rPr>
          <w:rFonts w:ascii="Times New Roman" w:eastAsia="Times New Roman" w:hAnsi="Times New Roman" w:cs="Times New Roman"/>
          <w:sz w:val="28"/>
          <w:szCs w:val="28"/>
          <w:lang w:eastAsia="ru-RU"/>
        </w:rPr>
        <w:t>2,1 млн</w:t>
      </w:r>
      <w:r w:rsidRPr="00397B2B">
        <w:rPr>
          <w:rFonts w:ascii="Times New Roman" w:eastAsia="Times New Roman" w:hAnsi="Times New Roman" w:cs="Times New Roman"/>
          <w:sz w:val="28"/>
          <w:szCs w:val="28"/>
          <w:lang w:eastAsia="ru-RU"/>
        </w:rPr>
        <w:t xml:space="preserve"> семей, </w:t>
      </w:r>
      <w:r w:rsidR="007B6E4E">
        <w:rPr>
          <w:rFonts w:ascii="Times New Roman" w:eastAsia="Times New Roman" w:hAnsi="Times New Roman" w:cs="Times New Roman"/>
          <w:sz w:val="28"/>
          <w:szCs w:val="28"/>
          <w:lang w:eastAsia="ru-RU"/>
        </w:rPr>
        <w:t>в которых воспитывается 7,0 млн</w:t>
      </w:r>
      <w:r w:rsidRPr="00397B2B">
        <w:rPr>
          <w:rFonts w:ascii="Times New Roman" w:eastAsia="Times New Roman" w:hAnsi="Times New Roman" w:cs="Times New Roman"/>
          <w:sz w:val="28"/>
          <w:szCs w:val="28"/>
          <w:lang w:eastAsia="ru-RU"/>
        </w:rPr>
        <w:t xml:space="preserve"> детей.</w:t>
      </w:r>
    </w:p>
    <w:p w14:paraId="7FC7851C" w14:textId="77777777" w:rsidR="00397B2B" w:rsidRPr="00397B2B" w:rsidRDefault="00397B2B" w:rsidP="002B5644">
      <w:pPr>
        <w:spacing w:after="0" w:line="312" w:lineRule="auto"/>
        <w:ind w:firstLine="709"/>
        <w:jc w:val="both"/>
        <w:rPr>
          <w:rFonts w:ascii="Times New Roman" w:eastAsia="Times New Roman" w:hAnsi="Times New Roman" w:cs="Times New Roman"/>
          <w:sz w:val="28"/>
          <w:szCs w:val="28"/>
          <w:lang w:eastAsia="ru-RU"/>
        </w:rPr>
      </w:pPr>
      <w:r w:rsidRPr="00397B2B">
        <w:rPr>
          <w:rFonts w:ascii="Times New Roman" w:eastAsia="Times New Roman" w:hAnsi="Times New Roman" w:cs="Times New Roman"/>
          <w:sz w:val="28"/>
          <w:szCs w:val="28"/>
          <w:lang w:eastAsia="ru-RU"/>
        </w:rPr>
        <w:t>По состоянию на 1 января 2022 г</w:t>
      </w:r>
      <w:r w:rsidR="002A22FB">
        <w:rPr>
          <w:rFonts w:ascii="Times New Roman" w:eastAsia="Times New Roman" w:hAnsi="Times New Roman" w:cs="Times New Roman"/>
          <w:sz w:val="28"/>
          <w:szCs w:val="28"/>
          <w:lang w:eastAsia="ru-RU"/>
        </w:rPr>
        <w:t>.</w:t>
      </w:r>
      <w:r w:rsidRPr="00397B2B">
        <w:rPr>
          <w:rFonts w:ascii="Times New Roman" w:eastAsia="Times New Roman" w:hAnsi="Times New Roman" w:cs="Times New Roman"/>
          <w:sz w:val="28"/>
          <w:szCs w:val="28"/>
          <w:lang w:eastAsia="ru-RU"/>
        </w:rPr>
        <w:t xml:space="preserve"> многодетным семьям предоставляются следующие меры социальной поддержки:</w:t>
      </w:r>
    </w:p>
    <w:p w14:paraId="244A7870" w14:textId="77777777" w:rsidR="00397B2B" w:rsidRPr="00397B2B" w:rsidRDefault="00397B2B" w:rsidP="002B5644">
      <w:pPr>
        <w:spacing w:after="0" w:line="312" w:lineRule="auto"/>
        <w:ind w:firstLine="709"/>
        <w:jc w:val="both"/>
        <w:rPr>
          <w:rFonts w:ascii="Times New Roman" w:eastAsia="Times New Roman" w:hAnsi="Times New Roman" w:cs="Times New Roman"/>
          <w:sz w:val="28"/>
          <w:szCs w:val="28"/>
          <w:lang w:eastAsia="ru-RU"/>
        </w:rPr>
      </w:pPr>
      <w:r w:rsidRPr="00397B2B">
        <w:rPr>
          <w:rFonts w:ascii="Times New Roman" w:eastAsia="Times New Roman" w:hAnsi="Times New Roman" w:cs="Times New Roman"/>
          <w:sz w:val="28"/>
          <w:szCs w:val="28"/>
          <w:lang w:eastAsia="ru-RU"/>
        </w:rPr>
        <w:t xml:space="preserve">1. Меры в связи с рождением и воспитанием детей: </w:t>
      </w:r>
    </w:p>
    <w:p w14:paraId="57FB1E81" w14:textId="77777777" w:rsidR="00397B2B" w:rsidRPr="00397B2B" w:rsidRDefault="00397B2B" w:rsidP="002B5644">
      <w:pPr>
        <w:spacing w:after="0" w:line="312" w:lineRule="auto"/>
        <w:ind w:firstLine="709"/>
        <w:jc w:val="both"/>
        <w:rPr>
          <w:rFonts w:ascii="Times New Roman" w:eastAsia="Times New Roman" w:hAnsi="Times New Roman" w:cs="Times New Roman"/>
          <w:sz w:val="28"/>
          <w:szCs w:val="28"/>
          <w:lang w:eastAsia="ru-RU"/>
        </w:rPr>
      </w:pPr>
      <w:r w:rsidRPr="00397B2B">
        <w:rPr>
          <w:rFonts w:ascii="Times New Roman" w:eastAsia="Times New Roman" w:hAnsi="Times New Roman" w:cs="Times New Roman"/>
          <w:sz w:val="28"/>
          <w:szCs w:val="28"/>
          <w:lang w:eastAsia="ru-RU"/>
        </w:rPr>
        <w:t>- единовременные пособия при рождении третьего и последующего ребенка, троих и более детей в результате многоплодных родов (63 субъекта Российской Федерации);</w:t>
      </w:r>
    </w:p>
    <w:p w14:paraId="57CE0F15" w14:textId="77777777" w:rsidR="00397B2B" w:rsidRPr="00397B2B" w:rsidRDefault="00397B2B" w:rsidP="002B5644">
      <w:pPr>
        <w:spacing w:after="0" w:line="312" w:lineRule="auto"/>
        <w:ind w:firstLine="709"/>
        <w:jc w:val="both"/>
        <w:rPr>
          <w:rFonts w:ascii="Times New Roman" w:eastAsia="Times New Roman" w:hAnsi="Times New Roman" w:cs="Times New Roman"/>
          <w:sz w:val="28"/>
          <w:szCs w:val="28"/>
          <w:lang w:eastAsia="ru-RU"/>
        </w:rPr>
      </w:pPr>
      <w:r w:rsidRPr="00397B2B">
        <w:rPr>
          <w:rFonts w:ascii="Times New Roman" w:eastAsia="Times New Roman" w:hAnsi="Times New Roman" w:cs="Times New Roman"/>
          <w:sz w:val="28"/>
          <w:szCs w:val="28"/>
          <w:lang w:eastAsia="ru-RU"/>
        </w:rPr>
        <w:t>- пособия и выплаты, предоставляемые ежемесячно, ежеквартально и ежегодно (59 субъектов Российской Федерации).</w:t>
      </w:r>
    </w:p>
    <w:p w14:paraId="172578C4" w14:textId="77777777" w:rsidR="00397B2B" w:rsidRPr="00397B2B" w:rsidRDefault="00397B2B" w:rsidP="002B5644">
      <w:pPr>
        <w:spacing w:after="0" w:line="312" w:lineRule="auto"/>
        <w:ind w:firstLine="709"/>
        <w:jc w:val="both"/>
        <w:rPr>
          <w:rFonts w:ascii="Times New Roman" w:eastAsia="Times New Roman" w:hAnsi="Times New Roman" w:cs="Times New Roman"/>
          <w:sz w:val="28"/>
          <w:szCs w:val="28"/>
          <w:lang w:eastAsia="ru-RU"/>
        </w:rPr>
      </w:pPr>
      <w:r w:rsidRPr="00397B2B">
        <w:rPr>
          <w:rFonts w:ascii="Times New Roman" w:eastAsia="Times New Roman" w:hAnsi="Times New Roman" w:cs="Times New Roman"/>
          <w:sz w:val="28"/>
          <w:szCs w:val="28"/>
          <w:lang w:eastAsia="ru-RU"/>
        </w:rPr>
        <w:t xml:space="preserve">2. Меры, связанные с обучением детей: </w:t>
      </w:r>
    </w:p>
    <w:p w14:paraId="1396AC68" w14:textId="77777777" w:rsidR="00397B2B" w:rsidRPr="00397B2B" w:rsidRDefault="00397B2B" w:rsidP="002B5644">
      <w:pPr>
        <w:spacing w:after="0" w:line="312" w:lineRule="auto"/>
        <w:ind w:firstLine="709"/>
        <w:jc w:val="both"/>
        <w:rPr>
          <w:rFonts w:ascii="Times New Roman" w:eastAsia="Times New Roman" w:hAnsi="Times New Roman" w:cs="Times New Roman"/>
          <w:sz w:val="28"/>
          <w:szCs w:val="28"/>
          <w:lang w:eastAsia="ru-RU"/>
        </w:rPr>
      </w:pPr>
      <w:r w:rsidRPr="00397B2B">
        <w:rPr>
          <w:rFonts w:ascii="Times New Roman" w:eastAsia="Times New Roman" w:hAnsi="Times New Roman" w:cs="Times New Roman"/>
          <w:sz w:val="28"/>
          <w:szCs w:val="28"/>
          <w:lang w:eastAsia="ru-RU"/>
        </w:rPr>
        <w:t>- прием детей в дошкольные образовательные организации в первоочередном порядке;</w:t>
      </w:r>
    </w:p>
    <w:p w14:paraId="1660C3E9" w14:textId="77777777" w:rsidR="00397B2B" w:rsidRPr="00397B2B" w:rsidRDefault="00397B2B" w:rsidP="002B5644">
      <w:pPr>
        <w:spacing w:after="0" w:line="312" w:lineRule="auto"/>
        <w:ind w:firstLine="709"/>
        <w:jc w:val="both"/>
        <w:rPr>
          <w:rFonts w:ascii="Times New Roman" w:eastAsia="Times New Roman" w:hAnsi="Times New Roman" w:cs="Times New Roman"/>
          <w:sz w:val="28"/>
          <w:szCs w:val="28"/>
          <w:lang w:eastAsia="ru-RU"/>
        </w:rPr>
      </w:pPr>
      <w:r w:rsidRPr="00397B2B">
        <w:rPr>
          <w:rFonts w:ascii="Times New Roman" w:eastAsia="Times New Roman" w:hAnsi="Times New Roman" w:cs="Times New Roman"/>
          <w:sz w:val="28"/>
          <w:szCs w:val="28"/>
          <w:lang w:eastAsia="ru-RU"/>
        </w:rPr>
        <w:t xml:space="preserve">- компенсация части родительской платы за </w:t>
      </w:r>
      <w:r w:rsidR="00010D84">
        <w:rPr>
          <w:rFonts w:ascii="Times New Roman" w:eastAsia="Times New Roman" w:hAnsi="Times New Roman" w:cs="Times New Roman"/>
          <w:sz w:val="28"/>
          <w:szCs w:val="28"/>
          <w:lang w:eastAsia="ru-RU"/>
        </w:rPr>
        <w:t>присмотр и уход за ребенком в дошкольной образовательной организации</w:t>
      </w:r>
      <w:r w:rsidRPr="00397B2B">
        <w:rPr>
          <w:rFonts w:ascii="Times New Roman" w:eastAsia="Times New Roman" w:hAnsi="Times New Roman" w:cs="Times New Roman"/>
          <w:sz w:val="28"/>
          <w:szCs w:val="28"/>
          <w:lang w:eastAsia="ru-RU"/>
        </w:rPr>
        <w:t>;</w:t>
      </w:r>
    </w:p>
    <w:p w14:paraId="194888FB" w14:textId="77777777" w:rsidR="00397B2B" w:rsidRPr="00397B2B" w:rsidRDefault="00397B2B" w:rsidP="002B5644">
      <w:pPr>
        <w:spacing w:after="0" w:line="312" w:lineRule="auto"/>
        <w:ind w:firstLine="709"/>
        <w:jc w:val="both"/>
        <w:rPr>
          <w:rFonts w:ascii="Times New Roman" w:eastAsia="Times New Roman" w:hAnsi="Times New Roman" w:cs="Times New Roman"/>
          <w:sz w:val="28"/>
          <w:szCs w:val="28"/>
          <w:lang w:eastAsia="ru-RU"/>
        </w:rPr>
      </w:pPr>
      <w:r w:rsidRPr="00397B2B">
        <w:rPr>
          <w:rFonts w:ascii="Times New Roman" w:eastAsia="Times New Roman" w:hAnsi="Times New Roman" w:cs="Times New Roman"/>
          <w:sz w:val="28"/>
          <w:szCs w:val="28"/>
          <w:lang w:eastAsia="ru-RU"/>
        </w:rPr>
        <w:t>- бесплатный проезд для обучающихся или предоставление компенсации его стоимости (71 субъект Российской Федерации);</w:t>
      </w:r>
    </w:p>
    <w:p w14:paraId="0EBBB5AA" w14:textId="77777777" w:rsidR="00397B2B" w:rsidRPr="00397B2B" w:rsidRDefault="00397B2B" w:rsidP="002B5644">
      <w:pPr>
        <w:spacing w:after="0" w:line="312" w:lineRule="auto"/>
        <w:ind w:firstLine="709"/>
        <w:jc w:val="both"/>
        <w:rPr>
          <w:rFonts w:ascii="Times New Roman" w:eastAsia="Times New Roman" w:hAnsi="Times New Roman" w:cs="Times New Roman"/>
          <w:sz w:val="28"/>
          <w:szCs w:val="28"/>
          <w:lang w:eastAsia="ru-RU"/>
        </w:rPr>
      </w:pPr>
      <w:r w:rsidRPr="00397B2B">
        <w:rPr>
          <w:rFonts w:ascii="Times New Roman" w:eastAsia="Times New Roman" w:hAnsi="Times New Roman" w:cs="Times New Roman"/>
          <w:sz w:val="28"/>
          <w:szCs w:val="28"/>
          <w:lang w:eastAsia="ru-RU"/>
        </w:rPr>
        <w:t xml:space="preserve">- бесплатное питание для обучающихся или предоставление компенсации </w:t>
      </w:r>
      <w:r w:rsidR="00C66257">
        <w:rPr>
          <w:rFonts w:ascii="Times New Roman" w:eastAsia="Times New Roman" w:hAnsi="Times New Roman" w:cs="Times New Roman"/>
          <w:sz w:val="28"/>
          <w:szCs w:val="28"/>
          <w:lang w:eastAsia="ru-RU"/>
        </w:rPr>
        <w:br/>
      </w:r>
      <w:r w:rsidRPr="00397B2B">
        <w:rPr>
          <w:rFonts w:ascii="Times New Roman" w:eastAsia="Times New Roman" w:hAnsi="Times New Roman" w:cs="Times New Roman"/>
          <w:sz w:val="28"/>
          <w:szCs w:val="28"/>
          <w:lang w:eastAsia="ru-RU"/>
        </w:rPr>
        <w:t>(71 субъект Российской Федерации);</w:t>
      </w:r>
    </w:p>
    <w:p w14:paraId="5235023D" w14:textId="77777777" w:rsidR="00397B2B" w:rsidRPr="00397B2B" w:rsidRDefault="00397B2B" w:rsidP="002B5644">
      <w:pPr>
        <w:spacing w:after="0" w:line="312" w:lineRule="auto"/>
        <w:ind w:firstLine="709"/>
        <w:jc w:val="both"/>
        <w:rPr>
          <w:rFonts w:ascii="Times New Roman" w:eastAsia="Times New Roman" w:hAnsi="Times New Roman" w:cs="Times New Roman"/>
          <w:sz w:val="28"/>
          <w:szCs w:val="28"/>
          <w:lang w:eastAsia="ru-RU"/>
        </w:rPr>
      </w:pPr>
      <w:r w:rsidRPr="00397B2B">
        <w:rPr>
          <w:rFonts w:ascii="Times New Roman" w:eastAsia="Times New Roman" w:hAnsi="Times New Roman" w:cs="Times New Roman"/>
          <w:sz w:val="28"/>
          <w:szCs w:val="28"/>
          <w:lang w:eastAsia="ru-RU"/>
        </w:rPr>
        <w:t>- социальные выплаты на приобретение школьной, спортивной формы, на подготовку к школе (67 субъектов Российской Федерации).</w:t>
      </w:r>
    </w:p>
    <w:p w14:paraId="56A3C2F0" w14:textId="77777777" w:rsidR="00397B2B" w:rsidRPr="00397B2B" w:rsidRDefault="00397B2B" w:rsidP="002B5644">
      <w:pPr>
        <w:spacing w:after="0" w:line="312" w:lineRule="auto"/>
        <w:ind w:firstLine="709"/>
        <w:jc w:val="both"/>
        <w:rPr>
          <w:rFonts w:ascii="Times New Roman" w:eastAsia="Times New Roman" w:hAnsi="Times New Roman" w:cs="Times New Roman"/>
          <w:sz w:val="28"/>
          <w:szCs w:val="28"/>
          <w:lang w:eastAsia="ru-RU"/>
        </w:rPr>
      </w:pPr>
      <w:r w:rsidRPr="00397B2B">
        <w:rPr>
          <w:rFonts w:ascii="Times New Roman" w:eastAsia="Times New Roman" w:hAnsi="Times New Roman" w:cs="Times New Roman"/>
          <w:sz w:val="28"/>
          <w:szCs w:val="28"/>
          <w:lang w:eastAsia="ru-RU"/>
        </w:rPr>
        <w:t xml:space="preserve">В ряде регионов размер выплаты зависит от количества детей. В Республиках Башкортостан, Дагестан, Алтайском крае,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многодетной семьи в первый класс. </w:t>
      </w:r>
    </w:p>
    <w:p w14:paraId="637A56CA" w14:textId="77777777" w:rsidR="00397B2B" w:rsidRPr="00397B2B" w:rsidRDefault="00397B2B" w:rsidP="002B5644">
      <w:pPr>
        <w:spacing w:after="0" w:line="312" w:lineRule="auto"/>
        <w:ind w:firstLine="709"/>
        <w:jc w:val="both"/>
        <w:rPr>
          <w:rFonts w:ascii="Times New Roman" w:eastAsia="Times New Roman" w:hAnsi="Times New Roman" w:cs="Times New Roman"/>
          <w:sz w:val="28"/>
          <w:szCs w:val="28"/>
          <w:lang w:eastAsia="ru-RU"/>
        </w:rPr>
      </w:pPr>
      <w:r w:rsidRPr="00397B2B">
        <w:rPr>
          <w:rFonts w:ascii="Times New Roman" w:eastAsia="Times New Roman" w:hAnsi="Times New Roman" w:cs="Times New Roman"/>
          <w:sz w:val="28"/>
          <w:szCs w:val="28"/>
          <w:lang w:eastAsia="ru-RU"/>
        </w:rPr>
        <w:t xml:space="preserve">В Алтайском крае и Новосибирской области указанные выплаты предоставляются как на первоклассников, так и на детей, обучающихся </w:t>
      </w:r>
      <w:r w:rsidR="00CF39A7">
        <w:rPr>
          <w:rFonts w:ascii="Times New Roman" w:eastAsia="Times New Roman" w:hAnsi="Times New Roman" w:cs="Times New Roman"/>
          <w:sz w:val="28"/>
          <w:szCs w:val="28"/>
          <w:lang w:eastAsia="ru-RU"/>
        </w:rPr>
        <w:br/>
      </w:r>
      <w:r w:rsidRPr="00397B2B">
        <w:rPr>
          <w:rFonts w:ascii="Times New Roman" w:eastAsia="Times New Roman" w:hAnsi="Times New Roman" w:cs="Times New Roman"/>
          <w:sz w:val="28"/>
          <w:szCs w:val="28"/>
          <w:lang w:eastAsia="ru-RU"/>
        </w:rPr>
        <w:t>в 2-11 классах. В Хабаровском крае указанная выплата предоставляется на детей из многодетных малоимущих семей, проживающих в сельской местности. В Карачаево-Черкесской Республике обучающиеся из числа многодетных семей бесплатно обеспечиваются школьными учебниками на весь период обучения.</w:t>
      </w:r>
    </w:p>
    <w:p w14:paraId="676068E9" w14:textId="77777777" w:rsidR="00397B2B" w:rsidRPr="00397B2B" w:rsidRDefault="00397B2B" w:rsidP="002B5644">
      <w:pPr>
        <w:spacing w:after="0" w:line="312" w:lineRule="auto"/>
        <w:ind w:firstLine="709"/>
        <w:jc w:val="both"/>
        <w:rPr>
          <w:rFonts w:ascii="Times New Roman" w:eastAsia="Times New Roman" w:hAnsi="Times New Roman" w:cs="Times New Roman"/>
          <w:sz w:val="28"/>
          <w:szCs w:val="28"/>
          <w:lang w:eastAsia="ru-RU"/>
        </w:rPr>
      </w:pPr>
      <w:r w:rsidRPr="00397B2B">
        <w:rPr>
          <w:rFonts w:ascii="Times New Roman" w:eastAsia="Times New Roman" w:hAnsi="Times New Roman" w:cs="Times New Roman"/>
          <w:sz w:val="28"/>
          <w:szCs w:val="28"/>
          <w:lang w:eastAsia="ru-RU"/>
        </w:rPr>
        <w:t xml:space="preserve">3. Меры, связанные с предоставлением медицинских услуг и оздоровлением: </w:t>
      </w:r>
    </w:p>
    <w:p w14:paraId="78A59133" w14:textId="77777777" w:rsidR="00397B2B" w:rsidRPr="00397B2B" w:rsidRDefault="00397B2B" w:rsidP="002B5644">
      <w:pPr>
        <w:spacing w:after="0" w:line="312" w:lineRule="auto"/>
        <w:ind w:firstLine="709"/>
        <w:jc w:val="both"/>
        <w:rPr>
          <w:rFonts w:ascii="Times New Roman" w:eastAsia="Times New Roman" w:hAnsi="Times New Roman" w:cs="Times New Roman"/>
          <w:sz w:val="28"/>
          <w:szCs w:val="28"/>
          <w:lang w:eastAsia="ru-RU"/>
        </w:rPr>
      </w:pPr>
      <w:r w:rsidRPr="00397B2B">
        <w:rPr>
          <w:rFonts w:ascii="Times New Roman" w:eastAsia="Times New Roman" w:hAnsi="Times New Roman" w:cs="Times New Roman"/>
          <w:sz w:val="28"/>
          <w:szCs w:val="28"/>
          <w:lang w:eastAsia="ru-RU"/>
        </w:rPr>
        <w:t xml:space="preserve">- бесплатное лекарственное обеспечение детей в возрасте до 6 лет </w:t>
      </w:r>
      <w:r w:rsidR="00CF39A7">
        <w:rPr>
          <w:rFonts w:ascii="Times New Roman" w:eastAsia="Times New Roman" w:hAnsi="Times New Roman" w:cs="Times New Roman"/>
          <w:sz w:val="28"/>
          <w:szCs w:val="28"/>
          <w:lang w:eastAsia="ru-RU"/>
        </w:rPr>
        <w:br/>
      </w:r>
      <w:r w:rsidRPr="00397B2B">
        <w:rPr>
          <w:rFonts w:ascii="Times New Roman" w:eastAsia="Times New Roman" w:hAnsi="Times New Roman" w:cs="Times New Roman"/>
          <w:sz w:val="28"/>
          <w:szCs w:val="28"/>
          <w:lang w:eastAsia="ru-RU"/>
        </w:rPr>
        <w:t>(76 субъектов Российской Федерации);</w:t>
      </w:r>
    </w:p>
    <w:p w14:paraId="02C05A93" w14:textId="77777777" w:rsidR="00397B2B" w:rsidRPr="00397B2B" w:rsidRDefault="00397B2B" w:rsidP="002B5644">
      <w:pPr>
        <w:spacing w:after="0" w:line="312" w:lineRule="auto"/>
        <w:ind w:firstLine="709"/>
        <w:jc w:val="both"/>
        <w:rPr>
          <w:rFonts w:ascii="Times New Roman" w:eastAsia="Times New Roman" w:hAnsi="Times New Roman" w:cs="Times New Roman"/>
          <w:sz w:val="28"/>
          <w:szCs w:val="28"/>
          <w:lang w:eastAsia="ru-RU"/>
        </w:rPr>
      </w:pPr>
      <w:r w:rsidRPr="00397B2B">
        <w:rPr>
          <w:rFonts w:ascii="Times New Roman" w:eastAsia="Times New Roman" w:hAnsi="Times New Roman" w:cs="Times New Roman"/>
          <w:sz w:val="28"/>
          <w:szCs w:val="28"/>
          <w:lang w:eastAsia="ru-RU"/>
        </w:rPr>
        <w:t>- предоставление путевок в оздоровительные лагеря или предоставление компенсации стоимости (40 субъектов Российской Федерации).</w:t>
      </w:r>
    </w:p>
    <w:p w14:paraId="285F756C" w14:textId="77777777" w:rsidR="00397B2B" w:rsidRPr="00397B2B" w:rsidRDefault="00397B2B" w:rsidP="002B5644">
      <w:pPr>
        <w:spacing w:after="0" w:line="312" w:lineRule="auto"/>
        <w:ind w:firstLine="709"/>
        <w:jc w:val="both"/>
        <w:rPr>
          <w:rFonts w:ascii="Times New Roman" w:eastAsia="Times New Roman" w:hAnsi="Times New Roman" w:cs="Times New Roman"/>
          <w:sz w:val="28"/>
          <w:szCs w:val="28"/>
          <w:lang w:eastAsia="ru-RU"/>
        </w:rPr>
      </w:pPr>
      <w:r w:rsidRPr="00397B2B">
        <w:rPr>
          <w:rFonts w:ascii="Times New Roman" w:eastAsia="Times New Roman" w:hAnsi="Times New Roman" w:cs="Times New Roman"/>
          <w:sz w:val="28"/>
          <w:szCs w:val="28"/>
          <w:lang w:eastAsia="ru-RU"/>
        </w:rPr>
        <w:t xml:space="preserve">4. Меры, связанные с досугом семей: бесплатное посещение музеев, парков культуры и отдыха, театров, возмещение расходов в связи с посещением </w:t>
      </w:r>
      <w:r w:rsidR="00CF39A7">
        <w:rPr>
          <w:rFonts w:ascii="Times New Roman" w:eastAsia="Times New Roman" w:hAnsi="Times New Roman" w:cs="Times New Roman"/>
          <w:sz w:val="28"/>
          <w:szCs w:val="28"/>
          <w:lang w:eastAsia="ru-RU"/>
        </w:rPr>
        <w:br/>
      </w:r>
      <w:r w:rsidRPr="00397B2B">
        <w:rPr>
          <w:rFonts w:ascii="Times New Roman" w:eastAsia="Times New Roman" w:hAnsi="Times New Roman" w:cs="Times New Roman"/>
          <w:sz w:val="28"/>
          <w:szCs w:val="28"/>
          <w:lang w:eastAsia="ru-RU"/>
        </w:rPr>
        <w:t>(45 субъектов Российской Федерации).</w:t>
      </w:r>
    </w:p>
    <w:p w14:paraId="712876AB" w14:textId="77777777" w:rsidR="00397B2B" w:rsidRPr="00397B2B" w:rsidRDefault="00397B2B" w:rsidP="002B5644">
      <w:pPr>
        <w:spacing w:after="0" w:line="312" w:lineRule="auto"/>
        <w:ind w:firstLine="709"/>
        <w:jc w:val="both"/>
        <w:rPr>
          <w:rFonts w:ascii="Times New Roman" w:eastAsia="Times New Roman" w:hAnsi="Times New Roman" w:cs="Times New Roman"/>
          <w:sz w:val="28"/>
          <w:szCs w:val="28"/>
          <w:lang w:eastAsia="ru-RU"/>
        </w:rPr>
      </w:pPr>
      <w:r w:rsidRPr="00397B2B">
        <w:rPr>
          <w:rFonts w:ascii="Times New Roman" w:eastAsia="Times New Roman" w:hAnsi="Times New Roman" w:cs="Times New Roman"/>
          <w:sz w:val="28"/>
          <w:szCs w:val="28"/>
          <w:lang w:eastAsia="ru-RU"/>
        </w:rPr>
        <w:t>5. Меры, связанные с жизнедеятельностью семьи:</w:t>
      </w:r>
    </w:p>
    <w:p w14:paraId="385D6513" w14:textId="77777777" w:rsidR="00397B2B" w:rsidRPr="00397B2B" w:rsidRDefault="00397B2B" w:rsidP="002B5644">
      <w:pPr>
        <w:spacing w:after="0" w:line="312" w:lineRule="auto"/>
        <w:ind w:firstLine="709"/>
        <w:jc w:val="both"/>
        <w:rPr>
          <w:rFonts w:ascii="Times New Roman" w:eastAsia="Times New Roman" w:hAnsi="Times New Roman" w:cs="Times New Roman"/>
          <w:sz w:val="28"/>
          <w:szCs w:val="28"/>
          <w:lang w:eastAsia="ru-RU"/>
        </w:rPr>
      </w:pPr>
      <w:r w:rsidRPr="00397B2B">
        <w:rPr>
          <w:rFonts w:ascii="Times New Roman" w:eastAsia="Times New Roman" w:hAnsi="Times New Roman" w:cs="Times New Roman"/>
          <w:sz w:val="28"/>
          <w:szCs w:val="28"/>
          <w:lang w:eastAsia="ru-RU"/>
        </w:rPr>
        <w:t>- льготы по оплате за жилое помещение и коммунальные услуги.</w:t>
      </w:r>
    </w:p>
    <w:p w14:paraId="71FB538E" w14:textId="77777777" w:rsidR="00397B2B" w:rsidRPr="00397B2B" w:rsidRDefault="00397B2B" w:rsidP="002B5644">
      <w:pPr>
        <w:spacing w:after="0" w:line="312" w:lineRule="auto"/>
        <w:ind w:firstLine="709"/>
        <w:jc w:val="both"/>
        <w:rPr>
          <w:rFonts w:ascii="Times New Roman" w:eastAsia="Times New Roman" w:hAnsi="Times New Roman" w:cs="Times New Roman"/>
          <w:sz w:val="28"/>
          <w:szCs w:val="28"/>
          <w:lang w:eastAsia="ru-RU"/>
        </w:rPr>
      </w:pPr>
      <w:r w:rsidRPr="00397B2B">
        <w:rPr>
          <w:rFonts w:ascii="Times New Roman" w:eastAsia="Times New Roman" w:hAnsi="Times New Roman" w:cs="Times New Roman"/>
          <w:sz w:val="28"/>
          <w:szCs w:val="28"/>
          <w:lang w:eastAsia="ru-RU"/>
        </w:rPr>
        <w:t>Размер льготы зависит от количества детей в многодетной семье и составляет от 30% до 100%.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 стоимости. В Белгородской области, городах Москве и Севастополе многодетным семьям компенсируется абонентская плата за телефон.</w:t>
      </w:r>
    </w:p>
    <w:p w14:paraId="51C15DA1" w14:textId="77777777" w:rsidR="00397B2B" w:rsidRPr="00397B2B" w:rsidRDefault="00397B2B" w:rsidP="002B5644">
      <w:pPr>
        <w:spacing w:after="0" w:line="312" w:lineRule="auto"/>
        <w:ind w:firstLine="709"/>
        <w:jc w:val="both"/>
        <w:rPr>
          <w:rFonts w:ascii="Times New Roman" w:eastAsia="Times New Roman" w:hAnsi="Times New Roman" w:cs="Times New Roman"/>
          <w:sz w:val="28"/>
          <w:szCs w:val="28"/>
          <w:lang w:eastAsia="ru-RU"/>
        </w:rPr>
      </w:pPr>
      <w:r w:rsidRPr="00397B2B">
        <w:rPr>
          <w:rFonts w:ascii="Times New Roman" w:eastAsia="Times New Roman" w:hAnsi="Times New Roman" w:cs="Times New Roman"/>
          <w:sz w:val="28"/>
          <w:szCs w:val="28"/>
          <w:lang w:eastAsia="ru-RU"/>
        </w:rPr>
        <w:t>- налоговые льготы: льготы по уплате транспортного, земельного налогов, налога на имущество физических лиц (51 субъект Российской Федерации);</w:t>
      </w:r>
    </w:p>
    <w:p w14:paraId="0231CAD3" w14:textId="77777777" w:rsidR="00397B2B" w:rsidRPr="00397B2B" w:rsidRDefault="00397B2B" w:rsidP="002B5644">
      <w:pPr>
        <w:spacing w:after="0" w:line="312" w:lineRule="auto"/>
        <w:ind w:firstLine="709"/>
        <w:jc w:val="both"/>
        <w:rPr>
          <w:rFonts w:ascii="Times New Roman" w:eastAsia="Times New Roman" w:hAnsi="Times New Roman" w:cs="Times New Roman"/>
          <w:sz w:val="28"/>
          <w:szCs w:val="28"/>
          <w:lang w:eastAsia="ru-RU"/>
        </w:rPr>
      </w:pPr>
      <w:r w:rsidRPr="00397B2B">
        <w:rPr>
          <w:rFonts w:ascii="Times New Roman" w:eastAsia="Times New Roman" w:hAnsi="Times New Roman" w:cs="Times New Roman"/>
          <w:sz w:val="28"/>
          <w:szCs w:val="28"/>
          <w:lang w:eastAsia="ru-RU"/>
        </w:rPr>
        <w:t>- предоставление транспортного средства или денежных средств на его приобретение (20 субъектов Российской Федерации).</w:t>
      </w:r>
    </w:p>
    <w:p w14:paraId="4B3EB241" w14:textId="77777777" w:rsidR="00397B2B" w:rsidRPr="00397B2B" w:rsidRDefault="00397B2B" w:rsidP="002B5644">
      <w:pPr>
        <w:spacing w:after="0" w:line="312" w:lineRule="auto"/>
        <w:ind w:firstLine="709"/>
        <w:jc w:val="both"/>
        <w:rPr>
          <w:rFonts w:ascii="Times New Roman" w:eastAsia="Times New Roman" w:hAnsi="Times New Roman" w:cs="Times New Roman"/>
          <w:sz w:val="28"/>
          <w:szCs w:val="28"/>
          <w:lang w:eastAsia="ru-RU"/>
        </w:rPr>
      </w:pPr>
      <w:r w:rsidRPr="00397B2B">
        <w:rPr>
          <w:rFonts w:ascii="Times New Roman" w:eastAsia="Times New Roman" w:hAnsi="Times New Roman" w:cs="Times New Roman"/>
          <w:sz w:val="28"/>
          <w:szCs w:val="28"/>
          <w:lang w:eastAsia="ru-RU"/>
        </w:rPr>
        <w:t xml:space="preserve">Право на получение указанной меры поддержки зависит от количества детей в семье. В Хабаровском крае, Воронежской, Тверской областях транспортное средство или выплаты на его приобретение предоставляются многодетной семье, имеющей в своем составе 5 и более несовершеннолетних детей, в Приморском </w:t>
      </w:r>
      <w:r>
        <w:rPr>
          <w:rFonts w:ascii="Times New Roman" w:eastAsia="Times New Roman" w:hAnsi="Times New Roman" w:cs="Times New Roman"/>
          <w:sz w:val="28"/>
          <w:szCs w:val="28"/>
          <w:lang w:eastAsia="ru-RU"/>
        </w:rPr>
        <w:br/>
      </w:r>
      <w:r w:rsidRPr="00397B2B">
        <w:rPr>
          <w:rFonts w:ascii="Times New Roman" w:eastAsia="Times New Roman" w:hAnsi="Times New Roman" w:cs="Times New Roman"/>
          <w:sz w:val="28"/>
          <w:szCs w:val="28"/>
          <w:lang w:eastAsia="ru-RU"/>
        </w:rPr>
        <w:t>крае – 6 и более детей, в Архангельской области – 6 и более детей и награжденным дипломом «Признательность» и (или) знаком отличия «Материнская слава», в Республиках Коми и Хакасия, Ленинградской, Магаданской, Новосибирской, Саратовской областях и городе Санкт-Петербурге – 7 и более детей, в Республике Башкортостан, Камчатском крае, Амурской, Иркутской, Липецкой областях – 8 и более детей, в Республике Саха (Якутия), и Ульяновской областях – 10 и более детей, в Кабардино-Балкарской Республике – многодетной матери, родившей 10 и более детей, награжденной государственной наградой Кабардино-Балкарской Республики – медалью «Материнская слава».</w:t>
      </w:r>
    </w:p>
    <w:p w14:paraId="79CB1784" w14:textId="77777777" w:rsidR="00397B2B" w:rsidRPr="00397B2B" w:rsidRDefault="00397B2B" w:rsidP="002B5644">
      <w:pPr>
        <w:spacing w:after="0" w:line="312" w:lineRule="auto"/>
        <w:ind w:firstLine="709"/>
        <w:jc w:val="both"/>
        <w:rPr>
          <w:rFonts w:ascii="Times New Roman" w:eastAsia="Times New Roman" w:hAnsi="Times New Roman" w:cs="Times New Roman"/>
          <w:sz w:val="28"/>
          <w:szCs w:val="28"/>
          <w:lang w:eastAsia="ru-RU"/>
        </w:rPr>
      </w:pPr>
      <w:r w:rsidRPr="00397B2B">
        <w:rPr>
          <w:rFonts w:ascii="Times New Roman" w:eastAsia="Times New Roman" w:hAnsi="Times New Roman" w:cs="Times New Roman"/>
          <w:sz w:val="28"/>
          <w:szCs w:val="28"/>
          <w:lang w:eastAsia="ru-RU"/>
        </w:rPr>
        <w:t>6. Меры, связанные с улучшением жилищных условий:</w:t>
      </w:r>
    </w:p>
    <w:p w14:paraId="7F522B78" w14:textId="77777777" w:rsidR="00397B2B" w:rsidRPr="00397B2B" w:rsidRDefault="00397B2B" w:rsidP="002B5644">
      <w:pPr>
        <w:spacing w:after="0" w:line="312" w:lineRule="auto"/>
        <w:ind w:firstLine="709"/>
        <w:jc w:val="both"/>
        <w:rPr>
          <w:rFonts w:ascii="Times New Roman" w:eastAsia="Times New Roman" w:hAnsi="Times New Roman" w:cs="Times New Roman"/>
          <w:sz w:val="28"/>
          <w:szCs w:val="28"/>
          <w:lang w:eastAsia="ru-RU"/>
        </w:rPr>
      </w:pPr>
      <w:r w:rsidRPr="00397B2B">
        <w:rPr>
          <w:rFonts w:ascii="Times New Roman" w:eastAsia="Times New Roman" w:hAnsi="Times New Roman" w:cs="Times New Roman"/>
          <w:sz w:val="28"/>
          <w:szCs w:val="28"/>
          <w:lang w:eastAsia="ru-RU"/>
        </w:rPr>
        <w:t>- предоставление земельных участков или компенсации взамен предоставления земельного участка (83 субъекта Российской Федерации);</w:t>
      </w:r>
    </w:p>
    <w:p w14:paraId="0E5A9900" w14:textId="77777777" w:rsidR="00397B2B" w:rsidRPr="00397B2B" w:rsidRDefault="00397B2B" w:rsidP="002B5644">
      <w:pPr>
        <w:spacing w:after="0" w:line="312" w:lineRule="auto"/>
        <w:ind w:firstLine="709"/>
        <w:jc w:val="both"/>
        <w:rPr>
          <w:rFonts w:ascii="Times New Roman" w:eastAsia="Times New Roman" w:hAnsi="Times New Roman" w:cs="Times New Roman"/>
          <w:sz w:val="28"/>
          <w:szCs w:val="28"/>
          <w:lang w:eastAsia="ru-RU"/>
        </w:rPr>
      </w:pPr>
      <w:r w:rsidRPr="00397B2B">
        <w:rPr>
          <w:rFonts w:ascii="Times New Roman" w:eastAsia="Times New Roman" w:hAnsi="Times New Roman" w:cs="Times New Roman"/>
          <w:sz w:val="28"/>
          <w:szCs w:val="28"/>
          <w:lang w:eastAsia="ru-RU"/>
        </w:rPr>
        <w:t>- предоставление жилых помещений, субсидий, единовременных выплат на приобретение (строительство) жилья, возмещение расходов по ипотечным кредитам, процентной ставки по кредиту (80 субъектов Российской Федерации).</w:t>
      </w:r>
    </w:p>
    <w:p w14:paraId="44AC58F6" w14:textId="77777777" w:rsidR="00397B2B" w:rsidRPr="00397B2B" w:rsidRDefault="00397B2B" w:rsidP="002B5644">
      <w:pPr>
        <w:spacing w:after="0" w:line="312" w:lineRule="auto"/>
        <w:ind w:firstLine="709"/>
        <w:jc w:val="both"/>
        <w:rPr>
          <w:rFonts w:ascii="Times New Roman" w:eastAsia="Times New Roman" w:hAnsi="Times New Roman" w:cs="Times New Roman"/>
          <w:sz w:val="28"/>
          <w:szCs w:val="28"/>
          <w:lang w:eastAsia="ru-RU"/>
        </w:rPr>
      </w:pPr>
      <w:r w:rsidRPr="00397B2B">
        <w:rPr>
          <w:rFonts w:ascii="Times New Roman" w:eastAsia="Times New Roman" w:hAnsi="Times New Roman" w:cs="Times New Roman"/>
          <w:sz w:val="28"/>
          <w:szCs w:val="28"/>
          <w:lang w:eastAsia="ru-RU"/>
        </w:rPr>
        <w:t>Нормативными правовыми актами субъектов Российской Федерации помимо единовременных выплат на строительство или приобретение жилого помещения 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на полное или частичное возмещение процентной ставки по кредиту, компенсирующих часть расходов по ипотечным кредитам.</w:t>
      </w:r>
    </w:p>
    <w:p w14:paraId="22DDA58B" w14:textId="77777777" w:rsidR="00B82BF9" w:rsidRPr="00401F00" w:rsidRDefault="00055A34" w:rsidP="002B5644">
      <w:pPr>
        <w:spacing w:after="0" w:line="312" w:lineRule="auto"/>
        <w:ind w:firstLine="709"/>
        <w:jc w:val="both"/>
        <w:rPr>
          <w:rFonts w:ascii="Times New Roman" w:eastAsia="Times New Roman" w:hAnsi="Times New Roman" w:cs="Times New Roman"/>
          <w:sz w:val="28"/>
          <w:szCs w:val="28"/>
          <w:lang w:eastAsia="ru-RU"/>
        </w:rPr>
      </w:pPr>
      <w:r w:rsidRPr="00401F00">
        <w:rPr>
          <w:rFonts w:ascii="Times New Roman" w:eastAsia="Times New Roman" w:hAnsi="Times New Roman" w:cs="Times New Roman"/>
          <w:sz w:val="28"/>
          <w:szCs w:val="28"/>
          <w:lang w:eastAsia="ru-RU"/>
        </w:rPr>
        <w:t>Начиная с 2019 г</w:t>
      </w:r>
      <w:r w:rsidR="00DA342E">
        <w:rPr>
          <w:rFonts w:ascii="Times New Roman" w:eastAsia="Times New Roman" w:hAnsi="Times New Roman" w:cs="Times New Roman"/>
          <w:sz w:val="28"/>
          <w:szCs w:val="28"/>
          <w:lang w:eastAsia="ru-RU"/>
        </w:rPr>
        <w:t>.</w:t>
      </w:r>
      <w:r w:rsidRPr="00401F00">
        <w:rPr>
          <w:rFonts w:ascii="Times New Roman" w:eastAsia="Times New Roman" w:hAnsi="Times New Roman" w:cs="Times New Roman"/>
          <w:sz w:val="28"/>
          <w:szCs w:val="28"/>
          <w:lang w:eastAsia="ru-RU"/>
        </w:rPr>
        <w:t>,</w:t>
      </w:r>
      <w:r w:rsidR="00B82BF9" w:rsidRPr="00401F00">
        <w:rPr>
          <w:rFonts w:ascii="Times New Roman" w:eastAsia="Times New Roman" w:hAnsi="Times New Roman" w:cs="Times New Roman"/>
          <w:sz w:val="28"/>
          <w:szCs w:val="28"/>
          <w:lang w:eastAsia="ru-RU"/>
        </w:rPr>
        <w:t xml:space="preserve"> на федеральном уровне установлен ряд дополнительных мер социальной поддержки многодетных семей.</w:t>
      </w:r>
    </w:p>
    <w:p w14:paraId="2C24869C" w14:textId="77777777" w:rsidR="00B82BF9" w:rsidRPr="00401F00" w:rsidRDefault="00B82BF9" w:rsidP="002B5644">
      <w:pPr>
        <w:spacing w:after="0" w:line="312" w:lineRule="auto"/>
        <w:ind w:firstLine="709"/>
        <w:jc w:val="both"/>
        <w:rPr>
          <w:rFonts w:ascii="Times New Roman" w:eastAsia="Times New Roman" w:hAnsi="Times New Roman" w:cs="Times New Roman"/>
          <w:sz w:val="28"/>
          <w:szCs w:val="28"/>
          <w:lang w:eastAsia="ru-RU"/>
        </w:rPr>
      </w:pPr>
      <w:r w:rsidRPr="00401F00">
        <w:rPr>
          <w:rFonts w:ascii="Times New Roman" w:eastAsia="Times New Roman" w:hAnsi="Times New Roman" w:cs="Times New Roman"/>
          <w:sz w:val="28"/>
          <w:szCs w:val="28"/>
          <w:lang w:eastAsia="ru-RU"/>
        </w:rPr>
        <w:t xml:space="preserve">В частности, в целях улучшения жилищных условий семей при рождении третьего ребенка или последующих детей предоставлено право на однократное получение выплаты в размере 450 тыс. рублей на погашение </w:t>
      </w:r>
      <w:r w:rsidRPr="00401F00">
        <w:rPr>
          <w:rFonts w:ascii="Times New Roman" w:eastAsia="Times New Roman" w:hAnsi="Times New Roman" w:cs="Times New Roman"/>
          <w:sz w:val="28"/>
        </w:rPr>
        <w:t xml:space="preserve">обязательств по ипотечным жилищным кредитам (займам) (более подробная информация о мере поддержки представлена в подразделе «Обеспечение жильем многодетных семей» раздела 3 «Жилищные условия семей, имеющих </w:t>
      </w:r>
      <w:r w:rsidRPr="00401F00">
        <w:rPr>
          <w:rFonts w:ascii="Times New Roman" w:eastAsia="Times New Roman" w:hAnsi="Times New Roman" w:cs="Times New Roman"/>
          <w:sz w:val="28"/>
          <w:szCs w:val="28"/>
          <w:lang w:eastAsia="ru-RU"/>
        </w:rPr>
        <w:t>детей»).</w:t>
      </w:r>
    </w:p>
    <w:p w14:paraId="104CE298" w14:textId="77777777" w:rsidR="00B82BF9" w:rsidRPr="00401F00" w:rsidRDefault="00B82BF9" w:rsidP="002B5644">
      <w:pPr>
        <w:spacing w:after="0" w:line="312" w:lineRule="auto"/>
        <w:ind w:firstLine="709"/>
        <w:jc w:val="both"/>
        <w:rPr>
          <w:rFonts w:ascii="Times New Roman" w:eastAsia="Times New Roman" w:hAnsi="Times New Roman" w:cs="Times New Roman"/>
          <w:sz w:val="28"/>
          <w:szCs w:val="28"/>
          <w:lang w:eastAsia="ru-RU"/>
        </w:rPr>
      </w:pPr>
      <w:r w:rsidRPr="00401F00">
        <w:rPr>
          <w:rFonts w:ascii="Times New Roman" w:eastAsia="Times New Roman" w:hAnsi="Times New Roman" w:cs="Times New Roman"/>
          <w:sz w:val="28"/>
          <w:szCs w:val="28"/>
          <w:lang w:eastAsia="ru-RU"/>
        </w:rPr>
        <w:t>Федераль</w:t>
      </w:r>
      <w:r w:rsidR="00852022">
        <w:rPr>
          <w:rFonts w:ascii="Times New Roman" w:eastAsia="Times New Roman" w:hAnsi="Times New Roman" w:cs="Times New Roman"/>
          <w:sz w:val="28"/>
          <w:szCs w:val="28"/>
          <w:lang w:eastAsia="ru-RU"/>
        </w:rPr>
        <w:t>ным законом от 15 апреля 2019 г.</w:t>
      </w:r>
      <w:r w:rsidRPr="00401F00">
        <w:rPr>
          <w:rFonts w:ascii="Times New Roman" w:eastAsia="Times New Roman" w:hAnsi="Times New Roman" w:cs="Times New Roman"/>
          <w:sz w:val="28"/>
          <w:szCs w:val="28"/>
          <w:lang w:eastAsia="ru-RU"/>
        </w:rPr>
        <w:t xml:space="preserve"> № 63-ФЗ внесены изменения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о налогах и сборах», предусматривающие предоставление многодетным семьям льгот по уплате земельного налога и налога на имущество физических лиц, начиная с налогового периода 2018 г.</w:t>
      </w:r>
    </w:p>
    <w:p w14:paraId="709DA57A" w14:textId="77777777" w:rsidR="00B82BF9" w:rsidRPr="00401F00" w:rsidRDefault="00B82BF9" w:rsidP="002B5644">
      <w:pPr>
        <w:spacing w:after="0" w:line="312" w:lineRule="auto"/>
        <w:ind w:firstLine="709"/>
        <w:jc w:val="both"/>
        <w:rPr>
          <w:rFonts w:ascii="Times New Roman" w:eastAsia="Times New Roman" w:hAnsi="Times New Roman" w:cs="Times New Roman"/>
          <w:sz w:val="28"/>
          <w:szCs w:val="28"/>
          <w:lang w:eastAsia="ru-RU"/>
        </w:rPr>
      </w:pPr>
      <w:r w:rsidRPr="00401F00">
        <w:rPr>
          <w:rFonts w:ascii="Times New Roman" w:eastAsia="Times New Roman" w:hAnsi="Times New Roman" w:cs="Times New Roman"/>
          <w:sz w:val="28"/>
          <w:szCs w:val="28"/>
          <w:lang w:eastAsia="ru-RU"/>
        </w:rPr>
        <w:t xml:space="preserve">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 Указ Президента Российской Федерации от 7 мая 2012 г. № 606) в субъектах Российской Федерации, в которых сложилась неблагоприятная демографическая ситуация и величина суммарного коэффициента рождаемости не превышает 2, предусматривается </w:t>
      </w:r>
      <w:proofErr w:type="spellStart"/>
      <w:r w:rsidRPr="00401F00">
        <w:rPr>
          <w:rFonts w:ascii="Times New Roman" w:eastAsia="Times New Roman" w:hAnsi="Times New Roman" w:cs="Times New Roman"/>
          <w:sz w:val="28"/>
          <w:szCs w:val="28"/>
          <w:lang w:eastAsia="ru-RU"/>
        </w:rPr>
        <w:t>софинансирование</w:t>
      </w:r>
      <w:proofErr w:type="spellEnd"/>
      <w:r w:rsidRPr="00401F00">
        <w:rPr>
          <w:rFonts w:ascii="Times New Roman" w:eastAsia="Times New Roman" w:hAnsi="Times New Roman" w:cs="Times New Roman"/>
          <w:sz w:val="28"/>
          <w:szCs w:val="28"/>
          <w:lang w:eastAsia="ru-RU"/>
        </w:rPr>
        <w:t xml:space="preserve"> за счет бюджетных ассигнований федерального бюджета расходных обязательств субъектов Российской Федерации по данной выплате. При этом при улучшении демографической ситуации в субъекте Российской Федерации поддержка за счет средств федерального бюджета сохраняется еще в течение 5 лет.</w:t>
      </w:r>
      <w:r w:rsidR="006F7E2D">
        <w:rPr>
          <w:rFonts w:ascii="Times New Roman" w:eastAsia="Times New Roman" w:hAnsi="Times New Roman" w:cs="Times New Roman"/>
          <w:sz w:val="28"/>
          <w:szCs w:val="28"/>
          <w:lang w:eastAsia="ru-RU"/>
        </w:rPr>
        <w:t xml:space="preserve"> Н</w:t>
      </w:r>
      <w:r w:rsidR="006F7E2D" w:rsidRPr="00401F00">
        <w:rPr>
          <w:rFonts w:ascii="Times New Roman" w:eastAsia="Times New Roman" w:hAnsi="Times New Roman" w:cs="Times New Roman"/>
          <w:sz w:val="28"/>
          <w:szCs w:val="28"/>
          <w:lang w:eastAsia="ru-RU"/>
        </w:rPr>
        <w:t>ачиная с 1 января 2020 г</w:t>
      </w:r>
      <w:r w:rsidR="00DA342E">
        <w:rPr>
          <w:rFonts w:ascii="Times New Roman" w:eastAsia="Times New Roman" w:hAnsi="Times New Roman" w:cs="Times New Roman"/>
          <w:sz w:val="28"/>
          <w:szCs w:val="28"/>
          <w:lang w:eastAsia="ru-RU"/>
        </w:rPr>
        <w:t>.</w:t>
      </w:r>
      <w:r w:rsidR="006F7E2D" w:rsidRPr="00401F00">
        <w:rPr>
          <w:rFonts w:ascii="Times New Roman" w:eastAsia="Times New Roman" w:hAnsi="Times New Roman" w:cs="Times New Roman"/>
          <w:sz w:val="28"/>
          <w:szCs w:val="28"/>
          <w:lang w:eastAsia="ru-RU"/>
        </w:rPr>
        <w:t xml:space="preserve"> поддержка из федерального бюджета независимо от величины суммарного коэффициента рождаемости оказывается всем субъектам Российской Федерации, входящим в состав Дальневосточного, Сибирского и Уральского федеральных округов.</w:t>
      </w:r>
    </w:p>
    <w:p w14:paraId="6AE2255D" w14:textId="77777777" w:rsidR="00B82BF9" w:rsidRPr="00401F00" w:rsidRDefault="00B82BF9" w:rsidP="002B5644">
      <w:pPr>
        <w:spacing w:after="0" w:line="312" w:lineRule="auto"/>
        <w:ind w:firstLine="709"/>
        <w:jc w:val="both"/>
        <w:rPr>
          <w:rFonts w:ascii="Times New Roman" w:eastAsia="Times New Roman" w:hAnsi="Times New Roman" w:cs="Times New Roman"/>
          <w:sz w:val="28"/>
          <w:szCs w:val="28"/>
          <w:lang w:eastAsia="ru-RU"/>
        </w:rPr>
      </w:pPr>
      <w:r w:rsidRPr="00401F00">
        <w:rPr>
          <w:rFonts w:ascii="Times New Roman" w:eastAsia="Times New Roman" w:hAnsi="Times New Roman" w:cs="Times New Roman"/>
          <w:sz w:val="28"/>
          <w:szCs w:val="28"/>
          <w:lang w:eastAsia="ru-RU"/>
        </w:rPr>
        <w:t xml:space="preserve">Правила предоставления и распределения субсидий из федерального бюджета бюджетам субъектов Российской Федерации на </w:t>
      </w:r>
      <w:proofErr w:type="spellStart"/>
      <w:r w:rsidRPr="00401F00">
        <w:rPr>
          <w:rFonts w:ascii="Times New Roman" w:eastAsia="Times New Roman" w:hAnsi="Times New Roman" w:cs="Times New Roman"/>
          <w:sz w:val="28"/>
          <w:szCs w:val="28"/>
          <w:lang w:eastAsia="ru-RU"/>
        </w:rPr>
        <w:t>софинансирование</w:t>
      </w:r>
      <w:proofErr w:type="spellEnd"/>
      <w:r w:rsidRPr="00401F00">
        <w:rPr>
          <w:rFonts w:ascii="Times New Roman" w:eastAsia="Times New Roman" w:hAnsi="Times New Roman" w:cs="Times New Roman"/>
          <w:sz w:val="28"/>
          <w:szCs w:val="28"/>
          <w:lang w:eastAsia="ru-RU"/>
        </w:rPr>
        <w:t xml:space="preserve"> расходных обязательств субъектов Российской Федерации, возникающих при назначении ежемесячной денежной выплаты, предусмотренной пунктом 2 Указа Президента Российской Федерации от 7 мая 2012 г. № 606, утверждены постановлением Правительства Российской Федерации от 15 апреля 2014 г. № 296. </w:t>
      </w:r>
    </w:p>
    <w:p w14:paraId="00C05E4B" w14:textId="77777777" w:rsidR="00B82BF9" w:rsidRPr="00401F00" w:rsidRDefault="00B82BF9" w:rsidP="002B5644">
      <w:pPr>
        <w:spacing w:after="0" w:line="312" w:lineRule="auto"/>
        <w:ind w:firstLine="709"/>
        <w:jc w:val="both"/>
        <w:rPr>
          <w:rFonts w:ascii="Times New Roman" w:eastAsia="Times New Roman" w:hAnsi="Times New Roman" w:cs="Times New Roman"/>
          <w:sz w:val="28"/>
          <w:szCs w:val="28"/>
          <w:lang w:eastAsia="ru-RU"/>
        </w:rPr>
      </w:pPr>
      <w:r w:rsidRPr="00401F00">
        <w:rPr>
          <w:rFonts w:ascii="Times New Roman" w:eastAsia="Times New Roman" w:hAnsi="Times New Roman" w:cs="Times New Roman"/>
          <w:sz w:val="28"/>
          <w:szCs w:val="28"/>
          <w:lang w:eastAsia="ru-RU"/>
        </w:rPr>
        <w:t>В 20</w:t>
      </w:r>
      <w:r w:rsidR="00D0478B" w:rsidRPr="00401F00">
        <w:rPr>
          <w:rFonts w:ascii="Times New Roman" w:eastAsia="Times New Roman" w:hAnsi="Times New Roman" w:cs="Times New Roman"/>
          <w:sz w:val="28"/>
          <w:szCs w:val="28"/>
          <w:lang w:eastAsia="ru-RU"/>
        </w:rPr>
        <w:t>2</w:t>
      </w:r>
      <w:r w:rsidR="00CB19D1">
        <w:rPr>
          <w:rFonts w:ascii="Times New Roman" w:eastAsia="Times New Roman" w:hAnsi="Times New Roman" w:cs="Times New Roman"/>
          <w:sz w:val="28"/>
          <w:szCs w:val="28"/>
          <w:lang w:eastAsia="ru-RU"/>
        </w:rPr>
        <w:t>1</w:t>
      </w:r>
      <w:r w:rsidRPr="00401F00">
        <w:rPr>
          <w:rFonts w:ascii="Times New Roman" w:eastAsia="Times New Roman" w:hAnsi="Times New Roman" w:cs="Times New Roman"/>
          <w:sz w:val="28"/>
          <w:szCs w:val="28"/>
          <w:lang w:eastAsia="ru-RU"/>
        </w:rPr>
        <w:t xml:space="preserve"> г</w:t>
      </w:r>
      <w:r w:rsidR="00DA342E">
        <w:rPr>
          <w:rFonts w:ascii="Times New Roman" w:eastAsia="Times New Roman" w:hAnsi="Times New Roman" w:cs="Times New Roman"/>
          <w:sz w:val="28"/>
          <w:szCs w:val="28"/>
          <w:lang w:eastAsia="ru-RU"/>
        </w:rPr>
        <w:t>.</w:t>
      </w:r>
      <w:r w:rsidRPr="00401F00">
        <w:rPr>
          <w:rFonts w:ascii="Times New Roman" w:eastAsia="Times New Roman" w:hAnsi="Times New Roman" w:cs="Times New Roman"/>
          <w:sz w:val="28"/>
          <w:szCs w:val="28"/>
          <w:lang w:eastAsia="ru-RU"/>
        </w:rPr>
        <w:t xml:space="preserve"> субсидии общим объемом</w:t>
      </w:r>
      <w:r w:rsidR="00D0478B" w:rsidRPr="00401F00">
        <w:rPr>
          <w:rFonts w:ascii="Times New Roman" w:eastAsia="Times New Roman" w:hAnsi="Times New Roman" w:cs="Times New Roman"/>
          <w:sz w:val="28"/>
          <w:szCs w:val="28"/>
          <w:lang w:eastAsia="ru-RU"/>
        </w:rPr>
        <w:t xml:space="preserve"> </w:t>
      </w:r>
      <w:r w:rsidR="00CB19D1">
        <w:rPr>
          <w:rFonts w:ascii="Times New Roman" w:eastAsia="Times New Roman" w:hAnsi="Times New Roman" w:cs="Times New Roman"/>
          <w:sz w:val="28"/>
          <w:szCs w:val="28"/>
          <w:lang w:eastAsia="ru-RU"/>
        </w:rPr>
        <w:t>64</w:t>
      </w:r>
      <w:r w:rsidR="00D0478B" w:rsidRPr="00401F00">
        <w:rPr>
          <w:rFonts w:ascii="Times New Roman" w:eastAsia="Times New Roman" w:hAnsi="Times New Roman" w:cs="Times New Roman"/>
          <w:sz w:val="28"/>
          <w:szCs w:val="28"/>
          <w:lang w:eastAsia="ru-RU"/>
        </w:rPr>
        <w:t> </w:t>
      </w:r>
      <w:r w:rsidR="00CB19D1">
        <w:rPr>
          <w:rFonts w:ascii="Times New Roman" w:eastAsia="Times New Roman" w:hAnsi="Times New Roman" w:cs="Times New Roman"/>
          <w:sz w:val="28"/>
          <w:szCs w:val="28"/>
          <w:lang w:eastAsia="ru-RU"/>
        </w:rPr>
        <w:t>7</w:t>
      </w:r>
      <w:r w:rsidR="00D0478B" w:rsidRPr="00401F00">
        <w:rPr>
          <w:rFonts w:ascii="Times New Roman" w:eastAsia="Times New Roman" w:hAnsi="Times New Roman" w:cs="Times New Roman"/>
          <w:sz w:val="28"/>
          <w:szCs w:val="28"/>
          <w:lang w:eastAsia="ru-RU"/>
        </w:rPr>
        <w:t>97,</w:t>
      </w:r>
      <w:r w:rsidR="00CB19D1">
        <w:rPr>
          <w:rFonts w:ascii="Times New Roman" w:eastAsia="Times New Roman" w:hAnsi="Times New Roman" w:cs="Times New Roman"/>
          <w:sz w:val="28"/>
          <w:szCs w:val="28"/>
          <w:lang w:eastAsia="ru-RU"/>
        </w:rPr>
        <w:t>5</w:t>
      </w:r>
      <w:r w:rsidR="007B6E4E">
        <w:rPr>
          <w:rFonts w:ascii="Times New Roman" w:eastAsia="Times New Roman" w:hAnsi="Times New Roman" w:cs="Times New Roman"/>
          <w:sz w:val="28"/>
          <w:szCs w:val="28"/>
          <w:lang w:eastAsia="ru-RU"/>
        </w:rPr>
        <w:t xml:space="preserve"> млн</w:t>
      </w:r>
      <w:r w:rsidR="00D0478B" w:rsidRPr="00401F00">
        <w:rPr>
          <w:rFonts w:ascii="Times New Roman" w:eastAsia="Times New Roman" w:hAnsi="Times New Roman" w:cs="Times New Roman"/>
          <w:sz w:val="28"/>
          <w:szCs w:val="28"/>
          <w:lang w:eastAsia="ru-RU"/>
        </w:rPr>
        <w:t xml:space="preserve"> рублей</w:t>
      </w:r>
      <w:r w:rsidRPr="00401F00">
        <w:rPr>
          <w:rFonts w:ascii="Times New Roman" w:eastAsia="Times New Roman" w:hAnsi="Times New Roman" w:cs="Times New Roman"/>
          <w:sz w:val="28"/>
          <w:szCs w:val="28"/>
          <w:lang w:eastAsia="ru-RU"/>
        </w:rPr>
        <w:t xml:space="preserve"> были предоставлены бюджетам </w:t>
      </w:r>
      <w:r w:rsidR="00CB19D1">
        <w:rPr>
          <w:rFonts w:ascii="Times New Roman" w:eastAsia="Times New Roman" w:hAnsi="Times New Roman" w:cs="Times New Roman"/>
          <w:sz w:val="28"/>
          <w:szCs w:val="28"/>
          <w:lang w:eastAsia="ru-RU"/>
        </w:rPr>
        <w:t>7</w:t>
      </w:r>
      <w:r w:rsidRPr="00401F00">
        <w:rPr>
          <w:rFonts w:ascii="Times New Roman" w:eastAsia="Times New Roman" w:hAnsi="Times New Roman" w:cs="Times New Roman"/>
          <w:sz w:val="28"/>
          <w:szCs w:val="28"/>
          <w:lang w:eastAsia="ru-RU"/>
        </w:rPr>
        <w:t xml:space="preserve">5 </w:t>
      </w:r>
      <w:r w:rsidR="00D0478B" w:rsidRPr="00401F00">
        <w:rPr>
          <w:rFonts w:ascii="Times New Roman" w:eastAsia="Times New Roman" w:hAnsi="Times New Roman" w:cs="Times New Roman"/>
          <w:sz w:val="28"/>
          <w:szCs w:val="28"/>
          <w:lang w:eastAsia="ru-RU"/>
        </w:rPr>
        <w:t xml:space="preserve">субъектов Российской Федерации </w:t>
      </w:r>
      <w:r w:rsidRPr="00401F00">
        <w:rPr>
          <w:rFonts w:ascii="Times New Roman" w:eastAsia="Times New Roman" w:hAnsi="Times New Roman" w:cs="Times New Roman"/>
          <w:sz w:val="28"/>
          <w:szCs w:val="28"/>
          <w:lang w:eastAsia="ru-RU"/>
        </w:rPr>
        <w:t>(</w:t>
      </w:r>
      <w:r w:rsidR="00CB19D1" w:rsidRPr="00401F00">
        <w:rPr>
          <w:rFonts w:ascii="Times New Roman" w:eastAsia="Times New Roman" w:hAnsi="Times New Roman" w:cs="Times New Roman"/>
          <w:sz w:val="28"/>
          <w:szCs w:val="28"/>
          <w:lang w:eastAsia="ru-RU"/>
        </w:rPr>
        <w:t>20</w:t>
      </w:r>
      <w:r w:rsidR="00CB19D1">
        <w:rPr>
          <w:rFonts w:ascii="Times New Roman" w:eastAsia="Times New Roman" w:hAnsi="Times New Roman" w:cs="Times New Roman"/>
          <w:sz w:val="28"/>
          <w:szCs w:val="28"/>
          <w:lang w:eastAsia="ru-RU"/>
        </w:rPr>
        <w:t>20</w:t>
      </w:r>
      <w:r w:rsidR="00CB19D1" w:rsidRPr="00401F00">
        <w:rPr>
          <w:rFonts w:ascii="Times New Roman" w:eastAsia="Times New Roman" w:hAnsi="Times New Roman" w:cs="Times New Roman"/>
          <w:sz w:val="28"/>
          <w:szCs w:val="28"/>
          <w:lang w:eastAsia="ru-RU"/>
        </w:rPr>
        <w:t xml:space="preserve"> г. – </w:t>
      </w:r>
      <w:r w:rsidR="00CB19D1">
        <w:rPr>
          <w:rFonts w:ascii="Times New Roman" w:eastAsia="Times New Roman" w:hAnsi="Times New Roman" w:cs="Times New Roman"/>
          <w:sz w:val="28"/>
          <w:szCs w:val="28"/>
          <w:lang w:eastAsia="ru-RU"/>
        </w:rPr>
        <w:t>51 497</w:t>
      </w:r>
      <w:r w:rsidR="00CB19D1" w:rsidRPr="00401F00">
        <w:rPr>
          <w:rFonts w:ascii="Times New Roman" w:eastAsia="Times New Roman" w:hAnsi="Times New Roman" w:cs="Times New Roman"/>
          <w:sz w:val="28"/>
          <w:szCs w:val="28"/>
          <w:lang w:eastAsia="ru-RU"/>
        </w:rPr>
        <w:t xml:space="preserve">,7 млн рублей бюджетам </w:t>
      </w:r>
      <w:r w:rsidR="00CB19D1">
        <w:rPr>
          <w:rFonts w:ascii="Times New Roman" w:eastAsia="Times New Roman" w:hAnsi="Times New Roman" w:cs="Times New Roman"/>
          <w:sz w:val="28"/>
          <w:szCs w:val="28"/>
          <w:lang w:eastAsia="ru-RU"/>
        </w:rPr>
        <w:t>75</w:t>
      </w:r>
      <w:r w:rsidR="00CB19D1" w:rsidRPr="00401F00">
        <w:rPr>
          <w:rFonts w:ascii="Times New Roman" w:eastAsia="Times New Roman" w:hAnsi="Times New Roman" w:cs="Times New Roman"/>
          <w:sz w:val="28"/>
          <w:szCs w:val="28"/>
          <w:lang w:eastAsia="ru-RU"/>
        </w:rPr>
        <w:t xml:space="preserve"> субъектов Российской Федерации; </w:t>
      </w:r>
      <w:r w:rsidR="00D0478B" w:rsidRPr="00401F00">
        <w:rPr>
          <w:rFonts w:ascii="Times New Roman" w:eastAsia="Times New Roman" w:hAnsi="Times New Roman" w:cs="Times New Roman"/>
          <w:sz w:val="28"/>
          <w:szCs w:val="28"/>
          <w:lang w:eastAsia="ru-RU"/>
        </w:rPr>
        <w:t xml:space="preserve">2019 г. </w:t>
      </w:r>
      <w:r w:rsidR="003D1661" w:rsidRPr="00401F00">
        <w:rPr>
          <w:rFonts w:ascii="Times New Roman" w:eastAsia="Times New Roman" w:hAnsi="Times New Roman" w:cs="Times New Roman"/>
          <w:sz w:val="28"/>
          <w:szCs w:val="28"/>
          <w:lang w:eastAsia="ru-RU"/>
        </w:rPr>
        <w:t>–</w:t>
      </w:r>
      <w:r w:rsidR="007B6E4E">
        <w:rPr>
          <w:rFonts w:ascii="Times New Roman" w:eastAsia="Times New Roman" w:hAnsi="Times New Roman" w:cs="Times New Roman"/>
          <w:sz w:val="28"/>
          <w:szCs w:val="28"/>
          <w:lang w:eastAsia="ru-RU"/>
        </w:rPr>
        <w:t xml:space="preserve"> 38 517,1 млн</w:t>
      </w:r>
      <w:r w:rsidR="00D0478B" w:rsidRPr="00401F00">
        <w:rPr>
          <w:rFonts w:ascii="Times New Roman" w:eastAsia="Times New Roman" w:hAnsi="Times New Roman" w:cs="Times New Roman"/>
          <w:sz w:val="28"/>
          <w:szCs w:val="28"/>
          <w:lang w:eastAsia="ru-RU"/>
        </w:rPr>
        <w:t xml:space="preserve"> рублей бюджетам 65 субъектов Российской Федерации</w:t>
      </w:r>
      <w:r w:rsidRPr="00401F00">
        <w:rPr>
          <w:rFonts w:ascii="Times New Roman" w:eastAsia="Times New Roman" w:hAnsi="Times New Roman" w:cs="Times New Roman"/>
          <w:sz w:val="28"/>
          <w:szCs w:val="28"/>
          <w:lang w:eastAsia="ru-RU"/>
        </w:rPr>
        <w:t>).</w:t>
      </w:r>
    </w:p>
    <w:p w14:paraId="6EEE204F" w14:textId="77777777" w:rsidR="00B82BF9" w:rsidRPr="00401F00" w:rsidRDefault="00B82BF9" w:rsidP="002B5644">
      <w:pPr>
        <w:spacing w:after="0" w:line="312" w:lineRule="auto"/>
        <w:ind w:firstLine="709"/>
        <w:jc w:val="both"/>
        <w:rPr>
          <w:rFonts w:ascii="Times New Roman" w:eastAsia="Times New Roman" w:hAnsi="Times New Roman" w:cs="Times New Roman"/>
          <w:sz w:val="28"/>
          <w:szCs w:val="28"/>
          <w:lang w:eastAsia="ru-RU"/>
        </w:rPr>
      </w:pPr>
      <w:r w:rsidRPr="00401F00">
        <w:rPr>
          <w:rFonts w:ascii="Times New Roman" w:eastAsia="Times New Roman" w:hAnsi="Times New Roman" w:cs="Times New Roman"/>
          <w:sz w:val="28"/>
          <w:szCs w:val="28"/>
          <w:lang w:eastAsia="ru-RU"/>
        </w:rPr>
        <w:t xml:space="preserve">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от 7 сентября 2010 г. </w:t>
      </w:r>
      <w:r w:rsidR="0050174B">
        <w:rPr>
          <w:rFonts w:ascii="Times New Roman" w:eastAsia="Times New Roman" w:hAnsi="Times New Roman" w:cs="Times New Roman"/>
          <w:sz w:val="28"/>
          <w:szCs w:val="28"/>
          <w:lang w:eastAsia="ru-RU"/>
        </w:rPr>
        <w:br/>
      </w:r>
      <w:r w:rsidRPr="00401F00">
        <w:rPr>
          <w:rFonts w:ascii="Times New Roman" w:eastAsia="Times New Roman" w:hAnsi="Times New Roman" w:cs="Times New Roman"/>
          <w:sz w:val="28"/>
          <w:szCs w:val="28"/>
          <w:lang w:eastAsia="ru-RU"/>
        </w:rPr>
        <w:t>№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14:paraId="405A7854" w14:textId="77777777" w:rsidR="00B82BF9" w:rsidRPr="00401F00" w:rsidRDefault="00B82BF9" w:rsidP="002B5644">
      <w:pPr>
        <w:spacing w:after="0" w:line="312" w:lineRule="auto"/>
        <w:ind w:firstLine="709"/>
        <w:jc w:val="both"/>
        <w:rPr>
          <w:rFonts w:ascii="Times New Roman" w:eastAsia="Times New Roman" w:hAnsi="Times New Roman" w:cs="Times New Roman"/>
          <w:sz w:val="28"/>
          <w:szCs w:val="28"/>
          <w:lang w:eastAsia="ru-RU"/>
        </w:rPr>
      </w:pPr>
      <w:r w:rsidRPr="00401F00">
        <w:rPr>
          <w:rFonts w:ascii="Times New Roman" w:eastAsia="Times New Roman" w:hAnsi="Times New Roman" w:cs="Times New Roman"/>
          <w:sz w:val="28"/>
          <w:szCs w:val="28"/>
          <w:lang w:eastAsia="ru-RU"/>
        </w:rPr>
        <w:t>Статутом ордена «Родительская слава» предусматривается награждение родителей (усыновителей), состоящих в браке, заключенном в органах записи актов гражданского состояния, либо в случае неполной семьи 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14:paraId="69C6F6AB" w14:textId="77777777" w:rsidR="00B82BF9" w:rsidRPr="00401F00" w:rsidRDefault="00B82BF9" w:rsidP="002B5644">
      <w:pPr>
        <w:spacing w:after="0" w:line="312" w:lineRule="auto"/>
        <w:ind w:firstLine="709"/>
        <w:jc w:val="both"/>
        <w:rPr>
          <w:rFonts w:ascii="Times New Roman" w:eastAsia="Times New Roman" w:hAnsi="Times New Roman" w:cs="Times New Roman"/>
          <w:sz w:val="28"/>
          <w:szCs w:val="28"/>
          <w:lang w:eastAsia="ru-RU"/>
        </w:rPr>
      </w:pPr>
      <w:r w:rsidRPr="00401F00">
        <w:rPr>
          <w:rFonts w:ascii="Times New Roman" w:eastAsia="Times New Roman" w:hAnsi="Times New Roman" w:cs="Times New Roman"/>
          <w:sz w:val="28"/>
          <w:szCs w:val="28"/>
          <w:lang w:eastAsia="ru-RU"/>
        </w:rPr>
        <w:t>При награждении орденом «Родительская слава» установлено единовременное денежное поощрение в размере 100 000 рублей</w:t>
      </w:r>
      <w:r w:rsidR="00C6563F">
        <w:rPr>
          <w:rFonts w:ascii="Times New Roman" w:eastAsia="Times New Roman" w:hAnsi="Times New Roman" w:cs="Times New Roman"/>
          <w:sz w:val="28"/>
          <w:szCs w:val="28"/>
          <w:lang w:eastAsia="ru-RU"/>
        </w:rPr>
        <w:t xml:space="preserve"> (до изменений, внесенных Указом Президента Российской Федерации от 15 августа 2022 г. № 558 «О некоторых вопросах совершенствования государственной системы Российской Федерации»)</w:t>
      </w:r>
      <w:r w:rsidRPr="00401F00">
        <w:rPr>
          <w:rFonts w:ascii="Times New Roman" w:eastAsia="Times New Roman" w:hAnsi="Times New Roman" w:cs="Times New Roman"/>
          <w:sz w:val="28"/>
          <w:szCs w:val="28"/>
          <w:lang w:eastAsia="ru-RU"/>
        </w:rPr>
        <w:t>.</w:t>
      </w:r>
    </w:p>
    <w:p w14:paraId="10F1FB41" w14:textId="77777777" w:rsidR="00B82BF9" w:rsidRPr="00401F00" w:rsidRDefault="00B82BF9" w:rsidP="002B5644">
      <w:pPr>
        <w:spacing w:after="0" w:line="312" w:lineRule="auto"/>
        <w:ind w:firstLine="709"/>
        <w:jc w:val="both"/>
        <w:rPr>
          <w:rFonts w:ascii="Times New Roman" w:eastAsia="Times New Roman" w:hAnsi="Times New Roman" w:cs="Times New Roman"/>
          <w:sz w:val="28"/>
          <w:szCs w:val="28"/>
          <w:lang w:eastAsia="ru-RU"/>
        </w:rPr>
      </w:pPr>
      <w:r w:rsidRPr="00401F00">
        <w:rPr>
          <w:rFonts w:ascii="Times New Roman" w:eastAsia="Times New Roman" w:hAnsi="Times New Roman" w:cs="Times New Roman"/>
          <w:sz w:val="28"/>
          <w:szCs w:val="28"/>
          <w:lang w:eastAsia="ru-RU"/>
        </w:rPr>
        <w:t>В 20</w:t>
      </w:r>
      <w:r w:rsidR="00723D8C" w:rsidRPr="00401F00">
        <w:rPr>
          <w:rFonts w:ascii="Times New Roman" w:eastAsia="Times New Roman" w:hAnsi="Times New Roman" w:cs="Times New Roman"/>
          <w:sz w:val="28"/>
          <w:szCs w:val="28"/>
          <w:lang w:eastAsia="ru-RU"/>
        </w:rPr>
        <w:t>2</w:t>
      </w:r>
      <w:r w:rsidR="00CB19D1">
        <w:rPr>
          <w:rFonts w:ascii="Times New Roman" w:eastAsia="Times New Roman" w:hAnsi="Times New Roman" w:cs="Times New Roman"/>
          <w:sz w:val="28"/>
          <w:szCs w:val="28"/>
          <w:lang w:eastAsia="ru-RU"/>
        </w:rPr>
        <w:t>1</w:t>
      </w:r>
      <w:r w:rsidRPr="00401F00">
        <w:rPr>
          <w:rFonts w:ascii="Times New Roman" w:eastAsia="Times New Roman" w:hAnsi="Times New Roman" w:cs="Times New Roman"/>
          <w:sz w:val="28"/>
          <w:szCs w:val="28"/>
          <w:lang w:eastAsia="ru-RU"/>
        </w:rPr>
        <w:t xml:space="preserve"> г</w:t>
      </w:r>
      <w:r w:rsidR="00DA342E">
        <w:rPr>
          <w:rFonts w:ascii="Times New Roman" w:eastAsia="Times New Roman" w:hAnsi="Times New Roman" w:cs="Times New Roman"/>
          <w:sz w:val="28"/>
          <w:szCs w:val="28"/>
          <w:lang w:eastAsia="ru-RU"/>
        </w:rPr>
        <w:t>.</w:t>
      </w:r>
      <w:r w:rsidRPr="00401F00">
        <w:rPr>
          <w:rFonts w:ascii="Times New Roman" w:eastAsia="Times New Roman" w:hAnsi="Times New Roman" w:cs="Times New Roman"/>
          <w:sz w:val="28"/>
          <w:szCs w:val="28"/>
          <w:lang w:eastAsia="ru-RU"/>
        </w:rPr>
        <w:t xml:space="preserve"> на выплату указанного единовременного денежного поощрения было направлено </w:t>
      </w:r>
      <w:r w:rsidR="00CB19D1">
        <w:rPr>
          <w:rFonts w:ascii="Times New Roman" w:eastAsia="Times New Roman" w:hAnsi="Times New Roman" w:cs="Times New Roman"/>
          <w:sz w:val="28"/>
          <w:szCs w:val="28"/>
          <w:lang w:eastAsia="ru-RU"/>
        </w:rPr>
        <w:t>3</w:t>
      </w:r>
      <w:r w:rsidR="00723D8C" w:rsidRPr="00401F00">
        <w:rPr>
          <w:rFonts w:ascii="Times New Roman" w:eastAsia="Times New Roman" w:hAnsi="Times New Roman" w:cs="Times New Roman"/>
          <w:sz w:val="28"/>
          <w:szCs w:val="28"/>
          <w:lang w:eastAsia="ru-RU"/>
        </w:rPr>
        <w:t xml:space="preserve">,2 млн рублей </w:t>
      </w:r>
      <w:r w:rsidRPr="00401F00">
        <w:rPr>
          <w:rFonts w:ascii="Times New Roman" w:eastAsia="Times New Roman" w:hAnsi="Times New Roman" w:cs="Times New Roman"/>
          <w:sz w:val="28"/>
          <w:szCs w:val="28"/>
          <w:lang w:eastAsia="ru-RU"/>
        </w:rPr>
        <w:t>(</w:t>
      </w:r>
      <w:r w:rsidR="007A29F1" w:rsidRPr="00401F00">
        <w:rPr>
          <w:rFonts w:ascii="Times New Roman" w:eastAsia="Times New Roman" w:hAnsi="Times New Roman" w:cs="Times New Roman"/>
          <w:sz w:val="28"/>
          <w:szCs w:val="28"/>
          <w:lang w:eastAsia="ru-RU"/>
        </w:rPr>
        <w:t>20</w:t>
      </w:r>
      <w:r w:rsidR="007A29F1">
        <w:rPr>
          <w:rFonts w:ascii="Times New Roman" w:eastAsia="Times New Roman" w:hAnsi="Times New Roman" w:cs="Times New Roman"/>
          <w:sz w:val="28"/>
          <w:szCs w:val="28"/>
          <w:lang w:eastAsia="ru-RU"/>
        </w:rPr>
        <w:t>20</w:t>
      </w:r>
      <w:r w:rsidR="007A29F1" w:rsidRPr="00401F00">
        <w:rPr>
          <w:rFonts w:ascii="Times New Roman" w:eastAsia="Times New Roman" w:hAnsi="Times New Roman" w:cs="Times New Roman"/>
          <w:sz w:val="28"/>
          <w:szCs w:val="28"/>
          <w:lang w:eastAsia="ru-RU"/>
        </w:rPr>
        <w:t xml:space="preserve"> г. – </w:t>
      </w:r>
      <w:r w:rsidR="007A29F1">
        <w:rPr>
          <w:rFonts w:ascii="Times New Roman" w:eastAsia="Times New Roman" w:hAnsi="Times New Roman" w:cs="Times New Roman"/>
          <w:sz w:val="28"/>
          <w:szCs w:val="28"/>
          <w:lang w:eastAsia="ru-RU"/>
        </w:rPr>
        <w:t>4</w:t>
      </w:r>
      <w:r w:rsidR="007A29F1" w:rsidRPr="00401F00">
        <w:rPr>
          <w:rFonts w:ascii="Times New Roman" w:eastAsia="Times New Roman" w:hAnsi="Times New Roman" w:cs="Times New Roman"/>
          <w:sz w:val="28"/>
          <w:szCs w:val="28"/>
          <w:lang w:eastAsia="ru-RU"/>
        </w:rPr>
        <w:t>,</w:t>
      </w:r>
      <w:r w:rsidR="007A29F1">
        <w:rPr>
          <w:rFonts w:ascii="Times New Roman" w:eastAsia="Times New Roman" w:hAnsi="Times New Roman" w:cs="Times New Roman"/>
          <w:sz w:val="28"/>
          <w:szCs w:val="28"/>
          <w:lang w:eastAsia="ru-RU"/>
        </w:rPr>
        <w:t>2</w:t>
      </w:r>
      <w:r w:rsidR="007A29F1" w:rsidRPr="00401F00">
        <w:rPr>
          <w:rFonts w:ascii="Times New Roman" w:eastAsia="Times New Roman" w:hAnsi="Times New Roman" w:cs="Times New Roman"/>
          <w:sz w:val="28"/>
          <w:szCs w:val="28"/>
          <w:lang w:eastAsia="ru-RU"/>
        </w:rPr>
        <w:t xml:space="preserve"> млн рублей; </w:t>
      </w:r>
      <w:r w:rsidR="00723D8C" w:rsidRPr="00401F00">
        <w:rPr>
          <w:rFonts w:ascii="Times New Roman" w:eastAsia="Times New Roman" w:hAnsi="Times New Roman" w:cs="Times New Roman"/>
          <w:sz w:val="28"/>
          <w:szCs w:val="28"/>
          <w:lang w:eastAsia="ru-RU"/>
        </w:rPr>
        <w:t>2019 г. – 3,5 млн рублей</w:t>
      </w:r>
      <w:r w:rsidRPr="00401F00">
        <w:rPr>
          <w:rFonts w:ascii="Times New Roman" w:eastAsia="Times New Roman" w:hAnsi="Times New Roman" w:cs="Times New Roman"/>
          <w:sz w:val="28"/>
          <w:szCs w:val="28"/>
          <w:lang w:eastAsia="ru-RU"/>
        </w:rPr>
        <w:t>).</w:t>
      </w:r>
    </w:p>
    <w:p w14:paraId="2E40AD21" w14:textId="77777777" w:rsidR="00B82BF9" w:rsidRPr="00401F00" w:rsidRDefault="00B82BF9" w:rsidP="002B5644">
      <w:pPr>
        <w:spacing w:after="0" w:line="312" w:lineRule="auto"/>
        <w:ind w:firstLine="709"/>
        <w:jc w:val="both"/>
        <w:rPr>
          <w:rFonts w:ascii="Times New Roman" w:eastAsia="Times New Roman" w:hAnsi="Times New Roman" w:cs="Times New Roman"/>
          <w:sz w:val="28"/>
          <w:szCs w:val="28"/>
          <w:lang w:eastAsia="ru-RU"/>
        </w:rPr>
      </w:pPr>
      <w:r w:rsidRPr="00401F00">
        <w:rPr>
          <w:rFonts w:ascii="Times New Roman" w:eastAsia="Times New Roman" w:hAnsi="Times New Roman" w:cs="Times New Roman"/>
          <w:sz w:val="28"/>
          <w:szCs w:val="28"/>
          <w:lang w:eastAsia="ru-RU"/>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14:paraId="023E8D87" w14:textId="77777777" w:rsidR="00B82BF9" w:rsidRPr="00401F00" w:rsidRDefault="00B82BF9" w:rsidP="002B5644">
      <w:pPr>
        <w:spacing w:after="0" w:line="312" w:lineRule="auto"/>
        <w:ind w:firstLine="709"/>
        <w:jc w:val="both"/>
        <w:rPr>
          <w:rFonts w:ascii="Times New Roman" w:eastAsia="Times New Roman" w:hAnsi="Times New Roman" w:cs="Times New Roman"/>
          <w:sz w:val="28"/>
          <w:szCs w:val="28"/>
          <w:lang w:eastAsia="ru-RU"/>
        </w:rPr>
      </w:pPr>
      <w:r w:rsidRPr="00401F00">
        <w:rPr>
          <w:rFonts w:ascii="Times New Roman" w:eastAsia="Times New Roman" w:hAnsi="Times New Roman" w:cs="Times New Roman"/>
          <w:sz w:val="28"/>
          <w:szCs w:val="28"/>
          <w:lang w:eastAsia="ru-RU"/>
        </w:rPr>
        <w:t>Государственные региональные награды за достойное воспитание детей присуждаются многодетным родителям в зависимости от количества детей. 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Кабардино-Балкарской Республике многодетным матерям, награжденным государственной наградой Кабардино-Балкарской Республики «Материнская слава», родившим 10 и более детей, предоставляется микроавтобус. В Пензенской области матерям, награжденным медалью «Материнская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 и ежемесячная денежная выплата. В Мурманской области к Международному дню семьи предусмотрена ежегодная денежная выплата в размере 1 000 рублей.</w:t>
      </w:r>
    </w:p>
    <w:p w14:paraId="34C832E9" w14:textId="77777777" w:rsidR="00B82BF9" w:rsidRPr="00401F00" w:rsidRDefault="00B82BF9" w:rsidP="002B5644">
      <w:pPr>
        <w:spacing w:after="0" w:line="312" w:lineRule="auto"/>
        <w:ind w:firstLine="709"/>
        <w:jc w:val="both"/>
        <w:rPr>
          <w:rFonts w:ascii="Times New Roman" w:eastAsia="Calibri" w:hAnsi="Times New Roman" w:cs="Times New Roman"/>
          <w:sz w:val="28"/>
          <w:szCs w:val="28"/>
        </w:rPr>
      </w:pPr>
      <w:r w:rsidRPr="00401F00">
        <w:rPr>
          <w:rFonts w:ascii="Times New Roman" w:eastAsia="Times New Roman" w:hAnsi="Times New Roman" w:cs="Times New Roman"/>
          <w:sz w:val="28"/>
          <w:szCs w:val="28"/>
          <w:lang w:eastAsia="ru-RU"/>
        </w:rPr>
        <w:t xml:space="preserve">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w:t>
      </w:r>
      <w:r w:rsidRPr="00401F00">
        <w:rPr>
          <w:rFonts w:ascii="Times New Roman" w:eastAsia="Calibri" w:hAnsi="Times New Roman" w:cs="Times New Roman"/>
          <w:sz w:val="28"/>
          <w:szCs w:val="28"/>
        </w:rPr>
        <w:t xml:space="preserve">предоставляется микроавтобус, многодетным семьям, занявшим </w:t>
      </w:r>
      <w:r w:rsidR="00CB19D1">
        <w:rPr>
          <w:rFonts w:ascii="Times New Roman" w:eastAsia="Calibri" w:hAnsi="Times New Roman" w:cs="Times New Roman"/>
          <w:sz w:val="28"/>
          <w:szCs w:val="28"/>
        </w:rPr>
        <w:br/>
      </w:r>
      <w:r w:rsidRPr="00401F00">
        <w:rPr>
          <w:rFonts w:ascii="Times New Roman" w:eastAsia="Calibri" w:hAnsi="Times New Roman" w:cs="Times New Roman"/>
          <w:sz w:val="28"/>
          <w:szCs w:val="28"/>
        </w:rPr>
        <w:t>2 место, – легковые автомобил</w:t>
      </w:r>
      <w:r w:rsidR="005B3A4F">
        <w:rPr>
          <w:rFonts w:ascii="Times New Roman" w:eastAsia="Calibri" w:hAnsi="Times New Roman" w:cs="Times New Roman"/>
          <w:sz w:val="28"/>
          <w:szCs w:val="28"/>
        </w:rPr>
        <w:t>и, многодетным семьям, занявшим</w:t>
      </w:r>
      <w:r w:rsidR="00CB19D1" w:rsidRPr="00401F00">
        <w:rPr>
          <w:rFonts w:ascii="Times New Roman" w:eastAsia="Times New Roman" w:hAnsi="Times New Roman" w:cs="Times New Roman"/>
          <w:sz w:val="28"/>
          <w:szCs w:val="28"/>
          <w:lang w:eastAsia="ru-RU"/>
        </w:rPr>
        <w:t> </w:t>
      </w:r>
      <w:r w:rsidRPr="00401F00">
        <w:rPr>
          <w:rFonts w:ascii="Times New Roman" w:eastAsia="Calibri" w:hAnsi="Times New Roman" w:cs="Times New Roman"/>
          <w:sz w:val="28"/>
          <w:szCs w:val="28"/>
        </w:rPr>
        <w:t>3 место, – комплекты бытовой техники.</w:t>
      </w:r>
    </w:p>
    <w:p w14:paraId="7F55D754" w14:textId="6A6A8FC8" w:rsidR="00B82BF9" w:rsidRPr="00401F00" w:rsidRDefault="00B82BF9" w:rsidP="002B5644">
      <w:pPr>
        <w:spacing w:after="0" w:line="312" w:lineRule="auto"/>
        <w:ind w:firstLine="709"/>
        <w:jc w:val="both"/>
        <w:rPr>
          <w:rFonts w:ascii="Times New Roman" w:eastAsia="Times New Roman" w:hAnsi="Times New Roman" w:cs="Times New Roman"/>
          <w:sz w:val="28"/>
          <w:szCs w:val="28"/>
          <w:lang w:eastAsia="ru-RU"/>
        </w:rPr>
      </w:pPr>
      <w:r w:rsidRPr="00401F00">
        <w:rPr>
          <w:rFonts w:ascii="Times New Roman" w:eastAsia="Calibri" w:hAnsi="Times New Roman" w:cs="Times New Roman"/>
          <w:sz w:val="28"/>
          <w:szCs w:val="28"/>
        </w:rPr>
        <w:t xml:space="preserve">Аналогичные конкурсы проводятся в Иркутской области: конкурс по развитию личного подсобного хозяйства </w:t>
      </w:r>
      <w:r w:rsidRPr="00401F00">
        <w:rPr>
          <w:rFonts w:ascii="Times New Roman" w:eastAsia="Times New Roman" w:hAnsi="Times New Roman" w:cs="Times New Roman"/>
          <w:sz w:val="28"/>
          <w:szCs w:val="28"/>
          <w:lang w:eastAsia="ru-RU"/>
        </w:rPr>
        <w:t>«Лучшая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w:t>
      </w:r>
      <w:r w:rsidR="00CB19D1">
        <w:rPr>
          <w:rFonts w:ascii="Times New Roman" w:eastAsia="Times New Roman" w:hAnsi="Times New Roman" w:cs="Times New Roman"/>
          <w:sz w:val="28"/>
          <w:szCs w:val="28"/>
          <w:lang w:eastAsia="ru-RU"/>
        </w:rPr>
        <w:t> </w:t>
      </w:r>
      <w:r w:rsidRPr="00401F00">
        <w:rPr>
          <w:rFonts w:ascii="Times New Roman" w:eastAsia="Times New Roman" w:hAnsi="Times New Roman" w:cs="Times New Roman"/>
          <w:sz w:val="28"/>
          <w:szCs w:val="28"/>
          <w:lang w:eastAsia="ru-RU"/>
        </w:rPr>
        <w:t>000</w:t>
      </w:r>
      <w:r w:rsidR="00CB19D1">
        <w:rPr>
          <w:rFonts w:ascii="Times New Roman" w:eastAsia="Times New Roman" w:hAnsi="Times New Roman" w:cs="Times New Roman"/>
          <w:sz w:val="28"/>
          <w:szCs w:val="28"/>
          <w:lang w:eastAsia="ru-RU"/>
        </w:rPr>
        <w:t xml:space="preserve"> – </w:t>
      </w:r>
      <w:r w:rsidRPr="00401F00">
        <w:rPr>
          <w:rFonts w:ascii="Times New Roman" w:eastAsia="Times New Roman" w:hAnsi="Times New Roman" w:cs="Times New Roman"/>
          <w:sz w:val="28"/>
          <w:szCs w:val="28"/>
          <w:lang w:eastAsia="ru-RU"/>
        </w:rPr>
        <w:t>250 000 рублей, победителям и призерам конкурса «Почетная семья Иркутской области» предоставляются социальные выплаты в размере 50</w:t>
      </w:r>
      <w:r w:rsidR="00CB19D1">
        <w:rPr>
          <w:rFonts w:ascii="Times New Roman" w:eastAsia="Times New Roman" w:hAnsi="Times New Roman" w:cs="Times New Roman"/>
          <w:sz w:val="28"/>
          <w:szCs w:val="28"/>
          <w:lang w:eastAsia="ru-RU"/>
        </w:rPr>
        <w:t> </w:t>
      </w:r>
      <w:r w:rsidRPr="00401F00">
        <w:rPr>
          <w:rFonts w:ascii="Times New Roman" w:eastAsia="Times New Roman" w:hAnsi="Times New Roman" w:cs="Times New Roman"/>
          <w:sz w:val="28"/>
          <w:szCs w:val="28"/>
          <w:lang w:eastAsia="ru-RU"/>
        </w:rPr>
        <w:t>000</w:t>
      </w:r>
      <w:r w:rsidR="00135082">
        <w:rPr>
          <w:rFonts w:ascii="Times New Roman" w:eastAsia="Times New Roman" w:hAnsi="Times New Roman" w:cs="Times New Roman"/>
          <w:sz w:val="28"/>
          <w:szCs w:val="28"/>
          <w:lang w:eastAsia="ru-RU"/>
        </w:rPr>
        <w:t xml:space="preserve"> – </w:t>
      </w:r>
      <w:r w:rsidR="00CB19D1">
        <w:rPr>
          <w:rFonts w:ascii="Times New Roman" w:eastAsia="Times New Roman" w:hAnsi="Times New Roman" w:cs="Times New Roman"/>
          <w:sz w:val="28"/>
          <w:szCs w:val="28"/>
          <w:lang w:eastAsia="ru-RU"/>
        </w:rPr>
        <w:t>4</w:t>
      </w:r>
      <w:r w:rsidRPr="00401F00">
        <w:rPr>
          <w:rFonts w:ascii="Times New Roman" w:eastAsia="Times New Roman" w:hAnsi="Times New Roman" w:cs="Times New Roman"/>
          <w:sz w:val="28"/>
          <w:szCs w:val="28"/>
          <w:lang w:eastAsia="ru-RU"/>
        </w:rPr>
        <w:t>00 000 рублей.</w:t>
      </w:r>
    </w:p>
    <w:p w14:paraId="1B32BBB0" w14:textId="77777777" w:rsidR="00D03A4F" w:rsidRPr="00C61B1D" w:rsidRDefault="00D03A4F" w:rsidP="00D03A4F">
      <w:pPr>
        <w:spacing w:before="240" w:after="240" w:line="312" w:lineRule="auto"/>
        <w:ind w:firstLine="709"/>
        <w:jc w:val="center"/>
        <w:rPr>
          <w:rFonts w:ascii="Times New Roman" w:eastAsia="Calibri" w:hAnsi="Times New Roman" w:cs="Times New Roman"/>
          <w:b/>
          <w:sz w:val="28"/>
          <w:szCs w:val="28"/>
        </w:rPr>
      </w:pPr>
      <w:r w:rsidRPr="00C61B1D">
        <w:rPr>
          <w:rFonts w:ascii="Times New Roman" w:eastAsia="Calibri" w:hAnsi="Times New Roman" w:cs="Times New Roman"/>
          <w:b/>
          <w:sz w:val="28"/>
          <w:szCs w:val="28"/>
        </w:rPr>
        <w:t>Меры по взысканию алиментов на несовершеннолетних детей</w:t>
      </w:r>
    </w:p>
    <w:p w14:paraId="04570052" w14:textId="19DD105A" w:rsidR="00BE3671" w:rsidRPr="00C61B1D" w:rsidRDefault="00BE3671" w:rsidP="00BE3671">
      <w:pPr>
        <w:spacing w:after="0" w:line="312" w:lineRule="auto"/>
        <w:ind w:firstLine="709"/>
        <w:jc w:val="both"/>
        <w:rPr>
          <w:rFonts w:ascii="Times New Roman" w:eastAsia="Calibri" w:hAnsi="Times New Roman" w:cs="Times New Roman"/>
          <w:sz w:val="28"/>
          <w:szCs w:val="28"/>
        </w:rPr>
      </w:pPr>
      <w:r w:rsidRPr="00C61B1D">
        <w:rPr>
          <w:rFonts w:ascii="Times New Roman" w:eastAsia="Calibri" w:hAnsi="Times New Roman" w:cs="Times New Roman"/>
          <w:sz w:val="28"/>
          <w:szCs w:val="28"/>
        </w:rPr>
        <w:t>В результате работы судебных приставов-исполнителей, системного многоуровневого контроля обеспечен существенный рост взысканных алиментных платежей. В 2021 г</w:t>
      </w:r>
      <w:r w:rsidR="00DA342E" w:rsidRPr="00C61B1D">
        <w:rPr>
          <w:rFonts w:ascii="Times New Roman" w:eastAsia="Calibri" w:hAnsi="Times New Roman" w:cs="Times New Roman"/>
          <w:sz w:val="28"/>
          <w:szCs w:val="28"/>
        </w:rPr>
        <w:t>.</w:t>
      </w:r>
      <w:r w:rsidRPr="00C61B1D">
        <w:rPr>
          <w:rFonts w:ascii="Times New Roman" w:eastAsia="Calibri" w:hAnsi="Times New Roman" w:cs="Times New Roman"/>
          <w:sz w:val="28"/>
          <w:szCs w:val="28"/>
        </w:rPr>
        <w:t xml:space="preserve"> взыскано 32,9 млрд</w:t>
      </w:r>
      <w:r w:rsidR="001E3A31" w:rsidRPr="00C61B1D">
        <w:rPr>
          <w:rFonts w:ascii="Times New Roman" w:eastAsia="Calibri" w:hAnsi="Times New Roman" w:cs="Times New Roman"/>
          <w:sz w:val="28"/>
          <w:szCs w:val="28"/>
        </w:rPr>
        <w:t xml:space="preserve"> рублей, что на 13,9 млрд</w:t>
      </w:r>
      <w:r w:rsidR="004D47B6" w:rsidRPr="00C61B1D">
        <w:rPr>
          <w:rFonts w:ascii="Times New Roman" w:eastAsia="Calibri" w:hAnsi="Times New Roman" w:cs="Times New Roman"/>
          <w:sz w:val="28"/>
          <w:szCs w:val="28"/>
        </w:rPr>
        <w:t xml:space="preserve"> </w:t>
      </w:r>
      <w:r w:rsidRPr="00C61B1D">
        <w:rPr>
          <w:rFonts w:ascii="Times New Roman" w:eastAsia="Calibri" w:hAnsi="Times New Roman" w:cs="Times New Roman"/>
          <w:sz w:val="28"/>
          <w:szCs w:val="28"/>
        </w:rPr>
        <w:t>рублей больше, чем в 2020 г</w:t>
      </w:r>
      <w:r w:rsidR="00DA342E" w:rsidRPr="00C61B1D">
        <w:rPr>
          <w:rFonts w:ascii="Times New Roman" w:eastAsia="Calibri" w:hAnsi="Times New Roman" w:cs="Times New Roman"/>
          <w:sz w:val="28"/>
          <w:szCs w:val="28"/>
        </w:rPr>
        <w:t>.</w:t>
      </w:r>
      <w:r w:rsidRPr="00C61B1D">
        <w:rPr>
          <w:rFonts w:ascii="Times New Roman" w:eastAsia="Calibri" w:hAnsi="Times New Roman" w:cs="Times New Roman"/>
          <w:sz w:val="28"/>
          <w:szCs w:val="28"/>
        </w:rPr>
        <w:t xml:space="preserve"> (</w:t>
      </w:r>
      <w:r w:rsidR="004D47B6" w:rsidRPr="00C61B1D">
        <w:rPr>
          <w:rFonts w:ascii="Times New Roman" w:eastAsia="Calibri" w:hAnsi="Times New Roman" w:cs="Times New Roman"/>
          <w:sz w:val="28"/>
          <w:szCs w:val="28"/>
        </w:rPr>
        <w:t xml:space="preserve">2020 г. – </w:t>
      </w:r>
      <w:r w:rsidRPr="00C61B1D">
        <w:rPr>
          <w:rFonts w:ascii="Times New Roman" w:eastAsia="Calibri" w:hAnsi="Times New Roman" w:cs="Times New Roman"/>
          <w:sz w:val="28"/>
          <w:szCs w:val="28"/>
        </w:rPr>
        <w:t>19 млрд рублей).</w:t>
      </w:r>
    </w:p>
    <w:p w14:paraId="18B3F1CE" w14:textId="151AD2FC" w:rsidR="00BE3671" w:rsidRPr="00C61B1D" w:rsidRDefault="00BE3671" w:rsidP="00BE3671">
      <w:pPr>
        <w:spacing w:after="0" w:line="312" w:lineRule="auto"/>
        <w:ind w:firstLine="709"/>
        <w:jc w:val="both"/>
        <w:rPr>
          <w:rFonts w:ascii="Times New Roman" w:eastAsia="Calibri" w:hAnsi="Times New Roman" w:cs="Times New Roman"/>
          <w:sz w:val="28"/>
          <w:szCs w:val="28"/>
        </w:rPr>
      </w:pPr>
      <w:r w:rsidRPr="00C61B1D">
        <w:rPr>
          <w:rFonts w:ascii="Times New Roman" w:eastAsia="Calibri" w:hAnsi="Times New Roman" w:cs="Times New Roman"/>
          <w:sz w:val="28"/>
          <w:szCs w:val="28"/>
        </w:rPr>
        <w:t xml:space="preserve">Одновременно с этим обеспечено последовательное снижение остатка исполнительных производств о взыскании алиментов (2021 г. – 782,5 тыс.; </w:t>
      </w:r>
      <w:r w:rsidR="00135082">
        <w:rPr>
          <w:rFonts w:ascii="Times New Roman" w:eastAsia="Calibri" w:hAnsi="Times New Roman" w:cs="Times New Roman"/>
          <w:sz w:val="28"/>
          <w:szCs w:val="28"/>
        </w:rPr>
        <w:br/>
      </w:r>
      <w:r w:rsidRPr="00C61B1D">
        <w:rPr>
          <w:rFonts w:ascii="Times New Roman" w:eastAsia="Calibri" w:hAnsi="Times New Roman" w:cs="Times New Roman"/>
          <w:sz w:val="28"/>
          <w:szCs w:val="28"/>
        </w:rPr>
        <w:t>2020 г. – 791,7 тыс.). Доля исполнительных производств, в рамках которых реализуются права на получение алиментов, превысила 80%.</w:t>
      </w:r>
    </w:p>
    <w:p w14:paraId="4A501F29" w14:textId="439DDABB" w:rsidR="00BE3671" w:rsidRPr="00C61B1D" w:rsidRDefault="00BE3671" w:rsidP="00BE3671">
      <w:pPr>
        <w:spacing w:after="0" w:line="312" w:lineRule="auto"/>
        <w:ind w:firstLine="709"/>
        <w:jc w:val="both"/>
        <w:rPr>
          <w:rFonts w:ascii="Times New Roman" w:eastAsia="Calibri" w:hAnsi="Times New Roman" w:cs="Times New Roman"/>
          <w:sz w:val="28"/>
          <w:szCs w:val="28"/>
        </w:rPr>
      </w:pPr>
      <w:r w:rsidRPr="00C61B1D">
        <w:rPr>
          <w:rFonts w:ascii="Times New Roman" w:eastAsia="Calibri" w:hAnsi="Times New Roman" w:cs="Times New Roman"/>
          <w:sz w:val="28"/>
          <w:szCs w:val="28"/>
        </w:rPr>
        <w:t>ФССП России обеспечивается применение комплекса представленных полномочий, направленных на побуждение должников к исполнению возложенных на них обязательств по уплате алиментных платежей.</w:t>
      </w:r>
    </w:p>
    <w:p w14:paraId="7EC851FD" w14:textId="77777777" w:rsidR="00BE3671" w:rsidRPr="00C61B1D" w:rsidRDefault="00BE3671" w:rsidP="00BE3671">
      <w:pPr>
        <w:spacing w:after="0" w:line="312" w:lineRule="auto"/>
        <w:ind w:firstLine="709"/>
        <w:jc w:val="both"/>
        <w:rPr>
          <w:rFonts w:ascii="Times New Roman" w:eastAsia="Calibri" w:hAnsi="Times New Roman" w:cs="Times New Roman"/>
          <w:sz w:val="28"/>
          <w:szCs w:val="28"/>
        </w:rPr>
      </w:pPr>
      <w:r w:rsidRPr="00C61B1D">
        <w:rPr>
          <w:rFonts w:ascii="Times New Roman" w:eastAsia="Calibri" w:hAnsi="Times New Roman" w:cs="Times New Roman"/>
          <w:sz w:val="28"/>
          <w:szCs w:val="28"/>
        </w:rPr>
        <w:t xml:space="preserve">В 2021 </w:t>
      </w:r>
      <w:r w:rsidR="00DA342E" w:rsidRPr="00C61B1D">
        <w:rPr>
          <w:rFonts w:ascii="Times New Roman" w:eastAsia="Calibri" w:hAnsi="Times New Roman" w:cs="Times New Roman"/>
          <w:sz w:val="28"/>
          <w:szCs w:val="28"/>
        </w:rPr>
        <w:t>г.</w:t>
      </w:r>
      <w:r w:rsidRPr="00C61B1D">
        <w:rPr>
          <w:rFonts w:ascii="Times New Roman" w:eastAsia="Calibri" w:hAnsi="Times New Roman" w:cs="Times New Roman"/>
          <w:sz w:val="28"/>
          <w:szCs w:val="28"/>
        </w:rPr>
        <w:t xml:space="preserve"> в рамках исполнительных производств о взыскании алиментных платежей:</w:t>
      </w:r>
    </w:p>
    <w:p w14:paraId="65FE5EE7" w14:textId="77777777" w:rsidR="00BE3671" w:rsidRPr="00C61B1D" w:rsidRDefault="004A60D2" w:rsidP="00BE3671">
      <w:pPr>
        <w:spacing w:after="0" w:line="312" w:lineRule="auto"/>
        <w:ind w:firstLine="709"/>
        <w:jc w:val="both"/>
        <w:rPr>
          <w:rFonts w:ascii="Times New Roman" w:eastAsia="Calibri" w:hAnsi="Times New Roman" w:cs="Times New Roman"/>
          <w:sz w:val="28"/>
          <w:szCs w:val="28"/>
        </w:rPr>
      </w:pPr>
      <w:r w:rsidRPr="00C61B1D">
        <w:rPr>
          <w:rFonts w:ascii="Times New Roman" w:eastAsia="Calibri" w:hAnsi="Times New Roman" w:cs="Times New Roman"/>
          <w:sz w:val="28"/>
          <w:szCs w:val="28"/>
        </w:rPr>
        <w:t>обращено</w:t>
      </w:r>
      <w:r w:rsidR="00BE3671" w:rsidRPr="00C61B1D">
        <w:rPr>
          <w:rFonts w:ascii="Times New Roman" w:eastAsia="Calibri" w:hAnsi="Times New Roman" w:cs="Times New Roman"/>
          <w:sz w:val="28"/>
          <w:szCs w:val="28"/>
        </w:rPr>
        <w:t xml:space="preserve"> взыскание </w:t>
      </w:r>
      <w:r w:rsidRPr="00C61B1D">
        <w:rPr>
          <w:rFonts w:ascii="Times New Roman" w:eastAsia="Calibri" w:hAnsi="Times New Roman" w:cs="Times New Roman"/>
          <w:sz w:val="28"/>
          <w:szCs w:val="28"/>
        </w:rPr>
        <w:t>на доходы должников в рамках 821,8 тыс. исполнительных производств;</w:t>
      </w:r>
    </w:p>
    <w:p w14:paraId="6A8BB7D4" w14:textId="77777777" w:rsidR="004A60D2" w:rsidRPr="00C61B1D" w:rsidRDefault="004A60D2" w:rsidP="00BE3671">
      <w:pPr>
        <w:spacing w:after="0" w:line="312" w:lineRule="auto"/>
        <w:ind w:firstLine="709"/>
        <w:jc w:val="both"/>
        <w:rPr>
          <w:rFonts w:ascii="Times New Roman" w:eastAsia="Calibri" w:hAnsi="Times New Roman" w:cs="Times New Roman"/>
          <w:sz w:val="28"/>
          <w:szCs w:val="28"/>
        </w:rPr>
      </w:pPr>
      <w:r w:rsidRPr="00C61B1D">
        <w:rPr>
          <w:rFonts w:ascii="Times New Roman" w:eastAsia="Calibri" w:hAnsi="Times New Roman" w:cs="Times New Roman"/>
          <w:sz w:val="28"/>
          <w:szCs w:val="28"/>
        </w:rPr>
        <w:t>произведено 73,8 тыс. арестов имущества должников;</w:t>
      </w:r>
    </w:p>
    <w:p w14:paraId="0D184025" w14:textId="11AD6239" w:rsidR="004A60D2" w:rsidRPr="00C61B1D" w:rsidRDefault="0070332A" w:rsidP="00BE3671">
      <w:pPr>
        <w:spacing w:after="0" w:line="312" w:lineRule="auto"/>
        <w:ind w:firstLine="709"/>
        <w:jc w:val="both"/>
        <w:rPr>
          <w:rFonts w:ascii="Times New Roman" w:eastAsia="Calibri" w:hAnsi="Times New Roman" w:cs="Times New Roman"/>
          <w:sz w:val="28"/>
          <w:szCs w:val="28"/>
        </w:rPr>
      </w:pPr>
      <w:r w:rsidRPr="00C61B1D">
        <w:rPr>
          <w:rFonts w:ascii="Times New Roman" w:eastAsia="Calibri" w:hAnsi="Times New Roman" w:cs="Times New Roman"/>
          <w:sz w:val="28"/>
          <w:szCs w:val="28"/>
        </w:rPr>
        <w:t>в производстве находилось 119,5 тыс. р</w:t>
      </w:r>
      <w:r w:rsidR="00627A2E">
        <w:rPr>
          <w:rFonts w:ascii="Times New Roman" w:eastAsia="Calibri" w:hAnsi="Times New Roman" w:cs="Times New Roman"/>
          <w:sz w:val="28"/>
          <w:szCs w:val="28"/>
        </w:rPr>
        <w:t>о</w:t>
      </w:r>
      <w:r w:rsidRPr="00C61B1D">
        <w:rPr>
          <w:rFonts w:ascii="Times New Roman" w:eastAsia="Calibri" w:hAnsi="Times New Roman" w:cs="Times New Roman"/>
          <w:sz w:val="28"/>
          <w:szCs w:val="28"/>
        </w:rPr>
        <w:t>зыскных дел, разыскано более 45 тыс. должников;</w:t>
      </w:r>
    </w:p>
    <w:p w14:paraId="76619624" w14:textId="77777777" w:rsidR="0070332A" w:rsidRPr="00C61B1D" w:rsidRDefault="0070332A" w:rsidP="00BE3671">
      <w:pPr>
        <w:spacing w:after="0" w:line="312" w:lineRule="auto"/>
        <w:ind w:firstLine="709"/>
        <w:jc w:val="both"/>
        <w:rPr>
          <w:rFonts w:ascii="Times New Roman" w:eastAsia="Calibri" w:hAnsi="Times New Roman" w:cs="Times New Roman"/>
          <w:sz w:val="28"/>
          <w:szCs w:val="28"/>
        </w:rPr>
      </w:pPr>
      <w:r w:rsidRPr="00C61B1D">
        <w:rPr>
          <w:rFonts w:ascii="Times New Roman" w:eastAsia="Calibri" w:hAnsi="Times New Roman" w:cs="Times New Roman"/>
          <w:sz w:val="28"/>
          <w:szCs w:val="28"/>
        </w:rPr>
        <w:t>вынесено 1,1 млн постановлений о временном ограничении на выезд должников из Российской Федерации;</w:t>
      </w:r>
    </w:p>
    <w:p w14:paraId="18C9E6F4" w14:textId="77777777" w:rsidR="0070332A" w:rsidRPr="00C61B1D" w:rsidRDefault="0070332A" w:rsidP="00BE3671">
      <w:pPr>
        <w:spacing w:after="0" w:line="312" w:lineRule="auto"/>
        <w:ind w:firstLine="709"/>
        <w:jc w:val="both"/>
        <w:rPr>
          <w:rFonts w:ascii="Times New Roman" w:eastAsia="Calibri" w:hAnsi="Times New Roman" w:cs="Times New Roman"/>
          <w:sz w:val="28"/>
          <w:szCs w:val="28"/>
        </w:rPr>
      </w:pPr>
      <w:r w:rsidRPr="00C61B1D">
        <w:rPr>
          <w:rFonts w:ascii="Times New Roman" w:eastAsia="Calibri" w:hAnsi="Times New Roman" w:cs="Times New Roman"/>
          <w:sz w:val="28"/>
          <w:szCs w:val="28"/>
        </w:rPr>
        <w:t>в рамках 83,4 тыс. исполнительных производств должникам вручены направления в подразделения службы занятости, из них:</w:t>
      </w:r>
    </w:p>
    <w:p w14:paraId="14ADEC7E" w14:textId="77777777" w:rsidR="0070332A" w:rsidRPr="00C61B1D" w:rsidRDefault="0070332A" w:rsidP="00BE3671">
      <w:pPr>
        <w:spacing w:after="0" w:line="312" w:lineRule="auto"/>
        <w:ind w:firstLine="709"/>
        <w:jc w:val="both"/>
        <w:rPr>
          <w:rFonts w:ascii="Times New Roman" w:eastAsia="Calibri" w:hAnsi="Times New Roman" w:cs="Times New Roman"/>
          <w:sz w:val="28"/>
          <w:szCs w:val="28"/>
        </w:rPr>
      </w:pPr>
      <w:r w:rsidRPr="00C61B1D">
        <w:rPr>
          <w:rFonts w:ascii="Times New Roman" w:eastAsia="Calibri" w:hAnsi="Times New Roman" w:cs="Times New Roman"/>
          <w:sz w:val="28"/>
          <w:szCs w:val="28"/>
        </w:rPr>
        <w:t>по 43,7 тыс. исполнительных производств должники обратились (встали на учет) в центры занятости;</w:t>
      </w:r>
    </w:p>
    <w:p w14:paraId="6F566D0C" w14:textId="77777777" w:rsidR="0070332A" w:rsidRPr="00C61B1D" w:rsidRDefault="0070332A" w:rsidP="00BE3671">
      <w:pPr>
        <w:spacing w:after="0" w:line="312" w:lineRule="auto"/>
        <w:ind w:firstLine="709"/>
        <w:jc w:val="both"/>
        <w:rPr>
          <w:rFonts w:ascii="Times New Roman" w:eastAsia="Calibri" w:hAnsi="Times New Roman" w:cs="Times New Roman"/>
          <w:sz w:val="28"/>
          <w:szCs w:val="28"/>
        </w:rPr>
      </w:pPr>
      <w:r w:rsidRPr="00C61B1D">
        <w:rPr>
          <w:rFonts w:ascii="Times New Roman" w:eastAsia="Calibri" w:hAnsi="Times New Roman" w:cs="Times New Roman"/>
          <w:sz w:val="28"/>
          <w:szCs w:val="28"/>
        </w:rPr>
        <w:t>по 28 тыс. производятся удержания из пособий по безработице</w:t>
      </w:r>
      <w:r w:rsidR="00D3351D" w:rsidRPr="00C61B1D">
        <w:rPr>
          <w:rFonts w:ascii="Times New Roman" w:eastAsia="Calibri" w:hAnsi="Times New Roman" w:cs="Times New Roman"/>
          <w:sz w:val="28"/>
          <w:szCs w:val="28"/>
        </w:rPr>
        <w:t>;</w:t>
      </w:r>
    </w:p>
    <w:p w14:paraId="61A245F1" w14:textId="77777777" w:rsidR="00D3351D" w:rsidRPr="00C61B1D" w:rsidRDefault="00D3351D" w:rsidP="00BE3671">
      <w:pPr>
        <w:spacing w:after="0" w:line="312" w:lineRule="auto"/>
        <w:ind w:firstLine="709"/>
        <w:jc w:val="both"/>
        <w:rPr>
          <w:rFonts w:ascii="Times New Roman" w:eastAsia="Calibri" w:hAnsi="Times New Roman" w:cs="Times New Roman"/>
          <w:sz w:val="28"/>
          <w:szCs w:val="28"/>
        </w:rPr>
      </w:pPr>
      <w:r w:rsidRPr="00C61B1D">
        <w:rPr>
          <w:rFonts w:ascii="Times New Roman" w:eastAsia="Calibri" w:hAnsi="Times New Roman" w:cs="Times New Roman"/>
          <w:sz w:val="28"/>
          <w:szCs w:val="28"/>
        </w:rPr>
        <w:t>7,7 тыс. должников устроились на работу.</w:t>
      </w:r>
    </w:p>
    <w:p w14:paraId="29620DA3" w14:textId="3CE9509E" w:rsidR="00D3351D" w:rsidRPr="00C61B1D" w:rsidRDefault="00D3351D" w:rsidP="00BE3671">
      <w:pPr>
        <w:spacing w:after="0" w:line="312" w:lineRule="auto"/>
        <w:ind w:firstLine="709"/>
        <w:jc w:val="both"/>
        <w:rPr>
          <w:rFonts w:ascii="Times New Roman" w:eastAsia="Calibri" w:hAnsi="Times New Roman" w:cs="Times New Roman"/>
          <w:sz w:val="28"/>
          <w:szCs w:val="28"/>
        </w:rPr>
      </w:pPr>
      <w:r w:rsidRPr="00C61B1D">
        <w:rPr>
          <w:rFonts w:ascii="Times New Roman" w:eastAsia="Calibri" w:hAnsi="Times New Roman" w:cs="Times New Roman"/>
          <w:sz w:val="28"/>
          <w:szCs w:val="28"/>
        </w:rPr>
        <w:t>Особое внимание ФССП России уделялось работ</w:t>
      </w:r>
      <w:r w:rsidR="00003640">
        <w:rPr>
          <w:rFonts w:ascii="Times New Roman" w:eastAsia="Calibri" w:hAnsi="Times New Roman" w:cs="Times New Roman"/>
          <w:sz w:val="28"/>
          <w:szCs w:val="28"/>
        </w:rPr>
        <w:t>е</w:t>
      </w:r>
      <w:r w:rsidRPr="00C61B1D">
        <w:rPr>
          <w:rFonts w:ascii="Times New Roman" w:eastAsia="Calibri" w:hAnsi="Times New Roman" w:cs="Times New Roman"/>
          <w:sz w:val="28"/>
          <w:szCs w:val="28"/>
        </w:rPr>
        <w:t xml:space="preserve"> по привлечению к ответственности должников, осуществляющих выплаты по алиментам в размере, менее установленного судебным решением или нотариально удостоверенным соглашением, и избегавших наказания вследствие недостаточной конкретизации норм административного и уголовного права.</w:t>
      </w:r>
    </w:p>
    <w:p w14:paraId="31B1ECF3" w14:textId="77777777" w:rsidR="009C5C56" w:rsidRPr="00C61B1D" w:rsidRDefault="009C5C56" w:rsidP="00BE3671">
      <w:pPr>
        <w:spacing w:after="0" w:line="312" w:lineRule="auto"/>
        <w:ind w:firstLine="709"/>
        <w:jc w:val="both"/>
        <w:rPr>
          <w:rFonts w:ascii="Times New Roman" w:eastAsia="Calibri" w:hAnsi="Times New Roman" w:cs="Times New Roman"/>
          <w:sz w:val="28"/>
          <w:szCs w:val="28"/>
        </w:rPr>
      </w:pPr>
      <w:r w:rsidRPr="00C61B1D">
        <w:rPr>
          <w:rFonts w:ascii="Times New Roman" w:eastAsia="Calibri" w:hAnsi="Times New Roman" w:cs="Times New Roman"/>
          <w:sz w:val="28"/>
          <w:szCs w:val="28"/>
        </w:rPr>
        <w:t>В целях устранения проблем, возникающих при решении вопроса о привлечении лица к административной и уголовной ответственности</w:t>
      </w:r>
      <w:r w:rsidR="00A808CB" w:rsidRPr="00C61B1D">
        <w:rPr>
          <w:rFonts w:ascii="Times New Roman" w:eastAsia="Calibri" w:hAnsi="Times New Roman" w:cs="Times New Roman"/>
          <w:sz w:val="28"/>
          <w:szCs w:val="28"/>
        </w:rPr>
        <w:t xml:space="preserve"> за неуплату алиментов, Пленумом Верховного Суда Российской Федерации принято постановление от 27 апреля 2021 г. № 6 «О некоторых вопросах, возникающих в судебной практике при рассмотрении дел об административных правонарушениях, связанных с неуплатой средств на содержание детей или нетрудоспособных родителей».</w:t>
      </w:r>
    </w:p>
    <w:p w14:paraId="11DBEBBD" w14:textId="77777777" w:rsidR="00A808CB" w:rsidRPr="00C61B1D" w:rsidRDefault="00A808CB" w:rsidP="00BE3671">
      <w:pPr>
        <w:spacing w:after="0" w:line="312" w:lineRule="auto"/>
        <w:ind w:firstLine="709"/>
        <w:jc w:val="both"/>
        <w:rPr>
          <w:rFonts w:ascii="Times New Roman" w:eastAsia="Calibri" w:hAnsi="Times New Roman" w:cs="Times New Roman"/>
          <w:sz w:val="28"/>
          <w:szCs w:val="28"/>
        </w:rPr>
      </w:pPr>
      <w:r w:rsidRPr="00C61B1D">
        <w:rPr>
          <w:rFonts w:ascii="Times New Roman" w:eastAsia="Calibri" w:hAnsi="Times New Roman" w:cs="Times New Roman"/>
          <w:sz w:val="28"/>
          <w:szCs w:val="28"/>
        </w:rPr>
        <w:t>Должностн</w:t>
      </w:r>
      <w:r w:rsidR="00F16238" w:rsidRPr="00C61B1D">
        <w:rPr>
          <w:rFonts w:ascii="Times New Roman" w:eastAsia="Calibri" w:hAnsi="Times New Roman" w:cs="Times New Roman"/>
          <w:sz w:val="28"/>
          <w:szCs w:val="28"/>
        </w:rPr>
        <w:t>ыми лицами ФССП России в 2021 г</w:t>
      </w:r>
      <w:r w:rsidR="00DA342E" w:rsidRPr="00C61B1D">
        <w:rPr>
          <w:rFonts w:ascii="Times New Roman" w:eastAsia="Calibri" w:hAnsi="Times New Roman" w:cs="Times New Roman"/>
          <w:sz w:val="28"/>
          <w:szCs w:val="28"/>
        </w:rPr>
        <w:t>.</w:t>
      </w:r>
      <w:r w:rsidRPr="00C61B1D">
        <w:rPr>
          <w:rFonts w:ascii="Times New Roman" w:eastAsia="Calibri" w:hAnsi="Times New Roman" w:cs="Times New Roman"/>
          <w:sz w:val="28"/>
          <w:szCs w:val="28"/>
        </w:rPr>
        <w:t xml:space="preserve"> в отношении должников, уклоняющихся от уплаты </w:t>
      </w:r>
      <w:r w:rsidR="00ED775A" w:rsidRPr="00C61B1D">
        <w:rPr>
          <w:rFonts w:ascii="Times New Roman" w:eastAsia="Calibri" w:hAnsi="Times New Roman" w:cs="Times New Roman"/>
          <w:sz w:val="28"/>
          <w:szCs w:val="28"/>
        </w:rPr>
        <w:t>алиментов на содержание несовершеннолетних детей, возбуждено порядка 121 тыс. дел об административных правонарушениях, предусмотренных статьей 5.35.1 Кодекса Российской Федерации об административных правонарушениях</w:t>
      </w:r>
      <w:r w:rsidR="00842A3A" w:rsidRPr="00C61B1D">
        <w:rPr>
          <w:rFonts w:ascii="Times New Roman" w:eastAsia="Calibri" w:hAnsi="Times New Roman" w:cs="Times New Roman"/>
          <w:sz w:val="28"/>
          <w:szCs w:val="28"/>
        </w:rPr>
        <w:t xml:space="preserve"> (далее – КоАП РФ), что на </w:t>
      </w:r>
      <w:r w:rsidR="004668D9" w:rsidRPr="00C61B1D">
        <w:rPr>
          <w:rFonts w:ascii="Times New Roman" w:eastAsia="Calibri" w:hAnsi="Times New Roman" w:cs="Times New Roman"/>
          <w:sz w:val="28"/>
          <w:szCs w:val="28"/>
        </w:rPr>
        <w:t>18,3 тыс. дел или 17,8% больше, чем в 2020 г.</w:t>
      </w:r>
    </w:p>
    <w:p w14:paraId="3CEF73BF" w14:textId="411CD388" w:rsidR="004668D9" w:rsidRPr="00C61B1D" w:rsidRDefault="004668D9" w:rsidP="00BE3671">
      <w:pPr>
        <w:spacing w:after="0" w:line="312" w:lineRule="auto"/>
        <w:ind w:firstLine="709"/>
        <w:jc w:val="both"/>
        <w:rPr>
          <w:rFonts w:ascii="Times New Roman" w:eastAsia="Calibri" w:hAnsi="Times New Roman" w:cs="Times New Roman"/>
          <w:sz w:val="28"/>
          <w:szCs w:val="28"/>
        </w:rPr>
      </w:pPr>
      <w:r w:rsidRPr="00C61B1D">
        <w:rPr>
          <w:rFonts w:ascii="Times New Roman" w:eastAsia="Calibri" w:hAnsi="Times New Roman" w:cs="Times New Roman"/>
          <w:sz w:val="28"/>
          <w:szCs w:val="28"/>
        </w:rPr>
        <w:t xml:space="preserve">По итогам рассмотрения судами таких дел более 119 тыс. должников подвергнуты административному наказанию, в том числе административному </w:t>
      </w:r>
      <w:r w:rsidR="00043A60">
        <w:rPr>
          <w:rFonts w:ascii="Times New Roman" w:eastAsia="Calibri" w:hAnsi="Times New Roman" w:cs="Times New Roman"/>
          <w:sz w:val="28"/>
          <w:szCs w:val="28"/>
        </w:rPr>
        <w:br/>
      </w:r>
      <w:r w:rsidRPr="00C61B1D">
        <w:rPr>
          <w:rFonts w:ascii="Times New Roman" w:eastAsia="Calibri" w:hAnsi="Times New Roman" w:cs="Times New Roman"/>
          <w:sz w:val="28"/>
          <w:szCs w:val="28"/>
        </w:rPr>
        <w:t xml:space="preserve">аресту – 6,8 тыс., обязательным работам – 109 тыс., административному штрафу – </w:t>
      </w:r>
      <w:r w:rsidR="00135082">
        <w:rPr>
          <w:rFonts w:ascii="Times New Roman" w:eastAsia="Calibri" w:hAnsi="Times New Roman" w:cs="Times New Roman"/>
          <w:sz w:val="28"/>
          <w:szCs w:val="28"/>
        </w:rPr>
        <w:br/>
      </w:r>
      <w:r w:rsidRPr="00C61B1D">
        <w:rPr>
          <w:rFonts w:ascii="Times New Roman" w:eastAsia="Calibri" w:hAnsi="Times New Roman" w:cs="Times New Roman"/>
          <w:sz w:val="28"/>
          <w:szCs w:val="28"/>
        </w:rPr>
        <w:t>1,5 тыс.</w:t>
      </w:r>
    </w:p>
    <w:p w14:paraId="4938482B" w14:textId="77777777" w:rsidR="004668D9" w:rsidRPr="00C61B1D" w:rsidRDefault="004668D9" w:rsidP="00BE3671">
      <w:pPr>
        <w:spacing w:after="0" w:line="312" w:lineRule="auto"/>
        <w:ind w:firstLine="709"/>
        <w:jc w:val="both"/>
        <w:rPr>
          <w:rFonts w:ascii="Times New Roman" w:eastAsia="Calibri" w:hAnsi="Times New Roman" w:cs="Times New Roman"/>
          <w:sz w:val="28"/>
          <w:szCs w:val="28"/>
        </w:rPr>
      </w:pPr>
      <w:r w:rsidRPr="00C61B1D">
        <w:rPr>
          <w:rFonts w:ascii="Times New Roman" w:eastAsia="Calibri" w:hAnsi="Times New Roman" w:cs="Times New Roman"/>
          <w:sz w:val="28"/>
          <w:szCs w:val="28"/>
        </w:rPr>
        <w:t>В отношении должников, не принявших меры по исполнению алиментных обязательств, несмотря на административное наказание, возбуждено 56,2 тыс. уголовных дел по признакам преступления, предусмотренного статьей 157 Уголовного кодекса Российской Федерации</w:t>
      </w:r>
      <w:r w:rsidR="0099483C" w:rsidRPr="00C61B1D">
        <w:rPr>
          <w:rFonts w:ascii="Times New Roman" w:eastAsia="Calibri" w:hAnsi="Times New Roman" w:cs="Times New Roman"/>
          <w:sz w:val="28"/>
          <w:szCs w:val="28"/>
        </w:rPr>
        <w:t xml:space="preserve"> (далее – УК РФ)</w:t>
      </w:r>
      <w:r w:rsidRPr="00C61B1D">
        <w:rPr>
          <w:rFonts w:ascii="Times New Roman" w:eastAsia="Calibri" w:hAnsi="Times New Roman" w:cs="Times New Roman"/>
          <w:sz w:val="28"/>
          <w:szCs w:val="28"/>
        </w:rPr>
        <w:t>, что на 11,9 тыс. дел или 26,8% больше, чем в 2020 г.</w:t>
      </w:r>
    </w:p>
    <w:p w14:paraId="0F357509" w14:textId="77777777" w:rsidR="00CA507F" w:rsidRPr="00C61B1D" w:rsidRDefault="00CA507F" w:rsidP="00BE3671">
      <w:pPr>
        <w:spacing w:after="0" w:line="312" w:lineRule="auto"/>
        <w:ind w:firstLine="709"/>
        <w:jc w:val="both"/>
        <w:rPr>
          <w:rFonts w:ascii="Times New Roman" w:eastAsia="Calibri" w:hAnsi="Times New Roman" w:cs="Times New Roman"/>
          <w:sz w:val="28"/>
          <w:szCs w:val="28"/>
        </w:rPr>
      </w:pPr>
      <w:r w:rsidRPr="00C61B1D">
        <w:rPr>
          <w:rFonts w:ascii="Times New Roman" w:eastAsia="Calibri" w:hAnsi="Times New Roman" w:cs="Times New Roman"/>
          <w:sz w:val="28"/>
          <w:szCs w:val="28"/>
        </w:rPr>
        <w:t>Принятые меры уголовно-правового воздействия позволили взыскать алиментных платежей на сумму 163,1 млн рублей.</w:t>
      </w:r>
    </w:p>
    <w:p w14:paraId="10D7A4D4" w14:textId="77777777" w:rsidR="00CA507F" w:rsidRPr="00C61B1D" w:rsidRDefault="00CA507F" w:rsidP="00BE3671">
      <w:pPr>
        <w:spacing w:after="0" w:line="312" w:lineRule="auto"/>
        <w:ind w:firstLine="709"/>
        <w:jc w:val="both"/>
        <w:rPr>
          <w:rFonts w:ascii="Times New Roman" w:eastAsia="Calibri" w:hAnsi="Times New Roman" w:cs="Times New Roman"/>
          <w:sz w:val="28"/>
          <w:szCs w:val="28"/>
        </w:rPr>
      </w:pPr>
      <w:r w:rsidRPr="00C61B1D">
        <w:rPr>
          <w:rFonts w:ascii="Times New Roman" w:eastAsia="Calibri" w:hAnsi="Times New Roman" w:cs="Times New Roman"/>
          <w:sz w:val="28"/>
          <w:szCs w:val="28"/>
        </w:rPr>
        <w:t xml:space="preserve">В целях исключения случаев уклонения недобросовестных должников </w:t>
      </w:r>
      <w:r w:rsidR="00EE1D0F" w:rsidRPr="00C61B1D">
        <w:rPr>
          <w:rFonts w:ascii="Times New Roman" w:eastAsia="Calibri" w:hAnsi="Times New Roman" w:cs="Times New Roman"/>
          <w:sz w:val="28"/>
          <w:szCs w:val="28"/>
        </w:rPr>
        <w:br/>
      </w:r>
      <w:r w:rsidRPr="00C61B1D">
        <w:rPr>
          <w:rFonts w:ascii="Times New Roman" w:eastAsia="Calibri" w:hAnsi="Times New Roman" w:cs="Times New Roman"/>
          <w:sz w:val="28"/>
          <w:szCs w:val="28"/>
        </w:rPr>
        <w:t xml:space="preserve">от обязанности уплаты алиментов на содержание детей и нетрудоспособных родителей Федеральными законами </w:t>
      </w:r>
      <w:r w:rsidR="005B3A4F" w:rsidRPr="00C61B1D">
        <w:rPr>
          <w:rFonts w:ascii="Times New Roman" w:eastAsia="Calibri" w:hAnsi="Times New Roman" w:cs="Times New Roman"/>
          <w:sz w:val="28"/>
          <w:szCs w:val="28"/>
        </w:rPr>
        <w:t xml:space="preserve">от 30 декабря 2021 г. № 479-ФЗ </w:t>
      </w:r>
      <w:r w:rsidRPr="00C61B1D">
        <w:rPr>
          <w:rFonts w:ascii="Times New Roman" w:eastAsia="Calibri" w:hAnsi="Times New Roman" w:cs="Times New Roman"/>
          <w:sz w:val="28"/>
          <w:szCs w:val="28"/>
        </w:rPr>
        <w:t xml:space="preserve">«О внесении изменений в статью 5.35.1 Кодекса Российской Федерации об административных правонарушениях» и № 499-ФЗ «О внесении изменений в статью 157 Уголовного кодекса Российской Федерации» в административное и уголовное законодательство внесены изменения, предусматривающие привлечение должников к ответственности при </w:t>
      </w:r>
      <w:r w:rsidR="00CB6757" w:rsidRPr="00C61B1D">
        <w:rPr>
          <w:rFonts w:ascii="Times New Roman" w:eastAsia="Calibri" w:hAnsi="Times New Roman" w:cs="Times New Roman"/>
          <w:sz w:val="28"/>
          <w:szCs w:val="28"/>
        </w:rPr>
        <w:t>частичной уплате суммы, установленной решением суда или нотариально удостоверенным соглашением. Это позволит создать дополнительные условия для повышения эффективности взыскания алиментов, исключить злоупотребления со стороны недобросовестных должников и будет способствовать более эффективной защите прав получателей алиментов.</w:t>
      </w:r>
    </w:p>
    <w:p w14:paraId="3BDB023A" w14:textId="77777777" w:rsidR="00CB6757" w:rsidRPr="00C61B1D" w:rsidRDefault="00CB6757" w:rsidP="00BE3671">
      <w:pPr>
        <w:spacing w:after="0" w:line="312" w:lineRule="auto"/>
        <w:ind w:firstLine="709"/>
        <w:jc w:val="both"/>
        <w:rPr>
          <w:rFonts w:ascii="Times New Roman" w:eastAsia="Calibri" w:hAnsi="Times New Roman" w:cs="Times New Roman"/>
          <w:sz w:val="28"/>
          <w:szCs w:val="28"/>
        </w:rPr>
      </w:pPr>
      <w:r w:rsidRPr="00C61B1D">
        <w:rPr>
          <w:rFonts w:ascii="Times New Roman" w:eastAsia="Calibri" w:hAnsi="Times New Roman" w:cs="Times New Roman"/>
          <w:sz w:val="28"/>
          <w:szCs w:val="28"/>
        </w:rPr>
        <w:t xml:space="preserve">При этом лицо, совершившее преступление, предусмотренное статьей 157 </w:t>
      </w:r>
      <w:r w:rsidR="00C25E9D" w:rsidRPr="00C61B1D">
        <w:rPr>
          <w:rFonts w:ascii="Times New Roman" w:eastAsia="Calibri" w:hAnsi="Times New Roman" w:cs="Times New Roman"/>
          <w:sz w:val="28"/>
          <w:szCs w:val="28"/>
        </w:rPr>
        <w:br/>
      </w:r>
      <w:r w:rsidR="0099483C" w:rsidRPr="00C61B1D">
        <w:rPr>
          <w:rFonts w:ascii="Times New Roman" w:eastAsia="Calibri" w:hAnsi="Times New Roman" w:cs="Times New Roman"/>
          <w:sz w:val="28"/>
          <w:szCs w:val="28"/>
        </w:rPr>
        <w:t>УК РФ</w:t>
      </w:r>
      <w:r w:rsidRPr="00C61B1D">
        <w:rPr>
          <w:rFonts w:ascii="Times New Roman" w:eastAsia="Calibri" w:hAnsi="Times New Roman" w:cs="Times New Roman"/>
          <w:sz w:val="28"/>
          <w:szCs w:val="28"/>
        </w:rPr>
        <w:t>, освобождается от уголовной ответственности</w:t>
      </w:r>
      <w:r w:rsidR="00841BE9" w:rsidRPr="00C61B1D">
        <w:rPr>
          <w:rFonts w:ascii="Times New Roman" w:eastAsia="Calibri" w:hAnsi="Times New Roman" w:cs="Times New Roman"/>
          <w:sz w:val="28"/>
          <w:szCs w:val="28"/>
        </w:rPr>
        <w:t>, если это лицо в полном объеме погасило задолженность по выплате средств на содержание несовершеннолетних детей, а равно нетрудоспособных детей, достигших восемнадцатилетнего возраста, или нетрудоспособных родителей в порядке, определяемом законодательством Российской Федерации.</w:t>
      </w:r>
    </w:p>
    <w:p w14:paraId="5BF14129" w14:textId="09EBD4E9" w:rsidR="00841BE9" w:rsidRPr="00C61B1D" w:rsidRDefault="006167B8" w:rsidP="00BE3671">
      <w:pPr>
        <w:spacing w:after="0" w:line="312" w:lineRule="auto"/>
        <w:ind w:firstLine="709"/>
        <w:jc w:val="both"/>
        <w:rPr>
          <w:rFonts w:ascii="Times New Roman" w:eastAsia="Calibri" w:hAnsi="Times New Roman" w:cs="Times New Roman"/>
          <w:sz w:val="28"/>
          <w:szCs w:val="28"/>
        </w:rPr>
      </w:pPr>
      <w:r w:rsidRPr="00C61B1D">
        <w:rPr>
          <w:rFonts w:ascii="Times New Roman" w:eastAsia="Calibri" w:hAnsi="Times New Roman" w:cs="Times New Roman"/>
          <w:sz w:val="28"/>
          <w:szCs w:val="28"/>
        </w:rPr>
        <w:t>По сведениям территориальных органов ФССП России, в 2021 г</w:t>
      </w:r>
      <w:r w:rsidR="00651149" w:rsidRPr="00C61B1D">
        <w:rPr>
          <w:rFonts w:ascii="Times New Roman" w:eastAsia="Calibri" w:hAnsi="Times New Roman" w:cs="Times New Roman"/>
          <w:sz w:val="28"/>
          <w:szCs w:val="28"/>
        </w:rPr>
        <w:t>.</w:t>
      </w:r>
      <w:r w:rsidRPr="00C61B1D">
        <w:rPr>
          <w:rFonts w:ascii="Times New Roman" w:eastAsia="Calibri" w:hAnsi="Times New Roman" w:cs="Times New Roman"/>
          <w:sz w:val="28"/>
          <w:szCs w:val="28"/>
        </w:rPr>
        <w:t xml:space="preserve"> по результатам рассмотрения уголовных дел по статье 157 </w:t>
      </w:r>
      <w:r w:rsidR="00A40C3E" w:rsidRPr="00C61B1D">
        <w:rPr>
          <w:rFonts w:ascii="Times New Roman" w:eastAsia="Calibri" w:hAnsi="Times New Roman" w:cs="Times New Roman"/>
          <w:sz w:val="28"/>
          <w:szCs w:val="28"/>
        </w:rPr>
        <w:t>УК РФ</w:t>
      </w:r>
      <w:r w:rsidRPr="00C61B1D">
        <w:rPr>
          <w:rFonts w:ascii="Times New Roman" w:eastAsia="Calibri" w:hAnsi="Times New Roman" w:cs="Times New Roman"/>
          <w:sz w:val="28"/>
          <w:szCs w:val="28"/>
        </w:rPr>
        <w:t xml:space="preserve"> судами назначено 41,8 тыс. наказаний, в том числе 33,9 тыс. – исправительные работы, 7,7 тыс. – лишение свободы (в том числе в отношении 4,6 тыс. должников условно), в 205 случаях виновные лица осуждены к принудительным работам.</w:t>
      </w:r>
    </w:p>
    <w:p w14:paraId="515DB6C8" w14:textId="77777777" w:rsidR="00D03A4F" w:rsidRPr="00A40C3E" w:rsidRDefault="00C2335C" w:rsidP="00A40C3E">
      <w:pPr>
        <w:spacing w:after="0" w:line="312" w:lineRule="auto"/>
        <w:ind w:firstLine="709"/>
        <w:jc w:val="both"/>
        <w:rPr>
          <w:rFonts w:ascii="Times New Roman" w:eastAsia="Calibri" w:hAnsi="Times New Roman" w:cs="Times New Roman"/>
          <w:sz w:val="28"/>
          <w:szCs w:val="28"/>
        </w:rPr>
      </w:pPr>
      <w:r w:rsidRPr="00C61B1D">
        <w:rPr>
          <w:rFonts w:ascii="Times New Roman" w:eastAsia="Calibri" w:hAnsi="Times New Roman" w:cs="Times New Roman"/>
          <w:sz w:val="28"/>
          <w:szCs w:val="28"/>
        </w:rPr>
        <w:t>Работа по повышению эффективности исполнения требований исполнительных документов о взыскании алиментов будет продолжена в рамках реализации плана основных мероприятий, проводимых в рамках Десятилетия детства, на период до 2027 г.</w:t>
      </w:r>
    </w:p>
    <w:p w14:paraId="1339FE49" w14:textId="77777777"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rsidSect="00BB5821">
          <w:pgSz w:w="11906" w:h="16838"/>
          <w:pgMar w:top="1134" w:right="567" w:bottom="1134" w:left="1134" w:header="708" w:footer="708" w:gutter="0"/>
          <w:cols w:space="708"/>
          <w:docGrid w:linePitch="360"/>
        </w:sectPr>
      </w:pPr>
    </w:p>
    <w:p w14:paraId="32DCF204" w14:textId="77777777" w:rsidR="00D03A4F" w:rsidRPr="00D03A4F" w:rsidRDefault="00D03A4F" w:rsidP="00D03A4F">
      <w:pPr>
        <w:shd w:val="clear" w:color="auto" w:fill="FFFFFF"/>
        <w:spacing w:after="0" w:line="240" w:lineRule="auto"/>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3. ЖИЛИЩНЫЕ УСЛОВИЯ СЕМЕЙ, ИМЕЮЩИХ ДЕТЕЙ</w:t>
      </w:r>
    </w:p>
    <w:p w14:paraId="613D3F78" w14:textId="77777777" w:rsidR="00D03A4F" w:rsidRDefault="00D03A4F" w:rsidP="00D03A4F">
      <w:pPr>
        <w:shd w:val="clear" w:color="auto" w:fill="FFFFFF"/>
        <w:spacing w:before="240" w:after="240" w:line="240" w:lineRule="auto"/>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Обеспечение жильем молодых семей</w:t>
      </w:r>
    </w:p>
    <w:p w14:paraId="05B8CB65" w14:textId="77777777" w:rsidR="00FD15A9" w:rsidRDefault="00FD15A9" w:rsidP="00FD15A9">
      <w:pPr>
        <w:shd w:val="clear" w:color="auto" w:fill="FFFFFF"/>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настоящее время на территории Российской Федерации государственная поддержка в решении жилищной проблемы молодых семей, нуждающихся в улучшении жилищных условий, оказывается в рамках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785975">
        <w:rPr>
          <w:rFonts w:ascii="Times New Roman" w:eastAsia="Times New Roman" w:hAnsi="Times New Roman" w:cs="Times New Roman"/>
          <w:sz w:val="28"/>
          <w:szCs w:val="28"/>
          <w:lang w:eastAsia="ru-RU"/>
        </w:rPr>
        <w:t>, утвержденной постановлением Правительства Российской Федерации от 30 декабря 2017 г. № 1710 (далее по тексту подраздела – мероприятие).</w:t>
      </w:r>
    </w:p>
    <w:p w14:paraId="1D5F8B47" w14:textId="77777777" w:rsidR="00785975" w:rsidRDefault="002957A0" w:rsidP="00FD15A9">
      <w:pPr>
        <w:shd w:val="clear" w:color="auto" w:fill="FFFFFF"/>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Предоставление социальных выплат молодым семьям в рамках </w:t>
      </w:r>
      <w:r w:rsidR="00463479">
        <w:rPr>
          <w:rFonts w:ascii="Times New Roman" w:eastAsia="Times New Roman" w:hAnsi="Times New Roman" w:cs="Times New Roman"/>
          <w:sz w:val="28"/>
          <w:szCs w:val="28"/>
          <w:lang w:eastAsia="ru-RU"/>
        </w:rPr>
        <w:t>реализации мероприятия осуществляется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 декабря 2010 г. № 1050.</w:t>
      </w:r>
    </w:p>
    <w:p w14:paraId="756EF55C" w14:textId="77777777" w:rsidR="00463479" w:rsidRDefault="00463479" w:rsidP="00FD15A9">
      <w:pPr>
        <w:shd w:val="clear" w:color="auto" w:fill="FFFFFF"/>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реализации мероприятия для приобретения или строительства жилья молодым семьям предоставляются социальные выплаты в размере 30-35% от расчетной стоимости жилья.</w:t>
      </w:r>
    </w:p>
    <w:p w14:paraId="3CC7D112" w14:textId="77777777" w:rsidR="00463479" w:rsidRDefault="00463479" w:rsidP="00FD15A9">
      <w:pPr>
        <w:shd w:val="clear" w:color="auto" w:fill="FFFFFF"/>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Участниками мероприятия могут быть молодые семьи, признанные нуждающимися в улучшении жилищных условий, возраст родителей в которых (либо одного родителя в неполной семье) не превышает 35 лет, и обладающие достаточными доходами для оплаты стоимости жилья в части превышающей размер социальной выплаты.</w:t>
      </w:r>
    </w:p>
    <w:p w14:paraId="58AC62C0" w14:textId="77777777" w:rsidR="00463479" w:rsidRDefault="00463479" w:rsidP="00FD15A9">
      <w:pPr>
        <w:shd w:val="clear" w:color="auto" w:fill="FFFFFF"/>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Первоочередным правом на включение в списки молодых семей – участников мероприятия </w:t>
      </w:r>
      <w:r w:rsidR="00F52B5A">
        <w:rPr>
          <w:rFonts w:ascii="Times New Roman" w:eastAsia="Times New Roman" w:hAnsi="Times New Roman" w:cs="Times New Roman"/>
          <w:sz w:val="28"/>
          <w:szCs w:val="28"/>
          <w:lang w:eastAsia="ru-RU"/>
        </w:rPr>
        <w:t xml:space="preserve">наделены молодые семьи, поставленные на учет в качестве нуждающихся в улучшении жилищных условий до 1 марта 2005 г., а также молодые семьи, имеющие </w:t>
      </w:r>
      <w:r w:rsidR="00AE3A71">
        <w:rPr>
          <w:rFonts w:ascii="Times New Roman" w:eastAsia="Times New Roman" w:hAnsi="Times New Roman" w:cs="Times New Roman"/>
          <w:sz w:val="28"/>
          <w:szCs w:val="28"/>
          <w:lang w:eastAsia="ru-RU"/>
        </w:rPr>
        <w:t>трех</w:t>
      </w:r>
      <w:r w:rsidR="00F52B5A">
        <w:rPr>
          <w:rFonts w:ascii="Times New Roman" w:eastAsia="Times New Roman" w:hAnsi="Times New Roman" w:cs="Times New Roman"/>
          <w:sz w:val="28"/>
          <w:szCs w:val="28"/>
          <w:lang w:eastAsia="ru-RU"/>
        </w:rPr>
        <w:t xml:space="preserve"> и более детей.</w:t>
      </w:r>
    </w:p>
    <w:p w14:paraId="685536F7" w14:textId="77777777" w:rsidR="00F52B5A" w:rsidRDefault="00F52B5A" w:rsidP="00FD15A9">
      <w:pPr>
        <w:shd w:val="clear" w:color="auto" w:fill="FFFFFF"/>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на реализацию мероприятия в 2021 г</w:t>
      </w:r>
      <w:r w:rsidR="0065114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было израсходовано 12,6 млрд рублей, из них 4,4 млрд рублей составили средства федерального бюджета, </w:t>
      </w:r>
      <w:r w:rsidR="00F44A2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8,2 млрд рублей – средства субъектов Российской Федерации и муниципальных образований.</w:t>
      </w:r>
      <w:r w:rsidR="00A05154">
        <w:rPr>
          <w:rFonts w:ascii="Times New Roman" w:eastAsia="Times New Roman" w:hAnsi="Times New Roman" w:cs="Times New Roman"/>
          <w:sz w:val="28"/>
          <w:szCs w:val="28"/>
          <w:lang w:eastAsia="ru-RU"/>
        </w:rPr>
        <w:t xml:space="preserve"> Свидетельства о праве на получение социальных выплат выданы 14 421 молодой семье.</w:t>
      </w:r>
    </w:p>
    <w:p w14:paraId="282A8C0E" w14:textId="77777777" w:rsidR="00F44A28" w:rsidRPr="00FD15A9" w:rsidRDefault="00F44A28" w:rsidP="00FD15A9">
      <w:pPr>
        <w:shd w:val="clear" w:color="auto" w:fill="FFFFFF"/>
        <w:spacing w:after="0" w:line="312" w:lineRule="auto"/>
        <w:ind w:firstLine="709"/>
        <w:jc w:val="both"/>
        <w:rPr>
          <w:rFonts w:ascii="Times New Roman" w:eastAsia="Times New Roman" w:hAnsi="Times New Roman" w:cs="Times New Roman"/>
          <w:sz w:val="28"/>
          <w:szCs w:val="28"/>
          <w:lang w:eastAsia="ru-RU"/>
        </w:rPr>
      </w:pPr>
    </w:p>
    <w:p w14:paraId="034BC543" w14:textId="77777777" w:rsid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Обеспечение жильем многодетных семей</w:t>
      </w:r>
    </w:p>
    <w:p w14:paraId="0CDB5C75" w14:textId="77777777" w:rsidR="00FD2475" w:rsidRPr="00A05154" w:rsidRDefault="00FD2475" w:rsidP="00FD2475">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A05154">
        <w:rPr>
          <w:rFonts w:ascii="Times New Roman" w:eastAsia="Times New Roman" w:hAnsi="Times New Roman" w:cs="Times New Roman"/>
          <w:color w:val="000000"/>
          <w:sz w:val="28"/>
          <w:szCs w:val="28"/>
          <w:lang w:eastAsia="ru-RU" w:bidi="ru-RU"/>
        </w:rPr>
        <w:t xml:space="preserve">Распоряжением Правительства Российской Федерации от 29 июня 2012 г. </w:t>
      </w:r>
      <w:r w:rsidR="005B3A4F">
        <w:rPr>
          <w:rFonts w:ascii="Times New Roman" w:eastAsia="Times New Roman" w:hAnsi="Times New Roman" w:cs="Times New Roman"/>
          <w:color w:val="000000"/>
          <w:sz w:val="28"/>
          <w:szCs w:val="28"/>
          <w:lang w:eastAsia="ru-RU" w:bidi="ru-RU"/>
        </w:rPr>
        <w:br/>
      </w:r>
      <w:r w:rsidRPr="00A05154">
        <w:rPr>
          <w:rFonts w:ascii="Times New Roman" w:eastAsia="Times New Roman" w:hAnsi="Times New Roman" w:cs="Times New Roman"/>
          <w:color w:val="000000"/>
          <w:sz w:val="28"/>
          <w:szCs w:val="28"/>
          <w:lang w:eastAsia="ru-RU" w:bidi="ru-RU"/>
        </w:rPr>
        <w:t xml:space="preserve">№ 1119-р утвержден комплекс мер по улучшению жилищных условий семей, имеющих </w:t>
      </w:r>
      <w:r>
        <w:rPr>
          <w:rFonts w:ascii="Times New Roman" w:eastAsia="Times New Roman" w:hAnsi="Times New Roman" w:cs="Times New Roman"/>
          <w:color w:val="000000"/>
          <w:sz w:val="28"/>
          <w:szCs w:val="28"/>
          <w:lang w:eastAsia="ru-RU" w:bidi="ru-RU"/>
        </w:rPr>
        <w:t>трех</w:t>
      </w:r>
      <w:r w:rsidRPr="00A05154">
        <w:rPr>
          <w:rFonts w:ascii="Times New Roman" w:eastAsia="Times New Roman" w:hAnsi="Times New Roman" w:cs="Times New Roman"/>
          <w:color w:val="000000"/>
          <w:sz w:val="28"/>
          <w:szCs w:val="28"/>
          <w:lang w:eastAsia="ru-RU" w:bidi="ru-RU"/>
        </w:rPr>
        <w:t xml:space="preserve"> и более детей.</w:t>
      </w:r>
    </w:p>
    <w:p w14:paraId="5676A210" w14:textId="77777777" w:rsidR="00FD2475" w:rsidRPr="00A05154" w:rsidRDefault="00FD2475" w:rsidP="00FD2475">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A05154">
        <w:rPr>
          <w:rFonts w:ascii="Times New Roman" w:eastAsia="Times New Roman" w:hAnsi="Times New Roman" w:cs="Times New Roman"/>
          <w:color w:val="000000"/>
          <w:sz w:val="28"/>
          <w:szCs w:val="28"/>
          <w:lang w:eastAsia="ru-RU" w:bidi="ru-RU"/>
        </w:rPr>
        <w:t>По состоянию на 1 января 202</w:t>
      </w:r>
      <w:r>
        <w:rPr>
          <w:rFonts w:ascii="Times New Roman" w:eastAsia="Times New Roman" w:hAnsi="Times New Roman" w:cs="Times New Roman"/>
          <w:color w:val="000000"/>
          <w:sz w:val="28"/>
          <w:szCs w:val="28"/>
          <w:lang w:eastAsia="ru-RU" w:bidi="ru-RU"/>
        </w:rPr>
        <w:t>2</w:t>
      </w:r>
      <w:r w:rsidRPr="00A05154">
        <w:rPr>
          <w:rFonts w:ascii="Times New Roman" w:eastAsia="Times New Roman" w:hAnsi="Times New Roman" w:cs="Times New Roman"/>
          <w:color w:val="000000"/>
          <w:sz w:val="28"/>
          <w:szCs w:val="28"/>
          <w:lang w:eastAsia="ru-RU" w:bidi="ru-RU"/>
        </w:rPr>
        <w:t xml:space="preserve"> г</w:t>
      </w:r>
      <w:r w:rsidR="00551F9E">
        <w:rPr>
          <w:rFonts w:ascii="Times New Roman" w:eastAsia="Times New Roman" w:hAnsi="Times New Roman" w:cs="Times New Roman"/>
          <w:color w:val="000000"/>
          <w:sz w:val="28"/>
          <w:szCs w:val="28"/>
          <w:lang w:eastAsia="ru-RU" w:bidi="ru-RU"/>
        </w:rPr>
        <w:t>.</w:t>
      </w:r>
      <w:r w:rsidRPr="00A05154">
        <w:rPr>
          <w:rFonts w:ascii="Times New Roman" w:eastAsia="Times New Roman" w:hAnsi="Times New Roman" w:cs="Times New Roman"/>
          <w:color w:val="000000"/>
          <w:sz w:val="28"/>
          <w:szCs w:val="28"/>
          <w:lang w:eastAsia="ru-RU" w:bidi="ru-RU"/>
        </w:rPr>
        <w:t xml:space="preserve"> на территории Российской Федерации на очереди на предоставление земельного участка состоит </w:t>
      </w:r>
      <w:r>
        <w:rPr>
          <w:rFonts w:ascii="Times New Roman" w:eastAsia="Times New Roman" w:hAnsi="Times New Roman" w:cs="Times New Roman"/>
          <w:color w:val="000000"/>
          <w:sz w:val="28"/>
          <w:szCs w:val="28"/>
          <w:lang w:eastAsia="ru-RU" w:bidi="ru-RU"/>
        </w:rPr>
        <w:t>421,4</w:t>
      </w:r>
      <w:r w:rsidRPr="00A05154">
        <w:rPr>
          <w:rFonts w:ascii="Times New Roman" w:eastAsia="Times New Roman" w:hAnsi="Times New Roman" w:cs="Times New Roman"/>
          <w:color w:val="000000"/>
          <w:sz w:val="28"/>
          <w:szCs w:val="28"/>
          <w:lang w:eastAsia="ru-RU" w:bidi="ru-RU"/>
        </w:rPr>
        <w:t xml:space="preserve"> тыс. семей, имеющих трех и более детей.</w:t>
      </w:r>
    </w:p>
    <w:p w14:paraId="20341B11" w14:textId="77777777" w:rsidR="00FD2475" w:rsidRPr="00A05154" w:rsidRDefault="00FD2475" w:rsidP="00FD2475">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A05154">
        <w:rPr>
          <w:rFonts w:ascii="Times New Roman" w:eastAsia="Times New Roman" w:hAnsi="Times New Roman" w:cs="Times New Roman"/>
          <w:color w:val="000000"/>
          <w:sz w:val="28"/>
          <w:szCs w:val="28"/>
          <w:lang w:eastAsia="ru-RU" w:bidi="ru-RU"/>
        </w:rPr>
        <w:t>За 202</w:t>
      </w:r>
      <w:r>
        <w:rPr>
          <w:rFonts w:ascii="Times New Roman" w:eastAsia="Times New Roman" w:hAnsi="Times New Roman" w:cs="Times New Roman"/>
          <w:color w:val="000000"/>
          <w:sz w:val="28"/>
          <w:szCs w:val="28"/>
          <w:lang w:eastAsia="ru-RU" w:bidi="ru-RU"/>
        </w:rPr>
        <w:t>1</w:t>
      </w:r>
      <w:r w:rsidRPr="00A05154">
        <w:rPr>
          <w:rFonts w:ascii="Times New Roman" w:eastAsia="Times New Roman" w:hAnsi="Times New Roman" w:cs="Times New Roman"/>
          <w:color w:val="000000"/>
          <w:sz w:val="28"/>
          <w:szCs w:val="28"/>
          <w:lang w:eastAsia="ru-RU" w:bidi="ru-RU"/>
        </w:rPr>
        <w:t xml:space="preserve"> г</w:t>
      </w:r>
      <w:r w:rsidR="00651149">
        <w:rPr>
          <w:rFonts w:ascii="Times New Roman" w:eastAsia="Times New Roman" w:hAnsi="Times New Roman" w:cs="Times New Roman"/>
          <w:color w:val="000000"/>
          <w:sz w:val="28"/>
          <w:szCs w:val="28"/>
          <w:lang w:eastAsia="ru-RU" w:bidi="ru-RU"/>
        </w:rPr>
        <w:t>.</w:t>
      </w:r>
      <w:r w:rsidRPr="00A05154">
        <w:rPr>
          <w:rFonts w:ascii="Times New Roman" w:eastAsia="Times New Roman" w:hAnsi="Times New Roman" w:cs="Times New Roman"/>
          <w:color w:val="000000"/>
          <w:sz w:val="28"/>
          <w:szCs w:val="28"/>
          <w:lang w:eastAsia="ru-RU" w:bidi="ru-RU"/>
        </w:rPr>
        <w:t xml:space="preserve"> органами государственной власти субъектов Российской Федерации и органами местного самоуправления </w:t>
      </w:r>
      <w:r w:rsidR="00D53755" w:rsidRPr="00A05154">
        <w:rPr>
          <w:rFonts w:ascii="Times New Roman" w:eastAsia="Times New Roman" w:hAnsi="Times New Roman" w:cs="Times New Roman"/>
          <w:color w:val="000000"/>
          <w:sz w:val="28"/>
          <w:szCs w:val="28"/>
          <w:lang w:eastAsia="ru-RU" w:bidi="ru-RU"/>
        </w:rPr>
        <w:t xml:space="preserve">многодетным семьям </w:t>
      </w:r>
      <w:r w:rsidR="00D53755">
        <w:rPr>
          <w:rFonts w:ascii="Times New Roman" w:eastAsia="Times New Roman" w:hAnsi="Times New Roman" w:cs="Times New Roman"/>
          <w:color w:val="000000"/>
          <w:sz w:val="28"/>
          <w:szCs w:val="28"/>
          <w:lang w:eastAsia="ru-RU" w:bidi="ru-RU"/>
        </w:rPr>
        <w:t xml:space="preserve">предоставлено бесплатно </w:t>
      </w:r>
      <w:r>
        <w:rPr>
          <w:rFonts w:ascii="Times New Roman" w:eastAsia="Times New Roman" w:hAnsi="Times New Roman" w:cs="Times New Roman"/>
          <w:color w:val="000000"/>
          <w:sz w:val="28"/>
          <w:szCs w:val="28"/>
          <w:lang w:eastAsia="ru-RU" w:bidi="ru-RU"/>
        </w:rPr>
        <w:t>42</w:t>
      </w:r>
      <w:r w:rsidRPr="00A05154">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8</w:t>
      </w:r>
      <w:r w:rsidRPr="00A05154">
        <w:rPr>
          <w:rFonts w:ascii="Times New Roman" w:eastAsia="Times New Roman" w:hAnsi="Times New Roman" w:cs="Times New Roman"/>
          <w:color w:val="000000"/>
          <w:sz w:val="28"/>
          <w:szCs w:val="28"/>
          <w:lang w:eastAsia="ru-RU" w:bidi="ru-RU"/>
        </w:rPr>
        <w:t xml:space="preserve"> тыс. земельных участков.</w:t>
      </w:r>
    </w:p>
    <w:p w14:paraId="09FF2EE0" w14:textId="77777777" w:rsidR="00FD2475" w:rsidRPr="00A05154" w:rsidRDefault="00FD2475" w:rsidP="00FD2475">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При этом</w:t>
      </w:r>
      <w:r w:rsidRPr="00A05154">
        <w:rPr>
          <w:rFonts w:ascii="Times New Roman" w:eastAsia="Times New Roman" w:hAnsi="Times New Roman" w:cs="Times New Roman"/>
          <w:color w:val="000000"/>
          <w:sz w:val="28"/>
          <w:szCs w:val="28"/>
          <w:lang w:eastAsia="ru-RU" w:bidi="ru-RU"/>
        </w:rPr>
        <w:t xml:space="preserve"> субъект</w:t>
      </w:r>
      <w:r>
        <w:rPr>
          <w:rFonts w:ascii="Times New Roman" w:eastAsia="Times New Roman" w:hAnsi="Times New Roman" w:cs="Times New Roman"/>
          <w:color w:val="000000"/>
          <w:sz w:val="28"/>
          <w:szCs w:val="28"/>
          <w:lang w:eastAsia="ru-RU" w:bidi="ru-RU"/>
        </w:rPr>
        <w:t>ы</w:t>
      </w:r>
      <w:r w:rsidRPr="00A05154">
        <w:rPr>
          <w:rFonts w:ascii="Times New Roman" w:eastAsia="Times New Roman" w:hAnsi="Times New Roman" w:cs="Times New Roman"/>
          <w:color w:val="000000"/>
          <w:sz w:val="28"/>
          <w:szCs w:val="28"/>
          <w:lang w:eastAsia="ru-RU" w:bidi="ru-RU"/>
        </w:rPr>
        <w:t xml:space="preserve"> Российской Федерации </w:t>
      </w:r>
      <w:r>
        <w:rPr>
          <w:rFonts w:ascii="Times New Roman" w:eastAsia="Times New Roman" w:hAnsi="Times New Roman" w:cs="Times New Roman"/>
          <w:color w:val="000000"/>
          <w:sz w:val="28"/>
          <w:szCs w:val="28"/>
          <w:lang w:eastAsia="ru-RU" w:bidi="ru-RU"/>
        </w:rPr>
        <w:t>имеют</w:t>
      </w:r>
      <w:r w:rsidRPr="00A05154">
        <w:rPr>
          <w:rFonts w:ascii="Times New Roman" w:eastAsia="Times New Roman" w:hAnsi="Times New Roman" w:cs="Times New Roman"/>
          <w:color w:val="000000"/>
          <w:sz w:val="28"/>
          <w:szCs w:val="28"/>
          <w:lang w:eastAsia="ru-RU" w:bidi="ru-RU"/>
        </w:rPr>
        <w:t xml:space="preserve">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14:paraId="1DB5F6BB" w14:textId="77777777" w:rsidR="00FD2475" w:rsidRPr="00A05154" w:rsidRDefault="00FD2475" w:rsidP="00FD2475">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A05154">
        <w:rPr>
          <w:rFonts w:ascii="Times New Roman" w:eastAsia="Times New Roman" w:hAnsi="Times New Roman" w:cs="Times New Roman"/>
          <w:color w:val="000000"/>
          <w:sz w:val="28"/>
          <w:szCs w:val="28"/>
          <w:lang w:eastAsia="ru-RU" w:bidi="ru-RU"/>
        </w:rPr>
        <w:t>По состоянию на 1 января 202</w:t>
      </w:r>
      <w:r>
        <w:rPr>
          <w:rFonts w:ascii="Times New Roman" w:eastAsia="Times New Roman" w:hAnsi="Times New Roman" w:cs="Times New Roman"/>
          <w:color w:val="000000"/>
          <w:sz w:val="28"/>
          <w:szCs w:val="28"/>
          <w:lang w:eastAsia="ru-RU" w:bidi="ru-RU"/>
        </w:rPr>
        <w:t>2</w:t>
      </w:r>
      <w:r w:rsidRPr="00A05154">
        <w:rPr>
          <w:rFonts w:ascii="Times New Roman" w:eastAsia="Times New Roman" w:hAnsi="Times New Roman" w:cs="Times New Roman"/>
          <w:color w:val="000000"/>
          <w:sz w:val="28"/>
          <w:szCs w:val="28"/>
          <w:lang w:eastAsia="ru-RU" w:bidi="ru-RU"/>
        </w:rPr>
        <w:t xml:space="preserve"> г</w:t>
      </w:r>
      <w:r w:rsidR="00551F9E">
        <w:rPr>
          <w:rFonts w:ascii="Times New Roman" w:eastAsia="Times New Roman" w:hAnsi="Times New Roman" w:cs="Times New Roman"/>
          <w:color w:val="000000"/>
          <w:sz w:val="28"/>
          <w:szCs w:val="28"/>
          <w:lang w:eastAsia="ru-RU" w:bidi="ru-RU"/>
        </w:rPr>
        <w:t>.</w:t>
      </w:r>
      <w:r w:rsidRPr="00A05154">
        <w:rPr>
          <w:rFonts w:ascii="Times New Roman" w:eastAsia="Times New Roman" w:hAnsi="Times New Roman" w:cs="Times New Roman"/>
          <w:color w:val="000000"/>
          <w:sz w:val="28"/>
          <w:szCs w:val="28"/>
          <w:lang w:eastAsia="ru-RU" w:bidi="ru-RU"/>
        </w:rPr>
        <w:t xml:space="preserve"> 1</w:t>
      </w:r>
      <w:r w:rsidR="0023253E">
        <w:rPr>
          <w:rFonts w:ascii="Times New Roman" w:eastAsia="Times New Roman" w:hAnsi="Times New Roman" w:cs="Times New Roman"/>
          <w:color w:val="000000"/>
          <w:sz w:val="28"/>
          <w:szCs w:val="28"/>
          <w:lang w:eastAsia="ru-RU" w:bidi="ru-RU"/>
        </w:rPr>
        <w:t>33</w:t>
      </w:r>
      <w:r w:rsidRPr="00A05154">
        <w:rPr>
          <w:rFonts w:ascii="Times New Roman" w:eastAsia="Times New Roman" w:hAnsi="Times New Roman" w:cs="Times New Roman"/>
          <w:color w:val="000000"/>
          <w:sz w:val="28"/>
          <w:szCs w:val="28"/>
          <w:lang w:eastAsia="ru-RU" w:bidi="ru-RU"/>
        </w:rPr>
        <w:t>,</w:t>
      </w:r>
      <w:r w:rsidR="0023253E">
        <w:rPr>
          <w:rFonts w:ascii="Times New Roman" w:eastAsia="Times New Roman" w:hAnsi="Times New Roman" w:cs="Times New Roman"/>
          <w:color w:val="000000"/>
          <w:sz w:val="28"/>
          <w:szCs w:val="28"/>
          <w:lang w:eastAsia="ru-RU" w:bidi="ru-RU"/>
        </w:rPr>
        <w:t>8</w:t>
      </w:r>
      <w:r w:rsidRPr="00A05154">
        <w:rPr>
          <w:rFonts w:ascii="Times New Roman" w:eastAsia="Times New Roman" w:hAnsi="Times New Roman" w:cs="Times New Roman"/>
          <w:color w:val="000000"/>
          <w:sz w:val="28"/>
          <w:szCs w:val="28"/>
          <w:lang w:eastAsia="ru-RU" w:bidi="ru-RU"/>
        </w:rPr>
        <w:t xml:space="preserve"> тыс. семей, имеющих трех и более детей, состоят на учете в органах местного самоуправления в качестве нуждающихся в улучшении жилищных условий. За 202</w:t>
      </w:r>
      <w:r>
        <w:rPr>
          <w:rFonts w:ascii="Times New Roman" w:eastAsia="Times New Roman" w:hAnsi="Times New Roman" w:cs="Times New Roman"/>
          <w:color w:val="000000"/>
          <w:sz w:val="28"/>
          <w:szCs w:val="28"/>
          <w:lang w:eastAsia="ru-RU" w:bidi="ru-RU"/>
        </w:rPr>
        <w:t>1</w:t>
      </w:r>
      <w:r w:rsidRPr="00A05154">
        <w:rPr>
          <w:rFonts w:ascii="Times New Roman" w:eastAsia="Times New Roman" w:hAnsi="Times New Roman" w:cs="Times New Roman"/>
          <w:color w:val="000000"/>
          <w:sz w:val="28"/>
          <w:szCs w:val="28"/>
          <w:lang w:eastAsia="ru-RU" w:bidi="ru-RU"/>
        </w:rPr>
        <w:t xml:space="preserve"> г</w:t>
      </w:r>
      <w:r w:rsidR="00651149">
        <w:rPr>
          <w:rFonts w:ascii="Times New Roman" w:eastAsia="Times New Roman" w:hAnsi="Times New Roman" w:cs="Times New Roman"/>
          <w:color w:val="000000"/>
          <w:sz w:val="28"/>
          <w:szCs w:val="28"/>
          <w:lang w:eastAsia="ru-RU" w:bidi="ru-RU"/>
        </w:rPr>
        <w:t>.</w:t>
      </w:r>
      <w:r w:rsidRPr="00A05154">
        <w:rPr>
          <w:rFonts w:ascii="Times New Roman" w:eastAsia="Times New Roman" w:hAnsi="Times New Roman" w:cs="Times New Roman"/>
          <w:color w:val="000000"/>
          <w:sz w:val="28"/>
          <w:szCs w:val="28"/>
          <w:lang w:eastAsia="ru-RU" w:bidi="ru-RU"/>
        </w:rPr>
        <w:t xml:space="preserve"> органами местного самоуправления </w:t>
      </w:r>
      <w:r w:rsidR="0023253E">
        <w:rPr>
          <w:rFonts w:ascii="Times New Roman" w:eastAsia="Times New Roman" w:hAnsi="Times New Roman" w:cs="Times New Roman"/>
          <w:color w:val="000000"/>
          <w:sz w:val="28"/>
          <w:szCs w:val="28"/>
          <w:lang w:eastAsia="ru-RU" w:bidi="ru-RU"/>
        </w:rPr>
        <w:t>5</w:t>
      </w:r>
      <w:r w:rsidR="009F2361" w:rsidRPr="00D03A4F">
        <w:rPr>
          <w:rFonts w:ascii="Times New Roman" w:eastAsia="Calibri" w:hAnsi="Times New Roman" w:cs="Times New Roman"/>
          <w:sz w:val="28"/>
          <w:szCs w:val="28"/>
        </w:rPr>
        <w:t> </w:t>
      </w:r>
      <w:r w:rsidR="0023253E">
        <w:rPr>
          <w:rFonts w:ascii="Times New Roman" w:eastAsia="Times New Roman" w:hAnsi="Times New Roman" w:cs="Times New Roman"/>
          <w:color w:val="000000"/>
          <w:sz w:val="28"/>
          <w:szCs w:val="28"/>
          <w:lang w:eastAsia="ru-RU" w:bidi="ru-RU"/>
        </w:rPr>
        <w:t>480</w:t>
      </w:r>
      <w:r w:rsidRPr="00A05154">
        <w:rPr>
          <w:rFonts w:ascii="Times New Roman" w:eastAsia="Times New Roman" w:hAnsi="Times New Roman" w:cs="Times New Roman"/>
          <w:color w:val="000000"/>
          <w:sz w:val="28"/>
          <w:szCs w:val="28"/>
          <w:lang w:eastAsia="ru-RU" w:bidi="ru-RU"/>
        </w:rPr>
        <w:t xml:space="preserve"> семьям, имеющим трех и более детей, предоставлены жилые помещения.</w:t>
      </w:r>
    </w:p>
    <w:p w14:paraId="68C735FA" w14:textId="77777777" w:rsidR="00FD2475" w:rsidRDefault="00FD2475" w:rsidP="00FD2475">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sidRPr="00A05154">
        <w:rPr>
          <w:rFonts w:ascii="Times New Roman" w:eastAsia="Times New Roman" w:hAnsi="Times New Roman" w:cs="Times New Roman"/>
          <w:color w:val="000000"/>
          <w:sz w:val="28"/>
          <w:szCs w:val="28"/>
          <w:lang w:eastAsia="ru-RU" w:bidi="ru-RU"/>
        </w:rPr>
        <w:t>Также во многих субъектах Российской Федерации в качестве иной меры социальной поддержки предоставляется денежная выплата, жилые помещения из жилищного фонда региона по договорам социального найма, единовременная социальная выплата на приобретение (строительство) жилья,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14:paraId="3D6EB40D" w14:textId="77777777" w:rsidR="00FD2475" w:rsidRDefault="00FD2475" w:rsidP="00FD2475">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В 2021 г</w:t>
      </w:r>
      <w:r w:rsidR="00651149">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 xml:space="preserve"> иные меры социальной поддержки по обеспечению жилыми помещениями взамен предоставления им земельного участка в собственность бесплатно получили 9 285 многодетных семьи.</w:t>
      </w:r>
    </w:p>
    <w:p w14:paraId="5AFE36B4" w14:textId="77777777" w:rsidR="00FD2475" w:rsidRDefault="00FD2475" w:rsidP="00FD2475">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Кроме того, по состоянию на </w:t>
      </w:r>
      <w:r w:rsidR="00CC59F7">
        <w:rPr>
          <w:rFonts w:ascii="Times New Roman" w:eastAsia="Times New Roman" w:hAnsi="Times New Roman" w:cs="Times New Roman"/>
          <w:color w:val="000000"/>
          <w:sz w:val="28"/>
          <w:szCs w:val="28"/>
          <w:lang w:eastAsia="ru-RU" w:bidi="ru-RU"/>
        </w:rPr>
        <w:t>1 января 2022 г</w:t>
      </w:r>
      <w:r w:rsidR="00D57C9B">
        <w:rPr>
          <w:rFonts w:ascii="Times New Roman" w:eastAsia="Times New Roman" w:hAnsi="Times New Roman" w:cs="Times New Roman"/>
          <w:color w:val="000000"/>
          <w:sz w:val="28"/>
          <w:szCs w:val="28"/>
          <w:lang w:eastAsia="ru-RU" w:bidi="ru-RU"/>
        </w:rPr>
        <w:t>.</w:t>
      </w:r>
      <w:r w:rsidR="00CC59F7">
        <w:rPr>
          <w:rFonts w:ascii="Times New Roman" w:eastAsia="Times New Roman" w:hAnsi="Times New Roman" w:cs="Times New Roman"/>
          <w:color w:val="000000"/>
          <w:sz w:val="28"/>
          <w:szCs w:val="28"/>
          <w:lang w:eastAsia="ru-RU" w:bidi="ru-RU"/>
        </w:rPr>
        <w:t xml:space="preserve"> при участии АО «ДОМ.РФ»</w:t>
      </w:r>
      <w:r w:rsidR="007B4E5E">
        <w:rPr>
          <w:rFonts w:ascii="Times New Roman" w:eastAsia="Times New Roman" w:hAnsi="Times New Roman" w:cs="Times New Roman"/>
          <w:color w:val="000000"/>
          <w:sz w:val="28"/>
          <w:szCs w:val="28"/>
          <w:lang w:eastAsia="ru-RU" w:bidi="ru-RU"/>
        </w:rPr>
        <w:t xml:space="preserve"> в разной стадии реализации находилось 117 проектов жилищно-строительных кооперативов (далее</w:t>
      </w:r>
      <w:r w:rsidR="000274C9">
        <w:rPr>
          <w:rFonts w:ascii="Times New Roman" w:eastAsia="Times New Roman" w:hAnsi="Times New Roman" w:cs="Times New Roman"/>
          <w:color w:val="000000"/>
          <w:sz w:val="28"/>
          <w:szCs w:val="28"/>
          <w:lang w:eastAsia="ru-RU" w:bidi="ru-RU"/>
        </w:rPr>
        <w:t xml:space="preserve"> по тексту подраздела</w:t>
      </w:r>
      <w:r w:rsidR="007B4E5E">
        <w:rPr>
          <w:rFonts w:ascii="Times New Roman" w:eastAsia="Times New Roman" w:hAnsi="Times New Roman" w:cs="Times New Roman"/>
          <w:color w:val="000000"/>
          <w:sz w:val="28"/>
          <w:szCs w:val="28"/>
          <w:lang w:eastAsia="ru-RU" w:bidi="ru-RU"/>
        </w:rPr>
        <w:t xml:space="preserve"> – ЖСК) в 44 субъектах Российской Федерации, из которых 26 проектов ЖСК успешно завершены, земельные участки переданы в собственность членам кооперативов. В Рязанской, Орловской, Свердловской, Ростовской, Новосибирской, Омской, Тюменской, Томской, Костромской областях, Красноярском, Приморском, Хабаровском, Краснодарском, Пермском краях, Республиках Башкортостан, Бурятия, Кабардино-Балкария, Хакасия, Адыгея, Татарстан построено более 309 тыс. кв. м жилья, которым обеспечено более 3,5 тыс. семей.</w:t>
      </w:r>
    </w:p>
    <w:p w14:paraId="65858B61" w14:textId="77777777" w:rsidR="007B4E5E" w:rsidRDefault="007B4E5E" w:rsidP="00FD2475">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На стадии внесения изменений в градостроительную документацию, проектирования и строительства находятся 64 ЖСК, из которых:</w:t>
      </w:r>
    </w:p>
    <w:p w14:paraId="4F40E8F8" w14:textId="1B65C00F" w:rsidR="007B4E5E" w:rsidRDefault="007B4E5E" w:rsidP="00FD2475">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35 проектов ЖСК находятся на стадии проектирования и внесения изменений в градостроительную документацию. В Республиках Алтай, Удмуртской, Калмыкия, Карелия, Алтайском, Красноярском, Пермском, Приморском, Ставропольском, Хабаровском краях, Брянской, Владимирской, Иркутской, Курской, Московской, Новосибирской, Омской, Сахалинской, Свердло</w:t>
      </w:r>
      <w:r w:rsidR="00177065">
        <w:rPr>
          <w:rFonts w:ascii="Times New Roman" w:eastAsia="Times New Roman" w:hAnsi="Times New Roman" w:cs="Times New Roman"/>
          <w:color w:val="000000"/>
          <w:sz w:val="28"/>
          <w:szCs w:val="28"/>
          <w:lang w:eastAsia="ru-RU" w:bidi="ru-RU"/>
        </w:rPr>
        <w:t xml:space="preserve">вской, Саратовской, Ростовской областях, а также в г. Москве и г. Санкт-Петербурге планируется построить более </w:t>
      </w:r>
      <w:r w:rsidR="00135082">
        <w:rPr>
          <w:rFonts w:ascii="Times New Roman" w:eastAsia="Times New Roman" w:hAnsi="Times New Roman" w:cs="Times New Roman"/>
          <w:color w:val="000000"/>
          <w:sz w:val="28"/>
          <w:szCs w:val="28"/>
          <w:lang w:eastAsia="ru-RU" w:bidi="ru-RU"/>
        </w:rPr>
        <w:br/>
      </w:r>
      <w:r w:rsidR="00177065">
        <w:rPr>
          <w:rFonts w:ascii="Times New Roman" w:eastAsia="Times New Roman" w:hAnsi="Times New Roman" w:cs="Times New Roman"/>
          <w:color w:val="000000"/>
          <w:sz w:val="28"/>
          <w:szCs w:val="28"/>
          <w:lang w:eastAsia="ru-RU" w:bidi="ru-RU"/>
        </w:rPr>
        <w:t>230 тыс. кв. м жилья для 2,6 тыс. семей;</w:t>
      </w:r>
    </w:p>
    <w:p w14:paraId="08365F0B" w14:textId="77777777" w:rsidR="00177065" w:rsidRDefault="00177065" w:rsidP="00FD2475">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22 проекта ЖСК находятся на стадии строительства. В Архангельской, Волгоградской, Иркутской, Свердловской, Челябинской, Московской областях, Приморском и Пермском краях, Республиках Башкортостан, Бурятия, Марий Эл, </w:t>
      </w:r>
      <w:r w:rsidR="0086362A">
        <w:rPr>
          <w:rFonts w:ascii="Times New Roman" w:eastAsia="Times New Roman" w:hAnsi="Times New Roman" w:cs="Times New Roman"/>
          <w:color w:val="000000"/>
          <w:sz w:val="28"/>
          <w:szCs w:val="28"/>
          <w:lang w:eastAsia="ru-RU" w:bidi="ru-RU"/>
        </w:rPr>
        <w:br/>
      </w:r>
      <w:r>
        <w:rPr>
          <w:rFonts w:ascii="Times New Roman" w:eastAsia="Times New Roman" w:hAnsi="Times New Roman" w:cs="Times New Roman"/>
          <w:color w:val="000000"/>
          <w:sz w:val="28"/>
          <w:szCs w:val="28"/>
          <w:lang w:eastAsia="ru-RU" w:bidi="ru-RU"/>
        </w:rPr>
        <w:t>г. Москве и г. Санкт-Петербурге планируется построить более 320 тыс. кв. м жилья для почти 3,3 тыс. семей;</w:t>
      </w:r>
    </w:p>
    <w:p w14:paraId="28E8E085" w14:textId="77777777" w:rsidR="00177065" w:rsidRPr="00A05154" w:rsidRDefault="00177065" w:rsidP="00FD2475">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7 </w:t>
      </w:r>
      <w:r w:rsidR="004F1211">
        <w:rPr>
          <w:rFonts w:ascii="Times New Roman" w:eastAsia="Times New Roman" w:hAnsi="Times New Roman" w:cs="Times New Roman"/>
          <w:color w:val="000000"/>
          <w:sz w:val="28"/>
          <w:szCs w:val="28"/>
          <w:lang w:eastAsia="ru-RU" w:bidi="ru-RU"/>
        </w:rPr>
        <w:t>проектов ЖСК в Архангельской, Московской, Свердловской, Челябинской, Волгоградской, Иркутской областях, Республиках Башкортостан, Бурятия, Марий Эл, г. Москве, г. Санкт-Петербурге, а также в Пермском и Приморском краях находятся на стадии передачи земельных участков в собственность членам ЖСК.</w:t>
      </w:r>
    </w:p>
    <w:p w14:paraId="08FA18A6" w14:textId="77777777" w:rsidR="00D03A4F" w:rsidRDefault="00D03A4F" w:rsidP="00DC4D10">
      <w:pPr>
        <w:shd w:val="clear" w:color="auto" w:fill="FFFFFF"/>
        <w:spacing w:before="120" w:after="120" w:line="312" w:lineRule="auto"/>
        <w:ind w:firstLine="709"/>
        <w:jc w:val="center"/>
        <w:rPr>
          <w:rFonts w:ascii="Times New Roman" w:eastAsia="Times New Roman" w:hAnsi="Times New Roman" w:cs="Times New Roman"/>
          <w:b/>
          <w:sz w:val="28"/>
          <w:szCs w:val="28"/>
          <w:lang w:eastAsia="ru-RU"/>
        </w:rPr>
      </w:pPr>
      <w:r w:rsidRPr="00CD7105">
        <w:rPr>
          <w:rFonts w:ascii="Times New Roman" w:eastAsia="Times New Roman" w:hAnsi="Times New Roman" w:cs="Times New Roman"/>
          <w:b/>
          <w:sz w:val="28"/>
          <w:szCs w:val="28"/>
          <w:lang w:eastAsia="ru-RU"/>
        </w:rPr>
        <w:t xml:space="preserve">Обеспечение жильем детей-сирот и детей, оставшихся </w:t>
      </w:r>
      <w:r w:rsidRPr="00CD7105">
        <w:rPr>
          <w:rFonts w:ascii="Times New Roman" w:eastAsia="Times New Roman" w:hAnsi="Times New Roman" w:cs="Times New Roman"/>
          <w:b/>
          <w:sz w:val="28"/>
          <w:szCs w:val="28"/>
          <w:lang w:eastAsia="ru-RU"/>
        </w:rPr>
        <w:br/>
        <w:t>без попечения родителей</w:t>
      </w:r>
    </w:p>
    <w:p w14:paraId="7D9052F8" w14:textId="77777777" w:rsidR="00657B9D" w:rsidRPr="00651149" w:rsidRDefault="00657B9D" w:rsidP="00657B9D">
      <w:pPr>
        <w:pStyle w:val="aa"/>
        <w:widowControl w:val="0"/>
        <w:pBdr>
          <w:bottom w:val="single" w:sz="6" w:space="31" w:color="FFFFFF"/>
        </w:pBdr>
        <w:shd w:val="clear" w:color="auto" w:fill="FFFFFF"/>
        <w:spacing w:after="0" w:line="312" w:lineRule="auto"/>
        <w:ind w:left="0" w:firstLine="709"/>
        <w:contextualSpacing/>
        <w:jc w:val="both"/>
      </w:pPr>
      <w:r w:rsidRPr="00651149">
        <w:rPr>
          <w:rFonts w:eastAsia="Calibri"/>
          <w:color w:val="000000"/>
          <w:sz w:val="28"/>
          <w:szCs w:val="28"/>
          <w:lang w:bidi="ru-RU"/>
        </w:rPr>
        <w:t>Государственные гарантии жилищных прав детей-сирот, детей, оставшихся без попечения родителей, а также лиц из их числа установлены Федеральным законом от 21 декабря 1996 г. № 159-ФЗ.</w:t>
      </w:r>
    </w:p>
    <w:p w14:paraId="24CBFCEA" w14:textId="77777777" w:rsidR="00657B9D" w:rsidRPr="00657B9D" w:rsidRDefault="00657B9D" w:rsidP="00657B9D">
      <w:pPr>
        <w:pStyle w:val="aa"/>
        <w:widowControl w:val="0"/>
        <w:pBdr>
          <w:bottom w:val="single" w:sz="6" w:space="31" w:color="FFFFFF"/>
        </w:pBdr>
        <w:shd w:val="clear" w:color="auto" w:fill="FFFFFF"/>
        <w:spacing w:after="0" w:line="312" w:lineRule="auto"/>
        <w:ind w:left="0" w:firstLine="709"/>
        <w:contextualSpacing/>
        <w:jc w:val="both"/>
      </w:pPr>
      <w:r w:rsidRPr="00657B9D">
        <w:rPr>
          <w:rFonts w:eastAsia="Calibri"/>
          <w:color w:val="000000"/>
          <w:spacing w:val="-1"/>
          <w:sz w:val="28"/>
          <w:szCs w:val="28"/>
          <w:lang w:bidi="ru-RU"/>
        </w:rPr>
        <w:t xml:space="preserve">В целях единообразного подхода </w:t>
      </w:r>
      <w:r w:rsidR="00EF2CB1">
        <w:rPr>
          <w:rFonts w:eastAsia="Calibri"/>
          <w:color w:val="000000"/>
          <w:spacing w:val="-1"/>
          <w:sz w:val="28"/>
          <w:szCs w:val="28"/>
          <w:lang w:bidi="ru-RU"/>
        </w:rPr>
        <w:t xml:space="preserve">к формированию и ведению списка </w:t>
      </w:r>
      <w:r w:rsidR="0053345C">
        <w:rPr>
          <w:rFonts w:eastAsia="Calibri"/>
          <w:color w:val="000000"/>
          <w:spacing w:val="-1"/>
          <w:sz w:val="28"/>
          <w:szCs w:val="28"/>
          <w:lang w:bidi="ru-RU"/>
        </w:rPr>
        <w:br/>
      </w:r>
      <w:r w:rsidRPr="00657B9D">
        <w:rPr>
          <w:rFonts w:eastAsia="Calibri"/>
          <w:color w:val="000000"/>
          <w:spacing w:val="-1"/>
          <w:sz w:val="28"/>
          <w:szCs w:val="28"/>
          <w:lang w:bidi="ru-RU"/>
        </w:rPr>
        <w:t>детей-сирот, детей, оставшихся без п</w:t>
      </w:r>
      <w:r w:rsidR="0053345C">
        <w:rPr>
          <w:rFonts w:eastAsia="Calibri"/>
          <w:color w:val="000000"/>
          <w:spacing w:val="-1"/>
          <w:sz w:val="28"/>
          <w:szCs w:val="28"/>
          <w:lang w:bidi="ru-RU"/>
        </w:rPr>
        <w:t xml:space="preserve">опечения родителей, а также лиц </w:t>
      </w:r>
      <w:r w:rsidRPr="00657B9D">
        <w:rPr>
          <w:rFonts w:eastAsia="Calibri"/>
          <w:color w:val="000000"/>
          <w:spacing w:val="-1"/>
          <w:sz w:val="28"/>
          <w:szCs w:val="28"/>
          <w:lang w:bidi="ru-RU"/>
        </w:rPr>
        <w:t>из их числа, нуждающихся в обеспечении жилыми помещениями, принято постановление Правительства Российской Федер</w:t>
      </w:r>
      <w:r w:rsidR="00EF2CB1">
        <w:rPr>
          <w:rFonts w:eastAsia="Calibri"/>
          <w:color w:val="000000"/>
          <w:spacing w:val="-1"/>
          <w:sz w:val="28"/>
          <w:szCs w:val="28"/>
          <w:lang w:bidi="ru-RU"/>
        </w:rPr>
        <w:t>ации от 4 апреля 2019 </w:t>
      </w:r>
      <w:r w:rsidR="0053345C">
        <w:rPr>
          <w:rFonts w:eastAsia="Calibri"/>
          <w:color w:val="000000"/>
          <w:spacing w:val="-1"/>
          <w:sz w:val="28"/>
          <w:szCs w:val="28"/>
          <w:lang w:bidi="ru-RU"/>
        </w:rPr>
        <w:t xml:space="preserve">г. № 397 </w:t>
      </w:r>
      <w:r w:rsidRPr="00657B9D">
        <w:rPr>
          <w:rFonts w:eastAsia="Calibri"/>
          <w:color w:val="000000"/>
          <w:spacing w:val="-1"/>
          <w:sz w:val="28"/>
          <w:szCs w:val="28"/>
          <w:lang w:bidi="ru-RU"/>
        </w:rPr>
        <w:t xml:space="preserve">«О формировании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w:t>
      </w:r>
      <w:r w:rsidR="00694546">
        <w:rPr>
          <w:rFonts w:eastAsia="Calibri"/>
          <w:color w:val="000000"/>
          <w:spacing w:val="-1"/>
          <w:sz w:val="28"/>
          <w:szCs w:val="28"/>
          <w:lang w:bidi="ru-RU"/>
        </w:rPr>
        <w:br/>
      </w:r>
      <w:r w:rsidRPr="00657B9D">
        <w:rPr>
          <w:rFonts w:eastAsia="Calibri"/>
          <w:color w:val="000000"/>
          <w:spacing w:val="-1"/>
          <w:sz w:val="28"/>
          <w:szCs w:val="28"/>
          <w:lang w:bidi="ru-RU"/>
        </w:rPr>
        <w:t>23 лет, которые подлежат обеспечению жилыми помещениями, исключении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 (далее</w:t>
      </w:r>
      <w:r w:rsidR="00606BF1">
        <w:rPr>
          <w:rFonts w:eastAsia="Calibri"/>
          <w:color w:val="000000"/>
          <w:spacing w:val="-1"/>
          <w:sz w:val="28"/>
          <w:szCs w:val="28"/>
          <w:lang w:bidi="ru-RU"/>
        </w:rPr>
        <w:t xml:space="preserve"> по тексту подраздела</w:t>
      </w:r>
      <w:r w:rsidRPr="00657B9D">
        <w:rPr>
          <w:rFonts w:eastAsia="Calibri"/>
          <w:color w:val="000000"/>
          <w:spacing w:val="-1"/>
          <w:sz w:val="28"/>
          <w:szCs w:val="28"/>
          <w:lang w:bidi="ru-RU"/>
        </w:rPr>
        <w:t xml:space="preserve"> – постановление Правительства Российской Федерации от 4 апреля 2019 г. № 397, список).</w:t>
      </w:r>
    </w:p>
    <w:p w14:paraId="40B26A8F" w14:textId="2985AD62" w:rsidR="00657B9D" w:rsidRPr="00657B9D" w:rsidRDefault="00657B9D" w:rsidP="00657B9D">
      <w:pPr>
        <w:pStyle w:val="aa"/>
        <w:widowControl w:val="0"/>
        <w:pBdr>
          <w:bottom w:val="single" w:sz="6" w:space="31" w:color="FFFFFF"/>
        </w:pBdr>
        <w:shd w:val="clear" w:color="auto" w:fill="FFFFFF"/>
        <w:spacing w:after="0" w:line="312" w:lineRule="auto"/>
        <w:ind w:left="0" w:firstLine="709"/>
        <w:contextualSpacing/>
        <w:jc w:val="both"/>
      </w:pPr>
      <w:r w:rsidRPr="00657B9D">
        <w:rPr>
          <w:rFonts w:eastAsia="Calibri"/>
          <w:color w:val="000000"/>
          <w:spacing w:val="-1"/>
          <w:sz w:val="28"/>
          <w:szCs w:val="28"/>
          <w:lang w:bidi="ru-RU"/>
        </w:rPr>
        <w:t>В соответствии с постановлением Правительства Российской Федерации</w:t>
      </w:r>
      <w:r w:rsidRPr="00657B9D">
        <w:rPr>
          <w:rFonts w:eastAsia="Calibri"/>
          <w:color w:val="000000"/>
          <w:spacing w:val="-1"/>
          <w:sz w:val="28"/>
          <w:szCs w:val="28"/>
          <w:lang w:bidi="ru-RU"/>
        </w:rPr>
        <w:br/>
        <w:t>от 4 апреля 2019 г. № 397 с 1 сентября 2</w:t>
      </w:r>
      <w:r w:rsidR="00EF2CB1">
        <w:rPr>
          <w:rFonts w:eastAsia="Calibri"/>
          <w:color w:val="000000"/>
          <w:spacing w:val="-1"/>
          <w:sz w:val="28"/>
          <w:szCs w:val="28"/>
          <w:lang w:bidi="ru-RU"/>
        </w:rPr>
        <w:t>019 г</w:t>
      </w:r>
      <w:r w:rsidR="0027616A">
        <w:rPr>
          <w:rFonts w:eastAsia="Calibri"/>
          <w:color w:val="000000"/>
          <w:spacing w:val="-1"/>
          <w:sz w:val="28"/>
          <w:szCs w:val="28"/>
          <w:lang w:bidi="ru-RU"/>
        </w:rPr>
        <w:t>.</w:t>
      </w:r>
      <w:r w:rsidR="00EF2CB1">
        <w:rPr>
          <w:rFonts w:eastAsia="Calibri"/>
          <w:color w:val="000000"/>
          <w:spacing w:val="-1"/>
          <w:sz w:val="28"/>
          <w:szCs w:val="28"/>
          <w:lang w:bidi="ru-RU"/>
        </w:rPr>
        <w:t xml:space="preserve"> информация о включении </w:t>
      </w:r>
      <w:r w:rsidRPr="00657B9D">
        <w:rPr>
          <w:rFonts w:eastAsia="Calibri"/>
          <w:color w:val="000000"/>
          <w:spacing w:val="-1"/>
          <w:sz w:val="28"/>
          <w:szCs w:val="28"/>
          <w:lang w:bidi="ru-RU"/>
        </w:rPr>
        <w:t>детей-сирот, детей, оставшихся без попечения родителей, а также лиц из их числа в список или об исключении их из списка, а также информация об исключении детей-сирот, детей</w:t>
      </w:r>
      <w:r w:rsidR="00B24210">
        <w:rPr>
          <w:rFonts w:eastAsia="Calibri"/>
          <w:color w:val="000000"/>
          <w:spacing w:val="-1"/>
          <w:sz w:val="28"/>
          <w:szCs w:val="28"/>
          <w:lang w:bidi="ru-RU"/>
        </w:rPr>
        <w:t>,</w:t>
      </w:r>
      <w:r w:rsidRPr="00657B9D">
        <w:rPr>
          <w:rFonts w:eastAsia="Calibri"/>
          <w:color w:val="000000"/>
          <w:spacing w:val="-1"/>
          <w:sz w:val="28"/>
          <w:szCs w:val="28"/>
          <w:lang w:bidi="ru-RU"/>
        </w:rPr>
        <w:t xml:space="preserve"> оставшихся без попечения родителей, а также лиц из их числа из списка по прежнему месту жительства и включении в список в субъекте Российской Федерации по новому месту жительства уполномоченными органами исполнительной власти субъектов Российской Федерации размещается в Единой государственной информационной системе социального обеспечения</w:t>
      </w:r>
      <w:r w:rsidR="00F83CAA">
        <w:rPr>
          <w:rFonts w:eastAsia="Calibri"/>
          <w:color w:val="000000"/>
          <w:spacing w:val="-1"/>
          <w:sz w:val="28"/>
          <w:szCs w:val="28"/>
          <w:lang w:bidi="ru-RU"/>
        </w:rPr>
        <w:t xml:space="preserve"> </w:t>
      </w:r>
      <w:r w:rsidR="00DC37F7">
        <w:rPr>
          <w:rFonts w:eastAsia="Calibri"/>
          <w:color w:val="000000"/>
          <w:spacing w:val="-1"/>
          <w:sz w:val="28"/>
          <w:szCs w:val="28"/>
          <w:lang w:bidi="ru-RU"/>
        </w:rPr>
        <w:t>(далее – ЕГИССО)</w:t>
      </w:r>
      <w:r w:rsidRPr="00657B9D">
        <w:rPr>
          <w:rFonts w:eastAsia="Calibri"/>
          <w:color w:val="000000"/>
          <w:spacing w:val="-1"/>
          <w:sz w:val="28"/>
          <w:szCs w:val="28"/>
          <w:lang w:bidi="ru-RU"/>
        </w:rPr>
        <w:t>.</w:t>
      </w:r>
    </w:p>
    <w:p w14:paraId="17AEC9B7" w14:textId="77777777" w:rsidR="00657B9D" w:rsidRPr="00657B9D" w:rsidRDefault="00657B9D" w:rsidP="00657B9D">
      <w:pPr>
        <w:pStyle w:val="aa"/>
        <w:widowControl w:val="0"/>
        <w:pBdr>
          <w:bottom w:val="single" w:sz="6" w:space="31" w:color="FFFFFF"/>
        </w:pBdr>
        <w:shd w:val="clear" w:color="auto" w:fill="FFFFFF"/>
        <w:spacing w:after="0" w:line="312" w:lineRule="auto"/>
        <w:ind w:left="0" w:firstLine="709"/>
        <w:contextualSpacing/>
        <w:jc w:val="both"/>
        <w:rPr>
          <w:rFonts w:eastAsia="Calibri"/>
          <w:color w:val="000000"/>
          <w:spacing w:val="-1"/>
          <w:sz w:val="28"/>
          <w:szCs w:val="28"/>
          <w:lang w:bidi="ru-RU"/>
        </w:rPr>
      </w:pPr>
      <w:r w:rsidRPr="00657B9D">
        <w:rPr>
          <w:rFonts w:eastAsia="Calibri"/>
          <w:color w:val="000000"/>
          <w:spacing w:val="-1"/>
          <w:sz w:val="28"/>
          <w:szCs w:val="28"/>
          <w:lang w:bidi="ru-RU"/>
        </w:rPr>
        <w:t xml:space="preserve">В целях исполнения положений постановления Правительства Российской Федерации от 4 апреля 2019 г. № 397 в </w:t>
      </w:r>
      <w:r w:rsidR="00DC37F7">
        <w:rPr>
          <w:rFonts w:eastAsia="Calibri"/>
          <w:color w:val="000000"/>
          <w:spacing w:val="-1"/>
          <w:sz w:val="28"/>
          <w:szCs w:val="28"/>
          <w:lang w:bidi="ru-RU"/>
        </w:rPr>
        <w:t>ЕГИССО</w:t>
      </w:r>
      <w:r w:rsidRPr="00657B9D">
        <w:rPr>
          <w:rFonts w:eastAsia="Calibri"/>
          <w:color w:val="000000"/>
          <w:spacing w:val="-1"/>
          <w:sz w:val="28"/>
          <w:szCs w:val="28"/>
          <w:lang w:bidi="ru-RU"/>
        </w:rPr>
        <w:t xml:space="preserve"> реализована функциональность, позволяющая уполномоченным органам исполнительной власти субъектов Российской Федерации вести учет вышеуказанных сведений.</w:t>
      </w:r>
    </w:p>
    <w:p w14:paraId="277D3C30" w14:textId="186385F7" w:rsidR="00657B9D" w:rsidRPr="00657B9D" w:rsidRDefault="00657B9D" w:rsidP="00657B9D">
      <w:pPr>
        <w:pStyle w:val="aa"/>
        <w:pBdr>
          <w:bottom w:val="single" w:sz="6" w:space="31" w:color="FFFFFF"/>
        </w:pBdr>
        <w:shd w:val="clear" w:color="auto" w:fill="FFFFFF"/>
        <w:spacing w:after="0" w:line="312" w:lineRule="auto"/>
        <w:ind w:left="0" w:firstLine="709"/>
        <w:contextualSpacing/>
        <w:jc w:val="both"/>
      </w:pPr>
      <w:r w:rsidRPr="00657B9D">
        <w:rPr>
          <w:sz w:val="28"/>
          <w:szCs w:val="28"/>
        </w:rPr>
        <w:t xml:space="preserve">По данным </w:t>
      </w:r>
      <w:r w:rsidR="00DC37F7">
        <w:rPr>
          <w:sz w:val="28"/>
          <w:szCs w:val="28"/>
        </w:rPr>
        <w:t>ЕГИССО,</w:t>
      </w:r>
      <w:r w:rsidRPr="00657B9D">
        <w:rPr>
          <w:sz w:val="28"/>
          <w:szCs w:val="28"/>
        </w:rPr>
        <w:t xml:space="preserve"> по состоянию на 1 января 2022 г</w:t>
      </w:r>
      <w:r w:rsidR="00F22F99">
        <w:rPr>
          <w:sz w:val="28"/>
          <w:szCs w:val="28"/>
        </w:rPr>
        <w:t>.</w:t>
      </w:r>
      <w:r w:rsidR="00DC37F7">
        <w:rPr>
          <w:sz w:val="28"/>
          <w:szCs w:val="28"/>
        </w:rPr>
        <w:t xml:space="preserve"> численность </w:t>
      </w:r>
      <w:r w:rsidR="00395317">
        <w:rPr>
          <w:sz w:val="28"/>
          <w:szCs w:val="28"/>
        </w:rPr>
        <w:br/>
      </w:r>
      <w:r w:rsidR="00DC37F7">
        <w:rPr>
          <w:sz w:val="28"/>
          <w:szCs w:val="28"/>
        </w:rPr>
        <w:t xml:space="preserve">детей-сирот и лиц </w:t>
      </w:r>
      <w:r w:rsidRPr="00657B9D">
        <w:rPr>
          <w:sz w:val="28"/>
          <w:szCs w:val="28"/>
        </w:rPr>
        <w:t>из их числа, включая ли</w:t>
      </w:r>
      <w:r w:rsidR="00DC37F7">
        <w:rPr>
          <w:sz w:val="28"/>
          <w:szCs w:val="28"/>
        </w:rPr>
        <w:t xml:space="preserve">ц от 23 лет и старше, состоящих </w:t>
      </w:r>
      <w:r w:rsidRPr="00657B9D">
        <w:rPr>
          <w:sz w:val="28"/>
          <w:szCs w:val="28"/>
        </w:rPr>
        <w:t>в списке на получение жилых помещений специализированного жилищного фонда, составляет</w:t>
      </w:r>
      <w:bookmarkStart w:id="0" w:name="__DdeLink__1793_33896702921"/>
      <w:bookmarkEnd w:id="0"/>
      <w:r w:rsidR="00DC37F7">
        <w:rPr>
          <w:sz w:val="28"/>
          <w:szCs w:val="28"/>
        </w:rPr>
        <w:t xml:space="preserve"> 299,9 </w:t>
      </w:r>
      <w:r w:rsidRPr="00657B9D">
        <w:rPr>
          <w:sz w:val="28"/>
          <w:szCs w:val="28"/>
        </w:rPr>
        <w:t>тыс. человек, из которых право на обеспечение жилым помещением наступило у 211,0 тыс. человек. Рост числе</w:t>
      </w:r>
      <w:r w:rsidR="00DC37F7">
        <w:rPr>
          <w:sz w:val="28"/>
          <w:szCs w:val="28"/>
        </w:rPr>
        <w:t>нности за 2021 г</w:t>
      </w:r>
      <w:r w:rsidR="00280A99">
        <w:rPr>
          <w:sz w:val="28"/>
          <w:szCs w:val="28"/>
        </w:rPr>
        <w:t>.</w:t>
      </w:r>
      <w:r w:rsidR="00DC37F7">
        <w:rPr>
          <w:sz w:val="28"/>
          <w:szCs w:val="28"/>
        </w:rPr>
        <w:t xml:space="preserve"> составил 5,4</w:t>
      </w:r>
      <w:r w:rsidRPr="00657B9D">
        <w:rPr>
          <w:sz w:val="28"/>
          <w:szCs w:val="28"/>
        </w:rPr>
        <w:t>%. В 2021 г</w:t>
      </w:r>
      <w:r w:rsidR="00280A99">
        <w:rPr>
          <w:sz w:val="28"/>
          <w:szCs w:val="28"/>
        </w:rPr>
        <w:t>.</w:t>
      </w:r>
      <w:r w:rsidRPr="00657B9D">
        <w:rPr>
          <w:sz w:val="28"/>
          <w:szCs w:val="28"/>
        </w:rPr>
        <w:t xml:space="preserve"> в Российской Федерации обеспечены жилыми помещениями 22,5 тыс. человек </w:t>
      </w:r>
      <w:r w:rsidR="00135082">
        <w:rPr>
          <w:sz w:val="28"/>
          <w:szCs w:val="28"/>
        </w:rPr>
        <w:br/>
      </w:r>
      <w:r w:rsidRPr="00657B9D">
        <w:rPr>
          <w:sz w:val="28"/>
          <w:szCs w:val="28"/>
        </w:rPr>
        <w:t>(2020 г</w:t>
      </w:r>
      <w:r w:rsidR="00DC37F7">
        <w:rPr>
          <w:sz w:val="28"/>
          <w:szCs w:val="28"/>
        </w:rPr>
        <w:t>.</w:t>
      </w:r>
      <w:r w:rsidRPr="00657B9D">
        <w:rPr>
          <w:sz w:val="28"/>
          <w:szCs w:val="28"/>
        </w:rPr>
        <w:t xml:space="preserve"> </w:t>
      </w:r>
      <w:r w:rsidR="00DC37F7">
        <w:rPr>
          <w:sz w:val="28"/>
          <w:szCs w:val="28"/>
        </w:rPr>
        <w:t>–</w:t>
      </w:r>
      <w:r w:rsidRPr="00657B9D">
        <w:rPr>
          <w:sz w:val="28"/>
          <w:szCs w:val="28"/>
        </w:rPr>
        <w:t xml:space="preserve"> 24,4 тыс. человек</w:t>
      </w:r>
      <w:r w:rsidR="00DC37F7">
        <w:rPr>
          <w:sz w:val="28"/>
          <w:szCs w:val="28"/>
        </w:rPr>
        <w:t>;</w:t>
      </w:r>
      <w:r w:rsidRPr="00657B9D">
        <w:rPr>
          <w:sz w:val="28"/>
          <w:szCs w:val="28"/>
        </w:rPr>
        <w:t xml:space="preserve"> 2019</w:t>
      </w:r>
      <w:r w:rsidR="00DC37F7">
        <w:rPr>
          <w:sz w:val="28"/>
          <w:szCs w:val="28"/>
        </w:rPr>
        <w:t xml:space="preserve"> г.</w:t>
      </w:r>
      <w:r w:rsidRPr="00657B9D">
        <w:rPr>
          <w:sz w:val="28"/>
          <w:szCs w:val="28"/>
        </w:rPr>
        <w:t xml:space="preserve"> </w:t>
      </w:r>
      <w:r w:rsidR="00DC37F7">
        <w:rPr>
          <w:sz w:val="28"/>
          <w:szCs w:val="28"/>
        </w:rPr>
        <w:t>–</w:t>
      </w:r>
      <w:r w:rsidRPr="00657B9D">
        <w:rPr>
          <w:sz w:val="28"/>
          <w:szCs w:val="28"/>
        </w:rPr>
        <w:t xml:space="preserve"> 27,4 тыс. человек).</w:t>
      </w:r>
    </w:p>
    <w:p w14:paraId="0A7AB497" w14:textId="3D17018A" w:rsidR="00657B9D" w:rsidRPr="00657B9D" w:rsidRDefault="00657B9D" w:rsidP="00657B9D">
      <w:pPr>
        <w:pStyle w:val="aa"/>
        <w:pBdr>
          <w:bottom w:val="single" w:sz="6" w:space="31" w:color="FFFFFF"/>
        </w:pBdr>
        <w:shd w:val="clear" w:color="auto" w:fill="FFFFFF"/>
        <w:spacing w:after="0" w:line="312" w:lineRule="auto"/>
        <w:ind w:left="0" w:firstLine="709"/>
        <w:contextualSpacing/>
        <w:jc w:val="both"/>
        <w:rPr>
          <w:sz w:val="28"/>
          <w:szCs w:val="28"/>
        </w:rPr>
      </w:pPr>
      <w:r w:rsidRPr="00657B9D">
        <w:rPr>
          <w:color w:val="000000"/>
          <w:sz w:val="28"/>
          <w:szCs w:val="28"/>
          <w:lang w:bidi="ru-RU"/>
        </w:rPr>
        <w:t>В соответствии с Федеральным законом от 6 декабря 2021 г. № 390-ФЗ</w:t>
      </w:r>
      <w:r w:rsidRPr="00657B9D">
        <w:rPr>
          <w:color w:val="000000"/>
          <w:sz w:val="28"/>
          <w:szCs w:val="28"/>
          <w:lang w:bidi="ru-RU"/>
        </w:rPr>
        <w:br/>
        <w:t>пр</w:t>
      </w:r>
      <w:r w:rsidR="00DC37F7">
        <w:rPr>
          <w:color w:val="000000"/>
          <w:sz w:val="28"/>
          <w:szCs w:val="28"/>
          <w:lang w:bidi="ru-RU"/>
        </w:rPr>
        <w:t xml:space="preserve">едусмотрено ежегодное выделение </w:t>
      </w:r>
      <w:r w:rsidRPr="00657B9D">
        <w:rPr>
          <w:color w:val="000000"/>
          <w:sz w:val="28"/>
          <w:szCs w:val="28"/>
          <w:lang w:bidi="ru-RU"/>
        </w:rPr>
        <w:t>из федерального бюджета бюджетам</w:t>
      </w:r>
      <w:r w:rsidRPr="00657B9D">
        <w:rPr>
          <w:color w:val="000000"/>
          <w:spacing w:val="-2"/>
          <w:sz w:val="28"/>
          <w:szCs w:val="28"/>
          <w:lang w:bidi="ru-RU"/>
        </w:rPr>
        <w:t xml:space="preserve"> субъектов Российской Федерации</w:t>
      </w:r>
      <w:r w:rsidRPr="00657B9D">
        <w:rPr>
          <w:color w:val="000000"/>
          <w:sz w:val="28"/>
          <w:szCs w:val="28"/>
          <w:lang w:bidi="ru-RU"/>
        </w:rPr>
        <w:t xml:space="preserve"> </w:t>
      </w:r>
      <w:r w:rsidR="00DC37F7">
        <w:rPr>
          <w:color w:val="000000"/>
          <w:spacing w:val="-2"/>
          <w:sz w:val="28"/>
          <w:szCs w:val="28"/>
          <w:lang w:bidi="ru-RU"/>
        </w:rPr>
        <w:t xml:space="preserve">субсидии </w:t>
      </w:r>
      <w:r w:rsidRPr="00657B9D">
        <w:rPr>
          <w:color w:val="000000"/>
          <w:spacing w:val="-2"/>
          <w:sz w:val="28"/>
          <w:szCs w:val="28"/>
          <w:lang w:bidi="ru-RU"/>
        </w:rPr>
        <w:t>на</w:t>
      </w:r>
      <w:r w:rsidRPr="00657B9D">
        <w:rPr>
          <w:color w:val="000000"/>
          <w:sz w:val="28"/>
          <w:szCs w:val="28"/>
          <w:lang w:bidi="ru-RU"/>
        </w:rPr>
        <w:t xml:space="preserve"> </w:t>
      </w:r>
      <w:r w:rsidRPr="00657B9D">
        <w:rPr>
          <w:color w:val="000000"/>
          <w:spacing w:val="-2"/>
          <w:sz w:val="28"/>
          <w:szCs w:val="28"/>
          <w:lang w:bidi="ru-RU"/>
        </w:rPr>
        <w:t>обеспечение жилыми</w:t>
      </w:r>
      <w:r w:rsidRPr="00657B9D">
        <w:rPr>
          <w:color w:val="000000"/>
          <w:sz w:val="28"/>
          <w:szCs w:val="28"/>
          <w:lang w:bidi="ru-RU"/>
        </w:rPr>
        <w:t xml:space="preserve"> помещениями детей-</w:t>
      </w:r>
      <w:r w:rsidR="00DC37F7">
        <w:rPr>
          <w:color w:val="000000"/>
          <w:sz w:val="28"/>
          <w:szCs w:val="28"/>
          <w:lang w:bidi="ru-RU"/>
        </w:rPr>
        <w:t>сирот в объеме 10</w:t>
      </w:r>
      <w:r w:rsidR="00E26CB5">
        <w:rPr>
          <w:color w:val="000000"/>
          <w:sz w:val="28"/>
          <w:szCs w:val="28"/>
          <w:lang w:bidi="ru-RU"/>
        </w:rPr>
        <w:t xml:space="preserve"> </w:t>
      </w:r>
      <w:r w:rsidR="00DC37F7">
        <w:rPr>
          <w:color w:val="000000"/>
          <w:sz w:val="28"/>
          <w:szCs w:val="28"/>
          <w:lang w:bidi="ru-RU"/>
        </w:rPr>
        <w:t xml:space="preserve">млрд рублей </w:t>
      </w:r>
      <w:r w:rsidRPr="00657B9D">
        <w:rPr>
          <w:color w:val="000000"/>
          <w:sz w:val="28"/>
          <w:szCs w:val="28"/>
          <w:lang w:bidi="ru-RU"/>
        </w:rPr>
        <w:t>(далее</w:t>
      </w:r>
      <w:r w:rsidR="00DC37F7">
        <w:rPr>
          <w:color w:val="000000"/>
          <w:sz w:val="28"/>
          <w:szCs w:val="28"/>
          <w:lang w:bidi="ru-RU"/>
        </w:rPr>
        <w:t xml:space="preserve"> по тексту подраздела</w:t>
      </w:r>
      <w:r w:rsidRPr="00657B9D">
        <w:rPr>
          <w:color w:val="000000"/>
          <w:sz w:val="28"/>
          <w:szCs w:val="28"/>
          <w:lang w:bidi="ru-RU"/>
        </w:rPr>
        <w:t xml:space="preserve"> – субсидия). Средства, предусмотренные региональными </w:t>
      </w:r>
      <w:r w:rsidR="00DC37F7">
        <w:rPr>
          <w:color w:val="000000"/>
          <w:sz w:val="28"/>
          <w:szCs w:val="28"/>
          <w:lang w:bidi="ru-RU"/>
        </w:rPr>
        <w:t xml:space="preserve">бюджетами </w:t>
      </w:r>
      <w:r w:rsidRPr="00657B9D">
        <w:rPr>
          <w:color w:val="000000"/>
          <w:sz w:val="28"/>
          <w:szCs w:val="28"/>
          <w:lang w:bidi="ru-RU"/>
        </w:rPr>
        <w:t>на обеспечение жилыми помещениями дете</w:t>
      </w:r>
      <w:r w:rsidR="00DC37F7">
        <w:rPr>
          <w:color w:val="000000"/>
          <w:sz w:val="28"/>
          <w:szCs w:val="28"/>
          <w:lang w:bidi="ru-RU"/>
        </w:rPr>
        <w:t xml:space="preserve">й-сирот, ежегодно увеличиваются </w:t>
      </w:r>
      <w:r w:rsidRPr="00657B9D">
        <w:rPr>
          <w:color w:val="000000"/>
          <w:sz w:val="28"/>
          <w:szCs w:val="28"/>
          <w:lang w:bidi="ru-RU"/>
        </w:rPr>
        <w:t>и в 2021 г</w:t>
      </w:r>
      <w:r w:rsidR="00280A99">
        <w:rPr>
          <w:color w:val="000000"/>
          <w:sz w:val="28"/>
          <w:szCs w:val="28"/>
          <w:lang w:bidi="ru-RU"/>
        </w:rPr>
        <w:t>.</w:t>
      </w:r>
      <w:r w:rsidRPr="00657B9D">
        <w:rPr>
          <w:color w:val="000000"/>
          <w:sz w:val="28"/>
          <w:szCs w:val="28"/>
          <w:lang w:bidi="ru-RU"/>
        </w:rPr>
        <w:t xml:space="preserve"> составили 35,6 млрд</w:t>
      </w:r>
      <w:r w:rsidRPr="00657B9D">
        <w:rPr>
          <w:sz w:val="28"/>
          <w:szCs w:val="28"/>
          <w:lang w:bidi="ru-RU"/>
        </w:rPr>
        <w:t xml:space="preserve"> рублей </w:t>
      </w:r>
      <w:r w:rsidR="00135082">
        <w:rPr>
          <w:sz w:val="28"/>
          <w:szCs w:val="28"/>
          <w:lang w:bidi="ru-RU"/>
        </w:rPr>
        <w:br/>
      </w:r>
      <w:r w:rsidRPr="00657B9D">
        <w:rPr>
          <w:sz w:val="28"/>
          <w:szCs w:val="28"/>
          <w:lang w:bidi="ru-RU"/>
        </w:rPr>
        <w:t>(</w:t>
      </w:r>
      <w:r w:rsidR="001E3A31">
        <w:rPr>
          <w:sz w:val="28"/>
          <w:szCs w:val="28"/>
          <w:lang w:bidi="ru-RU"/>
        </w:rPr>
        <w:t>2020 г. – 31,3 млрд</w:t>
      </w:r>
      <w:r w:rsidR="00DC37F7">
        <w:rPr>
          <w:sz w:val="28"/>
          <w:szCs w:val="28"/>
          <w:lang w:bidi="ru-RU"/>
        </w:rPr>
        <w:t xml:space="preserve"> рублей;</w:t>
      </w:r>
      <w:r w:rsidRPr="00657B9D">
        <w:rPr>
          <w:sz w:val="28"/>
          <w:szCs w:val="28"/>
          <w:lang w:bidi="ru-RU"/>
        </w:rPr>
        <w:t xml:space="preserve"> 2019 г</w:t>
      </w:r>
      <w:r w:rsidR="00DC37F7">
        <w:rPr>
          <w:sz w:val="28"/>
          <w:szCs w:val="28"/>
          <w:lang w:bidi="ru-RU"/>
        </w:rPr>
        <w:t>.</w:t>
      </w:r>
      <w:r w:rsidRPr="00657B9D">
        <w:rPr>
          <w:sz w:val="28"/>
          <w:szCs w:val="28"/>
          <w:lang w:bidi="ru-RU"/>
        </w:rPr>
        <w:t> </w:t>
      </w:r>
      <w:r w:rsidR="00DC37F7">
        <w:rPr>
          <w:sz w:val="28"/>
          <w:szCs w:val="28"/>
          <w:lang w:bidi="ru-RU"/>
        </w:rPr>
        <w:t>–</w:t>
      </w:r>
      <w:r w:rsidRPr="00657B9D">
        <w:rPr>
          <w:sz w:val="28"/>
          <w:szCs w:val="28"/>
          <w:lang w:bidi="ru-RU"/>
        </w:rPr>
        <w:t xml:space="preserve"> 28,6 млрд рублей).</w:t>
      </w:r>
    </w:p>
    <w:p w14:paraId="206EAC58" w14:textId="77777777" w:rsidR="00657B9D" w:rsidRPr="00657B9D" w:rsidRDefault="00657B9D" w:rsidP="00657B9D">
      <w:pPr>
        <w:pStyle w:val="Standard"/>
        <w:pBdr>
          <w:bottom w:val="single" w:sz="6" w:space="31" w:color="FFFFFF"/>
        </w:pBdr>
        <w:spacing w:line="312" w:lineRule="auto"/>
        <w:ind w:firstLine="709"/>
        <w:jc w:val="both"/>
        <w:rPr>
          <w:rFonts w:ascii="Times New Roman" w:hAnsi="Times New Roman" w:cs="Times New Roman"/>
          <w:szCs w:val="28"/>
        </w:rPr>
      </w:pPr>
      <w:r w:rsidRPr="00657B9D">
        <w:rPr>
          <w:rFonts w:ascii="Times New Roman" w:hAnsi="Times New Roman" w:cs="Times New Roman"/>
          <w:color w:val="000000"/>
          <w:szCs w:val="28"/>
        </w:rPr>
        <w:t>В целом объем освоения средств субсидии по итогам 2021 г</w:t>
      </w:r>
      <w:r w:rsidR="00280A99">
        <w:rPr>
          <w:rFonts w:ascii="Times New Roman" w:hAnsi="Times New Roman" w:cs="Times New Roman"/>
          <w:color w:val="000000"/>
          <w:szCs w:val="28"/>
        </w:rPr>
        <w:t>.</w:t>
      </w:r>
      <w:r w:rsidRPr="00657B9D">
        <w:rPr>
          <w:rFonts w:ascii="Times New Roman" w:hAnsi="Times New Roman" w:cs="Times New Roman"/>
          <w:color w:val="000000"/>
          <w:szCs w:val="28"/>
        </w:rPr>
        <w:t xml:space="preserve"> составил</w:t>
      </w:r>
      <w:r w:rsidRPr="00657B9D">
        <w:rPr>
          <w:rFonts w:ascii="Times New Roman" w:hAnsi="Times New Roman" w:cs="Times New Roman"/>
          <w:color w:val="000000"/>
          <w:szCs w:val="28"/>
        </w:rPr>
        <w:br/>
        <w:t>97% (2020</w:t>
      </w:r>
      <w:r w:rsidRPr="00657B9D">
        <w:rPr>
          <w:rFonts w:ascii="Times New Roman" w:hAnsi="Times New Roman" w:cs="Times New Roman"/>
          <w:szCs w:val="28"/>
        </w:rPr>
        <w:t xml:space="preserve"> г</w:t>
      </w:r>
      <w:r w:rsidR="00DC37F7">
        <w:rPr>
          <w:rFonts w:ascii="Times New Roman" w:hAnsi="Times New Roman" w:cs="Times New Roman"/>
          <w:szCs w:val="28"/>
        </w:rPr>
        <w:t>.</w:t>
      </w:r>
      <w:r w:rsidRPr="00657B9D">
        <w:rPr>
          <w:rFonts w:ascii="Times New Roman" w:hAnsi="Times New Roman" w:cs="Times New Roman"/>
          <w:szCs w:val="28"/>
        </w:rPr>
        <w:t xml:space="preserve"> </w:t>
      </w:r>
      <w:r w:rsidR="00DC37F7">
        <w:rPr>
          <w:rFonts w:ascii="Times New Roman" w:hAnsi="Times New Roman" w:cs="Times New Roman"/>
          <w:szCs w:val="28"/>
        </w:rPr>
        <w:t>–</w:t>
      </w:r>
      <w:r w:rsidRPr="00657B9D">
        <w:rPr>
          <w:rFonts w:ascii="Times New Roman" w:hAnsi="Times New Roman" w:cs="Times New Roman"/>
          <w:szCs w:val="28"/>
        </w:rPr>
        <w:t xml:space="preserve"> 8</w:t>
      </w:r>
      <w:r w:rsidR="00DC37F7">
        <w:rPr>
          <w:rFonts w:ascii="Times New Roman" w:hAnsi="Times New Roman" w:cs="Times New Roman"/>
          <w:szCs w:val="28"/>
        </w:rPr>
        <w:t xml:space="preserve">3,9%; </w:t>
      </w:r>
      <w:r w:rsidRPr="00657B9D">
        <w:rPr>
          <w:rFonts w:ascii="Times New Roman" w:hAnsi="Times New Roman" w:cs="Times New Roman"/>
          <w:szCs w:val="28"/>
        </w:rPr>
        <w:t>2019</w:t>
      </w:r>
      <w:r w:rsidR="00DC37F7">
        <w:rPr>
          <w:rFonts w:ascii="Times New Roman" w:hAnsi="Times New Roman" w:cs="Times New Roman"/>
          <w:szCs w:val="28"/>
        </w:rPr>
        <w:t xml:space="preserve"> г.</w:t>
      </w:r>
      <w:r w:rsidRPr="00657B9D">
        <w:rPr>
          <w:rFonts w:ascii="Times New Roman" w:hAnsi="Times New Roman" w:cs="Times New Roman"/>
          <w:szCs w:val="28"/>
        </w:rPr>
        <w:t xml:space="preserve"> </w:t>
      </w:r>
      <w:r w:rsidR="00DC37F7">
        <w:rPr>
          <w:rFonts w:ascii="Times New Roman" w:hAnsi="Times New Roman" w:cs="Times New Roman"/>
          <w:szCs w:val="28"/>
        </w:rPr>
        <w:t>–</w:t>
      </w:r>
      <w:r w:rsidRPr="00657B9D">
        <w:rPr>
          <w:rFonts w:ascii="Times New Roman" w:hAnsi="Times New Roman" w:cs="Times New Roman"/>
          <w:szCs w:val="28"/>
        </w:rPr>
        <w:t xml:space="preserve"> 94,3%). </w:t>
      </w:r>
    </w:p>
    <w:p w14:paraId="50D67B3E" w14:textId="77777777" w:rsidR="00EE5EEB" w:rsidRDefault="00657B9D" w:rsidP="00EE5EEB">
      <w:pPr>
        <w:pStyle w:val="Standard"/>
        <w:pBdr>
          <w:bottom w:val="single" w:sz="6" w:space="31" w:color="FFFFFF"/>
        </w:pBdr>
        <w:spacing w:line="312" w:lineRule="auto"/>
        <w:ind w:firstLine="709"/>
        <w:jc w:val="both"/>
        <w:rPr>
          <w:rFonts w:ascii="Times New Roman" w:eastAsia="Times New Roman" w:hAnsi="Times New Roman" w:cs="Times New Roman"/>
          <w:color w:val="000000"/>
          <w:szCs w:val="28"/>
        </w:rPr>
      </w:pPr>
      <w:r w:rsidRPr="00657B9D">
        <w:rPr>
          <w:rFonts w:ascii="Times New Roman" w:hAnsi="Times New Roman" w:cs="Times New Roman"/>
          <w:color w:val="000000"/>
          <w:szCs w:val="28"/>
        </w:rPr>
        <w:t>В 12 субъектах Российской Федерации на основании регионального законодательства применяется дополнительный механизм обеспечения права</w:t>
      </w:r>
      <w:r w:rsidRPr="00657B9D">
        <w:rPr>
          <w:rFonts w:ascii="Times New Roman" w:hAnsi="Times New Roman" w:cs="Times New Roman"/>
          <w:color w:val="000000"/>
          <w:szCs w:val="28"/>
        </w:rPr>
        <w:br/>
        <w:t xml:space="preserve">на жилье и решения проблемы задолженности перед </w:t>
      </w:r>
      <w:r w:rsidRPr="00657B9D">
        <w:rPr>
          <w:rFonts w:ascii="Times New Roman" w:eastAsia="Times New Roman" w:hAnsi="Times New Roman" w:cs="Times New Roman"/>
          <w:color w:val="000000"/>
          <w:szCs w:val="28"/>
        </w:rPr>
        <w:t>детьми-сиротами, в виде предоставления сертификата (социальной выплаты).</w:t>
      </w:r>
      <w:r w:rsidR="00EE5EEB">
        <w:rPr>
          <w:rFonts w:ascii="Times New Roman" w:eastAsia="Times New Roman" w:hAnsi="Times New Roman" w:cs="Times New Roman"/>
          <w:color w:val="000000"/>
          <w:szCs w:val="28"/>
        </w:rPr>
        <w:t xml:space="preserve"> </w:t>
      </w:r>
    </w:p>
    <w:p w14:paraId="4F42DA1B" w14:textId="36A2D670" w:rsidR="00657B9D" w:rsidRPr="00EE5EEB" w:rsidRDefault="00657B9D" w:rsidP="00EE5EEB">
      <w:pPr>
        <w:pStyle w:val="Standard"/>
        <w:pBdr>
          <w:bottom w:val="single" w:sz="6" w:space="31" w:color="FFFFFF"/>
        </w:pBdr>
        <w:spacing w:line="312" w:lineRule="auto"/>
        <w:ind w:firstLine="709"/>
        <w:jc w:val="both"/>
        <w:rPr>
          <w:rFonts w:ascii="Times New Roman" w:eastAsia="Times New Roman" w:hAnsi="Times New Roman" w:cs="Times New Roman"/>
          <w:color w:val="000000"/>
          <w:szCs w:val="28"/>
        </w:rPr>
      </w:pPr>
      <w:r w:rsidRPr="00657B9D">
        <w:rPr>
          <w:rFonts w:ascii="Times New Roman" w:eastAsia="Times New Roman" w:hAnsi="Times New Roman" w:cs="Times New Roman"/>
          <w:kern w:val="0"/>
          <w:szCs w:val="28"/>
          <w:lang w:eastAsia="zh-CN"/>
        </w:rPr>
        <w:t>Общий объем денежных средств, предусмотренных в 2021 г</w:t>
      </w:r>
      <w:r w:rsidR="00280A99">
        <w:rPr>
          <w:rFonts w:ascii="Times New Roman" w:eastAsia="Times New Roman" w:hAnsi="Times New Roman" w:cs="Times New Roman"/>
          <w:kern w:val="0"/>
          <w:szCs w:val="28"/>
          <w:lang w:eastAsia="zh-CN"/>
        </w:rPr>
        <w:t>.</w:t>
      </w:r>
      <w:r w:rsidR="00EE5EEB">
        <w:rPr>
          <w:rFonts w:ascii="Times New Roman" w:eastAsia="Times New Roman" w:hAnsi="Times New Roman" w:cs="Times New Roman"/>
          <w:kern w:val="0"/>
          <w:szCs w:val="28"/>
          <w:lang w:eastAsia="zh-CN"/>
        </w:rPr>
        <w:t xml:space="preserve"> </w:t>
      </w:r>
      <w:r w:rsidRPr="00657B9D">
        <w:rPr>
          <w:rFonts w:ascii="Times New Roman" w:eastAsia="Times New Roman" w:hAnsi="Times New Roman" w:cs="Times New Roman"/>
          <w:kern w:val="0"/>
          <w:szCs w:val="28"/>
          <w:lang w:eastAsia="zh-CN"/>
        </w:rPr>
        <w:t>на предост</w:t>
      </w:r>
      <w:r w:rsidR="00EE5EEB">
        <w:rPr>
          <w:rFonts w:ascii="Times New Roman" w:eastAsia="Times New Roman" w:hAnsi="Times New Roman" w:cs="Times New Roman"/>
          <w:kern w:val="0"/>
          <w:szCs w:val="28"/>
          <w:lang w:eastAsia="zh-CN"/>
        </w:rPr>
        <w:t xml:space="preserve">авление сертификатов, составил </w:t>
      </w:r>
      <w:r w:rsidR="001E3A31">
        <w:rPr>
          <w:rFonts w:ascii="Times New Roman" w:eastAsia="Times New Roman" w:hAnsi="Times New Roman" w:cs="Times New Roman"/>
          <w:kern w:val="0"/>
          <w:szCs w:val="28"/>
          <w:lang w:eastAsia="zh-CN"/>
        </w:rPr>
        <w:t>2,2 млн</w:t>
      </w:r>
      <w:r w:rsidRPr="00657B9D">
        <w:rPr>
          <w:rFonts w:ascii="Times New Roman" w:eastAsia="Times New Roman" w:hAnsi="Times New Roman" w:cs="Times New Roman"/>
          <w:kern w:val="0"/>
          <w:szCs w:val="28"/>
          <w:lang w:eastAsia="zh-CN"/>
        </w:rPr>
        <w:t xml:space="preserve"> руб</w:t>
      </w:r>
      <w:r w:rsidR="00EE5EEB">
        <w:rPr>
          <w:rFonts w:ascii="Times New Roman" w:eastAsia="Times New Roman" w:hAnsi="Times New Roman" w:cs="Times New Roman"/>
          <w:kern w:val="0"/>
          <w:szCs w:val="28"/>
          <w:lang w:eastAsia="zh-CN"/>
        </w:rPr>
        <w:t>лей</w:t>
      </w:r>
      <w:r w:rsidRPr="00657B9D">
        <w:rPr>
          <w:rFonts w:ascii="Times New Roman" w:eastAsia="Times New Roman" w:hAnsi="Times New Roman" w:cs="Times New Roman"/>
          <w:kern w:val="0"/>
          <w:szCs w:val="28"/>
          <w:lang w:eastAsia="zh-CN"/>
        </w:rPr>
        <w:t>. За 2021 г</w:t>
      </w:r>
      <w:r w:rsidR="00280A99">
        <w:rPr>
          <w:rFonts w:ascii="Times New Roman" w:eastAsia="Times New Roman" w:hAnsi="Times New Roman" w:cs="Times New Roman"/>
          <w:kern w:val="0"/>
          <w:szCs w:val="28"/>
          <w:lang w:eastAsia="zh-CN"/>
        </w:rPr>
        <w:t>.</w:t>
      </w:r>
      <w:r w:rsidRPr="00657B9D">
        <w:rPr>
          <w:rFonts w:ascii="Times New Roman" w:eastAsia="Times New Roman" w:hAnsi="Times New Roman" w:cs="Times New Roman"/>
          <w:kern w:val="0"/>
          <w:szCs w:val="28"/>
          <w:lang w:eastAsia="zh-CN"/>
        </w:rPr>
        <w:t xml:space="preserve"> пре</w:t>
      </w:r>
      <w:r w:rsidR="00EE5EEB">
        <w:rPr>
          <w:rFonts w:ascii="Times New Roman" w:eastAsia="Times New Roman" w:hAnsi="Times New Roman" w:cs="Times New Roman"/>
          <w:kern w:val="0"/>
          <w:szCs w:val="28"/>
          <w:lang w:eastAsia="zh-CN"/>
        </w:rPr>
        <w:t>доставлено 777 сертификатов (15</w:t>
      </w:r>
      <w:r w:rsidRPr="00657B9D">
        <w:rPr>
          <w:rFonts w:ascii="Times New Roman" w:eastAsia="Times New Roman" w:hAnsi="Times New Roman" w:cs="Times New Roman"/>
          <w:kern w:val="0"/>
          <w:szCs w:val="28"/>
          <w:lang w:eastAsia="zh-CN"/>
        </w:rPr>
        <w:t>% от общего числа граждан, о</w:t>
      </w:r>
      <w:r w:rsidR="00EE5EEB">
        <w:rPr>
          <w:rFonts w:ascii="Times New Roman" w:eastAsia="Times New Roman" w:hAnsi="Times New Roman" w:cs="Times New Roman"/>
          <w:kern w:val="0"/>
          <w:szCs w:val="28"/>
          <w:lang w:eastAsia="zh-CN"/>
        </w:rPr>
        <w:t xml:space="preserve">беспеченных жилыми помещениями </w:t>
      </w:r>
      <w:r w:rsidRPr="00657B9D">
        <w:rPr>
          <w:rFonts w:ascii="Times New Roman" w:eastAsia="Times New Roman" w:hAnsi="Times New Roman" w:cs="Times New Roman"/>
          <w:kern w:val="0"/>
          <w:szCs w:val="28"/>
          <w:lang w:eastAsia="zh-CN"/>
        </w:rPr>
        <w:t xml:space="preserve">в вышеуказанных субъектах), из них в рамках исполнения судебных решений </w:t>
      </w:r>
      <w:r w:rsidR="00135082">
        <w:rPr>
          <w:rFonts w:ascii="Times New Roman" w:eastAsia="Times New Roman" w:hAnsi="Times New Roman" w:cs="Times New Roman"/>
          <w:kern w:val="0"/>
          <w:szCs w:val="28"/>
          <w:lang w:eastAsia="zh-CN"/>
        </w:rPr>
        <w:br/>
      </w:r>
      <w:r w:rsidRPr="00657B9D">
        <w:rPr>
          <w:rFonts w:ascii="Times New Roman" w:eastAsia="Times New Roman" w:hAnsi="Times New Roman" w:cs="Times New Roman"/>
          <w:kern w:val="0"/>
          <w:szCs w:val="28"/>
          <w:lang w:eastAsia="zh-CN"/>
        </w:rPr>
        <w:t xml:space="preserve">276 сертификатов (35% от общего количества выданных сертификатов). </w:t>
      </w:r>
    </w:p>
    <w:p w14:paraId="52B61CD1" w14:textId="77777777" w:rsidR="00657B9D" w:rsidRPr="00657B9D" w:rsidRDefault="00657B9D" w:rsidP="00657B9D">
      <w:pPr>
        <w:pStyle w:val="Standard"/>
        <w:pBdr>
          <w:bottom w:val="single" w:sz="6" w:space="31" w:color="FFFFFF"/>
        </w:pBdr>
        <w:spacing w:line="312" w:lineRule="auto"/>
        <w:ind w:firstLine="709"/>
        <w:jc w:val="both"/>
        <w:rPr>
          <w:rFonts w:ascii="Times New Roman" w:hAnsi="Times New Roman" w:cs="Times New Roman"/>
        </w:rPr>
      </w:pPr>
      <w:r w:rsidRPr="00657B9D">
        <w:rPr>
          <w:rFonts w:ascii="Times New Roman" w:hAnsi="Times New Roman" w:cs="Times New Roman"/>
        </w:rPr>
        <w:t>В целях распространения лучшего опыта субъектов Российской Федерации по организации деятельности в сфере обеспечения жилыми помещениями специализированного жилищного фонда детей-сирот Минпросвещения России обеспечено ежегодное направление в регионы соответствующих информационно-аналитичес</w:t>
      </w:r>
      <w:r w:rsidR="00EE5EEB">
        <w:rPr>
          <w:rFonts w:ascii="Times New Roman" w:hAnsi="Times New Roman" w:cs="Times New Roman"/>
        </w:rPr>
        <w:t>ких и методических материалов.</w:t>
      </w:r>
    </w:p>
    <w:p w14:paraId="2F7C640E" w14:textId="77777777" w:rsidR="00657B9D" w:rsidRPr="00657B9D" w:rsidRDefault="00657B9D" w:rsidP="00657B9D">
      <w:pPr>
        <w:pStyle w:val="Standard"/>
        <w:pBdr>
          <w:bottom w:val="single" w:sz="6" w:space="31" w:color="FFFFFF"/>
        </w:pBdr>
        <w:spacing w:line="312" w:lineRule="auto"/>
        <w:ind w:firstLine="709"/>
        <w:jc w:val="both"/>
        <w:rPr>
          <w:rFonts w:ascii="Times New Roman" w:hAnsi="Times New Roman" w:cs="Times New Roman"/>
        </w:rPr>
      </w:pPr>
      <w:r w:rsidRPr="00657B9D">
        <w:rPr>
          <w:rFonts w:ascii="Times New Roman" w:hAnsi="Times New Roman" w:cs="Times New Roman"/>
        </w:rPr>
        <w:t>Субъектами Российской Федерации приняты региональные нормативные правовые акты по осуществлению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w:t>
      </w:r>
      <w:r w:rsidR="00EE5EEB">
        <w:rPr>
          <w:rFonts w:ascii="Times New Roman" w:hAnsi="Times New Roman" w:cs="Times New Roman"/>
        </w:rPr>
        <w:t>-сироты.</w:t>
      </w:r>
    </w:p>
    <w:p w14:paraId="521736AA" w14:textId="77777777" w:rsidR="00657B9D" w:rsidRPr="00657B9D" w:rsidRDefault="00657B9D" w:rsidP="00657B9D">
      <w:pPr>
        <w:pStyle w:val="Standard"/>
        <w:pBdr>
          <w:bottom w:val="single" w:sz="6" w:space="31" w:color="FFFFFF"/>
        </w:pBdr>
        <w:spacing w:line="312" w:lineRule="auto"/>
        <w:ind w:firstLine="709"/>
        <w:jc w:val="both"/>
        <w:rPr>
          <w:rFonts w:ascii="Times New Roman" w:hAnsi="Times New Roman" w:cs="Times New Roman"/>
        </w:rPr>
      </w:pPr>
      <w:r w:rsidRPr="00657B9D">
        <w:rPr>
          <w:rFonts w:ascii="Times New Roman" w:hAnsi="Times New Roman" w:cs="Times New Roman"/>
        </w:rPr>
        <w:t xml:space="preserve">В 72 субъектах </w:t>
      </w:r>
      <w:r w:rsidR="00EE5EEB">
        <w:rPr>
          <w:rFonts w:ascii="Times New Roman" w:hAnsi="Times New Roman" w:cs="Times New Roman"/>
        </w:rPr>
        <w:t>Российской Федерации утверждены</w:t>
      </w:r>
      <w:r w:rsidRPr="00657B9D">
        <w:rPr>
          <w:rFonts w:ascii="Times New Roman" w:hAnsi="Times New Roman" w:cs="Times New Roman"/>
        </w:rPr>
        <w:t xml:space="preserve"> Планы мероприятий </w:t>
      </w:r>
      <w:r w:rsidRPr="00657B9D">
        <w:rPr>
          <w:rFonts w:ascii="Times New Roman" w:hAnsi="Times New Roman" w:cs="Times New Roman"/>
        </w:rPr>
        <w:br/>
        <w:t>по контролю за сохранностью и использованием жилых помещений, нанимателями или членами семей нанимателей по договорам социального найма либо собственниками которых являются дети-сироты, в 68 субъектах Российской Федерации ведется реестр жилых помещений детей-сирот, в отношении которых осуществляется контроль за использованием, распоряжением и сохранностью, а также за обеспечением надлежащего санитарного и технического состояния данных жилых помещений.</w:t>
      </w:r>
    </w:p>
    <w:p w14:paraId="5F98FFD5" w14:textId="77777777" w:rsidR="00657B9D" w:rsidRPr="00657B9D" w:rsidRDefault="00657B9D" w:rsidP="00657B9D">
      <w:pPr>
        <w:pStyle w:val="Standard"/>
        <w:pBdr>
          <w:bottom w:val="single" w:sz="6" w:space="31" w:color="FFFFFF"/>
        </w:pBdr>
        <w:spacing w:line="312" w:lineRule="auto"/>
        <w:ind w:firstLine="709"/>
        <w:jc w:val="both"/>
        <w:rPr>
          <w:rFonts w:ascii="Times New Roman" w:hAnsi="Times New Roman" w:cs="Times New Roman"/>
        </w:rPr>
      </w:pPr>
      <w:r w:rsidRPr="00657B9D">
        <w:rPr>
          <w:rFonts w:ascii="Times New Roman" w:hAnsi="Times New Roman" w:cs="Times New Roman"/>
        </w:rPr>
        <w:t>По состоянию на 31 декабря 2021 г. 132,6 тыс. детей-сирот являются нанимателями или членами семей нанимателей жилых помещений по договорам социального найма либо собственниками жилых помещений.</w:t>
      </w:r>
    </w:p>
    <w:p w14:paraId="0B9B73AF" w14:textId="77777777" w:rsidR="00657B9D" w:rsidRDefault="00EE5EEB" w:rsidP="00657B9D">
      <w:pPr>
        <w:pStyle w:val="Standard"/>
        <w:pBdr>
          <w:bottom w:val="single" w:sz="6" w:space="31" w:color="FFFFFF"/>
        </w:pBdr>
        <w:spacing w:line="312" w:lineRule="auto"/>
        <w:ind w:firstLine="709"/>
        <w:jc w:val="both"/>
        <w:rPr>
          <w:rFonts w:ascii="Times New Roman" w:hAnsi="Times New Roman" w:cs="Times New Roman"/>
        </w:rPr>
      </w:pPr>
      <w:r>
        <w:rPr>
          <w:rFonts w:ascii="Times New Roman" w:hAnsi="Times New Roman" w:cs="Times New Roman"/>
        </w:rPr>
        <w:t xml:space="preserve">За </w:t>
      </w:r>
      <w:r w:rsidRPr="00657B9D">
        <w:rPr>
          <w:rFonts w:ascii="Times New Roman" w:hAnsi="Times New Roman" w:cs="Times New Roman"/>
        </w:rPr>
        <w:t>117,6 тыс</w:t>
      </w:r>
      <w:r>
        <w:rPr>
          <w:rFonts w:ascii="Times New Roman" w:hAnsi="Times New Roman" w:cs="Times New Roman"/>
        </w:rPr>
        <w:t>.</w:t>
      </w:r>
      <w:r w:rsidR="00657B9D" w:rsidRPr="00657B9D">
        <w:rPr>
          <w:rFonts w:ascii="Times New Roman" w:hAnsi="Times New Roman" w:cs="Times New Roman"/>
        </w:rPr>
        <w:t xml:space="preserve"> жилых помещений осуществляется контроль за использованием, распоряжением и сохранностью, а также за обеспечением </w:t>
      </w:r>
      <w:r>
        <w:rPr>
          <w:rFonts w:ascii="Times New Roman" w:hAnsi="Times New Roman" w:cs="Times New Roman"/>
        </w:rPr>
        <w:t xml:space="preserve">их </w:t>
      </w:r>
      <w:r w:rsidR="00657B9D" w:rsidRPr="00657B9D">
        <w:rPr>
          <w:rFonts w:ascii="Times New Roman" w:hAnsi="Times New Roman" w:cs="Times New Roman"/>
        </w:rPr>
        <w:t>надлежащего санитарного и технического состояния</w:t>
      </w:r>
      <w:r>
        <w:rPr>
          <w:rFonts w:ascii="Times New Roman" w:hAnsi="Times New Roman" w:cs="Times New Roman"/>
        </w:rPr>
        <w:t>.</w:t>
      </w:r>
    </w:p>
    <w:p w14:paraId="65B1CA3A" w14:textId="77777777" w:rsidR="00705A25" w:rsidRDefault="00C4319D" w:rsidP="00657B9D">
      <w:pPr>
        <w:pStyle w:val="Standard"/>
        <w:pBdr>
          <w:bottom w:val="single" w:sz="6" w:space="31" w:color="FFFFFF"/>
        </w:pBdr>
        <w:spacing w:line="312" w:lineRule="auto"/>
        <w:ind w:firstLine="709"/>
        <w:jc w:val="both"/>
        <w:rPr>
          <w:rFonts w:ascii="Times New Roman" w:hAnsi="Times New Roman" w:cs="Times New Roman"/>
        </w:rPr>
      </w:pPr>
      <w:r>
        <w:rPr>
          <w:rFonts w:ascii="Times New Roman" w:hAnsi="Times New Roman" w:cs="Times New Roman"/>
        </w:rPr>
        <w:t xml:space="preserve">Исполнение судебных решений о предоставлении жилья детям-сиротам и детям, оставшимся без попечения родителей, остается одним из социально значимых направлений деятельности </w:t>
      </w:r>
      <w:r w:rsidR="006830CA">
        <w:rPr>
          <w:rFonts w:ascii="Times New Roman" w:hAnsi="Times New Roman" w:cs="Times New Roman"/>
        </w:rPr>
        <w:t>ФССП России.</w:t>
      </w:r>
    </w:p>
    <w:p w14:paraId="70A8021D" w14:textId="77777777" w:rsidR="006830CA" w:rsidRDefault="006830CA" w:rsidP="006830CA">
      <w:pPr>
        <w:pStyle w:val="Standard"/>
        <w:pBdr>
          <w:bottom w:val="single" w:sz="6" w:space="31" w:color="FFFFFF"/>
        </w:pBdr>
        <w:spacing w:line="312" w:lineRule="auto"/>
        <w:ind w:firstLine="709"/>
        <w:jc w:val="both"/>
        <w:rPr>
          <w:rFonts w:ascii="Times New Roman" w:hAnsi="Times New Roman" w:cs="Times New Roman"/>
        </w:rPr>
      </w:pPr>
      <w:r>
        <w:rPr>
          <w:rFonts w:ascii="Times New Roman" w:hAnsi="Times New Roman" w:cs="Times New Roman"/>
        </w:rPr>
        <w:t>В 2021 г</w:t>
      </w:r>
      <w:r w:rsidR="00280A99">
        <w:rPr>
          <w:rFonts w:ascii="Times New Roman" w:hAnsi="Times New Roman" w:cs="Times New Roman"/>
        </w:rPr>
        <w:t>.</w:t>
      </w:r>
      <w:r>
        <w:rPr>
          <w:rFonts w:ascii="Times New Roman" w:hAnsi="Times New Roman" w:cs="Times New Roman"/>
        </w:rPr>
        <w:t xml:space="preserve"> на принудительном исполнении в территориальных органах ФССП России находилось 36,6 тыс. исполнительных производств о предоставлении жилья детям-сиротам и детям, оставшимся без попечения родителей (2020 г. – 33,3 тыс. исполнительных производств). В результате принятых судебными приставами-исполнителями мер в рамках 8,1 тыс. исполнительных производств предоставлены жилые помещения.</w:t>
      </w:r>
    </w:p>
    <w:p w14:paraId="7865F3B7" w14:textId="332E3766" w:rsidR="006830CA" w:rsidRDefault="005C6A1C" w:rsidP="006830CA">
      <w:pPr>
        <w:pStyle w:val="Standard"/>
        <w:pBdr>
          <w:bottom w:val="single" w:sz="6" w:space="31" w:color="FFFFFF"/>
        </w:pBdr>
        <w:spacing w:line="312" w:lineRule="auto"/>
        <w:ind w:firstLine="709"/>
        <w:jc w:val="both"/>
        <w:rPr>
          <w:rFonts w:ascii="Times New Roman" w:hAnsi="Times New Roman" w:cs="Times New Roman"/>
        </w:rPr>
      </w:pPr>
      <w:r>
        <w:rPr>
          <w:rFonts w:ascii="Times New Roman" w:hAnsi="Times New Roman" w:cs="Times New Roman"/>
        </w:rPr>
        <w:t>По состоянию на 1 января 2022 г</w:t>
      </w:r>
      <w:r w:rsidR="004C309E">
        <w:rPr>
          <w:rFonts w:ascii="Times New Roman" w:hAnsi="Times New Roman" w:cs="Times New Roman"/>
        </w:rPr>
        <w:t>.</w:t>
      </w:r>
      <w:r>
        <w:rPr>
          <w:rFonts w:ascii="Times New Roman" w:hAnsi="Times New Roman" w:cs="Times New Roman"/>
        </w:rPr>
        <w:t xml:space="preserve"> наибольшее количество находящихся на принудительном исполнении производств о предоставлении жилья детям-сиротам и детям, оставшимся без попечения родителей, отмечалось в территориальных органах ФССП России по Приморскому краю (</w:t>
      </w:r>
      <w:r w:rsidR="00634514">
        <w:rPr>
          <w:rFonts w:ascii="Times New Roman" w:hAnsi="Times New Roman" w:cs="Times New Roman"/>
        </w:rPr>
        <w:t xml:space="preserve">2 171 исполнительное производство), Саратовской области (2 004 исполнительных производства), Красноярскому краю (1 526 исполнительных производств), Забайкальскому краю (1 449 исполнительных производств), Омской области (1 436 исполнительных производств), Хабаровскому краю и Еврейской автономной области (1 183 исполнительных производства), </w:t>
      </w:r>
      <w:r w:rsidR="004B395F">
        <w:rPr>
          <w:rFonts w:ascii="Times New Roman" w:hAnsi="Times New Roman" w:cs="Times New Roman"/>
        </w:rPr>
        <w:t xml:space="preserve">Алтайскому краю (1 062 исполнительных производства), Кемеровской области </w:t>
      </w:r>
      <w:r w:rsidR="00135082">
        <w:rPr>
          <w:rFonts w:ascii="Times New Roman" w:hAnsi="Times New Roman" w:cs="Times New Roman"/>
        </w:rPr>
        <w:br/>
      </w:r>
      <w:r w:rsidR="004B395F">
        <w:rPr>
          <w:rFonts w:ascii="Times New Roman" w:hAnsi="Times New Roman" w:cs="Times New Roman"/>
        </w:rPr>
        <w:t xml:space="preserve">(1 042 </w:t>
      </w:r>
      <w:r w:rsidR="005C03AD">
        <w:rPr>
          <w:rFonts w:ascii="Times New Roman" w:hAnsi="Times New Roman" w:cs="Times New Roman"/>
        </w:rPr>
        <w:t xml:space="preserve">исполнительных производства) и Свердловской области </w:t>
      </w:r>
      <w:r w:rsidR="00135082">
        <w:rPr>
          <w:rFonts w:ascii="Times New Roman" w:hAnsi="Times New Roman" w:cs="Times New Roman"/>
        </w:rPr>
        <w:br/>
      </w:r>
      <w:r w:rsidR="005C03AD">
        <w:rPr>
          <w:rFonts w:ascii="Times New Roman" w:hAnsi="Times New Roman" w:cs="Times New Roman"/>
        </w:rPr>
        <w:t>(1 002 исполнительных производства). Их доля в общем количестве исполнительных производств в целом по Российской Федерации составила 48% (12,9 тыс. из 26,7 тыс.).</w:t>
      </w:r>
    </w:p>
    <w:p w14:paraId="7A43A3F2" w14:textId="77777777" w:rsidR="003C2BB7" w:rsidRDefault="003C2BB7" w:rsidP="006830CA">
      <w:pPr>
        <w:pStyle w:val="Standard"/>
        <w:pBdr>
          <w:bottom w:val="single" w:sz="6" w:space="31" w:color="FFFFFF"/>
        </w:pBdr>
        <w:spacing w:line="312" w:lineRule="auto"/>
        <w:ind w:firstLine="709"/>
        <w:jc w:val="both"/>
        <w:rPr>
          <w:rFonts w:ascii="Times New Roman" w:hAnsi="Times New Roman" w:cs="Times New Roman"/>
        </w:rPr>
      </w:pPr>
      <w:r>
        <w:rPr>
          <w:rFonts w:ascii="Times New Roman" w:hAnsi="Times New Roman" w:cs="Times New Roman"/>
        </w:rPr>
        <w:t>По информации указанных субъектов Российской Федерации, причинами неисполнения в 2021 г</w:t>
      </w:r>
      <w:r w:rsidR="00280A99">
        <w:rPr>
          <w:rFonts w:ascii="Times New Roman" w:hAnsi="Times New Roman" w:cs="Times New Roman"/>
        </w:rPr>
        <w:t>.</w:t>
      </w:r>
      <w:r>
        <w:rPr>
          <w:rFonts w:ascii="Times New Roman" w:hAnsi="Times New Roman" w:cs="Times New Roman"/>
        </w:rPr>
        <w:t xml:space="preserve"> судебных решений о предоставлении жилых помещений детям-сиротам и детям, оставшимся без попечения родителей, по-прежнему остаются недостаточное финансирование строительства жилья для детей-сирот, отсутствие в большинстве субъектов Российской Федерации специализированного жилищного фонда, скудность рынка жилья на территориях муниципальных образований регионов, ограничения по строительству – 25% об общего количества квартир в многоквартирном доме и др.</w:t>
      </w:r>
    </w:p>
    <w:p w14:paraId="0FF56D7C" w14:textId="77777777" w:rsidR="003C2BB7" w:rsidRPr="007642DA" w:rsidRDefault="003C2BB7" w:rsidP="006830CA">
      <w:pPr>
        <w:pStyle w:val="Standard"/>
        <w:pBdr>
          <w:bottom w:val="single" w:sz="6" w:space="31" w:color="FFFFFF"/>
        </w:pBdr>
        <w:spacing w:line="312" w:lineRule="auto"/>
        <w:ind w:firstLine="709"/>
        <w:jc w:val="both"/>
        <w:rPr>
          <w:rFonts w:ascii="Times New Roman" w:hAnsi="Times New Roman" w:cs="Times New Roman"/>
        </w:rPr>
      </w:pPr>
      <w:r w:rsidRPr="007642DA">
        <w:rPr>
          <w:rFonts w:ascii="Times New Roman" w:hAnsi="Times New Roman" w:cs="Times New Roman"/>
        </w:rPr>
        <w:t xml:space="preserve">С целью рассмотрения вопроса о возможности увеличения финансирования на исполнение </w:t>
      </w:r>
      <w:r w:rsidR="00FB5B33" w:rsidRPr="007642DA">
        <w:rPr>
          <w:rFonts w:ascii="Times New Roman" w:hAnsi="Times New Roman" w:cs="Times New Roman"/>
        </w:rPr>
        <w:t xml:space="preserve">судебных решений о предоставлении жилья детям-сиротам и детям, оставшимся без попечения родителей, </w:t>
      </w:r>
      <w:r w:rsidR="00B5256B" w:rsidRPr="007642DA">
        <w:rPr>
          <w:rFonts w:ascii="Times New Roman" w:hAnsi="Times New Roman" w:cs="Times New Roman"/>
        </w:rPr>
        <w:t>высшим должностным лицам субъектов Российской Федерации, в которых находилось наибольшее количество неисполненных судебных актов по результатам работы за 2021 г</w:t>
      </w:r>
      <w:r w:rsidR="00280A99" w:rsidRPr="007642DA">
        <w:rPr>
          <w:rFonts w:ascii="Times New Roman" w:hAnsi="Times New Roman" w:cs="Times New Roman"/>
        </w:rPr>
        <w:t>.</w:t>
      </w:r>
      <w:r w:rsidR="00B5256B" w:rsidRPr="007642DA">
        <w:rPr>
          <w:rFonts w:ascii="Times New Roman" w:hAnsi="Times New Roman" w:cs="Times New Roman"/>
        </w:rPr>
        <w:t>, направлены письма с информацией о сложившейся ситуации.</w:t>
      </w:r>
    </w:p>
    <w:p w14:paraId="5575D72E" w14:textId="77777777" w:rsidR="00B5256B" w:rsidRPr="007642DA" w:rsidRDefault="00B5256B" w:rsidP="006830CA">
      <w:pPr>
        <w:pStyle w:val="Standard"/>
        <w:pBdr>
          <w:bottom w:val="single" w:sz="6" w:space="31" w:color="FFFFFF"/>
        </w:pBdr>
        <w:spacing w:line="312" w:lineRule="auto"/>
        <w:ind w:firstLine="709"/>
        <w:jc w:val="both"/>
        <w:rPr>
          <w:rFonts w:ascii="Times New Roman" w:hAnsi="Times New Roman" w:cs="Times New Roman"/>
        </w:rPr>
      </w:pPr>
      <w:r w:rsidRPr="007642DA">
        <w:rPr>
          <w:rFonts w:ascii="Times New Roman" w:hAnsi="Times New Roman" w:cs="Times New Roman"/>
        </w:rPr>
        <w:t>В целях повышения эффективности исполнения требований</w:t>
      </w:r>
      <w:r w:rsidR="008E5A49" w:rsidRPr="007642DA">
        <w:rPr>
          <w:rFonts w:ascii="Times New Roman" w:hAnsi="Times New Roman" w:cs="Times New Roman"/>
        </w:rPr>
        <w:t xml:space="preserve"> исполнительных документов по предоставлению жилья детям-сиротам и детям, оставшимся без попечения родителей, территориальные органы ФССП России в течение 2021 г</w:t>
      </w:r>
      <w:r w:rsidR="00280A99" w:rsidRPr="007642DA">
        <w:rPr>
          <w:rFonts w:ascii="Times New Roman" w:hAnsi="Times New Roman" w:cs="Times New Roman"/>
        </w:rPr>
        <w:t>.</w:t>
      </w:r>
      <w:r w:rsidR="008E5A49" w:rsidRPr="007642DA">
        <w:rPr>
          <w:rFonts w:ascii="Times New Roman" w:hAnsi="Times New Roman" w:cs="Times New Roman"/>
        </w:rPr>
        <w:t xml:space="preserve"> информировали органы исполнительной и законодательной власти субъектов Российской Федерации о количестве неисполненных судебных решений о предоставлении жилья указанной категории граждан, а также вносили предложения о дополнительном финансировании данных бюджетных обязательств, на постоянной основе принимали участие в работе межведомственных групп, организовывали совместные совещания с органами исполнительной и законодательной власти субъектов Российской Федерации и местного самоуправления.</w:t>
      </w:r>
    </w:p>
    <w:p w14:paraId="24CCF533" w14:textId="77777777" w:rsidR="008E5A49" w:rsidRPr="00657B9D" w:rsidRDefault="00657B9D" w:rsidP="00431875">
      <w:pPr>
        <w:pStyle w:val="Standard"/>
        <w:pBdr>
          <w:bottom w:val="single" w:sz="6" w:space="31" w:color="FFFFFF"/>
        </w:pBdr>
        <w:spacing w:line="312" w:lineRule="auto"/>
        <w:ind w:firstLine="709"/>
        <w:jc w:val="both"/>
        <w:rPr>
          <w:rFonts w:ascii="Times New Roman" w:hAnsi="Times New Roman" w:cs="Times New Roman"/>
        </w:rPr>
      </w:pPr>
      <w:r w:rsidRPr="007642DA">
        <w:rPr>
          <w:rFonts w:ascii="Times New Roman" w:hAnsi="Times New Roman" w:cs="Times New Roman"/>
        </w:rPr>
        <w:t>Кроме того, в 2021 г</w:t>
      </w:r>
      <w:r w:rsidR="00280A99" w:rsidRPr="007642DA">
        <w:rPr>
          <w:rFonts w:ascii="Times New Roman" w:hAnsi="Times New Roman" w:cs="Times New Roman"/>
        </w:rPr>
        <w:t>.</w:t>
      </w:r>
      <w:r w:rsidRPr="007642DA">
        <w:rPr>
          <w:rFonts w:ascii="Times New Roman" w:hAnsi="Times New Roman" w:cs="Times New Roman"/>
        </w:rPr>
        <w:t xml:space="preserve"> проведен ряд совещаний в режиме видео-конференц-связи с участием представителей региональных органов исполнительной власти, федеральных органов исполнительной власти</w:t>
      </w:r>
      <w:r w:rsidR="00EE5EEB" w:rsidRPr="007642DA">
        <w:rPr>
          <w:rFonts w:ascii="Times New Roman" w:hAnsi="Times New Roman" w:cs="Times New Roman"/>
        </w:rPr>
        <w:t>,</w:t>
      </w:r>
      <w:r w:rsidRPr="007642DA">
        <w:rPr>
          <w:rFonts w:ascii="Times New Roman" w:hAnsi="Times New Roman" w:cs="Times New Roman"/>
        </w:rPr>
        <w:t xml:space="preserve"> в рамках которых обсуждались</w:t>
      </w:r>
      <w:r w:rsidR="00EE5EEB" w:rsidRPr="007642DA">
        <w:rPr>
          <w:rFonts w:ascii="Times New Roman" w:hAnsi="Times New Roman" w:cs="Times New Roman"/>
        </w:rPr>
        <w:t>,</w:t>
      </w:r>
      <w:r w:rsidRPr="007642DA">
        <w:rPr>
          <w:rFonts w:ascii="Times New Roman" w:hAnsi="Times New Roman" w:cs="Times New Roman"/>
        </w:rPr>
        <w:t xml:space="preserve"> </w:t>
      </w:r>
      <w:r w:rsidRPr="007642DA">
        <w:rPr>
          <w:rFonts w:ascii="Times New Roman" w:hAnsi="Times New Roman" w:cs="Times New Roman"/>
        </w:rPr>
        <w:br/>
        <w:t xml:space="preserve">в том числе вопросы реализации жилищных прав детей-сирот. </w:t>
      </w:r>
      <w:r w:rsidR="008E5A49" w:rsidRPr="007642DA">
        <w:rPr>
          <w:rFonts w:ascii="Times New Roman" w:hAnsi="Times New Roman" w:cs="Times New Roman"/>
        </w:rPr>
        <w:t>На Всероссийском совещании с руководителями органов исполнительной власти в сфере опеки и попечительства, состоявшемся 2-3 декабря 2021 г</w:t>
      </w:r>
      <w:r w:rsidR="0084133A" w:rsidRPr="007642DA">
        <w:rPr>
          <w:rFonts w:ascii="Times New Roman" w:hAnsi="Times New Roman" w:cs="Times New Roman"/>
        </w:rPr>
        <w:t>.</w:t>
      </w:r>
      <w:r w:rsidR="008E5A49" w:rsidRPr="007642DA">
        <w:rPr>
          <w:rFonts w:ascii="Times New Roman" w:hAnsi="Times New Roman" w:cs="Times New Roman"/>
        </w:rPr>
        <w:t>, представлен лучший опыт ряда регионов. Вопросы защиты жилищных прав детей-сирот и детей, оставшихся без попечения родителей, также являлись предметом обсуждения на заседании круглого стола, организованного Комитетом Совета Федерации Федерального Собрания Российской Федерации по конституционному законодательству и государственному строительству в декабре 2021 г.</w:t>
      </w:r>
    </w:p>
    <w:p w14:paraId="65E7782C" w14:textId="77777777"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rsidSect="005B3A4F">
          <w:pgSz w:w="11906" w:h="16838"/>
          <w:pgMar w:top="1134" w:right="567" w:bottom="1134" w:left="1134" w:header="709" w:footer="709" w:gutter="0"/>
          <w:cols w:space="708"/>
          <w:docGrid w:linePitch="360"/>
        </w:sectPr>
      </w:pPr>
    </w:p>
    <w:p w14:paraId="7BFA173B" w14:textId="77777777" w:rsidR="00D03A4F" w:rsidRPr="00D03A4F" w:rsidRDefault="00D03A4F" w:rsidP="00D03A4F">
      <w:pPr>
        <w:shd w:val="clear" w:color="auto" w:fill="FFFFFF"/>
        <w:autoSpaceDE w:val="0"/>
        <w:autoSpaceDN w:val="0"/>
        <w:adjustRightInd w:val="0"/>
        <w:spacing w:after="240" w:line="312"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4. СОСТОЯНИЕ ЗДОРОВЬЯ ЖЕНЩИН И ДЕТЕЙ</w:t>
      </w:r>
    </w:p>
    <w:p w14:paraId="445A3E2D" w14:textId="77777777" w:rsidR="00D03A4F" w:rsidRDefault="00D03A4F" w:rsidP="00D03A4F">
      <w:pPr>
        <w:shd w:val="clear" w:color="auto" w:fill="FFFFFF"/>
        <w:autoSpaceDE w:val="0"/>
        <w:autoSpaceDN w:val="0"/>
        <w:adjustRightInd w:val="0"/>
        <w:spacing w:before="240" w:after="240" w:line="312"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Оценка состояния здоровья женщин и детей</w:t>
      </w:r>
    </w:p>
    <w:p w14:paraId="5510150B" w14:textId="77777777"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 xml:space="preserve">Федеральным законом от 21 ноября 2011 г. № 323-ФЗ «Об основах охраны здоровья граждан в Российской Федерации» (далее – Федеральный закон </w:t>
      </w:r>
      <w:r w:rsidR="003C1933">
        <w:rPr>
          <w:rFonts w:ascii="Times New Roman" w:hAnsi="Times New Roman" w:cs="Times New Roman"/>
          <w:sz w:val="28"/>
          <w:szCs w:val="28"/>
        </w:rPr>
        <w:br/>
      </w:r>
      <w:r>
        <w:rPr>
          <w:rFonts w:ascii="Times New Roman" w:hAnsi="Times New Roman" w:cs="Times New Roman"/>
          <w:sz w:val="28"/>
          <w:szCs w:val="28"/>
        </w:rPr>
        <w:t xml:space="preserve">от 21 ноября 2011 г. </w:t>
      </w:r>
      <w:r w:rsidRPr="00FD3CFC">
        <w:rPr>
          <w:rFonts w:ascii="Times New Roman" w:hAnsi="Times New Roman" w:cs="Times New Roman"/>
          <w:sz w:val="28"/>
          <w:szCs w:val="28"/>
        </w:rPr>
        <w:t>№ 323-ФЗ) закреплен приоритет охраны здоровья детей. Государство признает охрану здоровья детей как одно из важнейших и необходимых условий их физического и психического развития.</w:t>
      </w:r>
    </w:p>
    <w:p w14:paraId="650438E3" w14:textId="77777777"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14:paraId="6E0739E6" w14:textId="77777777"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14:paraId="264519CD" w14:textId="77777777" w:rsidR="00FD3CFC" w:rsidRPr="00FD3CFC" w:rsidRDefault="00FD3CFC" w:rsidP="00FD3CFC">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14:paraId="43FBA105" w14:textId="77777777" w:rsidR="00D34ADE" w:rsidRDefault="00FD3CFC" w:rsidP="004F5E29">
      <w:pPr>
        <w:spacing w:after="0" w:line="312" w:lineRule="auto"/>
        <w:ind w:firstLine="709"/>
        <w:jc w:val="both"/>
        <w:rPr>
          <w:rFonts w:ascii="Times New Roman" w:hAnsi="Times New Roman" w:cs="Times New Roman"/>
          <w:sz w:val="28"/>
          <w:szCs w:val="28"/>
        </w:rPr>
      </w:pPr>
      <w:r w:rsidRPr="00FD3CFC">
        <w:rPr>
          <w:rFonts w:ascii="Times New Roman" w:hAnsi="Times New Roman" w:cs="Times New Roman"/>
          <w:sz w:val="28"/>
          <w:szCs w:val="28"/>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w:t>
      </w:r>
      <w:r w:rsidR="004F5E29">
        <w:rPr>
          <w:rFonts w:ascii="Times New Roman" w:hAnsi="Times New Roman" w:cs="Times New Roman"/>
          <w:sz w:val="28"/>
          <w:szCs w:val="28"/>
        </w:rPr>
        <w:t>й и восстановление их здоровья.</w:t>
      </w:r>
    </w:p>
    <w:p w14:paraId="275D0499" w14:textId="77777777" w:rsidR="00F07FD0" w:rsidRDefault="00F07FD0" w:rsidP="004F5E29">
      <w:pPr>
        <w:spacing w:after="0" w:line="312" w:lineRule="auto"/>
        <w:ind w:firstLine="709"/>
        <w:jc w:val="both"/>
        <w:rPr>
          <w:rFonts w:ascii="Times New Roman" w:hAnsi="Times New Roman" w:cs="Times New Roman"/>
          <w:sz w:val="28"/>
          <w:szCs w:val="28"/>
        </w:rPr>
      </w:pPr>
    </w:p>
    <w:p w14:paraId="36863BDF" w14:textId="77777777" w:rsidR="00F07FD0" w:rsidRDefault="00F07FD0" w:rsidP="004F5E29">
      <w:pPr>
        <w:spacing w:after="0" w:line="312" w:lineRule="auto"/>
        <w:ind w:firstLine="709"/>
        <w:jc w:val="both"/>
        <w:rPr>
          <w:rFonts w:ascii="Times New Roman" w:hAnsi="Times New Roman" w:cs="Times New Roman"/>
          <w:sz w:val="28"/>
          <w:szCs w:val="28"/>
        </w:rPr>
      </w:pPr>
    </w:p>
    <w:p w14:paraId="56B3AF21" w14:textId="77777777" w:rsidR="00F07FD0" w:rsidRPr="004F5E29" w:rsidRDefault="00F07FD0" w:rsidP="004F5E29">
      <w:pPr>
        <w:spacing w:after="0" w:line="312" w:lineRule="auto"/>
        <w:ind w:firstLine="709"/>
        <w:jc w:val="both"/>
        <w:rPr>
          <w:rFonts w:ascii="Times New Roman" w:hAnsi="Times New Roman" w:cs="Times New Roman"/>
          <w:sz w:val="28"/>
          <w:szCs w:val="28"/>
        </w:rPr>
      </w:pPr>
    </w:p>
    <w:p w14:paraId="46526C04" w14:textId="77777777" w:rsidR="00D03A4F" w:rsidRDefault="00D03A4F" w:rsidP="00F07FD0">
      <w:pPr>
        <w:spacing w:before="240" w:after="240"/>
        <w:ind w:firstLine="720"/>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Состояние репродуктивного здоровья женщин</w:t>
      </w:r>
    </w:p>
    <w:p w14:paraId="6306A5ED" w14:textId="4FC1A989" w:rsidR="00FD3CFC" w:rsidRPr="009B35AC" w:rsidRDefault="00FD3CFC" w:rsidP="00FD3CFC">
      <w:pPr>
        <w:spacing w:after="0" w:line="312" w:lineRule="auto"/>
        <w:ind w:firstLine="709"/>
        <w:jc w:val="both"/>
        <w:rPr>
          <w:rFonts w:ascii="Times New Roman" w:hAnsi="Times New Roman" w:cs="Times New Roman"/>
          <w:sz w:val="28"/>
          <w:szCs w:val="28"/>
        </w:rPr>
      </w:pPr>
      <w:r w:rsidRPr="009B35AC">
        <w:rPr>
          <w:rFonts w:ascii="Times New Roman" w:hAnsi="Times New Roman" w:cs="Times New Roman"/>
          <w:sz w:val="28"/>
          <w:szCs w:val="28"/>
        </w:rPr>
        <w:t xml:space="preserve">По </w:t>
      </w:r>
      <w:r w:rsidR="009B35AC" w:rsidRPr="009B35AC">
        <w:rPr>
          <w:rFonts w:ascii="Times New Roman" w:hAnsi="Times New Roman" w:cs="Times New Roman"/>
          <w:sz w:val="28"/>
          <w:szCs w:val="28"/>
        </w:rPr>
        <w:t>состоянию</w:t>
      </w:r>
      <w:r w:rsidRPr="009B35AC">
        <w:rPr>
          <w:rFonts w:ascii="Times New Roman" w:hAnsi="Times New Roman" w:cs="Times New Roman"/>
          <w:sz w:val="28"/>
          <w:szCs w:val="28"/>
        </w:rPr>
        <w:t xml:space="preserve"> на 1 января 202</w:t>
      </w:r>
      <w:r w:rsidR="003A134D" w:rsidRPr="009B35AC">
        <w:rPr>
          <w:rFonts w:ascii="Times New Roman" w:hAnsi="Times New Roman" w:cs="Times New Roman"/>
          <w:sz w:val="28"/>
          <w:szCs w:val="28"/>
        </w:rPr>
        <w:t>2</w:t>
      </w:r>
      <w:r w:rsidR="00BD2723">
        <w:rPr>
          <w:rFonts w:ascii="Times New Roman" w:hAnsi="Times New Roman" w:cs="Times New Roman"/>
          <w:sz w:val="28"/>
          <w:szCs w:val="28"/>
        </w:rPr>
        <w:t xml:space="preserve"> г</w:t>
      </w:r>
      <w:r w:rsidR="00027CB9">
        <w:rPr>
          <w:rFonts w:ascii="Times New Roman" w:hAnsi="Times New Roman" w:cs="Times New Roman"/>
          <w:sz w:val="28"/>
          <w:szCs w:val="28"/>
        </w:rPr>
        <w:t>.</w:t>
      </w:r>
      <w:r w:rsidRPr="009B35AC">
        <w:rPr>
          <w:rFonts w:ascii="Times New Roman" w:hAnsi="Times New Roman" w:cs="Times New Roman"/>
          <w:sz w:val="28"/>
          <w:szCs w:val="28"/>
        </w:rPr>
        <w:t xml:space="preserve"> численность женского населения в Российской Федерации составила 78,</w:t>
      </w:r>
      <w:r w:rsidR="002253AB" w:rsidRPr="009B35AC">
        <w:rPr>
          <w:rFonts w:ascii="Times New Roman" w:hAnsi="Times New Roman" w:cs="Times New Roman"/>
          <w:sz w:val="28"/>
          <w:szCs w:val="28"/>
        </w:rPr>
        <w:t>3</w:t>
      </w:r>
      <w:r w:rsidRPr="009B35AC">
        <w:rPr>
          <w:rFonts w:ascii="Times New Roman" w:hAnsi="Times New Roman" w:cs="Times New Roman"/>
          <w:sz w:val="28"/>
          <w:szCs w:val="28"/>
        </w:rPr>
        <w:t xml:space="preserve"> млн</w:t>
      </w:r>
      <w:r w:rsidR="009B35AC" w:rsidRPr="009B35AC">
        <w:rPr>
          <w:rFonts w:ascii="Times New Roman" w:hAnsi="Times New Roman" w:cs="Times New Roman"/>
          <w:sz w:val="28"/>
          <w:szCs w:val="28"/>
        </w:rPr>
        <w:t xml:space="preserve"> </w:t>
      </w:r>
      <w:r w:rsidR="002253AB" w:rsidRPr="009B35AC">
        <w:rPr>
          <w:rFonts w:ascii="Times New Roman" w:hAnsi="Times New Roman" w:cs="Times New Roman"/>
          <w:sz w:val="28"/>
          <w:szCs w:val="28"/>
        </w:rPr>
        <w:t xml:space="preserve">человек </w:t>
      </w:r>
      <w:r w:rsidR="00941A2A" w:rsidRPr="009B35AC">
        <w:rPr>
          <w:rFonts w:ascii="Times New Roman" w:hAnsi="Times New Roman" w:cs="Times New Roman"/>
          <w:sz w:val="28"/>
          <w:szCs w:val="28"/>
        </w:rPr>
        <w:t>(53,6</w:t>
      </w:r>
      <w:r w:rsidRPr="009B35AC">
        <w:rPr>
          <w:rFonts w:ascii="Times New Roman" w:hAnsi="Times New Roman" w:cs="Times New Roman"/>
          <w:sz w:val="28"/>
          <w:szCs w:val="28"/>
        </w:rPr>
        <w:t>% в общей численности н</w:t>
      </w:r>
      <w:r w:rsidR="00071CA4">
        <w:rPr>
          <w:rFonts w:ascii="Times New Roman" w:hAnsi="Times New Roman" w:cs="Times New Roman"/>
          <w:sz w:val="28"/>
          <w:szCs w:val="28"/>
        </w:rPr>
        <w:t>аселения Российской Федерации).</w:t>
      </w:r>
    </w:p>
    <w:p w14:paraId="11185216" w14:textId="71AD03BC" w:rsidR="004572DB" w:rsidRPr="004572DB" w:rsidRDefault="00052050" w:rsidP="00E16191">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Заболеваемость сальпингитами и оофоритами снизилась (на 8,2% к уровню 2020 г. и на 21,8% к уровню 2019 г.). </w:t>
      </w:r>
      <w:r w:rsidR="004572DB" w:rsidRPr="004572DB">
        <w:rPr>
          <w:rFonts w:ascii="Times New Roman" w:hAnsi="Times New Roman" w:cs="Times New Roman"/>
          <w:sz w:val="28"/>
          <w:szCs w:val="28"/>
        </w:rPr>
        <w:t>Однако у женщин старше 18 лет в 2021 г</w:t>
      </w:r>
      <w:r>
        <w:rPr>
          <w:rFonts w:ascii="Times New Roman" w:hAnsi="Times New Roman" w:cs="Times New Roman"/>
          <w:sz w:val="28"/>
          <w:szCs w:val="28"/>
        </w:rPr>
        <w:t>.</w:t>
      </w:r>
      <w:r w:rsidR="004572DB" w:rsidRPr="004572DB">
        <w:rPr>
          <w:rFonts w:ascii="Times New Roman" w:hAnsi="Times New Roman" w:cs="Times New Roman"/>
          <w:sz w:val="28"/>
          <w:szCs w:val="28"/>
        </w:rPr>
        <w:t xml:space="preserve"> увеличилась частота расстройств менструации (на 9,6</w:t>
      </w:r>
      <w:r w:rsidR="004572DB">
        <w:rPr>
          <w:rFonts w:ascii="Times New Roman" w:hAnsi="Times New Roman" w:cs="Times New Roman"/>
          <w:sz w:val="28"/>
          <w:szCs w:val="28"/>
        </w:rPr>
        <w:t>% к уровню 2020 г</w:t>
      </w:r>
      <w:r>
        <w:rPr>
          <w:rFonts w:ascii="Times New Roman" w:hAnsi="Times New Roman" w:cs="Times New Roman"/>
          <w:sz w:val="28"/>
          <w:szCs w:val="28"/>
        </w:rPr>
        <w:t>.</w:t>
      </w:r>
      <w:r w:rsidR="004572DB">
        <w:rPr>
          <w:rFonts w:ascii="Times New Roman" w:hAnsi="Times New Roman" w:cs="Times New Roman"/>
          <w:sz w:val="28"/>
          <w:szCs w:val="28"/>
        </w:rPr>
        <w:t xml:space="preserve"> и на 3,1</w:t>
      </w:r>
      <w:r>
        <w:rPr>
          <w:rFonts w:ascii="Times New Roman" w:hAnsi="Times New Roman" w:cs="Times New Roman"/>
          <w:sz w:val="28"/>
          <w:szCs w:val="28"/>
        </w:rPr>
        <w:t>% к уровню 2019 г.). Частота ж</w:t>
      </w:r>
      <w:r w:rsidR="004572DB" w:rsidRPr="004572DB">
        <w:rPr>
          <w:rFonts w:ascii="Times New Roman" w:hAnsi="Times New Roman" w:cs="Times New Roman"/>
          <w:sz w:val="28"/>
          <w:szCs w:val="28"/>
        </w:rPr>
        <w:t>енско</w:t>
      </w:r>
      <w:r>
        <w:rPr>
          <w:rFonts w:ascii="Times New Roman" w:hAnsi="Times New Roman" w:cs="Times New Roman"/>
          <w:sz w:val="28"/>
          <w:szCs w:val="28"/>
        </w:rPr>
        <w:t>го</w:t>
      </w:r>
      <w:r w:rsidR="009B35AC">
        <w:rPr>
          <w:rFonts w:ascii="Times New Roman" w:hAnsi="Times New Roman" w:cs="Times New Roman"/>
          <w:sz w:val="28"/>
          <w:szCs w:val="28"/>
        </w:rPr>
        <w:t xml:space="preserve"> </w:t>
      </w:r>
      <w:r w:rsidR="004572DB" w:rsidRPr="004572DB">
        <w:rPr>
          <w:rFonts w:ascii="Times New Roman" w:hAnsi="Times New Roman" w:cs="Times New Roman"/>
          <w:sz w:val="28"/>
          <w:szCs w:val="28"/>
        </w:rPr>
        <w:t>бесплоди</w:t>
      </w:r>
      <w:r>
        <w:rPr>
          <w:rFonts w:ascii="Times New Roman" w:hAnsi="Times New Roman" w:cs="Times New Roman"/>
          <w:sz w:val="28"/>
          <w:szCs w:val="28"/>
        </w:rPr>
        <w:t>я</w:t>
      </w:r>
      <w:r w:rsidR="004572DB" w:rsidRPr="004572DB">
        <w:rPr>
          <w:rFonts w:ascii="Times New Roman" w:hAnsi="Times New Roman" w:cs="Times New Roman"/>
          <w:sz w:val="28"/>
          <w:szCs w:val="28"/>
        </w:rPr>
        <w:t xml:space="preserve"> </w:t>
      </w:r>
      <w:r>
        <w:rPr>
          <w:rFonts w:ascii="Times New Roman" w:hAnsi="Times New Roman" w:cs="Times New Roman"/>
          <w:sz w:val="28"/>
          <w:szCs w:val="28"/>
        </w:rPr>
        <w:t>снизилась</w:t>
      </w:r>
      <w:r w:rsidR="00700278">
        <w:rPr>
          <w:rFonts w:ascii="Times New Roman" w:hAnsi="Times New Roman" w:cs="Times New Roman"/>
          <w:sz w:val="28"/>
          <w:szCs w:val="28"/>
        </w:rPr>
        <w:t xml:space="preserve"> на </w:t>
      </w:r>
      <w:r>
        <w:rPr>
          <w:rFonts w:ascii="Times New Roman" w:hAnsi="Times New Roman" w:cs="Times New Roman"/>
          <w:sz w:val="28"/>
          <w:szCs w:val="28"/>
        </w:rPr>
        <w:t>7</w:t>
      </w:r>
      <w:r w:rsidR="00700278">
        <w:rPr>
          <w:rFonts w:ascii="Times New Roman" w:hAnsi="Times New Roman" w:cs="Times New Roman"/>
          <w:sz w:val="28"/>
          <w:szCs w:val="28"/>
        </w:rPr>
        <w:t>,9</w:t>
      </w:r>
      <w:r w:rsidR="004572DB" w:rsidRPr="004572DB">
        <w:rPr>
          <w:rFonts w:ascii="Times New Roman" w:hAnsi="Times New Roman" w:cs="Times New Roman"/>
          <w:sz w:val="28"/>
          <w:szCs w:val="28"/>
        </w:rPr>
        <w:t xml:space="preserve">% </w:t>
      </w:r>
      <w:r>
        <w:rPr>
          <w:rFonts w:ascii="Times New Roman" w:hAnsi="Times New Roman" w:cs="Times New Roman"/>
          <w:sz w:val="28"/>
          <w:szCs w:val="28"/>
        </w:rPr>
        <w:t xml:space="preserve">по сравнению </w:t>
      </w:r>
      <w:r w:rsidR="001B7BF2">
        <w:rPr>
          <w:rFonts w:ascii="Times New Roman" w:hAnsi="Times New Roman" w:cs="Times New Roman"/>
          <w:sz w:val="28"/>
          <w:szCs w:val="28"/>
        </w:rPr>
        <w:br/>
      </w:r>
      <w:r>
        <w:rPr>
          <w:rFonts w:ascii="Times New Roman" w:hAnsi="Times New Roman" w:cs="Times New Roman"/>
          <w:sz w:val="28"/>
          <w:szCs w:val="28"/>
        </w:rPr>
        <w:t>с 2019 г., при этом отмечается рост на 8,9%</w:t>
      </w:r>
      <w:r w:rsidRPr="004572DB">
        <w:rPr>
          <w:rFonts w:ascii="Times New Roman" w:hAnsi="Times New Roman" w:cs="Times New Roman"/>
          <w:sz w:val="28"/>
          <w:szCs w:val="28"/>
        </w:rPr>
        <w:t xml:space="preserve"> </w:t>
      </w:r>
      <w:r w:rsidR="004572DB" w:rsidRPr="004572DB">
        <w:rPr>
          <w:rFonts w:ascii="Times New Roman" w:hAnsi="Times New Roman" w:cs="Times New Roman"/>
          <w:sz w:val="28"/>
          <w:szCs w:val="28"/>
        </w:rPr>
        <w:t xml:space="preserve">к уровню 2020 </w:t>
      </w:r>
      <w:r>
        <w:rPr>
          <w:rFonts w:ascii="Times New Roman" w:hAnsi="Times New Roman" w:cs="Times New Roman"/>
          <w:sz w:val="28"/>
          <w:szCs w:val="28"/>
        </w:rPr>
        <w:t>г</w:t>
      </w:r>
      <w:r w:rsidR="004572DB" w:rsidRPr="004572DB">
        <w:rPr>
          <w:rFonts w:ascii="Times New Roman" w:hAnsi="Times New Roman" w:cs="Times New Roman"/>
          <w:sz w:val="28"/>
          <w:szCs w:val="28"/>
        </w:rPr>
        <w:t xml:space="preserve">. Частота </w:t>
      </w:r>
      <w:proofErr w:type="spellStart"/>
      <w:r w:rsidR="004572DB" w:rsidRPr="004572DB">
        <w:rPr>
          <w:rFonts w:ascii="Times New Roman" w:hAnsi="Times New Roman" w:cs="Times New Roman"/>
          <w:sz w:val="28"/>
          <w:szCs w:val="28"/>
        </w:rPr>
        <w:t>эндометриоза</w:t>
      </w:r>
      <w:proofErr w:type="spellEnd"/>
      <w:r w:rsidR="004572DB" w:rsidRPr="004572DB">
        <w:rPr>
          <w:rFonts w:ascii="Times New Roman" w:hAnsi="Times New Roman" w:cs="Times New Roman"/>
          <w:sz w:val="28"/>
          <w:szCs w:val="28"/>
        </w:rPr>
        <w:t xml:space="preserve"> составила 532,6 на 100 тыс.</w:t>
      </w:r>
      <w:r w:rsidR="00700278">
        <w:rPr>
          <w:rFonts w:ascii="Times New Roman" w:hAnsi="Times New Roman" w:cs="Times New Roman"/>
          <w:sz w:val="28"/>
          <w:szCs w:val="28"/>
        </w:rPr>
        <w:t xml:space="preserve"> женского населения, что </w:t>
      </w:r>
      <w:r>
        <w:rPr>
          <w:rFonts w:ascii="Times New Roman" w:hAnsi="Times New Roman" w:cs="Times New Roman"/>
          <w:sz w:val="28"/>
          <w:szCs w:val="28"/>
        </w:rPr>
        <w:t>на 2,0</w:t>
      </w:r>
      <w:r w:rsidRPr="004572DB">
        <w:rPr>
          <w:rFonts w:ascii="Times New Roman" w:hAnsi="Times New Roman" w:cs="Times New Roman"/>
          <w:sz w:val="28"/>
          <w:szCs w:val="28"/>
        </w:rPr>
        <w:t xml:space="preserve">% меньше </w:t>
      </w:r>
      <w:r>
        <w:rPr>
          <w:rFonts w:ascii="Times New Roman" w:hAnsi="Times New Roman" w:cs="Times New Roman"/>
          <w:sz w:val="28"/>
          <w:szCs w:val="28"/>
        </w:rPr>
        <w:t xml:space="preserve">показателя </w:t>
      </w:r>
      <w:r w:rsidR="001B7BF2">
        <w:rPr>
          <w:rFonts w:ascii="Times New Roman" w:hAnsi="Times New Roman" w:cs="Times New Roman"/>
          <w:sz w:val="28"/>
          <w:szCs w:val="28"/>
        </w:rPr>
        <w:br/>
      </w:r>
      <w:r w:rsidRPr="004572DB">
        <w:rPr>
          <w:rFonts w:ascii="Times New Roman" w:hAnsi="Times New Roman" w:cs="Times New Roman"/>
          <w:sz w:val="28"/>
          <w:szCs w:val="28"/>
        </w:rPr>
        <w:t>2019 г</w:t>
      </w:r>
      <w:r w:rsidR="00E16191">
        <w:rPr>
          <w:rFonts w:ascii="Times New Roman" w:hAnsi="Times New Roman" w:cs="Times New Roman"/>
          <w:sz w:val="28"/>
          <w:szCs w:val="28"/>
        </w:rPr>
        <w:t>.</w:t>
      </w:r>
      <w:r w:rsidRPr="004572DB">
        <w:rPr>
          <w:rFonts w:ascii="Times New Roman" w:hAnsi="Times New Roman" w:cs="Times New Roman"/>
          <w:sz w:val="28"/>
          <w:szCs w:val="28"/>
        </w:rPr>
        <w:t xml:space="preserve"> </w:t>
      </w:r>
      <w:r>
        <w:rPr>
          <w:rFonts w:ascii="Times New Roman" w:hAnsi="Times New Roman" w:cs="Times New Roman"/>
          <w:sz w:val="28"/>
          <w:szCs w:val="28"/>
        </w:rPr>
        <w:t>(</w:t>
      </w:r>
      <w:r w:rsidRPr="004572DB">
        <w:rPr>
          <w:rFonts w:ascii="Times New Roman" w:hAnsi="Times New Roman" w:cs="Times New Roman"/>
          <w:sz w:val="28"/>
          <w:szCs w:val="28"/>
        </w:rPr>
        <w:t>543,2 на 100 тыс. женского населения</w:t>
      </w:r>
      <w:r>
        <w:rPr>
          <w:rFonts w:ascii="Times New Roman" w:hAnsi="Times New Roman" w:cs="Times New Roman"/>
          <w:sz w:val="28"/>
          <w:szCs w:val="28"/>
        </w:rPr>
        <w:t xml:space="preserve">), но </w:t>
      </w:r>
      <w:r w:rsidR="00700278">
        <w:rPr>
          <w:rFonts w:ascii="Times New Roman" w:hAnsi="Times New Roman" w:cs="Times New Roman"/>
          <w:sz w:val="28"/>
          <w:szCs w:val="28"/>
        </w:rPr>
        <w:t>на 7,8</w:t>
      </w:r>
      <w:r w:rsidR="004572DB" w:rsidRPr="004572DB">
        <w:rPr>
          <w:rFonts w:ascii="Times New Roman" w:hAnsi="Times New Roman" w:cs="Times New Roman"/>
          <w:sz w:val="28"/>
          <w:szCs w:val="28"/>
        </w:rPr>
        <w:t xml:space="preserve">% больше </w:t>
      </w:r>
      <w:r w:rsidR="009B35AC">
        <w:rPr>
          <w:rFonts w:ascii="Times New Roman" w:hAnsi="Times New Roman" w:cs="Times New Roman"/>
          <w:sz w:val="28"/>
          <w:szCs w:val="28"/>
        </w:rPr>
        <w:t xml:space="preserve">показателя </w:t>
      </w:r>
      <w:r w:rsidR="00E16191">
        <w:rPr>
          <w:rFonts w:ascii="Times New Roman" w:hAnsi="Times New Roman" w:cs="Times New Roman"/>
          <w:sz w:val="28"/>
          <w:szCs w:val="28"/>
        </w:rPr>
        <w:br/>
      </w:r>
      <w:r w:rsidR="004572DB" w:rsidRPr="004572DB">
        <w:rPr>
          <w:rFonts w:ascii="Times New Roman" w:hAnsi="Times New Roman" w:cs="Times New Roman"/>
          <w:sz w:val="28"/>
          <w:szCs w:val="28"/>
        </w:rPr>
        <w:t>2020 г</w:t>
      </w:r>
      <w:r w:rsidR="00E16191">
        <w:rPr>
          <w:rFonts w:ascii="Times New Roman" w:hAnsi="Times New Roman" w:cs="Times New Roman"/>
          <w:sz w:val="28"/>
          <w:szCs w:val="28"/>
        </w:rPr>
        <w:t>.</w:t>
      </w:r>
      <w:r w:rsidR="004572DB" w:rsidRPr="004572DB">
        <w:rPr>
          <w:rFonts w:ascii="Times New Roman" w:hAnsi="Times New Roman" w:cs="Times New Roman"/>
          <w:sz w:val="28"/>
          <w:szCs w:val="28"/>
        </w:rPr>
        <w:t xml:space="preserve"> </w:t>
      </w:r>
      <w:r w:rsidR="009B35AC">
        <w:rPr>
          <w:rFonts w:ascii="Times New Roman" w:hAnsi="Times New Roman" w:cs="Times New Roman"/>
          <w:sz w:val="28"/>
          <w:szCs w:val="28"/>
        </w:rPr>
        <w:t>(</w:t>
      </w:r>
      <w:r w:rsidR="004572DB" w:rsidRPr="004572DB">
        <w:rPr>
          <w:rFonts w:ascii="Times New Roman" w:hAnsi="Times New Roman" w:cs="Times New Roman"/>
          <w:sz w:val="28"/>
          <w:szCs w:val="28"/>
        </w:rPr>
        <w:t>494,2 на 100 тыс. женского населения</w:t>
      </w:r>
      <w:r w:rsidR="009B35AC">
        <w:rPr>
          <w:rFonts w:ascii="Times New Roman" w:hAnsi="Times New Roman" w:cs="Times New Roman"/>
          <w:sz w:val="28"/>
          <w:szCs w:val="28"/>
        </w:rPr>
        <w:t>)</w:t>
      </w:r>
      <w:r>
        <w:rPr>
          <w:rFonts w:ascii="Times New Roman" w:hAnsi="Times New Roman" w:cs="Times New Roman"/>
          <w:sz w:val="28"/>
          <w:szCs w:val="28"/>
        </w:rPr>
        <w:t>.</w:t>
      </w:r>
    </w:p>
    <w:p w14:paraId="6D11D96D" w14:textId="77777777" w:rsidR="004572DB" w:rsidRPr="004572DB" w:rsidRDefault="004572DB" w:rsidP="004572DB">
      <w:pPr>
        <w:spacing w:after="0" w:line="312" w:lineRule="auto"/>
        <w:ind w:firstLine="709"/>
        <w:jc w:val="both"/>
        <w:rPr>
          <w:rFonts w:ascii="Times New Roman" w:hAnsi="Times New Roman" w:cs="Times New Roman"/>
          <w:sz w:val="28"/>
          <w:szCs w:val="28"/>
        </w:rPr>
      </w:pPr>
      <w:r w:rsidRPr="004572DB">
        <w:rPr>
          <w:rFonts w:ascii="Times New Roman" w:hAnsi="Times New Roman" w:cs="Times New Roman"/>
          <w:sz w:val="28"/>
          <w:szCs w:val="28"/>
        </w:rPr>
        <w:t>В результате проводимых мероприятий в Российской Федерации сохраняется стойкая тенденция к снижению числа абортов.</w:t>
      </w:r>
    </w:p>
    <w:p w14:paraId="60CF16B8" w14:textId="2C912956" w:rsidR="004572DB" w:rsidRPr="004572DB" w:rsidRDefault="004572DB" w:rsidP="004572DB">
      <w:pPr>
        <w:spacing w:after="0" w:line="312" w:lineRule="auto"/>
        <w:ind w:firstLine="709"/>
        <w:jc w:val="both"/>
        <w:rPr>
          <w:rFonts w:ascii="Times New Roman" w:hAnsi="Times New Roman" w:cs="Times New Roman"/>
          <w:sz w:val="28"/>
          <w:szCs w:val="28"/>
        </w:rPr>
      </w:pPr>
      <w:r w:rsidRPr="004572DB">
        <w:rPr>
          <w:rFonts w:ascii="Times New Roman" w:hAnsi="Times New Roman" w:cs="Times New Roman"/>
          <w:sz w:val="28"/>
          <w:szCs w:val="28"/>
        </w:rPr>
        <w:t>За 2019</w:t>
      </w:r>
      <w:r w:rsidR="00734E3E">
        <w:rPr>
          <w:rFonts w:ascii="Times New Roman" w:hAnsi="Times New Roman" w:cs="Times New Roman"/>
          <w:sz w:val="28"/>
          <w:szCs w:val="28"/>
        </w:rPr>
        <w:t>-</w:t>
      </w:r>
      <w:r w:rsidRPr="004572DB">
        <w:rPr>
          <w:rFonts w:ascii="Times New Roman" w:hAnsi="Times New Roman" w:cs="Times New Roman"/>
          <w:sz w:val="28"/>
          <w:szCs w:val="28"/>
        </w:rPr>
        <w:t>2021 г</w:t>
      </w:r>
      <w:r w:rsidR="00734E3E">
        <w:rPr>
          <w:rFonts w:ascii="Times New Roman" w:hAnsi="Times New Roman" w:cs="Times New Roman"/>
          <w:sz w:val="28"/>
          <w:szCs w:val="28"/>
        </w:rPr>
        <w:t>г.</w:t>
      </w:r>
      <w:r w:rsidRPr="004572DB">
        <w:rPr>
          <w:rFonts w:ascii="Times New Roman" w:hAnsi="Times New Roman" w:cs="Times New Roman"/>
          <w:sz w:val="28"/>
          <w:szCs w:val="28"/>
        </w:rPr>
        <w:t xml:space="preserve"> общее число абортов в стране снизилось на 21,4% </w:t>
      </w:r>
      <w:r w:rsidR="00B13EA9">
        <w:rPr>
          <w:rFonts w:ascii="Times New Roman" w:hAnsi="Times New Roman" w:cs="Times New Roman"/>
          <w:sz w:val="28"/>
          <w:szCs w:val="28"/>
        </w:rPr>
        <w:br/>
      </w:r>
      <w:r w:rsidRPr="004572DB">
        <w:rPr>
          <w:rFonts w:ascii="Times New Roman" w:hAnsi="Times New Roman" w:cs="Times New Roman"/>
          <w:sz w:val="28"/>
          <w:szCs w:val="28"/>
        </w:rPr>
        <w:t>(2021 г. – 411</w:t>
      </w:r>
      <w:r w:rsidR="00700278">
        <w:rPr>
          <w:rFonts w:ascii="Times New Roman" w:hAnsi="Times New Roman" w:cs="Times New Roman"/>
          <w:sz w:val="28"/>
          <w:szCs w:val="28"/>
        </w:rPr>
        <w:t> </w:t>
      </w:r>
      <w:r w:rsidRPr="004572DB">
        <w:rPr>
          <w:rFonts w:ascii="Times New Roman" w:hAnsi="Times New Roman" w:cs="Times New Roman"/>
          <w:sz w:val="28"/>
          <w:szCs w:val="28"/>
        </w:rPr>
        <w:t>414</w:t>
      </w:r>
      <w:r w:rsidR="00700278">
        <w:rPr>
          <w:rFonts w:ascii="Times New Roman" w:hAnsi="Times New Roman" w:cs="Times New Roman"/>
          <w:sz w:val="28"/>
          <w:szCs w:val="28"/>
        </w:rPr>
        <w:t>;</w:t>
      </w:r>
      <w:r w:rsidRPr="004572DB">
        <w:rPr>
          <w:rFonts w:ascii="Times New Roman" w:hAnsi="Times New Roman" w:cs="Times New Roman"/>
          <w:sz w:val="28"/>
          <w:szCs w:val="28"/>
        </w:rPr>
        <w:t xml:space="preserve"> 2020 г. – 450</w:t>
      </w:r>
      <w:r w:rsidR="00700278">
        <w:rPr>
          <w:rFonts w:ascii="Times New Roman" w:hAnsi="Times New Roman" w:cs="Times New Roman"/>
          <w:sz w:val="28"/>
          <w:szCs w:val="28"/>
        </w:rPr>
        <w:t> </w:t>
      </w:r>
      <w:r w:rsidRPr="004572DB">
        <w:rPr>
          <w:rFonts w:ascii="Times New Roman" w:hAnsi="Times New Roman" w:cs="Times New Roman"/>
          <w:sz w:val="28"/>
          <w:szCs w:val="28"/>
        </w:rPr>
        <w:t>408</w:t>
      </w:r>
      <w:r w:rsidR="00700278">
        <w:rPr>
          <w:rFonts w:ascii="Times New Roman" w:hAnsi="Times New Roman" w:cs="Times New Roman"/>
          <w:sz w:val="28"/>
          <w:szCs w:val="28"/>
        </w:rPr>
        <w:t>;</w:t>
      </w:r>
      <w:r w:rsidRPr="004572DB">
        <w:rPr>
          <w:rFonts w:ascii="Times New Roman" w:hAnsi="Times New Roman" w:cs="Times New Roman"/>
          <w:sz w:val="28"/>
          <w:szCs w:val="28"/>
        </w:rPr>
        <w:t xml:space="preserve"> 2019 г. –</w:t>
      </w:r>
      <w:r w:rsidR="007642DA">
        <w:rPr>
          <w:rFonts w:ascii="Times New Roman" w:hAnsi="Times New Roman" w:cs="Times New Roman"/>
          <w:sz w:val="28"/>
          <w:szCs w:val="28"/>
        </w:rPr>
        <w:t xml:space="preserve"> 523 360)</w:t>
      </w:r>
      <w:r w:rsidRPr="004572DB">
        <w:rPr>
          <w:rFonts w:ascii="Times New Roman" w:hAnsi="Times New Roman" w:cs="Times New Roman"/>
          <w:sz w:val="28"/>
          <w:szCs w:val="28"/>
        </w:rPr>
        <w:t>.</w:t>
      </w:r>
    </w:p>
    <w:p w14:paraId="03A76EE2" w14:textId="77777777" w:rsidR="004572DB" w:rsidRPr="004572DB" w:rsidRDefault="004572DB" w:rsidP="004572DB">
      <w:pPr>
        <w:spacing w:after="0" w:line="312" w:lineRule="auto"/>
        <w:ind w:firstLine="709"/>
        <w:jc w:val="both"/>
        <w:rPr>
          <w:rFonts w:ascii="Times New Roman" w:hAnsi="Times New Roman" w:cs="Times New Roman"/>
          <w:sz w:val="28"/>
          <w:szCs w:val="28"/>
        </w:rPr>
      </w:pPr>
      <w:r w:rsidRPr="004572DB">
        <w:rPr>
          <w:rFonts w:ascii="Times New Roman" w:hAnsi="Times New Roman" w:cs="Times New Roman"/>
          <w:sz w:val="28"/>
          <w:szCs w:val="28"/>
        </w:rPr>
        <w:t xml:space="preserve">Число абортов у </w:t>
      </w:r>
      <w:proofErr w:type="spellStart"/>
      <w:r w:rsidRPr="004572DB">
        <w:rPr>
          <w:rFonts w:ascii="Times New Roman" w:hAnsi="Times New Roman" w:cs="Times New Roman"/>
          <w:sz w:val="28"/>
          <w:szCs w:val="28"/>
        </w:rPr>
        <w:t>первоберем</w:t>
      </w:r>
      <w:r w:rsidR="00700278">
        <w:rPr>
          <w:rFonts w:ascii="Times New Roman" w:hAnsi="Times New Roman" w:cs="Times New Roman"/>
          <w:sz w:val="28"/>
          <w:szCs w:val="28"/>
        </w:rPr>
        <w:t>енных</w:t>
      </w:r>
      <w:proofErr w:type="spellEnd"/>
      <w:r w:rsidR="00700278">
        <w:rPr>
          <w:rFonts w:ascii="Times New Roman" w:hAnsi="Times New Roman" w:cs="Times New Roman"/>
          <w:sz w:val="28"/>
          <w:szCs w:val="28"/>
        </w:rPr>
        <w:t xml:space="preserve"> женщин уменьшилось на 8,3</w:t>
      </w:r>
      <w:r w:rsidR="005B3A4F">
        <w:rPr>
          <w:rFonts w:ascii="Times New Roman" w:hAnsi="Times New Roman" w:cs="Times New Roman"/>
          <w:sz w:val="28"/>
          <w:szCs w:val="28"/>
        </w:rPr>
        <w:t xml:space="preserve">% </w:t>
      </w:r>
      <w:r w:rsidR="005B3A4F">
        <w:rPr>
          <w:rFonts w:ascii="Times New Roman" w:hAnsi="Times New Roman" w:cs="Times New Roman"/>
          <w:sz w:val="28"/>
          <w:szCs w:val="28"/>
        </w:rPr>
        <w:br/>
      </w:r>
      <w:r w:rsidRPr="004572DB">
        <w:rPr>
          <w:rFonts w:ascii="Times New Roman" w:hAnsi="Times New Roman" w:cs="Times New Roman"/>
          <w:sz w:val="28"/>
          <w:szCs w:val="28"/>
        </w:rPr>
        <w:t>(2021 г. – 40</w:t>
      </w:r>
      <w:r w:rsidR="00700278">
        <w:rPr>
          <w:rFonts w:ascii="Times New Roman" w:hAnsi="Times New Roman" w:cs="Times New Roman"/>
          <w:sz w:val="28"/>
          <w:szCs w:val="28"/>
        </w:rPr>
        <w:t> </w:t>
      </w:r>
      <w:r w:rsidRPr="004572DB">
        <w:rPr>
          <w:rFonts w:ascii="Times New Roman" w:hAnsi="Times New Roman" w:cs="Times New Roman"/>
          <w:sz w:val="28"/>
          <w:szCs w:val="28"/>
        </w:rPr>
        <w:t>897</w:t>
      </w:r>
      <w:r w:rsidR="00700278">
        <w:rPr>
          <w:rFonts w:ascii="Times New Roman" w:hAnsi="Times New Roman" w:cs="Times New Roman"/>
          <w:sz w:val="28"/>
          <w:szCs w:val="28"/>
        </w:rPr>
        <w:t xml:space="preserve">; </w:t>
      </w:r>
      <w:r w:rsidRPr="004572DB">
        <w:rPr>
          <w:rFonts w:ascii="Times New Roman" w:hAnsi="Times New Roman" w:cs="Times New Roman"/>
          <w:sz w:val="28"/>
          <w:szCs w:val="28"/>
        </w:rPr>
        <w:t>2020 г. – 43</w:t>
      </w:r>
      <w:r w:rsidR="00700278">
        <w:rPr>
          <w:rFonts w:ascii="Times New Roman" w:hAnsi="Times New Roman" w:cs="Times New Roman"/>
          <w:sz w:val="28"/>
          <w:szCs w:val="28"/>
        </w:rPr>
        <w:t> </w:t>
      </w:r>
      <w:r w:rsidRPr="004572DB">
        <w:rPr>
          <w:rFonts w:ascii="Times New Roman" w:hAnsi="Times New Roman" w:cs="Times New Roman"/>
          <w:sz w:val="28"/>
          <w:szCs w:val="28"/>
        </w:rPr>
        <w:t>082</w:t>
      </w:r>
      <w:r w:rsidR="00700278">
        <w:rPr>
          <w:rFonts w:ascii="Times New Roman" w:hAnsi="Times New Roman" w:cs="Times New Roman"/>
          <w:sz w:val="28"/>
          <w:szCs w:val="28"/>
        </w:rPr>
        <w:t>;</w:t>
      </w:r>
      <w:r w:rsidRPr="004572DB">
        <w:rPr>
          <w:rFonts w:ascii="Times New Roman" w:hAnsi="Times New Roman" w:cs="Times New Roman"/>
          <w:sz w:val="28"/>
          <w:szCs w:val="28"/>
        </w:rPr>
        <w:t xml:space="preserve"> 2019 г. – 44 611).</w:t>
      </w:r>
    </w:p>
    <w:p w14:paraId="49558601" w14:textId="4AEE2263" w:rsidR="004572DB" w:rsidRPr="004572DB" w:rsidRDefault="004572DB" w:rsidP="004572DB">
      <w:pPr>
        <w:spacing w:after="0" w:line="312" w:lineRule="auto"/>
        <w:ind w:firstLine="709"/>
        <w:jc w:val="both"/>
        <w:rPr>
          <w:rFonts w:ascii="Times New Roman" w:hAnsi="Times New Roman" w:cs="Times New Roman"/>
          <w:sz w:val="28"/>
          <w:szCs w:val="28"/>
        </w:rPr>
      </w:pPr>
      <w:r w:rsidRPr="004572DB">
        <w:rPr>
          <w:rFonts w:ascii="Times New Roman" w:hAnsi="Times New Roman" w:cs="Times New Roman"/>
          <w:sz w:val="28"/>
          <w:szCs w:val="28"/>
        </w:rPr>
        <w:t>Улучшается качество диспансерного</w:t>
      </w:r>
      <w:r w:rsidR="009B35AC">
        <w:rPr>
          <w:rFonts w:ascii="Times New Roman" w:hAnsi="Times New Roman" w:cs="Times New Roman"/>
          <w:sz w:val="28"/>
          <w:szCs w:val="28"/>
        </w:rPr>
        <w:t xml:space="preserve"> наблюдения беременных женщин. </w:t>
      </w:r>
      <w:r w:rsidR="005F5DE2">
        <w:rPr>
          <w:rFonts w:ascii="Times New Roman" w:hAnsi="Times New Roman" w:cs="Times New Roman"/>
          <w:sz w:val="28"/>
          <w:szCs w:val="28"/>
        </w:rPr>
        <w:br/>
      </w:r>
      <w:r w:rsidRPr="004572DB">
        <w:rPr>
          <w:rFonts w:ascii="Times New Roman" w:hAnsi="Times New Roman" w:cs="Times New Roman"/>
          <w:sz w:val="28"/>
          <w:szCs w:val="28"/>
        </w:rPr>
        <w:t>В 2021 г</w:t>
      </w:r>
      <w:r w:rsidR="005F5DE2">
        <w:rPr>
          <w:rFonts w:ascii="Times New Roman" w:hAnsi="Times New Roman" w:cs="Times New Roman"/>
          <w:sz w:val="28"/>
          <w:szCs w:val="28"/>
        </w:rPr>
        <w:t>.</w:t>
      </w:r>
      <w:r w:rsidRPr="004572DB">
        <w:rPr>
          <w:rFonts w:ascii="Times New Roman" w:hAnsi="Times New Roman" w:cs="Times New Roman"/>
          <w:sz w:val="28"/>
          <w:szCs w:val="28"/>
        </w:rPr>
        <w:t xml:space="preserve"> доля женщин, поступивших под наблюдение в женские консультац</w:t>
      </w:r>
      <w:r w:rsidR="00700278">
        <w:rPr>
          <w:rFonts w:ascii="Times New Roman" w:hAnsi="Times New Roman" w:cs="Times New Roman"/>
          <w:sz w:val="28"/>
          <w:szCs w:val="28"/>
        </w:rPr>
        <w:t xml:space="preserve">ии </w:t>
      </w:r>
      <w:r w:rsidR="005F5DE2">
        <w:rPr>
          <w:rFonts w:ascii="Times New Roman" w:hAnsi="Times New Roman" w:cs="Times New Roman"/>
          <w:sz w:val="28"/>
          <w:szCs w:val="28"/>
        </w:rPr>
        <w:br/>
      </w:r>
      <w:r w:rsidR="00700278">
        <w:rPr>
          <w:rFonts w:ascii="Times New Roman" w:hAnsi="Times New Roman" w:cs="Times New Roman"/>
          <w:sz w:val="28"/>
          <w:szCs w:val="28"/>
        </w:rPr>
        <w:t>до 12 недель, составила 88,8% (2020 г. – 87,4</w:t>
      </w:r>
      <w:r w:rsidRPr="004572DB">
        <w:rPr>
          <w:rFonts w:ascii="Times New Roman" w:hAnsi="Times New Roman" w:cs="Times New Roman"/>
          <w:sz w:val="28"/>
          <w:szCs w:val="28"/>
        </w:rPr>
        <w:t>%</w:t>
      </w:r>
      <w:r w:rsidR="00700278">
        <w:rPr>
          <w:rFonts w:ascii="Times New Roman" w:hAnsi="Times New Roman" w:cs="Times New Roman"/>
          <w:sz w:val="28"/>
          <w:szCs w:val="28"/>
        </w:rPr>
        <w:t>; 2019 г. – 88,0</w:t>
      </w:r>
      <w:r w:rsidRPr="004572DB">
        <w:rPr>
          <w:rFonts w:ascii="Times New Roman" w:hAnsi="Times New Roman" w:cs="Times New Roman"/>
          <w:sz w:val="28"/>
          <w:szCs w:val="28"/>
        </w:rPr>
        <w:t>%). Доля женщин, не состоявших под наблюдением в женских консультац</w:t>
      </w:r>
      <w:r w:rsidR="00700278">
        <w:rPr>
          <w:rFonts w:ascii="Times New Roman" w:hAnsi="Times New Roman" w:cs="Times New Roman"/>
          <w:sz w:val="28"/>
          <w:szCs w:val="28"/>
        </w:rPr>
        <w:t>иях, снизилась и составила 1,28% (2020 г. – 1,51</w:t>
      </w:r>
      <w:r w:rsidRPr="004572DB">
        <w:rPr>
          <w:rFonts w:ascii="Times New Roman" w:hAnsi="Times New Roman" w:cs="Times New Roman"/>
          <w:sz w:val="28"/>
          <w:szCs w:val="28"/>
        </w:rPr>
        <w:t>%</w:t>
      </w:r>
      <w:r w:rsidR="00700278">
        <w:rPr>
          <w:rFonts w:ascii="Times New Roman" w:hAnsi="Times New Roman" w:cs="Times New Roman"/>
          <w:sz w:val="28"/>
          <w:szCs w:val="28"/>
        </w:rPr>
        <w:t>; 2019 г. – 1,42</w:t>
      </w:r>
      <w:r w:rsidRPr="004572DB">
        <w:rPr>
          <w:rFonts w:ascii="Times New Roman" w:hAnsi="Times New Roman" w:cs="Times New Roman"/>
          <w:sz w:val="28"/>
          <w:szCs w:val="28"/>
        </w:rPr>
        <w:t>%). Удельный вес беременных, осмотренных терапевтом до 12 недель беременности, повысился до 88,2</w:t>
      </w:r>
      <w:r w:rsidR="00700278">
        <w:rPr>
          <w:rFonts w:ascii="Times New Roman" w:hAnsi="Times New Roman" w:cs="Times New Roman"/>
          <w:sz w:val="28"/>
          <w:szCs w:val="28"/>
        </w:rPr>
        <w:t>% (2020 г. – 85,5</w:t>
      </w:r>
      <w:r w:rsidRPr="004572DB">
        <w:rPr>
          <w:rFonts w:ascii="Times New Roman" w:hAnsi="Times New Roman" w:cs="Times New Roman"/>
          <w:sz w:val="28"/>
          <w:szCs w:val="28"/>
        </w:rPr>
        <w:t>%</w:t>
      </w:r>
      <w:r w:rsidR="00700278">
        <w:rPr>
          <w:rFonts w:ascii="Times New Roman" w:hAnsi="Times New Roman" w:cs="Times New Roman"/>
          <w:sz w:val="28"/>
          <w:szCs w:val="28"/>
        </w:rPr>
        <w:t xml:space="preserve">; </w:t>
      </w:r>
      <w:r w:rsidR="001B7BF2">
        <w:rPr>
          <w:rFonts w:ascii="Times New Roman" w:hAnsi="Times New Roman" w:cs="Times New Roman"/>
          <w:sz w:val="28"/>
          <w:szCs w:val="28"/>
        </w:rPr>
        <w:br/>
      </w:r>
      <w:r w:rsidR="00700278">
        <w:rPr>
          <w:rFonts w:ascii="Times New Roman" w:hAnsi="Times New Roman" w:cs="Times New Roman"/>
          <w:sz w:val="28"/>
          <w:szCs w:val="28"/>
        </w:rPr>
        <w:t>2019 г. – 88,0</w:t>
      </w:r>
      <w:r w:rsidRPr="004572DB">
        <w:rPr>
          <w:rFonts w:ascii="Times New Roman" w:hAnsi="Times New Roman" w:cs="Times New Roman"/>
          <w:sz w:val="28"/>
          <w:szCs w:val="28"/>
        </w:rPr>
        <w:t>%).</w:t>
      </w:r>
    </w:p>
    <w:p w14:paraId="7102AD27" w14:textId="77777777" w:rsidR="004572DB" w:rsidRPr="004572DB" w:rsidRDefault="004572DB" w:rsidP="004572DB">
      <w:pPr>
        <w:spacing w:after="0" w:line="312" w:lineRule="auto"/>
        <w:ind w:firstLine="709"/>
        <w:jc w:val="both"/>
        <w:rPr>
          <w:rFonts w:ascii="Times New Roman" w:hAnsi="Times New Roman" w:cs="Times New Roman"/>
          <w:sz w:val="28"/>
          <w:szCs w:val="28"/>
        </w:rPr>
      </w:pPr>
      <w:r w:rsidRPr="004572DB">
        <w:rPr>
          <w:rFonts w:ascii="Times New Roman" w:hAnsi="Times New Roman" w:cs="Times New Roman"/>
          <w:sz w:val="28"/>
          <w:szCs w:val="28"/>
        </w:rPr>
        <w:t>В 2021 г</w:t>
      </w:r>
      <w:r w:rsidR="00BC0037">
        <w:rPr>
          <w:rFonts w:ascii="Times New Roman" w:hAnsi="Times New Roman" w:cs="Times New Roman"/>
          <w:sz w:val="28"/>
          <w:szCs w:val="28"/>
        </w:rPr>
        <w:t>.</w:t>
      </w:r>
      <w:r w:rsidRPr="004572DB">
        <w:rPr>
          <w:rFonts w:ascii="Times New Roman" w:hAnsi="Times New Roman" w:cs="Times New Roman"/>
          <w:sz w:val="28"/>
          <w:szCs w:val="28"/>
        </w:rPr>
        <w:t xml:space="preserve"> сохранилась тенденция снижения частоты болезней системы кровообращения у бе</w:t>
      </w:r>
      <w:r w:rsidR="00700278">
        <w:rPr>
          <w:rFonts w:ascii="Times New Roman" w:hAnsi="Times New Roman" w:cs="Times New Roman"/>
          <w:sz w:val="28"/>
          <w:szCs w:val="28"/>
        </w:rPr>
        <w:t>ременных женщин (2021 г. – 6,19</w:t>
      </w:r>
      <w:r w:rsidRPr="004572DB">
        <w:rPr>
          <w:rFonts w:ascii="Times New Roman" w:hAnsi="Times New Roman" w:cs="Times New Roman"/>
          <w:sz w:val="28"/>
          <w:szCs w:val="28"/>
        </w:rPr>
        <w:t>%</w:t>
      </w:r>
      <w:r w:rsidR="00700278">
        <w:rPr>
          <w:rFonts w:ascii="Times New Roman" w:hAnsi="Times New Roman" w:cs="Times New Roman"/>
          <w:sz w:val="28"/>
          <w:szCs w:val="28"/>
        </w:rPr>
        <w:t>; 2020 г. – 6,64</w:t>
      </w:r>
      <w:r w:rsidRPr="004572DB">
        <w:rPr>
          <w:rFonts w:ascii="Times New Roman" w:hAnsi="Times New Roman" w:cs="Times New Roman"/>
          <w:sz w:val="28"/>
          <w:szCs w:val="28"/>
        </w:rPr>
        <w:t>%</w:t>
      </w:r>
      <w:r w:rsidR="00700278">
        <w:rPr>
          <w:rFonts w:ascii="Times New Roman" w:hAnsi="Times New Roman" w:cs="Times New Roman"/>
          <w:sz w:val="28"/>
          <w:szCs w:val="28"/>
        </w:rPr>
        <w:t xml:space="preserve">; </w:t>
      </w:r>
      <w:r w:rsidR="003005F8">
        <w:rPr>
          <w:rFonts w:ascii="Times New Roman" w:hAnsi="Times New Roman" w:cs="Times New Roman"/>
          <w:sz w:val="28"/>
          <w:szCs w:val="28"/>
        </w:rPr>
        <w:br/>
      </w:r>
      <w:r w:rsidR="00700278">
        <w:rPr>
          <w:rFonts w:ascii="Times New Roman" w:hAnsi="Times New Roman" w:cs="Times New Roman"/>
          <w:sz w:val="28"/>
          <w:szCs w:val="28"/>
        </w:rPr>
        <w:t>2019 г. – 7,38</w:t>
      </w:r>
      <w:r w:rsidRPr="004572DB">
        <w:rPr>
          <w:rFonts w:ascii="Times New Roman" w:hAnsi="Times New Roman" w:cs="Times New Roman"/>
          <w:sz w:val="28"/>
          <w:szCs w:val="28"/>
        </w:rPr>
        <w:t>%).</w:t>
      </w:r>
    </w:p>
    <w:p w14:paraId="0EB99460" w14:textId="2CAA0E87" w:rsidR="004572DB" w:rsidRPr="004572DB" w:rsidRDefault="004572DB" w:rsidP="004572DB">
      <w:pPr>
        <w:spacing w:after="0" w:line="312" w:lineRule="auto"/>
        <w:ind w:firstLine="709"/>
        <w:jc w:val="both"/>
        <w:rPr>
          <w:rFonts w:ascii="Times New Roman" w:hAnsi="Times New Roman" w:cs="Times New Roman"/>
          <w:sz w:val="28"/>
          <w:szCs w:val="28"/>
        </w:rPr>
      </w:pPr>
      <w:r w:rsidRPr="009B35AC">
        <w:rPr>
          <w:rFonts w:ascii="Times New Roman" w:hAnsi="Times New Roman" w:cs="Times New Roman"/>
          <w:sz w:val="28"/>
          <w:szCs w:val="28"/>
        </w:rPr>
        <w:t>Уменьшилась частота нарушений родовой деятельности (2021 г. – 68,1 на 1 000 родов</w:t>
      </w:r>
      <w:r w:rsidR="00700278" w:rsidRPr="009B35AC">
        <w:rPr>
          <w:rFonts w:ascii="Times New Roman" w:hAnsi="Times New Roman" w:cs="Times New Roman"/>
          <w:sz w:val="28"/>
          <w:szCs w:val="28"/>
        </w:rPr>
        <w:t>;</w:t>
      </w:r>
      <w:r w:rsidRPr="009B35AC">
        <w:rPr>
          <w:rFonts w:ascii="Times New Roman" w:hAnsi="Times New Roman" w:cs="Times New Roman"/>
          <w:sz w:val="28"/>
          <w:szCs w:val="28"/>
        </w:rPr>
        <w:t xml:space="preserve"> 2020 г. – 76,0 на 1 000 родов, 2019 г. – 77,2 на 1 000 родов), кровотечений в связи с нарушением сверт</w:t>
      </w:r>
      <w:r w:rsidR="005B3A4F" w:rsidRPr="009B35AC">
        <w:rPr>
          <w:rFonts w:ascii="Times New Roman" w:hAnsi="Times New Roman" w:cs="Times New Roman"/>
          <w:sz w:val="28"/>
          <w:szCs w:val="28"/>
        </w:rPr>
        <w:t>ываемости крови (2021 г</w:t>
      </w:r>
      <w:r w:rsidR="009B35AC" w:rsidRPr="009B35AC">
        <w:rPr>
          <w:rFonts w:ascii="Times New Roman" w:hAnsi="Times New Roman" w:cs="Times New Roman"/>
          <w:sz w:val="28"/>
          <w:szCs w:val="28"/>
        </w:rPr>
        <w:t>.</w:t>
      </w:r>
      <w:r w:rsidR="005B3A4F" w:rsidRPr="009B35AC">
        <w:rPr>
          <w:rFonts w:ascii="Times New Roman" w:hAnsi="Times New Roman" w:cs="Times New Roman"/>
          <w:sz w:val="28"/>
          <w:szCs w:val="28"/>
        </w:rPr>
        <w:t xml:space="preserve"> – 0,47 </w:t>
      </w:r>
      <w:r w:rsidRPr="009B35AC">
        <w:rPr>
          <w:rFonts w:ascii="Times New Roman" w:hAnsi="Times New Roman" w:cs="Times New Roman"/>
          <w:sz w:val="28"/>
          <w:szCs w:val="28"/>
        </w:rPr>
        <w:t>на 1 000 родов</w:t>
      </w:r>
      <w:r w:rsidR="003005F8">
        <w:rPr>
          <w:rFonts w:ascii="Times New Roman" w:hAnsi="Times New Roman" w:cs="Times New Roman"/>
          <w:sz w:val="28"/>
          <w:szCs w:val="28"/>
        </w:rPr>
        <w:t>;</w:t>
      </w:r>
      <w:r w:rsidRPr="009B35AC">
        <w:rPr>
          <w:rFonts w:ascii="Times New Roman" w:hAnsi="Times New Roman" w:cs="Times New Roman"/>
          <w:sz w:val="28"/>
          <w:szCs w:val="28"/>
        </w:rPr>
        <w:t xml:space="preserve"> </w:t>
      </w:r>
      <w:r w:rsidR="001B7BF2">
        <w:rPr>
          <w:rFonts w:ascii="Times New Roman" w:hAnsi="Times New Roman" w:cs="Times New Roman"/>
          <w:sz w:val="28"/>
          <w:szCs w:val="28"/>
        </w:rPr>
        <w:br/>
      </w:r>
      <w:r w:rsidRPr="009B35AC">
        <w:rPr>
          <w:rFonts w:ascii="Times New Roman" w:hAnsi="Times New Roman" w:cs="Times New Roman"/>
          <w:sz w:val="28"/>
          <w:szCs w:val="28"/>
        </w:rPr>
        <w:t>2020 г. – 0,42 на 1 000 родов</w:t>
      </w:r>
      <w:r w:rsidR="00700278" w:rsidRPr="009B35AC">
        <w:rPr>
          <w:rFonts w:ascii="Times New Roman" w:hAnsi="Times New Roman" w:cs="Times New Roman"/>
          <w:sz w:val="28"/>
          <w:szCs w:val="28"/>
        </w:rPr>
        <w:t>; 2019 г. – 0,52</w:t>
      </w:r>
      <w:r w:rsidRPr="009B35AC">
        <w:rPr>
          <w:rFonts w:ascii="Times New Roman" w:hAnsi="Times New Roman" w:cs="Times New Roman"/>
          <w:sz w:val="28"/>
          <w:szCs w:val="28"/>
        </w:rPr>
        <w:t xml:space="preserve"> на 1 000 родов).</w:t>
      </w:r>
    </w:p>
    <w:p w14:paraId="007DED3D" w14:textId="77777777" w:rsidR="004572DB" w:rsidRPr="004572DB" w:rsidRDefault="004572DB" w:rsidP="004572DB">
      <w:pPr>
        <w:spacing w:after="0" w:line="312" w:lineRule="auto"/>
        <w:ind w:firstLine="709"/>
        <w:jc w:val="both"/>
        <w:rPr>
          <w:rFonts w:ascii="Times New Roman" w:hAnsi="Times New Roman" w:cs="Times New Roman"/>
          <w:sz w:val="28"/>
          <w:szCs w:val="28"/>
        </w:rPr>
      </w:pPr>
      <w:r w:rsidRPr="004572DB">
        <w:rPr>
          <w:rFonts w:ascii="Times New Roman" w:hAnsi="Times New Roman" w:cs="Times New Roman"/>
          <w:sz w:val="28"/>
          <w:szCs w:val="28"/>
        </w:rPr>
        <w:t>Доля нормальных р</w:t>
      </w:r>
      <w:r w:rsidR="00700278">
        <w:rPr>
          <w:rFonts w:ascii="Times New Roman" w:hAnsi="Times New Roman" w:cs="Times New Roman"/>
          <w:sz w:val="28"/>
          <w:szCs w:val="28"/>
        </w:rPr>
        <w:t>одов в 2021 г</w:t>
      </w:r>
      <w:r w:rsidR="00CA6E0A">
        <w:rPr>
          <w:rFonts w:ascii="Times New Roman" w:hAnsi="Times New Roman" w:cs="Times New Roman"/>
          <w:sz w:val="28"/>
          <w:szCs w:val="28"/>
        </w:rPr>
        <w:t>.</w:t>
      </w:r>
      <w:r w:rsidR="00700278">
        <w:rPr>
          <w:rFonts w:ascii="Times New Roman" w:hAnsi="Times New Roman" w:cs="Times New Roman"/>
          <w:sz w:val="28"/>
          <w:szCs w:val="28"/>
        </w:rPr>
        <w:t xml:space="preserve"> составила 35,3</w:t>
      </w:r>
      <w:r w:rsidRPr="004572DB">
        <w:rPr>
          <w:rFonts w:ascii="Times New Roman" w:hAnsi="Times New Roman" w:cs="Times New Roman"/>
          <w:sz w:val="28"/>
          <w:szCs w:val="28"/>
        </w:rPr>
        <w:t>% от общ</w:t>
      </w:r>
      <w:r w:rsidR="00700278">
        <w:rPr>
          <w:rFonts w:ascii="Times New Roman" w:hAnsi="Times New Roman" w:cs="Times New Roman"/>
          <w:sz w:val="28"/>
          <w:szCs w:val="28"/>
        </w:rPr>
        <w:t>его числа родов (2020 г. – 35,9%; 2019 г. – 36,0</w:t>
      </w:r>
      <w:r w:rsidRPr="004572DB">
        <w:rPr>
          <w:rFonts w:ascii="Times New Roman" w:hAnsi="Times New Roman" w:cs="Times New Roman"/>
          <w:sz w:val="28"/>
          <w:szCs w:val="28"/>
        </w:rPr>
        <w:t>%).</w:t>
      </w:r>
    </w:p>
    <w:p w14:paraId="7A02DFC6" w14:textId="12FC0D5D" w:rsidR="004572DB" w:rsidRPr="004572DB" w:rsidRDefault="004572DB" w:rsidP="004572DB">
      <w:pPr>
        <w:spacing w:after="0" w:line="312" w:lineRule="auto"/>
        <w:ind w:firstLine="709"/>
        <w:jc w:val="both"/>
        <w:rPr>
          <w:rFonts w:ascii="Times New Roman" w:hAnsi="Times New Roman" w:cs="Times New Roman"/>
          <w:sz w:val="28"/>
          <w:szCs w:val="28"/>
        </w:rPr>
      </w:pPr>
      <w:r w:rsidRPr="004572DB">
        <w:rPr>
          <w:rFonts w:ascii="Times New Roman" w:hAnsi="Times New Roman" w:cs="Times New Roman"/>
          <w:sz w:val="28"/>
          <w:szCs w:val="28"/>
        </w:rPr>
        <w:t>Вместе с тем сохран</w:t>
      </w:r>
      <w:r w:rsidR="001A1A95">
        <w:rPr>
          <w:rFonts w:ascii="Times New Roman" w:hAnsi="Times New Roman" w:cs="Times New Roman"/>
          <w:sz w:val="28"/>
          <w:szCs w:val="28"/>
        </w:rPr>
        <w:t>яется</w:t>
      </w:r>
      <w:r w:rsidRPr="004572DB">
        <w:rPr>
          <w:rFonts w:ascii="Times New Roman" w:hAnsi="Times New Roman" w:cs="Times New Roman"/>
          <w:sz w:val="28"/>
          <w:szCs w:val="28"/>
        </w:rPr>
        <w:t xml:space="preserve"> рост заболеваемости беременных женщин са</w:t>
      </w:r>
      <w:r w:rsidR="00700278">
        <w:rPr>
          <w:rFonts w:ascii="Times New Roman" w:hAnsi="Times New Roman" w:cs="Times New Roman"/>
          <w:sz w:val="28"/>
          <w:szCs w:val="28"/>
        </w:rPr>
        <w:t>харным диабетом (</w:t>
      </w:r>
      <w:r w:rsidR="001A1A95">
        <w:rPr>
          <w:rFonts w:ascii="Times New Roman" w:hAnsi="Times New Roman" w:cs="Times New Roman"/>
          <w:sz w:val="28"/>
          <w:szCs w:val="28"/>
        </w:rPr>
        <w:t xml:space="preserve">число случаев в 2021 г. составило 116 330, в 2020 г. – 103 680, </w:t>
      </w:r>
      <w:r w:rsidR="001B7BF2">
        <w:rPr>
          <w:rFonts w:ascii="Times New Roman" w:hAnsi="Times New Roman" w:cs="Times New Roman"/>
          <w:sz w:val="28"/>
          <w:szCs w:val="28"/>
        </w:rPr>
        <w:br/>
      </w:r>
      <w:r w:rsidR="001A1A95">
        <w:rPr>
          <w:rFonts w:ascii="Times New Roman" w:hAnsi="Times New Roman" w:cs="Times New Roman"/>
          <w:sz w:val="28"/>
          <w:szCs w:val="28"/>
        </w:rPr>
        <w:t>в 2019 г. – 99 457; доля беременных с сахарным диабетом, предшествовавшим или возникшим во время беременности, из всех беременных, закончивших беременность в отчетном году, составила 9,01%, 7,75% и 7,21%, соответственно), болезнями эндокринной системы (число случаев в 2021 г. составило 131 424, в 2020 г. – 127 337, в 2019 г. – 128 159, доля беременных с болезнями эндокринной системы, предшествовавшими или возникшими во время беременности, из всех беременных, закончивших беременности в отчетном году, составила 10,18%, 9,54% и 9,29%, соответственно).</w:t>
      </w:r>
    </w:p>
    <w:p w14:paraId="5B4FABFC" w14:textId="19BA1967" w:rsidR="004572DB" w:rsidRPr="004572DB" w:rsidRDefault="004572DB" w:rsidP="004572DB">
      <w:pPr>
        <w:spacing w:after="0" w:line="312" w:lineRule="auto"/>
        <w:ind w:firstLine="709"/>
        <w:jc w:val="both"/>
        <w:rPr>
          <w:rFonts w:ascii="Times New Roman" w:hAnsi="Times New Roman" w:cs="Times New Roman"/>
          <w:sz w:val="28"/>
          <w:szCs w:val="28"/>
        </w:rPr>
      </w:pPr>
      <w:r w:rsidRPr="004572DB">
        <w:rPr>
          <w:rFonts w:ascii="Times New Roman" w:hAnsi="Times New Roman" w:cs="Times New Roman"/>
          <w:sz w:val="28"/>
          <w:szCs w:val="28"/>
        </w:rPr>
        <w:t>В рамках реализации части 4 статьи 5 Фе</w:t>
      </w:r>
      <w:r w:rsidR="005B3A4F">
        <w:rPr>
          <w:rFonts w:ascii="Times New Roman" w:hAnsi="Times New Roman" w:cs="Times New Roman"/>
          <w:sz w:val="28"/>
          <w:szCs w:val="28"/>
        </w:rPr>
        <w:t xml:space="preserve">дерального закона </w:t>
      </w:r>
      <w:r w:rsidR="0021328C">
        <w:rPr>
          <w:rFonts w:ascii="Times New Roman" w:hAnsi="Times New Roman" w:cs="Times New Roman"/>
          <w:sz w:val="28"/>
          <w:szCs w:val="28"/>
        </w:rPr>
        <w:t xml:space="preserve">от </w:t>
      </w:r>
      <w:r w:rsidRPr="004572DB">
        <w:rPr>
          <w:rFonts w:ascii="Times New Roman" w:hAnsi="Times New Roman" w:cs="Times New Roman"/>
          <w:sz w:val="28"/>
          <w:szCs w:val="28"/>
        </w:rPr>
        <w:t>2</w:t>
      </w:r>
      <w:r w:rsidR="0021328C">
        <w:rPr>
          <w:rFonts w:ascii="Times New Roman" w:hAnsi="Times New Roman" w:cs="Times New Roman"/>
          <w:sz w:val="28"/>
          <w:szCs w:val="28"/>
        </w:rPr>
        <w:t xml:space="preserve"> декабря </w:t>
      </w:r>
      <w:r w:rsidR="009B35AC">
        <w:rPr>
          <w:rFonts w:ascii="Times New Roman" w:hAnsi="Times New Roman" w:cs="Times New Roman"/>
          <w:sz w:val="28"/>
          <w:szCs w:val="28"/>
        </w:rPr>
        <w:br/>
      </w:r>
      <w:r w:rsidRPr="004572DB">
        <w:rPr>
          <w:rFonts w:ascii="Times New Roman" w:hAnsi="Times New Roman" w:cs="Times New Roman"/>
          <w:sz w:val="28"/>
          <w:szCs w:val="28"/>
        </w:rPr>
        <w:t>2019</w:t>
      </w:r>
      <w:r w:rsidR="0021328C">
        <w:rPr>
          <w:rFonts w:ascii="Times New Roman" w:hAnsi="Times New Roman" w:cs="Times New Roman"/>
          <w:sz w:val="28"/>
          <w:szCs w:val="28"/>
        </w:rPr>
        <w:t xml:space="preserve"> г.</w:t>
      </w:r>
      <w:r w:rsidRPr="004572DB">
        <w:rPr>
          <w:rFonts w:ascii="Times New Roman" w:hAnsi="Times New Roman" w:cs="Times New Roman"/>
          <w:sz w:val="28"/>
          <w:szCs w:val="28"/>
        </w:rPr>
        <w:t xml:space="preserve"> № 384-ФЗ «О бюджете Фонда социального страхования Российской Федерации на 2020 год и на плановый период 2021 и 2022 годов» ФСС осуществлялись функции по оплате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(далее </w:t>
      </w:r>
      <w:r w:rsidR="009B35AC">
        <w:rPr>
          <w:rFonts w:ascii="Times New Roman" w:hAnsi="Times New Roman" w:cs="Times New Roman"/>
          <w:sz w:val="28"/>
          <w:szCs w:val="28"/>
        </w:rPr>
        <w:t xml:space="preserve">по тексту </w:t>
      </w:r>
      <w:r w:rsidR="009B35AC">
        <w:rPr>
          <w:rFonts w:ascii="Times New Roman" w:hAnsi="Times New Roman" w:cs="Times New Roman"/>
          <w:sz w:val="28"/>
          <w:szCs w:val="28"/>
        </w:rPr>
        <w:br/>
        <w:t xml:space="preserve">раздела </w:t>
      </w:r>
      <w:r w:rsidRPr="004572DB">
        <w:rPr>
          <w:rFonts w:ascii="Times New Roman" w:hAnsi="Times New Roman" w:cs="Times New Roman"/>
          <w:sz w:val="28"/>
          <w:szCs w:val="28"/>
        </w:rPr>
        <w:t>– медицинские организации), услуг, оказанных женщинам в период беременности (услуг по оказанию медицинской помощи и по оказанию правовой, психологической и медико-социальной помощи), и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в соответствии с порядком и условиями, установленными постановлением Правительства Российской Федерации от 31</w:t>
      </w:r>
      <w:r w:rsidR="0021328C">
        <w:rPr>
          <w:rFonts w:ascii="Times New Roman" w:hAnsi="Times New Roman" w:cs="Times New Roman"/>
          <w:sz w:val="28"/>
          <w:szCs w:val="28"/>
        </w:rPr>
        <w:t xml:space="preserve"> декабря </w:t>
      </w:r>
      <w:r w:rsidRPr="004572DB">
        <w:rPr>
          <w:rFonts w:ascii="Times New Roman" w:hAnsi="Times New Roman" w:cs="Times New Roman"/>
          <w:sz w:val="28"/>
          <w:szCs w:val="28"/>
        </w:rPr>
        <w:t>2010</w:t>
      </w:r>
      <w:r w:rsidR="0021328C">
        <w:rPr>
          <w:rFonts w:ascii="Times New Roman" w:hAnsi="Times New Roman" w:cs="Times New Roman"/>
          <w:sz w:val="28"/>
          <w:szCs w:val="28"/>
        </w:rPr>
        <w:t xml:space="preserve"> г.</w:t>
      </w:r>
      <w:r w:rsidRPr="004572DB">
        <w:rPr>
          <w:rFonts w:ascii="Times New Roman" w:hAnsi="Times New Roman" w:cs="Times New Roman"/>
          <w:sz w:val="28"/>
          <w:szCs w:val="28"/>
        </w:rPr>
        <w:t xml:space="preserve"> № 1233 «О порядке финансового обеспечения расходов на оплату медицинским организациям услуг, оказанных женщинам в период беременности (услуг по оказанию медицинской помощи и по оказанию правовой, психологической и медико-социальной помощи), услуг по медицинской помощи, оказанной женщинам и новорожденным в период родов и в послеродовый период, а также услуг по проведению профилактических медицинских осмотров ребенка в течение первого года жизни» (далее – постановление Правительства </w:t>
      </w:r>
      <w:r w:rsidR="001B7BF2">
        <w:rPr>
          <w:rFonts w:ascii="Times New Roman" w:hAnsi="Times New Roman" w:cs="Times New Roman"/>
          <w:sz w:val="28"/>
          <w:szCs w:val="28"/>
        </w:rPr>
        <w:t xml:space="preserve">Российской Федерации </w:t>
      </w:r>
      <w:r w:rsidR="009B35AC">
        <w:rPr>
          <w:rFonts w:ascii="Times New Roman" w:hAnsi="Times New Roman" w:cs="Times New Roman"/>
          <w:sz w:val="28"/>
          <w:szCs w:val="28"/>
        </w:rPr>
        <w:t xml:space="preserve">от 31 декабря 2010 г. </w:t>
      </w:r>
      <w:r w:rsidRPr="004572DB">
        <w:rPr>
          <w:rFonts w:ascii="Times New Roman" w:hAnsi="Times New Roman" w:cs="Times New Roman"/>
          <w:sz w:val="28"/>
          <w:szCs w:val="28"/>
        </w:rPr>
        <w:t>№ 1233</w:t>
      </w:r>
      <w:r w:rsidR="0021328C">
        <w:rPr>
          <w:rFonts w:ascii="Times New Roman" w:hAnsi="Times New Roman" w:cs="Times New Roman"/>
          <w:sz w:val="28"/>
          <w:szCs w:val="28"/>
        </w:rPr>
        <w:t>)</w:t>
      </w:r>
      <w:r w:rsidRPr="004572DB">
        <w:rPr>
          <w:rFonts w:ascii="Times New Roman" w:hAnsi="Times New Roman" w:cs="Times New Roman"/>
          <w:sz w:val="28"/>
          <w:szCs w:val="28"/>
        </w:rPr>
        <w:t xml:space="preserve"> и прика</w:t>
      </w:r>
      <w:r>
        <w:rPr>
          <w:rFonts w:ascii="Times New Roman" w:hAnsi="Times New Roman" w:cs="Times New Roman"/>
          <w:sz w:val="28"/>
          <w:szCs w:val="28"/>
        </w:rPr>
        <w:t xml:space="preserve">зом Минздрава России </w:t>
      </w:r>
      <w:r w:rsidRPr="004572DB">
        <w:rPr>
          <w:rFonts w:ascii="Times New Roman" w:hAnsi="Times New Roman" w:cs="Times New Roman"/>
          <w:sz w:val="28"/>
          <w:szCs w:val="28"/>
        </w:rPr>
        <w:t>от 16</w:t>
      </w:r>
      <w:r w:rsidR="0021328C">
        <w:rPr>
          <w:rFonts w:ascii="Times New Roman" w:hAnsi="Times New Roman" w:cs="Times New Roman"/>
          <w:sz w:val="28"/>
          <w:szCs w:val="28"/>
        </w:rPr>
        <w:t xml:space="preserve"> июля </w:t>
      </w:r>
      <w:r w:rsidRPr="004572DB">
        <w:rPr>
          <w:rFonts w:ascii="Times New Roman" w:hAnsi="Times New Roman" w:cs="Times New Roman"/>
          <w:sz w:val="28"/>
          <w:szCs w:val="28"/>
        </w:rPr>
        <w:t>2014</w:t>
      </w:r>
      <w:r w:rsidR="0021328C">
        <w:rPr>
          <w:rFonts w:ascii="Times New Roman" w:hAnsi="Times New Roman" w:cs="Times New Roman"/>
          <w:sz w:val="28"/>
          <w:szCs w:val="28"/>
        </w:rPr>
        <w:t xml:space="preserve"> г.</w:t>
      </w:r>
      <w:r w:rsidRPr="004572DB">
        <w:rPr>
          <w:rFonts w:ascii="Times New Roman" w:hAnsi="Times New Roman" w:cs="Times New Roman"/>
          <w:sz w:val="28"/>
          <w:szCs w:val="28"/>
        </w:rPr>
        <w:t xml:space="preserve"> № 370н «Об утверждении порядка и условий оплаты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w:t>
      </w:r>
      <w:r>
        <w:rPr>
          <w:rFonts w:ascii="Times New Roman" w:hAnsi="Times New Roman" w:cs="Times New Roman"/>
          <w:sz w:val="28"/>
          <w:szCs w:val="28"/>
        </w:rPr>
        <w:t xml:space="preserve">ка </w:t>
      </w:r>
      <w:r w:rsidRPr="004572DB">
        <w:rPr>
          <w:rFonts w:ascii="Times New Roman" w:hAnsi="Times New Roman" w:cs="Times New Roman"/>
          <w:sz w:val="28"/>
          <w:szCs w:val="28"/>
        </w:rPr>
        <w:t>в течение первого года жизни».</w:t>
      </w:r>
    </w:p>
    <w:p w14:paraId="1A85CE12" w14:textId="77777777" w:rsidR="004572DB" w:rsidRPr="004572DB" w:rsidRDefault="004572DB" w:rsidP="004572DB">
      <w:pPr>
        <w:spacing w:after="0" w:line="312" w:lineRule="auto"/>
        <w:ind w:firstLine="709"/>
        <w:jc w:val="both"/>
        <w:rPr>
          <w:rFonts w:ascii="Times New Roman" w:hAnsi="Times New Roman" w:cs="Times New Roman"/>
          <w:sz w:val="28"/>
          <w:szCs w:val="28"/>
        </w:rPr>
      </w:pPr>
      <w:r w:rsidRPr="004572DB">
        <w:rPr>
          <w:rFonts w:ascii="Times New Roman" w:hAnsi="Times New Roman" w:cs="Times New Roman"/>
          <w:sz w:val="28"/>
          <w:szCs w:val="28"/>
        </w:rPr>
        <w:t xml:space="preserve">В соответствии с постановлением Правительства </w:t>
      </w:r>
      <w:r w:rsidR="009B35AC">
        <w:rPr>
          <w:rFonts w:ascii="Times New Roman" w:hAnsi="Times New Roman" w:cs="Times New Roman"/>
          <w:sz w:val="28"/>
          <w:szCs w:val="28"/>
        </w:rPr>
        <w:t xml:space="preserve">Российской Федерации </w:t>
      </w:r>
      <w:r w:rsidR="009B35AC">
        <w:rPr>
          <w:rFonts w:ascii="Times New Roman" w:hAnsi="Times New Roman" w:cs="Times New Roman"/>
          <w:sz w:val="28"/>
          <w:szCs w:val="28"/>
        </w:rPr>
        <w:br/>
        <w:t xml:space="preserve">от 31 декабря 2010 г. </w:t>
      </w:r>
      <w:r w:rsidRPr="004572DB">
        <w:rPr>
          <w:rFonts w:ascii="Times New Roman" w:hAnsi="Times New Roman" w:cs="Times New Roman"/>
          <w:sz w:val="28"/>
          <w:szCs w:val="28"/>
        </w:rPr>
        <w:t xml:space="preserve">№ 1233 указанные средства направлялись медицинскими организациями на оплату труда медицинских работников, юристов, медицинских психологов (психологов) и специалистов по социальной работе, а также на приобретение медицинского оборудования, инструментария, мягкого инвентаря, изделий медицинского назначения, медикаментов и дополнительного питания для беременных и кормящих женщин. </w:t>
      </w:r>
    </w:p>
    <w:p w14:paraId="1A3F551E" w14:textId="77777777" w:rsidR="004572DB" w:rsidRPr="004572DB" w:rsidRDefault="004572DB" w:rsidP="004572DB">
      <w:pPr>
        <w:spacing w:after="0" w:line="312" w:lineRule="auto"/>
        <w:ind w:firstLine="709"/>
        <w:jc w:val="both"/>
        <w:rPr>
          <w:rFonts w:ascii="Times New Roman" w:hAnsi="Times New Roman" w:cs="Times New Roman"/>
          <w:sz w:val="28"/>
          <w:szCs w:val="28"/>
        </w:rPr>
      </w:pPr>
      <w:r w:rsidRPr="004572DB">
        <w:rPr>
          <w:rFonts w:ascii="Times New Roman" w:hAnsi="Times New Roman" w:cs="Times New Roman"/>
          <w:sz w:val="28"/>
          <w:szCs w:val="28"/>
        </w:rPr>
        <w:t>В отчетном периоде оказаны услуги по медицинской помощи женщинам, новорожденным и детя</w:t>
      </w:r>
      <w:r w:rsidR="009B35AC">
        <w:rPr>
          <w:rFonts w:ascii="Times New Roman" w:hAnsi="Times New Roman" w:cs="Times New Roman"/>
          <w:sz w:val="28"/>
          <w:szCs w:val="28"/>
        </w:rPr>
        <w:t xml:space="preserve">м в течение первого года жизни </w:t>
      </w:r>
      <w:r w:rsidRPr="004572DB">
        <w:rPr>
          <w:rFonts w:ascii="Times New Roman" w:hAnsi="Times New Roman" w:cs="Times New Roman"/>
          <w:sz w:val="28"/>
          <w:szCs w:val="28"/>
        </w:rPr>
        <w:t>на основании талонов родовых сертификатов:</w:t>
      </w:r>
    </w:p>
    <w:p w14:paraId="0AB12BCE" w14:textId="77777777" w:rsidR="004572DB" w:rsidRPr="004572DB" w:rsidRDefault="004572DB" w:rsidP="004572DB">
      <w:pPr>
        <w:spacing w:after="0" w:line="312" w:lineRule="auto"/>
        <w:ind w:firstLine="709"/>
        <w:jc w:val="both"/>
        <w:rPr>
          <w:rFonts w:ascii="Times New Roman" w:hAnsi="Times New Roman" w:cs="Times New Roman"/>
          <w:sz w:val="28"/>
          <w:szCs w:val="28"/>
        </w:rPr>
      </w:pPr>
      <w:r w:rsidRPr="004572DB">
        <w:rPr>
          <w:rFonts w:ascii="Times New Roman" w:hAnsi="Times New Roman" w:cs="Times New Roman"/>
          <w:sz w:val="28"/>
          <w:szCs w:val="28"/>
        </w:rPr>
        <w:t>- в амбулаторных условиях в период беременности (женские консультации и прочие) – 1202, 0 тыс. женщин;</w:t>
      </w:r>
    </w:p>
    <w:p w14:paraId="49EA3163" w14:textId="77777777" w:rsidR="004572DB" w:rsidRPr="004572DB" w:rsidRDefault="004572DB" w:rsidP="004572DB">
      <w:pPr>
        <w:spacing w:after="0" w:line="312" w:lineRule="auto"/>
        <w:ind w:firstLine="709"/>
        <w:jc w:val="both"/>
        <w:rPr>
          <w:rFonts w:ascii="Times New Roman" w:hAnsi="Times New Roman" w:cs="Times New Roman"/>
          <w:sz w:val="28"/>
          <w:szCs w:val="28"/>
        </w:rPr>
      </w:pPr>
      <w:r w:rsidRPr="004572DB">
        <w:rPr>
          <w:rFonts w:ascii="Times New Roman" w:hAnsi="Times New Roman" w:cs="Times New Roman"/>
          <w:sz w:val="28"/>
          <w:szCs w:val="28"/>
        </w:rPr>
        <w:t>- в стационарных условиях в период родов и в послеродовой период (родильные дома, перинатальные центры и т.п.) – 1273,0 тыс. женщин;</w:t>
      </w:r>
    </w:p>
    <w:p w14:paraId="38757B9B" w14:textId="77777777" w:rsidR="004572DB" w:rsidRPr="004572DB" w:rsidRDefault="004572DB" w:rsidP="004572DB">
      <w:pPr>
        <w:spacing w:after="0" w:line="312" w:lineRule="auto"/>
        <w:ind w:firstLine="709"/>
        <w:jc w:val="both"/>
        <w:rPr>
          <w:rFonts w:ascii="Times New Roman" w:hAnsi="Times New Roman" w:cs="Times New Roman"/>
          <w:sz w:val="28"/>
          <w:szCs w:val="28"/>
        </w:rPr>
      </w:pPr>
      <w:r w:rsidRPr="004572DB">
        <w:rPr>
          <w:rFonts w:ascii="Times New Roman" w:hAnsi="Times New Roman" w:cs="Times New Roman"/>
          <w:sz w:val="28"/>
          <w:szCs w:val="28"/>
        </w:rPr>
        <w:t xml:space="preserve">- по проведению профилактических медицинских осмотров ребенка </w:t>
      </w:r>
      <w:r w:rsidRPr="004572DB">
        <w:rPr>
          <w:rFonts w:ascii="Times New Roman" w:hAnsi="Times New Roman" w:cs="Times New Roman"/>
          <w:sz w:val="28"/>
          <w:szCs w:val="28"/>
        </w:rPr>
        <w:br/>
        <w:t>в течение первого года жизни – 1 397,3 тыс. услуг.</w:t>
      </w:r>
    </w:p>
    <w:p w14:paraId="0E13BE95" w14:textId="136D3221" w:rsidR="004572DB" w:rsidRPr="004572DB" w:rsidRDefault="004572DB" w:rsidP="004572DB">
      <w:pPr>
        <w:spacing w:after="0" w:line="312" w:lineRule="auto"/>
        <w:ind w:firstLine="709"/>
        <w:jc w:val="both"/>
        <w:rPr>
          <w:rFonts w:ascii="Times New Roman" w:hAnsi="Times New Roman" w:cs="Times New Roman"/>
          <w:sz w:val="28"/>
          <w:szCs w:val="28"/>
        </w:rPr>
      </w:pPr>
      <w:r w:rsidRPr="004572DB">
        <w:rPr>
          <w:rFonts w:ascii="Times New Roman" w:hAnsi="Times New Roman" w:cs="Times New Roman"/>
          <w:sz w:val="28"/>
          <w:szCs w:val="28"/>
        </w:rPr>
        <w:t>Общий объем средств, предусмотренный на 2021 г</w:t>
      </w:r>
      <w:r w:rsidR="003F3900">
        <w:rPr>
          <w:rFonts w:ascii="Times New Roman" w:hAnsi="Times New Roman" w:cs="Times New Roman"/>
          <w:sz w:val="28"/>
          <w:szCs w:val="28"/>
        </w:rPr>
        <w:t>.</w:t>
      </w:r>
      <w:r w:rsidRPr="004572DB">
        <w:rPr>
          <w:rFonts w:ascii="Times New Roman" w:hAnsi="Times New Roman" w:cs="Times New Roman"/>
          <w:sz w:val="28"/>
          <w:szCs w:val="28"/>
        </w:rPr>
        <w:t xml:space="preserve"> на оплату медицинским организациям услуг, ока</w:t>
      </w:r>
      <w:r w:rsidR="009B35AC">
        <w:rPr>
          <w:rFonts w:ascii="Times New Roman" w:hAnsi="Times New Roman" w:cs="Times New Roman"/>
          <w:sz w:val="28"/>
          <w:szCs w:val="28"/>
        </w:rPr>
        <w:t xml:space="preserve">занных женщинам, новорожденным </w:t>
      </w:r>
      <w:r w:rsidRPr="004572DB">
        <w:rPr>
          <w:rFonts w:ascii="Times New Roman" w:hAnsi="Times New Roman" w:cs="Times New Roman"/>
          <w:sz w:val="28"/>
          <w:szCs w:val="28"/>
        </w:rPr>
        <w:t xml:space="preserve">и детям в течение первого года жизни на основании талонов родовых сертификатов, составлял </w:t>
      </w:r>
      <w:r w:rsidR="001B7BF2">
        <w:rPr>
          <w:rFonts w:ascii="Times New Roman" w:hAnsi="Times New Roman" w:cs="Times New Roman"/>
          <w:sz w:val="28"/>
          <w:szCs w:val="28"/>
        </w:rPr>
        <w:br/>
      </w:r>
      <w:r w:rsidRPr="004572DB">
        <w:rPr>
          <w:rFonts w:ascii="Times New Roman" w:hAnsi="Times New Roman" w:cs="Times New Roman"/>
          <w:sz w:val="28"/>
          <w:szCs w:val="28"/>
        </w:rPr>
        <w:t>13 325,9 млн рублей.</w:t>
      </w:r>
    </w:p>
    <w:p w14:paraId="2683025E" w14:textId="77777777" w:rsidR="00D03A4F" w:rsidRPr="00D03A4F" w:rsidRDefault="00D03A4F" w:rsidP="00F07FD0">
      <w:pPr>
        <w:spacing w:before="240" w:after="240"/>
        <w:ind w:firstLine="720"/>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Состояние здоровья детей</w:t>
      </w:r>
    </w:p>
    <w:p w14:paraId="0AFE9862" w14:textId="77777777" w:rsidR="00D03A4F" w:rsidRDefault="00D03A4F" w:rsidP="00D03A4F">
      <w:pPr>
        <w:spacing w:before="120" w:after="120"/>
        <w:ind w:firstLine="720"/>
        <w:jc w:val="center"/>
        <w:rPr>
          <w:rFonts w:ascii="Times New Roman" w:eastAsia="Calibri" w:hAnsi="Times New Roman" w:cs="Times New Roman"/>
          <w:i/>
          <w:sz w:val="28"/>
          <w:szCs w:val="28"/>
          <w:lang w:eastAsia="ru-RU"/>
        </w:rPr>
      </w:pPr>
      <w:r w:rsidRPr="00D03A4F">
        <w:rPr>
          <w:rFonts w:ascii="Times New Roman" w:eastAsia="Calibri" w:hAnsi="Times New Roman" w:cs="Times New Roman"/>
          <w:i/>
          <w:sz w:val="28"/>
          <w:szCs w:val="28"/>
          <w:lang w:eastAsia="ru-RU"/>
        </w:rPr>
        <w:t>Заболеваемость детей в возрасте от 0 до 14 лет</w:t>
      </w:r>
    </w:p>
    <w:p w14:paraId="64289EF9" w14:textId="5F28C7D2" w:rsidR="00860AE1" w:rsidRPr="00860AE1" w:rsidRDefault="00860AE1" w:rsidP="00860AE1">
      <w:pPr>
        <w:spacing w:after="0" w:line="312" w:lineRule="auto"/>
        <w:ind w:firstLine="709"/>
        <w:jc w:val="both"/>
        <w:rPr>
          <w:rFonts w:ascii="Times New Roman" w:hAnsi="Times New Roman" w:cs="Times New Roman"/>
          <w:sz w:val="28"/>
          <w:szCs w:val="28"/>
        </w:rPr>
      </w:pPr>
      <w:r w:rsidRPr="00860AE1">
        <w:rPr>
          <w:rFonts w:ascii="Times New Roman" w:hAnsi="Times New Roman" w:cs="Times New Roman"/>
          <w:sz w:val="28"/>
          <w:szCs w:val="28"/>
        </w:rPr>
        <w:t>В 2021 г</w:t>
      </w:r>
      <w:r w:rsidR="003F3900">
        <w:rPr>
          <w:rFonts w:ascii="Times New Roman" w:hAnsi="Times New Roman" w:cs="Times New Roman"/>
          <w:sz w:val="28"/>
          <w:szCs w:val="28"/>
        </w:rPr>
        <w:t>.</w:t>
      </w:r>
      <w:r w:rsidRPr="00860AE1">
        <w:rPr>
          <w:rFonts w:ascii="Times New Roman" w:hAnsi="Times New Roman" w:cs="Times New Roman"/>
          <w:sz w:val="28"/>
          <w:szCs w:val="28"/>
        </w:rPr>
        <w:t xml:space="preserve"> по сравнению с 2020 г</w:t>
      </w:r>
      <w:r w:rsidR="003F3900">
        <w:rPr>
          <w:rFonts w:ascii="Times New Roman" w:hAnsi="Times New Roman" w:cs="Times New Roman"/>
          <w:sz w:val="28"/>
          <w:szCs w:val="28"/>
        </w:rPr>
        <w:t>.</w:t>
      </w:r>
      <w:r w:rsidRPr="00860AE1">
        <w:rPr>
          <w:rFonts w:ascii="Times New Roman" w:hAnsi="Times New Roman" w:cs="Times New Roman"/>
          <w:sz w:val="28"/>
          <w:szCs w:val="28"/>
        </w:rPr>
        <w:t xml:space="preserve"> отмечается рост показателя общей заболеваемости среди детей в возрастной группе от 0 до 14 лет на </w:t>
      </w:r>
      <w:r w:rsidR="006812AA">
        <w:rPr>
          <w:rFonts w:ascii="Times New Roman" w:hAnsi="Times New Roman" w:cs="Times New Roman"/>
          <w:sz w:val="28"/>
          <w:szCs w:val="28"/>
        </w:rPr>
        <w:t>10,0</w:t>
      </w:r>
      <w:r w:rsidRPr="00860AE1">
        <w:rPr>
          <w:rFonts w:ascii="Times New Roman" w:hAnsi="Times New Roman" w:cs="Times New Roman"/>
          <w:sz w:val="28"/>
          <w:szCs w:val="28"/>
        </w:rPr>
        <w:t>%, который составил 212 528,7 на 100 тыс. населения данного возраста (2020 г. – 193 193,2</w:t>
      </w:r>
      <w:r w:rsidR="009B35AC">
        <w:rPr>
          <w:rFonts w:ascii="Times New Roman" w:hAnsi="Times New Roman" w:cs="Times New Roman"/>
          <w:sz w:val="28"/>
          <w:szCs w:val="28"/>
        </w:rPr>
        <w:t xml:space="preserve"> </w:t>
      </w:r>
      <w:r w:rsidR="006812AA" w:rsidRPr="00860AE1">
        <w:rPr>
          <w:rFonts w:ascii="Times New Roman" w:hAnsi="Times New Roman" w:cs="Times New Roman"/>
          <w:sz w:val="28"/>
          <w:szCs w:val="28"/>
        </w:rPr>
        <w:t xml:space="preserve">на </w:t>
      </w:r>
      <w:r w:rsidR="001B7BF2">
        <w:rPr>
          <w:rFonts w:ascii="Times New Roman" w:hAnsi="Times New Roman" w:cs="Times New Roman"/>
          <w:sz w:val="28"/>
          <w:szCs w:val="28"/>
        </w:rPr>
        <w:br/>
      </w:r>
      <w:r w:rsidR="006812AA" w:rsidRPr="00860AE1">
        <w:rPr>
          <w:rFonts w:ascii="Times New Roman" w:hAnsi="Times New Roman" w:cs="Times New Roman"/>
          <w:sz w:val="28"/>
          <w:szCs w:val="28"/>
        </w:rPr>
        <w:t>100 тыс. населения данного возраста</w:t>
      </w:r>
      <w:r w:rsidR="006812AA">
        <w:rPr>
          <w:rFonts w:ascii="Times New Roman" w:hAnsi="Times New Roman" w:cs="Times New Roman"/>
          <w:sz w:val="28"/>
          <w:szCs w:val="28"/>
        </w:rPr>
        <w:t>;</w:t>
      </w:r>
      <w:r w:rsidRPr="00860AE1">
        <w:rPr>
          <w:rFonts w:ascii="Times New Roman" w:hAnsi="Times New Roman" w:cs="Times New Roman"/>
          <w:sz w:val="28"/>
          <w:szCs w:val="28"/>
        </w:rPr>
        <w:t xml:space="preserve"> 2019 г. – 219 845,6 на 100 тыс. населения данного возраста).</w:t>
      </w:r>
    </w:p>
    <w:p w14:paraId="05679937" w14:textId="77777777" w:rsidR="00860AE1" w:rsidRPr="00860AE1" w:rsidRDefault="00860AE1" w:rsidP="00860AE1">
      <w:pPr>
        <w:spacing w:after="0" w:line="312" w:lineRule="auto"/>
        <w:ind w:firstLine="709"/>
        <w:jc w:val="both"/>
        <w:rPr>
          <w:rFonts w:ascii="Times New Roman" w:hAnsi="Times New Roman" w:cs="Times New Roman"/>
          <w:sz w:val="28"/>
          <w:szCs w:val="28"/>
        </w:rPr>
      </w:pPr>
      <w:r w:rsidRPr="00860AE1">
        <w:rPr>
          <w:rFonts w:ascii="Times New Roman" w:hAnsi="Times New Roman" w:cs="Times New Roman"/>
          <w:sz w:val="28"/>
          <w:szCs w:val="28"/>
        </w:rPr>
        <w:t xml:space="preserve">В структуре общей заболеваемости детей </w:t>
      </w:r>
      <w:r w:rsidR="009B35AC">
        <w:rPr>
          <w:rFonts w:ascii="Times New Roman" w:hAnsi="Times New Roman" w:cs="Times New Roman"/>
          <w:sz w:val="28"/>
          <w:szCs w:val="28"/>
        </w:rPr>
        <w:t xml:space="preserve">в возрасте от 0 до 14 лет, как </w:t>
      </w:r>
      <w:r w:rsidRPr="00860AE1">
        <w:rPr>
          <w:rFonts w:ascii="Times New Roman" w:hAnsi="Times New Roman" w:cs="Times New Roman"/>
          <w:sz w:val="28"/>
          <w:szCs w:val="28"/>
        </w:rPr>
        <w:t xml:space="preserve">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нервной системы и болезни костно-мышечной системы и соединительной ткани. </w:t>
      </w:r>
    </w:p>
    <w:p w14:paraId="726D95E4" w14:textId="77777777" w:rsidR="00860AE1" w:rsidRPr="00860AE1" w:rsidRDefault="00860AE1" w:rsidP="00860AE1">
      <w:pPr>
        <w:spacing w:after="0" w:line="312" w:lineRule="auto"/>
        <w:ind w:firstLine="709"/>
        <w:jc w:val="both"/>
        <w:rPr>
          <w:rFonts w:ascii="Times New Roman" w:hAnsi="Times New Roman" w:cs="Times New Roman"/>
          <w:sz w:val="28"/>
          <w:szCs w:val="28"/>
        </w:rPr>
      </w:pPr>
      <w:r w:rsidRPr="00860AE1">
        <w:rPr>
          <w:rFonts w:ascii="Times New Roman" w:hAnsi="Times New Roman" w:cs="Times New Roman"/>
          <w:sz w:val="28"/>
          <w:szCs w:val="28"/>
        </w:rPr>
        <w:t>В 2021 г</w:t>
      </w:r>
      <w:r w:rsidR="003F3900">
        <w:rPr>
          <w:rFonts w:ascii="Times New Roman" w:hAnsi="Times New Roman" w:cs="Times New Roman"/>
          <w:sz w:val="28"/>
          <w:szCs w:val="28"/>
        </w:rPr>
        <w:t>.</w:t>
      </w:r>
      <w:r w:rsidRPr="00860AE1">
        <w:rPr>
          <w:rFonts w:ascii="Times New Roman" w:hAnsi="Times New Roman" w:cs="Times New Roman"/>
          <w:sz w:val="28"/>
          <w:szCs w:val="28"/>
        </w:rPr>
        <w:t xml:space="preserve"> заболеваемость детей с диагнозом, установленным впервые в жизни, в возрастной группе от 0 до 14 лет составила 166 285,8 на 100 тыс. населения данного возраста (2020 г. </w:t>
      </w:r>
      <w:r w:rsidR="006812AA">
        <w:rPr>
          <w:rFonts w:ascii="Times New Roman" w:hAnsi="Times New Roman" w:cs="Times New Roman"/>
          <w:sz w:val="28"/>
          <w:szCs w:val="28"/>
        </w:rPr>
        <w:t>–</w:t>
      </w:r>
      <w:r w:rsidRPr="00860AE1">
        <w:rPr>
          <w:rFonts w:ascii="Times New Roman" w:hAnsi="Times New Roman" w:cs="Times New Roman"/>
          <w:sz w:val="28"/>
          <w:szCs w:val="28"/>
        </w:rPr>
        <w:t xml:space="preserve"> 148 678,7</w:t>
      </w:r>
      <w:r w:rsidR="00602E3C">
        <w:rPr>
          <w:rFonts w:ascii="Times New Roman" w:hAnsi="Times New Roman" w:cs="Times New Roman"/>
          <w:sz w:val="28"/>
          <w:szCs w:val="28"/>
        </w:rPr>
        <w:t xml:space="preserve"> </w:t>
      </w:r>
      <w:r w:rsidR="006812AA" w:rsidRPr="00860AE1">
        <w:rPr>
          <w:rFonts w:ascii="Times New Roman" w:hAnsi="Times New Roman" w:cs="Times New Roman"/>
          <w:sz w:val="28"/>
          <w:szCs w:val="28"/>
        </w:rPr>
        <w:t>на 100 тыс. населения данного возраста</w:t>
      </w:r>
      <w:r w:rsidR="006812AA">
        <w:rPr>
          <w:rFonts w:ascii="Times New Roman" w:hAnsi="Times New Roman" w:cs="Times New Roman"/>
          <w:sz w:val="28"/>
          <w:szCs w:val="28"/>
        </w:rPr>
        <w:t xml:space="preserve">; </w:t>
      </w:r>
      <w:r w:rsidR="00602E3C">
        <w:rPr>
          <w:rFonts w:ascii="Times New Roman" w:hAnsi="Times New Roman" w:cs="Times New Roman"/>
          <w:sz w:val="28"/>
          <w:szCs w:val="28"/>
        </w:rPr>
        <w:br/>
      </w:r>
      <w:r w:rsidRPr="00860AE1">
        <w:rPr>
          <w:rFonts w:ascii="Times New Roman" w:hAnsi="Times New Roman" w:cs="Times New Roman"/>
          <w:sz w:val="28"/>
          <w:szCs w:val="28"/>
        </w:rPr>
        <w:t>2019 г. – 172 455,1 на 100 ты</w:t>
      </w:r>
      <w:r w:rsidR="007F2C1E">
        <w:rPr>
          <w:rFonts w:ascii="Times New Roman" w:hAnsi="Times New Roman" w:cs="Times New Roman"/>
          <w:sz w:val="28"/>
          <w:szCs w:val="28"/>
        </w:rPr>
        <w:t>с. населения данного возраста).</w:t>
      </w:r>
    </w:p>
    <w:p w14:paraId="711C2D88" w14:textId="77777777" w:rsidR="00860AE1" w:rsidRPr="00860AE1" w:rsidRDefault="00860AE1" w:rsidP="00860AE1">
      <w:pPr>
        <w:spacing w:after="0" w:line="312" w:lineRule="auto"/>
        <w:ind w:firstLine="709"/>
        <w:jc w:val="both"/>
        <w:rPr>
          <w:rFonts w:ascii="Times New Roman" w:hAnsi="Times New Roman" w:cs="Times New Roman"/>
          <w:sz w:val="28"/>
          <w:szCs w:val="28"/>
        </w:rPr>
      </w:pPr>
      <w:r w:rsidRPr="00860AE1">
        <w:rPr>
          <w:rFonts w:ascii="Times New Roman" w:hAnsi="Times New Roman" w:cs="Times New Roman"/>
          <w:sz w:val="28"/>
          <w:szCs w:val="28"/>
        </w:rPr>
        <w:t>В структуре заболеваемости с ди</w:t>
      </w:r>
      <w:r w:rsidR="00375398">
        <w:rPr>
          <w:rFonts w:ascii="Times New Roman" w:hAnsi="Times New Roman" w:cs="Times New Roman"/>
          <w:sz w:val="28"/>
          <w:szCs w:val="28"/>
        </w:rPr>
        <w:t xml:space="preserve">агнозом, установленным впервые </w:t>
      </w:r>
      <w:r w:rsidRPr="00860AE1">
        <w:rPr>
          <w:rFonts w:ascii="Times New Roman" w:hAnsi="Times New Roman" w:cs="Times New Roman"/>
          <w:sz w:val="28"/>
          <w:szCs w:val="28"/>
        </w:rPr>
        <w:t>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некоторые инфекционные и паразитарные болезни, болезни</w:t>
      </w:r>
      <w:r>
        <w:rPr>
          <w:rFonts w:ascii="Times New Roman" w:hAnsi="Times New Roman" w:cs="Times New Roman"/>
          <w:sz w:val="28"/>
          <w:szCs w:val="28"/>
        </w:rPr>
        <w:t xml:space="preserve"> органов пищеварения.</w:t>
      </w:r>
    </w:p>
    <w:p w14:paraId="610BB536" w14:textId="77777777" w:rsidR="00D03A4F" w:rsidRDefault="00D03A4F" w:rsidP="003A7FCC">
      <w:pPr>
        <w:spacing w:before="120" w:after="120" w:line="312" w:lineRule="auto"/>
        <w:ind w:firstLine="709"/>
        <w:jc w:val="center"/>
        <w:rPr>
          <w:rFonts w:ascii="Times New Roman" w:eastAsia="Calibri" w:hAnsi="Times New Roman" w:cs="Times New Roman"/>
          <w:i/>
          <w:sz w:val="28"/>
          <w:szCs w:val="28"/>
          <w:lang w:eastAsia="ru-RU"/>
        </w:rPr>
      </w:pPr>
      <w:r w:rsidRPr="00D03A4F">
        <w:rPr>
          <w:rFonts w:ascii="Times New Roman" w:eastAsia="Calibri" w:hAnsi="Times New Roman" w:cs="Times New Roman"/>
          <w:i/>
          <w:sz w:val="28"/>
          <w:szCs w:val="28"/>
          <w:lang w:eastAsia="ru-RU"/>
        </w:rPr>
        <w:t>Заболеваемость детей в возрасте от 15 до 17 лет включительно</w:t>
      </w:r>
    </w:p>
    <w:p w14:paraId="1933CDBC" w14:textId="4FA2C1B7" w:rsidR="00AD1189" w:rsidRPr="00AD1189" w:rsidRDefault="00AD1189" w:rsidP="00AD1189">
      <w:pPr>
        <w:spacing w:after="0" w:line="312" w:lineRule="auto"/>
        <w:ind w:firstLine="709"/>
        <w:jc w:val="both"/>
        <w:rPr>
          <w:rFonts w:ascii="Times New Roman" w:hAnsi="Times New Roman" w:cs="Times New Roman"/>
          <w:sz w:val="28"/>
          <w:szCs w:val="28"/>
        </w:rPr>
      </w:pPr>
      <w:r w:rsidRPr="00AD1189">
        <w:rPr>
          <w:rFonts w:ascii="Times New Roman" w:hAnsi="Times New Roman" w:cs="Times New Roman"/>
          <w:sz w:val="28"/>
          <w:szCs w:val="28"/>
        </w:rPr>
        <w:t>В 2021 г</w:t>
      </w:r>
      <w:r w:rsidR="003F3900">
        <w:rPr>
          <w:rFonts w:ascii="Times New Roman" w:hAnsi="Times New Roman" w:cs="Times New Roman"/>
          <w:sz w:val="28"/>
          <w:szCs w:val="28"/>
        </w:rPr>
        <w:t>.</w:t>
      </w:r>
      <w:r w:rsidRPr="00AD1189">
        <w:rPr>
          <w:rFonts w:ascii="Times New Roman" w:hAnsi="Times New Roman" w:cs="Times New Roman"/>
          <w:sz w:val="28"/>
          <w:szCs w:val="28"/>
        </w:rPr>
        <w:t xml:space="preserve"> по сравнению с 2020 г</w:t>
      </w:r>
      <w:r w:rsidR="003F3900">
        <w:rPr>
          <w:rFonts w:ascii="Times New Roman" w:hAnsi="Times New Roman" w:cs="Times New Roman"/>
          <w:sz w:val="28"/>
          <w:szCs w:val="28"/>
        </w:rPr>
        <w:t>.</w:t>
      </w:r>
      <w:r w:rsidRPr="00AD1189">
        <w:rPr>
          <w:rFonts w:ascii="Times New Roman" w:hAnsi="Times New Roman" w:cs="Times New Roman"/>
          <w:sz w:val="28"/>
          <w:szCs w:val="28"/>
        </w:rPr>
        <w:t xml:space="preserve"> также отмечается рост показателя общей заболеваемости среди детей в возрас</w:t>
      </w:r>
      <w:r w:rsidR="003A4F02">
        <w:rPr>
          <w:rFonts w:ascii="Times New Roman" w:hAnsi="Times New Roman" w:cs="Times New Roman"/>
          <w:sz w:val="28"/>
          <w:szCs w:val="28"/>
        </w:rPr>
        <w:t>тной группе от 15-17 лет на 8,9</w:t>
      </w:r>
      <w:r w:rsidRPr="00AD1189">
        <w:rPr>
          <w:rFonts w:ascii="Times New Roman" w:hAnsi="Times New Roman" w:cs="Times New Roman"/>
          <w:sz w:val="28"/>
          <w:szCs w:val="28"/>
        </w:rPr>
        <w:t>%, который составил 217 340,3 на 100 тыс. населения данного возраста (2020 г</w:t>
      </w:r>
      <w:r w:rsidR="007F2C1E">
        <w:rPr>
          <w:rFonts w:ascii="Times New Roman" w:hAnsi="Times New Roman" w:cs="Times New Roman"/>
          <w:sz w:val="28"/>
          <w:szCs w:val="28"/>
        </w:rPr>
        <w:t>.</w:t>
      </w:r>
      <w:r w:rsidRPr="00AD1189">
        <w:rPr>
          <w:rFonts w:ascii="Times New Roman" w:hAnsi="Times New Roman" w:cs="Times New Roman"/>
          <w:sz w:val="28"/>
          <w:szCs w:val="28"/>
        </w:rPr>
        <w:t xml:space="preserve"> – 199 647,3</w:t>
      </w:r>
      <w:r w:rsidR="007F2C1E">
        <w:rPr>
          <w:rFonts w:ascii="Times New Roman" w:hAnsi="Times New Roman" w:cs="Times New Roman"/>
          <w:sz w:val="28"/>
          <w:szCs w:val="28"/>
        </w:rPr>
        <w:t xml:space="preserve"> </w:t>
      </w:r>
      <w:r w:rsidR="001B7BF2">
        <w:rPr>
          <w:rFonts w:ascii="Times New Roman" w:hAnsi="Times New Roman" w:cs="Times New Roman"/>
          <w:sz w:val="28"/>
          <w:szCs w:val="28"/>
        </w:rPr>
        <w:br/>
      </w:r>
      <w:r w:rsidR="003A4F02" w:rsidRPr="00AD1189">
        <w:rPr>
          <w:rFonts w:ascii="Times New Roman" w:hAnsi="Times New Roman" w:cs="Times New Roman"/>
          <w:sz w:val="28"/>
          <w:szCs w:val="28"/>
        </w:rPr>
        <w:t>на 100 тыс. населения данного возраста</w:t>
      </w:r>
      <w:r w:rsidR="003A4F02">
        <w:rPr>
          <w:rFonts w:ascii="Times New Roman" w:hAnsi="Times New Roman" w:cs="Times New Roman"/>
          <w:sz w:val="28"/>
          <w:szCs w:val="28"/>
        </w:rPr>
        <w:t>;</w:t>
      </w:r>
      <w:r w:rsidRPr="00AD1189">
        <w:rPr>
          <w:rFonts w:ascii="Times New Roman" w:hAnsi="Times New Roman" w:cs="Times New Roman"/>
          <w:sz w:val="28"/>
          <w:szCs w:val="28"/>
        </w:rPr>
        <w:t xml:space="preserve"> 2019 г. – 218 432,7</w:t>
      </w:r>
      <w:r w:rsidR="007F2C1E">
        <w:rPr>
          <w:rFonts w:ascii="Times New Roman" w:hAnsi="Times New Roman" w:cs="Times New Roman"/>
          <w:sz w:val="28"/>
          <w:szCs w:val="28"/>
        </w:rPr>
        <w:t xml:space="preserve"> </w:t>
      </w:r>
      <w:r w:rsidR="003A4F02" w:rsidRPr="00AD1189">
        <w:rPr>
          <w:rFonts w:ascii="Times New Roman" w:hAnsi="Times New Roman" w:cs="Times New Roman"/>
          <w:sz w:val="28"/>
          <w:szCs w:val="28"/>
        </w:rPr>
        <w:t>на 100 тыс. населения данного возраста</w:t>
      </w:r>
      <w:r w:rsidRPr="00AD1189">
        <w:rPr>
          <w:rFonts w:ascii="Times New Roman" w:hAnsi="Times New Roman" w:cs="Times New Roman"/>
          <w:sz w:val="28"/>
          <w:szCs w:val="28"/>
        </w:rPr>
        <w:t>).</w:t>
      </w:r>
    </w:p>
    <w:p w14:paraId="73685519" w14:textId="77777777" w:rsidR="00AD1189" w:rsidRPr="00AD1189" w:rsidRDefault="00AD1189" w:rsidP="00AD1189">
      <w:pPr>
        <w:spacing w:after="0" w:line="312" w:lineRule="auto"/>
        <w:ind w:firstLine="709"/>
        <w:jc w:val="both"/>
        <w:rPr>
          <w:rFonts w:ascii="Times New Roman" w:hAnsi="Times New Roman" w:cs="Times New Roman"/>
          <w:sz w:val="28"/>
          <w:szCs w:val="28"/>
        </w:rPr>
      </w:pPr>
      <w:r w:rsidRPr="00AD1189">
        <w:rPr>
          <w:rFonts w:ascii="Times New Roman" w:hAnsi="Times New Roman" w:cs="Times New Roman"/>
          <w:sz w:val="28"/>
          <w:szCs w:val="28"/>
        </w:rPr>
        <w:t>В структуре общей заболеваемости детей в</w:t>
      </w:r>
      <w:r w:rsidR="007F2C1E">
        <w:rPr>
          <w:rFonts w:ascii="Times New Roman" w:hAnsi="Times New Roman" w:cs="Times New Roman"/>
          <w:sz w:val="28"/>
          <w:szCs w:val="28"/>
        </w:rPr>
        <w:t xml:space="preserve"> возрасте от 15 до 17 лет, как </w:t>
      </w:r>
      <w:r w:rsidRPr="00AD1189">
        <w:rPr>
          <w:rFonts w:ascii="Times New Roman" w:hAnsi="Times New Roman" w:cs="Times New Roman"/>
          <w:sz w:val="28"/>
          <w:szCs w:val="28"/>
        </w:rPr>
        <w:t>и в предыдущие годы, первые ранговые места занимают болезни органов дыхания, болезни глаза и его придаточного аппарата, болезни костно-мышечной системы и соединительной ткани, болезни органов пищеварения, травмы, отравления и некоторые другие последствия воздействия внешних причин.</w:t>
      </w:r>
    </w:p>
    <w:p w14:paraId="04959BF1" w14:textId="31EE6B1D" w:rsidR="00AD1189" w:rsidRPr="00AD1189" w:rsidRDefault="00AD1189" w:rsidP="00AD1189">
      <w:pPr>
        <w:spacing w:after="0" w:line="312" w:lineRule="auto"/>
        <w:ind w:firstLine="709"/>
        <w:jc w:val="both"/>
        <w:rPr>
          <w:rFonts w:ascii="Times New Roman" w:hAnsi="Times New Roman" w:cs="Times New Roman"/>
          <w:sz w:val="28"/>
          <w:szCs w:val="28"/>
        </w:rPr>
      </w:pPr>
      <w:r w:rsidRPr="00AD1189">
        <w:rPr>
          <w:rFonts w:ascii="Times New Roman" w:hAnsi="Times New Roman" w:cs="Times New Roman"/>
          <w:sz w:val="28"/>
          <w:szCs w:val="28"/>
        </w:rPr>
        <w:t>В 2021 г</w:t>
      </w:r>
      <w:r w:rsidR="003F3900">
        <w:rPr>
          <w:rFonts w:ascii="Times New Roman" w:hAnsi="Times New Roman" w:cs="Times New Roman"/>
          <w:sz w:val="28"/>
          <w:szCs w:val="28"/>
        </w:rPr>
        <w:t>.</w:t>
      </w:r>
      <w:r w:rsidRPr="00AD1189">
        <w:rPr>
          <w:rFonts w:ascii="Times New Roman" w:hAnsi="Times New Roman" w:cs="Times New Roman"/>
          <w:sz w:val="28"/>
          <w:szCs w:val="28"/>
        </w:rPr>
        <w:t xml:space="preserve"> по сравнению с 2020 г</w:t>
      </w:r>
      <w:r w:rsidR="003F3900">
        <w:rPr>
          <w:rFonts w:ascii="Times New Roman" w:hAnsi="Times New Roman" w:cs="Times New Roman"/>
          <w:sz w:val="28"/>
          <w:szCs w:val="28"/>
        </w:rPr>
        <w:t>.</w:t>
      </w:r>
      <w:r w:rsidRPr="00AD1189">
        <w:rPr>
          <w:rFonts w:ascii="Times New Roman" w:hAnsi="Times New Roman" w:cs="Times New Roman"/>
          <w:sz w:val="28"/>
          <w:szCs w:val="28"/>
        </w:rPr>
        <w:t xml:space="preserve"> отмечается рост показателя заболеваемости с диагнозом, установленным впервые в жизни, в возрастной</w:t>
      </w:r>
      <w:r w:rsidR="0059742B">
        <w:rPr>
          <w:rFonts w:ascii="Times New Roman" w:hAnsi="Times New Roman" w:cs="Times New Roman"/>
          <w:sz w:val="28"/>
          <w:szCs w:val="28"/>
        </w:rPr>
        <w:t xml:space="preserve"> группе детей 15</w:t>
      </w:r>
      <w:r w:rsidR="00D44B28">
        <w:rPr>
          <w:rFonts w:ascii="Times New Roman" w:hAnsi="Times New Roman" w:cs="Times New Roman"/>
          <w:sz w:val="28"/>
          <w:szCs w:val="28"/>
        </w:rPr>
        <w:t>-</w:t>
      </w:r>
      <w:r w:rsidR="0059742B">
        <w:rPr>
          <w:rFonts w:ascii="Times New Roman" w:hAnsi="Times New Roman" w:cs="Times New Roman"/>
          <w:sz w:val="28"/>
          <w:szCs w:val="28"/>
        </w:rPr>
        <w:t>17 лет на 12,5</w:t>
      </w:r>
      <w:r w:rsidRPr="00AD1189">
        <w:rPr>
          <w:rFonts w:ascii="Times New Roman" w:hAnsi="Times New Roman" w:cs="Times New Roman"/>
          <w:sz w:val="28"/>
          <w:szCs w:val="28"/>
        </w:rPr>
        <w:t>% до 137 118,7 на 100 тыс. населения данного возраста (2020 г. – 121 889,0</w:t>
      </w:r>
      <w:r w:rsidR="007F2C1E">
        <w:rPr>
          <w:rFonts w:ascii="Times New Roman" w:hAnsi="Times New Roman" w:cs="Times New Roman"/>
          <w:sz w:val="28"/>
          <w:szCs w:val="28"/>
        </w:rPr>
        <w:t xml:space="preserve"> </w:t>
      </w:r>
      <w:r w:rsidR="001B7BF2">
        <w:rPr>
          <w:rFonts w:ascii="Times New Roman" w:hAnsi="Times New Roman" w:cs="Times New Roman"/>
          <w:sz w:val="28"/>
          <w:szCs w:val="28"/>
        </w:rPr>
        <w:br/>
      </w:r>
      <w:r w:rsidR="0059742B" w:rsidRPr="00AD1189">
        <w:rPr>
          <w:rFonts w:ascii="Times New Roman" w:hAnsi="Times New Roman" w:cs="Times New Roman"/>
          <w:sz w:val="28"/>
          <w:szCs w:val="28"/>
        </w:rPr>
        <w:t>на 100 тыс. населения данного возраста</w:t>
      </w:r>
      <w:r w:rsidR="0059742B">
        <w:rPr>
          <w:rFonts w:ascii="Times New Roman" w:hAnsi="Times New Roman" w:cs="Times New Roman"/>
          <w:sz w:val="28"/>
          <w:szCs w:val="28"/>
        </w:rPr>
        <w:t>;</w:t>
      </w:r>
      <w:r w:rsidRPr="00AD1189">
        <w:rPr>
          <w:rFonts w:ascii="Times New Roman" w:hAnsi="Times New Roman" w:cs="Times New Roman"/>
          <w:sz w:val="28"/>
          <w:szCs w:val="28"/>
        </w:rPr>
        <w:t xml:space="preserve"> 2019 г. – 134 601,1</w:t>
      </w:r>
      <w:r w:rsidR="007F2C1E">
        <w:rPr>
          <w:rFonts w:ascii="Times New Roman" w:hAnsi="Times New Roman" w:cs="Times New Roman"/>
          <w:sz w:val="28"/>
          <w:szCs w:val="28"/>
        </w:rPr>
        <w:t xml:space="preserve"> </w:t>
      </w:r>
      <w:r w:rsidR="0059742B" w:rsidRPr="00AD1189">
        <w:rPr>
          <w:rFonts w:ascii="Times New Roman" w:hAnsi="Times New Roman" w:cs="Times New Roman"/>
          <w:sz w:val="28"/>
          <w:szCs w:val="28"/>
        </w:rPr>
        <w:t>на 100 тыс. населения данного возраста</w:t>
      </w:r>
      <w:r w:rsidRPr="00AD1189">
        <w:rPr>
          <w:rFonts w:ascii="Times New Roman" w:hAnsi="Times New Roman" w:cs="Times New Roman"/>
          <w:sz w:val="28"/>
          <w:szCs w:val="28"/>
        </w:rPr>
        <w:t>).</w:t>
      </w:r>
    </w:p>
    <w:p w14:paraId="7A8C29C4" w14:textId="77777777" w:rsidR="00AD1189" w:rsidRPr="00AD1189" w:rsidRDefault="00AD1189" w:rsidP="00AD1189">
      <w:pPr>
        <w:spacing w:after="0" w:line="312" w:lineRule="auto"/>
        <w:ind w:firstLine="709"/>
        <w:jc w:val="both"/>
        <w:rPr>
          <w:rFonts w:ascii="Times New Roman" w:hAnsi="Times New Roman" w:cs="Times New Roman"/>
          <w:sz w:val="28"/>
          <w:szCs w:val="28"/>
        </w:rPr>
      </w:pPr>
      <w:r w:rsidRPr="00AD1189">
        <w:rPr>
          <w:rFonts w:ascii="Times New Roman" w:hAnsi="Times New Roman" w:cs="Times New Roman"/>
          <w:sz w:val="28"/>
          <w:szCs w:val="28"/>
        </w:rPr>
        <w:t>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органов пищеварения, болезни глаза и его придаточного аппарата, болезни мочеполовой системы.</w:t>
      </w:r>
    </w:p>
    <w:p w14:paraId="20D6BD9C" w14:textId="77777777" w:rsidR="00D43115" w:rsidRDefault="00D43115" w:rsidP="00D03A4F">
      <w:pPr>
        <w:spacing w:before="120" w:after="120"/>
        <w:ind w:firstLine="720"/>
        <w:jc w:val="center"/>
        <w:rPr>
          <w:rFonts w:ascii="Times New Roman" w:eastAsia="Calibri" w:hAnsi="Times New Roman" w:cs="Times New Roman"/>
          <w:i/>
          <w:sz w:val="28"/>
          <w:szCs w:val="28"/>
          <w:lang w:eastAsia="ru-RU"/>
        </w:rPr>
      </w:pPr>
    </w:p>
    <w:p w14:paraId="6E2B2D66" w14:textId="77777777" w:rsidR="00D03A4F" w:rsidRDefault="00D03A4F" w:rsidP="00D03A4F">
      <w:pPr>
        <w:spacing w:before="120" w:after="120"/>
        <w:ind w:firstLine="720"/>
        <w:jc w:val="center"/>
        <w:rPr>
          <w:rFonts w:ascii="Times New Roman" w:eastAsia="Calibri" w:hAnsi="Times New Roman" w:cs="Times New Roman"/>
          <w:i/>
          <w:sz w:val="28"/>
          <w:szCs w:val="28"/>
          <w:lang w:eastAsia="ru-RU"/>
        </w:rPr>
      </w:pPr>
      <w:r w:rsidRPr="00D03A4F">
        <w:rPr>
          <w:rFonts w:ascii="Times New Roman" w:eastAsia="Calibri" w:hAnsi="Times New Roman" w:cs="Times New Roman"/>
          <w:i/>
          <w:sz w:val="28"/>
          <w:szCs w:val="28"/>
          <w:lang w:eastAsia="ru-RU"/>
        </w:rPr>
        <w:t>Младенческая смертность</w:t>
      </w:r>
    </w:p>
    <w:p w14:paraId="0979A329" w14:textId="23259D73" w:rsidR="00831566" w:rsidRPr="00831566" w:rsidRDefault="00831566" w:rsidP="00831566">
      <w:pPr>
        <w:spacing w:after="0" w:line="312" w:lineRule="auto"/>
        <w:ind w:firstLine="709"/>
        <w:jc w:val="both"/>
        <w:rPr>
          <w:rFonts w:ascii="Times New Roman" w:hAnsi="Times New Roman" w:cs="Times New Roman"/>
          <w:sz w:val="28"/>
          <w:szCs w:val="28"/>
        </w:rPr>
      </w:pPr>
      <w:r w:rsidRPr="00831566">
        <w:rPr>
          <w:rFonts w:ascii="Times New Roman" w:hAnsi="Times New Roman" w:cs="Times New Roman"/>
          <w:sz w:val="28"/>
          <w:szCs w:val="28"/>
        </w:rPr>
        <w:t>Показатель младенческой смертности в Российской Федерации остается стабильно низким. По оперативным данным Росстата</w:t>
      </w:r>
      <w:r w:rsidR="007712FA">
        <w:rPr>
          <w:rFonts w:ascii="Times New Roman" w:hAnsi="Times New Roman" w:cs="Times New Roman"/>
          <w:sz w:val="28"/>
          <w:szCs w:val="28"/>
        </w:rPr>
        <w:t>,</w:t>
      </w:r>
      <w:r w:rsidRPr="00831566">
        <w:rPr>
          <w:rFonts w:ascii="Times New Roman" w:hAnsi="Times New Roman" w:cs="Times New Roman"/>
          <w:sz w:val="28"/>
          <w:szCs w:val="28"/>
        </w:rPr>
        <w:t xml:space="preserve"> за </w:t>
      </w:r>
      <w:r w:rsidR="00B0285B">
        <w:rPr>
          <w:rFonts w:ascii="Times New Roman" w:hAnsi="Times New Roman" w:cs="Times New Roman"/>
          <w:sz w:val="28"/>
          <w:szCs w:val="28"/>
        </w:rPr>
        <w:t xml:space="preserve">январь-декабрь </w:t>
      </w:r>
      <w:r w:rsidRPr="00831566">
        <w:rPr>
          <w:rFonts w:ascii="Times New Roman" w:hAnsi="Times New Roman" w:cs="Times New Roman"/>
          <w:sz w:val="28"/>
          <w:szCs w:val="28"/>
        </w:rPr>
        <w:t>2021 г</w:t>
      </w:r>
      <w:r w:rsidR="00B0285B">
        <w:rPr>
          <w:rFonts w:ascii="Times New Roman" w:hAnsi="Times New Roman" w:cs="Times New Roman"/>
          <w:sz w:val="28"/>
          <w:szCs w:val="28"/>
        </w:rPr>
        <w:t>.</w:t>
      </w:r>
      <w:r w:rsidRPr="00831566">
        <w:rPr>
          <w:rFonts w:ascii="Times New Roman" w:hAnsi="Times New Roman" w:cs="Times New Roman"/>
          <w:sz w:val="28"/>
          <w:szCs w:val="28"/>
        </w:rPr>
        <w:t xml:space="preserve"> показатель составил 4,6 на 1</w:t>
      </w:r>
      <w:r w:rsidR="00BE08AA">
        <w:rPr>
          <w:rFonts w:ascii="Times New Roman" w:hAnsi="Times New Roman" w:cs="Times New Roman"/>
          <w:sz w:val="28"/>
          <w:szCs w:val="28"/>
        </w:rPr>
        <w:t xml:space="preserve"> </w:t>
      </w:r>
      <w:r w:rsidRPr="00831566">
        <w:rPr>
          <w:rFonts w:ascii="Times New Roman" w:hAnsi="Times New Roman" w:cs="Times New Roman"/>
          <w:sz w:val="28"/>
          <w:szCs w:val="28"/>
        </w:rPr>
        <w:t>000 родившихся живыми (</w:t>
      </w:r>
      <w:r w:rsidR="00B0285B">
        <w:rPr>
          <w:rFonts w:ascii="Times New Roman" w:hAnsi="Times New Roman" w:cs="Times New Roman"/>
          <w:sz w:val="28"/>
          <w:szCs w:val="28"/>
        </w:rPr>
        <w:t>прогнозное</w:t>
      </w:r>
      <w:r w:rsidRPr="00831566">
        <w:rPr>
          <w:rFonts w:ascii="Times New Roman" w:hAnsi="Times New Roman" w:cs="Times New Roman"/>
          <w:sz w:val="28"/>
          <w:szCs w:val="28"/>
        </w:rPr>
        <w:t xml:space="preserve"> значение – 4,8</w:t>
      </w:r>
      <w:r w:rsidR="00BE08AA">
        <w:rPr>
          <w:rFonts w:ascii="Times New Roman" w:hAnsi="Times New Roman" w:cs="Times New Roman"/>
          <w:sz w:val="28"/>
          <w:szCs w:val="28"/>
        </w:rPr>
        <w:t xml:space="preserve"> </w:t>
      </w:r>
      <w:r w:rsidR="00BE08AA" w:rsidRPr="00831566">
        <w:rPr>
          <w:rFonts w:ascii="Times New Roman" w:hAnsi="Times New Roman" w:cs="Times New Roman"/>
          <w:sz w:val="28"/>
          <w:szCs w:val="28"/>
        </w:rPr>
        <w:t>на 1</w:t>
      </w:r>
      <w:r w:rsidR="00BE08AA">
        <w:rPr>
          <w:rFonts w:ascii="Times New Roman" w:hAnsi="Times New Roman" w:cs="Times New Roman"/>
          <w:sz w:val="28"/>
          <w:szCs w:val="28"/>
        </w:rPr>
        <w:t xml:space="preserve"> </w:t>
      </w:r>
      <w:r w:rsidR="00BE08AA" w:rsidRPr="00831566">
        <w:rPr>
          <w:rFonts w:ascii="Times New Roman" w:hAnsi="Times New Roman" w:cs="Times New Roman"/>
          <w:sz w:val="28"/>
          <w:szCs w:val="28"/>
        </w:rPr>
        <w:t>000 родившихся живыми</w:t>
      </w:r>
      <w:r w:rsidRPr="00831566">
        <w:rPr>
          <w:rFonts w:ascii="Times New Roman" w:hAnsi="Times New Roman" w:cs="Times New Roman"/>
          <w:sz w:val="28"/>
          <w:szCs w:val="28"/>
        </w:rPr>
        <w:t>).</w:t>
      </w:r>
    </w:p>
    <w:p w14:paraId="1A750E2D" w14:textId="77777777" w:rsidR="00831566" w:rsidRPr="00831566" w:rsidRDefault="00831566" w:rsidP="00E77669">
      <w:pPr>
        <w:spacing w:after="0" w:line="312" w:lineRule="auto"/>
        <w:ind w:firstLine="709"/>
        <w:jc w:val="both"/>
        <w:rPr>
          <w:rFonts w:ascii="Times New Roman" w:hAnsi="Times New Roman" w:cs="Times New Roman"/>
          <w:sz w:val="28"/>
          <w:szCs w:val="28"/>
        </w:rPr>
      </w:pPr>
      <w:r w:rsidRPr="00831566">
        <w:rPr>
          <w:rFonts w:ascii="Times New Roman" w:hAnsi="Times New Roman" w:cs="Times New Roman"/>
          <w:sz w:val="28"/>
          <w:szCs w:val="28"/>
        </w:rPr>
        <w:t>Самые низкие показатели младенческой смертности (ниже 4,6 на 1</w:t>
      </w:r>
      <w:r w:rsidR="006C4C4B" w:rsidRPr="00AD1189">
        <w:rPr>
          <w:rFonts w:ascii="Times New Roman" w:hAnsi="Times New Roman" w:cs="Times New Roman"/>
          <w:sz w:val="28"/>
          <w:szCs w:val="28"/>
        </w:rPr>
        <w:t> </w:t>
      </w:r>
      <w:r w:rsidRPr="00831566">
        <w:rPr>
          <w:rFonts w:ascii="Times New Roman" w:hAnsi="Times New Roman" w:cs="Times New Roman"/>
          <w:sz w:val="28"/>
          <w:szCs w:val="28"/>
        </w:rPr>
        <w:t>000 родившихся живыми) в 2021 г</w:t>
      </w:r>
      <w:r w:rsidR="00653A91">
        <w:rPr>
          <w:rFonts w:ascii="Times New Roman" w:hAnsi="Times New Roman" w:cs="Times New Roman"/>
          <w:sz w:val="28"/>
          <w:szCs w:val="28"/>
        </w:rPr>
        <w:t>.</w:t>
      </w:r>
      <w:r w:rsidRPr="00831566">
        <w:rPr>
          <w:rFonts w:ascii="Times New Roman" w:hAnsi="Times New Roman" w:cs="Times New Roman"/>
          <w:sz w:val="28"/>
          <w:szCs w:val="28"/>
        </w:rPr>
        <w:t xml:space="preserve"> зарегистрированы в 4</w:t>
      </w:r>
      <w:r w:rsidR="00E04905">
        <w:rPr>
          <w:rFonts w:ascii="Times New Roman" w:hAnsi="Times New Roman" w:cs="Times New Roman"/>
          <w:sz w:val="28"/>
          <w:szCs w:val="28"/>
        </w:rPr>
        <w:t>2</w:t>
      </w:r>
      <w:r w:rsidRPr="00831566">
        <w:rPr>
          <w:rFonts w:ascii="Times New Roman" w:hAnsi="Times New Roman" w:cs="Times New Roman"/>
          <w:sz w:val="28"/>
          <w:szCs w:val="28"/>
        </w:rPr>
        <w:t xml:space="preserve"> субъектах Российской Федерации: Республика Калмыкия и Чувашская Республика – 2,6, </w:t>
      </w:r>
      <w:r w:rsidR="00E04905" w:rsidRPr="00831566">
        <w:rPr>
          <w:rFonts w:ascii="Times New Roman" w:hAnsi="Times New Roman" w:cs="Times New Roman"/>
          <w:sz w:val="28"/>
          <w:szCs w:val="28"/>
        </w:rPr>
        <w:t xml:space="preserve">Сахалинская область – 2,9, </w:t>
      </w:r>
      <w:r w:rsidRPr="00831566">
        <w:rPr>
          <w:rFonts w:ascii="Times New Roman" w:hAnsi="Times New Roman" w:cs="Times New Roman"/>
          <w:sz w:val="28"/>
          <w:szCs w:val="28"/>
        </w:rPr>
        <w:t xml:space="preserve">Брянская область – </w:t>
      </w:r>
      <w:r w:rsidR="00E04905">
        <w:rPr>
          <w:rFonts w:ascii="Times New Roman" w:hAnsi="Times New Roman" w:cs="Times New Roman"/>
          <w:sz w:val="28"/>
          <w:szCs w:val="28"/>
        </w:rPr>
        <w:t>3</w:t>
      </w:r>
      <w:r w:rsidRPr="00831566">
        <w:rPr>
          <w:rFonts w:ascii="Times New Roman" w:hAnsi="Times New Roman" w:cs="Times New Roman"/>
          <w:sz w:val="28"/>
          <w:szCs w:val="28"/>
        </w:rPr>
        <w:t>,</w:t>
      </w:r>
      <w:r w:rsidR="00E04905">
        <w:rPr>
          <w:rFonts w:ascii="Times New Roman" w:hAnsi="Times New Roman" w:cs="Times New Roman"/>
          <w:sz w:val="28"/>
          <w:szCs w:val="28"/>
        </w:rPr>
        <w:t>0</w:t>
      </w:r>
      <w:r w:rsidRPr="00831566">
        <w:rPr>
          <w:rFonts w:ascii="Times New Roman" w:hAnsi="Times New Roman" w:cs="Times New Roman"/>
          <w:sz w:val="28"/>
          <w:szCs w:val="28"/>
        </w:rPr>
        <w:t>, Тюменская область – 3,</w:t>
      </w:r>
      <w:r w:rsidR="00E04905">
        <w:rPr>
          <w:rFonts w:ascii="Times New Roman" w:hAnsi="Times New Roman" w:cs="Times New Roman"/>
          <w:sz w:val="28"/>
          <w:szCs w:val="28"/>
        </w:rPr>
        <w:t>1</w:t>
      </w:r>
      <w:r w:rsidRPr="00831566">
        <w:rPr>
          <w:rFonts w:ascii="Times New Roman" w:hAnsi="Times New Roman" w:cs="Times New Roman"/>
          <w:sz w:val="28"/>
          <w:szCs w:val="28"/>
        </w:rPr>
        <w:t xml:space="preserve">, Ивановская </w:t>
      </w:r>
      <w:r w:rsidR="00E04905">
        <w:rPr>
          <w:rFonts w:ascii="Times New Roman" w:hAnsi="Times New Roman" w:cs="Times New Roman"/>
          <w:sz w:val="28"/>
          <w:szCs w:val="28"/>
        </w:rPr>
        <w:br/>
      </w:r>
      <w:r w:rsidRPr="00831566">
        <w:rPr>
          <w:rFonts w:ascii="Times New Roman" w:hAnsi="Times New Roman" w:cs="Times New Roman"/>
          <w:sz w:val="28"/>
          <w:szCs w:val="28"/>
        </w:rPr>
        <w:t>область – 3,</w:t>
      </w:r>
      <w:r w:rsidR="00E04905">
        <w:rPr>
          <w:rFonts w:ascii="Times New Roman" w:hAnsi="Times New Roman" w:cs="Times New Roman"/>
          <w:sz w:val="28"/>
          <w:szCs w:val="28"/>
        </w:rPr>
        <w:t>2</w:t>
      </w:r>
      <w:r w:rsidRPr="00831566">
        <w:rPr>
          <w:rFonts w:ascii="Times New Roman" w:hAnsi="Times New Roman" w:cs="Times New Roman"/>
          <w:sz w:val="28"/>
          <w:szCs w:val="28"/>
        </w:rPr>
        <w:t xml:space="preserve">, </w:t>
      </w:r>
      <w:r w:rsidR="00E04905" w:rsidRPr="00831566">
        <w:rPr>
          <w:rFonts w:ascii="Times New Roman" w:hAnsi="Times New Roman" w:cs="Times New Roman"/>
          <w:sz w:val="28"/>
          <w:szCs w:val="28"/>
        </w:rPr>
        <w:t>Республика Саха (Якутия)</w:t>
      </w:r>
      <w:r w:rsidR="00E04905">
        <w:rPr>
          <w:rFonts w:ascii="Times New Roman" w:hAnsi="Times New Roman" w:cs="Times New Roman"/>
          <w:sz w:val="28"/>
          <w:szCs w:val="28"/>
        </w:rPr>
        <w:t xml:space="preserve"> – 3,3, </w:t>
      </w:r>
      <w:r w:rsidR="00E04905" w:rsidRPr="00831566">
        <w:rPr>
          <w:rFonts w:ascii="Times New Roman" w:hAnsi="Times New Roman" w:cs="Times New Roman"/>
          <w:sz w:val="28"/>
          <w:szCs w:val="28"/>
        </w:rPr>
        <w:t>Тамбовская</w:t>
      </w:r>
      <w:r w:rsidR="00E04905">
        <w:rPr>
          <w:rFonts w:ascii="Times New Roman" w:hAnsi="Times New Roman" w:cs="Times New Roman"/>
          <w:sz w:val="28"/>
          <w:szCs w:val="28"/>
        </w:rPr>
        <w:t xml:space="preserve"> область – 3,4, </w:t>
      </w:r>
      <w:r w:rsidR="00E04905" w:rsidRPr="00831566">
        <w:rPr>
          <w:rFonts w:ascii="Times New Roman" w:hAnsi="Times New Roman" w:cs="Times New Roman"/>
          <w:sz w:val="28"/>
          <w:szCs w:val="28"/>
        </w:rPr>
        <w:t>Калужская</w:t>
      </w:r>
      <w:r w:rsidR="00E04905">
        <w:rPr>
          <w:rFonts w:ascii="Times New Roman" w:hAnsi="Times New Roman" w:cs="Times New Roman"/>
          <w:sz w:val="28"/>
          <w:szCs w:val="28"/>
        </w:rPr>
        <w:t xml:space="preserve"> область – 3,5, </w:t>
      </w:r>
      <w:r w:rsidR="00E04905" w:rsidRPr="00831566">
        <w:rPr>
          <w:rFonts w:ascii="Times New Roman" w:hAnsi="Times New Roman" w:cs="Times New Roman"/>
          <w:sz w:val="28"/>
          <w:szCs w:val="28"/>
        </w:rPr>
        <w:t>г. Москва</w:t>
      </w:r>
      <w:r w:rsidR="00E04905">
        <w:rPr>
          <w:rFonts w:ascii="Times New Roman" w:hAnsi="Times New Roman" w:cs="Times New Roman"/>
          <w:sz w:val="28"/>
          <w:szCs w:val="28"/>
        </w:rPr>
        <w:t xml:space="preserve"> и Ленинградская</w:t>
      </w:r>
      <w:r w:rsidR="00E04905" w:rsidRPr="00831566">
        <w:rPr>
          <w:rFonts w:ascii="Times New Roman" w:hAnsi="Times New Roman" w:cs="Times New Roman"/>
          <w:sz w:val="28"/>
          <w:szCs w:val="28"/>
        </w:rPr>
        <w:t xml:space="preserve"> облас</w:t>
      </w:r>
      <w:r w:rsidR="00E04905">
        <w:rPr>
          <w:rFonts w:ascii="Times New Roman" w:hAnsi="Times New Roman" w:cs="Times New Roman"/>
          <w:sz w:val="28"/>
          <w:szCs w:val="28"/>
        </w:rPr>
        <w:t xml:space="preserve">ть – 3,6, </w:t>
      </w:r>
      <w:r w:rsidR="00E04905" w:rsidRPr="00831566">
        <w:rPr>
          <w:rFonts w:ascii="Times New Roman" w:hAnsi="Times New Roman" w:cs="Times New Roman"/>
          <w:sz w:val="28"/>
          <w:szCs w:val="28"/>
        </w:rPr>
        <w:t>Курск</w:t>
      </w:r>
      <w:r w:rsidR="00E04905">
        <w:rPr>
          <w:rFonts w:ascii="Times New Roman" w:hAnsi="Times New Roman" w:cs="Times New Roman"/>
          <w:sz w:val="28"/>
          <w:szCs w:val="28"/>
        </w:rPr>
        <w:t>ая,</w:t>
      </w:r>
      <w:r w:rsidR="00E04905" w:rsidRPr="00E04905">
        <w:rPr>
          <w:rFonts w:ascii="Times New Roman" w:hAnsi="Times New Roman" w:cs="Times New Roman"/>
          <w:sz w:val="28"/>
          <w:szCs w:val="28"/>
        </w:rPr>
        <w:t xml:space="preserve"> </w:t>
      </w:r>
      <w:r w:rsidR="00E04905" w:rsidRPr="00831566">
        <w:rPr>
          <w:rFonts w:ascii="Times New Roman" w:hAnsi="Times New Roman" w:cs="Times New Roman"/>
          <w:sz w:val="28"/>
          <w:szCs w:val="28"/>
        </w:rPr>
        <w:t>Липецкая,</w:t>
      </w:r>
      <w:r w:rsidR="00E04905" w:rsidRPr="00E04905">
        <w:rPr>
          <w:rFonts w:ascii="Times New Roman" w:hAnsi="Times New Roman" w:cs="Times New Roman"/>
          <w:sz w:val="28"/>
          <w:szCs w:val="28"/>
        </w:rPr>
        <w:t xml:space="preserve"> </w:t>
      </w:r>
      <w:r w:rsidR="00E04905">
        <w:rPr>
          <w:rFonts w:ascii="Times New Roman" w:hAnsi="Times New Roman" w:cs="Times New Roman"/>
          <w:sz w:val="28"/>
          <w:szCs w:val="28"/>
        </w:rPr>
        <w:t xml:space="preserve">Московская, </w:t>
      </w:r>
      <w:r w:rsidR="00E04905" w:rsidRPr="00831566">
        <w:rPr>
          <w:rFonts w:ascii="Times New Roman" w:hAnsi="Times New Roman" w:cs="Times New Roman"/>
          <w:sz w:val="28"/>
          <w:szCs w:val="28"/>
        </w:rPr>
        <w:t>Архангельская</w:t>
      </w:r>
      <w:r w:rsidR="00E04905">
        <w:rPr>
          <w:rFonts w:ascii="Times New Roman" w:hAnsi="Times New Roman" w:cs="Times New Roman"/>
          <w:sz w:val="28"/>
          <w:szCs w:val="28"/>
        </w:rPr>
        <w:t xml:space="preserve">, </w:t>
      </w:r>
      <w:r w:rsidR="00E04905" w:rsidRPr="00831566">
        <w:rPr>
          <w:rFonts w:ascii="Times New Roman" w:hAnsi="Times New Roman" w:cs="Times New Roman"/>
          <w:sz w:val="28"/>
          <w:szCs w:val="28"/>
        </w:rPr>
        <w:t>Пензенская</w:t>
      </w:r>
      <w:r w:rsidR="00E04905">
        <w:rPr>
          <w:rFonts w:ascii="Times New Roman" w:hAnsi="Times New Roman" w:cs="Times New Roman"/>
          <w:sz w:val="28"/>
          <w:szCs w:val="28"/>
        </w:rPr>
        <w:t xml:space="preserve">, </w:t>
      </w:r>
      <w:r w:rsidR="00E04905" w:rsidRPr="00831566">
        <w:rPr>
          <w:rFonts w:ascii="Times New Roman" w:hAnsi="Times New Roman" w:cs="Times New Roman"/>
          <w:sz w:val="28"/>
          <w:szCs w:val="28"/>
        </w:rPr>
        <w:t>Омская</w:t>
      </w:r>
      <w:r w:rsidR="00E04905">
        <w:rPr>
          <w:rFonts w:ascii="Times New Roman" w:hAnsi="Times New Roman" w:cs="Times New Roman"/>
          <w:sz w:val="28"/>
          <w:szCs w:val="28"/>
        </w:rPr>
        <w:t xml:space="preserve">, </w:t>
      </w:r>
      <w:r w:rsidRPr="00831566">
        <w:rPr>
          <w:rFonts w:ascii="Times New Roman" w:hAnsi="Times New Roman" w:cs="Times New Roman"/>
          <w:sz w:val="28"/>
          <w:szCs w:val="28"/>
        </w:rPr>
        <w:t xml:space="preserve">Ярославская области, </w:t>
      </w:r>
      <w:r w:rsidR="00E04905" w:rsidRPr="00831566">
        <w:rPr>
          <w:rFonts w:ascii="Times New Roman" w:hAnsi="Times New Roman" w:cs="Times New Roman"/>
          <w:sz w:val="28"/>
          <w:szCs w:val="28"/>
        </w:rPr>
        <w:t>Республик</w:t>
      </w:r>
      <w:r w:rsidR="00E04905">
        <w:rPr>
          <w:rFonts w:ascii="Times New Roman" w:hAnsi="Times New Roman" w:cs="Times New Roman"/>
          <w:sz w:val="28"/>
          <w:szCs w:val="28"/>
        </w:rPr>
        <w:t>а</w:t>
      </w:r>
      <w:r w:rsidR="00E04905" w:rsidRPr="00831566">
        <w:rPr>
          <w:rFonts w:ascii="Times New Roman" w:hAnsi="Times New Roman" w:cs="Times New Roman"/>
          <w:sz w:val="28"/>
          <w:szCs w:val="28"/>
        </w:rPr>
        <w:t xml:space="preserve"> Карелия</w:t>
      </w:r>
      <w:r w:rsidR="00E04905">
        <w:rPr>
          <w:rFonts w:ascii="Times New Roman" w:hAnsi="Times New Roman" w:cs="Times New Roman"/>
          <w:sz w:val="28"/>
          <w:szCs w:val="28"/>
        </w:rPr>
        <w:t xml:space="preserve"> и</w:t>
      </w:r>
      <w:r w:rsidR="00E04905" w:rsidRPr="00831566">
        <w:rPr>
          <w:rFonts w:ascii="Times New Roman" w:hAnsi="Times New Roman" w:cs="Times New Roman"/>
          <w:sz w:val="28"/>
          <w:szCs w:val="28"/>
        </w:rPr>
        <w:t xml:space="preserve"> </w:t>
      </w:r>
      <w:r w:rsidR="00E04905">
        <w:rPr>
          <w:rFonts w:ascii="Times New Roman" w:hAnsi="Times New Roman" w:cs="Times New Roman"/>
          <w:sz w:val="28"/>
          <w:szCs w:val="28"/>
        </w:rPr>
        <w:t xml:space="preserve">г. </w:t>
      </w:r>
      <w:r w:rsidR="00E04905" w:rsidRPr="00831566">
        <w:rPr>
          <w:rFonts w:ascii="Times New Roman" w:hAnsi="Times New Roman" w:cs="Times New Roman"/>
          <w:sz w:val="28"/>
          <w:szCs w:val="28"/>
        </w:rPr>
        <w:t>Санкт-Петербург</w:t>
      </w:r>
      <w:r w:rsidR="00E04905">
        <w:rPr>
          <w:rFonts w:ascii="Times New Roman" w:hAnsi="Times New Roman" w:cs="Times New Roman"/>
          <w:sz w:val="28"/>
          <w:szCs w:val="28"/>
        </w:rPr>
        <w:t xml:space="preserve"> – 3,7, </w:t>
      </w:r>
      <w:r w:rsidR="00E04905" w:rsidRPr="00831566">
        <w:rPr>
          <w:rFonts w:ascii="Times New Roman" w:hAnsi="Times New Roman" w:cs="Times New Roman"/>
          <w:sz w:val="28"/>
          <w:szCs w:val="28"/>
        </w:rPr>
        <w:t>Костромская</w:t>
      </w:r>
      <w:r w:rsidR="00E04905">
        <w:rPr>
          <w:rFonts w:ascii="Times New Roman" w:hAnsi="Times New Roman" w:cs="Times New Roman"/>
          <w:sz w:val="28"/>
          <w:szCs w:val="28"/>
        </w:rPr>
        <w:t xml:space="preserve"> область и </w:t>
      </w:r>
      <w:r w:rsidR="00E04905" w:rsidRPr="00831566">
        <w:rPr>
          <w:rFonts w:ascii="Times New Roman" w:hAnsi="Times New Roman" w:cs="Times New Roman"/>
          <w:sz w:val="28"/>
          <w:szCs w:val="28"/>
        </w:rPr>
        <w:t>Ханты-Мансийский автономный округ-Югра – 3,</w:t>
      </w:r>
      <w:r w:rsidR="00E04905">
        <w:rPr>
          <w:rFonts w:ascii="Times New Roman" w:hAnsi="Times New Roman" w:cs="Times New Roman"/>
          <w:sz w:val="28"/>
          <w:szCs w:val="28"/>
        </w:rPr>
        <w:t xml:space="preserve">8, Республика </w:t>
      </w:r>
      <w:r w:rsidR="00E04905" w:rsidRPr="00831566">
        <w:rPr>
          <w:rFonts w:ascii="Times New Roman" w:hAnsi="Times New Roman" w:cs="Times New Roman"/>
          <w:sz w:val="28"/>
          <w:szCs w:val="28"/>
        </w:rPr>
        <w:t>Марий Эл</w:t>
      </w:r>
      <w:r w:rsidR="00E04905">
        <w:rPr>
          <w:rFonts w:ascii="Times New Roman" w:hAnsi="Times New Roman" w:cs="Times New Roman"/>
          <w:sz w:val="28"/>
          <w:szCs w:val="28"/>
        </w:rPr>
        <w:t xml:space="preserve"> </w:t>
      </w:r>
      <w:r w:rsidR="00E04905" w:rsidRPr="00831566">
        <w:rPr>
          <w:rFonts w:ascii="Times New Roman" w:hAnsi="Times New Roman" w:cs="Times New Roman"/>
          <w:sz w:val="28"/>
          <w:szCs w:val="28"/>
        </w:rPr>
        <w:t>–</w:t>
      </w:r>
      <w:r w:rsidR="00E04905">
        <w:rPr>
          <w:rFonts w:ascii="Times New Roman" w:hAnsi="Times New Roman" w:cs="Times New Roman"/>
          <w:sz w:val="28"/>
          <w:szCs w:val="28"/>
        </w:rPr>
        <w:t xml:space="preserve"> 3,9, </w:t>
      </w:r>
      <w:r w:rsidR="00E04905" w:rsidRPr="00831566">
        <w:rPr>
          <w:rFonts w:ascii="Times New Roman" w:hAnsi="Times New Roman" w:cs="Times New Roman"/>
          <w:sz w:val="28"/>
          <w:szCs w:val="28"/>
        </w:rPr>
        <w:t>Республика Татарстан</w:t>
      </w:r>
      <w:r w:rsidR="00E04905">
        <w:rPr>
          <w:rFonts w:ascii="Times New Roman" w:hAnsi="Times New Roman" w:cs="Times New Roman"/>
          <w:sz w:val="28"/>
          <w:szCs w:val="28"/>
        </w:rPr>
        <w:t xml:space="preserve">, Пермский край и </w:t>
      </w:r>
      <w:r w:rsidR="00E04905" w:rsidRPr="00831566">
        <w:rPr>
          <w:rFonts w:ascii="Times New Roman" w:hAnsi="Times New Roman" w:cs="Times New Roman"/>
          <w:sz w:val="28"/>
          <w:szCs w:val="28"/>
        </w:rPr>
        <w:t>Свердловская област</w:t>
      </w:r>
      <w:r w:rsidR="00E04905">
        <w:rPr>
          <w:rFonts w:ascii="Times New Roman" w:hAnsi="Times New Roman" w:cs="Times New Roman"/>
          <w:sz w:val="28"/>
          <w:szCs w:val="28"/>
        </w:rPr>
        <w:t>ь</w:t>
      </w:r>
      <w:r w:rsidR="00E04905" w:rsidRPr="00831566">
        <w:rPr>
          <w:rFonts w:ascii="Times New Roman" w:hAnsi="Times New Roman" w:cs="Times New Roman"/>
          <w:sz w:val="28"/>
          <w:szCs w:val="28"/>
        </w:rPr>
        <w:t xml:space="preserve"> – 4,0,</w:t>
      </w:r>
      <w:r w:rsidR="00E04905">
        <w:rPr>
          <w:rFonts w:ascii="Times New Roman" w:hAnsi="Times New Roman" w:cs="Times New Roman"/>
          <w:sz w:val="28"/>
          <w:szCs w:val="28"/>
        </w:rPr>
        <w:t xml:space="preserve"> </w:t>
      </w:r>
      <w:r w:rsidR="00E04905" w:rsidRPr="00831566">
        <w:rPr>
          <w:rFonts w:ascii="Times New Roman" w:hAnsi="Times New Roman" w:cs="Times New Roman"/>
          <w:sz w:val="28"/>
          <w:szCs w:val="28"/>
        </w:rPr>
        <w:t xml:space="preserve">Калининградская </w:t>
      </w:r>
      <w:r w:rsidR="00E04905">
        <w:rPr>
          <w:rFonts w:ascii="Times New Roman" w:hAnsi="Times New Roman" w:cs="Times New Roman"/>
          <w:sz w:val="28"/>
          <w:szCs w:val="28"/>
        </w:rPr>
        <w:t xml:space="preserve">и Ульяновская </w:t>
      </w:r>
      <w:r w:rsidR="00E04905" w:rsidRPr="00831566">
        <w:rPr>
          <w:rFonts w:ascii="Times New Roman" w:hAnsi="Times New Roman" w:cs="Times New Roman"/>
          <w:sz w:val="28"/>
          <w:szCs w:val="28"/>
        </w:rPr>
        <w:t>област</w:t>
      </w:r>
      <w:r w:rsidR="00E04905">
        <w:rPr>
          <w:rFonts w:ascii="Times New Roman" w:hAnsi="Times New Roman" w:cs="Times New Roman"/>
          <w:sz w:val="28"/>
          <w:szCs w:val="28"/>
        </w:rPr>
        <w:t xml:space="preserve">и </w:t>
      </w:r>
      <w:r w:rsidR="00E04905" w:rsidRPr="00831566">
        <w:rPr>
          <w:rFonts w:ascii="Times New Roman" w:hAnsi="Times New Roman" w:cs="Times New Roman"/>
          <w:sz w:val="28"/>
          <w:szCs w:val="28"/>
        </w:rPr>
        <w:t>–</w:t>
      </w:r>
      <w:r w:rsidR="00E04905">
        <w:rPr>
          <w:rFonts w:ascii="Times New Roman" w:hAnsi="Times New Roman" w:cs="Times New Roman"/>
          <w:sz w:val="28"/>
          <w:szCs w:val="28"/>
        </w:rPr>
        <w:t xml:space="preserve"> </w:t>
      </w:r>
      <w:r w:rsidR="00E04905" w:rsidRPr="00831566">
        <w:rPr>
          <w:rFonts w:ascii="Times New Roman" w:hAnsi="Times New Roman" w:cs="Times New Roman"/>
          <w:sz w:val="28"/>
          <w:szCs w:val="28"/>
        </w:rPr>
        <w:t>4,1,</w:t>
      </w:r>
      <w:r w:rsidR="00E04905">
        <w:rPr>
          <w:rFonts w:ascii="Times New Roman" w:hAnsi="Times New Roman" w:cs="Times New Roman"/>
          <w:sz w:val="28"/>
          <w:szCs w:val="28"/>
        </w:rPr>
        <w:t xml:space="preserve"> </w:t>
      </w:r>
      <w:r w:rsidR="00E04905" w:rsidRPr="00831566">
        <w:rPr>
          <w:rFonts w:ascii="Times New Roman" w:hAnsi="Times New Roman" w:cs="Times New Roman"/>
          <w:sz w:val="28"/>
          <w:szCs w:val="28"/>
        </w:rPr>
        <w:t>Республик</w:t>
      </w:r>
      <w:r w:rsidR="00E04905">
        <w:rPr>
          <w:rFonts w:ascii="Times New Roman" w:hAnsi="Times New Roman" w:cs="Times New Roman"/>
          <w:sz w:val="28"/>
          <w:szCs w:val="28"/>
        </w:rPr>
        <w:t>и</w:t>
      </w:r>
      <w:r w:rsidR="00E04905" w:rsidRPr="00831566">
        <w:rPr>
          <w:rFonts w:ascii="Times New Roman" w:hAnsi="Times New Roman" w:cs="Times New Roman"/>
          <w:sz w:val="28"/>
          <w:szCs w:val="28"/>
        </w:rPr>
        <w:t xml:space="preserve"> Северная Осетия-Алания</w:t>
      </w:r>
      <w:r w:rsidR="00E04905" w:rsidRPr="00E04905">
        <w:rPr>
          <w:rFonts w:ascii="Times New Roman" w:hAnsi="Times New Roman" w:cs="Times New Roman"/>
          <w:sz w:val="28"/>
          <w:szCs w:val="28"/>
        </w:rPr>
        <w:t xml:space="preserve"> </w:t>
      </w:r>
      <w:r w:rsidR="00E04905">
        <w:rPr>
          <w:rFonts w:ascii="Times New Roman" w:hAnsi="Times New Roman" w:cs="Times New Roman"/>
          <w:sz w:val="28"/>
          <w:szCs w:val="28"/>
        </w:rPr>
        <w:t xml:space="preserve">и </w:t>
      </w:r>
      <w:r w:rsidR="00E04905" w:rsidRPr="00831566">
        <w:rPr>
          <w:rFonts w:ascii="Times New Roman" w:hAnsi="Times New Roman" w:cs="Times New Roman"/>
          <w:sz w:val="28"/>
          <w:szCs w:val="28"/>
        </w:rPr>
        <w:t xml:space="preserve">Мордовия, </w:t>
      </w:r>
      <w:r w:rsidR="00E04905">
        <w:rPr>
          <w:rFonts w:ascii="Times New Roman" w:hAnsi="Times New Roman" w:cs="Times New Roman"/>
          <w:sz w:val="28"/>
          <w:szCs w:val="28"/>
        </w:rPr>
        <w:t xml:space="preserve">Краснодарский край, </w:t>
      </w:r>
      <w:r w:rsidR="00E04905" w:rsidRPr="00831566">
        <w:rPr>
          <w:rFonts w:ascii="Times New Roman" w:hAnsi="Times New Roman" w:cs="Times New Roman"/>
          <w:sz w:val="28"/>
          <w:szCs w:val="28"/>
        </w:rPr>
        <w:t>Нижегородская</w:t>
      </w:r>
      <w:r w:rsidR="00E04905" w:rsidRPr="00E04905">
        <w:rPr>
          <w:rFonts w:ascii="Times New Roman" w:hAnsi="Times New Roman" w:cs="Times New Roman"/>
          <w:sz w:val="28"/>
          <w:szCs w:val="28"/>
        </w:rPr>
        <w:t xml:space="preserve"> </w:t>
      </w:r>
      <w:r w:rsidR="00E04905" w:rsidRPr="00831566">
        <w:rPr>
          <w:rFonts w:ascii="Times New Roman" w:hAnsi="Times New Roman" w:cs="Times New Roman"/>
          <w:sz w:val="28"/>
          <w:szCs w:val="28"/>
        </w:rPr>
        <w:t>и Томская области</w:t>
      </w:r>
      <w:r w:rsidR="00E04905">
        <w:rPr>
          <w:rFonts w:ascii="Times New Roman" w:hAnsi="Times New Roman" w:cs="Times New Roman"/>
          <w:sz w:val="28"/>
          <w:szCs w:val="28"/>
        </w:rPr>
        <w:t xml:space="preserve"> </w:t>
      </w:r>
      <w:r w:rsidR="00E04905" w:rsidRPr="00831566">
        <w:rPr>
          <w:rFonts w:ascii="Times New Roman" w:hAnsi="Times New Roman" w:cs="Times New Roman"/>
          <w:sz w:val="28"/>
          <w:szCs w:val="28"/>
        </w:rPr>
        <w:t>–</w:t>
      </w:r>
      <w:r w:rsidR="00E04905">
        <w:rPr>
          <w:rFonts w:ascii="Times New Roman" w:hAnsi="Times New Roman" w:cs="Times New Roman"/>
          <w:sz w:val="28"/>
          <w:szCs w:val="28"/>
        </w:rPr>
        <w:t xml:space="preserve"> </w:t>
      </w:r>
      <w:r w:rsidR="00E04905" w:rsidRPr="00831566">
        <w:rPr>
          <w:rFonts w:ascii="Times New Roman" w:hAnsi="Times New Roman" w:cs="Times New Roman"/>
          <w:sz w:val="28"/>
          <w:szCs w:val="28"/>
        </w:rPr>
        <w:t>4,2</w:t>
      </w:r>
      <w:r w:rsidR="00E04905">
        <w:rPr>
          <w:rFonts w:ascii="Times New Roman" w:hAnsi="Times New Roman" w:cs="Times New Roman"/>
          <w:sz w:val="28"/>
          <w:szCs w:val="28"/>
        </w:rPr>
        <w:t>,</w:t>
      </w:r>
      <w:r w:rsidR="00E04905" w:rsidRPr="00E04905">
        <w:rPr>
          <w:rFonts w:ascii="Times New Roman" w:hAnsi="Times New Roman" w:cs="Times New Roman"/>
          <w:sz w:val="28"/>
          <w:szCs w:val="28"/>
        </w:rPr>
        <w:t xml:space="preserve"> </w:t>
      </w:r>
      <w:r w:rsidR="00E77669" w:rsidRPr="00831566">
        <w:rPr>
          <w:rFonts w:ascii="Times New Roman" w:hAnsi="Times New Roman" w:cs="Times New Roman"/>
          <w:sz w:val="28"/>
          <w:szCs w:val="28"/>
        </w:rPr>
        <w:t xml:space="preserve">Республика Бурятия, </w:t>
      </w:r>
      <w:r w:rsidR="00E04905" w:rsidRPr="00831566">
        <w:rPr>
          <w:rFonts w:ascii="Times New Roman" w:hAnsi="Times New Roman" w:cs="Times New Roman"/>
          <w:sz w:val="28"/>
          <w:szCs w:val="28"/>
        </w:rPr>
        <w:t>Удмуртская Республика, Астраханская,</w:t>
      </w:r>
      <w:r w:rsidR="00E04905">
        <w:rPr>
          <w:rFonts w:ascii="Times New Roman" w:hAnsi="Times New Roman" w:cs="Times New Roman"/>
          <w:sz w:val="28"/>
          <w:szCs w:val="28"/>
        </w:rPr>
        <w:t xml:space="preserve"> </w:t>
      </w:r>
      <w:r w:rsidR="00E77669" w:rsidRPr="00831566">
        <w:rPr>
          <w:rFonts w:ascii="Times New Roman" w:hAnsi="Times New Roman" w:cs="Times New Roman"/>
          <w:sz w:val="28"/>
          <w:szCs w:val="28"/>
        </w:rPr>
        <w:t>Оренбургская</w:t>
      </w:r>
      <w:r w:rsidR="00E77669">
        <w:rPr>
          <w:rFonts w:ascii="Times New Roman" w:hAnsi="Times New Roman" w:cs="Times New Roman"/>
          <w:sz w:val="28"/>
          <w:szCs w:val="28"/>
        </w:rPr>
        <w:t xml:space="preserve">, </w:t>
      </w:r>
      <w:r w:rsidR="00E77669" w:rsidRPr="00831566">
        <w:rPr>
          <w:rFonts w:ascii="Times New Roman" w:hAnsi="Times New Roman" w:cs="Times New Roman"/>
          <w:sz w:val="28"/>
          <w:szCs w:val="28"/>
        </w:rPr>
        <w:t>Челябинская области</w:t>
      </w:r>
      <w:r w:rsidR="00E77669">
        <w:rPr>
          <w:rFonts w:ascii="Times New Roman" w:hAnsi="Times New Roman" w:cs="Times New Roman"/>
          <w:sz w:val="28"/>
          <w:szCs w:val="28"/>
        </w:rPr>
        <w:t xml:space="preserve"> </w:t>
      </w:r>
      <w:r w:rsidR="00E77669" w:rsidRPr="00831566">
        <w:rPr>
          <w:rFonts w:ascii="Times New Roman" w:hAnsi="Times New Roman" w:cs="Times New Roman"/>
          <w:sz w:val="28"/>
          <w:szCs w:val="28"/>
        </w:rPr>
        <w:t>–</w:t>
      </w:r>
      <w:r w:rsidR="00E77669">
        <w:rPr>
          <w:rFonts w:ascii="Times New Roman" w:hAnsi="Times New Roman" w:cs="Times New Roman"/>
          <w:sz w:val="28"/>
          <w:szCs w:val="28"/>
        </w:rPr>
        <w:t xml:space="preserve"> </w:t>
      </w:r>
      <w:r w:rsidR="00E77669" w:rsidRPr="00831566">
        <w:rPr>
          <w:rFonts w:ascii="Times New Roman" w:hAnsi="Times New Roman" w:cs="Times New Roman"/>
          <w:sz w:val="28"/>
          <w:szCs w:val="28"/>
        </w:rPr>
        <w:t>4,3,</w:t>
      </w:r>
      <w:r w:rsidR="00E77669" w:rsidRPr="00E77669">
        <w:rPr>
          <w:rFonts w:ascii="Times New Roman" w:hAnsi="Times New Roman" w:cs="Times New Roman"/>
          <w:sz w:val="28"/>
          <w:szCs w:val="28"/>
        </w:rPr>
        <w:t xml:space="preserve"> </w:t>
      </w:r>
      <w:r w:rsidR="00E77669" w:rsidRPr="00831566">
        <w:rPr>
          <w:rFonts w:ascii="Times New Roman" w:hAnsi="Times New Roman" w:cs="Times New Roman"/>
          <w:sz w:val="28"/>
          <w:szCs w:val="28"/>
        </w:rPr>
        <w:t>Белгородская область</w:t>
      </w:r>
      <w:r w:rsidR="00E77669">
        <w:rPr>
          <w:rFonts w:ascii="Times New Roman" w:hAnsi="Times New Roman" w:cs="Times New Roman"/>
          <w:sz w:val="28"/>
          <w:szCs w:val="28"/>
        </w:rPr>
        <w:t>,</w:t>
      </w:r>
      <w:r w:rsidR="00E77669" w:rsidRPr="00E77669">
        <w:rPr>
          <w:rFonts w:ascii="Times New Roman" w:hAnsi="Times New Roman" w:cs="Times New Roman"/>
          <w:sz w:val="28"/>
          <w:szCs w:val="28"/>
        </w:rPr>
        <w:t xml:space="preserve"> </w:t>
      </w:r>
      <w:r w:rsidR="00E77669" w:rsidRPr="00831566">
        <w:rPr>
          <w:rFonts w:ascii="Times New Roman" w:hAnsi="Times New Roman" w:cs="Times New Roman"/>
          <w:sz w:val="28"/>
          <w:szCs w:val="28"/>
        </w:rPr>
        <w:t>Хабаровский</w:t>
      </w:r>
      <w:r w:rsidR="00E77669">
        <w:rPr>
          <w:rFonts w:ascii="Times New Roman" w:hAnsi="Times New Roman" w:cs="Times New Roman"/>
          <w:sz w:val="28"/>
          <w:szCs w:val="28"/>
        </w:rPr>
        <w:t xml:space="preserve"> край </w:t>
      </w:r>
      <w:r w:rsidR="00E77669" w:rsidRPr="00831566">
        <w:rPr>
          <w:rFonts w:ascii="Times New Roman" w:hAnsi="Times New Roman" w:cs="Times New Roman"/>
          <w:sz w:val="28"/>
          <w:szCs w:val="28"/>
        </w:rPr>
        <w:t>– 4,4,</w:t>
      </w:r>
      <w:r w:rsidR="00E77669">
        <w:rPr>
          <w:rFonts w:ascii="Times New Roman" w:hAnsi="Times New Roman" w:cs="Times New Roman"/>
          <w:sz w:val="28"/>
          <w:szCs w:val="28"/>
        </w:rPr>
        <w:t xml:space="preserve"> Карачаево-Черкесская Республика, </w:t>
      </w:r>
      <w:r w:rsidRPr="00831566">
        <w:rPr>
          <w:rFonts w:ascii="Times New Roman" w:hAnsi="Times New Roman" w:cs="Times New Roman"/>
          <w:sz w:val="28"/>
          <w:szCs w:val="28"/>
        </w:rPr>
        <w:t>Воронежская</w:t>
      </w:r>
      <w:r w:rsidR="00E77669">
        <w:rPr>
          <w:rFonts w:ascii="Times New Roman" w:hAnsi="Times New Roman" w:cs="Times New Roman"/>
          <w:sz w:val="28"/>
          <w:szCs w:val="28"/>
        </w:rPr>
        <w:t xml:space="preserve"> область </w:t>
      </w:r>
      <w:r w:rsidRPr="00831566">
        <w:rPr>
          <w:rFonts w:ascii="Times New Roman" w:hAnsi="Times New Roman" w:cs="Times New Roman"/>
          <w:sz w:val="28"/>
          <w:szCs w:val="28"/>
        </w:rPr>
        <w:t>– 4,5.</w:t>
      </w:r>
    </w:p>
    <w:p w14:paraId="17AD8341" w14:textId="77777777" w:rsidR="00831566" w:rsidRPr="00831566" w:rsidRDefault="00831566" w:rsidP="00831566">
      <w:pPr>
        <w:spacing w:after="0" w:line="312" w:lineRule="auto"/>
        <w:ind w:firstLine="709"/>
        <w:jc w:val="both"/>
        <w:rPr>
          <w:rFonts w:ascii="Times New Roman" w:hAnsi="Times New Roman" w:cs="Times New Roman"/>
          <w:sz w:val="28"/>
          <w:szCs w:val="28"/>
        </w:rPr>
      </w:pPr>
      <w:r w:rsidRPr="00831566">
        <w:rPr>
          <w:rFonts w:ascii="Times New Roman" w:hAnsi="Times New Roman" w:cs="Times New Roman"/>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2021 г</w:t>
      </w:r>
      <w:r w:rsidR="00FD320D">
        <w:rPr>
          <w:rFonts w:ascii="Times New Roman" w:hAnsi="Times New Roman" w:cs="Times New Roman"/>
          <w:sz w:val="28"/>
          <w:szCs w:val="28"/>
        </w:rPr>
        <w:t>.</w:t>
      </w:r>
      <w:r w:rsidRPr="00831566">
        <w:rPr>
          <w:rFonts w:ascii="Times New Roman" w:hAnsi="Times New Roman" w:cs="Times New Roman"/>
          <w:sz w:val="28"/>
          <w:szCs w:val="28"/>
        </w:rPr>
        <w:t xml:space="preserve"> была продолжена реализация мероприятий по пренатальной (дородовой) диагностике в новом алгоритме (проведение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w:t>
      </w:r>
    </w:p>
    <w:p w14:paraId="3900BD36" w14:textId="77777777" w:rsidR="00D03A4F" w:rsidRDefault="00D03A4F" w:rsidP="00D03A4F">
      <w:pPr>
        <w:tabs>
          <w:tab w:val="left" w:pos="4350"/>
        </w:tabs>
        <w:spacing w:before="120" w:after="120"/>
        <w:ind w:firstLine="709"/>
        <w:jc w:val="center"/>
        <w:rPr>
          <w:rFonts w:ascii="Times New Roman" w:eastAsia="Times New Roman" w:hAnsi="Times New Roman" w:cs="Times New Roman"/>
          <w:i/>
          <w:sz w:val="28"/>
          <w:szCs w:val="28"/>
          <w:lang w:eastAsia="ru-RU"/>
        </w:rPr>
      </w:pPr>
      <w:r w:rsidRPr="00D03A4F">
        <w:rPr>
          <w:rFonts w:ascii="Times New Roman" w:eastAsia="Times New Roman" w:hAnsi="Times New Roman" w:cs="Times New Roman"/>
          <w:i/>
          <w:sz w:val="28"/>
          <w:szCs w:val="28"/>
          <w:lang w:eastAsia="ru-RU"/>
        </w:rPr>
        <w:t>Неонатальный</w:t>
      </w:r>
      <w:r w:rsidR="00FA67EE">
        <w:rPr>
          <w:rFonts w:ascii="Times New Roman" w:eastAsia="Times New Roman" w:hAnsi="Times New Roman" w:cs="Times New Roman"/>
          <w:i/>
          <w:sz w:val="28"/>
          <w:szCs w:val="28"/>
          <w:lang w:eastAsia="ru-RU"/>
        </w:rPr>
        <w:t xml:space="preserve"> и аудиологический</w:t>
      </w:r>
      <w:r w:rsidRPr="00D03A4F">
        <w:rPr>
          <w:rFonts w:ascii="Times New Roman" w:eastAsia="Times New Roman" w:hAnsi="Times New Roman" w:cs="Times New Roman"/>
          <w:i/>
          <w:sz w:val="28"/>
          <w:szCs w:val="28"/>
          <w:lang w:eastAsia="ru-RU"/>
        </w:rPr>
        <w:t xml:space="preserve"> скрининг</w:t>
      </w:r>
    </w:p>
    <w:p w14:paraId="6C679E5A" w14:textId="77777777" w:rsidR="00FA67EE" w:rsidRPr="00FA67EE" w:rsidRDefault="00FA67EE" w:rsidP="00FA67EE">
      <w:pPr>
        <w:spacing w:after="0" w:line="312" w:lineRule="auto"/>
        <w:ind w:firstLine="709"/>
        <w:jc w:val="both"/>
        <w:rPr>
          <w:rFonts w:ascii="Times New Roman" w:hAnsi="Times New Roman" w:cs="Times New Roman"/>
          <w:sz w:val="28"/>
          <w:szCs w:val="28"/>
        </w:rPr>
      </w:pPr>
      <w:r w:rsidRPr="00FA67EE">
        <w:rPr>
          <w:rFonts w:ascii="Times New Roman" w:hAnsi="Times New Roman" w:cs="Times New Roman"/>
          <w:sz w:val="28"/>
          <w:szCs w:val="28"/>
        </w:rPr>
        <w:t>В целях раннего выявления тяжелых наследственных и врожденных заболеваний в рамках реализации приоритетного национального проекта «Здоровье» в Российской Федерации с 2006 г</w:t>
      </w:r>
      <w:r w:rsidR="00D97D72">
        <w:rPr>
          <w:rFonts w:ascii="Times New Roman" w:hAnsi="Times New Roman" w:cs="Times New Roman"/>
          <w:sz w:val="28"/>
          <w:szCs w:val="28"/>
        </w:rPr>
        <w:t>.</w:t>
      </w:r>
      <w:r w:rsidRPr="00FA67EE">
        <w:rPr>
          <w:rFonts w:ascii="Times New Roman" w:hAnsi="Times New Roman" w:cs="Times New Roman"/>
          <w:sz w:val="28"/>
          <w:szCs w:val="28"/>
        </w:rPr>
        <w:t xml:space="preserve"> проводится неонатальный скрининг </w:t>
      </w:r>
      <w:r w:rsidR="00A9041C">
        <w:rPr>
          <w:rFonts w:ascii="Times New Roman" w:hAnsi="Times New Roman" w:cs="Times New Roman"/>
          <w:sz w:val="28"/>
          <w:szCs w:val="28"/>
        </w:rPr>
        <w:br/>
      </w:r>
      <w:r w:rsidRPr="00FA67EE">
        <w:rPr>
          <w:rFonts w:ascii="Times New Roman" w:hAnsi="Times New Roman" w:cs="Times New Roman"/>
          <w:sz w:val="28"/>
          <w:szCs w:val="28"/>
        </w:rPr>
        <w:t xml:space="preserve">на 5 наследственных и врожденных заболеваний. Неонатальный скрининг позволяет своевременно, в первые дни жизни ребенка, диагностировать заболевания, начать лечение, в том числе медикаментозное, </w:t>
      </w:r>
      <w:r w:rsidR="007712FA">
        <w:rPr>
          <w:rFonts w:ascii="Times New Roman" w:hAnsi="Times New Roman" w:cs="Times New Roman"/>
          <w:sz w:val="28"/>
          <w:szCs w:val="28"/>
        </w:rPr>
        <w:t xml:space="preserve">и </w:t>
      </w:r>
      <w:r w:rsidRPr="00FA67EE">
        <w:rPr>
          <w:rFonts w:ascii="Times New Roman" w:hAnsi="Times New Roman" w:cs="Times New Roman"/>
          <w:sz w:val="28"/>
          <w:szCs w:val="28"/>
        </w:rPr>
        <w:t>тем самым влиять на показатель младенческой смертности и инвалидизацию детей.</w:t>
      </w:r>
    </w:p>
    <w:p w14:paraId="5E32C573" w14:textId="77777777" w:rsidR="00FA67EE" w:rsidRPr="00FA67EE" w:rsidRDefault="00FA67EE" w:rsidP="00FA67EE">
      <w:pPr>
        <w:spacing w:after="0" w:line="312" w:lineRule="auto"/>
        <w:ind w:firstLine="709"/>
        <w:jc w:val="both"/>
        <w:rPr>
          <w:rFonts w:ascii="Times New Roman" w:hAnsi="Times New Roman" w:cs="Times New Roman"/>
          <w:sz w:val="28"/>
          <w:szCs w:val="28"/>
        </w:rPr>
      </w:pPr>
      <w:r w:rsidRPr="00FA67EE">
        <w:rPr>
          <w:rFonts w:ascii="Times New Roman" w:hAnsi="Times New Roman" w:cs="Times New Roman"/>
          <w:sz w:val="28"/>
          <w:szCs w:val="28"/>
        </w:rPr>
        <w:t xml:space="preserve">За это время обследовано более 22 млн детей, выявлено более 17 тыс. детей с врожденными и наследственными заболеваниями. </w:t>
      </w:r>
    </w:p>
    <w:p w14:paraId="5CCDB633" w14:textId="2FCE9529" w:rsidR="00FA67EE" w:rsidRPr="00FA67EE" w:rsidRDefault="00FA67EE" w:rsidP="00FA67EE">
      <w:pPr>
        <w:spacing w:after="0" w:line="312" w:lineRule="auto"/>
        <w:ind w:firstLine="709"/>
        <w:jc w:val="both"/>
        <w:rPr>
          <w:rFonts w:ascii="Times New Roman" w:hAnsi="Times New Roman" w:cs="Times New Roman"/>
          <w:sz w:val="28"/>
          <w:szCs w:val="28"/>
        </w:rPr>
      </w:pPr>
      <w:r w:rsidRPr="00FA67EE">
        <w:rPr>
          <w:rFonts w:ascii="Times New Roman" w:hAnsi="Times New Roman" w:cs="Times New Roman"/>
          <w:sz w:val="28"/>
          <w:szCs w:val="28"/>
        </w:rPr>
        <w:t>По оперативным данным субъектов Российской Федерации</w:t>
      </w:r>
      <w:r w:rsidR="007712FA">
        <w:rPr>
          <w:rFonts w:ascii="Times New Roman" w:hAnsi="Times New Roman" w:cs="Times New Roman"/>
          <w:sz w:val="28"/>
          <w:szCs w:val="28"/>
        </w:rPr>
        <w:t>,</w:t>
      </w:r>
      <w:r w:rsidRPr="00FA67EE">
        <w:rPr>
          <w:rFonts w:ascii="Times New Roman" w:hAnsi="Times New Roman" w:cs="Times New Roman"/>
          <w:sz w:val="28"/>
          <w:szCs w:val="28"/>
        </w:rPr>
        <w:t xml:space="preserve"> в 2021 г</w:t>
      </w:r>
      <w:r w:rsidR="00D97D72">
        <w:rPr>
          <w:rFonts w:ascii="Times New Roman" w:hAnsi="Times New Roman" w:cs="Times New Roman"/>
          <w:sz w:val="28"/>
          <w:szCs w:val="28"/>
        </w:rPr>
        <w:t>.</w:t>
      </w:r>
      <w:r w:rsidRPr="00FA67EE">
        <w:rPr>
          <w:rFonts w:ascii="Times New Roman" w:hAnsi="Times New Roman" w:cs="Times New Roman"/>
          <w:sz w:val="28"/>
          <w:szCs w:val="28"/>
        </w:rPr>
        <w:t xml:space="preserve"> обследовано более 1 321 тыс. новорожденных на 5 наследственных и врожденных заболеваний. Охват неонатальным скринингом составил боле</w:t>
      </w:r>
      <w:r>
        <w:rPr>
          <w:rFonts w:ascii="Times New Roman" w:hAnsi="Times New Roman" w:cs="Times New Roman"/>
          <w:sz w:val="28"/>
          <w:szCs w:val="28"/>
        </w:rPr>
        <w:t>е 95</w:t>
      </w:r>
      <w:r w:rsidRPr="00FA67EE">
        <w:rPr>
          <w:rFonts w:ascii="Times New Roman" w:hAnsi="Times New Roman" w:cs="Times New Roman"/>
          <w:sz w:val="28"/>
          <w:szCs w:val="28"/>
        </w:rPr>
        <w:t>% детей от числа родившихся, что отвечает требованиям ВОЗ и свидетельствует об эффективности мероприятия. Выявлено 1 107 детей с врожденными и наследственными заболеваниями (фенилкетонурия – 248</w:t>
      </w:r>
      <w:r w:rsidR="007712FA">
        <w:rPr>
          <w:rFonts w:ascii="Times New Roman" w:hAnsi="Times New Roman" w:cs="Times New Roman"/>
          <w:sz w:val="28"/>
          <w:szCs w:val="28"/>
        </w:rPr>
        <w:t xml:space="preserve"> детей</w:t>
      </w:r>
      <w:r w:rsidRPr="00FA67EE">
        <w:rPr>
          <w:rFonts w:ascii="Times New Roman" w:hAnsi="Times New Roman" w:cs="Times New Roman"/>
          <w:sz w:val="28"/>
          <w:szCs w:val="28"/>
        </w:rPr>
        <w:t>, врожденный гипотиреоз – 404</w:t>
      </w:r>
      <w:r w:rsidR="007712FA">
        <w:rPr>
          <w:rFonts w:ascii="Times New Roman" w:hAnsi="Times New Roman" w:cs="Times New Roman"/>
          <w:sz w:val="28"/>
          <w:szCs w:val="28"/>
        </w:rPr>
        <w:t xml:space="preserve"> ребенка</w:t>
      </w:r>
      <w:r w:rsidRPr="00FA67EE">
        <w:rPr>
          <w:rFonts w:ascii="Times New Roman" w:hAnsi="Times New Roman" w:cs="Times New Roman"/>
          <w:sz w:val="28"/>
          <w:szCs w:val="28"/>
        </w:rPr>
        <w:t>, адреногенитальный синдром – 173</w:t>
      </w:r>
      <w:r w:rsidR="007712FA">
        <w:rPr>
          <w:rFonts w:ascii="Times New Roman" w:hAnsi="Times New Roman" w:cs="Times New Roman"/>
          <w:sz w:val="28"/>
          <w:szCs w:val="28"/>
        </w:rPr>
        <w:t xml:space="preserve"> ребенка</w:t>
      </w:r>
      <w:r w:rsidRPr="00FA67EE">
        <w:rPr>
          <w:rFonts w:ascii="Times New Roman" w:hAnsi="Times New Roman" w:cs="Times New Roman"/>
          <w:sz w:val="28"/>
          <w:szCs w:val="28"/>
        </w:rPr>
        <w:t>, галактоземия – 98</w:t>
      </w:r>
      <w:r w:rsidR="007712FA">
        <w:rPr>
          <w:rFonts w:ascii="Times New Roman" w:hAnsi="Times New Roman" w:cs="Times New Roman"/>
          <w:sz w:val="28"/>
          <w:szCs w:val="28"/>
        </w:rPr>
        <w:t xml:space="preserve"> детей</w:t>
      </w:r>
      <w:r w:rsidRPr="00FA67EE">
        <w:rPr>
          <w:rFonts w:ascii="Times New Roman" w:hAnsi="Times New Roman" w:cs="Times New Roman"/>
          <w:sz w:val="28"/>
          <w:szCs w:val="28"/>
        </w:rPr>
        <w:t>, муковисцидоз – 184</w:t>
      </w:r>
      <w:r w:rsidR="007712FA">
        <w:rPr>
          <w:rFonts w:ascii="Times New Roman" w:hAnsi="Times New Roman" w:cs="Times New Roman"/>
          <w:sz w:val="28"/>
          <w:szCs w:val="28"/>
        </w:rPr>
        <w:t xml:space="preserve"> ребенка</w:t>
      </w:r>
      <w:r w:rsidRPr="00FA67EE">
        <w:rPr>
          <w:rFonts w:ascii="Times New Roman" w:hAnsi="Times New Roman" w:cs="Times New Roman"/>
          <w:sz w:val="28"/>
          <w:szCs w:val="28"/>
        </w:rPr>
        <w:t>). Все дети взяты на диспансерный учет, получают необходимое лечение.</w:t>
      </w:r>
    </w:p>
    <w:p w14:paraId="5AD3B22B" w14:textId="77202D32" w:rsidR="00FA67EE" w:rsidRPr="00FA67EE" w:rsidRDefault="00D97D72" w:rsidP="00FA67EE">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2021 г. Минздравом России проводилась работа по реализации мероприятий, направленных на расширение обследования детей на более чем 40 врожденных и (или) наследственных заболеваний. 3 декабря 2021 г. сформирован паспорт федерального проекта «Обеспечение расширенного неонатального скрининга» </w:t>
      </w:r>
      <w:r w:rsidR="001B7BF2">
        <w:rPr>
          <w:rFonts w:ascii="Times New Roman" w:hAnsi="Times New Roman" w:cs="Times New Roman"/>
          <w:sz w:val="28"/>
          <w:szCs w:val="28"/>
        </w:rPr>
        <w:br/>
      </w:r>
      <w:r>
        <w:rPr>
          <w:rFonts w:ascii="Times New Roman" w:hAnsi="Times New Roman" w:cs="Times New Roman"/>
          <w:sz w:val="28"/>
          <w:szCs w:val="28"/>
        </w:rPr>
        <w:t>№ 000004421.</w:t>
      </w:r>
    </w:p>
    <w:p w14:paraId="06670E31" w14:textId="77777777" w:rsidR="00D97D72" w:rsidRDefault="00FA67EE" w:rsidP="007712FA">
      <w:pPr>
        <w:spacing w:after="0" w:line="312" w:lineRule="auto"/>
        <w:ind w:firstLine="709"/>
        <w:jc w:val="both"/>
        <w:rPr>
          <w:rFonts w:ascii="Times New Roman" w:hAnsi="Times New Roman" w:cs="Times New Roman"/>
          <w:sz w:val="28"/>
          <w:szCs w:val="28"/>
        </w:rPr>
      </w:pPr>
      <w:r w:rsidRPr="00FA67EE">
        <w:rPr>
          <w:rFonts w:ascii="Times New Roman" w:hAnsi="Times New Roman" w:cs="Times New Roman"/>
          <w:sz w:val="28"/>
          <w:szCs w:val="28"/>
        </w:rPr>
        <w:t>Расширение неонатального скрининга в Российской Федерации позволит ежегодно выявлять детей с врожденными и наследственными заболеваниями, своевременно оказывать им медицинскую помощь, в том числе детям со спинальной мышечной атрофией, избегать летального исхода</w:t>
      </w:r>
      <w:r w:rsidR="00D97D72">
        <w:rPr>
          <w:rFonts w:ascii="Times New Roman" w:hAnsi="Times New Roman" w:cs="Times New Roman"/>
          <w:sz w:val="28"/>
          <w:szCs w:val="28"/>
        </w:rPr>
        <w:t xml:space="preserve"> или их глубокой инвалидизации.</w:t>
      </w:r>
    </w:p>
    <w:p w14:paraId="3A9816DD" w14:textId="77777777" w:rsidR="00FA67EE" w:rsidRPr="00FA67EE" w:rsidRDefault="00FA67EE" w:rsidP="007712FA">
      <w:pPr>
        <w:spacing w:after="0" w:line="312" w:lineRule="auto"/>
        <w:ind w:firstLine="709"/>
        <w:jc w:val="both"/>
        <w:rPr>
          <w:rFonts w:ascii="Times New Roman" w:hAnsi="Times New Roman" w:cs="Times New Roman"/>
          <w:sz w:val="28"/>
          <w:szCs w:val="28"/>
        </w:rPr>
      </w:pPr>
      <w:r w:rsidRPr="00FA67EE">
        <w:rPr>
          <w:rFonts w:ascii="Times New Roman" w:hAnsi="Times New Roman" w:cs="Times New Roman"/>
          <w:sz w:val="28"/>
          <w:szCs w:val="28"/>
        </w:rPr>
        <w:t>Указанные меры позволят снизи</w:t>
      </w:r>
      <w:r w:rsidR="007712FA">
        <w:rPr>
          <w:rFonts w:ascii="Times New Roman" w:hAnsi="Times New Roman" w:cs="Times New Roman"/>
          <w:sz w:val="28"/>
          <w:szCs w:val="28"/>
        </w:rPr>
        <w:t xml:space="preserve">ть уровень инвалидизации детей </w:t>
      </w:r>
      <w:r w:rsidRPr="00FA67EE">
        <w:rPr>
          <w:rFonts w:ascii="Times New Roman" w:hAnsi="Times New Roman" w:cs="Times New Roman"/>
          <w:sz w:val="28"/>
          <w:szCs w:val="28"/>
        </w:rPr>
        <w:t>и показателей детской смертности.</w:t>
      </w:r>
    </w:p>
    <w:p w14:paraId="77B1E470" w14:textId="77777777" w:rsidR="00FA67EE" w:rsidRPr="00FA67EE" w:rsidRDefault="00FA67EE" w:rsidP="00FA67EE">
      <w:pPr>
        <w:spacing w:after="0" w:line="312" w:lineRule="auto"/>
        <w:ind w:firstLine="709"/>
        <w:jc w:val="both"/>
        <w:rPr>
          <w:rFonts w:ascii="Times New Roman" w:hAnsi="Times New Roman" w:cs="Times New Roman"/>
          <w:sz w:val="28"/>
          <w:szCs w:val="28"/>
        </w:rPr>
      </w:pPr>
      <w:r w:rsidRPr="00FA67EE">
        <w:rPr>
          <w:rFonts w:ascii="Times New Roman" w:hAnsi="Times New Roman" w:cs="Times New Roman"/>
          <w:sz w:val="28"/>
          <w:szCs w:val="28"/>
        </w:rPr>
        <w:t>Также с целью профилактики тугоухости и глухоты проводится ранняя диагностика нарушений слуха (аудиологи</w:t>
      </w:r>
      <w:r w:rsidR="00605AA9">
        <w:rPr>
          <w:rFonts w:ascii="Times New Roman" w:hAnsi="Times New Roman" w:cs="Times New Roman"/>
          <w:sz w:val="28"/>
          <w:szCs w:val="28"/>
        </w:rPr>
        <w:t xml:space="preserve">ческий скрининг) новорожденных </w:t>
      </w:r>
      <w:r w:rsidRPr="00FA67EE">
        <w:rPr>
          <w:rFonts w:ascii="Times New Roman" w:hAnsi="Times New Roman" w:cs="Times New Roman"/>
          <w:sz w:val="28"/>
          <w:szCs w:val="28"/>
        </w:rPr>
        <w:t>и детей первого года жизни с последующим проведением при необходимости операции кохлеарной имплантации.</w:t>
      </w:r>
    </w:p>
    <w:p w14:paraId="7E9599D0" w14:textId="77777777" w:rsidR="00FA67EE" w:rsidRPr="00FA67EE" w:rsidRDefault="00FA67EE" w:rsidP="00FA67EE">
      <w:pPr>
        <w:spacing w:after="0" w:line="312" w:lineRule="auto"/>
        <w:ind w:firstLine="709"/>
        <w:jc w:val="both"/>
        <w:rPr>
          <w:rFonts w:ascii="Times New Roman" w:hAnsi="Times New Roman" w:cs="Times New Roman"/>
          <w:sz w:val="28"/>
          <w:szCs w:val="28"/>
        </w:rPr>
      </w:pPr>
      <w:r w:rsidRPr="00FA67EE">
        <w:rPr>
          <w:rFonts w:ascii="Times New Roman" w:hAnsi="Times New Roman" w:cs="Times New Roman"/>
          <w:sz w:val="28"/>
          <w:szCs w:val="28"/>
        </w:rPr>
        <w:t>В 2021 г</w:t>
      </w:r>
      <w:r w:rsidR="00D97D72">
        <w:rPr>
          <w:rFonts w:ascii="Times New Roman" w:hAnsi="Times New Roman" w:cs="Times New Roman"/>
          <w:sz w:val="28"/>
          <w:szCs w:val="28"/>
        </w:rPr>
        <w:t>.</w:t>
      </w:r>
      <w:r w:rsidRPr="00FA67EE">
        <w:rPr>
          <w:rFonts w:ascii="Times New Roman" w:hAnsi="Times New Roman" w:cs="Times New Roman"/>
          <w:sz w:val="28"/>
          <w:szCs w:val="28"/>
        </w:rPr>
        <w:t xml:space="preserve"> на нарушен</w:t>
      </w:r>
      <w:r w:rsidR="005D7BDA">
        <w:rPr>
          <w:rFonts w:ascii="Times New Roman" w:hAnsi="Times New Roman" w:cs="Times New Roman"/>
          <w:sz w:val="28"/>
          <w:szCs w:val="28"/>
        </w:rPr>
        <w:t>ия слуха обследовано более 96,7</w:t>
      </w:r>
      <w:r w:rsidR="00605AA9">
        <w:rPr>
          <w:rFonts w:ascii="Times New Roman" w:hAnsi="Times New Roman" w:cs="Times New Roman"/>
          <w:sz w:val="28"/>
          <w:szCs w:val="28"/>
        </w:rPr>
        <w:t xml:space="preserve">% детей </w:t>
      </w:r>
      <w:r w:rsidRPr="00FA67EE">
        <w:rPr>
          <w:rFonts w:ascii="Times New Roman" w:hAnsi="Times New Roman" w:cs="Times New Roman"/>
          <w:sz w:val="28"/>
          <w:szCs w:val="28"/>
        </w:rPr>
        <w:t>от числа новорожденных</w:t>
      </w:r>
      <w:r w:rsidR="005D7BDA">
        <w:rPr>
          <w:rFonts w:ascii="Times New Roman" w:hAnsi="Times New Roman" w:cs="Times New Roman"/>
          <w:sz w:val="28"/>
          <w:szCs w:val="28"/>
        </w:rPr>
        <w:t>,</w:t>
      </w:r>
      <w:r w:rsidRPr="00FA67EE">
        <w:rPr>
          <w:rFonts w:ascii="Times New Roman" w:hAnsi="Times New Roman" w:cs="Times New Roman"/>
          <w:sz w:val="28"/>
          <w:szCs w:val="28"/>
        </w:rPr>
        <w:t xml:space="preserve"> поступивших под наблюдение медицинской организации, выявлено 23</w:t>
      </w:r>
      <w:r w:rsidR="00F04862" w:rsidRPr="00AD1189">
        <w:rPr>
          <w:rFonts w:ascii="Times New Roman" w:hAnsi="Times New Roman" w:cs="Times New Roman"/>
          <w:sz w:val="28"/>
          <w:szCs w:val="28"/>
        </w:rPr>
        <w:t> </w:t>
      </w:r>
      <w:r w:rsidRPr="00FA67EE">
        <w:rPr>
          <w:rFonts w:ascii="Times New Roman" w:hAnsi="Times New Roman" w:cs="Times New Roman"/>
          <w:sz w:val="28"/>
          <w:szCs w:val="28"/>
        </w:rPr>
        <w:t>186 детей с подозрением на наличие нарушения слуха, 19 609 детям проведена углубленная диагностика, выявлено 7</w:t>
      </w:r>
      <w:r w:rsidR="00605AA9">
        <w:rPr>
          <w:rFonts w:ascii="Times New Roman" w:hAnsi="Times New Roman" w:cs="Times New Roman"/>
          <w:sz w:val="28"/>
          <w:szCs w:val="28"/>
        </w:rPr>
        <w:t xml:space="preserve"> </w:t>
      </w:r>
      <w:r w:rsidRPr="00FA67EE">
        <w:rPr>
          <w:rFonts w:ascii="Times New Roman" w:hAnsi="Times New Roman" w:cs="Times New Roman"/>
          <w:sz w:val="28"/>
          <w:szCs w:val="28"/>
        </w:rPr>
        <w:t>963 ребенка с нарушением слуха, все нуждающиеся дети взяты на диспансерное наблюдение.</w:t>
      </w:r>
    </w:p>
    <w:p w14:paraId="4C3ACDF4" w14:textId="77777777" w:rsidR="00FA67EE" w:rsidRPr="00FA67EE" w:rsidRDefault="00FA67EE" w:rsidP="00FA67EE">
      <w:pPr>
        <w:spacing w:after="0" w:line="312" w:lineRule="auto"/>
        <w:ind w:firstLine="709"/>
        <w:jc w:val="both"/>
        <w:rPr>
          <w:rFonts w:ascii="Times New Roman" w:hAnsi="Times New Roman" w:cs="Times New Roman"/>
          <w:sz w:val="28"/>
          <w:szCs w:val="28"/>
        </w:rPr>
      </w:pPr>
      <w:r w:rsidRPr="00FA67EE">
        <w:rPr>
          <w:rFonts w:ascii="Times New Roman" w:hAnsi="Times New Roman" w:cs="Times New Roman"/>
          <w:sz w:val="28"/>
          <w:szCs w:val="28"/>
        </w:rPr>
        <w:t>В 2021 г</w:t>
      </w:r>
      <w:r w:rsidR="00D97D72">
        <w:rPr>
          <w:rFonts w:ascii="Times New Roman" w:hAnsi="Times New Roman" w:cs="Times New Roman"/>
          <w:sz w:val="28"/>
          <w:szCs w:val="28"/>
        </w:rPr>
        <w:t>.</w:t>
      </w:r>
      <w:r w:rsidRPr="00FA67EE">
        <w:rPr>
          <w:rFonts w:ascii="Times New Roman" w:hAnsi="Times New Roman" w:cs="Times New Roman"/>
          <w:sz w:val="28"/>
          <w:szCs w:val="28"/>
        </w:rPr>
        <w:t xml:space="preserve"> </w:t>
      </w:r>
      <w:r w:rsidR="00D97D72" w:rsidRPr="00FA67EE">
        <w:rPr>
          <w:rFonts w:ascii="Times New Roman" w:hAnsi="Times New Roman" w:cs="Times New Roman"/>
          <w:sz w:val="28"/>
          <w:szCs w:val="28"/>
        </w:rPr>
        <w:t xml:space="preserve">655 детям </w:t>
      </w:r>
      <w:r w:rsidRPr="00FA67EE">
        <w:rPr>
          <w:rFonts w:ascii="Times New Roman" w:hAnsi="Times New Roman" w:cs="Times New Roman"/>
          <w:sz w:val="28"/>
          <w:szCs w:val="28"/>
        </w:rPr>
        <w:t xml:space="preserve">проведена операция кохлеарной имплантации </w:t>
      </w:r>
      <w:r w:rsidR="00A87C4C">
        <w:rPr>
          <w:rFonts w:ascii="Times New Roman" w:hAnsi="Times New Roman" w:cs="Times New Roman"/>
          <w:sz w:val="28"/>
          <w:szCs w:val="28"/>
        </w:rPr>
        <w:br/>
      </w:r>
      <w:r w:rsidRPr="00FA67EE">
        <w:rPr>
          <w:rFonts w:ascii="Times New Roman" w:hAnsi="Times New Roman" w:cs="Times New Roman"/>
          <w:sz w:val="28"/>
          <w:szCs w:val="28"/>
        </w:rPr>
        <w:t xml:space="preserve">(2020 г. </w:t>
      </w:r>
      <w:r w:rsidR="00CC5645">
        <w:rPr>
          <w:rFonts w:ascii="Times New Roman" w:hAnsi="Times New Roman" w:cs="Times New Roman"/>
          <w:sz w:val="28"/>
          <w:szCs w:val="28"/>
        </w:rPr>
        <w:t>–</w:t>
      </w:r>
      <w:r w:rsidRPr="00FA67EE">
        <w:rPr>
          <w:rFonts w:ascii="Times New Roman" w:hAnsi="Times New Roman" w:cs="Times New Roman"/>
          <w:sz w:val="28"/>
          <w:szCs w:val="28"/>
        </w:rPr>
        <w:t xml:space="preserve"> 771 ребен</w:t>
      </w:r>
      <w:r w:rsidR="00605AA9">
        <w:rPr>
          <w:rFonts w:ascii="Times New Roman" w:hAnsi="Times New Roman" w:cs="Times New Roman"/>
          <w:sz w:val="28"/>
          <w:szCs w:val="28"/>
        </w:rPr>
        <w:t>ок</w:t>
      </w:r>
      <w:r w:rsidR="00CC5645">
        <w:rPr>
          <w:rFonts w:ascii="Times New Roman" w:hAnsi="Times New Roman" w:cs="Times New Roman"/>
          <w:sz w:val="28"/>
          <w:szCs w:val="28"/>
        </w:rPr>
        <w:t>;</w:t>
      </w:r>
      <w:r w:rsidRPr="00FA67EE">
        <w:rPr>
          <w:rFonts w:ascii="Times New Roman" w:hAnsi="Times New Roman" w:cs="Times New Roman"/>
          <w:sz w:val="28"/>
          <w:szCs w:val="28"/>
        </w:rPr>
        <w:t xml:space="preserve"> 2019 г. – 913 дет</w:t>
      </w:r>
      <w:r w:rsidR="00605AA9">
        <w:rPr>
          <w:rFonts w:ascii="Times New Roman" w:hAnsi="Times New Roman" w:cs="Times New Roman"/>
          <w:sz w:val="28"/>
          <w:szCs w:val="28"/>
        </w:rPr>
        <w:t>ей</w:t>
      </w:r>
      <w:r w:rsidRPr="00FA67EE">
        <w:rPr>
          <w:rFonts w:ascii="Times New Roman" w:hAnsi="Times New Roman" w:cs="Times New Roman"/>
          <w:sz w:val="28"/>
          <w:szCs w:val="28"/>
        </w:rPr>
        <w:t>).</w:t>
      </w:r>
    </w:p>
    <w:p w14:paraId="06FBDA31" w14:textId="77777777" w:rsidR="00D03A4F" w:rsidRDefault="00D03A4F" w:rsidP="00F07FD0">
      <w:pPr>
        <w:shd w:val="clear" w:color="auto" w:fill="FFFFFF"/>
        <w:autoSpaceDE w:val="0"/>
        <w:autoSpaceDN w:val="0"/>
        <w:adjustRightInd w:val="0"/>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Обязательное медицинское страхование женщин и детей, доступность квалифицированной медицинской помощи и лекарственное обеспечение женщин и детей</w:t>
      </w:r>
    </w:p>
    <w:p w14:paraId="06EE4765" w14:textId="77777777" w:rsidR="00D968E9" w:rsidRPr="00D968E9" w:rsidRDefault="00D968E9" w:rsidP="000F1E27">
      <w:pPr>
        <w:widowControl w:val="0"/>
        <w:autoSpaceDE w:val="0"/>
        <w:autoSpaceDN w:val="0"/>
        <w:adjustRightInd w:val="0"/>
        <w:spacing w:after="0" w:line="312" w:lineRule="auto"/>
        <w:ind w:firstLine="709"/>
        <w:jc w:val="both"/>
        <w:rPr>
          <w:rFonts w:ascii="Times New Roman" w:eastAsia="Times New Roman" w:hAnsi="Times New Roman" w:cs="Times New Roman"/>
          <w:spacing w:val="2"/>
          <w:sz w:val="28"/>
          <w:szCs w:val="28"/>
          <w:lang w:eastAsia="ru-RU"/>
        </w:rPr>
      </w:pPr>
      <w:r w:rsidRPr="00D968E9">
        <w:rPr>
          <w:rFonts w:ascii="Times New Roman" w:eastAsia="Times New Roman" w:hAnsi="Times New Roman" w:cs="Times New Roman"/>
          <w:spacing w:val="2"/>
          <w:sz w:val="28"/>
          <w:szCs w:val="28"/>
          <w:lang w:eastAsia="ru-RU"/>
        </w:rPr>
        <w:t>В соответствии с Федеральным законом от 29</w:t>
      </w:r>
      <w:r>
        <w:rPr>
          <w:rFonts w:ascii="Times New Roman" w:eastAsia="Times New Roman" w:hAnsi="Times New Roman" w:cs="Times New Roman"/>
          <w:spacing w:val="2"/>
          <w:sz w:val="28"/>
          <w:szCs w:val="28"/>
          <w:lang w:eastAsia="ru-RU"/>
        </w:rPr>
        <w:t xml:space="preserve"> ноября </w:t>
      </w:r>
      <w:r w:rsidRPr="00D968E9">
        <w:rPr>
          <w:rFonts w:ascii="Times New Roman" w:eastAsia="Times New Roman" w:hAnsi="Times New Roman" w:cs="Times New Roman"/>
          <w:spacing w:val="2"/>
          <w:sz w:val="28"/>
          <w:szCs w:val="28"/>
          <w:lang w:eastAsia="ru-RU"/>
        </w:rPr>
        <w:t>2010</w:t>
      </w:r>
      <w:r>
        <w:rPr>
          <w:rFonts w:ascii="Times New Roman" w:eastAsia="Times New Roman" w:hAnsi="Times New Roman" w:cs="Times New Roman"/>
          <w:spacing w:val="2"/>
          <w:sz w:val="28"/>
          <w:szCs w:val="28"/>
          <w:lang w:eastAsia="ru-RU"/>
        </w:rPr>
        <w:t xml:space="preserve"> г. № 326-ФЗ </w:t>
      </w:r>
      <w:r>
        <w:rPr>
          <w:rFonts w:ascii="Times New Roman" w:eastAsia="Times New Roman" w:hAnsi="Times New Roman" w:cs="Times New Roman"/>
          <w:spacing w:val="2"/>
          <w:sz w:val="28"/>
          <w:szCs w:val="28"/>
          <w:lang w:eastAsia="ru-RU"/>
        </w:rPr>
        <w:br/>
      </w:r>
      <w:r w:rsidRPr="00D968E9">
        <w:rPr>
          <w:rFonts w:ascii="Times New Roman" w:eastAsia="Times New Roman" w:hAnsi="Times New Roman" w:cs="Times New Roman"/>
          <w:spacing w:val="2"/>
          <w:sz w:val="28"/>
          <w:szCs w:val="28"/>
          <w:lang w:eastAsia="ru-RU"/>
        </w:rPr>
        <w:t xml:space="preserve">«Об обязательном медицинском страховании в Российской Федерации» </w:t>
      </w:r>
      <w:r w:rsidR="00F04862">
        <w:rPr>
          <w:rFonts w:ascii="Times New Roman" w:eastAsia="Times New Roman" w:hAnsi="Times New Roman" w:cs="Times New Roman"/>
          <w:spacing w:val="2"/>
          <w:sz w:val="28"/>
          <w:szCs w:val="28"/>
          <w:lang w:eastAsia="ru-RU"/>
        </w:rPr>
        <w:br/>
      </w:r>
      <w:r w:rsidRPr="00D968E9">
        <w:rPr>
          <w:rFonts w:ascii="Times New Roman" w:eastAsia="Times New Roman" w:hAnsi="Times New Roman" w:cs="Times New Roman"/>
          <w:spacing w:val="2"/>
          <w:sz w:val="28"/>
          <w:szCs w:val="28"/>
          <w:lang w:eastAsia="ru-RU"/>
        </w:rPr>
        <w:t>(далее – Федеральный закон от 29</w:t>
      </w:r>
      <w:r>
        <w:rPr>
          <w:rFonts w:ascii="Times New Roman" w:eastAsia="Times New Roman" w:hAnsi="Times New Roman" w:cs="Times New Roman"/>
          <w:spacing w:val="2"/>
          <w:sz w:val="28"/>
          <w:szCs w:val="28"/>
          <w:lang w:eastAsia="ru-RU"/>
        </w:rPr>
        <w:t xml:space="preserve"> ноября </w:t>
      </w:r>
      <w:r w:rsidRPr="00D968E9">
        <w:rPr>
          <w:rFonts w:ascii="Times New Roman" w:eastAsia="Times New Roman" w:hAnsi="Times New Roman" w:cs="Times New Roman"/>
          <w:spacing w:val="2"/>
          <w:sz w:val="28"/>
          <w:szCs w:val="28"/>
          <w:lang w:eastAsia="ru-RU"/>
        </w:rPr>
        <w:t>2010</w:t>
      </w:r>
      <w:r>
        <w:rPr>
          <w:rFonts w:ascii="Times New Roman" w:eastAsia="Times New Roman" w:hAnsi="Times New Roman" w:cs="Times New Roman"/>
          <w:spacing w:val="2"/>
          <w:sz w:val="28"/>
          <w:szCs w:val="28"/>
          <w:lang w:eastAsia="ru-RU"/>
        </w:rPr>
        <w:t xml:space="preserve"> г. </w:t>
      </w:r>
      <w:r w:rsidRPr="00D968E9">
        <w:rPr>
          <w:rFonts w:ascii="Times New Roman" w:eastAsia="Times New Roman" w:hAnsi="Times New Roman" w:cs="Times New Roman"/>
          <w:spacing w:val="2"/>
          <w:sz w:val="28"/>
          <w:szCs w:val="28"/>
          <w:lang w:eastAsia="ru-RU"/>
        </w:rPr>
        <w:t>№ 326-ФЗ) обязательное медицинское страхование</w:t>
      </w:r>
      <w:r w:rsidR="00B1274D">
        <w:rPr>
          <w:rFonts w:ascii="Times New Roman" w:eastAsia="Times New Roman" w:hAnsi="Times New Roman" w:cs="Times New Roman"/>
          <w:spacing w:val="2"/>
          <w:sz w:val="28"/>
          <w:szCs w:val="28"/>
          <w:lang w:eastAsia="ru-RU"/>
        </w:rPr>
        <w:t xml:space="preserve"> (далее – ОМС)</w:t>
      </w:r>
      <w:r w:rsidRPr="00D968E9">
        <w:rPr>
          <w:rFonts w:ascii="Times New Roman" w:eastAsia="Times New Roman" w:hAnsi="Times New Roman" w:cs="Times New Roman"/>
          <w:spacing w:val="2"/>
          <w:sz w:val="28"/>
          <w:szCs w:val="28"/>
          <w:lang w:eastAsia="ru-RU"/>
        </w:rPr>
        <w:t xml:space="preserve">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w:t>
      </w:r>
      <w:r w:rsidR="00B1274D">
        <w:rPr>
          <w:rFonts w:ascii="Times New Roman" w:eastAsia="Times New Roman" w:hAnsi="Times New Roman" w:cs="Times New Roman"/>
          <w:spacing w:val="2"/>
          <w:sz w:val="28"/>
          <w:szCs w:val="28"/>
          <w:lang w:eastAsia="ru-RU"/>
        </w:rPr>
        <w:t>ОМС</w:t>
      </w:r>
      <w:r w:rsidRPr="00D968E9">
        <w:rPr>
          <w:rFonts w:ascii="Times New Roman" w:eastAsia="Times New Roman" w:hAnsi="Times New Roman" w:cs="Times New Roman"/>
          <w:spacing w:val="2"/>
          <w:sz w:val="28"/>
          <w:szCs w:val="28"/>
          <w:lang w:eastAsia="ru-RU"/>
        </w:rPr>
        <w:t xml:space="preserve"> в пределах территориальной программы </w:t>
      </w:r>
      <w:r w:rsidR="00B1274D">
        <w:rPr>
          <w:rFonts w:ascii="Times New Roman" w:eastAsia="Times New Roman" w:hAnsi="Times New Roman" w:cs="Times New Roman"/>
          <w:spacing w:val="2"/>
          <w:sz w:val="28"/>
          <w:szCs w:val="28"/>
          <w:lang w:eastAsia="ru-RU"/>
        </w:rPr>
        <w:t>ОМС</w:t>
      </w:r>
      <w:r w:rsidRPr="00D968E9">
        <w:rPr>
          <w:rFonts w:ascii="Times New Roman" w:eastAsia="Times New Roman" w:hAnsi="Times New Roman" w:cs="Times New Roman"/>
          <w:spacing w:val="2"/>
          <w:sz w:val="28"/>
          <w:szCs w:val="28"/>
          <w:lang w:eastAsia="ru-RU"/>
        </w:rPr>
        <w:t xml:space="preserve"> и в установленных Федеральным законом </w:t>
      </w:r>
      <w:r w:rsidR="00B1274D">
        <w:rPr>
          <w:rFonts w:ascii="Times New Roman" w:eastAsia="Times New Roman" w:hAnsi="Times New Roman" w:cs="Times New Roman"/>
          <w:spacing w:val="2"/>
          <w:sz w:val="28"/>
          <w:szCs w:val="28"/>
          <w:lang w:eastAsia="ru-RU"/>
        </w:rPr>
        <w:br/>
      </w:r>
      <w:r w:rsidR="001F2422" w:rsidRPr="00D968E9">
        <w:rPr>
          <w:rFonts w:ascii="Times New Roman" w:eastAsia="Times New Roman" w:hAnsi="Times New Roman" w:cs="Times New Roman"/>
          <w:spacing w:val="2"/>
          <w:sz w:val="28"/>
          <w:szCs w:val="28"/>
          <w:lang w:eastAsia="ru-RU"/>
        </w:rPr>
        <w:t>от 29</w:t>
      </w:r>
      <w:r w:rsidR="001F2422">
        <w:rPr>
          <w:rFonts w:ascii="Times New Roman" w:eastAsia="Times New Roman" w:hAnsi="Times New Roman" w:cs="Times New Roman"/>
          <w:spacing w:val="2"/>
          <w:sz w:val="28"/>
          <w:szCs w:val="28"/>
          <w:lang w:eastAsia="ru-RU"/>
        </w:rPr>
        <w:t xml:space="preserve"> ноября </w:t>
      </w:r>
      <w:r w:rsidR="001F2422" w:rsidRPr="00D968E9">
        <w:rPr>
          <w:rFonts w:ascii="Times New Roman" w:eastAsia="Times New Roman" w:hAnsi="Times New Roman" w:cs="Times New Roman"/>
          <w:spacing w:val="2"/>
          <w:sz w:val="28"/>
          <w:szCs w:val="28"/>
          <w:lang w:eastAsia="ru-RU"/>
        </w:rPr>
        <w:t>2010</w:t>
      </w:r>
      <w:r w:rsidR="001F2422">
        <w:rPr>
          <w:rFonts w:ascii="Times New Roman" w:eastAsia="Times New Roman" w:hAnsi="Times New Roman" w:cs="Times New Roman"/>
          <w:spacing w:val="2"/>
          <w:sz w:val="28"/>
          <w:szCs w:val="28"/>
          <w:lang w:eastAsia="ru-RU"/>
        </w:rPr>
        <w:t xml:space="preserve"> г.</w:t>
      </w:r>
      <w:r w:rsidR="00B1274D">
        <w:rPr>
          <w:rFonts w:ascii="Times New Roman" w:eastAsia="Times New Roman" w:hAnsi="Times New Roman" w:cs="Times New Roman"/>
          <w:spacing w:val="2"/>
          <w:sz w:val="28"/>
          <w:szCs w:val="28"/>
          <w:lang w:eastAsia="ru-RU"/>
        </w:rPr>
        <w:t xml:space="preserve"> </w:t>
      </w:r>
      <w:r w:rsidRPr="00D968E9">
        <w:rPr>
          <w:rFonts w:ascii="Times New Roman" w:eastAsia="Times New Roman" w:hAnsi="Times New Roman" w:cs="Times New Roman"/>
          <w:spacing w:val="2"/>
          <w:sz w:val="28"/>
          <w:szCs w:val="28"/>
          <w:lang w:eastAsia="ru-RU"/>
        </w:rPr>
        <w:t>№ 326-ФЗ случаях в пределах базовой программы обязательного медицинского страхования.</w:t>
      </w:r>
    </w:p>
    <w:p w14:paraId="7E35AD01" w14:textId="77777777" w:rsidR="00D968E9" w:rsidRPr="00D968E9" w:rsidRDefault="00D968E9" w:rsidP="000F1E27">
      <w:pPr>
        <w:widowControl w:val="0"/>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968E9">
        <w:rPr>
          <w:rFonts w:ascii="Times New Roman" w:eastAsia="Times New Roman" w:hAnsi="Times New Roman" w:cs="Times New Roman"/>
          <w:sz w:val="28"/>
          <w:szCs w:val="28"/>
          <w:lang w:eastAsia="ru-RU"/>
        </w:rPr>
        <w:t xml:space="preserve">В соответствии со статьей 10 Федерального закона </w:t>
      </w:r>
      <w:r w:rsidR="000F1E27" w:rsidRPr="00D968E9">
        <w:rPr>
          <w:rFonts w:ascii="Times New Roman" w:eastAsia="Times New Roman" w:hAnsi="Times New Roman" w:cs="Times New Roman"/>
          <w:spacing w:val="2"/>
          <w:sz w:val="28"/>
          <w:szCs w:val="28"/>
          <w:lang w:eastAsia="ru-RU"/>
        </w:rPr>
        <w:t>от 29</w:t>
      </w:r>
      <w:r w:rsidR="000F1E27">
        <w:rPr>
          <w:rFonts w:ascii="Times New Roman" w:eastAsia="Times New Roman" w:hAnsi="Times New Roman" w:cs="Times New Roman"/>
          <w:spacing w:val="2"/>
          <w:sz w:val="28"/>
          <w:szCs w:val="28"/>
          <w:lang w:eastAsia="ru-RU"/>
        </w:rPr>
        <w:t xml:space="preserve"> ноября </w:t>
      </w:r>
      <w:r w:rsidR="000F1E27" w:rsidRPr="00D968E9">
        <w:rPr>
          <w:rFonts w:ascii="Times New Roman" w:eastAsia="Times New Roman" w:hAnsi="Times New Roman" w:cs="Times New Roman"/>
          <w:spacing w:val="2"/>
          <w:sz w:val="28"/>
          <w:szCs w:val="28"/>
          <w:lang w:eastAsia="ru-RU"/>
        </w:rPr>
        <w:t>2010</w:t>
      </w:r>
      <w:r w:rsidR="000F1E27">
        <w:rPr>
          <w:rFonts w:ascii="Times New Roman" w:eastAsia="Times New Roman" w:hAnsi="Times New Roman" w:cs="Times New Roman"/>
          <w:spacing w:val="2"/>
          <w:sz w:val="28"/>
          <w:szCs w:val="28"/>
          <w:lang w:eastAsia="ru-RU"/>
        </w:rPr>
        <w:t xml:space="preserve"> г. </w:t>
      </w:r>
      <w:r w:rsidR="000F1E27">
        <w:rPr>
          <w:rFonts w:ascii="Times New Roman" w:eastAsia="Times New Roman" w:hAnsi="Times New Roman" w:cs="Times New Roman"/>
          <w:spacing w:val="2"/>
          <w:sz w:val="28"/>
          <w:szCs w:val="28"/>
          <w:lang w:eastAsia="ru-RU"/>
        </w:rPr>
        <w:br/>
      </w:r>
      <w:r w:rsidRPr="00D968E9">
        <w:rPr>
          <w:rFonts w:ascii="Times New Roman" w:eastAsia="Times New Roman" w:hAnsi="Times New Roman" w:cs="Times New Roman"/>
          <w:sz w:val="28"/>
          <w:szCs w:val="28"/>
          <w:lang w:eastAsia="ru-RU"/>
        </w:rPr>
        <w:t>№ 326-ФЗ застрахованными лицами являются как работающие, так и неработающие граждане.</w:t>
      </w:r>
    </w:p>
    <w:p w14:paraId="6C3AEBDB" w14:textId="77777777" w:rsidR="00D968E9" w:rsidRPr="00D968E9" w:rsidRDefault="00D968E9" w:rsidP="000F1E27">
      <w:pPr>
        <w:widowControl w:val="0"/>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968E9">
        <w:rPr>
          <w:rFonts w:ascii="Times New Roman" w:eastAsia="Times New Roman" w:hAnsi="Times New Roman" w:cs="Times New Roman"/>
          <w:sz w:val="28"/>
          <w:szCs w:val="28"/>
          <w:lang w:eastAsia="ru-RU"/>
        </w:rPr>
        <w:t xml:space="preserve">При этом к неработающим гражданам относятся, в том числе: </w:t>
      </w:r>
    </w:p>
    <w:p w14:paraId="2B77315D" w14:textId="77777777" w:rsidR="00D968E9" w:rsidRPr="00D968E9" w:rsidRDefault="00D968E9" w:rsidP="000F1E27">
      <w:pPr>
        <w:widowControl w:val="0"/>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968E9">
        <w:rPr>
          <w:rFonts w:ascii="Times New Roman" w:eastAsia="Times New Roman" w:hAnsi="Times New Roman" w:cs="Times New Roman"/>
          <w:sz w:val="28"/>
          <w:szCs w:val="28"/>
          <w:lang w:eastAsia="ru-RU"/>
        </w:rPr>
        <w:t>- дети со дня рождения до достижения ими возраста 18 лет;</w:t>
      </w:r>
    </w:p>
    <w:p w14:paraId="16AD798E" w14:textId="77777777" w:rsidR="00D968E9" w:rsidRPr="00D968E9" w:rsidRDefault="00D968E9" w:rsidP="000F1E27">
      <w:pPr>
        <w:widowControl w:val="0"/>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968E9">
        <w:rPr>
          <w:rFonts w:ascii="Times New Roman" w:eastAsia="Times New Roman" w:hAnsi="Times New Roman" w:cs="Times New Roman"/>
          <w:sz w:val="28"/>
          <w:szCs w:val="28"/>
          <w:lang w:eastAsia="ru-RU"/>
        </w:rPr>
        <w:t>-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14:paraId="181CFBFA" w14:textId="77777777" w:rsidR="00D968E9" w:rsidRPr="00D968E9" w:rsidRDefault="00D968E9" w:rsidP="000F1E27">
      <w:pPr>
        <w:widowControl w:val="0"/>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968E9">
        <w:rPr>
          <w:rFonts w:ascii="Times New Roman" w:eastAsia="Times New Roman" w:hAnsi="Times New Roman" w:cs="Times New Roman"/>
          <w:sz w:val="28"/>
          <w:szCs w:val="28"/>
          <w:lang w:eastAsia="ru-RU"/>
        </w:rPr>
        <w:t>- один из родителей или опекун, занятые уходом за ребенком до достижения им возраста трех лет;</w:t>
      </w:r>
    </w:p>
    <w:p w14:paraId="2AFB72EC" w14:textId="6765E156" w:rsidR="00D968E9" w:rsidRPr="00D968E9" w:rsidRDefault="00D968E9" w:rsidP="000F1E27">
      <w:pPr>
        <w:widowControl w:val="0"/>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968E9">
        <w:rPr>
          <w:rFonts w:ascii="Times New Roman" w:eastAsia="Times New Roman" w:hAnsi="Times New Roman" w:cs="Times New Roman"/>
          <w:sz w:val="28"/>
          <w:szCs w:val="28"/>
          <w:lang w:eastAsia="ru-RU"/>
        </w:rPr>
        <w:t>- трудоспособные граждане, занятые уходом за детьми</w:t>
      </w:r>
      <w:r w:rsidR="003B77D7">
        <w:rPr>
          <w:rFonts w:ascii="Times New Roman" w:eastAsia="Times New Roman" w:hAnsi="Times New Roman" w:cs="Times New Roman"/>
          <w:sz w:val="28"/>
          <w:szCs w:val="28"/>
          <w:lang w:eastAsia="ru-RU"/>
        </w:rPr>
        <w:t xml:space="preserve"> с инвалидностью</w:t>
      </w:r>
      <w:r w:rsidRPr="00D968E9">
        <w:rPr>
          <w:rFonts w:ascii="Times New Roman" w:eastAsia="Times New Roman" w:hAnsi="Times New Roman" w:cs="Times New Roman"/>
          <w:sz w:val="28"/>
          <w:szCs w:val="28"/>
          <w:lang w:eastAsia="ru-RU"/>
        </w:rPr>
        <w:t xml:space="preserve">, </w:t>
      </w:r>
      <w:r w:rsidR="003B77D7">
        <w:rPr>
          <w:rFonts w:ascii="Times New Roman" w:eastAsia="Times New Roman" w:hAnsi="Times New Roman" w:cs="Times New Roman"/>
          <w:sz w:val="28"/>
          <w:szCs w:val="28"/>
          <w:lang w:eastAsia="ru-RU"/>
        </w:rPr>
        <w:t>инвалидностью</w:t>
      </w:r>
      <w:r w:rsidR="003B77D7" w:rsidRPr="00D968E9">
        <w:rPr>
          <w:rFonts w:ascii="Times New Roman" w:eastAsia="Times New Roman" w:hAnsi="Times New Roman" w:cs="Times New Roman"/>
          <w:sz w:val="28"/>
          <w:szCs w:val="28"/>
          <w:lang w:eastAsia="ru-RU"/>
        </w:rPr>
        <w:t xml:space="preserve"> </w:t>
      </w:r>
      <w:r w:rsidRPr="00D968E9">
        <w:rPr>
          <w:rFonts w:ascii="Times New Roman" w:eastAsia="Times New Roman" w:hAnsi="Times New Roman" w:cs="Times New Roman"/>
          <w:sz w:val="28"/>
          <w:szCs w:val="28"/>
          <w:lang w:eastAsia="ru-RU"/>
        </w:rPr>
        <w:t>I группы, лицами, достигшими возраста 80 лет.</w:t>
      </w:r>
    </w:p>
    <w:p w14:paraId="0B749E0E" w14:textId="77777777" w:rsidR="00D968E9" w:rsidRPr="00D968E9" w:rsidRDefault="00D968E9" w:rsidP="000F1E27">
      <w:pPr>
        <w:widowControl w:val="0"/>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968E9">
        <w:rPr>
          <w:rFonts w:ascii="Times New Roman" w:eastAsia="Times New Roman" w:hAnsi="Times New Roman" w:cs="Times New Roman"/>
          <w:sz w:val="28"/>
          <w:szCs w:val="28"/>
          <w:lang w:eastAsia="ru-RU"/>
        </w:rPr>
        <w:t xml:space="preserve">В соответствии со статьей 11 Федерального закона </w:t>
      </w:r>
      <w:r w:rsidR="000F1E27" w:rsidRPr="00D968E9">
        <w:rPr>
          <w:rFonts w:ascii="Times New Roman" w:eastAsia="Times New Roman" w:hAnsi="Times New Roman" w:cs="Times New Roman"/>
          <w:spacing w:val="2"/>
          <w:sz w:val="28"/>
          <w:szCs w:val="28"/>
          <w:lang w:eastAsia="ru-RU"/>
        </w:rPr>
        <w:t>от 29</w:t>
      </w:r>
      <w:r w:rsidR="000F1E27">
        <w:rPr>
          <w:rFonts w:ascii="Times New Roman" w:eastAsia="Times New Roman" w:hAnsi="Times New Roman" w:cs="Times New Roman"/>
          <w:spacing w:val="2"/>
          <w:sz w:val="28"/>
          <w:szCs w:val="28"/>
          <w:lang w:eastAsia="ru-RU"/>
        </w:rPr>
        <w:t xml:space="preserve"> ноября </w:t>
      </w:r>
      <w:r w:rsidR="000F1E27" w:rsidRPr="00D968E9">
        <w:rPr>
          <w:rFonts w:ascii="Times New Roman" w:eastAsia="Times New Roman" w:hAnsi="Times New Roman" w:cs="Times New Roman"/>
          <w:spacing w:val="2"/>
          <w:sz w:val="28"/>
          <w:szCs w:val="28"/>
          <w:lang w:eastAsia="ru-RU"/>
        </w:rPr>
        <w:t>2010</w:t>
      </w:r>
      <w:r w:rsidR="000F1E27">
        <w:rPr>
          <w:rFonts w:ascii="Times New Roman" w:eastAsia="Times New Roman" w:hAnsi="Times New Roman" w:cs="Times New Roman"/>
          <w:spacing w:val="2"/>
          <w:sz w:val="28"/>
          <w:szCs w:val="28"/>
          <w:lang w:eastAsia="ru-RU"/>
        </w:rPr>
        <w:t xml:space="preserve"> г. </w:t>
      </w:r>
      <w:r w:rsidR="000F1E27">
        <w:rPr>
          <w:rFonts w:ascii="Times New Roman" w:eastAsia="Times New Roman" w:hAnsi="Times New Roman" w:cs="Times New Roman"/>
          <w:spacing w:val="2"/>
          <w:sz w:val="28"/>
          <w:szCs w:val="28"/>
          <w:lang w:eastAsia="ru-RU"/>
        </w:rPr>
        <w:br/>
      </w:r>
      <w:r w:rsidRPr="00D968E9">
        <w:rPr>
          <w:rFonts w:ascii="Times New Roman" w:eastAsia="Times New Roman" w:hAnsi="Times New Roman" w:cs="Times New Roman"/>
          <w:sz w:val="28"/>
          <w:szCs w:val="28"/>
          <w:lang w:eastAsia="ru-RU"/>
        </w:rPr>
        <w:t xml:space="preserve">№ 326-ФЗ страхователями для неработающих граждан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w:t>
      </w:r>
      <w:r w:rsidR="00B1274D">
        <w:rPr>
          <w:rFonts w:ascii="Times New Roman" w:eastAsia="Times New Roman" w:hAnsi="Times New Roman" w:cs="Times New Roman"/>
          <w:sz w:val="28"/>
          <w:szCs w:val="28"/>
          <w:lang w:eastAsia="ru-RU"/>
        </w:rPr>
        <w:t>ОМС</w:t>
      </w:r>
      <w:r w:rsidRPr="00D968E9">
        <w:rPr>
          <w:rFonts w:ascii="Times New Roman" w:eastAsia="Times New Roman" w:hAnsi="Times New Roman" w:cs="Times New Roman"/>
          <w:sz w:val="28"/>
          <w:szCs w:val="28"/>
          <w:lang w:eastAsia="ru-RU"/>
        </w:rPr>
        <w:t xml:space="preserve"> неработающего населения.</w:t>
      </w:r>
    </w:p>
    <w:p w14:paraId="13E03C28" w14:textId="77777777" w:rsidR="00D968E9" w:rsidRPr="00D968E9" w:rsidRDefault="00D968E9" w:rsidP="000F1E27">
      <w:pPr>
        <w:widowControl w:val="0"/>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968E9">
        <w:rPr>
          <w:rFonts w:ascii="Times New Roman" w:eastAsia="Times New Roman" w:hAnsi="Times New Roman" w:cs="Times New Roman"/>
          <w:sz w:val="28"/>
          <w:szCs w:val="28"/>
          <w:lang w:eastAsia="ru-RU"/>
        </w:rPr>
        <w:t xml:space="preserve">Таким образом, </w:t>
      </w:r>
      <w:r w:rsidR="007138CE">
        <w:rPr>
          <w:rFonts w:ascii="Times New Roman" w:eastAsia="Times New Roman" w:hAnsi="Times New Roman" w:cs="Times New Roman"/>
          <w:sz w:val="28"/>
          <w:szCs w:val="28"/>
          <w:lang w:eastAsia="ru-RU"/>
        </w:rPr>
        <w:t>страхование</w:t>
      </w:r>
      <w:r w:rsidRPr="00D968E9">
        <w:rPr>
          <w:rFonts w:ascii="Times New Roman" w:eastAsia="Times New Roman" w:hAnsi="Times New Roman" w:cs="Times New Roman"/>
          <w:sz w:val="28"/>
          <w:szCs w:val="28"/>
          <w:lang w:eastAsia="ru-RU"/>
        </w:rPr>
        <w:t xml:space="preserve"> женщин и детей осуществляется </w:t>
      </w:r>
      <w:r w:rsidR="007138CE">
        <w:rPr>
          <w:rFonts w:ascii="Times New Roman" w:eastAsia="Times New Roman" w:hAnsi="Times New Roman" w:cs="Times New Roman"/>
          <w:sz w:val="28"/>
          <w:szCs w:val="28"/>
          <w:lang w:eastAsia="ru-RU"/>
        </w:rPr>
        <w:t>в системе обязательного медицинского страхования осуществляется в соответствии с законодательством Российской Федерации</w:t>
      </w:r>
      <w:r w:rsidR="00270E01">
        <w:rPr>
          <w:rFonts w:ascii="Times New Roman" w:eastAsia="Times New Roman" w:hAnsi="Times New Roman" w:cs="Times New Roman"/>
          <w:sz w:val="28"/>
          <w:szCs w:val="28"/>
          <w:lang w:eastAsia="ru-RU"/>
        </w:rPr>
        <w:t>.</w:t>
      </w:r>
    </w:p>
    <w:p w14:paraId="1C707F6F" w14:textId="77777777" w:rsidR="00D968E9" w:rsidRPr="00D968E9" w:rsidRDefault="00D968E9" w:rsidP="000F1E27">
      <w:pPr>
        <w:widowControl w:val="0"/>
        <w:autoSpaceDE w:val="0"/>
        <w:autoSpaceDN w:val="0"/>
        <w:adjustRightInd w:val="0"/>
        <w:spacing w:after="0" w:line="312" w:lineRule="auto"/>
        <w:ind w:firstLine="709"/>
        <w:jc w:val="both"/>
        <w:rPr>
          <w:rFonts w:ascii="Times New Roman" w:eastAsia="Times New Roman" w:hAnsi="Times New Roman" w:cs="Times New Roman"/>
          <w:color w:val="000000"/>
          <w:sz w:val="28"/>
          <w:szCs w:val="28"/>
          <w:lang w:eastAsia="ru-RU"/>
        </w:rPr>
      </w:pPr>
      <w:r w:rsidRPr="00D968E9">
        <w:rPr>
          <w:rFonts w:ascii="Times New Roman" w:eastAsia="Times New Roman" w:hAnsi="Times New Roman" w:cs="Times New Roman"/>
          <w:sz w:val="28"/>
          <w:szCs w:val="28"/>
          <w:lang w:eastAsia="ru-RU"/>
        </w:rPr>
        <w:t xml:space="preserve">Из бюджета Федерального фонда обязательного медицинского страхования </w:t>
      </w:r>
      <w:r w:rsidR="000F1E27">
        <w:rPr>
          <w:rFonts w:ascii="Times New Roman" w:eastAsia="Times New Roman" w:hAnsi="Times New Roman" w:cs="Times New Roman"/>
          <w:sz w:val="28"/>
          <w:szCs w:val="28"/>
          <w:lang w:eastAsia="ru-RU"/>
        </w:rPr>
        <w:t xml:space="preserve">(далее – ФФОМС) </w:t>
      </w:r>
      <w:r w:rsidRPr="00D968E9">
        <w:rPr>
          <w:rFonts w:ascii="Times New Roman" w:eastAsia="Times New Roman" w:hAnsi="Times New Roman" w:cs="Times New Roman"/>
          <w:sz w:val="28"/>
          <w:szCs w:val="28"/>
          <w:lang w:eastAsia="ru-RU"/>
        </w:rPr>
        <w:t xml:space="preserve">ежегодно перечисляются межбюджетные трансферты в бюджет </w:t>
      </w:r>
      <w:r w:rsidR="000F1E27">
        <w:rPr>
          <w:rFonts w:ascii="Times New Roman" w:eastAsia="Times New Roman" w:hAnsi="Times New Roman" w:cs="Times New Roman"/>
          <w:sz w:val="28"/>
          <w:szCs w:val="28"/>
          <w:lang w:eastAsia="ru-RU"/>
        </w:rPr>
        <w:t>ФСС</w:t>
      </w:r>
      <w:r w:rsidRPr="00D968E9">
        <w:rPr>
          <w:rFonts w:ascii="Times New Roman" w:eastAsia="Times New Roman" w:hAnsi="Times New Roman" w:cs="Times New Roman"/>
          <w:sz w:val="28"/>
          <w:szCs w:val="28"/>
          <w:lang w:eastAsia="ru-RU"/>
        </w:rPr>
        <w:t xml:space="preserve">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а также на оплату услуг по изготовлению и доставке в территориальные органы </w:t>
      </w:r>
      <w:r w:rsidR="000F1E27">
        <w:rPr>
          <w:rFonts w:ascii="Times New Roman" w:eastAsia="Times New Roman" w:hAnsi="Times New Roman" w:cs="Times New Roman"/>
          <w:sz w:val="28"/>
          <w:szCs w:val="28"/>
          <w:lang w:eastAsia="ru-RU"/>
        </w:rPr>
        <w:t>ФСС</w:t>
      </w:r>
      <w:r w:rsidRPr="00D968E9">
        <w:rPr>
          <w:rFonts w:ascii="Times New Roman" w:eastAsia="Times New Roman" w:hAnsi="Times New Roman" w:cs="Times New Roman"/>
          <w:color w:val="000000"/>
          <w:sz w:val="28"/>
          <w:szCs w:val="28"/>
          <w:lang w:eastAsia="ru-RU"/>
        </w:rPr>
        <w:t xml:space="preserve"> бланков родовых сертификатов.</w:t>
      </w:r>
    </w:p>
    <w:p w14:paraId="22D581F1" w14:textId="77777777" w:rsidR="00D968E9" w:rsidRPr="00D968E9" w:rsidRDefault="00D968E9" w:rsidP="000F1E27">
      <w:pPr>
        <w:autoSpaceDE w:val="0"/>
        <w:autoSpaceDN w:val="0"/>
        <w:adjustRightInd w:val="0"/>
        <w:spacing w:after="0" w:line="312" w:lineRule="auto"/>
        <w:ind w:firstLine="709"/>
        <w:jc w:val="both"/>
        <w:rPr>
          <w:rFonts w:ascii="Times New Roman" w:eastAsia="Calibri" w:hAnsi="Times New Roman" w:cs="Times New Roman"/>
          <w:color w:val="000000"/>
          <w:sz w:val="28"/>
          <w:szCs w:val="28"/>
        </w:rPr>
      </w:pPr>
      <w:r w:rsidRPr="00D968E9">
        <w:rPr>
          <w:rFonts w:ascii="Times New Roman" w:eastAsia="Calibri" w:hAnsi="Times New Roman" w:cs="Times New Roman"/>
          <w:color w:val="000000"/>
          <w:sz w:val="28"/>
          <w:szCs w:val="28"/>
        </w:rPr>
        <w:t>Рас</w:t>
      </w:r>
      <w:r w:rsidR="00FF3A75">
        <w:rPr>
          <w:rFonts w:ascii="Times New Roman" w:eastAsia="Calibri" w:hAnsi="Times New Roman" w:cs="Times New Roman"/>
          <w:color w:val="000000"/>
          <w:sz w:val="28"/>
          <w:szCs w:val="28"/>
        </w:rPr>
        <w:t>ходы на указанные цели в 2021 г.</w:t>
      </w:r>
      <w:r w:rsidRPr="00D968E9">
        <w:rPr>
          <w:rFonts w:ascii="Times New Roman" w:eastAsia="Calibri" w:hAnsi="Times New Roman" w:cs="Times New Roman"/>
          <w:color w:val="000000"/>
          <w:sz w:val="28"/>
          <w:szCs w:val="28"/>
        </w:rPr>
        <w:t xml:space="preserve"> составили 13 324,2 млн рублей </w:t>
      </w:r>
      <w:r w:rsidRPr="00D968E9">
        <w:rPr>
          <w:rFonts w:ascii="Times New Roman" w:eastAsia="Calibri" w:hAnsi="Times New Roman" w:cs="Times New Roman"/>
          <w:color w:val="000000"/>
          <w:sz w:val="28"/>
          <w:szCs w:val="28"/>
        </w:rPr>
        <w:br/>
        <w:t>(</w:t>
      </w:r>
      <w:r w:rsidR="00712527">
        <w:rPr>
          <w:rFonts w:ascii="Times New Roman" w:eastAsia="Calibri" w:hAnsi="Times New Roman" w:cs="Times New Roman"/>
          <w:color w:val="000000"/>
          <w:sz w:val="28"/>
          <w:szCs w:val="28"/>
        </w:rPr>
        <w:t>2020 г. –</w:t>
      </w:r>
      <w:r w:rsidRPr="00D968E9">
        <w:rPr>
          <w:rFonts w:ascii="Times New Roman" w:eastAsia="Calibri" w:hAnsi="Times New Roman" w:cs="Times New Roman"/>
          <w:color w:val="000000"/>
          <w:sz w:val="28"/>
          <w:szCs w:val="28"/>
        </w:rPr>
        <w:t xml:space="preserve"> 13 644,3 млн рублей</w:t>
      </w:r>
      <w:r w:rsidR="00712527">
        <w:rPr>
          <w:rFonts w:ascii="Times New Roman" w:eastAsia="Calibri" w:hAnsi="Times New Roman" w:cs="Times New Roman"/>
          <w:color w:val="000000"/>
          <w:sz w:val="28"/>
          <w:szCs w:val="28"/>
        </w:rPr>
        <w:t xml:space="preserve">; </w:t>
      </w:r>
      <w:r w:rsidRPr="00D968E9">
        <w:rPr>
          <w:rFonts w:ascii="Times New Roman" w:eastAsia="Calibri" w:hAnsi="Times New Roman" w:cs="Times New Roman"/>
          <w:color w:val="000000"/>
          <w:sz w:val="28"/>
          <w:szCs w:val="28"/>
        </w:rPr>
        <w:t>2019 г</w:t>
      </w:r>
      <w:r w:rsidR="00712527">
        <w:rPr>
          <w:rFonts w:ascii="Times New Roman" w:eastAsia="Calibri" w:hAnsi="Times New Roman" w:cs="Times New Roman"/>
          <w:color w:val="000000"/>
          <w:sz w:val="28"/>
          <w:szCs w:val="28"/>
        </w:rPr>
        <w:t>.</w:t>
      </w:r>
      <w:r w:rsidRPr="00D968E9">
        <w:rPr>
          <w:rFonts w:ascii="Times New Roman" w:eastAsia="Calibri" w:hAnsi="Times New Roman" w:cs="Times New Roman"/>
          <w:color w:val="000000"/>
          <w:sz w:val="28"/>
          <w:szCs w:val="28"/>
        </w:rPr>
        <w:t xml:space="preserve"> – 13 978,9 млн рублей).</w:t>
      </w:r>
    </w:p>
    <w:p w14:paraId="73E6D25D" w14:textId="77777777" w:rsidR="00D968E9" w:rsidRPr="00D968E9" w:rsidRDefault="00D968E9" w:rsidP="000F1E27">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D968E9">
        <w:rPr>
          <w:rFonts w:ascii="Times New Roman" w:eastAsia="Times New Roman" w:hAnsi="Times New Roman" w:cs="Times New Roman"/>
          <w:sz w:val="28"/>
          <w:szCs w:val="28"/>
          <w:lang w:eastAsia="ru-RU"/>
        </w:rPr>
        <w:t>В рамках федерального проекта «Финансовая поддержка семей при рождении детей» национального проекта «Демография» продолжалась реализация мероприятия «Организация медицинской помощи семьям, страдающим бесплодием, с использованием экстракорпорального оплодотворения за счет средств базовой программы обязательного медицинского страхования» (далее – ЭКО).</w:t>
      </w:r>
    </w:p>
    <w:p w14:paraId="7921357D" w14:textId="77777777" w:rsidR="00D968E9" w:rsidRPr="00D968E9" w:rsidRDefault="00D968E9" w:rsidP="000F1E27">
      <w:pPr>
        <w:autoSpaceDE w:val="0"/>
        <w:autoSpaceDN w:val="0"/>
        <w:adjustRightInd w:val="0"/>
        <w:spacing w:after="0" w:line="312" w:lineRule="auto"/>
        <w:ind w:firstLine="709"/>
        <w:jc w:val="both"/>
        <w:rPr>
          <w:rFonts w:ascii="Times New Roman" w:eastAsia="Times New Roman" w:hAnsi="Times New Roman" w:cs="Times New Roman"/>
          <w:sz w:val="28"/>
          <w:szCs w:val="28"/>
          <w:u w:val="single"/>
          <w:lang w:eastAsia="ru-RU"/>
        </w:rPr>
      </w:pPr>
      <w:r w:rsidRPr="00D968E9">
        <w:rPr>
          <w:rFonts w:ascii="Times New Roman" w:eastAsia="Times New Roman" w:hAnsi="Times New Roman" w:cs="Times New Roman"/>
          <w:sz w:val="28"/>
          <w:szCs w:val="28"/>
          <w:lang w:eastAsia="ru-RU"/>
        </w:rPr>
        <w:t xml:space="preserve">По данным </w:t>
      </w:r>
      <w:r w:rsidR="00712527">
        <w:rPr>
          <w:rFonts w:ascii="Times New Roman" w:eastAsia="Times New Roman" w:hAnsi="Times New Roman" w:cs="Times New Roman"/>
          <w:sz w:val="28"/>
          <w:szCs w:val="28"/>
          <w:lang w:eastAsia="ru-RU"/>
        </w:rPr>
        <w:t>ФФОМС,</w:t>
      </w:r>
      <w:r w:rsidR="00FF3A75">
        <w:rPr>
          <w:rFonts w:ascii="Times New Roman" w:eastAsia="Times New Roman" w:hAnsi="Times New Roman" w:cs="Times New Roman"/>
          <w:sz w:val="28"/>
          <w:szCs w:val="28"/>
          <w:lang w:eastAsia="ru-RU"/>
        </w:rPr>
        <w:t xml:space="preserve"> в 2021 г.</w:t>
      </w:r>
      <w:r w:rsidRPr="00D968E9">
        <w:rPr>
          <w:rFonts w:ascii="Times New Roman" w:eastAsia="Times New Roman" w:hAnsi="Times New Roman" w:cs="Times New Roman"/>
          <w:sz w:val="28"/>
          <w:szCs w:val="28"/>
          <w:lang w:eastAsia="ru-RU"/>
        </w:rPr>
        <w:t xml:space="preserve"> в субъектах Российской Федерации за счет средств базовой программы </w:t>
      </w:r>
      <w:r w:rsidR="00B1274D">
        <w:rPr>
          <w:rFonts w:ascii="Times New Roman" w:eastAsia="Times New Roman" w:hAnsi="Times New Roman" w:cs="Times New Roman"/>
          <w:sz w:val="28"/>
          <w:szCs w:val="28"/>
          <w:lang w:eastAsia="ru-RU"/>
        </w:rPr>
        <w:t>ОМС</w:t>
      </w:r>
      <w:r w:rsidRPr="00D968E9">
        <w:rPr>
          <w:rFonts w:ascii="Times New Roman" w:eastAsia="Times New Roman" w:hAnsi="Times New Roman" w:cs="Times New Roman"/>
          <w:sz w:val="28"/>
          <w:szCs w:val="28"/>
          <w:lang w:eastAsia="ru-RU"/>
        </w:rPr>
        <w:t xml:space="preserve"> выполнено 76 505 ц</w:t>
      </w:r>
      <w:r w:rsidR="00B1274D">
        <w:rPr>
          <w:rFonts w:ascii="Times New Roman" w:eastAsia="Times New Roman" w:hAnsi="Times New Roman" w:cs="Times New Roman"/>
          <w:sz w:val="28"/>
          <w:szCs w:val="28"/>
          <w:lang w:eastAsia="ru-RU"/>
        </w:rPr>
        <w:t>иклов ЭКО (103,4</w:t>
      </w:r>
      <w:r w:rsidRPr="00D968E9">
        <w:rPr>
          <w:rFonts w:ascii="Times New Roman" w:eastAsia="Times New Roman" w:hAnsi="Times New Roman" w:cs="Times New Roman"/>
          <w:sz w:val="28"/>
          <w:szCs w:val="28"/>
          <w:lang w:eastAsia="ru-RU"/>
        </w:rPr>
        <w:t xml:space="preserve">% </w:t>
      </w:r>
      <w:r w:rsidR="00451197">
        <w:rPr>
          <w:rFonts w:ascii="Times New Roman" w:eastAsia="Times New Roman" w:hAnsi="Times New Roman" w:cs="Times New Roman"/>
          <w:sz w:val="28"/>
          <w:szCs w:val="28"/>
          <w:lang w:eastAsia="ru-RU"/>
        </w:rPr>
        <w:br/>
      </w:r>
      <w:r w:rsidRPr="00D968E9">
        <w:rPr>
          <w:rFonts w:ascii="Times New Roman" w:eastAsia="Times New Roman" w:hAnsi="Times New Roman" w:cs="Times New Roman"/>
          <w:sz w:val="28"/>
          <w:szCs w:val="28"/>
          <w:lang w:eastAsia="ru-RU"/>
        </w:rPr>
        <w:t>от запланированного на 2021 г</w:t>
      </w:r>
      <w:r w:rsidR="00FF3A75">
        <w:rPr>
          <w:rFonts w:ascii="Times New Roman" w:eastAsia="Times New Roman" w:hAnsi="Times New Roman" w:cs="Times New Roman"/>
          <w:sz w:val="28"/>
          <w:szCs w:val="28"/>
          <w:lang w:eastAsia="ru-RU"/>
        </w:rPr>
        <w:t>.</w:t>
      </w:r>
      <w:r w:rsidRPr="00D968E9">
        <w:rPr>
          <w:rFonts w:ascii="Times New Roman" w:eastAsia="Times New Roman" w:hAnsi="Times New Roman" w:cs="Times New Roman"/>
          <w:sz w:val="28"/>
          <w:szCs w:val="28"/>
          <w:lang w:eastAsia="ru-RU"/>
        </w:rPr>
        <w:t>); объем процедур ЭКО, выполненных федеральными медицинскими организациями, составляет 8 179 циклов.</w:t>
      </w:r>
    </w:p>
    <w:p w14:paraId="0A0DF86C" w14:textId="77777777" w:rsidR="00D968E9" w:rsidRPr="00D968E9" w:rsidRDefault="00D968E9" w:rsidP="000F1E27">
      <w:pPr>
        <w:spacing w:after="0" w:line="312" w:lineRule="auto"/>
        <w:ind w:firstLine="709"/>
        <w:jc w:val="both"/>
        <w:rPr>
          <w:rFonts w:ascii="Times New Roman" w:eastAsia="Times New Roman" w:hAnsi="Times New Roman" w:cs="Times New Roman"/>
          <w:sz w:val="28"/>
          <w:szCs w:val="28"/>
          <w:lang w:eastAsia="ru-RU"/>
        </w:rPr>
      </w:pPr>
      <w:bookmarkStart w:id="1" w:name="_Hlk73454765"/>
      <w:bookmarkStart w:id="2" w:name="_Hlk73452272"/>
      <w:r w:rsidRPr="00D968E9">
        <w:rPr>
          <w:rFonts w:ascii="Times New Roman" w:eastAsia="Times New Roman" w:hAnsi="Times New Roman" w:cs="Times New Roman"/>
          <w:sz w:val="28"/>
          <w:szCs w:val="28"/>
          <w:lang w:eastAsia="ru-RU"/>
        </w:rPr>
        <w:t>В Российской Федерации специализированная, в том числе высокотехнологичная, медицинская помощь детям осуществляется с использованием базы существующих многопрофильных детских больниц, федер</w:t>
      </w:r>
      <w:r w:rsidR="00B1274D">
        <w:rPr>
          <w:rFonts w:ascii="Times New Roman" w:eastAsia="Times New Roman" w:hAnsi="Times New Roman" w:cs="Times New Roman"/>
          <w:sz w:val="28"/>
          <w:szCs w:val="28"/>
          <w:lang w:eastAsia="ru-RU"/>
        </w:rPr>
        <w:t>альных медицинских организаций.</w:t>
      </w:r>
    </w:p>
    <w:p w14:paraId="54FFEC06" w14:textId="77777777" w:rsidR="00D968E9" w:rsidRPr="00D968E9" w:rsidRDefault="00D968E9" w:rsidP="000F1E27">
      <w:pPr>
        <w:spacing w:after="0" w:line="312" w:lineRule="auto"/>
        <w:ind w:firstLine="709"/>
        <w:jc w:val="both"/>
        <w:rPr>
          <w:rFonts w:ascii="Times New Roman" w:eastAsia="Times New Roman" w:hAnsi="Times New Roman" w:cs="Times New Roman"/>
          <w:sz w:val="28"/>
          <w:szCs w:val="28"/>
          <w:lang w:eastAsia="ru-RU"/>
        </w:rPr>
      </w:pPr>
      <w:r w:rsidRPr="00D968E9">
        <w:rPr>
          <w:rFonts w:ascii="Times New Roman" w:eastAsia="Times New Roman" w:hAnsi="Times New Roman" w:cs="Times New Roman"/>
          <w:sz w:val="28"/>
          <w:szCs w:val="28"/>
          <w:lang w:eastAsia="ru-RU"/>
        </w:rPr>
        <w:t>Несмотря на сложную эпидемиологическую ситуацию, связанную с распространением новой коронавирусной инфекцией COVID-19, объемы оказания специализированной, в том числе высокотехнологичной, медицинской помощи детям в 2021 г</w:t>
      </w:r>
      <w:r w:rsidR="006F0FF6">
        <w:rPr>
          <w:rFonts w:ascii="Times New Roman" w:eastAsia="Times New Roman" w:hAnsi="Times New Roman" w:cs="Times New Roman"/>
          <w:sz w:val="28"/>
          <w:szCs w:val="28"/>
          <w:lang w:eastAsia="ru-RU"/>
        </w:rPr>
        <w:t>.</w:t>
      </w:r>
      <w:r w:rsidRPr="00D968E9">
        <w:rPr>
          <w:rFonts w:ascii="Times New Roman" w:eastAsia="Times New Roman" w:hAnsi="Times New Roman" w:cs="Times New Roman"/>
          <w:sz w:val="28"/>
          <w:szCs w:val="28"/>
          <w:lang w:eastAsia="ru-RU"/>
        </w:rPr>
        <w:t xml:space="preserve"> не снижались</w:t>
      </w:r>
      <w:r w:rsidR="00B1274D">
        <w:rPr>
          <w:rFonts w:ascii="Times New Roman" w:eastAsia="Times New Roman" w:hAnsi="Times New Roman" w:cs="Times New Roman"/>
          <w:sz w:val="28"/>
          <w:szCs w:val="28"/>
          <w:lang w:eastAsia="ru-RU"/>
        </w:rPr>
        <w:t>:</w:t>
      </w:r>
      <w:r w:rsidRPr="00D968E9">
        <w:rPr>
          <w:rFonts w:ascii="Times New Roman" w:eastAsia="Times New Roman" w:hAnsi="Times New Roman" w:cs="Times New Roman"/>
          <w:sz w:val="28"/>
          <w:szCs w:val="28"/>
          <w:lang w:eastAsia="ru-RU"/>
        </w:rPr>
        <w:t xml:space="preserve"> было госпитализировано более 4,3 млн</w:t>
      </w:r>
      <w:r w:rsidR="00B1274D">
        <w:rPr>
          <w:rFonts w:ascii="Times New Roman" w:eastAsia="Times New Roman" w:hAnsi="Times New Roman" w:cs="Times New Roman"/>
          <w:sz w:val="28"/>
          <w:szCs w:val="28"/>
          <w:lang w:eastAsia="ru-RU"/>
        </w:rPr>
        <w:t xml:space="preserve"> детей </w:t>
      </w:r>
      <w:r w:rsidR="00B1274D">
        <w:rPr>
          <w:rFonts w:ascii="Times New Roman" w:eastAsia="Times New Roman" w:hAnsi="Times New Roman" w:cs="Times New Roman"/>
          <w:sz w:val="28"/>
          <w:szCs w:val="28"/>
          <w:lang w:eastAsia="ru-RU"/>
        </w:rPr>
        <w:br/>
        <w:t>(</w:t>
      </w:r>
      <w:r w:rsidRPr="00D968E9">
        <w:rPr>
          <w:rFonts w:ascii="Times New Roman" w:eastAsia="Times New Roman" w:hAnsi="Times New Roman" w:cs="Times New Roman"/>
          <w:sz w:val="28"/>
          <w:szCs w:val="28"/>
          <w:lang w:eastAsia="ru-RU"/>
        </w:rPr>
        <w:t>2020 г</w:t>
      </w:r>
      <w:r w:rsidR="00B1274D">
        <w:rPr>
          <w:rFonts w:ascii="Times New Roman" w:eastAsia="Times New Roman" w:hAnsi="Times New Roman" w:cs="Times New Roman"/>
          <w:sz w:val="28"/>
          <w:szCs w:val="28"/>
          <w:lang w:eastAsia="ru-RU"/>
        </w:rPr>
        <w:t>.</w:t>
      </w:r>
      <w:r w:rsidRPr="00D968E9">
        <w:rPr>
          <w:rFonts w:ascii="Times New Roman" w:eastAsia="Times New Roman" w:hAnsi="Times New Roman" w:cs="Times New Roman"/>
          <w:sz w:val="28"/>
          <w:szCs w:val="28"/>
          <w:lang w:eastAsia="ru-RU"/>
        </w:rPr>
        <w:t xml:space="preserve"> – около 3,8 млн детей).</w:t>
      </w:r>
    </w:p>
    <w:p w14:paraId="790E8322" w14:textId="24908AE1" w:rsidR="00D968E9" w:rsidRPr="00D968E9" w:rsidRDefault="00D968E9" w:rsidP="000F1E27">
      <w:pPr>
        <w:spacing w:after="0" w:line="312" w:lineRule="auto"/>
        <w:ind w:firstLine="709"/>
        <w:jc w:val="both"/>
        <w:rPr>
          <w:rFonts w:ascii="Times New Roman" w:eastAsia="Times New Roman" w:hAnsi="Times New Roman" w:cs="Times New Roman"/>
          <w:sz w:val="28"/>
          <w:szCs w:val="28"/>
          <w:lang w:eastAsia="ru-RU"/>
        </w:rPr>
      </w:pPr>
      <w:r w:rsidRPr="00D968E9">
        <w:rPr>
          <w:rFonts w:ascii="Times New Roman" w:eastAsia="Times New Roman" w:hAnsi="Times New Roman" w:cs="Times New Roman"/>
          <w:sz w:val="28"/>
          <w:szCs w:val="28"/>
          <w:lang w:eastAsia="ru-RU"/>
        </w:rPr>
        <w:t>В 2021 г</w:t>
      </w:r>
      <w:r w:rsidR="00104BA1">
        <w:rPr>
          <w:rFonts w:ascii="Times New Roman" w:eastAsia="Times New Roman" w:hAnsi="Times New Roman" w:cs="Times New Roman"/>
          <w:sz w:val="28"/>
          <w:szCs w:val="28"/>
          <w:lang w:eastAsia="ru-RU"/>
        </w:rPr>
        <w:t>.</w:t>
      </w:r>
      <w:r w:rsidRPr="00D968E9">
        <w:rPr>
          <w:rFonts w:ascii="Times New Roman" w:eastAsia="Times New Roman" w:hAnsi="Times New Roman" w:cs="Times New Roman"/>
          <w:sz w:val="28"/>
          <w:szCs w:val="28"/>
          <w:lang w:eastAsia="ru-RU"/>
        </w:rPr>
        <w:t xml:space="preserve"> высокотехнологичную медицинскую помощь</w:t>
      </w:r>
      <w:r w:rsidR="00B1274D">
        <w:rPr>
          <w:rFonts w:ascii="Times New Roman" w:eastAsia="Times New Roman" w:hAnsi="Times New Roman" w:cs="Times New Roman"/>
          <w:sz w:val="28"/>
          <w:szCs w:val="28"/>
          <w:lang w:eastAsia="ru-RU"/>
        </w:rPr>
        <w:t xml:space="preserve"> (далее – ВПМ)</w:t>
      </w:r>
      <w:r w:rsidRPr="00D968E9">
        <w:rPr>
          <w:rFonts w:ascii="Times New Roman" w:eastAsia="Times New Roman" w:hAnsi="Times New Roman" w:cs="Times New Roman"/>
          <w:sz w:val="28"/>
          <w:szCs w:val="28"/>
          <w:lang w:eastAsia="ru-RU"/>
        </w:rPr>
        <w:t xml:space="preserve">, не включенную в базовую программу </w:t>
      </w:r>
      <w:r w:rsidR="00B1274D">
        <w:rPr>
          <w:rFonts w:ascii="Times New Roman" w:eastAsia="Times New Roman" w:hAnsi="Times New Roman" w:cs="Times New Roman"/>
          <w:sz w:val="28"/>
          <w:szCs w:val="28"/>
          <w:lang w:eastAsia="ru-RU"/>
        </w:rPr>
        <w:t>ОМС</w:t>
      </w:r>
      <w:r w:rsidRPr="00D968E9">
        <w:rPr>
          <w:rFonts w:ascii="Times New Roman" w:eastAsia="Times New Roman" w:hAnsi="Times New Roman" w:cs="Times New Roman"/>
          <w:sz w:val="28"/>
          <w:szCs w:val="28"/>
          <w:lang w:eastAsia="ru-RU"/>
        </w:rPr>
        <w:t>, получили 88 868 детей, включенную в баз</w:t>
      </w:r>
      <w:r w:rsidR="00B1274D">
        <w:rPr>
          <w:rFonts w:ascii="Times New Roman" w:eastAsia="Times New Roman" w:hAnsi="Times New Roman" w:cs="Times New Roman"/>
          <w:sz w:val="28"/>
          <w:szCs w:val="28"/>
          <w:lang w:eastAsia="ru-RU"/>
        </w:rPr>
        <w:t>овую программу – 64 101 ребенок</w:t>
      </w:r>
      <w:r w:rsidRPr="00D968E9">
        <w:rPr>
          <w:rFonts w:ascii="Times New Roman" w:eastAsia="Times New Roman" w:hAnsi="Times New Roman" w:cs="Times New Roman"/>
          <w:sz w:val="28"/>
          <w:szCs w:val="28"/>
          <w:lang w:eastAsia="ru-RU"/>
        </w:rPr>
        <w:t xml:space="preserve"> (итого – 152 969 детей</w:t>
      </w:r>
      <w:r w:rsidR="00B1274D">
        <w:rPr>
          <w:rFonts w:ascii="Times New Roman" w:eastAsia="Times New Roman" w:hAnsi="Times New Roman" w:cs="Times New Roman"/>
          <w:sz w:val="28"/>
          <w:szCs w:val="28"/>
          <w:lang w:eastAsia="ru-RU"/>
        </w:rPr>
        <w:t>)</w:t>
      </w:r>
      <w:r w:rsidRPr="00D968E9">
        <w:rPr>
          <w:rFonts w:ascii="Times New Roman" w:eastAsia="Times New Roman" w:hAnsi="Times New Roman" w:cs="Times New Roman"/>
          <w:sz w:val="28"/>
          <w:szCs w:val="28"/>
          <w:lang w:eastAsia="ru-RU"/>
        </w:rPr>
        <w:t xml:space="preserve">, из них </w:t>
      </w:r>
      <w:r w:rsidR="00B1274D">
        <w:rPr>
          <w:rFonts w:ascii="Times New Roman" w:eastAsia="Times New Roman" w:hAnsi="Times New Roman" w:cs="Times New Roman"/>
          <w:sz w:val="28"/>
          <w:szCs w:val="28"/>
          <w:lang w:eastAsia="ru-RU"/>
        </w:rPr>
        <w:t xml:space="preserve">по </w:t>
      </w:r>
      <w:r w:rsidRPr="00D968E9">
        <w:rPr>
          <w:rFonts w:ascii="Times New Roman" w:eastAsia="Times New Roman" w:hAnsi="Times New Roman" w:cs="Times New Roman"/>
          <w:sz w:val="28"/>
          <w:szCs w:val="28"/>
          <w:lang w:eastAsia="ru-RU"/>
        </w:rPr>
        <w:t>профилю «детская онкология» – 15</w:t>
      </w:r>
      <w:r w:rsidR="007642DA">
        <w:rPr>
          <w:rFonts w:ascii="Times New Roman" w:eastAsia="Times New Roman" w:hAnsi="Times New Roman" w:cs="Times New Roman"/>
          <w:sz w:val="28"/>
          <w:szCs w:val="28"/>
          <w:lang w:eastAsia="ru-RU"/>
        </w:rPr>
        <w:t> </w:t>
      </w:r>
      <w:r w:rsidRPr="00D968E9">
        <w:rPr>
          <w:rFonts w:ascii="Times New Roman" w:eastAsia="Times New Roman" w:hAnsi="Times New Roman" w:cs="Times New Roman"/>
          <w:sz w:val="28"/>
          <w:szCs w:val="28"/>
          <w:lang w:eastAsia="ru-RU"/>
        </w:rPr>
        <w:t>146</w:t>
      </w:r>
      <w:r w:rsidR="007642DA">
        <w:rPr>
          <w:rFonts w:ascii="Times New Roman" w:eastAsia="Times New Roman" w:hAnsi="Times New Roman" w:cs="Times New Roman"/>
          <w:sz w:val="28"/>
          <w:szCs w:val="28"/>
          <w:lang w:eastAsia="ru-RU"/>
        </w:rPr>
        <w:t xml:space="preserve"> детей</w:t>
      </w:r>
      <w:r w:rsidRPr="00D968E9">
        <w:rPr>
          <w:rFonts w:ascii="Times New Roman" w:eastAsia="Times New Roman" w:hAnsi="Times New Roman" w:cs="Times New Roman"/>
          <w:sz w:val="28"/>
          <w:szCs w:val="28"/>
          <w:lang w:eastAsia="ru-RU"/>
        </w:rPr>
        <w:t xml:space="preserve"> </w:t>
      </w:r>
      <w:r w:rsidR="00270E01">
        <w:rPr>
          <w:rFonts w:ascii="Times New Roman" w:eastAsia="Times New Roman" w:hAnsi="Times New Roman" w:cs="Times New Roman"/>
          <w:sz w:val="28"/>
          <w:szCs w:val="28"/>
          <w:lang w:eastAsia="ru-RU"/>
        </w:rPr>
        <w:t xml:space="preserve">всего </w:t>
      </w:r>
      <w:r w:rsidRPr="00D968E9">
        <w:rPr>
          <w:rFonts w:ascii="Times New Roman" w:eastAsia="Times New Roman" w:hAnsi="Times New Roman" w:cs="Times New Roman"/>
          <w:sz w:val="28"/>
          <w:szCs w:val="28"/>
          <w:lang w:eastAsia="ru-RU"/>
        </w:rPr>
        <w:t>(11 990 и 3</w:t>
      </w:r>
      <w:r w:rsidR="00B1274D">
        <w:rPr>
          <w:rFonts w:ascii="Times New Roman" w:eastAsia="Times New Roman" w:hAnsi="Times New Roman" w:cs="Times New Roman"/>
          <w:sz w:val="28"/>
          <w:szCs w:val="28"/>
          <w:lang w:eastAsia="ru-RU"/>
        </w:rPr>
        <w:t> </w:t>
      </w:r>
      <w:r w:rsidRPr="00D968E9">
        <w:rPr>
          <w:rFonts w:ascii="Times New Roman" w:eastAsia="Times New Roman" w:hAnsi="Times New Roman" w:cs="Times New Roman"/>
          <w:sz w:val="28"/>
          <w:szCs w:val="28"/>
          <w:lang w:eastAsia="ru-RU"/>
        </w:rPr>
        <w:t>156</w:t>
      </w:r>
      <w:r w:rsidR="00B1274D">
        <w:rPr>
          <w:rFonts w:ascii="Times New Roman" w:eastAsia="Times New Roman" w:hAnsi="Times New Roman" w:cs="Times New Roman"/>
          <w:sz w:val="28"/>
          <w:szCs w:val="28"/>
          <w:lang w:eastAsia="ru-RU"/>
        </w:rPr>
        <w:t>,</w:t>
      </w:r>
      <w:r w:rsidRPr="00D968E9">
        <w:rPr>
          <w:rFonts w:ascii="Times New Roman" w:eastAsia="Times New Roman" w:hAnsi="Times New Roman" w:cs="Times New Roman"/>
          <w:sz w:val="28"/>
          <w:szCs w:val="28"/>
          <w:lang w:eastAsia="ru-RU"/>
        </w:rPr>
        <w:t xml:space="preserve"> соответственно).</w:t>
      </w:r>
    </w:p>
    <w:bookmarkEnd w:id="1"/>
    <w:p w14:paraId="3CC9B134" w14:textId="77777777" w:rsidR="00D968E9" w:rsidRPr="00D968E9" w:rsidRDefault="00D968E9" w:rsidP="000F1E27">
      <w:pPr>
        <w:spacing w:after="0" w:line="312" w:lineRule="auto"/>
        <w:ind w:firstLine="709"/>
        <w:jc w:val="both"/>
        <w:rPr>
          <w:rFonts w:ascii="Times New Roman" w:eastAsia="Times New Roman" w:hAnsi="Times New Roman" w:cs="Times New Roman"/>
          <w:sz w:val="28"/>
          <w:szCs w:val="28"/>
          <w:lang w:eastAsia="ru-RU"/>
        </w:rPr>
      </w:pPr>
      <w:r w:rsidRPr="00D968E9">
        <w:rPr>
          <w:rFonts w:ascii="Times New Roman" w:eastAsia="Times New Roman" w:hAnsi="Times New Roman" w:cs="Times New Roman"/>
          <w:sz w:val="28"/>
          <w:szCs w:val="28"/>
          <w:lang w:eastAsia="ru-RU"/>
        </w:rPr>
        <w:t xml:space="preserve">При этом наибольшие объемы </w:t>
      </w:r>
      <w:r w:rsidR="00270E01">
        <w:rPr>
          <w:rFonts w:ascii="Times New Roman" w:eastAsia="Times New Roman" w:hAnsi="Times New Roman" w:cs="Times New Roman"/>
          <w:sz w:val="28"/>
          <w:szCs w:val="28"/>
          <w:lang w:eastAsia="ru-RU"/>
        </w:rPr>
        <w:t>ВПМ</w:t>
      </w:r>
      <w:r w:rsidRPr="00D968E9">
        <w:rPr>
          <w:rFonts w:ascii="Times New Roman" w:eastAsia="Times New Roman" w:hAnsi="Times New Roman" w:cs="Times New Roman"/>
          <w:sz w:val="28"/>
          <w:szCs w:val="28"/>
          <w:lang w:eastAsia="ru-RU"/>
        </w:rPr>
        <w:t xml:space="preserve"> оказаны по профилям «педиатрия»</w:t>
      </w:r>
      <w:r w:rsidR="00104BA1">
        <w:rPr>
          <w:rFonts w:ascii="Times New Roman" w:eastAsia="Times New Roman" w:hAnsi="Times New Roman" w:cs="Times New Roman"/>
          <w:sz w:val="28"/>
          <w:szCs w:val="28"/>
          <w:lang w:eastAsia="ru-RU"/>
        </w:rPr>
        <w:t xml:space="preserve"> (37%)</w:t>
      </w:r>
      <w:r w:rsidRPr="00D968E9">
        <w:rPr>
          <w:rFonts w:ascii="Times New Roman" w:eastAsia="Times New Roman" w:hAnsi="Times New Roman" w:cs="Times New Roman"/>
          <w:sz w:val="28"/>
          <w:szCs w:val="28"/>
          <w:lang w:eastAsia="ru-RU"/>
        </w:rPr>
        <w:t>, «сердечно-сосудистая хирургия»</w:t>
      </w:r>
      <w:r w:rsidR="00104BA1">
        <w:rPr>
          <w:rFonts w:ascii="Times New Roman" w:eastAsia="Times New Roman" w:hAnsi="Times New Roman" w:cs="Times New Roman"/>
          <w:sz w:val="28"/>
          <w:szCs w:val="28"/>
          <w:lang w:eastAsia="ru-RU"/>
        </w:rPr>
        <w:t xml:space="preserve"> (14%)</w:t>
      </w:r>
      <w:r w:rsidRPr="00D968E9">
        <w:rPr>
          <w:rFonts w:ascii="Times New Roman" w:eastAsia="Times New Roman" w:hAnsi="Times New Roman" w:cs="Times New Roman"/>
          <w:sz w:val="28"/>
          <w:szCs w:val="28"/>
          <w:lang w:eastAsia="ru-RU"/>
        </w:rPr>
        <w:t>, «травматология и ортопедия»</w:t>
      </w:r>
      <w:r w:rsidR="00104BA1">
        <w:rPr>
          <w:rFonts w:ascii="Times New Roman" w:eastAsia="Times New Roman" w:hAnsi="Times New Roman" w:cs="Times New Roman"/>
          <w:sz w:val="28"/>
          <w:szCs w:val="28"/>
          <w:lang w:eastAsia="ru-RU"/>
        </w:rPr>
        <w:t xml:space="preserve"> (12%)</w:t>
      </w:r>
      <w:r w:rsidRPr="00D968E9">
        <w:rPr>
          <w:rFonts w:ascii="Times New Roman" w:eastAsia="Times New Roman" w:hAnsi="Times New Roman" w:cs="Times New Roman"/>
          <w:sz w:val="28"/>
          <w:szCs w:val="28"/>
          <w:lang w:eastAsia="ru-RU"/>
        </w:rPr>
        <w:t xml:space="preserve"> и «онкология»</w:t>
      </w:r>
      <w:r w:rsidR="00104BA1">
        <w:rPr>
          <w:rFonts w:ascii="Times New Roman" w:eastAsia="Times New Roman" w:hAnsi="Times New Roman" w:cs="Times New Roman"/>
          <w:sz w:val="28"/>
          <w:szCs w:val="28"/>
          <w:lang w:eastAsia="ru-RU"/>
        </w:rPr>
        <w:t xml:space="preserve"> (13%)</w:t>
      </w:r>
      <w:r w:rsidRPr="00D968E9">
        <w:rPr>
          <w:rFonts w:ascii="Times New Roman" w:eastAsia="Times New Roman" w:hAnsi="Times New Roman" w:cs="Times New Roman"/>
          <w:sz w:val="28"/>
          <w:szCs w:val="28"/>
          <w:lang w:eastAsia="ru-RU"/>
        </w:rPr>
        <w:t>.</w:t>
      </w:r>
    </w:p>
    <w:bookmarkEnd w:id="2"/>
    <w:p w14:paraId="209FE97D" w14:textId="77777777" w:rsidR="00D968E9" w:rsidRPr="00D968E9" w:rsidRDefault="00D968E9" w:rsidP="000F1E27">
      <w:pPr>
        <w:spacing w:after="0" w:line="312" w:lineRule="auto"/>
        <w:ind w:firstLine="709"/>
        <w:jc w:val="both"/>
        <w:rPr>
          <w:rFonts w:ascii="Times New Roman" w:eastAsia="Times New Roman" w:hAnsi="Times New Roman" w:cs="Times New Roman"/>
          <w:sz w:val="28"/>
          <w:szCs w:val="28"/>
          <w:lang w:eastAsia="ru-RU"/>
        </w:rPr>
      </w:pPr>
      <w:r w:rsidRPr="00D968E9">
        <w:rPr>
          <w:rFonts w:ascii="Times New Roman" w:eastAsia="Times New Roman" w:hAnsi="Times New Roman" w:cs="Times New Roman"/>
          <w:sz w:val="28"/>
          <w:szCs w:val="28"/>
          <w:lang w:eastAsia="ru-RU"/>
        </w:rPr>
        <w:t xml:space="preserve">Согласно статье 80 Федерального закона </w:t>
      </w:r>
      <w:r w:rsidR="00B1274D" w:rsidRPr="00D968E9">
        <w:rPr>
          <w:rFonts w:ascii="Times New Roman" w:eastAsia="Times New Roman" w:hAnsi="Times New Roman" w:cs="Times New Roman"/>
          <w:spacing w:val="2"/>
          <w:sz w:val="28"/>
          <w:szCs w:val="28"/>
          <w:lang w:eastAsia="ru-RU"/>
        </w:rPr>
        <w:t>от 29</w:t>
      </w:r>
      <w:r w:rsidR="00B1274D">
        <w:rPr>
          <w:rFonts w:ascii="Times New Roman" w:eastAsia="Times New Roman" w:hAnsi="Times New Roman" w:cs="Times New Roman"/>
          <w:spacing w:val="2"/>
          <w:sz w:val="28"/>
          <w:szCs w:val="28"/>
          <w:lang w:eastAsia="ru-RU"/>
        </w:rPr>
        <w:t xml:space="preserve"> ноября </w:t>
      </w:r>
      <w:r w:rsidR="00B1274D" w:rsidRPr="00D968E9">
        <w:rPr>
          <w:rFonts w:ascii="Times New Roman" w:eastAsia="Times New Roman" w:hAnsi="Times New Roman" w:cs="Times New Roman"/>
          <w:spacing w:val="2"/>
          <w:sz w:val="28"/>
          <w:szCs w:val="28"/>
          <w:lang w:eastAsia="ru-RU"/>
        </w:rPr>
        <w:t>2010</w:t>
      </w:r>
      <w:r w:rsidR="00B1274D">
        <w:rPr>
          <w:rFonts w:ascii="Times New Roman" w:eastAsia="Times New Roman" w:hAnsi="Times New Roman" w:cs="Times New Roman"/>
          <w:spacing w:val="2"/>
          <w:sz w:val="28"/>
          <w:szCs w:val="28"/>
          <w:lang w:eastAsia="ru-RU"/>
        </w:rPr>
        <w:t xml:space="preserve"> г. </w:t>
      </w:r>
      <w:r w:rsidRPr="00D968E9">
        <w:rPr>
          <w:rFonts w:ascii="Times New Roman" w:eastAsia="Times New Roman" w:hAnsi="Times New Roman" w:cs="Times New Roman"/>
          <w:sz w:val="28"/>
          <w:szCs w:val="28"/>
          <w:lang w:eastAsia="ru-RU"/>
        </w:rPr>
        <w:t>№ 323-ФЗ</w:t>
      </w:r>
      <w:r w:rsidR="0049618A">
        <w:rPr>
          <w:rFonts w:ascii="Times New Roman" w:eastAsia="Times New Roman" w:hAnsi="Times New Roman" w:cs="Times New Roman"/>
          <w:sz w:val="28"/>
          <w:szCs w:val="28"/>
          <w:lang w:eastAsia="ru-RU"/>
        </w:rPr>
        <w:t>,</w:t>
      </w:r>
      <w:r w:rsidRPr="00D968E9">
        <w:rPr>
          <w:rFonts w:ascii="Times New Roman" w:eastAsia="Times New Roman" w:hAnsi="Times New Roman" w:cs="Times New Roman"/>
          <w:sz w:val="28"/>
          <w:szCs w:val="28"/>
          <w:lang w:eastAsia="ru-RU"/>
        </w:rPr>
        <w:t xml:space="preserve"> программой государственных гарантий бесплатного оказания гражданам медицинской помощи устанавливаются</w:t>
      </w:r>
      <w:r w:rsidR="00B1274D">
        <w:rPr>
          <w:rFonts w:ascii="Times New Roman" w:eastAsia="Times New Roman" w:hAnsi="Times New Roman" w:cs="Times New Roman"/>
          <w:sz w:val="28"/>
          <w:szCs w:val="28"/>
          <w:lang w:eastAsia="ru-RU"/>
        </w:rPr>
        <w:t>,</w:t>
      </w:r>
      <w:r w:rsidRPr="00D968E9">
        <w:rPr>
          <w:rFonts w:ascii="Times New Roman" w:eastAsia="Times New Roman" w:hAnsi="Times New Roman" w:cs="Times New Roman"/>
          <w:sz w:val="28"/>
          <w:szCs w:val="28"/>
          <w:lang w:eastAsia="ru-RU"/>
        </w:rPr>
        <w:t xml:space="preserve"> в том числе средние нормативы объема медицинской помощи, средние нормативы финансовых затрат на единицу объема медицинской помощи и средние </w:t>
      </w:r>
      <w:proofErr w:type="spellStart"/>
      <w:r w:rsidRPr="00D968E9">
        <w:rPr>
          <w:rFonts w:ascii="Times New Roman" w:eastAsia="Times New Roman" w:hAnsi="Times New Roman" w:cs="Times New Roman"/>
          <w:sz w:val="28"/>
          <w:szCs w:val="28"/>
          <w:lang w:eastAsia="ru-RU"/>
        </w:rPr>
        <w:t>подушевые</w:t>
      </w:r>
      <w:proofErr w:type="spellEnd"/>
      <w:r w:rsidRPr="00D968E9">
        <w:rPr>
          <w:rFonts w:ascii="Times New Roman" w:eastAsia="Times New Roman" w:hAnsi="Times New Roman" w:cs="Times New Roman"/>
          <w:sz w:val="28"/>
          <w:szCs w:val="28"/>
          <w:lang w:eastAsia="ru-RU"/>
        </w:rPr>
        <w:t xml:space="preserve"> нормативы финансирования.</w:t>
      </w:r>
    </w:p>
    <w:p w14:paraId="31CD32D5" w14:textId="051E4DA3" w:rsidR="00D968E9" w:rsidRPr="00D968E9" w:rsidRDefault="00D968E9" w:rsidP="000F1E27">
      <w:pPr>
        <w:spacing w:after="0" w:line="312" w:lineRule="auto"/>
        <w:ind w:firstLine="709"/>
        <w:jc w:val="both"/>
        <w:rPr>
          <w:rFonts w:ascii="Times New Roman" w:eastAsia="Times New Roman" w:hAnsi="Times New Roman" w:cs="Times New Roman"/>
          <w:sz w:val="28"/>
          <w:szCs w:val="28"/>
          <w:lang w:eastAsia="ru-RU"/>
        </w:rPr>
      </w:pPr>
      <w:r w:rsidRPr="00D968E9">
        <w:rPr>
          <w:rFonts w:ascii="Times New Roman" w:eastAsia="Times New Roman" w:hAnsi="Times New Roman" w:cs="Times New Roman"/>
          <w:sz w:val="28"/>
          <w:szCs w:val="28"/>
          <w:lang w:eastAsia="ru-RU"/>
        </w:rPr>
        <w:t xml:space="preserve">Следует отметить, что медицинская помощь детям в рамках указанной программы может оказываться любыми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(далее </w:t>
      </w:r>
      <w:r w:rsidR="00983E23">
        <w:rPr>
          <w:rFonts w:ascii="Times New Roman" w:eastAsia="Times New Roman" w:hAnsi="Times New Roman" w:cs="Times New Roman"/>
          <w:sz w:val="28"/>
          <w:szCs w:val="28"/>
          <w:lang w:eastAsia="ru-RU"/>
        </w:rPr>
        <w:t xml:space="preserve">по тексту </w:t>
      </w:r>
      <w:r w:rsidR="001B7BF2">
        <w:rPr>
          <w:rFonts w:ascii="Times New Roman" w:eastAsia="Times New Roman" w:hAnsi="Times New Roman" w:cs="Times New Roman"/>
          <w:sz w:val="28"/>
          <w:szCs w:val="28"/>
          <w:lang w:eastAsia="ru-RU"/>
        </w:rPr>
        <w:br/>
      </w:r>
      <w:r w:rsidR="00983E23">
        <w:rPr>
          <w:rFonts w:ascii="Times New Roman" w:eastAsia="Times New Roman" w:hAnsi="Times New Roman" w:cs="Times New Roman"/>
          <w:sz w:val="28"/>
          <w:szCs w:val="28"/>
          <w:lang w:eastAsia="ru-RU"/>
        </w:rPr>
        <w:t xml:space="preserve">подраздела </w:t>
      </w:r>
      <w:r w:rsidRPr="00D968E9">
        <w:rPr>
          <w:rFonts w:ascii="Times New Roman" w:eastAsia="Times New Roman" w:hAnsi="Times New Roman" w:cs="Times New Roman"/>
          <w:sz w:val="28"/>
          <w:szCs w:val="28"/>
          <w:lang w:eastAsia="ru-RU"/>
        </w:rPr>
        <w:t xml:space="preserve">– территориальная программа). </w:t>
      </w:r>
    </w:p>
    <w:p w14:paraId="047D95F4" w14:textId="512149F0" w:rsidR="00A82DA6" w:rsidRPr="001B7BF2" w:rsidRDefault="00D968E9" w:rsidP="001B7BF2">
      <w:pPr>
        <w:spacing w:after="0" w:line="312" w:lineRule="auto"/>
        <w:ind w:firstLine="709"/>
        <w:jc w:val="both"/>
        <w:rPr>
          <w:rFonts w:ascii="Times New Roman" w:eastAsia="Times New Roman" w:hAnsi="Times New Roman" w:cs="Times New Roman"/>
          <w:sz w:val="28"/>
          <w:szCs w:val="28"/>
          <w:lang w:eastAsia="ru-RU"/>
        </w:rPr>
      </w:pPr>
      <w:r w:rsidRPr="00D968E9">
        <w:rPr>
          <w:rFonts w:ascii="Times New Roman" w:eastAsia="Times New Roman" w:hAnsi="Times New Roman" w:cs="Times New Roman"/>
          <w:sz w:val="28"/>
          <w:szCs w:val="28"/>
          <w:lang w:eastAsia="ru-RU"/>
        </w:rPr>
        <w:t xml:space="preserve">Форма федерального статистического наблюдения № 62 «Сведения о ресурсном обеспечении и оказании медицинской помощи населению» включает данные об объеме оказанной медицинской помощи в стационарных условиях и размере ее финансирования по профилям медицинской помощи, оказываемой детям (педиатрия, детская кардиология, детская онкология, детская урология-андрология, детская хирургия, детская эндокринология, стоматология детская). </w:t>
      </w:r>
      <w:r w:rsidR="00983E23">
        <w:rPr>
          <w:rFonts w:ascii="Times New Roman" w:eastAsia="Times New Roman" w:hAnsi="Times New Roman" w:cs="Times New Roman"/>
          <w:sz w:val="28"/>
          <w:szCs w:val="28"/>
          <w:lang w:eastAsia="ru-RU"/>
        </w:rPr>
        <w:t>Д</w:t>
      </w:r>
      <w:r w:rsidRPr="00D968E9">
        <w:rPr>
          <w:rFonts w:ascii="Times New Roman" w:eastAsia="Times New Roman" w:hAnsi="Times New Roman" w:cs="Times New Roman"/>
          <w:sz w:val="28"/>
          <w:szCs w:val="28"/>
          <w:lang w:eastAsia="ru-RU"/>
        </w:rPr>
        <w:t xml:space="preserve">анные </w:t>
      </w:r>
      <w:r w:rsidR="00F96F15">
        <w:rPr>
          <w:rFonts w:ascii="Times New Roman" w:eastAsia="Times New Roman" w:hAnsi="Times New Roman" w:cs="Times New Roman"/>
          <w:sz w:val="28"/>
          <w:szCs w:val="28"/>
          <w:lang w:eastAsia="ru-RU"/>
        </w:rPr>
        <w:br/>
      </w:r>
      <w:r w:rsidRPr="00D968E9">
        <w:rPr>
          <w:rFonts w:ascii="Times New Roman" w:eastAsia="Times New Roman" w:hAnsi="Times New Roman" w:cs="Times New Roman"/>
          <w:sz w:val="28"/>
          <w:szCs w:val="28"/>
          <w:lang w:eastAsia="ru-RU"/>
        </w:rPr>
        <w:t>за 2020</w:t>
      </w:r>
      <w:r w:rsidR="00A82DA6">
        <w:rPr>
          <w:rFonts w:ascii="Times New Roman" w:eastAsia="Times New Roman" w:hAnsi="Times New Roman" w:cs="Times New Roman"/>
          <w:sz w:val="28"/>
          <w:szCs w:val="28"/>
          <w:lang w:eastAsia="ru-RU"/>
        </w:rPr>
        <w:t>-</w:t>
      </w:r>
      <w:r w:rsidRPr="00D968E9">
        <w:rPr>
          <w:rFonts w:ascii="Times New Roman" w:eastAsia="Times New Roman" w:hAnsi="Times New Roman" w:cs="Times New Roman"/>
          <w:sz w:val="28"/>
          <w:szCs w:val="28"/>
          <w:lang w:eastAsia="ru-RU"/>
        </w:rPr>
        <w:t>2021 г</w:t>
      </w:r>
      <w:r w:rsidR="00A82DA6">
        <w:rPr>
          <w:rFonts w:ascii="Times New Roman" w:eastAsia="Times New Roman" w:hAnsi="Times New Roman" w:cs="Times New Roman"/>
          <w:sz w:val="28"/>
          <w:szCs w:val="28"/>
          <w:lang w:eastAsia="ru-RU"/>
        </w:rPr>
        <w:t>г.</w:t>
      </w:r>
      <w:r w:rsidRPr="00D968E9">
        <w:rPr>
          <w:rFonts w:ascii="Times New Roman" w:eastAsia="Times New Roman" w:hAnsi="Times New Roman" w:cs="Times New Roman"/>
          <w:sz w:val="28"/>
          <w:szCs w:val="28"/>
          <w:lang w:eastAsia="ru-RU"/>
        </w:rPr>
        <w:t xml:space="preserve"> представлены в таблице </w:t>
      </w:r>
      <w:r w:rsidR="00983E23">
        <w:rPr>
          <w:rFonts w:ascii="Times New Roman" w:eastAsia="Times New Roman" w:hAnsi="Times New Roman" w:cs="Times New Roman"/>
          <w:sz w:val="28"/>
          <w:szCs w:val="28"/>
          <w:lang w:eastAsia="ru-RU"/>
        </w:rPr>
        <w:t>ниже</w:t>
      </w:r>
      <w:r w:rsidR="001B7BF2">
        <w:rPr>
          <w:rFonts w:ascii="Times New Roman" w:eastAsia="Times New Roman" w:hAnsi="Times New Roman" w:cs="Times New Roman"/>
          <w:sz w:val="28"/>
          <w:szCs w:val="28"/>
          <w:lang w:eastAsia="ru-RU"/>
        </w:rPr>
        <w:t>.</w:t>
      </w:r>
    </w:p>
    <w:p w14:paraId="331D536B" w14:textId="77777777" w:rsidR="00D968E9" w:rsidRPr="001B7BF2" w:rsidRDefault="00D968E9" w:rsidP="00983E23">
      <w:pPr>
        <w:spacing w:before="120" w:after="120" w:line="240" w:lineRule="auto"/>
        <w:ind w:firstLine="709"/>
        <w:jc w:val="center"/>
        <w:rPr>
          <w:rFonts w:ascii="Times New Roman" w:eastAsia="Times New Roman" w:hAnsi="Times New Roman" w:cs="Times New Roman"/>
          <w:b/>
          <w:i/>
          <w:sz w:val="28"/>
          <w:szCs w:val="28"/>
          <w:lang w:eastAsia="ru-RU"/>
        </w:rPr>
      </w:pPr>
      <w:r w:rsidRPr="001B7BF2">
        <w:rPr>
          <w:rFonts w:ascii="Times New Roman" w:eastAsia="Times New Roman" w:hAnsi="Times New Roman" w:cs="Times New Roman"/>
          <w:b/>
          <w:i/>
          <w:sz w:val="28"/>
          <w:szCs w:val="28"/>
          <w:lang w:eastAsia="ru-RU"/>
        </w:rPr>
        <w:t>Объем специализированной медицинской помощи, оказанной в стационарных условиях, и его финансовое обеспечение по профилям медицинской помощи, оказанной детям</w:t>
      </w:r>
    </w:p>
    <w:tbl>
      <w:tblPr>
        <w:tblW w:w="9923" w:type="dxa"/>
        <w:tblInd w:w="108" w:type="dxa"/>
        <w:tblLayout w:type="fixed"/>
        <w:tblLook w:val="04A0" w:firstRow="1" w:lastRow="0" w:firstColumn="1" w:lastColumn="0" w:noHBand="0" w:noVBand="1"/>
      </w:tblPr>
      <w:tblGrid>
        <w:gridCol w:w="1966"/>
        <w:gridCol w:w="1845"/>
        <w:gridCol w:w="2001"/>
        <w:gridCol w:w="1984"/>
        <w:gridCol w:w="2127"/>
      </w:tblGrid>
      <w:tr w:rsidR="00D968E9" w:rsidRPr="00D968E9" w14:paraId="7D9588C3" w14:textId="77777777" w:rsidTr="001B7063">
        <w:trPr>
          <w:trHeight w:val="375"/>
          <w:tblHeader/>
        </w:trPr>
        <w:tc>
          <w:tcPr>
            <w:tcW w:w="19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160285" w14:textId="77777777" w:rsidR="00D968E9" w:rsidRPr="00D968E9" w:rsidRDefault="00D968E9" w:rsidP="00D968E9">
            <w:pPr>
              <w:spacing w:after="0"/>
              <w:jc w:val="center"/>
              <w:rPr>
                <w:rFonts w:ascii="Times New Roman" w:eastAsia="Times New Roman" w:hAnsi="Times New Roman" w:cs="Times New Roman"/>
                <w:color w:val="000000"/>
                <w:sz w:val="24"/>
                <w:szCs w:val="24"/>
                <w:lang w:eastAsia="ru-RU"/>
              </w:rPr>
            </w:pPr>
            <w:r w:rsidRPr="00D968E9">
              <w:rPr>
                <w:rFonts w:ascii="Times New Roman" w:eastAsia="Times New Roman" w:hAnsi="Times New Roman" w:cs="Times New Roman"/>
                <w:color w:val="000000"/>
                <w:sz w:val="24"/>
                <w:szCs w:val="24"/>
                <w:lang w:eastAsia="ru-RU"/>
              </w:rPr>
              <w:t>Профиль медицинской помощи</w:t>
            </w:r>
          </w:p>
        </w:tc>
        <w:tc>
          <w:tcPr>
            <w:tcW w:w="38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6B6934" w14:textId="77777777" w:rsidR="00D968E9" w:rsidRPr="00D968E9" w:rsidRDefault="00D968E9" w:rsidP="00502B9D">
            <w:pPr>
              <w:spacing w:after="0"/>
              <w:jc w:val="center"/>
              <w:rPr>
                <w:rFonts w:ascii="Times New Roman" w:eastAsia="Times New Roman" w:hAnsi="Times New Roman" w:cs="Times New Roman"/>
                <w:color w:val="000000"/>
                <w:sz w:val="24"/>
                <w:szCs w:val="24"/>
                <w:lang w:eastAsia="ru-RU"/>
              </w:rPr>
            </w:pPr>
            <w:r w:rsidRPr="00D968E9">
              <w:rPr>
                <w:rFonts w:ascii="Times New Roman" w:eastAsia="Times New Roman" w:hAnsi="Times New Roman" w:cs="Times New Roman"/>
                <w:color w:val="000000"/>
                <w:sz w:val="24"/>
                <w:szCs w:val="24"/>
                <w:lang w:eastAsia="ru-RU"/>
              </w:rPr>
              <w:t>2020 г</w:t>
            </w:r>
            <w:r w:rsidR="00502B9D">
              <w:rPr>
                <w:rFonts w:ascii="Times New Roman" w:eastAsia="Times New Roman" w:hAnsi="Times New Roman" w:cs="Times New Roman"/>
                <w:color w:val="000000"/>
                <w:sz w:val="24"/>
                <w:szCs w:val="24"/>
                <w:lang w:eastAsia="ru-RU"/>
              </w:rPr>
              <w:t>.</w:t>
            </w:r>
          </w:p>
        </w:tc>
        <w:tc>
          <w:tcPr>
            <w:tcW w:w="411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AFD545" w14:textId="77777777" w:rsidR="00D968E9" w:rsidRPr="00D968E9" w:rsidRDefault="00502B9D" w:rsidP="00502B9D">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 г.</w:t>
            </w:r>
          </w:p>
        </w:tc>
      </w:tr>
      <w:tr w:rsidR="00D968E9" w:rsidRPr="00D968E9" w14:paraId="7EEB8542" w14:textId="77777777" w:rsidTr="001B7063">
        <w:trPr>
          <w:trHeight w:val="713"/>
          <w:tblHeader/>
        </w:trPr>
        <w:tc>
          <w:tcPr>
            <w:tcW w:w="1966" w:type="dxa"/>
            <w:vMerge/>
            <w:tcBorders>
              <w:top w:val="single" w:sz="4" w:space="0" w:color="auto"/>
              <w:left w:val="single" w:sz="4" w:space="0" w:color="auto"/>
              <w:bottom w:val="single" w:sz="4" w:space="0" w:color="000000"/>
              <w:right w:val="single" w:sz="4" w:space="0" w:color="auto"/>
            </w:tcBorders>
            <w:vAlign w:val="center"/>
            <w:hideMark/>
          </w:tcPr>
          <w:p w14:paraId="6CAC92BA" w14:textId="77777777" w:rsidR="00D968E9" w:rsidRPr="00D968E9" w:rsidRDefault="00D968E9" w:rsidP="00D968E9">
            <w:pPr>
              <w:spacing w:after="0"/>
              <w:rPr>
                <w:rFonts w:ascii="Times New Roman" w:eastAsia="Times New Roman" w:hAnsi="Times New Roman" w:cs="Times New Roman"/>
                <w:color w:val="000000"/>
                <w:sz w:val="24"/>
                <w:szCs w:val="24"/>
                <w:lang w:eastAsia="ru-RU"/>
              </w:rPr>
            </w:pPr>
          </w:p>
        </w:tc>
        <w:tc>
          <w:tcPr>
            <w:tcW w:w="1845" w:type="dxa"/>
            <w:tcBorders>
              <w:top w:val="nil"/>
              <w:left w:val="nil"/>
              <w:bottom w:val="single" w:sz="4" w:space="0" w:color="auto"/>
              <w:right w:val="single" w:sz="4" w:space="0" w:color="auto"/>
            </w:tcBorders>
            <w:shd w:val="clear" w:color="auto" w:fill="auto"/>
            <w:vAlign w:val="center"/>
            <w:hideMark/>
          </w:tcPr>
          <w:p w14:paraId="3385ED5F" w14:textId="77777777" w:rsidR="00D968E9" w:rsidRPr="00D968E9" w:rsidRDefault="00D968E9" w:rsidP="00D968E9">
            <w:pPr>
              <w:spacing w:after="0"/>
              <w:jc w:val="center"/>
              <w:rPr>
                <w:rFonts w:ascii="Times New Roman" w:eastAsia="Times New Roman" w:hAnsi="Times New Roman" w:cs="Times New Roman"/>
                <w:color w:val="000000"/>
                <w:sz w:val="24"/>
                <w:szCs w:val="24"/>
                <w:lang w:eastAsia="ru-RU"/>
              </w:rPr>
            </w:pPr>
            <w:r w:rsidRPr="00D968E9">
              <w:rPr>
                <w:rFonts w:ascii="Times New Roman" w:eastAsia="Times New Roman" w:hAnsi="Times New Roman" w:cs="Times New Roman"/>
                <w:color w:val="000000"/>
                <w:sz w:val="24"/>
                <w:szCs w:val="24"/>
                <w:lang w:eastAsia="ru-RU"/>
              </w:rPr>
              <w:t>случаев госпитализации</w:t>
            </w:r>
          </w:p>
        </w:tc>
        <w:tc>
          <w:tcPr>
            <w:tcW w:w="2001" w:type="dxa"/>
            <w:tcBorders>
              <w:top w:val="nil"/>
              <w:left w:val="nil"/>
              <w:bottom w:val="single" w:sz="4" w:space="0" w:color="auto"/>
              <w:right w:val="single" w:sz="4" w:space="0" w:color="auto"/>
            </w:tcBorders>
            <w:shd w:val="clear" w:color="auto" w:fill="auto"/>
            <w:vAlign w:val="center"/>
            <w:hideMark/>
          </w:tcPr>
          <w:p w14:paraId="33F01C78" w14:textId="77777777" w:rsidR="00D968E9" w:rsidRPr="00D968E9" w:rsidRDefault="00D968E9" w:rsidP="00D968E9">
            <w:pPr>
              <w:spacing w:after="0"/>
              <w:jc w:val="center"/>
              <w:rPr>
                <w:rFonts w:ascii="Times New Roman" w:eastAsia="Times New Roman" w:hAnsi="Times New Roman" w:cs="Times New Roman"/>
                <w:color w:val="000000"/>
                <w:sz w:val="24"/>
                <w:szCs w:val="24"/>
                <w:lang w:eastAsia="ru-RU"/>
              </w:rPr>
            </w:pPr>
            <w:r w:rsidRPr="00D968E9">
              <w:rPr>
                <w:rFonts w:ascii="Times New Roman" w:eastAsia="Times New Roman" w:hAnsi="Times New Roman" w:cs="Times New Roman"/>
                <w:color w:val="000000"/>
                <w:sz w:val="24"/>
                <w:szCs w:val="24"/>
                <w:lang w:eastAsia="ru-RU"/>
              </w:rPr>
              <w:t>объем финансирования, руб.</w:t>
            </w:r>
          </w:p>
        </w:tc>
        <w:tc>
          <w:tcPr>
            <w:tcW w:w="1984" w:type="dxa"/>
            <w:tcBorders>
              <w:top w:val="nil"/>
              <w:left w:val="nil"/>
              <w:bottom w:val="single" w:sz="4" w:space="0" w:color="auto"/>
              <w:right w:val="single" w:sz="4" w:space="0" w:color="auto"/>
            </w:tcBorders>
            <w:shd w:val="clear" w:color="auto" w:fill="auto"/>
            <w:vAlign w:val="center"/>
            <w:hideMark/>
          </w:tcPr>
          <w:p w14:paraId="1D8101F6" w14:textId="77777777" w:rsidR="00D968E9" w:rsidRPr="00D968E9" w:rsidRDefault="00D968E9" w:rsidP="00D968E9">
            <w:pPr>
              <w:spacing w:after="0"/>
              <w:jc w:val="center"/>
              <w:rPr>
                <w:rFonts w:ascii="Times New Roman" w:eastAsia="Times New Roman" w:hAnsi="Times New Roman" w:cs="Times New Roman"/>
                <w:color w:val="000000"/>
                <w:sz w:val="24"/>
                <w:szCs w:val="24"/>
                <w:lang w:eastAsia="ru-RU"/>
              </w:rPr>
            </w:pPr>
            <w:r w:rsidRPr="00D968E9">
              <w:rPr>
                <w:rFonts w:ascii="Times New Roman" w:eastAsia="Times New Roman" w:hAnsi="Times New Roman" w:cs="Times New Roman"/>
                <w:color w:val="000000"/>
                <w:sz w:val="24"/>
                <w:szCs w:val="24"/>
                <w:lang w:eastAsia="ru-RU"/>
              </w:rPr>
              <w:t>случаев госпитализации</w:t>
            </w:r>
          </w:p>
        </w:tc>
        <w:tc>
          <w:tcPr>
            <w:tcW w:w="2127" w:type="dxa"/>
            <w:tcBorders>
              <w:top w:val="nil"/>
              <w:left w:val="nil"/>
              <w:bottom w:val="single" w:sz="4" w:space="0" w:color="auto"/>
              <w:right w:val="single" w:sz="4" w:space="0" w:color="auto"/>
            </w:tcBorders>
            <w:shd w:val="clear" w:color="auto" w:fill="auto"/>
            <w:vAlign w:val="center"/>
            <w:hideMark/>
          </w:tcPr>
          <w:p w14:paraId="7934F016" w14:textId="77777777" w:rsidR="00D968E9" w:rsidRPr="00D968E9" w:rsidRDefault="00D968E9" w:rsidP="00D968E9">
            <w:pPr>
              <w:spacing w:after="0"/>
              <w:jc w:val="center"/>
              <w:rPr>
                <w:rFonts w:ascii="Times New Roman" w:eastAsia="Times New Roman" w:hAnsi="Times New Roman" w:cs="Times New Roman"/>
                <w:color w:val="000000"/>
                <w:sz w:val="24"/>
                <w:szCs w:val="24"/>
                <w:lang w:eastAsia="ru-RU"/>
              </w:rPr>
            </w:pPr>
            <w:r w:rsidRPr="00D968E9">
              <w:rPr>
                <w:rFonts w:ascii="Times New Roman" w:eastAsia="Times New Roman" w:hAnsi="Times New Roman" w:cs="Times New Roman"/>
                <w:color w:val="000000"/>
                <w:sz w:val="24"/>
                <w:szCs w:val="24"/>
                <w:lang w:eastAsia="ru-RU"/>
              </w:rPr>
              <w:t>объем финансирования, руб.</w:t>
            </w:r>
          </w:p>
        </w:tc>
      </w:tr>
      <w:tr w:rsidR="00D968E9" w:rsidRPr="00D968E9" w14:paraId="7724732F" w14:textId="77777777" w:rsidTr="001B7063">
        <w:trPr>
          <w:trHeight w:val="427"/>
        </w:trPr>
        <w:tc>
          <w:tcPr>
            <w:tcW w:w="1966" w:type="dxa"/>
            <w:tcBorders>
              <w:top w:val="nil"/>
              <w:left w:val="single" w:sz="4" w:space="0" w:color="auto"/>
              <w:bottom w:val="single" w:sz="4" w:space="0" w:color="auto"/>
              <w:right w:val="single" w:sz="4" w:space="0" w:color="auto"/>
            </w:tcBorders>
            <w:shd w:val="clear" w:color="auto" w:fill="auto"/>
            <w:vAlign w:val="bottom"/>
            <w:hideMark/>
          </w:tcPr>
          <w:p w14:paraId="2C642C30" w14:textId="77777777" w:rsidR="00D968E9" w:rsidRPr="00D968E9" w:rsidRDefault="00D968E9" w:rsidP="00D968E9">
            <w:pPr>
              <w:spacing w:after="0"/>
              <w:rPr>
                <w:rFonts w:ascii="Times New Roman" w:eastAsia="Times New Roman" w:hAnsi="Times New Roman" w:cs="Times New Roman"/>
                <w:color w:val="000000"/>
                <w:sz w:val="24"/>
                <w:szCs w:val="24"/>
                <w:lang w:eastAsia="ru-RU"/>
              </w:rPr>
            </w:pPr>
            <w:r w:rsidRPr="00D968E9">
              <w:rPr>
                <w:rFonts w:ascii="Times New Roman" w:eastAsia="Times New Roman" w:hAnsi="Times New Roman" w:cs="Times New Roman"/>
                <w:color w:val="000000"/>
                <w:sz w:val="24"/>
                <w:szCs w:val="24"/>
                <w:lang w:eastAsia="ru-RU"/>
              </w:rPr>
              <w:t>Педиатрия</w:t>
            </w:r>
          </w:p>
        </w:tc>
        <w:tc>
          <w:tcPr>
            <w:tcW w:w="1845" w:type="dxa"/>
            <w:tcBorders>
              <w:top w:val="nil"/>
              <w:left w:val="nil"/>
              <w:bottom w:val="single" w:sz="4" w:space="0" w:color="auto"/>
              <w:right w:val="single" w:sz="4" w:space="0" w:color="auto"/>
            </w:tcBorders>
            <w:shd w:val="clear" w:color="auto" w:fill="auto"/>
            <w:vAlign w:val="bottom"/>
            <w:hideMark/>
          </w:tcPr>
          <w:p w14:paraId="1A0006FB" w14:textId="77777777" w:rsidR="00D968E9" w:rsidRPr="00D968E9" w:rsidRDefault="00D968E9" w:rsidP="00D968E9">
            <w:pPr>
              <w:spacing w:after="0"/>
              <w:jc w:val="center"/>
              <w:rPr>
                <w:rFonts w:ascii="Times New Roman" w:eastAsia="Times New Roman" w:hAnsi="Times New Roman" w:cs="Times New Roman"/>
                <w:color w:val="000000"/>
                <w:sz w:val="24"/>
                <w:szCs w:val="24"/>
                <w:lang w:eastAsia="ru-RU"/>
              </w:rPr>
            </w:pPr>
            <w:r w:rsidRPr="00D968E9">
              <w:rPr>
                <w:rFonts w:ascii="Times New Roman" w:eastAsia="Times New Roman" w:hAnsi="Times New Roman" w:cs="Times New Roman"/>
                <w:color w:val="000000"/>
                <w:sz w:val="24"/>
                <w:szCs w:val="24"/>
                <w:lang w:eastAsia="ru-RU"/>
              </w:rPr>
              <w:t>746 364</w:t>
            </w:r>
          </w:p>
        </w:tc>
        <w:tc>
          <w:tcPr>
            <w:tcW w:w="2001" w:type="dxa"/>
            <w:tcBorders>
              <w:top w:val="nil"/>
              <w:left w:val="nil"/>
              <w:bottom w:val="single" w:sz="4" w:space="0" w:color="auto"/>
              <w:right w:val="single" w:sz="4" w:space="0" w:color="auto"/>
            </w:tcBorders>
            <w:shd w:val="clear" w:color="auto" w:fill="auto"/>
            <w:vAlign w:val="bottom"/>
            <w:hideMark/>
          </w:tcPr>
          <w:p w14:paraId="0E1880FC" w14:textId="77777777" w:rsidR="00D968E9" w:rsidRPr="00D968E9" w:rsidRDefault="00D968E9" w:rsidP="00D968E9">
            <w:pPr>
              <w:spacing w:after="0"/>
              <w:jc w:val="center"/>
              <w:rPr>
                <w:rFonts w:ascii="Times New Roman" w:eastAsia="Times New Roman" w:hAnsi="Times New Roman" w:cs="Times New Roman"/>
                <w:color w:val="000000"/>
                <w:sz w:val="24"/>
                <w:szCs w:val="24"/>
                <w:lang w:eastAsia="ru-RU"/>
              </w:rPr>
            </w:pPr>
            <w:r w:rsidRPr="00D968E9">
              <w:rPr>
                <w:rFonts w:ascii="Times New Roman" w:eastAsia="Times New Roman" w:hAnsi="Times New Roman" w:cs="Times New Roman"/>
                <w:color w:val="000000"/>
                <w:sz w:val="24"/>
                <w:szCs w:val="24"/>
                <w:lang w:eastAsia="ru-RU"/>
              </w:rPr>
              <w:t>23 352 105 361</w:t>
            </w:r>
          </w:p>
        </w:tc>
        <w:tc>
          <w:tcPr>
            <w:tcW w:w="1984" w:type="dxa"/>
            <w:tcBorders>
              <w:top w:val="nil"/>
              <w:left w:val="nil"/>
              <w:bottom w:val="single" w:sz="4" w:space="0" w:color="auto"/>
              <w:right w:val="single" w:sz="4" w:space="0" w:color="auto"/>
            </w:tcBorders>
            <w:shd w:val="clear" w:color="auto" w:fill="auto"/>
            <w:vAlign w:val="bottom"/>
            <w:hideMark/>
          </w:tcPr>
          <w:p w14:paraId="5D19070E" w14:textId="77777777" w:rsidR="00D968E9" w:rsidRPr="00D968E9" w:rsidRDefault="00D968E9" w:rsidP="00D968E9">
            <w:pPr>
              <w:spacing w:after="0"/>
              <w:jc w:val="center"/>
              <w:rPr>
                <w:rFonts w:ascii="Times New Roman" w:eastAsia="Times New Roman" w:hAnsi="Times New Roman" w:cs="Times New Roman"/>
                <w:color w:val="000000"/>
                <w:sz w:val="24"/>
                <w:szCs w:val="24"/>
                <w:lang w:eastAsia="ru-RU"/>
              </w:rPr>
            </w:pPr>
            <w:r w:rsidRPr="00D968E9">
              <w:rPr>
                <w:rFonts w:ascii="Times New Roman" w:eastAsia="Times New Roman" w:hAnsi="Times New Roman" w:cs="Times New Roman"/>
                <w:color w:val="000000"/>
                <w:sz w:val="24"/>
                <w:szCs w:val="24"/>
                <w:lang w:eastAsia="ru-RU"/>
              </w:rPr>
              <w:t>772 753</w:t>
            </w:r>
          </w:p>
        </w:tc>
        <w:tc>
          <w:tcPr>
            <w:tcW w:w="2127" w:type="dxa"/>
            <w:tcBorders>
              <w:top w:val="nil"/>
              <w:left w:val="nil"/>
              <w:bottom w:val="single" w:sz="4" w:space="0" w:color="auto"/>
              <w:right w:val="single" w:sz="4" w:space="0" w:color="auto"/>
            </w:tcBorders>
            <w:shd w:val="clear" w:color="auto" w:fill="auto"/>
            <w:vAlign w:val="bottom"/>
            <w:hideMark/>
          </w:tcPr>
          <w:p w14:paraId="2430972E" w14:textId="77777777" w:rsidR="00D968E9" w:rsidRPr="00D968E9" w:rsidRDefault="00D968E9" w:rsidP="00D968E9">
            <w:pPr>
              <w:spacing w:after="0"/>
              <w:jc w:val="center"/>
              <w:rPr>
                <w:rFonts w:ascii="Times New Roman" w:eastAsia="Times New Roman" w:hAnsi="Times New Roman" w:cs="Times New Roman"/>
                <w:color w:val="000000"/>
                <w:sz w:val="24"/>
                <w:szCs w:val="24"/>
                <w:lang w:eastAsia="ru-RU"/>
              </w:rPr>
            </w:pPr>
            <w:r w:rsidRPr="00D968E9">
              <w:rPr>
                <w:rFonts w:ascii="Times New Roman" w:eastAsia="Times New Roman" w:hAnsi="Times New Roman" w:cs="Times New Roman"/>
                <w:color w:val="000000"/>
                <w:sz w:val="24"/>
                <w:szCs w:val="24"/>
                <w:lang w:eastAsia="ru-RU"/>
              </w:rPr>
              <w:t>21 937 944 807</w:t>
            </w:r>
          </w:p>
        </w:tc>
      </w:tr>
      <w:tr w:rsidR="00D968E9" w:rsidRPr="00D968E9" w14:paraId="112AF6AD" w14:textId="77777777" w:rsidTr="001B7063">
        <w:trPr>
          <w:trHeight w:val="405"/>
        </w:trPr>
        <w:tc>
          <w:tcPr>
            <w:tcW w:w="1966" w:type="dxa"/>
            <w:tcBorders>
              <w:top w:val="nil"/>
              <w:left w:val="single" w:sz="4" w:space="0" w:color="auto"/>
              <w:bottom w:val="single" w:sz="4" w:space="0" w:color="auto"/>
              <w:right w:val="single" w:sz="4" w:space="0" w:color="auto"/>
            </w:tcBorders>
            <w:shd w:val="clear" w:color="auto" w:fill="auto"/>
            <w:vAlign w:val="bottom"/>
            <w:hideMark/>
          </w:tcPr>
          <w:p w14:paraId="4C63CA1C" w14:textId="77777777" w:rsidR="00D968E9" w:rsidRPr="00D968E9" w:rsidRDefault="00D968E9" w:rsidP="00D968E9">
            <w:pPr>
              <w:spacing w:after="0"/>
              <w:rPr>
                <w:rFonts w:ascii="Times New Roman" w:eastAsia="Times New Roman" w:hAnsi="Times New Roman" w:cs="Times New Roman"/>
                <w:color w:val="000000"/>
                <w:sz w:val="24"/>
                <w:szCs w:val="24"/>
                <w:lang w:eastAsia="ru-RU"/>
              </w:rPr>
            </w:pPr>
            <w:r w:rsidRPr="00D968E9">
              <w:rPr>
                <w:rFonts w:ascii="Times New Roman" w:eastAsia="Times New Roman" w:hAnsi="Times New Roman" w:cs="Times New Roman"/>
                <w:color w:val="000000"/>
                <w:sz w:val="24"/>
                <w:szCs w:val="24"/>
                <w:lang w:eastAsia="ru-RU"/>
              </w:rPr>
              <w:t>Детская кардиология</w:t>
            </w:r>
          </w:p>
        </w:tc>
        <w:tc>
          <w:tcPr>
            <w:tcW w:w="1845" w:type="dxa"/>
            <w:tcBorders>
              <w:top w:val="nil"/>
              <w:left w:val="nil"/>
              <w:bottom w:val="single" w:sz="4" w:space="0" w:color="auto"/>
              <w:right w:val="single" w:sz="4" w:space="0" w:color="auto"/>
            </w:tcBorders>
            <w:shd w:val="clear" w:color="auto" w:fill="auto"/>
            <w:vAlign w:val="bottom"/>
            <w:hideMark/>
          </w:tcPr>
          <w:p w14:paraId="2B4D6DB6" w14:textId="77777777" w:rsidR="00D968E9" w:rsidRPr="00D968E9" w:rsidRDefault="00D968E9" w:rsidP="00D968E9">
            <w:pPr>
              <w:spacing w:after="0"/>
              <w:jc w:val="center"/>
              <w:rPr>
                <w:rFonts w:ascii="Times New Roman" w:eastAsia="Times New Roman" w:hAnsi="Times New Roman" w:cs="Times New Roman"/>
                <w:color w:val="000000"/>
                <w:sz w:val="24"/>
                <w:szCs w:val="24"/>
                <w:lang w:eastAsia="ru-RU"/>
              </w:rPr>
            </w:pPr>
            <w:r w:rsidRPr="00D968E9">
              <w:rPr>
                <w:rFonts w:ascii="Times New Roman" w:eastAsia="Times New Roman" w:hAnsi="Times New Roman" w:cs="Times New Roman"/>
                <w:color w:val="000000"/>
                <w:sz w:val="24"/>
                <w:szCs w:val="24"/>
                <w:lang w:eastAsia="ru-RU"/>
              </w:rPr>
              <w:t>36 991</w:t>
            </w:r>
          </w:p>
        </w:tc>
        <w:tc>
          <w:tcPr>
            <w:tcW w:w="2001" w:type="dxa"/>
            <w:tcBorders>
              <w:top w:val="nil"/>
              <w:left w:val="nil"/>
              <w:bottom w:val="single" w:sz="4" w:space="0" w:color="auto"/>
              <w:right w:val="single" w:sz="4" w:space="0" w:color="auto"/>
            </w:tcBorders>
            <w:shd w:val="clear" w:color="auto" w:fill="auto"/>
            <w:vAlign w:val="bottom"/>
            <w:hideMark/>
          </w:tcPr>
          <w:p w14:paraId="5476BB47" w14:textId="77777777" w:rsidR="00D968E9" w:rsidRPr="00D968E9" w:rsidRDefault="00D968E9" w:rsidP="00D968E9">
            <w:pPr>
              <w:spacing w:after="0"/>
              <w:jc w:val="center"/>
              <w:rPr>
                <w:rFonts w:ascii="Times New Roman" w:eastAsia="Times New Roman" w:hAnsi="Times New Roman" w:cs="Times New Roman"/>
                <w:color w:val="000000"/>
                <w:sz w:val="24"/>
                <w:szCs w:val="24"/>
                <w:lang w:eastAsia="ru-RU"/>
              </w:rPr>
            </w:pPr>
            <w:r w:rsidRPr="00D968E9">
              <w:rPr>
                <w:rFonts w:ascii="Times New Roman" w:eastAsia="Times New Roman" w:hAnsi="Times New Roman" w:cs="Times New Roman"/>
                <w:color w:val="000000"/>
                <w:sz w:val="24"/>
                <w:szCs w:val="24"/>
                <w:lang w:eastAsia="ru-RU"/>
              </w:rPr>
              <w:t>1 697 636 249</w:t>
            </w:r>
          </w:p>
        </w:tc>
        <w:tc>
          <w:tcPr>
            <w:tcW w:w="1984" w:type="dxa"/>
            <w:tcBorders>
              <w:top w:val="nil"/>
              <w:left w:val="nil"/>
              <w:bottom w:val="single" w:sz="4" w:space="0" w:color="auto"/>
              <w:right w:val="single" w:sz="4" w:space="0" w:color="auto"/>
            </w:tcBorders>
            <w:shd w:val="clear" w:color="auto" w:fill="auto"/>
            <w:vAlign w:val="bottom"/>
            <w:hideMark/>
          </w:tcPr>
          <w:p w14:paraId="69FB7CAA" w14:textId="77777777" w:rsidR="00D968E9" w:rsidRPr="00D968E9" w:rsidRDefault="00D968E9" w:rsidP="00D968E9">
            <w:pPr>
              <w:spacing w:after="0"/>
              <w:jc w:val="center"/>
              <w:rPr>
                <w:rFonts w:ascii="Times New Roman" w:eastAsia="Times New Roman" w:hAnsi="Times New Roman" w:cs="Times New Roman"/>
                <w:color w:val="000000"/>
                <w:sz w:val="24"/>
                <w:szCs w:val="24"/>
                <w:lang w:eastAsia="ru-RU"/>
              </w:rPr>
            </w:pPr>
            <w:r w:rsidRPr="00D968E9">
              <w:rPr>
                <w:rFonts w:ascii="Times New Roman" w:eastAsia="Times New Roman" w:hAnsi="Times New Roman" w:cs="Times New Roman"/>
                <w:color w:val="000000"/>
                <w:sz w:val="24"/>
                <w:szCs w:val="24"/>
                <w:lang w:eastAsia="ru-RU"/>
              </w:rPr>
              <w:t>39 072</w:t>
            </w:r>
          </w:p>
        </w:tc>
        <w:tc>
          <w:tcPr>
            <w:tcW w:w="2127" w:type="dxa"/>
            <w:tcBorders>
              <w:top w:val="nil"/>
              <w:left w:val="nil"/>
              <w:bottom w:val="single" w:sz="4" w:space="0" w:color="auto"/>
              <w:right w:val="single" w:sz="4" w:space="0" w:color="auto"/>
            </w:tcBorders>
            <w:shd w:val="clear" w:color="auto" w:fill="auto"/>
            <w:vAlign w:val="bottom"/>
            <w:hideMark/>
          </w:tcPr>
          <w:p w14:paraId="6FEA78D8" w14:textId="77777777" w:rsidR="00D968E9" w:rsidRPr="00D968E9" w:rsidRDefault="00D968E9" w:rsidP="00D968E9">
            <w:pPr>
              <w:spacing w:after="0"/>
              <w:jc w:val="center"/>
              <w:rPr>
                <w:rFonts w:ascii="Times New Roman" w:eastAsia="Times New Roman" w:hAnsi="Times New Roman" w:cs="Times New Roman"/>
                <w:color w:val="000000"/>
                <w:sz w:val="24"/>
                <w:szCs w:val="24"/>
                <w:lang w:eastAsia="ru-RU"/>
              </w:rPr>
            </w:pPr>
            <w:r w:rsidRPr="00D968E9">
              <w:rPr>
                <w:rFonts w:ascii="Times New Roman" w:eastAsia="Times New Roman" w:hAnsi="Times New Roman" w:cs="Times New Roman"/>
                <w:color w:val="000000"/>
                <w:sz w:val="24"/>
                <w:szCs w:val="24"/>
                <w:lang w:eastAsia="ru-RU"/>
              </w:rPr>
              <w:t>1 595 042 581</w:t>
            </w:r>
          </w:p>
        </w:tc>
      </w:tr>
      <w:tr w:rsidR="00D968E9" w:rsidRPr="00D968E9" w14:paraId="2F798BD7" w14:textId="77777777" w:rsidTr="001B7063">
        <w:trPr>
          <w:trHeight w:val="411"/>
        </w:trPr>
        <w:tc>
          <w:tcPr>
            <w:tcW w:w="1966" w:type="dxa"/>
            <w:tcBorders>
              <w:top w:val="nil"/>
              <w:left w:val="single" w:sz="4" w:space="0" w:color="auto"/>
              <w:bottom w:val="single" w:sz="4" w:space="0" w:color="auto"/>
              <w:right w:val="single" w:sz="4" w:space="0" w:color="auto"/>
            </w:tcBorders>
            <w:shd w:val="clear" w:color="auto" w:fill="auto"/>
            <w:vAlign w:val="bottom"/>
            <w:hideMark/>
          </w:tcPr>
          <w:p w14:paraId="3845F63B" w14:textId="77777777" w:rsidR="00D968E9" w:rsidRPr="00D968E9" w:rsidRDefault="00D968E9" w:rsidP="00D968E9">
            <w:pPr>
              <w:spacing w:after="0"/>
              <w:rPr>
                <w:rFonts w:ascii="Times New Roman" w:eastAsia="Times New Roman" w:hAnsi="Times New Roman" w:cs="Times New Roman"/>
                <w:color w:val="000000"/>
                <w:sz w:val="24"/>
                <w:szCs w:val="24"/>
                <w:lang w:eastAsia="ru-RU"/>
              </w:rPr>
            </w:pPr>
            <w:r w:rsidRPr="00D968E9">
              <w:rPr>
                <w:rFonts w:ascii="Times New Roman" w:eastAsia="Times New Roman" w:hAnsi="Times New Roman" w:cs="Times New Roman"/>
                <w:color w:val="000000"/>
                <w:sz w:val="24"/>
                <w:szCs w:val="24"/>
                <w:lang w:eastAsia="ru-RU"/>
              </w:rPr>
              <w:t>Детская онкология</w:t>
            </w:r>
          </w:p>
        </w:tc>
        <w:tc>
          <w:tcPr>
            <w:tcW w:w="1845" w:type="dxa"/>
            <w:tcBorders>
              <w:top w:val="nil"/>
              <w:left w:val="nil"/>
              <w:bottom w:val="single" w:sz="4" w:space="0" w:color="auto"/>
              <w:right w:val="single" w:sz="4" w:space="0" w:color="auto"/>
            </w:tcBorders>
            <w:shd w:val="clear" w:color="auto" w:fill="auto"/>
            <w:vAlign w:val="bottom"/>
            <w:hideMark/>
          </w:tcPr>
          <w:p w14:paraId="6F0415CA" w14:textId="77777777" w:rsidR="00D968E9" w:rsidRPr="00D968E9" w:rsidRDefault="00D968E9" w:rsidP="00D968E9">
            <w:pPr>
              <w:spacing w:after="0"/>
              <w:jc w:val="center"/>
              <w:rPr>
                <w:rFonts w:ascii="Times New Roman" w:eastAsia="Times New Roman" w:hAnsi="Times New Roman" w:cs="Times New Roman"/>
                <w:color w:val="000000"/>
                <w:sz w:val="24"/>
                <w:szCs w:val="24"/>
                <w:lang w:eastAsia="ru-RU"/>
              </w:rPr>
            </w:pPr>
            <w:r w:rsidRPr="00D968E9">
              <w:rPr>
                <w:rFonts w:ascii="Times New Roman" w:eastAsia="Times New Roman" w:hAnsi="Times New Roman" w:cs="Times New Roman"/>
                <w:color w:val="000000"/>
                <w:sz w:val="24"/>
                <w:szCs w:val="24"/>
                <w:lang w:eastAsia="ru-RU"/>
              </w:rPr>
              <w:t>41 120</w:t>
            </w:r>
          </w:p>
        </w:tc>
        <w:tc>
          <w:tcPr>
            <w:tcW w:w="2001" w:type="dxa"/>
            <w:tcBorders>
              <w:top w:val="nil"/>
              <w:left w:val="nil"/>
              <w:bottom w:val="single" w:sz="4" w:space="0" w:color="auto"/>
              <w:right w:val="single" w:sz="4" w:space="0" w:color="auto"/>
            </w:tcBorders>
            <w:shd w:val="clear" w:color="auto" w:fill="auto"/>
            <w:vAlign w:val="bottom"/>
            <w:hideMark/>
          </w:tcPr>
          <w:p w14:paraId="0AC4D6DB" w14:textId="77777777" w:rsidR="00D968E9" w:rsidRPr="00D968E9" w:rsidRDefault="00D968E9" w:rsidP="00D968E9">
            <w:pPr>
              <w:spacing w:after="0"/>
              <w:jc w:val="center"/>
              <w:rPr>
                <w:rFonts w:ascii="Times New Roman" w:eastAsia="Times New Roman" w:hAnsi="Times New Roman" w:cs="Times New Roman"/>
                <w:color w:val="000000"/>
                <w:sz w:val="24"/>
                <w:szCs w:val="24"/>
                <w:lang w:eastAsia="ru-RU"/>
              </w:rPr>
            </w:pPr>
            <w:r w:rsidRPr="00D968E9">
              <w:rPr>
                <w:rFonts w:ascii="Times New Roman" w:eastAsia="Times New Roman" w:hAnsi="Times New Roman" w:cs="Times New Roman"/>
                <w:color w:val="000000"/>
                <w:sz w:val="24"/>
                <w:szCs w:val="24"/>
                <w:lang w:eastAsia="ru-RU"/>
              </w:rPr>
              <w:t>8 012 420 410</w:t>
            </w:r>
          </w:p>
        </w:tc>
        <w:tc>
          <w:tcPr>
            <w:tcW w:w="1984" w:type="dxa"/>
            <w:tcBorders>
              <w:top w:val="nil"/>
              <w:left w:val="nil"/>
              <w:bottom w:val="single" w:sz="4" w:space="0" w:color="auto"/>
              <w:right w:val="single" w:sz="4" w:space="0" w:color="auto"/>
            </w:tcBorders>
            <w:shd w:val="clear" w:color="auto" w:fill="auto"/>
            <w:vAlign w:val="bottom"/>
            <w:hideMark/>
          </w:tcPr>
          <w:p w14:paraId="3C733566" w14:textId="77777777" w:rsidR="00D968E9" w:rsidRPr="00D968E9" w:rsidRDefault="00D968E9" w:rsidP="00D968E9">
            <w:pPr>
              <w:spacing w:after="0"/>
              <w:jc w:val="center"/>
              <w:rPr>
                <w:rFonts w:ascii="Times New Roman" w:eastAsia="Times New Roman" w:hAnsi="Times New Roman" w:cs="Times New Roman"/>
                <w:color w:val="000000"/>
                <w:sz w:val="24"/>
                <w:szCs w:val="24"/>
                <w:lang w:eastAsia="ru-RU"/>
              </w:rPr>
            </w:pPr>
            <w:r w:rsidRPr="00D968E9">
              <w:rPr>
                <w:rFonts w:ascii="Times New Roman" w:eastAsia="Times New Roman" w:hAnsi="Times New Roman" w:cs="Times New Roman"/>
                <w:color w:val="000000"/>
                <w:sz w:val="24"/>
                <w:szCs w:val="24"/>
                <w:lang w:eastAsia="ru-RU"/>
              </w:rPr>
              <w:t>33 866</w:t>
            </w:r>
          </w:p>
        </w:tc>
        <w:tc>
          <w:tcPr>
            <w:tcW w:w="2127" w:type="dxa"/>
            <w:tcBorders>
              <w:top w:val="nil"/>
              <w:left w:val="nil"/>
              <w:bottom w:val="single" w:sz="4" w:space="0" w:color="auto"/>
              <w:right w:val="single" w:sz="4" w:space="0" w:color="auto"/>
            </w:tcBorders>
            <w:shd w:val="clear" w:color="auto" w:fill="auto"/>
            <w:vAlign w:val="bottom"/>
            <w:hideMark/>
          </w:tcPr>
          <w:p w14:paraId="2AD4597B" w14:textId="77777777" w:rsidR="00D968E9" w:rsidRPr="00D968E9" w:rsidRDefault="00D968E9" w:rsidP="00D968E9">
            <w:pPr>
              <w:spacing w:after="0"/>
              <w:jc w:val="center"/>
              <w:rPr>
                <w:rFonts w:ascii="Times New Roman" w:eastAsia="Times New Roman" w:hAnsi="Times New Roman" w:cs="Times New Roman"/>
                <w:color w:val="000000"/>
                <w:sz w:val="24"/>
                <w:szCs w:val="24"/>
                <w:lang w:eastAsia="ru-RU"/>
              </w:rPr>
            </w:pPr>
            <w:r w:rsidRPr="00D968E9">
              <w:rPr>
                <w:rFonts w:ascii="Times New Roman" w:eastAsia="Times New Roman" w:hAnsi="Times New Roman" w:cs="Times New Roman"/>
                <w:color w:val="000000"/>
                <w:sz w:val="24"/>
                <w:szCs w:val="24"/>
                <w:lang w:eastAsia="ru-RU"/>
              </w:rPr>
              <w:t>6 694 239 785</w:t>
            </w:r>
          </w:p>
        </w:tc>
      </w:tr>
      <w:tr w:rsidR="00D968E9" w:rsidRPr="00D968E9" w14:paraId="462D25E1" w14:textId="77777777" w:rsidTr="001B7063">
        <w:trPr>
          <w:trHeight w:val="559"/>
        </w:trPr>
        <w:tc>
          <w:tcPr>
            <w:tcW w:w="1966" w:type="dxa"/>
            <w:tcBorders>
              <w:top w:val="nil"/>
              <w:left w:val="single" w:sz="4" w:space="0" w:color="auto"/>
              <w:bottom w:val="single" w:sz="4" w:space="0" w:color="auto"/>
              <w:right w:val="single" w:sz="4" w:space="0" w:color="auto"/>
            </w:tcBorders>
            <w:shd w:val="clear" w:color="auto" w:fill="auto"/>
            <w:vAlign w:val="bottom"/>
            <w:hideMark/>
          </w:tcPr>
          <w:p w14:paraId="64F68DDF" w14:textId="77777777" w:rsidR="00D968E9" w:rsidRPr="00D968E9" w:rsidRDefault="00D968E9" w:rsidP="00D968E9">
            <w:pPr>
              <w:spacing w:after="0"/>
              <w:rPr>
                <w:rFonts w:ascii="Times New Roman" w:eastAsia="Times New Roman" w:hAnsi="Times New Roman" w:cs="Times New Roman"/>
                <w:color w:val="000000"/>
                <w:sz w:val="24"/>
                <w:szCs w:val="24"/>
                <w:lang w:eastAsia="ru-RU"/>
              </w:rPr>
            </w:pPr>
            <w:r w:rsidRPr="00D968E9">
              <w:rPr>
                <w:rFonts w:ascii="Times New Roman" w:eastAsia="Times New Roman" w:hAnsi="Times New Roman" w:cs="Times New Roman"/>
                <w:color w:val="000000"/>
                <w:sz w:val="24"/>
                <w:szCs w:val="24"/>
                <w:lang w:eastAsia="ru-RU"/>
              </w:rPr>
              <w:t>Детская урология-андрология</w:t>
            </w:r>
          </w:p>
        </w:tc>
        <w:tc>
          <w:tcPr>
            <w:tcW w:w="1845" w:type="dxa"/>
            <w:tcBorders>
              <w:top w:val="nil"/>
              <w:left w:val="nil"/>
              <w:bottom w:val="single" w:sz="4" w:space="0" w:color="auto"/>
              <w:right w:val="single" w:sz="4" w:space="0" w:color="auto"/>
            </w:tcBorders>
            <w:shd w:val="clear" w:color="auto" w:fill="auto"/>
            <w:vAlign w:val="bottom"/>
            <w:hideMark/>
          </w:tcPr>
          <w:p w14:paraId="61AD8AE3" w14:textId="77777777" w:rsidR="00D968E9" w:rsidRPr="00D968E9" w:rsidRDefault="00D968E9" w:rsidP="00D968E9">
            <w:pPr>
              <w:spacing w:after="0"/>
              <w:jc w:val="center"/>
              <w:rPr>
                <w:rFonts w:ascii="Times New Roman" w:eastAsia="Times New Roman" w:hAnsi="Times New Roman" w:cs="Times New Roman"/>
                <w:color w:val="000000"/>
                <w:sz w:val="24"/>
                <w:szCs w:val="24"/>
                <w:lang w:eastAsia="ru-RU"/>
              </w:rPr>
            </w:pPr>
            <w:r w:rsidRPr="00D968E9">
              <w:rPr>
                <w:rFonts w:ascii="Times New Roman" w:eastAsia="Times New Roman" w:hAnsi="Times New Roman" w:cs="Times New Roman"/>
                <w:color w:val="000000"/>
                <w:sz w:val="24"/>
                <w:szCs w:val="24"/>
                <w:lang w:eastAsia="ru-RU"/>
              </w:rPr>
              <w:t>92 160</w:t>
            </w:r>
          </w:p>
        </w:tc>
        <w:tc>
          <w:tcPr>
            <w:tcW w:w="2001" w:type="dxa"/>
            <w:tcBorders>
              <w:top w:val="nil"/>
              <w:left w:val="nil"/>
              <w:bottom w:val="single" w:sz="4" w:space="0" w:color="auto"/>
              <w:right w:val="single" w:sz="4" w:space="0" w:color="auto"/>
            </w:tcBorders>
            <w:shd w:val="clear" w:color="auto" w:fill="auto"/>
            <w:vAlign w:val="bottom"/>
            <w:hideMark/>
          </w:tcPr>
          <w:p w14:paraId="59B60F5D" w14:textId="77777777" w:rsidR="00D968E9" w:rsidRPr="00D968E9" w:rsidRDefault="00D968E9" w:rsidP="00D968E9">
            <w:pPr>
              <w:spacing w:after="0"/>
              <w:jc w:val="center"/>
              <w:rPr>
                <w:rFonts w:ascii="Times New Roman" w:eastAsia="Times New Roman" w:hAnsi="Times New Roman" w:cs="Times New Roman"/>
                <w:color w:val="000000"/>
                <w:sz w:val="24"/>
                <w:szCs w:val="24"/>
                <w:lang w:eastAsia="ru-RU"/>
              </w:rPr>
            </w:pPr>
            <w:r w:rsidRPr="00D968E9">
              <w:rPr>
                <w:rFonts w:ascii="Times New Roman" w:eastAsia="Times New Roman" w:hAnsi="Times New Roman" w:cs="Times New Roman"/>
                <w:color w:val="000000"/>
                <w:sz w:val="24"/>
                <w:szCs w:val="24"/>
                <w:lang w:eastAsia="ru-RU"/>
              </w:rPr>
              <w:t>3 651 794 736</w:t>
            </w:r>
          </w:p>
        </w:tc>
        <w:tc>
          <w:tcPr>
            <w:tcW w:w="1984" w:type="dxa"/>
            <w:tcBorders>
              <w:top w:val="nil"/>
              <w:left w:val="nil"/>
              <w:bottom w:val="single" w:sz="4" w:space="0" w:color="auto"/>
              <w:right w:val="single" w:sz="4" w:space="0" w:color="auto"/>
            </w:tcBorders>
            <w:shd w:val="clear" w:color="auto" w:fill="auto"/>
            <w:vAlign w:val="bottom"/>
            <w:hideMark/>
          </w:tcPr>
          <w:p w14:paraId="38784804" w14:textId="77777777" w:rsidR="00D968E9" w:rsidRPr="00D968E9" w:rsidRDefault="00D968E9" w:rsidP="00D968E9">
            <w:pPr>
              <w:spacing w:after="0"/>
              <w:jc w:val="center"/>
              <w:rPr>
                <w:rFonts w:ascii="Times New Roman" w:eastAsia="Times New Roman" w:hAnsi="Times New Roman" w:cs="Times New Roman"/>
                <w:color w:val="000000"/>
                <w:sz w:val="24"/>
                <w:szCs w:val="24"/>
                <w:lang w:eastAsia="ru-RU"/>
              </w:rPr>
            </w:pPr>
            <w:r w:rsidRPr="00D968E9">
              <w:rPr>
                <w:rFonts w:ascii="Times New Roman" w:eastAsia="Times New Roman" w:hAnsi="Times New Roman" w:cs="Times New Roman"/>
                <w:color w:val="000000"/>
                <w:sz w:val="24"/>
                <w:szCs w:val="24"/>
                <w:lang w:eastAsia="ru-RU"/>
              </w:rPr>
              <w:t>103 529</w:t>
            </w:r>
          </w:p>
        </w:tc>
        <w:tc>
          <w:tcPr>
            <w:tcW w:w="2127" w:type="dxa"/>
            <w:tcBorders>
              <w:top w:val="nil"/>
              <w:left w:val="nil"/>
              <w:bottom w:val="single" w:sz="4" w:space="0" w:color="auto"/>
              <w:right w:val="single" w:sz="4" w:space="0" w:color="auto"/>
            </w:tcBorders>
            <w:shd w:val="clear" w:color="auto" w:fill="auto"/>
            <w:vAlign w:val="bottom"/>
            <w:hideMark/>
          </w:tcPr>
          <w:p w14:paraId="796F8423" w14:textId="77777777" w:rsidR="00D968E9" w:rsidRPr="00D968E9" w:rsidRDefault="00D968E9" w:rsidP="00D968E9">
            <w:pPr>
              <w:spacing w:after="0"/>
              <w:jc w:val="center"/>
              <w:rPr>
                <w:rFonts w:ascii="Times New Roman" w:eastAsia="Times New Roman" w:hAnsi="Times New Roman" w:cs="Times New Roman"/>
                <w:color w:val="000000"/>
                <w:sz w:val="24"/>
                <w:szCs w:val="24"/>
                <w:lang w:eastAsia="ru-RU"/>
              </w:rPr>
            </w:pPr>
            <w:r w:rsidRPr="00D968E9">
              <w:rPr>
                <w:rFonts w:ascii="Times New Roman" w:eastAsia="Times New Roman" w:hAnsi="Times New Roman" w:cs="Times New Roman"/>
                <w:color w:val="000000"/>
                <w:sz w:val="24"/>
                <w:szCs w:val="24"/>
                <w:lang w:eastAsia="ru-RU"/>
              </w:rPr>
              <w:t>3 778 110 422</w:t>
            </w:r>
          </w:p>
        </w:tc>
      </w:tr>
      <w:tr w:rsidR="00D968E9" w:rsidRPr="00D968E9" w14:paraId="06450345" w14:textId="77777777" w:rsidTr="001B7063">
        <w:trPr>
          <w:trHeight w:val="388"/>
        </w:trPr>
        <w:tc>
          <w:tcPr>
            <w:tcW w:w="1966" w:type="dxa"/>
            <w:tcBorders>
              <w:top w:val="nil"/>
              <w:left w:val="single" w:sz="4" w:space="0" w:color="auto"/>
              <w:bottom w:val="single" w:sz="4" w:space="0" w:color="auto"/>
              <w:right w:val="single" w:sz="4" w:space="0" w:color="auto"/>
            </w:tcBorders>
            <w:shd w:val="clear" w:color="auto" w:fill="auto"/>
            <w:vAlign w:val="bottom"/>
            <w:hideMark/>
          </w:tcPr>
          <w:p w14:paraId="4D13099F" w14:textId="77777777" w:rsidR="00D968E9" w:rsidRPr="00D968E9" w:rsidRDefault="00D968E9" w:rsidP="00D968E9">
            <w:pPr>
              <w:spacing w:after="0"/>
              <w:rPr>
                <w:rFonts w:ascii="Times New Roman" w:eastAsia="Times New Roman" w:hAnsi="Times New Roman" w:cs="Times New Roman"/>
                <w:color w:val="000000"/>
                <w:sz w:val="24"/>
                <w:szCs w:val="24"/>
                <w:lang w:eastAsia="ru-RU"/>
              </w:rPr>
            </w:pPr>
            <w:r w:rsidRPr="00D968E9">
              <w:rPr>
                <w:rFonts w:ascii="Times New Roman" w:eastAsia="Times New Roman" w:hAnsi="Times New Roman" w:cs="Times New Roman"/>
                <w:color w:val="000000"/>
                <w:sz w:val="24"/>
                <w:szCs w:val="24"/>
                <w:lang w:eastAsia="ru-RU"/>
              </w:rPr>
              <w:t>Детская хирургия</w:t>
            </w:r>
          </w:p>
        </w:tc>
        <w:tc>
          <w:tcPr>
            <w:tcW w:w="1845" w:type="dxa"/>
            <w:tcBorders>
              <w:top w:val="nil"/>
              <w:left w:val="nil"/>
              <w:bottom w:val="single" w:sz="4" w:space="0" w:color="auto"/>
              <w:right w:val="single" w:sz="4" w:space="0" w:color="auto"/>
            </w:tcBorders>
            <w:shd w:val="clear" w:color="auto" w:fill="auto"/>
            <w:vAlign w:val="bottom"/>
            <w:hideMark/>
          </w:tcPr>
          <w:p w14:paraId="6E64ED47" w14:textId="77777777" w:rsidR="00D968E9" w:rsidRPr="00D968E9" w:rsidRDefault="00D968E9" w:rsidP="00D968E9">
            <w:pPr>
              <w:spacing w:after="0"/>
              <w:jc w:val="center"/>
              <w:rPr>
                <w:rFonts w:ascii="Times New Roman" w:eastAsia="Times New Roman" w:hAnsi="Times New Roman" w:cs="Times New Roman"/>
                <w:color w:val="000000"/>
                <w:sz w:val="24"/>
                <w:szCs w:val="24"/>
                <w:lang w:eastAsia="ru-RU"/>
              </w:rPr>
            </w:pPr>
            <w:r w:rsidRPr="00D968E9">
              <w:rPr>
                <w:rFonts w:ascii="Times New Roman" w:eastAsia="Times New Roman" w:hAnsi="Times New Roman" w:cs="Times New Roman"/>
                <w:color w:val="000000"/>
                <w:sz w:val="24"/>
                <w:szCs w:val="24"/>
                <w:lang w:eastAsia="ru-RU"/>
              </w:rPr>
              <w:t>286 427</w:t>
            </w:r>
          </w:p>
        </w:tc>
        <w:tc>
          <w:tcPr>
            <w:tcW w:w="2001" w:type="dxa"/>
            <w:tcBorders>
              <w:top w:val="nil"/>
              <w:left w:val="nil"/>
              <w:bottom w:val="single" w:sz="4" w:space="0" w:color="auto"/>
              <w:right w:val="single" w:sz="4" w:space="0" w:color="auto"/>
            </w:tcBorders>
            <w:shd w:val="clear" w:color="auto" w:fill="auto"/>
            <w:vAlign w:val="bottom"/>
            <w:hideMark/>
          </w:tcPr>
          <w:p w14:paraId="30EFB8CD" w14:textId="77777777" w:rsidR="00D968E9" w:rsidRPr="00D968E9" w:rsidRDefault="00D968E9" w:rsidP="00D968E9">
            <w:pPr>
              <w:spacing w:after="0"/>
              <w:jc w:val="center"/>
              <w:rPr>
                <w:rFonts w:ascii="Times New Roman" w:eastAsia="Times New Roman" w:hAnsi="Times New Roman" w:cs="Times New Roman"/>
                <w:color w:val="000000"/>
                <w:sz w:val="24"/>
                <w:szCs w:val="24"/>
                <w:lang w:eastAsia="ru-RU"/>
              </w:rPr>
            </w:pPr>
            <w:r w:rsidRPr="00D968E9">
              <w:rPr>
                <w:rFonts w:ascii="Times New Roman" w:eastAsia="Times New Roman" w:hAnsi="Times New Roman" w:cs="Times New Roman"/>
                <w:color w:val="000000"/>
                <w:sz w:val="24"/>
                <w:szCs w:val="24"/>
                <w:lang w:eastAsia="ru-RU"/>
              </w:rPr>
              <w:t>9 427 332 714</w:t>
            </w:r>
          </w:p>
        </w:tc>
        <w:tc>
          <w:tcPr>
            <w:tcW w:w="1984" w:type="dxa"/>
            <w:tcBorders>
              <w:top w:val="nil"/>
              <w:left w:val="nil"/>
              <w:bottom w:val="single" w:sz="4" w:space="0" w:color="auto"/>
              <w:right w:val="single" w:sz="4" w:space="0" w:color="auto"/>
            </w:tcBorders>
            <w:shd w:val="clear" w:color="auto" w:fill="auto"/>
            <w:vAlign w:val="bottom"/>
            <w:hideMark/>
          </w:tcPr>
          <w:p w14:paraId="77915B9F" w14:textId="77777777" w:rsidR="00D968E9" w:rsidRPr="00D968E9" w:rsidRDefault="00D968E9" w:rsidP="00D968E9">
            <w:pPr>
              <w:spacing w:after="0"/>
              <w:jc w:val="center"/>
              <w:rPr>
                <w:rFonts w:ascii="Times New Roman" w:eastAsia="Times New Roman" w:hAnsi="Times New Roman" w:cs="Times New Roman"/>
                <w:color w:val="000000"/>
                <w:sz w:val="24"/>
                <w:szCs w:val="24"/>
                <w:lang w:eastAsia="ru-RU"/>
              </w:rPr>
            </w:pPr>
            <w:r w:rsidRPr="00D968E9">
              <w:rPr>
                <w:rFonts w:ascii="Times New Roman" w:eastAsia="Times New Roman" w:hAnsi="Times New Roman" w:cs="Times New Roman"/>
                <w:color w:val="000000"/>
                <w:sz w:val="24"/>
                <w:szCs w:val="24"/>
                <w:lang w:eastAsia="ru-RU"/>
              </w:rPr>
              <w:t>292 301</w:t>
            </w:r>
          </w:p>
        </w:tc>
        <w:tc>
          <w:tcPr>
            <w:tcW w:w="2127" w:type="dxa"/>
            <w:tcBorders>
              <w:top w:val="nil"/>
              <w:left w:val="nil"/>
              <w:bottom w:val="single" w:sz="4" w:space="0" w:color="auto"/>
              <w:right w:val="single" w:sz="4" w:space="0" w:color="auto"/>
            </w:tcBorders>
            <w:shd w:val="clear" w:color="auto" w:fill="auto"/>
            <w:vAlign w:val="bottom"/>
            <w:hideMark/>
          </w:tcPr>
          <w:p w14:paraId="1E74EA16" w14:textId="77777777" w:rsidR="00D968E9" w:rsidRPr="00D968E9" w:rsidRDefault="00D968E9" w:rsidP="00D968E9">
            <w:pPr>
              <w:spacing w:after="0"/>
              <w:jc w:val="center"/>
              <w:rPr>
                <w:rFonts w:ascii="Times New Roman" w:eastAsia="Times New Roman" w:hAnsi="Times New Roman" w:cs="Times New Roman"/>
                <w:color w:val="000000"/>
                <w:sz w:val="24"/>
                <w:szCs w:val="24"/>
                <w:lang w:eastAsia="ru-RU"/>
              </w:rPr>
            </w:pPr>
            <w:r w:rsidRPr="00D968E9">
              <w:rPr>
                <w:rFonts w:ascii="Times New Roman" w:eastAsia="Times New Roman" w:hAnsi="Times New Roman" w:cs="Times New Roman"/>
                <w:color w:val="000000"/>
                <w:sz w:val="24"/>
                <w:szCs w:val="24"/>
                <w:lang w:eastAsia="ru-RU"/>
              </w:rPr>
              <w:t>8 894 914 672</w:t>
            </w:r>
          </w:p>
        </w:tc>
      </w:tr>
      <w:tr w:rsidR="00D968E9" w:rsidRPr="00D968E9" w14:paraId="470BB0AC" w14:textId="77777777" w:rsidTr="001B7063">
        <w:trPr>
          <w:trHeight w:val="570"/>
        </w:trPr>
        <w:tc>
          <w:tcPr>
            <w:tcW w:w="1966" w:type="dxa"/>
            <w:tcBorders>
              <w:top w:val="nil"/>
              <w:left w:val="single" w:sz="4" w:space="0" w:color="auto"/>
              <w:bottom w:val="single" w:sz="4" w:space="0" w:color="auto"/>
              <w:right w:val="single" w:sz="4" w:space="0" w:color="auto"/>
            </w:tcBorders>
            <w:shd w:val="clear" w:color="auto" w:fill="auto"/>
            <w:vAlign w:val="bottom"/>
            <w:hideMark/>
          </w:tcPr>
          <w:p w14:paraId="209B272A" w14:textId="77777777" w:rsidR="00D968E9" w:rsidRPr="00D968E9" w:rsidRDefault="00D968E9" w:rsidP="00D968E9">
            <w:pPr>
              <w:spacing w:after="0"/>
              <w:rPr>
                <w:rFonts w:ascii="Times New Roman" w:eastAsia="Times New Roman" w:hAnsi="Times New Roman" w:cs="Times New Roman"/>
                <w:color w:val="000000"/>
                <w:sz w:val="24"/>
                <w:szCs w:val="24"/>
                <w:lang w:eastAsia="ru-RU"/>
              </w:rPr>
            </w:pPr>
            <w:r w:rsidRPr="00D968E9">
              <w:rPr>
                <w:rFonts w:ascii="Times New Roman" w:eastAsia="Times New Roman" w:hAnsi="Times New Roman" w:cs="Times New Roman"/>
                <w:color w:val="000000"/>
                <w:sz w:val="24"/>
                <w:szCs w:val="24"/>
                <w:lang w:eastAsia="ru-RU"/>
              </w:rPr>
              <w:t>Детская эндокринология</w:t>
            </w:r>
          </w:p>
        </w:tc>
        <w:tc>
          <w:tcPr>
            <w:tcW w:w="1845" w:type="dxa"/>
            <w:tcBorders>
              <w:top w:val="nil"/>
              <w:left w:val="nil"/>
              <w:bottom w:val="single" w:sz="4" w:space="0" w:color="auto"/>
              <w:right w:val="single" w:sz="4" w:space="0" w:color="auto"/>
            </w:tcBorders>
            <w:shd w:val="clear" w:color="auto" w:fill="auto"/>
            <w:vAlign w:val="bottom"/>
            <w:hideMark/>
          </w:tcPr>
          <w:p w14:paraId="7B3A3977" w14:textId="77777777" w:rsidR="00D968E9" w:rsidRPr="00D968E9" w:rsidRDefault="00D968E9" w:rsidP="00D968E9">
            <w:pPr>
              <w:spacing w:after="0"/>
              <w:jc w:val="center"/>
              <w:rPr>
                <w:rFonts w:ascii="Times New Roman" w:eastAsia="Times New Roman" w:hAnsi="Times New Roman" w:cs="Times New Roman"/>
                <w:color w:val="000000"/>
                <w:sz w:val="24"/>
                <w:szCs w:val="24"/>
                <w:lang w:eastAsia="ru-RU"/>
              </w:rPr>
            </w:pPr>
            <w:r w:rsidRPr="00D968E9">
              <w:rPr>
                <w:rFonts w:ascii="Times New Roman" w:eastAsia="Times New Roman" w:hAnsi="Times New Roman" w:cs="Times New Roman"/>
                <w:color w:val="000000"/>
                <w:sz w:val="24"/>
                <w:szCs w:val="24"/>
                <w:lang w:eastAsia="ru-RU"/>
              </w:rPr>
              <w:t>47 437</w:t>
            </w:r>
          </w:p>
        </w:tc>
        <w:tc>
          <w:tcPr>
            <w:tcW w:w="2001" w:type="dxa"/>
            <w:tcBorders>
              <w:top w:val="nil"/>
              <w:left w:val="nil"/>
              <w:bottom w:val="single" w:sz="4" w:space="0" w:color="auto"/>
              <w:right w:val="single" w:sz="4" w:space="0" w:color="auto"/>
            </w:tcBorders>
            <w:shd w:val="clear" w:color="auto" w:fill="auto"/>
            <w:vAlign w:val="bottom"/>
            <w:hideMark/>
          </w:tcPr>
          <w:p w14:paraId="03BB87D0" w14:textId="77777777" w:rsidR="00D968E9" w:rsidRPr="00D968E9" w:rsidRDefault="00D968E9" w:rsidP="00D968E9">
            <w:pPr>
              <w:spacing w:after="0"/>
              <w:jc w:val="center"/>
              <w:rPr>
                <w:rFonts w:ascii="Times New Roman" w:eastAsia="Times New Roman" w:hAnsi="Times New Roman" w:cs="Times New Roman"/>
                <w:color w:val="000000"/>
                <w:sz w:val="24"/>
                <w:szCs w:val="24"/>
                <w:lang w:eastAsia="ru-RU"/>
              </w:rPr>
            </w:pPr>
            <w:r w:rsidRPr="00D968E9">
              <w:rPr>
                <w:rFonts w:ascii="Times New Roman" w:eastAsia="Times New Roman" w:hAnsi="Times New Roman" w:cs="Times New Roman"/>
                <w:color w:val="000000"/>
                <w:sz w:val="24"/>
                <w:szCs w:val="24"/>
                <w:lang w:eastAsia="ru-RU"/>
              </w:rPr>
              <w:t>2 562 913 196</w:t>
            </w:r>
          </w:p>
        </w:tc>
        <w:tc>
          <w:tcPr>
            <w:tcW w:w="1984" w:type="dxa"/>
            <w:tcBorders>
              <w:top w:val="nil"/>
              <w:left w:val="nil"/>
              <w:bottom w:val="single" w:sz="4" w:space="0" w:color="auto"/>
              <w:right w:val="single" w:sz="4" w:space="0" w:color="auto"/>
            </w:tcBorders>
            <w:shd w:val="clear" w:color="auto" w:fill="auto"/>
            <w:vAlign w:val="bottom"/>
            <w:hideMark/>
          </w:tcPr>
          <w:p w14:paraId="4C55FA86" w14:textId="77777777" w:rsidR="00D968E9" w:rsidRPr="00D968E9" w:rsidRDefault="00D968E9" w:rsidP="00D968E9">
            <w:pPr>
              <w:spacing w:after="0"/>
              <w:jc w:val="center"/>
              <w:rPr>
                <w:rFonts w:ascii="Times New Roman" w:eastAsia="Times New Roman" w:hAnsi="Times New Roman" w:cs="Times New Roman"/>
                <w:color w:val="000000"/>
                <w:sz w:val="24"/>
                <w:szCs w:val="24"/>
                <w:lang w:eastAsia="ru-RU"/>
              </w:rPr>
            </w:pPr>
            <w:r w:rsidRPr="00D968E9">
              <w:rPr>
                <w:rFonts w:ascii="Times New Roman" w:eastAsia="Times New Roman" w:hAnsi="Times New Roman" w:cs="Times New Roman"/>
                <w:color w:val="000000"/>
                <w:sz w:val="24"/>
                <w:szCs w:val="24"/>
                <w:lang w:eastAsia="ru-RU"/>
              </w:rPr>
              <w:t>47 350</w:t>
            </w:r>
          </w:p>
        </w:tc>
        <w:tc>
          <w:tcPr>
            <w:tcW w:w="2127" w:type="dxa"/>
            <w:tcBorders>
              <w:top w:val="nil"/>
              <w:left w:val="nil"/>
              <w:bottom w:val="single" w:sz="4" w:space="0" w:color="auto"/>
              <w:right w:val="single" w:sz="4" w:space="0" w:color="auto"/>
            </w:tcBorders>
            <w:shd w:val="clear" w:color="auto" w:fill="auto"/>
            <w:vAlign w:val="bottom"/>
            <w:hideMark/>
          </w:tcPr>
          <w:p w14:paraId="1978B6DB" w14:textId="77777777" w:rsidR="00D968E9" w:rsidRPr="00D968E9" w:rsidRDefault="00D968E9" w:rsidP="00D968E9">
            <w:pPr>
              <w:spacing w:after="0"/>
              <w:jc w:val="center"/>
              <w:rPr>
                <w:rFonts w:ascii="Times New Roman" w:eastAsia="Times New Roman" w:hAnsi="Times New Roman" w:cs="Times New Roman"/>
                <w:color w:val="000000"/>
                <w:sz w:val="24"/>
                <w:szCs w:val="24"/>
                <w:lang w:eastAsia="ru-RU"/>
              </w:rPr>
            </w:pPr>
            <w:r w:rsidRPr="00D968E9">
              <w:rPr>
                <w:rFonts w:ascii="Times New Roman" w:eastAsia="Times New Roman" w:hAnsi="Times New Roman" w:cs="Times New Roman"/>
                <w:color w:val="000000"/>
                <w:sz w:val="24"/>
                <w:szCs w:val="24"/>
                <w:lang w:eastAsia="ru-RU"/>
              </w:rPr>
              <w:t>2 462 818 917</w:t>
            </w:r>
          </w:p>
        </w:tc>
      </w:tr>
      <w:tr w:rsidR="00D968E9" w:rsidRPr="00D968E9" w14:paraId="4D6A93E3" w14:textId="77777777" w:rsidTr="001B7063">
        <w:trPr>
          <w:trHeight w:val="292"/>
        </w:trPr>
        <w:tc>
          <w:tcPr>
            <w:tcW w:w="1966" w:type="dxa"/>
            <w:tcBorders>
              <w:top w:val="nil"/>
              <w:left w:val="single" w:sz="4" w:space="0" w:color="auto"/>
              <w:bottom w:val="single" w:sz="4" w:space="0" w:color="auto"/>
              <w:right w:val="single" w:sz="4" w:space="0" w:color="auto"/>
            </w:tcBorders>
            <w:shd w:val="clear" w:color="auto" w:fill="auto"/>
            <w:vAlign w:val="bottom"/>
            <w:hideMark/>
          </w:tcPr>
          <w:p w14:paraId="26858A68" w14:textId="77777777" w:rsidR="00D968E9" w:rsidRPr="00D968E9" w:rsidRDefault="00D968E9" w:rsidP="00D968E9">
            <w:pPr>
              <w:spacing w:after="0"/>
              <w:rPr>
                <w:rFonts w:ascii="Times New Roman" w:eastAsia="Times New Roman" w:hAnsi="Times New Roman" w:cs="Times New Roman"/>
                <w:color w:val="000000"/>
                <w:sz w:val="24"/>
                <w:szCs w:val="24"/>
                <w:lang w:eastAsia="ru-RU"/>
              </w:rPr>
            </w:pPr>
            <w:r w:rsidRPr="00D968E9">
              <w:rPr>
                <w:rFonts w:ascii="Times New Roman" w:eastAsia="Times New Roman" w:hAnsi="Times New Roman" w:cs="Times New Roman"/>
                <w:color w:val="000000"/>
                <w:sz w:val="24"/>
                <w:szCs w:val="24"/>
                <w:lang w:eastAsia="ru-RU"/>
              </w:rPr>
              <w:t>Стоматология детская</w:t>
            </w:r>
          </w:p>
        </w:tc>
        <w:tc>
          <w:tcPr>
            <w:tcW w:w="1845" w:type="dxa"/>
            <w:tcBorders>
              <w:top w:val="nil"/>
              <w:left w:val="nil"/>
              <w:bottom w:val="single" w:sz="4" w:space="0" w:color="auto"/>
              <w:right w:val="single" w:sz="4" w:space="0" w:color="auto"/>
            </w:tcBorders>
            <w:shd w:val="clear" w:color="auto" w:fill="auto"/>
            <w:vAlign w:val="bottom"/>
            <w:hideMark/>
          </w:tcPr>
          <w:p w14:paraId="6C1B7C0A" w14:textId="77777777" w:rsidR="00D968E9" w:rsidRPr="00D968E9" w:rsidRDefault="00D968E9" w:rsidP="00D968E9">
            <w:pPr>
              <w:spacing w:after="0"/>
              <w:jc w:val="center"/>
              <w:rPr>
                <w:rFonts w:ascii="Times New Roman" w:eastAsia="Times New Roman" w:hAnsi="Times New Roman" w:cs="Times New Roman"/>
                <w:color w:val="000000"/>
                <w:sz w:val="24"/>
                <w:szCs w:val="24"/>
                <w:lang w:eastAsia="ru-RU"/>
              </w:rPr>
            </w:pPr>
            <w:r w:rsidRPr="00D968E9">
              <w:rPr>
                <w:rFonts w:ascii="Times New Roman" w:eastAsia="Times New Roman" w:hAnsi="Times New Roman" w:cs="Times New Roman"/>
                <w:color w:val="000000"/>
                <w:sz w:val="24"/>
                <w:szCs w:val="24"/>
                <w:lang w:eastAsia="ru-RU"/>
              </w:rPr>
              <w:t>6 285</w:t>
            </w:r>
          </w:p>
        </w:tc>
        <w:tc>
          <w:tcPr>
            <w:tcW w:w="2001" w:type="dxa"/>
            <w:tcBorders>
              <w:top w:val="nil"/>
              <w:left w:val="nil"/>
              <w:bottom w:val="single" w:sz="4" w:space="0" w:color="auto"/>
              <w:right w:val="single" w:sz="4" w:space="0" w:color="auto"/>
            </w:tcBorders>
            <w:shd w:val="clear" w:color="auto" w:fill="auto"/>
            <w:vAlign w:val="bottom"/>
            <w:hideMark/>
          </w:tcPr>
          <w:p w14:paraId="757277AD" w14:textId="77777777" w:rsidR="00D968E9" w:rsidRPr="00D968E9" w:rsidRDefault="00D968E9" w:rsidP="00D968E9">
            <w:pPr>
              <w:spacing w:after="0"/>
              <w:jc w:val="center"/>
              <w:rPr>
                <w:rFonts w:ascii="Times New Roman" w:eastAsia="Times New Roman" w:hAnsi="Times New Roman" w:cs="Times New Roman"/>
                <w:color w:val="000000"/>
                <w:sz w:val="24"/>
                <w:szCs w:val="24"/>
                <w:lang w:eastAsia="ru-RU"/>
              </w:rPr>
            </w:pPr>
            <w:r w:rsidRPr="00D968E9">
              <w:rPr>
                <w:rFonts w:ascii="Times New Roman" w:eastAsia="Times New Roman" w:hAnsi="Times New Roman" w:cs="Times New Roman"/>
                <w:color w:val="000000"/>
                <w:sz w:val="24"/>
                <w:szCs w:val="24"/>
                <w:lang w:eastAsia="ru-RU"/>
              </w:rPr>
              <w:t>173 404 728</w:t>
            </w:r>
          </w:p>
        </w:tc>
        <w:tc>
          <w:tcPr>
            <w:tcW w:w="1984" w:type="dxa"/>
            <w:tcBorders>
              <w:top w:val="nil"/>
              <w:left w:val="nil"/>
              <w:bottom w:val="single" w:sz="4" w:space="0" w:color="auto"/>
              <w:right w:val="single" w:sz="4" w:space="0" w:color="auto"/>
            </w:tcBorders>
            <w:shd w:val="clear" w:color="auto" w:fill="auto"/>
            <w:vAlign w:val="bottom"/>
            <w:hideMark/>
          </w:tcPr>
          <w:p w14:paraId="4366255A" w14:textId="77777777" w:rsidR="00D968E9" w:rsidRPr="00D968E9" w:rsidRDefault="00D968E9" w:rsidP="00D968E9">
            <w:pPr>
              <w:spacing w:after="0"/>
              <w:jc w:val="center"/>
              <w:rPr>
                <w:rFonts w:ascii="Times New Roman" w:eastAsia="Times New Roman" w:hAnsi="Times New Roman" w:cs="Times New Roman"/>
                <w:color w:val="000000"/>
                <w:sz w:val="24"/>
                <w:szCs w:val="24"/>
                <w:lang w:eastAsia="ru-RU"/>
              </w:rPr>
            </w:pPr>
            <w:r w:rsidRPr="00D968E9">
              <w:rPr>
                <w:rFonts w:ascii="Times New Roman" w:eastAsia="Times New Roman" w:hAnsi="Times New Roman" w:cs="Times New Roman"/>
                <w:color w:val="000000"/>
                <w:sz w:val="24"/>
                <w:szCs w:val="24"/>
                <w:lang w:eastAsia="ru-RU"/>
              </w:rPr>
              <w:t>6 034</w:t>
            </w:r>
          </w:p>
        </w:tc>
        <w:tc>
          <w:tcPr>
            <w:tcW w:w="2127" w:type="dxa"/>
            <w:tcBorders>
              <w:top w:val="nil"/>
              <w:left w:val="nil"/>
              <w:bottom w:val="single" w:sz="4" w:space="0" w:color="auto"/>
              <w:right w:val="single" w:sz="4" w:space="0" w:color="auto"/>
            </w:tcBorders>
            <w:shd w:val="clear" w:color="auto" w:fill="auto"/>
            <w:vAlign w:val="bottom"/>
            <w:hideMark/>
          </w:tcPr>
          <w:p w14:paraId="40B3D120" w14:textId="77777777" w:rsidR="00D968E9" w:rsidRPr="00D968E9" w:rsidRDefault="00D968E9" w:rsidP="00D968E9">
            <w:pPr>
              <w:spacing w:after="0"/>
              <w:jc w:val="center"/>
              <w:rPr>
                <w:rFonts w:ascii="Times New Roman" w:eastAsia="Times New Roman" w:hAnsi="Times New Roman" w:cs="Times New Roman"/>
                <w:color w:val="000000"/>
                <w:sz w:val="24"/>
                <w:szCs w:val="24"/>
                <w:lang w:eastAsia="ru-RU"/>
              </w:rPr>
            </w:pPr>
            <w:r w:rsidRPr="00D968E9">
              <w:rPr>
                <w:rFonts w:ascii="Times New Roman" w:eastAsia="Times New Roman" w:hAnsi="Times New Roman" w:cs="Times New Roman"/>
                <w:color w:val="000000"/>
                <w:sz w:val="24"/>
                <w:szCs w:val="24"/>
                <w:lang w:eastAsia="ru-RU"/>
              </w:rPr>
              <w:t>170 616 521</w:t>
            </w:r>
          </w:p>
        </w:tc>
      </w:tr>
    </w:tbl>
    <w:p w14:paraId="0CB84E73" w14:textId="77777777" w:rsidR="004A3E80" w:rsidRDefault="007012F5" w:rsidP="001B7BF2">
      <w:pPr>
        <w:shd w:val="clear" w:color="auto" w:fill="FFFFFF"/>
        <w:spacing w:before="160"/>
        <w:ind w:firstLine="709"/>
        <w:jc w:val="center"/>
        <w:rPr>
          <w:rFonts w:ascii="Times New Roman" w:eastAsia="Calibri" w:hAnsi="Times New Roman" w:cs="Times New Roman"/>
          <w:i/>
          <w:sz w:val="28"/>
          <w:szCs w:val="28"/>
        </w:rPr>
      </w:pPr>
      <w:r w:rsidRPr="004A3E80">
        <w:rPr>
          <w:rFonts w:ascii="Times New Roman" w:eastAsia="Calibri" w:hAnsi="Times New Roman" w:cs="Times New Roman"/>
          <w:i/>
          <w:sz w:val="28"/>
          <w:szCs w:val="28"/>
        </w:rPr>
        <w:t>Об итогах реализации федерального проекта «Развитие детского здравоохранения, включая создание современной инфраструктуры оказания медицинской помощи детям» национального проекта «З</w:t>
      </w:r>
      <w:r w:rsidR="004A3E80">
        <w:rPr>
          <w:rFonts w:ascii="Times New Roman" w:eastAsia="Calibri" w:hAnsi="Times New Roman" w:cs="Times New Roman"/>
          <w:i/>
          <w:sz w:val="28"/>
          <w:szCs w:val="28"/>
        </w:rPr>
        <w:t>дравоохранение»</w:t>
      </w:r>
    </w:p>
    <w:p w14:paraId="15A6433C" w14:textId="77777777" w:rsidR="004A3E80" w:rsidRPr="004A3E80" w:rsidRDefault="00983E23" w:rsidP="004A3E80">
      <w:pPr>
        <w:shd w:val="clear" w:color="auto" w:fill="FFFFFF"/>
        <w:spacing w:after="0" w:line="312" w:lineRule="auto"/>
        <w:ind w:firstLine="709"/>
        <w:jc w:val="both"/>
        <w:rPr>
          <w:rFonts w:ascii="Times New Roman" w:hAnsi="Times New Roman" w:cs="Times New Roman"/>
        </w:rPr>
      </w:pPr>
      <w:r>
        <w:rPr>
          <w:rFonts w:ascii="Times New Roman" w:eastAsia="Calibri" w:hAnsi="Times New Roman" w:cs="Times New Roman"/>
          <w:sz w:val="28"/>
          <w:szCs w:val="28"/>
        </w:rPr>
        <w:t>В период 2019</w:t>
      </w:r>
      <w:r w:rsidR="00502B9D">
        <w:rPr>
          <w:rFonts w:ascii="Times New Roman" w:eastAsia="Calibri" w:hAnsi="Times New Roman" w:cs="Times New Roman"/>
          <w:sz w:val="28"/>
          <w:szCs w:val="28"/>
        </w:rPr>
        <w:t>-</w:t>
      </w:r>
      <w:r>
        <w:rPr>
          <w:rFonts w:ascii="Times New Roman" w:eastAsia="Calibri" w:hAnsi="Times New Roman" w:cs="Times New Roman"/>
          <w:sz w:val="28"/>
          <w:szCs w:val="28"/>
        </w:rPr>
        <w:t xml:space="preserve">2024 </w:t>
      </w:r>
      <w:r w:rsidR="0049618A">
        <w:rPr>
          <w:rFonts w:ascii="Times New Roman" w:eastAsia="Calibri" w:hAnsi="Times New Roman" w:cs="Times New Roman"/>
          <w:sz w:val="28"/>
          <w:szCs w:val="28"/>
        </w:rPr>
        <w:t>г</w:t>
      </w:r>
      <w:r w:rsidR="00502B9D">
        <w:rPr>
          <w:rFonts w:ascii="Times New Roman" w:eastAsia="Calibri" w:hAnsi="Times New Roman" w:cs="Times New Roman"/>
          <w:sz w:val="28"/>
          <w:szCs w:val="28"/>
        </w:rPr>
        <w:t>г.</w:t>
      </w:r>
      <w:r w:rsidR="004A3E80" w:rsidRPr="004A3E80">
        <w:rPr>
          <w:rFonts w:ascii="Times New Roman" w:eastAsia="Calibri" w:hAnsi="Times New Roman" w:cs="Times New Roman"/>
          <w:sz w:val="28"/>
          <w:szCs w:val="28"/>
        </w:rPr>
        <w:t xml:space="preserve"> реализуется федеральный проект «Развитие детского здравоохранения, включая создание современной инфраструктуры оказания медицинской помощи детям» (далее</w:t>
      </w:r>
      <w:r w:rsidR="004A3E80">
        <w:rPr>
          <w:rFonts w:ascii="Times New Roman" w:eastAsia="Calibri" w:hAnsi="Times New Roman" w:cs="Times New Roman"/>
          <w:sz w:val="28"/>
          <w:szCs w:val="28"/>
        </w:rPr>
        <w:t xml:space="preserve"> по тексту подраздела</w:t>
      </w:r>
      <w:r w:rsidR="004A3E80" w:rsidRPr="004A3E80">
        <w:rPr>
          <w:rFonts w:ascii="Times New Roman" w:eastAsia="Calibri" w:hAnsi="Times New Roman" w:cs="Times New Roman"/>
          <w:sz w:val="28"/>
          <w:szCs w:val="28"/>
        </w:rPr>
        <w:t xml:space="preserve"> – </w:t>
      </w:r>
      <w:r>
        <w:rPr>
          <w:rFonts w:ascii="Times New Roman" w:eastAsia="Calibri" w:hAnsi="Times New Roman" w:cs="Times New Roman"/>
          <w:sz w:val="28"/>
          <w:szCs w:val="28"/>
        </w:rPr>
        <w:t>ф</w:t>
      </w:r>
      <w:r w:rsidR="004A3E80" w:rsidRPr="004A3E80">
        <w:rPr>
          <w:rFonts w:ascii="Times New Roman" w:eastAsia="Calibri" w:hAnsi="Times New Roman" w:cs="Times New Roman"/>
          <w:sz w:val="28"/>
          <w:szCs w:val="28"/>
        </w:rPr>
        <w:t>едеральный проект), основной</w:t>
      </w:r>
      <w:r>
        <w:rPr>
          <w:rFonts w:ascii="Times New Roman" w:eastAsia="Calibri" w:hAnsi="Times New Roman" w:cs="Times New Roman"/>
          <w:sz w:val="28"/>
          <w:szCs w:val="28"/>
        </w:rPr>
        <w:t xml:space="preserve"> </w:t>
      </w:r>
      <w:r w:rsidR="004A3E80" w:rsidRPr="004A3E80">
        <w:rPr>
          <w:rFonts w:ascii="Times New Roman" w:eastAsia="Calibri" w:hAnsi="Times New Roman" w:cs="Times New Roman"/>
          <w:sz w:val="28"/>
          <w:szCs w:val="28"/>
        </w:rPr>
        <w:t>цель</w:t>
      </w:r>
      <w:bookmarkStart w:id="3" w:name="_Hlk97806702"/>
      <w:r w:rsidR="004A3E80" w:rsidRPr="004A3E80">
        <w:rPr>
          <w:rFonts w:ascii="Times New Roman" w:eastAsia="Calibri" w:hAnsi="Times New Roman" w:cs="Times New Roman"/>
          <w:sz w:val="28"/>
          <w:szCs w:val="28"/>
        </w:rPr>
        <w:t>ю которого является снижение младенческой смертности</w:t>
      </w:r>
      <w:bookmarkEnd w:id="3"/>
      <w:r w:rsidR="004A3E80" w:rsidRPr="004A3E80">
        <w:rPr>
          <w:rFonts w:ascii="Times New Roman" w:eastAsia="Calibri" w:hAnsi="Times New Roman" w:cs="Times New Roman"/>
          <w:sz w:val="28"/>
          <w:szCs w:val="28"/>
        </w:rPr>
        <w:t xml:space="preserve"> </w:t>
      </w:r>
      <w:r w:rsidR="00F96F15">
        <w:rPr>
          <w:rFonts w:ascii="Times New Roman" w:eastAsia="Calibri" w:hAnsi="Times New Roman" w:cs="Times New Roman"/>
          <w:sz w:val="28"/>
          <w:szCs w:val="28"/>
        </w:rPr>
        <w:br/>
      </w:r>
      <w:r w:rsidR="004A3E80" w:rsidRPr="004A3E80">
        <w:rPr>
          <w:rFonts w:ascii="Times New Roman" w:eastAsia="Calibri" w:hAnsi="Times New Roman" w:cs="Times New Roman"/>
          <w:sz w:val="28"/>
          <w:szCs w:val="28"/>
        </w:rPr>
        <w:t xml:space="preserve">до 4,5 случая на 1 тыс. родившихся </w:t>
      </w:r>
      <w:r w:rsidR="00502B9D">
        <w:rPr>
          <w:rFonts w:ascii="Times New Roman" w:eastAsia="Calibri" w:hAnsi="Times New Roman" w:cs="Times New Roman"/>
          <w:sz w:val="28"/>
          <w:szCs w:val="28"/>
        </w:rPr>
        <w:t>детей</w:t>
      </w:r>
      <w:r w:rsidR="004A3E80" w:rsidRPr="004A3E80">
        <w:rPr>
          <w:rFonts w:ascii="Times New Roman" w:eastAsia="Calibri" w:hAnsi="Times New Roman" w:cs="Times New Roman"/>
          <w:sz w:val="28"/>
          <w:szCs w:val="28"/>
        </w:rPr>
        <w:t xml:space="preserve"> к 2024 г</w:t>
      </w:r>
      <w:r w:rsidR="00B833CA">
        <w:rPr>
          <w:rFonts w:ascii="Times New Roman" w:eastAsia="Calibri" w:hAnsi="Times New Roman" w:cs="Times New Roman"/>
          <w:sz w:val="28"/>
          <w:szCs w:val="28"/>
        </w:rPr>
        <w:t>.</w:t>
      </w:r>
      <w:r w:rsidR="004A3E80" w:rsidRPr="004A3E80">
        <w:rPr>
          <w:rFonts w:ascii="Times New Roman" w:eastAsia="Calibri" w:hAnsi="Times New Roman" w:cs="Times New Roman"/>
          <w:sz w:val="28"/>
          <w:szCs w:val="28"/>
        </w:rPr>
        <w:t xml:space="preserve"> и до 3,9 случая </w:t>
      </w:r>
      <w:r w:rsidR="00F96F15">
        <w:rPr>
          <w:rFonts w:ascii="Times New Roman" w:eastAsia="Calibri" w:hAnsi="Times New Roman" w:cs="Times New Roman"/>
          <w:sz w:val="28"/>
          <w:szCs w:val="28"/>
        </w:rPr>
        <w:br/>
      </w:r>
      <w:r w:rsidR="004A3E80" w:rsidRPr="004A3E80">
        <w:rPr>
          <w:rFonts w:ascii="Times New Roman" w:eastAsia="Calibri" w:hAnsi="Times New Roman" w:cs="Times New Roman"/>
          <w:sz w:val="28"/>
          <w:szCs w:val="28"/>
        </w:rPr>
        <w:t xml:space="preserve">на 1 тыс. родившихся </w:t>
      </w:r>
      <w:r w:rsidR="00502B9D">
        <w:rPr>
          <w:rFonts w:ascii="Times New Roman" w:eastAsia="Calibri" w:hAnsi="Times New Roman" w:cs="Times New Roman"/>
          <w:sz w:val="28"/>
          <w:szCs w:val="28"/>
        </w:rPr>
        <w:t>детей</w:t>
      </w:r>
      <w:r w:rsidR="004A3E80" w:rsidRPr="004A3E80">
        <w:rPr>
          <w:rFonts w:ascii="Times New Roman" w:eastAsia="Calibri" w:hAnsi="Times New Roman" w:cs="Times New Roman"/>
          <w:sz w:val="28"/>
          <w:szCs w:val="28"/>
        </w:rPr>
        <w:t xml:space="preserve"> к 2030 </w:t>
      </w:r>
      <w:r w:rsidR="00B833CA">
        <w:rPr>
          <w:rFonts w:ascii="Times New Roman" w:eastAsia="Calibri" w:hAnsi="Times New Roman" w:cs="Times New Roman"/>
          <w:sz w:val="28"/>
          <w:szCs w:val="28"/>
        </w:rPr>
        <w:t>г</w:t>
      </w:r>
      <w:r w:rsidR="004A3E80" w:rsidRPr="004A3E80">
        <w:rPr>
          <w:rFonts w:ascii="Times New Roman" w:eastAsia="Calibri" w:hAnsi="Times New Roman" w:cs="Times New Roman"/>
          <w:sz w:val="28"/>
          <w:szCs w:val="28"/>
        </w:rPr>
        <w:t>.</w:t>
      </w:r>
    </w:p>
    <w:p w14:paraId="266E03C7" w14:textId="77777777" w:rsidR="004A3E80" w:rsidRPr="004A3E80" w:rsidRDefault="00502B9D" w:rsidP="004A3E80">
      <w:pPr>
        <w:shd w:val="clear" w:color="auto" w:fill="FFFFFF"/>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Показатель является</w:t>
      </w:r>
      <w:r w:rsidR="001E4755">
        <w:rPr>
          <w:rFonts w:ascii="Times New Roman" w:eastAsia="Calibri" w:hAnsi="Times New Roman" w:cs="Times New Roman"/>
          <w:sz w:val="28"/>
          <w:szCs w:val="28"/>
        </w:rPr>
        <w:t xml:space="preserve"> </w:t>
      </w:r>
      <w:r w:rsidR="004A3E80" w:rsidRPr="004A3E80">
        <w:rPr>
          <w:rFonts w:ascii="Times New Roman" w:eastAsia="Calibri" w:hAnsi="Times New Roman" w:cs="Times New Roman"/>
          <w:sz w:val="28"/>
          <w:szCs w:val="28"/>
        </w:rPr>
        <w:t>ключевы</w:t>
      </w:r>
      <w:r>
        <w:rPr>
          <w:rFonts w:ascii="Times New Roman" w:eastAsia="Calibri" w:hAnsi="Times New Roman" w:cs="Times New Roman"/>
          <w:sz w:val="28"/>
          <w:szCs w:val="28"/>
        </w:rPr>
        <w:t>м</w:t>
      </w:r>
      <w:r w:rsidR="004A3E80" w:rsidRPr="004A3E80">
        <w:rPr>
          <w:rFonts w:ascii="Times New Roman" w:eastAsia="Calibri" w:hAnsi="Times New Roman" w:cs="Times New Roman"/>
          <w:sz w:val="28"/>
          <w:szCs w:val="28"/>
        </w:rPr>
        <w:t xml:space="preserve"> компонентом показателя «Повышение ожидаемой продолжительности жизни до 78 лет» Единого плана по достижению национальных целей развития Российско</w:t>
      </w:r>
      <w:r w:rsidR="000A432C">
        <w:rPr>
          <w:rFonts w:ascii="Times New Roman" w:eastAsia="Calibri" w:hAnsi="Times New Roman" w:cs="Times New Roman"/>
          <w:sz w:val="28"/>
          <w:szCs w:val="28"/>
        </w:rPr>
        <w:t xml:space="preserve">й Федерации </w:t>
      </w:r>
      <w:r w:rsidR="004A3E80" w:rsidRPr="004A3E80">
        <w:rPr>
          <w:rFonts w:ascii="Times New Roman" w:eastAsia="Calibri" w:hAnsi="Times New Roman" w:cs="Times New Roman"/>
          <w:sz w:val="28"/>
          <w:szCs w:val="28"/>
        </w:rPr>
        <w:t>на период до 2024 г</w:t>
      </w:r>
      <w:r>
        <w:rPr>
          <w:rFonts w:ascii="Times New Roman" w:eastAsia="Calibri" w:hAnsi="Times New Roman" w:cs="Times New Roman"/>
          <w:sz w:val="28"/>
          <w:szCs w:val="28"/>
        </w:rPr>
        <w:t>. и на плановый период до 2030 г</w:t>
      </w:r>
      <w:r w:rsidR="004A3E80" w:rsidRPr="004A3E80">
        <w:rPr>
          <w:rFonts w:ascii="Times New Roman" w:eastAsia="Calibri" w:hAnsi="Times New Roman" w:cs="Times New Roman"/>
          <w:sz w:val="28"/>
          <w:szCs w:val="28"/>
        </w:rPr>
        <w:t>.</w:t>
      </w:r>
    </w:p>
    <w:p w14:paraId="6593BEDC" w14:textId="77777777" w:rsidR="001E4755" w:rsidRDefault="00502B9D" w:rsidP="004A3E80">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 данным Росстата, показатель младенческой смертности за 3 года реализации федерального проекта (2019-2021 гг.) снизился на 10% (с 5,1 до 4,6 </w:t>
      </w:r>
      <w:r>
        <w:rPr>
          <w:rFonts w:ascii="Times New Roman" w:eastAsia="Calibri" w:hAnsi="Times New Roman" w:cs="Times New Roman"/>
          <w:sz w:val="28"/>
          <w:szCs w:val="28"/>
        </w:rPr>
        <w:br/>
        <w:t xml:space="preserve">на 1 тыс. родившихся живыми). </w:t>
      </w:r>
      <w:r w:rsidR="005532C7">
        <w:rPr>
          <w:rFonts w:ascii="Times New Roman" w:eastAsia="Calibri" w:hAnsi="Times New Roman" w:cs="Times New Roman"/>
          <w:sz w:val="28"/>
          <w:szCs w:val="28"/>
        </w:rPr>
        <w:t>Отмечается снижение и детской смертности на 12,7% (с 54,1 до 47,2 на 100 тыс. детей соответствующего возраста).</w:t>
      </w:r>
    </w:p>
    <w:p w14:paraId="700DE864" w14:textId="77777777" w:rsidR="004A3E80" w:rsidRPr="004A3E80" w:rsidRDefault="004A3E80" w:rsidP="004A3E80">
      <w:pPr>
        <w:spacing w:after="0" w:line="312" w:lineRule="auto"/>
        <w:ind w:firstLine="709"/>
        <w:contextualSpacing/>
        <w:jc w:val="both"/>
        <w:rPr>
          <w:rFonts w:ascii="Times New Roman" w:eastAsia="Calibri" w:hAnsi="Times New Roman" w:cs="Times New Roman"/>
          <w:sz w:val="28"/>
          <w:szCs w:val="28"/>
        </w:rPr>
      </w:pPr>
      <w:bookmarkStart w:id="4" w:name="_Hlk97807006"/>
      <w:r w:rsidRPr="004A3E80">
        <w:rPr>
          <w:rFonts w:ascii="Times New Roman" w:eastAsia="Calibri" w:hAnsi="Times New Roman" w:cs="Times New Roman"/>
          <w:sz w:val="28"/>
          <w:szCs w:val="28"/>
        </w:rPr>
        <w:t>Существенно изменилась инфраструктура оказания медицинской помощи детям в детских поликлиниках, детских поликлинических отделениях и детских больницах.</w:t>
      </w:r>
    </w:p>
    <w:bookmarkEnd w:id="4"/>
    <w:p w14:paraId="609948CD" w14:textId="77777777" w:rsidR="004A3E80" w:rsidRPr="004A3E80" w:rsidRDefault="00B74792" w:rsidP="004A3E80">
      <w:pPr>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За время реализации федерального проекта (2019-2021 гг.) более 2 700</w:t>
      </w:r>
      <w:r w:rsidR="004A3E80" w:rsidRPr="004A3E80">
        <w:rPr>
          <w:rFonts w:ascii="Times New Roman" w:eastAsia="Calibri" w:hAnsi="Times New Roman" w:cs="Times New Roman"/>
          <w:sz w:val="28"/>
          <w:szCs w:val="28"/>
        </w:rPr>
        <w:t xml:space="preserve"> </w:t>
      </w:r>
      <w:r w:rsidR="001E00AF">
        <w:rPr>
          <w:rFonts w:ascii="Times New Roman" w:eastAsia="Calibri" w:hAnsi="Times New Roman" w:cs="Times New Roman"/>
          <w:sz w:val="28"/>
          <w:szCs w:val="28"/>
        </w:rPr>
        <w:t>(98,3</w:t>
      </w:r>
      <w:r w:rsidR="001E00AF" w:rsidRPr="004A3E80">
        <w:rPr>
          <w:rFonts w:ascii="Times New Roman" w:eastAsia="Calibri" w:hAnsi="Times New Roman" w:cs="Times New Roman"/>
          <w:sz w:val="28"/>
          <w:szCs w:val="28"/>
        </w:rPr>
        <w:t>%)</w:t>
      </w:r>
      <w:r w:rsidR="001E00A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детских поликлиник/поликлинических отделений субъектов Российской Федерации </w:t>
      </w:r>
      <w:r w:rsidR="004A3E80" w:rsidRPr="004A3E80">
        <w:rPr>
          <w:rFonts w:ascii="Times New Roman" w:eastAsia="Calibri" w:hAnsi="Times New Roman" w:cs="Times New Roman"/>
          <w:sz w:val="28"/>
          <w:szCs w:val="28"/>
        </w:rPr>
        <w:t>дооснащены медицинскими изделиями</w:t>
      </w:r>
      <w:r w:rsidR="001E00AF">
        <w:rPr>
          <w:rFonts w:ascii="Times New Roman" w:eastAsia="Calibri" w:hAnsi="Times New Roman" w:cs="Times New Roman"/>
          <w:sz w:val="28"/>
          <w:szCs w:val="28"/>
        </w:rPr>
        <w:t xml:space="preserve"> </w:t>
      </w:r>
      <w:r w:rsidR="004A3E80" w:rsidRPr="004A3E80">
        <w:rPr>
          <w:rFonts w:ascii="Times New Roman" w:eastAsia="Calibri" w:hAnsi="Times New Roman" w:cs="Times New Roman"/>
          <w:sz w:val="28"/>
          <w:szCs w:val="28"/>
        </w:rPr>
        <w:t>и реализовали организационно-планировочные решения внутренних пространств.</w:t>
      </w:r>
      <w:r w:rsidR="001E00AF">
        <w:rPr>
          <w:rFonts w:ascii="Times New Roman" w:eastAsia="Calibri" w:hAnsi="Times New Roman" w:cs="Times New Roman"/>
          <w:sz w:val="28"/>
          <w:szCs w:val="28"/>
        </w:rPr>
        <w:t xml:space="preserve"> </w:t>
      </w:r>
      <w:r w:rsidR="004A3E80" w:rsidRPr="004A3E80">
        <w:rPr>
          <w:rFonts w:ascii="Times New Roman" w:hAnsi="Times New Roman" w:cs="Times New Roman"/>
          <w:bCs/>
          <w:sz w:val="28"/>
          <w:szCs w:val="28"/>
        </w:rPr>
        <w:t>Закуплено более 20 тыс. единиц медицинских изделий, в том числе 31,6% отечественного производства</w:t>
      </w:r>
      <w:r>
        <w:rPr>
          <w:rFonts w:ascii="Times New Roman" w:hAnsi="Times New Roman" w:cs="Times New Roman"/>
          <w:bCs/>
          <w:sz w:val="28"/>
          <w:szCs w:val="28"/>
        </w:rPr>
        <w:t>, что позволило обеспечить доступность оказания медицинской помощи детям, повысить качество оказания</w:t>
      </w:r>
      <w:r w:rsidR="006C4FCF">
        <w:rPr>
          <w:rFonts w:ascii="Times New Roman" w:hAnsi="Times New Roman" w:cs="Times New Roman"/>
          <w:bCs/>
          <w:sz w:val="28"/>
          <w:szCs w:val="28"/>
        </w:rPr>
        <w:t xml:space="preserve"> первичной медико-санитарной помощи детям, создать условия для внедрения принципов бережливого производства и комфортного пребывания детей и их родителей</w:t>
      </w:r>
      <w:r w:rsidR="004A3E80" w:rsidRPr="004A3E80">
        <w:rPr>
          <w:rFonts w:ascii="Times New Roman" w:eastAsia="Calibri" w:hAnsi="Times New Roman" w:cs="Times New Roman"/>
          <w:sz w:val="28"/>
          <w:szCs w:val="28"/>
        </w:rPr>
        <w:t>.</w:t>
      </w:r>
    </w:p>
    <w:p w14:paraId="738ABFB4" w14:textId="42FD1C80" w:rsidR="004A3E80" w:rsidRPr="004A3E80" w:rsidRDefault="004A3E80" w:rsidP="004A3E80">
      <w:pPr>
        <w:spacing w:after="0" w:line="312" w:lineRule="auto"/>
        <w:ind w:firstLine="709"/>
        <w:contextualSpacing/>
        <w:jc w:val="both"/>
        <w:rPr>
          <w:rFonts w:ascii="Times New Roman" w:eastAsia="Calibri" w:hAnsi="Times New Roman" w:cs="Times New Roman"/>
          <w:sz w:val="28"/>
          <w:szCs w:val="28"/>
        </w:rPr>
      </w:pPr>
      <w:r w:rsidRPr="004A3E80">
        <w:rPr>
          <w:rFonts w:ascii="Times New Roman" w:eastAsia="Calibri" w:hAnsi="Times New Roman" w:cs="Times New Roman"/>
          <w:sz w:val="28"/>
          <w:szCs w:val="28"/>
        </w:rPr>
        <w:t>По информации субъектов Российской Федерации</w:t>
      </w:r>
      <w:r w:rsidR="0019148E">
        <w:rPr>
          <w:rFonts w:ascii="Times New Roman" w:eastAsia="Calibri" w:hAnsi="Times New Roman" w:cs="Times New Roman"/>
          <w:sz w:val="28"/>
          <w:szCs w:val="28"/>
        </w:rPr>
        <w:t>,</w:t>
      </w:r>
      <w:r w:rsidRPr="004A3E80">
        <w:rPr>
          <w:rFonts w:ascii="Times New Roman" w:eastAsia="Calibri" w:hAnsi="Times New Roman" w:cs="Times New Roman"/>
          <w:sz w:val="28"/>
          <w:szCs w:val="28"/>
        </w:rPr>
        <w:t xml:space="preserve"> в детских поликлиниках увеличилась доступность оказания медицинской помощи детям (предоставлены условия для всех типов записи к специалистам (телефон, интернет, самозапись), сроки ожидания проведения плановых консультаций специалистов не превышают </w:t>
      </w:r>
      <w:r w:rsidR="001B7BF2">
        <w:rPr>
          <w:rFonts w:ascii="Times New Roman" w:eastAsia="Calibri" w:hAnsi="Times New Roman" w:cs="Times New Roman"/>
          <w:sz w:val="28"/>
          <w:szCs w:val="28"/>
        </w:rPr>
        <w:br/>
      </w:r>
      <w:r w:rsidRPr="004A3E80">
        <w:rPr>
          <w:rFonts w:ascii="Times New Roman" w:eastAsia="Calibri" w:hAnsi="Times New Roman" w:cs="Times New Roman"/>
          <w:sz w:val="28"/>
          <w:szCs w:val="28"/>
        </w:rPr>
        <w:t>14 дней); повысилось качество оказания первичной медико-санитарной помощи детям; созданы условия для внедрения принципов бережливого производства и комфортного пребывания детей и их родителей.</w:t>
      </w:r>
    </w:p>
    <w:p w14:paraId="2CE9576D" w14:textId="77777777" w:rsidR="004A3E80" w:rsidRPr="004A3E80" w:rsidRDefault="004E3515" w:rsidP="004A3E80">
      <w:pPr>
        <w:spacing w:after="0" w:line="312"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Продолжается реализация</w:t>
      </w:r>
      <w:r w:rsidR="004A3E80" w:rsidRPr="004A3E80">
        <w:rPr>
          <w:rFonts w:ascii="Times New Roman" w:hAnsi="Times New Roman" w:cs="Times New Roman"/>
          <w:sz w:val="28"/>
          <w:szCs w:val="28"/>
        </w:rPr>
        <w:t xml:space="preserve"> мероприяти</w:t>
      </w:r>
      <w:r>
        <w:rPr>
          <w:rFonts w:ascii="Times New Roman" w:hAnsi="Times New Roman" w:cs="Times New Roman"/>
          <w:sz w:val="28"/>
          <w:szCs w:val="28"/>
        </w:rPr>
        <w:t>й</w:t>
      </w:r>
      <w:r w:rsidR="004A3E80" w:rsidRPr="004A3E80">
        <w:rPr>
          <w:rFonts w:ascii="Times New Roman" w:hAnsi="Times New Roman" w:cs="Times New Roman"/>
          <w:sz w:val="28"/>
          <w:szCs w:val="28"/>
        </w:rPr>
        <w:t xml:space="preserve"> по строительству/реконструкции детских больниц (корпусов)</w:t>
      </w:r>
      <w:r w:rsidR="004A3E80" w:rsidRPr="004A3E80">
        <w:rPr>
          <w:rFonts w:ascii="Times New Roman" w:eastAsia="Calibri" w:hAnsi="Times New Roman" w:cs="Times New Roman"/>
          <w:sz w:val="28"/>
          <w:szCs w:val="28"/>
        </w:rPr>
        <w:t xml:space="preserve"> для оказания специализированной</w:t>
      </w:r>
      <w:r w:rsidR="00A94260">
        <w:rPr>
          <w:rFonts w:ascii="Times New Roman" w:eastAsia="Calibri" w:hAnsi="Times New Roman" w:cs="Times New Roman"/>
          <w:sz w:val="28"/>
          <w:szCs w:val="28"/>
        </w:rPr>
        <w:t xml:space="preserve"> помощи</w:t>
      </w:r>
      <w:r w:rsidR="006C4FCF">
        <w:rPr>
          <w:rFonts w:ascii="Times New Roman" w:eastAsia="Calibri" w:hAnsi="Times New Roman" w:cs="Times New Roman"/>
          <w:sz w:val="28"/>
          <w:szCs w:val="28"/>
        </w:rPr>
        <w:t>, в том числе ВПМ,</w:t>
      </w:r>
      <w:r w:rsidR="0094440A">
        <w:rPr>
          <w:rFonts w:ascii="Times New Roman" w:eastAsia="Calibri" w:hAnsi="Times New Roman" w:cs="Times New Roman"/>
          <w:sz w:val="28"/>
          <w:szCs w:val="28"/>
        </w:rPr>
        <w:t xml:space="preserve"> детям в субъектах Российской Федерации</w:t>
      </w:r>
      <w:r>
        <w:rPr>
          <w:rFonts w:ascii="Times New Roman" w:eastAsia="Calibri" w:hAnsi="Times New Roman" w:cs="Times New Roman"/>
          <w:sz w:val="28"/>
          <w:szCs w:val="28"/>
        </w:rPr>
        <w:t>. За</w:t>
      </w:r>
      <w:r w:rsidR="004A3E80" w:rsidRPr="004A3E80">
        <w:rPr>
          <w:rFonts w:ascii="Times New Roman" w:eastAsia="Calibri" w:hAnsi="Times New Roman" w:cs="Times New Roman"/>
          <w:sz w:val="28"/>
          <w:szCs w:val="28"/>
        </w:rPr>
        <w:t xml:space="preserve"> </w:t>
      </w:r>
      <w:r w:rsidR="0094440A">
        <w:rPr>
          <w:rFonts w:ascii="Times New Roman" w:eastAsia="Calibri" w:hAnsi="Times New Roman" w:cs="Times New Roman"/>
          <w:sz w:val="28"/>
          <w:szCs w:val="28"/>
        </w:rPr>
        <w:t>2019-2021 г</w:t>
      </w:r>
      <w:r w:rsidR="006C4FCF">
        <w:rPr>
          <w:rFonts w:ascii="Times New Roman" w:eastAsia="Calibri" w:hAnsi="Times New Roman" w:cs="Times New Roman"/>
          <w:sz w:val="28"/>
          <w:szCs w:val="28"/>
        </w:rPr>
        <w:t>г.</w:t>
      </w:r>
      <w:r w:rsidR="0019148E">
        <w:rPr>
          <w:rFonts w:ascii="Times New Roman" w:eastAsia="Calibri" w:hAnsi="Times New Roman" w:cs="Times New Roman"/>
          <w:sz w:val="28"/>
          <w:szCs w:val="28"/>
        </w:rPr>
        <w:t xml:space="preserve"> введено </w:t>
      </w:r>
      <w:r w:rsidR="004A3E80" w:rsidRPr="004A3E80">
        <w:rPr>
          <w:rFonts w:ascii="Times New Roman" w:eastAsia="Calibri" w:hAnsi="Times New Roman" w:cs="Times New Roman"/>
          <w:sz w:val="28"/>
          <w:szCs w:val="28"/>
        </w:rPr>
        <w:t xml:space="preserve">в эксплуатацию 9 детских больниц, в 2022 </w:t>
      </w:r>
      <w:r w:rsidR="0094440A">
        <w:rPr>
          <w:rFonts w:ascii="Times New Roman" w:hAnsi="Times New Roman" w:cs="Times New Roman"/>
          <w:sz w:val="28"/>
          <w:szCs w:val="28"/>
        </w:rPr>
        <w:t>г</w:t>
      </w:r>
      <w:r w:rsidR="00CD764B">
        <w:rPr>
          <w:rFonts w:ascii="Times New Roman" w:hAnsi="Times New Roman" w:cs="Times New Roman"/>
          <w:sz w:val="28"/>
          <w:szCs w:val="28"/>
        </w:rPr>
        <w:t>.</w:t>
      </w:r>
      <w:r w:rsidR="0094440A">
        <w:rPr>
          <w:rFonts w:ascii="Times New Roman" w:hAnsi="Times New Roman" w:cs="Times New Roman"/>
          <w:sz w:val="28"/>
          <w:szCs w:val="28"/>
        </w:rPr>
        <w:t xml:space="preserve"> </w:t>
      </w:r>
      <w:r w:rsidR="00D432CA">
        <w:rPr>
          <w:rFonts w:ascii="Times New Roman" w:hAnsi="Times New Roman" w:cs="Times New Roman"/>
          <w:sz w:val="28"/>
          <w:szCs w:val="28"/>
        </w:rPr>
        <w:t>будет продолжено</w:t>
      </w:r>
      <w:r w:rsidR="0094440A">
        <w:rPr>
          <w:rFonts w:ascii="Times New Roman" w:hAnsi="Times New Roman" w:cs="Times New Roman"/>
          <w:sz w:val="28"/>
          <w:szCs w:val="28"/>
        </w:rPr>
        <w:t xml:space="preserve"> строительство (</w:t>
      </w:r>
      <w:r w:rsidR="004A3E80" w:rsidRPr="004A3E80">
        <w:rPr>
          <w:rFonts w:ascii="Times New Roman" w:hAnsi="Times New Roman" w:cs="Times New Roman"/>
          <w:sz w:val="28"/>
          <w:szCs w:val="28"/>
        </w:rPr>
        <w:t>реконструкция</w:t>
      </w:r>
      <w:r w:rsidR="006C4FCF">
        <w:rPr>
          <w:rFonts w:ascii="Times New Roman" w:hAnsi="Times New Roman" w:cs="Times New Roman"/>
          <w:sz w:val="28"/>
          <w:szCs w:val="28"/>
        </w:rPr>
        <w:t xml:space="preserve">) </w:t>
      </w:r>
      <w:r w:rsidR="0019148E">
        <w:rPr>
          <w:rFonts w:ascii="Times New Roman" w:hAnsi="Times New Roman" w:cs="Times New Roman"/>
          <w:sz w:val="28"/>
          <w:szCs w:val="28"/>
        </w:rPr>
        <w:t xml:space="preserve">24 детских больниц (корпусов), </w:t>
      </w:r>
      <w:r w:rsidR="0094440A">
        <w:rPr>
          <w:rFonts w:ascii="Times New Roman" w:hAnsi="Times New Roman" w:cs="Times New Roman"/>
          <w:sz w:val="28"/>
          <w:szCs w:val="28"/>
        </w:rPr>
        <w:t xml:space="preserve">а </w:t>
      </w:r>
      <w:r w:rsidR="004A3E80" w:rsidRPr="004A3E80">
        <w:rPr>
          <w:rFonts w:ascii="Times New Roman" w:hAnsi="Times New Roman" w:cs="Times New Roman"/>
          <w:sz w:val="28"/>
          <w:szCs w:val="28"/>
        </w:rPr>
        <w:t xml:space="preserve">к концу </w:t>
      </w:r>
      <w:r>
        <w:rPr>
          <w:rFonts w:ascii="Times New Roman" w:hAnsi="Times New Roman" w:cs="Times New Roman"/>
          <w:sz w:val="28"/>
          <w:szCs w:val="28"/>
        </w:rPr>
        <w:t>202</w:t>
      </w:r>
      <w:r w:rsidR="0094440A">
        <w:rPr>
          <w:rFonts w:ascii="Times New Roman" w:hAnsi="Times New Roman" w:cs="Times New Roman"/>
          <w:sz w:val="28"/>
          <w:szCs w:val="28"/>
        </w:rPr>
        <w:t>4</w:t>
      </w:r>
      <w:r>
        <w:rPr>
          <w:rFonts w:ascii="Times New Roman" w:hAnsi="Times New Roman" w:cs="Times New Roman"/>
          <w:sz w:val="28"/>
          <w:szCs w:val="28"/>
        </w:rPr>
        <w:t xml:space="preserve"> </w:t>
      </w:r>
      <w:r w:rsidR="004A3E80" w:rsidRPr="004A3E80">
        <w:rPr>
          <w:rFonts w:ascii="Times New Roman" w:hAnsi="Times New Roman" w:cs="Times New Roman"/>
          <w:sz w:val="28"/>
          <w:szCs w:val="28"/>
        </w:rPr>
        <w:t>г</w:t>
      </w:r>
      <w:r w:rsidR="00CD764B">
        <w:rPr>
          <w:rFonts w:ascii="Times New Roman" w:hAnsi="Times New Roman" w:cs="Times New Roman"/>
          <w:sz w:val="28"/>
          <w:szCs w:val="28"/>
        </w:rPr>
        <w:t>.</w:t>
      </w:r>
      <w:r w:rsidR="004A3E80" w:rsidRPr="004A3E80">
        <w:rPr>
          <w:rFonts w:ascii="Times New Roman" w:hAnsi="Times New Roman" w:cs="Times New Roman"/>
          <w:sz w:val="28"/>
          <w:szCs w:val="28"/>
        </w:rPr>
        <w:t xml:space="preserve"> </w:t>
      </w:r>
      <w:r w:rsidR="00A94260">
        <w:rPr>
          <w:rFonts w:ascii="Times New Roman" w:hAnsi="Times New Roman" w:cs="Times New Roman"/>
          <w:sz w:val="28"/>
          <w:szCs w:val="28"/>
        </w:rPr>
        <w:t>планируется</w:t>
      </w:r>
      <w:r w:rsidR="004A3E80" w:rsidRPr="004A3E80">
        <w:rPr>
          <w:rFonts w:ascii="Times New Roman" w:hAnsi="Times New Roman" w:cs="Times New Roman"/>
          <w:sz w:val="28"/>
          <w:szCs w:val="28"/>
        </w:rPr>
        <w:t xml:space="preserve"> постро</w:t>
      </w:r>
      <w:r w:rsidR="00A94260">
        <w:rPr>
          <w:rFonts w:ascii="Times New Roman" w:hAnsi="Times New Roman" w:cs="Times New Roman"/>
          <w:sz w:val="28"/>
          <w:szCs w:val="28"/>
        </w:rPr>
        <w:t>ить</w:t>
      </w:r>
      <w:r w:rsidR="0094440A">
        <w:rPr>
          <w:rFonts w:ascii="Times New Roman" w:hAnsi="Times New Roman" w:cs="Times New Roman"/>
          <w:sz w:val="28"/>
          <w:szCs w:val="28"/>
        </w:rPr>
        <w:t xml:space="preserve"> (</w:t>
      </w:r>
      <w:r w:rsidR="004A3E80" w:rsidRPr="004A3E80">
        <w:rPr>
          <w:rFonts w:ascii="Times New Roman" w:hAnsi="Times New Roman" w:cs="Times New Roman"/>
          <w:sz w:val="28"/>
          <w:szCs w:val="28"/>
        </w:rPr>
        <w:t>реконструирова</w:t>
      </w:r>
      <w:r w:rsidR="00A94260">
        <w:rPr>
          <w:rFonts w:ascii="Times New Roman" w:hAnsi="Times New Roman" w:cs="Times New Roman"/>
          <w:sz w:val="28"/>
          <w:szCs w:val="28"/>
        </w:rPr>
        <w:t>ть</w:t>
      </w:r>
      <w:r w:rsidR="0094440A">
        <w:rPr>
          <w:rFonts w:ascii="Times New Roman" w:hAnsi="Times New Roman" w:cs="Times New Roman"/>
          <w:sz w:val="28"/>
          <w:szCs w:val="28"/>
        </w:rPr>
        <w:t>)</w:t>
      </w:r>
      <w:r w:rsidR="00A94260">
        <w:rPr>
          <w:rFonts w:ascii="Times New Roman" w:hAnsi="Times New Roman" w:cs="Times New Roman"/>
          <w:sz w:val="28"/>
          <w:szCs w:val="28"/>
        </w:rPr>
        <w:t xml:space="preserve"> 35 детских больниц</w:t>
      </w:r>
      <w:r w:rsidR="0094440A">
        <w:rPr>
          <w:rFonts w:ascii="Times New Roman" w:hAnsi="Times New Roman" w:cs="Times New Roman"/>
          <w:sz w:val="28"/>
          <w:szCs w:val="28"/>
        </w:rPr>
        <w:t xml:space="preserve"> (</w:t>
      </w:r>
      <w:r w:rsidR="00A94260">
        <w:rPr>
          <w:rFonts w:ascii="Times New Roman" w:hAnsi="Times New Roman" w:cs="Times New Roman"/>
          <w:sz w:val="28"/>
          <w:szCs w:val="28"/>
        </w:rPr>
        <w:t>корпусов</w:t>
      </w:r>
      <w:r w:rsidR="0094440A">
        <w:rPr>
          <w:rFonts w:ascii="Times New Roman" w:hAnsi="Times New Roman" w:cs="Times New Roman"/>
          <w:sz w:val="28"/>
          <w:szCs w:val="28"/>
        </w:rPr>
        <w:t>)</w:t>
      </w:r>
      <w:r w:rsidR="00A94260">
        <w:rPr>
          <w:rFonts w:ascii="Times New Roman" w:hAnsi="Times New Roman" w:cs="Times New Roman"/>
          <w:sz w:val="28"/>
          <w:szCs w:val="28"/>
        </w:rPr>
        <w:t>.</w:t>
      </w:r>
    </w:p>
    <w:p w14:paraId="0ECBADF8" w14:textId="77777777" w:rsidR="004A3E80" w:rsidRPr="004A3E80" w:rsidRDefault="004A3E80" w:rsidP="004A3E80">
      <w:pPr>
        <w:spacing w:after="0" w:line="312" w:lineRule="auto"/>
        <w:ind w:firstLine="709"/>
        <w:contextualSpacing/>
        <w:jc w:val="both"/>
        <w:rPr>
          <w:rFonts w:ascii="Times New Roman" w:hAnsi="Times New Roman" w:cs="Times New Roman"/>
          <w:sz w:val="28"/>
          <w:szCs w:val="28"/>
        </w:rPr>
      </w:pPr>
      <w:r w:rsidRPr="004A3E80">
        <w:rPr>
          <w:rFonts w:ascii="Times New Roman" w:hAnsi="Times New Roman" w:cs="Times New Roman"/>
          <w:sz w:val="28"/>
          <w:szCs w:val="28"/>
        </w:rPr>
        <w:t>Строительство</w:t>
      </w:r>
      <w:r w:rsidR="005C1A91">
        <w:rPr>
          <w:rFonts w:ascii="Times New Roman" w:hAnsi="Times New Roman" w:cs="Times New Roman"/>
          <w:sz w:val="28"/>
          <w:szCs w:val="28"/>
        </w:rPr>
        <w:t xml:space="preserve"> (</w:t>
      </w:r>
      <w:r w:rsidRPr="004A3E80">
        <w:rPr>
          <w:rFonts w:ascii="Times New Roman" w:hAnsi="Times New Roman" w:cs="Times New Roman"/>
          <w:sz w:val="28"/>
          <w:szCs w:val="28"/>
        </w:rPr>
        <w:t>реконструкция</w:t>
      </w:r>
      <w:r w:rsidR="005C1A91">
        <w:rPr>
          <w:rFonts w:ascii="Times New Roman" w:hAnsi="Times New Roman" w:cs="Times New Roman"/>
          <w:sz w:val="28"/>
          <w:szCs w:val="28"/>
        </w:rPr>
        <w:t>)</w:t>
      </w:r>
      <w:r w:rsidRPr="004A3E80">
        <w:rPr>
          <w:rFonts w:ascii="Times New Roman" w:hAnsi="Times New Roman" w:cs="Times New Roman"/>
          <w:sz w:val="28"/>
          <w:szCs w:val="28"/>
        </w:rPr>
        <w:t xml:space="preserve"> детских больниц (корпусов) расширит возможности по оказанию специализированной</w:t>
      </w:r>
      <w:r w:rsidR="00662BC4">
        <w:rPr>
          <w:rFonts w:ascii="Times New Roman" w:hAnsi="Times New Roman" w:cs="Times New Roman"/>
          <w:sz w:val="28"/>
          <w:szCs w:val="28"/>
        </w:rPr>
        <w:t xml:space="preserve"> помощи</w:t>
      </w:r>
      <w:r w:rsidR="005C1A91">
        <w:rPr>
          <w:rFonts w:ascii="Times New Roman" w:hAnsi="Times New Roman" w:cs="Times New Roman"/>
          <w:sz w:val="28"/>
          <w:szCs w:val="28"/>
        </w:rPr>
        <w:t xml:space="preserve"> детям</w:t>
      </w:r>
      <w:r w:rsidRPr="004A3E80">
        <w:rPr>
          <w:rFonts w:ascii="Times New Roman" w:hAnsi="Times New Roman" w:cs="Times New Roman"/>
          <w:sz w:val="28"/>
          <w:szCs w:val="28"/>
        </w:rPr>
        <w:t xml:space="preserve">, в том числе </w:t>
      </w:r>
      <w:r w:rsidR="004E3515">
        <w:rPr>
          <w:rFonts w:ascii="Times New Roman" w:hAnsi="Times New Roman" w:cs="Times New Roman"/>
          <w:sz w:val="28"/>
          <w:szCs w:val="28"/>
        </w:rPr>
        <w:t>ВПМ</w:t>
      </w:r>
      <w:r w:rsidRPr="004A3E80">
        <w:rPr>
          <w:rFonts w:ascii="Times New Roman" w:hAnsi="Times New Roman" w:cs="Times New Roman"/>
          <w:sz w:val="28"/>
          <w:szCs w:val="28"/>
        </w:rPr>
        <w:t>, обеспечит внедрение инновационных медицинских технологий в педиатрическую практику, создаст комфортные условия пребывания детей в медицинских организациях, в том числе совместно с родителями</w:t>
      </w:r>
      <w:r w:rsidR="004E3515">
        <w:rPr>
          <w:rFonts w:ascii="Times New Roman" w:hAnsi="Times New Roman" w:cs="Times New Roman"/>
          <w:sz w:val="28"/>
          <w:szCs w:val="28"/>
        </w:rPr>
        <w:t>,</w:t>
      </w:r>
      <w:r w:rsidRPr="004A3E80">
        <w:rPr>
          <w:rFonts w:ascii="Times New Roman" w:hAnsi="Times New Roman" w:cs="Times New Roman"/>
          <w:sz w:val="28"/>
          <w:szCs w:val="28"/>
        </w:rPr>
        <w:t xml:space="preserve"> и будет способствовать повышению качества оказания медицинской помощи женщинам и детям, а также снижению детс</w:t>
      </w:r>
      <w:r w:rsidR="004E3515">
        <w:rPr>
          <w:rFonts w:ascii="Times New Roman" w:hAnsi="Times New Roman" w:cs="Times New Roman"/>
          <w:sz w:val="28"/>
          <w:szCs w:val="28"/>
        </w:rPr>
        <w:t>кой и младенческой смертности.</w:t>
      </w:r>
    </w:p>
    <w:p w14:paraId="36DDAD81" w14:textId="77777777" w:rsidR="004A3E80" w:rsidRPr="004A3E80" w:rsidRDefault="004A3E80" w:rsidP="004A3E80">
      <w:pPr>
        <w:spacing w:after="0" w:line="312" w:lineRule="auto"/>
        <w:ind w:firstLine="709"/>
        <w:contextualSpacing/>
        <w:jc w:val="both"/>
        <w:rPr>
          <w:rFonts w:ascii="Times New Roman" w:eastAsia="Calibri" w:hAnsi="Times New Roman" w:cs="Times New Roman"/>
          <w:sz w:val="28"/>
          <w:szCs w:val="28"/>
        </w:rPr>
      </w:pPr>
      <w:r w:rsidRPr="004A3E80">
        <w:rPr>
          <w:rFonts w:ascii="Times New Roman" w:eastAsia="Calibri" w:hAnsi="Times New Roman" w:cs="Times New Roman"/>
          <w:sz w:val="28"/>
          <w:szCs w:val="28"/>
        </w:rPr>
        <w:t>В 2021 г</w:t>
      </w:r>
      <w:r w:rsidR="00D432CA">
        <w:rPr>
          <w:rFonts w:ascii="Times New Roman" w:eastAsia="Calibri" w:hAnsi="Times New Roman" w:cs="Times New Roman"/>
          <w:sz w:val="28"/>
          <w:szCs w:val="28"/>
        </w:rPr>
        <w:t>.</w:t>
      </w:r>
      <w:r w:rsidRPr="004A3E80">
        <w:rPr>
          <w:rFonts w:ascii="Times New Roman" w:eastAsia="Calibri" w:hAnsi="Times New Roman" w:cs="Times New Roman"/>
          <w:sz w:val="28"/>
          <w:szCs w:val="28"/>
        </w:rPr>
        <w:t xml:space="preserve"> продолжено обучение специалистов в области перинатологии, неонатологии и педи</w:t>
      </w:r>
      <w:r w:rsidR="006762F2">
        <w:rPr>
          <w:rFonts w:ascii="Times New Roman" w:eastAsia="Calibri" w:hAnsi="Times New Roman" w:cs="Times New Roman"/>
          <w:sz w:val="28"/>
          <w:szCs w:val="28"/>
        </w:rPr>
        <w:t xml:space="preserve">атрии в симуляционных центрах, </w:t>
      </w:r>
      <w:r w:rsidRPr="004A3E80">
        <w:rPr>
          <w:rFonts w:ascii="Times New Roman" w:eastAsia="Calibri" w:hAnsi="Times New Roman" w:cs="Times New Roman"/>
          <w:sz w:val="28"/>
          <w:szCs w:val="28"/>
        </w:rPr>
        <w:t>в которых с 2019 г</w:t>
      </w:r>
      <w:r w:rsidR="00D432CA">
        <w:rPr>
          <w:rFonts w:ascii="Times New Roman" w:eastAsia="Calibri" w:hAnsi="Times New Roman" w:cs="Times New Roman"/>
          <w:sz w:val="28"/>
          <w:szCs w:val="28"/>
        </w:rPr>
        <w:t>.</w:t>
      </w:r>
      <w:r w:rsidRPr="004A3E80">
        <w:rPr>
          <w:rFonts w:ascii="Times New Roman" w:eastAsia="Calibri" w:hAnsi="Times New Roman" w:cs="Times New Roman"/>
          <w:sz w:val="28"/>
          <w:szCs w:val="28"/>
        </w:rPr>
        <w:t xml:space="preserve"> обучено более 31,</w:t>
      </w:r>
      <w:r w:rsidR="00D432CA">
        <w:rPr>
          <w:rFonts w:ascii="Times New Roman" w:eastAsia="Calibri" w:hAnsi="Times New Roman" w:cs="Times New Roman"/>
          <w:sz w:val="28"/>
          <w:szCs w:val="28"/>
        </w:rPr>
        <w:t>0</w:t>
      </w:r>
      <w:r w:rsidRPr="004A3E80">
        <w:rPr>
          <w:rFonts w:ascii="Times New Roman" w:eastAsia="Calibri" w:hAnsi="Times New Roman" w:cs="Times New Roman"/>
          <w:sz w:val="28"/>
          <w:szCs w:val="28"/>
        </w:rPr>
        <w:t xml:space="preserve"> тыс. специалистов</w:t>
      </w:r>
      <w:r w:rsidR="00D432CA">
        <w:rPr>
          <w:rFonts w:ascii="Times New Roman" w:eastAsia="Calibri" w:hAnsi="Times New Roman" w:cs="Times New Roman"/>
          <w:sz w:val="28"/>
          <w:szCs w:val="28"/>
        </w:rPr>
        <w:t xml:space="preserve"> (плановое значение на 2021 г. – 24 тыс., нарастающим итогом)</w:t>
      </w:r>
      <w:r w:rsidR="003308E2">
        <w:rPr>
          <w:rFonts w:ascii="Times New Roman" w:eastAsia="Calibri" w:hAnsi="Times New Roman" w:cs="Times New Roman"/>
          <w:sz w:val="28"/>
          <w:szCs w:val="28"/>
        </w:rPr>
        <w:t>.</w:t>
      </w:r>
    </w:p>
    <w:p w14:paraId="7156005B" w14:textId="77777777" w:rsidR="004A3E80" w:rsidRPr="004A3E80" w:rsidRDefault="004A3E80" w:rsidP="004A3E80">
      <w:pPr>
        <w:spacing w:after="0" w:line="312" w:lineRule="auto"/>
        <w:ind w:firstLine="709"/>
        <w:contextualSpacing/>
        <w:jc w:val="both"/>
        <w:rPr>
          <w:rFonts w:ascii="Times New Roman" w:eastAsia="Calibri" w:hAnsi="Times New Roman" w:cs="Times New Roman"/>
          <w:sz w:val="28"/>
          <w:szCs w:val="28"/>
        </w:rPr>
      </w:pPr>
      <w:r w:rsidRPr="004A3E80">
        <w:rPr>
          <w:rFonts w:ascii="Times New Roman" w:eastAsia="Calibri" w:hAnsi="Times New Roman" w:cs="Times New Roman"/>
          <w:sz w:val="28"/>
          <w:szCs w:val="28"/>
        </w:rPr>
        <w:t xml:space="preserve">Повышение квалификации специалистов в области перинатологии, неонатологии и </w:t>
      </w:r>
      <w:r w:rsidR="00267B2A">
        <w:rPr>
          <w:rFonts w:ascii="Times New Roman" w:eastAsia="Calibri" w:hAnsi="Times New Roman" w:cs="Times New Roman"/>
          <w:sz w:val="28"/>
          <w:szCs w:val="28"/>
        </w:rPr>
        <w:t xml:space="preserve">педиатрии </w:t>
      </w:r>
      <w:r w:rsidRPr="004A3E80">
        <w:rPr>
          <w:rFonts w:ascii="Times New Roman" w:eastAsia="Calibri" w:hAnsi="Times New Roman" w:cs="Times New Roman"/>
          <w:sz w:val="28"/>
          <w:szCs w:val="28"/>
        </w:rPr>
        <w:t>в симуляционных центрах обеспечивает освоение ими самых современных и эффективных методик ока</w:t>
      </w:r>
      <w:r w:rsidR="006762F2">
        <w:rPr>
          <w:rFonts w:ascii="Times New Roman" w:eastAsia="Calibri" w:hAnsi="Times New Roman" w:cs="Times New Roman"/>
          <w:sz w:val="28"/>
          <w:szCs w:val="28"/>
        </w:rPr>
        <w:t xml:space="preserve">зания помощи женщинам и детям </w:t>
      </w:r>
      <w:r w:rsidRPr="004A3E80">
        <w:rPr>
          <w:rFonts w:ascii="Times New Roman" w:eastAsia="Calibri" w:hAnsi="Times New Roman" w:cs="Times New Roman"/>
          <w:sz w:val="28"/>
          <w:szCs w:val="28"/>
        </w:rPr>
        <w:t>и способствует повышению качеств</w:t>
      </w:r>
      <w:r w:rsidR="001A56DF">
        <w:rPr>
          <w:rFonts w:ascii="Times New Roman" w:eastAsia="Calibri" w:hAnsi="Times New Roman" w:cs="Times New Roman"/>
          <w:sz w:val="28"/>
          <w:szCs w:val="28"/>
        </w:rPr>
        <w:t>а оказания медицинской помощи.</w:t>
      </w:r>
    </w:p>
    <w:p w14:paraId="0B58A2BD" w14:textId="77777777" w:rsidR="004A3E80" w:rsidRDefault="00D432CA" w:rsidP="00D432CA">
      <w:pPr>
        <w:spacing w:after="0" w:line="312" w:lineRule="auto"/>
        <w:ind w:firstLine="709"/>
        <w:contextualSpacing/>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За 2021 г. медицинскую помощь в период беременности, родов и в послеродовой период, в том числе за счет родовых сертификатов, получили 3 947 151 женщина (нарастающим итогом), при плановом значении – 3 915 000 женщин. Предполагается, что к концу 2024 г. такую помощь получит не менее 8 млн женщин (нарастающим итогом). </w:t>
      </w:r>
      <w:r w:rsidR="004A3E80" w:rsidRPr="004A3E80">
        <w:rPr>
          <w:rFonts w:ascii="Times New Roman" w:eastAsia="Calibri" w:hAnsi="Times New Roman" w:cs="Times New Roman"/>
          <w:sz w:val="28"/>
          <w:szCs w:val="28"/>
        </w:rPr>
        <w:t xml:space="preserve">Кроме того, </w:t>
      </w:r>
      <w:r w:rsidR="004A3E80" w:rsidRPr="004A3E80">
        <w:rPr>
          <w:rFonts w:ascii="Times New Roman" w:eastAsia="Calibri" w:hAnsi="Times New Roman" w:cs="Times New Roman"/>
          <w:color w:val="000000"/>
          <w:sz w:val="28"/>
          <w:szCs w:val="28"/>
        </w:rPr>
        <w:t>финансовые средства от родовых сертификатов позволяют укрепить материально-техническую базу учреждений родовспоможения (женских консультаций, родильных домов, перинатальных центров и др.), повысить качество оказания медицинской помощи, а также повысить мотивацию специалистов к работе.</w:t>
      </w:r>
    </w:p>
    <w:p w14:paraId="6267F3EA" w14:textId="77777777" w:rsidR="00DD128E" w:rsidRPr="00DD128E" w:rsidRDefault="00DD128E" w:rsidP="00D432CA">
      <w:pPr>
        <w:spacing w:after="0" w:line="312" w:lineRule="auto"/>
        <w:ind w:firstLine="709"/>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Основным направлением федерального проекта является развитие профилактического направления. В 2021 г. охват профилактическими осмотрами несовершеннолетних в целом по Российской Федерации составил 90,2% (осмотрено более 25 млн детей), что на 22,1% больше по сравнению с предыдущим годом </w:t>
      </w:r>
      <w:r>
        <w:rPr>
          <w:rFonts w:ascii="Times New Roman" w:eastAsia="Calibri" w:hAnsi="Times New Roman" w:cs="Times New Roman"/>
          <w:color w:val="000000"/>
          <w:sz w:val="28"/>
          <w:szCs w:val="28"/>
        </w:rPr>
        <w:br/>
        <w:t xml:space="preserve">(2020 г. – 68,1%). Важно отметить, что увеличивается число детей </w:t>
      </w:r>
      <w:r>
        <w:rPr>
          <w:rFonts w:ascii="Times New Roman" w:eastAsia="Calibri" w:hAnsi="Times New Roman" w:cs="Times New Roman"/>
          <w:color w:val="000000"/>
          <w:sz w:val="28"/>
          <w:szCs w:val="28"/>
          <w:lang w:val="en-US"/>
        </w:rPr>
        <w:t>I</w:t>
      </w:r>
      <w:r w:rsidRPr="00DD128E">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группы здоровья (на 7,4% относительно 2020 г.). Помимо этого, преобладающее число детей (56,3%) не имеют хронических заболеваний </w:t>
      </w:r>
      <w:r w:rsidRPr="00DD128E">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lang w:val="en-US"/>
        </w:rPr>
        <w:t>II</w:t>
      </w:r>
      <w:r>
        <w:rPr>
          <w:rFonts w:ascii="Times New Roman" w:eastAsia="Calibri" w:hAnsi="Times New Roman" w:cs="Times New Roman"/>
          <w:color w:val="000000"/>
          <w:sz w:val="28"/>
          <w:szCs w:val="28"/>
        </w:rPr>
        <w:t xml:space="preserve"> группа здоровья)</w:t>
      </w:r>
      <w:r w:rsidR="004F08B1">
        <w:rPr>
          <w:rFonts w:ascii="Times New Roman" w:eastAsia="Calibri" w:hAnsi="Times New Roman" w:cs="Times New Roman"/>
          <w:color w:val="000000"/>
          <w:sz w:val="28"/>
          <w:szCs w:val="28"/>
        </w:rPr>
        <w:t xml:space="preserve"> – это дети с функциональными нарушениями, и именно эта группа здоровья является резервом для увеличения числа абсолютно здоровых детей.</w:t>
      </w:r>
    </w:p>
    <w:p w14:paraId="49054E3F" w14:textId="77777777" w:rsidR="004A3E80" w:rsidRDefault="004F08B1" w:rsidP="004A3E80">
      <w:pPr>
        <w:spacing w:after="0" w:line="312" w:lineRule="auto"/>
        <w:ind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Поэтому стоит задача не только провести осмотры детского населения, но и обеспечить всех нуждающихся детей необходимой медицинской помощью.</w:t>
      </w:r>
    </w:p>
    <w:p w14:paraId="6B97927D" w14:textId="77777777" w:rsidR="001434E3" w:rsidRPr="001434E3" w:rsidRDefault="001434E3" w:rsidP="009C2BE0">
      <w:pPr>
        <w:spacing w:before="120" w:after="120"/>
        <w:ind w:firstLine="709"/>
        <w:jc w:val="center"/>
        <w:rPr>
          <w:rFonts w:ascii="Times New Roman" w:eastAsia="Times New Roman" w:hAnsi="Times New Roman" w:cs="Times New Roman"/>
          <w:i/>
          <w:sz w:val="28"/>
          <w:szCs w:val="28"/>
          <w:lang w:eastAsia="ru-RU"/>
        </w:rPr>
      </w:pPr>
      <w:r w:rsidRPr="001434E3">
        <w:rPr>
          <w:rFonts w:ascii="Times New Roman" w:eastAsia="Times New Roman" w:hAnsi="Times New Roman" w:cs="Times New Roman"/>
          <w:i/>
          <w:sz w:val="28"/>
          <w:szCs w:val="28"/>
          <w:lang w:eastAsia="ru-RU"/>
        </w:rPr>
        <w:t>Профилактические медицинские осмотры (диспансеризация) несовершеннолетних</w:t>
      </w:r>
    </w:p>
    <w:p w14:paraId="30DBA9D1" w14:textId="77777777" w:rsidR="001434E3" w:rsidRPr="001434E3" w:rsidRDefault="001434E3" w:rsidP="001434E3">
      <w:pPr>
        <w:spacing w:after="0" w:line="312" w:lineRule="auto"/>
        <w:ind w:firstLine="709"/>
        <w:contextualSpacing/>
        <w:jc w:val="both"/>
        <w:rPr>
          <w:rFonts w:ascii="Times New Roman" w:hAnsi="Times New Roman" w:cs="Times New Roman"/>
          <w:sz w:val="28"/>
          <w:szCs w:val="28"/>
        </w:rPr>
      </w:pPr>
      <w:r w:rsidRPr="001434E3">
        <w:rPr>
          <w:rFonts w:ascii="Times New Roman" w:hAnsi="Times New Roman" w:cs="Times New Roman"/>
          <w:sz w:val="28"/>
          <w:szCs w:val="28"/>
        </w:rPr>
        <w:t>Существенное значение в развитии здравоохранения имеет профилактика, которая позволяет сохранить здоровье, тем самым не только улучшить жизнь людей, но и во многих случаях не допустить возникновения потребности в слож</w:t>
      </w:r>
      <w:r w:rsidR="00F32A68">
        <w:rPr>
          <w:rFonts w:ascii="Times New Roman" w:hAnsi="Times New Roman" w:cs="Times New Roman"/>
          <w:sz w:val="28"/>
          <w:szCs w:val="28"/>
        </w:rPr>
        <w:t>ных медицинских вмешательствах.</w:t>
      </w:r>
    </w:p>
    <w:p w14:paraId="760E79AF" w14:textId="77777777" w:rsidR="001434E3" w:rsidRPr="001434E3" w:rsidRDefault="001434E3" w:rsidP="001434E3">
      <w:pPr>
        <w:spacing w:after="0" w:line="312" w:lineRule="auto"/>
        <w:ind w:firstLine="709"/>
        <w:contextualSpacing/>
        <w:jc w:val="both"/>
        <w:rPr>
          <w:rFonts w:ascii="Times New Roman" w:hAnsi="Times New Roman" w:cs="Times New Roman"/>
          <w:sz w:val="28"/>
          <w:szCs w:val="28"/>
        </w:rPr>
      </w:pPr>
      <w:r w:rsidRPr="001434E3">
        <w:rPr>
          <w:rFonts w:ascii="Times New Roman" w:hAnsi="Times New Roman" w:cs="Times New Roman"/>
          <w:sz w:val="28"/>
          <w:szCs w:val="28"/>
        </w:rPr>
        <w:t>Одним из мероприятий, решающих эту задачу, является проведение профилактических осмотров и диспансеризации детского населения.</w:t>
      </w:r>
    </w:p>
    <w:p w14:paraId="245F28B6" w14:textId="77777777" w:rsidR="001434E3" w:rsidRPr="001434E3" w:rsidRDefault="001434E3" w:rsidP="001434E3">
      <w:pPr>
        <w:spacing w:after="0" w:line="312" w:lineRule="auto"/>
        <w:ind w:firstLine="709"/>
        <w:contextualSpacing/>
        <w:jc w:val="both"/>
        <w:rPr>
          <w:rFonts w:ascii="Times New Roman" w:hAnsi="Times New Roman" w:cs="Times New Roman"/>
          <w:sz w:val="28"/>
          <w:szCs w:val="28"/>
        </w:rPr>
      </w:pPr>
      <w:r w:rsidRPr="001434E3">
        <w:rPr>
          <w:rFonts w:ascii="Times New Roman" w:hAnsi="Times New Roman" w:cs="Times New Roman"/>
          <w:sz w:val="28"/>
          <w:szCs w:val="28"/>
        </w:rPr>
        <w:t>Профилактические медицинск</w:t>
      </w:r>
      <w:r w:rsidR="00F32A68">
        <w:rPr>
          <w:rFonts w:ascii="Times New Roman" w:hAnsi="Times New Roman" w:cs="Times New Roman"/>
          <w:sz w:val="28"/>
          <w:szCs w:val="28"/>
        </w:rPr>
        <w:t xml:space="preserve">ие осмотры проводятся ежегодно </w:t>
      </w:r>
      <w:r w:rsidRPr="001434E3">
        <w:rPr>
          <w:rFonts w:ascii="Times New Roman" w:hAnsi="Times New Roman" w:cs="Times New Roman"/>
          <w:sz w:val="28"/>
          <w:szCs w:val="28"/>
        </w:rPr>
        <w:t>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14:paraId="71A98496" w14:textId="45A311AC" w:rsidR="001434E3" w:rsidRPr="001434E3" w:rsidRDefault="001434E3" w:rsidP="001434E3">
      <w:pPr>
        <w:spacing w:after="0" w:line="312" w:lineRule="auto"/>
        <w:ind w:firstLine="709"/>
        <w:contextualSpacing/>
        <w:jc w:val="both"/>
        <w:rPr>
          <w:rFonts w:ascii="Times New Roman" w:hAnsi="Times New Roman" w:cs="Times New Roman"/>
          <w:sz w:val="28"/>
          <w:szCs w:val="28"/>
        </w:rPr>
      </w:pPr>
      <w:r w:rsidRPr="001434E3">
        <w:rPr>
          <w:rFonts w:ascii="Times New Roman" w:hAnsi="Times New Roman" w:cs="Times New Roman"/>
          <w:sz w:val="28"/>
          <w:szCs w:val="28"/>
        </w:rPr>
        <w:t>Несмотря на то, что в условиях угрозы распространения новой коронавирусной инфекции</w:t>
      </w:r>
      <w:r w:rsidR="00F32A68">
        <w:rPr>
          <w:rFonts w:ascii="Times New Roman" w:hAnsi="Times New Roman" w:cs="Times New Roman"/>
          <w:sz w:val="28"/>
          <w:szCs w:val="28"/>
        </w:rPr>
        <w:t>,</w:t>
      </w:r>
      <w:r w:rsidRPr="001434E3">
        <w:rPr>
          <w:rFonts w:ascii="Times New Roman" w:hAnsi="Times New Roman" w:cs="Times New Roman"/>
          <w:sz w:val="28"/>
          <w:szCs w:val="28"/>
        </w:rPr>
        <w:t xml:space="preserve"> согласно постановлению Правите</w:t>
      </w:r>
      <w:r w:rsidR="00562642">
        <w:rPr>
          <w:rFonts w:ascii="Times New Roman" w:hAnsi="Times New Roman" w:cs="Times New Roman"/>
          <w:sz w:val="28"/>
          <w:szCs w:val="28"/>
        </w:rPr>
        <w:t xml:space="preserve">льства Российской Федерации </w:t>
      </w:r>
      <w:r w:rsidR="001B7BF2">
        <w:rPr>
          <w:rFonts w:ascii="Times New Roman" w:hAnsi="Times New Roman" w:cs="Times New Roman"/>
          <w:sz w:val="28"/>
          <w:szCs w:val="28"/>
        </w:rPr>
        <w:br/>
      </w:r>
      <w:r w:rsidR="00562642">
        <w:rPr>
          <w:rFonts w:ascii="Times New Roman" w:hAnsi="Times New Roman" w:cs="Times New Roman"/>
          <w:sz w:val="28"/>
          <w:szCs w:val="28"/>
        </w:rPr>
        <w:t xml:space="preserve">от </w:t>
      </w:r>
      <w:r w:rsidRPr="001434E3">
        <w:rPr>
          <w:rFonts w:ascii="Times New Roman" w:hAnsi="Times New Roman" w:cs="Times New Roman"/>
          <w:sz w:val="28"/>
          <w:szCs w:val="28"/>
        </w:rPr>
        <w:t>3</w:t>
      </w:r>
      <w:r w:rsidR="00562642">
        <w:rPr>
          <w:rFonts w:ascii="Times New Roman" w:hAnsi="Times New Roman" w:cs="Times New Roman"/>
          <w:sz w:val="28"/>
          <w:szCs w:val="28"/>
        </w:rPr>
        <w:t xml:space="preserve"> апреля </w:t>
      </w:r>
      <w:r w:rsidRPr="001434E3">
        <w:rPr>
          <w:rFonts w:ascii="Times New Roman" w:hAnsi="Times New Roman" w:cs="Times New Roman"/>
          <w:sz w:val="28"/>
          <w:szCs w:val="28"/>
        </w:rPr>
        <w:t>2020</w:t>
      </w:r>
      <w:r w:rsidR="00562642">
        <w:rPr>
          <w:rFonts w:ascii="Times New Roman" w:hAnsi="Times New Roman" w:cs="Times New Roman"/>
          <w:sz w:val="28"/>
          <w:szCs w:val="28"/>
        </w:rPr>
        <w:t xml:space="preserve"> г.</w:t>
      </w:r>
      <w:r w:rsidRPr="001434E3">
        <w:rPr>
          <w:rFonts w:ascii="Times New Roman" w:hAnsi="Times New Roman" w:cs="Times New Roman"/>
          <w:sz w:val="28"/>
          <w:szCs w:val="28"/>
        </w:rPr>
        <w:t xml:space="preserve"> № 432, в субъектах Российской Федерации были приостановлены профилактические осмотры (диспансеризация) несовершеннолетних, в 2021 г</w:t>
      </w:r>
      <w:r w:rsidR="00F27D57">
        <w:rPr>
          <w:rFonts w:ascii="Times New Roman" w:hAnsi="Times New Roman" w:cs="Times New Roman"/>
          <w:sz w:val="28"/>
          <w:szCs w:val="28"/>
        </w:rPr>
        <w:t>.</w:t>
      </w:r>
      <w:r w:rsidRPr="001434E3">
        <w:rPr>
          <w:rFonts w:ascii="Times New Roman" w:hAnsi="Times New Roman" w:cs="Times New Roman"/>
          <w:sz w:val="28"/>
          <w:szCs w:val="28"/>
        </w:rPr>
        <w:t xml:space="preserve"> по мере стабилизации ситуации, исходя из санитарно-эпидемиологической обстановки и особенностей распространения новой коронавирусной инфекции каждого субъекта Российской Федерации, проведение профилактических осмотров (диспансеризации) несовершеннолетних в большинстве регионов было возобновлено.</w:t>
      </w:r>
    </w:p>
    <w:p w14:paraId="0F5070B9" w14:textId="1BE9CC80" w:rsidR="00F27D57" w:rsidRDefault="00F27D57" w:rsidP="001434E3">
      <w:pPr>
        <w:spacing w:after="0" w:line="312"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Как уже отмечалось раннее, в</w:t>
      </w:r>
      <w:r w:rsidR="001434E3" w:rsidRPr="001434E3">
        <w:rPr>
          <w:rFonts w:ascii="Times New Roman" w:hAnsi="Times New Roman" w:cs="Times New Roman"/>
          <w:sz w:val="28"/>
          <w:szCs w:val="28"/>
        </w:rPr>
        <w:t xml:space="preserve"> 2021 </w:t>
      </w:r>
      <w:r w:rsidR="00562642">
        <w:rPr>
          <w:rFonts w:ascii="Times New Roman" w:hAnsi="Times New Roman" w:cs="Times New Roman"/>
          <w:sz w:val="28"/>
          <w:szCs w:val="28"/>
        </w:rPr>
        <w:t>г</w:t>
      </w:r>
      <w:r w:rsidR="00553A55">
        <w:rPr>
          <w:rFonts w:ascii="Times New Roman" w:hAnsi="Times New Roman" w:cs="Times New Roman"/>
          <w:sz w:val="28"/>
          <w:szCs w:val="28"/>
        </w:rPr>
        <w:t>.</w:t>
      </w:r>
      <w:r w:rsidR="00562642">
        <w:rPr>
          <w:rFonts w:ascii="Times New Roman" w:hAnsi="Times New Roman" w:cs="Times New Roman"/>
          <w:sz w:val="28"/>
          <w:szCs w:val="28"/>
        </w:rPr>
        <w:t xml:space="preserve"> </w:t>
      </w:r>
      <w:r w:rsidR="001434E3" w:rsidRPr="001434E3">
        <w:rPr>
          <w:rFonts w:ascii="Times New Roman" w:hAnsi="Times New Roman" w:cs="Times New Roman"/>
          <w:sz w:val="28"/>
          <w:szCs w:val="28"/>
        </w:rPr>
        <w:t>охват профилактическим</w:t>
      </w:r>
      <w:r w:rsidR="00562642">
        <w:rPr>
          <w:rFonts w:ascii="Times New Roman" w:hAnsi="Times New Roman" w:cs="Times New Roman"/>
          <w:sz w:val="28"/>
          <w:szCs w:val="28"/>
        </w:rPr>
        <w:t xml:space="preserve">и осмотрами несовершеннолетних </w:t>
      </w:r>
      <w:r w:rsidR="001434E3" w:rsidRPr="001434E3">
        <w:rPr>
          <w:rFonts w:ascii="Times New Roman" w:hAnsi="Times New Roman" w:cs="Times New Roman"/>
          <w:sz w:val="28"/>
          <w:szCs w:val="28"/>
        </w:rPr>
        <w:t>в целом по Рос</w:t>
      </w:r>
      <w:r w:rsidR="00562642">
        <w:rPr>
          <w:rFonts w:ascii="Times New Roman" w:hAnsi="Times New Roman" w:cs="Times New Roman"/>
          <w:sz w:val="28"/>
          <w:szCs w:val="28"/>
        </w:rPr>
        <w:t>сийской Федерации составил 90,2</w:t>
      </w:r>
      <w:r w:rsidR="001434E3" w:rsidRPr="001434E3">
        <w:rPr>
          <w:rFonts w:ascii="Times New Roman" w:hAnsi="Times New Roman" w:cs="Times New Roman"/>
          <w:sz w:val="28"/>
          <w:szCs w:val="28"/>
        </w:rPr>
        <w:t>%</w:t>
      </w:r>
      <w:r>
        <w:rPr>
          <w:rFonts w:ascii="Times New Roman" w:hAnsi="Times New Roman" w:cs="Times New Roman"/>
          <w:sz w:val="28"/>
          <w:szCs w:val="28"/>
        </w:rPr>
        <w:t xml:space="preserve"> или почти </w:t>
      </w:r>
      <w:r w:rsidR="001B7BF2">
        <w:rPr>
          <w:rFonts w:ascii="Times New Roman" w:hAnsi="Times New Roman" w:cs="Times New Roman"/>
          <w:sz w:val="28"/>
          <w:szCs w:val="28"/>
        </w:rPr>
        <w:br/>
      </w:r>
      <w:r>
        <w:rPr>
          <w:rFonts w:ascii="Times New Roman" w:hAnsi="Times New Roman" w:cs="Times New Roman"/>
          <w:sz w:val="28"/>
          <w:szCs w:val="28"/>
        </w:rPr>
        <w:t>25 млн детей, что на 6,8 млн детей больше, чем в 2020 г</w:t>
      </w:r>
      <w:r w:rsidR="001434E3" w:rsidRPr="001434E3">
        <w:rPr>
          <w:rFonts w:ascii="Times New Roman" w:hAnsi="Times New Roman" w:cs="Times New Roman"/>
          <w:sz w:val="28"/>
          <w:szCs w:val="28"/>
        </w:rPr>
        <w:t xml:space="preserve">. </w:t>
      </w:r>
    </w:p>
    <w:p w14:paraId="1C0110FF" w14:textId="77777777" w:rsidR="003C1F63" w:rsidRDefault="003C1F63" w:rsidP="001434E3">
      <w:pPr>
        <w:spacing w:after="0" w:line="312"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итогам проведения профилактических осмотров осуществляется распределение детей на группы здоровья:</w:t>
      </w:r>
    </w:p>
    <w:p w14:paraId="6FF5CB6B" w14:textId="77777777" w:rsidR="003C1F63" w:rsidRPr="003C1F63" w:rsidRDefault="003C1F63" w:rsidP="001434E3">
      <w:pPr>
        <w:spacing w:after="0" w:line="312"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группа здоровья – здоровые;</w:t>
      </w:r>
    </w:p>
    <w:p w14:paraId="4389BE55" w14:textId="77777777" w:rsidR="003C1F63" w:rsidRPr="003C1F63" w:rsidRDefault="003C1F63" w:rsidP="001434E3">
      <w:pPr>
        <w:spacing w:after="0" w:line="312"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группа здоровья – практически здоровые (имеются некоторые функциональные нару</w:t>
      </w:r>
      <w:r w:rsidR="006E47B3">
        <w:rPr>
          <w:rFonts w:ascii="Times New Roman" w:hAnsi="Times New Roman" w:cs="Times New Roman"/>
          <w:sz w:val="28"/>
          <w:szCs w:val="28"/>
        </w:rPr>
        <w:t>ш</w:t>
      </w:r>
      <w:r>
        <w:rPr>
          <w:rFonts w:ascii="Times New Roman" w:hAnsi="Times New Roman" w:cs="Times New Roman"/>
          <w:sz w:val="28"/>
          <w:szCs w:val="28"/>
        </w:rPr>
        <w:t xml:space="preserve">ения; </w:t>
      </w:r>
      <w:proofErr w:type="spellStart"/>
      <w:r w:rsidR="006E47B3">
        <w:rPr>
          <w:rFonts w:ascii="Times New Roman" w:hAnsi="Times New Roman" w:cs="Times New Roman"/>
          <w:sz w:val="28"/>
          <w:szCs w:val="28"/>
        </w:rPr>
        <w:t>реконвалесценты</w:t>
      </w:r>
      <w:proofErr w:type="spellEnd"/>
      <w:r w:rsidR="006E47B3">
        <w:rPr>
          <w:rFonts w:ascii="Times New Roman" w:hAnsi="Times New Roman" w:cs="Times New Roman"/>
          <w:sz w:val="28"/>
          <w:szCs w:val="28"/>
        </w:rPr>
        <w:t>, с физическими недостатками, последствиями травм или операций);</w:t>
      </w:r>
    </w:p>
    <w:p w14:paraId="1657A377" w14:textId="77777777" w:rsidR="003C1F63" w:rsidRPr="006E47B3" w:rsidRDefault="003C1F63" w:rsidP="001434E3">
      <w:pPr>
        <w:spacing w:after="0" w:line="312"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en-US"/>
        </w:rPr>
        <w:t>III</w:t>
      </w:r>
      <w:r w:rsidR="006E47B3">
        <w:rPr>
          <w:rFonts w:ascii="Times New Roman" w:hAnsi="Times New Roman" w:cs="Times New Roman"/>
          <w:sz w:val="28"/>
          <w:szCs w:val="28"/>
        </w:rPr>
        <w:t xml:space="preserve"> группа здоровья – имеющие хронические заболевания в стадии ремиссии, с сохраненными или компенсированными </w:t>
      </w:r>
      <w:r w:rsidR="00F14BC0">
        <w:rPr>
          <w:rFonts w:ascii="Times New Roman" w:hAnsi="Times New Roman" w:cs="Times New Roman"/>
          <w:sz w:val="28"/>
          <w:szCs w:val="28"/>
        </w:rPr>
        <w:t>функциями органов и систем организма, при отсутствии осложнений основного заболевания;</w:t>
      </w:r>
    </w:p>
    <w:p w14:paraId="3B26C4E0" w14:textId="77777777" w:rsidR="003C1F63" w:rsidRPr="00F14BC0" w:rsidRDefault="003C1F63" w:rsidP="001434E3">
      <w:pPr>
        <w:spacing w:after="0" w:line="312"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en-US"/>
        </w:rPr>
        <w:t>IV</w:t>
      </w:r>
      <w:r w:rsidR="00F14BC0">
        <w:rPr>
          <w:rFonts w:ascii="Times New Roman" w:hAnsi="Times New Roman" w:cs="Times New Roman"/>
          <w:sz w:val="28"/>
          <w:szCs w:val="28"/>
        </w:rPr>
        <w:t xml:space="preserve"> группа здоровья – имеющие хронические заболевания в активной стадии,</w:t>
      </w:r>
      <w:r w:rsidR="00665CA5">
        <w:rPr>
          <w:rFonts w:ascii="Times New Roman" w:hAnsi="Times New Roman" w:cs="Times New Roman"/>
          <w:sz w:val="28"/>
          <w:szCs w:val="28"/>
        </w:rPr>
        <w:t xml:space="preserve"> с частыми обострениями, с сохраненными или компенсированными функциями органов и систем организма либо неполной компенсацией функций;</w:t>
      </w:r>
    </w:p>
    <w:p w14:paraId="595BAB80" w14:textId="77777777" w:rsidR="003C1F63" w:rsidRPr="006E47B3" w:rsidRDefault="003C1F63" w:rsidP="001434E3">
      <w:pPr>
        <w:spacing w:after="0" w:line="312"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en-US"/>
        </w:rPr>
        <w:t>V</w:t>
      </w:r>
      <w:r w:rsidRPr="006E47B3">
        <w:rPr>
          <w:rFonts w:ascii="Times New Roman" w:hAnsi="Times New Roman" w:cs="Times New Roman"/>
          <w:sz w:val="28"/>
          <w:szCs w:val="28"/>
        </w:rPr>
        <w:t xml:space="preserve"> </w:t>
      </w:r>
      <w:r w:rsidR="00665CA5">
        <w:rPr>
          <w:rFonts w:ascii="Times New Roman" w:hAnsi="Times New Roman" w:cs="Times New Roman"/>
          <w:sz w:val="28"/>
          <w:szCs w:val="28"/>
        </w:rPr>
        <w:t>группа здоровья – инвалиды.</w:t>
      </w:r>
    </w:p>
    <w:p w14:paraId="2CCF3D72" w14:textId="73571C3E" w:rsidR="001434E3" w:rsidRPr="001434E3" w:rsidRDefault="001434E3" w:rsidP="001434E3">
      <w:pPr>
        <w:spacing w:after="0" w:line="312" w:lineRule="auto"/>
        <w:ind w:firstLine="709"/>
        <w:contextualSpacing/>
        <w:jc w:val="both"/>
        <w:rPr>
          <w:rFonts w:ascii="Times New Roman" w:hAnsi="Times New Roman" w:cs="Times New Roman"/>
          <w:sz w:val="28"/>
          <w:szCs w:val="28"/>
        </w:rPr>
      </w:pPr>
      <w:r w:rsidRPr="001434E3">
        <w:rPr>
          <w:rFonts w:ascii="Times New Roman" w:hAnsi="Times New Roman" w:cs="Times New Roman"/>
          <w:sz w:val="28"/>
          <w:szCs w:val="28"/>
        </w:rPr>
        <w:t>По результатам профилактичес</w:t>
      </w:r>
      <w:r w:rsidR="00562642">
        <w:rPr>
          <w:rFonts w:ascii="Times New Roman" w:hAnsi="Times New Roman" w:cs="Times New Roman"/>
          <w:sz w:val="28"/>
          <w:szCs w:val="28"/>
        </w:rPr>
        <w:t xml:space="preserve">ких осмотров дети распределены </w:t>
      </w:r>
      <w:r w:rsidRPr="001434E3">
        <w:rPr>
          <w:rFonts w:ascii="Times New Roman" w:hAnsi="Times New Roman" w:cs="Times New Roman"/>
          <w:sz w:val="28"/>
          <w:szCs w:val="28"/>
        </w:rPr>
        <w:t>по следующим гр</w:t>
      </w:r>
      <w:r w:rsidR="00562642">
        <w:rPr>
          <w:rFonts w:ascii="Times New Roman" w:hAnsi="Times New Roman" w:cs="Times New Roman"/>
          <w:sz w:val="28"/>
          <w:szCs w:val="28"/>
        </w:rPr>
        <w:t>уппам здоровья: Ι группа – 27,9%; ΙΙ группа – 56,3</w:t>
      </w:r>
      <w:r w:rsidR="006762F2">
        <w:rPr>
          <w:rFonts w:ascii="Times New Roman" w:hAnsi="Times New Roman" w:cs="Times New Roman"/>
          <w:sz w:val="28"/>
          <w:szCs w:val="28"/>
        </w:rPr>
        <w:t xml:space="preserve">%; </w:t>
      </w:r>
      <w:r w:rsidR="00CF7975">
        <w:rPr>
          <w:rFonts w:ascii="Times New Roman" w:hAnsi="Times New Roman" w:cs="Times New Roman"/>
          <w:sz w:val="28"/>
          <w:szCs w:val="28"/>
        </w:rPr>
        <w:t xml:space="preserve">ΙΙΙ группа – 13,2%; </w:t>
      </w:r>
      <w:r w:rsidR="001B7BF2">
        <w:rPr>
          <w:rFonts w:ascii="Times New Roman" w:hAnsi="Times New Roman" w:cs="Times New Roman"/>
          <w:sz w:val="28"/>
          <w:szCs w:val="28"/>
        </w:rPr>
        <w:br/>
      </w:r>
      <w:r w:rsidR="00CF7975">
        <w:rPr>
          <w:rFonts w:ascii="Times New Roman" w:hAnsi="Times New Roman" w:cs="Times New Roman"/>
          <w:sz w:val="28"/>
          <w:szCs w:val="28"/>
        </w:rPr>
        <w:t>ΙV группа – 0,6%; V группа – 2,0</w:t>
      </w:r>
      <w:r w:rsidRPr="001434E3">
        <w:rPr>
          <w:rFonts w:ascii="Times New Roman" w:hAnsi="Times New Roman" w:cs="Times New Roman"/>
          <w:sz w:val="28"/>
          <w:szCs w:val="28"/>
        </w:rPr>
        <w:t>%.</w:t>
      </w:r>
    </w:p>
    <w:p w14:paraId="25750021" w14:textId="77777777" w:rsidR="001434E3" w:rsidRPr="001434E3" w:rsidRDefault="00665CA5" w:rsidP="00665CA5">
      <w:pPr>
        <w:spacing w:after="0" w:line="312"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 итогам профилактических осмотров (диспансеризации) при выявлении заболеваний </w:t>
      </w:r>
      <w:r w:rsidR="001434E3" w:rsidRPr="001434E3">
        <w:rPr>
          <w:rFonts w:ascii="Times New Roman" w:hAnsi="Times New Roman" w:cs="Times New Roman"/>
          <w:sz w:val="28"/>
          <w:szCs w:val="28"/>
        </w:rPr>
        <w:t>дети берутся под диспансерное наблюдение, проводятся соответствующие лечебно-реабилитационные мероприятия, а также работа по формированию здорового образа жизни.</w:t>
      </w:r>
    </w:p>
    <w:p w14:paraId="1492B0EE" w14:textId="77777777" w:rsidR="001434E3" w:rsidRPr="001434E3" w:rsidRDefault="001434E3" w:rsidP="001434E3">
      <w:pPr>
        <w:spacing w:after="0" w:line="312" w:lineRule="auto"/>
        <w:ind w:firstLine="709"/>
        <w:contextualSpacing/>
        <w:jc w:val="both"/>
        <w:rPr>
          <w:rFonts w:ascii="Times New Roman" w:hAnsi="Times New Roman" w:cs="Times New Roman"/>
          <w:sz w:val="28"/>
          <w:szCs w:val="28"/>
        </w:rPr>
      </w:pPr>
      <w:r w:rsidRPr="001434E3">
        <w:rPr>
          <w:rFonts w:ascii="Times New Roman" w:hAnsi="Times New Roman" w:cs="Times New Roman"/>
          <w:sz w:val="28"/>
          <w:szCs w:val="28"/>
        </w:rPr>
        <w:t>Также ежегодно проводится углубленная диспансеризация наиболее незащищенной группы детей – детей-сирот и детей, оставшихся без попечения родителей. Вопросы по организации и проведению диспансеризации, качества последующего оказания медицинской помощи указанной категории детей находятся на постоя</w:t>
      </w:r>
      <w:r w:rsidR="00280788">
        <w:rPr>
          <w:rFonts w:ascii="Times New Roman" w:hAnsi="Times New Roman" w:cs="Times New Roman"/>
          <w:sz w:val="28"/>
          <w:szCs w:val="28"/>
        </w:rPr>
        <w:t>нном контроле Минздрава России.</w:t>
      </w:r>
    </w:p>
    <w:p w14:paraId="5A9A641D" w14:textId="6FE37D3E" w:rsidR="001434E3" w:rsidRDefault="001434E3" w:rsidP="001434E3">
      <w:pPr>
        <w:spacing w:after="0" w:line="312" w:lineRule="auto"/>
        <w:ind w:firstLine="709"/>
        <w:contextualSpacing/>
        <w:jc w:val="both"/>
        <w:rPr>
          <w:rFonts w:ascii="Times New Roman" w:hAnsi="Times New Roman" w:cs="Times New Roman"/>
          <w:sz w:val="28"/>
          <w:szCs w:val="28"/>
        </w:rPr>
      </w:pPr>
      <w:r w:rsidRPr="001434E3">
        <w:rPr>
          <w:rFonts w:ascii="Times New Roman" w:hAnsi="Times New Roman" w:cs="Times New Roman"/>
          <w:sz w:val="28"/>
          <w:szCs w:val="28"/>
        </w:rPr>
        <w:t>Несмотря на сложную эпидемиологическую ситуацию, удалось сохранить высокий охват диспансеризацией указанной категории детей, который в 2021 г</w:t>
      </w:r>
      <w:r w:rsidR="003956C7">
        <w:rPr>
          <w:rFonts w:ascii="Times New Roman" w:hAnsi="Times New Roman" w:cs="Times New Roman"/>
          <w:sz w:val="28"/>
          <w:szCs w:val="28"/>
        </w:rPr>
        <w:t>.</w:t>
      </w:r>
      <w:r w:rsidRPr="001434E3">
        <w:rPr>
          <w:rFonts w:ascii="Times New Roman" w:hAnsi="Times New Roman" w:cs="Times New Roman"/>
          <w:sz w:val="28"/>
          <w:szCs w:val="28"/>
        </w:rPr>
        <w:t xml:space="preserve"> составил 98% де</w:t>
      </w:r>
      <w:r w:rsidR="006762F2">
        <w:rPr>
          <w:rFonts w:ascii="Times New Roman" w:hAnsi="Times New Roman" w:cs="Times New Roman"/>
          <w:sz w:val="28"/>
          <w:szCs w:val="28"/>
        </w:rPr>
        <w:t xml:space="preserve">тей-сирот и детей, находящихся </w:t>
      </w:r>
      <w:r w:rsidRPr="001434E3">
        <w:rPr>
          <w:rFonts w:ascii="Times New Roman" w:hAnsi="Times New Roman" w:cs="Times New Roman"/>
          <w:sz w:val="28"/>
          <w:szCs w:val="28"/>
        </w:rPr>
        <w:t>в трудной жизненной ситуации, пребывающих в стационарных учреждениях (распределены по следующим группам здоровья: Ι группа – 7,3</w:t>
      </w:r>
      <w:r w:rsidR="00280788">
        <w:rPr>
          <w:rFonts w:ascii="Times New Roman" w:hAnsi="Times New Roman" w:cs="Times New Roman"/>
          <w:sz w:val="28"/>
          <w:szCs w:val="28"/>
        </w:rPr>
        <w:t>%; ΙΙ группа – 35,1%; ΙΙΙ группа – 30,6%; ΙV группа – 5,2</w:t>
      </w:r>
      <w:r w:rsidRPr="001434E3">
        <w:rPr>
          <w:rFonts w:ascii="Times New Roman" w:hAnsi="Times New Roman" w:cs="Times New Roman"/>
          <w:sz w:val="28"/>
          <w:szCs w:val="28"/>
        </w:rPr>
        <w:t xml:space="preserve">%; </w:t>
      </w:r>
      <w:r w:rsidR="006762F2">
        <w:rPr>
          <w:rFonts w:ascii="Times New Roman" w:hAnsi="Times New Roman" w:cs="Times New Roman"/>
          <w:sz w:val="28"/>
          <w:szCs w:val="28"/>
        </w:rPr>
        <w:br/>
      </w:r>
      <w:r w:rsidRPr="001434E3">
        <w:rPr>
          <w:rFonts w:ascii="Times New Roman" w:hAnsi="Times New Roman" w:cs="Times New Roman"/>
          <w:sz w:val="28"/>
          <w:szCs w:val="28"/>
        </w:rPr>
        <w:t>V группа – 21,9%)</w:t>
      </w:r>
      <w:r w:rsidR="00280788">
        <w:rPr>
          <w:rFonts w:ascii="Times New Roman" w:hAnsi="Times New Roman" w:cs="Times New Roman"/>
          <w:sz w:val="28"/>
          <w:szCs w:val="28"/>
        </w:rPr>
        <w:t>, и 94,9</w:t>
      </w:r>
      <w:r w:rsidRPr="001434E3">
        <w:rPr>
          <w:rFonts w:ascii="Times New Roman" w:hAnsi="Times New Roman" w:cs="Times New Roman"/>
          <w:sz w:val="28"/>
          <w:szCs w:val="28"/>
        </w:rPr>
        <w:t>%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(распределены по следующим гр</w:t>
      </w:r>
      <w:r w:rsidR="00280788">
        <w:rPr>
          <w:rFonts w:ascii="Times New Roman" w:hAnsi="Times New Roman" w:cs="Times New Roman"/>
          <w:sz w:val="28"/>
          <w:szCs w:val="28"/>
        </w:rPr>
        <w:t xml:space="preserve">уппам здоровья: Ι группа – 12,1%; ΙΙ группа – 55,3%; ΙΙΙ группа – 25,8%; </w:t>
      </w:r>
      <w:r w:rsidR="001B7BF2">
        <w:rPr>
          <w:rFonts w:ascii="Times New Roman" w:hAnsi="Times New Roman" w:cs="Times New Roman"/>
          <w:sz w:val="28"/>
          <w:szCs w:val="28"/>
        </w:rPr>
        <w:br/>
      </w:r>
      <w:r w:rsidR="00280788">
        <w:rPr>
          <w:rFonts w:ascii="Times New Roman" w:hAnsi="Times New Roman" w:cs="Times New Roman"/>
          <w:sz w:val="28"/>
          <w:szCs w:val="28"/>
        </w:rPr>
        <w:t>ΙV группа – 1,4%; V группа – 5,4</w:t>
      </w:r>
      <w:r w:rsidRPr="001434E3">
        <w:rPr>
          <w:rFonts w:ascii="Times New Roman" w:hAnsi="Times New Roman" w:cs="Times New Roman"/>
          <w:sz w:val="28"/>
          <w:szCs w:val="28"/>
        </w:rPr>
        <w:t>%).</w:t>
      </w:r>
    </w:p>
    <w:p w14:paraId="6FFF9B94" w14:textId="77777777" w:rsidR="00B725EC" w:rsidRPr="001434E3" w:rsidRDefault="00B725EC" w:rsidP="001434E3">
      <w:pPr>
        <w:spacing w:after="0" w:line="312"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Помимо этого, сохраняется </w:t>
      </w:r>
      <w:r w:rsidR="00C059D4">
        <w:rPr>
          <w:rFonts w:ascii="Times New Roman" w:hAnsi="Times New Roman" w:cs="Times New Roman"/>
          <w:sz w:val="28"/>
          <w:szCs w:val="28"/>
        </w:rPr>
        <w:t>высокий уровень посещаемости амбулаторно-поликлинических учреждений для оказания первичной медико-санитарной помощи. Число посещений детьми амбулаторно-поликлинических учреждений составило более 376 млн, что на 54 млн посещений больше, чем в 2020 г. Количество посещений детских поликлиник с профилактическими целями также увеличилось, в 2021 г. их посетило 190,7 млн детей.</w:t>
      </w:r>
    </w:p>
    <w:p w14:paraId="3C005DF3" w14:textId="77777777" w:rsidR="00D03A4F" w:rsidRDefault="00D03A4F" w:rsidP="008B599B">
      <w:pPr>
        <w:spacing w:before="240" w:after="240" w:line="312" w:lineRule="auto"/>
        <w:ind w:firstLine="709"/>
        <w:jc w:val="center"/>
        <w:rPr>
          <w:rFonts w:ascii="Times New Roman" w:eastAsia="Calibri" w:hAnsi="Times New Roman" w:cs="Times New Roman"/>
          <w:bCs/>
          <w:i/>
          <w:sz w:val="28"/>
          <w:szCs w:val="28"/>
          <w:lang w:eastAsia="ru-RU"/>
        </w:rPr>
      </w:pPr>
      <w:r w:rsidRPr="00D03A4F">
        <w:rPr>
          <w:rFonts w:ascii="Times New Roman" w:eastAsia="Times New Roman" w:hAnsi="Times New Roman" w:cs="Times New Roman"/>
          <w:i/>
          <w:sz w:val="28"/>
          <w:szCs w:val="28"/>
          <w:lang w:eastAsia="ru-RU"/>
        </w:rPr>
        <w:t xml:space="preserve">Охрана здоровья детей, </w:t>
      </w:r>
      <w:r w:rsidRPr="00D03A4F">
        <w:rPr>
          <w:rFonts w:ascii="Times New Roman" w:eastAsia="Calibri" w:hAnsi="Times New Roman" w:cs="Times New Roman"/>
          <w:bCs/>
          <w:i/>
          <w:sz w:val="28"/>
          <w:szCs w:val="28"/>
          <w:lang w:eastAsia="ru-RU"/>
        </w:rPr>
        <w:t>страдающих редкими (орфанными) заболеваниями</w:t>
      </w:r>
    </w:p>
    <w:p w14:paraId="7520FD61" w14:textId="77777777" w:rsidR="009E7788" w:rsidRPr="009E7788" w:rsidRDefault="009E7788" w:rsidP="009E7788">
      <w:pPr>
        <w:spacing w:after="0" w:line="312" w:lineRule="auto"/>
        <w:ind w:firstLine="709"/>
        <w:jc w:val="both"/>
        <w:rPr>
          <w:rFonts w:ascii="Times New Roman" w:eastAsia="Calibri" w:hAnsi="Times New Roman" w:cs="Times New Roman"/>
          <w:bCs/>
          <w:sz w:val="28"/>
          <w:szCs w:val="28"/>
          <w:lang w:eastAsia="ru-RU"/>
        </w:rPr>
      </w:pPr>
      <w:r w:rsidRPr="009E7788">
        <w:rPr>
          <w:rFonts w:ascii="Times New Roman" w:eastAsia="Calibri" w:hAnsi="Times New Roman" w:cs="Times New Roman"/>
          <w:bCs/>
          <w:sz w:val="28"/>
          <w:szCs w:val="28"/>
          <w:lang w:eastAsia="ru-RU"/>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14:paraId="0DA564BB" w14:textId="0548A425" w:rsidR="009E7788" w:rsidRPr="009E7788" w:rsidRDefault="009E7788" w:rsidP="009E7788">
      <w:pPr>
        <w:spacing w:after="0" w:line="312" w:lineRule="auto"/>
        <w:ind w:firstLine="709"/>
        <w:jc w:val="both"/>
        <w:rPr>
          <w:rFonts w:ascii="Times New Roman" w:eastAsia="Calibri" w:hAnsi="Times New Roman" w:cs="Times New Roman"/>
          <w:bCs/>
          <w:sz w:val="28"/>
          <w:szCs w:val="28"/>
          <w:lang w:eastAsia="ru-RU"/>
        </w:rPr>
      </w:pPr>
      <w:r w:rsidRPr="009E7788">
        <w:rPr>
          <w:rFonts w:ascii="Times New Roman" w:eastAsia="Calibri" w:hAnsi="Times New Roman" w:cs="Times New Roman"/>
          <w:bCs/>
          <w:sz w:val="28"/>
          <w:szCs w:val="28"/>
          <w:lang w:eastAsia="ru-RU"/>
        </w:rPr>
        <w:t xml:space="preserve">В Российской Федерации </w:t>
      </w:r>
      <w:r w:rsidRPr="00F32A68">
        <w:rPr>
          <w:rFonts w:ascii="Times New Roman" w:eastAsia="Calibri" w:hAnsi="Times New Roman" w:cs="Times New Roman"/>
          <w:bCs/>
          <w:sz w:val="28"/>
          <w:szCs w:val="28"/>
          <w:lang w:eastAsia="ru-RU"/>
        </w:rPr>
        <w:t>Федеральны</w:t>
      </w:r>
      <w:r w:rsidR="006762F2" w:rsidRPr="00F32A68">
        <w:rPr>
          <w:rFonts w:ascii="Times New Roman" w:eastAsia="Calibri" w:hAnsi="Times New Roman" w:cs="Times New Roman"/>
          <w:bCs/>
          <w:sz w:val="28"/>
          <w:szCs w:val="28"/>
          <w:lang w:eastAsia="ru-RU"/>
        </w:rPr>
        <w:t xml:space="preserve">м законом от 21 ноября 2011 г. </w:t>
      </w:r>
      <w:r w:rsidRPr="00F32A68">
        <w:rPr>
          <w:rFonts w:ascii="Times New Roman" w:eastAsia="Calibri" w:hAnsi="Times New Roman" w:cs="Times New Roman"/>
          <w:bCs/>
          <w:sz w:val="28"/>
          <w:szCs w:val="28"/>
          <w:lang w:eastAsia="ru-RU"/>
        </w:rPr>
        <w:t>№ 323-ФЗ</w:t>
      </w:r>
      <w:r w:rsidR="008D5051" w:rsidRPr="00F32A68">
        <w:rPr>
          <w:rFonts w:ascii="Times New Roman" w:eastAsia="Calibri" w:hAnsi="Times New Roman" w:cs="Times New Roman"/>
          <w:bCs/>
          <w:sz w:val="28"/>
          <w:szCs w:val="28"/>
          <w:lang w:eastAsia="ru-RU"/>
        </w:rPr>
        <w:t xml:space="preserve"> </w:t>
      </w:r>
      <w:r w:rsidRPr="009E7788">
        <w:rPr>
          <w:rFonts w:ascii="Times New Roman" w:eastAsia="Calibri" w:hAnsi="Times New Roman" w:cs="Times New Roman"/>
          <w:bCs/>
          <w:sz w:val="28"/>
          <w:szCs w:val="28"/>
          <w:lang w:eastAsia="ru-RU"/>
        </w:rPr>
        <w:t>закреплено определение редкого (</w:t>
      </w:r>
      <w:proofErr w:type="spellStart"/>
      <w:r w:rsidRPr="009E7788">
        <w:rPr>
          <w:rFonts w:ascii="Times New Roman" w:eastAsia="Calibri" w:hAnsi="Times New Roman" w:cs="Times New Roman"/>
          <w:bCs/>
          <w:sz w:val="28"/>
          <w:szCs w:val="28"/>
          <w:lang w:eastAsia="ru-RU"/>
        </w:rPr>
        <w:t>орфанного</w:t>
      </w:r>
      <w:proofErr w:type="spellEnd"/>
      <w:r w:rsidRPr="009E7788">
        <w:rPr>
          <w:rFonts w:ascii="Times New Roman" w:eastAsia="Calibri" w:hAnsi="Times New Roman" w:cs="Times New Roman"/>
          <w:bCs/>
          <w:sz w:val="28"/>
          <w:szCs w:val="28"/>
          <w:lang w:eastAsia="ru-RU"/>
        </w:rPr>
        <w:t>) заболевания. К редким (</w:t>
      </w:r>
      <w:proofErr w:type="spellStart"/>
      <w:r w:rsidRPr="009E7788">
        <w:rPr>
          <w:rFonts w:ascii="Times New Roman" w:eastAsia="Calibri" w:hAnsi="Times New Roman" w:cs="Times New Roman"/>
          <w:bCs/>
          <w:sz w:val="28"/>
          <w:szCs w:val="28"/>
          <w:lang w:eastAsia="ru-RU"/>
        </w:rPr>
        <w:t>орфанным</w:t>
      </w:r>
      <w:proofErr w:type="spellEnd"/>
      <w:r w:rsidRPr="009E7788">
        <w:rPr>
          <w:rFonts w:ascii="Times New Roman" w:eastAsia="Calibri" w:hAnsi="Times New Roman" w:cs="Times New Roman"/>
          <w:bCs/>
          <w:sz w:val="28"/>
          <w:szCs w:val="28"/>
          <w:lang w:eastAsia="ru-RU"/>
        </w:rPr>
        <w:t>)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w:t>
      </w:r>
      <w:r w:rsidR="00F32A68">
        <w:rPr>
          <w:rFonts w:ascii="Times New Roman" w:eastAsia="Calibri" w:hAnsi="Times New Roman" w:cs="Times New Roman"/>
          <w:bCs/>
          <w:sz w:val="28"/>
          <w:szCs w:val="28"/>
          <w:lang w:eastAsia="ru-RU"/>
        </w:rPr>
        <w:t xml:space="preserve"> их лекарственным обеспечением.</w:t>
      </w:r>
    </w:p>
    <w:p w14:paraId="1D162264" w14:textId="77777777" w:rsidR="009E7788" w:rsidRPr="009E7788" w:rsidRDefault="009E7788" w:rsidP="009E7788">
      <w:pPr>
        <w:spacing w:after="0" w:line="312" w:lineRule="auto"/>
        <w:ind w:firstLine="709"/>
        <w:jc w:val="both"/>
        <w:rPr>
          <w:rFonts w:ascii="Times New Roman" w:eastAsia="Calibri" w:hAnsi="Times New Roman" w:cs="Times New Roman"/>
          <w:bCs/>
          <w:sz w:val="28"/>
          <w:szCs w:val="28"/>
          <w:lang w:eastAsia="ru-RU"/>
        </w:rPr>
      </w:pPr>
      <w:r w:rsidRPr="009E7788">
        <w:rPr>
          <w:rFonts w:ascii="Times New Roman" w:eastAsia="Calibri" w:hAnsi="Times New Roman" w:cs="Times New Roman"/>
          <w:bCs/>
          <w:sz w:val="28"/>
          <w:szCs w:val="28"/>
          <w:lang w:eastAsia="ru-RU"/>
        </w:rPr>
        <w:t xml:space="preserve">Проблема редких (орфанных) заболеваний особенно актуальна для педиатрии, так как 2/3 редких болезней проявляются </w:t>
      </w:r>
      <w:r>
        <w:rPr>
          <w:rFonts w:ascii="Times New Roman" w:eastAsia="Calibri" w:hAnsi="Times New Roman" w:cs="Times New Roman"/>
          <w:bCs/>
          <w:sz w:val="28"/>
          <w:szCs w:val="28"/>
          <w:lang w:eastAsia="ru-RU"/>
        </w:rPr>
        <w:t>в раннем детском возрасте. В 65</w:t>
      </w:r>
      <w:r w:rsidRPr="009E7788">
        <w:rPr>
          <w:rFonts w:ascii="Times New Roman" w:eastAsia="Calibri" w:hAnsi="Times New Roman" w:cs="Times New Roman"/>
          <w:bCs/>
          <w:sz w:val="28"/>
          <w:szCs w:val="28"/>
          <w:lang w:eastAsia="ru-RU"/>
        </w:rPr>
        <w:t>% случаев редкие (орфанные) заболевания имеют тяжелое</w:t>
      </w:r>
      <w:r>
        <w:rPr>
          <w:rFonts w:ascii="Times New Roman" w:eastAsia="Calibri" w:hAnsi="Times New Roman" w:cs="Times New Roman"/>
          <w:bCs/>
          <w:sz w:val="28"/>
          <w:szCs w:val="28"/>
          <w:lang w:eastAsia="ru-RU"/>
        </w:rPr>
        <w:t xml:space="preserve"> инвалидизирующее течение, в 50</w:t>
      </w:r>
      <w:r w:rsidRPr="009E7788">
        <w:rPr>
          <w:rFonts w:ascii="Times New Roman" w:eastAsia="Calibri" w:hAnsi="Times New Roman" w:cs="Times New Roman"/>
          <w:bCs/>
          <w:sz w:val="28"/>
          <w:szCs w:val="28"/>
          <w:lang w:eastAsia="ru-RU"/>
        </w:rPr>
        <w:t>% – уху</w:t>
      </w:r>
      <w:r>
        <w:rPr>
          <w:rFonts w:ascii="Times New Roman" w:eastAsia="Calibri" w:hAnsi="Times New Roman" w:cs="Times New Roman"/>
          <w:bCs/>
          <w:sz w:val="28"/>
          <w:szCs w:val="28"/>
          <w:lang w:eastAsia="ru-RU"/>
        </w:rPr>
        <w:t>дшенный прогноз для жизни, в 35</w:t>
      </w:r>
      <w:r w:rsidRPr="009E7788">
        <w:rPr>
          <w:rFonts w:ascii="Times New Roman" w:eastAsia="Calibri" w:hAnsi="Times New Roman" w:cs="Times New Roman"/>
          <w:bCs/>
          <w:sz w:val="28"/>
          <w:szCs w:val="28"/>
          <w:lang w:eastAsia="ru-RU"/>
        </w:rPr>
        <w:t xml:space="preserve">% являются причиной смерти в течение 1-го </w:t>
      </w:r>
      <w:r>
        <w:rPr>
          <w:rFonts w:ascii="Times New Roman" w:eastAsia="Calibri" w:hAnsi="Times New Roman" w:cs="Times New Roman"/>
          <w:bCs/>
          <w:sz w:val="28"/>
          <w:szCs w:val="28"/>
          <w:lang w:eastAsia="ru-RU"/>
        </w:rPr>
        <w:t>года жизни, в 10</w:t>
      </w:r>
      <w:r w:rsidRPr="009E7788">
        <w:rPr>
          <w:rFonts w:ascii="Times New Roman" w:eastAsia="Calibri" w:hAnsi="Times New Roman" w:cs="Times New Roman"/>
          <w:bCs/>
          <w:sz w:val="28"/>
          <w:szCs w:val="28"/>
          <w:lang w:eastAsia="ru-RU"/>
        </w:rPr>
        <w:t xml:space="preserve">% – в </w:t>
      </w:r>
      <w:r w:rsidR="000E0326">
        <w:rPr>
          <w:rFonts w:ascii="Times New Roman" w:eastAsia="Calibri" w:hAnsi="Times New Roman" w:cs="Times New Roman"/>
          <w:bCs/>
          <w:sz w:val="28"/>
          <w:szCs w:val="28"/>
          <w:lang w:eastAsia="ru-RU"/>
        </w:rPr>
        <w:t>возрасте</w:t>
      </w:r>
      <w:r w:rsidRPr="009E7788">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1-5 лет, в 12</w:t>
      </w:r>
      <w:r w:rsidRPr="009E7788">
        <w:rPr>
          <w:rFonts w:ascii="Times New Roman" w:eastAsia="Calibri" w:hAnsi="Times New Roman" w:cs="Times New Roman"/>
          <w:bCs/>
          <w:sz w:val="28"/>
          <w:szCs w:val="28"/>
          <w:lang w:eastAsia="ru-RU"/>
        </w:rPr>
        <w:t>% – в возрасте 5-15 лет.</w:t>
      </w:r>
    </w:p>
    <w:p w14:paraId="7532229A" w14:textId="77777777" w:rsidR="009E7788" w:rsidRPr="009E7788" w:rsidRDefault="009E7788" w:rsidP="009E7788">
      <w:pPr>
        <w:spacing w:after="0" w:line="312" w:lineRule="auto"/>
        <w:ind w:firstLine="709"/>
        <w:jc w:val="both"/>
        <w:rPr>
          <w:rFonts w:ascii="Times New Roman" w:eastAsia="Calibri" w:hAnsi="Times New Roman" w:cs="Times New Roman"/>
          <w:bCs/>
          <w:sz w:val="28"/>
          <w:szCs w:val="28"/>
          <w:lang w:eastAsia="ru-RU"/>
        </w:rPr>
      </w:pPr>
      <w:r w:rsidRPr="009E7788">
        <w:rPr>
          <w:rFonts w:ascii="Times New Roman" w:eastAsia="Calibri" w:hAnsi="Times New Roman" w:cs="Times New Roman"/>
          <w:bCs/>
          <w:sz w:val="28"/>
          <w:szCs w:val="28"/>
          <w:lang w:eastAsia="ru-RU"/>
        </w:rPr>
        <w:t xml:space="preserve">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w:t>
      </w:r>
      <w:r>
        <w:rPr>
          <w:rFonts w:ascii="Times New Roman" w:eastAsia="Calibri" w:hAnsi="Times New Roman" w:cs="Times New Roman"/>
          <w:bCs/>
          <w:sz w:val="28"/>
          <w:szCs w:val="28"/>
          <w:lang w:eastAsia="ru-RU"/>
        </w:rPr>
        <w:t xml:space="preserve">по тексту подраздела </w:t>
      </w:r>
      <w:r w:rsidRPr="009E7788">
        <w:rPr>
          <w:rFonts w:ascii="Times New Roman" w:eastAsia="Calibri" w:hAnsi="Times New Roman" w:cs="Times New Roman"/>
          <w:bCs/>
          <w:sz w:val="28"/>
          <w:szCs w:val="28"/>
          <w:lang w:eastAsia="ru-RU"/>
        </w:rPr>
        <w:t>– Федеральный регистр).</w:t>
      </w:r>
    </w:p>
    <w:p w14:paraId="1F666AB4" w14:textId="77777777" w:rsidR="009E7788" w:rsidRPr="009E7788" w:rsidRDefault="009E7788" w:rsidP="009E7788">
      <w:pPr>
        <w:spacing w:after="0" w:line="312" w:lineRule="auto"/>
        <w:ind w:firstLine="709"/>
        <w:jc w:val="both"/>
        <w:rPr>
          <w:rFonts w:ascii="Times New Roman" w:eastAsia="Calibri" w:hAnsi="Times New Roman" w:cs="Times New Roman"/>
          <w:bCs/>
          <w:sz w:val="28"/>
          <w:szCs w:val="28"/>
          <w:lang w:eastAsia="ru-RU"/>
        </w:rPr>
      </w:pPr>
      <w:r w:rsidRPr="009E7788">
        <w:rPr>
          <w:rFonts w:ascii="Times New Roman" w:eastAsia="Calibri" w:hAnsi="Times New Roman" w:cs="Times New Roman"/>
          <w:bCs/>
          <w:sz w:val="28"/>
          <w:szCs w:val="28"/>
          <w:lang w:eastAsia="ru-RU"/>
        </w:rPr>
        <w:t xml:space="preserve">В настоящее время в Федеральный регистр внесены данные о более 18,5 тыс. пациентов с 17 редкими (орфанными) заболеваниями, из них </w:t>
      </w:r>
      <w:r w:rsidR="006E32DC">
        <w:rPr>
          <w:rFonts w:ascii="Times New Roman" w:eastAsia="Calibri" w:hAnsi="Times New Roman" w:cs="Times New Roman"/>
          <w:bCs/>
          <w:sz w:val="28"/>
          <w:szCs w:val="28"/>
          <w:lang w:eastAsia="ru-RU"/>
        </w:rPr>
        <w:t xml:space="preserve">о </w:t>
      </w:r>
      <w:r w:rsidRPr="009E7788">
        <w:rPr>
          <w:rFonts w:ascii="Times New Roman" w:eastAsia="Calibri" w:hAnsi="Times New Roman" w:cs="Times New Roman"/>
          <w:bCs/>
          <w:sz w:val="28"/>
          <w:szCs w:val="28"/>
          <w:lang w:eastAsia="ru-RU"/>
        </w:rPr>
        <w:t>более 8,6 тыс. детей.</w:t>
      </w:r>
    </w:p>
    <w:p w14:paraId="37183F80" w14:textId="77777777" w:rsidR="009E7788" w:rsidRPr="009E7788" w:rsidRDefault="009E7788" w:rsidP="009E7788">
      <w:pPr>
        <w:spacing w:after="0" w:line="312" w:lineRule="auto"/>
        <w:ind w:firstLine="709"/>
        <w:jc w:val="both"/>
        <w:rPr>
          <w:rFonts w:ascii="Times New Roman" w:eastAsia="Calibri" w:hAnsi="Times New Roman" w:cs="Times New Roman"/>
          <w:bCs/>
          <w:sz w:val="28"/>
          <w:szCs w:val="28"/>
          <w:lang w:eastAsia="ru-RU"/>
        </w:rPr>
      </w:pPr>
      <w:r w:rsidRPr="009E7788">
        <w:rPr>
          <w:rFonts w:ascii="Times New Roman" w:eastAsia="Calibri" w:hAnsi="Times New Roman" w:cs="Times New Roman"/>
          <w:bCs/>
          <w:sz w:val="28"/>
          <w:szCs w:val="28"/>
          <w:lang w:eastAsia="ru-RU"/>
        </w:rPr>
        <w:t>Количество лиц, включенных в Федеральный регистр, регулярно изменяется в связи с выявлением новых пациентов, страдающих редкими (орфанными) заболеваниями,</w:t>
      </w:r>
      <w:r w:rsidR="006762F2">
        <w:rPr>
          <w:rFonts w:ascii="Times New Roman" w:eastAsia="Calibri" w:hAnsi="Times New Roman" w:cs="Times New Roman"/>
          <w:bCs/>
          <w:sz w:val="28"/>
          <w:szCs w:val="28"/>
          <w:lang w:eastAsia="ru-RU"/>
        </w:rPr>
        <w:t xml:space="preserve"> а также исключением пациентов </w:t>
      </w:r>
      <w:r w:rsidRPr="009E7788">
        <w:rPr>
          <w:rFonts w:ascii="Times New Roman" w:eastAsia="Calibri" w:hAnsi="Times New Roman" w:cs="Times New Roman"/>
          <w:bCs/>
          <w:sz w:val="28"/>
          <w:szCs w:val="28"/>
          <w:lang w:eastAsia="ru-RU"/>
        </w:rPr>
        <w:t>из Федерального регистра в связи с изменением ди</w:t>
      </w:r>
      <w:r w:rsidR="000E09F5">
        <w:rPr>
          <w:rFonts w:ascii="Times New Roman" w:eastAsia="Calibri" w:hAnsi="Times New Roman" w:cs="Times New Roman"/>
          <w:bCs/>
          <w:sz w:val="28"/>
          <w:szCs w:val="28"/>
          <w:lang w:eastAsia="ru-RU"/>
        </w:rPr>
        <w:t>агноза или со смертью больного.</w:t>
      </w:r>
    </w:p>
    <w:p w14:paraId="3848EF9C" w14:textId="77777777" w:rsidR="009E7788" w:rsidRPr="009E7788" w:rsidRDefault="009E7788" w:rsidP="009E7788">
      <w:pPr>
        <w:spacing w:after="0" w:line="312" w:lineRule="auto"/>
        <w:ind w:firstLine="709"/>
        <w:jc w:val="both"/>
        <w:rPr>
          <w:rFonts w:ascii="Times New Roman" w:eastAsia="Calibri" w:hAnsi="Times New Roman" w:cs="Times New Roman"/>
          <w:bCs/>
          <w:sz w:val="28"/>
          <w:szCs w:val="28"/>
          <w:lang w:eastAsia="ru-RU"/>
        </w:rPr>
      </w:pPr>
      <w:r w:rsidRPr="009E7788">
        <w:rPr>
          <w:rFonts w:ascii="Times New Roman" w:eastAsia="Calibri" w:hAnsi="Times New Roman" w:cs="Times New Roman"/>
          <w:bCs/>
          <w:sz w:val="28"/>
          <w:szCs w:val="28"/>
          <w:lang w:eastAsia="ru-RU"/>
        </w:rPr>
        <w:t>Минздравом России в посто</w:t>
      </w:r>
      <w:r w:rsidR="006762F2">
        <w:rPr>
          <w:rFonts w:ascii="Times New Roman" w:eastAsia="Calibri" w:hAnsi="Times New Roman" w:cs="Times New Roman"/>
          <w:bCs/>
          <w:sz w:val="28"/>
          <w:szCs w:val="28"/>
          <w:lang w:eastAsia="ru-RU"/>
        </w:rPr>
        <w:t xml:space="preserve">янном режиме проводится работа </w:t>
      </w:r>
      <w:r w:rsidRPr="009E7788">
        <w:rPr>
          <w:rFonts w:ascii="Times New Roman" w:eastAsia="Calibri" w:hAnsi="Times New Roman" w:cs="Times New Roman"/>
          <w:bCs/>
          <w:sz w:val="28"/>
          <w:szCs w:val="28"/>
          <w:lang w:eastAsia="ru-RU"/>
        </w:rPr>
        <w:t xml:space="preserve">по верификации данных Федерального регистра, по результатам которой субъектами Российской Федерации </w:t>
      </w:r>
      <w:r w:rsidR="006762F2">
        <w:rPr>
          <w:rFonts w:ascii="Times New Roman" w:eastAsia="Calibri" w:hAnsi="Times New Roman" w:cs="Times New Roman"/>
          <w:bCs/>
          <w:sz w:val="28"/>
          <w:szCs w:val="28"/>
          <w:lang w:eastAsia="ru-RU"/>
        </w:rPr>
        <w:t xml:space="preserve">вносятся необходимые изменения </w:t>
      </w:r>
      <w:r w:rsidRPr="009E7788">
        <w:rPr>
          <w:rFonts w:ascii="Times New Roman" w:eastAsia="Calibri" w:hAnsi="Times New Roman" w:cs="Times New Roman"/>
          <w:bCs/>
          <w:sz w:val="28"/>
          <w:szCs w:val="28"/>
          <w:lang w:eastAsia="ru-RU"/>
        </w:rPr>
        <w:t>и дополнения в региональные сегменты Федерального регистра.</w:t>
      </w:r>
    </w:p>
    <w:p w14:paraId="611D12E7" w14:textId="77777777" w:rsidR="009E7788" w:rsidRPr="009E7788" w:rsidRDefault="009E7788" w:rsidP="009E7788">
      <w:pPr>
        <w:spacing w:after="0" w:line="312" w:lineRule="auto"/>
        <w:ind w:firstLine="709"/>
        <w:jc w:val="both"/>
        <w:rPr>
          <w:rFonts w:ascii="Times New Roman" w:eastAsia="Calibri" w:hAnsi="Times New Roman" w:cs="Times New Roman"/>
          <w:bCs/>
          <w:sz w:val="28"/>
          <w:szCs w:val="28"/>
          <w:lang w:eastAsia="ru-RU"/>
        </w:rPr>
      </w:pPr>
      <w:r w:rsidRPr="009E7788">
        <w:rPr>
          <w:rFonts w:ascii="Times New Roman" w:eastAsia="Calibri" w:hAnsi="Times New Roman" w:cs="Times New Roman"/>
          <w:bCs/>
          <w:sz w:val="28"/>
          <w:szCs w:val="28"/>
          <w:lang w:eastAsia="ru-RU"/>
        </w:rPr>
        <w:t>В обращении к гражданам Российской Федерации 23 июня 2020 г</w:t>
      </w:r>
      <w:r w:rsidR="009C3023">
        <w:rPr>
          <w:rFonts w:ascii="Times New Roman" w:eastAsia="Calibri" w:hAnsi="Times New Roman" w:cs="Times New Roman"/>
          <w:bCs/>
          <w:sz w:val="28"/>
          <w:szCs w:val="28"/>
          <w:lang w:eastAsia="ru-RU"/>
        </w:rPr>
        <w:t xml:space="preserve">. </w:t>
      </w:r>
      <w:r w:rsidRPr="009E7788">
        <w:rPr>
          <w:rFonts w:ascii="Times New Roman" w:eastAsia="Calibri" w:hAnsi="Times New Roman" w:cs="Times New Roman"/>
          <w:bCs/>
          <w:sz w:val="28"/>
          <w:szCs w:val="28"/>
          <w:lang w:eastAsia="ru-RU"/>
        </w:rPr>
        <w:t>Президент Российской Федерации В.В. Пути</w:t>
      </w:r>
      <w:r w:rsidR="006762F2">
        <w:rPr>
          <w:rFonts w:ascii="Times New Roman" w:eastAsia="Calibri" w:hAnsi="Times New Roman" w:cs="Times New Roman"/>
          <w:bCs/>
          <w:sz w:val="28"/>
          <w:szCs w:val="28"/>
          <w:lang w:eastAsia="ru-RU"/>
        </w:rPr>
        <w:t xml:space="preserve">н сообщил об изменении </w:t>
      </w:r>
      <w:r w:rsidRPr="009E7788">
        <w:rPr>
          <w:rFonts w:ascii="Times New Roman" w:eastAsia="Calibri" w:hAnsi="Times New Roman" w:cs="Times New Roman"/>
          <w:bCs/>
          <w:sz w:val="28"/>
          <w:szCs w:val="28"/>
          <w:lang w:eastAsia="ru-RU"/>
        </w:rPr>
        <w:t>с 1 января 2021 г. ставки налога на доходы физических лиц с 13</w:t>
      </w:r>
      <w:r w:rsidR="00F32A68">
        <w:rPr>
          <w:rFonts w:ascii="Times New Roman" w:eastAsia="Calibri" w:hAnsi="Times New Roman" w:cs="Times New Roman"/>
          <w:bCs/>
          <w:sz w:val="28"/>
          <w:szCs w:val="28"/>
          <w:lang w:eastAsia="ru-RU"/>
        </w:rPr>
        <w:t xml:space="preserve">% до 15% </w:t>
      </w:r>
      <w:r w:rsidRPr="009E7788">
        <w:rPr>
          <w:rFonts w:ascii="Times New Roman" w:eastAsia="Calibri" w:hAnsi="Times New Roman" w:cs="Times New Roman"/>
          <w:bCs/>
          <w:sz w:val="28"/>
          <w:szCs w:val="28"/>
          <w:lang w:eastAsia="ru-RU"/>
        </w:rPr>
        <w:t xml:space="preserve">для тех, кто зарабатывает свыше </w:t>
      </w:r>
      <w:r w:rsidR="009C3023">
        <w:rPr>
          <w:rFonts w:ascii="Times New Roman" w:eastAsia="Calibri" w:hAnsi="Times New Roman" w:cs="Times New Roman"/>
          <w:bCs/>
          <w:sz w:val="28"/>
          <w:szCs w:val="28"/>
          <w:lang w:eastAsia="ru-RU"/>
        </w:rPr>
        <w:br/>
      </w:r>
      <w:r w:rsidR="00F32A68">
        <w:rPr>
          <w:rFonts w:ascii="Times New Roman" w:eastAsia="Calibri" w:hAnsi="Times New Roman" w:cs="Times New Roman"/>
          <w:bCs/>
          <w:sz w:val="28"/>
          <w:szCs w:val="28"/>
          <w:lang w:eastAsia="ru-RU"/>
        </w:rPr>
        <w:t>5</w:t>
      </w:r>
      <w:r w:rsidRPr="009E7788">
        <w:rPr>
          <w:rFonts w:ascii="Times New Roman" w:eastAsia="Calibri" w:hAnsi="Times New Roman" w:cs="Times New Roman"/>
          <w:bCs/>
          <w:sz w:val="28"/>
          <w:szCs w:val="28"/>
          <w:lang w:eastAsia="ru-RU"/>
        </w:rPr>
        <w:t xml:space="preserve"> м</w:t>
      </w:r>
      <w:r>
        <w:rPr>
          <w:rFonts w:ascii="Times New Roman" w:eastAsia="Calibri" w:hAnsi="Times New Roman" w:cs="Times New Roman"/>
          <w:bCs/>
          <w:sz w:val="28"/>
          <w:szCs w:val="28"/>
          <w:lang w:eastAsia="ru-RU"/>
        </w:rPr>
        <w:t>лн</w:t>
      </w:r>
      <w:r w:rsidRPr="009E7788">
        <w:rPr>
          <w:rFonts w:ascii="Times New Roman" w:eastAsia="Calibri" w:hAnsi="Times New Roman" w:cs="Times New Roman"/>
          <w:bCs/>
          <w:sz w:val="28"/>
          <w:szCs w:val="28"/>
          <w:lang w:eastAsia="ru-RU"/>
        </w:rPr>
        <w:t xml:space="preserve"> рублей в год. Дополнительные доходы предусматривается направлять на лечение детей, страдающих тяжелыми жизнеугрожающими и хроническими заболеваниями, в том числе редкими (орфанными) заболеваниями, на закупку дорогостоящих лекарственных препаратов, в том числе не за</w:t>
      </w:r>
      <w:r w:rsidR="00F32A68">
        <w:rPr>
          <w:rFonts w:ascii="Times New Roman" w:eastAsia="Calibri" w:hAnsi="Times New Roman" w:cs="Times New Roman"/>
          <w:bCs/>
          <w:sz w:val="28"/>
          <w:szCs w:val="28"/>
          <w:lang w:eastAsia="ru-RU"/>
        </w:rPr>
        <w:t xml:space="preserve">регистрированных </w:t>
      </w:r>
      <w:r w:rsidRPr="009E7788">
        <w:rPr>
          <w:rFonts w:ascii="Times New Roman" w:eastAsia="Calibri" w:hAnsi="Times New Roman" w:cs="Times New Roman"/>
          <w:bCs/>
          <w:sz w:val="28"/>
          <w:szCs w:val="28"/>
          <w:lang w:eastAsia="ru-RU"/>
        </w:rPr>
        <w:t>на территории Российской Федерации, медицинских изделий и те</w:t>
      </w:r>
      <w:r w:rsidR="00F32A68">
        <w:rPr>
          <w:rFonts w:ascii="Times New Roman" w:eastAsia="Calibri" w:hAnsi="Times New Roman" w:cs="Times New Roman"/>
          <w:bCs/>
          <w:sz w:val="28"/>
          <w:szCs w:val="28"/>
          <w:lang w:eastAsia="ru-RU"/>
        </w:rPr>
        <w:t>хнических средств реабилитации.</w:t>
      </w:r>
    </w:p>
    <w:p w14:paraId="336B22F4" w14:textId="77777777" w:rsidR="009E7788" w:rsidRPr="009E7788" w:rsidRDefault="009E7788" w:rsidP="009E7788">
      <w:pPr>
        <w:spacing w:after="0" w:line="312" w:lineRule="auto"/>
        <w:ind w:firstLine="709"/>
        <w:jc w:val="both"/>
        <w:rPr>
          <w:rFonts w:ascii="Times New Roman" w:eastAsia="Calibri" w:hAnsi="Times New Roman" w:cs="Times New Roman"/>
          <w:bCs/>
          <w:sz w:val="28"/>
          <w:szCs w:val="28"/>
          <w:lang w:eastAsia="ru-RU"/>
        </w:rPr>
      </w:pPr>
      <w:r w:rsidRPr="009E7788">
        <w:rPr>
          <w:rFonts w:ascii="Times New Roman" w:eastAsia="Calibri" w:hAnsi="Times New Roman" w:cs="Times New Roman"/>
          <w:bCs/>
          <w:sz w:val="28"/>
          <w:szCs w:val="28"/>
          <w:lang w:eastAsia="ru-RU"/>
        </w:rPr>
        <w:t>Указом Президента Росси</w:t>
      </w:r>
      <w:r>
        <w:rPr>
          <w:rFonts w:ascii="Times New Roman" w:eastAsia="Calibri" w:hAnsi="Times New Roman" w:cs="Times New Roman"/>
          <w:bCs/>
          <w:sz w:val="28"/>
          <w:szCs w:val="28"/>
          <w:lang w:eastAsia="ru-RU"/>
        </w:rPr>
        <w:t xml:space="preserve">йской Федерации от </w:t>
      </w:r>
      <w:r w:rsidRPr="009E7788">
        <w:rPr>
          <w:rFonts w:ascii="Times New Roman" w:eastAsia="Calibri" w:hAnsi="Times New Roman" w:cs="Times New Roman"/>
          <w:bCs/>
          <w:sz w:val="28"/>
          <w:szCs w:val="28"/>
          <w:lang w:eastAsia="ru-RU"/>
        </w:rPr>
        <w:t>5</w:t>
      </w:r>
      <w:r w:rsidR="00F32A68">
        <w:rPr>
          <w:rFonts w:ascii="Times New Roman" w:eastAsia="Calibri" w:hAnsi="Times New Roman" w:cs="Times New Roman"/>
          <w:bCs/>
          <w:sz w:val="28"/>
          <w:szCs w:val="28"/>
          <w:lang w:eastAsia="ru-RU"/>
        </w:rPr>
        <w:t xml:space="preserve"> января </w:t>
      </w:r>
      <w:r w:rsidRPr="009E7788">
        <w:rPr>
          <w:rFonts w:ascii="Times New Roman" w:eastAsia="Calibri" w:hAnsi="Times New Roman" w:cs="Times New Roman"/>
          <w:bCs/>
          <w:sz w:val="28"/>
          <w:szCs w:val="28"/>
          <w:lang w:eastAsia="ru-RU"/>
        </w:rPr>
        <w:t>2021</w:t>
      </w:r>
      <w:r>
        <w:rPr>
          <w:rFonts w:ascii="Times New Roman" w:eastAsia="Calibri" w:hAnsi="Times New Roman" w:cs="Times New Roman"/>
          <w:bCs/>
          <w:sz w:val="28"/>
          <w:szCs w:val="28"/>
          <w:lang w:eastAsia="ru-RU"/>
        </w:rPr>
        <w:t xml:space="preserve"> г. </w:t>
      </w:r>
      <w:r w:rsidRPr="009E7788">
        <w:rPr>
          <w:rFonts w:ascii="Times New Roman" w:eastAsia="Calibri" w:hAnsi="Times New Roman" w:cs="Times New Roman"/>
          <w:bCs/>
          <w:sz w:val="28"/>
          <w:szCs w:val="28"/>
          <w:lang w:eastAsia="ru-RU"/>
        </w:rPr>
        <w:t xml:space="preserve">№ 16 создан </w:t>
      </w:r>
      <w:r w:rsidR="00F32A68">
        <w:rPr>
          <w:rFonts w:ascii="Times New Roman" w:eastAsia="Calibri" w:hAnsi="Times New Roman" w:cs="Times New Roman"/>
          <w:bCs/>
          <w:sz w:val="28"/>
          <w:szCs w:val="28"/>
          <w:lang w:eastAsia="ru-RU"/>
        </w:rPr>
        <w:t>ф</w:t>
      </w:r>
      <w:r w:rsidRPr="009E7788">
        <w:rPr>
          <w:rFonts w:ascii="Times New Roman" w:eastAsia="Calibri" w:hAnsi="Times New Roman" w:cs="Times New Roman"/>
          <w:bCs/>
          <w:sz w:val="28"/>
          <w:szCs w:val="28"/>
          <w:lang w:eastAsia="ru-RU"/>
        </w:rPr>
        <w:t xml:space="preserve">онд </w:t>
      </w:r>
      <w:r w:rsidR="00F32A68" w:rsidRPr="009E7788">
        <w:rPr>
          <w:rFonts w:ascii="Times New Roman" w:eastAsia="Calibri" w:hAnsi="Times New Roman" w:cs="Times New Roman"/>
          <w:bCs/>
          <w:sz w:val="28"/>
          <w:szCs w:val="28"/>
          <w:lang w:eastAsia="ru-RU"/>
        </w:rPr>
        <w:t>поддержки детей с тяжелыми жизнеугрожающими и хроническими заболеваниями, в том числе редкими (орфанными) заболеваниями</w:t>
      </w:r>
      <w:r w:rsidR="001A40C6">
        <w:rPr>
          <w:rFonts w:ascii="Times New Roman" w:eastAsia="Calibri" w:hAnsi="Times New Roman" w:cs="Times New Roman"/>
          <w:bCs/>
          <w:sz w:val="28"/>
          <w:szCs w:val="28"/>
          <w:lang w:eastAsia="ru-RU"/>
        </w:rPr>
        <w:t>,</w:t>
      </w:r>
      <w:r w:rsidR="00F32A68">
        <w:rPr>
          <w:rFonts w:ascii="Times New Roman" w:eastAsia="Calibri" w:hAnsi="Times New Roman" w:cs="Times New Roman"/>
          <w:bCs/>
          <w:sz w:val="28"/>
          <w:szCs w:val="28"/>
          <w:lang w:eastAsia="ru-RU"/>
        </w:rPr>
        <w:t xml:space="preserve"> </w:t>
      </w:r>
      <w:r w:rsidRPr="009E7788">
        <w:rPr>
          <w:rFonts w:ascii="Times New Roman" w:eastAsia="Calibri" w:hAnsi="Times New Roman" w:cs="Times New Roman"/>
          <w:bCs/>
          <w:sz w:val="28"/>
          <w:szCs w:val="28"/>
          <w:lang w:eastAsia="ru-RU"/>
        </w:rPr>
        <w:t>«Круг добра»</w:t>
      </w:r>
      <w:r w:rsidR="00F32A68">
        <w:rPr>
          <w:rFonts w:ascii="Times New Roman" w:eastAsia="Calibri" w:hAnsi="Times New Roman" w:cs="Times New Roman"/>
          <w:bCs/>
          <w:sz w:val="28"/>
          <w:szCs w:val="28"/>
          <w:lang w:eastAsia="ru-RU"/>
        </w:rPr>
        <w:t xml:space="preserve"> (далее по тексту подраздела – Фонд)</w:t>
      </w:r>
      <w:r w:rsidRPr="009E7788">
        <w:rPr>
          <w:rFonts w:ascii="Times New Roman" w:eastAsia="Calibri" w:hAnsi="Times New Roman" w:cs="Times New Roman"/>
          <w:bCs/>
          <w:sz w:val="28"/>
          <w:szCs w:val="28"/>
          <w:lang w:eastAsia="ru-RU"/>
        </w:rPr>
        <w:t xml:space="preserve">, учредителем которого от имени Российской Федерации является </w:t>
      </w:r>
      <w:r w:rsidR="00F32A68">
        <w:rPr>
          <w:rFonts w:ascii="Times New Roman" w:eastAsia="Calibri" w:hAnsi="Times New Roman" w:cs="Times New Roman"/>
          <w:bCs/>
          <w:sz w:val="28"/>
          <w:szCs w:val="28"/>
          <w:lang w:eastAsia="ru-RU"/>
        </w:rPr>
        <w:t>Минздрав России</w:t>
      </w:r>
      <w:r w:rsidRPr="009E7788">
        <w:rPr>
          <w:rFonts w:ascii="Times New Roman" w:eastAsia="Calibri" w:hAnsi="Times New Roman" w:cs="Times New Roman"/>
          <w:bCs/>
          <w:sz w:val="28"/>
          <w:szCs w:val="28"/>
          <w:lang w:eastAsia="ru-RU"/>
        </w:rPr>
        <w:t>.</w:t>
      </w:r>
    </w:p>
    <w:p w14:paraId="3028A7DC" w14:textId="77777777" w:rsidR="009E7788" w:rsidRPr="009E7788" w:rsidRDefault="009E7788" w:rsidP="009E7788">
      <w:pPr>
        <w:spacing w:after="0" w:line="312" w:lineRule="auto"/>
        <w:ind w:firstLine="709"/>
        <w:jc w:val="both"/>
        <w:rPr>
          <w:rFonts w:ascii="Times New Roman" w:eastAsia="Calibri" w:hAnsi="Times New Roman" w:cs="Times New Roman"/>
          <w:bCs/>
          <w:sz w:val="28"/>
          <w:szCs w:val="28"/>
          <w:lang w:eastAsia="ru-RU"/>
        </w:rPr>
      </w:pPr>
      <w:r w:rsidRPr="009E7788">
        <w:rPr>
          <w:rFonts w:ascii="Times New Roman" w:eastAsia="Calibri" w:hAnsi="Times New Roman" w:cs="Times New Roman"/>
          <w:bCs/>
          <w:sz w:val="28"/>
          <w:szCs w:val="28"/>
          <w:lang w:eastAsia="ru-RU"/>
        </w:rPr>
        <w:t>На обеспечение целей ра</w:t>
      </w:r>
      <w:r w:rsidR="00F2233D">
        <w:rPr>
          <w:rFonts w:ascii="Times New Roman" w:eastAsia="Calibri" w:hAnsi="Times New Roman" w:cs="Times New Roman"/>
          <w:bCs/>
          <w:sz w:val="28"/>
          <w:szCs w:val="28"/>
          <w:lang w:eastAsia="ru-RU"/>
        </w:rPr>
        <w:t xml:space="preserve">боты Фонда </w:t>
      </w:r>
      <w:r w:rsidR="00F2233D" w:rsidRPr="005C38D1">
        <w:rPr>
          <w:rFonts w:ascii="Times New Roman" w:eastAsia="Calibri" w:hAnsi="Times New Roman" w:cs="Times New Roman"/>
          <w:bCs/>
          <w:sz w:val="28"/>
          <w:szCs w:val="28"/>
          <w:lang w:eastAsia="ru-RU"/>
        </w:rPr>
        <w:t xml:space="preserve">Федеральным законом </w:t>
      </w:r>
      <w:r w:rsidRPr="005C38D1">
        <w:rPr>
          <w:rFonts w:ascii="Times New Roman" w:eastAsia="Calibri" w:hAnsi="Times New Roman" w:cs="Times New Roman"/>
          <w:bCs/>
          <w:sz w:val="28"/>
          <w:szCs w:val="28"/>
          <w:lang w:eastAsia="ru-RU"/>
        </w:rPr>
        <w:t xml:space="preserve">от 8 декабря </w:t>
      </w:r>
      <w:r w:rsidR="00F2233D" w:rsidRPr="005C38D1">
        <w:rPr>
          <w:rFonts w:ascii="Times New Roman" w:eastAsia="Calibri" w:hAnsi="Times New Roman" w:cs="Times New Roman"/>
          <w:bCs/>
          <w:sz w:val="28"/>
          <w:szCs w:val="28"/>
          <w:lang w:eastAsia="ru-RU"/>
        </w:rPr>
        <w:br/>
      </w:r>
      <w:r w:rsidRPr="005C38D1">
        <w:rPr>
          <w:rFonts w:ascii="Times New Roman" w:eastAsia="Calibri" w:hAnsi="Times New Roman" w:cs="Times New Roman"/>
          <w:bCs/>
          <w:sz w:val="28"/>
          <w:szCs w:val="28"/>
          <w:lang w:eastAsia="ru-RU"/>
        </w:rPr>
        <w:t>2020 г. № 385-ФЗ «О ф</w:t>
      </w:r>
      <w:r w:rsidR="006762F2" w:rsidRPr="005C38D1">
        <w:rPr>
          <w:rFonts w:ascii="Times New Roman" w:eastAsia="Calibri" w:hAnsi="Times New Roman" w:cs="Times New Roman"/>
          <w:bCs/>
          <w:sz w:val="28"/>
          <w:szCs w:val="28"/>
          <w:lang w:eastAsia="ru-RU"/>
        </w:rPr>
        <w:t xml:space="preserve">едеральном бюджете на 2021 год </w:t>
      </w:r>
      <w:r w:rsidRPr="005C38D1">
        <w:rPr>
          <w:rFonts w:ascii="Times New Roman" w:eastAsia="Calibri" w:hAnsi="Times New Roman" w:cs="Times New Roman"/>
          <w:bCs/>
          <w:sz w:val="28"/>
          <w:szCs w:val="28"/>
          <w:lang w:eastAsia="ru-RU"/>
        </w:rPr>
        <w:t>и на плановый период 2022 и 2023 годов»</w:t>
      </w:r>
      <w:r w:rsidRPr="009E7788">
        <w:rPr>
          <w:rFonts w:ascii="Times New Roman" w:eastAsia="Calibri" w:hAnsi="Times New Roman" w:cs="Times New Roman"/>
          <w:bCs/>
          <w:sz w:val="28"/>
          <w:szCs w:val="28"/>
          <w:lang w:eastAsia="ru-RU"/>
        </w:rPr>
        <w:t xml:space="preserve"> предусмотрены бюджетные ассигнования федерального бюджета </w:t>
      </w:r>
      <w:r w:rsidR="00F32A68">
        <w:rPr>
          <w:rFonts w:ascii="Times New Roman" w:eastAsia="Calibri" w:hAnsi="Times New Roman" w:cs="Times New Roman"/>
          <w:bCs/>
          <w:sz w:val="28"/>
          <w:szCs w:val="28"/>
          <w:lang w:eastAsia="ru-RU"/>
        </w:rPr>
        <w:t xml:space="preserve">в объеме: </w:t>
      </w:r>
      <w:r w:rsidRPr="009E7788">
        <w:rPr>
          <w:rFonts w:ascii="Times New Roman" w:eastAsia="Calibri" w:hAnsi="Times New Roman" w:cs="Times New Roman"/>
          <w:bCs/>
          <w:sz w:val="28"/>
          <w:szCs w:val="28"/>
          <w:lang w:eastAsia="ru-RU"/>
        </w:rPr>
        <w:t>на 2</w:t>
      </w:r>
      <w:r w:rsidR="006762F2">
        <w:rPr>
          <w:rFonts w:ascii="Times New Roman" w:eastAsia="Calibri" w:hAnsi="Times New Roman" w:cs="Times New Roman"/>
          <w:bCs/>
          <w:sz w:val="28"/>
          <w:szCs w:val="28"/>
          <w:lang w:eastAsia="ru-RU"/>
        </w:rPr>
        <w:t>021 г</w:t>
      </w:r>
      <w:r w:rsidR="001A40C6">
        <w:rPr>
          <w:rFonts w:ascii="Times New Roman" w:eastAsia="Calibri" w:hAnsi="Times New Roman" w:cs="Times New Roman"/>
          <w:bCs/>
          <w:sz w:val="28"/>
          <w:szCs w:val="28"/>
          <w:lang w:eastAsia="ru-RU"/>
        </w:rPr>
        <w:t>.</w:t>
      </w:r>
      <w:r w:rsidR="006762F2">
        <w:rPr>
          <w:rFonts w:ascii="Times New Roman" w:eastAsia="Calibri" w:hAnsi="Times New Roman" w:cs="Times New Roman"/>
          <w:bCs/>
          <w:sz w:val="28"/>
          <w:szCs w:val="28"/>
          <w:lang w:eastAsia="ru-RU"/>
        </w:rPr>
        <w:t xml:space="preserve"> – 60 000,0 млн рублей, </w:t>
      </w:r>
      <w:r w:rsidRPr="009E7788">
        <w:rPr>
          <w:rFonts w:ascii="Times New Roman" w:eastAsia="Calibri" w:hAnsi="Times New Roman" w:cs="Times New Roman"/>
          <w:bCs/>
          <w:sz w:val="28"/>
          <w:szCs w:val="28"/>
          <w:lang w:eastAsia="ru-RU"/>
        </w:rPr>
        <w:t>на 2022 г</w:t>
      </w:r>
      <w:r w:rsidR="001A40C6">
        <w:rPr>
          <w:rFonts w:ascii="Times New Roman" w:eastAsia="Calibri" w:hAnsi="Times New Roman" w:cs="Times New Roman"/>
          <w:bCs/>
          <w:sz w:val="28"/>
          <w:szCs w:val="28"/>
          <w:lang w:eastAsia="ru-RU"/>
        </w:rPr>
        <w:t>.</w:t>
      </w:r>
      <w:r w:rsidRPr="009E7788">
        <w:rPr>
          <w:rFonts w:ascii="Times New Roman" w:eastAsia="Calibri" w:hAnsi="Times New Roman" w:cs="Times New Roman"/>
          <w:bCs/>
          <w:sz w:val="28"/>
          <w:szCs w:val="28"/>
          <w:lang w:eastAsia="ru-RU"/>
        </w:rPr>
        <w:t xml:space="preserve"> – 64 096,4 млн рублей, </w:t>
      </w:r>
      <w:r w:rsidR="001A40C6">
        <w:rPr>
          <w:rFonts w:ascii="Times New Roman" w:eastAsia="Calibri" w:hAnsi="Times New Roman" w:cs="Times New Roman"/>
          <w:bCs/>
          <w:sz w:val="28"/>
          <w:szCs w:val="28"/>
          <w:lang w:eastAsia="ru-RU"/>
        </w:rPr>
        <w:br/>
      </w:r>
      <w:r w:rsidRPr="009E7788">
        <w:rPr>
          <w:rFonts w:ascii="Times New Roman" w:eastAsia="Calibri" w:hAnsi="Times New Roman" w:cs="Times New Roman"/>
          <w:bCs/>
          <w:sz w:val="28"/>
          <w:szCs w:val="28"/>
          <w:lang w:eastAsia="ru-RU"/>
        </w:rPr>
        <w:t>на 2023</w:t>
      </w:r>
      <w:r>
        <w:rPr>
          <w:rFonts w:ascii="Times New Roman" w:eastAsia="Calibri" w:hAnsi="Times New Roman" w:cs="Times New Roman"/>
          <w:bCs/>
          <w:sz w:val="28"/>
          <w:szCs w:val="28"/>
          <w:lang w:eastAsia="ru-RU"/>
        </w:rPr>
        <w:t xml:space="preserve"> г</w:t>
      </w:r>
      <w:r w:rsidR="001A40C6">
        <w:rPr>
          <w:rFonts w:ascii="Times New Roman" w:eastAsia="Calibri" w:hAnsi="Times New Roman" w:cs="Times New Roman"/>
          <w:bCs/>
          <w:sz w:val="28"/>
          <w:szCs w:val="28"/>
          <w:lang w:eastAsia="ru-RU"/>
        </w:rPr>
        <w:t>.</w:t>
      </w:r>
      <w:r w:rsidRPr="009E7788">
        <w:rPr>
          <w:rFonts w:ascii="Times New Roman" w:eastAsia="Calibri" w:hAnsi="Times New Roman" w:cs="Times New Roman"/>
          <w:bCs/>
          <w:sz w:val="28"/>
          <w:szCs w:val="28"/>
          <w:lang w:eastAsia="ru-RU"/>
        </w:rPr>
        <w:t xml:space="preserve"> – 68 559,8 млн рублей.</w:t>
      </w:r>
    </w:p>
    <w:p w14:paraId="22BC65C3" w14:textId="582C9DB2" w:rsidR="009E7788" w:rsidRPr="009E7788" w:rsidRDefault="009E7788" w:rsidP="009E7788">
      <w:pPr>
        <w:spacing w:after="0" w:line="312" w:lineRule="auto"/>
        <w:ind w:firstLine="709"/>
        <w:jc w:val="both"/>
        <w:rPr>
          <w:rFonts w:ascii="Times New Roman" w:eastAsia="Calibri" w:hAnsi="Times New Roman" w:cs="Times New Roman"/>
          <w:bCs/>
          <w:sz w:val="28"/>
          <w:szCs w:val="28"/>
          <w:lang w:eastAsia="ru-RU"/>
        </w:rPr>
      </w:pPr>
      <w:r w:rsidRPr="009E7788">
        <w:rPr>
          <w:rFonts w:ascii="Times New Roman" w:eastAsia="Calibri" w:hAnsi="Times New Roman" w:cs="Times New Roman"/>
          <w:bCs/>
          <w:sz w:val="28"/>
          <w:szCs w:val="28"/>
          <w:lang w:eastAsia="ru-RU"/>
        </w:rPr>
        <w:t>Основной целью деятельности Фонда является реализация дополнительного механизма организации и финансового обеспечения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w:t>
      </w:r>
      <w:r w:rsidR="0055060C">
        <w:rPr>
          <w:rFonts w:ascii="Times New Roman" w:eastAsia="Calibri" w:hAnsi="Times New Roman" w:cs="Times New Roman"/>
          <w:bCs/>
          <w:sz w:val="28"/>
          <w:szCs w:val="28"/>
          <w:lang w:eastAsia="ru-RU"/>
        </w:rPr>
        <w:t>ми</w:t>
      </w:r>
      <w:r w:rsidRPr="009E7788">
        <w:rPr>
          <w:rFonts w:ascii="Times New Roman" w:eastAsia="Calibri" w:hAnsi="Times New Roman" w:cs="Times New Roman"/>
          <w:bCs/>
          <w:sz w:val="28"/>
          <w:szCs w:val="28"/>
          <w:lang w:eastAsia="ru-RU"/>
        </w:rPr>
        <w:t xml:space="preserve"> средств</w:t>
      </w:r>
      <w:r w:rsidR="0055060C">
        <w:rPr>
          <w:rFonts w:ascii="Times New Roman" w:eastAsia="Calibri" w:hAnsi="Times New Roman" w:cs="Times New Roman"/>
          <w:bCs/>
          <w:sz w:val="28"/>
          <w:szCs w:val="28"/>
          <w:lang w:eastAsia="ru-RU"/>
        </w:rPr>
        <w:t>ами</w:t>
      </w:r>
      <w:r w:rsidRPr="009E7788">
        <w:rPr>
          <w:rFonts w:ascii="Times New Roman" w:eastAsia="Calibri" w:hAnsi="Times New Roman" w:cs="Times New Roman"/>
          <w:bCs/>
          <w:sz w:val="28"/>
          <w:szCs w:val="28"/>
          <w:lang w:eastAsia="ru-RU"/>
        </w:rPr>
        <w:t xml:space="preserve"> реабилитации, не включенными в федеральный перечень реабилитационных мероприятий и услуг, представляемых </w:t>
      </w:r>
      <w:r w:rsidR="00D0430B">
        <w:rPr>
          <w:rFonts w:ascii="Times New Roman" w:eastAsia="Calibri" w:hAnsi="Times New Roman" w:cs="Times New Roman"/>
          <w:bCs/>
          <w:sz w:val="28"/>
          <w:szCs w:val="28"/>
          <w:lang w:eastAsia="ru-RU"/>
        </w:rPr>
        <w:t>гражданам с инвалидностью</w:t>
      </w:r>
      <w:r w:rsidRPr="009E7788">
        <w:rPr>
          <w:rFonts w:ascii="Times New Roman" w:eastAsia="Calibri" w:hAnsi="Times New Roman" w:cs="Times New Roman"/>
          <w:bCs/>
          <w:sz w:val="28"/>
          <w:szCs w:val="28"/>
          <w:lang w:eastAsia="ru-RU"/>
        </w:rPr>
        <w:t>.</w:t>
      </w:r>
    </w:p>
    <w:p w14:paraId="30989E37" w14:textId="77777777" w:rsidR="009E7788" w:rsidRPr="009E7788" w:rsidRDefault="009E7788" w:rsidP="009E7788">
      <w:pPr>
        <w:spacing w:after="0" w:line="312" w:lineRule="auto"/>
        <w:ind w:firstLine="709"/>
        <w:jc w:val="both"/>
        <w:rPr>
          <w:rFonts w:ascii="Times New Roman" w:eastAsia="Calibri" w:hAnsi="Times New Roman" w:cs="Times New Roman"/>
          <w:bCs/>
          <w:sz w:val="28"/>
          <w:szCs w:val="28"/>
          <w:lang w:eastAsia="ru-RU"/>
        </w:rPr>
      </w:pPr>
      <w:r w:rsidRPr="009E7788">
        <w:rPr>
          <w:rFonts w:ascii="Times New Roman" w:eastAsia="Calibri" w:hAnsi="Times New Roman" w:cs="Times New Roman"/>
          <w:bCs/>
          <w:sz w:val="28"/>
          <w:szCs w:val="28"/>
          <w:lang w:eastAsia="ru-RU"/>
        </w:rPr>
        <w:t>В 2021 г</w:t>
      </w:r>
      <w:r w:rsidR="001C0BB0">
        <w:rPr>
          <w:rFonts w:ascii="Times New Roman" w:eastAsia="Calibri" w:hAnsi="Times New Roman" w:cs="Times New Roman"/>
          <w:bCs/>
          <w:sz w:val="28"/>
          <w:szCs w:val="28"/>
          <w:lang w:eastAsia="ru-RU"/>
        </w:rPr>
        <w:t>.</w:t>
      </w:r>
      <w:r w:rsidRPr="009E7788">
        <w:rPr>
          <w:rFonts w:ascii="Times New Roman" w:eastAsia="Calibri" w:hAnsi="Times New Roman" w:cs="Times New Roman"/>
          <w:bCs/>
          <w:sz w:val="28"/>
          <w:szCs w:val="28"/>
          <w:lang w:eastAsia="ru-RU"/>
        </w:rPr>
        <w:t xml:space="preserve"> в перечень тяжелых жизнеугрожающих и хронических заболеваний, в том числе редких (орфанных) заболеваний, для которых показано назначение лекарственных п</w:t>
      </w:r>
      <w:r w:rsidR="006762F2">
        <w:rPr>
          <w:rFonts w:ascii="Times New Roman" w:eastAsia="Calibri" w:hAnsi="Times New Roman" w:cs="Times New Roman"/>
          <w:bCs/>
          <w:sz w:val="28"/>
          <w:szCs w:val="28"/>
          <w:lang w:eastAsia="ru-RU"/>
        </w:rPr>
        <w:t xml:space="preserve">репаратов, медицинских изделий </w:t>
      </w:r>
      <w:r w:rsidRPr="009E7788">
        <w:rPr>
          <w:rFonts w:ascii="Times New Roman" w:eastAsia="Calibri" w:hAnsi="Times New Roman" w:cs="Times New Roman"/>
          <w:bCs/>
          <w:sz w:val="28"/>
          <w:szCs w:val="28"/>
          <w:lang w:eastAsia="ru-RU"/>
        </w:rPr>
        <w:t xml:space="preserve">и технических средств реабилитации, включены 44 заболевания, в перечни лекарственных препаратов, закупаемых подведомственным </w:t>
      </w:r>
      <w:r w:rsidR="00F32A68">
        <w:rPr>
          <w:rFonts w:ascii="Times New Roman" w:eastAsia="Calibri" w:hAnsi="Times New Roman" w:cs="Times New Roman"/>
          <w:bCs/>
          <w:sz w:val="28"/>
          <w:szCs w:val="28"/>
          <w:lang w:eastAsia="ru-RU"/>
        </w:rPr>
        <w:t>Минздраву России</w:t>
      </w:r>
      <w:r w:rsidRPr="009E7788">
        <w:rPr>
          <w:rFonts w:ascii="Times New Roman" w:eastAsia="Calibri" w:hAnsi="Times New Roman" w:cs="Times New Roman"/>
          <w:bCs/>
          <w:sz w:val="28"/>
          <w:szCs w:val="28"/>
          <w:lang w:eastAsia="ru-RU"/>
        </w:rPr>
        <w:t xml:space="preserve"> казенным учреждением для нужд Фонда и Фондом</w:t>
      </w:r>
      <w:r w:rsidR="00F32A68">
        <w:rPr>
          <w:rFonts w:ascii="Times New Roman" w:eastAsia="Calibri" w:hAnsi="Times New Roman" w:cs="Times New Roman"/>
          <w:bCs/>
          <w:sz w:val="28"/>
          <w:szCs w:val="28"/>
          <w:lang w:eastAsia="ru-RU"/>
        </w:rPr>
        <w:t>,</w:t>
      </w:r>
      <w:r w:rsidRPr="009E7788">
        <w:rPr>
          <w:rFonts w:ascii="Times New Roman" w:eastAsia="Calibri" w:hAnsi="Times New Roman" w:cs="Times New Roman"/>
          <w:bCs/>
          <w:sz w:val="28"/>
          <w:szCs w:val="28"/>
          <w:lang w:eastAsia="ru-RU"/>
        </w:rPr>
        <w:t xml:space="preserve"> включены 40 наименов</w:t>
      </w:r>
      <w:r w:rsidR="006762F2">
        <w:rPr>
          <w:rFonts w:ascii="Times New Roman" w:eastAsia="Calibri" w:hAnsi="Times New Roman" w:cs="Times New Roman"/>
          <w:bCs/>
          <w:sz w:val="28"/>
          <w:szCs w:val="28"/>
          <w:lang w:eastAsia="ru-RU"/>
        </w:rPr>
        <w:t xml:space="preserve">аний лекарственных препаратов, </w:t>
      </w:r>
      <w:r w:rsidRPr="009E7788">
        <w:rPr>
          <w:rFonts w:ascii="Times New Roman" w:eastAsia="Calibri" w:hAnsi="Times New Roman" w:cs="Times New Roman"/>
          <w:bCs/>
          <w:sz w:val="28"/>
          <w:szCs w:val="28"/>
          <w:lang w:eastAsia="ru-RU"/>
        </w:rPr>
        <w:t>а также Фонд обеспечивае</w:t>
      </w:r>
      <w:r w:rsidR="006762F2">
        <w:rPr>
          <w:rFonts w:ascii="Times New Roman" w:eastAsia="Calibri" w:hAnsi="Times New Roman" w:cs="Times New Roman"/>
          <w:bCs/>
          <w:sz w:val="28"/>
          <w:szCs w:val="28"/>
          <w:lang w:eastAsia="ru-RU"/>
        </w:rPr>
        <w:t xml:space="preserve">т 5 видами медицинских изделий </w:t>
      </w:r>
      <w:r w:rsidRPr="009E7788">
        <w:rPr>
          <w:rFonts w:ascii="Times New Roman" w:eastAsia="Calibri" w:hAnsi="Times New Roman" w:cs="Times New Roman"/>
          <w:bCs/>
          <w:sz w:val="28"/>
          <w:szCs w:val="28"/>
          <w:lang w:eastAsia="ru-RU"/>
        </w:rPr>
        <w:t xml:space="preserve">по 2 заболеваниям: буллезный </w:t>
      </w:r>
      <w:proofErr w:type="spellStart"/>
      <w:r w:rsidRPr="009E7788">
        <w:rPr>
          <w:rFonts w:ascii="Times New Roman" w:eastAsia="Calibri" w:hAnsi="Times New Roman" w:cs="Times New Roman"/>
          <w:bCs/>
          <w:sz w:val="28"/>
          <w:szCs w:val="28"/>
          <w:lang w:eastAsia="ru-RU"/>
        </w:rPr>
        <w:t>эпидермолиз</w:t>
      </w:r>
      <w:proofErr w:type="spellEnd"/>
      <w:r w:rsidRPr="009E7788">
        <w:rPr>
          <w:rFonts w:ascii="Times New Roman" w:eastAsia="Calibri" w:hAnsi="Times New Roman" w:cs="Times New Roman"/>
          <w:bCs/>
          <w:sz w:val="28"/>
          <w:szCs w:val="28"/>
          <w:lang w:eastAsia="ru-RU"/>
        </w:rPr>
        <w:t xml:space="preserve"> и синдром Ундины.</w:t>
      </w:r>
    </w:p>
    <w:p w14:paraId="69FA7C8B" w14:textId="77777777" w:rsidR="00280788" w:rsidRDefault="009E7788" w:rsidP="009E7788">
      <w:pPr>
        <w:spacing w:after="0" w:line="312" w:lineRule="auto"/>
        <w:ind w:firstLine="709"/>
        <w:jc w:val="both"/>
        <w:rPr>
          <w:rFonts w:ascii="Times New Roman" w:eastAsia="Calibri" w:hAnsi="Times New Roman" w:cs="Times New Roman"/>
          <w:bCs/>
          <w:sz w:val="28"/>
          <w:szCs w:val="28"/>
          <w:lang w:eastAsia="ru-RU"/>
        </w:rPr>
      </w:pPr>
      <w:r w:rsidRPr="009E7788">
        <w:rPr>
          <w:rFonts w:ascii="Times New Roman" w:eastAsia="Calibri" w:hAnsi="Times New Roman" w:cs="Times New Roman"/>
          <w:bCs/>
          <w:sz w:val="28"/>
          <w:szCs w:val="28"/>
          <w:lang w:eastAsia="ru-RU"/>
        </w:rPr>
        <w:t>Таким образом, в рамках работы Фонда за 2021 г</w:t>
      </w:r>
      <w:r w:rsidR="001C0BB0">
        <w:rPr>
          <w:rFonts w:ascii="Times New Roman" w:eastAsia="Calibri" w:hAnsi="Times New Roman" w:cs="Times New Roman"/>
          <w:bCs/>
          <w:sz w:val="28"/>
          <w:szCs w:val="28"/>
          <w:lang w:eastAsia="ru-RU"/>
        </w:rPr>
        <w:t>.</w:t>
      </w:r>
      <w:r w:rsidRPr="009E7788">
        <w:rPr>
          <w:rFonts w:ascii="Times New Roman" w:eastAsia="Calibri" w:hAnsi="Times New Roman" w:cs="Times New Roman"/>
          <w:bCs/>
          <w:sz w:val="28"/>
          <w:szCs w:val="28"/>
          <w:lang w:eastAsia="ru-RU"/>
        </w:rPr>
        <w:t xml:space="preserve"> медицинс</w:t>
      </w:r>
      <w:r w:rsidR="00F32A68">
        <w:rPr>
          <w:rFonts w:ascii="Times New Roman" w:eastAsia="Calibri" w:hAnsi="Times New Roman" w:cs="Times New Roman"/>
          <w:bCs/>
          <w:sz w:val="28"/>
          <w:szCs w:val="28"/>
          <w:lang w:eastAsia="ru-RU"/>
        </w:rPr>
        <w:t>кая помощь оказана 2 085 детям.</w:t>
      </w:r>
      <w:r w:rsidR="001C0BB0">
        <w:rPr>
          <w:rFonts w:ascii="Times New Roman" w:eastAsia="Calibri" w:hAnsi="Times New Roman" w:cs="Times New Roman"/>
          <w:bCs/>
          <w:sz w:val="28"/>
          <w:szCs w:val="28"/>
          <w:lang w:eastAsia="ru-RU"/>
        </w:rPr>
        <w:t xml:space="preserve"> Работа продолжается.</w:t>
      </w:r>
    </w:p>
    <w:p w14:paraId="4988D529" w14:textId="77777777" w:rsidR="00D03A4F" w:rsidRDefault="00D03A4F" w:rsidP="00D03A4F">
      <w:pPr>
        <w:spacing w:before="120" w:after="120" w:line="312" w:lineRule="auto"/>
        <w:ind w:firstLine="709"/>
        <w:jc w:val="center"/>
        <w:rPr>
          <w:rFonts w:ascii="Times New Roman" w:eastAsia="Times New Roman" w:hAnsi="Times New Roman" w:cs="Times New Roman"/>
          <w:i/>
          <w:sz w:val="28"/>
          <w:szCs w:val="28"/>
          <w:lang w:eastAsia="ru-RU"/>
        </w:rPr>
      </w:pPr>
      <w:r w:rsidRPr="00D03A4F">
        <w:rPr>
          <w:rFonts w:ascii="Times New Roman" w:eastAsia="Times New Roman" w:hAnsi="Times New Roman" w:cs="Times New Roman"/>
          <w:i/>
          <w:sz w:val="28"/>
          <w:szCs w:val="28"/>
          <w:lang w:eastAsia="ru-RU"/>
        </w:rPr>
        <w:t xml:space="preserve">Охрана здоровья </w:t>
      </w:r>
      <w:r w:rsidR="001F626D">
        <w:rPr>
          <w:rFonts w:ascii="Times New Roman" w:eastAsia="Times New Roman" w:hAnsi="Times New Roman" w:cs="Times New Roman"/>
          <w:i/>
          <w:sz w:val="28"/>
          <w:szCs w:val="28"/>
          <w:lang w:eastAsia="ru-RU"/>
        </w:rPr>
        <w:t>детей-инвалидов</w:t>
      </w:r>
    </w:p>
    <w:p w14:paraId="2166589E" w14:textId="77777777" w:rsidR="001F626D" w:rsidRPr="001F626D" w:rsidRDefault="00D960EC" w:rsidP="001F626D">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данным Федеральной государственной информационной системы «Федеральный реестр инвалидов» на 1 января 2022 г</w:t>
      </w:r>
      <w:r w:rsidR="008F618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число детей-инвалидов в возрасте до 18 лет составило 729 тыс. (2020 г. – 704 тыс.; 2019 г. – 688 тыс.; </w:t>
      </w:r>
      <w:r>
        <w:rPr>
          <w:rFonts w:ascii="Times New Roman" w:eastAsia="Times New Roman" w:hAnsi="Times New Roman" w:cs="Times New Roman"/>
          <w:sz w:val="28"/>
          <w:szCs w:val="28"/>
          <w:lang w:eastAsia="ru-RU"/>
        </w:rPr>
        <w:br/>
        <w:t>2018 г. – 670,1 тыс.).</w:t>
      </w:r>
    </w:p>
    <w:p w14:paraId="6E626D41" w14:textId="289D0801" w:rsidR="006926B7" w:rsidRDefault="006926B7" w:rsidP="006926B7">
      <w:pPr>
        <w:spacing w:after="0" w:line="312" w:lineRule="auto"/>
        <w:ind w:firstLine="709"/>
        <w:jc w:val="both"/>
        <w:rPr>
          <w:rFonts w:ascii="Times New Roman" w:eastAsia="Times New Roman" w:hAnsi="Times New Roman" w:cs="Times New Roman"/>
          <w:sz w:val="28"/>
          <w:szCs w:val="28"/>
          <w:lang w:eastAsia="ru-RU"/>
        </w:rPr>
      </w:pPr>
      <w:r w:rsidRPr="006926B7">
        <w:rPr>
          <w:rFonts w:ascii="Times New Roman" w:eastAsia="Times New Roman" w:hAnsi="Times New Roman" w:cs="Times New Roman"/>
          <w:sz w:val="28"/>
          <w:szCs w:val="28"/>
          <w:lang w:eastAsia="ru-RU"/>
        </w:rPr>
        <w:t>По данным федеральной статистической отчетности по форме № 7-Д (собес) «Сведения о медико-социальной экспертизе детей в возрасте до 18 лет», число детей, впервые признанных инвалидами, в 2021 г</w:t>
      </w:r>
      <w:r w:rsidR="00C37A1F">
        <w:rPr>
          <w:rFonts w:ascii="Times New Roman" w:eastAsia="Times New Roman" w:hAnsi="Times New Roman" w:cs="Times New Roman"/>
          <w:sz w:val="28"/>
          <w:szCs w:val="28"/>
          <w:lang w:eastAsia="ru-RU"/>
        </w:rPr>
        <w:t>.</w:t>
      </w:r>
      <w:r w:rsidRPr="006926B7">
        <w:rPr>
          <w:rFonts w:ascii="Times New Roman" w:eastAsia="Times New Roman" w:hAnsi="Times New Roman" w:cs="Times New Roman"/>
          <w:sz w:val="28"/>
          <w:szCs w:val="28"/>
          <w:lang w:eastAsia="ru-RU"/>
        </w:rPr>
        <w:t xml:space="preserve"> увеличилось до 73,8 тыс. человек </w:t>
      </w:r>
      <w:r w:rsidR="007642DA">
        <w:rPr>
          <w:rFonts w:ascii="Times New Roman" w:eastAsia="Times New Roman" w:hAnsi="Times New Roman" w:cs="Times New Roman"/>
          <w:sz w:val="28"/>
          <w:szCs w:val="28"/>
          <w:lang w:eastAsia="ru-RU"/>
        </w:rPr>
        <w:br/>
      </w:r>
      <w:r w:rsidRPr="006926B7">
        <w:rPr>
          <w:rFonts w:ascii="Times New Roman" w:eastAsia="Times New Roman" w:hAnsi="Times New Roman" w:cs="Times New Roman"/>
          <w:sz w:val="28"/>
          <w:szCs w:val="28"/>
          <w:lang w:eastAsia="ru-RU"/>
        </w:rPr>
        <w:t>(2020 г. – 70,0 тыс. человек; 2019 г. – 76,5 тыс. человек; 2018 г. – 73,9 тыс. человек).</w:t>
      </w:r>
    </w:p>
    <w:p w14:paraId="510637DF" w14:textId="77777777" w:rsidR="006926B7" w:rsidRPr="006926B7" w:rsidRDefault="006926B7" w:rsidP="006926B7">
      <w:pPr>
        <w:spacing w:after="0" w:line="312" w:lineRule="auto"/>
        <w:ind w:firstLine="709"/>
        <w:jc w:val="both"/>
        <w:rPr>
          <w:rFonts w:ascii="Times New Roman" w:eastAsia="Times New Roman" w:hAnsi="Times New Roman" w:cs="Times New Roman"/>
          <w:sz w:val="28"/>
          <w:szCs w:val="28"/>
          <w:lang w:eastAsia="ru-RU"/>
        </w:rPr>
      </w:pPr>
      <w:r w:rsidRPr="006926B7">
        <w:rPr>
          <w:rFonts w:ascii="Times New Roman" w:eastAsia="Times New Roman" w:hAnsi="Times New Roman" w:cs="Times New Roman"/>
          <w:sz w:val="28"/>
          <w:szCs w:val="28"/>
          <w:lang w:eastAsia="ru-RU"/>
        </w:rPr>
        <w:t xml:space="preserve">В структуре первичной детской инвалидности по классам болезней </w:t>
      </w:r>
      <w:r w:rsidR="00C37A1F">
        <w:rPr>
          <w:rFonts w:ascii="Times New Roman" w:eastAsia="Times New Roman" w:hAnsi="Times New Roman" w:cs="Times New Roman"/>
          <w:sz w:val="28"/>
          <w:szCs w:val="28"/>
          <w:lang w:eastAsia="ru-RU"/>
        </w:rPr>
        <w:br/>
      </w:r>
      <w:r w:rsidRPr="006926B7">
        <w:rPr>
          <w:rFonts w:ascii="Times New Roman" w:eastAsia="Times New Roman" w:hAnsi="Times New Roman" w:cs="Times New Roman"/>
          <w:sz w:val="28"/>
          <w:szCs w:val="28"/>
          <w:lang w:eastAsia="ru-RU"/>
        </w:rPr>
        <w:t xml:space="preserve">за </w:t>
      </w:r>
      <w:r w:rsidR="000658BF">
        <w:rPr>
          <w:rFonts w:ascii="Times New Roman" w:eastAsia="Times New Roman" w:hAnsi="Times New Roman" w:cs="Times New Roman"/>
          <w:sz w:val="28"/>
          <w:szCs w:val="28"/>
          <w:lang w:eastAsia="ru-RU"/>
        </w:rPr>
        <w:t>2019-2021 гг.</w:t>
      </w:r>
      <w:r w:rsidRPr="006926B7">
        <w:rPr>
          <w:rFonts w:ascii="Times New Roman" w:eastAsia="Times New Roman" w:hAnsi="Times New Roman" w:cs="Times New Roman"/>
          <w:sz w:val="28"/>
          <w:szCs w:val="28"/>
          <w:lang w:eastAsia="ru-RU"/>
        </w:rPr>
        <w:t xml:space="preserve"> первое ранговое место занимают психические расстройства и расстройства поведения, на втором ранговом месте находятся болезни нервной системы, на третьем </w:t>
      </w:r>
      <w:r w:rsidR="00936449">
        <w:rPr>
          <w:rFonts w:ascii="Times New Roman" w:eastAsia="Times New Roman" w:hAnsi="Times New Roman" w:cs="Times New Roman"/>
          <w:sz w:val="28"/>
          <w:szCs w:val="28"/>
          <w:lang w:eastAsia="ru-RU"/>
        </w:rPr>
        <w:t>–</w:t>
      </w:r>
      <w:r w:rsidRPr="006926B7">
        <w:rPr>
          <w:rFonts w:ascii="Times New Roman" w:eastAsia="Times New Roman" w:hAnsi="Times New Roman" w:cs="Times New Roman"/>
          <w:sz w:val="28"/>
          <w:szCs w:val="28"/>
          <w:lang w:eastAsia="ru-RU"/>
        </w:rPr>
        <w:t xml:space="preserve"> врожденные аномалии.</w:t>
      </w:r>
    </w:p>
    <w:p w14:paraId="769A3728" w14:textId="77777777" w:rsidR="00EA692A" w:rsidRPr="001F626D" w:rsidRDefault="00EA692A" w:rsidP="00EA692A">
      <w:pPr>
        <w:spacing w:after="0" w:line="312" w:lineRule="auto"/>
        <w:ind w:firstLine="709"/>
        <w:jc w:val="both"/>
        <w:rPr>
          <w:rFonts w:ascii="Times New Roman" w:eastAsia="Times New Roman" w:hAnsi="Times New Roman" w:cs="Times New Roman"/>
          <w:sz w:val="28"/>
          <w:szCs w:val="28"/>
          <w:lang w:eastAsia="ru-RU"/>
        </w:rPr>
      </w:pPr>
      <w:r w:rsidRPr="001F626D">
        <w:rPr>
          <w:rFonts w:ascii="Times New Roman" w:eastAsia="Times New Roman" w:hAnsi="Times New Roman" w:cs="Times New Roman"/>
          <w:sz w:val="28"/>
          <w:szCs w:val="28"/>
          <w:lang w:eastAsia="ru-RU"/>
        </w:rPr>
        <w:t>Решение проблем охраны здоровья и социал</w:t>
      </w:r>
      <w:r>
        <w:rPr>
          <w:rFonts w:ascii="Times New Roman" w:eastAsia="Times New Roman" w:hAnsi="Times New Roman" w:cs="Times New Roman"/>
          <w:sz w:val="28"/>
          <w:szCs w:val="28"/>
          <w:lang w:eastAsia="ru-RU"/>
        </w:rPr>
        <w:t xml:space="preserve">ьной защиты детей </w:t>
      </w:r>
      <w:r w:rsidRPr="001F626D">
        <w:rPr>
          <w:rFonts w:ascii="Times New Roman" w:eastAsia="Times New Roman" w:hAnsi="Times New Roman" w:cs="Times New Roman"/>
          <w:sz w:val="28"/>
          <w:szCs w:val="28"/>
          <w:lang w:eastAsia="ru-RU"/>
        </w:rPr>
        <w:t>с ограниченными возможностями здоровья</w:t>
      </w:r>
      <w:r>
        <w:rPr>
          <w:rFonts w:ascii="Times New Roman" w:eastAsia="Times New Roman" w:hAnsi="Times New Roman" w:cs="Times New Roman"/>
          <w:sz w:val="28"/>
          <w:szCs w:val="28"/>
          <w:lang w:eastAsia="ru-RU"/>
        </w:rPr>
        <w:t xml:space="preserve"> </w:t>
      </w:r>
      <w:r w:rsidRPr="005C38D1">
        <w:rPr>
          <w:rFonts w:ascii="Times New Roman" w:eastAsia="Times New Roman" w:hAnsi="Times New Roman" w:cs="Times New Roman"/>
          <w:sz w:val="28"/>
          <w:szCs w:val="28"/>
          <w:lang w:eastAsia="ru-RU"/>
        </w:rPr>
        <w:t>(далее – ОВЗ)</w:t>
      </w:r>
      <w:r w:rsidRPr="001F626D">
        <w:rPr>
          <w:rFonts w:ascii="Times New Roman" w:eastAsia="Times New Roman" w:hAnsi="Times New Roman" w:cs="Times New Roman"/>
          <w:sz w:val="28"/>
          <w:szCs w:val="28"/>
          <w:lang w:eastAsia="ru-RU"/>
        </w:rPr>
        <w:t xml:space="preserve">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14:paraId="1542EEDF" w14:textId="611021C2" w:rsidR="00EA692A" w:rsidRPr="001F626D" w:rsidRDefault="00D0430B" w:rsidP="00EA692A">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Снижению</w:t>
      </w:r>
      <w:r w:rsidRPr="001F62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формирования детской инвалидности</w:t>
      </w:r>
      <w:r w:rsidRPr="001F626D">
        <w:rPr>
          <w:rFonts w:ascii="Times New Roman" w:eastAsia="Times New Roman" w:hAnsi="Times New Roman" w:cs="Times New Roman"/>
          <w:sz w:val="28"/>
          <w:szCs w:val="28"/>
          <w:lang w:eastAsia="ru-RU"/>
        </w:rPr>
        <w:t xml:space="preserve"> </w:t>
      </w:r>
      <w:r w:rsidR="00EA692A" w:rsidRPr="001F626D">
        <w:rPr>
          <w:rFonts w:ascii="Times New Roman" w:eastAsia="Times New Roman" w:hAnsi="Times New Roman" w:cs="Times New Roman"/>
          <w:sz w:val="28"/>
          <w:szCs w:val="28"/>
          <w:lang w:eastAsia="ru-RU"/>
        </w:rPr>
        <w:t>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позволяющих рано активизировать пациента, обеспечить ему возможность самообслуживания и возврата к деятельности, свойственной возрасту ребенка.</w:t>
      </w:r>
    </w:p>
    <w:p w14:paraId="43D2A5DF" w14:textId="77777777" w:rsidR="006926B7" w:rsidRPr="006926B7" w:rsidRDefault="006926B7" w:rsidP="006926B7">
      <w:pPr>
        <w:spacing w:after="0" w:line="312" w:lineRule="auto"/>
        <w:ind w:firstLine="709"/>
        <w:jc w:val="both"/>
        <w:rPr>
          <w:rFonts w:ascii="Times New Roman" w:eastAsia="Times New Roman" w:hAnsi="Times New Roman" w:cs="Times New Roman"/>
          <w:bCs/>
          <w:sz w:val="28"/>
          <w:szCs w:val="28"/>
          <w:lang w:eastAsia="ru-RU"/>
        </w:rPr>
      </w:pPr>
      <w:r w:rsidRPr="006926B7">
        <w:rPr>
          <w:rFonts w:ascii="Times New Roman" w:eastAsia="Times New Roman" w:hAnsi="Times New Roman" w:cs="Times New Roman"/>
          <w:bCs/>
          <w:sz w:val="28"/>
          <w:szCs w:val="28"/>
          <w:lang w:eastAsia="ru-RU"/>
        </w:rPr>
        <w:t xml:space="preserve">В настоящее время распоряжением Правительства Российской Федерации </w:t>
      </w:r>
      <w:r>
        <w:rPr>
          <w:rFonts w:ascii="Times New Roman" w:eastAsia="Times New Roman" w:hAnsi="Times New Roman" w:cs="Times New Roman"/>
          <w:bCs/>
          <w:sz w:val="28"/>
          <w:szCs w:val="28"/>
          <w:lang w:eastAsia="ru-RU"/>
        </w:rPr>
        <w:br/>
      </w:r>
      <w:r w:rsidRPr="006926B7">
        <w:rPr>
          <w:rFonts w:ascii="Times New Roman" w:eastAsia="Times New Roman" w:hAnsi="Times New Roman" w:cs="Times New Roman"/>
          <w:bCs/>
          <w:sz w:val="28"/>
          <w:szCs w:val="28"/>
          <w:lang w:eastAsia="ru-RU"/>
        </w:rPr>
        <w:t>от 18 декабря 2021 г</w:t>
      </w:r>
      <w:r w:rsidR="000D3CD6">
        <w:rPr>
          <w:rFonts w:ascii="Times New Roman" w:eastAsia="Times New Roman" w:hAnsi="Times New Roman" w:cs="Times New Roman"/>
          <w:bCs/>
          <w:sz w:val="28"/>
          <w:szCs w:val="28"/>
          <w:lang w:eastAsia="ru-RU"/>
        </w:rPr>
        <w:t>.</w:t>
      </w:r>
      <w:r w:rsidRPr="006926B7">
        <w:rPr>
          <w:rFonts w:ascii="Times New Roman" w:eastAsia="Times New Roman" w:hAnsi="Times New Roman" w:cs="Times New Roman"/>
          <w:bCs/>
          <w:sz w:val="28"/>
          <w:szCs w:val="28"/>
          <w:lang w:eastAsia="ru-RU"/>
        </w:rPr>
        <w:t xml:space="preserve"> № 3711-р утверждена Концепция развития в Российской Федерации системы комплексной реабилитации и абилитации инвалидов, в том числе детей-инвалидов, на период до 2025 г</w:t>
      </w:r>
      <w:r w:rsidR="00167A45">
        <w:rPr>
          <w:rFonts w:ascii="Times New Roman" w:eastAsia="Times New Roman" w:hAnsi="Times New Roman" w:cs="Times New Roman"/>
          <w:bCs/>
          <w:sz w:val="28"/>
          <w:szCs w:val="28"/>
          <w:lang w:eastAsia="ru-RU"/>
        </w:rPr>
        <w:t>.</w:t>
      </w:r>
      <w:r w:rsidRPr="006926B7">
        <w:rPr>
          <w:rFonts w:ascii="Times New Roman" w:eastAsia="Times New Roman" w:hAnsi="Times New Roman" w:cs="Times New Roman"/>
          <w:bCs/>
          <w:sz w:val="28"/>
          <w:szCs w:val="28"/>
          <w:lang w:eastAsia="ru-RU"/>
        </w:rPr>
        <w:t xml:space="preserve"> (далее</w:t>
      </w:r>
      <w:r>
        <w:rPr>
          <w:rFonts w:ascii="Times New Roman" w:eastAsia="Times New Roman" w:hAnsi="Times New Roman" w:cs="Times New Roman"/>
          <w:bCs/>
          <w:sz w:val="28"/>
          <w:szCs w:val="28"/>
          <w:lang w:eastAsia="ru-RU"/>
        </w:rPr>
        <w:t xml:space="preserve"> по тексту подраздела</w:t>
      </w:r>
      <w:r w:rsidRPr="006926B7">
        <w:rPr>
          <w:rFonts w:ascii="Times New Roman" w:eastAsia="Times New Roman" w:hAnsi="Times New Roman" w:cs="Times New Roman"/>
          <w:bCs/>
          <w:sz w:val="28"/>
          <w:szCs w:val="28"/>
          <w:lang w:eastAsia="ru-RU"/>
        </w:rPr>
        <w:t xml:space="preserve"> – Концепция). </w:t>
      </w:r>
    </w:p>
    <w:p w14:paraId="03323315" w14:textId="77777777" w:rsidR="006926B7" w:rsidRPr="006926B7" w:rsidRDefault="006926B7" w:rsidP="006926B7">
      <w:pPr>
        <w:spacing w:after="0" w:line="312" w:lineRule="auto"/>
        <w:ind w:firstLine="709"/>
        <w:jc w:val="both"/>
        <w:rPr>
          <w:rFonts w:ascii="Times New Roman" w:eastAsia="Times New Roman" w:hAnsi="Times New Roman" w:cs="Times New Roman"/>
          <w:bCs/>
          <w:sz w:val="28"/>
          <w:szCs w:val="28"/>
          <w:lang w:eastAsia="ru-RU"/>
        </w:rPr>
      </w:pPr>
      <w:r w:rsidRPr="006926B7">
        <w:rPr>
          <w:rFonts w:ascii="Times New Roman" w:eastAsia="Times New Roman" w:hAnsi="Times New Roman" w:cs="Times New Roman"/>
          <w:bCs/>
          <w:sz w:val="28"/>
          <w:szCs w:val="28"/>
          <w:lang w:eastAsia="ru-RU"/>
        </w:rPr>
        <w:t>Настоящая Концепция определяет цель, задачи, приоритетные направления и механизмы ресурсного обеспечения системы комплексной реабилитации и абилитации инвалидов, в том числе детей-инвалидов, а также этапы ее реализации для развития современной системы комплексной реабилитации и абилитации инвалидов, в том числе детей-инвалидов (далее</w:t>
      </w:r>
      <w:r>
        <w:rPr>
          <w:rFonts w:ascii="Times New Roman" w:eastAsia="Times New Roman" w:hAnsi="Times New Roman" w:cs="Times New Roman"/>
          <w:bCs/>
          <w:sz w:val="28"/>
          <w:szCs w:val="28"/>
          <w:lang w:eastAsia="ru-RU"/>
        </w:rPr>
        <w:t>,</w:t>
      </w:r>
      <w:r w:rsidRPr="006926B7">
        <w:rPr>
          <w:rFonts w:ascii="Times New Roman" w:eastAsia="Times New Roman" w:hAnsi="Times New Roman" w:cs="Times New Roman"/>
          <w:bCs/>
          <w:sz w:val="28"/>
          <w:szCs w:val="28"/>
          <w:lang w:eastAsia="ru-RU"/>
        </w:rPr>
        <w:t xml:space="preserve"> соответственно </w:t>
      </w:r>
      <w:r>
        <w:rPr>
          <w:rFonts w:ascii="Times New Roman" w:eastAsia="Times New Roman" w:hAnsi="Times New Roman" w:cs="Times New Roman"/>
          <w:bCs/>
          <w:sz w:val="28"/>
          <w:szCs w:val="28"/>
          <w:lang w:eastAsia="ru-RU"/>
        </w:rPr>
        <w:t>–</w:t>
      </w:r>
      <w:r w:rsidRPr="006926B7">
        <w:rPr>
          <w:rFonts w:ascii="Times New Roman" w:eastAsia="Times New Roman" w:hAnsi="Times New Roman" w:cs="Times New Roman"/>
          <w:bCs/>
          <w:sz w:val="28"/>
          <w:szCs w:val="28"/>
          <w:lang w:eastAsia="ru-RU"/>
        </w:rPr>
        <w:t xml:space="preserve"> комплексная реабилитация и </w:t>
      </w:r>
      <w:proofErr w:type="spellStart"/>
      <w:r w:rsidRPr="006926B7">
        <w:rPr>
          <w:rFonts w:ascii="Times New Roman" w:eastAsia="Times New Roman" w:hAnsi="Times New Roman" w:cs="Times New Roman"/>
          <w:bCs/>
          <w:sz w:val="28"/>
          <w:szCs w:val="28"/>
          <w:lang w:eastAsia="ru-RU"/>
        </w:rPr>
        <w:t>абилитация</w:t>
      </w:r>
      <w:proofErr w:type="spellEnd"/>
      <w:r w:rsidRPr="006926B7">
        <w:rPr>
          <w:rFonts w:ascii="Times New Roman" w:eastAsia="Times New Roman" w:hAnsi="Times New Roman" w:cs="Times New Roman"/>
          <w:bCs/>
          <w:sz w:val="28"/>
          <w:szCs w:val="28"/>
          <w:lang w:eastAsia="ru-RU"/>
        </w:rPr>
        <w:t>, система комплексной реабилитации и абилитации).</w:t>
      </w:r>
    </w:p>
    <w:p w14:paraId="37DE62A7" w14:textId="77777777" w:rsidR="006926B7" w:rsidRPr="006926B7" w:rsidRDefault="006926B7" w:rsidP="006926B7">
      <w:pPr>
        <w:spacing w:after="0" w:line="312" w:lineRule="auto"/>
        <w:ind w:firstLine="709"/>
        <w:jc w:val="both"/>
        <w:rPr>
          <w:rFonts w:ascii="Times New Roman" w:eastAsia="Times New Roman" w:hAnsi="Times New Roman" w:cs="Times New Roman"/>
          <w:bCs/>
          <w:sz w:val="28"/>
          <w:szCs w:val="28"/>
          <w:lang w:eastAsia="ru-RU"/>
        </w:rPr>
      </w:pPr>
      <w:r w:rsidRPr="006926B7">
        <w:rPr>
          <w:rFonts w:ascii="Times New Roman" w:eastAsia="Times New Roman" w:hAnsi="Times New Roman" w:cs="Times New Roman"/>
          <w:bCs/>
          <w:sz w:val="28"/>
          <w:szCs w:val="28"/>
          <w:lang w:eastAsia="ru-RU"/>
        </w:rPr>
        <w:t xml:space="preserve">Глава </w:t>
      </w:r>
      <w:r w:rsidRPr="006926B7">
        <w:rPr>
          <w:rFonts w:ascii="Times New Roman" w:eastAsia="Times New Roman" w:hAnsi="Times New Roman" w:cs="Times New Roman"/>
          <w:bCs/>
          <w:sz w:val="28"/>
          <w:szCs w:val="28"/>
          <w:lang w:val="en-US" w:eastAsia="ru-RU"/>
        </w:rPr>
        <w:t>VI</w:t>
      </w:r>
      <w:r w:rsidRPr="006926B7">
        <w:rPr>
          <w:rFonts w:ascii="Times New Roman" w:eastAsia="Times New Roman" w:hAnsi="Times New Roman" w:cs="Times New Roman"/>
          <w:bCs/>
          <w:sz w:val="28"/>
          <w:szCs w:val="28"/>
          <w:lang w:eastAsia="ru-RU"/>
        </w:rPr>
        <w:t xml:space="preserve"> Концепции посвящена особенностям организации комплексной реабилитации и абилитации детей-инвалидов, в том числе: снижению формирования детской инвалидности, обеспечению преемственности и непрерывности оказываемой помощи детям, повышению доступности реабилитационных (</w:t>
      </w:r>
      <w:proofErr w:type="spellStart"/>
      <w:r w:rsidRPr="006926B7">
        <w:rPr>
          <w:rFonts w:ascii="Times New Roman" w:eastAsia="Times New Roman" w:hAnsi="Times New Roman" w:cs="Times New Roman"/>
          <w:bCs/>
          <w:sz w:val="28"/>
          <w:szCs w:val="28"/>
          <w:lang w:eastAsia="ru-RU"/>
        </w:rPr>
        <w:t>абилитационных</w:t>
      </w:r>
      <w:proofErr w:type="spellEnd"/>
      <w:r w:rsidRPr="006926B7">
        <w:rPr>
          <w:rFonts w:ascii="Times New Roman" w:eastAsia="Times New Roman" w:hAnsi="Times New Roman" w:cs="Times New Roman"/>
          <w:bCs/>
          <w:sz w:val="28"/>
          <w:szCs w:val="28"/>
          <w:lang w:eastAsia="ru-RU"/>
        </w:rPr>
        <w:t xml:space="preserve">) услуг для детей инвалидов, в том числе с использованием дистанционных технологий, внедрению технологий, для подготовки к самостоятельной жизни детей-инвалидов, включая профориентацию. </w:t>
      </w:r>
    </w:p>
    <w:p w14:paraId="697B7915" w14:textId="77777777" w:rsidR="006926B7" w:rsidRPr="006926B7" w:rsidRDefault="006926B7" w:rsidP="006926B7">
      <w:pPr>
        <w:spacing w:after="0" w:line="312" w:lineRule="auto"/>
        <w:ind w:firstLine="709"/>
        <w:jc w:val="both"/>
        <w:rPr>
          <w:rFonts w:ascii="Times New Roman" w:eastAsia="Times New Roman" w:hAnsi="Times New Roman" w:cs="Times New Roman"/>
          <w:sz w:val="28"/>
          <w:szCs w:val="28"/>
          <w:lang w:eastAsia="ru-RU"/>
        </w:rPr>
      </w:pPr>
      <w:r w:rsidRPr="006926B7">
        <w:rPr>
          <w:rFonts w:ascii="Times New Roman" w:eastAsia="Times New Roman" w:hAnsi="Times New Roman" w:cs="Times New Roman"/>
          <w:sz w:val="28"/>
          <w:szCs w:val="28"/>
          <w:lang w:eastAsia="ru-RU"/>
        </w:rPr>
        <w:t>Одновременно с этим приоритетными направлениями в решении проблем детской инвалидности в системе комплексной реабилитации и абилитации являются: совершенствование системы комплексной реабилитации, развитие служб ранней помощи, развитие технологий сопровождения, внедрение наиболее успешных методов медицинской реабилитации.</w:t>
      </w:r>
    </w:p>
    <w:p w14:paraId="40E1185C" w14:textId="51994968" w:rsidR="006926B7" w:rsidRPr="006926B7" w:rsidRDefault="006926B7" w:rsidP="008C6CF0">
      <w:pPr>
        <w:spacing w:after="0" w:line="312" w:lineRule="auto"/>
        <w:ind w:firstLine="709"/>
        <w:jc w:val="both"/>
        <w:rPr>
          <w:rFonts w:ascii="Times New Roman" w:eastAsia="Times New Roman" w:hAnsi="Times New Roman" w:cs="Times New Roman"/>
          <w:sz w:val="28"/>
          <w:szCs w:val="28"/>
          <w:lang w:eastAsia="ru-RU"/>
        </w:rPr>
      </w:pPr>
      <w:r w:rsidRPr="006926B7">
        <w:rPr>
          <w:rFonts w:ascii="Times New Roman" w:eastAsia="Times New Roman" w:hAnsi="Times New Roman" w:cs="Times New Roman"/>
          <w:sz w:val="28"/>
          <w:szCs w:val="28"/>
          <w:lang w:eastAsia="ru-RU"/>
        </w:rPr>
        <w:t xml:space="preserve">В период </w:t>
      </w:r>
      <w:r w:rsidR="000658BF">
        <w:rPr>
          <w:rFonts w:ascii="Times New Roman" w:eastAsia="Times New Roman" w:hAnsi="Times New Roman" w:cs="Times New Roman"/>
          <w:sz w:val="28"/>
          <w:szCs w:val="28"/>
          <w:lang w:eastAsia="ru-RU"/>
        </w:rPr>
        <w:t>2022-2024 гг.</w:t>
      </w:r>
      <w:r w:rsidRPr="006926B7">
        <w:rPr>
          <w:rFonts w:ascii="Times New Roman" w:eastAsia="Times New Roman" w:hAnsi="Times New Roman" w:cs="Times New Roman"/>
          <w:sz w:val="28"/>
          <w:szCs w:val="28"/>
          <w:lang w:eastAsia="ru-RU"/>
        </w:rPr>
        <w:t xml:space="preserve"> Минтрудом России совместно с </w:t>
      </w:r>
      <w:r>
        <w:rPr>
          <w:rFonts w:ascii="Times New Roman" w:eastAsia="Times New Roman" w:hAnsi="Times New Roman" w:cs="Times New Roman"/>
          <w:sz w:val="28"/>
          <w:szCs w:val="28"/>
          <w:lang w:eastAsia="ru-RU"/>
        </w:rPr>
        <w:t>ФСС</w:t>
      </w:r>
      <w:r w:rsidRPr="006926B7">
        <w:rPr>
          <w:rFonts w:ascii="Times New Roman" w:eastAsia="Times New Roman" w:hAnsi="Times New Roman" w:cs="Times New Roman"/>
          <w:sz w:val="28"/>
          <w:szCs w:val="28"/>
          <w:lang w:eastAsia="ru-RU"/>
        </w:rPr>
        <w:t xml:space="preserve">, Федеральным казначейством, Федеральным бюро медико-социальной экспертизы </w:t>
      </w:r>
      <w:r w:rsidR="000658BF">
        <w:rPr>
          <w:rFonts w:ascii="Times New Roman" w:eastAsia="Times New Roman" w:hAnsi="Times New Roman" w:cs="Times New Roman"/>
          <w:sz w:val="28"/>
          <w:szCs w:val="28"/>
          <w:lang w:eastAsia="ru-RU"/>
        </w:rPr>
        <w:t xml:space="preserve">будет </w:t>
      </w:r>
      <w:r w:rsidRPr="006926B7">
        <w:rPr>
          <w:rFonts w:ascii="Times New Roman" w:eastAsia="Times New Roman" w:hAnsi="Times New Roman" w:cs="Times New Roman"/>
          <w:sz w:val="28"/>
          <w:szCs w:val="28"/>
          <w:lang w:eastAsia="ru-RU"/>
        </w:rPr>
        <w:t>реали</w:t>
      </w:r>
      <w:r w:rsidR="000658BF">
        <w:rPr>
          <w:rFonts w:ascii="Times New Roman" w:eastAsia="Times New Roman" w:hAnsi="Times New Roman" w:cs="Times New Roman"/>
          <w:sz w:val="28"/>
          <w:szCs w:val="28"/>
          <w:lang w:eastAsia="ru-RU"/>
        </w:rPr>
        <w:t>зован</w:t>
      </w:r>
      <w:r w:rsidRPr="006926B7">
        <w:rPr>
          <w:rFonts w:ascii="Times New Roman" w:eastAsia="Times New Roman" w:hAnsi="Times New Roman" w:cs="Times New Roman"/>
          <w:sz w:val="28"/>
          <w:szCs w:val="28"/>
          <w:lang w:eastAsia="ru-RU"/>
        </w:rPr>
        <w:t xml:space="preserve"> пилотный проект по оказанию услуг по комплексной реабилитации и абилитации детей-инвалидов в Тюменской и Свердловской областях (далее </w:t>
      </w:r>
      <w:r>
        <w:rPr>
          <w:rFonts w:ascii="Times New Roman" w:eastAsia="Times New Roman" w:hAnsi="Times New Roman" w:cs="Times New Roman"/>
          <w:sz w:val="28"/>
          <w:szCs w:val="28"/>
          <w:lang w:eastAsia="ru-RU"/>
        </w:rPr>
        <w:t xml:space="preserve">по тексту </w:t>
      </w:r>
      <w:r w:rsidR="009E08D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подраздела </w:t>
      </w:r>
      <w:r w:rsidR="000658BF">
        <w:rPr>
          <w:rFonts w:ascii="Times New Roman" w:eastAsia="Times New Roman" w:hAnsi="Times New Roman" w:cs="Times New Roman"/>
          <w:sz w:val="28"/>
          <w:szCs w:val="28"/>
          <w:lang w:eastAsia="ru-RU"/>
        </w:rPr>
        <w:t>– пилотный проект),</w:t>
      </w:r>
      <w:r>
        <w:rPr>
          <w:rFonts w:ascii="Times New Roman" w:eastAsia="Times New Roman" w:hAnsi="Times New Roman" w:cs="Times New Roman"/>
          <w:sz w:val="28"/>
          <w:szCs w:val="28"/>
          <w:lang w:eastAsia="ru-RU"/>
        </w:rPr>
        <w:t xml:space="preserve"> </w:t>
      </w:r>
      <w:r w:rsidRPr="006926B7">
        <w:rPr>
          <w:rFonts w:ascii="Times New Roman" w:eastAsia="Times New Roman" w:hAnsi="Times New Roman" w:cs="Times New Roman"/>
          <w:sz w:val="28"/>
          <w:szCs w:val="28"/>
          <w:lang w:eastAsia="ru-RU"/>
        </w:rPr>
        <w:t xml:space="preserve">Правила реализации </w:t>
      </w:r>
      <w:r w:rsidR="000658BF">
        <w:rPr>
          <w:rFonts w:ascii="Times New Roman" w:eastAsia="Times New Roman" w:hAnsi="Times New Roman" w:cs="Times New Roman"/>
          <w:sz w:val="28"/>
          <w:szCs w:val="28"/>
          <w:lang w:eastAsia="ru-RU"/>
        </w:rPr>
        <w:t>которого</w:t>
      </w:r>
      <w:r w:rsidRPr="006926B7">
        <w:rPr>
          <w:rFonts w:ascii="Times New Roman" w:eastAsia="Times New Roman" w:hAnsi="Times New Roman" w:cs="Times New Roman"/>
          <w:sz w:val="28"/>
          <w:szCs w:val="28"/>
          <w:lang w:eastAsia="ru-RU"/>
        </w:rPr>
        <w:t xml:space="preserve"> утверждены постановлением Правительства Российской Федерац</w:t>
      </w:r>
      <w:r>
        <w:rPr>
          <w:rFonts w:ascii="Times New Roman" w:eastAsia="Times New Roman" w:hAnsi="Times New Roman" w:cs="Times New Roman"/>
          <w:sz w:val="28"/>
          <w:szCs w:val="28"/>
          <w:lang w:eastAsia="ru-RU"/>
        </w:rPr>
        <w:t>ии от 17 декабря 2021 г. № 2339.</w:t>
      </w:r>
      <w:r w:rsidR="008C6CF0">
        <w:rPr>
          <w:rFonts w:ascii="Times New Roman" w:eastAsia="Times New Roman" w:hAnsi="Times New Roman" w:cs="Times New Roman"/>
          <w:sz w:val="28"/>
          <w:szCs w:val="28"/>
          <w:lang w:eastAsia="ru-RU"/>
        </w:rPr>
        <w:t xml:space="preserve"> </w:t>
      </w:r>
      <w:r w:rsidRPr="006926B7">
        <w:rPr>
          <w:rFonts w:ascii="Times New Roman" w:eastAsia="Times New Roman" w:hAnsi="Times New Roman" w:cs="Times New Roman"/>
          <w:sz w:val="28"/>
          <w:szCs w:val="28"/>
          <w:lang w:eastAsia="ru-RU"/>
        </w:rPr>
        <w:t>Услугами по комплексной реабилитации в ходе пилотного проекта ежегодно будет охвачено порядка 2,6 тыс. детей</w:t>
      </w:r>
      <w:r w:rsidR="003B77D7">
        <w:rPr>
          <w:rFonts w:ascii="Times New Roman" w:eastAsia="Times New Roman" w:hAnsi="Times New Roman" w:cs="Times New Roman"/>
          <w:sz w:val="28"/>
          <w:szCs w:val="28"/>
          <w:lang w:eastAsia="ru-RU"/>
        </w:rPr>
        <w:t xml:space="preserve"> с инвалидностью</w:t>
      </w:r>
      <w:r w:rsidRPr="006926B7">
        <w:rPr>
          <w:rFonts w:ascii="Times New Roman" w:eastAsia="Times New Roman" w:hAnsi="Times New Roman" w:cs="Times New Roman"/>
          <w:sz w:val="28"/>
          <w:szCs w:val="28"/>
          <w:lang w:eastAsia="ru-RU"/>
        </w:rPr>
        <w:t>, первично признанных детьми</w:t>
      </w:r>
      <w:r w:rsidR="003B77D7">
        <w:rPr>
          <w:rFonts w:ascii="Times New Roman" w:eastAsia="Times New Roman" w:hAnsi="Times New Roman" w:cs="Times New Roman"/>
          <w:sz w:val="28"/>
          <w:szCs w:val="28"/>
          <w:lang w:eastAsia="ru-RU"/>
        </w:rPr>
        <w:t xml:space="preserve"> с инвалидностью</w:t>
      </w:r>
      <w:r w:rsidRPr="006926B7">
        <w:rPr>
          <w:rFonts w:ascii="Times New Roman" w:eastAsia="Times New Roman" w:hAnsi="Times New Roman" w:cs="Times New Roman"/>
          <w:sz w:val="28"/>
          <w:szCs w:val="28"/>
          <w:lang w:eastAsia="ru-RU"/>
        </w:rPr>
        <w:t xml:space="preserve"> в пилотных регионах.</w:t>
      </w:r>
      <w:r>
        <w:rPr>
          <w:rFonts w:ascii="Times New Roman" w:eastAsia="Times New Roman" w:hAnsi="Times New Roman" w:cs="Times New Roman"/>
          <w:sz w:val="28"/>
          <w:szCs w:val="28"/>
          <w:lang w:eastAsia="ru-RU"/>
        </w:rPr>
        <w:t xml:space="preserve"> </w:t>
      </w:r>
      <w:r w:rsidRPr="006926B7">
        <w:rPr>
          <w:rFonts w:ascii="Times New Roman" w:eastAsia="Times New Roman" w:hAnsi="Times New Roman" w:cs="Times New Roman"/>
          <w:sz w:val="28"/>
          <w:szCs w:val="28"/>
          <w:lang w:eastAsia="ru-RU"/>
        </w:rPr>
        <w:t xml:space="preserve">На эти цели в </w:t>
      </w:r>
      <w:r w:rsidR="000658BF">
        <w:rPr>
          <w:rFonts w:ascii="Times New Roman" w:eastAsia="Times New Roman" w:hAnsi="Times New Roman" w:cs="Times New Roman"/>
          <w:sz w:val="28"/>
          <w:szCs w:val="28"/>
          <w:lang w:eastAsia="ru-RU"/>
        </w:rPr>
        <w:t>2022-2024 гг.</w:t>
      </w:r>
      <w:r w:rsidRPr="006926B7">
        <w:rPr>
          <w:rFonts w:ascii="Times New Roman" w:eastAsia="Times New Roman" w:hAnsi="Times New Roman" w:cs="Times New Roman"/>
          <w:sz w:val="28"/>
          <w:szCs w:val="28"/>
          <w:lang w:eastAsia="ru-RU"/>
        </w:rPr>
        <w:t xml:space="preserve"> предусмотрено доведение средств </w:t>
      </w:r>
      <w:r>
        <w:rPr>
          <w:rFonts w:ascii="Times New Roman" w:eastAsia="Times New Roman" w:hAnsi="Times New Roman" w:cs="Times New Roman"/>
          <w:sz w:val="28"/>
          <w:szCs w:val="28"/>
          <w:lang w:eastAsia="ru-RU"/>
        </w:rPr>
        <w:t>ФСС в объеме</w:t>
      </w:r>
      <w:r w:rsidR="00FC3784">
        <w:rPr>
          <w:rFonts w:ascii="Times New Roman" w:eastAsia="Times New Roman" w:hAnsi="Times New Roman" w:cs="Times New Roman"/>
          <w:sz w:val="28"/>
          <w:szCs w:val="28"/>
          <w:lang w:eastAsia="ru-RU"/>
        </w:rPr>
        <w:t xml:space="preserve"> 300 млн</w:t>
      </w:r>
      <w:r w:rsidRPr="006926B7">
        <w:rPr>
          <w:rFonts w:ascii="Times New Roman" w:eastAsia="Times New Roman" w:hAnsi="Times New Roman" w:cs="Times New Roman"/>
          <w:sz w:val="28"/>
          <w:szCs w:val="28"/>
          <w:lang w:eastAsia="ru-RU"/>
        </w:rPr>
        <w:t xml:space="preserve"> рублей ежегодно. </w:t>
      </w:r>
    </w:p>
    <w:p w14:paraId="16705352" w14:textId="77777777" w:rsidR="006926B7" w:rsidRPr="006926B7" w:rsidRDefault="006926B7" w:rsidP="006926B7">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6926B7">
        <w:rPr>
          <w:rFonts w:ascii="Times New Roman" w:eastAsia="Times New Roman" w:hAnsi="Times New Roman" w:cs="Times New Roman"/>
          <w:sz w:val="28"/>
          <w:szCs w:val="28"/>
          <w:lang w:eastAsia="ru-RU"/>
        </w:rPr>
        <w:t xml:space="preserve">о результатам оценки результатов пилотного проекта </w:t>
      </w:r>
      <w:r>
        <w:rPr>
          <w:rFonts w:ascii="Times New Roman" w:eastAsia="Times New Roman" w:hAnsi="Times New Roman" w:cs="Times New Roman"/>
          <w:sz w:val="28"/>
          <w:szCs w:val="28"/>
          <w:lang w:eastAsia="ru-RU"/>
        </w:rPr>
        <w:t>будет</w:t>
      </w:r>
      <w:r w:rsidRPr="006926B7">
        <w:rPr>
          <w:rFonts w:ascii="Times New Roman" w:eastAsia="Times New Roman" w:hAnsi="Times New Roman" w:cs="Times New Roman"/>
          <w:sz w:val="28"/>
          <w:szCs w:val="28"/>
          <w:lang w:eastAsia="ru-RU"/>
        </w:rPr>
        <w:t xml:space="preserve"> принят</w:t>
      </w:r>
      <w:r>
        <w:rPr>
          <w:rFonts w:ascii="Times New Roman" w:eastAsia="Times New Roman" w:hAnsi="Times New Roman" w:cs="Times New Roman"/>
          <w:sz w:val="28"/>
          <w:szCs w:val="28"/>
          <w:lang w:eastAsia="ru-RU"/>
        </w:rPr>
        <w:t>о</w:t>
      </w:r>
      <w:r w:rsidRPr="006926B7">
        <w:rPr>
          <w:rFonts w:ascii="Times New Roman" w:eastAsia="Times New Roman" w:hAnsi="Times New Roman" w:cs="Times New Roman"/>
          <w:sz w:val="28"/>
          <w:szCs w:val="28"/>
          <w:lang w:eastAsia="ru-RU"/>
        </w:rPr>
        <w:t xml:space="preserve"> решени</w:t>
      </w:r>
      <w:r>
        <w:rPr>
          <w:rFonts w:ascii="Times New Roman" w:eastAsia="Times New Roman" w:hAnsi="Times New Roman" w:cs="Times New Roman"/>
          <w:sz w:val="28"/>
          <w:szCs w:val="28"/>
          <w:lang w:eastAsia="ru-RU"/>
        </w:rPr>
        <w:t>е</w:t>
      </w:r>
      <w:r w:rsidRPr="006926B7">
        <w:rPr>
          <w:rFonts w:ascii="Times New Roman" w:eastAsia="Times New Roman" w:hAnsi="Times New Roman" w:cs="Times New Roman"/>
          <w:sz w:val="28"/>
          <w:szCs w:val="28"/>
          <w:lang w:eastAsia="ru-RU"/>
        </w:rPr>
        <w:t xml:space="preserve"> о целесообразности его распространения на территории Российской Федерации с возможностью федерального финансирования приобретения услуг по комплексной реабилитации и абилитации.</w:t>
      </w:r>
    </w:p>
    <w:p w14:paraId="6E3938B8" w14:textId="625F0D94" w:rsidR="00EA692A" w:rsidRDefault="006926B7" w:rsidP="00EA692A">
      <w:pPr>
        <w:spacing w:after="0" w:line="312" w:lineRule="auto"/>
        <w:ind w:firstLine="709"/>
        <w:jc w:val="both"/>
        <w:rPr>
          <w:rFonts w:ascii="Times New Roman" w:eastAsia="Times New Roman" w:hAnsi="Times New Roman" w:cs="Times New Roman"/>
          <w:sz w:val="28"/>
          <w:szCs w:val="28"/>
          <w:lang w:eastAsia="ru-RU"/>
        </w:rPr>
      </w:pPr>
      <w:r w:rsidRPr="006926B7">
        <w:rPr>
          <w:rFonts w:ascii="Times New Roman" w:eastAsia="Times New Roman" w:hAnsi="Times New Roman" w:cs="Times New Roman"/>
          <w:sz w:val="28"/>
          <w:szCs w:val="28"/>
          <w:lang w:eastAsia="ru-RU"/>
        </w:rPr>
        <w:t>С 2016 г</w:t>
      </w:r>
      <w:r w:rsidR="00167A45">
        <w:rPr>
          <w:rFonts w:ascii="Times New Roman" w:eastAsia="Times New Roman" w:hAnsi="Times New Roman" w:cs="Times New Roman"/>
          <w:sz w:val="28"/>
          <w:szCs w:val="28"/>
          <w:lang w:eastAsia="ru-RU"/>
        </w:rPr>
        <w:t>.</w:t>
      </w:r>
      <w:r w:rsidRPr="006926B7">
        <w:rPr>
          <w:rFonts w:ascii="Times New Roman" w:eastAsia="Times New Roman" w:hAnsi="Times New Roman" w:cs="Times New Roman"/>
          <w:sz w:val="28"/>
          <w:szCs w:val="28"/>
          <w:lang w:eastAsia="ru-RU"/>
        </w:rPr>
        <w:t xml:space="preserve"> организация ранней помощи в Российской Федерации осуществлялась на основе Концепции развития ранней помощи в Российской Федерации на период до 2020 г</w:t>
      </w:r>
      <w:r w:rsidR="00D91682">
        <w:rPr>
          <w:rFonts w:ascii="Times New Roman" w:eastAsia="Times New Roman" w:hAnsi="Times New Roman" w:cs="Times New Roman"/>
          <w:sz w:val="28"/>
          <w:szCs w:val="28"/>
          <w:lang w:eastAsia="ru-RU"/>
        </w:rPr>
        <w:t>.</w:t>
      </w:r>
      <w:r w:rsidRPr="006926B7">
        <w:rPr>
          <w:rFonts w:ascii="Times New Roman" w:eastAsia="Times New Roman" w:hAnsi="Times New Roman" w:cs="Times New Roman"/>
          <w:sz w:val="28"/>
          <w:szCs w:val="28"/>
          <w:lang w:eastAsia="ru-RU"/>
        </w:rPr>
        <w:t xml:space="preserve">, утвержденной распоряжением Правительства Российской Федерации </w:t>
      </w:r>
      <w:r w:rsidR="009E08D5">
        <w:rPr>
          <w:rFonts w:ascii="Times New Roman" w:eastAsia="Times New Roman" w:hAnsi="Times New Roman" w:cs="Times New Roman"/>
          <w:sz w:val="28"/>
          <w:szCs w:val="28"/>
          <w:lang w:eastAsia="ru-RU"/>
        </w:rPr>
        <w:br/>
      </w:r>
      <w:r w:rsidRPr="006926B7">
        <w:rPr>
          <w:rFonts w:ascii="Times New Roman" w:eastAsia="Times New Roman" w:hAnsi="Times New Roman" w:cs="Times New Roman"/>
          <w:sz w:val="28"/>
          <w:szCs w:val="28"/>
          <w:lang w:eastAsia="ru-RU"/>
        </w:rPr>
        <w:t xml:space="preserve">от 31 августа 2016 г., а также Плана мероприятий по ее реализации, утвержденного распоряжением Правительства Российской Федерации от 17 декабря 2016 г. </w:t>
      </w:r>
      <w:r w:rsidR="009E08D5">
        <w:rPr>
          <w:rFonts w:ascii="Times New Roman" w:eastAsia="Times New Roman" w:hAnsi="Times New Roman" w:cs="Times New Roman"/>
          <w:sz w:val="28"/>
          <w:szCs w:val="28"/>
          <w:lang w:eastAsia="ru-RU"/>
        </w:rPr>
        <w:br/>
      </w:r>
      <w:r w:rsidRPr="006926B7">
        <w:rPr>
          <w:rFonts w:ascii="Times New Roman" w:eastAsia="Times New Roman" w:hAnsi="Times New Roman" w:cs="Times New Roman"/>
          <w:sz w:val="28"/>
          <w:szCs w:val="28"/>
          <w:lang w:eastAsia="ru-RU"/>
        </w:rPr>
        <w:t>№ 2723-р, что позволило сформировать единые подходы к ранней помощи и объединить усилия различных ведомств. Реализация Плана осуществлялась заинтересованными федеральными органами исполнительной власти совместно с субъектами Российской Федерации, Фондом поддержки детей, находящихся в трудной жизненной ситуации (далее – Фонд поддержки детей) при участии экспертного сообщества. Минтрудом России обеспечен мониторинг развития ранней помощи (далее</w:t>
      </w:r>
      <w:r>
        <w:rPr>
          <w:rFonts w:ascii="Times New Roman" w:eastAsia="Times New Roman" w:hAnsi="Times New Roman" w:cs="Times New Roman"/>
          <w:sz w:val="28"/>
          <w:szCs w:val="28"/>
          <w:lang w:eastAsia="ru-RU"/>
        </w:rPr>
        <w:t xml:space="preserve"> по тексту подраздела</w:t>
      </w:r>
      <w:r w:rsidRPr="006926B7">
        <w:rPr>
          <w:rFonts w:ascii="Times New Roman" w:eastAsia="Times New Roman" w:hAnsi="Times New Roman" w:cs="Times New Roman"/>
          <w:sz w:val="28"/>
          <w:szCs w:val="28"/>
          <w:lang w:eastAsia="ru-RU"/>
        </w:rPr>
        <w:t xml:space="preserve"> – мониторинг), который показывает, что такое развитие в регионах осуществляется на</w:t>
      </w:r>
      <w:r w:rsidR="00EA692A">
        <w:rPr>
          <w:rFonts w:ascii="Times New Roman" w:eastAsia="Times New Roman" w:hAnsi="Times New Roman" w:cs="Times New Roman"/>
          <w:sz w:val="28"/>
          <w:szCs w:val="28"/>
          <w:lang w:eastAsia="ru-RU"/>
        </w:rPr>
        <w:t xml:space="preserve"> основе программных документов. </w:t>
      </w:r>
    </w:p>
    <w:p w14:paraId="2441D312" w14:textId="77777777" w:rsidR="006926B7" w:rsidRPr="006926B7" w:rsidRDefault="006926B7" w:rsidP="00EA692A">
      <w:pPr>
        <w:spacing w:after="0" w:line="312" w:lineRule="auto"/>
        <w:ind w:firstLine="709"/>
        <w:jc w:val="both"/>
        <w:rPr>
          <w:rFonts w:ascii="Times New Roman" w:eastAsia="Times New Roman" w:hAnsi="Times New Roman" w:cs="Times New Roman"/>
          <w:sz w:val="28"/>
          <w:szCs w:val="28"/>
          <w:lang w:eastAsia="ru-RU"/>
        </w:rPr>
      </w:pPr>
      <w:r w:rsidRPr="006926B7">
        <w:rPr>
          <w:rFonts w:ascii="Times New Roman" w:eastAsia="Times New Roman" w:hAnsi="Times New Roman" w:cs="Times New Roman"/>
          <w:sz w:val="28"/>
          <w:szCs w:val="28"/>
          <w:lang w:eastAsia="ru-RU"/>
        </w:rPr>
        <w:t>Учитывая достигнутый уровень развития ранней помощи в регионах и необходимость его сохранения и дальнейшего развития, до принятия законодательных норм по данному вопросу, на первом этапе реализации Концепции до 2023 г</w:t>
      </w:r>
      <w:r w:rsidR="00167A45">
        <w:rPr>
          <w:rFonts w:ascii="Times New Roman" w:eastAsia="Times New Roman" w:hAnsi="Times New Roman" w:cs="Times New Roman"/>
          <w:sz w:val="28"/>
          <w:szCs w:val="28"/>
          <w:lang w:eastAsia="ru-RU"/>
        </w:rPr>
        <w:t>.</w:t>
      </w:r>
      <w:r w:rsidRPr="006926B7">
        <w:rPr>
          <w:rFonts w:ascii="Times New Roman" w:eastAsia="Times New Roman" w:hAnsi="Times New Roman" w:cs="Times New Roman"/>
          <w:sz w:val="28"/>
          <w:szCs w:val="28"/>
          <w:lang w:eastAsia="ru-RU"/>
        </w:rPr>
        <w:t xml:space="preserve"> осуществление мероприятий по развитию ранней помощи продолж</w:t>
      </w:r>
      <w:r>
        <w:rPr>
          <w:rFonts w:ascii="Times New Roman" w:eastAsia="Times New Roman" w:hAnsi="Times New Roman" w:cs="Times New Roman"/>
          <w:sz w:val="28"/>
          <w:szCs w:val="28"/>
          <w:lang w:eastAsia="ru-RU"/>
        </w:rPr>
        <w:t>ается</w:t>
      </w:r>
      <w:r w:rsidRPr="006926B7">
        <w:rPr>
          <w:rFonts w:ascii="Times New Roman" w:eastAsia="Times New Roman" w:hAnsi="Times New Roman" w:cs="Times New Roman"/>
          <w:sz w:val="28"/>
          <w:szCs w:val="28"/>
          <w:lang w:eastAsia="ru-RU"/>
        </w:rPr>
        <w:t xml:space="preserve"> на плановой основе. </w:t>
      </w:r>
    </w:p>
    <w:p w14:paraId="0C4B267E" w14:textId="77777777" w:rsidR="006926B7" w:rsidRPr="006926B7" w:rsidRDefault="006926B7" w:rsidP="006926B7">
      <w:pPr>
        <w:spacing w:after="0" w:line="312" w:lineRule="auto"/>
        <w:ind w:firstLine="709"/>
        <w:jc w:val="both"/>
        <w:rPr>
          <w:rFonts w:ascii="Times New Roman" w:eastAsia="Times New Roman" w:hAnsi="Times New Roman" w:cs="Times New Roman"/>
          <w:sz w:val="28"/>
          <w:szCs w:val="28"/>
          <w:lang w:eastAsia="ru-RU"/>
        </w:rPr>
      </w:pPr>
      <w:r w:rsidRPr="006926B7">
        <w:rPr>
          <w:rFonts w:ascii="Times New Roman" w:eastAsia="Times New Roman" w:hAnsi="Times New Roman" w:cs="Times New Roman"/>
          <w:sz w:val="28"/>
          <w:szCs w:val="28"/>
          <w:lang w:eastAsia="ru-RU"/>
        </w:rPr>
        <w:t>По данным статистического наблюдения за 2021 г</w:t>
      </w:r>
      <w:r w:rsidR="00167A4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6926B7">
        <w:rPr>
          <w:rFonts w:ascii="Times New Roman" w:eastAsia="Times New Roman" w:hAnsi="Times New Roman" w:cs="Times New Roman"/>
          <w:sz w:val="28"/>
          <w:szCs w:val="28"/>
          <w:lang w:eastAsia="ru-RU"/>
        </w:rPr>
        <w:t xml:space="preserve"> в Российской Федерации услуги ранней помощи предоставляют 6</w:t>
      </w:r>
      <w:r>
        <w:rPr>
          <w:rFonts w:ascii="Times New Roman" w:eastAsia="Times New Roman" w:hAnsi="Times New Roman" w:cs="Times New Roman"/>
          <w:sz w:val="28"/>
          <w:szCs w:val="28"/>
          <w:lang w:eastAsia="ru-RU"/>
        </w:rPr>
        <w:t xml:space="preserve"> </w:t>
      </w:r>
      <w:r w:rsidRPr="006926B7">
        <w:rPr>
          <w:rFonts w:ascii="Times New Roman" w:eastAsia="Times New Roman" w:hAnsi="Times New Roman" w:cs="Times New Roman"/>
          <w:sz w:val="28"/>
          <w:szCs w:val="28"/>
          <w:lang w:eastAsia="ru-RU"/>
        </w:rPr>
        <w:t>429 организаций (включая Региональные ресурсно-методические центры ранней помо</w:t>
      </w:r>
      <w:r>
        <w:rPr>
          <w:rFonts w:ascii="Times New Roman" w:eastAsia="Times New Roman" w:hAnsi="Times New Roman" w:cs="Times New Roman"/>
          <w:sz w:val="28"/>
          <w:szCs w:val="28"/>
          <w:lang w:eastAsia="ru-RU"/>
        </w:rPr>
        <w:t>щи), что на 10,4</w:t>
      </w:r>
      <w:r w:rsidRPr="006926B7">
        <w:rPr>
          <w:rFonts w:ascii="Times New Roman" w:eastAsia="Times New Roman" w:hAnsi="Times New Roman" w:cs="Times New Roman"/>
          <w:sz w:val="28"/>
          <w:szCs w:val="28"/>
          <w:lang w:eastAsia="ru-RU"/>
        </w:rPr>
        <w:t>% больше, чем в 2020 г</w:t>
      </w:r>
      <w:r w:rsidR="00167A45">
        <w:rPr>
          <w:rFonts w:ascii="Times New Roman" w:eastAsia="Times New Roman" w:hAnsi="Times New Roman" w:cs="Times New Roman"/>
          <w:sz w:val="28"/>
          <w:szCs w:val="28"/>
          <w:lang w:eastAsia="ru-RU"/>
        </w:rPr>
        <w:t>.</w:t>
      </w:r>
      <w:r w:rsidRPr="006926B7">
        <w:rPr>
          <w:rFonts w:ascii="Times New Roman" w:eastAsia="Times New Roman" w:hAnsi="Times New Roman" w:cs="Times New Roman"/>
          <w:sz w:val="28"/>
          <w:szCs w:val="28"/>
          <w:lang w:eastAsia="ru-RU"/>
        </w:rPr>
        <w:t xml:space="preserve"> (2020 г. – 5</w:t>
      </w:r>
      <w:r>
        <w:rPr>
          <w:rFonts w:ascii="Times New Roman" w:eastAsia="Times New Roman" w:hAnsi="Times New Roman" w:cs="Times New Roman"/>
          <w:sz w:val="28"/>
          <w:szCs w:val="28"/>
          <w:lang w:eastAsia="ru-RU"/>
        </w:rPr>
        <w:t xml:space="preserve"> </w:t>
      </w:r>
      <w:r w:rsidRPr="006926B7">
        <w:rPr>
          <w:rFonts w:ascii="Times New Roman" w:eastAsia="Times New Roman" w:hAnsi="Times New Roman" w:cs="Times New Roman"/>
          <w:sz w:val="28"/>
          <w:szCs w:val="28"/>
          <w:lang w:eastAsia="ru-RU"/>
        </w:rPr>
        <w:t>824 организаций</w:t>
      </w:r>
      <w:r>
        <w:rPr>
          <w:rFonts w:ascii="Times New Roman" w:eastAsia="Times New Roman" w:hAnsi="Times New Roman" w:cs="Times New Roman"/>
          <w:sz w:val="28"/>
          <w:szCs w:val="28"/>
          <w:lang w:eastAsia="ru-RU"/>
        </w:rPr>
        <w:t>;</w:t>
      </w:r>
      <w:r w:rsidRPr="006926B7">
        <w:rPr>
          <w:rFonts w:ascii="Times New Roman" w:eastAsia="Times New Roman" w:hAnsi="Times New Roman" w:cs="Times New Roman"/>
          <w:sz w:val="28"/>
          <w:szCs w:val="28"/>
          <w:lang w:eastAsia="ru-RU"/>
        </w:rPr>
        <w:t xml:space="preserve"> 2019 г. – 5</w:t>
      </w:r>
      <w:r>
        <w:rPr>
          <w:rFonts w:ascii="Times New Roman" w:eastAsia="Times New Roman" w:hAnsi="Times New Roman" w:cs="Times New Roman"/>
          <w:sz w:val="28"/>
          <w:szCs w:val="28"/>
          <w:lang w:eastAsia="ru-RU"/>
        </w:rPr>
        <w:t xml:space="preserve"> 108 организаций)</w:t>
      </w:r>
      <w:r w:rsidRPr="006926B7">
        <w:rPr>
          <w:rFonts w:ascii="Times New Roman" w:eastAsia="Times New Roman" w:hAnsi="Times New Roman" w:cs="Times New Roman"/>
          <w:sz w:val="28"/>
          <w:szCs w:val="28"/>
          <w:lang w:eastAsia="ru-RU"/>
        </w:rPr>
        <w:t>.</w:t>
      </w:r>
    </w:p>
    <w:p w14:paraId="3A107828" w14:textId="7398CE17" w:rsidR="006926B7" w:rsidRPr="006926B7" w:rsidRDefault="006926B7" w:rsidP="006926B7">
      <w:pPr>
        <w:spacing w:after="0" w:line="312" w:lineRule="auto"/>
        <w:ind w:firstLine="709"/>
        <w:jc w:val="both"/>
        <w:rPr>
          <w:rFonts w:ascii="Times New Roman" w:eastAsia="Times New Roman" w:hAnsi="Times New Roman" w:cs="Times New Roman"/>
          <w:sz w:val="28"/>
          <w:szCs w:val="28"/>
          <w:lang w:eastAsia="ru-RU"/>
        </w:rPr>
      </w:pPr>
      <w:r w:rsidRPr="006926B7">
        <w:rPr>
          <w:rFonts w:ascii="Times New Roman" w:eastAsia="Times New Roman" w:hAnsi="Times New Roman" w:cs="Times New Roman"/>
          <w:sz w:val="28"/>
          <w:szCs w:val="28"/>
          <w:lang w:eastAsia="ru-RU"/>
        </w:rPr>
        <w:t>Сохраняется неравномерное распределение организаций по субъектам Российской Федерации – от 1 до 478 организаци</w:t>
      </w:r>
      <w:r w:rsidR="00167A45">
        <w:rPr>
          <w:rFonts w:ascii="Times New Roman" w:eastAsia="Times New Roman" w:hAnsi="Times New Roman" w:cs="Times New Roman"/>
          <w:sz w:val="28"/>
          <w:szCs w:val="28"/>
          <w:lang w:eastAsia="ru-RU"/>
        </w:rPr>
        <w:t>й</w:t>
      </w:r>
      <w:r w:rsidRPr="00692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926B7">
        <w:rPr>
          <w:rFonts w:ascii="Times New Roman" w:eastAsia="Times New Roman" w:hAnsi="Times New Roman" w:cs="Times New Roman"/>
          <w:sz w:val="28"/>
          <w:szCs w:val="28"/>
          <w:lang w:eastAsia="ru-RU"/>
        </w:rPr>
        <w:t>Распределение организаций по основным сферам в 2021 г</w:t>
      </w:r>
      <w:r w:rsidR="00167A4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показало, что 26,3</w:t>
      </w:r>
      <w:r w:rsidRPr="006926B7">
        <w:rPr>
          <w:rFonts w:ascii="Times New Roman" w:eastAsia="Times New Roman" w:hAnsi="Times New Roman" w:cs="Times New Roman"/>
          <w:sz w:val="28"/>
          <w:szCs w:val="28"/>
          <w:lang w:eastAsia="ru-RU"/>
        </w:rPr>
        <w:t xml:space="preserve">% – в сфере охраны здоровья </w:t>
      </w:r>
      <w:r>
        <w:rPr>
          <w:rFonts w:ascii="Times New Roman" w:eastAsia="Times New Roman" w:hAnsi="Times New Roman" w:cs="Times New Roman"/>
          <w:sz w:val="28"/>
          <w:szCs w:val="28"/>
          <w:lang w:eastAsia="ru-RU"/>
        </w:rPr>
        <w:br/>
      </w:r>
      <w:r w:rsidRPr="00692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2020 г. – 28</w:t>
      </w:r>
      <w:r w:rsidRPr="00692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2019 г. – 26,5%), 57,7% – в сфере образования (</w:t>
      </w:r>
      <w:r w:rsidRPr="006926B7">
        <w:rPr>
          <w:rFonts w:ascii="Times New Roman" w:eastAsia="Times New Roman" w:hAnsi="Times New Roman" w:cs="Times New Roman"/>
          <w:sz w:val="28"/>
          <w:szCs w:val="28"/>
          <w:lang w:eastAsia="ru-RU"/>
        </w:rPr>
        <w:t>2020 г</w:t>
      </w:r>
      <w:r>
        <w:rPr>
          <w:rFonts w:ascii="Times New Roman" w:eastAsia="Times New Roman" w:hAnsi="Times New Roman" w:cs="Times New Roman"/>
          <w:sz w:val="28"/>
          <w:szCs w:val="28"/>
          <w:lang w:eastAsia="ru-RU"/>
        </w:rPr>
        <w:t>. – 54,7</w:t>
      </w:r>
      <w:r w:rsidRPr="00692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6926B7">
        <w:rPr>
          <w:rFonts w:ascii="Times New Roman" w:eastAsia="Times New Roman" w:hAnsi="Times New Roman" w:cs="Times New Roman"/>
          <w:sz w:val="28"/>
          <w:szCs w:val="28"/>
          <w:lang w:eastAsia="ru-RU"/>
        </w:rPr>
        <w:t>2019 г</w:t>
      </w:r>
      <w:r>
        <w:rPr>
          <w:rFonts w:ascii="Times New Roman" w:eastAsia="Times New Roman" w:hAnsi="Times New Roman" w:cs="Times New Roman"/>
          <w:sz w:val="28"/>
          <w:szCs w:val="28"/>
          <w:lang w:eastAsia="ru-RU"/>
        </w:rPr>
        <w:t>. – 55,3%), 15,2</w:t>
      </w:r>
      <w:r w:rsidRPr="006926B7">
        <w:rPr>
          <w:rFonts w:ascii="Times New Roman" w:eastAsia="Times New Roman" w:hAnsi="Times New Roman" w:cs="Times New Roman"/>
          <w:sz w:val="28"/>
          <w:szCs w:val="28"/>
          <w:lang w:eastAsia="ru-RU"/>
        </w:rPr>
        <w:t>% – в сфер</w:t>
      </w:r>
      <w:r>
        <w:rPr>
          <w:rFonts w:ascii="Times New Roman" w:eastAsia="Times New Roman" w:hAnsi="Times New Roman" w:cs="Times New Roman"/>
          <w:sz w:val="28"/>
          <w:szCs w:val="28"/>
          <w:lang w:eastAsia="ru-RU"/>
        </w:rPr>
        <w:t>е социальной защиты населения (</w:t>
      </w:r>
      <w:r w:rsidRPr="006926B7">
        <w:rPr>
          <w:rFonts w:ascii="Times New Roman" w:eastAsia="Times New Roman" w:hAnsi="Times New Roman" w:cs="Times New Roman"/>
          <w:sz w:val="28"/>
          <w:szCs w:val="28"/>
          <w:lang w:eastAsia="ru-RU"/>
        </w:rPr>
        <w:t>2020 г</w:t>
      </w:r>
      <w:r>
        <w:rPr>
          <w:rFonts w:ascii="Times New Roman" w:eastAsia="Times New Roman" w:hAnsi="Times New Roman" w:cs="Times New Roman"/>
          <w:sz w:val="28"/>
          <w:szCs w:val="28"/>
          <w:lang w:eastAsia="ru-RU"/>
        </w:rPr>
        <w:t>. – 16,4</w:t>
      </w:r>
      <w:r w:rsidRPr="00692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6926B7">
        <w:rPr>
          <w:rFonts w:ascii="Times New Roman" w:eastAsia="Times New Roman" w:hAnsi="Times New Roman" w:cs="Times New Roman"/>
          <w:sz w:val="28"/>
          <w:szCs w:val="28"/>
          <w:lang w:eastAsia="ru-RU"/>
        </w:rPr>
        <w:t xml:space="preserve"> </w:t>
      </w:r>
      <w:r w:rsidR="009E08D5">
        <w:rPr>
          <w:rFonts w:ascii="Times New Roman" w:eastAsia="Times New Roman" w:hAnsi="Times New Roman" w:cs="Times New Roman"/>
          <w:sz w:val="28"/>
          <w:szCs w:val="28"/>
          <w:lang w:eastAsia="ru-RU"/>
        </w:rPr>
        <w:br/>
      </w:r>
      <w:r w:rsidRPr="006926B7">
        <w:rPr>
          <w:rFonts w:ascii="Times New Roman" w:eastAsia="Times New Roman" w:hAnsi="Times New Roman" w:cs="Times New Roman"/>
          <w:sz w:val="28"/>
          <w:szCs w:val="28"/>
          <w:lang w:eastAsia="ru-RU"/>
        </w:rPr>
        <w:t>2019 г</w:t>
      </w:r>
      <w:r>
        <w:rPr>
          <w:rFonts w:ascii="Times New Roman" w:eastAsia="Times New Roman" w:hAnsi="Times New Roman" w:cs="Times New Roman"/>
          <w:sz w:val="28"/>
          <w:szCs w:val="28"/>
          <w:lang w:eastAsia="ru-RU"/>
        </w:rPr>
        <w:t>. – 16,8%), 0</w:t>
      </w:r>
      <w:r w:rsidRPr="006926B7">
        <w:rPr>
          <w:rFonts w:ascii="Times New Roman" w:eastAsia="Times New Roman" w:hAnsi="Times New Roman" w:cs="Times New Roman"/>
          <w:sz w:val="28"/>
          <w:szCs w:val="28"/>
          <w:lang w:eastAsia="ru-RU"/>
        </w:rPr>
        <w:t>% – государственные организации другой ведомственной принадлежности (2020 г</w:t>
      </w:r>
      <w:r>
        <w:rPr>
          <w:rFonts w:ascii="Times New Roman" w:eastAsia="Times New Roman" w:hAnsi="Times New Roman" w:cs="Times New Roman"/>
          <w:sz w:val="28"/>
          <w:szCs w:val="28"/>
          <w:lang w:eastAsia="ru-RU"/>
        </w:rPr>
        <w:t>. – 0,1</w:t>
      </w:r>
      <w:r w:rsidRPr="00692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6926B7">
        <w:rPr>
          <w:rFonts w:ascii="Times New Roman" w:eastAsia="Times New Roman" w:hAnsi="Times New Roman" w:cs="Times New Roman"/>
          <w:sz w:val="28"/>
          <w:szCs w:val="28"/>
          <w:lang w:eastAsia="ru-RU"/>
        </w:rPr>
        <w:t xml:space="preserve"> 2019 г</w:t>
      </w:r>
      <w:r>
        <w:rPr>
          <w:rFonts w:ascii="Times New Roman" w:eastAsia="Times New Roman" w:hAnsi="Times New Roman" w:cs="Times New Roman"/>
          <w:sz w:val="28"/>
          <w:szCs w:val="28"/>
          <w:lang w:eastAsia="ru-RU"/>
        </w:rPr>
        <w:t>. – 0,6</w:t>
      </w:r>
      <w:r w:rsidRPr="006926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0,7</w:t>
      </w:r>
      <w:r w:rsidRPr="006926B7">
        <w:rPr>
          <w:rFonts w:ascii="Times New Roman" w:eastAsia="Times New Roman" w:hAnsi="Times New Roman" w:cs="Times New Roman"/>
          <w:sz w:val="28"/>
          <w:szCs w:val="28"/>
          <w:lang w:eastAsia="ru-RU"/>
        </w:rPr>
        <w:t>% – негосударственные организации (</w:t>
      </w:r>
      <w:r>
        <w:rPr>
          <w:rFonts w:ascii="Times New Roman" w:eastAsia="Times New Roman" w:hAnsi="Times New Roman" w:cs="Times New Roman"/>
          <w:sz w:val="28"/>
          <w:szCs w:val="28"/>
          <w:lang w:eastAsia="ru-RU"/>
        </w:rPr>
        <w:t>2020 г</w:t>
      </w:r>
      <w:r w:rsidR="005056B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 0,7</w:t>
      </w:r>
      <w:r w:rsidRPr="006926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926B7">
        <w:rPr>
          <w:rFonts w:ascii="Times New Roman" w:eastAsia="Times New Roman" w:hAnsi="Times New Roman" w:cs="Times New Roman"/>
          <w:sz w:val="28"/>
          <w:szCs w:val="28"/>
          <w:lang w:eastAsia="ru-RU"/>
        </w:rPr>
        <w:t>2019 г</w:t>
      </w:r>
      <w:r>
        <w:rPr>
          <w:rFonts w:ascii="Times New Roman" w:eastAsia="Times New Roman" w:hAnsi="Times New Roman" w:cs="Times New Roman"/>
          <w:sz w:val="28"/>
          <w:szCs w:val="28"/>
          <w:lang w:eastAsia="ru-RU"/>
        </w:rPr>
        <w:t>. – 0,8</w:t>
      </w:r>
      <w:r w:rsidRPr="006926B7">
        <w:rPr>
          <w:rFonts w:ascii="Times New Roman" w:eastAsia="Times New Roman" w:hAnsi="Times New Roman" w:cs="Times New Roman"/>
          <w:sz w:val="28"/>
          <w:szCs w:val="28"/>
          <w:lang w:eastAsia="ru-RU"/>
        </w:rPr>
        <w:t>%).</w:t>
      </w:r>
    </w:p>
    <w:p w14:paraId="24DE5BD8" w14:textId="0FB9BBAA" w:rsidR="006926B7" w:rsidRPr="006926B7" w:rsidRDefault="006926B7" w:rsidP="006926B7">
      <w:pPr>
        <w:spacing w:after="0" w:line="312" w:lineRule="auto"/>
        <w:ind w:firstLine="709"/>
        <w:jc w:val="both"/>
        <w:rPr>
          <w:rFonts w:ascii="Times New Roman" w:eastAsia="Times New Roman" w:hAnsi="Times New Roman" w:cs="Times New Roman"/>
          <w:sz w:val="28"/>
          <w:szCs w:val="28"/>
          <w:lang w:eastAsia="ru-RU"/>
        </w:rPr>
      </w:pPr>
      <w:r w:rsidRPr="006926B7">
        <w:rPr>
          <w:rFonts w:ascii="Times New Roman" w:eastAsia="Times New Roman" w:hAnsi="Times New Roman" w:cs="Times New Roman"/>
          <w:sz w:val="28"/>
          <w:szCs w:val="28"/>
          <w:lang w:eastAsia="ru-RU"/>
        </w:rPr>
        <w:t>По с</w:t>
      </w:r>
      <w:r>
        <w:rPr>
          <w:rFonts w:ascii="Times New Roman" w:eastAsia="Times New Roman" w:hAnsi="Times New Roman" w:cs="Times New Roman"/>
          <w:sz w:val="28"/>
          <w:szCs w:val="28"/>
          <w:lang w:eastAsia="ru-RU"/>
        </w:rPr>
        <w:t xml:space="preserve">остоянию на 31 декабря 2021 г. </w:t>
      </w:r>
      <w:r w:rsidRPr="006926B7">
        <w:rPr>
          <w:rFonts w:ascii="Times New Roman" w:eastAsia="Times New Roman" w:hAnsi="Times New Roman" w:cs="Times New Roman"/>
          <w:sz w:val="28"/>
          <w:szCs w:val="28"/>
          <w:lang w:eastAsia="ru-RU"/>
        </w:rPr>
        <w:t xml:space="preserve">в Российской Федерации создано </w:t>
      </w:r>
      <w:r>
        <w:rPr>
          <w:rFonts w:ascii="Times New Roman" w:eastAsia="Times New Roman" w:hAnsi="Times New Roman" w:cs="Times New Roman"/>
          <w:sz w:val="28"/>
          <w:szCs w:val="28"/>
          <w:lang w:eastAsia="ru-RU"/>
        </w:rPr>
        <w:br/>
      </w:r>
      <w:r w:rsidRPr="006926B7">
        <w:rPr>
          <w:rFonts w:ascii="Times New Roman" w:eastAsia="Times New Roman" w:hAnsi="Times New Roman" w:cs="Times New Roman"/>
          <w:sz w:val="28"/>
          <w:szCs w:val="28"/>
          <w:lang w:eastAsia="ru-RU"/>
        </w:rPr>
        <w:t>75 Региональных ресурсно-метод</w:t>
      </w:r>
      <w:r>
        <w:rPr>
          <w:rFonts w:ascii="Times New Roman" w:eastAsia="Times New Roman" w:hAnsi="Times New Roman" w:cs="Times New Roman"/>
          <w:sz w:val="28"/>
          <w:szCs w:val="28"/>
          <w:lang w:eastAsia="ru-RU"/>
        </w:rPr>
        <w:t>ических центра ранней помощи (</w:t>
      </w:r>
      <w:r w:rsidRPr="006926B7">
        <w:rPr>
          <w:rFonts w:ascii="Times New Roman" w:eastAsia="Times New Roman" w:hAnsi="Times New Roman" w:cs="Times New Roman"/>
          <w:sz w:val="28"/>
          <w:szCs w:val="28"/>
          <w:lang w:eastAsia="ru-RU"/>
        </w:rPr>
        <w:t>2020 г. – 72</w:t>
      </w:r>
      <w:r>
        <w:rPr>
          <w:rFonts w:ascii="Times New Roman" w:eastAsia="Times New Roman" w:hAnsi="Times New Roman" w:cs="Times New Roman"/>
          <w:sz w:val="28"/>
          <w:szCs w:val="28"/>
          <w:lang w:eastAsia="ru-RU"/>
        </w:rPr>
        <w:t>;</w:t>
      </w:r>
      <w:r w:rsidRPr="006926B7">
        <w:rPr>
          <w:rFonts w:ascii="Times New Roman" w:eastAsia="Times New Roman" w:hAnsi="Times New Roman" w:cs="Times New Roman"/>
          <w:sz w:val="28"/>
          <w:szCs w:val="28"/>
          <w:lang w:eastAsia="ru-RU"/>
        </w:rPr>
        <w:t xml:space="preserve"> </w:t>
      </w:r>
      <w:r w:rsidR="009E08D5">
        <w:rPr>
          <w:rFonts w:ascii="Times New Roman" w:eastAsia="Times New Roman" w:hAnsi="Times New Roman" w:cs="Times New Roman"/>
          <w:sz w:val="28"/>
          <w:szCs w:val="28"/>
          <w:lang w:eastAsia="ru-RU"/>
        </w:rPr>
        <w:br/>
      </w:r>
      <w:r w:rsidRPr="006926B7">
        <w:rPr>
          <w:rFonts w:ascii="Times New Roman" w:eastAsia="Times New Roman" w:hAnsi="Times New Roman" w:cs="Times New Roman"/>
          <w:sz w:val="28"/>
          <w:szCs w:val="28"/>
          <w:lang w:eastAsia="ru-RU"/>
        </w:rPr>
        <w:t xml:space="preserve">2019 г. – 73), из них 12 – в сфере охраны здоровья, 27 – в </w:t>
      </w:r>
      <w:r>
        <w:rPr>
          <w:rFonts w:ascii="Times New Roman" w:eastAsia="Times New Roman" w:hAnsi="Times New Roman" w:cs="Times New Roman"/>
          <w:sz w:val="28"/>
          <w:szCs w:val="28"/>
          <w:lang w:eastAsia="ru-RU"/>
        </w:rPr>
        <w:t xml:space="preserve">сфере </w:t>
      </w:r>
      <w:r w:rsidRPr="006926B7">
        <w:rPr>
          <w:rFonts w:ascii="Times New Roman" w:eastAsia="Times New Roman" w:hAnsi="Times New Roman" w:cs="Times New Roman"/>
          <w:sz w:val="28"/>
          <w:szCs w:val="28"/>
          <w:lang w:eastAsia="ru-RU"/>
        </w:rPr>
        <w:t>образовани</w:t>
      </w:r>
      <w:r w:rsidR="00FF1188">
        <w:rPr>
          <w:rFonts w:ascii="Times New Roman" w:eastAsia="Times New Roman" w:hAnsi="Times New Roman" w:cs="Times New Roman"/>
          <w:sz w:val="28"/>
          <w:szCs w:val="28"/>
          <w:lang w:eastAsia="ru-RU"/>
        </w:rPr>
        <w:t>я</w:t>
      </w:r>
      <w:r w:rsidRPr="006926B7">
        <w:rPr>
          <w:rFonts w:ascii="Times New Roman" w:eastAsia="Times New Roman" w:hAnsi="Times New Roman" w:cs="Times New Roman"/>
          <w:sz w:val="28"/>
          <w:szCs w:val="28"/>
          <w:lang w:eastAsia="ru-RU"/>
        </w:rPr>
        <w:t xml:space="preserve">, 36 – в </w:t>
      </w:r>
      <w:r>
        <w:rPr>
          <w:rFonts w:ascii="Times New Roman" w:eastAsia="Times New Roman" w:hAnsi="Times New Roman" w:cs="Times New Roman"/>
          <w:sz w:val="28"/>
          <w:szCs w:val="28"/>
          <w:lang w:eastAsia="ru-RU"/>
        </w:rPr>
        <w:t xml:space="preserve">сфере </w:t>
      </w:r>
      <w:r w:rsidRPr="006926B7">
        <w:rPr>
          <w:rFonts w:ascii="Times New Roman" w:eastAsia="Times New Roman" w:hAnsi="Times New Roman" w:cs="Times New Roman"/>
          <w:sz w:val="28"/>
          <w:szCs w:val="28"/>
          <w:lang w:eastAsia="ru-RU"/>
        </w:rPr>
        <w:t>социальной защит</w:t>
      </w:r>
      <w:r>
        <w:rPr>
          <w:rFonts w:ascii="Times New Roman" w:eastAsia="Times New Roman" w:hAnsi="Times New Roman" w:cs="Times New Roman"/>
          <w:sz w:val="28"/>
          <w:szCs w:val="28"/>
          <w:lang w:eastAsia="ru-RU"/>
        </w:rPr>
        <w:t>ы</w:t>
      </w:r>
      <w:r w:rsidRPr="006926B7">
        <w:rPr>
          <w:rFonts w:ascii="Times New Roman" w:eastAsia="Times New Roman" w:hAnsi="Times New Roman" w:cs="Times New Roman"/>
          <w:sz w:val="28"/>
          <w:szCs w:val="28"/>
          <w:lang w:eastAsia="ru-RU"/>
        </w:rPr>
        <w:t xml:space="preserve"> населения. Региональные ресурсно-методические центры ранней помощи созданы в 53 с</w:t>
      </w:r>
      <w:r>
        <w:rPr>
          <w:rFonts w:ascii="Times New Roman" w:eastAsia="Times New Roman" w:hAnsi="Times New Roman" w:cs="Times New Roman"/>
          <w:sz w:val="28"/>
          <w:szCs w:val="28"/>
          <w:lang w:eastAsia="ru-RU"/>
        </w:rPr>
        <w:t xml:space="preserve">убъектах Российской Федерации (2020 г. – </w:t>
      </w:r>
      <w:r w:rsidRPr="006926B7">
        <w:rPr>
          <w:rFonts w:ascii="Times New Roman" w:eastAsia="Times New Roman" w:hAnsi="Times New Roman" w:cs="Times New Roman"/>
          <w:sz w:val="28"/>
          <w:szCs w:val="28"/>
          <w:lang w:eastAsia="ru-RU"/>
        </w:rPr>
        <w:t>51 субъект</w:t>
      </w:r>
      <w:r>
        <w:rPr>
          <w:rFonts w:ascii="Times New Roman" w:eastAsia="Times New Roman" w:hAnsi="Times New Roman" w:cs="Times New Roman"/>
          <w:sz w:val="28"/>
          <w:szCs w:val="28"/>
          <w:lang w:eastAsia="ru-RU"/>
        </w:rPr>
        <w:t xml:space="preserve"> Российской Федерации; </w:t>
      </w:r>
      <w:r w:rsidRPr="006926B7">
        <w:rPr>
          <w:rFonts w:ascii="Times New Roman" w:eastAsia="Times New Roman" w:hAnsi="Times New Roman" w:cs="Times New Roman"/>
          <w:sz w:val="28"/>
          <w:szCs w:val="28"/>
          <w:lang w:eastAsia="ru-RU"/>
        </w:rPr>
        <w:t>2019 г. – 49 субъект</w:t>
      </w:r>
      <w:r>
        <w:rPr>
          <w:rFonts w:ascii="Times New Roman" w:eastAsia="Times New Roman" w:hAnsi="Times New Roman" w:cs="Times New Roman"/>
          <w:sz w:val="28"/>
          <w:szCs w:val="28"/>
          <w:lang w:eastAsia="ru-RU"/>
        </w:rPr>
        <w:t>ов Российской Федерации</w:t>
      </w:r>
      <w:r w:rsidRPr="006926B7">
        <w:rPr>
          <w:rFonts w:ascii="Times New Roman" w:eastAsia="Times New Roman" w:hAnsi="Times New Roman" w:cs="Times New Roman"/>
          <w:sz w:val="28"/>
          <w:szCs w:val="28"/>
          <w:lang w:eastAsia="ru-RU"/>
        </w:rPr>
        <w:t>).</w:t>
      </w:r>
    </w:p>
    <w:p w14:paraId="0176219F" w14:textId="77777777" w:rsidR="006926B7" w:rsidRPr="006926B7" w:rsidRDefault="006926B7" w:rsidP="006926B7">
      <w:pPr>
        <w:spacing w:after="0" w:line="312" w:lineRule="auto"/>
        <w:ind w:firstLine="709"/>
        <w:jc w:val="both"/>
        <w:rPr>
          <w:rFonts w:ascii="Times New Roman" w:eastAsia="Times New Roman" w:hAnsi="Times New Roman" w:cs="Times New Roman"/>
          <w:sz w:val="28"/>
          <w:szCs w:val="28"/>
          <w:lang w:eastAsia="ru-RU"/>
        </w:rPr>
      </w:pPr>
      <w:r w:rsidRPr="006926B7">
        <w:rPr>
          <w:rFonts w:ascii="Times New Roman" w:eastAsia="Times New Roman" w:hAnsi="Times New Roman" w:cs="Times New Roman"/>
          <w:sz w:val="28"/>
          <w:szCs w:val="28"/>
          <w:lang w:eastAsia="ru-RU"/>
        </w:rPr>
        <w:t>По данным статистического наблюдения</w:t>
      </w:r>
      <w:r w:rsidR="00EA692A">
        <w:rPr>
          <w:rFonts w:ascii="Times New Roman" w:eastAsia="Times New Roman" w:hAnsi="Times New Roman" w:cs="Times New Roman"/>
          <w:sz w:val="28"/>
          <w:szCs w:val="28"/>
          <w:lang w:eastAsia="ru-RU"/>
        </w:rPr>
        <w:t>,</w:t>
      </w:r>
      <w:r w:rsidRPr="006926B7">
        <w:rPr>
          <w:rFonts w:ascii="Times New Roman" w:eastAsia="Times New Roman" w:hAnsi="Times New Roman" w:cs="Times New Roman"/>
          <w:sz w:val="28"/>
          <w:szCs w:val="28"/>
          <w:lang w:eastAsia="ru-RU"/>
        </w:rPr>
        <w:t xml:space="preserve"> по состоянию на 31 декабря 2021 г. численность детей, отнесенных к целевой группе, которые нуждаются в ранней помощи, по Российской Федераци</w:t>
      </w:r>
      <w:r>
        <w:rPr>
          <w:rFonts w:ascii="Times New Roman" w:eastAsia="Times New Roman" w:hAnsi="Times New Roman" w:cs="Times New Roman"/>
          <w:sz w:val="28"/>
          <w:szCs w:val="28"/>
          <w:lang w:eastAsia="ru-RU"/>
        </w:rPr>
        <w:t>и, составила 248 108 человек (</w:t>
      </w:r>
      <w:r w:rsidRPr="006926B7">
        <w:rPr>
          <w:rFonts w:ascii="Times New Roman" w:eastAsia="Times New Roman" w:hAnsi="Times New Roman" w:cs="Times New Roman"/>
          <w:sz w:val="28"/>
          <w:szCs w:val="28"/>
          <w:lang w:eastAsia="ru-RU"/>
        </w:rPr>
        <w:t>2020 г. – 190</w:t>
      </w:r>
      <w:r>
        <w:rPr>
          <w:rFonts w:ascii="Times New Roman" w:eastAsia="Times New Roman" w:hAnsi="Times New Roman" w:cs="Times New Roman"/>
          <w:sz w:val="28"/>
          <w:szCs w:val="28"/>
          <w:lang w:eastAsia="ru-RU"/>
        </w:rPr>
        <w:t> </w:t>
      </w:r>
      <w:r w:rsidRPr="006926B7">
        <w:rPr>
          <w:rFonts w:ascii="Times New Roman" w:eastAsia="Times New Roman" w:hAnsi="Times New Roman" w:cs="Times New Roman"/>
          <w:sz w:val="28"/>
          <w:szCs w:val="28"/>
          <w:lang w:eastAsia="ru-RU"/>
        </w:rPr>
        <w:t>999</w:t>
      </w:r>
      <w:r>
        <w:rPr>
          <w:rFonts w:ascii="Times New Roman" w:eastAsia="Times New Roman" w:hAnsi="Times New Roman" w:cs="Times New Roman"/>
          <w:sz w:val="28"/>
          <w:szCs w:val="28"/>
          <w:lang w:eastAsia="ru-RU"/>
        </w:rPr>
        <w:t>;</w:t>
      </w:r>
      <w:r w:rsidRPr="006926B7">
        <w:rPr>
          <w:rFonts w:ascii="Times New Roman" w:eastAsia="Times New Roman" w:hAnsi="Times New Roman" w:cs="Times New Roman"/>
          <w:sz w:val="28"/>
          <w:szCs w:val="28"/>
          <w:lang w:eastAsia="ru-RU"/>
        </w:rPr>
        <w:t xml:space="preserve"> 2019 г. – 259 851) </w:t>
      </w:r>
      <w:r w:rsidR="00EA692A">
        <w:rPr>
          <w:rFonts w:ascii="Times New Roman" w:eastAsia="Times New Roman" w:hAnsi="Times New Roman" w:cs="Times New Roman"/>
          <w:sz w:val="28"/>
          <w:szCs w:val="28"/>
          <w:lang w:eastAsia="ru-RU"/>
        </w:rPr>
        <w:t>или 4</w:t>
      </w:r>
      <w:r w:rsidRPr="006926B7">
        <w:rPr>
          <w:rFonts w:ascii="Times New Roman" w:eastAsia="Times New Roman" w:hAnsi="Times New Roman" w:cs="Times New Roman"/>
          <w:sz w:val="28"/>
          <w:szCs w:val="28"/>
          <w:lang w:eastAsia="ru-RU"/>
        </w:rPr>
        <w:t>% от общей численности детей в возрасте 0-3 года. Доля детей, нуждающихся в услугах ранней помощи, в субъектах Российской Федерации варьирует</w:t>
      </w:r>
      <w:r w:rsidR="00EA692A">
        <w:rPr>
          <w:rFonts w:ascii="Times New Roman" w:eastAsia="Times New Roman" w:hAnsi="Times New Roman" w:cs="Times New Roman"/>
          <w:sz w:val="28"/>
          <w:szCs w:val="28"/>
          <w:lang w:eastAsia="ru-RU"/>
        </w:rPr>
        <w:t>ся от 0,3% до 23,4</w:t>
      </w:r>
      <w:r w:rsidRPr="006926B7">
        <w:rPr>
          <w:rFonts w:ascii="Times New Roman" w:eastAsia="Times New Roman" w:hAnsi="Times New Roman" w:cs="Times New Roman"/>
          <w:sz w:val="28"/>
          <w:szCs w:val="28"/>
          <w:lang w:eastAsia="ru-RU"/>
        </w:rPr>
        <w:t>%.</w:t>
      </w:r>
    </w:p>
    <w:p w14:paraId="2BF4946C" w14:textId="444F3211" w:rsidR="006926B7" w:rsidRPr="006926B7" w:rsidRDefault="006926B7" w:rsidP="00EA692A">
      <w:pPr>
        <w:spacing w:after="0" w:line="312" w:lineRule="auto"/>
        <w:ind w:firstLine="709"/>
        <w:jc w:val="both"/>
        <w:rPr>
          <w:rFonts w:ascii="Times New Roman" w:eastAsia="Times New Roman" w:hAnsi="Times New Roman" w:cs="Times New Roman"/>
          <w:sz w:val="28"/>
          <w:szCs w:val="28"/>
          <w:lang w:eastAsia="ru-RU"/>
        </w:rPr>
      </w:pPr>
      <w:r w:rsidRPr="006926B7">
        <w:rPr>
          <w:rFonts w:ascii="Times New Roman" w:eastAsia="Times New Roman" w:hAnsi="Times New Roman" w:cs="Times New Roman"/>
          <w:sz w:val="28"/>
          <w:szCs w:val="28"/>
          <w:lang w:eastAsia="ru-RU"/>
        </w:rPr>
        <w:t xml:space="preserve">Численность детей целевой группы, получивших услуги ранней помощи </w:t>
      </w:r>
      <w:r w:rsidR="001B7BF2">
        <w:rPr>
          <w:rFonts w:ascii="Times New Roman" w:eastAsia="Times New Roman" w:hAnsi="Times New Roman" w:cs="Times New Roman"/>
          <w:sz w:val="28"/>
          <w:szCs w:val="28"/>
          <w:lang w:eastAsia="ru-RU"/>
        </w:rPr>
        <w:br/>
      </w:r>
      <w:r w:rsidRPr="006926B7">
        <w:rPr>
          <w:rFonts w:ascii="Times New Roman" w:eastAsia="Times New Roman" w:hAnsi="Times New Roman" w:cs="Times New Roman"/>
          <w:sz w:val="28"/>
          <w:szCs w:val="28"/>
          <w:lang w:eastAsia="ru-RU"/>
        </w:rPr>
        <w:t>в 2021 г</w:t>
      </w:r>
      <w:r w:rsidR="00167A45">
        <w:rPr>
          <w:rFonts w:ascii="Times New Roman" w:eastAsia="Times New Roman" w:hAnsi="Times New Roman" w:cs="Times New Roman"/>
          <w:sz w:val="28"/>
          <w:szCs w:val="28"/>
          <w:lang w:eastAsia="ru-RU"/>
        </w:rPr>
        <w:t>.</w:t>
      </w:r>
      <w:r w:rsidRPr="006926B7">
        <w:rPr>
          <w:rFonts w:ascii="Times New Roman" w:eastAsia="Times New Roman" w:hAnsi="Times New Roman" w:cs="Times New Roman"/>
          <w:sz w:val="28"/>
          <w:szCs w:val="28"/>
          <w:lang w:eastAsia="ru-RU"/>
        </w:rPr>
        <w:t>, состави</w:t>
      </w:r>
      <w:r w:rsidR="00EA692A">
        <w:rPr>
          <w:rFonts w:ascii="Times New Roman" w:eastAsia="Times New Roman" w:hAnsi="Times New Roman" w:cs="Times New Roman"/>
          <w:sz w:val="28"/>
          <w:szCs w:val="28"/>
          <w:lang w:eastAsia="ru-RU"/>
        </w:rPr>
        <w:t>ла 227 645 человек, что на 33,3</w:t>
      </w:r>
      <w:r w:rsidRPr="006926B7">
        <w:rPr>
          <w:rFonts w:ascii="Times New Roman" w:eastAsia="Times New Roman" w:hAnsi="Times New Roman" w:cs="Times New Roman"/>
          <w:sz w:val="28"/>
          <w:szCs w:val="28"/>
          <w:lang w:eastAsia="ru-RU"/>
        </w:rPr>
        <w:t>% больше по сравнению с данными 2020 г.</w:t>
      </w:r>
      <w:r w:rsidR="00EA692A">
        <w:rPr>
          <w:rFonts w:ascii="Times New Roman" w:eastAsia="Times New Roman" w:hAnsi="Times New Roman" w:cs="Times New Roman"/>
          <w:sz w:val="28"/>
          <w:szCs w:val="28"/>
          <w:lang w:eastAsia="ru-RU"/>
        </w:rPr>
        <w:t xml:space="preserve"> </w:t>
      </w:r>
      <w:r w:rsidRPr="006926B7">
        <w:rPr>
          <w:rFonts w:ascii="Times New Roman" w:eastAsia="Times New Roman" w:hAnsi="Times New Roman" w:cs="Times New Roman"/>
          <w:sz w:val="28"/>
          <w:szCs w:val="28"/>
          <w:lang w:eastAsia="ru-RU"/>
        </w:rPr>
        <w:t>Средний процент охвата детей ранней помощью по всем субъектам Рос</w:t>
      </w:r>
      <w:r w:rsidR="00EA692A">
        <w:rPr>
          <w:rFonts w:ascii="Times New Roman" w:eastAsia="Times New Roman" w:hAnsi="Times New Roman" w:cs="Times New Roman"/>
          <w:sz w:val="28"/>
          <w:szCs w:val="28"/>
          <w:lang w:eastAsia="ru-RU"/>
        </w:rPr>
        <w:t>сийской Федерации составил 91,8%, что на 2,4</w:t>
      </w:r>
      <w:r w:rsidRPr="006926B7">
        <w:rPr>
          <w:rFonts w:ascii="Times New Roman" w:eastAsia="Times New Roman" w:hAnsi="Times New Roman" w:cs="Times New Roman"/>
          <w:sz w:val="28"/>
          <w:szCs w:val="28"/>
          <w:lang w:eastAsia="ru-RU"/>
        </w:rPr>
        <w:t>% выше, чем в 2020 г</w:t>
      </w:r>
      <w:r w:rsidR="00167A45">
        <w:rPr>
          <w:rFonts w:ascii="Times New Roman" w:eastAsia="Times New Roman" w:hAnsi="Times New Roman" w:cs="Times New Roman"/>
          <w:sz w:val="28"/>
          <w:szCs w:val="28"/>
          <w:lang w:eastAsia="ru-RU"/>
        </w:rPr>
        <w:t>.</w:t>
      </w:r>
      <w:r w:rsidRPr="006926B7">
        <w:rPr>
          <w:rFonts w:ascii="Times New Roman" w:eastAsia="Times New Roman" w:hAnsi="Times New Roman" w:cs="Times New Roman"/>
          <w:sz w:val="28"/>
          <w:szCs w:val="28"/>
          <w:lang w:eastAsia="ru-RU"/>
        </w:rPr>
        <w:t xml:space="preserve"> (</w:t>
      </w:r>
      <w:r w:rsidR="00EA692A">
        <w:rPr>
          <w:rFonts w:ascii="Times New Roman" w:eastAsia="Times New Roman" w:hAnsi="Times New Roman" w:cs="Times New Roman"/>
          <w:sz w:val="28"/>
          <w:szCs w:val="28"/>
          <w:lang w:eastAsia="ru-RU"/>
        </w:rPr>
        <w:t xml:space="preserve">2020 г. – </w:t>
      </w:r>
      <w:r w:rsidRPr="006926B7">
        <w:rPr>
          <w:rFonts w:ascii="Times New Roman" w:eastAsia="Times New Roman" w:hAnsi="Times New Roman" w:cs="Times New Roman"/>
          <w:sz w:val="28"/>
          <w:szCs w:val="28"/>
          <w:lang w:eastAsia="ru-RU"/>
        </w:rPr>
        <w:t>8</w:t>
      </w:r>
      <w:r w:rsidR="00EA692A">
        <w:rPr>
          <w:rFonts w:ascii="Times New Roman" w:eastAsia="Times New Roman" w:hAnsi="Times New Roman" w:cs="Times New Roman"/>
          <w:sz w:val="28"/>
          <w:szCs w:val="28"/>
          <w:lang w:eastAsia="ru-RU"/>
        </w:rPr>
        <w:t>9,4</w:t>
      </w:r>
      <w:r w:rsidRPr="006926B7">
        <w:rPr>
          <w:rFonts w:ascii="Times New Roman" w:eastAsia="Times New Roman" w:hAnsi="Times New Roman" w:cs="Times New Roman"/>
          <w:sz w:val="28"/>
          <w:szCs w:val="28"/>
          <w:lang w:eastAsia="ru-RU"/>
        </w:rPr>
        <w:t>%).</w:t>
      </w:r>
    </w:p>
    <w:p w14:paraId="60EECDE6" w14:textId="77777777" w:rsidR="001F626D" w:rsidRPr="001F626D" w:rsidRDefault="001F626D" w:rsidP="001F626D">
      <w:pPr>
        <w:spacing w:after="0" w:line="312" w:lineRule="auto"/>
        <w:ind w:firstLine="709"/>
        <w:jc w:val="both"/>
        <w:rPr>
          <w:rFonts w:ascii="Times New Roman" w:eastAsia="Times New Roman" w:hAnsi="Times New Roman" w:cs="Times New Roman"/>
          <w:sz w:val="28"/>
          <w:szCs w:val="28"/>
          <w:lang w:eastAsia="ru-RU"/>
        </w:rPr>
      </w:pPr>
      <w:r w:rsidRPr="001F626D">
        <w:rPr>
          <w:rFonts w:ascii="Times New Roman" w:eastAsia="Times New Roman" w:hAnsi="Times New Roman" w:cs="Times New Roman"/>
          <w:sz w:val="28"/>
          <w:szCs w:val="28"/>
          <w:lang w:eastAsia="ru-RU"/>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14:paraId="445DCDA7" w14:textId="44113ADE" w:rsidR="001F626D" w:rsidRPr="001F626D" w:rsidRDefault="001F626D" w:rsidP="001F626D">
      <w:pPr>
        <w:spacing w:after="0" w:line="312" w:lineRule="auto"/>
        <w:ind w:firstLine="709"/>
        <w:jc w:val="both"/>
        <w:rPr>
          <w:rFonts w:ascii="Times New Roman" w:eastAsia="Times New Roman" w:hAnsi="Times New Roman" w:cs="Times New Roman"/>
          <w:sz w:val="28"/>
          <w:szCs w:val="28"/>
          <w:lang w:eastAsia="ru-RU"/>
        </w:rPr>
      </w:pPr>
      <w:r w:rsidRPr="001F626D">
        <w:rPr>
          <w:rFonts w:ascii="Times New Roman" w:eastAsia="Times New Roman" w:hAnsi="Times New Roman" w:cs="Times New Roman"/>
          <w:sz w:val="28"/>
          <w:szCs w:val="28"/>
          <w:lang w:eastAsia="ru-RU"/>
        </w:rPr>
        <w:t>Государство гарантирует детям</w:t>
      </w:r>
      <w:r w:rsidR="003B77D7">
        <w:rPr>
          <w:rFonts w:ascii="Times New Roman" w:eastAsia="Times New Roman" w:hAnsi="Times New Roman" w:cs="Times New Roman"/>
          <w:sz w:val="28"/>
          <w:szCs w:val="28"/>
          <w:lang w:eastAsia="ru-RU"/>
        </w:rPr>
        <w:t xml:space="preserve"> с инвалидностью</w:t>
      </w:r>
      <w:r w:rsidRPr="001F626D">
        <w:rPr>
          <w:rFonts w:ascii="Times New Roman" w:eastAsia="Times New Roman" w:hAnsi="Times New Roman" w:cs="Times New Roman"/>
          <w:sz w:val="28"/>
          <w:szCs w:val="28"/>
          <w:lang w:eastAsia="ru-RU"/>
        </w:rPr>
        <w:t xml:space="preserve">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питания, путевками на санаторно-курортное лечение, поездками к месту лечения и обратно с сопровождающим лицом.</w:t>
      </w:r>
    </w:p>
    <w:p w14:paraId="6934C071" w14:textId="77777777" w:rsidR="00D43115" w:rsidRDefault="00D43115" w:rsidP="001F474F">
      <w:pPr>
        <w:spacing w:before="120" w:after="120" w:line="312" w:lineRule="auto"/>
        <w:ind w:firstLine="709"/>
        <w:jc w:val="center"/>
        <w:rPr>
          <w:rFonts w:ascii="Times New Roman" w:eastAsia="Times New Roman" w:hAnsi="Times New Roman" w:cs="Times New Roman"/>
          <w:i/>
          <w:sz w:val="28"/>
          <w:szCs w:val="28"/>
          <w:lang w:eastAsia="ru-RU"/>
        </w:rPr>
      </w:pPr>
    </w:p>
    <w:p w14:paraId="27C7A6CA" w14:textId="77777777" w:rsidR="00D43115" w:rsidRDefault="00D43115" w:rsidP="001F474F">
      <w:pPr>
        <w:spacing w:before="120" w:after="120" w:line="312" w:lineRule="auto"/>
        <w:ind w:firstLine="709"/>
        <w:jc w:val="center"/>
        <w:rPr>
          <w:rFonts w:ascii="Times New Roman" w:eastAsia="Times New Roman" w:hAnsi="Times New Roman" w:cs="Times New Roman"/>
          <w:i/>
          <w:sz w:val="28"/>
          <w:szCs w:val="28"/>
          <w:lang w:eastAsia="ru-RU"/>
        </w:rPr>
      </w:pPr>
    </w:p>
    <w:p w14:paraId="5DA760C6" w14:textId="77777777" w:rsidR="001F626D" w:rsidRDefault="001F626D" w:rsidP="001F474F">
      <w:pPr>
        <w:spacing w:before="120" w:after="120" w:line="312" w:lineRule="auto"/>
        <w:ind w:firstLine="709"/>
        <w:jc w:val="center"/>
        <w:rPr>
          <w:rFonts w:ascii="Times New Roman" w:eastAsia="Times New Roman" w:hAnsi="Times New Roman" w:cs="Times New Roman"/>
          <w:i/>
          <w:sz w:val="28"/>
          <w:szCs w:val="28"/>
          <w:lang w:eastAsia="ru-RU"/>
        </w:rPr>
      </w:pPr>
      <w:r w:rsidRPr="00D03A4F">
        <w:rPr>
          <w:rFonts w:ascii="Times New Roman" w:eastAsia="Times New Roman" w:hAnsi="Times New Roman" w:cs="Times New Roman"/>
          <w:i/>
          <w:sz w:val="28"/>
          <w:szCs w:val="28"/>
          <w:lang w:eastAsia="ru-RU"/>
        </w:rPr>
        <w:t>Охрана здоровья детей в домах ребенка</w:t>
      </w:r>
    </w:p>
    <w:p w14:paraId="7938755A" w14:textId="5CA487DA" w:rsidR="00275B73" w:rsidRPr="00275B73" w:rsidRDefault="00275B73" w:rsidP="00275B73">
      <w:pPr>
        <w:spacing w:after="0" w:line="312" w:lineRule="auto"/>
        <w:ind w:firstLine="709"/>
        <w:jc w:val="both"/>
        <w:rPr>
          <w:rFonts w:ascii="Times New Roman" w:eastAsia="Times New Roman" w:hAnsi="Times New Roman" w:cs="Times New Roman"/>
          <w:sz w:val="28"/>
          <w:szCs w:val="28"/>
          <w:lang w:eastAsia="ru-RU"/>
        </w:rPr>
      </w:pPr>
      <w:r w:rsidRPr="00275B73">
        <w:rPr>
          <w:rFonts w:ascii="Times New Roman" w:eastAsia="Times New Roman" w:hAnsi="Times New Roman" w:cs="Times New Roman"/>
          <w:sz w:val="28"/>
          <w:szCs w:val="28"/>
          <w:lang w:eastAsia="ru-RU"/>
        </w:rPr>
        <w:t>По состоянию на 31 декабря 2021 г</w:t>
      </w:r>
      <w:r w:rsidR="001A1225">
        <w:rPr>
          <w:rFonts w:ascii="Times New Roman" w:eastAsia="Times New Roman" w:hAnsi="Times New Roman" w:cs="Times New Roman"/>
          <w:sz w:val="28"/>
          <w:szCs w:val="28"/>
          <w:lang w:eastAsia="ru-RU"/>
        </w:rPr>
        <w:t>.</w:t>
      </w:r>
      <w:r w:rsidRPr="00275B73">
        <w:rPr>
          <w:rFonts w:ascii="Times New Roman" w:eastAsia="Times New Roman" w:hAnsi="Times New Roman" w:cs="Times New Roman"/>
          <w:sz w:val="28"/>
          <w:szCs w:val="28"/>
          <w:lang w:eastAsia="ru-RU"/>
        </w:rPr>
        <w:t xml:space="preserve"> в Российской Федерации функционировали 134 домов ребенка на 10 276 мест, в которых воспитывалось 5 968 детей, в том числе 2 721 </w:t>
      </w:r>
      <w:r w:rsidR="00F54346">
        <w:rPr>
          <w:rFonts w:ascii="Times New Roman" w:eastAsia="Times New Roman" w:hAnsi="Times New Roman" w:cs="Times New Roman"/>
          <w:sz w:val="28"/>
          <w:szCs w:val="28"/>
          <w:lang w:eastAsia="ru-RU"/>
        </w:rPr>
        <w:t>ребенок, оставший</w:t>
      </w:r>
      <w:r w:rsidRPr="00275B73">
        <w:rPr>
          <w:rFonts w:ascii="Times New Roman" w:eastAsia="Times New Roman" w:hAnsi="Times New Roman" w:cs="Times New Roman"/>
          <w:sz w:val="28"/>
          <w:szCs w:val="28"/>
          <w:lang w:eastAsia="ru-RU"/>
        </w:rPr>
        <w:t xml:space="preserve">ся без попечения родителей, из них 99 детей-сирот </w:t>
      </w:r>
      <w:r w:rsidR="009E08D5">
        <w:rPr>
          <w:rFonts w:ascii="Times New Roman" w:eastAsia="Times New Roman" w:hAnsi="Times New Roman" w:cs="Times New Roman"/>
          <w:sz w:val="28"/>
          <w:szCs w:val="28"/>
          <w:lang w:eastAsia="ru-RU"/>
        </w:rPr>
        <w:br/>
      </w:r>
      <w:r w:rsidRPr="00275B73">
        <w:rPr>
          <w:rFonts w:ascii="Times New Roman" w:eastAsia="Times New Roman" w:hAnsi="Times New Roman" w:cs="Times New Roman"/>
          <w:sz w:val="28"/>
          <w:szCs w:val="28"/>
          <w:lang w:eastAsia="ru-RU"/>
        </w:rPr>
        <w:t>(2020 г. – 136 домов ребенка на 10 629 мест, в которых воспитывалось 6 166 детей, в том числе 3 067 детей, оставшихся без попечения родителей, из них 120 детей-сирот</w:t>
      </w:r>
      <w:r w:rsidR="00BD2037">
        <w:rPr>
          <w:rFonts w:ascii="Times New Roman" w:eastAsia="Times New Roman" w:hAnsi="Times New Roman" w:cs="Times New Roman"/>
          <w:sz w:val="28"/>
          <w:szCs w:val="28"/>
          <w:lang w:eastAsia="ru-RU"/>
        </w:rPr>
        <w:t>;</w:t>
      </w:r>
      <w:r w:rsidRPr="00275B73">
        <w:rPr>
          <w:rFonts w:ascii="Times New Roman" w:eastAsia="Times New Roman" w:hAnsi="Times New Roman" w:cs="Times New Roman"/>
          <w:sz w:val="28"/>
          <w:szCs w:val="28"/>
          <w:lang w:eastAsia="ru-RU"/>
        </w:rPr>
        <w:t xml:space="preserve"> 2019 г. – 1</w:t>
      </w:r>
      <w:r w:rsidR="00F54346">
        <w:rPr>
          <w:rFonts w:ascii="Times New Roman" w:eastAsia="Times New Roman" w:hAnsi="Times New Roman" w:cs="Times New Roman"/>
          <w:sz w:val="28"/>
          <w:szCs w:val="28"/>
          <w:lang w:eastAsia="ru-RU"/>
        </w:rPr>
        <w:t>39 домов ребенка на 11 098 мест</w:t>
      </w:r>
      <w:r w:rsidRPr="00275B73">
        <w:rPr>
          <w:rFonts w:ascii="Times New Roman" w:eastAsia="Times New Roman" w:hAnsi="Times New Roman" w:cs="Times New Roman"/>
          <w:sz w:val="28"/>
          <w:szCs w:val="28"/>
          <w:lang w:eastAsia="ru-RU"/>
        </w:rPr>
        <w:t xml:space="preserve">, в которых воспитывалось 7 059 </w:t>
      </w:r>
      <w:r w:rsidR="00F54346">
        <w:rPr>
          <w:rFonts w:ascii="Times New Roman" w:eastAsia="Times New Roman" w:hAnsi="Times New Roman" w:cs="Times New Roman"/>
          <w:sz w:val="28"/>
          <w:szCs w:val="28"/>
          <w:lang w:eastAsia="ru-RU"/>
        </w:rPr>
        <w:t>детей</w:t>
      </w:r>
      <w:r w:rsidRPr="00275B73">
        <w:rPr>
          <w:rFonts w:ascii="Times New Roman" w:eastAsia="Times New Roman" w:hAnsi="Times New Roman" w:cs="Times New Roman"/>
          <w:sz w:val="28"/>
          <w:szCs w:val="28"/>
          <w:lang w:eastAsia="ru-RU"/>
        </w:rPr>
        <w:t xml:space="preserve">, в том числе 3 140 </w:t>
      </w:r>
      <w:r w:rsidR="00F54346">
        <w:rPr>
          <w:rFonts w:ascii="Times New Roman" w:eastAsia="Times New Roman" w:hAnsi="Times New Roman" w:cs="Times New Roman"/>
          <w:sz w:val="28"/>
          <w:szCs w:val="28"/>
          <w:lang w:eastAsia="ru-RU"/>
        </w:rPr>
        <w:t>детей</w:t>
      </w:r>
      <w:r w:rsidRPr="00275B73">
        <w:rPr>
          <w:rFonts w:ascii="Times New Roman" w:eastAsia="Times New Roman" w:hAnsi="Times New Roman" w:cs="Times New Roman"/>
          <w:sz w:val="28"/>
          <w:szCs w:val="28"/>
          <w:lang w:eastAsia="ru-RU"/>
        </w:rPr>
        <w:t>, оставшихся без попечения родителей, из них 120 детей-сирот). Среди детей, поступающих в дома ребенка в 2021 г</w:t>
      </w:r>
      <w:r w:rsidR="00167A45">
        <w:rPr>
          <w:rFonts w:ascii="Times New Roman" w:eastAsia="Times New Roman" w:hAnsi="Times New Roman" w:cs="Times New Roman"/>
          <w:sz w:val="28"/>
          <w:szCs w:val="28"/>
          <w:lang w:eastAsia="ru-RU"/>
        </w:rPr>
        <w:t>.</w:t>
      </w:r>
      <w:r w:rsidRPr="00275B73">
        <w:rPr>
          <w:rFonts w:ascii="Times New Roman" w:eastAsia="Times New Roman" w:hAnsi="Times New Roman" w:cs="Times New Roman"/>
          <w:sz w:val="28"/>
          <w:szCs w:val="28"/>
          <w:lang w:eastAsia="ru-RU"/>
        </w:rPr>
        <w:t>, дети-сироты и дети, оставшиеся без попе</w:t>
      </w:r>
      <w:r w:rsidR="00A37CCE">
        <w:rPr>
          <w:rFonts w:ascii="Times New Roman" w:eastAsia="Times New Roman" w:hAnsi="Times New Roman" w:cs="Times New Roman"/>
          <w:sz w:val="28"/>
          <w:szCs w:val="28"/>
          <w:lang w:eastAsia="ru-RU"/>
        </w:rPr>
        <w:t>чения родителей, составили 45,6% (2020 г. – 49,7</w:t>
      </w:r>
      <w:r w:rsidRPr="00275B73">
        <w:rPr>
          <w:rFonts w:ascii="Times New Roman" w:eastAsia="Times New Roman" w:hAnsi="Times New Roman" w:cs="Times New Roman"/>
          <w:sz w:val="28"/>
          <w:szCs w:val="28"/>
          <w:lang w:eastAsia="ru-RU"/>
        </w:rPr>
        <w:t>%</w:t>
      </w:r>
      <w:r w:rsidR="00A37CCE">
        <w:rPr>
          <w:rFonts w:ascii="Times New Roman" w:eastAsia="Times New Roman" w:hAnsi="Times New Roman" w:cs="Times New Roman"/>
          <w:sz w:val="28"/>
          <w:szCs w:val="28"/>
          <w:lang w:eastAsia="ru-RU"/>
        </w:rPr>
        <w:t>;</w:t>
      </w:r>
      <w:r w:rsidR="00224702">
        <w:rPr>
          <w:rFonts w:ascii="Times New Roman" w:eastAsia="Times New Roman" w:hAnsi="Times New Roman" w:cs="Times New Roman"/>
          <w:sz w:val="28"/>
          <w:szCs w:val="28"/>
          <w:lang w:eastAsia="ru-RU"/>
        </w:rPr>
        <w:t xml:space="preserve"> 2019 г. – 43,7</w:t>
      </w:r>
      <w:r w:rsidR="006514DC">
        <w:rPr>
          <w:rFonts w:ascii="Times New Roman" w:eastAsia="Times New Roman" w:hAnsi="Times New Roman" w:cs="Times New Roman"/>
          <w:sz w:val="28"/>
          <w:szCs w:val="28"/>
          <w:lang w:eastAsia="ru-RU"/>
        </w:rPr>
        <w:t>%).</w:t>
      </w:r>
    </w:p>
    <w:p w14:paraId="05FAED58" w14:textId="77777777" w:rsidR="00275B73" w:rsidRPr="00275B73" w:rsidRDefault="00275B73" w:rsidP="00275B73">
      <w:pPr>
        <w:spacing w:after="0" w:line="312" w:lineRule="auto"/>
        <w:ind w:firstLine="709"/>
        <w:jc w:val="both"/>
        <w:rPr>
          <w:rFonts w:ascii="Times New Roman" w:eastAsia="Times New Roman" w:hAnsi="Times New Roman" w:cs="Times New Roman"/>
          <w:sz w:val="28"/>
          <w:szCs w:val="28"/>
          <w:lang w:eastAsia="ru-RU"/>
        </w:rPr>
      </w:pPr>
      <w:r w:rsidRPr="00275B73">
        <w:rPr>
          <w:rFonts w:ascii="Times New Roman" w:eastAsia="Times New Roman" w:hAnsi="Times New Roman" w:cs="Times New Roman"/>
          <w:sz w:val="28"/>
          <w:szCs w:val="28"/>
          <w:lang w:eastAsia="ru-RU"/>
        </w:rPr>
        <w:t>Доля детей первого года ж</w:t>
      </w:r>
      <w:r w:rsidR="00224702">
        <w:rPr>
          <w:rFonts w:ascii="Times New Roman" w:eastAsia="Times New Roman" w:hAnsi="Times New Roman" w:cs="Times New Roman"/>
          <w:sz w:val="28"/>
          <w:szCs w:val="28"/>
          <w:lang w:eastAsia="ru-RU"/>
        </w:rPr>
        <w:t>изни в 2021 г</w:t>
      </w:r>
      <w:r w:rsidR="00167A45">
        <w:rPr>
          <w:rFonts w:ascii="Times New Roman" w:eastAsia="Times New Roman" w:hAnsi="Times New Roman" w:cs="Times New Roman"/>
          <w:sz w:val="28"/>
          <w:szCs w:val="28"/>
          <w:lang w:eastAsia="ru-RU"/>
        </w:rPr>
        <w:t>.</w:t>
      </w:r>
      <w:r w:rsidR="00224702">
        <w:rPr>
          <w:rFonts w:ascii="Times New Roman" w:eastAsia="Times New Roman" w:hAnsi="Times New Roman" w:cs="Times New Roman"/>
          <w:sz w:val="28"/>
          <w:szCs w:val="28"/>
          <w:lang w:eastAsia="ru-RU"/>
        </w:rPr>
        <w:t xml:space="preserve"> составила 24,2% (</w:t>
      </w:r>
      <w:r w:rsidRPr="00275B73">
        <w:rPr>
          <w:rFonts w:ascii="Times New Roman" w:eastAsia="Times New Roman" w:hAnsi="Times New Roman" w:cs="Times New Roman"/>
          <w:sz w:val="28"/>
          <w:szCs w:val="28"/>
          <w:lang w:eastAsia="ru-RU"/>
        </w:rPr>
        <w:t>2020 г</w:t>
      </w:r>
      <w:r w:rsidR="00224702">
        <w:rPr>
          <w:rFonts w:ascii="Times New Roman" w:eastAsia="Times New Roman" w:hAnsi="Times New Roman" w:cs="Times New Roman"/>
          <w:sz w:val="28"/>
          <w:szCs w:val="28"/>
          <w:lang w:eastAsia="ru-RU"/>
        </w:rPr>
        <w:t>.</w:t>
      </w:r>
      <w:r w:rsidR="00186818" w:rsidRPr="00275B73">
        <w:rPr>
          <w:rFonts w:ascii="Times New Roman" w:eastAsia="Times New Roman" w:hAnsi="Times New Roman" w:cs="Times New Roman"/>
          <w:sz w:val="28"/>
          <w:szCs w:val="28"/>
          <w:lang w:eastAsia="ru-RU"/>
        </w:rPr>
        <w:t> </w:t>
      </w:r>
      <w:r w:rsidR="00224702">
        <w:rPr>
          <w:rFonts w:ascii="Times New Roman" w:eastAsia="Times New Roman" w:hAnsi="Times New Roman" w:cs="Times New Roman"/>
          <w:sz w:val="28"/>
          <w:szCs w:val="28"/>
          <w:lang w:eastAsia="ru-RU"/>
        </w:rPr>
        <w:t>–</w:t>
      </w:r>
      <w:r w:rsidR="00186818">
        <w:rPr>
          <w:rFonts w:ascii="Times New Roman" w:eastAsia="Times New Roman" w:hAnsi="Times New Roman" w:cs="Times New Roman"/>
          <w:sz w:val="28"/>
          <w:szCs w:val="28"/>
          <w:lang w:eastAsia="ru-RU"/>
        </w:rPr>
        <w:t xml:space="preserve"> 24</w:t>
      </w:r>
      <w:r w:rsidRPr="00275B73">
        <w:rPr>
          <w:rFonts w:ascii="Times New Roman" w:eastAsia="Times New Roman" w:hAnsi="Times New Roman" w:cs="Times New Roman"/>
          <w:sz w:val="28"/>
          <w:szCs w:val="28"/>
          <w:lang w:eastAsia="ru-RU"/>
        </w:rPr>
        <w:t>%</w:t>
      </w:r>
      <w:r w:rsidR="00986C9D">
        <w:rPr>
          <w:rFonts w:ascii="Times New Roman" w:eastAsia="Times New Roman" w:hAnsi="Times New Roman" w:cs="Times New Roman"/>
          <w:sz w:val="28"/>
          <w:szCs w:val="28"/>
          <w:lang w:eastAsia="ru-RU"/>
        </w:rPr>
        <w:t xml:space="preserve">; </w:t>
      </w:r>
      <w:r w:rsidR="00167A45">
        <w:rPr>
          <w:rFonts w:ascii="Times New Roman" w:eastAsia="Times New Roman" w:hAnsi="Times New Roman" w:cs="Times New Roman"/>
          <w:sz w:val="28"/>
          <w:szCs w:val="28"/>
          <w:lang w:eastAsia="ru-RU"/>
        </w:rPr>
        <w:br/>
      </w:r>
      <w:r w:rsidRPr="00275B73">
        <w:rPr>
          <w:rFonts w:ascii="Times New Roman" w:eastAsia="Times New Roman" w:hAnsi="Times New Roman" w:cs="Times New Roman"/>
          <w:sz w:val="28"/>
          <w:szCs w:val="28"/>
          <w:lang w:eastAsia="ru-RU"/>
        </w:rPr>
        <w:t>2019 г</w:t>
      </w:r>
      <w:r w:rsidR="00986C9D">
        <w:rPr>
          <w:rFonts w:ascii="Times New Roman" w:eastAsia="Times New Roman" w:hAnsi="Times New Roman" w:cs="Times New Roman"/>
          <w:sz w:val="28"/>
          <w:szCs w:val="28"/>
          <w:lang w:eastAsia="ru-RU"/>
        </w:rPr>
        <w:t>.</w:t>
      </w:r>
      <w:r w:rsidR="00186818">
        <w:rPr>
          <w:rFonts w:ascii="Times New Roman" w:eastAsia="Times New Roman" w:hAnsi="Times New Roman" w:cs="Times New Roman"/>
          <w:sz w:val="28"/>
          <w:szCs w:val="28"/>
          <w:lang w:eastAsia="ru-RU"/>
        </w:rPr>
        <w:t xml:space="preserve"> – 25</w:t>
      </w:r>
      <w:r w:rsidRPr="00275B73">
        <w:rPr>
          <w:rFonts w:ascii="Times New Roman" w:eastAsia="Times New Roman" w:hAnsi="Times New Roman" w:cs="Times New Roman"/>
          <w:sz w:val="28"/>
          <w:szCs w:val="28"/>
          <w:lang w:eastAsia="ru-RU"/>
        </w:rPr>
        <w:t>%), причем среди них дети-сироты и дети, оставшиеся без попече</w:t>
      </w:r>
      <w:r w:rsidR="00986C9D">
        <w:rPr>
          <w:rFonts w:ascii="Times New Roman" w:eastAsia="Times New Roman" w:hAnsi="Times New Roman" w:cs="Times New Roman"/>
          <w:sz w:val="28"/>
          <w:szCs w:val="28"/>
          <w:lang w:eastAsia="ru-RU"/>
        </w:rPr>
        <w:t>ния родителей, составили – 40,7</w:t>
      </w:r>
      <w:r w:rsidRPr="00275B73">
        <w:rPr>
          <w:rFonts w:ascii="Times New Roman" w:eastAsia="Times New Roman" w:hAnsi="Times New Roman" w:cs="Times New Roman"/>
          <w:sz w:val="28"/>
          <w:szCs w:val="28"/>
          <w:lang w:eastAsia="ru-RU"/>
        </w:rPr>
        <w:t>% (2020 г</w:t>
      </w:r>
      <w:r w:rsidR="00986C9D">
        <w:rPr>
          <w:rFonts w:ascii="Times New Roman" w:eastAsia="Times New Roman" w:hAnsi="Times New Roman" w:cs="Times New Roman"/>
          <w:sz w:val="28"/>
          <w:szCs w:val="28"/>
          <w:lang w:eastAsia="ru-RU"/>
        </w:rPr>
        <w:t>.</w:t>
      </w:r>
      <w:r w:rsidRPr="00275B73">
        <w:rPr>
          <w:rFonts w:ascii="Times New Roman" w:eastAsia="Times New Roman" w:hAnsi="Times New Roman" w:cs="Times New Roman"/>
          <w:sz w:val="28"/>
          <w:szCs w:val="28"/>
          <w:lang w:eastAsia="ru-RU"/>
        </w:rPr>
        <w:t xml:space="preserve"> – 49,3%</w:t>
      </w:r>
      <w:r w:rsidR="00986C9D">
        <w:rPr>
          <w:rFonts w:ascii="Times New Roman" w:eastAsia="Times New Roman" w:hAnsi="Times New Roman" w:cs="Times New Roman"/>
          <w:sz w:val="28"/>
          <w:szCs w:val="28"/>
          <w:lang w:eastAsia="ru-RU"/>
        </w:rPr>
        <w:t xml:space="preserve">; </w:t>
      </w:r>
      <w:r w:rsidRPr="00275B73">
        <w:rPr>
          <w:rFonts w:ascii="Times New Roman" w:eastAsia="Times New Roman" w:hAnsi="Times New Roman" w:cs="Times New Roman"/>
          <w:sz w:val="28"/>
          <w:szCs w:val="28"/>
          <w:lang w:eastAsia="ru-RU"/>
        </w:rPr>
        <w:t>2019 г</w:t>
      </w:r>
      <w:r w:rsidR="00986C9D">
        <w:rPr>
          <w:rFonts w:ascii="Times New Roman" w:eastAsia="Times New Roman" w:hAnsi="Times New Roman" w:cs="Times New Roman"/>
          <w:sz w:val="28"/>
          <w:szCs w:val="28"/>
          <w:lang w:eastAsia="ru-RU"/>
        </w:rPr>
        <w:t>.</w:t>
      </w:r>
      <w:r w:rsidR="00186818">
        <w:rPr>
          <w:rFonts w:ascii="Times New Roman" w:eastAsia="Times New Roman" w:hAnsi="Times New Roman" w:cs="Times New Roman"/>
          <w:sz w:val="28"/>
          <w:szCs w:val="28"/>
          <w:lang w:eastAsia="ru-RU"/>
        </w:rPr>
        <w:t xml:space="preserve"> – 41</w:t>
      </w:r>
      <w:r w:rsidR="006514DC">
        <w:rPr>
          <w:rFonts w:ascii="Times New Roman" w:eastAsia="Times New Roman" w:hAnsi="Times New Roman" w:cs="Times New Roman"/>
          <w:sz w:val="28"/>
          <w:szCs w:val="28"/>
          <w:lang w:eastAsia="ru-RU"/>
        </w:rPr>
        <w:t>%).</w:t>
      </w:r>
    </w:p>
    <w:p w14:paraId="066FEEF6" w14:textId="77777777" w:rsidR="00275B73" w:rsidRPr="00275B73" w:rsidRDefault="00275B73" w:rsidP="00275B73">
      <w:pPr>
        <w:spacing w:after="0" w:line="312" w:lineRule="auto"/>
        <w:ind w:firstLine="709"/>
        <w:jc w:val="both"/>
        <w:rPr>
          <w:rFonts w:ascii="Times New Roman" w:eastAsia="Times New Roman" w:hAnsi="Times New Roman" w:cs="Times New Roman"/>
          <w:sz w:val="28"/>
          <w:szCs w:val="28"/>
          <w:lang w:eastAsia="ru-RU"/>
        </w:rPr>
      </w:pPr>
      <w:r w:rsidRPr="00275B73">
        <w:rPr>
          <w:rFonts w:ascii="Times New Roman" w:eastAsia="Times New Roman" w:hAnsi="Times New Roman" w:cs="Times New Roman"/>
          <w:sz w:val="28"/>
          <w:szCs w:val="28"/>
          <w:lang w:eastAsia="ru-RU"/>
        </w:rPr>
        <w:t>Удельный вес детей-инвалидов сре</w:t>
      </w:r>
      <w:r w:rsidR="006762F2">
        <w:rPr>
          <w:rFonts w:ascii="Times New Roman" w:eastAsia="Times New Roman" w:hAnsi="Times New Roman" w:cs="Times New Roman"/>
          <w:sz w:val="28"/>
          <w:szCs w:val="28"/>
          <w:lang w:eastAsia="ru-RU"/>
        </w:rPr>
        <w:t xml:space="preserve">ди воспитанников домов ребенка </w:t>
      </w:r>
      <w:r w:rsidR="00986C9D">
        <w:rPr>
          <w:rFonts w:ascii="Times New Roman" w:eastAsia="Times New Roman" w:hAnsi="Times New Roman" w:cs="Times New Roman"/>
          <w:sz w:val="28"/>
          <w:szCs w:val="28"/>
          <w:lang w:eastAsia="ru-RU"/>
        </w:rPr>
        <w:t>в 2021 г</w:t>
      </w:r>
      <w:r w:rsidR="00167A45">
        <w:rPr>
          <w:rFonts w:ascii="Times New Roman" w:eastAsia="Times New Roman" w:hAnsi="Times New Roman" w:cs="Times New Roman"/>
          <w:sz w:val="28"/>
          <w:szCs w:val="28"/>
          <w:lang w:eastAsia="ru-RU"/>
        </w:rPr>
        <w:t>.</w:t>
      </w:r>
      <w:r w:rsidR="00986C9D">
        <w:rPr>
          <w:rFonts w:ascii="Times New Roman" w:eastAsia="Times New Roman" w:hAnsi="Times New Roman" w:cs="Times New Roman"/>
          <w:sz w:val="28"/>
          <w:szCs w:val="28"/>
          <w:lang w:eastAsia="ru-RU"/>
        </w:rPr>
        <w:t xml:space="preserve"> составил 16,6% (</w:t>
      </w:r>
      <w:r w:rsidRPr="00275B73">
        <w:rPr>
          <w:rFonts w:ascii="Times New Roman" w:eastAsia="Times New Roman" w:hAnsi="Times New Roman" w:cs="Times New Roman"/>
          <w:sz w:val="28"/>
          <w:szCs w:val="28"/>
          <w:lang w:eastAsia="ru-RU"/>
        </w:rPr>
        <w:t>2020 г</w:t>
      </w:r>
      <w:r w:rsidR="00986C9D">
        <w:rPr>
          <w:rFonts w:ascii="Times New Roman" w:eastAsia="Times New Roman" w:hAnsi="Times New Roman" w:cs="Times New Roman"/>
          <w:sz w:val="28"/>
          <w:szCs w:val="28"/>
          <w:lang w:eastAsia="ru-RU"/>
        </w:rPr>
        <w:t>.</w:t>
      </w:r>
      <w:r w:rsidRPr="00275B73">
        <w:rPr>
          <w:rFonts w:ascii="Times New Roman" w:eastAsia="Times New Roman" w:hAnsi="Times New Roman" w:cs="Times New Roman"/>
          <w:sz w:val="28"/>
          <w:szCs w:val="28"/>
          <w:lang w:eastAsia="ru-RU"/>
        </w:rPr>
        <w:t xml:space="preserve"> – 18,3% от общего числа детей, воспитывающихся в домах ребенка</w:t>
      </w:r>
      <w:r w:rsidR="00986C9D">
        <w:rPr>
          <w:rFonts w:ascii="Times New Roman" w:eastAsia="Times New Roman" w:hAnsi="Times New Roman" w:cs="Times New Roman"/>
          <w:sz w:val="28"/>
          <w:szCs w:val="28"/>
          <w:lang w:eastAsia="ru-RU"/>
        </w:rPr>
        <w:t>;</w:t>
      </w:r>
      <w:r w:rsidRPr="00275B73">
        <w:rPr>
          <w:rFonts w:ascii="Times New Roman" w:eastAsia="Times New Roman" w:hAnsi="Times New Roman" w:cs="Times New Roman"/>
          <w:sz w:val="28"/>
          <w:szCs w:val="28"/>
          <w:lang w:eastAsia="ru-RU"/>
        </w:rPr>
        <w:t xml:space="preserve"> 2019 г</w:t>
      </w:r>
      <w:r w:rsidR="00986C9D">
        <w:rPr>
          <w:rFonts w:ascii="Times New Roman" w:eastAsia="Times New Roman" w:hAnsi="Times New Roman" w:cs="Times New Roman"/>
          <w:sz w:val="28"/>
          <w:szCs w:val="28"/>
          <w:lang w:eastAsia="ru-RU"/>
        </w:rPr>
        <w:t>.</w:t>
      </w:r>
      <w:r w:rsidRPr="00275B73">
        <w:rPr>
          <w:rFonts w:ascii="Times New Roman" w:eastAsia="Times New Roman" w:hAnsi="Times New Roman" w:cs="Times New Roman"/>
          <w:sz w:val="28"/>
          <w:szCs w:val="28"/>
          <w:lang w:eastAsia="ru-RU"/>
        </w:rPr>
        <w:t xml:space="preserve"> – 18,6%</w:t>
      </w:r>
      <w:r w:rsidR="00611069">
        <w:rPr>
          <w:rFonts w:ascii="Times New Roman" w:eastAsia="Times New Roman" w:hAnsi="Times New Roman" w:cs="Times New Roman"/>
          <w:sz w:val="28"/>
          <w:szCs w:val="28"/>
          <w:lang w:eastAsia="ru-RU"/>
        </w:rPr>
        <w:t xml:space="preserve"> </w:t>
      </w:r>
      <w:r w:rsidR="00986C9D" w:rsidRPr="00275B73">
        <w:rPr>
          <w:rFonts w:ascii="Times New Roman" w:eastAsia="Times New Roman" w:hAnsi="Times New Roman" w:cs="Times New Roman"/>
          <w:sz w:val="28"/>
          <w:szCs w:val="28"/>
          <w:lang w:eastAsia="ru-RU"/>
        </w:rPr>
        <w:t>от общего числа детей, воспитывающихся в домах ребенка</w:t>
      </w:r>
      <w:r w:rsidRPr="00275B73">
        <w:rPr>
          <w:rFonts w:ascii="Times New Roman" w:eastAsia="Times New Roman" w:hAnsi="Times New Roman" w:cs="Times New Roman"/>
          <w:sz w:val="28"/>
          <w:szCs w:val="28"/>
          <w:lang w:eastAsia="ru-RU"/>
        </w:rPr>
        <w:t>).</w:t>
      </w:r>
    </w:p>
    <w:p w14:paraId="0F2F0A5E" w14:textId="77777777" w:rsidR="00275B73" w:rsidRPr="00275B73" w:rsidRDefault="00275B73" w:rsidP="00275B73">
      <w:pPr>
        <w:spacing w:after="0" w:line="312" w:lineRule="auto"/>
        <w:ind w:firstLine="709"/>
        <w:jc w:val="both"/>
        <w:rPr>
          <w:rFonts w:ascii="Times New Roman" w:eastAsia="Times New Roman" w:hAnsi="Times New Roman" w:cs="Times New Roman"/>
          <w:sz w:val="28"/>
          <w:szCs w:val="28"/>
          <w:lang w:eastAsia="ru-RU"/>
        </w:rPr>
      </w:pPr>
      <w:r w:rsidRPr="00275B73">
        <w:rPr>
          <w:rFonts w:ascii="Times New Roman" w:eastAsia="Times New Roman" w:hAnsi="Times New Roman" w:cs="Times New Roman"/>
          <w:sz w:val="28"/>
          <w:szCs w:val="28"/>
          <w:lang w:eastAsia="ru-RU"/>
        </w:rPr>
        <w:t>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2021 г</w:t>
      </w:r>
      <w:r w:rsidR="00167A45">
        <w:rPr>
          <w:rFonts w:ascii="Times New Roman" w:eastAsia="Times New Roman" w:hAnsi="Times New Roman" w:cs="Times New Roman"/>
          <w:sz w:val="28"/>
          <w:szCs w:val="28"/>
          <w:lang w:eastAsia="ru-RU"/>
        </w:rPr>
        <w:t>.</w:t>
      </w:r>
      <w:r w:rsidRPr="00275B73">
        <w:rPr>
          <w:rFonts w:ascii="Times New Roman" w:eastAsia="Times New Roman" w:hAnsi="Times New Roman" w:cs="Times New Roman"/>
          <w:sz w:val="28"/>
          <w:szCs w:val="28"/>
          <w:lang w:eastAsia="ru-RU"/>
        </w:rPr>
        <w:t xml:space="preserve"> удельный вес детей с расст</w:t>
      </w:r>
      <w:r w:rsidR="00986C9D">
        <w:rPr>
          <w:rFonts w:ascii="Times New Roman" w:eastAsia="Times New Roman" w:hAnsi="Times New Roman" w:cs="Times New Roman"/>
          <w:sz w:val="28"/>
          <w:szCs w:val="28"/>
          <w:lang w:eastAsia="ru-RU"/>
        </w:rPr>
        <w:t>ройствами питания составил 25,8</w:t>
      </w:r>
      <w:r w:rsidRPr="00275B73">
        <w:rPr>
          <w:rFonts w:ascii="Times New Roman" w:eastAsia="Times New Roman" w:hAnsi="Times New Roman" w:cs="Times New Roman"/>
          <w:sz w:val="28"/>
          <w:szCs w:val="28"/>
          <w:lang w:eastAsia="ru-RU"/>
        </w:rPr>
        <w:t>%</w:t>
      </w:r>
      <w:r w:rsidR="006762F2">
        <w:rPr>
          <w:rFonts w:ascii="Times New Roman" w:eastAsia="Times New Roman" w:hAnsi="Times New Roman" w:cs="Times New Roman"/>
          <w:sz w:val="28"/>
          <w:szCs w:val="28"/>
          <w:lang w:eastAsia="ru-RU"/>
        </w:rPr>
        <w:t xml:space="preserve"> от числа всех воспитанников </w:t>
      </w:r>
      <w:r w:rsidR="002830B5">
        <w:rPr>
          <w:rFonts w:ascii="Times New Roman" w:eastAsia="Times New Roman" w:hAnsi="Times New Roman" w:cs="Times New Roman"/>
          <w:sz w:val="28"/>
          <w:szCs w:val="28"/>
          <w:lang w:eastAsia="ru-RU"/>
        </w:rPr>
        <w:t>(</w:t>
      </w:r>
      <w:r w:rsidRPr="00275B73">
        <w:rPr>
          <w:rFonts w:ascii="Times New Roman" w:eastAsia="Times New Roman" w:hAnsi="Times New Roman" w:cs="Times New Roman"/>
          <w:sz w:val="28"/>
          <w:szCs w:val="28"/>
          <w:lang w:eastAsia="ru-RU"/>
        </w:rPr>
        <w:t>2020 г</w:t>
      </w:r>
      <w:r w:rsidR="002830B5">
        <w:rPr>
          <w:rFonts w:ascii="Times New Roman" w:eastAsia="Times New Roman" w:hAnsi="Times New Roman" w:cs="Times New Roman"/>
          <w:sz w:val="28"/>
          <w:szCs w:val="28"/>
          <w:lang w:eastAsia="ru-RU"/>
        </w:rPr>
        <w:t>.</w:t>
      </w:r>
      <w:r w:rsidRPr="00275B73">
        <w:rPr>
          <w:rFonts w:ascii="Times New Roman" w:eastAsia="Times New Roman" w:hAnsi="Times New Roman" w:cs="Times New Roman"/>
          <w:sz w:val="28"/>
          <w:szCs w:val="28"/>
          <w:lang w:eastAsia="ru-RU"/>
        </w:rPr>
        <w:t xml:space="preserve"> – 25,9%</w:t>
      </w:r>
      <w:r w:rsidR="002830B5">
        <w:rPr>
          <w:rFonts w:ascii="Times New Roman" w:eastAsia="Times New Roman" w:hAnsi="Times New Roman" w:cs="Times New Roman"/>
          <w:sz w:val="28"/>
          <w:szCs w:val="28"/>
          <w:lang w:eastAsia="ru-RU"/>
        </w:rPr>
        <w:t xml:space="preserve">; </w:t>
      </w:r>
      <w:r w:rsidRPr="00275B73">
        <w:rPr>
          <w:rFonts w:ascii="Times New Roman" w:eastAsia="Times New Roman" w:hAnsi="Times New Roman" w:cs="Times New Roman"/>
          <w:sz w:val="28"/>
          <w:szCs w:val="28"/>
          <w:lang w:eastAsia="ru-RU"/>
        </w:rPr>
        <w:t>2019 г</w:t>
      </w:r>
      <w:r w:rsidR="002830B5">
        <w:rPr>
          <w:rFonts w:ascii="Times New Roman" w:eastAsia="Times New Roman" w:hAnsi="Times New Roman" w:cs="Times New Roman"/>
          <w:sz w:val="28"/>
          <w:szCs w:val="28"/>
          <w:lang w:eastAsia="ru-RU"/>
        </w:rPr>
        <w:t>.</w:t>
      </w:r>
      <w:r w:rsidRPr="00275B73">
        <w:rPr>
          <w:rFonts w:ascii="Times New Roman" w:eastAsia="Times New Roman" w:hAnsi="Times New Roman" w:cs="Times New Roman"/>
          <w:sz w:val="28"/>
          <w:szCs w:val="28"/>
          <w:lang w:eastAsia="ru-RU"/>
        </w:rPr>
        <w:t xml:space="preserve"> – 23,7%), а среди детей первого года жизни </w:t>
      </w:r>
      <w:r w:rsidR="002830B5">
        <w:rPr>
          <w:rFonts w:ascii="Times New Roman" w:eastAsia="Times New Roman" w:hAnsi="Times New Roman" w:cs="Times New Roman"/>
          <w:sz w:val="28"/>
          <w:szCs w:val="28"/>
          <w:lang w:eastAsia="ru-RU"/>
        </w:rPr>
        <w:t>– 27,9</w:t>
      </w:r>
      <w:r w:rsidRPr="00275B73">
        <w:rPr>
          <w:rFonts w:ascii="Times New Roman" w:eastAsia="Times New Roman" w:hAnsi="Times New Roman" w:cs="Times New Roman"/>
          <w:sz w:val="28"/>
          <w:szCs w:val="28"/>
          <w:lang w:eastAsia="ru-RU"/>
        </w:rPr>
        <w:t>% (2020 г</w:t>
      </w:r>
      <w:r w:rsidR="002830B5">
        <w:rPr>
          <w:rFonts w:ascii="Times New Roman" w:eastAsia="Times New Roman" w:hAnsi="Times New Roman" w:cs="Times New Roman"/>
          <w:sz w:val="28"/>
          <w:szCs w:val="28"/>
          <w:lang w:eastAsia="ru-RU"/>
        </w:rPr>
        <w:t>.</w:t>
      </w:r>
      <w:r w:rsidRPr="00275B73">
        <w:rPr>
          <w:rFonts w:ascii="Times New Roman" w:eastAsia="Times New Roman" w:hAnsi="Times New Roman" w:cs="Times New Roman"/>
          <w:sz w:val="28"/>
          <w:szCs w:val="28"/>
          <w:lang w:eastAsia="ru-RU"/>
        </w:rPr>
        <w:t xml:space="preserve"> – 28,5%</w:t>
      </w:r>
      <w:r w:rsidR="002830B5">
        <w:rPr>
          <w:rFonts w:ascii="Times New Roman" w:eastAsia="Times New Roman" w:hAnsi="Times New Roman" w:cs="Times New Roman"/>
          <w:sz w:val="28"/>
          <w:szCs w:val="28"/>
          <w:lang w:eastAsia="ru-RU"/>
        </w:rPr>
        <w:t xml:space="preserve">; </w:t>
      </w:r>
      <w:r w:rsidRPr="00275B73">
        <w:rPr>
          <w:rFonts w:ascii="Times New Roman" w:eastAsia="Times New Roman" w:hAnsi="Times New Roman" w:cs="Times New Roman"/>
          <w:sz w:val="28"/>
          <w:szCs w:val="28"/>
          <w:lang w:eastAsia="ru-RU"/>
        </w:rPr>
        <w:t>2019 г</w:t>
      </w:r>
      <w:r w:rsidR="002830B5">
        <w:rPr>
          <w:rFonts w:ascii="Times New Roman" w:eastAsia="Times New Roman" w:hAnsi="Times New Roman" w:cs="Times New Roman"/>
          <w:sz w:val="28"/>
          <w:szCs w:val="28"/>
          <w:lang w:eastAsia="ru-RU"/>
        </w:rPr>
        <w:t>.</w:t>
      </w:r>
      <w:r w:rsidRPr="00275B73">
        <w:rPr>
          <w:rFonts w:ascii="Times New Roman" w:eastAsia="Times New Roman" w:hAnsi="Times New Roman" w:cs="Times New Roman"/>
          <w:sz w:val="28"/>
          <w:szCs w:val="28"/>
          <w:lang w:eastAsia="ru-RU"/>
        </w:rPr>
        <w:t xml:space="preserve"> – 26,5%). </w:t>
      </w:r>
    </w:p>
    <w:p w14:paraId="1AAD7811" w14:textId="2EFCABFC" w:rsidR="00275B73" w:rsidRPr="00275B73" w:rsidRDefault="00275B73" w:rsidP="00275B73">
      <w:pPr>
        <w:spacing w:after="0" w:line="312" w:lineRule="auto"/>
        <w:ind w:firstLine="709"/>
        <w:jc w:val="both"/>
        <w:rPr>
          <w:rFonts w:ascii="Times New Roman" w:eastAsia="Times New Roman" w:hAnsi="Times New Roman" w:cs="Times New Roman"/>
          <w:sz w:val="28"/>
          <w:szCs w:val="28"/>
          <w:lang w:eastAsia="ru-RU"/>
        </w:rPr>
      </w:pPr>
      <w:r w:rsidRPr="00275B73">
        <w:rPr>
          <w:rFonts w:ascii="Times New Roman" w:eastAsia="Times New Roman" w:hAnsi="Times New Roman" w:cs="Times New Roman"/>
          <w:sz w:val="28"/>
          <w:szCs w:val="28"/>
          <w:lang w:eastAsia="ru-RU"/>
        </w:rPr>
        <w:t>Вместе с тем остается высокой</w:t>
      </w:r>
      <w:r w:rsidR="006762F2">
        <w:rPr>
          <w:rFonts w:ascii="Times New Roman" w:eastAsia="Times New Roman" w:hAnsi="Times New Roman" w:cs="Times New Roman"/>
          <w:sz w:val="28"/>
          <w:szCs w:val="28"/>
          <w:lang w:eastAsia="ru-RU"/>
        </w:rPr>
        <w:t xml:space="preserve"> доля воспитанников, отстающих </w:t>
      </w:r>
      <w:r w:rsidRPr="00275B73">
        <w:rPr>
          <w:rFonts w:ascii="Times New Roman" w:eastAsia="Times New Roman" w:hAnsi="Times New Roman" w:cs="Times New Roman"/>
          <w:sz w:val="28"/>
          <w:szCs w:val="28"/>
          <w:lang w:eastAsia="ru-RU"/>
        </w:rPr>
        <w:t>в физическом развитии</w:t>
      </w:r>
      <w:r w:rsidR="002830B5">
        <w:rPr>
          <w:rFonts w:ascii="Times New Roman" w:eastAsia="Times New Roman" w:hAnsi="Times New Roman" w:cs="Times New Roman"/>
          <w:sz w:val="28"/>
          <w:szCs w:val="28"/>
          <w:lang w:eastAsia="ru-RU"/>
        </w:rPr>
        <w:t xml:space="preserve"> (</w:t>
      </w:r>
      <w:r w:rsidRPr="00275B73">
        <w:rPr>
          <w:rFonts w:ascii="Times New Roman" w:eastAsia="Times New Roman" w:hAnsi="Times New Roman" w:cs="Times New Roman"/>
          <w:sz w:val="28"/>
          <w:szCs w:val="28"/>
          <w:lang w:eastAsia="ru-RU"/>
        </w:rPr>
        <w:t>2021 г</w:t>
      </w:r>
      <w:r w:rsidR="002830B5">
        <w:rPr>
          <w:rFonts w:ascii="Times New Roman" w:eastAsia="Times New Roman" w:hAnsi="Times New Roman" w:cs="Times New Roman"/>
          <w:sz w:val="28"/>
          <w:szCs w:val="28"/>
          <w:lang w:eastAsia="ru-RU"/>
        </w:rPr>
        <w:t>. – 34,4</w:t>
      </w:r>
      <w:r w:rsidRPr="00275B73">
        <w:rPr>
          <w:rFonts w:ascii="Times New Roman" w:eastAsia="Times New Roman" w:hAnsi="Times New Roman" w:cs="Times New Roman"/>
          <w:sz w:val="28"/>
          <w:szCs w:val="28"/>
          <w:lang w:eastAsia="ru-RU"/>
        </w:rPr>
        <w:t>%</w:t>
      </w:r>
      <w:r w:rsidR="009977AB">
        <w:rPr>
          <w:rFonts w:ascii="Times New Roman" w:eastAsia="Times New Roman" w:hAnsi="Times New Roman" w:cs="Times New Roman"/>
          <w:sz w:val="28"/>
          <w:szCs w:val="28"/>
          <w:lang w:eastAsia="ru-RU"/>
        </w:rPr>
        <w:t xml:space="preserve"> </w:t>
      </w:r>
      <w:r w:rsidR="009977AB" w:rsidRPr="00275B73">
        <w:rPr>
          <w:rFonts w:ascii="Times New Roman" w:eastAsia="Times New Roman" w:hAnsi="Times New Roman" w:cs="Times New Roman"/>
          <w:sz w:val="28"/>
          <w:szCs w:val="28"/>
          <w:lang w:eastAsia="ru-RU"/>
        </w:rPr>
        <w:t>от общего числа всех воспитанников</w:t>
      </w:r>
      <w:r w:rsidR="002830B5">
        <w:rPr>
          <w:rFonts w:ascii="Times New Roman" w:eastAsia="Times New Roman" w:hAnsi="Times New Roman" w:cs="Times New Roman"/>
          <w:sz w:val="28"/>
          <w:szCs w:val="28"/>
          <w:lang w:eastAsia="ru-RU"/>
        </w:rPr>
        <w:t xml:space="preserve">; </w:t>
      </w:r>
      <w:r w:rsidRPr="00275B73">
        <w:rPr>
          <w:rFonts w:ascii="Times New Roman" w:eastAsia="Times New Roman" w:hAnsi="Times New Roman" w:cs="Times New Roman"/>
          <w:sz w:val="28"/>
          <w:szCs w:val="28"/>
          <w:lang w:eastAsia="ru-RU"/>
        </w:rPr>
        <w:t>2020 г</w:t>
      </w:r>
      <w:r w:rsidR="002830B5">
        <w:rPr>
          <w:rFonts w:ascii="Times New Roman" w:eastAsia="Times New Roman" w:hAnsi="Times New Roman" w:cs="Times New Roman"/>
          <w:sz w:val="28"/>
          <w:szCs w:val="28"/>
          <w:lang w:eastAsia="ru-RU"/>
        </w:rPr>
        <w:t>.</w:t>
      </w:r>
      <w:r w:rsidRPr="00275B73">
        <w:rPr>
          <w:rFonts w:ascii="Times New Roman" w:eastAsia="Times New Roman" w:hAnsi="Times New Roman" w:cs="Times New Roman"/>
          <w:sz w:val="28"/>
          <w:szCs w:val="28"/>
          <w:lang w:eastAsia="ru-RU"/>
        </w:rPr>
        <w:t xml:space="preserve"> – 36,3%</w:t>
      </w:r>
      <w:r w:rsidR="009977AB">
        <w:rPr>
          <w:rFonts w:ascii="Times New Roman" w:eastAsia="Times New Roman" w:hAnsi="Times New Roman" w:cs="Times New Roman"/>
          <w:sz w:val="28"/>
          <w:szCs w:val="28"/>
          <w:lang w:eastAsia="ru-RU"/>
        </w:rPr>
        <w:t xml:space="preserve"> </w:t>
      </w:r>
      <w:r w:rsidR="00D502D0">
        <w:rPr>
          <w:rFonts w:ascii="Times New Roman" w:eastAsia="Times New Roman" w:hAnsi="Times New Roman" w:cs="Times New Roman"/>
          <w:sz w:val="28"/>
          <w:szCs w:val="28"/>
          <w:lang w:eastAsia="ru-RU"/>
        </w:rPr>
        <w:br/>
      </w:r>
      <w:r w:rsidR="009977AB" w:rsidRPr="00275B73">
        <w:rPr>
          <w:rFonts w:ascii="Times New Roman" w:eastAsia="Times New Roman" w:hAnsi="Times New Roman" w:cs="Times New Roman"/>
          <w:sz w:val="28"/>
          <w:szCs w:val="28"/>
          <w:lang w:eastAsia="ru-RU"/>
        </w:rPr>
        <w:t>от общего числа всех воспитанников</w:t>
      </w:r>
      <w:r w:rsidR="002830B5">
        <w:rPr>
          <w:rFonts w:ascii="Times New Roman" w:eastAsia="Times New Roman" w:hAnsi="Times New Roman" w:cs="Times New Roman"/>
          <w:sz w:val="28"/>
          <w:szCs w:val="28"/>
          <w:lang w:eastAsia="ru-RU"/>
        </w:rPr>
        <w:t>;</w:t>
      </w:r>
      <w:r w:rsidRPr="00275B73">
        <w:rPr>
          <w:rFonts w:ascii="Times New Roman" w:eastAsia="Times New Roman" w:hAnsi="Times New Roman" w:cs="Times New Roman"/>
          <w:sz w:val="28"/>
          <w:szCs w:val="28"/>
          <w:lang w:eastAsia="ru-RU"/>
        </w:rPr>
        <w:t xml:space="preserve"> 2019 г</w:t>
      </w:r>
      <w:r w:rsidR="002830B5">
        <w:rPr>
          <w:rFonts w:ascii="Times New Roman" w:eastAsia="Times New Roman" w:hAnsi="Times New Roman" w:cs="Times New Roman"/>
          <w:sz w:val="28"/>
          <w:szCs w:val="28"/>
          <w:lang w:eastAsia="ru-RU"/>
        </w:rPr>
        <w:t>. – 33,0</w:t>
      </w:r>
      <w:r w:rsidRPr="00275B73">
        <w:rPr>
          <w:rFonts w:ascii="Times New Roman" w:eastAsia="Times New Roman" w:hAnsi="Times New Roman" w:cs="Times New Roman"/>
          <w:sz w:val="28"/>
          <w:szCs w:val="28"/>
          <w:lang w:eastAsia="ru-RU"/>
        </w:rPr>
        <w:t>% от общего числа всех воспитанников) и отстающих в психическом развитии (2021 г</w:t>
      </w:r>
      <w:r w:rsidR="002830B5">
        <w:rPr>
          <w:rFonts w:ascii="Times New Roman" w:eastAsia="Times New Roman" w:hAnsi="Times New Roman" w:cs="Times New Roman"/>
          <w:sz w:val="28"/>
          <w:szCs w:val="28"/>
          <w:lang w:eastAsia="ru-RU"/>
        </w:rPr>
        <w:t>.</w:t>
      </w:r>
      <w:r w:rsidRPr="00275B73">
        <w:rPr>
          <w:rFonts w:ascii="Times New Roman" w:eastAsia="Times New Roman" w:hAnsi="Times New Roman" w:cs="Times New Roman"/>
          <w:sz w:val="28"/>
          <w:szCs w:val="28"/>
          <w:lang w:eastAsia="ru-RU"/>
        </w:rPr>
        <w:t xml:space="preserve"> – </w:t>
      </w:r>
      <w:r w:rsidR="002830B5">
        <w:rPr>
          <w:rFonts w:ascii="Times New Roman" w:eastAsia="Times New Roman" w:hAnsi="Times New Roman" w:cs="Times New Roman"/>
          <w:sz w:val="28"/>
          <w:szCs w:val="28"/>
          <w:lang w:eastAsia="ru-RU"/>
        </w:rPr>
        <w:t>57,1</w:t>
      </w:r>
      <w:r w:rsidRPr="00275B73">
        <w:rPr>
          <w:rFonts w:ascii="Times New Roman" w:eastAsia="Times New Roman" w:hAnsi="Times New Roman" w:cs="Times New Roman"/>
          <w:sz w:val="28"/>
          <w:szCs w:val="28"/>
          <w:lang w:eastAsia="ru-RU"/>
        </w:rPr>
        <w:t>%</w:t>
      </w:r>
      <w:r w:rsidR="009977AB">
        <w:rPr>
          <w:rFonts w:ascii="Times New Roman" w:eastAsia="Times New Roman" w:hAnsi="Times New Roman" w:cs="Times New Roman"/>
          <w:sz w:val="28"/>
          <w:szCs w:val="28"/>
          <w:lang w:eastAsia="ru-RU"/>
        </w:rPr>
        <w:t xml:space="preserve"> </w:t>
      </w:r>
      <w:r w:rsidR="009977AB" w:rsidRPr="00275B73">
        <w:rPr>
          <w:rFonts w:ascii="Times New Roman" w:eastAsia="Times New Roman" w:hAnsi="Times New Roman" w:cs="Times New Roman"/>
          <w:sz w:val="28"/>
          <w:szCs w:val="28"/>
          <w:lang w:eastAsia="ru-RU"/>
        </w:rPr>
        <w:t>от общего числа всех воспитанников</w:t>
      </w:r>
      <w:r w:rsidR="002830B5">
        <w:rPr>
          <w:rFonts w:ascii="Times New Roman" w:eastAsia="Times New Roman" w:hAnsi="Times New Roman" w:cs="Times New Roman"/>
          <w:sz w:val="28"/>
          <w:szCs w:val="28"/>
          <w:lang w:eastAsia="ru-RU"/>
        </w:rPr>
        <w:t xml:space="preserve">; </w:t>
      </w:r>
      <w:r w:rsidRPr="00275B73">
        <w:rPr>
          <w:rFonts w:ascii="Times New Roman" w:eastAsia="Times New Roman" w:hAnsi="Times New Roman" w:cs="Times New Roman"/>
          <w:sz w:val="28"/>
          <w:szCs w:val="28"/>
          <w:lang w:eastAsia="ru-RU"/>
        </w:rPr>
        <w:t>2020 г</w:t>
      </w:r>
      <w:r w:rsidR="002830B5">
        <w:rPr>
          <w:rFonts w:ascii="Times New Roman" w:eastAsia="Times New Roman" w:hAnsi="Times New Roman" w:cs="Times New Roman"/>
          <w:sz w:val="28"/>
          <w:szCs w:val="28"/>
          <w:lang w:eastAsia="ru-RU"/>
        </w:rPr>
        <w:t>. – 55,5</w:t>
      </w:r>
      <w:r w:rsidRPr="00275B73">
        <w:rPr>
          <w:rFonts w:ascii="Times New Roman" w:eastAsia="Times New Roman" w:hAnsi="Times New Roman" w:cs="Times New Roman"/>
          <w:sz w:val="28"/>
          <w:szCs w:val="28"/>
          <w:lang w:eastAsia="ru-RU"/>
        </w:rPr>
        <w:t>%</w:t>
      </w:r>
      <w:r w:rsidR="009977AB">
        <w:rPr>
          <w:rFonts w:ascii="Times New Roman" w:eastAsia="Times New Roman" w:hAnsi="Times New Roman" w:cs="Times New Roman"/>
          <w:sz w:val="28"/>
          <w:szCs w:val="28"/>
          <w:lang w:eastAsia="ru-RU"/>
        </w:rPr>
        <w:t xml:space="preserve"> </w:t>
      </w:r>
      <w:r w:rsidR="009977AB" w:rsidRPr="00275B73">
        <w:rPr>
          <w:rFonts w:ascii="Times New Roman" w:eastAsia="Times New Roman" w:hAnsi="Times New Roman" w:cs="Times New Roman"/>
          <w:sz w:val="28"/>
          <w:szCs w:val="28"/>
          <w:lang w:eastAsia="ru-RU"/>
        </w:rPr>
        <w:t>от общего числа всех воспитанников</w:t>
      </w:r>
      <w:r w:rsidR="002830B5">
        <w:rPr>
          <w:rFonts w:ascii="Times New Roman" w:eastAsia="Times New Roman" w:hAnsi="Times New Roman" w:cs="Times New Roman"/>
          <w:sz w:val="28"/>
          <w:szCs w:val="28"/>
          <w:lang w:eastAsia="ru-RU"/>
        </w:rPr>
        <w:t xml:space="preserve">; </w:t>
      </w:r>
      <w:r w:rsidR="009E08D5">
        <w:rPr>
          <w:rFonts w:ascii="Times New Roman" w:eastAsia="Times New Roman" w:hAnsi="Times New Roman" w:cs="Times New Roman"/>
          <w:sz w:val="28"/>
          <w:szCs w:val="28"/>
          <w:lang w:eastAsia="ru-RU"/>
        </w:rPr>
        <w:br/>
      </w:r>
      <w:r w:rsidRPr="00275B73">
        <w:rPr>
          <w:rFonts w:ascii="Times New Roman" w:eastAsia="Times New Roman" w:hAnsi="Times New Roman" w:cs="Times New Roman"/>
          <w:sz w:val="28"/>
          <w:szCs w:val="28"/>
          <w:lang w:eastAsia="ru-RU"/>
        </w:rPr>
        <w:t>2019 г</w:t>
      </w:r>
      <w:r w:rsidR="002830B5">
        <w:rPr>
          <w:rFonts w:ascii="Times New Roman" w:eastAsia="Times New Roman" w:hAnsi="Times New Roman" w:cs="Times New Roman"/>
          <w:sz w:val="28"/>
          <w:szCs w:val="28"/>
          <w:lang w:eastAsia="ru-RU"/>
        </w:rPr>
        <w:t>.</w:t>
      </w:r>
      <w:r w:rsidR="009977AB">
        <w:rPr>
          <w:rFonts w:ascii="Times New Roman" w:eastAsia="Times New Roman" w:hAnsi="Times New Roman" w:cs="Times New Roman"/>
          <w:sz w:val="28"/>
          <w:szCs w:val="28"/>
          <w:lang w:eastAsia="ru-RU"/>
        </w:rPr>
        <w:t xml:space="preserve"> </w:t>
      </w:r>
      <w:r w:rsidR="002830B5">
        <w:rPr>
          <w:rFonts w:ascii="Times New Roman" w:eastAsia="Times New Roman" w:hAnsi="Times New Roman" w:cs="Times New Roman"/>
          <w:sz w:val="28"/>
          <w:szCs w:val="28"/>
          <w:lang w:eastAsia="ru-RU"/>
        </w:rPr>
        <w:t>– 58,4</w:t>
      </w:r>
      <w:r w:rsidRPr="00275B73">
        <w:rPr>
          <w:rFonts w:ascii="Times New Roman" w:eastAsia="Times New Roman" w:hAnsi="Times New Roman" w:cs="Times New Roman"/>
          <w:sz w:val="28"/>
          <w:szCs w:val="28"/>
          <w:lang w:eastAsia="ru-RU"/>
        </w:rPr>
        <w:t>% от общего числа всех воспитанников).</w:t>
      </w:r>
    </w:p>
    <w:p w14:paraId="0BE3D555" w14:textId="77777777" w:rsidR="00275B73" w:rsidRPr="00275B73" w:rsidRDefault="00275B73" w:rsidP="00275B73">
      <w:pPr>
        <w:spacing w:after="0" w:line="312" w:lineRule="auto"/>
        <w:ind w:firstLine="709"/>
        <w:jc w:val="both"/>
        <w:rPr>
          <w:rFonts w:ascii="Times New Roman" w:eastAsia="Times New Roman" w:hAnsi="Times New Roman" w:cs="Times New Roman"/>
          <w:sz w:val="28"/>
          <w:szCs w:val="28"/>
          <w:lang w:eastAsia="ru-RU"/>
        </w:rPr>
      </w:pPr>
      <w:r w:rsidRPr="00275B73">
        <w:rPr>
          <w:rFonts w:ascii="Times New Roman" w:eastAsia="Times New Roman" w:hAnsi="Times New Roman" w:cs="Times New Roman"/>
          <w:sz w:val="28"/>
          <w:szCs w:val="28"/>
          <w:lang w:eastAsia="ru-RU"/>
        </w:rPr>
        <w:t>В структуре заболеваемости, как и в предыдущие годы, ведущие места занимают болезни органов дыхания, доля которых в 2021 г</w:t>
      </w:r>
      <w:r w:rsidR="00167A45">
        <w:rPr>
          <w:rFonts w:ascii="Times New Roman" w:eastAsia="Times New Roman" w:hAnsi="Times New Roman" w:cs="Times New Roman"/>
          <w:sz w:val="28"/>
          <w:szCs w:val="28"/>
          <w:lang w:eastAsia="ru-RU"/>
        </w:rPr>
        <w:t>.</w:t>
      </w:r>
      <w:r w:rsidRPr="00275B73">
        <w:rPr>
          <w:rFonts w:ascii="Times New Roman" w:eastAsia="Times New Roman" w:hAnsi="Times New Roman" w:cs="Times New Roman"/>
          <w:sz w:val="28"/>
          <w:szCs w:val="28"/>
          <w:lang w:eastAsia="ru-RU"/>
        </w:rPr>
        <w:t xml:space="preserve"> соста</w:t>
      </w:r>
      <w:r w:rsidR="00B13753">
        <w:rPr>
          <w:rFonts w:ascii="Times New Roman" w:eastAsia="Times New Roman" w:hAnsi="Times New Roman" w:cs="Times New Roman"/>
          <w:sz w:val="28"/>
          <w:szCs w:val="28"/>
          <w:lang w:eastAsia="ru-RU"/>
        </w:rPr>
        <w:t>вила 27,5</w:t>
      </w:r>
      <w:r w:rsidRPr="00275B73">
        <w:rPr>
          <w:rFonts w:ascii="Times New Roman" w:eastAsia="Times New Roman" w:hAnsi="Times New Roman" w:cs="Times New Roman"/>
          <w:sz w:val="28"/>
          <w:szCs w:val="28"/>
          <w:lang w:eastAsia="ru-RU"/>
        </w:rPr>
        <w:t xml:space="preserve">% </w:t>
      </w:r>
      <w:r w:rsidR="00167A45">
        <w:rPr>
          <w:rFonts w:ascii="Times New Roman" w:eastAsia="Times New Roman" w:hAnsi="Times New Roman" w:cs="Times New Roman"/>
          <w:sz w:val="28"/>
          <w:szCs w:val="28"/>
          <w:lang w:eastAsia="ru-RU"/>
        </w:rPr>
        <w:br/>
      </w:r>
      <w:r w:rsidRPr="00275B73">
        <w:rPr>
          <w:rFonts w:ascii="Times New Roman" w:eastAsia="Times New Roman" w:hAnsi="Times New Roman" w:cs="Times New Roman"/>
          <w:sz w:val="28"/>
          <w:szCs w:val="28"/>
          <w:lang w:eastAsia="ru-RU"/>
        </w:rPr>
        <w:t xml:space="preserve">(2020 г. – </w:t>
      </w:r>
      <w:r w:rsidR="00B13753">
        <w:rPr>
          <w:rFonts w:ascii="Times New Roman" w:eastAsia="Times New Roman" w:hAnsi="Times New Roman" w:cs="Times New Roman"/>
          <w:sz w:val="28"/>
          <w:szCs w:val="28"/>
          <w:lang w:eastAsia="ru-RU"/>
        </w:rPr>
        <w:t>26,4</w:t>
      </w:r>
      <w:r w:rsidRPr="00275B73">
        <w:rPr>
          <w:rFonts w:ascii="Times New Roman" w:eastAsia="Times New Roman" w:hAnsi="Times New Roman" w:cs="Times New Roman"/>
          <w:sz w:val="28"/>
          <w:szCs w:val="28"/>
          <w:lang w:eastAsia="ru-RU"/>
        </w:rPr>
        <w:t>%</w:t>
      </w:r>
      <w:r w:rsidR="002537C2">
        <w:rPr>
          <w:rFonts w:ascii="Times New Roman" w:eastAsia="Times New Roman" w:hAnsi="Times New Roman" w:cs="Times New Roman"/>
          <w:sz w:val="28"/>
          <w:szCs w:val="28"/>
          <w:lang w:eastAsia="ru-RU"/>
        </w:rPr>
        <w:t>; 2019 г. – 31</w:t>
      </w:r>
      <w:r w:rsidR="00B13753">
        <w:rPr>
          <w:rFonts w:ascii="Times New Roman" w:eastAsia="Times New Roman" w:hAnsi="Times New Roman" w:cs="Times New Roman"/>
          <w:sz w:val="28"/>
          <w:szCs w:val="28"/>
          <w:lang w:eastAsia="ru-RU"/>
        </w:rPr>
        <w:t>%</w:t>
      </w:r>
      <w:r w:rsidRPr="00275B73">
        <w:rPr>
          <w:rFonts w:ascii="Times New Roman" w:eastAsia="Times New Roman" w:hAnsi="Times New Roman" w:cs="Times New Roman"/>
          <w:sz w:val="28"/>
          <w:szCs w:val="28"/>
          <w:lang w:eastAsia="ru-RU"/>
        </w:rPr>
        <w:t>); болезней нервной</w:t>
      </w:r>
      <w:r w:rsidR="002537C2">
        <w:rPr>
          <w:rFonts w:ascii="Times New Roman" w:eastAsia="Times New Roman" w:hAnsi="Times New Roman" w:cs="Times New Roman"/>
          <w:sz w:val="28"/>
          <w:szCs w:val="28"/>
          <w:lang w:eastAsia="ru-RU"/>
        </w:rPr>
        <w:t xml:space="preserve"> системы – 18,2% (2020 г. – 18</w:t>
      </w:r>
      <w:r w:rsidRPr="00275B73">
        <w:rPr>
          <w:rFonts w:ascii="Times New Roman" w:eastAsia="Times New Roman" w:hAnsi="Times New Roman" w:cs="Times New Roman"/>
          <w:sz w:val="28"/>
          <w:szCs w:val="28"/>
          <w:lang w:eastAsia="ru-RU"/>
        </w:rPr>
        <w:t>%</w:t>
      </w:r>
      <w:r w:rsidR="00B13753">
        <w:rPr>
          <w:rFonts w:ascii="Times New Roman" w:eastAsia="Times New Roman" w:hAnsi="Times New Roman" w:cs="Times New Roman"/>
          <w:sz w:val="28"/>
          <w:szCs w:val="28"/>
          <w:lang w:eastAsia="ru-RU"/>
        </w:rPr>
        <w:t>; 2019 г. – 16,8</w:t>
      </w:r>
      <w:r w:rsidRPr="00275B73">
        <w:rPr>
          <w:rFonts w:ascii="Times New Roman" w:eastAsia="Times New Roman" w:hAnsi="Times New Roman" w:cs="Times New Roman"/>
          <w:sz w:val="28"/>
          <w:szCs w:val="28"/>
          <w:lang w:eastAsia="ru-RU"/>
        </w:rPr>
        <w:t>%); врожденных аномалий (пороков развития), деформаций и хромосомных нарушений – 10,0</w:t>
      </w:r>
      <w:r w:rsidR="00544D6E">
        <w:rPr>
          <w:rFonts w:ascii="Times New Roman" w:eastAsia="Times New Roman" w:hAnsi="Times New Roman" w:cs="Times New Roman"/>
          <w:sz w:val="28"/>
          <w:szCs w:val="28"/>
          <w:lang w:eastAsia="ru-RU"/>
        </w:rPr>
        <w:t>% (2020 г. – 10,3</w:t>
      </w:r>
      <w:r w:rsidRPr="00275B73">
        <w:rPr>
          <w:rFonts w:ascii="Times New Roman" w:eastAsia="Times New Roman" w:hAnsi="Times New Roman" w:cs="Times New Roman"/>
          <w:sz w:val="28"/>
          <w:szCs w:val="28"/>
          <w:lang w:eastAsia="ru-RU"/>
        </w:rPr>
        <w:t>%</w:t>
      </w:r>
      <w:r w:rsidR="00544D6E">
        <w:rPr>
          <w:rFonts w:ascii="Times New Roman" w:eastAsia="Times New Roman" w:hAnsi="Times New Roman" w:cs="Times New Roman"/>
          <w:sz w:val="28"/>
          <w:szCs w:val="28"/>
          <w:lang w:eastAsia="ru-RU"/>
        </w:rPr>
        <w:t>; 2019 г. – 9,9</w:t>
      </w:r>
      <w:r w:rsidRPr="00275B73">
        <w:rPr>
          <w:rFonts w:ascii="Times New Roman" w:eastAsia="Times New Roman" w:hAnsi="Times New Roman" w:cs="Times New Roman"/>
          <w:sz w:val="28"/>
          <w:szCs w:val="28"/>
          <w:lang w:eastAsia="ru-RU"/>
        </w:rPr>
        <w:t>%).</w:t>
      </w:r>
    </w:p>
    <w:p w14:paraId="3E7BD759" w14:textId="77777777" w:rsidR="00275B73" w:rsidRPr="00275B73" w:rsidRDefault="00275B73" w:rsidP="00275B73">
      <w:pPr>
        <w:spacing w:after="0" w:line="312" w:lineRule="auto"/>
        <w:ind w:firstLine="709"/>
        <w:jc w:val="both"/>
        <w:rPr>
          <w:rFonts w:ascii="Times New Roman" w:eastAsia="Times New Roman" w:hAnsi="Times New Roman" w:cs="Times New Roman"/>
          <w:sz w:val="28"/>
          <w:szCs w:val="28"/>
          <w:lang w:eastAsia="ru-RU"/>
        </w:rPr>
      </w:pPr>
      <w:r w:rsidRPr="00275B73">
        <w:rPr>
          <w:rFonts w:ascii="Times New Roman" w:eastAsia="Times New Roman" w:hAnsi="Times New Roman" w:cs="Times New Roman"/>
          <w:sz w:val="28"/>
          <w:szCs w:val="28"/>
          <w:lang w:eastAsia="ru-RU"/>
        </w:rPr>
        <w:t xml:space="preserve">Число детей, взятых на диспансерное </w:t>
      </w:r>
      <w:r w:rsidR="006762F2">
        <w:rPr>
          <w:rFonts w:ascii="Times New Roman" w:eastAsia="Times New Roman" w:hAnsi="Times New Roman" w:cs="Times New Roman"/>
          <w:sz w:val="28"/>
          <w:szCs w:val="28"/>
          <w:lang w:eastAsia="ru-RU"/>
        </w:rPr>
        <w:t>наблюдение в течение 2021 г</w:t>
      </w:r>
      <w:r w:rsidR="00167A45">
        <w:rPr>
          <w:rFonts w:ascii="Times New Roman" w:eastAsia="Times New Roman" w:hAnsi="Times New Roman" w:cs="Times New Roman"/>
          <w:sz w:val="28"/>
          <w:szCs w:val="28"/>
          <w:lang w:eastAsia="ru-RU"/>
        </w:rPr>
        <w:t>.</w:t>
      </w:r>
      <w:r w:rsidR="006762F2">
        <w:rPr>
          <w:rFonts w:ascii="Times New Roman" w:eastAsia="Times New Roman" w:hAnsi="Times New Roman" w:cs="Times New Roman"/>
          <w:sz w:val="28"/>
          <w:szCs w:val="28"/>
          <w:lang w:eastAsia="ru-RU"/>
        </w:rPr>
        <w:t xml:space="preserve"> </w:t>
      </w:r>
      <w:r w:rsidRPr="00275B73">
        <w:rPr>
          <w:rFonts w:ascii="Times New Roman" w:eastAsia="Times New Roman" w:hAnsi="Times New Roman" w:cs="Times New Roman"/>
          <w:sz w:val="28"/>
          <w:szCs w:val="28"/>
          <w:lang w:eastAsia="ru-RU"/>
        </w:rPr>
        <w:t>с диагнозом, установленном впервые в ж</w:t>
      </w:r>
      <w:r w:rsidR="002D4E37">
        <w:rPr>
          <w:rFonts w:ascii="Times New Roman" w:eastAsia="Times New Roman" w:hAnsi="Times New Roman" w:cs="Times New Roman"/>
          <w:sz w:val="28"/>
          <w:szCs w:val="28"/>
          <w:lang w:eastAsia="ru-RU"/>
        </w:rPr>
        <w:t>изни, составило 6 031 или 100,0</w:t>
      </w:r>
      <w:r w:rsidRPr="00275B73">
        <w:rPr>
          <w:rFonts w:ascii="Times New Roman" w:eastAsia="Times New Roman" w:hAnsi="Times New Roman" w:cs="Times New Roman"/>
          <w:sz w:val="28"/>
          <w:szCs w:val="28"/>
          <w:lang w:eastAsia="ru-RU"/>
        </w:rPr>
        <w:t xml:space="preserve">% от общего числа воспитанников (2020 г. – 5 595 </w:t>
      </w:r>
      <w:r w:rsidR="00277EA7">
        <w:rPr>
          <w:rFonts w:ascii="Times New Roman" w:eastAsia="Times New Roman" w:hAnsi="Times New Roman" w:cs="Times New Roman"/>
          <w:sz w:val="28"/>
          <w:szCs w:val="28"/>
          <w:lang w:eastAsia="ru-RU"/>
        </w:rPr>
        <w:t>детей</w:t>
      </w:r>
      <w:r w:rsidRPr="00275B73">
        <w:rPr>
          <w:rFonts w:ascii="Times New Roman" w:eastAsia="Times New Roman" w:hAnsi="Times New Roman" w:cs="Times New Roman"/>
          <w:sz w:val="28"/>
          <w:szCs w:val="28"/>
          <w:lang w:eastAsia="ru-RU"/>
        </w:rPr>
        <w:t xml:space="preserve"> или 90,7%</w:t>
      </w:r>
      <w:r w:rsidR="00277EA7">
        <w:rPr>
          <w:rFonts w:ascii="Times New Roman" w:eastAsia="Times New Roman" w:hAnsi="Times New Roman" w:cs="Times New Roman"/>
          <w:sz w:val="28"/>
          <w:szCs w:val="28"/>
          <w:lang w:eastAsia="ru-RU"/>
        </w:rPr>
        <w:t>;</w:t>
      </w:r>
      <w:r w:rsidRPr="00275B73">
        <w:rPr>
          <w:rFonts w:ascii="Times New Roman" w:eastAsia="Times New Roman" w:hAnsi="Times New Roman" w:cs="Times New Roman"/>
          <w:sz w:val="28"/>
          <w:szCs w:val="28"/>
          <w:lang w:eastAsia="ru-RU"/>
        </w:rPr>
        <w:t xml:space="preserve"> 2019 г. –</w:t>
      </w:r>
      <w:r w:rsidR="00C5440B">
        <w:rPr>
          <w:rFonts w:ascii="Times New Roman" w:eastAsia="Times New Roman" w:hAnsi="Times New Roman" w:cs="Times New Roman"/>
          <w:sz w:val="28"/>
          <w:szCs w:val="28"/>
          <w:lang w:eastAsia="ru-RU"/>
        </w:rPr>
        <w:t xml:space="preserve"> </w:t>
      </w:r>
      <w:r w:rsidRPr="00275B73">
        <w:rPr>
          <w:rFonts w:ascii="Times New Roman" w:eastAsia="Times New Roman" w:hAnsi="Times New Roman" w:cs="Times New Roman"/>
          <w:sz w:val="28"/>
          <w:szCs w:val="28"/>
          <w:lang w:eastAsia="ru-RU"/>
        </w:rPr>
        <w:t>7</w:t>
      </w:r>
      <w:r w:rsidR="00C5440B" w:rsidRPr="00275B73">
        <w:rPr>
          <w:rFonts w:ascii="Times New Roman" w:eastAsia="Times New Roman" w:hAnsi="Times New Roman" w:cs="Times New Roman"/>
          <w:sz w:val="28"/>
          <w:szCs w:val="28"/>
          <w:lang w:eastAsia="ru-RU"/>
        </w:rPr>
        <w:t> </w:t>
      </w:r>
      <w:r w:rsidRPr="00275B73">
        <w:rPr>
          <w:rFonts w:ascii="Times New Roman" w:eastAsia="Times New Roman" w:hAnsi="Times New Roman" w:cs="Times New Roman"/>
          <w:sz w:val="28"/>
          <w:szCs w:val="28"/>
          <w:lang w:eastAsia="ru-RU"/>
        </w:rPr>
        <w:t>053 ребенка или 99,9%</w:t>
      </w:r>
      <w:r w:rsidR="00277EA7">
        <w:rPr>
          <w:rFonts w:ascii="Times New Roman" w:eastAsia="Times New Roman" w:hAnsi="Times New Roman" w:cs="Times New Roman"/>
          <w:sz w:val="28"/>
          <w:szCs w:val="28"/>
          <w:lang w:eastAsia="ru-RU"/>
        </w:rPr>
        <w:t>), из них 49,7</w:t>
      </w:r>
      <w:r w:rsidRPr="00275B73">
        <w:rPr>
          <w:rFonts w:ascii="Times New Roman" w:eastAsia="Times New Roman" w:hAnsi="Times New Roman" w:cs="Times New Roman"/>
          <w:sz w:val="28"/>
          <w:szCs w:val="28"/>
          <w:lang w:eastAsia="ru-RU"/>
        </w:rPr>
        <w:t xml:space="preserve">% </w:t>
      </w:r>
      <w:r w:rsidR="00C5440B" w:rsidRPr="00275B73">
        <w:rPr>
          <w:rFonts w:ascii="Times New Roman" w:eastAsia="Times New Roman" w:hAnsi="Times New Roman" w:cs="Times New Roman"/>
          <w:sz w:val="28"/>
          <w:szCs w:val="28"/>
          <w:lang w:eastAsia="ru-RU"/>
        </w:rPr>
        <w:t>–</w:t>
      </w:r>
      <w:r w:rsidR="00C5440B">
        <w:rPr>
          <w:rFonts w:ascii="Times New Roman" w:eastAsia="Times New Roman" w:hAnsi="Times New Roman" w:cs="Times New Roman"/>
          <w:sz w:val="28"/>
          <w:szCs w:val="28"/>
          <w:lang w:eastAsia="ru-RU"/>
        </w:rPr>
        <w:t xml:space="preserve"> </w:t>
      </w:r>
      <w:r w:rsidRPr="00275B73">
        <w:rPr>
          <w:rFonts w:ascii="Times New Roman" w:eastAsia="Times New Roman" w:hAnsi="Times New Roman" w:cs="Times New Roman"/>
          <w:sz w:val="28"/>
          <w:szCs w:val="28"/>
          <w:lang w:eastAsia="ru-RU"/>
        </w:rPr>
        <w:t>дети, оставшиеся без попечения родителей, от общего числа детей, взятых под диспансе</w:t>
      </w:r>
      <w:r w:rsidR="00277EA7">
        <w:rPr>
          <w:rFonts w:ascii="Times New Roman" w:eastAsia="Times New Roman" w:hAnsi="Times New Roman" w:cs="Times New Roman"/>
          <w:sz w:val="28"/>
          <w:szCs w:val="28"/>
          <w:lang w:eastAsia="ru-RU"/>
        </w:rPr>
        <w:t>рное наблюдение (2020 г. – 52,1</w:t>
      </w:r>
      <w:r w:rsidRPr="00275B73">
        <w:rPr>
          <w:rFonts w:ascii="Times New Roman" w:eastAsia="Times New Roman" w:hAnsi="Times New Roman" w:cs="Times New Roman"/>
          <w:sz w:val="28"/>
          <w:szCs w:val="28"/>
          <w:lang w:eastAsia="ru-RU"/>
        </w:rPr>
        <w:t>%</w:t>
      </w:r>
      <w:r w:rsidR="00277EA7">
        <w:rPr>
          <w:rFonts w:ascii="Times New Roman" w:eastAsia="Times New Roman" w:hAnsi="Times New Roman" w:cs="Times New Roman"/>
          <w:sz w:val="28"/>
          <w:szCs w:val="28"/>
          <w:lang w:eastAsia="ru-RU"/>
        </w:rPr>
        <w:t>; 2019 г. – 47,6%), из которых 13,8</w:t>
      </w:r>
      <w:r w:rsidRPr="00275B73">
        <w:rPr>
          <w:rFonts w:ascii="Times New Roman" w:eastAsia="Times New Roman" w:hAnsi="Times New Roman" w:cs="Times New Roman"/>
          <w:sz w:val="28"/>
          <w:szCs w:val="28"/>
          <w:lang w:eastAsia="ru-RU"/>
        </w:rPr>
        <w:t xml:space="preserve">% от общего числа детей, оставшихся без попечения родителей, </w:t>
      </w:r>
      <w:r w:rsidR="00C5440B">
        <w:rPr>
          <w:rFonts w:ascii="Times New Roman" w:eastAsia="Times New Roman" w:hAnsi="Times New Roman" w:cs="Times New Roman"/>
          <w:sz w:val="28"/>
          <w:szCs w:val="28"/>
          <w:lang w:eastAsia="ru-RU"/>
        </w:rPr>
        <w:t>–</w:t>
      </w:r>
      <w:r w:rsidR="002537C2">
        <w:rPr>
          <w:rFonts w:ascii="Times New Roman" w:eastAsia="Times New Roman" w:hAnsi="Times New Roman" w:cs="Times New Roman"/>
          <w:sz w:val="28"/>
          <w:szCs w:val="28"/>
          <w:lang w:eastAsia="ru-RU"/>
        </w:rPr>
        <w:t xml:space="preserve"> дети-инвалиды (2020 г. – 14</w:t>
      </w:r>
      <w:r w:rsidRPr="00275B73">
        <w:rPr>
          <w:rFonts w:ascii="Times New Roman" w:eastAsia="Times New Roman" w:hAnsi="Times New Roman" w:cs="Times New Roman"/>
          <w:sz w:val="28"/>
          <w:szCs w:val="28"/>
          <w:lang w:eastAsia="ru-RU"/>
        </w:rPr>
        <w:t>%</w:t>
      </w:r>
      <w:r w:rsidR="00277EA7">
        <w:rPr>
          <w:rFonts w:ascii="Times New Roman" w:eastAsia="Times New Roman" w:hAnsi="Times New Roman" w:cs="Times New Roman"/>
          <w:sz w:val="28"/>
          <w:szCs w:val="28"/>
          <w:lang w:eastAsia="ru-RU"/>
        </w:rPr>
        <w:t>; 2019 г. – 15,4</w:t>
      </w:r>
      <w:r w:rsidRPr="00275B73">
        <w:rPr>
          <w:rFonts w:ascii="Times New Roman" w:eastAsia="Times New Roman" w:hAnsi="Times New Roman" w:cs="Times New Roman"/>
          <w:sz w:val="28"/>
          <w:szCs w:val="28"/>
          <w:lang w:eastAsia="ru-RU"/>
        </w:rPr>
        <w:t>%).</w:t>
      </w:r>
    </w:p>
    <w:p w14:paraId="30015763" w14:textId="1822BA1C" w:rsidR="00275B73" w:rsidRPr="00275B73" w:rsidRDefault="00275B73" w:rsidP="00275B73">
      <w:pPr>
        <w:spacing w:after="0" w:line="312" w:lineRule="auto"/>
        <w:ind w:firstLine="709"/>
        <w:jc w:val="both"/>
        <w:rPr>
          <w:rFonts w:ascii="Times New Roman" w:eastAsia="Times New Roman" w:hAnsi="Times New Roman" w:cs="Times New Roman"/>
          <w:sz w:val="28"/>
          <w:szCs w:val="28"/>
          <w:lang w:eastAsia="ru-RU"/>
        </w:rPr>
      </w:pPr>
      <w:r w:rsidRPr="00275B73">
        <w:rPr>
          <w:rFonts w:ascii="Times New Roman" w:eastAsia="Times New Roman" w:hAnsi="Times New Roman" w:cs="Times New Roman"/>
          <w:sz w:val="28"/>
          <w:szCs w:val="28"/>
          <w:lang w:eastAsia="ru-RU"/>
        </w:rPr>
        <w:t>Число детей, нуждающихся в специализированной медицинской помощи, в 2021 г</w:t>
      </w:r>
      <w:r w:rsidR="00167A45">
        <w:rPr>
          <w:rFonts w:ascii="Times New Roman" w:eastAsia="Times New Roman" w:hAnsi="Times New Roman" w:cs="Times New Roman"/>
          <w:sz w:val="28"/>
          <w:szCs w:val="28"/>
          <w:lang w:eastAsia="ru-RU"/>
        </w:rPr>
        <w:t>.</w:t>
      </w:r>
      <w:r w:rsidRPr="00275B73">
        <w:rPr>
          <w:rFonts w:ascii="Times New Roman" w:eastAsia="Times New Roman" w:hAnsi="Times New Roman" w:cs="Times New Roman"/>
          <w:sz w:val="28"/>
          <w:szCs w:val="28"/>
          <w:lang w:eastAsia="ru-RU"/>
        </w:rPr>
        <w:t xml:space="preserve"> составило 3 582 детей (2020 г. – 3</w:t>
      </w:r>
      <w:r w:rsidR="002D4E37">
        <w:rPr>
          <w:rFonts w:ascii="Times New Roman" w:eastAsia="Times New Roman" w:hAnsi="Times New Roman" w:cs="Times New Roman"/>
          <w:sz w:val="28"/>
          <w:szCs w:val="28"/>
          <w:lang w:eastAsia="ru-RU"/>
        </w:rPr>
        <w:t> </w:t>
      </w:r>
      <w:r w:rsidRPr="00275B73">
        <w:rPr>
          <w:rFonts w:ascii="Times New Roman" w:eastAsia="Times New Roman" w:hAnsi="Times New Roman" w:cs="Times New Roman"/>
          <w:sz w:val="28"/>
          <w:szCs w:val="28"/>
          <w:lang w:eastAsia="ru-RU"/>
        </w:rPr>
        <w:t>576</w:t>
      </w:r>
      <w:r w:rsidR="002D4E37">
        <w:rPr>
          <w:rFonts w:ascii="Times New Roman" w:eastAsia="Times New Roman" w:hAnsi="Times New Roman" w:cs="Times New Roman"/>
          <w:sz w:val="28"/>
          <w:szCs w:val="28"/>
          <w:lang w:eastAsia="ru-RU"/>
        </w:rPr>
        <w:t>;</w:t>
      </w:r>
      <w:r w:rsidRPr="00275B73">
        <w:rPr>
          <w:rFonts w:ascii="Times New Roman" w:eastAsia="Times New Roman" w:hAnsi="Times New Roman" w:cs="Times New Roman"/>
          <w:sz w:val="28"/>
          <w:szCs w:val="28"/>
          <w:lang w:eastAsia="ru-RU"/>
        </w:rPr>
        <w:t xml:space="preserve"> 2019 г. </w:t>
      </w:r>
      <w:r w:rsidRPr="00275B73">
        <w:rPr>
          <w:rFonts w:ascii="Times New Roman" w:eastAsia="Times New Roman" w:hAnsi="Times New Roman" w:cs="Times New Roman"/>
          <w:bCs/>
          <w:sz w:val="28"/>
          <w:szCs w:val="28"/>
          <w:lang w:eastAsia="ru-RU"/>
        </w:rPr>
        <w:t>–</w:t>
      </w:r>
      <w:r w:rsidR="002D4E37">
        <w:rPr>
          <w:rFonts w:ascii="Times New Roman" w:eastAsia="Times New Roman" w:hAnsi="Times New Roman" w:cs="Times New Roman"/>
          <w:sz w:val="28"/>
          <w:szCs w:val="28"/>
          <w:lang w:eastAsia="ru-RU"/>
        </w:rPr>
        <w:t xml:space="preserve"> 4 648), из них – 1 993 </w:t>
      </w:r>
      <w:r w:rsidRPr="00275B73">
        <w:rPr>
          <w:rFonts w:ascii="Times New Roman" w:eastAsia="Times New Roman" w:hAnsi="Times New Roman" w:cs="Times New Roman"/>
          <w:sz w:val="28"/>
          <w:szCs w:val="28"/>
          <w:lang w:eastAsia="ru-RU"/>
        </w:rPr>
        <w:t>детей, оставшихся без попечения родителей</w:t>
      </w:r>
      <w:r w:rsidR="0022068C">
        <w:rPr>
          <w:rFonts w:ascii="Times New Roman" w:eastAsia="Times New Roman" w:hAnsi="Times New Roman" w:cs="Times New Roman"/>
          <w:sz w:val="28"/>
          <w:szCs w:val="28"/>
          <w:lang w:eastAsia="ru-RU"/>
        </w:rPr>
        <w:t>, или 55,6%</w:t>
      </w:r>
      <w:r w:rsidRPr="00275B73">
        <w:rPr>
          <w:rFonts w:ascii="Times New Roman" w:eastAsia="Times New Roman" w:hAnsi="Times New Roman" w:cs="Times New Roman"/>
          <w:sz w:val="28"/>
          <w:szCs w:val="28"/>
          <w:lang w:eastAsia="ru-RU"/>
        </w:rPr>
        <w:t xml:space="preserve"> (2</w:t>
      </w:r>
      <w:r w:rsidR="002D4E37">
        <w:rPr>
          <w:rFonts w:ascii="Times New Roman" w:eastAsia="Times New Roman" w:hAnsi="Times New Roman" w:cs="Times New Roman"/>
          <w:sz w:val="28"/>
          <w:szCs w:val="28"/>
          <w:lang w:eastAsia="ru-RU"/>
        </w:rPr>
        <w:t xml:space="preserve">020 г. – 2 057 </w:t>
      </w:r>
      <w:r w:rsidR="0022068C">
        <w:rPr>
          <w:rFonts w:ascii="Times New Roman" w:eastAsia="Times New Roman" w:hAnsi="Times New Roman" w:cs="Times New Roman"/>
          <w:sz w:val="28"/>
          <w:szCs w:val="28"/>
          <w:lang w:eastAsia="ru-RU"/>
        </w:rPr>
        <w:t>детей</w:t>
      </w:r>
      <w:r w:rsidR="002D4E37">
        <w:rPr>
          <w:rFonts w:ascii="Times New Roman" w:eastAsia="Times New Roman" w:hAnsi="Times New Roman" w:cs="Times New Roman"/>
          <w:sz w:val="28"/>
          <w:szCs w:val="28"/>
          <w:lang w:eastAsia="ru-RU"/>
        </w:rPr>
        <w:t xml:space="preserve"> или 57,5</w:t>
      </w:r>
      <w:r w:rsidRPr="00275B73">
        <w:rPr>
          <w:rFonts w:ascii="Times New Roman" w:eastAsia="Times New Roman" w:hAnsi="Times New Roman" w:cs="Times New Roman"/>
          <w:sz w:val="28"/>
          <w:szCs w:val="28"/>
          <w:lang w:eastAsia="ru-RU"/>
        </w:rPr>
        <w:t>%</w:t>
      </w:r>
      <w:r w:rsidR="002D4E37">
        <w:rPr>
          <w:rFonts w:ascii="Times New Roman" w:eastAsia="Times New Roman" w:hAnsi="Times New Roman" w:cs="Times New Roman"/>
          <w:sz w:val="28"/>
          <w:szCs w:val="28"/>
          <w:lang w:eastAsia="ru-RU"/>
        </w:rPr>
        <w:t>;</w:t>
      </w:r>
      <w:r w:rsidR="0022068C">
        <w:rPr>
          <w:rFonts w:ascii="Times New Roman" w:eastAsia="Times New Roman" w:hAnsi="Times New Roman" w:cs="Times New Roman"/>
          <w:sz w:val="28"/>
          <w:szCs w:val="28"/>
          <w:lang w:eastAsia="ru-RU"/>
        </w:rPr>
        <w:t xml:space="preserve"> 2019 г. – 2 502 ребенка</w:t>
      </w:r>
      <w:r w:rsidRPr="00275B73">
        <w:rPr>
          <w:rFonts w:ascii="Times New Roman" w:eastAsia="Times New Roman" w:hAnsi="Times New Roman" w:cs="Times New Roman"/>
          <w:sz w:val="28"/>
          <w:szCs w:val="28"/>
          <w:lang w:eastAsia="ru-RU"/>
        </w:rPr>
        <w:t xml:space="preserve"> или 53,8%) и 510 </w:t>
      </w:r>
      <w:r w:rsidR="00733971">
        <w:rPr>
          <w:rFonts w:ascii="Times New Roman" w:eastAsia="Times New Roman" w:hAnsi="Times New Roman" w:cs="Times New Roman"/>
          <w:sz w:val="28"/>
          <w:szCs w:val="28"/>
          <w:lang w:eastAsia="ru-RU"/>
        </w:rPr>
        <w:t>детей</w:t>
      </w:r>
      <w:r w:rsidR="003B77D7">
        <w:rPr>
          <w:rFonts w:ascii="Times New Roman" w:eastAsia="Times New Roman" w:hAnsi="Times New Roman" w:cs="Times New Roman"/>
          <w:sz w:val="28"/>
          <w:szCs w:val="28"/>
          <w:lang w:eastAsia="ru-RU"/>
        </w:rPr>
        <w:t xml:space="preserve"> с инвалидностью</w:t>
      </w:r>
      <w:r w:rsidRPr="00275B73">
        <w:rPr>
          <w:rFonts w:ascii="Times New Roman" w:eastAsia="Times New Roman" w:hAnsi="Times New Roman" w:cs="Times New Roman"/>
          <w:sz w:val="28"/>
          <w:szCs w:val="28"/>
          <w:lang w:eastAsia="ru-RU"/>
        </w:rPr>
        <w:t xml:space="preserve"> или 14,2</w:t>
      </w:r>
      <w:r w:rsidR="002D4E37">
        <w:rPr>
          <w:rFonts w:ascii="Times New Roman" w:eastAsia="Times New Roman" w:hAnsi="Times New Roman" w:cs="Times New Roman"/>
          <w:sz w:val="28"/>
          <w:szCs w:val="28"/>
          <w:lang w:eastAsia="ru-RU"/>
        </w:rPr>
        <w:t xml:space="preserve">% </w:t>
      </w:r>
      <w:r w:rsidR="00FD79FB">
        <w:rPr>
          <w:rFonts w:ascii="Times New Roman" w:eastAsia="Times New Roman" w:hAnsi="Times New Roman" w:cs="Times New Roman"/>
          <w:sz w:val="28"/>
          <w:szCs w:val="28"/>
          <w:lang w:eastAsia="ru-RU"/>
        </w:rPr>
        <w:br/>
      </w:r>
      <w:r w:rsidR="002D4E37">
        <w:rPr>
          <w:rFonts w:ascii="Times New Roman" w:eastAsia="Times New Roman" w:hAnsi="Times New Roman" w:cs="Times New Roman"/>
          <w:sz w:val="28"/>
          <w:szCs w:val="28"/>
          <w:lang w:eastAsia="ru-RU"/>
        </w:rPr>
        <w:t xml:space="preserve">(2020 г. – 543 </w:t>
      </w:r>
      <w:r w:rsidR="00591409">
        <w:rPr>
          <w:rFonts w:ascii="Times New Roman" w:eastAsia="Times New Roman" w:hAnsi="Times New Roman" w:cs="Times New Roman"/>
          <w:sz w:val="28"/>
          <w:szCs w:val="28"/>
          <w:lang w:eastAsia="ru-RU"/>
        </w:rPr>
        <w:t>ребенка</w:t>
      </w:r>
      <w:r w:rsidR="00591409" w:rsidRPr="00275B73">
        <w:rPr>
          <w:rFonts w:ascii="Times New Roman" w:eastAsia="Times New Roman" w:hAnsi="Times New Roman" w:cs="Times New Roman"/>
          <w:sz w:val="28"/>
          <w:szCs w:val="28"/>
          <w:lang w:eastAsia="ru-RU"/>
        </w:rPr>
        <w:t>-инвалид</w:t>
      </w:r>
      <w:r w:rsidR="00591409">
        <w:rPr>
          <w:rFonts w:ascii="Times New Roman" w:eastAsia="Times New Roman" w:hAnsi="Times New Roman" w:cs="Times New Roman"/>
          <w:sz w:val="28"/>
          <w:szCs w:val="28"/>
          <w:lang w:eastAsia="ru-RU"/>
        </w:rPr>
        <w:t xml:space="preserve">а </w:t>
      </w:r>
      <w:r w:rsidR="002D4E37">
        <w:rPr>
          <w:rFonts w:ascii="Times New Roman" w:eastAsia="Times New Roman" w:hAnsi="Times New Roman" w:cs="Times New Roman"/>
          <w:sz w:val="28"/>
          <w:szCs w:val="28"/>
          <w:lang w:eastAsia="ru-RU"/>
        </w:rPr>
        <w:t>или 15,2</w:t>
      </w:r>
      <w:r w:rsidRPr="00275B73">
        <w:rPr>
          <w:rFonts w:ascii="Times New Roman" w:eastAsia="Times New Roman" w:hAnsi="Times New Roman" w:cs="Times New Roman"/>
          <w:sz w:val="28"/>
          <w:szCs w:val="28"/>
          <w:lang w:eastAsia="ru-RU"/>
        </w:rPr>
        <w:t>%</w:t>
      </w:r>
      <w:r w:rsidR="002D4E37">
        <w:rPr>
          <w:rFonts w:ascii="Times New Roman" w:eastAsia="Times New Roman" w:hAnsi="Times New Roman" w:cs="Times New Roman"/>
          <w:sz w:val="28"/>
          <w:szCs w:val="28"/>
          <w:lang w:eastAsia="ru-RU"/>
        </w:rPr>
        <w:t>;</w:t>
      </w:r>
      <w:r w:rsidRPr="00275B73">
        <w:rPr>
          <w:rFonts w:ascii="Times New Roman" w:eastAsia="Times New Roman" w:hAnsi="Times New Roman" w:cs="Times New Roman"/>
          <w:sz w:val="28"/>
          <w:szCs w:val="28"/>
          <w:lang w:eastAsia="ru-RU"/>
        </w:rPr>
        <w:t xml:space="preserve"> 2019 г.</w:t>
      </w:r>
      <w:r w:rsidR="002D4E37">
        <w:rPr>
          <w:rFonts w:ascii="Times New Roman" w:eastAsia="Times New Roman" w:hAnsi="Times New Roman" w:cs="Times New Roman"/>
          <w:sz w:val="28"/>
          <w:szCs w:val="28"/>
          <w:lang w:eastAsia="ru-RU"/>
        </w:rPr>
        <w:t xml:space="preserve"> – 687 детей-инвалидов или 14,8</w:t>
      </w:r>
      <w:r w:rsidRPr="00275B73">
        <w:rPr>
          <w:rFonts w:ascii="Times New Roman" w:eastAsia="Times New Roman" w:hAnsi="Times New Roman" w:cs="Times New Roman"/>
          <w:sz w:val="28"/>
          <w:szCs w:val="28"/>
          <w:lang w:eastAsia="ru-RU"/>
        </w:rPr>
        <w:t>%).</w:t>
      </w:r>
    </w:p>
    <w:p w14:paraId="3E823394" w14:textId="00C79229" w:rsidR="00275B73" w:rsidRPr="00275B73" w:rsidRDefault="00275B73" w:rsidP="00275B73">
      <w:pPr>
        <w:spacing w:after="0" w:line="312" w:lineRule="auto"/>
        <w:ind w:firstLine="709"/>
        <w:jc w:val="both"/>
        <w:rPr>
          <w:rFonts w:ascii="Times New Roman" w:eastAsia="Times New Roman" w:hAnsi="Times New Roman" w:cs="Times New Roman"/>
          <w:sz w:val="28"/>
          <w:szCs w:val="28"/>
          <w:lang w:eastAsia="ru-RU"/>
        </w:rPr>
      </w:pPr>
      <w:r w:rsidRPr="00275B73">
        <w:rPr>
          <w:rFonts w:ascii="Times New Roman" w:eastAsia="Times New Roman" w:hAnsi="Times New Roman" w:cs="Times New Roman"/>
          <w:sz w:val="28"/>
          <w:szCs w:val="28"/>
          <w:lang w:eastAsia="ru-RU"/>
        </w:rPr>
        <w:t>Специализированную медицинскую помощь в</w:t>
      </w:r>
      <w:r w:rsidR="002D4E37">
        <w:rPr>
          <w:rFonts w:ascii="Times New Roman" w:eastAsia="Times New Roman" w:hAnsi="Times New Roman" w:cs="Times New Roman"/>
          <w:sz w:val="28"/>
          <w:szCs w:val="28"/>
          <w:lang w:eastAsia="ru-RU"/>
        </w:rPr>
        <w:t xml:space="preserve"> 2021 г</w:t>
      </w:r>
      <w:r w:rsidR="00167A45">
        <w:rPr>
          <w:rFonts w:ascii="Times New Roman" w:eastAsia="Times New Roman" w:hAnsi="Times New Roman" w:cs="Times New Roman"/>
          <w:sz w:val="28"/>
          <w:szCs w:val="28"/>
          <w:lang w:eastAsia="ru-RU"/>
        </w:rPr>
        <w:t>.</w:t>
      </w:r>
      <w:r w:rsidR="002D4E37">
        <w:rPr>
          <w:rFonts w:ascii="Times New Roman" w:eastAsia="Times New Roman" w:hAnsi="Times New Roman" w:cs="Times New Roman"/>
          <w:sz w:val="28"/>
          <w:szCs w:val="28"/>
          <w:lang w:eastAsia="ru-RU"/>
        </w:rPr>
        <w:t xml:space="preserve"> получили 3 556 </w:t>
      </w:r>
      <w:r w:rsidRPr="00275B73">
        <w:rPr>
          <w:rFonts w:ascii="Times New Roman" w:eastAsia="Times New Roman" w:hAnsi="Times New Roman" w:cs="Times New Roman"/>
          <w:sz w:val="28"/>
          <w:szCs w:val="28"/>
          <w:lang w:eastAsia="ru-RU"/>
        </w:rPr>
        <w:t xml:space="preserve">детей </w:t>
      </w:r>
      <w:r w:rsidR="00167A45">
        <w:rPr>
          <w:rFonts w:ascii="Times New Roman" w:eastAsia="Times New Roman" w:hAnsi="Times New Roman" w:cs="Times New Roman"/>
          <w:sz w:val="28"/>
          <w:szCs w:val="28"/>
          <w:lang w:eastAsia="ru-RU"/>
        </w:rPr>
        <w:br/>
      </w:r>
      <w:r w:rsidRPr="00275B73">
        <w:rPr>
          <w:rFonts w:ascii="Times New Roman" w:eastAsia="Times New Roman" w:hAnsi="Times New Roman" w:cs="Times New Roman"/>
          <w:sz w:val="28"/>
          <w:szCs w:val="28"/>
          <w:lang w:eastAsia="ru-RU"/>
        </w:rPr>
        <w:t>от общего числа нуждающихся</w:t>
      </w:r>
      <w:r w:rsidR="00905394">
        <w:rPr>
          <w:rFonts w:ascii="Times New Roman" w:eastAsia="Times New Roman" w:hAnsi="Times New Roman" w:cs="Times New Roman"/>
          <w:sz w:val="28"/>
          <w:szCs w:val="28"/>
          <w:lang w:eastAsia="ru-RU"/>
        </w:rPr>
        <w:t xml:space="preserve"> или 99,3%</w:t>
      </w:r>
      <w:r w:rsidRPr="00275B73">
        <w:rPr>
          <w:rFonts w:ascii="Times New Roman" w:eastAsia="Times New Roman" w:hAnsi="Times New Roman" w:cs="Times New Roman"/>
          <w:sz w:val="28"/>
          <w:szCs w:val="28"/>
          <w:lang w:eastAsia="ru-RU"/>
        </w:rPr>
        <w:t xml:space="preserve"> (2020 г. –</w:t>
      </w:r>
      <w:r w:rsidR="002D4E37">
        <w:rPr>
          <w:rFonts w:ascii="Times New Roman" w:eastAsia="Times New Roman" w:hAnsi="Times New Roman" w:cs="Times New Roman"/>
          <w:sz w:val="28"/>
          <w:szCs w:val="28"/>
          <w:lang w:eastAsia="ru-RU"/>
        </w:rPr>
        <w:t xml:space="preserve"> 3 518 (98,4</w:t>
      </w:r>
      <w:r w:rsidRPr="00275B73">
        <w:rPr>
          <w:rFonts w:ascii="Times New Roman" w:eastAsia="Times New Roman" w:hAnsi="Times New Roman" w:cs="Times New Roman"/>
          <w:sz w:val="28"/>
          <w:szCs w:val="28"/>
          <w:lang w:eastAsia="ru-RU"/>
        </w:rPr>
        <w:t>%)</w:t>
      </w:r>
      <w:r w:rsidR="002D4E37">
        <w:rPr>
          <w:rFonts w:ascii="Times New Roman" w:eastAsia="Times New Roman" w:hAnsi="Times New Roman" w:cs="Times New Roman"/>
          <w:sz w:val="28"/>
          <w:szCs w:val="28"/>
          <w:lang w:eastAsia="ru-RU"/>
        </w:rPr>
        <w:t>;</w:t>
      </w:r>
      <w:r w:rsidR="00C5440B">
        <w:rPr>
          <w:rFonts w:ascii="Times New Roman" w:eastAsia="Times New Roman" w:hAnsi="Times New Roman" w:cs="Times New Roman"/>
          <w:sz w:val="28"/>
          <w:szCs w:val="28"/>
          <w:lang w:eastAsia="ru-RU"/>
        </w:rPr>
        <w:t> </w:t>
      </w:r>
      <w:r w:rsidR="002D4E37">
        <w:rPr>
          <w:rFonts w:ascii="Times New Roman" w:eastAsia="Times New Roman" w:hAnsi="Times New Roman" w:cs="Times New Roman"/>
          <w:sz w:val="28"/>
          <w:szCs w:val="28"/>
          <w:lang w:eastAsia="ru-RU"/>
        </w:rPr>
        <w:t>2019 г. – 4 621 (99,4</w:t>
      </w:r>
      <w:r w:rsidRPr="00275B73">
        <w:rPr>
          <w:rFonts w:ascii="Times New Roman" w:eastAsia="Times New Roman" w:hAnsi="Times New Roman" w:cs="Times New Roman"/>
          <w:sz w:val="28"/>
          <w:szCs w:val="28"/>
          <w:lang w:eastAsia="ru-RU"/>
        </w:rPr>
        <w:t>%), в том ч</w:t>
      </w:r>
      <w:r w:rsidR="002D4E37">
        <w:rPr>
          <w:rFonts w:ascii="Times New Roman" w:eastAsia="Times New Roman" w:hAnsi="Times New Roman" w:cs="Times New Roman"/>
          <w:sz w:val="28"/>
          <w:szCs w:val="28"/>
          <w:lang w:eastAsia="ru-RU"/>
        </w:rPr>
        <w:t>исле: 509 детей-инвалидов или 99,8%</w:t>
      </w:r>
      <w:r w:rsidRPr="00275B73">
        <w:rPr>
          <w:rFonts w:ascii="Times New Roman" w:eastAsia="Times New Roman" w:hAnsi="Times New Roman" w:cs="Times New Roman"/>
          <w:sz w:val="28"/>
          <w:szCs w:val="28"/>
          <w:lang w:eastAsia="ru-RU"/>
        </w:rPr>
        <w:t xml:space="preserve"> (2020 г. – 535 ребенка</w:t>
      </w:r>
      <w:r w:rsidR="003B77D7">
        <w:rPr>
          <w:rFonts w:ascii="Times New Roman" w:eastAsia="Times New Roman" w:hAnsi="Times New Roman" w:cs="Times New Roman"/>
          <w:sz w:val="28"/>
          <w:szCs w:val="28"/>
          <w:lang w:eastAsia="ru-RU"/>
        </w:rPr>
        <w:t xml:space="preserve"> с инвалидностью</w:t>
      </w:r>
      <w:r w:rsidRPr="00275B73">
        <w:rPr>
          <w:rFonts w:ascii="Times New Roman" w:eastAsia="Times New Roman" w:hAnsi="Times New Roman" w:cs="Times New Roman"/>
          <w:sz w:val="28"/>
          <w:szCs w:val="28"/>
          <w:lang w:eastAsia="ru-RU"/>
        </w:rPr>
        <w:t xml:space="preserve"> (98</w:t>
      </w:r>
      <w:r w:rsidR="002D4E37">
        <w:rPr>
          <w:rFonts w:ascii="Times New Roman" w:eastAsia="Times New Roman" w:hAnsi="Times New Roman" w:cs="Times New Roman"/>
          <w:sz w:val="28"/>
          <w:szCs w:val="28"/>
          <w:lang w:eastAsia="ru-RU"/>
        </w:rPr>
        <w:t>,5</w:t>
      </w:r>
      <w:r w:rsidRPr="00275B73">
        <w:rPr>
          <w:rFonts w:ascii="Times New Roman" w:eastAsia="Times New Roman" w:hAnsi="Times New Roman" w:cs="Times New Roman"/>
          <w:sz w:val="28"/>
          <w:szCs w:val="28"/>
          <w:lang w:eastAsia="ru-RU"/>
        </w:rPr>
        <w:t>%)</w:t>
      </w:r>
      <w:r w:rsidR="002D4E37">
        <w:rPr>
          <w:rFonts w:ascii="Times New Roman" w:eastAsia="Times New Roman" w:hAnsi="Times New Roman" w:cs="Times New Roman"/>
          <w:sz w:val="28"/>
          <w:szCs w:val="28"/>
          <w:lang w:eastAsia="ru-RU"/>
        </w:rPr>
        <w:t>; 2019 г. – 682 (99,3</w:t>
      </w:r>
      <w:r w:rsidRPr="00275B73">
        <w:rPr>
          <w:rFonts w:ascii="Times New Roman" w:eastAsia="Times New Roman" w:hAnsi="Times New Roman" w:cs="Times New Roman"/>
          <w:sz w:val="28"/>
          <w:szCs w:val="28"/>
          <w:lang w:eastAsia="ru-RU"/>
        </w:rPr>
        <w:t>%)).</w:t>
      </w:r>
    </w:p>
    <w:p w14:paraId="24017A9A" w14:textId="4F2687E2" w:rsidR="00275B73" w:rsidRPr="00275B73" w:rsidRDefault="00275B73" w:rsidP="006762F2">
      <w:pPr>
        <w:spacing w:after="0" w:line="312" w:lineRule="auto"/>
        <w:ind w:firstLine="709"/>
        <w:jc w:val="both"/>
        <w:rPr>
          <w:rFonts w:ascii="Times New Roman" w:eastAsia="Times New Roman" w:hAnsi="Times New Roman" w:cs="Times New Roman"/>
          <w:sz w:val="28"/>
          <w:szCs w:val="28"/>
          <w:lang w:eastAsia="ru-RU"/>
        </w:rPr>
      </w:pPr>
      <w:r w:rsidRPr="00275B73">
        <w:rPr>
          <w:rFonts w:ascii="Times New Roman" w:eastAsia="Times New Roman" w:hAnsi="Times New Roman" w:cs="Times New Roman"/>
          <w:sz w:val="28"/>
          <w:szCs w:val="28"/>
          <w:lang w:eastAsia="ru-RU"/>
        </w:rPr>
        <w:t xml:space="preserve">Число детей, нуждающихся в </w:t>
      </w:r>
      <w:r w:rsidRPr="00C5440B">
        <w:rPr>
          <w:rFonts w:ascii="Times New Roman" w:eastAsia="Times New Roman" w:hAnsi="Times New Roman" w:cs="Times New Roman"/>
          <w:sz w:val="28"/>
          <w:szCs w:val="28"/>
          <w:lang w:eastAsia="ru-RU"/>
        </w:rPr>
        <w:t>ВМП,</w:t>
      </w:r>
      <w:r w:rsidRPr="00275B73">
        <w:rPr>
          <w:rFonts w:ascii="Times New Roman" w:eastAsia="Times New Roman" w:hAnsi="Times New Roman" w:cs="Times New Roman"/>
          <w:sz w:val="28"/>
          <w:szCs w:val="28"/>
          <w:lang w:eastAsia="ru-RU"/>
        </w:rPr>
        <w:t xml:space="preserve"> составило 240 (2020 г. – 221</w:t>
      </w:r>
      <w:r w:rsidR="002D4E37">
        <w:rPr>
          <w:rFonts w:ascii="Times New Roman" w:eastAsia="Times New Roman" w:hAnsi="Times New Roman" w:cs="Times New Roman"/>
          <w:sz w:val="28"/>
          <w:szCs w:val="28"/>
          <w:lang w:eastAsia="ru-RU"/>
        </w:rPr>
        <w:t xml:space="preserve"> ребенок;</w:t>
      </w:r>
      <w:r w:rsidR="006762F2">
        <w:rPr>
          <w:rFonts w:ascii="Times New Roman" w:eastAsia="Times New Roman" w:hAnsi="Times New Roman" w:cs="Times New Roman"/>
          <w:sz w:val="28"/>
          <w:szCs w:val="28"/>
          <w:lang w:eastAsia="ru-RU"/>
        </w:rPr>
        <w:br/>
      </w:r>
      <w:r w:rsidRPr="00275B73">
        <w:rPr>
          <w:rFonts w:ascii="Times New Roman" w:eastAsia="Times New Roman" w:hAnsi="Times New Roman" w:cs="Times New Roman"/>
          <w:sz w:val="28"/>
          <w:szCs w:val="28"/>
          <w:lang w:eastAsia="ru-RU"/>
        </w:rPr>
        <w:t>2019 г. – 234</w:t>
      </w:r>
      <w:r w:rsidR="002D4E37">
        <w:rPr>
          <w:rFonts w:ascii="Times New Roman" w:eastAsia="Times New Roman" w:hAnsi="Times New Roman" w:cs="Times New Roman"/>
          <w:sz w:val="28"/>
          <w:szCs w:val="28"/>
          <w:lang w:eastAsia="ru-RU"/>
        </w:rPr>
        <w:t xml:space="preserve"> ребенка</w:t>
      </w:r>
      <w:r w:rsidRPr="00275B73">
        <w:rPr>
          <w:rFonts w:ascii="Times New Roman" w:eastAsia="Times New Roman" w:hAnsi="Times New Roman" w:cs="Times New Roman"/>
          <w:sz w:val="28"/>
          <w:szCs w:val="28"/>
          <w:lang w:eastAsia="ru-RU"/>
        </w:rPr>
        <w:t>), из них 105 детей</w:t>
      </w:r>
      <w:r w:rsidR="003B77D7">
        <w:rPr>
          <w:rFonts w:ascii="Times New Roman" w:eastAsia="Times New Roman" w:hAnsi="Times New Roman" w:cs="Times New Roman"/>
          <w:sz w:val="28"/>
          <w:szCs w:val="28"/>
          <w:lang w:eastAsia="ru-RU"/>
        </w:rPr>
        <w:t xml:space="preserve"> с инвалидностью</w:t>
      </w:r>
      <w:r w:rsidR="002D4E37">
        <w:rPr>
          <w:rFonts w:ascii="Times New Roman" w:eastAsia="Times New Roman" w:hAnsi="Times New Roman" w:cs="Times New Roman"/>
          <w:sz w:val="28"/>
          <w:szCs w:val="28"/>
          <w:lang w:eastAsia="ru-RU"/>
        </w:rPr>
        <w:t xml:space="preserve"> (2020 г. – 111 детей</w:t>
      </w:r>
      <w:r w:rsidR="003B77D7">
        <w:rPr>
          <w:rFonts w:ascii="Times New Roman" w:eastAsia="Times New Roman" w:hAnsi="Times New Roman" w:cs="Times New Roman"/>
          <w:sz w:val="28"/>
          <w:szCs w:val="28"/>
          <w:lang w:eastAsia="ru-RU"/>
        </w:rPr>
        <w:t xml:space="preserve"> с инвалидностью</w:t>
      </w:r>
      <w:r w:rsidR="002D4E37">
        <w:rPr>
          <w:rFonts w:ascii="Times New Roman" w:eastAsia="Times New Roman" w:hAnsi="Times New Roman" w:cs="Times New Roman"/>
          <w:sz w:val="28"/>
          <w:szCs w:val="28"/>
          <w:lang w:eastAsia="ru-RU"/>
        </w:rPr>
        <w:t>;</w:t>
      </w:r>
      <w:r w:rsidRPr="00275B73">
        <w:rPr>
          <w:rFonts w:ascii="Times New Roman" w:eastAsia="Times New Roman" w:hAnsi="Times New Roman" w:cs="Times New Roman"/>
          <w:sz w:val="28"/>
          <w:szCs w:val="28"/>
          <w:lang w:eastAsia="ru-RU"/>
        </w:rPr>
        <w:t xml:space="preserve"> 2019 г. – 118 </w:t>
      </w:r>
      <w:r w:rsidR="002D4E37">
        <w:rPr>
          <w:rFonts w:ascii="Times New Roman" w:eastAsia="Times New Roman" w:hAnsi="Times New Roman" w:cs="Times New Roman"/>
          <w:sz w:val="28"/>
          <w:szCs w:val="28"/>
          <w:lang w:eastAsia="ru-RU"/>
        </w:rPr>
        <w:t>детей</w:t>
      </w:r>
      <w:r w:rsidR="003B77D7" w:rsidRPr="003B77D7">
        <w:rPr>
          <w:rFonts w:ascii="Times New Roman" w:eastAsia="Times New Roman" w:hAnsi="Times New Roman" w:cs="Times New Roman"/>
          <w:sz w:val="28"/>
          <w:szCs w:val="28"/>
          <w:lang w:eastAsia="ru-RU"/>
        </w:rPr>
        <w:t xml:space="preserve"> </w:t>
      </w:r>
      <w:r w:rsidR="003B77D7">
        <w:rPr>
          <w:rFonts w:ascii="Times New Roman" w:eastAsia="Times New Roman" w:hAnsi="Times New Roman" w:cs="Times New Roman"/>
          <w:sz w:val="28"/>
          <w:szCs w:val="28"/>
          <w:lang w:eastAsia="ru-RU"/>
        </w:rPr>
        <w:t>с инвалидностью</w:t>
      </w:r>
      <w:r w:rsidRPr="00275B73">
        <w:rPr>
          <w:rFonts w:ascii="Times New Roman" w:eastAsia="Times New Roman" w:hAnsi="Times New Roman" w:cs="Times New Roman"/>
          <w:sz w:val="28"/>
          <w:szCs w:val="28"/>
          <w:lang w:eastAsia="ru-RU"/>
        </w:rPr>
        <w:t>).</w:t>
      </w:r>
    </w:p>
    <w:p w14:paraId="67C92482" w14:textId="6ED83829" w:rsidR="00275B73" w:rsidRDefault="002D4E37" w:rsidP="00275B73">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ВПМ получили 206 детей или 85,8</w:t>
      </w:r>
      <w:r w:rsidR="00275B73" w:rsidRPr="00275B7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от числа нуждающихся в ВПМ </w:t>
      </w:r>
      <w:r w:rsidR="00D502D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(2020 г. – 176 детей (79,6%);</w:t>
      </w:r>
      <w:r w:rsidR="00275B73" w:rsidRPr="00275B73">
        <w:rPr>
          <w:rFonts w:ascii="Times New Roman" w:eastAsia="Times New Roman" w:hAnsi="Times New Roman" w:cs="Times New Roman"/>
          <w:sz w:val="28"/>
          <w:szCs w:val="28"/>
          <w:lang w:eastAsia="ru-RU"/>
        </w:rPr>
        <w:t xml:space="preserve"> 2019 г. – 205 </w:t>
      </w:r>
      <w:r>
        <w:rPr>
          <w:rFonts w:ascii="Times New Roman" w:eastAsia="Times New Roman" w:hAnsi="Times New Roman" w:cs="Times New Roman"/>
          <w:sz w:val="28"/>
          <w:szCs w:val="28"/>
          <w:lang w:eastAsia="ru-RU"/>
        </w:rPr>
        <w:t>детей</w:t>
      </w:r>
      <w:r w:rsidR="00C5440B">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(87,6</w:t>
      </w:r>
      <w:r w:rsidR="00275B73" w:rsidRPr="00275B73">
        <w:rPr>
          <w:rFonts w:ascii="Times New Roman" w:eastAsia="Times New Roman" w:hAnsi="Times New Roman" w:cs="Times New Roman"/>
          <w:sz w:val="28"/>
          <w:szCs w:val="28"/>
          <w:lang w:eastAsia="ru-RU"/>
        </w:rPr>
        <w:t>%)), в том</w:t>
      </w:r>
      <w:r>
        <w:rPr>
          <w:rFonts w:ascii="Times New Roman" w:eastAsia="Times New Roman" w:hAnsi="Times New Roman" w:cs="Times New Roman"/>
          <w:sz w:val="28"/>
          <w:szCs w:val="28"/>
          <w:lang w:eastAsia="ru-RU"/>
        </w:rPr>
        <w:t xml:space="preserve"> числе 90 детей</w:t>
      </w:r>
      <w:r w:rsidR="003B77D7" w:rsidRPr="003B77D7">
        <w:rPr>
          <w:rFonts w:ascii="Times New Roman" w:eastAsia="Times New Roman" w:hAnsi="Times New Roman" w:cs="Times New Roman"/>
          <w:sz w:val="28"/>
          <w:szCs w:val="28"/>
          <w:lang w:eastAsia="ru-RU"/>
        </w:rPr>
        <w:t xml:space="preserve"> </w:t>
      </w:r>
      <w:r w:rsidR="003B77D7">
        <w:rPr>
          <w:rFonts w:ascii="Times New Roman" w:eastAsia="Times New Roman" w:hAnsi="Times New Roman" w:cs="Times New Roman"/>
          <w:sz w:val="28"/>
          <w:szCs w:val="28"/>
          <w:lang w:eastAsia="ru-RU"/>
        </w:rPr>
        <w:t>с инвалидностью или</w:t>
      </w:r>
      <w:r>
        <w:rPr>
          <w:rFonts w:ascii="Times New Roman" w:eastAsia="Times New Roman" w:hAnsi="Times New Roman" w:cs="Times New Roman"/>
          <w:sz w:val="28"/>
          <w:szCs w:val="28"/>
          <w:lang w:eastAsia="ru-RU"/>
        </w:rPr>
        <w:t xml:space="preserve"> 85,7</w:t>
      </w:r>
      <w:r w:rsidR="00275B73" w:rsidRPr="00275B73">
        <w:rPr>
          <w:rFonts w:ascii="Times New Roman" w:eastAsia="Times New Roman" w:hAnsi="Times New Roman" w:cs="Times New Roman"/>
          <w:sz w:val="28"/>
          <w:szCs w:val="28"/>
          <w:lang w:eastAsia="ru-RU"/>
        </w:rPr>
        <w:t>%</w:t>
      </w:r>
      <w:r w:rsidR="00C5440B">
        <w:rPr>
          <w:rFonts w:ascii="Times New Roman" w:eastAsia="Times New Roman" w:hAnsi="Times New Roman" w:cs="Times New Roman"/>
          <w:sz w:val="28"/>
          <w:szCs w:val="28"/>
          <w:lang w:eastAsia="ru-RU"/>
        </w:rPr>
        <w:t xml:space="preserve"> </w:t>
      </w:r>
      <w:r w:rsidR="00275B73" w:rsidRPr="00275B73">
        <w:rPr>
          <w:rFonts w:ascii="Times New Roman" w:eastAsia="Times New Roman" w:hAnsi="Times New Roman" w:cs="Times New Roman"/>
          <w:sz w:val="28"/>
          <w:szCs w:val="28"/>
          <w:lang w:eastAsia="ru-RU"/>
        </w:rPr>
        <w:t>(2020 г.</w:t>
      </w:r>
      <w:r>
        <w:rPr>
          <w:rFonts w:ascii="Times New Roman" w:eastAsia="Times New Roman" w:hAnsi="Times New Roman" w:cs="Times New Roman"/>
          <w:sz w:val="28"/>
          <w:szCs w:val="28"/>
          <w:lang w:eastAsia="ru-RU"/>
        </w:rPr>
        <w:t xml:space="preserve"> –</w:t>
      </w:r>
      <w:r w:rsidR="00275B73" w:rsidRPr="00275B73">
        <w:rPr>
          <w:rFonts w:ascii="Times New Roman" w:eastAsia="Times New Roman" w:hAnsi="Times New Roman" w:cs="Times New Roman"/>
          <w:sz w:val="28"/>
          <w:szCs w:val="28"/>
          <w:lang w:eastAsia="ru-RU"/>
        </w:rPr>
        <w:t xml:space="preserve"> 92 ребен</w:t>
      </w:r>
      <w:r>
        <w:rPr>
          <w:rFonts w:ascii="Times New Roman" w:eastAsia="Times New Roman" w:hAnsi="Times New Roman" w:cs="Times New Roman"/>
          <w:sz w:val="28"/>
          <w:szCs w:val="28"/>
          <w:lang w:eastAsia="ru-RU"/>
        </w:rPr>
        <w:t>ка</w:t>
      </w:r>
      <w:r w:rsidR="003B77D7" w:rsidRPr="003B77D7">
        <w:rPr>
          <w:rFonts w:ascii="Times New Roman" w:eastAsia="Times New Roman" w:hAnsi="Times New Roman" w:cs="Times New Roman"/>
          <w:sz w:val="28"/>
          <w:szCs w:val="28"/>
          <w:lang w:eastAsia="ru-RU"/>
        </w:rPr>
        <w:t xml:space="preserve"> </w:t>
      </w:r>
      <w:r w:rsidR="003B77D7">
        <w:rPr>
          <w:rFonts w:ascii="Times New Roman" w:eastAsia="Times New Roman" w:hAnsi="Times New Roman" w:cs="Times New Roman"/>
          <w:sz w:val="28"/>
          <w:szCs w:val="28"/>
          <w:lang w:eastAsia="ru-RU"/>
        </w:rPr>
        <w:t>с инвалидностью</w:t>
      </w:r>
      <w:r w:rsidR="003B77D7" w:rsidDel="003B77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(82,8</w:t>
      </w:r>
      <w:r w:rsidR="00275B73" w:rsidRPr="00275B7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275B73" w:rsidRPr="00275B73">
        <w:rPr>
          <w:rFonts w:ascii="Times New Roman" w:eastAsia="Times New Roman" w:hAnsi="Times New Roman" w:cs="Times New Roman"/>
          <w:sz w:val="28"/>
          <w:szCs w:val="28"/>
          <w:lang w:eastAsia="ru-RU"/>
        </w:rPr>
        <w:t xml:space="preserve"> 2019 г. – 106 </w:t>
      </w:r>
      <w:r w:rsidRPr="00275B73">
        <w:rPr>
          <w:rFonts w:ascii="Times New Roman" w:eastAsia="Times New Roman" w:hAnsi="Times New Roman" w:cs="Times New Roman"/>
          <w:sz w:val="28"/>
          <w:szCs w:val="28"/>
          <w:lang w:eastAsia="ru-RU"/>
        </w:rPr>
        <w:t>детей</w:t>
      </w:r>
      <w:r w:rsidR="003B77D7" w:rsidRPr="003B77D7">
        <w:rPr>
          <w:rFonts w:ascii="Times New Roman" w:eastAsia="Times New Roman" w:hAnsi="Times New Roman" w:cs="Times New Roman"/>
          <w:sz w:val="28"/>
          <w:szCs w:val="28"/>
          <w:lang w:eastAsia="ru-RU"/>
        </w:rPr>
        <w:t xml:space="preserve"> </w:t>
      </w:r>
      <w:r w:rsidR="003B77D7">
        <w:rPr>
          <w:rFonts w:ascii="Times New Roman" w:eastAsia="Times New Roman" w:hAnsi="Times New Roman" w:cs="Times New Roman"/>
          <w:sz w:val="28"/>
          <w:szCs w:val="28"/>
          <w:lang w:eastAsia="ru-RU"/>
        </w:rPr>
        <w:t>с инвалидностью</w:t>
      </w:r>
      <w:r w:rsidR="003B77D7" w:rsidRPr="00275B73" w:rsidDel="003B77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(89,8</w:t>
      </w:r>
      <w:r w:rsidR="00275B73" w:rsidRPr="00275B73">
        <w:rPr>
          <w:rFonts w:ascii="Times New Roman" w:eastAsia="Times New Roman" w:hAnsi="Times New Roman" w:cs="Times New Roman"/>
          <w:sz w:val="28"/>
          <w:szCs w:val="28"/>
          <w:lang w:eastAsia="ru-RU"/>
        </w:rPr>
        <w:t>%)).</w:t>
      </w:r>
    </w:p>
    <w:p w14:paraId="2A8A82C5" w14:textId="1EF35558" w:rsidR="00275B73" w:rsidRDefault="00275B73" w:rsidP="00275B73">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Число детей, нуждающихся в медицинской реабилитации, составило 8 030 (2020 г. – 7 764 ребенка; 2019 г. – 9 401 ребен</w:t>
      </w:r>
      <w:r w:rsidR="00264AC9">
        <w:rPr>
          <w:rFonts w:ascii="Times New Roman" w:eastAsia="Times New Roman" w:hAnsi="Times New Roman" w:cs="Times New Roman"/>
          <w:sz w:val="28"/>
          <w:szCs w:val="28"/>
          <w:lang w:eastAsia="ru-RU"/>
        </w:rPr>
        <w:t>ок</w:t>
      </w:r>
      <w:r>
        <w:rPr>
          <w:rFonts w:ascii="Times New Roman" w:eastAsia="Times New Roman" w:hAnsi="Times New Roman" w:cs="Times New Roman"/>
          <w:sz w:val="28"/>
          <w:szCs w:val="28"/>
          <w:lang w:eastAsia="ru-RU"/>
        </w:rPr>
        <w:t>)</w:t>
      </w:r>
      <w:r w:rsidR="002D4E37">
        <w:rPr>
          <w:rFonts w:ascii="Times New Roman" w:eastAsia="Times New Roman" w:hAnsi="Times New Roman" w:cs="Times New Roman"/>
          <w:sz w:val="28"/>
          <w:szCs w:val="28"/>
          <w:lang w:eastAsia="ru-RU"/>
        </w:rPr>
        <w:t xml:space="preserve">, из них 3 846 детей, оставшихся без попечения родителей (2020 г. – 3 814 детей, оставшихся без попечения родителей; 2019 г. </w:t>
      </w:r>
      <w:r w:rsidR="007F612B">
        <w:rPr>
          <w:rFonts w:ascii="Times New Roman" w:eastAsia="Times New Roman" w:hAnsi="Times New Roman" w:cs="Times New Roman"/>
          <w:sz w:val="28"/>
          <w:szCs w:val="28"/>
          <w:lang w:eastAsia="ru-RU"/>
        </w:rPr>
        <w:t>–</w:t>
      </w:r>
      <w:r w:rsidR="00264AC9" w:rsidRPr="00275B73">
        <w:rPr>
          <w:rFonts w:ascii="Times New Roman" w:eastAsia="Times New Roman" w:hAnsi="Times New Roman" w:cs="Times New Roman"/>
          <w:sz w:val="28"/>
          <w:szCs w:val="28"/>
          <w:lang w:eastAsia="ru-RU"/>
        </w:rPr>
        <w:t> </w:t>
      </w:r>
      <w:r w:rsidR="007F612B">
        <w:rPr>
          <w:rFonts w:ascii="Times New Roman" w:eastAsia="Times New Roman" w:hAnsi="Times New Roman" w:cs="Times New Roman"/>
          <w:sz w:val="28"/>
          <w:szCs w:val="28"/>
          <w:lang w:eastAsia="ru-RU"/>
        </w:rPr>
        <w:t>4 387 детей, оставшихся без попечения родителей), и 785 детей</w:t>
      </w:r>
      <w:r w:rsidR="003B77D7" w:rsidRPr="003B77D7">
        <w:rPr>
          <w:rFonts w:ascii="Times New Roman" w:eastAsia="Times New Roman" w:hAnsi="Times New Roman" w:cs="Times New Roman"/>
          <w:sz w:val="28"/>
          <w:szCs w:val="28"/>
          <w:lang w:eastAsia="ru-RU"/>
        </w:rPr>
        <w:t xml:space="preserve"> </w:t>
      </w:r>
      <w:r w:rsidR="003B77D7">
        <w:rPr>
          <w:rFonts w:ascii="Times New Roman" w:eastAsia="Times New Roman" w:hAnsi="Times New Roman" w:cs="Times New Roman"/>
          <w:sz w:val="28"/>
          <w:szCs w:val="28"/>
          <w:lang w:eastAsia="ru-RU"/>
        </w:rPr>
        <w:t>с инвалидностью</w:t>
      </w:r>
      <w:r w:rsidR="003B77D7" w:rsidDel="003B77D7">
        <w:rPr>
          <w:rFonts w:ascii="Times New Roman" w:eastAsia="Times New Roman" w:hAnsi="Times New Roman" w:cs="Times New Roman"/>
          <w:sz w:val="28"/>
          <w:szCs w:val="28"/>
          <w:lang w:eastAsia="ru-RU"/>
        </w:rPr>
        <w:t xml:space="preserve"> </w:t>
      </w:r>
      <w:r w:rsidR="007F612B">
        <w:rPr>
          <w:rFonts w:ascii="Times New Roman" w:eastAsia="Times New Roman" w:hAnsi="Times New Roman" w:cs="Times New Roman"/>
          <w:sz w:val="28"/>
          <w:szCs w:val="28"/>
          <w:lang w:eastAsia="ru-RU"/>
        </w:rPr>
        <w:t>(2020 г. – 846 детей</w:t>
      </w:r>
      <w:r w:rsidR="003B77D7" w:rsidRPr="003B77D7">
        <w:rPr>
          <w:rFonts w:ascii="Times New Roman" w:eastAsia="Times New Roman" w:hAnsi="Times New Roman" w:cs="Times New Roman"/>
          <w:sz w:val="28"/>
          <w:szCs w:val="28"/>
          <w:lang w:eastAsia="ru-RU"/>
        </w:rPr>
        <w:t xml:space="preserve"> </w:t>
      </w:r>
      <w:r w:rsidR="003B77D7">
        <w:rPr>
          <w:rFonts w:ascii="Times New Roman" w:eastAsia="Times New Roman" w:hAnsi="Times New Roman" w:cs="Times New Roman"/>
          <w:sz w:val="28"/>
          <w:szCs w:val="28"/>
          <w:lang w:eastAsia="ru-RU"/>
        </w:rPr>
        <w:t>с инвалидностью</w:t>
      </w:r>
      <w:r w:rsidR="007F612B">
        <w:rPr>
          <w:rFonts w:ascii="Times New Roman" w:eastAsia="Times New Roman" w:hAnsi="Times New Roman" w:cs="Times New Roman"/>
          <w:sz w:val="28"/>
          <w:szCs w:val="28"/>
          <w:lang w:eastAsia="ru-RU"/>
        </w:rPr>
        <w:t>; 2019 г. – 1 066 детей</w:t>
      </w:r>
      <w:r w:rsidR="003B77D7" w:rsidRPr="003B77D7">
        <w:rPr>
          <w:rFonts w:ascii="Times New Roman" w:eastAsia="Times New Roman" w:hAnsi="Times New Roman" w:cs="Times New Roman"/>
          <w:sz w:val="28"/>
          <w:szCs w:val="28"/>
          <w:lang w:eastAsia="ru-RU"/>
        </w:rPr>
        <w:t xml:space="preserve"> </w:t>
      </w:r>
      <w:r w:rsidR="003B77D7">
        <w:rPr>
          <w:rFonts w:ascii="Times New Roman" w:eastAsia="Times New Roman" w:hAnsi="Times New Roman" w:cs="Times New Roman"/>
          <w:sz w:val="28"/>
          <w:szCs w:val="28"/>
          <w:lang w:eastAsia="ru-RU"/>
        </w:rPr>
        <w:t>с инвалидностью</w:t>
      </w:r>
      <w:r w:rsidR="007F612B">
        <w:rPr>
          <w:rFonts w:ascii="Times New Roman" w:eastAsia="Times New Roman" w:hAnsi="Times New Roman" w:cs="Times New Roman"/>
          <w:sz w:val="28"/>
          <w:szCs w:val="28"/>
          <w:lang w:eastAsia="ru-RU"/>
        </w:rPr>
        <w:t>).</w:t>
      </w:r>
    </w:p>
    <w:p w14:paraId="1EC7767E" w14:textId="2D4093EA" w:rsidR="007F612B" w:rsidRDefault="007F612B" w:rsidP="00275B73">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2021 г</w:t>
      </w:r>
      <w:r w:rsidR="00167A4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8 000 детей от числа нуждающихся (99,6%) получили медицинскую реабилитацию (2020 г. – 7 734 ребенка (99,6%); 2019 г. </w:t>
      </w:r>
      <w:r w:rsidR="00086671">
        <w:rPr>
          <w:rFonts w:ascii="Times New Roman" w:eastAsia="Times New Roman" w:hAnsi="Times New Roman" w:cs="Times New Roman"/>
          <w:sz w:val="28"/>
          <w:szCs w:val="28"/>
          <w:lang w:eastAsia="ru-RU"/>
        </w:rPr>
        <w:t>–</w:t>
      </w:r>
      <w:r w:rsidR="00C5440B">
        <w:rPr>
          <w:rFonts w:ascii="Times New Roman" w:eastAsia="Times New Roman" w:hAnsi="Times New Roman" w:cs="Times New Roman"/>
          <w:sz w:val="28"/>
          <w:szCs w:val="28"/>
          <w:lang w:eastAsia="ru-RU"/>
        </w:rPr>
        <w:t> </w:t>
      </w:r>
      <w:r w:rsidR="00086671">
        <w:rPr>
          <w:rFonts w:ascii="Times New Roman" w:eastAsia="Times New Roman" w:hAnsi="Times New Roman" w:cs="Times New Roman"/>
          <w:sz w:val="28"/>
          <w:szCs w:val="28"/>
          <w:lang w:eastAsia="ru-RU"/>
        </w:rPr>
        <w:t>9 390 детей (99,9%), в том числе 782 ребенка</w:t>
      </w:r>
      <w:r w:rsidR="003B77D7">
        <w:rPr>
          <w:rFonts w:ascii="Times New Roman" w:eastAsia="Times New Roman" w:hAnsi="Times New Roman" w:cs="Times New Roman"/>
          <w:sz w:val="28"/>
          <w:szCs w:val="28"/>
          <w:lang w:eastAsia="ru-RU"/>
        </w:rPr>
        <w:t xml:space="preserve"> с инвалидностью</w:t>
      </w:r>
      <w:r w:rsidR="003B77D7" w:rsidDel="003B77D7">
        <w:rPr>
          <w:rFonts w:ascii="Times New Roman" w:eastAsia="Times New Roman" w:hAnsi="Times New Roman" w:cs="Times New Roman"/>
          <w:sz w:val="28"/>
          <w:szCs w:val="28"/>
          <w:lang w:eastAsia="ru-RU"/>
        </w:rPr>
        <w:t xml:space="preserve"> </w:t>
      </w:r>
      <w:r w:rsidR="00086671">
        <w:rPr>
          <w:rFonts w:ascii="Times New Roman" w:eastAsia="Times New Roman" w:hAnsi="Times New Roman" w:cs="Times New Roman"/>
          <w:sz w:val="28"/>
          <w:szCs w:val="28"/>
          <w:lang w:eastAsia="ru-RU"/>
        </w:rPr>
        <w:t>или 99,6% от общего числа нуждающихся в реабилитации детей</w:t>
      </w:r>
      <w:r w:rsidR="003B77D7" w:rsidRPr="003B77D7">
        <w:rPr>
          <w:rFonts w:ascii="Times New Roman" w:eastAsia="Times New Roman" w:hAnsi="Times New Roman" w:cs="Times New Roman"/>
          <w:sz w:val="28"/>
          <w:szCs w:val="28"/>
          <w:lang w:eastAsia="ru-RU"/>
        </w:rPr>
        <w:t xml:space="preserve"> </w:t>
      </w:r>
      <w:r w:rsidR="003B77D7">
        <w:rPr>
          <w:rFonts w:ascii="Times New Roman" w:eastAsia="Times New Roman" w:hAnsi="Times New Roman" w:cs="Times New Roman"/>
          <w:sz w:val="28"/>
          <w:szCs w:val="28"/>
          <w:lang w:eastAsia="ru-RU"/>
        </w:rPr>
        <w:t>с инвалидностью</w:t>
      </w:r>
      <w:r w:rsidR="003B77D7" w:rsidDel="003B77D7">
        <w:rPr>
          <w:rFonts w:ascii="Times New Roman" w:eastAsia="Times New Roman" w:hAnsi="Times New Roman" w:cs="Times New Roman"/>
          <w:sz w:val="28"/>
          <w:szCs w:val="28"/>
          <w:lang w:eastAsia="ru-RU"/>
        </w:rPr>
        <w:t xml:space="preserve"> </w:t>
      </w:r>
      <w:r w:rsidR="00086671">
        <w:rPr>
          <w:rFonts w:ascii="Times New Roman" w:eastAsia="Times New Roman" w:hAnsi="Times New Roman" w:cs="Times New Roman"/>
          <w:sz w:val="28"/>
          <w:szCs w:val="28"/>
          <w:lang w:eastAsia="ru-RU"/>
        </w:rPr>
        <w:t>(2020 г. – 845 детей</w:t>
      </w:r>
      <w:r w:rsidR="003B77D7" w:rsidRPr="003B77D7">
        <w:rPr>
          <w:rFonts w:ascii="Times New Roman" w:eastAsia="Times New Roman" w:hAnsi="Times New Roman" w:cs="Times New Roman"/>
          <w:sz w:val="28"/>
          <w:szCs w:val="28"/>
          <w:lang w:eastAsia="ru-RU"/>
        </w:rPr>
        <w:t xml:space="preserve"> </w:t>
      </w:r>
      <w:r w:rsidR="003B77D7">
        <w:rPr>
          <w:rFonts w:ascii="Times New Roman" w:eastAsia="Times New Roman" w:hAnsi="Times New Roman" w:cs="Times New Roman"/>
          <w:sz w:val="28"/>
          <w:szCs w:val="28"/>
          <w:lang w:eastAsia="ru-RU"/>
        </w:rPr>
        <w:t>с инвалидностью</w:t>
      </w:r>
      <w:r w:rsidR="003B77D7" w:rsidDel="003B77D7">
        <w:rPr>
          <w:rFonts w:ascii="Times New Roman" w:eastAsia="Times New Roman" w:hAnsi="Times New Roman" w:cs="Times New Roman"/>
          <w:sz w:val="28"/>
          <w:szCs w:val="28"/>
          <w:lang w:eastAsia="ru-RU"/>
        </w:rPr>
        <w:t xml:space="preserve"> </w:t>
      </w:r>
      <w:r w:rsidR="00086671">
        <w:rPr>
          <w:rFonts w:ascii="Times New Roman" w:eastAsia="Times New Roman" w:hAnsi="Times New Roman" w:cs="Times New Roman"/>
          <w:sz w:val="28"/>
          <w:szCs w:val="28"/>
          <w:lang w:eastAsia="ru-RU"/>
        </w:rPr>
        <w:t>или 100% от общего числа нуждающихся в реабилитации детей</w:t>
      </w:r>
      <w:r w:rsidR="003B77D7" w:rsidRPr="003B77D7">
        <w:rPr>
          <w:rFonts w:ascii="Times New Roman" w:eastAsia="Times New Roman" w:hAnsi="Times New Roman" w:cs="Times New Roman"/>
          <w:sz w:val="28"/>
          <w:szCs w:val="28"/>
          <w:lang w:eastAsia="ru-RU"/>
        </w:rPr>
        <w:t xml:space="preserve"> </w:t>
      </w:r>
      <w:r w:rsidR="003B77D7">
        <w:rPr>
          <w:rFonts w:ascii="Times New Roman" w:eastAsia="Times New Roman" w:hAnsi="Times New Roman" w:cs="Times New Roman"/>
          <w:sz w:val="28"/>
          <w:szCs w:val="28"/>
          <w:lang w:eastAsia="ru-RU"/>
        </w:rPr>
        <w:t>с инвалидностью</w:t>
      </w:r>
      <w:r w:rsidR="00086671">
        <w:rPr>
          <w:rFonts w:ascii="Times New Roman" w:eastAsia="Times New Roman" w:hAnsi="Times New Roman" w:cs="Times New Roman"/>
          <w:sz w:val="28"/>
          <w:szCs w:val="28"/>
          <w:lang w:eastAsia="ru-RU"/>
        </w:rPr>
        <w:t xml:space="preserve">; </w:t>
      </w:r>
      <w:r w:rsidR="001B7BF2">
        <w:rPr>
          <w:rFonts w:ascii="Times New Roman" w:eastAsia="Times New Roman" w:hAnsi="Times New Roman" w:cs="Times New Roman"/>
          <w:sz w:val="28"/>
          <w:szCs w:val="28"/>
          <w:lang w:eastAsia="ru-RU"/>
        </w:rPr>
        <w:br/>
      </w:r>
      <w:r w:rsidR="00086671">
        <w:rPr>
          <w:rFonts w:ascii="Times New Roman" w:eastAsia="Times New Roman" w:hAnsi="Times New Roman" w:cs="Times New Roman"/>
          <w:sz w:val="28"/>
          <w:szCs w:val="28"/>
          <w:lang w:eastAsia="ru-RU"/>
        </w:rPr>
        <w:t>2019 г. – 1 066 ребенка</w:t>
      </w:r>
      <w:r w:rsidR="003B77D7" w:rsidRPr="003B77D7">
        <w:rPr>
          <w:rFonts w:ascii="Times New Roman" w:eastAsia="Times New Roman" w:hAnsi="Times New Roman" w:cs="Times New Roman"/>
          <w:sz w:val="28"/>
          <w:szCs w:val="28"/>
          <w:lang w:eastAsia="ru-RU"/>
        </w:rPr>
        <w:t xml:space="preserve"> </w:t>
      </w:r>
      <w:r w:rsidR="003B77D7">
        <w:rPr>
          <w:rFonts w:ascii="Times New Roman" w:eastAsia="Times New Roman" w:hAnsi="Times New Roman" w:cs="Times New Roman"/>
          <w:sz w:val="28"/>
          <w:szCs w:val="28"/>
          <w:lang w:eastAsia="ru-RU"/>
        </w:rPr>
        <w:t>с инвалидностью</w:t>
      </w:r>
      <w:r w:rsidR="003B77D7" w:rsidDel="003B77D7">
        <w:rPr>
          <w:rFonts w:ascii="Times New Roman" w:eastAsia="Times New Roman" w:hAnsi="Times New Roman" w:cs="Times New Roman"/>
          <w:sz w:val="28"/>
          <w:szCs w:val="28"/>
          <w:lang w:eastAsia="ru-RU"/>
        </w:rPr>
        <w:t xml:space="preserve"> </w:t>
      </w:r>
      <w:r w:rsidR="00086671">
        <w:rPr>
          <w:rFonts w:ascii="Times New Roman" w:eastAsia="Times New Roman" w:hAnsi="Times New Roman" w:cs="Times New Roman"/>
          <w:sz w:val="28"/>
          <w:szCs w:val="28"/>
          <w:lang w:eastAsia="ru-RU"/>
        </w:rPr>
        <w:t>или 100% от общего числа нуждающихся в реабилитации детей</w:t>
      </w:r>
      <w:r w:rsidR="003B77D7" w:rsidRPr="003B77D7">
        <w:rPr>
          <w:rFonts w:ascii="Times New Roman" w:eastAsia="Times New Roman" w:hAnsi="Times New Roman" w:cs="Times New Roman"/>
          <w:sz w:val="28"/>
          <w:szCs w:val="28"/>
          <w:lang w:eastAsia="ru-RU"/>
        </w:rPr>
        <w:t xml:space="preserve"> </w:t>
      </w:r>
      <w:r w:rsidR="003B77D7">
        <w:rPr>
          <w:rFonts w:ascii="Times New Roman" w:eastAsia="Times New Roman" w:hAnsi="Times New Roman" w:cs="Times New Roman"/>
          <w:sz w:val="28"/>
          <w:szCs w:val="28"/>
          <w:lang w:eastAsia="ru-RU"/>
        </w:rPr>
        <w:t>с инвалидностью</w:t>
      </w:r>
      <w:r w:rsidR="00086671">
        <w:rPr>
          <w:rFonts w:ascii="Times New Roman" w:eastAsia="Times New Roman" w:hAnsi="Times New Roman" w:cs="Times New Roman"/>
          <w:sz w:val="28"/>
          <w:szCs w:val="28"/>
          <w:lang w:eastAsia="ru-RU"/>
        </w:rPr>
        <w:t>).</w:t>
      </w:r>
    </w:p>
    <w:p w14:paraId="651978B8" w14:textId="77777777" w:rsidR="00D03A4F" w:rsidRDefault="00D03A4F" w:rsidP="00760F00">
      <w:pPr>
        <w:spacing w:before="120" w:after="120" w:line="312" w:lineRule="auto"/>
        <w:ind w:firstLine="709"/>
        <w:jc w:val="center"/>
        <w:rPr>
          <w:rFonts w:ascii="Times New Roman" w:eastAsia="Times New Roman" w:hAnsi="Times New Roman" w:cs="Times New Roman"/>
          <w:i/>
          <w:sz w:val="28"/>
          <w:szCs w:val="28"/>
          <w:lang w:eastAsia="ru-RU"/>
        </w:rPr>
      </w:pPr>
      <w:r w:rsidRPr="00D03A4F">
        <w:rPr>
          <w:rFonts w:ascii="Times New Roman" w:eastAsia="Times New Roman" w:hAnsi="Times New Roman" w:cs="Times New Roman"/>
          <w:i/>
          <w:sz w:val="28"/>
          <w:szCs w:val="28"/>
          <w:lang w:eastAsia="ru-RU"/>
        </w:rPr>
        <w:t>Лекарственное обеспечение детей</w:t>
      </w:r>
    </w:p>
    <w:p w14:paraId="1D39067C" w14:textId="77777777" w:rsidR="00FB59CD" w:rsidRPr="00FB59CD" w:rsidRDefault="00FB59CD" w:rsidP="00FB59CD">
      <w:pPr>
        <w:spacing w:after="0" w:line="312" w:lineRule="auto"/>
        <w:ind w:firstLine="709"/>
        <w:jc w:val="both"/>
        <w:rPr>
          <w:rFonts w:ascii="Times New Roman" w:eastAsia="Times New Roman" w:hAnsi="Times New Roman" w:cs="Times New Roman"/>
          <w:sz w:val="28"/>
          <w:szCs w:val="28"/>
          <w:lang w:eastAsia="ru-RU"/>
        </w:rPr>
      </w:pPr>
      <w:r w:rsidRPr="00FB59CD">
        <w:rPr>
          <w:rFonts w:ascii="Times New Roman" w:eastAsia="Times New Roman" w:hAnsi="Times New Roman" w:cs="Times New Roman"/>
          <w:sz w:val="28"/>
          <w:szCs w:val="28"/>
          <w:lang w:eastAsia="ru-RU"/>
        </w:rPr>
        <w:t>В соответствии с частью 1 статьи 37 Федерального закона от 21</w:t>
      </w:r>
      <w:r>
        <w:rPr>
          <w:rFonts w:ascii="Times New Roman" w:eastAsia="Times New Roman" w:hAnsi="Times New Roman" w:cs="Times New Roman"/>
          <w:sz w:val="28"/>
          <w:szCs w:val="28"/>
          <w:lang w:eastAsia="ru-RU"/>
        </w:rPr>
        <w:t xml:space="preserve"> ноя</w:t>
      </w:r>
      <w:r w:rsidR="001B2B8B">
        <w:rPr>
          <w:rFonts w:ascii="Times New Roman" w:eastAsia="Times New Roman" w:hAnsi="Times New Roman" w:cs="Times New Roman"/>
          <w:sz w:val="28"/>
          <w:szCs w:val="28"/>
          <w:lang w:eastAsia="ru-RU"/>
        </w:rPr>
        <w:t xml:space="preserve">бря </w:t>
      </w:r>
      <w:r w:rsidRPr="00FB59CD">
        <w:rPr>
          <w:rFonts w:ascii="Times New Roman" w:eastAsia="Times New Roman" w:hAnsi="Times New Roman" w:cs="Times New Roman"/>
          <w:sz w:val="28"/>
          <w:szCs w:val="28"/>
          <w:lang w:eastAsia="ru-RU"/>
        </w:rPr>
        <w:t>2011</w:t>
      </w:r>
      <w:r w:rsidR="001B2B8B">
        <w:rPr>
          <w:rFonts w:ascii="Times New Roman" w:eastAsia="Times New Roman" w:hAnsi="Times New Roman" w:cs="Times New Roman"/>
          <w:sz w:val="28"/>
          <w:szCs w:val="28"/>
          <w:lang w:eastAsia="ru-RU"/>
        </w:rPr>
        <w:t xml:space="preserve"> г.</w:t>
      </w:r>
      <w:r w:rsidRPr="00FB59CD">
        <w:rPr>
          <w:rFonts w:ascii="Times New Roman" w:eastAsia="Times New Roman" w:hAnsi="Times New Roman" w:cs="Times New Roman"/>
          <w:sz w:val="28"/>
          <w:szCs w:val="28"/>
          <w:lang w:eastAsia="ru-RU"/>
        </w:rPr>
        <w:t xml:space="preserve"> № 323-ФЗ медицинская помощь организуется и оказывается в соответствии с положением об организации оказания медицинской помощи и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14:paraId="2FBA7C25" w14:textId="77777777" w:rsidR="00FB59CD" w:rsidRPr="00FB59CD" w:rsidRDefault="00FB59CD" w:rsidP="00FB59CD">
      <w:pPr>
        <w:spacing w:after="0" w:line="312" w:lineRule="auto"/>
        <w:ind w:firstLine="709"/>
        <w:jc w:val="both"/>
        <w:rPr>
          <w:rFonts w:ascii="Times New Roman" w:eastAsia="Times New Roman" w:hAnsi="Times New Roman" w:cs="Times New Roman"/>
          <w:sz w:val="28"/>
          <w:szCs w:val="28"/>
          <w:lang w:eastAsia="ru-RU"/>
        </w:rPr>
      </w:pPr>
      <w:r w:rsidRPr="00FB59CD">
        <w:rPr>
          <w:rFonts w:ascii="Times New Roman" w:eastAsia="Times New Roman" w:hAnsi="Times New Roman" w:cs="Times New Roman"/>
          <w:sz w:val="28"/>
          <w:szCs w:val="28"/>
          <w:lang w:eastAsia="ru-RU"/>
        </w:rPr>
        <w:t>В соответствии с пунктом 2 части 1</w:t>
      </w:r>
      <w:r w:rsidR="006762F2">
        <w:rPr>
          <w:rFonts w:ascii="Times New Roman" w:eastAsia="Times New Roman" w:hAnsi="Times New Roman" w:cs="Times New Roman"/>
          <w:sz w:val="28"/>
          <w:szCs w:val="28"/>
          <w:lang w:eastAsia="ru-RU"/>
        </w:rPr>
        <w:t xml:space="preserve"> статьи 16 Федерального закона </w:t>
      </w:r>
      <w:r w:rsidR="00CC222E">
        <w:rPr>
          <w:rFonts w:ascii="Times New Roman" w:eastAsia="Times New Roman" w:hAnsi="Times New Roman" w:cs="Times New Roman"/>
          <w:sz w:val="28"/>
          <w:szCs w:val="28"/>
          <w:lang w:eastAsia="ru-RU"/>
        </w:rPr>
        <w:br/>
      </w:r>
      <w:r w:rsidR="00CC222E" w:rsidRPr="00FB59CD">
        <w:rPr>
          <w:rFonts w:ascii="Times New Roman" w:eastAsia="Times New Roman" w:hAnsi="Times New Roman" w:cs="Times New Roman"/>
          <w:sz w:val="28"/>
          <w:szCs w:val="28"/>
          <w:lang w:eastAsia="ru-RU"/>
        </w:rPr>
        <w:t>от 21</w:t>
      </w:r>
      <w:r w:rsidR="00CC222E">
        <w:rPr>
          <w:rFonts w:ascii="Times New Roman" w:eastAsia="Times New Roman" w:hAnsi="Times New Roman" w:cs="Times New Roman"/>
          <w:sz w:val="28"/>
          <w:szCs w:val="28"/>
          <w:lang w:eastAsia="ru-RU"/>
        </w:rPr>
        <w:t xml:space="preserve"> ноября </w:t>
      </w:r>
      <w:r w:rsidR="00CC222E" w:rsidRPr="00FB59CD">
        <w:rPr>
          <w:rFonts w:ascii="Times New Roman" w:eastAsia="Times New Roman" w:hAnsi="Times New Roman" w:cs="Times New Roman"/>
          <w:sz w:val="28"/>
          <w:szCs w:val="28"/>
          <w:lang w:eastAsia="ru-RU"/>
        </w:rPr>
        <w:t>2011</w:t>
      </w:r>
      <w:r w:rsidR="00CC222E">
        <w:rPr>
          <w:rFonts w:ascii="Times New Roman" w:eastAsia="Times New Roman" w:hAnsi="Times New Roman" w:cs="Times New Roman"/>
          <w:sz w:val="28"/>
          <w:szCs w:val="28"/>
          <w:lang w:eastAsia="ru-RU"/>
        </w:rPr>
        <w:t xml:space="preserve"> г.</w:t>
      </w:r>
      <w:r w:rsidR="00CC222E" w:rsidRPr="00FB59CD">
        <w:rPr>
          <w:rFonts w:ascii="Times New Roman" w:eastAsia="Times New Roman" w:hAnsi="Times New Roman" w:cs="Times New Roman"/>
          <w:sz w:val="28"/>
          <w:szCs w:val="28"/>
          <w:lang w:eastAsia="ru-RU"/>
        </w:rPr>
        <w:t xml:space="preserve"> </w:t>
      </w:r>
      <w:r w:rsidRPr="00FB59CD">
        <w:rPr>
          <w:rFonts w:ascii="Times New Roman" w:eastAsia="Times New Roman" w:hAnsi="Times New Roman" w:cs="Times New Roman"/>
          <w:sz w:val="28"/>
          <w:szCs w:val="28"/>
          <w:lang w:eastAsia="ru-RU"/>
        </w:rPr>
        <w:t>№ 323-ФЗ организация обеспечения граждан лекарственными препаратами и медицинскими изделиями отнесена к полномочиям органов государственной власти субъектов Российской Федерации в сфере охраны здоровья. Следовательно, организация закупок лекарственных препаратов и медицинских изделий, предназначенных для обеспечения отдельных групп населения, как за счет субвенций из федерального бюджета, так и за счет средств бюджетов субъектов Российской Федерации, относится к компетенции органов государственной власти субъектов Российской Федерации в сфере охраны здоровья.</w:t>
      </w:r>
    </w:p>
    <w:p w14:paraId="20395AA8" w14:textId="77777777" w:rsidR="00FB59CD" w:rsidRPr="00FB59CD" w:rsidRDefault="00FB59CD" w:rsidP="00FB59CD">
      <w:pPr>
        <w:spacing w:after="0" w:line="312" w:lineRule="auto"/>
        <w:ind w:firstLine="709"/>
        <w:jc w:val="both"/>
        <w:rPr>
          <w:rFonts w:ascii="Times New Roman" w:eastAsia="Times New Roman" w:hAnsi="Times New Roman" w:cs="Times New Roman"/>
          <w:sz w:val="28"/>
          <w:szCs w:val="28"/>
          <w:lang w:eastAsia="ru-RU"/>
        </w:rPr>
      </w:pPr>
      <w:r w:rsidRPr="00FB59CD">
        <w:rPr>
          <w:rFonts w:ascii="Times New Roman" w:eastAsia="Times New Roman" w:hAnsi="Times New Roman" w:cs="Times New Roman"/>
          <w:sz w:val="28"/>
          <w:szCs w:val="28"/>
          <w:lang w:eastAsia="ru-RU"/>
        </w:rPr>
        <w:t xml:space="preserve">Право лиц, имеющих подтвержденную инвалидность, на обращение за предоставлением набора социальных услуг, включающего обеспечение необходимыми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 счет средств федерального бюджета, закреплено статьей 6.1 </w:t>
      </w:r>
      <w:r w:rsidRPr="005C38D1">
        <w:rPr>
          <w:rFonts w:ascii="Times New Roman" w:eastAsia="Times New Roman" w:hAnsi="Times New Roman" w:cs="Times New Roman"/>
          <w:sz w:val="28"/>
          <w:szCs w:val="28"/>
          <w:lang w:eastAsia="ru-RU"/>
        </w:rPr>
        <w:t>Федерального закона от 17</w:t>
      </w:r>
      <w:r w:rsidR="007A6C9D" w:rsidRPr="005C38D1">
        <w:rPr>
          <w:rFonts w:ascii="Times New Roman" w:eastAsia="Times New Roman" w:hAnsi="Times New Roman" w:cs="Times New Roman"/>
          <w:sz w:val="28"/>
          <w:szCs w:val="28"/>
          <w:lang w:eastAsia="ru-RU"/>
        </w:rPr>
        <w:t xml:space="preserve"> июля </w:t>
      </w:r>
      <w:r w:rsidRPr="005C38D1">
        <w:rPr>
          <w:rFonts w:ascii="Times New Roman" w:eastAsia="Times New Roman" w:hAnsi="Times New Roman" w:cs="Times New Roman"/>
          <w:sz w:val="28"/>
          <w:szCs w:val="28"/>
          <w:lang w:eastAsia="ru-RU"/>
        </w:rPr>
        <w:t>1999</w:t>
      </w:r>
      <w:r w:rsidR="007A6C9D" w:rsidRPr="005C38D1">
        <w:rPr>
          <w:rFonts w:ascii="Times New Roman" w:eastAsia="Times New Roman" w:hAnsi="Times New Roman" w:cs="Times New Roman"/>
          <w:sz w:val="28"/>
          <w:szCs w:val="28"/>
          <w:lang w:eastAsia="ru-RU"/>
        </w:rPr>
        <w:t xml:space="preserve"> г.</w:t>
      </w:r>
      <w:r w:rsidR="00CC222E" w:rsidRPr="005C38D1">
        <w:rPr>
          <w:rFonts w:ascii="Times New Roman" w:eastAsia="Times New Roman" w:hAnsi="Times New Roman" w:cs="Times New Roman"/>
          <w:sz w:val="28"/>
          <w:szCs w:val="28"/>
          <w:lang w:eastAsia="ru-RU"/>
        </w:rPr>
        <w:t xml:space="preserve">  </w:t>
      </w:r>
      <w:r w:rsidRPr="005C38D1">
        <w:rPr>
          <w:rFonts w:ascii="Times New Roman" w:eastAsia="Times New Roman" w:hAnsi="Times New Roman" w:cs="Times New Roman"/>
          <w:sz w:val="28"/>
          <w:szCs w:val="28"/>
          <w:lang w:eastAsia="ru-RU"/>
        </w:rPr>
        <w:t>№ 178-ФЗ.</w:t>
      </w:r>
    </w:p>
    <w:p w14:paraId="53578FE2" w14:textId="77777777" w:rsidR="00FB59CD" w:rsidRPr="00FB59CD" w:rsidRDefault="00FB59CD" w:rsidP="00FB59CD">
      <w:pPr>
        <w:spacing w:after="0" w:line="312" w:lineRule="auto"/>
        <w:ind w:firstLine="709"/>
        <w:jc w:val="both"/>
        <w:rPr>
          <w:rFonts w:ascii="Times New Roman" w:eastAsia="Times New Roman" w:hAnsi="Times New Roman" w:cs="Times New Roman"/>
          <w:sz w:val="28"/>
          <w:szCs w:val="28"/>
          <w:lang w:eastAsia="ru-RU"/>
        </w:rPr>
      </w:pPr>
      <w:r w:rsidRPr="00FB59CD">
        <w:rPr>
          <w:rFonts w:ascii="Times New Roman" w:eastAsia="Times New Roman" w:hAnsi="Times New Roman" w:cs="Times New Roman"/>
          <w:sz w:val="28"/>
          <w:szCs w:val="28"/>
          <w:lang w:eastAsia="ru-RU"/>
        </w:rPr>
        <w:t xml:space="preserve">В соответствии с пунктом 1 части 1 статьи 6.2 Федерального закона </w:t>
      </w:r>
      <w:r w:rsidR="00CC222E">
        <w:rPr>
          <w:rFonts w:ascii="Times New Roman" w:eastAsia="Times New Roman" w:hAnsi="Times New Roman" w:cs="Times New Roman"/>
          <w:sz w:val="28"/>
          <w:szCs w:val="28"/>
          <w:lang w:eastAsia="ru-RU"/>
        </w:rPr>
        <w:br/>
      </w:r>
      <w:r w:rsidR="00C719D1" w:rsidRPr="00C719D1">
        <w:rPr>
          <w:rFonts w:ascii="Times New Roman" w:eastAsia="Times New Roman" w:hAnsi="Times New Roman" w:cs="Times New Roman"/>
          <w:sz w:val="28"/>
          <w:szCs w:val="28"/>
          <w:lang w:eastAsia="ru-RU"/>
        </w:rPr>
        <w:t xml:space="preserve">от 17 июля 1999 г. № 178-ФЗ </w:t>
      </w:r>
      <w:r w:rsidRPr="00FB59CD">
        <w:rPr>
          <w:rFonts w:ascii="Times New Roman" w:eastAsia="Times New Roman" w:hAnsi="Times New Roman" w:cs="Times New Roman"/>
          <w:sz w:val="28"/>
          <w:szCs w:val="28"/>
          <w:lang w:eastAsia="ru-RU"/>
        </w:rPr>
        <w:t>обеспечение лекарственными препаратами осуществляется в соответствии со стандартами медицинской помощи необходимыми лекарственными препаратами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законом от 12</w:t>
      </w:r>
      <w:r w:rsidR="006B3214">
        <w:rPr>
          <w:rFonts w:ascii="Times New Roman" w:eastAsia="Times New Roman" w:hAnsi="Times New Roman" w:cs="Times New Roman"/>
          <w:sz w:val="28"/>
          <w:szCs w:val="28"/>
          <w:lang w:eastAsia="ru-RU"/>
        </w:rPr>
        <w:t xml:space="preserve"> апреля </w:t>
      </w:r>
      <w:r w:rsidRPr="00FB59CD">
        <w:rPr>
          <w:rFonts w:ascii="Times New Roman" w:eastAsia="Times New Roman" w:hAnsi="Times New Roman" w:cs="Times New Roman"/>
          <w:sz w:val="28"/>
          <w:szCs w:val="28"/>
          <w:lang w:eastAsia="ru-RU"/>
        </w:rPr>
        <w:t>2010</w:t>
      </w:r>
      <w:r w:rsidR="006B3214">
        <w:rPr>
          <w:rFonts w:ascii="Times New Roman" w:eastAsia="Times New Roman" w:hAnsi="Times New Roman" w:cs="Times New Roman"/>
          <w:sz w:val="28"/>
          <w:szCs w:val="28"/>
          <w:lang w:eastAsia="ru-RU"/>
        </w:rPr>
        <w:t xml:space="preserve"> г.</w:t>
      </w:r>
      <w:r w:rsidRPr="00FB59CD">
        <w:rPr>
          <w:rFonts w:ascii="Times New Roman" w:eastAsia="Times New Roman" w:hAnsi="Times New Roman" w:cs="Times New Roman"/>
          <w:sz w:val="28"/>
          <w:szCs w:val="28"/>
          <w:lang w:eastAsia="ru-RU"/>
        </w:rPr>
        <w:t xml:space="preserve"> № 61-ФЗ «Об обращении лекарственных средств»,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r w:rsidR="006B3214">
        <w:rPr>
          <w:rFonts w:ascii="Times New Roman" w:eastAsia="Times New Roman" w:hAnsi="Times New Roman" w:cs="Times New Roman"/>
          <w:sz w:val="28"/>
          <w:szCs w:val="28"/>
          <w:lang w:eastAsia="ru-RU"/>
        </w:rPr>
        <w:t>,</w:t>
      </w:r>
      <w:r w:rsidRPr="00FB59CD">
        <w:rPr>
          <w:rFonts w:ascii="Times New Roman" w:eastAsia="Times New Roman" w:hAnsi="Times New Roman" w:cs="Times New Roman"/>
          <w:sz w:val="28"/>
          <w:szCs w:val="28"/>
          <w:lang w:eastAsia="ru-RU"/>
        </w:rPr>
        <w:t xml:space="preserve"> согласно перечню утвержденному Правительством Российской Федерации.</w:t>
      </w:r>
    </w:p>
    <w:p w14:paraId="6137BB6C" w14:textId="77777777" w:rsidR="00FB59CD" w:rsidRPr="00FB59CD" w:rsidRDefault="00FB59CD" w:rsidP="00FB59CD">
      <w:pPr>
        <w:spacing w:after="0" w:line="312" w:lineRule="auto"/>
        <w:ind w:firstLine="709"/>
        <w:jc w:val="both"/>
        <w:rPr>
          <w:rFonts w:ascii="Times New Roman" w:eastAsia="Times New Roman" w:hAnsi="Times New Roman" w:cs="Times New Roman"/>
          <w:sz w:val="28"/>
          <w:szCs w:val="28"/>
          <w:lang w:eastAsia="ru-RU"/>
        </w:rPr>
      </w:pPr>
      <w:r w:rsidRPr="00FB59CD">
        <w:rPr>
          <w:rFonts w:ascii="Times New Roman" w:eastAsia="Times New Roman" w:hAnsi="Times New Roman" w:cs="Times New Roman"/>
          <w:sz w:val="28"/>
          <w:szCs w:val="28"/>
          <w:lang w:eastAsia="ru-RU"/>
        </w:rPr>
        <w:t>Лекарственное обеспечение граждан Российской Федерации на региональном уровне за сч</w:t>
      </w:r>
      <w:r w:rsidR="00C76F07">
        <w:rPr>
          <w:rFonts w:ascii="Times New Roman" w:eastAsia="Times New Roman" w:hAnsi="Times New Roman" w:cs="Times New Roman"/>
          <w:sz w:val="28"/>
          <w:szCs w:val="28"/>
          <w:lang w:eastAsia="ru-RU"/>
        </w:rPr>
        <w:t>е</w:t>
      </w:r>
      <w:r w:rsidRPr="00FB59CD">
        <w:rPr>
          <w:rFonts w:ascii="Times New Roman" w:eastAsia="Times New Roman" w:hAnsi="Times New Roman" w:cs="Times New Roman"/>
          <w:sz w:val="28"/>
          <w:szCs w:val="28"/>
          <w:lang w:eastAsia="ru-RU"/>
        </w:rPr>
        <w:t>т средств бюджетов субъектов Российской Федерации осуществляется в соответствии с постановлением Правитель</w:t>
      </w:r>
      <w:r w:rsidR="00C76F07">
        <w:rPr>
          <w:rFonts w:ascii="Times New Roman" w:eastAsia="Times New Roman" w:hAnsi="Times New Roman" w:cs="Times New Roman"/>
          <w:sz w:val="28"/>
          <w:szCs w:val="28"/>
          <w:lang w:eastAsia="ru-RU"/>
        </w:rPr>
        <w:t xml:space="preserve">ства Российской Федерации </w:t>
      </w:r>
      <w:r w:rsidR="00E15D91">
        <w:rPr>
          <w:rFonts w:ascii="Times New Roman" w:eastAsia="Times New Roman" w:hAnsi="Times New Roman" w:cs="Times New Roman"/>
          <w:sz w:val="28"/>
          <w:szCs w:val="28"/>
          <w:lang w:eastAsia="ru-RU"/>
        </w:rPr>
        <w:br/>
      </w:r>
      <w:r w:rsidR="00C76F07">
        <w:rPr>
          <w:rFonts w:ascii="Times New Roman" w:eastAsia="Times New Roman" w:hAnsi="Times New Roman" w:cs="Times New Roman"/>
          <w:sz w:val="28"/>
          <w:szCs w:val="28"/>
          <w:lang w:eastAsia="ru-RU"/>
        </w:rPr>
        <w:t>от 30 июля</w:t>
      </w:r>
      <w:r w:rsidR="00CC222E">
        <w:rPr>
          <w:rFonts w:ascii="Times New Roman" w:eastAsia="Times New Roman" w:hAnsi="Times New Roman" w:cs="Times New Roman"/>
          <w:sz w:val="28"/>
          <w:szCs w:val="28"/>
          <w:lang w:eastAsia="ru-RU"/>
        </w:rPr>
        <w:t> </w:t>
      </w:r>
      <w:r w:rsidRPr="00FB59CD">
        <w:rPr>
          <w:rFonts w:ascii="Times New Roman" w:eastAsia="Times New Roman" w:hAnsi="Times New Roman" w:cs="Times New Roman"/>
          <w:sz w:val="28"/>
          <w:szCs w:val="28"/>
          <w:lang w:eastAsia="ru-RU"/>
        </w:rPr>
        <w:t xml:space="preserve">1994 </w:t>
      </w:r>
      <w:r w:rsidR="00C76F07">
        <w:rPr>
          <w:rFonts w:ascii="Times New Roman" w:eastAsia="Times New Roman" w:hAnsi="Times New Roman" w:cs="Times New Roman"/>
          <w:sz w:val="28"/>
          <w:szCs w:val="28"/>
          <w:lang w:eastAsia="ru-RU"/>
        </w:rPr>
        <w:t xml:space="preserve">г. </w:t>
      </w:r>
      <w:r w:rsidRPr="00FB59CD">
        <w:rPr>
          <w:rFonts w:ascii="Times New Roman" w:eastAsia="Times New Roman" w:hAnsi="Times New Roman" w:cs="Times New Roman"/>
          <w:sz w:val="28"/>
          <w:szCs w:val="28"/>
          <w:lang w:eastAsia="ru-RU"/>
        </w:rPr>
        <w:t>№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изделиями медицинского назначения», которым утверждены перечни групп населения и виды заболеваний, при амбулаторном лечении которых лекарственные средства и изделия медицинского назначения отпускаются по рецептам врача бесплатно и перечень групп населения, при амбулаторном лечении которых лекарственные средства отпускаются по рецептам врачей с 50-процентной скидкой. Порядок обеспечения лекарственными средствами и объем финансирования на эти цели определяется субъектами Российской Федерации самостоятельно.</w:t>
      </w:r>
    </w:p>
    <w:p w14:paraId="321E14C6" w14:textId="77777777" w:rsidR="00FB59CD" w:rsidRPr="00FB59CD" w:rsidRDefault="00FB59CD" w:rsidP="00FB59CD">
      <w:pPr>
        <w:spacing w:after="0" w:line="312" w:lineRule="auto"/>
        <w:ind w:firstLine="709"/>
        <w:jc w:val="both"/>
        <w:rPr>
          <w:rFonts w:ascii="Times New Roman" w:eastAsia="Times New Roman" w:hAnsi="Times New Roman" w:cs="Times New Roman"/>
          <w:sz w:val="28"/>
          <w:szCs w:val="28"/>
          <w:lang w:eastAsia="ru-RU"/>
        </w:rPr>
      </w:pPr>
      <w:r w:rsidRPr="00FB59CD">
        <w:rPr>
          <w:rFonts w:ascii="Times New Roman" w:eastAsia="Times New Roman" w:hAnsi="Times New Roman" w:cs="Times New Roman"/>
          <w:sz w:val="28"/>
          <w:szCs w:val="28"/>
          <w:lang w:eastAsia="ru-RU"/>
        </w:rPr>
        <w:t xml:space="preserve">Федеральной службой по надзору в сфере здравоохранения (далее </w:t>
      </w:r>
      <w:r w:rsidR="00295B11">
        <w:rPr>
          <w:rFonts w:ascii="Times New Roman" w:eastAsia="Times New Roman" w:hAnsi="Times New Roman" w:cs="Times New Roman"/>
          <w:sz w:val="28"/>
          <w:szCs w:val="28"/>
          <w:lang w:eastAsia="ru-RU"/>
        </w:rPr>
        <w:t>–</w:t>
      </w:r>
      <w:r w:rsidRPr="00FB59CD">
        <w:rPr>
          <w:rFonts w:ascii="Times New Roman" w:eastAsia="Times New Roman" w:hAnsi="Times New Roman" w:cs="Times New Roman"/>
          <w:sz w:val="28"/>
          <w:szCs w:val="28"/>
          <w:lang w:eastAsia="ru-RU"/>
        </w:rPr>
        <w:t xml:space="preserve"> Росздравнадзор) осуществляется контроль за своевременным обеспечением выписанных рецептов на медикаменты для отдельных категорий граждан, в том числе детское население и дети до трех лет.</w:t>
      </w:r>
    </w:p>
    <w:p w14:paraId="470FB10B" w14:textId="77777777" w:rsidR="00FB59CD" w:rsidRPr="00FB59CD" w:rsidRDefault="00FB59CD" w:rsidP="00FB59CD">
      <w:pPr>
        <w:spacing w:after="0" w:line="312" w:lineRule="auto"/>
        <w:ind w:firstLine="709"/>
        <w:jc w:val="both"/>
        <w:rPr>
          <w:rFonts w:ascii="Times New Roman" w:eastAsia="Times New Roman" w:hAnsi="Times New Roman" w:cs="Times New Roman"/>
          <w:sz w:val="28"/>
          <w:szCs w:val="28"/>
          <w:lang w:eastAsia="ru-RU"/>
        </w:rPr>
      </w:pPr>
      <w:r w:rsidRPr="00FB59CD">
        <w:rPr>
          <w:rFonts w:ascii="Times New Roman" w:eastAsia="Times New Roman" w:hAnsi="Times New Roman" w:cs="Times New Roman"/>
          <w:sz w:val="28"/>
          <w:szCs w:val="28"/>
          <w:lang w:eastAsia="ru-RU"/>
        </w:rPr>
        <w:t>Так, по данным мониторинга Росздравнадзора</w:t>
      </w:r>
      <w:r w:rsidR="00DD184B">
        <w:rPr>
          <w:rFonts w:ascii="Times New Roman" w:eastAsia="Times New Roman" w:hAnsi="Times New Roman" w:cs="Times New Roman"/>
          <w:sz w:val="28"/>
          <w:szCs w:val="28"/>
          <w:lang w:eastAsia="ru-RU"/>
        </w:rPr>
        <w:t>,</w:t>
      </w:r>
      <w:r w:rsidRPr="00FB59CD">
        <w:rPr>
          <w:rFonts w:ascii="Times New Roman" w:eastAsia="Times New Roman" w:hAnsi="Times New Roman" w:cs="Times New Roman"/>
          <w:sz w:val="28"/>
          <w:szCs w:val="28"/>
          <w:lang w:eastAsia="ru-RU"/>
        </w:rPr>
        <w:t xml:space="preserve"> в рамках осуществления субъектами Российской Федерации переданных полномочий по организации льготного лекарственного обеспечения отдельных категорий граждан:</w:t>
      </w:r>
    </w:p>
    <w:p w14:paraId="4007C6EB" w14:textId="77777777" w:rsidR="00FB59CD" w:rsidRPr="000C7210" w:rsidRDefault="00FB59CD" w:rsidP="00FB59CD">
      <w:pPr>
        <w:spacing w:after="0" w:line="312" w:lineRule="auto"/>
        <w:ind w:firstLine="709"/>
        <w:jc w:val="both"/>
        <w:rPr>
          <w:rFonts w:ascii="Times New Roman" w:eastAsia="Times New Roman" w:hAnsi="Times New Roman" w:cs="Times New Roman"/>
          <w:sz w:val="28"/>
          <w:szCs w:val="28"/>
          <w:lang w:eastAsia="ru-RU"/>
        </w:rPr>
      </w:pPr>
      <w:r w:rsidRPr="000C7210">
        <w:rPr>
          <w:rFonts w:ascii="Times New Roman" w:eastAsia="Times New Roman" w:hAnsi="Times New Roman" w:cs="Times New Roman"/>
          <w:sz w:val="28"/>
          <w:szCs w:val="28"/>
          <w:lang w:eastAsia="ru-RU"/>
        </w:rPr>
        <w:t>- количество детей, обеспеченных лекарственными препаратами за счет средств федерального бюджета</w:t>
      </w:r>
      <w:r w:rsidR="00CC222E">
        <w:rPr>
          <w:rFonts w:ascii="Times New Roman" w:eastAsia="Times New Roman" w:hAnsi="Times New Roman" w:cs="Times New Roman"/>
          <w:sz w:val="28"/>
          <w:szCs w:val="28"/>
          <w:lang w:eastAsia="ru-RU"/>
        </w:rPr>
        <w:t>,</w:t>
      </w:r>
      <w:r w:rsidRPr="000C7210">
        <w:rPr>
          <w:rFonts w:ascii="Times New Roman" w:eastAsia="Times New Roman" w:hAnsi="Times New Roman" w:cs="Times New Roman"/>
          <w:sz w:val="28"/>
          <w:szCs w:val="28"/>
          <w:lang w:eastAsia="ru-RU"/>
        </w:rPr>
        <w:t xml:space="preserve"> по состоянию на 31</w:t>
      </w:r>
      <w:r w:rsidR="00F4417F" w:rsidRPr="000C7210">
        <w:rPr>
          <w:rFonts w:ascii="Times New Roman" w:eastAsia="Times New Roman" w:hAnsi="Times New Roman" w:cs="Times New Roman"/>
          <w:sz w:val="28"/>
          <w:szCs w:val="28"/>
          <w:lang w:eastAsia="ru-RU"/>
        </w:rPr>
        <w:t xml:space="preserve"> декабря </w:t>
      </w:r>
      <w:r w:rsidRPr="000C7210">
        <w:rPr>
          <w:rFonts w:ascii="Times New Roman" w:eastAsia="Times New Roman" w:hAnsi="Times New Roman" w:cs="Times New Roman"/>
          <w:sz w:val="28"/>
          <w:szCs w:val="28"/>
          <w:lang w:eastAsia="ru-RU"/>
        </w:rPr>
        <w:t>2021</w:t>
      </w:r>
      <w:r w:rsidR="00F4417F" w:rsidRPr="000C7210">
        <w:rPr>
          <w:rFonts w:ascii="Times New Roman" w:eastAsia="Times New Roman" w:hAnsi="Times New Roman" w:cs="Times New Roman"/>
          <w:sz w:val="28"/>
          <w:szCs w:val="28"/>
          <w:lang w:eastAsia="ru-RU"/>
        </w:rPr>
        <w:t xml:space="preserve"> г.</w:t>
      </w:r>
      <w:r w:rsidR="00CC222E">
        <w:rPr>
          <w:rFonts w:ascii="Times New Roman" w:eastAsia="Times New Roman" w:hAnsi="Times New Roman" w:cs="Times New Roman"/>
          <w:sz w:val="28"/>
          <w:szCs w:val="28"/>
          <w:lang w:eastAsia="ru-RU"/>
        </w:rPr>
        <w:t xml:space="preserve"> по Российской Федерации</w:t>
      </w:r>
      <w:r w:rsidRPr="000C7210">
        <w:rPr>
          <w:rFonts w:ascii="Times New Roman" w:eastAsia="Times New Roman" w:hAnsi="Times New Roman" w:cs="Times New Roman"/>
          <w:sz w:val="28"/>
          <w:szCs w:val="28"/>
          <w:lang w:eastAsia="ru-RU"/>
        </w:rPr>
        <w:t xml:space="preserve"> составляет 364 887 человек, выписано льготных рецептов 1 801 311 шт., отпущено лекарственных препаратов на сумму 12 920 339,08 тыс. руб</w:t>
      </w:r>
      <w:r w:rsidR="00F4417F" w:rsidRPr="000C7210">
        <w:rPr>
          <w:rFonts w:ascii="Times New Roman" w:eastAsia="Times New Roman" w:hAnsi="Times New Roman" w:cs="Times New Roman"/>
          <w:sz w:val="28"/>
          <w:szCs w:val="28"/>
          <w:lang w:eastAsia="ru-RU"/>
        </w:rPr>
        <w:t>лей</w:t>
      </w:r>
      <w:r w:rsidRPr="000C7210">
        <w:rPr>
          <w:rFonts w:ascii="Times New Roman" w:eastAsia="Times New Roman" w:hAnsi="Times New Roman" w:cs="Times New Roman"/>
          <w:sz w:val="28"/>
          <w:szCs w:val="28"/>
          <w:lang w:eastAsia="ru-RU"/>
        </w:rPr>
        <w:t>, в том числе и за средства региональных бюджетов на сумму 566 528 тыс. руб</w:t>
      </w:r>
      <w:r w:rsidR="00F4417F" w:rsidRPr="000C7210">
        <w:rPr>
          <w:rFonts w:ascii="Times New Roman" w:eastAsia="Times New Roman" w:hAnsi="Times New Roman" w:cs="Times New Roman"/>
          <w:sz w:val="28"/>
          <w:szCs w:val="28"/>
          <w:lang w:eastAsia="ru-RU"/>
        </w:rPr>
        <w:t>лей</w:t>
      </w:r>
      <w:r w:rsidRPr="000C7210">
        <w:rPr>
          <w:rFonts w:ascii="Times New Roman" w:eastAsia="Times New Roman" w:hAnsi="Times New Roman" w:cs="Times New Roman"/>
          <w:sz w:val="28"/>
          <w:szCs w:val="28"/>
          <w:lang w:eastAsia="ru-RU"/>
        </w:rPr>
        <w:t xml:space="preserve">, средняя стоимость одного рецепта составила </w:t>
      </w:r>
      <w:r w:rsidR="00F4417F" w:rsidRPr="000C7210">
        <w:rPr>
          <w:rFonts w:ascii="Times New Roman" w:eastAsia="Times New Roman" w:hAnsi="Times New Roman" w:cs="Times New Roman"/>
          <w:sz w:val="28"/>
          <w:szCs w:val="28"/>
          <w:lang w:eastAsia="ru-RU"/>
        </w:rPr>
        <w:t>7 302,42 рублей;</w:t>
      </w:r>
    </w:p>
    <w:p w14:paraId="0566E9A2" w14:textId="77777777" w:rsidR="00FB59CD" w:rsidRPr="000C7210" w:rsidRDefault="00FB59CD" w:rsidP="00FB59CD">
      <w:pPr>
        <w:spacing w:after="0" w:line="312" w:lineRule="auto"/>
        <w:ind w:firstLine="709"/>
        <w:jc w:val="both"/>
        <w:rPr>
          <w:rFonts w:ascii="Times New Roman" w:eastAsia="Times New Roman" w:hAnsi="Times New Roman" w:cs="Times New Roman"/>
          <w:sz w:val="28"/>
          <w:szCs w:val="28"/>
          <w:lang w:eastAsia="ru-RU"/>
        </w:rPr>
      </w:pPr>
      <w:r w:rsidRPr="000C7210">
        <w:rPr>
          <w:rFonts w:ascii="Times New Roman" w:eastAsia="Times New Roman" w:hAnsi="Times New Roman" w:cs="Times New Roman"/>
          <w:sz w:val="28"/>
          <w:szCs w:val="28"/>
          <w:lang w:eastAsia="ru-RU"/>
        </w:rPr>
        <w:t>- количество детей, обеспеченных лекарственными препаратами за счет региональных бюджетов</w:t>
      </w:r>
      <w:r w:rsidR="00CC222E">
        <w:rPr>
          <w:rFonts w:ascii="Times New Roman" w:eastAsia="Times New Roman" w:hAnsi="Times New Roman" w:cs="Times New Roman"/>
          <w:sz w:val="28"/>
          <w:szCs w:val="28"/>
          <w:lang w:eastAsia="ru-RU"/>
        </w:rPr>
        <w:t>,</w:t>
      </w:r>
      <w:r w:rsidRPr="000C7210">
        <w:rPr>
          <w:rFonts w:ascii="Times New Roman" w:eastAsia="Times New Roman" w:hAnsi="Times New Roman" w:cs="Times New Roman"/>
          <w:sz w:val="28"/>
          <w:szCs w:val="28"/>
          <w:lang w:eastAsia="ru-RU"/>
        </w:rPr>
        <w:t xml:space="preserve"> по состоянию на 31</w:t>
      </w:r>
      <w:r w:rsidR="00F4417F" w:rsidRPr="000C7210">
        <w:rPr>
          <w:rFonts w:ascii="Times New Roman" w:eastAsia="Times New Roman" w:hAnsi="Times New Roman" w:cs="Times New Roman"/>
          <w:sz w:val="28"/>
          <w:szCs w:val="28"/>
          <w:lang w:eastAsia="ru-RU"/>
        </w:rPr>
        <w:t xml:space="preserve"> декабря </w:t>
      </w:r>
      <w:r w:rsidRPr="000C7210">
        <w:rPr>
          <w:rFonts w:ascii="Times New Roman" w:eastAsia="Times New Roman" w:hAnsi="Times New Roman" w:cs="Times New Roman"/>
          <w:sz w:val="28"/>
          <w:szCs w:val="28"/>
          <w:lang w:eastAsia="ru-RU"/>
        </w:rPr>
        <w:t>2021</w:t>
      </w:r>
      <w:r w:rsidR="00F4417F" w:rsidRPr="000C7210">
        <w:rPr>
          <w:rFonts w:ascii="Times New Roman" w:eastAsia="Times New Roman" w:hAnsi="Times New Roman" w:cs="Times New Roman"/>
          <w:sz w:val="28"/>
          <w:szCs w:val="28"/>
          <w:lang w:eastAsia="ru-RU"/>
        </w:rPr>
        <w:t xml:space="preserve"> г.</w:t>
      </w:r>
      <w:r w:rsidR="00CC222E">
        <w:rPr>
          <w:rFonts w:ascii="Times New Roman" w:eastAsia="Times New Roman" w:hAnsi="Times New Roman" w:cs="Times New Roman"/>
          <w:sz w:val="28"/>
          <w:szCs w:val="28"/>
          <w:lang w:eastAsia="ru-RU"/>
        </w:rPr>
        <w:t xml:space="preserve"> по Российской Федерации</w:t>
      </w:r>
      <w:r w:rsidRPr="000C7210">
        <w:rPr>
          <w:rFonts w:ascii="Times New Roman" w:eastAsia="Times New Roman" w:hAnsi="Times New Roman" w:cs="Times New Roman"/>
          <w:sz w:val="28"/>
          <w:szCs w:val="28"/>
          <w:lang w:eastAsia="ru-RU"/>
        </w:rPr>
        <w:t xml:space="preserve"> составляет 3 053 272 челов</w:t>
      </w:r>
      <w:r w:rsidR="006762F2">
        <w:rPr>
          <w:rFonts w:ascii="Times New Roman" w:eastAsia="Times New Roman" w:hAnsi="Times New Roman" w:cs="Times New Roman"/>
          <w:sz w:val="28"/>
          <w:szCs w:val="28"/>
          <w:lang w:eastAsia="ru-RU"/>
        </w:rPr>
        <w:t xml:space="preserve">ек, выписано льготных рецептов </w:t>
      </w:r>
      <w:r w:rsidRPr="000C7210">
        <w:rPr>
          <w:rFonts w:ascii="Times New Roman" w:eastAsia="Times New Roman" w:hAnsi="Times New Roman" w:cs="Times New Roman"/>
          <w:sz w:val="28"/>
          <w:szCs w:val="28"/>
          <w:lang w:eastAsia="ru-RU"/>
        </w:rPr>
        <w:t>3 816 762 шт., отпущено лекарственных препаратов на сумму 9 826 336,29 тыс. руб</w:t>
      </w:r>
      <w:r w:rsidR="00F4417F" w:rsidRPr="000C7210">
        <w:rPr>
          <w:rFonts w:ascii="Times New Roman" w:eastAsia="Times New Roman" w:hAnsi="Times New Roman" w:cs="Times New Roman"/>
          <w:sz w:val="28"/>
          <w:szCs w:val="28"/>
          <w:lang w:eastAsia="ru-RU"/>
        </w:rPr>
        <w:t>лей</w:t>
      </w:r>
      <w:r w:rsidRPr="000C7210">
        <w:rPr>
          <w:rFonts w:ascii="Times New Roman" w:eastAsia="Times New Roman" w:hAnsi="Times New Roman" w:cs="Times New Roman"/>
          <w:sz w:val="28"/>
          <w:szCs w:val="28"/>
          <w:lang w:eastAsia="ru-RU"/>
        </w:rPr>
        <w:t>, средняя стоимость одного рецепта составила 2 623 руб</w:t>
      </w:r>
      <w:r w:rsidR="00F4417F" w:rsidRPr="000C7210">
        <w:rPr>
          <w:rFonts w:ascii="Times New Roman" w:eastAsia="Times New Roman" w:hAnsi="Times New Roman" w:cs="Times New Roman"/>
          <w:sz w:val="28"/>
          <w:szCs w:val="28"/>
          <w:lang w:eastAsia="ru-RU"/>
        </w:rPr>
        <w:t>ля</w:t>
      </w:r>
      <w:r w:rsidR="00BD067E" w:rsidRPr="000C7210">
        <w:rPr>
          <w:rFonts w:ascii="Times New Roman" w:eastAsia="Times New Roman" w:hAnsi="Times New Roman" w:cs="Times New Roman"/>
          <w:sz w:val="28"/>
          <w:szCs w:val="28"/>
          <w:lang w:eastAsia="ru-RU"/>
        </w:rPr>
        <w:t>;</w:t>
      </w:r>
    </w:p>
    <w:p w14:paraId="581DB189" w14:textId="77777777" w:rsidR="00FB59CD" w:rsidRPr="000C7210" w:rsidRDefault="00FB59CD" w:rsidP="00FB59CD">
      <w:pPr>
        <w:spacing w:after="0" w:line="312" w:lineRule="auto"/>
        <w:ind w:firstLine="709"/>
        <w:jc w:val="both"/>
        <w:rPr>
          <w:rFonts w:ascii="Times New Roman" w:eastAsia="Times New Roman" w:hAnsi="Times New Roman" w:cs="Times New Roman"/>
          <w:sz w:val="28"/>
          <w:szCs w:val="28"/>
          <w:lang w:eastAsia="ru-RU"/>
        </w:rPr>
      </w:pPr>
      <w:r w:rsidRPr="000C7210">
        <w:rPr>
          <w:rFonts w:ascii="Times New Roman" w:eastAsia="Times New Roman" w:hAnsi="Times New Roman" w:cs="Times New Roman"/>
          <w:sz w:val="28"/>
          <w:szCs w:val="28"/>
          <w:lang w:eastAsia="ru-RU"/>
        </w:rPr>
        <w:t>- количество детей, обеспечен</w:t>
      </w:r>
      <w:r w:rsidR="006762F2">
        <w:rPr>
          <w:rFonts w:ascii="Times New Roman" w:eastAsia="Times New Roman" w:hAnsi="Times New Roman" w:cs="Times New Roman"/>
          <w:sz w:val="28"/>
          <w:szCs w:val="28"/>
          <w:lang w:eastAsia="ru-RU"/>
        </w:rPr>
        <w:t xml:space="preserve">ных лекарственными препаратами </w:t>
      </w:r>
      <w:r w:rsidRPr="000C7210">
        <w:rPr>
          <w:rFonts w:ascii="Times New Roman" w:eastAsia="Times New Roman" w:hAnsi="Times New Roman" w:cs="Times New Roman"/>
          <w:sz w:val="28"/>
          <w:szCs w:val="28"/>
          <w:lang w:eastAsia="ru-RU"/>
        </w:rPr>
        <w:t>в рамках централизованных закупок</w:t>
      </w:r>
      <w:r w:rsidR="006762F2">
        <w:rPr>
          <w:rFonts w:ascii="Times New Roman" w:eastAsia="Times New Roman" w:hAnsi="Times New Roman" w:cs="Times New Roman"/>
          <w:sz w:val="28"/>
          <w:szCs w:val="28"/>
          <w:lang w:eastAsia="ru-RU"/>
        </w:rPr>
        <w:t xml:space="preserve"> Минздрава России</w:t>
      </w:r>
      <w:r w:rsidR="00CC222E">
        <w:rPr>
          <w:rFonts w:ascii="Times New Roman" w:eastAsia="Times New Roman" w:hAnsi="Times New Roman" w:cs="Times New Roman"/>
          <w:sz w:val="28"/>
          <w:szCs w:val="28"/>
          <w:lang w:eastAsia="ru-RU"/>
        </w:rPr>
        <w:t>,</w:t>
      </w:r>
      <w:r w:rsidR="006762F2">
        <w:rPr>
          <w:rFonts w:ascii="Times New Roman" w:eastAsia="Times New Roman" w:hAnsi="Times New Roman" w:cs="Times New Roman"/>
          <w:sz w:val="28"/>
          <w:szCs w:val="28"/>
          <w:lang w:eastAsia="ru-RU"/>
        </w:rPr>
        <w:t xml:space="preserve"> по состоянию </w:t>
      </w:r>
      <w:r w:rsidRPr="000C7210">
        <w:rPr>
          <w:rFonts w:ascii="Times New Roman" w:eastAsia="Times New Roman" w:hAnsi="Times New Roman" w:cs="Times New Roman"/>
          <w:sz w:val="28"/>
          <w:szCs w:val="28"/>
          <w:lang w:eastAsia="ru-RU"/>
        </w:rPr>
        <w:t>на 31</w:t>
      </w:r>
      <w:r w:rsidR="00F4417F" w:rsidRPr="000C7210">
        <w:rPr>
          <w:rFonts w:ascii="Times New Roman" w:eastAsia="Times New Roman" w:hAnsi="Times New Roman" w:cs="Times New Roman"/>
          <w:sz w:val="28"/>
          <w:szCs w:val="28"/>
          <w:lang w:eastAsia="ru-RU"/>
        </w:rPr>
        <w:t xml:space="preserve"> декабря </w:t>
      </w:r>
      <w:r w:rsidRPr="000C7210">
        <w:rPr>
          <w:rFonts w:ascii="Times New Roman" w:eastAsia="Times New Roman" w:hAnsi="Times New Roman" w:cs="Times New Roman"/>
          <w:sz w:val="28"/>
          <w:szCs w:val="28"/>
          <w:lang w:eastAsia="ru-RU"/>
        </w:rPr>
        <w:t>2021</w:t>
      </w:r>
      <w:r w:rsidR="00F4417F" w:rsidRPr="000C7210">
        <w:rPr>
          <w:rFonts w:ascii="Times New Roman" w:eastAsia="Times New Roman" w:hAnsi="Times New Roman" w:cs="Times New Roman"/>
          <w:sz w:val="28"/>
          <w:szCs w:val="28"/>
          <w:lang w:eastAsia="ru-RU"/>
        </w:rPr>
        <w:t xml:space="preserve"> г.</w:t>
      </w:r>
      <w:r w:rsidRPr="000C7210">
        <w:rPr>
          <w:rFonts w:ascii="Times New Roman" w:eastAsia="Times New Roman" w:hAnsi="Times New Roman" w:cs="Times New Roman"/>
          <w:sz w:val="28"/>
          <w:szCs w:val="28"/>
          <w:lang w:eastAsia="ru-RU"/>
        </w:rPr>
        <w:t xml:space="preserve"> по Российской Федерации составляет 15 716 человек, выписано льготных рецептов 91 957 шт., отпущено лекарственных препаратов на сумму 15 365 810,18 тыс. руб</w:t>
      </w:r>
      <w:r w:rsidR="00F4417F" w:rsidRPr="000C7210">
        <w:rPr>
          <w:rFonts w:ascii="Times New Roman" w:eastAsia="Times New Roman" w:hAnsi="Times New Roman" w:cs="Times New Roman"/>
          <w:sz w:val="28"/>
          <w:szCs w:val="28"/>
          <w:lang w:eastAsia="ru-RU"/>
        </w:rPr>
        <w:t>лей</w:t>
      </w:r>
      <w:r w:rsidRPr="000C7210">
        <w:rPr>
          <w:rFonts w:ascii="Times New Roman" w:eastAsia="Times New Roman" w:hAnsi="Times New Roman" w:cs="Times New Roman"/>
          <w:sz w:val="28"/>
          <w:szCs w:val="28"/>
          <w:lang w:eastAsia="ru-RU"/>
        </w:rPr>
        <w:t>, средняя стоимость одного рецепта составила 168 951,6 руб</w:t>
      </w:r>
      <w:r w:rsidR="00F4417F" w:rsidRPr="000C7210">
        <w:rPr>
          <w:rFonts w:ascii="Times New Roman" w:eastAsia="Times New Roman" w:hAnsi="Times New Roman" w:cs="Times New Roman"/>
          <w:sz w:val="28"/>
          <w:szCs w:val="28"/>
          <w:lang w:eastAsia="ru-RU"/>
        </w:rPr>
        <w:t>лей</w:t>
      </w:r>
      <w:r w:rsidR="00BD067E" w:rsidRPr="000C7210">
        <w:rPr>
          <w:rFonts w:ascii="Times New Roman" w:eastAsia="Times New Roman" w:hAnsi="Times New Roman" w:cs="Times New Roman"/>
          <w:sz w:val="28"/>
          <w:szCs w:val="28"/>
          <w:lang w:eastAsia="ru-RU"/>
        </w:rPr>
        <w:t>;</w:t>
      </w:r>
    </w:p>
    <w:p w14:paraId="0630ABC4" w14:textId="77777777" w:rsidR="00FB59CD" w:rsidRPr="000C7210" w:rsidRDefault="00FB59CD" w:rsidP="00FB59CD">
      <w:pPr>
        <w:spacing w:after="0" w:line="312" w:lineRule="auto"/>
        <w:ind w:firstLine="709"/>
        <w:jc w:val="both"/>
        <w:rPr>
          <w:rFonts w:ascii="Times New Roman" w:eastAsia="Times New Roman" w:hAnsi="Times New Roman" w:cs="Times New Roman"/>
          <w:sz w:val="28"/>
          <w:szCs w:val="28"/>
          <w:lang w:eastAsia="ru-RU"/>
        </w:rPr>
      </w:pPr>
      <w:r w:rsidRPr="000C7210">
        <w:rPr>
          <w:rFonts w:ascii="Times New Roman" w:eastAsia="Times New Roman" w:hAnsi="Times New Roman" w:cs="Times New Roman"/>
          <w:sz w:val="28"/>
          <w:szCs w:val="28"/>
          <w:lang w:eastAsia="ru-RU"/>
        </w:rPr>
        <w:t>- количество детей</w:t>
      </w:r>
      <w:r w:rsidR="003C0552">
        <w:rPr>
          <w:rFonts w:ascii="Times New Roman" w:eastAsia="Times New Roman" w:hAnsi="Times New Roman" w:cs="Times New Roman"/>
          <w:sz w:val="28"/>
          <w:szCs w:val="28"/>
          <w:lang w:eastAsia="ru-RU"/>
        </w:rPr>
        <w:t xml:space="preserve"> в возрасте</w:t>
      </w:r>
      <w:r w:rsidRPr="000C7210">
        <w:rPr>
          <w:rFonts w:ascii="Times New Roman" w:eastAsia="Times New Roman" w:hAnsi="Times New Roman" w:cs="Times New Roman"/>
          <w:sz w:val="28"/>
          <w:szCs w:val="28"/>
          <w:lang w:eastAsia="ru-RU"/>
        </w:rPr>
        <w:t xml:space="preserve"> до </w:t>
      </w:r>
      <w:r w:rsidR="00CC222E">
        <w:rPr>
          <w:rFonts w:ascii="Times New Roman" w:eastAsia="Times New Roman" w:hAnsi="Times New Roman" w:cs="Times New Roman"/>
          <w:sz w:val="28"/>
          <w:szCs w:val="28"/>
          <w:lang w:eastAsia="ru-RU"/>
        </w:rPr>
        <w:t>3</w:t>
      </w:r>
      <w:r w:rsidRPr="000C7210">
        <w:rPr>
          <w:rFonts w:ascii="Times New Roman" w:eastAsia="Times New Roman" w:hAnsi="Times New Roman" w:cs="Times New Roman"/>
          <w:sz w:val="28"/>
          <w:szCs w:val="28"/>
          <w:lang w:eastAsia="ru-RU"/>
        </w:rPr>
        <w:t xml:space="preserve"> лет, обеспеченных лекарственными препаратами за счет средств фед</w:t>
      </w:r>
      <w:r w:rsidR="006762F2">
        <w:rPr>
          <w:rFonts w:ascii="Times New Roman" w:eastAsia="Times New Roman" w:hAnsi="Times New Roman" w:cs="Times New Roman"/>
          <w:sz w:val="28"/>
          <w:szCs w:val="28"/>
          <w:lang w:eastAsia="ru-RU"/>
        </w:rPr>
        <w:t>ерального бюджета</w:t>
      </w:r>
      <w:r w:rsidR="00CC222E">
        <w:rPr>
          <w:rFonts w:ascii="Times New Roman" w:eastAsia="Times New Roman" w:hAnsi="Times New Roman" w:cs="Times New Roman"/>
          <w:sz w:val="28"/>
          <w:szCs w:val="28"/>
          <w:lang w:eastAsia="ru-RU"/>
        </w:rPr>
        <w:t>,</w:t>
      </w:r>
      <w:r w:rsidR="006762F2">
        <w:rPr>
          <w:rFonts w:ascii="Times New Roman" w:eastAsia="Times New Roman" w:hAnsi="Times New Roman" w:cs="Times New Roman"/>
          <w:sz w:val="28"/>
          <w:szCs w:val="28"/>
          <w:lang w:eastAsia="ru-RU"/>
        </w:rPr>
        <w:t xml:space="preserve"> по состоянию </w:t>
      </w:r>
      <w:r w:rsidRPr="000C7210">
        <w:rPr>
          <w:rFonts w:ascii="Times New Roman" w:eastAsia="Times New Roman" w:hAnsi="Times New Roman" w:cs="Times New Roman"/>
          <w:sz w:val="28"/>
          <w:szCs w:val="28"/>
          <w:lang w:eastAsia="ru-RU"/>
        </w:rPr>
        <w:t>на 31</w:t>
      </w:r>
      <w:r w:rsidR="00BD067E" w:rsidRPr="000C7210">
        <w:rPr>
          <w:rFonts w:ascii="Times New Roman" w:eastAsia="Times New Roman" w:hAnsi="Times New Roman" w:cs="Times New Roman"/>
          <w:sz w:val="28"/>
          <w:szCs w:val="28"/>
          <w:lang w:eastAsia="ru-RU"/>
        </w:rPr>
        <w:t xml:space="preserve"> декабря </w:t>
      </w:r>
      <w:r w:rsidRPr="000C7210">
        <w:rPr>
          <w:rFonts w:ascii="Times New Roman" w:eastAsia="Times New Roman" w:hAnsi="Times New Roman" w:cs="Times New Roman"/>
          <w:sz w:val="28"/>
          <w:szCs w:val="28"/>
          <w:lang w:eastAsia="ru-RU"/>
        </w:rPr>
        <w:t>2021</w:t>
      </w:r>
      <w:r w:rsidR="00BD067E" w:rsidRPr="000C7210">
        <w:rPr>
          <w:rFonts w:ascii="Times New Roman" w:eastAsia="Times New Roman" w:hAnsi="Times New Roman" w:cs="Times New Roman"/>
          <w:sz w:val="28"/>
          <w:szCs w:val="28"/>
          <w:lang w:eastAsia="ru-RU"/>
        </w:rPr>
        <w:t xml:space="preserve"> г.</w:t>
      </w:r>
      <w:r w:rsidRPr="000C7210">
        <w:rPr>
          <w:rFonts w:ascii="Times New Roman" w:eastAsia="Times New Roman" w:hAnsi="Times New Roman" w:cs="Times New Roman"/>
          <w:sz w:val="28"/>
          <w:szCs w:val="28"/>
          <w:lang w:eastAsia="ru-RU"/>
        </w:rPr>
        <w:t xml:space="preserve"> по Российской Федерации составляет 27 756 человек, выписано льготных рецептов 55 761 шт., отпущено лекарственных препаратов на сумму 466 863,41 тыс. руб</w:t>
      </w:r>
      <w:r w:rsidR="00BD067E" w:rsidRPr="000C7210">
        <w:rPr>
          <w:rFonts w:ascii="Times New Roman" w:eastAsia="Times New Roman" w:hAnsi="Times New Roman" w:cs="Times New Roman"/>
          <w:sz w:val="28"/>
          <w:szCs w:val="28"/>
          <w:lang w:eastAsia="ru-RU"/>
        </w:rPr>
        <w:t>лей</w:t>
      </w:r>
      <w:r w:rsidRPr="000C7210">
        <w:rPr>
          <w:rFonts w:ascii="Times New Roman" w:eastAsia="Times New Roman" w:hAnsi="Times New Roman" w:cs="Times New Roman"/>
          <w:sz w:val="28"/>
          <w:szCs w:val="28"/>
          <w:lang w:eastAsia="ru-RU"/>
        </w:rPr>
        <w:t>, в том числе и за средства региональных бюджетов на сумму 302 014,7 тыс. руб</w:t>
      </w:r>
      <w:r w:rsidR="00BD067E" w:rsidRPr="000C7210">
        <w:rPr>
          <w:rFonts w:ascii="Times New Roman" w:eastAsia="Times New Roman" w:hAnsi="Times New Roman" w:cs="Times New Roman"/>
          <w:sz w:val="28"/>
          <w:szCs w:val="28"/>
          <w:lang w:eastAsia="ru-RU"/>
        </w:rPr>
        <w:t>лей</w:t>
      </w:r>
      <w:r w:rsidRPr="000C7210">
        <w:rPr>
          <w:rFonts w:ascii="Times New Roman" w:eastAsia="Times New Roman" w:hAnsi="Times New Roman" w:cs="Times New Roman"/>
          <w:sz w:val="28"/>
          <w:szCs w:val="28"/>
          <w:lang w:eastAsia="ru-RU"/>
        </w:rPr>
        <w:t>, средняя стоимость одного рецепта составила 8 806,75 руб</w:t>
      </w:r>
      <w:r w:rsidR="00BD067E" w:rsidRPr="000C7210">
        <w:rPr>
          <w:rFonts w:ascii="Times New Roman" w:eastAsia="Times New Roman" w:hAnsi="Times New Roman" w:cs="Times New Roman"/>
          <w:sz w:val="28"/>
          <w:szCs w:val="28"/>
          <w:lang w:eastAsia="ru-RU"/>
        </w:rPr>
        <w:t>лей;</w:t>
      </w:r>
    </w:p>
    <w:p w14:paraId="143A2D43" w14:textId="77777777" w:rsidR="00FB59CD" w:rsidRPr="000C7210" w:rsidRDefault="00FB59CD" w:rsidP="00FB59CD">
      <w:pPr>
        <w:spacing w:after="0" w:line="312" w:lineRule="auto"/>
        <w:ind w:firstLine="709"/>
        <w:jc w:val="both"/>
        <w:rPr>
          <w:rFonts w:ascii="Times New Roman" w:eastAsia="Times New Roman" w:hAnsi="Times New Roman" w:cs="Times New Roman"/>
          <w:sz w:val="28"/>
          <w:szCs w:val="28"/>
          <w:lang w:eastAsia="ru-RU"/>
        </w:rPr>
      </w:pPr>
      <w:r w:rsidRPr="000C7210">
        <w:rPr>
          <w:rFonts w:ascii="Times New Roman" w:eastAsia="Times New Roman" w:hAnsi="Times New Roman" w:cs="Times New Roman"/>
          <w:sz w:val="28"/>
          <w:szCs w:val="28"/>
          <w:lang w:eastAsia="ru-RU"/>
        </w:rPr>
        <w:t xml:space="preserve">- количество детей до </w:t>
      </w:r>
      <w:r w:rsidR="00CC222E">
        <w:rPr>
          <w:rFonts w:ascii="Times New Roman" w:eastAsia="Times New Roman" w:hAnsi="Times New Roman" w:cs="Times New Roman"/>
          <w:sz w:val="28"/>
          <w:szCs w:val="28"/>
          <w:lang w:eastAsia="ru-RU"/>
        </w:rPr>
        <w:t>3</w:t>
      </w:r>
      <w:r w:rsidRPr="000C7210">
        <w:rPr>
          <w:rFonts w:ascii="Times New Roman" w:eastAsia="Times New Roman" w:hAnsi="Times New Roman" w:cs="Times New Roman"/>
          <w:sz w:val="28"/>
          <w:szCs w:val="28"/>
          <w:lang w:eastAsia="ru-RU"/>
        </w:rPr>
        <w:t xml:space="preserve"> лет, обеспеченных лекарственными препаратами за счет региональных бюджетов</w:t>
      </w:r>
      <w:r w:rsidR="00CC222E" w:rsidRPr="000C7210">
        <w:rPr>
          <w:rFonts w:ascii="Times New Roman" w:eastAsia="Times New Roman" w:hAnsi="Times New Roman" w:cs="Times New Roman"/>
          <w:sz w:val="28"/>
          <w:szCs w:val="28"/>
          <w:lang w:eastAsia="ru-RU"/>
        </w:rPr>
        <w:t>,</w:t>
      </w:r>
      <w:r w:rsidRPr="000C7210">
        <w:rPr>
          <w:rFonts w:ascii="Times New Roman" w:eastAsia="Times New Roman" w:hAnsi="Times New Roman" w:cs="Times New Roman"/>
          <w:sz w:val="28"/>
          <w:szCs w:val="28"/>
          <w:lang w:eastAsia="ru-RU"/>
        </w:rPr>
        <w:t xml:space="preserve"> по состоянию на 31</w:t>
      </w:r>
      <w:r w:rsidR="006762F2">
        <w:rPr>
          <w:rFonts w:ascii="Times New Roman" w:eastAsia="Times New Roman" w:hAnsi="Times New Roman" w:cs="Times New Roman"/>
          <w:sz w:val="28"/>
          <w:szCs w:val="28"/>
          <w:lang w:eastAsia="ru-RU"/>
        </w:rPr>
        <w:t xml:space="preserve"> декабря </w:t>
      </w:r>
      <w:r w:rsidRPr="000C7210">
        <w:rPr>
          <w:rFonts w:ascii="Times New Roman" w:eastAsia="Times New Roman" w:hAnsi="Times New Roman" w:cs="Times New Roman"/>
          <w:sz w:val="28"/>
          <w:szCs w:val="28"/>
          <w:lang w:eastAsia="ru-RU"/>
        </w:rPr>
        <w:t>2021</w:t>
      </w:r>
      <w:r w:rsidR="00BD067E" w:rsidRPr="000C7210">
        <w:rPr>
          <w:rFonts w:ascii="Times New Roman" w:eastAsia="Times New Roman" w:hAnsi="Times New Roman" w:cs="Times New Roman"/>
          <w:sz w:val="28"/>
          <w:szCs w:val="28"/>
          <w:lang w:eastAsia="ru-RU"/>
        </w:rPr>
        <w:t xml:space="preserve"> г. </w:t>
      </w:r>
      <w:r w:rsidRPr="000C7210">
        <w:rPr>
          <w:rFonts w:ascii="Times New Roman" w:eastAsia="Times New Roman" w:hAnsi="Times New Roman" w:cs="Times New Roman"/>
          <w:sz w:val="28"/>
          <w:szCs w:val="28"/>
          <w:lang w:eastAsia="ru-RU"/>
        </w:rPr>
        <w:t>по Российской Федерации составляет 2 192 788 человек, выписано льготных рецептов 2 342 181 шт., отпущено лек</w:t>
      </w:r>
      <w:r w:rsidR="00BD067E" w:rsidRPr="000C7210">
        <w:rPr>
          <w:rFonts w:ascii="Times New Roman" w:eastAsia="Times New Roman" w:hAnsi="Times New Roman" w:cs="Times New Roman"/>
          <w:sz w:val="28"/>
          <w:szCs w:val="28"/>
          <w:lang w:eastAsia="ru-RU"/>
        </w:rPr>
        <w:t xml:space="preserve">арственных препаратов на сумму </w:t>
      </w:r>
      <w:r w:rsidRPr="000C7210">
        <w:rPr>
          <w:rFonts w:ascii="Times New Roman" w:eastAsia="Times New Roman" w:hAnsi="Times New Roman" w:cs="Times New Roman"/>
          <w:sz w:val="28"/>
          <w:szCs w:val="28"/>
          <w:lang w:eastAsia="ru-RU"/>
        </w:rPr>
        <w:t>1 357 631,19 тыс. руб</w:t>
      </w:r>
      <w:r w:rsidR="00BD067E" w:rsidRPr="000C7210">
        <w:rPr>
          <w:rFonts w:ascii="Times New Roman" w:eastAsia="Times New Roman" w:hAnsi="Times New Roman" w:cs="Times New Roman"/>
          <w:sz w:val="28"/>
          <w:szCs w:val="28"/>
          <w:lang w:eastAsia="ru-RU"/>
        </w:rPr>
        <w:t>лей</w:t>
      </w:r>
      <w:r w:rsidRPr="000C7210">
        <w:rPr>
          <w:rFonts w:ascii="Times New Roman" w:eastAsia="Times New Roman" w:hAnsi="Times New Roman" w:cs="Times New Roman"/>
          <w:sz w:val="28"/>
          <w:szCs w:val="28"/>
          <w:lang w:eastAsia="ru-RU"/>
        </w:rPr>
        <w:t>, средняя стои</w:t>
      </w:r>
      <w:r w:rsidR="006762F2">
        <w:rPr>
          <w:rFonts w:ascii="Times New Roman" w:eastAsia="Times New Roman" w:hAnsi="Times New Roman" w:cs="Times New Roman"/>
          <w:sz w:val="28"/>
          <w:szCs w:val="28"/>
          <w:lang w:eastAsia="ru-RU"/>
        </w:rPr>
        <w:t xml:space="preserve">мость одного рецепта составила </w:t>
      </w:r>
      <w:r w:rsidRPr="000C7210">
        <w:rPr>
          <w:rFonts w:ascii="Times New Roman" w:eastAsia="Times New Roman" w:hAnsi="Times New Roman" w:cs="Times New Roman"/>
          <w:sz w:val="28"/>
          <w:szCs w:val="28"/>
          <w:lang w:eastAsia="ru-RU"/>
        </w:rPr>
        <w:t>590,06 руб</w:t>
      </w:r>
      <w:r w:rsidR="00BD067E" w:rsidRPr="000C7210">
        <w:rPr>
          <w:rFonts w:ascii="Times New Roman" w:eastAsia="Times New Roman" w:hAnsi="Times New Roman" w:cs="Times New Roman"/>
          <w:sz w:val="28"/>
          <w:szCs w:val="28"/>
          <w:lang w:eastAsia="ru-RU"/>
        </w:rPr>
        <w:t>лей;</w:t>
      </w:r>
    </w:p>
    <w:p w14:paraId="16E71984" w14:textId="77777777" w:rsidR="00FB59CD" w:rsidRPr="00FB59CD" w:rsidRDefault="00FB59CD" w:rsidP="00FB59CD">
      <w:pPr>
        <w:spacing w:after="0" w:line="312" w:lineRule="auto"/>
        <w:ind w:firstLine="709"/>
        <w:jc w:val="both"/>
        <w:rPr>
          <w:rFonts w:ascii="Times New Roman" w:eastAsia="Times New Roman" w:hAnsi="Times New Roman" w:cs="Times New Roman"/>
          <w:sz w:val="28"/>
          <w:szCs w:val="28"/>
          <w:lang w:eastAsia="ru-RU"/>
        </w:rPr>
      </w:pPr>
      <w:r w:rsidRPr="000C7210">
        <w:rPr>
          <w:rFonts w:ascii="Times New Roman" w:eastAsia="Times New Roman" w:hAnsi="Times New Roman" w:cs="Times New Roman"/>
          <w:sz w:val="28"/>
          <w:szCs w:val="28"/>
          <w:lang w:eastAsia="ru-RU"/>
        </w:rPr>
        <w:t xml:space="preserve">- количество детей до </w:t>
      </w:r>
      <w:r w:rsidR="00CC222E">
        <w:rPr>
          <w:rFonts w:ascii="Times New Roman" w:eastAsia="Times New Roman" w:hAnsi="Times New Roman" w:cs="Times New Roman"/>
          <w:sz w:val="28"/>
          <w:szCs w:val="28"/>
          <w:lang w:eastAsia="ru-RU"/>
        </w:rPr>
        <w:t xml:space="preserve">3 </w:t>
      </w:r>
      <w:r w:rsidRPr="000C7210">
        <w:rPr>
          <w:rFonts w:ascii="Times New Roman" w:eastAsia="Times New Roman" w:hAnsi="Times New Roman" w:cs="Times New Roman"/>
          <w:sz w:val="28"/>
          <w:szCs w:val="28"/>
          <w:lang w:eastAsia="ru-RU"/>
        </w:rPr>
        <w:t>лет, обеспеченных лекарственными препаратами в рамках централизов</w:t>
      </w:r>
      <w:r w:rsidR="006762F2">
        <w:rPr>
          <w:rFonts w:ascii="Times New Roman" w:eastAsia="Times New Roman" w:hAnsi="Times New Roman" w:cs="Times New Roman"/>
          <w:sz w:val="28"/>
          <w:szCs w:val="28"/>
          <w:lang w:eastAsia="ru-RU"/>
        </w:rPr>
        <w:t>анных закупок Минздрава России</w:t>
      </w:r>
      <w:r w:rsidR="00CC222E">
        <w:rPr>
          <w:rFonts w:ascii="Times New Roman" w:eastAsia="Times New Roman" w:hAnsi="Times New Roman" w:cs="Times New Roman"/>
          <w:sz w:val="28"/>
          <w:szCs w:val="28"/>
          <w:lang w:eastAsia="ru-RU"/>
        </w:rPr>
        <w:t>,</w:t>
      </w:r>
      <w:r w:rsidR="006762F2">
        <w:rPr>
          <w:rFonts w:ascii="Times New Roman" w:eastAsia="Times New Roman" w:hAnsi="Times New Roman" w:cs="Times New Roman"/>
          <w:sz w:val="28"/>
          <w:szCs w:val="28"/>
          <w:lang w:eastAsia="ru-RU"/>
        </w:rPr>
        <w:t xml:space="preserve"> </w:t>
      </w:r>
      <w:r w:rsidRPr="000C7210">
        <w:rPr>
          <w:rFonts w:ascii="Times New Roman" w:eastAsia="Times New Roman" w:hAnsi="Times New Roman" w:cs="Times New Roman"/>
          <w:sz w:val="28"/>
          <w:szCs w:val="28"/>
          <w:lang w:eastAsia="ru-RU"/>
        </w:rPr>
        <w:t>по состоянию на 31</w:t>
      </w:r>
      <w:r w:rsidR="00BD067E" w:rsidRPr="000C7210">
        <w:rPr>
          <w:rFonts w:ascii="Times New Roman" w:eastAsia="Times New Roman" w:hAnsi="Times New Roman" w:cs="Times New Roman"/>
          <w:sz w:val="28"/>
          <w:szCs w:val="28"/>
          <w:lang w:eastAsia="ru-RU"/>
        </w:rPr>
        <w:t xml:space="preserve"> декабря </w:t>
      </w:r>
      <w:r w:rsidRPr="000C7210">
        <w:rPr>
          <w:rFonts w:ascii="Times New Roman" w:eastAsia="Times New Roman" w:hAnsi="Times New Roman" w:cs="Times New Roman"/>
          <w:sz w:val="28"/>
          <w:szCs w:val="28"/>
          <w:lang w:eastAsia="ru-RU"/>
        </w:rPr>
        <w:t>2021</w:t>
      </w:r>
      <w:r w:rsidR="00BD067E" w:rsidRPr="000C7210">
        <w:rPr>
          <w:rFonts w:ascii="Times New Roman" w:eastAsia="Times New Roman" w:hAnsi="Times New Roman" w:cs="Times New Roman"/>
          <w:sz w:val="28"/>
          <w:szCs w:val="28"/>
          <w:lang w:eastAsia="ru-RU"/>
        </w:rPr>
        <w:t xml:space="preserve"> г.</w:t>
      </w:r>
      <w:r w:rsidRPr="000C7210">
        <w:rPr>
          <w:rFonts w:ascii="Times New Roman" w:eastAsia="Times New Roman" w:hAnsi="Times New Roman" w:cs="Times New Roman"/>
          <w:sz w:val="28"/>
          <w:szCs w:val="28"/>
          <w:lang w:eastAsia="ru-RU"/>
        </w:rPr>
        <w:t xml:space="preserve"> по Ро</w:t>
      </w:r>
      <w:r w:rsidR="006762F2">
        <w:rPr>
          <w:rFonts w:ascii="Times New Roman" w:eastAsia="Times New Roman" w:hAnsi="Times New Roman" w:cs="Times New Roman"/>
          <w:sz w:val="28"/>
          <w:szCs w:val="28"/>
          <w:lang w:eastAsia="ru-RU"/>
        </w:rPr>
        <w:t xml:space="preserve">ссийской Федерации составляет </w:t>
      </w:r>
      <w:r w:rsidRPr="000C7210">
        <w:rPr>
          <w:rFonts w:ascii="Times New Roman" w:eastAsia="Times New Roman" w:hAnsi="Times New Roman" w:cs="Times New Roman"/>
          <w:sz w:val="28"/>
          <w:szCs w:val="28"/>
          <w:lang w:eastAsia="ru-RU"/>
        </w:rPr>
        <w:t>999 человек, выписано льготных рецептов 6 022 шт., отпущено лекарственных препаратов на сумму 649 439,09 тыс. руб</w:t>
      </w:r>
      <w:r w:rsidR="00BD067E" w:rsidRPr="000C7210">
        <w:rPr>
          <w:rFonts w:ascii="Times New Roman" w:eastAsia="Times New Roman" w:hAnsi="Times New Roman" w:cs="Times New Roman"/>
          <w:sz w:val="28"/>
          <w:szCs w:val="28"/>
          <w:lang w:eastAsia="ru-RU"/>
        </w:rPr>
        <w:t>лей</w:t>
      </w:r>
      <w:r w:rsidRPr="000C7210">
        <w:rPr>
          <w:rFonts w:ascii="Times New Roman" w:eastAsia="Times New Roman" w:hAnsi="Times New Roman" w:cs="Times New Roman"/>
          <w:sz w:val="28"/>
          <w:szCs w:val="28"/>
          <w:lang w:eastAsia="ru-RU"/>
        </w:rPr>
        <w:t>, средняя стоимость одного рецепта составила 108 820,22 руб</w:t>
      </w:r>
      <w:r w:rsidR="00BD067E" w:rsidRPr="000C7210">
        <w:rPr>
          <w:rFonts w:ascii="Times New Roman" w:eastAsia="Times New Roman" w:hAnsi="Times New Roman" w:cs="Times New Roman"/>
          <w:sz w:val="28"/>
          <w:szCs w:val="28"/>
          <w:lang w:eastAsia="ru-RU"/>
        </w:rPr>
        <w:t>лей</w:t>
      </w:r>
      <w:r w:rsidRPr="000C7210">
        <w:rPr>
          <w:rFonts w:ascii="Times New Roman" w:eastAsia="Times New Roman" w:hAnsi="Times New Roman" w:cs="Times New Roman"/>
          <w:sz w:val="28"/>
          <w:szCs w:val="28"/>
          <w:lang w:eastAsia="ru-RU"/>
        </w:rPr>
        <w:t>.</w:t>
      </w:r>
    </w:p>
    <w:p w14:paraId="63823CFB" w14:textId="77777777" w:rsidR="00D03A4F" w:rsidRDefault="00D03A4F" w:rsidP="007E4CD0">
      <w:pPr>
        <w:shd w:val="clear" w:color="auto" w:fill="FFFFFF"/>
        <w:autoSpaceDE w:val="0"/>
        <w:autoSpaceDN w:val="0"/>
        <w:adjustRightInd w:val="0"/>
        <w:spacing w:before="160" w:after="16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Формирование здорового образа жизни детей</w:t>
      </w:r>
    </w:p>
    <w:p w14:paraId="166A4F9D" w14:textId="77777777" w:rsidR="00FA4744" w:rsidRPr="00FF13D6" w:rsidRDefault="00FA4744" w:rsidP="006C4843">
      <w:pPr>
        <w:spacing w:after="0" w:line="312" w:lineRule="auto"/>
        <w:ind w:firstLine="709"/>
        <w:jc w:val="both"/>
        <w:rPr>
          <w:rFonts w:ascii="Times New Roman" w:eastAsia="Calibri" w:hAnsi="Times New Roman" w:cs="Times New Roman"/>
          <w:sz w:val="28"/>
          <w:szCs w:val="28"/>
        </w:rPr>
      </w:pPr>
      <w:r w:rsidRPr="00FF13D6">
        <w:rPr>
          <w:rFonts w:ascii="Times New Roman" w:eastAsia="Calibri" w:hAnsi="Times New Roman" w:cs="Times New Roman"/>
          <w:sz w:val="28"/>
          <w:szCs w:val="28"/>
        </w:rPr>
        <w:t>В 2021 г</w:t>
      </w:r>
      <w:r w:rsidR="005D43EE" w:rsidRPr="00FF13D6">
        <w:rPr>
          <w:rFonts w:ascii="Times New Roman" w:eastAsia="Calibri" w:hAnsi="Times New Roman" w:cs="Times New Roman"/>
          <w:sz w:val="28"/>
          <w:szCs w:val="28"/>
        </w:rPr>
        <w:t>.</w:t>
      </w:r>
      <w:r w:rsidRPr="00FF13D6">
        <w:rPr>
          <w:rFonts w:ascii="Times New Roman" w:eastAsia="Calibri" w:hAnsi="Times New Roman" w:cs="Times New Roman"/>
          <w:sz w:val="28"/>
          <w:szCs w:val="28"/>
        </w:rPr>
        <w:t xml:space="preserve"> общественное здоровье нашло свое </w:t>
      </w:r>
      <w:r w:rsidR="00A10C4C" w:rsidRPr="00FF13D6">
        <w:rPr>
          <w:rFonts w:ascii="Times New Roman" w:eastAsia="Calibri" w:hAnsi="Times New Roman" w:cs="Times New Roman"/>
          <w:sz w:val="28"/>
          <w:szCs w:val="28"/>
        </w:rPr>
        <w:t>отражение</w:t>
      </w:r>
      <w:r w:rsidRPr="00FF13D6">
        <w:rPr>
          <w:rFonts w:ascii="Times New Roman" w:eastAsia="Calibri" w:hAnsi="Times New Roman" w:cs="Times New Roman"/>
          <w:sz w:val="28"/>
          <w:szCs w:val="28"/>
        </w:rPr>
        <w:t xml:space="preserve"> в Конституции Российской Федерации: были внесены изменения, предусматривающие отнесение к предмету совместного ведения Российской Федерации и ее субъектов сохранение и укрепление общественного здоровья, создание условий для ведения здорового образа жизни, а также формировани</w:t>
      </w:r>
      <w:r w:rsidR="00174D3F" w:rsidRPr="00FF13D6">
        <w:rPr>
          <w:rFonts w:ascii="Times New Roman" w:eastAsia="Calibri" w:hAnsi="Times New Roman" w:cs="Times New Roman"/>
          <w:sz w:val="28"/>
          <w:szCs w:val="28"/>
        </w:rPr>
        <w:t>е</w:t>
      </w:r>
      <w:r w:rsidRPr="00FF13D6">
        <w:rPr>
          <w:rFonts w:ascii="Times New Roman" w:eastAsia="Calibri" w:hAnsi="Times New Roman" w:cs="Times New Roman"/>
          <w:sz w:val="28"/>
          <w:szCs w:val="28"/>
        </w:rPr>
        <w:t xml:space="preserve"> культуры ответственного отношения граждан к своему здоровью.</w:t>
      </w:r>
    </w:p>
    <w:p w14:paraId="077CF921" w14:textId="77777777" w:rsidR="00FA4744" w:rsidRPr="00FF13D6" w:rsidRDefault="00FA4744" w:rsidP="006C4843">
      <w:pPr>
        <w:spacing w:after="0" w:line="312" w:lineRule="auto"/>
        <w:ind w:firstLine="709"/>
        <w:jc w:val="both"/>
        <w:rPr>
          <w:rFonts w:ascii="Times New Roman" w:eastAsia="Calibri" w:hAnsi="Times New Roman" w:cs="Times New Roman"/>
          <w:sz w:val="28"/>
          <w:szCs w:val="28"/>
        </w:rPr>
      </w:pPr>
      <w:r w:rsidRPr="00FF13D6">
        <w:rPr>
          <w:rFonts w:ascii="Times New Roman" w:eastAsia="Calibri" w:hAnsi="Times New Roman" w:cs="Times New Roman"/>
          <w:sz w:val="28"/>
          <w:szCs w:val="28"/>
        </w:rPr>
        <w:t>Приказом Минздрава России от 15 января 2020 г. № 8 утверждена Стратегия формирования здорового образа жизни населения, профилактики и контроля неинфекционных заболеваний на период до 2025 г</w:t>
      </w:r>
      <w:r w:rsidR="00B3509C" w:rsidRPr="00FF13D6">
        <w:rPr>
          <w:rFonts w:ascii="Times New Roman" w:eastAsia="Calibri" w:hAnsi="Times New Roman" w:cs="Times New Roman"/>
          <w:sz w:val="28"/>
          <w:szCs w:val="28"/>
        </w:rPr>
        <w:t>.</w:t>
      </w:r>
      <w:r w:rsidRPr="00FF13D6">
        <w:rPr>
          <w:rFonts w:ascii="Times New Roman" w:eastAsia="Calibri" w:hAnsi="Times New Roman" w:cs="Times New Roman"/>
          <w:sz w:val="28"/>
          <w:szCs w:val="28"/>
        </w:rPr>
        <w:t xml:space="preserve"> (далее по тексту подраздела – Стратегия). Основной целью Стратегии является снижение заболеваемости и предотвращение смертности от неинфекционных заболеваний, увеличение ожидаемой продолжительности здоровой жизни за счет увеличения доли лиц, ведущих здоровый образ жизни. Исходя из этого одним из основных направлений реализации Стратегии является разработка и реализация мероприятий, направленных на формирование здорового образа жизни у детей и молодежи.</w:t>
      </w:r>
    </w:p>
    <w:p w14:paraId="606E1837" w14:textId="77777777" w:rsidR="00FA4744" w:rsidRPr="00FF13D6" w:rsidRDefault="00B34F30" w:rsidP="006C4843">
      <w:pPr>
        <w:spacing w:after="0" w:line="312" w:lineRule="auto"/>
        <w:ind w:firstLine="709"/>
        <w:jc w:val="both"/>
        <w:rPr>
          <w:rFonts w:ascii="Times New Roman" w:eastAsia="Calibri" w:hAnsi="Times New Roman" w:cs="Times New Roman"/>
          <w:sz w:val="28"/>
          <w:szCs w:val="28"/>
        </w:rPr>
      </w:pPr>
      <w:r w:rsidRPr="00FF13D6">
        <w:rPr>
          <w:rFonts w:ascii="Times New Roman" w:eastAsia="Calibri" w:hAnsi="Times New Roman" w:cs="Times New Roman"/>
          <w:sz w:val="28"/>
          <w:szCs w:val="28"/>
        </w:rPr>
        <w:t>В</w:t>
      </w:r>
      <w:r w:rsidR="00FA4744" w:rsidRPr="00FF13D6">
        <w:rPr>
          <w:rFonts w:ascii="Times New Roman" w:eastAsia="Calibri" w:hAnsi="Times New Roman" w:cs="Times New Roman"/>
          <w:sz w:val="28"/>
          <w:szCs w:val="28"/>
        </w:rPr>
        <w:t xml:space="preserve"> 2021 г</w:t>
      </w:r>
      <w:r w:rsidR="005D43EE" w:rsidRPr="00FF13D6">
        <w:rPr>
          <w:rFonts w:ascii="Times New Roman" w:eastAsia="Calibri" w:hAnsi="Times New Roman" w:cs="Times New Roman"/>
          <w:sz w:val="28"/>
          <w:szCs w:val="28"/>
        </w:rPr>
        <w:t>.</w:t>
      </w:r>
      <w:r w:rsidR="00FA4744" w:rsidRPr="00FF13D6">
        <w:rPr>
          <w:rFonts w:ascii="Times New Roman" w:eastAsia="Calibri" w:hAnsi="Times New Roman" w:cs="Times New Roman"/>
          <w:sz w:val="28"/>
          <w:szCs w:val="28"/>
        </w:rPr>
        <w:t xml:space="preserve">, в том числе в целях реализации Федерального закона </w:t>
      </w:r>
      <w:r w:rsidRPr="00FF13D6">
        <w:rPr>
          <w:rFonts w:ascii="Times New Roman" w:eastAsia="Calibri" w:hAnsi="Times New Roman" w:cs="Times New Roman"/>
          <w:sz w:val="28"/>
          <w:szCs w:val="28"/>
        </w:rPr>
        <w:br/>
      </w:r>
      <w:r w:rsidR="00FA4744" w:rsidRPr="00FF13D6">
        <w:rPr>
          <w:rFonts w:ascii="Times New Roman" w:eastAsia="Calibri" w:hAnsi="Times New Roman" w:cs="Times New Roman"/>
          <w:sz w:val="28"/>
          <w:szCs w:val="28"/>
        </w:rPr>
        <w:t xml:space="preserve">от 30 декабря 2020 г. № 489-ФЗ «О Молодежной политике в Российской Федерации» в части содействия здоровому образу жизни молодежи, </w:t>
      </w:r>
      <w:r w:rsidR="00174D3F" w:rsidRPr="00FF13D6">
        <w:rPr>
          <w:rFonts w:ascii="Times New Roman" w:eastAsia="Calibri" w:hAnsi="Times New Roman" w:cs="Times New Roman"/>
          <w:sz w:val="28"/>
          <w:szCs w:val="28"/>
        </w:rPr>
        <w:t xml:space="preserve">приказом Минздрава России от 14 мая 2021 г. № 440 </w:t>
      </w:r>
      <w:r w:rsidR="00FA4744" w:rsidRPr="00FF13D6">
        <w:rPr>
          <w:rFonts w:ascii="Times New Roman" w:eastAsia="Calibri" w:hAnsi="Times New Roman" w:cs="Times New Roman"/>
          <w:sz w:val="28"/>
          <w:szCs w:val="28"/>
        </w:rPr>
        <w:t>сформирован Молодежный совет при Министерстве здравоохранения Российской Федерации по общественному здоровью.</w:t>
      </w:r>
    </w:p>
    <w:p w14:paraId="7AA3DCC7" w14:textId="77777777" w:rsidR="00FA4744" w:rsidRPr="00FF13D6" w:rsidRDefault="00FA4744" w:rsidP="006C4843">
      <w:pPr>
        <w:spacing w:after="0" w:line="312" w:lineRule="auto"/>
        <w:ind w:firstLine="709"/>
        <w:jc w:val="both"/>
        <w:rPr>
          <w:rFonts w:ascii="Times New Roman" w:eastAsia="Calibri" w:hAnsi="Times New Roman" w:cs="Times New Roman"/>
          <w:sz w:val="28"/>
          <w:szCs w:val="28"/>
        </w:rPr>
      </w:pPr>
      <w:r w:rsidRPr="00FF13D6">
        <w:rPr>
          <w:rFonts w:ascii="Times New Roman" w:eastAsia="Calibri" w:hAnsi="Times New Roman" w:cs="Times New Roman"/>
          <w:sz w:val="28"/>
          <w:szCs w:val="28"/>
        </w:rPr>
        <w:t>Продолжа</w:t>
      </w:r>
      <w:r w:rsidR="00174D3F" w:rsidRPr="00FF13D6">
        <w:rPr>
          <w:rFonts w:ascii="Times New Roman" w:eastAsia="Calibri" w:hAnsi="Times New Roman" w:cs="Times New Roman"/>
          <w:sz w:val="28"/>
          <w:szCs w:val="28"/>
        </w:rPr>
        <w:t>лась</w:t>
      </w:r>
      <w:r w:rsidRPr="00FF13D6">
        <w:rPr>
          <w:rFonts w:ascii="Times New Roman" w:eastAsia="Calibri" w:hAnsi="Times New Roman" w:cs="Times New Roman"/>
          <w:sz w:val="28"/>
          <w:szCs w:val="28"/>
        </w:rPr>
        <w:t xml:space="preserve"> реализация федерального проекта «Укрепление общественного здоровья» национального проекта «Демография» (далее </w:t>
      </w:r>
      <w:r w:rsidR="00B34F30" w:rsidRPr="00FF13D6">
        <w:rPr>
          <w:rFonts w:ascii="Times New Roman" w:eastAsia="Calibri" w:hAnsi="Times New Roman" w:cs="Times New Roman"/>
          <w:sz w:val="28"/>
          <w:szCs w:val="28"/>
        </w:rPr>
        <w:t xml:space="preserve">по тексту подраздела </w:t>
      </w:r>
      <w:r w:rsidRPr="00FF13D6">
        <w:rPr>
          <w:rFonts w:ascii="Times New Roman" w:eastAsia="Calibri" w:hAnsi="Times New Roman" w:cs="Times New Roman"/>
          <w:sz w:val="28"/>
          <w:szCs w:val="28"/>
        </w:rPr>
        <w:t xml:space="preserve">– </w:t>
      </w:r>
      <w:r w:rsidR="00B34F30" w:rsidRPr="00FF13D6">
        <w:rPr>
          <w:rFonts w:ascii="Times New Roman" w:eastAsia="Calibri" w:hAnsi="Times New Roman" w:cs="Times New Roman"/>
          <w:sz w:val="28"/>
          <w:szCs w:val="28"/>
        </w:rPr>
        <w:t>ф</w:t>
      </w:r>
      <w:r w:rsidRPr="00FF13D6">
        <w:rPr>
          <w:rFonts w:ascii="Times New Roman" w:eastAsia="Calibri" w:hAnsi="Times New Roman" w:cs="Times New Roman"/>
          <w:sz w:val="28"/>
          <w:szCs w:val="28"/>
        </w:rPr>
        <w:t>едеральный проект), в рамках которого впервые в Российской Федерации поставлена задача формирования системы общественного здоровья.</w:t>
      </w:r>
    </w:p>
    <w:p w14:paraId="7B59C696" w14:textId="77777777" w:rsidR="00FA4744" w:rsidRPr="00FF13D6" w:rsidRDefault="00FA4744" w:rsidP="006C4843">
      <w:pPr>
        <w:spacing w:after="0" w:line="312" w:lineRule="auto"/>
        <w:ind w:firstLine="709"/>
        <w:jc w:val="both"/>
        <w:rPr>
          <w:rFonts w:ascii="Times New Roman" w:eastAsia="Calibri" w:hAnsi="Times New Roman" w:cs="Times New Roman"/>
          <w:sz w:val="28"/>
          <w:szCs w:val="28"/>
        </w:rPr>
      </w:pPr>
      <w:r w:rsidRPr="00FF13D6">
        <w:rPr>
          <w:rFonts w:ascii="Times New Roman" w:eastAsia="Calibri" w:hAnsi="Times New Roman" w:cs="Times New Roman"/>
          <w:sz w:val="28"/>
          <w:szCs w:val="28"/>
        </w:rPr>
        <w:t>С целью координации и усиления</w:t>
      </w:r>
      <w:r w:rsidR="00B34F30" w:rsidRPr="00FF13D6">
        <w:rPr>
          <w:rFonts w:ascii="Times New Roman" w:eastAsia="Calibri" w:hAnsi="Times New Roman" w:cs="Times New Roman"/>
          <w:sz w:val="28"/>
          <w:szCs w:val="28"/>
        </w:rPr>
        <w:t xml:space="preserve"> межведомственной региональной </w:t>
      </w:r>
      <w:r w:rsidRPr="00FF13D6">
        <w:rPr>
          <w:rFonts w:ascii="Times New Roman" w:eastAsia="Calibri" w:hAnsi="Times New Roman" w:cs="Times New Roman"/>
          <w:sz w:val="28"/>
          <w:szCs w:val="28"/>
        </w:rPr>
        <w:t>и муниципальной составляющей системы общественного здоровья, основные мероприятия в этом направлении реал</w:t>
      </w:r>
      <w:r w:rsidR="00B34F30" w:rsidRPr="00FF13D6">
        <w:rPr>
          <w:rFonts w:ascii="Times New Roman" w:eastAsia="Calibri" w:hAnsi="Times New Roman" w:cs="Times New Roman"/>
          <w:sz w:val="28"/>
          <w:szCs w:val="28"/>
        </w:rPr>
        <w:t xml:space="preserve">изуются с помощью региональных </w:t>
      </w:r>
      <w:r w:rsidRPr="00FF13D6">
        <w:rPr>
          <w:rFonts w:ascii="Times New Roman" w:eastAsia="Calibri" w:hAnsi="Times New Roman" w:cs="Times New Roman"/>
          <w:sz w:val="28"/>
          <w:szCs w:val="28"/>
        </w:rPr>
        <w:t>и муниципальных программ укр</w:t>
      </w:r>
      <w:r w:rsidR="00A8753E" w:rsidRPr="00FF13D6">
        <w:rPr>
          <w:rFonts w:ascii="Times New Roman" w:eastAsia="Calibri" w:hAnsi="Times New Roman" w:cs="Times New Roman"/>
          <w:sz w:val="28"/>
          <w:szCs w:val="28"/>
        </w:rPr>
        <w:t>епления общественного здоровья.</w:t>
      </w:r>
    </w:p>
    <w:p w14:paraId="3E2451EB" w14:textId="77777777" w:rsidR="00FA4744"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Стоит отметить, что пандемия COVID-19 оказала неблагоприятное влияние на отдельные показатели здорового образа жизни, прежде всего</w:t>
      </w:r>
      <w:r w:rsidR="00B34F30"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 xml:space="preserve"> это касается снижения показателей физическо</w:t>
      </w:r>
      <w:r w:rsidR="00B34F30" w:rsidRPr="00FF13D6">
        <w:rPr>
          <w:rFonts w:ascii="Times New Roman" w:eastAsia="Times New Roman" w:hAnsi="Times New Roman" w:cs="Times New Roman"/>
          <w:sz w:val="28"/>
          <w:szCs w:val="28"/>
          <w:lang w:eastAsia="ru-RU"/>
        </w:rPr>
        <w:t xml:space="preserve">й активности, консультирования </w:t>
      </w:r>
      <w:r w:rsidRPr="00FF13D6">
        <w:rPr>
          <w:rFonts w:ascii="Times New Roman" w:eastAsia="Times New Roman" w:hAnsi="Times New Roman" w:cs="Times New Roman"/>
          <w:sz w:val="28"/>
          <w:szCs w:val="28"/>
          <w:lang w:eastAsia="ru-RU"/>
        </w:rPr>
        <w:t>по вопросам здорового образа жизни в рамках первичной медицинской помощ</w:t>
      </w:r>
      <w:r w:rsidR="00B34F30" w:rsidRPr="00FF13D6">
        <w:rPr>
          <w:rFonts w:ascii="Times New Roman" w:eastAsia="Times New Roman" w:hAnsi="Times New Roman" w:cs="Times New Roman"/>
          <w:sz w:val="28"/>
          <w:szCs w:val="28"/>
          <w:lang w:eastAsia="ru-RU"/>
        </w:rPr>
        <w:t>и и роста потребления алкоголя.</w:t>
      </w:r>
    </w:p>
    <w:p w14:paraId="12676DBB" w14:textId="77777777" w:rsidR="00FA4744"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При этом в 2021 г</w:t>
      </w:r>
      <w:r w:rsidR="005D57E3"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 xml:space="preserve"> Минздравом России были проведены мероприятия, направленные на устойчивое развитие системы укрепления общественного здоровья. Задачей указанной системы является поиск наиболее эффективных инструментов, способствующих сокращению бремени воздействия факторов риска развития неинфекционных заболеваний, а также поиск эффективных решений государственной политики.</w:t>
      </w:r>
    </w:p>
    <w:p w14:paraId="24E94BBE" w14:textId="21773467" w:rsidR="00FA4744"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Несмотря на все сложности 2021 г</w:t>
      </w:r>
      <w:r w:rsidR="005D57E3"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 обращаемость в медицинские организации по вопросам здорового обра</w:t>
      </w:r>
      <w:r w:rsidR="00B34F30" w:rsidRPr="00FF13D6">
        <w:rPr>
          <w:rFonts w:ascii="Times New Roman" w:eastAsia="Times New Roman" w:hAnsi="Times New Roman" w:cs="Times New Roman"/>
          <w:sz w:val="28"/>
          <w:szCs w:val="28"/>
          <w:lang w:eastAsia="ru-RU"/>
        </w:rPr>
        <w:t xml:space="preserve">за жизни увеличилась, превысив </w:t>
      </w:r>
      <w:r w:rsidRPr="00FF13D6">
        <w:rPr>
          <w:rFonts w:ascii="Times New Roman" w:eastAsia="Times New Roman" w:hAnsi="Times New Roman" w:cs="Times New Roman"/>
          <w:sz w:val="28"/>
          <w:szCs w:val="28"/>
          <w:lang w:eastAsia="ru-RU"/>
        </w:rPr>
        <w:t>2,4 млн человек (при план</w:t>
      </w:r>
      <w:r w:rsidR="00B34F30" w:rsidRPr="00FF13D6">
        <w:rPr>
          <w:rFonts w:ascii="Times New Roman" w:eastAsia="Times New Roman" w:hAnsi="Times New Roman" w:cs="Times New Roman"/>
          <w:sz w:val="28"/>
          <w:szCs w:val="28"/>
          <w:lang w:eastAsia="ru-RU"/>
        </w:rPr>
        <w:t>овом значении</w:t>
      </w:r>
      <w:r w:rsidRPr="00FF13D6">
        <w:rPr>
          <w:rFonts w:ascii="Times New Roman" w:eastAsia="Times New Roman" w:hAnsi="Times New Roman" w:cs="Times New Roman"/>
          <w:sz w:val="28"/>
          <w:szCs w:val="28"/>
          <w:lang w:eastAsia="ru-RU"/>
        </w:rPr>
        <w:t xml:space="preserve"> – 2,2 млн чел</w:t>
      </w:r>
      <w:r w:rsidR="00B34F30" w:rsidRPr="00FF13D6">
        <w:rPr>
          <w:rFonts w:ascii="Times New Roman" w:eastAsia="Times New Roman" w:hAnsi="Times New Roman" w:cs="Times New Roman"/>
          <w:sz w:val="28"/>
          <w:szCs w:val="28"/>
          <w:lang w:eastAsia="ru-RU"/>
        </w:rPr>
        <w:t>овек</w:t>
      </w:r>
      <w:r w:rsidR="00A622C2" w:rsidRPr="00FF13D6">
        <w:rPr>
          <w:rFonts w:ascii="Times New Roman" w:eastAsia="Times New Roman" w:hAnsi="Times New Roman" w:cs="Times New Roman"/>
          <w:sz w:val="28"/>
          <w:szCs w:val="28"/>
          <w:lang w:eastAsia="ru-RU"/>
        </w:rPr>
        <w:t>).</w:t>
      </w:r>
    </w:p>
    <w:p w14:paraId="250B8354" w14:textId="77777777" w:rsidR="00AC5CB1" w:rsidRPr="00FF13D6" w:rsidRDefault="0089477E"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 xml:space="preserve">В Российской Федерации на охрану здоровья населения </w:t>
      </w:r>
      <w:r w:rsidR="00430E6B" w:rsidRPr="00FF13D6">
        <w:rPr>
          <w:rFonts w:ascii="Times New Roman" w:eastAsia="Times New Roman" w:hAnsi="Times New Roman" w:cs="Times New Roman"/>
          <w:sz w:val="28"/>
          <w:szCs w:val="28"/>
          <w:lang w:eastAsia="ru-RU"/>
        </w:rPr>
        <w:t>и обеспечение 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иммунопрофилактики.</w:t>
      </w:r>
    </w:p>
    <w:p w14:paraId="45B9F60C" w14:textId="75221653" w:rsidR="00AC5CB1" w:rsidRPr="00FF13D6" w:rsidRDefault="00AC5CB1"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В настоящее время иммунизация населения в рамках национального календаря профилактических прививок предусматривает прививки против 12 инфекций: полиомиелита, коклюша, столбняка, гепатита, туберкулёза, дифтерии, кори, краснухи, эпидемического паротита, пневмококковой инфекции, гриппа, гемофильной инфекции тип b (</w:t>
      </w:r>
      <w:r w:rsidR="00A63ACC" w:rsidRPr="00FF13D6">
        <w:rPr>
          <w:rFonts w:ascii="Times New Roman" w:eastAsia="Times New Roman" w:hAnsi="Times New Roman" w:cs="Times New Roman"/>
          <w:sz w:val="28"/>
          <w:szCs w:val="28"/>
          <w:lang w:eastAsia="ru-RU"/>
        </w:rPr>
        <w:t>в 2021 г</w:t>
      </w:r>
      <w:r w:rsidR="005D57E3" w:rsidRPr="00FF13D6">
        <w:rPr>
          <w:rFonts w:ascii="Times New Roman" w:eastAsia="Times New Roman" w:hAnsi="Times New Roman" w:cs="Times New Roman"/>
          <w:sz w:val="28"/>
          <w:szCs w:val="28"/>
          <w:lang w:eastAsia="ru-RU"/>
        </w:rPr>
        <w:t>.</w:t>
      </w:r>
      <w:r w:rsidR="00A63ACC" w:rsidRPr="00FF13D6">
        <w:rPr>
          <w:rFonts w:ascii="Times New Roman" w:eastAsia="Times New Roman" w:hAnsi="Times New Roman" w:cs="Times New Roman"/>
          <w:sz w:val="28"/>
          <w:szCs w:val="28"/>
          <w:lang w:eastAsia="ru-RU"/>
        </w:rPr>
        <w:t xml:space="preserve"> – </w:t>
      </w:r>
      <w:r w:rsidRPr="00FF13D6">
        <w:rPr>
          <w:rFonts w:ascii="Times New Roman" w:eastAsia="Times New Roman" w:hAnsi="Times New Roman" w:cs="Times New Roman"/>
          <w:sz w:val="28"/>
          <w:szCs w:val="28"/>
          <w:lang w:eastAsia="ru-RU"/>
        </w:rPr>
        <w:t>только для групп риска</w:t>
      </w:r>
      <w:r w:rsidR="00A63ACC" w:rsidRPr="00FF13D6">
        <w:rPr>
          <w:rFonts w:ascii="Times New Roman" w:eastAsia="Times New Roman" w:hAnsi="Times New Roman" w:cs="Times New Roman"/>
          <w:sz w:val="28"/>
          <w:szCs w:val="28"/>
          <w:lang w:eastAsia="ru-RU"/>
        </w:rPr>
        <w:t>, а с 2022 г</w:t>
      </w:r>
      <w:r w:rsidR="005D57E3" w:rsidRPr="00FF13D6">
        <w:rPr>
          <w:rFonts w:ascii="Times New Roman" w:eastAsia="Times New Roman" w:hAnsi="Times New Roman" w:cs="Times New Roman"/>
          <w:sz w:val="28"/>
          <w:szCs w:val="28"/>
          <w:lang w:eastAsia="ru-RU"/>
        </w:rPr>
        <w:t>.</w:t>
      </w:r>
      <w:r w:rsidR="00A63ACC" w:rsidRPr="00FF13D6">
        <w:rPr>
          <w:rFonts w:ascii="Times New Roman" w:eastAsia="Times New Roman" w:hAnsi="Times New Roman" w:cs="Times New Roman"/>
          <w:sz w:val="28"/>
          <w:szCs w:val="28"/>
          <w:lang w:eastAsia="ru-RU"/>
        </w:rPr>
        <w:t xml:space="preserve"> – для всех детей первых лет жизни</w:t>
      </w:r>
      <w:r w:rsidRPr="00FF13D6">
        <w:rPr>
          <w:rFonts w:ascii="Times New Roman" w:eastAsia="Times New Roman" w:hAnsi="Times New Roman" w:cs="Times New Roman"/>
          <w:sz w:val="28"/>
          <w:szCs w:val="28"/>
          <w:lang w:eastAsia="ru-RU"/>
        </w:rPr>
        <w:t>).</w:t>
      </w:r>
    </w:p>
    <w:p w14:paraId="0A20FD9C" w14:textId="77777777" w:rsidR="00AC5CB1" w:rsidRPr="00FF13D6" w:rsidRDefault="00AC5CB1"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В связи</w:t>
      </w:r>
      <w:r w:rsidRPr="00FF13D6">
        <w:rPr>
          <w:rFonts w:ascii="Times New Roman" w:hAnsi="Times New Roman" w:cs="Times New Roman"/>
          <w:iCs/>
          <w:sz w:val="28"/>
          <w:szCs w:val="28"/>
          <w:bdr w:val="none" w:sz="0" w:space="0" w:color="auto" w:frame="1"/>
        </w:rPr>
        <w:t xml:space="preserve"> </w:t>
      </w:r>
      <w:r w:rsidRPr="00FF13D6">
        <w:rPr>
          <w:rFonts w:ascii="Times New Roman" w:eastAsia="Times New Roman" w:hAnsi="Times New Roman" w:cs="Times New Roman"/>
          <w:sz w:val="28"/>
          <w:szCs w:val="28"/>
          <w:lang w:eastAsia="ru-RU"/>
        </w:rPr>
        <w:t xml:space="preserve">с высоким уровнем охвата (свыше 95%) 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удерживается на низком уровне. </w:t>
      </w:r>
    </w:p>
    <w:p w14:paraId="2EADF595" w14:textId="77777777" w:rsidR="00DA6C99" w:rsidRPr="00FF13D6" w:rsidRDefault="00AC5CB1"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В 202</w:t>
      </w:r>
      <w:r w:rsidR="00A63ACC" w:rsidRPr="00FF13D6">
        <w:rPr>
          <w:rFonts w:ascii="Times New Roman" w:eastAsia="Times New Roman" w:hAnsi="Times New Roman" w:cs="Times New Roman"/>
          <w:sz w:val="28"/>
          <w:szCs w:val="28"/>
          <w:lang w:eastAsia="ru-RU"/>
        </w:rPr>
        <w:t>1</w:t>
      </w:r>
      <w:r w:rsidRPr="00FF13D6">
        <w:rPr>
          <w:rFonts w:ascii="Times New Roman" w:eastAsia="Times New Roman" w:hAnsi="Times New Roman" w:cs="Times New Roman"/>
          <w:sz w:val="28"/>
          <w:szCs w:val="28"/>
          <w:lang w:eastAsia="ru-RU"/>
        </w:rPr>
        <w:t xml:space="preserve"> г</w:t>
      </w:r>
      <w:r w:rsidR="005D57E3"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 xml:space="preserve">, несмотря на </w:t>
      </w:r>
      <w:r w:rsidR="00A63ACC" w:rsidRPr="00FF13D6">
        <w:rPr>
          <w:rFonts w:ascii="Times New Roman" w:eastAsia="Times New Roman" w:hAnsi="Times New Roman" w:cs="Times New Roman"/>
          <w:sz w:val="28"/>
          <w:szCs w:val="28"/>
          <w:lang w:eastAsia="ru-RU"/>
        </w:rPr>
        <w:t>пандемию</w:t>
      </w:r>
      <w:r w:rsidRPr="00FF13D6">
        <w:rPr>
          <w:rFonts w:ascii="Times New Roman" w:eastAsia="Times New Roman" w:hAnsi="Times New Roman" w:cs="Times New Roman"/>
          <w:sz w:val="28"/>
          <w:szCs w:val="28"/>
          <w:lang w:eastAsia="ru-RU"/>
        </w:rPr>
        <w:t xml:space="preserve"> новой коронавирусной инфекцией </w:t>
      </w:r>
      <w:r w:rsidR="005D57E3" w:rsidRPr="00FF13D6">
        <w:rPr>
          <w:rFonts w:ascii="Times New Roman" w:eastAsia="Times New Roman" w:hAnsi="Times New Roman" w:cs="Times New Roman"/>
          <w:sz w:val="28"/>
          <w:szCs w:val="28"/>
          <w:lang w:eastAsia="ru-RU"/>
        </w:rPr>
        <w:br/>
      </w:r>
      <w:r w:rsidRPr="00FF13D6">
        <w:rPr>
          <w:rFonts w:ascii="Times New Roman" w:eastAsia="Times New Roman" w:hAnsi="Times New Roman" w:cs="Times New Roman"/>
          <w:sz w:val="28"/>
          <w:szCs w:val="28"/>
          <w:lang w:eastAsia="ru-RU"/>
        </w:rPr>
        <w:t xml:space="preserve">(COVID-19), охват прививками детей в декретированных возрастах по </w:t>
      </w:r>
      <w:r w:rsidR="00A8753E" w:rsidRPr="00FF13D6">
        <w:rPr>
          <w:rFonts w:ascii="Times New Roman" w:eastAsia="Times New Roman" w:hAnsi="Times New Roman" w:cs="Times New Roman"/>
          <w:sz w:val="28"/>
          <w:szCs w:val="28"/>
          <w:lang w:eastAsia="ru-RU"/>
        </w:rPr>
        <w:t>итогам года составил свыше 95%:</w:t>
      </w:r>
    </w:p>
    <w:p w14:paraId="62B31989" w14:textId="77777777" w:rsidR="00AC5CB1" w:rsidRPr="00FF13D6" w:rsidRDefault="00AC5CB1"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против дифтерии и коклюша в 12 мес</w:t>
      </w:r>
      <w:r w:rsidR="00DA6C99"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 xml:space="preserve"> вакцинацией – 96,</w:t>
      </w:r>
      <w:r w:rsidR="00DA6C99" w:rsidRPr="00FF13D6">
        <w:rPr>
          <w:rFonts w:ascii="Times New Roman" w:eastAsia="Times New Roman" w:hAnsi="Times New Roman" w:cs="Times New Roman"/>
          <w:sz w:val="28"/>
          <w:szCs w:val="28"/>
          <w:lang w:eastAsia="ru-RU"/>
        </w:rPr>
        <w:t>7</w:t>
      </w:r>
      <w:r w:rsidRPr="00FF13D6">
        <w:rPr>
          <w:rFonts w:ascii="Times New Roman" w:eastAsia="Times New Roman" w:hAnsi="Times New Roman" w:cs="Times New Roman"/>
          <w:sz w:val="28"/>
          <w:szCs w:val="28"/>
          <w:lang w:eastAsia="ru-RU"/>
        </w:rPr>
        <w:t>% и 96,</w:t>
      </w:r>
      <w:r w:rsidR="00DA6C99" w:rsidRPr="00FF13D6">
        <w:rPr>
          <w:rFonts w:ascii="Times New Roman" w:eastAsia="Times New Roman" w:hAnsi="Times New Roman" w:cs="Times New Roman"/>
          <w:sz w:val="28"/>
          <w:szCs w:val="28"/>
          <w:lang w:eastAsia="ru-RU"/>
        </w:rPr>
        <w:t>5</w:t>
      </w:r>
      <w:r w:rsidRPr="00FF13D6">
        <w:rPr>
          <w:rFonts w:ascii="Times New Roman" w:eastAsia="Times New Roman" w:hAnsi="Times New Roman" w:cs="Times New Roman"/>
          <w:sz w:val="28"/>
          <w:szCs w:val="28"/>
          <w:lang w:eastAsia="ru-RU"/>
        </w:rPr>
        <w:t>%, соответственно, в 24 мес</w:t>
      </w:r>
      <w:r w:rsidR="00DA6C99"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 xml:space="preserve"> ревакцинацией – 96,</w:t>
      </w:r>
      <w:r w:rsidR="00DA6C99" w:rsidRPr="00FF13D6">
        <w:rPr>
          <w:rFonts w:ascii="Times New Roman" w:eastAsia="Times New Roman" w:hAnsi="Times New Roman" w:cs="Times New Roman"/>
          <w:sz w:val="28"/>
          <w:szCs w:val="28"/>
          <w:lang w:eastAsia="ru-RU"/>
        </w:rPr>
        <w:t>3</w:t>
      </w:r>
      <w:r w:rsidRPr="00FF13D6">
        <w:rPr>
          <w:rFonts w:ascii="Times New Roman" w:eastAsia="Times New Roman" w:hAnsi="Times New Roman" w:cs="Times New Roman"/>
          <w:sz w:val="28"/>
          <w:szCs w:val="28"/>
          <w:lang w:eastAsia="ru-RU"/>
        </w:rPr>
        <w:t>% и 9</w:t>
      </w:r>
      <w:r w:rsidR="00DA6C99" w:rsidRPr="00FF13D6">
        <w:rPr>
          <w:rFonts w:ascii="Times New Roman" w:eastAsia="Times New Roman" w:hAnsi="Times New Roman" w:cs="Times New Roman"/>
          <w:sz w:val="28"/>
          <w:szCs w:val="28"/>
          <w:lang w:eastAsia="ru-RU"/>
        </w:rPr>
        <w:t>6</w:t>
      </w:r>
      <w:r w:rsidRPr="00FF13D6">
        <w:rPr>
          <w:rFonts w:ascii="Times New Roman" w:eastAsia="Times New Roman" w:hAnsi="Times New Roman" w:cs="Times New Roman"/>
          <w:sz w:val="28"/>
          <w:szCs w:val="28"/>
          <w:lang w:eastAsia="ru-RU"/>
        </w:rPr>
        <w:t>,</w:t>
      </w:r>
      <w:r w:rsidR="00DA6C99" w:rsidRPr="00FF13D6">
        <w:rPr>
          <w:rFonts w:ascii="Times New Roman" w:eastAsia="Times New Roman" w:hAnsi="Times New Roman" w:cs="Times New Roman"/>
          <w:sz w:val="28"/>
          <w:szCs w:val="28"/>
          <w:lang w:eastAsia="ru-RU"/>
        </w:rPr>
        <w:t>0</w:t>
      </w:r>
      <w:r w:rsidRPr="00FF13D6">
        <w:rPr>
          <w:rFonts w:ascii="Times New Roman" w:eastAsia="Times New Roman" w:hAnsi="Times New Roman" w:cs="Times New Roman"/>
          <w:sz w:val="28"/>
          <w:szCs w:val="28"/>
          <w:lang w:eastAsia="ru-RU"/>
        </w:rPr>
        <w:t>%, соответственно (20</w:t>
      </w:r>
      <w:r w:rsidR="00DA6C99" w:rsidRPr="00FF13D6">
        <w:rPr>
          <w:rFonts w:ascii="Times New Roman" w:eastAsia="Times New Roman" w:hAnsi="Times New Roman" w:cs="Times New Roman"/>
          <w:sz w:val="28"/>
          <w:szCs w:val="28"/>
          <w:lang w:eastAsia="ru-RU"/>
        </w:rPr>
        <w:t>20</w:t>
      </w:r>
      <w:r w:rsidRPr="00FF13D6">
        <w:rPr>
          <w:rFonts w:ascii="Times New Roman" w:eastAsia="Times New Roman" w:hAnsi="Times New Roman" w:cs="Times New Roman"/>
          <w:sz w:val="28"/>
          <w:szCs w:val="28"/>
          <w:lang w:eastAsia="ru-RU"/>
        </w:rPr>
        <w:t xml:space="preserve"> </w:t>
      </w:r>
      <w:r w:rsidR="00A8753E" w:rsidRPr="00FF13D6">
        <w:rPr>
          <w:rFonts w:ascii="Times New Roman" w:eastAsia="Times New Roman" w:hAnsi="Times New Roman" w:cs="Times New Roman"/>
          <w:sz w:val="28"/>
          <w:szCs w:val="28"/>
          <w:lang w:eastAsia="ru-RU"/>
        </w:rPr>
        <w:t>г.</w:t>
      </w:r>
      <w:r w:rsidRPr="00FF13D6">
        <w:rPr>
          <w:rFonts w:ascii="Times New Roman" w:eastAsia="Times New Roman" w:hAnsi="Times New Roman" w:cs="Times New Roman"/>
          <w:sz w:val="28"/>
          <w:szCs w:val="28"/>
          <w:lang w:eastAsia="ru-RU"/>
        </w:rPr>
        <w:t xml:space="preserve"> </w:t>
      </w:r>
      <w:r w:rsidR="000D1A5D" w:rsidRPr="00FF13D6">
        <w:rPr>
          <w:rFonts w:ascii="Times New Roman" w:eastAsia="Times New Roman" w:hAnsi="Times New Roman" w:cs="Times New Roman"/>
          <w:sz w:val="28"/>
          <w:szCs w:val="28"/>
          <w:lang w:eastAsia="ru-RU"/>
        </w:rPr>
        <w:t xml:space="preserve">– </w:t>
      </w:r>
      <w:r w:rsidRPr="00FF13D6">
        <w:rPr>
          <w:rFonts w:ascii="Times New Roman" w:eastAsia="Times New Roman" w:hAnsi="Times New Roman" w:cs="Times New Roman"/>
          <w:sz w:val="28"/>
          <w:szCs w:val="28"/>
          <w:lang w:eastAsia="ru-RU"/>
        </w:rPr>
        <w:t>в 12 мес</w:t>
      </w:r>
      <w:r w:rsidR="00DA6C99"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 xml:space="preserve"> вакцинацией – 96,</w:t>
      </w:r>
      <w:r w:rsidR="00DA6C99" w:rsidRPr="00FF13D6">
        <w:rPr>
          <w:rFonts w:ascii="Times New Roman" w:eastAsia="Times New Roman" w:hAnsi="Times New Roman" w:cs="Times New Roman"/>
          <w:sz w:val="28"/>
          <w:szCs w:val="28"/>
          <w:lang w:eastAsia="ru-RU"/>
        </w:rPr>
        <w:t>5</w:t>
      </w:r>
      <w:r w:rsidRPr="00FF13D6">
        <w:rPr>
          <w:rFonts w:ascii="Times New Roman" w:eastAsia="Times New Roman" w:hAnsi="Times New Roman" w:cs="Times New Roman"/>
          <w:sz w:val="28"/>
          <w:szCs w:val="28"/>
          <w:lang w:eastAsia="ru-RU"/>
        </w:rPr>
        <w:t>% и 96,</w:t>
      </w:r>
      <w:r w:rsidR="00DA6C99" w:rsidRPr="00FF13D6">
        <w:rPr>
          <w:rFonts w:ascii="Times New Roman" w:eastAsia="Times New Roman" w:hAnsi="Times New Roman" w:cs="Times New Roman"/>
          <w:sz w:val="28"/>
          <w:szCs w:val="28"/>
          <w:lang w:eastAsia="ru-RU"/>
        </w:rPr>
        <w:t>2</w:t>
      </w:r>
      <w:r w:rsidRPr="00FF13D6">
        <w:rPr>
          <w:rFonts w:ascii="Times New Roman" w:eastAsia="Times New Roman" w:hAnsi="Times New Roman" w:cs="Times New Roman"/>
          <w:sz w:val="28"/>
          <w:szCs w:val="28"/>
          <w:lang w:eastAsia="ru-RU"/>
        </w:rPr>
        <w:t>%, соответственно, в 24 мес</w:t>
      </w:r>
      <w:r w:rsidR="00DA6C99"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 xml:space="preserve"> ревакцинацией – 96,</w:t>
      </w:r>
      <w:r w:rsidR="00DA6C99" w:rsidRPr="00FF13D6">
        <w:rPr>
          <w:rFonts w:ascii="Times New Roman" w:eastAsia="Times New Roman" w:hAnsi="Times New Roman" w:cs="Times New Roman"/>
          <w:sz w:val="28"/>
          <w:szCs w:val="28"/>
          <w:lang w:eastAsia="ru-RU"/>
        </w:rPr>
        <w:t>1</w:t>
      </w:r>
      <w:r w:rsidRPr="00FF13D6">
        <w:rPr>
          <w:rFonts w:ascii="Times New Roman" w:eastAsia="Times New Roman" w:hAnsi="Times New Roman" w:cs="Times New Roman"/>
          <w:sz w:val="28"/>
          <w:szCs w:val="28"/>
          <w:lang w:eastAsia="ru-RU"/>
        </w:rPr>
        <w:t>% и 9</w:t>
      </w:r>
      <w:r w:rsidR="00DA6C99" w:rsidRPr="00FF13D6">
        <w:rPr>
          <w:rFonts w:ascii="Times New Roman" w:eastAsia="Times New Roman" w:hAnsi="Times New Roman" w:cs="Times New Roman"/>
          <w:sz w:val="28"/>
          <w:szCs w:val="28"/>
          <w:lang w:eastAsia="ru-RU"/>
        </w:rPr>
        <w:t>5</w:t>
      </w:r>
      <w:r w:rsidRPr="00FF13D6">
        <w:rPr>
          <w:rFonts w:ascii="Times New Roman" w:eastAsia="Times New Roman" w:hAnsi="Times New Roman" w:cs="Times New Roman"/>
          <w:sz w:val="28"/>
          <w:szCs w:val="28"/>
          <w:lang w:eastAsia="ru-RU"/>
        </w:rPr>
        <w:t>,</w:t>
      </w:r>
      <w:r w:rsidR="00DA6C99" w:rsidRPr="00FF13D6">
        <w:rPr>
          <w:rFonts w:ascii="Times New Roman" w:eastAsia="Times New Roman" w:hAnsi="Times New Roman" w:cs="Times New Roman"/>
          <w:sz w:val="28"/>
          <w:szCs w:val="28"/>
          <w:lang w:eastAsia="ru-RU"/>
        </w:rPr>
        <w:t>9%);</w:t>
      </w:r>
    </w:p>
    <w:p w14:paraId="0BE796C2" w14:textId="77777777" w:rsidR="00AC5CB1" w:rsidRPr="00FF13D6" w:rsidRDefault="00AC5CB1"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против полиомиелита в 12 мес</w:t>
      </w:r>
      <w:r w:rsidR="00DA6C99"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 xml:space="preserve"> вакцинацией – 96,</w:t>
      </w:r>
      <w:r w:rsidR="00DA6C99" w:rsidRPr="00FF13D6">
        <w:rPr>
          <w:rFonts w:ascii="Times New Roman" w:eastAsia="Times New Roman" w:hAnsi="Times New Roman" w:cs="Times New Roman"/>
          <w:sz w:val="28"/>
          <w:szCs w:val="28"/>
          <w:lang w:eastAsia="ru-RU"/>
        </w:rPr>
        <w:t>9</w:t>
      </w:r>
      <w:r w:rsidRPr="00FF13D6">
        <w:rPr>
          <w:rFonts w:ascii="Times New Roman" w:eastAsia="Times New Roman" w:hAnsi="Times New Roman" w:cs="Times New Roman"/>
          <w:sz w:val="28"/>
          <w:szCs w:val="28"/>
          <w:lang w:eastAsia="ru-RU"/>
        </w:rPr>
        <w:t>%, в</w:t>
      </w:r>
      <w:r w:rsidRPr="00FF13D6">
        <w:rPr>
          <w:rFonts w:ascii="Times New Roman" w:hAnsi="Times New Roman" w:cs="Times New Roman"/>
          <w:sz w:val="28"/>
          <w:szCs w:val="28"/>
        </w:rPr>
        <w:t xml:space="preserve"> 24 мес. второй ревакцинацией – 9</w:t>
      </w:r>
      <w:r w:rsidR="00DA6C99" w:rsidRPr="00FF13D6">
        <w:rPr>
          <w:rFonts w:ascii="Times New Roman" w:hAnsi="Times New Roman" w:cs="Times New Roman"/>
          <w:sz w:val="28"/>
          <w:szCs w:val="28"/>
        </w:rPr>
        <w:t>6</w:t>
      </w:r>
      <w:r w:rsidRPr="00FF13D6">
        <w:rPr>
          <w:rFonts w:ascii="Times New Roman" w:hAnsi="Times New Roman" w:cs="Times New Roman"/>
          <w:sz w:val="28"/>
          <w:szCs w:val="28"/>
        </w:rPr>
        <w:t>,</w:t>
      </w:r>
      <w:r w:rsidR="00DA6C99" w:rsidRPr="00FF13D6">
        <w:rPr>
          <w:rFonts w:ascii="Times New Roman" w:hAnsi="Times New Roman" w:cs="Times New Roman"/>
          <w:sz w:val="28"/>
          <w:szCs w:val="28"/>
        </w:rPr>
        <w:t>1</w:t>
      </w:r>
      <w:r w:rsidRPr="00FF13D6">
        <w:rPr>
          <w:rFonts w:ascii="Times New Roman" w:hAnsi="Times New Roman" w:cs="Times New Roman"/>
          <w:sz w:val="28"/>
          <w:szCs w:val="28"/>
        </w:rPr>
        <w:t xml:space="preserve">% </w:t>
      </w:r>
      <w:r w:rsidR="00A8753E" w:rsidRPr="00FF13D6">
        <w:rPr>
          <w:rFonts w:ascii="Times New Roman" w:hAnsi="Times New Roman" w:cs="Times New Roman"/>
          <w:sz w:val="28"/>
          <w:szCs w:val="28"/>
        </w:rPr>
        <w:t>(</w:t>
      </w:r>
      <w:r w:rsidRPr="00FF13D6">
        <w:rPr>
          <w:rFonts w:ascii="Times New Roman" w:hAnsi="Times New Roman" w:cs="Times New Roman"/>
          <w:sz w:val="28"/>
          <w:szCs w:val="28"/>
        </w:rPr>
        <w:t>20</w:t>
      </w:r>
      <w:r w:rsidR="00DA6C99" w:rsidRPr="00FF13D6">
        <w:rPr>
          <w:rFonts w:ascii="Times New Roman" w:hAnsi="Times New Roman" w:cs="Times New Roman"/>
          <w:sz w:val="28"/>
          <w:szCs w:val="28"/>
        </w:rPr>
        <w:t>20</w:t>
      </w:r>
      <w:r w:rsidRPr="00FF13D6">
        <w:rPr>
          <w:rFonts w:ascii="Times New Roman" w:hAnsi="Times New Roman" w:cs="Times New Roman"/>
          <w:sz w:val="28"/>
          <w:szCs w:val="28"/>
        </w:rPr>
        <w:t xml:space="preserve"> г</w:t>
      </w:r>
      <w:r w:rsidR="00A8753E" w:rsidRPr="00FF13D6">
        <w:rPr>
          <w:rFonts w:ascii="Times New Roman" w:hAnsi="Times New Roman" w:cs="Times New Roman"/>
          <w:sz w:val="28"/>
          <w:szCs w:val="28"/>
        </w:rPr>
        <w:t>.</w:t>
      </w:r>
      <w:r w:rsidRPr="00FF13D6">
        <w:rPr>
          <w:rFonts w:ascii="Times New Roman" w:hAnsi="Times New Roman" w:cs="Times New Roman"/>
          <w:sz w:val="28"/>
          <w:szCs w:val="28"/>
        </w:rPr>
        <w:t>, соответственно, – 96,</w:t>
      </w:r>
      <w:r w:rsidR="00DA6C99" w:rsidRPr="00FF13D6">
        <w:rPr>
          <w:rFonts w:ascii="Times New Roman" w:hAnsi="Times New Roman" w:cs="Times New Roman"/>
          <w:sz w:val="28"/>
          <w:szCs w:val="28"/>
        </w:rPr>
        <w:t>7</w:t>
      </w:r>
      <w:r w:rsidRPr="00FF13D6">
        <w:rPr>
          <w:rFonts w:ascii="Times New Roman" w:hAnsi="Times New Roman" w:cs="Times New Roman"/>
          <w:sz w:val="28"/>
          <w:szCs w:val="28"/>
        </w:rPr>
        <w:t>%, 9</w:t>
      </w:r>
      <w:r w:rsidR="00DA6C99" w:rsidRPr="00FF13D6">
        <w:rPr>
          <w:rFonts w:ascii="Times New Roman" w:hAnsi="Times New Roman" w:cs="Times New Roman"/>
          <w:sz w:val="28"/>
          <w:szCs w:val="28"/>
        </w:rPr>
        <w:t>5</w:t>
      </w:r>
      <w:r w:rsidRPr="00FF13D6">
        <w:rPr>
          <w:rFonts w:ascii="Times New Roman" w:hAnsi="Times New Roman" w:cs="Times New Roman"/>
          <w:sz w:val="28"/>
          <w:szCs w:val="28"/>
        </w:rPr>
        <w:t>,</w:t>
      </w:r>
      <w:r w:rsidR="00DA6C99" w:rsidRPr="00FF13D6">
        <w:rPr>
          <w:rFonts w:ascii="Times New Roman" w:hAnsi="Times New Roman" w:cs="Times New Roman"/>
          <w:sz w:val="28"/>
          <w:szCs w:val="28"/>
        </w:rPr>
        <w:t>8%</w:t>
      </w:r>
      <w:r w:rsidR="002004B2" w:rsidRPr="00FF13D6">
        <w:rPr>
          <w:rFonts w:ascii="Times New Roman" w:hAnsi="Times New Roman" w:cs="Times New Roman"/>
          <w:sz w:val="28"/>
          <w:szCs w:val="28"/>
        </w:rPr>
        <w:t>);</w:t>
      </w:r>
    </w:p>
    <w:p w14:paraId="4E8F38DD" w14:textId="77777777" w:rsidR="00AC5CB1" w:rsidRPr="00FF13D6" w:rsidRDefault="00AC5CB1"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hAnsi="Times New Roman" w:cs="Times New Roman"/>
          <w:sz w:val="28"/>
          <w:szCs w:val="28"/>
        </w:rPr>
        <w:t>против кори, краснухи, эпидемического паротита в 24 мес</w:t>
      </w:r>
      <w:r w:rsidR="0055371C" w:rsidRPr="00FF13D6">
        <w:rPr>
          <w:rFonts w:ascii="Times New Roman" w:hAnsi="Times New Roman" w:cs="Times New Roman"/>
          <w:sz w:val="28"/>
          <w:szCs w:val="28"/>
        </w:rPr>
        <w:t>.</w:t>
      </w:r>
      <w:r w:rsidRPr="00FF13D6">
        <w:rPr>
          <w:rFonts w:ascii="Times New Roman" w:hAnsi="Times New Roman" w:cs="Times New Roman"/>
          <w:sz w:val="28"/>
          <w:szCs w:val="28"/>
        </w:rPr>
        <w:t xml:space="preserve"> – 97,3%, ревакцинацией против кори, краснухи, эпидемического паротита в 6 лет – 96,</w:t>
      </w:r>
      <w:r w:rsidR="0055371C" w:rsidRPr="00FF13D6">
        <w:rPr>
          <w:rFonts w:ascii="Times New Roman" w:hAnsi="Times New Roman" w:cs="Times New Roman"/>
          <w:sz w:val="28"/>
          <w:szCs w:val="28"/>
        </w:rPr>
        <w:t>4</w:t>
      </w:r>
      <w:r w:rsidRPr="00FF13D6">
        <w:rPr>
          <w:rFonts w:ascii="Times New Roman" w:hAnsi="Times New Roman" w:cs="Times New Roman"/>
          <w:sz w:val="28"/>
          <w:szCs w:val="28"/>
        </w:rPr>
        <w:t>% (в 20</w:t>
      </w:r>
      <w:r w:rsidR="0055371C" w:rsidRPr="00FF13D6">
        <w:rPr>
          <w:rFonts w:ascii="Times New Roman" w:hAnsi="Times New Roman" w:cs="Times New Roman"/>
          <w:sz w:val="28"/>
          <w:szCs w:val="28"/>
        </w:rPr>
        <w:t>20</w:t>
      </w:r>
      <w:r w:rsidRPr="00FF13D6">
        <w:rPr>
          <w:rFonts w:ascii="Times New Roman" w:hAnsi="Times New Roman" w:cs="Times New Roman"/>
          <w:sz w:val="28"/>
          <w:szCs w:val="28"/>
        </w:rPr>
        <w:t xml:space="preserve"> г</w:t>
      </w:r>
      <w:r w:rsidR="00AC3C25" w:rsidRPr="00FF13D6">
        <w:rPr>
          <w:rFonts w:ascii="Times New Roman" w:hAnsi="Times New Roman" w:cs="Times New Roman"/>
          <w:sz w:val="28"/>
          <w:szCs w:val="28"/>
        </w:rPr>
        <w:t>.</w:t>
      </w:r>
      <w:r w:rsidRPr="00FF13D6">
        <w:rPr>
          <w:rFonts w:ascii="Times New Roman" w:hAnsi="Times New Roman" w:cs="Times New Roman"/>
          <w:sz w:val="28"/>
          <w:szCs w:val="28"/>
        </w:rPr>
        <w:t xml:space="preserve"> охват вакцинацией против кори, краснухи, эпидемического паротита </w:t>
      </w:r>
      <w:r w:rsidR="005D57E3" w:rsidRPr="00FF13D6">
        <w:rPr>
          <w:rFonts w:ascii="Times New Roman" w:hAnsi="Times New Roman" w:cs="Times New Roman"/>
          <w:sz w:val="28"/>
          <w:szCs w:val="28"/>
        </w:rPr>
        <w:br/>
      </w:r>
      <w:r w:rsidRPr="00FF13D6">
        <w:rPr>
          <w:rFonts w:ascii="Times New Roman" w:hAnsi="Times New Roman" w:cs="Times New Roman"/>
          <w:sz w:val="28"/>
          <w:szCs w:val="28"/>
        </w:rPr>
        <w:t>в 24 мес</w:t>
      </w:r>
      <w:r w:rsidR="0055371C" w:rsidRPr="00FF13D6">
        <w:rPr>
          <w:rFonts w:ascii="Times New Roman" w:hAnsi="Times New Roman" w:cs="Times New Roman"/>
          <w:sz w:val="28"/>
          <w:szCs w:val="28"/>
        </w:rPr>
        <w:t>.</w:t>
      </w:r>
      <w:r w:rsidRPr="00FF13D6">
        <w:rPr>
          <w:rFonts w:ascii="Times New Roman" w:hAnsi="Times New Roman" w:cs="Times New Roman"/>
          <w:sz w:val="28"/>
          <w:szCs w:val="28"/>
        </w:rPr>
        <w:t xml:space="preserve"> – 97,</w:t>
      </w:r>
      <w:r w:rsidR="0055371C" w:rsidRPr="00FF13D6">
        <w:rPr>
          <w:rFonts w:ascii="Times New Roman" w:hAnsi="Times New Roman" w:cs="Times New Roman"/>
          <w:sz w:val="28"/>
          <w:szCs w:val="28"/>
        </w:rPr>
        <w:t>3</w:t>
      </w:r>
      <w:r w:rsidRPr="00FF13D6">
        <w:rPr>
          <w:rFonts w:ascii="Times New Roman" w:hAnsi="Times New Roman" w:cs="Times New Roman"/>
          <w:sz w:val="28"/>
          <w:szCs w:val="28"/>
        </w:rPr>
        <w:t xml:space="preserve">%, ревакцинацией против кори, краснухи, эпидемического паротита </w:t>
      </w:r>
      <w:r w:rsidR="005D57E3" w:rsidRPr="00FF13D6">
        <w:rPr>
          <w:rFonts w:ascii="Times New Roman" w:hAnsi="Times New Roman" w:cs="Times New Roman"/>
          <w:sz w:val="28"/>
          <w:szCs w:val="28"/>
        </w:rPr>
        <w:br/>
      </w:r>
      <w:r w:rsidRPr="00FF13D6">
        <w:rPr>
          <w:rFonts w:ascii="Times New Roman" w:hAnsi="Times New Roman" w:cs="Times New Roman"/>
          <w:sz w:val="28"/>
          <w:szCs w:val="28"/>
        </w:rPr>
        <w:t>в 6 лет – 96,</w:t>
      </w:r>
      <w:r w:rsidR="0055371C" w:rsidRPr="00FF13D6">
        <w:rPr>
          <w:rFonts w:ascii="Times New Roman" w:hAnsi="Times New Roman" w:cs="Times New Roman"/>
          <w:sz w:val="28"/>
          <w:szCs w:val="28"/>
        </w:rPr>
        <w:t>1</w:t>
      </w:r>
      <w:r w:rsidRPr="00FF13D6">
        <w:rPr>
          <w:rFonts w:ascii="Times New Roman" w:hAnsi="Times New Roman" w:cs="Times New Roman"/>
          <w:sz w:val="28"/>
          <w:szCs w:val="28"/>
        </w:rPr>
        <w:t>%,</w:t>
      </w:r>
      <w:r w:rsidR="002004B2" w:rsidRPr="00FF13D6">
        <w:rPr>
          <w:rFonts w:ascii="Times New Roman" w:hAnsi="Times New Roman" w:cs="Times New Roman"/>
          <w:sz w:val="28"/>
          <w:szCs w:val="28"/>
        </w:rPr>
        <w:t xml:space="preserve"> соответственно);</w:t>
      </w:r>
    </w:p>
    <w:p w14:paraId="67854C73" w14:textId="77777777" w:rsidR="00AC5CB1" w:rsidRPr="00FF13D6" w:rsidRDefault="00AC5CB1"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hAnsi="Times New Roman" w:cs="Times New Roman"/>
          <w:sz w:val="28"/>
          <w:szCs w:val="28"/>
        </w:rPr>
        <w:t>против гепатита В детей в декретированном</w:t>
      </w:r>
      <w:r w:rsidR="002004B2" w:rsidRPr="00FF13D6">
        <w:rPr>
          <w:rFonts w:ascii="Times New Roman" w:hAnsi="Times New Roman" w:cs="Times New Roman"/>
          <w:sz w:val="28"/>
          <w:szCs w:val="28"/>
        </w:rPr>
        <w:t xml:space="preserve"> возрасте (1 год) составил 96,9</w:t>
      </w:r>
      <w:r w:rsidRPr="00FF13D6">
        <w:rPr>
          <w:rFonts w:ascii="Times New Roman" w:hAnsi="Times New Roman" w:cs="Times New Roman"/>
          <w:sz w:val="28"/>
          <w:szCs w:val="28"/>
        </w:rPr>
        <w:t>% (20</w:t>
      </w:r>
      <w:r w:rsidR="002004B2" w:rsidRPr="00FF13D6">
        <w:rPr>
          <w:rFonts w:ascii="Times New Roman" w:hAnsi="Times New Roman" w:cs="Times New Roman"/>
          <w:sz w:val="28"/>
          <w:szCs w:val="28"/>
        </w:rPr>
        <w:t>20</w:t>
      </w:r>
      <w:r w:rsidRPr="00FF13D6">
        <w:rPr>
          <w:rFonts w:ascii="Times New Roman" w:hAnsi="Times New Roman" w:cs="Times New Roman"/>
          <w:sz w:val="28"/>
          <w:szCs w:val="28"/>
        </w:rPr>
        <w:t xml:space="preserve"> г. – 9</w:t>
      </w:r>
      <w:r w:rsidR="002004B2" w:rsidRPr="00FF13D6">
        <w:rPr>
          <w:rFonts w:ascii="Times New Roman" w:hAnsi="Times New Roman" w:cs="Times New Roman"/>
          <w:sz w:val="28"/>
          <w:szCs w:val="28"/>
        </w:rPr>
        <w:t>6</w:t>
      </w:r>
      <w:r w:rsidRPr="00FF13D6">
        <w:rPr>
          <w:rFonts w:ascii="Times New Roman" w:hAnsi="Times New Roman" w:cs="Times New Roman"/>
          <w:sz w:val="28"/>
          <w:szCs w:val="28"/>
        </w:rPr>
        <w:t>,</w:t>
      </w:r>
      <w:r w:rsidR="002004B2" w:rsidRPr="00FF13D6">
        <w:rPr>
          <w:rFonts w:ascii="Times New Roman" w:hAnsi="Times New Roman" w:cs="Times New Roman"/>
          <w:sz w:val="28"/>
          <w:szCs w:val="28"/>
        </w:rPr>
        <w:t>7%);</w:t>
      </w:r>
    </w:p>
    <w:p w14:paraId="7FD2D3A1" w14:textId="77777777" w:rsidR="00AC5CB1" w:rsidRPr="00FF13D6" w:rsidRDefault="00AC5CB1"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hAnsi="Times New Roman" w:cs="Times New Roman"/>
          <w:sz w:val="28"/>
          <w:szCs w:val="28"/>
        </w:rPr>
        <w:t xml:space="preserve">пневмококковой инфекции в декретированном возрасте (в 1 год) </w:t>
      </w:r>
      <w:r w:rsidR="002004B2" w:rsidRPr="00FF13D6">
        <w:rPr>
          <w:rFonts w:ascii="Times New Roman" w:hAnsi="Times New Roman" w:cs="Times New Roman"/>
          <w:sz w:val="28"/>
          <w:szCs w:val="28"/>
        </w:rPr>
        <w:t>увеличился</w:t>
      </w:r>
      <w:r w:rsidRPr="00FF13D6">
        <w:rPr>
          <w:rFonts w:ascii="Times New Roman" w:hAnsi="Times New Roman" w:cs="Times New Roman"/>
          <w:sz w:val="28"/>
          <w:szCs w:val="28"/>
        </w:rPr>
        <w:t xml:space="preserve"> на 0,</w:t>
      </w:r>
      <w:r w:rsidR="002004B2" w:rsidRPr="00FF13D6">
        <w:rPr>
          <w:rFonts w:ascii="Times New Roman" w:hAnsi="Times New Roman" w:cs="Times New Roman"/>
          <w:sz w:val="28"/>
          <w:szCs w:val="28"/>
        </w:rPr>
        <w:t>7</w:t>
      </w:r>
      <w:r w:rsidRPr="00FF13D6">
        <w:rPr>
          <w:rFonts w:ascii="Times New Roman" w:hAnsi="Times New Roman" w:cs="Times New Roman"/>
          <w:sz w:val="28"/>
          <w:szCs w:val="28"/>
        </w:rPr>
        <w:t>%: с 9</w:t>
      </w:r>
      <w:r w:rsidR="002004B2" w:rsidRPr="00FF13D6">
        <w:rPr>
          <w:rFonts w:ascii="Times New Roman" w:hAnsi="Times New Roman" w:cs="Times New Roman"/>
          <w:sz w:val="28"/>
          <w:szCs w:val="28"/>
        </w:rPr>
        <w:t>3</w:t>
      </w:r>
      <w:r w:rsidRPr="00FF13D6">
        <w:rPr>
          <w:rFonts w:ascii="Times New Roman" w:hAnsi="Times New Roman" w:cs="Times New Roman"/>
          <w:sz w:val="28"/>
          <w:szCs w:val="28"/>
        </w:rPr>
        <w:t>,</w:t>
      </w:r>
      <w:r w:rsidR="002004B2" w:rsidRPr="00FF13D6">
        <w:rPr>
          <w:rFonts w:ascii="Times New Roman" w:hAnsi="Times New Roman" w:cs="Times New Roman"/>
          <w:sz w:val="28"/>
          <w:szCs w:val="28"/>
        </w:rPr>
        <w:t>5</w:t>
      </w:r>
      <w:r w:rsidRPr="00FF13D6">
        <w:rPr>
          <w:rFonts w:ascii="Times New Roman" w:hAnsi="Times New Roman" w:cs="Times New Roman"/>
          <w:sz w:val="28"/>
          <w:szCs w:val="28"/>
        </w:rPr>
        <w:t>% (20</w:t>
      </w:r>
      <w:r w:rsidR="002004B2" w:rsidRPr="00FF13D6">
        <w:rPr>
          <w:rFonts w:ascii="Times New Roman" w:hAnsi="Times New Roman" w:cs="Times New Roman"/>
          <w:sz w:val="28"/>
          <w:szCs w:val="28"/>
        </w:rPr>
        <w:t>20</w:t>
      </w:r>
      <w:r w:rsidRPr="00FF13D6">
        <w:rPr>
          <w:rFonts w:ascii="Times New Roman" w:hAnsi="Times New Roman" w:cs="Times New Roman"/>
          <w:sz w:val="28"/>
          <w:szCs w:val="28"/>
        </w:rPr>
        <w:t xml:space="preserve"> г.) до 9</w:t>
      </w:r>
      <w:r w:rsidR="002004B2" w:rsidRPr="00FF13D6">
        <w:rPr>
          <w:rFonts w:ascii="Times New Roman" w:hAnsi="Times New Roman" w:cs="Times New Roman"/>
          <w:sz w:val="28"/>
          <w:szCs w:val="28"/>
        </w:rPr>
        <w:t>4</w:t>
      </w:r>
      <w:r w:rsidRPr="00FF13D6">
        <w:rPr>
          <w:rFonts w:ascii="Times New Roman" w:hAnsi="Times New Roman" w:cs="Times New Roman"/>
          <w:sz w:val="28"/>
          <w:szCs w:val="28"/>
        </w:rPr>
        <w:t>,</w:t>
      </w:r>
      <w:r w:rsidR="002004B2" w:rsidRPr="00FF13D6">
        <w:rPr>
          <w:rFonts w:ascii="Times New Roman" w:hAnsi="Times New Roman" w:cs="Times New Roman"/>
          <w:sz w:val="28"/>
          <w:szCs w:val="28"/>
        </w:rPr>
        <w:t>2</w:t>
      </w:r>
      <w:r w:rsidRPr="00FF13D6">
        <w:rPr>
          <w:rFonts w:ascii="Times New Roman" w:hAnsi="Times New Roman" w:cs="Times New Roman"/>
          <w:sz w:val="28"/>
          <w:szCs w:val="28"/>
        </w:rPr>
        <w:t>% (202</w:t>
      </w:r>
      <w:r w:rsidR="002004B2" w:rsidRPr="00FF13D6">
        <w:rPr>
          <w:rFonts w:ascii="Times New Roman" w:hAnsi="Times New Roman" w:cs="Times New Roman"/>
          <w:sz w:val="28"/>
          <w:szCs w:val="28"/>
        </w:rPr>
        <w:t>1</w:t>
      </w:r>
      <w:r w:rsidRPr="00FF13D6">
        <w:rPr>
          <w:rFonts w:ascii="Times New Roman" w:hAnsi="Times New Roman" w:cs="Times New Roman"/>
          <w:sz w:val="28"/>
          <w:szCs w:val="28"/>
        </w:rPr>
        <w:t xml:space="preserve"> г.), ревакцинацией (в 2 года) – увеличился на 2%: с 8</w:t>
      </w:r>
      <w:r w:rsidR="00C73471" w:rsidRPr="00FF13D6">
        <w:rPr>
          <w:rFonts w:ascii="Times New Roman" w:hAnsi="Times New Roman" w:cs="Times New Roman"/>
          <w:sz w:val="28"/>
          <w:szCs w:val="28"/>
        </w:rPr>
        <w:t>7</w:t>
      </w:r>
      <w:r w:rsidRPr="00FF13D6">
        <w:rPr>
          <w:rFonts w:ascii="Times New Roman" w:hAnsi="Times New Roman" w:cs="Times New Roman"/>
          <w:sz w:val="28"/>
          <w:szCs w:val="28"/>
        </w:rPr>
        <w:t>,3% (20</w:t>
      </w:r>
      <w:r w:rsidR="00C73471" w:rsidRPr="00FF13D6">
        <w:rPr>
          <w:rFonts w:ascii="Times New Roman" w:hAnsi="Times New Roman" w:cs="Times New Roman"/>
          <w:sz w:val="28"/>
          <w:szCs w:val="28"/>
        </w:rPr>
        <w:t>20</w:t>
      </w:r>
      <w:r w:rsidRPr="00FF13D6">
        <w:rPr>
          <w:rFonts w:ascii="Times New Roman" w:hAnsi="Times New Roman" w:cs="Times New Roman"/>
          <w:sz w:val="28"/>
          <w:szCs w:val="28"/>
        </w:rPr>
        <w:t xml:space="preserve"> г.) до 8</w:t>
      </w:r>
      <w:r w:rsidR="00C73471" w:rsidRPr="00FF13D6">
        <w:rPr>
          <w:rFonts w:ascii="Times New Roman" w:hAnsi="Times New Roman" w:cs="Times New Roman"/>
          <w:sz w:val="28"/>
          <w:szCs w:val="28"/>
        </w:rPr>
        <w:t>9</w:t>
      </w:r>
      <w:r w:rsidRPr="00FF13D6">
        <w:rPr>
          <w:rFonts w:ascii="Times New Roman" w:hAnsi="Times New Roman" w:cs="Times New Roman"/>
          <w:sz w:val="28"/>
          <w:szCs w:val="28"/>
        </w:rPr>
        <w:t>,3% (202</w:t>
      </w:r>
      <w:r w:rsidR="00C73471" w:rsidRPr="00FF13D6">
        <w:rPr>
          <w:rFonts w:ascii="Times New Roman" w:hAnsi="Times New Roman" w:cs="Times New Roman"/>
          <w:sz w:val="28"/>
          <w:szCs w:val="28"/>
        </w:rPr>
        <w:t>1</w:t>
      </w:r>
      <w:r w:rsidRPr="00FF13D6">
        <w:rPr>
          <w:rFonts w:ascii="Times New Roman" w:hAnsi="Times New Roman" w:cs="Times New Roman"/>
          <w:sz w:val="28"/>
          <w:szCs w:val="28"/>
        </w:rPr>
        <w:t xml:space="preserve"> г.).</w:t>
      </w:r>
    </w:p>
    <w:p w14:paraId="560DD15B" w14:textId="77777777" w:rsidR="00AC5CB1" w:rsidRPr="00FF13D6" w:rsidRDefault="00AC5CB1"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hAnsi="Times New Roman" w:cs="Times New Roman"/>
          <w:color w:val="000000"/>
          <w:sz w:val="28"/>
          <w:szCs w:val="28"/>
        </w:rPr>
        <w:t xml:space="preserve">Предупреждение распространения ВИЧ-инфекции </w:t>
      </w:r>
      <w:r w:rsidR="00E466F5" w:rsidRPr="00FF13D6">
        <w:rPr>
          <w:rFonts w:ascii="Times New Roman" w:hAnsi="Times New Roman" w:cs="Times New Roman"/>
          <w:color w:val="000000"/>
          <w:sz w:val="28"/>
          <w:szCs w:val="28"/>
        </w:rPr>
        <w:t xml:space="preserve">в Российской Федерации </w:t>
      </w:r>
      <w:r w:rsidRPr="00FF13D6">
        <w:rPr>
          <w:rFonts w:ascii="Times New Roman" w:hAnsi="Times New Roman" w:cs="Times New Roman"/>
          <w:color w:val="000000"/>
          <w:sz w:val="28"/>
          <w:szCs w:val="28"/>
        </w:rPr>
        <w:t xml:space="preserve">продолжает оставаться одной из </w:t>
      </w:r>
      <w:r w:rsidR="00E466F5" w:rsidRPr="00FF13D6">
        <w:rPr>
          <w:rFonts w:ascii="Times New Roman" w:hAnsi="Times New Roman" w:cs="Times New Roman"/>
          <w:color w:val="000000"/>
          <w:sz w:val="28"/>
          <w:szCs w:val="28"/>
        </w:rPr>
        <w:t xml:space="preserve">актуальных задач здравоохранения и закреплено </w:t>
      </w:r>
      <w:r w:rsidRPr="00FF13D6">
        <w:rPr>
          <w:rFonts w:ascii="Times New Roman" w:hAnsi="Times New Roman" w:cs="Times New Roman"/>
          <w:color w:val="000000"/>
          <w:sz w:val="28"/>
          <w:szCs w:val="28"/>
        </w:rPr>
        <w:t>в Государственной стратегии по противодействию распространению ВИЧ</w:t>
      </w:r>
      <w:r w:rsidR="00E466F5" w:rsidRPr="00FF13D6">
        <w:rPr>
          <w:rFonts w:ascii="Times New Roman" w:hAnsi="Times New Roman" w:cs="Times New Roman"/>
          <w:color w:val="000000"/>
          <w:sz w:val="28"/>
          <w:szCs w:val="28"/>
        </w:rPr>
        <w:t xml:space="preserve">-инфекции в Российской Федерации </w:t>
      </w:r>
      <w:r w:rsidRPr="00FF13D6">
        <w:rPr>
          <w:rFonts w:ascii="Times New Roman" w:hAnsi="Times New Roman" w:cs="Times New Roman"/>
          <w:color w:val="000000"/>
          <w:sz w:val="28"/>
          <w:szCs w:val="28"/>
        </w:rPr>
        <w:t>до 2030 г</w:t>
      </w:r>
      <w:r w:rsidR="005D57E3" w:rsidRPr="00FF13D6">
        <w:rPr>
          <w:rFonts w:ascii="Times New Roman" w:hAnsi="Times New Roman" w:cs="Times New Roman"/>
          <w:color w:val="000000"/>
          <w:sz w:val="28"/>
          <w:szCs w:val="28"/>
        </w:rPr>
        <w:t>.</w:t>
      </w:r>
      <w:r w:rsidRPr="00FF13D6">
        <w:rPr>
          <w:rFonts w:ascii="Times New Roman" w:hAnsi="Times New Roman" w:cs="Times New Roman"/>
          <w:color w:val="000000"/>
          <w:sz w:val="28"/>
          <w:szCs w:val="28"/>
        </w:rPr>
        <w:t>, утвержденной распоряжением Правительства Российской Федерации от 21 декабря 2020 г. № 3468-р.</w:t>
      </w:r>
    </w:p>
    <w:p w14:paraId="6B25724A" w14:textId="77777777" w:rsidR="00AC5CB1" w:rsidRPr="00FF13D6" w:rsidRDefault="00AC5CB1"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hAnsi="Times New Roman" w:cs="Times New Roman"/>
          <w:color w:val="000000"/>
          <w:sz w:val="28"/>
          <w:szCs w:val="28"/>
        </w:rPr>
        <w:t xml:space="preserve">По данным </w:t>
      </w:r>
      <w:r w:rsidR="00E466F5" w:rsidRPr="00FF13D6">
        <w:rPr>
          <w:rFonts w:ascii="Times New Roman" w:hAnsi="Times New Roman" w:cs="Times New Roman"/>
          <w:color w:val="000000"/>
          <w:sz w:val="28"/>
          <w:szCs w:val="28"/>
        </w:rPr>
        <w:t xml:space="preserve">ведомственного </w:t>
      </w:r>
      <w:r w:rsidRPr="00FF13D6">
        <w:rPr>
          <w:rFonts w:ascii="Times New Roman" w:hAnsi="Times New Roman" w:cs="Times New Roman"/>
          <w:color w:val="000000"/>
          <w:sz w:val="28"/>
          <w:szCs w:val="28"/>
        </w:rPr>
        <w:t>мониторинга Роспотребнадзора, за весь период наблюдения к 31 декабря 202</w:t>
      </w:r>
      <w:r w:rsidR="00E466F5" w:rsidRPr="00FF13D6">
        <w:rPr>
          <w:rFonts w:ascii="Times New Roman" w:hAnsi="Times New Roman" w:cs="Times New Roman"/>
          <w:color w:val="000000"/>
          <w:sz w:val="28"/>
          <w:szCs w:val="28"/>
        </w:rPr>
        <w:t>1</w:t>
      </w:r>
      <w:r w:rsidRPr="00FF13D6">
        <w:rPr>
          <w:rFonts w:ascii="Times New Roman" w:hAnsi="Times New Roman" w:cs="Times New Roman"/>
          <w:color w:val="000000"/>
          <w:sz w:val="28"/>
          <w:szCs w:val="28"/>
        </w:rPr>
        <w:t xml:space="preserve"> г</w:t>
      </w:r>
      <w:r w:rsidR="005D57E3" w:rsidRPr="00FF13D6">
        <w:rPr>
          <w:rFonts w:ascii="Times New Roman" w:hAnsi="Times New Roman" w:cs="Times New Roman"/>
          <w:color w:val="000000"/>
          <w:sz w:val="28"/>
          <w:szCs w:val="28"/>
        </w:rPr>
        <w:t>.</w:t>
      </w:r>
      <w:r w:rsidRPr="00FF13D6">
        <w:rPr>
          <w:rFonts w:ascii="Times New Roman" w:hAnsi="Times New Roman" w:cs="Times New Roman"/>
          <w:color w:val="000000"/>
          <w:sz w:val="28"/>
          <w:szCs w:val="28"/>
        </w:rPr>
        <w:t xml:space="preserve"> в Российской Федерации от ВИЧ-инфицированных матерей родилось 2</w:t>
      </w:r>
      <w:r w:rsidR="00E466F5" w:rsidRPr="00FF13D6">
        <w:rPr>
          <w:rFonts w:ascii="Times New Roman" w:hAnsi="Times New Roman" w:cs="Times New Roman"/>
          <w:color w:val="000000"/>
          <w:sz w:val="28"/>
          <w:szCs w:val="28"/>
        </w:rPr>
        <w:t>32</w:t>
      </w:r>
      <w:r w:rsidRPr="00FF13D6">
        <w:rPr>
          <w:rFonts w:ascii="Times New Roman" w:hAnsi="Times New Roman" w:cs="Times New Roman"/>
          <w:color w:val="000000"/>
          <w:sz w:val="28"/>
          <w:szCs w:val="28"/>
        </w:rPr>
        <w:t> </w:t>
      </w:r>
      <w:r w:rsidR="00E466F5" w:rsidRPr="00FF13D6">
        <w:rPr>
          <w:rFonts w:ascii="Times New Roman" w:hAnsi="Times New Roman" w:cs="Times New Roman"/>
          <w:color w:val="000000"/>
          <w:sz w:val="28"/>
          <w:szCs w:val="28"/>
        </w:rPr>
        <w:t>285</w:t>
      </w:r>
      <w:r w:rsidRPr="00FF13D6">
        <w:rPr>
          <w:rFonts w:ascii="Times New Roman" w:hAnsi="Times New Roman" w:cs="Times New Roman"/>
          <w:color w:val="000000"/>
          <w:sz w:val="28"/>
          <w:szCs w:val="28"/>
        </w:rPr>
        <w:t xml:space="preserve"> детей, у 1</w:t>
      </w:r>
      <w:r w:rsidR="009A51BE" w:rsidRPr="00FF13D6">
        <w:rPr>
          <w:rFonts w:ascii="Times New Roman" w:hAnsi="Times New Roman" w:cs="Times New Roman"/>
          <w:color w:val="000000"/>
          <w:sz w:val="28"/>
          <w:szCs w:val="28"/>
        </w:rPr>
        <w:t>2</w:t>
      </w:r>
      <w:r w:rsidRPr="00FF13D6">
        <w:rPr>
          <w:rFonts w:ascii="Times New Roman" w:hAnsi="Times New Roman" w:cs="Times New Roman"/>
          <w:color w:val="000000"/>
          <w:sz w:val="28"/>
          <w:szCs w:val="28"/>
        </w:rPr>
        <w:t> </w:t>
      </w:r>
      <w:r w:rsidR="009A51BE" w:rsidRPr="00FF13D6">
        <w:rPr>
          <w:rFonts w:ascii="Times New Roman" w:hAnsi="Times New Roman" w:cs="Times New Roman"/>
          <w:color w:val="000000"/>
          <w:sz w:val="28"/>
          <w:szCs w:val="28"/>
        </w:rPr>
        <w:t>107</w:t>
      </w:r>
      <w:r w:rsidRPr="00FF13D6">
        <w:rPr>
          <w:rFonts w:ascii="Times New Roman" w:hAnsi="Times New Roman" w:cs="Times New Roman"/>
          <w:color w:val="000000"/>
          <w:sz w:val="28"/>
          <w:szCs w:val="28"/>
        </w:rPr>
        <w:t xml:space="preserve"> из них была подтверждена ВИЧ-инфекция (5,</w:t>
      </w:r>
      <w:r w:rsidR="009A51BE" w:rsidRPr="00FF13D6">
        <w:rPr>
          <w:rFonts w:ascii="Times New Roman" w:hAnsi="Times New Roman" w:cs="Times New Roman"/>
          <w:color w:val="000000"/>
          <w:sz w:val="28"/>
          <w:szCs w:val="28"/>
        </w:rPr>
        <w:t>2</w:t>
      </w:r>
      <w:r w:rsidRPr="00FF13D6">
        <w:rPr>
          <w:rFonts w:ascii="Times New Roman" w:hAnsi="Times New Roman" w:cs="Times New Roman"/>
          <w:color w:val="000000"/>
          <w:sz w:val="28"/>
          <w:szCs w:val="28"/>
        </w:rPr>
        <w:t>%). В 202</w:t>
      </w:r>
      <w:r w:rsidR="009A51BE" w:rsidRPr="00FF13D6">
        <w:rPr>
          <w:rFonts w:ascii="Times New Roman" w:hAnsi="Times New Roman" w:cs="Times New Roman"/>
          <w:color w:val="000000"/>
          <w:sz w:val="28"/>
          <w:szCs w:val="28"/>
        </w:rPr>
        <w:t>1</w:t>
      </w:r>
      <w:r w:rsidRPr="00FF13D6">
        <w:rPr>
          <w:rFonts w:ascii="Times New Roman" w:hAnsi="Times New Roman" w:cs="Times New Roman"/>
          <w:color w:val="000000"/>
          <w:sz w:val="28"/>
          <w:szCs w:val="28"/>
        </w:rPr>
        <w:t xml:space="preserve"> г</w:t>
      </w:r>
      <w:r w:rsidR="005D57E3" w:rsidRPr="00FF13D6">
        <w:rPr>
          <w:rFonts w:ascii="Times New Roman" w:hAnsi="Times New Roman" w:cs="Times New Roman"/>
          <w:color w:val="000000"/>
          <w:sz w:val="28"/>
          <w:szCs w:val="28"/>
        </w:rPr>
        <w:t>.</w:t>
      </w:r>
      <w:r w:rsidRPr="00FF13D6">
        <w:rPr>
          <w:rFonts w:ascii="Times New Roman" w:hAnsi="Times New Roman" w:cs="Times New Roman"/>
          <w:color w:val="000000"/>
          <w:sz w:val="28"/>
          <w:szCs w:val="28"/>
        </w:rPr>
        <w:t xml:space="preserve"> в Росси</w:t>
      </w:r>
      <w:r w:rsidR="009A51BE" w:rsidRPr="00FF13D6">
        <w:rPr>
          <w:rFonts w:ascii="Times New Roman" w:hAnsi="Times New Roman" w:cs="Times New Roman"/>
          <w:color w:val="000000"/>
          <w:sz w:val="28"/>
          <w:szCs w:val="28"/>
        </w:rPr>
        <w:t>йской Федерации</w:t>
      </w:r>
      <w:r w:rsidRPr="00FF13D6">
        <w:rPr>
          <w:rFonts w:ascii="Times New Roman" w:hAnsi="Times New Roman" w:cs="Times New Roman"/>
          <w:color w:val="000000"/>
          <w:sz w:val="28"/>
          <w:szCs w:val="28"/>
        </w:rPr>
        <w:t xml:space="preserve"> от ВИЧ-инфицированных матерей родилось 13 </w:t>
      </w:r>
      <w:r w:rsidR="009A51BE" w:rsidRPr="00FF13D6">
        <w:rPr>
          <w:rFonts w:ascii="Times New Roman" w:hAnsi="Times New Roman" w:cs="Times New Roman"/>
          <w:color w:val="000000"/>
          <w:sz w:val="28"/>
          <w:szCs w:val="28"/>
        </w:rPr>
        <w:t>203</w:t>
      </w:r>
      <w:r w:rsidRPr="00FF13D6">
        <w:rPr>
          <w:rFonts w:ascii="Times New Roman" w:hAnsi="Times New Roman" w:cs="Times New Roman"/>
          <w:color w:val="000000"/>
          <w:sz w:val="28"/>
          <w:szCs w:val="28"/>
        </w:rPr>
        <w:t xml:space="preserve"> </w:t>
      </w:r>
      <w:r w:rsidR="009A51BE" w:rsidRPr="00FF13D6">
        <w:rPr>
          <w:rFonts w:ascii="Times New Roman" w:hAnsi="Times New Roman" w:cs="Times New Roman"/>
          <w:color w:val="000000"/>
          <w:sz w:val="28"/>
          <w:szCs w:val="28"/>
        </w:rPr>
        <w:t>ребенка</w:t>
      </w:r>
      <w:r w:rsidRPr="00FF13D6">
        <w:rPr>
          <w:rFonts w:ascii="Times New Roman" w:hAnsi="Times New Roman" w:cs="Times New Roman"/>
          <w:color w:val="000000"/>
          <w:sz w:val="28"/>
          <w:szCs w:val="28"/>
        </w:rPr>
        <w:t xml:space="preserve">, из которых у </w:t>
      </w:r>
      <w:r w:rsidR="009A51BE" w:rsidRPr="00FF13D6">
        <w:rPr>
          <w:rFonts w:ascii="Times New Roman" w:hAnsi="Times New Roman" w:cs="Times New Roman"/>
          <w:color w:val="000000"/>
          <w:sz w:val="28"/>
          <w:szCs w:val="28"/>
        </w:rPr>
        <w:t>146</w:t>
      </w:r>
      <w:r w:rsidRPr="00FF13D6">
        <w:rPr>
          <w:rFonts w:ascii="Times New Roman" w:hAnsi="Times New Roman" w:cs="Times New Roman"/>
          <w:color w:val="000000"/>
          <w:sz w:val="28"/>
          <w:szCs w:val="28"/>
        </w:rPr>
        <w:t xml:space="preserve"> детей (1,</w:t>
      </w:r>
      <w:r w:rsidR="009A51BE" w:rsidRPr="00FF13D6">
        <w:rPr>
          <w:rFonts w:ascii="Times New Roman" w:hAnsi="Times New Roman" w:cs="Times New Roman"/>
          <w:color w:val="000000"/>
          <w:sz w:val="28"/>
          <w:szCs w:val="28"/>
        </w:rPr>
        <w:t>1</w:t>
      </w:r>
      <w:r w:rsidRPr="00FF13D6">
        <w:rPr>
          <w:rFonts w:ascii="Times New Roman" w:hAnsi="Times New Roman" w:cs="Times New Roman"/>
          <w:color w:val="000000"/>
          <w:sz w:val="28"/>
          <w:szCs w:val="28"/>
        </w:rPr>
        <w:t xml:space="preserve">%) подтверждена </w:t>
      </w:r>
      <w:r w:rsidR="005D57E3" w:rsidRPr="00FF13D6">
        <w:rPr>
          <w:rFonts w:ascii="Times New Roman" w:hAnsi="Times New Roman" w:cs="Times New Roman"/>
          <w:color w:val="000000"/>
          <w:sz w:val="28"/>
          <w:szCs w:val="28"/>
        </w:rPr>
        <w:br/>
      </w:r>
      <w:r w:rsidRPr="00FF13D6">
        <w:rPr>
          <w:rFonts w:ascii="Times New Roman" w:hAnsi="Times New Roman" w:cs="Times New Roman"/>
          <w:color w:val="000000"/>
          <w:sz w:val="28"/>
          <w:szCs w:val="28"/>
        </w:rPr>
        <w:t>ВИЧ-инфекция.</w:t>
      </w:r>
    </w:p>
    <w:p w14:paraId="169E5FBF" w14:textId="77777777" w:rsidR="00AC5CB1" w:rsidRPr="00FF13D6" w:rsidRDefault="00AC5CB1"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hAnsi="Times New Roman" w:cs="Times New Roman"/>
          <w:color w:val="000000"/>
          <w:sz w:val="28"/>
          <w:szCs w:val="28"/>
        </w:rPr>
        <w:t>В 202</w:t>
      </w:r>
      <w:r w:rsidR="00D42E88" w:rsidRPr="00FF13D6">
        <w:rPr>
          <w:rFonts w:ascii="Times New Roman" w:hAnsi="Times New Roman" w:cs="Times New Roman"/>
          <w:color w:val="000000"/>
          <w:sz w:val="28"/>
          <w:szCs w:val="28"/>
        </w:rPr>
        <w:t>1</w:t>
      </w:r>
      <w:r w:rsidRPr="00FF13D6">
        <w:rPr>
          <w:rFonts w:ascii="Times New Roman" w:hAnsi="Times New Roman" w:cs="Times New Roman"/>
          <w:color w:val="000000"/>
          <w:sz w:val="28"/>
          <w:szCs w:val="28"/>
        </w:rPr>
        <w:t xml:space="preserve"> г</w:t>
      </w:r>
      <w:r w:rsidR="005D57E3" w:rsidRPr="00FF13D6">
        <w:rPr>
          <w:rFonts w:ascii="Times New Roman" w:hAnsi="Times New Roman" w:cs="Times New Roman"/>
          <w:color w:val="000000"/>
          <w:sz w:val="28"/>
          <w:szCs w:val="28"/>
        </w:rPr>
        <w:t>.</w:t>
      </w:r>
      <w:r w:rsidRPr="00FF13D6">
        <w:rPr>
          <w:rFonts w:ascii="Times New Roman" w:hAnsi="Times New Roman" w:cs="Times New Roman"/>
          <w:color w:val="000000"/>
          <w:sz w:val="28"/>
          <w:szCs w:val="28"/>
        </w:rPr>
        <w:t xml:space="preserve"> в Российской Федерации выявлено 17 </w:t>
      </w:r>
      <w:r w:rsidR="00D42E88" w:rsidRPr="00FF13D6">
        <w:rPr>
          <w:rFonts w:ascii="Times New Roman" w:hAnsi="Times New Roman" w:cs="Times New Roman"/>
          <w:color w:val="000000"/>
          <w:sz w:val="28"/>
          <w:szCs w:val="28"/>
        </w:rPr>
        <w:t>146</w:t>
      </w:r>
      <w:r w:rsidRPr="00FF13D6">
        <w:rPr>
          <w:rFonts w:ascii="Times New Roman" w:hAnsi="Times New Roman" w:cs="Times New Roman"/>
          <w:color w:val="000000"/>
          <w:sz w:val="28"/>
          <w:szCs w:val="28"/>
        </w:rPr>
        <w:t xml:space="preserve"> беременных женщин с ВИЧ-инфекцией, из них 7</w:t>
      </w:r>
      <w:r w:rsidR="00D42E88" w:rsidRPr="00FF13D6">
        <w:rPr>
          <w:rFonts w:ascii="Times New Roman" w:hAnsi="Times New Roman" w:cs="Times New Roman"/>
          <w:color w:val="000000"/>
          <w:sz w:val="28"/>
          <w:szCs w:val="28"/>
        </w:rPr>
        <w:t>6</w:t>
      </w:r>
      <w:r w:rsidRPr="00FF13D6">
        <w:rPr>
          <w:rFonts w:ascii="Times New Roman" w:hAnsi="Times New Roman" w:cs="Times New Roman"/>
          <w:color w:val="000000"/>
          <w:sz w:val="28"/>
          <w:szCs w:val="28"/>
        </w:rPr>
        <w:t>,</w:t>
      </w:r>
      <w:r w:rsidR="00D42E88" w:rsidRPr="00FF13D6">
        <w:rPr>
          <w:rFonts w:ascii="Times New Roman" w:hAnsi="Times New Roman" w:cs="Times New Roman"/>
          <w:color w:val="000000"/>
          <w:sz w:val="28"/>
          <w:szCs w:val="28"/>
        </w:rPr>
        <w:t>7</w:t>
      </w:r>
      <w:r w:rsidRPr="00FF13D6">
        <w:rPr>
          <w:rFonts w:ascii="Times New Roman" w:hAnsi="Times New Roman" w:cs="Times New Roman"/>
          <w:color w:val="000000"/>
          <w:sz w:val="28"/>
          <w:szCs w:val="28"/>
        </w:rPr>
        <w:t>% или 13 1</w:t>
      </w:r>
      <w:r w:rsidR="00D42E88" w:rsidRPr="00FF13D6">
        <w:rPr>
          <w:rFonts w:ascii="Times New Roman" w:hAnsi="Times New Roman" w:cs="Times New Roman"/>
          <w:color w:val="000000"/>
          <w:sz w:val="28"/>
          <w:szCs w:val="28"/>
        </w:rPr>
        <w:t>68</w:t>
      </w:r>
      <w:r w:rsidRPr="00FF13D6">
        <w:rPr>
          <w:rFonts w:ascii="Times New Roman" w:hAnsi="Times New Roman" w:cs="Times New Roman"/>
          <w:color w:val="000000"/>
          <w:sz w:val="28"/>
          <w:szCs w:val="28"/>
        </w:rPr>
        <w:t xml:space="preserve"> женщин завершили беременность родами. Из них в целях профилактики передачи ВИЧ от матери ребенку антиретровирусные препараты получили 9</w:t>
      </w:r>
      <w:r w:rsidR="00D42E88" w:rsidRPr="00FF13D6">
        <w:rPr>
          <w:rFonts w:ascii="Times New Roman" w:hAnsi="Times New Roman" w:cs="Times New Roman"/>
          <w:color w:val="000000"/>
          <w:sz w:val="28"/>
          <w:szCs w:val="28"/>
        </w:rPr>
        <w:t>4</w:t>
      </w:r>
      <w:r w:rsidRPr="00FF13D6">
        <w:rPr>
          <w:rFonts w:ascii="Times New Roman" w:hAnsi="Times New Roman" w:cs="Times New Roman"/>
          <w:color w:val="000000"/>
          <w:sz w:val="28"/>
          <w:szCs w:val="28"/>
        </w:rPr>
        <w:t>,</w:t>
      </w:r>
      <w:r w:rsidR="00D42E88" w:rsidRPr="00FF13D6">
        <w:rPr>
          <w:rFonts w:ascii="Times New Roman" w:hAnsi="Times New Roman" w:cs="Times New Roman"/>
          <w:color w:val="000000"/>
          <w:sz w:val="28"/>
          <w:szCs w:val="28"/>
        </w:rPr>
        <w:t>2</w:t>
      </w:r>
      <w:r w:rsidRPr="00FF13D6">
        <w:rPr>
          <w:rFonts w:ascii="Times New Roman" w:hAnsi="Times New Roman" w:cs="Times New Roman"/>
          <w:color w:val="000000"/>
          <w:sz w:val="28"/>
          <w:szCs w:val="28"/>
        </w:rPr>
        <w:t xml:space="preserve">% инфицированных беременных женщин. Охват антиретровирусной профилактикой новорожденных составил </w:t>
      </w:r>
      <w:r w:rsidR="00D42E88" w:rsidRPr="00FF13D6">
        <w:rPr>
          <w:rFonts w:ascii="Times New Roman" w:hAnsi="Times New Roman" w:cs="Times New Roman"/>
          <w:color w:val="000000"/>
          <w:sz w:val="28"/>
          <w:szCs w:val="28"/>
        </w:rPr>
        <w:t>99,7</w:t>
      </w:r>
      <w:r w:rsidRPr="00FF13D6">
        <w:rPr>
          <w:rFonts w:ascii="Times New Roman" w:hAnsi="Times New Roman" w:cs="Times New Roman"/>
          <w:color w:val="000000"/>
          <w:sz w:val="28"/>
          <w:szCs w:val="28"/>
        </w:rPr>
        <w:t>%. Охват трехэтапной антиретровирусной профилактикой (пар «мать-ребенок») в 202</w:t>
      </w:r>
      <w:r w:rsidR="00D42E88" w:rsidRPr="00FF13D6">
        <w:rPr>
          <w:rFonts w:ascii="Times New Roman" w:hAnsi="Times New Roman" w:cs="Times New Roman"/>
          <w:color w:val="000000"/>
          <w:sz w:val="28"/>
          <w:szCs w:val="28"/>
        </w:rPr>
        <w:t>1</w:t>
      </w:r>
      <w:r w:rsidRPr="00FF13D6">
        <w:rPr>
          <w:rFonts w:ascii="Times New Roman" w:hAnsi="Times New Roman" w:cs="Times New Roman"/>
          <w:color w:val="000000"/>
          <w:sz w:val="28"/>
          <w:szCs w:val="28"/>
        </w:rPr>
        <w:t xml:space="preserve"> г</w:t>
      </w:r>
      <w:r w:rsidR="000A70E5" w:rsidRPr="00FF13D6">
        <w:rPr>
          <w:rFonts w:ascii="Times New Roman" w:hAnsi="Times New Roman" w:cs="Times New Roman"/>
          <w:color w:val="000000"/>
          <w:sz w:val="28"/>
          <w:szCs w:val="28"/>
        </w:rPr>
        <w:t>.</w:t>
      </w:r>
      <w:r w:rsidRPr="00FF13D6">
        <w:rPr>
          <w:rFonts w:ascii="Times New Roman" w:hAnsi="Times New Roman" w:cs="Times New Roman"/>
          <w:color w:val="000000"/>
          <w:sz w:val="28"/>
          <w:szCs w:val="28"/>
        </w:rPr>
        <w:t xml:space="preserve"> составил 9</w:t>
      </w:r>
      <w:r w:rsidR="00D42E88" w:rsidRPr="00FF13D6">
        <w:rPr>
          <w:rFonts w:ascii="Times New Roman" w:hAnsi="Times New Roman" w:cs="Times New Roman"/>
          <w:color w:val="000000"/>
          <w:sz w:val="28"/>
          <w:szCs w:val="28"/>
        </w:rPr>
        <w:t>4</w:t>
      </w:r>
      <w:r w:rsidRPr="00FF13D6">
        <w:rPr>
          <w:rFonts w:ascii="Times New Roman" w:hAnsi="Times New Roman" w:cs="Times New Roman"/>
          <w:color w:val="000000"/>
          <w:sz w:val="28"/>
          <w:szCs w:val="28"/>
        </w:rPr>
        <w:t>,</w:t>
      </w:r>
      <w:r w:rsidR="00D42E88" w:rsidRPr="00FF13D6">
        <w:rPr>
          <w:rFonts w:ascii="Times New Roman" w:hAnsi="Times New Roman" w:cs="Times New Roman"/>
          <w:color w:val="000000"/>
          <w:sz w:val="28"/>
          <w:szCs w:val="28"/>
        </w:rPr>
        <w:t>7</w:t>
      </w:r>
      <w:r w:rsidRPr="00FF13D6">
        <w:rPr>
          <w:rFonts w:ascii="Times New Roman" w:hAnsi="Times New Roman" w:cs="Times New Roman"/>
          <w:color w:val="000000"/>
          <w:sz w:val="28"/>
          <w:szCs w:val="28"/>
        </w:rPr>
        <w:t>%.</w:t>
      </w:r>
    </w:p>
    <w:p w14:paraId="54CBD45D" w14:textId="77777777" w:rsidR="00FB15A7" w:rsidRPr="00FF13D6" w:rsidRDefault="00AC5CB1"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hAnsi="Times New Roman" w:cs="Times New Roman"/>
          <w:color w:val="000000"/>
          <w:sz w:val="28"/>
          <w:szCs w:val="28"/>
        </w:rPr>
        <w:t xml:space="preserve">Благодаря принимаемым мерам по выявлению и широкому охвату </w:t>
      </w:r>
      <w:r w:rsidRPr="00FF13D6">
        <w:rPr>
          <w:rFonts w:ascii="Times New Roman" w:hAnsi="Times New Roman" w:cs="Times New Roman"/>
          <w:color w:val="000000"/>
          <w:sz w:val="28"/>
          <w:szCs w:val="28"/>
        </w:rPr>
        <w:br/>
        <w:t xml:space="preserve">ВИЧ-инфицированных беременных </w:t>
      </w:r>
      <w:proofErr w:type="spellStart"/>
      <w:r w:rsidRPr="00FF13D6">
        <w:rPr>
          <w:rFonts w:ascii="Times New Roman" w:hAnsi="Times New Roman" w:cs="Times New Roman"/>
          <w:color w:val="000000"/>
          <w:sz w:val="28"/>
          <w:szCs w:val="28"/>
        </w:rPr>
        <w:t>химиопрофилактикой</w:t>
      </w:r>
      <w:proofErr w:type="spellEnd"/>
      <w:r w:rsidRPr="00FF13D6">
        <w:rPr>
          <w:rFonts w:ascii="Times New Roman" w:hAnsi="Times New Roman" w:cs="Times New Roman"/>
          <w:color w:val="000000"/>
          <w:sz w:val="28"/>
          <w:szCs w:val="28"/>
        </w:rPr>
        <w:t xml:space="preserve">, показатель вертикальной передачи ВИЧ составляет, по данным Минздрава России, </w:t>
      </w:r>
      <w:r w:rsidR="00D42E88" w:rsidRPr="00FF13D6">
        <w:rPr>
          <w:rFonts w:ascii="Times New Roman" w:hAnsi="Times New Roman" w:cs="Times New Roman"/>
          <w:color w:val="000000"/>
          <w:sz w:val="28"/>
          <w:szCs w:val="28"/>
        </w:rPr>
        <w:t>1,</w:t>
      </w:r>
      <w:r w:rsidRPr="00FF13D6">
        <w:rPr>
          <w:rFonts w:ascii="Times New Roman" w:hAnsi="Times New Roman" w:cs="Times New Roman"/>
          <w:color w:val="000000"/>
          <w:sz w:val="28"/>
          <w:szCs w:val="28"/>
        </w:rPr>
        <w:t>2%.</w:t>
      </w:r>
    </w:p>
    <w:p w14:paraId="2A9ED38C" w14:textId="77777777" w:rsidR="009E4C6E" w:rsidRPr="00FF13D6" w:rsidRDefault="009E4C6E" w:rsidP="006C4843">
      <w:pPr>
        <w:pBdr>
          <w:bottom w:val="single" w:sz="6" w:space="6" w:color="FFFFFF"/>
        </w:pBdr>
        <w:shd w:val="clear" w:color="auto" w:fill="FFFFFF"/>
        <w:spacing w:after="0" w:line="312" w:lineRule="auto"/>
        <w:ind w:firstLine="709"/>
        <w:jc w:val="both"/>
        <w:rPr>
          <w:rFonts w:ascii="Times New Roman" w:eastAsia="Calibri" w:hAnsi="Times New Roman" w:cs="Times New Roman"/>
          <w:bCs/>
          <w:sz w:val="28"/>
          <w:szCs w:val="28"/>
        </w:rPr>
      </w:pPr>
      <w:r w:rsidRPr="00FF13D6">
        <w:rPr>
          <w:rFonts w:ascii="Times New Roman" w:eastAsia="Calibri" w:hAnsi="Times New Roman" w:cs="Times New Roman"/>
          <w:bCs/>
          <w:sz w:val="28"/>
          <w:szCs w:val="28"/>
        </w:rPr>
        <w:t>Качество среды обитания является основным критерием здоровья населения, в том числе детского.</w:t>
      </w:r>
    </w:p>
    <w:p w14:paraId="2A265A95" w14:textId="47273D27" w:rsidR="009E4C6E" w:rsidRPr="00FF13D6" w:rsidRDefault="009E4C6E" w:rsidP="006C4843">
      <w:pPr>
        <w:pBdr>
          <w:bottom w:val="single" w:sz="6" w:space="6" w:color="FFFFFF"/>
        </w:pBdr>
        <w:shd w:val="clear" w:color="auto" w:fill="FFFFFF"/>
        <w:spacing w:after="0" w:line="312" w:lineRule="auto"/>
        <w:ind w:firstLine="709"/>
        <w:jc w:val="both"/>
        <w:rPr>
          <w:rFonts w:ascii="Times New Roman" w:eastAsia="Calibri" w:hAnsi="Times New Roman" w:cs="Times New Roman"/>
          <w:bCs/>
          <w:sz w:val="28"/>
          <w:szCs w:val="28"/>
        </w:rPr>
      </w:pPr>
      <w:r w:rsidRPr="00FF13D6">
        <w:rPr>
          <w:rFonts w:ascii="Times New Roman" w:eastAsia="Calibri" w:hAnsi="Times New Roman" w:cs="Times New Roman"/>
          <w:bCs/>
          <w:sz w:val="28"/>
          <w:szCs w:val="28"/>
        </w:rPr>
        <w:t>За правонарушения в области охраны здоровья граждан от воздействия табачного дыма и последствий потребления табака в 2021 г</w:t>
      </w:r>
      <w:r w:rsidR="000A70E5" w:rsidRPr="00FF13D6">
        <w:rPr>
          <w:rFonts w:ascii="Times New Roman" w:eastAsia="Calibri" w:hAnsi="Times New Roman" w:cs="Times New Roman"/>
          <w:bCs/>
          <w:sz w:val="28"/>
          <w:szCs w:val="28"/>
        </w:rPr>
        <w:t>.</w:t>
      </w:r>
      <w:r w:rsidRPr="00FF13D6">
        <w:rPr>
          <w:rFonts w:ascii="Times New Roman" w:eastAsia="Calibri" w:hAnsi="Times New Roman" w:cs="Times New Roman"/>
          <w:bCs/>
          <w:sz w:val="28"/>
          <w:szCs w:val="28"/>
        </w:rPr>
        <w:t xml:space="preserve"> должностными лицами Роспотребнадзора было привлечено к административной ответственности около </w:t>
      </w:r>
      <w:r w:rsidR="000A70E5" w:rsidRPr="00FF13D6">
        <w:rPr>
          <w:rFonts w:ascii="Times New Roman" w:eastAsia="Calibri" w:hAnsi="Times New Roman" w:cs="Times New Roman"/>
          <w:bCs/>
          <w:sz w:val="28"/>
          <w:szCs w:val="28"/>
        </w:rPr>
        <w:br/>
      </w:r>
      <w:r w:rsidRPr="00FF13D6">
        <w:rPr>
          <w:rFonts w:ascii="Times New Roman" w:eastAsia="Calibri" w:hAnsi="Times New Roman" w:cs="Times New Roman"/>
          <w:bCs/>
          <w:sz w:val="28"/>
          <w:szCs w:val="28"/>
        </w:rPr>
        <w:t xml:space="preserve">5,6 тыс. лиц, допустивших их (2020 г. – 5,7 тыс.; 2019 г. – 13,6 тыс.; 2018 г. – 12 тыс.; 2017 г. – 12,6 тыс.; 2016 г. – 12,6 тыс.). Общая сумма назначенных административных штрафов составила около 50 млн рублей (2020 г. – около 84 млн рублей; 2019 г. </w:t>
      </w:r>
      <w:r w:rsidR="002D50D0" w:rsidRPr="00FF13D6">
        <w:rPr>
          <w:rFonts w:ascii="Times New Roman" w:eastAsia="Calibri" w:hAnsi="Times New Roman" w:cs="Times New Roman"/>
          <w:bCs/>
          <w:sz w:val="28"/>
          <w:szCs w:val="28"/>
        </w:rPr>
        <w:t>–</w:t>
      </w:r>
      <w:r w:rsidRPr="00FF13D6">
        <w:rPr>
          <w:rFonts w:ascii="Times New Roman" w:eastAsia="Calibri" w:hAnsi="Times New Roman" w:cs="Times New Roman"/>
          <w:bCs/>
          <w:sz w:val="28"/>
          <w:szCs w:val="28"/>
        </w:rPr>
        <w:t xml:space="preserve"> </w:t>
      </w:r>
      <w:r w:rsidR="002D50D0" w:rsidRPr="00FF13D6">
        <w:rPr>
          <w:rFonts w:ascii="Times New Roman" w:eastAsia="Calibri" w:hAnsi="Times New Roman" w:cs="Times New Roman"/>
          <w:bCs/>
          <w:sz w:val="28"/>
          <w:szCs w:val="28"/>
        </w:rPr>
        <w:t xml:space="preserve">около 145 млн рублей; 2018 г. – около 151 млн рублей; </w:t>
      </w:r>
      <w:r w:rsidR="000D1A5D" w:rsidRPr="00FF13D6">
        <w:rPr>
          <w:rFonts w:ascii="Times New Roman" w:eastAsia="Calibri" w:hAnsi="Times New Roman" w:cs="Times New Roman"/>
          <w:bCs/>
          <w:sz w:val="28"/>
          <w:szCs w:val="28"/>
        </w:rPr>
        <w:br/>
      </w:r>
      <w:r w:rsidR="002D50D0" w:rsidRPr="00FF13D6">
        <w:rPr>
          <w:rFonts w:ascii="Times New Roman" w:eastAsia="Calibri" w:hAnsi="Times New Roman" w:cs="Times New Roman"/>
          <w:bCs/>
          <w:sz w:val="28"/>
          <w:szCs w:val="28"/>
        </w:rPr>
        <w:t>2017 г. – порядка 124 млн рублей; 2016 г. – около 121 млн рублей).</w:t>
      </w:r>
    </w:p>
    <w:p w14:paraId="1C6DCCDD" w14:textId="33970E1D" w:rsidR="002D50D0" w:rsidRPr="00FF13D6" w:rsidRDefault="002D50D0" w:rsidP="006C4843">
      <w:pPr>
        <w:pBdr>
          <w:bottom w:val="single" w:sz="6" w:space="6" w:color="FFFFFF"/>
        </w:pBdr>
        <w:shd w:val="clear" w:color="auto" w:fill="FFFFFF"/>
        <w:spacing w:after="0" w:line="312" w:lineRule="auto"/>
        <w:ind w:firstLine="709"/>
        <w:jc w:val="both"/>
        <w:rPr>
          <w:rFonts w:ascii="Times New Roman" w:eastAsia="Calibri" w:hAnsi="Times New Roman" w:cs="Times New Roman"/>
          <w:bCs/>
          <w:sz w:val="28"/>
          <w:szCs w:val="28"/>
        </w:rPr>
      </w:pPr>
      <w:r w:rsidRPr="00FF13D6">
        <w:rPr>
          <w:rFonts w:ascii="Times New Roman" w:eastAsia="Calibri" w:hAnsi="Times New Roman" w:cs="Times New Roman"/>
          <w:bCs/>
          <w:sz w:val="28"/>
          <w:szCs w:val="28"/>
        </w:rPr>
        <w:t>В 2021 г</w:t>
      </w:r>
      <w:r w:rsidR="000A70E5" w:rsidRPr="00FF13D6">
        <w:rPr>
          <w:rFonts w:ascii="Times New Roman" w:eastAsia="Calibri" w:hAnsi="Times New Roman" w:cs="Times New Roman"/>
          <w:bCs/>
          <w:sz w:val="28"/>
          <w:szCs w:val="28"/>
        </w:rPr>
        <w:t>.</w:t>
      </w:r>
      <w:r w:rsidRPr="00FF13D6">
        <w:rPr>
          <w:rFonts w:ascii="Times New Roman" w:eastAsia="Calibri" w:hAnsi="Times New Roman" w:cs="Times New Roman"/>
          <w:bCs/>
          <w:sz w:val="28"/>
          <w:szCs w:val="28"/>
        </w:rPr>
        <w:t xml:space="preserve"> более 740 лиц было привлечено к административной ответственности в виде штрафов по статье 6.24 КоАП</w:t>
      </w:r>
      <w:r w:rsidR="004C4F52" w:rsidRPr="00FF13D6">
        <w:rPr>
          <w:rFonts w:ascii="Times New Roman" w:eastAsia="Calibri" w:hAnsi="Times New Roman" w:cs="Times New Roman"/>
          <w:bCs/>
          <w:sz w:val="28"/>
          <w:szCs w:val="28"/>
        </w:rPr>
        <w:t xml:space="preserve"> РФ</w:t>
      </w:r>
      <w:r w:rsidRPr="00FF13D6">
        <w:rPr>
          <w:rFonts w:ascii="Times New Roman" w:eastAsia="Calibri" w:hAnsi="Times New Roman" w:cs="Times New Roman"/>
          <w:bCs/>
          <w:sz w:val="28"/>
          <w:szCs w:val="28"/>
        </w:rPr>
        <w:t xml:space="preserve"> в части нарушения запретов курения табака на отдельных территориях, в помещениях и на объектах, в том числе на детских площадках, что более чем в 5 раз меньше, чем в 2016 г</w:t>
      </w:r>
      <w:r w:rsidR="000A70E5" w:rsidRPr="00FF13D6">
        <w:rPr>
          <w:rFonts w:ascii="Times New Roman" w:eastAsia="Calibri" w:hAnsi="Times New Roman" w:cs="Times New Roman"/>
          <w:bCs/>
          <w:sz w:val="28"/>
          <w:szCs w:val="28"/>
        </w:rPr>
        <w:t>.</w:t>
      </w:r>
      <w:r w:rsidRPr="00FF13D6">
        <w:rPr>
          <w:rFonts w:ascii="Times New Roman" w:eastAsia="Calibri" w:hAnsi="Times New Roman" w:cs="Times New Roman"/>
          <w:bCs/>
          <w:sz w:val="28"/>
          <w:szCs w:val="28"/>
        </w:rPr>
        <w:t xml:space="preserve"> (</w:t>
      </w:r>
      <w:r w:rsidR="0080486E" w:rsidRPr="00FF13D6">
        <w:rPr>
          <w:rFonts w:ascii="Times New Roman" w:eastAsia="Calibri" w:hAnsi="Times New Roman" w:cs="Times New Roman"/>
          <w:bCs/>
          <w:sz w:val="28"/>
          <w:szCs w:val="28"/>
        </w:rPr>
        <w:t xml:space="preserve">2020 г. – 635; </w:t>
      </w:r>
      <w:r w:rsidR="001B7BF2" w:rsidRPr="00FF13D6">
        <w:rPr>
          <w:rFonts w:ascii="Times New Roman" w:eastAsia="Calibri" w:hAnsi="Times New Roman" w:cs="Times New Roman"/>
          <w:bCs/>
          <w:sz w:val="28"/>
          <w:szCs w:val="28"/>
        </w:rPr>
        <w:br/>
      </w:r>
      <w:r w:rsidR="0080486E" w:rsidRPr="00FF13D6">
        <w:rPr>
          <w:rFonts w:ascii="Times New Roman" w:eastAsia="Calibri" w:hAnsi="Times New Roman" w:cs="Times New Roman"/>
          <w:bCs/>
          <w:sz w:val="28"/>
          <w:szCs w:val="28"/>
        </w:rPr>
        <w:t xml:space="preserve">2019 г. – 2,1 тыс.; 2018 г. – 2,1 тыс.; 2017 г. – 3,2 тыс.; </w:t>
      </w:r>
      <w:r w:rsidRPr="00FF13D6">
        <w:rPr>
          <w:rFonts w:ascii="Times New Roman" w:eastAsia="Calibri" w:hAnsi="Times New Roman" w:cs="Times New Roman"/>
          <w:bCs/>
          <w:sz w:val="28"/>
          <w:szCs w:val="28"/>
        </w:rPr>
        <w:t>2016 г. – 3,9 тыс.</w:t>
      </w:r>
      <w:r w:rsidR="00312453" w:rsidRPr="00FF13D6">
        <w:rPr>
          <w:rFonts w:ascii="Times New Roman" w:eastAsia="Calibri" w:hAnsi="Times New Roman" w:cs="Times New Roman"/>
          <w:bCs/>
          <w:sz w:val="28"/>
          <w:szCs w:val="28"/>
        </w:rPr>
        <w:t>). Сумма административных штрафов составила около 609,4 тыс. рублей (</w:t>
      </w:r>
      <w:r w:rsidR="0080486E" w:rsidRPr="00FF13D6">
        <w:rPr>
          <w:rFonts w:ascii="Times New Roman" w:eastAsia="Calibri" w:hAnsi="Times New Roman" w:cs="Times New Roman"/>
          <w:bCs/>
          <w:sz w:val="28"/>
          <w:szCs w:val="28"/>
        </w:rPr>
        <w:t>2020 г. – 679,1 тыс. рублей; 2019 г. – 1,6 млн рублей; 2018 г. – 1,6 млн рублей;</w:t>
      </w:r>
      <w:r w:rsidR="0080486E" w:rsidRPr="00FF13D6">
        <w:rPr>
          <w:rFonts w:ascii="Times New Roman" w:hAnsi="Times New Roman" w:cs="Times New Roman"/>
          <w:color w:val="000000"/>
          <w:sz w:val="28"/>
          <w:szCs w:val="28"/>
        </w:rPr>
        <w:t> </w:t>
      </w:r>
      <w:r w:rsidR="0080486E" w:rsidRPr="00FF13D6">
        <w:rPr>
          <w:rFonts w:ascii="Times New Roman" w:eastAsia="Calibri" w:hAnsi="Times New Roman" w:cs="Times New Roman"/>
          <w:bCs/>
          <w:sz w:val="28"/>
          <w:szCs w:val="28"/>
        </w:rPr>
        <w:t xml:space="preserve">2017 г. – 2,1 млн рублей; </w:t>
      </w:r>
      <w:r w:rsidR="00312453" w:rsidRPr="00FF13D6">
        <w:rPr>
          <w:rFonts w:ascii="Times New Roman" w:eastAsia="Calibri" w:hAnsi="Times New Roman" w:cs="Times New Roman"/>
          <w:bCs/>
          <w:sz w:val="28"/>
          <w:szCs w:val="28"/>
        </w:rPr>
        <w:t>2016 г. – 2,6 млн рублей).</w:t>
      </w:r>
    </w:p>
    <w:p w14:paraId="3B58FFBF" w14:textId="77777777" w:rsidR="00FA4744" w:rsidRPr="00FF13D6" w:rsidRDefault="00443CDF" w:rsidP="006C4843">
      <w:pPr>
        <w:pBdr>
          <w:bottom w:val="single" w:sz="6" w:space="6" w:color="FFFFFF"/>
        </w:pBdr>
        <w:shd w:val="clear" w:color="auto" w:fill="FFFFFF"/>
        <w:spacing w:after="0" w:line="312" w:lineRule="auto"/>
        <w:ind w:firstLine="709"/>
        <w:jc w:val="both"/>
        <w:rPr>
          <w:rFonts w:ascii="Times New Roman" w:eastAsia="Calibri" w:hAnsi="Times New Roman" w:cs="Times New Roman"/>
          <w:sz w:val="28"/>
          <w:szCs w:val="28"/>
        </w:rPr>
      </w:pPr>
      <w:r w:rsidRPr="00FF13D6">
        <w:rPr>
          <w:rFonts w:ascii="Times New Roman" w:eastAsia="Calibri" w:hAnsi="Times New Roman" w:cs="Times New Roman"/>
          <w:bCs/>
          <w:sz w:val="28"/>
          <w:szCs w:val="28"/>
        </w:rPr>
        <w:t>По</w:t>
      </w:r>
      <w:r w:rsidR="00FA4744" w:rsidRPr="00FF13D6">
        <w:rPr>
          <w:rFonts w:ascii="Times New Roman" w:eastAsia="Calibri" w:hAnsi="Times New Roman" w:cs="Times New Roman"/>
          <w:sz w:val="28"/>
          <w:szCs w:val="28"/>
        </w:rPr>
        <w:t xml:space="preserve"> данным Росстата, распространенность курения табака среди взрослого населения старше 15 лет снизилась </w:t>
      </w:r>
      <w:r w:rsidRPr="00FF13D6">
        <w:rPr>
          <w:rFonts w:ascii="Times New Roman" w:eastAsia="Times New Roman" w:hAnsi="Times New Roman" w:cs="Times New Roman"/>
          <w:sz w:val="28"/>
          <w:szCs w:val="28"/>
          <w:lang w:eastAsia="ru-RU"/>
        </w:rPr>
        <w:t>с 39,5% в 2009 г</w:t>
      </w:r>
      <w:r w:rsidR="000A70E5"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 xml:space="preserve"> до 20,3%</w:t>
      </w:r>
      <w:r w:rsidR="00FA4744" w:rsidRPr="00FF13D6">
        <w:rPr>
          <w:rFonts w:ascii="Times New Roman" w:eastAsia="Times New Roman" w:hAnsi="Times New Roman" w:cs="Times New Roman"/>
          <w:sz w:val="28"/>
          <w:szCs w:val="28"/>
          <w:lang w:eastAsia="ru-RU"/>
        </w:rPr>
        <w:t xml:space="preserve"> в 2021 г</w:t>
      </w:r>
      <w:r w:rsidRPr="00FF13D6">
        <w:rPr>
          <w:rFonts w:ascii="Times New Roman" w:eastAsia="Times New Roman" w:hAnsi="Times New Roman" w:cs="Times New Roman"/>
          <w:sz w:val="28"/>
          <w:szCs w:val="28"/>
          <w:lang w:eastAsia="ru-RU"/>
        </w:rPr>
        <w:t>.</w:t>
      </w:r>
      <w:r w:rsidR="001D5981" w:rsidRPr="00FF13D6">
        <w:rPr>
          <w:rFonts w:ascii="Times New Roman" w:eastAsia="Times New Roman" w:hAnsi="Times New Roman" w:cs="Times New Roman"/>
          <w:sz w:val="28"/>
          <w:szCs w:val="28"/>
          <w:lang w:eastAsia="ru-RU"/>
        </w:rPr>
        <w:t xml:space="preserve"> При этом</w:t>
      </w:r>
      <w:r w:rsidR="00FA4744" w:rsidRPr="00FF13D6">
        <w:rPr>
          <w:rFonts w:ascii="Times New Roman" w:eastAsia="Times New Roman" w:hAnsi="Times New Roman" w:cs="Times New Roman"/>
          <w:sz w:val="28"/>
          <w:szCs w:val="28"/>
          <w:lang w:eastAsia="ru-RU"/>
        </w:rPr>
        <w:t xml:space="preserve"> 6,6% кури</w:t>
      </w:r>
      <w:r w:rsidRPr="00FF13D6">
        <w:rPr>
          <w:rFonts w:ascii="Times New Roman" w:eastAsia="Times New Roman" w:hAnsi="Times New Roman" w:cs="Times New Roman"/>
          <w:sz w:val="28"/>
          <w:szCs w:val="28"/>
          <w:lang w:eastAsia="ru-RU"/>
        </w:rPr>
        <w:t>льщиков в 2021 г</w:t>
      </w:r>
      <w:r w:rsidR="000A70E5"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 xml:space="preserve"> отказались </w:t>
      </w:r>
      <w:r w:rsidR="00FA4744" w:rsidRPr="00FF13D6">
        <w:rPr>
          <w:rFonts w:ascii="Times New Roman" w:eastAsia="Times New Roman" w:hAnsi="Times New Roman" w:cs="Times New Roman"/>
          <w:sz w:val="28"/>
          <w:szCs w:val="28"/>
          <w:lang w:eastAsia="ru-RU"/>
        </w:rPr>
        <w:t>от табака.</w:t>
      </w:r>
    </w:p>
    <w:p w14:paraId="60580479" w14:textId="77777777" w:rsidR="00FA4744" w:rsidRPr="00FF13D6" w:rsidRDefault="00FA4744" w:rsidP="006C4843">
      <w:pPr>
        <w:pBdr>
          <w:bottom w:val="single" w:sz="6" w:space="6" w:color="FFFFFF"/>
        </w:pBdr>
        <w:shd w:val="clear" w:color="auto" w:fill="FFFFFF"/>
        <w:spacing w:after="0" w:line="312" w:lineRule="auto"/>
        <w:ind w:firstLine="709"/>
        <w:jc w:val="both"/>
        <w:rPr>
          <w:rFonts w:ascii="Times New Roman" w:eastAsia="Calibri" w:hAnsi="Times New Roman" w:cs="Times New Roman"/>
          <w:sz w:val="28"/>
          <w:szCs w:val="28"/>
        </w:rPr>
      </w:pPr>
      <w:r w:rsidRPr="00FF13D6">
        <w:rPr>
          <w:rFonts w:ascii="Times New Roman" w:eastAsia="Calibri" w:hAnsi="Times New Roman" w:cs="Times New Roman"/>
          <w:sz w:val="28"/>
          <w:szCs w:val="28"/>
        </w:rPr>
        <w:t>В связи с активной распространенностью новых видов курительных табачных изделий, потребляемых с помощью специально разработанной курительной принадлежности – устройства для нагревания табака, а также иной никотинсодержащей продукции, распоряжением Правительства Российской Федерации от 18</w:t>
      </w:r>
      <w:r w:rsidR="00443CDF" w:rsidRPr="00FF13D6">
        <w:rPr>
          <w:rFonts w:ascii="Times New Roman" w:eastAsia="Calibri" w:hAnsi="Times New Roman" w:cs="Times New Roman"/>
          <w:sz w:val="28"/>
          <w:szCs w:val="28"/>
        </w:rPr>
        <w:t xml:space="preserve"> ноября </w:t>
      </w:r>
      <w:r w:rsidRPr="00FF13D6">
        <w:rPr>
          <w:rFonts w:ascii="Times New Roman" w:eastAsia="Calibri" w:hAnsi="Times New Roman" w:cs="Times New Roman"/>
          <w:sz w:val="28"/>
          <w:szCs w:val="28"/>
        </w:rPr>
        <w:t>2019</w:t>
      </w:r>
      <w:r w:rsidR="00443CDF" w:rsidRPr="00FF13D6">
        <w:rPr>
          <w:rFonts w:ascii="Times New Roman" w:eastAsia="Calibri" w:hAnsi="Times New Roman" w:cs="Times New Roman"/>
          <w:sz w:val="28"/>
          <w:szCs w:val="28"/>
        </w:rPr>
        <w:t xml:space="preserve"> г.</w:t>
      </w:r>
      <w:r w:rsidRPr="00FF13D6">
        <w:rPr>
          <w:rFonts w:ascii="Times New Roman" w:eastAsia="Calibri" w:hAnsi="Times New Roman" w:cs="Times New Roman"/>
          <w:sz w:val="28"/>
          <w:szCs w:val="28"/>
        </w:rPr>
        <w:t xml:space="preserve"> № 2732-р утверждена Концепция осуществления государственной политики противодействия потреблению табака и иной никотинсодержащей пр</w:t>
      </w:r>
      <w:r w:rsidR="00443CDF" w:rsidRPr="00FF13D6">
        <w:rPr>
          <w:rFonts w:ascii="Times New Roman" w:eastAsia="Calibri" w:hAnsi="Times New Roman" w:cs="Times New Roman"/>
          <w:sz w:val="28"/>
          <w:szCs w:val="28"/>
        </w:rPr>
        <w:t xml:space="preserve">одукции в Российской Федерации </w:t>
      </w:r>
      <w:r w:rsidRPr="00FF13D6">
        <w:rPr>
          <w:rFonts w:ascii="Times New Roman" w:eastAsia="Calibri" w:hAnsi="Times New Roman" w:cs="Times New Roman"/>
          <w:sz w:val="28"/>
          <w:szCs w:val="28"/>
        </w:rPr>
        <w:t>на период до 2035 г</w:t>
      </w:r>
      <w:r w:rsidR="00152252" w:rsidRPr="00FF13D6">
        <w:rPr>
          <w:rFonts w:ascii="Times New Roman" w:eastAsia="Calibri" w:hAnsi="Times New Roman" w:cs="Times New Roman"/>
          <w:sz w:val="28"/>
          <w:szCs w:val="28"/>
        </w:rPr>
        <w:t>.</w:t>
      </w:r>
      <w:r w:rsidRPr="00FF13D6">
        <w:rPr>
          <w:rFonts w:ascii="Times New Roman" w:eastAsia="Calibri" w:hAnsi="Times New Roman" w:cs="Times New Roman"/>
          <w:sz w:val="28"/>
          <w:szCs w:val="28"/>
        </w:rPr>
        <w:t xml:space="preserve"> и дальнейшую перспективу</w:t>
      </w:r>
      <w:r w:rsidR="00B210C1" w:rsidRPr="00FF13D6">
        <w:rPr>
          <w:rFonts w:ascii="Times New Roman" w:eastAsia="Calibri" w:hAnsi="Times New Roman" w:cs="Times New Roman"/>
          <w:sz w:val="28"/>
          <w:szCs w:val="28"/>
        </w:rPr>
        <w:t xml:space="preserve"> (далее по тексту подраздела – Концепция)</w:t>
      </w:r>
      <w:r w:rsidRPr="00FF13D6">
        <w:rPr>
          <w:rFonts w:ascii="Times New Roman" w:eastAsia="Calibri" w:hAnsi="Times New Roman" w:cs="Times New Roman"/>
          <w:sz w:val="28"/>
          <w:szCs w:val="28"/>
        </w:rPr>
        <w:t xml:space="preserve">. </w:t>
      </w:r>
    </w:p>
    <w:p w14:paraId="2BB077BD" w14:textId="77777777" w:rsidR="00FA4744" w:rsidRPr="00FF13D6" w:rsidRDefault="00FA4744" w:rsidP="006C4843">
      <w:pPr>
        <w:pBdr>
          <w:bottom w:val="single" w:sz="6" w:space="6" w:color="FFFFFF"/>
        </w:pBdr>
        <w:shd w:val="clear" w:color="auto" w:fill="FFFFFF"/>
        <w:spacing w:after="0" w:line="312" w:lineRule="auto"/>
        <w:ind w:firstLine="709"/>
        <w:jc w:val="both"/>
        <w:rPr>
          <w:rFonts w:ascii="Times New Roman" w:eastAsia="Calibri" w:hAnsi="Times New Roman" w:cs="Times New Roman"/>
          <w:sz w:val="28"/>
          <w:szCs w:val="28"/>
        </w:rPr>
      </w:pPr>
      <w:r w:rsidRPr="00FF13D6">
        <w:rPr>
          <w:rFonts w:ascii="Times New Roman" w:eastAsia="Calibri" w:hAnsi="Times New Roman" w:cs="Times New Roman"/>
          <w:sz w:val="28"/>
          <w:szCs w:val="28"/>
        </w:rPr>
        <w:t>С целью реализации положений Концепции распоряжением Правительства Российской Федерации от 30</w:t>
      </w:r>
      <w:r w:rsidR="00443CDF" w:rsidRPr="00FF13D6">
        <w:rPr>
          <w:rFonts w:ascii="Times New Roman" w:eastAsia="Calibri" w:hAnsi="Times New Roman" w:cs="Times New Roman"/>
          <w:sz w:val="28"/>
          <w:szCs w:val="28"/>
        </w:rPr>
        <w:t xml:space="preserve"> апреля </w:t>
      </w:r>
      <w:r w:rsidRPr="00FF13D6">
        <w:rPr>
          <w:rFonts w:ascii="Times New Roman" w:eastAsia="Calibri" w:hAnsi="Times New Roman" w:cs="Times New Roman"/>
          <w:sz w:val="28"/>
          <w:szCs w:val="28"/>
        </w:rPr>
        <w:t>2021</w:t>
      </w:r>
      <w:r w:rsidR="00443CDF" w:rsidRPr="00FF13D6">
        <w:rPr>
          <w:rFonts w:ascii="Times New Roman" w:eastAsia="Calibri" w:hAnsi="Times New Roman" w:cs="Times New Roman"/>
          <w:sz w:val="28"/>
          <w:szCs w:val="28"/>
        </w:rPr>
        <w:t xml:space="preserve"> г.</w:t>
      </w:r>
      <w:r w:rsidRPr="00FF13D6">
        <w:rPr>
          <w:rFonts w:ascii="Times New Roman" w:eastAsia="Calibri" w:hAnsi="Times New Roman" w:cs="Times New Roman"/>
          <w:sz w:val="28"/>
          <w:szCs w:val="28"/>
        </w:rPr>
        <w:t xml:space="preserve"> № 1151-р утвержден план мероприятий по реализации Концепции. Указа</w:t>
      </w:r>
      <w:r w:rsidR="00443CDF" w:rsidRPr="00FF13D6">
        <w:rPr>
          <w:rFonts w:ascii="Times New Roman" w:eastAsia="Calibri" w:hAnsi="Times New Roman" w:cs="Times New Roman"/>
          <w:sz w:val="28"/>
          <w:szCs w:val="28"/>
        </w:rPr>
        <w:t xml:space="preserve">нный план включает </w:t>
      </w:r>
      <w:r w:rsidRPr="00FF13D6">
        <w:rPr>
          <w:rFonts w:ascii="Times New Roman" w:eastAsia="Calibri" w:hAnsi="Times New Roman" w:cs="Times New Roman"/>
          <w:sz w:val="28"/>
          <w:szCs w:val="28"/>
        </w:rPr>
        <w:t>в себя мероприятия, направленные на сокращение спроса на табак и иную никотинсодержащую продукцию среди населения, сокращение предложения табака и иной никотинсодержащей продукции среди населения, совершенствование медицинской профилактики потребления табака и иной никотинсодержащей продукции и ме</w:t>
      </w:r>
      <w:r w:rsidR="00443CDF" w:rsidRPr="00FF13D6">
        <w:rPr>
          <w:rFonts w:ascii="Times New Roman" w:eastAsia="Calibri" w:hAnsi="Times New Roman" w:cs="Times New Roman"/>
          <w:sz w:val="28"/>
          <w:szCs w:val="28"/>
        </w:rPr>
        <w:t xml:space="preserve">дицинской помощи, направленной </w:t>
      </w:r>
      <w:r w:rsidRPr="00FF13D6">
        <w:rPr>
          <w:rFonts w:ascii="Times New Roman" w:eastAsia="Calibri" w:hAnsi="Times New Roman" w:cs="Times New Roman"/>
          <w:sz w:val="28"/>
          <w:szCs w:val="28"/>
        </w:rPr>
        <w:t>на прекращение потребления табака и иной никотинсодержащей продукции.</w:t>
      </w:r>
    </w:p>
    <w:p w14:paraId="7441C874" w14:textId="7F5D5196" w:rsidR="00FA4744" w:rsidRPr="00FF13D6" w:rsidRDefault="00FA4744" w:rsidP="006C4843">
      <w:pPr>
        <w:pBdr>
          <w:bottom w:val="single" w:sz="6" w:space="6" w:color="FFFFFF"/>
        </w:pBdr>
        <w:shd w:val="clear" w:color="auto" w:fill="FFFFFF"/>
        <w:spacing w:after="0" w:line="312" w:lineRule="auto"/>
        <w:ind w:firstLine="709"/>
        <w:jc w:val="both"/>
        <w:rPr>
          <w:rFonts w:ascii="Times New Roman" w:eastAsia="Calibri" w:hAnsi="Times New Roman" w:cs="Times New Roman"/>
          <w:sz w:val="28"/>
          <w:szCs w:val="28"/>
        </w:rPr>
      </w:pPr>
      <w:r w:rsidRPr="00FF13D6">
        <w:rPr>
          <w:rFonts w:ascii="Times New Roman" w:eastAsia="Calibri" w:hAnsi="Times New Roman" w:cs="Times New Roman"/>
          <w:sz w:val="28"/>
          <w:szCs w:val="28"/>
        </w:rPr>
        <w:t>Кроме того, план</w:t>
      </w:r>
      <w:r w:rsidR="00443CDF" w:rsidRPr="00FF13D6">
        <w:rPr>
          <w:rFonts w:ascii="Times New Roman" w:eastAsia="Calibri" w:hAnsi="Times New Roman" w:cs="Times New Roman"/>
          <w:sz w:val="28"/>
          <w:szCs w:val="28"/>
        </w:rPr>
        <w:t>ом</w:t>
      </w:r>
      <w:r w:rsidRPr="00FF13D6">
        <w:rPr>
          <w:rFonts w:ascii="Times New Roman" w:eastAsia="Calibri" w:hAnsi="Times New Roman" w:cs="Times New Roman"/>
          <w:sz w:val="28"/>
          <w:szCs w:val="28"/>
        </w:rPr>
        <w:t xml:space="preserve"> предусм</w:t>
      </w:r>
      <w:r w:rsidR="00443CDF" w:rsidRPr="00FF13D6">
        <w:rPr>
          <w:rFonts w:ascii="Times New Roman" w:eastAsia="Calibri" w:hAnsi="Times New Roman" w:cs="Times New Roman"/>
          <w:sz w:val="28"/>
          <w:szCs w:val="28"/>
        </w:rPr>
        <w:t>отрен</w:t>
      </w:r>
      <w:r w:rsidRPr="00FF13D6">
        <w:rPr>
          <w:rFonts w:ascii="Times New Roman" w:eastAsia="Calibri" w:hAnsi="Times New Roman" w:cs="Times New Roman"/>
          <w:sz w:val="28"/>
          <w:szCs w:val="28"/>
        </w:rPr>
        <w:t xml:space="preserve"> ряд мероприятий, направленных на снижение потребления табака и никотинсодержащей продукции среди молодежи, а также на защиту несовершеннолетних от потребления табака и никотинсодержащей продукции, включая организацию и проведение информационно-коммуникацио</w:t>
      </w:r>
      <w:r w:rsidR="00443CDF" w:rsidRPr="00FF13D6">
        <w:rPr>
          <w:rFonts w:ascii="Times New Roman" w:eastAsia="Calibri" w:hAnsi="Times New Roman" w:cs="Times New Roman"/>
          <w:sz w:val="28"/>
          <w:szCs w:val="28"/>
        </w:rPr>
        <w:t xml:space="preserve">нных мероприятий, направленных </w:t>
      </w:r>
      <w:r w:rsidRPr="00FF13D6">
        <w:rPr>
          <w:rFonts w:ascii="Times New Roman" w:eastAsia="Calibri" w:hAnsi="Times New Roman" w:cs="Times New Roman"/>
          <w:sz w:val="28"/>
          <w:szCs w:val="28"/>
        </w:rPr>
        <w:t>на сокращение потребления табака и иной никотинсодержащей продукции среди молодежи, разработку мер поддержки социально ориентированных некоммерческих организаций, не связанных с табачной индустрией, деятельность которых способствует профилактике и снижению потребления табака и иной никотинсодержащей продукции, в том числе в молодежной среде, разработку программ повышения квалификации по вопросам сокращения потребления табака и ино</w:t>
      </w:r>
      <w:r w:rsidR="00443CDF" w:rsidRPr="00FF13D6">
        <w:rPr>
          <w:rFonts w:ascii="Times New Roman" w:eastAsia="Calibri" w:hAnsi="Times New Roman" w:cs="Times New Roman"/>
          <w:sz w:val="28"/>
          <w:szCs w:val="28"/>
        </w:rPr>
        <w:t xml:space="preserve">й никотинсодержащей продукции, </w:t>
      </w:r>
      <w:r w:rsidRPr="00FF13D6">
        <w:rPr>
          <w:rFonts w:ascii="Times New Roman" w:eastAsia="Calibri" w:hAnsi="Times New Roman" w:cs="Times New Roman"/>
          <w:sz w:val="28"/>
          <w:szCs w:val="28"/>
        </w:rPr>
        <w:t>в том числе в молодежной среде, рекомендованных к применению при получении педагогическими работниками дополнительного профессионального образования, разраб</w:t>
      </w:r>
      <w:r w:rsidR="00443CDF" w:rsidRPr="00FF13D6">
        <w:rPr>
          <w:rFonts w:ascii="Times New Roman" w:eastAsia="Calibri" w:hAnsi="Times New Roman" w:cs="Times New Roman"/>
          <w:sz w:val="28"/>
          <w:szCs w:val="28"/>
        </w:rPr>
        <w:t xml:space="preserve">отку мероприятий, направленных </w:t>
      </w:r>
      <w:r w:rsidRPr="00FF13D6">
        <w:rPr>
          <w:rFonts w:ascii="Times New Roman" w:eastAsia="Calibri" w:hAnsi="Times New Roman" w:cs="Times New Roman"/>
          <w:sz w:val="28"/>
          <w:szCs w:val="28"/>
        </w:rPr>
        <w:t>на дополнительную защиту несовершеннолетних граждан от табака и иной никотинсодержащей продукции.</w:t>
      </w:r>
      <w:r w:rsidR="009D1A16">
        <w:rPr>
          <w:rFonts w:ascii="Times New Roman" w:eastAsia="Calibri" w:hAnsi="Times New Roman" w:cs="Times New Roman"/>
          <w:sz w:val="28"/>
          <w:szCs w:val="28"/>
        </w:rPr>
        <w:t xml:space="preserve"> </w:t>
      </w:r>
      <w:r w:rsidRPr="00FF13D6">
        <w:rPr>
          <w:rFonts w:ascii="Times New Roman" w:eastAsia="Calibri" w:hAnsi="Times New Roman" w:cs="Times New Roman"/>
          <w:sz w:val="28"/>
          <w:szCs w:val="28"/>
        </w:rPr>
        <w:t xml:space="preserve">В развитие положений Концепции </w:t>
      </w:r>
      <w:r w:rsidR="00DA15C9" w:rsidRPr="00FF13D6">
        <w:rPr>
          <w:rFonts w:ascii="Times New Roman" w:eastAsia="Calibri" w:hAnsi="Times New Roman" w:cs="Times New Roman"/>
          <w:sz w:val="28"/>
          <w:szCs w:val="28"/>
        </w:rPr>
        <w:t>б</w:t>
      </w:r>
      <w:r w:rsidRPr="00FF13D6">
        <w:rPr>
          <w:rFonts w:ascii="Times New Roman" w:eastAsia="Calibri" w:hAnsi="Times New Roman" w:cs="Times New Roman"/>
          <w:sz w:val="28"/>
          <w:szCs w:val="28"/>
        </w:rPr>
        <w:t xml:space="preserve">ыл принят Федеральный закон </w:t>
      </w:r>
      <w:r w:rsidR="00DA15C9" w:rsidRPr="00FF13D6">
        <w:rPr>
          <w:rFonts w:ascii="Times New Roman" w:eastAsia="Calibri" w:hAnsi="Times New Roman" w:cs="Times New Roman"/>
          <w:sz w:val="28"/>
          <w:szCs w:val="28"/>
        </w:rPr>
        <w:t xml:space="preserve">от 31 июля 2020 г. </w:t>
      </w:r>
      <w:r w:rsidRPr="00FF13D6">
        <w:rPr>
          <w:rFonts w:ascii="Times New Roman" w:eastAsia="Calibri" w:hAnsi="Times New Roman" w:cs="Times New Roman"/>
          <w:sz w:val="28"/>
          <w:szCs w:val="28"/>
        </w:rPr>
        <w:t xml:space="preserve">№ 303-ФЗ «О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 (далее – Федеральный закон </w:t>
      </w:r>
      <w:r w:rsidR="00DA15C9" w:rsidRPr="00FF13D6">
        <w:rPr>
          <w:rFonts w:ascii="Times New Roman" w:eastAsia="Calibri" w:hAnsi="Times New Roman" w:cs="Times New Roman"/>
          <w:sz w:val="28"/>
          <w:szCs w:val="28"/>
        </w:rPr>
        <w:br/>
        <w:t xml:space="preserve">от 31 июля 2020 г. </w:t>
      </w:r>
      <w:r w:rsidRPr="00FF13D6">
        <w:rPr>
          <w:rFonts w:ascii="Times New Roman" w:eastAsia="Calibri" w:hAnsi="Times New Roman" w:cs="Times New Roman"/>
          <w:sz w:val="28"/>
          <w:szCs w:val="28"/>
        </w:rPr>
        <w:t xml:space="preserve">№ 303-ФЗ), </w:t>
      </w:r>
      <w:r w:rsidR="00B210C1" w:rsidRPr="00FF13D6">
        <w:rPr>
          <w:rFonts w:ascii="Times New Roman" w:eastAsia="Calibri" w:hAnsi="Times New Roman" w:cs="Times New Roman"/>
          <w:sz w:val="28"/>
          <w:szCs w:val="28"/>
        </w:rPr>
        <w:t>законодательно закрепивший</w:t>
      </w:r>
      <w:r w:rsidRPr="00FF13D6">
        <w:rPr>
          <w:rFonts w:ascii="Times New Roman" w:eastAsia="Calibri" w:hAnsi="Times New Roman" w:cs="Times New Roman"/>
          <w:sz w:val="28"/>
          <w:szCs w:val="28"/>
        </w:rPr>
        <w:t xml:space="preserve"> дополнительные ограничения в отношении никотинсодержащей продукции. В 2021 г</w:t>
      </w:r>
      <w:r w:rsidR="00152252" w:rsidRPr="00FF13D6">
        <w:rPr>
          <w:rFonts w:ascii="Times New Roman" w:eastAsia="Calibri" w:hAnsi="Times New Roman" w:cs="Times New Roman"/>
          <w:sz w:val="28"/>
          <w:szCs w:val="28"/>
        </w:rPr>
        <w:t>.</w:t>
      </w:r>
      <w:r w:rsidRPr="00FF13D6">
        <w:rPr>
          <w:rFonts w:ascii="Times New Roman" w:eastAsia="Calibri" w:hAnsi="Times New Roman" w:cs="Times New Roman"/>
          <w:sz w:val="28"/>
          <w:szCs w:val="28"/>
        </w:rPr>
        <w:t xml:space="preserve"> в связи с принятием </w:t>
      </w:r>
      <w:r w:rsidR="00DA15C9" w:rsidRPr="00FF13D6">
        <w:rPr>
          <w:rFonts w:ascii="Times New Roman" w:eastAsia="Calibri" w:hAnsi="Times New Roman" w:cs="Times New Roman"/>
          <w:sz w:val="28"/>
          <w:szCs w:val="28"/>
        </w:rPr>
        <w:t xml:space="preserve">вышеуказанного </w:t>
      </w:r>
      <w:r w:rsidRPr="00FF13D6">
        <w:rPr>
          <w:rFonts w:ascii="Times New Roman" w:eastAsia="Calibri" w:hAnsi="Times New Roman" w:cs="Times New Roman"/>
          <w:sz w:val="28"/>
          <w:szCs w:val="28"/>
        </w:rPr>
        <w:t xml:space="preserve">Федерального закона принят ряд </w:t>
      </w:r>
      <w:r w:rsidR="00DA15C9" w:rsidRPr="00FF13D6">
        <w:rPr>
          <w:rFonts w:ascii="Times New Roman" w:eastAsia="Calibri" w:hAnsi="Times New Roman" w:cs="Times New Roman"/>
          <w:sz w:val="28"/>
          <w:szCs w:val="28"/>
        </w:rPr>
        <w:t xml:space="preserve">нормативных </w:t>
      </w:r>
      <w:r w:rsidRPr="00FF13D6">
        <w:rPr>
          <w:rFonts w:ascii="Times New Roman" w:eastAsia="Calibri" w:hAnsi="Times New Roman" w:cs="Times New Roman"/>
          <w:sz w:val="28"/>
          <w:szCs w:val="28"/>
        </w:rPr>
        <w:t>правовых а</w:t>
      </w:r>
      <w:r w:rsidR="00B210C1" w:rsidRPr="00FF13D6">
        <w:rPr>
          <w:rFonts w:ascii="Times New Roman" w:eastAsia="Calibri" w:hAnsi="Times New Roman" w:cs="Times New Roman"/>
          <w:sz w:val="28"/>
          <w:szCs w:val="28"/>
        </w:rPr>
        <w:t xml:space="preserve">ктов по регулированию табачной </w:t>
      </w:r>
      <w:r w:rsidRPr="00FF13D6">
        <w:rPr>
          <w:rFonts w:ascii="Times New Roman" w:eastAsia="Calibri" w:hAnsi="Times New Roman" w:cs="Times New Roman"/>
          <w:sz w:val="28"/>
          <w:szCs w:val="28"/>
        </w:rPr>
        <w:t>и никотинсодержащей продукции, включая:</w:t>
      </w:r>
    </w:p>
    <w:p w14:paraId="1AB40015" w14:textId="77777777" w:rsidR="00FA4744"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постановление Правительства Российской Федерации от 18</w:t>
      </w:r>
      <w:r w:rsidR="00DA15C9" w:rsidRPr="00FF13D6">
        <w:rPr>
          <w:rFonts w:ascii="Times New Roman" w:eastAsia="Times New Roman" w:hAnsi="Times New Roman" w:cs="Times New Roman"/>
          <w:sz w:val="28"/>
          <w:szCs w:val="28"/>
          <w:lang w:eastAsia="ru-RU"/>
        </w:rPr>
        <w:t xml:space="preserve"> февраля </w:t>
      </w:r>
      <w:r w:rsidRPr="00FF13D6">
        <w:rPr>
          <w:rFonts w:ascii="Times New Roman" w:eastAsia="Times New Roman" w:hAnsi="Times New Roman" w:cs="Times New Roman"/>
          <w:sz w:val="28"/>
          <w:szCs w:val="28"/>
          <w:lang w:eastAsia="ru-RU"/>
        </w:rPr>
        <w:t xml:space="preserve">2021 </w:t>
      </w:r>
      <w:r w:rsidR="00DA15C9" w:rsidRPr="00FF13D6">
        <w:rPr>
          <w:rFonts w:ascii="Times New Roman" w:eastAsia="Times New Roman" w:hAnsi="Times New Roman" w:cs="Times New Roman"/>
          <w:sz w:val="28"/>
          <w:szCs w:val="28"/>
          <w:lang w:eastAsia="ru-RU"/>
        </w:rPr>
        <w:t xml:space="preserve">г. </w:t>
      </w:r>
      <w:r w:rsidRPr="00FF13D6">
        <w:rPr>
          <w:rFonts w:ascii="Times New Roman" w:eastAsia="Times New Roman" w:hAnsi="Times New Roman" w:cs="Times New Roman"/>
          <w:sz w:val="28"/>
          <w:szCs w:val="28"/>
          <w:lang w:eastAsia="ru-RU"/>
        </w:rPr>
        <w:t>№ 207 «О внесении изменений в некоторые акты Правительства Российской Федерации», наделяющее Минздрав России полномочиями в области регулирования никотинсодержащей продукции;</w:t>
      </w:r>
    </w:p>
    <w:p w14:paraId="0673D583" w14:textId="77777777" w:rsidR="00FA4744"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постановление Правительства Российской Федерации от 27</w:t>
      </w:r>
      <w:r w:rsidR="00895B8F" w:rsidRPr="00FF13D6">
        <w:rPr>
          <w:rFonts w:ascii="Times New Roman" w:eastAsia="Times New Roman" w:hAnsi="Times New Roman" w:cs="Times New Roman"/>
          <w:sz w:val="28"/>
          <w:szCs w:val="28"/>
          <w:lang w:eastAsia="ru-RU"/>
        </w:rPr>
        <w:t xml:space="preserve"> февраля </w:t>
      </w:r>
      <w:r w:rsidRPr="00FF13D6">
        <w:rPr>
          <w:rFonts w:ascii="Times New Roman" w:eastAsia="Times New Roman" w:hAnsi="Times New Roman" w:cs="Times New Roman"/>
          <w:sz w:val="28"/>
          <w:szCs w:val="28"/>
          <w:lang w:eastAsia="ru-RU"/>
        </w:rPr>
        <w:t>2021</w:t>
      </w:r>
      <w:r w:rsidR="00895B8F" w:rsidRPr="00FF13D6">
        <w:rPr>
          <w:rFonts w:ascii="Times New Roman" w:eastAsia="Times New Roman" w:hAnsi="Times New Roman" w:cs="Times New Roman"/>
          <w:sz w:val="28"/>
          <w:szCs w:val="28"/>
          <w:lang w:eastAsia="ru-RU"/>
        </w:rPr>
        <w:t xml:space="preserve"> г.</w:t>
      </w:r>
      <w:r w:rsidRPr="00FF13D6">
        <w:rPr>
          <w:rFonts w:ascii="Times New Roman" w:eastAsia="Times New Roman" w:hAnsi="Times New Roman" w:cs="Times New Roman"/>
          <w:sz w:val="28"/>
          <w:szCs w:val="28"/>
          <w:lang w:eastAsia="ru-RU"/>
        </w:rPr>
        <w:t xml:space="preserve"> № 277 «О внесении изменений в постановление Правительства Российской Федерации от 23 декабря 2013 г. № 1214», предусматривающее мониторинг </w:t>
      </w:r>
      <w:r w:rsidRPr="00FF13D6">
        <w:rPr>
          <w:rFonts w:ascii="Times New Roman" w:eastAsia="Times New Roman" w:hAnsi="Times New Roman" w:cs="Times New Roman"/>
          <w:sz w:val="28"/>
          <w:szCs w:val="28"/>
          <w:lang w:eastAsia="ru-RU"/>
        </w:rPr>
        <w:br/>
        <w:t>и оценку эффективности мероприятий, направленных на сокращение потребления никотинсодержащей продукции;</w:t>
      </w:r>
    </w:p>
    <w:p w14:paraId="24D2B8B1" w14:textId="77777777" w:rsidR="00FA4744"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приказ Минздрава России от 29</w:t>
      </w:r>
      <w:r w:rsidR="00895B8F" w:rsidRPr="00FF13D6">
        <w:rPr>
          <w:rFonts w:ascii="Times New Roman" w:eastAsia="Times New Roman" w:hAnsi="Times New Roman" w:cs="Times New Roman"/>
          <w:sz w:val="28"/>
          <w:szCs w:val="28"/>
          <w:lang w:eastAsia="ru-RU"/>
        </w:rPr>
        <w:t xml:space="preserve"> марта </w:t>
      </w:r>
      <w:r w:rsidRPr="00FF13D6">
        <w:rPr>
          <w:rFonts w:ascii="Times New Roman" w:eastAsia="Times New Roman" w:hAnsi="Times New Roman" w:cs="Times New Roman"/>
          <w:sz w:val="28"/>
          <w:szCs w:val="28"/>
          <w:lang w:eastAsia="ru-RU"/>
        </w:rPr>
        <w:t>2021</w:t>
      </w:r>
      <w:r w:rsidR="00895B8F" w:rsidRPr="00FF13D6">
        <w:rPr>
          <w:rFonts w:ascii="Times New Roman" w:eastAsia="Times New Roman" w:hAnsi="Times New Roman" w:cs="Times New Roman"/>
          <w:sz w:val="28"/>
          <w:szCs w:val="28"/>
          <w:lang w:eastAsia="ru-RU"/>
        </w:rPr>
        <w:t xml:space="preserve"> г.</w:t>
      </w:r>
      <w:r w:rsidRPr="00FF13D6">
        <w:rPr>
          <w:rFonts w:ascii="Times New Roman" w:eastAsia="Times New Roman" w:hAnsi="Times New Roman" w:cs="Times New Roman"/>
          <w:sz w:val="28"/>
          <w:szCs w:val="28"/>
          <w:lang w:eastAsia="ru-RU"/>
        </w:rPr>
        <w:t xml:space="preserve"> № 262 «Об утверждении информационно-коммуникационной стратегии по борьбе с потреблением табака или потреблением никотинсодержащей продукции на период до 2030 года»;</w:t>
      </w:r>
    </w:p>
    <w:p w14:paraId="43041752" w14:textId="77777777" w:rsidR="00FA4744"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приказ Минздрава России от 20</w:t>
      </w:r>
      <w:r w:rsidR="00895B8F" w:rsidRPr="00FF13D6">
        <w:rPr>
          <w:rFonts w:ascii="Times New Roman" w:eastAsia="Times New Roman" w:hAnsi="Times New Roman" w:cs="Times New Roman"/>
          <w:sz w:val="28"/>
          <w:szCs w:val="28"/>
          <w:lang w:eastAsia="ru-RU"/>
        </w:rPr>
        <w:t xml:space="preserve"> февраля </w:t>
      </w:r>
      <w:r w:rsidRPr="00FF13D6">
        <w:rPr>
          <w:rFonts w:ascii="Times New Roman" w:eastAsia="Times New Roman" w:hAnsi="Times New Roman" w:cs="Times New Roman"/>
          <w:sz w:val="28"/>
          <w:szCs w:val="28"/>
          <w:lang w:eastAsia="ru-RU"/>
        </w:rPr>
        <w:t>2021</w:t>
      </w:r>
      <w:r w:rsidR="00895B8F" w:rsidRPr="00FF13D6">
        <w:rPr>
          <w:rFonts w:ascii="Times New Roman" w:eastAsia="Times New Roman" w:hAnsi="Times New Roman" w:cs="Times New Roman"/>
          <w:sz w:val="28"/>
          <w:szCs w:val="28"/>
          <w:lang w:eastAsia="ru-RU"/>
        </w:rPr>
        <w:t xml:space="preserve"> г.</w:t>
      </w:r>
      <w:r w:rsidRPr="00FF13D6">
        <w:rPr>
          <w:rFonts w:ascii="Times New Roman" w:eastAsia="Times New Roman" w:hAnsi="Times New Roman" w:cs="Times New Roman"/>
          <w:sz w:val="28"/>
          <w:szCs w:val="28"/>
          <w:lang w:eastAsia="ru-RU"/>
        </w:rPr>
        <w:t xml:space="preserve"> № 129н «Об утверждении требований к знаку о запрете курения табака, потребления никотинсодержащей продукции или использования кальянов и к порядку его размещения»;</w:t>
      </w:r>
    </w:p>
    <w:p w14:paraId="0EFF8766" w14:textId="77777777" w:rsidR="00FA4744"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приказ Минздрава России от 30</w:t>
      </w:r>
      <w:r w:rsidR="00895B8F" w:rsidRPr="00FF13D6">
        <w:rPr>
          <w:rFonts w:ascii="Times New Roman" w:eastAsia="Times New Roman" w:hAnsi="Times New Roman" w:cs="Times New Roman"/>
          <w:sz w:val="28"/>
          <w:szCs w:val="28"/>
          <w:lang w:eastAsia="ru-RU"/>
        </w:rPr>
        <w:t xml:space="preserve"> января </w:t>
      </w:r>
      <w:r w:rsidRPr="00FF13D6">
        <w:rPr>
          <w:rFonts w:ascii="Times New Roman" w:eastAsia="Times New Roman" w:hAnsi="Times New Roman" w:cs="Times New Roman"/>
          <w:sz w:val="28"/>
          <w:szCs w:val="28"/>
          <w:lang w:eastAsia="ru-RU"/>
        </w:rPr>
        <w:t>2021</w:t>
      </w:r>
      <w:r w:rsidR="00895B8F" w:rsidRPr="00FF13D6">
        <w:rPr>
          <w:rFonts w:ascii="Times New Roman" w:eastAsia="Times New Roman" w:hAnsi="Times New Roman" w:cs="Times New Roman"/>
          <w:sz w:val="28"/>
          <w:szCs w:val="28"/>
          <w:lang w:eastAsia="ru-RU"/>
        </w:rPr>
        <w:t xml:space="preserve"> г.</w:t>
      </w:r>
      <w:r w:rsidRPr="00FF13D6">
        <w:rPr>
          <w:rFonts w:ascii="Times New Roman" w:eastAsia="Times New Roman" w:hAnsi="Times New Roman" w:cs="Times New Roman"/>
          <w:sz w:val="28"/>
          <w:szCs w:val="28"/>
          <w:lang w:eastAsia="ru-RU"/>
        </w:rPr>
        <w:t xml:space="preserve"> № 35н «Об утверждении Порядка создания и функционирования «горячих линий», способствующих прекращению потребления табака или потребления никотинсодержащей продукции и лечению табачной (никотиновой) зависимости»;</w:t>
      </w:r>
    </w:p>
    <w:p w14:paraId="4A155049" w14:textId="77777777" w:rsidR="008C73B9"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приказ Минздрава России от 30</w:t>
      </w:r>
      <w:r w:rsidR="00895B8F" w:rsidRPr="00FF13D6">
        <w:rPr>
          <w:rFonts w:ascii="Times New Roman" w:eastAsia="Times New Roman" w:hAnsi="Times New Roman" w:cs="Times New Roman"/>
          <w:sz w:val="28"/>
          <w:szCs w:val="28"/>
          <w:lang w:eastAsia="ru-RU"/>
        </w:rPr>
        <w:t xml:space="preserve"> января </w:t>
      </w:r>
      <w:r w:rsidRPr="00FF13D6">
        <w:rPr>
          <w:rFonts w:ascii="Times New Roman" w:eastAsia="Times New Roman" w:hAnsi="Times New Roman" w:cs="Times New Roman"/>
          <w:sz w:val="28"/>
          <w:szCs w:val="28"/>
          <w:lang w:eastAsia="ru-RU"/>
        </w:rPr>
        <w:t>2021</w:t>
      </w:r>
      <w:r w:rsidR="00895B8F" w:rsidRPr="00FF13D6">
        <w:rPr>
          <w:rFonts w:ascii="Times New Roman" w:eastAsia="Times New Roman" w:hAnsi="Times New Roman" w:cs="Times New Roman"/>
          <w:sz w:val="28"/>
          <w:szCs w:val="28"/>
          <w:lang w:eastAsia="ru-RU"/>
        </w:rPr>
        <w:t xml:space="preserve"> г.</w:t>
      </w:r>
      <w:r w:rsidRPr="00FF13D6">
        <w:rPr>
          <w:rFonts w:ascii="Times New Roman" w:eastAsia="Times New Roman" w:hAnsi="Times New Roman" w:cs="Times New Roman"/>
          <w:sz w:val="28"/>
          <w:szCs w:val="28"/>
          <w:lang w:eastAsia="ru-RU"/>
        </w:rPr>
        <w:t xml:space="preserve"> № 34н «Об утверждении Порядка согласования материалов, подготовленных органами государственной власти субъектов Российской Федерации для информирования населения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 на территории соответствующего субъекта Рос</w:t>
      </w:r>
      <w:r w:rsidR="008C73B9" w:rsidRPr="00FF13D6">
        <w:rPr>
          <w:rFonts w:ascii="Times New Roman" w:eastAsia="Times New Roman" w:hAnsi="Times New Roman" w:cs="Times New Roman"/>
          <w:sz w:val="28"/>
          <w:szCs w:val="28"/>
          <w:lang w:eastAsia="ru-RU"/>
        </w:rPr>
        <w:t>сийской Федерации»;</w:t>
      </w:r>
    </w:p>
    <w:p w14:paraId="42393B7E" w14:textId="2EB5D44A" w:rsidR="00FA4744"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приказ Минздрава России от 20</w:t>
      </w:r>
      <w:r w:rsidR="00895B8F" w:rsidRPr="00FF13D6">
        <w:rPr>
          <w:rFonts w:ascii="Times New Roman" w:eastAsia="Times New Roman" w:hAnsi="Times New Roman" w:cs="Times New Roman"/>
          <w:sz w:val="28"/>
          <w:szCs w:val="28"/>
          <w:lang w:eastAsia="ru-RU"/>
        </w:rPr>
        <w:t xml:space="preserve"> февраля </w:t>
      </w:r>
      <w:r w:rsidRPr="00FF13D6">
        <w:rPr>
          <w:rFonts w:ascii="Times New Roman" w:eastAsia="Times New Roman" w:hAnsi="Times New Roman" w:cs="Times New Roman"/>
          <w:sz w:val="28"/>
          <w:szCs w:val="28"/>
          <w:lang w:eastAsia="ru-RU"/>
        </w:rPr>
        <w:t>2021</w:t>
      </w:r>
      <w:r w:rsidR="00895B8F" w:rsidRPr="00FF13D6">
        <w:rPr>
          <w:rFonts w:ascii="Times New Roman" w:eastAsia="Times New Roman" w:hAnsi="Times New Roman" w:cs="Times New Roman"/>
          <w:sz w:val="28"/>
          <w:szCs w:val="28"/>
          <w:lang w:eastAsia="ru-RU"/>
        </w:rPr>
        <w:t xml:space="preserve"> г.</w:t>
      </w:r>
      <w:r w:rsidRPr="00FF13D6">
        <w:rPr>
          <w:rFonts w:ascii="Times New Roman" w:eastAsia="Times New Roman" w:hAnsi="Times New Roman" w:cs="Times New Roman"/>
          <w:sz w:val="28"/>
          <w:szCs w:val="28"/>
          <w:lang w:eastAsia="ru-RU"/>
        </w:rPr>
        <w:t xml:space="preserve"> № 130н «Об утверждении перечня документов, удостоверяющих личность (в том числе личность иностранного гражданина или лица без гражданства в Российской Федерации) и позволяющих установить возраст покупателя, приобретающего табачную продукцию или никоти</w:t>
      </w:r>
      <w:r w:rsidR="00895B8F" w:rsidRPr="00FF13D6">
        <w:rPr>
          <w:rFonts w:ascii="Times New Roman" w:eastAsia="Times New Roman" w:hAnsi="Times New Roman" w:cs="Times New Roman"/>
          <w:sz w:val="28"/>
          <w:szCs w:val="28"/>
          <w:lang w:eastAsia="ru-RU"/>
        </w:rPr>
        <w:t xml:space="preserve">нсодержащую продукцию, кальяны </w:t>
      </w:r>
      <w:r w:rsidRPr="00FF13D6">
        <w:rPr>
          <w:rFonts w:ascii="Times New Roman" w:eastAsia="Times New Roman" w:hAnsi="Times New Roman" w:cs="Times New Roman"/>
          <w:sz w:val="28"/>
          <w:szCs w:val="28"/>
          <w:lang w:eastAsia="ru-RU"/>
        </w:rPr>
        <w:t>и устройства для потребления никотинсодержащей продукции»;</w:t>
      </w:r>
    </w:p>
    <w:p w14:paraId="28AC249F" w14:textId="77777777" w:rsidR="00FA4744" w:rsidRPr="00FF13D6" w:rsidRDefault="00895B8F"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 xml:space="preserve">приказ Минздрава России от </w:t>
      </w:r>
      <w:r w:rsidR="00FA4744" w:rsidRPr="00FF13D6">
        <w:rPr>
          <w:rFonts w:ascii="Times New Roman" w:eastAsia="Times New Roman" w:hAnsi="Times New Roman" w:cs="Times New Roman"/>
          <w:sz w:val="28"/>
          <w:szCs w:val="28"/>
          <w:lang w:eastAsia="ru-RU"/>
        </w:rPr>
        <w:t>5</w:t>
      </w:r>
      <w:r w:rsidRPr="00FF13D6">
        <w:rPr>
          <w:rFonts w:ascii="Times New Roman" w:eastAsia="Times New Roman" w:hAnsi="Times New Roman" w:cs="Times New Roman"/>
          <w:sz w:val="28"/>
          <w:szCs w:val="28"/>
          <w:lang w:eastAsia="ru-RU"/>
        </w:rPr>
        <w:t xml:space="preserve"> марта </w:t>
      </w:r>
      <w:r w:rsidR="00FA4744" w:rsidRPr="00FF13D6">
        <w:rPr>
          <w:rFonts w:ascii="Times New Roman" w:eastAsia="Times New Roman" w:hAnsi="Times New Roman" w:cs="Times New Roman"/>
          <w:sz w:val="28"/>
          <w:szCs w:val="28"/>
          <w:lang w:eastAsia="ru-RU"/>
        </w:rPr>
        <w:t>2021</w:t>
      </w:r>
      <w:r w:rsidRPr="00FF13D6">
        <w:rPr>
          <w:rFonts w:ascii="Times New Roman" w:eastAsia="Times New Roman" w:hAnsi="Times New Roman" w:cs="Times New Roman"/>
          <w:sz w:val="28"/>
          <w:szCs w:val="28"/>
          <w:lang w:eastAsia="ru-RU"/>
        </w:rPr>
        <w:t xml:space="preserve"> г.</w:t>
      </w:r>
      <w:r w:rsidR="00FA4744" w:rsidRPr="00FF13D6">
        <w:rPr>
          <w:rFonts w:ascii="Times New Roman" w:eastAsia="Times New Roman" w:hAnsi="Times New Roman" w:cs="Times New Roman"/>
          <w:sz w:val="28"/>
          <w:szCs w:val="28"/>
          <w:lang w:eastAsia="ru-RU"/>
        </w:rPr>
        <w:t xml:space="preserve"> №</w:t>
      </w:r>
      <w:r w:rsidR="00254DFC" w:rsidRPr="00FF13D6">
        <w:rPr>
          <w:rFonts w:ascii="Times New Roman" w:eastAsia="Times New Roman" w:hAnsi="Times New Roman" w:cs="Times New Roman"/>
          <w:sz w:val="28"/>
          <w:szCs w:val="28"/>
          <w:lang w:eastAsia="ru-RU"/>
        </w:rPr>
        <w:t> </w:t>
      </w:r>
      <w:r w:rsidR="00FA4744" w:rsidRPr="00FF13D6">
        <w:rPr>
          <w:rFonts w:ascii="Times New Roman" w:eastAsia="Times New Roman" w:hAnsi="Times New Roman" w:cs="Times New Roman"/>
          <w:sz w:val="28"/>
          <w:szCs w:val="28"/>
          <w:lang w:eastAsia="ru-RU"/>
        </w:rPr>
        <w:t>170н «Об утверждении Методики проведения мониторинга и оценки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14:paraId="6F05A50D" w14:textId="77777777" w:rsidR="00FA4744"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совместный приказ Минстроя России и Мин</w:t>
      </w:r>
      <w:r w:rsidR="00895B8F" w:rsidRPr="00FF13D6">
        <w:rPr>
          <w:rFonts w:ascii="Times New Roman" w:eastAsia="Times New Roman" w:hAnsi="Times New Roman" w:cs="Times New Roman"/>
          <w:sz w:val="28"/>
          <w:szCs w:val="28"/>
          <w:lang w:eastAsia="ru-RU"/>
        </w:rPr>
        <w:t xml:space="preserve">здрава России от 30 января </w:t>
      </w:r>
      <w:r w:rsidRPr="00FF13D6">
        <w:rPr>
          <w:rFonts w:ascii="Times New Roman" w:eastAsia="Times New Roman" w:hAnsi="Times New Roman" w:cs="Times New Roman"/>
          <w:sz w:val="28"/>
          <w:szCs w:val="28"/>
          <w:lang w:eastAsia="ru-RU"/>
        </w:rPr>
        <w:t xml:space="preserve">2021 </w:t>
      </w:r>
      <w:r w:rsidR="00895B8F" w:rsidRPr="00FF13D6">
        <w:rPr>
          <w:rFonts w:ascii="Times New Roman" w:eastAsia="Times New Roman" w:hAnsi="Times New Roman" w:cs="Times New Roman"/>
          <w:sz w:val="28"/>
          <w:szCs w:val="28"/>
          <w:lang w:eastAsia="ru-RU"/>
        </w:rPr>
        <w:t xml:space="preserve">г. </w:t>
      </w:r>
      <w:r w:rsidRPr="00FF13D6">
        <w:rPr>
          <w:rFonts w:ascii="Times New Roman" w:eastAsia="Times New Roman" w:hAnsi="Times New Roman" w:cs="Times New Roman"/>
          <w:sz w:val="28"/>
          <w:szCs w:val="28"/>
          <w:lang w:eastAsia="ru-RU"/>
        </w:rPr>
        <w:t>№ 32/</w:t>
      </w:r>
      <w:proofErr w:type="spellStart"/>
      <w:r w:rsidRPr="00FF13D6">
        <w:rPr>
          <w:rFonts w:ascii="Times New Roman" w:eastAsia="Times New Roman" w:hAnsi="Times New Roman" w:cs="Times New Roman"/>
          <w:sz w:val="28"/>
          <w:szCs w:val="28"/>
          <w:lang w:eastAsia="ru-RU"/>
        </w:rPr>
        <w:t>пр</w:t>
      </w:r>
      <w:proofErr w:type="spellEnd"/>
      <w:r w:rsidRPr="00FF13D6">
        <w:rPr>
          <w:rFonts w:ascii="Times New Roman" w:eastAsia="Times New Roman" w:hAnsi="Times New Roman" w:cs="Times New Roman"/>
          <w:sz w:val="28"/>
          <w:szCs w:val="28"/>
          <w:lang w:eastAsia="ru-RU"/>
        </w:rPr>
        <w:t>/33 «О требованиях к выделению и оснащению специальных мест на открытом воздухе для курения табака или потребления никотинсодержащей продукции, к выделению и оборудованию изолированных помещений для курения табака или потребления никотинсодержащей продукции».</w:t>
      </w:r>
    </w:p>
    <w:p w14:paraId="4699D3E4" w14:textId="77777777" w:rsidR="00312453" w:rsidRPr="00FF13D6" w:rsidRDefault="00B049D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С 2016 г</w:t>
      </w:r>
      <w:r w:rsidR="00152252"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 xml:space="preserve"> наблюдается снижение в 2 раза случаев отравлений наркотическими веществами среди детей и подро</w:t>
      </w:r>
      <w:r w:rsidR="00152252" w:rsidRPr="00FF13D6">
        <w:rPr>
          <w:rFonts w:ascii="Times New Roman" w:eastAsia="Times New Roman" w:hAnsi="Times New Roman" w:cs="Times New Roman"/>
          <w:sz w:val="28"/>
          <w:szCs w:val="28"/>
          <w:lang w:eastAsia="ru-RU"/>
        </w:rPr>
        <w:t xml:space="preserve">стков (2016 г. – 1 191 случай; </w:t>
      </w:r>
      <w:r w:rsidRPr="00FF13D6">
        <w:rPr>
          <w:rFonts w:ascii="Times New Roman" w:eastAsia="Times New Roman" w:hAnsi="Times New Roman" w:cs="Times New Roman"/>
          <w:sz w:val="28"/>
          <w:szCs w:val="28"/>
          <w:lang w:eastAsia="ru-RU"/>
        </w:rPr>
        <w:t xml:space="preserve">2021 г. – 561 случай). </w:t>
      </w:r>
      <w:r w:rsidR="00D620EA" w:rsidRPr="00FF13D6">
        <w:rPr>
          <w:rFonts w:ascii="Times New Roman" w:eastAsia="Times New Roman" w:hAnsi="Times New Roman" w:cs="Times New Roman"/>
          <w:sz w:val="28"/>
          <w:szCs w:val="28"/>
          <w:lang w:eastAsia="ru-RU"/>
        </w:rPr>
        <w:t>По данным ведомственного мониторинга Роспотребнадзора, в 2021 г</w:t>
      </w:r>
      <w:r w:rsidR="00152252" w:rsidRPr="00FF13D6">
        <w:rPr>
          <w:rFonts w:ascii="Times New Roman" w:eastAsia="Times New Roman" w:hAnsi="Times New Roman" w:cs="Times New Roman"/>
          <w:sz w:val="28"/>
          <w:szCs w:val="28"/>
          <w:lang w:eastAsia="ru-RU"/>
        </w:rPr>
        <w:t>.</w:t>
      </w:r>
      <w:r w:rsidR="00D620EA" w:rsidRPr="00FF13D6">
        <w:rPr>
          <w:rFonts w:ascii="Times New Roman" w:eastAsia="Times New Roman" w:hAnsi="Times New Roman" w:cs="Times New Roman"/>
          <w:sz w:val="28"/>
          <w:szCs w:val="28"/>
          <w:lang w:eastAsia="ru-RU"/>
        </w:rPr>
        <w:t xml:space="preserve"> по сравнению с 2016 г</w:t>
      </w:r>
      <w:r w:rsidR="00152252" w:rsidRPr="00FF13D6">
        <w:rPr>
          <w:rFonts w:ascii="Times New Roman" w:eastAsia="Times New Roman" w:hAnsi="Times New Roman" w:cs="Times New Roman"/>
          <w:sz w:val="28"/>
          <w:szCs w:val="28"/>
          <w:lang w:eastAsia="ru-RU"/>
        </w:rPr>
        <w:t>.</w:t>
      </w:r>
      <w:r w:rsidR="00D620EA" w:rsidRPr="00FF13D6">
        <w:rPr>
          <w:rFonts w:ascii="Times New Roman" w:eastAsia="Times New Roman" w:hAnsi="Times New Roman" w:cs="Times New Roman"/>
          <w:sz w:val="28"/>
          <w:szCs w:val="28"/>
          <w:lang w:eastAsia="ru-RU"/>
        </w:rPr>
        <w:t xml:space="preserve"> </w:t>
      </w:r>
      <w:r w:rsidRPr="00FF13D6">
        <w:rPr>
          <w:rFonts w:ascii="Times New Roman" w:eastAsia="Times New Roman" w:hAnsi="Times New Roman" w:cs="Times New Roman"/>
          <w:sz w:val="28"/>
          <w:szCs w:val="28"/>
          <w:lang w:eastAsia="ru-RU"/>
        </w:rPr>
        <w:t xml:space="preserve">также </w:t>
      </w:r>
      <w:r w:rsidR="00D620EA" w:rsidRPr="00FF13D6">
        <w:rPr>
          <w:rFonts w:ascii="Times New Roman" w:eastAsia="Times New Roman" w:hAnsi="Times New Roman" w:cs="Times New Roman"/>
          <w:sz w:val="28"/>
          <w:szCs w:val="28"/>
          <w:lang w:eastAsia="ru-RU"/>
        </w:rPr>
        <w:t xml:space="preserve">снизились показатели отравлений наркотическими веществами среди подросткового населения 15-17 лет (с 21,3 до 10,2 на 100 тыс. населения данного возраста). </w:t>
      </w:r>
    </w:p>
    <w:p w14:paraId="3E687034" w14:textId="0A485156" w:rsidR="008C73B9" w:rsidRPr="00FF13D6" w:rsidRDefault="00895B8F" w:rsidP="00D82BB4">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Ф</w:t>
      </w:r>
      <w:r w:rsidR="00FA4744" w:rsidRPr="00FF13D6">
        <w:rPr>
          <w:rFonts w:ascii="Times New Roman" w:eastAsia="Times New Roman" w:hAnsi="Times New Roman" w:cs="Times New Roman"/>
          <w:sz w:val="28"/>
          <w:szCs w:val="28"/>
          <w:lang w:eastAsia="ru-RU"/>
        </w:rPr>
        <w:t>ормирование здорового образа жизни среди детей и молодежи также</w:t>
      </w:r>
      <w:r w:rsidRPr="00FF13D6">
        <w:rPr>
          <w:rFonts w:ascii="Times New Roman" w:eastAsia="Times New Roman" w:hAnsi="Times New Roman" w:cs="Times New Roman"/>
          <w:sz w:val="28"/>
          <w:szCs w:val="28"/>
          <w:lang w:eastAsia="ru-RU"/>
        </w:rPr>
        <w:t xml:space="preserve"> является приоритетной задачей в деятельности Минпросвещения России </w:t>
      </w:r>
      <w:r w:rsidR="00FA4744" w:rsidRPr="00FF13D6">
        <w:rPr>
          <w:rFonts w:ascii="Times New Roman" w:eastAsia="Times New Roman" w:hAnsi="Times New Roman" w:cs="Times New Roman"/>
          <w:sz w:val="28"/>
          <w:szCs w:val="28"/>
          <w:lang w:eastAsia="ru-RU"/>
        </w:rPr>
        <w:t>и осуществляется путем создания усло</w:t>
      </w:r>
      <w:r w:rsidRPr="00FF13D6">
        <w:rPr>
          <w:rFonts w:ascii="Times New Roman" w:eastAsia="Times New Roman" w:hAnsi="Times New Roman" w:cs="Times New Roman"/>
          <w:sz w:val="28"/>
          <w:szCs w:val="28"/>
          <w:lang w:eastAsia="ru-RU"/>
        </w:rPr>
        <w:t xml:space="preserve">вий для сохранения, укрепления </w:t>
      </w:r>
      <w:r w:rsidR="00FA4744" w:rsidRPr="00FF13D6">
        <w:rPr>
          <w:rFonts w:ascii="Times New Roman" w:eastAsia="Times New Roman" w:hAnsi="Times New Roman" w:cs="Times New Roman"/>
          <w:sz w:val="28"/>
          <w:szCs w:val="28"/>
          <w:lang w:eastAsia="ru-RU"/>
        </w:rPr>
        <w:t>и обеспечения безопасности здоровья участников образовательного про</w:t>
      </w:r>
      <w:r w:rsidR="008C73B9" w:rsidRPr="00FF13D6">
        <w:rPr>
          <w:rFonts w:ascii="Times New Roman" w:eastAsia="Times New Roman" w:hAnsi="Times New Roman" w:cs="Times New Roman"/>
          <w:sz w:val="28"/>
          <w:szCs w:val="28"/>
          <w:lang w:eastAsia="ru-RU"/>
        </w:rPr>
        <w:t>цесса.</w:t>
      </w:r>
    </w:p>
    <w:p w14:paraId="161235BB" w14:textId="47A54AC4" w:rsidR="00FA4744"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Согласно статье 28 Федерального закона от 29</w:t>
      </w:r>
      <w:r w:rsidR="00895B8F" w:rsidRPr="00FF13D6">
        <w:rPr>
          <w:rFonts w:ascii="Times New Roman" w:eastAsia="Times New Roman" w:hAnsi="Times New Roman" w:cs="Times New Roman"/>
          <w:sz w:val="28"/>
          <w:szCs w:val="28"/>
          <w:lang w:eastAsia="ru-RU"/>
        </w:rPr>
        <w:t xml:space="preserve"> декабря </w:t>
      </w:r>
      <w:r w:rsidRPr="00FF13D6">
        <w:rPr>
          <w:rFonts w:ascii="Times New Roman" w:eastAsia="Times New Roman" w:hAnsi="Times New Roman" w:cs="Times New Roman"/>
          <w:sz w:val="28"/>
          <w:szCs w:val="28"/>
          <w:lang w:eastAsia="ru-RU"/>
        </w:rPr>
        <w:t>2012</w:t>
      </w:r>
      <w:r w:rsidR="00895B8F" w:rsidRPr="00FF13D6">
        <w:rPr>
          <w:rFonts w:ascii="Times New Roman" w:eastAsia="Times New Roman" w:hAnsi="Times New Roman" w:cs="Times New Roman"/>
          <w:sz w:val="28"/>
          <w:szCs w:val="28"/>
          <w:lang w:eastAsia="ru-RU"/>
        </w:rPr>
        <w:t xml:space="preserve"> г.</w:t>
      </w:r>
      <w:r w:rsidRPr="00FF13D6">
        <w:rPr>
          <w:rFonts w:ascii="Times New Roman" w:eastAsia="Times New Roman" w:hAnsi="Times New Roman" w:cs="Times New Roman"/>
          <w:sz w:val="28"/>
          <w:szCs w:val="28"/>
          <w:lang w:eastAsia="ru-RU"/>
        </w:rPr>
        <w:t xml:space="preserve"> № 273</w:t>
      </w:r>
      <w:r w:rsidR="00895B8F" w:rsidRPr="00FF13D6">
        <w:rPr>
          <w:rFonts w:ascii="Times New Roman" w:eastAsia="Times New Roman" w:hAnsi="Times New Roman" w:cs="Times New Roman"/>
          <w:sz w:val="28"/>
          <w:szCs w:val="28"/>
          <w:lang w:eastAsia="ru-RU"/>
        </w:rPr>
        <w:t xml:space="preserve">-ФЗ </w:t>
      </w:r>
      <w:r w:rsidR="00895B8F" w:rsidRPr="00FF13D6">
        <w:rPr>
          <w:rFonts w:ascii="Times New Roman" w:eastAsia="Times New Roman" w:hAnsi="Times New Roman" w:cs="Times New Roman"/>
          <w:sz w:val="28"/>
          <w:szCs w:val="28"/>
          <w:lang w:eastAsia="ru-RU"/>
        </w:rPr>
        <w:br/>
      </w:r>
      <w:r w:rsidRPr="00FF13D6">
        <w:rPr>
          <w:rFonts w:ascii="Times New Roman" w:eastAsia="Times New Roman" w:hAnsi="Times New Roman" w:cs="Times New Roman"/>
          <w:sz w:val="28"/>
          <w:szCs w:val="28"/>
          <w:lang w:eastAsia="ru-RU"/>
        </w:rPr>
        <w:t xml:space="preserve">«Об образовании в Российской Федерации» (далее – </w:t>
      </w:r>
      <w:r w:rsidR="00895B8F" w:rsidRPr="00FF13D6">
        <w:rPr>
          <w:rFonts w:ascii="Times New Roman" w:eastAsia="Times New Roman" w:hAnsi="Times New Roman" w:cs="Times New Roman"/>
          <w:sz w:val="28"/>
          <w:szCs w:val="28"/>
          <w:lang w:eastAsia="ru-RU"/>
        </w:rPr>
        <w:t xml:space="preserve">Федеральный закон </w:t>
      </w:r>
      <w:r w:rsidR="00895B8F" w:rsidRPr="00FF13D6">
        <w:rPr>
          <w:rFonts w:ascii="Times New Roman" w:eastAsia="Times New Roman" w:hAnsi="Times New Roman" w:cs="Times New Roman"/>
          <w:sz w:val="28"/>
          <w:szCs w:val="28"/>
          <w:lang w:eastAsia="ru-RU"/>
        </w:rPr>
        <w:br/>
        <w:t>от 29 декабря 2012 г. № 273-ФЗ</w:t>
      </w:r>
      <w:r w:rsidRPr="00FF13D6">
        <w:rPr>
          <w:rFonts w:ascii="Times New Roman" w:eastAsia="Times New Roman" w:hAnsi="Times New Roman" w:cs="Times New Roman"/>
          <w:sz w:val="28"/>
          <w:szCs w:val="28"/>
          <w:lang w:eastAsia="ru-RU"/>
        </w:rPr>
        <w:t>)</w:t>
      </w:r>
      <w:r w:rsidR="00895B8F"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 xml:space="preserve"> образовательная организация обладает автономией, под которой понимается самостоятельность в осуществлении образовательной деятельности, в том числе в части создания необходимых условий для охраны и укрепления здоровья обучающихся. Частью 4 статьи 41 </w:t>
      </w:r>
      <w:r w:rsidR="00895B8F" w:rsidRPr="00FF13D6">
        <w:rPr>
          <w:rFonts w:ascii="Times New Roman" w:eastAsia="Times New Roman" w:hAnsi="Times New Roman" w:cs="Times New Roman"/>
          <w:sz w:val="28"/>
          <w:szCs w:val="28"/>
          <w:lang w:eastAsia="ru-RU"/>
        </w:rPr>
        <w:t>вышеуказанного Федерального закона</w:t>
      </w:r>
      <w:r w:rsidRPr="00FF13D6">
        <w:rPr>
          <w:rFonts w:ascii="Times New Roman" w:eastAsia="Times New Roman" w:hAnsi="Times New Roman" w:cs="Times New Roman"/>
          <w:sz w:val="28"/>
          <w:szCs w:val="28"/>
          <w:lang w:eastAsia="ru-RU"/>
        </w:rPr>
        <w:t xml:space="preserve"> установлено, что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w:t>
      </w:r>
      <w:r w:rsidR="00895B8F" w:rsidRPr="00FF13D6">
        <w:rPr>
          <w:rFonts w:ascii="Times New Roman" w:eastAsia="Times New Roman" w:hAnsi="Times New Roman" w:cs="Times New Roman"/>
          <w:sz w:val="28"/>
          <w:szCs w:val="28"/>
          <w:lang w:eastAsia="ru-RU"/>
        </w:rPr>
        <w:t xml:space="preserve"> числе обеспечивают наблюдение </w:t>
      </w:r>
      <w:r w:rsidRPr="00FF13D6">
        <w:rPr>
          <w:rFonts w:ascii="Times New Roman" w:eastAsia="Times New Roman" w:hAnsi="Times New Roman" w:cs="Times New Roman"/>
          <w:sz w:val="28"/>
          <w:szCs w:val="28"/>
          <w:lang w:eastAsia="ru-RU"/>
        </w:rPr>
        <w:t>за состоянием здоровья обучающихся,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14:paraId="53A4056C" w14:textId="77777777" w:rsidR="00B049D4" w:rsidRPr="00FF13D6" w:rsidRDefault="00B049D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Итоги контрольно-надзорных мероприятий 2021 г</w:t>
      </w:r>
      <w:r w:rsidR="00296F0E"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 xml:space="preserve"> показывают, что удельный вес учреждений воспитания и обучения детей, в ходе проверок которых выявлялись случаи использования мебели, не отвечающей гигиеническим требованиям, составил 7,6%.</w:t>
      </w:r>
    </w:p>
    <w:p w14:paraId="5670ECCE" w14:textId="77777777" w:rsidR="00B049D4" w:rsidRPr="00FF13D6" w:rsidRDefault="00B049D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 xml:space="preserve">За период </w:t>
      </w:r>
      <w:r w:rsidR="00296F0E" w:rsidRPr="00FF13D6">
        <w:rPr>
          <w:rFonts w:ascii="Times New Roman" w:eastAsia="Times New Roman" w:hAnsi="Times New Roman" w:cs="Times New Roman"/>
          <w:sz w:val="28"/>
          <w:szCs w:val="28"/>
          <w:lang w:eastAsia="ru-RU"/>
        </w:rPr>
        <w:t>2016-2021 гг.</w:t>
      </w:r>
      <w:r w:rsidRPr="00FF13D6">
        <w:rPr>
          <w:rFonts w:ascii="Times New Roman" w:eastAsia="Times New Roman" w:hAnsi="Times New Roman" w:cs="Times New Roman"/>
          <w:sz w:val="28"/>
          <w:szCs w:val="28"/>
          <w:lang w:eastAsia="ru-RU"/>
        </w:rPr>
        <w:t xml:space="preserve"> отмечается снижение на 2,3% удельного веса замеров микроклимата, не соответствующих нормативным требованиям, на 1,2% уровня искусственной освещенности.</w:t>
      </w:r>
    </w:p>
    <w:p w14:paraId="45397C3E" w14:textId="77777777" w:rsidR="00B049D4" w:rsidRPr="00FF13D6" w:rsidRDefault="00B049D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Удельный вес учреждений воспитания и обучения, в которых в ходе проверок в 2021 г</w:t>
      </w:r>
      <w:r w:rsidR="00296F0E"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 xml:space="preserve"> выявлялось несоответствие нормативным требованиям параметров искусственной освещенности, составил 13%, параметров микроклимата – 6,2%.</w:t>
      </w:r>
    </w:p>
    <w:p w14:paraId="49603575" w14:textId="77777777" w:rsidR="00FA4744"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Одним из механизмов сохранения и укрепления здоровья подрастающего поколения является их вовлечение в систематические занятия физической культурой и спортом, который реализуется путем создания соответствующей условий и спортивной инфраструктуры.</w:t>
      </w:r>
    </w:p>
    <w:p w14:paraId="0AEFA8AB" w14:textId="77777777" w:rsidR="00FA4744"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 xml:space="preserve">В рамках федерального проекта «Успех каждого ребенка» национального проекта «Образование» Минпросвещения России предоставляет субсидии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физической культурой и спортом (далее </w:t>
      </w:r>
      <w:r w:rsidR="000E55EB" w:rsidRPr="00FF13D6">
        <w:rPr>
          <w:rFonts w:ascii="Times New Roman" w:eastAsia="Times New Roman" w:hAnsi="Times New Roman" w:cs="Times New Roman"/>
          <w:sz w:val="28"/>
          <w:szCs w:val="28"/>
          <w:lang w:eastAsia="ru-RU"/>
        </w:rPr>
        <w:t xml:space="preserve">по тексту подраздела </w:t>
      </w:r>
      <w:r w:rsidRPr="00FF13D6">
        <w:rPr>
          <w:rFonts w:ascii="Times New Roman" w:eastAsia="Times New Roman" w:hAnsi="Times New Roman" w:cs="Times New Roman"/>
          <w:sz w:val="28"/>
          <w:szCs w:val="28"/>
          <w:lang w:eastAsia="ru-RU"/>
        </w:rPr>
        <w:t>– субсидии). Начина</w:t>
      </w:r>
      <w:r w:rsidR="000E55EB" w:rsidRPr="00FF13D6">
        <w:rPr>
          <w:rFonts w:ascii="Times New Roman" w:eastAsia="Times New Roman" w:hAnsi="Times New Roman" w:cs="Times New Roman"/>
          <w:sz w:val="28"/>
          <w:szCs w:val="28"/>
          <w:lang w:eastAsia="ru-RU"/>
        </w:rPr>
        <w:t>я с 2020 г</w:t>
      </w:r>
      <w:r w:rsidR="00296F0E" w:rsidRPr="00FF13D6">
        <w:rPr>
          <w:rFonts w:ascii="Times New Roman" w:eastAsia="Times New Roman" w:hAnsi="Times New Roman" w:cs="Times New Roman"/>
          <w:sz w:val="28"/>
          <w:szCs w:val="28"/>
          <w:lang w:eastAsia="ru-RU"/>
        </w:rPr>
        <w:t>.</w:t>
      </w:r>
      <w:r w:rsidR="000E55EB" w:rsidRPr="00FF13D6">
        <w:rPr>
          <w:rFonts w:ascii="Times New Roman" w:eastAsia="Times New Roman" w:hAnsi="Times New Roman" w:cs="Times New Roman"/>
          <w:sz w:val="28"/>
          <w:szCs w:val="28"/>
          <w:lang w:eastAsia="ru-RU"/>
        </w:rPr>
        <w:t xml:space="preserve"> средства субсидии</w:t>
      </w:r>
      <w:r w:rsidRPr="00FF13D6">
        <w:rPr>
          <w:rFonts w:ascii="Times New Roman" w:eastAsia="Times New Roman" w:hAnsi="Times New Roman" w:cs="Times New Roman"/>
          <w:sz w:val="28"/>
          <w:szCs w:val="28"/>
          <w:lang w:eastAsia="ru-RU"/>
        </w:rPr>
        <w:t xml:space="preserve"> направлялись на создание условий для занятия физической культурой и спортом в общеобразовательных организациях, расположенных как в сельской местности, так и малых городах (численность населения до 50 тыс</w:t>
      </w:r>
      <w:r w:rsidR="000E55EB"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 xml:space="preserve"> человек, в том числе поселки городского типа).</w:t>
      </w:r>
    </w:p>
    <w:p w14:paraId="27264F76" w14:textId="77777777" w:rsidR="00FA4744"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 xml:space="preserve">Всего за период </w:t>
      </w:r>
      <w:r w:rsidR="00296F0E" w:rsidRPr="00FF13D6">
        <w:rPr>
          <w:rFonts w:ascii="Times New Roman" w:eastAsia="Times New Roman" w:hAnsi="Times New Roman" w:cs="Times New Roman"/>
          <w:sz w:val="28"/>
          <w:szCs w:val="28"/>
          <w:lang w:eastAsia="ru-RU"/>
        </w:rPr>
        <w:t>2014-2021 гг.</w:t>
      </w:r>
      <w:r w:rsidRPr="00FF13D6">
        <w:rPr>
          <w:rFonts w:ascii="Times New Roman" w:eastAsia="Times New Roman" w:hAnsi="Times New Roman" w:cs="Times New Roman"/>
          <w:sz w:val="28"/>
          <w:szCs w:val="28"/>
          <w:lang w:eastAsia="ru-RU"/>
        </w:rPr>
        <w:t xml:space="preserve"> из федерального бюджета бюджетам субъектов Российской Федерации выделено 12 338 289,4 тыс. рублей, за счет которых </w:t>
      </w:r>
      <w:r w:rsidR="00BB06ED" w:rsidRPr="00FF13D6">
        <w:rPr>
          <w:rFonts w:ascii="Times New Roman" w:eastAsia="Times New Roman" w:hAnsi="Times New Roman" w:cs="Times New Roman"/>
          <w:sz w:val="28"/>
          <w:szCs w:val="28"/>
          <w:lang w:eastAsia="ru-RU"/>
        </w:rPr>
        <w:t>для почти 2,5 млн</w:t>
      </w:r>
      <w:r w:rsidR="006427BF" w:rsidRPr="00FF13D6">
        <w:rPr>
          <w:rFonts w:ascii="Times New Roman" w:eastAsia="Times New Roman" w:hAnsi="Times New Roman" w:cs="Times New Roman"/>
          <w:sz w:val="28"/>
          <w:szCs w:val="28"/>
          <w:lang w:eastAsia="ru-RU"/>
        </w:rPr>
        <w:t xml:space="preserve"> детей </w:t>
      </w:r>
      <w:r w:rsidRPr="00FF13D6">
        <w:rPr>
          <w:rFonts w:ascii="Times New Roman" w:eastAsia="Times New Roman" w:hAnsi="Times New Roman" w:cs="Times New Roman"/>
          <w:sz w:val="28"/>
          <w:szCs w:val="28"/>
          <w:lang w:eastAsia="ru-RU"/>
        </w:rPr>
        <w:t>в 12 630 общеоб</w:t>
      </w:r>
      <w:r w:rsidR="000E55EB" w:rsidRPr="00FF13D6">
        <w:rPr>
          <w:rFonts w:ascii="Times New Roman" w:eastAsia="Times New Roman" w:hAnsi="Times New Roman" w:cs="Times New Roman"/>
          <w:sz w:val="28"/>
          <w:szCs w:val="28"/>
          <w:lang w:eastAsia="ru-RU"/>
        </w:rPr>
        <w:t xml:space="preserve">разовательных организациях </w:t>
      </w:r>
      <w:r w:rsidRPr="00FF13D6">
        <w:rPr>
          <w:rFonts w:ascii="Times New Roman" w:eastAsia="Times New Roman" w:hAnsi="Times New Roman" w:cs="Times New Roman"/>
          <w:sz w:val="28"/>
          <w:szCs w:val="28"/>
          <w:lang w:eastAsia="ru-RU"/>
        </w:rPr>
        <w:t xml:space="preserve">отремонтирован </w:t>
      </w:r>
      <w:r w:rsidR="00296F0E" w:rsidRPr="00FF13D6">
        <w:rPr>
          <w:rFonts w:ascii="Times New Roman" w:eastAsia="Times New Roman" w:hAnsi="Times New Roman" w:cs="Times New Roman"/>
          <w:sz w:val="28"/>
          <w:szCs w:val="28"/>
          <w:lang w:eastAsia="ru-RU"/>
        </w:rPr>
        <w:br/>
      </w:r>
      <w:r w:rsidRPr="00FF13D6">
        <w:rPr>
          <w:rFonts w:ascii="Times New Roman" w:eastAsia="Times New Roman" w:hAnsi="Times New Roman" w:cs="Times New Roman"/>
          <w:sz w:val="28"/>
          <w:szCs w:val="28"/>
          <w:lang w:eastAsia="ru-RU"/>
        </w:rPr>
        <w:t xml:space="preserve">7 681 спортивный зал, перепрофилирована </w:t>
      </w:r>
      <w:r w:rsidR="000E55EB" w:rsidRPr="00FF13D6">
        <w:rPr>
          <w:rFonts w:ascii="Times New Roman" w:eastAsia="Times New Roman" w:hAnsi="Times New Roman" w:cs="Times New Roman"/>
          <w:sz w:val="28"/>
          <w:szCs w:val="28"/>
          <w:lang w:eastAsia="ru-RU"/>
        </w:rPr>
        <w:t xml:space="preserve">в спортивные залы для занятия физической культурой и спортом </w:t>
      </w:r>
      <w:r w:rsidRPr="00FF13D6">
        <w:rPr>
          <w:rFonts w:ascii="Times New Roman" w:eastAsia="Times New Roman" w:hAnsi="Times New Roman" w:cs="Times New Roman"/>
          <w:sz w:val="28"/>
          <w:szCs w:val="28"/>
          <w:lang w:eastAsia="ru-RU"/>
        </w:rPr>
        <w:t xml:space="preserve">341 имеющаяся аудитория, создано и </w:t>
      </w:r>
      <w:r w:rsidR="000E55EB" w:rsidRPr="00FF13D6">
        <w:rPr>
          <w:rFonts w:ascii="Times New Roman" w:eastAsia="Times New Roman" w:hAnsi="Times New Roman" w:cs="Times New Roman"/>
          <w:sz w:val="28"/>
          <w:szCs w:val="28"/>
          <w:lang w:eastAsia="ru-RU"/>
        </w:rPr>
        <w:t xml:space="preserve">оснащено спортивным инвентарем </w:t>
      </w:r>
      <w:r w:rsidRPr="00FF13D6">
        <w:rPr>
          <w:rFonts w:ascii="Times New Roman" w:eastAsia="Times New Roman" w:hAnsi="Times New Roman" w:cs="Times New Roman"/>
          <w:sz w:val="28"/>
          <w:szCs w:val="28"/>
          <w:lang w:eastAsia="ru-RU"/>
        </w:rPr>
        <w:t>и оборудованием 7</w:t>
      </w:r>
      <w:r w:rsidR="000E55EB" w:rsidRPr="00FF13D6">
        <w:rPr>
          <w:rFonts w:ascii="Times New Roman" w:eastAsia="Times New Roman" w:hAnsi="Times New Roman" w:cs="Times New Roman"/>
          <w:sz w:val="28"/>
          <w:szCs w:val="28"/>
          <w:lang w:eastAsia="ru-RU"/>
        </w:rPr>
        <w:t xml:space="preserve"> 666 школьных спортивных клубов, а также </w:t>
      </w:r>
      <w:r w:rsidRPr="00FF13D6">
        <w:rPr>
          <w:rFonts w:ascii="Times New Roman" w:eastAsia="Times New Roman" w:hAnsi="Times New Roman" w:cs="Times New Roman"/>
          <w:sz w:val="28"/>
          <w:szCs w:val="28"/>
          <w:lang w:eastAsia="ru-RU"/>
        </w:rPr>
        <w:t>3 439 открытых спортивных плоскостных сооружений.</w:t>
      </w:r>
    </w:p>
    <w:p w14:paraId="03C32335" w14:textId="06915581" w:rsidR="00FA4744"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 xml:space="preserve">В целях вовлечения подрастающего поколения в здоровый образ жизни через занятия физической культурой и спортом Минпросвещения России совместно с Минобрнауки России и Минспортом России ежегодно утверждает Всероссийский сводный </w:t>
      </w:r>
      <w:r w:rsidR="000E55EB" w:rsidRPr="00FF13D6">
        <w:rPr>
          <w:rFonts w:ascii="Times New Roman" w:eastAsia="Times New Roman" w:hAnsi="Times New Roman" w:cs="Times New Roman"/>
          <w:sz w:val="28"/>
          <w:szCs w:val="28"/>
          <w:lang w:eastAsia="ru-RU"/>
        </w:rPr>
        <w:t xml:space="preserve">календарный план физкультурных </w:t>
      </w:r>
      <w:r w:rsidRPr="00FF13D6">
        <w:rPr>
          <w:rFonts w:ascii="Times New Roman" w:eastAsia="Times New Roman" w:hAnsi="Times New Roman" w:cs="Times New Roman"/>
          <w:sz w:val="28"/>
          <w:szCs w:val="28"/>
          <w:lang w:eastAsia="ru-RU"/>
        </w:rPr>
        <w:t xml:space="preserve">и спортивных мероприятий, направленных на развитие физической культуры и спорта в образовательных организациях. В </w:t>
      </w:r>
      <w:r w:rsidR="00F70282" w:rsidRPr="00FF13D6">
        <w:rPr>
          <w:rFonts w:ascii="Times New Roman" w:eastAsia="Times New Roman" w:hAnsi="Times New Roman" w:cs="Times New Roman"/>
          <w:sz w:val="28"/>
          <w:szCs w:val="28"/>
          <w:lang w:eastAsia="ru-RU"/>
        </w:rPr>
        <w:t>к</w:t>
      </w:r>
      <w:r w:rsidRPr="00FF13D6">
        <w:rPr>
          <w:rFonts w:ascii="Times New Roman" w:eastAsia="Times New Roman" w:hAnsi="Times New Roman" w:cs="Times New Roman"/>
          <w:sz w:val="28"/>
          <w:szCs w:val="28"/>
          <w:lang w:eastAsia="ru-RU"/>
        </w:rPr>
        <w:t>алендарный план на 2020/2021 учебный год включены массовые мероприятия (всего 56 спортивных мероприятий) по наиболее популярным видам спорта: баскетбол, волейбол, футбол, мини-футбол, лыжные</w:t>
      </w:r>
      <w:r w:rsidR="000E55EB" w:rsidRPr="00FF13D6">
        <w:rPr>
          <w:rFonts w:ascii="Times New Roman" w:eastAsia="Times New Roman" w:hAnsi="Times New Roman" w:cs="Times New Roman"/>
          <w:sz w:val="28"/>
          <w:szCs w:val="28"/>
          <w:lang w:eastAsia="ru-RU"/>
        </w:rPr>
        <w:t xml:space="preserve"> гонки, шахматы, шашки, самбо. </w:t>
      </w:r>
      <w:r w:rsidRPr="00FF13D6">
        <w:rPr>
          <w:rFonts w:ascii="Times New Roman" w:eastAsia="Times New Roman" w:hAnsi="Times New Roman" w:cs="Times New Roman"/>
          <w:sz w:val="28"/>
          <w:szCs w:val="28"/>
          <w:lang w:eastAsia="ru-RU"/>
        </w:rPr>
        <w:t>В календарный план 202</w:t>
      </w:r>
      <w:r w:rsidR="00F70282" w:rsidRPr="00FF13D6">
        <w:rPr>
          <w:rFonts w:ascii="Times New Roman" w:eastAsia="Times New Roman" w:hAnsi="Times New Roman" w:cs="Times New Roman"/>
          <w:sz w:val="28"/>
          <w:szCs w:val="28"/>
          <w:lang w:eastAsia="ru-RU"/>
        </w:rPr>
        <w:t>1</w:t>
      </w:r>
      <w:r w:rsidRPr="00FF13D6">
        <w:rPr>
          <w:rFonts w:ascii="Times New Roman" w:eastAsia="Times New Roman" w:hAnsi="Times New Roman" w:cs="Times New Roman"/>
          <w:sz w:val="28"/>
          <w:szCs w:val="28"/>
          <w:lang w:eastAsia="ru-RU"/>
        </w:rPr>
        <w:t>/202</w:t>
      </w:r>
      <w:r w:rsidR="00F70282" w:rsidRPr="00FF13D6">
        <w:rPr>
          <w:rFonts w:ascii="Times New Roman" w:eastAsia="Times New Roman" w:hAnsi="Times New Roman" w:cs="Times New Roman"/>
          <w:sz w:val="28"/>
          <w:szCs w:val="28"/>
          <w:lang w:eastAsia="ru-RU"/>
        </w:rPr>
        <w:t>2</w:t>
      </w:r>
      <w:r w:rsidRPr="00FF13D6">
        <w:rPr>
          <w:rFonts w:ascii="Times New Roman" w:eastAsia="Times New Roman" w:hAnsi="Times New Roman" w:cs="Times New Roman"/>
          <w:sz w:val="28"/>
          <w:szCs w:val="28"/>
          <w:lang w:eastAsia="ru-RU"/>
        </w:rPr>
        <w:t xml:space="preserve"> учебного года включено 41 спортивное мероприятие.</w:t>
      </w:r>
    </w:p>
    <w:p w14:paraId="702A6AB6" w14:textId="77777777" w:rsidR="00FA4744"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 xml:space="preserve">В число масштабных мероприятий календарного плана входят Всероссийские спортивные игры школьников «Президентские спортивные игры» (далее – Президентские спортивные игры) и Всероссийские спортивные соревнования школьников «Президентские состязания» (далее – Президентские состязания), которые проводятся в соответствии с Указом Президента Российской Федерации </w:t>
      </w:r>
      <w:r w:rsidR="005C55D8" w:rsidRPr="00FF13D6">
        <w:rPr>
          <w:rFonts w:ascii="Times New Roman" w:eastAsia="Times New Roman" w:hAnsi="Times New Roman" w:cs="Times New Roman"/>
          <w:sz w:val="28"/>
          <w:szCs w:val="28"/>
          <w:lang w:eastAsia="ru-RU"/>
        </w:rPr>
        <w:br/>
      </w:r>
      <w:r w:rsidR="00740185" w:rsidRPr="00FF13D6">
        <w:rPr>
          <w:rFonts w:ascii="Times New Roman" w:eastAsia="Times New Roman" w:hAnsi="Times New Roman" w:cs="Times New Roman"/>
          <w:sz w:val="28"/>
          <w:szCs w:val="28"/>
          <w:lang w:eastAsia="ru-RU"/>
        </w:rPr>
        <w:t>о</w:t>
      </w:r>
      <w:r w:rsidRPr="00FF13D6">
        <w:rPr>
          <w:rFonts w:ascii="Times New Roman" w:eastAsia="Times New Roman" w:hAnsi="Times New Roman" w:cs="Times New Roman"/>
          <w:sz w:val="28"/>
          <w:szCs w:val="28"/>
          <w:lang w:eastAsia="ru-RU"/>
        </w:rPr>
        <w:t>т 30 июля 2010 г. № 948 «О проведении Всероссийских спортивных соревнований (игр) школьников».</w:t>
      </w:r>
    </w:p>
    <w:p w14:paraId="264CCCBE" w14:textId="6E4272EB" w:rsidR="00F70282"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 xml:space="preserve">В Президентских состязаниях ежегодно участвует свыше 11 млн </w:t>
      </w:r>
      <w:r w:rsidR="003B6F34" w:rsidRPr="00FF13D6">
        <w:rPr>
          <w:rFonts w:ascii="Times New Roman" w:eastAsia="Times New Roman" w:hAnsi="Times New Roman" w:cs="Times New Roman"/>
          <w:sz w:val="28"/>
          <w:szCs w:val="28"/>
          <w:lang w:eastAsia="ru-RU"/>
        </w:rPr>
        <w:t>об</w:t>
      </w:r>
      <w:r w:rsidRPr="00FF13D6">
        <w:rPr>
          <w:rFonts w:ascii="Times New Roman" w:eastAsia="Times New Roman" w:hAnsi="Times New Roman" w:cs="Times New Roman"/>
          <w:sz w:val="28"/>
          <w:szCs w:val="28"/>
          <w:lang w:eastAsia="ru-RU"/>
        </w:rPr>
        <w:t>уча</w:t>
      </w:r>
      <w:r w:rsidR="003B6F34" w:rsidRPr="00FF13D6">
        <w:rPr>
          <w:rFonts w:ascii="Times New Roman" w:eastAsia="Times New Roman" w:hAnsi="Times New Roman" w:cs="Times New Roman"/>
          <w:sz w:val="28"/>
          <w:szCs w:val="28"/>
          <w:lang w:eastAsia="ru-RU"/>
        </w:rPr>
        <w:t>ю</w:t>
      </w:r>
      <w:r w:rsidRPr="00FF13D6">
        <w:rPr>
          <w:rFonts w:ascii="Times New Roman" w:eastAsia="Times New Roman" w:hAnsi="Times New Roman" w:cs="Times New Roman"/>
          <w:sz w:val="28"/>
          <w:szCs w:val="28"/>
          <w:lang w:eastAsia="ru-RU"/>
        </w:rPr>
        <w:t xml:space="preserve">щихся </w:t>
      </w:r>
      <w:r w:rsidR="00F70282" w:rsidRPr="00FF13D6">
        <w:rPr>
          <w:rFonts w:ascii="Times New Roman" w:eastAsia="Times New Roman" w:hAnsi="Times New Roman" w:cs="Times New Roman"/>
          <w:sz w:val="28"/>
          <w:szCs w:val="28"/>
          <w:lang w:eastAsia="ru-RU"/>
        </w:rPr>
        <w:br/>
      </w:r>
      <w:r w:rsidRPr="00FF13D6">
        <w:rPr>
          <w:rFonts w:ascii="Times New Roman" w:eastAsia="Times New Roman" w:hAnsi="Times New Roman" w:cs="Times New Roman"/>
          <w:sz w:val="28"/>
          <w:szCs w:val="28"/>
          <w:lang w:eastAsia="ru-RU"/>
        </w:rPr>
        <w:t>1</w:t>
      </w:r>
      <w:r w:rsidR="00F70282"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11 классов. В 2021 г</w:t>
      </w:r>
      <w:r w:rsidR="00241EC3"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 xml:space="preserve"> </w:t>
      </w:r>
      <w:r w:rsidR="00F70282" w:rsidRPr="00FF13D6">
        <w:rPr>
          <w:rFonts w:ascii="Times New Roman" w:eastAsia="Times New Roman" w:hAnsi="Times New Roman" w:cs="Times New Roman"/>
          <w:sz w:val="28"/>
          <w:szCs w:val="28"/>
          <w:lang w:eastAsia="ru-RU"/>
        </w:rPr>
        <w:t>во всероссийском</w:t>
      </w:r>
      <w:r w:rsidRPr="00FF13D6">
        <w:rPr>
          <w:rFonts w:ascii="Times New Roman" w:eastAsia="Times New Roman" w:hAnsi="Times New Roman" w:cs="Times New Roman"/>
          <w:sz w:val="28"/>
          <w:szCs w:val="28"/>
          <w:lang w:eastAsia="ru-RU"/>
        </w:rPr>
        <w:t xml:space="preserve"> этап</w:t>
      </w:r>
      <w:r w:rsidR="00F70282" w:rsidRPr="00FF13D6">
        <w:rPr>
          <w:rFonts w:ascii="Times New Roman" w:eastAsia="Times New Roman" w:hAnsi="Times New Roman" w:cs="Times New Roman"/>
          <w:sz w:val="28"/>
          <w:szCs w:val="28"/>
          <w:lang w:eastAsia="ru-RU"/>
        </w:rPr>
        <w:t>е</w:t>
      </w:r>
      <w:r w:rsidRPr="00FF13D6">
        <w:rPr>
          <w:rFonts w:ascii="Times New Roman" w:eastAsia="Times New Roman" w:hAnsi="Times New Roman" w:cs="Times New Roman"/>
          <w:sz w:val="28"/>
          <w:szCs w:val="28"/>
          <w:lang w:eastAsia="ru-RU"/>
        </w:rPr>
        <w:t xml:space="preserve"> Президентских состязаний</w:t>
      </w:r>
      <w:r w:rsidR="00F70282"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 xml:space="preserve"> проше</w:t>
      </w:r>
      <w:r w:rsidR="00F70282" w:rsidRPr="00FF13D6">
        <w:rPr>
          <w:rFonts w:ascii="Times New Roman" w:eastAsia="Times New Roman" w:hAnsi="Times New Roman" w:cs="Times New Roman"/>
          <w:sz w:val="28"/>
          <w:szCs w:val="28"/>
          <w:lang w:eastAsia="ru-RU"/>
        </w:rPr>
        <w:t>дшем</w:t>
      </w:r>
      <w:r w:rsidRPr="00FF13D6">
        <w:rPr>
          <w:rFonts w:ascii="Times New Roman" w:eastAsia="Times New Roman" w:hAnsi="Times New Roman" w:cs="Times New Roman"/>
          <w:sz w:val="28"/>
          <w:szCs w:val="28"/>
          <w:lang w:eastAsia="ru-RU"/>
        </w:rPr>
        <w:t xml:space="preserve"> 7</w:t>
      </w:r>
      <w:r w:rsidR="00241EC3"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27 сентября 2021 г</w:t>
      </w:r>
      <w:r w:rsidR="00F70282"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 xml:space="preserve"> на базе Федерального государственного бюджетного образовательного учреждения «Всероссийский детский центр «Орленок»</w:t>
      </w:r>
      <w:r w:rsidR="00E21152" w:rsidRPr="00FF13D6">
        <w:rPr>
          <w:rFonts w:ascii="Times New Roman" w:eastAsia="Times New Roman" w:hAnsi="Times New Roman" w:cs="Times New Roman"/>
          <w:sz w:val="28"/>
          <w:szCs w:val="28"/>
          <w:lang w:eastAsia="ru-RU"/>
        </w:rPr>
        <w:t xml:space="preserve"> (далее – ВДЦ «Орленок»)</w:t>
      </w:r>
      <w:r w:rsidR="00F70282" w:rsidRPr="00FF13D6">
        <w:rPr>
          <w:rFonts w:ascii="Times New Roman" w:eastAsia="Times New Roman" w:hAnsi="Times New Roman" w:cs="Times New Roman"/>
          <w:sz w:val="28"/>
          <w:szCs w:val="28"/>
          <w:lang w:eastAsia="ru-RU"/>
        </w:rPr>
        <w:t xml:space="preserve">, приняли участие 1 624 человека, включая </w:t>
      </w:r>
      <w:r w:rsidR="008C73B9" w:rsidRPr="00FF13D6">
        <w:rPr>
          <w:rFonts w:ascii="Times New Roman" w:eastAsia="Times New Roman" w:hAnsi="Times New Roman" w:cs="Times New Roman"/>
          <w:sz w:val="28"/>
          <w:szCs w:val="28"/>
          <w:lang w:eastAsia="ru-RU"/>
        </w:rPr>
        <w:br/>
      </w:r>
      <w:r w:rsidR="00F70282" w:rsidRPr="00FF13D6">
        <w:rPr>
          <w:rFonts w:ascii="Times New Roman" w:eastAsia="Times New Roman" w:hAnsi="Times New Roman" w:cs="Times New Roman"/>
          <w:sz w:val="28"/>
          <w:szCs w:val="28"/>
          <w:lang w:eastAsia="ru-RU"/>
        </w:rPr>
        <w:t>1 392 обучающихся</w:t>
      </w:r>
      <w:r w:rsidR="00DE6185" w:rsidRPr="00FF13D6">
        <w:rPr>
          <w:rFonts w:ascii="Times New Roman" w:eastAsia="Times New Roman" w:hAnsi="Times New Roman" w:cs="Times New Roman"/>
          <w:sz w:val="28"/>
          <w:szCs w:val="28"/>
          <w:lang w:eastAsia="ru-RU"/>
        </w:rPr>
        <w:t xml:space="preserve"> и</w:t>
      </w:r>
      <w:r w:rsidR="00F70282" w:rsidRPr="00FF13D6">
        <w:rPr>
          <w:rFonts w:ascii="Times New Roman" w:eastAsia="Times New Roman" w:hAnsi="Times New Roman" w:cs="Times New Roman"/>
          <w:sz w:val="28"/>
          <w:szCs w:val="28"/>
          <w:lang w:eastAsia="ru-RU"/>
        </w:rPr>
        <w:t xml:space="preserve"> 232 сопровождающих.</w:t>
      </w:r>
    </w:p>
    <w:p w14:paraId="6B575BFA" w14:textId="77777777" w:rsidR="00A15A4A"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В Президентских спортивных играх ежегодно участву</w:t>
      </w:r>
      <w:r w:rsidR="00F70282" w:rsidRPr="00FF13D6">
        <w:rPr>
          <w:rFonts w:ascii="Times New Roman" w:eastAsia="Times New Roman" w:hAnsi="Times New Roman" w:cs="Times New Roman"/>
          <w:sz w:val="28"/>
          <w:szCs w:val="28"/>
          <w:lang w:eastAsia="ru-RU"/>
        </w:rPr>
        <w:t>е</w:t>
      </w:r>
      <w:r w:rsidRPr="00FF13D6">
        <w:rPr>
          <w:rFonts w:ascii="Times New Roman" w:eastAsia="Times New Roman" w:hAnsi="Times New Roman" w:cs="Times New Roman"/>
          <w:sz w:val="28"/>
          <w:szCs w:val="28"/>
          <w:lang w:eastAsia="ru-RU"/>
        </w:rPr>
        <w:t>т более 6 млн учащихся 5</w:t>
      </w:r>
      <w:r w:rsidR="00F70282"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 xml:space="preserve">11 классов. </w:t>
      </w:r>
      <w:r w:rsidR="00A15A4A" w:rsidRPr="00FF13D6">
        <w:rPr>
          <w:rFonts w:ascii="Times New Roman" w:eastAsia="Times New Roman" w:hAnsi="Times New Roman" w:cs="Times New Roman"/>
          <w:sz w:val="28"/>
          <w:szCs w:val="28"/>
          <w:lang w:eastAsia="ru-RU"/>
        </w:rPr>
        <w:t xml:space="preserve">Во </w:t>
      </w:r>
      <w:r w:rsidRPr="00FF13D6">
        <w:rPr>
          <w:rFonts w:ascii="Times New Roman" w:eastAsia="Times New Roman" w:hAnsi="Times New Roman" w:cs="Times New Roman"/>
          <w:sz w:val="28"/>
          <w:szCs w:val="28"/>
          <w:lang w:eastAsia="ru-RU"/>
        </w:rPr>
        <w:t>Всероссийск</w:t>
      </w:r>
      <w:r w:rsidR="00A15A4A" w:rsidRPr="00FF13D6">
        <w:rPr>
          <w:rFonts w:ascii="Times New Roman" w:eastAsia="Times New Roman" w:hAnsi="Times New Roman" w:cs="Times New Roman"/>
          <w:sz w:val="28"/>
          <w:szCs w:val="28"/>
          <w:lang w:eastAsia="ru-RU"/>
        </w:rPr>
        <w:t>ом</w:t>
      </w:r>
      <w:r w:rsidRPr="00FF13D6">
        <w:rPr>
          <w:rFonts w:ascii="Times New Roman" w:eastAsia="Times New Roman" w:hAnsi="Times New Roman" w:cs="Times New Roman"/>
          <w:sz w:val="28"/>
          <w:szCs w:val="28"/>
          <w:lang w:eastAsia="ru-RU"/>
        </w:rPr>
        <w:t xml:space="preserve"> этап</w:t>
      </w:r>
      <w:r w:rsidR="00A15A4A" w:rsidRPr="00FF13D6">
        <w:rPr>
          <w:rFonts w:ascii="Times New Roman" w:eastAsia="Times New Roman" w:hAnsi="Times New Roman" w:cs="Times New Roman"/>
          <w:sz w:val="28"/>
          <w:szCs w:val="28"/>
          <w:lang w:eastAsia="ru-RU"/>
        </w:rPr>
        <w:t>е</w:t>
      </w:r>
      <w:r w:rsidRPr="00FF13D6">
        <w:rPr>
          <w:rFonts w:ascii="Times New Roman" w:eastAsia="Times New Roman" w:hAnsi="Times New Roman" w:cs="Times New Roman"/>
          <w:sz w:val="28"/>
          <w:szCs w:val="28"/>
          <w:lang w:eastAsia="ru-RU"/>
        </w:rPr>
        <w:t xml:space="preserve"> Президентских спортивных игр</w:t>
      </w:r>
      <w:r w:rsidR="00A15A4A" w:rsidRPr="00FF13D6">
        <w:rPr>
          <w:rFonts w:ascii="Times New Roman" w:eastAsia="Times New Roman" w:hAnsi="Times New Roman" w:cs="Times New Roman"/>
          <w:sz w:val="28"/>
          <w:szCs w:val="28"/>
          <w:lang w:eastAsia="ru-RU"/>
        </w:rPr>
        <w:t>, прошедшем</w:t>
      </w:r>
      <w:r w:rsidRPr="00FF13D6">
        <w:rPr>
          <w:rFonts w:ascii="Times New Roman" w:eastAsia="Times New Roman" w:hAnsi="Times New Roman" w:cs="Times New Roman"/>
          <w:sz w:val="28"/>
          <w:szCs w:val="28"/>
          <w:lang w:eastAsia="ru-RU"/>
        </w:rPr>
        <w:t xml:space="preserve"> </w:t>
      </w:r>
      <w:r w:rsidR="00A15A4A" w:rsidRPr="00FF13D6">
        <w:rPr>
          <w:rFonts w:ascii="Times New Roman" w:eastAsia="Times New Roman" w:hAnsi="Times New Roman" w:cs="Times New Roman"/>
          <w:sz w:val="28"/>
          <w:szCs w:val="28"/>
          <w:lang w:eastAsia="ru-RU"/>
        </w:rPr>
        <w:t>6</w:t>
      </w:r>
      <w:r w:rsidR="00241EC3" w:rsidRPr="00FF13D6">
        <w:rPr>
          <w:rFonts w:ascii="Times New Roman" w:eastAsia="Times New Roman" w:hAnsi="Times New Roman" w:cs="Times New Roman"/>
          <w:sz w:val="28"/>
          <w:szCs w:val="28"/>
          <w:lang w:eastAsia="ru-RU"/>
        </w:rPr>
        <w:t>-</w:t>
      </w:r>
      <w:r w:rsidR="00A15A4A" w:rsidRPr="00FF13D6">
        <w:rPr>
          <w:rFonts w:ascii="Times New Roman" w:eastAsia="Times New Roman" w:hAnsi="Times New Roman" w:cs="Times New Roman"/>
          <w:sz w:val="28"/>
          <w:szCs w:val="28"/>
          <w:lang w:eastAsia="ru-RU"/>
        </w:rPr>
        <w:t xml:space="preserve">26 сентября 2021 г. </w:t>
      </w:r>
      <w:r w:rsidRPr="00FF13D6">
        <w:rPr>
          <w:rFonts w:ascii="Times New Roman" w:eastAsia="Times New Roman" w:hAnsi="Times New Roman" w:cs="Times New Roman"/>
          <w:sz w:val="28"/>
          <w:szCs w:val="28"/>
          <w:lang w:eastAsia="ru-RU"/>
        </w:rPr>
        <w:t>на базе Федерального государственного бюджетного образовательного учреждения «Всеро</w:t>
      </w:r>
      <w:r w:rsidR="00A15A4A" w:rsidRPr="00FF13D6">
        <w:rPr>
          <w:rFonts w:ascii="Times New Roman" w:eastAsia="Times New Roman" w:hAnsi="Times New Roman" w:cs="Times New Roman"/>
          <w:sz w:val="28"/>
          <w:szCs w:val="28"/>
          <w:lang w:eastAsia="ru-RU"/>
        </w:rPr>
        <w:t>ссийский детский центр «Смена»</w:t>
      </w:r>
      <w:r w:rsidR="00E21152" w:rsidRPr="00FF13D6">
        <w:rPr>
          <w:rFonts w:ascii="Times New Roman" w:eastAsia="Times New Roman" w:hAnsi="Times New Roman" w:cs="Times New Roman"/>
          <w:sz w:val="28"/>
          <w:szCs w:val="28"/>
          <w:lang w:eastAsia="ru-RU"/>
        </w:rPr>
        <w:t xml:space="preserve"> (далее – ВДЦ «Смена»)</w:t>
      </w:r>
      <w:r w:rsidR="00A15A4A" w:rsidRPr="00FF13D6">
        <w:rPr>
          <w:rFonts w:ascii="Times New Roman" w:eastAsia="Times New Roman" w:hAnsi="Times New Roman" w:cs="Times New Roman"/>
          <w:sz w:val="28"/>
          <w:szCs w:val="28"/>
          <w:lang w:eastAsia="ru-RU"/>
        </w:rPr>
        <w:t xml:space="preserve">, </w:t>
      </w:r>
      <w:r w:rsidR="00DE6185" w:rsidRPr="00FF13D6">
        <w:rPr>
          <w:rFonts w:ascii="Times New Roman" w:eastAsia="Times New Roman" w:hAnsi="Times New Roman" w:cs="Times New Roman"/>
          <w:sz w:val="28"/>
          <w:szCs w:val="28"/>
          <w:lang w:eastAsia="ru-RU"/>
        </w:rPr>
        <w:t xml:space="preserve">приняли участие 1 120 человек, включая 960 обучающихся и </w:t>
      </w:r>
      <w:r w:rsidR="00241EC3" w:rsidRPr="00FF13D6">
        <w:rPr>
          <w:rFonts w:ascii="Times New Roman" w:eastAsia="Times New Roman" w:hAnsi="Times New Roman" w:cs="Times New Roman"/>
          <w:sz w:val="28"/>
          <w:szCs w:val="28"/>
          <w:lang w:eastAsia="ru-RU"/>
        </w:rPr>
        <w:br/>
      </w:r>
      <w:r w:rsidR="00DE6185" w:rsidRPr="00FF13D6">
        <w:rPr>
          <w:rFonts w:ascii="Times New Roman" w:eastAsia="Times New Roman" w:hAnsi="Times New Roman" w:cs="Times New Roman"/>
          <w:sz w:val="28"/>
          <w:szCs w:val="28"/>
          <w:lang w:eastAsia="ru-RU"/>
        </w:rPr>
        <w:t>160 сопровождающих.</w:t>
      </w:r>
    </w:p>
    <w:p w14:paraId="1170868D" w14:textId="77777777" w:rsidR="00FA4744"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В рамках выполнения части 2 подпункта «б» пункта 1 перечня поручений Президента Росс</w:t>
      </w:r>
      <w:r w:rsidR="00DE6185" w:rsidRPr="00FF13D6">
        <w:rPr>
          <w:rFonts w:ascii="Times New Roman" w:eastAsia="Times New Roman" w:hAnsi="Times New Roman" w:cs="Times New Roman"/>
          <w:sz w:val="28"/>
          <w:szCs w:val="28"/>
          <w:lang w:eastAsia="ru-RU"/>
        </w:rPr>
        <w:t xml:space="preserve">ийской Федерации от 22 ноября 2021 г. </w:t>
      </w:r>
      <w:r w:rsidRPr="00FF13D6">
        <w:rPr>
          <w:rFonts w:ascii="Times New Roman" w:eastAsia="Times New Roman" w:hAnsi="Times New Roman" w:cs="Times New Roman"/>
          <w:sz w:val="28"/>
          <w:szCs w:val="28"/>
          <w:lang w:eastAsia="ru-RU"/>
        </w:rPr>
        <w:t>№ Пр-2397</w:t>
      </w:r>
      <w:r w:rsidR="00E21152"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 xml:space="preserve"> данн</w:t>
      </w:r>
      <w:r w:rsidR="00E21152" w:rsidRPr="00FF13D6">
        <w:rPr>
          <w:rFonts w:ascii="Times New Roman" w:eastAsia="Times New Roman" w:hAnsi="Times New Roman" w:cs="Times New Roman"/>
          <w:sz w:val="28"/>
          <w:szCs w:val="28"/>
          <w:lang w:eastAsia="ru-RU"/>
        </w:rPr>
        <w:t xml:space="preserve">ого </w:t>
      </w:r>
      <w:r w:rsidRPr="00FF13D6">
        <w:rPr>
          <w:rFonts w:ascii="Times New Roman" w:eastAsia="Times New Roman" w:hAnsi="Times New Roman" w:cs="Times New Roman"/>
          <w:sz w:val="28"/>
          <w:szCs w:val="28"/>
          <w:lang w:eastAsia="ru-RU"/>
        </w:rPr>
        <w:t>по итогам заседания Совета при Президенте Российской Федерации по развитию физической культуры и спорта 10 октября 2019 г</w:t>
      </w:r>
      <w:r w:rsidR="00417ED5"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 ведется работа по созданию в каждой общеобразовательной организации школьных и студенческих спортивных клубов.</w:t>
      </w:r>
    </w:p>
    <w:p w14:paraId="24E68519" w14:textId="77777777" w:rsidR="00FA4744"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 xml:space="preserve">С 2021 </w:t>
      </w:r>
      <w:r w:rsidR="00241EC3" w:rsidRPr="00FF13D6">
        <w:rPr>
          <w:rFonts w:ascii="Times New Roman" w:eastAsia="Times New Roman" w:hAnsi="Times New Roman" w:cs="Times New Roman"/>
          <w:sz w:val="28"/>
          <w:szCs w:val="28"/>
          <w:lang w:eastAsia="ru-RU"/>
        </w:rPr>
        <w:t>г.</w:t>
      </w:r>
      <w:r w:rsidRPr="00FF13D6">
        <w:rPr>
          <w:rFonts w:ascii="Times New Roman" w:eastAsia="Times New Roman" w:hAnsi="Times New Roman" w:cs="Times New Roman"/>
          <w:sz w:val="28"/>
          <w:szCs w:val="28"/>
          <w:lang w:eastAsia="ru-RU"/>
        </w:rPr>
        <w:t xml:space="preserve"> во исполнение поручения Президента Российской Федерации, а также в рамках реализации пункта 15 Межотраслевой программы разв</w:t>
      </w:r>
      <w:r w:rsidR="00241EC3" w:rsidRPr="00FF13D6">
        <w:rPr>
          <w:rFonts w:ascii="Times New Roman" w:eastAsia="Times New Roman" w:hAnsi="Times New Roman" w:cs="Times New Roman"/>
          <w:sz w:val="28"/>
          <w:szCs w:val="28"/>
          <w:lang w:eastAsia="ru-RU"/>
        </w:rPr>
        <w:t>ития школьного спорта до 2024 г.</w:t>
      </w:r>
      <w:r w:rsidRPr="00FF13D6">
        <w:rPr>
          <w:rFonts w:ascii="Times New Roman" w:eastAsia="Times New Roman" w:hAnsi="Times New Roman" w:cs="Times New Roman"/>
          <w:sz w:val="28"/>
          <w:szCs w:val="28"/>
          <w:lang w:eastAsia="ru-RU"/>
        </w:rPr>
        <w:t xml:space="preserve">, утвержденной совместным приказом </w:t>
      </w:r>
      <w:proofErr w:type="spellStart"/>
      <w:r w:rsidRPr="00FF13D6">
        <w:rPr>
          <w:rFonts w:ascii="Times New Roman" w:eastAsia="Times New Roman" w:hAnsi="Times New Roman" w:cs="Times New Roman"/>
          <w:sz w:val="28"/>
          <w:szCs w:val="28"/>
          <w:lang w:eastAsia="ru-RU"/>
        </w:rPr>
        <w:t>Минспорта</w:t>
      </w:r>
      <w:proofErr w:type="spellEnd"/>
      <w:r w:rsidRPr="00FF13D6">
        <w:rPr>
          <w:rFonts w:ascii="Times New Roman" w:eastAsia="Times New Roman" w:hAnsi="Times New Roman" w:cs="Times New Roman"/>
          <w:sz w:val="28"/>
          <w:szCs w:val="28"/>
          <w:lang w:eastAsia="ru-RU"/>
        </w:rPr>
        <w:t xml:space="preserve"> </w:t>
      </w:r>
      <w:r w:rsidR="00E21152" w:rsidRPr="00FF13D6">
        <w:rPr>
          <w:rFonts w:ascii="Times New Roman" w:eastAsia="Times New Roman" w:hAnsi="Times New Roman" w:cs="Times New Roman"/>
          <w:sz w:val="28"/>
          <w:szCs w:val="28"/>
          <w:lang w:eastAsia="ru-RU"/>
        </w:rPr>
        <w:t xml:space="preserve">России и Минпросвещения России </w:t>
      </w:r>
      <w:r w:rsidRPr="00FF13D6">
        <w:rPr>
          <w:rFonts w:ascii="Times New Roman" w:eastAsia="Times New Roman" w:hAnsi="Times New Roman" w:cs="Times New Roman"/>
          <w:sz w:val="28"/>
          <w:szCs w:val="28"/>
          <w:lang w:eastAsia="ru-RU"/>
        </w:rPr>
        <w:t>от 17 февраля 2021 г. № 86/59, формируется единый всероссийский перечень (реестр) школьных спортивных клубов, работу по формированию которого осуществляет подведомственное Минпросвещения России ФГБУ «ФЦОМОФВ». На конец 2021 г</w:t>
      </w:r>
      <w:r w:rsidR="00241EC3"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 xml:space="preserve"> в реестр вошло 23 797 школьных спортивных клубов (далее – ШСК).</w:t>
      </w:r>
    </w:p>
    <w:p w14:paraId="3A8CDA90" w14:textId="77777777" w:rsidR="00FA4744"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В целях реализации деятельности ШСК Минпросвещения России ежегодно проводятся Всероссийские игры школьных спортивных клубов (далее – Игры ШСК). Всероссийский этап Игр ШСК проводился 4</w:t>
      </w:r>
      <w:r w:rsidR="00241EC3"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24 м</w:t>
      </w:r>
      <w:r w:rsidR="00E21152" w:rsidRPr="00FF13D6">
        <w:rPr>
          <w:rFonts w:ascii="Times New Roman" w:eastAsia="Times New Roman" w:hAnsi="Times New Roman" w:cs="Times New Roman"/>
          <w:sz w:val="28"/>
          <w:szCs w:val="28"/>
          <w:lang w:eastAsia="ru-RU"/>
        </w:rPr>
        <w:t xml:space="preserve">ая 2021 г. на базе </w:t>
      </w:r>
      <w:r w:rsidR="00992F1C" w:rsidRPr="00FF13D6">
        <w:rPr>
          <w:rFonts w:ascii="Times New Roman" w:eastAsia="Times New Roman" w:hAnsi="Times New Roman" w:cs="Times New Roman"/>
          <w:sz w:val="28"/>
          <w:szCs w:val="28"/>
          <w:lang w:eastAsia="ru-RU"/>
        </w:rPr>
        <w:br/>
      </w:r>
      <w:r w:rsidR="00E21152" w:rsidRPr="00FF13D6">
        <w:rPr>
          <w:rFonts w:ascii="Times New Roman" w:eastAsia="Times New Roman" w:hAnsi="Times New Roman" w:cs="Times New Roman"/>
          <w:sz w:val="28"/>
          <w:szCs w:val="28"/>
          <w:lang w:eastAsia="ru-RU"/>
        </w:rPr>
        <w:t xml:space="preserve">ВДЦ «Смена» </w:t>
      </w:r>
      <w:r w:rsidRPr="00FF13D6">
        <w:rPr>
          <w:rFonts w:ascii="Times New Roman" w:eastAsia="Times New Roman" w:hAnsi="Times New Roman" w:cs="Times New Roman"/>
          <w:sz w:val="28"/>
          <w:szCs w:val="28"/>
          <w:lang w:eastAsia="ru-RU"/>
        </w:rPr>
        <w:t xml:space="preserve">с участием команд </w:t>
      </w:r>
      <w:r w:rsidR="00E21152" w:rsidRPr="00FF13D6">
        <w:rPr>
          <w:rFonts w:ascii="Times New Roman" w:eastAsia="Times New Roman" w:hAnsi="Times New Roman" w:cs="Times New Roman"/>
          <w:sz w:val="28"/>
          <w:szCs w:val="28"/>
          <w:lang w:eastAsia="ru-RU"/>
        </w:rPr>
        <w:t>ШСК</w:t>
      </w:r>
      <w:r w:rsidRPr="00FF13D6">
        <w:rPr>
          <w:rFonts w:ascii="Times New Roman" w:eastAsia="Times New Roman" w:hAnsi="Times New Roman" w:cs="Times New Roman"/>
          <w:sz w:val="28"/>
          <w:szCs w:val="28"/>
          <w:lang w:eastAsia="ru-RU"/>
        </w:rPr>
        <w:t xml:space="preserve"> из 53 субъектов Российской Федерации.</w:t>
      </w:r>
    </w:p>
    <w:p w14:paraId="48A98EEB" w14:textId="77777777" w:rsidR="00FA4744"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Всего во всероссийском этапе Игр ШСК в 2021 г</w:t>
      </w:r>
      <w:r w:rsidR="00241EC3"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 xml:space="preserve"> приняли участие </w:t>
      </w:r>
      <w:r w:rsidR="00241EC3" w:rsidRPr="00FF13D6">
        <w:rPr>
          <w:rFonts w:ascii="Times New Roman" w:eastAsia="Times New Roman" w:hAnsi="Times New Roman" w:cs="Times New Roman"/>
          <w:sz w:val="28"/>
          <w:szCs w:val="28"/>
          <w:lang w:eastAsia="ru-RU"/>
        </w:rPr>
        <w:br/>
      </w:r>
      <w:r w:rsidRPr="00FF13D6">
        <w:rPr>
          <w:rFonts w:ascii="Times New Roman" w:eastAsia="Times New Roman" w:hAnsi="Times New Roman" w:cs="Times New Roman"/>
          <w:sz w:val="28"/>
          <w:szCs w:val="28"/>
          <w:lang w:eastAsia="ru-RU"/>
        </w:rPr>
        <w:t>1 17</w:t>
      </w:r>
      <w:r w:rsidR="00FB6373" w:rsidRPr="00FF13D6">
        <w:rPr>
          <w:rFonts w:ascii="Times New Roman" w:eastAsia="Times New Roman" w:hAnsi="Times New Roman" w:cs="Times New Roman"/>
          <w:sz w:val="28"/>
          <w:szCs w:val="28"/>
          <w:lang w:eastAsia="ru-RU"/>
        </w:rPr>
        <w:t xml:space="preserve">1 человек, в том числе 844 обучающихся – представители 16 команд – победителей региональных этапов, 106 руководителей команд – победителей региональных этапов, а также приглашенные гости </w:t>
      </w:r>
      <w:r w:rsidRPr="00FF13D6">
        <w:rPr>
          <w:rFonts w:ascii="Times New Roman" w:eastAsia="Times New Roman" w:hAnsi="Times New Roman" w:cs="Times New Roman"/>
          <w:sz w:val="28"/>
          <w:szCs w:val="28"/>
          <w:lang w:eastAsia="ru-RU"/>
        </w:rPr>
        <w:t>(олимпийские чемпионы, чемпионы Мира, Европы, России).</w:t>
      </w:r>
    </w:p>
    <w:p w14:paraId="2D83BC51" w14:textId="77777777" w:rsidR="008C73B9"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В соответствии с пунктом 17 Межотраслевой программы развития школьного спорта, утвержде</w:t>
      </w:r>
      <w:r w:rsidR="00E21152" w:rsidRPr="00FF13D6">
        <w:rPr>
          <w:rFonts w:ascii="Times New Roman" w:eastAsia="Times New Roman" w:hAnsi="Times New Roman" w:cs="Times New Roman"/>
          <w:sz w:val="28"/>
          <w:szCs w:val="28"/>
          <w:lang w:eastAsia="ru-RU"/>
        </w:rPr>
        <w:t xml:space="preserve">нной приказом </w:t>
      </w:r>
      <w:proofErr w:type="spellStart"/>
      <w:r w:rsidR="00E21152" w:rsidRPr="00FF13D6">
        <w:rPr>
          <w:rFonts w:ascii="Times New Roman" w:eastAsia="Times New Roman" w:hAnsi="Times New Roman" w:cs="Times New Roman"/>
          <w:sz w:val="28"/>
          <w:szCs w:val="28"/>
          <w:lang w:eastAsia="ru-RU"/>
        </w:rPr>
        <w:t>Минспорта</w:t>
      </w:r>
      <w:proofErr w:type="spellEnd"/>
      <w:r w:rsidR="00E21152" w:rsidRPr="00FF13D6">
        <w:rPr>
          <w:rFonts w:ascii="Times New Roman" w:eastAsia="Times New Roman" w:hAnsi="Times New Roman" w:cs="Times New Roman"/>
          <w:sz w:val="28"/>
          <w:szCs w:val="28"/>
          <w:lang w:eastAsia="ru-RU"/>
        </w:rPr>
        <w:t xml:space="preserve"> России </w:t>
      </w:r>
      <w:r w:rsidRPr="00FF13D6">
        <w:rPr>
          <w:rFonts w:ascii="Times New Roman" w:eastAsia="Times New Roman" w:hAnsi="Times New Roman" w:cs="Times New Roman"/>
          <w:sz w:val="28"/>
          <w:szCs w:val="28"/>
          <w:lang w:eastAsia="ru-RU"/>
        </w:rPr>
        <w:t xml:space="preserve">и </w:t>
      </w:r>
      <w:proofErr w:type="spellStart"/>
      <w:r w:rsidRPr="00FF13D6">
        <w:rPr>
          <w:rFonts w:ascii="Times New Roman" w:eastAsia="Times New Roman" w:hAnsi="Times New Roman" w:cs="Times New Roman"/>
          <w:sz w:val="28"/>
          <w:szCs w:val="28"/>
          <w:lang w:eastAsia="ru-RU"/>
        </w:rPr>
        <w:t>Мипросвещения</w:t>
      </w:r>
      <w:proofErr w:type="spellEnd"/>
      <w:r w:rsidRPr="00FF13D6">
        <w:rPr>
          <w:rFonts w:ascii="Times New Roman" w:eastAsia="Times New Roman" w:hAnsi="Times New Roman" w:cs="Times New Roman"/>
          <w:sz w:val="28"/>
          <w:szCs w:val="28"/>
          <w:lang w:eastAsia="ru-RU"/>
        </w:rPr>
        <w:t xml:space="preserve"> России </w:t>
      </w:r>
      <w:r w:rsidR="00FB6373" w:rsidRPr="00FF13D6">
        <w:rPr>
          <w:rFonts w:ascii="Times New Roman" w:eastAsia="Times New Roman" w:hAnsi="Times New Roman" w:cs="Times New Roman"/>
          <w:sz w:val="28"/>
          <w:szCs w:val="28"/>
          <w:lang w:eastAsia="ru-RU"/>
        </w:rPr>
        <w:br/>
      </w:r>
      <w:r w:rsidRPr="00FF13D6">
        <w:rPr>
          <w:rFonts w:ascii="Times New Roman" w:eastAsia="Times New Roman" w:hAnsi="Times New Roman" w:cs="Times New Roman"/>
          <w:sz w:val="28"/>
          <w:szCs w:val="28"/>
          <w:lang w:eastAsia="ru-RU"/>
        </w:rPr>
        <w:t>от 17 февраля 2021 г</w:t>
      </w:r>
      <w:r w:rsidR="00FB6373"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 xml:space="preserve"> № 86/59 в целях поддержки и развития деятельности </w:t>
      </w:r>
      <w:r w:rsidR="007D4D02" w:rsidRPr="00FF13D6">
        <w:rPr>
          <w:rFonts w:ascii="Times New Roman" w:eastAsia="Times New Roman" w:hAnsi="Times New Roman" w:cs="Times New Roman"/>
          <w:sz w:val="28"/>
          <w:szCs w:val="28"/>
          <w:lang w:eastAsia="ru-RU"/>
        </w:rPr>
        <w:t>ШСК</w:t>
      </w:r>
      <w:r w:rsidRPr="00FF13D6">
        <w:rPr>
          <w:rFonts w:ascii="Times New Roman" w:eastAsia="Times New Roman" w:hAnsi="Times New Roman" w:cs="Times New Roman"/>
          <w:sz w:val="28"/>
          <w:szCs w:val="28"/>
          <w:lang w:eastAsia="ru-RU"/>
        </w:rPr>
        <w:t>, направленной на развитие спортивно-массовой работы с обучающимися образовательных организаций, начиная с 2015 г</w:t>
      </w:r>
      <w:r w:rsidR="00241EC3"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 xml:space="preserve"> Минпросвещения России совместно с Минспортом России проводится Всероссийский смотр-конкурс на лучшую постановку физкультурной работы и развитие массового спорта среди </w:t>
      </w:r>
      <w:r w:rsidR="006947D5" w:rsidRPr="00FF13D6">
        <w:rPr>
          <w:rFonts w:ascii="Times New Roman" w:eastAsia="Times New Roman" w:hAnsi="Times New Roman" w:cs="Times New Roman"/>
          <w:sz w:val="28"/>
          <w:szCs w:val="28"/>
          <w:lang w:eastAsia="ru-RU"/>
        </w:rPr>
        <w:t>ШСК</w:t>
      </w:r>
      <w:r w:rsidRPr="00FF13D6">
        <w:rPr>
          <w:rFonts w:ascii="Times New Roman" w:eastAsia="Times New Roman" w:hAnsi="Times New Roman" w:cs="Times New Roman"/>
          <w:sz w:val="28"/>
          <w:szCs w:val="28"/>
          <w:lang w:eastAsia="ru-RU"/>
        </w:rPr>
        <w:t xml:space="preserve"> (далее – Конкурс ШСК).</w:t>
      </w:r>
    </w:p>
    <w:p w14:paraId="4B15F3A4" w14:textId="070D2A2B" w:rsidR="00FA4744"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В 2021 г</w:t>
      </w:r>
      <w:r w:rsidR="00FD128A"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 xml:space="preserve"> на Конкурс ШСК было подано 246 заявок из 58 субъектов Российской Федерации</w:t>
      </w:r>
      <w:r w:rsidR="006947D5"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 xml:space="preserve"> из которых</w:t>
      </w:r>
      <w:r w:rsidR="006947D5" w:rsidRPr="00FF13D6">
        <w:rPr>
          <w:rFonts w:ascii="Times New Roman" w:eastAsia="Times New Roman" w:hAnsi="Times New Roman" w:cs="Times New Roman"/>
          <w:sz w:val="28"/>
          <w:szCs w:val="28"/>
          <w:lang w:eastAsia="ru-RU"/>
        </w:rPr>
        <w:t xml:space="preserve"> допущено к участию 233 заявки </w:t>
      </w:r>
      <w:r w:rsidRPr="00FF13D6">
        <w:rPr>
          <w:rFonts w:ascii="Times New Roman" w:eastAsia="Times New Roman" w:hAnsi="Times New Roman" w:cs="Times New Roman"/>
          <w:sz w:val="28"/>
          <w:szCs w:val="28"/>
          <w:lang w:eastAsia="ru-RU"/>
        </w:rPr>
        <w:t>из 54 субъектов Российской Федерации. В целях популяризации Всероссийского физкультурно-спорти</w:t>
      </w:r>
      <w:r w:rsidR="006947D5" w:rsidRPr="00FF13D6">
        <w:rPr>
          <w:rFonts w:ascii="Times New Roman" w:eastAsia="Times New Roman" w:hAnsi="Times New Roman" w:cs="Times New Roman"/>
          <w:sz w:val="28"/>
          <w:szCs w:val="28"/>
          <w:lang w:eastAsia="ru-RU"/>
        </w:rPr>
        <w:t xml:space="preserve">вного комплекса «Готов к труду </w:t>
      </w:r>
      <w:r w:rsidRPr="00FF13D6">
        <w:rPr>
          <w:rFonts w:ascii="Times New Roman" w:eastAsia="Times New Roman" w:hAnsi="Times New Roman" w:cs="Times New Roman"/>
          <w:sz w:val="28"/>
          <w:szCs w:val="28"/>
          <w:lang w:eastAsia="ru-RU"/>
        </w:rPr>
        <w:t>и обороне» (ГТО) (далее – Комплекс ГТО) одной из номинаций Конкурса ШСК в 2021 г</w:t>
      </w:r>
      <w:r w:rsidR="00FD128A"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 xml:space="preserve"> стала номинация «Звезды школьного спорта»</w:t>
      </w:r>
      <w:r w:rsidR="004B5C96"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 xml:space="preserve"> </w:t>
      </w:r>
      <w:r w:rsidR="004B5C96" w:rsidRPr="00FF13D6">
        <w:rPr>
          <w:rFonts w:ascii="Times New Roman" w:eastAsia="Times New Roman" w:hAnsi="Times New Roman" w:cs="Times New Roman"/>
          <w:sz w:val="28"/>
          <w:szCs w:val="28"/>
          <w:lang w:eastAsia="ru-RU"/>
        </w:rPr>
        <w:t xml:space="preserve">в которой приняло участие 75 </w:t>
      </w:r>
      <w:r w:rsidR="006947D5" w:rsidRPr="00FF13D6">
        <w:rPr>
          <w:rFonts w:ascii="Times New Roman" w:eastAsia="Times New Roman" w:hAnsi="Times New Roman" w:cs="Times New Roman"/>
          <w:sz w:val="28"/>
          <w:szCs w:val="28"/>
          <w:lang w:eastAsia="ru-RU"/>
        </w:rPr>
        <w:t>ШСК</w:t>
      </w:r>
      <w:r w:rsidRPr="00FF13D6">
        <w:rPr>
          <w:rFonts w:ascii="Times New Roman" w:eastAsia="Times New Roman" w:hAnsi="Times New Roman" w:cs="Times New Roman"/>
          <w:sz w:val="28"/>
          <w:szCs w:val="28"/>
          <w:lang w:eastAsia="ru-RU"/>
        </w:rPr>
        <w:t>, реализующи</w:t>
      </w:r>
      <w:r w:rsidR="004B5C96" w:rsidRPr="00FF13D6">
        <w:rPr>
          <w:rFonts w:ascii="Times New Roman" w:eastAsia="Times New Roman" w:hAnsi="Times New Roman" w:cs="Times New Roman"/>
          <w:sz w:val="28"/>
          <w:szCs w:val="28"/>
          <w:lang w:eastAsia="ru-RU"/>
        </w:rPr>
        <w:t>х</w:t>
      </w:r>
      <w:r w:rsidRPr="00FF13D6">
        <w:rPr>
          <w:rFonts w:ascii="Times New Roman" w:eastAsia="Times New Roman" w:hAnsi="Times New Roman" w:cs="Times New Roman"/>
          <w:sz w:val="28"/>
          <w:szCs w:val="28"/>
          <w:lang w:eastAsia="ru-RU"/>
        </w:rPr>
        <w:t xml:space="preserve"> социально значимые мероприятия: Президентские состязания</w:t>
      </w:r>
      <w:r w:rsidR="004B5C96" w:rsidRPr="00FF13D6">
        <w:rPr>
          <w:rFonts w:ascii="Times New Roman" w:eastAsia="Times New Roman" w:hAnsi="Times New Roman" w:cs="Times New Roman"/>
          <w:sz w:val="28"/>
          <w:szCs w:val="28"/>
          <w:lang w:eastAsia="ru-RU"/>
        </w:rPr>
        <w:t xml:space="preserve"> и Президентские спортивные игры, Фестиваль ВФСК «Готов к труду и обороне» (ГТО)»</w:t>
      </w:r>
      <w:r w:rsidRPr="00FF13D6">
        <w:rPr>
          <w:rFonts w:ascii="Times New Roman" w:eastAsia="Times New Roman" w:hAnsi="Times New Roman" w:cs="Times New Roman"/>
          <w:sz w:val="28"/>
          <w:szCs w:val="28"/>
          <w:lang w:eastAsia="ru-RU"/>
        </w:rPr>
        <w:t>.</w:t>
      </w:r>
    </w:p>
    <w:p w14:paraId="2430C5BA" w14:textId="77777777" w:rsidR="00FA4744"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Также в целях подготовки к выполнению нормативов испытаний Комплекса ГТО, а также вовлечения о</w:t>
      </w:r>
      <w:r w:rsidR="004B5C96" w:rsidRPr="00FF13D6">
        <w:rPr>
          <w:rFonts w:ascii="Times New Roman" w:eastAsia="Times New Roman" w:hAnsi="Times New Roman" w:cs="Times New Roman"/>
          <w:sz w:val="28"/>
          <w:szCs w:val="28"/>
          <w:lang w:eastAsia="ru-RU"/>
        </w:rPr>
        <w:t xml:space="preserve">бучающихся общеобразовательных </w:t>
      </w:r>
      <w:r w:rsidRPr="00FF13D6">
        <w:rPr>
          <w:rFonts w:ascii="Times New Roman" w:eastAsia="Times New Roman" w:hAnsi="Times New Roman" w:cs="Times New Roman"/>
          <w:sz w:val="28"/>
          <w:szCs w:val="28"/>
          <w:lang w:eastAsia="ru-RU"/>
        </w:rPr>
        <w:t>и профессиональных образовательных организаций в систематические занятия физической культурой и спортом в 2021 г</w:t>
      </w:r>
      <w:r w:rsidR="00167F6D"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 xml:space="preserve"> в формате онлайн проводил</w:t>
      </w:r>
      <w:r w:rsidR="004B5C96" w:rsidRPr="00FF13D6">
        <w:rPr>
          <w:rFonts w:ascii="Times New Roman" w:eastAsia="Times New Roman" w:hAnsi="Times New Roman" w:cs="Times New Roman"/>
          <w:sz w:val="28"/>
          <w:szCs w:val="28"/>
          <w:lang w:eastAsia="ru-RU"/>
        </w:rPr>
        <w:t>ись</w:t>
      </w:r>
      <w:r w:rsidRPr="00FF13D6">
        <w:rPr>
          <w:rFonts w:ascii="Times New Roman" w:eastAsia="Times New Roman" w:hAnsi="Times New Roman" w:cs="Times New Roman"/>
          <w:sz w:val="28"/>
          <w:szCs w:val="28"/>
          <w:lang w:eastAsia="ru-RU"/>
        </w:rPr>
        <w:t xml:space="preserve"> Всероссийский онлайн-фестиваль «</w:t>
      </w:r>
      <w:proofErr w:type="spellStart"/>
      <w:r w:rsidRPr="00FF13D6">
        <w:rPr>
          <w:rFonts w:ascii="Times New Roman" w:eastAsia="Times New Roman" w:hAnsi="Times New Roman" w:cs="Times New Roman"/>
          <w:sz w:val="28"/>
          <w:szCs w:val="28"/>
          <w:lang w:eastAsia="ru-RU"/>
        </w:rPr>
        <w:t>Трофи</w:t>
      </w:r>
      <w:proofErr w:type="spellEnd"/>
      <w:r w:rsidRPr="00FF13D6">
        <w:rPr>
          <w:rFonts w:ascii="Times New Roman" w:eastAsia="Times New Roman" w:hAnsi="Times New Roman" w:cs="Times New Roman"/>
          <w:sz w:val="28"/>
          <w:szCs w:val="28"/>
          <w:lang w:eastAsia="ru-RU"/>
        </w:rPr>
        <w:t>-ПРО!» среди обучающихся общеобразовательных организаций и Всероссийский фестиваль «</w:t>
      </w:r>
      <w:proofErr w:type="spellStart"/>
      <w:r w:rsidRPr="00FF13D6">
        <w:rPr>
          <w:rFonts w:ascii="Times New Roman" w:eastAsia="Times New Roman" w:hAnsi="Times New Roman" w:cs="Times New Roman"/>
          <w:sz w:val="28"/>
          <w:szCs w:val="28"/>
          <w:lang w:eastAsia="ru-RU"/>
        </w:rPr>
        <w:t>Трофи</w:t>
      </w:r>
      <w:proofErr w:type="spellEnd"/>
      <w:r w:rsidRPr="00FF13D6">
        <w:rPr>
          <w:rFonts w:ascii="Times New Roman" w:eastAsia="Times New Roman" w:hAnsi="Times New Roman" w:cs="Times New Roman"/>
          <w:sz w:val="28"/>
          <w:szCs w:val="28"/>
          <w:lang w:eastAsia="ru-RU"/>
        </w:rPr>
        <w:t xml:space="preserve">, ПРОФИ!» среди обучающихся профессиональных </w:t>
      </w:r>
      <w:r w:rsidR="004B5C96" w:rsidRPr="00FF13D6">
        <w:rPr>
          <w:rFonts w:ascii="Times New Roman" w:eastAsia="Times New Roman" w:hAnsi="Times New Roman" w:cs="Times New Roman"/>
          <w:sz w:val="28"/>
          <w:szCs w:val="28"/>
          <w:lang w:eastAsia="ru-RU"/>
        </w:rPr>
        <w:t xml:space="preserve">образовательных </w:t>
      </w:r>
      <w:r w:rsidRPr="00FF13D6">
        <w:rPr>
          <w:rFonts w:ascii="Times New Roman" w:eastAsia="Times New Roman" w:hAnsi="Times New Roman" w:cs="Times New Roman"/>
          <w:sz w:val="28"/>
          <w:szCs w:val="28"/>
          <w:lang w:eastAsia="ru-RU"/>
        </w:rPr>
        <w:t xml:space="preserve">организаций. Организаторами </w:t>
      </w:r>
      <w:r w:rsidR="004B5C96" w:rsidRPr="00FF13D6">
        <w:rPr>
          <w:rFonts w:ascii="Times New Roman" w:eastAsia="Times New Roman" w:hAnsi="Times New Roman" w:cs="Times New Roman"/>
          <w:sz w:val="28"/>
          <w:szCs w:val="28"/>
          <w:lang w:eastAsia="ru-RU"/>
        </w:rPr>
        <w:t>ф</w:t>
      </w:r>
      <w:r w:rsidRPr="00FF13D6">
        <w:rPr>
          <w:rFonts w:ascii="Times New Roman" w:eastAsia="Times New Roman" w:hAnsi="Times New Roman" w:cs="Times New Roman"/>
          <w:sz w:val="28"/>
          <w:szCs w:val="28"/>
          <w:lang w:eastAsia="ru-RU"/>
        </w:rPr>
        <w:t xml:space="preserve">естивалей </w:t>
      </w:r>
      <w:r w:rsidR="004B5C96" w:rsidRPr="00FF13D6">
        <w:rPr>
          <w:rFonts w:ascii="Times New Roman" w:eastAsia="Times New Roman" w:hAnsi="Times New Roman" w:cs="Times New Roman"/>
          <w:sz w:val="28"/>
          <w:szCs w:val="28"/>
          <w:lang w:eastAsia="ru-RU"/>
        </w:rPr>
        <w:t>выступили</w:t>
      </w:r>
      <w:r w:rsidRPr="00FF13D6">
        <w:rPr>
          <w:rFonts w:ascii="Times New Roman" w:eastAsia="Times New Roman" w:hAnsi="Times New Roman" w:cs="Times New Roman"/>
          <w:sz w:val="28"/>
          <w:szCs w:val="28"/>
          <w:lang w:eastAsia="ru-RU"/>
        </w:rPr>
        <w:t xml:space="preserve"> ОГФСО «Юность России» и Минпросвещения России при поддержке </w:t>
      </w:r>
      <w:proofErr w:type="spellStart"/>
      <w:r w:rsidRPr="00FF13D6">
        <w:rPr>
          <w:rFonts w:ascii="Times New Roman" w:eastAsia="Times New Roman" w:hAnsi="Times New Roman" w:cs="Times New Roman"/>
          <w:sz w:val="28"/>
          <w:szCs w:val="28"/>
          <w:lang w:eastAsia="ru-RU"/>
        </w:rPr>
        <w:t>Минспорта</w:t>
      </w:r>
      <w:proofErr w:type="spellEnd"/>
      <w:r w:rsidRPr="00FF13D6">
        <w:rPr>
          <w:rFonts w:ascii="Times New Roman" w:eastAsia="Times New Roman" w:hAnsi="Times New Roman" w:cs="Times New Roman"/>
          <w:sz w:val="28"/>
          <w:szCs w:val="28"/>
          <w:lang w:eastAsia="ru-RU"/>
        </w:rPr>
        <w:t xml:space="preserve"> России.</w:t>
      </w:r>
    </w:p>
    <w:p w14:paraId="7E1E40AA" w14:textId="77777777" w:rsidR="00FA4744"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Всероссийский онлайн-фестиваль «</w:t>
      </w:r>
      <w:proofErr w:type="spellStart"/>
      <w:r w:rsidRPr="00FF13D6">
        <w:rPr>
          <w:rFonts w:ascii="Times New Roman" w:eastAsia="Times New Roman" w:hAnsi="Times New Roman" w:cs="Times New Roman"/>
          <w:sz w:val="28"/>
          <w:szCs w:val="28"/>
          <w:lang w:eastAsia="ru-RU"/>
        </w:rPr>
        <w:t>Трофи</w:t>
      </w:r>
      <w:proofErr w:type="spellEnd"/>
      <w:r w:rsidRPr="00FF13D6">
        <w:rPr>
          <w:rFonts w:ascii="Times New Roman" w:eastAsia="Times New Roman" w:hAnsi="Times New Roman" w:cs="Times New Roman"/>
          <w:sz w:val="28"/>
          <w:szCs w:val="28"/>
          <w:lang w:eastAsia="ru-RU"/>
        </w:rPr>
        <w:t>-ПРО!» среди обучающихся общеобразовательных организаций проводилс</w:t>
      </w:r>
      <w:r w:rsidR="004B5C96" w:rsidRPr="00FF13D6">
        <w:rPr>
          <w:rFonts w:ascii="Times New Roman" w:eastAsia="Times New Roman" w:hAnsi="Times New Roman" w:cs="Times New Roman"/>
          <w:sz w:val="28"/>
          <w:szCs w:val="28"/>
          <w:lang w:eastAsia="ru-RU"/>
        </w:rPr>
        <w:t xml:space="preserve">я в двух возрастных категориях: </w:t>
      </w:r>
      <w:r w:rsidR="004B5C96" w:rsidRPr="00FF13D6">
        <w:rPr>
          <w:rFonts w:ascii="Times New Roman" w:eastAsia="Times New Roman" w:hAnsi="Times New Roman" w:cs="Times New Roman"/>
          <w:sz w:val="28"/>
          <w:szCs w:val="28"/>
          <w:lang w:eastAsia="ru-RU"/>
        </w:rPr>
        <w:br/>
      </w:r>
      <w:r w:rsidRPr="00FF13D6">
        <w:rPr>
          <w:rFonts w:ascii="Times New Roman" w:eastAsia="Times New Roman" w:hAnsi="Times New Roman" w:cs="Times New Roman"/>
          <w:sz w:val="28"/>
          <w:szCs w:val="28"/>
          <w:lang w:eastAsia="ru-RU"/>
        </w:rPr>
        <w:t xml:space="preserve">I группа – юноши и девушки в возрасте 14-15 лет; II группа – юноши </w:t>
      </w:r>
      <w:r w:rsidRPr="00FF13D6">
        <w:rPr>
          <w:rFonts w:ascii="Times New Roman" w:eastAsia="Times New Roman" w:hAnsi="Times New Roman" w:cs="Times New Roman"/>
          <w:sz w:val="28"/>
          <w:szCs w:val="28"/>
          <w:lang w:eastAsia="ru-RU"/>
        </w:rPr>
        <w:br/>
        <w:t>и девушки в возрасте 16-17 лет. Мероприятие проводилось в пять этапов:</w:t>
      </w:r>
    </w:p>
    <w:p w14:paraId="69A3C0A0" w14:textId="77777777" w:rsidR="00FA4744"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 xml:space="preserve">I этап – соревнования внутри общеобразовательных организаций </w:t>
      </w:r>
      <w:r w:rsidR="004B5C96" w:rsidRPr="00FF13D6">
        <w:rPr>
          <w:rFonts w:ascii="Times New Roman" w:eastAsia="Times New Roman" w:hAnsi="Times New Roman" w:cs="Times New Roman"/>
          <w:sz w:val="28"/>
          <w:szCs w:val="28"/>
          <w:lang w:eastAsia="ru-RU"/>
        </w:rPr>
        <w:t xml:space="preserve">в </w:t>
      </w:r>
      <w:r w:rsidRPr="00FF13D6">
        <w:rPr>
          <w:rFonts w:ascii="Times New Roman" w:eastAsia="Times New Roman" w:hAnsi="Times New Roman" w:cs="Times New Roman"/>
          <w:sz w:val="28"/>
          <w:szCs w:val="28"/>
          <w:lang w:eastAsia="ru-RU"/>
        </w:rPr>
        <w:t>апрел</w:t>
      </w:r>
      <w:r w:rsidR="004445BE" w:rsidRPr="00FF13D6">
        <w:rPr>
          <w:rFonts w:ascii="Times New Roman" w:eastAsia="Times New Roman" w:hAnsi="Times New Roman" w:cs="Times New Roman"/>
          <w:sz w:val="28"/>
          <w:szCs w:val="28"/>
          <w:lang w:eastAsia="ru-RU"/>
        </w:rPr>
        <w:t>е</w:t>
      </w:r>
      <w:r w:rsidR="00A622C2"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 xml:space="preserve"> сентябр</w:t>
      </w:r>
      <w:r w:rsidR="004445BE" w:rsidRPr="00FF13D6">
        <w:rPr>
          <w:rFonts w:ascii="Times New Roman" w:eastAsia="Times New Roman" w:hAnsi="Times New Roman" w:cs="Times New Roman"/>
          <w:sz w:val="28"/>
          <w:szCs w:val="28"/>
          <w:lang w:eastAsia="ru-RU"/>
        </w:rPr>
        <w:t>е</w:t>
      </w:r>
      <w:r w:rsidRPr="00FF13D6">
        <w:rPr>
          <w:rFonts w:ascii="Times New Roman" w:eastAsia="Times New Roman" w:hAnsi="Times New Roman" w:cs="Times New Roman"/>
          <w:sz w:val="28"/>
          <w:szCs w:val="28"/>
          <w:lang w:eastAsia="ru-RU"/>
        </w:rPr>
        <w:t xml:space="preserve"> 2021 г</w:t>
      </w:r>
      <w:r w:rsidR="007F386F" w:rsidRPr="00FF13D6">
        <w:rPr>
          <w:rFonts w:ascii="Times New Roman" w:eastAsia="Times New Roman" w:hAnsi="Times New Roman" w:cs="Times New Roman"/>
          <w:sz w:val="28"/>
          <w:szCs w:val="28"/>
          <w:lang w:eastAsia="ru-RU"/>
        </w:rPr>
        <w:t>., в которых приняли участие</w:t>
      </w:r>
      <w:r w:rsidRPr="00FF13D6">
        <w:rPr>
          <w:rFonts w:ascii="Times New Roman" w:eastAsia="Times New Roman" w:hAnsi="Times New Roman" w:cs="Times New Roman"/>
          <w:sz w:val="28"/>
          <w:szCs w:val="28"/>
          <w:lang w:eastAsia="ru-RU"/>
        </w:rPr>
        <w:t xml:space="preserve"> 93 693 обучающихся </w:t>
      </w:r>
      <w:r w:rsidR="007F386F" w:rsidRPr="00FF13D6">
        <w:rPr>
          <w:rFonts w:ascii="Times New Roman" w:eastAsia="Times New Roman" w:hAnsi="Times New Roman" w:cs="Times New Roman"/>
          <w:sz w:val="28"/>
          <w:szCs w:val="28"/>
          <w:lang w:eastAsia="ru-RU"/>
        </w:rPr>
        <w:br/>
      </w:r>
      <w:r w:rsidRPr="00FF13D6">
        <w:rPr>
          <w:rFonts w:ascii="Times New Roman" w:eastAsia="Times New Roman" w:hAnsi="Times New Roman" w:cs="Times New Roman"/>
          <w:sz w:val="28"/>
          <w:szCs w:val="28"/>
          <w:lang w:eastAsia="ru-RU"/>
        </w:rPr>
        <w:t>из 10 869 о</w:t>
      </w:r>
      <w:r w:rsidR="007F386F" w:rsidRPr="00FF13D6">
        <w:rPr>
          <w:rFonts w:ascii="Times New Roman" w:eastAsia="Times New Roman" w:hAnsi="Times New Roman" w:cs="Times New Roman"/>
          <w:sz w:val="28"/>
          <w:szCs w:val="28"/>
          <w:lang w:eastAsia="ru-RU"/>
        </w:rPr>
        <w:t xml:space="preserve">бщеобразовательных организаций </w:t>
      </w:r>
      <w:r w:rsidRPr="00FF13D6">
        <w:rPr>
          <w:rFonts w:ascii="Times New Roman" w:eastAsia="Times New Roman" w:hAnsi="Times New Roman" w:cs="Times New Roman"/>
          <w:sz w:val="28"/>
          <w:szCs w:val="28"/>
          <w:lang w:eastAsia="ru-RU"/>
        </w:rPr>
        <w:t>55 субъектов Российской Федерации;</w:t>
      </w:r>
    </w:p>
    <w:p w14:paraId="4A21B887" w14:textId="77777777" w:rsidR="00FA4744"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 xml:space="preserve">II этап – соревнования среди команд общеобразовательных организаций в муниципальных образованиях </w:t>
      </w:r>
      <w:r w:rsidR="00FB73B8" w:rsidRPr="00FF13D6">
        <w:rPr>
          <w:rFonts w:ascii="Times New Roman" w:eastAsia="Times New Roman" w:hAnsi="Times New Roman" w:cs="Times New Roman"/>
          <w:sz w:val="28"/>
          <w:szCs w:val="28"/>
          <w:lang w:eastAsia="ru-RU"/>
        </w:rPr>
        <w:t xml:space="preserve">15 сентября </w:t>
      </w:r>
      <w:r w:rsidR="004445BE"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 xml:space="preserve"> 20 октября 2021 г</w:t>
      </w:r>
      <w:r w:rsidR="00FB73B8" w:rsidRPr="00FF13D6">
        <w:rPr>
          <w:rFonts w:ascii="Times New Roman" w:eastAsia="Times New Roman" w:hAnsi="Times New Roman" w:cs="Times New Roman"/>
          <w:sz w:val="28"/>
          <w:szCs w:val="28"/>
          <w:lang w:eastAsia="ru-RU"/>
        </w:rPr>
        <w:t xml:space="preserve">., в которых приняли участие 25 557 обучающихся </w:t>
      </w:r>
      <w:r w:rsidRPr="00FF13D6">
        <w:rPr>
          <w:rFonts w:ascii="Times New Roman" w:eastAsia="Times New Roman" w:hAnsi="Times New Roman" w:cs="Times New Roman"/>
          <w:sz w:val="28"/>
          <w:szCs w:val="28"/>
          <w:lang w:eastAsia="ru-RU"/>
        </w:rPr>
        <w:t>из 3 102 общеобразовательных организаций;</w:t>
      </w:r>
    </w:p>
    <w:p w14:paraId="0AB0FD4B" w14:textId="77777777" w:rsidR="00FA4744"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III этап – соревнования в субъектах Российской Федерации среди команд общеобразовательных организаций 25</w:t>
      </w:r>
      <w:r w:rsidR="00A622C2"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30 октября 2021 г</w:t>
      </w:r>
      <w:r w:rsidR="00FB73B8" w:rsidRPr="00FF13D6">
        <w:rPr>
          <w:rFonts w:ascii="Times New Roman" w:eastAsia="Times New Roman" w:hAnsi="Times New Roman" w:cs="Times New Roman"/>
          <w:sz w:val="28"/>
          <w:szCs w:val="28"/>
          <w:lang w:eastAsia="ru-RU"/>
        </w:rPr>
        <w:t>., в которых приняли участие</w:t>
      </w:r>
      <w:r w:rsidRPr="00FF13D6">
        <w:rPr>
          <w:rFonts w:ascii="Times New Roman" w:eastAsia="Times New Roman" w:hAnsi="Times New Roman" w:cs="Times New Roman"/>
          <w:sz w:val="28"/>
          <w:szCs w:val="28"/>
          <w:lang w:eastAsia="ru-RU"/>
        </w:rPr>
        <w:t xml:space="preserve"> 2 181 обучающийся из 237 общеобразовательных организаций;</w:t>
      </w:r>
    </w:p>
    <w:p w14:paraId="42F1EF74" w14:textId="77777777" w:rsidR="00FA4744"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IV этап (заочный) – соревнования в федеральных округах Российской Федерации 5</w:t>
      </w:r>
      <w:r w:rsidR="00A622C2"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15 ноября 2021 г</w:t>
      </w:r>
      <w:r w:rsidR="00FB73B8" w:rsidRPr="00FF13D6">
        <w:rPr>
          <w:rFonts w:ascii="Times New Roman" w:eastAsia="Times New Roman" w:hAnsi="Times New Roman" w:cs="Times New Roman"/>
          <w:sz w:val="28"/>
          <w:szCs w:val="28"/>
          <w:lang w:eastAsia="ru-RU"/>
        </w:rPr>
        <w:t>., в которых приняли участие</w:t>
      </w:r>
      <w:r w:rsidRPr="00FF13D6">
        <w:rPr>
          <w:rFonts w:ascii="Times New Roman" w:eastAsia="Times New Roman" w:hAnsi="Times New Roman" w:cs="Times New Roman"/>
          <w:sz w:val="28"/>
          <w:szCs w:val="28"/>
          <w:lang w:eastAsia="ru-RU"/>
        </w:rPr>
        <w:t xml:space="preserve"> 344 обучающихся из </w:t>
      </w:r>
      <w:r w:rsidR="004445BE" w:rsidRPr="00FF13D6">
        <w:rPr>
          <w:rFonts w:ascii="Times New Roman" w:eastAsia="Times New Roman" w:hAnsi="Times New Roman" w:cs="Times New Roman"/>
          <w:sz w:val="28"/>
          <w:szCs w:val="28"/>
          <w:lang w:eastAsia="ru-RU"/>
        </w:rPr>
        <w:br/>
      </w:r>
      <w:r w:rsidRPr="00FF13D6">
        <w:rPr>
          <w:rFonts w:ascii="Times New Roman" w:eastAsia="Times New Roman" w:hAnsi="Times New Roman" w:cs="Times New Roman"/>
          <w:sz w:val="28"/>
          <w:szCs w:val="28"/>
          <w:lang w:eastAsia="ru-RU"/>
        </w:rPr>
        <w:t>43 общеобразовательных организаций;</w:t>
      </w:r>
    </w:p>
    <w:p w14:paraId="567BFA60" w14:textId="77777777" w:rsidR="00FA4744"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 xml:space="preserve">V этап – суперфинал </w:t>
      </w:r>
      <w:r w:rsidR="00FB73B8" w:rsidRPr="00FF13D6">
        <w:rPr>
          <w:rFonts w:ascii="Times New Roman" w:eastAsia="Times New Roman" w:hAnsi="Times New Roman" w:cs="Times New Roman"/>
          <w:sz w:val="28"/>
          <w:szCs w:val="28"/>
          <w:lang w:eastAsia="ru-RU"/>
        </w:rPr>
        <w:t>29</w:t>
      </w:r>
      <w:r w:rsidR="00A622C2" w:rsidRPr="00FF13D6">
        <w:rPr>
          <w:rFonts w:ascii="Times New Roman" w:eastAsia="Times New Roman" w:hAnsi="Times New Roman" w:cs="Times New Roman"/>
          <w:sz w:val="28"/>
          <w:szCs w:val="28"/>
          <w:lang w:eastAsia="ru-RU"/>
        </w:rPr>
        <w:t>-</w:t>
      </w:r>
      <w:r w:rsidR="00FB73B8" w:rsidRPr="00FF13D6">
        <w:rPr>
          <w:rFonts w:ascii="Times New Roman" w:eastAsia="Times New Roman" w:hAnsi="Times New Roman" w:cs="Times New Roman"/>
          <w:sz w:val="28"/>
          <w:szCs w:val="28"/>
          <w:lang w:eastAsia="ru-RU"/>
        </w:rPr>
        <w:t>30 ноября</w:t>
      </w:r>
      <w:r w:rsidRPr="00FF13D6">
        <w:rPr>
          <w:rFonts w:ascii="Times New Roman" w:eastAsia="Times New Roman" w:hAnsi="Times New Roman" w:cs="Times New Roman"/>
          <w:sz w:val="28"/>
          <w:szCs w:val="28"/>
          <w:lang w:eastAsia="ru-RU"/>
        </w:rPr>
        <w:t xml:space="preserve"> 2021 г</w:t>
      </w:r>
      <w:r w:rsidR="00FB73B8" w:rsidRPr="00FF13D6">
        <w:rPr>
          <w:rFonts w:ascii="Times New Roman" w:eastAsia="Times New Roman" w:hAnsi="Times New Roman" w:cs="Times New Roman"/>
          <w:sz w:val="28"/>
          <w:szCs w:val="28"/>
          <w:lang w:eastAsia="ru-RU"/>
        </w:rPr>
        <w:t xml:space="preserve">., в котором приняли участие </w:t>
      </w:r>
      <w:r w:rsidR="00A622C2" w:rsidRPr="00FF13D6">
        <w:rPr>
          <w:rFonts w:ascii="Times New Roman" w:eastAsia="Times New Roman" w:hAnsi="Times New Roman" w:cs="Times New Roman"/>
          <w:sz w:val="28"/>
          <w:szCs w:val="28"/>
          <w:lang w:eastAsia="ru-RU"/>
        </w:rPr>
        <w:br/>
      </w:r>
      <w:r w:rsidR="00FB73B8" w:rsidRPr="00FF13D6">
        <w:rPr>
          <w:rFonts w:ascii="Times New Roman" w:eastAsia="Times New Roman" w:hAnsi="Times New Roman" w:cs="Times New Roman"/>
          <w:sz w:val="28"/>
          <w:szCs w:val="28"/>
          <w:lang w:eastAsia="ru-RU"/>
        </w:rPr>
        <w:t xml:space="preserve">256 обучающихся </w:t>
      </w:r>
      <w:r w:rsidRPr="00FF13D6">
        <w:rPr>
          <w:rFonts w:ascii="Times New Roman" w:eastAsia="Times New Roman" w:hAnsi="Times New Roman" w:cs="Times New Roman"/>
          <w:sz w:val="28"/>
          <w:szCs w:val="28"/>
          <w:lang w:eastAsia="ru-RU"/>
        </w:rPr>
        <w:t>из 32 общеобразовательных организаций 25 субъектов Российской Федерации.</w:t>
      </w:r>
    </w:p>
    <w:p w14:paraId="6D41086B" w14:textId="77777777" w:rsidR="00FA4744"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Всероссийский фестиваль «</w:t>
      </w:r>
      <w:proofErr w:type="spellStart"/>
      <w:r w:rsidRPr="00FF13D6">
        <w:rPr>
          <w:rFonts w:ascii="Times New Roman" w:eastAsia="Times New Roman" w:hAnsi="Times New Roman" w:cs="Times New Roman"/>
          <w:sz w:val="28"/>
          <w:szCs w:val="28"/>
          <w:lang w:eastAsia="ru-RU"/>
        </w:rPr>
        <w:t>Трофи</w:t>
      </w:r>
      <w:proofErr w:type="spellEnd"/>
      <w:r w:rsidRPr="00FF13D6">
        <w:rPr>
          <w:rFonts w:ascii="Times New Roman" w:eastAsia="Times New Roman" w:hAnsi="Times New Roman" w:cs="Times New Roman"/>
          <w:sz w:val="28"/>
          <w:szCs w:val="28"/>
          <w:lang w:eastAsia="ru-RU"/>
        </w:rPr>
        <w:t>, ПРОФИ!» среди обучающихся профессиональных организаций проводился в двух возрастных категориях:</w:t>
      </w:r>
      <w:r w:rsidR="004C13E7" w:rsidRPr="00FF13D6">
        <w:rPr>
          <w:rFonts w:ascii="Times New Roman" w:eastAsia="Times New Roman" w:hAnsi="Times New Roman" w:cs="Times New Roman"/>
          <w:sz w:val="28"/>
          <w:szCs w:val="28"/>
          <w:lang w:eastAsia="ru-RU"/>
        </w:rPr>
        <w:t xml:space="preserve"> </w:t>
      </w:r>
      <w:r w:rsidR="004C13E7" w:rsidRPr="00FF13D6">
        <w:rPr>
          <w:rFonts w:ascii="Times New Roman" w:eastAsia="Times New Roman" w:hAnsi="Times New Roman" w:cs="Times New Roman"/>
          <w:sz w:val="28"/>
          <w:szCs w:val="28"/>
          <w:lang w:eastAsia="ru-RU"/>
        </w:rPr>
        <w:br/>
      </w:r>
      <w:r w:rsidRPr="00FF13D6">
        <w:rPr>
          <w:rFonts w:ascii="Times New Roman" w:eastAsia="Times New Roman" w:hAnsi="Times New Roman" w:cs="Times New Roman"/>
          <w:sz w:val="28"/>
          <w:szCs w:val="28"/>
          <w:lang w:eastAsia="ru-RU"/>
        </w:rPr>
        <w:t xml:space="preserve">I группа – юноши и девушки в возрасте 16-17 лет; II группа – юноши </w:t>
      </w:r>
      <w:r w:rsidRPr="00FF13D6">
        <w:rPr>
          <w:rFonts w:ascii="Times New Roman" w:eastAsia="Times New Roman" w:hAnsi="Times New Roman" w:cs="Times New Roman"/>
          <w:sz w:val="28"/>
          <w:szCs w:val="28"/>
          <w:lang w:eastAsia="ru-RU"/>
        </w:rPr>
        <w:br/>
        <w:t>и девушки в возрасте 18-19 лет. Фестиваль проводился в пять этапов:</w:t>
      </w:r>
    </w:p>
    <w:p w14:paraId="72ECDF03" w14:textId="77777777" w:rsidR="00FA4744"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 xml:space="preserve">I этап – соревнования внутри профессиональных образовательных организаций </w:t>
      </w:r>
      <w:r w:rsidR="004C13E7" w:rsidRPr="00FF13D6">
        <w:rPr>
          <w:rFonts w:ascii="Times New Roman" w:eastAsia="Times New Roman" w:hAnsi="Times New Roman" w:cs="Times New Roman"/>
          <w:sz w:val="28"/>
          <w:szCs w:val="28"/>
          <w:lang w:eastAsia="ru-RU"/>
        </w:rPr>
        <w:t xml:space="preserve">в </w:t>
      </w:r>
      <w:r w:rsidRPr="00FF13D6">
        <w:rPr>
          <w:rFonts w:ascii="Times New Roman" w:eastAsia="Times New Roman" w:hAnsi="Times New Roman" w:cs="Times New Roman"/>
          <w:sz w:val="28"/>
          <w:szCs w:val="28"/>
          <w:lang w:eastAsia="ru-RU"/>
        </w:rPr>
        <w:t>апрел</w:t>
      </w:r>
      <w:r w:rsidR="004445BE" w:rsidRPr="00FF13D6">
        <w:rPr>
          <w:rFonts w:ascii="Times New Roman" w:eastAsia="Times New Roman" w:hAnsi="Times New Roman" w:cs="Times New Roman"/>
          <w:sz w:val="28"/>
          <w:szCs w:val="28"/>
          <w:lang w:eastAsia="ru-RU"/>
        </w:rPr>
        <w:t>е</w:t>
      </w:r>
      <w:r w:rsidR="00A622C2"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сентябр</w:t>
      </w:r>
      <w:r w:rsidR="004445BE" w:rsidRPr="00FF13D6">
        <w:rPr>
          <w:rFonts w:ascii="Times New Roman" w:eastAsia="Times New Roman" w:hAnsi="Times New Roman" w:cs="Times New Roman"/>
          <w:sz w:val="28"/>
          <w:szCs w:val="28"/>
          <w:lang w:eastAsia="ru-RU"/>
        </w:rPr>
        <w:t>е</w:t>
      </w:r>
      <w:r w:rsidRPr="00FF13D6">
        <w:rPr>
          <w:rFonts w:ascii="Times New Roman" w:eastAsia="Times New Roman" w:hAnsi="Times New Roman" w:cs="Times New Roman"/>
          <w:sz w:val="28"/>
          <w:szCs w:val="28"/>
          <w:lang w:eastAsia="ru-RU"/>
        </w:rPr>
        <w:t xml:space="preserve"> 2021 г</w:t>
      </w:r>
      <w:r w:rsidR="004C13E7" w:rsidRPr="00FF13D6">
        <w:rPr>
          <w:rFonts w:ascii="Times New Roman" w:eastAsia="Times New Roman" w:hAnsi="Times New Roman" w:cs="Times New Roman"/>
          <w:sz w:val="28"/>
          <w:szCs w:val="28"/>
          <w:lang w:eastAsia="ru-RU"/>
        </w:rPr>
        <w:t>.</w:t>
      </w:r>
      <w:r w:rsidR="00E454A8" w:rsidRPr="00FF13D6">
        <w:rPr>
          <w:rFonts w:ascii="Times New Roman" w:eastAsia="Times New Roman" w:hAnsi="Times New Roman" w:cs="Times New Roman"/>
          <w:sz w:val="28"/>
          <w:szCs w:val="28"/>
          <w:lang w:eastAsia="ru-RU"/>
        </w:rPr>
        <w:t xml:space="preserve">, в которых приняли участие </w:t>
      </w:r>
      <w:r w:rsidR="00E454A8" w:rsidRPr="00FF13D6">
        <w:rPr>
          <w:rFonts w:ascii="Times New Roman" w:eastAsia="Times New Roman" w:hAnsi="Times New Roman" w:cs="Times New Roman"/>
          <w:sz w:val="28"/>
          <w:szCs w:val="28"/>
          <w:lang w:eastAsia="ru-RU"/>
        </w:rPr>
        <w:br/>
      </w:r>
      <w:r w:rsidRPr="00FF13D6">
        <w:rPr>
          <w:rFonts w:ascii="Times New Roman" w:eastAsia="Times New Roman" w:hAnsi="Times New Roman" w:cs="Times New Roman"/>
          <w:sz w:val="28"/>
          <w:szCs w:val="28"/>
          <w:lang w:eastAsia="ru-RU"/>
        </w:rPr>
        <w:t xml:space="preserve">56 871 обучающийся из 1 240 профессиональных образовательных организаций </w:t>
      </w:r>
      <w:r w:rsidR="000E367B" w:rsidRPr="00FF13D6">
        <w:rPr>
          <w:rFonts w:ascii="Times New Roman" w:eastAsia="Times New Roman" w:hAnsi="Times New Roman" w:cs="Times New Roman"/>
          <w:sz w:val="28"/>
          <w:szCs w:val="28"/>
          <w:lang w:eastAsia="ru-RU"/>
        </w:rPr>
        <w:br/>
      </w:r>
      <w:r w:rsidRPr="00FF13D6">
        <w:rPr>
          <w:rFonts w:ascii="Times New Roman" w:eastAsia="Times New Roman" w:hAnsi="Times New Roman" w:cs="Times New Roman"/>
          <w:sz w:val="28"/>
          <w:szCs w:val="28"/>
          <w:lang w:eastAsia="ru-RU"/>
        </w:rPr>
        <w:t>49 субъектов Российской Федерации;</w:t>
      </w:r>
    </w:p>
    <w:p w14:paraId="043476E5" w14:textId="77777777" w:rsidR="00FA4744"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 xml:space="preserve">II этап – соревнования среди команд профессиональных образовательных организаций в муниципальных образованиях 15 сентября </w:t>
      </w:r>
      <w:r w:rsidR="004445BE"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 xml:space="preserve"> 20 октября 2021 г</w:t>
      </w:r>
      <w:r w:rsidR="00F30BEE" w:rsidRPr="00FF13D6">
        <w:rPr>
          <w:rFonts w:ascii="Times New Roman" w:eastAsia="Times New Roman" w:hAnsi="Times New Roman" w:cs="Times New Roman"/>
          <w:sz w:val="28"/>
          <w:szCs w:val="28"/>
          <w:lang w:eastAsia="ru-RU"/>
        </w:rPr>
        <w:t>., в которых приняли участие</w:t>
      </w:r>
      <w:r w:rsidRPr="00FF13D6">
        <w:rPr>
          <w:rFonts w:ascii="Times New Roman" w:eastAsia="Times New Roman" w:hAnsi="Times New Roman" w:cs="Times New Roman"/>
          <w:sz w:val="28"/>
          <w:szCs w:val="28"/>
          <w:lang w:eastAsia="ru-RU"/>
        </w:rPr>
        <w:t xml:space="preserve"> 6 150 обучающихся из 510 профессиональных образовательных организаций;</w:t>
      </w:r>
    </w:p>
    <w:p w14:paraId="6BC1EBF5" w14:textId="77777777" w:rsidR="00FA4744"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III этап – соревнования в субъектах Российской Федерации среди команд профессиональных образовательных организаций</w:t>
      </w:r>
      <w:r w:rsidR="00F30BEE" w:rsidRPr="00FF13D6">
        <w:rPr>
          <w:rFonts w:ascii="Times New Roman" w:eastAsia="Times New Roman" w:hAnsi="Times New Roman" w:cs="Times New Roman"/>
          <w:sz w:val="28"/>
          <w:szCs w:val="28"/>
          <w:lang w:eastAsia="ru-RU"/>
        </w:rPr>
        <w:t xml:space="preserve"> 25 октября </w:t>
      </w:r>
      <w:r w:rsidR="004445BE" w:rsidRPr="00FF13D6">
        <w:rPr>
          <w:rFonts w:ascii="Times New Roman" w:eastAsia="Times New Roman" w:hAnsi="Times New Roman" w:cs="Times New Roman"/>
          <w:sz w:val="28"/>
          <w:szCs w:val="28"/>
          <w:lang w:eastAsia="ru-RU"/>
        </w:rPr>
        <w:t>–</w:t>
      </w:r>
      <w:r w:rsidR="00F30BEE" w:rsidRPr="00FF13D6">
        <w:rPr>
          <w:rFonts w:ascii="Times New Roman" w:eastAsia="Times New Roman" w:hAnsi="Times New Roman" w:cs="Times New Roman"/>
          <w:sz w:val="28"/>
          <w:szCs w:val="28"/>
          <w:lang w:eastAsia="ru-RU"/>
        </w:rPr>
        <w:t xml:space="preserve"> </w:t>
      </w:r>
      <w:r w:rsidRPr="00FF13D6">
        <w:rPr>
          <w:rFonts w:ascii="Times New Roman" w:eastAsia="Times New Roman" w:hAnsi="Times New Roman" w:cs="Times New Roman"/>
          <w:sz w:val="28"/>
          <w:szCs w:val="28"/>
          <w:lang w:eastAsia="ru-RU"/>
        </w:rPr>
        <w:t>2 ноября 2021 г</w:t>
      </w:r>
      <w:r w:rsidR="00F30BEE" w:rsidRPr="00FF13D6">
        <w:rPr>
          <w:rFonts w:ascii="Times New Roman" w:eastAsia="Times New Roman" w:hAnsi="Times New Roman" w:cs="Times New Roman"/>
          <w:sz w:val="28"/>
          <w:szCs w:val="28"/>
          <w:lang w:eastAsia="ru-RU"/>
        </w:rPr>
        <w:t>., в которых приняли участие</w:t>
      </w:r>
      <w:r w:rsidRPr="00FF13D6">
        <w:rPr>
          <w:rFonts w:ascii="Times New Roman" w:eastAsia="Times New Roman" w:hAnsi="Times New Roman" w:cs="Times New Roman"/>
          <w:sz w:val="28"/>
          <w:szCs w:val="28"/>
          <w:lang w:eastAsia="ru-RU"/>
        </w:rPr>
        <w:t xml:space="preserve"> 2 292 обучающихся из 241 профессиональной образовательной организации;</w:t>
      </w:r>
    </w:p>
    <w:p w14:paraId="0985FBC3" w14:textId="77777777" w:rsidR="00FA4744"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IV этап (заочный) – соревнования в федеральных округах Российской Федерации 5</w:t>
      </w:r>
      <w:r w:rsidR="00A622C2"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15 ноября 2021 г</w:t>
      </w:r>
      <w:r w:rsidR="00F30BEE" w:rsidRPr="00FF13D6">
        <w:rPr>
          <w:rFonts w:ascii="Times New Roman" w:eastAsia="Times New Roman" w:hAnsi="Times New Roman" w:cs="Times New Roman"/>
          <w:sz w:val="28"/>
          <w:szCs w:val="28"/>
          <w:lang w:eastAsia="ru-RU"/>
        </w:rPr>
        <w:t>., в которых приняли участие</w:t>
      </w:r>
      <w:r w:rsidRPr="00FF13D6">
        <w:rPr>
          <w:rFonts w:ascii="Times New Roman" w:eastAsia="Times New Roman" w:hAnsi="Times New Roman" w:cs="Times New Roman"/>
          <w:sz w:val="28"/>
          <w:szCs w:val="28"/>
          <w:lang w:eastAsia="ru-RU"/>
        </w:rPr>
        <w:t xml:space="preserve"> </w:t>
      </w:r>
      <w:r w:rsidR="00F30BEE" w:rsidRPr="00FF13D6">
        <w:rPr>
          <w:rFonts w:ascii="Times New Roman" w:eastAsia="Times New Roman" w:hAnsi="Times New Roman" w:cs="Times New Roman"/>
          <w:sz w:val="28"/>
          <w:szCs w:val="28"/>
          <w:lang w:eastAsia="ru-RU"/>
        </w:rPr>
        <w:t>312</w:t>
      </w:r>
      <w:r w:rsidRPr="00FF13D6">
        <w:rPr>
          <w:rFonts w:ascii="Times New Roman" w:eastAsia="Times New Roman" w:hAnsi="Times New Roman" w:cs="Times New Roman"/>
          <w:sz w:val="28"/>
          <w:szCs w:val="28"/>
          <w:lang w:eastAsia="ru-RU"/>
        </w:rPr>
        <w:t xml:space="preserve"> обучающихся </w:t>
      </w:r>
      <w:r w:rsidR="00A622C2" w:rsidRPr="00FF13D6">
        <w:rPr>
          <w:rFonts w:ascii="Times New Roman" w:eastAsia="Times New Roman" w:hAnsi="Times New Roman" w:cs="Times New Roman"/>
          <w:sz w:val="28"/>
          <w:szCs w:val="28"/>
          <w:lang w:eastAsia="ru-RU"/>
        </w:rPr>
        <w:br/>
      </w:r>
      <w:r w:rsidRPr="00FF13D6">
        <w:rPr>
          <w:rFonts w:ascii="Times New Roman" w:eastAsia="Times New Roman" w:hAnsi="Times New Roman" w:cs="Times New Roman"/>
          <w:sz w:val="28"/>
          <w:szCs w:val="28"/>
          <w:lang w:eastAsia="ru-RU"/>
        </w:rPr>
        <w:t>из 39 профессиональных образовательных организаций;</w:t>
      </w:r>
    </w:p>
    <w:p w14:paraId="74180EBA" w14:textId="77777777" w:rsidR="00FA4744"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V этап – суперфинал 1</w:t>
      </w:r>
      <w:r w:rsidR="00A622C2" w:rsidRPr="00FF13D6">
        <w:rPr>
          <w:rFonts w:ascii="Times New Roman" w:eastAsia="Times New Roman" w:hAnsi="Times New Roman" w:cs="Times New Roman"/>
          <w:sz w:val="28"/>
          <w:szCs w:val="28"/>
          <w:lang w:eastAsia="ru-RU"/>
        </w:rPr>
        <w:t>-</w:t>
      </w:r>
      <w:r w:rsidR="00F30BEE" w:rsidRPr="00FF13D6">
        <w:rPr>
          <w:rFonts w:ascii="Times New Roman" w:eastAsia="Times New Roman" w:hAnsi="Times New Roman" w:cs="Times New Roman"/>
          <w:sz w:val="28"/>
          <w:szCs w:val="28"/>
          <w:lang w:eastAsia="ru-RU"/>
        </w:rPr>
        <w:t>2 декабря 2021 г</w:t>
      </w:r>
      <w:r w:rsidR="004445BE" w:rsidRPr="00FF13D6">
        <w:rPr>
          <w:rFonts w:ascii="Times New Roman" w:eastAsia="Times New Roman" w:hAnsi="Times New Roman" w:cs="Times New Roman"/>
          <w:sz w:val="28"/>
          <w:szCs w:val="28"/>
          <w:lang w:eastAsia="ru-RU"/>
        </w:rPr>
        <w:t>.</w:t>
      </w:r>
      <w:r w:rsidR="00F30BEE" w:rsidRPr="00FF13D6">
        <w:rPr>
          <w:rFonts w:ascii="Times New Roman" w:eastAsia="Times New Roman" w:hAnsi="Times New Roman" w:cs="Times New Roman"/>
          <w:sz w:val="28"/>
          <w:szCs w:val="28"/>
          <w:lang w:eastAsia="ru-RU"/>
        </w:rPr>
        <w:t>, в котором приняли участие</w:t>
      </w:r>
      <w:r w:rsidRPr="00FF13D6">
        <w:rPr>
          <w:rFonts w:ascii="Times New Roman" w:eastAsia="Times New Roman" w:hAnsi="Times New Roman" w:cs="Times New Roman"/>
          <w:sz w:val="28"/>
          <w:szCs w:val="28"/>
          <w:lang w:eastAsia="ru-RU"/>
        </w:rPr>
        <w:t xml:space="preserve"> </w:t>
      </w:r>
      <w:r w:rsidR="00A622C2" w:rsidRPr="00FF13D6">
        <w:rPr>
          <w:rFonts w:ascii="Times New Roman" w:eastAsia="Times New Roman" w:hAnsi="Times New Roman" w:cs="Times New Roman"/>
          <w:sz w:val="28"/>
          <w:szCs w:val="28"/>
          <w:lang w:eastAsia="ru-RU"/>
        </w:rPr>
        <w:br/>
      </w:r>
      <w:r w:rsidRPr="00FF13D6">
        <w:rPr>
          <w:rFonts w:ascii="Times New Roman" w:eastAsia="Times New Roman" w:hAnsi="Times New Roman" w:cs="Times New Roman"/>
          <w:sz w:val="28"/>
          <w:szCs w:val="28"/>
          <w:lang w:eastAsia="ru-RU"/>
        </w:rPr>
        <w:t xml:space="preserve">232 обучающихся из 29 профессиональных образовательных организаций </w:t>
      </w:r>
      <w:r w:rsidR="00A622C2" w:rsidRPr="00FF13D6">
        <w:rPr>
          <w:rFonts w:ascii="Times New Roman" w:eastAsia="Times New Roman" w:hAnsi="Times New Roman" w:cs="Times New Roman"/>
          <w:sz w:val="28"/>
          <w:szCs w:val="28"/>
          <w:lang w:eastAsia="ru-RU"/>
        </w:rPr>
        <w:br/>
      </w:r>
      <w:r w:rsidRPr="00FF13D6">
        <w:rPr>
          <w:rFonts w:ascii="Times New Roman" w:eastAsia="Times New Roman" w:hAnsi="Times New Roman" w:cs="Times New Roman"/>
          <w:sz w:val="28"/>
          <w:szCs w:val="28"/>
          <w:lang w:eastAsia="ru-RU"/>
        </w:rPr>
        <w:t>25 субъектов Российской Федерации.</w:t>
      </w:r>
    </w:p>
    <w:p w14:paraId="7BBBA7C1" w14:textId="19473A4E" w:rsidR="00475B58"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В рамках выполнения пункта 47 Приложения № 2 к Межотраслевой программе развития студенческого спорта до 2024 г</w:t>
      </w:r>
      <w:r w:rsidR="001F3369"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 xml:space="preserve">, утвержденной совместным приказом </w:t>
      </w:r>
      <w:proofErr w:type="spellStart"/>
      <w:r w:rsidRPr="00FF13D6">
        <w:rPr>
          <w:rFonts w:ascii="Times New Roman" w:eastAsia="Times New Roman" w:hAnsi="Times New Roman" w:cs="Times New Roman"/>
          <w:sz w:val="28"/>
          <w:szCs w:val="28"/>
          <w:lang w:eastAsia="ru-RU"/>
        </w:rPr>
        <w:t>Минспорта</w:t>
      </w:r>
      <w:proofErr w:type="spellEnd"/>
      <w:r w:rsidRPr="00FF13D6">
        <w:rPr>
          <w:rFonts w:ascii="Times New Roman" w:eastAsia="Times New Roman" w:hAnsi="Times New Roman" w:cs="Times New Roman"/>
          <w:sz w:val="28"/>
          <w:szCs w:val="28"/>
          <w:lang w:eastAsia="ru-RU"/>
        </w:rPr>
        <w:t xml:space="preserve"> России, Минобрнауки России, Минпросвещения России от </w:t>
      </w:r>
      <w:r w:rsidR="00F30BEE" w:rsidRPr="00FF13D6">
        <w:rPr>
          <w:rFonts w:ascii="Times New Roman" w:eastAsia="Times New Roman" w:hAnsi="Times New Roman" w:cs="Times New Roman"/>
          <w:sz w:val="28"/>
          <w:szCs w:val="28"/>
          <w:lang w:eastAsia="ru-RU"/>
        </w:rPr>
        <w:t xml:space="preserve">9 марта </w:t>
      </w:r>
      <w:r w:rsidR="005360FA" w:rsidRPr="00FF13D6">
        <w:rPr>
          <w:rFonts w:ascii="Times New Roman" w:eastAsia="Times New Roman" w:hAnsi="Times New Roman" w:cs="Times New Roman"/>
          <w:sz w:val="28"/>
          <w:szCs w:val="28"/>
          <w:lang w:eastAsia="ru-RU"/>
        </w:rPr>
        <w:br/>
      </w:r>
      <w:r w:rsidRPr="00FF13D6">
        <w:rPr>
          <w:rFonts w:ascii="Times New Roman" w:eastAsia="Times New Roman" w:hAnsi="Times New Roman" w:cs="Times New Roman"/>
          <w:sz w:val="28"/>
          <w:szCs w:val="28"/>
          <w:lang w:eastAsia="ru-RU"/>
        </w:rPr>
        <w:t>2021</w:t>
      </w:r>
      <w:r w:rsidR="00F30BEE" w:rsidRPr="00FF13D6">
        <w:rPr>
          <w:rFonts w:ascii="Times New Roman" w:eastAsia="Times New Roman" w:hAnsi="Times New Roman" w:cs="Times New Roman"/>
          <w:sz w:val="28"/>
          <w:szCs w:val="28"/>
          <w:lang w:eastAsia="ru-RU"/>
        </w:rPr>
        <w:t xml:space="preserve"> г.</w:t>
      </w:r>
      <w:r w:rsidRPr="00FF13D6">
        <w:rPr>
          <w:rFonts w:ascii="Times New Roman" w:eastAsia="Times New Roman" w:hAnsi="Times New Roman" w:cs="Times New Roman"/>
          <w:sz w:val="28"/>
          <w:szCs w:val="28"/>
          <w:lang w:eastAsia="ru-RU"/>
        </w:rPr>
        <w:t xml:space="preserve"> № 141/167/90, в целях определения лучших профессиональных образовательных организаций, реализующих образовательные программы среднего</w:t>
      </w:r>
      <w:r w:rsidR="00F30BEE" w:rsidRPr="00FF13D6">
        <w:rPr>
          <w:rFonts w:ascii="Times New Roman" w:eastAsia="Times New Roman" w:hAnsi="Times New Roman" w:cs="Times New Roman"/>
          <w:sz w:val="28"/>
          <w:szCs w:val="28"/>
          <w:lang w:eastAsia="ru-RU"/>
        </w:rPr>
        <w:t xml:space="preserve"> профессионального образования, </w:t>
      </w:r>
      <w:r w:rsidRPr="00FF13D6">
        <w:rPr>
          <w:rFonts w:ascii="Times New Roman" w:eastAsia="Times New Roman" w:hAnsi="Times New Roman" w:cs="Times New Roman"/>
          <w:sz w:val="28"/>
          <w:szCs w:val="28"/>
          <w:lang w:eastAsia="ru-RU"/>
        </w:rPr>
        <w:t xml:space="preserve">и студенческих спортивных клубов по организации физкультурно-спортивной работы, Минпросвещения России при участии </w:t>
      </w:r>
      <w:proofErr w:type="spellStart"/>
      <w:r w:rsidRPr="00FF13D6">
        <w:rPr>
          <w:rFonts w:ascii="Times New Roman" w:eastAsia="Times New Roman" w:hAnsi="Times New Roman" w:cs="Times New Roman"/>
          <w:sz w:val="28"/>
          <w:szCs w:val="28"/>
          <w:lang w:eastAsia="ru-RU"/>
        </w:rPr>
        <w:t>Минспорта</w:t>
      </w:r>
      <w:proofErr w:type="spellEnd"/>
      <w:r w:rsidRPr="00FF13D6">
        <w:rPr>
          <w:rFonts w:ascii="Times New Roman" w:eastAsia="Times New Roman" w:hAnsi="Times New Roman" w:cs="Times New Roman"/>
          <w:sz w:val="28"/>
          <w:szCs w:val="28"/>
          <w:lang w:eastAsia="ru-RU"/>
        </w:rPr>
        <w:t xml:space="preserve"> России и Российского студенческого спортивного союза проводится Всероссийский смотр-конкурс на лучшую организацию физкультурно-спортивной работы среди профессиональных образовательных организаций. </w:t>
      </w:r>
    </w:p>
    <w:p w14:paraId="59F9D9D3" w14:textId="691F863B" w:rsidR="00FA4744"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В 2021 г</w:t>
      </w:r>
      <w:r w:rsidR="00A622C2"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 xml:space="preserve"> </w:t>
      </w:r>
      <w:r w:rsidR="00F30BEE" w:rsidRPr="00FF13D6">
        <w:rPr>
          <w:rFonts w:ascii="Times New Roman" w:eastAsia="Times New Roman" w:hAnsi="Times New Roman" w:cs="Times New Roman"/>
          <w:sz w:val="28"/>
          <w:szCs w:val="28"/>
          <w:lang w:eastAsia="ru-RU"/>
        </w:rPr>
        <w:t>для участия</w:t>
      </w:r>
      <w:r w:rsidRPr="00FF13D6">
        <w:rPr>
          <w:rFonts w:ascii="Times New Roman" w:eastAsia="Times New Roman" w:hAnsi="Times New Roman" w:cs="Times New Roman"/>
          <w:sz w:val="28"/>
          <w:szCs w:val="28"/>
          <w:lang w:eastAsia="ru-RU"/>
        </w:rPr>
        <w:t xml:space="preserve"> в </w:t>
      </w:r>
      <w:r w:rsidR="00F30BEE" w:rsidRPr="00FF13D6">
        <w:rPr>
          <w:rFonts w:ascii="Times New Roman" w:eastAsia="Times New Roman" w:hAnsi="Times New Roman" w:cs="Times New Roman"/>
          <w:sz w:val="28"/>
          <w:szCs w:val="28"/>
          <w:lang w:eastAsia="ru-RU"/>
        </w:rPr>
        <w:t>к</w:t>
      </w:r>
      <w:r w:rsidRPr="00FF13D6">
        <w:rPr>
          <w:rFonts w:ascii="Times New Roman" w:eastAsia="Times New Roman" w:hAnsi="Times New Roman" w:cs="Times New Roman"/>
          <w:sz w:val="28"/>
          <w:szCs w:val="28"/>
          <w:lang w:eastAsia="ru-RU"/>
        </w:rPr>
        <w:t>онкурсе был</w:t>
      </w:r>
      <w:r w:rsidR="00F30BEE" w:rsidRPr="00FF13D6">
        <w:rPr>
          <w:rFonts w:ascii="Times New Roman" w:eastAsia="Times New Roman" w:hAnsi="Times New Roman" w:cs="Times New Roman"/>
          <w:sz w:val="28"/>
          <w:szCs w:val="28"/>
          <w:lang w:eastAsia="ru-RU"/>
        </w:rPr>
        <w:t>и</w:t>
      </w:r>
      <w:r w:rsidRPr="00FF13D6">
        <w:rPr>
          <w:rFonts w:ascii="Times New Roman" w:eastAsia="Times New Roman" w:hAnsi="Times New Roman" w:cs="Times New Roman"/>
          <w:sz w:val="28"/>
          <w:szCs w:val="28"/>
          <w:lang w:eastAsia="ru-RU"/>
        </w:rPr>
        <w:t xml:space="preserve"> подан</w:t>
      </w:r>
      <w:r w:rsidR="00F30BEE" w:rsidRPr="00FF13D6">
        <w:rPr>
          <w:rFonts w:ascii="Times New Roman" w:eastAsia="Times New Roman" w:hAnsi="Times New Roman" w:cs="Times New Roman"/>
          <w:sz w:val="28"/>
          <w:szCs w:val="28"/>
          <w:lang w:eastAsia="ru-RU"/>
        </w:rPr>
        <w:t>ы</w:t>
      </w:r>
      <w:r w:rsidRPr="00FF13D6">
        <w:rPr>
          <w:rFonts w:ascii="Times New Roman" w:eastAsia="Times New Roman" w:hAnsi="Times New Roman" w:cs="Times New Roman"/>
          <w:sz w:val="28"/>
          <w:szCs w:val="28"/>
          <w:lang w:eastAsia="ru-RU"/>
        </w:rPr>
        <w:t xml:space="preserve"> заяв</w:t>
      </w:r>
      <w:r w:rsidR="00F30BEE" w:rsidRPr="00FF13D6">
        <w:rPr>
          <w:rFonts w:ascii="Times New Roman" w:eastAsia="Times New Roman" w:hAnsi="Times New Roman" w:cs="Times New Roman"/>
          <w:sz w:val="28"/>
          <w:szCs w:val="28"/>
          <w:lang w:eastAsia="ru-RU"/>
        </w:rPr>
        <w:t>ки</w:t>
      </w:r>
      <w:r w:rsidRPr="00FF13D6">
        <w:rPr>
          <w:rFonts w:ascii="Times New Roman" w:eastAsia="Times New Roman" w:hAnsi="Times New Roman" w:cs="Times New Roman"/>
          <w:sz w:val="28"/>
          <w:szCs w:val="28"/>
          <w:lang w:eastAsia="ru-RU"/>
        </w:rPr>
        <w:t xml:space="preserve"> </w:t>
      </w:r>
      <w:r w:rsidR="00F30BEE" w:rsidRPr="00FF13D6">
        <w:rPr>
          <w:rFonts w:ascii="Times New Roman" w:eastAsia="Times New Roman" w:hAnsi="Times New Roman" w:cs="Times New Roman"/>
          <w:sz w:val="28"/>
          <w:szCs w:val="28"/>
          <w:lang w:eastAsia="ru-RU"/>
        </w:rPr>
        <w:t>из</w:t>
      </w:r>
      <w:r w:rsidRPr="00FF13D6">
        <w:rPr>
          <w:rFonts w:ascii="Times New Roman" w:eastAsia="Times New Roman" w:hAnsi="Times New Roman" w:cs="Times New Roman"/>
          <w:sz w:val="28"/>
          <w:szCs w:val="28"/>
          <w:lang w:eastAsia="ru-RU"/>
        </w:rPr>
        <w:t xml:space="preserve"> 42</w:t>
      </w:r>
      <w:r w:rsidR="00F30BEE" w:rsidRPr="00FF13D6">
        <w:rPr>
          <w:rFonts w:ascii="Times New Roman" w:eastAsia="Times New Roman" w:hAnsi="Times New Roman" w:cs="Times New Roman"/>
          <w:sz w:val="28"/>
          <w:szCs w:val="28"/>
          <w:lang w:eastAsia="ru-RU"/>
        </w:rPr>
        <w:t xml:space="preserve"> субъектов Российской Федерации, </w:t>
      </w:r>
      <w:r w:rsidRPr="00FF13D6">
        <w:rPr>
          <w:rFonts w:ascii="Times New Roman" w:eastAsia="Times New Roman" w:hAnsi="Times New Roman" w:cs="Times New Roman"/>
          <w:sz w:val="28"/>
          <w:szCs w:val="28"/>
          <w:lang w:eastAsia="ru-RU"/>
        </w:rPr>
        <w:t>допущено 69 профессиональных образовательных организаций, из которых:</w:t>
      </w:r>
    </w:p>
    <w:p w14:paraId="61264EFD" w14:textId="77777777" w:rsidR="00FA4744"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 xml:space="preserve">- в Номинации </w:t>
      </w:r>
      <w:r w:rsidR="00C903F9" w:rsidRPr="00FF13D6">
        <w:rPr>
          <w:rFonts w:ascii="Times New Roman" w:eastAsia="Times New Roman" w:hAnsi="Times New Roman" w:cs="Times New Roman"/>
          <w:sz w:val="28"/>
          <w:szCs w:val="28"/>
          <w:lang w:eastAsia="ru-RU"/>
        </w:rPr>
        <w:t>«Л</w:t>
      </w:r>
      <w:r w:rsidRPr="00FF13D6">
        <w:rPr>
          <w:rFonts w:ascii="Times New Roman" w:eastAsia="Times New Roman" w:hAnsi="Times New Roman" w:cs="Times New Roman"/>
          <w:sz w:val="28"/>
          <w:szCs w:val="28"/>
          <w:lang w:eastAsia="ru-RU"/>
        </w:rPr>
        <w:t>учшая аккредитованная профессиональная образовательная организация (колледж, техникум, училище) по организации физкультурно-спортивной работы среди студентов в 2020/2021 учебном году</w:t>
      </w:r>
      <w:r w:rsidR="00C903F9" w:rsidRPr="00FF13D6">
        <w:rPr>
          <w:rFonts w:ascii="Times New Roman" w:eastAsia="Times New Roman" w:hAnsi="Times New Roman" w:cs="Times New Roman"/>
          <w:sz w:val="28"/>
          <w:szCs w:val="28"/>
          <w:lang w:eastAsia="ru-RU"/>
        </w:rPr>
        <w:t xml:space="preserve">» в </w:t>
      </w:r>
      <w:r w:rsidRPr="00FF13D6">
        <w:rPr>
          <w:rFonts w:ascii="Times New Roman" w:eastAsia="Times New Roman" w:hAnsi="Times New Roman" w:cs="Times New Roman"/>
          <w:sz w:val="28"/>
          <w:szCs w:val="28"/>
          <w:lang w:eastAsia="ru-RU"/>
        </w:rPr>
        <w:t>I групп</w:t>
      </w:r>
      <w:r w:rsidR="00C903F9" w:rsidRPr="00FF13D6">
        <w:rPr>
          <w:rFonts w:ascii="Times New Roman" w:eastAsia="Times New Roman" w:hAnsi="Times New Roman" w:cs="Times New Roman"/>
          <w:sz w:val="28"/>
          <w:szCs w:val="28"/>
          <w:lang w:eastAsia="ru-RU"/>
        </w:rPr>
        <w:t xml:space="preserve">е </w:t>
      </w:r>
      <w:r w:rsidR="00A622C2" w:rsidRPr="00FF13D6">
        <w:rPr>
          <w:rFonts w:ascii="Times New Roman" w:eastAsia="Times New Roman" w:hAnsi="Times New Roman" w:cs="Times New Roman"/>
          <w:sz w:val="28"/>
          <w:szCs w:val="28"/>
          <w:lang w:eastAsia="ru-RU"/>
        </w:rPr>
        <w:br/>
      </w:r>
      <w:r w:rsidR="00C903F9"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до 1 000 студентов</w:t>
      </w:r>
      <w:r w:rsidR="00C903F9"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 xml:space="preserve"> – 24 организации из 24</w:t>
      </w:r>
      <w:r w:rsidR="00C903F9" w:rsidRPr="00FF13D6">
        <w:rPr>
          <w:rFonts w:ascii="Times New Roman" w:eastAsia="Times New Roman" w:hAnsi="Times New Roman" w:cs="Times New Roman"/>
          <w:sz w:val="28"/>
          <w:szCs w:val="28"/>
          <w:lang w:eastAsia="ru-RU"/>
        </w:rPr>
        <w:t xml:space="preserve"> субъектов Российской Федерации, </w:t>
      </w:r>
      <w:r w:rsidR="00A622C2" w:rsidRPr="00FF13D6">
        <w:rPr>
          <w:rFonts w:ascii="Times New Roman" w:eastAsia="Times New Roman" w:hAnsi="Times New Roman" w:cs="Times New Roman"/>
          <w:sz w:val="28"/>
          <w:szCs w:val="28"/>
          <w:lang w:eastAsia="ru-RU"/>
        </w:rPr>
        <w:br/>
      </w:r>
      <w:r w:rsidR="00C903F9" w:rsidRPr="00FF13D6">
        <w:rPr>
          <w:rFonts w:ascii="Times New Roman" w:eastAsia="Times New Roman" w:hAnsi="Times New Roman" w:cs="Times New Roman"/>
          <w:sz w:val="28"/>
          <w:szCs w:val="28"/>
          <w:lang w:eastAsia="ru-RU"/>
        </w:rPr>
        <w:t xml:space="preserve">во </w:t>
      </w:r>
      <w:r w:rsidRPr="00FF13D6">
        <w:rPr>
          <w:rFonts w:ascii="Times New Roman" w:eastAsia="Times New Roman" w:hAnsi="Times New Roman" w:cs="Times New Roman"/>
          <w:sz w:val="28"/>
          <w:szCs w:val="28"/>
          <w:lang w:eastAsia="ru-RU"/>
        </w:rPr>
        <w:t>II групп</w:t>
      </w:r>
      <w:r w:rsidR="00C903F9" w:rsidRPr="00FF13D6">
        <w:rPr>
          <w:rFonts w:ascii="Times New Roman" w:eastAsia="Times New Roman" w:hAnsi="Times New Roman" w:cs="Times New Roman"/>
          <w:sz w:val="28"/>
          <w:szCs w:val="28"/>
          <w:lang w:eastAsia="ru-RU"/>
        </w:rPr>
        <w:t>е</w:t>
      </w:r>
      <w:r w:rsidRPr="00FF13D6">
        <w:rPr>
          <w:rFonts w:ascii="Times New Roman" w:eastAsia="Times New Roman" w:hAnsi="Times New Roman" w:cs="Times New Roman"/>
          <w:sz w:val="28"/>
          <w:szCs w:val="28"/>
          <w:lang w:eastAsia="ru-RU"/>
        </w:rPr>
        <w:t xml:space="preserve"> </w:t>
      </w:r>
      <w:r w:rsidR="00C903F9"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свыше 1</w:t>
      </w:r>
      <w:r w:rsidR="00BD00D1" w:rsidRPr="00FF13D6">
        <w:rPr>
          <w:rFonts w:ascii="Times New Roman" w:eastAsia="Times New Roman" w:hAnsi="Times New Roman" w:cs="Times New Roman"/>
          <w:sz w:val="28"/>
          <w:szCs w:val="28"/>
          <w:lang w:eastAsia="ru-RU"/>
        </w:rPr>
        <w:t xml:space="preserve"> </w:t>
      </w:r>
      <w:r w:rsidRPr="00FF13D6">
        <w:rPr>
          <w:rFonts w:ascii="Times New Roman" w:eastAsia="Times New Roman" w:hAnsi="Times New Roman" w:cs="Times New Roman"/>
          <w:sz w:val="28"/>
          <w:szCs w:val="28"/>
          <w:lang w:eastAsia="ru-RU"/>
        </w:rPr>
        <w:t>000 студентов</w:t>
      </w:r>
      <w:r w:rsidR="00C903F9"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 xml:space="preserve"> – 18 организаций из 17 субъектов Российской Федерации;</w:t>
      </w:r>
    </w:p>
    <w:p w14:paraId="15B129DD" w14:textId="77777777" w:rsidR="00FA4744"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 xml:space="preserve">- в Номинации </w:t>
      </w:r>
      <w:r w:rsidR="00C903F9" w:rsidRPr="00FF13D6">
        <w:rPr>
          <w:rFonts w:ascii="Times New Roman" w:eastAsia="Times New Roman" w:hAnsi="Times New Roman" w:cs="Times New Roman"/>
          <w:sz w:val="28"/>
          <w:szCs w:val="28"/>
          <w:lang w:eastAsia="ru-RU"/>
        </w:rPr>
        <w:t>«Л</w:t>
      </w:r>
      <w:r w:rsidRPr="00FF13D6">
        <w:rPr>
          <w:rFonts w:ascii="Times New Roman" w:eastAsia="Times New Roman" w:hAnsi="Times New Roman" w:cs="Times New Roman"/>
          <w:sz w:val="28"/>
          <w:szCs w:val="28"/>
          <w:lang w:eastAsia="ru-RU"/>
        </w:rPr>
        <w:t>учшая аккредитованная профессиональная образовательная организация, ос</w:t>
      </w:r>
      <w:r w:rsidR="00C903F9" w:rsidRPr="00FF13D6">
        <w:rPr>
          <w:rFonts w:ascii="Times New Roman" w:eastAsia="Times New Roman" w:hAnsi="Times New Roman" w:cs="Times New Roman"/>
          <w:sz w:val="28"/>
          <w:szCs w:val="28"/>
          <w:lang w:eastAsia="ru-RU"/>
        </w:rPr>
        <w:t xml:space="preserve">уществляющая подготовка кадров </w:t>
      </w:r>
      <w:r w:rsidRPr="00FF13D6">
        <w:rPr>
          <w:rFonts w:ascii="Times New Roman" w:eastAsia="Times New Roman" w:hAnsi="Times New Roman" w:cs="Times New Roman"/>
          <w:sz w:val="28"/>
          <w:szCs w:val="28"/>
          <w:lang w:eastAsia="ru-RU"/>
        </w:rPr>
        <w:t>по специальностям в области физической культуры и спорта в 2020/2021 учебном году</w:t>
      </w:r>
      <w:r w:rsidR="00C903F9" w:rsidRPr="00FF13D6">
        <w:rPr>
          <w:rFonts w:ascii="Times New Roman" w:eastAsia="Times New Roman" w:hAnsi="Times New Roman" w:cs="Times New Roman"/>
          <w:sz w:val="28"/>
          <w:szCs w:val="28"/>
          <w:lang w:eastAsia="ru-RU"/>
        </w:rPr>
        <w:t xml:space="preserve">» в </w:t>
      </w:r>
      <w:r w:rsidRPr="00FF13D6">
        <w:rPr>
          <w:rFonts w:ascii="Times New Roman" w:eastAsia="Times New Roman" w:hAnsi="Times New Roman" w:cs="Times New Roman"/>
          <w:sz w:val="28"/>
          <w:szCs w:val="28"/>
          <w:lang w:eastAsia="ru-RU"/>
        </w:rPr>
        <w:t>I групп</w:t>
      </w:r>
      <w:r w:rsidR="00C903F9" w:rsidRPr="00FF13D6">
        <w:rPr>
          <w:rFonts w:ascii="Times New Roman" w:eastAsia="Times New Roman" w:hAnsi="Times New Roman" w:cs="Times New Roman"/>
          <w:sz w:val="28"/>
          <w:szCs w:val="28"/>
          <w:lang w:eastAsia="ru-RU"/>
        </w:rPr>
        <w:t>е</w:t>
      </w:r>
      <w:r w:rsidRPr="00FF13D6">
        <w:rPr>
          <w:rFonts w:ascii="Times New Roman" w:eastAsia="Times New Roman" w:hAnsi="Times New Roman" w:cs="Times New Roman"/>
          <w:sz w:val="28"/>
          <w:szCs w:val="28"/>
          <w:lang w:eastAsia="ru-RU"/>
        </w:rPr>
        <w:t xml:space="preserve"> </w:t>
      </w:r>
      <w:r w:rsidR="00C903F9"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профессиональные образовательные организации, осуществляющие подготовку кадров по специальностям в области физической культуры и спорта</w:t>
      </w:r>
      <w:r w:rsidR="00540C4C"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 xml:space="preserve"> – </w:t>
      </w:r>
      <w:r w:rsidR="00BD00D1" w:rsidRPr="00FF13D6">
        <w:rPr>
          <w:rFonts w:ascii="Times New Roman" w:eastAsia="Times New Roman" w:hAnsi="Times New Roman" w:cs="Times New Roman"/>
          <w:sz w:val="28"/>
          <w:szCs w:val="28"/>
          <w:lang w:eastAsia="ru-RU"/>
        </w:rPr>
        <w:br/>
      </w:r>
      <w:r w:rsidRPr="00FF13D6">
        <w:rPr>
          <w:rFonts w:ascii="Times New Roman" w:eastAsia="Times New Roman" w:hAnsi="Times New Roman" w:cs="Times New Roman"/>
          <w:sz w:val="28"/>
          <w:szCs w:val="28"/>
          <w:lang w:eastAsia="ru-RU"/>
        </w:rPr>
        <w:t>14 организаций из 14</w:t>
      </w:r>
      <w:r w:rsidR="00540C4C" w:rsidRPr="00FF13D6">
        <w:rPr>
          <w:rFonts w:ascii="Times New Roman" w:eastAsia="Times New Roman" w:hAnsi="Times New Roman" w:cs="Times New Roman"/>
          <w:sz w:val="28"/>
          <w:szCs w:val="28"/>
          <w:lang w:eastAsia="ru-RU"/>
        </w:rPr>
        <w:t xml:space="preserve"> субъектов Российской Федерации, во </w:t>
      </w:r>
      <w:r w:rsidRPr="00FF13D6">
        <w:rPr>
          <w:rFonts w:ascii="Times New Roman" w:eastAsia="Times New Roman" w:hAnsi="Times New Roman" w:cs="Times New Roman"/>
          <w:sz w:val="28"/>
          <w:szCs w:val="28"/>
          <w:lang w:eastAsia="ru-RU"/>
        </w:rPr>
        <w:t>II групп</w:t>
      </w:r>
      <w:r w:rsidR="00540C4C" w:rsidRPr="00FF13D6">
        <w:rPr>
          <w:rFonts w:ascii="Times New Roman" w:eastAsia="Times New Roman" w:hAnsi="Times New Roman" w:cs="Times New Roman"/>
          <w:sz w:val="28"/>
          <w:szCs w:val="28"/>
          <w:lang w:eastAsia="ru-RU"/>
        </w:rPr>
        <w:t>е (</w:t>
      </w:r>
      <w:r w:rsidRPr="00FF13D6">
        <w:rPr>
          <w:rFonts w:ascii="Times New Roman" w:eastAsia="Times New Roman" w:hAnsi="Times New Roman" w:cs="Times New Roman"/>
          <w:sz w:val="28"/>
          <w:szCs w:val="28"/>
          <w:lang w:eastAsia="ru-RU"/>
        </w:rPr>
        <w:t>училища олимпийского резерва, осуществляющие подготовку кадров по специальностям</w:t>
      </w:r>
      <w:r w:rsidR="00540C4C" w:rsidRPr="00FF13D6">
        <w:rPr>
          <w:rFonts w:ascii="Times New Roman" w:eastAsia="Times New Roman" w:hAnsi="Times New Roman" w:cs="Times New Roman"/>
          <w:sz w:val="28"/>
          <w:szCs w:val="28"/>
          <w:lang w:eastAsia="ru-RU"/>
        </w:rPr>
        <w:t xml:space="preserve"> в области физической культуры </w:t>
      </w:r>
      <w:r w:rsidRPr="00FF13D6">
        <w:rPr>
          <w:rFonts w:ascii="Times New Roman" w:eastAsia="Times New Roman" w:hAnsi="Times New Roman" w:cs="Times New Roman"/>
          <w:sz w:val="28"/>
          <w:szCs w:val="28"/>
          <w:lang w:eastAsia="ru-RU"/>
        </w:rPr>
        <w:t>и спорта</w:t>
      </w:r>
      <w:r w:rsidR="00540C4C"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 xml:space="preserve"> – 1 организация из </w:t>
      </w:r>
      <w:r w:rsidR="00540C4C" w:rsidRPr="00FF13D6">
        <w:rPr>
          <w:rFonts w:ascii="Times New Roman" w:eastAsia="Times New Roman" w:hAnsi="Times New Roman" w:cs="Times New Roman"/>
          <w:sz w:val="28"/>
          <w:szCs w:val="28"/>
          <w:lang w:eastAsia="ru-RU"/>
        </w:rPr>
        <w:t>1 субъекта Российской Федерации;</w:t>
      </w:r>
    </w:p>
    <w:p w14:paraId="489FB09E" w14:textId="77777777" w:rsidR="00FA4744"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 xml:space="preserve">- в Номинации </w:t>
      </w:r>
      <w:r w:rsidR="00540C4C" w:rsidRPr="00FF13D6">
        <w:rPr>
          <w:rFonts w:ascii="Times New Roman" w:eastAsia="Times New Roman" w:hAnsi="Times New Roman" w:cs="Times New Roman"/>
          <w:sz w:val="28"/>
          <w:szCs w:val="28"/>
          <w:lang w:eastAsia="ru-RU"/>
        </w:rPr>
        <w:t>«Л</w:t>
      </w:r>
      <w:r w:rsidRPr="00FF13D6">
        <w:rPr>
          <w:rFonts w:ascii="Times New Roman" w:eastAsia="Times New Roman" w:hAnsi="Times New Roman" w:cs="Times New Roman"/>
          <w:sz w:val="28"/>
          <w:szCs w:val="28"/>
          <w:lang w:eastAsia="ru-RU"/>
        </w:rPr>
        <w:t>учши</w:t>
      </w:r>
      <w:r w:rsidR="00540C4C" w:rsidRPr="00FF13D6">
        <w:rPr>
          <w:rFonts w:ascii="Times New Roman" w:eastAsia="Times New Roman" w:hAnsi="Times New Roman" w:cs="Times New Roman"/>
          <w:sz w:val="28"/>
          <w:szCs w:val="28"/>
          <w:lang w:eastAsia="ru-RU"/>
        </w:rPr>
        <w:t xml:space="preserve">й студенческий спортивный клуб </w:t>
      </w:r>
      <w:r w:rsidRPr="00FF13D6">
        <w:rPr>
          <w:rFonts w:ascii="Times New Roman" w:eastAsia="Times New Roman" w:hAnsi="Times New Roman" w:cs="Times New Roman"/>
          <w:sz w:val="28"/>
          <w:szCs w:val="28"/>
          <w:lang w:eastAsia="ru-RU"/>
        </w:rPr>
        <w:t>в профессиональной образовательной организации</w:t>
      </w:r>
      <w:r w:rsidR="00540C4C" w:rsidRPr="00FF13D6">
        <w:rPr>
          <w:rFonts w:ascii="Times New Roman" w:eastAsia="Times New Roman" w:hAnsi="Times New Roman" w:cs="Times New Roman"/>
          <w:sz w:val="28"/>
          <w:szCs w:val="28"/>
          <w:lang w:eastAsia="ru-RU"/>
        </w:rPr>
        <w:t xml:space="preserve">» – 12 организаций </w:t>
      </w:r>
      <w:r w:rsidRPr="00FF13D6">
        <w:rPr>
          <w:rFonts w:ascii="Times New Roman" w:eastAsia="Times New Roman" w:hAnsi="Times New Roman" w:cs="Times New Roman"/>
          <w:sz w:val="28"/>
          <w:szCs w:val="28"/>
          <w:lang w:eastAsia="ru-RU"/>
        </w:rPr>
        <w:t>из 11 субъектов Российской Федерации.</w:t>
      </w:r>
    </w:p>
    <w:p w14:paraId="3147731E" w14:textId="77777777" w:rsidR="00FA4744"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 xml:space="preserve">Итоги Конкурса утверждены приказом Минпросвещения России </w:t>
      </w:r>
      <w:r w:rsidRPr="00FF13D6">
        <w:rPr>
          <w:rFonts w:ascii="Times New Roman" w:eastAsia="Times New Roman" w:hAnsi="Times New Roman" w:cs="Times New Roman"/>
          <w:sz w:val="28"/>
          <w:szCs w:val="28"/>
          <w:lang w:eastAsia="ru-RU"/>
        </w:rPr>
        <w:br/>
        <w:t>от 18</w:t>
      </w:r>
      <w:r w:rsidR="00540C4C" w:rsidRPr="00FF13D6">
        <w:rPr>
          <w:rFonts w:ascii="Times New Roman" w:eastAsia="Times New Roman" w:hAnsi="Times New Roman" w:cs="Times New Roman"/>
          <w:sz w:val="28"/>
          <w:szCs w:val="28"/>
          <w:lang w:eastAsia="ru-RU"/>
        </w:rPr>
        <w:t xml:space="preserve"> января </w:t>
      </w:r>
      <w:r w:rsidRPr="00FF13D6">
        <w:rPr>
          <w:rFonts w:ascii="Times New Roman" w:eastAsia="Times New Roman" w:hAnsi="Times New Roman" w:cs="Times New Roman"/>
          <w:sz w:val="28"/>
          <w:szCs w:val="28"/>
          <w:lang w:eastAsia="ru-RU"/>
        </w:rPr>
        <w:t>2022</w:t>
      </w:r>
      <w:r w:rsidR="00540C4C" w:rsidRPr="00FF13D6">
        <w:rPr>
          <w:rFonts w:ascii="Times New Roman" w:eastAsia="Times New Roman" w:hAnsi="Times New Roman" w:cs="Times New Roman"/>
          <w:sz w:val="28"/>
          <w:szCs w:val="28"/>
          <w:lang w:eastAsia="ru-RU"/>
        </w:rPr>
        <w:t xml:space="preserve"> г.</w:t>
      </w:r>
      <w:r w:rsidRPr="00FF13D6">
        <w:rPr>
          <w:rFonts w:ascii="Times New Roman" w:eastAsia="Times New Roman" w:hAnsi="Times New Roman" w:cs="Times New Roman"/>
          <w:sz w:val="28"/>
          <w:szCs w:val="28"/>
          <w:lang w:eastAsia="ru-RU"/>
        </w:rPr>
        <w:t xml:space="preserve"> № 14 и</w:t>
      </w:r>
      <w:r w:rsidR="00540C4C" w:rsidRPr="00FF13D6">
        <w:rPr>
          <w:rFonts w:ascii="Times New Roman" w:eastAsia="Times New Roman" w:hAnsi="Times New Roman" w:cs="Times New Roman"/>
          <w:sz w:val="28"/>
          <w:szCs w:val="28"/>
          <w:lang w:eastAsia="ru-RU"/>
        </w:rPr>
        <w:t xml:space="preserve"> размещены </w:t>
      </w:r>
      <w:r w:rsidR="00BD00D1" w:rsidRPr="00FF13D6">
        <w:rPr>
          <w:rFonts w:ascii="Times New Roman" w:eastAsia="Times New Roman" w:hAnsi="Times New Roman" w:cs="Times New Roman"/>
          <w:sz w:val="28"/>
          <w:szCs w:val="28"/>
          <w:lang w:eastAsia="ru-RU"/>
        </w:rPr>
        <w:t xml:space="preserve">в разделе «Банк документов» </w:t>
      </w:r>
      <w:r w:rsidR="00540C4C" w:rsidRPr="00FF13D6">
        <w:rPr>
          <w:rFonts w:ascii="Times New Roman" w:eastAsia="Times New Roman" w:hAnsi="Times New Roman" w:cs="Times New Roman"/>
          <w:sz w:val="28"/>
          <w:szCs w:val="28"/>
          <w:lang w:eastAsia="ru-RU"/>
        </w:rPr>
        <w:t>на официальном сайте:</w:t>
      </w:r>
      <w:r w:rsidRPr="00FF13D6">
        <w:rPr>
          <w:rFonts w:ascii="Times New Roman" w:eastAsia="Times New Roman" w:hAnsi="Times New Roman" w:cs="Times New Roman"/>
          <w:sz w:val="28"/>
          <w:szCs w:val="28"/>
          <w:lang w:eastAsia="ru-RU"/>
        </w:rPr>
        <w:t xml:space="preserve"> </w:t>
      </w:r>
      <w:hyperlink r:id="rId12" w:history="1">
        <w:r w:rsidR="00540C4C" w:rsidRPr="00FF13D6">
          <w:rPr>
            <w:rStyle w:val="af1"/>
            <w:rFonts w:ascii="Times New Roman" w:eastAsia="Times New Roman" w:hAnsi="Times New Roman" w:cs="Times New Roman"/>
            <w:sz w:val="28"/>
            <w:szCs w:val="28"/>
            <w:lang w:eastAsia="ru-RU"/>
          </w:rPr>
          <w:t>https://edu.gov.ru/</w:t>
        </w:r>
      </w:hyperlink>
      <w:r w:rsidR="00540C4C" w:rsidRPr="00FF13D6">
        <w:rPr>
          <w:rFonts w:ascii="Times New Roman" w:eastAsia="Times New Roman" w:hAnsi="Times New Roman" w:cs="Times New Roman"/>
          <w:sz w:val="28"/>
          <w:szCs w:val="28"/>
          <w:lang w:eastAsia="ru-RU"/>
        </w:rPr>
        <w:t xml:space="preserve"> </w:t>
      </w:r>
      <w:r w:rsidRPr="00FF13D6">
        <w:rPr>
          <w:rFonts w:ascii="Times New Roman" w:eastAsia="Times New Roman" w:hAnsi="Times New Roman" w:cs="Times New Roman"/>
          <w:sz w:val="28"/>
          <w:szCs w:val="28"/>
          <w:lang w:eastAsia="ru-RU"/>
        </w:rPr>
        <w:t>и Общественно-государственного физкультурно-спортивного объединения «Юность России»</w:t>
      </w:r>
      <w:r w:rsidR="00540C4C"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 xml:space="preserve"> </w:t>
      </w:r>
      <w:hyperlink r:id="rId13" w:history="1">
        <w:r w:rsidRPr="00FF13D6">
          <w:rPr>
            <w:rFonts w:ascii="Times New Roman" w:eastAsia="Times New Roman" w:hAnsi="Times New Roman" w:cs="Times New Roman"/>
            <w:color w:val="0000FF"/>
            <w:sz w:val="28"/>
            <w:szCs w:val="28"/>
            <w:u w:val="single"/>
            <w:lang w:eastAsia="ru-RU"/>
          </w:rPr>
          <w:t>https://sportunros.ru/</w:t>
        </w:r>
      </w:hyperlink>
      <w:r w:rsidRPr="00FF13D6">
        <w:rPr>
          <w:rFonts w:ascii="Times New Roman" w:eastAsia="Times New Roman" w:hAnsi="Times New Roman" w:cs="Times New Roman"/>
          <w:sz w:val="28"/>
          <w:szCs w:val="28"/>
          <w:lang w:eastAsia="ru-RU"/>
        </w:rPr>
        <w:t>.</w:t>
      </w:r>
    </w:p>
    <w:p w14:paraId="1D1817F3" w14:textId="77777777" w:rsidR="00FA4744"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В 2021 г</w:t>
      </w:r>
      <w:r w:rsidR="000824F7"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 xml:space="preserve"> Минпросвещения России возродило проведение Спартакиады среди обучающихся организаций дополнительного образования физкультурно- спортивной направленности (далее </w:t>
      </w:r>
      <w:r w:rsidR="00540C4C" w:rsidRPr="00FF13D6">
        <w:rPr>
          <w:rFonts w:ascii="Times New Roman" w:eastAsia="Times New Roman" w:hAnsi="Times New Roman" w:cs="Times New Roman"/>
          <w:sz w:val="28"/>
          <w:szCs w:val="28"/>
          <w:lang w:eastAsia="ru-RU"/>
        </w:rPr>
        <w:t xml:space="preserve">по тексту подраздела </w:t>
      </w:r>
      <w:r w:rsidRPr="00FF13D6">
        <w:rPr>
          <w:rFonts w:ascii="Times New Roman" w:eastAsia="Times New Roman" w:hAnsi="Times New Roman" w:cs="Times New Roman"/>
          <w:sz w:val="28"/>
          <w:szCs w:val="28"/>
          <w:lang w:eastAsia="ru-RU"/>
        </w:rPr>
        <w:t>– Спартакиада).</w:t>
      </w:r>
    </w:p>
    <w:p w14:paraId="405B74C8" w14:textId="77777777" w:rsidR="00FA4744" w:rsidRPr="00FF13D6" w:rsidRDefault="00540C4C"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В р</w:t>
      </w:r>
      <w:r w:rsidR="00FA4744" w:rsidRPr="00FF13D6">
        <w:rPr>
          <w:rFonts w:ascii="Times New Roman" w:eastAsia="Times New Roman" w:hAnsi="Times New Roman" w:cs="Times New Roman"/>
          <w:sz w:val="28"/>
          <w:szCs w:val="28"/>
          <w:lang w:eastAsia="ru-RU"/>
        </w:rPr>
        <w:t xml:space="preserve">егиональном этапе Спартакиады приняло участие 1 500 обучающихся </w:t>
      </w:r>
      <w:r w:rsidR="000824F7" w:rsidRPr="00FF13D6">
        <w:rPr>
          <w:rFonts w:ascii="Times New Roman" w:eastAsia="Times New Roman" w:hAnsi="Times New Roman" w:cs="Times New Roman"/>
          <w:sz w:val="28"/>
          <w:szCs w:val="28"/>
          <w:lang w:eastAsia="ru-RU"/>
        </w:rPr>
        <w:br/>
      </w:r>
      <w:r w:rsidR="00FA4744" w:rsidRPr="00FF13D6">
        <w:rPr>
          <w:rFonts w:ascii="Times New Roman" w:eastAsia="Times New Roman" w:hAnsi="Times New Roman" w:cs="Times New Roman"/>
          <w:sz w:val="28"/>
          <w:szCs w:val="28"/>
          <w:lang w:eastAsia="ru-RU"/>
        </w:rPr>
        <w:t>из 37 образовательных организаций дополнительного образования физкультурно- спортивной направленности 20</w:t>
      </w:r>
      <w:r w:rsidRPr="00FF13D6">
        <w:rPr>
          <w:rFonts w:ascii="Times New Roman" w:eastAsia="Times New Roman" w:hAnsi="Times New Roman" w:cs="Times New Roman"/>
          <w:sz w:val="28"/>
          <w:szCs w:val="28"/>
          <w:lang w:eastAsia="ru-RU"/>
        </w:rPr>
        <w:t xml:space="preserve"> субъектов Российской Федерации (Республика Алтай, Алтайский, Краснодарский, Красноярский края, Белгородская, Брянская, Воронежская, Волгоградская, Калужская, Курская, </w:t>
      </w:r>
      <w:r w:rsidR="00FA4744" w:rsidRPr="00FF13D6">
        <w:rPr>
          <w:rFonts w:ascii="Times New Roman" w:eastAsia="Times New Roman" w:hAnsi="Times New Roman" w:cs="Times New Roman"/>
          <w:sz w:val="28"/>
          <w:szCs w:val="28"/>
          <w:lang w:eastAsia="ru-RU"/>
        </w:rPr>
        <w:t>Ленинградская</w:t>
      </w:r>
      <w:r w:rsidRPr="00FF13D6">
        <w:rPr>
          <w:rFonts w:ascii="Times New Roman" w:eastAsia="Times New Roman" w:hAnsi="Times New Roman" w:cs="Times New Roman"/>
          <w:sz w:val="28"/>
          <w:szCs w:val="28"/>
          <w:lang w:eastAsia="ru-RU"/>
        </w:rPr>
        <w:t>,</w:t>
      </w:r>
      <w:r w:rsidR="00FA4744" w:rsidRPr="00FF13D6">
        <w:rPr>
          <w:rFonts w:ascii="Times New Roman" w:eastAsia="Times New Roman" w:hAnsi="Times New Roman" w:cs="Times New Roman"/>
          <w:sz w:val="28"/>
          <w:szCs w:val="28"/>
          <w:lang w:eastAsia="ru-RU"/>
        </w:rPr>
        <w:t xml:space="preserve"> </w:t>
      </w:r>
      <w:r w:rsidRPr="00FF13D6">
        <w:rPr>
          <w:rFonts w:ascii="Times New Roman" w:eastAsia="Times New Roman" w:hAnsi="Times New Roman" w:cs="Times New Roman"/>
          <w:sz w:val="28"/>
          <w:szCs w:val="28"/>
          <w:lang w:eastAsia="ru-RU"/>
        </w:rPr>
        <w:t>Липецкая</w:t>
      </w:r>
      <w:r w:rsidR="00FA4744" w:rsidRPr="00FF13D6">
        <w:rPr>
          <w:rFonts w:ascii="Times New Roman" w:eastAsia="Times New Roman" w:hAnsi="Times New Roman" w:cs="Times New Roman"/>
          <w:sz w:val="28"/>
          <w:szCs w:val="28"/>
          <w:lang w:eastAsia="ru-RU"/>
        </w:rPr>
        <w:t xml:space="preserve">, </w:t>
      </w:r>
      <w:r w:rsidRPr="00FF13D6">
        <w:rPr>
          <w:rFonts w:ascii="Times New Roman" w:eastAsia="Times New Roman" w:hAnsi="Times New Roman" w:cs="Times New Roman"/>
          <w:sz w:val="28"/>
          <w:szCs w:val="28"/>
          <w:lang w:eastAsia="ru-RU"/>
        </w:rPr>
        <w:t xml:space="preserve">Новгородская, Орловская, Рязанская, Саратовская, Смоленская, Тамбовская, </w:t>
      </w:r>
      <w:r w:rsidR="00FA4744" w:rsidRPr="00FF13D6">
        <w:rPr>
          <w:rFonts w:ascii="Times New Roman" w:eastAsia="Times New Roman" w:hAnsi="Times New Roman" w:cs="Times New Roman"/>
          <w:sz w:val="28"/>
          <w:szCs w:val="28"/>
          <w:lang w:eastAsia="ru-RU"/>
        </w:rPr>
        <w:t xml:space="preserve">Челябинская область, </w:t>
      </w:r>
      <w:r w:rsidRPr="00FF13D6">
        <w:rPr>
          <w:rFonts w:ascii="Times New Roman" w:eastAsia="Times New Roman" w:hAnsi="Times New Roman" w:cs="Times New Roman"/>
          <w:sz w:val="28"/>
          <w:szCs w:val="28"/>
          <w:lang w:eastAsia="ru-RU"/>
        </w:rPr>
        <w:t xml:space="preserve">г. </w:t>
      </w:r>
      <w:r w:rsidR="00FA4744" w:rsidRPr="00FF13D6">
        <w:rPr>
          <w:rFonts w:ascii="Times New Roman" w:eastAsia="Times New Roman" w:hAnsi="Times New Roman" w:cs="Times New Roman"/>
          <w:sz w:val="28"/>
          <w:szCs w:val="28"/>
          <w:lang w:eastAsia="ru-RU"/>
        </w:rPr>
        <w:t>Москва</w:t>
      </w:r>
      <w:r w:rsidRPr="00FF13D6">
        <w:rPr>
          <w:rFonts w:ascii="Times New Roman" w:eastAsia="Times New Roman" w:hAnsi="Times New Roman" w:cs="Times New Roman"/>
          <w:sz w:val="28"/>
          <w:szCs w:val="28"/>
          <w:lang w:eastAsia="ru-RU"/>
        </w:rPr>
        <w:t>).</w:t>
      </w:r>
    </w:p>
    <w:p w14:paraId="0F9BFCA5" w14:textId="77777777" w:rsidR="00FA4744"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 xml:space="preserve">Финальные соревнования Спартакиады проводились в </w:t>
      </w:r>
      <w:r w:rsidR="0070422B" w:rsidRPr="00FF13D6">
        <w:rPr>
          <w:rFonts w:ascii="Times New Roman" w:eastAsia="Times New Roman" w:hAnsi="Times New Roman" w:cs="Times New Roman"/>
          <w:sz w:val="28"/>
          <w:szCs w:val="28"/>
          <w:lang w:eastAsia="ru-RU"/>
        </w:rPr>
        <w:t xml:space="preserve">г. Орле </w:t>
      </w:r>
      <w:r w:rsidR="00A622C2" w:rsidRPr="00FF13D6">
        <w:rPr>
          <w:rFonts w:ascii="Times New Roman" w:eastAsia="Times New Roman" w:hAnsi="Times New Roman" w:cs="Times New Roman"/>
          <w:sz w:val="28"/>
          <w:szCs w:val="28"/>
          <w:lang w:eastAsia="ru-RU"/>
        </w:rPr>
        <w:t>15-</w:t>
      </w:r>
      <w:r w:rsidRPr="00FF13D6">
        <w:rPr>
          <w:rFonts w:ascii="Times New Roman" w:eastAsia="Times New Roman" w:hAnsi="Times New Roman" w:cs="Times New Roman"/>
          <w:sz w:val="28"/>
          <w:szCs w:val="28"/>
          <w:lang w:eastAsia="ru-RU"/>
        </w:rPr>
        <w:t>19 сентября 2021 г. Во всероссийском этапе Спартакиады приняли участие</w:t>
      </w:r>
      <w:r w:rsidR="0070422B" w:rsidRPr="00FF13D6">
        <w:rPr>
          <w:rFonts w:ascii="Times New Roman" w:eastAsia="Times New Roman" w:hAnsi="Times New Roman" w:cs="Times New Roman"/>
          <w:sz w:val="28"/>
          <w:szCs w:val="28"/>
          <w:lang w:eastAsia="ru-RU"/>
        </w:rPr>
        <w:t xml:space="preserve"> </w:t>
      </w:r>
      <w:r w:rsidRPr="00FF13D6">
        <w:rPr>
          <w:rFonts w:ascii="Times New Roman" w:eastAsia="Times New Roman" w:hAnsi="Times New Roman" w:cs="Times New Roman"/>
          <w:sz w:val="28"/>
          <w:szCs w:val="28"/>
          <w:lang w:eastAsia="ru-RU"/>
        </w:rPr>
        <w:t>352 человека, в том числе:</w:t>
      </w:r>
    </w:p>
    <w:p w14:paraId="6E37ED34" w14:textId="77777777" w:rsidR="00FA4744"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 xml:space="preserve">- 204 </w:t>
      </w:r>
      <w:r w:rsidR="001B085E" w:rsidRPr="00FF13D6">
        <w:rPr>
          <w:rFonts w:ascii="Times New Roman" w:eastAsia="Times New Roman" w:hAnsi="Times New Roman" w:cs="Times New Roman"/>
          <w:sz w:val="28"/>
          <w:szCs w:val="28"/>
          <w:lang w:eastAsia="ru-RU"/>
        </w:rPr>
        <w:t xml:space="preserve">обучающихся из команд – победителей региональных этапов, включая </w:t>
      </w:r>
      <w:r w:rsidR="009554F2" w:rsidRPr="00FF13D6">
        <w:rPr>
          <w:rFonts w:ascii="Times New Roman" w:eastAsia="Times New Roman" w:hAnsi="Times New Roman" w:cs="Times New Roman"/>
          <w:sz w:val="28"/>
          <w:szCs w:val="28"/>
          <w:lang w:eastAsia="ru-RU"/>
        </w:rPr>
        <w:br/>
      </w:r>
      <w:r w:rsidR="001B085E" w:rsidRPr="00FF13D6">
        <w:rPr>
          <w:rFonts w:ascii="Times New Roman" w:eastAsia="Times New Roman" w:hAnsi="Times New Roman" w:cs="Times New Roman"/>
          <w:sz w:val="28"/>
          <w:szCs w:val="28"/>
          <w:lang w:eastAsia="ru-RU"/>
        </w:rPr>
        <w:t>39 участников команд по волейболу (22 юнош</w:t>
      </w:r>
      <w:r w:rsidR="00BD00D1" w:rsidRPr="00FF13D6">
        <w:rPr>
          <w:rFonts w:ascii="Times New Roman" w:eastAsia="Times New Roman" w:hAnsi="Times New Roman" w:cs="Times New Roman"/>
          <w:sz w:val="28"/>
          <w:szCs w:val="28"/>
          <w:lang w:eastAsia="ru-RU"/>
        </w:rPr>
        <w:t>и</w:t>
      </w:r>
      <w:r w:rsidR="001B085E" w:rsidRPr="00FF13D6">
        <w:rPr>
          <w:rFonts w:ascii="Times New Roman" w:eastAsia="Times New Roman" w:hAnsi="Times New Roman" w:cs="Times New Roman"/>
          <w:sz w:val="28"/>
          <w:szCs w:val="28"/>
          <w:lang w:eastAsia="ru-RU"/>
        </w:rPr>
        <w:t>, 17 девушек), 29 участников команд по гандболу (юнош</w:t>
      </w:r>
      <w:r w:rsidR="00BD00D1" w:rsidRPr="00FF13D6">
        <w:rPr>
          <w:rFonts w:ascii="Times New Roman" w:eastAsia="Times New Roman" w:hAnsi="Times New Roman" w:cs="Times New Roman"/>
          <w:sz w:val="28"/>
          <w:szCs w:val="28"/>
          <w:lang w:eastAsia="ru-RU"/>
        </w:rPr>
        <w:t>и</w:t>
      </w:r>
      <w:r w:rsidR="001B085E" w:rsidRPr="00FF13D6">
        <w:rPr>
          <w:rFonts w:ascii="Times New Roman" w:eastAsia="Times New Roman" w:hAnsi="Times New Roman" w:cs="Times New Roman"/>
          <w:sz w:val="28"/>
          <w:szCs w:val="28"/>
          <w:lang w:eastAsia="ru-RU"/>
        </w:rPr>
        <w:t xml:space="preserve">), 32 участника команд по лёгкой атлетике </w:t>
      </w:r>
      <w:r w:rsidRPr="00FF13D6">
        <w:rPr>
          <w:rFonts w:ascii="Times New Roman" w:eastAsia="Times New Roman" w:hAnsi="Times New Roman" w:cs="Times New Roman"/>
          <w:sz w:val="28"/>
          <w:szCs w:val="28"/>
          <w:lang w:eastAsia="ru-RU"/>
        </w:rPr>
        <w:t xml:space="preserve">(14 юношей, </w:t>
      </w:r>
      <w:r w:rsidR="00BB2870" w:rsidRPr="00FF13D6">
        <w:rPr>
          <w:rFonts w:ascii="Times New Roman" w:eastAsia="Times New Roman" w:hAnsi="Times New Roman" w:cs="Times New Roman"/>
          <w:sz w:val="28"/>
          <w:szCs w:val="28"/>
          <w:lang w:eastAsia="ru-RU"/>
        </w:rPr>
        <w:br/>
      </w:r>
      <w:r w:rsidRPr="00FF13D6">
        <w:rPr>
          <w:rFonts w:ascii="Times New Roman" w:eastAsia="Times New Roman" w:hAnsi="Times New Roman" w:cs="Times New Roman"/>
          <w:sz w:val="28"/>
          <w:szCs w:val="28"/>
          <w:lang w:eastAsia="ru-RU"/>
        </w:rPr>
        <w:t>18 девушек), 19 участников</w:t>
      </w:r>
      <w:r w:rsidR="0052035C" w:rsidRPr="00FF13D6">
        <w:rPr>
          <w:rFonts w:ascii="Times New Roman" w:eastAsia="Times New Roman" w:hAnsi="Times New Roman" w:cs="Times New Roman"/>
          <w:sz w:val="28"/>
          <w:szCs w:val="28"/>
          <w:lang w:eastAsia="ru-RU"/>
        </w:rPr>
        <w:t xml:space="preserve"> команд по плаванию</w:t>
      </w:r>
      <w:r w:rsidRPr="00FF13D6">
        <w:rPr>
          <w:rFonts w:ascii="Times New Roman" w:eastAsia="Times New Roman" w:hAnsi="Times New Roman" w:cs="Times New Roman"/>
          <w:sz w:val="28"/>
          <w:szCs w:val="28"/>
          <w:lang w:eastAsia="ru-RU"/>
        </w:rPr>
        <w:t xml:space="preserve"> (10 юношей, 9 девушек), </w:t>
      </w:r>
      <w:r w:rsidR="00E93C21" w:rsidRPr="00FF13D6">
        <w:rPr>
          <w:rFonts w:ascii="Times New Roman" w:eastAsia="Times New Roman" w:hAnsi="Times New Roman" w:cs="Times New Roman"/>
          <w:sz w:val="28"/>
          <w:szCs w:val="28"/>
          <w:lang w:eastAsia="ru-RU"/>
        </w:rPr>
        <w:br/>
      </w:r>
      <w:r w:rsidRPr="00FF13D6">
        <w:rPr>
          <w:rFonts w:ascii="Times New Roman" w:eastAsia="Times New Roman" w:hAnsi="Times New Roman" w:cs="Times New Roman"/>
          <w:sz w:val="28"/>
          <w:szCs w:val="28"/>
          <w:lang w:eastAsia="ru-RU"/>
        </w:rPr>
        <w:t>39 участников</w:t>
      </w:r>
      <w:r w:rsidR="0052035C" w:rsidRPr="00FF13D6">
        <w:rPr>
          <w:rFonts w:ascii="Times New Roman" w:eastAsia="Times New Roman" w:hAnsi="Times New Roman" w:cs="Times New Roman"/>
          <w:sz w:val="28"/>
          <w:szCs w:val="28"/>
          <w:lang w:eastAsia="ru-RU"/>
        </w:rPr>
        <w:t xml:space="preserve"> команд по самбо</w:t>
      </w:r>
      <w:r w:rsidRPr="00FF13D6">
        <w:rPr>
          <w:rFonts w:ascii="Times New Roman" w:eastAsia="Times New Roman" w:hAnsi="Times New Roman" w:cs="Times New Roman"/>
          <w:sz w:val="28"/>
          <w:szCs w:val="28"/>
          <w:lang w:eastAsia="ru-RU"/>
        </w:rPr>
        <w:t xml:space="preserve"> (23 юнош</w:t>
      </w:r>
      <w:r w:rsidR="00BD00D1" w:rsidRPr="00FF13D6">
        <w:rPr>
          <w:rFonts w:ascii="Times New Roman" w:eastAsia="Times New Roman" w:hAnsi="Times New Roman" w:cs="Times New Roman"/>
          <w:sz w:val="28"/>
          <w:szCs w:val="28"/>
          <w:lang w:eastAsia="ru-RU"/>
        </w:rPr>
        <w:t>и</w:t>
      </w:r>
      <w:r w:rsidRPr="00FF13D6">
        <w:rPr>
          <w:rFonts w:ascii="Times New Roman" w:eastAsia="Times New Roman" w:hAnsi="Times New Roman" w:cs="Times New Roman"/>
          <w:sz w:val="28"/>
          <w:szCs w:val="28"/>
          <w:lang w:eastAsia="ru-RU"/>
        </w:rPr>
        <w:t xml:space="preserve">, 16 девушек) и 46 </w:t>
      </w:r>
      <w:r w:rsidR="00E93C21" w:rsidRPr="00FF13D6">
        <w:rPr>
          <w:rFonts w:ascii="Times New Roman" w:eastAsia="Times New Roman" w:hAnsi="Times New Roman" w:cs="Times New Roman"/>
          <w:sz w:val="28"/>
          <w:szCs w:val="28"/>
          <w:lang w:eastAsia="ru-RU"/>
        </w:rPr>
        <w:t xml:space="preserve">юношей – </w:t>
      </w:r>
      <w:r w:rsidRPr="00FF13D6">
        <w:rPr>
          <w:rFonts w:ascii="Times New Roman" w:eastAsia="Times New Roman" w:hAnsi="Times New Roman" w:cs="Times New Roman"/>
          <w:sz w:val="28"/>
          <w:szCs w:val="28"/>
          <w:lang w:eastAsia="ru-RU"/>
        </w:rPr>
        <w:t xml:space="preserve">участников </w:t>
      </w:r>
      <w:r w:rsidR="00E93C21" w:rsidRPr="00FF13D6">
        <w:rPr>
          <w:rFonts w:ascii="Times New Roman" w:eastAsia="Times New Roman" w:hAnsi="Times New Roman" w:cs="Times New Roman"/>
          <w:sz w:val="28"/>
          <w:szCs w:val="28"/>
          <w:lang w:eastAsia="ru-RU"/>
        </w:rPr>
        <w:t>команд по футболу (8х8)</w:t>
      </w:r>
      <w:r w:rsidRPr="00FF13D6">
        <w:rPr>
          <w:rFonts w:ascii="Times New Roman" w:eastAsia="Times New Roman" w:hAnsi="Times New Roman" w:cs="Times New Roman"/>
          <w:sz w:val="28"/>
          <w:szCs w:val="28"/>
          <w:lang w:eastAsia="ru-RU"/>
        </w:rPr>
        <w:t>;</w:t>
      </w:r>
    </w:p>
    <w:p w14:paraId="7293C49F" w14:textId="77777777" w:rsidR="00FA4744"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 xml:space="preserve">- </w:t>
      </w:r>
      <w:r w:rsidR="00E93C21" w:rsidRPr="00FF13D6">
        <w:rPr>
          <w:rFonts w:ascii="Times New Roman" w:eastAsia="Times New Roman" w:hAnsi="Times New Roman" w:cs="Times New Roman"/>
          <w:sz w:val="28"/>
          <w:szCs w:val="28"/>
          <w:lang w:eastAsia="ru-RU"/>
        </w:rPr>
        <w:t xml:space="preserve">36 </w:t>
      </w:r>
      <w:r w:rsidRPr="00FF13D6">
        <w:rPr>
          <w:rFonts w:ascii="Times New Roman" w:eastAsia="Times New Roman" w:hAnsi="Times New Roman" w:cs="Times New Roman"/>
          <w:sz w:val="28"/>
          <w:szCs w:val="28"/>
          <w:lang w:eastAsia="ru-RU"/>
        </w:rPr>
        <w:t>руководител</w:t>
      </w:r>
      <w:r w:rsidR="00E93C21" w:rsidRPr="00FF13D6">
        <w:rPr>
          <w:rFonts w:ascii="Times New Roman" w:eastAsia="Times New Roman" w:hAnsi="Times New Roman" w:cs="Times New Roman"/>
          <w:sz w:val="28"/>
          <w:szCs w:val="28"/>
          <w:lang w:eastAsia="ru-RU"/>
        </w:rPr>
        <w:t>ей</w:t>
      </w:r>
      <w:r w:rsidRPr="00FF13D6">
        <w:rPr>
          <w:rFonts w:ascii="Times New Roman" w:eastAsia="Times New Roman" w:hAnsi="Times New Roman" w:cs="Times New Roman"/>
          <w:sz w:val="28"/>
          <w:szCs w:val="28"/>
          <w:lang w:eastAsia="ru-RU"/>
        </w:rPr>
        <w:t xml:space="preserve"> команд – победителей региональных этапов из 7 субъектов Российской Федерации;</w:t>
      </w:r>
    </w:p>
    <w:p w14:paraId="29EAF4C9" w14:textId="77777777" w:rsidR="00FA4744"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 судейская коллегия.</w:t>
      </w:r>
    </w:p>
    <w:p w14:paraId="35BD8196" w14:textId="77777777" w:rsidR="00FA4744" w:rsidRPr="00FF13D6" w:rsidRDefault="00E93C21"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Б</w:t>
      </w:r>
      <w:r w:rsidR="00FA4744" w:rsidRPr="00FF13D6">
        <w:rPr>
          <w:rFonts w:ascii="Times New Roman" w:eastAsia="Times New Roman" w:hAnsi="Times New Roman" w:cs="Times New Roman"/>
          <w:sz w:val="28"/>
          <w:szCs w:val="28"/>
          <w:lang w:eastAsia="ru-RU"/>
        </w:rPr>
        <w:t>ольшое внимание развитию физической культуры и массового спорта, пропаганде здорового активного образа жизни</w:t>
      </w:r>
      <w:r w:rsidRPr="00FF13D6">
        <w:rPr>
          <w:rFonts w:ascii="Times New Roman" w:eastAsia="Times New Roman" w:hAnsi="Times New Roman" w:cs="Times New Roman"/>
          <w:sz w:val="28"/>
          <w:szCs w:val="28"/>
          <w:lang w:eastAsia="ru-RU"/>
        </w:rPr>
        <w:t xml:space="preserve"> уделяется Минспортом России</w:t>
      </w:r>
      <w:r w:rsidR="00FA4744" w:rsidRPr="00FF13D6">
        <w:rPr>
          <w:rFonts w:ascii="Times New Roman" w:eastAsia="Times New Roman" w:hAnsi="Times New Roman" w:cs="Times New Roman"/>
          <w:sz w:val="28"/>
          <w:szCs w:val="28"/>
          <w:lang w:eastAsia="ru-RU"/>
        </w:rPr>
        <w:t>.</w:t>
      </w:r>
    </w:p>
    <w:p w14:paraId="7CF14BB1" w14:textId="77777777" w:rsidR="00CF14C3" w:rsidRDefault="00FA4744" w:rsidP="00CF14C3">
      <w:pPr>
        <w:keepLines/>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 xml:space="preserve">В рамках основных мероприятий Государственной программы Российской Федерации «Развитие физической культуры и спорта», а также </w:t>
      </w:r>
      <w:r w:rsidR="00EF64AC" w:rsidRPr="00FF13D6">
        <w:rPr>
          <w:rFonts w:ascii="Times New Roman" w:eastAsia="Times New Roman" w:hAnsi="Times New Roman" w:cs="Times New Roman"/>
          <w:sz w:val="28"/>
          <w:szCs w:val="28"/>
          <w:lang w:eastAsia="ru-RU"/>
        </w:rPr>
        <w:t>ф</w:t>
      </w:r>
      <w:r w:rsidRPr="00FF13D6">
        <w:rPr>
          <w:rFonts w:ascii="Times New Roman" w:eastAsia="Times New Roman" w:hAnsi="Times New Roman" w:cs="Times New Roman"/>
          <w:sz w:val="28"/>
          <w:szCs w:val="28"/>
          <w:lang w:eastAsia="ru-RU"/>
        </w:rPr>
        <w:t>едерального проекта «Спорт – норма жизни» в 2021 г</w:t>
      </w:r>
      <w:r w:rsidR="000824F7"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 xml:space="preserve"> осуществлялась реализаци</w:t>
      </w:r>
      <w:r w:rsidR="00E6477A" w:rsidRPr="00FF13D6">
        <w:rPr>
          <w:rFonts w:ascii="Times New Roman" w:eastAsia="Times New Roman" w:hAnsi="Times New Roman" w:cs="Times New Roman"/>
          <w:sz w:val="28"/>
          <w:szCs w:val="28"/>
          <w:lang w:eastAsia="ru-RU"/>
        </w:rPr>
        <w:t>я</w:t>
      </w:r>
      <w:r w:rsidRPr="00FF13D6">
        <w:rPr>
          <w:rFonts w:ascii="Times New Roman" w:eastAsia="Times New Roman" w:hAnsi="Times New Roman" w:cs="Times New Roman"/>
          <w:sz w:val="28"/>
          <w:szCs w:val="28"/>
          <w:lang w:eastAsia="ru-RU"/>
        </w:rPr>
        <w:t xml:space="preserve"> мероприятий, направленных </w:t>
      </w:r>
      <w:r w:rsidR="00EF64AC" w:rsidRPr="00FF13D6">
        <w:rPr>
          <w:rFonts w:ascii="Times New Roman" w:eastAsia="Times New Roman" w:hAnsi="Times New Roman" w:cs="Times New Roman"/>
          <w:sz w:val="28"/>
          <w:szCs w:val="28"/>
          <w:lang w:eastAsia="ru-RU"/>
        </w:rPr>
        <w:t xml:space="preserve">в том числе на </w:t>
      </w:r>
      <w:r w:rsidRPr="00FF13D6">
        <w:rPr>
          <w:rFonts w:ascii="Times New Roman" w:eastAsia="Times New Roman" w:hAnsi="Times New Roman" w:cs="Times New Roman"/>
          <w:sz w:val="28"/>
          <w:szCs w:val="28"/>
          <w:lang w:eastAsia="ru-RU"/>
        </w:rPr>
        <w:t>формирование позитивного общественного мнения о ведении здорового образа жизни и необходимости систематических занятий</w:t>
      </w:r>
      <w:r w:rsidR="00EF64AC" w:rsidRPr="00FF13D6">
        <w:rPr>
          <w:rFonts w:ascii="Times New Roman" w:eastAsia="Times New Roman" w:hAnsi="Times New Roman" w:cs="Times New Roman"/>
          <w:sz w:val="28"/>
          <w:szCs w:val="28"/>
          <w:lang w:eastAsia="ru-RU"/>
        </w:rPr>
        <w:t xml:space="preserve"> физической культурой и спортом, </w:t>
      </w:r>
      <w:r w:rsidRPr="00FF13D6">
        <w:rPr>
          <w:rFonts w:ascii="Times New Roman" w:eastAsia="Times New Roman" w:hAnsi="Times New Roman" w:cs="Times New Roman"/>
          <w:sz w:val="28"/>
          <w:szCs w:val="28"/>
          <w:lang w:eastAsia="ru-RU"/>
        </w:rPr>
        <w:t xml:space="preserve">стимулирование деятельности </w:t>
      </w:r>
      <w:r w:rsidR="00EF64AC" w:rsidRPr="00FF13D6">
        <w:rPr>
          <w:rFonts w:ascii="Times New Roman" w:eastAsia="Times New Roman" w:hAnsi="Times New Roman" w:cs="Times New Roman"/>
          <w:sz w:val="28"/>
          <w:szCs w:val="28"/>
          <w:lang w:eastAsia="ru-RU"/>
        </w:rPr>
        <w:t xml:space="preserve">субъектов Российской Федерации </w:t>
      </w:r>
      <w:r w:rsidRPr="00FF13D6">
        <w:rPr>
          <w:rFonts w:ascii="Times New Roman" w:eastAsia="Times New Roman" w:hAnsi="Times New Roman" w:cs="Times New Roman"/>
          <w:sz w:val="28"/>
          <w:szCs w:val="28"/>
          <w:lang w:eastAsia="ru-RU"/>
        </w:rPr>
        <w:t>по повышению уровня физической подготовленности населения.</w:t>
      </w:r>
    </w:p>
    <w:p w14:paraId="0C889169" w14:textId="4FF1BE4F" w:rsidR="00FA21B5" w:rsidRPr="00FF13D6" w:rsidRDefault="00EF64AC" w:rsidP="00CF14C3">
      <w:pPr>
        <w:keepLines/>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Важнейшую роль в мотивации людей различных возрастов и рода профессиональной деятельности к занятиям физической культурой и спортом играет п</w:t>
      </w:r>
      <w:r w:rsidR="00FA4744" w:rsidRPr="00FF13D6">
        <w:rPr>
          <w:rFonts w:ascii="Times New Roman" w:eastAsia="Times New Roman" w:hAnsi="Times New Roman" w:cs="Times New Roman"/>
          <w:sz w:val="28"/>
          <w:szCs w:val="28"/>
          <w:lang w:eastAsia="ru-RU"/>
        </w:rPr>
        <w:t>ропаганда физической культуры, с</w:t>
      </w:r>
      <w:r w:rsidRPr="00FF13D6">
        <w:rPr>
          <w:rFonts w:ascii="Times New Roman" w:eastAsia="Times New Roman" w:hAnsi="Times New Roman" w:cs="Times New Roman"/>
          <w:sz w:val="28"/>
          <w:szCs w:val="28"/>
          <w:lang w:eastAsia="ru-RU"/>
        </w:rPr>
        <w:t xml:space="preserve">порта и здорового образа жизни </w:t>
      </w:r>
      <w:r w:rsidR="00FA4744" w:rsidRPr="00FF13D6">
        <w:rPr>
          <w:rFonts w:ascii="Times New Roman" w:eastAsia="Times New Roman" w:hAnsi="Times New Roman" w:cs="Times New Roman"/>
          <w:sz w:val="28"/>
          <w:szCs w:val="28"/>
          <w:lang w:eastAsia="ru-RU"/>
        </w:rPr>
        <w:t>в средствах массовой информации и социальных сетях</w:t>
      </w:r>
      <w:r w:rsidRPr="00FF13D6">
        <w:rPr>
          <w:rFonts w:ascii="Times New Roman" w:eastAsia="Times New Roman" w:hAnsi="Times New Roman" w:cs="Times New Roman"/>
          <w:sz w:val="28"/>
          <w:szCs w:val="28"/>
          <w:lang w:eastAsia="ru-RU"/>
        </w:rPr>
        <w:t>. В этой связи Минспорт России</w:t>
      </w:r>
      <w:r w:rsidR="00FA4744" w:rsidRPr="00FF13D6">
        <w:rPr>
          <w:rFonts w:ascii="Times New Roman" w:eastAsia="Times New Roman" w:hAnsi="Times New Roman" w:cs="Times New Roman"/>
          <w:sz w:val="28"/>
          <w:szCs w:val="28"/>
          <w:lang w:eastAsia="ru-RU"/>
        </w:rPr>
        <w:t xml:space="preserve"> осуществляет информационную поддержку и продвижение массовых мероприятий Единого календарного плана межрегиональных, всероссийских и международных физкультурных мероприятий, спортивных мероприятий, а также мероприятий по пропаганде физической культуры и спорта в средствах массовой информации, соц</w:t>
      </w:r>
      <w:r w:rsidR="00FA21B5" w:rsidRPr="00FF13D6">
        <w:rPr>
          <w:rFonts w:ascii="Times New Roman" w:eastAsia="Times New Roman" w:hAnsi="Times New Roman" w:cs="Times New Roman"/>
          <w:sz w:val="28"/>
          <w:szCs w:val="28"/>
          <w:lang w:eastAsia="ru-RU"/>
        </w:rPr>
        <w:t xml:space="preserve">иальных сетях и сети Интернет. </w:t>
      </w:r>
    </w:p>
    <w:p w14:paraId="6E3F2216" w14:textId="77777777" w:rsidR="00FA21B5"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 xml:space="preserve">Работает информационно-коммуникационный портал «Спорт – норма жизни» (https://norma.sport), на </w:t>
      </w:r>
      <w:r w:rsidR="00EF64AC" w:rsidRPr="00FF13D6">
        <w:rPr>
          <w:rFonts w:ascii="Times New Roman" w:eastAsia="Times New Roman" w:hAnsi="Times New Roman" w:cs="Times New Roman"/>
          <w:sz w:val="28"/>
          <w:szCs w:val="28"/>
          <w:lang w:eastAsia="ru-RU"/>
        </w:rPr>
        <w:t xml:space="preserve">котором размещается информация </w:t>
      </w:r>
      <w:r w:rsidRPr="00FF13D6">
        <w:rPr>
          <w:rFonts w:ascii="Times New Roman" w:eastAsia="Times New Roman" w:hAnsi="Times New Roman" w:cs="Times New Roman"/>
          <w:sz w:val="28"/>
          <w:szCs w:val="28"/>
          <w:lang w:eastAsia="ru-RU"/>
        </w:rPr>
        <w:t>о проведении массовых физкультурно-спо</w:t>
      </w:r>
      <w:r w:rsidR="00EF64AC" w:rsidRPr="00FF13D6">
        <w:rPr>
          <w:rFonts w:ascii="Times New Roman" w:eastAsia="Times New Roman" w:hAnsi="Times New Roman" w:cs="Times New Roman"/>
          <w:sz w:val="28"/>
          <w:szCs w:val="28"/>
          <w:lang w:eastAsia="ru-RU"/>
        </w:rPr>
        <w:t xml:space="preserve">ртивных мероприятий, конкурсов </w:t>
      </w:r>
      <w:r w:rsidRPr="00FF13D6">
        <w:rPr>
          <w:rFonts w:ascii="Times New Roman" w:eastAsia="Times New Roman" w:hAnsi="Times New Roman" w:cs="Times New Roman"/>
          <w:sz w:val="28"/>
          <w:szCs w:val="28"/>
          <w:lang w:eastAsia="ru-RU"/>
        </w:rPr>
        <w:t xml:space="preserve">и викторин, </w:t>
      </w:r>
      <w:proofErr w:type="spellStart"/>
      <w:r w:rsidRPr="00FF13D6">
        <w:rPr>
          <w:rFonts w:ascii="Times New Roman" w:eastAsia="Times New Roman" w:hAnsi="Times New Roman" w:cs="Times New Roman"/>
          <w:sz w:val="28"/>
          <w:szCs w:val="28"/>
          <w:lang w:eastAsia="ru-RU"/>
        </w:rPr>
        <w:t>флешмобов</w:t>
      </w:r>
      <w:proofErr w:type="spellEnd"/>
      <w:r w:rsidRPr="00FF13D6">
        <w:rPr>
          <w:rFonts w:ascii="Times New Roman" w:eastAsia="Times New Roman" w:hAnsi="Times New Roman" w:cs="Times New Roman"/>
          <w:sz w:val="28"/>
          <w:szCs w:val="28"/>
          <w:lang w:eastAsia="ru-RU"/>
        </w:rPr>
        <w:t xml:space="preserve"> и </w:t>
      </w:r>
      <w:proofErr w:type="spellStart"/>
      <w:r w:rsidRPr="00FF13D6">
        <w:rPr>
          <w:rFonts w:ascii="Times New Roman" w:eastAsia="Times New Roman" w:hAnsi="Times New Roman" w:cs="Times New Roman"/>
          <w:sz w:val="28"/>
          <w:szCs w:val="28"/>
          <w:lang w:eastAsia="ru-RU"/>
        </w:rPr>
        <w:t>челленджей</w:t>
      </w:r>
      <w:proofErr w:type="spellEnd"/>
      <w:r w:rsidRPr="00FF13D6">
        <w:rPr>
          <w:rFonts w:ascii="Times New Roman" w:eastAsia="Times New Roman" w:hAnsi="Times New Roman" w:cs="Times New Roman"/>
          <w:sz w:val="28"/>
          <w:szCs w:val="28"/>
          <w:lang w:eastAsia="ru-RU"/>
        </w:rPr>
        <w:t xml:space="preserve"> спортивной направленности. Кроме того, на портале представлены советы по</w:t>
      </w:r>
      <w:r w:rsidR="00EF64AC" w:rsidRPr="00FF13D6">
        <w:rPr>
          <w:rFonts w:ascii="Times New Roman" w:eastAsia="Times New Roman" w:hAnsi="Times New Roman" w:cs="Times New Roman"/>
          <w:sz w:val="28"/>
          <w:szCs w:val="28"/>
          <w:lang w:eastAsia="ru-RU"/>
        </w:rPr>
        <w:t xml:space="preserve"> программам тренировок и видео </w:t>
      </w:r>
      <w:r w:rsidRPr="00FF13D6">
        <w:rPr>
          <w:rFonts w:ascii="Times New Roman" w:eastAsia="Times New Roman" w:hAnsi="Times New Roman" w:cs="Times New Roman"/>
          <w:sz w:val="28"/>
          <w:szCs w:val="28"/>
          <w:lang w:eastAsia="ru-RU"/>
        </w:rPr>
        <w:t xml:space="preserve">с комплексами упражнений, </w:t>
      </w:r>
      <w:proofErr w:type="spellStart"/>
      <w:r w:rsidRPr="00FF13D6">
        <w:rPr>
          <w:rFonts w:ascii="Times New Roman" w:eastAsia="Times New Roman" w:hAnsi="Times New Roman" w:cs="Times New Roman"/>
          <w:sz w:val="28"/>
          <w:szCs w:val="28"/>
          <w:lang w:eastAsia="ru-RU"/>
        </w:rPr>
        <w:t>коллаборация</w:t>
      </w:r>
      <w:proofErr w:type="spellEnd"/>
      <w:r w:rsidRPr="00FF13D6">
        <w:rPr>
          <w:rFonts w:ascii="Times New Roman" w:eastAsia="Times New Roman" w:hAnsi="Times New Roman" w:cs="Times New Roman"/>
          <w:sz w:val="28"/>
          <w:szCs w:val="28"/>
          <w:lang w:eastAsia="ru-RU"/>
        </w:rPr>
        <w:t xml:space="preserve"> с популярными спортивными организациями, движения и </w:t>
      </w:r>
      <w:proofErr w:type="spellStart"/>
      <w:r w:rsidRPr="00FF13D6">
        <w:rPr>
          <w:rFonts w:ascii="Times New Roman" w:eastAsia="Times New Roman" w:hAnsi="Times New Roman" w:cs="Times New Roman"/>
          <w:sz w:val="28"/>
          <w:szCs w:val="28"/>
          <w:lang w:eastAsia="ru-RU"/>
        </w:rPr>
        <w:t>блогерами</w:t>
      </w:r>
      <w:proofErr w:type="spellEnd"/>
      <w:r w:rsidRPr="00FF13D6">
        <w:rPr>
          <w:rFonts w:ascii="Times New Roman" w:eastAsia="Times New Roman" w:hAnsi="Times New Roman" w:cs="Times New Roman"/>
          <w:sz w:val="28"/>
          <w:szCs w:val="28"/>
          <w:lang w:eastAsia="ru-RU"/>
        </w:rPr>
        <w:t>.</w:t>
      </w:r>
    </w:p>
    <w:p w14:paraId="070BA7FF" w14:textId="77777777" w:rsidR="004445BE"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В течение 2021 г</w:t>
      </w:r>
      <w:r w:rsidR="000824F7"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 xml:space="preserve"> на сайте</w:t>
      </w:r>
      <w:r w:rsidR="00EF64AC" w:rsidRPr="00FF13D6">
        <w:rPr>
          <w:rFonts w:ascii="Times New Roman" w:eastAsia="Times New Roman" w:hAnsi="Times New Roman" w:cs="Times New Roman"/>
          <w:sz w:val="28"/>
          <w:szCs w:val="28"/>
          <w:lang w:eastAsia="ru-RU"/>
        </w:rPr>
        <w:t xml:space="preserve">: </w:t>
      </w:r>
      <w:r w:rsidR="00A479C0" w:rsidRPr="00FF13D6">
        <w:rPr>
          <w:rFonts w:ascii="Times New Roman" w:eastAsia="Times New Roman" w:hAnsi="Times New Roman" w:cs="Times New Roman"/>
          <w:sz w:val="28"/>
          <w:szCs w:val="28"/>
          <w:lang w:eastAsia="ru-RU"/>
        </w:rPr>
        <w:t>https://</w:t>
      </w:r>
      <w:r w:rsidR="00EF64AC" w:rsidRPr="00FF13D6">
        <w:rPr>
          <w:rFonts w:ascii="Times New Roman" w:eastAsia="Times New Roman" w:hAnsi="Times New Roman" w:cs="Times New Roman"/>
          <w:sz w:val="28"/>
          <w:szCs w:val="28"/>
          <w:lang w:eastAsia="ru-RU"/>
        </w:rPr>
        <w:t xml:space="preserve">normasport.ru опубликованы </w:t>
      </w:r>
      <w:r w:rsidRPr="00FF13D6">
        <w:rPr>
          <w:rFonts w:ascii="Times New Roman" w:eastAsia="Times New Roman" w:hAnsi="Times New Roman" w:cs="Times New Roman"/>
          <w:sz w:val="28"/>
          <w:szCs w:val="28"/>
          <w:lang w:eastAsia="ru-RU"/>
        </w:rPr>
        <w:t>962 новостных материалов, из них:</w:t>
      </w:r>
    </w:p>
    <w:p w14:paraId="65389ACE" w14:textId="77777777" w:rsidR="004445BE"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- 247 материалов посвящено строительству и модернизации спортивных объектов;</w:t>
      </w:r>
    </w:p>
    <w:p w14:paraId="4797C161" w14:textId="77777777" w:rsidR="004445BE"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- 112 материалов посвящено з</w:t>
      </w:r>
      <w:r w:rsidR="00EF64AC" w:rsidRPr="00FF13D6">
        <w:rPr>
          <w:rFonts w:ascii="Times New Roman" w:eastAsia="Times New Roman" w:hAnsi="Times New Roman" w:cs="Times New Roman"/>
          <w:sz w:val="28"/>
          <w:szCs w:val="28"/>
          <w:lang w:eastAsia="ru-RU"/>
        </w:rPr>
        <w:t xml:space="preserve">акупке инвентаря, оборудования </w:t>
      </w:r>
      <w:r w:rsidRPr="00FF13D6">
        <w:rPr>
          <w:rFonts w:ascii="Times New Roman" w:eastAsia="Times New Roman" w:hAnsi="Times New Roman" w:cs="Times New Roman"/>
          <w:sz w:val="28"/>
          <w:szCs w:val="28"/>
          <w:lang w:eastAsia="ru-RU"/>
        </w:rPr>
        <w:t>и экипировки для спортивных организаций;</w:t>
      </w:r>
    </w:p>
    <w:p w14:paraId="23E27956" w14:textId="77777777" w:rsidR="004445BE"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- 74 материала посвящено</w:t>
      </w:r>
      <w:r w:rsidR="004445BE" w:rsidRPr="00FF13D6">
        <w:rPr>
          <w:rFonts w:ascii="Times New Roman" w:eastAsia="Times New Roman" w:hAnsi="Times New Roman" w:cs="Times New Roman"/>
          <w:sz w:val="28"/>
          <w:szCs w:val="28"/>
          <w:lang w:eastAsia="ru-RU"/>
        </w:rPr>
        <w:t xml:space="preserve"> реализации комплекса ВСФК ГТО;</w:t>
      </w:r>
    </w:p>
    <w:p w14:paraId="42559C94" w14:textId="77777777" w:rsidR="004445BE"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- 25 материалов посвящено направлению повышения квалификации тренеров и спортивных инструкторов;</w:t>
      </w:r>
    </w:p>
    <w:p w14:paraId="6964A66A" w14:textId="77777777" w:rsidR="004445BE"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 xml:space="preserve">- 40 материалов посвящено теме </w:t>
      </w:r>
      <w:r w:rsidR="00EF64AC" w:rsidRPr="00FF13D6">
        <w:rPr>
          <w:rFonts w:ascii="Times New Roman" w:eastAsia="Times New Roman" w:hAnsi="Times New Roman" w:cs="Times New Roman"/>
          <w:sz w:val="28"/>
          <w:szCs w:val="28"/>
          <w:lang w:eastAsia="ru-RU"/>
        </w:rPr>
        <w:t xml:space="preserve">предоставления Минспортом России </w:t>
      </w:r>
      <w:r w:rsidRPr="00FF13D6">
        <w:rPr>
          <w:rFonts w:ascii="Times New Roman" w:eastAsia="Times New Roman" w:hAnsi="Times New Roman" w:cs="Times New Roman"/>
          <w:sz w:val="28"/>
          <w:szCs w:val="28"/>
          <w:lang w:eastAsia="ru-RU"/>
        </w:rPr>
        <w:t xml:space="preserve">грантов </w:t>
      </w:r>
      <w:proofErr w:type="spellStart"/>
      <w:r w:rsidRPr="00FF13D6">
        <w:rPr>
          <w:rFonts w:ascii="Times New Roman" w:eastAsia="Times New Roman" w:hAnsi="Times New Roman" w:cs="Times New Roman"/>
          <w:sz w:val="28"/>
          <w:szCs w:val="28"/>
          <w:lang w:eastAsia="ru-RU"/>
        </w:rPr>
        <w:t>Минспорта</w:t>
      </w:r>
      <w:proofErr w:type="spellEnd"/>
      <w:r w:rsidRPr="00FF13D6">
        <w:rPr>
          <w:rFonts w:ascii="Times New Roman" w:eastAsia="Times New Roman" w:hAnsi="Times New Roman" w:cs="Times New Roman"/>
          <w:sz w:val="28"/>
          <w:szCs w:val="28"/>
          <w:lang w:eastAsia="ru-RU"/>
        </w:rPr>
        <w:t xml:space="preserve"> России </w:t>
      </w:r>
      <w:r w:rsidR="00EF64AC" w:rsidRPr="00FF13D6">
        <w:rPr>
          <w:rFonts w:ascii="Times New Roman" w:eastAsia="Times New Roman" w:hAnsi="Times New Roman" w:cs="Times New Roman"/>
          <w:sz w:val="28"/>
          <w:szCs w:val="28"/>
          <w:lang w:eastAsia="ru-RU"/>
        </w:rPr>
        <w:t>в рамках федерального проекта</w:t>
      </w:r>
      <w:r w:rsidRPr="00FF13D6">
        <w:rPr>
          <w:rFonts w:ascii="Times New Roman" w:eastAsia="Times New Roman" w:hAnsi="Times New Roman" w:cs="Times New Roman"/>
          <w:sz w:val="28"/>
          <w:szCs w:val="28"/>
          <w:lang w:eastAsia="ru-RU"/>
        </w:rPr>
        <w:t xml:space="preserve"> «Спорт – норма жизни».</w:t>
      </w:r>
    </w:p>
    <w:p w14:paraId="555129BE" w14:textId="77777777" w:rsidR="004445BE"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Минспортом России совместно с органами исполнительной власти субъектов Российской Федерации в области физической культуры и спорта проводятся крупные пропагандистские мероприятия спортивной направленности, целю которых является приобщение граждан к ведению активного здорового образа жизни и</w:t>
      </w:r>
      <w:r w:rsidR="00EF64AC" w:rsidRPr="00FF13D6">
        <w:rPr>
          <w:rFonts w:ascii="Times New Roman" w:eastAsia="Times New Roman" w:hAnsi="Times New Roman" w:cs="Times New Roman"/>
          <w:sz w:val="28"/>
          <w:szCs w:val="28"/>
          <w:lang w:eastAsia="ru-RU"/>
        </w:rPr>
        <w:t xml:space="preserve"> занятиям физической культурой </w:t>
      </w:r>
      <w:r w:rsidRPr="00FF13D6">
        <w:rPr>
          <w:rFonts w:ascii="Times New Roman" w:eastAsia="Times New Roman" w:hAnsi="Times New Roman" w:cs="Times New Roman"/>
          <w:sz w:val="28"/>
          <w:szCs w:val="28"/>
          <w:lang w:eastAsia="ru-RU"/>
        </w:rPr>
        <w:t>и спортом.</w:t>
      </w:r>
    </w:p>
    <w:p w14:paraId="25BB33D1" w14:textId="77777777" w:rsidR="004445BE"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В 2021</w:t>
      </w:r>
      <w:r w:rsidR="000824F7" w:rsidRPr="00FF13D6">
        <w:rPr>
          <w:rFonts w:ascii="Times New Roman" w:eastAsia="Times New Roman" w:hAnsi="Times New Roman" w:cs="Times New Roman"/>
          <w:sz w:val="28"/>
          <w:szCs w:val="28"/>
          <w:lang w:eastAsia="ru-RU"/>
        </w:rPr>
        <w:t xml:space="preserve"> г.</w:t>
      </w:r>
      <w:r w:rsidRPr="00FF13D6">
        <w:rPr>
          <w:rFonts w:ascii="Times New Roman" w:eastAsia="Times New Roman" w:hAnsi="Times New Roman" w:cs="Times New Roman"/>
          <w:sz w:val="28"/>
          <w:szCs w:val="28"/>
          <w:lang w:eastAsia="ru-RU"/>
        </w:rPr>
        <w:t xml:space="preserve"> были проведены конкурсы в социальных сетях, направленные на привлечение к систематическим</w:t>
      </w:r>
      <w:r w:rsidR="002F2364" w:rsidRPr="00FF13D6">
        <w:rPr>
          <w:rFonts w:ascii="Times New Roman" w:eastAsia="Times New Roman" w:hAnsi="Times New Roman" w:cs="Times New Roman"/>
          <w:sz w:val="28"/>
          <w:szCs w:val="28"/>
          <w:lang w:eastAsia="ru-RU"/>
        </w:rPr>
        <w:t xml:space="preserve"> занятиям физической культурой </w:t>
      </w:r>
      <w:r w:rsidRPr="00FF13D6">
        <w:rPr>
          <w:rFonts w:ascii="Times New Roman" w:eastAsia="Times New Roman" w:hAnsi="Times New Roman" w:cs="Times New Roman"/>
          <w:sz w:val="28"/>
          <w:szCs w:val="28"/>
          <w:lang w:eastAsia="ru-RU"/>
        </w:rPr>
        <w:t xml:space="preserve">и спортом граждан Российской Федерации. Были разработаны и реализованы </w:t>
      </w:r>
      <w:proofErr w:type="spellStart"/>
      <w:r w:rsidRPr="00FF13D6">
        <w:rPr>
          <w:rFonts w:ascii="Times New Roman" w:eastAsia="Times New Roman" w:hAnsi="Times New Roman" w:cs="Times New Roman"/>
          <w:sz w:val="28"/>
          <w:szCs w:val="28"/>
          <w:lang w:eastAsia="ru-RU"/>
        </w:rPr>
        <w:t>флешмобы</w:t>
      </w:r>
      <w:proofErr w:type="spellEnd"/>
      <w:r w:rsidRPr="00FF13D6">
        <w:rPr>
          <w:rFonts w:ascii="Times New Roman" w:eastAsia="Times New Roman" w:hAnsi="Times New Roman" w:cs="Times New Roman"/>
          <w:sz w:val="28"/>
          <w:szCs w:val="28"/>
          <w:lang w:eastAsia="ru-RU"/>
        </w:rPr>
        <w:t xml:space="preserve"> спортивной направленнос</w:t>
      </w:r>
      <w:r w:rsidR="002F2364" w:rsidRPr="00FF13D6">
        <w:rPr>
          <w:rFonts w:ascii="Times New Roman" w:eastAsia="Times New Roman" w:hAnsi="Times New Roman" w:cs="Times New Roman"/>
          <w:sz w:val="28"/>
          <w:szCs w:val="28"/>
          <w:lang w:eastAsia="ru-RU"/>
        </w:rPr>
        <w:t xml:space="preserve">ти в социальных сетях, создано </w:t>
      </w:r>
      <w:r w:rsidRPr="00FF13D6">
        <w:rPr>
          <w:rFonts w:ascii="Times New Roman" w:eastAsia="Times New Roman" w:hAnsi="Times New Roman" w:cs="Times New Roman"/>
          <w:sz w:val="28"/>
          <w:szCs w:val="28"/>
          <w:lang w:eastAsia="ru-RU"/>
        </w:rPr>
        <w:t xml:space="preserve">80 аудиовизуальных произведений, которые сопровождали информационную повестку на сайте и в </w:t>
      </w:r>
      <w:proofErr w:type="spellStart"/>
      <w:r w:rsidRPr="00FF13D6">
        <w:rPr>
          <w:rFonts w:ascii="Times New Roman" w:eastAsia="Times New Roman" w:hAnsi="Times New Roman" w:cs="Times New Roman"/>
          <w:sz w:val="28"/>
          <w:szCs w:val="28"/>
          <w:lang w:eastAsia="ru-RU"/>
        </w:rPr>
        <w:t>соцсетях</w:t>
      </w:r>
      <w:proofErr w:type="spellEnd"/>
      <w:r w:rsidRPr="00FF13D6">
        <w:rPr>
          <w:rFonts w:ascii="Times New Roman" w:eastAsia="Times New Roman" w:hAnsi="Times New Roman" w:cs="Times New Roman"/>
          <w:sz w:val="28"/>
          <w:szCs w:val="28"/>
          <w:lang w:eastAsia="ru-RU"/>
        </w:rPr>
        <w:t>. Также в социальных сетях и на сайте были размещены посты, анонсы мероприятий, интервью, мастер-классы онлайн, рекомендации спортивной направленности, видео- уроки.</w:t>
      </w:r>
    </w:p>
    <w:p w14:paraId="19BFB1F1" w14:textId="77777777" w:rsidR="004445BE"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 xml:space="preserve">В социальных сетях </w:t>
      </w:r>
      <w:r w:rsidR="002F2364" w:rsidRPr="00FF13D6">
        <w:rPr>
          <w:rFonts w:ascii="Times New Roman" w:eastAsia="Times New Roman" w:hAnsi="Times New Roman" w:cs="Times New Roman"/>
          <w:sz w:val="28"/>
          <w:szCs w:val="28"/>
          <w:lang w:eastAsia="ru-RU"/>
        </w:rPr>
        <w:t xml:space="preserve">федерального </w:t>
      </w:r>
      <w:r w:rsidRPr="00FF13D6">
        <w:rPr>
          <w:rFonts w:ascii="Times New Roman" w:eastAsia="Times New Roman" w:hAnsi="Times New Roman" w:cs="Times New Roman"/>
          <w:sz w:val="28"/>
          <w:szCs w:val="28"/>
          <w:lang w:eastAsia="ru-RU"/>
        </w:rPr>
        <w:t xml:space="preserve">проекта «Спорт </w:t>
      </w:r>
      <w:r w:rsidR="002F2364"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 xml:space="preserve"> н</w:t>
      </w:r>
      <w:r w:rsidR="002F2364" w:rsidRPr="00FF13D6">
        <w:rPr>
          <w:rFonts w:ascii="Times New Roman" w:eastAsia="Times New Roman" w:hAnsi="Times New Roman" w:cs="Times New Roman"/>
          <w:sz w:val="28"/>
          <w:szCs w:val="28"/>
          <w:lang w:eastAsia="ru-RU"/>
        </w:rPr>
        <w:t xml:space="preserve">орма жизни» размещено </w:t>
      </w:r>
      <w:r w:rsidRPr="00FF13D6">
        <w:rPr>
          <w:rFonts w:ascii="Times New Roman" w:eastAsia="Times New Roman" w:hAnsi="Times New Roman" w:cs="Times New Roman"/>
          <w:sz w:val="28"/>
          <w:szCs w:val="28"/>
          <w:lang w:eastAsia="ru-RU"/>
        </w:rPr>
        <w:t>948 публикаций, в том числе 319 в социальной сети «</w:t>
      </w:r>
      <w:proofErr w:type="spellStart"/>
      <w:r w:rsidRPr="00FF13D6">
        <w:rPr>
          <w:rFonts w:ascii="Times New Roman" w:eastAsia="Times New Roman" w:hAnsi="Times New Roman" w:cs="Times New Roman"/>
          <w:sz w:val="28"/>
          <w:szCs w:val="28"/>
          <w:lang w:eastAsia="ru-RU"/>
        </w:rPr>
        <w:t>Вконтакте</w:t>
      </w:r>
      <w:proofErr w:type="spellEnd"/>
      <w:r w:rsidRPr="00FF13D6">
        <w:rPr>
          <w:rFonts w:ascii="Times New Roman" w:eastAsia="Times New Roman" w:hAnsi="Times New Roman" w:cs="Times New Roman"/>
          <w:sz w:val="28"/>
          <w:szCs w:val="28"/>
          <w:lang w:eastAsia="ru-RU"/>
        </w:rPr>
        <w:t>».</w:t>
      </w:r>
    </w:p>
    <w:p w14:paraId="6A1A3C4C" w14:textId="77777777" w:rsidR="004445BE"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В 2021 г</w:t>
      </w:r>
      <w:r w:rsidR="000824F7"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 xml:space="preserve"> были организованы специальные мероприятия с участием </w:t>
      </w:r>
      <w:proofErr w:type="spellStart"/>
      <w:r w:rsidRPr="00FF13D6">
        <w:rPr>
          <w:rFonts w:ascii="Times New Roman" w:eastAsia="Times New Roman" w:hAnsi="Times New Roman" w:cs="Times New Roman"/>
          <w:sz w:val="28"/>
          <w:szCs w:val="28"/>
          <w:lang w:eastAsia="ru-RU"/>
        </w:rPr>
        <w:t>амбассадоров</w:t>
      </w:r>
      <w:proofErr w:type="spellEnd"/>
      <w:r w:rsidRPr="00FF13D6">
        <w:rPr>
          <w:rFonts w:ascii="Times New Roman" w:eastAsia="Times New Roman" w:hAnsi="Times New Roman" w:cs="Times New Roman"/>
          <w:sz w:val="28"/>
          <w:szCs w:val="28"/>
          <w:lang w:eastAsia="ru-RU"/>
        </w:rPr>
        <w:t xml:space="preserve"> (послов) и членов команды федерального проекта «Спорт – норма жизни» в рамках физкультурно-массовых и спортивных мероприятий.</w:t>
      </w:r>
    </w:p>
    <w:p w14:paraId="0B880FF8" w14:textId="47BA6FC0" w:rsidR="004445BE" w:rsidRPr="00FF13D6" w:rsidRDefault="002F236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Кроме того,</w:t>
      </w:r>
      <w:r w:rsidR="00FA4744" w:rsidRPr="00FF13D6">
        <w:rPr>
          <w:rFonts w:ascii="Times New Roman" w:eastAsia="Times New Roman" w:hAnsi="Times New Roman" w:cs="Times New Roman"/>
          <w:sz w:val="28"/>
          <w:szCs w:val="28"/>
          <w:lang w:eastAsia="ru-RU"/>
        </w:rPr>
        <w:t xml:space="preserve"> стартовал второй сезон Всероссийского конкурса спортивных проектов «Ты в игре»</w:t>
      </w:r>
      <w:r w:rsidR="009A4B92" w:rsidRPr="00FF13D6">
        <w:rPr>
          <w:rFonts w:ascii="Times New Roman" w:eastAsia="Times New Roman" w:hAnsi="Times New Roman" w:cs="Times New Roman"/>
          <w:sz w:val="28"/>
          <w:szCs w:val="28"/>
          <w:lang w:eastAsia="ru-RU"/>
        </w:rPr>
        <w:t>, направленный на выявление и поддержку креативных спортивных инициатив по популяризации массового спорта и здорового образа жизни, а также вовлечению как можно большего количества людей в регулярные занятия физической культурой и спортом</w:t>
      </w:r>
      <w:r w:rsidR="00FA4744" w:rsidRPr="00FF13D6">
        <w:rPr>
          <w:rFonts w:ascii="Times New Roman" w:eastAsia="Times New Roman" w:hAnsi="Times New Roman" w:cs="Times New Roman"/>
          <w:sz w:val="28"/>
          <w:szCs w:val="28"/>
          <w:lang w:eastAsia="ru-RU"/>
        </w:rPr>
        <w:t xml:space="preserve">. Конкурс </w:t>
      </w:r>
      <w:r w:rsidRPr="00FF13D6">
        <w:rPr>
          <w:rFonts w:ascii="Times New Roman" w:eastAsia="Times New Roman" w:hAnsi="Times New Roman" w:cs="Times New Roman"/>
          <w:sz w:val="28"/>
          <w:szCs w:val="28"/>
          <w:lang w:eastAsia="ru-RU"/>
        </w:rPr>
        <w:t xml:space="preserve">проводился АНО «Национальные приоритеты» при поддержке </w:t>
      </w:r>
      <w:proofErr w:type="spellStart"/>
      <w:r w:rsidRPr="00FF13D6">
        <w:rPr>
          <w:rFonts w:ascii="Times New Roman" w:eastAsia="Times New Roman" w:hAnsi="Times New Roman" w:cs="Times New Roman"/>
          <w:sz w:val="28"/>
          <w:szCs w:val="28"/>
          <w:lang w:eastAsia="ru-RU"/>
        </w:rPr>
        <w:t>Минспорта</w:t>
      </w:r>
      <w:proofErr w:type="spellEnd"/>
      <w:r w:rsidRPr="00FF13D6">
        <w:rPr>
          <w:rFonts w:ascii="Times New Roman" w:eastAsia="Times New Roman" w:hAnsi="Times New Roman" w:cs="Times New Roman"/>
          <w:sz w:val="28"/>
          <w:szCs w:val="28"/>
          <w:lang w:eastAsia="ru-RU"/>
        </w:rPr>
        <w:t xml:space="preserve"> России</w:t>
      </w:r>
      <w:r w:rsidR="00A479C0" w:rsidRPr="00FF13D6">
        <w:rPr>
          <w:rFonts w:ascii="Times New Roman" w:eastAsia="Times New Roman" w:hAnsi="Times New Roman" w:cs="Times New Roman"/>
          <w:sz w:val="28"/>
          <w:szCs w:val="28"/>
          <w:lang w:eastAsia="ru-RU"/>
        </w:rPr>
        <w:t xml:space="preserve"> в </w:t>
      </w:r>
      <w:r w:rsidRPr="00FF13D6">
        <w:rPr>
          <w:rFonts w:ascii="Times New Roman" w:eastAsia="Times New Roman" w:hAnsi="Times New Roman" w:cs="Times New Roman"/>
          <w:sz w:val="28"/>
          <w:szCs w:val="28"/>
          <w:lang w:eastAsia="ru-RU"/>
        </w:rPr>
        <w:t>ноябр</w:t>
      </w:r>
      <w:r w:rsidR="004445BE" w:rsidRPr="00FF13D6">
        <w:rPr>
          <w:rFonts w:ascii="Times New Roman" w:eastAsia="Times New Roman" w:hAnsi="Times New Roman" w:cs="Times New Roman"/>
          <w:sz w:val="28"/>
          <w:szCs w:val="28"/>
          <w:lang w:eastAsia="ru-RU"/>
        </w:rPr>
        <w:t>е</w:t>
      </w:r>
      <w:r w:rsidRPr="00FF13D6">
        <w:rPr>
          <w:rFonts w:ascii="Times New Roman" w:eastAsia="Times New Roman" w:hAnsi="Times New Roman" w:cs="Times New Roman"/>
          <w:sz w:val="28"/>
          <w:szCs w:val="28"/>
          <w:lang w:eastAsia="ru-RU"/>
        </w:rPr>
        <w:t xml:space="preserve"> 2021 г</w:t>
      </w:r>
      <w:r w:rsidR="004445BE"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 xml:space="preserve"> </w:t>
      </w:r>
      <w:r w:rsidR="004445BE" w:rsidRPr="00FF13D6">
        <w:rPr>
          <w:rFonts w:ascii="Times New Roman" w:eastAsia="Times New Roman" w:hAnsi="Times New Roman" w:cs="Times New Roman"/>
          <w:sz w:val="28"/>
          <w:szCs w:val="28"/>
          <w:lang w:eastAsia="ru-RU"/>
        </w:rPr>
        <w:t xml:space="preserve">– </w:t>
      </w:r>
      <w:r w:rsidR="00FA4744" w:rsidRPr="00FF13D6">
        <w:rPr>
          <w:rFonts w:ascii="Times New Roman" w:eastAsia="Times New Roman" w:hAnsi="Times New Roman" w:cs="Times New Roman"/>
          <w:sz w:val="28"/>
          <w:szCs w:val="28"/>
          <w:lang w:eastAsia="ru-RU"/>
        </w:rPr>
        <w:t>апрел</w:t>
      </w:r>
      <w:r w:rsidR="004445BE" w:rsidRPr="00FF13D6">
        <w:rPr>
          <w:rFonts w:ascii="Times New Roman" w:eastAsia="Times New Roman" w:hAnsi="Times New Roman" w:cs="Times New Roman"/>
          <w:sz w:val="28"/>
          <w:szCs w:val="28"/>
          <w:lang w:eastAsia="ru-RU"/>
        </w:rPr>
        <w:t>е</w:t>
      </w:r>
      <w:r w:rsidR="00FA4744" w:rsidRPr="00FF13D6">
        <w:rPr>
          <w:rFonts w:ascii="Times New Roman" w:eastAsia="Times New Roman" w:hAnsi="Times New Roman" w:cs="Times New Roman"/>
          <w:sz w:val="28"/>
          <w:szCs w:val="28"/>
          <w:lang w:eastAsia="ru-RU"/>
        </w:rPr>
        <w:t xml:space="preserve"> 2022 г</w:t>
      </w:r>
      <w:r w:rsidR="004445BE" w:rsidRPr="00FF13D6">
        <w:rPr>
          <w:rFonts w:ascii="Times New Roman" w:eastAsia="Times New Roman" w:hAnsi="Times New Roman" w:cs="Times New Roman"/>
          <w:sz w:val="28"/>
          <w:szCs w:val="28"/>
          <w:lang w:eastAsia="ru-RU"/>
        </w:rPr>
        <w:t>.</w:t>
      </w:r>
      <w:r w:rsidR="00FA4744" w:rsidRPr="00FF13D6">
        <w:rPr>
          <w:rFonts w:ascii="Times New Roman" w:eastAsia="Times New Roman" w:hAnsi="Times New Roman" w:cs="Times New Roman"/>
          <w:sz w:val="28"/>
          <w:szCs w:val="28"/>
          <w:lang w:eastAsia="ru-RU"/>
        </w:rPr>
        <w:t xml:space="preserve"> и объединя</w:t>
      </w:r>
      <w:r w:rsidRPr="00FF13D6">
        <w:rPr>
          <w:rFonts w:ascii="Times New Roman" w:eastAsia="Times New Roman" w:hAnsi="Times New Roman" w:cs="Times New Roman"/>
          <w:sz w:val="28"/>
          <w:szCs w:val="28"/>
          <w:lang w:eastAsia="ru-RU"/>
        </w:rPr>
        <w:t>л</w:t>
      </w:r>
      <w:r w:rsidR="00FA4744" w:rsidRPr="00FF13D6">
        <w:rPr>
          <w:rFonts w:ascii="Times New Roman" w:eastAsia="Times New Roman" w:hAnsi="Times New Roman" w:cs="Times New Roman"/>
          <w:sz w:val="28"/>
          <w:szCs w:val="28"/>
          <w:lang w:eastAsia="ru-RU"/>
        </w:rPr>
        <w:t xml:space="preserve"> проект</w:t>
      </w:r>
      <w:r w:rsidRPr="00FF13D6">
        <w:rPr>
          <w:rFonts w:ascii="Times New Roman" w:eastAsia="Times New Roman" w:hAnsi="Times New Roman" w:cs="Times New Roman"/>
          <w:sz w:val="28"/>
          <w:szCs w:val="28"/>
          <w:lang w:eastAsia="ru-RU"/>
        </w:rPr>
        <w:t xml:space="preserve">ы в сфере любительского спорта </w:t>
      </w:r>
      <w:r w:rsidR="009A4B92" w:rsidRPr="00FF13D6">
        <w:rPr>
          <w:rFonts w:ascii="Times New Roman" w:eastAsia="Times New Roman" w:hAnsi="Times New Roman" w:cs="Times New Roman"/>
          <w:sz w:val="28"/>
          <w:szCs w:val="28"/>
          <w:lang w:eastAsia="ru-RU"/>
        </w:rPr>
        <w:t>со всей страны.</w:t>
      </w:r>
    </w:p>
    <w:p w14:paraId="7DD96732" w14:textId="29D2C660" w:rsidR="004445BE"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В 2021 г</w:t>
      </w:r>
      <w:r w:rsidR="000824F7"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 xml:space="preserve"> был создан документа</w:t>
      </w:r>
      <w:r w:rsidR="00E05E89" w:rsidRPr="00FF13D6">
        <w:rPr>
          <w:rFonts w:ascii="Times New Roman" w:eastAsia="Times New Roman" w:hAnsi="Times New Roman" w:cs="Times New Roman"/>
          <w:sz w:val="28"/>
          <w:szCs w:val="28"/>
          <w:lang w:eastAsia="ru-RU"/>
        </w:rPr>
        <w:t xml:space="preserve">льный сериал «Физруки. Будущее </w:t>
      </w:r>
      <w:r w:rsidRPr="00FF13D6">
        <w:rPr>
          <w:rFonts w:ascii="Times New Roman" w:eastAsia="Times New Roman" w:hAnsi="Times New Roman" w:cs="Times New Roman"/>
          <w:sz w:val="28"/>
          <w:szCs w:val="28"/>
          <w:lang w:eastAsia="ru-RU"/>
        </w:rPr>
        <w:t>за настоящим»</w:t>
      </w:r>
      <w:r w:rsidR="00E05E89" w:rsidRPr="00FF13D6">
        <w:rPr>
          <w:rFonts w:ascii="Times New Roman" w:eastAsia="Times New Roman" w:hAnsi="Times New Roman" w:cs="Times New Roman"/>
          <w:sz w:val="28"/>
          <w:szCs w:val="28"/>
          <w:lang w:eastAsia="ru-RU"/>
        </w:rPr>
        <w:t xml:space="preserve"> – </w:t>
      </w:r>
      <w:proofErr w:type="spellStart"/>
      <w:r w:rsidRPr="00FF13D6">
        <w:rPr>
          <w:rFonts w:ascii="Times New Roman" w:eastAsia="Times New Roman" w:hAnsi="Times New Roman" w:cs="Times New Roman"/>
          <w:sz w:val="28"/>
          <w:szCs w:val="28"/>
          <w:lang w:eastAsia="ru-RU"/>
        </w:rPr>
        <w:t>десятисерийный</w:t>
      </w:r>
      <w:proofErr w:type="spellEnd"/>
      <w:r w:rsidRPr="00FF13D6">
        <w:rPr>
          <w:rFonts w:ascii="Times New Roman" w:eastAsia="Times New Roman" w:hAnsi="Times New Roman" w:cs="Times New Roman"/>
          <w:sz w:val="28"/>
          <w:szCs w:val="28"/>
          <w:lang w:eastAsia="ru-RU"/>
        </w:rPr>
        <w:t xml:space="preserve"> документальный цикл про ярких, талантливых и самобытных учителей физической культуры из самых разных уголков нашей страны. Проект познакомил зрителей с теми, кто воспитывает будущее поколение в любви к здоровому образу жизни. В каждой серии с учителями физкультуры общались и занимались спортом известные актеры, музыканты, спортсмены. Кроме того, в фильме были показаны спортивные объекты, построенные в регионах страны в рамках федерального проекта «Спорт – норма жизни».</w:t>
      </w:r>
    </w:p>
    <w:p w14:paraId="1858DBA8" w14:textId="77777777" w:rsidR="004445BE"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В 2021 г</w:t>
      </w:r>
      <w:r w:rsidR="000824F7"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 xml:space="preserve"> мероприятия по пропаганде </w:t>
      </w:r>
      <w:r w:rsidR="00A31ECC" w:rsidRPr="00FF13D6">
        <w:rPr>
          <w:rFonts w:ascii="Times New Roman" w:eastAsia="Times New Roman" w:hAnsi="Times New Roman" w:cs="Times New Roman"/>
          <w:sz w:val="28"/>
          <w:szCs w:val="28"/>
          <w:lang w:eastAsia="ru-RU"/>
        </w:rPr>
        <w:t>ГТО были приурочены к 90-</w:t>
      </w:r>
      <w:r w:rsidRPr="00FF13D6">
        <w:rPr>
          <w:rFonts w:ascii="Times New Roman" w:eastAsia="Times New Roman" w:hAnsi="Times New Roman" w:cs="Times New Roman"/>
          <w:sz w:val="28"/>
          <w:szCs w:val="28"/>
          <w:lang w:eastAsia="ru-RU"/>
        </w:rPr>
        <w:t>летию со дня основания Всесоюзного физкультурного комплекса ГТО.</w:t>
      </w:r>
    </w:p>
    <w:p w14:paraId="23EF847D" w14:textId="77777777" w:rsidR="004445BE"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В марте во всех субъектах Российской Федерации были организованы Дни ГТО, включавшие в себя физкультурно-спортивные мероприятия, промо-акции, встречи с известными спортсменами и обладателями советских знаков отличия ГТО, дни открытых дверей центров тестирования и ряд других активностей. В рамках Дней ГТО было проведено 3</w:t>
      </w:r>
      <w:r w:rsidR="00235D91" w:rsidRPr="00FF13D6">
        <w:rPr>
          <w:rFonts w:ascii="Times New Roman" w:eastAsia="Times New Roman" w:hAnsi="Times New Roman" w:cs="Times New Roman"/>
          <w:sz w:val="28"/>
          <w:szCs w:val="28"/>
          <w:lang w:eastAsia="ru-RU"/>
        </w:rPr>
        <w:t xml:space="preserve"> </w:t>
      </w:r>
      <w:r w:rsidRPr="00FF13D6">
        <w:rPr>
          <w:rFonts w:ascii="Times New Roman" w:eastAsia="Times New Roman" w:hAnsi="Times New Roman" w:cs="Times New Roman"/>
          <w:sz w:val="28"/>
          <w:szCs w:val="28"/>
          <w:lang w:eastAsia="ru-RU"/>
        </w:rPr>
        <w:t>700 тематических мероприятий, в которых приняли участие более 350 тыс</w:t>
      </w:r>
      <w:r w:rsidR="00235D91"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 xml:space="preserve"> россиян, в том числе детей и семей</w:t>
      </w:r>
      <w:r w:rsidR="00235D91"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 xml:space="preserve"> имеющих детей.</w:t>
      </w:r>
    </w:p>
    <w:p w14:paraId="36BA7BB0" w14:textId="77777777" w:rsidR="004445BE"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В марте совместно с Всероссийской федерацией волейбола, Российским футбольным союзом, Ро</w:t>
      </w:r>
      <w:r w:rsidR="00235D91" w:rsidRPr="00FF13D6">
        <w:rPr>
          <w:rFonts w:ascii="Times New Roman" w:eastAsia="Times New Roman" w:hAnsi="Times New Roman" w:cs="Times New Roman"/>
          <w:sz w:val="28"/>
          <w:szCs w:val="28"/>
          <w:lang w:eastAsia="ru-RU"/>
        </w:rPr>
        <w:t xml:space="preserve">ссийской федерацией баскетбола </w:t>
      </w:r>
      <w:r w:rsidRPr="00FF13D6">
        <w:rPr>
          <w:rFonts w:ascii="Times New Roman" w:eastAsia="Times New Roman" w:hAnsi="Times New Roman" w:cs="Times New Roman"/>
          <w:sz w:val="28"/>
          <w:szCs w:val="28"/>
          <w:lang w:eastAsia="ru-RU"/>
        </w:rPr>
        <w:t>и Федерацией хоккея России была организована промо-акция для участников комплекса ГТО «Будь в команде России!». По итогам акции более 17 тыс</w:t>
      </w:r>
      <w:r w:rsidR="00235D91"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 xml:space="preserve"> человек приняли участие в опросах, связа</w:t>
      </w:r>
      <w:r w:rsidR="00235D91" w:rsidRPr="00FF13D6">
        <w:rPr>
          <w:rFonts w:ascii="Times New Roman" w:eastAsia="Times New Roman" w:hAnsi="Times New Roman" w:cs="Times New Roman"/>
          <w:sz w:val="28"/>
          <w:szCs w:val="28"/>
          <w:lang w:eastAsia="ru-RU"/>
        </w:rPr>
        <w:t xml:space="preserve">нных с любимыми видами спорта, </w:t>
      </w:r>
      <w:r w:rsidRPr="00FF13D6">
        <w:rPr>
          <w:rFonts w:ascii="Times New Roman" w:eastAsia="Times New Roman" w:hAnsi="Times New Roman" w:cs="Times New Roman"/>
          <w:sz w:val="28"/>
          <w:szCs w:val="28"/>
          <w:lang w:eastAsia="ru-RU"/>
        </w:rPr>
        <w:t xml:space="preserve">а 4 </w:t>
      </w:r>
      <w:r w:rsidR="00933D5B" w:rsidRPr="00FF13D6">
        <w:rPr>
          <w:rFonts w:ascii="Times New Roman" w:eastAsia="Times New Roman" w:hAnsi="Times New Roman" w:cs="Times New Roman"/>
          <w:sz w:val="28"/>
          <w:szCs w:val="28"/>
          <w:lang w:eastAsia="ru-RU"/>
        </w:rPr>
        <w:t>тыс.</w:t>
      </w:r>
      <w:r w:rsidRPr="00FF13D6">
        <w:rPr>
          <w:rFonts w:ascii="Times New Roman" w:eastAsia="Times New Roman" w:hAnsi="Times New Roman" w:cs="Times New Roman"/>
          <w:sz w:val="28"/>
          <w:szCs w:val="28"/>
          <w:lang w:eastAsia="ru-RU"/>
        </w:rPr>
        <w:t xml:space="preserve"> участников выполнили все условия и были допущены к розыгрышу ценных призов. Был зафиксирован значительный прирост подписчиков официальных групп «</w:t>
      </w:r>
      <w:proofErr w:type="spellStart"/>
      <w:r w:rsidRPr="00FF13D6">
        <w:rPr>
          <w:rFonts w:ascii="Times New Roman" w:eastAsia="Times New Roman" w:hAnsi="Times New Roman" w:cs="Times New Roman"/>
          <w:sz w:val="28"/>
          <w:szCs w:val="28"/>
          <w:lang w:eastAsia="ru-RU"/>
        </w:rPr>
        <w:t>Вконтакте</w:t>
      </w:r>
      <w:proofErr w:type="spellEnd"/>
      <w:r w:rsidRPr="00FF13D6">
        <w:rPr>
          <w:rFonts w:ascii="Times New Roman" w:eastAsia="Times New Roman" w:hAnsi="Times New Roman" w:cs="Times New Roman"/>
          <w:sz w:val="28"/>
          <w:szCs w:val="28"/>
          <w:lang w:eastAsia="ru-RU"/>
        </w:rPr>
        <w:t>» за период проведения конкурса, так, например, аккаунт ГТО прирос на 7,7 ты</w:t>
      </w:r>
      <w:r w:rsidR="00235D91"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 xml:space="preserve"> человек. Официальные сообщества </w:t>
      </w:r>
      <w:r w:rsidR="00235D91" w:rsidRPr="00FF13D6">
        <w:rPr>
          <w:rFonts w:ascii="Times New Roman" w:eastAsia="Times New Roman" w:hAnsi="Times New Roman" w:cs="Times New Roman"/>
          <w:sz w:val="28"/>
          <w:szCs w:val="28"/>
          <w:lang w:eastAsia="ru-RU"/>
        </w:rPr>
        <w:t>федераций</w:t>
      </w:r>
      <w:r w:rsidRPr="00FF13D6">
        <w:rPr>
          <w:rFonts w:ascii="Times New Roman" w:eastAsia="Times New Roman" w:hAnsi="Times New Roman" w:cs="Times New Roman"/>
          <w:sz w:val="28"/>
          <w:szCs w:val="28"/>
          <w:lang w:eastAsia="ru-RU"/>
        </w:rPr>
        <w:t xml:space="preserve"> также увеличились на несколько тысяч пользователей.</w:t>
      </w:r>
    </w:p>
    <w:p w14:paraId="2B27E555" w14:textId="77777777" w:rsidR="004445BE"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В преддверии празднования 76-л</w:t>
      </w:r>
      <w:r w:rsidR="00235D91" w:rsidRPr="00FF13D6">
        <w:rPr>
          <w:rFonts w:ascii="Times New Roman" w:eastAsia="Times New Roman" w:hAnsi="Times New Roman" w:cs="Times New Roman"/>
          <w:sz w:val="28"/>
          <w:szCs w:val="28"/>
          <w:lang w:eastAsia="ru-RU"/>
        </w:rPr>
        <w:t xml:space="preserve">етия Великой Победы совместно </w:t>
      </w:r>
      <w:r w:rsidRPr="00FF13D6">
        <w:rPr>
          <w:rFonts w:ascii="Times New Roman" w:eastAsia="Times New Roman" w:hAnsi="Times New Roman" w:cs="Times New Roman"/>
          <w:sz w:val="28"/>
          <w:szCs w:val="28"/>
          <w:lang w:eastAsia="ru-RU"/>
        </w:rPr>
        <w:t xml:space="preserve">с Государственным музеем спорта в социальных сетях была проведена широкомасштабная информационная кампания «Страна Героев», в ходе которой опубликована серия информационных </w:t>
      </w:r>
      <w:r w:rsidR="00235D91" w:rsidRPr="00FF13D6">
        <w:rPr>
          <w:rFonts w:ascii="Times New Roman" w:eastAsia="Times New Roman" w:hAnsi="Times New Roman" w:cs="Times New Roman"/>
          <w:sz w:val="28"/>
          <w:szCs w:val="28"/>
          <w:lang w:eastAsia="ru-RU"/>
        </w:rPr>
        <w:t xml:space="preserve">видеоматериалов </w:t>
      </w:r>
      <w:r w:rsidRPr="00FF13D6">
        <w:rPr>
          <w:rFonts w:ascii="Times New Roman" w:eastAsia="Times New Roman" w:hAnsi="Times New Roman" w:cs="Times New Roman"/>
          <w:sz w:val="28"/>
          <w:szCs w:val="28"/>
          <w:lang w:eastAsia="ru-RU"/>
        </w:rPr>
        <w:t>об известных советских спортсменах, являвшихся обладателями золотых знаков отличия ГТО (СССР) и совершивших подвиги на полях сражений Великой Отечественной войны.</w:t>
      </w:r>
    </w:p>
    <w:p w14:paraId="3495B1EA" w14:textId="77777777" w:rsidR="004445BE"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Ко Дню защиты детей была реализована промо-акция «Спортивное лето с ГТО». В рамках акции дети и молодежь в возрасте от 6 до 17 лет приняли участие в образовательных мероприятиях, информационных встречах и интерактивных мастер-классах, а также выполнили нормативы ГТО на спортивных площадках, построенных в рамках федерального проекта «Спорт – норма жизни»</w:t>
      </w:r>
      <w:r w:rsidR="00235D91" w:rsidRPr="00FF13D6">
        <w:rPr>
          <w:rFonts w:ascii="Times New Roman" w:eastAsia="Times New Roman" w:hAnsi="Times New Roman" w:cs="Times New Roman"/>
          <w:sz w:val="28"/>
          <w:szCs w:val="28"/>
          <w:lang w:eastAsia="ru-RU"/>
        </w:rPr>
        <w:t xml:space="preserve">, а также </w:t>
      </w:r>
      <w:r w:rsidRPr="00FF13D6">
        <w:rPr>
          <w:rFonts w:ascii="Times New Roman" w:eastAsia="Times New Roman" w:hAnsi="Times New Roman" w:cs="Times New Roman"/>
          <w:sz w:val="28"/>
          <w:szCs w:val="28"/>
          <w:lang w:eastAsia="ru-RU"/>
        </w:rPr>
        <w:t>в парках и скверах городов и других населенных пунктов страны.</w:t>
      </w:r>
    </w:p>
    <w:p w14:paraId="6DD73526" w14:textId="77777777" w:rsidR="004445BE"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Кроме этого, в целях пропаганды активного здорового образа жизни, развития физической культуры и спорта Минспортом России сов</w:t>
      </w:r>
      <w:r w:rsidR="00235D91" w:rsidRPr="00FF13D6">
        <w:rPr>
          <w:rFonts w:ascii="Times New Roman" w:eastAsia="Times New Roman" w:hAnsi="Times New Roman" w:cs="Times New Roman"/>
          <w:sz w:val="28"/>
          <w:szCs w:val="28"/>
          <w:lang w:eastAsia="ru-RU"/>
        </w:rPr>
        <w:t xml:space="preserve">местно </w:t>
      </w:r>
      <w:r w:rsidRPr="00FF13D6">
        <w:rPr>
          <w:rFonts w:ascii="Times New Roman" w:eastAsia="Times New Roman" w:hAnsi="Times New Roman" w:cs="Times New Roman"/>
          <w:sz w:val="28"/>
          <w:szCs w:val="28"/>
          <w:lang w:eastAsia="ru-RU"/>
        </w:rPr>
        <w:t>с заинтересованными организациями проводятся физкультурные мероприятия для всех категорий и групп</w:t>
      </w:r>
      <w:r w:rsidR="00235D91" w:rsidRPr="00FF13D6">
        <w:rPr>
          <w:rFonts w:ascii="Times New Roman" w:eastAsia="Times New Roman" w:hAnsi="Times New Roman" w:cs="Times New Roman"/>
          <w:sz w:val="28"/>
          <w:szCs w:val="28"/>
          <w:lang w:eastAsia="ru-RU"/>
        </w:rPr>
        <w:t xml:space="preserve"> населения, в том числе детей, </w:t>
      </w:r>
      <w:r w:rsidRPr="00FF13D6">
        <w:rPr>
          <w:rFonts w:ascii="Times New Roman" w:eastAsia="Times New Roman" w:hAnsi="Times New Roman" w:cs="Times New Roman"/>
          <w:sz w:val="28"/>
          <w:szCs w:val="28"/>
          <w:lang w:eastAsia="ru-RU"/>
        </w:rPr>
        <w:t xml:space="preserve">а также людей с инвалидностью. Мероприятия включены в Единый календарный план межрегиональных, всероссийских и международных физкультурных мероприятий, спортивных мероприятий </w:t>
      </w:r>
      <w:proofErr w:type="spellStart"/>
      <w:r w:rsidRPr="00FF13D6">
        <w:rPr>
          <w:rFonts w:ascii="Times New Roman" w:eastAsia="Times New Roman" w:hAnsi="Times New Roman" w:cs="Times New Roman"/>
          <w:sz w:val="28"/>
          <w:szCs w:val="28"/>
          <w:lang w:eastAsia="ru-RU"/>
        </w:rPr>
        <w:t>Минспорта</w:t>
      </w:r>
      <w:proofErr w:type="spellEnd"/>
      <w:r w:rsidRPr="00FF13D6">
        <w:rPr>
          <w:rFonts w:ascii="Times New Roman" w:eastAsia="Times New Roman" w:hAnsi="Times New Roman" w:cs="Times New Roman"/>
          <w:sz w:val="28"/>
          <w:szCs w:val="28"/>
          <w:lang w:eastAsia="ru-RU"/>
        </w:rPr>
        <w:t xml:space="preserve"> России.</w:t>
      </w:r>
    </w:p>
    <w:p w14:paraId="741ED628" w14:textId="77777777" w:rsidR="004445BE"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В рамках реализации первой части Единого календарного плана в 2021 г</w:t>
      </w:r>
      <w:r w:rsidR="000824F7"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 xml:space="preserve"> проведено 650 физкультурных мероприятий</w:t>
      </w:r>
      <w:r w:rsidR="00EE2A0B"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 xml:space="preserve"> в том числе:</w:t>
      </w:r>
    </w:p>
    <w:p w14:paraId="5E0AB756" w14:textId="77777777" w:rsidR="004445BE"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 xml:space="preserve">372 </w:t>
      </w:r>
      <w:r w:rsidR="00EE2A0B" w:rsidRPr="00FF13D6">
        <w:rPr>
          <w:rFonts w:ascii="Times New Roman" w:eastAsia="Times New Roman" w:hAnsi="Times New Roman" w:cs="Times New Roman"/>
          <w:sz w:val="28"/>
          <w:szCs w:val="28"/>
          <w:lang w:eastAsia="ru-RU"/>
        </w:rPr>
        <w:t xml:space="preserve">мероприятия </w:t>
      </w:r>
      <w:r w:rsidRPr="00FF13D6">
        <w:rPr>
          <w:rFonts w:ascii="Times New Roman" w:eastAsia="Times New Roman" w:hAnsi="Times New Roman" w:cs="Times New Roman"/>
          <w:sz w:val="28"/>
          <w:szCs w:val="28"/>
          <w:lang w:eastAsia="ru-RU"/>
        </w:rPr>
        <w:t xml:space="preserve">– среди детей и учащейся молодежи (275 </w:t>
      </w:r>
      <w:r w:rsidR="00EE2A0B" w:rsidRPr="00FF13D6">
        <w:rPr>
          <w:rFonts w:ascii="Times New Roman" w:eastAsia="Times New Roman" w:hAnsi="Times New Roman" w:cs="Times New Roman"/>
          <w:sz w:val="28"/>
          <w:szCs w:val="28"/>
          <w:lang w:eastAsia="ru-RU"/>
        </w:rPr>
        <w:t xml:space="preserve">– </w:t>
      </w:r>
      <w:r w:rsidRPr="00FF13D6">
        <w:rPr>
          <w:rFonts w:ascii="Times New Roman" w:eastAsia="Times New Roman" w:hAnsi="Times New Roman" w:cs="Times New Roman"/>
          <w:sz w:val="28"/>
          <w:szCs w:val="28"/>
          <w:lang w:eastAsia="ru-RU"/>
        </w:rPr>
        <w:t xml:space="preserve">среди детей, 97 </w:t>
      </w:r>
      <w:r w:rsidR="00EE2A0B" w:rsidRPr="00FF13D6">
        <w:rPr>
          <w:rFonts w:ascii="Times New Roman" w:eastAsia="Times New Roman" w:hAnsi="Times New Roman" w:cs="Times New Roman"/>
          <w:sz w:val="28"/>
          <w:szCs w:val="28"/>
          <w:lang w:eastAsia="ru-RU"/>
        </w:rPr>
        <w:t xml:space="preserve">– </w:t>
      </w:r>
      <w:r w:rsidRPr="00FF13D6">
        <w:rPr>
          <w:rFonts w:ascii="Times New Roman" w:eastAsia="Times New Roman" w:hAnsi="Times New Roman" w:cs="Times New Roman"/>
          <w:sz w:val="28"/>
          <w:szCs w:val="28"/>
          <w:lang w:eastAsia="ru-RU"/>
        </w:rPr>
        <w:t>среди учащейся молодежи);</w:t>
      </w:r>
    </w:p>
    <w:p w14:paraId="5C28535B" w14:textId="77777777" w:rsidR="004445BE"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250</w:t>
      </w:r>
      <w:r w:rsidR="00EE2A0B" w:rsidRPr="00FF13D6">
        <w:rPr>
          <w:rFonts w:ascii="Times New Roman" w:eastAsia="Times New Roman" w:hAnsi="Times New Roman" w:cs="Times New Roman"/>
          <w:sz w:val="28"/>
          <w:szCs w:val="28"/>
          <w:lang w:eastAsia="ru-RU"/>
        </w:rPr>
        <w:t xml:space="preserve"> мероприятий</w:t>
      </w:r>
      <w:r w:rsidRPr="00FF13D6">
        <w:rPr>
          <w:rFonts w:ascii="Times New Roman" w:eastAsia="Times New Roman" w:hAnsi="Times New Roman" w:cs="Times New Roman"/>
          <w:sz w:val="28"/>
          <w:szCs w:val="28"/>
          <w:lang w:eastAsia="ru-RU"/>
        </w:rPr>
        <w:t xml:space="preserve"> – среди лиц средних и стар</w:t>
      </w:r>
      <w:r w:rsidR="004445BE" w:rsidRPr="00FF13D6">
        <w:rPr>
          <w:rFonts w:ascii="Times New Roman" w:eastAsia="Times New Roman" w:hAnsi="Times New Roman" w:cs="Times New Roman"/>
          <w:sz w:val="28"/>
          <w:szCs w:val="28"/>
          <w:lang w:eastAsia="ru-RU"/>
        </w:rPr>
        <w:t>ших возрастных групп населения;</w:t>
      </w:r>
    </w:p>
    <w:p w14:paraId="1212A03B" w14:textId="77777777" w:rsidR="004445BE"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28</w:t>
      </w:r>
      <w:r w:rsidR="00EE2A0B" w:rsidRPr="00FF13D6">
        <w:rPr>
          <w:rFonts w:ascii="Times New Roman" w:eastAsia="Times New Roman" w:hAnsi="Times New Roman" w:cs="Times New Roman"/>
          <w:sz w:val="28"/>
          <w:szCs w:val="28"/>
          <w:lang w:eastAsia="ru-RU"/>
        </w:rPr>
        <w:t xml:space="preserve"> мероприятий</w:t>
      </w:r>
      <w:r w:rsidR="004445BE" w:rsidRPr="00FF13D6">
        <w:rPr>
          <w:rFonts w:ascii="Times New Roman" w:eastAsia="Times New Roman" w:hAnsi="Times New Roman" w:cs="Times New Roman"/>
          <w:sz w:val="28"/>
          <w:szCs w:val="28"/>
          <w:lang w:eastAsia="ru-RU"/>
        </w:rPr>
        <w:t xml:space="preserve"> – среди инвалидов и лиц с ОВЗ.</w:t>
      </w:r>
    </w:p>
    <w:p w14:paraId="6F99A690" w14:textId="77777777" w:rsidR="004445BE"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Наиболее массовые мероприятия: Всероссийская лыжная гонка «Лыжня России», Всероссийский день бег</w:t>
      </w:r>
      <w:r w:rsidR="00EE2A0B" w:rsidRPr="00FF13D6">
        <w:rPr>
          <w:rFonts w:ascii="Times New Roman" w:eastAsia="Times New Roman" w:hAnsi="Times New Roman" w:cs="Times New Roman"/>
          <w:sz w:val="28"/>
          <w:szCs w:val="28"/>
          <w:lang w:eastAsia="ru-RU"/>
        </w:rPr>
        <w:t xml:space="preserve">а «Кросс нации», Декада спорта </w:t>
      </w:r>
      <w:r w:rsidRPr="00FF13D6">
        <w:rPr>
          <w:rFonts w:ascii="Times New Roman" w:eastAsia="Times New Roman" w:hAnsi="Times New Roman" w:cs="Times New Roman"/>
          <w:sz w:val="28"/>
          <w:szCs w:val="28"/>
          <w:lang w:eastAsia="ru-RU"/>
        </w:rPr>
        <w:t xml:space="preserve">и здоровья, </w:t>
      </w:r>
      <w:r w:rsidR="00EE2A0B" w:rsidRPr="00FF13D6">
        <w:rPr>
          <w:rFonts w:ascii="Times New Roman" w:eastAsia="Times New Roman" w:hAnsi="Times New Roman" w:cs="Times New Roman"/>
          <w:sz w:val="28"/>
          <w:szCs w:val="28"/>
          <w:lang w:eastAsia="ru-RU"/>
        </w:rPr>
        <w:br/>
      </w:r>
      <w:r w:rsidRPr="00FF13D6">
        <w:rPr>
          <w:rFonts w:ascii="Times New Roman" w:eastAsia="Times New Roman" w:hAnsi="Times New Roman" w:cs="Times New Roman"/>
          <w:sz w:val="28"/>
          <w:szCs w:val="28"/>
          <w:lang w:eastAsia="ru-RU"/>
        </w:rPr>
        <w:t>VI Всероссийская спартакиада среди трудящихся, Фестиваль Чемпионов Всероссийского физкультурн</w:t>
      </w:r>
      <w:r w:rsidR="00EE2A0B" w:rsidRPr="00FF13D6">
        <w:rPr>
          <w:rFonts w:ascii="Times New Roman" w:eastAsia="Times New Roman" w:hAnsi="Times New Roman" w:cs="Times New Roman"/>
          <w:sz w:val="28"/>
          <w:szCs w:val="28"/>
          <w:lang w:eastAsia="ru-RU"/>
        </w:rPr>
        <w:t xml:space="preserve">о-спортивного комплекса «Готов </w:t>
      </w:r>
      <w:r w:rsidRPr="00FF13D6">
        <w:rPr>
          <w:rFonts w:ascii="Times New Roman" w:eastAsia="Times New Roman" w:hAnsi="Times New Roman" w:cs="Times New Roman"/>
          <w:sz w:val="28"/>
          <w:szCs w:val="28"/>
          <w:lang w:eastAsia="ru-RU"/>
        </w:rPr>
        <w:t>к труду и обороне» («ИГРЫ ГТО»), физкультурные мероприятия</w:t>
      </w:r>
      <w:r w:rsidR="00EE2A0B" w:rsidRPr="00FF13D6">
        <w:rPr>
          <w:rFonts w:ascii="Times New Roman" w:eastAsia="Times New Roman" w:hAnsi="Times New Roman" w:cs="Times New Roman"/>
          <w:sz w:val="28"/>
          <w:szCs w:val="28"/>
          <w:lang w:eastAsia="ru-RU"/>
        </w:rPr>
        <w:t>,</w:t>
      </w:r>
      <w:r w:rsidRPr="00FF13D6">
        <w:rPr>
          <w:rFonts w:ascii="Times New Roman" w:eastAsia="Times New Roman" w:hAnsi="Times New Roman" w:cs="Times New Roman"/>
          <w:sz w:val="28"/>
          <w:szCs w:val="28"/>
          <w:lang w:eastAsia="ru-RU"/>
        </w:rPr>
        <w:t xml:space="preserve"> посвященные Дню физкультурника, Всемирный день велосипедиста, Всероссийский полумарафон «</w:t>
      </w:r>
      <w:proofErr w:type="spellStart"/>
      <w:r w:rsidRPr="00FF13D6">
        <w:rPr>
          <w:rFonts w:ascii="Times New Roman" w:eastAsia="Times New Roman" w:hAnsi="Times New Roman" w:cs="Times New Roman"/>
          <w:sz w:val="28"/>
          <w:szCs w:val="28"/>
          <w:lang w:eastAsia="ru-RU"/>
        </w:rPr>
        <w:t>ЗаБег.РФ</w:t>
      </w:r>
      <w:proofErr w:type="spellEnd"/>
      <w:r w:rsidRPr="00FF13D6">
        <w:rPr>
          <w:rFonts w:ascii="Times New Roman" w:eastAsia="Times New Roman" w:hAnsi="Times New Roman" w:cs="Times New Roman"/>
          <w:sz w:val="28"/>
          <w:szCs w:val="28"/>
          <w:lang w:eastAsia="ru-RU"/>
        </w:rPr>
        <w:t xml:space="preserve">», Открытые всероссийские массовые соревнования по конькобежному спорту </w:t>
      </w:r>
      <w:r w:rsidR="002D7CA8" w:rsidRPr="00FF13D6">
        <w:rPr>
          <w:rFonts w:ascii="Times New Roman" w:eastAsia="Times New Roman" w:hAnsi="Times New Roman" w:cs="Times New Roman"/>
          <w:sz w:val="28"/>
          <w:szCs w:val="28"/>
          <w:lang w:eastAsia="ru-RU"/>
        </w:rPr>
        <w:br/>
      </w:r>
      <w:r w:rsidRPr="00FF13D6">
        <w:rPr>
          <w:rFonts w:ascii="Times New Roman" w:eastAsia="Times New Roman" w:hAnsi="Times New Roman" w:cs="Times New Roman"/>
          <w:sz w:val="28"/>
          <w:szCs w:val="28"/>
          <w:lang w:eastAsia="ru-RU"/>
        </w:rPr>
        <w:t xml:space="preserve">«Лед надежды нашей», «Всероссийский фестиваль студенческого спорта </w:t>
      </w:r>
      <w:r w:rsidR="002D7CA8" w:rsidRPr="00FF13D6">
        <w:rPr>
          <w:rFonts w:ascii="Times New Roman" w:eastAsia="Times New Roman" w:hAnsi="Times New Roman" w:cs="Times New Roman"/>
          <w:sz w:val="28"/>
          <w:szCs w:val="28"/>
          <w:lang w:eastAsia="ru-RU"/>
        </w:rPr>
        <w:br/>
      </w:r>
      <w:r w:rsidRPr="00FF13D6">
        <w:rPr>
          <w:rFonts w:ascii="Times New Roman" w:eastAsia="Times New Roman" w:hAnsi="Times New Roman" w:cs="Times New Roman"/>
          <w:sz w:val="28"/>
          <w:szCs w:val="28"/>
          <w:lang w:eastAsia="ru-RU"/>
        </w:rPr>
        <w:t xml:space="preserve">«АССК. </w:t>
      </w:r>
      <w:proofErr w:type="spellStart"/>
      <w:r w:rsidRPr="00FF13D6">
        <w:rPr>
          <w:rFonts w:ascii="Times New Roman" w:eastAsia="Times New Roman" w:hAnsi="Times New Roman" w:cs="Times New Roman"/>
          <w:sz w:val="28"/>
          <w:szCs w:val="28"/>
          <w:lang w:eastAsia="ru-RU"/>
        </w:rPr>
        <w:t>Фест</w:t>
      </w:r>
      <w:proofErr w:type="spellEnd"/>
      <w:r w:rsidRPr="00FF13D6">
        <w:rPr>
          <w:rFonts w:ascii="Times New Roman" w:eastAsia="Times New Roman" w:hAnsi="Times New Roman" w:cs="Times New Roman"/>
          <w:sz w:val="28"/>
          <w:szCs w:val="28"/>
          <w:lang w:eastAsia="ru-RU"/>
        </w:rPr>
        <w:t xml:space="preserve"> 2021», Всероссийский студенческий фестиваль «Спортивная студенческая ночь», Международный день студенческого спорта и другие.</w:t>
      </w:r>
    </w:p>
    <w:p w14:paraId="7497C5D0" w14:textId="77777777" w:rsidR="004445BE"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Минспорт России принимает активное участие в развитии волонтерского движения, как одного из направлений по привлечению молодежи к активному здоровому образу жизни. На базе образовательных организаций созданы волонтерские объединения, в том числе волонтерский отряд «На старте», волонтерские</w:t>
      </w:r>
      <w:r w:rsidR="00EE2A0B" w:rsidRPr="00FF13D6">
        <w:rPr>
          <w:rFonts w:ascii="Times New Roman" w:eastAsia="Times New Roman" w:hAnsi="Times New Roman" w:cs="Times New Roman"/>
          <w:sz w:val="28"/>
          <w:szCs w:val="28"/>
          <w:lang w:eastAsia="ru-RU"/>
        </w:rPr>
        <w:t xml:space="preserve"> центры, волонтерское движение </w:t>
      </w:r>
      <w:r w:rsidRPr="00FF13D6">
        <w:rPr>
          <w:rFonts w:ascii="Times New Roman" w:eastAsia="Times New Roman" w:hAnsi="Times New Roman" w:cs="Times New Roman"/>
          <w:sz w:val="28"/>
          <w:szCs w:val="28"/>
          <w:lang w:eastAsia="ru-RU"/>
        </w:rPr>
        <w:t xml:space="preserve">им. Иннокентия </w:t>
      </w:r>
      <w:proofErr w:type="spellStart"/>
      <w:r w:rsidRPr="00FF13D6">
        <w:rPr>
          <w:rFonts w:ascii="Times New Roman" w:eastAsia="Times New Roman" w:hAnsi="Times New Roman" w:cs="Times New Roman"/>
          <w:sz w:val="28"/>
          <w:szCs w:val="28"/>
          <w:lang w:eastAsia="ru-RU"/>
        </w:rPr>
        <w:t>Сибирякова</w:t>
      </w:r>
      <w:proofErr w:type="spellEnd"/>
      <w:r w:rsidRPr="00FF13D6">
        <w:rPr>
          <w:rFonts w:ascii="Times New Roman" w:eastAsia="Times New Roman" w:hAnsi="Times New Roman" w:cs="Times New Roman"/>
          <w:sz w:val="28"/>
          <w:szCs w:val="28"/>
          <w:lang w:eastAsia="ru-RU"/>
        </w:rPr>
        <w:t>, волонтерский отряд «Форвард», ресурсный центр «Молодежь в движении – ЧГИФК» и другие.</w:t>
      </w:r>
    </w:p>
    <w:p w14:paraId="7D8CC527" w14:textId="77777777" w:rsidR="004445BE"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Волонтеры участвуют в организации и проведении массовых физку</w:t>
      </w:r>
      <w:r w:rsidR="004432C8" w:rsidRPr="00FF13D6">
        <w:rPr>
          <w:rFonts w:ascii="Times New Roman" w:eastAsia="Times New Roman" w:hAnsi="Times New Roman" w:cs="Times New Roman"/>
          <w:sz w:val="28"/>
          <w:szCs w:val="28"/>
          <w:lang w:eastAsia="ru-RU"/>
        </w:rPr>
        <w:t xml:space="preserve">льтурно- спортивных мероприятий, среди которых наиболее масштабные </w:t>
      </w:r>
      <w:r w:rsidRPr="00FF13D6">
        <w:rPr>
          <w:rFonts w:ascii="Times New Roman" w:eastAsia="Times New Roman" w:hAnsi="Times New Roman" w:cs="Times New Roman"/>
          <w:sz w:val="28"/>
          <w:szCs w:val="28"/>
          <w:lang w:eastAsia="ru-RU"/>
        </w:rPr>
        <w:t>мероприятия Всероссийского физкультурно-спортивного комплекса «Готов к труду и обороне» (ГТО)</w:t>
      </w:r>
      <w:r w:rsidR="004432C8" w:rsidRPr="00FF13D6">
        <w:rPr>
          <w:rFonts w:ascii="Times New Roman" w:eastAsia="Times New Roman" w:hAnsi="Times New Roman" w:cs="Times New Roman"/>
          <w:sz w:val="28"/>
          <w:szCs w:val="28"/>
          <w:lang w:eastAsia="ru-RU"/>
        </w:rPr>
        <w:t xml:space="preserve">, </w:t>
      </w:r>
      <w:r w:rsidRPr="00FF13D6">
        <w:rPr>
          <w:rFonts w:ascii="Times New Roman" w:eastAsia="Times New Roman" w:hAnsi="Times New Roman" w:cs="Times New Roman"/>
          <w:sz w:val="28"/>
          <w:szCs w:val="28"/>
          <w:lang w:eastAsia="ru-RU"/>
        </w:rPr>
        <w:t>«Кросс нации», «Лыжня Ро</w:t>
      </w:r>
      <w:r w:rsidR="00933D5B" w:rsidRPr="00FF13D6">
        <w:rPr>
          <w:rFonts w:ascii="Times New Roman" w:eastAsia="Times New Roman" w:hAnsi="Times New Roman" w:cs="Times New Roman"/>
          <w:sz w:val="28"/>
          <w:szCs w:val="28"/>
          <w:lang w:eastAsia="ru-RU"/>
        </w:rPr>
        <w:t xml:space="preserve">ссии», «Всемирный день ходьбы» </w:t>
      </w:r>
      <w:r w:rsidRPr="00FF13D6">
        <w:rPr>
          <w:rFonts w:ascii="Times New Roman" w:eastAsia="Times New Roman" w:hAnsi="Times New Roman" w:cs="Times New Roman"/>
          <w:sz w:val="28"/>
          <w:szCs w:val="28"/>
          <w:lang w:eastAsia="ru-RU"/>
        </w:rPr>
        <w:t>и другие.</w:t>
      </w:r>
    </w:p>
    <w:p w14:paraId="1C746E78" w14:textId="77777777" w:rsidR="004445BE"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 xml:space="preserve">Приказом </w:t>
      </w:r>
      <w:proofErr w:type="spellStart"/>
      <w:r w:rsidRPr="00FF13D6">
        <w:rPr>
          <w:rFonts w:ascii="Times New Roman" w:eastAsia="Times New Roman" w:hAnsi="Times New Roman" w:cs="Times New Roman"/>
          <w:sz w:val="28"/>
          <w:szCs w:val="28"/>
          <w:lang w:eastAsia="ru-RU"/>
        </w:rPr>
        <w:t>Минспорта</w:t>
      </w:r>
      <w:proofErr w:type="spellEnd"/>
      <w:r w:rsidRPr="00FF13D6">
        <w:rPr>
          <w:rFonts w:ascii="Times New Roman" w:eastAsia="Times New Roman" w:hAnsi="Times New Roman" w:cs="Times New Roman"/>
          <w:sz w:val="28"/>
          <w:szCs w:val="28"/>
          <w:lang w:eastAsia="ru-RU"/>
        </w:rPr>
        <w:t xml:space="preserve"> России от 27</w:t>
      </w:r>
      <w:r w:rsidR="004432C8" w:rsidRPr="00FF13D6">
        <w:rPr>
          <w:rFonts w:ascii="Times New Roman" w:eastAsia="Times New Roman" w:hAnsi="Times New Roman" w:cs="Times New Roman"/>
          <w:sz w:val="28"/>
          <w:szCs w:val="28"/>
          <w:lang w:eastAsia="ru-RU"/>
        </w:rPr>
        <w:t xml:space="preserve"> декабря </w:t>
      </w:r>
      <w:r w:rsidRPr="00FF13D6">
        <w:rPr>
          <w:rFonts w:ascii="Times New Roman" w:eastAsia="Times New Roman" w:hAnsi="Times New Roman" w:cs="Times New Roman"/>
          <w:sz w:val="28"/>
          <w:szCs w:val="28"/>
          <w:lang w:eastAsia="ru-RU"/>
        </w:rPr>
        <w:t>2021</w:t>
      </w:r>
      <w:r w:rsidR="004432C8" w:rsidRPr="00FF13D6">
        <w:rPr>
          <w:rFonts w:ascii="Times New Roman" w:eastAsia="Times New Roman" w:hAnsi="Times New Roman" w:cs="Times New Roman"/>
          <w:sz w:val="28"/>
          <w:szCs w:val="28"/>
          <w:lang w:eastAsia="ru-RU"/>
        </w:rPr>
        <w:t xml:space="preserve"> г.</w:t>
      </w:r>
      <w:r w:rsidRPr="00FF13D6">
        <w:rPr>
          <w:rFonts w:ascii="Times New Roman" w:eastAsia="Times New Roman" w:hAnsi="Times New Roman" w:cs="Times New Roman"/>
          <w:sz w:val="28"/>
          <w:szCs w:val="28"/>
          <w:lang w:eastAsia="ru-RU"/>
        </w:rPr>
        <w:t xml:space="preserve"> № 1062 утвержден комплекс мер по развитию </w:t>
      </w:r>
      <w:proofErr w:type="spellStart"/>
      <w:r w:rsidRPr="00FF13D6">
        <w:rPr>
          <w:rFonts w:ascii="Times New Roman" w:eastAsia="Times New Roman" w:hAnsi="Times New Roman" w:cs="Times New Roman"/>
          <w:sz w:val="28"/>
          <w:szCs w:val="28"/>
          <w:lang w:eastAsia="ru-RU"/>
        </w:rPr>
        <w:t>волонтерст</w:t>
      </w:r>
      <w:r w:rsidR="004432C8" w:rsidRPr="00FF13D6">
        <w:rPr>
          <w:rFonts w:ascii="Times New Roman" w:eastAsia="Times New Roman" w:hAnsi="Times New Roman" w:cs="Times New Roman"/>
          <w:sz w:val="28"/>
          <w:szCs w:val="28"/>
          <w:lang w:eastAsia="ru-RU"/>
        </w:rPr>
        <w:t>ва</w:t>
      </w:r>
      <w:proofErr w:type="spellEnd"/>
      <w:r w:rsidR="004432C8" w:rsidRPr="00FF13D6">
        <w:rPr>
          <w:rFonts w:ascii="Times New Roman" w:eastAsia="Times New Roman" w:hAnsi="Times New Roman" w:cs="Times New Roman"/>
          <w:sz w:val="28"/>
          <w:szCs w:val="28"/>
          <w:lang w:eastAsia="ru-RU"/>
        </w:rPr>
        <w:t xml:space="preserve"> в сфере физической культуры </w:t>
      </w:r>
      <w:r w:rsidRPr="00FF13D6">
        <w:rPr>
          <w:rFonts w:ascii="Times New Roman" w:eastAsia="Times New Roman" w:hAnsi="Times New Roman" w:cs="Times New Roman"/>
          <w:sz w:val="28"/>
          <w:szCs w:val="28"/>
          <w:lang w:eastAsia="ru-RU"/>
        </w:rPr>
        <w:t>и спорта, который направлен не то</w:t>
      </w:r>
      <w:r w:rsidR="004432C8" w:rsidRPr="00FF13D6">
        <w:rPr>
          <w:rFonts w:ascii="Times New Roman" w:eastAsia="Times New Roman" w:hAnsi="Times New Roman" w:cs="Times New Roman"/>
          <w:sz w:val="28"/>
          <w:szCs w:val="28"/>
          <w:lang w:eastAsia="ru-RU"/>
        </w:rPr>
        <w:t xml:space="preserve">лько на привлечение волонтеров </w:t>
      </w:r>
      <w:r w:rsidRPr="00FF13D6">
        <w:rPr>
          <w:rFonts w:ascii="Times New Roman" w:eastAsia="Times New Roman" w:hAnsi="Times New Roman" w:cs="Times New Roman"/>
          <w:sz w:val="28"/>
          <w:szCs w:val="28"/>
          <w:lang w:eastAsia="ru-RU"/>
        </w:rPr>
        <w:t>к организации масштабных массовых физкультурно-спортивных мероприятий и проектов, но и на развитие механизмов поддержки волонтерских проектов.</w:t>
      </w:r>
    </w:p>
    <w:p w14:paraId="39BEAA77" w14:textId="77777777" w:rsidR="004445BE"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Реализуемые Минспортом России программы и проекты позволяют ежегодно увеличивать долю граждан, систематически занимающихся физической культурой и спортом и ведущих здоровый активный образ жизни.</w:t>
      </w:r>
    </w:p>
    <w:p w14:paraId="629E6BE6" w14:textId="77777777" w:rsidR="004445BE" w:rsidRPr="00FF13D6" w:rsidRDefault="007055DE"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Особое внимание в редакционной политике р</w:t>
      </w:r>
      <w:r w:rsidR="00FA4744" w:rsidRPr="00FF13D6">
        <w:rPr>
          <w:rFonts w:ascii="Times New Roman" w:eastAsia="Times New Roman" w:hAnsi="Times New Roman" w:cs="Times New Roman"/>
          <w:sz w:val="28"/>
          <w:szCs w:val="28"/>
          <w:lang w:eastAsia="ru-RU"/>
        </w:rPr>
        <w:t>оссийски</w:t>
      </w:r>
      <w:r w:rsidRPr="00FF13D6">
        <w:rPr>
          <w:rFonts w:ascii="Times New Roman" w:eastAsia="Times New Roman" w:hAnsi="Times New Roman" w:cs="Times New Roman"/>
          <w:sz w:val="28"/>
          <w:szCs w:val="28"/>
          <w:lang w:eastAsia="ru-RU"/>
        </w:rPr>
        <w:t>х</w:t>
      </w:r>
      <w:r w:rsidR="00FA4744" w:rsidRPr="00FF13D6">
        <w:rPr>
          <w:rFonts w:ascii="Times New Roman" w:eastAsia="Times New Roman" w:hAnsi="Times New Roman" w:cs="Times New Roman"/>
          <w:sz w:val="28"/>
          <w:szCs w:val="28"/>
          <w:lang w:eastAsia="ru-RU"/>
        </w:rPr>
        <w:t xml:space="preserve"> государственны</w:t>
      </w:r>
      <w:r w:rsidRPr="00FF13D6">
        <w:rPr>
          <w:rFonts w:ascii="Times New Roman" w:eastAsia="Times New Roman" w:hAnsi="Times New Roman" w:cs="Times New Roman"/>
          <w:sz w:val="28"/>
          <w:szCs w:val="28"/>
          <w:lang w:eastAsia="ru-RU"/>
        </w:rPr>
        <w:t>х</w:t>
      </w:r>
      <w:r w:rsidR="00FA4744" w:rsidRPr="00FF13D6">
        <w:rPr>
          <w:rFonts w:ascii="Times New Roman" w:eastAsia="Times New Roman" w:hAnsi="Times New Roman" w:cs="Times New Roman"/>
          <w:sz w:val="28"/>
          <w:szCs w:val="28"/>
          <w:lang w:eastAsia="ru-RU"/>
        </w:rPr>
        <w:t xml:space="preserve"> и негосударственны</w:t>
      </w:r>
      <w:r w:rsidRPr="00FF13D6">
        <w:rPr>
          <w:rFonts w:ascii="Times New Roman" w:eastAsia="Times New Roman" w:hAnsi="Times New Roman" w:cs="Times New Roman"/>
          <w:sz w:val="28"/>
          <w:szCs w:val="28"/>
          <w:lang w:eastAsia="ru-RU"/>
        </w:rPr>
        <w:t>х</w:t>
      </w:r>
      <w:r w:rsidR="00FA4744" w:rsidRPr="00FF13D6">
        <w:rPr>
          <w:rFonts w:ascii="Times New Roman" w:eastAsia="Times New Roman" w:hAnsi="Times New Roman" w:cs="Times New Roman"/>
          <w:sz w:val="28"/>
          <w:szCs w:val="28"/>
          <w:lang w:eastAsia="ru-RU"/>
        </w:rPr>
        <w:t xml:space="preserve"> федеральны</w:t>
      </w:r>
      <w:r w:rsidRPr="00FF13D6">
        <w:rPr>
          <w:rFonts w:ascii="Times New Roman" w:eastAsia="Times New Roman" w:hAnsi="Times New Roman" w:cs="Times New Roman"/>
          <w:sz w:val="28"/>
          <w:szCs w:val="28"/>
          <w:lang w:eastAsia="ru-RU"/>
        </w:rPr>
        <w:t>х</w:t>
      </w:r>
      <w:r w:rsidR="00FA4744" w:rsidRPr="00FF13D6">
        <w:rPr>
          <w:rFonts w:ascii="Times New Roman" w:eastAsia="Times New Roman" w:hAnsi="Times New Roman" w:cs="Times New Roman"/>
          <w:sz w:val="28"/>
          <w:szCs w:val="28"/>
          <w:lang w:eastAsia="ru-RU"/>
        </w:rPr>
        <w:t>, региональны</w:t>
      </w:r>
      <w:r w:rsidRPr="00FF13D6">
        <w:rPr>
          <w:rFonts w:ascii="Times New Roman" w:eastAsia="Times New Roman" w:hAnsi="Times New Roman" w:cs="Times New Roman"/>
          <w:sz w:val="28"/>
          <w:szCs w:val="28"/>
          <w:lang w:eastAsia="ru-RU"/>
        </w:rPr>
        <w:t>х</w:t>
      </w:r>
      <w:r w:rsidR="00FA4744" w:rsidRPr="00FF13D6">
        <w:rPr>
          <w:rFonts w:ascii="Times New Roman" w:eastAsia="Times New Roman" w:hAnsi="Times New Roman" w:cs="Times New Roman"/>
          <w:sz w:val="28"/>
          <w:szCs w:val="28"/>
          <w:lang w:eastAsia="ru-RU"/>
        </w:rPr>
        <w:t xml:space="preserve"> и муниципальны</w:t>
      </w:r>
      <w:r w:rsidRPr="00FF13D6">
        <w:rPr>
          <w:rFonts w:ascii="Times New Roman" w:eastAsia="Times New Roman" w:hAnsi="Times New Roman" w:cs="Times New Roman"/>
          <w:sz w:val="28"/>
          <w:szCs w:val="28"/>
          <w:lang w:eastAsia="ru-RU"/>
        </w:rPr>
        <w:t>х средств</w:t>
      </w:r>
      <w:r w:rsidR="00FA4744" w:rsidRPr="00FF13D6">
        <w:rPr>
          <w:rFonts w:ascii="Times New Roman" w:eastAsia="Times New Roman" w:hAnsi="Times New Roman" w:cs="Times New Roman"/>
          <w:sz w:val="28"/>
          <w:szCs w:val="28"/>
          <w:lang w:eastAsia="ru-RU"/>
        </w:rPr>
        <w:t xml:space="preserve"> массовой информации, печатны</w:t>
      </w:r>
      <w:r w:rsidRPr="00FF13D6">
        <w:rPr>
          <w:rFonts w:ascii="Times New Roman" w:eastAsia="Times New Roman" w:hAnsi="Times New Roman" w:cs="Times New Roman"/>
          <w:sz w:val="28"/>
          <w:szCs w:val="28"/>
          <w:lang w:eastAsia="ru-RU"/>
        </w:rPr>
        <w:t>х</w:t>
      </w:r>
      <w:r w:rsidR="00FA4744" w:rsidRPr="00FF13D6">
        <w:rPr>
          <w:rFonts w:ascii="Times New Roman" w:eastAsia="Times New Roman" w:hAnsi="Times New Roman" w:cs="Times New Roman"/>
          <w:sz w:val="28"/>
          <w:szCs w:val="28"/>
          <w:lang w:eastAsia="ru-RU"/>
        </w:rPr>
        <w:t>, электронны</w:t>
      </w:r>
      <w:r w:rsidRPr="00FF13D6">
        <w:rPr>
          <w:rFonts w:ascii="Times New Roman" w:eastAsia="Times New Roman" w:hAnsi="Times New Roman" w:cs="Times New Roman"/>
          <w:sz w:val="28"/>
          <w:szCs w:val="28"/>
          <w:lang w:eastAsia="ru-RU"/>
        </w:rPr>
        <w:t>х</w:t>
      </w:r>
      <w:r w:rsidR="00FA4744" w:rsidRPr="00FF13D6">
        <w:rPr>
          <w:rFonts w:ascii="Times New Roman" w:eastAsia="Times New Roman" w:hAnsi="Times New Roman" w:cs="Times New Roman"/>
          <w:sz w:val="28"/>
          <w:szCs w:val="28"/>
          <w:lang w:eastAsia="ru-RU"/>
        </w:rPr>
        <w:t xml:space="preserve"> и сетевы</w:t>
      </w:r>
      <w:r w:rsidRPr="00FF13D6">
        <w:rPr>
          <w:rFonts w:ascii="Times New Roman" w:eastAsia="Times New Roman" w:hAnsi="Times New Roman" w:cs="Times New Roman"/>
          <w:sz w:val="28"/>
          <w:szCs w:val="28"/>
          <w:lang w:eastAsia="ru-RU"/>
        </w:rPr>
        <w:t>х</w:t>
      </w:r>
      <w:r w:rsidR="00FA4744" w:rsidRPr="00FF13D6">
        <w:rPr>
          <w:rFonts w:ascii="Times New Roman" w:eastAsia="Times New Roman" w:hAnsi="Times New Roman" w:cs="Times New Roman"/>
          <w:sz w:val="28"/>
          <w:szCs w:val="28"/>
          <w:lang w:eastAsia="ru-RU"/>
        </w:rPr>
        <w:t xml:space="preserve"> уделя</w:t>
      </w:r>
      <w:r w:rsidRPr="00FF13D6">
        <w:rPr>
          <w:rFonts w:ascii="Times New Roman" w:eastAsia="Times New Roman" w:hAnsi="Times New Roman" w:cs="Times New Roman"/>
          <w:sz w:val="28"/>
          <w:szCs w:val="28"/>
          <w:lang w:eastAsia="ru-RU"/>
        </w:rPr>
        <w:t>ется</w:t>
      </w:r>
      <w:r w:rsidR="00FA4744" w:rsidRPr="00FF13D6">
        <w:rPr>
          <w:rFonts w:ascii="Times New Roman" w:eastAsia="Times New Roman" w:hAnsi="Times New Roman" w:cs="Times New Roman"/>
          <w:sz w:val="28"/>
          <w:szCs w:val="28"/>
          <w:lang w:eastAsia="ru-RU"/>
        </w:rPr>
        <w:t xml:space="preserve"> вопросам, связанным с популяризацией физической культуры, массового спорта, здорового и трезвого обра</w:t>
      </w:r>
      <w:r w:rsidR="00B17B9D" w:rsidRPr="00FF13D6">
        <w:rPr>
          <w:rFonts w:ascii="Times New Roman" w:eastAsia="Times New Roman" w:hAnsi="Times New Roman" w:cs="Times New Roman"/>
          <w:sz w:val="28"/>
          <w:szCs w:val="28"/>
          <w:lang w:eastAsia="ru-RU"/>
        </w:rPr>
        <w:t>за жизни. В 2021 г</w:t>
      </w:r>
      <w:r w:rsidR="000824F7" w:rsidRPr="00FF13D6">
        <w:rPr>
          <w:rFonts w:ascii="Times New Roman" w:eastAsia="Times New Roman" w:hAnsi="Times New Roman" w:cs="Times New Roman"/>
          <w:sz w:val="28"/>
          <w:szCs w:val="28"/>
          <w:lang w:eastAsia="ru-RU"/>
        </w:rPr>
        <w:t>.</w:t>
      </w:r>
      <w:r w:rsidR="00B17B9D" w:rsidRPr="00FF13D6">
        <w:rPr>
          <w:rFonts w:ascii="Times New Roman" w:eastAsia="Times New Roman" w:hAnsi="Times New Roman" w:cs="Times New Roman"/>
          <w:sz w:val="28"/>
          <w:szCs w:val="28"/>
          <w:lang w:eastAsia="ru-RU"/>
        </w:rPr>
        <w:t xml:space="preserve"> по данной теме </w:t>
      </w:r>
      <w:r w:rsidR="00FA4744" w:rsidRPr="00FF13D6">
        <w:rPr>
          <w:rFonts w:ascii="Times New Roman" w:eastAsia="Times New Roman" w:hAnsi="Times New Roman" w:cs="Times New Roman"/>
          <w:sz w:val="28"/>
          <w:szCs w:val="28"/>
          <w:lang w:eastAsia="ru-RU"/>
        </w:rPr>
        <w:t>вышло более 100 тыс. материалов.</w:t>
      </w:r>
    </w:p>
    <w:p w14:paraId="6F4D2726" w14:textId="77777777" w:rsidR="003868E1"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bCs/>
          <w:sz w:val="28"/>
          <w:szCs w:val="28"/>
          <w:lang w:eastAsia="ru-RU"/>
        </w:rPr>
        <w:t xml:space="preserve">Среди них стоит отметить следующие: «Здоровье, экология, поддержка семей: «Путин посвятил послание-2021 внутренним вопросам» (НТВ); «Число россиян </w:t>
      </w:r>
      <w:r w:rsidR="00E8787F" w:rsidRPr="00FF13D6">
        <w:rPr>
          <w:rFonts w:ascii="Times New Roman" w:eastAsia="Times New Roman" w:hAnsi="Times New Roman" w:cs="Times New Roman"/>
          <w:bCs/>
          <w:sz w:val="28"/>
          <w:szCs w:val="28"/>
          <w:lang w:eastAsia="ru-RU"/>
        </w:rPr>
        <w:t>–</w:t>
      </w:r>
      <w:r w:rsidRPr="00FF13D6">
        <w:rPr>
          <w:rFonts w:ascii="Times New Roman" w:eastAsia="Times New Roman" w:hAnsi="Times New Roman" w:cs="Times New Roman"/>
          <w:bCs/>
          <w:sz w:val="28"/>
          <w:szCs w:val="28"/>
          <w:lang w:eastAsia="ru-RU"/>
        </w:rPr>
        <w:t xml:space="preserve"> приверженцев ЗОЖ увеличилось втрое» и «ВЦИОМ: в 2021 г</w:t>
      </w:r>
      <w:r w:rsidR="00A02DC4" w:rsidRPr="00FF13D6">
        <w:rPr>
          <w:rFonts w:ascii="Times New Roman" w:eastAsia="Times New Roman" w:hAnsi="Times New Roman" w:cs="Times New Roman"/>
          <w:bCs/>
          <w:sz w:val="28"/>
          <w:szCs w:val="28"/>
          <w:lang w:eastAsia="ru-RU"/>
        </w:rPr>
        <w:t>.</w:t>
      </w:r>
      <w:r w:rsidRPr="00FF13D6">
        <w:rPr>
          <w:rFonts w:ascii="Times New Roman" w:eastAsia="Times New Roman" w:hAnsi="Times New Roman" w:cs="Times New Roman"/>
          <w:bCs/>
          <w:sz w:val="28"/>
          <w:szCs w:val="28"/>
          <w:lang w:eastAsia="ru-RU"/>
        </w:rPr>
        <w:t xml:space="preserve"> россиян большего всего волновала тема охраны здоровья» (ИТАР-ТАСС); «В России названы наиболее приверженные здоровому образу жизни регионы», «Стартовал марафон ценностей здорового образа жизни «Поколение ZОЖ» и «Россияне оценили эффективность федерального проекта «Спорт </w:t>
      </w:r>
      <w:r w:rsidR="00E8787F" w:rsidRPr="00FF13D6">
        <w:rPr>
          <w:rFonts w:ascii="Times New Roman" w:eastAsia="Times New Roman" w:hAnsi="Times New Roman" w:cs="Times New Roman"/>
          <w:bCs/>
          <w:sz w:val="28"/>
          <w:szCs w:val="28"/>
          <w:lang w:eastAsia="ru-RU"/>
        </w:rPr>
        <w:t>–</w:t>
      </w:r>
      <w:r w:rsidRPr="00FF13D6">
        <w:rPr>
          <w:rFonts w:ascii="Times New Roman" w:eastAsia="Times New Roman" w:hAnsi="Times New Roman" w:cs="Times New Roman"/>
          <w:bCs/>
          <w:sz w:val="28"/>
          <w:szCs w:val="28"/>
          <w:lang w:eastAsia="ru-RU"/>
        </w:rPr>
        <w:t xml:space="preserve"> норма жизни» (Российская газета); «Здоровый образ жизни (ЗОЖ)» (РИА Новости); «В Госду</w:t>
      </w:r>
      <w:r w:rsidR="00E8787F" w:rsidRPr="00FF13D6">
        <w:rPr>
          <w:rFonts w:ascii="Times New Roman" w:eastAsia="Times New Roman" w:hAnsi="Times New Roman" w:cs="Times New Roman"/>
          <w:bCs/>
          <w:sz w:val="28"/>
          <w:szCs w:val="28"/>
          <w:lang w:eastAsia="ru-RU"/>
        </w:rPr>
        <w:t xml:space="preserve">ме поддержали введение Дня ЗОЖ </w:t>
      </w:r>
      <w:r w:rsidRPr="00FF13D6">
        <w:rPr>
          <w:rFonts w:ascii="Times New Roman" w:eastAsia="Times New Roman" w:hAnsi="Times New Roman" w:cs="Times New Roman"/>
          <w:bCs/>
          <w:sz w:val="28"/>
          <w:szCs w:val="28"/>
          <w:lang w:eastAsia="ru-RU"/>
        </w:rPr>
        <w:t>в России» (Известия); «В России должны быть созданы автономные условия для подготовки спортсменов» (Коммерсантъ); «</w:t>
      </w:r>
      <w:hyperlink r:id="rId14" w:history="1">
        <w:r w:rsidRPr="00FF13D6">
          <w:rPr>
            <w:rFonts w:ascii="Times New Roman" w:eastAsia="Times New Roman" w:hAnsi="Times New Roman" w:cs="Times New Roman"/>
            <w:bCs/>
            <w:sz w:val="28"/>
            <w:szCs w:val="28"/>
            <w:lang w:eastAsia="ru-RU"/>
          </w:rPr>
          <w:t>Технологии в помощь. Как можно бороться с курением?</w:t>
        </w:r>
      </w:hyperlink>
      <w:r w:rsidRPr="00FF13D6">
        <w:rPr>
          <w:rFonts w:ascii="Times New Roman" w:eastAsia="Times New Roman" w:hAnsi="Times New Roman" w:cs="Times New Roman"/>
          <w:bCs/>
          <w:sz w:val="28"/>
          <w:szCs w:val="28"/>
          <w:lang w:eastAsia="ru-RU"/>
        </w:rPr>
        <w:t xml:space="preserve">», «Тонус и хорошее настроение. Чем полезна скандинавская ходьба?», «Семейные турниры вместо </w:t>
      </w:r>
      <w:proofErr w:type="spellStart"/>
      <w:r w:rsidRPr="00FF13D6">
        <w:rPr>
          <w:rFonts w:ascii="Times New Roman" w:eastAsia="Times New Roman" w:hAnsi="Times New Roman" w:cs="Times New Roman"/>
          <w:bCs/>
          <w:sz w:val="28"/>
          <w:szCs w:val="28"/>
          <w:lang w:eastAsia="ru-RU"/>
        </w:rPr>
        <w:t>корпоратива</w:t>
      </w:r>
      <w:proofErr w:type="spellEnd"/>
      <w:r w:rsidRPr="00FF13D6">
        <w:rPr>
          <w:rFonts w:ascii="Times New Roman" w:eastAsia="Times New Roman" w:hAnsi="Times New Roman" w:cs="Times New Roman"/>
          <w:bCs/>
          <w:sz w:val="28"/>
          <w:szCs w:val="28"/>
          <w:lang w:eastAsia="ru-RU"/>
        </w:rPr>
        <w:t>. Как сделать любительский спорт нормой?», «В здоровом теле здоровый дух», «Оздоровимся! В стране стартуют мероприятия ко Дню здоровья» (Аргументы и Факты) и мн</w:t>
      </w:r>
      <w:r w:rsidR="00E42AE1" w:rsidRPr="00FF13D6">
        <w:rPr>
          <w:rFonts w:ascii="Times New Roman" w:eastAsia="Times New Roman" w:hAnsi="Times New Roman" w:cs="Times New Roman"/>
          <w:bCs/>
          <w:sz w:val="28"/>
          <w:szCs w:val="28"/>
          <w:lang w:eastAsia="ru-RU"/>
        </w:rPr>
        <w:t>огие</w:t>
      </w:r>
      <w:r w:rsidRPr="00FF13D6">
        <w:rPr>
          <w:rFonts w:ascii="Times New Roman" w:eastAsia="Times New Roman" w:hAnsi="Times New Roman" w:cs="Times New Roman"/>
          <w:bCs/>
          <w:sz w:val="28"/>
          <w:szCs w:val="28"/>
          <w:lang w:eastAsia="ru-RU"/>
        </w:rPr>
        <w:t xml:space="preserve"> др</w:t>
      </w:r>
      <w:r w:rsidR="00E42AE1" w:rsidRPr="00FF13D6">
        <w:rPr>
          <w:rFonts w:ascii="Times New Roman" w:eastAsia="Times New Roman" w:hAnsi="Times New Roman" w:cs="Times New Roman"/>
          <w:bCs/>
          <w:sz w:val="28"/>
          <w:szCs w:val="28"/>
          <w:lang w:eastAsia="ru-RU"/>
        </w:rPr>
        <w:t>угие</w:t>
      </w:r>
      <w:r w:rsidRPr="00FF13D6">
        <w:rPr>
          <w:rFonts w:ascii="Times New Roman" w:eastAsia="Times New Roman" w:hAnsi="Times New Roman" w:cs="Times New Roman"/>
          <w:bCs/>
          <w:sz w:val="28"/>
          <w:szCs w:val="28"/>
          <w:lang w:eastAsia="ru-RU"/>
        </w:rPr>
        <w:t>.</w:t>
      </w:r>
    </w:p>
    <w:p w14:paraId="3B29138D" w14:textId="7DE3C8FF" w:rsidR="004445BE"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bCs/>
          <w:sz w:val="28"/>
          <w:szCs w:val="28"/>
          <w:lang w:eastAsia="ru-RU"/>
        </w:rPr>
        <w:t>Необходимо отметить, что пандемия коронавирусной инфекции COVID-19 в 2021 г</w:t>
      </w:r>
      <w:r w:rsidR="000824F7" w:rsidRPr="00FF13D6">
        <w:rPr>
          <w:rFonts w:ascii="Times New Roman" w:eastAsia="Times New Roman" w:hAnsi="Times New Roman" w:cs="Times New Roman"/>
          <w:bCs/>
          <w:sz w:val="28"/>
          <w:szCs w:val="28"/>
          <w:lang w:eastAsia="ru-RU"/>
        </w:rPr>
        <w:t>.</w:t>
      </w:r>
      <w:r w:rsidRPr="00FF13D6">
        <w:rPr>
          <w:rFonts w:ascii="Times New Roman" w:eastAsia="Times New Roman" w:hAnsi="Times New Roman" w:cs="Times New Roman"/>
          <w:bCs/>
          <w:sz w:val="28"/>
          <w:szCs w:val="28"/>
          <w:lang w:eastAsia="ru-RU"/>
        </w:rPr>
        <w:t xml:space="preserve"> не послужила ограничительным фактором ведения здорового образа жизни, более того, усилила внимание взрослых и детей к своему здоровью. Пандемия стала катализатором стремительного развития цифровых технологий в сфере спорта и ведения здорового образа жизни. Дети и их родители все чаще стали пользоваться </w:t>
      </w:r>
      <w:proofErr w:type="spellStart"/>
      <w:r w:rsidRPr="00FF13D6">
        <w:rPr>
          <w:rFonts w:ascii="Times New Roman" w:eastAsia="Times New Roman" w:hAnsi="Times New Roman" w:cs="Times New Roman"/>
          <w:bCs/>
          <w:sz w:val="28"/>
          <w:szCs w:val="28"/>
          <w:lang w:eastAsia="ru-RU"/>
        </w:rPr>
        <w:t>трекерами</w:t>
      </w:r>
      <w:proofErr w:type="spellEnd"/>
      <w:r w:rsidRPr="00FF13D6">
        <w:rPr>
          <w:rFonts w:ascii="Times New Roman" w:eastAsia="Times New Roman" w:hAnsi="Times New Roman" w:cs="Times New Roman"/>
          <w:bCs/>
          <w:sz w:val="28"/>
          <w:szCs w:val="28"/>
          <w:lang w:eastAsia="ru-RU"/>
        </w:rPr>
        <w:t>, фитнес-браслетами, приложениями и различными носимыми устройствами, чтобы отслеживать состояние своего здоровья.</w:t>
      </w:r>
    </w:p>
    <w:p w14:paraId="31DFE2F6" w14:textId="77777777" w:rsidR="004445BE"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Минспорт России выступил инициатором специальной номинации «</w:t>
      </w:r>
      <w:proofErr w:type="spellStart"/>
      <w:r w:rsidRPr="00FF13D6">
        <w:rPr>
          <w:rFonts w:ascii="Times New Roman" w:eastAsia="Times New Roman" w:hAnsi="Times New Roman" w:cs="Times New Roman"/>
          <w:sz w:val="28"/>
          <w:szCs w:val="28"/>
          <w:lang w:eastAsia="ru-RU"/>
        </w:rPr>
        <w:t>ПроСпорт</w:t>
      </w:r>
      <w:proofErr w:type="spellEnd"/>
      <w:r w:rsidRPr="00FF13D6">
        <w:rPr>
          <w:rFonts w:ascii="Times New Roman" w:eastAsia="Times New Roman" w:hAnsi="Times New Roman" w:cs="Times New Roman"/>
          <w:sz w:val="28"/>
          <w:szCs w:val="28"/>
          <w:lang w:eastAsia="ru-RU"/>
        </w:rPr>
        <w:t>» в рамках премии «</w:t>
      </w:r>
      <w:proofErr w:type="spellStart"/>
      <w:r w:rsidRPr="00FF13D6">
        <w:rPr>
          <w:rFonts w:ascii="Times New Roman" w:eastAsia="Times New Roman" w:hAnsi="Times New Roman" w:cs="Times New Roman"/>
          <w:sz w:val="28"/>
          <w:szCs w:val="28"/>
          <w:lang w:eastAsia="ru-RU"/>
        </w:rPr>
        <w:t>ТопБлог</w:t>
      </w:r>
      <w:proofErr w:type="spellEnd"/>
      <w:r w:rsidRPr="00FF13D6">
        <w:rPr>
          <w:rFonts w:ascii="Times New Roman" w:eastAsia="Times New Roman" w:hAnsi="Times New Roman" w:cs="Times New Roman"/>
          <w:sz w:val="28"/>
          <w:szCs w:val="28"/>
          <w:lang w:eastAsia="ru-RU"/>
        </w:rPr>
        <w:t>» президентской платформы «Россия – страна возможностей». Премия «</w:t>
      </w:r>
      <w:proofErr w:type="spellStart"/>
      <w:r w:rsidRPr="00FF13D6">
        <w:rPr>
          <w:rFonts w:ascii="Times New Roman" w:eastAsia="Times New Roman" w:hAnsi="Times New Roman" w:cs="Times New Roman"/>
          <w:sz w:val="28"/>
          <w:szCs w:val="28"/>
          <w:lang w:eastAsia="ru-RU"/>
        </w:rPr>
        <w:t>ТопБЛОГ</w:t>
      </w:r>
      <w:proofErr w:type="spellEnd"/>
      <w:r w:rsidRPr="00FF13D6">
        <w:rPr>
          <w:rFonts w:ascii="Times New Roman" w:eastAsia="Times New Roman" w:hAnsi="Times New Roman" w:cs="Times New Roman"/>
          <w:sz w:val="28"/>
          <w:szCs w:val="28"/>
          <w:lang w:eastAsia="ru-RU"/>
        </w:rPr>
        <w:t>» является частью одноименного образовательного проекта, направленного на создание и развитие системы социальных лифтов в сфере новых медиа. Нас</w:t>
      </w:r>
      <w:r w:rsidR="00E8787F" w:rsidRPr="00FF13D6">
        <w:rPr>
          <w:rFonts w:ascii="Times New Roman" w:eastAsia="Times New Roman" w:hAnsi="Times New Roman" w:cs="Times New Roman"/>
          <w:sz w:val="28"/>
          <w:szCs w:val="28"/>
          <w:lang w:eastAsia="ru-RU"/>
        </w:rPr>
        <w:t xml:space="preserve">тавниками и экспертами конкурса </w:t>
      </w:r>
      <w:r w:rsidRPr="00FF13D6">
        <w:rPr>
          <w:rFonts w:ascii="Times New Roman" w:eastAsia="Times New Roman" w:hAnsi="Times New Roman" w:cs="Times New Roman"/>
          <w:sz w:val="28"/>
          <w:szCs w:val="28"/>
          <w:lang w:eastAsia="ru-RU"/>
        </w:rPr>
        <w:t>«</w:t>
      </w:r>
      <w:proofErr w:type="spellStart"/>
      <w:r w:rsidRPr="00FF13D6">
        <w:rPr>
          <w:rFonts w:ascii="Times New Roman" w:eastAsia="Times New Roman" w:hAnsi="Times New Roman" w:cs="Times New Roman"/>
          <w:sz w:val="28"/>
          <w:szCs w:val="28"/>
          <w:lang w:eastAsia="ru-RU"/>
        </w:rPr>
        <w:t>ТопБЛОГ</w:t>
      </w:r>
      <w:proofErr w:type="spellEnd"/>
      <w:r w:rsidRPr="00FF13D6">
        <w:rPr>
          <w:rFonts w:ascii="Times New Roman" w:eastAsia="Times New Roman" w:hAnsi="Times New Roman" w:cs="Times New Roman"/>
          <w:sz w:val="28"/>
          <w:szCs w:val="28"/>
          <w:lang w:eastAsia="ru-RU"/>
        </w:rPr>
        <w:t>» являются профе</w:t>
      </w:r>
      <w:r w:rsidR="00E8787F" w:rsidRPr="00FF13D6">
        <w:rPr>
          <w:rFonts w:ascii="Times New Roman" w:eastAsia="Times New Roman" w:hAnsi="Times New Roman" w:cs="Times New Roman"/>
          <w:sz w:val="28"/>
          <w:szCs w:val="28"/>
          <w:lang w:eastAsia="ru-RU"/>
        </w:rPr>
        <w:t xml:space="preserve">ссионалы в области продвижения </w:t>
      </w:r>
      <w:r w:rsidRPr="00FF13D6">
        <w:rPr>
          <w:rFonts w:ascii="Times New Roman" w:eastAsia="Times New Roman" w:hAnsi="Times New Roman" w:cs="Times New Roman"/>
          <w:sz w:val="28"/>
          <w:szCs w:val="28"/>
          <w:lang w:eastAsia="ru-RU"/>
        </w:rPr>
        <w:t xml:space="preserve">и создания контента, психологи, </w:t>
      </w:r>
      <w:proofErr w:type="spellStart"/>
      <w:r w:rsidRPr="00FF13D6">
        <w:rPr>
          <w:rFonts w:ascii="Times New Roman" w:eastAsia="Times New Roman" w:hAnsi="Times New Roman" w:cs="Times New Roman"/>
          <w:sz w:val="28"/>
          <w:szCs w:val="28"/>
          <w:lang w:eastAsia="ru-RU"/>
        </w:rPr>
        <w:t>блогеры-миллионники</w:t>
      </w:r>
      <w:proofErr w:type="spellEnd"/>
      <w:r w:rsidRPr="00FF13D6">
        <w:rPr>
          <w:rFonts w:ascii="Times New Roman" w:eastAsia="Times New Roman" w:hAnsi="Times New Roman" w:cs="Times New Roman"/>
          <w:sz w:val="28"/>
          <w:szCs w:val="28"/>
          <w:lang w:eastAsia="ru-RU"/>
        </w:rPr>
        <w:t>. Цель «</w:t>
      </w:r>
      <w:proofErr w:type="spellStart"/>
      <w:r w:rsidRPr="00FF13D6">
        <w:rPr>
          <w:rFonts w:ascii="Times New Roman" w:eastAsia="Times New Roman" w:hAnsi="Times New Roman" w:cs="Times New Roman"/>
          <w:sz w:val="28"/>
          <w:szCs w:val="28"/>
          <w:lang w:eastAsia="ru-RU"/>
        </w:rPr>
        <w:t>ПроСпорт</w:t>
      </w:r>
      <w:proofErr w:type="spellEnd"/>
      <w:r w:rsidRPr="00FF13D6">
        <w:rPr>
          <w:rFonts w:ascii="Times New Roman" w:eastAsia="Times New Roman" w:hAnsi="Times New Roman" w:cs="Times New Roman"/>
          <w:sz w:val="28"/>
          <w:szCs w:val="28"/>
          <w:lang w:eastAsia="ru-RU"/>
        </w:rPr>
        <w:t xml:space="preserve">» – формирование интереса к занятиям спортом не только через средства массовой информации, но и через социальные сети. Важно, чтобы в спорте появлялись свои </w:t>
      </w:r>
      <w:proofErr w:type="spellStart"/>
      <w:r w:rsidRPr="00FF13D6">
        <w:rPr>
          <w:rFonts w:ascii="Times New Roman" w:eastAsia="Times New Roman" w:hAnsi="Times New Roman" w:cs="Times New Roman"/>
          <w:sz w:val="28"/>
          <w:szCs w:val="28"/>
          <w:lang w:eastAsia="ru-RU"/>
        </w:rPr>
        <w:t>амбассадоры</w:t>
      </w:r>
      <w:proofErr w:type="spellEnd"/>
      <w:r w:rsidRPr="00FF13D6">
        <w:rPr>
          <w:rFonts w:ascii="Times New Roman" w:eastAsia="Times New Roman" w:hAnsi="Times New Roman" w:cs="Times New Roman"/>
          <w:sz w:val="28"/>
          <w:szCs w:val="28"/>
          <w:lang w:eastAsia="ru-RU"/>
        </w:rPr>
        <w:t>, которы</w:t>
      </w:r>
      <w:r w:rsidR="00E8787F" w:rsidRPr="00FF13D6">
        <w:rPr>
          <w:rFonts w:ascii="Times New Roman" w:eastAsia="Times New Roman" w:hAnsi="Times New Roman" w:cs="Times New Roman"/>
          <w:sz w:val="28"/>
          <w:szCs w:val="28"/>
          <w:lang w:eastAsia="ru-RU"/>
        </w:rPr>
        <w:t xml:space="preserve">е будут популяризировать спорт </w:t>
      </w:r>
      <w:r w:rsidRPr="00FF13D6">
        <w:rPr>
          <w:rFonts w:ascii="Times New Roman" w:eastAsia="Times New Roman" w:hAnsi="Times New Roman" w:cs="Times New Roman"/>
          <w:sz w:val="28"/>
          <w:szCs w:val="28"/>
          <w:lang w:eastAsia="ru-RU"/>
        </w:rPr>
        <w:t>и здоровый образ жизни. Номинантами премии смогут стать профессиональные спортсмены, спортивные журналисты и комментаторы, инструкторы, тренеры и болельщики.</w:t>
      </w:r>
    </w:p>
    <w:p w14:paraId="7512CFEE" w14:textId="77777777" w:rsidR="004445BE"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Times New Roman" w:hAnsi="Times New Roman" w:cs="Times New Roman"/>
          <w:sz w:val="28"/>
          <w:szCs w:val="28"/>
          <w:lang w:eastAsia="ru-RU"/>
        </w:rPr>
        <w:t>Мероприятия по пропаганде физической культуры и массового спорта, в том числе федерального проекта «Спорт – норма жизни», освещаются на таких телеканалах, как Первый канал, «Россия-1», «Россия-24», «Матч!», «Матч! Страна», Общественное телевидение России, 5 Канал, РЕН ТВ, НТВ, ТВ Центр, «Пятница», ТНТ, «</w:t>
      </w:r>
      <w:r w:rsidR="00E8787F" w:rsidRPr="00FF13D6">
        <w:rPr>
          <w:rFonts w:ascii="Times New Roman" w:eastAsia="Times New Roman" w:hAnsi="Times New Roman" w:cs="Times New Roman"/>
          <w:sz w:val="28"/>
          <w:szCs w:val="28"/>
          <w:lang w:eastAsia="ru-RU"/>
        </w:rPr>
        <w:t>Домашний», ТВ3; газетах «Спорт-</w:t>
      </w:r>
      <w:r w:rsidRPr="00FF13D6">
        <w:rPr>
          <w:rFonts w:ascii="Times New Roman" w:eastAsia="Times New Roman" w:hAnsi="Times New Roman" w:cs="Times New Roman"/>
          <w:sz w:val="28"/>
          <w:szCs w:val="28"/>
          <w:lang w:eastAsia="ru-RU"/>
        </w:rPr>
        <w:t>Экспресс» и «Советский спорт».</w:t>
      </w:r>
    </w:p>
    <w:p w14:paraId="6DBFD21F" w14:textId="77777777" w:rsidR="004445BE" w:rsidRPr="00FF13D6" w:rsidRDefault="00FA4744" w:rsidP="006C4843">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Calibri" w:hAnsi="Times New Roman" w:cs="Times New Roman"/>
          <w:iCs/>
          <w:sz w:val="28"/>
          <w:szCs w:val="28"/>
          <w:lang w:eastAsia="ru-RU"/>
        </w:rPr>
        <w:t>В 2021 г</w:t>
      </w:r>
      <w:r w:rsidR="000824F7" w:rsidRPr="00FF13D6">
        <w:rPr>
          <w:rFonts w:ascii="Times New Roman" w:eastAsia="Calibri" w:hAnsi="Times New Roman" w:cs="Times New Roman"/>
          <w:iCs/>
          <w:sz w:val="28"/>
          <w:szCs w:val="28"/>
          <w:lang w:eastAsia="ru-RU"/>
        </w:rPr>
        <w:t>.</w:t>
      </w:r>
      <w:r w:rsidRPr="00FF13D6">
        <w:rPr>
          <w:rFonts w:ascii="Times New Roman" w:eastAsia="Calibri" w:hAnsi="Times New Roman" w:cs="Times New Roman"/>
          <w:iCs/>
          <w:sz w:val="28"/>
          <w:szCs w:val="28"/>
          <w:lang w:eastAsia="ru-RU"/>
        </w:rPr>
        <w:t xml:space="preserve"> Минцифры России было продолжено оказание государственной поддержки организациям, осуществляющим производство (выпуск), распространение и (или) тиражирование социально значимых проектов в области электронных и печатных средств массовой информации, посвященных про</w:t>
      </w:r>
      <w:r w:rsidR="00A52FB9" w:rsidRPr="00FF13D6">
        <w:rPr>
          <w:rFonts w:ascii="Times New Roman" w:eastAsia="Calibri" w:hAnsi="Times New Roman" w:cs="Times New Roman"/>
          <w:iCs/>
          <w:sz w:val="28"/>
          <w:szCs w:val="28"/>
          <w:lang w:eastAsia="ru-RU"/>
        </w:rPr>
        <w:t xml:space="preserve">паганде здорового образа жизни. </w:t>
      </w:r>
      <w:r w:rsidRPr="00FF13D6">
        <w:rPr>
          <w:rFonts w:ascii="Times New Roman" w:eastAsia="Calibri" w:hAnsi="Times New Roman" w:cs="Times New Roman"/>
          <w:iCs/>
          <w:sz w:val="28"/>
          <w:szCs w:val="28"/>
          <w:lang w:eastAsia="ru-RU"/>
        </w:rPr>
        <w:t xml:space="preserve">Так, государственную поддержку получили 149 проектов по данной тематике, реализуемых в периодических печатных СМИ, на общую сумму более 50,6 млн рублей. </w:t>
      </w:r>
    </w:p>
    <w:p w14:paraId="59C378C4" w14:textId="77777777" w:rsidR="00FF13D6" w:rsidRDefault="00FA4744" w:rsidP="00FF13D6">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Calibri" w:hAnsi="Times New Roman" w:cs="Times New Roman"/>
          <w:iCs/>
          <w:sz w:val="28"/>
          <w:szCs w:val="28"/>
          <w:lang w:eastAsia="ru-RU"/>
        </w:rPr>
        <w:t>Среди них: проект «Будь здоров и занимайся спортом!» (журнал «</w:t>
      </w:r>
      <w:proofErr w:type="spellStart"/>
      <w:r w:rsidRPr="00FF13D6">
        <w:rPr>
          <w:rFonts w:ascii="Times New Roman" w:eastAsia="Calibri" w:hAnsi="Times New Roman" w:cs="Times New Roman"/>
          <w:iCs/>
          <w:sz w:val="28"/>
          <w:szCs w:val="28"/>
          <w:lang w:eastAsia="ru-RU"/>
        </w:rPr>
        <w:t>Лунтик</w:t>
      </w:r>
      <w:proofErr w:type="spellEnd"/>
      <w:r w:rsidRPr="00FF13D6">
        <w:rPr>
          <w:rFonts w:ascii="Times New Roman" w:eastAsia="Calibri" w:hAnsi="Times New Roman" w:cs="Times New Roman"/>
          <w:iCs/>
          <w:sz w:val="28"/>
          <w:szCs w:val="28"/>
          <w:lang w:eastAsia="ru-RU"/>
        </w:rPr>
        <w:t xml:space="preserve">», </w:t>
      </w:r>
      <w:r w:rsidR="00E8787F" w:rsidRPr="00FF13D6">
        <w:rPr>
          <w:rFonts w:ascii="Times New Roman" w:eastAsia="Calibri" w:hAnsi="Times New Roman" w:cs="Times New Roman"/>
          <w:iCs/>
          <w:sz w:val="28"/>
          <w:szCs w:val="28"/>
          <w:lang w:eastAsia="ru-RU"/>
        </w:rPr>
        <w:br/>
      </w:r>
      <w:r w:rsidRPr="00FF13D6">
        <w:rPr>
          <w:rFonts w:ascii="Times New Roman" w:eastAsia="Calibri" w:hAnsi="Times New Roman" w:cs="Times New Roman"/>
          <w:iCs/>
          <w:sz w:val="28"/>
          <w:szCs w:val="28"/>
          <w:lang w:eastAsia="ru-RU"/>
        </w:rPr>
        <w:t>г. Москва); проект «Велосипед как часть здорового образа жизни» (журнал «</w:t>
      </w:r>
      <w:proofErr w:type="spellStart"/>
      <w:r w:rsidRPr="00FF13D6">
        <w:rPr>
          <w:rFonts w:ascii="Times New Roman" w:eastAsia="Calibri" w:hAnsi="Times New Roman" w:cs="Times New Roman"/>
          <w:iCs/>
          <w:sz w:val="28"/>
          <w:szCs w:val="28"/>
          <w:lang w:eastAsia="ru-RU"/>
        </w:rPr>
        <w:t>Смешарики</w:t>
      </w:r>
      <w:proofErr w:type="spellEnd"/>
      <w:r w:rsidRPr="00FF13D6">
        <w:rPr>
          <w:rFonts w:ascii="Times New Roman" w:eastAsia="Calibri" w:hAnsi="Times New Roman" w:cs="Times New Roman"/>
          <w:iCs/>
          <w:sz w:val="28"/>
          <w:szCs w:val="28"/>
          <w:lang w:eastAsia="ru-RU"/>
        </w:rPr>
        <w:t>», г. Москва); проект «Любопытный градусник» (газета «</w:t>
      </w:r>
      <w:proofErr w:type="spellStart"/>
      <w:r w:rsidRPr="00FF13D6">
        <w:rPr>
          <w:rFonts w:ascii="Times New Roman" w:eastAsia="Calibri" w:hAnsi="Times New Roman" w:cs="Times New Roman"/>
          <w:iCs/>
          <w:sz w:val="28"/>
          <w:szCs w:val="28"/>
          <w:lang w:eastAsia="ru-RU"/>
        </w:rPr>
        <w:t>Ставроша</w:t>
      </w:r>
      <w:proofErr w:type="spellEnd"/>
      <w:r w:rsidRPr="00FF13D6">
        <w:rPr>
          <w:rFonts w:ascii="Times New Roman" w:eastAsia="Calibri" w:hAnsi="Times New Roman" w:cs="Times New Roman"/>
          <w:iCs/>
          <w:sz w:val="28"/>
          <w:szCs w:val="28"/>
          <w:lang w:eastAsia="ru-RU"/>
        </w:rPr>
        <w:t>», Самарская область) и мн</w:t>
      </w:r>
      <w:r w:rsidR="00A52FB9" w:rsidRPr="00FF13D6">
        <w:rPr>
          <w:rFonts w:ascii="Times New Roman" w:eastAsia="Calibri" w:hAnsi="Times New Roman" w:cs="Times New Roman"/>
          <w:iCs/>
          <w:sz w:val="28"/>
          <w:szCs w:val="28"/>
          <w:lang w:eastAsia="ru-RU"/>
        </w:rPr>
        <w:t>огие</w:t>
      </w:r>
      <w:r w:rsidRPr="00FF13D6">
        <w:rPr>
          <w:rFonts w:ascii="Times New Roman" w:eastAsia="Calibri" w:hAnsi="Times New Roman" w:cs="Times New Roman"/>
          <w:iCs/>
          <w:sz w:val="28"/>
          <w:szCs w:val="28"/>
          <w:lang w:eastAsia="ru-RU"/>
        </w:rPr>
        <w:t xml:space="preserve"> др</w:t>
      </w:r>
      <w:r w:rsidR="00A52FB9" w:rsidRPr="00FF13D6">
        <w:rPr>
          <w:rFonts w:ascii="Times New Roman" w:eastAsia="Calibri" w:hAnsi="Times New Roman" w:cs="Times New Roman"/>
          <w:iCs/>
          <w:sz w:val="28"/>
          <w:szCs w:val="28"/>
          <w:lang w:eastAsia="ru-RU"/>
        </w:rPr>
        <w:t>угие</w:t>
      </w:r>
      <w:r w:rsidRPr="00FF13D6">
        <w:rPr>
          <w:rFonts w:ascii="Times New Roman" w:eastAsia="Calibri" w:hAnsi="Times New Roman" w:cs="Times New Roman"/>
          <w:iCs/>
          <w:sz w:val="28"/>
          <w:szCs w:val="28"/>
        </w:rPr>
        <w:t>.</w:t>
      </w:r>
    </w:p>
    <w:p w14:paraId="430748E3" w14:textId="3AFCEF8A" w:rsidR="00FF13D6" w:rsidRDefault="00E8787F" w:rsidP="00FF13D6">
      <w:pPr>
        <w:pBdr>
          <w:bottom w:val="single" w:sz="6" w:space="6" w:color="FFFFFF"/>
        </w:pBd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FF13D6">
        <w:rPr>
          <w:rFonts w:ascii="Times New Roman" w:eastAsia="Calibri" w:hAnsi="Times New Roman" w:cs="Times New Roman"/>
          <w:iCs/>
          <w:sz w:val="28"/>
          <w:szCs w:val="28"/>
          <w:lang w:eastAsia="ru-RU"/>
        </w:rPr>
        <w:t>Также б</w:t>
      </w:r>
      <w:r w:rsidR="00FA4744" w:rsidRPr="00FF13D6">
        <w:rPr>
          <w:rFonts w:ascii="Times New Roman" w:eastAsia="Calibri" w:hAnsi="Times New Roman" w:cs="Times New Roman"/>
          <w:iCs/>
          <w:sz w:val="28"/>
          <w:szCs w:val="28"/>
          <w:lang w:eastAsia="ru-RU"/>
        </w:rPr>
        <w:t>ыло поддержано 12 проектов в области электронных СМИ, направленных на пропаганду здорового образа жизни и спорта, на общую сумму более 9,8 млн</w:t>
      </w:r>
      <w:r w:rsidRPr="00FF13D6">
        <w:rPr>
          <w:rFonts w:ascii="Times New Roman" w:eastAsia="Calibri" w:hAnsi="Times New Roman" w:cs="Times New Roman"/>
          <w:iCs/>
          <w:sz w:val="28"/>
          <w:szCs w:val="28"/>
          <w:lang w:eastAsia="ru-RU"/>
        </w:rPr>
        <w:t xml:space="preserve"> рублей. </w:t>
      </w:r>
      <w:r w:rsidR="00FA4744" w:rsidRPr="00FF13D6">
        <w:rPr>
          <w:rFonts w:ascii="Times New Roman" w:eastAsia="Calibri" w:hAnsi="Times New Roman" w:cs="Times New Roman"/>
          <w:iCs/>
          <w:sz w:val="28"/>
          <w:szCs w:val="28"/>
          <w:lang w:eastAsia="ru-RU"/>
        </w:rPr>
        <w:t>Поддержку получили телепрограммы «Спортивные люди» («</w:t>
      </w:r>
      <w:r w:rsidR="00FA4744" w:rsidRPr="00FF13D6">
        <w:rPr>
          <w:rFonts w:ascii="Times New Roman" w:eastAsia="Calibri" w:hAnsi="Times New Roman" w:cs="Times New Roman"/>
          <w:sz w:val="28"/>
          <w:szCs w:val="28"/>
          <w:lang w:eastAsia="ru-RU"/>
        </w:rPr>
        <w:t>Телерадиокомпания «Наш дом</w:t>
      </w:r>
      <w:r w:rsidR="00FA4744" w:rsidRPr="00FF13D6">
        <w:rPr>
          <w:rFonts w:ascii="Times New Roman" w:eastAsia="Calibri" w:hAnsi="Times New Roman" w:cs="Times New Roman"/>
          <w:iCs/>
          <w:sz w:val="28"/>
          <w:szCs w:val="28"/>
          <w:lang w:eastAsia="ru-RU"/>
        </w:rPr>
        <w:t>», г. Пенза</w:t>
      </w:r>
      <w:r w:rsidRPr="00FF13D6">
        <w:rPr>
          <w:rFonts w:ascii="Times New Roman" w:eastAsia="Calibri" w:hAnsi="Times New Roman" w:cs="Times New Roman"/>
          <w:iCs/>
          <w:sz w:val="28"/>
          <w:szCs w:val="28"/>
          <w:lang w:eastAsia="ru-RU"/>
        </w:rPr>
        <w:t xml:space="preserve">); «Здоровая семья: мама, папа </w:t>
      </w:r>
      <w:r w:rsidR="00FA4744" w:rsidRPr="00FF13D6">
        <w:rPr>
          <w:rFonts w:ascii="Times New Roman" w:eastAsia="Calibri" w:hAnsi="Times New Roman" w:cs="Times New Roman"/>
          <w:iCs/>
          <w:sz w:val="28"/>
          <w:szCs w:val="28"/>
          <w:lang w:eastAsia="ru-RU"/>
        </w:rPr>
        <w:t xml:space="preserve">и я» и «Если хочешь быть здоровым…» («Творческое объединение «АРТИМА», г. Казань); </w:t>
      </w:r>
      <w:r w:rsidR="005360FA" w:rsidRPr="00FF13D6">
        <w:rPr>
          <w:rFonts w:ascii="Times New Roman" w:eastAsia="Calibri" w:hAnsi="Times New Roman" w:cs="Times New Roman"/>
          <w:iCs/>
          <w:sz w:val="28"/>
          <w:szCs w:val="28"/>
          <w:lang w:eastAsia="ru-RU"/>
        </w:rPr>
        <w:br/>
      </w:r>
      <w:r w:rsidR="00FA4744" w:rsidRPr="00FF13D6">
        <w:rPr>
          <w:rFonts w:ascii="Times New Roman" w:eastAsia="Calibri" w:hAnsi="Times New Roman" w:cs="Times New Roman"/>
          <w:iCs/>
          <w:sz w:val="28"/>
          <w:szCs w:val="28"/>
          <w:lang w:eastAsia="ru-RU"/>
        </w:rPr>
        <w:t>«</w:t>
      </w:r>
      <w:r w:rsidR="00FA4744" w:rsidRPr="00FF13D6">
        <w:rPr>
          <w:rFonts w:ascii="Times New Roman" w:eastAsia="Calibri" w:hAnsi="Times New Roman" w:cs="Times New Roman"/>
          <w:iCs/>
          <w:sz w:val="28"/>
          <w:szCs w:val="28"/>
          <w:lang w:val="en-US" w:eastAsia="ru-RU"/>
        </w:rPr>
        <w:t>PRO</w:t>
      </w:r>
      <w:r w:rsidR="00FA4744" w:rsidRPr="00FF13D6">
        <w:rPr>
          <w:rFonts w:ascii="Times New Roman" w:eastAsia="Calibri" w:hAnsi="Times New Roman" w:cs="Times New Roman"/>
          <w:iCs/>
          <w:sz w:val="28"/>
          <w:szCs w:val="28"/>
          <w:lang w:eastAsia="ru-RU"/>
        </w:rPr>
        <w:t>-спорт» («ТАТМЕДИА», г. Казань); «Молодежь против наркотиков» («Сама</w:t>
      </w:r>
      <w:r w:rsidRPr="00FF13D6">
        <w:rPr>
          <w:rFonts w:ascii="Times New Roman" w:eastAsia="Calibri" w:hAnsi="Times New Roman" w:cs="Times New Roman"/>
          <w:iCs/>
          <w:sz w:val="28"/>
          <w:szCs w:val="28"/>
          <w:lang w:eastAsia="ru-RU"/>
        </w:rPr>
        <w:t xml:space="preserve">рский Деловой Клуб» г. Самара) </w:t>
      </w:r>
      <w:r w:rsidR="00FA4744" w:rsidRPr="00FF13D6">
        <w:rPr>
          <w:rFonts w:ascii="Times New Roman" w:eastAsia="Calibri" w:hAnsi="Times New Roman" w:cs="Times New Roman"/>
          <w:iCs/>
          <w:sz w:val="28"/>
          <w:szCs w:val="28"/>
          <w:lang w:eastAsia="ru-RU"/>
        </w:rPr>
        <w:t>и мн</w:t>
      </w:r>
      <w:r w:rsidR="00A52FB9" w:rsidRPr="00FF13D6">
        <w:rPr>
          <w:rFonts w:ascii="Times New Roman" w:eastAsia="Calibri" w:hAnsi="Times New Roman" w:cs="Times New Roman"/>
          <w:iCs/>
          <w:sz w:val="28"/>
          <w:szCs w:val="28"/>
          <w:lang w:eastAsia="ru-RU"/>
        </w:rPr>
        <w:t>огие</w:t>
      </w:r>
      <w:r w:rsidR="00FA4744" w:rsidRPr="00FF13D6">
        <w:rPr>
          <w:rFonts w:ascii="Times New Roman" w:eastAsia="Calibri" w:hAnsi="Times New Roman" w:cs="Times New Roman"/>
          <w:iCs/>
          <w:sz w:val="28"/>
          <w:szCs w:val="28"/>
          <w:lang w:eastAsia="ru-RU"/>
        </w:rPr>
        <w:t xml:space="preserve"> др</w:t>
      </w:r>
      <w:r w:rsidR="00A52FB9" w:rsidRPr="00FF13D6">
        <w:rPr>
          <w:rFonts w:ascii="Times New Roman" w:eastAsia="Calibri" w:hAnsi="Times New Roman" w:cs="Times New Roman"/>
          <w:iCs/>
          <w:sz w:val="28"/>
          <w:szCs w:val="28"/>
          <w:lang w:eastAsia="ru-RU"/>
        </w:rPr>
        <w:t>угие</w:t>
      </w:r>
      <w:r w:rsidR="00FA4744" w:rsidRPr="00FF13D6">
        <w:rPr>
          <w:rFonts w:ascii="Times New Roman" w:eastAsia="Calibri" w:hAnsi="Times New Roman" w:cs="Times New Roman"/>
          <w:iCs/>
          <w:sz w:val="28"/>
          <w:szCs w:val="28"/>
          <w:lang w:eastAsia="ru-RU"/>
        </w:rPr>
        <w:t>.</w:t>
      </w:r>
    </w:p>
    <w:p w14:paraId="7D986A87" w14:textId="59183C54" w:rsidR="00FA4744" w:rsidRPr="00FF13D6" w:rsidRDefault="00FA4744" w:rsidP="00FF13D6">
      <w:pPr>
        <w:pBdr>
          <w:bottom w:val="single" w:sz="6" w:space="6" w:color="FFFFFF"/>
        </w:pBd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FA4744">
        <w:rPr>
          <w:rFonts w:ascii="Times New Roman" w:eastAsia="Times New Roman" w:hAnsi="Times New Roman" w:cs="Times New Roman"/>
          <w:i/>
          <w:sz w:val="28"/>
          <w:szCs w:val="28"/>
        </w:rPr>
        <w:t>Научные разработки,</w:t>
      </w:r>
    </w:p>
    <w:p w14:paraId="3CEC4946" w14:textId="77777777" w:rsidR="006C4843" w:rsidRDefault="00FA4744" w:rsidP="00FF13D6">
      <w:pPr>
        <w:widowControl w:val="0"/>
        <w:tabs>
          <w:tab w:val="left" w:pos="375"/>
          <w:tab w:val="left" w:pos="4290"/>
        </w:tabs>
        <w:spacing w:after="0" w:line="240" w:lineRule="auto"/>
        <w:jc w:val="center"/>
        <w:rPr>
          <w:rFonts w:ascii="Times New Roman" w:eastAsia="Times New Roman" w:hAnsi="Times New Roman" w:cs="Times New Roman"/>
          <w:i/>
          <w:sz w:val="28"/>
          <w:szCs w:val="28"/>
        </w:rPr>
      </w:pPr>
      <w:r w:rsidRPr="00FA4744">
        <w:rPr>
          <w:rFonts w:ascii="Times New Roman" w:eastAsia="Times New Roman" w:hAnsi="Times New Roman" w:cs="Times New Roman"/>
          <w:i/>
          <w:sz w:val="28"/>
          <w:szCs w:val="28"/>
        </w:rPr>
        <w:t>направленные на улучшение состояния здоровья детей</w:t>
      </w:r>
    </w:p>
    <w:p w14:paraId="1D005543" w14:textId="4FC3C4D1" w:rsidR="00FA4744" w:rsidRPr="006C4843" w:rsidRDefault="00FA4744" w:rsidP="006C4843">
      <w:pPr>
        <w:widowControl w:val="0"/>
        <w:tabs>
          <w:tab w:val="left" w:pos="375"/>
          <w:tab w:val="left" w:pos="4290"/>
        </w:tabs>
        <w:spacing w:before="120" w:after="0" w:line="312" w:lineRule="auto"/>
        <w:ind w:firstLine="709"/>
        <w:jc w:val="both"/>
        <w:rPr>
          <w:rFonts w:ascii="Times New Roman" w:eastAsia="Times New Roman" w:hAnsi="Times New Roman" w:cs="Times New Roman"/>
          <w:i/>
          <w:sz w:val="28"/>
          <w:szCs w:val="28"/>
        </w:rPr>
      </w:pPr>
      <w:r w:rsidRPr="00FA4744">
        <w:rPr>
          <w:rFonts w:ascii="Times New Roman" w:eastAsia="Calibri" w:hAnsi="Times New Roman" w:cs="Times New Roman"/>
          <w:sz w:val="28"/>
          <w:szCs w:val="28"/>
        </w:rPr>
        <w:t>В рамках государственного задания на выполнение научных исследований и разработок в 2021 г</w:t>
      </w:r>
      <w:r w:rsidR="00A07FC3">
        <w:rPr>
          <w:rFonts w:ascii="Times New Roman" w:eastAsia="Calibri" w:hAnsi="Times New Roman" w:cs="Times New Roman"/>
          <w:sz w:val="28"/>
          <w:szCs w:val="28"/>
        </w:rPr>
        <w:t>.</w:t>
      </w:r>
      <w:r w:rsidRPr="00FA4744">
        <w:rPr>
          <w:rFonts w:ascii="Times New Roman" w:eastAsia="Calibri" w:hAnsi="Times New Roman" w:cs="Times New Roman"/>
          <w:sz w:val="28"/>
          <w:szCs w:val="28"/>
        </w:rPr>
        <w:t xml:space="preserve"> подведомственными Минздраву России научными организациями и образовательными организациями высшего образования выполнялись 125 научно-исследовательских проектов в области педиатрии. Безусловными лидерами в этой области являются ФГАУ «НМИЦ здоровья детей» Минздрава России, ФГБУ «НМИЦ АГП им. В.И. Кулакова» Минздрава России, ФГБУ «Ив НИИ </w:t>
      </w:r>
      <w:proofErr w:type="spellStart"/>
      <w:r w:rsidRPr="00FA4744">
        <w:rPr>
          <w:rFonts w:ascii="Times New Roman" w:eastAsia="Calibri" w:hAnsi="Times New Roman" w:cs="Times New Roman"/>
          <w:sz w:val="28"/>
          <w:szCs w:val="28"/>
        </w:rPr>
        <w:t>МиД</w:t>
      </w:r>
      <w:proofErr w:type="spellEnd"/>
      <w:r w:rsidRPr="00FA4744">
        <w:rPr>
          <w:rFonts w:ascii="Times New Roman" w:eastAsia="Calibri" w:hAnsi="Times New Roman" w:cs="Times New Roman"/>
          <w:sz w:val="28"/>
          <w:szCs w:val="28"/>
        </w:rPr>
        <w:t xml:space="preserve"> им. В.Н. </w:t>
      </w:r>
      <w:proofErr w:type="spellStart"/>
      <w:r w:rsidRPr="00FA4744">
        <w:rPr>
          <w:rFonts w:ascii="Times New Roman" w:eastAsia="Calibri" w:hAnsi="Times New Roman" w:cs="Times New Roman"/>
          <w:sz w:val="28"/>
          <w:szCs w:val="28"/>
        </w:rPr>
        <w:t>Городкова</w:t>
      </w:r>
      <w:proofErr w:type="spellEnd"/>
      <w:r w:rsidRPr="00FA4744">
        <w:rPr>
          <w:rFonts w:ascii="Times New Roman" w:eastAsia="Calibri" w:hAnsi="Times New Roman" w:cs="Times New Roman"/>
          <w:sz w:val="28"/>
          <w:szCs w:val="28"/>
        </w:rPr>
        <w:t>» Минздрава России, ФГБУ «НИИ ОММ» Минздрава России</w:t>
      </w:r>
      <w:r w:rsidR="00E8787F">
        <w:rPr>
          <w:rFonts w:ascii="Times New Roman" w:eastAsia="Calibri" w:hAnsi="Times New Roman" w:cs="Times New Roman"/>
          <w:sz w:val="28"/>
          <w:szCs w:val="28"/>
        </w:rPr>
        <w:t>,</w:t>
      </w:r>
      <w:r w:rsidRPr="00FA4744">
        <w:rPr>
          <w:rFonts w:ascii="Times New Roman" w:eastAsia="Calibri" w:hAnsi="Times New Roman" w:cs="Times New Roman"/>
          <w:sz w:val="28"/>
          <w:szCs w:val="28"/>
        </w:rPr>
        <w:t xml:space="preserve"> на долю которых приходится около половины всех педиатрических исследований, выполняемых подведомственными Минздраву России учреждениями.</w:t>
      </w:r>
    </w:p>
    <w:p w14:paraId="30D3A08A" w14:textId="77777777" w:rsidR="00FA4744" w:rsidRPr="00FA4744" w:rsidRDefault="00FA4744" w:rsidP="006C4843">
      <w:pPr>
        <w:spacing w:after="0" w:line="312" w:lineRule="auto"/>
        <w:ind w:firstLine="709"/>
        <w:contextualSpacing/>
        <w:jc w:val="both"/>
        <w:rPr>
          <w:rFonts w:ascii="Times New Roman" w:eastAsia="Calibri" w:hAnsi="Times New Roman" w:cs="Times New Roman"/>
          <w:sz w:val="28"/>
          <w:szCs w:val="28"/>
        </w:rPr>
      </w:pPr>
      <w:r w:rsidRPr="00FA4744">
        <w:rPr>
          <w:rFonts w:ascii="Times New Roman" w:eastAsia="Calibri" w:hAnsi="Times New Roman" w:cs="Times New Roman"/>
          <w:sz w:val="28"/>
          <w:szCs w:val="28"/>
        </w:rPr>
        <w:t>Научные исследования направлены на решение актуальных проблем укрепления репродукции, снижения уровня младенческой и материнской смертности, формирования мотивации для ведения здорового образа жизни, первичной профилактики, диагностики и лечения основных педиатрических заболеваний.</w:t>
      </w:r>
    </w:p>
    <w:p w14:paraId="41C2A6A0" w14:textId="77777777" w:rsidR="00FA4744" w:rsidRPr="00FA4744" w:rsidRDefault="00FA4744" w:rsidP="006C4843">
      <w:pPr>
        <w:spacing w:after="0" w:line="312" w:lineRule="auto"/>
        <w:ind w:firstLine="709"/>
        <w:contextualSpacing/>
        <w:jc w:val="both"/>
        <w:rPr>
          <w:rFonts w:ascii="Times New Roman" w:eastAsia="Calibri" w:hAnsi="Times New Roman" w:cs="Times New Roman"/>
          <w:sz w:val="28"/>
          <w:szCs w:val="28"/>
        </w:rPr>
      </w:pPr>
      <w:r w:rsidRPr="00FA4744">
        <w:rPr>
          <w:rFonts w:ascii="Times New Roman" w:eastAsia="Calibri" w:hAnsi="Times New Roman" w:cs="Times New Roman"/>
          <w:sz w:val="28"/>
          <w:szCs w:val="28"/>
        </w:rPr>
        <w:t xml:space="preserve">В настоящее время разрабатываются алгоритмы ранней малоинвазивной диагностики и </w:t>
      </w:r>
      <w:proofErr w:type="spellStart"/>
      <w:r w:rsidRPr="00FA4744">
        <w:rPr>
          <w:rFonts w:ascii="Times New Roman" w:eastAsia="Calibri" w:hAnsi="Times New Roman" w:cs="Times New Roman"/>
          <w:sz w:val="28"/>
          <w:szCs w:val="28"/>
        </w:rPr>
        <w:t>предикции</w:t>
      </w:r>
      <w:proofErr w:type="spellEnd"/>
      <w:r w:rsidRPr="00FA4744">
        <w:rPr>
          <w:rFonts w:ascii="Times New Roman" w:eastAsia="Calibri" w:hAnsi="Times New Roman" w:cs="Times New Roman"/>
          <w:sz w:val="28"/>
          <w:szCs w:val="28"/>
        </w:rPr>
        <w:t xml:space="preserve"> инфекционно-воспалительных заболеваний у новорожденных с использованием современных </w:t>
      </w:r>
      <w:proofErr w:type="spellStart"/>
      <w:r w:rsidRPr="00FA4744">
        <w:rPr>
          <w:rFonts w:ascii="Times New Roman" w:eastAsia="Calibri" w:hAnsi="Times New Roman" w:cs="Times New Roman"/>
          <w:sz w:val="28"/>
          <w:szCs w:val="28"/>
        </w:rPr>
        <w:t>эхографических</w:t>
      </w:r>
      <w:proofErr w:type="spellEnd"/>
      <w:r w:rsidRPr="00FA4744">
        <w:rPr>
          <w:rFonts w:ascii="Times New Roman" w:eastAsia="Calibri" w:hAnsi="Times New Roman" w:cs="Times New Roman"/>
          <w:sz w:val="28"/>
          <w:szCs w:val="28"/>
        </w:rPr>
        <w:t>, микробиологических, иммунологических и молекулярно-генетических методов исследования, совершенс</w:t>
      </w:r>
      <w:r w:rsidR="00E8787F">
        <w:rPr>
          <w:rFonts w:ascii="Times New Roman" w:eastAsia="Calibri" w:hAnsi="Times New Roman" w:cs="Times New Roman"/>
          <w:sz w:val="28"/>
          <w:szCs w:val="28"/>
        </w:rPr>
        <w:t xml:space="preserve">твуются подходы </w:t>
      </w:r>
      <w:r w:rsidRPr="00FA4744">
        <w:rPr>
          <w:rFonts w:ascii="Times New Roman" w:eastAsia="Calibri" w:hAnsi="Times New Roman" w:cs="Times New Roman"/>
          <w:sz w:val="28"/>
          <w:szCs w:val="28"/>
        </w:rPr>
        <w:t xml:space="preserve">к </w:t>
      </w:r>
      <w:proofErr w:type="spellStart"/>
      <w:r w:rsidRPr="00FA4744">
        <w:rPr>
          <w:rFonts w:ascii="Times New Roman" w:eastAsia="Calibri" w:hAnsi="Times New Roman" w:cs="Times New Roman"/>
          <w:sz w:val="28"/>
          <w:szCs w:val="28"/>
        </w:rPr>
        <w:t>энтеральному</w:t>
      </w:r>
      <w:proofErr w:type="spellEnd"/>
      <w:r w:rsidRPr="00FA4744">
        <w:rPr>
          <w:rFonts w:ascii="Times New Roman" w:eastAsia="Calibri" w:hAnsi="Times New Roman" w:cs="Times New Roman"/>
          <w:sz w:val="28"/>
          <w:szCs w:val="28"/>
        </w:rPr>
        <w:t xml:space="preserve"> питанию, определены предикторы и динамика неврологических нарушений у </w:t>
      </w:r>
      <w:r w:rsidR="004820B1" w:rsidRPr="00FA4744">
        <w:rPr>
          <w:rFonts w:ascii="Times New Roman" w:eastAsia="Calibri" w:hAnsi="Times New Roman" w:cs="Times New Roman"/>
          <w:sz w:val="28"/>
          <w:szCs w:val="28"/>
        </w:rPr>
        <w:t>глубоко недоношенных</w:t>
      </w:r>
      <w:r w:rsidRPr="00FA4744">
        <w:rPr>
          <w:rFonts w:ascii="Times New Roman" w:eastAsia="Calibri" w:hAnsi="Times New Roman" w:cs="Times New Roman"/>
          <w:sz w:val="28"/>
          <w:szCs w:val="28"/>
        </w:rPr>
        <w:t xml:space="preserve"> детей с экстремально низкой и очень низкой массой тела при рождении.</w:t>
      </w:r>
    </w:p>
    <w:p w14:paraId="637F0F74" w14:textId="77777777" w:rsidR="00FA4744" w:rsidRPr="00FA4744" w:rsidRDefault="00FA4744" w:rsidP="006C4843">
      <w:pPr>
        <w:spacing w:after="0" w:line="312" w:lineRule="auto"/>
        <w:ind w:firstLine="709"/>
        <w:contextualSpacing/>
        <w:jc w:val="both"/>
        <w:rPr>
          <w:rFonts w:ascii="Times New Roman" w:eastAsia="Calibri" w:hAnsi="Times New Roman" w:cs="Times New Roman"/>
          <w:sz w:val="28"/>
          <w:szCs w:val="28"/>
        </w:rPr>
      </w:pPr>
      <w:r w:rsidRPr="00FA4744">
        <w:rPr>
          <w:rFonts w:ascii="Times New Roman" w:eastAsia="Calibri" w:hAnsi="Times New Roman" w:cs="Times New Roman"/>
          <w:sz w:val="28"/>
          <w:szCs w:val="28"/>
        </w:rPr>
        <w:t xml:space="preserve">Ведущим направлением современности является развитие клеточных технологий, требующих фундаментальных знаний генетики и биологии. Важными вопросами являются разработка теоретических вопросов канцерогенеза, иммунологии, биологии и биохимии опухолей, технологии комплексной диагностики и комбинированного лечения злокачественных новообразований. </w:t>
      </w:r>
      <w:r w:rsidR="00497998">
        <w:rPr>
          <w:rFonts w:ascii="Times New Roman" w:eastAsia="Calibri" w:hAnsi="Times New Roman" w:cs="Times New Roman"/>
          <w:sz w:val="28"/>
          <w:szCs w:val="28"/>
        </w:rPr>
        <w:br/>
      </w:r>
      <w:r w:rsidRPr="00FA4744">
        <w:rPr>
          <w:rFonts w:ascii="Times New Roman" w:eastAsia="Calibri" w:hAnsi="Times New Roman" w:cs="Times New Roman"/>
          <w:sz w:val="28"/>
          <w:szCs w:val="28"/>
        </w:rPr>
        <w:t>С целью индивидуализации лечения и прогнозирования ответа на терапию внедрены алгоритмы определения генетических механизмов развития рецидивов и р</w:t>
      </w:r>
      <w:r w:rsidR="00E8787F">
        <w:rPr>
          <w:rFonts w:ascii="Times New Roman" w:eastAsia="Calibri" w:hAnsi="Times New Roman" w:cs="Times New Roman"/>
          <w:sz w:val="28"/>
          <w:szCs w:val="28"/>
        </w:rPr>
        <w:t xml:space="preserve">ефрактерных форм </w:t>
      </w:r>
      <w:proofErr w:type="spellStart"/>
      <w:r w:rsidR="00E8787F">
        <w:rPr>
          <w:rFonts w:ascii="Times New Roman" w:eastAsia="Calibri" w:hAnsi="Times New Roman" w:cs="Times New Roman"/>
          <w:sz w:val="28"/>
          <w:szCs w:val="28"/>
        </w:rPr>
        <w:t>гемобластозов</w:t>
      </w:r>
      <w:proofErr w:type="spellEnd"/>
      <w:r w:rsidR="00E8787F">
        <w:rPr>
          <w:rFonts w:ascii="Times New Roman" w:eastAsia="Calibri" w:hAnsi="Times New Roman" w:cs="Times New Roman"/>
          <w:sz w:val="28"/>
          <w:szCs w:val="28"/>
        </w:rPr>
        <w:t xml:space="preserve"> </w:t>
      </w:r>
      <w:r w:rsidRPr="00FA4744">
        <w:rPr>
          <w:rFonts w:ascii="Times New Roman" w:eastAsia="Calibri" w:hAnsi="Times New Roman" w:cs="Times New Roman"/>
          <w:sz w:val="28"/>
          <w:szCs w:val="28"/>
        </w:rPr>
        <w:t xml:space="preserve">и солидных опухолей. Совершенствуются протоколы </w:t>
      </w:r>
      <w:proofErr w:type="spellStart"/>
      <w:r w:rsidRPr="00FA4744">
        <w:rPr>
          <w:rFonts w:ascii="Times New Roman" w:eastAsia="Calibri" w:hAnsi="Times New Roman" w:cs="Times New Roman"/>
          <w:sz w:val="28"/>
          <w:szCs w:val="28"/>
        </w:rPr>
        <w:t>мультицентровых</w:t>
      </w:r>
      <w:proofErr w:type="spellEnd"/>
      <w:r w:rsidRPr="00FA4744">
        <w:rPr>
          <w:rFonts w:ascii="Times New Roman" w:eastAsia="Calibri" w:hAnsi="Times New Roman" w:cs="Times New Roman"/>
          <w:sz w:val="28"/>
          <w:szCs w:val="28"/>
        </w:rPr>
        <w:t xml:space="preserve"> исследований эффективности терапии </w:t>
      </w:r>
      <w:proofErr w:type="spellStart"/>
      <w:r w:rsidRPr="00FA4744">
        <w:rPr>
          <w:rFonts w:ascii="Times New Roman" w:eastAsia="Calibri" w:hAnsi="Times New Roman" w:cs="Times New Roman"/>
          <w:sz w:val="28"/>
          <w:szCs w:val="28"/>
        </w:rPr>
        <w:t>онкопедиатрических</w:t>
      </w:r>
      <w:proofErr w:type="spellEnd"/>
      <w:r w:rsidRPr="00FA4744">
        <w:rPr>
          <w:rFonts w:ascii="Times New Roman" w:eastAsia="Calibri" w:hAnsi="Times New Roman" w:cs="Times New Roman"/>
          <w:sz w:val="28"/>
          <w:szCs w:val="28"/>
        </w:rPr>
        <w:t xml:space="preserve"> заболеваний, разрабатываются эндоскопические и микрохирургические технологии лечения и реабилитации детей с новообразованиями, проводится изучение поздних токсических эффектов и оценка успешности междисциплинарной реабилитации детей, перенесших онкологические заболевания. Указанные исследования позволят не только улу</w:t>
      </w:r>
      <w:r w:rsidR="00E8787F">
        <w:rPr>
          <w:rFonts w:ascii="Times New Roman" w:eastAsia="Calibri" w:hAnsi="Times New Roman" w:cs="Times New Roman"/>
          <w:sz w:val="28"/>
          <w:szCs w:val="28"/>
        </w:rPr>
        <w:t xml:space="preserve">чшить показатели выживаемости, </w:t>
      </w:r>
      <w:r w:rsidRPr="00FA4744">
        <w:rPr>
          <w:rFonts w:ascii="Times New Roman" w:eastAsia="Calibri" w:hAnsi="Times New Roman" w:cs="Times New Roman"/>
          <w:sz w:val="28"/>
          <w:szCs w:val="28"/>
        </w:rPr>
        <w:t>но и систематизировать полученные данные.</w:t>
      </w:r>
    </w:p>
    <w:p w14:paraId="1C80D259" w14:textId="77777777" w:rsidR="00FA4744" w:rsidRPr="00FA4744" w:rsidRDefault="00FA4744" w:rsidP="006C4843">
      <w:pPr>
        <w:spacing w:after="0" w:line="312" w:lineRule="auto"/>
        <w:ind w:firstLine="709"/>
        <w:contextualSpacing/>
        <w:jc w:val="both"/>
        <w:rPr>
          <w:rFonts w:ascii="Times New Roman" w:eastAsia="Calibri" w:hAnsi="Times New Roman" w:cs="Times New Roman"/>
          <w:sz w:val="28"/>
          <w:szCs w:val="28"/>
        </w:rPr>
      </w:pPr>
      <w:r w:rsidRPr="00FA4744">
        <w:rPr>
          <w:rFonts w:ascii="Times New Roman" w:eastAsia="Calibri" w:hAnsi="Times New Roman" w:cs="Times New Roman"/>
          <w:sz w:val="28"/>
          <w:szCs w:val="28"/>
        </w:rPr>
        <w:t>Продолжены исследования по диагностике и лечению основных педиатрических заболеваний. Высокий удельный вес избыточной массы тела и ожирения у детей младшего школьного возраста, повышенного артериального давления у подростков о</w:t>
      </w:r>
      <w:r w:rsidR="00E8787F">
        <w:rPr>
          <w:rFonts w:ascii="Times New Roman" w:eastAsia="Calibri" w:hAnsi="Times New Roman" w:cs="Times New Roman"/>
          <w:sz w:val="28"/>
          <w:szCs w:val="28"/>
        </w:rPr>
        <w:t xml:space="preserve">тражает определенные тенденции </w:t>
      </w:r>
      <w:r w:rsidRPr="00FA4744">
        <w:rPr>
          <w:rFonts w:ascii="Times New Roman" w:eastAsia="Calibri" w:hAnsi="Times New Roman" w:cs="Times New Roman"/>
          <w:sz w:val="28"/>
          <w:szCs w:val="28"/>
        </w:rPr>
        <w:t xml:space="preserve">в российской детской популяции. На современном этапе метаболический синдром у детей рассматривается в качестве главного предиктора популяционно-значимых сердечно-сосудистых, эндокринологических и гастроэнтерологических заболеваний </w:t>
      </w:r>
      <w:r w:rsidR="00E8787F">
        <w:rPr>
          <w:rFonts w:ascii="Times New Roman" w:eastAsia="Calibri" w:hAnsi="Times New Roman" w:cs="Times New Roman"/>
          <w:sz w:val="28"/>
          <w:szCs w:val="28"/>
        </w:rPr>
        <w:t xml:space="preserve">человечества, приводящих </w:t>
      </w:r>
      <w:r w:rsidRPr="00FA4744">
        <w:rPr>
          <w:rFonts w:ascii="Times New Roman" w:eastAsia="Calibri" w:hAnsi="Times New Roman" w:cs="Times New Roman"/>
          <w:sz w:val="28"/>
          <w:szCs w:val="28"/>
        </w:rPr>
        <w:t>к инвалидизации, и смертности.</w:t>
      </w:r>
    </w:p>
    <w:p w14:paraId="151267D1" w14:textId="77777777" w:rsidR="00FA4744" w:rsidRPr="00FA4744" w:rsidRDefault="00FA4744" w:rsidP="006C4843">
      <w:pPr>
        <w:spacing w:after="0" w:line="312" w:lineRule="auto"/>
        <w:ind w:firstLine="709"/>
        <w:contextualSpacing/>
        <w:jc w:val="both"/>
        <w:rPr>
          <w:rFonts w:ascii="Times New Roman" w:eastAsia="Calibri" w:hAnsi="Times New Roman" w:cs="Times New Roman"/>
          <w:sz w:val="28"/>
          <w:szCs w:val="28"/>
        </w:rPr>
      </w:pPr>
      <w:r w:rsidRPr="00FA4744">
        <w:rPr>
          <w:rFonts w:ascii="Times New Roman" w:eastAsia="Calibri" w:hAnsi="Times New Roman" w:cs="Times New Roman"/>
          <w:sz w:val="28"/>
          <w:szCs w:val="28"/>
        </w:rPr>
        <w:t xml:space="preserve">Основными направлениями исследований персонализированной медицины являются применение высокотехнологичных методов профилактики, ранней диагностики и лечения детских болезней. Разработан алгоритм диагностики наследственных болезней обмена с поражением </w:t>
      </w:r>
      <w:r w:rsidR="00CE0E90">
        <w:rPr>
          <w:rFonts w:ascii="Times New Roman" w:eastAsia="Calibri" w:hAnsi="Times New Roman" w:cs="Times New Roman"/>
          <w:sz w:val="28"/>
          <w:szCs w:val="28"/>
        </w:rPr>
        <w:t>центральной нервной системы</w:t>
      </w:r>
      <w:r w:rsidRPr="00FA4744">
        <w:rPr>
          <w:rFonts w:ascii="Times New Roman" w:eastAsia="Calibri" w:hAnsi="Times New Roman" w:cs="Times New Roman"/>
          <w:sz w:val="28"/>
          <w:szCs w:val="28"/>
        </w:rPr>
        <w:t>. Совершенствуются современные технологии лечения воспалительных заболеваний бронхолегочной системы, печени, почек, кишечника. С целью повышения эффективности хирургического лечения разрабатываются стратегии оперативной коррекции пороков развития у детей с кардиальной, ортопедической и нейроортопедической патологией, проводится клиническая оценка инновационных имплантируемых изделий.</w:t>
      </w:r>
    </w:p>
    <w:p w14:paraId="7EF99E34" w14:textId="67A147E6" w:rsidR="00D03A4F" w:rsidRPr="00C8036F" w:rsidRDefault="00FA4744" w:rsidP="006C4843">
      <w:pPr>
        <w:spacing w:after="0" w:line="312" w:lineRule="auto"/>
        <w:ind w:firstLine="709"/>
        <w:contextualSpacing/>
        <w:jc w:val="both"/>
        <w:rPr>
          <w:rFonts w:ascii="Times New Roman" w:eastAsia="Calibri" w:hAnsi="Times New Roman" w:cs="Times New Roman"/>
          <w:sz w:val="28"/>
          <w:szCs w:val="28"/>
        </w:rPr>
      </w:pPr>
      <w:r w:rsidRPr="00FA4744">
        <w:rPr>
          <w:rFonts w:ascii="Times New Roman" w:eastAsia="Calibri" w:hAnsi="Times New Roman" w:cs="Times New Roman"/>
          <w:sz w:val="28"/>
          <w:szCs w:val="28"/>
        </w:rPr>
        <w:t>Новые технологии формирования здорового образа включают разработку гигиенических основ организации отдыха детей, их оздоровления, обоснование научных основ формирования единой профилактической среды в образовательных организациях, анализ и систематизацию факторов риска, влияющих на здоровье российских подростков в возрастном и гендерном аспектах.</w:t>
      </w:r>
    </w:p>
    <w:p w14:paraId="49373CC8" w14:textId="77777777"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rsidSect="005B3A4F">
          <w:pgSz w:w="11906" w:h="16838"/>
          <w:pgMar w:top="1134" w:right="567" w:bottom="1134" w:left="1134" w:header="708" w:footer="708" w:gutter="0"/>
          <w:cols w:space="708"/>
          <w:docGrid w:linePitch="360"/>
        </w:sectPr>
      </w:pPr>
    </w:p>
    <w:p w14:paraId="6723A34A" w14:textId="77777777" w:rsidR="005C38D1" w:rsidRPr="005C38D1" w:rsidRDefault="00D03A4F" w:rsidP="005C38D1">
      <w:pPr>
        <w:spacing w:after="240" w:line="312"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5. СОСТОЯНИЕ ПИТАНИЯ ДЕТЕЙ</w:t>
      </w:r>
    </w:p>
    <w:p w14:paraId="5D3C3788" w14:textId="77777777" w:rsidR="009D6E09" w:rsidRDefault="009D6E09" w:rsidP="009D6E09">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последние годы агропромышленный </w:t>
      </w:r>
      <w:r w:rsidR="00C85A32">
        <w:rPr>
          <w:rFonts w:ascii="Times New Roman" w:eastAsia="Times New Roman" w:hAnsi="Times New Roman" w:cs="Times New Roman"/>
          <w:sz w:val="28"/>
          <w:szCs w:val="28"/>
          <w:lang w:eastAsia="ru-RU"/>
        </w:rPr>
        <w:t>комплекс демонстрирует уверенный рост и оказывает непосредственное влияние на устойчивое социально-экономическое развитие Российской Федерации. Одной из ключевых задач, стоящих перед агропромышленным комплексом, является обеспечение населения качественными продуктами, в том числе для детского питания.</w:t>
      </w:r>
    </w:p>
    <w:p w14:paraId="6A2B3A97" w14:textId="77777777" w:rsidR="00C85A32" w:rsidRDefault="00C85A32" w:rsidP="009D6E09">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Предприятиями пищевой и перерабатывающей промышленности Российской Федерации выпускается широкий ассортимент продукции для детского питания, включая молочную, мясную продукцию, хлебобулочные изделия, продукцию переработки фруктов и овощей, воду и безалкогольные напитки.</w:t>
      </w:r>
    </w:p>
    <w:p w14:paraId="1773990F" w14:textId="77777777" w:rsidR="00C85A32" w:rsidRDefault="00C85A32" w:rsidP="009D6E09">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Несмотря на ограничения, связанные с распространением новой коронавирусной инфекции, предприятия пищевой и перерабатывающей промышленности продолжили работать в штатном режиме и обеспечивать отечественный рынок продукцией в необходимом объеме.</w:t>
      </w:r>
    </w:p>
    <w:p w14:paraId="48C3A4FF" w14:textId="77777777" w:rsidR="00C85A32" w:rsidRDefault="00C85A32" w:rsidP="009D6E09">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целью развития производства продуктов питания для детей на территории Российской Федерации Минсельхозом России в рамках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w:t>
      </w:r>
      <w:r w:rsidR="006762F2">
        <w:rPr>
          <w:rFonts w:ascii="Times New Roman" w:eastAsia="Times New Roman" w:hAnsi="Times New Roman" w:cs="Times New Roman"/>
          <w:sz w:val="28"/>
          <w:szCs w:val="28"/>
          <w:lang w:eastAsia="ru-RU"/>
        </w:rPr>
        <w:t xml:space="preserve">ительства Российской Федерации </w:t>
      </w:r>
      <w:r>
        <w:rPr>
          <w:rFonts w:ascii="Times New Roman" w:eastAsia="Times New Roman" w:hAnsi="Times New Roman" w:cs="Times New Roman"/>
          <w:sz w:val="28"/>
          <w:szCs w:val="28"/>
          <w:lang w:eastAsia="ru-RU"/>
        </w:rPr>
        <w:t>от 14 июля 2012 г. № 717, реализуются меры государственной поддержки предприятий агропромышленного комплекса.</w:t>
      </w:r>
    </w:p>
    <w:p w14:paraId="149DAE98" w14:textId="77777777" w:rsidR="00C85A32" w:rsidRDefault="00C85A32" w:rsidP="009D6E09">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Объем производства отечественных продуктов питания имеет положительную динамику. Та</w:t>
      </w:r>
      <w:r w:rsidR="00C97D8D">
        <w:rPr>
          <w:rFonts w:ascii="Times New Roman" w:eastAsia="Times New Roman" w:hAnsi="Times New Roman" w:cs="Times New Roman"/>
          <w:sz w:val="28"/>
          <w:szCs w:val="28"/>
          <w:lang w:eastAsia="ru-RU"/>
        </w:rPr>
        <w:t xml:space="preserve">к, по данным Росстата, в </w:t>
      </w:r>
      <w:r>
        <w:rPr>
          <w:rFonts w:ascii="Times New Roman" w:eastAsia="Times New Roman" w:hAnsi="Times New Roman" w:cs="Times New Roman"/>
          <w:sz w:val="28"/>
          <w:szCs w:val="28"/>
          <w:lang w:eastAsia="ru-RU"/>
        </w:rPr>
        <w:t>2021 г</w:t>
      </w:r>
      <w:r w:rsidR="00A07FC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увеличилось производство детского питания по следующим видам продукции:</w:t>
      </w:r>
    </w:p>
    <w:p w14:paraId="003FBC8A" w14:textId="77777777" w:rsidR="00C85A32" w:rsidRDefault="00C85A32" w:rsidP="00C85A32">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продукция</w:t>
      </w:r>
      <w:r w:rsidRPr="009B6A14">
        <w:rPr>
          <w:rFonts w:ascii="Times New Roman" w:eastAsia="Calibri" w:hAnsi="Times New Roman" w:cs="Times New Roman"/>
          <w:sz w:val="28"/>
          <w:szCs w:val="28"/>
        </w:rPr>
        <w:t xml:space="preserve"> молочн</w:t>
      </w:r>
      <w:r>
        <w:rPr>
          <w:rFonts w:ascii="Times New Roman" w:eastAsia="Calibri" w:hAnsi="Times New Roman" w:cs="Times New Roman"/>
          <w:sz w:val="28"/>
          <w:szCs w:val="28"/>
        </w:rPr>
        <w:t>ая</w:t>
      </w:r>
      <w:r w:rsidRPr="009B6A14">
        <w:rPr>
          <w:rFonts w:ascii="Times New Roman" w:eastAsia="Calibri" w:hAnsi="Times New Roman" w:cs="Times New Roman"/>
          <w:sz w:val="28"/>
          <w:szCs w:val="28"/>
        </w:rPr>
        <w:t xml:space="preserve"> для детского питания – </w:t>
      </w:r>
      <w:r w:rsidR="00D514ED">
        <w:rPr>
          <w:rFonts w:ascii="Times New Roman" w:eastAsia="Calibri" w:hAnsi="Times New Roman" w:cs="Times New Roman"/>
          <w:sz w:val="28"/>
          <w:szCs w:val="28"/>
        </w:rPr>
        <w:t>341</w:t>
      </w:r>
      <w:r w:rsidRPr="009B6A14">
        <w:rPr>
          <w:rFonts w:ascii="Times New Roman" w:eastAsia="Calibri" w:hAnsi="Times New Roman" w:cs="Times New Roman"/>
          <w:sz w:val="28"/>
          <w:szCs w:val="28"/>
        </w:rPr>
        <w:t>,</w:t>
      </w:r>
      <w:r w:rsidR="00D514ED">
        <w:rPr>
          <w:rFonts w:ascii="Times New Roman" w:eastAsia="Calibri" w:hAnsi="Times New Roman" w:cs="Times New Roman"/>
          <w:sz w:val="28"/>
          <w:szCs w:val="28"/>
        </w:rPr>
        <w:t>4</w:t>
      </w:r>
      <w:r w:rsidRPr="009B6A14">
        <w:rPr>
          <w:rFonts w:ascii="Times New Roman" w:eastAsia="Calibri" w:hAnsi="Times New Roman" w:cs="Times New Roman"/>
          <w:sz w:val="28"/>
          <w:szCs w:val="28"/>
        </w:rPr>
        <w:t xml:space="preserve"> тыс. т (темп роста </w:t>
      </w:r>
      <w:r>
        <w:rPr>
          <w:rFonts w:ascii="Times New Roman" w:eastAsia="Calibri" w:hAnsi="Times New Roman" w:cs="Times New Roman"/>
          <w:sz w:val="28"/>
          <w:szCs w:val="28"/>
        </w:rPr>
        <w:t>102</w:t>
      </w:r>
      <w:r w:rsidRPr="009B6A14">
        <w:rPr>
          <w:rFonts w:ascii="Times New Roman" w:eastAsia="Calibri" w:hAnsi="Times New Roman" w:cs="Times New Roman"/>
          <w:sz w:val="28"/>
          <w:szCs w:val="28"/>
        </w:rPr>
        <w:t>,</w:t>
      </w:r>
      <w:r w:rsidR="00D514ED">
        <w:rPr>
          <w:rFonts w:ascii="Times New Roman" w:eastAsia="Calibri" w:hAnsi="Times New Roman" w:cs="Times New Roman"/>
          <w:sz w:val="28"/>
          <w:szCs w:val="28"/>
        </w:rPr>
        <w:t>5</w:t>
      </w:r>
      <w:r w:rsidRPr="009B6A14">
        <w:rPr>
          <w:rFonts w:ascii="Times New Roman" w:eastAsia="Calibri" w:hAnsi="Times New Roman" w:cs="Times New Roman"/>
          <w:sz w:val="28"/>
          <w:szCs w:val="28"/>
        </w:rPr>
        <w:t>% к уровню 20</w:t>
      </w:r>
      <w:r>
        <w:rPr>
          <w:rFonts w:ascii="Times New Roman" w:eastAsia="Calibri" w:hAnsi="Times New Roman" w:cs="Times New Roman"/>
          <w:sz w:val="28"/>
          <w:szCs w:val="28"/>
        </w:rPr>
        <w:t>20</w:t>
      </w:r>
      <w:r w:rsidRPr="009B6A14">
        <w:rPr>
          <w:rFonts w:ascii="Times New Roman" w:eastAsia="Calibri" w:hAnsi="Times New Roman" w:cs="Times New Roman"/>
          <w:sz w:val="28"/>
          <w:szCs w:val="28"/>
        </w:rPr>
        <w:t xml:space="preserve"> г.)</w:t>
      </w:r>
      <w:r>
        <w:rPr>
          <w:rFonts w:ascii="Times New Roman" w:eastAsia="Calibri" w:hAnsi="Times New Roman" w:cs="Times New Roman"/>
          <w:sz w:val="28"/>
          <w:szCs w:val="28"/>
        </w:rPr>
        <w:t>;</w:t>
      </w:r>
    </w:p>
    <w:p w14:paraId="283099E7" w14:textId="64612A74" w:rsidR="00D514ED" w:rsidRDefault="00D514ED" w:rsidP="00C85A32">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смеси молочные и продукты в жидкой форме для детей раннего возраста – </w:t>
      </w:r>
      <w:r w:rsidR="00B02679">
        <w:rPr>
          <w:rFonts w:ascii="Times New Roman" w:eastAsia="Calibri" w:hAnsi="Times New Roman" w:cs="Times New Roman"/>
          <w:sz w:val="28"/>
          <w:szCs w:val="28"/>
        </w:rPr>
        <w:br/>
      </w:r>
      <w:r>
        <w:rPr>
          <w:rFonts w:ascii="Times New Roman" w:eastAsia="Calibri" w:hAnsi="Times New Roman" w:cs="Times New Roman"/>
          <w:sz w:val="28"/>
          <w:szCs w:val="28"/>
        </w:rPr>
        <w:t>181,1 тыс. тонн (темп роста 106,5% к уровню 2020 г.);</w:t>
      </w:r>
    </w:p>
    <w:p w14:paraId="6B8D0D5B" w14:textId="77777777" w:rsidR="00D514ED" w:rsidRDefault="00D514ED" w:rsidP="00C85A32">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молоко сухое и смеси сухие молочные для детей раннего возраста – 39,7 тыс. тонн (темп роста 111,6% к уровню 2020 г.);</w:t>
      </w:r>
    </w:p>
    <w:p w14:paraId="1D464D81" w14:textId="77777777" w:rsidR="00C85A32" w:rsidRPr="00C85A32" w:rsidRDefault="00C85A32" w:rsidP="00C85A32">
      <w:pPr>
        <w:spacing w:after="0" w:line="312" w:lineRule="auto"/>
        <w:ind w:firstLine="709"/>
        <w:jc w:val="both"/>
        <w:rPr>
          <w:rFonts w:ascii="Times New Roman" w:eastAsia="Calibri" w:hAnsi="Times New Roman" w:cs="Times New Roman"/>
          <w:sz w:val="28"/>
          <w:szCs w:val="28"/>
        </w:rPr>
      </w:pPr>
      <w:r w:rsidRPr="00C85A32">
        <w:rPr>
          <w:rFonts w:ascii="Times New Roman" w:eastAsia="Calibri" w:hAnsi="Times New Roman" w:cs="Times New Roman"/>
          <w:sz w:val="28"/>
          <w:szCs w:val="28"/>
        </w:rPr>
        <w:t>продукци</w:t>
      </w:r>
      <w:r>
        <w:rPr>
          <w:rFonts w:ascii="Times New Roman" w:eastAsia="Calibri" w:hAnsi="Times New Roman" w:cs="Times New Roman"/>
          <w:sz w:val="28"/>
          <w:szCs w:val="28"/>
        </w:rPr>
        <w:t>я</w:t>
      </w:r>
      <w:r w:rsidRPr="00C85A32">
        <w:rPr>
          <w:rFonts w:ascii="Times New Roman" w:eastAsia="Calibri" w:hAnsi="Times New Roman" w:cs="Times New Roman"/>
          <w:sz w:val="28"/>
          <w:szCs w:val="28"/>
        </w:rPr>
        <w:t xml:space="preserve"> переработки</w:t>
      </w:r>
      <w:r>
        <w:rPr>
          <w:rFonts w:ascii="Times New Roman" w:eastAsia="Calibri" w:hAnsi="Times New Roman" w:cs="Times New Roman"/>
          <w:sz w:val="28"/>
          <w:szCs w:val="28"/>
        </w:rPr>
        <w:t xml:space="preserve"> фруктов и овощей для детского </w:t>
      </w:r>
      <w:r w:rsidRPr="00C85A32">
        <w:rPr>
          <w:rFonts w:ascii="Times New Roman" w:eastAsia="Calibri" w:hAnsi="Times New Roman" w:cs="Times New Roman"/>
          <w:sz w:val="28"/>
          <w:szCs w:val="28"/>
        </w:rPr>
        <w:t xml:space="preserve">питания – </w:t>
      </w:r>
      <w:r w:rsidR="00C97D8D">
        <w:rPr>
          <w:rFonts w:ascii="Times New Roman" w:eastAsia="Calibri" w:hAnsi="Times New Roman" w:cs="Times New Roman"/>
          <w:sz w:val="28"/>
          <w:szCs w:val="28"/>
        </w:rPr>
        <w:br/>
      </w:r>
      <w:r w:rsidRPr="00C85A32">
        <w:rPr>
          <w:rFonts w:ascii="Times New Roman" w:eastAsia="Calibri" w:hAnsi="Times New Roman" w:cs="Times New Roman"/>
          <w:sz w:val="28"/>
          <w:szCs w:val="28"/>
        </w:rPr>
        <w:t xml:space="preserve">4 </w:t>
      </w:r>
      <w:r>
        <w:rPr>
          <w:rFonts w:ascii="Times New Roman" w:eastAsia="Calibri" w:hAnsi="Times New Roman" w:cs="Times New Roman"/>
          <w:sz w:val="28"/>
          <w:szCs w:val="28"/>
        </w:rPr>
        <w:t>8</w:t>
      </w:r>
      <w:r w:rsidR="00D514ED">
        <w:rPr>
          <w:rFonts w:ascii="Times New Roman" w:eastAsia="Calibri" w:hAnsi="Times New Roman" w:cs="Times New Roman"/>
          <w:sz w:val="28"/>
          <w:szCs w:val="28"/>
        </w:rPr>
        <w:t>11</w:t>
      </w:r>
      <w:r w:rsidRPr="00C85A32">
        <w:rPr>
          <w:rFonts w:ascii="Times New Roman" w:eastAsia="Calibri" w:hAnsi="Times New Roman" w:cs="Times New Roman"/>
          <w:sz w:val="28"/>
          <w:szCs w:val="28"/>
        </w:rPr>
        <w:t>,</w:t>
      </w:r>
      <w:r w:rsidR="00D514ED">
        <w:rPr>
          <w:rFonts w:ascii="Times New Roman" w:eastAsia="Calibri" w:hAnsi="Times New Roman" w:cs="Times New Roman"/>
          <w:sz w:val="28"/>
          <w:szCs w:val="28"/>
        </w:rPr>
        <w:t>9</w:t>
      </w:r>
      <w:r w:rsidR="00C97D8D">
        <w:rPr>
          <w:rFonts w:ascii="Times New Roman" w:eastAsia="Calibri" w:hAnsi="Times New Roman" w:cs="Times New Roman"/>
          <w:sz w:val="28"/>
          <w:szCs w:val="28"/>
        </w:rPr>
        <w:t xml:space="preserve"> </w:t>
      </w:r>
      <w:proofErr w:type="spellStart"/>
      <w:r w:rsidRPr="00C85A32">
        <w:rPr>
          <w:rFonts w:ascii="Times New Roman" w:eastAsia="Calibri" w:hAnsi="Times New Roman" w:cs="Times New Roman"/>
          <w:sz w:val="28"/>
          <w:szCs w:val="28"/>
        </w:rPr>
        <w:t>муб</w:t>
      </w:r>
      <w:proofErr w:type="spellEnd"/>
      <w:r w:rsidRPr="00C85A32">
        <w:rPr>
          <w:rFonts w:ascii="Times New Roman" w:eastAsia="Calibri" w:hAnsi="Times New Roman" w:cs="Times New Roman"/>
          <w:sz w:val="28"/>
          <w:szCs w:val="28"/>
        </w:rPr>
        <w:t>. (миллион условных банок) (темп роста 1</w:t>
      </w:r>
      <w:r>
        <w:rPr>
          <w:rFonts w:ascii="Times New Roman" w:eastAsia="Calibri" w:hAnsi="Times New Roman" w:cs="Times New Roman"/>
          <w:sz w:val="28"/>
          <w:szCs w:val="28"/>
        </w:rPr>
        <w:t>16</w:t>
      </w:r>
      <w:r w:rsidRPr="00C85A32">
        <w:rPr>
          <w:rFonts w:ascii="Times New Roman" w:eastAsia="Calibri" w:hAnsi="Times New Roman" w:cs="Times New Roman"/>
          <w:sz w:val="28"/>
          <w:szCs w:val="28"/>
        </w:rPr>
        <w:t>,</w:t>
      </w:r>
      <w:r w:rsidR="00D514ED">
        <w:rPr>
          <w:rFonts w:ascii="Times New Roman" w:eastAsia="Calibri" w:hAnsi="Times New Roman" w:cs="Times New Roman"/>
          <w:sz w:val="28"/>
          <w:szCs w:val="28"/>
        </w:rPr>
        <w:t>3</w:t>
      </w:r>
      <w:r w:rsidRPr="00C85A32">
        <w:rPr>
          <w:rFonts w:ascii="Times New Roman" w:eastAsia="Calibri" w:hAnsi="Times New Roman" w:cs="Times New Roman"/>
          <w:sz w:val="28"/>
          <w:szCs w:val="28"/>
        </w:rPr>
        <w:t>% к уровню 20</w:t>
      </w:r>
      <w:r>
        <w:rPr>
          <w:rFonts w:ascii="Times New Roman" w:eastAsia="Calibri" w:hAnsi="Times New Roman" w:cs="Times New Roman"/>
          <w:sz w:val="28"/>
          <w:szCs w:val="28"/>
        </w:rPr>
        <w:t>20</w:t>
      </w:r>
      <w:r w:rsidRPr="00C85A32">
        <w:rPr>
          <w:rFonts w:ascii="Times New Roman" w:eastAsia="Calibri" w:hAnsi="Times New Roman" w:cs="Times New Roman"/>
          <w:sz w:val="28"/>
          <w:szCs w:val="28"/>
        </w:rPr>
        <w:t xml:space="preserve"> г.);</w:t>
      </w:r>
    </w:p>
    <w:p w14:paraId="2D1801A4" w14:textId="77777777" w:rsidR="00C85A32" w:rsidRPr="00C85A32" w:rsidRDefault="00C85A32" w:rsidP="00C85A32">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вода питьевая, напитки безалкогольные для детского питания</w:t>
      </w:r>
      <w:r w:rsidRPr="00C85A32">
        <w:rPr>
          <w:rFonts w:ascii="Times New Roman" w:eastAsia="Calibri" w:hAnsi="Times New Roman" w:cs="Times New Roman"/>
          <w:sz w:val="28"/>
          <w:szCs w:val="28"/>
        </w:rPr>
        <w:t xml:space="preserve"> – </w:t>
      </w:r>
      <w:r w:rsidR="00D514ED">
        <w:rPr>
          <w:rFonts w:ascii="Times New Roman" w:eastAsia="Calibri" w:hAnsi="Times New Roman" w:cs="Times New Roman"/>
          <w:sz w:val="28"/>
          <w:szCs w:val="28"/>
        </w:rPr>
        <w:t>35,3 млн</w:t>
      </w:r>
      <w:r w:rsidR="004C3D80">
        <w:rPr>
          <w:rFonts w:ascii="Times New Roman" w:eastAsia="Calibri" w:hAnsi="Times New Roman" w:cs="Times New Roman"/>
          <w:sz w:val="28"/>
          <w:szCs w:val="28"/>
        </w:rPr>
        <w:t xml:space="preserve"> дал</w:t>
      </w:r>
      <w:r w:rsidRPr="00C85A32">
        <w:rPr>
          <w:rFonts w:ascii="Times New Roman" w:eastAsia="Calibri" w:hAnsi="Times New Roman" w:cs="Times New Roman"/>
          <w:sz w:val="28"/>
          <w:szCs w:val="28"/>
        </w:rPr>
        <w:t xml:space="preserve"> (темп роста </w:t>
      </w:r>
      <w:r w:rsidR="00D514ED">
        <w:rPr>
          <w:rFonts w:ascii="Times New Roman" w:eastAsia="Calibri" w:hAnsi="Times New Roman" w:cs="Times New Roman"/>
          <w:sz w:val="28"/>
          <w:szCs w:val="28"/>
        </w:rPr>
        <w:t>206</w:t>
      </w:r>
      <w:r w:rsidRPr="00C85A32">
        <w:rPr>
          <w:rFonts w:ascii="Times New Roman" w:eastAsia="Calibri" w:hAnsi="Times New Roman" w:cs="Times New Roman"/>
          <w:sz w:val="28"/>
          <w:szCs w:val="28"/>
        </w:rPr>
        <w:t>,4% к уровню 20</w:t>
      </w:r>
      <w:r w:rsidR="004C3D80">
        <w:rPr>
          <w:rFonts w:ascii="Times New Roman" w:eastAsia="Calibri" w:hAnsi="Times New Roman" w:cs="Times New Roman"/>
          <w:sz w:val="28"/>
          <w:szCs w:val="28"/>
        </w:rPr>
        <w:t>20</w:t>
      </w:r>
      <w:r w:rsidRPr="00C85A32">
        <w:rPr>
          <w:rFonts w:ascii="Times New Roman" w:eastAsia="Calibri" w:hAnsi="Times New Roman" w:cs="Times New Roman"/>
          <w:sz w:val="28"/>
          <w:szCs w:val="28"/>
        </w:rPr>
        <w:t xml:space="preserve"> г.);</w:t>
      </w:r>
    </w:p>
    <w:p w14:paraId="0D03B7C3" w14:textId="77777777" w:rsidR="00C85A32" w:rsidRPr="009B6A14" w:rsidRDefault="004C3D80" w:rsidP="00C85A32">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изделия хлебобулочные для детского питания</w:t>
      </w:r>
      <w:r w:rsidR="00C85A32" w:rsidRPr="00C85A32">
        <w:rPr>
          <w:rFonts w:ascii="Times New Roman" w:eastAsia="Calibri" w:hAnsi="Times New Roman" w:cs="Times New Roman"/>
          <w:sz w:val="28"/>
          <w:szCs w:val="28"/>
        </w:rPr>
        <w:t xml:space="preserve"> – </w:t>
      </w:r>
      <w:r w:rsidR="00D514ED">
        <w:rPr>
          <w:rFonts w:ascii="Times New Roman" w:eastAsia="Calibri" w:hAnsi="Times New Roman" w:cs="Times New Roman"/>
          <w:sz w:val="28"/>
          <w:szCs w:val="28"/>
        </w:rPr>
        <w:t>2,1</w:t>
      </w:r>
      <w:r w:rsidR="00C85A32" w:rsidRPr="00C85A32">
        <w:rPr>
          <w:rFonts w:ascii="Times New Roman" w:eastAsia="Calibri" w:hAnsi="Times New Roman" w:cs="Times New Roman"/>
          <w:sz w:val="28"/>
          <w:szCs w:val="28"/>
        </w:rPr>
        <w:t xml:space="preserve"> тыс. т (темп роста </w:t>
      </w:r>
      <w:r w:rsidR="00D514ED">
        <w:rPr>
          <w:rFonts w:ascii="Times New Roman" w:eastAsia="Calibri" w:hAnsi="Times New Roman" w:cs="Times New Roman"/>
          <w:sz w:val="28"/>
          <w:szCs w:val="28"/>
        </w:rPr>
        <w:t>94</w:t>
      </w:r>
      <w:r>
        <w:rPr>
          <w:rFonts w:ascii="Times New Roman" w:eastAsia="Calibri" w:hAnsi="Times New Roman" w:cs="Times New Roman"/>
          <w:sz w:val="28"/>
          <w:szCs w:val="28"/>
        </w:rPr>
        <w:t>9</w:t>
      </w:r>
      <w:r w:rsidR="00C85A32" w:rsidRPr="00C85A32">
        <w:rPr>
          <w:rFonts w:ascii="Times New Roman" w:eastAsia="Calibri" w:hAnsi="Times New Roman" w:cs="Times New Roman"/>
          <w:sz w:val="28"/>
          <w:szCs w:val="28"/>
        </w:rPr>
        <w:t>,</w:t>
      </w:r>
      <w:r w:rsidR="00D514ED">
        <w:rPr>
          <w:rFonts w:ascii="Times New Roman" w:eastAsia="Calibri" w:hAnsi="Times New Roman" w:cs="Times New Roman"/>
          <w:sz w:val="28"/>
          <w:szCs w:val="28"/>
        </w:rPr>
        <w:t>9</w:t>
      </w:r>
      <w:r w:rsidR="00C85A32" w:rsidRPr="00C85A32">
        <w:rPr>
          <w:rFonts w:ascii="Times New Roman" w:eastAsia="Calibri" w:hAnsi="Times New Roman" w:cs="Times New Roman"/>
          <w:sz w:val="28"/>
          <w:szCs w:val="28"/>
        </w:rPr>
        <w:t>% к уровню 20</w:t>
      </w:r>
      <w:r>
        <w:rPr>
          <w:rFonts w:ascii="Times New Roman" w:eastAsia="Calibri" w:hAnsi="Times New Roman" w:cs="Times New Roman"/>
          <w:sz w:val="28"/>
          <w:szCs w:val="28"/>
        </w:rPr>
        <w:t>20 г.).</w:t>
      </w:r>
    </w:p>
    <w:p w14:paraId="62AD7CBE" w14:textId="77777777" w:rsidR="00C85A32" w:rsidRDefault="00207819" w:rsidP="00207819">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менее важным является организация питания детей в образовательных организациях.</w:t>
      </w:r>
    </w:p>
    <w:p w14:paraId="34977B1D" w14:textId="77777777" w:rsidR="00207819" w:rsidRPr="00207819" w:rsidRDefault="00207819" w:rsidP="00207819">
      <w:pPr>
        <w:spacing w:after="0" w:line="312" w:lineRule="auto"/>
        <w:ind w:firstLine="709"/>
        <w:jc w:val="both"/>
        <w:rPr>
          <w:rFonts w:ascii="Times New Roman" w:eastAsia="Times New Roman" w:hAnsi="Times New Roman" w:cs="Times New Roman"/>
          <w:sz w:val="28"/>
          <w:szCs w:val="28"/>
          <w:lang w:eastAsia="ru-RU"/>
        </w:rPr>
      </w:pPr>
      <w:r w:rsidRPr="00207819">
        <w:rPr>
          <w:rFonts w:ascii="Times New Roman" w:eastAsia="Times New Roman" w:hAnsi="Times New Roman" w:cs="Times New Roman"/>
          <w:sz w:val="28"/>
          <w:szCs w:val="28"/>
          <w:lang w:eastAsia="ru-RU"/>
        </w:rPr>
        <w:t>Во исполнение поручения П</w:t>
      </w:r>
      <w:r w:rsidR="002B23E1">
        <w:rPr>
          <w:rFonts w:ascii="Times New Roman" w:eastAsia="Times New Roman" w:hAnsi="Times New Roman" w:cs="Times New Roman"/>
          <w:sz w:val="28"/>
          <w:szCs w:val="28"/>
          <w:lang w:eastAsia="ru-RU"/>
        </w:rPr>
        <w:t xml:space="preserve">резидента Российской Федерации </w:t>
      </w:r>
      <w:r w:rsidRPr="00207819">
        <w:rPr>
          <w:rFonts w:ascii="Times New Roman" w:eastAsia="Times New Roman" w:hAnsi="Times New Roman" w:cs="Times New Roman"/>
          <w:sz w:val="28"/>
          <w:szCs w:val="28"/>
          <w:lang w:eastAsia="ru-RU"/>
        </w:rPr>
        <w:t>по вопросу поэтапного перехода до 1 сентября 2023 г</w:t>
      </w:r>
      <w:r w:rsidR="00BC5551">
        <w:rPr>
          <w:rFonts w:ascii="Times New Roman" w:eastAsia="Times New Roman" w:hAnsi="Times New Roman" w:cs="Times New Roman"/>
          <w:sz w:val="28"/>
          <w:szCs w:val="28"/>
          <w:lang w:eastAsia="ru-RU"/>
        </w:rPr>
        <w:t>.</w:t>
      </w:r>
      <w:r w:rsidRPr="00207819">
        <w:rPr>
          <w:rFonts w:ascii="Times New Roman" w:eastAsia="Times New Roman" w:hAnsi="Times New Roman" w:cs="Times New Roman"/>
          <w:sz w:val="28"/>
          <w:szCs w:val="28"/>
          <w:lang w:eastAsia="ru-RU"/>
        </w:rPr>
        <w:t xml:space="preserve"> на организацию бесплатного горячего питания для обучающихся по образовательным программам начального общего</w:t>
      </w:r>
      <w:r w:rsidR="006762F2">
        <w:rPr>
          <w:rFonts w:ascii="Times New Roman" w:eastAsia="Times New Roman" w:hAnsi="Times New Roman" w:cs="Times New Roman"/>
          <w:sz w:val="28"/>
          <w:szCs w:val="28"/>
          <w:lang w:eastAsia="ru-RU"/>
        </w:rPr>
        <w:t xml:space="preserve"> образования в государственных </w:t>
      </w:r>
      <w:r w:rsidRPr="00207819">
        <w:rPr>
          <w:rFonts w:ascii="Times New Roman" w:eastAsia="Times New Roman" w:hAnsi="Times New Roman" w:cs="Times New Roman"/>
          <w:sz w:val="28"/>
          <w:szCs w:val="28"/>
          <w:lang w:eastAsia="ru-RU"/>
        </w:rPr>
        <w:t>и муниципальных общеобразов</w:t>
      </w:r>
      <w:r w:rsidR="006762F2">
        <w:rPr>
          <w:rFonts w:ascii="Times New Roman" w:eastAsia="Times New Roman" w:hAnsi="Times New Roman" w:cs="Times New Roman"/>
          <w:sz w:val="28"/>
          <w:szCs w:val="28"/>
          <w:lang w:eastAsia="ru-RU"/>
        </w:rPr>
        <w:t xml:space="preserve">ательных организациях, а также </w:t>
      </w:r>
      <w:r w:rsidRPr="00207819">
        <w:rPr>
          <w:rFonts w:ascii="Times New Roman" w:eastAsia="Times New Roman" w:hAnsi="Times New Roman" w:cs="Times New Roman"/>
          <w:sz w:val="28"/>
          <w:szCs w:val="28"/>
          <w:lang w:eastAsia="ru-RU"/>
        </w:rPr>
        <w:t>в соответствии с утвержденными санитарными нормами и правилами Минпросвещения России совместно с Минфином России, Роспотребнадзором и органами исполнительной власти субъектов Российской Федерации продолжается работа по обеспечению бесплатным горячим питанием обучающихся по образовательным программам начального общего образования в государственных и муниципальных общеобразовательных организациях и созданию в них инфраструктуры, необходимой для организации горячего питания, а также сна</w:t>
      </w:r>
      <w:r w:rsidR="009113D8">
        <w:rPr>
          <w:rFonts w:ascii="Times New Roman" w:eastAsia="Times New Roman" w:hAnsi="Times New Roman" w:cs="Times New Roman"/>
          <w:sz w:val="28"/>
          <w:szCs w:val="28"/>
          <w:lang w:eastAsia="ru-RU"/>
        </w:rPr>
        <w:t>бжению качественными продуктами</w:t>
      </w:r>
      <w:r w:rsidRPr="00207819">
        <w:rPr>
          <w:rFonts w:ascii="Times New Roman" w:eastAsia="Times New Roman" w:hAnsi="Times New Roman" w:cs="Times New Roman"/>
          <w:sz w:val="28"/>
          <w:szCs w:val="28"/>
          <w:lang w:eastAsia="ru-RU"/>
        </w:rPr>
        <w:t>.</w:t>
      </w:r>
    </w:p>
    <w:p w14:paraId="325AC534" w14:textId="77777777" w:rsidR="00207819" w:rsidRPr="00207819" w:rsidRDefault="00207819" w:rsidP="00207819">
      <w:pPr>
        <w:spacing w:after="0" w:line="312" w:lineRule="auto"/>
        <w:ind w:firstLine="709"/>
        <w:jc w:val="both"/>
        <w:rPr>
          <w:rFonts w:ascii="Times New Roman" w:eastAsia="Times New Roman" w:hAnsi="Times New Roman" w:cs="Times New Roman"/>
          <w:sz w:val="28"/>
          <w:szCs w:val="28"/>
          <w:lang w:eastAsia="ru-RU"/>
        </w:rPr>
      </w:pPr>
      <w:r w:rsidRPr="00207819">
        <w:rPr>
          <w:rFonts w:ascii="Times New Roman" w:eastAsia="Times New Roman" w:hAnsi="Times New Roman" w:cs="Times New Roman"/>
          <w:sz w:val="28"/>
          <w:szCs w:val="28"/>
          <w:lang w:eastAsia="ru-RU"/>
        </w:rPr>
        <w:t xml:space="preserve">В целях реализации </w:t>
      </w:r>
      <w:r w:rsidR="00C97D8D">
        <w:rPr>
          <w:rFonts w:ascii="Times New Roman" w:eastAsia="Times New Roman" w:hAnsi="Times New Roman" w:cs="Times New Roman"/>
          <w:sz w:val="28"/>
          <w:szCs w:val="28"/>
          <w:lang w:eastAsia="ru-RU"/>
        </w:rPr>
        <w:t>П</w:t>
      </w:r>
      <w:r w:rsidRPr="00207819">
        <w:rPr>
          <w:rFonts w:ascii="Times New Roman" w:eastAsia="Times New Roman" w:hAnsi="Times New Roman" w:cs="Times New Roman"/>
          <w:sz w:val="28"/>
          <w:szCs w:val="28"/>
          <w:lang w:eastAsia="ru-RU"/>
        </w:rPr>
        <w:t>ослания Президента Российской Федерации Федеральному Собр</w:t>
      </w:r>
      <w:r w:rsidR="00C97D8D">
        <w:rPr>
          <w:rFonts w:ascii="Times New Roman" w:eastAsia="Times New Roman" w:hAnsi="Times New Roman" w:cs="Times New Roman"/>
          <w:sz w:val="28"/>
          <w:szCs w:val="28"/>
          <w:lang w:eastAsia="ru-RU"/>
        </w:rPr>
        <w:t>анию Российской Федерации от 15 января</w:t>
      </w:r>
      <w:r w:rsidR="00C97D8D" w:rsidRPr="00207819">
        <w:rPr>
          <w:rFonts w:ascii="Times New Roman" w:eastAsia="Times New Roman" w:hAnsi="Times New Roman" w:cs="Times New Roman"/>
          <w:sz w:val="28"/>
          <w:szCs w:val="28"/>
          <w:lang w:eastAsia="ru-RU"/>
        </w:rPr>
        <w:t xml:space="preserve"> </w:t>
      </w:r>
      <w:r w:rsidRPr="00207819">
        <w:rPr>
          <w:rFonts w:ascii="Times New Roman" w:eastAsia="Times New Roman" w:hAnsi="Times New Roman" w:cs="Times New Roman"/>
          <w:sz w:val="28"/>
          <w:szCs w:val="28"/>
          <w:lang w:eastAsia="ru-RU"/>
        </w:rPr>
        <w:t>2020</w:t>
      </w:r>
      <w:r w:rsidR="00C97D8D">
        <w:rPr>
          <w:rFonts w:ascii="Times New Roman" w:eastAsia="Times New Roman" w:hAnsi="Times New Roman" w:cs="Times New Roman"/>
          <w:sz w:val="28"/>
          <w:szCs w:val="28"/>
          <w:lang w:eastAsia="ru-RU"/>
        </w:rPr>
        <w:t xml:space="preserve"> г.</w:t>
      </w:r>
      <w:r w:rsidRPr="00207819">
        <w:rPr>
          <w:rFonts w:ascii="Times New Roman" w:eastAsia="Times New Roman" w:hAnsi="Times New Roman" w:cs="Times New Roman"/>
          <w:sz w:val="28"/>
          <w:szCs w:val="28"/>
          <w:lang w:eastAsia="ru-RU"/>
        </w:rPr>
        <w:t xml:space="preserve"> и поручений Правительства Российской Федерации Роспотребнадзором в 2021 г</w:t>
      </w:r>
      <w:r w:rsidR="00A07FC3">
        <w:rPr>
          <w:rFonts w:ascii="Times New Roman" w:eastAsia="Times New Roman" w:hAnsi="Times New Roman" w:cs="Times New Roman"/>
          <w:sz w:val="28"/>
          <w:szCs w:val="28"/>
          <w:lang w:eastAsia="ru-RU"/>
        </w:rPr>
        <w:t>.</w:t>
      </w:r>
      <w:r w:rsidRPr="00207819">
        <w:rPr>
          <w:rFonts w:ascii="Times New Roman" w:eastAsia="Times New Roman" w:hAnsi="Times New Roman" w:cs="Times New Roman"/>
          <w:sz w:val="28"/>
          <w:szCs w:val="28"/>
          <w:lang w:eastAsia="ru-RU"/>
        </w:rPr>
        <w:t xml:space="preserve"> продолжена работа по контролю за состоянием пищеблоков и столовых общеобразовательных организаций к выполнению требований к организации питания в субъектах Российско</w:t>
      </w:r>
      <w:r w:rsidR="00C97D8D">
        <w:rPr>
          <w:rFonts w:ascii="Times New Roman" w:eastAsia="Times New Roman" w:hAnsi="Times New Roman" w:cs="Times New Roman"/>
          <w:sz w:val="28"/>
          <w:szCs w:val="28"/>
          <w:lang w:eastAsia="ru-RU"/>
        </w:rPr>
        <w:t>й Федерации для перехода на 100</w:t>
      </w:r>
      <w:r w:rsidRPr="00207819">
        <w:rPr>
          <w:rFonts w:ascii="Times New Roman" w:eastAsia="Times New Roman" w:hAnsi="Times New Roman" w:cs="Times New Roman"/>
          <w:sz w:val="28"/>
          <w:szCs w:val="28"/>
          <w:lang w:eastAsia="ru-RU"/>
        </w:rPr>
        <w:t>% охват бесплатным горячим здоровым питанием обучающихся, осваивающих образовательные программы начального общего образования.</w:t>
      </w:r>
    </w:p>
    <w:p w14:paraId="5F4C222C" w14:textId="77777777" w:rsidR="00207819" w:rsidRPr="00207819" w:rsidRDefault="00207819" w:rsidP="00207819">
      <w:pPr>
        <w:spacing w:after="0" w:line="312" w:lineRule="auto"/>
        <w:ind w:firstLine="709"/>
        <w:jc w:val="both"/>
        <w:rPr>
          <w:rFonts w:ascii="Times New Roman" w:eastAsia="Times New Roman" w:hAnsi="Times New Roman" w:cs="Times New Roman"/>
          <w:sz w:val="28"/>
          <w:szCs w:val="28"/>
          <w:lang w:eastAsia="ru-RU"/>
        </w:rPr>
      </w:pPr>
      <w:r w:rsidRPr="00207819">
        <w:rPr>
          <w:rFonts w:ascii="Times New Roman" w:eastAsia="Times New Roman" w:hAnsi="Times New Roman" w:cs="Times New Roman"/>
          <w:sz w:val="28"/>
          <w:szCs w:val="28"/>
          <w:lang w:eastAsia="ru-RU"/>
        </w:rPr>
        <w:t xml:space="preserve">На </w:t>
      </w:r>
      <w:proofErr w:type="spellStart"/>
      <w:r w:rsidRPr="00207819">
        <w:rPr>
          <w:rFonts w:ascii="Times New Roman" w:eastAsia="Times New Roman" w:hAnsi="Times New Roman" w:cs="Times New Roman"/>
          <w:sz w:val="28"/>
          <w:szCs w:val="28"/>
          <w:lang w:eastAsia="ru-RU"/>
        </w:rPr>
        <w:t>софинансирование</w:t>
      </w:r>
      <w:proofErr w:type="spellEnd"/>
      <w:r w:rsidRPr="00207819">
        <w:rPr>
          <w:rFonts w:ascii="Times New Roman" w:eastAsia="Times New Roman" w:hAnsi="Times New Roman" w:cs="Times New Roman"/>
          <w:sz w:val="28"/>
          <w:szCs w:val="28"/>
          <w:lang w:eastAsia="ru-RU"/>
        </w:rPr>
        <w:t xml:space="preserve"> организации и обеспечения горячим питанием обучающихся, получающих начальное общее образование, были выделены средства федерального бюджета на 2021 г</w:t>
      </w:r>
      <w:r w:rsidR="00A07FC3">
        <w:rPr>
          <w:rFonts w:ascii="Times New Roman" w:eastAsia="Times New Roman" w:hAnsi="Times New Roman" w:cs="Times New Roman"/>
          <w:sz w:val="28"/>
          <w:szCs w:val="28"/>
          <w:lang w:eastAsia="ru-RU"/>
        </w:rPr>
        <w:t>.</w:t>
      </w:r>
      <w:r w:rsidRPr="00207819">
        <w:rPr>
          <w:rFonts w:ascii="Times New Roman" w:eastAsia="Times New Roman" w:hAnsi="Times New Roman" w:cs="Times New Roman"/>
          <w:sz w:val="28"/>
          <w:szCs w:val="28"/>
          <w:lang w:eastAsia="ru-RU"/>
        </w:rPr>
        <w:t xml:space="preserve"> в размере</w:t>
      </w:r>
      <w:r w:rsidR="00386280">
        <w:rPr>
          <w:rFonts w:ascii="Times New Roman" w:eastAsia="Times New Roman" w:hAnsi="Times New Roman" w:cs="Times New Roman"/>
          <w:sz w:val="28"/>
          <w:szCs w:val="28"/>
          <w:lang w:eastAsia="ru-RU"/>
        </w:rPr>
        <w:t xml:space="preserve"> </w:t>
      </w:r>
      <w:r w:rsidRPr="00207819">
        <w:rPr>
          <w:rFonts w:ascii="Times New Roman" w:eastAsia="Times New Roman" w:hAnsi="Times New Roman" w:cs="Times New Roman"/>
          <w:sz w:val="28"/>
          <w:szCs w:val="28"/>
          <w:lang w:eastAsia="ru-RU"/>
        </w:rPr>
        <w:t>54 328 300,5 тыс. рублей,</w:t>
      </w:r>
      <w:r w:rsidR="00175198">
        <w:rPr>
          <w:rFonts w:ascii="Times New Roman" w:eastAsia="Times New Roman" w:hAnsi="Times New Roman" w:cs="Times New Roman"/>
          <w:sz w:val="28"/>
          <w:szCs w:val="28"/>
          <w:lang w:eastAsia="ru-RU"/>
        </w:rPr>
        <w:t xml:space="preserve"> заключены соглашения на сумму </w:t>
      </w:r>
      <w:r w:rsidRPr="00207819">
        <w:rPr>
          <w:rFonts w:ascii="Times New Roman" w:eastAsia="Times New Roman" w:hAnsi="Times New Roman" w:cs="Times New Roman"/>
          <w:sz w:val="28"/>
          <w:szCs w:val="28"/>
          <w:lang w:eastAsia="ru-RU"/>
        </w:rPr>
        <w:t>54 292 305,1 тыс. рублей. Фактические расходы на обеспечение горячим питанием обучающихся (кассовое исполнение по состоянию на 3</w:t>
      </w:r>
      <w:r w:rsidR="006762F2">
        <w:rPr>
          <w:rFonts w:ascii="Times New Roman" w:eastAsia="Times New Roman" w:hAnsi="Times New Roman" w:cs="Times New Roman"/>
          <w:sz w:val="28"/>
          <w:szCs w:val="28"/>
          <w:lang w:eastAsia="ru-RU"/>
        </w:rPr>
        <w:t>1 декабря 2021 г</w:t>
      </w:r>
      <w:r w:rsidR="00386280">
        <w:rPr>
          <w:rFonts w:ascii="Times New Roman" w:eastAsia="Times New Roman" w:hAnsi="Times New Roman" w:cs="Times New Roman"/>
          <w:sz w:val="28"/>
          <w:szCs w:val="28"/>
          <w:lang w:eastAsia="ru-RU"/>
        </w:rPr>
        <w:t>.</w:t>
      </w:r>
      <w:r w:rsidR="006762F2">
        <w:rPr>
          <w:rFonts w:ascii="Times New Roman" w:eastAsia="Times New Roman" w:hAnsi="Times New Roman" w:cs="Times New Roman"/>
          <w:sz w:val="28"/>
          <w:szCs w:val="28"/>
          <w:lang w:eastAsia="ru-RU"/>
        </w:rPr>
        <w:t xml:space="preserve">) составили </w:t>
      </w:r>
      <w:r w:rsidRPr="00207819">
        <w:rPr>
          <w:rFonts w:ascii="Times New Roman" w:eastAsia="Times New Roman" w:hAnsi="Times New Roman" w:cs="Times New Roman"/>
          <w:sz w:val="28"/>
          <w:szCs w:val="28"/>
          <w:lang w:eastAsia="ru-RU"/>
        </w:rPr>
        <w:t xml:space="preserve">49 918 050,3 тыс. рублей. Общий процент освоения средств данной </w:t>
      </w:r>
      <w:r w:rsidR="00175198">
        <w:rPr>
          <w:rFonts w:ascii="Times New Roman" w:eastAsia="Times New Roman" w:hAnsi="Times New Roman" w:cs="Times New Roman"/>
          <w:sz w:val="28"/>
          <w:szCs w:val="28"/>
          <w:lang w:eastAsia="ru-RU"/>
        </w:rPr>
        <w:t>су</w:t>
      </w:r>
      <w:r w:rsidRPr="00207819">
        <w:rPr>
          <w:rFonts w:ascii="Times New Roman" w:eastAsia="Times New Roman" w:hAnsi="Times New Roman" w:cs="Times New Roman"/>
          <w:sz w:val="28"/>
          <w:szCs w:val="28"/>
          <w:lang w:eastAsia="ru-RU"/>
        </w:rPr>
        <w:t>бсидии от объема принятых обязательств 2021 г</w:t>
      </w:r>
      <w:r w:rsidR="00A07FC3">
        <w:rPr>
          <w:rFonts w:ascii="Times New Roman" w:eastAsia="Times New Roman" w:hAnsi="Times New Roman" w:cs="Times New Roman"/>
          <w:sz w:val="28"/>
          <w:szCs w:val="28"/>
          <w:lang w:eastAsia="ru-RU"/>
        </w:rPr>
        <w:t>.</w:t>
      </w:r>
      <w:r w:rsidRPr="00207819">
        <w:rPr>
          <w:rFonts w:ascii="Times New Roman" w:eastAsia="Times New Roman" w:hAnsi="Times New Roman" w:cs="Times New Roman"/>
          <w:sz w:val="28"/>
          <w:szCs w:val="28"/>
          <w:lang w:eastAsia="ru-RU"/>
        </w:rPr>
        <w:t xml:space="preserve"> составил 91,9%. Основная причина неполного освоения средств свя</w:t>
      </w:r>
      <w:r w:rsidR="006762F2">
        <w:rPr>
          <w:rFonts w:ascii="Times New Roman" w:eastAsia="Times New Roman" w:hAnsi="Times New Roman" w:cs="Times New Roman"/>
          <w:sz w:val="28"/>
          <w:szCs w:val="28"/>
          <w:lang w:eastAsia="ru-RU"/>
        </w:rPr>
        <w:t xml:space="preserve">зана со снижением посещаемости </w:t>
      </w:r>
      <w:r w:rsidRPr="00207819">
        <w:rPr>
          <w:rFonts w:ascii="Times New Roman" w:eastAsia="Times New Roman" w:hAnsi="Times New Roman" w:cs="Times New Roman"/>
          <w:sz w:val="28"/>
          <w:szCs w:val="28"/>
          <w:lang w:eastAsia="ru-RU"/>
        </w:rPr>
        <w:t>по сравнению с плановыми показателями ввиду карантинных мероприятий, экономии, сложившейся по результатам конкурсных процедур.</w:t>
      </w:r>
    </w:p>
    <w:p w14:paraId="06C7DA5D" w14:textId="77777777" w:rsidR="00207819" w:rsidRPr="00207819" w:rsidRDefault="00207819" w:rsidP="00207819">
      <w:pPr>
        <w:spacing w:after="0" w:line="312" w:lineRule="auto"/>
        <w:ind w:firstLine="709"/>
        <w:jc w:val="both"/>
        <w:rPr>
          <w:rFonts w:ascii="Times New Roman" w:eastAsia="Times New Roman" w:hAnsi="Times New Roman" w:cs="Times New Roman"/>
          <w:sz w:val="28"/>
          <w:szCs w:val="28"/>
          <w:lang w:eastAsia="ru-RU"/>
        </w:rPr>
      </w:pPr>
      <w:r w:rsidRPr="00207819">
        <w:rPr>
          <w:rFonts w:ascii="Times New Roman" w:eastAsia="Times New Roman" w:hAnsi="Times New Roman" w:cs="Times New Roman"/>
          <w:sz w:val="28"/>
          <w:szCs w:val="28"/>
          <w:lang w:eastAsia="ru-RU"/>
        </w:rPr>
        <w:t>Начиная с 2020 г</w:t>
      </w:r>
      <w:r w:rsidR="00A07FC3">
        <w:rPr>
          <w:rFonts w:ascii="Times New Roman" w:eastAsia="Times New Roman" w:hAnsi="Times New Roman" w:cs="Times New Roman"/>
          <w:sz w:val="28"/>
          <w:szCs w:val="28"/>
          <w:lang w:eastAsia="ru-RU"/>
        </w:rPr>
        <w:t>.</w:t>
      </w:r>
      <w:r w:rsidRPr="00207819">
        <w:rPr>
          <w:rFonts w:ascii="Times New Roman" w:eastAsia="Times New Roman" w:hAnsi="Times New Roman" w:cs="Times New Roman"/>
          <w:sz w:val="28"/>
          <w:szCs w:val="28"/>
          <w:lang w:eastAsia="ru-RU"/>
        </w:rPr>
        <w:t xml:space="preserve">, в федеральном бюджете предусматриваются бюджетные ассигнования на </w:t>
      </w:r>
      <w:proofErr w:type="spellStart"/>
      <w:r w:rsidRPr="00207819">
        <w:rPr>
          <w:rFonts w:ascii="Times New Roman" w:eastAsia="Times New Roman" w:hAnsi="Times New Roman" w:cs="Times New Roman"/>
          <w:sz w:val="28"/>
          <w:szCs w:val="28"/>
          <w:lang w:eastAsia="ru-RU"/>
        </w:rPr>
        <w:t>софинансирование</w:t>
      </w:r>
      <w:proofErr w:type="spellEnd"/>
      <w:r w:rsidRPr="00207819">
        <w:rPr>
          <w:rFonts w:ascii="Times New Roman" w:eastAsia="Times New Roman" w:hAnsi="Times New Roman" w:cs="Times New Roman"/>
          <w:sz w:val="28"/>
          <w:szCs w:val="28"/>
          <w:lang w:eastAsia="ru-RU"/>
        </w:rPr>
        <w:t xml:space="preserve"> расходных обязательств субъекта Российской Федерации, возникающих при реализации мероприятий государственной программы субъекта Российской Федерации по обеспечению бесплатным горячим питанием </w:t>
      </w:r>
      <w:r w:rsidR="006762F2">
        <w:rPr>
          <w:rFonts w:ascii="Times New Roman" w:eastAsia="Times New Roman" w:hAnsi="Times New Roman" w:cs="Times New Roman"/>
          <w:sz w:val="28"/>
          <w:szCs w:val="28"/>
          <w:lang w:eastAsia="ru-RU"/>
        </w:rPr>
        <w:t xml:space="preserve">обучающихся </w:t>
      </w:r>
      <w:r w:rsidRPr="00207819">
        <w:rPr>
          <w:rFonts w:ascii="Times New Roman" w:eastAsia="Times New Roman" w:hAnsi="Times New Roman" w:cs="Times New Roman"/>
          <w:sz w:val="28"/>
          <w:szCs w:val="28"/>
          <w:lang w:eastAsia="ru-RU"/>
        </w:rPr>
        <w:t>по образовательным программам</w:t>
      </w:r>
      <w:r w:rsidR="006762F2">
        <w:rPr>
          <w:rFonts w:ascii="Times New Roman" w:eastAsia="Times New Roman" w:hAnsi="Times New Roman" w:cs="Times New Roman"/>
          <w:sz w:val="28"/>
          <w:szCs w:val="28"/>
          <w:lang w:eastAsia="ru-RU"/>
        </w:rPr>
        <w:t xml:space="preserve"> начального общего образования </w:t>
      </w:r>
      <w:r w:rsidRPr="00207819">
        <w:rPr>
          <w:rFonts w:ascii="Times New Roman" w:eastAsia="Times New Roman" w:hAnsi="Times New Roman" w:cs="Times New Roman"/>
          <w:sz w:val="28"/>
          <w:szCs w:val="28"/>
          <w:lang w:eastAsia="ru-RU"/>
        </w:rPr>
        <w:t>в государственных и муниципальных общеобразовательных организациях (далее</w:t>
      </w:r>
      <w:r w:rsidR="00C97D8D">
        <w:rPr>
          <w:rFonts w:ascii="Times New Roman" w:eastAsia="Times New Roman" w:hAnsi="Times New Roman" w:cs="Times New Roman"/>
          <w:sz w:val="28"/>
          <w:szCs w:val="28"/>
          <w:lang w:eastAsia="ru-RU"/>
        </w:rPr>
        <w:t xml:space="preserve"> по тексту раздела</w:t>
      </w:r>
      <w:r w:rsidRPr="00207819">
        <w:rPr>
          <w:rFonts w:ascii="Times New Roman" w:eastAsia="Times New Roman" w:hAnsi="Times New Roman" w:cs="Times New Roman"/>
          <w:sz w:val="28"/>
          <w:szCs w:val="28"/>
          <w:lang w:eastAsia="ru-RU"/>
        </w:rPr>
        <w:t xml:space="preserve"> – </w:t>
      </w:r>
      <w:r w:rsidR="00C97D8D">
        <w:rPr>
          <w:rFonts w:ascii="Times New Roman" w:eastAsia="Times New Roman" w:hAnsi="Times New Roman" w:cs="Times New Roman"/>
          <w:sz w:val="28"/>
          <w:szCs w:val="28"/>
          <w:lang w:eastAsia="ru-RU"/>
        </w:rPr>
        <w:t>с</w:t>
      </w:r>
      <w:r w:rsidRPr="00207819">
        <w:rPr>
          <w:rFonts w:ascii="Times New Roman" w:eastAsia="Times New Roman" w:hAnsi="Times New Roman" w:cs="Times New Roman"/>
          <w:sz w:val="28"/>
          <w:szCs w:val="28"/>
          <w:lang w:eastAsia="ru-RU"/>
        </w:rPr>
        <w:t>убсидия).</w:t>
      </w:r>
    </w:p>
    <w:p w14:paraId="3C10D63C" w14:textId="77777777" w:rsidR="00207819" w:rsidRPr="00207819" w:rsidRDefault="00207819" w:rsidP="00207819">
      <w:pPr>
        <w:spacing w:after="0" w:line="312" w:lineRule="auto"/>
        <w:ind w:firstLine="709"/>
        <w:jc w:val="both"/>
        <w:rPr>
          <w:rFonts w:ascii="Times New Roman" w:eastAsia="Times New Roman" w:hAnsi="Times New Roman" w:cs="Times New Roman"/>
          <w:sz w:val="28"/>
          <w:szCs w:val="28"/>
          <w:lang w:eastAsia="ru-RU"/>
        </w:rPr>
      </w:pPr>
      <w:r w:rsidRPr="00207819">
        <w:rPr>
          <w:rFonts w:ascii="Times New Roman" w:eastAsia="Times New Roman" w:hAnsi="Times New Roman" w:cs="Times New Roman"/>
          <w:sz w:val="28"/>
          <w:szCs w:val="28"/>
          <w:lang w:eastAsia="ru-RU"/>
        </w:rPr>
        <w:t xml:space="preserve">В целях не снижения качества горячего питания Минпросвещения России направило органам исполнительной власти субъектов Российской Федерации, осуществляющим управление в сфере образования разъяснения по использованию экономии средств </w:t>
      </w:r>
      <w:r w:rsidR="00C97D8D">
        <w:rPr>
          <w:rFonts w:ascii="Times New Roman" w:eastAsia="Times New Roman" w:hAnsi="Times New Roman" w:cs="Times New Roman"/>
          <w:sz w:val="28"/>
          <w:szCs w:val="28"/>
          <w:lang w:eastAsia="ru-RU"/>
        </w:rPr>
        <w:t>с</w:t>
      </w:r>
      <w:r w:rsidRPr="00207819">
        <w:rPr>
          <w:rFonts w:ascii="Times New Roman" w:eastAsia="Times New Roman" w:hAnsi="Times New Roman" w:cs="Times New Roman"/>
          <w:sz w:val="28"/>
          <w:szCs w:val="28"/>
          <w:lang w:eastAsia="ru-RU"/>
        </w:rPr>
        <w:t>у</w:t>
      </w:r>
      <w:r w:rsidR="006762F2">
        <w:rPr>
          <w:rFonts w:ascii="Times New Roman" w:eastAsia="Times New Roman" w:hAnsi="Times New Roman" w:cs="Times New Roman"/>
          <w:sz w:val="28"/>
          <w:szCs w:val="28"/>
          <w:lang w:eastAsia="ru-RU"/>
        </w:rPr>
        <w:t xml:space="preserve">бсидии, образовавшейся в связи </w:t>
      </w:r>
      <w:r w:rsidRPr="00207819">
        <w:rPr>
          <w:rFonts w:ascii="Times New Roman" w:eastAsia="Times New Roman" w:hAnsi="Times New Roman" w:cs="Times New Roman"/>
          <w:sz w:val="28"/>
          <w:szCs w:val="28"/>
          <w:lang w:eastAsia="ru-RU"/>
        </w:rPr>
        <w:t>с фактической посещаемостью обучающихся.</w:t>
      </w:r>
    </w:p>
    <w:p w14:paraId="6CF79B54" w14:textId="77777777" w:rsidR="00207819" w:rsidRPr="00207819" w:rsidRDefault="00207819" w:rsidP="00207819">
      <w:pPr>
        <w:spacing w:after="0" w:line="312" w:lineRule="auto"/>
        <w:ind w:firstLine="709"/>
        <w:jc w:val="both"/>
        <w:rPr>
          <w:rFonts w:ascii="Times New Roman" w:eastAsia="Times New Roman" w:hAnsi="Times New Roman" w:cs="Times New Roman"/>
          <w:sz w:val="28"/>
          <w:szCs w:val="28"/>
          <w:lang w:eastAsia="ru-RU"/>
        </w:rPr>
      </w:pPr>
      <w:r w:rsidRPr="00207819">
        <w:rPr>
          <w:rFonts w:ascii="Times New Roman" w:eastAsia="Times New Roman" w:hAnsi="Times New Roman" w:cs="Times New Roman"/>
          <w:sz w:val="28"/>
          <w:szCs w:val="28"/>
          <w:lang w:eastAsia="ru-RU"/>
        </w:rPr>
        <w:t>Государственная поддержка перехода</w:t>
      </w:r>
      <w:r w:rsidR="00C97D8D">
        <w:rPr>
          <w:rFonts w:ascii="Times New Roman" w:eastAsia="Times New Roman" w:hAnsi="Times New Roman" w:cs="Times New Roman"/>
          <w:sz w:val="28"/>
          <w:szCs w:val="28"/>
          <w:lang w:eastAsia="ru-RU"/>
        </w:rPr>
        <w:t xml:space="preserve"> на бесплатное горячее питание </w:t>
      </w:r>
      <w:r w:rsidRPr="00207819">
        <w:rPr>
          <w:rFonts w:ascii="Times New Roman" w:eastAsia="Times New Roman" w:hAnsi="Times New Roman" w:cs="Times New Roman"/>
          <w:sz w:val="28"/>
          <w:szCs w:val="28"/>
          <w:lang w:eastAsia="ru-RU"/>
        </w:rPr>
        <w:t>за счет средств федерального бюджета осуществляется в зависимости от создания в образовательных организациях необходимой инфраструктуры, оснащения ее соответствующим</w:t>
      </w:r>
      <w:r w:rsidR="006762F2">
        <w:rPr>
          <w:rFonts w:ascii="Times New Roman" w:eastAsia="Times New Roman" w:hAnsi="Times New Roman" w:cs="Times New Roman"/>
          <w:sz w:val="28"/>
          <w:szCs w:val="28"/>
          <w:lang w:eastAsia="ru-RU"/>
        </w:rPr>
        <w:t xml:space="preserve"> оборудованием, в соответствии </w:t>
      </w:r>
      <w:r w:rsidRPr="00207819">
        <w:rPr>
          <w:rFonts w:ascii="Times New Roman" w:eastAsia="Times New Roman" w:hAnsi="Times New Roman" w:cs="Times New Roman"/>
          <w:sz w:val="28"/>
          <w:szCs w:val="28"/>
          <w:lang w:eastAsia="ru-RU"/>
        </w:rPr>
        <w:t>с установленными требованиями.</w:t>
      </w:r>
    </w:p>
    <w:p w14:paraId="720ED60E" w14:textId="77777777" w:rsidR="00207819" w:rsidRPr="00207819" w:rsidRDefault="00207819" w:rsidP="00207819">
      <w:pPr>
        <w:spacing w:after="0" w:line="312" w:lineRule="auto"/>
        <w:ind w:firstLine="709"/>
        <w:jc w:val="both"/>
        <w:rPr>
          <w:rFonts w:ascii="Times New Roman" w:eastAsia="Times New Roman" w:hAnsi="Times New Roman" w:cs="Times New Roman"/>
          <w:sz w:val="28"/>
          <w:szCs w:val="28"/>
          <w:lang w:eastAsia="ru-RU"/>
        </w:rPr>
      </w:pPr>
      <w:r w:rsidRPr="00207819">
        <w:rPr>
          <w:rFonts w:ascii="Times New Roman" w:eastAsia="Times New Roman" w:hAnsi="Times New Roman" w:cs="Times New Roman"/>
          <w:sz w:val="28"/>
          <w:szCs w:val="28"/>
          <w:lang w:eastAsia="ru-RU"/>
        </w:rPr>
        <w:t>В целях организации контроля готовности пищеблоков и столовых образовательных организаций на соответствие требованиям Роспотребнадзора, его территориальными органами осуществляется мониторинг за условиями и качеством п</w:t>
      </w:r>
      <w:r w:rsidR="006762F2">
        <w:rPr>
          <w:rFonts w:ascii="Times New Roman" w:eastAsia="Times New Roman" w:hAnsi="Times New Roman" w:cs="Times New Roman"/>
          <w:sz w:val="28"/>
          <w:szCs w:val="28"/>
          <w:lang w:eastAsia="ru-RU"/>
        </w:rPr>
        <w:t xml:space="preserve">редоставления горячего питания </w:t>
      </w:r>
      <w:r w:rsidRPr="00207819">
        <w:rPr>
          <w:rFonts w:ascii="Times New Roman" w:eastAsia="Times New Roman" w:hAnsi="Times New Roman" w:cs="Times New Roman"/>
          <w:sz w:val="28"/>
          <w:szCs w:val="28"/>
          <w:lang w:eastAsia="ru-RU"/>
        </w:rPr>
        <w:t>в образовательных организациях.</w:t>
      </w:r>
    </w:p>
    <w:p w14:paraId="3E36D0B2" w14:textId="77777777" w:rsidR="00207819" w:rsidRPr="00207819" w:rsidRDefault="00207819" w:rsidP="00207819">
      <w:pPr>
        <w:spacing w:after="0" w:line="312" w:lineRule="auto"/>
        <w:ind w:firstLine="709"/>
        <w:jc w:val="both"/>
        <w:rPr>
          <w:rFonts w:ascii="Times New Roman" w:eastAsia="Times New Roman" w:hAnsi="Times New Roman" w:cs="Times New Roman"/>
          <w:sz w:val="28"/>
          <w:szCs w:val="28"/>
          <w:lang w:eastAsia="ru-RU"/>
        </w:rPr>
      </w:pPr>
      <w:r w:rsidRPr="00207819">
        <w:rPr>
          <w:rFonts w:ascii="Times New Roman" w:eastAsia="Times New Roman" w:hAnsi="Times New Roman" w:cs="Times New Roman"/>
          <w:sz w:val="28"/>
          <w:szCs w:val="28"/>
          <w:lang w:eastAsia="ru-RU"/>
        </w:rPr>
        <w:t>Учитывая значимость поставленной задачи, создание необходимой инфраструктуры и оснащение образовательных организаций соответствующим оборудованием проводится в субъектах Российской Федерации в планово- опережающем режиме.</w:t>
      </w:r>
    </w:p>
    <w:p w14:paraId="57F10F02" w14:textId="77777777" w:rsidR="00207819" w:rsidRPr="00207819" w:rsidRDefault="00207819" w:rsidP="00207819">
      <w:pPr>
        <w:spacing w:after="0" w:line="312" w:lineRule="auto"/>
        <w:ind w:firstLine="709"/>
        <w:jc w:val="both"/>
        <w:rPr>
          <w:rFonts w:ascii="Times New Roman" w:eastAsia="Times New Roman" w:hAnsi="Times New Roman" w:cs="Times New Roman"/>
          <w:sz w:val="28"/>
          <w:szCs w:val="28"/>
          <w:lang w:eastAsia="ru-RU"/>
        </w:rPr>
      </w:pPr>
      <w:r w:rsidRPr="00207819">
        <w:rPr>
          <w:rFonts w:ascii="Times New Roman" w:eastAsia="Times New Roman" w:hAnsi="Times New Roman" w:cs="Times New Roman"/>
          <w:sz w:val="28"/>
          <w:szCs w:val="28"/>
          <w:lang w:eastAsia="ru-RU"/>
        </w:rPr>
        <w:t xml:space="preserve">За период </w:t>
      </w:r>
      <w:r w:rsidR="00A07FC3">
        <w:rPr>
          <w:rFonts w:ascii="Times New Roman" w:eastAsia="Times New Roman" w:hAnsi="Times New Roman" w:cs="Times New Roman"/>
          <w:sz w:val="28"/>
          <w:szCs w:val="28"/>
          <w:lang w:eastAsia="ru-RU"/>
        </w:rPr>
        <w:t>2017-2021 гг.</w:t>
      </w:r>
      <w:r w:rsidRPr="00207819">
        <w:rPr>
          <w:rFonts w:ascii="Times New Roman" w:eastAsia="Times New Roman" w:hAnsi="Times New Roman" w:cs="Times New Roman"/>
          <w:sz w:val="28"/>
          <w:szCs w:val="28"/>
          <w:lang w:eastAsia="ru-RU"/>
        </w:rPr>
        <w:t xml:space="preserve"> отм</w:t>
      </w:r>
      <w:r w:rsidR="006762F2">
        <w:rPr>
          <w:rFonts w:ascii="Times New Roman" w:eastAsia="Times New Roman" w:hAnsi="Times New Roman" w:cs="Times New Roman"/>
          <w:sz w:val="28"/>
          <w:szCs w:val="28"/>
          <w:lang w:eastAsia="ru-RU"/>
        </w:rPr>
        <w:t xml:space="preserve">ечается положительная динамика </w:t>
      </w:r>
      <w:r w:rsidRPr="00207819">
        <w:rPr>
          <w:rFonts w:ascii="Times New Roman" w:eastAsia="Times New Roman" w:hAnsi="Times New Roman" w:cs="Times New Roman"/>
          <w:sz w:val="28"/>
          <w:szCs w:val="28"/>
          <w:lang w:eastAsia="ru-RU"/>
        </w:rPr>
        <w:t>по количеству общеобразовательных организаций, в которых были созданы условия для питания обучающихся. Удельный вес таких общеобразовательных организац</w:t>
      </w:r>
      <w:r w:rsidR="00C97D8D">
        <w:rPr>
          <w:rFonts w:ascii="Times New Roman" w:eastAsia="Times New Roman" w:hAnsi="Times New Roman" w:cs="Times New Roman"/>
          <w:sz w:val="28"/>
          <w:szCs w:val="28"/>
          <w:lang w:eastAsia="ru-RU"/>
        </w:rPr>
        <w:t>ий за 5 лет сократился в 7 раз.</w:t>
      </w:r>
    </w:p>
    <w:p w14:paraId="55D9B177" w14:textId="77777777" w:rsidR="00207819" w:rsidRPr="00207819" w:rsidRDefault="00207819" w:rsidP="00207819">
      <w:pPr>
        <w:spacing w:after="0" w:line="312" w:lineRule="auto"/>
        <w:ind w:firstLine="709"/>
        <w:jc w:val="both"/>
        <w:rPr>
          <w:rFonts w:ascii="Times New Roman" w:eastAsia="Times New Roman" w:hAnsi="Times New Roman" w:cs="Times New Roman"/>
          <w:sz w:val="28"/>
          <w:szCs w:val="28"/>
          <w:lang w:eastAsia="ru-RU"/>
        </w:rPr>
      </w:pPr>
      <w:r w:rsidRPr="00207819">
        <w:rPr>
          <w:rFonts w:ascii="Times New Roman" w:eastAsia="Times New Roman" w:hAnsi="Times New Roman" w:cs="Times New Roman"/>
          <w:sz w:val="28"/>
          <w:szCs w:val="28"/>
          <w:lang w:eastAsia="ru-RU"/>
        </w:rPr>
        <w:t>В настоящее время все обучающиеся, получающие начальное общее образование в более чем 39 тыс. государственных и муниципальных общеобразовательных организациях, обеспечены бесплатным горячим питанием.</w:t>
      </w:r>
    </w:p>
    <w:p w14:paraId="1B7A1818" w14:textId="174A077C" w:rsidR="00207819" w:rsidRPr="00207819" w:rsidRDefault="00207819" w:rsidP="00207819">
      <w:pPr>
        <w:spacing w:after="0" w:line="312" w:lineRule="auto"/>
        <w:ind w:firstLine="709"/>
        <w:jc w:val="both"/>
        <w:rPr>
          <w:rFonts w:ascii="Times New Roman" w:eastAsia="Times New Roman" w:hAnsi="Times New Roman" w:cs="Times New Roman"/>
          <w:sz w:val="28"/>
          <w:szCs w:val="28"/>
          <w:lang w:eastAsia="ru-RU"/>
        </w:rPr>
      </w:pPr>
      <w:r w:rsidRPr="00207819">
        <w:rPr>
          <w:rFonts w:ascii="Times New Roman" w:eastAsia="Times New Roman" w:hAnsi="Times New Roman" w:cs="Times New Roman"/>
          <w:sz w:val="28"/>
          <w:szCs w:val="28"/>
          <w:lang w:eastAsia="ru-RU"/>
        </w:rPr>
        <w:t>Согласно оценке материально-технического состояния школьных пищеблоков, проводимой Роспотребнадзором в период с 1 сентября 2020 г</w:t>
      </w:r>
      <w:r w:rsidR="005360FA">
        <w:rPr>
          <w:rFonts w:ascii="Times New Roman" w:eastAsia="Times New Roman" w:hAnsi="Times New Roman" w:cs="Times New Roman"/>
          <w:sz w:val="28"/>
          <w:szCs w:val="28"/>
          <w:lang w:eastAsia="ru-RU"/>
        </w:rPr>
        <w:t xml:space="preserve">. </w:t>
      </w:r>
      <w:r w:rsidRPr="00207819">
        <w:rPr>
          <w:rFonts w:ascii="Times New Roman" w:eastAsia="Times New Roman" w:hAnsi="Times New Roman" w:cs="Times New Roman"/>
          <w:sz w:val="28"/>
          <w:szCs w:val="28"/>
          <w:lang w:eastAsia="ru-RU"/>
        </w:rPr>
        <w:t>по 31 декабря 2021 г</w:t>
      </w:r>
      <w:r w:rsidR="00905737">
        <w:rPr>
          <w:rFonts w:ascii="Times New Roman" w:eastAsia="Times New Roman" w:hAnsi="Times New Roman" w:cs="Times New Roman"/>
          <w:sz w:val="28"/>
          <w:szCs w:val="28"/>
          <w:lang w:eastAsia="ru-RU"/>
        </w:rPr>
        <w:t>.</w:t>
      </w:r>
      <w:r w:rsidR="00C97D8D">
        <w:rPr>
          <w:rFonts w:ascii="Times New Roman" w:eastAsia="Times New Roman" w:hAnsi="Times New Roman" w:cs="Times New Roman"/>
          <w:sz w:val="28"/>
          <w:szCs w:val="28"/>
          <w:lang w:eastAsia="ru-RU"/>
        </w:rPr>
        <w:t>,</w:t>
      </w:r>
      <w:r w:rsidRPr="00207819">
        <w:rPr>
          <w:rFonts w:ascii="Times New Roman" w:eastAsia="Times New Roman" w:hAnsi="Times New Roman" w:cs="Times New Roman"/>
          <w:sz w:val="28"/>
          <w:szCs w:val="28"/>
          <w:lang w:eastAsia="ru-RU"/>
        </w:rPr>
        <w:t xml:space="preserve"> замечания к материально-технической базе пищеблоков устранены в 2 140 из 2 261 общеобразовательной организации, имевшей замечания к началу 2020/21 учебного года.</w:t>
      </w:r>
    </w:p>
    <w:p w14:paraId="35FB1FD8" w14:textId="77777777" w:rsidR="00207819" w:rsidRPr="00207819" w:rsidRDefault="00207819" w:rsidP="00207819">
      <w:pPr>
        <w:spacing w:after="0" w:line="312" w:lineRule="auto"/>
        <w:ind w:firstLine="709"/>
        <w:jc w:val="both"/>
        <w:rPr>
          <w:rFonts w:ascii="Times New Roman" w:eastAsia="Times New Roman" w:hAnsi="Times New Roman" w:cs="Times New Roman"/>
          <w:sz w:val="28"/>
          <w:szCs w:val="28"/>
          <w:lang w:eastAsia="ru-RU"/>
        </w:rPr>
      </w:pPr>
      <w:r w:rsidRPr="00207819">
        <w:rPr>
          <w:rFonts w:ascii="Times New Roman" w:eastAsia="Times New Roman" w:hAnsi="Times New Roman" w:cs="Times New Roman"/>
          <w:sz w:val="28"/>
          <w:szCs w:val="28"/>
          <w:lang w:eastAsia="ru-RU"/>
        </w:rPr>
        <w:t>Реализация мер по созданию условий для обеспече</w:t>
      </w:r>
      <w:r w:rsidR="00C97D8D">
        <w:rPr>
          <w:rFonts w:ascii="Times New Roman" w:eastAsia="Times New Roman" w:hAnsi="Times New Roman" w:cs="Times New Roman"/>
          <w:sz w:val="28"/>
          <w:szCs w:val="28"/>
          <w:lang w:eastAsia="ru-RU"/>
        </w:rPr>
        <w:t>ния обучающихся начальной школы</w:t>
      </w:r>
      <w:r w:rsidRPr="00207819">
        <w:rPr>
          <w:rFonts w:ascii="Times New Roman" w:eastAsia="Times New Roman" w:hAnsi="Times New Roman" w:cs="Times New Roman"/>
          <w:sz w:val="28"/>
          <w:szCs w:val="28"/>
          <w:lang w:eastAsia="ru-RU"/>
        </w:rPr>
        <w:t xml:space="preserve"> бесплатным горячим питанием позволила решить вопросы по созданию необходимых условий в 2 140 </w:t>
      </w:r>
      <w:r w:rsidR="001532E8">
        <w:rPr>
          <w:rFonts w:ascii="Times New Roman" w:eastAsia="Times New Roman" w:hAnsi="Times New Roman" w:cs="Times New Roman"/>
          <w:sz w:val="28"/>
          <w:szCs w:val="28"/>
          <w:lang w:eastAsia="ru-RU"/>
        </w:rPr>
        <w:t>общеобразовательных организациях</w:t>
      </w:r>
      <w:r w:rsidRPr="00207819">
        <w:rPr>
          <w:rFonts w:ascii="Times New Roman" w:eastAsia="Times New Roman" w:hAnsi="Times New Roman" w:cs="Times New Roman"/>
          <w:sz w:val="28"/>
          <w:szCs w:val="28"/>
          <w:lang w:eastAsia="ru-RU"/>
        </w:rPr>
        <w:t xml:space="preserve"> и с начала 2020/21 учебного года обеспечить всех обучающихся, осваивающи</w:t>
      </w:r>
      <w:r w:rsidR="00C97D8D">
        <w:rPr>
          <w:rFonts w:ascii="Times New Roman" w:eastAsia="Times New Roman" w:hAnsi="Times New Roman" w:cs="Times New Roman"/>
          <w:sz w:val="28"/>
          <w:szCs w:val="28"/>
          <w:lang w:eastAsia="ru-RU"/>
        </w:rPr>
        <w:t>х</w:t>
      </w:r>
      <w:r w:rsidRPr="00207819">
        <w:rPr>
          <w:rFonts w:ascii="Times New Roman" w:eastAsia="Times New Roman" w:hAnsi="Times New Roman" w:cs="Times New Roman"/>
          <w:sz w:val="28"/>
          <w:szCs w:val="28"/>
          <w:lang w:eastAsia="ru-RU"/>
        </w:rPr>
        <w:t xml:space="preserve"> образовательные программы начального общего</w:t>
      </w:r>
      <w:r w:rsidR="006762F2">
        <w:rPr>
          <w:rFonts w:ascii="Times New Roman" w:eastAsia="Times New Roman" w:hAnsi="Times New Roman" w:cs="Times New Roman"/>
          <w:sz w:val="28"/>
          <w:szCs w:val="28"/>
          <w:lang w:eastAsia="ru-RU"/>
        </w:rPr>
        <w:t xml:space="preserve"> образования в государственных </w:t>
      </w:r>
      <w:r w:rsidRPr="00207819">
        <w:rPr>
          <w:rFonts w:ascii="Times New Roman" w:eastAsia="Times New Roman" w:hAnsi="Times New Roman" w:cs="Times New Roman"/>
          <w:sz w:val="28"/>
          <w:szCs w:val="28"/>
          <w:lang w:eastAsia="ru-RU"/>
        </w:rPr>
        <w:t>и муниципальных образовательных о</w:t>
      </w:r>
      <w:r w:rsidR="006762F2">
        <w:rPr>
          <w:rFonts w:ascii="Times New Roman" w:eastAsia="Times New Roman" w:hAnsi="Times New Roman" w:cs="Times New Roman"/>
          <w:sz w:val="28"/>
          <w:szCs w:val="28"/>
          <w:lang w:eastAsia="ru-RU"/>
        </w:rPr>
        <w:t xml:space="preserve">рганизациях, горячим питанием, </w:t>
      </w:r>
      <w:r w:rsidRPr="00207819">
        <w:rPr>
          <w:rFonts w:ascii="Times New Roman" w:eastAsia="Times New Roman" w:hAnsi="Times New Roman" w:cs="Times New Roman"/>
          <w:sz w:val="28"/>
          <w:szCs w:val="28"/>
          <w:lang w:eastAsia="ru-RU"/>
        </w:rPr>
        <w:t xml:space="preserve">за исключением обучающихся в 33 малокомплектных и труднодоступных </w:t>
      </w:r>
      <w:r w:rsidR="001532E8">
        <w:rPr>
          <w:rFonts w:ascii="Times New Roman" w:eastAsia="Times New Roman" w:hAnsi="Times New Roman" w:cs="Times New Roman"/>
          <w:sz w:val="28"/>
          <w:szCs w:val="28"/>
          <w:lang w:eastAsia="ru-RU"/>
        </w:rPr>
        <w:t>общеобразовательных организациях</w:t>
      </w:r>
      <w:r w:rsidRPr="00207819">
        <w:rPr>
          <w:rFonts w:ascii="Times New Roman" w:eastAsia="Times New Roman" w:hAnsi="Times New Roman" w:cs="Times New Roman"/>
          <w:sz w:val="28"/>
          <w:szCs w:val="28"/>
          <w:lang w:eastAsia="ru-RU"/>
        </w:rPr>
        <w:t xml:space="preserve"> из-за отсутствия пищеблоков, в которых горячее питание заменено выдачей продуктовых наборов</w:t>
      </w:r>
      <w:r w:rsidR="00C97D8D">
        <w:rPr>
          <w:rFonts w:ascii="Times New Roman" w:eastAsia="Times New Roman" w:hAnsi="Times New Roman" w:cs="Times New Roman"/>
          <w:sz w:val="28"/>
          <w:szCs w:val="28"/>
          <w:lang w:eastAsia="ru-RU"/>
        </w:rPr>
        <w:t>, в 3 субъектах Российской Федерации</w:t>
      </w:r>
      <w:r w:rsidRPr="00207819">
        <w:rPr>
          <w:rFonts w:ascii="Times New Roman" w:eastAsia="Times New Roman" w:hAnsi="Times New Roman" w:cs="Times New Roman"/>
          <w:sz w:val="28"/>
          <w:szCs w:val="28"/>
          <w:lang w:eastAsia="ru-RU"/>
        </w:rPr>
        <w:t>.</w:t>
      </w:r>
    </w:p>
    <w:p w14:paraId="7E01741C" w14:textId="443644D1" w:rsidR="00207819" w:rsidRPr="00207819" w:rsidRDefault="00207819" w:rsidP="00C97D8D">
      <w:pPr>
        <w:spacing w:after="0" w:line="312" w:lineRule="auto"/>
        <w:ind w:firstLine="709"/>
        <w:jc w:val="both"/>
        <w:rPr>
          <w:rFonts w:ascii="Times New Roman" w:eastAsia="Times New Roman" w:hAnsi="Times New Roman" w:cs="Times New Roman"/>
          <w:sz w:val="28"/>
          <w:szCs w:val="28"/>
          <w:lang w:eastAsia="ru-RU"/>
        </w:rPr>
      </w:pPr>
      <w:r w:rsidRPr="00207819">
        <w:rPr>
          <w:rFonts w:ascii="Times New Roman" w:eastAsia="Times New Roman" w:hAnsi="Times New Roman" w:cs="Times New Roman"/>
          <w:sz w:val="28"/>
          <w:szCs w:val="28"/>
          <w:lang w:eastAsia="ru-RU"/>
        </w:rPr>
        <w:t>На 31 декабря 2021 г. на контроле оставалось 83 образовательны</w:t>
      </w:r>
      <w:r w:rsidR="001532E8">
        <w:rPr>
          <w:rFonts w:ascii="Times New Roman" w:eastAsia="Times New Roman" w:hAnsi="Times New Roman" w:cs="Times New Roman"/>
          <w:sz w:val="28"/>
          <w:szCs w:val="28"/>
          <w:lang w:eastAsia="ru-RU"/>
        </w:rPr>
        <w:t>х</w:t>
      </w:r>
      <w:r w:rsidRPr="00207819">
        <w:rPr>
          <w:rFonts w:ascii="Times New Roman" w:eastAsia="Times New Roman" w:hAnsi="Times New Roman" w:cs="Times New Roman"/>
          <w:sz w:val="28"/>
          <w:szCs w:val="28"/>
          <w:lang w:eastAsia="ru-RU"/>
        </w:rPr>
        <w:t xml:space="preserve"> организации в 4 субъектах Российской Федерации (Республика Крым – 78</w:t>
      </w:r>
      <w:r w:rsidR="00C97D8D">
        <w:rPr>
          <w:rFonts w:ascii="Times New Roman" w:eastAsia="Times New Roman" w:hAnsi="Times New Roman" w:cs="Times New Roman"/>
          <w:sz w:val="28"/>
          <w:szCs w:val="28"/>
          <w:lang w:eastAsia="ru-RU"/>
        </w:rPr>
        <w:t xml:space="preserve"> организаций</w:t>
      </w:r>
      <w:r w:rsidRPr="00207819">
        <w:rPr>
          <w:rFonts w:ascii="Times New Roman" w:eastAsia="Times New Roman" w:hAnsi="Times New Roman" w:cs="Times New Roman"/>
          <w:sz w:val="28"/>
          <w:szCs w:val="28"/>
          <w:lang w:eastAsia="ru-RU"/>
        </w:rPr>
        <w:t>, Астраханская область – 2</w:t>
      </w:r>
      <w:r w:rsidR="00C97D8D">
        <w:rPr>
          <w:rFonts w:ascii="Times New Roman" w:eastAsia="Times New Roman" w:hAnsi="Times New Roman" w:cs="Times New Roman"/>
          <w:sz w:val="28"/>
          <w:szCs w:val="28"/>
          <w:lang w:eastAsia="ru-RU"/>
        </w:rPr>
        <w:t xml:space="preserve"> организации</w:t>
      </w:r>
      <w:r w:rsidRPr="00207819">
        <w:rPr>
          <w:rFonts w:ascii="Times New Roman" w:eastAsia="Times New Roman" w:hAnsi="Times New Roman" w:cs="Times New Roman"/>
          <w:sz w:val="28"/>
          <w:szCs w:val="28"/>
          <w:lang w:eastAsia="ru-RU"/>
        </w:rPr>
        <w:t>, Хабаровский край – 2</w:t>
      </w:r>
      <w:r w:rsidR="00C97D8D">
        <w:rPr>
          <w:rFonts w:ascii="Times New Roman" w:eastAsia="Times New Roman" w:hAnsi="Times New Roman" w:cs="Times New Roman"/>
          <w:sz w:val="28"/>
          <w:szCs w:val="28"/>
          <w:lang w:eastAsia="ru-RU"/>
        </w:rPr>
        <w:t xml:space="preserve"> организации</w:t>
      </w:r>
      <w:r w:rsidRPr="00207819">
        <w:rPr>
          <w:rFonts w:ascii="Times New Roman" w:eastAsia="Times New Roman" w:hAnsi="Times New Roman" w:cs="Times New Roman"/>
          <w:sz w:val="28"/>
          <w:szCs w:val="28"/>
          <w:lang w:eastAsia="ru-RU"/>
        </w:rPr>
        <w:t>, Псковская область – 1</w:t>
      </w:r>
      <w:r w:rsidR="00C97D8D">
        <w:rPr>
          <w:rFonts w:ascii="Times New Roman" w:eastAsia="Times New Roman" w:hAnsi="Times New Roman" w:cs="Times New Roman"/>
          <w:sz w:val="28"/>
          <w:szCs w:val="28"/>
          <w:lang w:eastAsia="ru-RU"/>
        </w:rPr>
        <w:t xml:space="preserve"> организация</w:t>
      </w:r>
      <w:r w:rsidRPr="00207819">
        <w:rPr>
          <w:rFonts w:ascii="Times New Roman" w:eastAsia="Times New Roman" w:hAnsi="Times New Roman" w:cs="Times New Roman"/>
          <w:sz w:val="28"/>
          <w:szCs w:val="28"/>
          <w:lang w:eastAsia="ru-RU"/>
        </w:rPr>
        <w:t>), мероприятия в которых проводятся в соответствии с разработанными органами исполнительной власти субъектов Российской Федерации дорожными картами и установленными в них сроками, и 38 малокомплектных образовательных организаци</w:t>
      </w:r>
      <w:r w:rsidR="001532E8">
        <w:rPr>
          <w:rFonts w:ascii="Times New Roman" w:eastAsia="Times New Roman" w:hAnsi="Times New Roman" w:cs="Times New Roman"/>
          <w:sz w:val="28"/>
          <w:szCs w:val="28"/>
          <w:lang w:eastAsia="ru-RU"/>
        </w:rPr>
        <w:t>ях</w:t>
      </w:r>
      <w:r w:rsidRPr="00207819">
        <w:rPr>
          <w:rFonts w:ascii="Times New Roman" w:eastAsia="Times New Roman" w:hAnsi="Times New Roman" w:cs="Times New Roman"/>
          <w:sz w:val="28"/>
          <w:szCs w:val="28"/>
          <w:lang w:eastAsia="ru-RU"/>
        </w:rPr>
        <w:t xml:space="preserve"> в труднодоступной местности в 3 субъектах Российской Федерации (Красноярский край – 18 </w:t>
      </w:r>
      <w:r w:rsidR="00246C5C">
        <w:rPr>
          <w:rFonts w:ascii="Times New Roman" w:eastAsia="Times New Roman" w:hAnsi="Times New Roman" w:cs="Times New Roman"/>
          <w:sz w:val="28"/>
          <w:szCs w:val="28"/>
          <w:lang w:eastAsia="ru-RU"/>
        </w:rPr>
        <w:t>организаций</w:t>
      </w:r>
      <w:r w:rsidRPr="00207819">
        <w:rPr>
          <w:rFonts w:ascii="Times New Roman" w:eastAsia="Times New Roman" w:hAnsi="Times New Roman" w:cs="Times New Roman"/>
          <w:sz w:val="28"/>
          <w:szCs w:val="28"/>
          <w:lang w:eastAsia="ru-RU"/>
        </w:rPr>
        <w:t xml:space="preserve">, Архангельская </w:t>
      </w:r>
      <w:r w:rsidR="005360FA">
        <w:rPr>
          <w:rFonts w:ascii="Times New Roman" w:eastAsia="Times New Roman" w:hAnsi="Times New Roman" w:cs="Times New Roman"/>
          <w:sz w:val="28"/>
          <w:szCs w:val="28"/>
          <w:lang w:eastAsia="ru-RU"/>
        </w:rPr>
        <w:br/>
      </w:r>
      <w:r w:rsidRPr="00207819">
        <w:rPr>
          <w:rFonts w:ascii="Times New Roman" w:eastAsia="Times New Roman" w:hAnsi="Times New Roman" w:cs="Times New Roman"/>
          <w:sz w:val="28"/>
          <w:szCs w:val="28"/>
          <w:lang w:eastAsia="ru-RU"/>
        </w:rPr>
        <w:t xml:space="preserve">область – 15 </w:t>
      </w:r>
      <w:r w:rsidR="00246C5C">
        <w:rPr>
          <w:rFonts w:ascii="Times New Roman" w:eastAsia="Times New Roman" w:hAnsi="Times New Roman" w:cs="Times New Roman"/>
          <w:sz w:val="28"/>
          <w:szCs w:val="28"/>
          <w:lang w:eastAsia="ru-RU"/>
        </w:rPr>
        <w:t>организаций</w:t>
      </w:r>
      <w:r w:rsidRPr="00207819">
        <w:rPr>
          <w:rFonts w:ascii="Times New Roman" w:eastAsia="Times New Roman" w:hAnsi="Times New Roman" w:cs="Times New Roman"/>
          <w:sz w:val="28"/>
          <w:szCs w:val="28"/>
          <w:lang w:eastAsia="ru-RU"/>
        </w:rPr>
        <w:t xml:space="preserve">, Республика Бурятия – 5 </w:t>
      </w:r>
      <w:r w:rsidR="00246C5C">
        <w:rPr>
          <w:rFonts w:ascii="Times New Roman" w:eastAsia="Times New Roman" w:hAnsi="Times New Roman" w:cs="Times New Roman"/>
          <w:sz w:val="28"/>
          <w:szCs w:val="28"/>
          <w:lang w:eastAsia="ru-RU"/>
        </w:rPr>
        <w:t>организаций</w:t>
      </w:r>
      <w:r w:rsidRPr="00207819">
        <w:rPr>
          <w:rFonts w:ascii="Times New Roman" w:eastAsia="Times New Roman" w:hAnsi="Times New Roman" w:cs="Times New Roman"/>
          <w:sz w:val="28"/>
          <w:szCs w:val="28"/>
          <w:lang w:eastAsia="ru-RU"/>
        </w:rPr>
        <w:t>), где для обучающихся 1-4 классов организована большая перемена для приема пищи детьми дома и горячее питание заменено выдачей продуктовых наборов за счет средств регионального бюджета.</w:t>
      </w:r>
    </w:p>
    <w:p w14:paraId="18D063CA" w14:textId="77777777" w:rsidR="00207819" w:rsidRPr="00207819" w:rsidRDefault="00207819" w:rsidP="00207819">
      <w:pPr>
        <w:spacing w:after="0" w:line="312" w:lineRule="auto"/>
        <w:ind w:firstLine="709"/>
        <w:jc w:val="both"/>
        <w:rPr>
          <w:rFonts w:ascii="Times New Roman" w:eastAsia="Times New Roman" w:hAnsi="Times New Roman" w:cs="Times New Roman"/>
          <w:sz w:val="28"/>
          <w:szCs w:val="28"/>
          <w:lang w:eastAsia="ru-RU"/>
        </w:rPr>
      </w:pPr>
      <w:r w:rsidRPr="00207819">
        <w:rPr>
          <w:rFonts w:ascii="Times New Roman" w:eastAsia="Times New Roman" w:hAnsi="Times New Roman" w:cs="Times New Roman"/>
          <w:sz w:val="28"/>
          <w:szCs w:val="28"/>
          <w:lang w:eastAsia="ru-RU"/>
        </w:rPr>
        <w:t>Во всех субъектах Ро</w:t>
      </w:r>
      <w:r w:rsidR="00560A42">
        <w:rPr>
          <w:rFonts w:ascii="Times New Roman" w:eastAsia="Times New Roman" w:hAnsi="Times New Roman" w:cs="Times New Roman"/>
          <w:sz w:val="28"/>
          <w:szCs w:val="28"/>
          <w:lang w:eastAsia="ru-RU"/>
        </w:rPr>
        <w:t>ссийской Федерации обеспечен 99</w:t>
      </w:r>
      <w:r w:rsidRPr="00207819">
        <w:rPr>
          <w:rFonts w:ascii="Times New Roman" w:eastAsia="Times New Roman" w:hAnsi="Times New Roman" w:cs="Times New Roman"/>
          <w:sz w:val="28"/>
          <w:szCs w:val="28"/>
          <w:lang w:eastAsia="ru-RU"/>
        </w:rPr>
        <w:t>% охват горячим питанием обучающихся, осваивающих образовательные программы начального общего образования</w:t>
      </w:r>
      <w:r w:rsidR="00560A42">
        <w:rPr>
          <w:rFonts w:ascii="Times New Roman" w:eastAsia="Times New Roman" w:hAnsi="Times New Roman" w:cs="Times New Roman"/>
          <w:sz w:val="28"/>
          <w:szCs w:val="28"/>
          <w:lang w:eastAsia="ru-RU"/>
        </w:rPr>
        <w:t>,</w:t>
      </w:r>
      <w:r w:rsidRPr="00207819">
        <w:rPr>
          <w:rFonts w:ascii="Times New Roman" w:eastAsia="Times New Roman" w:hAnsi="Times New Roman" w:cs="Times New Roman"/>
          <w:sz w:val="28"/>
          <w:szCs w:val="28"/>
          <w:lang w:eastAsia="ru-RU"/>
        </w:rPr>
        <w:t xml:space="preserve"> и практически во всех школах при исследовании готовых блюд установлен достаточный состав в них витаминов и микронутриентов.</w:t>
      </w:r>
    </w:p>
    <w:p w14:paraId="0D90FB8D" w14:textId="77777777" w:rsidR="00207819" w:rsidRPr="00207819" w:rsidRDefault="00207819" w:rsidP="00207819">
      <w:pPr>
        <w:spacing w:after="0" w:line="312" w:lineRule="auto"/>
        <w:ind w:firstLine="709"/>
        <w:jc w:val="both"/>
        <w:rPr>
          <w:rFonts w:ascii="Times New Roman" w:eastAsia="Times New Roman" w:hAnsi="Times New Roman" w:cs="Times New Roman"/>
          <w:sz w:val="28"/>
          <w:szCs w:val="28"/>
          <w:lang w:eastAsia="ru-RU"/>
        </w:rPr>
      </w:pPr>
      <w:r w:rsidRPr="00207819">
        <w:rPr>
          <w:rFonts w:ascii="Times New Roman" w:eastAsia="Times New Roman" w:hAnsi="Times New Roman" w:cs="Times New Roman"/>
          <w:sz w:val="28"/>
          <w:szCs w:val="28"/>
          <w:lang w:eastAsia="ru-RU"/>
        </w:rPr>
        <w:t>Результаты контрольно-надзорн</w:t>
      </w:r>
      <w:r w:rsidR="006762F2">
        <w:rPr>
          <w:rFonts w:ascii="Times New Roman" w:eastAsia="Times New Roman" w:hAnsi="Times New Roman" w:cs="Times New Roman"/>
          <w:sz w:val="28"/>
          <w:szCs w:val="28"/>
          <w:lang w:eastAsia="ru-RU"/>
        </w:rPr>
        <w:t xml:space="preserve">ых мероприятий свидетельствуют </w:t>
      </w:r>
      <w:r w:rsidRPr="00207819">
        <w:rPr>
          <w:rFonts w:ascii="Times New Roman" w:eastAsia="Times New Roman" w:hAnsi="Times New Roman" w:cs="Times New Roman"/>
          <w:sz w:val="28"/>
          <w:szCs w:val="28"/>
          <w:lang w:eastAsia="ru-RU"/>
        </w:rPr>
        <w:t>о сокращении более чем в 4 раза частоты нарушений при рассмотрении меню, в том числе в части сниже</w:t>
      </w:r>
      <w:r w:rsidR="006762F2">
        <w:rPr>
          <w:rFonts w:ascii="Times New Roman" w:eastAsia="Times New Roman" w:hAnsi="Times New Roman" w:cs="Times New Roman"/>
          <w:sz w:val="28"/>
          <w:szCs w:val="28"/>
          <w:lang w:eastAsia="ru-RU"/>
        </w:rPr>
        <w:t xml:space="preserve">ния числа нарушений, связанных </w:t>
      </w:r>
      <w:r w:rsidRPr="00207819">
        <w:rPr>
          <w:rFonts w:ascii="Times New Roman" w:eastAsia="Times New Roman" w:hAnsi="Times New Roman" w:cs="Times New Roman"/>
          <w:sz w:val="28"/>
          <w:szCs w:val="28"/>
          <w:lang w:eastAsia="ru-RU"/>
        </w:rPr>
        <w:t>с включением в меню колбасных изделий, превышением содержания сахара – в 7,5 раз, соли – в 4 раза, отсутствием в меню фруктов и овощей – более чем в 2 раза.</w:t>
      </w:r>
    </w:p>
    <w:p w14:paraId="0E0F086C" w14:textId="70FADBDE" w:rsidR="00207819" w:rsidRPr="00207819" w:rsidRDefault="00207819" w:rsidP="00207819">
      <w:pPr>
        <w:spacing w:after="0" w:line="312" w:lineRule="auto"/>
        <w:ind w:firstLine="709"/>
        <w:jc w:val="both"/>
        <w:rPr>
          <w:rFonts w:ascii="Times New Roman" w:eastAsia="Times New Roman" w:hAnsi="Times New Roman" w:cs="Times New Roman"/>
          <w:sz w:val="28"/>
          <w:szCs w:val="28"/>
          <w:lang w:eastAsia="ru-RU"/>
        </w:rPr>
      </w:pPr>
      <w:r w:rsidRPr="00207819">
        <w:rPr>
          <w:rFonts w:ascii="Times New Roman" w:eastAsia="Times New Roman" w:hAnsi="Times New Roman" w:cs="Times New Roman"/>
          <w:sz w:val="28"/>
          <w:szCs w:val="28"/>
          <w:lang w:eastAsia="ru-RU"/>
        </w:rPr>
        <w:t xml:space="preserve">В 8,4 раза снизилось число нарушений в части занижения температуры горячих блюд на линии раздачи, на треть – число проб с заниженной массой порций выдаваемых блюд, </w:t>
      </w:r>
      <w:r w:rsidR="006762F2">
        <w:rPr>
          <w:rFonts w:ascii="Times New Roman" w:eastAsia="Times New Roman" w:hAnsi="Times New Roman" w:cs="Times New Roman"/>
          <w:sz w:val="28"/>
          <w:szCs w:val="28"/>
          <w:lang w:eastAsia="ru-RU"/>
        </w:rPr>
        <w:t xml:space="preserve">не соответствующих требованиям </w:t>
      </w:r>
      <w:r w:rsidRPr="00207819">
        <w:rPr>
          <w:rFonts w:ascii="Times New Roman" w:eastAsia="Times New Roman" w:hAnsi="Times New Roman" w:cs="Times New Roman"/>
          <w:sz w:val="28"/>
          <w:szCs w:val="28"/>
          <w:lang w:eastAsia="ru-RU"/>
        </w:rPr>
        <w:t xml:space="preserve">по микробиологическим показателям – на четверть, не отвечающих требованиям по калорийности – в 2 раза. Отмечается снижение выявляемых нарушений технологии приготовления блюд </w:t>
      </w:r>
      <w:r w:rsidR="005360FA">
        <w:rPr>
          <w:rFonts w:ascii="Times New Roman" w:eastAsia="Times New Roman" w:hAnsi="Times New Roman" w:cs="Times New Roman"/>
          <w:sz w:val="28"/>
          <w:szCs w:val="28"/>
          <w:lang w:eastAsia="ru-RU"/>
        </w:rPr>
        <w:br/>
      </w:r>
      <w:r w:rsidRPr="00207819">
        <w:rPr>
          <w:rFonts w:ascii="Times New Roman" w:eastAsia="Times New Roman" w:hAnsi="Times New Roman" w:cs="Times New Roman"/>
          <w:sz w:val="28"/>
          <w:szCs w:val="28"/>
          <w:lang w:eastAsia="ru-RU"/>
        </w:rPr>
        <w:t>в 1,4 раза.</w:t>
      </w:r>
    </w:p>
    <w:p w14:paraId="71C2D38D" w14:textId="77777777" w:rsidR="00207819" w:rsidRPr="00207819" w:rsidRDefault="00207819" w:rsidP="00207819">
      <w:pPr>
        <w:spacing w:after="0" w:line="312" w:lineRule="auto"/>
        <w:ind w:firstLine="709"/>
        <w:jc w:val="both"/>
        <w:rPr>
          <w:rFonts w:ascii="Times New Roman" w:eastAsia="Times New Roman" w:hAnsi="Times New Roman" w:cs="Times New Roman"/>
          <w:sz w:val="28"/>
          <w:szCs w:val="28"/>
          <w:lang w:eastAsia="ru-RU"/>
        </w:rPr>
      </w:pPr>
      <w:r w:rsidRPr="00207819">
        <w:rPr>
          <w:rFonts w:ascii="Times New Roman" w:eastAsia="Times New Roman" w:hAnsi="Times New Roman" w:cs="Times New Roman"/>
          <w:sz w:val="28"/>
          <w:szCs w:val="28"/>
          <w:lang w:eastAsia="ru-RU"/>
        </w:rPr>
        <w:t>При проведении проверок</w:t>
      </w:r>
      <w:r w:rsidR="00C97D8D">
        <w:rPr>
          <w:rFonts w:ascii="Times New Roman" w:eastAsia="Times New Roman" w:hAnsi="Times New Roman" w:cs="Times New Roman"/>
          <w:sz w:val="28"/>
          <w:szCs w:val="28"/>
          <w:lang w:eastAsia="ru-RU"/>
        </w:rPr>
        <w:t xml:space="preserve"> поставщиков пищевых продуктов </w:t>
      </w:r>
      <w:r w:rsidRPr="00207819">
        <w:rPr>
          <w:rFonts w:ascii="Times New Roman" w:eastAsia="Times New Roman" w:hAnsi="Times New Roman" w:cs="Times New Roman"/>
          <w:sz w:val="28"/>
          <w:szCs w:val="28"/>
          <w:lang w:eastAsia="ru-RU"/>
        </w:rPr>
        <w:t>и организаторов (операторов) питания в целом более чем н</w:t>
      </w:r>
      <w:r w:rsidR="00C97D8D">
        <w:rPr>
          <w:rFonts w:ascii="Times New Roman" w:eastAsia="Times New Roman" w:hAnsi="Times New Roman" w:cs="Times New Roman"/>
          <w:sz w:val="28"/>
          <w:szCs w:val="28"/>
          <w:lang w:eastAsia="ru-RU"/>
        </w:rPr>
        <w:t>а 10</w:t>
      </w:r>
      <w:r w:rsidRPr="00207819">
        <w:rPr>
          <w:rFonts w:ascii="Times New Roman" w:eastAsia="Times New Roman" w:hAnsi="Times New Roman" w:cs="Times New Roman"/>
          <w:sz w:val="28"/>
          <w:szCs w:val="28"/>
          <w:lang w:eastAsia="ru-RU"/>
        </w:rPr>
        <w:t>% сократилась частота выявления нарушений санитарного законодательства. Более чем в 2 раза сократилось число нарушений о несоответствии сроков годности и условий транспортировки пищевых продуктов.</w:t>
      </w:r>
    </w:p>
    <w:p w14:paraId="5A3AAA87" w14:textId="77777777" w:rsidR="00207819" w:rsidRPr="00207819" w:rsidRDefault="00207819" w:rsidP="00207819">
      <w:pPr>
        <w:spacing w:after="0" w:line="312" w:lineRule="auto"/>
        <w:ind w:firstLine="709"/>
        <w:jc w:val="both"/>
        <w:rPr>
          <w:rFonts w:ascii="Times New Roman" w:eastAsia="Times New Roman" w:hAnsi="Times New Roman" w:cs="Times New Roman"/>
          <w:sz w:val="28"/>
          <w:szCs w:val="28"/>
          <w:lang w:eastAsia="ru-RU"/>
        </w:rPr>
      </w:pPr>
      <w:r w:rsidRPr="00207819">
        <w:rPr>
          <w:rFonts w:ascii="Times New Roman" w:eastAsia="Times New Roman" w:hAnsi="Times New Roman" w:cs="Times New Roman"/>
          <w:sz w:val="28"/>
          <w:szCs w:val="28"/>
          <w:lang w:eastAsia="ru-RU"/>
        </w:rPr>
        <w:t>На сегодняшнем этапе исполнения поручения особое внимание уделяется вопросам контроля качества пре</w:t>
      </w:r>
      <w:r w:rsidR="006762F2">
        <w:rPr>
          <w:rFonts w:ascii="Times New Roman" w:eastAsia="Times New Roman" w:hAnsi="Times New Roman" w:cs="Times New Roman"/>
          <w:sz w:val="28"/>
          <w:szCs w:val="28"/>
          <w:lang w:eastAsia="ru-RU"/>
        </w:rPr>
        <w:t xml:space="preserve">доставляемого горячего питания </w:t>
      </w:r>
      <w:r w:rsidRPr="00207819">
        <w:rPr>
          <w:rFonts w:ascii="Times New Roman" w:eastAsia="Times New Roman" w:hAnsi="Times New Roman" w:cs="Times New Roman"/>
          <w:sz w:val="28"/>
          <w:szCs w:val="28"/>
          <w:lang w:eastAsia="ru-RU"/>
        </w:rPr>
        <w:t>и его информационной открытости.</w:t>
      </w:r>
    </w:p>
    <w:p w14:paraId="17ACE2E0" w14:textId="77777777" w:rsidR="00207819" w:rsidRPr="00207819" w:rsidRDefault="00207819" w:rsidP="00207819">
      <w:pPr>
        <w:spacing w:after="0" w:line="312" w:lineRule="auto"/>
        <w:ind w:firstLine="709"/>
        <w:jc w:val="both"/>
        <w:rPr>
          <w:rFonts w:ascii="Times New Roman" w:eastAsia="Times New Roman" w:hAnsi="Times New Roman" w:cs="Times New Roman"/>
          <w:sz w:val="28"/>
          <w:szCs w:val="28"/>
          <w:lang w:eastAsia="ru-RU"/>
        </w:rPr>
      </w:pPr>
      <w:r w:rsidRPr="00207819">
        <w:rPr>
          <w:rFonts w:ascii="Times New Roman" w:eastAsia="Times New Roman" w:hAnsi="Times New Roman" w:cs="Times New Roman"/>
          <w:sz w:val="28"/>
          <w:szCs w:val="28"/>
          <w:lang w:eastAsia="ru-RU"/>
        </w:rPr>
        <w:t xml:space="preserve">С целью недопущения нарушений </w:t>
      </w:r>
      <w:r w:rsidR="006762F2">
        <w:rPr>
          <w:rFonts w:ascii="Times New Roman" w:eastAsia="Times New Roman" w:hAnsi="Times New Roman" w:cs="Times New Roman"/>
          <w:sz w:val="28"/>
          <w:szCs w:val="28"/>
          <w:lang w:eastAsia="ru-RU"/>
        </w:rPr>
        <w:t xml:space="preserve">образовательными организациями </w:t>
      </w:r>
      <w:r w:rsidRPr="00207819">
        <w:rPr>
          <w:rFonts w:ascii="Times New Roman" w:eastAsia="Times New Roman" w:hAnsi="Times New Roman" w:cs="Times New Roman"/>
          <w:sz w:val="28"/>
          <w:szCs w:val="28"/>
          <w:lang w:eastAsia="ru-RU"/>
        </w:rPr>
        <w:t>и операторами питания требований и положений к организации питания обучающихся и работы пищеблоков</w:t>
      </w:r>
      <w:r w:rsidR="006762F2">
        <w:rPr>
          <w:rFonts w:ascii="Times New Roman" w:eastAsia="Times New Roman" w:hAnsi="Times New Roman" w:cs="Times New Roman"/>
          <w:sz w:val="28"/>
          <w:szCs w:val="28"/>
          <w:lang w:eastAsia="ru-RU"/>
        </w:rPr>
        <w:t xml:space="preserve"> образовательных организаций </w:t>
      </w:r>
      <w:r w:rsidRPr="00207819">
        <w:rPr>
          <w:rFonts w:ascii="Times New Roman" w:eastAsia="Times New Roman" w:hAnsi="Times New Roman" w:cs="Times New Roman"/>
          <w:sz w:val="28"/>
          <w:szCs w:val="28"/>
          <w:lang w:eastAsia="ru-RU"/>
        </w:rPr>
        <w:t>и формирования многоуровневой системы контроля за организацией бесплатного горячего питания обучающихся в образовательных организациях в каждой образовательной организации обеспечивается родительский контроль.</w:t>
      </w:r>
    </w:p>
    <w:p w14:paraId="5E885914" w14:textId="77777777" w:rsidR="00207819" w:rsidRPr="00207819" w:rsidRDefault="00207819" w:rsidP="00207819">
      <w:pPr>
        <w:spacing w:after="0" w:line="312" w:lineRule="auto"/>
        <w:ind w:firstLine="709"/>
        <w:jc w:val="both"/>
        <w:rPr>
          <w:rFonts w:ascii="Times New Roman" w:eastAsia="Times New Roman" w:hAnsi="Times New Roman" w:cs="Times New Roman"/>
          <w:sz w:val="28"/>
          <w:szCs w:val="28"/>
          <w:lang w:eastAsia="ru-RU"/>
        </w:rPr>
      </w:pPr>
      <w:r w:rsidRPr="00207819">
        <w:rPr>
          <w:rFonts w:ascii="Times New Roman" w:eastAsia="Times New Roman" w:hAnsi="Times New Roman" w:cs="Times New Roman"/>
          <w:sz w:val="28"/>
          <w:szCs w:val="28"/>
          <w:lang w:eastAsia="ru-RU"/>
        </w:rPr>
        <w:t xml:space="preserve">В соответствии с методическими рекомендациями «Родительский контроль за организацией горячего питания детей в общеобразовательных организациях» </w:t>
      </w:r>
      <w:r w:rsidR="00560A42">
        <w:rPr>
          <w:rFonts w:ascii="Times New Roman" w:eastAsia="Times New Roman" w:hAnsi="Times New Roman" w:cs="Times New Roman"/>
          <w:sz w:val="28"/>
          <w:szCs w:val="28"/>
          <w:lang w:eastAsia="ru-RU"/>
        </w:rPr>
        <w:br/>
      </w:r>
      <w:r w:rsidRPr="00207819">
        <w:rPr>
          <w:rFonts w:ascii="Times New Roman" w:eastAsia="Times New Roman" w:hAnsi="Times New Roman" w:cs="Times New Roman"/>
          <w:sz w:val="28"/>
          <w:szCs w:val="28"/>
          <w:lang w:eastAsia="ru-RU"/>
        </w:rPr>
        <w:t>МР 2.4.0180-20 от 18</w:t>
      </w:r>
      <w:r w:rsidR="00C97D8D">
        <w:rPr>
          <w:rFonts w:ascii="Times New Roman" w:eastAsia="Times New Roman" w:hAnsi="Times New Roman" w:cs="Times New Roman"/>
          <w:sz w:val="28"/>
          <w:szCs w:val="28"/>
          <w:lang w:eastAsia="ru-RU"/>
        </w:rPr>
        <w:t xml:space="preserve"> мая </w:t>
      </w:r>
      <w:r w:rsidRPr="00207819">
        <w:rPr>
          <w:rFonts w:ascii="Times New Roman" w:eastAsia="Times New Roman" w:hAnsi="Times New Roman" w:cs="Times New Roman"/>
          <w:sz w:val="28"/>
          <w:szCs w:val="28"/>
          <w:lang w:eastAsia="ru-RU"/>
        </w:rPr>
        <w:t>2020</w:t>
      </w:r>
      <w:r w:rsidR="00C97D8D">
        <w:rPr>
          <w:rFonts w:ascii="Times New Roman" w:eastAsia="Times New Roman" w:hAnsi="Times New Roman" w:cs="Times New Roman"/>
          <w:sz w:val="28"/>
          <w:szCs w:val="28"/>
          <w:lang w:eastAsia="ru-RU"/>
        </w:rPr>
        <w:t xml:space="preserve"> г.</w:t>
      </w:r>
      <w:r w:rsidRPr="00207819">
        <w:rPr>
          <w:rFonts w:ascii="Times New Roman" w:eastAsia="Times New Roman" w:hAnsi="Times New Roman" w:cs="Times New Roman"/>
          <w:sz w:val="28"/>
          <w:szCs w:val="28"/>
          <w:lang w:eastAsia="ru-RU"/>
        </w:rPr>
        <w:t xml:space="preserve">, утвержденными руководителем Федеральной службы по надзору в </w:t>
      </w:r>
      <w:r w:rsidR="006762F2">
        <w:rPr>
          <w:rFonts w:ascii="Times New Roman" w:eastAsia="Times New Roman" w:hAnsi="Times New Roman" w:cs="Times New Roman"/>
          <w:sz w:val="28"/>
          <w:szCs w:val="28"/>
          <w:lang w:eastAsia="ru-RU"/>
        </w:rPr>
        <w:t xml:space="preserve">сфере защиты прав потребителей </w:t>
      </w:r>
      <w:r w:rsidRPr="00207819">
        <w:rPr>
          <w:rFonts w:ascii="Times New Roman" w:eastAsia="Times New Roman" w:hAnsi="Times New Roman" w:cs="Times New Roman"/>
          <w:sz w:val="28"/>
          <w:szCs w:val="28"/>
          <w:lang w:eastAsia="ru-RU"/>
        </w:rPr>
        <w:t xml:space="preserve">и благополучия человека, Главным государственным санитарным врачом Российской Федерации </w:t>
      </w:r>
      <w:r w:rsidR="00560A42">
        <w:rPr>
          <w:rFonts w:ascii="Times New Roman" w:eastAsia="Times New Roman" w:hAnsi="Times New Roman" w:cs="Times New Roman"/>
          <w:sz w:val="28"/>
          <w:szCs w:val="28"/>
          <w:lang w:eastAsia="ru-RU"/>
        </w:rPr>
        <w:br/>
      </w:r>
      <w:r w:rsidR="00C97D8D" w:rsidRPr="00207819">
        <w:rPr>
          <w:rFonts w:ascii="Times New Roman" w:eastAsia="Times New Roman" w:hAnsi="Times New Roman" w:cs="Times New Roman"/>
          <w:sz w:val="28"/>
          <w:szCs w:val="28"/>
          <w:lang w:eastAsia="ru-RU"/>
        </w:rPr>
        <w:t>А.Ю.</w:t>
      </w:r>
      <w:r w:rsidR="00C97D8D">
        <w:rPr>
          <w:rFonts w:ascii="Times New Roman" w:eastAsia="Times New Roman" w:hAnsi="Times New Roman" w:cs="Times New Roman"/>
          <w:sz w:val="28"/>
          <w:szCs w:val="28"/>
          <w:lang w:eastAsia="ru-RU"/>
        </w:rPr>
        <w:t xml:space="preserve"> </w:t>
      </w:r>
      <w:r w:rsidRPr="00207819">
        <w:rPr>
          <w:rFonts w:ascii="Times New Roman" w:eastAsia="Times New Roman" w:hAnsi="Times New Roman" w:cs="Times New Roman"/>
          <w:sz w:val="28"/>
          <w:szCs w:val="28"/>
          <w:lang w:eastAsia="ru-RU"/>
        </w:rPr>
        <w:t xml:space="preserve">Поповой, </w:t>
      </w:r>
      <w:r w:rsidR="006762F2">
        <w:rPr>
          <w:rFonts w:ascii="Times New Roman" w:eastAsia="Times New Roman" w:hAnsi="Times New Roman" w:cs="Times New Roman"/>
          <w:sz w:val="28"/>
          <w:szCs w:val="28"/>
          <w:lang w:eastAsia="ru-RU"/>
        </w:rPr>
        <w:t xml:space="preserve">порядок проведения мероприятий </w:t>
      </w:r>
      <w:r w:rsidRPr="00207819">
        <w:rPr>
          <w:rFonts w:ascii="Times New Roman" w:eastAsia="Times New Roman" w:hAnsi="Times New Roman" w:cs="Times New Roman"/>
          <w:sz w:val="28"/>
          <w:szCs w:val="28"/>
          <w:lang w:eastAsia="ru-RU"/>
        </w:rPr>
        <w:t>по родительскому контролю за организацией питания обучающихся, в том числе порядок доступа законных представителей обучающихся в помещения для приема пищи, регламентируется локальным нормативным актом образовательной организации.</w:t>
      </w:r>
    </w:p>
    <w:p w14:paraId="2FCE4CD4" w14:textId="77777777" w:rsidR="00207819" w:rsidRPr="00207819" w:rsidRDefault="00207819" w:rsidP="00207819">
      <w:pPr>
        <w:spacing w:after="0" w:line="312" w:lineRule="auto"/>
        <w:ind w:firstLine="709"/>
        <w:jc w:val="both"/>
        <w:rPr>
          <w:rFonts w:ascii="Times New Roman" w:eastAsia="Times New Roman" w:hAnsi="Times New Roman" w:cs="Times New Roman"/>
          <w:sz w:val="28"/>
          <w:szCs w:val="28"/>
          <w:lang w:eastAsia="ru-RU"/>
        </w:rPr>
      </w:pPr>
      <w:r w:rsidRPr="00207819">
        <w:rPr>
          <w:rFonts w:ascii="Times New Roman" w:eastAsia="Times New Roman" w:hAnsi="Times New Roman" w:cs="Times New Roman"/>
          <w:sz w:val="28"/>
          <w:szCs w:val="28"/>
          <w:lang w:eastAsia="ru-RU"/>
        </w:rPr>
        <w:t>Кроме того, Минпросвещения Р</w:t>
      </w:r>
      <w:r w:rsidR="00560A42">
        <w:rPr>
          <w:rFonts w:ascii="Times New Roman" w:eastAsia="Times New Roman" w:hAnsi="Times New Roman" w:cs="Times New Roman"/>
          <w:sz w:val="28"/>
          <w:szCs w:val="28"/>
          <w:lang w:eastAsia="ru-RU"/>
        </w:rPr>
        <w:t xml:space="preserve">оссии разработаны и направлены </w:t>
      </w:r>
      <w:r w:rsidRPr="00207819">
        <w:rPr>
          <w:rFonts w:ascii="Times New Roman" w:eastAsia="Times New Roman" w:hAnsi="Times New Roman" w:cs="Times New Roman"/>
          <w:sz w:val="28"/>
          <w:szCs w:val="28"/>
          <w:lang w:eastAsia="ru-RU"/>
        </w:rPr>
        <w:t xml:space="preserve">в </w:t>
      </w:r>
      <w:r w:rsidR="00B35188">
        <w:rPr>
          <w:rFonts w:ascii="Times New Roman" w:eastAsia="Times New Roman" w:hAnsi="Times New Roman" w:cs="Times New Roman"/>
          <w:sz w:val="28"/>
          <w:szCs w:val="28"/>
          <w:lang w:eastAsia="ru-RU"/>
        </w:rPr>
        <w:t xml:space="preserve">адрес органов государственной власти </w:t>
      </w:r>
      <w:r w:rsidRPr="00207819">
        <w:rPr>
          <w:rFonts w:ascii="Times New Roman" w:eastAsia="Times New Roman" w:hAnsi="Times New Roman" w:cs="Times New Roman"/>
          <w:sz w:val="28"/>
          <w:szCs w:val="28"/>
          <w:lang w:eastAsia="ru-RU"/>
        </w:rPr>
        <w:t>субъект</w:t>
      </w:r>
      <w:r w:rsidR="00B35188">
        <w:rPr>
          <w:rFonts w:ascii="Times New Roman" w:eastAsia="Times New Roman" w:hAnsi="Times New Roman" w:cs="Times New Roman"/>
          <w:sz w:val="28"/>
          <w:szCs w:val="28"/>
          <w:lang w:eastAsia="ru-RU"/>
        </w:rPr>
        <w:t>ов</w:t>
      </w:r>
      <w:r w:rsidRPr="00207819">
        <w:rPr>
          <w:rFonts w:ascii="Times New Roman" w:eastAsia="Times New Roman" w:hAnsi="Times New Roman" w:cs="Times New Roman"/>
          <w:sz w:val="28"/>
          <w:szCs w:val="28"/>
          <w:lang w:eastAsia="ru-RU"/>
        </w:rPr>
        <w:t xml:space="preserve"> Российской Федерации методические рекомендации (Порядок) «Создание условий участия родителей (законных представителей) в контроле за организацией питания обучающихся в общеобразовательных организациях».</w:t>
      </w:r>
    </w:p>
    <w:p w14:paraId="18661E76" w14:textId="6763ECF8" w:rsidR="00207819" w:rsidRPr="00207819" w:rsidRDefault="00207819" w:rsidP="00207819">
      <w:pPr>
        <w:spacing w:after="0" w:line="312" w:lineRule="auto"/>
        <w:ind w:firstLine="709"/>
        <w:jc w:val="both"/>
        <w:rPr>
          <w:rFonts w:ascii="Times New Roman" w:eastAsia="Times New Roman" w:hAnsi="Times New Roman" w:cs="Times New Roman"/>
          <w:sz w:val="28"/>
          <w:szCs w:val="28"/>
          <w:lang w:eastAsia="ru-RU"/>
        </w:rPr>
      </w:pPr>
      <w:r w:rsidRPr="00207819">
        <w:rPr>
          <w:rFonts w:ascii="Times New Roman" w:eastAsia="Times New Roman" w:hAnsi="Times New Roman" w:cs="Times New Roman"/>
          <w:sz w:val="28"/>
          <w:szCs w:val="28"/>
          <w:lang w:eastAsia="ru-RU"/>
        </w:rPr>
        <w:t>Роспотребнадзором в 2021 г</w:t>
      </w:r>
      <w:r w:rsidR="00C40F63">
        <w:rPr>
          <w:rFonts w:ascii="Times New Roman" w:eastAsia="Times New Roman" w:hAnsi="Times New Roman" w:cs="Times New Roman"/>
          <w:sz w:val="28"/>
          <w:szCs w:val="28"/>
          <w:lang w:eastAsia="ru-RU"/>
        </w:rPr>
        <w:t>.</w:t>
      </w:r>
      <w:r w:rsidRPr="00207819">
        <w:rPr>
          <w:rFonts w:ascii="Times New Roman" w:eastAsia="Times New Roman" w:hAnsi="Times New Roman" w:cs="Times New Roman"/>
          <w:sz w:val="28"/>
          <w:szCs w:val="28"/>
          <w:lang w:eastAsia="ru-RU"/>
        </w:rPr>
        <w:t xml:space="preserve"> продолжена работа по взаимодействию с родителями в части контроля за организацией питания школьников, в ходе которой реализовано более 77 тыс</w:t>
      </w:r>
      <w:r w:rsidR="00C97D8D">
        <w:rPr>
          <w:rFonts w:ascii="Times New Roman" w:eastAsia="Times New Roman" w:hAnsi="Times New Roman" w:cs="Times New Roman"/>
          <w:sz w:val="28"/>
          <w:szCs w:val="28"/>
          <w:lang w:eastAsia="ru-RU"/>
        </w:rPr>
        <w:t>.</w:t>
      </w:r>
      <w:r w:rsidRPr="00207819">
        <w:rPr>
          <w:rFonts w:ascii="Times New Roman" w:eastAsia="Times New Roman" w:hAnsi="Times New Roman" w:cs="Times New Roman"/>
          <w:sz w:val="28"/>
          <w:szCs w:val="28"/>
          <w:lang w:eastAsia="ru-RU"/>
        </w:rPr>
        <w:t xml:space="preserve"> мероприятий. Организация мероприятий родительского контроля позволила в сравнении с прошлым учебным годом снизить среднемесячный показател</w:t>
      </w:r>
      <w:r w:rsidR="006762F2">
        <w:rPr>
          <w:rFonts w:ascii="Times New Roman" w:eastAsia="Times New Roman" w:hAnsi="Times New Roman" w:cs="Times New Roman"/>
          <w:sz w:val="28"/>
          <w:szCs w:val="28"/>
          <w:lang w:eastAsia="ru-RU"/>
        </w:rPr>
        <w:t xml:space="preserve">ь количества поступающих жалоб </w:t>
      </w:r>
      <w:r w:rsidR="009E08D5">
        <w:rPr>
          <w:rFonts w:ascii="Times New Roman" w:eastAsia="Times New Roman" w:hAnsi="Times New Roman" w:cs="Times New Roman"/>
          <w:sz w:val="28"/>
          <w:szCs w:val="28"/>
          <w:lang w:eastAsia="ru-RU"/>
        </w:rPr>
        <w:t>в 2 раза.</w:t>
      </w:r>
    </w:p>
    <w:p w14:paraId="20AB463F" w14:textId="77777777" w:rsidR="00207819" w:rsidRPr="00207819" w:rsidRDefault="00207819" w:rsidP="00207819">
      <w:pPr>
        <w:spacing w:after="0" w:line="312" w:lineRule="auto"/>
        <w:ind w:firstLine="709"/>
        <w:jc w:val="both"/>
        <w:rPr>
          <w:rFonts w:ascii="Times New Roman" w:eastAsia="Times New Roman" w:hAnsi="Times New Roman" w:cs="Times New Roman"/>
          <w:sz w:val="28"/>
          <w:szCs w:val="28"/>
          <w:lang w:eastAsia="ru-RU"/>
        </w:rPr>
      </w:pPr>
      <w:r w:rsidRPr="00207819">
        <w:rPr>
          <w:rFonts w:ascii="Times New Roman" w:eastAsia="Times New Roman" w:hAnsi="Times New Roman" w:cs="Times New Roman"/>
          <w:sz w:val="28"/>
          <w:szCs w:val="28"/>
          <w:lang w:eastAsia="ru-RU"/>
        </w:rPr>
        <w:t xml:space="preserve">Задачи родительского контроля за организацией питания детей – повышение качества и эффективности организации питания обучающихся в образовательных организациях путем привлечения внимания родителей (законных представителей), </w:t>
      </w:r>
      <w:r w:rsidR="009C239B">
        <w:rPr>
          <w:rFonts w:ascii="Times New Roman" w:eastAsia="Times New Roman" w:hAnsi="Times New Roman" w:cs="Times New Roman"/>
          <w:sz w:val="28"/>
          <w:szCs w:val="28"/>
          <w:lang w:eastAsia="ru-RU"/>
        </w:rPr>
        <w:t xml:space="preserve">выявление пищевых предпочтений </w:t>
      </w:r>
      <w:r w:rsidRPr="00207819">
        <w:rPr>
          <w:rFonts w:ascii="Times New Roman" w:eastAsia="Times New Roman" w:hAnsi="Times New Roman" w:cs="Times New Roman"/>
          <w:sz w:val="28"/>
          <w:szCs w:val="28"/>
          <w:lang w:eastAsia="ru-RU"/>
        </w:rPr>
        <w:t>и их корректировка с целью формирования у обучающихся навыков здорового питания, подготовка предложений, направленных на улучшение системы организации питания в каждой конкретной образовательной организации.</w:t>
      </w:r>
    </w:p>
    <w:p w14:paraId="65B2AD42" w14:textId="77777777" w:rsidR="00207819" w:rsidRPr="00207819" w:rsidRDefault="00207819" w:rsidP="00207819">
      <w:pPr>
        <w:spacing w:after="0" w:line="312" w:lineRule="auto"/>
        <w:ind w:firstLine="709"/>
        <w:jc w:val="both"/>
        <w:rPr>
          <w:rFonts w:ascii="Times New Roman" w:eastAsia="Times New Roman" w:hAnsi="Times New Roman" w:cs="Times New Roman"/>
          <w:sz w:val="28"/>
          <w:szCs w:val="28"/>
          <w:lang w:eastAsia="ru-RU"/>
        </w:rPr>
      </w:pPr>
      <w:r w:rsidRPr="00207819">
        <w:rPr>
          <w:rFonts w:ascii="Times New Roman" w:eastAsia="Times New Roman" w:hAnsi="Times New Roman" w:cs="Times New Roman"/>
          <w:sz w:val="28"/>
          <w:szCs w:val="28"/>
          <w:lang w:eastAsia="ru-RU"/>
        </w:rPr>
        <w:t>Также с начала 2021 г</w:t>
      </w:r>
      <w:r w:rsidR="00C40F63">
        <w:rPr>
          <w:rFonts w:ascii="Times New Roman" w:eastAsia="Times New Roman" w:hAnsi="Times New Roman" w:cs="Times New Roman"/>
          <w:sz w:val="28"/>
          <w:szCs w:val="28"/>
          <w:lang w:eastAsia="ru-RU"/>
        </w:rPr>
        <w:t>.</w:t>
      </w:r>
      <w:r w:rsidRPr="00207819">
        <w:rPr>
          <w:rFonts w:ascii="Times New Roman" w:eastAsia="Times New Roman" w:hAnsi="Times New Roman" w:cs="Times New Roman"/>
          <w:sz w:val="28"/>
          <w:szCs w:val="28"/>
          <w:lang w:eastAsia="ru-RU"/>
        </w:rPr>
        <w:t xml:space="preserve"> подведомственным Минпросвещения России Федеральным центром мониторинга </w:t>
      </w:r>
      <w:r w:rsidR="006762F2">
        <w:rPr>
          <w:rFonts w:ascii="Times New Roman" w:eastAsia="Times New Roman" w:hAnsi="Times New Roman" w:cs="Times New Roman"/>
          <w:sz w:val="28"/>
          <w:szCs w:val="28"/>
          <w:lang w:eastAsia="ru-RU"/>
        </w:rPr>
        <w:t xml:space="preserve">питания обучающихся, созданным </w:t>
      </w:r>
      <w:r w:rsidRPr="00207819">
        <w:rPr>
          <w:rFonts w:ascii="Times New Roman" w:eastAsia="Times New Roman" w:hAnsi="Times New Roman" w:cs="Times New Roman"/>
          <w:sz w:val="28"/>
          <w:szCs w:val="28"/>
          <w:lang w:eastAsia="ru-RU"/>
        </w:rPr>
        <w:t xml:space="preserve">на базе федерального государственного бюджетного научного учреждения «Институт возрастной физиологии Российской академии образования» (далее </w:t>
      </w:r>
      <w:r w:rsidR="00560A42">
        <w:rPr>
          <w:rFonts w:ascii="Times New Roman" w:eastAsia="Times New Roman" w:hAnsi="Times New Roman" w:cs="Times New Roman"/>
          <w:sz w:val="28"/>
          <w:szCs w:val="28"/>
          <w:lang w:eastAsia="ru-RU"/>
        </w:rPr>
        <w:t xml:space="preserve">по тексту </w:t>
      </w:r>
      <w:r w:rsidR="00560A42">
        <w:rPr>
          <w:rFonts w:ascii="Times New Roman" w:eastAsia="Times New Roman" w:hAnsi="Times New Roman" w:cs="Times New Roman"/>
          <w:sz w:val="28"/>
          <w:szCs w:val="28"/>
          <w:lang w:eastAsia="ru-RU"/>
        </w:rPr>
        <w:br/>
        <w:t xml:space="preserve">раздела </w:t>
      </w:r>
      <w:r w:rsidRPr="00207819">
        <w:rPr>
          <w:rFonts w:ascii="Times New Roman" w:eastAsia="Times New Roman" w:hAnsi="Times New Roman" w:cs="Times New Roman"/>
          <w:sz w:val="28"/>
          <w:szCs w:val="28"/>
          <w:lang w:eastAsia="ru-RU"/>
        </w:rPr>
        <w:t>– Центр)</w:t>
      </w:r>
      <w:r w:rsidR="00560A42">
        <w:rPr>
          <w:rFonts w:ascii="Times New Roman" w:eastAsia="Times New Roman" w:hAnsi="Times New Roman" w:cs="Times New Roman"/>
          <w:sz w:val="28"/>
          <w:szCs w:val="28"/>
          <w:lang w:eastAsia="ru-RU"/>
        </w:rPr>
        <w:t>,</w:t>
      </w:r>
      <w:r w:rsidRPr="00207819">
        <w:rPr>
          <w:rFonts w:ascii="Times New Roman" w:eastAsia="Times New Roman" w:hAnsi="Times New Roman" w:cs="Times New Roman"/>
          <w:sz w:val="28"/>
          <w:szCs w:val="28"/>
          <w:lang w:eastAsia="ru-RU"/>
        </w:rPr>
        <w:t xml:space="preserve"> ведется постоянный автоматизированный мониторинг. Центром создана цифровая платформа автоматизированного мониторинга питания обучающихся, которая позволяет в режиме реального времени анализировать размещенные на сайтах общеобразовательных организаций ежедневные меню.</w:t>
      </w:r>
    </w:p>
    <w:p w14:paraId="12ADBD08" w14:textId="77777777" w:rsidR="00207819" w:rsidRPr="00207819" w:rsidRDefault="00207819" w:rsidP="00560A42">
      <w:pPr>
        <w:spacing w:after="0" w:line="312" w:lineRule="auto"/>
        <w:ind w:firstLine="709"/>
        <w:jc w:val="both"/>
        <w:rPr>
          <w:rFonts w:ascii="Times New Roman" w:eastAsia="Times New Roman" w:hAnsi="Times New Roman" w:cs="Times New Roman"/>
          <w:sz w:val="28"/>
          <w:szCs w:val="28"/>
          <w:lang w:eastAsia="ru-RU"/>
        </w:rPr>
      </w:pPr>
      <w:r w:rsidRPr="00207819">
        <w:rPr>
          <w:rFonts w:ascii="Times New Roman" w:eastAsia="Times New Roman" w:hAnsi="Times New Roman" w:cs="Times New Roman"/>
          <w:sz w:val="28"/>
          <w:szCs w:val="28"/>
          <w:lang w:eastAsia="ru-RU"/>
        </w:rPr>
        <w:t>Наличие меню в разделах школьного питания на сайтах образовательных организаций обеспечивает доступность для родителей обучающихся информации о питании и создает усл</w:t>
      </w:r>
      <w:r w:rsidR="00560A42">
        <w:rPr>
          <w:rFonts w:ascii="Times New Roman" w:eastAsia="Times New Roman" w:hAnsi="Times New Roman" w:cs="Times New Roman"/>
          <w:sz w:val="28"/>
          <w:szCs w:val="28"/>
          <w:lang w:eastAsia="ru-RU"/>
        </w:rPr>
        <w:t xml:space="preserve">овия для контроля его качества. </w:t>
      </w:r>
      <w:r w:rsidRPr="00207819">
        <w:rPr>
          <w:rFonts w:ascii="Times New Roman" w:eastAsia="Times New Roman" w:hAnsi="Times New Roman" w:cs="Times New Roman"/>
          <w:sz w:val="28"/>
          <w:szCs w:val="28"/>
          <w:lang w:eastAsia="ru-RU"/>
        </w:rPr>
        <w:t xml:space="preserve">Для этих целей Минпросвещения России разработаны рекомендации по размещению на сайтах </w:t>
      </w:r>
      <w:r w:rsidR="00C07EB8">
        <w:rPr>
          <w:rFonts w:ascii="Times New Roman" w:eastAsia="Times New Roman" w:hAnsi="Times New Roman" w:cs="Times New Roman"/>
          <w:sz w:val="28"/>
          <w:szCs w:val="28"/>
          <w:lang w:eastAsia="ru-RU"/>
        </w:rPr>
        <w:t>образовательных организаций</w:t>
      </w:r>
      <w:r w:rsidR="006762F2">
        <w:rPr>
          <w:rFonts w:ascii="Times New Roman" w:eastAsia="Times New Roman" w:hAnsi="Times New Roman" w:cs="Times New Roman"/>
          <w:sz w:val="28"/>
          <w:szCs w:val="28"/>
          <w:lang w:eastAsia="ru-RU"/>
        </w:rPr>
        <w:t xml:space="preserve"> раздела, отражающего сведения </w:t>
      </w:r>
      <w:r w:rsidRPr="00207819">
        <w:rPr>
          <w:rFonts w:ascii="Times New Roman" w:eastAsia="Times New Roman" w:hAnsi="Times New Roman" w:cs="Times New Roman"/>
          <w:sz w:val="28"/>
          <w:szCs w:val="28"/>
          <w:lang w:eastAsia="ru-RU"/>
        </w:rPr>
        <w:t>об организации питания обучающихся.</w:t>
      </w:r>
    </w:p>
    <w:p w14:paraId="2E399FA5" w14:textId="77777777" w:rsidR="00207819" w:rsidRPr="00207819" w:rsidRDefault="00207819" w:rsidP="00207819">
      <w:pPr>
        <w:spacing w:after="0" w:line="312" w:lineRule="auto"/>
        <w:ind w:firstLine="709"/>
        <w:jc w:val="both"/>
        <w:rPr>
          <w:rFonts w:ascii="Times New Roman" w:eastAsia="Times New Roman" w:hAnsi="Times New Roman" w:cs="Times New Roman"/>
          <w:sz w:val="28"/>
          <w:szCs w:val="28"/>
          <w:lang w:eastAsia="ru-RU"/>
        </w:rPr>
      </w:pPr>
      <w:r w:rsidRPr="00207819">
        <w:rPr>
          <w:rFonts w:ascii="Times New Roman" w:eastAsia="Times New Roman" w:hAnsi="Times New Roman" w:cs="Times New Roman"/>
          <w:sz w:val="28"/>
          <w:szCs w:val="28"/>
          <w:lang w:eastAsia="ru-RU"/>
        </w:rPr>
        <w:t>В части положительного регионального опыта совершенствования меню следует отметить опыт Архангельской области, внедряющей в питание детей рецептуры блюд с включением беломорских водорослей (ламинария пальчато- рассечённая), как дополнительного естественного источника витаминов и минеральных веществ, что приобретает особую актуальность для жителей Арктической зоны.</w:t>
      </w:r>
    </w:p>
    <w:p w14:paraId="73AE3835" w14:textId="77777777" w:rsidR="00207819" w:rsidRPr="00207819" w:rsidRDefault="00207819" w:rsidP="00781A98">
      <w:pPr>
        <w:spacing w:after="0" w:line="312" w:lineRule="auto"/>
        <w:ind w:firstLine="709"/>
        <w:jc w:val="both"/>
        <w:rPr>
          <w:rFonts w:ascii="Times New Roman" w:eastAsia="Times New Roman" w:hAnsi="Times New Roman" w:cs="Times New Roman"/>
          <w:sz w:val="28"/>
          <w:szCs w:val="28"/>
          <w:lang w:eastAsia="ru-RU"/>
        </w:rPr>
      </w:pPr>
      <w:r w:rsidRPr="00207819">
        <w:rPr>
          <w:rFonts w:ascii="Times New Roman" w:eastAsia="Times New Roman" w:hAnsi="Times New Roman" w:cs="Times New Roman"/>
          <w:sz w:val="28"/>
          <w:szCs w:val="28"/>
          <w:lang w:eastAsia="ru-RU"/>
        </w:rPr>
        <w:t>В Новосибирской области реализуется практика витаминных столов, когда дети по желанию могут получить дополнительные порции овощей для восполнения физиологической</w:t>
      </w:r>
      <w:r w:rsidR="00781A98">
        <w:rPr>
          <w:rFonts w:ascii="Times New Roman" w:eastAsia="Times New Roman" w:hAnsi="Times New Roman" w:cs="Times New Roman"/>
          <w:sz w:val="28"/>
          <w:szCs w:val="28"/>
          <w:lang w:eastAsia="ru-RU"/>
        </w:rPr>
        <w:t xml:space="preserve"> потребности детей в витаминах. </w:t>
      </w:r>
      <w:r w:rsidRPr="00207819">
        <w:rPr>
          <w:rFonts w:ascii="Times New Roman" w:eastAsia="Times New Roman" w:hAnsi="Times New Roman" w:cs="Times New Roman"/>
          <w:sz w:val="28"/>
          <w:szCs w:val="28"/>
          <w:lang w:eastAsia="ru-RU"/>
        </w:rPr>
        <w:t>В Республике Татарстан в ме</w:t>
      </w:r>
      <w:r w:rsidR="00781A98">
        <w:rPr>
          <w:rFonts w:ascii="Times New Roman" w:eastAsia="Times New Roman" w:hAnsi="Times New Roman" w:cs="Times New Roman"/>
          <w:sz w:val="28"/>
          <w:szCs w:val="28"/>
          <w:lang w:eastAsia="ru-RU"/>
        </w:rPr>
        <w:t xml:space="preserve">ню включены национальные блюда. </w:t>
      </w:r>
      <w:r w:rsidRPr="00207819">
        <w:rPr>
          <w:rFonts w:ascii="Times New Roman" w:eastAsia="Times New Roman" w:hAnsi="Times New Roman" w:cs="Times New Roman"/>
          <w:sz w:val="28"/>
          <w:szCs w:val="28"/>
          <w:lang w:eastAsia="ru-RU"/>
        </w:rPr>
        <w:t>В структуру питания школьников Омской области были внедрены горячие напитки с добавлением фруктов, ягод и меда.</w:t>
      </w:r>
    </w:p>
    <w:p w14:paraId="7DAF3D17" w14:textId="77777777" w:rsidR="00D03A4F" w:rsidRPr="006762F2" w:rsidRDefault="00207819" w:rsidP="006762F2">
      <w:pPr>
        <w:spacing w:after="0" w:line="312" w:lineRule="auto"/>
        <w:ind w:firstLine="709"/>
        <w:jc w:val="both"/>
        <w:rPr>
          <w:rFonts w:ascii="Times New Roman" w:eastAsia="Times New Roman" w:hAnsi="Times New Roman" w:cs="Times New Roman"/>
          <w:sz w:val="28"/>
          <w:szCs w:val="28"/>
          <w:lang w:eastAsia="ru-RU"/>
        </w:rPr>
      </w:pPr>
      <w:r w:rsidRPr="00207819">
        <w:rPr>
          <w:rFonts w:ascii="Times New Roman" w:eastAsia="Times New Roman" w:hAnsi="Times New Roman" w:cs="Times New Roman"/>
          <w:sz w:val="28"/>
          <w:szCs w:val="28"/>
          <w:lang w:eastAsia="ru-RU"/>
        </w:rPr>
        <w:t xml:space="preserve">Принимая во внимание ход реализации мероприятий по обеспечению бесплатным горячим питанием, </w:t>
      </w:r>
      <w:r w:rsidR="00E77B75">
        <w:rPr>
          <w:rFonts w:ascii="Times New Roman" w:eastAsia="Times New Roman" w:hAnsi="Times New Roman" w:cs="Times New Roman"/>
          <w:sz w:val="28"/>
          <w:szCs w:val="28"/>
          <w:lang w:eastAsia="ru-RU"/>
        </w:rPr>
        <w:t xml:space="preserve">можно отметить, что </w:t>
      </w:r>
      <w:r w:rsidRPr="00207819">
        <w:rPr>
          <w:rFonts w:ascii="Times New Roman" w:eastAsia="Times New Roman" w:hAnsi="Times New Roman" w:cs="Times New Roman"/>
          <w:sz w:val="28"/>
          <w:szCs w:val="28"/>
          <w:lang w:eastAsia="ru-RU"/>
        </w:rPr>
        <w:t>на всех уровнях власти принимаются меры по улучшению качества горячего питания обучающихся и обеспечению контроля за поставляемым продовольственным сырьем в образовательные организации.</w:t>
      </w:r>
    </w:p>
    <w:p w14:paraId="46C794AA" w14:textId="77777777"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rsidSect="006762F2">
          <w:pgSz w:w="11906" w:h="16838"/>
          <w:pgMar w:top="1134" w:right="567" w:bottom="1134" w:left="1134" w:header="708" w:footer="708" w:gutter="0"/>
          <w:cols w:space="708"/>
          <w:docGrid w:linePitch="360"/>
        </w:sectPr>
      </w:pPr>
    </w:p>
    <w:p w14:paraId="719F1A97" w14:textId="77777777" w:rsidR="00D03A4F" w:rsidRPr="00D03A4F" w:rsidRDefault="00D03A4F" w:rsidP="00D03A4F">
      <w:pPr>
        <w:widowControl w:val="0"/>
        <w:shd w:val="clear" w:color="auto" w:fill="FFFFFF"/>
        <w:spacing w:after="0" w:line="312" w:lineRule="auto"/>
        <w:ind w:firstLine="709"/>
        <w:jc w:val="center"/>
        <w:rPr>
          <w:rFonts w:ascii="Times New Roman" w:eastAsia="Times New Roman" w:hAnsi="Times New Roman" w:cs="Times New Roman"/>
          <w:b/>
          <w:bCs/>
          <w:sz w:val="28"/>
          <w:szCs w:val="28"/>
          <w:lang w:bidi="ru-RU"/>
        </w:rPr>
      </w:pPr>
      <w:r w:rsidRPr="00D03A4F">
        <w:rPr>
          <w:rFonts w:ascii="Times New Roman" w:eastAsia="Times New Roman" w:hAnsi="Times New Roman" w:cs="Times New Roman"/>
          <w:b/>
          <w:bCs/>
          <w:sz w:val="28"/>
          <w:szCs w:val="28"/>
          <w:lang w:bidi="ru-RU"/>
        </w:rPr>
        <w:t>6. ОБРАЗОВАНИЕ, ВОСПИТАНИЕ И РАЗВИТИЕ ДЕТЕЙ</w:t>
      </w:r>
    </w:p>
    <w:p w14:paraId="7FCC1514" w14:textId="77777777" w:rsidR="007D7ED6" w:rsidRDefault="00D03A4F" w:rsidP="007D7ED6">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Доступность дошкольных образовательных организаций</w:t>
      </w:r>
    </w:p>
    <w:p w14:paraId="535194C7" w14:textId="62D1BA99" w:rsidR="008F1272" w:rsidRPr="009461B6" w:rsidRDefault="008F1272" w:rsidP="00381797">
      <w:pPr>
        <w:spacing w:after="0" w:line="312" w:lineRule="auto"/>
        <w:ind w:firstLine="709"/>
        <w:jc w:val="both"/>
        <w:rPr>
          <w:rFonts w:ascii="Times New Roman" w:eastAsia="Times New Roman" w:hAnsi="Times New Roman" w:cs="Times New Roman"/>
          <w:sz w:val="28"/>
          <w:szCs w:val="28"/>
          <w:lang w:eastAsia="ru-RU"/>
        </w:rPr>
      </w:pPr>
      <w:r w:rsidRPr="009461B6">
        <w:rPr>
          <w:rFonts w:ascii="Times New Roman" w:eastAsia="Times New Roman" w:hAnsi="Times New Roman" w:cs="Times New Roman"/>
          <w:sz w:val="28"/>
          <w:szCs w:val="28"/>
          <w:lang w:eastAsia="ru-RU"/>
        </w:rPr>
        <w:t>В 2021 г</w:t>
      </w:r>
      <w:r w:rsidR="00C40F63" w:rsidRPr="009461B6">
        <w:rPr>
          <w:rFonts w:ascii="Times New Roman" w:eastAsia="Times New Roman" w:hAnsi="Times New Roman" w:cs="Times New Roman"/>
          <w:sz w:val="28"/>
          <w:szCs w:val="28"/>
          <w:lang w:eastAsia="ru-RU"/>
        </w:rPr>
        <w:t>.</w:t>
      </w:r>
      <w:r w:rsidRPr="009461B6">
        <w:rPr>
          <w:rFonts w:ascii="Times New Roman" w:eastAsia="Times New Roman" w:hAnsi="Times New Roman" w:cs="Times New Roman"/>
          <w:sz w:val="28"/>
          <w:szCs w:val="28"/>
          <w:lang w:eastAsia="ru-RU"/>
        </w:rPr>
        <w:t xml:space="preserve"> одним из наиболее актуальных вопросов в сфере образования оставался вопрос по выполнению задач, поставленных Указами Президента Российской Федерации от 7 мая 2012 г. № 599 «О мерах по реализации государственной политики в области образования и науки»</w:t>
      </w:r>
      <w:r w:rsidR="00304C81" w:rsidRPr="009461B6">
        <w:rPr>
          <w:rFonts w:ascii="Times New Roman" w:eastAsia="Times New Roman" w:hAnsi="Times New Roman" w:cs="Times New Roman"/>
          <w:sz w:val="28"/>
          <w:szCs w:val="28"/>
          <w:lang w:eastAsia="ru-RU"/>
        </w:rPr>
        <w:t xml:space="preserve"> (далее – Указ Президента Российской Федерации от 7 мая 2012 г. № 599)</w:t>
      </w:r>
      <w:r w:rsidRPr="009461B6">
        <w:rPr>
          <w:rFonts w:ascii="Times New Roman" w:eastAsia="Times New Roman" w:hAnsi="Times New Roman" w:cs="Times New Roman"/>
          <w:sz w:val="28"/>
          <w:szCs w:val="28"/>
          <w:lang w:eastAsia="ru-RU"/>
        </w:rPr>
        <w:t xml:space="preserve"> и от 7 мая 2018 г. № 204 </w:t>
      </w:r>
      <w:r w:rsidR="005360FA">
        <w:rPr>
          <w:rFonts w:ascii="Times New Roman" w:eastAsia="Times New Roman" w:hAnsi="Times New Roman" w:cs="Times New Roman"/>
          <w:sz w:val="28"/>
          <w:szCs w:val="28"/>
          <w:lang w:eastAsia="ru-RU"/>
        </w:rPr>
        <w:br/>
      </w:r>
      <w:r w:rsidRPr="009461B6">
        <w:rPr>
          <w:rFonts w:ascii="Times New Roman" w:eastAsia="Times New Roman" w:hAnsi="Times New Roman" w:cs="Times New Roman"/>
          <w:sz w:val="28"/>
          <w:szCs w:val="28"/>
          <w:lang w:eastAsia="ru-RU"/>
        </w:rPr>
        <w:t>«О национальных целях и стратегических задачах развития Российской Федерации на период до 2024 года»</w:t>
      </w:r>
      <w:r w:rsidR="002666EC" w:rsidRPr="009461B6">
        <w:rPr>
          <w:rFonts w:ascii="Times New Roman" w:eastAsia="Times New Roman" w:hAnsi="Times New Roman" w:cs="Times New Roman"/>
          <w:sz w:val="28"/>
          <w:szCs w:val="28"/>
          <w:lang w:eastAsia="ru-RU"/>
        </w:rPr>
        <w:t>,</w:t>
      </w:r>
      <w:r w:rsidRPr="009461B6">
        <w:rPr>
          <w:rFonts w:ascii="Times New Roman" w:eastAsia="Times New Roman" w:hAnsi="Times New Roman" w:cs="Times New Roman"/>
          <w:sz w:val="28"/>
          <w:szCs w:val="28"/>
          <w:lang w:eastAsia="ru-RU"/>
        </w:rPr>
        <w:t xml:space="preserve"> в части обеспечения 100</w:t>
      </w:r>
      <w:r w:rsidR="002666EC" w:rsidRPr="009461B6">
        <w:rPr>
          <w:rFonts w:ascii="Times New Roman" w:eastAsia="Times New Roman" w:hAnsi="Times New Roman" w:cs="Times New Roman"/>
          <w:sz w:val="28"/>
          <w:szCs w:val="28"/>
          <w:lang w:eastAsia="ru-RU"/>
        </w:rPr>
        <w:t>%</w:t>
      </w:r>
      <w:r w:rsidRPr="009461B6">
        <w:rPr>
          <w:rFonts w:ascii="Times New Roman" w:eastAsia="Times New Roman" w:hAnsi="Times New Roman" w:cs="Times New Roman"/>
          <w:sz w:val="28"/>
          <w:szCs w:val="28"/>
          <w:lang w:eastAsia="ru-RU"/>
        </w:rPr>
        <w:t xml:space="preserve"> доступности дошкольного образования для детей в возрасте до 3 лет и сохранения (достижения) данного результата для детей в возрасте от 3 до 7 лет.</w:t>
      </w:r>
    </w:p>
    <w:p w14:paraId="7BC58183" w14:textId="77777777" w:rsidR="008F1272" w:rsidRPr="009461B6" w:rsidRDefault="008F1272" w:rsidP="00381797">
      <w:pPr>
        <w:spacing w:after="0" w:line="312" w:lineRule="auto"/>
        <w:ind w:firstLine="709"/>
        <w:jc w:val="both"/>
        <w:rPr>
          <w:rFonts w:ascii="Times New Roman" w:eastAsia="Times New Roman" w:hAnsi="Times New Roman" w:cs="Times New Roman"/>
          <w:sz w:val="28"/>
          <w:szCs w:val="28"/>
          <w:lang w:eastAsia="ru-RU"/>
        </w:rPr>
      </w:pPr>
      <w:r w:rsidRPr="009461B6">
        <w:rPr>
          <w:rFonts w:ascii="Times New Roman" w:eastAsia="Times New Roman" w:hAnsi="Times New Roman" w:cs="Times New Roman"/>
          <w:sz w:val="28"/>
          <w:szCs w:val="28"/>
          <w:lang w:eastAsia="ru-RU"/>
        </w:rPr>
        <w:t>Данные задачи решаются прежде всего за счет создания дополнительных мест в образовательных организациях, реализующих образовательные программы дошкольного образования.</w:t>
      </w:r>
    </w:p>
    <w:p w14:paraId="63067C05" w14:textId="77777777" w:rsidR="008F1272" w:rsidRPr="009461B6" w:rsidRDefault="00C40F63" w:rsidP="00381797">
      <w:pPr>
        <w:spacing w:after="0" w:line="312" w:lineRule="auto"/>
        <w:ind w:firstLine="709"/>
        <w:jc w:val="both"/>
        <w:rPr>
          <w:rFonts w:ascii="Times New Roman" w:eastAsia="Times New Roman" w:hAnsi="Times New Roman" w:cs="Times New Roman"/>
          <w:sz w:val="28"/>
          <w:szCs w:val="28"/>
          <w:lang w:eastAsia="ru-RU"/>
        </w:rPr>
      </w:pPr>
      <w:r w:rsidRPr="009461B6">
        <w:rPr>
          <w:rFonts w:ascii="Times New Roman" w:eastAsia="Times New Roman" w:hAnsi="Times New Roman" w:cs="Times New Roman"/>
          <w:sz w:val="28"/>
          <w:szCs w:val="28"/>
          <w:lang w:eastAsia="ru-RU"/>
        </w:rPr>
        <w:t>В 2021 г.</w:t>
      </w:r>
      <w:r w:rsidR="008F1272" w:rsidRPr="009461B6">
        <w:rPr>
          <w:rFonts w:ascii="Times New Roman" w:eastAsia="Times New Roman" w:hAnsi="Times New Roman" w:cs="Times New Roman"/>
          <w:sz w:val="28"/>
          <w:szCs w:val="28"/>
          <w:lang w:eastAsia="ru-RU"/>
        </w:rPr>
        <w:t xml:space="preserve"> их решение было осложнено обстоятельствами непреодолимой силы (непрекращающееся влияние ограничительных мероприятий, направленных на предотвращение распространения новой коронавирусной инфекции CОVID-2019, последствия чрезвычайных ситуаций природного характера (паводки, пожары), а также удорожание строительных материалов. Поэтому выполнение обязательств, взятых на себя регионами по вводу новых объектов дошкольного образования и, соответственно, созданию дополнительных мест в дошкольных образовательных организациях, в том числе в рамках реализации мероприятий федерального проекта «Содействие занятости» национального проекта «Демография», повлекло перенесение сроков ввода объектов дошкольного образования на 2022-2023 г</w:t>
      </w:r>
      <w:r w:rsidRPr="009461B6">
        <w:rPr>
          <w:rFonts w:ascii="Times New Roman" w:eastAsia="Times New Roman" w:hAnsi="Times New Roman" w:cs="Times New Roman"/>
          <w:sz w:val="28"/>
          <w:szCs w:val="28"/>
          <w:lang w:eastAsia="ru-RU"/>
        </w:rPr>
        <w:t>г.</w:t>
      </w:r>
      <w:r w:rsidR="008F1272" w:rsidRPr="009461B6">
        <w:rPr>
          <w:rFonts w:ascii="Times New Roman" w:eastAsia="Times New Roman" w:hAnsi="Times New Roman" w:cs="Times New Roman"/>
          <w:sz w:val="28"/>
          <w:szCs w:val="28"/>
          <w:lang w:eastAsia="ru-RU"/>
        </w:rPr>
        <w:t xml:space="preserve"> и снижение соответствующего показателя доступности.</w:t>
      </w:r>
    </w:p>
    <w:p w14:paraId="0AD0A85B" w14:textId="77777777" w:rsidR="008F1272" w:rsidRPr="009461B6" w:rsidRDefault="008F1272" w:rsidP="00381797">
      <w:pPr>
        <w:spacing w:after="0" w:line="312" w:lineRule="auto"/>
        <w:ind w:firstLine="709"/>
        <w:jc w:val="both"/>
        <w:rPr>
          <w:rFonts w:ascii="Times New Roman" w:eastAsia="Times New Roman" w:hAnsi="Times New Roman" w:cs="Times New Roman"/>
          <w:sz w:val="28"/>
          <w:szCs w:val="28"/>
          <w:lang w:eastAsia="ru-RU"/>
        </w:rPr>
      </w:pPr>
      <w:r w:rsidRPr="009461B6">
        <w:rPr>
          <w:rFonts w:ascii="Times New Roman" w:eastAsia="Times New Roman" w:hAnsi="Times New Roman" w:cs="Times New Roman"/>
          <w:sz w:val="28"/>
          <w:szCs w:val="28"/>
          <w:lang w:eastAsia="ru-RU"/>
        </w:rPr>
        <w:t>Вместе с тем Минпросвещения России совместно с Минфином России продолжали оказывать информационную и финансовую поддержку субъектам Российской Федерации в рамках реализации пункта 11 перечня поручений Правительства Российской Федерации от 21 августа 2021 г. № ММ-П6-11384 об обеспечении исполнения абзаца 1 подпункта «а» пункта 3 перечня поручений Президента Российской Федерации от 5 августа 2021 г. № Пр-1383, согласно которому мероприятия, направленные на обеспечение 100% доступности дошкольного образования для детей в возрасте до 3 лет в субъектах Российской Федерации следует завершить до конца 2023 г.</w:t>
      </w:r>
    </w:p>
    <w:p w14:paraId="01D76B0D" w14:textId="77777777" w:rsidR="008F1272" w:rsidRPr="009461B6" w:rsidRDefault="008F1272" w:rsidP="00BA0EEF">
      <w:pPr>
        <w:spacing w:after="0" w:line="312" w:lineRule="auto"/>
        <w:ind w:firstLine="709"/>
        <w:jc w:val="both"/>
        <w:rPr>
          <w:rFonts w:ascii="Times New Roman" w:eastAsia="Times New Roman" w:hAnsi="Times New Roman" w:cs="Times New Roman"/>
          <w:sz w:val="28"/>
          <w:szCs w:val="28"/>
          <w:lang w:eastAsia="ru-RU"/>
        </w:rPr>
      </w:pPr>
      <w:r w:rsidRPr="009461B6">
        <w:rPr>
          <w:rFonts w:ascii="Times New Roman" w:eastAsia="Times New Roman" w:hAnsi="Times New Roman" w:cs="Times New Roman"/>
          <w:sz w:val="28"/>
          <w:szCs w:val="28"/>
          <w:lang w:eastAsia="ru-RU"/>
        </w:rPr>
        <w:t xml:space="preserve">В рамках реализации Указа Президента Российской Федерации от 29 мая </w:t>
      </w:r>
      <w:r w:rsidR="00BA0EEF" w:rsidRPr="009461B6">
        <w:rPr>
          <w:rFonts w:ascii="Times New Roman" w:eastAsia="Times New Roman" w:hAnsi="Times New Roman" w:cs="Times New Roman"/>
          <w:sz w:val="28"/>
          <w:szCs w:val="28"/>
          <w:lang w:eastAsia="ru-RU"/>
        </w:rPr>
        <w:br/>
      </w:r>
      <w:r w:rsidRPr="009461B6">
        <w:rPr>
          <w:rFonts w:ascii="Times New Roman" w:eastAsia="Times New Roman" w:hAnsi="Times New Roman" w:cs="Times New Roman"/>
          <w:sz w:val="28"/>
          <w:szCs w:val="28"/>
          <w:lang w:eastAsia="ru-RU"/>
        </w:rPr>
        <w:t>2017 г. № 240 «Об объявлении в Российской Федерации Десятилетия детства» перед органами исполнительной вла</w:t>
      </w:r>
      <w:r w:rsidR="00BA0EEF" w:rsidRPr="009461B6">
        <w:rPr>
          <w:rFonts w:ascii="Times New Roman" w:eastAsia="Times New Roman" w:hAnsi="Times New Roman" w:cs="Times New Roman"/>
          <w:sz w:val="28"/>
          <w:szCs w:val="28"/>
          <w:lang w:eastAsia="ru-RU"/>
        </w:rPr>
        <w:t xml:space="preserve">сти субъектов Российской </w:t>
      </w:r>
      <w:r w:rsidRPr="009461B6">
        <w:rPr>
          <w:rFonts w:ascii="Times New Roman" w:eastAsia="Times New Roman" w:hAnsi="Times New Roman" w:cs="Times New Roman"/>
          <w:sz w:val="28"/>
          <w:szCs w:val="28"/>
          <w:lang w:eastAsia="ru-RU"/>
        </w:rPr>
        <w:t xml:space="preserve">Федерации поставлена аналогичная задача в плане основных мероприятий, проводимых в рамках Десятилетия </w:t>
      </w:r>
      <w:r w:rsidR="005C38D1" w:rsidRPr="009461B6">
        <w:rPr>
          <w:rFonts w:ascii="Times New Roman" w:eastAsia="Times New Roman" w:hAnsi="Times New Roman" w:cs="Times New Roman"/>
          <w:sz w:val="28"/>
          <w:szCs w:val="28"/>
          <w:lang w:eastAsia="ru-RU"/>
        </w:rPr>
        <w:t>детства, на период до 2027 г.</w:t>
      </w:r>
    </w:p>
    <w:p w14:paraId="403289D8" w14:textId="77777777" w:rsidR="008F1272" w:rsidRPr="009461B6" w:rsidRDefault="005C38D1" w:rsidP="00381797">
      <w:pPr>
        <w:spacing w:after="0" w:line="312" w:lineRule="auto"/>
        <w:ind w:firstLine="709"/>
        <w:jc w:val="both"/>
        <w:rPr>
          <w:rFonts w:ascii="Times New Roman" w:eastAsia="Times New Roman" w:hAnsi="Times New Roman" w:cs="Times New Roman"/>
          <w:sz w:val="28"/>
          <w:szCs w:val="28"/>
          <w:lang w:eastAsia="ru-RU"/>
        </w:rPr>
      </w:pPr>
      <w:r w:rsidRPr="009461B6">
        <w:rPr>
          <w:rFonts w:ascii="Times New Roman" w:eastAsia="Calibri" w:hAnsi="Times New Roman" w:cs="Times New Roman"/>
          <w:sz w:val="28"/>
          <w:szCs w:val="28"/>
          <w:lang w:eastAsia="ru-RU"/>
        </w:rPr>
        <w:t>Планом основных мероприятий, проводимых в рамках Десятилетия детства, на период до 2027 г</w:t>
      </w:r>
      <w:r w:rsidR="00C40F63" w:rsidRPr="009461B6">
        <w:rPr>
          <w:rFonts w:ascii="Times New Roman" w:eastAsia="Calibri" w:hAnsi="Times New Roman" w:cs="Times New Roman"/>
          <w:sz w:val="28"/>
          <w:szCs w:val="28"/>
          <w:lang w:eastAsia="ru-RU"/>
        </w:rPr>
        <w:t>.</w:t>
      </w:r>
      <w:r w:rsidRPr="009461B6">
        <w:rPr>
          <w:rFonts w:ascii="Times New Roman" w:eastAsia="Times New Roman" w:hAnsi="Times New Roman" w:cs="Times New Roman"/>
          <w:sz w:val="28"/>
          <w:szCs w:val="28"/>
          <w:lang w:eastAsia="ru-RU"/>
        </w:rPr>
        <w:t xml:space="preserve"> </w:t>
      </w:r>
      <w:r w:rsidR="008F1272" w:rsidRPr="009461B6">
        <w:rPr>
          <w:rFonts w:ascii="Times New Roman" w:eastAsia="Times New Roman" w:hAnsi="Times New Roman" w:cs="Times New Roman"/>
          <w:sz w:val="28"/>
          <w:szCs w:val="28"/>
          <w:lang w:eastAsia="ru-RU"/>
        </w:rPr>
        <w:t>также предусмотрено изучение, обобщение и распространение опыта по организации системы профессиональной подготовки и независимой оценки квалификации нянь (работников по присмотру и уходу за детьми), по организации системы профессионального обучения в субъектах Российской Федерации в сфере социального обслуживания, а также в сфере образования и здравоохранения.</w:t>
      </w:r>
    </w:p>
    <w:p w14:paraId="6DDEFF2E" w14:textId="77777777" w:rsidR="008F1272" w:rsidRPr="009461B6" w:rsidRDefault="008F1272" w:rsidP="00381797">
      <w:pPr>
        <w:spacing w:after="0" w:line="312" w:lineRule="auto"/>
        <w:ind w:firstLine="709"/>
        <w:jc w:val="both"/>
        <w:rPr>
          <w:rFonts w:ascii="Times New Roman" w:eastAsia="Times New Roman" w:hAnsi="Times New Roman" w:cs="Times New Roman"/>
          <w:sz w:val="28"/>
          <w:szCs w:val="28"/>
          <w:lang w:eastAsia="ru-RU"/>
        </w:rPr>
      </w:pPr>
      <w:r w:rsidRPr="009461B6">
        <w:rPr>
          <w:rFonts w:ascii="Times New Roman" w:eastAsia="Times New Roman" w:hAnsi="Times New Roman" w:cs="Times New Roman"/>
          <w:sz w:val="28"/>
          <w:szCs w:val="28"/>
          <w:lang w:eastAsia="ru-RU"/>
        </w:rPr>
        <w:t>Развитие данного направления призвано расширить в регионах практику создания групп по присмотру и уходу за детьми дошкольного возраста с учетом их возрастных особенностей и состояния здоровья.</w:t>
      </w:r>
    </w:p>
    <w:p w14:paraId="1EF08525" w14:textId="77777777" w:rsidR="008F1272" w:rsidRPr="009461B6" w:rsidRDefault="008F1272" w:rsidP="00381797">
      <w:pPr>
        <w:spacing w:after="0" w:line="312" w:lineRule="auto"/>
        <w:ind w:firstLine="709"/>
        <w:jc w:val="both"/>
        <w:rPr>
          <w:rFonts w:ascii="Times New Roman" w:eastAsia="Times New Roman" w:hAnsi="Times New Roman" w:cs="Times New Roman"/>
          <w:sz w:val="28"/>
          <w:szCs w:val="28"/>
          <w:lang w:eastAsia="ru-RU"/>
        </w:rPr>
      </w:pPr>
      <w:r w:rsidRPr="009461B6">
        <w:rPr>
          <w:rFonts w:ascii="Times New Roman" w:eastAsia="Times New Roman" w:hAnsi="Times New Roman" w:cs="Times New Roman"/>
          <w:sz w:val="28"/>
          <w:szCs w:val="28"/>
          <w:lang w:eastAsia="ru-RU"/>
        </w:rPr>
        <w:t>По данным федеральной информационной системы доступности дошкольного образования</w:t>
      </w:r>
      <w:r w:rsidR="00BA0EEF" w:rsidRPr="009461B6">
        <w:rPr>
          <w:rFonts w:ascii="Times New Roman" w:eastAsia="Times New Roman" w:hAnsi="Times New Roman" w:cs="Times New Roman"/>
          <w:sz w:val="28"/>
          <w:szCs w:val="28"/>
          <w:lang w:eastAsia="ru-RU"/>
        </w:rPr>
        <w:t>,</w:t>
      </w:r>
      <w:r w:rsidRPr="009461B6">
        <w:rPr>
          <w:rFonts w:ascii="Times New Roman" w:eastAsia="Times New Roman" w:hAnsi="Times New Roman" w:cs="Times New Roman"/>
          <w:sz w:val="28"/>
          <w:szCs w:val="28"/>
          <w:lang w:eastAsia="ru-RU"/>
        </w:rPr>
        <w:t xml:space="preserve"> за 2021 г</w:t>
      </w:r>
      <w:r w:rsidR="00C40F63" w:rsidRPr="009461B6">
        <w:rPr>
          <w:rFonts w:ascii="Times New Roman" w:eastAsia="Times New Roman" w:hAnsi="Times New Roman" w:cs="Times New Roman"/>
          <w:sz w:val="28"/>
          <w:szCs w:val="28"/>
          <w:lang w:eastAsia="ru-RU"/>
        </w:rPr>
        <w:t>.</w:t>
      </w:r>
      <w:r w:rsidRPr="009461B6">
        <w:rPr>
          <w:rFonts w:ascii="Times New Roman" w:eastAsia="Times New Roman" w:hAnsi="Times New Roman" w:cs="Times New Roman"/>
          <w:sz w:val="28"/>
          <w:szCs w:val="28"/>
          <w:lang w:eastAsia="ru-RU"/>
        </w:rPr>
        <w:t xml:space="preserve"> значение показателя доступности дошкольного образования для детей в возрасте от 2 месяцев до 3 лет выросло на 4,48% и по состоянию </w:t>
      </w:r>
      <w:r w:rsidR="00C40F63" w:rsidRPr="009461B6">
        <w:rPr>
          <w:rFonts w:ascii="Times New Roman" w:eastAsia="Times New Roman" w:hAnsi="Times New Roman" w:cs="Times New Roman"/>
          <w:sz w:val="28"/>
          <w:szCs w:val="28"/>
          <w:lang w:eastAsia="ru-RU"/>
        </w:rPr>
        <w:br/>
      </w:r>
      <w:r w:rsidRPr="009461B6">
        <w:rPr>
          <w:rFonts w:ascii="Times New Roman" w:eastAsia="Times New Roman" w:hAnsi="Times New Roman" w:cs="Times New Roman"/>
          <w:sz w:val="28"/>
          <w:szCs w:val="28"/>
          <w:lang w:eastAsia="ru-RU"/>
        </w:rPr>
        <w:t>на 1 января 2022 г</w:t>
      </w:r>
      <w:r w:rsidR="00C40F63" w:rsidRPr="009461B6">
        <w:rPr>
          <w:rFonts w:ascii="Times New Roman" w:eastAsia="Times New Roman" w:hAnsi="Times New Roman" w:cs="Times New Roman"/>
          <w:sz w:val="28"/>
          <w:szCs w:val="28"/>
          <w:lang w:eastAsia="ru-RU"/>
        </w:rPr>
        <w:t>.</w:t>
      </w:r>
      <w:r w:rsidRPr="009461B6">
        <w:rPr>
          <w:rFonts w:ascii="Times New Roman" w:eastAsia="Times New Roman" w:hAnsi="Times New Roman" w:cs="Times New Roman"/>
          <w:sz w:val="28"/>
          <w:szCs w:val="28"/>
          <w:lang w:eastAsia="ru-RU"/>
        </w:rPr>
        <w:t xml:space="preserve"> составило 96,13%.</w:t>
      </w:r>
    </w:p>
    <w:p w14:paraId="0C30929E" w14:textId="77777777" w:rsidR="008F1272" w:rsidRPr="009461B6" w:rsidRDefault="008F1272" w:rsidP="00BA0EEF">
      <w:pPr>
        <w:spacing w:after="0" w:line="312" w:lineRule="auto"/>
        <w:ind w:firstLine="709"/>
        <w:jc w:val="both"/>
        <w:rPr>
          <w:rFonts w:ascii="Times New Roman" w:eastAsia="Times New Roman" w:hAnsi="Times New Roman" w:cs="Times New Roman"/>
          <w:sz w:val="28"/>
          <w:szCs w:val="28"/>
          <w:lang w:eastAsia="ru-RU"/>
        </w:rPr>
      </w:pPr>
      <w:r w:rsidRPr="009461B6">
        <w:rPr>
          <w:rFonts w:ascii="Times New Roman" w:eastAsia="Times New Roman" w:hAnsi="Times New Roman" w:cs="Times New Roman"/>
          <w:sz w:val="28"/>
          <w:szCs w:val="28"/>
          <w:lang w:eastAsia="ru-RU"/>
        </w:rPr>
        <w:t xml:space="preserve">При этом число регионов, выполнивших задачу, поставленную Указом Президента Российской Федерации от 7 мая 2018 </w:t>
      </w:r>
      <w:r w:rsidR="00BA0EEF" w:rsidRPr="009461B6">
        <w:rPr>
          <w:rFonts w:ascii="Times New Roman" w:eastAsia="Times New Roman" w:hAnsi="Times New Roman" w:cs="Times New Roman"/>
          <w:sz w:val="28"/>
          <w:szCs w:val="28"/>
          <w:lang w:eastAsia="ru-RU"/>
        </w:rPr>
        <w:t xml:space="preserve">г. № 204 «О национальных целях </w:t>
      </w:r>
      <w:r w:rsidRPr="009461B6">
        <w:rPr>
          <w:rFonts w:ascii="Times New Roman" w:eastAsia="Times New Roman" w:hAnsi="Times New Roman" w:cs="Times New Roman"/>
          <w:sz w:val="28"/>
          <w:szCs w:val="28"/>
          <w:lang w:eastAsia="ru-RU"/>
        </w:rPr>
        <w:t>и стратегических задачах развития Российской Федерации на период до 2024 года», за год увеличилось на 81%. Так, по состоянию на 1 января 2022 г</w:t>
      </w:r>
      <w:r w:rsidR="00271E5F" w:rsidRPr="009461B6">
        <w:rPr>
          <w:rFonts w:ascii="Times New Roman" w:eastAsia="Times New Roman" w:hAnsi="Times New Roman" w:cs="Times New Roman"/>
          <w:sz w:val="28"/>
          <w:szCs w:val="28"/>
          <w:lang w:eastAsia="ru-RU"/>
        </w:rPr>
        <w:t>.</w:t>
      </w:r>
      <w:r w:rsidRPr="009461B6">
        <w:rPr>
          <w:rFonts w:ascii="Times New Roman" w:eastAsia="Times New Roman" w:hAnsi="Times New Roman" w:cs="Times New Roman"/>
          <w:sz w:val="28"/>
          <w:szCs w:val="28"/>
          <w:lang w:eastAsia="ru-RU"/>
        </w:rPr>
        <w:t xml:space="preserve"> 49 субъектов Российской Федерации </w:t>
      </w:r>
      <w:r w:rsidR="00BA0EEF" w:rsidRPr="009461B6">
        <w:rPr>
          <w:rFonts w:ascii="Times New Roman" w:eastAsia="Times New Roman" w:hAnsi="Times New Roman" w:cs="Times New Roman"/>
          <w:sz w:val="28"/>
          <w:szCs w:val="28"/>
          <w:lang w:eastAsia="ru-RU"/>
        </w:rPr>
        <w:t>с учетом математического правила округления чисел до целого в интервале от 99,53% до 100%</w:t>
      </w:r>
      <w:r w:rsidR="00271E5F" w:rsidRPr="009461B6">
        <w:rPr>
          <w:rFonts w:ascii="Times New Roman" w:eastAsia="Times New Roman" w:hAnsi="Times New Roman" w:cs="Times New Roman"/>
          <w:sz w:val="28"/>
          <w:szCs w:val="28"/>
          <w:lang w:eastAsia="ru-RU"/>
        </w:rPr>
        <w:t> </w:t>
      </w:r>
      <w:r w:rsidRPr="009461B6">
        <w:rPr>
          <w:rFonts w:ascii="Times New Roman" w:eastAsia="Times New Roman" w:hAnsi="Times New Roman" w:cs="Times New Roman"/>
          <w:sz w:val="28"/>
          <w:szCs w:val="28"/>
          <w:lang w:eastAsia="ru-RU"/>
        </w:rPr>
        <w:t xml:space="preserve">обеспечили 100% доступность дошкольного образования (на 1 января 2021 </w:t>
      </w:r>
      <w:r w:rsidR="00BA0EEF" w:rsidRPr="009461B6">
        <w:rPr>
          <w:rFonts w:ascii="Times New Roman" w:eastAsia="Times New Roman" w:hAnsi="Times New Roman" w:cs="Times New Roman"/>
          <w:sz w:val="28"/>
          <w:szCs w:val="28"/>
          <w:lang w:eastAsia="ru-RU"/>
        </w:rPr>
        <w:t>г.</w:t>
      </w:r>
      <w:r w:rsidRPr="009461B6">
        <w:rPr>
          <w:rFonts w:ascii="Times New Roman" w:eastAsia="Times New Roman" w:hAnsi="Times New Roman" w:cs="Times New Roman"/>
          <w:sz w:val="28"/>
          <w:szCs w:val="28"/>
          <w:lang w:eastAsia="ru-RU"/>
        </w:rPr>
        <w:t xml:space="preserve"> таких регионов – 27).</w:t>
      </w:r>
    </w:p>
    <w:p w14:paraId="3E757763" w14:textId="77777777" w:rsidR="008F1272" w:rsidRPr="009461B6" w:rsidRDefault="008F1272" w:rsidP="00381797">
      <w:pPr>
        <w:spacing w:after="0" w:line="312" w:lineRule="auto"/>
        <w:ind w:firstLine="709"/>
        <w:jc w:val="both"/>
        <w:rPr>
          <w:rFonts w:ascii="Times New Roman" w:eastAsia="Times New Roman" w:hAnsi="Times New Roman" w:cs="Times New Roman"/>
          <w:sz w:val="28"/>
          <w:szCs w:val="28"/>
          <w:lang w:eastAsia="ru-RU"/>
        </w:rPr>
      </w:pPr>
      <w:r w:rsidRPr="009461B6">
        <w:rPr>
          <w:rFonts w:ascii="Times New Roman" w:eastAsia="Times New Roman" w:hAnsi="Times New Roman" w:cs="Times New Roman"/>
          <w:sz w:val="28"/>
          <w:szCs w:val="28"/>
          <w:lang w:eastAsia="ru-RU"/>
        </w:rPr>
        <w:t>В 14 регионах России показатель доступности дошкольного образования зафиксирован выше среднероссийского значения (в интервале от 97,06% до 99,40%), но не достигающего 100%.</w:t>
      </w:r>
    </w:p>
    <w:p w14:paraId="3B71EF73" w14:textId="77777777" w:rsidR="008F1272" w:rsidRPr="009461B6" w:rsidRDefault="008F1272" w:rsidP="00381797">
      <w:pPr>
        <w:spacing w:after="0" w:line="312" w:lineRule="auto"/>
        <w:ind w:firstLine="709"/>
        <w:jc w:val="both"/>
        <w:rPr>
          <w:rFonts w:ascii="Times New Roman" w:eastAsia="Times New Roman" w:hAnsi="Times New Roman" w:cs="Times New Roman"/>
          <w:sz w:val="28"/>
          <w:szCs w:val="28"/>
          <w:lang w:eastAsia="ru-RU"/>
        </w:rPr>
      </w:pPr>
      <w:r w:rsidRPr="009461B6">
        <w:rPr>
          <w:rFonts w:ascii="Times New Roman" w:eastAsia="Times New Roman" w:hAnsi="Times New Roman" w:cs="Times New Roman"/>
          <w:sz w:val="28"/>
          <w:szCs w:val="28"/>
          <w:lang w:eastAsia="ru-RU"/>
        </w:rPr>
        <w:t xml:space="preserve">В 22 субъектах Российской Федерации показатель доступности дошкольного образования зафиксирован в федеральной информационной системе доступности дошкольного образования ниже среднероссийского значения, из них наименьшие значения в 2 регионах, где он не достиг 80%: </w:t>
      </w:r>
      <w:r w:rsidR="008D2DC8" w:rsidRPr="009461B6">
        <w:rPr>
          <w:rFonts w:ascii="Times New Roman" w:eastAsia="Times New Roman" w:hAnsi="Times New Roman" w:cs="Times New Roman"/>
          <w:sz w:val="28"/>
          <w:szCs w:val="28"/>
          <w:lang w:eastAsia="ru-RU"/>
        </w:rPr>
        <w:t xml:space="preserve">в </w:t>
      </w:r>
      <w:r w:rsidRPr="009461B6">
        <w:rPr>
          <w:rFonts w:ascii="Times New Roman" w:eastAsia="Times New Roman" w:hAnsi="Times New Roman" w:cs="Times New Roman"/>
          <w:sz w:val="28"/>
          <w:szCs w:val="28"/>
          <w:lang w:eastAsia="ru-RU"/>
        </w:rPr>
        <w:t>Республике Дагестан – 51,96% и Новосибирской области – 77,05%. В сравнении с прошлым годом число регионов, не достигших границы в 80%, снизилось в 6 раз.</w:t>
      </w:r>
    </w:p>
    <w:p w14:paraId="1CFBEA7E" w14:textId="77777777" w:rsidR="008F1272" w:rsidRPr="009461B6" w:rsidRDefault="008F1272" w:rsidP="00381797">
      <w:pPr>
        <w:spacing w:after="0" w:line="312" w:lineRule="auto"/>
        <w:ind w:firstLine="709"/>
        <w:jc w:val="both"/>
        <w:rPr>
          <w:rFonts w:ascii="Times New Roman" w:eastAsia="Times New Roman" w:hAnsi="Times New Roman" w:cs="Times New Roman"/>
          <w:sz w:val="28"/>
          <w:szCs w:val="28"/>
          <w:lang w:eastAsia="ru-RU"/>
        </w:rPr>
      </w:pPr>
      <w:r w:rsidRPr="009461B6">
        <w:rPr>
          <w:rFonts w:ascii="Times New Roman" w:eastAsia="Times New Roman" w:hAnsi="Times New Roman" w:cs="Times New Roman"/>
          <w:sz w:val="28"/>
          <w:szCs w:val="28"/>
          <w:lang w:eastAsia="ru-RU"/>
        </w:rPr>
        <w:t>Численность детей в возрасте от 2 месяцев до 3 лет, не обеспеченных местами в дошкольных образовательных организациях</w:t>
      </w:r>
      <w:r w:rsidR="008D2DC8" w:rsidRPr="009461B6">
        <w:rPr>
          <w:rFonts w:ascii="Times New Roman" w:eastAsia="Times New Roman" w:hAnsi="Times New Roman" w:cs="Times New Roman"/>
          <w:sz w:val="28"/>
          <w:szCs w:val="28"/>
          <w:lang w:eastAsia="ru-RU"/>
        </w:rPr>
        <w:t>,</w:t>
      </w:r>
      <w:r w:rsidRPr="009461B6">
        <w:rPr>
          <w:rFonts w:ascii="Times New Roman" w:eastAsia="Times New Roman" w:hAnsi="Times New Roman" w:cs="Times New Roman"/>
          <w:sz w:val="28"/>
          <w:szCs w:val="28"/>
          <w:lang w:eastAsia="ru-RU"/>
        </w:rPr>
        <w:t xml:space="preserve"> за указанный период сократилась более чем в 2 раза (на 56 389 человек) и по состоянию на 1 января 2022 г</w:t>
      </w:r>
      <w:r w:rsidR="00271E5F" w:rsidRPr="009461B6">
        <w:rPr>
          <w:rFonts w:ascii="Times New Roman" w:eastAsia="Times New Roman" w:hAnsi="Times New Roman" w:cs="Times New Roman"/>
          <w:sz w:val="28"/>
          <w:szCs w:val="28"/>
          <w:lang w:eastAsia="ru-RU"/>
        </w:rPr>
        <w:t>.</w:t>
      </w:r>
      <w:r w:rsidRPr="009461B6">
        <w:rPr>
          <w:rFonts w:ascii="Times New Roman" w:eastAsia="Times New Roman" w:hAnsi="Times New Roman" w:cs="Times New Roman"/>
          <w:sz w:val="28"/>
          <w:szCs w:val="28"/>
          <w:lang w:eastAsia="ru-RU"/>
        </w:rPr>
        <w:t xml:space="preserve"> составила 43 082 человека.</w:t>
      </w:r>
    </w:p>
    <w:p w14:paraId="075FA3D7" w14:textId="77777777" w:rsidR="008F1272" w:rsidRPr="009461B6" w:rsidRDefault="008F1272" w:rsidP="00381797">
      <w:pPr>
        <w:spacing w:after="0" w:line="312" w:lineRule="auto"/>
        <w:ind w:firstLine="709"/>
        <w:jc w:val="both"/>
        <w:rPr>
          <w:rFonts w:ascii="Times New Roman" w:eastAsia="Times New Roman" w:hAnsi="Times New Roman" w:cs="Times New Roman"/>
          <w:sz w:val="28"/>
          <w:szCs w:val="28"/>
          <w:lang w:eastAsia="ru-RU"/>
        </w:rPr>
      </w:pPr>
      <w:r w:rsidRPr="009461B6">
        <w:rPr>
          <w:rFonts w:ascii="Times New Roman" w:eastAsia="Times New Roman" w:hAnsi="Times New Roman" w:cs="Times New Roman"/>
          <w:sz w:val="28"/>
          <w:szCs w:val="28"/>
          <w:lang w:eastAsia="ru-RU"/>
        </w:rPr>
        <w:t xml:space="preserve">Общая численность детей в возрасте от 2 месяцев до 3 лет, состоящих на учете для предоставления мест в государственных (муниципальных) дошкольных образовательных организациях, по состоянию на 1 января 2022 </w:t>
      </w:r>
      <w:r w:rsidR="00B8711F" w:rsidRPr="009461B6">
        <w:rPr>
          <w:rFonts w:ascii="Times New Roman" w:eastAsia="Times New Roman" w:hAnsi="Times New Roman" w:cs="Times New Roman"/>
          <w:sz w:val="28"/>
          <w:szCs w:val="28"/>
          <w:lang w:eastAsia="ru-RU"/>
        </w:rPr>
        <w:t>г.</w:t>
      </w:r>
      <w:r w:rsidRPr="009461B6">
        <w:rPr>
          <w:rFonts w:ascii="Times New Roman" w:eastAsia="Times New Roman" w:hAnsi="Times New Roman" w:cs="Times New Roman"/>
          <w:sz w:val="28"/>
          <w:szCs w:val="28"/>
          <w:lang w:eastAsia="ru-RU"/>
        </w:rPr>
        <w:t xml:space="preserve"> в сравнении с прошлым годом снизилась на 14% (на 225 209 человек) и составила 1 668 001 человек.</w:t>
      </w:r>
    </w:p>
    <w:p w14:paraId="7B1D2E31" w14:textId="77777777" w:rsidR="008F1272" w:rsidRPr="009461B6" w:rsidRDefault="008F1272" w:rsidP="00381797">
      <w:pPr>
        <w:spacing w:after="0" w:line="312" w:lineRule="auto"/>
        <w:ind w:firstLine="709"/>
        <w:jc w:val="both"/>
        <w:rPr>
          <w:rFonts w:ascii="Times New Roman" w:eastAsia="Times New Roman" w:hAnsi="Times New Roman" w:cs="Times New Roman"/>
          <w:sz w:val="28"/>
          <w:szCs w:val="28"/>
          <w:lang w:eastAsia="ru-RU"/>
        </w:rPr>
      </w:pPr>
      <w:r w:rsidRPr="009461B6">
        <w:rPr>
          <w:rFonts w:ascii="Times New Roman" w:eastAsia="Times New Roman" w:hAnsi="Times New Roman" w:cs="Times New Roman"/>
          <w:sz w:val="28"/>
          <w:szCs w:val="28"/>
          <w:lang w:eastAsia="ru-RU"/>
        </w:rPr>
        <w:t>Положительная динамика обеспечения доступности дошкольного образования для детей раннего возраста отмечается</w:t>
      </w:r>
      <w:r w:rsidR="008D2DC8" w:rsidRPr="009461B6">
        <w:rPr>
          <w:rFonts w:ascii="Times New Roman" w:eastAsia="Times New Roman" w:hAnsi="Times New Roman" w:cs="Times New Roman"/>
          <w:sz w:val="28"/>
          <w:szCs w:val="28"/>
          <w:lang w:eastAsia="ru-RU"/>
        </w:rPr>
        <w:t>,</w:t>
      </w:r>
      <w:r w:rsidRPr="009461B6">
        <w:rPr>
          <w:rFonts w:ascii="Times New Roman" w:eastAsia="Times New Roman" w:hAnsi="Times New Roman" w:cs="Times New Roman"/>
          <w:sz w:val="28"/>
          <w:szCs w:val="28"/>
          <w:lang w:eastAsia="ru-RU"/>
        </w:rPr>
        <w:t xml:space="preserve"> в том числе и в целом по Арктической зоне.</w:t>
      </w:r>
    </w:p>
    <w:p w14:paraId="29820BC2" w14:textId="77777777" w:rsidR="008F1272" w:rsidRPr="009461B6" w:rsidRDefault="008F1272" w:rsidP="00381797">
      <w:pPr>
        <w:spacing w:after="0" w:line="312" w:lineRule="auto"/>
        <w:ind w:firstLine="709"/>
        <w:jc w:val="both"/>
        <w:rPr>
          <w:rFonts w:ascii="Times New Roman" w:eastAsia="Times New Roman" w:hAnsi="Times New Roman" w:cs="Times New Roman"/>
          <w:sz w:val="28"/>
          <w:szCs w:val="28"/>
          <w:lang w:eastAsia="ru-RU"/>
        </w:rPr>
      </w:pPr>
      <w:r w:rsidRPr="009461B6">
        <w:rPr>
          <w:rFonts w:ascii="Times New Roman" w:eastAsia="Times New Roman" w:hAnsi="Times New Roman" w:cs="Times New Roman"/>
          <w:sz w:val="28"/>
          <w:szCs w:val="28"/>
          <w:lang w:eastAsia="ru-RU"/>
        </w:rPr>
        <w:t>По состоянию на 1 января 2022 г</w:t>
      </w:r>
      <w:r w:rsidR="00B8711F" w:rsidRPr="009461B6">
        <w:rPr>
          <w:rFonts w:ascii="Times New Roman" w:eastAsia="Times New Roman" w:hAnsi="Times New Roman" w:cs="Times New Roman"/>
          <w:sz w:val="28"/>
          <w:szCs w:val="28"/>
          <w:lang w:eastAsia="ru-RU"/>
        </w:rPr>
        <w:t>.</w:t>
      </w:r>
      <w:r w:rsidRPr="009461B6">
        <w:rPr>
          <w:rFonts w:ascii="Times New Roman" w:eastAsia="Times New Roman" w:hAnsi="Times New Roman" w:cs="Times New Roman"/>
          <w:sz w:val="28"/>
          <w:szCs w:val="28"/>
          <w:lang w:eastAsia="ru-RU"/>
        </w:rPr>
        <w:t xml:space="preserve"> снижение доступности дошкольного образования наблюдается в ряде регионов Арктической зоны. Так, показатель доступности не достигал 90% в 2 муниципальных образованиях: муниципальное образование «Новая Земля» Архангельской области – 87,50% (на 1 января </w:t>
      </w:r>
      <w:r w:rsidR="008D2DC8" w:rsidRPr="009461B6">
        <w:rPr>
          <w:rFonts w:ascii="Times New Roman" w:eastAsia="Times New Roman" w:hAnsi="Times New Roman" w:cs="Times New Roman"/>
          <w:sz w:val="28"/>
          <w:szCs w:val="28"/>
          <w:lang w:eastAsia="ru-RU"/>
        </w:rPr>
        <w:br/>
      </w:r>
      <w:r w:rsidRPr="009461B6">
        <w:rPr>
          <w:rFonts w:ascii="Times New Roman" w:eastAsia="Times New Roman" w:hAnsi="Times New Roman" w:cs="Times New Roman"/>
          <w:sz w:val="28"/>
          <w:szCs w:val="28"/>
          <w:lang w:eastAsia="ru-RU"/>
        </w:rPr>
        <w:t>2021 г</w:t>
      </w:r>
      <w:r w:rsidR="00C40F63" w:rsidRPr="009461B6">
        <w:rPr>
          <w:rFonts w:ascii="Times New Roman" w:eastAsia="Times New Roman" w:hAnsi="Times New Roman" w:cs="Times New Roman"/>
          <w:sz w:val="28"/>
          <w:szCs w:val="28"/>
          <w:lang w:eastAsia="ru-RU"/>
        </w:rPr>
        <w:t>.</w:t>
      </w:r>
      <w:r w:rsidRPr="009461B6">
        <w:rPr>
          <w:rFonts w:ascii="Times New Roman" w:eastAsia="Times New Roman" w:hAnsi="Times New Roman" w:cs="Times New Roman"/>
          <w:sz w:val="28"/>
          <w:szCs w:val="28"/>
          <w:lang w:eastAsia="ru-RU"/>
        </w:rPr>
        <w:t xml:space="preserve"> – 100%) и Приморский муниципальный район Архангельской облас</w:t>
      </w:r>
      <w:r w:rsidR="00C40F63" w:rsidRPr="009461B6">
        <w:rPr>
          <w:rFonts w:ascii="Times New Roman" w:eastAsia="Times New Roman" w:hAnsi="Times New Roman" w:cs="Times New Roman"/>
          <w:sz w:val="28"/>
          <w:szCs w:val="28"/>
          <w:lang w:eastAsia="ru-RU"/>
        </w:rPr>
        <w:t>ти – 86,83% (на 1 января 2021 г.</w:t>
      </w:r>
      <w:r w:rsidRPr="009461B6">
        <w:rPr>
          <w:rFonts w:ascii="Times New Roman" w:eastAsia="Times New Roman" w:hAnsi="Times New Roman" w:cs="Times New Roman"/>
          <w:sz w:val="28"/>
          <w:szCs w:val="28"/>
          <w:lang w:eastAsia="ru-RU"/>
        </w:rPr>
        <w:t xml:space="preserve"> – 91,11%).</w:t>
      </w:r>
    </w:p>
    <w:p w14:paraId="7D09D1FD" w14:textId="77777777" w:rsidR="008F1272" w:rsidRPr="009461B6" w:rsidRDefault="008F1272" w:rsidP="00381797">
      <w:pPr>
        <w:spacing w:after="0" w:line="312" w:lineRule="auto"/>
        <w:ind w:firstLine="709"/>
        <w:jc w:val="both"/>
        <w:rPr>
          <w:rFonts w:ascii="Times New Roman" w:eastAsia="Times New Roman" w:hAnsi="Times New Roman" w:cs="Times New Roman"/>
          <w:sz w:val="28"/>
          <w:szCs w:val="28"/>
          <w:lang w:eastAsia="ru-RU"/>
        </w:rPr>
      </w:pPr>
      <w:r w:rsidRPr="009461B6">
        <w:rPr>
          <w:rFonts w:ascii="Times New Roman" w:eastAsia="Times New Roman" w:hAnsi="Times New Roman" w:cs="Times New Roman"/>
          <w:sz w:val="28"/>
          <w:szCs w:val="28"/>
          <w:lang w:eastAsia="ru-RU"/>
        </w:rPr>
        <w:t xml:space="preserve">В 2 муниципальных образованиях и 2 субъектах Российской Федерации Арктической зоны показатель доступности дошкольного образования зафиксирован в федеральной информационной системе доступности дошкольного образования в интервале от 90 до 99,6%: Туруханский район Красноярского края – 97,95% </w:t>
      </w:r>
      <w:r w:rsidR="008D2DC8" w:rsidRPr="009461B6">
        <w:rPr>
          <w:rFonts w:ascii="Times New Roman" w:eastAsia="Times New Roman" w:hAnsi="Times New Roman" w:cs="Times New Roman"/>
          <w:sz w:val="28"/>
          <w:szCs w:val="28"/>
          <w:lang w:eastAsia="ru-RU"/>
        </w:rPr>
        <w:br/>
      </w:r>
      <w:r w:rsidRPr="009461B6">
        <w:rPr>
          <w:rFonts w:ascii="Times New Roman" w:eastAsia="Times New Roman" w:hAnsi="Times New Roman" w:cs="Times New Roman"/>
          <w:sz w:val="28"/>
          <w:szCs w:val="28"/>
          <w:lang w:eastAsia="ru-RU"/>
        </w:rPr>
        <w:t>(на 1 января 2021 г</w:t>
      </w:r>
      <w:r w:rsidR="00C40F63" w:rsidRPr="009461B6">
        <w:rPr>
          <w:rFonts w:ascii="Times New Roman" w:eastAsia="Times New Roman" w:hAnsi="Times New Roman" w:cs="Times New Roman"/>
          <w:sz w:val="28"/>
          <w:szCs w:val="28"/>
          <w:lang w:eastAsia="ru-RU"/>
        </w:rPr>
        <w:t>.</w:t>
      </w:r>
      <w:r w:rsidRPr="009461B6">
        <w:rPr>
          <w:rFonts w:ascii="Times New Roman" w:eastAsia="Times New Roman" w:hAnsi="Times New Roman" w:cs="Times New Roman"/>
          <w:sz w:val="28"/>
          <w:szCs w:val="28"/>
          <w:lang w:eastAsia="ru-RU"/>
        </w:rPr>
        <w:t xml:space="preserve"> – 98,86%), Онежский муниципальный район Архангельской области – 98,35% (на 1 января 2021 г</w:t>
      </w:r>
      <w:r w:rsidR="00C40F63" w:rsidRPr="009461B6">
        <w:rPr>
          <w:rFonts w:ascii="Times New Roman" w:eastAsia="Times New Roman" w:hAnsi="Times New Roman" w:cs="Times New Roman"/>
          <w:sz w:val="28"/>
          <w:szCs w:val="28"/>
          <w:lang w:eastAsia="ru-RU"/>
        </w:rPr>
        <w:t>.</w:t>
      </w:r>
      <w:r w:rsidRPr="009461B6">
        <w:rPr>
          <w:rFonts w:ascii="Times New Roman" w:eastAsia="Times New Roman" w:hAnsi="Times New Roman" w:cs="Times New Roman"/>
          <w:sz w:val="28"/>
          <w:szCs w:val="28"/>
          <w:lang w:eastAsia="ru-RU"/>
        </w:rPr>
        <w:t xml:space="preserve"> – 100%), а также в Чукотском автономном округе – 92,39% (на 1 января 2021 г</w:t>
      </w:r>
      <w:r w:rsidR="00C40F63" w:rsidRPr="009461B6">
        <w:rPr>
          <w:rFonts w:ascii="Times New Roman" w:eastAsia="Times New Roman" w:hAnsi="Times New Roman" w:cs="Times New Roman"/>
          <w:sz w:val="28"/>
          <w:szCs w:val="28"/>
          <w:lang w:eastAsia="ru-RU"/>
        </w:rPr>
        <w:t>. </w:t>
      </w:r>
      <w:r w:rsidRPr="009461B6">
        <w:rPr>
          <w:rFonts w:ascii="Times New Roman" w:eastAsia="Times New Roman" w:hAnsi="Times New Roman" w:cs="Times New Roman"/>
          <w:sz w:val="28"/>
          <w:szCs w:val="28"/>
          <w:lang w:eastAsia="ru-RU"/>
        </w:rPr>
        <w:t>– 97,77%) и в Мурманской области – 99,57% (на 1 января 2021 г</w:t>
      </w:r>
      <w:r w:rsidR="00C40F63" w:rsidRPr="009461B6">
        <w:rPr>
          <w:rFonts w:ascii="Times New Roman" w:eastAsia="Times New Roman" w:hAnsi="Times New Roman" w:cs="Times New Roman"/>
          <w:sz w:val="28"/>
          <w:szCs w:val="28"/>
          <w:lang w:eastAsia="ru-RU"/>
        </w:rPr>
        <w:t>.</w:t>
      </w:r>
      <w:r w:rsidRPr="009461B6">
        <w:rPr>
          <w:rFonts w:ascii="Times New Roman" w:eastAsia="Times New Roman" w:hAnsi="Times New Roman" w:cs="Times New Roman"/>
          <w:sz w:val="28"/>
          <w:szCs w:val="28"/>
          <w:lang w:eastAsia="ru-RU"/>
        </w:rPr>
        <w:t xml:space="preserve"> – 99,54%).</w:t>
      </w:r>
    </w:p>
    <w:p w14:paraId="7CC9BFCE" w14:textId="77777777" w:rsidR="008F1272" w:rsidRPr="009461B6" w:rsidRDefault="008F1272" w:rsidP="00381797">
      <w:pPr>
        <w:spacing w:after="0" w:line="312" w:lineRule="auto"/>
        <w:ind w:firstLine="709"/>
        <w:jc w:val="both"/>
        <w:rPr>
          <w:rFonts w:ascii="Times New Roman" w:eastAsia="Times New Roman" w:hAnsi="Times New Roman" w:cs="Times New Roman"/>
          <w:sz w:val="28"/>
          <w:szCs w:val="28"/>
          <w:lang w:eastAsia="ru-RU"/>
        </w:rPr>
      </w:pPr>
      <w:r w:rsidRPr="009461B6">
        <w:rPr>
          <w:rFonts w:ascii="Times New Roman" w:eastAsia="Times New Roman" w:hAnsi="Times New Roman" w:cs="Times New Roman"/>
          <w:sz w:val="28"/>
          <w:szCs w:val="28"/>
          <w:lang w:eastAsia="ru-RU"/>
        </w:rPr>
        <w:t xml:space="preserve">В остальных субъектах Российской Федерации и муниципальных образованиях Арктической зоны доступность дошкольного образования для детей младшего возраста по итогам 2021 </w:t>
      </w:r>
      <w:r w:rsidR="00C40F63" w:rsidRPr="009461B6">
        <w:rPr>
          <w:rFonts w:ascii="Times New Roman" w:eastAsia="Times New Roman" w:hAnsi="Times New Roman" w:cs="Times New Roman"/>
          <w:sz w:val="28"/>
          <w:szCs w:val="28"/>
          <w:lang w:eastAsia="ru-RU"/>
        </w:rPr>
        <w:t>г.</w:t>
      </w:r>
      <w:r w:rsidRPr="009461B6">
        <w:rPr>
          <w:rFonts w:ascii="Times New Roman" w:eastAsia="Times New Roman" w:hAnsi="Times New Roman" w:cs="Times New Roman"/>
          <w:sz w:val="28"/>
          <w:szCs w:val="28"/>
          <w:lang w:eastAsia="ru-RU"/>
        </w:rPr>
        <w:t xml:space="preserve"> составляла 100%.</w:t>
      </w:r>
    </w:p>
    <w:p w14:paraId="62D04D6D" w14:textId="77777777" w:rsidR="008F1272" w:rsidRPr="009461B6" w:rsidRDefault="008F1272" w:rsidP="00381797">
      <w:pPr>
        <w:spacing w:after="0" w:line="312" w:lineRule="auto"/>
        <w:ind w:firstLine="709"/>
        <w:jc w:val="both"/>
        <w:rPr>
          <w:rFonts w:ascii="Times New Roman" w:eastAsia="Times New Roman" w:hAnsi="Times New Roman" w:cs="Times New Roman"/>
          <w:sz w:val="28"/>
          <w:szCs w:val="28"/>
          <w:lang w:eastAsia="ru-RU"/>
        </w:rPr>
      </w:pPr>
      <w:r w:rsidRPr="009461B6">
        <w:rPr>
          <w:rFonts w:ascii="Times New Roman" w:eastAsia="Times New Roman" w:hAnsi="Times New Roman" w:cs="Times New Roman"/>
          <w:sz w:val="28"/>
          <w:szCs w:val="28"/>
          <w:lang w:eastAsia="ru-RU"/>
        </w:rPr>
        <w:t>Достигнутым пози</w:t>
      </w:r>
      <w:r w:rsidR="008D2DC8" w:rsidRPr="009461B6">
        <w:rPr>
          <w:rFonts w:ascii="Times New Roman" w:eastAsia="Times New Roman" w:hAnsi="Times New Roman" w:cs="Times New Roman"/>
          <w:sz w:val="28"/>
          <w:szCs w:val="28"/>
          <w:lang w:eastAsia="ru-RU"/>
        </w:rPr>
        <w:t>тивным результатам способствуют в первую очередь</w:t>
      </w:r>
      <w:r w:rsidRPr="009461B6">
        <w:rPr>
          <w:rFonts w:ascii="Times New Roman" w:eastAsia="Times New Roman" w:hAnsi="Times New Roman" w:cs="Times New Roman"/>
          <w:sz w:val="28"/>
          <w:szCs w:val="28"/>
          <w:lang w:eastAsia="ru-RU"/>
        </w:rPr>
        <w:t xml:space="preserve"> меры государственной поддержки, оказываемые Правительством Российской Федерации субъектам Российской Федерации за счет средств федерального бюджета, в том числе в рамках федерального проекта «Содействие занятости» национального проекта «Демография», по созданию дополнительных мест для детей в возрасте </w:t>
      </w:r>
      <w:r w:rsidR="009B1AB1" w:rsidRPr="009461B6">
        <w:rPr>
          <w:rFonts w:ascii="Times New Roman" w:eastAsia="Times New Roman" w:hAnsi="Times New Roman" w:cs="Times New Roman"/>
          <w:sz w:val="28"/>
          <w:szCs w:val="28"/>
          <w:lang w:eastAsia="ru-RU"/>
        </w:rPr>
        <w:br/>
      </w:r>
      <w:r w:rsidRPr="009461B6">
        <w:rPr>
          <w:rFonts w:ascii="Times New Roman" w:eastAsia="Times New Roman" w:hAnsi="Times New Roman" w:cs="Times New Roman"/>
          <w:sz w:val="28"/>
          <w:szCs w:val="28"/>
          <w:lang w:eastAsia="ru-RU"/>
        </w:rPr>
        <w:t>от 2 месяцев до 3 лет и для детей в возрасте от 1,5 до 3 лет.</w:t>
      </w:r>
    </w:p>
    <w:p w14:paraId="6C3737B8" w14:textId="22F06F9A" w:rsidR="008F1272" w:rsidRPr="009461B6" w:rsidRDefault="008F1272" w:rsidP="00381797">
      <w:pPr>
        <w:spacing w:after="0" w:line="312" w:lineRule="auto"/>
        <w:ind w:firstLine="709"/>
        <w:jc w:val="both"/>
        <w:rPr>
          <w:rFonts w:ascii="Times New Roman" w:eastAsia="Times New Roman" w:hAnsi="Times New Roman" w:cs="Times New Roman"/>
          <w:sz w:val="28"/>
          <w:szCs w:val="28"/>
          <w:lang w:eastAsia="ru-RU"/>
        </w:rPr>
      </w:pPr>
      <w:r w:rsidRPr="009461B6">
        <w:rPr>
          <w:rFonts w:ascii="Times New Roman" w:eastAsia="Times New Roman" w:hAnsi="Times New Roman" w:cs="Times New Roman"/>
          <w:sz w:val="28"/>
          <w:szCs w:val="28"/>
          <w:lang w:eastAsia="ru-RU"/>
        </w:rPr>
        <w:t>С 2020 г</w:t>
      </w:r>
      <w:r w:rsidR="00C40F63" w:rsidRPr="009461B6">
        <w:rPr>
          <w:rFonts w:ascii="Times New Roman" w:eastAsia="Times New Roman" w:hAnsi="Times New Roman" w:cs="Times New Roman"/>
          <w:sz w:val="28"/>
          <w:szCs w:val="28"/>
          <w:lang w:eastAsia="ru-RU"/>
        </w:rPr>
        <w:t>.</w:t>
      </w:r>
      <w:r w:rsidRPr="009461B6">
        <w:rPr>
          <w:rFonts w:ascii="Times New Roman" w:eastAsia="Times New Roman" w:hAnsi="Times New Roman" w:cs="Times New Roman"/>
          <w:sz w:val="28"/>
          <w:szCs w:val="28"/>
          <w:lang w:eastAsia="ru-RU"/>
        </w:rPr>
        <w:t xml:space="preserve"> регионам начали предоставлять субсидии за счет мероприятий по созданию дополнительных мест для детей в возрасте от 1,5 до 3 лет в негосударственном секторе. Всего </w:t>
      </w:r>
      <w:r w:rsidR="009B1AB1" w:rsidRPr="009461B6">
        <w:rPr>
          <w:rFonts w:ascii="Times New Roman" w:eastAsia="Times New Roman" w:hAnsi="Times New Roman" w:cs="Times New Roman"/>
          <w:sz w:val="28"/>
          <w:szCs w:val="28"/>
          <w:lang w:eastAsia="ru-RU"/>
        </w:rPr>
        <w:t xml:space="preserve">в </w:t>
      </w:r>
      <w:r w:rsidR="00C40F63" w:rsidRPr="009461B6">
        <w:rPr>
          <w:rFonts w:ascii="Times New Roman" w:eastAsia="Times New Roman" w:hAnsi="Times New Roman" w:cs="Times New Roman"/>
          <w:sz w:val="28"/>
          <w:szCs w:val="28"/>
          <w:lang w:eastAsia="ru-RU"/>
        </w:rPr>
        <w:t>2019-2021 гг.</w:t>
      </w:r>
      <w:r w:rsidRPr="009461B6">
        <w:rPr>
          <w:rFonts w:ascii="Times New Roman" w:eastAsia="Times New Roman" w:hAnsi="Times New Roman" w:cs="Times New Roman"/>
          <w:sz w:val="28"/>
          <w:szCs w:val="28"/>
          <w:lang w:eastAsia="ru-RU"/>
        </w:rPr>
        <w:t xml:space="preserve"> в субъектах Российской Федерации планировалось создать 199 883 дополнительных мест для детей указанной возрастной категории, за период реализации мероприятия – более 256 тыс. мест.</w:t>
      </w:r>
    </w:p>
    <w:p w14:paraId="1D6187FB" w14:textId="7CF62F9F" w:rsidR="008F1272" w:rsidRPr="009461B6" w:rsidRDefault="008F1272" w:rsidP="00381797">
      <w:pPr>
        <w:spacing w:after="0" w:line="312" w:lineRule="auto"/>
        <w:ind w:firstLine="709"/>
        <w:jc w:val="both"/>
        <w:rPr>
          <w:rFonts w:ascii="Times New Roman" w:eastAsia="Times New Roman" w:hAnsi="Times New Roman" w:cs="Times New Roman"/>
          <w:sz w:val="28"/>
          <w:szCs w:val="28"/>
          <w:lang w:eastAsia="ru-RU"/>
        </w:rPr>
      </w:pPr>
      <w:r w:rsidRPr="009461B6">
        <w:rPr>
          <w:rFonts w:ascii="Times New Roman" w:eastAsia="Times New Roman" w:hAnsi="Times New Roman" w:cs="Times New Roman"/>
          <w:sz w:val="28"/>
          <w:szCs w:val="28"/>
          <w:lang w:eastAsia="ru-RU"/>
        </w:rPr>
        <w:t>С начала реализации мероприятий федерального проекта «Содействие занятости» национального проекта «Демография» по итогам 2021 г</w:t>
      </w:r>
      <w:r w:rsidR="00C40F63" w:rsidRPr="009461B6">
        <w:rPr>
          <w:rFonts w:ascii="Times New Roman" w:eastAsia="Times New Roman" w:hAnsi="Times New Roman" w:cs="Times New Roman"/>
          <w:sz w:val="28"/>
          <w:szCs w:val="28"/>
          <w:lang w:eastAsia="ru-RU"/>
        </w:rPr>
        <w:t>.</w:t>
      </w:r>
      <w:r w:rsidRPr="009461B6">
        <w:rPr>
          <w:rFonts w:ascii="Times New Roman" w:eastAsia="Times New Roman" w:hAnsi="Times New Roman" w:cs="Times New Roman"/>
          <w:sz w:val="28"/>
          <w:szCs w:val="28"/>
          <w:lang w:eastAsia="ru-RU"/>
        </w:rPr>
        <w:t xml:space="preserve"> в регионах создано 209 189 дополнительных мест для детей раннего возраста </w:t>
      </w:r>
      <w:r w:rsidR="005360FA">
        <w:rPr>
          <w:rFonts w:ascii="Times New Roman" w:eastAsia="Times New Roman" w:hAnsi="Times New Roman" w:cs="Times New Roman"/>
          <w:sz w:val="28"/>
          <w:szCs w:val="28"/>
          <w:lang w:eastAsia="ru-RU"/>
        </w:rPr>
        <w:br/>
      </w:r>
      <w:r w:rsidRPr="009461B6">
        <w:rPr>
          <w:rFonts w:ascii="Times New Roman" w:eastAsia="Times New Roman" w:hAnsi="Times New Roman" w:cs="Times New Roman"/>
          <w:sz w:val="28"/>
          <w:szCs w:val="28"/>
          <w:lang w:eastAsia="ru-RU"/>
        </w:rPr>
        <w:t>(81,4% от планового показателя), в том числе 13 177 мест – в частных дошкольных образовательных организациях.</w:t>
      </w:r>
    </w:p>
    <w:p w14:paraId="41AA5EA8" w14:textId="77777777" w:rsidR="008F1272" w:rsidRPr="009461B6" w:rsidRDefault="008F1272" w:rsidP="00381797">
      <w:pPr>
        <w:spacing w:after="0" w:line="312" w:lineRule="auto"/>
        <w:ind w:firstLine="709"/>
        <w:jc w:val="both"/>
        <w:rPr>
          <w:rFonts w:ascii="Times New Roman" w:eastAsia="Times New Roman" w:hAnsi="Times New Roman" w:cs="Times New Roman"/>
          <w:sz w:val="28"/>
          <w:szCs w:val="28"/>
          <w:lang w:eastAsia="ru-RU"/>
        </w:rPr>
      </w:pPr>
      <w:r w:rsidRPr="009461B6">
        <w:rPr>
          <w:rFonts w:ascii="Times New Roman" w:eastAsia="Times New Roman" w:hAnsi="Times New Roman" w:cs="Times New Roman"/>
          <w:sz w:val="28"/>
          <w:szCs w:val="28"/>
          <w:lang w:eastAsia="ru-RU"/>
        </w:rPr>
        <w:t xml:space="preserve">На совокупную реализацию мероприятий федерального проекта «Содействие занятости» национального проекта «Демография» Федеральным законом </w:t>
      </w:r>
      <w:r w:rsidR="005C38D1" w:rsidRPr="009461B6">
        <w:rPr>
          <w:rFonts w:ascii="Times New Roman" w:eastAsia="Times New Roman" w:hAnsi="Times New Roman" w:cs="Times New Roman"/>
          <w:sz w:val="28"/>
          <w:szCs w:val="28"/>
          <w:lang w:eastAsia="ru-RU"/>
        </w:rPr>
        <w:br/>
      </w:r>
      <w:r w:rsidRPr="009461B6">
        <w:rPr>
          <w:rFonts w:ascii="Times New Roman" w:eastAsia="Times New Roman" w:hAnsi="Times New Roman" w:cs="Times New Roman"/>
          <w:sz w:val="28"/>
          <w:szCs w:val="28"/>
          <w:lang w:eastAsia="ru-RU"/>
        </w:rPr>
        <w:t>от 8 декабря 2020 г. № 385-ФЗ «О федеральном бюджете на 2021 год и на плановый период 2022 и 2023 годов» в 2021 г</w:t>
      </w:r>
      <w:r w:rsidR="00C40F63" w:rsidRPr="009461B6">
        <w:rPr>
          <w:rFonts w:ascii="Times New Roman" w:eastAsia="Times New Roman" w:hAnsi="Times New Roman" w:cs="Times New Roman"/>
          <w:sz w:val="28"/>
          <w:szCs w:val="28"/>
          <w:lang w:eastAsia="ru-RU"/>
        </w:rPr>
        <w:t>.</w:t>
      </w:r>
      <w:r w:rsidRPr="009461B6">
        <w:rPr>
          <w:rFonts w:ascii="Times New Roman" w:eastAsia="Times New Roman" w:hAnsi="Times New Roman" w:cs="Times New Roman"/>
          <w:sz w:val="28"/>
          <w:szCs w:val="28"/>
          <w:lang w:eastAsia="ru-RU"/>
        </w:rPr>
        <w:t xml:space="preserve"> предусмотрены субсидии в размере </w:t>
      </w:r>
      <w:r w:rsidR="009B1AB1" w:rsidRPr="009461B6">
        <w:rPr>
          <w:rFonts w:ascii="Times New Roman" w:eastAsia="Times New Roman" w:hAnsi="Times New Roman" w:cs="Times New Roman"/>
          <w:sz w:val="28"/>
          <w:szCs w:val="28"/>
          <w:lang w:eastAsia="ru-RU"/>
        </w:rPr>
        <w:br/>
      </w:r>
      <w:r w:rsidRPr="009461B6">
        <w:rPr>
          <w:rFonts w:ascii="Times New Roman" w:eastAsia="Times New Roman" w:hAnsi="Times New Roman" w:cs="Times New Roman"/>
          <w:sz w:val="28"/>
          <w:szCs w:val="28"/>
          <w:lang w:eastAsia="ru-RU"/>
        </w:rPr>
        <w:t>33 757,4 млн рублей (с учетом законтрактованных остатков 2020 г</w:t>
      </w:r>
      <w:r w:rsidR="00C40F63" w:rsidRPr="009461B6">
        <w:rPr>
          <w:rFonts w:ascii="Times New Roman" w:eastAsia="Times New Roman" w:hAnsi="Times New Roman" w:cs="Times New Roman"/>
          <w:sz w:val="28"/>
          <w:szCs w:val="28"/>
          <w:lang w:eastAsia="ru-RU"/>
        </w:rPr>
        <w:t>.</w:t>
      </w:r>
      <w:r w:rsidRPr="009461B6">
        <w:rPr>
          <w:rFonts w:ascii="Times New Roman" w:eastAsia="Times New Roman" w:hAnsi="Times New Roman" w:cs="Times New Roman"/>
          <w:sz w:val="28"/>
          <w:szCs w:val="28"/>
          <w:lang w:eastAsia="ru-RU"/>
        </w:rPr>
        <w:t xml:space="preserve"> объем средств федерального бюджета – 38 690,4 млн рублей). Кассовый расход предусмотренного объема средств по состоянию на 1 января 2022 г</w:t>
      </w:r>
      <w:r w:rsidR="009B1AB1" w:rsidRPr="009461B6">
        <w:rPr>
          <w:rFonts w:ascii="Times New Roman" w:eastAsia="Times New Roman" w:hAnsi="Times New Roman" w:cs="Times New Roman"/>
          <w:sz w:val="28"/>
          <w:szCs w:val="28"/>
          <w:lang w:eastAsia="ru-RU"/>
        </w:rPr>
        <w:t>.</w:t>
      </w:r>
      <w:r w:rsidRPr="009461B6">
        <w:rPr>
          <w:rFonts w:ascii="Times New Roman" w:eastAsia="Times New Roman" w:hAnsi="Times New Roman" w:cs="Times New Roman"/>
          <w:sz w:val="28"/>
          <w:szCs w:val="28"/>
          <w:lang w:eastAsia="ru-RU"/>
        </w:rPr>
        <w:t xml:space="preserve"> составил 34 2</w:t>
      </w:r>
      <w:r w:rsidR="00C93962" w:rsidRPr="009461B6">
        <w:rPr>
          <w:rFonts w:ascii="Times New Roman" w:eastAsia="Times New Roman" w:hAnsi="Times New Roman" w:cs="Times New Roman"/>
          <w:sz w:val="28"/>
          <w:szCs w:val="28"/>
          <w:lang w:eastAsia="ru-RU"/>
        </w:rPr>
        <w:t>65</w:t>
      </w:r>
      <w:r w:rsidRPr="009461B6">
        <w:rPr>
          <w:rFonts w:ascii="Times New Roman" w:eastAsia="Times New Roman" w:hAnsi="Times New Roman" w:cs="Times New Roman"/>
          <w:sz w:val="28"/>
          <w:szCs w:val="28"/>
          <w:lang w:eastAsia="ru-RU"/>
        </w:rPr>
        <w:t>,</w:t>
      </w:r>
      <w:r w:rsidR="00C93962" w:rsidRPr="009461B6">
        <w:rPr>
          <w:rFonts w:ascii="Times New Roman" w:eastAsia="Times New Roman" w:hAnsi="Times New Roman" w:cs="Times New Roman"/>
          <w:sz w:val="28"/>
          <w:szCs w:val="28"/>
          <w:lang w:eastAsia="ru-RU"/>
        </w:rPr>
        <w:t>9</w:t>
      </w:r>
      <w:r w:rsidRPr="009461B6">
        <w:rPr>
          <w:rFonts w:ascii="Times New Roman" w:eastAsia="Times New Roman" w:hAnsi="Times New Roman" w:cs="Times New Roman"/>
          <w:sz w:val="28"/>
          <w:szCs w:val="28"/>
          <w:lang w:eastAsia="ru-RU"/>
        </w:rPr>
        <w:t xml:space="preserve"> млн рублей (88,6%).</w:t>
      </w:r>
    </w:p>
    <w:p w14:paraId="3FFE2EE5" w14:textId="0F75D430" w:rsidR="008F1272" w:rsidRPr="009461B6" w:rsidRDefault="008F1272" w:rsidP="00381797">
      <w:pPr>
        <w:spacing w:after="0" w:line="312" w:lineRule="auto"/>
        <w:ind w:firstLine="709"/>
        <w:jc w:val="both"/>
        <w:rPr>
          <w:rFonts w:ascii="Times New Roman" w:eastAsia="Times New Roman" w:hAnsi="Times New Roman" w:cs="Times New Roman"/>
          <w:sz w:val="28"/>
          <w:szCs w:val="28"/>
          <w:lang w:eastAsia="ru-RU"/>
        </w:rPr>
      </w:pPr>
      <w:r w:rsidRPr="009461B6">
        <w:rPr>
          <w:rFonts w:ascii="Times New Roman" w:eastAsia="Times New Roman" w:hAnsi="Times New Roman" w:cs="Times New Roman"/>
          <w:sz w:val="28"/>
          <w:szCs w:val="28"/>
          <w:lang w:eastAsia="ru-RU"/>
        </w:rPr>
        <w:t>По данным федеральной информационной системы доступности дошкольного образования</w:t>
      </w:r>
      <w:r w:rsidR="00BE271E" w:rsidRPr="009461B6">
        <w:rPr>
          <w:rFonts w:ascii="Times New Roman" w:eastAsia="Times New Roman" w:hAnsi="Times New Roman" w:cs="Times New Roman"/>
          <w:sz w:val="28"/>
          <w:szCs w:val="28"/>
          <w:lang w:eastAsia="ru-RU"/>
        </w:rPr>
        <w:t>,</w:t>
      </w:r>
      <w:r w:rsidR="009A38F7" w:rsidRPr="009461B6">
        <w:rPr>
          <w:rFonts w:ascii="Times New Roman" w:eastAsia="Times New Roman" w:hAnsi="Times New Roman" w:cs="Times New Roman"/>
          <w:sz w:val="28"/>
          <w:szCs w:val="28"/>
          <w:lang w:eastAsia="ru-RU"/>
        </w:rPr>
        <w:t xml:space="preserve"> </w:t>
      </w:r>
      <w:r w:rsidR="00BE271E" w:rsidRPr="009461B6">
        <w:rPr>
          <w:rFonts w:ascii="Times New Roman" w:eastAsia="Times New Roman" w:hAnsi="Times New Roman" w:cs="Times New Roman"/>
          <w:sz w:val="28"/>
          <w:szCs w:val="28"/>
          <w:lang w:eastAsia="ru-RU"/>
        </w:rPr>
        <w:t xml:space="preserve">по состоянию </w:t>
      </w:r>
      <w:r w:rsidRPr="009461B6">
        <w:rPr>
          <w:rFonts w:ascii="Times New Roman" w:eastAsia="Times New Roman" w:hAnsi="Times New Roman" w:cs="Times New Roman"/>
          <w:sz w:val="28"/>
          <w:szCs w:val="28"/>
          <w:lang w:eastAsia="ru-RU"/>
        </w:rPr>
        <w:t>на 1 января 2022 г</w:t>
      </w:r>
      <w:r w:rsidR="0069006E" w:rsidRPr="009461B6">
        <w:rPr>
          <w:rFonts w:ascii="Times New Roman" w:eastAsia="Times New Roman" w:hAnsi="Times New Roman" w:cs="Times New Roman"/>
          <w:sz w:val="28"/>
          <w:szCs w:val="28"/>
          <w:lang w:eastAsia="ru-RU"/>
        </w:rPr>
        <w:t>.</w:t>
      </w:r>
      <w:r w:rsidRPr="009461B6">
        <w:rPr>
          <w:rFonts w:ascii="Times New Roman" w:eastAsia="Times New Roman" w:hAnsi="Times New Roman" w:cs="Times New Roman"/>
          <w:sz w:val="28"/>
          <w:szCs w:val="28"/>
          <w:lang w:eastAsia="ru-RU"/>
        </w:rPr>
        <w:t xml:space="preserve"> число регионов, выполнивших задачу, поставленную Указом Президента Российской Федерации от 7 мая 2012 г. № 599, за год увеличилось на 8,11% и составило 99,58%. Таким образом, 80 субъектов Российской Федерации обеспечили 100% доступность дошкольного образования </w:t>
      </w:r>
      <w:r w:rsidR="005360FA">
        <w:rPr>
          <w:rFonts w:ascii="Times New Roman" w:eastAsia="Times New Roman" w:hAnsi="Times New Roman" w:cs="Times New Roman"/>
          <w:sz w:val="28"/>
          <w:szCs w:val="28"/>
          <w:lang w:eastAsia="ru-RU"/>
        </w:rPr>
        <w:br/>
      </w:r>
      <w:r w:rsidRPr="009461B6">
        <w:rPr>
          <w:rFonts w:ascii="Times New Roman" w:eastAsia="Times New Roman" w:hAnsi="Times New Roman" w:cs="Times New Roman"/>
          <w:sz w:val="28"/>
          <w:szCs w:val="28"/>
          <w:lang w:eastAsia="ru-RU"/>
        </w:rPr>
        <w:t xml:space="preserve">(с учетом математического правила округления чисел до целого в интервале </w:t>
      </w:r>
      <w:r w:rsidR="005360FA">
        <w:rPr>
          <w:rFonts w:ascii="Times New Roman" w:eastAsia="Times New Roman" w:hAnsi="Times New Roman" w:cs="Times New Roman"/>
          <w:sz w:val="28"/>
          <w:szCs w:val="28"/>
          <w:lang w:eastAsia="ru-RU"/>
        </w:rPr>
        <w:br/>
      </w:r>
      <w:r w:rsidRPr="009461B6">
        <w:rPr>
          <w:rFonts w:ascii="Times New Roman" w:eastAsia="Times New Roman" w:hAnsi="Times New Roman" w:cs="Times New Roman"/>
          <w:sz w:val="28"/>
          <w:szCs w:val="28"/>
          <w:lang w:eastAsia="ru-RU"/>
        </w:rPr>
        <w:t>от 99,69% до 100%) для детей в возрасте от 3 до 7 лет (на 1 января 2021 г</w:t>
      </w:r>
      <w:r w:rsidR="0069006E" w:rsidRPr="009461B6">
        <w:rPr>
          <w:rFonts w:ascii="Times New Roman" w:eastAsia="Times New Roman" w:hAnsi="Times New Roman" w:cs="Times New Roman"/>
          <w:sz w:val="28"/>
          <w:szCs w:val="28"/>
          <w:lang w:eastAsia="ru-RU"/>
        </w:rPr>
        <w:t>.</w:t>
      </w:r>
      <w:r w:rsidRPr="009461B6">
        <w:rPr>
          <w:rFonts w:ascii="Times New Roman" w:eastAsia="Times New Roman" w:hAnsi="Times New Roman" w:cs="Times New Roman"/>
          <w:sz w:val="28"/>
          <w:szCs w:val="28"/>
          <w:lang w:eastAsia="ru-RU"/>
        </w:rPr>
        <w:t xml:space="preserve"> таких регионов – 74).</w:t>
      </w:r>
    </w:p>
    <w:p w14:paraId="1559D532" w14:textId="77777777" w:rsidR="008F1272" w:rsidRPr="009461B6" w:rsidRDefault="008F1272" w:rsidP="00381797">
      <w:pPr>
        <w:spacing w:after="0" w:line="312" w:lineRule="auto"/>
        <w:ind w:firstLine="709"/>
        <w:jc w:val="both"/>
        <w:rPr>
          <w:rFonts w:ascii="Times New Roman" w:eastAsia="Times New Roman" w:hAnsi="Times New Roman" w:cs="Times New Roman"/>
          <w:sz w:val="28"/>
          <w:szCs w:val="28"/>
          <w:lang w:eastAsia="ru-RU"/>
        </w:rPr>
      </w:pPr>
      <w:r w:rsidRPr="009461B6">
        <w:rPr>
          <w:rFonts w:ascii="Times New Roman" w:eastAsia="Times New Roman" w:hAnsi="Times New Roman" w:cs="Times New Roman"/>
          <w:sz w:val="28"/>
          <w:szCs w:val="28"/>
          <w:lang w:eastAsia="ru-RU"/>
        </w:rPr>
        <w:t xml:space="preserve">Показатель доступности ниже среднероссийского зафиксирован в 5 субъектах Российской Федерации (в интервале значений от 84,07% до 97,97%), где решение вопроса доступности дошкольного образования детей старшего возраста остается наиболее актуальным: Забайкальский край – 97,97%; </w:t>
      </w:r>
      <w:r w:rsidR="00C66CBD" w:rsidRPr="009461B6">
        <w:rPr>
          <w:rFonts w:ascii="Times New Roman" w:eastAsia="Times New Roman" w:hAnsi="Times New Roman" w:cs="Times New Roman"/>
          <w:sz w:val="28"/>
          <w:szCs w:val="28"/>
          <w:lang w:eastAsia="ru-RU"/>
        </w:rPr>
        <w:t>Р</w:t>
      </w:r>
      <w:r w:rsidRPr="009461B6">
        <w:rPr>
          <w:rFonts w:ascii="Times New Roman" w:eastAsia="Times New Roman" w:hAnsi="Times New Roman" w:cs="Times New Roman"/>
          <w:sz w:val="28"/>
          <w:szCs w:val="28"/>
          <w:lang w:eastAsia="ru-RU"/>
        </w:rPr>
        <w:t>еспублики Крым – 97,23%, Бурятия – 96,59%, Ингушетия – 95,74% и Дагестан – 84,07% (самое низкое значение по стране).</w:t>
      </w:r>
    </w:p>
    <w:p w14:paraId="32549603" w14:textId="77777777" w:rsidR="008F1272" w:rsidRPr="009461B6" w:rsidRDefault="008F1272" w:rsidP="00381797">
      <w:pPr>
        <w:spacing w:after="0" w:line="312" w:lineRule="auto"/>
        <w:ind w:firstLine="709"/>
        <w:jc w:val="both"/>
        <w:rPr>
          <w:rFonts w:ascii="Times New Roman" w:eastAsia="Times New Roman" w:hAnsi="Times New Roman" w:cs="Times New Roman"/>
          <w:sz w:val="28"/>
          <w:szCs w:val="28"/>
          <w:lang w:eastAsia="ru-RU"/>
        </w:rPr>
      </w:pPr>
      <w:r w:rsidRPr="009461B6">
        <w:rPr>
          <w:rFonts w:ascii="Times New Roman" w:eastAsia="Times New Roman" w:hAnsi="Times New Roman" w:cs="Times New Roman"/>
          <w:sz w:val="28"/>
          <w:szCs w:val="28"/>
          <w:lang w:eastAsia="ru-RU"/>
        </w:rPr>
        <w:t xml:space="preserve">При этом во всех регионах Арктической зоны обеспечена 100% доступность дошкольного образования, за исключением </w:t>
      </w:r>
      <w:proofErr w:type="spellStart"/>
      <w:r w:rsidRPr="009461B6">
        <w:rPr>
          <w:rFonts w:ascii="Times New Roman" w:eastAsia="Times New Roman" w:hAnsi="Times New Roman" w:cs="Times New Roman"/>
          <w:sz w:val="28"/>
          <w:szCs w:val="28"/>
          <w:lang w:eastAsia="ru-RU"/>
        </w:rPr>
        <w:t>Нижнеколымского</w:t>
      </w:r>
      <w:proofErr w:type="spellEnd"/>
      <w:r w:rsidRPr="009461B6">
        <w:rPr>
          <w:rFonts w:ascii="Times New Roman" w:eastAsia="Times New Roman" w:hAnsi="Times New Roman" w:cs="Times New Roman"/>
          <w:sz w:val="28"/>
          <w:szCs w:val="28"/>
          <w:lang w:eastAsia="ru-RU"/>
        </w:rPr>
        <w:t xml:space="preserve"> муниципального р</w:t>
      </w:r>
      <w:r w:rsidR="00062360" w:rsidRPr="009461B6">
        <w:rPr>
          <w:rFonts w:ascii="Times New Roman" w:eastAsia="Times New Roman" w:hAnsi="Times New Roman" w:cs="Times New Roman"/>
          <w:sz w:val="28"/>
          <w:szCs w:val="28"/>
          <w:lang w:eastAsia="ru-RU"/>
        </w:rPr>
        <w:t>айона Республики Саха (Якутия), где показатель доступности составил 99,26%</w:t>
      </w:r>
      <w:r w:rsidRPr="009461B6">
        <w:rPr>
          <w:rFonts w:ascii="Times New Roman" w:eastAsia="Times New Roman" w:hAnsi="Times New Roman" w:cs="Times New Roman"/>
          <w:sz w:val="28"/>
          <w:szCs w:val="28"/>
          <w:lang w:eastAsia="ru-RU"/>
        </w:rPr>
        <w:t>.</w:t>
      </w:r>
    </w:p>
    <w:p w14:paraId="720BC96D" w14:textId="77777777" w:rsidR="008F1272" w:rsidRPr="009461B6" w:rsidRDefault="008F1272" w:rsidP="00381797">
      <w:pPr>
        <w:spacing w:after="0" w:line="312" w:lineRule="auto"/>
        <w:ind w:firstLine="709"/>
        <w:jc w:val="both"/>
        <w:rPr>
          <w:rFonts w:ascii="Times New Roman" w:eastAsia="Times New Roman" w:hAnsi="Times New Roman" w:cs="Times New Roman"/>
          <w:sz w:val="28"/>
          <w:szCs w:val="28"/>
          <w:lang w:eastAsia="ru-RU"/>
        </w:rPr>
      </w:pPr>
      <w:r w:rsidRPr="009461B6">
        <w:rPr>
          <w:rFonts w:ascii="Times New Roman" w:eastAsia="Times New Roman" w:hAnsi="Times New Roman" w:cs="Times New Roman"/>
          <w:sz w:val="28"/>
          <w:szCs w:val="28"/>
          <w:lang w:eastAsia="ru-RU"/>
        </w:rPr>
        <w:t>Численность детей в возрасте от 3 до 7 лет, не обеспеченных местом в дошкольных образова</w:t>
      </w:r>
      <w:r w:rsidR="00C40F63" w:rsidRPr="009461B6">
        <w:rPr>
          <w:rFonts w:ascii="Times New Roman" w:eastAsia="Times New Roman" w:hAnsi="Times New Roman" w:cs="Times New Roman"/>
          <w:sz w:val="28"/>
          <w:szCs w:val="28"/>
          <w:lang w:eastAsia="ru-RU"/>
        </w:rPr>
        <w:t>тельных организациях, за 2021 г.</w:t>
      </w:r>
      <w:r w:rsidRPr="009461B6">
        <w:rPr>
          <w:rFonts w:ascii="Times New Roman" w:eastAsia="Times New Roman" w:hAnsi="Times New Roman" w:cs="Times New Roman"/>
          <w:sz w:val="28"/>
          <w:szCs w:val="28"/>
          <w:lang w:eastAsia="ru-RU"/>
        </w:rPr>
        <w:t xml:space="preserve"> снизилась более чем в 2 раза (на 26 497 человек) и по состоянию на 1 января 2022 г</w:t>
      </w:r>
      <w:r w:rsidR="0069006E" w:rsidRPr="009461B6">
        <w:rPr>
          <w:rFonts w:ascii="Times New Roman" w:eastAsia="Times New Roman" w:hAnsi="Times New Roman" w:cs="Times New Roman"/>
          <w:sz w:val="28"/>
          <w:szCs w:val="28"/>
          <w:lang w:eastAsia="ru-RU"/>
        </w:rPr>
        <w:t>.</w:t>
      </w:r>
      <w:r w:rsidRPr="009461B6">
        <w:rPr>
          <w:rFonts w:ascii="Times New Roman" w:eastAsia="Times New Roman" w:hAnsi="Times New Roman" w:cs="Times New Roman"/>
          <w:sz w:val="28"/>
          <w:szCs w:val="28"/>
          <w:lang w:eastAsia="ru-RU"/>
        </w:rPr>
        <w:t xml:space="preserve"> составила 24 889 человек.</w:t>
      </w:r>
    </w:p>
    <w:p w14:paraId="493B60B8" w14:textId="77777777" w:rsidR="008F1272" w:rsidRPr="009461B6" w:rsidRDefault="008F1272" w:rsidP="00381797">
      <w:pPr>
        <w:spacing w:after="0" w:line="312" w:lineRule="auto"/>
        <w:ind w:firstLine="709"/>
        <w:jc w:val="both"/>
        <w:rPr>
          <w:rFonts w:ascii="Times New Roman" w:eastAsia="Times New Roman" w:hAnsi="Times New Roman" w:cs="Times New Roman"/>
          <w:sz w:val="28"/>
          <w:szCs w:val="28"/>
          <w:lang w:eastAsia="ru-RU"/>
        </w:rPr>
      </w:pPr>
      <w:r w:rsidRPr="009461B6">
        <w:rPr>
          <w:rFonts w:ascii="Times New Roman" w:eastAsia="Times New Roman" w:hAnsi="Times New Roman" w:cs="Times New Roman"/>
          <w:sz w:val="28"/>
          <w:szCs w:val="28"/>
          <w:lang w:eastAsia="ru-RU"/>
        </w:rPr>
        <w:t>Общая численность детей в возрасте от 3 до 7 лет, состоящих на учете для предоставления места в государственных или муниципальных дошкольных образовательных организациях, за год снизилась на 11,72% (на 36 950 человек) и по состоянию на 1 января 2022 г</w:t>
      </w:r>
      <w:r w:rsidR="0069006E" w:rsidRPr="009461B6">
        <w:rPr>
          <w:rFonts w:ascii="Times New Roman" w:eastAsia="Times New Roman" w:hAnsi="Times New Roman" w:cs="Times New Roman"/>
          <w:sz w:val="28"/>
          <w:szCs w:val="28"/>
          <w:lang w:eastAsia="ru-RU"/>
        </w:rPr>
        <w:t>.</w:t>
      </w:r>
      <w:r w:rsidRPr="009461B6">
        <w:rPr>
          <w:rFonts w:ascii="Times New Roman" w:eastAsia="Times New Roman" w:hAnsi="Times New Roman" w:cs="Times New Roman"/>
          <w:sz w:val="28"/>
          <w:szCs w:val="28"/>
          <w:lang w:eastAsia="ru-RU"/>
        </w:rPr>
        <w:t xml:space="preserve"> составила 278 301 человек.</w:t>
      </w:r>
    </w:p>
    <w:p w14:paraId="05FA5215" w14:textId="51021869" w:rsidR="008F1272" w:rsidRPr="009461B6" w:rsidRDefault="008F1272" w:rsidP="00381797">
      <w:pPr>
        <w:spacing w:after="0" w:line="312" w:lineRule="auto"/>
        <w:ind w:firstLine="709"/>
        <w:jc w:val="both"/>
        <w:rPr>
          <w:rFonts w:ascii="Times New Roman" w:eastAsia="Times New Roman" w:hAnsi="Times New Roman" w:cs="Times New Roman"/>
          <w:sz w:val="28"/>
          <w:szCs w:val="28"/>
          <w:lang w:eastAsia="ru-RU"/>
        </w:rPr>
      </w:pPr>
      <w:r w:rsidRPr="009461B6">
        <w:rPr>
          <w:rFonts w:ascii="Times New Roman" w:eastAsia="Times New Roman" w:hAnsi="Times New Roman" w:cs="Times New Roman"/>
          <w:sz w:val="28"/>
          <w:szCs w:val="28"/>
          <w:lang w:eastAsia="ru-RU"/>
        </w:rPr>
        <w:t xml:space="preserve">В соответствии с поручением Правительства Российской Федерации </w:t>
      </w:r>
      <w:r w:rsidR="005360FA">
        <w:rPr>
          <w:rFonts w:ascii="Times New Roman" w:eastAsia="Times New Roman" w:hAnsi="Times New Roman" w:cs="Times New Roman"/>
          <w:sz w:val="28"/>
          <w:szCs w:val="28"/>
          <w:lang w:eastAsia="ru-RU"/>
        </w:rPr>
        <w:br/>
      </w:r>
      <w:r w:rsidRPr="009461B6">
        <w:rPr>
          <w:rFonts w:ascii="Times New Roman" w:eastAsia="Times New Roman" w:hAnsi="Times New Roman" w:cs="Times New Roman"/>
          <w:sz w:val="28"/>
          <w:szCs w:val="28"/>
          <w:lang w:eastAsia="ru-RU"/>
        </w:rPr>
        <w:t xml:space="preserve">от 16 ноября 2020 г. № ТГ-П8-14842 Минпросвещения России по согласованию с Минфином России приказом от 28 декабря 2021 г. № 1030 </w:t>
      </w:r>
      <w:r w:rsidR="00C66CBD" w:rsidRPr="009461B6">
        <w:rPr>
          <w:rFonts w:ascii="Times New Roman" w:eastAsia="Times New Roman" w:hAnsi="Times New Roman" w:cs="Times New Roman"/>
          <w:sz w:val="28"/>
          <w:szCs w:val="28"/>
          <w:lang w:eastAsia="ru-RU"/>
        </w:rPr>
        <w:t>утвержден</w:t>
      </w:r>
      <w:r w:rsidRPr="009461B6">
        <w:rPr>
          <w:rFonts w:ascii="Times New Roman" w:eastAsia="Times New Roman" w:hAnsi="Times New Roman" w:cs="Times New Roman"/>
          <w:sz w:val="28"/>
          <w:szCs w:val="28"/>
          <w:lang w:eastAsia="ru-RU"/>
        </w:rPr>
        <w:t xml:space="preserve"> I этап комплекса мер на 2022-2023 г</w:t>
      </w:r>
      <w:r w:rsidR="00C40F63" w:rsidRPr="009461B6">
        <w:rPr>
          <w:rFonts w:ascii="Times New Roman" w:eastAsia="Times New Roman" w:hAnsi="Times New Roman" w:cs="Times New Roman"/>
          <w:sz w:val="28"/>
          <w:szCs w:val="28"/>
          <w:lang w:eastAsia="ru-RU"/>
        </w:rPr>
        <w:t>г.</w:t>
      </w:r>
      <w:r w:rsidRPr="009461B6">
        <w:rPr>
          <w:rFonts w:ascii="Times New Roman" w:eastAsia="Times New Roman" w:hAnsi="Times New Roman" w:cs="Times New Roman"/>
          <w:sz w:val="28"/>
          <w:szCs w:val="28"/>
          <w:lang w:eastAsia="ru-RU"/>
        </w:rPr>
        <w:t xml:space="preserve"> по достижению 100</w:t>
      </w:r>
      <w:r w:rsidR="003776EF" w:rsidRPr="009461B6">
        <w:rPr>
          <w:rFonts w:ascii="Times New Roman" w:eastAsia="Times New Roman" w:hAnsi="Times New Roman" w:cs="Times New Roman"/>
          <w:sz w:val="28"/>
          <w:szCs w:val="28"/>
          <w:lang w:eastAsia="ru-RU"/>
        </w:rPr>
        <w:t xml:space="preserve">% </w:t>
      </w:r>
      <w:r w:rsidRPr="009461B6">
        <w:rPr>
          <w:rFonts w:ascii="Times New Roman" w:eastAsia="Times New Roman" w:hAnsi="Times New Roman" w:cs="Times New Roman"/>
          <w:sz w:val="28"/>
          <w:szCs w:val="28"/>
          <w:lang w:eastAsia="ru-RU"/>
        </w:rPr>
        <w:t xml:space="preserve">доступности дошкольного образования для детей в возрасте от 3 до 7 лет к концу 2024 года в </w:t>
      </w:r>
      <w:r w:rsidR="00C66CBD" w:rsidRPr="009461B6">
        <w:rPr>
          <w:rFonts w:ascii="Times New Roman" w:eastAsia="Times New Roman" w:hAnsi="Times New Roman" w:cs="Times New Roman"/>
          <w:sz w:val="28"/>
          <w:szCs w:val="28"/>
          <w:lang w:eastAsia="ru-RU"/>
        </w:rPr>
        <w:t>Р</w:t>
      </w:r>
      <w:r w:rsidRPr="009461B6">
        <w:rPr>
          <w:rFonts w:ascii="Times New Roman" w:eastAsia="Times New Roman" w:hAnsi="Times New Roman" w:cs="Times New Roman"/>
          <w:sz w:val="28"/>
          <w:szCs w:val="28"/>
          <w:lang w:eastAsia="ru-RU"/>
        </w:rPr>
        <w:t xml:space="preserve">еспубликах Бурятия, Ингушетия и Забайкальском крае, предусматривающем выделение </w:t>
      </w:r>
      <w:r w:rsidR="00C66CBD" w:rsidRPr="009461B6">
        <w:rPr>
          <w:rFonts w:ascii="Times New Roman" w:eastAsia="Times New Roman" w:hAnsi="Times New Roman" w:cs="Times New Roman"/>
          <w:sz w:val="28"/>
          <w:szCs w:val="28"/>
          <w:lang w:eastAsia="ru-RU"/>
        </w:rPr>
        <w:t xml:space="preserve">из федерального бюджета </w:t>
      </w:r>
      <w:r w:rsidR="005360FA">
        <w:rPr>
          <w:rFonts w:ascii="Times New Roman" w:eastAsia="Times New Roman" w:hAnsi="Times New Roman" w:cs="Times New Roman"/>
          <w:sz w:val="28"/>
          <w:szCs w:val="28"/>
          <w:lang w:eastAsia="ru-RU"/>
        </w:rPr>
        <w:br/>
      </w:r>
      <w:r w:rsidRPr="009461B6">
        <w:rPr>
          <w:rFonts w:ascii="Times New Roman" w:eastAsia="Times New Roman" w:hAnsi="Times New Roman" w:cs="Times New Roman"/>
          <w:sz w:val="28"/>
          <w:szCs w:val="28"/>
          <w:lang w:eastAsia="ru-RU"/>
        </w:rPr>
        <w:t>6 364 129,1 тыс. рублей на указанные цели.</w:t>
      </w:r>
    </w:p>
    <w:p w14:paraId="6F2B9DEF" w14:textId="77777777" w:rsidR="008F1272" w:rsidRPr="009461B6" w:rsidRDefault="008F1272" w:rsidP="00C66CBD">
      <w:pPr>
        <w:spacing w:after="0" w:line="312" w:lineRule="auto"/>
        <w:ind w:firstLine="709"/>
        <w:jc w:val="both"/>
        <w:rPr>
          <w:rFonts w:ascii="Times New Roman" w:eastAsia="Times New Roman" w:hAnsi="Times New Roman" w:cs="Times New Roman"/>
          <w:sz w:val="28"/>
          <w:szCs w:val="28"/>
          <w:lang w:eastAsia="ru-RU"/>
        </w:rPr>
      </w:pPr>
      <w:r w:rsidRPr="009461B6">
        <w:rPr>
          <w:rFonts w:ascii="Times New Roman" w:eastAsia="Times New Roman" w:hAnsi="Times New Roman" w:cs="Times New Roman"/>
          <w:sz w:val="28"/>
          <w:szCs w:val="28"/>
          <w:lang w:eastAsia="ru-RU"/>
        </w:rPr>
        <w:t>Реализация мероприятий по созданию дополнительных мест для детей всех возрастных групп в субъектах Российской Федерации остается на контроле Правительства Российской Фед</w:t>
      </w:r>
      <w:r w:rsidR="00C66CBD" w:rsidRPr="009461B6">
        <w:rPr>
          <w:rFonts w:ascii="Times New Roman" w:eastAsia="Times New Roman" w:hAnsi="Times New Roman" w:cs="Times New Roman"/>
          <w:sz w:val="28"/>
          <w:szCs w:val="28"/>
          <w:lang w:eastAsia="ru-RU"/>
        </w:rPr>
        <w:t xml:space="preserve">ерации и Минпросвещения России. </w:t>
      </w:r>
      <w:r w:rsidRPr="009461B6">
        <w:rPr>
          <w:rFonts w:ascii="Times New Roman" w:eastAsia="Times New Roman" w:hAnsi="Times New Roman" w:cs="Times New Roman"/>
          <w:sz w:val="28"/>
          <w:szCs w:val="28"/>
          <w:lang w:eastAsia="ru-RU"/>
        </w:rPr>
        <w:t>Работа по корректировке и выработке эффективных механизмов реализации поставленных задач в регионах с низкими показателями доступности будет продолжена.</w:t>
      </w:r>
    </w:p>
    <w:p w14:paraId="7756BD67" w14:textId="77777777" w:rsidR="008F1272" w:rsidRPr="009461B6" w:rsidRDefault="008F1272" w:rsidP="00C66CBD">
      <w:pPr>
        <w:spacing w:after="0" w:line="312" w:lineRule="auto"/>
        <w:ind w:firstLine="709"/>
        <w:jc w:val="both"/>
        <w:rPr>
          <w:rFonts w:ascii="Times New Roman" w:eastAsia="Times New Roman" w:hAnsi="Times New Roman" w:cs="Times New Roman"/>
          <w:sz w:val="28"/>
          <w:szCs w:val="28"/>
          <w:lang w:eastAsia="ru-RU"/>
        </w:rPr>
      </w:pPr>
      <w:r w:rsidRPr="009461B6">
        <w:rPr>
          <w:rFonts w:ascii="Times New Roman" w:eastAsia="Times New Roman" w:hAnsi="Times New Roman" w:cs="Times New Roman"/>
          <w:sz w:val="28"/>
          <w:szCs w:val="28"/>
          <w:lang w:eastAsia="ru-RU"/>
        </w:rPr>
        <w:t>При обеспечении доступности дошкольного образования субъектами Российской Федерации учитывается снижение численности детск</w:t>
      </w:r>
      <w:r w:rsidR="00C66CBD" w:rsidRPr="009461B6">
        <w:rPr>
          <w:rFonts w:ascii="Times New Roman" w:eastAsia="Times New Roman" w:hAnsi="Times New Roman" w:cs="Times New Roman"/>
          <w:sz w:val="28"/>
          <w:szCs w:val="28"/>
          <w:lang w:eastAsia="ru-RU"/>
        </w:rPr>
        <w:t xml:space="preserve">ого населения. </w:t>
      </w:r>
      <w:r w:rsidRPr="009461B6">
        <w:rPr>
          <w:rFonts w:ascii="Times New Roman" w:eastAsia="Times New Roman" w:hAnsi="Times New Roman" w:cs="Times New Roman"/>
          <w:sz w:val="28"/>
          <w:szCs w:val="28"/>
          <w:lang w:eastAsia="ru-RU"/>
        </w:rPr>
        <w:t xml:space="preserve">По официальным данным Росстата о предварительной численности населения </w:t>
      </w:r>
      <w:r w:rsidR="00C66CBD" w:rsidRPr="009461B6">
        <w:rPr>
          <w:rFonts w:ascii="Times New Roman" w:eastAsia="Times New Roman" w:hAnsi="Times New Roman" w:cs="Times New Roman"/>
          <w:sz w:val="28"/>
          <w:szCs w:val="28"/>
          <w:lang w:eastAsia="ru-RU"/>
        </w:rPr>
        <w:br/>
      </w:r>
      <w:r w:rsidRPr="009461B6">
        <w:rPr>
          <w:rFonts w:ascii="Times New Roman" w:eastAsia="Times New Roman" w:hAnsi="Times New Roman" w:cs="Times New Roman"/>
          <w:sz w:val="28"/>
          <w:szCs w:val="28"/>
          <w:lang w:eastAsia="ru-RU"/>
        </w:rPr>
        <w:t xml:space="preserve">на 1 января 2022 г., численность детей в возрасте от рождения до 3 лет составила </w:t>
      </w:r>
      <w:r w:rsidR="00C66CBD" w:rsidRPr="009461B6">
        <w:rPr>
          <w:rFonts w:ascii="Times New Roman" w:eastAsia="Times New Roman" w:hAnsi="Times New Roman" w:cs="Times New Roman"/>
          <w:sz w:val="28"/>
          <w:szCs w:val="28"/>
          <w:lang w:eastAsia="ru-RU"/>
        </w:rPr>
        <w:br/>
      </w:r>
      <w:r w:rsidRPr="009461B6">
        <w:rPr>
          <w:rFonts w:ascii="Times New Roman" w:eastAsia="Times New Roman" w:hAnsi="Times New Roman" w:cs="Times New Roman"/>
          <w:sz w:val="28"/>
          <w:szCs w:val="28"/>
          <w:lang w:eastAsia="ru-RU"/>
        </w:rPr>
        <w:t>4 306 062 человека, что на 202 854 человека меньше, чем на 1 января 2021 г</w:t>
      </w:r>
      <w:r w:rsidR="0069006E" w:rsidRPr="009461B6">
        <w:rPr>
          <w:rFonts w:ascii="Times New Roman" w:eastAsia="Times New Roman" w:hAnsi="Times New Roman" w:cs="Times New Roman"/>
          <w:sz w:val="28"/>
          <w:szCs w:val="28"/>
          <w:lang w:eastAsia="ru-RU"/>
        </w:rPr>
        <w:t>.</w:t>
      </w:r>
      <w:r w:rsidRPr="009461B6">
        <w:rPr>
          <w:rFonts w:ascii="Times New Roman" w:eastAsia="Times New Roman" w:hAnsi="Times New Roman" w:cs="Times New Roman"/>
          <w:sz w:val="28"/>
          <w:szCs w:val="28"/>
          <w:lang w:eastAsia="ru-RU"/>
        </w:rPr>
        <w:t xml:space="preserve"> </w:t>
      </w:r>
      <w:r w:rsidR="00C66CBD" w:rsidRPr="009461B6">
        <w:rPr>
          <w:rFonts w:ascii="Times New Roman" w:eastAsia="Times New Roman" w:hAnsi="Times New Roman" w:cs="Times New Roman"/>
          <w:sz w:val="28"/>
          <w:szCs w:val="28"/>
          <w:lang w:eastAsia="ru-RU"/>
        </w:rPr>
        <w:br/>
      </w:r>
      <w:r w:rsidRPr="009461B6">
        <w:rPr>
          <w:rFonts w:ascii="Times New Roman" w:eastAsia="Times New Roman" w:hAnsi="Times New Roman" w:cs="Times New Roman"/>
          <w:sz w:val="28"/>
          <w:szCs w:val="28"/>
          <w:lang w:eastAsia="ru-RU"/>
        </w:rPr>
        <w:t>(4 508 916 человек).</w:t>
      </w:r>
      <w:r w:rsidR="009113D8" w:rsidRPr="009461B6">
        <w:rPr>
          <w:rFonts w:ascii="Times New Roman" w:eastAsia="Calibri" w:hAnsi="Times New Roman" w:cs="Times New Roman"/>
          <w:sz w:val="28"/>
          <w:szCs w:val="28"/>
        </w:rPr>
        <w:t> </w:t>
      </w:r>
      <w:r w:rsidRPr="009461B6">
        <w:rPr>
          <w:rFonts w:ascii="Times New Roman" w:eastAsia="Times New Roman" w:hAnsi="Times New Roman" w:cs="Times New Roman"/>
          <w:sz w:val="28"/>
          <w:szCs w:val="28"/>
          <w:lang w:eastAsia="ru-RU"/>
        </w:rPr>
        <w:t xml:space="preserve">Численность детей в возрасте от 3 до 7 лет за год </w:t>
      </w:r>
      <w:r w:rsidR="00C66CBD" w:rsidRPr="009461B6">
        <w:rPr>
          <w:rFonts w:ascii="Times New Roman" w:eastAsia="Times New Roman" w:hAnsi="Times New Roman" w:cs="Times New Roman"/>
          <w:sz w:val="28"/>
          <w:szCs w:val="28"/>
          <w:lang w:eastAsia="ru-RU"/>
        </w:rPr>
        <w:t>уменьшилась</w:t>
      </w:r>
      <w:r w:rsidRPr="009461B6">
        <w:rPr>
          <w:rFonts w:ascii="Times New Roman" w:eastAsia="Times New Roman" w:hAnsi="Times New Roman" w:cs="Times New Roman"/>
          <w:sz w:val="28"/>
          <w:szCs w:val="28"/>
          <w:lang w:eastAsia="ru-RU"/>
        </w:rPr>
        <w:t xml:space="preserve"> на 328 223 человека (на 1 января 2021 г</w:t>
      </w:r>
      <w:r w:rsidR="0069006E" w:rsidRPr="009461B6">
        <w:rPr>
          <w:rFonts w:ascii="Times New Roman" w:eastAsia="Times New Roman" w:hAnsi="Times New Roman" w:cs="Times New Roman"/>
          <w:sz w:val="28"/>
          <w:szCs w:val="28"/>
          <w:lang w:eastAsia="ru-RU"/>
        </w:rPr>
        <w:t>.</w:t>
      </w:r>
      <w:r w:rsidRPr="009461B6">
        <w:rPr>
          <w:rFonts w:ascii="Times New Roman" w:eastAsia="Times New Roman" w:hAnsi="Times New Roman" w:cs="Times New Roman"/>
          <w:sz w:val="28"/>
          <w:szCs w:val="28"/>
          <w:lang w:eastAsia="ru-RU"/>
        </w:rPr>
        <w:t xml:space="preserve"> – 7 445 927 человек) и по состоянию </w:t>
      </w:r>
      <w:r w:rsidR="00C66CBD" w:rsidRPr="009461B6">
        <w:rPr>
          <w:rFonts w:ascii="Times New Roman" w:eastAsia="Times New Roman" w:hAnsi="Times New Roman" w:cs="Times New Roman"/>
          <w:sz w:val="28"/>
          <w:szCs w:val="28"/>
          <w:lang w:eastAsia="ru-RU"/>
        </w:rPr>
        <w:br/>
      </w:r>
      <w:r w:rsidRPr="009461B6">
        <w:rPr>
          <w:rFonts w:ascii="Times New Roman" w:eastAsia="Times New Roman" w:hAnsi="Times New Roman" w:cs="Times New Roman"/>
          <w:sz w:val="28"/>
          <w:szCs w:val="28"/>
          <w:lang w:eastAsia="ru-RU"/>
        </w:rPr>
        <w:t>на 1 января 2022 г</w:t>
      </w:r>
      <w:r w:rsidR="0069006E" w:rsidRPr="009461B6">
        <w:rPr>
          <w:rFonts w:ascii="Times New Roman" w:eastAsia="Times New Roman" w:hAnsi="Times New Roman" w:cs="Times New Roman"/>
          <w:sz w:val="28"/>
          <w:szCs w:val="28"/>
          <w:lang w:eastAsia="ru-RU"/>
        </w:rPr>
        <w:t>.</w:t>
      </w:r>
      <w:r w:rsidRPr="009461B6">
        <w:rPr>
          <w:rFonts w:ascii="Times New Roman" w:eastAsia="Times New Roman" w:hAnsi="Times New Roman" w:cs="Times New Roman"/>
          <w:sz w:val="28"/>
          <w:szCs w:val="28"/>
          <w:lang w:eastAsia="ru-RU"/>
        </w:rPr>
        <w:t xml:space="preserve"> </w:t>
      </w:r>
      <w:r w:rsidR="00C66CBD" w:rsidRPr="009461B6">
        <w:rPr>
          <w:rFonts w:ascii="Times New Roman" w:eastAsia="Times New Roman" w:hAnsi="Times New Roman" w:cs="Times New Roman"/>
          <w:sz w:val="28"/>
          <w:szCs w:val="28"/>
          <w:lang w:eastAsia="ru-RU"/>
        </w:rPr>
        <w:t>составила</w:t>
      </w:r>
      <w:r w:rsidRPr="009461B6">
        <w:rPr>
          <w:rFonts w:ascii="Times New Roman" w:eastAsia="Times New Roman" w:hAnsi="Times New Roman" w:cs="Times New Roman"/>
          <w:sz w:val="28"/>
          <w:szCs w:val="28"/>
          <w:lang w:eastAsia="ru-RU"/>
        </w:rPr>
        <w:t xml:space="preserve"> 7 117 704 человека.</w:t>
      </w:r>
    </w:p>
    <w:p w14:paraId="55AD01B1" w14:textId="77777777" w:rsidR="008F1272" w:rsidRPr="009461B6" w:rsidRDefault="008F1272" w:rsidP="00381797">
      <w:pPr>
        <w:spacing w:after="0" w:line="312" w:lineRule="auto"/>
        <w:ind w:firstLine="709"/>
        <w:jc w:val="both"/>
        <w:rPr>
          <w:rFonts w:ascii="Times New Roman" w:eastAsia="Times New Roman" w:hAnsi="Times New Roman" w:cs="Times New Roman"/>
          <w:sz w:val="28"/>
          <w:szCs w:val="28"/>
          <w:lang w:eastAsia="ru-RU"/>
        </w:rPr>
      </w:pPr>
      <w:r w:rsidRPr="009461B6">
        <w:rPr>
          <w:rFonts w:ascii="Times New Roman" w:eastAsia="Times New Roman" w:hAnsi="Times New Roman" w:cs="Times New Roman"/>
          <w:sz w:val="28"/>
          <w:szCs w:val="28"/>
          <w:lang w:eastAsia="ru-RU"/>
        </w:rPr>
        <w:t>Таким образом, сокращение численности воспитанников дошкольных образовательных организаций за 2021 г</w:t>
      </w:r>
      <w:r w:rsidR="00C40F63" w:rsidRPr="009461B6">
        <w:rPr>
          <w:rFonts w:ascii="Times New Roman" w:eastAsia="Times New Roman" w:hAnsi="Times New Roman" w:cs="Times New Roman"/>
          <w:sz w:val="28"/>
          <w:szCs w:val="28"/>
          <w:lang w:eastAsia="ru-RU"/>
        </w:rPr>
        <w:t>.</w:t>
      </w:r>
      <w:r w:rsidRPr="009461B6">
        <w:rPr>
          <w:rFonts w:ascii="Times New Roman" w:eastAsia="Times New Roman" w:hAnsi="Times New Roman" w:cs="Times New Roman"/>
          <w:sz w:val="28"/>
          <w:szCs w:val="28"/>
          <w:lang w:eastAsia="ru-RU"/>
        </w:rPr>
        <w:t xml:space="preserve"> обусловлено изменением демографической ситуации. Так, по данным Росстата, на 1 января 2022 г</w:t>
      </w:r>
      <w:r w:rsidR="0069006E" w:rsidRPr="009461B6">
        <w:rPr>
          <w:rFonts w:ascii="Times New Roman" w:eastAsia="Times New Roman" w:hAnsi="Times New Roman" w:cs="Times New Roman"/>
          <w:sz w:val="28"/>
          <w:szCs w:val="28"/>
          <w:lang w:eastAsia="ru-RU"/>
        </w:rPr>
        <w:t>.</w:t>
      </w:r>
      <w:r w:rsidRPr="009461B6">
        <w:rPr>
          <w:rFonts w:ascii="Times New Roman" w:eastAsia="Times New Roman" w:hAnsi="Times New Roman" w:cs="Times New Roman"/>
          <w:sz w:val="28"/>
          <w:szCs w:val="28"/>
          <w:lang w:eastAsia="ru-RU"/>
        </w:rPr>
        <w:t xml:space="preserve"> численность детей, получающих дошкольное образование, а также присмотр и уход в организациях, реализующих образовательные программы дошкольного образования всех форм собственности, сократилась на 1,37% и составила 7 340 593 человека, из них </w:t>
      </w:r>
      <w:r w:rsidR="00C40F63" w:rsidRPr="009461B6">
        <w:rPr>
          <w:rFonts w:ascii="Times New Roman" w:eastAsia="Times New Roman" w:hAnsi="Times New Roman" w:cs="Times New Roman"/>
          <w:sz w:val="28"/>
          <w:szCs w:val="28"/>
          <w:lang w:eastAsia="ru-RU"/>
        </w:rPr>
        <w:br/>
      </w:r>
      <w:r w:rsidRPr="009461B6">
        <w:rPr>
          <w:rFonts w:ascii="Times New Roman" w:eastAsia="Times New Roman" w:hAnsi="Times New Roman" w:cs="Times New Roman"/>
          <w:sz w:val="28"/>
          <w:szCs w:val="28"/>
          <w:lang w:eastAsia="ru-RU"/>
        </w:rPr>
        <w:t xml:space="preserve">6 064 820 человек </w:t>
      </w:r>
      <w:r w:rsidR="00C66CBD" w:rsidRPr="009461B6">
        <w:rPr>
          <w:rFonts w:ascii="Times New Roman" w:eastAsia="Times New Roman" w:hAnsi="Times New Roman" w:cs="Times New Roman"/>
          <w:sz w:val="28"/>
          <w:szCs w:val="28"/>
          <w:lang w:eastAsia="ru-RU"/>
        </w:rPr>
        <w:t xml:space="preserve">– </w:t>
      </w:r>
      <w:r w:rsidRPr="009461B6">
        <w:rPr>
          <w:rFonts w:ascii="Times New Roman" w:eastAsia="Times New Roman" w:hAnsi="Times New Roman" w:cs="Times New Roman"/>
          <w:sz w:val="28"/>
          <w:szCs w:val="28"/>
          <w:lang w:eastAsia="ru-RU"/>
        </w:rPr>
        <w:t xml:space="preserve">в возрасте от 3 до 7 лет и 1 094 549 человек </w:t>
      </w:r>
      <w:r w:rsidR="00C66CBD" w:rsidRPr="009461B6">
        <w:rPr>
          <w:rFonts w:ascii="Times New Roman" w:eastAsia="Times New Roman" w:hAnsi="Times New Roman" w:cs="Times New Roman"/>
          <w:sz w:val="28"/>
          <w:szCs w:val="28"/>
          <w:lang w:eastAsia="ru-RU"/>
        </w:rPr>
        <w:t xml:space="preserve">– </w:t>
      </w:r>
      <w:r w:rsidRPr="009461B6">
        <w:rPr>
          <w:rFonts w:ascii="Times New Roman" w:eastAsia="Times New Roman" w:hAnsi="Times New Roman" w:cs="Times New Roman"/>
          <w:sz w:val="28"/>
          <w:szCs w:val="28"/>
          <w:lang w:eastAsia="ru-RU"/>
        </w:rPr>
        <w:t>в возрасте до 3 лет.</w:t>
      </w:r>
    </w:p>
    <w:p w14:paraId="6926C514" w14:textId="77777777" w:rsidR="008F1272" w:rsidRPr="009461B6" w:rsidRDefault="008F1272" w:rsidP="00381797">
      <w:pPr>
        <w:spacing w:after="0" w:line="312" w:lineRule="auto"/>
        <w:ind w:firstLine="709"/>
        <w:jc w:val="both"/>
        <w:rPr>
          <w:rFonts w:ascii="Times New Roman" w:eastAsia="Times New Roman" w:hAnsi="Times New Roman" w:cs="Times New Roman"/>
          <w:sz w:val="28"/>
          <w:szCs w:val="28"/>
          <w:lang w:eastAsia="ru-RU"/>
        </w:rPr>
      </w:pPr>
      <w:r w:rsidRPr="009461B6">
        <w:rPr>
          <w:rFonts w:ascii="Times New Roman" w:eastAsia="Times New Roman" w:hAnsi="Times New Roman" w:cs="Times New Roman"/>
          <w:sz w:val="28"/>
          <w:szCs w:val="28"/>
          <w:lang w:eastAsia="ru-RU"/>
        </w:rPr>
        <w:t>Учитывая изложенное, для обеспечения детей всех возрастных групп необходимым количеством мест в государственных (муниципальных) дошкольных образовательных организациях необходимо учитывать демографическую динамику, миграционные процессы, связанные с неравномерностью социально-экономического развития регионов и отдельных муниципальных образований, ветшание фонда образовательных организаций, интенсивн</w:t>
      </w:r>
      <w:r w:rsidR="00C66CBD" w:rsidRPr="009461B6">
        <w:rPr>
          <w:rFonts w:ascii="Times New Roman" w:eastAsia="Times New Roman" w:hAnsi="Times New Roman" w:cs="Times New Roman"/>
          <w:sz w:val="28"/>
          <w:szCs w:val="28"/>
          <w:lang w:eastAsia="ru-RU"/>
        </w:rPr>
        <w:t>ость</w:t>
      </w:r>
      <w:r w:rsidRPr="009461B6">
        <w:rPr>
          <w:rFonts w:ascii="Times New Roman" w:eastAsia="Times New Roman" w:hAnsi="Times New Roman" w:cs="Times New Roman"/>
          <w:sz w:val="28"/>
          <w:szCs w:val="28"/>
          <w:lang w:eastAsia="ru-RU"/>
        </w:rPr>
        <w:t xml:space="preserve"> жилищн</w:t>
      </w:r>
      <w:r w:rsidR="00C66CBD" w:rsidRPr="009461B6">
        <w:rPr>
          <w:rFonts w:ascii="Times New Roman" w:eastAsia="Times New Roman" w:hAnsi="Times New Roman" w:cs="Times New Roman"/>
          <w:sz w:val="28"/>
          <w:szCs w:val="28"/>
          <w:lang w:eastAsia="ru-RU"/>
        </w:rPr>
        <w:t>ой</w:t>
      </w:r>
      <w:r w:rsidRPr="009461B6">
        <w:rPr>
          <w:rFonts w:ascii="Times New Roman" w:eastAsia="Times New Roman" w:hAnsi="Times New Roman" w:cs="Times New Roman"/>
          <w:sz w:val="28"/>
          <w:szCs w:val="28"/>
          <w:lang w:eastAsia="ru-RU"/>
        </w:rPr>
        <w:t xml:space="preserve"> застройк</w:t>
      </w:r>
      <w:r w:rsidR="00C66CBD" w:rsidRPr="009461B6">
        <w:rPr>
          <w:rFonts w:ascii="Times New Roman" w:eastAsia="Times New Roman" w:hAnsi="Times New Roman" w:cs="Times New Roman"/>
          <w:sz w:val="28"/>
          <w:szCs w:val="28"/>
          <w:lang w:eastAsia="ru-RU"/>
        </w:rPr>
        <w:t>и</w:t>
      </w:r>
      <w:r w:rsidRPr="009461B6">
        <w:rPr>
          <w:rFonts w:ascii="Times New Roman" w:eastAsia="Times New Roman" w:hAnsi="Times New Roman" w:cs="Times New Roman"/>
          <w:sz w:val="28"/>
          <w:szCs w:val="28"/>
          <w:lang w:eastAsia="ru-RU"/>
        </w:rPr>
        <w:t xml:space="preserve"> новых микрорайонов и иное.</w:t>
      </w:r>
    </w:p>
    <w:p w14:paraId="0F63920B" w14:textId="586F4B49" w:rsidR="008F1272" w:rsidRPr="009461B6" w:rsidRDefault="008F1272" w:rsidP="00381797">
      <w:pPr>
        <w:spacing w:after="0" w:line="312" w:lineRule="auto"/>
        <w:ind w:firstLine="709"/>
        <w:jc w:val="both"/>
        <w:rPr>
          <w:rFonts w:ascii="Times New Roman" w:eastAsia="Times New Roman" w:hAnsi="Times New Roman" w:cs="Times New Roman"/>
          <w:sz w:val="28"/>
          <w:szCs w:val="28"/>
          <w:lang w:eastAsia="ru-RU"/>
        </w:rPr>
      </w:pPr>
      <w:r w:rsidRPr="009461B6">
        <w:rPr>
          <w:rFonts w:ascii="Times New Roman" w:eastAsia="Times New Roman" w:hAnsi="Times New Roman" w:cs="Times New Roman"/>
          <w:sz w:val="28"/>
          <w:szCs w:val="28"/>
          <w:lang w:eastAsia="ru-RU"/>
        </w:rPr>
        <w:t xml:space="preserve">Несмотря на то, что развитие негосударственного сектора в сфере дошкольного образования направлено в первую очередь на обеспечение прав родителей (законных представителей), установленных статьей 44 Федерального закона от 29 декабря </w:t>
      </w:r>
      <w:r w:rsidR="005360FA">
        <w:rPr>
          <w:rFonts w:ascii="Times New Roman" w:eastAsia="Times New Roman" w:hAnsi="Times New Roman" w:cs="Times New Roman"/>
          <w:sz w:val="28"/>
          <w:szCs w:val="28"/>
          <w:lang w:eastAsia="ru-RU"/>
        </w:rPr>
        <w:br/>
      </w:r>
      <w:r w:rsidRPr="009461B6">
        <w:rPr>
          <w:rFonts w:ascii="Times New Roman" w:eastAsia="Times New Roman" w:hAnsi="Times New Roman" w:cs="Times New Roman"/>
          <w:sz w:val="28"/>
          <w:szCs w:val="28"/>
          <w:lang w:eastAsia="ru-RU"/>
        </w:rPr>
        <w:t>2012 г</w:t>
      </w:r>
      <w:r w:rsidR="005C38D1" w:rsidRPr="009461B6">
        <w:rPr>
          <w:rFonts w:ascii="Times New Roman" w:eastAsia="Times New Roman" w:hAnsi="Times New Roman" w:cs="Times New Roman"/>
          <w:sz w:val="28"/>
          <w:szCs w:val="28"/>
          <w:lang w:eastAsia="ru-RU"/>
        </w:rPr>
        <w:t>.</w:t>
      </w:r>
      <w:r w:rsidRPr="009461B6">
        <w:rPr>
          <w:rFonts w:ascii="Times New Roman" w:eastAsia="Times New Roman" w:hAnsi="Times New Roman" w:cs="Times New Roman"/>
          <w:sz w:val="28"/>
          <w:szCs w:val="28"/>
          <w:lang w:eastAsia="ru-RU"/>
        </w:rPr>
        <w:t xml:space="preserve"> № 273-ФЗ «Об образовании в Российской Федерации»</w:t>
      </w:r>
      <w:r w:rsidR="005C38D1" w:rsidRPr="009461B6">
        <w:rPr>
          <w:rFonts w:ascii="Times New Roman" w:eastAsia="Times New Roman" w:hAnsi="Times New Roman" w:cs="Times New Roman"/>
          <w:sz w:val="28"/>
          <w:szCs w:val="28"/>
          <w:lang w:eastAsia="ru-RU"/>
        </w:rPr>
        <w:t xml:space="preserve"> (далее – Федеральный закон от 29 декабря 2012 г. № 273-ФЗ),</w:t>
      </w:r>
      <w:r w:rsidRPr="009461B6">
        <w:rPr>
          <w:rFonts w:ascii="Times New Roman" w:eastAsia="Times New Roman" w:hAnsi="Times New Roman" w:cs="Times New Roman"/>
          <w:sz w:val="28"/>
          <w:szCs w:val="28"/>
          <w:lang w:eastAsia="ru-RU"/>
        </w:rPr>
        <w:t xml:space="preserve"> на доступное и качественное образование с учетом особенностей и образовательных потребностей детей, в том числе дошкольного возраста, и состоянием их здоровья, функционирование частных дошкольных образовательных организаций, а также образовательных организаций, созданных индивидуальными предпринимателями, способствует повышению доступности и качества дошкольного образования.</w:t>
      </w:r>
    </w:p>
    <w:p w14:paraId="79E67A8C" w14:textId="77777777" w:rsidR="008F1272" w:rsidRPr="009461B6" w:rsidRDefault="008F1272" w:rsidP="00381797">
      <w:pPr>
        <w:spacing w:after="0" w:line="312" w:lineRule="auto"/>
        <w:ind w:firstLine="709"/>
        <w:jc w:val="both"/>
        <w:rPr>
          <w:rFonts w:ascii="Times New Roman" w:eastAsia="Times New Roman" w:hAnsi="Times New Roman" w:cs="Times New Roman"/>
          <w:sz w:val="28"/>
          <w:szCs w:val="28"/>
          <w:lang w:eastAsia="ru-RU"/>
        </w:rPr>
      </w:pPr>
      <w:r w:rsidRPr="009461B6">
        <w:rPr>
          <w:rFonts w:ascii="Times New Roman" w:eastAsia="Times New Roman" w:hAnsi="Times New Roman" w:cs="Times New Roman"/>
          <w:sz w:val="28"/>
          <w:szCs w:val="28"/>
          <w:lang w:eastAsia="ru-RU"/>
        </w:rPr>
        <w:t>По данным Росстата, по состоянию на 1 января 2022 г</w:t>
      </w:r>
      <w:r w:rsidR="0069006E" w:rsidRPr="009461B6">
        <w:rPr>
          <w:rFonts w:ascii="Times New Roman" w:eastAsia="Times New Roman" w:hAnsi="Times New Roman" w:cs="Times New Roman"/>
          <w:sz w:val="28"/>
          <w:szCs w:val="28"/>
          <w:lang w:eastAsia="ru-RU"/>
        </w:rPr>
        <w:t>.</w:t>
      </w:r>
      <w:r w:rsidRPr="009461B6">
        <w:rPr>
          <w:rFonts w:ascii="Times New Roman" w:eastAsia="Times New Roman" w:hAnsi="Times New Roman" w:cs="Times New Roman"/>
          <w:sz w:val="28"/>
          <w:szCs w:val="28"/>
          <w:lang w:eastAsia="ru-RU"/>
        </w:rPr>
        <w:t xml:space="preserve"> в Российской Федерации в частных дошкольных образовательных организациях получали дошкольное образование </w:t>
      </w:r>
      <w:r w:rsidR="0040410C" w:rsidRPr="009461B6">
        <w:rPr>
          <w:rFonts w:ascii="Times New Roman" w:eastAsia="Times New Roman" w:hAnsi="Times New Roman" w:cs="Times New Roman"/>
          <w:sz w:val="28"/>
          <w:szCs w:val="28"/>
          <w:lang w:eastAsia="ru-RU"/>
        </w:rPr>
        <w:t>189 816</w:t>
      </w:r>
      <w:r w:rsidRPr="009461B6">
        <w:rPr>
          <w:rFonts w:ascii="Times New Roman" w:eastAsia="Times New Roman" w:hAnsi="Times New Roman" w:cs="Times New Roman"/>
          <w:sz w:val="28"/>
          <w:szCs w:val="28"/>
          <w:lang w:eastAsia="ru-RU"/>
        </w:rPr>
        <w:t xml:space="preserve"> человека или </w:t>
      </w:r>
      <w:r w:rsidR="0040410C" w:rsidRPr="009461B6">
        <w:rPr>
          <w:rFonts w:ascii="Times New Roman" w:eastAsia="Times New Roman" w:hAnsi="Times New Roman" w:cs="Times New Roman"/>
          <w:sz w:val="28"/>
          <w:szCs w:val="28"/>
          <w:lang w:eastAsia="ru-RU"/>
        </w:rPr>
        <w:t>2</w:t>
      </w:r>
      <w:r w:rsidRPr="009461B6">
        <w:rPr>
          <w:rFonts w:ascii="Times New Roman" w:eastAsia="Times New Roman" w:hAnsi="Times New Roman" w:cs="Times New Roman"/>
          <w:sz w:val="28"/>
          <w:szCs w:val="28"/>
          <w:lang w:eastAsia="ru-RU"/>
        </w:rPr>
        <w:t>,5</w:t>
      </w:r>
      <w:r w:rsidR="0040410C" w:rsidRPr="009461B6">
        <w:rPr>
          <w:rFonts w:ascii="Times New Roman" w:eastAsia="Times New Roman" w:hAnsi="Times New Roman" w:cs="Times New Roman"/>
          <w:sz w:val="28"/>
          <w:szCs w:val="28"/>
          <w:lang w:eastAsia="ru-RU"/>
        </w:rPr>
        <w:t>9</w:t>
      </w:r>
      <w:r w:rsidRPr="009461B6">
        <w:rPr>
          <w:rFonts w:ascii="Times New Roman" w:eastAsia="Times New Roman" w:hAnsi="Times New Roman" w:cs="Times New Roman"/>
          <w:sz w:val="28"/>
          <w:szCs w:val="28"/>
          <w:lang w:eastAsia="ru-RU"/>
        </w:rPr>
        <w:t xml:space="preserve">% от общего числа воспитанников дошкольных образовательных организаций, что на </w:t>
      </w:r>
      <w:r w:rsidR="0040410C" w:rsidRPr="009461B6">
        <w:rPr>
          <w:rFonts w:ascii="Times New Roman" w:eastAsia="Times New Roman" w:hAnsi="Times New Roman" w:cs="Times New Roman"/>
          <w:sz w:val="28"/>
          <w:szCs w:val="28"/>
          <w:lang w:eastAsia="ru-RU"/>
        </w:rPr>
        <w:t>56</w:t>
      </w:r>
      <w:r w:rsidRPr="009461B6">
        <w:rPr>
          <w:rFonts w:ascii="Times New Roman" w:eastAsia="Times New Roman" w:hAnsi="Times New Roman" w:cs="Times New Roman"/>
          <w:sz w:val="28"/>
          <w:szCs w:val="28"/>
          <w:lang w:eastAsia="ru-RU"/>
        </w:rPr>
        <w:t>,</w:t>
      </w:r>
      <w:r w:rsidR="0040410C" w:rsidRPr="009461B6">
        <w:rPr>
          <w:rFonts w:ascii="Times New Roman" w:eastAsia="Times New Roman" w:hAnsi="Times New Roman" w:cs="Times New Roman"/>
          <w:sz w:val="28"/>
          <w:szCs w:val="28"/>
          <w:lang w:eastAsia="ru-RU"/>
        </w:rPr>
        <w:t>49</w:t>
      </w:r>
      <w:r w:rsidRPr="009461B6">
        <w:rPr>
          <w:rFonts w:ascii="Times New Roman" w:eastAsia="Times New Roman" w:hAnsi="Times New Roman" w:cs="Times New Roman"/>
          <w:sz w:val="28"/>
          <w:szCs w:val="28"/>
          <w:lang w:eastAsia="ru-RU"/>
        </w:rPr>
        <w:t>% больше, чем в прошлом году (</w:t>
      </w:r>
      <w:r w:rsidR="00C66CBD" w:rsidRPr="009461B6">
        <w:rPr>
          <w:rFonts w:ascii="Times New Roman" w:eastAsia="Times New Roman" w:hAnsi="Times New Roman" w:cs="Times New Roman"/>
          <w:sz w:val="28"/>
          <w:szCs w:val="28"/>
          <w:lang w:eastAsia="ru-RU"/>
        </w:rPr>
        <w:t xml:space="preserve">2020 г. – </w:t>
      </w:r>
      <w:r w:rsidRPr="009461B6">
        <w:rPr>
          <w:rFonts w:ascii="Times New Roman" w:eastAsia="Times New Roman" w:hAnsi="Times New Roman" w:cs="Times New Roman"/>
          <w:sz w:val="28"/>
          <w:szCs w:val="28"/>
          <w:lang w:eastAsia="ru-RU"/>
        </w:rPr>
        <w:t>107 234 человека или 1,4% от общего числа воспитанников дошкольных образовательных организаций).</w:t>
      </w:r>
    </w:p>
    <w:p w14:paraId="19F842CD" w14:textId="77777777" w:rsidR="008F1272" w:rsidRPr="009461B6" w:rsidRDefault="008F1272" w:rsidP="00381797">
      <w:pPr>
        <w:spacing w:after="0" w:line="312" w:lineRule="auto"/>
        <w:ind w:firstLine="709"/>
        <w:jc w:val="both"/>
        <w:rPr>
          <w:rFonts w:ascii="Times New Roman" w:eastAsia="Times New Roman" w:hAnsi="Times New Roman" w:cs="Times New Roman"/>
          <w:sz w:val="28"/>
          <w:szCs w:val="28"/>
          <w:lang w:eastAsia="ru-RU"/>
        </w:rPr>
      </w:pPr>
      <w:r w:rsidRPr="009461B6">
        <w:rPr>
          <w:rFonts w:ascii="Times New Roman" w:eastAsia="Times New Roman" w:hAnsi="Times New Roman" w:cs="Times New Roman"/>
          <w:sz w:val="28"/>
          <w:szCs w:val="28"/>
          <w:lang w:eastAsia="ru-RU"/>
        </w:rPr>
        <w:t>Кроме того, в субъектах Российской Федерации в 2021 г</w:t>
      </w:r>
      <w:r w:rsidR="00C40F63" w:rsidRPr="009461B6">
        <w:rPr>
          <w:rFonts w:ascii="Times New Roman" w:eastAsia="Times New Roman" w:hAnsi="Times New Roman" w:cs="Times New Roman"/>
          <w:sz w:val="28"/>
          <w:szCs w:val="28"/>
          <w:lang w:eastAsia="ru-RU"/>
        </w:rPr>
        <w:t>.</w:t>
      </w:r>
      <w:r w:rsidRPr="009461B6">
        <w:rPr>
          <w:rFonts w:ascii="Times New Roman" w:eastAsia="Times New Roman" w:hAnsi="Times New Roman" w:cs="Times New Roman"/>
          <w:sz w:val="28"/>
          <w:szCs w:val="28"/>
          <w:lang w:eastAsia="ru-RU"/>
        </w:rPr>
        <w:t xml:space="preserve"> в 1 </w:t>
      </w:r>
      <w:r w:rsidR="0040410C" w:rsidRPr="009461B6">
        <w:rPr>
          <w:rFonts w:ascii="Times New Roman" w:eastAsia="Times New Roman" w:hAnsi="Times New Roman" w:cs="Times New Roman"/>
          <w:sz w:val="28"/>
          <w:szCs w:val="28"/>
          <w:lang w:eastAsia="ru-RU"/>
        </w:rPr>
        <w:t>262</w:t>
      </w:r>
      <w:r w:rsidRPr="009461B6">
        <w:rPr>
          <w:rFonts w:ascii="Times New Roman" w:eastAsia="Times New Roman" w:hAnsi="Times New Roman" w:cs="Times New Roman"/>
          <w:sz w:val="28"/>
          <w:szCs w:val="28"/>
          <w:lang w:eastAsia="ru-RU"/>
        </w:rPr>
        <w:t xml:space="preserve"> организациях всех форм собственности функционировали 2 </w:t>
      </w:r>
      <w:r w:rsidR="0040410C" w:rsidRPr="009461B6">
        <w:rPr>
          <w:rFonts w:ascii="Times New Roman" w:eastAsia="Times New Roman" w:hAnsi="Times New Roman" w:cs="Times New Roman"/>
          <w:sz w:val="28"/>
          <w:szCs w:val="28"/>
          <w:lang w:eastAsia="ru-RU"/>
        </w:rPr>
        <w:t>774</w:t>
      </w:r>
      <w:r w:rsidRPr="009461B6">
        <w:rPr>
          <w:rFonts w:ascii="Times New Roman" w:eastAsia="Times New Roman" w:hAnsi="Times New Roman" w:cs="Times New Roman"/>
          <w:sz w:val="28"/>
          <w:szCs w:val="28"/>
          <w:lang w:eastAsia="ru-RU"/>
        </w:rPr>
        <w:t xml:space="preserve"> семейных дошкольных группы, в которых дошкольное образование и (или) присмотр и уход получали 2</w:t>
      </w:r>
      <w:r w:rsidR="0040410C" w:rsidRPr="009461B6">
        <w:rPr>
          <w:rFonts w:ascii="Times New Roman" w:eastAsia="Times New Roman" w:hAnsi="Times New Roman" w:cs="Times New Roman"/>
          <w:sz w:val="28"/>
          <w:szCs w:val="28"/>
          <w:lang w:eastAsia="ru-RU"/>
        </w:rPr>
        <w:t>1</w:t>
      </w:r>
      <w:r w:rsidRPr="009461B6">
        <w:rPr>
          <w:rFonts w:ascii="Times New Roman" w:eastAsia="Times New Roman" w:hAnsi="Times New Roman" w:cs="Times New Roman"/>
          <w:sz w:val="28"/>
          <w:szCs w:val="28"/>
          <w:lang w:eastAsia="ru-RU"/>
        </w:rPr>
        <w:t xml:space="preserve"> </w:t>
      </w:r>
      <w:r w:rsidR="0040410C" w:rsidRPr="009461B6">
        <w:rPr>
          <w:rFonts w:ascii="Times New Roman" w:eastAsia="Times New Roman" w:hAnsi="Times New Roman" w:cs="Times New Roman"/>
          <w:sz w:val="28"/>
          <w:szCs w:val="28"/>
          <w:lang w:eastAsia="ru-RU"/>
        </w:rPr>
        <w:t>880</w:t>
      </w:r>
      <w:r w:rsidRPr="009461B6">
        <w:rPr>
          <w:rFonts w:ascii="Times New Roman" w:eastAsia="Times New Roman" w:hAnsi="Times New Roman" w:cs="Times New Roman"/>
          <w:sz w:val="28"/>
          <w:szCs w:val="28"/>
          <w:lang w:eastAsia="ru-RU"/>
        </w:rPr>
        <w:t xml:space="preserve"> воспитанников.</w:t>
      </w:r>
    </w:p>
    <w:p w14:paraId="6427625A" w14:textId="77777777" w:rsidR="008F1272" w:rsidRPr="009461B6" w:rsidRDefault="008F1272" w:rsidP="00381797">
      <w:pPr>
        <w:spacing w:after="0" w:line="312" w:lineRule="auto"/>
        <w:ind w:firstLine="709"/>
        <w:jc w:val="both"/>
        <w:rPr>
          <w:rFonts w:ascii="Times New Roman" w:eastAsia="Times New Roman" w:hAnsi="Times New Roman" w:cs="Times New Roman"/>
          <w:sz w:val="28"/>
          <w:szCs w:val="28"/>
          <w:lang w:eastAsia="ru-RU"/>
        </w:rPr>
      </w:pPr>
      <w:r w:rsidRPr="009461B6">
        <w:rPr>
          <w:rFonts w:ascii="Times New Roman" w:eastAsia="Times New Roman" w:hAnsi="Times New Roman" w:cs="Times New Roman"/>
          <w:sz w:val="28"/>
          <w:szCs w:val="28"/>
          <w:lang w:eastAsia="ru-RU"/>
        </w:rPr>
        <w:t xml:space="preserve">Также 5 369 воспитанников получали дошкольное образование, присмотр и уход в 247 группах, созданных при профессиональных образовательных организациях; 1 627 детей </w:t>
      </w:r>
      <w:r w:rsidR="00C66CBD" w:rsidRPr="009461B6">
        <w:rPr>
          <w:rFonts w:ascii="Times New Roman" w:eastAsia="Times New Roman" w:hAnsi="Times New Roman" w:cs="Times New Roman"/>
          <w:sz w:val="28"/>
          <w:szCs w:val="28"/>
          <w:lang w:eastAsia="ru-RU"/>
        </w:rPr>
        <w:t xml:space="preserve">– </w:t>
      </w:r>
      <w:r w:rsidRPr="009461B6">
        <w:rPr>
          <w:rFonts w:ascii="Times New Roman" w:eastAsia="Times New Roman" w:hAnsi="Times New Roman" w:cs="Times New Roman"/>
          <w:sz w:val="28"/>
          <w:szCs w:val="28"/>
          <w:lang w:eastAsia="ru-RU"/>
        </w:rPr>
        <w:t>в 105 группах, организованных при образовательных организациях высшего образования; 2 314 детей – в 194 группах при организациях дополнительного образования детей; 13 434 ребенка – в 1 223 группах, организованных при ином юридическом лице; 7 691 человек – в 777 группах по присмотру и уходу без реализации образовательной программы дошкольного образования.</w:t>
      </w:r>
    </w:p>
    <w:p w14:paraId="55F4F328" w14:textId="77777777" w:rsidR="008F1272" w:rsidRPr="009461B6" w:rsidRDefault="008F1272" w:rsidP="00381797">
      <w:pPr>
        <w:spacing w:after="0" w:line="312" w:lineRule="auto"/>
        <w:ind w:firstLine="709"/>
        <w:jc w:val="both"/>
        <w:rPr>
          <w:rFonts w:ascii="Times New Roman" w:eastAsia="Times New Roman" w:hAnsi="Times New Roman" w:cs="Times New Roman"/>
          <w:sz w:val="28"/>
          <w:szCs w:val="28"/>
          <w:lang w:eastAsia="ru-RU"/>
        </w:rPr>
      </w:pPr>
      <w:r w:rsidRPr="009461B6">
        <w:rPr>
          <w:rFonts w:ascii="Times New Roman" w:eastAsia="Times New Roman" w:hAnsi="Times New Roman" w:cs="Times New Roman"/>
          <w:sz w:val="28"/>
          <w:szCs w:val="28"/>
          <w:lang w:eastAsia="ru-RU"/>
        </w:rPr>
        <w:t>Кроме реализации мероприятий, направленных на повышение доступного и качественного дошкольного образования, в 2021 г</w:t>
      </w:r>
      <w:r w:rsidR="00C40F63" w:rsidRPr="009461B6">
        <w:rPr>
          <w:rFonts w:ascii="Times New Roman" w:eastAsia="Times New Roman" w:hAnsi="Times New Roman" w:cs="Times New Roman"/>
          <w:sz w:val="28"/>
          <w:szCs w:val="28"/>
          <w:lang w:eastAsia="ru-RU"/>
        </w:rPr>
        <w:t>.</w:t>
      </w:r>
      <w:r w:rsidRPr="009461B6">
        <w:rPr>
          <w:rFonts w:ascii="Times New Roman" w:eastAsia="Times New Roman" w:hAnsi="Times New Roman" w:cs="Times New Roman"/>
          <w:sz w:val="28"/>
          <w:szCs w:val="28"/>
          <w:lang w:eastAsia="ru-RU"/>
        </w:rPr>
        <w:t xml:space="preserve"> в рамках </w:t>
      </w:r>
      <w:r w:rsidR="008333BB" w:rsidRPr="009461B6">
        <w:rPr>
          <w:rFonts w:ascii="Times New Roman" w:eastAsia="Calibri" w:hAnsi="Times New Roman" w:cs="Times New Roman"/>
          <w:sz w:val="28"/>
          <w:szCs w:val="28"/>
          <w:lang w:eastAsia="ru-RU"/>
        </w:rPr>
        <w:t>плана основных мероприятий, проводимых в рамках Десятилетия детства, на период до 2027 г</w:t>
      </w:r>
      <w:r w:rsidR="00C40F63" w:rsidRPr="009461B6">
        <w:rPr>
          <w:rFonts w:ascii="Times New Roman" w:eastAsia="Calibri" w:hAnsi="Times New Roman" w:cs="Times New Roman"/>
          <w:sz w:val="28"/>
          <w:szCs w:val="28"/>
          <w:lang w:eastAsia="ru-RU"/>
        </w:rPr>
        <w:t>.</w:t>
      </w:r>
      <w:r w:rsidRPr="009461B6">
        <w:rPr>
          <w:rFonts w:ascii="Times New Roman" w:eastAsia="Times New Roman" w:hAnsi="Times New Roman" w:cs="Times New Roman"/>
          <w:sz w:val="28"/>
          <w:szCs w:val="28"/>
          <w:lang w:eastAsia="ru-RU"/>
        </w:rPr>
        <w:t xml:space="preserve"> и мероприятий («дорожной карты») межведомственного взаимодействия, направленного на развитие в Российской Федерации системы сертифицированных нянь в сфере образования, социальной сфере, а также сфере здравоохранения (февраль 2020 г. – декабрь 2021 г.) продолжалась работа, направленная на повышение качества оказания услуг по присмотру и уходу за детьми дошкольного возраста.</w:t>
      </w:r>
    </w:p>
    <w:p w14:paraId="312124EB" w14:textId="40A812E0" w:rsidR="008F1272" w:rsidRPr="009461B6" w:rsidRDefault="008F1272" w:rsidP="0028624A">
      <w:pPr>
        <w:spacing w:after="0" w:line="312" w:lineRule="auto"/>
        <w:ind w:firstLine="709"/>
        <w:jc w:val="both"/>
        <w:rPr>
          <w:rFonts w:ascii="Times New Roman" w:eastAsia="Times New Roman" w:hAnsi="Times New Roman" w:cs="Times New Roman"/>
          <w:sz w:val="28"/>
          <w:szCs w:val="28"/>
          <w:lang w:eastAsia="ru-RU"/>
        </w:rPr>
      </w:pPr>
      <w:r w:rsidRPr="009461B6">
        <w:rPr>
          <w:rFonts w:ascii="Times New Roman" w:eastAsia="Times New Roman" w:hAnsi="Times New Roman" w:cs="Times New Roman"/>
          <w:sz w:val="28"/>
          <w:szCs w:val="28"/>
          <w:lang w:eastAsia="ru-RU"/>
        </w:rPr>
        <w:t>Первые практики создания служб квалифицированных нянь на базе комплексных центров социального обслуживания запущены по проекту «Профессиональные няни – детям» в Пермском крае, Белгородской</w:t>
      </w:r>
      <w:r w:rsidR="00C66CBD" w:rsidRPr="009461B6">
        <w:rPr>
          <w:rFonts w:ascii="Times New Roman" w:eastAsia="Times New Roman" w:hAnsi="Times New Roman" w:cs="Times New Roman"/>
          <w:sz w:val="28"/>
          <w:szCs w:val="28"/>
          <w:lang w:eastAsia="ru-RU"/>
        </w:rPr>
        <w:t xml:space="preserve"> и</w:t>
      </w:r>
      <w:r w:rsidR="0028624A" w:rsidRPr="009461B6">
        <w:rPr>
          <w:rFonts w:ascii="Times New Roman" w:eastAsia="Times New Roman" w:hAnsi="Times New Roman" w:cs="Times New Roman"/>
          <w:sz w:val="28"/>
          <w:szCs w:val="28"/>
          <w:lang w:eastAsia="ru-RU"/>
        </w:rPr>
        <w:t xml:space="preserve"> Кировской областях. </w:t>
      </w:r>
      <w:r w:rsidRPr="009461B6">
        <w:rPr>
          <w:rFonts w:ascii="Times New Roman" w:eastAsia="Times New Roman" w:hAnsi="Times New Roman" w:cs="Times New Roman"/>
          <w:sz w:val="28"/>
          <w:szCs w:val="28"/>
          <w:lang w:eastAsia="ru-RU"/>
        </w:rPr>
        <w:t xml:space="preserve">В рамках общественного проекта «Профессиональные няни – детям» </w:t>
      </w:r>
      <w:r w:rsidR="005360FA">
        <w:rPr>
          <w:rFonts w:ascii="Times New Roman" w:eastAsia="Times New Roman" w:hAnsi="Times New Roman" w:cs="Times New Roman"/>
          <w:sz w:val="28"/>
          <w:szCs w:val="28"/>
          <w:lang w:eastAsia="ru-RU"/>
        </w:rPr>
        <w:br/>
      </w:r>
      <w:r w:rsidRPr="009461B6">
        <w:rPr>
          <w:rFonts w:ascii="Times New Roman" w:eastAsia="Times New Roman" w:hAnsi="Times New Roman" w:cs="Times New Roman"/>
          <w:sz w:val="28"/>
          <w:szCs w:val="28"/>
          <w:lang w:eastAsia="ru-RU"/>
        </w:rPr>
        <w:t>в 2021 г</w:t>
      </w:r>
      <w:r w:rsidR="00C40F63" w:rsidRPr="009461B6">
        <w:rPr>
          <w:rFonts w:ascii="Times New Roman" w:eastAsia="Times New Roman" w:hAnsi="Times New Roman" w:cs="Times New Roman"/>
          <w:sz w:val="28"/>
          <w:szCs w:val="28"/>
          <w:lang w:eastAsia="ru-RU"/>
        </w:rPr>
        <w:t>.</w:t>
      </w:r>
      <w:r w:rsidRPr="009461B6">
        <w:rPr>
          <w:rFonts w:ascii="Times New Roman" w:eastAsia="Times New Roman" w:hAnsi="Times New Roman" w:cs="Times New Roman"/>
          <w:sz w:val="28"/>
          <w:szCs w:val="28"/>
          <w:lang w:eastAsia="ru-RU"/>
        </w:rPr>
        <w:t xml:space="preserve"> состоялся первый Всероссийский конкурс профессионального мастерства «Лучшие няни России», направленный на повышение престижа профессии няни (работника по присмотру и уходу за детьми), востребованной во многих семьях и необходимой для демографического роста в Российской Федерации. Конкурс проводится с использованием гранта Президента Российской Федерации, предоставленного Фондом президентских грантов.</w:t>
      </w:r>
    </w:p>
    <w:p w14:paraId="5F92079D" w14:textId="77777777" w:rsidR="008F1272" w:rsidRPr="009461B6" w:rsidRDefault="008F1272" w:rsidP="0028624A">
      <w:pPr>
        <w:spacing w:after="0" w:line="312" w:lineRule="auto"/>
        <w:ind w:firstLine="709"/>
        <w:jc w:val="both"/>
        <w:rPr>
          <w:rFonts w:ascii="Times New Roman" w:eastAsia="Times New Roman" w:hAnsi="Times New Roman" w:cs="Times New Roman"/>
          <w:sz w:val="28"/>
          <w:szCs w:val="28"/>
          <w:lang w:eastAsia="ru-RU"/>
        </w:rPr>
      </w:pPr>
      <w:r w:rsidRPr="009461B6">
        <w:rPr>
          <w:rFonts w:ascii="Times New Roman" w:eastAsia="Times New Roman" w:hAnsi="Times New Roman" w:cs="Times New Roman"/>
          <w:sz w:val="28"/>
          <w:szCs w:val="28"/>
          <w:lang w:eastAsia="ru-RU"/>
        </w:rPr>
        <w:t xml:space="preserve">В </w:t>
      </w:r>
      <w:r w:rsidR="00C40F63" w:rsidRPr="009461B6">
        <w:rPr>
          <w:rFonts w:ascii="Times New Roman" w:eastAsia="Times New Roman" w:hAnsi="Times New Roman" w:cs="Times New Roman"/>
          <w:sz w:val="28"/>
          <w:szCs w:val="28"/>
          <w:lang w:eastAsia="ru-RU"/>
        </w:rPr>
        <w:t>2019-2021 гг.</w:t>
      </w:r>
      <w:r w:rsidRPr="009461B6">
        <w:rPr>
          <w:rFonts w:ascii="Times New Roman" w:eastAsia="Times New Roman" w:hAnsi="Times New Roman" w:cs="Times New Roman"/>
          <w:sz w:val="28"/>
          <w:szCs w:val="28"/>
          <w:lang w:eastAsia="ru-RU"/>
        </w:rPr>
        <w:t xml:space="preserve"> по проекту «Профессиональные няни – детям» подготовлено 125 экспертов для сопровождения профессионального обучения и сертификации нянь</w:t>
      </w:r>
      <w:r w:rsidR="00FD1A2E" w:rsidRPr="009461B6">
        <w:rPr>
          <w:rFonts w:ascii="Times New Roman" w:eastAsia="Times New Roman" w:hAnsi="Times New Roman" w:cs="Times New Roman"/>
          <w:sz w:val="28"/>
          <w:szCs w:val="28"/>
          <w:lang w:eastAsia="ru-RU"/>
        </w:rPr>
        <w:t>. П</w:t>
      </w:r>
      <w:r w:rsidRPr="009461B6">
        <w:rPr>
          <w:rFonts w:ascii="Times New Roman" w:eastAsia="Times New Roman" w:hAnsi="Times New Roman" w:cs="Times New Roman"/>
          <w:sz w:val="28"/>
          <w:szCs w:val="28"/>
          <w:lang w:eastAsia="ru-RU"/>
        </w:rPr>
        <w:t>рофессиональное обучение прошли более 700 нянь, сертификацию – более 400 человек. В 18 субъектах Российской Федерации действует 28 центров профессионального</w:t>
      </w:r>
      <w:r w:rsidR="0028624A" w:rsidRPr="009461B6">
        <w:rPr>
          <w:rFonts w:ascii="Times New Roman" w:eastAsia="Times New Roman" w:hAnsi="Times New Roman" w:cs="Times New Roman"/>
          <w:sz w:val="28"/>
          <w:szCs w:val="28"/>
          <w:lang w:eastAsia="ru-RU"/>
        </w:rPr>
        <w:t xml:space="preserve"> обучения и сертификации нянь. </w:t>
      </w:r>
      <w:r w:rsidRPr="009461B6">
        <w:rPr>
          <w:rFonts w:ascii="Times New Roman" w:eastAsia="Times New Roman" w:hAnsi="Times New Roman" w:cs="Times New Roman"/>
          <w:sz w:val="28"/>
          <w:szCs w:val="28"/>
          <w:lang w:eastAsia="ru-RU"/>
        </w:rPr>
        <w:t>Работа в данном направлении будет продолжена.</w:t>
      </w:r>
    </w:p>
    <w:p w14:paraId="003AED61" w14:textId="77777777" w:rsidR="008F1272" w:rsidRPr="009461B6" w:rsidRDefault="008F1272" w:rsidP="00381797">
      <w:pPr>
        <w:spacing w:after="0" w:line="312" w:lineRule="auto"/>
        <w:ind w:firstLine="709"/>
        <w:jc w:val="both"/>
        <w:rPr>
          <w:rFonts w:ascii="Times New Roman" w:eastAsia="Times New Roman" w:hAnsi="Times New Roman" w:cs="Times New Roman"/>
          <w:sz w:val="28"/>
          <w:szCs w:val="28"/>
          <w:lang w:eastAsia="ru-RU"/>
        </w:rPr>
      </w:pPr>
      <w:r w:rsidRPr="009461B6">
        <w:rPr>
          <w:rFonts w:ascii="Times New Roman" w:eastAsia="Times New Roman" w:hAnsi="Times New Roman" w:cs="Times New Roman"/>
          <w:sz w:val="28"/>
          <w:szCs w:val="28"/>
          <w:lang w:eastAsia="ru-RU"/>
        </w:rPr>
        <w:t xml:space="preserve">Одной из задач государственной политики Российской Федерации, закрепленной в Указе Президента Российской Федерации от 7 мая 2018 г. № 204 </w:t>
      </w:r>
      <w:r w:rsidR="0028624A" w:rsidRPr="009461B6">
        <w:rPr>
          <w:rFonts w:ascii="Times New Roman" w:eastAsia="Times New Roman" w:hAnsi="Times New Roman" w:cs="Times New Roman"/>
          <w:sz w:val="28"/>
          <w:szCs w:val="28"/>
          <w:lang w:eastAsia="ru-RU"/>
        </w:rPr>
        <w:br/>
      </w:r>
      <w:r w:rsidRPr="009461B6">
        <w:rPr>
          <w:rFonts w:ascii="Times New Roman" w:eastAsia="Times New Roman" w:hAnsi="Times New Roman" w:cs="Times New Roman"/>
          <w:sz w:val="28"/>
          <w:szCs w:val="28"/>
          <w:lang w:eastAsia="ru-RU"/>
        </w:rPr>
        <w:t xml:space="preserve">«О национальных целях и стратегических задачах развития Российской Федерации на период до 2024 года», является создание условий для развития детей в возрасте до </w:t>
      </w:r>
      <w:r w:rsidR="0028624A" w:rsidRPr="009461B6">
        <w:rPr>
          <w:rFonts w:ascii="Times New Roman" w:eastAsia="Times New Roman" w:hAnsi="Times New Roman" w:cs="Times New Roman"/>
          <w:sz w:val="28"/>
          <w:szCs w:val="28"/>
          <w:lang w:eastAsia="ru-RU"/>
        </w:rPr>
        <w:t xml:space="preserve">3 </w:t>
      </w:r>
      <w:r w:rsidRPr="009461B6">
        <w:rPr>
          <w:rFonts w:ascii="Times New Roman" w:eastAsia="Times New Roman" w:hAnsi="Times New Roman" w:cs="Times New Roman"/>
          <w:sz w:val="28"/>
          <w:szCs w:val="28"/>
          <w:lang w:eastAsia="ru-RU"/>
        </w:rPr>
        <w:t>лет, реализация программ психолого-педагогической, методической и консультативной помощи родителям детей, получающих дошкольное образование в семье. В целях реализации этих задач на территориях субъектов Российской Федерации функционирует сеть консультационных центров (служб), оказывающих психолого-педагогическую, диагностическую и консультативную помощь родителям с детьми дошкольного возраста.</w:t>
      </w:r>
    </w:p>
    <w:p w14:paraId="6FB13F75" w14:textId="77777777" w:rsidR="008F1272" w:rsidRPr="009461B6" w:rsidRDefault="008F1272" w:rsidP="00381797">
      <w:pPr>
        <w:spacing w:after="0" w:line="312" w:lineRule="auto"/>
        <w:ind w:firstLine="709"/>
        <w:jc w:val="both"/>
        <w:rPr>
          <w:rFonts w:ascii="Times New Roman" w:eastAsia="Times New Roman" w:hAnsi="Times New Roman" w:cs="Times New Roman"/>
          <w:sz w:val="28"/>
          <w:szCs w:val="28"/>
          <w:lang w:eastAsia="ru-RU"/>
        </w:rPr>
      </w:pPr>
      <w:r w:rsidRPr="009461B6">
        <w:rPr>
          <w:rFonts w:ascii="Times New Roman" w:eastAsia="Times New Roman" w:hAnsi="Times New Roman" w:cs="Times New Roman"/>
          <w:sz w:val="28"/>
          <w:szCs w:val="28"/>
          <w:lang w:eastAsia="ru-RU"/>
        </w:rPr>
        <w:t>По результатам оперативного мониторинга</w:t>
      </w:r>
      <w:r w:rsidR="002A13E7" w:rsidRPr="009461B6">
        <w:rPr>
          <w:rFonts w:ascii="Times New Roman" w:eastAsia="Times New Roman" w:hAnsi="Times New Roman" w:cs="Times New Roman"/>
          <w:sz w:val="28"/>
          <w:szCs w:val="28"/>
          <w:lang w:eastAsia="ru-RU"/>
        </w:rPr>
        <w:t>,</w:t>
      </w:r>
      <w:r w:rsidRPr="009461B6">
        <w:rPr>
          <w:rFonts w:ascii="Times New Roman" w:eastAsia="Times New Roman" w:hAnsi="Times New Roman" w:cs="Times New Roman"/>
          <w:sz w:val="28"/>
          <w:szCs w:val="28"/>
          <w:lang w:eastAsia="ru-RU"/>
        </w:rPr>
        <w:t xml:space="preserve"> по состоянию на 1 января 2022 г</w:t>
      </w:r>
      <w:r w:rsidR="0069006E" w:rsidRPr="009461B6">
        <w:rPr>
          <w:rFonts w:ascii="Times New Roman" w:eastAsia="Times New Roman" w:hAnsi="Times New Roman" w:cs="Times New Roman"/>
          <w:sz w:val="28"/>
          <w:szCs w:val="28"/>
          <w:lang w:eastAsia="ru-RU"/>
        </w:rPr>
        <w:t>.</w:t>
      </w:r>
      <w:r w:rsidRPr="009461B6">
        <w:rPr>
          <w:rFonts w:ascii="Times New Roman" w:eastAsia="Times New Roman" w:hAnsi="Times New Roman" w:cs="Times New Roman"/>
          <w:sz w:val="28"/>
          <w:szCs w:val="28"/>
          <w:lang w:eastAsia="ru-RU"/>
        </w:rPr>
        <w:t xml:space="preserve"> на территории Российской Федерации функционирует 13 773 консультационных центра.</w:t>
      </w:r>
    </w:p>
    <w:p w14:paraId="7DDC658F" w14:textId="77777777" w:rsidR="008F1272" w:rsidRPr="009461B6" w:rsidRDefault="008F1272" w:rsidP="00381797">
      <w:pPr>
        <w:spacing w:after="0" w:line="312" w:lineRule="auto"/>
        <w:ind w:firstLine="709"/>
        <w:jc w:val="both"/>
        <w:rPr>
          <w:rFonts w:ascii="Times New Roman" w:eastAsia="Times New Roman" w:hAnsi="Times New Roman" w:cs="Times New Roman"/>
          <w:sz w:val="28"/>
          <w:szCs w:val="28"/>
          <w:lang w:eastAsia="ru-RU"/>
        </w:rPr>
      </w:pPr>
      <w:r w:rsidRPr="009461B6">
        <w:rPr>
          <w:rFonts w:ascii="Times New Roman" w:eastAsia="Times New Roman" w:hAnsi="Times New Roman" w:cs="Times New Roman"/>
          <w:sz w:val="28"/>
          <w:szCs w:val="28"/>
          <w:lang w:eastAsia="ru-RU"/>
        </w:rPr>
        <w:t>Начиная с 2017 г</w:t>
      </w:r>
      <w:r w:rsidR="00C40F63" w:rsidRPr="009461B6">
        <w:rPr>
          <w:rFonts w:ascii="Times New Roman" w:eastAsia="Times New Roman" w:hAnsi="Times New Roman" w:cs="Times New Roman"/>
          <w:sz w:val="28"/>
          <w:szCs w:val="28"/>
          <w:lang w:eastAsia="ru-RU"/>
        </w:rPr>
        <w:t>.</w:t>
      </w:r>
      <w:r w:rsidRPr="009461B6">
        <w:rPr>
          <w:rFonts w:ascii="Times New Roman" w:eastAsia="Times New Roman" w:hAnsi="Times New Roman" w:cs="Times New Roman"/>
          <w:sz w:val="28"/>
          <w:szCs w:val="28"/>
          <w:lang w:eastAsia="ru-RU"/>
        </w:rPr>
        <w:t xml:space="preserve"> в рамках государственной программы Российской Федерации «Развитие образования» из федерального бюджета предусмотрены ассигнования в форме субсидий (гранты) образовательным организациям, реализующим образовательные программы дошкольного образования, на реализацию проектов, обеспечивающих создание инфраструктуры консультационных центров. В 2021 г</w:t>
      </w:r>
      <w:r w:rsidR="00C40F63" w:rsidRPr="009461B6">
        <w:rPr>
          <w:rFonts w:ascii="Times New Roman" w:eastAsia="Times New Roman" w:hAnsi="Times New Roman" w:cs="Times New Roman"/>
          <w:sz w:val="28"/>
          <w:szCs w:val="28"/>
          <w:lang w:eastAsia="ru-RU"/>
        </w:rPr>
        <w:t>.</w:t>
      </w:r>
      <w:r w:rsidRPr="009461B6">
        <w:rPr>
          <w:rFonts w:ascii="Times New Roman" w:eastAsia="Times New Roman" w:hAnsi="Times New Roman" w:cs="Times New Roman"/>
          <w:sz w:val="28"/>
          <w:szCs w:val="28"/>
          <w:lang w:eastAsia="ru-RU"/>
        </w:rPr>
        <w:t xml:space="preserve"> </w:t>
      </w:r>
      <w:r w:rsidR="00FD1A2E" w:rsidRPr="009461B6">
        <w:rPr>
          <w:rFonts w:ascii="Times New Roman" w:eastAsia="Times New Roman" w:hAnsi="Times New Roman" w:cs="Times New Roman"/>
          <w:sz w:val="28"/>
          <w:szCs w:val="28"/>
          <w:lang w:eastAsia="ru-RU"/>
        </w:rPr>
        <w:t xml:space="preserve">на данные цели </w:t>
      </w:r>
      <w:r w:rsidRPr="009461B6">
        <w:rPr>
          <w:rFonts w:ascii="Times New Roman" w:eastAsia="Times New Roman" w:hAnsi="Times New Roman" w:cs="Times New Roman"/>
          <w:sz w:val="28"/>
          <w:szCs w:val="28"/>
          <w:lang w:eastAsia="ru-RU"/>
        </w:rPr>
        <w:t xml:space="preserve">из федерального бюджета </w:t>
      </w:r>
      <w:r w:rsidR="00FD1A2E" w:rsidRPr="009461B6">
        <w:rPr>
          <w:rFonts w:ascii="Times New Roman" w:eastAsia="Times New Roman" w:hAnsi="Times New Roman" w:cs="Times New Roman"/>
          <w:sz w:val="28"/>
          <w:szCs w:val="28"/>
          <w:lang w:eastAsia="ru-RU"/>
        </w:rPr>
        <w:t xml:space="preserve">направлено </w:t>
      </w:r>
      <w:r w:rsidRPr="009461B6">
        <w:rPr>
          <w:rFonts w:ascii="Times New Roman" w:eastAsia="Times New Roman" w:hAnsi="Times New Roman" w:cs="Times New Roman"/>
          <w:sz w:val="28"/>
          <w:szCs w:val="28"/>
          <w:lang w:eastAsia="ru-RU"/>
        </w:rPr>
        <w:t>52,37 млн рублей.</w:t>
      </w:r>
    </w:p>
    <w:p w14:paraId="0B31297F" w14:textId="77777777" w:rsidR="008F1272" w:rsidRPr="009461B6" w:rsidRDefault="008F1272" w:rsidP="00381797">
      <w:pPr>
        <w:spacing w:after="0" w:line="312" w:lineRule="auto"/>
        <w:ind w:firstLine="709"/>
        <w:jc w:val="both"/>
        <w:rPr>
          <w:rFonts w:ascii="Times New Roman" w:eastAsia="Times New Roman" w:hAnsi="Times New Roman" w:cs="Times New Roman"/>
          <w:sz w:val="28"/>
          <w:szCs w:val="28"/>
          <w:lang w:eastAsia="ru-RU"/>
        </w:rPr>
      </w:pPr>
      <w:r w:rsidRPr="009461B6">
        <w:rPr>
          <w:rFonts w:ascii="Times New Roman" w:eastAsia="Times New Roman" w:hAnsi="Times New Roman" w:cs="Times New Roman"/>
          <w:sz w:val="28"/>
          <w:szCs w:val="28"/>
          <w:lang w:eastAsia="ru-RU"/>
        </w:rPr>
        <w:t xml:space="preserve">Победителями конкурсных отборов </w:t>
      </w:r>
      <w:r w:rsidR="00C40F63" w:rsidRPr="009461B6">
        <w:rPr>
          <w:rFonts w:ascii="Times New Roman" w:eastAsia="Times New Roman" w:hAnsi="Times New Roman" w:cs="Times New Roman"/>
          <w:sz w:val="28"/>
          <w:szCs w:val="28"/>
          <w:lang w:eastAsia="ru-RU"/>
        </w:rPr>
        <w:t>2017-2021 гг.</w:t>
      </w:r>
      <w:r w:rsidRPr="009461B6">
        <w:rPr>
          <w:rFonts w:ascii="Times New Roman" w:eastAsia="Times New Roman" w:hAnsi="Times New Roman" w:cs="Times New Roman"/>
          <w:sz w:val="28"/>
          <w:szCs w:val="28"/>
          <w:lang w:eastAsia="ru-RU"/>
        </w:rPr>
        <w:t xml:space="preserve"> стали 202 образовательные организации</w:t>
      </w:r>
      <w:r w:rsidR="00111D17" w:rsidRPr="009461B6">
        <w:rPr>
          <w:rFonts w:ascii="Times New Roman" w:eastAsia="Times New Roman" w:hAnsi="Times New Roman" w:cs="Times New Roman"/>
          <w:sz w:val="28"/>
          <w:szCs w:val="28"/>
          <w:lang w:eastAsia="ru-RU"/>
        </w:rPr>
        <w:t xml:space="preserve"> из 40 субъектов Российской Федерации</w:t>
      </w:r>
      <w:r w:rsidRPr="009461B6">
        <w:rPr>
          <w:rFonts w:ascii="Times New Roman" w:eastAsia="Times New Roman" w:hAnsi="Times New Roman" w:cs="Times New Roman"/>
          <w:sz w:val="28"/>
          <w:szCs w:val="28"/>
          <w:lang w:eastAsia="ru-RU"/>
        </w:rPr>
        <w:t>, в структуре которых функци</w:t>
      </w:r>
      <w:r w:rsidR="00111D17" w:rsidRPr="009461B6">
        <w:rPr>
          <w:rFonts w:ascii="Times New Roman" w:eastAsia="Times New Roman" w:hAnsi="Times New Roman" w:cs="Times New Roman"/>
          <w:sz w:val="28"/>
          <w:szCs w:val="28"/>
          <w:lang w:eastAsia="ru-RU"/>
        </w:rPr>
        <w:t>онируют консультационные центры</w:t>
      </w:r>
      <w:r w:rsidRPr="009461B6">
        <w:rPr>
          <w:rFonts w:ascii="Times New Roman" w:eastAsia="Times New Roman" w:hAnsi="Times New Roman" w:cs="Times New Roman"/>
          <w:sz w:val="28"/>
          <w:szCs w:val="28"/>
          <w:lang w:eastAsia="ru-RU"/>
        </w:rPr>
        <w:t>.</w:t>
      </w:r>
    </w:p>
    <w:p w14:paraId="78119B11" w14:textId="77777777" w:rsidR="008F1272" w:rsidRPr="009461B6" w:rsidRDefault="008F1272" w:rsidP="00381797">
      <w:pPr>
        <w:spacing w:after="0" w:line="312" w:lineRule="auto"/>
        <w:ind w:firstLine="709"/>
        <w:jc w:val="both"/>
        <w:rPr>
          <w:rFonts w:ascii="Times New Roman" w:eastAsia="Times New Roman" w:hAnsi="Times New Roman" w:cs="Times New Roman"/>
          <w:sz w:val="28"/>
          <w:szCs w:val="28"/>
          <w:lang w:eastAsia="ru-RU"/>
        </w:rPr>
      </w:pPr>
      <w:r w:rsidRPr="009461B6">
        <w:rPr>
          <w:rFonts w:ascii="Times New Roman" w:eastAsia="Times New Roman" w:hAnsi="Times New Roman" w:cs="Times New Roman"/>
          <w:sz w:val="28"/>
          <w:szCs w:val="28"/>
          <w:lang w:eastAsia="ru-RU"/>
        </w:rPr>
        <w:t xml:space="preserve">В задачи </w:t>
      </w:r>
      <w:r w:rsidR="00AA58A9" w:rsidRPr="009461B6">
        <w:rPr>
          <w:rFonts w:ascii="Times New Roman" w:eastAsia="Times New Roman" w:hAnsi="Times New Roman" w:cs="Times New Roman"/>
          <w:sz w:val="28"/>
          <w:szCs w:val="28"/>
          <w:lang w:eastAsia="ru-RU"/>
        </w:rPr>
        <w:t xml:space="preserve">вышеуказанного </w:t>
      </w:r>
      <w:r w:rsidRPr="009461B6">
        <w:rPr>
          <w:rFonts w:ascii="Times New Roman" w:eastAsia="Times New Roman" w:hAnsi="Times New Roman" w:cs="Times New Roman"/>
          <w:sz w:val="28"/>
          <w:szCs w:val="28"/>
          <w:lang w:eastAsia="ru-RU"/>
        </w:rPr>
        <w:t xml:space="preserve">конкурса входит выявление и распространение лучших практик и моделей, обеспечивающих бесплатную методическую, психолого-педагогическую, диагностическую и консультативную помощь родителям (законным представителям) детей дошкольного возраста (в том числе в возрасте от 0 до 3 лет, с </w:t>
      </w:r>
      <w:r w:rsidR="00AA58A9" w:rsidRPr="009461B6">
        <w:rPr>
          <w:rFonts w:ascii="Times New Roman" w:eastAsia="Times New Roman" w:hAnsi="Times New Roman" w:cs="Times New Roman"/>
          <w:sz w:val="28"/>
          <w:szCs w:val="28"/>
          <w:lang w:eastAsia="ru-RU"/>
        </w:rPr>
        <w:t>ОВЗ</w:t>
      </w:r>
      <w:r w:rsidRPr="009461B6">
        <w:rPr>
          <w:rFonts w:ascii="Times New Roman" w:eastAsia="Times New Roman" w:hAnsi="Times New Roman" w:cs="Times New Roman"/>
          <w:sz w:val="28"/>
          <w:szCs w:val="28"/>
          <w:lang w:eastAsia="ru-RU"/>
        </w:rPr>
        <w:t>), а также развитие сети консультационных центров по оказанию такой помощи.</w:t>
      </w:r>
    </w:p>
    <w:p w14:paraId="5676C247" w14:textId="77777777" w:rsidR="008F1272" w:rsidRPr="009461B6" w:rsidRDefault="008F1272" w:rsidP="00381797">
      <w:pPr>
        <w:spacing w:after="0" w:line="312" w:lineRule="auto"/>
        <w:ind w:firstLine="709"/>
        <w:jc w:val="both"/>
        <w:rPr>
          <w:rFonts w:ascii="Times New Roman" w:eastAsia="Times New Roman" w:hAnsi="Times New Roman" w:cs="Times New Roman"/>
          <w:sz w:val="28"/>
          <w:szCs w:val="28"/>
          <w:lang w:eastAsia="ru-RU"/>
        </w:rPr>
      </w:pPr>
      <w:r w:rsidRPr="009461B6">
        <w:rPr>
          <w:rFonts w:ascii="Times New Roman" w:eastAsia="Times New Roman" w:hAnsi="Times New Roman" w:cs="Times New Roman"/>
          <w:sz w:val="28"/>
          <w:szCs w:val="28"/>
          <w:lang w:eastAsia="ru-RU"/>
        </w:rPr>
        <w:t>В 2021 г</w:t>
      </w:r>
      <w:r w:rsidR="00C40F63" w:rsidRPr="009461B6">
        <w:rPr>
          <w:rFonts w:ascii="Times New Roman" w:eastAsia="Times New Roman" w:hAnsi="Times New Roman" w:cs="Times New Roman"/>
          <w:sz w:val="28"/>
          <w:szCs w:val="28"/>
          <w:lang w:eastAsia="ru-RU"/>
        </w:rPr>
        <w:t>.</w:t>
      </w:r>
      <w:r w:rsidRPr="009461B6">
        <w:rPr>
          <w:rFonts w:ascii="Times New Roman" w:eastAsia="Times New Roman" w:hAnsi="Times New Roman" w:cs="Times New Roman"/>
          <w:sz w:val="28"/>
          <w:szCs w:val="28"/>
          <w:lang w:eastAsia="ru-RU"/>
        </w:rPr>
        <w:t xml:space="preserve"> во исполнение федерального законодательства субъектами Российской Федерации осуществлялось внесение изменений в региональное законодательство с целью приведения региональных информационных систем доступности дошкольного образования к соответствующим техническим требованиям.</w:t>
      </w:r>
    </w:p>
    <w:p w14:paraId="2507F53C" w14:textId="77777777" w:rsidR="008F1272" w:rsidRPr="009461B6" w:rsidRDefault="008F1272" w:rsidP="00381797">
      <w:pPr>
        <w:spacing w:after="0" w:line="312" w:lineRule="auto"/>
        <w:ind w:firstLine="709"/>
        <w:jc w:val="both"/>
        <w:rPr>
          <w:rFonts w:ascii="Times New Roman" w:eastAsia="Times New Roman" w:hAnsi="Times New Roman" w:cs="Times New Roman"/>
          <w:sz w:val="28"/>
          <w:szCs w:val="28"/>
          <w:lang w:eastAsia="ru-RU"/>
        </w:rPr>
      </w:pPr>
      <w:r w:rsidRPr="009461B6">
        <w:rPr>
          <w:rFonts w:ascii="Times New Roman" w:eastAsia="Times New Roman" w:hAnsi="Times New Roman" w:cs="Times New Roman"/>
          <w:sz w:val="28"/>
          <w:szCs w:val="28"/>
          <w:lang w:eastAsia="ru-RU"/>
        </w:rPr>
        <w:t>Кроме того, осуществлена интеграция региональных информационных систем доступности дошкольного образования 84 субъектов Российской Федерации с единой формой услуги «Запись в дошкольную организацию» на «Един</w:t>
      </w:r>
      <w:r w:rsidR="0048422C" w:rsidRPr="009461B6">
        <w:rPr>
          <w:rFonts w:ascii="Times New Roman" w:eastAsia="Times New Roman" w:hAnsi="Times New Roman" w:cs="Times New Roman"/>
          <w:sz w:val="28"/>
          <w:szCs w:val="28"/>
          <w:lang w:eastAsia="ru-RU"/>
        </w:rPr>
        <w:t>ом</w:t>
      </w:r>
      <w:r w:rsidRPr="009461B6">
        <w:rPr>
          <w:rFonts w:ascii="Times New Roman" w:eastAsia="Times New Roman" w:hAnsi="Times New Roman" w:cs="Times New Roman"/>
          <w:sz w:val="28"/>
          <w:szCs w:val="28"/>
          <w:lang w:eastAsia="ru-RU"/>
        </w:rPr>
        <w:t xml:space="preserve"> портал</w:t>
      </w:r>
      <w:r w:rsidR="0048422C" w:rsidRPr="009461B6">
        <w:rPr>
          <w:rFonts w:ascii="Times New Roman" w:eastAsia="Times New Roman" w:hAnsi="Times New Roman" w:cs="Times New Roman"/>
          <w:sz w:val="28"/>
          <w:szCs w:val="28"/>
          <w:lang w:eastAsia="ru-RU"/>
        </w:rPr>
        <w:t>е</w:t>
      </w:r>
      <w:r w:rsidRPr="009461B6">
        <w:rPr>
          <w:rFonts w:ascii="Times New Roman" w:eastAsia="Times New Roman" w:hAnsi="Times New Roman" w:cs="Times New Roman"/>
          <w:sz w:val="28"/>
          <w:szCs w:val="28"/>
          <w:lang w:eastAsia="ru-RU"/>
        </w:rPr>
        <w:t xml:space="preserve"> государственных и муниципальных услуг (функций)» через систему межведомственного электронного взаимодействия (СМЭВ 3). Для города федерального значения Москва осуществлена переадресация с единой формы услуг на портал услуг города Москвы.</w:t>
      </w:r>
    </w:p>
    <w:p w14:paraId="3D57D7AA" w14:textId="77777777" w:rsidR="008F1272" w:rsidRPr="009461B6" w:rsidRDefault="008F1272" w:rsidP="00381797">
      <w:pPr>
        <w:spacing w:after="0" w:line="312" w:lineRule="auto"/>
        <w:ind w:firstLine="709"/>
        <w:jc w:val="both"/>
        <w:rPr>
          <w:rFonts w:ascii="Times New Roman" w:eastAsia="Times New Roman" w:hAnsi="Times New Roman" w:cs="Times New Roman"/>
          <w:sz w:val="28"/>
          <w:szCs w:val="28"/>
          <w:lang w:eastAsia="ru-RU"/>
        </w:rPr>
      </w:pPr>
      <w:r w:rsidRPr="009461B6">
        <w:rPr>
          <w:rFonts w:ascii="Times New Roman" w:eastAsia="Times New Roman" w:hAnsi="Times New Roman" w:cs="Times New Roman"/>
          <w:sz w:val="28"/>
          <w:szCs w:val="28"/>
          <w:lang w:eastAsia="ru-RU"/>
        </w:rPr>
        <w:t>Предоставление услуг по постановке ребенка на учет для получения места в дошкольной образовательной организации через федеральную государственную информационную систему «Единый портал государственных и муниципальных услуг (функций)» стало более понятным для родителей (законных представителей), обеспечено информирование заявителей о результатах рассмотрения заявлений, последовательности предоставления мест и изменении данной последовательности.</w:t>
      </w:r>
    </w:p>
    <w:p w14:paraId="6DF95891" w14:textId="77777777" w:rsidR="008F1272" w:rsidRPr="009461B6" w:rsidRDefault="008F1272" w:rsidP="00381797">
      <w:pPr>
        <w:spacing w:after="0" w:line="312" w:lineRule="auto"/>
        <w:ind w:firstLine="709"/>
        <w:jc w:val="both"/>
        <w:rPr>
          <w:rFonts w:ascii="Times New Roman" w:eastAsia="Times New Roman" w:hAnsi="Times New Roman" w:cs="Times New Roman"/>
          <w:sz w:val="28"/>
          <w:szCs w:val="28"/>
          <w:lang w:eastAsia="ru-RU"/>
        </w:rPr>
      </w:pPr>
      <w:r w:rsidRPr="009461B6">
        <w:rPr>
          <w:rFonts w:ascii="Times New Roman" w:eastAsia="Times New Roman" w:hAnsi="Times New Roman" w:cs="Times New Roman"/>
          <w:sz w:val="28"/>
          <w:szCs w:val="28"/>
          <w:lang w:eastAsia="ru-RU"/>
        </w:rPr>
        <w:t>Во исполнение пункта 2.1 Плана-графика перевода мер социальной поддержки в формат «Социального казначейства», утвержденного Правительством Российской Федерации 19 августа 2021 г. № 8851п-П45, обеспечивается межведомственное взаимодействие с региональными информационными системами доступности дошкольного образования для автоматизации подтверждения данных, указанных в заявлениях, и сокращения представления подтверждающих документов в бумажном виде.</w:t>
      </w:r>
    </w:p>
    <w:p w14:paraId="11C79B47" w14:textId="77777777" w:rsidR="008F1272" w:rsidRPr="009461B6" w:rsidRDefault="008F1272" w:rsidP="00381797">
      <w:pPr>
        <w:spacing w:after="0" w:line="312" w:lineRule="auto"/>
        <w:ind w:firstLine="709"/>
        <w:jc w:val="both"/>
        <w:rPr>
          <w:rFonts w:ascii="Times New Roman" w:eastAsia="Times New Roman" w:hAnsi="Times New Roman" w:cs="Times New Roman"/>
          <w:sz w:val="28"/>
          <w:szCs w:val="28"/>
          <w:lang w:eastAsia="ru-RU"/>
        </w:rPr>
      </w:pPr>
      <w:r w:rsidRPr="009461B6">
        <w:rPr>
          <w:rFonts w:ascii="Times New Roman" w:eastAsia="Times New Roman" w:hAnsi="Times New Roman" w:cs="Times New Roman"/>
          <w:sz w:val="28"/>
          <w:szCs w:val="28"/>
          <w:lang w:eastAsia="ru-RU"/>
        </w:rPr>
        <w:t>В соответствии с Планом перевода массовых социально значимых услуг регионального и муниципального уровней в электронный формат, утвержденным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10 декабря 2021 г. № 44, организована разработка проекта типового Административного регламента предоставления государственной (муниципальной) услуги «Постановка на учет и направление детей в государственные (муниципальные) образовательные организации, реализующие образовательные программы дошкольного образования».</w:t>
      </w:r>
    </w:p>
    <w:p w14:paraId="319CBC26" w14:textId="77777777" w:rsidR="008F1272" w:rsidRPr="009461B6" w:rsidRDefault="008952C6" w:rsidP="00381797">
      <w:pPr>
        <w:spacing w:after="0" w:line="312" w:lineRule="auto"/>
        <w:ind w:firstLine="709"/>
        <w:jc w:val="both"/>
        <w:rPr>
          <w:rFonts w:ascii="Times New Roman" w:eastAsia="Times New Roman" w:hAnsi="Times New Roman" w:cs="Times New Roman"/>
          <w:sz w:val="28"/>
          <w:szCs w:val="28"/>
          <w:lang w:eastAsia="ru-RU"/>
        </w:rPr>
      </w:pPr>
      <w:r w:rsidRPr="009461B6">
        <w:rPr>
          <w:rFonts w:ascii="Times New Roman" w:eastAsia="Times New Roman" w:hAnsi="Times New Roman" w:cs="Times New Roman"/>
          <w:sz w:val="28"/>
          <w:szCs w:val="28"/>
          <w:lang w:eastAsia="ru-RU"/>
        </w:rPr>
        <w:t xml:space="preserve">В целях обеспечения поддержки родителей детей дошкольного возраста </w:t>
      </w:r>
      <w:r w:rsidR="008F1272" w:rsidRPr="009461B6">
        <w:rPr>
          <w:rFonts w:ascii="Times New Roman" w:eastAsia="Times New Roman" w:hAnsi="Times New Roman" w:cs="Times New Roman"/>
          <w:sz w:val="28"/>
          <w:szCs w:val="28"/>
          <w:lang w:eastAsia="ru-RU"/>
        </w:rPr>
        <w:t>Минпросвещения России проводит ежеквартальный мониторинг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14:paraId="64EAD0F9" w14:textId="77777777" w:rsidR="008F1272" w:rsidRPr="009461B6" w:rsidRDefault="008F1272" w:rsidP="002A13E7">
      <w:pPr>
        <w:spacing w:after="0" w:line="312" w:lineRule="auto"/>
        <w:ind w:firstLine="709"/>
        <w:jc w:val="both"/>
        <w:rPr>
          <w:rFonts w:ascii="Times New Roman" w:eastAsia="Times New Roman" w:hAnsi="Times New Roman" w:cs="Times New Roman"/>
          <w:sz w:val="28"/>
          <w:szCs w:val="28"/>
          <w:lang w:eastAsia="ru-RU"/>
        </w:rPr>
      </w:pPr>
      <w:r w:rsidRPr="009461B6">
        <w:rPr>
          <w:rFonts w:ascii="Times New Roman" w:eastAsia="Times New Roman" w:hAnsi="Times New Roman" w:cs="Times New Roman"/>
          <w:sz w:val="28"/>
          <w:szCs w:val="28"/>
          <w:lang w:eastAsia="ru-RU"/>
        </w:rPr>
        <w:t>По данным мониторинга, размер родительской платы, взимаемой с родителей (законных представителей) за присмотр и уход за детьми, установленный учредителями дошкольной образовательной органи</w:t>
      </w:r>
      <w:r w:rsidR="001539A8" w:rsidRPr="009461B6">
        <w:rPr>
          <w:rFonts w:ascii="Times New Roman" w:eastAsia="Times New Roman" w:hAnsi="Times New Roman" w:cs="Times New Roman"/>
          <w:sz w:val="28"/>
          <w:szCs w:val="28"/>
          <w:lang w:eastAsia="ru-RU"/>
        </w:rPr>
        <w:t>зации, в IV квартале 2021 г</w:t>
      </w:r>
      <w:r w:rsidR="0069006E" w:rsidRPr="009461B6">
        <w:rPr>
          <w:rFonts w:ascii="Times New Roman" w:eastAsia="Times New Roman" w:hAnsi="Times New Roman" w:cs="Times New Roman"/>
          <w:sz w:val="28"/>
          <w:szCs w:val="28"/>
          <w:lang w:eastAsia="ru-RU"/>
        </w:rPr>
        <w:t>.</w:t>
      </w:r>
      <w:r w:rsidR="001539A8" w:rsidRPr="009461B6">
        <w:rPr>
          <w:rFonts w:ascii="Times New Roman" w:eastAsia="Times New Roman" w:hAnsi="Times New Roman" w:cs="Times New Roman"/>
          <w:sz w:val="28"/>
          <w:szCs w:val="28"/>
          <w:lang w:eastAsia="ru-RU"/>
        </w:rPr>
        <w:t xml:space="preserve"> </w:t>
      </w:r>
      <w:r w:rsidR="0069006E" w:rsidRPr="009461B6">
        <w:rPr>
          <w:rFonts w:ascii="Times New Roman" w:eastAsia="Times New Roman" w:hAnsi="Times New Roman" w:cs="Times New Roman"/>
          <w:sz w:val="28"/>
          <w:szCs w:val="28"/>
          <w:lang w:eastAsia="ru-RU"/>
        </w:rPr>
        <w:br/>
      </w:r>
      <w:r w:rsidRPr="009461B6">
        <w:rPr>
          <w:rFonts w:ascii="Times New Roman" w:eastAsia="Times New Roman" w:hAnsi="Times New Roman" w:cs="Times New Roman"/>
          <w:sz w:val="28"/>
          <w:szCs w:val="28"/>
          <w:lang w:eastAsia="ru-RU"/>
        </w:rPr>
        <w:t>(по состоянию на 31 декабря 2021 г</w:t>
      </w:r>
      <w:r w:rsidR="0069006E" w:rsidRPr="009461B6">
        <w:rPr>
          <w:rFonts w:ascii="Times New Roman" w:eastAsia="Times New Roman" w:hAnsi="Times New Roman" w:cs="Times New Roman"/>
          <w:sz w:val="28"/>
          <w:szCs w:val="28"/>
          <w:lang w:eastAsia="ru-RU"/>
        </w:rPr>
        <w:t>.</w:t>
      </w:r>
      <w:r w:rsidRPr="009461B6">
        <w:rPr>
          <w:rFonts w:ascii="Times New Roman" w:eastAsia="Times New Roman" w:hAnsi="Times New Roman" w:cs="Times New Roman"/>
          <w:sz w:val="28"/>
          <w:szCs w:val="28"/>
          <w:lang w:eastAsia="ru-RU"/>
        </w:rPr>
        <w:t>) в с</w:t>
      </w:r>
      <w:r w:rsidR="001539A8" w:rsidRPr="009461B6">
        <w:rPr>
          <w:rFonts w:ascii="Times New Roman" w:eastAsia="Times New Roman" w:hAnsi="Times New Roman" w:cs="Times New Roman"/>
          <w:sz w:val="28"/>
          <w:szCs w:val="28"/>
          <w:lang w:eastAsia="ru-RU"/>
        </w:rPr>
        <w:t xml:space="preserve">реднем по Российской Федерации составил 2 096 рублей. </w:t>
      </w:r>
      <w:r w:rsidRPr="009461B6">
        <w:rPr>
          <w:rFonts w:ascii="Times New Roman" w:eastAsia="Times New Roman" w:hAnsi="Times New Roman" w:cs="Times New Roman"/>
          <w:sz w:val="28"/>
          <w:szCs w:val="28"/>
          <w:lang w:eastAsia="ru-RU"/>
        </w:rPr>
        <w:t>По сравнению с I кварталом 2021 г. показател</w:t>
      </w:r>
      <w:r w:rsidR="002A13E7" w:rsidRPr="009461B6">
        <w:rPr>
          <w:rFonts w:ascii="Times New Roman" w:eastAsia="Times New Roman" w:hAnsi="Times New Roman" w:cs="Times New Roman"/>
          <w:sz w:val="28"/>
          <w:szCs w:val="28"/>
          <w:lang w:eastAsia="ru-RU"/>
        </w:rPr>
        <w:t xml:space="preserve">ь вырос на 118 рублей (или 6%). </w:t>
      </w:r>
      <w:r w:rsidRPr="009461B6">
        <w:rPr>
          <w:rFonts w:ascii="Times New Roman" w:eastAsia="Times New Roman" w:hAnsi="Times New Roman" w:cs="Times New Roman"/>
          <w:sz w:val="28"/>
          <w:szCs w:val="28"/>
          <w:lang w:eastAsia="ru-RU"/>
        </w:rPr>
        <w:t>Самый низкий размер родительской платы, взимаемой с родителей (законных представителей) за присмотр и уход за детьми, установленный учредителем дошкольной образовательной организацией</w:t>
      </w:r>
      <w:r w:rsidR="00850A54" w:rsidRPr="009461B6">
        <w:rPr>
          <w:rFonts w:ascii="Times New Roman" w:eastAsia="Times New Roman" w:hAnsi="Times New Roman" w:cs="Times New Roman"/>
          <w:sz w:val="28"/>
          <w:szCs w:val="28"/>
          <w:lang w:eastAsia="ru-RU"/>
        </w:rPr>
        <w:t>,</w:t>
      </w:r>
      <w:r w:rsidRPr="009461B6">
        <w:rPr>
          <w:rFonts w:ascii="Times New Roman" w:eastAsia="Times New Roman" w:hAnsi="Times New Roman" w:cs="Times New Roman"/>
          <w:sz w:val="28"/>
          <w:szCs w:val="28"/>
          <w:lang w:eastAsia="ru-RU"/>
        </w:rPr>
        <w:t xml:space="preserve"> зафиксирован в Республике Дагестан – 61</w:t>
      </w:r>
      <w:r w:rsidR="00850A54" w:rsidRPr="009461B6">
        <w:rPr>
          <w:rFonts w:ascii="Times New Roman" w:eastAsia="Times New Roman" w:hAnsi="Times New Roman" w:cs="Times New Roman"/>
          <w:sz w:val="28"/>
          <w:szCs w:val="28"/>
          <w:lang w:eastAsia="ru-RU"/>
        </w:rPr>
        <w:t>6 рублей в месяц, самый высокий</w:t>
      </w:r>
      <w:r w:rsidRPr="009461B6">
        <w:rPr>
          <w:rFonts w:ascii="Times New Roman" w:eastAsia="Times New Roman" w:hAnsi="Times New Roman" w:cs="Times New Roman"/>
          <w:sz w:val="28"/>
          <w:szCs w:val="28"/>
          <w:lang w:eastAsia="ru-RU"/>
        </w:rPr>
        <w:t xml:space="preserve"> в Магаданской</w:t>
      </w:r>
      <w:r w:rsidR="00850A54" w:rsidRPr="009461B6">
        <w:rPr>
          <w:rFonts w:ascii="Times New Roman" w:eastAsia="Times New Roman" w:hAnsi="Times New Roman" w:cs="Times New Roman"/>
          <w:sz w:val="28"/>
          <w:szCs w:val="28"/>
          <w:lang w:eastAsia="ru-RU"/>
        </w:rPr>
        <w:t xml:space="preserve"> области –</w:t>
      </w:r>
      <w:r w:rsidRPr="009461B6">
        <w:rPr>
          <w:rFonts w:ascii="Times New Roman" w:eastAsia="Times New Roman" w:hAnsi="Times New Roman" w:cs="Times New Roman"/>
          <w:sz w:val="28"/>
          <w:szCs w:val="28"/>
          <w:lang w:eastAsia="ru-RU"/>
        </w:rPr>
        <w:t>4</w:t>
      </w:r>
      <w:r w:rsidR="00850A54" w:rsidRPr="009461B6">
        <w:rPr>
          <w:rFonts w:ascii="Times New Roman" w:eastAsia="Times New Roman" w:hAnsi="Times New Roman" w:cs="Times New Roman"/>
          <w:sz w:val="28"/>
          <w:szCs w:val="28"/>
          <w:lang w:eastAsia="ru-RU"/>
        </w:rPr>
        <w:t xml:space="preserve"> 742 рубля в месяц</w:t>
      </w:r>
      <w:r w:rsidRPr="009461B6">
        <w:rPr>
          <w:rFonts w:ascii="Times New Roman" w:eastAsia="Times New Roman" w:hAnsi="Times New Roman" w:cs="Times New Roman"/>
          <w:sz w:val="28"/>
          <w:szCs w:val="28"/>
          <w:lang w:eastAsia="ru-RU"/>
        </w:rPr>
        <w:t>.</w:t>
      </w:r>
    </w:p>
    <w:p w14:paraId="1F5FD220" w14:textId="77777777" w:rsidR="008F1272" w:rsidRPr="009461B6" w:rsidRDefault="008F1272" w:rsidP="002A13E7">
      <w:pPr>
        <w:spacing w:after="0" w:line="312" w:lineRule="auto"/>
        <w:ind w:firstLine="709"/>
        <w:jc w:val="both"/>
        <w:rPr>
          <w:rFonts w:ascii="Times New Roman" w:eastAsia="Times New Roman" w:hAnsi="Times New Roman" w:cs="Times New Roman"/>
          <w:sz w:val="28"/>
          <w:szCs w:val="28"/>
          <w:lang w:eastAsia="ru-RU"/>
        </w:rPr>
      </w:pPr>
      <w:r w:rsidRPr="009461B6">
        <w:rPr>
          <w:rFonts w:ascii="Times New Roman" w:eastAsia="Times New Roman" w:hAnsi="Times New Roman" w:cs="Times New Roman"/>
          <w:sz w:val="28"/>
          <w:szCs w:val="28"/>
          <w:lang w:eastAsia="ru-RU"/>
        </w:rPr>
        <w:t>Средний размер платы, установленный нормативными правовыми актами субъектов Российской Федерации для вып</w:t>
      </w:r>
      <w:r w:rsidR="001539A8" w:rsidRPr="009461B6">
        <w:rPr>
          <w:rFonts w:ascii="Times New Roman" w:eastAsia="Times New Roman" w:hAnsi="Times New Roman" w:cs="Times New Roman"/>
          <w:sz w:val="28"/>
          <w:szCs w:val="28"/>
          <w:lang w:eastAsia="ru-RU"/>
        </w:rPr>
        <w:t>латы компенсации</w:t>
      </w:r>
      <w:r w:rsidR="009837E2" w:rsidRPr="009461B6">
        <w:rPr>
          <w:rFonts w:ascii="Times New Roman" w:eastAsia="Times New Roman" w:hAnsi="Times New Roman" w:cs="Times New Roman"/>
          <w:sz w:val="28"/>
          <w:szCs w:val="28"/>
          <w:lang w:eastAsia="ru-RU"/>
        </w:rPr>
        <w:t>,</w:t>
      </w:r>
      <w:r w:rsidR="001539A8" w:rsidRPr="009461B6">
        <w:rPr>
          <w:rFonts w:ascii="Times New Roman" w:eastAsia="Times New Roman" w:hAnsi="Times New Roman" w:cs="Times New Roman"/>
          <w:sz w:val="28"/>
          <w:szCs w:val="28"/>
          <w:lang w:eastAsia="ru-RU"/>
        </w:rPr>
        <w:t xml:space="preserve"> в IV квартале </w:t>
      </w:r>
      <w:r w:rsidRPr="009461B6">
        <w:rPr>
          <w:rFonts w:ascii="Times New Roman" w:eastAsia="Times New Roman" w:hAnsi="Times New Roman" w:cs="Times New Roman"/>
          <w:sz w:val="28"/>
          <w:szCs w:val="28"/>
          <w:lang w:eastAsia="ru-RU"/>
        </w:rPr>
        <w:t>2021 г</w:t>
      </w:r>
      <w:r w:rsidR="0069006E" w:rsidRPr="009461B6">
        <w:rPr>
          <w:rFonts w:ascii="Times New Roman" w:eastAsia="Times New Roman" w:hAnsi="Times New Roman" w:cs="Times New Roman"/>
          <w:sz w:val="28"/>
          <w:szCs w:val="28"/>
          <w:lang w:eastAsia="ru-RU"/>
        </w:rPr>
        <w:t>.</w:t>
      </w:r>
      <w:r w:rsidRPr="009461B6">
        <w:rPr>
          <w:rFonts w:ascii="Times New Roman" w:eastAsia="Times New Roman" w:hAnsi="Times New Roman" w:cs="Times New Roman"/>
          <w:sz w:val="28"/>
          <w:szCs w:val="28"/>
          <w:lang w:eastAsia="ru-RU"/>
        </w:rPr>
        <w:t xml:space="preserve"> (по состоянию на 31 декабря 2021 г.) составил 1 965 рублей.</w:t>
      </w:r>
      <w:r w:rsidR="009837E2" w:rsidRPr="009461B6">
        <w:rPr>
          <w:rFonts w:ascii="Times New Roman" w:eastAsia="Calibri" w:hAnsi="Times New Roman" w:cs="Times New Roman"/>
          <w:sz w:val="28"/>
          <w:szCs w:val="28"/>
        </w:rPr>
        <w:t> </w:t>
      </w:r>
      <w:r w:rsidRPr="009461B6">
        <w:rPr>
          <w:rFonts w:ascii="Times New Roman" w:eastAsia="Times New Roman" w:hAnsi="Times New Roman" w:cs="Times New Roman"/>
          <w:sz w:val="28"/>
          <w:szCs w:val="28"/>
          <w:lang w:eastAsia="ru-RU"/>
        </w:rPr>
        <w:t xml:space="preserve">По сравнению </w:t>
      </w:r>
      <w:r w:rsidR="002A13E7" w:rsidRPr="009461B6">
        <w:rPr>
          <w:rFonts w:ascii="Times New Roman" w:eastAsia="Times New Roman" w:hAnsi="Times New Roman" w:cs="Times New Roman"/>
          <w:sz w:val="28"/>
          <w:szCs w:val="28"/>
          <w:lang w:eastAsia="ru-RU"/>
        </w:rPr>
        <w:br/>
      </w:r>
      <w:r w:rsidRPr="009461B6">
        <w:rPr>
          <w:rFonts w:ascii="Times New Roman" w:eastAsia="Times New Roman" w:hAnsi="Times New Roman" w:cs="Times New Roman"/>
          <w:sz w:val="28"/>
          <w:szCs w:val="28"/>
          <w:lang w:eastAsia="ru-RU"/>
        </w:rPr>
        <w:t>с I кварталом 2021 г</w:t>
      </w:r>
      <w:r w:rsidR="0069006E" w:rsidRPr="009461B6">
        <w:rPr>
          <w:rFonts w:ascii="Times New Roman" w:eastAsia="Times New Roman" w:hAnsi="Times New Roman" w:cs="Times New Roman"/>
          <w:sz w:val="28"/>
          <w:szCs w:val="28"/>
          <w:lang w:eastAsia="ru-RU"/>
        </w:rPr>
        <w:t>.</w:t>
      </w:r>
      <w:r w:rsidRPr="009461B6">
        <w:rPr>
          <w:rFonts w:ascii="Times New Roman" w:eastAsia="Times New Roman" w:hAnsi="Times New Roman" w:cs="Times New Roman"/>
          <w:sz w:val="28"/>
          <w:szCs w:val="28"/>
          <w:lang w:eastAsia="ru-RU"/>
        </w:rPr>
        <w:t xml:space="preserve"> </w:t>
      </w:r>
      <w:r w:rsidR="001539A8" w:rsidRPr="009461B6">
        <w:rPr>
          <w:rFonts w:ascii="Times New Roman" w:eastAsia="Times New Roman" w:hAnsi="Times New Roman" w:cs="Times New Roman"/>
          <w:sz w:val="28"/>
          <w:szCs w:val="28"/>
          <w:lang w:eastAsia="ru-RU"/>
        </w:rPr>
        <w:t xml:space="preserve">показатель вырос на 120 рублей (или 6,5%). </w:t>
      </w:r>
      <w:r w:rsidRPr="009461B6">
        <w:rPr>
          <w:rFonts w:ascii="Times New Roman" w:eastAsia="Times New Roman" w:hAnsi="Times New Roman" w:cs="Times New Roman"/>
          <w:sz w:val="28"/>
          <w:szCs w:val="28"/>
          <w:lang w:eastAsia="ru-RU"/>
        </w:rPr>
        <w:t xml:space="preserve">Самый низкий средний размер для </w:t>
      </w:r>
      <w:r w:rsidR="001539A8" w:rsidRPr="009461B6">
        <w:rPr>
          <w:rFonts w:ascii="Times New Roman" w:eastAsia="Times New Roman" w:hAnsi="Times New Roman" w:cs="Times New Roman"/>
          <w:sz w:val="28"/>
          <w:szCs w:val="28"/>
          <w:lang w:eastAsia="ru-RU"/>
        </w:rPr>
        <w:t xml:space="preserve">выплаты компенсации установлен </w:t>
      </w:r>
      <w:r w:rsidRPr="009461B6">
        <w:rPr>
          <w:rFonts w:ascii="Times New Roman" w:eastAsia="Times New Roman" w:hAnsi="Times New Roman" w:cs="Times New Roman"/>
          <w:sz w:val="28"/>
          <w:szCs w:val="28"/>
          <w:lang w:eastAsia="ru-RU"/>
        </w:rPr>
        <w:t>в Карачаево-Черкесской Республике – 668 р</w:t>
      </w:r>
      <w:r w:rsidR="001539A8" w:rsidRPr="009461B6">
        <w:rPr>
          <w:rFonts w:ascii="Times New Roman" w:eastAsia="Times New Roman" w:hAnsi="Times New Roman" w:cs="Times New Roman"/>
          <w:sz w:val="28"/>
          <w:szCs w:val="28"/>
          <w:lang w:eastAsia="ru-RU"/>
        </w:rPr>
        <w:t xml:space="preserve">ублей в месяц, самый высокий </w:t>
      </w:r>
      <w:r w:rsidR="009837E2" w:rsidRPr="009461B6">
        <w:rPr>
          <w:rFonts w:ascii="Times New Roman" w:eastAsia="Times New Roman" w:hAnsi="Times New Roman" w:cs="Times New Roman"/>
          <w:sz w:val="28"/>
          <w:szCs w:val="28"/>
          <w:lang w:eastAsia="ru-RU"/>
        </w:rPr>
        <w:t xml:space="preserve">в Магаданской области – </w:t>
      </w:r>
      <w:r w:rsidR="009461B6">
        <w:rPr>
          <w:rFonts w:ascii="Times New Roman" w:eastAsia="Times New Roman" w:hAnsi="Times New Roman" w:cs="Times New Roman"/>
          <w:sz w:val="28"/>
          <w:szCs w:val="28"/>
          <w:lang w:eastAsia="ru-RU"/>
        </w:rPr>
        <w:br/>
      </w:r>
      <w:r w:rsidR="009837E2" w:rsidRPr="009461B6">
        <w:rPr>
          <w:rFonts w:ascii="Times New Roman" w:eastAsia="Times New Roman" w:hAnsi="Times New Roman" w:cs="Times New Roman"/>
          <w:sz w:val="28"/>
          <w:szCs w:val="28"/>
          <w:lang w:eastAsia="ru-RU"/>
        </w:rPr>
        <w:t>5 060 рублей в месяц</w:t>
      </w:r>
      <w:r w:rsidRPr="009461B6">
        <w:rPr>
          <w:rFonts w:ascii="Times New Roman" w:eastAsia="Times New Roman" w:hAnsi="Times New Roman" w:cs="Times New Roman"/>
          <w:sz w:val="28"/>
          <w:szCs w:val="28"/>
          <w:lang w:eastAsia="ru-RU"/>
        </w:rPr>
        <w:t>.</w:t>
      </w:r>
      <w:r w:rsidR="009837E2" w:rsidRPr="009461B6">
        <w:rPr>
          <w:rFonts w:ascii="Times New Roman" w:eastAsia="Calibri" w:hAnsi="Times New Roman" w:cs="Times New Roman"/>
          <w:sz w:val="28"/>
          <w:szCs w:val="28"/>
        </w:rPr>
        <w:t> </w:t>
      </w:r>
      <w:r w:rsidRPr="009461B6">
        <w:rPr>
          <w:rFonts w:ascii="Times New Roman" w:eastAsia="Times New Roman" w:hAnsi="Times New Roman" w:cs="Times New Roman"/>
          <w:sz w:val="28"/>
          <w:szCs w:val="28"/>
          <w:lang w:eastAsia="ru-RU"/>
        </w:rPr>
        <w:t>Максимальной размер родительской платы, взимаемой с родителей (законных представителей) за присмотр и уход за детьми, установленный нормативными правовыми актами субъектов Российской Феде</w:t>
      </w:r>
      <w:r w:rsidR="001539A8" w:rsidRPr="009461B6">
        <w:rPr>
          <w:rFonts w:ascii="Times New Roman" w:eastAsia="Times New Roman" w:hAnsi="Times New Roman" w:cs="Times New Roman"/>
          <w:sz w:val="28"/>
          <w:szCs w:val="28"/>
          <w:lang w:eastAsia="ru-RU"/>
        </w:rPr>
        <w:t xml:space="preserve">рации, в IV квартале 2021 года </w:t>
      </w:r>
      <w:r w:rsidRPr="009461B6">
        <w:rPr>
          <w:rFonts w:ascii="Times New Roman" w:eastAsia="Times New Roman" w:hAnsi="Times New Roman" w:cs="Times New Roman"/>
          <w:sz w:val="28"/>
          <w:szCs w:val="28"/>
          <w:lang w:eastAsia="ru-RU"/>
        </w:rPr>
        <w:t xml:space="preserve">(по состоянию на 31 декабря 2021 г.) в среднем составил 2 977 рублей. По сравнению с I кварталом 2021 г. показатель увеличился на 106 рублей </w:t>
      </w:r>
      <w:r w:rsidR="009461B6">
        <w:rPr>
          <w:rFonts w:ascii="Times New Roman" w:eastAsia="Times New Roman" w:hAnsi="Times New Roman" w:cs="Times New Roman"/>
          <w:sz w:val="28"/>
          <w:szCs w:val="28"/>
          <w:lang w:eastAsia="ru-RU"/>
        </w:rPr>
        <w:br/>
      </w:r>
      <w:r w:rsidRPr="009461B6">
        <w:rPr>
          <w:rFonts w:ascii="Times New Roman" w:eastAsia="Times New Roman" w:hAnsi="Times New Roman" w:cs="Times New Roman"/>
          <w:sz w:val="28"/>
          <w:szCs w:val="28"/>
          <w:lang w:eastAsia="ru-RU"/>
        </w:rPr>
        <w:t>(или 3,7%).</w:t>
      </w:r>
      <w:r w:rsidR="0042195B" w:rsidRPr="009461B6">
        <w:rPr>
          <w:rFonts w:ascii="Times New Roman" w:eastAsia="Calibri" w:hAnsi="Times New Roman" w:cs="Times New Roman"/>
          <w:sz w:val="28"/>
          <w:szCs w:val="28"/>
        </w:rPr>
        <w:t> </w:t>
      </w:r>
      <w:r w:rsidRPr="009461B6">
        <w:rPr>
          <w:rFonts w:ascii="Times New Roman" w:eastAsia="Times New Roman" w:hAnsi="Times New Roman" w:cs="Times New Roman"/>
          <w:sz w:val="28"/>
          <w:szCs w:val="28"/>
          <w:lang w:eastAsia="ru-RU"/>
        </w:rPr>
        <w:t>Самый низкий максимальный размер платы установлен в Карачаево-Черкесской Республике – 1 054 рубля, самый высок</w:t>
      </w:r>
      <w:r w:rsidR="001539A8" w:rsidRPr="009461B6">
        <w:rPr>
          <w:rFonts w:ascii="Times New Roman" w:eastAsia="Times New Roman" w:hAnsi="Times New Roman" w:cs="Times New Roman"/>
          <w:sz w:val="28"/>
          <w:szCs w:val="28"/>
          <w:lang w:eastAsia="ru-RU"/>
        </w:rPr>
        <w:t xml:space="preserve">ий в Архангельской </w:t>
      </w:r>
      <w:r w:rsidRPr="009461B6">
        <w:rPr>
          <w:rFonts w:ascii="Times New Roman" w:eastAsia="Times New Roman" w:hAnsi="Times New Roman" w:cs="Times New Roman"/>
          <w:sz w:val="28"/>
          <w:szCs w:val="28"/>
          <w:lang w:eastAsia="ru-RU"/>
        </w:rPr>
        <w:t xml:space="preserve">области – </w:t>
      </w:r>
      <w:r w:rsidR="0042195B" w:rsidRPr="009461B6">
        <w:rPr>
          <w:rFonts w:ascii="Times New Roman" w:eastAsia="Times New Roman" w:hAnsi="Times New Roman" w:cs="Times New Roman"/>
          <w:sz w:val="28"/>
          <w:szCs w:val="28"/>
          <w:lang w:eastAsia="ru-RU"/>
        </w:rPr>
        <w:br/>
      </w:r>
      <w:r w:rsidRPr="009461B6">
        <w:rPr>
          <w:rFonts w:ascii="Times New Roman" w:eastAsia="Times New Roman" w:hAnsi="Times New Roman" w:cs="Times New Roman"/>
          <w:sz w:val="28"/>
          <w:szCs w:val="28"/>
          <w:lang w:eastAsia="ru-RU"/>
        </w:rPr>
        <w:t>7 364 рубля.</w:t>
      </w:r>
    </w:p>
    <w:p w14:paraId="3A0CDE28" w14:textId="77777777" w:rsidR="008F1272" w:rsidRPr="009461B6" w:rsidRDefault="008F1272" w:rsidP="00381797">
      <w:pPr>
        <w:spacing w:after="0" w:line="312" w:lineRule="auto"/>
        <w:ind w:firstLine="709"/>
        <w:jc w:val="both"/>
        <w:rPr>
          <w:rFonts w:ascii="Times New Roman" w:eastAsia="Times New Roman" w:hAnsi="Times New Roman" w:cs="Times New Roman"/>
          <w:sz w:val="28"/>
          <w:szCs w:val="28"/>
          <w:lang w:eastAsia="ru-RU"/>
        </w:rPr>
      </w:pPr>
      <w:r w:rsidRPr="009461B6">
        <w:rPr>
          <w:rFonts w:ascii="Times New Roman" w:eastAsia="Times New Roman" w:hAnsi="Times New Roman" w:cs="Times New Roman"/>
          <w:sz w:val="28"/>
          <w:szCs w:val="28"/>
          <w:lang w:eastAsia="ru-RU"/>
        </w:rPr>
        <w:t>О необходимости проведения системного анализа размера родительской платы, взимаемой с родителей (законн</w:t>
      </w:r>
      <w:r w:rsidR="001539A8" w:rsidRPr="009461B6">
        <w:rPr>
          <w:rFonts w:ascii="Times New Roman" w:eastAsia="Times New Roman" w:hAnsi="Times New Roman" w:cs="Times New Roman"/>
          <w:sz w:val="28"/>
          <w:szCs w:val="28"/>
          <w:lang w:eastAsia="ru-RU"/>
        </w:rPr>
        <w:t xml:space="preserve">ых представителей) за присмотр </w:t>
      </w:r>
      <w:r w:rsidRPr="009461B6">
        <w:rPr>
          <w:rFonts w:ascii="Times New Roman" w:eastAsia="Times New Roman" w:hAnsi="Times New Roman" w:cs="Times New Roman"/>
          <w:sz w:val="28"/>
          <w:szCs w:val="28"/>
          <w:lang w:eastAsia="ru-RU"/>
        </w:rPr>
        <w:t>и уход за детьми, передаваемого из региональных информационных систем доступности дошкольного образования в федеральную информационную систему доступности дошкольного образования, обеспечения качества передаваемых данных из региональных информационных систем досту</w:t>
      </w:r>
      <w:r w:rsidR="001539A8" w:rsidRPr="009461B6">
        <w:rPr>
          <w:rFonts w:ascii="Times New Roman" w:eastAsia="Times New Roman" w:hAnsi="Times New Roman" w:cs="Times New Roman"/>
          <w:sz w:val="28"/>
          <w:szCs w:val="28"/>
          <w:lang w:eastAsia="ru-RU"/>
        </w:rPr>
        <w:t xml:space="preserve">пности дошкольного образования </w:t>
      </w:r>
      <w:r w:rsidRPr="009461B6">
        <w:rPr>
          <w:rFonts w:ascii="Times New Roman" w:eastAsia="Times New Roman" w:hAnsi="Times New Roman" w:cs="Times New Roman"/>
          <w:sz w:val="28"/>
          <w:szCs w:val="28"/>
          <w:lang w:eastAsia="ru-RU"/>
        </w:rPr>
        <w:t>в федеральную информационную систему доступ</w:t>
      </w:r>
      <w:r w:rsidR="001539A8" w:rsidRPr="009461B6">
        <w:rPr>
          <w:rFonts w:ascii="Times New Roman" w:eastAsia="Times New Roman" w:hAnsi="Times New Roman" w:cs="Times New Roman"/>
          <w:sz w:val="28"/>
          <w:szCs w:val="28"/>
          <w:lang w:eastAsia="ru-RU"/>
        </w:rPr>
        <w:t xml:space="preserve">ности дошкольного образования, </w:t>
      </w:r>
      <w:r w:rsidRPr="009461B6">
        <w:rPr>
          <w:rFonts w:ascii="Times New Roman" w:eastAsia="Times New Roman" w:hAnsi="Times New Roman" w:cs="Times New Roman"/>
          <w:sz w:val="28"/>
          <w:szCs w:val="28"/>
          <w:lang w:eastAsia="ru-RU"/>
        </w:rPr>
        <w:t>а также соблюдения региональных нормативных правовых актов и актов муниципальных образований, Минпросвещения России направило в субъекты Российской Федерации письмо от 1 июля 2021 г. № 03-1131.</w:t>
      </w:r>
    </w:p>
    <w:p w14:paraId="1AB377C7" w14:textId="77777777" w:rsidR="008F1272" w:rsidRPr="009461B6" w:rsidRDefault="008F1272" w:rsidP="00381797">
      <w:pPr>
        <w:spacing w:after="0" w:line="312" w:lineRule="auto"/>
        <w:ind w:firstLine="709"/>
        <w:jc w:val="both"/>
        <w:rPr>
          <w:rFonts w:ascii="Times New Roman" w:eastAsia="Times New Roman" w:hAnsi="Times New Roman" w:cs="Times New Roman"/>
          <w:sz w:val="28"/>
          <w:szCs w:val="28"/>
          <w:lang w:eastAsia="ru-RU"/>
        </w:rPr>
      </w:pPr>
      <w:r w:rsidRPr="009461B6">
        <w:rPr>
          <w:rFonts w:ascii="Times New Roman" w:eastAsia="Times New Roman" w:hAnsi="Times New Roman" w:cs="Times New Roman"/>
          <w:sz w:val="28"/>
          <w:szCs w:val="28"/>
          <w:lang w:eastAsia="ru-RU"/>
        </w:rPr>
        <w:t>Для решения задачи по обн</w:t>
      </w:r>
      <w:r w:rsidR="001539A8" w:rsidRPr="009461B6">
        <w:rPr>
          <w:rFonts w:ascii="Times New Roman" w:eastAsia="Times New Roman" w:hAnsi="Times New Roman" w:cs="Times New Roman"/>
          <w:sz w:val="28"/>
          <w:szCs w:val="28"/>
          <w:lang w:eastAsia="ru-RU"/>
        </w:rPr>
        <w:t xml:space="preserve">овлению содержания образования </w:t>
      </w:r>
      <w:r w:rsidRPr="009461B6">
        <w:rPr>
          <w:rFonts w:ascii="Times New Roman" w:eastAsia="Times New Roman" w:hAnsi="Times New Roman" w:cs="Times New Roman"/>
          <w:sz w:val="28"/>
          <w:szCs w:val="28"/>
          <w:lang w:eastAsia="ru-RU"/>
        </w:rPr>
        <w:t>с октября 2021 г</w:t>
      </w:r>
      <w:r w:rsidR="0069006E" w:rsidRPr="009461B6">
        <w:rPr>
          <w:rFonts w:ascii="Times New Roman" w:eastAsia="Times New Roman" w:hAnsi="Times New Roman" w:cs="Times New Roman"/>
          <w:sz w:val="28"/>
          <w:szCs w:val="28"/>
          <w:lang w:eastAsia="ru-RU"/>
        </w:rPr>
        <w:t>.</w:t>
      </w:r>
      <w:r w:rsidRPr="009461B6">
        <w:rPr>
          <w:rFonts w:ascii="Times New Roman" w:eastAsia="Times New Roman" w:hAnsi="Times New Roman" w:cs="Times New Roman"/>
          <w:sz w:val="28"/>
          <w:szCs w:val="28"/>
          <w:lang w:eastAsia="ru-RU"/>
        </w:rPr>
        <w:t xml:space="preserve"> начала работу Лабор</w:t>
      </w:r>
      <w:r w:rsidR="001539A8" w:rsidRPr="009461B6">
        <w:rPr>
          <w:rFonts w:ascii="Times New Roman" w:eastAsia="Times New Roman" w:hAnsi="Times New Roman" w:cs="Times New Roman"/>
          <w:sz w:val="28"/>
          <w:szCs w:val="28"/>
          <w:lang w:eastAsia="ru-RU"/>
        </w:rPr>
        <w:t>атория дошкольного образования</w:t>
      </w:r>
      <w:r w:rsidR="0069006E" w:rsidRPr="009461B6">
        <w:rPr>
          <w:rFonts w:ascii="Times New Roman" w:eastAsia="Times New Roman" w:hAnsi="Times New Roman" w:cs="Times New Roman"/>
          <w:sz w:val="28"/>
          <w:szCs w:val="28"/>
          <w:lang w:eastAsia="ru-RU"/>
        </w:rPr>
        <w:t>,</w:t>
      </w:r>
      <w:r w:rsidR="001539A8" w:rsidRPr="009461B6">
        <w:rPr>
          <w:rFonts w:ascii="Times New Roman" w:eastAsia="Times New Roman" w:hAnsi="Times New Roman" w:cs="Times New Roman"/>
          <w:sz w:val="28"/>
          <w:szCs w:val="28"/>
          <w:lang w:eastAsia="ru-RU"/>
        </w:rPr>
        <w:t xml:space="preserve"> </w:t>
      </w:r>
      <w:r w:rsidRPr="009461B6">
        <w:rPr>
          <w:rFonts w:ascii="Times New Roman" w:eastAsia="Times New Roman" w:hAnsi="Times New Roman" w:cs="Times New Roman"/>
          <w:sz w:val="28"/>
          <w:szCs w:val="28"/>
          <w:lang w:eastAsia="ru-RU"/>
        </w:rPr>
        <w:t>как структурное подразделение федерального государственного бюджетного научного учреждения «Институт во</w:t>
      </w:r>
      <w:r w:rsidR="001539A8" w:rsidRPr="009461B6">
        <w:rPr>
          <w:rFonts w:ascii="Times New Roman" w:eastAsia="Times New Roman" w:hAnsi="Times New Roman" w:cs="Times New Roman"/>
          <w:sz w:val="28"/>
          <w:szCs w:val="28"/>
          <w:lang w:eastAsia="ru-RU"/>
        </w:rPr>
        <w:t xml:space="preserve">зрастной физиологии Российской </w:t>
      </w:r>
      <w:r w:rsidRPr="009461B6">
        <w:rPr>
          <w:rFonts w:ascii="Times New Roman" w:eastAsia="Times New Roman" w:hAnsi="Times New Roman" w:cs="Times New Roman"/>
          <w:sz w:val="28"/>
          <w:szCs w:val="28"/>
          <w:lang w:eastAsia="ru-RU"/>
        </w:rPr>
        <w:t>академии образования», которая осуществляет научно-исследовательскую, экспертно-аналитическую, консультационно-методическую и организационно-информационную деятельность в сфере дошкольного образования с учетом современных тенденций развития системы непрерывного образования в России.</w:t>
      </w:r>
    </w:p>
    <w:p w14:paraId="7206DF90" w14:textId="77777777" w:rsidR="008F1272" w:rsidRPr="009461B6" w:rsidRDefault="008F1272" w:rsidP="00381797">
      <w:pPr>
        <w:spacing w:after="0" w:line="312" w:lineRule="auto"/>
        <w:ind w:firstLine="709"/>
        <w:jc w:val="both"/>
        <w:rPr>
          <w:rFonts w:ascii="Times New Roman" w:eastAsia="Times New Roman" w:hAnsi="Times New Roman" w:cs="Times New Roman"/>
          <w:sz w:val="28"/>
          <w:szCs w:val="28"/>
          <w:lang w:eastAsia="ru-RU"/>
        </w:rPr>
      </w:pPr>
      <w:r w:rsidRPr="009461B6">
        <w:rPr>
          <w:rFonts w:ascii="Times New Roman" w:eastAsia="Times New Roman" w:hAnsi="Times New Roman" w:cs="Times New Roman"/>
          <w:sz w:val="28"/>
          <w:szCs w:val="28"/>
          <w:lang w:eastAsia="ru-RU"/>
        </w:rPr>
        <w:t>В декабре 2021 г</w:t>
      </w:r>
      <w:r w:rsidR="0069006E" w:rsidRPr="009461B6">
        <w:rPr>
          <w:rFonts w:ascii="Times New Roman" w:eastAsia="Times New Roman" w:hAnsi="Times New Roman" w:cs="Times New Roman"/>
          <w:sz w:val="28"/>
          <w:szCs w:val="28"/>
          <w:lang w:eastAsia="ru-RU"/>
        </w:rPr>
        <w:t>.</w:t>
      </w:r>
      <w:r w:rsidRPr="009461B6">
        <w:rPr>
          <w:rFonts w:ascii="Times New Roman" w:eastAsia="Times New Roman" w:hAnsi="Times New Roman" w:cs="Times New Roman"/>
          <w:sz w:val="28"/>
          <w:szCs w:val="28"/>
          <w:lang w:eastAsia="ru-RU"/>
        </w:rPr>
        <w:t xml:space="preserve"> состоялась стр</w:t>
      </w:r>
      <w:r w:rsidR="001539A8" w:rsidRPr="009461B6">
        <w:rPr>
          <w:rFonts w:ascii="Times New Roman" w:eastAsia="Times New Roman" w:hAnsi="Times New Roman" w:cs="Times New Roman"/>
          <w:sz w:val="28"/>
          <w:szCs w:val="28"/>
          <w:lang w:eastAsia="ru-RU"/>
        </w:rPr>
        <w:t xml:space="preserve">атегическая сессия по вопросам </w:t>
      </w:r>
      <w:r w:rsidRPr="009461B6">
        <w:rPr>
          <w:rFonts w:ascii="Times New Roman" w:eastAsia="Times New Roman" w:hAnsi="Times New Roman" w:cs="Times New Roman"/>
          <w:sz w:val="28"/>
          <w:szCs w:val="28"/>
          <w:lang w:eastAsia="ru-RU"/>
        </w:rPr>
        <w:t xml:space="preserve">развития дошкольного образования на </w:t>
      </w:r>
      <w:r w:rsidR="00C40F63" w:rsidRPr="009461B6">
        <w:rPr>
          <w:rFonts w:ascii="Times New Roman" w:eastAsia="Times New Roman" w:hAnsi="Times New Roman" w:cs="Times New Roman"/>
          <w:sz w:val="28"/>
          <w:szCs w:val="28"/>
          <w:lang w:eastAsia="ru-RU"/>
        </w:rPr>
        <w:t>2022-2024 гг.</w:t>
      </w:r>
      <w:r w:rsidR="001539A8" w:rsidRPr="009461B6">
        <w:rPr>
          <w:rFonts w:ascii="Times New Roman" w:eastAsia="Times New Roman" w:hAnsi="Times New Roman" w:cs="Times New Roman"/>
          <w:sz w:val="28"/>
          <w:szCs w:val="28"/>
          <w:lang w:eastAsia="ru-RU"/>
        </w:rPr>
        <w:t xml:space="preserve">, а также на период </w:t>
      </w:r>
      <w:r w:rsidR="00C40F63" w:rsidRPr="009461B6">
        <w:rPr>
          <w:rFonts w:ascii="Times New Roman" w:eastAsia="Times New Roman" w:hAnsi="Times New Roman" w:cs="Times New Roman"/>
          <w:sz w:val="28"/>
          <w:szCs w:val="28"/>
          <w:lang w:eastAsia="ru-RU"/>
        </w:rPr>
        <w:t>2025-2030 гг.</w:t>
      </w:r>
      <w:r w:rsidRPr="009461B6">
        <w:rPr>
          <w:rFonts w:ascii="Times New Roman" w:eastAsia="Times New Roman" w:hAnsi="Times New Roman" w:cs="Times New Roman"/>
          <w:sz w:val="28"/>
          <w:szCs w:val="28"/>
          <w:lang w:eastAsia="ru-RU"/>
        </w:rPr>
        <w:t>, по результатам которой в течение 2022 г</w:t>
      </w:r>
      <w:r w:rsidR="00C40F63" w:rsidRPr="009461B6">
        <w:rPr>
          <w:rFonts w:ascii="Times New Roman" w:eastAsia="Times New Roman" w:hAnsi="Times New Roman" w:cs="Times New Roman"/>
          <w:sz w:val="28"/>
          <w:szCs w:val="28"/>
          <w:lang w:eastAsia="ru-RU"/>
        </w:rPr>
        <w:t>.</w:t>
      </w:r>
      <w:r w:rsidRPr="009461B6">
        <w:rPr>
          <w:rFonts w:ascii="Times New Roman" w:eastAsia="Times New Roman" w:hAnsi="Times New Roman" w:cs="Times New Roman"/>
          <w:sz w:val="28"/>
          <w:szCs w:val="28"/>
          <w:lang w:eastAsia="ru-RU"/>
        </w:rPr>
        <w:t xml:space="preserve"> будет разработан проект Концепции развития дошкольного образования в Российской Федерации.</w:t>
      </w:r>
    </w:p>
    <w:p w14:paraId="0CBB8217" w14:textId="77777777" w:rsidR="008F1272" w:rsidRPr="009461B6" w:rsidRDefault="008F1272" w:rsidP="00381797">
      <w:pPr>
        <w:spacing w:after="0" w:line="312" w:lineRule="auto"/>
        <w:ind w:firstLine="709"/>
        <w:jc w:val="both"/>
        <w:rPr>
          <w:rFonts w:ascii="Times New Roman" w:eastAsia="Times New Roman" w:hAnsi="Times New Roman" w:cs="Times New Roman"/>
          <w:sz w:val="28"/>
          <w:szCs w:val="28"/>
          <w:lang w:eastAsia="ru-RU"/>
        </w:rPr>
      </w:pPr>
      <w:r w:rsidRPr="009461B6">
        <w:rPr>
          <w:rFonts w:ascii="Times New Roman" w:eastAsia="Times New Roman" w:hAnsi="Times New Roman" w:cs="Times New Roman"/>
          <w:sz w:val="28"/>
          <w:szCs w:val="28"/>
          <w:lang w:eastAsia="ru-RU"/>
        </w:rPr>
        <w:t>За последние годы в педагогическом сообществе работников дошкольного образования получили развитие новые форматы управления качеством дошкольного образования, основанные на научно-методических подходах.</w:t>
      </w:r>
    </w:p>
    <w:p w14:paraId="107A59B1" w14:textId="77777777" w:rsidR="00401F00" w:rsidRPr="009461B6" w:rsidRDefault="008F1272" w:rsidP="00381797">
      <w:pPr>
        <w:spacing w:after="0" w:line="312" w:lineRule="auto"/>
        <w:ind w:firstLine="709"/>
        <w:jc w:val="both"/>
        <w:rPr>
          <w:rFonts w:ascii="Times New Roman" w:eastAsia="Times New Roman" w:hAnsi="Times New Roman" w:cs="Times New Roman"/>
          <w:sz w:val="28"/>
          <w:szCs w:val="28"/>
          <w:lang w:eastAsia="ru-RU"/>
        </w:rPr>
      </w:pPr>
      <w:r w:rsidRPr="009461B6">
        <w:rPr>
          <w:rFonts w:ascii="Times New Roman" w:eastAsia="Times New Roman" w:hAnsi="Times New Roman" w:cs="Times New Roman"/>
          <w:sz w:val="28"/>
          <w:szCs w:val="28"/>
          <w:lang w:eastAsia="ru-RU"/>
        </w:rPr>
        <w:t xml:space="preserve">Созданная в соответствии с приказом Минпросвещения России от 14 декабря 2018 г. № 312 «Об утверждении Положения о Координационной группе по вопросам дошкольного образования и состава Координационной группы по вопросам дошкольного образования» Координационная группа по вопросам дошкольного образования рассмотрела в 2021 </w:t>
      </w:r>
      <w:r w:rsidR="001539A8" w:rsidRPr="009461B6">
        <w:rPr>
          <w:rFonts w:ascii="Times New Roman" w:eastAsia="Times New Roman" w:hAnsi="Times New Roman" w:cs="Times New Roman"/>
          <w:sz w:val="28"/>
          <w:szCs w:val="28"/>
          <w:lang w:eastAsia="ru-RU"/>
        </w:rPr>
        <w:t>г</w:t>
      </w:r>
      <w:r w:rsidR="00C40F63" w:rsidRPr="009461B6">
        <w:rPr>
          <w:rFonts w:ascii="Times New Roman" w:eastAsia="Times New Roman" w:hAnsi="Times New Roman" w:cs="Times New Roman"/>
          <w:sz w:val="28"/>
          <w:szCs w:val="28"/>
          <w:lang w:eastAsia="ru-RU"/>
        </w:rPr>
        <w:t>.</w:t>
      </w:r>
      <w:r w:rsidR="001539A8" w:rsidRPr="009461B6">
        <w:rPr>
          <w:rFonts w:ascii="Times New Roman" w:eastAsia="Times New Roman" w:hAnsi="Times New Roman" w:cs="Times New Roman"/>
          <w:sz w:val="28"/>
          <w:szCs w:val="28"/>
          <w:lang w:eastAsia="ru-RU"/>
        </w:rPr>
        <w:t xml:space="preserve"> на заседаниях, проводимых </w:t>
      </w:r>
      <w:r w:rsidRPr="009461B6">
        <w:rPr>
          <w:rFonts w:ascii="Times New Roman" w:eastAsia="Times New Roman" w:hAnsi="Times New Roman" w:cs="Times New Roman"/>
          <w:sz w:val="28"/>
          <w:szCs w:val="28"/>
          <w:lang w:eastAsia="ru-RU"/>
        </w:rPr>
        <w:t xml:space="preserve">в гибридном формате, актуальные вопросы системы дошкольного образования: создание инфраструктуры центров (служб) помощи родителям с детьми дошкольного возраста, реализующих программы психолого-педагогической, диагностической, консультационной помощи родителям с детьми дошкольного возраста, в том числе от 0 до 3 лет; результаты научных исследований по вопросам воспитания и развития детей раннего возраста, проводимых по заказу Минпросвещения России; риски и преимущества информационного пространства дошкольного детства в эпоху </w:t>
      </w:r>
      <w:proofErr w:type="spellStart"/>
      <w:r w:rsidRPr="009461B6">
        <w:rPr>
          <w:rFonts w:ascii="Times New Roman" w:eastAsia="Times New Roman" w:hAnsi="Times New Roman" w:cs="Times New Roman"/>
          <w:sz w:val="28"/>
          <w:szCs w:val="28"/>
          <w:lang w:eastAsia="ru-RU"/>
        </w:rPr>
        <w:t>цифровизации</w:t>
      </w:r>
      <w:proofErr w:type="spellEnd"/>
      <w:r w:rsidRPr="009461B6">
        <w:rPr>
          <w:rFonts w:ascii="Times New Roman" w:eastAsia="Times New Roman" w:hAnsi="Times New Roman" w:cs="Times New Roman"/>
          <w:sz w:val="28"/>
          <w:szCs w:val="28"/>
          <w:lang w:eastAsia="ru-RU"/>
        </w:rPr>
        <w:t>.</w:t>
      </w:r>
    </w:p>
    <w:p w14:paraId="40CF8AA8" w14:textId="77777777" w:rsidR="001539A8" w:rsidRPr="009461B6" w:rsidRDefault="001539A8" w:rsidP="00381797">
      <w:pPr>
        <w:spacing w:after="0" w:line="312" w:lineRule="auto"/>
        <w:ind w:firstLine="709"/>
        <w:jc w:val="both"/>
        <w:rPr>
          <w:rFonts w:ascii="Times New Roman" w:eastAsia="Times New Roman" w:hAnsi="Times New Roman" w:cs="Times New Roman"/>
          <w:sz w:val="28"/>
          <w:szCs w:val="28"/>
          <w:lang w:eastAsia="ru-RU"/>
        </w:rPr>
      </w:pPr>
      <w:r w:rsidRPr="009461B6">
        <w:rPr>
          <w:rFonts w:ascii="Times New Roman" w:eastAsia="Times New Roman" w:hAnsi="Times New Roman" w:cs="Times New Roman"/>
          <w:sz w:val="28"/>
          <w:szCs w:val="28"/>
          <w:lang w:eastAsia="ru-RU"/>
        </w:rPr>
        <w:t>В целях создания условий для развития кадрового потенциала дошкольных образовательных организаций проводятся мероприятия, направленные на профессиональное и личностное развитие работников дошкольного образования, в том числе Всероссийский профессиональный конкурс «Воспитатель года России». Финал конкурса состоялся в октябре 2021 г. в г. Сочи (Краснодарский край) и включал проведение научно-практической конференции «Развитие кадрового потенциала дошкольного Российской Федерации».</w:t>
      </w:r>
    </w:p>
    <w:p w14:paraId="75072113" w14:textId="77777777" w:rsid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Общее образование</w:t>
      </w:r>
    </w:p>
    <w:p w14:paraId="2D8CD223" w14:textId="77777777" w:rsidR="003544DE" w:rsidRDefault="003544DE" w:rsidP="000C161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начало 2021/22 учебного года в Российской Федерации функционируют 39 908 самостоятельных общеобразовательных организаций, из них </w:t>
      </w:r>
      <w:r w:rsidR="009461B6">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39 037 государственных и 871 частная.</w:t>
      </w:r>
    </w:p>
    <w:p w14:paraId="0E66427D" w14:textId="77777777" w:rsidR="003544DE" w:rsidRDefault="003544DE" w:rsidP="000C161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Общий контингент обучающихся по программам общего образования составляет 17 314 160 человек, педагогических работников – 66 339.</w:t>
      </w:r>
    </w:p>
    <w:p w14:paraId="04116A9D" w14:textId="77777777" w:rsidR="000C161A" w:rsidRPr="000C161A" w:rsidRDefault="000C161A" w:rsidP="000C161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0C161A">
        <w:rPr>
          <w:rFonts w:ascii="Times New Roman" w:eastAsia="Times New Roman" w:hAnsi="Times New Roman" w:cs="Times New Roman"/>
          <w:sz w:val="28"/>
          <w:szCs w:val="28"/>
          <w:lang w:eastAsia="ru-RU"/>
        </w:rPr>
        <w:t>В целях обеспечения повышения доступности и качества общего образования в Российской Федерации федеральным проектом «Современная школа» национального проекта «Образование» предусм</w:t>
      </w:r>
      <w:r>
        <w:rPr>
          <w:rFonts w:ascii="Times New Roman" w:eastAsia="Times New Roman" w:hAnsi="Times New Roman" w:cs="Times New Roman"/>
          <w:sz w:val="28"/>
          <w:szCs w:val="28"/>
          <w:lang w:eastAsia="ru-RU"/>
        </w:rPr>
        <w:t xml:space="preserve">отрено предоставление субсидий </w:t>
      </w:r>
      <w:r w:rsidRPr="000C161A">
        <w:rPr>
          <w:rFonts w:ascii="Times New Roman" w:eastAsia="Times New Roman" w:hAnsi="Times New Roman" w:cs="Times New Roman"/>
          <w:sz w:val="28"/>
          <w:szCs w:val="28"/>
          <w:lang w:eastAsia="ru-RU"/>
        </w:rPr>
        <w:t xml:space="preserve">из федерального бюджета бюджетам </w:t>
      </w:r>
      <w:r>
        <w:rPr>
          <w:rFonts w:ascii="Times New Roman" w:eastAsia="Times New Roman" w:hAnsi="Times New Roman" w:cs="Times New Roman"/>
          <w:sz w:val="28"/>
          <w:szCs w:val="28"/>
          <w:lang w:eastAsia="ru-RU"/>
        </w:rPr>
        <w:t xml:space="preserve">субъектов Российской Федерации </w:t>
      </w:r>
      <w:r w:rsidRPr="000C161A">
        <w:rPr>
          <w:rFonts w:ascii="Times New Roman" w:eastAsia="Times New Roman" w:hAnsi="Times New Roman" w:cs="Times New Roman"/>
          <w:sz w:val="28"/>
          <w:szCs w:val="28"/>
          <w:lang w:eastAsia="ru-RU"/>
        </w:rPr>
        <w:t>на реализацию мероприятий:</w:t>
      </w:r>
    </w:p>
    <w:p w14:paraId="2B33BB2A" w14:textId="77777777" w:rsidR="000C161A" w:rsidRPr="000C161A" w:rsidRDefault="000C161A" w:rsidP="000C161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0C161A">
        <w:rPr>
          <w:rFonts w:ascii="Times New Roman" w:eastAsia="Times New Roman" w:hAnsi="Times New Roman" w:cs="Times New Roman"/>
          <w:sz w:val="28"/>
          <w:szCs w:val="28"/>
          <w:lang w:eastAsia="ru-RU"/>
        </w:rPr>
        <w:t>по содействию созданию в субъектах Российской Федерации (исходя из прогнозируемой потребности) новых мест в общеобразовательных организациях;</w:t>
      </w:r>
    </w:p>
    <w:p w14:paraId="7AA00196" w14:textId="77777777" w:rsidR="000C161A" w:rsidRPr="000C161A" w:rsidRDefault="000C161A" w:rsidP="000C161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0C161A">
        <w:rPr>
          <w:rFonts w:ascii="Times New Roman" w:eastAsia="Times New Roman" w:hAnsi="Times New Roman" w:cs="Times New Roman"/>
          <w:sz w:val="28"/>
          <w:szCs w:val="28"/>
          <w:lang w:eastAsia="ru-RU"/>
        </w:rPr>
        <w:t>по содействию созданию в субъектах Российской Федерац</w:t>
      </w:r>
      <w:r>
        <w:rPr>
          <w:rFonts w:ascii="Times New Roman" w:eastAsia="Times New Roman" w:hAnsi="Times New Roman" w:cs="Times New Roman"/>
          <w:sz w:val="28"/>
          <w:szCs w:val="28"/>
          <w:lang w:eastAsia="ru-RU"/>
        </w:rPr>
        <w:t xml:space="preserve">ии (исходя </w:t>
      </w:r>
      <w:r w:rsidRPr="000C161A">
        <w:rPr>
          <w:rFonts w:ascii="Times New Roman" w:eastAsia="Times New Roman" w:hAnsi="Times New Roman" w:cs="Times New Roman"/>
          <w:sz w:val="28"/>
          <w:szCs w:val="28"/>
          <w:lang w:eastAsia="ru-RU"/>
        </w:rPr>
        <w:t>из прогнозируемой потребности) новых мест в общеобразовательных организациях, расположенных в сельской местности и поселках городского типа;</w:t>
      </w:r>
    </w:p>
    <w:p w14:paraId="6769D4B2" w14:textId="77777777" w:rsidR="000C161A" w:rsidRPr="000C161A" w:rsidRDefault="000C161A" w:rsidP="000C161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0C161A">
        <w:rPr>
          <w:rFonts w:ascii="Times New Roman" w:eastAsia="Times New Roman" w:hAnsi="Times New Roman" w:cs="Times New Roman"/>
          <w:sz w:val="28"/>
          <w:szCs w:val="28"/>
          <w:lang w:eastAsia="ru-RU"/>
        </w:rPr>
        <w:t>по модернизации инфраструктуры общего образования в отдельных субъектах Российской Федерации;</w:t>
      </w:r>
    </w:p>
    <w:p w14:paraId="62119E95" w14:textId="77777777" w:rsidR="000C161A" w:rsidRPr="000C161A" w:rsidRDefault="000C161A" w:rsidP="000C161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0C161A">
        <w:rPr>
          <w:rFonts w:ascii="Times New Roman" w:eastAsia="Times New Roman" w:hAnsi="Times New Roman" w:cs="Times New Roman"/>
          <w:sz w:val="28"/>
          <w:szCs w:val="28"/>
          <w:lang w:eastAsia="ru-RU"/>
        </w:rPr>
        <w:t>по созданию новых мест в общеобразовательных организациях в целях ликвидации третьей смены обучения и формирования условий для получения качественного общего образования в республиках Бурятия, Дагестан, Ингушетия, Тыва и Чеченской Республике;</w:t>
      </w:r>
    </w:p>
    <w:p w14:paraId="58FDA5E0" w14:textId="77777777" w:rsidR="000C161A" w:rsidRDefault="000C161A" w:rsidP="000C161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0C161A">
        <w:rPr>
          <w:rFonts w:ascii="Times New Roman" w:eastAsia="Times New Roman" w:hAnsi="Times New Roman" w:cs="Times New Roman"/>
          <w:sz w:val="28"/>
          <w:szCs w:val="28"/>
          <w:lang w:eastAsia="ru-RU"/>
        </w:rPr>
        <w:t>по созданию дополнительных мест в общеобразовательны</w:t>
      </w:r>
      <w:r>
        <w:rPr>
          <w:rFonts w:ascii="Times New Roman" w:eastAsia="Times New Roman" w:hAnsi="Times New Roman" w:cs="Times New Roman"/>
          <w:sz w:val="28"/>
          <w:szCs w:val="28"/>
          <w:lang w:eastAsia="ru-RU"/>
        </w:rPr>
        <w:t xml:space="preserve">х организациях </w:t>
      </w:r>
      <w:r w:rsidRPr="000C161A">
        <w:rPr>
          <w:rFonts w:ascii="Times New Roman" w:eastAsia="Times New Roman" w:hAnsi="Times New Roman" w:cs="Times New Roman"/>
          <w:sz w:val="28"/>
          <w:szCs w:val="28"/>
          <w:lang w:eastAsia="ru-RU"/>
        </w:rPr>
        <w:t>в связи с ростом числа обучающихся, выз</w:t>
      </w:r>
      <w:r w:rsidR="003544DE">
        <w:rPr>
          <w:rFonts w:ascii="Times New Roman" w:eastAsia="Times New Roman" w:hAnsi="Times New Roman" w:cs="Times New Roman"/>
          <w:sz w:val="28"/>
          <w:szCs w:val="28"/>
          <w:lang w:eastAsia="ru-RU"/>
        </w:rPr>
        <w:t>ванным демографическим фактором;</w:t>
      </w:r>
    </w:p>
    <w:p w14:paraId="15D163DC" w14:textId="77777777" w:rsidR="003544DE" w:rsidRDefault="003544DE" w:rsidP="000C161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созданию новых мест в общеобразовательных организациях субъектов Российской Федерации, возникающих при осуществлении капитальных вложений в объекты капитального строительства;</w:t>
      </w:r>
    </w:p>
    <w:p w14:paraId="1CF0AE77" w14:textId="77777777" w:rsidR="003544DE" w:rsidRDefault="003544DE" w:rsidP="000C161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созданию (восстановлению) зданий в общеобразовательных организациях, поврежденных или утраченных в результате наводнения на территории Иркутской области;</w:t>
      </w:r>
    </w:p>
    <w:p w14:paraId="5861BFE7" w14:textId="77777777" w:rsidR="003544DE" w:rsidRPr="000C161A" w:rsidRDefault="003544DE" w:rsidP="000C161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созданию новых мест за счет средств субъектов Российской Федерации и внебюджетных источников.</w:t>
      </w:r>
    </w:p>
    <w:p w14:paraId="390BF55B" w14:textId="77777777" w:rsidR="000C161A" w:rsidRPr="000C161A" w:rsidRDefault="000C161A" w:rsidP="000C161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0C161A">
        <w:rPr>
          <w:rFonts w:ascii="Times New Roman" w:eastAsia="Times New Roman" w:hAnsi="Times New Roman" w:cs="Times New Roman"/>
          <w:sz w:val="28"/>
          <w:szCs w:val="28"/>
          <w:lang w:eastAsia="ru-RU"/>
        </w:rPr>
        <w:t>Всего с начала реализации указанных мероприятий в 2021 г</w:t>
      </w:r>
      <w:r w:rsidR="00C40F63">
        <w:rPr>
          <w:rFonts w:ascii="Times New Roman" w:eastAsia="Times New Roman" w:hAnsi="Times New Roman" w:cs="Times New Roman"/>
          <w:sz w:val="28"/>
          <w:szCs w:val="28"/>
          <w:lang w:eastAsia="ru-RU"/>
        </w:rPr>
        <w:t>.</w:t>
      </w:r>
      <w:r w:rsidRPr="000C161A">
        <w:rPr>
          <w:rFonts w:ascii="Times New Roman" w:eastAsia="Times New Roman" w:hAnsi="Times New Roman" w:cs="Times New Roman"/>
          <w:sz w:val="28"/>
          <w:szCs w:val="28"/>
          <w:lang w:eastAsia="ru-RU"/>
        </w:rPr>
        <w:t xml:space="preserve"> нарастающим итогом создано </w:t>
      </w:r>
      <w:r w:rsidR="003544DE">
        <w:rPr>
          <w:rFonts w:ascii="Times New Roman" w:eastAsia="Times New Roman" w:hAnsi="Times New Roman" w:cs="Times New Roman"/>
          <w:sz w:val="28"/>
          <w:szCs w:val="28"/>
          <w:lang w:eastAsia="ru-RU"/>
        </w:rPr>
        <w:t>334 792</w:t>
      </w:r>
      <w:r w:rsidRPr="000C161A">
        <w:rPr>
          <w:rFonts w:ascii="Times New Roman" w:eastAsia="Times New Roman" w:hAnsi="Times New Roman" w:cs="Times New Roman"/>
          <w:sz w:val="28"/>
          <w:szCs w:val="28"/>
          <w:lang w:eastAsia="ru-RU"/>
        </w:rPr>
        <w:t xml:space="preserve"> мест</w:t>
      </w:r>
      <w:r w:rsidR="003544DE">
        <w:rPr>
          <w:rFonts w:ascii="Times New Roman" w:eastAsia="Times New Roman" w:hAnsi="Times New Roman" w:cs="Times New Roman"/>
          <w:sz w:val="28"/>
          <w:szCs w:val="28"/>
          <w:lang w:eastAsia="ru-RU"/>
        </w:rPr>
        <w:t>а</w:t>
      </w:r>
      <w:r w:rsidRPr="000C161A">
        <w:rPr>
          <w:rFonts w:ascii="Times New Roman" w:eastAsia="Times New Roman" w:hAnsi="Times New Roman" w:cs="Times New Roman"/>
          <w:sz w:val="28"/>
          <w:szCs w:val="28"/>
          <w:lang w:eastAsia="ru-RU"/>
        </w:rPr>
        <w:t xml:space="preserve"> (2020 г</w:t>
      </w:r>
      <w:r>
        <w:rPr>
          <w:rFonts w:ascii="Times New Roman" w:eastAsia="Times New Roman" w:hAnsi="Times New Roman" w:cs="Times New Roman"/>
          <w:sz w:val="28"/>
          <w:szCs w:val="28"/>
          <w:lang w:eastAsia="ru-RU"/>
        </w:rPr>
        <w:t>.</w:t>
      </w:r>
      <w:r w:rsidR="00CF4730" w:rsidRPr="000C161A">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w:t>
      </w:r>
      <w:r w:rsidRPr="000C161A">
        <w:rPr>
          <w:rFonts w:ascii="Times New Roman" w:eastAsia="Times New Roman" w:hAnsi="Times New Roman" w:cs="Times New Roman"/>
          <w:sz w:val="28"/>
          <w:szCs w:val="28"/>
          <w:lang w:eastAsia="ru-RU"/>
        </w:rPr>
        <w:t>нарастающим итогом</w:t>
      </w:r>
      <w:r>
        <w:rPr>
          <w:rFonts w:ascii="Times New Roman" w:eastAsia="Times New Roman" w:hAnsi="Times New Roman" w:cs="Times New Roman"/>
          <w:sz w:val="28"/>
          <w:szCs w:val="28"/>
          <w:lang w:eastAsia="ru-RU"/>
        </w:rPr>
        <w:t>)</w:t>
      </w:r>
      <w:r w:rsidRPr="000C161A">
        <w:rPr>
          <w:rFonts w:ascii="Times New Roman" w:eastAsia="Times New Roman" w:hAnsi="Times New Roman" w:cs="Times New Roman"/>
          <w:sz w:val="28"/>
          <w:szCs w:val="28"/>
          <w:lang w:eastAsia="ru-RU"/>
        </w:rPr>
        <w:t xml:space="preserve"> – </w:t>
      </w:r>
      <w:r w:rsidR="003544DE">
        <w:rPr>
          <w:rFonts w:ascii="Times New Roman" w:eastAsia="Times New Roman" w:hAnsi="Times New Roman" w:cs="Times New Roman"/>
          <w:sz w:val="28"/>
          <w:szCs w:val="28"/>
          <w:lang w:eastAsia="ru-RU"/>
        </w:rPr>
        <w:t>225 388</w:t>
      </w:r>
      <w:r w:rsidRPr="000C161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мест; </w:t>
      </w:r>
      <w:r w:rsidR="008A263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2019 г.</w:t>
      </w:r>
      <w:r w:rsidRPr="000C161A">
        <w:rPr>
          <w:rFonts w:ascii="Times New Roman" w:eastAsia="Times New Roman" w:hAnsi="Times New Roman" w:cs="Times New Roman"/>
          <w:sz w:val="28"/>
          <w:szCs w:val="28"/>
          <w:lang w:eastAsia="ru-RU"/>
        </w:rPr>
        <w:t xml:space="preserve"> – </w:t>
      </w:r>
      <w:r w:rsidR="003544DE">
        <w:rPr>
          <w:rFonts w:ascii="Times New Roman" w:eastAsia="Times New Roman" w:hAnsi="Times New Roman" w:cs="Times New Roman"/>
          <w:sz w:val="28"/>
          <w:szCs w:val="28"/>
          <w:lang w:eastAsia="ru-RU"/>
        </w:rPr>
        <w:t>120 367</w:t>
      </w:r>
      <w:r w:rsidRPr="000C161A">
        <w:rPr>
          <w:rFonts w:ascii="Times New Roman" w:eastAsia="Times New Roman" w:hAnsi="Times New Roman" w:cs="Times New Roman"/>
          <w:sz w:val="28"/>
          <w:szCs w:val="28"/>
          <w:lang w:eastAsia="ru-RU"/>
        </w:rPr>
        <w:t xml:space="preserve"> мест).</w:t>
      </w:r>
    </w:p>
    <w:p w14:paraId="1AD0883E" w14:textId="77777777" w:rsidR="000C161A" w:rsidRPr="008A2637" w:rsidRDefault="000C161A" w:rsidP="000C161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8A2637">
        <w:rPr>
          <w:rFonts w:ascii="Times New Roman" w:eastAsia="Times New Roman" w:hAnsi="Times New Roman" w:cs="Times New Roman"/>
          <w:sz w:val="28"/>
          <w:szCs w:val="28"/>
          <w:lang w:eastAsia="ru-RU"/>
        </w:rPr>
        <w:t>С целью сохранения единого образовательного пространства Российской</w:t>
      </w:r>
      <w:r w:rsidRPr="000C161A">
        <w:rPr>
          <w:rFonts w:ascii="Times New Roman" w:eastAsia="Times New Roman" w:hAnsi="Times New Roman" w:cs="Times New Roman"/>
          <w:sz w:val="28"/>
          <w:szCs w:val="28"/>
          <w:lang w:eastAsia="ru-RU"/>
        </w:rPr>
        <w:t xml:space="preserve"> Федерации и обеспечения научно-технологиче</w:t>
      </w:r>
      <w:r>
        <w:rPr>
          <w:rFonts w:ascii="Times New Roman" w:eastAsia="Times New Roman" w:hAnsi="Times New Roman" w:cs="Times New Roman"/>
          <w:sz w:val="28"/>
          <w:szCs w:val="28"/>
          <w:lang w:eastAsia="ru-RU"/>
        </w:rPr>
        <w:t xml:space="preserve">ского развития страны с опорой </w:t>
      </w:r>
      <w:r w:rsidRPr="000C161A">
        <w:rPr>
          <w:rFonts w:ascii="Times New Roman" w:eastAsia="Times New Roman" w:hAnsi="Times New Roman" w:cs="Times New Roman"/>
          <w:sz w:val="28"/>
          <w:szCs w:val="28"/>
          <w:lang w:eastAsia="ru-RU"/>
        </w:rPr>
        <w:t>на фундаментальное образование, формирования у обучающихся патриотического гражданского сознания и национально-культурной идентичности в рамках исполнения поручений Президента Ро</w:t>
      </w:r>
      <w:r>
        <w:rPr>
          <w:rFonts w:ascii="Times New Roman" w:eastAsia="Times New Roman" w:hAnsi="Times New Roman" w:cs="Times New Roman"/>
          <w:sz w:val="28"/>
          <w:szCs w:val="28"/>
          <w:lang w:eastAsia="ru-RU"/>
        </w:rPr>
        <w:t xml:space="preserve">ссийской Федерации В.В. Путина </w:t>
      </w:r>
      <w:r w:rsidRPr="000C161A">
        <w:rPr>
          <w:rFonts w:ascii="Times New Roman" w:eastAsia="Times New Roman" w:hAnsi="Times New Roman" w:cs="Times New Roman"/>
          <w:sz w:val="28"/>
          <w:szCs w:val="28"/>
          <w:lang w:eastAsia="ru-RU"/>
        </w:rPr>
        <w:t xml:space="preserve">об обновлении </w:t>
      </w:r>
      <w:r w:rsidRPr="008A2637">
        <w:rPr>
          <w:rFonts w:ascii="Times New Roman" w:eastAsia="Times New Roman" w:hAnsi="Times New Roman" w:cs="Times New Roman"/>
          <w:sz w:val="28"/>
          <w:szCs w:val="28"/>
          <w:lang w:eastAsia="ru-RU"/>
        </w:rPr>
        <w:t>федеральных государственных образовательных стандартов</w:t>
      </w:r>
      <w:r w:rsidR="008A2637" w:rsidRPr="008A2637">
        <w:rPr>
          <w:rFonts w:ascii="Times New Roman" w:eastAsia="Times New Roman" w:hAnsi="Times New Roman" w:cs="Times New Roman"/>
          <w:sz w:val="28"/>
          <w:szCs w:val="28"/>
          <w:lang w:eastAsia="ru-RU"/>
        </w:rPr>
        <w:t xml:space="preserve"> </w:t>
      </w:r>
      <w:r w:rsidR="008A2637" w:rsidRPr="008A2637">
        <w:rPr>
          <w:rFonts w:ascii="Times New Roman" w:eastAsia="Times New Roman" w:hAnsi="Times New Roman" w:cs="Times New Roman"/>
          <w:sz w:val="28"/>
          <w:szCs w:val="28"/>
          <w:lang w:eastAsia="ru-RU"/>
        </w:rPr>
        <w:br/>
        <w:t>(далее – ФГОС)</w:t>
      </w:r>
      <w:r w:rsidRPr="008A2637">
        <w:rPr>
          <w:rFonts w:ascii="Times New Roman" w:eastAsia="Times New Roman" w:hAnsi="Times New Roman" w:cs="Times New Roman"/>
          <w:sz w:val="28"/>
          <w:szCs w:val="28"/>
          <w:lang w:eastAsia="ru-RU"/>
        </w:rPr>
        <w:t xml:space="preserve"> общего образования, в том числе с учетом приоритетов научно-технологического развития Российской Федерации, Минпросвещения России проведена работа по актуализации </w:t>
      </w:r>
      <w:r w:rsidR="008A2637" w:rsidRPr="008A2637">
        <w:rPr>
          <w:rFonts w:ascii="Times New Roman" w:eastAsia="Times New Roman" w:hAnsi="Times New Roman" w:cs="Times New Roman"/>
          <w:sz w:val="28"/>
          <w:szCs w:val="28"/>
          <w:lang w:eastAsia="ru-RU"/>
        </w:rPr>
        <w:t>ФГОС</w:t>
      </w:r>
      <w:r w:rsidRPr="008A2637">
        <w:rPr>
          <w:rFonts w:ascii="Times New Roman" w:eastAsia="Times New Roman" w:hAnsi="Times New Roman" w:cs="Times New Roman"/>
          <w:sz w:val="28"/>
          <w:szCs w:val="28"/>
          <w:lang w:eastAsia="ru-RU"/>
        </w:rPr>
        <w:t xml:space="preserve"> начального общего и основного общего образования (приказы Минпросвещения России от 31 мая 2021 г. № 286 и № 287).</w:t>
      </w:r>
    </w:p>
    <w:p w14:paraId="4D076061" w14:textId="2195E3AD" w:rsidR="000C161A" w:rsidRPr="000C161A" w:rsidRDefault="000C161A" w:rsidP="000C161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8A2637">
        <w:rPr>
          <w:rFonts w:ascii="Times New Roman" w:eastAsia="Times New Roman" w:hAnsi="Times New Roman" w:cs="Times New Roman"/>
          <w:sz w:val="28"/>
          <w:szCs w:val="28"/>
          <w:lang w:eastAsia="ru-RU"/>
        </w:rPr>
        <w:t xml:space="preserve">В обновленных </w:t>
      </w:r>
      <w:r w:rsidR="008A2637">
        <w:rPr>
          <w:rFonts w:ascii="Times New Roman" w:eastAsia="Times New Roman" w:hAnsi="Times New Roman" w:cs="Times New Roman"/>
          <w:sz w:val="28"/>
          <w:szCs w:val="28"/>
          <w:lang w:eastAsia="ru-RU"/>
        </w:rPr>
        <w:t>ФГОС</w:t>
      </w:r>
      <w:r w:rsidRPr="000C161A">
        <w:rPr>
          <w:rFonts w:ascii="Times New Roman" w:eastAsia="Times New Roman" w:hAnsi="Times New Roman" w:cs="Times New Roman"/>
          <w:sz w:val="28"/>
          <w:szCs w:val="28"/>
          <w:lang w:eastAsia="ru-RU"/>
        </w:rPr>
        <w:t xml:space="preserve"> обозначен обязательный объем содержания каждого учебного предмета, изучение которого гарантирует государство. Ими обеспечивается вариативность содержания образовательных программ основного общего образования за счет возможност</w:t>
      </w:r>
      <w:r w:rsidR="00FF1188">
        <w:rPr>
          <w:rFonts w:ascii="Times New Roman" w:eastAsia="Times New Roman" w:hAnsi="Times New Roman" w:cs="Times New Roman"/>
          <w:sz w:val="28"/>
          <w:szCs w:val="28"/>
          <w:lang w:eastAsia="ru-RU"/>
        </w:rPr>
        <w:t>и</w:t>
      </w:r>
      <w:r w:rsidRPr="000C161A">
        <w:rPr>
          <w:rFonts w:ascii="Times New Roman" w:eastAsia="Times New Roman" w:hAnsi="Times New Roman" w:cs="Times New Roman"/>
          <w:sz w:val="28"/>
          <w:szCs w:val="28"/>
          <w:lang w:eastAsia="ru-RU"/>
        </w:rPr>
        <w:t xml:space="preserve"> формирования образовательных программ различного уровня сложности и практико-ориентированной направленности в том числе возможности разработки и реализации индивидуальной образовательной программы (индивидуальных образовательных маршрутов).</w:t>
      </w:r>
    </w:p>
    <w:p w14:paraId="2F09495F" w14:textId="77777777" w:rsidR="000C161A" w:rsidRPr="000C161A" w:rsidRDefault="000C161A" w:rsidP="000C161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0C161A">
        <w:rPr>
          <w:rFonts w:ascii="Times New Roman" w:eastAsia="Times New Roman" w:hAnsi="Times New Roman" w:cs="Times New Roman"/>
          <w:sz w:val="28"/>
          <w:szCs w:val="28"/>
          <w:lang w:eastAsia="ru-RU"/>
        </w:rPr>
        <w:t xml:space="preserve">Вместе с тем единые требования обновленных </w:t>
      </w:r>
      <w:r w:rsidR="008A2637">
        <w:rPr>
          <w:rFonts w:ascii="Times New Roman" w:eastAsia="Times New Roman" w:hAnsi="Times New Roman" w:cs="Times New Roman"/>
          <w:sz w:val="28"/>
          <w:szCs w:val="28"/>
          <w:lang w:eastAsia="ru-RU"/>
        </w:rPr>
        <w:t>ФГОС</w:t>
      </w:r>
      <w:r w:rsidRPr="000C161A">
        <w:rPr>
          <w:rFonts w:ascii="Times New Roman" w:eastAsia="Times New Roman" w:hAnsi="Times New Roman" w:cs="Times New Roman"/>
          <w:sz w:val="28"/>
          <w:szCs w:val="28"/>
          <w:lang w:eastAsia="ru-RU"/>
        </w:rPr>
        <w:t xml:space="preserve"> к результатам освоения основных образовательных программ обеспечивают освоение обучающимися знаний, компетенций, необходимых как для жизни в современном обществе, так и для успешного обучения на следующем уровне образования.</w:t>
      </w:r>
    </w:p>
    <w:p w14:paraId="12509D14" w14:textId="77777777" w:rsidR="000C161A" w:rsidRPr="000C161A" w:rsidRDefault="000C161A" w:rsidP="000C161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0C161A">
        <w:rPr>
          <w:rFonts w:ascii="Times New Roman" w:eastAsia="Times New Roman" w:hAnsi="Times New Roman" w:cs="Times New Roman"/>
          <w:sz w:val="28"/>
          <w:szCs w:val="28"/>
          <w:lang w:eastAsia="ru-RU"/>
        </w:rPr>
        <w:t xml:space="preserve">Для реализации обновленных </w:t>
      </w:r>
      <w:r w:rsidR="008A2637">
        <w:rPr>
          <w:rFonts w:ascii="Times New Roman" w:eastAsia="Times New Roman" w:hAnsi="Times New Roman" w:cs="Times New Roman"/>
          <w:sz w:val="28"/>
          <w:szCs w:val="28"/>
          <w:lang w:eastAsia="ru-RU"/>
        </w:rPr>
        <w:t>ФГОС</w:t>
      </w:r>
      <w:r w:rsidRPr="000C161A">
        <w:rPr>
          <w:rFonts w:ascii="Times New Roman" w:eastAsia="Times New Roman" w:hAnsi="Times New Roman" w:cs="Times New Roman"/>
          <w:sz w:val="28"/>
          <w:szCs w:val="28"/>
          <w:lang w:eastAsia="ru-RU"/>
        </w:rPr>
        <w:t xml:space="preserve"> федеральным государственным бюджетным научным учреждением «Институт стратегии развития образования Российской академии образования» разработаны и одобрены на заседаниях федерального учебно-методического объединения по общему образованию (протоколы</w:t>
      </w:r>
      <w:r w:rsidR="008A2637">
        <w:rPr>
          <w:rFonts w:ascii="Times New Roman" w:eastAsia="Times New Roman" w:hAnsi="Times New Roman" w:cs="Times New Roman"/>
          <w:sz w:val="28"/>
          <w:szCs w:val="28"/>
          <w:lang w:eastAsia="ru-RU"/>
        </w:rPr>
        <w:t xml:space="preserve"> от 27 сентября 2021 г. № 3/21 </w:t>
      </w:r>
      <w:r w:rsidRPr="000C161A">
        <w:rPr>
          <w:rFonts w:ascii="Times New Roman" w:eastAsia="Times New Roman" w:hAnsi="Times New Roman" w:cs="Times New Roman"/>
          <w:sz w:val="28"/>
          <w:szCs w:val="28"/>
          <w:lang w:eastAsia="ru-RU"/>
        </w:rPr>
        <w:t>и от 28 сентября 2021 г. № 4/21) примерные рабочие программы по 38 учебным предметам начального общего и основно</w:t>
      </w:r>
      <w:r w:rsidR="007C1BE0">
        <w:rPr>
          <w:rFonts w:ascii="Times New Roman" w:eastAsia="Times New Roman" w:hAnsi="Times New Roman" w:cs="Times New Roman"/>
          <w:sz w:val="28"/>
          <w:szCs w:val="28"/>
          <w:lang w:eastAsia="ru-RU"/>
        </w:rPr>
        <w:t xml:space="preserve">го общего образования (далее </w:t>
      </w:r>
      <w:r w:rsidR="008A2637">
        <w:rPr>
          <w:rFonts w:ascii="Times New Roman" w:eastAsia="Times New Roman" w:hAnsi="Times New Roman" w:cs="Times New Roman"/>
          <w:sz w:val="28"/>
          <w:szCs w:val="28"/>
          <w:lang w:eastAsia="ru-RU"/>
        </w:rPr>
        <w:t xml:space="preserve">по тексту подраздела </w:t>
      </w:r>
      <w:r w:rsidR="007C1BE0">
        <w:rPr>
          <w:rFonts w:ascii="Times New Roman" w:eastAsia="Times New Roman" w:hAnsi="Times New Roman" w:cs="Times New Roman"/>
          <w:sz w:val="28"/>
          <w:szCs w:val="28"/>
          <w:lang w:eastAsia="ru-RU"/>
        </w:rPr>
        <w:t xml:space="preserve">– </w:t>
      </w:r>
      <w:r w:rsidRPr="000C161A">
        <w:rPr>
          <w:rFonts w:ascii="Times New Roman" w:eastAsia="Times New Roman" w:hAnsi="Times New Roman" w:cs="Times New Roman"/>
          <w:sz w:val="28"/>
          <w:szCs w:val="28"/>
          <w:lang w:eastAsia="ru-RU"/>
        </w:rPr>
        <w:t>примерные программы).</w:t>
      </w:r>
    </w:p>
    <w:p w14:paraId="39A6BA65" w14:textId="77777777" w:rsidR="000C161A" w:rsidRPr="000C161A" w:rsidRDefault="000C161A" w:rsidP="008A2637">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0C161A">
        <w:rPr>
          <w:rFonts w:ascii="Times New Roman" w:eastAsia="Times New Roman" w:hAnsi="Times New Roman" w:cs="Times New Roman"/>
          <w:sz w:val="28"/>
          <w:szCs w:val="28"/>
          <w:lang w:eastAsia="ru-RU"/>
        </w:rPr>
        <w:t>Примерные программы устанавливают обязательную (инвариантную) часть содержания учебных предметов, а также распределение обязательного предметног</w:t>
      </w:r>
      <w:r w:rsidR="008A2637">
        <w:rPr>
          <w:rFonts w:ascii="Times New Roman" w:eastAsia="Times New Roman" w:hAnsi="Times New Roman" w:cs="Times New Roman"/>
          <w:sz w:val="28"/>
          <w:szCs w:val="28"/>
          <w:lang w:eastAsia="ru-RU"/>
        </w:rPr>
        <w:t xml:space="preserve">о содержания по годам обучения. </w:t>
      </w:r>
      <w:r w:rsidRPr="000C161A">
        <w:rPr>
          <w:rFonts w:ascii="Times New Roman" w:eastAsia="Times New Roman" w:hAnsi="Times New Roman" w:cs="Times New Roman"/>
          <w:sz w:val="28"/>
          <w:szCs w:val="28"/>
          <w:lang w:eastAsia="ru-RU"/>
        </w:rPr>
        <w:t>Кроме того, с целью доступности методи</w:t>
      </w:r>
      <w:r w:rsidR="00495EC3">
        <w:rPr>
          <w:rFonts w:ascii="Times New Roman" w:eastAsia="Times New Roman" w:hAnsi="Times New Roman" w:cs="Times New Roman"/>
          <w:sz w:val="28"/>
          <w:szCs w:val="28"/>
          <w:lang w:eastAsia="ru-RU"/>
        </w:rPr>
        <w:t xml:space="preserve">ческих документов и материалов </w:t>
      </w:r>
      <w:r w:rsidRPr="000C161A">
        <w:rPr>
          <w:rFonts w:ascii="Times New Roman" w:eastAsia="Times New Roman" w:hAnsi="Times New Roman" w:cs="Times New Roman"/>
          <w:sz w:val="28"/>
          <w:szCs w:val="28"/>
          <w:lang w:eastAsia="ru-RU"/>
        </w:rPr>
        <w:t>на федеральном уровне федеральным государственным бюджетным научным учреждением «Институт стратегии развития образования Российской академии образования» разработан информационный ресурс «Единое содержание общего образования», а также конструктор для разработки рабочих программ.</w:t>
      </w:r>
    </w:p>
    <w:p w14:paraId="4C497C06" w14:textId="77777777" w:rsidR="000C161A" w:rsidRPr="000C161A" w:rsidRDefault="000C161A" w:rsidP="000C161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0C161A">
        <w:rPr>
          <w:rFonts w:ascii="Times New Roman" w:eastAsia="Times New Roman" w:hAnsi="Times New Roman" w:cs="Times New Roman"/>
          <w:sz w:val="28"/>
          <w:szCs w:val="28"/>
          <w:lang w:eastAsia="ru-RU"/>
        </w:rPr>
        <w:t xml:space="preserve">Актуализация </w:t>
      </w:r>
      <w:r w:rsidR="008A2637">
        <w:rPr>
          <w:rFonts w:ascii="Times New Roman" w:eastAsia="Times New Roman" w:hAnsi="Times New Roman" w:cs="Times New Roman"/>
          <w:sz w:val="28"/>
          <w:szCs w:val="28"/>
          <w:lang w:eastAsia="ru-RU"/>
        </w:rPr>
        <w:t>ФГОС</w:t>
      </w:r>
      <w:r w:rsidRPr="000C161A">
        <w:rPr>
          <w:rFonts w:ascii="Times New Roman" w:eastAsia="Times New Roman" w:hAnsi="Times New Roman" w:cs="Times New Roman"/>
          <w:sz w:val="28"/>
          <w:szCs w:val="28"/>
          <w:lang w:eastAsia="ru-RU"/>
        </w:rPr>
        <w:t xml:space="preserve"> среднего общего образования будет осуществлена до конца 2023 г.</w:t>
      </w:r>
    </w:p>
    <w:p w14:paraId="3A27C906" w14:textId="77777777" w:rsidR="000C161A" w:rsidRPr="000C161A" w:rsidRDefault="000C161A" w:rsidP="000C161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0C161A">
        <w:rPr>
          <w:rFonts w:ascii="Times New Roman" w:eastAsia="Times New Roman" w:hAnsi="Times New Roman" w:cs="Times New Roman"/>
          <w:sz w:val="28"/>
          <w:szCs w:val="28"/>
          <w:lang w:eastAsia="ru-RU"/>
        </w:rPr>
        <w:t>В 2021 г</w:t>
      </w:r>
      <w:r w:rsidR="00C40F63">
        <w:rPr>
          <w:rFonts w:ascii="Times New Roman" w:eastAsia="Times New Roman" w:hAnsi="Times New Roman" w:cs="Times New Roman"/>
          <w:sz w:val="28"/>
          <w:szCs w:val="28"/>
          <w:lang w:eastAsia="ru-RU"/>
        </w:rPr>
        <w:t>.</w:t>
      </w:r>
      <w:r w:rsidRPr="000C161A">
        <w:rPr>
          <w:rFonts w:ascii="Times New Roman" w:eastAsia="Times New Roman" w:hAnsi="Times New Roman" w:cs="Times New Roman"/>
          <w:sz w:val="28"/>
          <w:szCs w:val="28"/>
          <w:lang w:eastAsia="ru-RU"/>
        </w:rPr>
        <w:t xml:space="preserve"> проводилась системная работа по совершенствованию учебно-методического обеспечения предметных областей «Родной язык и литературное чтение на родном языке» и «Родной язык и родная литература».</w:t>
      </w:r>
    </w:p>
    <w:p w14:paraId="2357B2AA" w14:textId="77777777" w:rsidR="000C161A" w:rsidRPr="000C161A" w:rsidRDefault="000C161A" w:rsidP="00495EC3">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0C161A">
        <w:rPr>
          <w:rFonts w:ascii="Times New Roman" w:eastAsia="Times New Roman" w:hAnsi="Times New Roman" w:cs="Times New Roman"/>
          <w:sz w:val="28"/>
          <w:szCs w:val="28"/>
          <w:lang w:eastAsia="ru-RU"/>
        </w:rPr>
        <w:t>В Реестре примерных основных общеобразовательных программ размещены 160 примерных образовательных программ учебных предметов «Родной язык», «Литературное чтение на родном языке», «Родная литература» по 35 языкам (абазинский, аварский, адыгейский, алтайский, балкарский, башкирский, бурятский, вепсский, даргинский, кабардинский, кабардино-черкесский, казахский, карачаево-балкарский, карельский (карельское наречие), карельский (</w:t>
      </w:r>
      <w:proofErr w:type="spellStart"/>
      <w:r w:rsidRPr="000C161A">
        <w:rPr>
          <w:rFonts w:ascii="Times New Roman" w:eastAsia="Times New Roman" w:hAnsi="Times New Roman" w:cs="Times New Roman"/>
          <w:sz w:val="28"/>
          <w:szCs w:val="28"/>
          <w:lang w:eastAsia="ru-RU"/>
        </w:rPr>
        <w:t>ливвиковское</w:t>
      </w:r>
      <w:proofErr w:type="spellEnd"/>
      <w:r w:rsidRPr="000C161A">
        <w:rPr>
          <w:rFonts w:ascii="Times New Roman" w:eastAsia="Times New Roman" w:hAnsi="Times New Roman" w:cs="Times New Roman"/>
          <w:sz w:val="28"/>
          <w:szCs w:val="28"/>
          <w:lang w:eastAsia="ru-RU"/>
        </w:rPr>
        <w:t xml:space="preserve"> наречие), </w:t>
      </w:r>
      <w:proofErr w:type="spellStart"/>
      <w:r w:rsidRPr="000C161A">
        <w:rPr>
          <w:rFonts w:ascii="Times New Roman" w:eastAsia="Times New Roman" w:hAnsi="Times New Roman" w:cs="Times New Roman"/>
          <w:sz w:val="28"/>
          <w:szCs w:val="28"/>
          <w:lang w:eastAsia="ru-RU"/>
        </w:rPr>
        <w:t>коми</w:t>
      </w:r>
      <w:proofErr w:type="spellEnd"/>
      <w:r w:rsidRPr="000C161A">
        <w:rPr>
          <w:rFonts w:ascii="Times New Roman" w:eastAsia="Times New Roman" w:hAnsi="Times New Roman" w:cs="Times New Roman"/>
          <w:sz w:val="28"/>
          <w:szCs w:val="28"/>
          <w:lang w:eastAsia="ru-RU"/>
        </w:rPr>
        <w:t xml:space="preserve">, </w:t>
      </w:r>
      <w:proofErr w:type="spellStart"/>
      <w:r w:rsidRPr="000C161A">
        <w:rPr>
          <w:rFonts w:ascii="Times New Roman" w:eastAsia="Times New Roman" w:hAnsi="Times New Roman" w:cs="Times New Roman"/>
          <w:sz w:val="28"/>
          <w:szCs w:val="28"/>
          <w:lang w:eastAsia="ru-RU"/>
        </w:rPr>
        <w:t>крымскотатарский</w:t>
      </w:r>
      <w:proofErr w:type="spellEnd"/>
      <w:r w:rsidRPr="000C161A">
        <w:rPr>
          <w:rFonts w:ascii="Times New Roman" w:eastAsia="Times New Roman" w:hAnsi="Times New Roman" w:cs="Times New Roman"/>
          <w:sz w:val="28"/>
          <w:szCs w:val="28"/>
          <w:lang w:eastAsia="ru-RU"/>
        </w:rPr>
        <w:t xml:space="preserve">, кумыкский, </w:t>
      </w:r>
      <w:proofErr w:type="spellStart"/>
      <w:r w:rsidRPr="000C161A">
        <w:rPr>
          <w:rFonts w:ascii="Times New Roman" w:eastAsia="Times New Roman" w:hAnsi="Times New Roman" w:cs="Times New Roman"/>
          <w:sz w:val="28"/>
          <w:szCs w:val="28"/>
          <w:lang w:eastAsia="ru-RU"/>
        </w:rPr>
        <w:t>лакский</w:t>
      </w:r>
      <w:proofErr w:type="spellEnd"/>
      <w:r w:rsidRPr="000C161A">
        <w:rPr>
          <w:rFonts w:ascii="Times New Roman" w:eastAsia="Times New Roman" w:hAnsi="Times New Roman" w:cs="Times New Roman"/>
          <w:sz w:val="28"/>
          <w:szCs w:val="28"/>
          <w:lang w:eastAsia="ru-RU"/>
        </w:rPr>
        <w:t xml:space="preserve">, лезгинский, </w:t>
      </w:r>
      <w:proofErr w:type="spellStart"/>
      <w:r w:rsidRPr="000C161A">
        <w:rPr>
          <w:rFonts w:ascii="Times New Roman" w:eastAsia="Times New Roman" w:hAnsi="Times New Roman" w:cs="Times New Roman"/>
          <w:sz w:val="28"/>
          <w:szCs w:val="28"/>
          <w:lang w:eastAsia="ru-RU"/>
        </w:rPr>
        <w:t>мокшанский</w:t>
      </w:r>
      <w:proofErr w:type="spellEnd"/>
      <w:r w:rsidRPr="000C161A">
        <w:rPr>
          <w:rFonts w:ascii="Times New Roman" w:eastAsia="Times New Roman" w:hAnsi="Times New Roman" w:cs="Times New Roman"/>
          <w:sz w:val="28"/>
          <w:szCs w:val="28"/>
          <w:lang w:eastAsia="ru-RU"/>
        </w:rPr>
        <w:t xml:space="preserve">, русский, табасаранский, татарский, тувинский, удмуртский, </w:t>
      </w:r>
      <w:proofErr w:type="spellStart"/>
      <w:r w:rsidRPr="000C161A">
        <w:rPr>
          <w:rFonts w:ascii="Times New Roman" w:eastAsia="Times New Roman" w:hAnsi="Times New Roman" w:cs="Times New Roman"/>
          <w:sz w:val="28"/>
          <w:szCs w:val="28"/>
          <w:lang w:eastAsia="ru-RU"/>
        </w:rPr>
        <w:t>удэгейский</w:t>
      </w:r>
      <w:proofErr w:type="spellEnd"/>
      <w:r w:rsidRPr="000C161A">
        <w:rPr>
          <w:rFonts w:ascii="Times New Roman" w:eastAsia="Times New Roman" w:hAnsi="Times New Roman" w:cs="Times New Roman"/>
          <w:sz w:val="28"/>
          <w:szCs w:val="28"/>
          <w:lang w:eastAsia="ru-RU"/>
        </w:rPr>
        <w:t>, украинский, финский, хакасский, хантыйский (</w:t>
      </w:r>
      <w:proofErr w:type="spellStart"/>
      <w:r w:rsidRPr="000C161A">
        <w:rPr>
          <w:rFonts w:ascii="Times New Roman" w:eastAsia="Times New Roman" w:hAnsi="Times New Roman" w:cs="Times New Roman"/>
          <w:sz w:val="28"/>
          <w:szCs w:val="28"/>
          <w:lang w:eastAsia="ru-RU"/>
        </w:rPr>
        <w:t>шурышкарский</w:t>
      </w:r>
      <w:proofErr w:type="spellEnd"/>
      <w:r w:rsidRPr="000C161A">
        <w:rPr>
          <w:rFonts w:ascii="Times New Roman" w:eastAsia="Times New Roman" w:hAnsi="Times New Roman" w:cs="Times New Roman"/>
          <w:sz w:val="28"/>
          <w:szCs w:val="28"/>
          <w:lang w:eastAsia="ru-RU"/>
        </w:rPr>
        <w:t xml:space="preserve"> диалект), чеченский, чувашский, эрзянский, якутский).</w:t>
      </w:r>
    </w:p>
    <w:p w14:paraId="766DE22C" w14:textId="77777777" w:rsidR="000C161A" w:rsidRPr="000C161A" w:rsidRDefault="000C161A" w:rsidP="000C161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0C161A">
        <w:rPr>
          <w:rFonts w:ascii="Times New Roman" w:eastAsia="Times New Roman" w:hAnsi="Times New Roman" w:cs="Times New Roman"/>
          <w:sz w:val="28"/>
          <w:szCs w:val="28"/>
          <w:lang w:eastAsia="ru-RU"/>
        </w:rPr>
        <w:t>В действующем федеральном пе</w:t>
      </w:r>
      <w:r w:rsidR="004E24A0">
        <w:rPr>
          <w:rFonts w:ascii="Times New Roman" w:eastAsia="Times New Roman" w:hAnsi="Times New Roman" w:cs="Times New Roman"/>
          <w:sz w:val="28"/>
          <w:szCs w:val="28"/>
          <w:lang w:eastAsia="ru-RU"/>
        </w:rPr>
        <w:t xml:space="preserve">речне учебников, рекомендуемых </w:t>
      </w:r>
      <w:r w:rsidRPr="000C161A">
        <w:rPr>
          <w:rFonts w:ascii="Times New Roman" w:eastAsia="Times New Roman" w:hAnsi="Times New Roman" w:cs="Times New Roman"/>
          <w:sz w:val="28"/>
          <w:szCs w:val="28"/>
          <w:lang w:eastAsia="ru-RU"/>
        </w:rPr>
        <w:t>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утвержденном приказом Минпросве</w:t>
      </w:r>
      <w:r w:rsidR="004E24A0">
        <w:rPr>
          <w:rFonts w:ascii="Times New Roman" w:eastAsia="Times New Roman" w:hAnsi="Times New Roman" w:cs="Times New Roman"/>
          <w:sz w:val="28"/>
          <w:szCs w:val="28"/>
          <w:lang w:eastAsia="ru-RU"/>
        </w:rPr>
        <w:t xml:space="preserve">щения России от 20 мая 2020 г. </w:t>
      </w:r>
      <w:r w:rsidRPr="000C161A">
        <w:rPr>
          <w:rFonts w:ascii="Times New Roman" w:eastAsia="Times New Roman" w:hAnsi="Times New Roman" w:cs="Times New Roman"/>
          <w:sz w:val="28"/>
          <w:szCs w:val="28"/>
          <w:lang w:eastAsia="ru-RU"/>
        </w:rPr>
        <w:t>№ 254, представлено 297 учебников по</w:t>
      </w:r>
      <w:r w:rsidR="004E24A0">
        <w:rPr>
          <w:rFonts w:ascii="Times New Roman" w:eastAsia="Times New Roman" w:hAnsi="Times New Roman" w:cs="Times New Roman"/>
          <w:sz w:val="28"/>
          <w:szCs w:val="28"/>
          <w:lang w:eastAsia="ru-RU"/>
        </w:rPr>
        <w:t xml:space="preserve"> 22 родным языкам (адыгейский, </w:t>
      </w:r>
      <w:r w:rsidRPr="000C161A">
        <w:rPr>
          <w:rFonts w:ascii="Times New Roman" w:eastAsia="Times New Roman" w:hAnsi="Times New Roman" w:cs="Times New Roman"/>
          <w:sz w:val="28"/>
          <w:szCs w:val="28"/>
          <w:lang w:eastAsia="ru-RU"/>
        </w:rPr>
        <w:t>абазинский, алтайский, башкирский, бурятский, вепсский, казахский, карельский, карельский (</w:t>
      </w:r>
      <w:proofErr w:type="spellStart"/>
      <w:r w:rsidRPr="000C161A">
        <w:rPr>
          <w:rFonts w:ascii="Times New Roman" w:eastAsia="Times New Roman" w:hAnsi="Times New Roman" w:cs="Times New Roman"/>
          <w:sz w:val="28"/>
          <w:szCs w:val="28"/>
          <w:lang w:eastAsia="ru-RU"/>
        </w:rPr>
        <w:t>ливвиковский</w:t>
      </w:r>
      <w:proofErr w:type="spellEnd"/>
      <w:r w:rsidRPr="000C161A">
        <w:rPr>
          <w:rFonts w:ascii="Times New Roman" w:eastAsia="Times New Roman" w:hAnsi="Times New Roman" w:cs="Times New Roman"/>
          <w:sz w:val="28"/>
          <w:szCs w:val="28"/>
          <w:lang w:eastAsia="ru-RU"/>
        </w:rPr>
        <w:t xml:space="preserve"> диалект), </w:t>
      </w:r>
      <w:proofErr w:type="spellStart"/>
      <w:r w:rsidRPr="000C161A">
        <w:rPr>
          <w:rFonts w:ascii="Times New Roman" w:eastAsia="Times New Roman" w:hAnsi="Times New Roman" w:cs="Times New Roman"/>
          <w:sz w:val="28"/>
          <w:szCs w:val="28"/>
          <w:lang w:eastAsia="ru-RU"/>
        </w:rPr>
        <w:t>коми</w:t>
      </w:r>
      <w:proofErr w:type="spellEnd"/>
      <w:r w:rsidRPr="000C161A">
        <w:rPr>
          <w:rFonts w:ascii="Times New Roman" w:eastAsia="Times New Roman" w:hAnsi="Times New Roman" w:cs="Times New Roman"/>
          <w:sz w:val="28"/>
          <w:szCs w:val="28"/>
          <w:lang w:eastAsia="ru-RU"/>
        </w:rPr>
        <w:t xml:space="preserve">, нанайский, ненецкий, русский родной, татарский, </w:t>
      </w:r>
      <w:proofErr w:type="spellStart"/>
      <w:r w:rsidRPr="000C161A">
        <w:rPr>
          <w:rFonts w:ascii="Times New Roman" w:eastAsia="Times New Roman" w:hAnsi="Times New Roman" w:cs="Times New Roman"/>
          <w:sz w:val="28"/>
          <w:szCs w:val="28"/>
          <w:lang w:eastAsia="ru-RU"/>
        </w:rPr>
        <w:t>тофаларский</w:t>
      </w:r>
      <w:proofErr w:type="spellEnd"/>
      <w:r w:rsidRPr="000C161A">
        <w:rPr>
          <w:rFonts w:ascii="Times New Roman" w:eastAsia="Times New Roman" w:hAnsi="Times New Roman" w:cs="Times New Roman"/>
          <w:sz w:val="28"/>
          <w:szCs w:val="28"/>
          <w:lang w:eastAsia="ru-RU"/>
        </w:rPr>
        <w:t>, тувинский, удмуртский, финский, хакасский, хантыйский, чеченский, якутский).</w:t>
      </w:r>
    </w:p>
    <w:p w14:paraId="708A9796" w14:textId="77777777" w:rsidR="000C161A" w:rsidRPr="000C161A" w:rsidRDefault="000C161A" w:rsidP="000C161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0C161A">
        <w:rPr>
          <w:rFonts w:ascii="Times New Roman" w:eastAsia="Times New Roman" w:hAnsi="Times New Roman" w:cs="Times New Roman"/>
          <w:sz w:val="28"/>
          <w:szCs w:val="28"/>
          <w:lang w:eastAsia="ru-RU"/>
        </w:rPr>
        <w:t xml:space="preserve">Одновременно Научно-методическим советом по учебникам рекомендовано включить 34 учебника по 6 языкам (алтайский, хакасский, чувашский, русский, татарский, </w:t>
      </w:r>
      <w:proofErr w:type="spellStart"/>
      <w:r w:rsidRPr="000C161A">
        <w:rPr>
          <w:rFonts w:ascii="Times New Roman" w:eastAsia="Times New Roman" w:hAnsi="Times New Roman" w:cs="Times New Roman"/>
          <w:sz w:val="28"/>
          <w:szCs w:val="28"/>
          <w:lang w:eastAsia="ru-RU"/>
        </w:rPr>
        <w:t>коми</w:t>
      </w:r>
      <w:proofErr w:type="spellEnd"/>
      <w:r w:rsidRPr="000C161A">
        <w:rPr>
          <w:rFonts w:ascii="Times New Roman" w:eastAsia="Times New Roman" w:hAnsi="Times New Roman" w:cs="Times New Roman"/>
          <w:sz w:val="28"/>
          <w:szCs w:val="28"/>
          <w:lang w:eastAsia="ru-RU"/>
        </w:rPr>
        <w:t xml:space="preserve">)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(протокол заседания от 24 декабря 2021 г. № ТВ-70/04пр). </w:t>
      </w:r>
    </w:p>
    <w:p w14:paraId="0FE63B06" w14:textId="77777777" w:rsidR="000C161A" w:rsidRPr="000C161A" w:rsidRDefault="000C161A" w:rsidP="000C161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0C161A">
        <w:rPr>
          <w:rFonts w:ascii="Times New Roman" w:eastAsia="Times New Roman" w:hAnsi="Times New Roman" w:cs="Times New Roman"/>
          <w:sz w:val="28"/>
          <w:szCs w:val="28"/>
          <w:lang w:eastAsia="ru-RU"/>
        </w:rPr>
        <w:t>В рамках реализации федерального проекта «Цифровая образовательная среда» национального проекта «Обра</w:t>
      </w:r>
      <w:r w:rsidR="004E24A0">
        <w:rPr>
          <w:rFonts w:ascii="Times New Roman" w:eastAsia="Times New Roman" w:hAnsi="Times New Roman" w:cs="Times New Roman"/>
          <w:sz w:val="28"/>
          <w:szCs w:val="28"/>
          <w:lang w:eastAsia="ru-RU"/>
        </w:rPr>
        <w:t xml:space="preserve">зование» Минпросвещения России </w:t>
      </w:r>
      <w:r w:rsidRPr="000C161A">
        <w:rPr>
          <w:rFonts w:ascii="Times New Roman" w:eastAsia="Times New Roman" w:hAnsi="Times New Roman" w:cs="Times New Roman"/>
          <w:sz w:val="28"/>
          <w:szCs w:val="28"/>
          <w:lang w:eastAsia="ru-RU"/>
        </w:rPr>
        <w:t>продолжена работа по созданию условий для по</w:t>
      </w:r>
      <w:r w:rsidR="004E24A0">
        <w:rPr>
          <w:rFonts w:ascii="Times New Roman" w:eastAsia="Times New Roman" w:hAnsi="Times New Roman" w:cs="Times New Roman"/>
          <w:sz w:val="28"/>
          <w:szCs w:val="28"/>
          <w:lang w:eastAsia="ru-RU"/>
        </w:rPr>
        <w:t>этапного внедрения к 2024 г</w:t>
      </w:r>
      <w:r w:rsidR="00C40F63">
        <w:rPr>
          <w:rFonts w:ascii="Times New Roman" w:eastAsia="Times New Roman" w:hAnsi="Times New Roman" w:cs="Times New Roman"/>
          <w:sz w:val="28"/>
          <w:szCs w:val="28"/>
          <w:lang w:eastAsia="ru-RU"/>
        </w:rPr>
        <w:t>.</w:t>
      </w:r>
      <w:r w:rsidR="004E24A0">
        <w:rPr>
          <w:rFonts w:ascii="Times New Roman" w:eastAsia="Times New Roman" w:hAnsi="Times New Roman" w:cs="Times New Roman"/>
          <w:sz w:val="28"/>
          <w:szCs w:val="28"/>
          <w:lang w:eastAsia="ru-RU"/>
        </w:rPr>
        <w:t xml:space="preserve"> </w:t>
      </w:r>
      <w:r w:rsidRPr="000C161A">
        <w:rPr>
          <w:rFonts w:ascii="Times New Roman" w:eastAsia="Times New Roman" w:hAnsi="Times New Roman" w:cs="Times New Roman"/>
          <w:sz w:val="28"/>
          <w:szCs w:val="28"/>
          <w:lang w:eastAsia="ru-RU"/>
        </w:rPr>
        <w:t>в образовательных организациях, реализующих образовательные программы начального, основного и среднего о</w:t>
      </w:r>
      <w:r w:rsidR="004E24A0">
        <w:rPr>
          <w:rFonts w:ascii="Times New Roman" w:eastAsia="Times New Roman" w:hAnsi="Times New Roman" w:cs="Times New Roman"/>
          <w:sz w:val="28"/>
          <w:szCs w:val="28"/>
          <w:lang w:eastAsia="ru-RU"/>
        </w:rPr>
        <w:t xml:space="preserve">бщего образования, современной </w:t>
      </w:r>
      <w:r w:rsidRPr="000C161A">
        <w:rPr>
          <w:rFonts w:ascii="Times New Roman" w:eastAsia="Times New Roman" w:hAnsi="Times New Roman" w:cs="Times New Roman"/>
          <w:sz w:val="28"/>
          <w:szCs w:val="28"/>
          <w:lang w:eastAsia="ru-RU"/>
        </w:rPr>
        <w:t>и безопасной цифровой образовательно</w:t>
      </w:r>
      <w:r w:rsidR="004E24A0">
        <w:rPr>
          <w:rFonts w:ascii="Times New Roman" w:eastAsia="Times New Roman" w:hAnsi="Times New Roman" w:cs="Times New Roman"/>
          <w:sz w:val="28"/>
          <w:szCs w:val="28"/>
          <w:lang w:eastAsia="ru-RU"/>
        </w:rPr>
        <w:t xml:space="preserve">й среды, обеспечивающей равные </w:t>
      </w:r>
      <w:r w:rsidRPr="000C161A">
        <w:rPr>
          <w:rFonts w:ascii="Times New Roman" w:eastAsia="Times New Roman" w:hAnsi="Times New Roman" w:cs="Times New Roman"/>
          <w:sz w:val="28"/>
          <w:szCs w:val="28"/>
          <w:lang w:eastAsia="ru-RU"/>
        </w:rPr>
        <w:t>условия доступа к качественному образован</w:t>
      </w:r>
      <w:r w:rsidR="004E24A0">
        <w:rPr>
          <w:rFonts w:ascii="Times New Roman" w:eastAsia="Times New Roman" w:hAnsi="Times New Roman" w:cs="Times New Roman"/>
          <w:sz w:val="28"/>
          <w:szCs w:val="28"/>
          <w:lang w:eastAsia="ru-RU"/>
        </w:rPr>
        <w:t xml:space="preserve">ию обучающихся вне зависимости </w:t>
      </w:r>
      <w:r w:rsidRPr="000C161A">
        <w:rPr>
          <w:rFonts w:ascii="Times New Roman" w:eastAsia="Times New Roman" w:hAnsi="Times New Roman" w:cs="Times New Roman"/>
          <w:sz w:val="28"/>
          <w:szCs w:val="28"/>
          <w:lang w:eastAsia="ru-RU"/>
        </w:rPr>
        <w:t>от места их проживания.</w:t>
      </w:r>
    </w:p>
    <w:p w14:paraId="0E730D74" w14:textId="77777777" w:rsidR="000C161A" w:rsidRPr="000C161A" w:rsidRDefault="00E00818" w:rsidP="000C161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счет предоставления в</w:t>
      </w:r>
      <w:r w:rsidRPr="000C161A">
        <w:rPr>
          <w:rFonts w:ascii="Times New Roman" w:eastAsia="Times New Roman" w:hAnsi="Times New Roman" w:cs="Times New Roman"/>
          <w:sz w:val="28"/>
          <w:szCs w:val="28"/>
          <w:lang w:eastAsia="ru-RU"/>
        </w:rPr>
        <w:t xml:space="preserve"> 2021 г</w:t>
      </w:r>
      <w:r w:rsidR="00C40F63">
        <w:rPr>
          <w:rFonts w:ascii="Times New Roman" w:eastAsia="Times New Roman" w:hAnsi="Times New Roman" w:cs="Times New Roman"/>
          <w:sz w:val="28"/>
          <w:szCs w:val="28"/>
          <w:lang w:eastAsia="ru-RU"/>
        </w:rPr>
        <w:t>.</w:t>
      </w:r>
      <w:r w:rsidRPr="000C161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бюджетам 56 субъектов Российской Федерации субсидии из федерального бюджета в объеме </w:t>
      </w:r>
      <w:r w:rsidRPr="000C161A">
        <w:rPr>
          <w:rFonts w:ascii="Times New Roman" w:eastAsia="Times New Roman" w:hAnsi="Times New Roman" w:cs="Times New Roman"/>
          <w:sz w:val="28"/>
          <w:szCs w:val="28"/>
          <w:lang w:eastAsia="ru-RU"/>
        </w:rPr>
        <w:t xml:space="preserve">7,8 млрд рублей </w:t>
      </w:r>
      <w:r w:rsidR="000C161A" w:rsidRPr="000C161A">
        <w:rPr>
          <w:rFonts w:ascii="Times New Roman" w:eastAsia="Times New Roman" w:hAnsi="Times New Roman" w:cs="Times New Roman"/>
          <w:sz w:val="28"/>
          <w:szCs w:val="28"/>
          <w:lang w:eastAsia="ru-RU"/>
        </w:rPr>
        <w:t>обновлена материально-техническая база 4 360 образовательных организаций для внедрения цифровой об</w:t>
      </w:r>
      <w:r w:rsidR="004E24A0">
        <w:rPr>
          <w:rFonts w:ascii="Times New Roman" w:eastAsia="Times New Roman" w:hAnsi="Times New Roman" w:cs="Times New Roman"/>
          <w:sz w:val="28"/>
          <w:szCs w:val="28"/>
          <w:lang w:eastAsia="ru-RU"/>
        </w:rPr>
        <w:t>разовательной среды</w:t>
      </w:r>
      <w:r w:rsidR="000C161A" w:rsidRPr="000C161A">
        <w:rPr>
          <w:rFonts w:ascii="Times New Roman" w:eastAsia="Times New Roman" w:hAnsi="Times New Roman" w:cs="Times New Roman"/>
          <w:sz w:val="28"/>
          <w:szCs w:val="28"/>
          <w:lang w:eastAsia="ru-RU"/>
        </w:rPr>
        <w:t>.</w:t>
      </w:r>
    </w:p>
    <w:p w14:paraId="6ED7DE6C" w14:textId="77777777" w:rsidR="000C161A" w:rsidRPr="000C161A" w:rsidRDefault="000C161A" w:rsidP="000C161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0C161A">
        <w:rPr>
          <w:rFonts w:ascii="Times New Roman" w:eastAsia="Times New Roman" w:hAnsi="Times New Roman" w:cs="Times New Roman"/>
          <w:sz w:val="28"/>
          <w:szCs w:val="28"/>
          <w:lang w:eastAsia="ru-RU"/>
        </w:rPr>
        <w:t xml:space="preserve">Минпросвещения России совместно с Минцифры России, высшими органами </w:t>
      </w:r>
      <w:r w:rsidR="00EB30BE">
        <w:rPr>
          <w:rFonts w:ascii="Times New Roman" w:eastAsia="Times New Roman" w:hAnsi="Times New Roman" w:cs="Times New Roman"/>
          <w:sz w:val="28"/>
          <w:szCs w:val="28"/>
          <w:lang w:eastAsia="ru-RU"/>
        </w:rPr>
        <w:t>исполнительной</w:t>
      </w:r>
      <w:r w:rsidRPr="000C161A">
        <w:rPr>
          <w:rFonts w:ascii="Times New Roman" w:eastAsia="Times New Roman" w:hAnsi="Times New Roman" w:cs="Times New Roman"/>
          <w:sz w:val="28"/>
          <w:szCs w:val="28"/>
          <w:lang w:eastAsia="ru-RU"/>
        </w:rPr>
        <w:t xml:space="preserve"> власти субъектов Российской Федерации и </w:t>
      </w:r>
      <w:r w:rsidR="00E00818">
        <w:rPr>
          <w:rFonts w:ascii="Times New Roman" w:eastAsia="Times New Roman" w:hAnsi="Times New Roman" w:cs="Times New Roman"/>
          <w:sz w:val="28"/>
          <w:szCs w:val="28"/>
          <w:lang w:eastAsia="ru-RU"/>
        </w:rPr>
        <w:t xml:space="preserve">другими </w:t>
      </w:r>
      <w:r w:rsidRPr="000C161A">
        <w:rPr>
          <w:rFonts w:ascii="Times New Roman" w:eastAsia="Times New Roman" w:hAnsi="Times New Roman" w:cs="Times New Roman"/>
          <w:sz w:val="28"/>
          <w:szCs w:val="28"/>
          <w:lang w:eastAsia="ru-RU"/>
        </w:rPr>
        <w:t>заинтересованными организациями обеспечивается реализация постановления Правительства Российской Федерации от 7 декабря 2020 г. № 2040 «О проведении эксперимента по внедрению цифровой образовательной среды».</w:t>
      </w:r>
    </w:p>
    <w:p w14:paraId="6A7CD9C8" w14:textId="77777777" w:rsidR="000C161A" w:rsidRPr="000C161A" w:rsidRDefault="000C161A" w:rsidP="000C161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0C161A">
        <w:rPr>
          <w:rFonts w:ascii="Times New Roman" w:eastAsia="Times New Roman" w:hAnsi="Times New Roman" w:cs="Times New Roman"/>
          <w:sz w:val="28"/>
          <w:szCs w:val="28"/>
          <w:lang w:eastAsia="ru-RU"/>
        </w:rPr>
        <w:t>Так, Минпросвещения России и Минцифры России утвержден план мероприятий («дорожная карта») по проведению эксперимента по внедрению цифровой образовательной среды и подписаны планы мероприятий («дорожные карты») с субъектами Российской Федерации, участвующими в эксперименте по внедрению цифровой образовательной среды; утверждены порядок отбора субъектов Российской Федерации, на территории которых проводится эксперимент по внедрению цифровой образовательной среды, требования к информационно-коммуникационной образовательной платформе цифровой образовательной среды. Прошел государственную регистрацию стан</w:t>
      </w:r>
      <w:r w:rsidR="00EB30BE">
        <w:rPr>
          <w:rFonts w:ascii="Times New Roman" w:eastAsia="Times New Roman" w:hAnsi="Times New Roman" w:cs="Times New Roman"/>
          <w:sz w:val="28"/>
          <w:szCs w:val="28"/>
          <w:lang w:eastAsia="ru-RU"/>
        </w:rPr>
        <w:t xml:space="preserve">дарт оснащения государственных </w:t>
      </w:r>
      <w:r w:rsidRPr="000C161A">
        <w:rPr>
          <w:rFonts w:ascii="Times New Roman" w:eastAsia="Times New Roman" w:hAnsi="Times New Roman" w:cs="Times New Roman"/>
          <w:sz w:val="28"/>
          <w:szCs w:val="28"/>
          <w:lang w:eastAsia="ru-RU"/>
        </w:rPr>
        <w:t>и муниципальных общеобразовательных организаций, осуществляющих образовательную деятельность в субъектах Российской Федерации, на территории которых проводится эксперимент по внедрению цифровой образовательной среды, компьютерным, мультимедийным, презентационным оборудованием и программным обеспечением (совместный приказ Минпросвещения России и Минцифры России от 8 сентября 2021 г. № 634/925).</w:t>
      </w:r>
    </w:p>
    <w:p w14:paraId="52BBB3EF" w14:textId="77777777" w:rsidR="000C161A" w:rsidRPr="000C161A" w:rsidRDefault="000C161A" w:rsidP="000C161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0C161A">
        <w:rPr>
          <w:rFonts w:ascii="Times New Roman" w:eastAsia="Times New Roman" w:hAnsi="Times New Roman" w:cs="Times New Roman"/>
          <w:sz w:val="28"/>
          <w:szCs w:val="28"/>
          <w:lang w:eastAsia="ru-RU"/>
        </w:rPr>
        <w:t>В рамках реализации экспериме</w:t>
      </w:r>
      <w:r w:rsidR="00EB30BE">
        <w:rPr>
          <w:rFonts w:ascii="Times New Roman" w:eastAsia="Times New Roman" w:hAnsi="Times New Roman" w:cs="Times New Roman"/>
          <w:sz w:val="28"/>
          <w:szCs w:val="28"/>
          <w:lang w:eastAsia="ru-RU"/>
        </w:rPr>
        <w:t xml:space="preserve">нта по модернизации начального </w:t>
      </w:r>
      <w:r w:rsidRPr="000C161A">
        <w:rPr>
          <w:rFonts w:ascii="Times New Roman" w:eastAsia="Times New Roman" w:hAnsi="Times New Roman" w:cs="Times New Roman"/>
          <w:sz w:val="28"/>
          <w:szCs w:val="28"/>
          <w:lang w:eastAsia="ru-RU"/>
        </w:rPr>
        <w:t xml:space="preserve">общего, основного общего и среднего общего образования в </w:t>
      </w:r>
      <w:r w:rsidR="004E02DD">
        <w:rPr>
          <w:rFonts w:ascii="Times New Roman" w:eastAsia="Times New Roman" w:hAnsi="Times New Roman" w:cs="Times New Roman"/>
          <w:sz w:val="28"/>
          <w:szCs w:val="28"/>
          <w:lang w:eastAsia="ru-RU"/>
        </w:rPr>
        <w:t xml:space="preserve">2021-2022 гг. </w:t>
      </w:r>
      <w:r w:rsidRPr="000C161A">
        <w:rPr>
          <w:rFonts w:ascii="Times New Roman" w:eastAsia="Times New Roman" w:hAnsi="Times New Roman" w:cs="Times New Roman"/>
          <w:sz w:val="28"/>
          <w:szCs w:val="28"/>
          <w:lang w:eastAsia="ru-RU"/>
        </w:rPr>
        <w:t>с 15 субъектами Российской Федерации заключены соглашения о выделении бюджетных ассигнований из федерального бюджета на оснащение образовательных организаций компьютерным, мультимедийным,</w:t>
      </w:r>
      <w:r w:rsidR="00EB30BE">
        <w:rPr>
          <w:rFonts w:ascii="Times New Roman" w:eastAsia="Times New Roman" w:hAnsi="Times New Roman" w:cs="Times New Roman"/>
          <w:sz w:val="28"/>
          <w:szCs w:val="28"/>
          <w:lang w:eastAsia="ru-RU"/>
        </w:rPr>
        <w:t xml:space="preserve"> презентационным оборудованием </w:t>
      </w:r>
      <w:r w:rsidRPr="000C161A">
        <w:rPr>
          <w:rFonts w:ascii="Times New Roman" w:eastAsia="Times New Roman" w:hAnsi="Times New Roman" w:cs="Times New Roman"/>
          <w:sz w:val="28"/>
          <w:szCs w:val="28"/>
          <w:lang w:eastAsia="ru-RU"/>
        </w:rPr>
        <w:t>и программным обеспе</w:t>
      </w:r>
      <w:r w:rsidR="002C0EBD">
        <w:rPr>
          <w:rFonts w:ascii="Times New Roman" w:eastAsia="Times New Roman" w:hAnsi="Times New Roman" w:cs="Times New Roman"/>
          <w:sz w:val="28"/>
          <w:szCs w:val="28"/>
          <w:lang w:eastAsia="ru-RU"/>
        </w:rPr>
        <w:t>чением, в том числе в 2021 г</w:t>
      </w:r>
      <w:r w:rsidR="004E02DD">
        <w:rPr>
          <w:rFonts w:ascii="Times New Roman" w:eastAsia="Times New Roman" w:hAnsi="Times New Roman" w:cs="Times New Roman"/>
          <w:sz w:val="28"/>
          <w:szCs w:val="28"/>
          <w:lang w:eastAsia="ru-RU"/>
        </w:rPr>
        <w:t>.</w:t>
      </w:r>
      <w:r w:rsidRPr="000C161A">
        <w:rPr>
          <w:rFonts w:ascii="Times New Roman" w:eastAsia="Times New Roman" w:hAnsi="Times New Roman" w:cs="Times New Roman"/>
          <w:sz w:val="28"/>
          <w:szCs w:val="28"/>
          <w:lang w:eastAsia="ru-RU"/>
        </w:rPr>
        <w:t xml:space="preserve"> в объеме 5,5 млрд</w:t>
      </w:r>
      <w:r w:rsidR="001E3A31">
        <w:rPr>
          <w:rFonts w:ascii="Times New Roman" w:eastAsia="Times New Roman" w:hAnsi="Times New Roman" w:cs="Times New Roman"/>
          <w:sz w:val="28"/>
          <w:szCs w:val="28"/>
          <w:lang w:eastAsia="ru-RU"/>
        </w:rPr>
        <w:t xml:space="preserve"> </w:t>
      </w:r>
      <w:r w:rsidRPr="000C161A">
        <w:rPr>
          <w:rFonts w:ascii="Times New Roman" w:eastAsia="Times New Roman" w:hAnsi="Times New Roman" w:cs="Times New Roman"/>
          <w:sz w:val="28"/>
          <w:szCs w:val="28"/>
          <w:lang w:eastAsia="ru-RU"/>
        </w:rPr>
        <w:t>рублей на оснащение 2 125 организаций.</w:t>
      </w:r>
    </w:p>
    <w:p w14:paraId="05F2AF58" w14:textId="77777777" w:rsidR="000C161A" w:rsidRPr="000C161A" w:rsidRDefault="000C161A" w:rsidP="000C161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0C161A">
        <w:rPr>
          <w:rFonts w:ascii="Times New Roman" w:eastAsia="Times New Roman" w:hAnsi="Times New Roman" w:cs="Times New Roman"/>
          <w:sz w:val="28"/>
          <w:szCs w:val="28"/>
          <w:lang w:eastAsia="ru-RU"/>
        </w:rPr>
        <w:t>В целях обеспечения эффективной ин</w:t>
      </w:r>
      <w:r w:rsidR="00EB30BE">
        <w:rPr>
          <w:rFonts w:ascii="Times New Roman" w:eastAsia="Times New Roman" w:hAnsi="Times New Roman" w:cs="Times New Roman"/>
          <w:sz w:val="28"/>
          <w:szCs w:val="28"/>
          <w:lang w:eastAsia="ru-RU"/>
        </w:rPr>
        <w:t xml:space="preserve">формационной поддержки органов </w:t>
      </w:r>
      <w:r w:rsidRPr="000C161A">
        <w:rPr>
          <w:rFonts w:ascii="Times New Roman" w:eastAsia="Times New Roman" w:hAnsi="Times New Roman" w:cs="Times New Roman"/>
          <w:sz w:val="28"/>
          <w:szCs w:val="28"/>
          <w:lang w:eastAsia="ru-RU"/>
        </w:rPr>
        <w:t>и организаций системы образования и граждан в рамках процессов организации получения образования и управления образовательным процессом, а также создания условий для цифровой трансформации системы образования и эффективного использования новых возможно</w:t>
      </w:r>
      <w:r w:rsidR="00EB30BE">
        <w:rPr>
          <w:rFonts w:ascii="Times New Roman" w:eastAsia="Times New Roman" w:hAnsi="Times New Roman" w:cs="Times New Roman"/>
          <w:sz w:val="28"/>
          <w:szCs w:val="28"/>
          <w:lang w:eastAsia="ru-RU"/>
        </w:rPr>
        <w:t xml:space="preserve">стей информационных технологий </w:t>
      </w:r>
      <w:r w:rsidRPr="000C161A">
        <w:rPr>
          <w:rFonts w:ascii="Times New Roman" w:eastAsia="Times New Roman" w:hAnsi="Times New Roman" w:cs="Times New Roman"/>
          <w:sz w:val="28"/>
          <w:szCs w:val="28"/>
          <w:lang w:eastAsia="ru-RU"/>
        </w:rPr>
        <w:t>разрабатывается федеральная государс</w:t>
      </w:r>
      <w:r w:rsidR="00EB30BE">
        <w:rPr>
          <w:rFonts w:ascii="Times New Roman" w:eastAsia="Times New Roman" w:hAnsi="Times New Roman" w:cs="Times New Roman"/>
          <w:sz w:val="28"/>
          <w:szCs w:val="28"/>
          <w:lang w:eastAsia="ru-RU"/>
        </w:rPr>
        <w:t xml:space="preserve">твенная информационная система </w:t>
      </w:r>
      <w:r w:rsidRPr="000C161A">
        <w:rPr>
          <w:rFonts w:ascii="Times New Roman" w:eastAsia="Times New Roman" w:hAnsi="Times New Roman" w:cs="Times New Roman"/>
          <w:sz w:val="28"/>
          <w:szCs w:val="28"/>
          <w:lang w:eastAsia="ru-RU"/>
        </w:rPr>
        <w:t>«Моя школа». Минпросвещения Росс</w:t>
      </w:r>
      <w:r w:rsidR="00EB30BE">
        <w:rPr>
          <w:rFonts w:ascii="Times New Roman" w:eastAsia="Times New Roman" w:hAnsi="Times New Roman" w:cs="Times New Roman"/>
          <w:sz w:val="28"/>
          <w:szCs w:val="28"/>
          <w:lang w:eastAsia="ru-RU"/>
        </w:rPr>
        <w:t xml:space="preserve">ии совместно с Минцифры России </w:t>
      </w:r>
      <w:r w:rsidRPr="000C161A">
        <w:rPr>
          <w:rFonts w:ascii="Times New Roman" w:eastAsia="Times New Roman" w:hAnsi="Times New Roman" w:cs="Times New Roman"/>
          <w:sz w:val="28"/>
          <w:szCs w:val="28"/>
          <w:lang w:eastAsia="ru-RU"/>
        </w:rPr>
        <w:t>приказом от 30 июня 2021 г. № 396</w:t>
      </w:r>
      <w:r w:rsidR="00EB30BE">
        <w:rPr>
          <w:rFonts w:ascii="Times New Roman" w:eastAsia="Times New Roman" w:hAnsi="Times New Roman" w:cs="Times New Roman"/>
          <w:sz w:val="28"/>
          <w:szCs w:val="28"/>
          <w:lang w:eastAsia="ru-RU"/>
        </w:rPr>
        <w:t xml:space="preserve"> утверждена Концепция создания </w:t>
      </w:r>
      <w:r w:rsidRPr="000C161A">
        <w:rPr>
          <w:rFonts w:ascii="Times New Roman" w:eastAsia="Times New Roman" w:hAnsi="Times New Roman" w:cs="Times New Roman"/>
          <w:sz w:val="28"/>
          <w:szCs w:val="28"/>
          <w:lang w:eastAsia="ru-RU"/>
        </w:rPr>
        <w:t>федеральной государственной информационной системы «Моя школа».</w:t>
      </w:r>
    </w:p>
    <w:p w14:paraId="4A3D7C70" w14:textId="77777777" w:rsidR="000C161A" w:rsidRPr="000C161A" w:rsidRDefault="000C161A" w:rsidP="000C161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0C161A">
        <w:rPr>
          <w:rFonts w:ascii="Times New Roman" w:eastAsia="Times New Roman" w:hAnsi="Times New Roman" w:cs="Times New Roman"/>
          <w:sz w:val="28"/>
          <w:szCs w:val="28"/>
          <w:lang w:eastAsia="ru-RU"/>
        </w:rPr>
        <w:t>На ресурсах федеральной государс</w:t>
      </w:r>
      <w:r w:rsidR="000C10AC">
        <w:rPr>
          <w:rFonts w:ascii="Times New Roman" w:eastAsia="Times New Roman" w:hAnsi="Times New Roman" w:cs="Times New Roman"/>
          <w:sz w:val="28"/>
          <w:szCs w:val="28"/>
          <w:lang w:eastAsia="ru-RU"/>
        </w:rPr>
        <w:t xml:space="preserve">твенной информационной системы </w:t>
      </w:r>
      <w:r w:rsidRPr="000C161A">
        <w:rPr>
          <w:rFonts w:ascii="Times New Roman" w:eastAsia="Times New Roman" w:hAnsi="Times New Roman" w:cs="Times New Roman"/>
          <w:sz w:val="28"/>
          <w:szCs w:val="28"/>
          <w:lang w:eastAsia="ru-RU"/>
        </w:rPr>
        <w:t>«Моя школа» создается «Библиотека цифрового образовательного контента», которая обеспечит возможность создания, модерации, публикации и воспроизведения верифицированного образовательного контента. В настоящее время ведется разработка цифрового образовательного контента и его верификация по всем учебным предметам образовательных про</w:t>
      </w:r>
      <w:r w:rsidR="000C10AC">
        <w:rPr>
          <w:rFonts w:ascii="Times New Roman" w:eastAsia="Times New Roman" w:hAnsi="Times New Roman" w:cs="Times New Roman"/>
          <w:sz w:val="28"/>
          <w:szCs w:val="28"/>
          <w:lang w:eastAsia="ru-RU"/>
        </w:rPr>
        <w:t>грамм всех уровней о</w:t>
      </w:r>
      <w:r w:rsidRPr="000C161A">
        <w:rPr>
          <w:rFonts w:ascii="Times New Roman" w:eastAsia="Times New Roman" w:hAnsi="Times New Roman" w:cs="Times New Roman"/>
          <w:sz w:val="28"/>
          <w:szCs w:val="28"/>
          <w:lang w:eastAsia="ru-RU"/>
        </w:rPr>
        <w:t xml:space="preserve">бщего образования в соответствии с </w:t>
      </w:r>
      <w:r w:rsidR="00E00818">
        <w:rPr>
          <w:rFonts w:ascii="Times New Roman" w:eastAsia="Times New Roman" w:hAnsi="Times New Roman" w:cs="Times New Roman"/>
          <w:sz w:val="28"/>
          <w:szCs w:val="28"/>
          <w:lang w:eastAsia="ru-RU"/>
        </w:rPr>
        <w:t>ФГОС</w:t>
      </w:r>
      <w:r w:rsidRPr="000C161A">
        <w:rPr>
          <w:rFonts w:ascii="Times New Roman" w:eastAsia="Times New Roman" w:hAnsi="Times New Roman" w:cs="Times New Roman"/>
          <w:sz w:val="28"/>
          <w:szCs w:val="28"/>
          <w:lang w:eastAsia="ru-RU"/>
        </w:rPr>
        <w:t xml:space="preserve">, что обеспечит </w:t>
      </w:r>
      <w:r w:rsidR="000C10AC">
        <w:rPr>
          <w:rFonts w:ascii="Times New Roman" w:eastAsia="Times New Roman" w:hAnsi="Times New Roman" w:cs="Times New Roman"/>
          <w:sz w:val="28"/>
          <w:szCs w:val="28"/>
          <w:lang w:eastAsia="ru-RU"/>
        </w:rPr>
        <w:t xml:space="preserve">расширение доступа обучающихся </w:t>
      </w:r>
      <w:r w:rsidRPr="000C161A">
        <w:rPr>
          <w:rFonts w:ascii="Times New Roman" w:eastAsia="Times New Roman" w:hAnsi="Times New Roman" w:cs="Times New Roman"/>
          <w:sz w:val="28"/>
          <w:szCs w:val="28"/>
          <w:lang w:eastAsia="ru-RU"/>
        </w:rPr>
        <w:t>к качественным программам обучения без ухода от традиционных форм учебных занятий в общеобразовательных организациях.</w:t>
      </w:r>
    </w:p>
    <w:p w14:paraId="33DBBABE" w14:textId="77777777" w:rsidR="000C161A" w:rsidRPr="000C161A" w:rsidRDefault="000C161A" w:rsidP="000C161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0C161A">
        <w:rPr>
          <w:rFonts w:ascii="Times New Roman" w:eastAsia="Times New Roman" w:hAnsi="Times New Roman" w:cs="Times New Roman"/>
          <w:sz w:val="28"/>
          <w:szCs w:val="28"/>
          <w:lang w:eastAsia="ru-RU"/>
        </w:rPr>
        <w:t>В 2021 г</w:t>
      </w:r>
      <w:r w:rsidR="004E02DD">
        <w:rPr>
          <w:rFonts w:ascii="Times New Roman" w:eastAsia="Times New Roman" w:hAnsi="Times New Roman" w:cs="Times New Roman"/>
          <w:sz w:val="28"/>
          <w:szCs w:val="28"/>
          <w:lang w:eastAsia="ru-RU"/>
        </w:rPr>
        <w:t>.</w:t>
      </w:r>
      <w:r w:rsidRPr="000C161A">
        <w:rPr>
          <w:rFonts w:ascii="Times New Roman" w:eastAsia="Times New Roman" w:hAnsi="Times New Roman" w:cs="Times New Roman"/>
          <w:sz w:val="28"/>
          <w:szCs w:val="28"/>
          <w:lang w:eastAsia="ru-RU"/>
        </w:rPr>
        <w:t xml:space="preserve"> для разработанных 8 комплектов цифрового образовательно</w:t>
      </w:r>
      <w:r w:rsidR="00E00818">
        <w:rPr>
          <w:rFonts w:ascii="Times New Roman" w:eastAsia="Times New Roman" w:hAnsi="Times New Roman" w:cs="Times New Roman"/>
          <w:sz w:val="28"/>
          <w:szCs w:val="28"/>
          <w:lang w:eastAsia="ru-RU"/>
        </w:rPr>
        <w:t>го</w:t>
      </w:r>
      <w:r w:rsidRPr="000C161A">
        <w:rPr>
          <w:rFonts w:ascii="Times New Roman" w:eastAsia="Times New Roman" w:hAnsi="Times New Roman" w:cs="Times New Roman"/>
          <w:sz w:val="28"/>
          <w:szCs w:val="28"/>
          <w:lang w:eastAsia="ru-RU"/>
        </w:rPr>
        <w:t xml:space="preserve"> контента в «Библиотеке цифрового образовательного контента» размещены </w:t>
      </w:r>
      <w:r w:rsidR="004E02DD">
        <w:rPr>
          <w:rFonts w:ascii="Times New Roman" w:eastAsia="Times New Roman" w:hAnsi="Times New Roman" w:cs="Times New Roman"/>
          <w:sz w:val="28"/>
          <w:szCs w:val="28"/>
          <w:lang w:eastAsia="ru-RU"/>
        </w:rPr>
        <w:br/>
      </w:r>
      <w:r w:rsidRPr="000C161A">
        <w:rPr>
          <w:rFonts w:ascii="Times New Roman" w:eastAsia="Times New Roman" w:hAnsi="Times New Roman" w:cs="Times New Roman"/>
          <w:sz w:val="28"/>
          <w:szCs w:val="28"/>
          <w:lang w:eastAsia="ru-RU"/>
        </w:rPr>
        <w:t>3 162 цифровых конспекта уроков по всем темам уровн</w:t>
      </w:r>
      <w:r w:rsidR="000C10AC">
        <w:rPr>
          <w:rFonts w:ascii="Times New Roman" w:eastAsia="Times New Roman" w:hAnsi="Times New Roman" w:cs="Times New Roman"/>
          <w:sz w:val="28"/>
          <w:szCs w:val="28"/>
          <w:lang w:eastAsia="ru-RU"/>
        </w:rPr>
        <w:t xml:space="preserve">я основного общего образования </w:t>
      </w:r>
      <w:r w:rsidRPr="000C161A">
        <w:rPr>
          <w:rFonts w:ascii="Times New Roman" w:eastAsia="Times New Roman" w:hAnsi="Times New Roman" w:cs="Times New Roman"/>
          <w:sz w:val="28"/>
          <w:szCs w:val="28"/>
          <w:lang w:eastAsia="ru-RU"/>
        </w:rPr>
        <w:t>в соответствии с Универсальным тематическим классификатором по следующим предметам: русский язык, математика, физика, химия, информатика, биология, история, английский язык.</w:t>
      </w:r>
    </w:p>
    <w:p w14:paraId="0F97CDA3" w14:textId="77777777" w:rsidR="000C161A" w:rsidRPr="000C161A" w:rsidRDefault="000C161A" w:rsidP="000C161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0C161A">
        <w:rPr>
          <w:rFonts w:ascii="Times New Roman" w:eastAsia="Times New Roman" w:hAnsi="Times New Roman" w:cs="Times New Roman"/>
          <w:sz w:val="28"/>
          <w:szCs w:val="28"/>
          <w:lang w:eastAsia="ru-RU"/>
        </w:rPr>
        <w:t>В субъектах Российской Федерации обучающимися бесплатно используется верифицированный образовательный контент портала «Российская электронная школа» и других региональных информа</w:t>
      </w:r>
      <w:r w:rsidR="000C10AC">
        <w:rPr>
          <w:rFonts w:ascii="Times New Roman" w:eastAsia="Times New Roman" w:hAnsi="Times New Roman" w:cs="Times New Roman"/>
          <w:sz w:val="28"/>
          <w:szCs w:val="28"/>
          <w:lang w:eastAsia="ru-RU"/>
        </w:rPr>
        <w:t>ционных систем.</w:t>
      </w:r>
      <w:r w:rsidR="00E00818">
        <w:rPr>
          <w:rFonts w:ascii="Times New Roman" w:eastAsia="Times New Roman" w:hAnsi="Times New Roman" w:cs="Times New Roman"/>
          <w:sz w:val="28"/>
          <w:szCs w:val="28"/>
          <w:lang w:eastAsia="ru-RU"/>
        </w:rPr>
        <w:t xml:space="preserve"> По данным мониторинга </w:t>
      </w:r>
      <w:r w:rsidRPr="000C161A">
        <w:rPr>
          <w:rFonts w:ascii="Times New Roman" w:eastAsia="Times New Roman" w:hAnsi="Times New Roman" w:cs="Times New Roman"/>
          <w:sz w:val="28"/>
          <w:szCs w:val="28"/>
          <w:lang w:eastAsia="ru-RU"/>
        </w:rPr>
        <w:t>Минпросвещения России, в 2021 г</w:t>
      </w:r>
      <w:r w:rsidR="004E02DD">
        <w:rPr>
          <w:rFonts w:ascii="Times New Roman" w:eastAsia="Times New Roman" w:hAnsi="Times New Roman" w:cs="Times New Roman"/>
          <w:sz w:val="28"/>
          <w:szCs w:val="28"/>
          <w:lang w:eastAsia="ru-RU"/>
        </w:rPr>
        <w:t>.</w:t>
      </w:r>
      <w:r w:rsidRPr="000C161A">
        <w:rPr>
          <w:rFonts w:ascii="Times New Roman" w:eastAsia="Times New Roman" w:hAnsi="Times New Roman" w:cs="Times New Roman"/>
          <w:sz w:val="28"/>
          <w:szCs w:val="28"/>
          <w:lang w:eastAsia="ru-RU"/>
        </w:rPr>
        <w:t xml:space="preserve"> </w:t>
      </w:r>
      <w:r w:rsidR="00E00818" w:rsidRPr="000C161A">
        <w:rPr>
          <w:rFonts w:ascii="Times New Roman" w:eastAsia="Times New Roman" w:hAnsi="Times New Roman" w:cs="Times New Roman"/>
          <w:sz w:val="28"/>
          <w:szCs w:val="28"/>
          <w:lang w:eastAsia="ru-RU"/>
        </w:rPr>
        <w:t>более 9,6 млн</w:t>
      </w:r>
      <w:r w:rsidR="00E00818">
        <w:rPr>
          <w:rFonts w:ascii="Times New Roman" w:eastAsia="Times New Roman" w:hAnsi="Times New Roman" w:cs="Times New Roman"/>
          <w:sz w:val="28"/>
          <w:szCs w:val="28"/>
          <w:lang w:eastAsia="ru-RU"/>
        </w:rPr>
        <w:t xml:space="preserve"> человек (56,65% </w:t>
      </w:r>
      <w:r w:rsidR="00E00818" w:rsidRPr="000C161A">
        <w:rPr>
          <w:rFonts w:ascii="Times New Roman" w:eastAsia="Times New Roman" w:hAnsi="Times New Roman" w:cs="Times New Roman"/>
          <w:sz w:val="28"/>
          <w:szCs w:val="28"/>
          <w:lang w:eastAsia="ru-RU"/>
        </w:rPr>
        <w:t>от общего численности обучающихся)</w:t>
      </w:r>
      <w:r w:rsidR="00E00818">
        <w:rPr>
          <w:rFonts w:ascii="Times New Roman" w:eastAsia="Times New Roman" w:hAnsi="Times New Roman" w:cs="Times New Roman"/>
          <w:sz w:val="28"/>
          <w:szCs w:val="28"/>
          <w:lang w:eastAsia="ru-RU"/>
        </w:rPr>
        <w:t xml:space="preserve"> имели</w:t>
      </w:r>
      <w:r w:rsidRPr="000C161A">
        <w:rPr>
          <w:rFonts w:ascii="Times New Roman" w:eastAsia="Times New Roman" w:hAnsi="Times New Roman" w:cs="Times New Roman"/>
          <w:sz w:val="28"/>
          <w:szCs w:val="28"/>
          <w:lang w:eastAsia="ru-RU"/>
        </w:rPr>
        <w:t xml:space="preserve"> в</w:t>
      </w:r>
      <w:r w:rsidR="000C10AC">
        <w:rPr>
          <w:rFonts w:ascii="Times New Roman" w:eastAsia="Times New Roman" w:hAnsi="Times New Roman" w:cs="Times New Roman"/>
          <w:sz w:val="28"/>
          <w:szCs w:val="28"/>
          <w:lang w:eastAsia="ru-RU"/>
        </w:rPr>
        <w:t xml:space="preserve">озможность бесплатного доступа </w:t>
      </w:r>
      <w:r w:rsidRPr="000C161A">
        <w:rPr>
          <w:rFonts w:ascii="Times New Roman" w:eastAsia="Times New Roman" w:hAnsi="Times New Roman" w:cs="Times New Roman"/>
          <w:sz w:val="28"/>
          <w:szCs w:val="28"/>
          <w:lang w:eastAsia="ru-RU"/>
        </w:rPr>
        <w:t>к верифицированному цифровому образо</w:t>
      </w:r>
      <w:r w:rsidR="000C10AC">
        <w:rPr>
          <w:rFonts w:ascii="Times New Roman" w:eastAsia="Times New Roman" w:hAnsi="Times New Roman" w:cs="Times New Roman"/>
          <w:sz w:val="28"/>
          <w:szCs w:val="28"/>
          <w:lang w:eastAsia="ru-RU"/>
        </w:rPr>
        <w:t xml:space="preserve">вательному контенту и сервисам </w:t>
      </w:r>
      <w:r w:rsidRPr="000C161A">
        <w:rPr>
          <w:rFonts w:ascii="Times New Roman" w:eastAsia="Times New Roman" w:hAnsi="Times New Roman" w:cs="Times New Roman"/>
          <w:sz w:val="28"/>
          <w:szCs w:val="28"/>
          <w:lang w:eastAsia="ru-RU"/>
        </w:rPr>
        <w:t>для самостоятельной подготовки.</w:t>
      </w:r>
    </w:p>
    <w:p w14:paraId="4DB8AC0C" w14:textId="77777777" w:rsidR="004D7255" w:rsidRDefault="000C161A" w:rsidP="000C161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0C161A">
        <w:rPr>
          <w:rFonts w:ascii="Times New Roman" w:eastAsia="Times New Roman" w:hAnsi="Times New Roman" w:cs="Times New Roman"/>
          <w:sz w:val="28"/>
          <w:szCs w:val="28"/>
          <w:lang w:eastAsia="ru-RU"/>
        </w:rPr>
        <w:t>В целях обеспечения онлайн-взаимодействия участников образовательного процесса осуществляется апробация информационно-коммуникационной платформы «</w:t>
      </w:r>
      <w:proofErr w:type="spellStart"/>
      <w:r w:rsidRPr="000C161A">
        <w:rPr>
          <w:rFonts w:ascii="Times New Roman" w:eastAsia="Times New Roman" w:hAnsi="Times New Roman" w:cs="Times New Roman"/>
          <w:sz w:val="28"/>
          <w:szCs w:val="28"/>
          <w:lang w:eastAsia="ru-RU"/>
        </w:rPr>
        <w:t>Сферум</w:t>
      </w:r>
      <w:proofErr w:type="spellEnd"/>
      <w:r w:rsidRPr="000C161A">
        <w:rPr>
          <w:rFonts w:ascii="Times New Roman" w:eastAsia="Times New Roman" w:hAnsi="Times New Roman" w:cs="Times New Roman"/>
          <w:sz w:val="28"/>
          <w:szCs w:val="28"/>
          <w:lang w:eastAsia="ru-RU"/>
        </w:rPr>
        <w:t>», создающей ус</w:t>
      </w:r>
      <w:r w:rsidR="000C10AC">
        <w:rPr>
          <w:rFonts w:ascii="Times New Roman" w:eastAsia="Times New Roman" w:hAnsi="Times New Roman" w:cs="Times New Roman"/>
          <w:sz w:val="28"/>
          <w:szCs w:val="28"/>
          <w:lang w:eastAsia="ru-RU"/>
        </w:rPr>
        <w:t xml:space="preserve">ловия для получения сообщений, </w:t>
      </w:r>
      <w:r w:rsidRPr="000C161A">
        <w:rPr>
          <w:rFonts w:ascii="Times New Roman" w:eastAsia="Times New Roman" w:hAnsi="Times New Roman" w:cs="Times New Roman"/>
          <w:sz w:val="28"/>
          <w:szCs w:val="28"/>
          <w:lang w:eastAsia="ru-RU"/>
        </w:rPr>
        <w:t>мгновенных уведомлений, а также организа</w:t>
      </w:r>
      <w:r w:rsidR="000C10AC">
        <w:rPr>
          <w:rFonts w:ascii="Times New Roman" w:eastAsia="Times New Roman" w:hAnsi="Times New Roman" w:cs="Times New Roman"/>
          <w:sz w:val="28"/>
          <w:szCs w:val="28"/>
          <w:lang w:eastAsia="ru-RU"/>
        </w:rPr>
        <w:t xml:space="preserve">ции звонков и групповых аудио- </w:t>
      </w:r>
      <w:r w:rsidRPr="000C161A">
        <w:rPr>
          <w:rFonts w:ascii="Times New Roman" w:eastAsia="Times New Roman" w:hAnsi="Times New Roman" w:cs="Times New Roman"/>
          <w:sz w:val="28"/>
          <w:szCs w:val="28"/>
          <w:lang w:eastAsia="ru-RU"/>
        </w:rPr>
        <w:t xml:space="preserve">и </w:t>
      </w:r>
      <w:proofErr w:type="spellStart"/>
      <w:r w:rsidRPr="000C161A">
        <w:rPr>
          <w:rFonts w:ascii="Times New Roman" w:eastAsia="Times New Roman" w:hAnsi="Times New Roman" w:cs="Times New Roman"/>
          <w:sz w:val="28"/>
          <w:szCs w:val="28"/>
          <w:lang w:eastAsia="ru-RU"/>
        </w:rPr>
        <w:t>видеозвонков</w:t>
      </w:r>
      <w:proofErr w:type="spellEnd"/>
      <w:r w:rsidRPr="000C161A">
        <w:rPr>
          <w:rFonts w:ascii="Times New Roman" w:eastAsia="Times New Roman" w:hAnsi="Times New Roman" w:cs="Times New Roman"/>
          <w:sz w:val="28"/>
          <w:szCs w:val="28"/>
          <w:lang w:eastAsia="ru-RU"/>
        </w:rPr>
        <w:t xml:space="preserve"> для проведения уроков и родительских собраний. На сегодняшний день платформа «</w:t>
      </w:r>
      <w:proofErr w:type="spellStart"/>
      <w:r w:rsidRPr="000C161A">
        <w:rPr>
          <w:rFonts w:ascii="Times New Roman" w:eastAsia="Times New Roman" w:hAnsi="Times New Roman" w:cs="Times New Roman"/>
          <w:sz w:val="28"/>
          <w:szCs w:val="28"/>
          <w:lang w:eastAsia="ru-RU"/>
        </w:rPr>
        <w:t>Сферум</w:t>
      </w:r>
      <w:proofErr w:type="spellEnd"/>
      <w:r w:rsidRPr="000C161A">
        <w:rPr>
          <w:rFonts w:ascii="Times New Roman" w:eastAsia="Times New Roman" w:hAnsi="Times New Roman" w:cs="Times New Roman"/>
          <w:sz w:val="28"/>
          <w:szCs w:val="28"/>
          <w:lang w:eastAsia="ru-RU"/>
        </w:rPr>
        <w:t xml:space="preserve">» используется </w:t>
      </w:r>
      <w:r w:rsidR="004D7255" w:rsidRPr="000C161A">
        <w:rPr>
          <w:rFonts w:ascii="Times New Roman" w:eastAsia="Times New Roman" w:hAnsi="Times New Roman" w:cs="Times New Roman"/>
          <w:sz w:val="28"/>
          <w:szCs w:val="28"/>
          <w:lang w:eastAsia="ru-RU"/>
        </w:rPr>
        <w:t>более чем 2,4 млн пользовател</w:t>
      </w:r>
      <w:r w:rsidR="004D7255">
        <w:rPr>
          <w:rFonts w:ascii="Times New Roman" w:eastAsia="Times New Roman" w:hAnsi="Times New Roman" w:cs="Times New Roman"/>
          <w:sz w:val="28"/>
          <w:szCs w:val="28"/>
          <w:lang w:eastAsia="ru-RU"/>
        </w:rPr>
        <w:t>ями</w:t>
      </w:r>
      <w:r w:rsidR="004D7255" w:rsidRPr="000C161A">
        <w:rPr>
          <w:rFonts w:ascii="Times New Roman" w:eastAsia="Times New Roman" w:hAnsi="Times New Roman" w:cs="Times New Roman"/>
          <w:sz w:val="28"/>
          <w:szCs w:val="28"/>
          <w:lang w:eastAsia="ru-RU"/>
        </w:rPr>
        <w:t xml:space="preserve"> </w:t>
      </w:r>
      <w:r w:rsidR="004D7255">
        <w:rPr>
          <w:rFonts w:ascii="Times New Roman" w:eastAsia="Times New Roman" w:hAnsi="Times New Roman" w:cs="Times New Roman"/>
          <w:sz w:val="28"/>
          <w:szCs w:val="28"/>
          <w:lang w:eastAsia="ru-RU"/>
        </w:rPr>
        <w:t xml:space="preserve">из </w:t>
      </w:r>
      <w:r w:rsidRPr="000C161A">
        <w:rPr>
          <w:rFonts w:ascii="Times New Roman" w:eastAsia="Times New Roman" w:hAnsi="Times New Roman" w:cs="Times New Roman"/>
          <w:sz w:val="28"/>
          <w:szCs w:val="28"/>
          <w:lang w:eastAsia="ru-RU"/>
        </w:rPr>
        <w:t>81 субъекта Российской Федерации.</w:t>
      </w:r>
    </w:p>
    <w:p w14:paraId="40AD2D4A" w14:textId="77777777" w:rsidR="000C161A" w:rsidRPr="000C161A" w:rsidRDefault="004D7255" w:rsidP="004D7255">
      <w:pPr>
        <w:widowControl w:val="0"/>
        <w:suppressAutoHyphen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того, </w:t>
      </w:r>
      <w:r w:rsidRPr="000C161A">
        <w:rPr>
          <w:rFonts w:ascii="Times New Roman" w:eastAsia="Times New Roman" w:hAnsi="Times New Roman" w:cs="Times New Roman"/>
          <w:sz w:val="28"/>
          <w:szCs w:val="28"/>
          <w:lang w:eastAsia="ru-RU"/>
        </w:rPr>
        <w:t>153,2 тыс.</w:t>
      </w:r>
      <w:r w:rsidRPr="004D7255">
        <w:rPr>
          <w:rFonts w:ascii="Times New Roman" w:eastAsia="Times New Roman" w:hAnsi="Times New Roman" w:cs="Times New Roman"/>
          <w:sz w:val="28"/>
          <w:szCs w:val="28"/>
          <w:lang w:eastAsia="ru-RU"/>
        </w:rPr>
        <w:t xml:space="preserve"> </w:t>
      </w:r>
      <w:r w:rsidRPr="000C161A">
        <w:rPr>
          <w:rFonts w:ascii="Times New Roman" w:eastAsia="Times New Roman" w:hAnsi="Times New Roman" w:cs="Times New Roman"/>
          <w:sz w:val="28"/>
          <w:szCs w:val="28"/>
          <w:lang w:eastAsia="ru-RU"/>
        </w:rPr>
        <w:t>педагогических работников общеобразовательных организаций</w:t>
      </w:r>
      <w:r>
        <w:rPr>
          <w:rFonts w:ascii="Times New Roman" w:eastAsia="Times New Roman" w:hAnsi="Times New Roman" w:cs="Times New Roman"/>
          <w:sz w:val="28"/>
          <w:szCs w:val="28"/>
          <w:lang w:eastAsia="ru-RU"/>
        </w:rPr>
        <w:t xml:space="preserve"> подключены к </w:t>
      </w:r>
      <w:r w:rsidR="000C161A" w:rsidRPr="000C161A">
        <w:rPr>
          <w:rFonts w:ascii="Times New Roman" w:eastAsia="Times New Roman" w:hAnsi="Times New Roman" w:cs="Times New Roman"/>
          <w:sz w:val="28"/>
          <w:szCs w:val="28"/>
          <w:lang w:eastAsia="ru-RU"/>
        </w:rPr>
        <w:t>федеральной информационно-сервисной платформе цифровой образовательной среды и исполь</w:t>
      </w:r>
      <w:r w:rsidR="000C10AC">
        <w:rPr>
          <w:rFonts w:ascii="Times New Roman" w:eastAsia="Times New Roman" w:hAnsi="Times New Roman" w:cs="Times New Roman"/>
          <w:sz w:val="28"/>
          <w:szCs w:val="28"/>
          <w:lang w:eastAsia="ru-RU"/>
        </w:rPr>
        <w:t>зую</w:t>
      </w:r>
      <w:r>
        <w:rPr>
          <w:rFonts w:ascii="Times New Roman" w:eastAsia="Times New Roman" w:hAnsi="Times New Roman" w:cs="Times New Roman"/>
          <w:sz w:val="28"/>
          <w:szCs w:val="28"/>
          <w:lang w:eastAsia="ru-RU"/>
        </w:rPr>
        <w:t>т</w:t>
      </w:r>
      <w:r w:rsidR="000C10AC">
        <w:rPr>
          <w:rFonts w:ascii="Times New Roman" w:eastAsia="Times New Roman" w:hAnsi="Times New Roman" w:cs="Times New Roman"/>
          <w:sz w:val="28"/>
          <w:szCs w:val="28"/>
          <w:lang w:eastAsia="ru-RU"/>
        </w:rPr>
        <w:t xml:space="preserve"> образовательные сервисы </w:t>
      </w:r>
      <w:r w:rsidR="000C161A" w:rsidRPr="000C161A">
        <w:rPr>
          <w:rFonts w:ascii="Times New Roman" w:eastAsia="Times New Roman" w:hAnsi="Times New Roman" w:cs="Times New Roman"/>
          <w:sz w:val="28"/>
          <w:szCs w:val="28"/>
          <w:lang w:eastAsia="ru-RU"/>
        </w:rPr>
        <w:t>на рабочем месте.</w:t>
      </w:r>
    </w:p>
    <w:p w14:paraId="4EAF3D0F" w14:textId="77777777" w:rsidR="000C161A" w:rsidRPr="000C161A" w:rsidRDefault="000C161A" w:rsidP="000C161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0C161A">
        <w:rPr>
          <w:rFonts w:ascii="Times New Roman" w:eastAsia="Times New Roman" w:hAnsi="Times New Roman" w:cs="Times New Roman"/>
          <w:sz w:val="28"/>
          <w:szCs w:val="28"/>
          <w:lang w:eastAsia="ru-RU"/>
        </w:rPr>
        <w:t>В целях развития и поддержки нег</w:t>
      </w:r>
      <w:r w:rsidR="0023174F">
        <w:rPr>
          <w:rFonts w:ascii="Times New Roman" w:eastAsia="Times New Roman" w:hAnsi="Times New Roman" w:cs="Times New Roman"/>
          <w:sz w:val="28"/>
          <w:szCs w:val="28"/>
          <w:lang w:eastAsia="ru-RU"/>
        </w:rPr>
        <w:t xml:space="preserve">осударственных образовательных </w:t>
      </w:r>
      <w:r w:rsidRPr="000C161A">
        <w:rPr>
          <w:rFonts w:ascii="Times New Roman" w:eastAsia="Times New Roman" w:hAnsi="Times New Roman" w:cs="Times New Roman"/>
          <w:sz w:val="28"/>
          <w:szCs w:val="28"/>
          <w:lang w:eastAsia="ru-RU"/>
        </w:rPr>
        <w:t>онлайн-платформ в рамках федерально</w:t>
      </w:r>
      <w:r w:rsidR="0023174F">
        <w:rPr>
          <w:rFonts w:ascii="Times New Roman" w:eastAsia="Times New Roman" w:hAnsi="Times New Roman" w:cs="Times New Roman"/>
          <w:sz w:val="28"/>
          <w:szCs w:val="28"/>
          <w:lang w:eastAsia="ru-RU"/>
        </w:rPr>
        <w:t xml:space="preserve">го проекта «Кадры для цифровой </w:t>
      </w:r>
      <w:r w:rsidRPr="000C161A">
        <w:rPr>
          <w:rFonts w:ascii="Times New Roman" w:eastAsia="Times New Roman" w:hAnsi="Times New Roman" w:cs="Times New Roman"/>
          <w:sz w:val="28"/>
          <w:szCs w:val="28"/>
          <w:lang w:eastAsia="ru-RU"/>
        </w:rPr>
        <w:t>экономики» Национальной программы «Ц</w:t>
      </w:r>
      <w:r w:rsidR="0023174F">
        <w:rPr>
          <w:rFonts w:ascii="Times New Roman" w:eastAsia="Times New Roman" w:hAnsi="Times New Roman" w:cs="Times New Roman"/>
          <w:sz w:val="28"/>
          <w:szCs w:val="28"/>
          <w:lang w:eastAsia="ru-RU"/>
        </w:rPr>
        <w:t xml:space="preserve">ифровая экономика России 2024» </w:t>
      </w:r>
      <w:r w:rsidRPr="000C161A">
        <w:rPr>
          <w:rFonts w:ascii="Times New Roman" w:eastAsia="Times New Roman" w:hAnsi="Times New Roman" w:cs="Times New Roman"/>
          <w:sz w:val="28"/>
          <w:szCs w:val="28"/>
          <w:lang w:eastAsia="ru-RU"/>
        </w:rPr>
        <w:t xml:space="preserve">в </w:t>
      </w:r>
      <w:r w:rsidR="004E02DD">
        <w:rPr>
          <w:rFonts w:ascii="Times New Roman" w:eastAsia="Times New Roman" w:hAnsi="Times New Roman" w:cs="Times New Roman"/>
          <w:sz w:val="28"/>
          <w:szCs w:val="28"/>
          <w:lang w:eastAsia="ru-RU"/>
        </w:rPr>
        <w:t xml:space="preserve">2021-2024 гг. </w:t>
      </w:r>
      <w:r w:rsidRPr="000C161A">
        <w:rPr>
          <w:rFonts w:ascii="Times New Roman" w:eastAsia="Times New Roman" w:hAnsi="Times New Roman" w:cs="Times New Roman"/>
          <w:sz w:val="28"/>
          <w:szCs w:val="28"/>
          <w:lang w:eastAsia="ru-RU"/>
        </w:rPr>
        <w:t xml:space="preserve">выполняется мероприятие по предоставлению образовательным организациям, реализующим программы начального общего, основного общего, среднего общего и среднего профессионального образования, онлайн-доступа к цифровым образовательным ресурсам и сервисам на базе автономной некоммерческой организации высшего образования «Университет </w:t>
      </w:r>
      <w:proofErr w:type="spellStart"/>
      <w:r w:rsidRPr="000C161A">
        <w:rPr>
          <w:rFonts w:ascii="Times New Roman" w:eastAsia="Times New Roman" w:hAnsi="Times New Roman" w:cs="Times New Roman"/>
          <w:sz w:val="28"/>
          <w:szCs w:val="28"/>
          <w:lang w:eastAsia="ru-RU"/>
        </w:rPr>
        <w:t>Иннополис</w:t>
      </w:r>
      <w:proofErr w:type="spellEnd"/>
      <w:r w:rsidRPr="000C161A">
        <w:rPr>
          <w:rFonts w:ascii="Times New Roman" w:eastAsia="Times New Roman" w:hAnsi="Times New Roman" w:cs="Times New Roman"/>
          <w:sz w:val="28"/>
          <w:szCs w:val="28"/>
          <w:lang w:eastAsia="ru-RU"/>
        </w:rPr>
        <w:t xml:space="preserve">». Механизм реализации данного мероприятия предусматривает предоставление на бесплатной основе для всех участников образовательного процесса доступа к цифровым образовательным ресурсам ведущих российских разработчиков (поставщиков цифрового образовательного контента), которые проходит верификацию на соответствие требованиям Минпросвещения России и Федерального закона </w:t>
      </w:r>
      <w:r w:rsidR="004D7255">
        <w:rPr>
          <w:rFonts w:ascii="Times New Roman" w:eastAsia="Times New Roman" w:hAnsi="Times New Roman" w:cs="Times New Roman"/>
          <w:sz w:val="28"/>
          <w:szCs w:val="28"/>
          <w:lang w:eastAsia="ru-RU"/>
        </w:rPr>
        <w:br/>
      </w:r>
      <w:r w:rsidRPr="000C161A">
        <w:rPr>
          <w:rFonts w:ascii="Times New Roman" w:eastAsia="Times New Roman" w:hAnsi="Times New Roman" w:cs="Times New Roman"/>
          <w:sz w:val="28"/>
          <w:szCs w:val="28"/>
          <w:lang w:eastAsia="ru-RU"/>
        </w:rPr>
        <w:t>от 29 декабря 2010 г. № 436-ФЗ «О защите детей от информации, причиняющей вред их здоровью и развитию».</w:t>
      </w:r>
    </w:p>
    <w:p w14:paraId="33C645BC" w14:textId="77777777" w:rsidR="000C161A" w:rsidRPr="000C161A" w:rsidRDefault="000C161A" w:rsidP="000C161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0C161A">
        <w:rPr>
          <w:rFonts w:ascii="Times New Roman" w:eastAsia="Times New Roman" w:hAnsi="Times New Roman" w:cs="Times New Roman"/>
          <w:sz w:val="28"/>
          <w:szCs w:val="28"/>
          <w:lang w:eastAsia="ru-RU"/>
        </w:rPr>
        <w:t>В сентябре 2021 г</w:t>
      </w:r>
      <w:r w:rsidR="00EE1656">
        <w:rPr>
          <w:rFonts w:ascii="Times New Roman" w:eastAsia="Times New Roman" w:hAnsi="Times New Roman" w:cs="Times New Roman"/>
          <w:sz w:val="28"/>
          <w:szCs w:val="28"/>
          <w:lang w:eastAsia="ru-RU"/>
        </w:rPr>
        <w:t>.</w:t>
      </w:r>
      <w:r w:rsidRPr="000C161A">
        <w:rPr>
          <w:rFonts w:ascii="Times New Roman" w:eastAsia="Times New Roman" w:hAnsi="Times New Roman" w:cs="Times New Roman"/>
          <w:sz w:val="28"/>
          <w:szCs w:val="28"/>
          <w:lang w:eastAsia="ru-RU"/>
        </w:rPr>
        <w:t xml:space="preserve"> автономн</w:t>
      </w:r>
      <w:r w:rsidR="0023174F">
        <w:rPr>
          <w:rFonts w:ascii="Times New Roman" w:eastAsia="Times New Roman" w:hAnsi="Times New Roman" w:cs="Times New Roman"/>
          <w:sz w:val="28"/>
          <w:szCs w:val="28"/>
          <w:lang w:eastAsia="ru-RU"/>
        </w:rPr>
        <w:t xml:space="preserve">ой некоммерческой организацией </w:t>
      </w:r>
      <w:r w:rsidRPr="000C161A">
        <w:rPr>
          <w:rFonts w:ascii="Times New Roman" w:eastAsia="Times New Roman" w:hAnsi="Times New Roman" w:cs="Times New Roman"/>
          <w:sz w:val="28"/>
          <w:szCs w:val="28"/>
          <w:lang w:eastAsia="ru-RU"/>
        </w:rPr>
        <w:t xml:space="preserve">высшего образования «Университет </w:t>
      </w:r>
      <w:proofErr w:type="spellStart"/>
      <w:r w:rsidRPr="000C161A">
        <w:rPr>
          <w:rFonts w:ascii="Times New Roman" w:eastAsia="Times New Roman" w:hAnsi="Times New Roman" w:cs="Times New Roman"/>
          <w:sz w:val="28"/>
          <w:szCs w:val="28"/>
          <w:lang w:eastAsia="ru-RU"/>
        </w:rPr>
        <w:t>Иннополис</w:t>
      </w:r>
      <w:proofErr w:type="spellEnd"/>
      <w:r w:rsidRPr="000C161A">
        <w:rPr>
          <w:rFonts w:ascii="Times New Roman" w:eastAsia="Times New Roman" w:hAnsi="Times New Roman" w:cs="Times New Roman"/>
          <w:sz w:val="28"/>
          <w:szCs w:val="28"/>
          <w:lang w:eastAsia="ru-RU"/>
        </w:rPr>
        <w:t>» запущена платформа</w:t>
      </w:r>
      <w:r w:rsidR="0023174F">
        <w:rPr>
          <w:rFonts w:ascii="Times New Roman" w:eastAsia="Times New Roman" w:hAnsi="Times New Roman" w:cs="Times New Roman"/>
          <w:sz w:val="28"/>
          <w:szCs w:val="28"/>
          <w:lang w:eastAsia="ru-RU"/>
        </w:rPr>
        <w:t xml:space="preserve"> бесплатного </w:t>
      </w:r>
      <w:r w:rsidRPr="000C161A">
        <w:rPr>
          <w:rFonts w:ascii="Times New Roman" w:eastAsia="Times New Roman" w:hAnsi="Times New Roman" w:cs="Times New Roman"/>
          <w:sz w:val="28"/>
          <w:szCs w:val="28"/>
          <w:lang w:eastAsia="ru-RU"/>
        </w:rPr>
        <w:t>доступа к цифровому образовательному контенту</w:t>
      </w:r>
      <w:r w:rsidR="0023174F">
        <w:rPr>
          <w:rFonts w:ascii="Times New Roman" w:eastAsia="Times New Roman" w:hAnsi="Times New Roman" w:cs="Times New Roman"/>
          <w:sz w:val="28"/>
          <w:szCs w:val="28"/>
          <w:lang w:eastAsia="ru-RU"/>
        </w:rPr>
        <w:t>:</w:t>
      </w:r>
      <w:r w:rsidRPr="000C161A">
        <w:rPr>
          <w:rFonts w:ascii="Times New Roman" w:eastAsia="Times New Roman" w:hAnsi="Times New Roman" w:cs="Times New Roman"/>
          <w:sz w:val="28"/>
          <w:szCs w:val="28"/>
          <w:lang w:eastAsia="ru-RU"/>
        </w:rPr>
        <w:t xml:space="preserve"> h</w:t>
      </w:r>
      <w:r w:rsidR="0023174F">
        <w:rPr>
          <w:rFonts w:ascii="Times New Roman" w:eastAsia="Times New Roman" w:hAnsi="Times New Roman" w:cs="Times New Roman"/>
          <w:sz w:val="28"/>
          <w:szCs w:val="28"/>
          <w:lang w:eastAsia="ru-RU"/>
        </w:rPr>
        <w:t xml:space="preserve">ttps://educont.ru/, на которой </w:t>
      </w:r>
      <w:r w:rsidRPr="000C161A">
        <w:rPr>
          <w:rFonts w:ascii="Times New Roman" w:eastAsia="Times New Roman" w:hAnsi="Times New Roman" w:cs="Times New Roman"/>
          <w:sz w:val="28"/>
          <w:szCs w:val="28"/>
          <w:lang w:eastAsia="ru-RU"/>
        </w:rPr>
        <w:t>по состоянию на 1 января 2022 г</w:t>
      </w:r>
      <w:r w:rsidR="00EE1656">
        <w:rPr>
          <w:rFonts w:ascii="Times New Roman" w:eastAsia="Times New Roman" w:hAnsi="Times New Roman" w:cs="Times New Roman"/>
          <w:sz w:val="28"/>
          <w:szCs w:val="28"/>
          <w:lang w:eastAsia="ru-RU"/>
        </w:rPr>
        <w:t>.</w:t>
      </w:r>
      <w:r w:rsidRPr="000C161A">
        <w:rPr>
          <w:rFonts w:ascii="Times New Roman" w:eastAsia="Times New Roman" w:hAnsi="Times New Roman" w:cs="Times New Roman"/>
          <w:sz w:val="28"/>
          <w:szCs w:val="28"/>
          <w:lang w:eastAsia="ru-RU"/>
        </w:rPr>
        <w:t xml:space="preserve"> зарегистриро</w:t>
      </w:r>
      <w:r w:rsidR="00CF4730">
        <w:rPr>
          <w:rFonts w:ascii="Times New Roman" w:eastAsia="Times New Roman" w:hAnsi="Times New Roman" w:cs="Times New Roman"/>
          <w:sz w:val="28"/>
          <w:szCs w:val="28"/>
          <w:lang w:eastAsia="ru-RU"/>
        </w:rPr>
        <w:t>вано более 1,4 млн</w:t>
      </w:r>
      <w:r w:rsidR="0023174F">
        <w:rPr>
          <w:rFonts w:ascii="Times New Roman" w:eastAsia="Times New Roman" w:hAnsi="Times New Roman" w:cs="Times New Roman"/>
          <w:sz w:val="28"/>
          <w:szCs w:val="28"/>
          <w:lang w:eastAsia="ru-RU"/>
        </w:rPr>
        <w:t xml:space="preserve"> обучающихся </w:t>
      </w:r>
      <w:r w:rsidRPr="000C161A">
        <w:rPr>
          <w:rFonts w:ascii="Times New Roman" w:eastAsia="Times New Roman" w:hAnsi="Times New Roman" w:cs="Times New Roman"/>
          <w:sz w:val="28"/>
          <w:szCs w:val="28"/>
          <w:lang w:eastAsia="ru-RU"/>
        </w:rPr>
        <w:t>и 221 тыс. педагогов из более чем 24,4 ты</w:t>
      </w:r>
      <w:r w:rsidR="0023174F">
        <w:rPr>
          <w:rFonts w:ascii="Times New Roman" w:eastAsia="Times New Roman" w:hAnsi="Times New Roman" w:cs="Times New Roman"/>
          <w:sz w:val="28"/>
          <w:szCs w:val="28"/>
          <w:lang w:eastAsia="ru-RU"/>
        </w:rPr>
        <w:t xml:space="preserve">с. образовательных организаций </w:t>
      </w:r>
      <w:r w:rsidRPr="000C161A">
        <w:rPr>
          <w:rFonts w:ascii="Times New Roman" w:eastAsia="Times New Roman" w:hAnsi="Times New Roman" w:cs="Times New Roman"/>
          <w:sz w:val="28"/>
          <w:szCs w:val="28"/>
          <w:lang w:eastAsia="ru-RU"/>
        </w:rPr>
        <w:t>(17,6% от общего количества организаций, реализующих соответствующие образовательные программы). По итогам 2021 г</w:t>
      </w:r>
      <w:r w:rsidR="004E02DD">
        <w:rPr>
          <w:rFonts w:ascii="Times New Roman" w:eastAsia="Times New Roman" w:hAnsi="Times New Roman" w:cs="Times New Roman"/>
          <w:sz w:val="28"/>
          <w:szCs w:val="28"/>
          <w:lang w:eastAsia="ru-RU"/>
        </w:rPr>
        <w:t>.</w:t>
      </w:r>
      <w:r w:rsidRPr="000C161A">
        <w:rPr>
          <w:rFonts w:ascii="Times New Roman" w:eastAsia="Times New Roman" w:hAnsi="Times New Roman" w:cs="Times New Roman"/>
          <w:sz w:val="28"/>
          <w:szCs w:val="28"/>
          <w:lang w:eastAsia="ru-RU"/>
        </w:rPr>
        <w:t xml:space="preserve"> на указанной платформе представлен в бесплатном доступе ци</w:t>
      </w:r>
      <w:r w:rsidR="0023174F">
        <w:rPr>
          <w:rFonts w:ascii="Times New Roman" w:eastAsia="Times New Roman" w:hAnsi="Times New Roman" w:cs="Times New Roman"/>
          <w:sz w:val="28"/>
          <w:szCs w:val="28"/>
          <w:lang w:eastAsia="ru-RU"/>
        </w:rPr>
        <w:t xml:space="preserve">фровой образовательный контент </w:t>
      </w:r>
      <w:r w:rsidRPr="000C161A">
        <w:rPr>
          <w:rFonts w:ascii="Times New Roman" w:eastAsia="Times New Roman" w:hAnsi="Times New Roman" w:cs="Times New Roman"/>
          <w:sz w:val="28"/>
          <w:szCs w:val="28"/>
          <w:lang w:eastAsia="ru-RU"/>
        </w:rPr>
        <w:t>от 5 поставщиков (ЗАО «Новый диск», ООО «</w:t>
      </w:r>
      <w:proofErr w:type="spellStart"/>
      <w:r w:rsidRPr="000C161A">
        <w:rPr>
          <w:rFonts w:ascii="Times New Roman" w:eastAsia="Times New Roman" w:hAnsi="Times New Roman" w:cs="Times New Roman"/>
          <w:sz w:val="28"/>
          <w:szCs w:val="28"/>
          <w:lang w:eastAsia="ru-RU"/>
        </w:rPr>
        <w:t>Фоксфорд</w:t>
      </w:r>
      <w:proofErr w:type="spellEnd"/>
      <w:r w:rsidRPr="000C161A">
        <w:rPr>
          <w:rFonts w:ascii="Times New Roman" w:eastAsia="Times New Roman" w:hAnsi="Times New Roman" w:cs="Times New Roman"/>
          <w:sz w:val="28"/>
          <w:szCs w:val="28"/>
          <w:lang w:eastAsia="ru-RU"/>
        </w:rPr>
        <w:t>», ООО «МЭО», ООО «</w:t>
      </w:r>
      <w:proofErr w:type="spellStart"/>
      <w:r w:rsidRPr="000C161A">
        <w:rPr>
          <w:rFonts w:ascii="Times New Roman" w:eastAsia="Times New Roman" w:hAnsi="Times New Roman" w:cs="Times New Roman"/>
          <w:sz w:val="28"/>
          <w:szCs w:val="28"/>
          <w:lang w:eastAsia="ru-RU"/>
        </w:rPr>
        <w:t>Учи.ру</w:t>
      </w:r>
      <w:proofErr w:type="spellEnd"/>
      <w:r w:rsidRPr="000C161A">
        <w:rPr>
          <w:rFonts w:ascii="Times New Roman" w:eastAsia="Times New Roman" w:hAnsi="Times New Roman" w:cs="Times New Roman"/>
          <w:sz w:val="28"/>
          <w:szCs w:val="28"/>
          <w:lang w:eastAsia="ru-RU"/>
        </w:rPr>
        <w:t>», ООО «1С-Паблишинг»).</w:t>
      </w:r>
    </w:p>
    <w:p w14:paraId="586E1C9B" w14:textId="77777777" w:rsidR="000C161A" w:rsidRPr="000C161A" w:rsidRDefault="000C161A" w:rsidP="000C161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0C161A">
        <w:rPr>
          <w:rFonts w:ascii="Times New Roman" w:eastAsia="Times New Roman" w:hAnsi="Times New Roman" w:cs="Times New Roman"/>
          <w:sz w:val="28"/>
          <w:szCs w:val="28"/>
          <w:lang w:eastAsia="ru-RU"/>
        </w:rPr>
        <w:t xml:space="preserve">В рамках реализации норм Федерального закона от 26 мая 2021 г. № 144-ФЗ </w:t>
      </w:r>
      <w:r w:rsidR="000A2CB3">
        <w:rPr>
          <w:rFonts w:ascii="Times New Roman" w:eastAsia="Times New Roman" w:hAnsi="Times New Roman" w:cs="Times New Roman"/>
          <w:sz w:val="28"/>
          <w:szCs w:val="28"/>
          <w:lang w:eastAsia="ru-RU"/>
        </w:rPr>
        <w:br/>
      </w:r>
      <w:r w:rsidRPr="000C161A">
        <w:rPr>
          <w:rFonts w:ascii="Times New Roman" w:eastAsia="Times New Roman" w:hAnsi="Times New Roman" w:cs="Times New Roman"/>
          <w:sz w:val="28"/>
          <w:szCs w:val="28"/>
          <w:lang w:eastAsia="ru-RU"/>
        </w:rPr>
        <w:t xml:space="preserve">«О внесении изменений в Федеральный закон «Об образовании в Российской Федерации», а также в целях повышения качества экспертизы учебников </w:t>
      </w:r>
      <w:r w:rsidR="004D7255" w:rsidRPr="000C161A">
        <w:rPr>
          <w:rFonts w:ascii="Times New Roman" w:eastAsia="Times New Roman" w:hAnsi="Times New Roman" w:cs="Times New Roman"/>
          <w:sz w:val="28"/>
          <w:szCs w:val="28"/>
          <w:lang w:eastAsia="ru-RU"/>
        </w:rPr>
        <w:t>приказ</w:t>
      </w:r>
      <w:r w:rsidR="004D7255">
        <w:rPr>
          <w:rFonts w:ascii="Times New Roman" w:eastAsia="Times New Roman" w:hAnsi="Times New Roman" w:cs="Times New Roman"/>
          <w:sz w:val="28"/>
          <w:szCs w:val="28"/>
          <w:lang w:eastAsia="ru-RU"/>
        </w:rPr>
        <w:t>ом</w:t>
      </w:r>
      <w:r w:rsidR="004D7255" w:rsidRPr="000C161A">
        <w:rPr>
          <w:rFonts w:ascii="Times New Roman" w:eastAsia="Times New Roman" w:hAnsi="Times New Roman" w:cs="Times New Roman"/>
          <w:sz w:val="28"/>
          <w:szCs w:val="28"/>
          <w:lang w:eastAsia="ru-RU"/>
        </w:rPr>
        <w:t xml:space="preserve"> Минпросвещения России от 12 ноября 2021 г. № 819</w:t>
      </w:r>
      <w:r w:rsidR="004D7255">
        <w:rPr>
          <w:rFonts w:ascii="Times New Roman" w:eastAsia="Times New Roman" w:hAnsi="Times New Roman" w:cs="Times New Roman"/>
          <w:sz w:val="28"/>
          <w:szCs w:val="28"/>
          <w:lang w:eastAsia="ru-RU"/>
        </w:rPr>
        <w:t xml:space="preserve"> </w:t>
      </w:r>
      <w:r w:rsidRPr="000C161A">
        <w:rPr>
          <w:rFonts w:ascii="Times New Roman" w:eastAsia="Times New Roman" w:hAnsi="Times New Roman" w:cs="Times New Roman"/>
          <w:sz w:val="28"/>
          <w:szCs w:val="28"/>
          <w:lang w:eastAsia="ru-RU"/>
        </w:rPr>
        <w:t xml:space="preserve">утвержден Порядок формирования федерального перечня учебников. </w:t>
      </w:r>
      <w:r w:rsidR="004D7255">
        <w:rPr>
          <w:rFonts w:ascii="Times New Roman" w:eastAsia="Times New Roman" w:hAnsi="Times New Roman" w:cs="Times New Roman"/>
          <w:sz w:val="28"/>
          <w:szCs w:val="28"/>
          <w:lang w:eastAsia="ru-RU"/>
        </w:rPr>
        <w:t>Указанным Порядком</w:t>
      </w:r>
      <w:r w:rsidRPr="000C161A">
        <w:rPr>
          <w:rFonts w:ascii="Times New Roman" w:eastAsia="Times New Roman" w:hAnsi="Times New Roman" w:cs="Times New Roman"/>
          <w:sz w:val="28"/>
          <w:szCs w:val="28"/>
          <w:lang w:eastAsia="ru-RU"/>
        </w:rPr>
        <w:t xml:space="preserve"> предусмотрено обязательное проведение предварительной экспертизы учебников, заключающейся в анализе и оценке соответствия содержания учебника определ</w:t>
      </w:r>
      <w:r w:rsidR="000A2CB3">
        <w:rPr>
          <w:rFonts w:ascii="Times New Roman" w:eastAsia="Times New Roman" w:hAnsi="Times New Roman" w:cs="Times New Roman"/>
          <w:sz w:val="28"/>
          <w:szCs w:val="28"/>
          <w:lang w:eastAsia="ru-RU"/>
        </w:rPr>
        <w:t xml:space="preserve">енным критериям (не менее 40), </w:t>
      </w:r>
      <w:r w:rsidRPr="000C161A">
        <w:rPr>
          <w:rFonts w:ascii="Times New Roman" w:eastAsia="Times New Roman" w:hAnsi="Times New Roman" w:cs="Times New Roman"/>
          <w:sz w:val="28"/>
          <w:szCs w:val="28"/>
          <w:lang w:eastAsia="ru-RU"/>
        </w:rPr>
        <w:t>в том числе таким</w:t>
      </w:r>
      <w:r w:rsidR="004D7255">
        <w:rPr>
          <w:rFonts w:ascii="Times New Roman" w:eastAsia="Times New Roman" w:hAnsi="Times New Roman" w:cs="Times New Roman"/>
          <w:sz w:val="28"/>
          <w:szCs w:val="28"/>
          <w:lang w:eastAsia="ru-RU"/>
        </w:rPr>
        <w:t>,</w:t>
      </w:r>
      <w:r w:rsidRPr="000C161A">
        <w:rPr>
          <w:rFonts w:ascii="Times New Roman" w:eastAsia="Times New Roman" w:hAnsi="Times New Roman" w:cs="Times New Roman"/>
          <w:sz w:val="28"/>
          <w:szCs w:val="28"/>
          <w:lang w:eastAsia="ru-RU"/>
        </w:rPr>
        <w:t xml:space="preserve"> как обеспечение со</w:t>
      </w:r>
      <w:r w:rsidR="000A2CB3">
        <w:rPr>
          <w:rFonts w:ascii="Times New Roman" w:eastAsia="Times New Roman" w:hAnsi="Times New Roman" w:cs="Times New Roman"/>
          <w:sz w:val="28"/>
          <w:szCs w:val="28"/>
          <w:lang w:eastAsia="ru-RU"/>
        </w:rPr>
        <w:t xml:space="preserve">ответствия содержания учебника </w:t>
      </w:r>
      <w:r w:rsidRPr="000C161A">
        <w:rPr>
          <w:rFonts w:ascii="Times New Roman" w:eastAsia="Times New Roman" w:hAnsi="Times New Roman" w:cs="Times New Roman"/>
          <w:sz w:val="28"/>
          <w:szCs w:val="28"/>
          <w:lang w:eastAsia="ru-RU"/>
        </w:rPr>
        <w:t xml:space="preserve">требованиям </w:t>
      </w:r>
      <w:r w:rsidR="004D7255">
        <w:rPr>
          <w:rFonts w:ascii="Times New Roman" w:eastAsia="Times New Roman" w:hAnsi="Times New Roman" w:cs="Times New Roman"/>
          <w:sz w:val="28"/>
          <w:szCs w:val="28"/>
          <w:lang w:eastAsia="ru-RU"/>
        </w:rPr>
        <w:t>ФГОС</w:t>
      </w:r>
      <w:r w:rsidRPr="000C161A">
        <w:rPr>
          <w:rFonts w:ascii="Times New Roman" w:eastAsia="Times New Roman" w:hAnsi="Times New Roman" w:cs="Times New Roman"/>
          <w:sz w:val="28"/>
          <w:szCs w:val="28"/>
          <w:lang w:eastAsia="ru-RU"/>
        </w:rPr>
        <w:t>, отражение в учебнике вклада российских деятелей науки, культуры, а также выдающихся изобретателей и инженеров России в развитие научных знаний, культуры и технологического развития (при условии применимости), а также отсутствие в содержании</w:t>
      </w:r>
      <w:r w:rsidR="004D7255">
        <w:rPr>
          <w:rFonts w:ascii="Times New Roman" w:eastAsia="Times New Roman" w:hAnsi="Times New Roman" w:cs="Times New Roman"/>
          <w:sz w:val="28"/>
          <w:szCs w:val="28"/>
          <w:lang w:eastAsia="ru-RU"/>
        </w:rPr>
        <w:t xml:space="preserve">, </w:t>
      </w:r>
      <w:r w:rsidRPr="000C161A">
        <w:rPr>
          <w:rFonts w:ascii="Times New Roman" w:eastAsia="Times New Roman" w:hAnsi="Times New Roman" w:cs="Times New Roman"/>
          <w:sz w:val="28"/>
          <w:szCs w:val="28"/>
          <w:lang w:eastAsia="ru-RU"/>
        </w:rPr>
        <w:t>в том числе в иллюстративном материале</w:t>
      </w:r>
      <w:r w:rsidR="004D7255">
        <w:rPr>
          <w:rFonts w:ascii="Times New Roman" w:eastAsia="Times New Roman" w:hAnsi="Times New Roman" w:cs="Times New Roman"/>
          <w:sz w:val="28"/>
          <w:szCs w:val="28"/>
          <w:lang w:eastAsia="ru-RU"/>
        </w:rPr>
        <w:t>,</w:t>
      </w:r>
      <w:r w:rsidRPr="000C161A">
        <w:rPr>
          <w:rFonts w:ascii="Times New Roman" w:eastAsia="Times New Roman" w:hAnsi="Times New Roman" w:cs="Times New Roman"/>
          <w:sz w:val="28"/>
          <w:szCs w:val="28"/>
          <w:lang w:eastAsia="ru-RU"/>
        </w:rPr>
        <w:t xml:space="preserve"> учебника недостоверных, научно неподтвержденных и сфаб</w:t>
      </w:r>
      <w:r w:rsidR="000A2CB3">
        <w:rPr>
          <w:rFonts w:ascii="Times New Roman" w:eastAsia="Times New Roman" w:hAnsi="Times New Roman" w:cs="Times New Roman"/>
          <w:sz w:val="28"/>
          <w:szCs w:val="28"/>
          <w:lang w:eastAsia="ru-RU"/>
        </w:rPr>
        <w:t xml:space="preserve">рикованных фактов, в том числе </w:t>
      </w:r>
      <w:r w:rsidRPr="000C161A">
        <w:rPr>
          <w:rFonts w:ascii="Times New Roman" w:eastAsia="Times New Roman" w:hAnsi="Times New Roman" w:cs="Times New Roman"/>
          <w:sz w:val="28"/>
          <w:szCs w:val="28"/>
          <w:lang w:eastAsia="ru-RU"/>
        </w:rPr>
        <w:t xml:space="preserve">о событиях и участниках Второй </w:t>
      </w:r>
      <w:r w:rsidR="004D7255">
        <w:rPr>
          <w:rFonts w:ascii="Times New Roman" w:eastAsia="Times New Roman" w:hAnsi="Times New Roman" w:cs="Times New Roman"/>
          <w:sz w:val="28"/>
          <w:szCs w:val="28"/>
          <w:lang w:eastAsia="ru-RU"/>
        </w:rPr>
        <w:t>М</w:t>
      </w:r>
      <w:r w:rsidRPr="000C161A">
        <w:rPr>
          <w:rFonts w:ascii="Times New Roman" w:eastAsia="Times New Roman" w:hAnsi="Times New Roman" w:cs="Times New Roman"/>
          <w:sz w:val="28"/>
          <w:szCs w:val="28"/>
          <w:lang w:eastAsia="ru-RU"/>
        </w:rPr>
        <w:t>ировой войны.</w:t>
      </w:r>
    </w:p>
    <w:p w14:paraId="134C41F3" w14:textId="77777777" w:rsidR="000C161A" w:rsidRPr="000C161A" w:rsidRDefault="000C161A" w:rsidP="000C161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0C161A">
        <w:rPr>
          <w:rFonts w:ascii="Times New Roman" w:eastAsia="Times New Roman" w:hAnsi="Times New Roman" w:cs="Times New Roman"/>
          <w:sz w:val="28"/>
          <w:szCs w:val="28"/>
          <w:lang w:eastAsia="ru-RU"/>
        </w:rPr>
        <w:t>С целью обеспечения условий для развития у детей актуальных навыков, эффективного освоения ими предметных знаний и повышения качества общего образования в рамках федерального п</w:t>
      </w:r>
      <w:r w:rsidR="000A2CB3">
        <w:rPr>
          <w:rFonts w:ascii="Times New Roman" w:eastAsia="Times New Roman" w:hAnsi="Times New Roman" w:cs="Times New Roman"/>
          <w:sz w:val="28"/>
          <w:szCs w:val="28"/>
          <w:lang w:eastAsia="ru-RU"/>
        </w:rPr>
        <w:t xml:space="preserve">роекта «Современная школа» </w:t>
      </w:r>
      <w:r w:rsidRPr="000C161A">
        <w:rPr>
          <w:rFonts w:ascii="Times New Roman" w:eastAsia="Times New Roman" w:hAnsi="Times New Roman" w:cs="Times New Roman"/>
          <w:sz w:val="28"/>
          <w:szCs w:val="28"/>
          <w:lang w:eastAsia="ru-RU"/>
        </w:rPr>
        <w:t>национального проекта «Образование» с 2</w:t>
      </w:r>
      <w:r w:rsidR="000A2CB3">
        <w:rPr>
          <w:rFonts w:ascii="Times New Roman" w:eastAsia="Times New Roman" w:hAnsi="Times New Roman" w:cs="Times New Roman"/>
          <w:sz w:val="28"/>
          <w:szCs w:val="28"/>
          <w:lang w:eastAsia="ru-RU"/>
        </w:rPr>
        <w:t>019 г</w:t>
      </w:r>
      <w:r w:rsidR="004E02DD">
        <w:rPr>
          <w:rFonts w:ascii="Times New Roman" w:eastAsia="Times New Roman" w:hAnsi="Times New Roman" w:cs="Times New Roman"/>
          <w:sz w:val="28"/>
          <w:szCs w:val="28"/>
          <w:lang w:eastAsia="ru-RU"/>
        </w:rPr>
        <w:t>.</w:t>
      </w:r>
      <w:r w:rsidR="000A2CB3">
        <w:rPr>
          <w:rFonts w:ascii="Times New Roman" w:eastAsia="Times New Roman" w:hAnsi="Times New Roman" w:cs="Times New Roman"/>
          <w:sz w:val="28"/>
          <w:szCs w:val="28"/>
          <w:lang w:eastAsia="ru-RU"/>
        </w:rPr>
        <w:t xml:space="preserve"> осуществляется работа </w:t>
      </w:r>
      <w:r w:rsidRPr="000C161A">
        <w:rPr>
          <w:rFonts w:ascii="Times New Roman" w:eastAsia="Times New Roman" w:hAnsi="Times New Roman" w:cs="Times New Roman"/>
          <w:sz w:val="28"/>
          <w:szCs w:val="28"/>
          <w:lang w:eastAsia="ru-RU"/>
        </w:rPr>
        <w:t>по созданию центров образования естественнонаучной и технологической направленностей «Точка роста» путем обно</w:t>
      </w:r>
      <w:r w:rsidR="000A2CB3">
        <w:rPr>
          <w:rFonts w:ascii="Times New Roman" w:eastAsia="Times New Roman" w:hAnsi="Times New Roman" w:cs="Times New Roman"/>
          <w:sz w:val="28"/>
          <w:szCs w:val="28"/>
          <w:lang w:eastAsia="ru-RU"/>
        </w:rPr>
        <w:t xml:space="preserve">вления материально-технической </w:t>
      </w:r>
      <w:r w:rsidRPr="000C161A">
        <w:rPr>
          <w:rFonts w:ascii="Times New Roman" w:eastAsia="Times New Roman" w:hAnsi="Times New Roman" w:cs="Times New Roman"/>
          <w:sz w:val="28"/>
          <w:szCs w:val="28"/>
          <w:lang w:eastAsia="ru-RU"/>
        </w:rPr>
        <w:t>базы общеобразовательных организаций, расп</w:t>
      </w:r>
      <w:r w:rsidR="000A2CB3">
        <w:rPr>
          <w:rFonts w:ascii="Times New Roman" w:eastAsia="Times New Roman" w:hAnsi="Times New Roman" w:cs="Times New Roman"/>
          <w:sz w:val="28"/>
          <w:szCs w:val="28"/>
          <w:lang w:eastAsia="ru-RU"/>
        </w:rPr>
        <w:t xml:space="preserve">оложенных в сельской местности </w:t>
      </w:r>
      <w:r w:rsidRPr="000C161A">
        <w:rPr>
          <w:rFonts w:ascii="Times New Roman" w:eastAsia="Times New Roman" w:hAnsi="Times New Roman" w:cs="Times New Roman"/>
          <w:sz w:val="28"/>
          <w:szCs w:val="28"/>
          <w:lang w:eastAsia="ru-RU"/>
        </w:rPr>
        <w:t>и малых городах.</w:t>
      </w:r>
    </w:p>
    <w:p w14:paraId="6F8AC05F" w14:textId="77777777" w:rsidR="000C161A" w:rsidRPr="000C161A" w:rsidRDefault="000C161A" w:rsidP="000C161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0C161A">
        <w:rPr>
          <w:rFonts w:ascii="Times New Roman" w:eastAsia="Times New Roman" w:hAnsi="Times New Roman" w:cs="Times New Roman"/>
          <w:sz w:val="28"/>
          <w:szCs w:val="28"/>
          <w:lang w:eastAsia="ru-RU"/>
        </w:rPr>
        <w:t xml:space="preserve">Основной задачей центров </w:t>
      </w:r>
      <w:r w:rsidR="000A2CB3">
        <w:rPr>
          <w:rFonts w:ascii="Times New Roman" w:eastAsia="Times New Roman" w:hAnsi="Times New Roman" w:cs="Times New Roman"/>
          <w:sz w:val="28"/>
          <w:szCs w:val="28"/>
          <w:lang w:eastAsia="ru-RU"/>
        </w:rPr>
        <w:t xml:space="preserve">образования естественнонаучной </w:t>
      </w:r>
      <w:r w:rsidRPr="000C161A">
        <w:rPr>
          <w:rFonts w:ascii="Times New Roman" w:eastAsia="Times New Roman" w:hAnsi="Times New Roman" w:cs="Times New Roman"/>
          <w:sz w:val="28"/>
          <w:szCs w:val="28"/>
          <w:lang w:eastAsia="ru-RU"/>
        </w:rPr>
        <w:t>и технологической направленностей «Точка Роста» является охват обучающихся общеобразовательных организаций программами основного и дополнительного общего образования естественнонаучной и т</w:t>
      </w:r>
      <w:r w:rsidR="000A2CB3">
        <w:rPr>
          <w:rFonts w:ascii="Times New Roman" w:eastAsia="Times New Roman" w:hAnsi="Times New Roman" w:cs="Times New Roman"/>
          <w:sz w:val="28"/>
          <w:szCs w:val="28"/>
          <w:lang w:eastAsia="ru-RU"/>
        </w:rPr>
        <w:t xml:space="preserve">ехнологической направленностей </w:t>
      </w:r>
      <w:r w:rsidRPr="000C161A">
        <w:rPr>
          <w:rFonts w:ascii="Times New Roman" w:eastAsia="Times New Roman" w:hAnsi="Times New Roman" w:cs="Times New Roman"/>
          <w:sz w:val="28"/>
          <w:szCs w:val="28"/>
          <w:lang w:eastAsia="ru-RU"/>
        </w:rPr>
        <w:t>на созданной (обновленной) материально</w:t>
      </w:r>
      <w:r w:rsidR="000A2CB3">
        <w:rPr>
          <w:rFonts w:ascii="Times New Roman" w:eastAsia="Times New Roman" w:hAnsi="Times New Roman" w:cs="Times New Roman"/>
          <w:sz w:val="28"/>
          <w:szCs w:val="28"/>
          <w:lang w:eastAsia="ru-RU"/>
        </w:rPr>
        <w:t xml:space="preserve">-технической базе, в том числе </w:t>
      </w:r>
      <w:r w:rsidRPr="000C161A">
        <w:rPr>
          <w:rFonts w:ascii="Times New Roman" w:eastAsia="Times New Roman" w:hAnsi="Times New Roman" w:cs="Times New Roman"/>
          <w:sz w:val="28"/>
          <w:szCs w:val="28"/>
          <w:lang w:eastAsia="ru-RU"/>
        </w:rPr>
        <w:t>с использованием дистанционных форм обучения и сетевой формы реализации образовательных программ. При этом до 2020 г</w:t>
      </w:r>
      <w:r w:rsidR="004E02DD">
        <w:rPr>
          <w:rFonts w:ascii="Times New Roman" w:eastAsia="Times New Roman" w:hAnsi="Times New Roman" w:cs="Times New Roman"/>
          <w:sz w:val="28"/>
          <w:szCs w:val="28"/>
          <w:lang w:eastAsia="ru-RU"/>
        </w:rPr>
        <w:t>.</w:t>
      </w:r>
      <w:r w:rsidRPr="000C161A">
        <w:rPr>
          <w:rFonts w:ascii="Times New Roman" w:eastAsia="Times New Roman" w:hAnsi="Times New Roman" w:cs="Times New Roman"/>
          <w:sz w:val="28"/>
          <w:szCs w:val="28"/>
          <w:lang w:eastAsia="ru-RU"/>
        </w:rPr>
        <w:t xml:space="preserve"> (включительно) основными направлениями деятельности создаваемых центров образования естественнонаучной и технологической направленностей «Точка </w:t>
      </w:r>
      <w:r w:rsidR="000A2CB3">
        <w:rPr>
          <w:rFonts w:ascii="Times New Roman" w:eastAsia="Times New Roman" w:hAnsi="Times New Roman" w:cs="Times New Roman"/>
          <w:sz w:val="28"/>
          <w:szCs w:val="28"/>
          <w:lang w:eastAsia="ru-RU"/>
        </w:rPr>
        <w:t xml:space="preserve">роста» являлось обучение детей </w:t>
      </w:r>
      <w:r w:rsidRPr="000C161A">
        <w:rPr>
          <w:rFonts w:ascii="Times New Roman" w:eastAsia="Times New Roman" w:hAnsi="Times New Roman" w:cs="Times New Roman"/>
          <w:sz w:val="28"/>
          <w:szCs w:val="28"/>
          <w:lang w:eastAsia="ru-RU"/>
        </w:rPr>
        <w:t>по основным и дополнительным общеобразовательным п</w:t>
      </w:r>
      <w:r w:rsidR="000A2CB3">
        <w:rPr>
          <w:rFonts w:ascii="Times New Roman" w:eastAsia="Times New Roman" w:hAnsi="Times New Roman" w:cs="Times New Roman"/>
          <w:sz w:val="28"/>
          <w:szCs w:val="28"/>
          <w:lang w:eastAsia="ru-RU"/>
        </w:rPr>
        <w:t xml:space="preserve">рограммам цифрового </w:t>
      </w:r>
      <w:r w:rsidRPr="000C161A">
        <w:rPr>
          <w:rFonts w:ascii="Times New Roman" w:eastAsia="Times New Roman" w:hAnsi="Times New Roman" w:cs="Times New Roman"/>
          <w:sz w:val="28"/>
          <w:szCs w:val="28"/>
          <w:lang w:eastAsia="ru-RU"/>
        </w:rPr>
        <w:t>и гуманитарного профилей.</w:t>
      </w:r>
    </w:p>
    <w:p w14:paraId="3902E616" w14:textId="430F604B" w:rsidR="000C161A" w:rsidRPr="000C161A" w:rsidRDefault="000C161A" w:rsidP="000C161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0C161A">
        <w:rPr>
          <w:rFonts w:ascii="Times New Roman" w:eastAsia="Times New Roman" w:hAnsi="Times New Roman" w:cs="Times New Roman"/>
          <w:sz w:val="28"/>
          <w:szCs w:val="28"/>
          <w:lang w:eastAsia="ru-RU"/>
        </w:rPr>
        <w:t>В 2021 г</w:t>
      </w:r>
      <w:r w:rsidR="004E02DD">
        <w:rPr>
          <w:rFonts w:ascii="Times New Roman" w:eastAsia="Times New Roman" w:hAnsi="Times New Roman" w:cs="Times New Roman"/>
          <w:sz w:val="28"/>
          <w:szCs w:val="28"/>
          <w:lang w:eastAsia="ru-RU"/>
        </w:rPr>
        <w:t>.</w:t>
      </w:r>
      <w:r w:rsidRPr="000C161A">
        <w:rPr>
          <w:rFonts w:ascii="Times New Roman" w:eastAsia="Times New Roman" w:hAnsi="Times New Roman" w:cs="Times New Roman"/>
          <w:sz w:val="28"/>
          <w:szCs w:val="28"/>
          <w:lang w:eastAsia="ru-RU"/>
        </w:rPr>
        <w:t xml:space="preserve"> на базе общеобразовательных организаций 82 субъектов Российской Федерации, расположенных в сельской местности и малых городах, создано </w:t>
      </w:r>
      <w:r w:rsidR="004E02DD">
        <w:rPr>
          <w:rFonts w:ascii="Times New Roman" w:eastAsia="Times New Roman" w:hAnsi="Times New Roman" w:cs="Times New Roman"/>
          <w:sz w:val="28"/>
          <w:szCs w:val="28"/>
          <w:lang w:eastAsia="ru-RU"/>
        </w:rPr>
        <w:br/>
      </w:r>
      <w:r w:rsidRPr="000C161A">
        <w:rPr>
          <w:rFonts w:ascii="Times New Roman" w:eastAsia="Times New Roman" w:hAnsi="Times New Roman" w:cs="Times New Roman"/>
          <w:sz w:val="28"/>
          <w:szCs w:val="28"/>
          <w:lang w:eastAsia="ru-RU"/>
        </w:rPr>
        <w:t>4 500 центров образования естественнонаучной и технологической направленностей «Точка роста» (всего с начала проекта создано 9 500 таких центров в 82 субъектах Российской Федерации), деятельностью которых к концу 2021 г</w:t>
      </w:r>
      <w:r w:rsidR="004E02DD">
        <w:rPr>
          <w:rFonts w:ascii="Times New Roman" w:eastAsia="Times New Roman" w:hAnsi="Times New Roman" w:cs="Times New Roman"/>
          <w:sz w:val="28"/>
          <w:szCs w:val="28"/>
          <w:lang w:eastAsia="ru-RU"/>
        </w:rPr>
        <w:t>.</w:t>
      </w:r>
      <w:r w:rsidRPr="000C161A">
        <w:rPr>
          <w:rFonts w:ascii="Times New Roman" w:eastAsia="Times New Roman" w:hAnsi="Times New Roman" w:cs="Times New Roman"/>
          <w:sz w:val="28"/>
          <w:szCs w:val="28"/>
          <w:lang w:eastAsia="ru-RU"/>
        </w:rPr>
        <w:t xml:space="preserve"> охвачено более </w:t>
      </w:r>
      <w:r w:rsidR="004E02DD">
        <w:rPr>
          <w:rFonts w:ascii="Times New Roman" w:eastAsia="Times New Roman" w:hAnsi="Times New Roman" w:cs="Times New Roman"/>
          <w:sz w:val="28"/>
          <w:szCs w:val="28"/>
          <w:lang w:eastAsia="ru-RU"/>
        </w:rPr>
        <w:br/>
      </w:r>
      <w:r w:rsidRPr="000C161A">
        <w:rPr>
          <w:rFonts w:ascii="Times New Roman" w:eastAsia="Times New Roman" w:hAnsi="Times New Roman" w:cs="Times New Roman"/>
          <w:sz w:val="28"/>
          <w:szCs w:val="28"/>
          <w:lang w:eastAsia="ru-RU"/>
        </w:rPr>
        <w:t>3,5 млн детей (2020 г</w:t>
      </w:r>
      <w:r w:rsidR="000A2CB3">
        <w:rPr>
          <w:rFonts w:ascii="Times New Roman" w:eastAsia="Times New Roman" w:hAnsi="Times New Roman" w:cs="Times New Roman"/>
          <w:sz w:val="28"/>
          <w:szCs w:val="28"/>
          <w:lang w:eastAsia="ru-RU"/>
        </w:rPr>
        <w:t>.</w:t>
      </w:r>
      <w:r w:rsidRPr="000C161A">
        <w:rPr>
          <w:rFonts w:ascii="Times New Roman" w:eastAsia="Times New Roman" w:hAnsi="Times New Roman" w:cs="Times New Roman"/>
          <w:sz w:val="28"/>
          <w:szCs w:val="28"/>
          <w:lang w:eastAsia="ru-RU"/>
        </w:rPr>
        <w:t xml:space="preserve"> – 1,6 млн детей). Ключевой особенностью центров образования естественнонаучной и технологической направленностей «Точка роста» являются условия для обновления подходов и содержания преподавания учебных предметов «Физика», «Химия», «Биология» (в центрах, созданных до 2021 г</w:t>
      </w:r>
      <w:r w:rsidR="004E02DD">
        <w:rPr>
          <w:rFonts w:ascii="Times New Roman" w:eastAsia="Times New Roman" w:hAnsi="Times New Roman" w:cs="Times New Roman"/>
          <w:sz w:val="28"/>
          <w:szCs w:val="28"/>
          <w:lang w:eastAsia="ru-RU"/>
        </w:rPr>
        <w:t>.</w:t>
      </w:r>
      <w:r w:rsidR="000A2CB3">
        <w:rPr>
          <w:rFonts w:ascii="Times New Roman" w:eastAsia="Times New Roman" w:hAnsi="Times New Roman" w:cs="Times New Roman"/>
          <w:sz w:val="28"/>
          <w:szCs w:val="28"/>
          <w:lang w:eastAsia="ru-RU"/>
        </w:rPr>
        <w:t>,</w:t>
      </w:r>
      <w:r w:rsidRPr="000C161A">
        <w:rPr>
          <w:rFonts w:ascii="Times New Roman" w:eastAsia="Times New Roman" w:hAnsi="Times New Roman" w:cs="Times New Roman"/>
          <w:sz w:val="28"/>
          <w:szCs w:val="28"/>
          <w:lang w:eastAsia="ru-RU"/>
        </w:rPr>
        <w:t xml:space="preserve"> – учебных предметов «Информатика», «Основы безопасности жизнедеятельности» и «Технология»), а также для реализации программ дополнительного образования различных направленностей, в том числе технической и естественнонаучной, с применением робототехнического и (или) информационно-технологического оборудования. Также ими обеспечивается развитие проектной деятельности обучающихся, внеурочной деятельности, формирование среды для проведения социальных мероприятий, в том числе в каникулярное время.</w:t>
      </w:r>
    </w:p>
    <w:p w14:paraId="3F41B149" w14:textId="77777777" w:rsidR="000C161A" w:rsidRPr="000C161A" w:rsidRDefault="000C161A" w:rsidP="000C161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0C161A">
        <w:rPr>
          <w:rFonts w:ascii="Times New Roman" w:eastAsia="Times New Roman" w:hAnsi="Times New Roman" w:cs="Times New Roman"/>
          <w:sz w:val="28"/>
          <w:szCs w:val="28"/>
          <w:lang w:eastAsia="ru-RU"/>
        </w:rPr>
        <w:t>С 2021 г</w:t>
      </w:r>
      <w:r w:rsidR="004E02DD">
        <w:rPr>
          <w:rFonts w:ascii="Times New Roman" w:eastAsia="Times New Roman" w:hAnsi="Times New Roman" w:cs="Times New Roman"/>
          <w:sz w:val="28"/>
          <w:szCs w:val="28"/>
          <w:lang w:eastAsia="ru-RU"/>
        </w:rPr>
        <w:t>.</w:t>
      </w:r>
      <w:r w:rsidRPr="000C161A">
        <w:rPr>
          <w:rFonts w:ascii="Times New Roman" w:eastAsia="Times New Roman" w:hAnsi="Times New Roman" w:cs="Times New Roman"/>
          <w:sz w:val="28"/>
          <w:szCs w:val="28"/>
          <w:lang w:eastAsia="ru-RU"/>
        </w:rPr>
        <w:t xml:space="preserve"> в рамках федерального проекта «Современная школа» национального проекта «Образование» осуществляется создание сети детских технопарков «</w:t>
      </w:r>
      <w:proofErr w:type="spellStart"/>
      <w:r w:rsidRPr="000C161A">
        <w:rPr>
          <w:rFonts w:ascii="Times New Roman" w:eastAsia="Times New Roman" w:hAnsi="Times New Roman" w:cs="Times New Roman"/>
          <w:sz w:val="28"/>
          <w:szCs w:val="28"/>
          <w:lang w:eastAsia="ru-RU"/>
        </w:rPr>
        <w:t>Кванториум</w:t>
      </w:r>
      <w:proofErr w:type="spellEnd"/>
      <w:r w:rsidRPr="000C161A">
        <w:rPr>
          <w:rFonts w:ascii="Times New Roman" w:eastAsia="Times New Roman" w:hAnsi="Times New Roman" w:cs="Times New Roman"/>
          <w:sz w:val="28"/>
          <w:szCs w:val="28"/>
          <w:lang w:eastAsia="ru-RU"/>
        </w:rPr>
        <w:t>» на базе общеобразовательных организаций. За 2021 г</w:t>
      </w:r>
      <w:r w:rsidR="004E02DD">
        <w:rPr>
          <w:rFonts w:ascii="Times New Roman" w:eastAsia="Times New Roman" w:hAnsi="Times New Roman" w:cs="Times New Roman"/>
          <w:sz w:val="28"/>
          <w:szCs w:val="28"/>
          <w:lang w:eastAsia="ru-RU"/>
        </w:rPr>
        <w:t>.</w:t>
      </w:r>
      <w:r w:rsidRPr="000C161A">
        <w:rPr>
          <w:rFonts w:ascii="Times New Roman" w:eastAsia="Times New Roman" w:hAnsi="Times New Roman" w:cs="Times New Roman"/>
          <w:sz w:val="28"/>
          <w:szCs w:val="28"/>
          <w:lang w:eastAsia="ru-RU"/>
        </w:rPr>
        <w:t xml:space="preserve"> создано 48 </w:t>
      </w:r>
      <w:bookmarkStart w:id="5" w:name="_Hlk106356021"/>
      <w:r w:rsidRPr="000C161A">
        <w:rPr>
          <w:rFonts w:ascii="Times New Roman" w:eastAsia="Times New Roman" w:hAnsi="Times New Roman" w:cs="Times New Roman"/>
          <w:sz w:val="28"/>
          <w:szCs w:val="28"/>
          <w:lang w:eastAsia="ru-RU"/>
        </w:rPr>
        <w:t>детских технопарков «</w:t>
      </w:r>
      <w:proofErr w:type="spellStart"/>
      <w:r w:rsidRPr="000C161A">
        <w:rPr>
          <w:rFonts w:ascii="Times New Roman" w:eastAsia="Times New Roman" w:hAnsi="Times New Roman" w:cs="Times New Roman"/>
          <w:sz w:val="28"/>
          <w:szCs w:val="28"/>
          <w:lang w:eastAsia="ru-RU"/>
        </w:rPr>
        <w:t>Кванториум</w:t>
      </w:r>
      <w:proofErr w:type="spellEnd"/>
      <w:r w:rsidRPr="000C161A">
        <w:rPr>
          <w:rFonts w:ascii="Times New Roman" w:eastAsia="Times New Roman" w:hAnsi="Times New Roman" w:cs="Times New Roman"/>
          <w:sz w:val="28"/>
          <w:szCs w:val="28"/>
          <w:lang w:eastAsia="ru-RU"/>
        </w:rPr>
        <w:t xml:space="preserve">» на базе общеобразовательных организаций </w:t>
      </w:r>
      <w:bookmarkEnd w:id="5"/>
      <w:r w:rsidRPr="000C161A">
        <w:rPr>
          <w:rFonts w:ascii="Times New Roman" w:eastAsia="Times New Roman" w:hAnsi="Times New Roman" w:cs="Times New Roman"/>
          <w:sz w:val="28"/>
          <w:szCs w:val="28"/>
          <w:lang w:eastAsia="ru-RU"/>
        </w:rPr>
        <w:t>в 48 субъектах Российской Федерации, в которых обеспечивается реализация образовательных программ естественнонаучной и технологической направленностей. Оборудование детских технопарков «</w:t>
      </w:r>
      <w:proofErr w:type="spellStart"/>
      <w:r w:rsidRPr="000C161A">
        <w:rPr>
          <w:rFonts w:ascii="Times New Roman" w:eastAsia="Times New Roman" w:hAnsi="Times New Roman" w:cs="Times New Roman"/>
          <w:sz w:val="28"/>
          <w:szCs w:val="28"/>
          <w:lang w:eastAsia="ru-RU"/>
        </w:rPr>
        <w:t>Кванториум</w:t>
      </w:r>
      <w:proofErr w:type="spellEnd"/>
      <w:r w:rsidRPr="000C161A">
        <w:rPr>
          <w:rFonts w:ascii="Times New Roman" w:eastAsia="Times New Roman" w:hAnsi="Times New Roman" w:cs="Times New Roman"/>
          <w:sz w:val="28"/>
          <w:szCs w:val="28"/>
          <w:lang w:eastAsia="ru-RU"/>
        </w:rPr>
        <w:t>» на базе общеобразовательных организаций используется при изучении учебных предметов «Физика», «Химия», «Биология», «Технология», «Информатика» и иных предметов, а также при реализации дополнительных общеобразовательных программ.</w:t>
      </w:r>
    </w:p>
    <w:p w14:paraId="563B0872" w14:textId="77777777" w:rsidR="000C161A" w:rsidRPr="000C161A" w:rsidRDefault="000C161A" w:rsidP="000A2CB3">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0C161A">
        <w:rPr>
          <w:rFonts w:ascii="Times New Roman" w:eastAsia="Times New Roman" w:hAnsi="Times New Roman" w:cs="Times New Roman"/>
          <w:sz w:val="28"/>
          <w:szCs w:val="28"/>
          <w:lang w:eastAsia="ru-RU"/>
        </w:rPr>
        <w:t>Как и в центрах образования естественнонаучной и технологической направленностей «Точка роста», в де</w:t>
      </w:r>
      <w:r w:rsidR="000A2CB3">
        <w:rPr>
          <w:rFonts w:ascii="Times New Roman" w:eastAsia="Times New Roman" w:hAnsi="Times New Roman" w:cs="Times New Roman"/>
          <w:sz w:val="28"/>
          <w:szCs w:val="28"/>
          <w:lang w:eastAsia="ru-RU"/>
        </w:rPr>
        <w:t>тских технопарках «</w:t>
      </w:r>
      <w:proofErr w:type="spellStart"/>
      <w:r w:rsidR="000A2CB3">
        <w:rPr>
          <w:rFonts w:ascii="Times New Roman" w:eastAsia="Times New Roman" w:hAnsi="Times New Roman" w:cs="Times New Roman"/>
          <w:sz w:val="28"/>
          <w:szCs w:val="28"/>
          <w:lang w:eastAsia="ru-RU"/>
        </w:rPr>
        <w:t>Кванториум</w:t>
      </w:r>
      <w:proofErr w:type="spellEnd"/>
      <w:r w:rsidR="000A2CB3">
        <w:rPr>
          <w:rFonts w:ascii="Times New Roman" w:eastAsia="Times New Roman" w:hAnsi="Times New Roman" w:cs="Times New Roman"/>
          <w:sz w:val="28"/>
          <w:szCs w:val="28"/>
          <w:lang w:eastAsia="ru-RU"/>
        </w:rPr>
        <w:t xml:space="preserve">» </w:t>
      </w:r>
      <w:r w:rsidRPr="000C161A">
        <w:rPr>
          <w:rFonts w:ascii="Times New Roman" w:eastAsia="Times New Roman" w:hAnsi="Times New Roman" w:cs="Times New Roman"/>
          <w:sz w:val="28"/>
          <w:szCs w:val="28"/>
          <w:lang w:eastAsia="ru-RU"/>
        </w:rPr>
        <w:t>на базе общеобразовательных организ</w:t>
      </w:r>
      <w:r w:rsidR="000A2CB3">
        <w:rPr>
          <w:rFonts w:ascii="Times New Roman" w:eastAsia="Times New Roman" w:hAnsi="Times New Roman" w:cs="Times New Roman"/>
          <w:sz w:val="28"/>
          <w:szCs w:val="28"/>
          <w:lang w:eastAsia="ru-RU"/>
        </w:rPr>
        <w:t xml:space="preserve">аций обеспечивается реализация </w:t>
      </w:r>
      <w:r w:rsidRPr="000C161A">
        <w:rPr>
          <w:rFonts w:ascii="Times New Roman" w:eastAsia="Times New Roman" w:hAnsi="Times New Roman" w:cs="Times New Roman"/>
          <w:sz w:val="28"/>
          <w:szCs w:val="28"/>
          <w:lang w:eastAsia="ru-RU"/>
        </w:rPr>
        <w:t>основных и дополнительных общеобразов</w:t>
      </w:r>
      <w:r w:rsidR="000A2CB3">
        <w:rPr>
          <w:rFonts w:ascii="Times New Roman" w:eastAsia="Times New Roman" w:hAnsi="Times New Roman" w:cs="Times New Roman"/>
          <w:sz w:val="28"/>
          <w:szCs w:val="28"/>
          <w:lang w:eastAsia="ru-RU"/>
        </w:rPr>
        <w:t xml:space="preserve">ательных программ, в том числе </w:t>
      </w:r>
      <w:r w:rsidRPr="000C161A">
        <w:rPr>
          <w:rFonts w:ascii="Times New Roman" w:eastAsia="Times New Roman" w:hAnsi="Times New Roman" w:cs="Times New Roman"/>
          <w:sz w:val="28"/>
          <w:szCs w:val="28"/>
          <w:lang w:eastAsia="ru-RU"/>
        </w:rPr>
        <w:t>с использованием дистанционных форм обучения и сетевой формы реализации образовательных программ.</w:t>
      </w:r>
      <w:r w:rsidR="00F56CC2" w:rsidRPr="000C161A">
        <w:rPr>
          <w:rFonts w:ascii="Times New Roman" w:eastAsia="Times New Roman" w:hAnsi="Times New Roman" w:cs="Times New Roman"/>
          <w:sz w:val="28"/>
          <w:szCs w:val="28"/>
          <w:lang w:eastAsia="ru-RU"/>
        </w:rPr>
        <w:t> </w:t>
      </w:r>
      <w:r w:rsidRPr="000C161A">
        <w:rPr>
          <w:rFonts w:ascii="Times New Roman" w:eastAsia="Times New Roman" w:hAnsi="Times New Roman" w:cs="Times New Roman"/>
          <w:sz w:val="28"/>
          <w:szCs w:val="28"/>
          <w:lang w:eastAsia="ru-RU"/>
        </w:rPr>
        <w:t>До 2021</w:t>
      </w:r>
      <w:r w:rsidR="00EE1656">
        <w:rPr>
          <w:rFonts w:ascii="Times New Roman" w:eastAsia="Times New Roman" w:hAnsi="Times New Roman" w:cs="Times New Roman"/>
          <w:sz w:val="28"/>
          <w:szCs w:val="28"/>
          <w:lang w:eastAsia="ru-RU"/>
        </w:rPr>
        <w:t xml:space="preserve"> г</w:t>
      </w:r>
      <w:r w:rsidR="004E02DD">
        <w:rPr>
          <w:rFonts w:ascii="Times New Roman" w:eastAsia="Times New Roman" w:hAnsi="Times New Roman" w:cs="Times New Roman"/>
          <w:sz w:val="28"/>
          <w:szCs w:val="28"/>
          <w:lang w:eastAsia="ru-RU"/>
        </w:rPr>
        <w:t>.</w:t>
      </w:r>
      <w:r w:rsidRPr="000C161A">
        <w:rPr>
          <w:rFonts w:ascii="Times New Roman" w:eastAsia="Times New Roman" w:hAnsi="Times New Roman" w:cs="Times New Roman"/>
          <w:sz w:val="28"/>
          <w:szCs w:val="28"/>
          <w:lang w:eastAsia="ru-RU"/>
        </w:rPr>
        <w:t xml:space="preserve"> детские технопарки «</w:t>
      </w:r>
      <w:proofErr w:type="spellStart"/>
      <w:r w:rsidRPr="000C161A">
        <w:rPr>
          <w:rFonts w:ascii="Times New Roman" w:eastAsia="Times New Roman" w:hAnsi="Times New Roman" w:cs="Times New Roman"/>
          <w:sz w:val="28"/>
          <w:szCs w:val="28"/>
          <w:lang w:eastAsia="ru-RU"/>
        </w:rPr>
        <w:t>Кванториум</w:t>
      </w:r>
      <w:proofErr w:type="spellEnd"/>
      <w:r w:rsidRPr="000C161A">
        <w:rPr>
          <w:rFonts w:ascii="Times New Roman" w:eastAsia="Times New Roman" w:hAnsi="Times New Roman" w:cs="Times New Roman"/>
          <w:sz w:val="28"/>
          <w:szCs w:val="28"/>
          <w:lang w:eastAsia="ru-RU"/>
        </w:rPr>
        <w:t>» создавались как самостоятельные образовательные организации в рамках федерального проекта «Успех каждого ребенка» национального проекта «Образование» (число созданных до 2021 г</w:t>
      </w:r>
      <w:r w:rsidR="004E02DD">
        <w:rPr>
          <w:rFonts w:ascii="Times New Roman" w:eastAsia="Times New Roman" w:hAnsi="Times New Roman" w:cs="Times New Roman"/>
          <w:sz w:val="28"/>
          <w:szCs w:val="28"/>
          <w:lang w:eastAsia="ru-RU"/>
        </w:rPr>
        <w:t>.</w:t>
      </w:r>
      <w:r w:rsidRPr="000C161A">
        <w:rPr>
          <w:rFonts w:ascii="Times New Roman" w:eastAsia="Times New Roman" w:hAnsi="Times New Roman" w:cs="Times New Roman"/>
          <w:sz w:val="28"/>
          <w:szCs w:val="28"/>
          <w:lang w:eastAsia="ru-RU"/>
        </w:rPr>
        <w:t xml:space="preserve"> таких технопарков составляет 135 единиц).</w:t>
      </w:r>
    </w:p>
    <w:p w14:paraId="31BFEFD5" w14:textId="77777777" w:rsidR="00920D90" w:rsidRDefault="000C161A" w:rsidP="00F30E0F">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0C161A">
        <w:rPr>
          <w:rFonts w:ascii="Times New Roman" w:eastAsia="Times New Roman" w:hAnsi="Times New Roman" w:cs="Times New Roman"/>
          <w:sz w:val="28"/>
          <w:szCs w:val="28"/>
          <w:lang w:eastAsia="ru-RU"/>
        </w:rPr>
        <w:t>В целях развития современных навык</w:t>
      </w:r>
      <w:r w:rsidR="000A2CB3">
        <w:rPr>
          <w:rFonts w:ascii="Times New Roman" w:eastAsia="Times New Roman" w:hAnsi="Times New Roman" w:cs="Times New Roman"/>
          <w:sz w:val="28"/>
          <w:szCs w:val="28"/>
          <w:lang w:eastAsia="ru-RU"/>
        </w:rPr>
        <w:t xml:space="preserve">ов и компетенций у обучающихся </w:t>
      </w:r>
      <w:r w:rsidRPr="000C161A">
        <w:rPr>
          <w:rFonts w:ascii="Times New Roman" w:eastAsia="Times New Roman" w:hAnsi="Times New Roman" w:cs="Times New Roman"/>
          <w:sz w:val="28"/>
          <w:szCs w:val="28"/>
          <w:lang w:eastAsia="ru-RU"/>
        </w:rPr>
        <w:t>в детских технопарках «</w:t>
      </w:r>
      <w:proofErr w:type="spellStart"/>
      <w:r w:rsidRPr="000C161A">
        <w:rPr>
          <w:rFonts w:ascii="Times New Roman" w:eastAsia="Times New Roman" w:hAnsi="Times New Roman" w:cs="Times New Roman"/>
          <w:sz w:val="28"/>
          <w:szCs w:val="28"/>
          <w:lang w:eastAsia="ru-RU"/>
        </w:rPr>
        <w:t>Кванториум</w:t>
      </w:r>
      <w:proofErr w:type="spellEnd"/>
      <w:r w:rsidRPr="000C161A">
        <w:rPr>
          <w:rFonts w:ascii="Times New Roman" w:eastAsia="Times New Roman" w:hAnsi="Times New Roman" w:cs="Times New Roman"/>
          <w:sz w:val="28"/>
          <w:szCs w:val="28"/>
          <w:lang w:eastAsia="ru-RU"/>
        </w:rPr>
        <w:t>» реализуются программы по направлениям «Робототехника», «</w:t>
      </w:r>
      <w:proofErr w:type="spellStart"/>
      <w:r w:rsidRPr="000C161A">
        <w:rPr>
          <w:rFonts w:ascii="Times New Roman" w:eastAsia="Times New Roman" w:hAnsi="Times New Roman" w:cs="Times New Roman"/>
          <w:sz w:val="28"/>
          <w:szCs w:val="28"/>
          <w:lang w:eastAsia="ru-RU"/>
        </w:rPr>
        <w:t>Авиамоделирование</w:t>
      </w:r>
      <w:proofErr w:type="spellEnd"/>
      <w:r w:rsidRPr="000C161A">
        <w:rPr>
          <w:rFonts w:ascii="Times New Roman" w:eastAsia="Times New Roman" w:hAnsi="Times New Roman" w:cs="Times New Roman"/>
          <w:sz w:val="28"/>
          <w:szCs w:val="28"/>
          <w:lang w:eastAsia="ru-RU"/>
        </w:rPr>
        <w:t>», «Ос</w:t>
      </w:r>
      <w:r w:rsidR="000A2CB3">
        <w:rPr>
          <w:rFonts w:ascii="Times New Roman" w:eastAsia="Times New Roman" w:hAnsi="Times New Roman" w:cs="Times New Roman"/>
          <w:sz w:val="28"/>
          <w:szCs w:val="28"/>
          <w:lang w:eastAsia="ru-RU"/>
        </w:rPr>
        <w:t xml:space="preserve">новы </w:t>
      </w:r>
      <w:proofErr w:type="spellStart"/>
      <w:r w:rsidR="000A2CB3">
        <w:rPr>
          <w:rFonts w:ascii="Times New Roman" w:eastAsia="Times New Roman" w:hAnsi="Times New Roman" w:cs="Times New Roman"/>
          <w:sz w:val="28"/>
          <w:szCs w:val="28"/>
          <w:lang w:eastAsia="ru-RU"/>
        </w:rPr>
        <w:t>прототипирования</w:t>
      </w:r>
      <w:proofErr w:type="spellEnd"/>
      <w:r w:rsidR="000A2CB3">
        <w:rPr>
          <w:rFonts w:ascii="Times New Roman" w:eastAsia="Times New Roman" w:hAnsi="Times New Roman" w:cs="Times New Roman"/>
          <w:sz w:val="28"/>
          <w:szCs w:val="28"/>
          <w:lang w:eastAsia="ru-RU"/>
        </w:rPr>
        <w:t xml:space="preserve"> и работы </w:t>
      </w:r>
      <w:r w:rsidRPr="000C161A">
        <w:rPr>
          <w:rFonts w:ascii="Times New Roman" w:eastAsia="Times New Roman" w:hAnsi="Times New Roman" w:cs="Times New Roman"/>
          <w:sz w:val="28"/>
          <w:szCs w:val="28"/>
          <w:lang w:eastAsia="ru-RU"/>
        </w:rPr>
        <w:t>на станках с числовым програм</w:t>
      </w:r>
      <w:r w:rsidR="000A2CB3">
        <w:rPr>
          <w:rFonts w:ascii="Times New Roman" w:eastAsia="Times New Roman" w:hAnsi="Times New Roman" w:cs="Times New Roman"/>
          <w:sz w:val="28"/>
          <w:szCs w:val="28"/>
          <w:lang w:eastAsia="ru-RU"/>
        </w:rPr>
        <w:t xml:space="preserve">мным управлением», «Разработка </w:t>
      </w:r>
      <w:r w:rsidRPr="000C161A">
        <w:rPr>
          <w:rFonts w:ascii="Times New Roman" w:eastAsia="Times New Roman" w:hAnsi="Times New Roman" w:cs="Times New Roman"/>
          <w:sz w:val="28"/>
          <w:szCs w:val="28"/>
          <w:lang w:eastAsia="ru-RU"/>
        </w:rPr>
        <w:t>приложений виртуальной и дополнительной</w:t>
      </w:r>
      <w:r w:rsidR="000A2CB3">
        <w:rPr>
          <w:rFonts w:ascii="Times New Roman" w:eastAsia="Times New Roman" w:hAnsi="Times New Roman" w:cs="Times New Roman"/>
          <w:sz w:val="28"/>
          <w:szCs w:val="28"/>
          <w:lang w:eastAsia="ru-RU"/>
        </w:rPr>
        <w:t xml:space="preserve"> реальности: «3D-моделирование </w:t>
      </w:r>
      <w:r w:rsidRPr="000C161A">
        <w:rPr>
          <w:rFonts w:ascii="Times New Roman" w:eastAsia="Times New Roman" w:hAnsi="Times New Roman" w:cs="Times New Roman"/>
          <w:sz w:val="28"/>
          <w:szCs w:val="28"/>
          <w:lang w:eastAsia="ru-RU"/>
        </w:rPr>
        <w:t>и программирование», «Промышленный дизайн» и другие.</w:t>
      </w:r>
      <w:r w:rsidR="00F56CC2" w:rsidRPr="000C161A">
        <w:rPr>
          <w:rFonts w:ascii="Times New Roman" w:eastAsia="Times New Roman" w:hAnsi="Times New Roman" w:cs="Times New Roman"/>
          <w:sz w:val="28"/>
          <w:szCs w:val="28"/>
          <w:lang w:eastAsia="ru-RU"/>
        </w:rPr>
        <w:t> </w:t>
      </w:r>
      <w:r w:rsidRPr="000C161A">
        <w:rPr>
          <w:rFonts w:ascii="Times New Roman" w:eastAsia="Times New Roman" w:hAnsi="Times New Roman" w:cs="Times New Roman"/>
          <w:sz w:val="28"/>
          <w:szCs w:val="28"/>
          <w:lang w:eastAsia="ru-RU"/>
        </w:rPr>
        <w:t xml:space="preserve">Таким образом, к концу 2021 </w:t>
      </w:r>
      <w:r w:rsidR="000A2CB3">
        <w:rPr>
          <w:rFonts w:ascii="Times New Roman" w:eastAsia="Times New Roman" w:hAnsi="Times New Roman" w:cs="Times New Roman"/>
          <w:sz w:val="28"/>
          <w:szCs w:val="28"/>
          <w:lang w:eastAsia="ru-RU"/>
        </w:rPr>
        <w:t>г</w:t>
      </w:r>
      <w:r w:rsidR="004E02DD">
        <w:rPr>
          <w:rFonts w:ascii="Times New Roman" w:eastAsia="Times New Roman" w:hAnsi="Times New Roman" w:cs="Times New Roman"/>
          <w:sz w:val="28"/>
          <w:szCs w:val="28"/>
          <w:lang w:eastAsia="ru-RU"/>
        </w:rPr>
        <w:t>.</w:t>
      </w:r>
      <w:r w:rsidR="000A2CB3">
        <w:rPr>
          <w:rFonts w:ascii="Times New Roman" w:eastAsia="Times New Roman" w:hAnsi="Times New Roman" w:cs="Times New Roman"/>
          <w:sz w:val="28"/>
          <w:szCs w:val="28"/>
          <w:lang w:eastAsia="ru-RU"/>
        </w:rPr>
        <w:t xml:space="preserve"> </w:t>
      </w:r>
      <w:r w:rsidRPr="000C161A">
        <w:rPr>
          <w:rFonts w:ascii="Times New Roman" w:eastAsia="Times New Roman" w:hAnsi="Times New Roman" w:cs="Times New Roman"/>
          <w:sz w:val="28"/>
          <w:szCs w:val="28"/>
          <w:lang w:eastAsia="ru-RU"/>
        </w:rPr>
        <w:t>создана сеть и</w:t>
      </w:r>
      <w:r w:rsidR="00F30E0F">
        <w:rPr>
          <w:rFonts w:ascii="Times New Roman" w:eastAsia="Times New Roman" w:hAnsi="Times New Roman" w:cs="Times New Roman"/>
          <w:sz w:val="28"/>
          <w:szCs w:val="28"/>
          <w:lang w:eastAsia="ru-RU"/>
        </w:rPr>
        <w:t>з 183 технопарков «</w:t>
      </w:r>
      <w:proofErr w:type="spellStart"/>
      <w:r w:rsidR="00F30E0F">
        <w:rPr>
          <w:rFonts w:ascii="Times New Roman" w:eastAsia="Times New Roman" w:hAnsi="Times New Roman" w:cs="Times New Roman"/>
          <w:sz w:val="28"/>
          <w:szCs w:val="28"/>
          <w:lang w:eastAsia="ru-RU"/>
        </w:rPr>
        <w:t>Кванториум</w:t>
      </w:r>
      <w:proofErr w:type="spellEnd"/>
      <w:r w:rsidR="00F30E0F">
        <w:rPr>
          <w:rFonts w:ascii="Times New Roman" w:eastAsia="Times New Roman" w:hAnsi="Times New Roman" w:cs="Times New Roman"/>
          <w:sz w:val="28"/>
          <w:szCs w:val="28"/>
          <w:lang w:eastAsia="ru-RU"/>
        </w:rPr>
        <w:t>».</w:t>
      </w:r>
    </w:p>
    <w:p w14:paraId="2B607FDE" w14:textId="77777777" w:rsidR="000C161A" w:rsidRPr="000C161A" w:rsidRDefault="000C161A" w:rsidP="000C161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0C161A">
        <w:rPr>
          <w:rFonts w:ascii="Times New Roman" w:eastAsia="Times New Roman" w:hAnsi="Times New Roman" w:cs="Times New Roman"/>
          <w:sz w:val="28"/>
          <w:szCs w:val="28"/>
          <w:lang w:eastAsia="ru-RU"/>
        </w:rPr>
        <w:t>Во исполнение поручения Президента Российской Федерации</w:t>
      </w:r>
      <w:r w:rsidR="000A2CB3">
        <w:rPr>
          <w:rFonts w:ascii="Times New Roman" w:eastAsia="Times New Roman" w:hAnsi="Times New Roman" w:cs="Times New Roman"/>
          <w:sz w:val="28"/>
          <w:szCs w:val="28"/>
          <w:lang w:eastAsia="ru-RU"/>
        </w:rPr>
        <w:t xml:space="preserve"> В.В. Путина</w:t>
      </w:r>
      <w:r w:rsidRPr="000C161A">
        <w:rPr>
          <w:rFonts w:ascii="Times New Roman" w:eastAsia="Times New Roman" w:hAnsi="Times New Roman" w:cs="Times New Roman"/>
          <w:sz w:val="28"/>
          <w:szCs w:val="28"/>
          <w:lang w:eastAsia="ru-RU"/>
        </w:rPr>
        <w:t>, обозначенного в Послании Федеральному Собранию Российс</w:t>
      </w:r>
      <w:r w:rsidR="000A2CB3">
        <w:rPr>
          <w:rFonts w:ascii="Times New Roman" w:eastAsia="Times New Roman" w:hAnsi="Times New Roman" w:cs="Times New Roman"/>
          <w:sz w:val="28"/>
          <w:szCs w:val="28"/>
          <w:lang w:eastAsia="ru-RU"/>
        </w:rPr>
        <w:t xml:space="preserve">кой Федерации </w:t>
      </w:r>
      <w:r w:rsidR="00250819">
        <w:rPr>
          <w:rFonts w:ascii="Times New Roman" w:eastAsia="Times New Roman" w:hAnsi="Times New Roman" w:cs="Times New Roman"/>
          <w:sz w:val="28"/>
          <w:szCs w:val="28"/>
          <w:lang w:eastAsia="ru-RU"/>
        </w:rPr>
        <w:br/>
      </w:r>
      <w:r w:rsidR="000A2CB3">
        <w:rPr>
          <w:rFonts w:ascii="Times New Roman" w:eastAsia="Times New Roman" w:hAnsi="Times New Roman" w:cs="Times New Roman"/>
          <w:sz w:val="28"/>
          <w:szCs w:val="28"/>
          <w:lang w:eastAsia="ru-RU"/>
        </w:rPr>
        <w:t xml:space="preserve">21 апреля 2021 г., </w:t>
      </w:r>
      <w:r w:rsidRPr="000C161A">
        <w:rPr>
          <w:rFonts w:ascii="Times New Roman" w:eastAsia="Times New Roman" w:hAnsi="Times New Roman" w:cs="Times New Roman"/>
          <w:sz w:val="28"/>
          <w:szCs w:val="28"/>
          <w:lang w:eastAsia="ru-RU"/>
        </w:rPr>
        <w:t>по обновлению школьного автопарка в т</w:t>
      </w:r>
      <w:r w:rsidR="000A2CB3">
        <w:rPr>
          <w:rFonts w:ascii="Times New Roman" w:eastAsia="Times New Roman" w:hAnsi="Times New Roman" w:cs="Times New Roman"/>
          <w:sz w:val="28"/>
          <w:szCs w:val="28"/>
          <w:lang w:eastAsia="ru-RU"/>
        </w:rPr>
        <w:t xml:space="preserve">ечение </w:t>
      </w:r>
      <w:r w:rsidR="004E02DD">
        <w:rPr>
          <w:rFonts w:ascii="Times New Roman" w:eastAsia="Times New Roman" w:hAnsi="Times New Roman" w:cs="Times New Roman"/>
          <w:sz w:val="28"/>
          <w:szCs w:val="28"/>
          <w:lang w:eastAsia="ru-RU"/>
        </w:rPr>
        <w:t>2021-2024 гг.</w:t>
      </w:r>
      <w:r w:rsidR="000A2CB3">
        <w:rPr>
          <w:rFonts w:ascii="Times New Roman" w:eastAsia="Times New Roman" w:hAnsi="Times New Roman" w:cs="Times New Roman"/>
          <w:sz w:val="28"/>
          <w:szCs w:val="28"/>
          <w:lang w:eastAsia="ru-RU"/>
        </w:rPr>
        <w:t xml:space="preserve">, исходя </w:t>
      </w:r>
      <w:r w:rsidRPr="000C161A">
        <w:rPr>
          <w:rFonts w:ascii="Times New Roman" w:eastAsia="Times New Roman" w:hAnsi="Times New Roman" w:cs="Times New Roman"/>
          <w:sz w:val="28"/>
          <w:szCs w:val="28"/>
          <w:lang w:eastAsia="ru-RU"/>
        </w:rPr>
        <w:t xml:space="preserve">из необходимости дополнительной закупки ежегодно за счет средств федерального бюджета не менее 4 000 новых автобусов отечественного производства, Минпросвещения России совместно с регионами проработан вопрос о формировании потребности в школьных автобусах на </w:t>
      </w:r>
      <w:r w:rsidR="004E02DD">
        <w:rPr>
          <w:rFonts w:ascii="Times New Roman" w:eastAsia="Times New Roman" w:hAnsi="Times New Roman" w:cs="Times New Roman"/>
          <w:sz w:val="28"/>
          <w:szCs w:val="28"/>
          <w:lang w:eastAsia="ru-RU"/>
        </w:rPr>
        <w:t>2021-2024 гг</w:t>
      </w:r>
      <w:r w:rsidR="000A2CB3">
        <w:rPr>
          <w:rFonts w:ascii="Times New Roman" w:eastAsia="Times New Roman" w:hAnsi="Times New Roman" w:cs="Times New Roman"/>
          <w:sz w:val="28"/>
          <w:szCs w:val="28"/>
          <w:lang w:eastAsia="ru-RU"/>
        </w:rPr>
        <w:t>.</w:t>
      </w:r>
    </w:p>
    <w:p w14:paraId="3016380C" w14:textId="77777777" w:rsidR="000C161A" w:rsidRPr="000C161A" w:rsidRDefault="000C161A" w:rsidP="00250819">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0C161A">
        <w:rPr>
          <w:rFonts w:ascii="Times New Roman" w:eastAsia="Times New Roman" w:hAnsi="Times New Roman" w:cs="Times New Roman"/>
          <w:sz w:val="28"/>
          <w:szCs w:val="28"/>
          <w:lang w:eastAsia="ru-RU"/>
        </w:rPr>
        <w:t>Потребность в школьных</w:t>
      </w:r>
      <w:r w:rsidR="00250819">
        <w:rPr>
          <w:rFonts w:ascii="Times New Roman" w:eastAsia="Times New Roman" w:hAnsi="Times New Roman" w:cs="Times New Roman"/>
          <w:sz w:val="28"/>
          <w:szCs w:val="28"/>
          <w:lang w:eastAsia="ru-RU"/>
        </w:rPr>
        <w:t xml:space="preserve"> автобусах определена согласно </w:t>
      </w:r>
      <w:r w:rsidRPr="000C161A">
        <w:rPr>
          <w:rFonts w:ascii="Times New Roman" w:eastAsia="Times New Roman" w:hAnsi="Times New Roman" w:cs="Times New Roman"/>
          <w:sz w:val="28"/>
          <w:szCs w:val="28"/>
          <w:lang w:eastAsia="ru-RU"/>
        </w:rPr>
        <w:t>данным с учетом территориально-региональных и климатических особенностей, представленных органами исполнительной власти субъектов Российской Федерации, осуществляющими государственное управление в сфере образования.</w:t>
      </w:r>
    </w:p>
    <w:p w14:paraId="5F70FA60" w14:textId="77777777" w:rsidR="000C161A" w:rsidRPr="000C161A" w:rsidRDefault="000C161A" w:rsidP="000C161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0C161A">
        <w:rPr>
          <w:rFonts w:ascii="Times New Roman" w:eastAsia="Times New Roman" w:hAnsi="Times New Roman" w:cs="Times New Roman"/>
          <w:sz w:val="28"/>
          <w:szCs w:val="28"/>
          <w:lang w:eastAsia="ru-RU"/>
        </w:rPr>
        <w:t>Распределение автобусов между с</w:t>
      </w:r>
      <w:r w:rsidR="00250819">
        <w:rPr>
          <w:rFonts w:ascii="Times New Roman" w:eastAsia="Times New Roman" w:hAnsi="Times New Roman" w:cs="Times New Roman"/>
          <w:sz w:val="28"/>
          <w:szCs w:val="28"/>
          <w:lang w:eastAsia="ru-RU"/>
        </w:rPr>
        <w:t xml:space="preserve">убъектами Российской Федерации </w:t>
      </w:r>
      <w:r w:rsidRPr="000C161A">
        <w:rPr>
          <w:rFonts w:ascii="Times New Roman" w:eastAsia="Times New Roman" w:hAnsi="Times New Roman" w:cs="Times New Roman"/>
          <w:sz w:val="28"/>
          <w:szCs w:val="28"/>
          <w:lang w:eastAsia="ru-RU"/>
        </w:rPr>
        <w:t>в 2021 г</w:t>
      </w:r>
      <w:r w:rsidR="004E02DD">
        <w:rPr>
          <w:rFonts w:ascii="Times New Roman" w:eastAsia="Times New Roman" w:hAnsi="Times New Roman" w:cs="Times New Roman"/>
          <w:sz w:val="28"/>
          <w:szCs w:val="28"/>
          <w:lang w:eastAsia="ru-RU"/>
        </w:rPr>
        <w:t>.</w:t>
      </w:r>
      <w:r w:rsidRPr="000C161A">
        <w:rPr>
          <w:rFonts w:ascii="Times New Roman" w:eastAsia="Times New Roman" w:hAnsi="Times New Roman" w:cs="Times New Roman"/>
          <w:sz w:val="28"/>
          <w:szCs w:val="28"/>
          <w:lang w:eastAsia="ru-RU"/>
        </w:rPr>
        <w:t xml:space="preserve"> осуществлено в соответствии с распоряжением Правительства Российской Федерации от 31 авгус</w:t>
      </w:r>
      <w:r w:rsidR="00250819">
        <w:rPr>
          <w:rFonts w:ascii="Times New Roman" w:eastAsia="Times New Roman" w:hAnsi="Times New Roman" w:cs="Times New Roman"/>
          <w:sz w:val="28"/>
          <w:szCs w:val="28"/>
          <w:lang w:eastAsia="ru-RU"/>
        </w:rPr>
        <w:t xml:space="preserve">та 2021 г. № 2403-р «О закупке </w:t>
      </w:r>
      <w:r w:rsidRPr="000C161A">
        <w:rPr>
          <w:rFonts w:ascii="Times New Roman" w:eastAsia="Times New Roman" w:hAnsi="Times New Roman" w:cs="Times New Roman"/>
          <w:sz w:val="28"/>
          <w:szCs w:val="28"/>
          <w:lang w:eastAsia="ru-RU"/>
        </w:rPr>
        <w:t>автомобилей скорой медицинской помощи и школьных автобусов» в полном соответствии с заявленной потребностью 83 субъектов Российской Федерации (кроме г. Москвы и Ненецкого автономного округа).</w:t>
      </w:r>
    </w:p>
    <w:p w14:paraId="0C4222CC" w14:textId="77777777" w:rsidR="000C161A" w:rsidRPr="000C161A" w:rsidRDefault="000C161A" w:rsidP="000C161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0C161A">
        <w:rPr>
          <w:rFonts w:ascii="Times New Roman" w:eastAsia="Times New Roman" w:hAnsi="Times New Roman" w:cs="Times New Roman"/>
          <w:sz w:val="28"/>
          <w:szCs w:val="28"/>
          <w:lang w:eastAsia="ru-RU"/>
        </w:rPr>
        <w:t>В 2021 г</w:t>
      </w:r>
      <w:r w:rsidR="004E02DD">
        <w:rPr>
          <w:rFonts w:ascii="Times New Roman" w:eastAsia="Times New Roman" w:hAnsi="Times New Roman" w:cs="Times New Roman"/>
          <w:sz w:val="28"/>
          <w:szCs w:val="28"/>
          <w:lang w:eastAsia="ru-RU"/>
        </w:rPr>
        <w:t>.</w:t>
      </w:r>
      <w:r w:rsidRPr="000C161A">
        <w:rPr>
          <w:rFonts w:ascii="Times New Roman" w:eastAsia="Times New Roman" w:hAnsi="Times New Roman" w:cs="Times New Roman"/>
          <w:sz w:val="28"/>
          <w:szCs w:val="28"/>
          <w:lang w:eastAsia="ru-RU"/>
        </w:rPr>
        <w:t xml:space="preserve"> Минпромторгом России осуществлена закупка 4 187 школьных автобусов</w:t>
      </w:r>
      <w:r w:rsidR="00F56CC2">
        <w:rPr>
          <w:rFonts w:ascii="Times New Roman" w:eastAsia="Times New Roman" w:hAnsi="Times New Roman" w:cs="Times New Roman"/>
          <w:sz w:val="28"/>
          <w:szCs w:val="28"/>
          <w:lang w:eastAsia="ru-RU"/>
        </w:rPr>
        <w:t xml:space="preserve"> на сумму</w:t>
      </w:r>
      <w:r w:rsidRPr="000C161A">
        <w:rPr>
          <w:rFonts w:ascii="Times New Roman" w:eastAsia="Times New Roman" w:hAnsi="Times New Roman" w:cs="Times New Roman"/>
          <w:sz w:val="28"/>
          <w:szCs w:val="28"/>
          <w:lang w:eastAsia="ru-RU"/>
        </w:rPr>
        <w:t xml:space="preserve"> 9 711 634,1 тыс. рублей. По состоянию на 3 декабря 2021 г. доставка произведена во все субъекты Российской Федерации.</w:t>
      </w:r>
    </w:p>
    <w:p w14:paraId="603DB17E" w14:textId="77777777" w:rsid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Профессиональное образование</w:t>
      </w:r>
    </w:p>
    <w:p w14:paraId="39CF1041" w14:textId="77777777" w:rsidR="00BD3AD5" w:rsidRPr="00BD3AD5" w:rsidRDefault="002D010D" w:rsidP="00BD3AD5">
      <w:pPr>
        <w:widowControl w:val="0"/>
        <w:suppressAutoHyphens/>
        <w:spacing w:after="0" w:line="312" w:lineRule="auto"/>
        <w:ind w:firstLine="709"/>
        <w:contextualSpacing/>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На начало 2021/22 учебного года</w:t>
      </w:r>
      <w:r w:rsidR="00BD3AD5" w:rsidRPr="00BD3AD5">
        <w:rPr>
          <w:rFonts w:ascii="Times New Roman" w:eastAsia="Times New Roman" w:hAnsi="Times New Roman" w:cs="Times New Roman"/>
          <w:color w:val="000000"/>
          <w:sz w:val="28"/>
          <w:szCs w:val="28"/>
          <w:lang w:eastAsia="ru-RU" w:bidi="ru-RU"/>
        </w:rPr>
        <w:t xml:space="preserve"> в Российской Федерации функционировало 3 584 образовательных организаций, реализующих программы среднего профессионального образования, из них: 3 239 профессиональных образовательных организаций</w:t>
      </w:r>
      <w:r>
        <w:rPr>
          <w:rFonts w:ascii="Times New Roman" w:eastAsia="Times New Roman" w:hAnsi="Times New Roman" w:cs="Times New Roman"/>
          <w:color w:val="000000"/>
          <w:sz w:val="28"/>
          <w:szCs w:val="28"/>
          <w:lang w:eastAsia="ru-RU" w:bidi="ru-RU"/>
        </w:rPr>
        <w:t>,</w:t>
      </w:r>
      <w:r w:rsidR="00BD3AD5" w:rsidRPr="00BD3AD5">
        <w:rPr>
          <w:rFonts w:ascii="Times New Roman" w:eastAsia="Times New Roman" w:hAnsi="Times New Roman" w:cs="Times New Roman"/>
          <w:color w:val="000000"/>
          <w:sz w:val="28"/>
          <w:szCs w:val="28"/>
          <w:lang w:eastAsia="ru-RU" w:bidi="ru-RU"/>
        </w:rPr>
        <w:t xml:space="preserve"> 345 образовательных организаций высшего образования.</w:t>
      </w:r>
    </w:p>
    <w:p w14:paraId="57AF7384" w14:textId="77777777" w:rsidR="00BD3AD5" w:rsidRPr="00BD3AD5" w:rsidRDefault="00BD3AD5" w:rsidP="00BD3AD5">
      <w:pPr>
        <w:widowControl w:val="0"/>
        <w:suppressAutoHyphens/>
        <w:spacing w:after="0" w:line="312" w:lineRule="auto"/>
        <w:ind w:firstLine="709"/>
        <w:contextualSpacing/>
        <w:jc w:val="both"/>
        <w:rPr>
          <w:rFonts w:ascii="Times New Roman" w:eastAsia="Times New Roman" w:hAnsi="Times New Roman" w:cs="Times New Roman"/>
          <w:color w:val="000000"/>
          <w:sz w:val="28"/>
          <w:szCs w:val="28"/>
          <w:lang w:eastAsia="ru-RU" w:bidi="ru-RU"/>
        </w:rPr>
      </w:pPr>
      <w:r w:rsidRPr="00BD3AD5">
        <w:rPr>
          <w:rFonts w:ascii="Times New Roman" w:eastAsia="Times New Roman" w:hAnsi="Times New Roman" w:cs="Times New Roman"/>
          <w:color w:val="000000"/>
          <w:sz w:val="28"/>
          <w:szCs w:val="28"/>
          <w:lang w:eastAsia="ru-RU" w:bidi="ru-RU"/>
        </w:rPr>
        <w:t xml:space="preserve">Общий контингент обучающихся по программам среднего профессионального образования – 3 433,8 тыс. человек (2020 г. – 3 333,6 тыс. человек; 2019 г. – </w:t>
      </w:r>
      <w:r w:rsidRPr="00BD3AD5">
        <w:rPr>
          <w:rFonts w:ascii="Times New Roman" w:eastAsia="Times New Roman" w:hAnsi="Times New Roman" w:cs="Times New Roman"/>
          <w:color w:val="000000"/>
          <w:sz w:val="28"/>
          <w:szCs w:val="28"/>
          <w:lang w:eastAsia="ru-RU" w:bidi="ru-RU"/>
        </w:rPr>
        <w:br/>
        <w:t>3 119,7 тыс. человек), прием в 2021 г</w:t>
      </w:r>
      <w:r w:rsidR="00F22C65">
        <w:rPr>
          <w:rFonts w:ascii="Times New Roman" w:eastAsia="Times New Roman" w:hAnsi="Times New Roman" w:cs="Times New Roman"/>
          <w:color w:val="000000"/>
          <w:sz w:val="28"/>
          <w:szCs w:val="28"/>
          <w:lang w:eastAsia="ru-RU" w:bidi="ru-RU"/>
        </w:rPr>
        <w:t xml:space="preserve">. составил более 1 млн человек </w:t>
      </w:r>
      <w:r w:rsidRPr="00BD3AD5">
        <w:rPr>
          <w:rFonts w:ascii="Times New Roman" w:eastAsia="Times New Roman" w:hAnsi="Times New Roman" w:cs="Times New Roman"/>
          <w:color w:val="000000"/>
          <w:sz w:val="28"/>
          <w:szCs w:val="28"/>
          <w:lang w:eastAsia="ru-RU" w:bidi="ru-RU"/>
        </w:rPr>
        <w:t>(</w:t>
      </w:r>
      <w:r w:rsidR="00C8717C">
        <w:rPr>
          <w:rFonts w:ascii="Times New Roman" w:eastAsia="Times New Roman" w:hAnsi="Times New Roman" w:cs="Times New Roman"/>
          <w:color w:val="000000"/>
          <w:sz w:val="28"/>
          <w:szCs w:val="28"/>
          <w:lang w:eastAsia="ru-RU" w:bidi="ru-RU"/>
        </w:rPr>
        <w:t>2019-</w:t>
      </w:r>
      <w:r w:rsidRPr="00BD3AD5">
        <w:rPr>
          <w:rFonts w:ascii="Times New Roman" w:eastAsia="Times New Roman" w:hAnsi="Times New Roman" w:cs="Times New Roman"/>
          <w:color w:val="000000"/>
          <w:sz w:val="28"/>
          <w:szCs w:val="28"/>
          <w:lang w:eastAsia="ru-RU" w:bidi="ru-RU"/>
        </w:rPr>
        <w:t>2020</w:t>
      </w:r>
      <w:r w:rsidR="000F3D47">
        <w:rPr>
          <w:rFonts w:ascii="Times New Roman" w:eastAsia="Times New Roman" w:hAnsi="Times New Roman" w:cs="Times New Roman"/>
          <w:color w:val="000000"/>
          <w:sz w:val="28"/>
          <w:szCs w:val="28"/>
          <w:lang w:eastAsia="ru-RU" w:bidi="ru-RU"/>
        </w:rPr>
        <w:t xml:space="preserve"> г</w:t>
      </w:r>
      <w:r w:rsidR="00C8717C">
        <w:rPr>
          <w:rFonts w:ascii="Times New Roman" w:eastAsia="Times New Roman" w:hAnsi="Times New Roman" w:cs="Times New Roman"/>
          <w:color w:val="000000"/>
          <w:sz w:val="28"/>
          <w:szCs w:val="28"/>
          <w:lang w:eastAsia="ru-RU" w:bidi="ru-RU"/>
        </w:rPr>
        <w:t>г</w:t>
      </w:r>
      <w:r w:rsidR="000F3D47">
        <w:rPr>
          <w:rFonts w:ascii="Times New Roman" w:eastAsia="Times New Roman" w:hAnsi="Times New Roman" w:cs="Times New Roman"/>
          <w:color w:val="000000"/>
          <w:sz w:val="28"/>
          <w:szCs w:val="28"/>
          <w:lang w:eastAsia="ru-RU" w:bidi="ru-RU"/>
        </w:rPr>
        <w:t>.</w:t>
      </w:r>
      <w:r w:rsidRPr="00BD3AD5">
        <w:rPr>
          <w:rFonts w:ascii="Times New Roman" w:eastAsia="Times New Roman" w:hAnsi="Times New Roman" w:cs="Times New Roman"/>
          <w:color w:val="000000"/>
          <w:sz w:val="28"/>
          <w:szCs w:val="28"/>
          <w:lang w:eastAsia="ru-RU" w:bidi="ru-RU"/>
        </w:rPr>
        <w:t> – более 1 млн человек).</w:t>
      </w:r>
    </w:p>
    <w:p w14:paraId="00EF69FF" w14:textId="77777777" w:rsidR="00BD3AD5" w:rsidRPr="00BD3AD5" w:rsidRDefault="00BD3AD5" w:rsidP="00BD3AD5">
      <w:pPr>
        <w:widowControl w:val="0"/>
        <w:suppressAutoHyphens/>
        <w:spacing w:after="0" w:line="312" w:lineRule="auto"/>
        <w:ind w:firstLine="709"/>
        <w:contextualSpacing/>
        <w:jc w:val="both"/>
        <w:rPr>
          <w:rFonts w:ascii="Times New Roman" w:eastAsia="Times New Roman" w:hAnsi="Times New Roman" w:cs="Times New Roman"/>
          <w:color w:val="000000"/>
          <w:sz w:val="28"/>
          <w:szCs w:val="28"/>
          <w:lang w:eastAsia="ru-RU" w:bidi="ru-RU"/>
        </w:rPr>
      </w:pPr>
      <w:r w:rsidRPr="00BD3AD5">
        <w:rPr>
          <w:rFonts w:ascii="Times New Roman" w:eastAsia="Times New Roman" w:hAnsi="Times New Roman" w:cs="Times New Roman"/>
          <w:color w:val="000000"/>
          <w:sz w:val="28"/>
          <w:szCs w:val="28"/>
          <w:lang w:eastAsia="ru-RU" w:bidi="ru-RU"/>
        </w:rPr>
        <w:t>В 2020 г</w:t>
      </w:r>
      <w:r w:rsidR="004E02DD">
        <w:rPr>
          <w:rFonts w:ascii="Times New Roman" w:eastAsia="Times New Roman" w:hAnsi="Times New Roman" w:cs="Times New Roman"/>
          <w:color w:val="000000"/>
          <w:sz w:val="28"/>
          <w:szCs w:val="28"/>
          <w:lang w:eastAsia="ru-RU" w:bidi="ru-RU"/>
        </w:rPr>
        <w:t>.</w:t>
      </w:r>
      <w:r w:rsidRPr="00BD3AD5">
        <w:rPr>
          <w:rFonts w:ascii="Times New Roman" w:eastAsia="Times New Roman" w:hAnsi="Times New Roman" w:cs="Times New Roman"/>
          <w:color w:val="000000"/>
          <w:sz w:val="28"/>
          <w:szCs w:val="28"/>
          <w:lang w:eastAsia="ru-RU" w:bidi="ru-RU"/>
        </w:rPr>
        <w:t xml:space="preserve"> Минпросвещения России разработана система показателей, позволяющих оценить степень соответствия системы среднего профессионального образования субъектов Российской Федерации потребностям экономики регионов. Сводный итоговый показатель синхронизации состоит из показателей, охватывающих различные формы сотрудничества организаций с предприятиями, развитие материально-технической базы и кадрового состава, трудоустройство выпускников, участие в федеральных мероприятиях по обеспечению экономики кадрами, соответствие устанавливаемых контрольных цифр приема запросам </w:t>
      </w:r>
      <w:r w:rsidRPr="00BD3AD5">
        <w:rPr>
          <w:rFonts w:ascii="Times New Roman" w:eastAsia="Times New Roman" w:hAnsi="Times New Roman" w:cs="Times New Roman"/>
          <w:color w:val="000000"/>
          <w:sz w:val="28"/>
          <w:szCs w:val="28"/>
          <w:lang w:eastAsia="ru-RU" w:bidi="ru-RU"/>
        </w:rPr>
        <w:br/>
        <w:t>рынка труда. Такая система позволяет субъекту Российской Федерации оценить проблемные моменты в обеспечении синхронизации и принять соответствующие управленческие решения.</w:t>
      </w:r>
    </w:p>
    <w:p w14:paraId="7BC20358" w14:textId="77777777" w:rsidR="00BD3AD5" w:rsidRPr="00BD3AD5" w:rsidRDefault="00BD3AD5" w:rsidP="00BD3AD5">
      <w:pPr>
        <w:widowControl w:val="0"/>
        <w:suppressAutoHyphens/>
        <w:spacing w:after="0" w:line="312" w:lineRule="auto"/>
        <w:ind w:firstLine="709"/>
        <w:contextualSpacing/>
        <w:jc w:val="both"/>
        <w:rPr>
          <w:rFonts w:ascii="Times New Roman" w:eastAsia="Times New Roman" w:hAnsi="Times New Roman" w:cs="Times New Roman"/>
          <w:color w:val="000000"/>
          <w:sz w:val="28"/>
          <w:szCs w:val="28"/>
          <w:lang w:eastAsia="ru-RU" w:bidi="ru-RU"/>
        </w:rPr>
      </w:pPr>
      <w:r w:rsidRPr="00BD3AD5">
        <w:rPr>
          <w:rFonts w:ascii="Times New Roman" w:eastAsia="Times New Roman" w:hAnsi="Times New Roman" w:cs="Times New Roman"/>
          <w:color w:val="000000"/>
          <w:sz w:val="28"/>
          <w:szCs w:val="28"/>
          <w:lang w:eastAsia="ru-RU" w:bidi="ru-RU"/>
        </w:rPr>
        <w:t>В 2021 г</w:t>
      </w:r>
      <w:r w:rsidR="004E02DD">
        <w:rPr>
          <w:rFonts w:ascii="Times New Roman" w:eastAsia="Times New Roman" w:hAnsi="Times New Roman" w:cs="Times New Roman"/>
          <w:color w:val="000000"/>
          <w:sz w:val="28"/>
          <w:szCs w:val="28"/>
          <w:lang w:eastAsia="ru-RU" w:bidi="ru-RU"/>
        </w:rPr>
        <w:t>.</w:t>
      </w:r>
      <w:r w:rsidRPr="00BD3AD5">
        <w:rPr>
          <w:rFonts w:ascii="Times New Roman" w:eastAsia="Times New Roman" w:hAnsi="Times New Roman" w:cs="Times New Roman"/>
          <w:color w:val="000000"/>
          <w:sz w:val="28"/>
          <w:szCs w:val="28"/>
          <w:lang w:eastAsia="ru-RU" w:bidi="ru-RU"/>
        </w:rPr>
        <w:t xml:space="preserve"> </w:t>
      </w:r>
      <w:r w:rsidR="00F2500D" w:rsidRPr="00BD3AD5">
        <w:rPr>
          <w:rFonts w:ascii="Times New Roman" w:eastAsia="Times New Roman" w:hAnsi="Times New Roman" w:cs="Times New Roman"/>
          <w:color w:val="000000"/>
          <w:sz w:val="28"/>
          <w:szCs w:val="28"/>
          <w:lang w:eastAsia="ru-RU" w:bidi="ru-RU"/>
        </w:rPr>
        <w:t xml:space="preserve">с учетом результатов уже проведенного мониторинга </w:t>
      </w:r>
      <w:r w:rsidRPr="00BD3AD5">
        <w:rPr>
          <w:rFonts w:ascii="Times New Roman" w:eastAsia="Times New Roman" w:hAnsi="Times New Roman" w:cs="Times New Roman"/>
          <w:color w:val="000000"/>
          <w:sz w:val="28"/>
          <w:szCs w:val="28"/>
          <w:lang w:eastAsia="ru-RU" w:bidi="ru-RU"/>
        </w:rPr>
        <w:t>разработана концепция развития синхронизации. Внедрены новые показатели в карту синхронизации в части: наличия эксперт</w:t>
      </w:r>
      <w:r w:rsidR="00F2500D">
        <w:rPr>
          <w:rFonts w:ascii="Times New Roman" w:eastAsia="Times New Roman" w:hAnsi="Times New Roman" w:cs="Times New Roman"/>
          <w:color w:val="000000"/>
          <w:sz w:val="28"/>
          <w:szCs w:val="28"/>
          <w:lang w:eastAsia="ru-RU" w:bidi="ru-RU"/>
        </w:rPr>
        <w:t xml:space="preserve">ов от предприятий, принимающих </w:t>
      </w:r>
      <w:r w:rsidRPr="00BD3AD5">
        <w:rPr>
          <w:rFonts w:ascii="Times New Roman" w:eastAsia="Times New Roman" w:hAnsi="Times New Roman" w:cs="Times New Roman"/>
          <w:color w:val="000000"/>
          <w:sz w:val="28"/>
          <w:szCs w:val="28"/>
          <w:lang w:eastAsia="ru-RU" w:bidi="ru-RU"/>
        </w:rPr>
        <w:t>участие в государственной итоговой аттестации, материально-технической базы, профессионально-общественной аккредитации образовательных программ, обучающихся по договорам о целевом обуче</w:t>
      </w:r>
      <w:r w:rsidR="00F2500D">
        <w:rPr>
          <w:rFonts w:ascii="Times New Roman" w:eastAsia="Times New Roman" w:hAnsi="Times New Roman" w:cs="Times New Roman"/>
          <w:color w:val="000000"/>
          <w:sz w:val="28"/>
          <w:szCs w:val="28"/>
          <w:lang w:eastAsia="ru-RU" w:bidi="ru-RU"/>
        </w:rPr>
        <w:t xml:space="preserve">нии, кадрового состава из числа </w:t>
      </w:r>
      <w:r w:rsidRPr="00BD3AD5">
        <w:rPr>
          <w:rFonts w:ascii="Times New Roman" w:eastAsia="Times New Roman" w:hAnsi="Times New Roman" w:cs="Times New Roman"/>
          <w:color w:val="000000"/>
          <w:sz w:val="28"/>
          <w:szCs w:val="28"/>
          <w:lang w:eastAsia="ru-RU" w:bidi="ru-RU"/>
        </w:rPr>
        <w:t>действующих работников реального сект</w:t>
      </w:r>
      <w:r w:rsidR="00F2500D">
        <w:rPr>
          <w:rFonts w:ascii="Times New Roman" w:eastAsia="Times New Roman" w:hAnsi="Times New Roman" w:cs="Times New Roman"/>
          <w:color w:val="000000"/>
          <w:sz w:val="28"/>
          <w:szCs w:val="28"/>
          <w:lang w:eastAsia="ru-RU" w:bidi="ru-RU"/>
        </w:rPr>
        <w:t xml:space="preserve">ора экономики, наставничества. </w:t>
      </w:r>
      <w:r w:rsidRPr="00BD3AD5">
        <w:rPr>
          <w:rFonts w:ascii="Times New Roman" w:eastAsia="Times New Roman" w:hAnsi="Times New Roman" w:cs="Times New Roman"/>
          <w:color w:val="000000"/>
          <w:sz w:val="28"/>
          <w:szCs w:val="28"/>
          <w:lang w:eastAsia="ru-RU" w:bidi="ru-RU"/>
        </w:rPr>
        <w:t>Проведена проектная сессия по вопросам си</w:t>
      </w:r>
      <w:r w:rsidR="00F2500D">
        <w:rPr>
          <w:rFonts w:ascii="Times New Roman" w:eastAsia="Times New Roman" w:hAnsi="Times New Roman" w:cs="Times New Roman"/>
          <w:color w:val="000000"/>
          <w:sz w:val="28"/>
          <w:szCs w:val="28"/>
          <w:lang w:eastAsia="ru-RU" w:bidi="ru-RU"/>
        </w:rPr>
        <w:t xml:space="preserve">нхронизации подготовки кадров, </w:t>
      </w:r>
      <w:r w:rsidRPr="00BD3AD5">
        <w:rPr>
          <w:rFonts w:ascii="Times New Roman" w:eastAsia="Times New Roman" w:hAnsi="Times New Roman" w:cs="Times New Roman"/>
          <w:color w:val="000000"/>
          <w:sz w:val="28"/>
          <w:szCs w:val="28"/>
          <w:lang w:eastAsia="ru-RU" w:bidi="ru-RU"/>
        </w:rPr>
        <w:t>а также разработана методика сравнительного анализа.</w:t>
      </w:r>
    </w:p>
    <w:p w14:paraId="5D075183" w14:textId="77777777" w:rsidR="00BD3AD5" w:rsidRPr="00BD3AD5" w:rsidRDefault="00BD3AD5" w:rsidP="00BD3AD5">
      <w:pPr>
        <w:widowControl w:val="0"/>
        <w:suppressAutoHyphens/>
        <w:spacing w:after="0" w:line="312" w:lineRule="auto"/>
        <w:ind w:firstLine="709"/>
        <w:contextualSpacing/>
        <w:jc w:val="both"/>
        <w:rPr>
          <w:rFonts w:ascii="Times New Roman" w:eastAsia="Times New Roman" w:hAnsi="Times New Roman" w:cs="Times New Roman"/>
          <w:color w:val="000000"/>
          <w:sz w:val="28"/>
          <w:szCs w:val="28"/>
          <w:lang w:eastAsia="ru-RU" w:bidi="ru-RU"/>
        </w:rPr>
      </w:pPr>
      <w:r w:rsidRPr="00BD3AD5">
        <w:rPr>
          <w:rFonts w:ascii="Times New Roman" w:eastAsia="Times New Roman" w:hAnsi="Times New Roman" w:cs="Times New Roman"/>
          <w:color w:val="000000"/>
          <w:sz w:val="28"/>
          <w:szCs w:val="28"/>
          <w:lang w:eastAsia="ru-RU" w:bidi="ru-RU"/>
        </w:rPr>
        <w:t>Высокий уровень синхронизации, по итогам оценки уровня синхронизации в 2021 г</w:t>
      </w:r>
      <w:r w:rsidR="004E02DD">
        <w:rPr>
          <w:rFonts w:ascii="Times New Roman" w:eastAsia="Times New Roman" w:hAnsi="Times New Roman" w:cs="Times New Roman"/>
          <w:color w:val="000000"/>
          <w:sz w:val="28"/>
          <w:szCs w:val="28"/>
          <w:lang w:eastAsia="ru-RU" w:bidi="ru-RU"/>
        </w:rPr>
        <w:t>.</w:t>
      </w:r>
      <w:r w:rsidRPr="00BD3AD5">
        <w:rPr>
          <w:rFonts w:ascii="Times New Roman" w:eastAsia="Times New Roman" w:hAnsi="Times New Roman" w:cs="Times New Roman"/>
          <w:color w:val="000000"/>
          <w:sz w:val="28"/>
          <w:szCs w:val="28"/>
          <w:lang w:eastAsia="ru-RU" w:bidi="ru-RU"/>
        </w:rPr>
        <w:t xml:space="preserve">, продемонстрировали 24 </w:t>
      </w:r>
      <w:r w:rsidR="002B163F">
        <w:rPr>
          <w:rFonts w:ascii="Times New Roman" w:eastAsia="Times New Roman" w:hAnsi="Times New Roman" w:cs="Times New Roman"/>
          <w:color w:val="000000"/>
          <w:sz w:val="28"/>
          <w:szCs w:val="28"/>
          <w:lang w:eastAsia="ru-RU" w:bidi="ru-RU"/>
        </w:rPr>
        <w:t xml:space="preserve">субъекта Российской Федерации, </w:t>
      </w:r>
      <w:r w:rsidR="004E02DD">
        <w:rPr>
          <w:rFonts w:ascii="Times New Roman" w:eastAsia="Times New Roman" w:hAnsi="Times New Roman" w:cs="Times New Roman"/>
          <w:color w:val="000000"/>
          <w:sz w:val="28"/>
          <w:szCs w:val="28"/>
          <w:lang w:eastAsia="ru-RU" w:bidi="ru-RU"/>
        </w:rPr>
        <w:br/>
      </w:r>
      <w:r w:rsidRPr="00BD3AD5">
        <w:rPr>
          <w:rFonts w:ascii="Times New Roman" w:eastAsia="Times New Roman" w:hAnsi="Times New Roman" w:cs="Times New Roman"/>
          <w:color w:val="000000"/>
          <w:sz w:val="28"/>
          <w:szCs w:val="28"/>
          <w:lang w:eastAsia="ru-RU" w:bidi="ru-RU"/>
        </w:rPr>
        <w:t>средний – 51 субъект Российской Фе</w:t>
      </w:r>
      <w:r w:rsidR="002B163F">
        <w:rPr>
          <w:rFonts w:ascii="Times New Roman" w:eastAsia="Times New Roman" w:hAnsi="Times New Roman" w:cs="Times New Roman"/>
          <w:color w:val="000000"/>
          <w:sz w:val="28"/>
          <w:szCs w:val="28"/>
          <w:lang w:eastAsia="ru-RU" w:bidi="ru-RU"/>
        </w:rPr>
        <w:t xml:space="preserve">дерации, низкий – 10 субъектов </w:t>
      </w:r>
      <w:r w:rsidRPr="00BD3AD5">
        <w:rPr>
          <w:rFonts w:ascii="Times New Roman" w:eastAsia="Times New Roman" w:hAnsi="Times New Roman" w:cs="Times New Roman"/>
          <w:color w:val="000000"/>
          <w:sz w:val="28"/>
          <w:szCs w:val="28"/>
          <w:lang w:eastAsia="ru-RU" w:bidi="ru-RU"/>
        </w:rPr>
        <w:t>Российской Федерации.</w:t>
      </w:r>
    </w:p>
    <w:p w14:paraId="7CCEEE6B" w14:textId="77777777" w:rsidR="00BD3AD5" w:rsidRPr="00BD3AD5" w:rsidRDefault="00BD3AD5" w:rsidP="00BD3AD5">
      <w:pPr>
        <w:widowControl w:val="0"/>
        <w:suppressAutoHyphens/>
        <w:spacing w:after="0" w:line="312" w:lineRule="auto"/>
        <w:ind w:firstLine="709"/>
        <w:contextualSpacing/>
        <w:jc w:val="both"/>
        <w:rPr>
          <w:rFonts w:ascii="Times New Roman" w:eastAsia="Times New Roman" w:hAnsi="Times New Roman" w:cs="Times New Roman"/>
          <w:color w:val="000000"/>
          <w:sz w:val="28"/>
          <w:szCs w:val="28"/>
          <w:lang w:eastAsia="ru-RU" w:bidi="ru-RU"/>
        </w:rPr>
      </w:pPr>
      <w:r w:rsidRPr="00BD3AD5">
        <w:rPr>
          <w:rFonts w:ascii="Times New Roman" w:eastAsia="Times New Roman" w:hAnsi="Times New Roman" w:cs="Times New Roman"/>
          <w:color w:val="000000"/>
          <w:sz w:val="28"/>
          <w:szCs w:val="28"/>
          <w:lang w:eastAsia="ru-RU" w:bidi="ru-RU"/>
        </w:rPr>
        <w:t xml:space="preserve">Согласно результатам мониторинга профессиональной и иной деятельности граждан, проводимого </w:t>
      </w:r>
      <w:proofErr w:type="spellStart"/>
      <w:r w:rsidRPr="00BD3AD5">
        <w:rPr>
          <w:rFonts w:ascii="Times New Roman" w:eastAsia="Times New Roman" w:hAnsi="Times New Roman" w:cs="Times New Roman"/>
          <w:color w:val="000000"/>
          <w:sz w:val="28"/>
          <w:szCs w:val="28"/>
          <w:lang w:eastAsia="ru-RU" w:bidi="ru-RU"/>
        </w:rPr>
        <w:t>Рострудом</w:t>
      </w:r>
      <w:proofErr w:type="spellEnd"/>
      <w:r w:rsidRPr="00BD3AD5">
        <w:rPr>
          <w:rFonts w:ascii="Times New Roman" w:eastAsia="Times New Roman" w:hAnsi="Times New Roman" w:cs="Times New Roman"/>
          <w:color w:val="000000"/>
          <w:sz w:val="28"/>
          <w:szCs w:val="28"/>
          <w:lang w:eastAsia="ru-RU" w:bidi="ru-RU"/>
        </w:rPr>
        <w:t xml:space="preserve"> в соответствии с Регламентом формирования аналитической информации о трудоустройстве граждан в подсистеме «Анализ трудоустройства граждан» Единой цифровой платформы в сфере занятости и трудовых отношений «Работа в России», утвержденным приказом </w:t>
      </w:r>
      <w:proofErr w:type="spellStart"/>
      <w:r w:rsidRPr="00BD3AD5">
        <w:rPr>
          <w:rFonts w:ascii="Times New Roman" w:eastAsia="Times New Roman" w:hAnsi="Times New Roman" w:cs="Times New Roman"/>
          <w:color w:val="000000"/>
          <w:sz w:val="28"/>
          <w:szCs w:val="28"/>
          <w:lang w:eastAsia="ru-RU" w:bidi="ru-RU"/>
        </w:rPr>
        <w:t>Роструда</w:t>
      </w:r>
      <w:proofErr w:type="spellEnd"/>
      <w:r w:rsidRPr="00BD3AD5">
        <w:rPr>
          <w:rFonts w:ascii="Times New Roman" w:eastAsia="Times New Roman" w:hAnsi="Times New Roman" w:cs="Times New Roman"/>
          <w:color w:val="000000"/>
          <w:sz w:val="28"/>
          <w:szCs w:val="28"/>
          <w:lang w:eastAsia="ru-RU" w:bidi="ru-RU"/>
        </w:rPr>
        <w:t xml:space="preserve"> </w:t>
      </w:r>
      <w:r w:rsidR="00FB020B">
        <w:rPr>
          <w:rFonts w:ascii="Times New Roman" w:eastAsia="Times New Roman" w:hAnsi="Times New Roman" w:cs="Times New Roman"/>
          <w:color w:val="000000"/>
          <w:sz w:val="28"/>
          <w:szCs w:val="28"/>
          <w:lang w:eastAsia="ru-RU" w:bidi="ru-RU"/>
        </w:rPr>
        <w:br/>
      </w:r>
      <w:r w:rsidRPr="00BD3AD5">
        <w:rPr>
          <w:rFonts w:ascii="Times New Roman" w:eastAsia="Times New Roman" w:hAnsi="Times New Roman" w:cs="Times New Roman"/>
          <w:color w:val="000000"/>
          <w:sz w:val="28"/>
          <w:szCs w:val="28"/>
          <w:lang w:eastAsia="ru-RU" w:bidi="ru-RU"/>
        </w:rPr>
        <w:t xml:space="preserve">от 30 июля 2021 г. № 232, в целом по Российской Федерации по состоянию </w:t>
      </w:r>
      <w:r w:rsidR="00FB020B">
        <w:rPr>
          <w:rFonts w:ascii="Times New Roman" w:eastAsia="Times New Roman" w:hAnsi="Times New Roman" w:cs="Times New Roman"/>
          <w:color w:val="000000"/>
          <w:sz w:val="28"/>
          <w:szCs w:val="28"/>
          <w:lang w:eastAsia="ru-RU" w:bidi="ru-RU"/>
        </w:rPr>
        <w:br/>
      </w:r>
      <w:r w:rsidRPr="00BD3AD5">
        <w:rPr>
          <w:rFonts w:ascii="Times New Roman" w:eastAsia="Times New Roman" w:hAnsi="Times New Roman" w:cs="Times New Roman"/>
          <w:color w:val="000000"/>
          <w:sz w:val="28"/>
          <w:szCs w:val="28"/>
          <w:lang w:eastAsia="ru-RU" w:bidi="ru-RU"/>
        </w:rPr>
        <w:t>на IV квартал 2021 г</w:t>
      </w:r>
      <w:r w:rsidR="00EE1656">
        <w:rPr>
          <w:rFonts w:ascii="Times New Roman" w:eastAsia="Times New Roman" w:hAnsi="Times New Roman" w:cs="Times New Roman"/>
          <w:color w:val="000000"/>
          <w:sz w:val="28"/>
          <w:szCs w:val="28"/>
          <w:lang w:eastAsia="ru-RU" w:bidi="ru-RU"/>
        </w:rPr>
        <w:t>.</w:t>
      </w:r>
      <w:r w:rsidRPr="00BD3AD5">
        <w:rPr>
          <w:rFonts w:ascii="Times New Roman" w:eastAsia="Times New Roman" w:hAnsi="Times New Roman" w:cs="Times New Roman"/>
          <w:color w:val="000000"/>
          <w:sz w:val="28"/>
          <w:szCs w:val="28"/>
          <w:lang w:eastAsia="ru-RU" w:bidi="ru-RU"/>
        </w:rPr>
        <w:t xml:space="preserve"> уровень занятости вып</w:t>
      </w:r>
      <w:r w:rsidR="00FB020B">
        <w:rPr>
          <w:rFonts w:ascii="Times New Roman" w:eastAsia="Times New Roman" w:hAnsi="Times New Roman" w:cs="Times New Roman"/>
          <w:color w:val="000000"/>
          <w:sz w:val="28"/>
          <w:szCs w:val="28"/>
          <w:lang w:eastAsia="ru-RU" w:bidi="ru-RU"/>
        </w:rPr>
        <w:t xml:space="preserve">ускников, завершивших обучение </w:t>
      </w:r>
      <w:r w:rsidRPr="00BD3AD5">
        <w:rPr>
          <w:rFonts w:ascii="Times New Roman" w:eastAsia="Times New Roman" w:hAnsi="Times New Roman" w:cs="Times New Roman"/>
          <w:color w:val="000000"/>
          <w:sz w:val="28"/>
          <w:szCs w:val="28"/>
          <w:lang w:eastAsia="ru-RU" w:bidi="ru-RU"/>
        </w:rPr>
        <w:t>по программам среднего профессиона</w:t>
      </w:r>
      <w:r w:rsidR="00FB020B">
        <w:rPr>
          <w:rFonts w:ascii="Times New Roman" w:eastAsia="Times New Roman" w:hAnsi="Times New Roman" w:cs="Times New Roman"/>
          <w:color w:val="000000"/>
          <w:sz w:val="28"/>
          <w:szCs w:val="28"/>
          <w:lang w:eastAsia="ru-RU" w:bidi="ru-RU"/>
        </w:rPr>
        <w:t>льного образования в 2020 г</w:t>
      </w:r>
      <w:r w:rsidR="004E02DD">
        <w:rPr>
          <w:rFonts w:ascii="Times New Roman" w:eastAsia="Times New Roman" w:hAnsi="Times New Roman" w:cs="Times New Roman"/>
          <w:color w:val="000000"/>
          <w:sz w:val="28"/>
          <w:szCs w:val="28"/>
          <w:lang w:eastAsia="ru-RU" w:bidi="ru-RU"/>
        </w:rPr>
        <w:t>.</w:t>
      </w:r>
      <w:r w:rsidR="00FB020B">
        <w:rPr>
          <w:rFonts w:ascii="Times New Roman" w:eastAsia="Times New Roman" w:hAnsi="Times New Roman" w:cs="Times New Roman"/>
          <w:color w:val="000000"/>
          <w:sz w:val="28"/>
          <w:szCs w:val="28"/>
          <w:lang w:eastAsia="ru-RU" w:bidi="ru-RU"/>
        </w:rPr>
        <w:t xml:space="preserve"> </w:t>
      </w:r>
      <w:r w:rsidRPr="00BD3AD5">
        <w:rPr>
          <w:rFonts w:ascii="Times New Roman" w:eastAsia="Times New Roman" w:hAnsi="Times New Roman" w:cs="Times New Roman"/>
          <w:color w:val="000000"/>
          <w:sz w:val="28"/>
          <w:szCs w:val="28"/>
          <w:lang w:eastAsia="ru-RU" w:bidi="ru-RU"/>
        </w:rPr>
        <w:t>(отношение между численностью выпуск</w:t>
      </w:r>
      <w:r w:rsidR="00FB020B">
        <w:rPr>
          <w:rFonts w:ascii="Times New Roman" w:eastAsia="Times New Roman" w:hAnsi="Times New Roman" w:cs="Times New Roman"/>
          <w:color w:val="000000"/>
          <w:sz w:val="28"/>
          <w:szCs w:val="28"/>
          <w:lang w:eastAsia="ru-RU" w:bidi="ru-RU"/>
        </w:rPr>
        <w:t xml:space="preserve">ников, осуществлявших трудовую </w:t>
      </w:r>
      <w:r w:rsidRPr="00BD3AD5">
        <w:rPr>
          <w:rFonts w:ascii="Times New Roman" w:eastAsia="Times New Roman" w:hAnsi="Times New Roman" w:cs="Times New Roman"/>
          <w:color w:val="000000"/>
          <w:sz w:val="28"/>
          <w:szCs w:val="28"/>
          <w:lang w:eastAsia="ru-RU" w:bidi="ru-RU"/>
        </w:rPr>
        <w:t xml:space="preserve">и предпринимательскую деятельность, и общей </w:t>
      </w:r>
      <w:r w:rsidR="00FB020B">
        <w:rPr>
          <w:rFonts w:ascii="Times New Roman" w:eastAsia="Times New Roman" w:hAnsi="Times New Roman" w:cs="Times New Roman"/>
          <w:color w:val="000000"/>
          <w:sz w:val="28"/>
          <w:szCs w:val="28"/>
          <w:lang w:eastAsia="ru-RU" w:bidi="ru-RU"/>
        </w:rPr>
        <w:t xml:space="preserve">численностью выпускников </w:t>
      </w:r>
      <w:r w:rsidRPr="00BD3AD5">
        <w:rPr>
          <w:rFonts w:ascii="Times New Roman" w:eastAsia="Times New Roman" w:hAnsi="Times New Roman" w:cs="Times New Roman"/>
          <w:color w:val="000000"/>
          <w:sz w:val="28"/>
          <w:szCs w:val="28"/>
          <w:lang w:eastAsia="ru-RU" w:bidi="ru-RU"/>
        </w:rPr>
        <w:t>за вычетом продолживших обучение), составил 70,37%</w:t>
      </w:r>
      <w:r w:rsidR="00FB020B">
        <w:rPr>
          <w:rFonts w:ascii="Times New Roman" w:eastAsia="Times New Roman" w:hAnsi="Times New Roman" w:cs="Times New Roman"/>
          <w:color w:val="000000"/>
          <w:sz w:val="28"/>
          <w:szCs w:val="28"/>
          <w:lang w:eastAsia="ru-RU" w:bidi="ru-RU"/>
        </w:rPr>
        <w:t>.</w:t>
      </w:r>
    </w:p>
    <w:p w14:paraId="299D8B4A" w14:textId="77777777" w:rsidR="00BD3AD5" w:rsidRPr="00BD3AD5" w:rsidRDefault="00BD3AD5" w:rsidP="00BD3AD5">
      <w:pPr>
        <w:widowControl w:val="0"/>
        <w:suppressAutoHyphens/>
        <w:spacing w:after="0" w:line="312" w:lineRule="auto"/>
        <w:ind w:firstLine="709"/>
        <w:contextualSpacing/>
        <w:jc w:val="both"/>
        <w:rPr>
          <w:rFonts w:ascii="Times New Roman" w:eastAsia="Times New Roman" w:hAnsi="Times New Roman" w:cs="Times New Roman"/>
          <w:color w:val="000000"/>
          <w:sz w:val="28"/>
          <w:szCs w:val="28"/>
          <w:lang w:eastAsia="ru-RU" w:bidi="ru-RU"/>
        </w:rPr>
      </w:pPr>
      <w:r w:rsidRPr="00BD3AD5">
        <w:rPr>
          <w:rFonts w:ascii="Times New Roman" w:eastAsia="Times New Roman" w:hAnsi="Times New Roman" w:cs="Times New Roman"/>
          <w:color w:val="000000"/>
          <w:sz w:val="28"/>
          <w:szCs w:val="28"/>
          <w:lang w:eastAsia="ru-RU" w:bidi="ru-RU"/>
        </w:rPr>
        <w:t>Наибольший уровень занятости выпускников за указанный период наблюдается в следующих субъектах Российской Федерации: Белгородская область (87,4%), Ненецкий автономный округ (85,5%), Республика Татарстан (80,2%), г. Санкт-Петербург (77,6%), Орловская область (77,3%), Московская область (77,1%), Калужская область (77,0%), г. Москва (77,0%), Тюменская область (76,8%), Республика Мордовия (76,3%), Удмуртская Республика (75,1%).</w:t>
      </w:r>
    </w:p>
    <w:p w14:paraId="1BF558A5" w14:textId="77777777" w:rsidR="00BD3AD5" w:rsidRPr="00BD3AD5" w:rsidRDefault="00BD3AD5" w:rsidP="00BD3AD5">
      <w:pPr>
        <w:widowControl w:val="0"/>
        <w:suppressAutoHyphens/>
        <w:spacing w:after="0" w:line="312" w:lineRule="auto"/>
        <w:ind w:firstLine="709"/>
        <w:contextualSpacing/>
        <w:jc w:val="both"/>
        <w:rPr>
          <w:rFonts w:ascii="Times New Roman" w:eastAsia="Times New Roman" w:hAnsi="Times New Roman" w:cs="Times New Roman"/>
          <w:color w:val="000000"/>
          <w:sz w:val="28"/>
          <w:szCs w:val="28"/>
          <w:lang w:eastAsia="ru-RU" w:bidi="ru-RU"/>
        </w:rPr>
      </w:pPr>
      <w:r w:rsidRPr="00BD3AD5">
        <w:rPr>
          <w:rFonts w:ascii="Times New Roman" w:eastAsia="Times New Roman" w:hAnsi="Times New Roman" w:cs="Times New Roman"/>
          <w:color w:val="000000"/>
          <w:sz w:val="28"/>
          <w:szCs w:val="28"/>
          <w:lang w:eastAsia="ru-RU" w:bidi="ru-RU"/>
        </w:rPr>
        <w:t xml:space="preserve">Наибольший уровень занятости выпускников за указанный период наблюдается по следующим профессиям и специальностям: Технология и техника разведки месторождений полезных ископаемых (90,0%), Теория музыки (88,7%), Управление движением воздушного транспорта (88,6%), </w:t>
      </w:r>
      <w:r w:rsidR="00DF419B">
        <w:rPr>
          <w:rFonts w:ascii="Times New Roman" w:eastAsia="Times New Roman" w:hAnsi="Times New Roman" w:cs="Times New Roman"/>
          <w:color w:val="000000"/>
          <w:sz w:val="28"/>
          <w:szCs w:val="28"/>
          <w:lang w:eastAsia="ru-RU" w:bidi="ru-RU"/>
        </w:rPr>
        <w:t xml:space="preserve">Хоровое </w:t>
      </w:r>
      <w:proofErr w:type="spellStart"/>
      <w:r w:rsidR="00DF419B">
        <w:rPr>
          <w:rFonts w:ascii="Times New Roman" w:eastAsia="Times New Roman" w:hAnsi="Times New Roman" w:cs="Times New Roman"/>
          <w:color w:val="000000"/>
          <w:sz w:val="28"/>
          <w:szCs w:val="28"/>
          <w:lang w:eastAsia="ru-RU" w:bidi="ru-RU"/>
        </w:rPr>
        <w:t>дирижирование</w:t>
      </w:r>
      <w:proofErr w:type="spellEnd"/>
      <w:r w:rsidR="00DF419B">
        <w:rPr>
          <w:rFonts w:ascii="Times New Roman" w:eastAsia="Times New Roman" w:hAnsi="Times New Roman" w:cs="Times New Roman"/>
          <w:color w:val="000000"/>
          <w:sz w:val="28"/>
          <w:szCs w:val="28"/>
          <w:lang w:eastAsia="ru-RU" w:bidi="ru-RU"/>
        </w:rPr>
        <w:t xml:space="preserve"> </w:t>
      </w:r>
      <w:r w:rsidRPr="00BD3AD5">
        <w:rPr>
          <w:rFonts w:ascii="Times New Roman" w:eastAsia="Times New Roman" w:hAnsi="Times New Roman" w:cs="Times New Roman"/>
          <w:color w:val="000000"/>
          <w:sz w:val="28"/>
          <w:szCs w:val="28"/>
          <w:lang w:eastAsia="ru-RU" w:bidi="ru-RU"/>
        </w:rPr>
        <w:t xml:space="preserve">с присвоением квалификаций хормейстер, </w:t>
      </w:r>
      <w:r w:rsidR="00DF419B">
        <w:rPr>
          <w:rFonts w:ascii="Times New Roman" w:eastAsia="Times New Roman" w:hAnsi="Times New Roman" w:cs="Times New Roman"/>
          <w:color w:val="000000"/>
          <w:sz w:val="28"/>
          <w:szCs w:val="28"/>
          <w:lang w:eastAsia="ru-RU" w:bidi="ru-RU"/>
        </w:rPr>
        <w:t xml:space="preserve">преподаватель (87,5%), Сольное </w:t>
      </w:r>
      <w:r w:rsidRPr="00BD3AD5">
        <w:rPr>
          <w:rFonts w:ascii="Times New Roman" w:eastAsia="Times New Roman" w:hAnsi="Times New Roman" w:cs="Times New Roman"/>
          <w:color w:val="000000"/>
          <w:sz w:val="28"/>
          <w:szCs w:val="28"/>
          <w:lang w:eastAsia="ru-RU" w:bidi="ru-RU"/>
        </w:rPr>
        <w:t>и хоровое народное пение (87,0%), Искусство балета (86,9%), Коррекционная педагогика в начальном образовании (86,4%), Лабораторная диагностика (86,3%), Аналитический контроль качества химических соединений (85,7%), Актерское искусство (85,6%).</w:t>
      </w:r>
    </w:p>
    <w:p w14:paraId="2E5685B6" w14:textId="77777777" w:rsidR="00BD3AD5" w:rsidRPr="00BD3AD5" w:rsidRDefault="004E02DD" w:rsidP="00BD3AD5">
      <w:pPr>
        <w:widowControl w:val="0"/>
        <w:suppressAutoHyphens/>
        <w:spacing w:after="0" w:line="312" w:lineRule="auto"/>
        <w:ind w:firstLine="709"/>
        <w:contextualSpacing/>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В 2021 г.</w:t>
      </w:r>
      <w:r w:rsidR="00BD3AD5" w:rsidRPr="00BD3AD5">
        <w:rPr>
          <w:rFonts w:ascii="Times New Roman" w:eastAsia="Times New Roman" w:hAnsi="Times New Roman" w:cs="Times New Roman"/>
          <w:color w:val="000000"/>
          <w:sz w:val="28"/>
          <w:szCs w:val="28"/>
          <w:lang w:eastAsia="ru-RU" w:bidi="ru-RU"/>
        </w:rPr>
        <w:t xml:space="preserve"> реализация государственной политики в сфере среднего профессионального образования осуществлялась в соответствии с Федеральным законом от 29 декабря 2012 г. № 273-ФЗ, федеральными проектами «Молодые профессионалы (Повышение конкурентоспособности профессионального обра</w:t>
      </w:r>
      <w:r w:rsidR="00DF419B">
        <w:rPr>
          <w:rFonts w:ascii="Times New Roman" w:eastAsia="Times New Roman" w:hAnsi="Times New Roman" w:cs="Times New Roman"/>
          <w:color w:val="000000"/>
          <w:sz w:val="28"/>
          <w:szCs w:val="28"/>
          <w:lang w:eastAsia="ru-RU" w:bidi="ru-RU"/>
        </w:rPr>
        <w:t xml:space="preserve">зования)», «Современная школа» </w:t>
      </w:r>
      <w:r w:rsidR="00BD3AD5" w:rsidRPr="00BD3AD5">
        <w:rPr>
          <w:rFonts w:ascii="Times New Roman" w:eastAsia="Times New Roman" w:hAnsi="Times New Roman" w:cs="Times New Roman"/>
          <w:color w:val="000000"/>
          <w:sz w:val="28"/>
          <w:szCs w:val="28"/>
          <w:lang w:eastAsia="ru-RU" w:bidi="ru-RU"/>
        </w:rPr>
        <w:t>и «Успех каждого ребенка» национального проекта «Образование».</w:t>
      </w:r>
    </w:p>
    <w:p w14:paraId="485473CE" w14:textId="77777777" w:rsidR="002A5F7C" w:rsidRDefault="00BD3AD5" w:rsidP="00DF419B">
      <w:pPr>
        <w:widowControl w:val="0"/>
        <w:suppressAutoHyphens/>
        <w:spacing w:after="0" w:line="312" w:lineRule="auto"/>
        <w:ind w:firstLine="709"/>
        <w:contextualSpacing/>
        <w:jc w:val="both"/>
        <w:rPr>
          <w:rFonts w:ascii="Times New Roman" w:eastAsia="Times New Roman" w:hAnsi="Times New Roman" w:cs="Times New Roman"/>
          <w:color w:val="000000"/>
          <w:sz w:val="28"/>
          <w:szCs w:val="28"/>
          <w:lang w:eastAsia="ru-RU" w:bidi="ru-RU"/>
        </w:rPr>
      </w:pPr>
      <w:r w:rsidRPr="00BD3AD5">
        <w:rPr>
          <w:rFonts w:ascii="Times New Roman" w:eastAsia="Times New Roman" w:hAnsi="Times New Roman" w:cs="Times New Roman"/>
          <w:color w:val="000000"/>
          <w:sz w:val="28"/>
          <w:szCs w:val="28"/>
          <w:lang w:eastAsia="ru-RU" w:bidi="ru-RU"/>
        </w:rPr>
        <w:t>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 к 2024 г</w:t>
      </w:r>
      <w:r w:rsidR="004E02DD">
        <w:rPr>
          <w:rFonts w:ascii="Times New Roman" w:eastAsia="Times New Roman" w:hAnsi="Times New Roman" w:cs="Times New Roman"/>
          <w:color w:val="000000"/>
          <w:sz w:val="28"/>
          <w:szCs w:val="28"/>
          <w:lang w:eastAsia="ru-RU" w:bidi="ru-RU"/>
        </w:rPr>
        <w:t>.</w:t>
      </w:r>
      <w:r w:rsidRPr="00BD3AD5">
        <w:rPr>
          <w:rFonts w:ascii="Times New Roman" w:eastAsia="Times New Roman" w:hAnsi="Times New Roman" w:cs="Times New Roman"/>
          <w:color w:val="000000"/>
          <w:sz w:val="28"/>
          <w:szCs w:val="28"/>
          <w:lang w:eastAsia="ru-RU" w:bidi="ru-RU"/>
        </w:rPr>
        <w:t xml:space="preserve"> буд</w:t>
      </w:r>
      <w:r w:rsidR="00DF419B">
        <w:rPr>
          <w:rFonts w:ascii="Times New Roman" w:eastAsia="Times New Roman" w:hAnsi="Times New Roman" w:cs="Times New Roman"/>
          <w:color w:val="000000"/>
          <w:sz w:val="28"/>
          <w:szCs w:val="28"/>
          <w:lang w:eastAsia="ru-RU" w:bidi="ru-RU"/>
        </w:rPr>
        <w:t xml:space="preserve">ет создана сеть из 100 центров </w:t>
      </w:r>
      <w:r w:rsidRPr="00BD3AD5">
        <w:rPr>
          <w:rFonts w:ascii="Times New Roman" w:eastAsia="Times New Roman" w:hAnsi="Times New Roman" w:cs="Times New Roman"/>
          <w:color w:val="000000"/>
          <w:sz w:val="28"/>
          <w:szCs w:val="28"/>
          <w:lang w:eastAsia="ru-RU" w:bidi="ru-RU"/>
        </w:rPr>
        <w:t>опережа</w:t>
      </w:r>
      <w:r w:rsidR="00666031">
        <w:rPr>
          <w:rFonts w:ascii="Times New Roman" w:eastAsia="Times New Roman" w:hAnsi="Times New Roman" w:cs="Times New Roman"/>
          <w:color w:val="000000"/>
          <w:sz w:val="28"/>
          <w:szCs w:val="28"/>
          <w:lang w:eastAsia="ru-RU" w:bidi="ru-RU"/>
        </w:rPr>
        <w:t>ющей профессиональной подготовки</w:t>
      </w:r>
      <w:r w:rsidR="00DF419B">
        <w:rPr>
          <w:rFonts w:ascii="Times New Roman" w:eastAsia="Times New Roman" w:hAnsi="Times New Roman" w:cs="Times New Roman"/>
          <w:color w:val="000000"/>
          <w:sz w:val="28"/>
          <w:szCs w:val="28"/>
          <w:lang w:eastAsia="ru-RU" w:bidi="ru-RU"/>
        </w:rPr>
        <w:t xml:space="preserve">. </w:t>
      </w:r>
      <w:r w:rsidRPr="00BD3AD5">
        <w:rPr>
          <w:rFonts w:ascii="Times New Roman" w:eastAsia="Times New Roman" w:hAnsi="Times New Roman" w:cs="Times New Roman"/>
          <w:color w:val="000000"/>
          <w:sz w:val="28"/>
          <w:szCs w:val="28"/>
          <w:lang w:eastAsia="ru-RU" w:bidi="ru-RU"/>
        </w:rPr>
        <w:t xml:space="preserve">На их создание </w:t>
      </w:r>
      <w:r w:rsidR="00DF419B">
        <w:rPr>
          <w:rFonts w:ascii="Times New Roman" w:eastAsia="Times New Roman" w:hAnsi="Times New Roman" w:cs="Times New Roman"/>
          <w:color w:val="000000"/>
          <w:sz w:val="28"/>
          <w:szCs w:val="28"/>
          <w:lang w:eastAsia="ru-RU" w:bidi="ru-RU"/>
        </w:rPr>
        <w:t xml:space="preserve">в </w:t>
      </w:r>
      <w:r w:rsidRPr="00BD3AD5">
        <w:rPr>
          <w:rFonts w:ascii="Times New Roman" w:eastAsia="Times New Roman" w:hAnsi="Times New Roman" w:cs="Times New Roman"/>
          <w:color w:val="000000"/>
          <w:sz w:val="28"/>
          <w:szCs w:val="28"/>
          <w:lang w:eastAsia="ru-RU" w:bidi="ru-RU"/>
        </w:rPr>
        <w:t>федеральн</w:t>
      </w:r>
      <w:r w:rsidR="00DF419B">
        <w:rPr>
          <w:rFonts w:ascii="Times New Roman" w:eastAsia="Times New Roman" w:hAnsi="Times New Roman" w:cs="Times New Roman"/>
          <w:color w:val="000000"/>
          <w:sz w:val="28"/>
          <w:szCs w:val="28"/>
          <w:lang w:eastAsia="ru-RU" w:bidi="ru-RU"/>
        </w:rPr>
        <w:t>о</w:t>
      </w:r>
      <w:r w:rsidRPr="00BD3AD5">
        <w:rPr>
          <w:rFonts w:ascii="Times New Roman" w:eastAsia="Times New Roman" w:hAnsi="Times New Roman" w:cs="Times New Roman"/>
          <w:color w:val="000000"/>
          <w:sz w:val="28"/>
          <w:szCs w:val="28"/>
          <w:lang w:eastAsia="ru-RU" w:bidi="ru-RU"/>
        </w:rPr>
        <w:t>м бюджет</w:t>
      </w:r>
      <w:r w:rsidR="00DF419B">
        <w:rPr>
          <w:rFonts w:ascii="Times New Roman" w:eastAsia="Times New Roman" w:hAnsi="Times New Roman" w:cs="Times New Roman"/>
          <w:color w:val="000000"/>
          <w:sz w:val="28"/>
          <w:szCs w:val="28"/>
          <w:lang w:eastAsia="ru-RU" w:bidi="ru-RU"/>
        </w:rPr>
        <w:t>е</w:t>
      </w:r>
      <w:r w:rsidRPr="00BD3AD5">
        <w:rPr>
          <w:rFonts w:ascii="Times New Roman" w:eastAsia="Times New Roman" w:hAnsi="Times New Roman" w:cs="Times New Roman"/>
          <w:color w:val="000000"/>
          <w:sz w:val="28"/>
          <w:szCs w:val="28"/>
          <w:lang w:eastAsia="ru-RU" w:bidi="ru-RU"/>
        </w:rPr>
        <w:t xml:space="preserve"> п</w:t>
      </w:r>
      <w:r w:rsidR="00DF419B">
        <w:rPr>
          <w:rFonts w:ascii="Times New Roman" w:eastAsia="Times New Roman" w:hAnsi="Times New Roman" w:cs="Times New Roman"/>
          <w:color w:val="000000"/>
          <w:sz w:val="28"/>
          <w:szCs w:val="28"/>
          <w:lang w:eastAsia="ru-RU" w:bidi="ru-RU"/>
        </w:rPr>
        <w:t xml:space="preserve">редусмотрены средства в объеме </w:t>
      </w:r>
      <w:r w:rsidR="002A5F7C">
        <w:rPr>
          <w:rFonts w:ascii="Times New Roman" w:eastAsia="Times New Roman" w:hAnsi="Times New Roman" w:cs="Times New Roman"/>
          <w:color w:val="000000"/>
          <w:sz w:val="28"/>
          <w:szCs w:val="28"/>
          <w:lang w:eastAsia="ru-RU" w:bidi="ru-RU"/>
        </w:rPr>
        <w:t>295,1</w:t>
      </w:r>
      <w:r w:rsidRPr="00BD3AD5">
        <w:rPr>
          <w:rFonts w:ascii="Times New Roman" w:eastAsia="Times New Roman" w:hAnsi="Times New Roman" w:cs="Times New Roman"/>
          <w:color w:val="000000"/>
          <w:sz w:val="28"/>
          <w:szCs w:val="28"/>
          <w:lang w:eastAsia="ru-RU" w:bidi="ru-RU"/>
        </w:rPr>
        <w:t xml:space="preserve"> млн рублей на 2021</w:t>
      </w:r>
      <w:r w:rsidR="002A5F7C">
        <w:rPr>
          <w:rFonts w:ascii="Times New Roman" w:eastAsia="Times New Roman" w:hAnsi="Times New Roman" w:cs="Times New Roman"/>
          <w:color w:val="000000"/>
          <w:sz w:val="28"/>
          <w:szCs w:val="28"/>
          <w:lang w:eastAsia="ru-RU" w:bidi="ru-RU"/>
        </w:rPr>
        <w:t xml:space="preserve"> </w:t>
      </w:r>
      <w:r w:rsidR="004E02DD">
        <w:rPr>
          <w:rFonts w:ascii="Times New Roman" w:eastAsia="Times New Roman" w:hAnsi="Times New Roman" w:cs="Times New Roman"/>
          <w:color w:val="000000"/>
          <w:sz w:val="28"/>
          <w:szCs w:val="28"/>
          <w:lang w:eastAsia="ru-RU" w:bidi="ru-RU"/>
        </w:rPr>
        <w:t>г.</w:t>
      </w:r>
      <w:r w:rsidR="002A5F7C">
        <w:rPr>
          <w:rFonts w:ascii="Times New Roman" w:eastAsia="Times New Roman" w:hAnsi="Times New Roman" w:cs="Times New Roman"/>
          <w:color w:val="000000"/>
          <w:sz w:val="28"/>
          <w:szCs w:val="28"/>
          <w:lang w:eastAsia="ru-RU" w:bidi="ru-RU"/>
        </w:rPr>
        <w:t>, 300 млн рублей на 2022 г</w:t>
      </w:r>
      <w:r w:rsidR="004E02DD">
        <w:rPr>
          <w:rFonts w:ascii="Times New Roman" w:eastAsia="Times New Roman" w:hAnsi="Times New Roman" w:cs="Times New Roman"/>
          <w:color w:val="000000"/>
          <w:sz w:val="28"/>
          <w:szCs w:val="28"/>
          <w:lang w:eastAsia="ru-RU" w:bidi="ru-RU"/>
        </w:rPr>
        <w:t>.</w:t>
      </w:r>
      <w:r w:rsidR="002A5F7C">
        <w:rPr>
          <w:rFonts w:ascii="Times New Roman" w:eastAsia="Times New Roman" w:hAnsi="Times New Roman" w:cs="Times New Roman"/>
          <w:color w:val="000000"/>
          <w:sz w:val="28"/>
          <w:szCs w:val="28"/>
          <w:lang w:eastAsia="ru-RU" w:bidi="ru-RU"/>
        </w:rPr>
        <w:t>, 270 млн рублей – на 2023 г</w:t>
      </w:r>
      <w:r w:rsidR="004E02DD">
        <w:rPr>
          <w:rFonts w:ascii="Times New Roman" w:eastAsia="Times New Roman" w:hAnsi="Times New Roman" w:cs="Times New Roman"/>
          <w:color w:val="000000"/>
          <w:sz w:val="28"/>
          <w:szCs w:val="28"/>
          <w:lang w:eastAsia="ru-RU" w:bidi="ru-RU"/>
        </w:rPr>
        <w:t>.</w:t>
      </w:r>
      <w:r w:rsidR="002A5F7C">
        <w:rPr>
          <w:rFonts w:ascii="Times New Roman" w:eastAsia="Times New Roman" w:hAnsi="Times New Roman" w:cs="Times New Roman"/>
          <w:color w:val="000000"/>
          <w:sz w:val="28"/>
          <w:szCs w:val="28"/>
          <w:lang w:eastAsia="ru-RU" w:bidi="ru-RU"/>
        </w:rPr>
        <w:t xml:space="preserve"> и 468 млн рублей – на 2024 г.</w:t>
      </w:r>
    </w:p>
    <w:p w14:paraId="6AEB73C2" w14:textId="77777777" w:rsidR="00BD3AD5" w:rsidRPr="00BD3AD5" w:rsidRDefault="00BD3AD5" w:rsidP="00BD3AD5">
      <w:pPr>
        <w:widowControl w:val="0"/>
        <w:suppressAutoHyphens/>
        <w:spacing w:after="0" w:line="312" w:lineRule="auto"/>
        <w:ind w:firstLine="709"/>
        <w:contextualSpacing/>
        <w:jc w:val="both"/>
        <w:rPr>
          <w:rFonts w:ascii="Times New Roman" w:eastAsia="Times New Roman" w:hAnsi="Times New Roman" w:cs="Times New Roman"/>
          <w:color w:val="000000"/>
          <w:sz w:val="28"/>
          <w:szCs w:val="28"/>
          <w:lang w:eastAsia="ru-RU" w:bidi="ru-RU"/>
        </w:rPr>
      </w:pPr>
      <w:r w:rsidRPr="00BD3AD5">
        <w:rPr>
          <w:rFonts w:ascii="Times New Roman" w:eastAsia="Times New Roman" w:hAnsi="Times New Roman" w:cs="Times New Roman"/>
          <w:color w:val="000000"/>
          <w:sz w:val="28"/>
          <w:szCs w:val="28"/>
          <w:lang w:eastAsia="ru-RU" w:bidi="ru-RU"/>
        </w:rPr>
        <w:t>В 2021 г</w:t>
      </w:r>
      <w:r w:rsidR="00624618">
        <w:rPr>
          <w:rFonts w:ascii="Times New Roman" w:eastAsia="Times New Roman" w:hAnsi="Times New Roman" w:cs="Times New Roman"/>
          <w:color w:val="000000"/>
          <w:sz w:val="28"/>
          <w:szCs w:val="28"/>
          <w:lang w:eastAsia="ru-RU" w:bidi="ru-RU"/>
        </w:rPr>
        <w:t>.</w:t>
      </w:r>
      <w:r w:rsidRPr="00BD3AD5">
        <w:rPr>
          <w:rFonts w:ascii="Times New Roman" w:eastAsia="Times New Roman" w:hAnsi="Times New Roman" w:cs="Times New Roman"/>
          <w:color w:val="000000"/>
          <w:sz w:val="28"/>
          <w:szCs w:val="28"/>
          <w:lang w:eastAsia="ru-RU" w:bidi="ru-RU"/>
        </w:rPr>
        <w:t xml:space="preserve"> центры опережающей профе</w:t>
      </w:r>
      <w:r w:rsidR="00DF419B">
        <w:rPr>
          <w:rFonts w:ascii="Times New Roman" w:eastAsia="Times New Roman" w:hAnsi="Times New Roman" w:cs="Times New Roman"/>
          <w:color w:val="000000"/>
          <w:sz w:val="28"/>
          <w:szCs w:val="28"/>
          <w:lang w:eastAsia="ru-RU" w:bidi="ru-RU"/>
        </w:rPr>
        <w:t xml:space="preserve">ссиональной подготовки созданы </w:t>
      </w:r>
      <w:r w:rsidRPr="00BD3AD5">
        <w:rPr>
          <w:rFonts w:ascii="Times New Roman" w:eastAsia="Times New Roman" w:hAnsi="Times New Roman" w:cs="Times New Roman"/>
          <w:color w:val="000000"/>
          <w:sz w:val="28"/>
          <w:szCs w:val="28"/>
          <w:lang w:eastAsia="ru-RU" w:bidi="ru-RU"/>
        </w:rPr>
        <w:t xml:space="preserve">и начали функционировать в 15 субъектах Российской Федерации: Белгородская, </w:t>
      </w:r>
      <w:r w:rsidR="00DF419B" w:rsidRPr="00BD3AD5">
        <w:rPr>
          <w:rFonts w:ascii="Times New Roman" w:eastAsia="Times New Roman" w:hAnsi="Times New Roman" w:cs="Times New Roman"/>
          <w:color w:val="000000"/>
          <w:sz w:val="28"/>
          <w:szCs w:val="28"/>
          <w:lang w:eastAsia="ru-RU" w:bidi="ru-RU"/>
        </w:rPr>
        <w:t>Удмуртская Республика, Чеченская Республика, Чувашская Республика</w:t>
      </w:r>
      <w:r w:rsidR="00DF419B">
        <w:rPr>
          <w:rFonts w:ascii="Times New Roman" w:eastAsia="Times New Roman" w:hAnsi="Times New Roman" w:cs="Times New Roman"/>
          <w:color w:val="000000"/>
          <w:sz w:val="28"/>
          <w:szCs w:val="28"/>
          <w:lang w:eastAsia="ru-RU" w:bidi="ru-RU"/>
        </w:rPr>
        <w:t>,</w:t>
      </w:r>
      <w:r w:rsidR="00DF419B" w:rsidRPr="00BD3AD5">
        <w:rPr>
          <w:rFonts w:ascii="Times New Roman" w:eastAsia="Times New Roman" w:hAnsi="Times New Roman" w:cs="Times New Roman"/>
          <w:color w:val="000000"/>
          <w:sz w:val="28"/>
          <w:szCs w:val="28"/>
          <w:lang w:eastAsia="ru-RU" w:bidi="ru-RU"/>
        </w:rPr>
        <w:t xml:space="preserve"> </w:t>
      </w:r>
      <w:r w:rsidRPr="00BD3AD5">
        <w:rPr>
          <w:rFonts w:ascii="Times New Roman" w:eastAsia="Times New Roman" w:hAnsi="Times New Roman" w:cs="Times New Roman"/>
          <w:color w:val="000000"/>
          <w:sz w:val="28"/>
          <w:szCs w:val="28"/>
          <w:lang w:eastAsia="ru-RU" w:bidi="ru-RU"/>
        </w:rPr>
        <w:t>Брянская, Владимирская, Вологодская</w:t>
      </w:r>
      <w:r w:rsidR="00DF419B">
        <w:rPr>
          <w:rFonts w:ascii="Times New Roman" w:eastAsia="Times New Roman" w:hAnsi="Times New Roman" w:cs="Times New Roman"/>
          <w:color w:val="000000"/>
          <w:sz w:val="28"/>
          <w:szCs w:val="28"/>
          <w:lang w:eastAsia="ru-RU" w:bidi="ru-RU"/>
        </w:rPr>
        <w:t xml:space="preserve">, </w:t>
      </w:r>
      <w:r w:rsidRPr="00BD3AD5">
        <w:rPr>
          <w:rFonts w:ascii="Times New Roman" w:eastAsia="Times New Roman" w:hAnsi="Times New Roman" w:cs="Times New Roman"/>
          <w:color w:val="000000"/>
          <w:sz w:val="28"/>
          <w:szCs w:val="28"/>
          <w:lang w:eastAsia="ru-RU" w:bidi="ru-RU"/>
        </w:rPr>
        <w:t>Кировская</w:t>
      </w:r>
      <w:r w:rsidR="00DF419B">
        <w:rPr>
          <w:rFonts w:ascii="Times New Roman" w:eastAsia="Times New Roman" w:hAnsi="Times New Roman" w:cs="Times New Roman"/>
          <w:color w:val="000000"/>
          <w:sz w:val="28"/>
          <w:szCs w:val="28"/>
          <w:lang w:eastAsia="ru-RU" w:bidi="ru-RU"/>
        </w:rPr>
        <w:t>, Курская</w:t>
      </w:r>
      <w:r w:rsidRPr="00BD3AD5">
        <w:rPr>
          <w:rFonts w:ascii="Times New Roman" w:eastAsia="Times New Roman" w:hAnsi="Times New Roman" w:cs="Times New Roman"/>
          <w:color w:val="000000"/>
          <w:sz w:val="28"/>
          <w:szCs w:val="28"/>
          <w:lang w:eastAsia="ru-RU" w:bidi="ru-RU"/>
        </w:rPr>
        <w:t xml:space="preserve">, Пензенская, Рязанская, Тамбовская, Тульская, Ульяновская, </w:t>
      </w:r>
      <w:r w:rsidR="00DF419B" w:rsidRPr="00BD3AD5">
        <w:rPr>
          <w:rFonts w:ascii="Times New Roman" w:eastAsia="Times New Roman" w:hAnsi="Times New Roman" w:cs="Times New Roman"/>
          <w:color w:val="000000"/>
          <w:sz w:val="28"/>
          <w:szCs w:val="28"/>
          <w:lang w:eastAsia="ru-RU" w:bidi="ru-RU"/>
        </w:rPr>
        <w:t>Ярославская област</w:t>
      </w:r>
      <w:r w:rsidR="00DF419B">
        <w:rPr>
          <w:rFonts w:ascii="Times New Roman" w:eastAsia="Times New Roman" w:hAnsi="Times New Roman" w:cs="Times New Roman"/>
          <w:color w:val="000000"/>
          <w:sz w:val="28"/>
          <w:szCs w:val="28"/>
          <w:lang w:eastAsia="ru-RU" w:bidi="ru-RU"/>
        </w:rPr>
        <w:t>и</w:t>
      </w:r>
      <w:r w:rsidR="00DF419B" w:rsidRPr="00BD3AD5">
        <w:rPr>
          <w:rFonts w:ascii="Times New Roman" w:eastAsia="Times New Roman" w:hAnsi="Times New Roman" w:cs="Times New Roman"/>
          <w:color w:val="000000"/>
          <w:sz w:val="28"/>
          <w:szCs w:val="28"/>
          <w:lang w:eastAsia="ru-RU" w:bidi="ru-RU"/>
        </w:rPr>
        <w:t xml:space="preserve"> </w:t>
      </w:r>
      <w:r w:rsidR="00DF419B">
        <w:rPr>
          <w:rFonts w:ascii="Times New Roman" w:eastAsia="Times New Roman" w:hAnsi="Times New Roman" w:cs="Times New Roman"/>
          <w:color w:val="000000"/>
          <w:sz w:val="28"/>
          <w:szCs w:val="28"/>
          <w:lang w:eastAsia="ru-RU" w:bidi="ru-RU"/>
        </w:rPr>
        <w:t>(</w:t>
      </w:r>
      <w:r w:rsidRPr="00BD3AD5">
        <w:rPr>
          <w:rFonts w:ascii="Times New Roman" w:eastAsia="Times New Roman" w:hAnsi="Times New Roman" w:cs="Times New Roman"/>
          <w:color w:val="000000"/>
          <w:sz w:val="28"/>
          <w:szCs w:val="28"/>
          <w:lang w:eastAsia="ru-RU" w:bidi="ru-RU"/>
        </w:rPr>
        <w:t>2020 г</w:t>
      </w:r>
      <w:r w:rsidR="00DF419B">
        <w:rPr>
          <w:rFonts w:ascii="Times New Roman" w:eastAsia="Times New Roman" w:hAnsi="Times New Roman" w:cs="Times New Roman"/>
          <w:color w:val="000000"/>
          <w:sz w:val="28"/>
          <w:szCs w:val="28"/>
          <w:lang w:eastAsia="ru-RU" w:bidi="ru-RU"/>
        </w:rPr>
        <w:t>.</w:t>
      </w:r>
      <w:r w:rsidRPr="00BD3AD5">
        <w:rPr>
          <w:rFonts w:ascii="Times New Roman" w:eastAsia="Times New Roman" w:hAnsi="Times New Roman" w:cs="Times New Roman"/>
          <w:color w:val="000000"/>
          <w:sz w:val="28"/>
          <w:szCs w:val="28"/>
          <w:lang w:eastAsia="ru-RU" w:bidi="ru-RU"/>
        </w:rPr>
        <w:t xml:space="preserve"> – в 15 субъектах Российской Федерации</w:t>
      </w:r>
      <w:r w:rsidR="00DF419B">
        <w:rPr>
          <w:rFonts w:ascii="Times New Roman" w:eastAsia="Times New Roman" w:hAnsi="Times New Roman" w:cs="Times New Roman"/>
          <w:color w:val="000000"/>
          <w:sz w:val="28"/>
          <w:szCs w:val="28"/>
          <w:lang w:eastAsia="ru-RU" w:bidi="ru-RU"/>
        </w:rPr>
        <w:t>;</w:t>
      </w:r>
      <w:r w:rsidRPr="00BD3AD5">
        <w:rPr>
          <w:rFonts w:ascii="Times New Roman" w:eastAsia="Times New Roman" w:hAnsi="Times New Roman" w:cs="Times New Roman"/>
          <w:color w:val="000000"/>
          <w:sz w:val="28"/>
          <w:szCs w:val="28"/>
          <w:lang w:eastAsia="ru-RU" w:bidi="ru-RU"/>
        </w:rPr>
        <w:t xml:space="preserve"> 2019 г</w:t>
      </w:r>
      <w:r w:rsidR="00DF419B">
        <w:rPr>
          <w:rFonts w:ascii="Times New Roman" w:eastAsia="Times New Roman" w:hAnsi="Times New Roman" w:cs="Times New Roman"/>
          <w:color w:val="000000"/>
          <w:sz w:val="28"/>
          <w:szCs w:val="28"/>
          <w:lang w:eastAsia="ru-RU" w:bidi="ru-RU"/>
        </w:rPr>
        <w:t>.</w:t>
      </w:r>
      <w:r w:rsidRPr="00BD3AD5">
        <w:rPr>
          <w:rFonts w:ascii="Times New Roman" w:eastAsia="Times New Roman" w:hAnsi="Times New Roman" w:cs="Times New Roman"/>
          <w:color w:val="000000"/>
          <w:sz w:val="28"/>
          <w:szCs w:val="28"/>
          <w:lang w:eastAsia="ru-RU" w:bidi="ru-RU"/>
        </w:rPr>
        <w:t xml:space="preserve"> – в 14 субъектах Российской Федерации).</w:t>
      </w:r>
    </w:p>
    <w:p w14:paraId="65C4D615" w14:textId="77777777" w:rsidR="00BD3AD5" w:rsidRPr="00BD3AD5" w:rsidRDefault="00BD3AD5" w:rsidP="00BD3AD5">
      <w:pPr>
        <w:widowControl w:val="0"/>
        <w:suppressAutoHyphens/>
        <w:spacing w:after="0" w:line="312" w:lineRule="auto"/>
        <w:ind w:firstLine="709"/>
        <w:contextualSpacing/>
        <w:jc w:val="both"/>
        <w:rPr>
          <w:rFonts w:ascii="Times New Roman" w:eastAsia="Times New Roman" w:hAnsi="Times New Roman" w:cs="Times New Roman"/>
          <w:color w:val="000000"/>
          <w:sz w:val="28"/>
          <w:szCs w:val="28"/>
          <w:lang w:eastAsia="ru-RU" w:bidi="ru-RU"/>
        </w:rPr>
      </w:pPr>
      <w:r w:rsidRPr="00BD3AD5">
        <w:rPr>
          <w:rFonts w:ascii="Times New Roman" w:eastAsia="Times New Roman" w:hAnsi="Times New Roman" w:cs="Times New Roman"/>
          <w:color w:val="000000"/>
          <w:sz w:val="28"/>
          <w:szCs w:val="28"/>
          <w:lang w:eastAsia="ru-RU" w:bidi="ru-RU"/>
        </w:rPr>
        <w:t>Таким образом, к концу 202</w:t>
      </w:r>
      <w:r w:rsidR="00C8717C">
        <w:rPr>
          <w:rFonts w:ascii="Times New Roman" w:eastAsia="Times New Roman" w:hAnsi="Times New Roman" w:cs="Times New Roman"/>
          <w:color w:val="000000"/>
          <w:sz w:val="28"/>
          <w:szCs w:val="28"/>
          <w:lang w:eastAsia="ru-RU" w:bidi="ru-RU"/>
        </w:rPr>
        <w:t>1</w:t>
      </w:r>
      <w:r w:rsidRPr="00BD3AD5">
        <w:rPr>
          <w:rFonts w:ascii="Times New Roman" w:eastAsia="Times New Roman" w:hAnsi="Times New Roman" w:cs="Times New Roman"/>
          <w:color w:val="000000"/>
          <w:sz w:val="28"/>
          <w:szCs w:val="28"/>
          <w:lang w:eastAsia="ru-RU" w:bidi="ru-RU"/>
        </w:rPr>
        <w:t xml:space="preserve"> г</w:t>
      </w:r>
      <w:r w:rsidR="00624618">
        <w:rPr>
          <w:rFonts w:ascii="Times New Roman" w:eastAsia="Times New Roman" w:hAnsi="Times New Roman" w:cs="Times New Roman"/>
          <w:color w:val="000000"/>
          <w:sz w:val="28"/>
          <w:szCs w:val="28"/>
          <w:lang w:eastAsia="ru-RU" w:bidi="ru-RU"/>
        </w:rPr>
        <w:t>.</w:t>
      </w:r>
      <w:r w:rsidRPr="00BD3AD5">
        <w:rPr>
          <w:rFonts w:ascii="Times New Roman" w:eastAsia="Times New Roman" w:hAnsi="Times New Roman" w:cs="Times New Roman"/>
          <w:color w:val="000000"/>
          <w:sz w:val="28"/>
          <w:szCs w:val="28"/>
          <w:lang w:eastAsia="ru-RU" w:bidi="ru-RU"/>
        </w:rPr>
        <w:t xml:space="preserve"> будет создано 44 центра опережающей профессиональной подготовки в 44 субъектах Российской Федерации.</w:t>
      </w:r>
    </w:p>
    <w:p w14:paraId="4B55C02A" w14:textId="77777777" w:rsidR="00BD3AD5" w:rsidRPr="00BD3AD5" w:rsidRDefault="00BD3AD5" w:rsidP="00BD3AD5">
      <w:pPr>
        <w:widowControl w:val="0"/>
        <w:suppressAutoHyphens/>
        <w:spacing w:after="0" w:line="312" w:lineRule="auto"/>
        <w:ind w:firstLine="709"/>
        <w:contextualSpacing/>
        <w:jc w:val="both"/>
        <w:rPr>
          <w:rFonts w:ascii="Times New Roman" w:eastAsia="Times New Roman" w:hAnsi="Times New Roman" w:cs="Times New Roman"/>
          <w:color w:val="000000"/>
          <w:sz w:val="28"/>
          <w:szCs w:val="28"/>
          <w:lang w:eastAsia="ru-RU" w:bidi="ru-RU"/>
        </w:rPr>
      </w:pPr>
      <w:r w:rsidRPr="00BD3AD5">
        <w:rPr>
          <w:rFonts w:ascii="Times New Roman" w:eastAsia="Times New Roman" w:hAnsi="Times New Roman" w:cs="Times New Roman"/>
          <w:color w:val="000000"/>
          <w:sz w:val="28"/>
          <w:szCs w:val="28"/>
          <w:lang w:eastAsia="ru-RU" w:bidi="ru-RU"/>
        </w:rPr>
        <w:t xml:space="preserve">Еще одним значимым мероприятием </w:t>
      </w:r>
      <w:r w:rsidR="00AB1A37">
        <w:rPr>
          <w:rFonts w:ascii="Times New Roman" w:eastAsia="Times New Roman" w:hAnsi="Times New Roman" w:cs="Times New Roman"/>
          <w:color w:val="000000"/>
          <w:sz w:val="28"/>
          <w:szCs w:val="28"/>
          <w:lang w:eastAsia="ru-RU" w:bidi="ru-RU"/>
        </w:rPr>
        <w:t xml:space="preserve">вышеуказанного </w:t>
      </w:r>
      <w:r w:rsidRPr="00BD3AD5">
        <w:rPr>
          <w:rFonts w:ascii="Times New Roman" w:eastAsia="Times New Roman" w:hAnsi="Times New Roman" w:cs="Times New Roman"/>
          <w:color w:val="000000"/>
          <w:sz w:val="28"/>
          <w:szCs w:val="28"/>
          <w:lang w:eastAsia="ru-RU" w:bidi="ru-RU"/>
        </w:rPr>
        <w:t>федерального проекта является предоставление грантов на обновление материально-технической базы образовательных организаций, реализующих образовательные программы среднего профессионального образования, и создание к 2024 г</w:t>
      </w:r>
      <w:r w:rsidR="00624618">
        <w:rPr>
          <w:rFonts w:ascii="Times New Roman" w:eastAsia="Times New Roman" w:hAnsi="Times New Roman" w:cs="Times New Roman"/>
          <w:color w:val="000000"/>
          <w:sz w:val="28"/>
          <w:szCs w:val="28"/>
          <w:lang w:eastAsia="ru-RU" w:bidi="ru-RU"/>
        </w:rPr>
        <w:t>.</w:t>
      </w:r>
      <w:r w:rsidRPr="00BD3AD5">
        <w:rPr>
          <w:rFonts w:ascii="Times New Roman" w:eastAsia="Times New Roman" w:hAnsi="Times New Roman" w:cs="Times New Roman"/>
          <w:color w:val="000000"/>
          <w:sz w:val="28"/>
          <w:szCs w:val="28"/>
          <w:lang w:eastAsia="ru-RU" w:bidi="ru-RU"/>
        </w:rPr>
        <w:t xml:space="preserve"> не менее 5 074 мастерских, на оснащение которых предусмотрено финансир</w:t>
      </w:r>
      <w:r w:rsidR="00AB1A37">
        <w:rPr>
          <w:rFonts w:ascii="Times New Roman" w:eastAsia="Times New Roman" w:hAnsi="Times New Roman" w:cs="Times New Roman"/>
          <w:color w:val="000000"/>
          <w:sz w:val="28"/>
          <w:szCs w:val="28"/>
          <w:lang w:eastAsia="ru-RU" w:bidi="ru-RU"/>
        </w:rPr>
        <w:t xml:space="preserve">ование из федерального бюджета </w:t>
      </w:r>
      <w:r w:rsidRPr="00BD3AD5">
        <w:rPr>
          <w:rFonts w:ascii="Times New Roman" w:eastAsia="Times New Roman" w:hAnsi="Times New Roman" w:cs="Times New Roman"/>
          <w:color w:val="000000"/>
          <w:sz w:val="28"/>
          <w:szCs w:val="28"/>
          <w:lang w:eastAsia="ru-RU" w:bidi="ru-RU"/>
        </w:rPr>
        <w:t xml:space="preserve">в </w:t>
      </w:r>
      <w:r w:rsidR="00666031">
        <w:rPr>
          <w:rFonts w:ascii="Times New Roman" w:eastAsia="Times New Roman" w:hAnsi="Times New Roman" w:cs="Times New Roman"/>
          <w:color w:val="000000"/>
          <w:sz w:val="28"/>
          <w:szCs w:val="28"/>
          <w:lang w:eastAsia="ru-RU" w:bidi="ru-RU"/>
        </w:rPr>
        <w:t xml:space="preserve">объеме </w:t>
      </w:r>
      <w:r w:rsidRPr="00BD3AD5">
        <w:rPr>
          <w:rFonts w:ascii="Times New Roman" w:eastAsia="Times New Roman" w:hAnsi="Times New Roman" w:cs="Times New Roman"/>
          <w:color w:val="000000"/>
          <w:sz w:val="28"/>
          <w:szCs w:val="28"/>
          <w:lang w:eastAsia="ru-RU" w:bidi="ru-RU"/>
        </w:rPr>
        <w:t>24,79 млрд рублей.</w:t>
      </w:r>
    </w:p>
    <w:p w14:paraId="33B9F19C" w14:textId="77777777" w:rsidR="00BD3AD5" w:rsidRPr="00BD3AD5" w:rsidRDefault="00BD3AD5" w:rsidP="00BD3AD5">
      <w:pPr>
        <w:widowControl w:val="0"/>
        <w:suppressAutoHyphens/>
        <w:spacing w:after="0" w:line="312" w:lineRule="auto"/>
        <w:ind w:firstLine="709"/>
        <w:contextualSpacing/>
        <w:jc w:val="both"/>
        <w:rPr>
          <w:rFonts w:ascii="Times New Roman" w:eastAsia="Times New Roman" w:hAnsi="Times New Roman" w:cs="Times New Roman"/>
          <w:color w:val="000000"/>
          <w:sz w:val="28"/>
          <w:szCs w:val="28"/>
          <w:lang w:eastAsia="ru-RU" w:bidi="ru-RU"/>
        </w:rPr>
      </w:pPr>
      <w:r w:rsidRPr="00BD3AD5">
        <w:rPr>
          <w:rFonts w:ascii="Times New Roman" w:eastAsia="Times New Roman" w:hAnsi="Times New Roman" w:cs="Times New Roman"/>
          <w:color w:val="000000"/>
          <w:sz w:val="28"/>
          <w:szCs w:val="28"/>
          <w:lang w:eastAsia="ru-RU" w:bidi="ru-RU"/>
        </w:rPr>
        <w:t>По итогам конкурсного отбора на 2021 г</w:t>
      </w:r>
      <w:r w:rsidR="00624618">
        <w:rPr>
          <w:rFonts w:ascii="Times New Roman" w:eastAsia="Times New Roman" w:hAnsi="Times New Roman" w:cs="Times New Roman"/>
          <w:color w:val="000000"/>
          <w:sz w:val="28"/>
          <w:szCs w:val="28"/>
          <w:lang w:eastAsia="ru-RU" w:bidi="ru-RU"/>
        </w:rPr>
        <w:t>.</w:t>
      </w:r>
      <w:r w:rsidRPr="00BD3AD5">
        <w:rPr>
          <w:rFonts w:ascii="Times New Roman" w:eastAsia="Times New Roman" w:hAnsi="Times New Roman" w:cs="Times New Roman"/>
          <w:color w:val="000000"/>
          <w:sz w:val="28"/>
          <w:szCs w:val="28"/>
          <w:lang w:eastAsia="ru-RU" w:bidi="ru-RU"/>
        </w:rPr>
        <w:t xml:space="preserve"> отобрано 168 образовательных организаций (7</w:t>
      </w:r>
      <w:r w:rsidR="00666031">
        <w:rPr>
          <w:rFonts w:ascii="Times New Roman" w:eastAsia="Times New Roman" w:hAnsi="Times New Roman" w:cs="Times New Roman"/>
          <w:color w:val="000000"/>
          <w:sz w:val="28"/>
          <w:szCs w:val="28"/>
          <w:lang w:eastAsia="ru-RU" w:bidi="ru-RU"/>
        </w:rPr>
        <w:t>00 мастерских) из 70 регионов (</w:t>
      </w:r>
      <w:r w:rsidRPr="00BD3AD5">
        <w:rPr>
          <w:rFonts w:ascii="Times New Roman" w:eastAsia="Times New Roman" w:hAnsi="Times New Roman" w:cs="Times New Roman"/>
          <w:color w:val="000000"/>
          <w:sz w:val="28"/>
          <w:szCs w:val="28"/>
          <w:lang w:eastAsia="ru-RU" w:bidi="ru-RU"/>
        </w:rPr>
        <w:t xml:space="preserve">2020 </w:t>
      </w:r>
      <w:r w:rsidR="00666031">
        <w:rPr>
          <w:rFonts w:ascii="Times New Roman" w:eastAsia="Times New Roman" w:hAnsi="Times New Roman" w:cs="Times New Roman"/>
          <w:color w:val="000000"/>
          <w:sz w:val="28"/>
          <w:szCs w:val="28"/>
          <w:lang w:eastAsia="ru-RU" w:bidi="ru-RU"/>
        </w:rPr>
        <w:t xml:space="preserve">г. – 160 образовательных </w:t>
      </w:r>
      <w:r w:rsidRPr="00BD3AD5">
        <w:rPr>
          <w:rFonts w:ascii="Times New Roman" w:eastAsia="Times New Roman" w:hAnsi="Times New Roman" w:cs="Times New Roman"/>
          <w:color w:val="000000"/>
          <w:sz w:val="28"/>
          <w:szCs w:val="28"/>
          <w:lang w:eastAsia="ru-RU" w:bidi="ru-RU"/>
        </w:rPr>
        <w:t xml:space="preserve">организаций </w:t>
      </w:r>
      <w:r w:rsidR="00666031">
        <w:rPr>
          <w:rFonts w:ascii="Times New Roman" w:eastAsia="Times New Roman" w:hAnsi="Times New Roman" w:cs="Times New Roman"/>
          <w:color w:val="000000"/>
          <w:sz w:val="28"/>
          <w:szCs w:val="28"/>
          <w:lang w:eastAsia="ru-RU" w:bidi="ru-RU"/>
        </w:rPr>
        <w:t>(774 мастерские) из 70 регионов;</w:t>
      </w:r>
      <w:r w:rsidRPr="00BD3AD5">
        <w:rPr>
          <w:rFonts w:ascii="Times New Roman" w:eastAsia="Times New Roman" w:hAnsi="Times New Roman" w:cs="Times New Roman"/>
          <w:color w:val="000000"/>
          <w:sz w:val="28"/>
          <w:szCs w:val="28"/>
          <w:lang w:eastAsia="ru-RU" w:bidi="ru-RU"/>
        </w:rPr>
        <w:t xml:space="preserve"> 2019 г</w:t>
      </w:r>
      <w:r w:rsidR="00666031">
        <w:rPr>
          <w:rFonts w:ascii="Times New Roman" w:eastAsia="Times New Roman" w:hAnsi="Times New Roman" w:cs="Times New Roman"/>
          <w:color w:val="000000"/>
          <w:sz w:val="28"/>
          <w:szCs w:val="28"/>
          <w:lang w:eastAsia="ru-RU" w:bidi="ru-RU"/>
        </w:rPr>
        <w:t xml:space="preserve">. – 159 организаций </w:t>
      </w:r>
      <w:r w:rsidR="009461B6">
        <w:rPr>
          <w:rFonts w:ascii="Times New Roman" w:eastAsia="Times New Roman" w:hAnsi="Times New Roman" w:cs="Times New Roman"/>
          <w:color w:val="000000"/>
          <w:sz w:val="28"/>
          <w:szCs w:val="28"/>
          <w:lang w:eastAsia="ru-RU" w:bidi="ru-RU"/>
        </w:rPr>
        <w:br/>
      </w:r>
      <w:r w:rsidRPr="00BD3AD5">
        <w:rPr>
          <w:rFonts w:ascii="Times New Roman" w:eastAsia="Times New Roman" w:hAnsi="Times New Roman" w:cs="Times New Roman"/>
          <w:color w:val="000000"/>
          <w:sz w:val="28"/>
          <w:szCs w:val="28"/>
          <w:lang w:eastAsia="ru-RU" w:bidi="ru-RU"/>
        </w:rPr>
        <w:t>(800 мас</w:t>
      </w:r>
      <w:r w:rsidR="00666031">
        <w:rPr>
          <w:rFonts w:ascii="Times New Roman" w:eastAsia="Times New Roman" w:hAnsi="Times New Roman" w:cs="Times New Roman"/>
          <w:color w:val="000000"/>
          <w:sz w:val="28"/>
          <w:szCs w:val="28"/>
          <w:lang w:eastAsia="ru-RU" w:bidi="ru-RU"/>
        </w:rPr>
        <w:t xml:space="preserve">терских) из 65 регионов), общий объем финансирования </w:t>
      </w:r>
      <w:r w:rsidRPr="00BD3AD5">
        <w:rPr>
          <w:rFonts w:ascii="Times New Roman" w:eastAsia="Times New Roman" w:hAnsi="Times New Roman" w:cs="Times New Roman"/>
          <w:color w:val="000000"/>
          <w:sz w:val="28"/>
          <w:szCs w:val="28"/>
          <w:lang w:eastAsia="ru-RU" w:bidi="ru-RU"/>
        </w:rPr>
        <w:t>из федерального бюджета – 4,35 млрд рублей (2020 г</w:t>
      </w:r>
      <w:r w:rsidR="00666031">
        <w:rPr>
          <w:rFonts w:ascii="Times New Roman" w:eastAsia="Times New Roman" w:hAnsi="Times New Roman" w:cs="Times New Roman"/>
          <w:color w:val="000000"/>
          <w:sz w:val="28"/>
          <w:szCs w:val="28"/>
          <w:lang w:eastAsia="ru-RU" w:bidi="ru-RU"/>
        </w:rPr>
        <w:t xml:space="preserve">. – 4,39 млрд рублей; </w:t>
      </w:r>
      <w:r w:rsidRPr="00BD3AD5">
        <w:rPr>
          <w:rFonts w:ascii="Times New Roman" w:eastAsia="Times New Roman" w:hAnsi="Times New Roman" w:cs="Times New Roman"/>
          <w:color w:val="000000"/>
          <w:sz w:val="28"/>
          <w:szCs w:val="28"/>
          <w:lang w:eastAsia="ru-RU" w:bidi="ru-RU"/>
        </w:rPr>
        <w:t>2019 г</w:t>
      </w:r>
      <w:r w:rsidR="00666031">
        <w:rPr>
          <w:rFonts w:ascii="Times New Roman" w:eastAsia="Times New Roman" w:hAnsi="Times New Roman" w:cs="Times New Roman"/>
          <w:color w:val="000000"/>
          <w:sz w:val="28"/>
          <w:szCs w:val="28"/>
          <w:lang w:eastAsia="ru-RU" w:bidi="ru-RU"/>
        </w:rPr>
        <w:t>.</w:t>
      </w:r>
      <w:r w:rsidRPr="00BD3AD5">
        <w:rPr>
          <w:rFonts w:ascii="Times New Roman" w:eastAsia="Times New Roman" w:hAnsi="Times New Roman" w:cs="Times New Roman"/>
          <w:color w:val="000000"/>
          <w:sz w:val="28"/>
          <w:szCs w:val="28"/>
          <w:lang w:eastAsia="ru-RU" w:bidi="ru-RU"/>
        </w:rPr>
        <w:t xml:space="preserve"> – 3,0 млрд рублей).</w:t>
      </w:r>
    </w:p>
    <w:p w14:paraId="7F76CC27" w14:textId="77777777" w:rsidR="00BD3AD5" w:rsidRPr="00BD3AD5" w:rsidRDefault="00BD3AD5" w:rsidP="00BD3AD5">
      <w:pPr>
        <w:widowControl w:val="0"/>
        <w:suppressAutoHyphens/>
        <w:spacing w:after="0" w:line="312" w:lineRule="auto"/>
        <w:ind w:firstLine="709"/>
        <w:contextualSpacing/>
        <w:jc w:val="both"/>
        <w:rPr>
          <w:rFonts w:ascii="Times New Roman" w:eastAsia="Times New Roman" w:hAnsi="Times New Roman" w:cs="Times New Roman"/>
          <w:color w:val="000000"/>
          <w:sz w:val="28"/>
          <w:szCs w:val="28"/>
          <w:lang w:eastAsia="ru-RU" w:bidi="ru-RU"/>
        </w:rPr>
      </w:pPr>
      <w:r w:rsidRPr="00BD3AD5">
        <w:rPr>
          <w:rFonts w:ascii="Times New Roman" w:eastAsia="Times New Roman" w:hAnsi="Times New Roman" w:cs="Times New Roman"/>
          <w:color w:val="000000"/>
          <w:sz w:val="28"/>
          <w:szCs w:val="28"/>
          <w:lang w:eastAsia="ru-RU" w:bidi="ru-RU"/>
        </w:rPr>
        <w:t>Минпросвещения России совместно с федеральными учебно-методическими объединениями в системе среднего</w:t>
      </w:r>
      <w:r w:rsidR="00666031">
        <w:rPr>
          <w:rFonts w:ascii="Times New Roman" w:eastAsia="Times New Roman" w:hAnsi="Times New Roman" w:cs="Times New Roman"/>
          <w:color w:val="000000"/>
          <w:sz w:val="28"/>
          <w:szCs w:val="28"/>
          <w:lang w:eastAsia="ru-RU" w:bidi="ru-RU"/>
        </w:rPr>
        <w:t xml:space="preserve"> профессионального образования </w:t>
      </w:r>
      <w:r w:rsidRPr="00BD3AD5">
        <w:rPr>
          <w:rFonts w:ascii="Times New Roman" w:eastAsia="Times New Roman" w:hAnsi="Times New Roman" w:cs="Times New Roman"/>
          <w:color w:val="000000"/>
          <w:sz w:val="28"/>
          <w:szCs w:val="28"/>
          <w:lang w:eastAsia="ru-RU" w:bidi="ru-RU"/>
        </w:rPr>
        <w:t>при непосредственном участии образователь</w:t>
      </w:r>
      <w:r w:rsidR="00666031">
        <w:rPr>
          <w:rFonts w:ascii="Times New Roman" w:eastAsia="Times New Roman" w:hAnsi="Times New Roman" w:cs="Times New Roman"/>
          <w:color w:val="000000"/>
          <w:sz w:val="28"/>
          <w:szCs w:val="28"/>
          <w:lang w:eastAsia="ru-RU" w:bidi="ru-RU"/>
        </w:rPr>
        <w:t xml:space="preserve">ных организаций, работодателей </w:t>
      </w:r>
      <w:r w:rsidRPr="00BD3AD5">
        <w:rPr>
          <w:rFonts w:ascii="Times New Roman" w:eastAsia="Times New Roman" w:hAnsi="Times New Roman" w:cs="Times New Roman"/>
          <w:color w:val="000000"/>
          <w:sz w:val="28"/>
          <w:szCs w:val="28"/>
          <w:lang w:eastAsia="ru-RU" w:bidi="ru-RU"/>
        </w:rPr>
        <w:t xml:space="preserve">и экспертов </w:t>
      </w:r>
      <w:proofErr w:type="spellStart"/>
      <w:r w:rsidRPr="00BD3AD5">
        <w:rPr>
          <w:rFonts w:ascii="Times New Roman" w:eastAsia="Times New Roman" w:hAnsi="Times New Roman" w:cs="Times New Roman"/>
          <w:color w:val="000000"/>
          <w:sz w:val="28"/>
          <w:szCs w:val="28"/>
          <w:lang w:eastAsia="ru-RU" w:bidi="ru-RU"/>
        </w:rPr>
        <w:t>Ворлдскиллс</w:t>
      </w:r>
      <w:proofErr w:type="spellEnd"/>
      <w:r w:rsidRPr="00BD3AD5">
        <w:rPr>
          <w:rFonts w:ascii="Times New Roman" w:eastAsia="Times New Roman" w:hAnsi="Times New Roman" w:cs="Times New Roman"/>
          <w:color w:val="000000"/>
          <w:sz w:val="28"/>
          <w:szCs w:val="28"/>
          <w:lang w:eastAsia="ru-RU" w:bidi="ru-RU"/>
        </w:rPr>
        <w:t xml:space="preserve"> Россия обесп</w:t>
      </w:r>
      <w:r w:rsidR="00666031">
        <w:rPr>
          <w:rFonts w:ascii="Times New Roman" w:eastAsia="Times New Roman" w:hAnsi="Times New Roman" w:cs="Times New Roman"/>
          <w:color w:val="000000"/>
          <w:sz w:val="28"/>
          <w:szCs w:val="28"/>
          <w:lang w:eastAsia="ru-RU" w:bidi="ru-RU"/>
        </w:rPr>
        <w:t>ечивает работу по актуализации ФГОС</w:t>
      </w:r>
      <w:r w:rsidRPr="00BD3AD5">
        <w:rPr>
          <w:rFonts w:ascii="Times New Roman" w:eastAsia="Times New Roman" w:hAnsi="Times New Roman" w:cs="Times New Roman"/>
          <w:color w:val="000000"/>
          <w:sz w:val="28"/>
          <w:szCs w:val="28"/>
          <w:lang w:eastAsia="ru-RU" w:bidi="ru-RU"/>
        </w:rPr>
        <w:t xml:space="preserve"> среднего профессионального образования.</w:t>
      </w:r>
    </w:p>
    <w:p w14:paraId="0B82F63F" w14:textId="5AB0479B" w:rsidR="00BD3AD5" w:rsidRPr="00BD3AD5" w:rsidRDefault="00BD3AD5" w:rsidP="00BD3AD5">
      <w:pPr>
        <w:widowControl w:val="0"/>
        <w:suppressAutoHyphens/>
        <w:spacing w:after="0" w:line="312" w:lineRule="auto"/>
        <w:ind w:firstLine="709"/>
        <w:contextualSpacing/>
        <w:jc w:val="both"/>
        <w:rPr>
          <w:rFonts w:ascii="Times New Roman" w:eastAsia="Times New Roman" w:hAnsi="Times New Roman" w:cs="Times New Roman"/>
          <w:color w:val="000000"/>
          <w:sz w:val="28"/>
          <w:szCs w:val="28"/>
          <w:lang w:eastAsia="ru-RU" w:bidi="ru-RU"/>
        </w:rPr>
      </w:pPr>
      <w:r w:rsidRPr="00BD3AD5">
        <w:rPr>
          <w:rFonts w:ascii="Times New Roman" w:eastAsia="Times New Roman" w:hAnsi="Times New Roman" w:cs="Times New Roman"/>
          <w:color w:val="000000"/>
          <w:sz w:val="28"/>
          <w:szCs w:val="28"/>
          <w:lang w:eastAsia="ru-RU" w:bidi="ru-RU"/>
        </w:rPr>
        <w:t xml:space="preserve">В соответствии с Правилами разработки, утверждения </w:t>
      </w:r>
      <w:r w:rsidR="00666031">
        <w:rPr>
          <w:rFonts w:ascii="Times New Roman" w:eastAsia="Times New Roman" w:hAnsi="Times New Roman" w:cs="Times New Roman"/>
          <w:color w:val="000000"/>
          <w:sz w:val="28"/>
          <w:szCs w:val="28"/>
          <w:lang w:eastAsia="ru-RU" w:bidi="ru-RU"/>
        </w:rPr>
        <w:t>ФГОС</w:t>
      </w:r>
      <w:r w:rsidRPr="00BD3AD5">
        <w:rPr>
          <w:rFonts w:ascii="Times New Roman" w:eastAsia="Times New Roman" w:hAnsi="Times New Roman" w:cs="Times New Roman"/>
          <w:color w:val="000000"/>
          <w:sz w:val="28"/>
          <w:szCs w:val="28"/>
          <w:lang w:eastAsia="ru-RU" w:bidi="ru-RU"/>
        </w:rPr>
        <w:t xml:space="preserve"> и внесения в них изменений</w:t>
      </w:r>
      <w:r w:rsidR="00666031">
        <w:rPr>
          <w:rFonts w:ascii="Times New Roman" w:eastAsia="Times New Roman" w:hAnsi="Times New Roman" w:cs="Times New Roman"/>
          <w:color w:val="000000"/>
          <w:sz w:val="28"/>
          <w:szCs w:val="28"/>
          <w:lang w:eastAsia="ru-RU" w:bidi="ru-RU"/>
        </w:rPr>
        <w:t xml:space="preserve">, утвержденными </w:t>
      </w:r>
      <w:r w:rsidRPr="00BD3AD5">
        <w:rPr>
          <w:rFonts w:ascii="Times New Roman" w:eastAsia="Times New Roman" w:hAnsi="Times New Roman" w:cs="Times New Roman"/>
          <w:color w:val="000000"/>
          <w:sz w:val="28"/>
          <w:szCs w:val="28"/>
          <w:lang w:eastAsia="ru-RU" w:bidi="ru-RU"/>
        </w:rPr>
        <w:t>постановление</w:t>
      </w:r>
      <w:r w:rsidR="00666031">
        <w:rPr>
          <w:rFonts w:ascii="Times New Roman" w:eastAsia="Times New Roman" w:hAnsi="Times New Roman" w:cs="Times New Roman"/>
          <w:color w:val="000000"/>
          <w:sz w:val="28"/>
          <w:szCs w:val="28"/>
          <w:lang w:eastAsia="ru-RU" w:bidi="ru-RU"/>
        </w:rPr>
        <w:t>м</w:t>
      </w:r>
      <w:r w:rsidRPr="00BD3AD5">
        <w:rPr>
          <w:rFonts w:ascii="Times New Roman" w:eastAsia="Times New Roman" w:hAnsi="Times New Roman" w:cs="Times New Roman"/>
          <w:color w:val="000000"/>
          <w:sz w:val="28"/>
          <w:szCs w:val="28"/>
          <w:lang w:eastAsia="ru-RU" w:bidi="ru-RU"/>
        </w:rPr>
        <w:t xml:space="preserve"> Правительства Российской Федераци</w:t>
      </w:r>
      <w:r w:rsidR="00666031">
        <w:rPr>
          <w:rFonts w:ascii="Times New Roman" w:eastAsia="Times New Roman" w:hAnsi="Times New Roman" w:cs="Times New Roman"/>
          <w:color w:val="000000"/>
          <w:sz w:val="28"/>
          <w:szCs w:val="28"/>
          <w:lang w:eastAsia="ru-RU" w:bidi="ru-RU"/>
        </w:rPr>
        <w:t xml:space="preserve">и от 12 апреля 2019 г. № 434, </w:t>
      </w:r>
      <w:r w:rsidRPr="00BD3AD5">
        <w:rPr>
          <w:rFonts w:ascii="Times New Roman" w:eastAsia="Times New Roman" w:hAnsi="Times New Roman" w:cs="Times New Roman"/>
          <w:color w:val="000000"/>
          <w:sz w:val="28"/>
          <w:szCs w:val="28"/>
          <w:lang w:eastAsia="ru-RU" w:bidi="ru-RU"/>
        </w:rPr>
        <w:t>в 2021 г</w:t>
      </w:r>
      <w:r w:rsidR="00F22C65">
        <w:rPr>
          <w:rFonts w:ascii="Times New Roman" w:eastAsia="Times New Roman" w:hAnsi="Times New Roman" w:cs="Times New Roman"/>
          <w:color w:val="000000"/>
          <w:sz w:val="28"/>
          <w:szCs w:val="28"/>
          <w:lang w:eastAsia="ru-RU" w:bidi="ru-RU"/>
        </w:rPr>
        <w:t>.</w:t>
      </w:r>
      <w:r w:rsidRPr="00BD3AD5">
        <w:rPr>
          <w:rFonts w:ascii="Times New Roman" w:eastAsia="Times New Roman" w:hAnsi="Times New Roman" w:cs="Times New Roman"/>
          <w:color w:val="000000"/>
          <w:sz w:val="28"/>
          <w:szCs w:val="28"/>
          <w:lang w:eastAsia="ru-RU" w:bidi="ru-RU"/>
        </w:rPr>
        <w:t xml:space="preserve"> приказами Минпросвещения России </w:t>
      </w:r>
      <w:r w:rsidR="00666031" w:rsidRPr="00BD3AD5">
        <w:rPr>
          <w:rFonts w:ascii="Times New Roman" w:eastAsia="Times New Roman" w:hAnsi="Times New Roman" w:cs="Times New Roman"/>
          <w:color w:val="000000"/>
          <w:sz w:val="28"/>
          <w:szCs w:val="28"/>
          <w:lang w:eastAsia="ru-RU" w:bidi="ru-RU"/>
        </w:rPr>
        <w:t xml:space="preserve">утверждено </w:t>
      </w:r>
      <w:r w:rsidRPr="00BD3AD5">
        <w:rPr>
          <w:rFonts w:ascii="Times New Roman" w:eastAsia="Times New Roman" w:hAnsi="Times New Roman" w:cs="Times New Roman"/>
          <w:color w:val="000000"/>
          <w:sz w:val="28"/>
          <w:szCs w:val="28"/>
          <w:lang w:eastAsia="ru-RU" w:bidi="ru-RU"/>
        </w:rPr>
        <w:t xml:space="preserve">17 </w:t>
      </w:r>
      <w:r w:rsidR="00666031">
        <w:rPr>
          <w:rFonts w:ascii="Times New Roman" w:eastAsia="Times New Roman" w:hAnsi="Times New Roman" w:cs="Times New Roman"/>
          <w:color w:val="000000"/>
          <w:sz w:val="28"/>
          <w:szCs w:val="28"/>
          <w:lang w:eastAsia="ru-RU" w:bidi="ru-RU"/>
        </w:rPr>
        <w:t>ФГОС</w:t>
      </w:r>
      <w:r w:rsidRPr="00BD3AD5">
        <w:rPr>
          <w:rFonts w:ascii="Times New Roman" w:eastAsia="Times New Roman" w:hAnsi="Times New Roman" w:cs="Times New Roman"/>
          <w:color w:val="000000"/>
          <w:sz w:val="28"/>
          <w:szCs w:val="28"/>
          <w:lang w:eastAsia="ru-RU" w:bidi="ru-RU"/>
        </w:rPr>
        <w:t xml:space="preserve"> среднего профессионального образования по профессиям и специальностям: 05.01.01 </w:t>
      </w:r>
      <w:proofErr w:type="spellStart"/>
      <w:r w:rsidRPr="00BD3AD5">
        <w:rPr>
          <w:rFonts w:ascii="Times New Roman" w:eastAsia="Times New Roman" w:hAnsi="Times New Roman" w:cs="Times New Roman"/>
          <w:color w:val="000000"/>
          <w:sz w:val="28"/>
          <w:szCs w:val="28"/>
          <w:lang w:eastAsia="ru-RU" w:bidi="ru-RU"/>
        </w:rPr>
        <w:t>Гидрометнаблюдатель</w:t>
      </w:r>
      <w:proofErr w:type="spellEnd"/>
      <w:r w:rsidRPr="00BD3AD5">
        <w:rPr>
          <w:rFonts w:ascii="Times New Roman" w:eastAsia="Times New Roman" w:hAnsi="Times New Roman" w:cs="Times New Roman"/>
          <w:color w:val="000000"/>
          <w:sz w:val="28"/>
          <w:szCs w:val="28"/>
          <w:lang w:eastAsia="ru-RU" w:bidi="ru-RU"/>
        </w:rPr>
        <w:t xml:space="preserve">, 05.02.03 Метеорология, </w:t>
      </w:r>
      <w:r w:rsidR="00624618">
        <w:rPr>
          <w:rFonts w:ascii="Times New Roman" w:eastAsia="Times New Roman" w:hAnsi="Times New Roman" w:cs="Times New Roman"/>
          <w:color w:val="000000"/>
          <w:sz w:val="28"/>
          <w:szCs w:val="28"/>
          <w:lang w:eastAsia="ru-RU" w:bidi="ru-RU"/>
        </w:rPr>
        <w:br/>
      </w:r>
      <w:r w:rsidRPr="00BD3AD5">
        <w:rPr>
          <w:rFonts w:ascii="Times New Roman" w:eastAsia="Times New Roman" w:hAnsi="Times New Roman" w:cs="Times New Roman"/>
          <w:color w:val="000000"/>
          <w:sz w:val="28"/>
          <w:szCs w:val="28"/>
          <w:lang w:eastAsia="ru-RU" w:bidi="ru-RU"/>
        </w:rPr>
        <w:t xml:space="preserve">07.02.01 Архитектура, 11.02.16 Монтаж, техническое обслуживание и ремонт электронных приборов и устройств, 13.02.01 Тепловые электрические станции, 13.02.02 Теплоснабжение и теплотехническое оборудование, 13.02.05 Технология воды, </w:t>
      </w:r>
      <w:r w:rsidR="00666031">
        <w:rPr>
          <w:rFonts w:ascii="Times New Roman" w:eastAsia="Times New Roman" w:hAnsi="Times New Roman" w:cs="Times New Roman"/>
          <w:color w:val="000000"/>
          <w:sz w:val="28"/>
          <w:szCs w:val="28"/>
          <w:lang w:eastAsia="ru-RU" w:bidi="ru-RU"/>
        </w:rPr>
        <w:t xml:space="preserve">топлива и смазочных материалов </w:t>
      </w:r>
      <w:r w:rsidRPr="00BD3AD5">
        <w:rPr>
          <w:rFonts w:ascii="Times New Roman" w:eastAsia="Times New Roman" w:hAnsi="Times New Roman" w:cs="Times New Roman"/>
          <w:color w:val="000000"/>
          <w:sz w:val="28"/>
          <w:szCs w:val="28"/>
          <w:lang w:eastAsia="ru-RU" w:bidi="ru-RU"/>
        </w:rPr>
        <w:t xml:space="preserve">на электрических станциях, </w:t>
      </w:r>
      <w:r w:rsidR="00624618">
        <w:rPr>
          <w:rFonts w:ascii="Times New Roman" w:eastAsia="Times New Roman" w:hAnsi="Times New Roman" w:cs="Times New Roman"/>
          <w:color w:val="000000"/>
          <w:sz w:val="28"/>
          <w:szCs w:val="28"/>
          <w:lang w:eastAsia="ru-RU" w:bidi="ru-RU"/>
        </w:rPr>
        <w:br/>
      </w:r>
      <w:r w:rsidRPr="00BD3AD5">
        <w:rPr>
          <w:rFonts w:ascii="Times New Roman" w:eastAsia="Times New Roman" w:hAnsi="Times New Roman" w:cs="Times New Roman"/>
          <w:color w:val="000000"/>
          <w:sz w:val="28"/>
          <w:szCs w:val="28"/>
          <w:lang w:eastAsia="ru-RU" w:bidi="ru-RU"/>
        </w:rPr>
        <w:t>14.02.01 Атомные электрические станции и установки, 14.02.02 Радиационная безопасность, 20.01.01 Пожарный, 20.02.05 Организация оперативного (экстренного) реагиров</w:t>
      </w:r>
      <w:r w:rsidR="00666031">
        <w:rPr>
          <w:rFonts w:ascii="Times New Roman" w:eastAsia="Times New Roman" w:hAnsi="Times New Roman" w:cs="Times New Roman"/>
          <w:color w:val="000000"/>
          <w:sz w:val="28"/>
          <w:szCs w:val="28"/>
          <w:lang w:eastAsia="ru-RU" w:bidi="ru-RU"/>
        </w:rPr>
        <w:t xml:space="preserve">ания в чрезвычайных ситуациях, </w:t>
      </w:r>
      <w:r w:rsidRPr="00BD3AD5">
        <w:rPr>
          <w:rFonts w:ascii="Times New Roman" w:eastAsia="Times New Roman" w:hAnsi="Times New Roman" w:cs="Times New Roman"/>
          <w:color w:val="000000"/>
          <w:sz w:val="28"/>
          <w:szCs w:val="28"/>
          <w:lang w:eastAsia="ru-RU" w:bidi="ru-RU"/>
        </w:rPr>
        <w:t>33.02.01 Фармация, 34.02.02 Медици</w:t>
      </w:r>
      <w:r w:rsidR="00666031">
        <w:rPr>
          <w:rFonts w:ascii="Times New Roman" w:eastAsia="Times New Roman" w:hAnsi="Times New Roman" w:cs="Times New Roman"/>
          <w:color w:val="000000"/>
          <w:sz w:val="28"/>
          <w:szCs w:val="28"/>
          <w:lang w:eastAsia="ru-RU" w:bidi="ru-RU"/>
        </w:rPr>
        <w:t xml:space="preserve">нский массаж (для обучения лиц </w:t>
      </w:r>
      <w:r w:rsidRPr="00BD3AD5">
        <w:rPr>
          <w:rFonts w:ascii="Times New Roman" w:eastAsia="Times New Roman" w:hAnsi="Times New Roman" w:cs="Times New Roman"/>
          <w:color w:val="000000"/>
          <w:sz w:val="28"/>
          <w:szCs w:val="28"/>
          <w:lang w:eastAsia="ru-RU" w:bidi="ru-RU"/>
        </w:rPr>
        <w:t xml:space="preserve">с </w:t>
      </w:r>
      <w:r w:rsidR="00666031">
        <w:rPr>
          <w:rFonts w:ascii="Times New Roman" w:eastAsia="Times New Roman" w:hAnsi="Times New Roman" w:cs="Times New Roman"/>
          <w:color w:val="000000"/>
          <w:sz w:val="28"/>
          <w:szCs w:val="28"/>
          <w:lang w:eastAsia="ru-RU" w:bidi="ru-RU"/>
        </w:rPr>
        <w:t>ОВЗ</w:t>
      </w:r>
      <w:r w:rsidRPr="00BD3AD5">
        <w:rPr>
          <w:rFonts w:ascii="Times New Roman" w:eastAsia="Times New Roman" w:hAnsi="Times New Roman" w:cs="Times New Roman"/>
          <w:color w:val="000000"/>
          <w:sz w:val="28"/>
          <w:szCs w:val="28"/>
          <w:lang w:eastAsia="ru-RU" w:bidi="ru-RU"/>
        </w:rPr>
        <w:t xml:space="preserve"> по зрению), 35.02.05 Агрономия, 35.02.10 Обработка водных биоресурсов, 4</w:t>
      </w:r>
      <w:r w:rsidR="00666031">
        <w:rPr>
          <w:rFonts w:ascii="Times New Roman" w:eastAsia="Times New Roman" w:hAnsi="Times New Roman" w:cs="Times New Roman"/>
          <w:color w:val="000000"/>
          <w:sz w:val="28"/>
          <w:szCs w:val="28"/>
          <w:lang w:eastAsia="ru-RU" w:bidi="ru-RU"/>
        </w:rPr>
        <w:t xml:space="preserve">9.02.03 Спорт, 53.01.01 Мастер </w:t>
      </w:r>
      <w:r w:rsidRPr="00BD3AD5">
        <w:rPr>
          <w:rFonts w:ascii="Times New Roman" w:eastAsia="Times New Roman" w:hAnsi="Times New Roman" w:cs="Times New Roman"/>
          <w:color w:val="000000"/>
          <w:sz w:val="28"/>
          <w:szCs w:val="28"/>
          <w:lang w:eastAsia="ru-RU" w:bidi="ru-RU"/>
        </w:rPr>
        <w:t>по ремонту и обслуживанию музыкальных инструментов (по видам).</w:t>
      </w:r>
    </w:p>
    <w:p w14:paraId="3A2D8EF3" w14:textId="3FEE05D9" w:rsidR="00BD3AD5" w:rsidRPr="00BD3AD5" w:rsidRDefault="00BD3AD5" w:rsidP="00BD3AD5">
      <w:pPr>
        <w:widowControl w:val="0"/>
        <w:suppressAutoHyphens/>
        <w:spacing w:after="0" w:line="312" w:lineRule="auto"/>
        <w:ind w:firstLine="709"/>
        <w:contextualSpacing/>
        <w:jc w:val="both"/>
        <w:rPr>
          <w:rFonts w:ascii="Times New Roman" w:eastAsia="Times New Roman" w:hAnsi="Times New Roman" w:cs="Times New Roman"/>
          <w:color w:val="000000"/>
          <w:sz w:val="28"/>
          <w:szCs w:val="28"/>
          <w:lang w:eastAsia="ru-RU" w:bidi="ru-RU"/>
        </w:rPr>
      </w:pPr>
      <w:r w:rsidRPr="00BD3AD5">
        <w:rPr>
          <w:rFonts w:ascii="Times New Roman" w:eastAsia="Times New Roman" w:hAnsi="Times New Roman" w:cs="Times New Roman"/>
          <w:color w:val="000000"/>
          <w:sz w:val="28"/>
          <w:szCs w:val="28"/>
          <w:lang w:eastAsia="ru-RU" w:bidi="ru-RU"/>
        </w:rPr>
        <w:t>Вместе с тем в соответствии с приказами Минпросвещен</w:t>
      </w:r>
      <w:r w:rsidR="00666031">
        <w:rPr>
          <w:rFonts w:ascii="Times New Roman" w:eastAsia="Times New Roman" w:hAnsi="Times New Roman" w:cs="Times New Roman"/>
          <w:color w:val="000000"/>
          <w:sz w:val="28"/>
          <w:szCs w:val="28"/>
          <w:lang w:eastAsia="ru-RU" w:bidi="ru-RU"/>
        </w:rPr>
        <w:t xml:space="preserve">ия России </w:t>
      </w:r>
      <w:r w:rsidRPr="00BD3AD5">
        <w:rPr>
          <w:rFonts w:ascii="Times New Roman" w:eastAsia="Times New Roman" w:hAnsi="Times New Roman" w:cs="Times New Roman"/>
          <w:color w:val="000000"/>
          <w:sz w:val="28"/>
          <w:szCs w:val="28"/>
          <w:lang w:eastAsia="ru-RU" w:bidi="ru-RU"/>
        </w:rPr>
        <w:t>от 5 марта 2021 г. № 87 «О вн</w:t>
      </w:r>
      <w:r w:rsidR="00666031">
        <w:rPr>
          <w:rFonts w:ascii="Times New Roman" w:eastAsia="Times New Roman" w:hAnsi="Times New Roman" w:cs="Times New Roman"/>
          <w:color w:val="000000"/>
          <w:sz w:val="28"/>
          <w:szCs w:val="28"/>
          <w:lang w:eastAsia="ru-RU" w:bidi="ru-RU"/>
        </w:rPr>
        <w:t xml:space="preserve">есении изменений в федеральный </w:t>
      </w:r>
      <w:r w:rsidRPr="00BD3AD5">
        <w:rPr>
          <w:rFonts w:ascii="Times New Roman" w:eastAsia="Times New Roman" w:hAnsi="Times New Roman" w:cs="Times New Roman"/>
          <w:color w:val="000000"/>
          <w:sz w:val="28"/>
          <w:szCs w:val="28"/>
          <w:lang w:eastAsia="ru-RU" w:bidi="ru-RU"/>
        </w:rPr>
        <w:t>государственный образовательный стандарт среднего профессионального образования по специальности 52.02.02 Искусство танца (по видам), утвержденный приказом Министерства образования и н</w:t>
      </w:r>
      <w:r w:rsidR="00666031">
        <w:rPr>
          <w:rFonts w:ascii="Times New Roman" w:eastAsia="Times New Roman" w:hAnsi="Times New Roman" w:cs="Times New Roman"/>
          <w:color w:val="000000"/>
          <w:sz w:val="28"/>
          <w:szCs w:val="28"/>
          <w:lang w:eastAsia="ru-RU" w:bidi="ru-RU"/>
        </w:rPr>
        <w:t xml:space="preserve">ауки Российской Федерации </w:t>
      </w:r>
      <w:r w:rsidRPr="00BD3AD5">
        <w:rPr>
          <w:rFonts w:ascii="Times New Roman" w:eastAsia="Times New Roman" w:hAnsi="Times New Roman" w:cs="Times New Roman"/>
          <w:color w:val="000000"/>
          <w:sz w:val="28"/>
          <w:szCs w:val="28"/>
          <w:lang w:eastAsia="ru-RU" w:bidi="ru-RU"/>
        </w:rPr>
        <w:t xml:space="preserve">от 30 января 2015 г. № 33, и в федеральный государственный образовательный стандарт среднего профессионального образования по специальности 52.02.01 Искусство балета, утвержденный приказом Министерства образования и науки Российской Федерации от 30 января 2015 г. </w:t>
      </w:r>
      <w:r w:rsidR="00666031">
        <w:rPr>
          <w:rFonts w:ascii="Times New Roman" w:eastAsia="Times New Roman" w:hAnsi="Times New Roman" w:cs="Times New Roman"/>
          <w:color w:val="000000"/>
          <w:sz w:val="28"/>
          <w:szCs w:val="28"/>
          <w:lang w:eastAsia="ru-RU" w:bidi="ru-RU"/>
        </w:rPr>
        <w:t xml:space="preserve">№ 35», от 17 мая 2022 г. № 253 </w:t>
      </w:r>
      <w:r w:rsidRPr="00BD3AD5">
        <w:rPr>
          <w:rFonts w:ascii="Times New Roman" w:eastAsia="Times New Roman" w:hAnsi="Times New Roman" w:cs="Times New Roman"/>
          <w:color w:val="000000"/>
          <w:sz w:val="28"/>
          <w:szCs w:val="28"/>
          <w:lang w:eastAsia="ru-RU" w:bidi="ru-RU"/>
        </w:rPr>
        <w:t>«О внесении изменений в федеральные государственные образовательные стандарты среднего профессионального образова</w:t>
      </w:r>
      <w:r w:rsidR="00666031">
        <w:rPr>
          <w:rFonts w:ascii="Times New Roman" w:eastAsia="Times New Roman" w:hAnsi="Times New Roman" w:cs="Times New Roman"/>
          <w:color w:val="000000"/>
          <w:sz w:val="28"/>
          <w:szCs w:val="28"/>
          <w:lang w:eastAsia="ru-RU" w:bidi="ru-RU"/>
        </w:rPr>
        <w:t xml:space="preserve">ния», от 13 июля 2021 г. № 450 </w:t>
      </w:r>
      <w:r w:rsidRPr="00BD3AD5">
        <w:rPr>
          <w:rFonts w:ascii="Times New Roman" w:eastAsia="Times New Roman" w:hAnsi="Times New Roman" w:cs="Times New Roman"/>
          <w:color w:val="000000"/>
          <w:sz w:val="28"/>
          <w:szCs w:val="28"/>
          <w:lang w:eastAsia="ru-RU" w:bidi="ru-RU"/>
        </w:rPr>
        <w:t>«О внесении изменений в федеральные государственные образовательные стандарты среднего профессионального образова</w:t>
      </w:r>
      <w:r w:rsidR="00666031">
        <w:rPr>
          <w:rFonts w:ascii="Times New Roman" w:eastAsia="Times New Roman" w:hAnsi="Times New Roman" w:cs="Times New Roman"/>
          <w:color w:val="000000"/>
          <w:sz w:val="28"/>
          <w:szCs w:val="28"/>
          <w:lang w:eastAsia="ru-RU" w:bidi="ru-RU"/>
        </w:rPr>
        <w:t xml:space="preserve">ния», от 29 июля 2021 г. № 503 </w:t>
      </w:r>
      <w:r w:rsidRPr="00BD3AD5">
        <w:rPr>
          <w:rFonts w:ascii="Times New Roman" w:eastAsia="Times New Roman" w:hAnsi="Times New Roman" w:cs="Times New Roman"/>
          <w:color w:val="000000"/>
          <w:sz w:val="28"/>
          <w:szCs w:val="28"/>
          <w:lang w:eastAsia="ru-RU" w:bidi="ru-RU"/>
        </w:rPr>
        <w:t>«О внесении изменений в федеральный г</w:t>
      </w:r>
      <w:r w:rsidR="00666031">
        <w:rPr>
          <w:rFonts w:ascii="Times New Roman" w:eastAsia="Times New Roman" w:hAnsi="Times New Roman" w:cs="Times New Roman"/>
          <w:color w:val="000000"/>
          <w:sz w:val="28"/>
          <w:szCs w:val="28"/>
          <w:lang w:eastAsia="ru-RU" w:bidi="ru-RU"/>
        </w:rPr>
        <w:t xml:space="preserve">осударственный образовательный </w:t>
      </w:r>
      <w:r w:rsidRPr="00BD3AD5">
        <w:rPr>
          <w:rFonts w:ascii="Times New Roman" w:eastAsia="Times New Roman" w:hAnsi="Times New Roman" w:cs="Times New Roman"/>
          <w:color w:val="000000"/>
          <w:sz w:val="28"/>
          <w:szCs w:val="28"/>
          <w:lang w:eastAsia="ru-RU" w:bidi="ru-RU"/>
        </w:rPr>
        <w:t>стандарт среднего профессионального образования по специальности 53.02.03 Инструментальное исполнительство (по видам инструментов), утвержденный приказом Министерства образовани</w:t>
      </w:r>
      <w:r w:rsidR="00666031">
        <w:rPr>
          <w:rFonts w:ascii="Times New Roman" w:eastAsia="Times New Roman" w:hAnsi="Times New Roman" w:cs="Times New Roman"/>
          <w:color w:val="000000"/>
          <w:sz w:val="28"/>
          <w:szCs w:val="28"/>
          <w:lang w:eastAsia="ru-RU" w:bidi="ru-RU"/>
        </w:rPr>
        <w:t xml:space="preserve">я и науки Российской Федерации </w:t>
      </w:r>
      <w:r w:rsidRPr="00BD3AD5">
        <w:rPr>
          <w:rFonts w:ascii="Times New Roman" w:eastAsia="Times New Roman" w:hAnsi="Times New Roman" w:cs="Times New Roman"/>
          <w:color w:val="000000"/>
          <w:sz w:val="28"/>
          <w:szCs w:val="28"/>
          <w:lang w:eastAsia="ru-RU" w:bidi="ru-RU"/>
        </w:rPr>
        <w:t xml:space="preserve">от 23 декабря 2014 г. № 1608, и в федеральный государственный образовательный стандарт среднего профессионального образования по специальности 53.02.06 Хоровое </w:t>
      </w:r>
      <w:proofErr w:type="spellStart"/>
      <w:r w:rsidRPr="00BD3AD5">
        <w:rPr>
          <w:rFonts w:ascii="Times New Roman" w:eastAsia="Times New Roman" w:hAnsi="Times New Roman" w:cs="Times New Roman"/>
          <w:color w:val="000000"/>
          <w:sz w:val="28"/>
          <w:szCs w:val="28"/>
          <w:lang w:eastAsia="ru-RU" w:bidi="ru-RU"/>
        </w:rPr>
        <w:t>дирижирование</w:t>
      </w:r>
      <w:proofErr w:type="spellEnd"/>
      <w:r w:rsidRPr="00BD3AD5">
        <w:rPr>
          <w:rFonts w:ascii="Times New Roman" w:eastAsia="Times New Roman" w:hAnsi="Times New Roman" w:cs="Times New Roman"/>
          <w:color w:val="000000"/>
          <w:sz w:val="28"/>
          <w:szCs w:val="28"/>
          <w:lang w:eastAsia="ru-RU" w:bidi="ru-RU"/>
        </w:rPr>
        <w:t xml:space="preserve"> с присвоением квалификаций хормейстер, преподаватель, утвержденный приказом Министерства образования и науки Российской Федерации от 30 января 2015 г. № 34» внесены изменения в 328 </w:t>
      </w:r>
      <w:r w:rsidR="00666031">
        <w:rPr>
          <w:rFonts w:ascii="Times New Roman" w:eastAsia="Times New Roman" w:hAnsi="Times New Roman" w:cs="Times New Roman"/>
          <w:color w:val="000000"/>
          <w:sz w:val="28"/>
          <w:szCs w:val="28"/>
          <w:lang w:eastAsia="ru-RU" w:bidi="ru-RU"/>
        </w:rPr>
        <w:t>ФГОС</w:t>
      </w:r>
      <w:r w:rsidRPr="00BD3AD5">
        <w:rPr>
          <w:rFonts w:ascii="Times New Roman" w:eastAsia="Times New Roman" w:hAnsi="Times New Roman" w:cs="Times New Roman"/>
          <w:color w:val="000000"/>
          <w:sz w:val="28"/>
          <w:szCs w:val="28"/>
          <w:lang w:eastAsia="ru-RU" w:bidi="ru-RU"/>
        </w:rPr>
        <w:t xml:space="preserve"> среднего профессионального образования.</w:t>
      </w:r>
    </w:p>
    <w:p w14:paraId="00D1E5BC" w14:textId="3A0A6C64" w:rsidR="00BD3AD5" w:rsidRPr="00BD3AD5" w:rsidRDefault="00BD3AD5" w:rsidP="00BD3AD5">
      <w:pPr>
        <w:widowControl w:val="0"/>
        <w:suppressAutoHyphens/>
        <w:spacing w:after="0" w:line="312" w:lineRule="auto"/>
        <w:ind w:firstLine="709"/>
        <w:contextualSpacing/>
        <w:jc w:val="both"/>
        <w:rPr>
          <w:rFonts w:ascii="Times New Roman" w:eastAsia="Times New Roman" w:hAnsi="Times New Roman" w:cs="Times New Roman"/>
          <w:color w:val="000000"/>
          <w:sz w:val="28"/>
          <w:szCs w:val="28"/>
          <w:lang w:eastAsia="ru-RU" w:bidi="ru-RU"/>
        </w:rPr>
      </w:pPr>
      <w:r w:rsidRPr="00BD3AD5">
        <w:rPr>
          <w:rFonts w:ascii="Times New Roman" w:eastAsia="Times New Roman" w:hAnsi="Times New Roman" w:cs="Times New Roman"/>
          <w:color w:val="000000"/>
          <w:sz w:val="28"/>
          <w:szCs w:val="28"/>
          <w:lang w:eastAsia="ru-RU" w:bidi="ru-RU"/>
        </w:rPr>
        <w:t xml:space="preserve">Актуализация </w:t>
      </w:r>
      <w:r w:rsidR="00666031">
        <w:rPr>
          <w:rFonts w:ascii="Times New Roman" w:eastAsia="Times New Roman" w:hAnsi="Times New Roman" w:cs="Times New Roman"/>
          <w:color w:val="000000"/>
          <w:sz w:val="28"/>
          <w:szCs w:val="28"/>
          <w:lang w:eastAsia="ru-RU" w:bidi="ru-RU"/>
        </w:rPr>
        <w:t>ФГОС</w:t>
      </w:r>
      <w:r w:rsidRPr="00BD3AD5">
        <w:rPr>
          <w:rFonts w:ascii="Times New Roman" w:eastAsia="Times New Roman" w:hAnsi="Times New Roman" w:cs="Times New Roman"/>
          <w:color w:val="000000"/>
          <w:sz w:val="28"/>
          <w:szCs w:val="28"/>
          <w:lang w:eastAsia="ru-RU" w:bidi="ru-RU"/>
        </w:rPr>
        <w:t xml:space="preserve"> среднего профессионального образования обусловлена необходимостью выполнения требований Федерального закона от 2 мая 2015 г. № </w:t>
      </w:r>
      <w:r w:rsidR="00666031">
        <w:rPr>
          <w:rFonts w:ascii="Times New Roman" w:eastAsia="Times New Roman" w:hAnsi="Times New Roman" w:cs="Times New Roman"/>
          <w:color w:val="000000"/>
          <w:sz w:val="28"/>
          <w:szCs w:val="28"/>
          <w:lang w:eastAsia="ru-RU" w:bidi="ru-RU"/>
        </w:rPr>
        <w:t xml:space="preserve">122-ФЗ </w:t>
      </w:r>
      <w:r w:rsidRPr="00BD3AD5">
        <w:rPr>
          <w:rFonts w:ascii="Times New Roman" w:eastAsia="Times New Roman" w:hAnsi="Times New Roman" w:cs="Times New Roman"/>
          <w:color w:val="000000"/>
          <w:sz w:val="28"/>
          <w:szCs w:val="28"/>
          <w:lang w:eastAsia="ru-RU" w:bidi="ru-RU"/>
        </w:rPr>
        <w:t xml:space="preserve">«О внесении изменений в Трудовой кодекс Российской Федерации и статьи 11 и 73 Федерального закона </w:t>
      </w:r>
      <w:r w:rsidR="00666031">
        <w:rPr>
          <w:rFonts w:ascii="Times New Roman" w:eastAsia="Times New Roman" w:hAnsi="Times New Roman" w:cs="Times New Roman"/>
          <w:color w:val="000000"/>
          <w:sz w:val="28"/>
          <w:szCs w:val="28"/>
          <w:lang w:eastAsia="ru-RU" w:bidi="ru-RU"/>
        </w:rPr>
        <w:t>от 29 декабря 2012 г. № 273-ФЗ</w:t>
      </w:r>
      <w:r w:rsidR="009D1A16">
        <w:rPr>
          <w:rFonts w:ascii="Times New Roman" w:eastAsia="Times New Roman" w:hAnsi="Times New Roman" w:cs="Times New Roman"/>
          <w:color w:val="000000"/>
          <w:sz w:val="28"/>
          <w:szCs w:val="28"/>
          <w:lang w:eastAsia="ru-RU" w:bidi="ru-RU"/>
        </w:rPr>
        <w:t>»</w:t>
      </w:r>
      <w:r w:rsidRPr="00BD3AD5">
        <w:rPr>
          <w:rFonts w:ascii="Times New Roman" w:eastAsia="Times New Roman" w:hAnsi="Times New Roman" w:cs="Times New Roman"/>
          <w:color w:val="000000"/>
          <w:sz w:val="28"/>
          <w:szCs w:val="28"/>
          <w:lang w:eastAsia="ru-RU" w:bidi="ru-RU"/>
        </w:rPr>
        <w:t xml:space="preserve">, в </w:t>
      </w:r>
      <w:r w:rsidR="00666031">
        <w:rPr>
          <w:rFonts w:ascii="Times New Roman" w:eastAsia="Times New Roman" w:hAnsi="Times New Roman" w:cs="Times New Roman"/>
          <w:color w:val="000000"/>
          <w:sz w:val="28"/>
          <w:szCs w:val="28"/>
          <w:lang w:eastAsia="ru-RU" w:bidi="ru-RU"/>
        </w:rPr>
        <w:t xml:space="preserve">соответствии </w:t>
      </w:r>
      <w:r w:rsidRPr="00BD3AD5">
        <w:rPr>
          <w:rFonts w:ascii="Times New Roman" w:eastAsia="Times New Roman" w:hAnsi="Times New Roman" w:cs="Times New Roman"/>
          <w:color w:val="000000"/>
          <w:sz w:val="28"/>
          <w:szCs w:val="28"/>
          <w:lang w:eastAsia="ru-RU" w:bidi="ru-RU"/>
        </w:rPr>
        <w:t xml:space="preserve">с которым </w:t>
      </w:r>
      <w:r w:rsidR="00666031">
        <w:rPr>
          <w:rFonts w:ascii="Times New Roman" w:eastAsia="Times New Roman" w:hAnsi="Times New Roman" w:cs="Times New Roman"/>
          <w:color w:val="000000"/>
          <w:sz w:val="28"/>
          <w:szCs w:val="28"/>
          <w:lang w:eastAsia="ru-RU" w:bidi="ru-RU"/>
        </w:rPr>
        <w:t xml:space="preserve">ФГОС </w:t>
      </w:r>
      <w:r w:rsidRPr="00BD3AD5">
        <w:rPr>
          <w:rFonts w:ascii="Times New Roman" w:eastAsia="Times New Roman" w:hAnsi="Times New Roman" w:cs="Times New Roman"/>
          <w:color w:val="000000"/>
          <w:sz w:val="28"/>
          <w:szCs w:val="28"/>
          <w:lang w:eastAsia="ru-RU" w:bidi="ru-RU"/>
        </w:rPr>
        <w:t>среднего профессионального образования подл</w:t>
      </w:r>
      <w:r w:rsidR="00666031">
        <w:rPr>
          <w:rFonts w:ascii="Times New Roman" w:eastAsia="Times New Roman" w:hAnsi="Times New Roman" w:cs="Times New Roman"/>
          <w:color w:val="000000"/>
          <w:sz w:val="28"/>
          <w:szCs w:val="28"/>
          <w:lang w:eastAsia="ru-RU" w:bidi="ru-RU"/>
        </w:rPr>
        <w:t xml:space="preserve">ежат приведению в соответствие </w:t>
      </w:r>
      <w:r w:rsidRPr="00BD3AD5">
        <w:rPr>
          <w:rFonts w:ascii="Times New Roman" w:eastAsia="Times New Roman" w:hAnsi="Times New Roman" w:cs="Times New Roman"/>
          <w:color w:val="000000"/>
          <w:sz w:val="28"/>
          <w:szCs w:val="28"/>
          <w:lang w:eastAsia="ru-RU" w:bidi="ru-RU"/>
        </w:rPr>
        <w:t xml:space="preserve">с утвержденными профессиональными стандартами. Перечень соответствующих </w:t>
      </w:r>
      <w:proofErr w:type="spellStart"/>
      <w:r w:rsidRPr="00BD3AD5">
        <w:rPr>
          <w:rFonts w:ascii="Times New Roman" w:eastAsia="Times New Roman" w:hAnsi="Times New Roman" w:cs="Times New Roman"/>
          <w:color w:val="000000"/>
          <w:sz w:val="28"/>
          <w:szCs w:val="28"/>
          <w:lang w:eastAsia="ru-RU" w:bidi="ru-RU"/>
        </w:rPr>
        <w:t>профстандартов</w:t>
      </w:r>
      <w:proofErr w:type="spellEnd"/>
      <w:r w:rsidRPr="00BD3AD5">
        <w:rPr>
          <w:rFonts w:ascii="Times New Roman" w:eastAsia="Times New Roman" w:hAnsi="Times New Roman" w:cs="Times New Roman"/>
          <w:color w:val="000000"/>
          <w:sz w:val="28"/>
          <w:szCs w:val="28"/>
          <w:lang w:eastAsia="ru-RU" w:bidi="ru-RU"/>
        </w:rPr>
        <w:t xml:space="preserve"> представлен в приложении к каждому </w:t>
      </w:r>
      <w:r w:rsidR="00666031">
        <w:rPr>
          <w:rFonts w:ascii="Times New Roman" w:eastAsia="Times New Roman" w:hAnsi="Times New Roman" w:cs="Times New Roman"/>
          <w:color w:val="000000"/>
          <w:sz w:val="28"/>
          <w:szCs w:val="28"/>
          <w:lang w:eastAsia="ru-RU" w:bidi="ru-RU"/>
        </w:rPr>
        <w:t>ФГОС</w:t>
      </w:r>
      <w:r w:rsidRPr="00BD3AD5">
        <w:rPr>
          <w:rFonts w:ascii="Times New Roman" w:eastAsia="Times New Roman" w:hAnsi="Times New Roman" w:cs="Times New Roman"/>
          <w:color w:val="000000"/>
          <w:sz w:val="28"/>
          <w:szCs w:val="28"/>
          <w:lang w:eastAsia="ru-RU" w:bidi="ru-RU"/>
        </w:rPr>
        <w:t xml:space="preserve"> среднего профессионального образования. Также в стандартах, как и в </w:t>
      </w:r>
      <w:r w:rsidR="00666031">
        <w:rPr>
          <w:rFonts w:ascii="Times New Roman" w:eastAsia="Times New Roman" w:hAnsi="Times New Roman" w:cs="Times New Roman"/>
          <w:color w:val="000000"/>
          <w:sz w:val="28"/>
          <w:szCs w:val="28"/>
          <w:lang w:eastAsia="ru-RU" w:bidi="ru-RU"/>
        </w:rPr>
        <w:t xml:space="preserve">ФГОС </w:t>
      </w:r>
      <w:r w:rsidRPr="00BD3AD5">
        <w:rPr>
          <w:rFonts w:ascii="Times New Roman" w:eastAsia="Times New Roman" w:hAnsi="Times New Roman" w:cs="Times New Roman"/>
          <w:color w:val="000000"/>
          <w:sz w:val="28"/>
          <w:szCs w:val="28"/>
          <w:lang w:eastAsia="ru-RU" w:bidi="ru-RU"/>
        </w:rPr>
        <w:t>среднего</w:t>
      </w:r>
      <w:r w:rsidR="00666031">
        <w:rPr>
          <w:rFonts w:ascii="Times New Roman" w:eastAsia="Times New Roman" w:hAnsi="Times New Roman" w:cs="Times New Roman"/>
          <w:color w:val="000000"/>
          <w:sz w:val="28"/>
          <w:szCs w:val="28"/>
          <w:lang w:eastAsia="ru-RU" w:bidi="ru-RU"/>
        </w:rPr>
        <w:t xml:space="preserve"> профессионального образования </w:t>
      </w:r>
      <w:r w:rsidRPr="00BD3AD5">
        <w:rPr>
          <w:rFonts w:ascii="Times New Roman" w:eastAsia="Times New Roman" w:hAnsi="Times New Roman" w:cs="Times New Roman"/>
          <w:color w:val="000000"/>
          <w:sz w:val="28"/>
          <w:szCs w:val="28"/>
          <w:lang w:eastAsia="ru-RU" w:bidi="ru-RU"/>
        </w:rPr>
        <w:t xml:space="preserve">по ТОП-50, учтены требования международных </w:t>
      </w:r>
      <w:r w:rsidR="00666031">
        <w:rPr>
          <w:rFonts w:ascii="Times New Roman" w:eastAsia="Times New Roman" w:hAnsi="Times New Roman" w:cs="Times New Roman"/>
          <w:color w:val="000000"/>
          <w:sz w:val="28"/>
          <w:szCs w:val="28"/>
          <w:lang w:eastAsia="ru-RU" w:bidi="ru-RU"/>
        </w:rPr>
        <w:t xml:space="preserve">стандартов, указаны требования </w:t>
      </w:r>
      <w:r w:rsidRPr="00BD3AD5">
        <w:rPr>
          <w:rFonts w:ascii="Times New Roman" w:eastAsia="Times New Roman" w:hAnsi="Times New Roman" w:cs="Times New Roman"/>
          <w:color w:val="000000"/>
          <w:sz w:val="28"/>
          <w:szCs w:val="28"/>
          <w:lang w:eastAsia="ru-RU" w:bidi="ru-RU"/>
        </w:rPr>
        <w:t>к результатам освоения образовательной программы, педагогическим работникам, материально-технической базе. В рамках государственной итоговой аттестации вводится обязательный демонстрационный экзамен.</w:t>
      </w:r>
    </w:p>
    <w:p w14:paraId="0F670E87" w14:textId="77777777" w:rsidR="00BD3AD5" w:rsidRPr="00BD3AD5" w:rsidRDefault="00666031" w:rsidP="00BD3AD5">
      <w:pPr>
        <w:widowControl w:val="0"/>
        <w:suppressAutoHyphens/>
        <w:spacing w:after="0" w:line="312" w:lineRule="auto"/>
        <w:ind w:firstLine="709"/>
        <w:contextualSpacing/>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ФГОС</w:t>
      </w:r>
      <w:r w:rsidR="00BD3AD5" w:rsidRPr="00BD3AD5">
        <w:rPr>
          <w:rFonts w:ascii="Times New Roman" w:eastAsia="Times New Roman" w:hAnsi="Times New Roman" w:cs="Times New Roman"/>
          <w:color w:val="000000"/>
          <w:sz w:val="28"/>
          <w:szCs w:val="28"/>
          <w:lang w:eastAsia="ru-RU" w:bidi="ru-RU"/>
        </w:rPr>
        <w:t xml:space="preserve"> среднего профессионального образования дополнены общими компетенциями:</w:t>
      </w:r>
    </w:p>
    <w:p w14:paraId="7FA5117B" w14:textId="77777777" w:rsidR="00BD3AD5" w:rsidRPr="00BD3AD5" w:rsidRDefault="00BD3AD5" w:rsidP="00BD3AD5">
      <w:pPr>
        <w:widowControl w:val="0"/>
        <w:suppressAutoHyphens/>
        <w:spacing w:after="0" w:line="312" w:lineRule="auto"/>
        <w:ind w:firstLine="709"/>
        <w:contextualSpacing/>
        <w:jc w:val="both"/>
        <w:rPr>
          <w:rFonts w:ascii="Times New Roman" w:eastAsia="Times New Roman" w:hAnsi="Times New Roman" w:cs="Times New Roman"/>
          <w:color w:val="000000"/>
          <w:sz w:val="28"/>
          <w:szCs w:val="28"/>
          <w:lang w:eastAsia="ru-RU" w:bidi="ru-RU"/>
        </w:rPr>
      </w:pPr>
      <w:r w:rsidRPr="00BD3AD5">
        <w:rPr>
          <w:rFonts w:ascii="Times New Roman" w:eastAsia="Times New Roman" w:hAnsi="Times New Roman" w:cs="Times New Roman"/>
          <w:color w:val="000000"/>
          <w:sz w:val="28"/>
          <w:szCs w:val="28"/>
          <w:lang w:eastAsia="ru-RU" w:bidi="ru-RU"/>
        </w:rPr>
        <w:t>1.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14:paraId="7A9C891D" w14:textId="77777777" w:rsidR="00BD3AD5" w:rsidRPr="00BD3AD5" w:rsidRDefault="00BD3AD5" w:rsidP="00BD3AD5">
      <w:pPr>
        <w:widowControl w:val="0"/>
        <w:suppressAutoHyphens/>
        <w:spacing w:after="0" w:line="312" w:lineRule="auto"/>
        <w:ind w:firstLine="709"/>
        <w:contextualSpacing/>
        <w:jc w:val="both"/>
        <w:rPr>
          <w:rFonts w:ascii="Times New Roman" w:eastAsia="Times New Roman" w:hAnsi="Times New Roman" w:cs="Times New Roman"/>
          <w:color w:val="000000"/>
          <w:sz w:val="28"/>
          <w:szCs w:val="28"/>
          <w:lang w:eastAsia="ru-RU" w:bidi="ru-RU"/>
        </w:rPr>
      </w:pPr>
      <w:r w:rsidRPr="00BD3AD5">
        <w:rPr>
          <w:rFonts w:ascii="Times New Roman" w:eastAsia="Times New Roman" w:hAnsi="Times New Roman" w:cs="Times New Roman"/>
          <w:color w:val="000000"/>
          <w:sz w:val="28"/>
          <w:szCs w:val="28"/>
          <w:lang w:eastAsia="ru-RU" w:bidi="ru-RU"/>
        </w:rPr>
        <w:t>2. Использовать знания по финансовой грамотности, планировать предпринимательскую деятельность в профессиональной сфере.</w:t>
      </w:r>
    </w:p>
    <w:p w14:paraId="624515A5" w14:textId="77777777" w:rsidR="00BD3AD5" w:rsidRPr="00BD3AD5" w:rsidRDefault="00BD3AD5" w:rsidP="00BD3AD5">
      <w:pPr>
        <w:widowControl w:val="0"/>
        <w:suppressAutoHyphens/>
        <w:spacing w:after="0" w:line="312" w:lineRule="auto"/>
        <w:ind w:firstLine="709"/>
        <w:contextualSpacing/>
        <w:jc w:val="both"/>
        <w:rPr>
          <w:rFonts w:ascii="Times New Roman" w:eastAsia="Times New Roman" w:hAnsi="Times New Roman" w:cs="Times New Roman"/>
          <w:color w:val="000000"/>
          <w:sz w:val="28"/>
          <w:szCs w:val="28"/>
          <w:lang w:eastAsia="ru-RU" w:bidi="ru-RU"/>
        </w:rPr>
      </w:pPr>
      <w:r w:rsidRPr="00BD3AD5">
        <w:rPr>
          <w:rFonts w:ascii="Times New Roman" w:eastAsia="Times New Roman" w:hAnsi="Times New Roman" w:cs="Times New Roman"/>
          <w:color w:val="000000"/>
          <w:sz w:val="28"/>
          <w:szCs w:val="28"/>
          <w:lang w:eastAsia="ru-RU" w:bidi="ru-RU"/>
        </w:rPr>
        <w:t xml:space="preserve">С целью развития практико-ориентированной (дуальной) модели обучения </w:t>
      </w:r>
      <w:r w:rsidR="00513E69">
        <w:rPr>
          <w:rFonts w:ascii="Times New Roman" w:eastAsia="Times New Roman" w:hAnsi="Times New Roman" w:cs="Times New Roman"/>
          <w:color w:val="000000"/>
          <w:sz w:val="28"/>
          <w:szCs w:val="28"/>
          <w:lang w:eastAsia="ru-RU" w:bidi="ru-RU"/>
        </w:rPr>
        <w:t>ФГОС</w:t>
      </w:r>
      <w:r w:rsidRPr="00BD3AD5">
        <w:rPr>
          <w:rFonts w:ascii="Times New Roman" w:eastAsia="Times New Roman" w:hAnsi="Times New Roman" w:cs="Times New Roman"/>
          <w:color w:val="000000"/>
          <w:sz w:val="28"/>
          <w:szCs w:val="28"/>
          <w:lang w:eastAsia="ru-RU" w:bidi="ru-RU"/>
        </w:rPr>
        <w:t xml:space="preserve"> среднего профессионального образования устанавливается, что часть профессионального цикла образовательной программы, выделяемого на проведение практик, определяется образовательной организацией </w:t>
      </w:r>
      <w:r w:rsidR="00513E69">
        <w:rPr>
          <w:rFonts w:ascii="Times New Roman" w:eastAsia="Times New Roman" w:hAnsi="Times New Roman" w:cs="Times New Roman"/>
          <w:color w:val="000000"/>
          <w:sz w:val="28"/>
          <w:szCs w:val="28"/>
          <w:lang w:eastAsia="ru-RU" w:bidi="ru-RU"/>
        </w:rPr>
        <w:t xml:space="preserve">в объеме не менее 25% </w:t>
      </w:r>
      <w:r w:rsidRPr="00BD3AD5">
        <w:rPr>
          <w:rFonts w:ascii="Times New Roman" w:eastAsia="Times New Roman" w:hAnsi="Times New Roman" w:cs="Times New Roman"/>
          <w:color w:val="000000"/>
          <w:sz w:val="28"/>
          <w:szCs w:val="28"/>
          <w:lang w:eastAsia="ru-RU" w:bidi="ru-RU"/>
        </w:rPr>
        <w:t>от учебного цикла образовательной программы.</w:t>
      </w:r>
    </w:p>
    <w:p w14:paraId="0F5C3B61" w14:textId="77777777" w:rsidR="00BD3AD5" w:rsidRPr="00BD3AD5" w:rsidRDefault="00BD3AD5" w:rsidP="00BD3AD5">
      <w:pPr>
        <w:widowControl w:val="0"/>
        <w:suppressAutoHyphens/>
        <w:spacing w:after="0" w:line="312" w:lineRule="auto"/>
        <w:ind w:firstLine="709"/>
        <w:contextualSpacing/>
        <w:jc w:val="both"/>
        <w:rPr>
          <w:rFonts w:ascii="Times New Roman" w:eastAsia="Times New Roman" w:hAnsi="Times New Roman" w:cs="Times New Roman"/>
          <w:color w:val="000000"/>
          <w:sz w:val="28"/>
          <w:szCs w:val="28"/>
          <w:lang w:eastAsia="ru-RU" w:bidi="ru-RU"/>
        </w:rPr>
      </w:pPr>
      <w:r w:rsidRPr="00BD3AD5">
        <w:rPr>
          <w:rFonts w:ascii="Times New Roman" w:eastAsia="Times New Roman" w:hAnsi="Times New Roman" w:cs="Times New Roman"/>
          <w:color w:val="000000"/>
          <w:sz w:val="28"/>
          <w:szCs w:val="28"/>
          <w:lang w:eastAsia="ru-RU" w:bidi="ru-RU"/>
        </w:rPr>
        <w:t xml:space="preserve">Одновременно </w:t>
      </w:r>
      <w:r w:rsidR="00513E69">
        <w:rPr>
          <w:rFonts w:ascii="Times New Roman" w:eastAsia="Times New Roman" w:hAnsi="Times New Roman" w:cs="Times New Roman"/>
          <w:color w:val="000000"/>
          <w:sz w:val="28"/>
          <w:szCs w:val="28"/>
          <w:lang w:eastAsia="ru-RU" w:bidi="ru-RU"/>
        </w:rPr>
        <w:t>ФГОС</w:t>
      </w:r>
      <w:r w:rsidRPr="00BD3AD5">
        <w:rPr>
          <w:rFonts w:ascii="Times New Roman" w:eastAsia="Times New Roman" w:hAnsi="Times New Roman" w:cs="Times New Roman"/>
          <w:color w:val="000000"/>
          <w:sz w:val="28"/>
          <w:szCs w:val="28"/>
          <w:lang w:eastAsia="ru-RU" w:bidi="ru-RU"/>
        </w:rPr>
        <w:t xml:space="preserve"> среднего профессионального образо</w:t>
      </w:r>
      <w:r w:rsidR="00513E69">
        <w:rPr>
          <w:rFonts w:ascii="Times New Roman" w:eastAsia="Times New Roman" w:hAnsi="Times New Roman" w:cs="Times New Roman"/>
          <w:color w:val="000000"/>
          <w:sz w:val="28"/>
          <w:szCs w:val="28"/>
          <w:lang w:eastAsia="ru-RU" w:bidi="ru-RU"/>
        </w:rPr>
        <w:t xml:space="preserve">вания приведены в соответствие </w:t>
      </w:r>
      <w:r w:rsidRPr="00BD3AD5">
        <w:rPr>
          <w:rFonts w:ascii="Times New Roman" w:eastAsia="Times New Roman" w:hAnsi="Times New Roman" w:cs="Times New Roman"/>
          <w:color w:val="000000"/>
          <w:sz w:val="28"/>
          <w:szCs w:val="28"/>
          <w:lang w:eastAsia="ru-RU" w:bidi="ru-RU"/>
        </w:rPr>
        <w:t xml:space="preserve">с законодательством Российской Федерации об образовании в связи с принятием </w:t>
      </w:r>
      <w:r w:rsidR="00513E69">
        <w:rPr>
          <w:rFonts w:ascii="Times New Roman" w:eastAsia="Times New Roman" w:hAnsi="Times New Roman" w:cs="Times New Roman"/>
          <w:color w:val="000000"/>
          <w:sz w:val="28"/>
          <w:szCs w:val="28"/>
          <w:lang w:eastAsia="ru-RU" w:bidi="ru-RU"/>
        </w:rPr>
        <w:t>Ф</w:t>
      </w:r>
      <w:r w:rsidRPr="00BD3AD5">
        <w:rPr>
          <w:rFonts w:ascii="Times New Roman" w:eastAsia="Times New Roman" w:hAnsi="Times New Roman" w:cs="Times New Roman"/>
          <w:color w:val="000000"/>
          <w:sz w:val="28"/>
          <w:szCs w:val="28"/>
          <w:lang w:eastAsia="ru-RU" w:bidi="ru-RU"/>
        </w:rPr>
        <w:t xml:space="preserve">едеральных законов от 2 декабря 2019 г. </w:t>
      </w:r>
      <w:r w:rsidR="00513E69">
        <w:rPr>
          <w:rFonts w:ascii="Times New Roman" w:eastAsia="Times New Roman" w:hAnsi="Times New Roman" w:cs="Times New Roman"/>
          <w:color w:val="000000"/>
          <w:sz w:val="28"/>
          <w:szCs w:val="28"/>
          <w:lang w:eastAsia="ru-RU" w:bidi="ru-RU"/>
        </w:rPr>
        <w:t xml:space="preserve">№ 403-ФЗ «О внесении изменений </w:t>
      </w:r>
      <w:r w:rsidRPr="00BD3AD5">
        <w:rPr>
          <w:rFonts w:ascii="Times New Roman" w:eastAsia="Times New Roman" w:hAnsi="Times New Roman" w:cs="Times New Roman"/>
          <w:color w:val="000000"/>
          <w:sz w:val="28"/>
          <w:szCs w:val="28"/>
          <w:lang w:eastAsia="ru-RU" w:bidi="ru-RU"/>
        </w:rPr>
        <w:t>в Федеральный закон «Об образовании в Российской Федерации» и отдельные законодательные акты Российской Федерации»</w:t>
      </w:r>
      <w:r w:rsidR="00513E69">
        <w:rPr>
          <w:rFonts w:ascii="Times New Roman" w:eastAsia="Times New Roman" w:hAnsi="Times New Roman" w:cs="Times New Roman"/>
          <w:color w:val="000000"/>
          <w:sz w:val="28"/>
          <w:szCs w:val="28"/>
          <w:lang w:eastAsia="ru-RU" w:bidi="ru-RU"/>
        </w:rPr>
        <w:t xml:space="preserve"> и от 31 июля 2020 г. № 304-ФЗ </w:t>
      </w:r>
      <w:r w:rsidRPr="00BD3AD5">
        <w:rPr>
          <w:rFonts w:ascii="Times New Roman" w:eastAsia="Times New Roman" w:hAnsi="Times New Roman" w:cs="Times New Roman"/>
          <w:color w:val="000000"/>
          <w:sz w:val="28"/>
          <w:szCs w:val="28"/>
          <w:lang w:eastAsia="ru-RU" w:bidi="ru-RU"/>
        </w:rPr>
        <w:t>«О внесении изменений в Федеральный закон «Об образовании в Российской Федерации» по вопросам воспитания обучающихся».</w:t>
      </w:r>
    </w:p>
    <w:p w14:paraId="605EA2F2" w14:textId="77777777" w:rsidR="00BD3AD5" w:rsidRPr="00BD3AD5" w:rsidRDefault="00BD3AD5" w:rsidP="00BD3AD5">
      <w:pPr>
        <w:widowControl w:val="0"/>
        <w:suppressAutoHyphens/>
        <w:spacing w:after="0" w:line="312" w:lineRule="auto"/>
        <w:ind w:firstLine="709"/>
        <w:contextualSpacing/>
        <w:jc w:val="both"/>
        <w:rPr>
          <w:rFonts w:ascii="Times New Roman" w:eastAsia="Times New Roman" w:hAnsi="Times New Roman" w:cs="Times New Roman"/>
          <w:color w:val="000000"/>
          <w:sz w:val="28"/>
          <w:szCs w:val="28"/>
          <w:lang w:eastAsia="ru-RU" w:bidi="ru-RU"/>
        </w:rPr>
      </w:pPr>
      <w:r w:rsidRPr="00BD3AD5">
        <w:rPr>
          <w:rFonts w:ascii="Times New Roman" w:eastAsia="Times New Roman" w:hAnsi="Times New Roman" w:cs="Times New Roman"/>
          <w:color w:val="000000"/>
          <w:sz w:val="28"/>
          <w:szCs w:val="28"/>
          <w:lang w:eastAsia="ru-RU" w:bidi="ru-RU"/>
        </w:rPr>
        <w:t>В рамках федерального проекта «Молодые профессионалы» национального проекта «Образование» начато комплексное обновление содержания и структуры образовательных программ. Функционирует 10 лабораторий по укрупненным группам профессий и специальностей среднего профессионального образования.</w:t>
      </w:r>
    </w:p>
    <w:p w14:paraId="299E0C49" w14:textId="77777777" w:rsidR="00BD3AD5" w:rsidRPr="00BD3AD5" w:rsidRDefault="00BD3AD5" w:rsidP="00BD3AD5">
      <w:pPr>
        <w:widowControl w:val="0"/>
        <w:suppressAutoHyphens/>
        <w:spacing w:after="0" w:line="312" w:lineRule="auto"/>
        <w:ind w:firstLine="709"/>
        <w:contextualSpacing/>
        <w:jc w:val="both"/>
        <w:rPr>
          <w:rFonts w:ascii="Times New Roman" w:eastAsia="Times New Roman" w:hAnsi="Times New Roman" w:cs="Times New Roman"/>
          <w:color w:val="000000"/>
          <w:sz w:val="28"/>
          <w:szCs w:val="28"/>
          <w:lang w:eastAsia="ru-RU" w:bidi="ru-RU"/>
        </w:rPr>
      </w:pPr>
      <w:r w:rsidRPr="00BD3AD5">
        <w:rPr>
          <w:rFonts w:ascii="Times New Roman" w:eastAsia="Times New Roman" w:hAnsi="Times New Roman" w:cs="Times New Roman"/>
          <w:color w:val="000000"/>
          <w:sz w:val="28"/>
          <w:szCs w:val="28"/>
          <w:lang w:eastAsia="ru-RU" w:bidi="ru-RU"/>
        </w:rPr>
        <w:t>В 2021 г</w:t>
      </w:r>
      <w:r w:rsidR="00624618">
        <w:rPr>
          <w:rFonts w:ascii="Times New Roman" w:eastAsia="Times New Roman" w:hAnsi="Times New Roman" w:cs="Times New Roman"/>
          <w:color w:val="000000"/>
          <w:sz w:val="28"/>
          <w:szCs w:val="28"/>
          <w:lang w:eastAsia="ru-RU" w:bidi="ru-RU"/>
        </w:rPr>
        <w:t>.</w:t>
      </w:r>
      <w:r w:rsidRPr="00BD3AD5">
        <w:rPr>
          <w:rFonts w:ascii="Times New Roman" w:eastAsia="Times New Roman" w:hAnsi="Times New Roman" w:cs="Times New Roman"/>
          <w:color w:val="000000"/>
          <w:sz w:val="28"/>
          <w:szCs w:val="28"/>
          <w:lang w:eastAsia="ru-RU" w:bidi="ru-RU"/>
        </w:rPr>
        <w:t xml:space="preserve"> разработан новый макет </w:t>
      </w:r>
      <w:r w:rsidR="00513E69">
        <w:rPr>
          <w:rFonts w:ascii="Times New Roman" w:eastAsia="Times New Roman" w:hAnsi="Times New Roman" w:cs="Times New Roman"/>
          <w:color w:val="000000"/>
          <w:sz w:val="28"/>
          <w:szCs w:val="28"/>
          <w:lang w:eastAsia="ru-RU" w:bidi="ru-RU"/>
        </w:rPr>
        <w:t xml:space="preserve">ФГОС </w:t>
      </w:r>
      <w:r w:rsidRPr="00BD3AD5">
        <w:rPr>
          <w:rFonts w:ascii="Times New Roman" w:eastAsia="Times New Roman" w:hAnsi="Times New Roman" w:cs="Times New Roman"/>
          <w:color w:val="000000"/>
          <w:sz w:val="28"/>
          <w:szCs w:val="28"/>
          <w:lang w:eastAsia="ru-RU" w:bidi="ru-RU"/>
        </w:rPr>
        <w:t>среднего профессионального образования, предусматривающий введение широкой квалификации, сжатие сроков обучения, введение цифрового модуля, обязательное освоение основ бережливого производства, финансовой грамотности.</w:t>
      </w:r>
    </w:p>
    <w:p w14:paraId="2F4A155A" w14:textId="77777777" w:rsidR="00BD3AD5" w:rsidRPr="00BD3AD5" w:rsidRDefault="00BD3AD5" w:rsidP="00513E69">
      <w:pPr>
        <w:widowControl w:val="0"/>
        <w:suppressAutoHyphens/>
        <w:spacing w:after="0" w:line="312" w:lineRule="auto"/>
        <w:ind w:firstLine="709"/>
        <w:contextualSpacing/>
        <w:jc w:val="both"/>
        <w:rPr>
          <w:rFonts w:ascii="Times New Roman" w:eastAsia="Times New Roman" w:hAnsi="Times New Roman" w:cs="Times New Roman"/>
          <w:color w:val="000000"/>
          <w:sz w:val="28"/>
          <w:szCs w:val="28"/>
          <w:lang w:eastAsia="ru-RU" w:bidi="ru-RU"/>
        </w:rPr>
      </w:pPr>
      <w:r w:rsidRPr="00BD3AD5">
        <w:rPr>
          <w:rFonts w:ascii="Times New Roman" w:eastAsia="Times New Roman" w:hAnsi="Times New Roman" w:cs="Times New Roman"/>
          <w:color w:val="000000"/>
          <w:sz w:val="28"/>
          <w:szCs w:val="28"/>
          <w:lang w:eastAsia="ru-RU" w:bidi="ru-RU"/>
        </w:rPr>
        <w:t>С 2016 г</w:t>
      </w:r>
      <w:r w:rsidR="00624618">
        <w:rPr>
          <w:rFonts w:ascii="Times New Roman" w:eastAsia="Times New Roman" w:hAnsi="Times New Roman" w:cs="Times New Roman"/>
          <w:color w:val="000000"/>
          <w:sz w:val="28"/>
          <w:szCs w:val="28"/>
          <w:lang w:eastAsia="ru-RU" w:bidi="ru-RU"/>
        </w:rPr>
        <w:t>.</w:t>
      </w:r>
      <w:r w:rsidRPr="00BD3AD5">
        <w:rPr>
          <w:rFonts w:ascii="Times New Roman" w:eastAsia="Times New Roman" w:hAnsi="Times New Roman" w:cs="Times New Roman"/>
          <w:color w:val="000000"/>
          <w:sz w:val="28"/>
          <w:szCs w:val="28"/>
          <w:lang w:eastAsia="ru-RU" w:bidi="ru-RU"/>
        </w:rPr>
        <w:t xml:space="preserve"> в соответствии с Посланием Президента Российской Федерации Федеральному Собранию Российской Федерации от 4 декабря 2014 г. в систему среднего профессионального образования внедрена новая процедура оценки качества практической подготовки – демонстрационный экзамен по стандартам «</w:t>
      </w:r>
      <w:proofErr w:type="spellStart"/>
      <w:r w:rsidRPr="00BD3AD5">
        <w:rPr>
          <w:rFonts w:ascii="Times New Roman" w:eastAsia="Times New Roman" w:hAnsi="Times New Roman" w:cs="Times New Roman"/>
          <w:color w:val="000000"/>
          <w:sz w:val="28"/>
          <w:szCs w:val="28"/>
          <w:lang w:eastAsia="ru-RU" w:bidi="ru-RU"/>
        </w:rPr>
        <w:t>Ворлдскиллс</w:t>
      </w:r>
      <w:proofErr w:type="spellEnd"/>
      <w:r w:rsidRPr="00BD3AD5">
        <w:rPr>
          <w:rFonts w:ascii="Times New Roman" w:eastAsia="Times New Roman" w:hAnsi="Times New Roman" w:cs="Times New Roman"/>
          <w:color w:val="000000"/>
          <w:sz w:val="28"/>
          <w:szCs w:val="28"/>
          <w:lang w:eastAsia="ru-RU" w:bidi="ru-RU"/>
        </w:rPr>
        <w:t xml:space="preserve"> Россия» в рамках госуд</w:t>
      </w:r>
      <w:r w:rsidR="00513E69">
        <w:rPr>
          <w:rFonts w:ascii="Times New Roman" w:eastAsia="Times New Roman" w:hAnsi="Times New Roman" w:cs="Times New Roman"/>
          <w:color w:val="000000"/>
          <w:sz w:val="28"/>
          <w:szCs w:val="28"/>
          <w:lang w:eastAsia="ru-RU" w:bidi="ru-RU"/>
        </w:rPr>
        <w:t xml:space="preserve">арственной итоговой аттестации. </w:t>
      </w:r>
      <w:r w:rsidRPr="00BD3AD5">
        <w:rPr>
          <w:rFonts w:ascii="Times New Roman" w:eastAsia="Times New Roman" w:hAnsi="Times New Roman" w:cs="Times New Roman"/>
          <w:color w:val="000000"/>
          <w:sz w:val="28"/>
          <w:szCs w:val="28"/>
          <w:lang w:eastAsia="ru-RU" w:bidi="ru-RU"/>
        </w:rPr>
        <w:t>С 2017 г</w:t>
      </w:r>
      <w:r w:rsidR="00624618">
        <w:rPr>
          <w:rFonts w:ascii="Times New Roman" w:eastAsia="Times New Roman" w:hAnsi="Times New Roman" w:cs="Times New Roman"/>
          <w:color w:val="000000"/>
          <w:sz w:val="28"/>
          <w:szCs w:val="28"/>
          <w:lang w:eastAsia="ru-RU" w:bidi="ru-RU"/>
        </w:rPr>
        <w:t>.</w:t>
      </w:r>
      <w:r w:rsidRPr="00BD3AD5">
        <w:rPr>
          <w:rFonts w:ascii="Times New Roman" w:eastAsia="Times New Roman" w:hAnsi="Times New Roman" w:cs="Times New Roman"/>
          <w:color w:val="000000"/>
          <w:sz w:val="28"/>
          <w:szCs w:val="28"/>
          <w:lang w:eastAsia="ru-RU" w:bidi="ru-RU"/>
        </w:rPr>
        <w:t xml:space="preserve"> федеральным оператором по реализации указанного мероприятия являлся Союз «Агентство развития профессиональных сообществ и рабочих кадров «Молодые профессионалы (</w:t>
      </w:r>
      <w:proofErr w:type="spellStart"/>
      <w:r w:rsidRPr="00BD3AD5">
        <w:rPr>
          <w:rFonts w:ascii="Times New Roman" w:eastAsia="Times New Roman" w:hAnsi="Times New Roman" w:cs="Times New Roman"/>
          <w:color w:val="000000"/>
          <w:sz w:val="28"/>
          <w:szCs w:val="28"/>
          <w:lang w:eastAsia="ru-RU" w:bidi="ru-RU"/>
        </w:rPr>
        <w:t>Ворлдскиллс</w:t>
      </w:r>
      <w:proofErr w:type="spellEnd"/>
      <w:r w:rsidRPr="00BD3AD5">
        <w:rPr>
          <w:rFonts w:ascii="Times New Roman" w:eastAsia="Times New Roman" w:hAnsi="Times New Roman" w:cs="Times New Roman"/>
          <w:color w:val="000000"/>
          <w:sz w:val="28"/>
          <w:szCs w:val="28"/>
          <w:lang w:eastAsia="ru-RU" w:bidi="ru-RU"/>
        </w:rPr>
        <w:t xml:space="preserve"> Россия)», с 2021 г</w:t>
      </w:r>
      <w:r w:rsidR="00624618">
        <w:rPr>
          <w:rFonts w:ascii="Times New Roman" w:eastAsia="Times New Roman" w:hAnsi="Times New Roman" w:cs="Times New Roman"/>
          <w:color w:val="000000"/>
          <w:sz w:val="28"/>
          <w:szCs w:val="28"/>
          <w:lang w:eastAsia="ru-RU" w:bidi="ru-RU"/>
        </w:rPr>
        <w:t>.</w:t>
      </w:r>
      <w:r w:rsidRPr="00BD3AD5">
        <w:rPr>
          <w:rFonts w:ascii="Times New Roman" w:eastAsia="Times New Roman" w:hAnsi="Times New Roman" w:cs="Times New Roman"/>
          <w:color w:val="000000"/>
          <w:sz w:val="28"/>
          <w:szCs w:val="28"/>
          <w:lang w:eastAsia="ru-RU" w:bidi="ru-RU"/>
        </w:rPr>
        <w:t xml:space="preserve"> федеральный оператор – автономная некоммерческая организация «Агентство развития профессионального мастерства «</w:t>
      </w:r>
      <w:proofErr w:type="spellStart"/>
      <w:r w:rsidRPr="00BD3AD5">
        <w:rPr>
          <w:rFonts w:ascii="Times New Roman" w:eastAsia="Times New Roman" w:hAnsi="Times New Roman" w:cs="Times New Roman"/>
          <w:color w:val="000000"/>
          <w:sz w:val="28"/>
          <w:szCs w:val="28"/>
          <w:lang w:eastAsia="ru-RU" w:bidi="ru-RU"/>
        </w:rPr>
        <w:t>Ворлдскиллс</w:t>
      </w:r>
      <w:proofErr w:type="spellEnd"/>
      <w:r w:rsidRPr="00BD3AD5">
        <w:rPr>
          <w:rFonts w:ascii="Times New Roman" w:eastAsia="Times New Roman" w:hAnsi="Times New Roman" w:cs="Times New Roman"/>
          <w:color w:val="000000"/>
          <w:sz w:val="28"/>
          <w:szCs w:val="28"/>
          <w:lang w:eastAsia="ru-RU" w:bidi="ru-RU"/>
        </w:rPr>
        <w:t>».</w:t>
      </w:r>
    </w:p>
    <w:p w14:paraId="4821E673" w14:textId="77777777" w:rsidR="00BD3AD5" w:rsidRPr="00BD3AD5" w:rsidRDefault="00BD3AD5" w:rsidP="00C57F80">
      <w:pPr>
        <w:widowControl w:val="0"/>
        <w:suppressAutoHyphens/>
        <w:spacing w:after="0" w:line="312" w:lineRule="auto"/>
        <w:ind w:firstLine="709"/>
        <w:contextualSpacing/>
        <w:jc w:val="both"/>
        <w:rPr>
          <w:rFonts w:ascii="Times New Roman" w:eastAsia="Times New Roman" w:hAnsi="Times New Roman" w:cs="Times New Roman"/>
          <w:color w:val="000000"/>
          <w:sz w:val="28"/>
          <w:szCs w:val="28"/>
          <w:lang w:eastAsia="ru-RU" w:bidi="ru-RU"/>
        </w:rPr>
      </w:pPr>
      <w:r w:rsidRPr="00BD3AD5">
        <w:rPr>
          <w:rFonts w:ascii="Times New Roman" w:eastAsia="Times New Roman" w:hAnsi="Times New Roman" w:cs="Times New Roman"/>
          <w:color w:val="000000"/>
          <w:sz w:val="28"/>
          <w:szCs w:val="28"/>
          <w:lang w:eastAsia="ru-RU" w:bidi="ru-RU"/>
        </w:rPr>
        <w:t>Демонстрационный экзамен позволяет</w:t>
      </w:r>
      <w:r w:rsidR="00513E69">
        <w:rPr>
          <w:rFonts w:ascii="Times New Roman" w:eastAsia="Times New Roman" w:hAnsi="Times New Roman" w:cs="Times New Roman"/>
          <w:color w:val="000000"/>
          <w:sz w:val="28"/>
          <w:szCs w:val="28"/>
          <w:lang w:eastAsia="ru-RU" w:bidi="ru-RU"/>
        </w:rPr>
        <w:t xml:space="preserve"> оценить готовность выпускника </w:t>
      </w:r>
      <w:r w:rsidRPr="00BD3AD5">
        <w:rPr>
          <w:rFonts w:ascii="Times New Roman" w:eastAsia="Times New Roman" w:hAnsi="Times New Roman" w:cs="Times New Roman"/>
          <w:color w:val="000000"/>
          <w:sz w:val="28"/>
          <w:szCs w:val="28"/>
          <w:lang w:eastAsia="ru-RU" w:bidi="ru-RU"/>
        </w:rPr>
        <w:t>к профессиональной деятельности, поскольку предусматривает выполнение практических заданий в усло</w:t>
      </w:r>
      <w:r w:rsidR="00513E69">
        <w:rPr>
          <w:rFonts w:ascii="Times New Roman" w:eastAsia="Times New Roman" w:hAnsi="Times New Roman" w:cs="Times New Roman"/>
          <w:color w:val="000000"/>
          <w:sz w:val="28"/>
          <w:szCs w:val="28"/>
          <w:lang w:eastAsia="ru-RU" w:bidi="ru-RU"/>
        </w:rPr>
        <w:t xml:space="preserve">виях, максимально приближенных </w:t>
      </w:r>
      <w:r w:rsidR="00C57F80">
        <w:rPr>
          <w:rFonts w:ascii="Times New Roman" w:eastAsia="Times New Roman" w:hAnsi="Times New Roman" w:cs="Times New Roman"/>
          <w:color w:val="000000"/>
          <w:sz w:val="28"/>
          <w:szCs w:val="28"/>
          <w:lang w:eastAsia="ru-RU" w:bidi="ru-RU"/>
        </w:rPr>
        <w:t xml:space="preserve">к производственным. </w:t>
      </w:r>
      <w:r w:rsidRPr="00BD3AD5">
        <w:rPr>
          <w:rFonts w:ascii="Times New Roman" w:eastAsia="Times New Roman" w:hAnsi="Times New Roman" w:cs="Times New Roman"/>
          <w:color w:val="000000"/>
          <w:sz w:val="28"/>
          <w:szCs w:val="28"/>
          <w:lang w:eastAsia="ru-RU" w:bidi="ru-RU"/>
        </w:rPr>
        <w:t>Оценку на экзамене осуществляют эксперты от работодателей, что не только обеспечивает объективность и независимость оценки, а также позволяет работодателям отобрать будущих сотрудников, а студентам предоставляет возможность трудоустроиться практически на этапе выпуска из колледжа.</w:t>
      </w:r>
      <w:r w:rsidR="00C57F80">
        <w:rPr>
          <w:rFonts w:ascii="Times New Roman" w:eastAsia="Times New Roman" w:hAnsi="Times New Roman" w:cs="Times New Roman"/>
          <w:color w:val="000000"/>
          <w:sz w:val="28"/>
          <w:szCs w:val="28"/>
          <w:lang w:eastAsia="ru-RU" w:bidi="ru-RU"/>
        </w:rPr>
        <w:t xml:space="preserve"> </w:t>
      </w:r>
      <w:r w:rsidRPr="00BD3AD5">
        <w:rPr>
          <w:rFonts w:ascii="Times New Roman" w:eastAsia="Times New Roman" w:hAnsi="Times New Roman" w:cs="Times New Roman"/>
          <w:color w:val="000000"/>
          <w:sz w:val="28"/>
          <w:szCs w:val="28"/>
          <w:lang w:eastAsia="ru-RU" w:bidi="ru-RU"/>
        </w:rPr>
        <w:t>Кроме указанных преимущ</w:t>
      </w:r>
      <w:r w:rsidR="00C57F80">
        <w:rPr>
          <w:rFonts w:ascii="Times New Roman" w:eastAsia="Times New Roman" w:hAnsi="Times New Roman" w:cs="Times New Roman"/>
          <w:color w:val="000000"/>
          <w:sz w:val="28"/>
          <w:szCs w:val="28"/>
          <w:lang w:eastAsia="ru-RU" w:bidi="ru-RU"/>
        </w:rPr>
        <w:t xml:space="preserve">еств, демонстрационный экзамен </w:t>
      </w:r>
      <w:r w:rsidRPr="00BD3AD5">
        <w:rPr>
          <w:rFonts w:ascii="Times New Roman" w:eastAsia="Times New Roman" w:hAnsi="Times New Roman" w:cs="Times New Roman"/>
          <w:color w:val="000000"/>
          <w:sz w:val="28"/>
          <w:szCs w:val="28"/>
          <w:lang w:eastAsia="ru-RU" w:bidi="ru-RU"/>
        </w:rPr>
        <w:t>позволил комплексно оценить состояние качества системы среднего профессионального образования и опр</w:t>
      </w:r>
      <w:r w:rsidR="00C57F80">
        <w:rPr>
          <w:rFonts w:ascii="Times New Roman" w:eastAsia="Times New Roman" w:hAnsi="Times New Roman" w:cs="Times New Roman"/>
          <w:color w:val="000000"/>
          <w:sz w:val="28"/>
          <w:szCs w:val="28"/>
          <w:lang w:eastAsia="ru-RU" w:bidi="ru-RU"/>
        </w:rPr>
        <w:t xml:space="preserve">еделить точки роста, связанные </w:t>
      </w:r>
      <w:r w:rsidRPr="00BD3AD5">
        <w:rPr>
          <w:rFonts w:ascii="Times New Roman" w:eastAsia="Times New Roman" w:hAnsi="Times New Roman" w:cs="Times New Roman"/>
          <w:color w:val="000000"/>
          <w:sz w:val="28"/>
          <w:szCs w:val="28"/>
          <w:lang w:eastAsia="ru-RU" w:bidi="ru-RU"/>
        </w:rPr>
        <w:t>с совершенствованием материально-технического оснащения, повышением квалификации педагогических работников, а</w:t>
      </w:r>
      <w:r w:rsidR="00C57F80">
        <w:rPr>
          <w:rFonts w:ascii="Times New Roman" w:eastAsia="Times New Roman" w:hAnsi="Times New Roman" w:cs="Times New Roman"/>
          <w:color w:val="000000"/>
          <w:sz w:val="28"/>
          <w:szCs w:val="28"/>
          <w:lang w:eastAsia="ru-RU" w:bidi="ru-RU"/>
        </w:rPr>
        <w:t xml:space="preserve"> также актуализацией подходов </w:t>
      </w:r>
      <w:r w:rsidRPr="00BD3AD5">
        <w:rPr>
          <w:rFonts w:ascii="Times New Roman" w:eastAsia="Times New Roman" w:hAnsi="Times New Roman" w:cs="Times New Roman"/>
          <w:color w:val="000000"/>
          <w:sz w:val="28"/>
          <w:szCs w:val="28"/>
          <w:lang w:eastAsia="ru-RU" w:bidi="ru-RU"/>
        </w:rPr>
        <w:t>по формированию содержания образования.</w:t>
      </w:r>
    </w:p>
    <w:p w14:paraId="5792B1ED" w14:textId="77777777" w:rsidR="00BD3AD5" w:rsidRPr="00BD3AD5" w:rsidRDefault="00BD3AD5" w:rsidP="00BD3AD5">
      <w:pPr>
        <w:widowControl w:val="0"/>
        <w:suppressAutoHyphens/>
        <w:spacing w:after="0" w:line="312" w:lineRule="auto"/>
        <w:ind w:firstLine="709"/>
        <w:contextualSpacing/>
        <w:jc w:val="both"/>
        <w:rPr>
          <w:rFonts w:ascii="Times New Roman" w:eastAsia="Times New Roman" w:hAnsi="Times New Roman" w:cs="Times New Roman"/>
          <w:color w:val="000000"/>
          <w:sz w:val="28"/>
          <w:szCs w:val="28"/>
          <w:lang w:eastAsia="ru-RU" w:bidi="ru-RU"/>
        </w:rPr>
      </w:pPr>
      <w:r w:rsidRPr="00BD3AD5">
        <w:rPr>
          <w:rFonts w:ascii="Times New Roman" w:eastAsia="Times New Roman" w:hAnsi="Times New Roman" w:cs="Times New Roman"/>
          <w:color w:val="000000"/>
          <w:sz w:val="28"/>
          <w:szCs w:val="28"/>
          <w:lang w:eastAsia="ru-RU" w:bidi="ru-RU"/>
        </w:rPr>
        <w:t>Таким образом, данный механизм является на сегодняшний день инструментом управления качеством среднего профессионального образования.</w:t>
      </w:r>
    </w:p>
    <w:p w14:paraId="31C0BD5F" w14:textId="77777777" w:rsidR="00BD3AD5" w:rsidRPr="00BD3AD5" w:rsidRDefault="00BD3AD5" w:rsidP="00BD3AD5">
      <w:pPr>
        <w:widowControl w:val="0"/>
        <w:suppressAutoHyphens/>
        <w:spacing w:after="0" w:line="312" w:lineRule="auto"/>
        <w:ind w:firstLine="709"/>
        <w:contextualSpacing/>
        <w:jc w:val="both"/>
        <w:rPr>
          <w:rFonts w:ascii="Times New Roman" w:eastAsia="Times New Roman" w:hAnsi="Times New Roman" w:cs="Times New Roman"/>
          <w:color w:val="000000"/>
          <w:sz w:val="28"/>
          <w:szCs w:val="28"/>
          <w:lang w:eastAsia="ru-RU" w:bidi="ru-RU"/>
        </w:rPr>
      </w:pPr>
      <w:r w:rsidRPr="00BD3AD5">
        <w:rPr>
          <w:rFonts w:ascii="Times New Roman" w:eastAsia="Times New Roman" w:hAnsi="Times New Roman" w:cs="Times New Roman"/>
          <w:color w:val="000000"/>
          <w:sz w:val="28"/>
          <w:szCs w:val="28"/>
          <w:lang w:eastAsia="ru-RU" w:bidi="ru-RU"/>
        </w:rPr>
        <w:t xml:space="preserve">За </w:t>
      </w:r>
      <w:r w:rsidR="00C57F80">
        <w:rPr>
          <w:rFonts w:ascii="Times New Roman" w:eastAsia="Times New Roman" w:hAnsi="Times New Roman" w:cs="Times New Roman"/>
          <w:color w:val="000000"/>
          <w:sz w:val="28"/>
          <w:szCs w:val="28"/>
          <w:lang w:eastAsia="ru-RU" w:bidi="ru-RU"/>
        </w:rPr>
        <w:t>5</w:t>
      </w:r>
      <w:r w:rsidRPr="00BD3AD5">
        <w:rPr>
          <w:rFonts w:ascii="Times New Roman" w:eastAsia="Times New Roman" w:hAnsi="Times New Roman" w:cs="Times New Roman"/>
          <w:color w:val="000000"/>
          <w:sz w:val="28"/>
          <w:szCs w:val="28"/>
          <w:lang w:eastAsia="ru-RU" w:bidi="ru-RU"/>
        </w:rPr>
        <w:t xml:space="preserve"> лет процедуру демонстра</w:t>
      </w:r>
      <w:r w:rsidR="00C57F80">
        <w:rPr>
          <w:rFonts w:ascii="Times New Roman" w:eastAsia="Times New Roman" w:hAnsi="Times New Roman" w:cs="Times New Roman"/>
          <w:color w:val="000000"/>
          <w:sz w:val="28"/>
          <w:szCs w:val="28"/>
          <w:lang w:eastAsia="ru-RU" w:bidi="ru-RU"/>
        </w:rPr>
        <w:t xml:space="preserve">ционного экзамена прошли около </w:t>
      </w:r>
      <w:r w:rsidRPr="00BD3AD5">
        <w:rPr>
          <w:rFonts w:ascii="Times New Roman" w:eastAsia="Times New Roman" w:hAnsi="Times New Roman" w:cs="Times New Roman"/>
          <w:color w:val="000000"/>
          <w:sz w:val="28"/>
          <w:szCs w:val="28"/>
          <w:lang w:eastAsia="ru-RU" w:bidi="ru-RU"/>
        </w:rPr>
        <w:t>360 тыс. студентов и выпускников образоват</w:t>
      </w:r>
      <w:r w:rsidR="00C57F80">
        <w:rPr>
          <w:rFonts w:ascii="Times New Roman" w:eastAsia="Times New Roman" w:hAnsi="Times New Roman" w:cs="Times New Roman"/>
          <w:color w:val="000000"/>
          <w:sz w:val="28"/>
          <w:szCs w:val="28"/>
          <w:lang w:eastAsia="ru-RU" w:bidi="ru-RU"/>
        </w:rPr>
        <w:t xml:space="preserve">ельных организаций практически </w:t>
      </w:r>
      <w:r w:rsidRPr="00BD3AD5">
        <w:rPr>
          <w:rFonts w:ascii="Times New Roman" w:eastAsia="Times New Roman" w:hAnsi="Times New Roman" w:cs="Times New Roman"/>
          <w:color w:val="000000"/>
          <w:sz w:val="28"/>
          <w:szCs w:val="28"/>
          <w:lang w:eastAsia="ru-RU" w:bidi="ru-RU"/>
        </w:rPr>
        <w:t>по всем профессиям и специальностям, за исключением специальностей медицины и сферы культуры.</w:t>
      </w:r>
    </w:p>
    <w:p w14:paraId="4A2DAB0B" w14:textId="7EA69BA6" w:rsidR="00BD3AD5" w:rsidRPr="00BD3AD5" w:rsidRDefault="00BD3AD5" w:rsidP="00BD3AD5">
      <w:pPr>
        <w:widowControl w:val="0"/>
        <w:suppressAutoHyphens/>
        <w:spacing w:after="0" w:line="312" w:lineRule="auto"/>
        <w:ind w:firstLine="709"/>
        <w:contextualSpacing/>
        <w:jc w:val="both"/>
        <w:rPr>
          <w:rFonts w:ascii="Times New Roman" w:eastAsia="Times New Roman" w:hAnsi="Times New Roman" w:cs="Times New Roman"/>
          <w:color w:val="000000"/>
          <w:sz w:val="28"/>
          <w:szCs w:val="28"/>
          <w:lang w:eastAsia="ru-RU" w:bidi="ru-RU"/>
        </w:rPr>
      </w:pPr>
      <w:r w:rsidRPr="00BD3AD5">
        <w:rPr>
          <w:rFonts w:ascii="Times New Roman" w:eastAsia="Times New Roman" w:hAnsi="Times New Roman" w:cs="Times New Roman"/>
          <w:color w:val="000000"/>
          <w:sz w:val="28"/>
          <w:szCs w:val="28"/>
          <w:lang w:eastAsia="ru-RU" w:bidi="ru-RU"/>
        </w:rPr>
        <w:t>В 2021 г</w:t>
      </w:r>
      <w:r w:rsidR="00624618">
        <w:rPr>
          <w:rFonts w:ascii="Times New Roman" w:eastAsia="Times New Roman" w:hAnsi="Times New Roman" w:cs="Times New Roman"/>
          <w:color w:val="000000"/>
          <w:sz w:val="28"/>
          <w:szCs w:val="28"/>
          <w:lang w:eastAsia="ru-RU" w:bidi="ru-RU"/>
        </w:rPr>
        <w:t>.</w:t>
      </w:r>
      <w:r w:rsidRPr="00BD3AD5">
        <w:rPr>
          <w:rFonts w:ascii="Times New Roman" w:eastAsia="Times New Roman" w:hAnsi="Times New Roman" w:cs="Times New Roman"/>
          <w:color w:val="000000"/>
          <w:sz w:val="28"/>
          <w:szCs w:val="28"/>
          <w:lang w:eastAsia="ru-RU" w:bidi="ru-RU"/>
        </w:rPr>
        <w:t xml:space="preserve"> демонстрационный экзамен состоялся в 2 636 образовательных организациях (2020 г</w:t>
      </w:r>
      <w:r w:rsidR="00C57F80">
        <w:rPr>
          <w:rFonts w:ascii="Times New Roman" w:eastAsia="Times New Roman" w:hAnsi="Times New Roman" w:cs="Times New Roman"/>
          <w:color w:val="000000"/>
          <w:sz w:val="28"/>
          <w:szCs w:val="28"/>
          <w:lang w:eastAsia="ru-RU" w:bidi="ru-RU"/>
        </w:rPr>
        <w:t>.</w:t>
      </w:r>
      <w:r w:rsidRPr="00BD3AD5">
        <w:rPr>
          <w:rFonts w:ascii="Times New Roman" w:eastAsia="Times New Roman" w:hAnsi="Times New Roman" w:cs="Times New Roman"/>
          <w:color w:val="000000"/>
          <w:sz w:val="28"/>
          <w:szCs w:val="28"/>
          <w:lang w:eastAsia="ru-RU" w:bidi="ru-RU"/>
        </w:rPr>
        <w:t xml:space="preserve"> – в 1 496 образовательных организациях; 2019 г</w:t>
      </w:r>
      <w:r w:rsidR="00C57F80">
        <w:rPr>
          <w:rFonts w:ascii="Times New Roman" w:eastAsia="Times New Roman" w:hAnsi="Times New Roman" w:cs="Times New Roman"/>
          <w:color w:val="000000"/>
          <w:sz w:val="28"/>
          <w:szCs w:val="28"/>
          <w:lang w:eastAsia="ru-RU" w:bidi="ru-RU"/>
        </w:rPr>
        <w:t xml:space="preserve">. – </w:t>
      </w:r>
      <w:r w:rsidRPr="00BD3AD5">
        <w:rPr>
          <w:rFonts w:ascii="Times New Roman" w:eastAsia="Times New Roman" w:hAnsi="Times New Roman" w:cs="Times New Roman"/>
          <w:color w:val="000000"/>
          <w:sz w:val="28"/>
          <w:szCs w:val="28"/>
          <w:lang w:eastAsia="ru-RU" w:bidi="ru-RU"/>
        </w:rPr>
        <w:t>в 1 311 образовательных организациях), реализующих программы среднего профессионального образования, расположенных на территории 85 субъектов Российской Федерации</w:t>
      </w:r>
      <w:r w:rsidR="00C57F80">
        <w:rPr>
          <w:rFonts w:ascii="Times New Roman" w:eastAsia="Times New Roman" w:hAnsi="Times New Roman" w:cs="Times New Roman"/>
          <w:color w:val="000000"/>
          <w:sz w:val="28"/>
          <w:szCs w:val="28"/>
          <w:lang w:eastAsia="ru-RU" w:bidi="ru-RU"/>
        </w:rPr>
        <w:t>,</w:t>
      </w:r>
      <w:r w:rsidRPr="00BD3AD5">
        <w:rPr>
          <w:rFonts w:ascii="Times New Roman" w:eastAsia="Times New Roman" w:hAnsi="Times New Roman" w:cs="Times New Roman"/>
          <w:color w:val="000000"/>
          <w:sz w:val="28"/>
          <w:szCs w:val="28"/>
          <w:lang w:eastAsia="ru-RU" w:bidi="ru-RU"/>
        </w:rPr>
        <w:t xml:space="preserve"> для 200 248 обучающихся (2020 г</w:t>
      </w:r>
      <w:r w:rsidR="00C57F80">
        <w:rPr>
          <w:rFonts w:ascii="Times New Roman" w:eastAsia="Times New Roman" w:hAnsi="Times New Roman" w:cs="Times New Roman"/>
          <w:color w:val="000000"/>
          <w:sz w:val="28"/>
          <w:szCs w:val="28"/>
          <w:lang w:eastAsia="ru-RU" w:bidi="ru-RU"/>
        </w:rPr>
        <w:t>.</w:t>
      </w:r>
      <w:r w:rsidRPr="00BD3AD5">
        <w:rPr>
          <w:rFonts w:ascii="Times New Roman" w:eastAsia="Times New Roman" w:hAnsi="Times New Roman" w:cs="Times New Roman"/>
          <w:color w:val="000000"/>
          <w:sz w:val="28"/>
          <w:szCs w:val="28"/>
          <w:lang w:eastAsia="ru-RU" w:bidi="ru-RU"/>
        </w:rPr>
        <w:t xml:space="preserve"> – 66 365 обучающихся; 2019 г</w:t>
      </w:r>
      <w:r w:rsidR="00C57F80">
        <w:rPr>
          <w:rFonts w:ascii="Times New Roman" w:eastAsia="Times New Roman" w:hAnsi="Times New Roman" w:cs="Times New Roman"/>
          <w:color w:val="000000"/>
          <w:sz w:val="28"/>
          <w:szCs w:val="28"/>
          <w:lang w:eastAsia="ru-RU" w:bidi="ru-RU"/>
        </w:rPr>
        <w:t>.</w:t>
      </w:r>
      <w:r w:rsidRPr="00BD3AD5">
        <w:rPr>
          <w:rFonts w:ascii="Times New Roman" w:eastAsia="Times New Roman" w:hAnsi="Times New Roman" w:cs="Times New Roman"/>
          <w:color w:val="000000"/>
          <w:sz w:val="28"/>
          <w:szCs w:val="28"/>
          <w:lang w:eastAsia="ru-RU" w:bidi="ru-RU"/>
        </w:rPr>
        <w:t xml:space="preserve"> – 53 520 обучающихся). Демонстрационный экзамен состоялся по 172 компетенциям </w:t>
      </w:r>
      <w:proofErr w:type="spellStart"/>
      <w:r w:rsidRPr="00BD3AD5">
        <w:rPr>
          <w:rFonts w:ascii="Times New Roman" w:eastAsia="Times New Roman" w:hAnsi="Times New Roman" w:cs="Times New Roman"/>
          <w:color w:val="000000"/>
          <w:sz w:val="28"/>
          <w:szCs w:val="28"/>
          <w:lang w:eastAsia="ru-RU" w:bidi="ru-RU"/>
        </w:rPr>
        <w:t>Ворлдск</w:t>
      </w:r>
      <w:r w:rsidR="00C57F80">
        <w:rPr>
          <w:rFonts w:ascii="Times New Roman" w:eastAsia="Times New Roman" w:hAnsi="Times New Roman" w:cs="Times New Roman"/>
          <w:color w:val="000000"/>
          <w:sz w:val="28"/>
          <w:szCs w:val="28"/>
          <w:lang w:eastAsia="ru-RU" w:bidi="ru-RU"/>
        </w:rPr>
        <w:t>иллс</w:t>
      </w:r>
      <w:proofErr w:type="spellEnd"/>
      <w:r w:rsidR="00C57F80">
        <w:rPr>
          <w:rFonts w:ascii="Times New Roman" w:eastAsia="Times New Roman" w:hAnsi="Times New Roman" w:cs="Times New Roman"/>
          <w:color w:val="000000"/>
          <w:sz w:val="28"/>
          <w:szCs w:val="28"/>
          <w:lang w:eastAsia="ru-RU" w:bidi="ru-RU"/>
        </w:rPr>
        <w:t xml:space="preserve"> Россия, по 264 профессиям </w:t>
      </w:r>
      <w:r w:rsidRPr="00BD3AD5">
        <w:rPr>
          <w:rFonts w:ascii="Times New Roman" w:eastAsia="Times New Roman" w:hAnsi="Times New Roman" w:cs="Times New Roman"/>
          <w:color w:val="000000"/>
          <w:sz w:val="28"/>
          <w:szCs w:val="28"/>
          <w:lang w:eastAsia="ru-RU" w:bidi="ru-RU"/>
        </w:rPr>
        <w:t>и специальностям среднего профессионального образования (по 84</w:t>
      </w:r>
      <w:r w:rsidR="00C57F80">
        <w:rPr>
          <w:rFonts w:ascii="Times New Roman" w:eastAsia="Times New Roman" w:hAnsi="Times New Roman" w:cs="Times New Roman"/>
          <w:color w:val="000000"/>
          <w:sz w:val="28"/>
          <w:szCs w:val="28"/>
          <w:lang w:eastAsia="ru-RU" w:bidi="ru-RU"/>
        </w:rPr>
        <w:t xml:space="preserve"> профессиям </w:t>
      </w:r>
      <w:r w:rsidRPr="00BD3AD5">
        <w:rPr>
          <w:rFonts w:ascii="Times New Roman" w:eastAsia="Times New Roman" w:hAnsi="Times New Roman" w:cs="Times New Roman"/>
          <w:color w:val="000000"/>
          <w:sz w:val="28"/>
          <w:szCs w:val="28"/>
          <w:lang w:eastAsia="ru-RU" w:bidi="ru-RU"/>
        </w:rPr>
        <w:t>и по 180 специальностям), 37</w:t>
      </w:r>
      <w:r w:rsidR="00C57F80">
        <w:rPr>
          <w:rFonts w:ascii="Times New Roman" w:eastAsia="Times New Roman" w:hAnsi="Times New Roman" w:cs="Times New Roman"/>
          <w:color w:val="000000"/>
          <w:sz w:val="28"/>
          <w:szCs w:val="28"/>
          <w:lang w:eastAsia="ru-RU" w:bidi="ru-RU"/>
        </w:rPr>
        <w:t xml:space="preserve"> укрупненным группам профессий </w:t>
      </w:r>
      <w:r w:rsidRPr="00BD3AD5">
        <w:rPr>
          <w:rFonts w:ascii="Times New Roman" w:eastAsia="Times New Roman" w:hAnsi="Times New Roman" w:cs="Times New Roman"/>
          <w:color w:val="000000"/>
          <w:sz w:val="28"/>
          <w:szCs w:val="28"/>
          <w:lang w:eastAsia="ru-RU" w:bidi="ru-RU"/>
        </w:rPr>
        <w:t xml:space="preserve">и специальностей среднего профессионального образования. </w:t>
      </w:r>
      <w:r w:rsidR="00C57F80">
        <w:rPr>
          <w:rFonts w:ascii="Times New Roman" w:eastAsia="Times New Roman" w:hAnsi="Times New Roman" w:cs="Times New Roman"/>
          <w:color w:val="000000"/>
          <w:sz w:val="28"/>
          <w:szCs w:val="28"/>
          <w:lang w:eastAsia="ru-RU" w:bidi="ru-RU"/>
        </w:rPr>
        <w:t>П</w:t>
      </w:r>
      <w:r w:rsidR="00C57F80" w:rsidRPr="00BD3AD5">
        <w:rPr>
          <w:rFonts w:ascii="Times New Roman" w:eastAsia="Times New Roman" w:hAnsi="Times New Roman" w:cs="Times New Roman"/>
          <w:color w:val="000000"/>
          <w:sz w:val="28"/>
          <w:szCs w:val="28"/>
          <w:lang w:eastAsia="ru-RU" w:bidi="ru-RU"/>
        </w:rPr>
        <w:t>о итогам демонстрационного экзамена 3,5%</w:t>
      </w:r>
      <w:r w:rsidR="00C57F80">
        <w:rPr>
          <w:rFonts w:ascii="Times New Roman" w:eastAsia="Times New Roman" w:hAnsi="Times New Roman" w:cs="Times New Roman"/>
          <w:color w:val="000000"/>
          <w:sz w:val="28"/>
          <w:szCs w:val="28"/>
          <w:lang w:eastAsia="ru-RU" w:bidi="ru-RU"/>
        </w:rPr>
        <w:t xml:space="preserve"> продемонстрировали </w:t>
      </w:r>
      <w:r w:rsidRPr="00BD3AD5">
        <w:rPr>
          <w:rFonts w:ascii="Times New Roman" w:eastAsia="Times New Roman" w:hAnsi="Times New Roman" w:cs="Times New Roman"/>
          <w:color w:val="000000"/>
          <w:sz w:val="28"/>
          <w:szCs w:val="28"/>
          <w:lang w:eastAsia="ru-RU" w:bidi="ru-RU"/>
        </w:rPr>
        <w:t>уровень, соответствующий национальным или междунар</w:t>
      </w:r>
      <w:r w:rsidR="00C57F80">
        <w:rPr>
          <w:rFonts w:ascii="Times New Roman" w:eastAsia="Times New Roman" w:hAnsi="Times New Roman" w:cs="Times New Roman"/>
          <w:color w:val="000000"/>
          <w:sz w:val="28"/>
          <w:szCs w:val="28"/>
          <w:lang w:eastAsia="ru-RU" w:bidi="ru-RU"/>
        </w:rPr>
        <w:t>одным стандартам</w:t>
      </w:r>
      <w:r w:rsidRPr="00BD3AD5">
        <w:rPr>
          <w:rFonts w:ascii="Times New Roman" w:eastAsia="Times New Roman" w:hAnsi="Times New Roman" w:cs="Times New Roman"/>
          <w:color w:val="000000"/>
          <w:sz w:val="28"/>
          <w:szCs w:val="28"/>
          <w:lang w:eastAsia="ru-RU" w:bidi="ru-RU"/>
        </w:rPr>
        <w:t>.</w:t>
      </w:r>
    </w:p>
    <w:p w14:paraId="5507B46A" w14:textId="77777777" w:rsidR="00BD3AD5" w:rsidRPr="00BD3AD5" w:rsidRDefault="00BD3AD5" w:rsidP="00BD3AD5">
      <w:pPr>
        <w:widowControl w:val="0"/>
        <w:suppressAutoHyphens/>
        <w:spacing w:after="0" w:line="312" w:lineRule="auto"/>
        <w:ind w:firstLine="709"/>
        <w:contextualSpacing/>
        <w:jc w:val="both"/>
        <w:rPr>
          <w:rFonts w:ascii="Times New Roman" w:eastAsia="Times New Roman" w:hAnsi="Times New Roman" w:cs="Times New Roman"/>
          <w:color w:val="000000"/>
          <w:sz w:val="28"/>
          <w:szCs w:val="28"/>
          <w:lang w:eastAsia="ru-RU" w:bidi="ru-RU"/>
        </w:rPr>
      </w:pPr>
      <w:r w:rsidRPr="00BD3AD5">
        <w:rPr>
          <w:rFonts w:ascii="Times New Roman" w:eastAsia="Times New Roman" w:hAnsi="Times New Roman" w:cs="Times New Roman"/>
          <w:color w:val="000000"/>
          <w:sz w:val="28"/>
          <w:szCs w:val="28"/>
          <w:lang w:eastAsia="ru-RU" w:bidi="ru-RU"/>
        </w:rPr>
        <w:t>Количество обучающихся, прошедших процедуру демонстрационного экзамена в 2021 г</w:t>
      </w:r>
      <w:r w:rsidR="00624618">
        <w:rPr>
          <w:rFonts w:ascii="Times New Roman" w:eastAsia="Times New Roman" w:hAnsi="Times New Roman" w:cs="Times New Roman"/>
          <w:color w:val="000000"/>
          <w:sz w:val="28"/>
          <w:szCs w:val="28"/>
          <w:lang w:eastAsia="ru-RU" w:bidi="ru-RU"/>
        </w:rPr>
        <w:t>.</w:t>
      </w:r>
      <w:r w:rsidRPr="00BD3AD5">
        <w:rPr>
          <w:rFonts w:ascii="Times New Roman" w:eastAsia="Times New Roman" w:hAnsi="Times New Roman" w:cs="Times New Roman"/>
          <w:color w:val="000000"/>
          <w:sz w:val="28"/>
          <w:szCs w:val="28"/>
          <w:lang w:eastAsia="ru-RU" w:bidi="ru-RU"/>
        </w:rPr>
        <w:t>, увеличилось на 201% по сравнению с 2020 г</w:t>
      </w:r>
      <w:r w:rsidR="00624618">
        <w:rPr>
          <w:rFonts w:ascii="Times New Roman" w:eastAsia="Times New Roman" w:hAnsi="Times New Roman" w:cs="Times New Roman"/>
          <w:color w:val="000000"/>
          <w:sz w:val="28"/>
          <w:szCs w:val="28"/>
          <w:lang w:eastAsia="ru-RU" w:bidi="ru-RU"/>
        </w:rPr>
        <w:t>.</w:t>
      </w:r>
      <w:r w:rsidRPr="00BD3AD5">
        <w:rPr>
          <w:rFonts w:ascii="Times New Roman" w:eastAsia="Times New Roman" w:hAnsi="Times New Roman" w:cs="Times New Roman"/>
          <w:color w:val="000000"/>
          <w:sz w:val="28"/>
          <w:szCs w:val="28"/>
          <w:lang w:eastAsia="ru-RU" w:bidi="ru-RU"/>
        </w:rPr>
        <w:t xml:space="preserve"> и на 274% по сравнению с 2019 г. Прирост количества образовательных организаций, участвующих в процедуре демонстрационного экза</w:t>
      </w:r>
      <w:r w:rsidR="00C57F80">
        <w:rPr>
          <w:rFonts w:ascii="Times New Roman" w:eastAsia="Times New Roman" w:hAnsi="Times New Roman" w:cs="Times New Roman"/>
          <w:color w:val="000000"/>
          <w:sz w:val="28"/>
          <w:szCs w:val="28"/>
          <w:lang w:eastAsia="ru-RU" w:bidi="ru-RU"/>
        </w:rPr>
        <w:t>мена, в 2021 г</w:t>
      </w:r>
      <w:r w:rsidR="00624618">
        <w:rPr>
          <w:rFonts w:ascii="Times New Roman" w:eastAsia="Times New Roman" w:hAnsi="Times New Roman" w:cs="Times New Roman"/>
          <w:color w:val="000000"/>
          <w:sz w:val="28"/>
          <w:szCs w:val="28"/>
          <w:lang w:eastAsia="ru-RU" w:bidi="ru-RU"/>
        </w:rPr>
        <w:t>.</w:t>
      </w:r>
      <w:r w:rsidR="00C57F80">
        <w:rPr>
          <w:rFonts w:ascii="Times New Roman" w:eastAsia="Times New Roman" w:hAnsi="Times New Roman" w:cs="Times New Roman"/>
          <w:color w:val="000000"/>
          <w:sz w:val="28"/>
          <w:szCs w:val="28"/>
          <w:lang w:eastAsia="ru-RU" w:bidi="ru-RU"/>
        </w:rPr>
        <w:t xml:space="preserve"> составил 76% </w:t>
      </w:r>
      <w:r w:rsidRPr="00BD3AD5">
        <w:rPr>
          <w:rFonts w:ascii="Times New Roman" w:eastAsia="Times New Roman" w:hAnsi="Times New Roman" w:cs="Times New Roman"/>
          <w:color w:val="000000"/>
          <w:sz w:val="28"/>
          <w:szCs w:val="28"/>
          <w:lang w:eastAsia="ru-RU" w:bidi="ru-RU"/>
        </w:rPr>
        <w:t>по сравнению с 2020 г</w:t>
      </w:r>
      <w:r w:rsidR="00624618">
        <w:rPr>
          <w:rFonts w:ascii="Times New Roman" w:eastAsia="Times New Roman" w:hAnsi="Times New Roman" w:cs="Times New Roman"/>
          <w:color w:val="000000"/>
          <w:sz w:val="28"/>
          <w:szCs w:val="28"/>
          <w:lang w:eastAsia="ru-RU" w:bidi="ru-RU"/>
        </w:rPr>
        <w:t>.</w:t>
      </w:r>
      <w:r w:rsidRPr="00BD3AD5">
        <w:rPr>
          <w:rFonts w:ascii="Times New Roman" w:eastAsia="Times New Roman" w:hAnsi="Times New Roman" w:cs="Times New Roman"/>
          <w:color w:val="000000"/>
          <w:sz w:val="28"/>
          <w:szCs w:val="28"/>
          <w:lang w:eastAsia="ru-RU" w:bidi="ru-RU"/>
        </w:rPr>
        <w:t xml:space="preserve"> и 1</w:t>
      </w:r>
      <w:r w:rsidR="00C57F80">
        <w:rPr>
          <w:rFonts w:ascii="Times New Roman" w:eastAsia="Times New Roman" w:hAnsi="Times New Roman" w:cs="Times New Roman"/>
          <w:color w:val="000000"/>
          <w:sz w:val="28"/>
          <w:szCs w:val="28"/>
          <w:lang w:eastAsia="ru-RU" w:bidi="ru-RU"/>
        </w:rPr>
        <w:t xml:space="preserve">01% по сравнению с 2019 г. </w:t>
      </w:r>
      <w:r w:rsidRPr="00BD3AD5">
        <w:rPr>
          <w:rFonts w:ascii="Times New Roman" w:eastAsia="Times New Roman" w:hAnsi="Times New Roman" w:cs="Times New Roman"/>
          <w:color w:val="000000"/>
          <w:sz w:val="28"/>
          <w:szCs w:val="28"/>
          <w:lang w:eastAsia="ru-RU" w:bidi="ru-RU"/>
        </w:rPr>
        <w:t>В 202</w:t>
      </w:r>
      <w:r w:rsidR="00C57F80">
        <w:rPr>
          <w:rFonts w:ascii="Times New Roman" w:eastAsia="Times New Roman" w:hAnsi="Times New Roman" w:cs="Times New Roman"/>
          <w:color w:val="000000"/>
          <w:sz w:val="28"/>
          <w:szCs w:val="28"/>
          <w:lang w:eastAsia="ru-RU" w:bidi="ru-RU"/>
        </w:rPr>
        <w:t>1</w:t>
      </w:r>
      <w:r w:rsidRPr="00BD3AD5">
        <w:rPr>
          <w:rFonts w:ascii="Times New Roman" w:eastAsia="Times New Roman" w:hAnsi="Times New Roman" w:cs="Times New Roman"/>
          <w:color w:val="000000"/>
          <w:sz w:val="28"/>
          <w:szCs w:val="28"/>
          <w:lang w:eastAsia="ru-RU" w:bidi="ru-RU"/>
        </w:rPr>
        <w:t xml:space="preserve"> г</w:t>
      </w:r>
      <w:r w:rsidR="00624618">
        <w:rPr>
          <w:rFonts w:ascii="Times New Roman" w:eastAsia="Times New Roman" w:hAnsi="Times New Roman" w:cs="Times New Roman"/>
          <w:color w:val="000000"/>
          <w:sz w:val="28"/>
          <w:szCs w:val="28"/>
          <w:lang w:eastAsia="ru-RU" w:bidi="ru-RU"/>
        </w:rPr>
        <w:t>.</w:t>
      </w:r>
      <w:r w:rsidRPr="00BD3AD5">
        <w:rPr>
          <w:rFonts w:ascii="Times New Roman" w:eastAsia="Times New Roman" w:hAnsi="Times New Roman" w:cs="Times New Roman"/>
          <w:color w:val="000000"/>
          <w:sz w:val="28"/>
          <w:szCs w:val="28"/>
          <w:lang w:eastAsia="ru-RU" w:bidi="ru-RU"/>
        </w:rPr>
        <w:t xml:space="preserve"> процедурой демонстрац</w:t>
      </w:r>
      <w:r w:rsidR="00C57F80">
        <w:rPr>
          <w:rFonts w:ascii="Times New Roman" w:eastAsia="Times New Roman" w:hAnsi="Times New Roman" w:cs="Times New Roman"/>
          <w:color w:val="000000"/>
          <w:sz w:val="28"/>
          <w:szCs w:val="28"/>
          <w:lang w:eastAsia="ru-RU" w:bidi="ru-RU"/>
        </w:rPr>
        <w:t xml:space="preserve">ионного экзамена были охвачены </w:t>
      </w:r>
      <w:r w:rsidRPr="00BD3AD5">
        <w:rPr>
          <w:rFonts w:ascii="Times New Roman" w:eastAsia="Times New Roman" w:hAnsi="Times New Roman" w:cs="Times New Roman"/>
          <w:color w:val="000000"/>
          <w:sz w:val="28"/>
          <w:szCs w:val="28"/>
          <w:lang w:eastAsia="ru-RU" w:bidi="ru-RU"/>
        </w:rPr>
        <w:t>все 85 субъектов Российской Федерации (20</w:t>
      </w:r>
      <w:r w:rsidR="00064EE1">
        <w:rPr>
          <w:rFonts w:ascii="Times New Roman" w:eastAsia="Times New Roman" w:hAnsi="Times New Roman" w:cs="Times New Roman"/>
          <w:color w:val="000000"/>
          <w:sz w:val="28"/>
          <w:szCs w:val="28"/>
          <w:lang w:eastAsia="ru-RU" w:bidi="ru-RU"/>
        </w:rPr>
        <w:t>20</w:t>
      </w:r>
      <w:r w:rsidRPr="00BD3AD5">
        <w:rPr>
          <w:rFonts w:ascii="Times New Roman" w:eastAsia="Times New Roman" w:hAnsi="Times New Roman" w:cs="Times New Roman"/>
          <w:color w:val="000000"/>
          <w:sz w:val="28"/>
          <w:szCs w:val="28"/>
          <w:lang w:eastAsia="ru-RU" w:bidi="ru-RU"/>
        </w:rPr>
        <w:t xml:space="preserve"> г</w:t>
      </w:r>
      <w:r w:rsidR="00C57F80">
        <w:rPr>
          <w:rFonts w:ascii="Times New Roman" w:eastAsia="Times New Roman" w:hAnsi="Times New Roman" w:cs="Times New Roman"/>
          <w:color w:val="000000"/>
          <w:sz w:val="28"/>
          <w:szCs w:val="28"/>
          <w:lang w:eastAsia="ru-RU" w:bidi="ru-RU"/>
        </w:rPr>
        <w:t>.</w:t>
      </w:r>
      <w:r w:rsidRPr="00BD3AD5">
        <w:rPr>
          <w:rFonts w:ascii="Times New Roman" w:eastAsia="Times New Roman" w:hAnsi="Times New Roman" w:cs="Times New Roman"/>
          <w:color w:val="000000"/>
          <w:sz w:val="28"/>
          <w:szCs w:val="28"/>
          <w:lang w:eastAsia="ru-RU" w:bidi="ru-RU"/>
        </w:rPr>
        <w:t xml:space="preserve"> – 82 суб</w:t>
      </w:r>
      <w:r w:rsidR="00C57F80">
        <w:rPr>
          <w:rFonts w:ascii="Times New Roman" w:eastAsia="Times New Roman" w:hAnsi="Times New Roman" w:cs="Times New Roman"/>
          <w:color w:val="000000"/>
          <w:sz w:val="28"/>
          <w:szCs w:val="28"/>
          <w:lang w:eastAsia="ru-RU" w:bidi="ru-RU"/>
        </w:rPr>
        <w:t xml:space="preserve">ъекта </w:t>
      </w:r>
      <w:r w:rsidRPr="00BD3AD5">
        <w:rPr>
          <w:rFonts w:ascii="Times New Roman" w:eastAsia="Times New Roman" w:hAnsi="Times New Roman" w:cs="Times New Roman"/>
          <w:color w:val="000000"/>
          <w:sz w:val="28"/>
          <w:szCs w:val="28"/>
          <w:lang w:eastAsia="ru-RU" w:bidi="ru-RU"/>
        </w:rPr>
        <w:t>Российской Федерации).</w:t>
      </w:r>
    </w:p>
    <w:p w14:paraId="23A1242C" w14:textId="77777777" w:rsidR="00BD3AD5" w:rsidRPr="00BD3AD5" w:rsidRDefault="00BD3AD5" w:rsidP="00BD3AD5">
      <w:pPr>
        <w:widowControl w:val="0"/>
        <w:suppressAutoHyphens/>
        <w:spacing w:after="0" w:line="312" w:lineRule="auto"/>
        <w:ind w:firstLine="709"/>
        <w:contextualSpacing/>
        <w:jc w:val="both"/>
        <w:rPr>
          <w:rFonts w:ascii="Times New Roman" w:eastAsia="Times New Roman" w:hAnsi="Times New Roman" w:cs="Times New Roman"/>
          <w:color w:val="000000"/>
          <w:sz w:val="28"/>
          <w:szCs w:val="28"/>
          <w:lang w:eastAsia="ru-RU" w:bidi="ru-RU"/>
        </w:rPr>
      </w:pPr>
      <w:r w:rsidRPr="00BD3AD5">
        <w:rPr>
          <w:rFonts w:ascii="Times New Roman" w:eastAsia="Times New Roman" w:hAnsi="Times New Roman" w:cs="Times New Roman"/>
          <w:color w:val="000000"/>
          <w:sz w:val="28"/>
          <w:szCs w:val="28"/>
          <w:lang w:eastAsia="ru-RU" w:bidi="ru-RU"/>
        </w:rPr>
        <w:t>Демонстрационный экзаме</w:t>
      </w:r>
      <w:r w:rsidR="00C57F80">
        <w:rPr>
          <w:rFonts w:ascii="Times New Roman" w:eastAsia="Times New Roman" w:hAnsi="Times New Roman" w:cs="Times New Roman"/>
          <w:color w:val="000000"/>
          <w:sz w:val="28"/>
          <w:szCs w:val="28"/>
          <w:lang w:eastAsia="ru-RU" w:bidi="ru-RU"/>
        </w:rPr>
        <w:t xml:space="preserve">н проходит с активным участием </w:t>
      </w:r>
      <w:r w:rsidRPr="00BD3AD5">
        <w:rPr>
          <w:rFonts w:ascii="Times New Roman" w:eastAsia="Times New Roman" w:hAnsi="Times New Roman" w:cs="Times New Roman"/>
          <w:color w:val="000000"/>
          <w:sz w:val="28"/>
          <w:szCs w:val="28"/>
          <w:lang w:eastAsia="ru-RU" w:bidi="ru-RU"/>
        </w:rPr>
        <w:t>работодателей. Крупные государственные корпорации, такие как государственная корпорация «</w:t>
      </w:r>
      <w:proofErr w:type="spellStart"/>
      <w:r w:rsidRPr="00BD3AD5">
        <w:rPr>
          <w:rFonts w:ascii="Times New Roman" w:eastAsia="Times New Roman" w:hAnsi="Times New Roman" w:cs="Times New Roman"/>
          <w:color w:val="000000"/>
          <w:sz w:val="28"/>
          <w:szCs w:val="28"/>
          <w:lang w:eastAsia="ru-RU" w:bidi="ru-RU"/>
        </w:rPr>
        <w:t>Росатом</w:t>
      </w:r>
      <w:proofErr w:type="spellEnd"/>
      <w:r w:rsidRPr="00BD3AD5">
        <w:rPr>
          <w:rFonts w:ascii="Times New Roman" w:eastAsia="Times New Roman" w:hAnsi="Times New Roman" w:cs="Times New Roman"/>
          <w:color w:val="000000"/>
          <w:sz w:val="28"/>
          <w:szCs w:val="28"/>
          <w:lang w:eastAsia="ru-RU" w:bidi="ru-RU"/>
        </w:rPr>
        <w:t>», публичное акционерное общество «Объединенная авиастроительная корпорация» ежегодно осуществляют подбор персонала по итогам демонстрационного экзамена из числа выпускников профильных специальностей.</w:t>
      </w:r>
    </w:p>
    <w:p w14:paraId="77F56168" w14:textId="77777777" w:rsidR="00BD3AD5" w:rsidRPr="00BD3AD5" w:rsidRDefault="00BD3AD5" w:rsidP="009E31B7">
      <w:pPr>
        <w:widowControl w:val="0"/>
        <w:suppressAutoHyphens/>
        <w:spacing w:after="0" w:line="312" w:lineRule="auto"/>
        <w:ind w:firstLine="709"/>
        <w:contextualSpacing/>
        <w:jc w:val="both"/>
        <w:rPr>
          <w:rFonts w:ascii="Times New Roman" w:eastAsia="Times New Roman" w:hAnsi="Times New Roman" w:cs="Times New Roman"/>
          <w:color w:val="000000"/>
          <w:sz w:val="28"/>
          <w:szCs w:val="28"/>
          <w:lang w:eastAsia="ru-RU" w:bidi="ru-RU"/>
        </w:rPr>
      </w:pPr>
      <w:r w:rsidRPr="00BD3AD5">
        <w:rPr>
          <w:rFonts w:ascii="Times New Roman" w:eastAsia="Times New Roman" w:hAnsi="Times New Roman" w:cs="Times New Roman"/>
          <w:color w:val="000000"/>
          <w:sz w:val="28"/>
          <w:szCs w:val="28"/>
          <w:lang w:eastAsia="ru-RU" w:bidi="ru-RU"/>
        </w:rPr>
        <w:t>Начиная с 2019 г</w:t>
      </w:r>
      <w:r w:rsidR="00F707C9">
        <w:rPr>
          <w:rFonts w:ascii="Times New Roman" w:eastAsia="Times New Roman" w:hAnsi="Times New Roman" w:cs="Times New Roman"/>
          <w:color w:val="000000"/>
          <w:sz w:val="28"/>
          <w:szCs w:val="28"/>
          <w:lang w:eastAsia="ru-RU" w:bidi="ru-RU"/>
        </w:rPr>
        <w:t>.</w:t>
      </w:r>
      <w:r w:rsidRPr="00BD3AD5">
        <w:rPr>
          <w:rFonts w:ascii="Times New Roman" w:eastAsia="Times New Roman" w:hAnsi="Times New Roman" w:cs="Times New Roman"/>
          <w:color w:val="000000"/>
          <w:sz w:val="28"/>
          <w:szCs w:val="28"/>
          <w:lang w:eastAsia="ru-RU" w:bidi="ru-RU"/>
        </w:rPr>
        <w:t xml:space="preserve"> в рамках федерального проекта «Успех каждого ребенка» национального проекта «Образование» осуществляется реали</w:t>
      </w:r>
      <w:r w:rsidR="00C57F80">
        <w:rPr>
          <w:rFonts w:ascii="Times New Roman" w:eastAsia="Times New Roman" w:hAnsi="Times New Roman" w:cs="Times New Roman"/>
          <w:color w:val="000000"/>
          <w:sz w:val="28"/>
          <w:szCs w:val="28"/>
          <w:lang w:eastAsia="ru-RU" w:bidi="ru-RU"/>
        </w:rPr>
        <w:t xml:space="preserve">зация проекта </w:t>
      </w:r>
      <w:r w:rsidRPr="00BD3AD5">
        <w:rPr>
          <w:rFonts w:ascii="Times New Roman" w:eastAsia="Times New Roman" w:hAnsi="Times New Roman" w:cs="Times New Roman"/>
          <w:color w:val="000000"/>
          <w:sz w:val="28"/>
          <w:szCs w:val="28"/>
          <w:lang w:eastAsia="ru-RU" w:bidi="ru-RU"/>
        </w:rPr>
        <w:t>«Билет в будущее». В целях повышения эффективности реализации проекта «Билет в будущее» в 2020 г</w:t>
      </w:r>
      <w:r w:rsidR="00F707C9">
        <w:rPr>
          <w:rFonts w:ascii="Times New Roman" w:eastAsia="Times New Roman" w:hAnsi="Times New Roman" w:cs="Times New Roman"/>
          <w:color w:val="000000"/>
          <w:sz w:val="28"/>
          <w:szCs w:val="28"/>
          <w:lang w:eastAsia="ru-RU" w:bidi="ru-RU"/>
        </w:rPr>
        <w:t>.</w:t>
      </w:r>
      <w:r w:rsidRPr="00BD3AD5">
        <w:rPr>
          <w:rFonts w:ascii="Times New Roman" w:eastAsia="Times New Roman" w:hAnsi="Times New Roman" w:cs="Times New Roman"/>
          <w:color w:val="000000"/>
          <w:sz w:val="28"/>
          <w:szCs w:val="28"/>
          <w:lang w:eastAsia="ru-RU" w:bidi="ru-RU"/>
        </w:rPr>
        <w:t xml:space="preserve"> создана третья версия платформы (версия 3.0</w:t>
      </w:r>
      <w:r w:rsidR="009E31B7">
        <w:rPr>
          <w:rFonts w:ascii="Times New Roman" w:eastAsia="Times New Roman" w:hAnsi="Times New Roman" w:cs="Times New Roman"/>
          <w:color w:val="000000"/>
          <w:sz w:val="28"/>
          <w:szCs w:val="28"/>
          <w:lang w:eastAsia="ru-RU" w:bidi="ru-RU"/>
        </w:rPr>
        <w:t xml:space="preserve">) </w:t>
      </w:r>
      <w:hyperlink r:id="rId15" w:history="1">
        <w:r w:rsidR="009E31B7" w:rsidRPr="00B049F5">
          <w:rPr>
            <w:rStyle w:val="af1"/>
            <w:rFonts w:ascii="Times New Roman" w:eastAsia="Times New Roman" w:hAnsi="Times New Roman" w:cs="Times New Roman"/>
            <w:sz w:val="28"/>
            <w:szCs w:val="28"/>
            <w:lang w:eastAsia="ru-RU" w:bidi="ru-RU"/>
          </w:rPr>
          <w:t>https://bilet.worldskills.ru</w:t>
        </w:r>
      </w:hyperlink>
      <w:r w:rsidR="009E31B7">
        <w:rPr>
          <w:rFonts w:ascii="Times New Roman" w:eastAsia="Times New Roman" w:hAnsi="Times New Roman" w:cs="Times New Roman"/>
          <w:color w:val="000000"/>
          <w:sz w:val="28"/>
          <w:szCs w:val="28"/>
          <w:lang w:eastAsia="ru-RU" w:bidi="ru-RU"/>
        </w:rPr>
        <w:t xml:space="preserve">. </w:t>
      </w:r>
      <w:r w:rsidRPr="00BD3AD5">
        <w:rPr>
          <w:rFonts w:ascii="Times New Roman" w:eastAsia="Times New Roman" w:hAnsi="Times New Roman" w:cs="Times New Roman"/>
          <w:color w:val="000000"/>
          <w:sz w:val="28"/>
          <w:szCs w:val="28"/>
          <w:lang w:eastAsia="ru-RU" w:bidi="ru-RU"/>
        </w:rPr>
        <w:t>Проект «Билет в будущее» учитывает, как особенности региональной экономики, так и ключевые направления развития профессий, появления перспективных, в том числе цифровых профессий и компетенций. Таким образом, проект опирается как на существующие потребности экономики субъектов Российской Федерации, так и отдельных отраслей экономики всей страны.</w:t>
      </w:r>
    </w:p>
    <w:p w14:paraId="1BA6C02E" w14:textId="77777777" w:rsidR="00BD3AD5" w:rsidRPr="00BD3AD5" w:rsidRDefault="00BD3AD5" w:rsidP="00BD3AD5">
      <w:pPr>
        <w:widowControl w:val="0"/>
        <w:suppressAutoHyphens/>
        <w:spacing w:after="0" w:line="312" w:lineRule="auto"/>
        <w:ind w:firstLine="709"/>
        <w:contextualSpacing/>
        <w:jc w:val="both"/>
        <w:rPr>
          <w:rFonts w:ascii="Times New Roman" w:eastAsia="Times New Roman" w:hAnsi="Times New Roman" w:cs="Times New Roman"/>
          <w:color w:val="000000"/>
          <w:sz w:val="28"/>
          <w:szCs w:val="28"/>
          <w:lang w:eastAsia="ru-RU" w:bidi="ru-RU"/>
        </w:rPr>
      </w:pPr>
      <w:r w:rsidRPr="00BD3AD5">
        <w:rPr>
          <w:rFonts w:ascii="Times New Roman" w:eastAsia="Times New Roman" w:hAnsi="Times New Roman" w:cs="Times New Roman"/>
          <w:color w:val="000000"/>
          <w:sz w:val="28"/>
          <w:szCs w:val="28"/>
          <w:lang w:eastAsia="ru-RU" w:bidi="ru-RU"/>
        </w:rPr>
        <w:t xml:space="preserve">В 2021 </w:t>
      </w:r>
      <w:r w:rsidR="00C252AE">
        <w:rPr>
          <w:rFonts w:ascii="Times New Roman" w:eastAsia="Times New Roman" w:hAnsi="Times New Roman" w:cs="Times New Roman"/>
          <w:color w:val="000000"/>
          <w:sz w:val="28"/>
          <w:szCs w:val="28"/>
          <w:lang w:eastAsia="ru-RU" w:bidi="ru-RU"/>
        </w:rPr>
        <w:t>г</w:t>
      </w:r>
      <w:r w:rsidR="00F707C9">
        <w:rPr>
          <w:rFonts w:ascii="Times New Roman" w:eastAsia="Times New Roman" w:hAnsi="Times New Roman" w:cs="Times New Roman"/>
          <w:color w:val="000000"/>
          <w:sz w:val="28"/>
          <w:szCs w:val="28"/>
          <w:lang w:eastAsia="ru-RU" w:bidi="ru-RU"/>
        </w:rPr>
        <w:t>.</w:t>
      </w:r>
      <w:r w:rsidRPr="00BD3AD5">
        <w:rPr>
          <w:rFonts w:ascii="Times New Roman" w:eastAsia="Times New Roman" w:hAnsi="Times New Roman" w:cs="Times New Roman"/>
          <w:color w:val="000000"/>
          <w:sz w:val="28"/>
          <w:szCs w:val="28"/>
          <w:lang w:eastAsia="ru-RU" w:bidi="ru-RU"/>
        </w:rPr>
        <w:t xml:space="preserve"> проект «Билет в будущее» впервые реализовывался во всех </w:t>
      </w:r>
      <w:r w:rsidR="00F707C9">
        <w:rPr>
          <w:rFonts w:ascii="Times New Roman" w:eastAsia="Times New Roman" w:hAnsi="Times New Roman" w:cs="Times New Roman"/>
          <w:color w:val="000000"/>
          <w:sz w:val="28"/>
          <w:szCs w:val="28"/>
          <w:lang w:eastAsia="ru-RU" w:bidi="ru-RU"/>
        </w:rPr>
        <w:br/>
      </w:r>
      <w:r w:rsidRPr="00BD3AD5">
        <w:rPr>
          <w:rFonts w:ascii="Times New Roman" w:eastAsia="Times New Roman" w:hAnsi="Times New Roman" w:cs="Times New Roman"/>
          <w:color w:val="000000"/>
          <w:sz w:val="28"/>
          <w:szCs w:val="28"/>
          <w:lang w:eastAsia="ru-RU" w:bidi="ru-RU"/>
        </w:rPr>
        <w:t>85 субъектах Российской Федерации (</w:t>
      </w:r>
      <w:r w:rsidR="00C57F80">
        <w:rPr>
          <w:rFonts w:ascii="Times New Roman" w:eastAsia="Times New Roman" w:hAnsi="Times New Roman" w:cs="Times New Roman"/>
          <w:color w:val="000000"/>
          <w:sz w:val="28"/>
          <w:szCs w:val="28"/>
          <w:lang w:eastAsia="ru-RU" w:bidi="ru-RU"/>
        </w:rPr>
        <w:t>2020 г.</w:t>
      </w:r>
      <w:r w:rsidRPr="00BD3AD5">
        <w:rPr>
          <w:rFonts w:ascii="Times New Roman" w:eastAsia="Times New Roman" w:hAnsi="Times New Roman" w:cs="Times New Roman"/>
          <w:color w:val="000000"/>
          <w:sz w:val="28"/>
          <w:szCs w:val="28"/>
          <w:lang w:eastAsia="ru-RU" w:bidi="ru-RU"/>
        </w:rPr>
        <w:t xml:space="preserve"> – в 80 субъектах Российской Федерации), а также на территории г. Байконур.</w:t>
      </w:r>
    </w:p>
    <w:p w14:paraId="67275FAD" w14:textId="77777777" w:rsidR="00BD3AD5" w:rsidRPr="00BD3AD5" w:rsidRDefault="00BD3AD5" w:rsidP="00BD3AD5">
      <w:pPr>
        <w:widowControl w:val="0"/>
        <w:suppressAutoHyphens/>
        <w:spacing w:after="0" w:line="312" w:lineRule="auto"/>
        <w:ind w:firstLine="709"/>
        <w:contextualSpacing/>
        <w:jc w:val="both"/>
        <w:rPr>
          <w:rFonts w:ascii="Times New Roman" w:eastAsia="Times New Roman" w:hAnsi="Times New Roman" w:cs="Times New Roman"/>
          <w:color w:val="000000"/>
          <w:sz w:val="28"/>
          <w:szCs w:val="28"/>
          <w:lang w:eastAsia="ru-RU" w:bidi="ru-RU"/>
        </w:rPr>
      </w:pPr>
      <w:r w:rsidRPr="00BD3AD5">
        <w:rPr>
          <w:rFonts w:ascii="Times New Roman" w:eastAsia="Times New Roman" w:hAnsi="Times New Roman" w:cs="Times New Roman"/>
          <w:color w:val="000000"/>
          <w:sz w:val="28"/>
          <w:szCs w:val="28"/>
          <w:lang w:eastAsia="ru-RU" w:bidi="ru-RU"/>
        </w:rPr>
        <w:t>На платформе проекта «Билет в будущее» зарегистрировано 1 035 583 человека, из которых более 616 тыс</w:t>
      </w:r>
      <w:r w:rsidR="00BF5A4D">
        <w:rPr>
          <w:rFonts w:ascii="Times New Roman" w:eastAsia="Times New Roman" w:hAnsi="Times New Roman" w:cs="Times New Roman"/>
          <w:color w:val="000000"/>
          <w:sz w:val="28"/>
          <w:szCs w:val="28"/>
          <w:lang w:eastAsia="ru-RU" w:bidi="ru-RU"/>
        </w:rPr>
        <w:t>.</w:t>
      </w:r>
      <w:r w:rsidRPr="00BD3AD5">
        <w:rPr>
          <w:rFonts w:ascii="Times New Roman" w:eastAsia="Times New Roman" w:hAnsi="Times New Roman" w:cs="Times New Roman"/>
          <w:color w:val="000000"/>
          <w:sz w:val="28"/>
          <w:szCs w:val="28"/>
          <w:lang w:eastAsia="ru-RU" w:bidi="ru-RU"/>
        </w:rPr>
        <w:t xml:space="preserve"> обучающи</w:t>
      </w:r>
      <w:r w:rsidR="00BF5A4D">
        <w:rPr>
          <w:rFonts w:ascii="Times New Roman" w:eastAsia="Times New Roman" w:hAnsi="Times New Roman" w:cs="Times New Roman"/>
          <w:color w:val="000000"/>
          <w:sz w:val="28"/>
          <w:szCs w:val="28"/>
          <w:lang w:eastAsia="ru-RU" w:bidi="ru-RU"/>
        </w:rPr>
        <w:t>х</w:t>
      </w:r>
      <w:r w:rsidRPr="00BD3AD5">
        <w:rPr>
          <w:rFonts w:ascii="Times New Roman" w:eastAsia="Times New Roman" w:hAnsi="Times New Roman" w:cs="Times New Roman"/>
          <w:color w:val="000000"/>
          <w:sz w:val="28"/>
          <w:szCs w:val="28"/>
          <w:lang w:eastAsia="ru-RU" w:bidi="ru-RU"/>
        </w:rPr>
        <w:t xml:space="preserve">ся 6-11 классов (2020 </w:t>
      </w:r>
      <w:r w:rsidR="00BF5A4D">
        <w:rPr>
          <w:rFonts w:ascii="Times New Roman" w:eastAsia="Times New Roman" w:hAnsi="Times New Roman" w:cs="Times New Roman"/>
          <w:color w:val="000000"/>
          <w:sz w:val="28"/>
          <w:szCs w:val="28"/>
          <w:lang w:eastAsia="ru-RU" w:bidi="ru-RU"/>
        </w:rPr>
        <w:t>г. – 651 159 обучающихся)</w:t>
      </w:r>
      <w:r w:rsidRPr="00BD3AD5">
        <w:rPr>
          <w:rFonts w:ascii="Times New Roman" w:eastAsia="Times New Roman" w:hAnsi="Times New Roman" w:cs="Times New Roman"/>
          <w:color w:val="000000"/>
          <w:sz w:val="28"/>
          <w:szCs w:val="28"/>
          <w:lang w:eastAsia="ru-RU" w:bidi="ru-RU"/>
        </w:rPr>
        <w:t xml:space="preserve"> совместно с более 6,5 тыс. педагогами-навигаторами завершили обучение по специализированной образовательной программе.</w:t>
      </w:r>
    </w:p>
    <w:p w14:paraId="6C8E6E2D" w14:textId="0BC358F2" w:rsidR="00BD3AD5" w:rsidRPr="00BD3AD5" w:rsidRDefault="00BD3AD5" w:rsidP="009E31B7">
      <w:pPr>
        <w:widowControl w:val="0"/>
        <w:suppressAutoHyphens/>
        <w:spacing w:after="0" w:line="312" w:lineRule="auto"/>
        <w:ind w:firstLine="709"/>
        <w:contextualSpacing/>
        <w:jc w:val="both"/>
        <w:rPr>
          <w:rFonts w:ascii="Times New Roman" w:eastAsia="Times New Roman" w:hAnsi="Times New Roman" w:cs="Times New Roman"/>
          <w:color w:val="000000"/>
          <w:sz w:val="28"/>
          <w:szCs w:val="28"/>
          <w:lang w:eastAsia="ru-RU" w:bidi="ru-RU"/>
        </w:rPr>
      </w:pPr>
      <w:r w:rsidRPr="00BD3AD5">
        <w:rPr>
          <w:rFonts w:ascii="Times New Roman" w:eastAsia="Times New Roman" w:hAnsi="Times New Roman" w:cs="Times New Roman"/>
          <w:color w:val="000000"/>
          <w:sz w:val="28"/>
          <w:szCs w:val="28"/>
          <w:lang w:eastAsia="ru-RU" w:bidi="ru-RU"/>
        </w:rPr>
        <w:t>Проведено 21 350 профориентацио</w:t>
      </w:r>
      <w:r w:rsidR="00BF5A4D">
        <w:rPr>
          <w:rFonts w:ascii="Times New Roman" w:eastAsia="Times New Roman" w:hAnsi="Times New Roman" w:cs="Times New Roman"/>
          <w:color w:val="000000"/>
          <w:sz w:val="28"/>
          <w:szCs w:val="28"/>
          <w:lang w:eastAsia="ru-RU" w:bidi="ru-RU"/>
        </w:rPr>
        <w:t xml:space="preserve">нных уроков, которыми охвачено </w:t>
      </w:r>
      <w:r w:rsidRPr="00BD3AD5">
        <w:rPr>
          <w:rFonts w:ascii="Times New Roman" w:eastAsia="Times New Roman" w:hAnsi="Times New Roman" w:cs="Times New Roman"/>
          <w:color w:val="000000"/>
          <w:sz w:val="28"/>
          <w:szCs w:val="28"/>
          <w:lang w:eastAsia="ru-RU" w:bidi="ru-RU"/>
        </w:rPr>
        <w:t>порядка 390 тыс</w:t>
      </w:r>
      <w:r w:rsidR="00BF5A4D">
        <w:rPr>
          <w:rFonts w:ascii="Times New Roman" w:eastAsia="Times New Roman" w:hAnsi="Times New Roman" w:cs="Times New Roman"/>
          <w:color w:val="000000"/>
          <w:sz w:val="28"/>
          <w:szCs w:val="28"/>
          <w:lang w:eastAsia="ru-RU" w:bidi="ru-RU"/>
        </w:rPr>
        <w:t>.</w:t>
      </w:r>
      <w:r w:rsidRPr="00BD3AD5">
        <w:rPr>
          <w:rFonts w:ascii="Times New Roman" w:eastAsia="Times New Roman" w:hAnsi="Times New Roman" w:cs="Times New Roman"/>
          <w:color w:val="000000"/>
          <w:sz w:val="28"/>
          <w:szCs w:val="28"/>
          <w:lang w:eastAsia="ru-RU" w:bidi="ru-RU"/>
        </w:rPr>
        <w:t xml:space="preserve"> обучающихся. Более 1 млн обучающихся посетили </w:t>
      </w:r>
      <w:proofErr w:type="spellStart"/>
      <w:r w:rsidRPr="00BD3AD5">
        <w:rPr>
          <w:rFonts w:ascii="Times New Roman" w:eastAsia="Times New Roman" w:hAnsi="Times New Roman" w:cs="Times New Roman"/>
          <w:color w:val="000000"/>
          <w:sz w:val="28"/>
          <w:szCs w:val="28"/>
          <w:lang w:eastAsia="ru-RU" w:bidi="ru-RU"/>
        </w:rPr>
        <w:t>профориентационные</w:t>
      </w:r>
      <w:proofErr w:type="spellEnd"/>
      <w:r w:rsidRPr="00BD3AD5">
        <w:rPr>
          <w:rFonts w:ascii="Times New Roman" w:eastAsia="Times New Roman" w:hAnsi="Times New Roman" w:cs="Times New Roman"/>
          <w:color w:val="000000"/>
          <w:sz w:val="28"/>
          <w:szCs w:val="28"/>
          <w:lang w:eastAsia="ru-RU" w:bidi="ru-RU"/>
        </w:rPr>
        <w:t xml:space="preserve"> мероприятия и 193 016 обучающихся посетили профессиональные пробы минимум </w:t>
      </w:r>
      <w:r w:rsidR="005360FA">
        <w:rPr>
          <w:rFonts w:ascii="Times New Roman" w:eastAsia="Times New Roman" w:hAnsi="Times New Roman" w:cs="Times New Roman"/>
          <w:color w:val="000000"/>
          <w:sz w:val="28"/>
          <w:szCs w:val="28"/>
          <w:lang w:eastAsia="ru-RU" w:bidi="ru-RU"/>
        </w:rPr>
        <w:br/>
      </w:r>
      <w:r w:rsidRPr="00BD3AD5">
        <w:rPr>
          <w:rFonts w:ascii="Times New Roman" w:eastAsia="Times New Roman" w:hAnsi="Times New Roman" w:cs="Times New Roman"/>
          <w:color w:val="000000"/>
          <w:sz w:val="28"/>
          <w:szCs w:val="28"/>
          <w:lang w:eastAsia="ru-RU" w:bidi="ru-RU"/>
        </w:rPr>
        <w:t>1 раз</w:t>
      </w:r>
      <w:r w:rsidR="00BF5A4D">
        <w:rPr>
          <w:rFonts w:ascii="Times New Roman" w:eastAsia="Times New Roman" w:hAnsi="Times New Roman" w:cs="Times New Roman"/>
          <w:color w:val="000000"/>
          <w:sz w:val="28"/>
          <w:szCs w:val="28"/>
          <w:lang w:eastAsia="ru-RU" w:bidi="ru-RU"/>
        </w:rPr>
        <w:t>,</w:t>
      </w:r>
      <w:r w:rsidRPr="00BD3AD5">
        <w:rPr>
          <w:rFonts w:ascii="Times New Roman" w:eastAsia="Times New Roman" w:hAnsi="Times New Roman" w:cs="Times New Roman"/>
          <w:color w:val="000000"/>
          <w:sz w:val="28"/>
          <w:szCs w:val="28"/>
          <w:lang w:eastAsia="ru-RU" w:bidi="ru-RU"/>
        </w:rPr>
        <w:t xml:space="preserve"> получи</w:t>
      </w:r>
      <w:r w:rsidR="00BF5A4D">
        <w:rPr>
          <w:rFonts w:ascii="Times New Roman" w:eastAsia="Times New Roman" w:hAnsi="Times New Roman" w:cs="Times New Roman"/>
          <w:color w:val="000000"/>
          <w:sz w:val="28"/>
          <w:szCs w:val="28"/>
          <w:lang w:eastAsia="ru-RU" w:bidi="ru-RU"/>
        </w:rPr>
        <w:t>в</w:t>
      </w:r>
      <w:r w:rsidRPr="00BD3AD5">
        <w:rPr>
          <w:rFonts w:ascii="Times New Roman" w:eastAsia="Times New Roman" w:hAnsi="Times New Roman" w:cs="Times New Roman"/>
          <w:color w:val="000000"/>
          <w:sz w:val="28"/>
          <w:szCs w:val="28"/>
          <w:lang w:eastAsia="ru-RU" w:bidi="ru-RU"/>
        </w:rPr>
        <w:t xml:space="preserve"> рекомендации по построению индивидуально</w:t>
      </w:r>
      <w:r w:rsidR="00BF5A4D">
        <w:rPr>
          <w:rFonts w:ascii="Times New Roman" w:eastAsia="Times New Roman" w:hAnsi="Times New Roman" w:cs="Times New Roman"/>
          <w:color w:val="000000"/>
          <w:sz w:val="28"/>
          <w:szCs w:val="28"/>
          <w:lang w:eastAsia="ru-RU" w:bidi="ru-RU"/>
        </w:rPr>
        <w:t>й образовательной траектории (</w:t>
      </w:r>
      <w:r w:rsidRPr="00BD3AD5">
        <w:rPr>
          <w:rFonts w:ascii="Times New Roman" w:eastAsia="Times New Roman" w:hAnsi="Times New Roman" w:cs="Times New Roman"/>
          <w:color w:val="000000"/>
          <w:sz w:val="28"/>
          <w:szCs w:val="28"/>
          <w:lang w:eastAsia="ru-RU" w:bidi="ru-RU"/>
        </w:rPr>
        <w:t>2020 г</w:t>
      </w:r>
      <w:r w:rsidR="00BF5A4D">
        <w:rPr>
          <w:rFonts w:ascii="Times New Roman" w:eastAsia="Times New Roman" w:hAnsi="Times New Roman" w:cs="Times New Roman"/>
          <w:color w:val="000000"/>
          <w:sz w:val="28"/>
          <w:szCs w:val="28"/>
          <w:lang w:eastAsia="ru-RU" w:bidi="ru-RU"/>
        </w:rPr>
        <w:t>.</w:t>
      </w:r>
      <w:r w:rsidR="009E31B7">
        <w:rPr>
          <w:rFonts w:ascii="Times New Roman" w:eastAsia="Times New Roman" w:hAnsi="Times New Roman" w:cs="Times New Roman"/>
          <w:color w:val="000000"/>
          <w:sz w:val="28"/>
          <w:szCs w:val="28"/>
          <w:lang w:eastAsia="ru-RU" w:bidi="ru-RU"/>
        </w:rPr>
        <w:t xml:space="preserve"> – 166 014 обучающихся). </w:t>
      </w:r>
      <w:r w:rsidRPr="00BD3AD5">
        <w:rPr>
          <w:rFonts w:ascii="Times New Roman" w:eastAsia="Times New Roman" w:hAnsi="Times New Roman" w:cs="Times New Roman"/>
          <w:color w:val="000000"/>
          <w:sz w:val="28"/>
          <w:szCs w:val="28"/>
          <w:lang w:eastAsia="ru-RU" w:bidi="ru-RU"/>
        </w:rPr>
        <w:t>Более 55 тыс. учащихся посетил</w:t>
      </w:r>
      <w:r w:rsidR="00BF5A4D">
        <w:rPr>
          <w:rFonts w:ascii="Times New Roman" w:eastAsia="Times New Roman" w:hAnsi="Times New Roman" w:cs="Times New Roman"/>
          <w:color w:val="000000"/>
          <w:sz w:val="28"/>
          <w:szCs w:val="28"/>
          <w:lang w:eastAsia="ru-RU" w:bidi="ru-RU"/>
        </w:rPr>
        <w:t xml:space="preserve">и выставки-практикумы в рамках </w:t>
      </w:r>
      <w:r w:rsidRPr="00BD3AD5">
        <w:rPr>
          <w:rFonts w:ascii="Times New Roman" w:eastAsia="Times New Roman" w:hAnsi="Times New Roman" w:cs="Times New Roman"/>
          <w:color w:val="000000"/>
          <w:sz w:val="28"/>
          <w:szCs w:val="28"/>
          <w:lang w:eastAsia="ru-RU" w:bidi="ru-RU"/>
        </w:rPr>
        <w:t>проекта «Билет в будущее». «Фестивал</w:t>
      </w:r>
      <w:r w:rsidR="00BF5A4D">
        <w:rPr>
          <w:rFonts w:ascii="Times New Roman" w:eastAsia="Times New Roman" w:hAnsi="Times New Roman" w:cs="Times New Roman"/>
          <w:color w:val="000000"/>
          <w:sz w:val="28"/>
          <w:szCs w:val="28"/>
          <w:lang w:eastAsia="ru-RU" w:bidi="ru-RU"/>
        </w:rPr>
        <w:t xml:space="preserve">ь профессий», который проходил </w:t>
      </w:r>
      <w:r w:rsidRPr="00BD3AD5">
        <w:rPr>
          <w:rFonts w:ascii="Times New Roman" w:eastAsia="Times New Roman" w:hAnsi="Times New Roman" w:cs="Times New Roman"/>
          <w:color w:val="000000"/>
          <w:sz w:val="28"/>
          <w:szCs w:val="28"/>
          <w:lang w:eastAsia="ru-RU" w:bidi="ru-RU"/>
        </w:rPr>
        <w:t>в г. Санкт</w:t>
      </w:r>
      <w:r w:rsidR="00BF5A4D">
        <w:rPr>
          <w:rFonts w:ascii="Times New Roman" w:eastAsia="Times New Roman" w:hAnsi="Times New Roman" w:cs="Times New Roman"/>
          <w:color w:val="000000"/>
          <w:sz w:val="28"/>
          <w:szCs w:val="28"/>
          <w:lang w:eastAsia="ru-RU" w:bidi="ru-RU"/>
        </w:rPr>
        <w:t>-Петербурге в октябре 2021 г</w:t>
      </w:r>
      <w:r w:rsidRPr="00BD3AD5">
        <w:rPr>
          <w:rFonts w:ascii="Times New Roman" w:eastAsia="Times New Roman" w:hAnsi="Times New Roman" w:cs="Times New Roman"/>
          <w:color w:val="000000"/>
          <w:sz w:val="28"/>
          <w:szCs w:val="28"/>
          <w:lang w:eastAsia="ru-RU" w:bidi="ru-RU"/>
        </w:rPr>
        <w:t>.</w:t>
      </w:r>
    </w:p>
    <w:p w14:paraId="2F2597A1" w14:textId="77777777" w:rsidR="00BD3AD5" w:rsidRPr="00BD3AD5" w:rsidRDefault="00BD3AD5" w:rsidP="00BD3AD5">
      <w:pPr>
        <w:widowControl w:val="0"/>
        <w:suppressAutoHyphens/>
        <w:spacing w:after="0" w:line="312" w:lineRule="auto"/>
        <w:ind w:firstLine="709"/>
        <w:contextualSpacing/>
        <w:jc w:val="both"/>
        <w:rPr>
          <w:rFonts w:ascii="Times New Roman" w:eastAsia="Times New Roman" w:hAnsi="Times New Roman" w:cs="Times New Roman"/>
          <w:color w:val="000000"/>
          <w:sz w:val="28"/>
          <w:szCs w:val="28"/>
          <w:lang w:eastAsia="ru-RU" w:bidi="ru-RU"/>
        </w:rPr>
      </w:pPr>
      <w:r w:rsidRPr="00BD3AD5">
        <w:rPr>
          <w:rFonts w:ascii="Times New Roman" w:eastAsia="Times New Roman" w:hAnsi="Times New Roman" w:cs="Times New Roman"/>
          <w:color w:val="000000"/>
          <w:sz w:val="28"/>
          <w:szCs w:val="28"/>
          <w:lang w:eastAsia="ru-RU" w:bidi="ru-RU"/>
        </w:rPr>
        <w:t>Активной фазой проекта «Билет в будущее» является проведение мероприятий профессионального выбора по более чем 4,5 тыс. программ. В ходе профессиональных проб происходит знакомство обучающихся с приоритетными для страны и региона профессиональными направлениями, компетенциями, необходимыми для получения конкретной профессии.</w:t>
      </w:r>
    </w:p>
    <w:p w14:paraId="5036C8E3" w14:textId="77777777" w:rsidR="00BD3AD5" w:rsidRPr="00BD3AD5" w:rsidRDefault="00F707C9" w:rsidP="00BF5A4D">
      <w:pPr>
        <w:widowControl w:val="0"/>
        <w:suppressAutoHyphens/>
        <w:spacing w:after="0" w:line="312" w:lineRule="auto"/>
        <w:ind w:firstLine="709"/>
        <w:contextualSpacing/>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В 2021 г.</w:t>
      </w:r>
      <w:r w:rsidR="00BD3AD5" w:rsidRPr="00BD3AD5">
        <w:rPr>
          <w:rFonts w:ascii="Times New Roman" w:eastAsia="Times New Roman" w:hAnsi="Times New Roman" w:cs="Times New Roman"/>
          <w:color w:val="000000"/>
          <w:sz w:val="28"/>
          <w:szCs w:val="28"/>
          <w:lang w:eastAsia="ru-RU" w:bidi="ru-RU"/>
        </w:rPr>
        <w:t xml:space="preserve"> Минпросвещения России разработан федеральный проект «</w:t>
      </w:r>
      <w:proofErr w:type="spellStart"/>
      <w:r w:rsidR="00BD3AD5" w:rsidRPr="00BD3AD5">
        <w:rPr>
          <w:rFonts w:ascii="Times New Roman" w:eastAsia="Times New Roman" w:hAnsi="Times New Roman" w:cs="Times New Roman"/>
          <w:color w:val="000000"/>
          <w:sz w:val="28"/>
          <w:szCs w:val="28"/>
          <w:lang w:eastAsia="ru-RU" w:bidi="ru-RU"/>
        </w:rPr>
        <w:t>Профессионалитет</w:t>
      </w:r>
      <w:proofErr w:type="spellEnd"/>
      <w:r w:rsidR="00BD3AD5" w:rsidRPr="00BD3AD5">
        <w:rPr>
          <w:rFonts w:ascii="Times New Roman" w:eastAsia="Times New Roman" w:hAnsi="Times New Roman" w:cs="Times New Roman"/>
          <w:color w:val="000000"/>
          <w:sz w:val="28"/>
          <w:szCs w:val="28"/>
          <w:lang w:eastAsia="ru-RU" w:bidi="ru-RU"/>
        </w:rPr>
        <w:t>» национального проект</w:t>
      </w:r>
      <w:r w:rsidR="00BF5A4D">
        <w:rPr>
          <w:rFonts w:ascii="Times New Roman" w:eastAsia="Times New Roman" w:hAnsi="Times New Roman" w:cs="Times New Roman"/>
          <w:color w:val="000000"/>
          <w:sz w:val="28"/>
          <w:szCs w:val="28"/>
          <w:lang w:eastAsia="ru-RU" w:bidi="ru-RU"/>
        </w:rPr>
        <w:t xml:space="preserve">а «Образование», ставший одной </w:t>
      </w:r>
      <w:r w:rsidR="00BD3AD5" w:rsidRPr="00BD3AD5">
        <w:rPr>
          <w:rFonts w:ascii="Times New Roman" w:eastAsia="Times New Roman" w:hAnsi="Times New Roman" w:cs="Times New Roman"/>
          <w:color w:val="000000"/>
          <w:sz w:val="28"/>
          <w:szCs w:val="28"/>
          <w:lang w:eastAsia="ru-RU" w:bidi="ru-RU"/>
        </w:rPr>
        <w:t>из инициатив социально-экономического развития Российской Федерации, утвержденных распоряжением Прав</w:t>
      </w:r>
      <w:r w:rsidR="00BF5A4D">
        <w:rPr>
          <w:rFonts w:ascii="Times New Roman" w:eastAsia="Times New Roman" w:hAnsi="Times New Roman" w:cs="Times New Roman"/>
          <w:color w:val="000000"/>
          <w:sz w:val="28"/>
          <w:szCs w:val="28"/>
          <w:lang w:eastAsia="ru-RU" w:bidi="ru-RU"/>
        </w:rPr>
        <w:t xml:space="preserve">ительства Российской Федерации от 6 октября 2021 г. № 2816-р. </w:t>
      </w:r>
      <w:r w:rsidR="00BD3AD5" w:rsidRPr="00BD3AD5">
        <w:rPr>
          <w:rFonts w:ascii="Times New Roman" w:eastAsia="Times New Roman" w:hAnsi="Times New Roman" w:cs="Times New Roman"/>
          <w:color w:val="000000"/>
          <w:sz w:val="28"/>
          <w:szCs w:val="28"/>
          <w:lang w:eastAsia="ru-RU" w:bidi="ru-RU"/>
        </w:rPr>
        <w:t>Основная цель проекта – комплексная реструктуризация системы среднего профессионального образования на основе отраслевой модели подготовки квалифицированных кадров, востребованных на рынке труда.</w:t>
      </w:r>
    </w:p>
    <w:p w14:paraId="60C59EA7" w14:textId="77777777" w:rsidR="00BD3AD5" w:rsidRPr="00BD3AD5" w:rsidRDefault="00BD3AD5" w:rsidP="00BD3AD5">
      <w:pPr>
        <w:widowControl w:val="0"/>
        <w:suppressAutoHyphens/>
        <w:spacing w:after="0" w:line="312" w:lineRule="auto"/>
        <w:ind w:firstLine="709"/>
        <w:contextualSpacing/>
        <w:jc w:val="both"/>
        <w:rPr>
          <w:rFonts w:ascii="Times New Roman" w:eastAsia="Times New Roman" w:hAnsi="Times New Roman" w:cs="Times New Roman"/>
          <w:color w:val="000000"/>
          <w:sz w:val="28"/>
          <w:szCs w:val="28"/>
          <w:lang w:eastAsia="ru-RU" w:bidi="ru-RU"/>
        </w:rPr>
      </w:pPr>
      <w:r w:rsidRPr="00BD3AD5">
        <w:rPr>
          <w:rFonts w:ascii="Times New Roman" w:eastAsia="Times New Roman" w:hAnsi="Times New Roman" w:cs="Times New Roman"/>
          <w:color w:val="000000"/>
          <w:sz w:val="28"/>
          <w:szCs w:val="28"/>
          <w:lang w:eastAsia="ru-RU" w:bidi="ru-RU"/>
        </w:rPr>
        <w:t>Среди ключевых инициатив федерального проекта «</w:t>
      </w:r>
      <w:proofErr w:type="spellStart"/>
      <w:r w:rsidRPr="00BD3AD5">
        <w:rPr>
          <w:rFonts w:ascii="Times New Roman" w:eastAsia="Times New Roman" w:hAnsi="Times New Roman" w:cs="Times New Roman"/>
          <w:color w:val="000000"/>
          <w:sz w:val="28"/>
          <w:szCs w:val="28"/>
          <w:lang w:eastAsia="ru-RU" w:bidi="ru-RU"/>
        </w:rPr>
        <w:t>Профессионалитет</w:t>
      </w:r>
      <w:proofErr w:type="spellEnd"/>
      <w:r w:rsidRPr="00BD3AD5">
        <w:rPr>
          <w:rFonts w:ascii="Times New Roman" w:eastAsia="Times New Roman" w:hAnsi="Times New Roman" w:cs="Times New Roman"/>
          <w:color w:val="000000"/>
          <w:sz w:val="28"/>
          <w:szCs w:val="28"/>
          <w:lang w:eastAsia="ru-RU" w:bidi="ru-RU"/>
        </w:rPr>
        <w:t>» национального проекта «Образование»</w:t>
      </w:r>
      <w:r w:rsidR="00BF5A4D">
        <w:rPr>
          <w:rFonts w:ascii="Times New Roman" w:eastAsia="Times New Roman" w:hAnsi="Times New Roman" w:cs="Times New Roman"/>
          <w:color w:val="000000"/>
          <w:sz w:val="28"/>
          <w:szCs w:val="28"/>
          <w:lang w:eastAsia="ru-RU" w:bidi="ru-RU"/>
        </w:rPr>
        <w:t xml:space="preserve"> можно отметить:</w:t>
      </w:r>
    </w:p>
    <w:p w14:paraId="186465FB" w14:textId="77777777" w:rsidR="00BD3AD5" w:rsidRPr="00BD3AD5" w:rsidRDefault="00BD3AD5" w:rsidP="00BD3AD5">
      <w:pPr>
        <w:widowControl w:val="0"/>
        <w:suppressAutoHyphens/>
        <w:spacing w:after="0" w:line="312" w:lineRule="auto"/>
        <w:ind w:firstLine="709"/>
        <w:contextualSpacing/>
        <w:jc w:val="both"/>
        <w:rPr>
          <w:rFonts w:ascii="Times New Roman" w:eastAsia="Times New Roman" w:hAnsi="Times New Roman" w:cs="Times New Roman"/>
          <w:color w:val="000000"/>
          <w:sz w:val="28"/>
          <w:szCs w:val="28"/>
          <w:lang w:eastAsia="ru-RU" w:bidi="ru-RU"/>
        </w:rPr>
      </w:pPr>
      <w:r w:rsidRPr="00BD3AD5">
        <w:rPr>
          <w:rFonts w:ascii="Times New Roman" w:eastAsia="Times New Roman" w:hAnsi="Times New Roman" w:cs="Times New Roman"/>
          <w:color w:val="000000"/>
          <w:sz w:val="28"/>
          <w:szCs w:val="28"/>
          <w:lang w:eastAsia="ru-RU" w:bidi="ru-RU"/>
        </w:rPr>
        <w:t>интеграци</w:t>
      </w:r>
      <w:r w:rsidR="00BF5A4D">
        <w:rPr>
          <w:rFonts w:ascii="Times New Roman" w:eastAsia="Times New Roman" w:hAnsi="Times New Roman" w:cs="Times New Roman"/>
          <w:color w:val="000000"/>
          <w:sz w:val="28"/>
          <w:szCs w:val="28"/>
          <w:lang w:eastAsia="ru-RU" w:bidi="ru-RU"/>
        </w:rPr>
        <w:t>ю</w:t>
      </w:r>
      <w:r w:rsidRPr="00BD3AD5">
        <w:rPr>
          <w:rFonts w:ascii="Times New Roman" w:eastAsia="Times New Roman" w:hAnsi="Times New Roman" w:cs="Times New Roman"/>
          <w:color w:val="000000"/>
          <w:sz w:val="28"/>
          <w:szCs w:val="28"/>
          <w:lang w:eastAsia="ru-RU" w:bidi="ru-RU"/>
        </w:rPr>
        <w:t xml:space="preserve"> колледжей и предприятий реального сектора экономики посредством создания образовательно-производственных кластеров;</w:t>
      </w:r>
    </w:p>
    <w:p w14:paraId="5EA90494" w14:textId="77777777" w:rsidR="00BD3AD5" w:rsidRPr="00BD3AD5" w:rsidRDefault="00BD3AD5" w:rsidP="00BD3AD5">
      <w:pPr>
        <w:widowControl w:val="0"/>
        <w:suppressAutoHyphens/>
        <w:spacing w:after="0" w:line="312" w:lineRule="auto"/>
        <w:ind w:firstLine="709"/>
        <w:contextualSpacing/>
        <w:jc w:val="both"/>
        <w:rPr>
          <w:rFonts w:ascii="Times New Roman" w:eastAsia="Times New Roman" w:hAnsi="Times New Roman" w:cs="Times New Roman"/>
          <w:color w:val="000000"/>
          <w:sz w:val="28"/>
          <w:szCs w:val="28"/>
          <w:lang w:eastAsia="ru-RU" w:bidi="ru-RU"/>
        </w:rPr>
      </w:pPr>
      <w:r w:rsidRPr="00BD3AD5">
        <w:rPr>
          <w:rFonts w:ascii="Times New Roman" w:eastAsia="Times New Roman" w:hAnsi="Times New Roman" w:cs="Times New Roman"/>
          <w:color w:val="000000"/>
          <w:sz w:val="28"/>
          <w:szCs w:val="28"/>
          <w:lang w:eastAsia="ru-RU" w:bidi="ru-RU"/>
        </w:rPr>
        <w:t>внедрение новых образовател</w:t>
      </w:r>
      <w:r w:rsidR="00BF5A4D">
        <w:rPr>
          <w:rFonts w:ascii="Times New Roman" w:eastAsia="Times New Roman" w:hAnsi="Times New Roman" w:cs="Times New Roman"/>
          <w:color w:val="000000"/>
          <w:sz w:val="28"/>
          <w:szCs w:val="28"/>
          <w:lang w:eastAsia="ru-RU" w:bidi="ru-RU"/>
        </w:rPr>
        <w:t xml:space="preserve">ьных программ, ориентированных </w:t>
      </w:r>
      <w:r w:rsidRPr="00BD3AD5">
        <w:rPr>
          <w:rFonts w:ascii="Times New Roman" w:eastAsia="Times New Roman" w:hAnsi="Times New Roman" w:cs="Times New Roman"/>
          <w:color w:val="000000"/>
          <w:sz w:val="28"/>
          <w:szCs w:val="28"/>
          <w:lang w:eastAsia="ru-RU" w:bidi="ru-RU"/>
        </w:rPr>
        <w:t>на потребности рынков труда и конкретных работодателей, предусматривающих оптимизацию сроков обучения;</w:t>
      </w:r>
    </w:p>
    <w:p w14:paraId="15219D07" w14:textId="77777777" w:rsidR="00BD3AD5" w:rsidRPr="00BD3AD5" w:rsidRDefault="004455A6" w:rsidP="00BD3AD5">
      <w:pPr>
        <w:widowControl w:val="0"/>
        <w:suppressAutoHyphens/>
        <w:spacing w:after="0" w:line="312" w:lineRule="auto"/>
        <w:ind w:firstLine="709"/>
        <w:contextualSpacing/>
        <w:jc w:val="both"/>
        <w:rPr>
          <w:rFonts w:ascii="Times New Roman" w:eastAsia="Times New Roman" w:hAnsi="Times New Roman" w:cs="Times New Roman"/>
          <w:color w:val="000000"/>
          <w:sz w:val="28"/>
          <w:szCs w:val="28"/>
          <w:lang w:eastAsia="ru-RU" w:bidi="ru-RU"/>
        </w:rPr>
      </w:pPr>
      <w:r>
        <w:rPr>
          <w:rFonts w:ascii="Times New Roman" w:hAnsi="Times New Roman" w:cs="Times New Roman"/>
          <w:sz w:val="28"/>
          <w:szCs w:val="28"/>
        </w:rPr>
        <w:t>профессиональная</w:t>
      </w:r>
      <w:r w:rsidRPr="00BD3AD5">
        <w:rPr>
          <w:rFonts w:ascii="Times New Roman" w:eastAsia="Times New Roman" w:hAnsi="Times New Roman" w:cs="Times New Roman"/>
          <w:color w:val="000000"/>
          <w:sz w:val="28"/>
          <w:szCs w:val="28"/>
          <w:lang w:eastAsia="ru-RU" w:bidi="ru-RU"/>
        </w:rPr>
        <w:t xml:space="preserve"> </w:t>
      </w:r>
      <w:r w:rsidR="00BD3AD5" w:rsidRPr="00BD3AD5">
        <w:rPr>
          <w:rFonts w:ascii="Times New Roman" w:eastAsia="Times New Roman" w:hAnsi="Times New Roman" w:cs="Times New Roman"/>
          <w:color w:val="000000"/>
          <w:sz w:val="28"/>
          <w:szCs w:val="28"/>
          <w:lang w:eastAsia="ru-RU" w:bidi="ru-RU"/>
        </w:rPr>
        <w:t>переподготовка всего кадрового состава образовательно-производственного кластера: педагогические работники, мастера производственного обучения, ответственные за воспитание, представители управленческих команд;</w:t>
      </w:r>
    </w:p>
    <w:p w14:paraId="4591C14D" w14:textId="77777777" w:rsidR="00BD3AD5" w:rsidRPr="00BD3AD5" w:rsidRDefault="00BD3AD5" w:rsidP="00BD3AD5">
      <w:pPr>
        <w:widowControl w:val="0"/>
        <w:suppressAutoHyphens/>
        <w:spacing w:after="0" w:line="312" w:lineRule="auto"/>
        <w:ind w:firstLine="709"/>
        <w:contextualSpacing/>
        <w:jc w:val="both"/>
        <w:rPr>
          <w:rFonts w:ascii="Times New Roman" w:eastAsia="Times New Roman" w:hAnsi="Times New Roman" w:cs="Times New Roman"/>
          <w:color w:val="000000"/>
          <w:sz w:val="28"/>
          <w:szCs w:val="28"/>
          <w:lang w:eastAsia="ru-RU" w:bidi="ru-RU"/>
        </w:rPr>
      </w:pPr>
      <w:r w:rsidRPr="00BD3AD5">
        <w:rPr>
          <w:rFonts w:ascii="Times New Roman" w:eastAsia="Times New Roman" w:hAnsi="Times New Roman" w:cs="Times New Roman"/>
          <w:color w:val="000000"/>
          <w:sz w:val="28"/>
          <w:szCs w:val="28"/>
          <w:lang w:eastAsia="ru-RU" w:bidi="ru-RU"/>
        </w:rPr>
        <w:t>новый механизм формирования и оценки общего объема контрольных цифр приема за счет средств бюджетов субъектов Российской Федерации.</w:t>
      </w:r>
    </w:p>
    <w:p w14:paraId="03B183D0" w14:textId="77777777" w:rsidR="00BD3AD5" w:rsidRDefault="00BD3AD5" w:rsidP="00BD3AD5">
      <w:pPr>
        <w:widowControl w:val="0"/>
        <w:suppressAutoHyphens/>
        <w:spacing w:after="0" w:line="312" w:lineRule="auto"/>
        <w:ind w:firstLine="709"/>
        <w:contextualSpacing/>
        <w:jc w:val="both"/>
        <w:rPr>
          <w:rFonts w:ascii="Times New Roman" w:eastAsia="Times New Roman" w:hAnsi="Times New Roman" w:cs="Times New Roman"/>
          <w:color w:val="000000"/>
          <w:sz w:val="28"/>
          <w:szCs w:val="28"/>
          <w:lang w:eastAsia="ru-RU" w:bidi="ru-RU"/>
        </w:rPr>
      </w:pPr>
      <w:r w:rsidRPr="00BD3AD5">
        <w:rPr>
          <w:rFonts w:ascii="Times New Roman" w:eastAsia="Times New Roman" w:hAnsi="Times New Roman" w:cs="Times New Roman"/>
          <w:color w:val="000000"/>
          <w:sz w:val="28"/>
          <w:szCs w:val="28"/>
          <w:lang w:eastAsia="ru-RU" w:bidi="ru-RU"/>
        </w:rPr>
        <w:t>В результате реализации федерального проекта «</w:t>
      </w:r>
      <w:proofErr w:type="spellStart"/>
      <w:r w:rsidRPr="00BD3AD5">
        <w:rPr>
          <w:rFonts w:ascii="Times New Roman" w:eastAsia="Times New Roman" w:hAnsi="Times New Roman" w:cs="Times New Roman"/>
          <w:color w:val="000000"/>
          <w:sz w:val="28"/>
          <w:szCs w:val="28"/>
          <w:lang w:eastAsia="ru-RU" w:bidi="ru-RU"/>
        </w:rPr>
        <w:t>Профессионалитет</w:t>
      </w:r>
      <w:proofErr w:type="spellEnd"/>
      <w:r w:rsidRPr="00BD3AD5">
        <w:rPr>
          <w:rFonts w:ascii="Times New Roman" w:eastAsia="Times New Roman" w:hAnsi="Times New Roman" w:cs="Times New Roman"/>
          <w:color w:val="000000"/>
          <w:sz w:val="28"/>
          <w:szCs w:val="28"/>
          <w:lang w:eastAsia="ru-RU" w:bidi="ru-RU"/>
        </w:rPr>
        <w:t>» национального проекта «Образование» планируется обеспечить повышение уровня трудоустройства выпускников по новым образовательным программам до 85%.</w:t>
      </w:r>
    </w:p>
    <w:p w14:paraId="4C1A7810" w14:textId="77777777" w:rsidR="00481A9E" w:rsidRDefault="00481A9E" w:rsidP="00481A9E">
      <w:pPr>
        <w:pStyle w:val="Default"/>
        <w:spacing w:line="312" w:lineRule="auto"/>
        <w:ind w:firstLine="709"/>
        <w:contextualSpacing/>
        <w:jc w:val="both"/>
        <w:rPr>
          <w:sz w:val="28"/>
          <w:szCs w:val="28"/>
          <w:lang w:bidi="ru-RU"/>
        </w:rPr>
      </w:pPr>
      <w:r>
        <w:rPr>
          <w:sz w:val="28"/>
          <w:szCs w:val="28"/>
          <w:lang w:bidi="ru-RU"/>
        </w:rPr>
        <w:t>На начало 2021/22 учебного года в Российской Федерации функционировало 1 245 образовательных организаций, реализующих образовательную деятельность по программам высшего образования, из них 1 234 образовательных организаций высшего образования, 10 научных организаций, 1 профессиональная организация.</w:t>
      </w:r>
    </w:p>
    <w:p w14:paraId="2E7CCBD0" w14:textId="6037E7D2" w:rsidR="00481A9E" w:rsidRDefault="00481A9E" w:rsidP="00481A9E">
      <w:pPr>
        <w:pStyle w:val="Default"/>
        <w:spacing w:line="312" w:lineRule="auto"/>
        <w:ind w:firstLine="709"/>
        <w:contextualSpacing/>
        <w:jc w:val="both"/>
        <w:rPr>
          <w:sz w:val="28"/>
          <w:szCs w:val="28"/>
          <w:lang w:bidi="ru-RU"/>
        </w:rPr>
      </w:pPr>
      <w:r>
        <w:rPr>
          <w:sz w:val="28"/>
          <w:szCs w:val="28"/>
          <w:lang w:bidi="ru-RU"/>
        </w:rPr>
        <w:t xml:space="preserve">Численность обучающихся в образовательных организациях высшего образования составила 4 078,33 тыс. человек (2020 г. – 4 082,30 тыс. человек; </w:t>
      </w:r>
      <w:r>
        <w:rPr>
          <w:sz w:val="28"/>
          <w:szCs w:val="28"/>
          <w:lang w:bidi="ru-RU"/>
        </w:rPr>
        <w:br/>
        <w:t>2019 г. – 4 098,97 тыс. человек). Прием в 2021 г</w:t>
      </w:r>
      <w:r w:rsidR="00F707C9">
        <w:rPr>
          <w:sz w:val="28"/>
          <w:szCs w:val="28"/>
          <w:lang w:bidi="ru-RU"/>
        </w:rPr>
        <w:t>.</w:t>
      </w:r>
      <w:r>
        <w:rPr>
          <w:sz w:val="28"/>
          <w:szCs w:val="28"/>
          <w:lang w:bidi="ru-RU"/>
        </w:rPr>
        <w:t xml:space="preserve"> составил более 1 млн человек </w:t>
      </w:r>
      <w:r w:rsidR="005360FA">
        <w:rPr>
          <w:sz w:val="28"/>
          <w:szCs w:val="28"/>
          <w:lang w:bidi="ru-RU"/>
        </w:rPr>
        <w:br/>
      </w:r>
      <w:r>
        <w:rPr>
          <w:sz w:val="28"/>
          <w:szCs w:val="28"/>
          <w:lang w:bidi="ru-RU"/>
        </w:rPr>
        <w:t>(2019-2020 гг. – более 1 млн человек).</w:t>
      </w:r>
    </w:p>
    <w:p w14:paraId="04A3C7C7" w14:textId="77777777" w:rsidR="009E31B7" w:rsidRPr="001D536F" w:rsidRDefault="009E31B7" w:rsidP="009E31B7">
      <w:pPr>
        <w:pStyle w:val="Default"/>
        <w:spacing w:line="312" w:lineRule="auto"/>
        <w:ind w:firstLine="709"/>
        <w:contextualSpacing/>
        <w:jc w:val="both"/>
        <w:rPr>
          <w:sz w:val="28"/>
          <w:szCs w:val="28"/>
          <w:lang w:bidi="ru-RU"/>
        </w:rPr>
      </w:pPr>
      <w:r w:rsidRPr="009C7A31">
        <w:rPr>
          <w:sz w:val="28"/>
          <w:szCs w:val="28"/>
          <w:lang w:bidi="ru-RU"/>
        </w:rPr>
        <w:t xml:space="preserve">Ключевой механизм обеспечения доступности высшего образования –формирование объемов и структуры контрольных цифр приема на обучение за счет бюджетных ассигнований федерального бюджета (далее – КЦП). В соответствии с Федеральным законом от 29 декабря 2012 г. № 273-ФЗ Минобрнауки России выполняет государственную гарантию: не менее чем 800 студентов на каждые </w:t>
      </w:r>
      <w:r w:rsidRPr="009C7A31">
        <w:rPr>
          <w:sz w:val="28"/>
          <w:szCs w:val="28"/>
          <w:lang w:bidi="ru-RU"/>
        </w:rPr>
        <w:br/>
        <w:t>10 000 человек в возрасте от 17 до 30 лет имеют право обучаться в образовательных организациях высшего образования за счет средств федерального бюджета.</w:t>
      </w:r>
    </w:p>
    <w:p w14:paraId="1A33CF46" w14:textId="5BC54E0F" w:rsidR="009E31B7" w:rsidRPr="001D536F" w:rsidRDefault="009E31B7" w:rsidP="009E31B7">
      <w:pPr>
        <w:pStyle w:val="Default"/>
        <w:spacing w:line="312" w:lineRule="auto"/>
        <w:ind w:firstLine="709"/>
        <w:contextualSpacing/>
        <w:jc w:val="both"/>
        <w:rPr>
          <w:sz w:val="28"/>
          <w:szCs w:val="28"/>
          <w:lang w:bidi="ru-RU"/>
        </w:rPr>
      </w:pPr>
      <w:r w:rsidRPr="001D536F">
        <w:rPr>
          <w:sz w:val="28"/>
          <w:szCs w:val="28"/>
          <w:lang w:bidi="ru-RU"/>
        </w:rPr>
        <w:t>Согласно Федеральному закону от 29 декабря 2012 г. № 273-ФЗ, КЦП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w:t>
      </w:r>
    </w:p>
    <w:p w14:paraId="50A369D3" w14:textId="77777777" w:rsidR="009E31B7" w:rsidRDefault="009E31B7" w:rsidP="009E31B7">
      <w:pPr>
        <w:pStyle w:val="Default"/>
        <w:spacing w:line="312" w:lineRule="auto"/>
        <w:ind w:firstLine="709"/>
        <w:contextualSpacing/>
        <w:jc w:val="both"/>
        <w:rPr>
          <w:sz w:val="28"/>
          <w:szCs w:val="28"/>
          <w:lang w:bidi="ru-RU"/>
        </w:rPr>
      </w:pPr>
      <w:r>
        <w:rPr>
          <w:sz w:val="28"/>
          <w:szCs w:val="28"/>
          <w:lang w:bidi="ru-RU"/>
        </w:rPr>
        <w:t>Объем и структура КЦП формируются с учетом потребности в квалифицированных кадрах на основе предложений, полученных от субъектов Российской Федерации и центров ответственности, в качестве которых выступают федеральные органы</w:t>
      </w:r>
      <w:r w:rsidR="00893535">
        <w:rPr>
          <w:sz w:val="28"/>
          <w:szCs w:val="28"/>
          <w:lang w:bidi="ru-RU"/>
        </w:rPr>
        <w:t xml:space="preserve"> исполнительной власти, другие главные распорядители средств федерального бюджета, имеющие в ведении образовательные организации</w:t>
      </w:r>
      <w:r>
        <w:rPr>
          <w:sz w:val="28"/>
          <w:szCs w:val="28"/>
          <w:lang w:bidi="ru-RU"/>
        </w:rPr>
        <w:t>, работодатели.</w:t>
      </w:r>
    </w:p>
    <w:p w14:paraId="281FA2BD" w14:textId="77777777" w:rsidR="009E31B7" w:rsidRDefault="009E31B7" w:rsidP="009E31B7">
      <w:pPr>
        <w:pStyle w:val="Default"/>
        <w:spacing w:line="312" w:lineRule="auto"/>
        <w:ind w:firstLine="709"/>
        <w:contextualSpacing/>
        <w:jc w:val="both"/>
        <w:rPr>
          <w:sz w:val="28"/>
          <w:szCs w:val="28"/>
          <w:lang w:bidi="ru-RU"/>
        </w:rPr>
      </w:pPr>
      <w:r>
        <w:rPr>
          <w:sz w:val="28"/>
          <w:szCs w:val="28"/>
          <w:lang w:bidi="ru-RU"/>
        </w:rPr>
        <w:t>При планировании общего объема КЦП учитываются такие показатели, как задачи по реализации национальных проектов, запросы субъектов Российской Федерации, эффективность трудоустройства, потенциал образовательной сети, спрос населения.</w:t>
      </w:r>
    </w:p>
    <w:p w14:paraId="60B2F364" w14:textId="77777777" w:rsidR="009E31B7" w:rsidRDefault="009E31B7" w:rsidP="009E31B7">
      <w:pPr>
        <w:pStyle w:val="Default"/>
        <w:spacing w:line="312" w:lineRule="auto"/>
        <w:ind w:firstLine="709"/>
        <w:contextualSpacing/>
        <w:jc w:val="both"/>
        <w:rPr>
          <w:sz w:val="28"/>
          <w:szCs w:val="28"/>
          <w:lang w:bidi="ru-RU"/>
        </w:rPr>
      </w:pPr>
      <w:r>
        <w:rPr>
          <w:sz w:val="28"/>
          <w:szCs w:val="28"/>
          <w:lang w:bidi="ru-RU"/>
        </w:rPr>
        <w:t>Во исполнение Послания Президента Российской Федерации В.В. Путина Федеральному Собранию Российской Федерации от 15 января 2020 г., Минобрнауки России начиная с 2021 г</w:t>
      </w:r>
      <w:r w:rsidR="00F707C9">
        <w:rPr>
          <w:sz w:val="28"/>
          <w:szCs w:val="28"/>
          <w:lang w:bidi="ru-RU"/>
        </w:rPr>
        <w:t>.</w:t>
      </w:r>
      <w:r>
        <w:rPr>
          <w:sz w:val="28"/>
          <w:szCs w:val="28"/>
          <w:lang w:bidi="ru-RU"/>
        </w:rPr>
        <w:t xml:space="preserve"> ежегодно увеличивает количество бюджетных мест по программам бакалавриата и магистратуры в образовательных организациях высшего образования.</w:t>
      </w:r>
    </w:p>
    <w:p w14:paraId="4C302F26" w14:textId="77777777" w:rsidR="009E31B7" w:rsidRDefault="009E31B7" w:rsidP="009E31B7">
      <w:pPr>
        <w:pStyle w:val="Default"/>
        <w:spacing w:line="312" w:lineRule="auto"/>
        <w:ind w:firstLine="709"/>
        <w:contextualSpacing/>
        <w:jc w:val="both"/>
        <w:rPr>
          <w:sz w:val="28"/>
          <w:szCs w:val="28"/>
          <w:lang w:bidi="ru-RU"/>
        </w:rPr>
      </w:pPr>
      <w:r>
        <w:rPr>
          <w:sz w:val="28"/>
          <w:szCs w:val="28"/>
          <w:lang w:bidi="ru-RU"/>
        </w:rPr>
        <w:t>КЦП</w:t>
      </w:r>
      <w:r w:rsidR="00BE097C">
        <w:rPr>
          <w:sz w:val="28"/>
          <w:szCs w:val="28"/>
          <w:lang w:bidi="ru-RU"/>
        </w:rPr>
        <w:t xml:space="preserve"> по программам бакалавриата, специалитета и магистратуры</w:t>
      </w:r>
      <w:r>
        <w:rPr>
          <w:sz w:val="28"/>
          <w:szCs w:val="28"/>
          <w:lang w:bidi="ru-RU"/>
        </w:rPr>
        <w:t xml:space="preserve"> на 2021/22 учебный год утвержде</w:t>
      </w:r>
      <w:r w:rsidR="00BE097C">
        <w:rPr>
          <w:sz w:val="28"/>
          <w:szCs w:val="28"/>
          <w:lang w:bidi="ru-RU"/>
        </w:rPr>
        <w:t xml:space="preserve">ны приказом Минобрнауки России </w:t>
      </w:r>
      <w:r>
        <w:rPr>
          <w:sz w:val="28"/>
          <w:szCs w:val="28"/>
          <w:lang w:bidi="ru-RU"/>
        </w:rPr>
        <w:t>от 31 июля 2020 г. № 848.</w:t>
      </w:r>
    </w:p>
    <w:p w14:paraId="6F8DAD41" w14:textId="77777777" w:rsidR="009E31B7" w:rsidRDefault="009E31B7" w:rsidP="009E31B7">
      <w:pPr>
        <w:pStyle w:val="Default"/>
        <w:spacing w:line="312" w:lineRule="auto"/>
        <w:ind w:firstLine="709"/>
        <w:contextualSpacing/>
        <w:jc w:val="both"/>
        <w:rPr>
          <w:sz w:val="28"/>
          <w:szCs w:val="28"/>
          <w:lang w:bidi="ru-RU"/>
        </w:rPr>
      </w:pPr>
    </w:p>
    <w:p w14:paraId="293C7865" w14:textId="77777777" w:rsidR="009E31B7" w:rsidRPr="00A4059C" w:rsidRDefault="009E31B7" w:rsidP="009E31B7">
      <w:pPr>
        <w:widowControl w:val="0"/>
        <w:tabs>
          <w:tab w:val="left" w:pos="4479"/>
          <w:tab w:val="left" w:pos="4406"/>
          <w:tab w:val="left" w:pos="7296"/>
        </w:tabs>
        <w:spacing w:after="0" w:line="240" w:lineRule="auto"/>
        <w:ind w:firstLine="709"/>
        <w:jc w:val="center"/>
        <w:rPr>
          <w:rFonts w:ascii="Times New Roman" w:eastAsia="Times New Roman" w:hAnsi="Times New Roman" w:cs="Times New Roman"/>
          <w:b/>
          <w:color w:val="000000"/>
          <w:sz w:val="26"/>
          <w:szCs w:val="26"/>
          <w:lang w:eastAsia="ru-RU" w:bidi="ru-RU"/>
        </w:rPr>
      </w:pPr>
      <w:r w:rsidRPr="00A4059C">
        <w:rPr>
          <w:rFonts w:ascii="Times New Roman" w:eastAsia="Times New Roman" w:hAnsi="Times New Roman" w:cs="Times New Roman"/>
          <w:b/>
          <w:color w:val="000000"/>
          <w:sz w:val="26"/>
          <w:szCs w:val="26"/>
          <w:lang w:eastAsia="ru-RU" w:bidi="ru-RU"/>
        </w:rPr>
        <w:t>Объем КЦП, установленный образовательным организациям высшего образования по программам бакалавриата и специалитета</w:t>
      </w:r>
    </w:p>
    <w:p w14:paraId="0FE3962F" w14:textId="77777777" w:rsidR="009E31B7" w:rsidRPr="00D03A4F" w:rsidRDefault="009E31B7" w:rsidP="009E31B7">
      <w:pPr>
        <w:widowControl w:val="0"/>
        <w:tabs>
          <w:tab w:val="left" w:pos="4479"/>
          <w:tab w:val="left" w:pos="4406"/>
          <w:tab w:val="left" w:pos="7296"/>
        </w:tabs>
        <w:spacing w:after="0" w:line="240" w:lineRule="auto"/>
        <w:ind w:firstLine="709"/>
        <w:jc w:val="center"/>
        <w:rPr>
          <w:rFonts w:ascii="Times New Roman" w:eastAsia="Times New Roman" w:hAnsi="Times New Roman" w:cs="Times New Roman"/>
          <w:b/>
          <w:color w:val="000000"/>
          <w:sz w:val="28"/>
          <w:szCs w:val="28"/>
          <w:lang w:eastAsia="ru-RU" w:bidi="ru-RU"/>
        </w:rPr>
      </w:pPr>
    </w:p>
    <w:tbl>
      <w:tblPr>
        <w:tblStyle w:val="a5"/>
        <w:tblW w:w="0" w:type="auto"/>
        <w:tblInd w:w="392" w:type="dxa"/>
        <w:tblLook w:val="04A0" w:firstRow="1" w:lastRow="0" w:firstColumn="1" w:lastColumn="0" w:noHBand="0" w:noVBand="1"/>
      </w:tblPr>
      <w:tblGrid>
        <w:gridCol w:w="2392"/>
        <w:gridCol w:w="2393"/>
        <w:gridCol w:w="2393"/>
        <w:gridCol w:w="2393"/>
      </w:tblGrid>
      <w:tr w:rsidR="009E31B7" w:rsidRPr="00D03A4F" w14:paraId="695A16DA" w14:textId="77777777" w:rsidTr="001A2F89">
        <w:trPr>
          <w:trHeight w:val="510"/>
          <w:tblHeader/>
        </w:trPr>
        <w:tc>
          <w:tcPr>
            <w:tcW w:w="2392" w:type="dxa"/>
            <w:vAlign w:val="center"/>
          </w:tcPr>
          <w:p w14:paraId="2905343C" w14:textId="77777777" w:rsidR="009E31B7" w:rsidRPr="003A7FCC" w:rsidRDefault="009E31B7" w:rsidP="009E31B7">
            <w:pPr>
              <w:widowControl w:val="0"/>
              <w:tabs>
                <w:tab w:val="left" w:pos="4479"/>
                <w:tab w:val="left" w:pos="4406"/>
                <w:tab w:val="left" w:pos="7296"/>
              </w:tabs>
              <w:jc w:val="center"/>
              <w:rPr>
                <w:rFonts w:ascii="Times New Roman" w:eastAsia="Times New Roman" w:hAnsi="Times New Roman" w:cs="Times New Roman"/>
                <w:b/>
                <w:color w:val="000000"/>
                <w:sz w:val="26"/>
                <w:szCs w:val="26"/>
                <w:lang w:eastAsia="ru-RU" w:bidi="ru-RU"/>
              </w:rPr>
            </w:pPr>
            <w:r w:rsidRPr="003A7FCC">
              <w:rPr>
                <w:rFonts w:ascii="Times New Roman" w:eastAsia="Times New Roman" w:hAnsi="Times New Roman" w:cs="Times New Roman"/>
                <w:b/>
                <w:color w:val="000000"/>
                <w:sz w:val="26"/>
                <w:szCs w:val="26"/>
                <w:lang w:eastAsia="ru-RU" w:bidi="ru-RU"/>
              </w:rPr>
              <w:t>Уровни</w:t>
            </w:r>
          </w:p>
        </w:tc>
        <w:tc>
          <w:tcPr>
            <w:tcW w:w="2393" w:type="dxa"/>
            <w:vAlign w:val="center"/>
          </w:tcPr>
          <w:p w14:paraId="47B1AD40" w14:textId="77777777" w:rsidR="009E31B7" w:rsidRPr="003A7FCC" w:rsidRDefault="009E31B7" w:rsidP="009E31B7">
            <w:pPr>
              <w:widowControl w:val="0"/>
              <w:tabs>
                <w:tab w:val="left" w:pos="4479"/>
                <w:tab w:val="left" w:pos="4406"/>
                <w:tab w:val="left" w:pos="7296"/>
              </w:tabs>
              <w:jc w:val="center"/>
              <w:rPr>
                <w:rFonts w:ascii="Times New Roman" w:eastAsia="Times New Roman" w:hAnsi="Times New Roman" w:cs="Times New Roman"/>
                <w:b/>
                <w:color w:val="000000"/>
                <w:sz w:val="26"/>
                <w:szCs w:val="26"/>
                <w:lang w:eastAsia="ru-RU" w:bidi="ru-RU"/>
              </w:rPr>
            </w:pPr>
            <w:r w:rsidRPr="003A7FCC">
              <w:rPr>
                <w:rFonts w:ascii="Times New Roman" w:eastAsia="Times New Roman" w:hAnsi="Times New Roman" w:cs="Times New Roman"/>
                <w:b/>
                <w:color w:val="000000"/>
                <w:sz w:val="26"/>
                <w:szCs w:val="26"/>
                <w:lang w:eastAsia="ru-RU" w:bidi="ru-RU"/>
              </w:rPr>
              <w:t>2019/2020 учебный год</w:t>
            </w:r>
          </w:p>
        </w:tc>
        <w:tc>
          <w:tcPr>
            <w:tcW w:w="2393" w:type="dxa"/>
            <w:vAlign w:val="center"/>
          </w:tcPr>
          <w:p w14:paraId="065046B9" w14:textId="77777777" w:rsidR="009E31B7" w:rsidRPr="003A7FCC" w:rsidRDefault="009E31B7" w:rsidP="009E31B7">
            <w:pPr>
              <w:widowControl w:val="0"/>
              <w:tabs>
                <w:tab w:val="left" w:pos="4479"/>
                <w:tab w:val="left" w:pos="4406"/>
                <w:tab w:val="left" w:pos="7296"/>
              </w:tabs>
              <w:jc w:val="center"/>
              <w:rPr>
                <w:rFonts w:ascii="Times New Roman" w:eastAsia="Times New Roman" w:hAnsi="Times New Roman" w:cs="Times New Roman"/>
                <w:b/>
                <w:color w:val="000000"/>
                <w:sz w:val="26"/>
                <w:szCs w:val="26"/>
                <w:lang w:eastAsia="ru-RU" w:bidi="ru-RU"/>
              </w:rPr>
            </w:pPr>
            <w:r w:rsidRPr="003A7FCC">
              <w:rPr>
                <w:rFonts w:ascii="Times New Roman" w:eastAsia="Times New Roman" w:hAnsi="Times New Roman" w:cs="Times New Roman"/>
                <w:b/>
                <w:color w:val="000000"/>
                <w:sz w:val="26"/>
                <w:szCs w:val="26"/>
                <w:lang w:eastAsia="ru-RU" w:bidi="ru-RU"/>
              </w:rPr>
              <w:t>2020/2021 учебный год</w:t>
            </w:r>
          </w:p>
        </w:tc>
        <w:tc>
          <w:tcPr>
            <w:tcW w:w="2393" w:type="dxa"/>
            <w:vAlign w:val="center"/>
          </w:tcPr>
          <w:p w14:paraId="50B5CBD9" w14:textId="77777777" w:rsidR="009E31B7" w:rsidRPr="003A7FCC" w:rsidRDefault="009E31B7" w:rsidP="009E31B7">
            <w:pPr>
              <w:widowControl w:val="0"/>
              <w:tabs>
                <w:tab w:val="left" w:pos="4479"/>
                <w:tab w:val="left" w:pos="4406"/>
                <w:tab w:val="left" w:pos="7296"/>
              </w:tabs>
              <w:jc w:val="center"/>
              <w:rPr>
                <w:rFonts w:ascii="Times New Roman" w:eastAsia="Times New Roman" w:hAnsi="Times New Roman" w:cs="Times New Roman"/>
                <w:b/>
                <w:color w:val="000000"/>
                <w:sz w:val="26"/>
                <w:szCs w:val="26"/>
                <w:lang w:eastAsia="ru-RU" w:bidi="ru-RU"/>
              </w:rPr>
            </w:pPr>
            <w:r w:rsidRPr="003A7FCC">
              <w:rPr>
                <w:rFonts w:ascii="Times New Roman" w:eastAsia="Times New Roman" w:hAnsi="Times New Roman" w:cs="Times New Roman"/>
                <w:b/>
                <w:color w:val="000000"/>
                <w:sz w:val="26"/>
                <w:szCs w:val="26"/>
                <w:lang w:eastAsia="ru-RU" w:bidi="ru-RU"/>
              </w:rPr>
              <w:t>202</w:t>
            </w:r>
            <w:r>
              <w:rPr>
                <w:rFonts w:ascii="Times New Roman" w:eastAsia="Times New Roman" w:hAnsi="Times New Roman" w:cs="Times New Roman"/>
                <w:b/>
                <w:color w:val="000000"/>
                <w:sz w:val="26"/>
                <w:szCs w:val="26"/>
                <w:lang w:eastAsia="ru-RU" w:bidi="ru-RU"/>
              </w:rPr>
              <w:t>1</w:t>
            </w:r>
            <w:r w:rsidRPr="003A7FCC">
              <w:rPr>
                <w:rFonts w:ascii="Times New Roman" w:eastAsia="Times New Roman" w:hAnsi="Times New Roman" w:cs="Times New Roman"/>
                <w:b/>
                <w:color w:val="000000"/>
                <w:sz w:val="26"/>
                <w:szCs w:val="26"/>
                <w:lang w:eastAsia="ru-RU" w:bidi="ru-RU"/>
              </w:rPr>
              <w:t>/202</w:t>
            </w:r>
            <w:r>
              <w:rPr>
                <w:rFonts w:ascii="Times New Roman" w:eastAsia="Times New Roman" w:hAnsi="Times New Roman" w:cs="Times New Roman"/>
                <w:b/>
                <w:color w:val="000000"/>
                <w:sz w:val="26"/>
                <w:szCs w:val="26"/>
                <w:lang w:eastAsia="ru-RU" w:bidi="ru-RU"/>
              </w:rPr>
              <w:t>2</w:t>
            </w:r>
            <w:r w:rsidRPr="003A7FCC">
              <w:rPr>
                <w:rFonts w:ascii="Times New Roman" w:eastAsia="Times New Roman" w:hAnsi="Times New Roman" w:cs="Times New Roman"/>
                <w:b/>
                <w:color w:val="000000"/>
                <w:sz w:val="26"/>
                <w:szCs w:val="26"/>
                <w:lang w:eastAsia="ru-RU" w:bidi="ru-RU"/>
              </w:rPr>
              <w:t xml:space="preserve"> учебный год</w:t>
            </w:r>
          </w:p>
        </w:tc>
      </w:tr>
      <w:tr w:rsidR="009E31B7" w:rsidRPr="00D03A4F" w14:paraId="2E21F4C1" w14:textId="77777777" w:rsidTr="001A2F89">
        <w:trPr>
          <w:trHeight w:val="510"/>
        </w:trPr>
        <w:tc>
          <w:tcPr>
            <w:tcW w:w="2392" w:type="dxa"/>
            <w:vAlign w:val="center"/>
          </w:tcPr>
          <w:p w14:paraId="402B8CED" w14:textId="77777777" w:rsidR="009E31B7" w:rsidRPr="00A4059C" w:rsidRDefault="009E31B7" w:rsidP="009E31B7">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proofErr w:type="spellStart"/>
            <w:r w:rsidRPr="00A4059C">
              <w:rPr>
                <w:rFonts w:ascii="Times New Roman" w:eastAsia="Times New Roman" w:hAnsi="Times New Roman" w:cs="Times New Roman"/>
                <w:color w:val="000000"/>
                <w:sz w:val="26"/>
                <w:szCs w:val="26"/>
                <w:lang w:eastAsia="ru-RU" w:bidi="ru-RU"/>
              </w:rPr>
              <w:t>Бакалавриат</w:t>
            </w:r>
            <w:proofErr w:type="spellEnd"/>
          </w:p>
        </w:tc>
        <w:tc>
          <w:tcPr>
            <w:tcW w:w="2393" w:type="dxa"/>
            <w:vAlign w:val="center"/>
          </w:tcPr>
          <w:p w14:paraId="61CA30DE" w14:textId="77777777" w:rsidR="009E31B7" w:rsidRPr="00A4059C" w:rsidRDefault="009E31B7" w:rsidP="009E31B7">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296 298</w:t>
            </w:r>
          </w:p>
        </w:tc>
        <w:tc>
          <w:tcPr>
            <w:tcW w:w="2393" w:type="dxa"/>
            <w:vAlign w:val="center"/>
          </w:tcPr>
          <w:p w14:paraId="24C1AD82" w14:textId="77777777" w:rsidR="009E31B7" w:rsidRPr="00A4059C" w:rsidRDefault="009E31B7" w:rsidP="009E31B7">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314 407</w:t>
            </w:r>
          </w:p>
        </w:tc>
        <w:tc>
          <w:tcPr>
            <w:tcW w:w="2393" w:type="dxa"/>
            <w:vAlign w:val="center"/>
          </w:tcPr>
          <w:p w14:paraId="352A2D8B" w14:textId="77777777" w:rsidR="009E31B7" w:rsidRPr="00A4059C" w:rsidRDefault="009E31B7" w:rsidP="009E31B7">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336 658</w:t>
            </w:r>
          </w:p>
        </w:tc>
      </w:tr>
      <w:tr w:rsidR="009E31B7" w:rsidRPr="00D03A4F" w14:paraId="3FA32254" w14:textId="77777777" w:rsidTr="001A2F89">
        <w:trPr>
          <w:trHeight w:val="510"/>
        </w:trPr>
        <w:tc>
          <w:tcPr>
            <w:tcW w:w="2392" w:type="dxa"/>
            <w:vAlign w:val="center"/>
          </w:tcPr>
          <w:p w14:paraId="67B75FFC" w14:textId="77777777" w:rsidR="009E31B7" w:rsidRPr="00A4059C" w:rsidRDefault="009E31B7" w:rsidP="009E31B7">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proofErr w:type="spellStart"/>
            <w:r w:rsidRPr="00A4059C">
              <w:rPr>
                <w:rFonts w:ascii="Times New Roman" w:eastAsia="Times New Roman" w:hAnsi="Times New Roman" w:cs="Times New Roman"/>
                <w:color w:val="000000"/>
                <w:sz w:val="26"/>
                <w:szCs w:val="26"/>
                <w:lang w:eastAsia="ru-RU" w:bidi="ru-RU"/>
              </w:rPr>
              <w:t>Специалитет</w:t>
            </w:r>
            <w:proofErr w:type="spellEnd"/>
          </w:p>
        </w:tc>
        <w:tc>
          <w:tcPr>
            <w:tcW w:w="2393" w:type="dxa"/>
            <w:vAlign w:val="center"/>
          </w:tcPr>
          <w:p w14:paraId="00EA3884" w14:textId="77777777" w:rsidR="009E31B7" w:rsidRPr="00A4059C" w:rsidRDefault="009E31B7" w:rsidP="009E31B7">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72 629</w:t>
            </w:r>
          </w:p>
        </w:tc>
        <w:tc>
          <w:tcPr>
            <w:tcW w:w="2393" w:type="dxa"/>
            <w:vAlign w:val="center"/>
          </w:tcPr>
          <w:p w14:paraId="3486DDFF" w14:textId="77777777" w:rsidR="009E31B7" w:rsidRPr="00A4059C" w:rsidRDefault="009E31B7" w:rsidP="009E31B7">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sidRPr="00A4059C">
              <w:rPr>
                <w:rFonts w:ascii="Times New Roman" w:eastAsia="Times New Roman" w:hAnsi="Times New Roman" w:cs="Times New Roman"/>
                <w:color w:val="000000"/>
                <w:sz w:val="26"/>
                <w:szCs w:val="26"/>
                <w:lang w:eastAsia="ru-RU" w:bidi="ru-RU"/>
              </w:rPr>
              <w:t>77 778</w:t>
            </w:r>
          </w:p>
        </w:tc>
        <w:tc>
          <w:tcPr>
            <w:tcW w:w="2393" w:type="dxa"/>
            <w:vAlign w:val="center"/>
          </w:tcPr>
          <w:p w14:paraId="34FF4266" w14:textId="77777777" w:rsidR="009E31B7" w:rsidRPr="00A4059C" w:rsidRDefault="009E31B7" w:rsidP="009E31B7">
            <w:pPr>
              <w:widowControl w:val="0"/>
              <w:tabs>
                <w:tab w:val="left" w:pos="4479"/>
                <w:tab w:val="left" w:pos="4406"/>
                <w:tab w:val="left" w:pos="7296"/>
              </w:tabs>
              <w:jc w:val="center"/>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85 756</w:t>
            </w:r>
          </w:p>
        </w:tc>
      </w:tr>
      <w:tr w:rsidR="009E31B7" w:rsidRPr="00D03A4F" w14:paraId="7867AF7A" w14:textId="77777777" w:rsidTr="001A2F89">
        <w:trPr>
          <w:trHeight w:val="510"/>
        </w:trPr>
        <w:tc>
          <w:tcPr>
            <w:tcW w:w="2392" w:type="dxa"/>
            <w:vAlign w:val="center"/>
          </w:tcPr>
          <w:p w14:paraId="7068B57C" w14:textId="77777777" w:rsidR="009E31B7" w:rsidRPr="00A4059C" w:rsidRDefault="009E31B7" w:rsidP="009E31B7">
            <w:pPr>
              <w:widowControl w:val="0"/>
              <w:tabs>
                <w:tab w:val="left" w:pos="4479"/>
                <w:tab w:val="left" w:pos="4406"/>
                <w:tab w:val="left" w:pos="7296"/>
              </w:tabs>
              <w:jc w:val="center"/>
              <w:rPr>
                <w:rFonts w:ascii="Times New Roman" w:eastAsia="Times New Roman" w:hAnsi="Times New Roman" w:cs="Times New Roman"/>
                <w:b/>
                <w:color w:val="000000"/>
                <w:sz w:val="26"/>
                <w:szCs w:val="26"/>
                <w:lang w:eastAsia="ru-RU" w:bidi="ru-RU"/>
              </w:rPr>
            </w:pPr>
            <w:r w:rsidRPr="00A4059C">
              <w:rPr>
                <w:rFonts w:ascii="Times New Roman" w:eastAsia="Times New Roman" w:hAnsi="Times New Roman" w:cs="Times New Roman"/>
                <w:b/>
                <w:color w:val="000000"/>
                <w:sz w:val="26"/>
                <w:szCs w:val="26"/>
                <w:lang w:eastAsia="ru-RU" w:bidi="ru-RU"/>
              </w:rPr>
              <w:t>Итого</w:t>
            </w:r>
          </w:p>
        </w:tc>
        <w:tc>
          <w:tcPr>
            <w:tcW w:w="2393" w:type="dxa"/>
            <w:vAlign w:val="center"/>
          </w:tcPr>
          <w:p w14:paraId="7C074AC8" w14:textId="77777777" w:rsidR="009E31B7" w:rsidRPr="00A4059C" w:rsidRDefault="009E31B7" w:rsidP="009E31B7">
            <w:pPr>
              <w:widowControl w:val="0"/>
              <w:tabs>
                <w:tab w:val="left" w:pos="4479"/>
                <w:tab w:val="left" w:pos="4406"/>
                <w:tab w:val="left" w:pos="7296"/>
              </w:tabs>
              <w:jc w:val="center"/>
              <w:rPr>
                <w:rFonts w:ascii="Times New Roman" w:eastAsia="Times New Roman" w:hAnsi="Times New Roman" w:cs="Times New Roman"/>
                <w:b/>
                <w:color w:val="000000"/>
                <w:sz w:val="26"/>
                <w:szCs w:val="26"/>
                <w:lang w:eastAsia="ru-RU" w:bidi="ru-RU"/>
              </w:rPr>
            </w:pPr>
            <w:r w:rsidRPr="00A4059C">
              <w:rPr>
                <w:rFonts w:ascii="Times New Roman" w:eastAsia="Times New Roman" w:hAnsi="Times New Roman" w:cs="Times New Roman"/>
                <w:b/>
                <w:color w:val="000000"/>
                <w:sz w:val="26"/>
                <w:szCs w:val="26"/>
                <w:lang w:eastAsia="ru-RU" w:bidi="ru-RU"/>
              </w:rPr>
              <w:t>368 927</w:t>
            </w:r>
          </w:p>
        </w:tc>
        <w:tc>
          <w:tcPr>
            <w:tcW w:w="2393" w:type="dxa"/>
            <w:vAlign w:val="center"/>
          </w:tcPr>
          <w:p w14:paraId="3ECCDADC" w14:textId="77777777" w:rsidR="009E31B7" w:rsidRPr="00A4059C" w:rsidRDefault="009E31B7" w:rsidP="009E31B7">
            <w:pPr>
              <w:widowControl w:val="0"/>
              <w:tabs>
                <w:tab w:val="left" w:pos="4479"/>
                <w:tab w:val="left" w:pos="4406"/>
                <w:tab w:val="left" w:pos="7296"/>
              </w:tabs>
              <w:jc w:val="center"/>
              <w:rPr>
                <w:rFonts w:ascii="Times New Roman" w:eastAsia="Times New Roman" w:hAnsi="Times New Roman" w:cs="Times New Roman"/>
                <w:b/>
                <w:color w:val="000000"/>
                <w:sz w:val="26"/>
                <w:szCs w:val="26"/>
                <w:lang w:eastAsia="ru-RU" w:bidi="ru-RU"/>
              </w:rPr>
            </w:pPr>
            <w:r w:rsidRPr="00A4059C">
              <w:rPr>
                <w:rFonts w:ascii="Times New Roman" w:eastAsia="Times New Roman" w:hAnsi="Times New Roman" w:cs="Times New Roman"/>
                <w:b/>
                <w:color w:val="000000"/>
                <w:sz w:val="26"/>
                <w:szCs w:val="26"/>
                <w:lang w:eastAsia="ru-RU" w:bidi="ru-RU"/>
              </w:rPr>
              <w:t>392 185</w:t>
            </w:r>
          </w:p>
        </w:tc>
        <w:tc>
          <w:tcPr>
            <w:tcW w:w="2393" w:type="dxa"/>
            <w:vAlign w:val="center"/>
          </w:tcPr>
          <w:p w14:paraId="53F4FBAB" w14:textId="77777777" w:rsidR="009E31B7" w:rsidRPr="00A4059C" w:rsidRDefault="009E31B7" w:rsidP="009E31B7">
            <w:pPr>
              <w:widowControl w:val="0"/>
              <w:tabs>
                <w:tab w:val="left" w:pos="4479"/>
                <w:tab w:val="left" w:pos="4406"/>
                <w:tab w:val="left" w:pos="7296"/>
              </w:tabs>
              <w:jc w:val="center"/>
              <w:rPr>
                <w:rFonts w:ascii="Times New Roman" w:eastAsia="Times New Roman" w:hAnsi="Times New Roman" w:cs="Times New Roman"/>
                <w:b/>
                <w:color w:val="000000"/>
                <w:sz w:val="26"/>
                <w:szCs w:val="26"/>
                <w:lang w:eastAsia="ru-RU" w:bidi="ru-RU"/>
              </w:rPr>
            </w:pPr>
            <w:r>
              <w:rPr>
                <w:rFonts w:ascii="Times New Roman" w:eastAsia="Times New Roman" w:hAnsi="Times New Roman" w:cs="Times New Roman"/>
                <w:b/>
                <w:color w:val="000000"/>
                <w:sz w:val="26"/>
                <w:szCs w:val="26"/>
                <w:lang w:eastAsia="ru-RU" w:bidi="ru-RU"/>
              </w:rPr>
              <w:t>422 414</w:t>
            </w:r>
          </w:p>
        </w:tc>
      </w:tr>
    </w:tbl>
    <w:p w14:paraId="3CC3CBCA" w14:textId="77777777" w:rsidR="005707B4" w:rsidRDefault="005707B4" w:rsidP="009E31B7">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p>
    <w:p w14:paraId="3E6DD096" w14:textId="77777777" w:rsidR="009E31B7" w:rsidRDefault="009E31B7" w:rsidP="009E31B7">
      <w:pPr>
        <w:widowControl w:val="0"/>
        <w:spacing w:after="0" w:line="312"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Минобрнауки России завершена работа по актуализации </w:t>
      </w:r>
      <w:r w:rsidR="005707B4">
        <w:rPr>
          <w:rFonts w:ascii="Times New Roman" w:eastAsia="Times New Roman" w:hAnsi="Times New Roman" w:cs="Times New Roman"/>
          <w:color w:val="000000"/>
          <w:sz w:val="28"/>
          <w:szCs w:val="28"/>
          <w:lang w:eastAsia="ru-RU" w:bidi="ru-RU"/>
        </w:rPr>
        <w:t xml:space="preserve">ФГОС высшего образования </w:t>
      </w:r>
      <w:r>
        <w:rPr>
          <w:rFonts w:ascii="Times New Roman" w:eastAsia="Times New Roman" w:hAnsi="Times New Roman" w:cs="Times New Roman"/>
          <w:color w:val="000000"/>
          <w:sz w:val="28"/>
          <w:szCs w:val="28"/>
          <w:lang w:eastAsia="ru-RU" w:bidi="ru-RU"/>
        </w:rPr>
        <w:t xml:space="preserve">уровней бакалавриата, специалитета и магистратуры. Актуализированные ФГОС </w:t>
      </w:r>
      <w:r w:rsidR="005707B4">
        <w:rPr>
          <w:rFonts w:ascii="Times New Roman" w:eastAsia="Times New Roman" w:hAnsi="Times New Roman" w:cs="Times New Roman"/>
          <w:color w:val="000000"/>
          <w:sz w:val="28"/>
          <w:szCs w:val="28"/>
          <w:lang w:eastAsia="ru-RU" w:bidi="ru-RU"/>
        </w:rPr>
        <w:t>высшего образования</w:t>
      </w:r>
      <w:r>
        <w:rPr>
          <w:rFonts w:ascii="Times New Roman" w:eastAsia="Times New Roman" w:hAnsi="Times New Roman" w:cs="Times New Roman"/>
          <w:color w:val="000000"/>
          <w:sz w:val="28"/>
          <w:szCs w:val="28"/>
          <w:lang w:eastAsia="ru-RU" w:bidi="ru-RU"/>
        </w:rPr>
        <w:t xml:space="preserve"> сопряжены с требованиями профессиональных стандартов и предусматривают возможность разработки образовательными организациями высшего образования гибких образовательных программ, расширение практической подготовки студентов с участием предприятий. Профессиональные компетенции формируются с учетом профессиональных стандартов и (или) на основе требований рынка труда, потребностей отрасли и конкретного региона.</w:t>
      </w:r>
    </w:p>
    <w:p w14:paraId="15E7D9EB" w14:textId="3B508F6F" w:rsidR="009E31B7" w:rsidRPr="00D03A4F" w:rsidRDefault="009E31B7" w:rsidP="009E31B7">
      <w:pPr>
        <w:spacing w:after="0" w:line="312" w:lineRule="auto"/>
        <w:ind w:firstLine="720"/>
        <w:jc w:val="both"/>
        <w:rPr>
          <w:rFonts w:ascii="Times New Roman" w:eastAsia="Times New Roman" w:hAnsi="Times New Roman" w:cs="Times New Roman"/>
          <w:color w:val="000000"/>
          <w:sz w:val="28"/>
          <w:szCs w:val="28"/>
          <w:shd w:val="clear" w:color="auto" w:fill="FFFFFF"/>
          <w:lang w:eastAsia="ru-RU"/>
        </w:rPr>
      </w:pPr>
      <w:r w:rsidRPr="00D03A4F">
        <w:rPr>
          <w:rFonts w:ascii="Times New Roman" w:eastAsia="Calibri" w:hAnsi="Times New Roman" w:cs="Times New Roman"/>
          <w:sz w:val="28"/>
          <w:szCs w:val="28"/>
          <w:lang w:eastAsia="ru-RU"/>
        </w:rPr>
        <w:t xml:space="preserve">В соответствии со </w:t>
      </w:r>
      <w:r w:rsidRPr="00D03A4F">
        <w:rPr>
          <w:rFonts w:ascii="Times New Roman" w:eastAsia="Times New Roman" w:hAnsi="Times New Roman" w:cs="Times New Roman"/>
          <w:color w:val="000000"/>
          <w:sz w:val="28"/>
          <w:szCs w:val="28"/>
          <w:shd w:val="clear" w:color="auto" w:fill="FFFFFF"/>
          <w:lang w:eastAsia="ru-RU"/>
        </w:rPr>
        <w:t>статьей 36 Федерального закона от 29</w:t>
      </w:r>
      <w:r w:rsidR="00F707C9">
        <w:rPr>
          <w:rFonts w:ascii="Times New Roman" w:eastAsia="Times New Roman" w:hAnsi="Times New Roman" w:cs="Times New Roman"/>
          <w:color w:val="000000"/>
          <w:sz w:val="28"/>
          <w:szCs w:val="28"/>
          <w:shd w:val="clear" w:color="auto" w:fill="FFFFFF"/>
          <w:lang w:eastAsia="ru-RU"/>
        </w:rPr>
        <w:t xml:space="preserve"> декабря </w:t>
      </w:r>
      <w:r w:rsidRPr="00D03A4F">
        <w:rPr>
          <w:rFonts w:ascii="Times New Roman" w:eastAsia="Times New Roman" w:hAnsi="Times New Roman" w:cs="Times New Roman"/>
          <w:color w:val="000000"/>
          <w:sz w:val="28"/>
          <w:szCs w:val="28"/>
          <w:shd w:val="clear" w:color="auto" w:fill="FFFFFF"/>
          <w:lang w:eastAsia="ru-RU"/>
        </w:rPr>
        <w:t xml:space="preserve">2012 г. </w:t>
      </w:r>
      <w:r w:rsidR="00F707C9">
        <w:rPr>
          <w:rFonts w:ascii="Times New Roman" w:eastAsia="Times New Roman" w:hAnsi="Times New Roman" w:cs="Times New Roman"/>
          <w:color w:val="000000"/>
          <w:sz w:val="28"/>
          <w:szCs w:val="28"/>
          <w:shd w:val="clear" w:color="auto" w:fill="FFFFFF"/>
          <w:lang w:eastAsia="ru-RU"/>
        </w:rPr>
        <w:br/>
      </w:r>
      <w:r w:rsidRPr="00D03A4F">
        <w:rPr>
          <w:rFonts w:ascii="Times New Roman" w:eastAsia="Times New Roman" w:hAnsi="Times New Roman" w:cs="Times New Roman"/>
          <w:color w:val="000000"/>
          <w:sz w:val="28"/>
          <w:szCs w:val="28"/>
          <w:shd w:val="clear" w:color="auto" w:fill="FFFFFF"/>
          <w:lang w:eastAsia="ru-RU"/>
        </w:rPr>
        <w:t>№ 273-ФЗ, постановлением Прав</w:t>
      </w:r>
      <w:r w:rsidR="00F707C9">
        <w:rPr>
          <w:rFonts w:ascii="Times New Roman" w:eastAsia="Times New Roman" w:hAnsi="Times New Roman" w:cs="Times New Roman"/>
          <w:color w:val="000000"/>
          <w:sz w:val="28"/>
          <w:szCs w:val="28"/>
          <w:shd w:val="clear" w:color="auto" w:fill="FFFFFF"/>
          <w:lang w:eastAsia="ru-RU"/>
        </w:rPr>
        <w:t xml:space="preserve">ительства Российской Федерации </w:t>
      </w:r>
      <w:r w:rsidRPr="00D03A4F">
        <w:rPr>
          <w:rFonts w:ascii="Times New Roman" w:eastAsia="Times New Roman" w:hAnsi="Times New Roman" w:cs="Times New Roman"/>
          <w:color w:val="000000"/>
          <w:sz w:val="28"/>
          <w:szCs w:val="28"/>
          <w:shd w:val="clear" w:color="auto" w:fill="FFFFFF"/>
          <w:lang w:eastAsia="ru-RU"/>
        </w:rPr>
        <w:t xml:space="preserve">от 17 декабря </w:t>
      </w:r>
      <w:r w:rsidR="005360FA">
        <w:rPr>
          <w:rFonts w:ascii="Times New Roman" w:eastAsia="Times New Roman" w:hAnsi="Times New Roman" w:cs="Times New Roman"/>
          <w:color w:val="000000"/>
          <w:sz w:val="28"/>
          <w:szCs w:val="28"/>
          <w:shd w:val="clear" w:color="auto" w:fill="FFFFFF"/>
          <w:lang w:eastAsia="ru-RU"/>
        </w:rPr>
        <w:br/>
      </w:r>
      <w:r w:rsidRPr="00D03A4F">
        <w:rPr>
          <w:rFonts w:ascii="Times New Roman" w:eastAsia="Times New Roman" w:hAnsi="Times New Roman" w:cs="Times New Roman"/>
          <w:color w:val="000000"/>
          <w:sz w:val="28"/>
          <w:szCs w:val="28"/>
          <w:shd w:val="clear" w:color="auto" w:fill="FFFFFF"/>
          <w:lang w:eastAsia="ru-RU"/>
        </w:rPr>
        <w:t xml:space="preserve">2016 г. № 1390 «О формировании стипендиального фонда» (далее – постановление Правительства Российской Федерации от 17 декабря 2016 г. № 1390), </w:t>
      </w:r>
      <w:r w:rsidR="00F707C9">
        <w:rPr>
          <w:rFonts w:ascii="Times New Roman" w:eastAsia="Times New Roman" w:hAnsi="Times New Roman" w:cs="Times New Roman"/>
          <w:color w:val="000000"/>
          <w:sz w:val="28"/>
          <w:szCs w:val="28"/>
          <w:shd w:val="clear" w:color="auto" w:fill="FFFFFF"/>
          <w:lang w:eastAsia="ru-RU"/>
        </w:rPr>
        <w:t>п</w:t>
      </w:r>
      <w:r w:rsidRPr="00D03A4F">
        <w:rPr>
          <w:rFonts w:ascii="Times New Roman" w:eastAsia="Times New Roman" w:hAnsi="Times New Roman" w:cs="Times New Roman"/>
          <w:color w:val="000000"/>
          <w:sz w:val="28"/>
          <w:szCs w:val="28"/>
          <w:shd w:val="clear" w:color="auto" w:fill="FFFFFF"/>
          <w:lang w:eastAsia="ru-RU"/>
        </w:rPr>
        <w:t xml:space="preserve">риказом Министерства образования и науки Российской Федерации от 27 декабря 2016 г. </w:t>
      </w:r>
      <w:r w:rsidR="00F707C9">
        <w:rPr>
          <w:rFonts w:ascii="Times New Roman" w:eastAsia="Times New Roman" w:hAnsi="Times New Roman" w:cs="Times New Roman"/>
          <w:color w:val="000000"/>
          <w:sz w:val="28"/>
          <w:szCs w:val="28"/>
          <w:shd w:val="clear" w:color="auto" w:fill="FFFFFF"/>
          <w:lang w:eastAsia="ru-RU"/>
        </w:rPr>
        <w:br/>
      </w:r>
      <w:r w:rsidRPr="00D03A4F">
        <w:rPr>
          <w:rFonts w:ascii="Times New Roman" w:eastAsia="Times New Roman" w:hAnsi="Times New Roman" w:cs="Times New Roman"/>
          <w:color w:val="000000"/>
          <w:sz w:val="28"/>
          <w:szCs w:val="28"/>
          <w:shd w:val="clear" w:color="auto" w:fill="FFFFFF"/>
          <w:lang w:eastAsia="ru-RU"/>
        </w:rPr>
        <w:t>№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отдельным категориям студентов предоставлено право на получение государственной социальной стипендии.</w:t>
      </w:r>
    </w:p>
    <w:p w14:paraId="7A9FD486" w14:textId="77777777" w:rsidR="009E31B7" w:rsidRPr="00D03A4F" w:rsidRDefault="009E31B7" w:rsidP="009E31B7">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Государственная социальная стипендия назначается:</w:t>
      </w:r>
    </w:p>
    <w:p w14:paraId="60A915CF" w14:textId="77777777" w:rsidR="009E31B7" w:rsidRPr="00D03A4F" w:rsidRDefault="009E31B7" w:rsidP="009E31B7">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p>
    <w:p w14:paraId="51B68D3A" w14:textId="528C96BD" w:rsidR="009E31B7" w:rsidRPr="00D03A4F" w:rsidRDefault="009E31B7" w:rsidP="009E31B7">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w:t>
      </w:r>
      <w:r w:rsidRPr="00D03A4F">
        <w:rPr>
          <w:rFonts w:ascii="Times New Roman" w:eastAsia="Calibri" w:hAnsi="Times New Roman" w:cs="Times New Roman"/>
          <w:sz w:val="28"/>
          <w:szCs w:val="28"/>
        </w:rPr>
        <w:t> </w:t>
      </w:r>
      <w:r w:rsidRPr="00D03A4F">
        <w:rPr>
          <w:rFonts w:ascii="Times New Roman" w:eastAsia="Calibri" w:hAnsi="Times New Roman" w:cs="Times New Roman"/>
          <w:color w:val="000000"/>
          <w:sz w:val="28"/>
          <w:szCs w:val="28"/>
          <w:shd w:val="clear" w:color="auto" w:fill="FFFFFF"/>
        </w:rPr>
        <w:t>студентам, являющимся детьми</w:t>
      </w:r>
      <w:r w:rsidR="003B77D7" w:rsidRPr="003B77D7">
        <w:rPr>
          <w:rFonts w:ascii="Times New Roman" w:eastAsia="Times New Roman" w:hAnsi="Times New Roman" w:cs="Times New Roman"/>
          <w:sz w:val="28"/>
          <w:szCs w:val="28"/>
          <w:lang w:eastAsia="ru-RU"/>
        </w:rPr>
        <w:t xml:space="preserve"> </w:t>
      </w:r>
      <w:r w:rsidR="003B77D7">
        <w:rPr>
          <w:rFonts w:ascii="Times New Roman" w:eastAsia="Times New Roman" w:hAnsi="Times New Roman" w:cs="Times New Roman"/>
          <w:sz w:val="28"/>
          <w:szCs w:val="28"/>
          <w:lang w:eastAsia="ru-RU"/>
        </w:rPr>
        <w:t>с инвалидностью</w:t>
      </w:r>
      <w:r w:rsidRPr="00D03A4F">
        <w:rPr>
          <w:rFonts w:ascii="Times New Roman" w:eastAsia="Calibri" w:hAnsi="Times New Roman" w:cs="Times New Roman"/>
          <w:color w:val="000000"/>
          <w:sz w:val="28"/>
          <w:szCs w:val="28"/>
          <w:shd w:val="clear" w:color="auto" w:fill="FFFFFF"/>
        </w:rPr>
        <w:t xml:space="preserve">, </w:t>
      </w:r>
      <w:r w:rsidR="003B77D7">
        <w:rPr>
          <w:rFonts w:ascii="Times New Roman" w:eastAsia="Times New Roman" w:hAnsi="Times New Roman" w:cs="Times New Roman"/>
          <w:sz w:val="28"/>
          <w:szCs w:val="28"/>
          <w:lang w:eastAsia="ru-RU"/>
        </w:rPr>
        <w:t>инвалидностью</w:t>
      </w:r>
      <w:r w:rsidR="003B77D7" w:rsidRPr="00D03A4F" w:rsidDel="003B77D7">
        <w:rPr>
          <w:rFonts w:ascii="Times New Roman" w:eastAsia="Calibri" w:hAnsi="Times New Roman" w:cs="Times New Roman"/>
          <w:color w:val="000000"/>
          <w:sz w:val="28"/>
          <w:szCs w:val="28"/>
          <w:shd w:val="clear" w:color="auto" w:fill="FFFFFF"/>
        </w:rPr>
        <w:t xml:space="preserve"> </w:t>
      </w:r>
      <w:r w:rsidRPr="00D03A4F">
        <w:rPr>
          <w:rFonts w:ascii="Times New Roman" w:eastAsia="Calibri" w:hAnsi="Times New Roman" w:cs="Times New Roman"/>
          <w:color w:val="000000"/>
          <w:sz w:val="28"/>
          <w:szCs w:val="28"/>
          <w:shd w:val="clear" w:color="auto" w:fill="FFFFFF"/>
        </w:rPr>
        <w:t xml:space="preserve">I и II групп, </w:t>
      </w:r>
      <w:r w:rsidR="003B77D7">
        <w:rPr>
          <w:rFonts w:ascii="Times New Roman" w:eastAsia="Times New Roman" w:hAnsi="Times New Roman" w:cs="Times New Roman"/>
          <w:sz w:val="28"/>
          <w:szCs w:val="28"/>
          <w:lang w:eastAsia="ru-RU"/>
        </w:rPr>
        <w:t>инвалидностью</w:t>
      </w:r>
      <w:r w:rsidRPr="00D03A4F">
        <w:rPr>
          <w:rFonts w:ascii="Times New Roman" w:eastAsia="Calibri" w:hAnsi="Times New Roman" w:cs="Times New Roman"/>
          <w:color w:val="000000"/>
          <w:sz w:val="28"/>
          <w:szCs w:val="28"/>
          <w:shd w:val="clear" w:color="auto" w:fill="FFFFFF"/>
        </w:rPr>
        <w:t xml:space="preserve"> с детства;</w:t>
      </w:r>
    </w:p>
    <w:p w14:paraId="6354BA8B" w14:textId="77777777" w:rsidR="009E31B7" w:rsidRPr="00D03A4F" w:rsidRDefault="009E31B7" w:rsidP="009E31B7">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14:paraId="4485437B" w14:textId="767FBA62" w:rsidR="009E31B7" w:rsidRPr="00D03A4F" w:rsidRDefault="009E31B7" w:rsidP="009E31B7">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xml:space="preserve">- студентам, являющимся </w:t>
      </w:r>
      <w:r w:rsidR="003B77D7">
        <w:rPr>
          <w:rFonts w:ascii="Times New Roman" w:eastAsia="Calibri" w:hAnsi="Times New Roman" w:cs="Times New Roman"/>
          <w:color w:val="000000"/>
          <w:sz w:val="28"/>
          <w:szCs w:val="28"/>
          <w:shd w:val="clear" w:color="auto" w:fill="FFFFFF"/>
        </w:rPr>
        <w:t xml:space="preserve">гражданами </w:t>
      </w:r>
      <w:r w:rsidR="003B77D7">
        <w:rPr>
          <w:rFonts w:ascii="Times New Roman" w:eastAsia="Times New Roman" w:hAnsi="Times New Roman" w:cs="Times New Roman"/>
          <w:sz w:val="28"/>
          <w:szCs w:val="28"/>
          <w:lang w:eastAsia="ru-RU"/>
        </w:rPr>
        <w:t>с инвалидностью</w:t>
      </w:r>
      <w:r w:rsidR="003B77D7" w:rsidRPr="00D03A4F" w:rsidDel="003B77D7">
        <w:rPr>
          <w:rFonts w:ascii="Times New Roman" w:eastAsia="Calibri" w:hAnsi="Times New Roman" w:cs="Times New Roman"/>
          <w:color w:val="000000"/>
          <w:sz w:val="28"/>
          <w:szCs w:val="28"/>
          <w:shd w:val="clear" w:color="auto" w:fill="FFFFFF"/>
        </w:rPr>
        <w:t xml:space="preserve"> </w:t>
      </w:r>
      <w:r w:rsidRPr="00D03A4F">
        <w:rPr>
          <w:rFonts w:ascii="Times New Roman" w:eastAsia="Calibri" w:hAnsi="Times New Roman" w:cs="Times New Roman"/>
          <w:color w:val="000000"/>
          <w:sz w:val="28"/>
          <w:szCs w:val="28"/>
          <w:shd w:val="clear" w:color="auto" w:fill="FFFFFF"/>
        </w:rPr>
        <w:t>вследствие военной травмы или заболевания, полученных в период прохождения военной службы, и ветеранами боевых действий;</w:t>
      </w:r>
    </w:p>
    <w:p w14:paraId="477AAF7B" w14:textId="77777777" w:rsidR="009E31B7" w:rsidRPr="00D03A4F" w:rsidRDefault="009E31B7" w:rsidP="009E31B7">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студентам, получившим государственную социальную помощь;</w:t>
      </w:r>
    </w:p>
    <w:p w14:paraId="48AAEDCE" w14:textId="77777777" w:rsidR="009E31B7" w:rsidRPr="00D03A4F" w:rsidRDefault="009E31B7" w:rsidP="009E31B7">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w:t>
      </w:r>
      <w:r w:rsidRPr="00D03A4F">
        <w:rPr>
          <w:rFonts w:ascii="Times New Roman" w:eastAsia="Calibri" w:hAnsi="Times New Roman" w:cs="Times New Roman"/>
          <w:sz w:val="28"/>
          <w:szCs w:val="28"/>
        </w:rPr>
        <w:t> </w:t>
      </w:r>
      <w:r w:rsidRPr="00D03A4F">
        <w:rPr>
          <w:rFonts w:ascii="Times New Roman" w:eastAsia="Calibri" w:hAnsi="Times New Roman" w:cs="Times New Roman"/>
          <w:color w:val="000000"/>
          <w:sz w:val="28"/>
          <w:szCs w:val="28"/>
          <w:shd w:val="clear" w:color="auto" w:fill="FFFFFF"/>
        </w:rPr>
        <w:t>-</w:t>
      </w:r>
      <w:r w:rsidRPr="00D03A4F">
        <w:rPr>
          <w:rFonts w:ascii="Times New Roman" w:eastAsia="Calibri" w:hAnsi="Times New Roman" w:cs="Times New Roman"/>
          <w:sz w:val="28"/>
          <w:szCs w:val="28"/>
        </w:rPr>
        <w:t> </w:t>
      </w:r>
      <w:r w:rsidRPr="00D03A4F">
        <w:rPr>
          <w:rFonts w:ascii="Times New Roman" w:eastAsia="Calibri" w:hAnsi="Times New Roman" w:cs="Times New Roman"/>
          <w:color w:val="000000"/>
          <w:sz w:val="28"/>
          <w:szCs w:val="28"/>
          <w:shd w:val="clear" w:color="auto" w:fill="FFFFFF"/>
        </w:rPr>
        <w:t>«г» пункта 1, подпунктом «а» пункта 2 и подпунктом «а»</w:t>
      </w:r>
      <w:r w:rsidRPr="00D03A4F">
        <w:rPr>
          <w:rFonts w:ascii="Times New Roman" w:eastAsia="Calibri" w:hAnsi="Times New Roman" w:cs="Times New Roman"/>
          <w:sz w:val="28"/>
          <w:szCs w:val="28"/>
        </w:rPr>
        <w:t> </w:t>
      </w:r>
      <w:r w:rsidRPr="00D03A4F">
        <w:rPr>
          <w:rFonts w:ascii="Times New Roman" w:eastAsia="Calibri" w:hAnsi="Times New Roman" w:cs="Times New Roman"/>
          <w:color w:val="000000"/>
          <w:sz w:val="28"/>
          <w:szCs w:val="28"/>
          <w:shd w:val="clear" w:color="auto" w:fill="FFFFFF"/>
        </w:rPr>
        <w:t>-</w:t>
      </w:r>
      <w:r w:rsidRPr="00D03A4F">
        <w:rPr>
          <w:rFonts w:ascii="Times New Roman" w:eastAsia="Calibri" w:hAnsi="Times New Roman" w:cs="Times New Roman"/>
          <w:sz w:val="28"/>
          <w:szCs w:val="28"/>
        </w:rPr>
        <w:t> </w:t>
      </w:r>
      <w:r w:rsidRPr="00D03A4F">
        <w:rPr>
          <w:rFonts w:ascii="Times New Roman" w:eastAsia="Calibri" w:hAnsi="Times New Roman" w:cs="Times New Roman"/>
          <w:color w:val="000000"/>
          <w:sz w:val="28"/>
          <w:szCs w:val="28"/>
          <w:shd w:val="clear" w:color="auto" w:fill="FFFFFF"/>
        </w:rPr>
        <w:t xml:space="preserve">«в» пункта 3 статьи 51 Федерального закона </w:t>
      </w:r>
      <w:r w:rsidR="00F707C9">
        <w:rPr>
          <w:rFonts w:ascii="Times New Roman" w:eastAsia="Calibri" w:hAnsi="Times New Roman" w:cs="Times New Roman"/>
          <w:color w:val="000000"/>
          <w:sz w:val="28"/>
          <w:szCs w:val="28"/>
          <w:shd w:val="clear" w:color="auto" w:fill="FFFFFF"/>
        </w:rPr>
        <w:br/>
      </w:r>
      <w:r w:rsidRPr="00D03A4F">
        <w:rPr>
          <w:rFonts w:ascii="Times New Roman" w:eastAsia="Calibri" w:hAnsi="Times New Roman" w:cs="Times New Roman"/>
          <w:color w:val="000000"/>
          <w:sz w:val="28"/>
          <w:szCs w:val="28"/>
          <w:shd w:val="clear" w:color="auto" w:fill="FFFFFF"/>
        </w:rPr>
        <w:t>от 28 марта 1998 г. №</w:t>
      </w:r>
      <w:r w:rsidRPr="00D03A4F">
        <w:rPr>
          <w:rFonts w:ascii="Times New Roman" w:eastAsia="Calibri" w:hAnsi="Times New Roman" w:cs="Times New Roman"/>
          <w:sz w:val="28"/>
          <w:szCs w:val="28"/>
        </w:rPr>
        <w:t> </w:t>
      </w:r>
      <w:r w:rsidRPr="00D03A4F">
        <w:rPr>
          <w:rFonts w:ascii="Times New Roman" w:eastAsia="Calibri" w:hAnsi="Times New Roman" w:cs="Times New Roman"/>
          <w:color w:val="000000"/>
          <w:sz w:val="28"/>
          <w:szCs w:val="28"/>
          <w:shd w:val="clear" w:color="auto" w:fill="FFFFFF"/>
        </w:rPr>
        <w:t>53-Ф3 «О воинской обязанности и военной службе».</w:t>
      </w:r>
    </w:p>
    <w:p w14:paraId="6071D5CB" w14:textId="77777777" w:rsidR="009E31B7" w:rsidRPr="00D03A4F" w:rsidRDefault="009E31B7" w:rsidP="009E31B7">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color w:val="000000"/>
          <w:sz w:val="28"/>
          <w:szCs w:val="28"/>
          <w:shd w:val="clear" w:color="auto" w:fill="FFFFFF"/>
        </w:rPr>
        <w:t xml:space="preserve">В соответствии с постановлением Правительства Российской Федерации </w:t>
      </w:r>
      <w:r w:rsidR="00F707C9">
        <w:rPr>
          <w:rFonts w:ascii="Times New Roman" w:eastAsia="Calibri" w:hAnsi="Times New Roman" w:cs="Times New Roman"/>
          <w:color w:val="000000"/>
          <w:sz w:val="28"/>
          <w:szCs w:val="28"/>
          <w:shd w:val="clear" w:color="auto" w:fill="FFFFFF"/>
        </w:rPr>
        <w:br/>
      </w:r>
      <w:r w:rsidRPr="00D03A4F">
        <w:rPr>
          <w:rFonts w:ascii="Times New Roman" w:eastAsia="Calibri" w:hAnsi="Times New Roman" w:cs="Times New Roman"/>
          <w:color w:val="000000"/>
          <w:sz w:val="28"/>
          <w:szCs w:val="28"/>
          <w:shd w:val="clear" w:color="auto" w:fill="FFFFFF"/>
        </w:rPr>
        <w:t xml:space="preserve">от 17 декабря 2016 г. № 1390 величины нормативов государственной социальной стипендии для формирования стипендиального фонда для обучающихся по программам </w:t>
      </w:r>
      <w:r w:rsidR="005707B4">
        <w:rPr>
          <w:rFonts w:ascii="Times New Roman" w:eastAsia="Calibri" w:hAnsi="Times New Roman" w:cs="Times New Roman"/>
          <w:color w:val="000000"/>
          <w:sz w:val="28"/>
          <w:szCs w:val="28"/>
          <w:shd w:val="clear" w:color="auto" w:fill="FFFFFF"/>
        </w:rPr>
        <w:t xml:space="preserve">высшего образования составляют </w:t>
      </w:r>
      <w:r w:rsidRPr="00D03A4F">
        <w:rPr>
          <w:rFonts w:ascii="Times New Roman" w:eastAsia="Calibri" w:hAnsi="Times New Roman" w:cs="Times New Roman"/>
          <w:color w:val="000000"/>
          <w:sz w:val="28"/>
          <w:szCs w:val="28"/>
          <w:shd w:val="clear" w:color="auto" w:fill="FFFFFF"/>
        </w:rPr>
        <w:t>2 227 рублей.</w:t>
      </w:r>
    </w:p>
    <w:p w14:paraId="0A23C469" w14:textId="77777777" w:rsidR="009E31B7" w:rsidRPr="00444BDE" w:rsidRDefault="009E31B7" w:rsidP="009E31B7">
      <w:pPr>
        <w:widowControl w:val="0"/>
        <w:spacing w:after="0" w:line="312" w:lineRule="auto"/>
        <w:ind w:firstLine="720"/>
        <w:jc w:val="both"/>
        <w:rPr>
          <w:rFonts w:ascii="Times New Roman" w:eastAsia="Calibri" w:hAnsi="Times New Roman" w:cs="Times New Roman"/>
          <w:color w:val="000000"/>
          <w:sz w:val="28"/>
          <w:szCs w:val="28"/>
          <w:shd w:val="clear" w:color="auto" w:fill="FFFFFF"/>
        </w:rPr>
      </w:pPr>
      <w:r w:rsidRPr="00444BDE">
        <w:rPr>
          <w:rFonts w:ascii="Times New Roman" w:eastAsia="Calibri" w:hAnsi="Times New Roman" w:cs="Times New Roman"/>
          <w:color w:val="000000"/>
          <w:sz w:val="28"/>
          <w:szCs w:val="28"/>
          <w:shd w:val="clear" w:color="auto" w:fill="FFFFFF"/>
        </w:rPr>
        <w:t>По результатам мониторинга стипендиального обеспечения, проводившегося Минобрнауки России в 202</w:t>
      </w:r>
      <w:r w:rsidR="005707B4">
        <w:rPr>
          <w:rFonts w:ascii="Times New Roman" w:eastAsia="Calibri" w:hAnsi="Times New Roman" w:cs="Times New Roman"/>
          <w:color w:val="000000"/>
          <w:sz w:val="28"/>
          <w:szCs w:val="28"/>
          <w:shd w:val="clear" w:color="auto" w:fill="FFFFFF"/>
        </w:rPr>
        <w:t>1</w:t>
      </w:r>
      <w:r w:rsidRPr="00444BDE">
        <w:rPr>
          <w:rFonts w:ascii="Times New Roman" w:eastAsia="Calibri" w:hAnsi="Times New Roman" w:cs="Times New Roman"/>
          <w:color w:val="000000"/>
          <w:sz w:val="28"/>
          <w:szCs w:val="28"/>
          <w:shd w:val="clear" w:color="auto" w:fill="FFFFFF"/>
        </w:rPr>
        <w:t xml:space="preserve"> г</w:t>
      </w:r>
      <w:r w:rsidR="00F707C9">
        <w:rPr>
          <w:rFonts w:ascii="Times New Roman" w:eastAsia="Calibri" w:hAnsi="Times New Roman" w:cs="Times New Roman"/>
          <w:color w:val="000000"/>
          <w:sz w:val="28"/>
          <w:szCs w:val="28"/>
          <w:shd w:val="clear" w:color="auto" w:fill="FFFFFF"/>
        </w:rPr>
        <w:t>.</w:t>
      </w:r>
      <w:r w:rsidRPr="00444BDE">
        <w:rPr>
          <w:rFonts w:ascii="Times New Roman" w:eastAsia="Calibri" w:hAnsi="Times New Roman" w:cs="Times New Roman"/>
          <w:color w:val="000000"/>
          <w:sz w:val="28"/>
          <w:szCs w:val="28"/>
          <w:shd w:val="clear" w:color="auto" w:fill="FFFFFF"/>
        </w:rPr>
        <w:t xml:space="preserve"> в 44</w:t>
      </w:r>
      <w:r w:rsidR="005707B4">
        <w:rPr>
          <w:rFonts w:ascii="Times New Roman" w:eastAsia="Calibri" w:hAnsi="Times New Roman" w:cs="Times New Roman"/>
          <w:color w:val="000000"/>
          <w:sz w:val="28"/>
          <w:szCs w:val="28"/>
          <w:shd w:val="clear" w:color="auto" w:fill="FFFFFF"/>
        </w:rPr>
        <w:t>9</w:t>
      </w:r>
      <w:r w:rsidRPr="00444BDE">
        <w:rPr>
          <w:rFonts w:ascii="Times New Roman" w:eastAsia="Calibri" w:hAnsi="Times New Roman" w:cs="Times New Roman"/>
          <w:color w:val="000000"/>
          <w:sz w:val="28"/>
          <w:szCs w:val="28"/>
          <w:shd w:val="clear" w:color="auto" w:fill="FFFFFF"/>
        </w:rPr>
        <w:t xml:space="preserve"> образовательных организациях высшего образования </w:t>
      </w:r>
      <w:r w:rsidR="005707B4">
        <w:rPr>
          <w:rFonts w:ascii="Times New Roman" w:eastAsia="Calibri" w:hAnsi="Times New Roman" w:cs="Times New Roman"/>
          <w:color w:val="000000"/>
          <w:sz w:val="28"/>
          <w:szCs w:val="28"/>
          <w:shd w:val="clear" w:color="auto" w:fill="FFFFFF"/>
        </w:rPr>
        <w:t xml:space="preserve">различной подведомственности и </w:t>
      </w:r>
      <w:r w:rsidRPr="00444BDE">
        <w:rPr>
          <w:rFonts w:ascii="Times New Roman" w:eastAsia="Calibri" w:hAnsi="Times New Roman" w:cs="Times New Roman"/>
          <w:color w:val="000000"/>
          <w:sz w:val="28"/>
          <w:szCs w:val="28"/>
          <w:shd w:val="clear" w:color="auto" w:fill="FFFFFF"/>
        </w:rPr>
        <w:t>185 научных организациях, 1</w:t>
      </w:r>
      <w:r w:rsidR="005707B4">
        <w:rPr>
          <w:rFonts w:ascii="Times New Roman" w:eastAsia="Calibri" w:hAnsi="Times New Roman" w:cs="Times New Roman"/>
          <w:color w:val="000000"/>
          <w:sz w:val="28"/>
          <w:szCs w:val="28"/>
          <w:shd w:val="clear" w:color="auto" w:fill="FFFFFF"/>
        </w:rPr>
        <w:t> </w:t>
      </w:r>
      <w:r w:rsidRPr="00444BDE">
        <w:rPr>
          <w:rFonts w:ascii="Times New Roman" w:eastAsia="Calibri" w:hAnsi="Times New Roman" w:cs="Times New Roman"/>
          <w:color w:val="000000"/>
          <w:sz w:val="28"/>
          <w:szCs w:val="28"/>
          <w:shd w:val="clear" w:color="auto" w:fill="FFFFFF"/>
        </w:rPr>
        <w:t>4</w:t>
      </w:r>
      <w:r w:rsidR="005707B4">
        <w:rPr>
          <w:rFonts w:ascii="Times New Roman" w:eastAsia="Calibri" w:hAnsi="Times New Roman" w:cs="Times New Roman"/>
          <w:color w:val="000000"/>
          <w:sz w:val="28"/>
          <w:szCs w:val="28"/>
          <w:shd w:val="clear" w:color="auto" w:fill="FFFFFF"/>
        </w:rPr>
        <w:t xml:space="preserve">54 </w:t>
      </w:r>
      <w:r w:rsidRPr="00444BDE">
        <w:rPr>
          <w:rFonts w:ascii="Times New Roman" w:eastAsia="Calibri" w:hAnsi="Times New Roman" w:cs="Times New Roman"/>
          <w:color w:val="000000"/>
          <w:sz w:val="28"/>
          <w:szCs w:val="28"/>
          <w:shd w:val="clear" w:color="auto" w:fill="FFFFFF"/>
        </w:rPr>
        <w:t>тыс. человек обучались по образовательным программам высшего образования за счет средств федерального бюджет</w:t>
      </w:r>
      <w:r w:rsidR="005707B4">
        <w:rPr>
          <w:rFonts w:ascii="Times New Roman" w:eastAsia="Calibri" w:hAnsi="Times New Roman" w:cs="Times New Roman"/>
          <w:color w:val="000000"/>
          <w:sz w:val="28"/>
          <w:szCs w:val="28"/>
          <w:shd w:val="clear" w:color="auto" w:fill="FFFFFF"/>
        </w:rPr>
        <w:t>а (2020 г. – 1 416 тыс. человек; 2019 г. – 1 401 тыс. человек</w:t>
      </w:r>
      <w:r w:rsidRPr="00444BDE">
        <w:rPr>
          <w:rFonts w:ascii="Times New Roman" w:eastAsia="Calibri" w:hAnsi="Times New Roman" w:cs="Times New Roman"/>
          <w:color w:val="000000"/>
          <w:sz w:val="28"/>
          <w:szCs w:val="28"/>
          <w:shd w:val="clear" w:color="auto" w:fill="FFFFFF"/>
        </w:rPr>
        <w:t>).</w:t>
      </w:r>
    </w:p>
    <w:p w14:paraId="1932A6B2" w14:textId="77777777" w:rsidR="009E31B7" w:rsidRPr="00444BDE" w:rsidRDefault="009E31B7" w:rsidP="009E31B7">
      <w:pPr>
        <w:widowControl w:val="0"/>
        <w:spacing w:after="0" w:line="312" w:lineRule="auto"/>
        <w:ind w:firstLine="720"/>
        <w:jc w:val="both"/>
        <w:rPr>
          <w:rFonts w:ascii="Times New Roman" w:eastAsia="Calibri" w:hAnsi="Times New Roman" w:cs="Times New Roman"/>
          <w:color w:val="000000"/>
          <w:sz w:val="28"/>
          <w:szCs w:val="28"/>
          <w:shd w:val="clear" w:color="auto" w:fill="FFFFFF"/>
        </w:rPr>
      </w:pPr>
      <w:r w:rsidRPr="00444BDE">
        <w:rPr>
          <w:rFonts w:ascii="Times New Roman" w:eastAsia="Calibri" w:hAnsi="Times New Roman" w:cs="Times New Roman"/>
          <w:color w:val="000000"/>
          <w:sz w:val="28"/>
          <w:szCs w:val="28"/>
          <w:shd w:val="clear" w:color="auto" w:fill="FFFFFF"/>
        </w:rPr>
        <w:t>Средний размер государственной социальной стипендии в 202</w:t>
      </w:r>
      <w:r w:rsidR="005707B4">
        <w:rPr>
          <w:rFonts w:ascii="Times New Roman" w:eastAsia="Calibri" w:hAnsi="Times New Roman" w:cs="Times New Roman"/>
          <w:color w:val="000000"/>
          <w:sz w:val="28"/>
          <w:szCs w:val="28"/>
          <w:shd w:val="clear" w:color="auto" w:fill="FFFFFF"/>
        </w:rPr>
        <w:t>1</w:t>
      </w:r>
      <w:r w:rsidRPr="00444BDE">
        <w:rPr>
          <w:rFonts w:ascii="Times New Roman" w:eastAsia="Calibri" w:hAnsi="Times New Roman" w:cs="Times New Roman"/>
          <w:color w:val="000000"/>
          <w:sz w:val="28"/>
          <w:szCs w:val="28"/>
          <w:shd w:val="clear" w:color="auto" w:fill="FFFFFF"/>
        </w:rPr>
        <w:t xml:space="preserve"> г</w:t>
      </w:r>
      <w:r w:rsidR="00F707C9">
        <w:rPr>
          <w:rFonts w:ascii="Times New Roman" w:eastAsia="Calibri" w:hAnsi="Times New Roman" w:cs="Times New Roman"/>
          <w:color w:val="000000"/>
          <w:sz w:val="28"/>
          <w:szCs w:val="28"/>
          <w:shd w:val="clear" w:color="auto" w:fill="FFFFFF"/>
        </w:rPr>
        <w:t>.</w:t>
      </w:r>
      <w:r w:rsidRPr="00444BDE">
        <w:rPr>
          <w:rFonts w:ascii="Times New Roman" w:eastAsia="Calibri" w:hAnsi="Times New Roman" w:cs="Times New Roman"/>
          <w:color w:val="000000"/>
          <w:sz w:val="28"/>
          <w:szCs w:val="28"/>
          <w:shd w:val="clear" w:color="auto" w:fill="FFFFFF"/>
        </w:rPr>
        <w:t xml:space="preserve"> составлял </w:t>
      </w:r>
      <w:r w:rsidR="00F707C9">
        <w:rPr>
          <w:rFonts w:ascii="Times New Roman" w:eastAsia="Calibri" w:hAnsi="Times New Roman" w:cs="Times New Roman"/>
          <w:color w:val="000000"/>
          <w:sz w:val="28"/>
          <w:szCs w:val="28"/>
          <w:shd w:val="clear" w:color="auto" w:fill="FFFFFF"/>
        </w:rPr>
        <w:br/>
      </w:r>
      <w:r w:rsidR="005707B4">
        <w:rPr>
          <w:rFonts w:ascii="Times New Roman" w:eastAsia="Calibri" w:hAnsi="Times New Roman" w:cs="Times New Roman"/>
          <w:color w:val="000000"/>
          <w:sz w:val="28"/>
          <w:szCs w:val="28"/>
          <w:shd w:val="clear" w:color="auto" w:fill="FFFFFF"/>
        </w:rPr>
        <w:t>3 665</w:t>
      </w:r>
      <w:r w:rsidRPr="00444BDE">
        <w:rPr>
          <w:rFonts w:ascii="Times New Roman" w:eastAsia="Calibri" w:hAnsi="Times New Roman" w:cs="Times New Roman"/>
          <w:color w:val="000000"/>
          <w:sz w:val="28"/>
          <w:szCs w:val="28"/>
          <w:shd w:val="clear" w:color="auto" w:fill="FFFFFF"/>
        </w:rPr>
        <w:t xml:space="preserve"> рублей (</w:t>
      </w:r>
      <w:r w:rsidR="005707B4">
        <w:rPr>
          <w:rFonts w:ascii="Times New Roman" w:eastAsia="Calibri" w:hAnsi="Times New Roman" w:cs="Times New Roman"/>
          <w:color w:val="000000"/>
          <w:sz w:val="28"/>
          <w:szCs w:val="28"/>
          <w:shd w:val="clear" w:color="auto" w:fill="FFFFFF"/>
        </w:rPr>
        <w:t>2020 г. – 3 </w:t>
      </w:r>
      <w:r w:rsidR="005707B4" w:rsidRPr="00444BDE">
        <w:rPr>
          <w:rFonts w:ascii="Times New Roman" w:eastAsia="Calibri" w:hAnsi="Times New Roman" w:cs="Times New Roman"/>
          <w:color w:val="000000"/>
          <w:sz w:val="28"/>
          <w:szCs w:val="28"/>
          <w:shd w:val="clear" w:color="auto" w:fill="FFFFFF"/>
        </w:rPr>
        <w:t>590</w:t>
      </w:r>
      <w:r w:rsidR="005707B4">
        <w:rPr>
          <w:rFonts w:ascii="Times New Roman" w:eastAsia="Calibri" w:hAnsi="Times New Roman" w:cs="Times New Roman"/>
          <w:color w:val="000000"/>
          <w:sz w:val="28"/>
          <w:szCs w:val="28"/>
          <w:shd w:val="clear" w:color="auto" w:fill="FFFFFF"/>
        </w:rPr>
        <w:t xml:space="preserve"> рублей; 2019 г. – 3 472 рубля</w:t>
      </w:r>
      <w:r w:rsidRPr="00444BDE">
        <w:rPr>
          <w:rFonts w:ascii="Times New Roman" w:eastAsia="Calibri" w:hAnsi="Times New Roman" w:cs="Times New Roman"/>
          <w:color w:val="000000"/>
          <w:sz w:val="28"/>
          <w:szCs w:val="28"/>
          <w:shd w:val="clear" w:color="auto" w:fill="FFFFFF"/>
        </w:rPr>
        <w:t>).</w:t>
      </w:r>
    </w:p>
    <w:p w14:paraId="4731B722" w14:textId="77777777" w:rsidR="009E31B7" w:rsidRPr="009E31B7" w:rsidRDefault="009E31B7" w:rsidP="009E31B7">
      <w:pPr>
        <w:widowControl w:val="0"/>
        <w:spacing w:after="0" w:line="312" w:lineRule="auto"/>
        <w:ind w:firstLine="720"/>
        <w:jc w:val="both"/>
        <w:rPr>
          <w:rFonts w:ascii="Times New Roman" w:eastAsia="Calibri" w:hAnsi="Times New Roman" w:cs="Times New Roman"/>
          <w:color w:val="000000"/>
          <w:sz w:val="28"/>
          <w:szCs w:val="28"/>
          <w:shd w:val="clear" w:color="auto" w:fill="FFFFFF"/>
        </w:rPr>
      </w:pPr>
      <w:r w:rsidRPr="00444BDE">
        <w:rPr>
          <w:rFonts w:ascii="Times New Roman" w:eastAsia="Calibri" w:hAnsi="Times New Roman" w:cs="Times New Roman"/>
          <w:color w:val="000000"/>
          <w:sz w:val="28"/>
          <w:szCs w:val="28"/>
          <w:shd w:val="clear" w:color="auto" w:fill="FFFFFF"/>
        </w:rPr>
        <w:t>Получателями государственной</w:t>
      </w:r>
      <w:r w:rsidR="005707B4">
        <w:rPr>
          <w:rFonts w:ascii="Times New Roman" w:eastAsia="Calibri" w:hAnsi="Times New Roman" w:cs="Times New Roman"/>
          <w:color w:val="000000"/>
          <w:sz w:val="28"/>
          <w:szCs w:val="28"/>
          <w:shd w:val="clear" w:color="auto" w:fill="FFFFFF"/>
        </w:rPr>
        <w:t xml:space="preserve"> социальной стипендии являлись </w:t>
      </w:r>
      <w:r w:rsidRPr="00444BDE">
        <w:rPr>
          <w:rFonts w:ascii="Times New Roman" w:eastAsia="Calibri" w:hAnsi="Times New Roman" w:cs="Times New Roman"/>
          <w:color w:val="000000"/>
          <w:sz w:val="28"/>
          <w:szCs w:val="28"/>
          <w:shd w:val="clear" w:color="auto" w:fill="FFFFFF"/>
        </w:rPr>
        <w:t>2</w:t>
      </w:r>
      <w:r w:rsidR="005707B4">
        <w:rPr>
          <w:rFonts w:ascii="Times New Roman" w:eastAsia="Calibri" w:hAnsi="Times New Roman" w:cs="Times New Roman"/>
          <w:color w:val="000000"/>
          <w:sz w:val="28"/>
          <w:szCs w:val="28"/>
          <w:shd w:val="clear" w:color="auto" w:fill="FFFFFF"/>
        </w:rPr>
        <w:t>04</w:t>
      </w:r>
      <w:r w:rsidRPr="00444BDE">
        <w:rPr>
          <w:rFonts w:ascii="Times New Roman" w:eastAsia="Calibri" w:hAnsi="Times New Roman" w:cs="Times New Roman"/>
          <w:color w:val="000000"/>
          <w:sz w:val="28"/>
          <w:szCs w:val="28"/>
          <w:shd w:val="clear" w:color="auto" w:fill="FFFFFF"/>
        </w:rPr>
        <w:t>,</w:t>
      </w:r>
      <w:r w:rsidR="005707B4">
        <w:rPr>
          <w:rFonts w:ascii="Times New Roman" w:eastAsia="Calibri" w:hAnsi="Times New Roman" w:cs="Times New Roman"/>
          <w:color w:val="000000"/>
          <w:sz w:val="28"/>
          <w:szCs w:val="28"/>
          <w:shd w:val="clear" w:color="auto" w:fill="FFFFFF"/>
        </w:rPr>
        <w:t>6</w:t>
      </w:r>
      <w:r w:rsidRPr="00444BDE">
        <w:rPr>
          <w:rFonts w:ascii="Times New Roman" w:eastAsia="Calibri" w:hAnsi="Times New Roman" w:cs="Times New Roman"/>
          <w:color w:val="000000"/>
          <w:sz w:val="28"/>
          <w:szCs w:val="28"/>
          <w:shd w:val="clear" w:color="auto" w:fill="FFFFFF"/>
        </w:rPr>
        <w:t xml:space="preserve"> тыс. обучающихся по очной форме обучения по образовательным программам высшего образования, что составляет 1</w:t>
      </w:r>
      <w:r w:rsidR="005707B4">
        <w:rPr>
          <w:rFonts w:ascii="Times New Roman" w:eastAsia="Calibri" w:hAnsi="Times New Roman" w:cs="Times New Roman"/>
          <w:color w:val="000000"/>
          <w:sz w:val="28"/>
          <w:szCs w:val="28"/>
          <w:shd w:val="clear" w:color="auto" w:fill="FFFFFF"/>
        </w:rPr>
        <w:t>4</w:t>
      </w:r>
      <w:r w:rsidRPr="00444BDE">
        <w:rPr>
          <w:rFonts w:ascii="Times New Roman" w:eastAsia="Calibri" w:hAnsi="Times New Roman" w:cs="Times New Roman"/>
          <w:color w:val="000000"/>
          <w:sz w:val="28"/>
          <w:szCs w:val="28"/>
          <w:shd w:val="clear" w:color="auto" w:fill="FFFFFF"/>
        </w:rPr>
        <w:t>,</w:t>
      </w:r>
      <w:r w:rsidR="005707B4">
        <w:rPr>
          <w:rFonts w:ascii="Times New Roman" w:eastAsia="Calibri" w:hAnsi="Times New Roman" w:cs="Times New Roman"/>
          <w:color w:val="000000"/>
          <w:sz w:val="28"/>
          <w:szCs w:val="28"/>
          <w:shd w:val="clear" w:color="auto" w:fill="FFFFFF"/>
        </w:rPr>
        <w:t>1</w:t>
      </w:r>
      <w:r w:rsidRPr="00444BDE">
        <w:rPr>
          <w:rFonts w:ascii="Times New Roman" w:eastAsia="Calibri" w:hAnsi="Times New Roman" w:cs="Times New Roman"/>
          <w:color w:val="000000"/>
          <w:sz w:val="28"/>
          <w:szCs w:val="28"/>
          <w:shd w:val="clear" w:color="auto" w:fill="FFFFFF"/>
        </w:rPr>
        <w:t>% от общего числа обучающихся (</w:t>
      </w:r>
      <w:r w:rsidR="00F707C9">
        <w:rPr>
          <w:rFonts w:ascii="Times New Roman" w:eastAsia="Calibri" w:hAnsi="Times New Roman" w:cs="Times New Roman"/>
          <w:color w:val="000000"/>
          <w:sz w:val="28"/>
          <w:szCs w:val="28"/>
          <w:shd w:val="clear" w:color="auto" w:fill="FFFFFF"/>
        </w:rPr>
        <w:t>2020 г. – 218,</w:t>
      </w:r>
      <w:r w:rsidR="005707B4">
        <w:rPr>
          <w:rFonts w:ascii="Times New Roman" w:eastAsia="Calibri" w:hAnsi="Times New Roman" w:cs="Times New Roman"/>
          <w:color w:val="000000"/>
          <w:sz w:val="28"/>
          <w:szCs w:val="28"/>
          <w:shd w:val="clear" w:color="auto" w:fill="FFFFFF"/>
        </w:rPr>
        <w:t xml:space="preserve">5 тыс. обучающихся или 15,4%; </w:t>
      </w:r>
      <w:r w:rsidRPr="00444BDE">
        <w:rPr>
          <w:rFonts w:ascii="Times New Roman" w:eastAsia="Calibri" w:hAnsi="Times New Roman" w:cs="Times New Roman"/>
          <w:color w:val="000000"/>
          <w:sz w:val="28"/>
          <w:szCs w:val="28"/>
          <w:shd w:val="clear" w:color="auto" w:fill="FFFFFF"/>
        </w:rPr>
        <w:t xml:space="preserve">2019 г. – 213,9 тыс. обучающихся </w:t>
      </w:r>
      <w:r w:rsidR="005707B4">
        <w:rPr>
          <w:rFonts w:ascii="Times New Roman" w:eastAsia="Calibri" w:hAnsi="Times New Roman" w:cs="Times New Roman"/>
          <w:color w:val="000000"/>
          <w:sz w:val="28"/>
          <w:szCs w:val="28"/>
          <w:shd w:val="clear" w:color="auto" w:fill="FFFFFF"/>
        </w:rPr>
        <w:t>или 15,2%).</w:t>
      </w:r>
    </w:p>
    <w:p w14:paraId="594B5D3B" w14:textId="77777777" w:rsid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Воспитание и развитие детей</w:t>
      </w:r>
    </w:p>
    <w:p w14:paraId="3B447E05" w14:textId="77777777" w:rsidR="00656409" w:rsidRPr="00656409" w:rsidRDefault="00656409" w:rsidP="00656409">
      <w:pPr>
        <w:widowControl w:val="0"/>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656409">
        <w:rPr>
          <w:rFonts w:ascii="Times New Roman" w:eastAsia="Times New Roman" w:hAnsi="Times New Roman" w:cs="Times New Roman"/>
          <w:sz w:val="28"/>
          <w:szCs w:val="28"/>
          <w:lang w:eastAsia="ru-RU"/>
        </w:rPr>
        <w:t>В целях повышения воспитательного потенциала образовательных организаций Минпросвещения России разработаны совместно с научными организациями примерные рабочие программы воспитания для образовательных организаций, реализующих образов</w:t>
      </w:r>
      <w:r>
        <w:rPr>
          <w:rFonts w:ascii="Times New Roman" w:eastAsia="Times New Roman" w:hAnsi="Times New Roman" w:cs="Times New Roman"/>
          <w:sz w:val="28"/>
          <w:szCs w:val="28"/>
          <w:lang w:eastAsia="ru-RU"/>
        </w:rPr>
        <w:t xml:space="preserve">ательные программы дошкольного </w:t>
      </w:r>
      <w:r w:rsidRPr="00656409">
        <w:rPr>
          <w:rFonts w:ascii="Times New Roman" w:eastAsia="Times New Roman" w:hAnsi="Times New Roman" w:cs="Times New Roman"/>
          <w:sz w:val="28"/>
          <w:szCs w:val="28"/>
          <w:lang w:eastAsia="ru-RU"/>
        </w:rPr>
        <w:t>образования, общего образования и среднего профе</w:t>
      </w:r>
      <w:r>
        <w:rPr>
          <w:rFonts w:ascii="Times New Roman" w:eastAsia="Times New Roman" w:hAnsi="Times New Roman" w:cs="Times New Roman"/>
          <w:sz w:val="28"/>
          <w:szCs w:val="28"/>
          <w:lang w:eastAsia="ru-RU"/>
        </w:rPr>
        <w:t xml:space="preserve">ссионального </w:t>
      </w:r>
      <w:r w:rsidRPr="00656409">
        <w:rPr>
          <w:rFonts w:ascii="Times New Roman" w:eastAsia="Times New Roman" w:hAnsi="Times New Roman" w:cs="Times New Roman"/>
          <w:sz w:val="28"/>
          <w:szCs w:val="28"/>
          <w:lang w:eastAsia="ru-RU"/>
        </w:rPr>
        <w:t>образования, которые основываются на единстве и преемственности образовательного процесса и транслируют базовые национальные ценности, нормы и правила поведения в обществе.</w:t>
      </w:r>
    </w:p>
    <w:p w14:paraId="4DA35AA2" w14:textId="1A377361" w:rsidR="00656409" w:rsidRPr="00656409" w:rsidRDefault="00656409" w:rsidP="00656409">
      <w:pPr>
        <w:widowControl w:val="0"/>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656409">
        <w:rPr>
          <w:rFonts w:ascii="Times New Roman" w:eastAsia="Times New Roman" w:hAnsi="Times New Roman" w:cs="Times New Roman"/>
          <w:sz w:val="28"/>
          <w:szCs w:val="28"/>
          <w:lang w:eastAsia="ru-RU"/>
        </w:rPr>
        <w:t>В соответствии с данными межведомстве</w:t>
      </w:r>
      <w:r w:rsidR="00BD3AD5">
        <w:rPr>
          <w:rFonts w:ascii="Times New Roman" w:eastAsia="Times New Roman" w:hAnsi="Times New Roman" w:cs="Times New Roman"/>
          <w:sz w:val="28"/>
          <w:szCs w:val="28"/>
          <w:lang w:eastAsia="ru-RU"/>
        </w:rPr>
        <w:t xml:space="preserve">нного мониторинга по состоянию </w:t>
      </w:r>
      <w:r w:rsidR="005360FA">
        <w:rPr>
          <w:rFonts w:ascii="Times New Roman" w:eastAsia="Times New Roman" w:hAnsi="Times New Roman" w:cs="Times New Roman"/>
          <w:sz w:val="28"/>
          <w:szCs w:val="28"/>
          <w:lang w:eastAsia="ru-RU"/>
        </w:rPr>
        <w:br/>
      </w:r>
      <w:r w:rsidRPr="00656409">
        <w:rPr>
          <w:rFonts w:ascii="Times New Roman" w:eastAsia="Times New Roman" w:hAnsi="Times New Roman" w:cs="Times New Roman"/>
          <w:sz w:val="28"/>
          <w:szCs w:val="28"/>
          <w:lang w:eastAsia="ru-RU"/>
        </w:rPr>
        <w:t>на 1 января 2022 г</w:t>
      </w:r>
      <w:r w:rsidR="00F707C9">
        <w:rPr>
          <w:rFonts w:ascii="Times New Roman" w:eastAsia="Times New Roman" w:hAnsi="Times New Roman" w:cs="Times New Roman"/>
          <w:sz w:val="28"/>
          <w:szCs w:val="28"/>
          <w:lang w:eastAsia="ru-RU"/>
        </w:rPr>
        <w:t>.</w:t>
      </w:r>
      <w:r w:rsidRPr="00656409">
        <w:rPr>
          <w:rFonts w:ascii="Times New Roman" w:eastAsia="Times New Roman" w:hAnsi="Times New Roman" w:cs="Times New Roman"/>
          <w:sz w:val="28"/>
          <w:szCs w:val="28"/>
          <w:lang w:eastAsia="ru-RU"/>
        </w:rPr>
        <w:t xml:space="preserve"> рабочие программы воспитания и календарные планы воспитательной работы внедрены в 79 41</w:t>
      </w:r>
      <w:r w:rsidR="00BD3AD5">
        <w:rPr>
          <w:rFonts w:ascii="Times New Roman" w:eastAsia="Times New Roman" w:hAnsi="Times New Roman" w:cs="Times New Roman"/>
          <w:sz w:val="28"/>
          <w:szCs w:val="28"/>
          <w:lang w:eastAsia="ru-RU"/>
        </w:rPr>
        <w:t>5 образовательных организациях</w:t>
      </w:r>
      <w:r w:rsidR="00C3088B">
        <w:rPr>
          <w:rFonts w:ascii="Times New Roman" w:eastAsia="Times New Roman" w:hAnsi="Times New Roman" w:cs="Times New Roman"/>
          <w:sz w:val="28"/>
          <w:szCs w:val="28"/>
          <w:lang w:eastAsia="ru-RU"/>
        </w:rPr>
        <w:t xml:space="preserve">: </w:t>
      </w:r>
      <w:r w:rsidRPr="00656409">
        <w:rPr>
          <w:rFonts w:ascii="Times New Roman" w:eastAsia="Times New Roman" w:hAnsi="Times New Roman" w:cs="Times New Roman"/>
          <w:sz w:val="28"/>
          <w:szCs w:val="28"/>
          <w:lang w:eastAsia="ru-RU"/>
        </w:rPr>
        <w:t>из них 35 796 дошкольных образовательных организаций, 40 407 общеобразовательных организаций, 3 212 профессионал</w:t>
      </w:r>
      <w:r w:rsidR="00C3088B">
        <w:rPr>
          <w:rFonts w:ascii="Times New Roman" w:eastAsia="Times New Roman" w:hAnsi="Times New Roman" w:cs="Times New Roman"/>
          <w:sz w:val="28"/>
          <w:szCs w:val="28"/>
          <w:lang w:eastAsia="ru-RU"/>
        </w:rPr>
        <w:t>ьных образовательных организаций</w:t>
      </w:r>
      <w:r w:rsidRPr="00656409">
        <w:rPr>
          <w:rFonts w:ascii="Times New Roman" w:eastAsia="Times New Roman" w:hAnsi="Times New Roman" w:cs="Times New Roman"/>
          <w:sz w:val="28"/>
          <w:szCs w:val="28"/>
          <w:lang w:eastAsia="ru-RU"/>
        </w:rPr>
        <w:t>.</w:t>
      </w:r>
    </w:p>
    <w:p w14:paraId="0ED8EA5F" w14:textId="77777777" w:rsidR="00656409" w:rsidRPr="00656409" w:rsidRDefault="00656409" w:rsidP="00656409">
      <w:pPr>
        <w:widowControl w:val="0"/>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656409">
        <w:rPr>
          <w:rFonts w:ascii="Times New Roman" w:eastAsia="Times New Roman" w:hAnsi="Times New Roman" w:cs="Times New Roman"/>
          <w:sz w:val="28"/>
          <w:szCs w:val="28"/>
          <w:lang w:eastAsia="ru-RU"/>
        </w:rPr>
        <w:t>Минпросвещения России совместно с заинтересованными органами государственной власти и общественными объединениями сформирован примерный календарный план воспитательной работы на 2021/22 учебный год, который рекомендован к использованию в качес</w:t>
      </w:r>
      <w:r>
        <w:rPr>
          <w:rFonts w:ascii="Times New Roman" w:eastAsia="Times New Roman" w:hAnsi="Times New Roman" w:cs="Times New Roman"/>
          <w:sz w:val="28"/>
          <w:szCs w:val="28"/>
          <w:lang w:eastAsia="ru-RU"/>
        </w:rPr>
        <w:t xml:space="preserve">тве федерального инвариантного </w:t>
      </w:r>
      <w:r w:rsidRPr="00656409">
        <w:rPr>
          <w:rFonts w:ascii="Times New Roman" w:eastAsia="Times New Roman" w:hAnsi="Times New Roman" w:cs="Times New Roman"/>
          <w:sz w:val="28"/>
          <w:szCs w:val="28"/>
          <w:lang w:eastAsia="ru-RU"/>
        </w:rPr>
        <w:t>компонента календарных планов воспитательной работы образовательных организаций всех уровней образован</w:t>
      </w:r>
      <w:r>
        <w:rPr>
          <w:rFonts w:ascii="Times New Roman" w:eastAsia="Times New Roman" w:hAnsi="Times New Roman" w:cs="Times New Roman"/>
          <w:sz w:val="28"/>
          <w:szCs w:val="28"/>
          <w:lang w:eastAsia="ru-RU"/>
        </w:rPr>
        <w:t xml:space="preserve">ия. Примерный календарный план </w:t>
      </w:r>
      <w:r w:rsidRPr="00656409">
        <w:rPr>
          <w:rFonts w:ascii="Times New Roman" w:eastAsia="Times New Roman" w:hAnsi="Times New Roman" w:cs="Times New Roman"/>
          <w:sz w:val="28"/>
          <w:szCs w:val="28"/>
          <w:lang w:eastAsia="ru-RU"/>
        </w:rPr>
        <w:t xml:space="preserve">включает перечень памятных дат, </w:t>
      </w:r>
      <w:r>
        <w:rPr>
          <w:rFonts w:ascii="Times New Roman" w:eastAsia="Times New Roman" w:hAnsi="Times New Roman" w:cs="Times New Roman"/>
          <w:sz w:val="28"/>
          <w:szCs w:val="28"/>
          <w:lang w:eastAsia="ru-RU"/>
        </w:rPr>
        <w:t xml:space="preserve">приуроченных к государственным </w:t>
      </w:r>
      <w:r w:rsidRPr="00656409">
        <w:rPr>
          <w:rFonts w:ascii="Times New Roman" w:eastAsia="Times New Roman" w:hAnsi="Times New Roman" w:cs="Times New Roman"/>
          <w:sz w:val="28"/>
          <w:szCs w:val="28"/>
          <w:lang w:eastAsia="ru-RU"/>
        </w:rPr>
        <w:t>и национальным праздникам Россий</w:t>
      </w:r>
      <w:r>
        <w:rPr>
          <w:rFonts w:ascii="Times New Roman" w:eastAsia="Times New Roman" w:hAnsi="Times New Roman" w:cs="Times New Roman"/>
          <w:sz w:val="28"/>
          <w:szCs w:val="28"/>
          <w:lang w:eastAsia="ru-RU"/>
        </w:rPr>
        <w:t xml:space="preserve">ской Федерации, памятным датам </w:t>
      </w:r>
      <w:r w:rsidRPr="00656409">
        <w:rPr>
          <w:rFonts w:ascii="Times New Roman" w:eastAsia="Times New Roman" w:hAnsi="Times New Roman" w:cs="Times New Roman"/>
          <w:sz w:val="28"/>
          <w:szCs w:val="28"/>
          <w:lang w:eastAsia="ru-RU"/>
        </w:rPr>
        <w:t>и событиям российской истории и культуры. В целях организации единого пространства воспитательной работы в образовательных организациях Минпросвещения России сформирован перечень мероприятий для д</w:t>
      </w:r>
      <w:r>
        <w:rPr>
          <w:rFonts w:ascii="Times New Roman" w:eastAsia="Times New Roman" w:hAnsi="Times New Roman" w:cs="Times New Roman"/>
          <w:sz w:val="28"/>
          <w:szCs w:val="28"/>
          <w:lang w:eastAsia="ru-RU"/>
        </w:rPr>
        <w:t xml:space="preserve">етей </w:t>
      </w:r>
      <w:r w:rsidRPr="00656409">
        <w:rPr>
          <w:rFonts w:ascii="Times New Roman" w:eastAsia="Times New Roman" w:hAnsi="Times New Roman" w:cs="Times New Roman"/>
          <w:sz w:val="28"/>
          <w:szCs w:val="28"/>
          <w:lang w:eastAsia="ru-RU"/>
        </w:rPr>
        <w:t>и молодежи на 2021/22 учебный год, ре</w:t>
      </w:r>
      <w:r>
        <w:rPr>
          <w:rFonts w:ascii="Times New Roman" w:eastAsia="Times New Roman" w:hAnsi="Times New Roman" w:cs="Times New Roman"/>
          <w:sz w:val="28"/>
          <w:szCs w:val="28"/>
          <w:lang w:eastAsia="ru-RU"/>
        </w:rPr>
        <w:t xml:space="preserve">ализуемых в том числе детскими </w:t>
      </w:r>
      <w:r w:rsidRPr="00656409">
        <w:rPr>
          <w:rFonts w:ascii="Times New Roman" w:eastAsia="Times New Roman" w:hAnsi="Times New Roman" w:cs="Times New Roman"/>
          <w:sz w:val="28"/>
          <w:szCs w:val="28"/>
          <w:lang w:eastAsia="ru-RU"/>
        </w:rPr>
        <w:t>и молодежными общественными объединениями.</w:t>
      </w:r>
    </w:p>
    <w:p w14:paraId="32A3F91B" w14:textId="77777777" w:rsidR="00656409" w:rsidRPr="00656409" w:rsidRDefault="00656409" w:rsidP="00656409">
      <w:pPr>
        <w:widowControl w:val="0"/>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656409">
        <w:rPr>
          <w:rFonts w:ascii="Times New Roman" w:eastAsia="Times New Roman" w:hAnsi="Times New Roman" w:cs="Times New Roman"/>
          <w:sz w:val="28"/>
          <w:szCs w:val="28"/>
          <w:lang w:eastAsia="ru-RU"/>
        </w:rPr>
        <w:t xml:space="preserve">Также Минпросвещения России совместно с </w:t>
      </w:r>
      <w:r w:rsidR="00C3088B">
        <w:rPr>
          <w:rFonts w:ascii="Times New Roman" w:eastAsia="Times New Roman" w:hAnsi="Times New Roman" w:cs="Times New Roman"/>
          <w:sz w:val="28"/>
          <w:szCs w:val="28"/>
          <w:lang w:eastAsia="ru-RU"/>
        </w:rPr>
        <w:t>ФГБНУ</w:t>
      </w:r>
      <w:r w:rsidRPr="00656409">
        <w:rPr>
          <w:rFonts w:ascii="Times New Roman" w:eastAsia="Times New Roman" w:hAnsi="Times New Roman" w:cs="Times New Roman"/>
          <w:sz w:val="28"/>
          <w:szCs w:val="28"/>
          <w:lang w:eastAsia="ru-RU"/>
        </w:rPr>
        <w:t xml:space="preserve"> «Ин</w:t>
      </w:r>
      <w:r>
        <w:rPr>
          <w:rFonts w:ascii="Times New Roman" w:eastAsia="Times New Roman" w:hAnsi="Times New Roman" w:cs="Times New Roman"/>
          <w:sz w:val="28"/>
          <w:szCs w:val="28"/>
          <w:lang w:eastAsia="ru-RU"/>
        </w:rPr>
        <w:t xml:space="preserve">ститут изучения детства, семьи </w:t>
      </w:r>
      <w:r w:rsidRPr="00656409">
        <w:rPr>
          <w:rFonts w:ascii="Times New Roman" w:eastAsia="Times New Roman" w:hAnsi="Times New Roman" w:cs="Times New Roman"/>
          <w:sz w:val="28"/>
          <w:szCs w:val="28"/>
          <w:lang w:eastAsia="ru-RU"/>
        </w:rPr>
        <w:t>и воспитания Российской академи</w:t>
      </w:r>
      <w:r>
        <w:rPr>
          <w:rFonts w:ascii="Times New Roman" w:eastAsia="Times New Roman" w:hAnsi="Times New Roman" w:cs="Times New Roman"/>
          <w:sz w:val="28"/>
          <w:szCs w:val="28"/>
          <w:lang w:eastAsia="ru-RU"/>
        </w:rPr>
        <w:t xml:space="preserve">и образования» реализует ряд </w:t>
      </w:r>
      <w:r w:rsidRPr="00656409">
        <w:rPr>
          <w:rFonts w:ascii="Times New Roman" w:eastAsia="Times New Roman" w:hAnsi="Times New Roman" w:cs="Times New Roman"/>
          <w:sz w:val="28"/>
          <w:szCs w:val="28"/>
          <w:lang w:eastAsia="ru-RU"/>
        </w:rPr>
        <w:t>просветительских проектов для родителей (законных представителей). В частности, в 2021 г</w:t>
      </w:r>
      <w:r w:rsidR="00F707C9">
        <w:rPr>
          <w:rFonts w:ascii="Times New Roman" w:eastAsia="Times New Roman" w:hAnsi="Times New Roman" w:cs="Times New Roman"/>
          <w:sz w:val="28"/>
          <w:szCs w:val="28"/>
          <w:lang w:eastAsia="ru-RU"/>
        </w:rPr>
        <w:t>.</w:t>
      </w:r>
      <w:r w:rsidRPr="00656409">
        <w:rPr>
          <w:rFonts w:ascii="Times New Roman" w:eastAsia="Times New Roman" w:hAnsi="Times New Roman" w:cs="Times New Roman"/>
          <w:sz w:val="28"/>
          <w:szCs w:val="28"/>
          <w:lang w:eastAsia="ru-RU"/>
        </w:rPr>
        <w:t xml:space="preserve"> проведены 8 родительских собраний для родителей обучающихся общеобразовательных организаций и 1 родительское собрание для родителей обучающихся профессиональных образовательных организаций (в 2021/22 учебном году собрания для родителей обучающихся образовательных организаций проводятся ежемесячно). Тематика род</w:t>
      </w:r>
      <w:r>
        <w:rPr>
          <w:rFonts w:ascii="Times New Roman" w:eastAsia="Times New Roman" w:hAnsi="Times New Roman" w:cs="Times New Roman"/>
          <w:sz w:val="28"/>
          <w:szCs w:val="28"/>
          <w:lang w:eastAsia="ru-RU"/>
        </w:rPr>
        <w:t xml:space="preserve">ительских собраний формируется </w:t>
      </w:r>
      <w:r w:rsidRPr="00656409">
        <w:rPr>
          <w:rFonts w:ascii="Times New Roman" w:eastAsia="Times New Roman" w:hAnsi="Times New Roman" w:cs="Times New Roman"/>
          <w:sz w:val="28"/>
          <w:szCs w:val="28"/>
          <w:lang w:eastAsia="ru-RU"/>
        </w:rPr>
        <w:t xml:space="preserve">исходя из потребностей родителей (законных представителей) по результатам проводимых </w:t>
      </w:r>
      <w:r w:rsidR="00C3088B">
        <w:rPr>
          <w:rFonts w:ascii="Times New Roman" w:eastAsia="Times New Roman" w:hAnsi="Times New Roman" w:cs="Times New Roman"/>
          <w:sz w:val="28"/>
          <w:szCs w:val="28"/>
          <w:lang w:eastAsia="ru-RU"/>
        </w:rPr>
        <w:t>ФГБНУ</w:t>
      </w:r>
      <w:r w:rsidRPr="00656409">
        <w:rPr>
          <w:rFonts w:ascii="Times New Roman" w:eastAsia="Times New Roman" w:hAnsi="Times New Roman" w:cs="Times New Roman"/>
          <w:sz w:val="28"/>
          <w:szCs w:val="28"/>
          <w:lang w:eastAsia="ru-RU"/>
        </w:rPr>
        <w:t xml:space="preserve"> «Институт изучения детства, семьи и воспитания Российской академии образования» исследований и опросов. По состоянию на 1 января 2022 г</w:t>
      </w:r>
      <w:r w:rsidR="007110D2">
        <w:rPr>
          <w:rFonts w:ascii="Times New Roman" w:eastAsia="Times New Roman" w:hAnsi="Times New Roman" w:cs="Times New Roman"/>
          <w:sz w:val="28"/>
          <w:szCs w:val="28"/>
          <w:lang w:eastAsia="ru-RU"/>
        </w:rPr>
        <w:t>.</w:t>
      </w:r>
      <w:r w:rsidRPr="00656409">
        <w:rPr>
          <w:rFonts w:ascii="Times New Roman" w:eastAsia="Times New Roman" w:hAnsi="Times New Roman" w:cs="Times New Roman"/>
          <w:sz w:val="28"/>
          <w:szCs w:val="28"/>
          <w:lang w:eastAsia="ru-RU"/>
        </w:rPr>
        <w:t xml:space="preserve"> количество просмотров составило более 3 млн.</w:t>
      </w:r>
    </w:p>
    <w:p w14:paraId="57985C4C" w14:textId="77777777" w:rsidR="00656409" w:rsidRPr="00656409" w:rsidRDefault="00656409" w:rsidP="00656409">
      <w:pPr>
        <w:widowControl w:val="0"/>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656409">
        <w:rPr>
          <w:rFonts w:ascii="Times New Roman" w:eastAsia="Times New Roman" w:hAnsi="Times New Roman" w:cs="Times New Roman"/>
          <w:sz w:val="28"/>
          <w:szCs w:val="28"/>
          <w:lang w:eastAsia="ru-RU"/>
        </w:rPr>
        <w:t>С 2021 г</w:t>
      </w:r>
      <w:r w:rsidR="00F707C9">
        <w:rPr>
          <w:rFonts w:ascii="Times New Roman" w:eastAsia="Times New Roman" w:hAnsi="Times New Roman" w:cs="Times New Roman"/>
          <w:sz w:val="28"/>
          <w:szCs w:val="28"/>
          <w:lang w:eastAsia="ru-RU"/>
        </w:rPr>
        <w:t>.</w:t>
      </w:r>
      <w:r w:rsidRPr="00656409">
        <w:rPr>
          <w:rFonts w:ascii="Times New Roman" w:eastAsia="Times New Roman" w:hAnsi="Times New Roman" w:cs="Times New Roman"/>
          <w:sz w:val="28"/>
          <w:szCs w:val="28"/>
          <w:lang w:eastAsia="ru-RU"/>
        </w:rPr>
        <w:t xml:space="preserve"> возобновлен выпуск журнал</w:t>
      </w:r>
      <w:r w:rsidR="00FF61DB">
        <w:rPr>
          <w:rFonts w:ascii="Times New Roman" w:eastAsia="Times New Roman" w:hAnsi="Times New Roman" w:cs="Times New Roman"/>
          <w:sz w:val="28"/>
          <w:szCs w:val="28"/>
          <w:lang w:eastAsia="ru-RU"/>
        </w:rPr>
        <w:t xml:space="preserve">а «Семья и школа», издаваемого </w:t>
      </w:r>
      <w:r w:rsidRPr="00656409">
        <w:rPr>
          <w:rFonts w:ascii="Times New Roman" w:eastAsia="Times New Roman" w:hAnsi="Times New Roman" w:cs="Times New Roman"/>
          <w:sz w:val="28"/>
          <w:szCs w:val="28"/>
          <w:lang w:eastAsia="ru-RU"/>
        </w:rPr>
        <w:t xml:space="preserve">в нескольких форматах. </w:t>
      </w:r>
      <w:r w:rsidR="00FF61DB">
        <w:rPr>
          <w:rFonts w:ascii="Times New Roman" w:eastAsia="Times New Roman" w:hAnsi="Times New Roman" w:cs="Times New Roman"/>
          <w:sz w:val="28"/>
          <w:szCs w:val="28"/>
          <w:lang w:eastAsia="ru-RU"/>
        </w:rPr>
        <w:t xml:space="preserve">Кроме того, записано 30 выпусков </w:t>
      </w:r>
      <w:r w:rsidRPr="00656409">
        <w:rPr>
          <w:rFonts w:ascii="Times New Roman" w:eastAsia="Times New Roman" w:hAnsi="Times New Roman" w:cs="Times New Roman"/>
          <w:sz w:val="28"/>
          <w:szCs w:val="28"/>
          <w:lang w:eastAsia="ru-RU"/>
        </w:rPr>
        <w:t>еженедель</w:t>
      </w:r>
      <w:r w:rsidR="00FF61DB">
        <w:rPr>
          <w:rFonts w:ascii="Times New Roman" w:eastAsia="Times New Roman" w:hAnsi="Times New Roman" w:cs="Times New Roman"/>
          <w:sz w:val="28"/>
          <w:szCs w:val="28"/>
          <w:lang w:eastAsia="ru-RU"/>
        </w:rPr>
        <w:t>но выпускаемой</w:t>
      </w:r>
      <w:r w:rsidRPr="00656409">
        <w:rPr>
          <w:rFonts w:ascii="Times New Roman" w:eastAsia="Times New Roman" w:hAnsi="Times New Roman" w:cs="Times New Roman"/>
          <w:sz w:val="28"/>
          <w:szCs w:val="28"/>
          <w:lang w:eastAsia="ru-RU"/>
        </w:rPr>
        <w:t xml:space="preserve"> радиопередач</w:t>
      </w:r>
      <w:r w:rsidR="00FF61DB">
        <w:rPr>
          <w:rFonts w:ascii="Times New Roman" w:eastAsia="Times New Roman" w:hAnsi="Times New Roman" w:cs="Times New Roman"/>
          <w:sz w:val="28"/>
          <w:szCs w:val="28"/>
          <w:lang w:eastAsia="ru-RU"/>
        </w:rPr>
        <w:t>и</w:t>
      </w:r>
      <w:r w:rsidRPr="00656409">
        <w:rPr>
          <w:rFonts w:ascii="Times New Roman" w:eastAsia="Times New Roman" w:hAnsi="Times New Roman" w:cs="Times New Roman"/>
          <w:sz w:val="28"/>
          <w:szCs w:val="28"/>
          <w:lang w:eastAsia="ru-RU"/>
        </w:rPr>
        <w:t xml:space="preserve"> «Се</w:t>
      </w:r>
      <w:r w:rsidR="00FF61DB">
        <w:rPr>
          <w:rFonts w:ascii="Times New Roman" w:eastAsia="Times New Roman" w:hAnsi="Times New Roman" w:cs="Times New Roman"/>
          <w:sz w:val="28"/>
          <w:szCs w:val="28"/>
          <w:lang w:eastAsia="ru-RU"/>
        </w:rPr>
        <w:t>мейный час» на «Дорожном радио».</w:t>
      </w:r>
    </w:p>
    <w:p w14:paraId="0B19A123" w14:textId="77777777" w:rsidR="00656409" w:rsidRPr="00656409" w:rsidRDefault="00656409" w:rsidP="00656409">
      <w:pPr>
        <w:widowControl w:val="0"/>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656409">
        <w:rPr>
          <w:rFonts w:ascii="Times New Roman" w:eastAsia="Times New Roman" w:hAnsi="Times New Roman" w:cs="Times New Roman"/>
          <w:sz w:val="28"/>
          <w:szCs w:val="28"/>
          <w:lang w:eastAsia="ru-RU"/>
        </w:rPr>
        <w:t>С 2021 г</w:t>
      </w:r>
      <w:r w:rsidR="00F707C9">
        <w:rPr>
          <w:rFonts w:ascii="Times New Roman" w:eastAsia="Times New Roman" w:hAnsi="Times New Roman" w:cs="Times New Roman"/>
          <w:sz w:val="28"/>
          <w:szCs w:val="28"/>
          <w:lang w:eastAsia="ru-RU"/>
        </w:rPr>
        <w:t>.</w:t>
      </w:r>
      <w:r w:rsidRPr="00656409">
        <w:rPr>
          <w:rFonts w:ascii="Times New Roman" w:eastAsia="Times New Roman" w:hAnsi="Times New Roman" w:cs="Times New Roman"/>
          <w:sz w:val="28"/>
          <w:szCs w:val="28"/>
          <w:lang w:eastAsia="ru-RU"/>
        </w:rPr>
        <w:t xml:space="preserve"> </w:t>
      </w:r>
      <w:r w:rsidR="00C3088B">
        <w:rPr>
          <w:rFonts w:ascii="Times New Roman" w:eastAsia="Times New Roman" w:hAnsi="Times New Roman" w:cs="Times New Roman"/>
          <w:sz w:val="28"/>
          <w:szCs w:val="28"/>
          <w:lang w:eastAsia="ru-RU"/>
        </w:rPr>
        <w:t xml:space="preserve">также </w:t>
      </w:r>
      <w:r w:rsidRPr="00656409">
        <w:rPr>
          <w:rFonts w:ascii="Times New Roman" w:eastAsia="Times New Roman" w:hAnsi="Times New Roman" w:cs="Times New Roman"/>
          <w:sz w:val="28"/>
          <w:szCs w:val="28"/>
          <w:lang w:eastAsia="ru-RU"/>
        </w:rPr>
        <w:t>реализуется федеральный проект «Патриотическое воспитание граждан Российской Федерации» национального проекта «Образование», который предусматривает блок массовых мероприятий с детьми и молодежью, а также реализацию мер, направленных на системные изменения в сфере воспитания: проведение конкурса «Большая перемена», всероссийских онлайн-уроков по гражданско-патриотическому воспитанию, иных межрегиональных, окружных и всероссийских мероприятий в сфере патриотического воспитания</w:t>
      </w:r>
      <w:r w:rsidR="00C3088B">
        <w:rPr>
          <w:rFonts w:ascii="Times New Roman" w:eastAsia="Times New Roman" w:hAnsi="Times New Roman" w:cs="Times New Roman"/>
          <w:sz w:val="28"/>
          <w:szCs w:val="28"/>
          <w:lang w:eastAsia="ru-RU"/>
        </w:rPr>
        <w:t xml:space="preserve">, </w:t>
      </w:r>
      <w:r w:rsidRPr="00656409">
        <w:rPr>
          <w:rFonts w:ascii="Times New Roman" w:eastAsia="Times New Roman" w:hAnsi="Times New Roman" w:cs="Times New Roman"/>
          <w:sz w:val="28"/>
          <w:szCs w:val="28"/>
          <w:lang w:eastAsia="ru-RU"/>
        </w:rPr>
        <w:t>в том числе за счет предоставления грантов в форме субси</w:t>
      </w:r>
      <w:r w:rsidR="00C3088B">
        <w:rPr>
          <w:rFonts w:ascii="Times New Roman" w:eastAsia="Times New Roman" w:hAnsi="Times New Roman" w:cs="Times New Roman"/>
          <w:sz w:val="28"/>
          <w:szCs w:val="28"/>
          <w:lang w:eastAsia="ru-RU"/>
        </w:rPr>
        <w:t>дий некоммерческим организациям</w:t>
      </w:r>
      <w:r w:rsidRPr="00656409">
        <w:rPr>
          <w:rFonts w:ascii="Times New Roman" w:eastAsia="Times New Roman" w:hAnsi="Times New Roman" w:cs="Times New Roman"/>
          <w:sz w:val="28"/>
          <w:szCs w:val="28"/>
          <w:lang w:eastAsia="ru-RU"/>
        </w:rPr>
        <w:t>.</w:t>
      </w:r>
    </w:p>
    <w:p w14:paraId="714760CD" w14:textId="77777777" w:rsidR="00656409" w:rsidRPr="00656409" w:rsidRDefault="00656409" w:rsidP="00C3088B">
      <w:pPr>
        <w:widowControl w:val="0"/>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656409">
        <w:rPr>
          <w:rFonts w:ascii="Times New Roman" w:eastAsia="Times New Roman" w:hAnsi="Times New Roman" w:cs="Times New Roman"/>
          <w:sz w:val="28"/>
          <w:szCs w:val="28"/>
          <w:lang w:eastAsia="ru-RU"/>
        </w:rPr>
        <w:t>В 2021 г</w:t>
      </w:r>
      <w:r w:rsidR="00F707C9">
        <w:rPr>
          <w:rFonts w:ascii="Times New Roman" w:eastAsia="Times New Roman" w:hAnsi="Times New Roman" w:cs="Times New Roman"/>
          <w:sz w:val="28"/>
          <w:szCs w:val="28"/>
          <w:lang w:eastAsia="ru-RU"/>
        </w:rPr>
        <w:t>.</w:t>
      </w:r>
      <w:r w:rsidRPr="00656409">
        <w:rPr>
          <w:rFonts w:ascii="Times New Roman" w:eastAsia="Times New Roman" w:hAnsi="Times New Roman" w:cs="Times New Roman"/>
          <w:sz w:val="28"/>
          <w:szCs w:val="28"/>
          <w:lang w:eastAsia="ru-RU"/>
        </w:rPr>
        <w:t xml:space="preserve"> на проведение мероприятий</w:t>
      </w:r>
      <w:r w:rsidR="00BD3AD5">
        <w:rPr>
          <w:rFonts w:ascii="Times New Roman" w:eastAsia="Times New Roman" w:hAnsi="Times New Roman" w:cs="Times New Roman"/>
          <w:sz w:val="28"/>
          <w:szCs w:val="28"/>
          <w:lang w:eastAsia="ru-RU"/>
        </w:rPr>
        <w:t xml:space="preserve"> патриотической направленности </w:t>
      </w:r>
      <w:r w:rsidRPr="00656409">
        <w:rPr>
          <w:rFonts w:ascii="Times New Roman" w:eastAsia="Times New Roman" w:hAnsi="Times New Roman" w:cs="Times New Roman"/>
          <w:sz w:val="28"/>
          <w:szCs w:val="28"/>
          <w:lang w:eastAsia="ru-RU"/>
        </w:rPr>
        <w:t>с участием детей и молод</w:t>
      </w:r>
      <w:r w:rsidR="000A0E51">
        <w:rPr>
          <w:rFonts w:ascii="Times New Roman" w:eastAsia="Times New Roman" w:hAnsi="Times New Roman" w:cs="Times New Roman"/>
          <w:sz w:val="28"/>
          <w:szCs w:val="28"/>
          <w:lang w:eastAsia="ru-RU"/>
        </w:rPr>
        <w:t>е</w:t>
      </w:r>
      <w:r w:rsidRPr="00656409">
        <w:rPr>
          <w:rFonts w:ascii="Times New Roman" w:eastAsia="Times New Roman" w:hAnsi="Times New Roman" w:cs="Times New Roman"/>
          <w:sz w:val="28"/>
          <w:szCs w:val="28"/>
          <w:lang w:eastAsia="ru-RU"/>
        </w:rPr>
        <w:t>жи некоммерчес</w:t>
      </w:r>
      <w:r w:rsidR="00BD3AD5">
        <w:rPr>
          <w:rFonts w:ascii="Times New Roman" w:eastAsia="Times New Roman" w:hAnsi="Times New Roman" w:cs="Times New Roman"/>
          <w:sz w:val="28"/>
          <w:szCs w:val="28"/>
          <w:lang w:eastAsia="ru-RU"/>
        </w:rPr>
        <w:t xml:space="preserve">ким организациям предоставлено </w:t>
      </w:r>
      <w:r w:rsidRPr="00656409">
        <w:rPr>
          <w:rFonts w:ascii="Times New Roman" w:eastAsia="Times New Roman" w:hAnsi="Times New Roman" w:cs="Times New Roman"/>
          <w:sz w:val="28"/>
          <w:szCs w:val="28"/>
          <w:lang w:eastAsia="ru-RU"/>
        </w:rPr>
        <w:t>г</w:t>
      </w:r>
      <w:r w:rsidR="00C3088B">
        <w:rPr>
          <w:rFonts w:ascii="Times New Roman" w:eastAsia="Times New Roman" w:hAnsi="Times New Roman" w:cs="Times New Roman"/>
          <w:sz w:val="28"/>
          <w:szCs w:val="28"/>
          <w:lang w:eastAsia="ru-RU"/>
        </w:rPr>
        <w:t xml:space="preserve">рантов на сумму 380 млн рублей. </w:t>
      </w:r>
      <w:r w:rsidRPr="00656409">
        <w:rPr>
          <w:rFonts w:ascii="Times New Roman" w:eastAsia="Times New Roman" w:hAnsi="Times New Roman" w:cs="Times New Roman"/>
          <w:sz w:val="28"/>
          <w:szCs w:val="28"/>
          <w:lang w:eastAsia="ru-RU"/>
        </w:rPr>
        <w:t>Предоставлены субсидии к</w:t>
      </w:r>
      <w:r w:rsidR="00BD3AD5">
        <w:rPr>
          <w:rFonts w:ascii="Times New Roman" w:eastAsia="Times New Roman" w:hAnsi="Times New Roman" w:cs="Times New Roman"/>
          <w:sz w:val="28"/>
          <w:szCs w:val="28"/>
          <w:lang w:eastAsia="ru-RU"/>
        </w:rPr>
        <w:t xml:space="preserve">рупнейшим детским общественным </w:t>
      </w:r>
      <w:r w:rsidRPr="00656409">
        <w:rPr>
          <w:rFonts w:ascii="Times New Roman" w:eastAsia="Times New Roman" w:hAnsi="Times New Roman" w:cs="Times New Roman"/>
          <w:sz w:val="28"/>
          <w:szCs w:val="28"/>
          <w:lang w:eastAsia="ru-RU"/>
        </w:rPr>
        <w:t xml:space="preserve">объединениям: </w:t>
      </w:r>
      <w:bookmarkStart w:id="6" w:name="_Hlk106354274"/>
      <w:r w:rsidRPr="00656409">
        <w:rPr>
          <w:rFonts w:ascii="Times New Roman" w:eastAsia="Times New Roman" w:hAnsi="Times New Roman" w:cs="Times New Roman"/>
          <w:sz w:val="28"/>
          <w:szCs w:val="28"/>
          <w:lang w:eastAsia="ru-RU"/>
        </w:rPr>
        <w:t xml:space="preserve">Общероссийской общественно-государственной детско-юношеской организации «Российское движение школьников» </w:t>
      </w:r>
      <w:bookmarkEnd w:id="6"/>
      <w:r w:rsidRPr="00656409">
        <w:rPr>
          <w:rFonts w:ascii="Times New Roman" w:eastAsia="Times New Roman" w:hAnsi="Times New Roman" w:cs="Times New Roman"/>
          <w:sz w:val="28"/>
          <w:szCs w:val="28"/>
          <w:lang w:eastAsia="ru-RU"/>
        </w:rPr>
        <w:t xml:space="preserve">– 600 млн рублей, </w:t>
      </w:r>
      <w:bookmarkStart w:id="7" w:name="_Hlk106354324"/>
      <w:r w:rsidRPr="00656409">
        <w:rPr>
          <w:rFonts w:ascii="Times New Roman" w:eastAsia="Times New Roman" w:hAnsi="Times New Roman" w:cs="Times New Roman"/>
          <w:sz w:val="28"/>
          <w:szCs w:val="28"/>
          <w:lang w:eastAsia="ru-RU"/>
        </w:rPr>
        <w:t xml:space="preserve">Всероссийскому детско-юношескому военно-патриотическому общественному движению </w:t>
      </w:r>
      <w:bookmarkEnd w:id="7"/>
      <w:r w:rsidRPr="00656409">
        <w:rPr>
          <w:rFonts w:ascii="Times New Roman" w:eastAsia="Times New Roman" w:hAnsi="Times New Roman" w:cs="Times New Roman"/>
          <w:sz w:val="28"/>
          <w:szCs w:val="28"/>
          <w:lang w:eastAsia="ru-RU"/>
        </w:rPr>
        <w:t>«ЮНАРМИЯ» – 200 млн рублей, автономной некоммерческой организации «Большая перемена» – 400 млн рублей.</w:t>
      </w:r>
    </w:p>
    <w:p w14:paraId="5A59954D" w14:textId="13EE493C" w:rsidR="00656409" w:rsidRPr="00656409" w:rsidRDefault="00656409" w:rsidP="00656409">
      <w:pPr>
        <w:widowControl w:val="0"/>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656409">
        <w:rPr>
          <w:rFonts w:ascii="Times New Roman" w:eastAsia="Times New Roman" w:hAnsi="Times New Roman" w:cs="Times New Roman"/>
          <w:sz w:val="28"/>
          <w:szCs w:val="28"/>
          <w:lang w:eastAsia="ru-RU"/>
        </w:rPr>
        <w:t>Принимаемые меры позволили в 2021 г</w:t>
      </w:r>
      <w:r w:rsidR="00F707C9">
        <w:rPr>
          <w:rFonts w:ascii="Times New Roman" w:eastAsia="Times New Roman" w:hAnsi="Times New Roman" w:cs="Times New Roman"/>
          <w:sz w:val="28"/>
          <w:szCs w:val="28"/>
          <w:lang w:eastAsia="ru-RU"/>
        </w:rPr>
        <w:t>.</w:t>
      </w:r>
      <w:r w:rsidRPr="00656409">
        <w:rPr>
          <w:rFonts w:ascii="Times New Roman" w:eastAsia="Times New Roman" w:hAnsi="Times New Roman" w:cs="Times New Roman"/>
          <w:sz w:val="28"/>
          <w:szCs w:val="28"/>
          <w:lang w:eastAsia="ru-RU"/>
        </w:rPr>
        <w:t xml:space="preserve"> вовлечь в общественно полезную деятельность, в деятельность детских объединений на 2 млн детей больше,</w:t>
      </w:r>
      <w:r w:rsidR="00C3088B" w:rsidRPr="00A87B5B">
        <w:rPr>
          <w:rFonts w:ascii="Times New Roman" w:eastAsia="Times New Roman" w:hAnsi="Times New Roman" w:cs="Times New Roman"/>
          <w:sz w:val="28"/>
          <w:szCs w:val="28"/>
          <w:lang w:eastAsia="ru-RU"/>
        </w:rPr>
        <w:t> </w:t>
      </w:r>
      <w:r w:rsidRPr="00656409">
        <w:rPr>
          <w:rFonts w:ascii="Times New Roman" w:eastAsia="Times New Roman" w:hAnsi="Times New Roman" w:cs="Times New Roman"/>
          <w:sz w:val="28"/>
          <w:szCs w:val="28"/>
          <w:lang w:eastAsia="ru-RU"/>
        </w:rPr>
        <w:t xml:space="preserve">чем </w:t>
      </w:r>
      <w:r w:rsidR="005360FA">
        <w:rPr>
          <w:rFonts w:ascii="Times New Roman" w:eastAsia="Times New Roman" w:hAnsi="Times New Roman" w:cs="Times New Roman"/>
          <w:sz w:val="28"/>
          <w:szCs w:val="28"/>
          <w:lang w:eastAsia="ru-RU"/>
        </w:rPr>
        <w:br/>
      </w:r>
      <w:r w:rsidRPr="00656409">
        <w:rPr>
          <w:rFonts w:ascii="Times New Roman" w:eastAsia="Times New Roman" w:hAnsi="Times New Roman" w:cs="Times New Roman"/>
          <w:sz w:val="28"/>
          <w:szCs w:val="28"/>
          <w:lang w:eastAsia="ru-RU"/>
        </w:rPr>
        <w:t>в 2020 г. По состоянию на 31 декабря 2021 г</w:t>
      </w:r>
      <w:r w:rsidR="00F707C9">
        <w:rPr>
          <w:rFonts w:ascii="Times New Roman" w:eastAsia="Times New Roman" w:hAnsi="Times New Roman" w:cs="Times New Roman"/>
          <w:sz w:val="28"/>
          <w:szCs w:val="28"/>
          <w:lang w:eastAsia="ru-RU"/>
        </w:rPr>
        <w:t>.</w:t>
      </w:r>
      <w:r w:rsidRPr="00656409">
        <w:rPr>
          <w:rFonts w:ascii="Times New Roman" w:eastAsia="Times New Roman" w:hAnsi="Times New Roman" w:cs="Times New Roman"/>
          <w:sz w:val="28"/>
          <w:szCs w:val="28"/>
          <w:lang w:eastAsia="ru-RU"/>
        </w:rPr>
        <w:t xml:space="preserve"> в деятельность Общероссийской общественно-государственной детско-юношеской организации «Российское движение школьников» вовлечено более 1,6 млн человек, Всероссийского детско-юношеского военно-патриотического общественного движения «ЮНАРМИЯ» – более 1 млн человек, автономной некоммерческой организации «Большая </w:t>
      </w:r>
      <w:r w:rsidR="005360FA">
        <w:rPr>
          <w:rFonts w:ascii="Times New Roman" w:eastAsia="Times New Roman" w:hAnsi="Times New Roman" w:cs="Times New Roman"/>
          <w:sz w:val="28"/>
          <w:szCs w:val="28"/>
          <w:lang w:eastAsia="ru-RU"/>
        </w:rPr>
        <w:br/>
      </w:r>
      <w:r w:rsidRPr="00656409">
        <w:rPr>
          <w:rFonts w:ascii="Times New Roman" w:eastAsia="Times New Roman" w:hAnsi="Times New Roman" w:cs="Times New Roman"/>
          <w:sz w:val="28"/>
          <w:szCs w:val="28"/>
          <w:lang w:eastAsia="ru-RU"/>
        </w:rPr>
        <w:t>перемена» – более 2,5 млн человек.</w:t>
      </w:r>
    </w:p>
    <w:p w14:paraId="39C19C7D" w14:textId="77777777" w:rsidR="00656409" w:rsidRPr="00656409" w:rsidRDefault="00656409" w:rsidP="00656409">
      <w:pPr>
        <w:widowControl w:val="0"/>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656409">
        <w:rPr>
          <w:rFonts w:ascii="Times New Roman" w:eastAsia="Times New Roman" w:hAnsi="Times New Roman" w:cs="Times New Roman"/>
          <w:sz w:val="28"/>
          <w:szCs w:val="28"/>
          <w:lang w:eastAsia="ru-RU"/>
        </w:rPr>
        <w:t>В целях систематизации деятельности детских и молодежных общественных объединений в 2021 г</w:t>
      </w:r>
      <w:r w:rsidR="00F707C9">
        <w:rPr>
          <w:rFonts w:ascii="Times New Roman" w:eastAsia="Times New Roman" w:hAnsi="Times New Roman" w:cs="Times New Roman"/>
          <w:sz w:val="28"/>
          <w:szCs w:val="28"/>
          <w:lang w:eastAsia="ru-RU"/>
        </w:rPr>
        <w:t>.</w:t>
      </w:r>
      <w:r w:rsidRPr="00656409">
        <w:rPr>
          <w:rFonts w:ascii="Times New Roman" w:eastAsia="Times New Roman" w:hAnsi="Times New Roman" w:cs="Times New Roman"/>
          <w:sz w:val="28"/>
          <w:szCs w:val="28"/>
          <w:lang w:eastAsia="ru-RU"/>
        </w:rPr>
        <w:t xml:space="preserve"> создан Координационный совет детских и молодежных общественных объединений</w:t>
      </w:r>
      <w:r w:rsidR="000A0E51">
        <w:rPr>
          <w:rFonts w:ascii="Times New Roman" w:eastAsia="Times New Roman" w:hAnsi="Times New Roman" w:cs="Times New Roman"/>
          <w:sz w:val="28"/>
          <w:szCs w:val="28"/>
          <w:lang w:eastAsia="ru-RU"/>
        </w:rPr>
        <w:t>, в состав которого</w:t>
      </w:r>
      <w:r w:rsidRPr="00656409">
        <w:rPr>
          <w:rFonts w:ascii="Times New Roman" w:eastAsia="Times New Roman" w:hAnsi="Times New Roman" w:cs="Times New Roman"/>
          <w:sz w:val="28"/>
          <w:szCs w:val="28"/>
          <w:lang w:eastAsia="ru-RU"/>
        </w:rPr>
        <w:t xml:space="preserve"> вошли пр</w:t>
      </w:r>
      <w:r>
        <w:rPr>
          <w:rFonts w:ascii="Times New Roman" w:eastAsia="Times New Roman" w:hAnsi="Times New Roman" w:cs="Times New Roman"/>
          <w:sz w:val="28"/>
          <w:szCs w:val="28"/>
          <w:lang w:eastAsia="ru-RU"/>
        </w:rPr>
        <w:t xml:space="preserve">едставители крупнейших детских </w:t>
      </w:r>
      <w:r w:rsidRPr="00656409">
        <w:rPr>
          <w:rFonts w:ascii="Times New Roman" w:eastAsia="Times New Roman" w:hAnsi="Times New Roman" w:cs="Times New Roman"/>
          <w:sz w:val="28"/>
          <w:szCs w:val="28"/>
          <w:lang w:eastAsia="ru-RU"/>
        </w:rPr>
        <w:t>и молодежных общественных объединений.</w:t>
      </w:r>
    </w:p>
    <w:p w14:paraId="539D485E" w14:textId="77777777" w:rsidR="00656409" w:rsidRPr="00656409" w:rsidRDefault="00656409" w:rsidP="00C3088B">
      <w:pPr>
        <w:widowControl w:val="0"/>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656409">
        <w:rPr>
          <w:rFonts w:ascii="Times New Roman" w:eastAsia="Times New Roman" w:hAnsi="Times New Roman" w:cs="Times New Roman"/>
          <w:sz w:val="28"/>
          <w:szCs w:val="28"/>
          <w:lang w:eastAsia="ru-RU"/>
        </w:rPr>
        <w:t>По итогам 2021 г</w:t>
      </w:r>
      <w:r w:rsidR="00F707C9">
        <w:rPr>
          <w:rFonts w:ascii="Times New Roman" w:eastAsia="Times New Roman" w:hAnsi="Times New Roman" w:cs="Times New Roman"/>
          <w:sz w:val="28"/>
          <w:szCs w:val="28"/>
          <w:lang w:eastAsia="ru-RU"/>
        </w:rPr>
        <w:t>.</w:t>
      </w:r>
      <w:r w:rsidRPr="00656409">
        <w:rPr>
          <w:rFonts w:ascii="Times New Roman" w:eastAsia="Times New Roman" w:hAnsi="Times New Roman" w:cs="Times New Roman"/>
          <w:sz w:val="28"/>
          <w:szCs w:val="28"/>
          <w:lang w:eastAsia="ru-RU"/>
        </w:rPr>
        <w:t xml:space="preserve"> 18,79% граждан </w:t>
      </w:r>
      <w:r w:rsidR="00C3088B">
        <w:rPr>
          <w:rFonts w:ascii="Times New Roman" w:eastAsia="Times New Roman" w:hAnsi="Times New Roman" w:cs="Times New Roman"/>
          <w:sz w:val="28"/>
          <w:szCs w:val="28"/>
          <w:lang w:eastAsia="ru-RU"/>
        </w:rPr>
        <w:t xml:space="preserve">Российской Федерации вовлечены </w:t>
      </w:r>
      <w:r w:rsidRPr="00656409">
        <w:rPr>
          <w:rFonts w:ascii="Times New Roman" w:eastAsia="Times New Roman" w:hAnsi="Times New Roman" w:cs="Times New Roman"/>
          <w:sz w:val="28"/>
          <w:szCs w:val="28"/>
          <w:lang w:eastAsia="ru-RU"/>
        </w:rPr>
        <w:t>в сист</w:t>
      </w:r>
      <w:r w:rsidR="00C3088B">
        <w:rPr>
          <w:rFonts w:ascii="Times New Roman" w:eastAsia="Times New Roman" w:hAnsi="Times New Roman" w:cs="Times New Roman"/>
          <w:sz w:val="28"/>
          <w:szCs w:val="28"/>
          <w:lang w:eastAsia="ru-RU"/>
        </w:rPr>
        <w:t xml:space="preserve">ему патриотического воспитания. Кроме того, </w:t>
      </w:r>
      <w:r w:rsidRPr="00656409">
        <w:rPr>
          <w:rFonts w:ascii="Times New Roman" w:eastAsia="Times New Roman" w:hAnsi="Times New Roman" w:cs="Times New Roman"/>
          <w:sz w:val="28"/>
          <w:szCs w:val="28"/>
          <w:lang w:eastAsia="ru-RU"/>
        </w:rPr>
        <w:t>проведено 18 всероссийских тематических онлайн-уроков, направленных на гражданско-патриотическое воспитание детей, количество просмотров которых составило более 8,5 млн.</w:t>
      </w:r>
    </w:p>
    <w:p w14:paraId="53EE19A3" w14:textId="377C43C3" w:rsidR="00656409" w:rsidRPr="00656409" w:rsidRDefault="00656409" w:rsidP="00656409">
      <w:pPr>
        <w:widowControl w:val="0"/>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656409">
        <w:rPr>
          <w:rFonts w:ascii="Times New Roman" w:eastAsia="Times New Roman" w:hAnsi="Times New Roman" w:cs="Times New Roman"/>
          <w:sz w:val="28"/>
          <w:szCs w:val="28"/>
          <w:lang w:eastAsia="ru-RU"/>
        </w:rPr>
        <w:t>Особое внимание в 2021 г</w:t>
      </w:r>
      <w:r w:rsidR="00F707C9">
        <w:rPr>
          <w:rFonts w:ascii="Times New Roman" w:eastAsia="Times New Roman" w:hAnsi="Times New Roman" w:cs="Times New Roman"/>
          <w:sz w:val="28"/>
          <w:szCs w:val="28"/>
          <w:lang w:eastAsia="ru-RU"/>
        </w:rPr>
        <w:t>.</w:t>
      </w:r>
      <w:r w:rsidRPr="00656409">
        <w:rPr>
          <w:rFonts w:ascii="Times New Roman" w:eastAsia="Times New Roman" w:hAnsi="Times New Roman" w:cs="Times New Roman"/>
          <w:sz w:val="28"/>
          <w:szCs w:val="28"/>
          <w:lang w:eastAsia="ru-RU"/>
        </w:rPr>
        <w:t xml:space="preserve"> уделялось развитию кадрового потенциала сферы воспитания. В 10 пилотных субъектах Российской Федерации (Ставропольский край, Брянская, Вологодская, Калининградская, Нижегородская, Омская, Сахалинская, Тюменская, Челябинская области, </w:t>
      </w:r>
      <w:r w:rsidR="000A0E51">
        <w:rPr>
          <w:rFonts w:ascii="Times New Roman" w:eastAsia="Times New Roman" w:hAnsi="Times New Roman" w:cs="Times New Roman"/>
          <w:sz w:val="28"/>
          <w:szCs w:val="28"/>
          <w:lang w:eastAsia="ru-RU"/>
        </w:rPr>
        <w:t xml:space="preserve">г. </w:t>
      </w:r>
      <w:r w:rsidRPr="00656409">
        <w:rPr>
          <w:rFonts w:ascii="Times New Roman" w:eastAsia="Times New Roman" w:hAnsi="Times New Roman" w:cs="Times New Roman"/>
          <w:sz w:val="28"/>
          <w:szCs w:val="28"/>
          <w:lang w:eastAsia="ru-RU"/>
        </w:rPr>
        <w:t xml:space="preserve">Севастополь) внедрены 2 803 ставки советников директоров по воспитанию и взаимодействию с детскими общественными объединениями (при плановом значении </w:t>
      </w:r>
      <w:r w:rsidR="000A0E51" w:rsidRPr="00656409">
        <w:rPr>
          <w:rFonts w:ascii="Times New Roman" w:eastAsia="Times New Roman" w:hAnsi="Times New Roman" w:cs="Times New Roman"/>
          <w:sz w:val="28"/>
          <w:szCs w:val="28"/>
          <w:lang w:eastAsia="ru-RU"/>
        </w:rPr>
        <w:t>на 2021 г</w:t>
      </w:r>
      <w:r w:rsidR="00F707C9">
        <w:rPr>
          <w:rFonts w:ascii="Times New Roman" w:eastAsia="Times New Roman" w:hAnsi="Times New Roman" w:cs="Times New Roman"/>
          <w:sz w:val="28"/>
          <w:szCs w:val="28"/>
          <w:lang w:eastAsia="ru-RU"/>
        </w:rPr>
        <w:t>.</w:t>
      </w:r>
      <w:r w:rsidR="000A0E51" w:rsidRPr="00656409">
        <w:rPr>
          <w:rFonts w:ascii="Times New Roman" w:eastAsia="Times New Roman" w:hAnsi="Times New Roman" w:cs="Times New Roman"/>
          <w:sz w:val="28"/>
          <w:szCs w:val="28"/>
          <w:lang w:eastAsia="ru-RU"/>
        </w:rPr>
        <w:t xml:space="preserve"> </w:t>
      </w:r>
      <w:r w:rsidR="000A0E51">
        <w:rPr>
          <w:rFonts w:ascii="Times New Roman" w:eastAsia="Times New Roman" w:hAnsi="Times New Roman" w:cs="Times New Roman"/>
          <w:sz w:val="28"/>
          <w:szCs w:val="28"/>
          <w:lang w:eastAsia="ru-RU"/>
        </w:rPr>
        <w:t xml:space="preserve">– </w:t>
      </w:r>
      <w:r w:rsidRPr="00656409">
        <w:rPr>
          <w:rFonts w:ascii="Times New Roman" w:eastAsia="Times New Roman" w:hAnsi="Times New Roman" w:cs="Times New Roman"/>
          <w:sz w:val="28"/>
          <w:szCs w:val="28"/>
          <w:lang w:eastAsia="ru-RU"/>
        </w:rPr>
        <w:t>2 500 человек).</w:t>
      </w:r>
    </w:p>
    <w:p w14:paraId="705A53BC" w14:textId="77777777" w:rsidR="00656409" w:rsidRPr="00656409" w:rsidRDefault="00656409" w:rsidP="00656409">
      <w:pPr>
        <w:widowControl w:val="0"/>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656409">
        <w:rPr>
          <w:rFonts w:ascii="Times New Roman" w:eastAsia="Times New Roman" w:hAnsi="Times New Roman" w:cs="Times New Roman"/>
          <w:sz w:val="28"/>
          <w:szCs w:val="28"/>
          <w:lang w:eastAsia="ru-RU"/>
        </w:rPr>
        <w:t>Совместно с Общероссийской общественно-государственной детско-юношеской организацией «Российское движение школьников» и Всероссийским детским центром «Орленок» в октябре 2021 г</w:t>
      </w:r>
      <w:r w:rsidR="00F707C9">
        <w:rPr>
          <w:rFonts w:ascii="Times New Roman" w:eastAsia="Times New Roman" w:hAnsi="Times New Roman" w:cs="Times New Roman"/>
          <w:sz w:val="28"/>
          <w:szCs w:val="28"/>
          <w:lang w:eastAsia="ru-RU"/>
        </w:rPr>
        <w:t>.</w:t>
      </w:r>
      <w:r w:rsidRPr="00656409">
        <w:rPr>
          <w:rFonts w:ascii="Times New Roman" w:eastAsia="Times New Roman" w:hAnsi="Times New Roman" w:cs="Times New Roman"/>
          <w:sz w:val="28"/>
          <w:szCs w:val="28"/>
          <w:lang w:eastAsia="ru-RU"/>
        </w:rPr>
        <w:t xml:space="preserve"> в пилотном режиме запущена программа развития социальной активности младших школьников «Орлята России», на участие в которой по состоянию на 31 дека</w:t>
      </w:r>
      <w:r w:rsidR="00F707C9">
        <w:rPr>
          <w:rFonts w:ascii="Times New Roman" w:eastAsia="Times New Roman" w:hAnsi="Times New Roman" w:cs="Times New Roman"/>
          <w:sz w:val="28"/>
          <w:szCs w:val="28"/>
          <w:lang w:eastAsia="ru-RU"/>
        </w:rPr>
        <w:t>бря 2021 г.</w:t>
      </w:r>
      <w:r>
        <w:rPr>
          <w:rFonts w:ascii="Times New Roman" w:eastAsia="Times New Roman" w:hAnsi="Times New Roman" w:cs="Times New Roman"/>
          <w:sz w:val="28"/>
          <w:szCs w:val="28"/>
          <w:lang w:eastAsia="ru-RU"/>
        </w:rPr>
        <w:t xml:space="preserve"> зарегистрировано </w:t>
      </w:r>
      <w:r w:rsidR="00F707C9">
        <w:rPr>
          <w:rFonts w:ascii="Times New Roman" w:eastAsia="Times New Roman" w:hAnsi="Times New Roman" w:cs="Times New Roman"/>
          <w:sz w:val="28"/>
          <w:szCs w:val="28"/>
          <w:lang w:eastAsia="ru-RU"/>
        </w:rPr>
        <w:br/>
      </w:r>
      <w:r w:rsidRPr="00656409">
        <w:rPr>
          <w:rFonts w:ascii="Times New Roman" w:eastAsia="Times New Roman" w:hAnsi="Times New Roman" w:cs="Times New Roman"/>
          <w:sz w:val="28"/>
          <w:szCs w:val="28"/>
          <w:lang w:eastAsia="ru-RU"/>
        </w:rPr>
        <w:t>более 2 тыс. классов-команд из 64 субъектов Российской Федерации.</w:t>
      </w:r>
    </w:p>
    <w:p w14:paraId="544B451D" w14:textId="77777777" w:rsidR="00656409" w:rsidRPr="00656409" w:rsidRDefault="00656409" w:rsidP="00656409">
      <w:pPr>
        <w:widowControl w:val="0"/>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656409">
        <w:rPr>
          <w:rFonts w:ascii="Times New Roman" w:eastAsia="Times New Roman" w:hAnsi="Times New Roman" w:cs="Times New Roman"/>
          <w:sz w:val="28"/>
          <w:szCs w:val="28"/>
          <w:lang w:eastAsia="ru-RU"/>
        </w:rPr>
        <w:t xml:space="preserve">В целях сохранения и увековечения </w:t>
      </w:r>
      <w:r>
        <w:rPr>
          <w:rFonts w:ascii="Times New Roman" w:eastAsia="Times New Roman" w:hAnsi="Times New Roman" w:cs="Times New Roman"/>
          <w:sz w:val="28"/>
          <w:szCs w:val="28"/>
          <w:lang w:eastAsia="ru-RU"/>
        </w:rPr>
        <w:t xml:space="preserve">памяти о Великой Отечественной </w:t>
      </w:r>
      <w:r w:rsidR="000A0E51">
        <w:rPr>
          <w:rFonts w:ascii="Times New Roman" w:eastAsia="Times New Roman" w:hAnsi="Times New Roman" w:cs="Times New Roman"/>
          <w:sz w:val="28"/>
          <w:szCs w:val="28"/>
          <w:lang w:eastAsia="ru-RU"/>
        </w:rPr>
        <w:t>войне 1941</w:t>
      </w:r>
      <w:r w:rsidR="005574F8">
        <w:rPr>
          <w:rFonts w:ascii="Times New Roman" w:eastAsia="Times New Roman" w:hAnsi="Times New Roman" w:cs="Times New Roman"/>
          <w:sz w:val="28"/>
          <w:szCs w:val="28"/>
          <w:lang w:eastAsia="ru-RU"/>
        </w:rPr>
        <w:t>-</w:t>
      </w:r>
      <w:r w:rsidRPr="00656409">
        <w:rPr>
          <w:rFonts w:ascii="Times New Roman" w:eastAsia="Times New Roman" w:hAnsi="Times New Roman" w:cs="Times New Roman"/>
          <w:sz w:val="28"/>
          <w:szCs w:val="28"/>
          <w:lang w:eastAsia="ru-RU"/>
        </w:rPr>
        <w:t>1945 г</w:t>
      </w:r>
      <w:r w:rsidR="00F707C9">
        <w:rPr>
          <w:rFonts w:ascii="Times New Roman" w:eastAsia="Times New Roman" w:hAnsi="Times New Roman" w:cs="Times New Roman"/>
          <w:sz w:val="28"/>
          <w:szCs w:val="28"/>
          <w:lang w:eastAsia="ru-RU"/>
        </w:rPr>
        <w:t>г.</w:t>
      </w:r>
      <w:r w:rsidRPr="00656409">
        <w:rPr>
          <w:rFonts w:ascii="Times New Roman" w:eastAsia="Times New Roman" w:hAnsi="Times New Roman" w:cs="Times New Roman"/>
          <w:sz w:val="28"/>
          <w:szCs w:val="28"/>
          <w:lang w:eastAsia="ru-RU"/>
        </w:rPr>
        <w:t xml:space="preserve"> проводится Всероссийский конкурс сочинений «Без срока давности» среди обучающихся общеобразовательных организаций, направле</w:t>
      </w:r>
      <w:r>
        <w:rPr>
          <w:rFonts w:ascii="Times New Roman" w:eastAsia="Times New Roman" w:hAnsi="Times New Roman" w:cs="Times New Roman"/>
          <w:sz w:val="28"/>
          <w:szCs w:val="28"/>
          <w:lang w:eastAsia="ru-RU"/>
        </w:rPr>
        <w:t xml:space="preserve">нный </w:t>
      </w:r>
      <w:r w:rsidRPr="00656409">
        <w:rPr>
          <w:rFonts w:ascii="Times New Roman" w:eastAsia="Times New Roman" w:hAnsi="Times New Roman" w:cs="Times New Roman"/>
          <w:sz w:val="28"/>
          <w:szCs w:val="28"/>
          <w:lang w:eastAsia="ru-RU"/>
        </w:rPr>
        <w:t>в том числе на недопущение фальсификации фактов о событиях Великой Отечественной войны, военных преступлениях нацистов и их пособников, геноциде мирного населения на территории стран, входивших в состав СССР. Участниками конкурса в 2020/21 учебном году стали более 460 тыс. человек из всех субъектов Российской Федерации.</w:t>
      </w:r>
    </w:p>
    <w:p w14:paraId="66A74013" w14:textId="354055D3" w:rsidR="00656409" w:rsidRPr="00656409" w:rsidRDefault="00656409" w:rsidP="005574F8">
      <w:pPr>
        <w:widowControl w:val="0"/>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656409">
        <w:rPr>
          <w:rFonts w:ascii="Times New Roman" w:eastAsia="Times New Roman" w:hAnsi="Times New Roman" w:cs="Times New Roman"/>
          <w:sz w:val="28"/>
          <w:szCs w:val="28"/>
          <w:lang w:eastAsia="ru-RU"/>
        </w:rPr>
        <w:t>С целью популяризации рабочих про</w:t>
      </w:r>
      <w:r>
        <w:rPr>
          <w:rFonts w:ascii="Times New Roman" w:eastAsia="Times New Roman" w:hAnsi="Times New Roman" w:cs="Times New Roman"/>
          <w:sz w:val="28"/>
          <w:szCs w:val="28"/>
          <w:lang w:eastAsia="ru-RU"/>
        </w:rPr>
        <w:t xml:space="preserve">фессий и образа профессионала, </w:t>
      </w:r>
      <w:r w:rsidRPr="00656409">
        <w:rPr>
          <w:rFonts w:ascii="Times New Roman" w:eastAsia="Times New Roman" w:hAnsi="Times New Roman" w:cs="Times New Roman"/>
          <w:sz w:val="28"/>
          <w:szCs w:val="28"/>
          <w:lang w:eastAsia="ru-RU"/>
        </w:rPr>
        <w:t xml:space="preserve">в том числе деятельности системы среднего </w:t>
      </w:r>
      <w:r>
        <w:rPr>
          <w:rFonts w:ascii="Times New Roman" w:eastAsia="Times New Roman" w:hAnsi="Times New Roman" w:cs="Times New Roman"/>
          <w:sz w:val="28"/>
          <w:szCs w:val="28"/>
          <w:lang w:eastAsia="ru-RU"/>
        </w:rPr>
        <w:t xml:space="preserve">профессионального образования, </w:t>
      </w:r>
      <w:r w:rsidRPr="00656409">
        <w:rPr>
          <w:rFonts w:ascii="Times New Roman" w:eastAsia="Times New Roman" w:hAnsi="Times New Roman" w:cs="Times New Roman"/>
          <w:sz w:val="28"/>
          <w:szCs w:val="28"/>
          <w:lang w:eastAsia="ru-RU"/>
        </w:rPr>
        <w:t xml:space="preserve">в ноябре </w:t>
      </w:r>
      <w:r w:rsidR="005360FA">
        <w:rPr>
          <w:rFonts w:ascii="Times New Roman" w:eastAsia="Times New Roman" w:hAnsi="Times New Roman" w:cs="Times New Roman"/>
          <w:sz w:val="28"/>
          <w:szCs w:val="28"/>
          <w:lang w:eastAsia="ru-RU"/>
        </w:rPr>
        <w:br/>
      </w:r>
      <w:r w:rsidRPr="00656409">
        <w:rPr>
          <w:rFonts w:ascii="Times New Roman" w:eastAsia="Times New Roman" w:hAnsi="Times New Roman" w:cs="Times New Roman"/>
          <w:sz w:val="28"/>
          <w:szCs w:val="28"/>
          <w:lang w:eastAsia="ru-RU"/>
        </w:rPr>
        <w:t>2020 г</w:t>
      </w:r>
      <w:r w:rsidR="00F707C9">
        <w:rPr>
          <w:rFonts w:ascii="Times New Roman" w:eastAsia="Times New Roman" w:hAnsi="Times New Roman" w:cs="Times New Roman"/>
          <w:sz w:val="28"/>
          <w:szCs w:val="28"/>
          <w:lang w:eastAsia="ru-RU"/>
        </w:rPr>
        <w:t>.</w:t>
      </w:r>
      <w:r w:rsidRPr="00656409">
        <w:rPr>
          <w:rFonts w:ascii="Times New Roman" w:eastAsia="Times New Roman" w:hAnsi="Times New Roman" w:cs="Times New Roman"/>
          <w:sz w:val="28"/>
          <w:szCs w:val="28"/>
          <w:lang w:eastAsia="ru-RU"/>
        </w:rPr>
        <w:t xml:space="preserve"> запущен проект «Шоу профессий» в рамках реализации открытых онлайн-уроков, проводимых с учетом опыта цикла открытых уроков «</w:t>
      </w:r>
      <w:proofErr w:type="spellStart"/>
      <w:r w:rsidRPr="00656409">
        <w:rPr>
          <w:rFonts w:ascii="Times New Roman" w:eastAsia="Times New Roman" w:hAnsi="Times New Roman" w:cs="Times New Roman"/>
          <w:sz w:val="28"/>
          <w:szCs w:val="28"/>
          <w:lang w:eastAsia="ru-RU"/>
        </w:rPr>
        <w:t>ПроеКТОриЯ</w:t>
      </w:r>
      <w:proofErr w:type="spellEnd"/>
      <w:r w:rsidRPr="00656409">
        <w:rPr>
          <w:rFonts w:ascii="Times New Roman" w:eastAsia="Times New Roman" w:hAnsi="Times New Roman" w:cs="Times New Roman"/>
          <w:sz w:val="28"/>
          <w:szCs w:val="28"/>
          <w:lang w:eastAsia="ru-RU"/>
        </w:rPr>
        <w:t>», направленных на раннюю про</w:t>
      </w:r>
      <w:r w:rsidR="005574F8">
        <w:rPr>
          <w:rFonts w:ascii="Times New Roman" w:eastAsia="Times New Roman" w:hAnsi="Times New Roman" w:cs="Times New Roman"/>
          <w:sz w:val="28"/>
          <w:szCs w:val="28"/>
          <w:lang w:eastAsia="ru-RU"/>
        </w:rPr>
        <w:t xml:space="preserve">фориентацию. </w:t>
      </w:r>
      <w:r w:rsidRPr="00656409">
        <w:rPr>
          <w:rFonts w:ascii="Times New Roman" w:eastAsia="Times New Roman" w:hAnsi="Times New Roman" w:cs="Times New Roman"/>
          <w:sz w:val="28"/>
          <w:szCs w:val="28"/>
          <w:lang w:eastAsia="ru-RU"/>
        </w:rPr>
        <w:t>Каждый выпуск включает в себя</w:t>
      </w:r>
      <w:r w:rsidR="005574F8">
        <w:rPr>
          <w:rFonts w:ascii="Times New Roman" w:eastAsia="Times New Roman" w:hAnsi="Times New Roman" w:cs="Times New Roman"/>
          <w:sz w:val="28"/>
          <w:szCs w:val="28"/>
          <w:lang w:eastAsia="ru-RU"/>
        </w:rPr>
        <w:t xml:space="preserve"> </w:t>
      </w:r>
      <w:r w:rsidRPr="00656409">
        <w:rPr>
          <w:rFonts w:ascii="Times New Roman" w:eastAsia="Times New Roman" w:hAnsi="Times New Roman" w:cs="Times New Roman"/>
          <w:sz w:val="28"/>
          <w:szCs w:val="28"/>
          <w:lang w:eastAsia="ru-RU"/>
        </w:rPr>
        <w:t>соревнование по решению производственного кейса между 2 командами участников, общее описание развития отрасли в России, описание процесса п</w:t>
      </w:r>
      <w:r>
        <w:rPr>
          <w:rFonts w:ascii="Times New Roman" w:eastAsia="Times New Roman" w:hAnsi="Times New Roman" w:cs="Times New Roman"/>
          <w:sz w:val="28"/>
          <w:szCs w:val="28"/>
          <w:lang w:eastAsia="ru-RU"/>
        </w:rPr>
        <w:t xml:space="preserve">о компетенции на производстве, </w:t>
      </w:r>
      <w:r w:rsidRPr="00656409">
        <w:rPr>
          <w:rFonts w:ascii="Times New Roman" w:eastAsia="Times New Roman" w:hAnsi="Times New Roman" w:cs="Times New Roman"/>
          <w:sz w:val="28"/>
          <w:szCs w:val="28"/>
          <w:lang w:eastAsia="ru-RU"/>
        </w:rPr>
        <w:t>а также домашнее задание на тему кейса для зрителей.</w:t>
      </w:r>
    </w:p>
    <w:p w14:paraId="3952113D" w14:textId="77777777" w:rsidR="00656409" w:rsidRPr="00656409" w:rsidRDefault="00656409" w:rsidP="00656409">
      <w:pPr>
        <w:widowControl w:val="0"/>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656409">
        <w:rPr>
          <w:rFonts w:ascii="Times New Roman" w:eastAsia="Times New Roman" w:hAnsi="Times New Roman" w:cs="Times New Roman"/>
          <w:sz w:val="28"/>
          <w:szCs w:val="28"/>
          <w:lang w:eastAsia="ru-RU"/>
        </w:rPr>
        <w:t>Кейсы представляют собой специально подготовленные учебно-методические материалы, которые разрабатываются совместно с экспертами на основе реальных производственных задач или социальных событи</w:t>
      </w:r>
      <w:r>
        <w:rPr>
          <w:rFonts w:ascii="Times New Roman" w:eastAsia="Times New Roman" w:hAnsi="Times New Roman" w:cs="Times New Roman"/>
          <w:sz w:val="28"/>
          <w:szCs w:val="28"/>
          <w:lang w:eastAsia="ru-RU"/>
        </w:rPr>
        <w:t xml:space="preserve">й и направлены на формирование </w:t>
      </w:r>
      <w:r w:rsidRPr="00656409">
        <w:rPr>
          <w:rFonts w:ascii="Times New Roman" w:eastAsia="Times New Roman" w:hAnsi="Times New Roman" w:cs="Times New Roman"/>
          <w:sz w:val="28"/>
          <w:szCs w:val="28"/>
          <w:lang w:eastAsia="ru-RU"/>
        </w:rPr>
        <w:t xml:space="preserve">у участников проекта «Шоу профессий» навыков самостоятельного конструирования алгоритмов решения сложных задач. Участники должны выполнить кейс за ограниченное время (в пределах 4 часов), для решения которого изначально предоставляется соответствующее техническое задание или чертежи ожидаемого результата. На протяжении всей программы с командами ведет сопроводительную работу эксперт регионального или международного уровня. </w:t>
      </w:r>
      <w:r w:rsidR="005574F8">
        <w:rPr>
          <w:rFonts w:ascii="Times New Roman" w:eastAsia="Times New Roman" w:hAnsi="Times New Roman" w:cs="Times New Roman"/>
          <w:sz w:val="28"/>
          <w:szCs w:val="28"/>
          <w:lang w:eastAsia="ru-RU"/>
        </w:rPr>
        <w:t xml:space="preserve">Проект «Шоу профессий» рассчитан </w:t>
      </w:r>
      <w:r w:rsidR="00F707C9">
        <w:rPr>
          <w:rFonts w:ascii="Times New Roman" w:eastAsia="Times New Roman" w:hAnsi="Times New Roman" w:cs="Times New Roman"/>
          <w:sz w:val="28"/>
          <w:szCs w:val="28"/>
          <w:lang w:eastAsia="ru-RU"/>
        </w:rPr>
        <w:t>на</w:t>
      </w:r>
      <w:r w:rsidR="00F707C9" w:rsidRPr="00656409">
        <w:rPr>
          <w:rFonts w:ascii="Times New Roman" w:eastAsia="Times New Roman" w:hAnsi="Times New Roman" w:cs="Times New Roman"/>
          <w:sz w:val="28"/>
          <w:szCs w:val="28"/>
          <w:lang w:eastAsia="ru-RU"/>
        </w:rPr>
        <w:t xml:space="preserve"> </w:t>
      </w:r>
      <w:r w:rsidR="00F707C9">
        <w:rPr>
          <w:rFonts w:ascii="Times New Roman" w:eastAsia="Times New Roman" w:hAnsi="Times New Roman" w:cs="Times New Roman"/>
          <w:sz w:val="28"/>
          <w:szCs w:val="28"/>
          <w:lang w:eastAsia="ru-RU"/>
        </w:rPr>
        <w:t>обучающихся общеобразовательных организаций</w:t>
      </w:r>
      <w:r w:rsidRPr="00656409">
        <w:rPr>
          <w:rFonts w:ascii="Times New Roman" w:eastAsia="Times New Roman" w:hAnsi="Times New Roman" w:cs="Times New Roman"/>
          <w:sz w:val="28"/>
          <w:szCs w:val="28"/>
          <w:lang w:eastAsia="ru-RU"/>
        </w:rPr>
        <w:t>, их родител</w:t>
      </w:r>
      <w:r w:rsidR="00F707C9">
        <w:rPr>
          <w:rFonts w:ascii="Times New Roman" w:eastAsia="Times New Roman" w:hAnsi="Times New Roman" w:cs="Times New Roman"/>
          <w:sz w:val="28"/>
          <w:szCs w:val="28"/>
          <w:lang w:eastAsia="ru-RU"/>
        </w:rPr>
        <w:t>ей</w:t>
      </w:r>
      <w:r w:rsidRPr="00656409">
        <w:rPr>
          <w:rFonts w:ascii="Times New Roman" w:eastAsia="Times New Roman" w:hAnsi="Times New Roman" w:cs="Times New Roman"/>
          <w:sz w:val="28"/>
          <w:szCs w:val="28"/>
          <w:lang w:eastAsia="ru-RU"/>
        </w:rPr>
        <w:t xml:space="preserve"> и </w:t>
      </w:r>
      <w:r w:rsidR="005574F8">
        <w:rPr>
          <w:rFonts w:ascii="Times New Roman" w:eastAsia="Times New Roman" w:hAnsi="Times New Roman" w:cs="Times New Roman"/>
          <w:sz w:val="28"/>
          <w:szCs w:val="28"/>
          <w:lang w:eastAsia="ru-RU"/>
        </w:rPr>
        <w:t>преподавателей</w:t>
      </w:r>
      <w:r w:rsidRPr="00656409">
        <w:rPr>
          <w:rFonts w:ascii="Times New Roman" w:eastAsia="Times New Roman" w:hAnsi="Times New Roman" w:cs="Times New Roman"/>
          <w:sz w:val="28"/>
          <w:szCs w:val="28"/>
          <w:lang w:eastAsia="ru-RU"/>
        </w:rPr>
        <w:t>.</w:t>
      </w:r>
    </w:p>
    <w:p w14:paraId="1C6C2010" w14:textId="77777777" w:rsidR="00656409" w:rsidRPr="00656409" w:rsidRDefault="00656409" w:rsidP="00C62B12">
      <w:pPr>
        <w:widowControl w:val="0"/>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656409">
        <w:rPr>
          <w:rFonts w:ascii="Times New Roman" w:eastAsia="Times New Roman" w:hAnsi="Times New Roman" w:cs="Times New Roman"/>
          <w:sz w:val="28"/>
          <w:szCs w:val="28"/>
          <w:lang w:eastAsia="ru-RU"/>
        </w:rPr>
        <w:t>В рамках проекта «Шоу п</w:t>
      </w:r>
      <w:r>
        <w:rPr>
          <w:rFonts w:ascii="Times New Roman" w:eastAsia="Times New Roman" w:hAnsi="Times New Roman" w:cs="Times New Roman"/>
          <w:sz w:val="28"/>
          <w:szCs w:val="28"/>
          <w:lang w:eastAsia="ru-RU"/>
        </w:rPr>
        <w:t>рофессий» в 2021 г</w:t>
      </w:r>
      <w:r w:rsidR="00F707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выпущено </w:t>
      </w:r>
      <w:r w:rsidRPr="00656409">
        <w:rPr>
          <w:rFonts w:ascii="Times New Roman" w:eastAsia="Times New Roman" w:hAnsi="Times New Roman" w:cs="Times New Roman"/>
          <w:sz w:val="28"/>
          <w:szCs w:val="28"/>
          <w:lang w:eastAsia="ru-RU"/>
        </w:rPr>
        <w:t xml:space="preserve">и продемонстрировано 12 видеороликов </w:t>
      </w:r>
      <w:r>
        <w:rPr>
          <w:rFonts w:ascii="Times New Roman" w:eastAsia="Times New Roman" w:hAnsi="Times New Roman" w:cs="Times New Roman"/>
          <w:sz w:val="28"/>
          <w:szCs w:val="28"/>
          <w:lang w:eastAsia="ru-RU"/>
        </w:rPr>
        <w:t>(2020 г</w:t>
      </w:r>
      <w:r w:rsidR="000A0E5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 6 видеороликов) </w:t>
      </w:r>
      <w:r w:rsidRPr="00656409">
        <w:rPr>
          <w:rFonts w:ascii="Times New Roman" w:eastAsia="Times New Roman" w:hAnsi="Times New Roman" w:cs="Times New Roman"/>
          <w:sz w:val="28"/>
          <w:szCs w:val="28"/>
          <w:lang w:eastAsia="ru-RU"/>
        </w:rPr>
        <w:t xml:space="preserve">по профессиям «Электромонтажник», «Сварщик», «Ландшафтный дизайнер», </w:t>
      </w:r>
      <w:proofErr w:type="spellStart"/>
      <w:r w:rsidRPr="00656409">
        <w:rPr>
          <w:rFonts w:ascii="Times New Roman" w:eastAsia="Times New Roman" w:hAnsi="Times New Roman" w:cs="Times New Roman"/>
          <w:sz w:val="28"/>
          <w:szCs w:val="28"/>
          <w:lang w:eastAsia="ru-RU"/>
        </w:rPr>
        <w:t>спецвыпуск</w:t>
      </w:r>
      <w:proofErr w:type="spellEnd"/>
      <w:r w:rsidRPr="00656409">
        <w:rPr>
          <w:rFonts w:ascii="Times New Roman" w:eastAsia="Times New Roman" w:hAnsi="Times New Roman" w:cs="Times New Roman"/>
          <w:sz w:val="28"/>
          <w:szCs w:val="28"/>
          <w:lang w:eastAsia="ru-RU"/>
        </w:rPr>
        <w:t xml:space="preserve"> «Кулинарное дело», «Оператор беспилотных летательных аппаратов», «Лаборант химического анализа» и «Специалист по аддитивным технологиям», компетенция «Технологии моды», </w:t>
      </w:r>
      <w:proofErr w:type="spellStart"/>
      <w:r w:rsidRPr="00656409">
        <w:rPr>
          <w:rFonts w:ascii="Times New Roman" w:eastAsia="Times New Roman" w:hAnsi="Times New Roman" w:cs="Times New Roman"/>
          <w:sz w:val="28"/>
          <w:szCs w:val="28"/>
          <w:lang w:eastAsia="ru-RU"/>
        </w:rPr>
        <w:t>каллоборация</w:t>
      </w:r>
      <w:proofErr w:type="spellEnd"/>
      <w:r w:rsidRPr="00656409">
        <w:rPr>
          <w:rFonts w:ascii="Times New Roman" w:eastAsia="Times New Roman" w:hAnsi="Times New Roman" w:cs="Times New Roman"/>
          <w:sz w:val="28"/>
          <w:szCs w:val="28"/>
          <w:lang w:eastAsia="ru-RU"/>
        </w:rPr>
        <w:t xml:space="preserve"> юниорских компетенций чемпионата «</w:t>
      </w:r>
      <w:proofErr w:type="spellStart"/>
      <w:r w:rsidRPr="00656409">
        <w:rPr>
          <w:rFonts w:ascii="Times New Roman" w:eastAsia="Times New Roman" w:hAnsi="Times New Roman" w:cs="Times New Roman"/>
          <w:sz w:val="28"/>
          <w:szCs w:val="28"/>
          <w:lang w:eastAsia="ru-RU"/>
        </w:rPr>
        <w:t>ArtMasters</w:t>
      </w:r>
      <w:proofErr w:type="spellEnd"/>
      <w:r w:rsidRPr="00656409">
        <w:rPr>
          <w:rFonts w:ascii="Times New Roman" w:eastAsia="Times New Roman" w:hAnsi="Times New Roman" w:cs="Times New Roman"/>
          <w:sz w:val="28"/>
          <w:szCs w:val="28"/>
          <w:lang w:eastAsia="ru-RU"/>
        </w:rPr>
        <w:t xml:space="preserve">», компетенция «Ремонт и обслуживание легковых автомобилей», компетенция «Малярные и декоративные работы», </w:t>
      </w:r>
      <w:proofErr w:type="spellStart"/>
      <w:r w:rsidRPr="00656409">
        <w:rPr>
          <w:rFonts w:ascii="Times New Roman" w:eastAsia="Times New Roman" w:hAnsi="Times New Roman" w:cs="Times New Roman"/>
          <w:sz w:val="28"/>
          <w:szCs w:val="28"/>
          <w:lang w:eastAsia="ru-RU"/>
        </w:rPr>
        <w:t>спецвыпуск</w:t>
      </w:r>
      <w:proofErr w:type="spellEnd"/>
      <w:r w:rsidRPr="00656409">
        <w:rPr>
          <w:rFonts w:ascii="Times New Roman" w:eastAsia="Times New Roman" w:hAnsi="Times New Roman" w:cs="Times New Roman"/>
          <w:sz w:val="28"/>
          <w:szCs w:val="28"/>
          <w:lang w:eastAsia="ru-RU"/>
        </w:rPr>
        <w:t xml:space="preserve"> «Цирковое и эстрадное искусство».</w:t>
      </w:r>
      <w:r w:rsidR="00C62B12" w:rsidRPr="00C62B12">
        <w:rPr>
          <w:rFonts w:ascii="Times New Roman" w:eastAsia="Times New Roman" w:hAnsi="Times New Roman" w:cs="Times New Roman"/>
          <w:sz w:val="28"/>
          <w:szCs w:val="28"/>
          <w:lang w:eastAsia="ru-RU"/>
        </w:rPr>
        <w:t xml:space="preserve"> </w:t>
      </w:r>
      <w:r w:rsidR="00C62B12">
        <w:rPr>
          <w:rFonts w:ascii="Times New Roman" w:eastAsia="Times New Roman" w:hAnsi="Times New Roman" w:cs="Times New Roman"/>
          <w:sz w:val="28"/>
          <w:szCs w:val="28"/>
          <w:lang w:eastAsia="ru-RU"/>
        </w:rPr>
        <w:t>О</w:t>
      </w:r>
      <w:r w:rsidR="00C62B12" w:rsidRPr="00656409">
        <w:rPr>
          <w:rFonts w:ascii="Times New Roman" w:eastAsia="Times New Roman" w:hAnsi="Times New Roman" w:cs="Times New Roman"/>
          <w:sz w:val="28"/>
          <w:szCs w:val="28"/>
          <w:lang w:eastAsia="ru-RU"/>
        </w:rPr>
        <w:t>ткрытыми онлайн-уроками, направленными на раннюю профориентацию,</w:t>
      </w:r>
      <w:r w:rsidR="00C62B12">
        <w:rPr>
          <w:rFonts w:ascii="Times New Roman" w:eastAsia="Times New Roman" w:hAnsi="Times New Roman" w:cs="Times New Roman"/>
          <w:sz w:val="28"/>
          <w:szCs w:val="28"/>
          <w:lang w:eastAsia="ru-RU"/>
        </w:rPr>
        <w:t xml:space="preserve"> охвачено </w:t>
      </w:r>
      <w:r w:rsidRPr="00656409">
        <w:rPr>
          <w:rFonts w:ascii="Times New Roman" w:eastAsia="Times New Roman" w:hAnsi="Times New Roman" w:cs="Times New Roman"/>
          <w:sz w:val="28"/>
          <w:szCs w:val="28"/>
          <w:lang w:eastAsia="ru-RU"/>
        </w:rPr>
        <w:t>8,2 млн человек (2020 г</w:t>
      </w:r>
      <w:r>
        <w:rPr>
          <w:rFonts w:ascii="Times New Roman" w:eastAsia="Times New Roman" w:hAnsi="Times New Roman" w:cs="Times New Roman"/>
          <w:sz w:val="28"/>
          <w:szCs w:val="28"/>
          <w:lang w:eastAsia="ru-RU"/>
        </w:rPr>
        <w:t xml:space="preserve">. – </w:t>
      </w:r>
      <w:r w:rsidRPr="00656409">
        <w:rPr>
          <w:rFonts w:ascii="Times New Roman" w:eastAsia="Times New Roman" w:hAnsi="Times New Roman" w:cs="Times New Roman"/>
          <w:sz w:val="28"/>
          <w:szCs w:val="28"/>
          <w:lang w:eastAsia="ru-RU"/>
        </w:rPr>
        <w:t>2,5 млн человек).</w:t>
      </w:r>
    </w:p>
    <w:p w14:paraId="7B16C38D" w14:textId="77777777" w:rsidR="00401F00" w:rsidRDefault="00656409" w:rsidP="00656409">
      <w:pPr>
        <w:widowControl w:val="0"/>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656409">
        <w:rPr>
          <w:rFonts w:ascii="Times New Roman" w:eastAsia="Times New Roman" w:hAnsi="Times New Roman" w:cs="Times New Roman"/>
          <w:sz w:val="28"/>
          <w:szCs w:val="28"/>
          <w:lang w:eastAsia="ru-RU"/>
        </w:rPr>
        <w:t>В период с 21 по 23 сентября 2021 г. в г. Ярославле проведен Всероссийский форум профессиональной ориентации «</w:t>
      </w:r>
      <w:proofErr w:type="spellStart"/>
      <w:r w:rsidRPr="00656409">
        <w:rPr>
          <w:rFonts w:ascii="Times New Roman" w:eastAsia="Times New Roman" w:hAnsi="Times New Roman" w:cs="Times New Roman"/>
          <w:sz w:val="28"/>
          <w:szCs w:val="28"/>
          <w:lang w:eastAsia="ru-RU"/>
        </w:rPr>
        <w:t>ПроеКТОриЯ</w:t>
      </w:r>
      <w:proofErr w:type="spellEnd"/>
      <w:r w:rsidRPr="00656409">
        <w:rPr>
          <w:rFonts w:ascii="Times New Roman" w:eastAsia="Times New Roman" w:hAnsi="Times New Roman" w:cs="Times New Roman"/>
          <w:sz w:val="28"/>
          <w:szCs w:val="28"/>
          <w:lang w:eastAsia="ru-RU"/>
        </w:rPr>
        <w:t>»</w:t>
      </w:r>
      <w:r w:rsidR="000A0E51">
        <w:rPr>
          <w:rFonts w:ascii="Times New Roman" w:eastAsia="Times New Roman" w:hAnsi="Times New Roman" w:cs="Times New Roman"/>
          <w:sz w:val="28"/>
          <w:szCs w:val="28"/>
          <w:lang w:eastAsia="ru-RU"/>
        </w:rPr>
        <w:t>, в работе которого</w:t>
      </w:r>
      <w:r w:rsidRPr="00656409">
        <w:rPr>
          <w:rFonts w:ascii="Times New Roman" w:eastAsia="Times New Roman" w:hAnsi="Times New Roman" w:cs="Times New Roman"/>
          <w:sz w:val="28"/>
          <w:szCs w:val="28"/>
          <w:lang w:eastAsia="ru-RU"/>
        </w:rPr>
        <w:t xml:space="preserve"> приняли участие более 5 тыс. </w:t>
      </w:r>
      <w:r w:rsidR="00C62B12">
        <w:rPr>
          <w:rFonts w:ascii="Times New Roman" w:eastAsia="Times New Roman" w:hAnsi="Times New Roman" w:cs="Times New Roman"/>
          <w:sz w:val="28"/>
          <w:szCs w:val="28"/>
          <w:lang w:eastAsia="ru-RU"/>
        </w:rPr>
        <w:t>обучающихся</w:t>
      </w:r>
      <w:r w:rsidRPr="00656409">
        <w:rPr>
          <w:rFonts w:ascii="Times New Roman" w:eastAsia="Times New Roman" w:hAnsi="Times New Roman" w:cs="Times New Roman"/>
          <w:sz w:val="28"/>
          <w:szCs w:val="28"/>
          <w:lang w:eastAsia="ru-RU"/>
        </w:rPr>
        <w:t xml:space="preserve"> и уч</w:t>
      </w:r>
      <w:r>
        <w:rPr>
          <w:rFonts w:ascii="Times New Roman" w:eastAsia="Times New Roman" w:hAnsi="Times New Roman" w:cs="Times New Roman"/>
          <w:sz w:val="28"/>
          <w:szCs w:val="28"/>
          <w:lang w:eastAsia="ru-RU"/>
        </w:rPr>
        <w:t xml:space="preserve">ителей из всех регионов страны </w:t>
      </w:r>
      <w:r w:rsidRPr="00656409">
        <w:rPr>
          <w:rFonts w:ascii="Times New Roman" w:eastAsia="Times New Roman" w:hAnsi="Times New Roman" w:cs="Times New Roman"/>
          <w:sz w:val="28"/>
          <w:szCs w:val="28"/>
          <w:lang w:eastAsia="ru-RU"/>
        </w:rPr>
        <w:t>в очном и онлайн формате (2020 г</w:t>
      </w:r>
      <w:r>
        <w:rPr>
          <w:rFonts w:ascii="Times New Roman" w:eastAsia="Times New Roman" w:hAnsi="Times New Roman" w:cs="Times New Roman"/>
          <w:sz w:val="28"/>
          <w:szCs w:val="28"/>
          <w:lang w:eastAsia="ru-RU"/>
        </w:rPr>
        <w:t>.</w:t>
      </w:r>
      <w:r w:rsidRPr="00656409">
        <w:rPr>
          <w:rFonts w:ascii="Times New Roman" w:eastAsia="Times New Roman" w:hAnsi="Times New Roman" w:cs="Times New Roman"/>
          <w:sz w:val="28"/>
          <w:szCs w:val="28"/>
          <w:lang w:eastAsia="ru-RU"/>
        </w:rPr>
        <w:t xml:space="preserve"> – 617 человек).</w:t>
      </w:r>
    </w:p>
    <w:p w14:paraId="3358EBD7" w14:textId="77777777" w:rsidR="00D03A4F" w:rsidRDefault="00D03A4F" w:rsidP="00D03A4F">
      <w:pPr>
        <w:spacing w:before="240" w:after="240"/>
        <w:ind w:firstLine="709"/>
        <w:jc w:val="center"/>
        <w:rPr>
          <w:rFonts w:ascii="Times New Roman" w:eastAsia="Times New Roman" w:hAnsi="Times New Roman" w:cs="Times New Roman"/>
          <w:b/>
          <w:sz w:val="28"/>
          <w:szCs w:val="28"/>
          <w:lang w:eastAsia="ru-RU"/>
        </w:rPr>
      </w:pPr>
      <w:r w:rsidRPr="00D76289">
        <w:rPr>
          <w:rFonts w:ascii="Times New Roman" w:eastAsia="Times New Roman" w:hAnsi="Times New Roman" w:cs="Times New Roman"/>
          <w:b/>
          <w:sz w:val="28"/>
          <w:szCs w:val="28"/>
          <w:lang w:eastAsia="ru-RU"/>
        </w:rPr>
        <w:t>Обучение детей с ограниченными возможностями здоровья</w:t>
      </w:r>
    </w:p>
    <w:p w14:paraId="755C5511" w14:textId="3FD02446" w:rsidR="0079389A" w:rsidRPr="0079389A" w:rsidRDefault="0079389A" w:rsidP="0079389A">
      <w:pPr>
        <w:widowControl w:val="0"/>
        <w:suppressAutoHyphens/>
        <w:spacing w:after="0" w:line="312" w:lineRule="auto"/>
        <w:ind w:firstLine="709"/>
        <w:jc w:val="both"/>
        <w:rPr>
          <w:rFonts w:ascii="Times New Roman" w:eastAsia="Calibri" w:hAnsi="Times New Roman" w:cs="Times New Roman"/>
          <w:bCs/>
          <w:sz w:val="28"/>
          <w:szCs w:val="28"/>
        </w:rPr>
      </w:pPr>
      <w:r w:rsidRPr="0079389A">
        <w:rPr>
          <w:rFonts w:ascii="Times New Roman" w:eastAsia="Calibri" w:hAnsi="Times New Roman" w:cs="Times New Roman"/>
          <w:bCs/>
          <w:sz w:val="28"/>
          <w:szCs w:val="28"/>
        </w:rPr>
        <w:t>В Российской Федерации более 1,3 млн обучающихся имеют статус «обучающийся с ограниченными возможностями здоровья» и более</w:t>
      </w:r>
      <w:r w:rsidRPr="0079389A">
        <w:rPr>
          <w:rFonts w:ascii="Times New Roman" w:eastAsia="Calibri" w:hAnsi="Times New Roman" w:cs="Times New Roman"/>
          <w:sz w:val="28"/>
          <w:szCs w:val="28"/>
        </w:rPr>
        <w:t> </w:t>
      </w:r>
      <w:r w:rsidRPr="0079389A">
        <w:rPr>
          <w:rFonts w:ascii="Times New Roman" w:eastAsia="Calibri" w:hAnsi="Times New Roman" w:cs="Times New Roman"/>
          <w:bCs/>
          <w:sz w:val="28"/>
          <w:szCs w:val="28"/>
        </w:rPr>
        <w:t>700 тыс. – статус «ребенок-инвалид».</w:t>
      </w:r>
    </w:p>
    <w:p w14:paraId="723875B1" w14:textId="77777777" w:rsidR="0079389A" w:rsidRPr="0079389A" w:rsidRDefault="0079389A" w:rsidP="0079389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79389A">
        <w:rPr>
          <w:rFonts w:ascii="Times New Roman" w:eastAsia="Times New Roman" w:hAnsi="Times New Roman" w:cs="Times New Roman"/>
          <w:sz w:val="28"/>
          <w:szCs w:val="28"/>
          <w:lang w:eastAsia="ru-RU"/>
        </w:rPr>
        <w:t>Во исполнение положений Концепции развития ранней помощи в Российской Федерации на период до 2020 г</w:t>
      </w:r>
      <w:r w:rsidR="0060078D">
        <w:rPr>
          <w:rFonts w:ascii="Times New Roman" w:eastAsia="Times New Roman" w:hAnsi="Times New Roman" w:cs="Times New Roman"/>
          <w:sz w:val="28"/>
          <w:szCs w:val="28"/>
          <w:lang w:eastAsia="ru-RU"/>
        </w:rPr>
        <w:t>.</w:t>
      </w:r>
      <w:r w:rsidRPr="0079389A">
        <w:rPr>
          <w:rFonts w:ascii="Times New Roman" w:eastAsia="Times New Roman" w:hAnsi="Times New Roman" w:cs="Times New Roman"/>
          <w:sz w:val="28"/>
          <w:szCs w:val="28"/>
          <w:lang w:eastAsia="ru-RU"/>
        </w:rPr>
        <w:t xml:space="preserve"> во всех регионах созданы межведомственные службы ранней помощи.</w:t>
      </w:r>
    </w:p>
    <w:p w14:paraId="7B0805B4" w14:textId="77777777" w:rsidR="0079389A" w:rsidRPr="0079389A" w:rsidRDefault="00E408C2" w:rsidP="0079389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79389A">
        <w:rPr>
          <w:rFonts w:ascii="Times New Roman" w:eastAsia="Times New Roman" w:hAnsi="Times New Roman" w:cs="Times New Roman"/>
          <w:sz w:val="28"/>
          <w:szCs w:val="28"/>
          <w:lang w:eastAsia="ru-RU"/>
        </w:rPr>
        <w:t xml:space="preserve">аспоряжением Правительства Российской Федерации от 18 декабря 2021 г. </w:t>
      </w:r>
      <w:r>
        <w:rPr>
          <w:rFonts w:ascii="Times New Roman" w:eastAsia="Times New Roman" w:hAnsi="Times New Roman" w:cs="Times New Roman"/>
          <w:sz w:val="28"/>
          <w:szCs w:val="28"/>
          <w:lang w:eastAsia="ru-RU"/>
        </w:rPr>
        <w:br/>
      </w:r>
      <w:r w:rsidRPr="0079389A">
        <w:rPr>
          <w:rFonts w:ascii="Times New Roman" w:eastAsia="Times New Roman" w:hAnsi="Times New Roman" w:cs="Times New Roman"/>
          <w:sz w:val="28"/>
          <w:szCs w:val="28"/>
          <w:lang w:eastAsia="ru-RU"/>
        </w:rPr>
        <w:t xml:space="preserve">№ 3711-р </w:t>
      </w:r>
      <w:r w:rsidR="0079389A" w:rsidRPr="0079389A">
        <w:rPr>
          <w:rFonts w:ascii="Times New Roman" w:eastAsia="Times New Roman" w:hAnsi="Times New Roman" w:cs="Times New Roman"/>
          <w:sz w:val="28"/>
          <w:szCs w:val="28"/>
          <w:lang w:eastAsia="ru-RU"/>
        </w:rPr>
        <w:t>утверждена Концепция развития в Российской Федерации системы комплексной реабилитации и абилитации инвалидов, в том числе детей-инвалидов, на период до 2025 г</w:t>
      </w:r>
      <w:r w:rsidR="0060078D">
        <w:rPr>
          <w:rFonts w:ascii="Times New Roman" w:eastAsia="Times New Roman" w:hAnsi="Times New Roman" w:cs="Times New Roman"/>
          <w:sz w:val="28"/>
          <w:szCs w:val="28"/>
          <w:lang w:eastAsia="ru-RU"/>
        </w:rPr>
        <w:t>.</w:t>
      </w:r>
      <w:r w:rsidR="0079389A" w:rsidRPr="0079389A">
        <w:rPr>
          <w:rFonts w:ascii="Times New Roman" w:eastAsia="Times New Roman" w:hAnsi="Times New Roman" w:cs="Times New Roman"/>
          <w:sz w:val="28"/>
          <w:szCs w:val="28"/>
          <w:lang w:eastAsia="ru-RU"/>
        </w:rPr>
        <w:t>, в рамках которой организована работа над отдельным проектом плана мероприятий по развитию ранней помощи. Данный план формируется с учетом преемственности от оказания ранней помощи к системе дошкольного и общего об</w:t>
      </w:r>
      <w:r>
        <w:rPr>
          <w:rFonts w:ascii="Times New Roman" w:eastAsia="Times New Roman" w:hAnsi="Times New Roman" w:cs="Times New Roman"/>
          <w:sz w:val="28"/>
          <w:szCs w:val="28"/>
          <w:lang w:eastAsia="ru-RU"/>
        </w:rPr>
        <w:t xml:space="preserve">разования, а также в комплексе </w:t>
      </w:r>
      <w:r w:rsidR="0079389A" w:rsidRPr="0079389A">
        <w:rPr>
          <w:rFonts w:ascii="Times New Roman" w:eastAsia="Times New Roman" w:hAnsi="Times New Roman" w:cs="Times New Roman"/>
          <w:sz w:val="28"/>
          <w:szCs w:val="28"/>
          <w:lang w:eastAsia="ru-RU"/>
        </w:rPr>
        <w:t>с системой реабилитации и абилитации.</w:t>
      </w:r>
    </w:p>
    <w:p w14:paraId="7DCFB4B6" w14:textId="25E72F35" w:rsidR="0079389A" w:rsidRPr="0079389A" w:rsidRDefault="0079389A" w:rsidP="0079389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79389A">
        <w:rPr>
          <w:rFonts w:ascii="Times New Roman" w:eastAsia="Times New Roman" w:hAnsi="Times New Roman" w:cs="Times New Roman"/>
          <w:sz w:val="28"/>
          <w:szCs w:val="28"/>
          <w:lang w:eastAsia="ru-RU"/>
        </w:rPr>
        <w:t>По состоянию на 1 января 2022 г</w:t>
      </w:r>
      <w:r w:rsidR="0060078D">
        <w:rPr>
          <w:rFonts w:ascii="Times New Roman" w:eastAsia="Times New Roman" w:hAnsi="Times New Roman" w:cs="Times New Roman"/>
          <w:sz w:val="28"/>
          <w:szCs w:val="28"/>
          <w:lang w:eastAsia="ru-RU"/>
        </w:rPr>
        <w:t>.</w:t>
      </w:r>
      <w:r w:rsidRPr="0079389A">
        <w:rPr>
          <w:rFonts w:ascii="Times New Roman" w:eastAsia="Times New Roman" w:hAnsi="Times New Roman" w:cs="Times New Roman"/>
          <w:sz w:val="28"/>
          <w:szCs w:val="28"/>
          <w:lang w:eastAsia="ru-RU"/>
        </w:rPr>
        <w:t xml:space="preserve"> из 7 226 399 детей, посещающих дошкольные образовательные организации, 551 48</w:t>
      </w:r>
      <w:r w:rsidR="00405F15">
        <w:rPr>
          <w:rFonts w:ascii="Times New Roman" w:eastAsia="Times New Roman" w:hAnsi="Times New Roman" w:cs="Times New Roman"/>
          <w:sz w:val="28"/>
          <w:szCs w:val="28"/>
          <w:lang w:eastAsia="ru-RU"/>
        </w:rPr>
        <w:t xml:space="preserve">9 детей (7,6%) являются детьми </w:t>
      </w:r>
      <w:r w:rsidRPr="0079389A">
        <w:rPr>
          <w:rFonts w:ascii="Times New Roman" w:eastAsia="Times New Roman" w:hAnsi="Times New Roman" w:cs="Times New Roman"/>
          <w:sz w:val="28"/>
          <w:szCs w:val="28"/>
          <w:lang w:eastAsia="ru-RU"/>
        </w:rPr>
        <w:t xml:space="preserve">с </w:t>
      </w:r>
      <w:r w:rsidR="00405F15">
        <w:rPr>
          <w:rFonts w:ascii="Times New Roman" w:eastAsia="Times New Roman" w:hAnsi="Times New Roman" w:cs="Times New Roman"/>
          <w:sz w:val="28"/>
          <w:szCs w:val="28"/>
          <w:lang w:eastAsia="ru-RU"/>
        </w:rPr>
        <w:t>ОВЗ</w:t>
      </w:r>
      <w:r w:rsidRPr="0079389A">
        <w:rPr>
          <w:rFonts w:ascii="Times New Roman" w:eastAsia="Times New Roman" w:hAnsi="Times New Roman" w:cs="Times New Roman"/>
          <w:sz w:val="28"/>
          <w:szCs w:val="28"/>
          <w:lang w:eastAsia="ru-RU"/>
        </w:rPr>
        <w:t xml:space="preserve"> и (или) детьми</w:t>
      </w:r>
      <w:r w:rsidR="003B77D7" w:rsidRPr="003B77D7">
        <w:rPr>
          <w:rFonts w:ascii="Times New Roman" w:eastAsia="Times New Roman" w:hAnsi="Times New Roman" w:cs="Times New Roman"/>
          <w:sz w:val="28"/>
          <w:szCs w:val="28"/>
          <w:lang w:eastAsia="ru-RU"/>
        </w:rPr>
        <w:t xml:space="preserve"> </w:t>
      </w:r>
      <w:r w:rsidR="003B77D7">
        <w:rPr>
          <w:rFonts w:ascii="Times New Roman" w:eastAsia="Times New Roman" w:hAnsi="Times New Roman" w:cs="Times New Roman"/>
          <w:sz w:val="28"/>
          <w:szCs w:val="28"/>
          <w:lang w:eastAsia="ru-RU"/>
        </w:rPr>
        <w:t>с инвалидностью</w:t>
      </w:r>
      <w:r w:rsidRPr="0079389A">
        <w:rPr>
          <w:rFonts w:ascii="Times New Roman" w:eastAsia="Times New Roman" w:hAnsi="Times New Roman" w:cs="Times New Roman"/>
          <w:sz w:val="28"/>
          <w:szCs w:val="28"/>
          <w:lang w:eastAsia="ru-RU"/>
        </w:rPr>
        <w:t>. Указанная тенденция (по процентному соотношению детей) сохраняется с 2018 г.</w:t>
      </w:r>
    </w:p>
    <w:p w14:paraId="2454A0BB" w14:textId="77777777" w:rsidR="0079389A" w:rsidRPr="0079389A" w:rsidRDefault="0079389A" w:rsidP="0079389A">
      <w:pPr>
        <w:widowControl w:val="0"/>
        <w:tabs>
          <w:tab w:val="left" w:pos="2156"/>
        </w:tabs>
        <w:suppressAutoHyphens/>
        <w:spacing w:after="0" w:line="312" w:lineRule="auto"/>
        <w:ind w:firstLine="709"/>
        <w:jc w:val="both"/>
        <w:rPr>
          <w:rFonts w:ascii="Times New Roman" w:eastAsia="Times New Roman" w:hAnsi="Times New Roman" w:cs="Times New Roman"/>
          <w:sz w:val="28"/>
          <w:szCs w:val="28"/>
          <w:lang w:eastAsia="ru-RU"/>
        </w:rPr>
      </w:pPr>
      <w:r w:rsidRPr="0079389A">
        <w:rPr>
          <w:rFonts w:ascii="Times New Roman" w:eastAsia="Times New Roman" w:hAnsi="Times New Roman" w:cs="Times New Roman"/>
          <w:sz w:val="28"/>
          <w:szCs w:val="28"/>
          <w:lang w:eastAsia="ru-RU"/>
        </w:rPr>
        <w:t>В 2021 г</w:t>
      </w:r>
      <w:r w:rsidR="0060078D">
        <w:rPr>
          <w:rFonts w:ascii="Times New Roman" w:eastAsia="Times New Roman" w:hAnsi="Times New Roman" w:cs="Times New Roman"/>
          <w:sz w:val="28"/>
          <w:szCs w:val="28"/>
          <w:lang w:eastAsia="ru-RU"/>
        </w:rPr>
        <w:t>.</w:t>
      </w:r>
      <w:r w:rsidRPr="0079389A">
        <w:rPr>
          <w:rFonts w:ascii="Times New Roman" w:eastAsia="Times New Roman" w:hAnsi="Times New Roman" w:cs="Times New Roman"/>
          <w:sz w:val="28"/>
          <w:szCs w:val="28"/>
          <w:lang w:eastAsia="ru-RU"/>
        </w:rPr>
        <w:t xml:space="preserve"> </w:t>
      </w:r>
      <w:r w:rsidR="00E408C2">
        <w:rPr>
          <w:rFonts w:ascii="Times New Roman" w:eastAsia="Times New Roman" w:hAnsi="Times New Roman" w:cs="Times New Roman"/>
          <w:sz w:val="28"/>
          <w:szCs w:val="28"/>
          <w:lang w:eastAsia="ru-RU"/>
        </w:rPr>
        <w:t xml:space="preserve">также </w:t>
      </w:r>
      <w:r w:rsidRPr="0079389A">
        <w:rPr>
          <w:rFonts w:ascii="Times New Roman" w:eastAsia="Times New Roman" w:hAnsi="Times New Roman" w:cs="Times New Roman"/>
          <w:sz w:val="28"/>
          <w:szCs w:val="28"/>
          <w:lang w:eastAsia="ru-RU"/>
        </w:rPr>
        <w:t>сохраня</w:t>
      </w:r>
      <w:r w:rsidR="00E408C2">
        <w:rPr>
          <w:rFonts w:ascii="Times New Roman" w:eastAsia="Times New Roman" w:hAnsi="Times New Roman" w:cs="Times New Roman"/>
          <w:sz w:val="28"/>
          <w:szCs w:val="28"/>
          <w:lang w:eastAsia="ru-RU"/>
        </w:rPr>
        <w:t>лась</w:t>
      </w:r>
      <w:r w:rsidRPr="0079389A">
        <w:rPr>
          <w:rFonts w:ascii="Times New Roman" w:eastAsia="Times New Roman" w:hAnsi="Times New Roman" w:cs="Times New Roman"/>
          <w:sz w:val="28"/>
          <w:szCs w:val="28"/>
          <w:lang w:eastAsia="ru-RU"/>
        </w:rPr>
        <w:t xml:space="preserve"> тенденция </w:t>
      </w:r>
      <w:r w:rsidR="00405F15">
        <w:rPr>
          <w:rFonts w:ascii="Times New Roman" w:eastAsia="Times New Roman" w:hAnsi="Times New Roman" w:cs="Times New Roman"/>
          <w:sz w:val="28"/>
          <w:szCs w:val="28"/>
          <w:lang w:eastAsia="ru-RU"/>
        </w:rPr>
        <w:t xml:space="preserve">к увеличению количества групп, </w:t>
      </w:r>
      <w:r w:rsidRPr="0079389A">
        <w:rPr>
          <w:rFonts w:ascii="Times New Roman" w:eastAsia="Times New Roman" w:hAnsi="Times New Roman" w:cs="Times New Roman"/>
          <w:sz w:val="28"/>
          <w:szCs w:val="28"/>
          <w:lang w:eastAsia="ru-RU"/>
        </w:rPr>
        <w:t xml:space="preserve">в которых созданы условия для получения образования </w:t>
      </w:r>
      <w:r w:rsidR="00405F15">
        <w:rPr>
          <w:rFonts w:ascii="Times New Roman" w:eastAsia="Times New Roman" w:hAnsi="Times New Roman" w:cs="Times New Roman"/>
          <w:sz w:val="28"/>
          <w:szCs w:val="28"/>
          <w:lang w:eastAsia="ru-RU"/>
        </w:rPr>
        <w:t xml:space="preserve">обучающихся </w:t>
      </w:r>
      <w:r w:rsidRPr="0079389A">
        <w:rPr>
          <w:rFonts w:ascii="Times New Roman" w:eastAsia="Times New Roman" w:hAnsi="Times New Roman" w:cs="Times New Roman"/>
          <w:sz w:val="28"/>
          <w:szCs w:val="28"/>
          <w:lang w:eastAsia="ru-RU"/>
        </w:rPr>
        <w:t>с ограниченными возможностями здоро</w:t>
      </w:r>
      <w:r w:rsidR="00E408C2">
        <w:rPr>
          <w:rFonts w:ascii="Times New Roman" w:eastAsia="Times New Roman" w:hAnsi="Times New Roman" w:cs="Times New Roman"/>
          <w:sz w:val="28"/>
          <w:szCs w:val="28"/>
          <w:lang w:eastAsia="ru-RU"/>
        </w:rPr>
        <w:t>вья: их количество с 2020 г</w:t>
      </w:r>
      <w:r w:rsidR="00447111">
        <w:rPr>
          <w:rFonts w:ascii="Times New Roman" w:eastAsia="Times New Roman" w:hAnsi="Times New Roman" w:cs="Times New Roman"/>
          <w:sz w:val="28"/>
          <w:szCs w:val="28"/>
          <w:lang w:eastAsia="ru-RU"/>
        </w:rPr>
        <w:t>.</w:t>
      </w:r>
      <w:r w:rsidR="00E408C2">
        <w:rPr>
          <w:rFonts w:ascii="Times New Roman" w:eastAsia="Times New Roman" w:hAnsi="Times New Roman" w:cs="Times New Roman"/>
          <w:sz w:val="28"/>
          <w:szCs w:val="28"/>
          <w:lang w:eastAsia="ru-RU"/>
        </w:rPr>
        <w:t xml:space="preserve"> </w:t>
      </w:r>
      <w:r w:rsidRPr="0079389A">
        <w:rPr>
          <w:rFonts w:ascii="Times New Roman" w:eastAsia="Times New Roman" w:hAnsi="Times New Roman" w:cs="Times New Roman"/>
          <w:sz w:val="28"/>
          <w:szCs w:val="28"/>
          <w:lang w:eastAsia="ru-RU"/>
        </w:rPr>
        <w:t xml:space="preserve">увеличилось на 9 931 группу. </w:t>
      </w:r>
    </w:p>
    <w:p w14:paraId="5DA6EE17" w14:textId="77777777" w:rsidR="0079389A" w:rsidRPr="0079389A" w:rsidRDefault="0079389A" w:rsidP="0079389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79389A">
        <w:rPr>
          <w:rFonts w:ascii="Times New Roman" w:eastAsia="Times New Roman" w:hAnsi="Times New Roman" w:cs="Times New Roman"/>
          <w:sz w:val="28"/>
          <w:szCs w:val="28"/>
          <w:lang w:eastAsia="ru-RU"/>
        </w:rPr>
        <w:t>Увеличение групп комбинированной и компенсирующей направленности указывает на развитие условий, создаваемых для детей с особыми образовательными потребностями. Родители (законные представители) доверяют сложившейся системе, что подтверждается их выбором в пользу групп компенсирующей направленности на протяжении последних нескольких лет.</w:t>
      </w:r>
    </w:p>
    <w:p w14:paraId="6808BF1F" w14:textId="4B5B5F77" w:rsidR="0079389A" w:rsidRPr="0079389A" w:rsidRDefault="0079389A" w:rsidP="0079389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79389A">
        <w:rPr>
          <w:rFonts w:ascii="Times New Roman" w:eastAsia="Times New Roman" w:hAnsi="Times New Roman" w:cs="Times New Roman"/>
          <w:sz w:val="28"/>
          <w:szCs w:val="28"/>
          <w:lang w:eastAsia="ru-RU"/>
        </w:rPr>
        <w:t xml:space="preserve">Численность детей с </w:t>
      </w:r>
      <w:r w:rsidR="00D76289" w:rsidRPr="0079389A">
        <w:rPr>
          <w:rFonts w:ascii="Times New Roman" w:eastAsia="Times New Roman" w:hAnsi="Times New Roman" w:cs="Times New Roman"/>
          <w:sz w:val="28"/>
          <w:szCs w:val="28"/>
          <w:lang w:eastAsia="ru-RU"/>
        </w:rPr>
        <w:t>инвалидностью</w:t>
      </w:r>
      <w:r w:rsidR="00D76289">
        <w:rPr>
          <w:rFonts w:ascii="Times New Roman" w:eastAsia="Times New Roman" w:hAnsi="Times New Roman" w:cs="Times New Roman"/>
          <w:sz w:val="28"/>
          <w:szCs w:val="28"/>
          <w:lang w:eastAsia="ru-RU"/>
        </w:rPr>
        <w:t xml:space="preserve"> и </w:t>
      </w:r>
      <w:r w:rsidR="00E408C2">
        <w:rPr>
          <w:rFonts w:ascii="Times New Roman" w:eastAsia="Times New Roman" w:hAnsi="Times New Roman" w:cs="Times New Roman"/>
          <w:sz w:val="28"/>
          <w:szCs w:val="28"/>
          <w:lang w:eastAsia="ru-RU"/>
        </w:rPr>
        <w:t>ОВЗ</w:t>
      </w:r>
      <w:r w:rsidRPr="0079389A">
        <w:rPr>
          <w:rFonts w:ascii="Times New Roman" w:eastAsia="Times New Roman" w:hAnsi="Times New Roman" w:cs="Times New Roman"/>
          <w:sz w:val="28"/>
          <w:szCs w:val="28"/>
          <w:lang w:eastAsia="ru-RU"/>
        </w:rPr>
        <w:t xml:space="preserve">, не обеспеченных местом в группах для детей с </w:t>
      </w:r>
      <w:r w:rsidR="00E408C2">
        <w:rPr>
          <w:rFonts w:ascii="Times New Roman" w:eastAsia="Times New Roman" w:hAnsi="Times New Roman" w:cs="Times New Roman"/>
          <w:sz w:val="28"/>
          <w:szCs w:val="28"/>
          <w:lang w:eastAsia="ru-RU"/>
        </w:rPr>
        <w:t>ОВЗ</w:t>
      </w:r>
      <w:r w:rsidRPr="0079389A">
        <w:rPr>
          <w:rFonts w:ascii="Times New Roman" w:eastAsia="Times New Roman" w:hAnsi="Times New Roman" w:cs="Times New Roman"/>
          <w:sz w:val="28"/>
          <w:szCs w:val="28"/>
          <w:lang w:eastAsia="ru-RU"/>
        </w:rPr>
        <w:t xml:space="preserve"> (потребность), по состоянию на 1 января 2022 г</w:t>
      </w:r>
      <w:r w:rsidR="0060078D">
        <w:rPr>
          <w:rFonts w:ascii="Times New Roman" w:eastAsia="Times New Roman" w:hAnsi="Times New Roman" w:cs="Times New Roman"/>
          <w:sz w:val="28"/>
          <w:szCs w:val="28"/>
          <w:lang w:eastAsia="ru-RU"/>
        </w:rPr>
        <w:t>.</w:t>
      </w:r>
      <w:r w:rsidRPr="0079389A">
        <w:rPr>
          <w:rFonts w:ascii="Times New Roman" w:eastAsia="Times New Roman" w:hAnsi="Times New Roman" w:cs="Times New Roman"/>
          <w:sz w:val="28"/>
          <w:szCs w:val="28"/>
          <w:lang w:eastAsia="ru-RU"/>
        </w:rPr>
        <w:t xml:space="preserve"> составляет </w:t>
      </w:r>
      <w:r w:rsidR="005360FA">
        <w:rPr>
          <w:rFonts w:ascii="Times New Roman" w:eastAsia="Times New Roman" w:hAnsi="Times New Roman" w:cs="Times New Roman"/>
          <w:sz w:val="28"/>
          <w:szCs w:val="28"/>
          <w:lang w:eastAsia="ru-RU"/>
        </w:rPr>
        <w:br/>
      </w:r>
      <w:r w:rsidRPr="0079389A">
        <w:rPr>
          <w:rFonts w:ascii="Times New Roman" w:eastAsia="Times New Roman" w:hAnsi="Times New Roman" w:cs="Times New Roman"/>
          <w:sz w:val="28"/>
          <w:szCs w:val="28"/>
          <w:lang w:eastAsia="ru-RU"/>
        </w:rPr>
        <w:t>2 134 человека (на 1 января 2021 г</w:t>
      </w:r>
      <w:r w:rsidR="00E408C2">
        <w:rPr>
          <w:rFonts w:ascii="Times New Roman" w:eastAsia="Times New Roman" w:hAnsi="Times New Roman" w:cs="Times New Roman"/>
          <w:sz w:val="28"/>
          <w:szCs w:val="28"/>
          <w:lang w:eastAsia="ru-RU"/>
        </w:rPr>
        <w:t xml:space="preserve">. – 2 543 человека). В целом </w:t>
      </w:r>
      <w:r w:rsidRPr="0079389A">
        <w:rPr>
          <w:rFonts w:ascii="Times New Roman" w:eastAsia="Times New Roman" w:hAnsi="Times New Roman" w:cs="Times New Roman"/>
          <w:sz w:val="28"/>
          <w:szCs w:val="28"/>
          <w:lang w:eastAsia="ru-RU"/>
        </w:rPr>
        <w:t xml:space="preserve">по стране в группах для детей с </w:t>
      </w:r>
      <w:r w:rsidR="00E408C2">
        <w:rPr>
          <w:rFonts w:ascii="Times New Roman" w:eastAsia="Times New Roman" w:hAnsi="Times New Roman" w:cs="Times New Roman"/>
          <w:sz w:val="28"/>
          <w:szCs w:val="28"/>
          <w:lang w:eastAsia="ru-RU"/>
        </w:rPr>
        <w:t xml:space="preserve">ОВЗ </w:t>
      </w:r>
      <w:r w:rsidRPr="0079389A">
        <w:rPr>
          <w:rFonts w:ascii="Times New Roman" w:eastAsia="Times New Roman" w:hAnsi="Times New Roman" w:cs="Times New Roman"/>
          <w:sz w:val="28"/>
          <w:szCs w:val="28"/>
          <w:lang w:eastAsia="ru-RU"/>
        </w:rPr>
        <w:t xml:space="preserve">в дошкольных образовательных организациях зафиксировано </w:t>
      </w:r>
      <w:r w:rsidR="005360FA">
        <w:rPr>
          <w:rFonts w:ascii="Times New Roman" w:eastAsia="Times New Roman" w:hAnsi="Times New Roman" w:cs="Times New Roman"/>
          <w:sz w:val="28"/>
          <w:szCs w:val="28"/>
          <w:lang w:eastAsia="ru-RU"/>
        </w:rPr>
        <w:br/>
      </w:r>
      <w:r w:rsidRPr="0079389A">
        <w:rPr>
          <w:rFonts w:ascii="Times New Roman" w:eastAsia="Times New Roman" w:hAnsi="Times New Roman" w:cs="Times New Roman"/>
          <w:sz w:val="28"/>
          <w:szCs w:val="28"/>
          <w:lang w:eastAsia="ru-RU"/>
        </w:rPr>
        <w:t xml:space="preserve">22 421 свободное место. Такая ситуация сложилась ввиду того, что дошкольные образовательные организации, имеющие свободные места, </w:t>
      </w:r>
      <w:r w:rsidR="00E408C2">
        <w:rPr>
          <w:rFonts w:ascii="Times New Roman" w:eastAsia="Times New Roman" w:hAnsi="Times New Roman" w:cs="Times New Roman"/>
          <w:sz w:val="28"/>
          <w:szCs w:val="28"/>
          <w:lang w:eastAsia="ru-RU"/>
        </w:rPr>
        <w:t xml:space="preserve">как правило, не входят в число </w:t>
      </w:r>
      <w:r w:rsidRPr="0079389A">
        <w:rPr>
          <w:rFonts w:ascii="Times New Roman" w:eastAsia="Times New Roman" w:hAnsi="Times New Roman" w:cs="Times New Roman"/>
          <w:sz w:val="28"/>
          <w:szCs w:val="28"/>
          <w:lang w:eastAsia="ru-RU"/>
        </w:rPr>
        <w:t>выбранных родителями по разным причинам,</w:t>
      </w:r>
      <w:r w:rsidR="00E408C2">
        <w:rPr>
          <w:rFonts w:ascii="Times New Roman" w:eastAsia="Times New Roman" w:hAnsi="Times New Roman" w:cs="Times New Roman"/>
          <w:sz w:val="28"/>
          <w:szCs w:val="28"/>
          <w:lang w:eastAsia="ru-RU"/>
        </w:rPr>
        <w:t xml:space="preserve"> в том числе из-за удаленности </w:t>
      </w:r>
      <w:r w:rsidRPr="0079389A">
        <w:rPr>
          <w:rFonts w:ascii="Times New Roman" w:eastAsia="Times New Roman" w:hAnsi="Times New Roman" w:cs="Times New Roman"/>
          <w:sz w:val="28"/>
          <w:szCs w:val="28"/>
          <w:lang w:eastAsia="ru-RU"/>
        </w:rPr>
        <w:t>от места проживания семьи.</w:t>
      </w:r>
    </w:p>
    <w:p w14:paraId="3298EF24" w14:textId="77777777" w:rsidR="0079389A" w:rsidRPr="0079389A" w:rsidRDefault="0079389A" w:rsidP="0079389A">
      <w:pPr>
        <w:widowControl w:val="0"/>
        <w:shd w:val="clear" w:color="auto" w:fill="FFFFFF"/>
        <w:suppressAutoHyphens/>
        <w:spacing w:after="0" w:line="312" w:lineRule="auto"/>
        <w:ind w:firstLine="709"/>
        <w:jc w:val="both"/>
        <w:rPr>
          <w:rFonts w:ascii="Times New Roman" w:eastAsia="Times New Roman" w:hAnsi="Times New Roman" w:cs="Times New Roman"/>
          <w:bCs/>
          <w:sz w:val="28"/>
          <w:szCs w:val="28"/>
          <w:lang w:eastAsia="ru-RU"/>
        </w:rPr>
      </w:pPr>
      <w:r w:rsidRPr="0079389A">
        <w:rPr>
          <w:rFonts w:ascii="Times New Roman" w:eastAsia="Times New Roman" w:hAnsi="Times New Roman" w:cs="Times New Roman"/>
          <w:bCs/>
          <w:sz w:val="28"/>
          <w:szCs w:val="28"/>
          <w:lang w:eastAsia="ru-RU"/>
        </w:rPr>
        <w:t>Несмотря на то, что дошкольное образование не является обязательным уровнем образования в Российской Федерации, именно в дошкольном возрасте необходимо начинать психолого-педаг</w:t>
      </w:r>
      <w:r w:rsidR="00E408C2">
        <w:rPr>
          <w:rFonts w:ascii="Times New Roman" w:eastAsia="Times New Roman" w:hAnsi="Times New Roman" w:cs="Times New Roman"/>
          <w:bCs/>
          <w:sz w:val="28"/>
          <w:szCs w:val="28"/>
          <w:lang w:eastAsia="ru-RU"/>
        </w:rPr>
        <w:t xml:space="preserve">огическую коррекционную работу </w:t>
      </w:r>
      <w:r w:rsidRPr="0079389A">
        <w:rPr>
          <w:rFonts w:ascii="Times New Roman" w:eastAsia="Times New Roman" w:hAnsi="Times New Roman" w:cs="Times New Roman"/>
          <w:bCs/>
          <w:sz w:val="28"/>
          <w:szCs w:val="28"/>
          <w:lang w:eastAsia="ru-RU"/>
        </w:rPr>
        <w:t>с детьми, имеющими нарушения развития и риск их возникновения, обеспечивая психолого-педагогическое сопровожде</w:t>
      </w:r>
      <w:r w:rsidR="00E408C2">
        <w:rPr>
          <w:rFonts w:ascii="Times New Roman" w:eastAsia="Times New Roman" w:hAnsi="Times New Roman" w:cs="Times New Roman"/>
          <w:bCs/>
          <w:sz w:val="28"/>
          <w:szCs w:val="28"/>
          <w:lang w:eastAsia="ru-RU"/>
        </w:rPr>
        <w:t>ние их семей. На данный момент действует</w:t>
      </w:r>
      <w:r w:rsidRPr="0079389A">
        <w:rPr>
          <w:rFonts w:ascii="Times New Roman" w:eastAsia="Times New Roman" w:hAnsi="Times New Roman" w:cs="Times New Roman"/>
          <w:bCs/>
          <w:sz w:val="28"/>
          <w:szCs w:val="28"/>
          <w:lang w:eastAsia="ru-RU"/>
        </w:rPr>
        <w:t xml:space="preserve"> система консультационных центров на базе дошкольных образовательных организаций</w:t>
      </w:r>
      <w:r w:rsidR="00E408C2">
        <w:rPr>
          <w:rFonts w:ascii="Times New Roman" w:eastAsia="Times New Roman" w:hAnsi="Times New Roman" w:cs="Times New Roman"/>
          <w:bCs/>
          <w:sz w:val="28"/>
          <w:szCs w:val="28"/>
          <w:lang w:eastAsia="ru-RU"/>
        </w:rPr>
        <w:t xml:space="preserve"> в количестве </w:t>
      </w:r>
      <w:r w:rsidR="00E408C2" w:rsidRPr="0079389A">
        <w:rPr>
          <w:rFonts w:ascii="Times New Roman" w:eastAsia="Times New Roman" w:hAnsi="Times New Roman" w:cs="Times New Roman"/>
          <w:bCs/>
          <w:sz w:val="28"/>
          <w:szCs w:val="28"/>
          <w:lang w:eastAsia="ru-RU"/>
        </w:rPr>
        <w:t>13</w:t>
      </w:r>
      <w:r w:rsidR="00E408C2">
        <w:rPr>
          <w:rFonts w:ascii="Times New Roman" w:eastAsia="Times New Roman" w:hAnsi="Times New Roman" w:cs="Times New Roman"/>
          <w:bCs/>
          <w:sz w:val="28"/>
          <w:szCs w:val="28"/>
          <w:lang w:eastAsia="ru-RU"/>
        </w:rPr>
        <w:t> </w:t>
      </w:r>
      <w:r w:rsidR="00E408C2" w:rsidRPr="0079389A">
        <w:rPr>
          <w:rFonts w:ascii="Times New Roman" w:eastAsia="Times New Roman" w:hAnsi="Times New Roman" w:cs="Times New Roman"/>
          <w:bCs/>
          <w:sz w:val="28"/>
          <w:szCs w:val="28"/>
          <w:lang w:eastAsia="ru-RU"/>
        </w:rPr>
        <w:t>773</w:t>
      </w:r>
      <w:r w:rsidR="00E408C2">
        <w:rPr>
          <w:rFonts w:ascii="Times New Roman" w:eastAsia="Times New Roman" w:hAnsi="Times New Roman" w:cs="Times New Roman"/>
          <w:bCs/>
          <w:sz w:val="28"/>
          <w:szCs w:val="28"/>
          <w:lang w:eastAsia="ru-RU"/>
        </w:rPr>
        <w:t xml:space="preserve"> единиц</w:t>
      </w:r>
      <w:r w:rsidRPr="0079389A">
        <w:rPr>
          <w:rFonts w:ascii="Times New Roman" w:eastAsia="Times New Roman" w:hAnsi="Times New Roman" w:cs="Times New Roman"/>
          <w:bCs/>
          <w:sz w:val="28"/>
          <w:szCs w:val="28"/>
          <w:lang w:eastAsia="ru-RU"/>
        </w:rPr>
        <w:t xml:space="preserve">, </w:t>
      </w:r>
      <w:r w:rsidR="00E408C2">
        <w:rPr>
          <w:rFonts w:ascii="Times New Roman" w:eastAsia="Times New Roman" w:hAnsi="Times New Roman" w:cs="Times New Roman"/>
          <w:bCs/>
          <w:sz w:val="28"/>
          <w:szCs w:val="28"/>
          <w:lang w:eastAsia="ru-RU"/>
        </w:rPr>
        <w:t xml:space="preserve">деятельность которых ориентирована, </w:t>
      </w:r>
      <w:r w:rsidRPr="0079389A">
        <w:rPr>
          <w:rFonts w:ascii="Times New Roman" w:eastAsia="Times New Roman" w:hAnsi="Times New Roman" w:cs="Times New Roman"/>
          <w:bCs/>
          <w:sz w:val="28"/>
          <w:szCs w:val="28"/>
          <w:lang w:eastAsia="ru-RU"/>
        </w:rPr>
        <w:t xml:space="preserve">в том числе </w:t>
      </w:r>
      <w:r w:rsidR="00E408C2">
        <w:rPr>
          <w:rFonts w:ascii="Times New Roman" w:eastAsia="Times New Roman" w:hAnsi="Times New Roman" w:cs="Times New Roman"/>
          <w:bCs/>
          <w:sz w:val="28"/>
          <w:szCs w:val="28"/>
          <w:lang w:eastAsia="ru-RU"/>
        </w:rPr>
        <w:t>на</w:t>
      </w:r>
      <w:r w:rsidRPr="0079389A">
        <w:rPr>
          <w:rFonts w:ascii="Times New Roman" w:eastAsia="Times New Roman" w:hAnsi="Times New Roman" w:cs="Times New Roman"/>
          <w:bCs/>
          <w:sz w:val="28"/>
          <w:szCs w:val="28"/>
          <w:lang w:eastAsia="ru-RU"/>
        </w:rPr>
        <w:t xml:space="preserve"> </w:t>
      </w:r>
      <w:r w:rsidR="00E408C2">
        <w:rPr>
          <w:rFonts w:ascii="Times New Roman" w:eastAsia="Times New Roman" w:hAnsi="Times New Roman" w:cs="Times New Roman"/>
          <w:bCs/>
          <w:sz w:val="28"/>
          <w:szCs w:val="28"/>
          <w:lang w:eastAsia="ru-RU"/>
        </w:rPr>
        <w:t xml:space="preserve">оказание помощи при </w:t>
      </w:r>
      <w:r w:rsidRPr="0079389A">
        <w:rPr>
          <w:rFonts w:ascii="Times New Roman" w:eastAsia="Times New Roman" w:hAnsi="Times New Roman" w:cs="Times New Roman"/>
          <w:bCs/>
          <w:sz w:val="28"/>
          <w:szCs w:val="28"/>
          <w:lang w:eastAsia="ru-RU"/>
        </w:rPr>
        <w:t>подготовк</w:t>
      </w:r>
      <w:r w:rsidR="00E408C2">
        <w:rPr>
          <w:rFonts w:ascii="Times New Roman" w:eastAsia="Times New Roman" w:hAnsi="Times New Roman" w:cs="Times New Roman"/>
          <w:bCs/>
          <w:sz w:val="28"/>
          <w:szCs w:val="28"/>
          <w:lang w:eastAsia="ru-RU"/>
        </w:rPr>
        <w:t>е</w:t>
      </w:r>
      <w:r w:rsidRPr="0079389A">
        <w:rPr>
          <w:rFonts w:ascii="Times New Roman" w:eastAsia="Times New Roman" w:hAnsi="Times New Roman" w:cs="Times New Roman"/>
          <w:bCs/>
          <w:sz w:val="28"/>
          <w:szCs w:val="28"/>
          <w:lang w:eastAsia="ru-RU"/>
        </w:rPr>
        <w:t xml:space="preserve"> детей к школе.</w:t>
      </w:r>
    </w:p>
    <w:p w14:paraId="301AFA9E" w14:textId="77777777" w:rsidR="0079389A" w:rsidRPr="0079389A" w:rsidRDefault="0079389A" w:rsidP="007F1AA6">
      <w:pPr>
        <w:widowControl w:val="0"/>
        <w:shd w:val="clear" w:color="auto" w:fill="FFFFFF"/>
        <w:suppressAutoHyphens/>
        <w:spacing w:after="0" w:line="312" w:lineRule="auto"/>
        <w:ind w:firstLine="709"/>
        <w:jc w:val="both"/>
        <w:rPr>
          <w:rFonts w:ascii="Times New Roman" w:eastAsia="Times New Roman" w:hAnsi="Times New Roman" w:cs="Times New Roman"/>
          <w:bCs/>
          <w:sz w:val="28"/>
          <w:szCs w:val="28"/>
          <w:lang w:eastAsia="ru-RU"/>
        </w:rPr>
      </w:pPr>
      <w:r w:rsidRPr="0079389A">
        <w:rPr>
          <w:rFonts w:ascii="Times New Roman" w:eastAsia="Times New Roman" w:hAnsi="Times New Roman" w:cs="Times New Roman"/>
          <w:bCs/>
          <w:sz w:val="28"/>
          <w:szCs w:val="28"/>
          <w:lang w:eastAsia="ru-RU"/>
        </w:rPr>
        <w:t xml:space="preserve">В системе школьного образования обучающихся с </w:t>
      </w:r>
      <w:r w:rsidR="00D76289" w:rsidRPr="0079389A">
        <w:rPr>
          <w:rFonts w:ascii="Times New Roman" w:eastAsia="Times New Roman" w:hAnsi="Times New Roman" w:cs="Times New Roman"/>
          <w:bCs/>
          <w:sz w:val="28"/>
          <w:szCs w:val="28"/>
          <w:lang w:eastAsia="ru-RU"/>
        </w:rPr>
        <w:t>инвалидност</w:t>
      </w:r>
      <w:r w:rsidR="00D76289">
        <w:rPr>
          <w:rFonts w:ascii="Times New Roman" w:eastAsia="Times New Roman" w:hAnsi="Times New Roman" w:cs="Times New Roman"/>
          <w:bCs/>
          <w:sz w:val="28"/>
          <w:szCs w:val="28"/>
          <w:lang w:eastAsia="ru-RU"/>
        </w:rPr>
        <w:t xml:space="preserve">ью и </w:t>
      </w:r>
      <w:r w:rsidR="007F1AA6">
        <w:rPr>
          <w:rFonts w:ascii="Times New Roman" w:eastAsia="Times New Roman" w:hAnsi="Times New Roman" w:cs="Times New Roman"/>
          <w:bCs/>
          <w:sz w:val="28"/>
          <w:szCs w:val="28"/>
          <w:lang w:eastAsia="ru-RU"/>
        </w:rPr>
        <w:t>ОВЗ</w:t>
      </w:r>
      <w:r w:rsidRPr="0079389A">
        <w:rPr>
          <w:rFonts w:ascii="Times New Roman" w:eastAsia="Times New Roman" w:hAnsi="Times New Roman" w:cs="Times New Roman"/>
          <w:bCs/>
          <w:sz w:val="28"/>
          <w:szCs w:val="28"/>
          <w:lang w:eastAsia="ru-RU"/>
        </w:rPr>
        <w:t xml:space="preserve"> </w:t>
      </w:r>
      <w:r w:rsidR="007F1AA6">
        <w:rPr>
          <w:rFonts w:ascii="Times New Roman" w:eastAsia="Times New Roman" w:hAnsi="Times New Roman" w:cs="Times New Roman"/>
          <w:bCs/>
          <w:sz w:val="28"/>
          <w:szCs w:val="28"/>
          <w:lang w:eastAsia="ru-RU"/>
        </w:rPr>
        <w:t xml:space="preserve">примерно равная численность </w:t>
      </w:r>
      <w:r w:rsidRPr="0079389A">
        <w:rPr>
          <w:rFonts w:ascii="Times New Roman" w:eastAsia="Times New Roman" w:hAnsi="Times New Roman" w:cs="Times New Roman"/>
          <w:bCs/>
          <w:sz w:val="28"/>
          <w:szCs w:val="28"/>
          <w:lang w:eastAsia="ru-RU"/>
        </w:rPr>
        <w:t>в отдельных и инклюзивных клас</w:t>
      </w:r>
      <w:r w:rsidR="007F1AA6">
        <w:rPr>
          <w:rFonts w:ascii="Times New Roman" w:eastAsia="Times New Roman" w:hAnsi="Times New Roman" w:cs="Times New Roman"/>
          <w:bCs/>
          <w:sz w:val="28"/>
          <w:szCs w:val="28"/>
          <w:lang w:eastAsia="ru-RU"/>
        </w:rPr>
        <w:t xml:space="preserve">сах (с небольшим преобладанием </w:t>
      </w:r>
      <w:r w:rsidRPr="0079389A">
        <w:rPr>
          <w:rFonts w:ascii="Times New Roman" w:eastAsia="Times New Roman" w:hAnsi="Times New Roman" w:cs="Times New Roman"/>
          <w:bCs/>
          <w:sz w:val="28"/>
          <w:szCs w:val="28"/>
          <w:lang w:eastAsia="ru-RU"/>
        </w:rPr>
        <w:t xml:space="preserve">обучающихся с </w:t>
      </w:r>
      <w:r w:rsidR="007F1AA6">
        <w:rPr>
          <w:rFonts w:ascii="Times New Roman" w:eastAsia="Times New Roman" w:hAnsi="Times New Roman" w:cs="Times New Roman"/>
          <w:bCs/>
          <w:sz w:val="28"/>
          <w:szCs w:val="28"/>
          <w:lang w:eastAsia="ru-RU"/>
        </w:rPr>
        <w:t xml:space="preserve">ОВЗ в инклюзивных классах </w:t>
      </w:r>
      <w:r w:rsidRPr="0079389A">
        <w:rPr>
          <w:rFonts w:ascii="Times New Roman" w:eastAsia="Times New Roman" w:hAnsi="Times New Roman" w:cs="Times New Roman"/>
          <w:bCs/>
          <w:sz w:val="28"/>
          <w:szCs w:val="28"/>
          <w:lang w:eastAsia="ru-RU"/>
        </w:rPr>
        <w:t>в отличие от 2020 г</w:t>
      </w:r>
      <w:r w:rsidR="0060078D">
        <w:rPr>
          <w:rFonts w:ascii="Times New Roman" w:eastAsia="Times New Roman" w:hAnsi="Times New Roman" w:cs="Times New Roman"/>
          <w:bCs/>
          <w:sz w:val="28"/>
          <w:szCs w:val="28"/>
          <w:lang w:eastAsia="ru-RU"/>
        </w:rPr>
        <w:t>.</w:t>
      </w:r>
      <w:r w:rsidRPr="0079389A">
        <w:rPr>
          <w:rFonts w:ascii="Times New Roman" w:eastAsia="Times New Roman" w:hAnsi="Times New Roman" w:cs="Times New Roman"/>
          <w:bCs/>
          <w:sz w:val="28"/>
          <w:szCs w:val="28"/>
          <w:lang w:eastAsia="ru-RU"/>
        </w:rPr>
        <w:t>).</w:t>
      </w:r>
      <w:r w:rsidR="007F1AA6">
        <w:rPr>
          <w:rFonts w:ascii="Times New Roman" w:eastAsia="Times New Roman" w:hAnsi="Times New Roman" w:cs="Times New Roman"/>
          <w:bCs/>
          <w:sz w:val="28"/>
          <w:szCs w:val="28"/>
          <w:lang w:eastAsia="ru-RU"/>
        </w:rPr>
        <w:t xml:space="preserve"> </w:t>
      </w:r>
      <w:r w:rsidR="0060078D">
        <w:rPr>
          <w:rFonts w:ascii="Times New Roman" w:eastAsia="Times New Roman" w:hAnsi="Times New Roman" w:cs="Times New Roman"/>
          <w:bCs/>
          <w:sz w:val="28"/>
          <w:szCs w:val="28"/>
          <w:lang w:eastAsia="ru-RU"/>
        </w:rPr>
        <w:br/>
      </w:r>
      <w:r w:rsidR="007F1AA6">
        <w:rPr>
          <w:rFonts w:ascii="Times New Roman" w:eastAsia="Times New Roman" w:hAnsi="Times New Roman" w:cs="Times New Roman"/>
          <w:bCs/>
          <w:sz w:val="28"/>
          <w:szCs w:val="28"/>
          <w:lang w:eastAsia="ru-RU"/>
        </w:rPr>
        <w:t>В 2021 г</w:t>
      </w:r>
      <w:r w:rsidR="0060078D">
        <w:rPr>
          <w:rFonts w:ascii="Times New Roman" w:eastAsia="Times New Roman" w:hAnsi="Times New Roman" w:cs="Times New Roman"/>
          <w:bCs/>
          <w:sz w:val="28"/>
          <w:szCs w:val="28"/>
          <w:lang w:eastAsia="ru-RU"/>
        </w:rPr>
        <w:t>.</w:t>
      </w:r>
      <w:r w:rsidR="007F1AA6">
        <w:rPr>
          <w:rFonts w:ascii="Times New Roman" w:eastAsia="Times New Roman" w:hAnsi="Times New Roman" w:cs="Times New Roman"/>
          <w:bCs/>
          <w:sz w:val="28"/>
          <w:szCs w:val="28"/>
          <w:lang w:eastAsia="ru-RU"/>
        </w:rPr>
        <w:t xml:space="preserve"> </w:t>
      </w:r>
      <w:r w:rsidR="007F1AA6" w:rsidRPr="0079389A">
        <w:rPr>
          <w:rFonts w:ascii="Times New Roman" w:eastAsia="Times New Roman" w:hAnsi="Times New Roman" w:cs="Times New Roman"/>
          <w:bCs/>
          <w:sz w:val="28"/>
          <w:szCs w:val="28"/>
          <w:lang w:eastAsia="ru-RU"/>
        </w:rPr>
        <w:t>1</w:t>
      </w:r>
      <w:r w:rsidR="007F1AA6" w:rsidRPr="0079389A">
        <w:rPr>
          <w:rFonts w:ascii="Times New Roman" w:eastAsia="Times New Roman" w:hAnsi="Times New Roman" w:cs="Times New Roman"/>
          <w:sz w:val="28"/>
          <w:szCs w:val="28"/>
          <w:lang w:eastAsia="ru-RU"/>
        </w:rPr>
        <w:t>7,3 млн</w:t>
      </w:r>
      <w:r w:rsidR="007F1AA6" w:rsidRPr="0079389A">
        <w:rPr>
          <w:rFonts w:ascii="Times New Roman" w:eastAsia="Times New Roman" w:hAnsi="Times New Roman" w:cs="Times New Roman"/>
          <w:bCs/>
          <w:sz w:val="28"/>
          <w:szCs w:val="28"/>
          <w:lang w:eastAsia="ru-RU"/>
        </w:rPr>
        <w:t xml:space="preserve"> обучающихся</w:t>
      </w:r>
      <w:r w:rsidR="007F1AA6">
        <w:rPr>
          <w:rFonts w:ascii="Times New Roman" w:eastAsia="Times New Roman" w:hAnsi="Times New Roman" w:cs="Times New Roman"/>
          <w:bCs/>
          <w:sz w:val="28"/>
          <w:szCs w:val="28"/>
          <w:lang w:eastAsia="ru-RU"/>
        </w:rPr>
        <w:t xml:space="preserve"> </w:t>
      </w:r>
      <w:r w:rsidR="007F1AA6" w:rsidRPr="0079389A">
        <w:rPr>
          <w:rFonts w:ascii="Times New Roman" w:eastAsia="Times New Roman" w:hAnsi="Times New Roman" w:cs="Times New Roman"/>
          <w:bCs/>
          <w:sz w:val="28"/>
          <w:szCs w:val="28"/>
          <w:lang w:eastAsia="ru-RU"/>
        </w:rPr>
        <w:t>получали образование</w:t>
      </w:r>
      <w:r w:rsidR="007F1AA6" w:rsidRPr="007F1AA6">
        <w:rPr>
          <w:rFonts w:ascii="Times New Roman" w:eastAsia="Times New Roman" w:hAnsi="Times New Roman" w:cs="Times New Roman"/>
          <w:bCs/>
          <w:sz w:val="28"/>
          <w:szCs w:val="28"/>
          <w:lang w:eastAsia="ru-RU"/>
        </w:rPr>
        <w:t xml:space="preserve"> </w:t>
      </w:r>
      <w:r w:rsidR="007F1AA6" w:rsidRPr="0079389A">
        <w:rPr>
          <w:rFonts w:ascii="Times New Roman" w:eastAsia="Times New Roman" w:hAnsi="Times New Roman" w:cs="Times New Roman"/>
          <w:bCs/>
          <w:sz w:val="28"/>
          <w:szCs w:val="28"/>
          <w:lang w:eastAsia="ru-RU"/>
        </w:rPr>
        <w:t>в школе</w:t>
      </w:r>
      <w:r w:rsidR="007F1AA6">
        <w:rPr>
          <w:rFonts w:ascii="Times New Roman" w:eastAsia="Times New Roman" w:hAnsi="Times New Roman" w:cs="Times New Roman"/>
          <w:bCs/>
          <w:sz w:val="28"/>
          <w:szCs w:val="28"/>
          <w:lang w:eastAsia="ru-RU"/>
        </w:rPr>
        <w:t xml:space="preserve">. </w:t>
      </w:r>
      <w:r w:rsidRPr="0079389A">
        <w:rPr>
          <w:rFonts w:ascii="Times New Roman" w:eastAsia="Times New Roman" w:hAnsi="Times New Roman" w:cs="Times New Roman"/>
          <w:bCs/>
          <w:sz w:val="28"/>
          <w:szCs w:val="28"/>
          <w:lang w:eastAsia="ru-RU"/>
        </w:rPr>
        <w:t xml:space="preserve">При этом сохраняется тенденция к обучению детей с </w:t>
      </w:r>
      <w:r w:rsidR="007F1AA6">
        <w:rPr>
          <w:rFonts w:ascii="Times New Roman" w:eastAsia="Times New Roman" w:hAnsi="Times New Roman" w:cs="Times New Roman"/>
          <w:bCs/>
          <w:sz w:val="28"/>
          <w:szCs w:val="28"/>
          <w:lang w:eastAsia="ru-RU"/>
        </w:rPr>
        <w:t>ОВЗ</w:t>
      </w:r>
      <w:r w:rsidRPr="0079389A">
        <w:rPr>
          <w:rFonts w:ascii="Times New Roman" w:eastAsia="Times New Roman" w:hAnsi="Times New Roman" w:cs="Times New Roman"/>
          <w:bCs/>
          <w:sz w:val="28"/>
          <w:szCs w:val="28"/>
          <w:lang w:eastAsia="ru-RU"/>
        </w:rPr>
        <w:t xml:space="preserve"> в инклюзивных классах – </w:t>
      </w:r>
      <w:r w:rsidR="007F1AA6">
        <w:rPr>
          <w:rFonts w:ascii="Times New Roman" w:eastAsia="Times New Roman" w:hAnsi="Times New Roman" w:cs="Times New Roman"/>
          <w:sz w:val="28"/>
          <w:szCs w:val="28"/>
          <w:lang w:eastAsia="ru-RU"/>
        </w:rPr>
        <w:t xml:space="preserve">392,3 тыс. обучающихся </w:t>
      </w:r>
      <w:r w:rsidRPr="0079389A">
        <w:rPr>
          <w:rFonts w:ascii="Times New Roman" w:eastAsia="Times New Roman" w:hAnsi="Times New Roman" w:cs="Times New Roman"/>
          <w:sz w:val="28"/>
          <w:szCs w:val="28"/>
          <w:lang w:eastAsia="ru-RU"/>
        </w:rPr>
        <w:t xml:space="preserve">с </w:t>
      </w:r>
      <w:r w:rsidR="007F1AA6">
        <w:rPr>
          <w:rFonts w:ascii="Times New Roman" w:eastAsia="Times New Roman" w:hAnsi="Times New Roman" w:cs="Times New Roman"/>
          <w:bCs/>
          <w:sz w:val="28"/>
          <w:szCs w:val="28"/>
          <w:lang w:eastAsia="ru-RU"/>
        </w:rPr>
        <w:t>ОВЗ</w:t>
      </w:r>
      <w:r w:rsidR="007F1AA6">
        <w:rPr>
          <w:rFonts w:ascii="Times New Roman" w:eastAsia="Times New Roman" w:hAnsi="Times New Roman" w:cs="Times New Roman"/>
          <w:sz w:val="28"/>
          <w:szCs w:val="28"/>
          <w:lang w:eastAsia="ru-RU"/>
        </w:rPr>
        <w:t>, что больше аналогичного показателя 2020 г</w:t>
      </w:r>
      <w:r w:rsidR="0060078D">
        <w:rPr>
          <w:rFonts w:ascii="Times New Roman" w:eastAsia="Times New Roman" w:hAnsi="Times New Roman" w:cs="Times New Roman"/>
          <w:sz w:val="28"/>
          <w:szCs w:val="28"/>
          <w:lang w:eastAsia="ru-RU"/>
        </w:rPr>
        <w:t>.</w:t>
      </w:r>
      <w:r w:rsidR="007F1AA6">
        <w:rPr>
          <w:rFonts w:ascii="Times New Roman" w:eastAsia="Times New Roman" w:hAnsi="Times New Roman" w:cs="Times New Roman"/>
          <w:sz w:val="28"/>
          <w:szCs w:val="28"/>
          <w:lang w:eastAsia="ru-RU"/>
        </w:rPr>
        <w:t xml:space="preserve"> на 5,54%, и </w:t>
      </w:r>
      <w:r w:rsidR="0060078D">
        <w:rPr>
          <w:rFonts w:ascii="Times New Roman" w:eastAsia="Times New Roman" w:hAnsi="Times New Roman" w:cs="Times New Roman"/>
          <w:sz w:val="28"/>
          <w:szCs w:val="28"/>
          <w:lang w:eastAsia="ru-RU"/>
        </w:rPr>
        <w:br/>
      </w:r>
      <w:r w:rsidR="007F1AA6">
        <w:rPr>
          <w:rFonts w:ascii="Times New Roman" w:eastAsia="Times New Roman" w:hAnsi="Times New Roman" w:cs="Times New Roman"/>
          <w:sz w:val="28"/>
          <w:szCs w:val="28"/>
          <w:lang w:eastAsia="ru-RU"/>
        </w:rPr>
        <w:t xml:space="preserve">111 тыс. </w:t>
      </w:r>
      <w:r w:rsidRPr="0079389A">
        <w:rPr>
          <w:rFonts w:ascii="Times New Roman" w:eastAsia="Times New Roman" w:hAnsi="Times New Roman" w:cs="Times New Roman"/>
          <w:sz w:val="28"/>
          <w:szCs w:val="28"/>
          <w:lang w:eastAsia="ru-RU"/>
        </w:rPr>
        <w:t>детей-инвалидов</w:t>
      </w:r>
      <w:r w:rsidR="007F1AA6">
        <w:rPr>
          <w:rFonts w:ascii="Times New Roman" w:eastAsia="Times New Roman" w:hAnsi="Times New Roman" w:cs="Times New Roman"/>
          <w:sz w:val="28"/>
          <w:szCs w:val="28"/>
          <w:lang w:eastAsia="ru-RU"/>
        </w:rPr>
        <w:t>, что больше аналогичного показателя 2020 г</w:t>
      </w:r>
      <w:r w:rsidR="00A52338">
        <w:rPr>
          <w:rFonts w:ascii="Times New Roman" w:eastAsia="Times New Roman" w:hAnsi="Times New Roman" w:cs="Times New Roman"/>
          <w:sz w:val="28"/>
          <w:szCs w:val="28"/>
          <w:lang w:eastAsia="ru-RU"/>
        </w:rPr>
        <w:t>.</w:t>
      </w:r>
      <w:r w:rsidR="007F1AA6">
        <w:rPr>
          <w:rFonts w:ascii="Times New Roman" w:eastAsia="Times New Roman" w:hAnsi="Times New Roman" w:cs="Times New Roman"/>
          <w:sz w:val="28"/>
          <w:szCs w:val="28"/>
          <w:lang w:eastAsia="ru-RU"/>
        </w:rPr>
        <w:t xml:space="preserve"> на 8,02%</w:t>
      </w:r>
      <w:r w:rsidRPr="0079389A">
        <w:rPr>
          <w:rFonts w:ascii="Times New Roman" w:eastAsia="Times New Roman" w:hAnsi="Times New Roman" w:cs="Times New Roman"/>
          <w:sz w:val="28"/>
          <w:szCs w:val="28"/>
          <w:lang w:eastAsia="ru-RU"/>
        </w:rPr>
        <w:t>.</w:t>
      </w:r>
    </w:p>
    <w:p w14:paraId="160D3E44" w14:textId="6ABFB13E" w:rsidR="0079389A" w:rsidRPr="0079389A" w:rsidRDefault="0079389A" w:rsidP="0079389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79389A">
        <w:rPr>
          <w:rFonts w:ascii="Times New Roman" w:eastAsia="Times New Roman" w:hAnsi="Times New Roman" w:cs="Times New Roman"/>
          <w:sz w:val="28"/>
          <w:szCs w:val="28"/>
          <w:lang w:eastAsia="ru-RU"/>
        </w:rPr>
        <w:t>С 2020 г</w:t>
      </w:r>
      <w:r w:rsidR="007E7AB2">
        <w:rPr>
          <w:rFonts w:ascii="Times New Roman" w:eastAsia="Times New Roman" w:hAnsi="Times New Roman" w:cs="Times New Roman"/>
          <w:sz w:val="28"/>
          <w:szCs w:val="28"/>
          <w:lang w:eastAsia="ru-RU"/>
        </w:rPr>
        <w:t>.</w:t>
      </w:r>
      <w:r w:rsidRPr="0079389A">
        <w:rPr>
          <w:rFonts w:ascii="Times New Roman" w:eastAsia="Times New Roman" w:hAnsi="Times New Roman" w:cs="Times New Roman"/>
          <w:sz w:val="28"/>
          <w:szCs w:val="28"/>
          <w:lang w:eastAsia="ru-RU"/>
        </w:rPr>
        <w:t xml:space="preserve"> практически не изменилось количество отдельных (специальных (коррекционных) классов для обучающихся с </w:t>
      </w:r>
      <w:r w:rsidR="007F1AA6">
        <w:rPr>
          <w:rFonts w:ascii="Times New Roman" w:eastAsia="Times New Roman" w:hAnsi="Times New Roman" w:cs="Times New Roman"/>
          <w:bCs/>
          <w:sz w:val="28"/>
          <w:szCs w:val="28"/>
          <w:lang w:eastAsia="ru-RU"/>
        </w:rPr>
        <w:t>ОВЗ</w:t>
      </w:r>
      <w:r w:rsidRPr="0079389A">
        <w:rPr>
          <w:rFonts w:ascii="Times New Roman" w:eastAsia="Times New Roman" w:hAnsi="Times New Roman" w:cs="Times New Roman"/>
          <w:sz w:val="28"/>
          <w:szCs w:val="28"/>
          <w:lang w:eastAsia="ru-RU"/>
        </w:rPr>
        <w:t xml:space="preserve"> –</w:t>
      </w:r>
      <w:r w:rsidR="007F1AA6">
        <w:rPr>
          <w:rFonts w:ascii="Times New Roman" w:eastAsia="Times New Roman" w:hAnsi="Times New Roman" w:cs="Times New Roman"/>
          <w:sz w:val="28"/>
          <w:szCs w:val="28"/>
          <w:lang w:eastAsia="ru-RU"/>
        </w:rPr>
        <w:t xml:space="preserve"> </w:t>
      </w:r>
      <w:r w:rsidRPr="0079389A">
        <w:rPr>
          <w:rFonts w:ascii="Times New Roman" w:eastAsia="Times New Roman" w:hAnsi="Times New Roman" w:cs="Times New Roman"/>
          <w:sz w:val="28"/>
          <w:szCs w:val="28"/>
          <w:lang w:eastAsia="ru-RU"/>
        </w:rPr>
        <w:t>18</w:t>
      </w:r>
      <w:r w:rsidR="007F1AA6">
        <w:rPr>
          <w:rFonts w:ascii="Times New Roman" w:eastAsia="Times New Roman" w:hAnsi="Times New Roman" w:cs="Times New Roman"/>
          <w:sz w:val="28"/>
          <w:szCs w:val="28"/>
          <w:lang w:eastAsia="ru-RU"/>
        </w:rPr>
        <w:t> </w:t>
      </w:r>
      <w:r w:rsidRPr="0079389A">
        <w:rPr>
          <w:rFonts w:ascii="Times New Roman" w:eastAsia="Times New Roman" w:hAnsi="Times New Roman" w:cs="Times New Roman"/>
          <w:sz w:val="28"/>
          <w:szCs w:val="28"/>
          <w:lang w:eastAsia="ru-RU"/>
        </w:rPr>
        <w:t>946</w:t>
      </w:r>
      <w:r w:rsidR="007F1AA6">
        <w:rPr>
          <w:rFonts w:ascii="Times New Roman" w:eastAsia="Times New Roman" w:hAnsi="Times New Roman" w:cs="Times New Roman"/>
          <w:sz w:val="28"/>
          <w:szCs w:val="28"/>
          <w:lang w:eastAsia="ru-RU"/>
        </w:rPr>
        <w:t>, в которых обучалось</w:t>
      </w:r>
      <w:r w:rsidRPr="0079389A">
        <w:rPr>
          <w:rFonts w:ascii="Times New Roman" w:eastAsia="Times New Roman" w:hAnsi="Times New Roman" w:cs="Times New Roman"/>
          <w:sz w:val="28"/>
          <w:szCs w:val="28"/>
          <w:lang w:eastAsia="ru-RU"/>
        </w:rPr>
        <w:t xml:space="preserve"> 163 213 </w:t>
      </w:r>
      <w:r w:rsidR="007F1AA6">
        <w:rPr>
          <w:rFonts w:ascii="Times New Roman" w:eastAsia="Times New Roman" w:hAnsi="Times New Roman" w:cs="Times New Roman"/>
          <w:sz w:val="28"/>
          <w:szCs w:val="28"/>
          <w:lang w:eastAsia="ru-RU"/>
        </w:rPr>
        <w:t>человек</w:t>
      </w:r>
      <w:r w:rsidRPr="0079389A">
        <w:rPr>
          <w:rFonts w:ascii="Times New Roman" w:eastAsia="Times New Roman" w:hAnsi="Times New Roman" w:cs="Times New Roman"/>
          <w:sz w:val="28"/>
          <w:szCs w:val="28"/>
          <w:lang w:eastAsia="ru-RU"/>
        </w:rPr>
        <w:t xml:space="preserve"> с </w:t>
      </w:r>
      <w:r w:rsidR="007F1AA6">
        <w:rPr>
          <w:rFonts w:ascii="Times New Roman" w:eastAsia="Times New Roman" w:hAnsi="Times New Roman" w:cs="Times New Roman"/>
          <w:bCs/>
          <w:sz w:val="28"/>
          <w:szCs w:val="28"/>
          <w:lang w:eastAsia="ru-RU"/>
        </w:rPr>
        <w:t>ОВЗ</w:t>
      </w:r>
      <w:r w:rsidR="007F1AA6">
        <w:rPr>
          <w:rFonts w:ascii="Times New Roman" w:eastAsia="Times New Roman" w:hAnsi="Times New Roman" w:cs="Times New Roman"/>
          <w:sz w:val="28"/>
          <w:szCs w:val="28"/>
          <w:lang w:eastAsia="ru-RU"/>
        </w:rPr>
        <w:t xml:space="preserve">, </w:t>
      </w:r>
      <w:r w:rsidRPr="0079389A">
        <w:rPr>
          <w:rFonts w:ascii="Times New Roman" w:eastAsia="Times New Roman" w:hAnsi="Times New Roman" w:cs="Times New Roman"/>
          <w:sz w:val="28"/>
          <w:szCs w:val="28"/>
          <w:lang w:eastAsia="ru-RU"/>
        </w:rPr>
        <w:t xml:space="preserve">из них 41 509 </w:t>
      </w:r>
      <w:r w:rsidR="007F1AA6">
        <w:rPr>
          <w:rFonts w:ascii="Times New Roman" w:eastAsia="Times New Roman" w:hAnsi="Times New Roman" w:cs="Times New Roman"/>
          <w:sz w:val="28"/>
          <w:szCs w:val="28"/>
          <w:lang w:eastAsia="ru-RU"/>
        </w:rPr>
        <w:t xml:space="preserve">обучающихся также имеют статус детей-инвалидов, </w:t>
      </w:r>
      <w:r w:rsidRPr="0079389A">
        <w:rPr>
          <w:rFonts w:ascii="Times New Roman" w:eastAsia="Times New Roman" w:hAnsi="Times New Roman" w:cs="Times New Roman"/>
          <w:sz w:val="28"/>
          <w:szCs w:val="28"/>
          <w:lang w:eastAsia="ru-RU"/>
        </w:rPr>
        <w:t>и 484 ребен</w:t>
      </w:r>
      <w:r w:rsidR="007F1AA6">
        <w:rPr>
          <w:rFonts w:ascii="Times New Roman" w:eastAsia="Times New Roman" w:hAnsi="Times New Roman" w:cs="Times New Roman"/>
          <w:sz w:val="28"/>
          <w:szCs w:val="28"/>
          <w:lang w:eastAsia="ru-RU"/>
        </w:rPr>
        <w:t>ка</w:t>
      </w:r>
      <w:r w:rsidR="003B77D7" w:rsidRPr="003B77D7">
        <w:rPr>
          <w:rFonts w:ascii="Times New Roman" w:eastAsia="Times New Roman" w:hAnsi="Times New Roman" w:cs="Times New Roman"/>
          <w:sz w:val="28"/>
          <w:szCs w:val="28"/>
          <w:lang w:eastAsia="ru-RU"/>
        </w:rPr>
        <w:t xml:space="preserve"> </w:t>
      </w:r>
      <w:r w:rsidR="003B77D7">
        <w:rPr>
          <w:rFonts w:ascii="Times New Roman" w:eastAsia="Times New Roman" w:hAnsi="Times New Roman" w:cs="Times New Roman"/>
          <w:sz w:val="28"/>
          <w:szCs w:val="28"/>
          <w:lang w:eastAsia="ru-RU"/>
        </w:rPr>
        <w:t>с инвалидностью</w:t>
      </w:r>
      <w:r w:rsidRPr="0079389A">
        <w:rPr>
          <w:rFonts w:ascii="Times New Roman" w:eastAsia="Times New Roman" w:hAnsi="Times New Roman" w:cs="Times New Roman"/>
          <w:sz w:val="28"/>
          <w:szCs w:val="28"/>
          <w:lang w:eastAsia="ru-RU"/>
        </w:rPr>
        <w:t xml:space="preserve">. </w:t>
      </w:r>
    </w:p>
    <w:p w14:paraId="151A7964" w14:textId="15C8CC60" w:rsidR="0079389A" w:rsidRPr="0079389A" w:rsidRDefault="0079389A" w:rsidP="0079389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79389A">
        <w:rPr>
          <w:rFonts w:ascii="Times New Roman" w:eastAsia="Times New Roman" w:hAnsi="Times New Roman" w:cs="Times New Roman"/>
          <w:sz w:val="28"/>
          <w:szCs w:val="28"/>
          <w:lang w:eastAsia="ru-RU"/>
        </w:rPr>
        <w:t>Кроме того, в 2021 г</w:t>
      </w:r>
      <w:r w:rsidR="007E7AB2">
        <w:rPr>
          <w:rFonts w:ascii="Times New Roman" w:eastAsia="Times New Roman" w:hAnsi="Times New Roman" w:cs="Times New Roman"/>
          <w:sz w:val="28"/>
          <w:szCs w:val="28"/>
          <w:lang w:eastAsia="ru-RU"/>
        </w:rPr>
        <w:t>.</w:t>
      </w:r>
      <w:r w:rsidRPr="0079389A">
        <w:rPr>
          <w:rFonts w:ascii="Times New Roman" w:eastAsia="Times New Roman" w:hAnsi="Times New Roman" w:cs="Times New Roman"/>
          <w:sz w:val="28"/>
          <w:szCs w:val="28"/>
          <w:lang w:eastAsia="ru-RU"/>
        </w:rPr>
        <w:t xml:space="preserve"> в системе обще</w:t>
      </w:r>
      <w:r w:rsidR="007F1AA6">
        <w:rPr>
          <w:rFonts w:ascii="Times New Roman" w:eastAsia="Times New Roman" w:hAnsi="Times New Roman" w:cs="Times New Roman"/>
          <w:sz w:val="28"/>
          <w:szCs w:val="28"/>
          <w:lang w:eastAsia="ru-RU"/>
        </w:rPr>
        <w:t xml:space="preserve">го образования функционировало </w:t>
      </w:r>
      <w:r w:rsidR="00F916B0">
        <w:rPr>
          <w:rFonts w:ascii="Times New Roman" w:eastAsia="Times New Roman" w:hAnsi="Times New Roman" w:cs="Times New Roman"/>
          <w:sz w:val="28"/>
          <w:szCs w:val="28"/>
          <w:lang w:eastAsia="ru-RU"/>
        </w:rPr>
        <w:br/>
      </w:r>
      <w:r w:rsidRPr="0079389A">
        <w:rPr>
          <w:rFonts w:ascii="Times New Roman" w:eastAsia="Times New Roman" w:hAnsi="Times New Roman" w:cs="Times New Roman"/>
          <w:sz w:val="28"/>
          <w:szCs w:val="28"/>
          <w:lang w:eastAsia="ru-RU"/>
        </w:rPr>
        <w:t>29 443 отдельных класса (</w:t>
      </w:r>
      <w:r w:rsidR="007F1AA6">
        <w:rPr>
          <w:rFonts w:ascii="Times New Roman" w:eastAsia="Times New Roman" w:hAnsi="Times New Roman" w:cs="Times New Roman"/>
          <w:sz w:val="28"/>
          <w:szCs w:val="28"/>
          <w:lang w:eastAsia="ru-RU"/>
        </w:rPr>
        <w:t>увеличение по сравнению с 2020 г</w:t>
      </w:r>
      <w:r w:rsidR="007E7AB2">
        <w:rPr>
          <w:rFonts w:ascii="Times New Roman" w:eastAsia="Times New Roman" w:hAnsi="Times New Roman" w:cs="Times New Roman"/>
          <w:sz w:val="28"/>
          <w:szCs w:val="28"/>
          <w:lang w:eastAsia="ru-RU"/>
        </w:rPr>
        <w:t>.</w:t>
      </w:r>
      <w:r w:rsidRPr="0079389A">
        <w:rPr>
          <w:rFonts w:ascii="Times New Roman" w:eastAsia="Times New Roman" w:hAnsi="Times New Roman" w:cs="Times New Roman"/>
          <w:sz w:val="28"/>
          <w:szCs w:val="28"/>
          <w:lang w:eastAsia="ru-RU"/>
        </w:rPr>
        <w:t xml:space="preserve"> на 2,74%) для обучающихся с умственной отсталостью (интеллектуальными нар</w:t>
      </w:r>
      <w:r w:rsidR="007F1AA6">
        <w:rPr>
          <w:rFonts w:ascii="Times New Roman" w:eastAsia="Times New Roman" w:hAnsi="Times New Roman" w:cs="Times New Roman"/>
          <w:sz w:val="28"/>
          <w:szCs w:val="28"/>
          <w:lang w:eastAsia="ru-RU"/>
        </w:rPr>
        <w:t xml:space="preserve">ушениями), в которых обучались </w:t>
      </w:r>
      <w:r w:rsidRPr="0079389A">
        <w:rPr>
          <w:rFonts w:ascii="Times New Roman" w:eastAsia="Times New Roman" w:hAnsi="Times New Roman" w:cs="Times New Roman"/>
          <w:sz w:val="28"/>
          <w:szCs w:val="28"/>
          <w:lang w:eastAsia="ru-RU"/>
        </w:rPr>
        <w:t xml:space="preserve">212 055 </w:t>
      </w:r>
      <w:r w:rsidR="007F1AA6">
        <w:rPr>
          <w:rFonts w:ascii="Times New Roman" w:eastAsia="Times New Roman" w:hAnsi="Times New Roman" w:cs="Times New Roman"/>
          <w:sz w:val="28"/>
          <w:szCs w:val="28"/>
          <w:lang w:eastAsia="ru-RU"/>
        </w:rPr>
        <w:t>детей с ОВЗ</w:t>
      </w:r>
      <w:r w:rsidR="008F4F56">
        <w:rPr>
          <w:rFonts w:ascii="Times New Roman" w:eastAsia="Times New Roman" w:hAnsi="Times New Roman" w:cs="Times New Roman"/>
          <w:sz w:val="28"/>
          <w:szCs w:val="28"/>
          <w:lang w:eastAsia="ru-RU"/>
        </w:rPr>
        <w:t xml:space="preserve">, </w:t>
      </w:r>
      <w:r w:rsidRPr="0079389A">
        <w:rPr>
          <w:rFonts w:ascii="Times New Roman" w:eastAsia="Times New Roman" w:hAnsi="Times New Roman" w:cs="Times New Roman"/>
          <w:sz w:val="28"/>
          <w:szCs w:val="28"/>
          <w:lang w:eastAsia="ru-RU"/>
        </w:rPr>
        <w:t>из них 102</w:t>
      </w:r>
      <w:r w:rsidR="008F4F56">
        <w:rPr>
          <w:rFonts w:ascii="Times New Roman" w:eastAsia="Times New Roman" w:hAnsi="Times New Roman" w:cs="Times New Roman"/>
          <w:sz w:val="28"/>
          <w:szCs w:val="28"/>
          <w:lang w:eastAsia="ru-RU"/>
        </w:rPr>
        <w:t> </w:t>
      </w:r>
      <w:r w:rsidRPr="0079389A">
        <w:rPr>
          <w:rFonts w:ascii="Times New Roman" w:eastAsia="Times New Roman" w:hAnsi="Times New Roman" w:cs="Times New Roman"/>
          <w:sz w:val="28"/>
          <w:szCs w:val="28"/>
          <w:lang w:eastAsia="ru-RU"/>
        </w:rPr>
        <w:t xml:space="preserve">844 </w:t>
      </w:r>
      <w:r w:rsidR="008F4F56" w:rsidRPr="0079389A">
        <w:rPr>
          <w:rFonts w:ascii="Times New Roman" w:eastAsia="Times New Roman" w:hAnsi="Times New Roman" w:cs="Times New Roman"/>
          <w:sz w:val="28"/>
          <w:szCs w:val="28"/>
          <w:lang w:eastAsia="ru-RU"/>
        </w:rPr>
        <w:t xml:space="preserve">также </w:t>
      </w:r>
      <w:r w:rsidRPr="0079389A">
        <w:rPr>
          <w:rFonts w:ascii="Times New Roman" w:eastAsia="Times New Roman" w:hAnsi="Times New Roman" w:cs="Times New Roman"/>
          <w:sz w:val="28"/>
          <w:szCs w:val="28"/>
          <w:lang w:eastAsia="ru-RU"/>
        </w:rPr>
        <w:t>имеют статус ребенка</w:t>
      </w:r>
      <w:r w:rsidR="003B77D7" w:rsidRPr="003B77D7">
        <w:rPr>
          <w:rFonts w:ascii="Times New Roman" w:eastAsia="Times New Roman" w:hAnsi="Times New Roman" w:cs="Times New Roman"/>
          <w:sz w:val="28"/>
          <w:szCs w:val="28"/>
          <w:lang w:eastAsia="ru-RU"/>
        </w:rPr>
        <w:t xml:space="preserve"> </w:t>
      </w:r>
      <w:r w:rsidR="003B77D7">
        <w:rPr>
          <w:rFonts w:ascii="Times New Roman" w:eastAsia="Times New Roman" w:hAnsi="Times New Roman" w:cs="Times New Roman"/>
          <w:sz w:val="28"/>
          <w:szCs w:val="28"/>
          <w:lang w:eastAsia="ru-RU"/>
        </w:rPr>
        <w:t>с инвалидностью</w:t>
      </w:r>
      <w:r w:rsidR="008F4F56">
        <w:rPr>
          <w:rFonts w:ascii="Times New Roman" w:eastAsia="Times New Roman" w:hAnsi="Times New Roman" w:cs="Times New Roman"/>
          <w:sz w:val="28"/>
          <w:szCs w:val="28"/>
          <w:lang w:eastAsia="ru-RU"/>
        </w:rPr>
        <w:t>,</w:t>
      </w:r>
      <w:r w:rsidRPr="0079389A">
        <w:rPr>
          <w:rFonts w:ascii="Times New Roman" w:eastAsia="Times New Roman" w:hAnsi="Times New Roman" w:cs="Times New Roman"/>
          <w:sz w:val="28"/>
          <w:szCs w:val="28"/>
          <w:lang w:eastAsia="ru-RU"/>
        </w:rPr>
        <w:t xml:space="preserve"> и 1 260 ребенка</w:t>
      </w:r>
      <w:r w:rsidR="003B77D7" w:rsidRPr="003B77D7">
        <w:rPr>
          <w:rFonts w:ascii="Times New Roman" w:eastAsia="Times New Roman" w:hAnsi="Times New Roman" w:cs="Times New Roman"/>
          <w:sz w:val="28"/>
          <w:szCs w:val="28"/>
          <w:lang w:eastAsia="ru-RU"/>
        </w:rPr>
        <w:t xml:space="preserve"> </w:t>
      </w:r>
      <w:r w:rsidR="003B77D7">
        <w:rPr>
          <w:rFonts w:ascii="Times New Roman" w:eastAsia="Times New Roman" w:hAnsi="Times New Roman" w:cs="Times New Roman"/>
          <w:sz w:val="28"/>
          <w:szCs w:val="28"/>
          <w:lang w:eastAsia="ru-RU"/>
        </w:rPr>
        <w:t>с инвалидностью</w:t>
      </w:r>
      <w:r w:rsidR="003B77D7" w:rsidRPr="0079389A" w:rsidDel="003B77D7">
        <w:rPr>
          <w:rFonts w:ascii="Times New Roman" w:eastAsia="Times New Roman" w:hAnsi="Times New Roman" w:cs="Times New Roman"/>
          <w:sz w:val="28"/>
          <w:szCs w:val="28"/>
          <w:lang w:eastAsia="ru-RU"/>
        </w:rPr>
        <w:t xml:space="preserve"> </w:t>
      </w:r>
      <w:r w:rsidRPr="0079389A">
        <w:rPr>
          <w:rFonts w:ascii="Times New Roman" w:eastAsia="Times New Roman" w:hAnsi="Times New Roman" w:cs="Times New Roman"/>
          <w:sz w:val="28"/>
          <w:szCs w:val="28"/>
          <w:lang w:eastAsia="ru-RU"/>
        </w:rPr>
        <w:t>(</w:t>
      </w:r>
      <w:r w:rsidR="008F4F56">
        <w:rPr>
          <w:rFonts w:ascii="Times New Roman" w:eastAsia="Times New Roman" w:hAnsi="Times New Roman" w:cs="Times New Roman"/>
          <w:sz w:val="28"/>
          <w:szCs w:val="28"/>
          <w:lang w:eastAsia="ru-RU"/>
        </w:rPr>
        <w:t xml:space="preserve">увеличение </w:t>
      </w:r>
      <w:r w:rsidRPr="0079389A">
        <w:rPr>
          <w:rFonts w:ascii="Times New Roman" w:eastAsia="Times New Roman" w:hAnsi="Times New Roman" w:cs="Times New Roman"/>
          <w:sz w:val="28"/>
          <w:szCs w:val="28"/>
          <w:lang w:eastAsia="ru-RU"/>
        </w:rPr>
        <w:t>общ</w:t>
      </w:r>
      <w:r w:rsidR="008F4F56">
        <w:rPr>
          <w:rFonts w:ascii="Times New Roman" w:eastAsia="Times New Roman" w:hAnsi="Times New Roman" w:cs="Times New Roman"/>
          <w:sz w:val="28"/>
          <w:szCs w:val="28"/>
          <w:lang w:eastAsia="ru-RU"/>
        </w:rPr>
        <w:t>ей</w:t>
      </w:r>
      <w:r w:rsidRPr="0079389A">
        <w:rPr>
          <w:rFonts w:ascii="Times New Roman" w:eastAsia="Times New Roman" w:hAnsi="Times New Roman" w:cs="Times New Roman"/>
          <w:sz w:val="28"/>
          <w:szCs w:val="28"/>
          <w:lang w:eastAsia="ru-RU"/>
        </w:rPr>
        <w:t xml:space="preserve"> численност</w:t>
      </w:r>
      <w:r w:rsidR="008F4F56">
        <w:rPr>
          <w:rFonts w:ascii="Times New Roman" w:eastAsia="Times New Roman" w:hAnsi="Times New Roman" w:cs="Times New Roman"/>
          <w:sz w:val="28"/>
          <w:szCs w:val="28"/>
          <w:lang w:eastAsia="ru-RU"/>
        </w:rPr>
        <w:t>и по сравнению с 2020 г</w:t>
      </w:r>
      <w:r w:rsidR="007E7AB2">
        <w:rPr>
          <w:rFonts w:ascii="Times New Roman" w:eastAsia="Times New Roman" w:hAnsi="Times New Roman" w:cs="Times New Roman"/>
          <w:sz w:val="28"/>
          <w:szCs w:val="28"/>
          <w:lang w:eastAsia="ru-RU"/>
        </w:rPr>
        <w:t>.</w:t>
      </w:r>
      <w:r w:rsidRPr="0079389A">
        <w:rPr>
          <w:rFonts w:ascii="Times New Roman" w:eastAsia="Times New Roman" w:hAnsi="Times New Roman" w:cs="Times New Roman"/>
          <w:sz w:val="28"/>
          <w:szCs w:val="28"/>
          <w:lang w:eastAsia="ru-RU"/>
        </w:rPr>
        <w:t xml:space="preserve"> на 4%).</w:t>
      </w:r>
    </w:p>
    <w:p w14:paraId="33AFBE21" w14:textId="535543E2" w:rsidR="0079389A" w:rsidRPr="0079389A" w:rsidRDefault="0079389A" w:rsidP="0079389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79389A">
        <w:rPr>
          <w:rFonts w:ascii="Times New Roman" w:eastAsia="Times New Roman" w:hAnsi="Times New Roman" w:cs="Times New Roman"/>
          <w:sz w:val="28"/>
          <w:szCs w:val="28"/>
          <w:lang w:eastAsia="ru-RU"/>
        </w:rPr>
        <w:t>Несмотря на создание в субъекта</w:t>
      </w:r>
      <w:r w:rsidR="008F4F56">
        <w:rPr>
          <w:rFonts w:ascii="Times New Roman" w:eastAsia="Times New Roman" w:hAnsi="Times New Roman" w:cs="Times New Roman"/>
          <w:sz w:val="28"/>
          <w:szCs w:val="28"/>
          <w:lang w:eastAsia="ru-RU"/>
        </w:rPr>
        <w:t xml:space="preserve">х Российской Федерации условий </w:t>
      </w:r>
      <w:r w:rsidRPr="0079389A">
        <w:rPr>
          <w:rFonts w:ascii="Times New Roman" w:eastAsia="Times New Roman" w:hAnsi="Times New Roman" w:cs="Times New Roman"/>
          <w:sz w:val="28"/>
          <w:szCs w:val="28"/>
          <w:lang w:eastAsia="ru-RU"/>
        </w:rPr>
        <w:t>для получения образования в образовательных организациях, сохраняется высокая численность обучающихся на дому. Н</w:t>
      </w:r>
      <w:r w:rsidR="008F4F56">
        <w:rPr>
          <w:rFonts w:ascii="Times New Roman" w:eastAsia="Times New Roman" w:hAnsi="Times New Roman" w:cs="Times New Roman"/>
          <w:sz w:val="28"/>
          <w:szCs w:val="28"/>
          <w:lang w:eastAsia="ru-RU"/>
        </w:rPr>
        <w:t xml:space="preserve">а начало 2021/22 учебного года </w:t>
      </w:r>
      <w:r w:rsidRPr="0079389A">
        <w:rPr>
          <w:rFonts w:ascii="Times New Roman" w:eastAsia="Times New Roman" w:hAnsi="Times New Roman" w:cs="Times New Roman"/>
          <w:sz w:val="28"/>
          <w:szCs w:val="28"/>
          <w:lang w:eastAsia="ru-RU"/>
        </w:rPr>
        <w:t xml:space="preserve">по программам общего образования на дому обучались 100 480 </w:t>
      </w:r>
      <w:r w:rsidR="008F4F56">
        <w:rPr>
          <w:rFonts w:ascii="Times New Roman" w:eastAsia="Times New Roman" w:hAnsi="Times New Roman" w:cs="Times New Roman"/>
          <w:sz w:val="28"/>
          <w:szCs w:val="28"/>
          <w:lang w:eastAsia="ru-RU"/>
        </w:rPr>
        <w:t xml:space="preserve">человек с ОВЗ, </w:t>
      </w:r>
      <w:r w:rsidRPr="0079389A">
        <w:rPr>
          <w:rFonts w:ascii="Times New Roman" w:eastAsia="Times New Roman" w:hAnsi="Times New Roman" w:cs="Times New Roman"/>
          <w:sz w:val="28"/>
          <w:szCs w:val="28"/>
          <w:lang w:eastAsia="ru-RU"/>
        </w:rPr>
        <w:t>из них 73 049 также имеют статус ребенка</w:t>
      </w:r>
      <w:r w:rsidR="003B77D7" w:rsidRPr="003B77D7">
        <w:rPr>
          <w:rFonts w:ascii="Times New Roman" w:eastAsia="Times New Roman" w:hAnsi="Times New Roman" w:cs="Times New Roman"/>
          <w:sz w:val="28"/>
          <w:szCs w:val="28"/>
          <w:lang w:eastAsia="ru-RU"/>
        </w:rPr>
        <w:t xml:space="preserve"> </w:t>
      </w:r>
      <w:r w:rsidR="003B77D7">
        <w:rPr>
          <w:rFonts w:ascii="Times New Roman" w:eastAsia="Times New Roman" w:hAnsi="Times New Roman" w:cs="Times New Roman"/>
          <w:sz w:val="28"/>
          <w:szCs w:val="28"/>
          <w:lang w:eastAsia="ru-RU"/>
        </w:rPr>
        <w:t>с инвалидностью</w:t>
      </w:r>
      <w:r w:rsidRPr="0079389A">
        <w:rPr>
          <w:rFonts w:ascii="Times New Roman" w:eastAsia="Times New Roman" w:hAnsi="Times New Roman" w:cs="Times New Roman"/>
          <w:sz w:val="28"/>
          <w:szCs w:val="28"/>
          <w:lang w:eastAsia="ru-RU"/>
        </w:rPr>
        <w:t xml:space="preserve">, что составляет 13,18% </w:t>
      </w:r>
      <w:r w:rsidR="008F4F56">
        <w:rPr>
          <w:rFonts w:ascii="Times New Roman" w:eastAsia="Times New Roman" w:hAnsi="Times New Roman" w:cs="Times New Roman"/>
          <w:sz w:val="28"/>
          <w:szCs w:val="28"/>
          <w:lang w:eastAsia="ru-RU"/>
        </w:rPr>
        <w:t xml:space="preserve">и 31,26% </w:t>
      </w:r>
      <w:r w:rsidR="008F4F56">
        <w:rPr>
          <w:rFonts w:ascii="Times New Roman" w:eastAsia="Times New Roman" w:hAnsi="Times New Roman" w:cs="Times New Roman"/>
          <w:sz w:val="28"/>
          <w:szCs w:val="28"/>
          <w:lang w:eastAsia="ru-RU"/>
        </w:rPr>
        <w:br/>
        <w:t xml:space="preserve">от общего числа детей </w:t>
      </w:r>
      <w:r w:rsidRPr="0079389A">
        <w:rPr>
          <w:rFonts w:ascii="Times New Roman" w:eastAsia="Times New Roman" w:hAnsi="Times New Roman" w:cs="Times New Roman"/>
          <w:sz w:val="28"/>
          <w:szCs w:val="28"/>
          <w:lang w:eastAsia="ru-RU"/>
        </w:rPr>
        <w:t xml:space="preserve">с </w:t>
      </w:r>
      <w:r w:rsidR="008F4F56">
        <w:rPr>
          <w:rFonts w:ascii="Times New Roman" w:eastAsia="Times New Roman" w:hAnsi="Times New Roman" w:cs="Times New Roman"/>
          <w:bCs/>
          <w:sz w:val="28"/>
          <w:szCs w:val="28"/>
          <w:lang w:eastAsia="ru-RU"/>
        </w:rPr>
        <w:t>ОВЗ</w:t>
      </w:r>
      <w:r w:rsidRPr="0079389A">
        <w:rPr>
          <w:rFonts w:ascii="Times New Roman" w:eastAsia="Times New Roman" w:hAnsi="Times New Roman" w:cs="Times New Roman"/>
          <w:sz w:val="28"/>
          <w:szCs w:val="28"/>
          <w:lang w:eastAsia="ru-RU"/>
        </w:rPr>
        <w:t xml:space="preserve"> и 15</w:t>
      </w:r>
      <w:r w:rsidR="008F4F56">
        <w:rPr>
          <w:rFonts w:ascii="Times New Roman" w:eastAsia="Times New Roman" w:hAnsi="Times New Roman" w:cs="Times New Roman"/>
          <w:sz w:val="28"/>
          <w:szCs w:val="28"/>
          <w:lang w:eastAsia="ru-RU"/>
        </w:rPr>
        <w:t xml:space="preserve"> 153 ребенок-инвалид (13,43% от общего числа детей-инвалидов), </w:t>
      </w:r>
      <w:r w:rsidRPr="0079389A">
        <w:rPr>
          <w:rFonts w:ascii="Times New Roman" w:eastAsia="Times New Roman" w:hAnsi="Times New Roman" w:cs="Times New Roman"/>
          <w:sz w:val="28"/>
          <w:szCs w:val="28"/>
          <w:lang w:eastAsia="ru-RU"/>
        </w:rPr>
        <w:t xml:space="preserve">что на 4,98% обучающихся с </w:t>
      </w:r>
      <w:r w:rsidR="008F4F56">
        <w:rPr>
          <w:rFonts w:ascii="Times New Roman" w:eastAsia="Times New Roman" w:hAnsi="Times New Roman" w:cs="Times New Roman"/>
          <w:bCs/>
          <w:sz w:val="28"/>
          <w:szCs w:val="28"/>
          <w:lang w:eastAsia="ru-RU"/>
        </w:rPr>
        <w:t>ОВЗ</w:t>
      </w:r>
      <w:r w:rsidR="008F4F56">
        <w:rPr>
          <w:rFonts w:ascii="Times New Roman" w:eastAsia="Times New Roman" w:hAnsi="Times New Roman" w:cs="Times New Roman"/>
          <w:sz w:val="28"/>
          <w:szCs w:val="28"/>
          <w:lang w:eastAsia="ru-RU"/>
        </w:rPr>
        <w:t xml:space="preserve"> больше </w:t>
      </w:r>
      <w:r w:rsidRPr="0079389A">
        <w:rPr>
          <w:rFonts w:ascii="Times New Roman" w:eastAsia="Times New Roman" w:hAnsi="Times New Roman" w:cs="Times New Roman"/>
          <w:sz w:val="28"/>
          <w:szCs w:val="28"/>
          <w:lang w:eastAsia="ru-RU"/>
        </w:rPr>
        <w:t xml:space="preserve">и на 0,58% </w:t>
      </w:r>
      <w:r w:rsidR="007E7AB2">
        <w:rPr>
          <w:rFonts w:ascii="Times New Roman" w:eastAsia="Times New Roman" w:hAnsi="Times New Roman" w:cs="Times New Roman"/>
          <w:sz w:val="28"/>
          <w:szCs w:val="28"/>
          <w:lang w:eastAsia="ru-RU"/>
        </w:rPr>
        <w:br/>
      </w:r>
      <w:r w:rsidRPr="0079389A">
        <w:rPr>
          <w:rFonts w:ascii="Times New Roman" w:eastAsia="Times New Roman" w:hAnsi="Times New Roman" w:cs="Times New Roman"/>
          <w:sz w:val="28"/>
          <w:szCs w:val="28"/>
          <w:lang w:eastAsia="ru-RU"/>
        </w:rPr>
        <w:t>детей-инвалидов мень</w:t>
      </w:r>
      <w:r w:rsidR="008F4F56">
        <w:rPr>
          <w:rFonts w:ascii="Times New Roman" w:eastAsia="Times New Roman" w:hAnsi="Times New Roman" w:cs="Times New Roman"/>
          <w:sz w:val="28"/>
          <w:szCs w:val="28"/>
          <w:lang w:eastAsia="ru-RU"/>
        </w:rPr>
        <w:t>ше, чем в 2020/21 учебном году.</w:t>
      </w:r>
    </w:p>
    <w:p w14:paraId="781DD8CB" w14:textId="77777777" w:rsidR="0079389A" w:rsidRPr="0079389A" w:rsidRDefault="0079389A" w:rsidP="0079389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79389A">
        <w:rPr>
          <w:rFonts w:ascii="Times New Roman" w:eastAsia="Times New Roman" w:hAnsi="Times New Roman" w:cs="Times New Roman"/>
          <w:sz w:val="28"/>
          <w:szCs w:val="28"/>
          <w:lang w:eastAsia="ru-RU"/>
        </w:rPr>
        <w:t>В целях соблюдения права обучающихся,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образовательные организации, подготовлены методические реком</w:t>
      </w:r>
      <w:r w:rsidR="00AE5995">
        <w:rPr>
          <w:rFonts w:ascii="Times New Roman" w:eastAsia="Times New Roman" w:hAnsi="Times New Roman" w:cs="Times New Roman"/>
          <w:sz w:val="28"/>
          <w:szCs w:val="28"/>
          <w:lang w:eastAsia="ru-RU"/>
        </w:rPr>
        <w:t xml:space="preserve">ендации </w:t>
      </w:r>
      <w:r w:rsidRPr="0079389A">
        <w:rPr>
          <w:rFonts w:ascii="Times New Roman" w:eastAsia="Times New Roman" w:hAnsi="Times New Roman" w:cs="Times New Roman"/>
          <w:sz w:val="28"/>
          <w:szCs w:val="28"/>
          <w:lang w:eastAsia="ru-RU"/>
        </w:rPr>
        <w:t>об организации обучения на дому.</w:t>
      </w:r>
    </w:p>
    <w:p w14:paraId="2C12D7A9" w14:textId="77777777" w:rsidR="0079389A" w:rsidRPr="0079389A" w:rsidRDefault="0079389A" w:rsidP="0079389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79389A">
        <w:rPr>
          <w:rFonts w:ascii="Times New Roman" w:eastAsia="Times New Roman" w:hAnsi="Times New Roman" w:cs="Times New Roman"/>
          <w:sz w:val="28"/>
          <w:szCs w:val="28"/>
          <w:lang w:eastAsia="ru-RU"/>
        </w:rPr>
        <w:t xml:space="preserve">Необходимо продолжить соблюдение баланса между развитием инклюзивного образования и сохранением сети отдельных образовательных организаций (отдельных классов) для предоставления родителям (законным представителям) права выбора, для консолидации в субъектах Российской Федерации материально-технического оснащения и кадрового потенциала обеспечения качественного доступного образования обучающихся с </w:t>
      </w:r>
      <w:r w:rsidR="00D76289" w:rsidRPr="0079389A">
        <w:rPr>
          <w:rFonts w:ascii="Times New Roman" w:eastAsia="Times New Roman" w:hAnsi="Times New Roman" w:cs="Times New Roman"/>
          <w:sz w:val="28"/>
          <w:szCs w:val="28"/>
          <w:lang w:eastAsia="ru-RU"/>
        </w:rPr>
        <w:t>инвалидностью</w:t>
      </w:r>
      <w:r w:rsidR="00D76289">
        <w:rPr>
          <w:rFonts w:ascii="Times New Roman" w:eastAsia="Times New Roman" w:hAnsi="Times New Roman" w:cs="Times New Roman"/>
          <w:bCs/>
          <w:sz w:val="28"/>
          <w:szCs w:val="28"/>
          <w:lang w:eastAsia="ru-RU"/>
        </w:rPr>
        <w:t xml:space="preserve"> и </w:t>
      </w:r>
      <w:r w:rsidR="00AA36BA">
        <w:rPr>
          <w:rFonts w:ascii="Times New Roman" w:eastAsia="Times New Roman" w:hAnsi="Times New Roman" w:cs="Times New Roman"/>
          <w:bCs/>
          <w:sz w:val="28"/>
          <w:szCs w:val="28"/>
          <w:lang w:eastAsia="ru-RU"/>
        </w:rPr>
        <w:t>ОВЗ</w:t>
      </w:r>
      <w:r w:rsidRPr="0079389A">
        <w:rPr>
          <w:rFonts w:ascii="Times New Roman" w:eastAsia="Times New Roman" w:hAnsi="Times New Roman" w:cs="Times New Roman"/>
          <w:sz w:val="28"/>
          <w:szCs w:val="28"/>
          <w:lang w:eastAsia="ru-RU"/>
        </w:rPr>
        <w:t>. За 2021 г</w:t>
      </w:r>
      <w:r w:rsidR="007E7AB2">
        <w:rPr>
          <w:rFonts w:ascii="Times New Roman" w:eastAsia="Times New Roman" w:hAnsi="Times New Roman" w:cs="Times New Roman"/>
          <w:sz w:val="28"/>
          <w:szCs w:val="28"/>
          <w:lang w:eastAsia="ru-RU"/>
        </w:rPr>
        <w:t>.</w:t>
      </w:r>
      <w:r w:rsidRPr="0079389A">
        <w:rPr>
          <w:rFonts w:ascii="Times New Roman" w:eastAsia="Times New Roman" w:hAnsi="Times New Roman" w:cs="Times New Roman"/>
          <w:sz w:val="28"/>
          <w:szCs w:val="28"/>
          <w:lang w:eastAsia="ru-RU"/>
        </w:rPr>
        <w:t xml:space="preserve"> </w:t>
      </w:r>
      <w:r w:rsidR="007E7AB2">
        <w:rPr>
          <w:rFonts w:ascii="Times New Roman" w:eastAsia="Times New Roman" w:hAnsi="Times New Roman" w:cs="Times New Roman"/>
          <w:sz w:val="28"/>
          <w:szCs w:val="28"/>
          <w:lang w:eastAsia="ru-RU"/>
        </w:rPr>
        <w:br/>
      </w:r>
      <w:r w:rsidRPr="0079389A">
        <w:rPr>
          <w:rFonts w:ascii="Times New Roman" w:eastAsia="Times New Roman" w:hAnsi="Times New Roman" w:cs="Times New Roman"/>
          <w:sz w:val="28"/>
          <w:szCs w:val="28"/>
          <w:lang w:eastAsia="ru-RU"/>
        </w:rPr>
        <w:t>12 образовательных организаций реорганизованы, сменив тип организации или став структурным подразделением большого комплекса.</w:t>
      </w:r>
    </w:p>
    <w:p w14:paraId="69E8483B" w14:textId="77777777" w:rsidR="0079389A" w:rsidRPr="0079389A" w:rsidRDefault="0079389A" w:rsidP="0079389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79389A">
        <w:rPr>
          <w:rFonts w:ascii="Times New Roman" w:eastAsia="Times New Roman" w:hAnsi="Times New Roman" w:cs="Times New Roman"/>
          <w:sz w:val="28"/>
          <w:szCs w:val="28"/>
          <w:lang w:eastAsia="ru-RU"/>
        </w:rPr>
        <w:t>Одним из механизмов сохранения и развития сети отдельных общеобразовательных организаций является мероприятие федерального проекта «Современная школа» национального проекта «О</w:t>
      </w:r>
      <w:r w:rsidR="00AA36BA">
        <w:rPr>
          <w:rFonts w:ascii="Times New Roman" w:eastAsia="Times New Roman" w:hAnsi="Times New Roman" w:cs="Times New Roman"/>
          <w:sz w:val="28"/>
          <w:szCs w:val="28"/>
          <w:lang w:eastAsia="ru-RU"/>
        </w:rPr>
        <w:t xml:space="preserve">бразование», в рамках которого </w:t>
      </w:r>
      <w:r w:rsidRPr="0079389A">
        <w:rPr>
          <w:rFonts w:ascii="Times New Roman" w:eastAsia="Times New Roman" w:hAnsi="Times New Roman" w:cs="Times New Roman"/>
          <w:sz w:val="28"/>
          <w:szCs w:val="28"/>
          <w:lang w:eastAsia="ru-RU"/>
        </w:rPr>
        <w:t>с 2019 г</w:t>
      </w:r>
      <w:r w:rsidR="007E7AB2">
        <w:rPr>
          <w:rFonts w:ascii="Times New Roman" w:eastAsia="Times New Roman" w:hAnsi="Times New Roman" w:cs="Times New Roman"/>
          <w:sz w:val="28"/>
          <w:szCs w:val="28"/>
          <w:lang w:eastAsia="ru-RU"/>
        </w:rPr>
        <w:t>.</w:t>
      </w:r>
      <w:r w:rsidRPr="0079389A">
        <w:rPr>
          <w:rFonts w:ascii="Times New Roman" w:eastAsia="Times New Roman" w:hAnsi="Times New Roman" w:cs="Times New Roman"/>
          <w:sz w:val="28"/>
          <w:szCs w:val="28"/>
          <w:lang w:eastAsia="ru-RU"/>
        </w:rPr>
        <w:t xml:space="preserve"> обновляется их инфраструктура и содер</w:t>
      </w:r>
      <w:r w:rsidR="00AA36BA">
        <w:rPr>
          <w:rFonts w:ascii="Times New Roman" w:eastAsia="Times New Roman" w:hAnsi="Times New Roman" w:cs="Times New Roman"/>
          <w:sz w:val="28"/>
          <w:szCs w:val="28"/>
          <w:lang w:eastAsia="ru-RU"/>
        </w:rPr>
        <w:t>жание образования. В 2021 г</w:t>
      </w:r>
      <w:r w:rsidR="007E7AB2">
        <w:rPr>
          <w:rFonts w:ascii="Times New Roman" w:eastAsia="Times New Roman" w:hAnsi="Times New Roman" w:cs="Times New Roman"/>
          <w:sz w:val="28"/>
          <w:szCs w:val="28"/>
          <w:lang w:eastAsia="ru-RU"/>
        </w:rPr>
        <w:t>.</w:t>
      </w:r>
      <w:r w:rsidR="00AA36BA">
        <w:rPr>
          <w:rFonts w:ascii="Times New Roman" w:eastAsia="Times New Roman" w:hAnsi="Times New Roman" w:cs="Times New Roman"/>
          <w:sz w:val="28"/>
          <w:szCs w:val="28"/>
          <w:lang w:eastAsia="ru-RU"/>
        </w:rPr>
        <w:t xml:space="preserve"> </w:t>
      </w:r>
      <w:r w:rsidRPr="0079389A">
        <w:rPr>
          <w:rFonts w:ascii="Times New Roman" w:eastAsia="Times New Roman" w:hAnsi="Times New Roman" w:cs="Times New Roman"/>
          <w:sz w:val="28"/>
          <w:szCs w:val="28"/>
          <w:lang w:eastAsia="ru-RU"/>
        </w:rPr>
        <w:t>в реализации мероприятия приняло участие 139 отдельных общеобразовательных организаций из 77 субъектов Российской Феде</w:t>
      </w:r>
      <w:r w:rsidR="00AA36BA">
        <w:rPr>
          <w:rFonts w:ascii="Times New Roman" w:eastAsia="Times New Roman" w:hAnsi="Times New Roman" w:cs="Times New Roman"/>
          <w:sz w:val="28"/>
          <w:szCs w:val="28"/>
          <w:lang w:eastAsia="ru-RU"/>
        </w:rPr>
        <w:t xml:space="preserve">рации. Всего благодаря участию </w:t>
      </w:r>
      <w:r w:rsidRPr="0079389A">
        <w:rPr>
          <w:rFonts w:ascii="Times New Roman" w:eastAsia="Times New Roman" w:hAnsi="Times New Roman" w:cs="Times New Roman"/>
          <w:sz w:val="28"/>
          <w:szCs w:val="28"/>
          <w:lang w:eastAsia="ru-RU"/>
        </w:rPr>
        <w:t>в проекте материально-техническую базу обновили 508 школ из 81 субъекта Российской Федерации.</w:t>
      </w:r>
    </w:p>
    <w:p w14:paraId="0F27F779" w14:textId="77777777" w:rsidR="0079389A" w:rsidRPr="0079389A" w:rsidRDefault="0079389A" w:rsidP="0079389A">
      <w:pPr>
        <w:widowControl w:val="0"/>
        <w:suppressAutoHyphens/>
        <w:spacing w:after="0" w:line="312" w:lineRule="auto"/>
        <w:ind w:firstLine="709"/>
        <w:jc w:val="both"/>
        <w:rPr>
          <w:rFonts w:ascii="Times New Roman" w:eastAsia="Times New Roman" w:hAnsi="Times New Roman" w:cs="Times New Roman"/>
          <w:bCs/>
          <w:sz w:val="28"/>
          <w:szCs w:val="28"/>
          <w:lang w:eastAsia="ru-RU"/>
        </w:rPr>
      </w:pPr>
      <w:r w:rsidRPr="0079389A">
        <w:rPr>
          <w:rFonts w:ascii="Times New Roman" w:eastAsia="Times New Roman" w:hAnsi="Times New Roman" w:cs="Times New Roman"/>
          <w:sz w:val="28"/>
          <w:szCs w:val="28"/>
          <w:lang w:eastAsia="ru-RU"/>
        </w:rPr>
        <w:t xml:space="preserve">Помимо модернизации инфраструктуры и обновления содержания образования отдельные образовательные организации </w:t>
      </w:r>
      <w:r w:rsidRPr="0079389A">
        <w:rPr>
          <w:rFonts w:ascii="Times New Roman" w:eastAsia="Times New Roman" w:hAnsi="Times New Roman" w:cs="Times New Roman"/>
          <w:bCs/>
          <w:sz w:val="28"/>
          <w:szCs w:val="28"/>
          <w:lang w:eastAsia="ru-RU"/>
        </w:rPr>
        <w:t>становятся консультативно-методическими (ресурсными) центрами, оказывающими методическую помощь педагогическим работникам общеобразовательных (инклюзивных) организаций, психолого-педагогическ</w:t>
      </w:r>
      <w:r w:rsidR="00D76289">
        <w:rPr>
          <w:rFonts w:ascii="Times New Roman" w:eastAsia="Times New Roman" w:hAnsi="Times New Roman" w:cs="Times New Roman"/>
          <w:bCs/>
          <w:sz w:val="28"/>
          <w:szCs w:val="28"/>
          <w:lang w:eastAsia="ru-RU"/>
        </w:rPr>
        <w:t>ую помощь детям и их родителям.</w:t>
      </w:r>
    </w:p>
    <w:p w14:paraId="0B4D8FFD" w14:textId="0B6A3645" w:rsidR="0079389A" w:rsidRPr="0079389A" w:rsidRDefault="0079389A" w:rsidP="0079389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79389A">
        <w:rPr>
          <w:rFonts w:ascii="Times New Roman" w:eastAsia="Times New Roman" w:hAnsi="Times New Roman" w:cs="Times New Roman"/>
          <w:sz w:val="28"/>
          <w:szCs w:val="28"/>
          <w:lang w:eastAsia="ru-RU"/>
        </w:rPr>
        <w:t>Ежегодно уменьшается численность не</w:t>
      </w:r>
      <w:r w:rsidR="00B44242">
        <w:rPr>
          <w:rFonts w:ascii="Times New Roman" w:eastAsia="Times New Roman" w:hAnsi="Times New Roman" w:cs="Times New Roman"/>
          <w:sz w:val="28"/>
          <w:szCs w:val="28"/>
          <w:lang w:eastAsia="ru-RU"/>
        </w:rPr>
        <w:t xml:space="preserve"> </w:t>
      </w:r>
      <w:r w:rsidRPr="0079389A">
        <w:rPr>
          <w:rFonts w:ascii="Times New Roman" w:eastAsia="Times New Roman" w:hAnsi="Times New Roman" w:cs="Times New Roman"/>
          <w:sz w:val="28"/>
          <w:szCs w:val="28"/>
          <w:lang w:eastAsia="ru-RU"/>
        </w:rPr>
        <w:t>обучающихся в общеобразовательных организациях. В 2021 г</w:t>
      </w:r>
      <w:r w:rsidR="007E7AB2">
        <w:rPr>
          <w:rFonts w:ascii="Times New Roman" w:eastAsia="Times New Roman" w:hAnsi="Times New Roman" w:cs="Times New Roman"/>
          <w:sz w:val="28"/>
          <w:szCs w:val="28"/>
          <w:lang w:eastAsia="ru-RU"/>
        </w:rPr>
        <w:t>.</w:t>
      </w:r>
      <w:r w:rsidRPr="0079389A">
        <w:rPr>
          <w:rFonts w:ascii="Times New Roman" w:eastAsia="Times New Roman" w:hAnsi="Times New Roman" w:cs="Times New Roman"/>
          <w:sz w:val="28"/>
          <w:szCs w:val="28"/>
          <w:lang w:eastAsia="ru-RU"/>
        </w:rPr>
        <w:t xml:space="preserve"> </w:t>
      </w:r>
      <w:r w:rsidR="00B44242">
        <w:rPr>
          <w:rFonts w:ascii="Times New Roman" w:eastAsia="Times New Roman" w:hAnsi="Times New Roman" w:cs="Times New Roman"/>
          <w:sz w:val="28"/>
          <w:szCs w:val="28"/>
          <w:lang w:eastAsia="ru-RU"/>
        </w:rPr>
        <w:t xml:space="preserve">численность </w:t>
      </w:r>
      <w:r w:rsidRPr="0079389A">
        <w:rPr>
          <w:rFonts w:ascii="Times New Roman" w:eastAsia="Times New Roman" w:hAnsi="Times New Roman" w:cs="Times New Roman"/>
          <w:sz w:val="28"/>
          <w:szCs w:val="28"/>
          <w:lang w:eastAsia="ru-RU"/>
        </w:rPr>
        <w:t xml:space="preserve">таких детей в возрасте 7-18 лет </w:t>
      </w:r>
      <w:r w:rsidR="00B44242">
        <w:rPr>
          <w:rFonts w:ascii="Times New Roman" w:eastAsia="Times New Roman" w:hAnsi="Times New Roman" w:cs="Times New Roman"/>
          <w:sz w:val="28"/>
          <w:szCs w:val="28"/>
          <w:lang w:eastAsia="ru-RU"/>
        </w:rPr>
        <w:t xml:space="preserve">по сравнению с предыдущим годом уменьшилась на </w:t>
      </w:r>
      <w:r w:rsidR="00B44242" w:rsidRPr="0079389A">
        <w:rPr>
          <w:rFonts w:ascii="Times New Roman" w:eastAsia="Times New Roman" w:hAnsi="Times New Roman" w:cs="Times New Roman"/>
          <w:sz w:val="28"/>
          <w:szCs w:val="28"/>
          <w:lang w:eastAsia="ru-RU"/>
        </w:rPr>
        <w:t>14,16%</w:t>
      </w:r>
      <w:r w:rsidR="00B44242">
        <w:rPr>
          <w:rFonts w:ascii="Times New Roman" w:eastAsia="Times New Roman" w:hAnsi="Times New Roman" w:cs="Times New Roman"/>
          <w:sz w:val="28"/>
          <w:szCs w:val="28"/>
          <w:lang w:eastAsia="ru-RU"/>
        </w:rPr>
        <w:t>, составив 7 161 человек</w:t>
      </w:r>
      <w:r w:rsidRPr="0079389A">
        <w:rPr>
          <w:rFonts w:ascii="Times New Roman" w:eastAsia="Times New Roman" w:hAnsi="Times New Roman" w:cs="Times New Roman"/>
          <w:sz w:val="28"/>
          <w:szCs w:val="28"/>
          <w:lang w:eastAsia="ru-RU"/>
        </w:rPr>
        <w:t xml:space="preserve">. Из общего количества </w:t>
      </w:r>
      <w:proofErr w:type="spellStart"/>
      <w:r w:rsidRPr="0079389A">
        <w:rPr>
          <w:rFonts w:ascii="Times New Roman" w:eastAsia="Times New Roman" w:hAnsi="Times New Roman" w:cs="Times New Roman"/>
          <w:sz w:val="28"/>
          <w:szCs w:val="28"/>
          <w:lang w:eastAsia="ru-RU"/>
        </w:rPr>
        <w:t>необучающихся</w:t>
      </w:r>
      <w:proofErr w:type="spellEnd"/>
      <w:r w:rsidRPr="0079389A">
        <w:rPr>
          <w:rFonts w:ascii="Times New Roman" w:eastAsia="Times New Roman" w:hAnsi="Times New Roman" w:cs="Times New Roman"/>
          <w:sz w:val="28"/>
          <w:szCs w:val="28"/>
          <w:lang w:eastAsia="ru-RU"/>
        </w:rPr>
        <w:t xml:space="preserve"> 921 человек являются </w:t>
      </w:r>
      <w:r w:rsidR="00B44242">
        <w:rPr>
          <w:rFonts w:ascii="Times New Roman" w:eastAsia="Times New Roman" w:hAnsi="Times New Roman" w:cs="Times New Roman"/>
          <w:sz w:val="28"/>
          <w:szCs w:val="28"/>
          <w:lang w:eastAsia="ru-RU"/>
        </w:rPr>
        <w:t>детьми</w:t>
      </w:r>
      <w:r w:rsidRPr="0079389A">
        <w:rPr>
          <w:rFonts w:ascii="Times New Roman" w:eastAsia="Times New Roman" w:hAnsi="Times New Roman" w:cs="Times New Roman"/>
          <w:sz w:val="28"/>
          <w:szCs w:val="28"/>
          <w:lang w:eastAsia="ru-RU"/>
        </w:rPr>
        <w:t xml:space="preserve"> с </w:t>
      </w:r>
      <w:r w:rsidR="00B97A2A">
        <w:rPr>
          <w:rFonts w:ascii="Times New Roman" w:eastAsia="Times New Roman" w:hAnsi="Times New Roman" w:cs="Times New Roman"/>
          <w:bCs/>
          <w:sz w:val="28"/>
          <w:szCs w:val="28"/>
          <w:lang w:eastAsia="ru-RU"/>
        </w:rPr>
        <w:t>ОВЗ</w:t>
      </w:r>
      <w:r w:rsidR="00B97A2A" w:rsidRPr="0079389A">
        <w:rPr>
          <w:rFonts w:ascii="Times New Roman" w:eastAsia="Times New Roman" w:hAnsi="Times New Roman" w:cs="Times New Roman"/>
          <w:sz w:val="28"/>
          <w:szCs w:val="28"/>
          <w:lang w:eastAsia="ru-RU"/>
        </w:rPr>
        <w:t xml:space="preserve"> (12,9%)</w:t>
      </w:r>
      <w:r w:rsidRPr="0079389A">
        <w:rPr>
          <w:rFonts w:ascii="Times New Roman" w:eastAsia="Times New Roman" w:hAnsi="Times New Roman" w:cs="Times New Roman"/>
          <w:sz w:val="28"/>
          <w:szCs w:val="28"/>
          <w:lang w:eastAsia="ru-RU"/>
        </w:rPr>
        <w:t xml:space="preserve">, а </w:t>
      </w:r>
      <w:r w:rsidR="005360FA">
        <w:rPr>
          <w:rFonts w:ascii="Times New Roman" w:eastAsia="Times New Roman" w:hAnsi="Times New Roman" w:cs="Times New Roman"/>
          <w:sz w:val="28"/>
          <w:szCs w:val="28"/>
          <w:lang w:eastAsia="ru-RU"/>
        </w:rPr>
        <w:br/>
      </w:r>
      <w:r w:rsidRPr="0079389A">
        <w:rPr>
          <w:rFonts w:ascii="Times New Roman" w:eastAsia="Times New Roman" w:hAnsi="Times New Roman" w:cs="Times New Roman"/>
          <w:sz w:val="28"/>
          <w:szCs w:val="28"/>
          <w:lang w:eastAsia="ru-RU"/>
        </w:rPr>
        <w:t>1 084 человека – детьми</w:t>
      </w:r>
      <w:r w:rsidR="003B77D7" w:rsidRPr="003B77D7">
        <w:rPr>
          <w:rFonts w:ascii="Times New Roman" w:eastAsia="Times New Roman" w:hAnsi="Times New Roman" w:cs="Times New Roman"/>
          <w:sz w:val="28"/>
          <w:szCs w:val="28"/>
          <w:lang w:eastAsia="ru-RU"/>
        </w:rPr>
        <w:t xml:space="preserve"> </w:t>
      </w:r>
      <w:r w:rsidR="003B77D7">
        <w:rPr>
          <w:rFonts w:ascii="Times New Roman" w:eastAsia="Times New Roman" w:hAnsi="Times New Roman" w:cs="Times New Roman"/>
          <w:sz w:val="28"/>
          <w:szCs w:val="28"/>
          <w:lang w:eastAsia="ru-RU"/>
        </w:rPr>
        <w:t>с инвалидностью</w:t>
      </w:r>
      <w:r w:rsidR="003B77D7" w:rsidRPr="0079389A" w:rsidDel="003B77D7">
        <w:rPr>
          <w:rFonts w:ascii="Times New Roman" w:eastAsia="Times New Roman" w:hAnsi="Times New Roman" w:cs="Times New Roman"/>
          <w:sz w:val="28"/>
          <w:szCs w:val="28"/>
          <w:lang w:eastAsia="ru-RU"/>
        </w:rPr>
        <w:t xml:space="preserve"> </w:t>
      </w:r>
      <w:r w:rsidR="00B97A2A" w:rsidRPr="0079389A">
        <w:rPr>
          <w:rFonts w:ascii="Times New Roman" w:eastAsia="Times New Roman" w:hAnsi="Times New Roman" w:cs="Times New Roman"/>
          <w:sz w:val="28"/>
          <w:szCs w:val="28"/>
          <w:lang w:eastAsia="ru-RU"/>
        </w:rPr>
        <w:t>(15,1%)</w:t>
      </w:r>
      <w:r w:rsidRPr="0079389A">
        <w:rPr>
          <w:rFonts w:ascii="Times New Roman" w:eastAsia="Times New Roman" w:hAnsi="Times New Roman" w:cs="Times New Roman"/>
          <w:sz w:val="28"/>
          <w:szCs w:val="28"/>
          <w:lang w:eastAsia="ru-RU"/>
        </w:rPr>
        <w:t>.</w:t>
      </w:r>
    </w:p>
    <w:p w14:paraId="399984C6" w14:textId="04B0B55C" w:rsidR="0079389A" w:rsidRPr="0079389A" w:rsidRDefault="0079389A" w:rsidP="0079389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79389A">
        <w:rPr>
          <w:rFonts w:ascii="Times New Roman" w:eastAsia="Times New Roman" w:hAnsi="Times New Roman" w:cs="Times New Roman"/>
          <w:sz w:val="28"/>
          <w:szCs w:val="28"/>
          <w:lang w:eastAsia="ru-RU"/>
        </w:rPr>
        <w:t xml:space="preserve">Наибольшая численность </w:t>
      </w:r>
      <w:proofErr w:type="spellStart"/>
      <w:r w:rsidRPr="0079389A">
        <w:rPr>
          <w:rFonts w:ascii="Times New Roman" w:eastAsia="Times New Roman" w:hAnsi="Times New Roman" w:cs="Times New Roman"/>
          <w:sz w:val="28"/>
          <w:szCs w:val="28"/>
          <w:lang w:eastAsia="ru-RU"/>
        </w:rPr>
        <w:t>необучающихся</w:t>
      </w:r>
      <w:proofErr w:type="spellEnd"/>
      <w:r w:rsidRPr="0079389A">
        <w:rPr>
          <w:rFonts w:ascii="Times New Roman" w:eastAsia="Times New Roman" w:hAnsi="Times New Roman" w:cs="Times New Roman"/>
          <w:sz w:val="28"/>
          <w:szCs w:val="28"/>
          <w:lang w:eastAsia="ru-RU"/>
        </w:rPr>
        <w:t xml:space="preserve"> </w:t>
      </w:r>
      <w:r w:rsidR="00733E35">
        <w:rPr>
          <w:rFonts w:ascii="Times New Roman" w:eastAsia="Times New Roman" w:hAnsi="Times New Roman" w:cs="Times New Roman"/>
          <w:sz w:val="28"/>
          <w:szCs w:val="28"/>
          <w:lang w:eastAsia="ru-RU"/>
        </w:rPr>
        <w:t xml:space="preserve">отмечается </w:t>
      </w:r>
      <w:r w:rsidRPr="0079389A">
        <w:rPr>
          <w:rFonts w:ascii="Times New Roman" w:eastAsia="Times New Roman" w:hAnsi="Times New Roman" w:cs="Times New Roman"/>
          <w:sz w:val="28"/>
          <w:szCs w:val="28"/>
          <w:lang w:eastAsia="ru-RU"/>
        </w:rPr>
        <w:t xml:space="preserve">в следующих субъектах Российской Федерации: Краснодарском крае (517 человек), Ярославской </w:t>
      </w:r>
      <w:r w:rsidR="005360FA">
        <w:rPr>
          <w:rFonts w:ascii="Times New Roman" w:eastAsia="Times New Roman" w:hAnsi="Times New Roman" w:cs="Times New Roman"/>
          <w:sz w:val="28"/>
          <w:szCs w:val="28"/>
          <w:lang w:eastAsia="ru-RU"/>
        </w:rPr>
        <w:br/>
      </w:r>
      <w:r w:rsidRPr="0079389A">
        <w:rPr>
          <w:rFonts w:ascii="Times New Roman" w:eastAsia="Times New Roman" w:hAnsi="Times New Roman" w:cs="Times New Roman"/>
          <w:sz w:val="28"/>
          <w:szCs w:val="28"/>
          <w:lang w:eastAsia="ru-RU"/>
        </w:rPr>
        <w:t xml:space="preserve">(385 человек), Ростовской (372 человек) и Иркутской (349 человек) областях. </w:t>
      </w:r>
    </w:p>
    <w:p w14:paraId="51876BAE" w14:textId="77777777" w:rsidR="0079389A" w:rsidRPr="0079389A" w:rsidRDefault="00733E35" w:rsidP="0079389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79389A" w:rsidRPr="0079389A">
        <w:rPr>
          <w:rFonts w:ascii="Times New Roman" w:eastAsia="Times New Roman" w:hAnsi="Times New Roman" w:cs="Times New Roman"/>
          <w:sz w:val="28"/>
          <w:szCs w:val="28"/>
          <w:lang w:eastAsia="ru-RU"/>
        </w:rPr>
        <w:t xml:space="preserve">важительная причина непосещения отсутствует у 5 120 обучающихся (71,5%), по состоянию здоровья не посещают образовательные организации </w:t>
      </w:r>
      <w:r w:rsidR="007E7AB2">
        <w:rPr>
          <w:rFonts w:ascii="Times New Roman" w:eastAsia="Times New Roman" w:hAnsi="Times New Roman" w:cs="Times New Roman"/>
          <w:sz w:val="28"/>
          <w:szCs w:val="28"/>
          <w:lang w:eastAsia="ru-RU"/>
        </w:rPr>
        <w:br/>
      </w:r>
      <w:r w:rsidR="0079389A" w:rsidRPr="0079389A">
        <w:rPr>
          <w:rFonts w:ascii="Times New Roman" w:eastAsia="Times New Roman" w:hAnsi="Times New Roman" w:cs="Times New Roman"/>
          <w:sz w:val="28"/>
          <w:szCs w:val="28"/>
          <w:lang w:eastAsia="ru-RU"/>
        </w:rPr>
        <w:t>2 041 обучающихся (28,5%).</w:t>
      </w:r>
    </w:p>
    <w:p w14:paraId="533AE48D" w14:textId="77777777" w:rsidR="0079389A" w:rsidRPr="0079389A" w:rsidRDefault="0079389A" w:rsidP="0079389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79389A">
        <w:rPr>
          <w:rFonts w:ascii="Times New Roman" w:eastAsia="Times New Roman" w:hAnsi="Times New Roman" w:cs="Times New Roman"/>
          <w:sz w:val="28"/>
          <w:szCs w:val="28"/>
          <w:lang w:eastAsia="ru-RU"/>
        </w:rPr>
        <w:t>С целью недопущения нарушения пр</w:t>
      </w:r>
      <w:r w:rsidR="00733E35">
        <w:rPr>
          <w:rFonts w:ascii="Times New Roman" w:eastAsia="Times New Roman" w:hAnsi="Times New Roman" w:cs="Times New Roman"/>
          <w:sz w:val="28"/>
          <w:szCs w:val="28"/>
          <w:lang w:eastAsia="ru-RU"/>
        </w:rPr>
        <w:t xml:space="preserve">ава обучающихся на образование </w:t>
      </w:r>
      <w:r w:rsidRPr="0079389A">
        <w:rPr>
          <w:rFonts w:ascii="Times New Roman" w:eastAsia="Times New Roman" w:hAnsi="Times New Roman" w:cs="Times New Roman"/>
          <w:sz w:val="28"/>
          <w:szCs w:val="28"/>
          <w:lang w:eastAsia="ru-RU"/>
        </w:rPr>
        <w:t>в субъекты Российской Федерации направлены соответствующие разъяснения.</w:t>
      </w:r>
    </w:p>
    <w:p w14:paraId="155ED61C" w14:textId="035AB2D4" w:rsidR="0079389A" w:rsidRPr="0079389A" w:rsidRDefault="0079389A" w:rsidP="0079389A">
      <w:pPr>
        <w:widowControl w:val="0"/>
        <w:shd w:val="clear" w:color="auto" w:fill="FFFFFF"/>
        <w:suppressAutoHyphens/>
        <w:spacing w:after="0" w:line="312" w:lineRule="auto"/>
        <w:ind w:firstLine="709"/>
        <w:jc w:val="both"/>
        <w:rPr>
          <w:rFonts w:ascii="Times New Roman" w:eastAsia="Times New Roman" w:hAnsi="Times New Roman" w:cs="Times New Roman"/>
          <w:bCs/>
          <w:sz w:val="28"/>
          <w:szCs w:val="28"/>
          <w:lang w:eastAsia="ru-RU"/>
        </w:rPr>
      </w:pPr>
      <w:r w:rsidRPr="0079389A">
        <w:rPr>
          <w:rFonts w:ascii="Times New Roman" w:eastAsia="Times New Roman" w:hAnsi="Times New Roman" w:cs="Times New Roman"/>
          <w:bCs/>
          <w:sz w:val="28"/>
          <w:szCs w:val="28"/>
          <w:lang w:eastAsia="ru-RU"/>
        </w:rPr>
        <w:t>Продолжается работа по обеспечению сп</w:t>
      </w:r>
      <w:r w:rsidR="004123CF">
        <w:rPr>
          <w:rFonts w:ascii="Times New Roman" w:eastAsia="Times New Roman" w:hAnsi="Times New Roman" w:cs="Times New Roman"/>
          <w:bCs/>
          <w:sz w:val="28"/>
          <w:szCs w:val="28"/>
          <w:lang w:eastAsia="ru-RU"/>
        </w:rPr>
        <w:t xml:space="preserve">ециальных условий, в том числе </w:t>
      </w:r>
      <w:r w:rsidRPr="0079389A">
        <w:rPr>
          <w:rFonts w:ascii="Times New Roman" w:eastAsia="Times New Roman" w:hAnsi="Times New Roman" w:cs="Times New Roman"/>
          <w:bCs/>
          <w:sz w:val="28"/>
          <w:szCs w:val="28"/>
          <w:lang w:eastAsia="ru-RU"/>
        </w:rPr>
        <w:t xml:space="preserve">в части разработки примерных адаптированных основных общеобразовательных программ и специальных учебников на основании </w:t>
      </w:r>
      <w:r w:rsidRPr="0079389A">
        <w:rPr>
          <w:rFonts w:ascii="Times New Roman" w:eastAsia="Arial" w:hAnsi="Times New Roman" w:cs="Times New Roman"/>
          <w:sz w:val="28"/>
          <w:szCs w:val="28"/>
          <w:lang w:eastAsia="ru-RU"/>
        </w:rPr>
        <w:t xml:space="preserve">нового </w:t>
      </w:r>
      <w:r w:rsidR="004123CF">
        <w:rPr>
          <w:rFonts w:ascii="Times New Roman" w:eastAsia="Arial" w:hAnsi="Times New Roman" w:cs="Times New Roman"/>
          <w:sz w:val="28"/>
          <w:szCs w:val="28"/>
          <w:lang w:eastAsia="ru-RU"/>
        </w:rPr>
        <w:t>ФГОС</w:t>
      </w:r>
      <w:r w:rsidRPr="0079389A">
        <w:rPr>
          <w:rFonts w:ascii="Times New Roman" w:eastAsia="Arial" w:hAnsi="Times New Roman" w:cs="Times New Roman"/>
          <w:sz w:val="28"/>
          <w:szCs w:val="28"/>
          <w:lang w:eastAsia="ru-RU"/>
        </w:rPr>
        <w:t xml:space="preserve"> основного общего образования, утвержденного приказом Минпросвещения Р</w:t>
      </w:r>
      <w:r w:rsidR="004123CF">
        <w:rPr>
          <w:rFonts w:ascii="Times New Roman" w:eastAsia="Arial" w:hAnsi="Times New Roman" w:cs="Times New Roman"/>
          <w:sz w:val="28"/>
          <w:szCs w:val="28"/>
          <w:lang w:eastAsia="ru-RU"/>
        </w:rPr>
        <w:t xml:space="preserve">оссии от 31 мая 2021 г. </w:t>
      </w:r>
      <w:r w:rsidR="004123CF">
        <w:rPr>
          <w:rFonts w:ascii="Times New Roman" w:eastAsia="Arial" w:hAnsi="Times New Roman" w:cs="Times New Roman"/>
          <w:sz w:val="28"/>
          <w:szCs w:val="28"/>
          <w:lang w:eastAsia="ru-RU"/>
        </w:rPr>
        <w:br/>
        <w:t xml:space="preserve">№ 287, </w:t>
      </w:r>
      <w:r w:rsidRPr="0079389A">
        <w:rPr>
          <w:rFonts w:ascii="Times New Roman" w:eastAsia="Arial" w:hAnsi="Times New Roman" w:cs="Times New Roman"/>
          <w:sz w:val="28"/>
          <w:szCs w:val="28"/>
          <w:lang w:eastAsia="ru-RU"/>
        </w:rPr>
        <w:t xml:space="preserve">в котором обозначены требования к созданию образования лиц с </w:t>
      </w:r>
      <w:r w:rsidR="009D1A16">
        <w:rPr>
          <w:rFonts w:ascii="Times New Roman" w:eastAsia="Times New Roman" w:hAnsi="Times New Roman" w:cs="Times New Roman"/>
          <w:bCs/>
          <w:sz w:val="28"/>
          <w:szCs w:val="28"/>
          <w:lang w:eastAsia="ru-RU"/>
        </w:rPr>
        <w:t>ОВЗ</w:t>
      </w:r>
      <w:r w:rsidRPr="0079389A">
        <w:rPr>
          <w:rFonts w:ascii="Times New Roman" w:eastAsia="Arial" w:hAnsi="Times New Roman" w:cs="Times New Roman"/>
          <w:sz w:val="28"/>
          <w:szCs w:val="28"/>
          <w:lang w:eastAsia="ru-RU"/>
        </w:rPr>
        <w:t>.</w:t>
      </w:r>
    </w:p>
    <w:p w14:paraId="72489E53" w14:textId="77777777" w:rsidR="0079389A" w:rsidRPr="0079389A" w:rsidRDefault="0079389A" w:rsidP="0079389A">
      <w:pPr>
        <w:widowControl w:val="0"/>
        <w:shd w:val="clear" w:color="auto" w:fill="FFFFFF"/>
        <w:suppressAutoHyphens/>
        <w:spacing w:after="0" w:line="312" w:lineRule="auto"/>
        <w:ind w:firstLine="709"/>
        <w:jc w:val="both"/>
        <w:rPr>
          <w:rFonts w:ascii="Times New Roman" w:eastAsia="Times New Roman" w:hAnsi="Times New Roman" w:cs="Times New Roman"/>
          <w:bCs/>
          <w:sz w:val="28"/>
          <w:szCs w:val="28"/>
          <w:lang w:eastAsia="ru-RU"/>
        </w:rPr>
      </w:pPr>
      <w:r w:rsidRPr="0079389A">
        <w:rPr>
          <w:rFonts w:ascii="Times New Roman" w:eastAsia="Times New Roman" w:hAnsi="Times New Roman" w:cs="Times New Roman"/>
          <w:bCs/>
          <w:sz w:val="28"/>
          <w:szCs w:val="28"/>
          <w:lang w:eastAsia="ru-RU"/>
        </w:rPr>
        <w:t>В 2021 г</w:t>
      </w:r>
      <w:r w:rsidR="007E7AB2">
        <w:rPr>
          <w:rFonts w:ascii="Times New Roman" w:eastAsia="Times New Roman" w:hAnsi="Times New Roman" w:cs="Times New Roman"/>
          <w:bCs/>
          <w:sz w:val="28"/>
          <w:szCs w:val="28"/>
          <w:lang w:eastAsia="ru-RU"/>
        </w:rPr>
        <w:t>.</w:t>
      </w:r>
      <w:r w:rsidRPr="0079389A">
        <w:rPr>
          <w:rFonts w:ascii="Times New Roman" w:eastAsia="Times New Roman" w:hAnsi="Times New Roman" w:cs="Times New Roman"/>
          <w:bCs/>
          <w:sz w:val="28"/>
          <w:szCs w:val="28"/>
          <w:lang w:eastAsia="ru-RU"/>
        </w:rPr>
        <w:t xml:space="preserve"> </w:t>
      </w:r>
      <w:r w:rsidR="004123CF">
        <w:rPr>
          <w:rFonts w:ascii="Times New Roman" w:eastAsia="Times New Roman" w:hAnsi="Times New Roman" w:cs="Times New Roman"/>
          <w:bCs/>
          <w:sz w:val="28"/>
          <w:szCs w:val="28"/>
          <w:lang w:eastAsia="ru-RU"/>
        </w:rPr>
        <w:t>ФБГУ</w:t>
      </w:r>
      <w:r w:rsidRPr="0079389A">
        <w:rPr>
          <w:rFonts w:ascii="Times New Roman" w:eastAsia="Times New Roman" w:hAnsi="Times New Roman" w:cs="Times New Roman"/>
          <w:bCs/>
          <w:sz w:val="28"/>
          <w:szCs w:val="28"/>
          <w:lang w:eastAsia="ru-RU"/>
        </w:rPr>
        <w:t xml:space="preserve"> «Институт коррекционной педагогики Ро</w:t>
      </w:r>
      <w:r w:rsidR="004123CF">
        <w:rPr>
          <w:rFonts w:ascii="Times New Roman" w:eastAsia="Times New Roman" w:hAnsi="Times New Roman" w:cs="Times New Roman"/>
          <w:bCs/>
          <w:sz w:val="28"/>
          <w:szCs w:val="28"/>
          <w:lang w:eastAsia="ru-RU"/>
        </w:rPr>
        <w:t xml:space="preserve">ссийской академии образования» </w:t>
      </w:r>
      <w:r w:rsidRPr="0079389A">
        <w:rPr>
          <w:rFonts w:ascii="Times New Roman" w:eastAsia="Times New Roman" w:hAnsi="Times New Roman" w:cs="Times New Roman"/>
          <w:bCs/>
          <w:sz w:val="28"/>
          <w:szCs w:val="28"/>
          <w:lang w:eastAsia="ru-RU"/>
        </w:rPr>
        <w:t>по заказу Минпросвещения России про</w:t>
      </w:r>
      <w:r w:rsidR="004123CF">
        <w:rPr>
          <w:rFonts w:ascii="Times New Roman" w:eastAsia="Times New Roman" w:hAnsi="Times New Roman" w:cs="Times New Roman"/>
          <w:bCs/>
          <w:sz w:val="28"/>
          <w:szCs w:val="28"/>
          <w:lang w:eastAsia="ru-RU"/>
        </w:rPr>
        <w:t xml:space="preserve">должена разработка и апробация </w:t>
      </w:r>
      <w:r w:rsidRPr="0079389A">
        <w:rPr>
          <w:rFonts w:ascii="Times New Roman" w:eastAsia="Times New Roman" w:hAnsi="Times New Roman" w:cs="Times New Roman"/>
          <w:bCs/>
          <w:sz w:val="28"/>
          <w:szCs w:val="28"/>
          <w:lang w:eastAsia="ru-RU"/>
        </w:rPr>
        <w:t xml:space="preserve">всех примерных адаптированных образовательных программ основного общего образования обучающихся с </w:t>
      </w:r>
      <w:r w:rsidR="004123CF">
        <w:rPr>
          <w:rFonts w:ascii="Times New Roman" w:eastAsia="Times New Roman" w:hAnsi="Times New Roman" w:cs="Times New Roman"/>
          <w:bCs/>
          <w:sz w:val="28"/>
          <w:szCs w:val="28"/>
          <w:lang w:eastAsia="ru-RU"/>
        </w:rPr>
        <w:t>ОВЗ</w:t>
      </w:r>
      <w:r w:rsidRPr="0079389A">
        <w:rPr>
          <w:rFonts w:ascii="Times New Roman" w:eastAsia="Times New Roman" w:hAnsi="Times New Roman" w:cs="Times New Roman"/>
          <w:bCs/>
          <w:sz w:val="28"/>
          <w:szCs w:val="28"/>
          <w:lang w:eastAsia="ru-RU"/>
        </w:rPr>
        <w:t>.</w:t>
      </w:r>
    </w:p>
    <w:p w14:paraId="66EED228" w14:textId="77777777" w:rsidR="0079389A" w:rsidRPr="0079389A" w:rsidRDefault="0079389A" w:rsidP="004123CF">
      <w:pPr>
        <w:widowControl w:val="0"/>
        <w:shd w:val="clear" w:color="auto" w:fill="FFFFFF"/>
        <w:suppressAutoHyphens/>
        <w:spacing w:after="0" w:line="312" w:lineRule="auto"/>
        <w:ind w:firstLine="709"/>
        <w:jc w:val="both"/>
        <w:rPr>
          <w:rFonts w:ascii="Times New Roman" w:eastAsia="Times New Roman" w:hAnsi="Times New Roman" w:cs="Times New Roman"/>
          <w:sz w:val="28"/>
          <w:szCs w:val="28"/>
          <w:lang w:eastAsia="ru-RU"/>
        </w:rPr>
      </w:pPr>
      <w:r w:rsidRPr="0079389A">
        <w:rPr>
          <w:rFonts w:ascii="Times New Roman" w:eastAsia="Times New Roman" w:hAnsi="Times New Roman" w:cs="Times New Roman"/>
          <w:bCs/>
          <w:sz w:val="28"/>
          <w:szCs w:val="28"/>
          <w:lang w:eastAsia="ru-RU"/>
        </w:rPr>
        <w:t xml:space="preserve">С 2021 г. централизована процедура разработки и издания специальных учебников и учебных пособий для обучающихся с </w:t>
      </w:r>
      <w:r w:rsidR="00D76289" w:rsidRPr="0079389A">
        <w:rPr>
          <w:rFonts w:ascii="Times New Roman" w:eastAsia="Times New Roman" w:hAnsi="Times New Roman" w:cs="Times New Roman"/>
          <w:bCs/>
          <w:sz w:val="28"/>
          <w:szCs w:val="28"/>
          <w:lang w:eastAsia="ru-RU"/>
        </w:rPr>
        <w:t>инвалидностью</w:t>
      </w:r>
      <w:r w:rsidR="00D76289">
        <w:rPr>
          <w:rFonts w:ascii="Times New Roman" w:eastAsia="Times New Roman" w:hAnsi="Times New Roman" w:cs="Times New Roman"/>
          <w:bCs/>
          <w:sz w:val="28"/>
          <w:szCs w:val="28"/>
          <w:lang w:eastAsia="ru-RU"/>
        </w:rPr>
        <w:t xml:space="preserve"> и </w:t>
      </w:r>
      <w:r w:rsidR="004123CF">
        <w:rPr>
          <w:rFonts w:ascii="Times New Roman" w:eastAsia="Times New Roman" w:hAnsi="Times New Roman" w:cs="Times New Roman"/>
          <w:bCs/>
          <w:sz w:val="28"/>
          <w:szCs w:val="28"/>
          <w:lang w:eastAsia="ru-RU"/>
        </w:rPr>
        <w:t>ОВЗ</w:t>
      </w:r>
      <w:r w:rsidRPr="0079389A">
        <w:rPr>
          <w:rFonts w:ascii="Times New Roman" w:eastAsia="Times New Roman" w:hAnsi="Times New Roman" w:cs="Times New Roman"/>
          <w:bCs/>
          <w:sz w:val="28"/>
          <w:szCs w:val="28"/>
          <w:lang w:eastAsia="ru-RU"/>
        </w:rPr>
        <w:t xml:space="preserve">. </w:t>
      </w:r>
      <w:r w:rsidR="00D76289">
        <w:rPr>
          <w:rFonts w:ascii="Times New Roman" w:eastAsia="Times New Roman" w:hAnsi="Times New Roman" w:cs="Times New Roman"/>
          <w:bCs/>
          <w:sz w:val="28"/>
          <w:szCs w:val="28"/>
          <w:lang w:eastAsia="ru-RU"/>
        </w:rPr>
        <w:br/>
      </w:r>
      <w:r w:rsidRPr="0079389A">
        <w:rPr>
          <w:rFonts w:ascii="Times New Roman" w:eastAsia="Times New Roman" w:hAnsi="Times New Roman" w:cs="Times New Roman"/>
          <w:bCs/>
          <w:sz w:val="28"/>
          <w:szCs w:val="28"/>
          <w:lang w:eastAsia="ru-RU"/>
        </w:rPr>
        <w:t>В</w:t>
      </w:r>
      <w:r w:rsidRPr="0079389A">
        <w:rPr>
          <w:rFonts w:ascii="Times New Roman" w:eastAsia="Times New Roman" w:hAnsi="Times New Roman" w:cs="Times New Roman"/>
          <w:sz w:val="28"/>
          <w:szCs w:val="28"/>
          <w:lang w:eastAsia="ru-RU"/>
        </w:rPr>
        <w:t xml:space="preserve"> государственное задание </w:t>
      </w:r>
      <w:r w:rsidR="004123CF">
        <w:rPr>
          <w:rFonts w:ascii="Times New Roman" w:eastAsia="Times New Roman" w:hAnsi="Times New Roman" w:cs="Times New Roman"/>
          <w:sz w:val="28"/>
          <w:szCs w:val="28"/>
          <w:lang w:eastAsia="ru-RU"/>
        </w:rPr>
        <w:t>ФГБУ</w:t>
      </w:r>
      <w:r w:rsidRPr="0079389A">
        <w:rPr>
          <w:rFonts w:ascii="Times New Roman" w:eastAsia="Times New Roman" w:hAnsi="Times New Roman" w:cs="Times New Roman"/>
          <w:sz w:val="28"/>
          <w:szCs w:val="28"/>
          <w:lang w:eastAsia="ru-RU"/>
        </w:rPr>
        <w:t xml:space="preserve"> «Институт коррекционной педагогики Российской академии образования» включена работа по разработке макетов учебников на основе разработанных ранее рукописей, а также разработка новых рукописей учебников, учебных пособий, в рамках которой были подготовлены макеты </w:t>
      </w:r>
      <w:r w:rsidR="00D76289">
        <w:rPr>
          <w:rFonts w:ascii="Times New Roman" w:eastAsia="Times New Roman" w:hAnsi="Times New Roman" w:cs="Times New Roman"/>
          <w:sz w:val="28"/>
          <w:szCs w:val="28"/>
          <w:lang w:eastAsia="ru-RU"/>
        </w:rPr>
        <w:br/>
      </w:r>
      <w:r w:rsidRPr="0079389A">
        <w:rPr>
          <w:rFonts w:ascii="Times New Roman" w:eastAsia="Times New Roman" w:hAnsi="Times New Roman" w:cs="Times New Roman"/>
          <w:sz w:val="28"/>
          <w:szCs w:val="28"/>
          <w:lang w:eastAsia="ru-RU"/>
        </w:rPr>
        <w:t xml:space="preserve">6 учебно-методических комплектов для слепых обучающихся на шрифте Брайля (Изобразительное искусство, Русский язык, География, Информатика, Литература, Иностранный язык (английский)) и </w:t>
      </w:r>
      <w:r w:rsidR="004123CF">
        <w:rPr>
          <w:rFonts w:ascii="Times New Roman" w:eastAsia="Times New Roman" w:hAnsi="Times New Roman" w:cs="Times New Roman"/>
          <w:sz w:val="28"/>
          <w:szCs w:val="28"/>
          <w:lang w:eastAsia="ru-RU"/>
        </w:rPr>
        <w:t xml:space="preserve">45 электронных макетов </w:t>
      </w:r>
      <w:r w:rsidRPr="0079389A">
        <w:rPr>
          <w:rFonts w:ascii="Times New Roman" w:eastAsia="Times New Roman" w:hAnsi="Times New Roman" w:cs="Times New Roman"/>
          <w:sz w:val="28"/>
          <w:szCs w:val="28"/>
          <w:lang w:eastAsia="ru-RU"/>
        </w:rPr>
        <w:t xml:space="preserve">учебников для других категорий обучающихся, получающих начальное общее образование. </w:t>
      </w:r>
      <w:r w:rsidRPr="0079389A">
        <w:rPr>
          <w:rFonts w:ascii="Times New Roman" w:eastAsia="Arial" w:hAnsi="Times New Roman" w:cs="Times New Roman"/>
          <w:sz w:val="28"/>
          <w:szCs w:val="28"/>
          <w:lang w:eastAsia="ru-RU"/>
        </w:rPr>
        <w:t xml:space="preserve">Финансовое обеспечение данной работы осуществляется за счет средств государственной программы </w:t>
      </w:r>
      <w:r w:rsidRPr="0079389A">
        <w:rPr>
          <w:rFonts w:ascii="Times New Roman" w:eastAsia="Times New Roman" w:hAnsi="Times New Roman" w:cs="Times New Roman"/>
          <w:sz w:val="28"/>
          <w:szCs w:val="28"/>
          <w:lang w:eastAsia="ru-RU"/>
        </w:rPr>
        <w:t xml:space="preserve">Российской Федерации </w:t>
      </w:r>
      <w:r w:rsidR="004123CF">
        <w:rPr>
          <w:rFonts w:ascii="Times New Roman" w:eastAsia="Arial" w:hAnsi="Times New Roman" w:cs="Times New Roman"/>
          <w:sz w:val="28"/>
          <w:szCs w:val="28"/>
          <w:lang w:eastAsia="ru-RU"/>
        </w:rPr>
        <w:t xml:space="preserve">«Доступная </w:t>
      </w:r>
      <w:r w:rsidRPr="0079389A">
        <w:rPr>
          <w:rFonts w:ascii="Times New Roman" w:eastAsia="Arial" w:hAnsi="Times New Roman" w:cs="Times New Roman"/>
          <w:sz w:val="28"/>
          <w:szCs w:val="28"/>
          <w:lang w:eastAsia="ru-RU"/>
        </w:rPr>
        <w:t xml:space="preserve">среда», утвержденной </w:t>
      </w:r>
      <w:r w:rsidRPr="0079389A">
        <w:rPr>
          <w:rFonts w:ascii="Times New Roman" w:eastAsia="Times New Roman" w:hAnsi="Times New Roman" w:cs="Times New Roman"/>
          <w:sz w:val="28"/>
          <w:szCs w:val="28"/>
          <w:lang w:eastAsia="ru-RU"/>
        </w:rPr>
        <w:t>постановлением Прав</w:t>
      </w:r>
      <w:r w:rsidR="004123CF">
        <w:rPr>
          <w:rFonts w:ascii="Times New Roman" w:eastAsia="Times New Roman" w:hAnsi="Times New Roman" w:cs="Times New Roman"/>
          <w:sz w:val="28"/>
          <w:szCs w:val="28"/>
          <w:lang w:eastAsia="ru-RU"/>
        </w:rPr>
        <w:t>ительства Российской Федерации от 29 марта 2019 г. № 363</w:t>
      </w:r>
      <w:r w:rsidR="00947B39">
        <w:rPr>
          <w:rFonts w:ascii="Times New Roman" w:eastAsia="Times New Roman" w:hAnsi="Times New Roman" w:cs="Times New Roman"/>
          <w:sz w:val="28"/>
          <w:szCs w:val="28"/>
          <w:lang w:eastAsia="ru-RU"/>
        </w:rPr>
        <w:t xml:space="preserve"> (далее – государственная программа «Доступная среда»)</w:t>
      </w:r>
      <w:r w:rsidR="004123CF">
        <w:rPr>
          <w:rFonts w:ascii="Times New Roman" w:eastAsia="Times New Roman" w:hAnsi="Times New Roman" w:cs="Times New Roman"/>
          <w:sz w:val="28"/>
          <w:szCs w:val="28"/>
          <w:lang w:eastAsia="ru-RU"/>
        </w:rPr>
        <w:t>.</w:t>
      </w:r>
      <w:r w:rsidR="00947B39">
        <w:rPr>
          <w:rFonts w:ascii="Times New Roman" w:eastAsia="Times New Roman" w:hAnsi="Times New Roman" w:cs="Times New Roman"/>
          <w:sz w:val="28"/>
          <w:szCs w:val="28"/>
          <w:lang w:eastAsia="ru-RU"/>
        </w:rPr>
        <w:t xml:space="preserve"> </w:t>
      </w:r>
      <w:r w:rsidRPr="0079389A">
        <w:rPr>
          <w:rFonts w:ascii="Times New Roman" w:eastAsia="Times New Roman" w:hAnsi="Times New Roman" w:cs="Times New Roman"/>
          <w:sz w:val="28"/>
          <w:szCs w:val="28"/>
          <w:lang w:eastAsia="ru-RU"/>
        </w:rPr>
        <w:t>В течение 2022 г</w:t>
      </w:r>
      <w:r w:rsidR="007E7AB2">
        <w:rPr>
          <w:rFonts w:ascii="Times New Roman" w:eastAsia="Times New Roman" w:hAnsi="Times New Roman" w:cs="Times New Roman"/>
          <w:sz w:val="28"/>
          <w:szCs w:val="28"/>
          <w:lang w:eastAsia="ru-RU"/>
        </w:rPr>
        <w:t>.</w:t>
      </w:r>
      <w:r w:rsidRPr="0079389A">
        <w:rPr>
          <w:rFonts w:ascii="Times New Roman" w:eastAsia="Times New Roman" w:hAnsi="Times New Roman" w:cs="Times New Roman"/>
          <w:sz w:val="28"/>
          <w:szCs w:val="28"/>
          <w:lang w:eastAsia="ru-RU"/>
        </w:rPr>
        <w:t xml:space="preserve"> </w:t>
      </w:r>
      <w:r w:rsidR="007E7AB2">
        <w:rPr>
          <w:rFonts w:ascii="Times New Roman" w:eastAsia="Times New Roman" w:hAnsi="Times New Roman" w:cs="Times New Roman"/>
          <w:sz w:val="28"/>
          <w:szCs w:val="28"/>
          <w:lang w:eastAsia="ru-RU"/>
        </w:rPr>
        <w:t>запланирована</w:t>
      </w:r>
      <w:r w:rsidRPr="0079389A">
        <w:rPr>
          <w:rFonts w:ascii="Times New Roman" w:eastAsia="Times New Roman" w:hAnsi="Times New Roman" w:cs="Times New Roman"/>
          <w:sz w:val="28"/>
          <w:szCs w:val="28"/>
          <w:lang w:eastAsia="ru-RU"/>
        </w:rPr>
        <w:t xml:space="preserve"> работа по включению разработанных макетов в федеральный перечень учебников.</w:t>
      </w:r>
    </w:p>
    <w:p w14:paraId="73013A0B" w14:textId="77777777" w:rsidR="0079389A" w:rsidRPr="0079389A" w:rsidRDefault="0079389A" w:rsidP="0079389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79389A">
        <w:rPr>
          <w:rFonts w:ascii="Times New Roman" w:eastAsia="Times New Roman" w:hAnsi="Times New Roman" w:cs="Times New Roman"/>
          <w:sz w:val="28"/>
          <w:szCs w:val="28"/>
          <w:lang w:eastAsia="ru-RU"/>
        </w:rPr>
        <w:t>Итоговая аттестация, завершающая освоение основных образовательных программ основного общег</w:t>
      </w:r>
      <w:r w:rsidR="00D76289">
        <w:rPr>
          <w:rFonts w:ascii="Times New Roman" w:eastAsia="Times New Roman" w:hAnsi="Times New Roman" w:cs="Times New Roman"/>
          <w:sz w:val="28"/>
          <w:szCs w:val="28"/>
          <w:lang w:eastAsia="ru-RU"/>
        </w:rPr>
        <w:t>о и среднего общего образования,</w:t>
      </w:r>
      <w:r w:rsidRPr="0079389A">
        <w:rPr>
          <w:rFonts w:ascii="Times New Roman" w:eastAsia="Times New Roman" w:hAnsi="Times New Roman" w:cs="Times New Roman"/>
          <w:sz w:val="28"/>
          <w:szCs w:val="28"/>
          <w:lang w:eastAsia="ru-RU"/>
        </w:rPr>
        <w:t xml:space="preserve"> </w:t>
      </w:r>
      <w:r w:rsidR="005F757F" w:rsidRPr="0079389A">
        <w:rPr>
          <w:rFonts w:ascii="Times New Roman" w:eastAsia="Times New Roman" w:hAnsi="Times New Roman" w:cs="Times New Roman"/>
          <w:sz w:val="28"/>
          <w:szCs w:val="28"/>
          <w:lang w:eastAsia="ru-RU"/>
        </w:rPr>
        <w:t xml:space="preserve">в соответствии со статьей 59 Федерального закона от 29 декабря 2012 г. № 273-ФЗ </w:t>
      </w:r>
      <w:r w:rsidRPr="0079389A">
        <w:rPr>
          <w:rFonts w:ascii="Times New Roman" w:eastAsia="Times New Roman" w:hAnsi="Times New Roman" w:cs="Times New Roman"/>
          <w:sz w:val="28"/>
          <w:szCs w:val="28"/>
          <w:lang w:eastAsia="ru-RU"/>
        </w:rPr>
        <w:t>является обязательной</w:t>
      </w:r>
      <w:r w:rsidR="005F757F">
        <w:rPr>
          <w:rFonts w:ascii="Times New Roman" w:eastAsia="Times New Roman" w:hAnsi="Times New Roman" w:cs="Times New Roman"/>
          <w:sz w:val="28"/>
          <w:szCs w:val="28"/>
          <w:lang w:eastAsia="ru-RU"/>
        </w:rPr>
        <w:t xml:space="preserve">. При этом для обучающихся </w:t>
      </w:r>
      <w:r w:rsidRPr="0079389A">
        <w:rPr>
          <w:rFonts w:ascii="Times New Roman" w:eastAsia="Times New Roman" w:hAnsi="Times New Roman" w:cs="Times New Roman"/>
          <w:sz w:val="28"/>
          <w:szCs w:val="28"/>
          <w:lang w:eastAsia="ru-RU"/>
        </w:rPr>
        <w:t xml:space="preserve">с </w:t>
      </w:r>
      <w:r w:rsidR="00D76289" w:rsidRPr="0079389A">
        <w:rPr>
          <w:rFonts w:ascii="Times New Roman" w:eastAsia="Times New Roman" w:hAnsi="Times New Roman" w:cs="Times New Roman"/>
          <w:sz w:val="28"/>
          <w:szCs w:val="28"/>
          <w:lang w:eastAsia="ru-RU"/>
        </w:rPr>
        <w:t>инвалидностью</w:t>
      </w:r>
      <w:r w:rsidR="00D76289">
        <w:rPr>
          <w:rFonts w:ascii="Times New Roman" w:eastAsia="Times New Roman" w:hAnsi="Times New Roman" w:cs="Times New Roman"/>
          <w:bCs/>
          <w:sz w:val="28"/>
          <w:szCs w:val="28"/>
          <w:lang w:eastAsia="ru-RU"/>
        </w:rPr>
        <w:t xml:space="preserve"> и </w:t>
      </w:r>
      <w:r w:rsidR="005F757F">
        <w:rPr>
          <w:rFonts w:ascii="Times New Roman" w:eastAsia="Times New Roman" w:hAnsi="Times New Roman" w:cs="Times New Roman"/>
          <w:bCs/>
          <w:sz w:val="28"/>
          <w:szCs w:val="28"/>
          <w:lang w:eastAsia="ru-RU"/>
        </w:rPr>
        <w:t>ОВЗ</w:t>
      </w:r>
      <w:r w:rsidR="00D76289">
        <w:rPr>
          <w:rFonts w:ascii="Times New Roman" w:eastAsia="Times New Roman" w:hAnsi="Times New Roman" w:cs="Times New Roman"/>
          <w:sz w:val="28"/>
          <w:szCs w:val="28"/>
          <w:lang w:eastAsia="ru-RU"/>
        </w:rPr>
        <w:t xml:space="preserve"> </w:t>
      </w:r>
      <w:r w:rsidRPr="0079389A">
        <w:rPr>
          <w:rFonts w:ascii="Times New Roman" w:eastAsia="Times New Roman" w:hAnsi="Times New Roman" w:cs="Times New Roman"/>
          <w:sz w:val="28"/>
          <w:szCs w:val="28"/>
          <w:lang w:eastAsia="ru-RU"/>
        </w:rPr>
        <w:t>создаются специальные условия, также они вправе проходить итоговую аттестацию в форме государственного выпускного экзамена.</w:t>
      </w:r>
    </w:p>
    <w:p w14:paraId="111CBF52" w14:textId="77777777" w:rsidR="0079389A" w:rsidRPr="0079389A" w:rsidRDefault="0079389A" w:rsidP="0079389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79389A">
        <w:rPr>
          <w:rFonts w:ascii="Times New Roman" w:eastAsia="Times New Roman" w:hAnsi="Times New Roman" w:cs="Times New Roman"/>
          <w:sz w:val="28"/>
          <w:szCs w:val="28"/>
          <w:lang w:eastAsia="ru-RU"/>
        </w:rPr>
        <w:t>В государственной итоговой аттестации по образовательным программам основного общего образования (ОГЭ)</w:t>
      </w:r>
      <w:r w:rsidR="005F757F">
        <w:rPr>
          <w:rFonts w:ascii="Times New Roman" w:eastAsia="Times New Roman" w:hAnsi="Times New Roman" w:cs="Times New Roman"/>
          <w:sz w:val="28"/>
          <w:szCs w:val="28"/>
          <w:lang w:eastAsia="ru-RU"/>
        </w:rPr>
        <w:t xml:space="preserve"> в 2021 г</w:t>
      </w:r>
      <w:r w:rsidR="007E7AB2">
        <w:rPr>
          <w:rFonts w:ascii="Times New Roman" w:eastAsia="Times New Roman" w:hAnsi="Times New Roman" w:cs="Times New Roman"/>
          <w:sz w:val="28"/>
          <w:szCs w:val="28"/>
          <w:lang w:eastAsia="ru-RU"/>
        </w:rPr>
        <w:t>.</w:t>
      </w:r>
      <w:r w:rsidRPr="0079389A">
        <w:rPr>
          <w:rFonts w:ascii="Times New Roman" w:eastAsia="Times New Roman" w:hAnsi="Times New Roman" w:cs="Times New Roman"/>
          <w:sz w:val="28"/>
          <w:szCs w:val="28"/>
          <w:lang w:eastAsia="ru-RU"/>
        </w:rPr>
        <w:t xml:space="preserve"> приняло участие 58 074 обучающихся из числа обучающихся с </w:t>
      </w:r>
      <w:r w:rsidR="005F757F">
        <w:rPr>
          <w:rFonts w:ascii="Times New Roman" w:eastAsia="Times New Roman" w:hAnsi="Times New Roman" w:cs="Times New Roman"/>
          <w:bCs/>
          <w:sz w:val="28"/>
          <w:szCs w:val="28"/>
          <w:lang w:eastAsia="ru-RU"/>
        </w:rPr>
        <w:t>ОВЗ</w:t>
      </w:r>
      <w:r w:rsidRPr="0079389A">
        <w:rPr>
          <w:rFonts w:ascii="Times New Roman" w:eastAsia="Times New Roman" w:hAnsi="Times New Roman" w:cs="Times New Roman"/>
          <w:sz w:val="28"/>
          <w:szCs w:val="28"/>
          <w:lang w:eastAsia="ru-RU"/>
        </w:rPr>
        <w:t>.</w:t>
      </w:r>
    </w:p>
    <w:p w14:paraId="16E46211" w14:textId="77777777" w:rsidR="0079389A" w:rsidRPr="0079389A" w:rsidRDefault="0079389A" w:rsidP="0079389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79389A">
        <w:rPr>
          <w:rFonts w:ascii="Times New Roman" w:eastAsia="Times New Roman" w:hAnsi="Times New Roman" w:cs="Times New Roman"/>
          <w:sz w:val="28"/>
          <w:szCs w:val="28"/>
          <w:lang w:eastAsia="ru-RU"/>
        </w:rPr>
        <w:t>Государственная итоговая аттестация по образовательным программам среднего общего образования (ЕГЭ) в 2021 г</w:t>
      </w:r>
      <w:r w:rsidR="007E7AB2">
        <w:rPr>
          <w:rFonts w:ascii="Times New Roman" w:eastAsia="Times New Roman" w:hAnsi="Times New Roman" w:cs="Times New Roman"/>
          <w:sz w:val="28"/>
          <w:szCs w:val="28"/>
          <w:lang w:eastAsia="ru-RU"/>
        </w:rPr>
        <w:t>.</w:t>
      </w:r>
      <w:r w:rsidR="005F757F">
        <w:rPr>
          <w:rFonts w:ascii="Times New Roman" w:eastAsia="Times New Roman" w:hAnsi="Times New Roman" w:cs="Times New Roman"/>
          <w:sz w:val="28"/>
          <w:szCs w:val="28"/>
          <w:lang w:eastAsia="ru-RU"/>
        </w:rPr>
        <w:t xml:space="preserve"> являлась обязательной только </w:t>
      </w:r>
      <w:r w:rsidRPr="0079389A">
        <w:rPr>
          <w:rFonts w:ascii="Times New Roman" w:eastAsia="Times New Roman" w:hAnsi="Times New Roman" w:cs="Times New Roman"/>
          <w:sz w:val="28"/>
          <w:szCs w:val="28"/>
          <w:lang w:eastAsia="ru-RU"/>
        </w:rPr>
        <w:t>для обучающихся, планировавших поступление на обучение по программам бакалавриата и программам специалитета в образовательные организации высшего образования. ЕГЭ сдавали 6 920 у</w:t>
      </w:r>
      <w:r w:rsidR="005F757F">
        <w:rPr>
          <w:rFonts w:ascii="Times New Roman" w:eastAsia="Times New Roman" w:hAnsi="Times New Roman" w:cs="Times New Roman"/>
          <w:sz w:val="28"/>
          <w:szCs w:val="28"/>
          <w:lang w:eastAsia="ru-RU"/>
        </w:rPr>
        <w:t xml:space="preserve">частников из числа обучающихся </w:t>
      </w:r>
      <w:r w:rsidRPr="0079389A">
        <w:rPr>
          <w:rFonts w:ascii="Times New Roman" w:eastAsia="Times New Roman" w:hAnsi="Times New Roman" w:cs="Times New Roman"/>
          <w:sz w:val="28"/>
          <w:szCs w:val="28"/>
          <w:lang w:eastAsia="ru-RU"/>
        </w:rPr>
        <w:t xml:space="preserve">с </w:t>
      </w:r>
      <w:r w:rsidR="005F757F">
        <w:rPr>
          <w:rFonts w:ascii="Times New Roman" w:eastAsia="Times New Roman" w:hAnsi="Times New Roman" w:cs="Times New Roman"/>
          <w:bCs/>
          <w:sz w:val="28"/>
          <w:szCs w:val="28"/>
          <w:lang w:eastAsia="ru-RU"/>
        </w:rPr>
        <w:t>ОВЗ</w:t>
      </w:r>
      <w:r w:rsidRPr="0079389A">
        <w:rPr>
          <w:rFonts w:ascii="Times New Roman" w:eastAsia="Times New Roman" w:hAnsi="Times New Roman" w:cs="Times New Roman"/>
          <w:sz w:val="28"/>
          <w:szCs w:val="28"/>
          <w:lang w:eastAsia="ru-RU"/>
        </w:rPr>
        <w:t>.</w:t>
      </w:r>
    </w:p>
    <w:p w14:paraId="5292DF45" w14:textId="77777777" w:rsidR="0079389A" w:rsidRPr="0079389A" w:rsidRDefault="0079389A" w:rsidP="003D4FBC">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79389A">
        <w:rPr>
          <w:rFonts w:ascii="Times New Roman" w:eastAsia="Times New Roman" w:hAnsi="Times New Roman" w:cs="Times New Roman"/>
          <w:sz w:val="28"/>
          <w:szCs w:val="28"/>
          <w:lang w:eastAsia="ru-RU"/>
        </w:rPr>
        <w:t>В 2021 г</w:t>
      </w:r>
      <w:r w:rsidR="00883614">
        <w:rPr>
          <w:rFonts w:ascii="Times New Roman" w:eastAsia="Times New Roman" w:hAnsi="Times New Roman" w:cs="Times New Roman"/>
          <w:sz w:val="28"/>
          <w:szCs w:val="28"/>
          <w:lang w:eastAsia="ru-RU"/>
        </w:rPr>
        <w:t>.</w:t>
      </w:r>
      <w:r w:rsidRPr="0079389A">
        <w:rPr>
          <w:rFonts w:ascii="Times New Roman" w:eastAsia="Times New Roman" w:hAnsi="Times New Roman" w:cs="Times New Roman"/>
          <w:sz w:val="28"/>
          <w:szCs w:val="28"/>
          <w:lang w:eastAsia="ru-RU"/>
        </w:rPr>
        <w:t xml:space="preserve"> обучение и психолого-педагогическое сопровождение обучающихся с </w:t>
      </w:r>
      <w:r w:rsidR="00D76289">
        <w:rPr>
          <w:rFonts w:ascii="Times New Roman" w:eastAsia="Times New Roman" w:hAnsi="Times New Roman" w:cs="Times New Roman"/>
          <w:sz w:val="28"/>
          <w:szCs w:val="28"/>
          <w:lang w:eastAsia="ru-RU"/>
        </w:rPr>
        <w:t>инвалидностью</w:t>
      </w:r>
      <w:r w:rsidR="00D76289">
        <w:rPr>
          <w:rFonts w:ascii="Times New Roman" w:eastAsia="Times New Roman" w:hAnsi="Times New Roman" w:cs="Times New Roman"/>
          <w:bCs/>
          <w:sz w:val="28"/>
          <w:szCs w:val="28"/>
          <w:lang w:eastAsia="ru-RU"/>
        </w:rPr>
        <w:t xml:space="preserve"> и </w:t>
      </w:r>
      <w:r w:rsidR="001D1D20">
        <w:rPr>
          <w:rFonts w:ascii="Times New Roman" w:eastAsia="Times New Roman" w:hAnsi="Times New Roman" w:cs="Times New Roman"/>
          <w:bCs/>
          <w:sz w:val="28"/>
          <w:szCs w:val="28"/>
          <w:lang w:eastAsia="ru-RU"/>
        </w:rPr>
        <w:t>ОВЗ</w:t>
      </w:r>
      <w:r w:rsidR="001D1D20">
        <w:rPr>
          <w:rFonts w:ascii="Times New Roman" w:eastAsia="Times New Roman" w:hAnsi="Times New Roman" w:cs="Times New Roman"/>
          <w:sz w:val="28"/>
          <w:szCs w:val="28"/>
          <w:lang w:eastAsia="ru-RU"/>
        </w:rPr>
        <w:t xml:space="preserve"> </w:t>
      </w:r>
      <w:r w:rsidRPr="0079389A">
        <w:rPr>
          <w:rFonts w:ascii="Times New Roman" w:eastAsia="Times New Roman" w:hAnsi="Times New Roman" w:cs="Times New Roman"/>
          <w:sz w:val="28"/>
          <w:szCs w:val="28"/>
          <w:lang w:eastAsia="ru-RU"/>
        </w:rPr>
        <w:t>в организациях, осуществляющи</w:t>
      </w:r>
      <w:r w:rsidR="001D1D20">
        <w:rPr>
          <w:rFonts w:ascii="Times New Roman" w:eastAsia="Times New Roman" w:hAnsi="Times New Roman" w:cs="Times New Roman"/>
          <w:sz w:val="28"/>
          <w:szCs w:val="28"/>
          <w:lang w:eastAsia="ru-RU"/>
        </w:rPr>
        <w:t xml:space="preserve">х образовательную деятельность </w:t>
      </w:r>
      <w:r w:rsidRPr="0079389A">
        <w:rPr>
          <w:rFonts w:ascii="Times New Roman" w:eastAsia="Times New Roman" w:hAnsi="Times New Roman" w:cs="Times New Roman"/>
          <w:sz w:val="28"/>
          <w:szCs w:val="28"/>
          <w:lang w:eastAsia="ru-RU"/>
        </w:rPr>
        <w:t>по образовательным программам д</w:t>
      </w:r>
      <w:r w:rsidR="001D1D20">
        <w:rPr>
          <w:rFonts w:ascii="Times New Roman" w:eastAsia="Times New Roman" w:hAnsi="Times New Roman" w:cs="Times New Roman"/>
          <w:sz w:val="28"/>
          <w:szCs w:val="28"/>
          <w:lang w:eastAsia="ru-RU"/>
        </w:rPr>
        <w:t xml:space="preserve">ошкольного, начального общего, </w:t>
      </w:r>
      <w:r w:rsidRPr="0079389A">
        <w:rPr>
          <w:rFonts w:ascii="Times New Roman" w:eastAsia="Times New Roman" w:hAnsi="Times New Roman" w:cs="Times New Roman"/>
          <w:sz w:val="28"/>
          <w:szCs w:val="28"/>
          <w:lang w:eastAsia="ru-RU"/>
        </w:rPr>
        <w:t>основного общего, среднего общего обр</w:t>
      </w:r>
      <w:r w:rsidR="001D1D20">
        <w:rPr>
          <w:rFonts w:ascii="Times New Roman" w:eastAsia="Times New Roman" w:hAnsi="Times New Roman" w:cs="Times New Roman"/>
          <w:sz w:val="28"/>
          <w:szCs w:val="28"/>
          <w:lang w:eastAsia="ru-RU"/>
        </w:rPr>
        <w:t xml:space="preserve">азования, осуществляли: 13 040 </w:t>
      </w:r>
      <w:r w:rsidRPr="0079389A">
        <w:rPr>
          <w:rFonts w:ascii="Times New Roman" w:eastAsia="Times New Roman" w:hAnsi="Times New Roman" w:cs="Times New Roman"/>
          <w:sz w:val="28"/>
          <w:szCs w:val="28"/>
          <w:lang w:eastAsia="ru-RU"/>
        </w:rPr>
        <w:t>учителей-дефектологов (из них 6 </w:t>
      </w:r>
      <w:r w:rsidR="000845F6">
        <w:rPr>
          <w:rFonts w:ascii="Times New Roman" w:eastAsia="Times New Roman" w:hAnsi="Times New Roman" w:cs="Times New Roman"/>
          <w:sz w:val="28"/>
          <w:szCs w:val="28"/>
          <w:lang w:eastAsia="ru-RU"/>
        </w:rPr>
        <w:t>870</w:t>
      </w:r>
      <w:r w:rsidRPr="0079389A">
        <w:rPr>
          <w:rFonts w:ascii="Times New Roman" w:eastAsia="Times New Roman" w:hAnsi="Times New Roman" w:cs="Times New Roman"/>
          <w:sz w:val="28"/>
          <w:szCs w:val="28"/>
          <w:lang w:eastAsia="ru-RU"/>
        </w:rPr>
        <w:t xml:space="preserve"> – в дошкольных образовательных организациях), </w:t>
      </w:r>
      <w:r w:rsidR="00883614">
        <w:rPr>
          <w:rFonts w:ascii="Times New Roman" w:eastAsia="Times New Roman" w:hAnsi="Times New Roman" w:cs="Times New Roman"/>
          <w:sz w:val="28"/>
          <w:szCs w:val="28"/>
          <w:lang w:eastAsia="ru-RU"/>
        </w:rPr>
        <w:br/>
      </w:r>
      <w:r w:rsidRPr="0079389A">
        <w:rPr>
          <w:rFonts w:ascii="Times New Roman" w:eastAsia="Times New Roman" w:hAnsi="Times New Roman" w:cs="Times New Roman"/>
          <w:sz w:val="28"/>
          <w:szCs w:val="28"/>
          <w:lang w:eastAsia="ru-RU"/>
        </w:rPr>
        <w:t>53 008 учителей-логопедов (из них 3</w:t>
      </w:r>
      <w:r w:rsidR="000845F6">
        <w:rPr>
          <w:rFonts w:ascii="Times New Roman" w:eastAsia="Times New Roman" w:hAnsi="Times New Roman" w:cs="Times New Roman"/>
          <w:sz w:val="28"/>
          <w:szCs w:val="28"/>
          <w:lang w:eastAsia="ru-RU"/>
        </w:rPr>
        <w:t>6</w:t>
      </w:r>
      <w:r w:rsidRPr="0079389A">
        <w:rPr>
          <w:rFonts w:ascii="Times New Roman" w:eastAsia="Times New Roman" w:hAnsi="Times New Roman" w:cs="Times New Roman"/>
          <w:sz w:val="28"/>
          <w:szCs w:val="28"/>
          <w:lang w:eastAsia="ru-RU"/>
        </w:rPr>
        <w:t> </w:t>
      </w:r>
      <w:r w:rsidR="000845F6">
        <w:rPr>
          <w:rFonts w:ascii="Times New Roman" w:eastAsia="Times New Roman" w:hAnsi="Times New Roman" w:cs="Times New Roman"/>
          <w:sz w:val="28"/>
          <w:szCs w:val="28"/>
          <w:lang w:eastAsia="ru-RU"/>
        </w:rPr>
        <w:t>58</w:t>
      </w:r>
      <w:r w:rsidRPr="0079389A">
        <w:rPr>
          <w:rFonts w:ascii="Times New Roman" w:eastAsia="Times New Roman" w:hAnsi="Times New Roman" w:cs="Times New Roman"/>
          <w:sz w:val="28"/>
          <w:szCs w:val="28"/>
          <w:lang w:eastAsia="ru-RU"/>
        </w:rPr>
        <w:t xml:space="preserve">9 – в дошкольных образовательных организациях), 47 411 педагогов-психологов (из </w:t>
      </w:r>
      <w:r w:rsidR="001D1D20">
        <w:rPr>
          <w:rFonts w:ascii="Times New Roman" w:eastAsia="Times New Roman" w:hAnsi="Times New Roman" w:cs="Times New Roman"/>
          <w:sz w:val="28"/>
          <w:szCs w:val="28"/>
          <w:lang w:eastAsia="ru-RU"/>
        </w:rPr>
        <w:t xml:space="preserve">них </w:t>
      </w:r>
      <w:r w:rsidR="000845F6">
        <w:rPr>
          <w:rFonts w:ascii="Times New Roman" w:eastAsia="Times New Roman" w:hAnsi="Times New Roman" w:cs="Times New Roman"/>
          <w:sz w:val="28"/>
          <w:szCs w:val="28"/>
          <w:lang w:eastAsia="ru-RU"/>
        </w:rPr>
        <w:t>19</w:t>
      </w:r>
      <w:r w:rsidR="001D1D20">
        <w:rPr>
          <w:rFonts w:ascii="Times New Roman" w:eastAsia="Times New Roman" w:hAnsi="Times New Roman" w:cs="Times New Roman"/>
          <w:sz w:val="28"/>
          <w:szCs w:val="28"/>
          <w:lang w:eastAsia="ru-RU"/>
        </w:rPr>
        <w:t> </w:t>
      </w:r>
      <w:r w:rsidR="000845F6">
        <w:rPr>
          <w:rFonts w:ascii="Times New Roman" w:eastAsia="Times New Roman" w:hAnsi="Times New Roman" w:cs="Times New Roman"/>
          <w:sz w:val="28"/>
          <w:szCs w:val="28"/>
          <w:lang w:eastAsia="ru-RU"/>
        </w:rPr>
        <w:t>287</w:t>
      </w:r>
      <w:r w:rsidR="001D1D20">
        <w:rPr>
          <w:rFonts w:ascii="Times New Roman" w:eastAsia="Times New Roman" w:hAnsi="Times New Roman" w:cs="Times New Roman"/>
          <w:sz w:val="28"/>
          <w:szCs w:val="28"/>
          <w:lang w:eastAsia="ru-RU"/>
        </w:rPr>
        <w:t xml:space="preserve"> – </w:t>
      </w:r>
      <w:r w:rsidRPr="0079389A">
        <w:rPr>
          <w:rFonts w:ascii="Times New Roman" w:eastAsia="Times New Roman" w:hAnsi="Times New Roman" w:cs="Times New Roman"/>
          <w:sz w:val="28"/>
          <w:szCs w:val="28"/>
          <w:lang w:eastAsia="ru-RU"/>
        </w:rPr>
        <w:t>в дошкольных образовательных организациях</w:t>
      </w:r>
      <w:r w:rsidR="001D1D20">
        <w:rPr>
          <w:rFonts w:ascii="Times New Roman" w:eastAsia="Times New Roman" w:hAnsi="Times New Roman" w:cs="Times New Roman"/>
          <w:sz w:val="28"/>
          <w:szCs w:val="28"/>
          <w:lang w:eastAsia="ru-RU"/>
        </w:rPr>
        <w:t xml:space="preserve">), 20 337 социальных педагогов </w:t>
      </w:r>
      <w:r w:rsidRPr="0079389A">
        <w:rPr>
          <w:rFonts w:ascii="Times New Roman" w:eastAsia="Times New Roman" w:hAnsi="Times New Roman" w:cs="Times New Roman"/>
          <w:sz w:val="28"/>
          <w:szCs w:val="28"/>
          <w:lang w:eastAsia="ru-RU"/>
        </w:rPr>
        <w:t>(из них 1 49</w:t>
      </w:r>
      <w:r w:rsidR="000845F6">
        <w:rPr>
          <w:rFonts w:ascii="Times New Roman" w:eastAsia="Times New Roman" w:hAnsi="Times New Roman" w:cs="Times New Roman"/>
          <w:sz w:val="28"/>
          <w:szCs w:val="28"/>
          <w:lang w:eastAsia="ru-RU"/>
        </w:rPr>
        <w:t>1</w:t>
      </w:r>
      <w:r w:rsidRPr="0079389A">
        <w:rPr>
          <w:rFonts w:ascii="Times New Roman" w:eastAsia="Times New Roman" w:hAnsi="Times New Roman" w:cs="Times New Roman"/>
          <w:sz w:val="28"/>
          <w:szCs w:val="28"/>
          <w:lang w:eastAsia="ru-RU"/>
        </w:rPr>
        <w:t xml:space="preserve"> – в дошкольных образовательных </w:t>
      </w:r>
      <w:r w:rsidR="001D1D20">
        <w:rPr>
          <w:rFonts w:ascii="Times New Roman" w:eastAsia="Times New Roman" w:hAnsi="Times New Roman" w:cs="Times New Roman"/>
          <w:sz w:val="28"/>
          <w:szCs w:val="28"/>
          <w:lang w:eastAsia="ru-RU"/>
        </w:rPr>
        <w:t xml:space="preserve">организациях), 6 295 </w:t>
      </w:r>
      <w:proofErr w:type="spellStart"/>
      <w:r w:rsidR="001D1D20">
        <w:rPr>
          <w:rFonts w:ascii="Times New Roman" w:eastAsia="Times New Roman" w:hAnsi="Times New Roman" w:cs="Times New Roman"/>
          <w:sz w:val="28"/>
          <w:szCs w:val="28"/>
          <w:lang w:eastAsia="ru-RU"/>
        </w:rPr>
        <w:t>тьюторов</w:t>
      </w:r>
      <w:proofErr w:type="spellEnd"/>
      <w:r w:rsidR="001D1D20">
        <w:rPr>
          <w:rFonts w:ascii="Times New Roman" w:eastAsia="Times New Roman" w:hAnsi="Times New Roman" w:cs="Times New Roman"/>
          <w:sz w:val="28"/>
          <w:szCs w:val="28"/>
          <w:lang w:eastAsia="ru-RU"/>
        </w:rPr>
        <w:t xml:space="preserve">, </w:t>
      </w:r>
      <w:r w:rsidRPr="0079389A">
        <w:rPr>
          <w:rFonts w:ascii="Times New Roman" w:eastAsia="Times New Roman" w:hAnsi="Times New Roman" w:cs="Times New Roman"/>
          <w:sz w:val="28"/>
          <w:szCs w:val="28"/>
          <w:lang w:eastAsia="ru-RU"/>
        </w:rPr>
        <w:t xml:space="preserve">а также </w:t>
      </w:r>
      <w:r w:rsidR="00883614">
        <w:rPr>
          <w:rFonts w:ascii="Times New Roman" w:eastAsia="Times New Roman" w:hAnsi="Times New Roman" w:cs="Times New Roman"/>
          <w:sz w:val="28"/>
          <w:szCs w:val="28"/>
          <w:lang w:eastAsia="ru-RU"/>
        </w:rPr>
        <w:br/>
      </w:r>
      <w:r w:rsidR="003D4FBC">
        <w:rPr>
          <w:rFonts w:ascii="Times New Roman" w:eastAsia="Times New Roman" w:hAnsi="Times New Roman" w:cs="Times New Roman"/>
          <w:sz w:val="28"/>
          <w:szCs w:val="28"/>
          <w:lang w:eastAsia="ru-RU"/>
        </w:rPr>
        <w:t xml:space="preserve">1043 ассистентов (помощников). </w:t>
      </w:r>
      <w:r w:rsidRPr="0079389A">
        <w:rPr>
          <w:rFonts w:ascii="Times New Roman" w:eastAsia="Times New Roman" w:hAnsi="Times New Roman" w:cs="Times New Roman"/>
          <w:sz w:val="28"/>
          <w:szCs w:val="28"/>
          <w:lang w:eastAsia="ru-RU"/>
        </w:rPr>
        <w:t>По сравнению с 2020 г</w:t>
      </w:r>
      <w:r w:rsidR="00883614">
        <w:rPr>
          <w:rFonts w:ascii="Times New Roman" w:eastAsia="Times New Roman" w:hAnsi="Times New Roman" w:cs="Times New Roman"/>
          <w:sz w:val="28"/>
          <w:szCs w:val="28"/>
          <w:lang w:eastAsia="ru-RU"/>
        </w:rPr>
        <w:t>.</w:t>
      </w:r>
      <w:r w:rsidRPr="0079389A">
        <w:rPr>
          <w:rFonts w:ascii="Times New Roman" w:eastAsia="Times New Roman" w:hAnsi="Times New Roman" w:cs="Times New Roman"/>
          <w:sz w:val="28"/>
          <w:szCs w:val="28"/>
          <w:lang w:eastAsia="ru-RU"/>
        </w:rPr>
        <w:t xml:space="preserve"> численность специалистов, осуществляющих психолого-педагогическо</w:t>
      </w:r>
      <w:r w:rsidR="003D4FBC">
        <w:rPr>
          <w:rFonts w:ascii="Times New Roman" w:eastAsia="Times New Roman" w:hAnsi="Times New Roman" w:cs="Times New Roman"/>
          <w:sz w:val="28"/>
          <w:szCs w:val="28"/>
          <w:lang w:eastAsia="ru-RU"/>
        </w:rPr>
        <w:t>е</w:t>
      </w:r>
      <w:r w:rsidRPr="0079389A">
        <w:rPr>
          <w:rFonts w:ascii="Times New Roman" w:eastAsia="Times New Roman" w:hAnsi="Times New Roman" w:cs="Times New Roman"/>
          <w:sz w:val="28"/>
          <w:szCs w:val="28"/>
          <w:lang w:eastAsia="ru-RU"/>
        </w:rPr>
        <w:t xml:space="preserve"> сопровождение, увеличилась незначительно.</w:t>
      </w:r>
    </w:p>
    <w:p w14:paraId="678C43A3" w14:textId="77777777" w:rsidR="0079389A" w:rsidRPr="0079389A" w:rsidRDefault="0079389A" w:rsidP="0079389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79389A">
        <w:rPr>
          <w:rFonts w:ascii="Times New Roman" w:eastAsia="Times New Roman" w:hAnsi="Times New Roman" w:cs="Times New Roman"/>
          <w:sz w:val="28"/>
          <w:szCs w:val="28"/>
          <w:lang w:eastAsia="ru-RU"/>
        </w:rPr>
        <w:t>Вместе с тем потребность в квалифицированных кадрах дефектологического профиля в 2021 г</w:t>
      </w:r>
      <w:r w:rsidR="00883614">
        <w:rPr>
          <w:rFonts w:ascii="Times New Roman" w:eastAsia="Times New Roman" w:hAnsi="Times New Roman" w:cs="Times New Roman"/>
          <w:sz w:val="28"/>
          <w:szCs w:val="28"/>
          <w:lang w:eastAsia="ru-RU"/>
        </w:rPr>
        <w:t>.</w:t>
      </w:r>
      <w:r w:rsidRPr="0079389A">
        <w:rPr>
          <w:rFonts w:ascii="Times New Roman" w:eastAsia="Times New Roman" w:hAnsi="Times New Roman" w:cs="Times New Roman"/>
          <w:sz w:val="28"/>
          <w:szCs w:val="28"/>
          <w:lang w:eastAsia="ru-RU"/>
        </w:rPr>
        <w:t xml:space="preserve"> составляла 8,9 тыс. спе</w:t>
      </w:r>
      <w:r w:rsidR="00DC1FD5">
        <w:rPr>
          <w:rFonts w:ascii="Times New Roman" w:eastAsia="Times New Roman" w:hAnsi="Times New Roman" w:cs="Times New Roman"/>
          <w:sz w:val="28"/>
          <w:szCs w:val="28"/>
          <w:lang w:eastAsia="ru-RU"/>
        </w:rPr>
        <w:t xml:space="preserve">циалистов и будет сохраняться </w:t>
      </w:r>
      <w:r w:rsidRPr="0079389A">
        <w:rPr>
          <w:rFonts w:ascii="Times New Roman" w:eastAsia="Times New Roman" w:hAnsi="Times New Roman" w:cs="Times New Roman"/>
          <w:sz w:val="28"/>
          <w:szCs w:val="28"/>
          <w:lang w:eastAsia="ru-RU"/>
        </w:rPr>
        <w:t>на высоком уровне ближайшие годы. Так</w:t>
      </w:r>
      <w:r w:rsidR="00DC1FD5">
        <w:rPr>
          <w:rFonts w:ascii="Times New Roman" w:eastAsia="Times New Roman" w:hAnsi="Times New Roman" w:cs="Times New Roman"/>
          <w:sz w:val="28"/>
          <w:szCs w:val="28"/>
          <w:lang w:eastAsia="ru-RU"/>
        </w:rPr>
        <w:t>,</w:t>
      </w:r>
      <w:r w:rsidRPr="0079389A">
        <w:rPr>
          <w:rFonts w:ascii="Times New Roman" w:eastAsia="Times New Roman" w:hAnsi="Times New Roman" w:cs="Times New Roman"/>
          <w:sz w:val="28"/>
          <w:szCs w:val="28"/>
          <w:lang w:eastAsia="ru-RU"/>
        </w:rPr>
        <w:t xml:space="preserve"> прогнозная потребность в специалистах указанного профиля в 2022 г</w:t>
      </w:r>
      <w:r w:rsidR="00883614">
        <w:rPr>
          <w:rFonts w:ascii="Times New Roman" w:eastAsia="Times New Roman" w:hAnsi="Times New Roman" w:cs="Times New Roman"/>
          <w:sz w:val="28"/>
          <w:szCs w:val="28"/>
          <w:lang w:eastAsia="ru-RU"/>
        </w:rPr>
        <w:t>.</w:t>
      </w:r>
      <w:r w:rsidRPr="0079389A">
        <w:rPr>
          <w:rFonts w:ascii="Times New Roman" w:eastAsia="Times New Roman" w:hAnsi="Times New Roman" w:cs="Times New Roman"/>
          <w:sz w:val="28"/>
          <w:szCs w:val="28"/>
          <w:lang w:eastAsia="ru-RU"/>
        </w:rPr>
        <w:t xml:space="preserve"> </w:t>
      </w:r>
      <w:r w:rsidR="00DC1FD5">
        <w:rPr>
          <w:rFonts w:ascii="Times New Roman" w:eastAsia="Times New Roman" w:hAnsi="Times New Roman" w:cs="Times New Roman"/>
          <w:sz w:val="28"/>
          <w:szCs w:val="28"/>
          <w:lang w:eastAsia="ru-RU"/>
        </w:rPr>
        <w:t>составляет</w:t>
      </w:r>
      <w:r w:rsidRPr="0079389A">
        <w:rPr>
          <w:rFonts w:ascii="Times New Roman" w:eastAsia="Times New Roman" w:hAnsi="Times New Roman" w:cs="Times New Roman"/>
          <w:sz w:val="28"/>
          <w:szCs w:val="28"/>
          <w:lang w:eastAsia="ru-RU"/>
        </w:rPr>
        <w:t xml:space="preserve"> 15,9 тыс. человек.</w:t>
      </w:r>
    </w:p>
    <w:p w14:paraId="0B0BC1CC" w14:textId="77777777" w:rsidR="0079389A" w:rsidRPr="0079389A" w:rsidRDefault="0079389A" w:rsidP="0079389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79389A">
        <w:rPr>
          <w:rFonts w:ascii="Times New Roman" w:eastAsia="Times New Roman" w:hAnsi="Times New Roman" w:cs="Times New Roman"/>
          <w:sz w:val="28"/>
          <w:szCs w:val="28"/>
          <w:lang w:eastAsia="ru-RU"/>
        </w:rPr>
        <w:t xml:space="preserve">В настоящее время </w:t>
      </w:r>
      <w:r w:rsidR="00DC1FD5" w:rsidRPr="0079389A">
        <w:rPr>
          <w:rFonts w:ascii="Times New Roman" w:eastAsia="Times New Roman" w:hAnsi="Times New Roman" w:cs="Times New Roman"/>
          <w:sz w:val="28"/>
          <w:szCs w:val="28"/>
          <w:lang w:eastAsia="ru-RU"/>
        </w:rPr>
        <w:t xml:space="preserve">20 800 человек </w:t>
      </w:r>
      <w:r w:rsidR="00DC1FD5">
        <w:rPr>
          <w:rFonts w:ascii="Times New Roman" w:eastAsia="Times New Roman" w:hAnsi="Times New Roman" w:cs="Times New Roman"/>
          <w:sz w:val="28"/>
          <w:szCs w:val="28"/>
          <w:lang w:eastAsia="ru-RU"/>
        </w:rPr>
        <w:t>обучается</w:t>
      </w:r>
      <w:r w:rsidRPr="0079389A">
        <w:rPr>
          <w:rFonts w:ascii="Times New Roman" w:eastAsia="Times New Roman" w:hAnsi="Times New Roman" w:cs="Times New Roman"/>
          <w:sz w:val="28"/>
          <w:szCs w:val="28"/>
          <w:lang w:eastAsia="ru-RU"/>
        </w:rPr>
        <w:t xml:space="preserve"> в педагогических образовательных организациях высшего образования, подведомственных Минпросвещения России, по направлениям подготовки «Специальное (дефектологическое) образование»</w:t>
      </w:r>
      <w:r w:rsidR="00DC1FD5">
        <w:rPr>
          <w:rFonts w:ascii="Times New Roman" w:eastAsia="Times New Roman" w:hAnsi="Times New Roman" w:cs="Times New Roman"/>
          <w:sz w:val="28"/>
          <w:szCs w:val="28"/>
          <w:lang w:eastAsia="ru-RU"/>
        </w:rPr>
        <w:t xml:space="preserve">, </w:t>
      </w:r>
      <w:r w:rsidRPr="0079389A">
        <w:rPr>
          <w:rFonts w:ascii="Times New Roman" w:eastAsia="Times New Roman" w:hAnsi="Times New Roman" w:cs="Times New Roman"/>
          <w:sz w:val="28"/>
          <w:szCs w:val="28"/>
          <w:lang w:eastAsia="ru-RU"/>
        </w:rPr>
        <w:t xml:space="preserve">4 038 человек завершили </w:t>
      </w:r>
      <w:r w:rsidR="00DC1FD5">
        <w:rPr>
          <w:rFonts w:ascii="Times New Roman" w:eastAsia="Times New Roman" w:hAnsi="Times New Roman" w:cs="Times New Roman"/>
          <w:sz w:val="28"/>
          <w:szCs w:val="28"/>
          <w:lang w:eastAsia="ru-RU"/>
        </w:rPr>
        <w:t xml:space="preserve">свое </w:t>
      </w:r>
      <w:r w:rsidRPr="0079389A">
        <w:rPr>
          <w:rFonts w:ascii="Times New Roman" w:eastAsia="Times New Roman" w:hAnsi="Times New Roman" w:cs="Times New Roman"/>
          <w:sz w:val="28"/>
          <w:szCs w:val="28"/>
          <w:lang w:eastAsia="ru-RU"/>
        </w:rPr>
        <w:t>обучение</w:t>
      </w:r>
      <w:r w:rsidR="00DC1FD5">
        <w:rPr>
          <w:rFonts w:ascii="Times New Roman" w:eastAsia="Times New Roman" w:hAnsi="Times New Roman" w:cs="Times New Roman"/>
          <w:sz w:val="28"/>
          <w:szCs w:val="28"/>
          <w:lang w:eastAsia="ru-RU"/>
        </w:rPr>
        <w:t xml:space="preserve"> в 2021 г</w:t>
      </w:r>
      <w:r w:rsidRPr="0079389A">
        <w:rPr>
          <w:rFonts w:ascii="Times New Roman" w:eastAsia="Times New Roman" w:hAnsi="Times New Roman" w:cs="Times New Roman"/>
          <w:sz w:val="28"/>
          <w:szCs w:val="28"/>
          <w:lang w:eastAsia="ru-RU"/>
        </w:rPr>
        <w:t>.</w:t>
      </w:r>
    </w:p>
    <w:p w14:paraId="5D167311" w14:textId="77777777" w:rsidR="0079389A" w:rsidRPr="0079389A" w:rsidRDefault="0079389A" w:rsidP="0079389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79389A">
        <w:rPr>
          <w:rFonts w:ascii="Times New Roman" w:eastAsia="Times New Roman" w:hAnsi="Times New Roman" w:cs="Times New Roman"/>
          <w:sz w:val="28"/>
          <w:szCs w:val="28"/>
          <w:lang w:eastAsia="ru-RU"/>
        </w:rPr>
        <w:t>В целях обеспечения непрерывного про</w:t>
      </w:r>
      <w:r w:rsidR="00DC1FD5">
        <w:rPr>
          <w:rFonts w:ascii="Times New Roman" w:eastAsia="Times New Roman" w:hAnsi="Times New Roman" w:cs="Times New Roman"/>
          <w:sz w:val="28"/>
          <w:szCs w:val="28"/>
          <w:lang w:eastAsia="ru-RU"/>
        </w:rPr>
        <w:t xml:space="preserve">фессионального роста педагогов </w:t>
      </w:r>
      <w:r w:rsidRPr="0079389A">
        <w:rPr>
          <w:rFonts w:ascii="Times New Roman" w:eastAsia="Times New Roman" w:hAnsi="Times New Roman" w:cs="Times New Roman"/>
          <w:sz w:val="28"/>
          <w:szCs w:val="28"/>
          <w:lang w:eastAsia="ru-RU"/>
        </w:rPr>
        <w:t xml:space="preserve">и специалистов по работе с детьми с </w:t>
      </w:r>
      <w:r w:rsidR="00D76289" w:rsidRPr="0079389A">
        <w:rPr>
          <w:rFonts w:ascii="Times New Roman" w:eastAsia="Times New Roman" w:hAnsi="Times New Roman" w:cs="Times New Roman"/>
          <w:sz w:val="28"/>
          <w:szCs w:val="28"/>
          <w:lang w:eastAsia="ru-RU"/>
        </w:rPr>
        <w:t>инвалидностью</w:t>
      </w:r>
      <w:r w:rsidR="00D76289">
        <w:rPr>
          <w:rFonts w:ascii="Times New Roman" w:eastAsia="Times New Roman" w:hAnsi="Times New Roman" w:cs="Times New Roman"/>
          <w:bCs/>
          <w:sz w:val="28"/>
          <w:szCs w:val="28"/>
          <w:lang w:eastAsia="ru-RU"/>
        </w:rPr>
        <w:t xml:space="preserve"> и </w:t>
      </w:r>
      <w:r w:rsidR="00DC1FD5">
        <w:rPr>
          <w:rFonts w:ascii="Times New Roman" w:eastAsia="Times New Roman" w:hAnsi="Times New Roman" w:cs="Times New Roman"/>
          <w:bCs/>
          <w:sz w:val="28"/>
          <w:szCs w:val="28"/>
          <w:lang w:eastAsia="ru-RU"/>
        </w:rPr>
        <w:t>ОВЗ</w:t>
      </w:r>
      <w:r w:rsidR="00D76289">
        <w:rPr>
          <w:rFonts w:ascii="Times New Roman" w:eastAsia="Times New Roman" w:hAnsi="Times New Roman" w:cs="Times New Roman"/>
          <w:bCs/>
          <w:sz w:val="28"/>
          <w:szCs w:val="28"/>
          <w:lang w:eastAsia="ru-RU"/>
        </w:rPr>
        <w:t xml:space="preserve"> </w:t>
      </w:r>
      <w:r w:rsidR="00D76289">
        <w:rPr>
          <w:rFonts w:ascii="Times New Roman" w:eastAsia="Times New Roman" w:hAnsi="Times New Roman" w:cs="Times New Roman"/>
          <w:sz w:val="28"/>
          <w:szCs w:val="28"/>
          <w:lang w:eastAsia="ru-RU"/>
        </w:rPr>
        <w:t>за</w:t>
      </w:r>
      <w:r w:rsidRPr="0079389A">
        <w:rPr>
          <w:rFonts w:ascii="Times New Roman" w:eastAsia="Times New Roman" w:hAnsi="Times New Roman" w:cs="Times New Roman"/>
          <w:sz w:val="28"/>
          <w:szCs w:val="28"/>
          <w:lang w:eastAsia="ru-RU"/>
        </w:rPr>
        <w:t xml:space="preserve"> счет федерал</w:t>
      </w:r>
      <w:r w:rsidR="00DC1FD5">
        <w:rPr>
          <w:rFonts w:ascii="Times New Roman" w:eastAsia="Times New Roman" w:hAnsi="Times New Roman" w:cs="Times New Roman"/>
          <w:sz w:val="28"/>
          <w:szCs w:val="28"/>
          <w:lang w:eastAsia="ru-RU"/>
        </w:rPr>
        <w:t>ьных средств в 2021 г</w:t>
      </w:r>
      <w:r w:rsidR="00A40CE3">
        <w:rPr>
          <w:rFonts w:ascii="Times New Roman" w:eastAsia="Times New Roman" w:hAnsi="Times New Roman" w:cs="Times New Roman"/>
          <w:sz w:val="28"/>
          <w:szCs w:val="28"/>
          <w:lang w:eastAsia="ru-RU"/>
        </w:rPr>
        <w:t>.</w:t>
      </w:r>
      <w:r w:rsidR="00DC1FD5">
        <w:rPr>
          <w:rFonts w:ascii="Times New Roman" w:eastAsia="Times New Roman" w:hAnsi="Times New Roman" w:cs="Times New Roman"/>
          <w:sz w:val="28"/>
          <w:szCs w:val="28"/>
          <w:lang w:eastAsia="ru-RU"/>
        </w:rPr>
        <w:t xml:space="preserve"> курсы </w:t>
      </w:r>
      <w:r w:rsidRPr="0079389A">
        <w:rPr>
          <w:rFonts w:ascii="Times New Roman" w:eastAsia="Times New Roman" w:hAnsi="Times New Roman" w:cs="Times New Roman"/>
          <w:sz w:val="28"/>
          <w:szCs w:val="28"/>
          <w:lang w:eastAsia="ru-RU"/>
        </w:rPr>
        <w:t xml:space="preserve">повышения квалификации проведены для более </w:t>
      </w:r>
      <w:r w:rsidR="00A40CE3">
        <w:rPr>
          <w:rFonts w:ascii="Times New Roman" w:eastAsia="Times New Roman" w:hAnsi="Times New Roman" w:cs="Times New Roman"/>
          <w:sz w:val="28"/>
          <w:szCs w:val="28"/>
          <w:lang w:eastAsia="ru-RU"/>
        </w:rPr>
        <w:br/>
      </w:r>
      <w:r w:rsidRPr="0079389A">
        <w:rPr>
          <w:rFonts w:ascii="Times New Roman" w:eastAsia="Times New Roman" w:hAnsi="Times New Roman" w:cs="Times New Roman"/>
          <w:sz w:val="28"/>
          <w:szCs w:val="28"/>
          <w:lang w:eastAsia="ru-RU"/>
        </w:rPr>
        <w:t>7 000 человек (2020 г</w:t>
      </w:r>
      <w:r w:rsidR="003704DA">
        <w:rPr>
          <w:rFonts w:ascii="Times New Roman" w:eastAsia="Times New Roman" w:hAnsi="Times New Roman" w:cs="Times New Roman"/>
          <w:sz w:val="28"/>
          <w:szCs w:val="28"/>
          <w:lang w:eastAsia="ru-RU"/>
        </w:rPr>
        <w:t>. – более 13 000</w:t>
      </w:r>
      <w:r w:rsidRPr="0079389A">
        <w:rPr>
          <w:rFonts w:ascii="Times New Roman" w:eastAsia="Times New Roman" w:hAnsi="Times New Roman" w:cs="Times New Roman"/>
          <w:sz w:val="28"/>
          <w:szCs w:val="28"/>
          <w:lang w:eastAsia="ru-RU"/>
        </w:rPr>
        <w:t xml:space="preserve"> человек</w:t>
      </w:r>
      <w:r w:rsidR="003704DA">
        <w:rPr>
          <w:rFonts w:ascii="Times New Roman" w:eastAsia="Times New Roman" w:hAnsi="Times New Roman" w:cs="Times New Roman"/>
          <w:sz w:val="28"/>
          <w:szCs w:val="28"/>
          <w:lang w:eastAsia="ru-RU"/>
        </w:rPr>
        <w:t>;</w:t>
      </w:r>
      <w:r w:rsidRPr="0079389A">
        <w:rPr>
          <w:rFonts w:ascii="Times New Roman" w:eastAsia="Times New Roman" w:hAnsi="Times New Roman" w:cs="Times New Roman"/>
          <w:sz w:val="28"/>
          <w:szCs w:val="28"/>
          <w:lang w:eastAsia="ru-RU"/>
        </w:rPr>
        <w:t xml:space="preserve"> 2019 г</w:t>
      </w:r>
      <w:r w:rsidR="003704DA">
        <w:rPr>
          <w:rFonts w:ascii="Times New Roman" w:eastAsia="Times New Roman" w:hAnsi="Times New Roman" w:cs="Times New Roman"/>
          <w:sz w:val="28"/>
          <w:szCs w:val="28"/>
          <w:lang w:eastAsia="ru-RU"/>
        </w:rPr>
        <w:t>.</w:t>
      </w:r>
      <w:r w:rsidRPr="0079389A">
        <w:rPr>
          <w:rFonts w:ascii="Times New Roman" w:eastAsia="Times New Roman" w:hAnsi="Times New Roman" w:cs="Times New Roman"/>
          <w:sz w:val="28"/>
          <w:szCs w:val="28"/>
          <w:lang w:eastAsia="ru-RU"/>
        </w:rPr>
        <w:t xml:space="preserve"> – более 6 500 человек</w:t>
      </w:r>
      <w:r w:rsidR="003704DA">
        <w:rPr>
          <w:rFonts w:ascii="Times New Roman" w:eastAsia="Times New Roman" w:hAnsi="Times New Roman" w:cs="Times New Roman"/>
          <w:sz w:val="28"/>
          <w:szCs w:val="28"/>
          <w:lang w:eastAsia="ru-RU"/>
        </w:rPr>
        <w:t>;</w:t>
      </w:r>
      <w:r w:rsidRPr="0079389A">
        <w:rPr>
          <w:rFonts w:ascii="Times New Roman" w:eastAsia="Times New Roman" w:hAnsi="Times New Roman" w:cs="Times New Roman"/>
          <w:sz w:val="28"/>
          <w:szCs w:val="28"/>
          <w:lang w:eastAsia="ru-RU"/>
        </w:rPr>
        <w:t xml:space="preserve"> </w:t>
      </w:r>
      <w:r w:rsidR="00A40CE3">
        <w:rPr>
          <w:rFonts w:ascii="Times New Roman" w:eastAsia="Times New Roman" w:hAnsi="Times New Roman" w:cs="Times New Roman"/>
          <w:sz w:val="28"/>
          <w:szCs w:val="28"/>
          <w:lang w:eastAsia="ru-RU"/>
        </w:rPr>
        <w:br/>
      </w:r>
      <w:r w:rsidRPr="0079389A">
        <w:rPr>
          <w:rFonts w:ascii="Times New Roman" w:eastAsia="Times New Roman" w:hAnsi="Times New Roman" w:cs="Times New Roman"/>
          <w:sz w:val="28"/>
          <w:szCs w:val="28"/>
          <w:lang w:eastAsia="ru-RU"/>
        </w:rPr>
        <w:t>2018 г</w:t>
      </w:r>
      <w:r w:rsidR="003704DA">
        <w:rPr>
          <w:rFonts w:ascii="Times New Roman" w:eastAsia="Times New Roman" w:hAnsi="Times New Roman" w:cs="Times New Roman"/>
          <w:sz w:val="28"/>
          <w:szCs w:val="28"/>
          <w:lang w:eastAsia="ru-RU"/>
        </w:rPr>
        <w:t>.</w:t>
      </w:r>
      <w:r w:rsidRPr="0079389A">
        <w:rPr>
          <w:rFonts w:ascii="Times New Roman" w:eastAsia="Times New Roman" w:hAnsi="Times New Roman" w:cs="Times New Roman"/>
          <w:sz w:val="28"/>
          <w:szCs w:val="28"/>
          <w:lang w:eastAsia="ru-RU"/>
        </w:rPr>
        <w:t xml:space="preserve"> – более 5 000 человек) из числа руководящего, педаг</w:t>
      </w:r>
      <w:r w:rsidR="00DC1FD5">
        <w:rPr>
          <w:rFonts w:ascii="Times New Roman" w:eastAsia="Times New Roman" w:hAnsi="Times New Roman" w:cs="Times New Roman"/>
          <w:sz w:val="28"/>
          <w:szCs w:val="28"/>
          <w:lang w:eastAsia="ru-RU"/>
        </w:rPr>
        <w:t xml:space="preserve">огического и административного </w:t>
      </w:r>
      <w:r w:rsidRPr="0079389A">
        <w:rPr>
          <w:rFonts w:ascii="Times New Roman" w:eastAsia="Times New Roman" w:hAnsi="Times New Roman" w:cs="Times New Roman"/>
          <w:sz w:val="28"/>
          <w:szCs w:val="28"/>
          <w:lang w:eastAsia="ru-RU"/>
        </w:rPr>
        <w:t>персонала образовательных организаций, центров психолого-педагогической, медицинской и социальной помощи, психолого-</w:t>
      </w:r>
      <w:r w:rsidR="00DC1FD5">
        <w:rPr>
          <w:rFonts w:ascii="Times New Roman" w:eastAsia="Times New Roman" w:hAnsi="Times New Roman" w:cs="Times New Roman"/>
          <w:sz w:val="28"/>
          <w:szCs w:val="28"/>
          <w:lang w:eastAsia="ru-RU"/>
        </w:rPr>
        <w:t xml:space="preserve">медико-педагогических комиссий </w:t>
      </w:r>
      <w:r w:rsidRPr="0079389A">
        <w:rPr>
          <w:rFonts w:ascii="Times New Roman" w:eastAsia="Times New Roman" w:hAnsi="Times New Roman" w:cs="Times New Roman"/>
          <w:sz w:val="28"/>
          <w:szCs w:val="28"/>
          <w:lang w:eastAsia="ru-RU"/>
        </w:rPr>
        <w:t>и представителей органов управления образованием субъектов Российской Федерации. В иных обучающих мер</w:t>
      </w:r>
      <w:r w:rsidR="00DC1FD5">
        <w:rPr>
          <w:rFonts w:ascii="Times New Roman" w:eastAsia="Times New Roman" w:hAnsi="Times New Roman" w:cs="Times New Roman"/>
          <w:sz w:val="28"/>
          <w:szCs w:val="28"/>
          <w:lang w:eastAsia="ru-RU"/>
        </w:rPr>
        <w:t>оприятиях (</w:t>
      </w:r>
      <w:proofErr w:type="spellStart"/>
      <w:r w:rsidR="00DC1FD5">
        <w:rPr>
          <w:rFonts w:ascii="Times New Roman" w:eastAsia="Times New Roman" w:hAnsi="Times New Roman" w:cs="Times New Roman"/>
          <w:sz w:val="28"/>
          <w:szCs w:val="28"/>
          <w:lang w:eastAsia="ru-RU"/>
        </w:rPr>
        <w:t>вебинары</w:t>
      </w:r>
      <w:proofErr w:type="spellEnd"/>
      <w:r w:rsidR="00DC1FD5">
        <w:rPr>
          <w:rFonts w:ascii="Times New Roman" w:eastAsia="Times New Roman" w:hAnsi="Times New Roman" w:cs="Times New Roman"/>
          <w:sz w:val="28"/>
          <w:szCs w:val="28"/>
          <w:lang w:eastAsia="ru-RU"/>
        </w:rPr>
        <w:t xml:space="preserve">, семинары, </w:t>
      </w:r>
      <w:r w:rsidRPr="0079389A">
        <w:rPr>
          <w:rFonts w:ascii="Times New Roman" w:eastAsia="Times New Roman" w:hAnsi="Times New Roman" w:cs="Times New Roman"/>
          <w:sz w:val="28"/>
          <w:szCs w:val="28"/>
          <w:lang w:eastAsia="ru-RU"/>
        </w:rPr>
        <w:t>мастер-классы) приняли участие более 5</w:t>
      </w:r>
      <w:r w:rsidR="00DC1FD5">
        <w:rPr>
          <w:rFonts w:ascii="Times New Roman" w:eastAsia="Times New Roman" w:hAnsi="Times New Roman" w:cs="Times New Roman"/>
          <w:sz w:val="28"/>
          <w:szCs w:val="28"/>
          <w:lang w:eastAsia="ru-RU"/>
        </w:rPr>
        <w:t xml:space="preserve">6 тыс. работников образования. </w:t>
      </w:r>
      <w:r w:rsidRPr="0079389A">
        <w:rPr>
          <w:rFonts w:ascii="Times New Roman" w:eastAsia="Times New Roman" w:hAnsi="Times New Roman" w:cs="Times New Roman"/>
          <w:sz w:val="28"/>
          <w:szCs w:val="28"/>
          <w:lang w:eastAsia="ru-RU"/>
        </w:rPr>
        <w:t>Вопросы кадровой потребности обсужда</w:t>
      </w:r>
      <w:r w:rsidR="00DC1FD5">
        <w:rPr>
          <w:rFonts w:ascii="Times New Roman" w:eastAsia="Times New Roman" w:hAnsi="Times New Roman" w:cs="Times New Roman"/>
          <w:sz w:val="28"/>
          <w:szCs w:val="28"/>
          <w:lang w:eastAsia="ru-RU"/>
        </w:rPr>
        <w:t xml:space="preserve">лись на Координационном совете </w:t>
      </w:r>
      <w:r w:rsidRPr="0079389A">
        <w:rPr>
          <w:rFonts w:ascii="Times New Roman" w:eastAsia="Times New Roman" w:hAnsi="Times New Roman" w:cs="Times New Roman"/>
          <w:sz w:val="28"/>
          <w:szCs w:val="28"/>
          <w:lang w:eastAsia="ru-RU"/>
        </w:rPr>
        <w:t>при Правительстве Российской Федера</w:t>
      </w:r>
      <w:r w:rsidR="00DC1FD5">
        <w:rPr>
          <w:rFonts w:ascii="Times New Roman" w:eastAsia="Times New Roman" w:hAnsi="Times New Roman" w:cs="Times New Roman"/>
          <w:sz w:val="28"/>
          <w:szCs w:val="28"/>
          <w:lang w:eastAsia="ru-RU"/>
        </w:rPr>
        <w:t xml:space="preserve">ции по проведению в Российской </w:t>
      </w:r>
      <w:r w:rsidRPr="0079389A">
        <w:rPr>
          <w:rFonts w:ascii="Times New Roman" w:eastAsia="Times New Roman" w:hAnsi="Times New Roman" w:cs="Times New Roman"/>
          <w:sz w:val="28"/>
          <w:szCs w:val="28"/>
          <w:lang w:eastAsia="ru-RU"/>
        </w:rPr>
        <w:t xml:space="preserve">Федерации Десятилетия детства и на заседании коллегии </w:t>
      </w:r>
      <w:r w:rsidR="003704DA">
        <w:rPr>
          <w:rFonts w:ascii="Times New Roman" w:eastAsia="Times New Roman" w:hAnsi="Times New Roman" w:cs="Times New Roman"/>
          <w:sz w:val="28"/>
          <w:szCs w:val="28"/>
          <w:lang w:eastAsia="ru-RU"/>
        </w:rPr>
        <w:t>Минпросвещения России</w:t>
      </w:r>
      <w:r w:rsidRPr="0079389A">
        <w:rPr>
          <w:rFonts w:ascii="Times New Roman" w:eastAsia="Times New Roman" w:hAnsi="Times New Roman" w:cs="Times New Roman"/>
          <w:sz w:val="28"/>
          <w:szCs w:val="28"/>
          <w:lang w:eastAsia="ru-RU"/>
        </w:rPr>
        <w:t>.</w:t>
      </w:r>
    </w:p>
    <w:p w14:paraId="414949B6" w14:textId="77777777" w:rsidR="0079389A" w:rsidRPr="0079389A" w:rsidRDefault="0079389A" w:rsidP="0079389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79389A">
        <w:rPr>
          <w:rFonts w:ascii="Times New Roman" w:eastAsia="Times New Roman" w:hAnsi="Times New Roman" w:cs="Times New Roman"/>
          <w:sz w:val="28"/>
          <w:szCs w:val="28"/>
          <w:lang w:eastAsia="ru-RU"/>
        </w:rPr>
        <w:t>Качественное профессиональное образование, наличие востребованной профессии и как следствие в дальнейшем самостоятельн</w:t>
      </w:r>
      <w:r w:rsidR="003704DA">
        <w:rPr>
          <w:rFonts w:ascii="Times New Roman" w:eastAsia="Times New Roman" w:hAnsi="Times New Roman" w:cs="Times New Roman"/>
          <w:sz w:val="28"/>
          <w:szCs w:val="28"/>
          <w:lang w:eastAsia="ru-RU"/>
        </w:rPr>
        <w:t xml:space="preserve">ый заработок </w:t>
      </w:r>
      <w:r w:rsidRPr="0079389A">
        <w:rPr>
          <w:rFonts w:ascii="Times New Roman" w:eastAsia="Times New Roman" w:hAnsi="Times New Roman" w:cs="Times New Roman"/>
          <w:sz w:val="28"/>
          <w:szCs w:val="28"/>
          <w:lang w:eastAsia="ru-RU"/>
        </w:rPr>
        <w:t xml:space="preserve">для обучающихся с </w:t>
      </w:r>
      <w:r w:rsidR="00516EC1" w:rsidRPr="0079389A">
        <w:rPr>
          <w:rFonts w:ascii="Times New Roman" w:eastAsia="Times New Roman" w:hAnsi="Times New Roman" w:cs="Times New Roman"/>
          <w:sz w:val="28"/>
          <w:szCs w:val="28"/>
          <w:lang w:eastAsia="ru-RU"/>
        </w:rPr>
        <w:t>инвалидностью</w:t>
      </w:r>
      <w:r w:rsidR="00516EC1">
        <w:rPr>
          <w:rFonts w:ascii="Times New Roman" w:eastAsia="Times New Roman" w:hAnsi="Times New Roman" w:cs="Times New Roman"/>
          <w:bCs/>
          <w:sz w:val="28"/>
          <w:szCs w:val="28"/>
          <w:lang w:eastAsia="ru-RU"/>
        </w:rPr>
        <w:t xml:space="preserve"> и </w:t>
      </w:r>
      <w:r w:rsidR="003704DA">
        <w:rPr>
          <w:rFonts w:ascii="Times New Roman" w:eastAsia="Times New Roman" w:hAnsi="Times New Roman" w:cs="Times New Roman"/>
          <w:bCs/>
          <w:sz w:val="28"/>
          <w:szCs w:val="28"/>
          <w:lang w:eastAsia="ru-RU"/>
        </w:rPr>
        <w:t>ОВЗ</w:t>
      </w:r>
      <w:r w:rsidRPr="0079389A">
        <w:rPr>
          <w:rFonts w:ascii="Times New Roman" w:eastAsia="Times New Roman" w:hAnsi="Times New Roman" w:cs="Times New Roman"/>
          <w:sz w:val="28"/>
          <w:szCs w:val="28"/>
          <w:lang w:eastAsia="ru-RU"/>
        </w:rPr>
        <w:t xml:space="preserve"> является необходимым условием их успешной социализации, поэтому профессиональная ориентация явл</w:t>
      </w:r>
      <w:r w:rsidR="003704DA">
        <w:rPr>
          <w:rFonts w:ascii="Times New Roman" w:eastAsia="Times New Roman" w:hAnsi="Times New Roman" w:cs="Times New Roman"/>
          <w:sz w:val="28"/>
          <w:szCs w:val="28"/>
          <w:lang w:eastAsia="ru-RU"/>
        </w:rPr>
        <w:t xml:space="preserve">яется неотъемлемым компонентом </w:t>
      </w:r>
      <w:r w:rsidRPr="0079389A">
        <w:rPr>
          <w:rFonts w:ascii="Times New Roman" w:eastAsia="Times New Roman" w:hAnsi="Times New Roman" w:cs="Times New Roman"/>
          <w:sz w:val="28"/>
          <w:szCs w:val="28"/>
          <w:lang w:eastAsia="ru-RU"/>
        </w:rPr>
        <w:t>их образования. С учетом поручений проводятся работы по повышению доступности среднего профессионального образования.</w:t>
      </w:r>
    </w:p>
    <w:p w14:paraId="339DB298" w14:textId="77777777" w:rsidR="00C8717C" w:rsidRDefault="000A0664" w:rsidP="0079389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Минпросвещения России уделяет особое внимание вопросам реализации механизмов профессиональной реабилитации. Для этого создана инфраструктура инклюзивного среднего профессионального образования, направленная на их реализацию:</w:t>
      </w:r>
    </w:p>
    <w:p w14:paraId="43D94523" w14:textId="77777777" w:rsidR="000A0664" w:rsidRDefault="000A0664" w:rsidP="0079389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B1336B">
        <w:rPr>
          <w:rFonts w:ascii="Times New Roman" w:eastAsia="Times New Roman" w:hAnsi="Times New Roman" w:cs="Times New Roman"/>
          <w:sz w:val="28"/>
          <w:szCs w:val="28"/>
          <w:lang w:eastAsia="ru-RU"/>
        </w:rPr>
        <w:t xml:space="preserve">Федеральный методический центр по инклюзивному образованию, созданный на базе </w:t>
      </w:r>
      <w:r w:rsidR="00E84634" w:rsidRPr="00B1336B">
        <w:rPr>
          <w:rFonts w:ascii="Times New Roman" w:eastAsia="Times New Roman" w:hAnsi="Times New Roman" w:cs="Times New Roman"/>
          <w:sz w:val="28"/>
          <w:szCs w:val="28"/>
          <w:lang w:eastAsia="ru-RU"/>
        </w:rPr>
        <w:t>ФГБОУ ДПО «Институт развития профессионального образования»</w:t>
      </w:r>
      <w:r w:rsidR="006E4B96">
        <w:rPr>
          <w:rFonts w:ascii="Times New Roman" w:eastAsia="Times New Roman" w:hAnsi="Times New Roman" w:cs="Times New Roman"/>
          <w:sz w:val="28"/>
          <w:szCs w:val="28"/>
          <w:lang w:eastAsia="ru-RU"/>
        </w:rPr>
        <w:t xml:space="preserve"> (далее по тексту подраздела – ФМЦИО);</w:t>
      </w:r>
    </w:p>
    <w:p w14:paraId="013E3A58" w14:textId="77777777" w:rsidR="00304605" w:rsidRDefault="00FF2BF1" w:rsidP="0079389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сеть</w:t>
      </w:r>
      <w:r w:rsidR="00304605">
        <w:rPr>
          <w:rFonts w:ascii="Times New Roman" w:eastAsia="Times New Roman" w:hAnsi="Times New Roman" w:cs="Times New Roman"/>
          <w:sz w:val="28"/>
          <w:szCs w:val="28"/>
          <w:lang w:eastAsia="ru-RU"/>
        </w:rPr>
        <w:t xml:space="preserve"> из 142 </w:t>
      </w:r>
      <w:r w:rsidR="00895F7E">
        <w:rPr>
          <w:rFonts w:ascii="Times New Roman" w:eastAsia="Times New Roman" w:hAnsi="Times New Roman" w:cs="Times New Roman"/>
          <w:sz w:val="28"/>
          <w:szCs w:val="28"/>
          <w:lang w:eastAsia="ru-RU"/>
        </w:rPr>
        <w:t>базовой профессиональной образовательной организации (далее по тексту подраздела – БПОО)</w:t>
      </w:r>
      <w:r>
        <w:rPr>
          <w:rFonts w:ascii="Times New Roman" w:eastAsia="Times New Roman" w:hAnsi="Times New Roman" w:cs="Times New Roman"/>
          <w:sz w:val="28"/>
          <w:szCs w:val="28"/>
          <w:lang w:eastAsia="ru-RU"/>
        </w:rPr>
        <w:t xml:space="preserve"> в 85 субъектах Российской Федерации для координации и поддержки региональных систем инклюзивного среднего профессионального образования. Сетевым взаимодействием с БПОО охвачены 87% колледжей и техникумов Российской Федерации;</w:t>
      </w:r>
    </w:p>
    <w:p w14:paraId="4B50E14A" w14:textId="77777777" w:rsidR="00FF2BF1" w:rsidRPr="00BE1883" w:rsidRDefault="00FF2BF1" w:rsidP="0079389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сеть из 45 ресурсных учебно-методических центров (далее – РУМЦ) в системе среднего профессионального образования в 41 субъекте Российской Федерации. </w:t>
      </w:r>
      <w:r w:rsidR="00CC35D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С </w:t>
      </w:r>
      <w:r w:rsidR="009F7387">
        <w:rPr>
          <w:rFonts w:ascii="Times New Roman" w:eastAsia="Times New Roman" w:hAnsi="Times New Roman" w:cs="Times New Roman"/>
          <w:sz w:val="28"/>
          <w:szCs w:val="28"/>
          <w:lang w:eastAsia="ru-RU"/>
        </w:rPr>
        <w:t>2021 г</w:t>
      </w:r>
      <w:r w:rsidR="003E3F78">
        <w:rPr>
          <w:rFonts w:ascii="Times New Roman" w:eastAsia="Times New Roman" w:hAnsi="Times New Roman" w:cs="Times New Roman"/>
          <w:sz w:val="28"/>
          <w:szCs w:val="28"/>
          <w:lang w:eastAsia="ru-RU"/>
        </w:rPr>
        <w:t>.</w:t>
      </w:r>
      <w:r w:rsidR="009F7387">
        <w:rPr>
          <w:rFonts w:ascii="Times New Roman" w:eastAsia="Times New Roman" w:hAnsi="Times New Roman" w:cs="Times New Roman"/>
          <w:sz w:val="28"/>
          <w:szCs w:val="28"/>
          <w:lang w:eastAsia="ru-RU"/>
        </w:rPr>
        <w:t xml:space="preserve"> за каждым РУМЦ в системе среднего профессионального образования</w:t>
      </w:r>
      <w:r w:rsidR="00CC35DF">
        <w:rPr>
          <w:rFonts w:ascii="Times New Roman" w:eastAsia="Times New Roman" w:hAnsi="Times New Roman" w:cs="Times New Roman"/>
          <w:sz w:val="28"/>
          <w:szCs w:val="28"/>
          <w:lang w:eastAsia="ru-RU"/>
        </w:rPr>
        <w:t xml:space="preserve"> закреплен </w:t>
      </w:r>
      <w:r w:rsidR="003503E0">
        <w:rPr>
          <w:rFonts w:ascii="Times New Roman" w:eastAsia="Times New Roman" w:hAnsi="Times New Roman" w:cs="Times New Roman"/>
          <w:sz w:val="28"/>
          <w:szCs w:val="28"/>
          <w:lang w:eastAsia="ru-RU"/>
        </w:rPr>
        <w:t>субъект, на территории которого находится РУМЦ в системе среднего профессионального образования, и субъекты Российской Федерации, в которых не созданы РУМЦ в системе среднего профессионального образования.</w:t>
      </w:r>
    </w:p>
    <w:p w14:paraId="78DFAADF" w14:textId="77777777" w:rsidR="000A0664" w:rsidRDefault="00BE1883" w:rsidP="0079389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целях профессиональной ориентации детей с инвалидностью и лиц с ОВЗ Минпросвещения России осуществляется комплекс мероприятий для подготовки молодежи к выбору профессии.</w:t>
      </w:r>
    </w:p>
    <w:p w14:paraId="37AB3442" w14:textId="77777777" w:rsidR="00BE1883" w:rsidRDefault="00BE1883" w:rsidP="0079389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всех БПОО созданы и функционируют Центры профориентации для инвалидов и лиц с ОВЗ. В 2021 г</w:t>
      </w:r>
      <w:r w:rsidR="00211A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профориентационных мероприятиях, осуществляемых БПОО, приняли участие 34% обучающихся 6-11 классов с инвалидностью и лиц с ОВЗ от общей численности обучающихся с инвалидностью и лиц с ОВЗ данной категории.</w:t>
      </w:r>
    </w:p>
    <w:p w14:paraId="3E009C92" w14:textId="77777777" w:rsidR="005C7966" w:rsidRDefault="00BE1883" w:rsidP="005C7966">
      <w:pPr>
        <w:widowControl w:val="0"/>
        <w:suppressAutoHyphen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целях профорие</w:t>
      </w:r>
      <w:r w:rsidR="005C7966">
        <w:rPr>
          <w:rFonts w:ascii="Times New Roman" w:eastAsia="Times New Roman" w:hAnsi="Times New Roman" w:cs="Times New Roman"/>
          <w:sz w:val="28"/>
          <w:szCs w:val="28"/>
          <w:lang w:eastAsia="ru-RU"/>
        </w:rPr>
        <w:t>нтации подготовлен и размещен на сайте ФМЦИО «Атлас доступных профессий» в разрезе всех субъектов Российской Федерации для получения среднего профессионального образования в колледжах Российской Федерации.</w:t>
      </w:r>
    </w:p>
    <w:p w14:paraId="388369A7" w14:textId="77777777" w:rsidR="005C7966" w:rsidRDefault="005C7966" w:rsidP="005C7966">
      <w:pPr>
        <w:widowControl w:val="0"/>
        <w:suppressAutoHyphen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Альманах является основой для доступного и быстрого информирования людей с инвалидностью и лиц с ОВЗ, а также родителей и всех заинтересованных лиц о своевременных доступных профессиях и возможностях получения среднего профессионального образования в профессиональных образовательных организациях субъектов Российской Федерации. Кроме того, Альманах является эффективным инструментом для инвалидов и лиц с ОВЗ по выбору специальностей </w:t>
      </w:r>
      <w:r w:rsidRPr="00451617">
        <w:rPr>
          <w:rFonts w:ascii="Times New Roman" w:eastAsia="Times New Roman" w:hAnsi="Times New Roman" w:cs="Times New Roman"/>
          <w:sz w:val="28"/>
          <w:szCs w:val="28"/>
          <w:lang w:eastAsia="ru-RU"/>
        </w:rPr>
        <w:t>и профессий, учитывающих региональную специфику рынка труда.</w:t>
      </w:r>
    </w:p>
    <w:p w14:paraId="2478F2A1" w14:textId="77777777" w:rsidR="00451617" w:rsidRDefault="00C462A6" w:rsidP="005C7966">
      <w:pPr>
        <w:widowControl w:val="0"/>
        <w:suppressAutoHyphen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Минпросвещения России разработаны Тип</w:t>
      </w:r>
      <w:r w:rsidR="00F01A03">
        <w:rPr>
          <w:rFonts w:ascii="Times New Roman" w:eastAsia="Times New Roman" w:hAnsi="Times New Roman" w:cs="Times New Roman"/>
          <w:sz w:val="28"/>
          <w:szCs w:val="28"/>
          <w:lang w:eastAsia="ru-RU"/>
        </w:rPr>
        <w:t>овые обучающие задания по компе</w:t>
      </w:r>
      <w:r>
        <w:rPr>
          <w:rFonts w:ascii="Times New Roman" w:eastAsia="Times New Roman" w:hAnsi="Times New Roman" w:cs="Times New Roman"/>
          <w:sz w:val="28"/>
          <w:szCs w:val="28"/>
          <w:lang w:eastAsia="ru-RU"/>
        </w:rPr>
        <w:t>тенциям</w:t>
      </w:r>
      <w:r w:rsidR="00F01A03">
        <w:rPr>
          <w:rFonts w:ascii="Times New Roman" w:eastAsia="Times New Roman" w:hAnsi="Times New Roman" w:cs="Times New Roman"/>
          <w:sz w:val="28"/>
          <w:szCs w:val="28"/>
          <w:lang w:eastAsia="ru-RU"/>
        </w:rPr>
        <w:t xml:space="preserve"> профессионального конкурса «</w:t>
      </w:r>
      <w:proofErr w:type="spellStart"/>
      <w:r w:rsidR="00F01A03">
        <w:rPr>
          <w:rFonts w:ascii="Times New Roman" w:eastAsia="Times New Roman" w:hAnsi="Times New Roman" w:cs="Times New Roman"/>
          <w:sz w:val="28"/>
          <w:szCs w:val="28"/>
          <w:lang w:eastAsia="ru-RU"/>
        </w:rPr>
        <w:t>Абилимпикс</w:t>
      </w:r>
      <w:proofErr w:type="spellEnd"/>
      <w:r w:rsidR="00F01A03">
        <w:rPr>
          <w:rFonts w:ascii="Times New Roman" w:eastAsia="Times New Roman" w:hAnsi="Times New Roman" w:cs="Times New Roman"/>
          <w:sz w:val="28"/>
          <w:szCs w:val="28"/>
          <w:lang w:eastAsia="ru-RU"/>
        </w:rPr>
        <w:t>» по следующим профессиям: бухгалтер, маляр/штукатур, медицинская сестра, парикмахер, повар/кондитер, программист, рабочий зеленого хозяйства, слесарь по ремонту автомобилей, столяр, швея.</w:t>
      </w:r>
    </w:p>
    <w:p w14:paraId="4F00BE7D" w14:textId="77777777" w:rsidR="00F01A03" w:rsidRPr="00451617" w:rsidRDefault="00F01A03" w:rsidP="005C7966">
      <w:pPr>
        <w:widowControl w:val="0"/>
        <w:suppressAutoHyphen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Типовое обучающее задание направлено на осмысление детьми с инвалидностью и лиц с ОВЗ собственных профессиональных интересов, расширение своих возможностей в процессе организованной профориентационной деятельности. Результатом выполнения задания является конкретный продукт деятельности обучающегося. Данные методические материалы размещены на сайте ФМЦИО.</w:t>
      </w:r>
    </w:p>
    <w:p w14:paraId="6A989D7F" w14:textId="77777777" w:rsidR="005C7966" w:rsidRDefault="00DE69E8" w:rsidP="005C7966">
      <w:pPr>
        <w:widowControl w:val="0"/>
        <w:suppressAutoHyphen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Получение среднего профессионального образования является одной из основных форм комплексной профессиональной реабилитации. В настоящее время на территории Российской Федерации общее количество профессиональных образовательных организаций составляет 3 239, из которых в 2 575 обучаются инвалиды и лица с ОВЗ, что составляет 79,5% от общего количества профессиональных образовательных организаций.</w:t>
      </w:r>
    </w:p>
    <w:p w14:paraId="7BDEF40A" w14:textId="77777777" w:rsidR="00DE69E8" w:rsidRDefault="00C543FD" w:rsidP="005C7966">
      <w:pPr>
        <w:widowControl w:val="0"/>
        <w:suppressAutoHyphen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2021 г</w:t>
      </w:r>
      <w:r w:rsidR="00211A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 обучение принято 11 681 человек (2020 г. – 10 459 человек), что на 11,7% больше по сравнению с показателями 2020 г</w:t>
      </w:r>
      <w:r w:rsidR="00211A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 25,2% по сравнению с показателями 2017 г.</w:t>
      </w:r>
    </w:p>
    <w:p w14:paraId="33451AD8" w14:textId="77777777" w:rsidR="004F1728" w:rsidRDefault="00436799" w:rsidP="005C7966">
      <w:pPr>
        <w:widowControl w:val="0"/>
        <w:suppressAutoHyphen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Численность обучающихся в колледжах и техникумах в 2021 г</w:t>
      </w:r>
      <w:r w:rsidR="00211A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также увеличилась на 11,9% и составила 35 838 студентов (2020 г. – 32 030 студентов). По сравнению с 2017 г</w:t>
      </w:r>
      <w:r w:rsidR="00211A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65B8D">
        <w:rPr>
          <w:rFonts w:ascii="Times New Roman" w:eastAsia="Times New Roman" w:hAnsi="Times New Roman" w:cs="Times New Roman"/>
          <w:sz w:val="28"/>
          <w:szCs w:val="28"/>
          <w:lang w:eastAsia="ru-RU"/>
        </w:rPr>
        <w:t>число обучающихся увеличилось на 42,4%.</w:t>
      </w:r>
    </w:p>
    <w:p w14:paraId="7D23AA01" w14:textId="77777777" w:rsidR="00465B8D" w:rsidRDefault="00465B8D" w:rsidP="005C7966">
      <w:pPr>
        <w:widowControl w:val="0"/>
        <w:suppressAutoHyphen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Средний процент выбытия обучающихся с инвалидностью и ОВЗ по причине академической неуспеваемости по Российской Федерации составил 5,5%.</w:t>
      </w:r>
    </w:p>
    <w:p w14:paraId="5C3DEAE3" w14:textId="5F51D140" w:rsidR="00465B8D" w:rsidRDefault="00465B8D" w:rsidP="005C7966">
      <w:pPr>
        <w:widowControl w:val="0"/>
        <w:suppressAutoHyphen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данным федерального статистического наблюдения по форме СПО-1 </w:t>
      </w:r>
      <w:r w:rsidR="005360FA">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за 2021 г</w:t>
      </w:r>
      <w:r w:rsidR="00211A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7 525 человек с инвалидностью и ОВЗ обучалось по 213 профессиям по программам подготовки квалифицированных рабочих, служащих, </w:t>
      </w:r>
      <w:r w:rsidR="006D73C2">
        <w:rPr>
          <w:rFonts w:ascii="Times New Roman" w:eastAsia="Times New Roman" w:hAnsi="Times New Roman" w:cs="Times New Roman"/>
          <w:sz w:val="28"/>
          <w:szCs w:val="28"/>
          <w:lang w:eastAsia="ru-RU"/>
        </w:rPr>
        <w:t>8 313 человек с инвалидностью и ОВЗ обучалось по 263 специальностям по программам подготовки специалистов среднего звена.</w:t>
      </w:r>
    </w:p>
    <w:p w14:paraId="4E68F07D" w14:textId="77777777" w:rsidR="006D73C2" w:rsidRDefault="006D73C2" w:rsidP="005C7966">
      <w:pPr>
        <w:widowControl w:val="0"/>
        <w:suppressAutoHyphen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Наиболее популярны</w:t>
      </w:r>
      <w:r w:rsidR="0013667C">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профессии: повар/кондитер (1 175 обучающихся), мастер по обработке цифровой информации (862 обучающихся)</w:t>
      </w:r>
      <w:r w:rsidR="0013667C">
        <w:rPr>
          <w:rFonts w:ascii="Times New Roman" w:eastAsia="Times New Roman" w:hAnsi="Times New Roman" w:cs="Times New Roman"/>
          <w:sz w:val="28"/>
          <w:szCs w:val="28"/>
          <w:lang w:eastAsia="ru-RU"/>
        </w:rPr>
        <w:t>, мастер по ремонту и обслуживанию автомобилей (471 обучающийся), наиболее популярные специальности (2 145 обучающихся), сестринское дело (2 273 обучающихся).</w:t>
      </w:r>
    </w:p>
    <w:p w14:paraId="2ADEC613" w14:textId="77777777" w:rsidR="001C7669" w:rsidRDefault="001C7669" w:rsidP="0079389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Ежегодно Минпросвещения России проводит мониторинг по обеспечению доступности образовательных организаций, реализующих программы среднего профессионального образования и профессионального образования.</w:t>
      </w:r>
    </w:p>
    <w:p w14:paraId="3F619880" w14:textId="77777777" w:rsidR="001C7669" w:rsidRDefault="001C7669" w:rsidP="0079389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РУМЦ за </w:t>
      </w:r>
      <w:r w:rsidR="00211ABD">
        <w:rPr>
          <w:rFonts w:ascii="Times New Roman" w:eastAsia="Times New Roman" w:hAnsi="Times New Roman" w:cs="Times New Roman"/>
          <w:sz w:val="28"/>
          <w:szCs w:val="28"/>
          <w:lang w:eastAsia="ru-RU"/>
        </w:rPr>
        <w:t>2018-2021 гг.</w:t>
      </w:r>
      <w:r>
        <w:rPr>
          <w:rFonts w:ascii="Times New Roman" w:eastAsia="Times New Roman" w:hAnsi="Times New Roman" w:cs="Times New Roman"/>
          <w:sz w:val="28"/>
          <w:szCs w:val="28"/>
          <w:lang w:eastAsia="ru-RU"/>
        </w:rPr>
        <w:t xml:space="preserve"> разработано 1 529 адаптированных образова</w:t>
      </w:r>
      <w:r w:rsidR="00443DBA">
        <w:rPr>
          <w:rFonts w:ascii="Times New Roman" w:eastAsia="Times New Roman" w:hAnsi="Times New Roman" w:cs="Times New Roman"/>
          <w:sz w:val="28"/>
          <w:szCs w:val="28"/>
          <w:lang w:eastAsia="ru-RU"/>
        </w:rPr>
        <w:t>тельных программ по 394 специальностям и профессиям среднего профессионального образования и профессионального образования для различных нозологий, в том числе 249 программ среднего профессионального образования и 145 программам профессионального образования. В разрезе нозологий РУМЦ среднего профессионального образования разработаны программы для следующих нозологиях групп:</w:t>
      </w:r>
    </w:p>
    <w:p w14:paraId="1E2438EC" w14:textId="77777777" w:rsidR="00443DBA" w:rsidRDefault="00443DBA" w:rsidP="0079389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 нарушениями зрения </w:t>
      </w:r>
      <w:r w:rsidR="00FF5F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108 программ;</w:t>
      </w:r>
    </w:p>
    <w:p w14:paraId="6EA88814" w14:textId="77777777" w:rsidR="00FF5F91" w:rsidRDefault="00FF5F91" w:rsidP="0079389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 нарушениями слуха – 219 программ;</w:t>
      </w:r>
    </w:p>
    <w:p w14:paraId="52795902" w14:textId="77777777" w:rsidR="00443DBA" w:rsidRDefault="00443DBA" w:rsidP="0079389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F5F91">
        <w:rPr>
          <w:rFonts w:ascii="Times New Roman" w:eastAsia="Times New Roman" w:hAnsi="Times New Roman" w:cs="Times New Roman"/>
          <w:sz w:val="28"/>
          <w:szCs w:val="28"/>
          <w:lang w:eastAsia="ru-RU"/>
        </w:rPr>
        <w:t>с нарушениями опорно-двигательного аппарата – 170 программ;</w:t>
      </w:r>
    </w:p>
    <w:p w14:paraId="14587161" w14:textId="77777777" w:rsidR="00FF5F91" w:rsidRDefault="00FF5F91" w:rsidP="0079389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 нарушениями интеллектуального развития – 148 программ;</w:t>
      </w:r>
    </w:p>
    <w:p w14:paraId="20024CF0" w14:textId="77777777" w:rsidR="00FF5F91" w:rsidRDefault="00FF5F91" w:rsidP="0079389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 нарушениями речи – 3 программы.</w:t>
      </w:r>
    </w:p>
    <w:p w14:paraId="134E5D98" w14:textId="77777777" w:rsidR="00FF5F91" w:rsidRDefault="008363DB" w:rsidP="0079389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Реализация разработанных РУМЦ среднего профессионального образования адаптированных образовательных программ может осуществляться с использованием различных </w:t>
      </w:r>
      <w:r w:rsidR="004601BF">
        <w:rPr>
          <w:rFonts w:ascii="Times New Roman" w:eastAsia="Times New Roman" w:hAnsi="Times New Roman" w:cs="Times New Roman"/>
          <w:sz w:val="28"/>
          <w:szCs w:val="28"/>
          <w:lang w:eastAsia="ru-RU"/>
        </w:rPr>
        <w:t>форм обучения, в том числе с использованием дистанционных технологий и электронного обучения.</w:t>
      </w:r>
    </w:p>
    <w:p w14:paraId="406951DB" w14:textId="77777777" w:rsidR="004601BF" w:rsidRDefault="004601BF" w:rsidP="0079389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Ежегодно возрастает численность обучающихся с инвалидностью и ОВЗ по программам среднего профессионального образования. Так, если в 2019 г</w:t>
      </w:r>
      <w:r w:rsidR="00211A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 адаптированным программам обучалось 6 123 человека с инвалидностью и ОВЗ, в 2020 г</w:t>
      </w:r>
      <w:r w:rsidR="00211A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 6 798 человек, то в 2021 г</w:t>
      </w:r>
      <w:r w:rsidR="00211A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уже 7 052 человека.</w:t>
      </w:r>
    </w:p>
    <w:p w14:paraId="23761CE5" w14:textId="77777777" w:rsidR="004601BF" w:rsidRDefault="004601BF" w:rsidP="0079389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2021 г</w:t>
      </w:r>
      <w:r w:rsidR="00211A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сформирован </w:t>
      </w:r>
      <w:r w:rsidR="00637CEB">
        <w:rPr>
          <w:rFonts w:ascii="Times New Roman" w:eastAsia="Times New Roman" w:hAnsi="Times New Roman" w:cs="Times New Roman"/>
          <w:sz w:val="28"/>
          <w:szCs w:val="28"/>
          <w:lang w:eastAsia="ru-RU"/>
        </w:rPr>
        <w:t>реестр адаптированных образовательных программ среднего профессионального образования, разработанных РУМЦ среднего профессионального образования, размещенный на сайте ФМЦИО (</w:t>
      </w:r>
      <w:hyperlink r:id="rId16" w:history="1">
        <w:r w:rsidR="009214FC" w:rsidRPr="00802228">
          <w:rPr>
            <w:rStyle w:val="af1"/>
            <w:rFonts w:ascii="Times New Roman" w:eastAsia="Times New Roman" w:hAnsi="Times New Roman" w:cs="Times New Roman"/>
            <w:sz w:val="28"/>
            <w:szCs w:val="28"/>
            <w:lang w:val="en-US" w:eastAsia="ru-RU"/>
          </w:rPr>
          <w:t>https</w:t>
        </w:r>
        <w:r w:rsidR="009214FC" w:rsidRPr="00802228">
          <w:rPr>
            <w:rStyle w:val="af1"/>
            <w:rFonts w:ascii="Times New Roman" w:eastAsia="Times New Roman" w:hAnsi="Times New Roman" w:cs="Times New Roman"/>
            <w:sz w:val="28"/>
            <w:szCs w:val="28"/>
            <w:lang w:eastAsia="ru-RU"/>
          </w:rPr>
          <w:t>://</w:t>
        </w:r>
        <w:proofErr w:type="spellStart"/>
        <w:r w:rsidR="009214FC" w:rsidRPr="00802228">
          <w:rPr>
            <w:rStyle w:val="af1"/>
            <w:rFonts w:ascii="Times New Roman" w:eastAsia="Times New Roman" w:hAnsi="Times New Roman" w:cs="Times New Roman"/>
            <w:sz w:val="28"/>
            <w:szCs w:val="28"/>
            <w:lang w:val="en-US" w:eastAsia="ru-RU"/>
          </w:rPr>
          <w:t>fmc</w:t>
        </w:r>
        <w:proofErr w:type="spellEnd"/>
        <w:r w:rsidR="009214FC" w:rsidRPr="00802228">
          <w:rPr>
            <w:rStyle w:val="af1"/>
            <w:rFonts w:ascii="Times New Roman" w:eastAsia="Times New Roman" w:hAnsi="Times New Roman" w:cs="Times New Roman"/>
            <w:sz w:val="28"/>
            <w:szCs w:val="28"/>
            <w:lang w:eastAsia="ru-RU"/>
          </w:rPr>
          <w:t>-</w:t>
        </w:r>
        <w:proofErr w:type="spellStart"/>
        <w:r w:rsidR="009214FC" w:rsidRPr="00802228">
          <w:rPr>
            <w:rStyle w:val="af1"/>
            <w:rFonts w:ascii="Times New Roman" w:eastAsia="Times New Roman" w:hAnsi="Times New Roman" w:cs="Times New Roman"/>
            <w:sz w:val="28"/>
            <w:szCs w:val="28"/>
            <w:lang w:val="en-US" w:eastAsia="ru-RU"/>
          </w:rPr>
          <w:t>spo</w:t>
        </w:r>
        <w:proofErr w:type="spellEnd"/>
        <w:r w:rsidR="009214FC" w:rsidRPr="00802228">
          <w:rPr>
            <w:rStyle w:val="af1"/>
            <w:rFonts w:ascii="Times New Roman" w:eastAsia="Times New Roman" w:hAnsi="Times New Roman" w:cs="Times New Roman"/>
            <w:sz w:val="28"/>
            <w:szCs w:val="28"/>
            <w:lang w:eastAsia="ru-RU"/>
          </w:rPr>
          <w:t>.</w:t>
        </w:r>
        <w:proofErr w:type="spellStart"/>
        <w:r w:rsidR="009214FC" w:rsidRPr="00802228">
          <w:rPr>
            <w:rStyle w:val="af1"/>
            <w:rFonts w:ascii="Times New Roman" w:eastAsia="Times New Roman" w:hAnsi="Times New Roman" w:cs="Times New Roman"/>
            <w:sz w:val="28"/>
            <w:szCs w:val="28"/>
            <w:lang w:val="en-US" w:eastAsia="ru-RU"/>
          </w:rPr>
          <w:t>ru</w:t>
        </w:r>
        <w:proofErr w:type="spellEnd"/>
        <w:r w:rsidR="009214FC" w:rsidRPr="00802228">
          <w:rPr>
            <w:rStyle w:val="af1"/>
            <w:rFonts w:ascii="Times New Roman" w:eastAsia="Times New Roman" w:hAnsi="Times New Roman" w:cs="Times New Roman"/>
            <w:sz w:val="28"/>
            <w:szCs w:val="28"/>
            <w:lang w:eastAsia="ru-RU"/>
          </w:rPr>
          <w:t>/</w:t>
        </w:r>
        <w:r w:rsidR="009214FC" w:rsidRPr="00802228">
          <w:rPr>
            <w:rStyle w:val="af1"/>
            <w:rFonts w:ascii="Times New Roman" w:eastAsia="Times New Roman" w:hAnsi="Times New Roman" w:cs="Times New Roman"/>
            <w:sz w:val="28"/>
            <w:szCs w:val="28"/>
            <w:lang w:val="en-US" w:eastAsia="ru-RU"/>
          </w:rPr>
          <w:t>activity</w:t>
        </w:r>
        <w:r w:rsidR="009214FC" w:rsidRPr="00802228">
          <w:rPr>
            <w:rStyle w:val="af1"/>
            <w:rFonts w:ascii="Times New Roman" w:eastAsia="Times New Roman" w:hAnsi="Times New Roman" w:cs="Times New Roman"/>
            <w:sz w:val="28"/>
            <w:szCs w:val="28"/>
            <w:lang w:eastAsia="ru-RU"/>
          </w:rPr>
          <w:t>/</w:t>
        </w:r>
        <w:proofErr w:type="spellStart"/>
        <w:r w:rsidR="009214FC" w:rsidRPr="00802228">
          <w:rPr>
            <w:rStyle w:val="af1"/>
            <w:rFonts w:ascii="Times New Roman" w:eastAsia="Times New Roman" w:hAnsi="Times New Roman" w:cs="Times New Roman"/>
            <w:sz w:val="28"/>
            <w:szCs w:val="28"/>
            <w:lang w:val="en-US" w:eastAsia="ru-RU"/>
          </w:rPr>
          <w:t>rop</w:t>
        </w:r>
        <w:proofErr w:type="spellEnd"/>
        <w:r w:rsidR="009214FC" w:rsidRPr="00802228">
          <w:rPr>
            <w:rStyle w:val="af1"/>
            <w:rFonts w:ascii="Times New Roman" w:eastAsia="Times New Roman" w:hAnsi="Times New Roman" w:cs="Times New Roman"/>
            <w:sz w:val="28"/>
            <w:szCs w:val="28"/>
            <w:lang w:eastAsia="ru-RU"/>
          </w:rPr>
          <w:t>/</w:t>
        </w:r>
      </w:hyperlink>
      <w:r w:rsidR="009214FC" w:rsidRPr="009214FC">
        <w:rPr>
          <w:rFonts w:ascii="Times New Roman" w:eastAsia="Times New Roman" w:hAnsi="Times New Roman" w:cs="Times New Roman"/>
          <w:sz w:val="28"/>
          <w:szCs w:val="28"/>
          <w:lang w:eastAsia="ru-RU"/>
        </w:rPr>
        <w:t>)</w:t>
      </w:r>
      <w:r w:rsidR="009214FC">
        <w:rPr>
          <w:rFonts w:ascii="Times New Roman" w:eastAsia="Times New Roman" w:hAnsi="Times New Roman" w:cs="Times New Roman"/>
          <w:sz w:val="28"/>
          <w:szCs w:val="28"/>
          <w:lang w:eastAsia="ru-RU"/>
        </w:rPr>
        <w:t>.</w:t>
      </w:r>
    </w:p>
    <w:p w14:paraId="053F4AF9" w14:textId="77777777" w:rsidR="009214FC" w:rsidRDefault="00024B49" w:rsidP="0079389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Одним из приоритетных направлений стратегии развития среднего профессионального образования является повышение квалификации работников этой системы, в связи с чем ежегодно проводится повышение квалификации педагогических работников, административно-управленческих кадров по вопросам обеспечения доступности объектов и реализации образовательных программ для обучающихся с инвалидностью и ОВЗ по компетенциям, необходимым для взаимодействия с данной категорией обучающихся.</w:t>
      </w:r>
    </w:p>
    <w:p w14:paraId="682BD466" w14:textId="77777777" w:rsidR="00024B49" w:rsidRDefault="00024B49" w:rsidP="0079389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ежегодно Минпросвещения России проводит мониторинг по обеспечению доступности образовательных организаций, реализующих программы среднего профессионального и профессионального образования. По итогам мониторинга 2021 г</w:t>
      </w:r>
      <w:r w:rsidR="000A38C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полная или частичная доступность обеспечена в 79,82% профессиональных образовательных организаций, из которых полностью доступными являются только 43,82%. При этом 20,18% профессиональных </w:t>
      </w:r>
      <w:r w:rsidR="0012181F">
        <w:rPr>
          <w:rFonts w:ascii="Times New Roman" w:eastAsia="Times New Roman" w:hAnsi="Times New Roman" w:cs="Times New Roman"/>
          <w:sz w:val="28"/>
          <w:szCs w:val="28"/>
          <w:lang w:eastAsia="ru-RU"/>
        </w:rPr>
        <w:t>образовательных организаций не приспособлены для обучения инвалидов и лиц с ОВЗ.</w:t>
      </w:r>
    </w:p>
    <w:p w14:paraId="748031C1" w14:textId="77777777" w:rsidR="0012181F" w:rsidRPr="009214FC" w:rsidRDefault="0012181F" w:rsidP="0079389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базе всех профессиональных образовательных организаций в 85 субъектах Российской Федерации созданы и функционируют центры содействия выпускников, в том числе на базе БПОО для выпускников из числа инвалидов и лиц с ОВЗ, которые оказывают студентам старших курсов и выпускникам адресную поддержку в трудоустройстве, консультируют по различным вопросам занятости, в том числе по вопросам осуществления предпринимательской деятельности, участвуют во взаимодействии образовательной организации с представителями работодателей, с центрами занятости населения.</w:t>
      </w:r>
    </w:p>
    <w:p w14:paraId="7501BE1C" w14:textId="77777777" w:rsidR="0079389A" w:rsidRPr="0079389A" w:rsidRDefault="0079389A" w:rsidP="0079389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79389A">
        <w:rPr>
          <w:rFonts w:ascii="Times New Roman" w:eastAsia="Times New Roman" w:hAnsi="Times New Roman" w:cs="Times New Roman"/>
          <w:sz w:val="28"/>
          <w:szCs w:val="28"/>
          <w:lang w:eastAsia="ru-RU"/>
        </w:rPr>
        <w:t>Одним из профориентационных мероприятий является национальный чемпионат по профессиональному ма</w:t>
      </w:r>
      <w:r w:rsidR="003704DA">
        <w:rPr>
          <w:rFonts w:ascii="Times New Roman" w:eastAsia="Times New Roman" w:hAnsi="Times New Roman" w:cs="Times New Roman"/>
          <w:sz w:val="28"/>
          <w:szCs w:val="28"/>
          <w:lang w:eastAsia="ru-RU"/>
        </w:rPr>
        <w:t xml:space="preserve">стерству среди инвалидов и лиц </w:t>
      </w:r>
      <w:r w:rsidRPr="0079389A">
        <w:rPr>
          <w:rFonts w:ascii="Times New Roman" w:eastAsia="Times New Roman" w:hAnsi="Times New Roman" w:cs="Times New Roman"/>
          <w:sz w:val="28"/>
          <w:szCs w:val="28"/>
          <w:lang w:eastAsia="ru-RU"/>
        </w:rPr>
        <w:t xml:space="preserve">с </w:t>
      </w:r>
      <w:r w:rsidR="003704DA">
        <w:rPr>
          <w:rFonts w:ascii="Times New Roman" w:eastAsia="Times New Roman" w:hAnsi="Times New Roman" w:cs="Times New Roman"/>
          <w:bCs/>
          <w:sz w:val="28"/>
          <w:szCs w:val="28"/>
          <w:lang w:eastAsia="ru-RU"/>
        </w:rPr>
        <w:t>ОВЗ</w:t>
      </w:r>
      <w:r w:rsidRPr="0079389A">
        <w:rPr>
          <w:rFonts w:ascii="Times New Roman" w:eastAsia="Times New Roman" w:hAnsi="Times New Roman" w:cs="Times New Roman"/>
          <w:sz w:val="28"/>
          <w:szCs w:val="28"/>
          <w:lang w:eastAsia="ru-RU"/>
        </w:rPr>
        <w:t xml:space="preserve"> «</w:t>
      </w:r>
      <w:proofErr w:type="spellStart"/>
      <w:r w:rsidRPr="0079389A">
        <w:rPr>
          <w:rFonts w:ascii="Times New Roman" w:eastAsia="Times New Roman" w:hAnsi="Times New Roman" w:cs="Times New Roman"/>
          <w:sz w:val="28"/>
          <w:szCs w:val="28"/>
          <w:lang w:eastAsia="ru-RU"/>
        </w:rPr>
        <w:t>Абилимпикс</w:t>
      </w:r>
      <w:proofErr w:type="spellEnd"/>
      <w:r w:rsidRPr="0079389A">
        <w:rPr>
          <w:rFonts w:ascii="Times New Roman" w:eastAsia="Times New Roman" w:hAnsi="Times New Roman" w:cs="Times New Roman"/>
          <w:sz w:val="28"/>
          <w:szCs w:val="28"/>
          <w:lang w:eastAsia="ru-RU"/>
        </w:rPr>
        <w:t>», в рамках которого соревнования проводятся отдельно для трех к</w:t>
      </w:r>
      <w:r w:rsidR="003704DA">
        <w:rPr>
          <w:rFonts w:ascii="Times New Roman" w:eastAsia="Times New Roman" w:hAnsi="Times New Roman" w:cs="Times New Roman"/>
          <w:sz w:val="28"/>
          <w:szCs w:val="28"/>
          <w:lang w:eastAsia="ru-RU"/>
        </w:rPr>
        <w:t xml:space="preserve">атегорий – школьники, студенты </w:t>
      </w:r>
      <w:r w:rsidRPr="0079389A">
        <w:rPr>
          <w:rFonts w:ascii="Times New Roman" w:eastAsia="Times New Roman" w:hAnsi="Times New Roman" w:cs="Times New Roman"/>
          <w:sz w:val="28"/>
          <w:szCs w:val="28"/>
          <w:lang w:eastAsia="ru-RU"/>
        </w:rPr>
        <w:t>и специалисты, а с 2021 г</w:t>
      </w:r>
      <w:r w:rsidR="0023605D">
        <w:rPr>
          <w:rFonts w:ascii="Times New Roman" w:eastAsia="Times New Roman" w:hAnsi="Times New Roman" w:cs="Times New Roman"/>
          <w:sz w:val="28"/>
          <w:szCs w:val="28"/>
          <w:lang w:eastAsia="ru-RU"/>
        </w:rPr>
        <w:t>.</w:t>
      </w:r>
      <w:r w:rsidRPr="0079389A">
        <w:rPr>
          <w:rFonts w:ascii="Times New Roman" w:eastAsia="Times New Roman" w:hAnsi="Times New Roman" w:cs="Times New Roman"/>
          <w:sz w:val="28"/>
          <w:szCs w:val="28"/>
          <w:lang w:eastAsia="ru-RU"/>
        </w:rPr>
        <w:t xml:space="preserve"> нач</w:t>
      </w:r>
      <w:r w:rsidR="003704DA">
        <w:rPr>
          <w:rFonts w:ascii="Times New Roman" w:eastAsia="Times New Roman" w:hAnsi="Times New Roman" w:cs="Times New Roman"/>
          <w:sz w:val="28"/>
          <w:szCs w:val="28"/>
          <w:lang w:eastAsia="ru-RU"/>
        </w:rPr>
        <w:t>алась</w:t>
      </w:r>
      <w:r w:rsidRPr="0079389A">
        <w:rPr>
          <w:rFonts w:ascii="Times New Roman" w:eastAsia="Times New Roman" w:hAnsi="Times New Roman" w:cs="Times New Roman"/>
          <w:sz w:val="28"/>
          <w:szCs w:val="28"/>
          <w:lang w:eastAsia="ru-RU"/>
        </w:rPr>
        <w:t xml:space="preserve"> работа с дошкольниками.</w:t>
      </w:r>
    </w:p>
    <w:p w14:paraId="5EE721E5" w14:textId="77777777" w:rsidR="0079389A" w:rsidRPr="0079389A" w:rsidRDefault="0079389A" w:rsidP="0079389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79389A">
        <w:rPr>
          <w:rFonts w:ascii="Times New Roman" w:eastAsia="Times New Roman" w:hAnsi="Times New Roman" w:cs="Times New Roman"/>
          <w:sz w:val="28"/>
          <w:szCs w:val="28"/>
          <w:lang w:eastAsia="ru-RU"/>
        </w:rPr>
        <w:t>В 2021 г</w:t>
      </w:r>
      <w:r w:rsidR="000A38CF">
        <w:rPr>
          <w:rFonts w:ascii="Times New Roman" w:eastAsia="Times New Roman" w:hAnsi="Times New Roman" w:cs="Times New Roman"/>
          <w:sz w:val="28"/>
          <w:szCs w:val="28"/>
          <w:lang w:eastAsia="ru-RU"/>
        </w:rPr>
        <w:t>.</w:t>
      </w:r>
      <w:r w:rsidRPr="0079389A">
        <w:rPr>
          <w:rFonts w:ascii="Times New Roman" w:eastAsia="Times New Roman" w:hAnsi="Times New Roman" w:cs="Times New Roman"/>
          <w:sz w:val="28"/>
          <w:szCs w:val="28"/>
          <w:lang w:eastAsia="ru-RU"/>
        </w:rPr>
        <w:t xml:space="preserve"> запущена работа над одним из важных направлений Концепции развития движения «</w:t>
      </w:r>
      <w:proofErr w:type="spellStart"/>
      <w:r w:rsidRPr="0079389A">
        <w:rPr>
          <w:rFonts w:ascii="Times New Roman" w:eastAsia="Times New Roman" w:hAnsi="Times New Roman" w:cs="Times New Roman"/>
          <w:sz w:val="28"/>
          <w:szCs w:val="28"/>
          <w:lang w:eastAsia="ru-RU"/>
        </w:rPr>
        <w:t>Абилимпикс</w:t>
      </w:r>
      <w:proofErr w:type="spellEnd"/>
      <w:r w:rsidRPr="0079389A">
        <w:rPr>
          <w:rFonts w:ascii="Times New Roman" w:eastAsia="Times New Roman" w:hAnsi="Times New Roman" w:cs="Times New Roman"/>
          <w:sz w:val="28"/>
          <w:szCs w:val="28"/>
          <w:lang w:eastAsia="ru-RU"/>
        </w:rPr>
        <w:t>», предусматривающим подписание с субъектами Российской Федерации Плана работы (дорож</w:t>
      </w:r>
      <w:r w:rsidR="003704DA">
        <w:rPr>
          <w:rFonts w:ascii="Times New Roman" w:eastAsia="Times New Roman" w:hAnsi="Times New Roman" w:cs="Times New Roman"/>
          <w:sz w:val="28"/>
          <w:szCs w:val="28"/>
          <w:lang w:eastAsia="ru-RU"/>
        </w:rPr>
        <w:t xml:space="preserve">ной карты) реализации проектов </w:t>
      </w:r>
      <w:r w:rsidRPr="0079389A">
        <w:rPr>
          <w:rFonts w:ascii="Times New Roman" w:eastAsia="Times New Roman" w:hAnsi="Times New Roman" w:cs="Times New Roman"/>
          <w:sz w:val="28"/>
          <w:szCs w:val="28"/>
          <w:lang w:eastAsia="ru-RU"/>
        </w:rPr>
        <w:t>и программ движения «</w:t>
      </w:r>
      <w:proofErr w:type="spellStart"/>
      <w:r w:rsidRPr="0079389A">
        <w:rPr>
          <w:rFonts w:ascii="Times New Roman" w:eastAsia="Times New Roman" w:hAnsi="Times New Roman" w:cs="Times New Roman"/>
          <w:sz w:val="28"/>
          <w:szCs w:val="28"/>
          <w:lang w:eastAsia="ru-RU"/>
        </w:rPr>
        <w:t>Абилимпикс</w:t>
      </w:r>
      <w:proofErr w:type="spellEnd"/>
      <w:r w:rsidRPr="0079389A">
        <w:rPr>
          <w:rFonts w:ascii="Times New Roman" w:eastAsia="Times New Roman" w:hAnsi="Times New Roman" w:cs="Times New Roman"/>
          <w:sz w:val="28"/>
          <w:szCs w:val="28"/>
          <w:lang w:eastAsia="ru-RU"/>
        </w:rPr>
        <w:t xml:space="preserve">» на территории субъектов Российской Федерации на период </w:t>
      </w:r>
      <w:r w:rsidR="000A38CF">
        <w:rPr>
          <w:rFonts w:ascii="Times New Roman" w:eastAsia="Times New Roman" w:hAnsi="Times New Roman" w:cs="Times New Roman"/>
          <w:sz w:val="28"/>
          <w:szCs w:val="28"/>
          <w:lang w:eastAsia="ru-RU"/>
        </w:rPr>
        <w:t>2021-2023 гг</w:t>
      </w:r>
      <w:r w:rsidRPr="0079389A">
        <w:rPr>
          <w:rFonts w:ascii="Times New Roman" w:eastAsia="Times New Roman" w:hAnsi="Times New Roman" w:cs="Times New Roman"/>
          <w:sz w:val="28"/>
          <w:szCs w:val="28"/>
          <w:lang w:eastAsia="ru-RU"/>
        </w:rPr>
        <w:t>.</w:t>
      </w:r>
    </w:p>
    <w:p w14:paraId="640C336B" w14:textId="36172E0D" w:rsidR="0079389A" w:rsidRPr="0079389A" w:rsidRDefault="0079389A" w:rsidP="003704D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79389A">
        <w:rPr>
          <w:rFonts w:ascii="Times New Roman" w:eastAsia="Times New Roman" w:hAnsi="Times New Roman" w:cs="Times New Roman"/>
          <w:sz w:val="28"/>
          <w:szCs w:val="28"/>
          <w:lang w:eastAsia="ru-RU"/>
        </w:rPr>
        <w:t>В 2021 г</w:t>
      </w:r>
      <w:r w:rsidR="000A38CF">
        <w:rPr>
          <w:rFonts w:ascii="Times New Roman" w:eastAsia="Times New Roman" w:hAnsi="Times New Roman" w:cs="Times New Roman"/>
          <w:sz w:val="28"/>
          <w:szCs w:val="28"/>
          <w:lang w:eastAsia="ru-RU"/>
        </w:rPr>
        <w:t>.</w:t>
      </w:r>
      <w:r w:rsidRPr="0079389A">
        <w:rPr>
          <w:rFonts w:ascii="Times New Roman" w:eastAsia="Times New Roman" w:hAnsi="Times New Roman" w:cs="Times New Roman"/>
          <w:sz w:val="28"/>
          <w:szCs w:val="28"/>
          <w:lang w:eastAsia="ru-RU"/>
        </w:rPr>
        <w:t xml:space="preserve"> 84 субъекта Российской Федерации провели региональные чемпионаты «</w:t>
      </w:r>
      <w:proofErr w:type="spellStart"/>
      <w:r w:rsidRPr="0079389A">
        <w:rPr>
          <w:rFonts w:ascii="Times New Roman" w:eastAsia="Times New Roman" w:hAnsi="Times New Roman" w:cs="Times New Roman"/>
          <w:sz w:val="28"/>
          <w:szCs w:val="28"/>
          <w:lang w:eastAsia="ru-RU"/>
        </w:rPr>
        <w:t>Абилимпикс</w:t>
      </w:r>
      <w:proofErr w:type="spellEnd"/>
      <w:r w:rsidRPr="0079389A">
        <w:rPr>
          <w:rFonts w:ascii="Times New Roman" w:eastAsia="Times New Roman" w:hAnsi="Times New Roman" w:cs="Times New Roman"/>
          <w:sz w:val="28"/>
          <w:szCs w:val="28"/>
          <w:lang w:eastAsia="ru-RU"/>
        </w:rPr>
        <w:t>» (Московский чемпионат перенесен на 2022 г</w:t>
      </w:r>
      <w:r w:rsidR="000A38CF">
        <w:rPr>
          <w:rFonts w:ascii="Times New Roman" w:eastAsia="Times New Roman" w:hAnsi="Times New Roman" w:cs="Times New Roman"/>
          <w:sz w:val="28"/>
          <w:szCs w:val="28"/>
          <w:lang w:eastAsia="ru-RU"/>
        </w:rPr>
        <w:t>.</w:t>
      </w:r>
      <w:r w:rsidRPr="0079389A">
        <w:rPr>
          <w:rFonts w:ascii="Times New Roman" w:eastAsia="Times New Roman" w:hAnsi="Times New Roman" w:cs="Times New Roman"/>
          <w:sz w:val="28"/>
          <w:szCs w:val="28"/>
          <w:lang w:eastAsia="ru-RU"/>
        </w:rPr>
        <w:t xml:space="preserve">). </w:t>
      </w:r>
      <w:r w:rsidRPr="0079389A">
        <w:rPr>
          <w:rFonts w:ascii="Times New Roman" w:eastAsia="Times New Roman" w:hAnsi="Times New Roman" w:cs="Times New Roman"/>
          <w:sz w:val="28"/>
          <w:szCs w:val="28"/>
          <w:lang w:eastAsia="ru-RU"/>
        </w:rPr>
        <w:br/>
        <w:t>VII Национальный чемпионат «</w:t>
      </w:r>
      <w:proofErr w:type="spellStart"/>
      <w:r w:rsidRPr="0079389A">
        <w:rPr>
          <w:rFonts w:ascii="Times New Roman" w:eastAsia="Times New Roman" w:hAnsi="Times New Roman" w:cs="Times New Roman"/>
          <w:sz w:val="28"/>
          <w:szCs w:val="28"/>
          <w:lang w:eastAsia="ru-RU"/>
        </w:rPr>
        <w:t>Абилимпикс</w:t>
      </w:r>
      <w:proofErr w:type="spellEnd"/>
      <w:r w:rsidRPr="0079389A">
        <w:rPr>
          <w:rFonts w:ascii="Times New Roman" w:eastAsia="Times New Roman" w:hAnsi="Times New Roman" w:cs="Times New Roman"/>
          <w:sz w:val="28"/>
          <w:szCs w:val="28"/>
          <w:lang w:eastAsia="ru-RU"/>
        </w:rPr>
        <w:t xml:space="preserve">» перенесен на 2022 </w:t>
      </w:r>
      <w:r w:rsidR="00BF6E9B">
        <w:rPr>
          <w:rFonts w:ascii="Times New Roman" w:eastAsia="Times New Roman" w:hAnsi="Times New Roman" w:cs="Times New Roman"/>
          <w:sz w:val="28"/>
          <w:szCs w:val="28"/>
          <w:lang w:eastAsia="ru-RU"/>
        </w:rPr>
        <w:t>г.</w:t>
      </w:r>
      <w:r w:rsidRPr="0079389A">
        <w:rPr>
          <w:rFonts w:ascii="Times New Roman" w:eastAsia="Times New Roman" w:hAnsi="Times New Roman" w:cs="Times New Roman"/>
          <w:sz w:val="28"/>
          <w:szCs w:val="28"/>
          <w:lang w:eastAsia="ru-RU"/>
        </w:rPr>
        <w:t xml:space="preserve"> в связи </w:t>
      </w:r>
      <w:r w:rsidR="003704DA">
        <w:rPr>
          <w:rFonts w:ascii="Times New Roman" w:eastAsia="Times New Roman" w:hAnsi="Times New Roman" w:cs="Times New Roman"/>
          <w:sz w:val="28"/>
          <w:szCs w:val="28"/>
          <w:lang w:eastAsia="ru-RU"/>
        </w:rPr>
        <w:t xml:space="preserve">со </w:t>
      </w:r>
      <w:r w:rsidRPr="0079389A">
        <w:rPr>
          <w:rFonts w:ascii="Times New Roman" w:eastAsia="Times New Roman" w:hAnsi="Times New Roman" w:cs="Times New Roman"/>
          <w:sz w:val="28"/>
          <w:szCs w:val="28"/>
          <w:lang w:eastAsia="ru-RU"/>
        </w:rPr>
        <w:t>сложно</w:t>
      </w:r>
      <w:r w:rsidR="003704DA">
        <w:rPr>
          <w:rFonts w:ascii="Times New Roman" w:eastAsia="Times New Roman" w:hAnsi="Times New Roman" w:cs="Times New Roman"/>
          <w:sz w:val="28"/>
          <w:szCs w:val="28"/>
          <w:lang w:eastAsia="ru-RU"/>
        </w:rPr>
        <w:t xml:space="preserve">й эпидемиологической ситуацией. </w:t>
      </w:r>
      <w:r w:rsidRPr="0079389A">
        <w:rPr>
          <w:rFonts w:ascii="Times New Roman" w:eastAsia="Times New Roman" w:hAnsi="Times New Roman" w:cs="Times New Roman"/>
          <w:sz w:val="28"/>
          <w:szCs w:val="28"/>
          <w:lang w:eastAsia="ru-RU"/>
        </w:rPr>
        <w:t>Общее количество участников, принявших участие в региональных чемпионатах «</w:t>
      </w:r>
      <w:proofErr w:type="spellStart"/>
      <w:r w:rsidRPr="0079389A">
        <w:rPr>
          <w:rFonts w:ascii="Times New Roman" w:eastAsia="Times New Roman" w:hAnsi="Times New Roman" w:cs="Times New Roman"/>
          <w:sz w:val="28"/>
          <w:szCs w:val="28"/>
          <w:lang w:eastAsia="ru-RU"/>
        </w:rPr>
        <w:t>Абилимпикс</w:t>
      </w:r>
      <w:proofErr w:type="spellEnd"/>
      <w:r w:rsidRPr="0079389A">
        <w:rPr>
          <w:rFonts w:ascii="Times New Roman" w:eastAsia="Times New Roman" w:hAnsi="Times New Roman" w:cs="Times New Roman"/>
          <w:sz w:val="28"/>
          <w:szCs w:val="28"/>
          <w:lang w:eastAsia="ru-RU"/>
        </w:rPr>
        <w:t>», в 2021 г</w:t>
      </w:r>
      <w:r w:rsidR="00BF6E9B">
        <w:rPr>
          <w:rFonts w:ascii="Times New Roman" w:eastAsia="Times New Roman" w:hAnsi="Times New Roman" w:cs="Times New Roman"/>
          <w:sz w:val="28"/>
          <w:szCs w:val="28"/>
          <w:lang w:eastAsia="ru-RU"/>
        </w:rPr>
        <w:t>.</w:t>
      </w:r>
      <w:r w:rsidRPr="0079389A">
        <w:rPr>
          <w:rFonts w:ascii="Times New Roman" w:eastAsia="Times New Roman" w:hAnsi="Times New Roman" w:cs="Times New Roman"/>
          <w:sz w:val="28"/>
          <w:szCs w:val="28"/>
          <w:lang w:eastAsia="ru-RU"/>
        </w:rPr>
        <w:t xml:space="preserve"> состав</w:t>
      </w:r>
      <w:r w:rsidR="003704DA">
        <w:rPr>
          <w:rFonts w:ascii="Times New Roman" w:eastAsia="Times New Roman" w:hAnsi="Times New Roman" w:cs="Times New Roman"/>
          <w:sz w:val="28"/>
          <w:szCs w:val="28"/>
          <w:lang w:eastAsia="ru-RU"/>
        </w:rPr>
        <w:t xml:space="preserve">ило 14 432 человека (без учета </w:t>
      </w:r>
      <w:r w:rsidRPr="0079389A">
        <w:rPr>
          <w:rFonts w:ascii="Times New Roman" w:eastAsia="Times New Roman" w:hAnsi="Times New Roman" w:cs="Times New Roman"/>
          <w:sz w:val="28"/>
          <w:szCs w:val="28"/>
          <w:lang w:eastAsia="ru-RU"/>
        </w:rPr>
        <w:t>г. Москвы), в том числе 7 501 участник в категори</w:t>
      </w:r>
      <w:r w:rsidR="003704DA">
        <w:rPr>
          <w:rFonts w:ascii="Times New Roman" w:eastAsia="Times New Roman" w:hAnsi="Times New Roman" w:cs="Times New Roman"/>
          <w:sz w:val="28"/>
          <w:szCs w:val="28"/>
          <w:lang w:eastAsia="ru-RU"/>
        </w:rPr>
        <w:t xml:space="preserve">и «студенты», </w:t>
      </w:r>
      <w:r w:rsidR="00150209">
        <w:rPr>
          <w:rFonts w:ascii="Times New Roman" w:eastAsia="Times New Roman" w:hAnsi="Times New Roman" w:cs="Times New Roman"/>
          <w:sz w:val="28"/>
          <w:szCs w:val="28"/>
          <w:lang w:eastAsia="ru-RU"/>
        </w:rPr>
        <w:br/>
      </w:r>
      <w:r w:rsidR="003704DA">
        <w:rPr>
          <w:rFonts w:ascii="Times New Roman" w:eastAsia="Times New Roman" w:hAnsi="Times New Roman" w:cs="Times New Roman"/>
          <w:sz w:val="28"/>
          <w:szCs w:val="28"/>
          <w:lang w:eastAsia="ru-RU"/>
        </w:rPr>
        <w:t xml:space="preserve">1 766 участников </w:t>
      </w:r>
      <w:r w:rsidRPr="0079389A">
        <w:rPr>
          <w:rFonts w:ascii="Times New Roman" w:eastAsia="Times New Roman" w:hAnsi="Times New Roman" w:cs="Times New Roman"/>
          <w:sz w:val="28"/>
          <w:szCs w:val="28"/>
          <w:lang w:eastAsia="ru-RU"/>
        </w:rPr>
        <w:t>в категории «специалисты», 5 165 участников в категории «школьники».</w:t>
      </w:r>
    </w:p>
    <w:p w14:paraId="431D78EC" w14:textId="77777777" w:rsidR="0079389A" w:rsidRPr="0079389A" w:rsidRDefault="0079389A" w:rsidP="0079389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79389A">
        <w:rPr>
          <w:rFonts w:ascii="Times New Roman" w:eastAsia="Times New Roman" w:hAnsi="Times New Roman" w:cs="Times New Roman"/>
          <w:sz w:val="28"/>
          <w:szCs w:val="28"/>
          <w:lang w:eastAsia="ru-RU"/>
        </w:rPr>
        <w:t>Совместно с Минтрудом Росс</w:t>
      </w:r>
      <w:r w:rsidR="00A52730">
        <w:rPr>
          <w:rFonts w:ascii="Times New Roman" w:eastAsia="Times New Roman" w:hAnsi="Times New Roman" w:cs="Times New Roman"/>
          <w:sz w:val="28"/>
          <w:szCs w:val="28"/>
          <w:lang w:eastAsia="ru-RU"/>
        </w:rPr>
        <w:t xml:space="preserve">ии разработан План мероприятий </w:t>
      </w:r>
      <w:r w:rsidRPr="0079389A">
        <w:rPr>
          <w:rFonts w:ascii="Times New Roman" w:eastAsia="Times New Roman" w:hAnsi="Times New Roman" w:cs="Times New Roman"/>
          <w:sz w:val="28"/>
          <w:szCs w:val="28"/>
          <w:lang w:eastAsia="ru-RU"/>
        </w:rPr>
        <w:t>по трудоустройству инвалидов из</w:t>
      </w:r>
      <w:r w:rsidR="00A52730">
        <w:rPr>
          <w:rFonts w:ascii="Times New Roman" w:eastAsia="Times New Roman" w:hAnsi="Times New Roman" w:cs="Times New Roman"/>
          <w:sz w:val="28"/>
          <w:szCs w:val="28"/>
          <w:lang w:eastAsia="ru-RU"/>
        </w:rPr>
        <w:t xml:space="preserve"> числа участников национальных </w:t>
      </w:r>
      <w:r w:rsidRPr="0079389A">
        <w:rPr>
          <w:rFonts w:ascii="Times New Roman" w:eastAsia="Times New Roman" w:hAnsi="Times New Roman" w:cs="Times New Roman"/>
          <w:sz w:val="28"/>
          <w:szCs w:val="28"/>
          <w:lang w:eastAsia="ru-RU"/>
        </w:rPr>
        <w:t>и региональных чемпионатов по профессиональн</w:t>
      </w:r>
      <w:r w:rsidR="00A52730">
        <w:rPr>
          <w:rFonts w:ascii="Times New Roman" w:eastAsia="Times New Roman" w:hAnsi="Times New Roman" w:cs="Times New Roman"/>
          <w:sz w:val="28"/>
          <w:szCs w:val="28"/>
          <w:lang w:eastAsia="ru-RU"/>
        </w:rPr>
        <w:t xml:space="preserve">ому мастерству среди инвалидов </w:t>
      </w:r>
      <w:r w:rsidRPr="0079389A">
        <w:rPr>
          <w:rFonts w:ascii="Times New Roman" w:eastAsia="Times New Roman" w:hAnsi="Times New Roman" w:cs="Times New Roman"/>
          <w:sz w:val="28"/>
          <w:szCs w:val="28"/>
          <w:lang w:eastAsia="ru-RU"/>
        </w:rPr>
        <w:t xml:space="preserve">и лиц с </w:t>
      </w:r>
      <w:r w:rsidR="00A52730">
        <w:rPr>
          <w:rFonts w:ascii="Times New Roman" w:eastAsia="Times New Roman" w:hAnsi="Times New Roman" w:cs="Times New Roman"/>
          <w:sz w:val="28"/>
          <w:szCs w:val="28"/>
          <w:lang w:eastAsia="ru-RU"/>
        </w:rPr>
        <w:t>ОВЗ</w:t>
      </w:r>
      <w:r w:rsidRPr="0079389A">
        <w:rPr>
          <w:rFonts w:ascii="Times New Roman" w:eastAsia="Times New Roman" w:hAnsi="Times New Roman" w:cs="Times New Roman"/>
          <w:sz w:val="28"/>
          <w:szCs w:val="28"/>
          <w:lang w:eastAsia="ru-RU"/>
        </w:rPr>
        <w:t xml:space="preserve"> «</w:t>
      </w:r>
      <w:proofErr w:type="spellStart"/>
      <w:r w:rsidRPr="0079389A">
        <w:rPr>
          <w:rFonts w:ascii="Times New Roman" w:eastAsia="Times New Roman" w:hAnsi="Times New Roman" w:cs="Times New Roman"/>
          <w:sz w:val="28"/>
          <w:szCs w:val="28"/>
          <w:lang w:eastAsia="ru-RU"/>
        </w:rPr>
        <w:t>Абилимпикс</w:t>
      </w:r>
      <w:proofErr w:type="spellEnd"/>
      <w:r w:rsidRPr="0079389A">
        <w:rPr>
          <w:rFonts w:ascii="Times New Roman" w:eastAsia="Times New Roman" w:hAnsi="Times New Roman" w:cs="Times New Roman"/>
          <w:sz w:val="28"/>
          <w:szCs w:val="28"/>
          <w:lang w:eastAsia="ru-RU"/>
        </w:rPr>
        <w:t xml:space="preserve">» на </w:t>
      </w:r>
      <w:r w:rsidR="00BF6E9B">
        <w:rPr>
          <w:rFonts w:ascii="Times New Roman" w:eastAsia="Times New Roman" w:hAnsi="Times New Roman" w:cs="Times New Roman"/>
          <w:sz w:val="28"/>
          <w:szCs w:val="28"/>
          <w:lang w:eastAsia="ru-RU"/>
        </w:rPr>
        <w:t>2021-2025 гг</w:t>
      </w:r>
      <w:r w:rsidRPr="0079389A">
        <w:rPr>
          <w:rFonts w:ascii="Times New Roman" w:eastAsia="Times New Roman" w:hAnsi="Times New Roman" w:cs="Times New Roman"/>
          <w:sz w:val="28"/>
          <w:szCs w:val="28"/>
          <w:lang w:eastAsia="ru-RU"/>
        </w:rPr>
        <w:t>. Ведется активная работа по реализаци</w:t>
      </w:r>
      <w:r w:rsidR="00BF6E9B">
        <w:rPr>
          <w:rFonts w:ascii="Times New Roman" w:eastAsia="Times New Roman" w:hAnsi="Times New Roman" w:cs="Times New Roman"/>
          <w:sz w:val="28"/>
          <w:szCs w:val="28"/>
          <w:lang w:eastAsia="ru-RU"/>
        </w:rPr>
        <w:t>и данного плана.</w:t>
      </w:r>
    </w:p>
    <w:p w14:paraId="5CB4C289" w14:textId="77777777" w:rsidR="0079389A" w:rsidRPr="0079389A" w:rsidRDefault="0079389A" w:rsidP="0079389A">
      <w:pPr>
        <w:widowControl w:val="0"/>
        <w:tabs>
          <w:tab w:val="left" w:pos="5268"/>
        </w:tabs>
        <w:suppressAutoHyphens/>
        <w:spacing w:after="0" w:line="312" w:lineRule="auto"/>
        <w:ind w:firstLine="709"/>
        <w:jc w:val="both"/>
        <w:rPr>
          <w:rFonts w:ascii="Times New Roman" w:eastAsia="Times New Roman" w:hAnsi="Times New Roman" w:cs="Times New Roman"/>
          <w:sz w:val="28"/>
          <w:szCs w:val="28"/>
          <w:lang w:eastAsia="ru-RU"/>
        </w:rPr>
      </w:pPr>
      <w:r w:rsidRPr="0079389A">
        <w:rPr>
          <w:rFonts w:ascii="Times New Roman" w:eastAsia="Times New Roman" w:hAnsi="Times New Roman" w:cs="Times New Roman"/>
          <w:sz w:val="28"/>
          <w:szCs w:val="28"/>
          <w:lang w:eastAsia="ru-RU"/>
        </w:rPr>
        <w:t>По итогам 2021 г</w:t>
      </w:r>
      <w:r w:rsidR="00BF6E9B">
        <w:rPr>
          <w:rFonts w:ascii="Times New Roman" w:eastAsia="Times New Roman" w:hAnsi="Times New Roman" w:cs="Times New Roman"/>
          <w:sz w:val="28"/>
          <w:szCs w:val="28"/>
          <w:lang w:eastAsia="ru-RU"/>
        </w:rPr>
        <w:t>.</w:t>
      </w:r>
      <w:r w:rsidRPr="0079389A">
        <w:rPr>
          <w:rFonts w:ascii="Times New Roman" w:eastAsia="Times New Roman" w:hAnsi="Times New Roman" w:cs="Times New Roman"/>
          <w:sz w:val="28"/>
          <w:szCs w:val="28"/>
          <w:lang w:eastAsia="ru-RU"/>
        </w:rPr>
        <w:t xml:space="preserve"> Минпросв</w:t>
      </w:r>
      <w:r w:rsidR="00A52730">
        <w:rPr>
          <w:rFonts w:ascii="Times New Roman" w:eastAsia="Times New Roman" w:hAnsi="Times New Roman" w:cs="Times New Roman"/>
          <w:sz w:val="28"/>
          <w:szCs w:val="28"/>
          <w:lang w:eastAsia="ru-RU"/>
        </w:rPr>
        <w:t xml:space="preserve">ещения России осуществлен сбор </w:t>
      </w:r>
      <w:r w:rsidRPr="0079389A">
        <w:rPr>
          <w:rFonts w:ascii="Times New Roman" w:eastAsia="Times New Roman" w:hAnsi="Times New Roman" w:cs="Times New Roman"/>
          <w:sz w:val="28"/>
          <w:szCs w:val="28"/>
          <w:lang w:eastAsia="ru-RU"/>
        </w:rPr>
        <w:t>и анализ сведений по мониторингу</w:t>
      </w:r>
      <w:r w:rsidRPr="0079389A">
        <w:rPr>
          <w:rFonts w:ascii="Times New Roman" w:eastAsia="Times New Roman" w:hAnsi="Times New Roman" w:cs="Times New Roman"/>
          <w:b/>
          <w:bCs/>
          <w:sz w:val="28"/>
          <w:szCs w:val="28"/>
          <w:lang w:eastAsia="ru-RU"/>
        </w:rPr>
        <w:t xml:space="preserve"> </w:t>
      </w:r>
      <w:r w:rsidRPr="0079389A">
        <w:rPr>
          <w:rFonts w:ascii="Times New Roman" w:eastAsia="Times New Roman" w:hAnsi="Times New Roman" w:cs="Times New Roman"/>
          <w:sz w:val="28"/>
          <w:szCs w:val="28"/>
          <w:lang w:eastAsia="ru-RU"/>
        </w:rPr>
        <w:t>трудоу</w:t>
      </w:r>
      <w:r w:rsidR="00A52730">
        <w:rPr>
          <w:rFonts w:ascii="Times New Roman" w:eastAsia="Times New Roman" w:hAnsi="Times New Roman" w:cs="Times New Roman"/>
          <w:sz w:val="28"/>
          <w:szCs w:val="28"/>
          <w:lang w:eastAsia="ru-RU"/>
        </w:rPr>
        <w:t xml:space="preserve">стройства участников конкурсов </w:t>
      </w:r>
      <w:r w:rsidRPr="0079389A">
        <w:rPr>
          <w:rFonts w:ascii="Times New Roman" w:eastAsia="Times New Roman" w:hAnsi="Times New Roman" w:cs="Times New Roman"/>
          <w:sz w:val="28"/>
          <w:szCs w:val="28"/>
          <w:lang w:eastAsia="ru-RU"/>
        </w:rPr>
        <w:t>по профессиональному мастерству среди инвалидов и лиц с ограниченными возможностями здоровья «</w:t>
      </w:r>
      <w:proofErr w:type="spellStart"/>
      <w:r w:rsidRPr="0079389A">
        <w:rPr>
          <w:rFonts w:ascii="Times New Roman" w:eastAsia="Times New Roman" w:hAnsi="Times New Roman" w:cs="Times New Roman"/>
          <w:sz w:val="28"/>
          <w:szCs w:val="28"/>
          <w:lang w:eastAsia="ru-RU"/>
        </w:rPr>
        <w:t>Абилимпикс</w:t>
      </w:r>
      <w:proofErr w:type="spellEnd"/>
      <w:r w:rsidRPr="0079389A">
        <w:rPr>
          <w:rFonts w:ascii="Times New Roman" w:eastAsia="Times New Roman" w:hAnsi="Times New Roman" w:cs="Times New Roman"/>
          <w:sz w:val="28"/>
          <w:szCs w:val="28"/>
          <w:lang w:eastAsia="ru-RU"/>
        </w:rPr>
        <w:t>».</w:t>
      </w:r>
    </w:p>
    <w:p w14:paraId="1D97E294" w14:textId="77777777" w:rsidR="0079389A" w:rsidRPr="0079389A" w:rsidRDefault="00A52730" w:rsidP="0079389A">
      <w:pPr>
        <w:widowControl w:val="0"/>
        <w:tabs>
          <w:tab w:val="left" w:pos="5268"/>
        </w:tabs>
        <w:suppressAutoHyphen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состоянию н</w:t>
      </w:r>
      <w:r w:rsidR="0079389A" w:rsidRPr="0079389A">
        <w:rPr>
          <w:rFonts w:ascii="Times New Roman" w:eastAsia="Times New Roman" w:hAnsi="Times New Roman" w:cs="Times New Roman"/>
          <w:sz w:val="28"/>
          <w:szCs w:val="28"/>
          <w:lang w:eastAsia="ru-RU"/>
        </w:rPr>
        <w:t>а 1 января 2022 г</w:t>
      </w:r>
      <w:r w:rsidR="008C1A64">
        <w:rPr>
          <w:rFonts w:ascii="Times New Roman" w:eastAsia="Times New Roman" w:hAnsi="Times New Roman" w:cs="Times New Roman"/>
          <w:sz w:val="28"/>
          <w:szCs w:val="28"/>
          <w:lang w:eastAsia="ru-RU"/>
        </w:rPr>
        <w:t>.</w:t>
      </w:r>
      <w:r w:rsidR="0079389A" w:rsidRPr="0079389A">
        <w:rPr>
          <w:rFonts w:ascii="Times New Roman" w:eastAsia="Times New Roman" w:hAnsi="Times New Roman" w:cs="Times New Roman"/>
          <w:sz w:val="28"/>
          <w:szCs w:val="28"/>
          <w:lang w:eastAsia="ru-RU"/>
        </w:rPr>
        <w:t xml:space="preserve"> количество у</w:t>
      </w:r>
      <w:r>
        <w:rPr>
          <w:rFonts w:ascii="Times New Roman" w:eastAsia="Times New Roman" w:hAnsi="Times New Roman" w:cs="Times New Roman"/>
          <w:sz w:val="28"/>
          <w:szCs w:val="28"/>
          <w:lang w:eastAsia="ru-RU"/>
        </w:rPr>
        <w:t xml:space="preserve">никальных участников составило </w:t>
      </w:r>
      <w:r w:rsidR="0079389A" w:rsidRPr="0079389A">
        <w:rPr>
          <w:rFonts w:ascii="Times New Roman" w:eastAsia="Times New Roman" w:hAnsi="Times New Roman" w:cs="Times New Roman"/>
          <w:sz w:val="28"/>
          <w:szCs w:val="28"/>
          <w:lang w:eastAsia="ru-RU"/>
        </w:rPr>
        <w:t xml:space="preserve">34 911 человек. Из них: </w:t>
      </w:r>
    </w:p>
    <w:p w14:paraId="66DC1550" w14:textId="77777777" w:rsidR="0079389A" w:rsidRPr="0079389A" w:rsidRDefault="00A52730" w:rsidP="0079389A">
      <w:pPr>
        <w:widowControl w:val="0"/>
        <w:tabs>
          <w:tab w:val="left" w:pos="5268"/>
        </w:tabs>
        <w:suppressAutoHyphen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22 402 (64,17%) человека</w:t>
      </w:r>
      <w:r w:rsidR="0079389A" w:rsidRPr="0079389A">
        <w:rPr>
          <w:rFonts w:ascii="Times New Roman" w:eastAsia="Times New Roman" w:hAnsi="Times New Roman" w:cs="Times New Roman"/>
          <w:sz w:val="28"/>
          <w:szCs w:val="28"/>
          <w:lang w:eastAsia="ru-RU"/>
        </w:rPr>
        <w:t xml:space="preserve"> продолжают обучение на разных уровнях образования; </w:t>
      </w:r>
    </w:p>
    <w:p w14:paraId="242A9E31" w14:textId="77777777" w:rsidR="0079389A" w:rsidRPr="0079389A" w:rsidRDefault="0079389A" w:rsidP="0079389A">
      <w:pPr>
        <w:widowControl w:val="0"/>
        <w:tabs>
          <w:tab w:val="left" w:pos="5268"/>
        </w:tabs>
        <w:suppressAutoHyphens/>
        <w:spacing w:after="0" w:line="312" w:lineRule="auto"/>
        <w:ind w:firstLine="709"/>
        <w:jc w:val="both"/>
        <w:rPr>
          <w:rFonts w:ascii="Times New Roman" w:eastAsia="Times New Roman" w:hAnsi="Times New Roman" w:cs="Times New Roman"/>
          <w:sz w:val="28"/>
          <w:szCs w:val="28"/>
          <w:lang w:eastAsia="ru-RU"/>
        </w:rPr>
      </w:pPr>
      <w:r w:rsidRPr="0079389A">
        <w:rPr>
          <w:rFonts w:ascii="Times New Roman" w:eastAsia="Times New Roman" w:hAnsi="Times New Roman" w:cs="Times New Roman"/>
          <w:sz w:val="28"/>
          <w:szCs w:val="28"/>
          <w:lang w:eastAsia="ru-RU"/>
        </w:rPr>
        <w:t>– 8 376 (23,99%) человек</w:t>
      </w:r>
      <w:r w:rsidR="00A52730">
        <w:rPr>
          <w:rFonts w:ascii="Times New Roman" w:eastAsia="Times New Roman" w:hAnsi="Times New Roman" w:cs="Times New Roman"/>
          <w:sz w:val="28"/>
          <w:szCs w:val="28"/>
          <w:lang w:eastAsia="ru-RU"/>
        </w:rPr>
        <w:t xml:space="preserve"> </w:t>
      </w:r>
      <w:r w:rsidRPr="0079389A">
        <w:rPr>
          <w:rFonts w:ascii="Times New Roman" w:eastAsia="Times New Roman" w:hAnsi="Times New Roman" w:cs="Times New Roman"/>
          <w:sz w:val="28"/>
          <w:szCs w:val="28"/>
          <w:lang w:eastAsia="ru-RU"/>
        </w:rPr>
        <w:t>трудоустроено на предприятиях различных организационно-правовых форм, из них 29</w:t>
      </w:r>
      <w:r w:rsidR="00326C39">
        <w:rPr>
          <w:rFonts w:ascii="Times New Roman" w:eastAsia="Times New Roman" w:hAnsi="Times New Roman" w:cs="Times New Roman"/>
          <w:sz w:val="28"/>
          <w:szCs w:val="28"/>
          <w:lang w:eastAsia="ru-RU"/>
        </w:rPr>
        <w:t>5</w:t>
      </w:r>
      <w:r w:rsidRPr="0079389A">
        <w:rPr>
          <w:rFonts w:ascii="Times New Roman" w:eastAsia="Times New Roman" w:hAnsi="Times New Roman" w:cs="Times New Roman"/>
          <w:sz w:val="28"/>
          <w:szCs w:val="28"/>
          <w:lang w:eastAsia="ru-RU"/>
        </w:rPr>
        <w:t xml:space="preserve"> человек из 5</w:t>
      </w:r>
      <w:r w:rsidR="00326C39">
        <w:rPr>
          <w:rFonts w:ascii="Times New Roman" w:eastAsia="Times New Roman" w:hAnsi="Times New Roman" w:cs="Times New Roman"/>
          <w:sz w:val="28"/>
          <w:szCs w:val="28"/>
          <w:lang w:eastAsia="ru-RU"/>
        </w:rPr>
        <w:t>1</w:t>
      </w:r>
      <w:r w:rsidRPr="0079389A">
        <w:rPr>
          <w:rFonts w:ascii="Times New Roman" w:eastAsia="Times New Roman" w:hAnsi="Times New Roman" w:cs="Times New Roman"/>
          <w:sz w:val="28"/>
          <w:szCs w:val="28"/>
          <w:lang w:eastAsia="ru-RU"/>
        </w:rPr>
        <w:t xml:space="preserve"> субъект</w:t>
      </w:r>
      <w:r w:rsidR="00326C39">
        <w:rPr>
          <w:rFonts w:ascii="Times New Roman" w:eastAsia="Times New Roman" w:hAnsi="Times New Roman" w:cs="Times New Roman"/>
          <w:sz w:val="28"/>
          <w:szCs w:val="28"/>
          <w:lang w:eastAsia="ru-RU"/>
        </w:rPr>
        <w:t>а</w:t>
      </w:r>
      <w:r w:rsidRPr="0079389A">
        <w:rPr>
          <w:rFonts w:ascii="Times New Roman" w:eastAsia="Times New Roman" w:hAnsi="Times New Roman" w:cs="Times New Roman"/>
          <w:sz w:val="28"/>
          <w:szCs w:val="28"/>
          <w:lang w:eastAsia="ru-RU"/>
        </w:rPr>
        <w:t xml:space="preserve"> Российской Федерации организовали собственное дело или зарегистрированы как </w:t>
      </w:r>
      <w:proofErr w:type="spellStart"/>
      <w:r w:rsidRPr="0079389A">
        <w:rPr>
          <w:rFonts w:ascii="Times New Roman" w:eastAsia="Times New Roman" w:hAnsi="Times New Roman" w:cs="Times New Roman"/>
          <w:sz w:val="28"/>
          <w:szCs w:val="28"/>
          <w:lang w:eastAsia="ru-RU"/>
        </w:rPr>
        <w:t>самозанятые</w:t>
      </w:r>
      <w:proofErr w:type="spellEnd"/>
      <w:r w:rsidRPr="0079389A">
        <w:rPr>
          <w:rFonts w:ascii="Times New Roman" w:eastAsia="Times New Roman" w:hAnsi="Times New Roman" w:cs="Times New Roman"/>
          <w:sz w:val="28"/>
          <w:szCs w:val="28"/>
          <w:lang w:eastAsia="ru-RU"/>
        </w:rPr>
        <w:t>;</w:t>
      </w:r>
    </w:p>
    <w:p w14:paraId="12038882" w14:textId="77777777" w:rsidR="0079389A" w:rsidRPr="0079389A" w:rsidRDefault="0079389A" w:rsidP="0079389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79389A">
        <w:rPr>
          <w:rFonts w:ascii="Times New Roman" w:eastAsia="Times New Roman" w:hAnsi="Times New Roman" w:cs="Times New Roman"/>
          <w:sz w:val="28"/>
          <w:szCs w:val="28"/>
          <w:lang w:eastAsia="ru-RU"/>
        </w:rPr>
        <w:t>– 4 133 (11,84%) человека не труд</w:t>
      </w:r>
      <w:r w:rsidR="00A52730">
        <w:rPr>
          <w:rFonts w:ascii="Times New Roman" w:eastAsia="Times New Roman" w:hAnsi="Times New Roman" w:cs="Times New Roman"/>
          <w:sz w:val="28"/>
          <w:szCs w:val="28"/>
          <w:lang w:eastAsia="ru-RU"/>
        </w:rPr>
        <w:t xml:space="preserve">оустроено, из них 164 человека </w:t>
      </w:r>
      <w:r w:rsidRPr="0079389A">
        <w:rPr>
          <w:rFonts w:ascii="Times New Roman" w:eastAsia="Times New Roman" w:hAnsi="Times New Roman" w:cs="Times New Roman"/>
          <w:sz w:val="28"/>
          <w:szCs w:val="28"/>
          <w:lang w:eastAsia="ru-RU"/>
        </w:rPr>
        <w:t xml:space="preserve">изъявили желание трудоустроиться и находятся в поиске работы, остальные участники </w:t>
      </w:r>
      <w:r w:rsidR="00423309">
        <w:rPr>
          <w:rFonts w:ascii="Times New Roman" w:eastAsia="Times New Roman" w:hAnsi="Times New Roman" w:cs="Times New Roman"/>
          <w:sz w:val="28"/>
          <w:szCs w:val="28"/>
          <w:lang w:eastAsia="ru-RU"/>
        </w:rPr>
        <w:br/>
      </w:r>
      <w:r w:rsidRPr="0079389A">
        <w:rPr>
          <w:rFonts w:ascii="Times New Roman" w:eastAsia="Times New Roman" w:hAnsi="Times New Roman" w:cs="Times New Roman"/>
          <w:sz w:val="28"/>
          <w:szCs w:val="28"/>
          <w:lang w:eastAsia="ru-RU"/>
        </w:rPr>
        <w:t>(3 969 человек) не трудоу</w:t>
      </w:r>
      <w:r w:rsidR="00A52730">
        <w:rPr>
          <w:rFonts w:ascii="Times New Roman" w:eastAsia="Times New Roman" w:hAnsi="Times New Roman" w:cs="Times New Roman"/>
          <w:sz w:val="28"/>
          <w:szCs w:val="28"/>
          <w:lang w:eastAsia="ru-RU"/>
        </w:rPr>
        <w:t xml:space="preserve">строены по следующим причинам: </w:t>
      </w:r>
      <w:r w:rsidRPr="0079389A">
        <w:rPr>
          <w:rFonts w:ascii="Times New Roman" w:eastAsia="Calibri" w:hAnsi="Times New Roman" w:cs="Times New Roman"/>
          <w:sz w:val="28"/>
          <w:szCs w:val="28"/>
          <w:lang w:eastAsia="ru-RU"/>
        </w:rPr>
        <w:t>по состоянию здоровья, находятся на реабилитации, планируют продолжить обучение в следующем учебном году, находятся в декретном отпуске, являются пенсионерами, служат в вооруженных силах Российской Федерации.</w:t>
      </w:r>
    </w:p>
    <w:p w14:paraId="2C989A60" w14:textId="77777777" w:rsidR="0079389A" w:rsidRPr="0079389A" w:rsidRDefault="0079389A" w:rsidP="00A52730">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79389A">
        <w:rPr>
          <w:rFonts w:ascii="Times New Roman" w:eastAsia="Times New Roman" w:hAnsi="Times New Roman" w:cs="Times New Roman"/>
          <w:sz w:val="28"/>
          <w:szCs w:val="28"/>
          <w:lang w:eastAsia="ru-RU"/>
        </w:rPr>
        <w:t>В 2021 г</w:t>
      </w:r>
      <w:r w:rsidR="00954A0E">
        <w:rPr>
          <w:rFonts w:ascii="Times New Roman" w:eastAsia="Times New Roman" w:hAnsi="Times New Roman" w:cs="Times New Roman"/>
          <w:sz w:val="28"/>
          <w:szCs w:val="28"/>
          <w:lang w:eastAsia="ru-RU"/>
        </w:rPr>
        <w:t>.</w:t>
      </w:r>
      <w:r w:rsidRPr="0079389A">
        <w:rPr>
          <w:rFonts w:ascii="Times New Roman" w:eastAsia="Times New Roman" w:hAnsi="Times New Roman" w:cs="Times New Roman"/>
          <w:sz w:val="28"/>
          <w:szCs w:val="28"/>
          <w:lang w:eastAsia="ru-RU"/>
        </w:rPr>
        <w:t xml:space="preserve"> разрабатывался порядок предоставления сертификатов победителям чемпионатов по профессиональному мастерству среди инвалидов и лиц с </w:t>
      </w:r>
      <w:r w:rsidR="00A52730">
        <w:rPr>
          <w:rFonts w:ascii="Times New Roman" w:eastAsia="Times New Roman" w:hAnsi="Times New Roman" w:cs="Times New Roman"/>
          <w:sz w:val="28"/>
          <w:szCs w:val="28"/>
          <w:lang w:eastAsia="ru-RU"/>
        </w:rPr>
        <w:t>ОВЗ «</w:t>
      </w:r>
      <w:proofErr w:type="spellStart"/>
      <w:r w:rsidR="00A52730">
        <w:rPr>
          <w:rFonts w:ascii="Times New Roman" w:eastAsia="Times New Roman" w:hAnsi="Times New Roman" w:cs="Times New Roman"/>
          <w:sz w:val="28"/>
          <w:szCs w:val="28"/>
          <w:lang w:eastAsia="ru-RU"/>
        </w:rPr>
        <w:t>Абилимпикс</w:t>
      </w:r>
      <w:proofErr w:type="spellEnd"/>
      <w:r w:rsidR="00A52730">
        <w:rPr>
          <w:rFonts w:ascii="Times New Roman" w:eastAsia="Times New Roman" w:hAnsi="Times New Roman" w:cs="Times New Roman"/>
          <w:sz w:val="28"/>
          <w:szCs w:val="28"/>
          <w:lang w:eastAsia="ru-RU"/>
        </w:rPr>
        <w:t xml:space="preserve">». </w:t>
      </w:r>
      <w:r w:rsidRPr="0079389A">
        <w:rPr>
          <w:rFonts w:ascii="Times New Roman" w:eastAsia="Times New Roman" w:hAnsi="Times New Roman" w:cs="Times New Roman"/>
          <w:sz w:val="28"/>
          <w:szCs w:val="28"/>
          <w:lang w:eastAsia="ru-RU"/>
        </w:rPr>
        <w:t>Порядком предусмотрено предоставление сертификатов победителям Национальных и Международных чемпионатов, занявши</w:t>
      </w:r>
      <w:r w:rsidR="00A52730">
        <w:rPr>
          <w:rFonts w:ascii="Times New Roman" w:eastAsia="Times New Roman" w:hAnsi="Times New Roman" w:cs="Times New Roman"/>
          <w:sz w:val="28"/>
          <w:szCs w:val="28"/>
          <w:lang w:eastAsia="ru-RU"/>
        </w:rPr>
        <w:t>м</w:t>
      </w:r>
      <w:r w:rsidRPr="0079389A">
        <w:rPr>
          <w:rFonts w:ascii="Times New Roman" w:eastAsia="Times New Roman" w:hAnsi="Times New Roman" w:cs="Times New Roman"/>
          <w:sz w:val="28"/>
          <w:szCs w:val="28"/>
          <w:lang w:eastAsia="ru-RU"/>
        </w:rPr>
        <w:t xml:space="preserve"> первое, второе и третье места в категориях школьники, студенты и специалисты, которые могут быть использованы по следующим направлениям:</w:t>
      </w:r>
    </w:p>
    <w:p w14:paraId="756722B9" w14:textId="77777777" w:rsidR="0079389A" w:rsidRPr="0079389A" w:rsidRDefault="00A52730" w:rsidP="00A52730">
      <w:pPr>
        <w:widowControl w:val="0"/>
        <w:suppressAutoHyphen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категории «школьники» </w:t>
      </w:r>
      <w:r w:rsidR="00C543FD" w:rsidRPr="0079389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79389A" w:rsidRPr="0079389A">
        <w:rPr>
          <w:rFonts w:ascii="Times New Roman" w:eastAsia="Times New Roman" w:hAnsi="Times New Roman" w:cs="Times New Roman"/>
          <w:sz w:val="28"/>
          <w:szCs w:val="28"/>
          <w:lang w:eastAsia="ru-RU"/>
        </w:rPr>
        <w:t>получение дополнительного образования детей и (или) приобретение специализированных технических средств реабилитации;</w:t>
      </w:r>
    </w:p>
    <w:p w14:paraId="10AC08D9" w14:textId="77777777" w:rsidR="0079389A" w:rsidRPr="0079389A" w:rsidRDefault="0079389A" w:rsidP="00A52730">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79389A">
        <w:rPr>
          <w:rFonts w:ascii="Times New Roman" w:eastAsia="Times New Roman" w:hAnsi="Times New Roman" w:cs="Times New Roman"/>
          <w:sz w:val="28"/>
          <w:szCs w:val="28"/>
          <w:lang w:eastAsia="ru-RU"/>
        </w:rPr>
        <w:t>в катего</w:t>
      </w:r>
      <w:r w:rsidR="00A52730">
        <w:rPr>
          <w:rFonts w:ascii="Times New Roman" w:eastAsia="Times New Roman" w:hAnsi="Times New Roman" w:cs="Times New Roman"/>
          <w:sz w:val="28"/>
          <w:szCs w:val="28"/>
          <w:lang w:eastAsia="ru-RU"/>
        </w:rPr>
        <w:t xml:space="preserve">рии «студенты» и «специалисты» </w:t>
      </w:r>
      <w:r w:rsidRPr="0079389A">
        <w:rPr>
          <w:rFonts w:ascii="Times New Roman" w:eastAsia="Times New Roman" w:hAnsi="Times New Roman" w:cs="Times New Roman"/>
          <w:sz w:val="28"/>
          <w:szCs w:val="28"/>
          <w:lang w:eastAsia="ru-RU"/>
        </w:rPr>
        <w:t>– получение дополнительного профессионального образовани</w:t>
      </w:r>
      <w:r w:rsidR="00A52730">
        <w:rPr>
          <w:rFonts w:ascii="Times New Roman" w:eastAsia="Times New Roman" w:hAnsi="Times New Roman" w:cs="Times New Roman"/>
          <w:sz w:val="28"/>
          <w:szCs w:val="28"/>
          <w:lang w:eastAsia="ru-RU"/>
        </w:rPr>
        <w:t xml:space="preserve">я </w:t>
      </w:r>
      <w:r w:rsidRPr="0079389A">
        <w:rPr>
          <w:rFonts w:ascii="Times New Roman" w:eastAsia="Times New Roman" w:hAnsi="Times New Roman" w:cs="Times New Roman"/>
          <w:sz w:val="28"/>
          <w:szCs w:val="28"/>
          <w:lang w:eastAsia="ru-RU"/>
        </w:rPr>
        <w:t>в организациях, осуществляющи</w:t>
      </w:r>
      <w:r w:rsidR="00A52730">
        <w:rPr>
          <w:rFonts w:ascii="Times New Roman" w:eastAsia="Times New Roman" w:hAnsi="Times New Roman" w:cs="Times New Roman"/>
          <w:sz w:val="28"/>
          <w:szCs w:val="28"/>
          <w:lang w:eastAsia="ru-RU"/>
        </w:rPr>
        <w:t xml:space="preserve">х образовательную деятельность </w:t>
      </w:r>
      <w:r w:rsidRPr="0079389A">
        <w:rPr>
          <w:rFonts w:ascii="Times New Roman" w:eastAsia="Times New Roman" w:hAnsi="Times New Roman" w:cs="Times New Roman"/>
          <w:sz w:val="28"/>
          <w:szCs w:val="28"/>
          <w:lang w:eastAsia="ru-RU"/>
        </w:rPr>
        <w:t>расположенных на территории Российской Федерации,</w:t>
      </w:r>
      <w:r w:rsidR="00A52730">
        <w:rPr>
          <w:rFonts w:ascii="Times New Roman" w:eastAsia="Times New Roman" w:hAnsi="Times New Roman" w:cs="Times New Roman"/>
          <w:sz w:val="28"/>
          <w:szCs w:val="28"/>
          <w:lang w:eastAsia="ru-RU"/>
        </w:rPr>
        <w:t xml:space="preserve"> в том числе в форме стажировок</w:t>
      </w:r>
      <w:r w:rsidRPr="0079389A">
        <w:rPr>
          <w:rFonts w:ascii="Times New Roman" w:eastAsia="Times New Roman" w:hAnsi="Times New Roman" w:cs="Times New Roman"/>
          <w:sz w:val="28"/>
          <w:szCs w:val="28"/>
          <w:lang w:eastAsia="ru-RU"/>
        </w:rPr>
        <w:t xml:space="preserve"> и (или) приобретение специализированных технических средств реабилитации.</w:t>
      </w:r>
    </w:p>
    <w:p w14:paraId="32DC2734" w14:textId="77777777" w:rsidR="0079389A" w:rsidRPr="0079389A" w:rsidRDefault="0079389A" w:rsidP="00A52730">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79389A">
        <w:rPr>
          <w:rFonts w:ascii="Times New Roman" w:eastAsia="Times New Roman" w:hAnsi="Times New Roman" w:cs="Times New Roman"/>
          <w:sz w:val="28"/>
          <w:szCs w:val="28"/>
          <w:lang w:eastAsia="ru-RU"/>
        </w:rPr>
        <w:t>Еще одной профориентацио</w:t>
      </w:r>
      <w:r w:rsidR="00A52730">
        <w:rPr>
          <w:rFonts w:ascii="Times New Roman" w:eastAsia="Times New Roman" w:hAnsi="Times New Roman" w:cs="Times New Roman"/>
          <w:sz w:val="28"/>
          <w:szCs w:val="28"/>
          <w:lang w:eastAsia="ru-RU"/>
        </w:rPr>
        <w:t xml:space="preserve">нной площадкой для обучающихся </w:t>
      </w:r>
      <w:r w:rsidRPr="0079389A">
        <w:rPr>
          <w:rFonts w:ascii="Times New Roman" w:eastAsia="Times New Roman" w:hAnsi="Times New Roman" w:cs="Times New Roman"/>
          <w:sz w:val="28"/>
          <w:szCs w:val="28"/>
          <w:lang w:eastAsia="ru-RU"/>
        </w:rPr>
        <w:t xml:space="preserve">с </w:t>
      </w:r>
      <w:r w:rsidR="00A52730">
        <w:rPr>
          <w:rFonts w:ascii="Times New Roman" w:eastAsia="Times New Roman" w:hAnsi="Times New Roman" w:cs="Times New Roman"/>
          <w:bCs/>
          <w:sz w:val="28"/>
          <w:szCs w:val="28"/>
          <w:lang w:eastAsia="ru-RU"/>
        </w:rPr>
        <w:t>ОВЗ</w:t>
      </w:r>
      <w:r w:rsidRPr="0079389A">
        <w:rPr>
          <w:rFonts w:ascii="Times New Roman" w:eastAsia="Times New Roman" w:hAnsi="Times New Roman" w:cs="Times New Roman"/>
          <w:sz w:val="28"/>
          <w:szCs w:val="28"/>
          <w:lang w:eastAsia="ru-RU"/>
        </w:rPr>
        <w:t>, с инвалидностью стал традиционный Большой всероссийский фестиваль детского и юношеского творчества, ежегодно проводящийся Минпросв</w:t>
      </w:r>
      <w:r w:rsidR="00A52730">
        <w:rPr>
          <w:rFonts w:ascii="Times New Roman" w:eastAsia="Times New Roman" w:hAnsi="Times New Roman" w:cs="Times New Roman"/>
          <w:sz w:val="28"/>
          <w:szCs w:val="28"/>
          <w:lang w:eastAsia="ru-RU"/>
        </w:rPr>
        <w:t xml:space="preserve">ещения России. </w:t>
      </w:r>
      <w:r w:rsidR="00A52730">
        <w:rPr>
          <w:rFonts w:ascii="Times New Roman" w:eastAsia="Times New Roman" w:hAnsi="Times New Roman" w:cs="Times New Roman"/>
          <w:sz w:val="28"/>
          <w:szCs w:val="28"/>
          <w:lang w:eastAsia="ru-RU"/>
        </w:rPr>
        <w:br/>
      </w:r>
      <w:r w:rsidRPr="0079389A">
        <w:rPr>
          <w:rFonts w:ascii="Times New Roman" w:eastAsia="Times New Roman" w:hAnsi="Times New Roman" w:cs="Times New Roman"/>
          <w:sz w:val="28"/>
          <w:szCs w:val="28"/>
          <w:lang w:eastAsia="ru-RU"/>
        </w:rPr>
        <w:t>2 106 детей проявили себя в разных направлениях творчества – анимация, живопись, киноискусство, литературное творч</w:t>
      </w:r>
      <w:r w:rsidR="00A52730">
        <w:rPr>
          <w:rFonts w:ascii="Times New Roman" w:eastAsia="Times New Roman" w:hAnsi="Times New Roman" w:cs="Times New Roman"/>
          <w:sz w:val="28"/>
          <w:szCs w:val="28"/>
          <w:lang w:eastAsia="ru-RU"/>
        </w:rPr>
        <w:t xml:space="preserve">ество и многих других, а также </w:t>
      </w:r>
      <w:r w:rsidRPr="0079389A">
        <w:rPr>
          <w:rFonts w:ascii="Times New Roman" w:eastAsia="Times New Roman" w:hAnsi="Times New Roman" w:cs="Times New Roman"/>
          <w:sz w:val="28"/>
          <w:szCs w:val="28"/>
          <w:lang w:eastAsia="ru-RU"/>
        </w:rPr>
        <w:t>в рамках специальных номинаций: фестиваль инклюзивных театров, фестиваль жестовой песни и фестиваль танцев на колясках.</w:t>
      </w:r>
    </w:p>
    <w:p w14:paraId="42D8BC79" w14:textId="77777777" w:rsidR="0079389A" w:rsidRPr="0079389A" w:rsidRDefault="0079389A" w:rsidP="0079389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79389A">
        <w:rPr>
          <w:rFonts w:ascii="Times New Roman" w:eastAsia="Times New Roman" w:hAnsi="Times New Roman" w:cs="Times New Roman"/>
          <w:sz w:val="28"/>
          <w:szCs w:val="28"/>
          <w:lang w:eastAsia="ru-RU"/>
        </w:rPr>
        <w:t>Прием на программы среднего про</w:t>
      </w:r>
      <w:r w:rsidR="00A52730">
        <w:rPr>
          <w:rFonts w:ascii="Times New Roman" w:eastAsia="Times New Roman" w:hAnsi="Times New Roman" w:cs="Times New Roman"/>
          <w:sz w:val="28"/>
          <w:szCs w:val="28"/>
          <w:lang w:eastAsia="ru-RU"/>
        </w:rPr>
        <w:t xml:space="preserve">фессионального образования лиц </w:t>
      </w:r>
      <w:r w:rsidRPr="0079389A">
        <w:rPr>
          <w:rFonts w:ascii="Times New Roman" w:eastAsia="Times New Roman" w:hAnsi="Times New Roman" w:cs="Times New Roman"/>
          <w:sz w:val="28"/>
          <w:szCs w:val="28"/>
          <w:lang w:eastAsia="ru-RU"/>
        </w:rPr>
        <w:t xml:space="preserve">с </w:t>
      </w:r>
      <w:r w:rsidR="00516EC1" w:rsidRPr="0079389A">
        <w:rPr>
          <w:rFonts w:ascii="Times New Roman" w:eastAsia="Times New Roman" w:hAnsi="Times New Roman" w:cs="Times New Roman"/>
          <w:sz w:val="28"/>
          <w:szCs w:val="28"/>
          <w:lang w:eastAsia="ru-RU"/>
        </w:rPr>
        <w:t>инвал</w:t>
      </w:r>
      <w:r w:rsidR="00516EC1">
        <w:rPr>
          <w:rFonts w:ascii="Times New Roman" w:eastAsia="Times New Roman" w:hAnsi="Times New Roman" w:cs="Times New Roman"/>
          <w:sz w:val="28"/>
          <w:szCs w:val="28"/>
          <w:lang w:eastAsia="ru-RU"/>
        </w:rPr>
        <w:t>идностью</w:t>
      </w:r>
      <w:r w:rsidR="00516EC1">
        <w:rPr>
          <w:rFonts w:ascii="Times New Roman" w:eastAsia="Times New Roman" w:hAnsi="Times New Roman" w:cs="Times New Roman"/>
          <w:bCs/>
          <w:sz w:val="28"/>
          <w:szCs w:val="28"/>
          <w:lang w:eastAsia="ru-RU"/>
        </w:rPr>
        <w:t xml:space="preserve"> и </w:t>
      </w:r>
      <w:r w:rsidR="00A52730">
        <w:rPr>
          <w:rFonts w:ascii="Times New Roman" w:eastAsia="Times New Roman" w:hAnsi="Times New Roman" w:cs="Times New Roman"/>
          <w:bCs/>
          <w:sz w:val="28"/>
          <w:szCs w:val="28"/>
          <w:lang w:eastAsia="ru-RU"/>
        </w:rPr>
        <w:t>ОВЗ</w:t>
      </w:r>
      <w:r w:rsidRPr="0079389A">
        <w:rPr>
          <w:rFonts w:ascii="Times New Roman" w:eastAsia="Times New Roman" w:hAnsi="Times New Roman" w:cs="Times New Roman"/>
          <w:sz w:val="28"/>
          <w:szCs w:val="28"/>
          <w:lang w:eastAsia="ru-RU"/>
        </w:rPr>
        <w:t xml:space="preserve"> </w:t>
      </w:r>
      <w:r w:rsidR="00A52730">
        <w:rPr>
          <w:rFonts w:ascii="Times New Roman" w:eastAsia="Times New Roman" w:hAnsi="Times New Roman" w:cs="Times New Roman"/>
          <w:sz w:val="28"/>
          <w:szCs w:val="28"/>
          <w:lang w:eastAsia="ru-RU"/>
        </w:rPr>
        <w:t>ежегодно увеличивается:</w:t>
      </w:r>
      <w:r w:rsidRPr="0079389A">
        <w:rPr>
          <w:rFonts w:ascii="Times New Roman" w:eastAsia="Times New Roman" w:hAnsi="Times New Roman" w:cs="Times New Roman"/>
          <w:sz w:val="28"/>
          <w:szCs w:val="28"/>
          <w:lang w:eastAsia="ru-RU"/>
        </w:rPr>
        <w:t xml:space="preserve"> с 10 459 чел</w:t>
      </w:r>
      <w:r w:rsidR="00A52730">
        <w:rPr>
          <w:rFonts w:ascii="Times New Roman" w:eastAsia="Times New Roman" w:hAnsi="Times New Roman" w:cs="Times New Roman"/>
          <w:sz w:val="28"/>
          <w:szCs w:val="28"/>
          <w:lang w:eastAsia="ru-RU"/>
        </w:rPr>
        <w:t>овек</w:t>
      </w:r>
      <w:r w:rsidRPr="0079389A">
        <w:rPr>
          <w:rFonts w:ascii="Times New Roman" w:eastAsia="Times New Roman" w:hAnsi="Times New Roman" w:cs="Times New Roman"/>
          <w:sz w:val="28"/>
          <w:szCs w:val="28"/>
          <w:lang w:eastAsia="ru-RU"/>
        </w:rPr>
        <w:t xml:space="preserve"> в 2020 г</w:t>
      </w:r>
      <w:r w:rsidR="00954A0E">
        <w:rPr>
          <w:rFonts w:ascii="Times New Roman" w:eastAsia="Times New Roman" w:hAnsi="Times New Roman" w:cs="Times New Roman"/>
          <w:sz w:val="28"/>
          <w:szCs w:val="28"/>
          <w:lang w:eastAsia="ru-RU"/>
        </w:rPr>
        <w:t>.</w:t>
      </w:r>
      <w:r w:rsidRPr="0079389A">
        <w:rPr>
          <w:rFonts w:ascii="Times New Roman" w:eastAsia="Times New Roman" w:hAnsi="Times New Roman" w:cs="Times New Roman"/>
          <w:sz w:val="28"/>
          <w:szCs w:val="28"/>
          <w:lang w:eastAsia="ru-RU"/>
        </w:rPr>
        <w:t xml:space="preserve"> до 11 681 чел</w:t>
      </w:r>
      <w:r w:rsidR="00A52730">
        <w:rPr>
          <w:rFonts w:ascii="Times New Roman" w:eastAsia="Times New Roman" w:hAnsi="Times New Roman" w:cs="Times New Roman"/>
          <w:sz w:val="28"/>
          <w:szCs w:val="28"/>
          <w:lang w:eastAsia="ru-RU"/>
        </w:rPr>
        <w:t>овек</w:t>
      </w:r>
      <w:r w:rsidRPr="0079389A">
        <w:rPr>
          <w:rFonts w:ascii="Times New Roman" w:eastAsia="Times New Roman" w:hAnsi="Times New Roman" w:cs="Times New Roman"/>
          <w:sz w:val="28"/>
          <w:szCs w:val="28"/>
          <w:lang w:eastAsia="ru-RU"/>
        </w:rPr>
        <w:t xml:space="preserve"> в 2021 г</w:t>
      </w:r>
      <w:r w:rsidR="00954A0E">
        <w:rPr>
          <w:rFonts w:ascii="Times New Roman" w:eastAsia="Times New Roman" w:hAnsi="Times New Roman" w:cs="Times New Roman"/>
          <w:sz w:val="28"/>
          <w:szCs w:val="28"/>
          <w:lang w:eastAsia="ru-RU"/>
        </w:rPr>
        <w:t>.</w:t>
      </w:r>
      <w:r w:rsidRPr="0079389A">
        <w:rPr>
          <w:rFonts w:ascii="Times New Roman" w:eastAsia="Times New Roman" w:hAnsi="Times New Roman" w:cs="Times New Roman"/>
          <w:sz w:val="28"/>
          <w:szCs w:val="28"/>
          <w:lang w:eastAsia="ru-RU"/>
        </w:rPr>
        <w:t xml:space="preserve"> (на 11,7%). Всего </w:t>
      </w:r>
      <w:r w:rsidR="00E646EB" w:rsidRPr="0079389A">
        <w:rPr>
          <w:rFonts w:ascii="Times New Roman" w:eastAsia="Times New Roman" w:hAnsi="Times New Roman" w:cs="Times New Roman"/>
          <w:sz w:val="28"/>
          <w:szCs w:val="28"/>
          <w:lang w:eastAsia="ru-RU"/>
        </w:rPr>
        <w:t>в образовательных организациях среднего профессионального образования</w:t>
      </w:r>
      <w:r w:rsidR="00E646EB">
        <w:rPr>
          <w:rFonts w:ascii="Times New Roman" w:eastAsia="Times New Roman" w:hAnsi="Times New Roman" w:cs="Times New Roman"/>
          <w:sz w:val="28"/>
          <w:szCs w:val="28"/>
          <w:lang w:eastAsia="ru-RU"/>
        </w:rPr>
        <w:t xml:space="preserve"> </w:t>
      </w:r>
      <w:r w:rsidR="00E646EB" w:rsidRPr="0079389A">
        <w:rPr>
          <w:rFonts w:ascii="Times New Roman" w:eastAsia="Times New Roman" w:hAnsi="Times New Roman" w:cs="Times New Roman"/>
          <w:sz w:val="28"/>
          <w:szCs w:val="28"/>
          <w:lang w:eastAsia="ru-RU"/>
        </w:rPr>
        <w:t>в 2021 г</w:t>
      </w:r>
      <w:r w:rsidR="00954A0E">
        <w:rPr>
          <w:rFonts w:ascii="Times New Roman" w:eastAsia="Times New Roman" w:hAnsi="Times New Roman" w:cs="Times New Roman"/>
          <w:sz w:val="28"/>
          <w:szCs w:val="28"/>
          <w:lang w:eastAsia="ru-RU"/>
        </w:rPr>
        <w:t>.</w:t>
      </w:r>
      <w:r w:rsidR="00E646EB" w:rsidRPr="0079389A">
        <w:rPr>
          <w:rFonts w:ascii="Times New Roman" w:eastAsia="Times New Roman" w:hAnsi="Times New Roman" w:cs="Times New Roman"/>
          <w:sz w:val="28"/>
          <w:szCs w:val="28"/>
          <w:lang w:eastAsia="ru-RU"/>
        </w:rPr>
        <w:t xml:space="preserve"> </w:t>
      </w:r>
      <w:r w:rsidR="00E646EB">
        <w:rPr>
          <w:rFonts w:ascii="Times New Roman" w:eastAsia="Times New Roman" w:hAnsi="Times New Roman" w:cs="Times New Roman"/>
          <w:sz w:val="28"/>
          <w:szCs w:val="28"/>
          <w:lang w:eastAsia="ru-RU"/>
        </w:rPr>
        <w:t>обучалось</w:t>
      </w:r>
      <w:r w:rsidRPr="0079389A">
        <w:rPr>
          <w:rFonts w:ascii="Times New Roman" w:eastAsia="Times New Roman" w:hAnsi="Times New Roman" w:cs="Times New Roman"/>
          <w:sz w:val="28"/>
          <w:szCs w:val="28"/>
          <w:lang w:eastAsia="ru-RU"/>
        </w:rPr>
        <w:t xml:space="preserve"> 35 838 человек</w:t>
      </w:r>
      <w:r w:rsidR="00E646EB">
        <w:rPr>
          <w:rFonts w:ascii="Times New Roman" w:eastAsia="Times New Roman" w:hAnsi="Times New Roman" w:cs="Times New Roman"/>
          <w:sz w:val="28"/>
          <w:szCs w:val="28"/>
          <w:lang w:eastAsia="ru-RU"/>
        </w:rPr>
        <w:t xml:space="preserve"> с </w:t>
      </w:r>
      <w:r w:rsidR="00516EC1">
        <w:rPr>
          <w:rFonts w:ascii="Times New Roman" w:eastAsia="Times New Roman" w:hAnsi="Times New Roman" w:cs="Times New Roman"/>
          <w:sz w:val="28"/>
          <w:szCs w:val="28"/>
          <w:lang w:eastAsia="ru-RU"/>
        </w:rPr>
        <w:t xml:space="preserve">инвалидностью и </w:t>
      </w:r>
      <w:r w:rsidR="00E646EB">
        <w:rPr>
          <w:rFonts w:ascii="Times New Roman" w:eastAsia="Times New Roman" w:hAnsi="Times New Roman" w:cs="Times New Roman"/>
          <w:sz w:val="28"/>
          <w:szCs w:val="28"/>
          <w:lang w:eastAsia="ru-RU"/>
        </w:rPr>
        <w:t>ОВЗ</w:t>
      </w:r>
      <w:r w:rsidR="00954A0E">
        <w:rPr>
          <w:rFonts w:ascii="Times New Roman" w:eastAsia="Times New Roman" w:hAnsi="Times New Roman" w:cs="Times New Roman"/>
          <w:sz w:val="28"/>
          <w:szCs w:val="28"/>
          <w:lang w:eastAsia="ru-RU"/>
        </w:rPr>
        <w:t>.</w:t>
      </w:r>
    </w:p>
    <w:p w14:paraId="0FC34BD8" w14:textId="77777777" w:rsidR="0079389A" w:rsidRPr="0079389A" w:rsidRDefault="0079389A" w:rsidP="0079389A">
      <w:pPr>
        <w:widowControl w:val="0"/>
        <w:suppressAutoHyphens/>
        <w:spacing w:after="0" w:line="312" w:lineRule="auto"/>
        <w:ind w:firstLine="709"/>
        <w:jc w:val="both"/>
        <w:rPr>
          <w:rFonts w:ascii="Times New Roman" w:eastAsia="Times New Roman" w:hAnsi="Times New Roman" w:cs="Times New Roman"/>
          <w:bCs/>
          <w:sz w:val="28"/>
          <w:szCs w:val="28"/>
          <w:lang w:eastAsia="ru-RU"/>
        </w:rPr>
      </w:pPr>
      <w:r w:rsidRPr="0079389A">
        <w:rPr>
          <w:rFonts w:ascii="Times New Roman" w:eastAsia="Times New Roman" w:hAnsi="Times New Roman" w:cs="Times New Roman"/>
          <w:bCs/>
          <w:sz w:val="28"/>
          <w:szCs w:val="28"/>
          <w:lang w:eastAsia="ru-RU"/>
        </w:rPr>
        <w:t xml:space="preserve">Среди наиболее востребованных программ среднего профессионального образования: </w:t>
      </w:r>
      <w:r w:rsidRPr="0079389A">
        <w:rPr>
          <w:rFonts w:ascii="Times New Roman" w:eastAsia="Times New Roman" w:hAnsi="Times New Roman" w:cs="Times New Roman"/>
          <w:sz w:val="28"/>
          <w:szCs w:val="28"/>
          <w:lang w:eastAsia="ru-RU"/>
        </w:rPr>
        <w:t>Сестринское дело (2 746 че</w:t>
      </w:r>
      <w:r w:rsidR="00947B39">
        <w:rPr>
          <w:rFonts w:ascii="Times New Roman" w:eastAsia="Times New Roman" w:hAnsi="Times New Roman" w:cs="Times New Roman"/>
          <w:sz w:val="28"/>
          <w:szCs w:val="28"/>
          <w:lang w:eastAsia="ru-RU"/>
        </w:rPr>
        <w:t xml:space="preserve">ловек), Информационные системы </w:t>
      </w:r>
      <w:r w:rsidRPr="0079389A">
        <w:rPr>
          <w:rFonts w:ascii="Times New Roman" w:eastAsia="Times New Roman" w:hAnsi="Times New Roman" w:cs="Times New Roman"/>
          <w:sz w:val="28"/>
          <w:szCs w:val="28"/>
          <w:lang w:eastAsia="ru-RU"/>
        </w:rPr>
        <w:t xml:space="preserve">и программирование (2 330 человек), </w:t>
      </w:r>
      <w:r w:rsidR="00947B39">
        <w:rPr>
          <w:rFonts w:ascii="Times New Roman" w:eastAsia="Times New Roman" w:hAnsi="Times New Roman" w:cs="Times New Roman"/>
          <w:sz w:val="28"/>
          <w:szCs w:val="28"/>
          <w:lang w:eastAsia="ru-RU"/>
        </w:rPr>
        <w:t xml:space="preserve">Экономика и бухгалтерский учет </w:t>
      </w:r>
      <w:r w:rsidRPr="0079389A">
        <w:rPr>
          <w:rFonts w:ascii="Times New Roman" w:eastAsia="Times New Roman" w:hAnsi="Times New Roman" w:cs="Times New Roman"/>
          <w:sz w:val="28"/>
          <w:szCs w:val="28"/>
          <w:lang w:eastAsia="ru-RU"/>
        </w:rPr>
        <w:t>(1 266 человек), Право и орган</w:t>
      </w:r>
      <w:r w:rsidR="00947B39">
        <w:rPr>
          <w:rFonts w:ascii="Times New Roman" w:eastAsia="Times New Roman" w:hAnsi="Times New Roman" w:cs="Times New Roman"/>
          <w:sz w:val="28"/>
          <w:szCs w:val="28"/>
          <w:lang w:eastAsia="ru-RU"/>
        </w:rPr>
        <w:t xml:space="preserve">изация социального обеспечения </w:t>
      </w:r>
      <w:r w:rsidRPr="0079389A">
        <w:rPr>
          <w:rFonts w:ascii="Times New Roman" w:eastAsia="Times New Roman" w:hAnsi="Times New Roman" w:cs="Times New Roman"/>
          <w:sz w:val="28"/>
          <w:szCs w:val="28"/>
          <w:lang w:eastAsia="ru-RU"/>
        </w:rPr>
        <w:t xml:space="preserve">(1 124 человека), Медицинский массаж </w:t>
      </w:r>
      <w:r w:rsidR="00947B39">
        <w:rPr>
          <w:rFonts w:ascii="Times New Roman" w:eastAsia="Times New Roman" w:hAnsi="Times New Roman" w:cs="Times New Roman"/>
          <w:sz w:val="28"/>
          <w:szCs w:val="28"/>
          <w:lang w:eastAsia="ru-RU"/>
        </w:rPr>
        <w:t xml:space="preserve">– </w:t>
      </w:r>
      <w:r w:rsidRPr="0079389A">
        <w:rPr>
          <w:rFonts w:ascii="Times New Roman" w:eastAsia="Times New Roman" w:hAnsi="Times New Roman" w:cs="Times New Roman"/>
          <w:sz w:val="28"/>
          <w:szCs w:val="28"/>
          <w:lang w:eastAsia="ru-RU"/>
        </w:rPr>
        <w:t xml:space="preserve">для обучения лиц с </w:t>
      </w:r>
      <w:r w:rsidR="00947B39">
        <w:rPr>
          <w:rFonts w:ascii="Times New Roman" w:eastAsia="Times New Roman" w:hAnsi="Times New Roman" w:cs="Times New Roman"/>
          <w:sz w:val="28"/>
          <w:szCs w:val="28"/>
          <w:lang w:eastAsia="ru-RU"/>
        </w:rPr>
        <w:t>ОВЗ по зрению</w:t>
      </w:r>
      <w:r w:rsidRPr="0079389A">
        <w:rPr>
          <w:rFonts w:ascii="Times New Roman" w:eastAsia="Times New Roman" w:hAnsi="Times New Roman" w:cs="Times New Roman"/>
          <w:sz w:val="28"/>
          <w:szCs w:val="28"/>
          <w:lang w:eastAsia="ru-RU"/>
        </w:rPr>
        <w:t xml:space="preserve"> (790 человек)</w:t>
      </w:r>
      <w:r w:rsidRPr="0079389A">
        <w:rPr>
          <w:rFonts w:ascii="Times New Roman" w:eastAsia="Times New Roman" w:hAnsi="Times New Roman" w:cs="Times New Roman"/>
          <w:bCs/>
          <w:sz w:val="28"/>
          <w:szCs w:val="28"/>
          <w:lang w:eastAsia="ru-RU"/>
        </w:rPr>
        <w:t xml:space="preserve">. </w:t>
      </w:r>
    </w:p>
    <w:p w14:paraId="524167CC" w14:textId="77777777" w:rsidR="0079389A" w:rsidRPr="0079389A" w:rsidRDefault="0079389A" w:rsidP="0079389A">
      <w:pPr>
        <w:widowControl w:val="0"/>
        <w:suppressAutoHyphens/>
        <w:spacing w:after="0" w:line="312" w:lineRule="auto"/>
        <w:ind w:firstLine="709"/>
        <w:jc w:val="both"/>
        <w:rPr>
          <w:rFonts w:ascii="Times New Roman" w:eastAsia="Times New Roman" w:hAnsi="Times New Roman" w:cs="Times New Roman"/>
          <w:bCs/>
          <w:sz w:val="28"/>
          <w:szCs w:val="28"/>
          <w:lang w:eastAsia="ru-RU"/>
        </w:rPr>
      </w:pPr>
      <w:r w:rsidRPr="0079389A">
        <w:rPr>
          <w:rFonts w:ascii="Times New Roman" w:eastAsia="Times New Roman" w:hAnsi="Times New Roman" w:cs="Times New Roman"/>
          <w:bCs/>
          <w:sz w:val="28"/>
          <w:szCs w:val="28"/>
          <w:lang w:eastAsia="ru-RU"/>
        </w:rPr>
        <w:t xml:space="preserve">Среди наиболее востребованных программ профессионального обучения: </w:t>
      </w:r>
      <w:r w:rsidRPr="0079389A">
        <w:rPr>
          <w:rFonts w:ascii="Times New Roman" w:eastAsia="Times New Roman" w:hAnsi="Times New Roman" w:cs="Times New Roman"/>
          <w:sz w:val="28"/>
          <w:szCs w:val="28"/>
          <w:lang w:eastAsia="ru-RU"/>
        </w:rPr>
        <w:t>Повар, кондитер (1 209 человек), Мастер по</w:t>
      </w:r>
      <w:r w:rsidR="00947B39">
        <w:rPr>
          <w:rFonts w:ascii="Times New Roman" w:eastAsia="Times New Roman" w:hAnsi="Times New Roman" w:cs="Times New Roman"/>
          <w:sz w:val="28"/>
          <w:szCs w:val="28"/>
          <w:lang w:eastAsia="ru-RU"/>
        </w:rPr>
        <w:t xml:space="preserve"> обработке цифровой информации </w:t>
      </w:r>
      <w:r w:rsidR="00947B39">
        <w:rPr>
          <w:rFonts w:ascii="Times New Roman" w:eastAsia="Times New Roman" w:hAnsi="Times New Roman" w:cs="Times New Roman"/>
          <w:sz w:val="28"/>
          <w:szCs w:val="28"/>
          <w:lang w:eastAsia="ru-RU"/>
        </w:rPr>
        <w:br/>
      </w:r>
      <w:r w:rsidRPr="0079389A">
        <w:rPr>
          <w:rFonts w:ascii="Times New Roman" w:eastAsia="Times New Roman" w:hAnsi="Times New Roman" w:cs="Times New Roman"/>
          <w:sz w:val="28"/>
          <w:szCs w:val="28"/>
          <w:lang w:eastAsia="ru-RU"/>
        </w:rPr>
        <w:t>(948 человек), Мастер по ремонту и обслуживанию автомобилей (481 человек), Графический д</w:t>
      </w:r>
      <w:r w:rsidR="00947B39">
        <w:rPr>
          <w:rFonts w:ascii="Times New Roman" w:eastAsia="Times New Roman" w:hAnsi="Times New Roman" w:cs="Times New Roman"/>
          <w:sz w:val="28"/>
          <w:szCs w:val="28"/>
          <w:lang w:eastAsia="ru-RU"/>
        </w:rPr>
        <w:t xml:space="preserve">изайнер (365 человек), Сварщик </w:t>
      </w:r>
      <w:r w:rsidRPr="0079389A">
        <w:rPr>
          <w:rFonts w:ascii="Times New Roman" w:eastAsia="Times New Roman" w:hAnsi="Times New Roman" w:cs="Times New Roman"/>
          <w:sz w:val="28"/>
          <w:szCs w:val="28"/>
          <w:lang w:eastAsia="ru-RU"/>
        </w:rPr>
        <w:t>ручной и ча</w:t>
      </w:r>
      <w:r w:rsidR="00947B39">
        <w:rPr>
          <w:rFonts w:ascii="Times New Roman" w:eastAsia="Times New Roman" w:hAnsi="Times New Roman" w:cs="Times New Roman"/>
          <w:sz w:val="28"/>
          <w:szCs w:val="28"/>
          <w:lang w:eastAsia="ru-RU"/>
        </w:rPr>
        <w:t>стично механизированной сварки/наплавки</w:t>
      </w:r>
      <w:r w:rsidRPr="0079389A">
        <w:rPr>
          <w:rFonts w:ascii="Times New Roman" w:eastAsia="Times New Roman" w:hAnsi="Times New Roman" w:cs="Times New Roman"/>
          <w:sz w:val="28"/>
          <w:szCs w:val="28"/>
          <w:lang w:eastAsia="ru-RU"/>
        </w:rPr>
        <w:t xml:space="preserve"> (335 человек)</w:t>
      </w:r>
      <w:r w:rsidRPr="0079389A">
        <w:rPr>
          <w:rFonts w:ascii="Times New Roman" w:eastAsia="Times New Roman" w:hAnsi="Times New Roman" w:cs="Times New Roman"/>
          <w:bCs/>
          <w:sz w:val="28"/>
          <w:szCs w:val="28"/>
          <w:lang w:eastAsia="ru-RU"/>
        </w:rPr>
        <w:t>.</w:t>
      </w:r>
    </w:p>
    <w:p w14:paraId="3237DE25" w14:textId="77777777" w:rsidR="0079389A" w:rsidRPr="0079389A" w:rsidRDefault="0079389A" w:rsidP="0079389A">
      <w:pPr>
        <w:widowControl w:val="0"/>
        <w:suppressAutoHyphens/>
        <w:spacing w:after="0" w:line="312" w:lineRule="auto"/>
        <w:ind w:firstLine="709"/>
        <w:jc w:val="both"/>
        <w:rPr>
          <w:rFonts w:ascii="Times New Roman" w:eastAsia="Times New Roman" w:hAnsi="Times New Roman" w:cs="Times New Roman"/>
          <w:bCs/>
          <w:sz w:val="28"/>
          <w:szCs w:val="28"/>
          <w:lang w:eastAsia="ru-RU"/>
        </w:rPr>
      </w:pPr>
      <w:r w:rsidRPr="0079389A">
        <w:rPr>
          <w:rFonts w:ascii="Times New Roman" w:eastAsia="Times New Roman" w:hAnsi="Times New Roman" w:cs="Times New Roman"/>
          <w:bCs/>
          <w:sz w:val="28"/>
          <w:szCs w:val="28"/>
          <w:lang w:eastAsia="ru-RU"/>
        </w:rPr>
        <w:t>С целью организационно-мето</w:t>
      </w:r>
      <w:r w:rsidR="00947B39">
        <w:rPr>
          <w:rFonts w:ascii="Times New Roman" w:eastAsia="Times New Roman" w:hAnsi="Times New Roman" w:cs="Times New Roman"/>
          <w:bCs/>
          <w:sz w:val="28"/>
          <w:szCs w:val="28"/>
          <w:lang w:eastAsia="ru-RU"/>
        </w:rPr>
        <w:t xml:space="preserve">дической поддержки мероприятий </w:t>
      </w:r>
      <w:r w:rsidRPr="0079389A">
        <w:rPr>
          <w:rFonts w:ascii="Times New Roman" w:eastAsia="Times New Roman" w:hAnsi="Times New Roman" w:cs="Times New Roman"/>
          <w:bCs/>
          <w:sz w:val="28"/>
          <w:szCs w:val="28"/>
          <w:lang w:eastAsia="ru-RU"/>
        </w:rPr>
        <w:t xml:space="preserve">по реализации образовательных программ среднего профессионального образования и профессионального обучения инвалидов и лиц с </w:t>
      </w:r>
      <w:r w:rsidR="00947B39">
        <w:rPr>
          <w:rFonts w:ascii="Times New Roman" w:eastAsia="Times New Roman" w:hAnsi="Times New Roman" w:cs="Times New Roman"/>
          <w:bCs/>
          <w:sz w:val="28"/>
          <w:szCs w:val="28"/>
          <w:lang w:eastAsia="ru-RU"/>
        </w:rPr>
        <w:t>ОВЗ</w:t>
      </w:r>
      <w:r w:rsidRPr="0079389A">
        <w:rPr>
          <w:rFonts w:ascii="Times New Roman" w:eastAsia="Times New Roman" w:hAnsi="Times New Roman" w:cs="Times New Roman"/>
          <w:bCs/>
          <w:sz w:val="28"/>
          <w:szCs w:val="28"/>
          <w:lang w:eastAsia="ru-RU"/>
        </w:rPr>
        <w:t xml:space="preserve"> на территории Российской Федерации в 2021 г</w:t>
      </w:r>
      <w:r w:rsidR="00954A0E">
        <w:rPr>
          <w:rFonts w:ascii="Times New Roman" w:eastAsia="Times New Roman" w:hAnsi="Times New Roman" w:cs="Times New Roman"/>
          <w:bCs/>
          <w:sz w:val="28"/>
          <w:szCs w:val="28"/>
          <w:lang w:eastAsia="ru-RU"/>
        </w:rPr>
        <w:t>.</w:t>
      </w:r>
      <w:r w:rsidRPr="0079389A">
        <w:rPr>
          <w:rFonts w:ascii="Times New Roman" w:eastAsia="Times New Roman" w:hAnsi="Times New Roman" w:cs="Times New Roman"/>
          <w:bCs/>
          <w:sz w:val="28"/>
          <w:szCs w:val="28"/>
          <w:lang w:eastAsia="ru-RU"/>
        </w:rPr>
        <w:t xml:space="preserve"> создан Федеральный методический центр по инклюзивному образованию на базе </w:t>
      </w:r>
      <w:r w:rsidR="00947B39">
        <w:rPr>
          <w:rFonts w:ascii="Times New Roman" w:eastAsia="Times New Roman" w:hAnsi="Times New Roman" w:cs="Times New Roman"/>
          <w:bCs/>
          <w:sz w:val="28"/>
          <w:szCs w:val="28"/>
          <w:lang w:eastAsia="ru-RU"/>
        </w:rPr>
        <w:t>ФГБОУ</w:t>
      </w:r>
      <w:r w:rsidRPr="0079389A">
        <w:rPr>
          <w:rFonts w:ascii="Times New Roman" w:eastAsia="Times New Roman" w:hAnsi="Times New Roman" w:cs="Times New Roman"/>
          <w:bCs/>
          <w:sz w:val="28"/>
          <w:szCs w:val="28"/>
          <w:lang w:eastAsia="ru-RU"/>
        </w:rPr>
        <w:t xml:space="preserve"> </w:t>
      </w:r>
      <w:r w:rsidR="00947B39">
        <w:rPr>
          <w:rFonts w:ascii="Times New Roman" w:eastAsia="Times New Roman" w:hAnsi="Times New Roman" w:cs="Times New Roman"/>
          <w:bCs/>
          <w:sz w:val="28"/>
          <w:szCs w:val="28"/>
          <w:lang w:eastAsia="ru-RU"/>
        </w:rPr>
        <w:t>ДПО</w:t>
      </w:r>
      <w:r w:rsidRPr="0079389A">
        <w:rPr>
          <w:rFonts w:ascii="Times New Roman" w:eastAsia="Times New Roman" w:hAnsi="Times New Roman" w:cs="Times New Roman"/>
          <w:bCs/>
          <w:sz w:val="28"/>
          <w:szCs w:val="28"/>
          <w:lang w:eastAsia="ru-RU"/>
        </w:rPr>
        <w:t xml:space="preserve"> «Институт развития профессионального образования», в функционал которого входит развитие инклюзивного среднего профессионального образования и профессионального обучения в субъектах Российской Федерации и координация деятельности базовых профессиональных образовательных организаций и ресурсных учебно-методических центров среднего профессионального образования.</w:t>
      </w:r>
    </w:p>
    <w:p w14:paraId="2451ED89" w14:textId="77777777" w:rsidR="0079389A" w:rsidRPr="0079389A" w:rsidRDefault="0079389A" w:rsidP="0079389A">
      <w:pPr>
        <w:widowControl w:val="0"/>
        <w:suppressAutoHyphens/>
        <w:spacing w:after="0" w:line="312" w:lineRule="auto"/>
        <w:ind w:firstLine="709"/>
        <w:jc w:val="both"/>
        <w:rPr>
          <w:rFonts w:ascii="Times New Roman" w:eastAsia="Times New Roman" w:hAnsi="Times New Roman" w:cs="Times New Roman"/>
          <w:bCs/>
          <w:sz w:val="28"/>
          <w:szCs w:val="28"/>
          <w:lang w:eastAsia="ru-RU"/>
        </w:rPr>
      </w:pPr>
      <w:r w:rsidRPr="0079389A">
        <w:rPr>
          <w:rFonts w:ascii="Times New Roman" w:eastAsia="Times New Roman" w:hAnsi="Times New Roman" w:cs="Times New Roman"/>
          <w:bCs/>
          <w:sz w:val="28"/>
          <w:szCs w:val="28"/>
          <w:lang w:eastAsia="ru-RU"/>
        </w:rPr>
        <w:t>Базовые профессиональные образов</w:t>
      </w:r>
      <w:r w:rsidR="00947B39">
        <w:rPr>
          <w:rFonts w:ascii="Times New Roman" w:eastAsia="Times New Roman" w:hAnsi="Times New Roman" w:cs="Times New Roman"/>
          <w:bCs/>
          <w:sz w:val="28"/>
          <w:szCs w:val="28"/>
          <w:lang w:eastAsia="ru-RU"/>
        </w:rPr>
        <w:t xml:space="preserve">ательные организации создаются </w:t>
      </w:r>
      <w:r w:rsidRPr="0079389A">
        <w:rPr>
          <w:rFonts w:ascii="Times New Roman" w:eastAsia="Times New Roman" w:hAnsi="Times New Roman" w:cs="Times New Roman"/>
          <w:bCs/>
          <w:sz w:val="28"/>
          <w:szCs w:val="28"/>
          <w:lang w:eastAsia="ru-RU"/>
        </w:rPr>
        <w:t>с 2016 г</w:t>
      </w:r>
      <w:r w:rsidR="00954A0E">
        <w:rPr>
          <w:rFonts w:ascii="Times New Roman" w:eastAsia="Times New Roman" w:hAnsi="Times New Roman" w:cs="Times New Roman"/>
          <w:bCs/>
          <w:sz w:val="28"/>
          <w:szCs w:val="28"/>
          <w:lang w:eastAsia="ru-RU"/>
        </w:rPr>
        <w:t>.</w:t>
      </w:r>
      <w:r w:rsidRPr="0079389A">
        <w:rPr>
          <w:rFonts w:ascii="Times New Roman" w:eastAsia="Times New Roman" w:hAnsi="Times New Roman" w:cs="Times New Roman"/>
          <w:bCs/>
          <w:sz w:val="28"/>
          <w:szCs w:val="28"/>
          <w:lang w:eastAsia="ru-RU"/>
        </w:rPr>
        <w:t xml:space="preserve"> в рамках государственн</w:t>
      </w:r>
      <w:r w:rsidR="00947B39">
        <w:rPr>
          <w:rFonts w:ascii="Times New Roman" w:eastAsia="Times New Roman" w:hAnsi="Times New Roman" w:cs="Times New Roman"/>
          <w:bCs/>
          <w:sz w:val="28"/>
          <w:szCs w:val="28"/>
          <w:lang w:eastAsia="ru-RU"/>
        </w:rPr>
        <w:t>ой программы «Доступная среда»</w:t>
      </w:r>
      <w:r w:rsidR="00011430">
        <w:rPr>
          <w:rFonts w:ascii="Times New Roman" w:eastAsia="Times New Roman" w:hAnsi="Times New Roman" w:cs="Times New Roman"/>
          <w:bCs/>
          <w:sz w:val="28"/>
          <w:szCs w:val="28"/>
          <w:lang w:eastAsia="ru-RU"/>
        </w:rPr>
        <w:t>. Н</w:t>
      </w:r>
      <w:r w:rsidRPr="0079389A">
        <w:rPr>
          <w:rFonts w:ascii="Times New Roman" w:eastAsia="Times New Roman" w:hAnsi="Times New Roman" w:cs="Times New Roman"/>
          <w:bCs/>
          <w:sz w:val="28"/>
          <w:szCs w:val="28"/>
          <w:lang w:eastAsia="ru-RU"/>
        </w:rPr>
        <w:t>а конец 2021 г</w:t>
      </w:r>
      <w:r w:rsidR="00954A0E">
        <w:rPr>
          <w:rFonts w:ascii="Times New Roman" w:eastAsia="Times New Roman" w:hAnsi="Times New Roman" w:cs="Times New Roman"/>
          <w:bCs/>
          <w:sz w:val="28"/>
          <w:szCs w:val="28"/>
          <w:lang w:eastAsia="ru-RU"/>
        </w:rPr>
        <w:t>.</w:t>
      </w:r>
      <w:r w:rsidRPr="0079389A">
        <w:rPr>
          <w:rFonts w:ascii="Times New Roman" w:eastAsia="Times New Roman" w:hAnsi="Times New Roman" w:cs="Times New Roman"/>
          <w:bCs/>
          <w:sz w:val="28"/>
          <w:szCs w:val="28"/>
          <w:lang w:eastAsia="ru-RU"/>
        </w:rPr>
        <w:t xml:space="preserve"> </w:t>
      </w:r>
      <w:r w:rsidR="00011430">
        <w:rPr>
          <w:rFonts w:ascii="Times New Roman" w:eastAsia="Times New Roman" w:hAnsi="Times New Roman" w:cs="Times New Roman"/>
          <w:bCs/>
          <w:sz w:val="28"/>
          <w:szCs w:val="28"/>
          <w:lang w:eastAsia="ru-RU"/>
        </w:rPr>
        <w:t>насчитывается</w:t>
      </w:r>
      <w:r w:rsidRPr="0079389A">
        <w:rPr>
          <w:rFonts w:ascii="Times New Roman" w:eastAsia="Times New Roman" w:hAnsi="Times New Roman" w:cs="Times New Roman"/>
          <w:bCs/>
          <w:sz w:val="28"/>
          <w:szCs w:val="28"/>
          <w:lang w:eastAsia="ru-RU"/>
        </w:rPr>
        <w:t xml:space="preserve"> 142 </w:t>
      </w:r>
      <w:r w:rsidR="00437760">
        <w:rPr>
          <w:rFonts w:ascii="Times New Roman" w:eastAsia="Times New Roman" w:hAnsi="Times New Roman" w:cs="Times New Roman"/>
          <w:bCs/>
          <w:sz w:val="28"/>
          <w:szCs w:val="28"/>
          <w:lang w:eastAsia="ru-RU"/>
        </w:rPr>
        <w:t>БПОО</w:t>
      </w:r>
      <w:r w:rsidRPr="0079389A">
        <w:rPr>
          <w:rFonts w:ascii="Times New Roman" w:eastAsia="Times New Roman" w:hAnsi="Times New Roman" w:cs="Times New Roman"/>
          <w:bCs/>
          <w:sz w:val="28"/>
          <w:szCs w:val="28"/>
          <w:lang w:eastAsia="ru-RU"/>
        </w:rPr>
        <w:t xml:space="preserve"> в 85 субъектах Российской Фе</w:t>
      </w:r>
      <w:r w:rsidR="00011430">
        <w:rPr>
          <w:rFonts w:ascii="Times New Roman" w:eastAsia="Times New Roman" w:hAnsi="Times New Roman" w:cs="Times New Roman"/>
          <w:bCs/>
          <w:sz w:val="28"/>
          <w:szCs w:val="28"/>
          <w:lang w:eastAsia="ru-RU"/>
        </w:rPr>
        <w:t xml:space="preserve">дерации, </w:t>
      </w:r>
      <w:r w:rsidR="00437760">
        <w:rPr>
          <w:rFonts w:ascii="Times New Roman" w:eastAsia="Times New Roman" w:hAnsi="Times New Roman" w:cs="Times New Roman"/>
          <w:bCs/>
          <w:sz w:val="28"/>
          <w:szCs w:val="28"/>
          <w:lang w:eastAsia="ru-RU"/>
        </w:rPr>
        <w:t>4</w:t>
      </w:r>
      <w:r w:rsidR="00011430">
        <w:rPr>
          <w:rFonts w:ascii="Times New Roman" w:eastAsia="Times New Roman" w:hAnsi="Times New Roman" w:cs="Times New Roman"/>
          <w:bCs/>
          <w:sz w:val="28"/>
          <w:szCs w:val="28"/>
          <w:lang w:eastAsia="ru-RU"/>
        </w:rPr>
        <w:t xml:space="preserve"> из которых создано </w:t>
      </w:r>
      <w:r w:rsidR="00437760">
        <w:rPr>
          <w:rFonts w:ascii="Times New Roman" w:eastAsia="Times New Roman" w:hAnsi="Times New Roman" w:cs="Times New Roman"/>
          <w:bCs/>
          <w:sz w:val="28"/>
          <w:szCs w:val="28"/>
          <w:lang w:eastAsia="ru-RU"/>
        </w:rPr>
        <w:t>в</w:t>
      </w:r>
      <w:r w:rsidR="00011430">
        <w:rPr>
          <w:rFonts w:ascii="Times New Roman" w:eastAsia="Times New Roman" w:hAnsi="Times New Roman" w:cs="Times New Roman"/>
          <w:bCs/>
          <w:sz w:val="28"/>
          <w:szCs w:val="28"/>
          <w:lang w:eastAsia="ru-RU"/>
        </w:rPr>
        <w:t xml:space="preserve"> 2021 г</w:t>
      </w:r>
      <w:r w:rsidRPr="0079389A">
        <w:rPr>
          <w:rFonts w:ascii="Times New Roman" w:eastAsia="Times New Roman" w:hAnsi="Times New Roman" w:cs="Times New Roman"/>
          <w:bCs/>
          <w:sz w:val="28"/>
          <w:szCs w:val="28"/>
          <w:lang w:eastAsia="ru-RU"/>
        </w:rPr>
        <w:t>.</w:t>
      </w:r>
    </w:p>
    <w:p w14:paraId="76126E2B" w14:textId="77777777" w:rsidR="0079389A" w:rsidRPr="0079389A" w:rsidRDefault="00011430" w:rsidP="0079389A">
      <w:pPr>
        <w:widowControl w:val="0"/>
        <w:suppressAutoHyphens/>
        <w:spacing w:after="0" w:line="312"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Pr="0079389A">
        <w:rPr>
          <w:rFonts w:ascii="Times New Roman" w:eastAsia="Times New Roman" w:hAnsi="Times New Roman" w:cs="Times New Roman"/>
          <w:bCs/>
          <w:sz w:val="28"/>
          <w:szCs w:val="28"/>
          <w:lang w:eastAsia="ru-RU"/>
        </w:rPr>
        <w:t xml:space="preserve"> рамках государственной программы Российской Федерации «Развитие образования»</w:t>
      </w:r>
      <w:r w:rsidRPr="00011430">
        <w:rPr>
          <w:rFonts w:ascii="Times New Roman" w:eastAsia="Times New Roman" w:hAnsi="Times New Roman" w:cs="Times New Roman"/>
          <w:bCs/>
          <w:sz w:val="28"/>
          <w:szCs w:val="28"/>
          <w:lang w:eastAsia="ru-RU"/>
        </w:rPr>
        <w:t xml:space="preserve"> </w:t>
      </w:r>
      <w:r w:rsidRPr="0079389A">
        <w:rPr>
          <w:rFonts w:ascii="Times New Roman" w:eastAsia="Times New Roman" w:hAnsi="Times New Roman" w:cs="Times New Roman"/>
          <w:bCs/>
          <w:sz w:val="28"/>
          <w:szCs w:val="28"/>
          <w:lang w:eastAsia="ru-RU"/>
        </w:rPr>
        <w:t xml:space="preserve">создаются </w:t>
      </w:r>
      <w:r>
        <w:rPr>
          <w:rFonts w:ascii="Times New Roman" w:eastAsia="Times New Roman" w:hAnsi="Times New Roman" w:cs="Times New Roman"/>
          <w:bCs/>
          <w:sz w:val="28"/>
          <w:szCs w:val="28"/>
          <w:lang w:eastAsia="ru-RU"/>
        </w:rPr>
        <w:t>р</w:t>
      </w:r>
      <w:r w:rsidR="0079389A" w:rsidRPr="0079389A">
        <w:rPr>
          <w:rFonts w:ascii="Times New Roman" w:eastAsia="Times New Roman" w:hAnsi="Times New Roman" w:cs="Times New Roman"/>
          <w:bCs/>
          <w:sz w:val="28"/>
          <w:szCs w:val="28"/>
          <w:lang w:eastAsia="ru-RU"/>
        </w:rPr>
        <w:t>есурсные учебно-методические центры среднег</w:t>
      </w:r>
      <w:r>
        <w:rPr>
          <w:rFonts w:ascii="Times New Roman" w:eastAsia="Times New Roman" w:hAnsi="Times New Roman" w:cs="Times New Roman"/>
          <w:bCs/>
          <w:sz w:val="28"/>
          <w:szCs w:val="28"/>
          <w:lang w:eastAsia="ru-RU"/>
        </w:rPr>
        <w:t xml:space="preserve">о профессионального образования, которых </w:t>
      </w:r>
      <w:r w:rsidR="0079389A" w:rsidRPr="0079389A">
        <w:rPr>
          <w:rFonts w:ascii="Times New Roman" w:eastAsia="Times New Roman" w:hAnsi="Times New Roman" w:cs="Times New Roman"/>
          <w:bCs/>
          <w:sz w:val="28"/>
          <w:szCs w:val="28"/>
          <w:lang w:eastAsia="ru-RU"/>
        </w:rPr>
        <w:t>на конец 2021 г</w:t>
      </w:r>
      <w:r w:rsidR="00954A0E">
        <w:rPr>
          <w:rFonts w:ascii="Times New Roman" w:eastAsia="Times New Roman" w:hAnsi="Times New Roman" w:cs="Times New Roman"/>
          <w:bCs/>
          <w:sz w:val="28"/>
          <w:szCs w:val="28"/>
          <w:lang w:eastAsia="ru-RU"/>
        </w:rPr>
        <w:t>.</w:t>
      </w:r>
      <w:r w:rsidR="0079389A" w:rsidRPr="0079389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насчитывается</w:t>
      </w:r>
      <w:r w:rsidR="0079389A" w:rsidRPr="0079389A">
        <w:rPr>
          <w:rFonts w:ascii="Times New Roman" w:eastAsia="Times New Roman" w:hAnsi="Times New Roman" w:cs="Times New Roman"/>
          <w:bCs/>
          <w:sz w:val="28"/>
          <w:szCs w:val="28"/>
          <w:lang w:eastAsia="ru-RU"/>
        </w:rPr>
        <w:t xml:space="preserve"> 45 </w:t>
      </w:r>
      <w:r w:rsidR="00954A0E">
        <w:rPr>
          <w:rFonts w:ascii="Times New Roman" w:eastAsia="Times New Roman" w:hAnsi="Times New Roman" w:cs="Times New Roman"/>
          <w:bCs/>
          <w:sz w:val="28"/>
          <w:szCs w:val="28"/>
          <w:lang w:eastAsia="ru-RU"/>
        </w:rPr>
        <w:br/>
      </w:r>
      <w:r w:rsidR="0079389A" w:rsidRPr="0079389A">
        <w:rPr>
          <w:rFonts w:ascii="Times New Roman" w:eastAsia="Times New Roman" w:hAnsi="Times New Roman" w:cs="Times New Roman"/>
          <w:bCs/>
          <w:sz w:val="28"/>
          <w:szCs w:val="28"/>
          <w:lang w:eastAsia="ru-RU"/>
        </w:rPr>
        <w:t>в 41 субъекте Ро</w:t>
      </w:r>
      <w:r w:rsidR="00516EC1">
        <w:rPr>
          <w:rFonts w:ascii="Times New Roman" w:eastAsia="Times New Roman" w:hAnsi="Times New Roman" w:cs="Times New Roman"/>
          <w:bCs/>
          <w:sz w:val="28"/>
          <w:szCs w:val="28"/>
          <w:lang w:eastAsia="ru-RU"/>
        </w:rPr>
        <w:t>ссийской Федерации</w:t>
      </w:r>
      <w:r w:rsidR="0079389A" w:rsidRPr="0079389A">
        <w:rPr>
          <w:rFonts w:ascii="Times New Roman" w:eastAsia="Times New Roman" w:hAnsi="Times New Roman" w:cs="Times New Roman"/>
          <w:bCs/>
          <w:sz w:val="28"/>
          <w:szCs w:val="28"/>
          <w:lang w:eastAsia="ru-RU"/>
        </w:rPr>
        <w:t>.</w:t>
      </w:r>
    </w:p>
    <w:p w14:paraId="3C1959D0" w14:textId="77777777" w:rsidR="0079389A" w:rsidRPr="0079389A" w:rsidRDefault="0079389A" w:rsidP="0079389A">
      <w:pPr>
        <w:widowControl w:val="0"/>
        <w:suppressAutoHyphens/>
        <w:spacing w:after="0" w:line="312" w:lineRule="auto"/>
        <w:ind w:firstLine="709"/>
        <w:jc w:val="both"/>
        <w:rPr>
          <w:rFonts w:ascii="Times New Roman" w:eastAsia="Times New Roman" w:hAnsi="Times New Roman" w:cs="Times New Roman"/>
          <w:bCs/>
          <w:sz w:val="28"/>
          <w:szCs w:val="28"/>
          <w:lang w:eastAsia="ru-RU"/>
        </w:rPr>
      </w:pPr>
      <w:r w:rsidRPr="0079389A">
        <w:rPr>
          <w:rFonts w:ascii="Times New Roman" w:eastAsia="Times New Roman" w:hAnsi="Times New Roman" w:cs="Times New Roman"/>
          <w:bCs/>
          <w:sz w:val="28"/>
          <w:szCs w:val="28"/>
          <w:lang w:eastAsia="ru-RU"/>
        </w:rPr>
        <w:t>По данным субъектов Российской Федерации</w:t>
      </w:r>
      <w:r w:rsidR="00011430">
        <w:rPr>
          <w:rFonts w:ascii="Times New Roman" w:eastAsia="Times New Roman" w:hAnsi="Times New Roman" w:cs="Times New Roman"/>
          <w:bCs/>
          <w:sz w:val="28"/>
          <w:szCs w:val="28"/>
          <w:lang w:eastAsia="ru-RU"/>
        </w:rPr>
        <w:t>,</w:t>
      </w:r>
      <w:r w:rsidRPr="0079389A">
        <w:rPr>
          <w:rFonts w:ascii="Times New Roman" w:eastAsia="Times New Roman" w:hAnsi="Times New Roman" w:cs="Times New Roman"/>
          <w:bCs/>
          <w:sz w:val="28"/>
          <w:szCs w:val="28"/>
          <w:lang w:eastAsia="ru-RU"/>
        </w:rPr>
        <w:t xml:space="preserve"> в 792 образовательных организациях среднего профессионального образования, в том числе на базе всех базовых профессиональных образовательных ор</w:t>
      </w:r>
      <w:r w:rsidR="00011430">
        <w:rPr>
          <w:rFonts w:ascii="Times New Roman" w:eastAsia="Times New Roman" w:hAnsi="Times New Roman" w:cs="Times New Roman"/>
          <w:bCs/>
          <w:sz w:val="28"/>
          <w:szCs w:val="28"/>
          <w:lang w:eastAsia="ru-RU"/>
        </w:rPr>
        <w:t xml:space="preserve">ганизаций 85 субъектов созданы </w:t>
      </w:r>
      <w:r w:rsidRPr="0079389A">
        <w:rPr>
          <w:rFonts w:ascii="Times New Roman" w:eastAsia="Times New Roman" w:hAnsi="Times New Roman" w:cs="Times New Roman"/>
          <w:bCs/>
          <w:sz w:val="28"/>
          <w:szCs w:val="28"/>
          <w:lang w:eastAsia="ru-RU"/>
        </w:rPr>
        <w:t xml:space="preserve">и функционируют Центры профориентации для инвалидов и лиц с </w:t>
      </w:r>
      <w:r w:rsidR="00011430">
        <w:rPr>
          <w:rFonts w:ascii="Times New Roman" w:eastAsia="Times New Roman" w:hAnsi="Times New Roman" w:cs="Times New Roman"/>
          <w:bCs/>
          <w:sz w:val="28"/>
          <w:szCs w:val="28"/>
          <w:lang w:eastAsia="ru-RU"/>
        </w:rPr>
        <w:t>ОВЗ</w:t>
      </w:r>
      <w:r w:rsidRPr="0079389A">
        <w:rPr>
          <w:rFonts w:ascii="Times New Roman" w:eastAsia="Times New Roman" w:hAnsi="Times New Roman" w:cs="Times New Roman"/>
          <w:bCs/>
          <w:sz w:val="28"/>
          <w:szCs w:val="28"/>
          <w:lang w:eastAsia="ru-RU"/>
        </w:rPr>
        <w:t>.</w:t>
      </w:r>
    </w:p>
    <w:p w14:paraId="33975382" w14:textId="77777777" w:rsidR="0079389A" w:rsidRPr="0079389A" w:rsidRDefault="0079389A" w:rsidP="0079389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79389A">
        <w:rPr>
          <w:rFonts w:ascii="Times New Roman" w:eastAsia="Times New Roman" w:hAnsi="Times New Roman" w:cs="Times New Roman"/>
          <w:sz w:val="28"/>
          <w:szCs w:val="28"/>
          <w:lang w:eastAsia="ru-RU"/>
        </w:rPr>
        <w:t>По данным Минобрнауки России, в мониторинге инклюзивного высшего образования за 2021 г</w:t>
      </w:r>
      <w:r w:rsidR="00954A0E">
        <w:rPr>
          <w:rFonts w:ascii="Times New Roman" w:eastAsia="Times New Roman" w:hAnsi="Times New Roman" w:cs="Times New Roman"/>
          <w:sz w:val="28"/>
          <w:szCs w:val="28"/>
          <w:lang w:eastAsia="ru-RU"/>
        </w:rPr>
        <w:t>.</w:t>
      </w:r>
      <w:r w:rsidRPr="0079389A">
        <w:rPr>
          <w:rFonts w:ascii="Times New Roman" w:eastAsia="Times New Roman" w:hAnsi="Times New Roman" w:cs="Times New Roman"/>
          <w:sz w:val="28"/>
          <w:szCs w:val="28"/>
          <w:lang w:eastAsia="ru-RU"/>
        </w:rPr>
        <w:t xml:space="preserve"> приняли участие 1 131 образовательные организации высшего образования (включая их филиалы), что на 1,71% больше, чем в 2020 г</w:t>
      </w:r>
      <w:r w:rsidR="00954A0E">
        <w:rPr>
          <w:rFonts w:ascii="Times New Roman" w:eastAsia="Times New Roman" w:hAnsi="Times New Roman" w:cs="Times New Roman"/>
          <w:sz w:val="28"/>
          <w:szCs w:val="28"/>
          <w:lang w:eastAsia="ru-RU"/>
        </w:rPr>
        <w:t>.</w:t>
      </w:r>
      <w:r w:rsidR="00011430">
        <w:rPr>
          <w:rFonts w:ascii="Times New Roman" w:eastAsia="Times New Roman" w:hAnsi="Times New Roman" w:cs="Times New Roman"/>
          <w:sz w:val="28"/>
          <w:szCs w:val="28"/>
          <w:lang w:eastAsia="ru-RU"/>
        </w:rPr>
        <w:t xml:space="preserve"> и на 11,76% больше, чем в 2019 г.</w:t>
      </w:r>
      <w:r w:rsidRPr="0079389A">
        <w:rPr>
          <w:rFonts w:ascii="Times New Roman" w:eastAsia="Times New Roman" w:hAnsi="Times New Roman" w:cs="Times New Roman"/>
          <w:sz w:val="28"/>
          <w:szCs w:val="28"/>
          <w:lang w:eastAsia="ru-RU"/>
        </w:rPr>
        <w:t xml:space="preserve"> </w:t>
      </w:r>
    </w:p>
    <w:p w14:paraId="4F6B7EFD" w14:textId="77777777" w:rsidR="00011430" w:rsidRDefault="0079389A" w:rsidP="0079389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79389A">
        <w:rPr>
          <w:rFonts w:ascii="Times New Roman" w:eastAsia="Times New Roman" w:hAnsi="Times New Roman" w:cs="Times New Roman"/>
          <w:sz w:val="28"/>
          <w:szCs w:val="28"/>
          <w:lang w:eastAsia="ru-RU"/>
        </w:rPr>
        <w:t xml:space="preserve">Результаты мониторинга показали, что </w:t>
      </w:r>
      <w:r w:rsidR="00011430">
        <w:rPr>
          <w:rFonts w:ascii="Times New Roman" w:eastAsia="Times New Roman" w:hAnsi="Times New Roman" w:cs="Times New Roman"/>
          <w:sz w:val="28"/>
          <w:szCs w:val="28"/>
          <w:lang w:eastAsia="ru-RU"/>
        </w:rPr>
        <w:t>наибольшее число обучающихся с инвалидностью и ОВЗ, как и в предыдущие 2 года, распределено в образовательных организациях высшего образования Центрального (32,49%), Северо-Кавказского (17,65%) и Приволжского (13,66%) федеральных округов.</w:t>
      </w:r>
    </w:p>
    <w:p w14:paraId="69F384CD" w14:textId="77777777" w:rsidR="00011430" w:rsidRDefault="00011430" w:rsidP="0079389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Подавляющее большинство обучающихся по программам высшего образования из числа лиц с инвалидностью и ОВЗ, как и в предыдущие 2 года, получают подготовку по программам бакалавриата (2021 г. – 70,31%; 2020 г. – 71,22%; 2019 г. – 68%). Подготовку по программам специалитета получают 24,58% обучающихся с инвалидностью и ОВЗ (2020 г. – 23,11%; 2019 г. – 25%). Наименее востребованы среди обучающихся данной категории программы магистратуры и аспирантуры: в магистратуре обучаются 5,1% от числа всех студентов с инвалидностью и ОВЗ (2020 г. – 5,65%; 2019 г. – 6,91%), в аспирантуре – 0,1% от общего числа обучающихся по образовательным программам аспирантуры </w:t>
      </w:r>
      <w:r>
        <w:rPr>
          <w:rFonts w:ascii="Times New Roman" w:eastAsia="Times New Roman" w:hAnsi="Times New Roman" w:cs="Times New Roman"/>
          <w:sz w:val="28"/>
          <w:szCs w:val="28"/>
          <w:lang w:eastAsia="ru-RU"/>
        </w:rPr>
        <w:br/>
        <w:t>(2020 г. – 0,62%).</w:t>
      </w:r>
    </w:p>
    <w:p w14:paraId="3E3AA4F5" w14:textId="77777777" w:rsidR="00011430" w:rsidRDefault="00011430" w:rsidP="0079389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настоящее время студенты с инвалидностью и ОВЗ обучаются </w:t>
      </w:r>
      <w:r w:rsidR="00954A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по 407 направлениям подготовки из 477, что составляет 85,33% (2020 г. – 83,86%; 2019 г. – 67,03%).</w:t>
      </w:r>
    </w:p>
    <w:p w14:paraId="6AD727D6" w14:textId="77777777" w:rsidR="0079389A" w:rsidRDefault="0079389A" w:rsidP="0079389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79389A">
        <w:rPr>
          <w:rFonts w:ascii="Times New Roman" w:eastAsia="Times New Roman" w:hAnsi="Times New Roman" w:cs="Times New Roman"/>
          <w:sz w:val="28"/>
          <w:szCs w:val="28"/>
          <w:lang w:eastAsia="ru-RU"/>
        </w:rPr>
        <w:t xml:space="preserve">Наиболее востребованными у абитуриентов с </w:t>
      </w:r>
      <w:r w:rsidR="00D76289">
        <w:rPr>
          <w:rFonts w:ascii="Times New Roman" w:eastAsia="Times New Roman" w:hAnsi="Times New Roman" w:cs="Times New Roman"/>
          <w:sz w:val="28"/>
          <w:szCs w:val="28"/>
          <w:lang w:eastAsia="ru-RU"/>
        </w:rPr>
        <w:t>инвалидностью и ОВЗ</w:t>
      </w:r>
      <w:r w:rsidRPr="0079389A">
        <w:rPr>
          <w:rFonts w:ascii="Times New Roman" w:eastAsia="Times New Roman" w:hAnsi="Times New Roman" w:cs="Times New Roman"/>
          <w:sz w:val="28"/>
          <w:szCs w:val="28"/>
          <w:lang w:eastAsia="ru-RU"/>
        </w:rPr>
        <w:t xml:space="preserve"> являются медицинские, информационные, гуманитарные и близкие к ним направления подготовки (экономика, юриспруденция, менеджмент и управление, педагогика и дефектология, филоло</w:t>
      </w:r>
      <w:r w:rsidR="00D76289">
        <w:rPr>
          <w:rFonts w:ascii="Times New Roman" w:eastAsia="Times New Roman" w:hAnsi="Times New Roman" w:cs="Times New Roman"/>
          <w:sz w:val="28"/>
          <w:szCs w:val="28"/>
          <w:lang w:eastAsia="ru-RU"/>
        </w:rPr>
        <w:t>гия и лингвистика).</w:t>
      </w:r>
    </w:p>
    <w:p w14:paraId="5B203EF7" w14:textId="77777777" w:rsidR="00D76289" w:rsidRPr="0079389A" w:rsidRDefault="00D76289" w:rsidP="0079389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Финансово-экономическое обеспечение деятельности вузов по обучению лиц с инвалидностью и ОВЗ составило 1,7 млрд рублей, 47,95% из которых направлены на финансирование создания </w:t>
      </w:r>
      <w:proofErr w:type="spellStart"/>
      <w:r>
        <w:rPr>
          <w:rFonts w:ascii="Times New Roman" w:eastAsia="Times New Roman" w:hAnsi="Times New Roman" w:cs="Times New Roman"/>
          <w:sz w:val="28"/>
          <w:szCs w:val="28"/>
          <w:lang w:eastAsia="ru-RU"/>
        </w:rPr>
        <w:t>безбарьерной</w:t>
      </w:r>
      <w:proofErr w:type="spellEnd"/>
      <w:r>
        <w:rPr>
          <w:rFonts w:ascii="Times New Roman" w:eastAsia="Times New Roman" w:hAnsi="Times New Roman" w:cs="Times New Roman"/>
          <w:sz w:val="28"/>
          <w:szCs w:val="28"/>
          <w:lang w:eastAsia="ru-RU"/>
        </w:rPr>
        <w:t xml:space="preserve"> среды.</w:t>
      </w:r>
    </w:p>
    <w:p w14:paraId="7F1C7E3E" w14:textId="77777777" w:rsidR="0079389A" w:rsidRPr="0079389A" w:rsidRDefault="0079389A" w:rsidP="0079389A">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79389A">
        <w:rPr>
          <w:rFonts w:ascii="Times New Roman" w:eastAsia="Times New Roman" w:hAnsi="Times New Roman" w:cs="Times New Roman"/>
          <w:sz w:val="28"/>
          <w:szCs w:val="28"/>
          <w:lang w:eastAsia="ru-RU"/>
        </w:rPr>
        <w:t>Механизмом реализации мероприя</w:t>
      </w:r>
      <w:r w:rsidR="00D76289">
        <w:rPr>
          <w:rFonts w:ascii="Times New Roman" w:eastAsia="Times New Roman" w:hAnsi="Times New Roman" w:cs="Times New Roman"/>
          <w:sz w:val="28"/>
          <w:szCs w:val="28"/>
          <w:lang w:eastAsia="ru-RU"/>
        </w:rPr>
        <w:t xml:space="preserve">тий по обеспечению доступности </w:t>
      </w:r>
      <w:r w:rsidRPr="0079389A">
        <w:rPr>
          <w:rFonts w:ascii="Times New Roman" w:eastAsia="Times New Roman" w:hAnsi="Times New Roman" w:cs="Times New Roman"/>
          <w:sz w:val="28"/>
          <w:szCs w:val="28"/>
          <w:lang w:eastAsia="ru-RU"/>
        </w:rPr>
        <w:t xml:space="preserve">высшего образования для студентов с </w:t>
      </w:r>
      <w:r w:rsidR="00D76289" w:rsidRPr="0079389A">
        <w:rPr>
          <w:rFonts w:ascii="Times New Roman" w:eastAsia="Times New Roman" w:hAnsi="Times New Roman" w:cs="Times New Roman"/>
          <w:sz w:val="28"/>
          <w:szCs w:val="28"/>
          <w:lang w:eastAsia="ru-RU"/>
        </w:rPr>
        <w:t xml:space="preserve">инвалидностью </w:t>
      </w:r>
      <w:r w:rsidR="00D76289">
        <w:rPr>
          <w:rFonts w:ascii="Times New Roman" w:eastAsia="Times New Roman" w:hAnsi="Times New Roman" w:cs="Times New Roman"/>
          <w:sz w:val="28"/>
          <w:szCs w:val="28"/>
          <w:lang w:eastAsia="ru-RU"/>
        </w:rPr>
        <w:t xml:space="preserve">и ОВЗ, </w:t>
      </w:r>
      <w:r w:rsidRPr="0079389A">
        <w:rPr>
          <w:rFonts w:ascii="Times New Roman" w:eastAsia="Times New Roman" w:hAnsi="Times New Roman" w:cs="Times New Roman"/>
          <w:sz w:val="28"/>
          <w:szCs w:val="28"/>
          <w:lang w:eastAsia="ru-RU"/>
        </w:rPr>
        <w:t>созданию системы психолого-педагогического, организационно-методического сопровождения деятельности образовательных организаций высшего образования, проведения обучающих мероприятий для педагогических работников по вопросам организации качественного доступного профессионального образования указанных обучающихся является создание сети опорных образовательных организаций.</w:t>
      </w:r>
    </w:p>
    <w:p w14:paraId="0323FBAD" w14:textId="77777777" w:rsidR="0079389A" w:rsidRDefault="0079389A" w:rsidP="0079389A">
      <w:pPr>
        <w:widowControl w:val="0"/>
        <w:suppressAutoHyphens/>
        <w:spacing w:after="0" w:line="312" w:lineRule="auto"/>
        <w:ind w:firstLine="709"/>
        <w:jc w:val="both"/>
        <w:rPr>
          <w:rFonts w:ascii="Times New Roman" w:eastAsia="Times New Roman" w:hAnsi="Times New Roman" w:cs="Times New Roman"/>
          <w:bCs/>
          <w:sz w:val="28"/>
          <w:szCs w:val="28"/>
          <w:lang w:eastAsia="ru-RU"/>
        </w:rPr>
      </w:pPr>
      <w:r w:rsidRPr="0079389A">
        <w:rPr>
          <w:rFonts w:ascii="Times New Roman" w:eastAsia="Times New Roman" w:hAnsi="Times New Roman" w:cs="Times New Roman"/>
          <w:sz w:val="28"/>
          <w:szCs w:val="28"/>
          <w:lang w:eastAsia="ru-RU"/>
        </w:rPr>
        <w:t>Для этого в рамках государственной программы Российской Федерации «Доступная среда» с 2016 г</w:t>
      </w:r>
      <w:r w:rsidR="007C3F0D">
        <w:rPr>
          <w:rFonts w:ascii="Times New Roman" w:eastAsia="Times New Roman" w:hAnsi="Times New Roman" w:cs="Times New Roman"/>
          <w:sz w:val="28"/>
          <w:szCs w:val="28"/>
          <w:lang w:eastAsia="ru-RU"/>
        </w:rPr>
        <w:t>.</w:t>
      </w:r>
      <w:r w:rsidRPr="0079389A">
        <w:rPr>
          <w:rFonts w:ascii="Times New Roman" w:eastAsia="Times New Roman" w:hAnsi="Times New Roman" w:cs="Times New Roman"/>
          <w:sz w:val="28"/>
          <w:szCs w:val="28"/>
          <w:lang w:eastAsia="ru-RU"/>
        </w:rPr>
        <w:t xml:space="preserve"> создаются ресурсные учебно-методические центры по обучению инвалидов и лиц с </w:t>
      </w:r>
      <w:r w:rsidR="001F6208">
        <w:rPr>
          <w:rFonts w:ascii="Times New Roman" w:eastAsia="Times New Roman" w:hAnsi="Times New Roman" w:cs="Times New Roman"/>
          <w:sz w:val="28"/>
          <w:szCs w:val="28"/>
          <w:lang w:eastAsia="ru-RU"/>
        </w:rPr>
        <w:t xml:space="preserve">ОВЗ </w:t>
      </w:r>
      <w:r w:rsidRPr="0079389A">
        <w:rPr>
          <w:rFonts w:ascii="Times New Roman" w:eastAsia="Times New Roman" w:hAnsi="Times New Roman" w:cs="Times New Roman"/>
          <w:sz w:val="28"/>
          <w:szCs w:val="28"/>
          <w:lang w:eastAsia="ru-RU"/>
        </w:rPr>
        <w:t xml:space="preserve">на базе образовательных организаций высшего образования </w:t>
      </w:r>
      <w:r w:rsidRPr="0079389A">
        <w:rPr>
          <w:rFonts w:ascii="Times New Roman" w:eastAsia="Times New Roman" w:hAnsi="Times New Roman" w:cs="Times New Roman"/>
          <w:bCs/>
          <w:sz w:val="28"/>
          <w:szCs w:val="28"/>
          <w:lang w:eastAsia="ru-RU"/>
        </w:rPr>
        <w:t>(</w:t>
      </w:r>
      <w:r w:rsidR="001F6208">
        <w:rPr>
          <w:rFonts w:ascii="Times New Roman" w:eastAsia="Times New Roman" w:hAnsi="Times New Roman" w:cs="Times New Roman"/>
          <w:bCs/>
          <w:sz w:val="28"/>
          <w:szCs w:val="28"/>
          <w:lang w:eastAsia="ru-RU"/>
        </w:rPr>
        <w:t>далее – РУМЦ</w:t>
      </w:r>
      <w:r w:rsidRPr="0079389A">
        <w:rPr>
          <w:rFonts w:ascii="Times New Roman" w:eastAsia="Times New Roman" w:hAnsi="Times New Roman" w:cs="Times New Roman"/>
          <w:bCs/>
          <w:sz w:val="28"/>
          <w:szCs w:val="28"/>
          <w:lang w:eastAsia="ru-RU"/>
        </w:rPr>
        <w:t>).</w:t>
      </w:r>
      <w:r w:rsidR="001F6208">
        <w:rPr>
          <w:rFonts w:ascii="Times New Roman" w:eastAsia="Times New Roman" w:hAnsi="Times New Roman" w:cs="Times New Roman"/>
          <w:bCs/>
          <w:sz w:val="28"/>
          <w:szCs w:val="28"/>
          <w:lang w:eastAsia="ru-RU"/>
        </w:rPr>
        <w:t xml:space="preserve"> Начиная с указанного периода партнерская сеть </w:t>
      </w:r>
      <w:r w:rsidR="008C1A64">
        <w:rPr>
          <w:rFonts w:ascii="Times New Roman" w:eastAsia="Times New Roman" w:hAnsi="Times New Roman" w:cs="Times New Roman"/>
          <w:bCs/>
          <w:sz w:val="28"/>
          <w:szCs w:val="28"/>
          <w:lang w:eastAsia="ru-RU"/>
        </w:rPr>
        <w:br/>
      </w:r>
      <w:r w:rsidR="001F6208">
        <w:rPr>
          <w:rFonts w:ascii="Times New Roman" w:eastAsia="Times New Roman" w:hAnsi="Times New Roman" w:cs="Times New Roman"/>
          <w:bCs/>
          <w:sz w:val="28"/>
          <w:szCs w:val="28"/>
          <w:lang w:eastAsia="ru-RU"/>
        </w:rPr>
        <w:t>21 РУМЦ поступательно объединила более 580 вузов-партнеров, включая головные вузы и филиалы.</w:t>
      </w:r>
    </w:p>
    <w:p w14:paraId="167AC5BC" w14:textId="77777777" w:rsidR="001F6208" w:rsidRPr="00821FAE" w:rsidRDefault="001F6208" w:rsidP="00596B15">
      <w:pPr>
        <w:autoSpaceDE w:val="0"/>
        <w:autoSpaceDN w:val="0"/>
        <w:adjustRightInd w:val="0"/>
        <w:spacing w:after="0" w:line="312" w:lineRule="auto"/>
        <w:ind w:firstLine="709"/>
        <w:jc w:val="both"/>
        <w:rPr>
          <w:rFonts w:ascii="Times New Roman" w:hAnsi="Times New Roman" w:cs="Times New Roman"/>
          <w:sz w:val="28"/>
          <w:szCs w:val="28"/>
        </w:rPr>
      </w:pPr>
      <w:r w:rsidRPr="00A36A9C">
        <w:rPr>
          <w:rFonts w:ascii="Times New Roman" w:hAnsi="Times New Roman" w:cs="Times New Roman"/>
          <w:sz w:val="28"/>
          <w:szCs w:val="28"/>
        </w:rPr>
        <w:t>Организаци</w:t>
      </w:r>
      <w:r w:rsidRPr="00821FAE">
        <w:rPr>
          <w:rFonts w:ascii="Times New Roman" w:hAnsi="Times New Roman" w:cs="Times New Roman"/>
          <w:sz w:val="28"/>
          <w:szCs w:val="28"/>
        </w:rPr>
        <w:t>онным механизмом деятельности РУМЦ является портал</w:t>
      </w:r>
      <w:r w:rsidR="00821FAE">
        <w:rPr>
          <w:rFonts w:ascii="Times New Roman" w:hAnsi="Times New Roman" w:cs="Times New Roman"/>
          <w:sz w:val="28"/>
          <w:szCs w:val="28"/>
        </w:rPr>
        <w:t xml:space="preserve"> </w:t>
      </w:r>
      <w:r w:rsidRPr="00821FAE">
        <w:rPr>
          <w:rFonts w:ascii="Times New Roman" w:hAnsi="Times New Roman" w:cs="Times New Roman"/>
          <w:sz w:val="28"/>
          <w:szCs w:val="28"/>
        </w:rPr>
        <w:t xml:space="preserve">инклюзивного высшего образования </w:t>
      </w:r>
      <w:hyperlink r:id="rId17" w:history="1">
        <w:r w:rsidR="00596B15" w:rsidRPr="00B049F5">
          <w:rPr>
            <w:rStyle w:val="af1"/>
            <w:rFonts w:ascii="Times New Roman" w:hAnsi="Times New Roman" w:cs="Times New Roman"/>
            <w:sz w:val="28"/>
            <w:szCs w:val="28"/>
          </w:rPr>
          <w:t>https://инклюзивноеобразование.рф/</w:t>
        </w:r>
      </w:hyperlink>
      <w:r w:rsidR="00596B15">
        <w:rPr>
          <w:rFonts w:ascii="Times New Roman" w:hAnsi="Times New Roman" w:cs="Times New Roman"/>
          <w:sz w:val="28"/>
          <w:szCs w:val="28"/>
        </w:rPr>
        <w:t xml:space="preserve"> </w:t>
      </w:r>
      <w:r w:rsidR="00821FAE">
        <w:rPr>
          <w:rFonts w:ascii="Times New Roman" w:hAnsi="Times New Roman" w:cs="Times New Roman"/>
          <w:sz w:val="28"/>
          <w:szCs w:val="28"/>
        </w:rPr>
        <w:t xml:space="preserve">(далее по тексту подраздела – </w:t>
      </w:r>
      <w:r w:rsidRPr="00821FAE">
        <w:rPr>
          <w:rFonts w:ascii="Times New Roman" w:hAnsi="Times New Roman" w:cs="Times New Roman"/>
          <w:sz w:val="28"/>
          <w:szCs w:val="28"/>
        </w:rPr>
        <w:t>Портал). В 2021 г</w:t>
      </w:r>
      <w:r w:rsidR="007C3F0D">
        <w:rPr>
          <w:rFonts w:ascii="Times New Roman" w:hAnsi="Times New Roman" w:cs="Times New Roman"/>
          <w:sz w:val="28"/>
          <w:szCs w:val="28"/>
        </w:rPr>
        <w:t>.</w:t>
      </w:r>
      <w:r w:rsidRPr="00821FAE">
        <w:rPr>
          <w:rFonts w:ascii="Times New Roman" w:hAnsi="Times New Roman" w:cs="Times New Roman"/>
          <w:sz w:val="28"/>
          <w:szCs w:val="28"/>
        </w:rPr>
        <w:t xml:space="preserve"> среднемесячная посеща</w:t>
      </w:r>
      <w:r w:rsidR="00821FAE">
        <w:rPr>
          <w:rFonts w:ascii="Times New Roman" w:hAnsi="Times New Roman" w:cs="Times New Roman"/>
          <w:sz w:val="28"/>
          <w:szCs w:val="28"/>
        </w:rPr>
        <w:t xml:space="preserve">емость Портала составила 31 287 единиц. </w:t>
      </w:r>
      <w:r w:rsidRPr="00821FAE">
        <w:rPr>
          <w:rFonts w:ascii="Times New Roman" w:hAnsi="Times New Roman" w:cs="Times New Roman"/>
          <w:sz w:val="28"/>
          <w:szCs w:val="28"/>
        </w:rPr>
        <w:t>Портал позволяет сопровождать такие опци</w:t>
      </w:r>
      <w:r w:rsidR="00821FAE">
        <w:rPr>
          <w:rFonts w:ascii="Times New Roman" w:hAnsi="Times New Roman" w:cs="Times New Roman"/>
          <w:sz w:val="28"/>
          <w:szCs w:val="28"/>
        </w:rPr>
        <w:t xml:space="preserve">и, как: работу «горячей линии», </w:t>
      </w:r>
      <w:r w:rsidRPr="00821FAE">
        <w:rPr>
          <w:rFonts w:ascii="Times New Roman" w:hAnsi="Times New Roman" w:cs="Times New Roman"/>
          <w:sz w:val="28"/>
          <w:szCs w:val="28"/>
        </w:rPr>
        <w:t xml:space="preserve">подбор профессии, </w:t>
      </w:r>
      <w:proofErr w:type="spellStart"/>
      <w:r w:rsidRPr="00821FAE">
        <w:rPr>
          <w:rFonts w:ascii="Times New Roman" w:hAnsi="Times New Roman" w:cs="Times New Roman"/>
          <w:sz w:val="28"/>
          <w:szCs w:val="28"/>
        </w:rPr>
        <w:t>профтестиро</w:t>
      </w:r>
      <w:r w:rsidR="00821FAE">
        <w:rPr>
          <w:rFonts w:ascii="Times New Roman" w:hAnsi="Times New Roman" w:cs="Times New Roman"/>
          <w:sz w:val="28"/>
          <w:szCs w:val="28"/>
        </w:rPr>
        <w:t>вание</w:t>
      </w:r>
      <w:proofErr w:type="spellEnd"/>
      <w:r w:rsidR="00821FAE">
        <w:rPr>
          <w:rFonts w:ascii="Times New Roman" w:hAnsi="Times New Roman" w:cs="Times New Roman"/>
          <w:sz w:val="28"/>
          <w:szCs w:val="28"/>
        </w:rPr>
        <w:t xml:space="preserve">, выбор учебного заведения </w:t>
      </w:r>
      <w:r w:rsidRPr="00821FAE">
        <w:rPr>
          <w:rFonts w:ascii="Times New Roman" w:hAnsi="Times New Roman" w:cs="Times New Roman"/>
          <w:sz w:val="28"/>
          <w:szCs w:val="28"/>
        </w:rPr>
        <w:t>по потребностям, прохождение онлайн-курс</w:t>
      </w:r>
      <w:r w:rsidR="00821FAE">
        <w:rPr>
          <w:rFonts w:ascii="Times New Roman" w:hAnsi="Times New Roman" w:cs="Times New Roman"/>
          <w:sz w:val="28"/>
          <w:szCs w:val="28"/>
        </w:rPr>
        <w:t xml:space="preserve">ов, получение доступа к учебным </w:t>
      </w:r>
      <w:r w:rsidRPr="00821FAE">
        <w:rPr>
          <w:rFonts w:ascii="Times New Roman" w:hAnsi="Times New Roman" w:cs="Times New Roman"/>
          <w:sz w:val="28"/>
          <w:szCs w:val="28"/>
        </w:rPr>
        <w:t>материалам, формирование обращений и запросов от граждан.</w:t>
      </w:r>
    </w:p>
    <w:p w14:paraId="7F008560" w14:textId="77777777" w:rsidR="001F6208" w:rsidRPr="00821FAE" w:rsidRDefault="001F6208" w:rsidP="00821FAE">
      <w:pPr>
        <w:autoSpaceDE w:val="0"/>
        <w:autoSpaceDN w:val="0"/>
        <w:adjustRightInd w:val="0"/>
        <w:spacing w:after="0" w:line="312" w:lineRule="auto"/>
        <w:ind w:firstLine="709"/>
        <w:jc w:val="both"/>
        <w:rPr>
          <w:rFonts w:ascii="Times New Roman" w:hAnsi="Times New Roman" w:cs="Times New Roman"/>
          <w:sz w:val="28"/>
          <w:szCs w:val="28"/>
        </w:rPr>
      </w:pPr>
      <w:r w:rsidRPr="00821FAE">
        <w:rPr>
          <w:rFonts w:ascii="Times New Roman" w:hAnsi="Times New Roman" w:cs="Times New Roman"/>
          <w:sz w:val="28"/>
          <w:szCs w:val="28"/>
        </w:rPr>
        <w:t>Профориентационная работа в части инклюзивного высшего образования</w:t>
      </w:r>
      <w:r w:rsidR="00821FAE">
        <w:rPr>
          <w:rFonts w:ascii="Times New Roman" w:hAnsi="Times New Roman" w:cs="Times New Roman"/>
          <w:sz w:val="28"/>
          <w:szCs w:val="28"/>
        </w:rPr>
        <w:t xml:space="preserve"> </w:t>
      </w:r>
      <w:r w:rsidRPr="00821FAE">
        <w:rPr>
          <w:rFonts w:ascii="Times New Roman" w:hAnsi="Times New Roman" w:cs="Times New Roman"/>
          <w:sz w:val="28"/>
          <w:szCs w:val="28"/>
        </w:rPr>
        <w:t>ведется по нескольким направлениям: осуществление адаптированных</w:t>
      </w:r>
      <w:r w:rsidR="00821FAE">
        <w:rPr>
          <w:rFonts w:ascii="Times New Roman" w:hAnsi="Times New Roman" w:cs="Times New Roman"/>
          <w:sz w:val="28"/>
          <w:szCs w:val="28"/>
        </w:rPr>
        <w:t xml:space="preserve"> программ </w:t>
      </w:r>
      <w:r w:rsidRPr="00821FAE">
        <w:rPr>
          <w:rFonts w:ascii="Times New Roman" w:hAnsi="Times New Roman" w:cs="Times New Roman"/>
          <w:sz w:val="28"/>
          <w:szCs w:val="28"/>
        </w:rPr>
        <w:t>профориентации в образовательных орга</w:t>
      </w:r>
      <w:r w:rsidR="00821FAE">
        <w:rPr>
          <w:rFonts w:ascii="Times New Roman" w:hAnsi="Times New Roman" w:cs="Times New Roman"/>
          <w:sz w:val="28"/>
          <w:szCs w:val="28"/>
        </w:rPr>
        <w:t xml:space="preserve">низациях, реализующих программы </w:t>
      </w:r>
      <w:r w:rsidRPr="00821FAE">
        <w:rPr>
          <w:rFonts w:ascii="Times New Roman" w:hAnsi="Times New Roman" w:cs="Times New Roman"/>
          <w:sz w:val="28"/>
          <w:szCs w:val="28"/>
        </w:rPr>
        <w:t>(полного) общего и среднего профессиональног</w:t>
      </w:r>
      <w:r w:rsidR="00821FAE">
        <w:rPr>
          <w:rFonts w:ascii="Times New Roman" w:hAnsi="Times New Roman" w:cs="Times New Roman"/>
          <w:sz w:val="28"/>
          <w:szCs w:val="28"/>
        </w:rPr>
        <w:t xml:space="preserve">о образования, консультирование </w:t>
      </w:r>
      <w:r w:rsidRPr="00821FAE">
        <w:rPr>
          <w:rFonts w:ascii="Times New Roman" w:hAnsi="Times New Roman" w:cs="Times New Roman"/>
          <w:sz w:val="28"/>
          <w:szCs w:val="28"/>
        </w:rPr>
        <w:t>различных категорий граждан по вопро</w:t>
      </w:r>
      <w:r w:rsidR="00821FAE">
        <w:rPr>
          <w:rFonts w:ascii="Times New Roman" w:hAnsi="Times New Roman" w:cs="Times New Roman"/>
          <w:sz w:val="28"/>
          <w:szCs w:val="28"/>
        </w:rPr>
        <w:t xml:space="preserve">сам приема на программы высшего </w:t>
      </w:r>
      <w:r w:rsidRPr="00821FAE">
        <w:rPr>
          <w:rFonts w:ascii="Times New Roman" w:hAnsi="Times New Roman" w:cs="Times New Roman"/>
          <w:sz w:val="28"/>
          <w:szCs w:val="28"/>
        </w:rPr>
        <w:t>образования, включая организацию работы «</w:t>
      </w:r>
      <w:r w:rsidR="00821FAE">
        <w:rPr>
          <w:rFonts w:ascii="Times New Roman" w:hAnsi="Times New Roman" w:cs="Times New Roman"/>
          <w:sz w:val="28"/>
          <w:szCs w:val="28"/>
        </w:rPr>
        <w:t xml:space="preserve">горячих линий», распространение </w:t>
      </w:r>
      <w:r w:rsidRPr="00821FAE">
        <w:rPr>
          <w:rFonts w:ascii="Times New Roman" w:hAnsi="Times New Roman" w:cs="Times New Roman"/>
          <w:sz w:val="28"/>
          <w:szCs w:val="28"/>
        </w:rPr>
        <w:t>методических рекомендаций и информационных материалов.</w:t>
      </w:r>
    </w:p>
    <w:p w14:paraId="5209C10A" w14:textId="77777777" w:rsidR="001F6208" w:rsidRPr="00821FAE" w:rsidRDefault="00596B15" w:rsidP="00821FAE">
      <w:pPr>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w:t>
      </w:r>
      <w:r w:rsidR="007C3F0D">
        <w:rPr>
          <w:rFonts w:ascii="Times New Roman" w:hAnsi="Times New Roman" w:cs="Times New Roman"/>
          <w:sz w:val="28"/>
          <w:szCs w:val="28"/>
        </w:rPr>
        <w:t>мониторинга 2021 г.</w:t>
      </w:r>
      <w:r w:rsidRPr="00821FAE">
        <w:rPr>
          <w:rFonts w:ascii="Times New Roman" w:hAnsi="Times New Roman" w:cs="Times New Roman"/>
          <w:sz w:val="28"/>
          <w:szCs w:val="28"/>
        </w:rPr>
        <w:t xml:space="preserve">, 2 577 </w:t>
      </w:r>
      <w:r w:rsidR="001F6208" w:rsidRPr="00821FAE">
        <w:rPr>
          <w:rFonts w:ascii="Times New Roman" w:hAnsi="Times New Roman" w:cs="Times New Roman"/>
          <w:sz w:val="28"/>
          <w:szCs w:val="28"/>
        </w:rPr>
        <w:t>образовательных орг</w:t>
      </w:r>
      <w:r w:rsidR="00821FAE">
        <w:rPr>
          <w:rFonts w:ascii="Times New Roman" w:hAnsi="Times New Roman" w:cs="Times New Roman"/>
          <w:sz w:val="28"/>
          <w:szCs w:val="28"/>
        </w:rPr>
        <w:t xml:space="preserve">анизаций, реализующих программы </w:t>
      </w:r>
      <w:r w:rsidR="001F6208" w:rsidRPr="00821FAE">
        <w:rPr>
          <w:rFonts w:ascii="Times New Roman" w:hAnsi="Times New Roman" w:cs="Times New Roman"/>
          <w:sz w:val="28"/>
          <w:szCs w:val="28"/>
        </w:rPr>
        <w:t>(полного) общего и среднего профессионал</w:t>
      </w:r>
      <w:r w:rsidR="00821FAE">
        <w:rPr>
          <w:rFonts w:ascii="Times New Roman" w:hAnsi="Times New Roman" w:cs="Times New Roman"/>
          <w:sz w:val="28"/>
          <w:szCs w:val="28"/>
        </w:rPr>
        <w:t xml:space="preserve">ьного образования, </w:t>
      </w:r>
      <w:r>
        <w:rPr>
          <w:rFonts w:ascii="Times New Roman" w:hAnsi="Times New Roman" w:cs="Times New Roman"/>
          <w:sz w:val="28"/>
          <w:szCs w:val="28"/>
        </w:rPr>
        <w:t xml:space="preserve">были охвачены </w:t>
      </w:r>
      <w:r w:rsidR="001F6208" w:rsidRPr="00821FAE">
        <w:rPr>
          <w:rFonts w:ascii="Times New Roman" w:hAnsi="Times New Roman" w:cs="Times New Roman"/>
          <w:sz w:val="28"/>
          <w:szCs w:val="28"/>
        </w:rPr>
        <w:t>охватили адаптированными программами профо</w:t>
      </w:r>
      <w:r w:rsidR="00821FAE">
        <w:rPr>
          <w:rFonts w:ascii="Times New Roman" w:hAnsi="Times New Roman" w:cs="Times New Roman"/>
          <w:sz w:val="28"/>
          <w:szCs w:val="28"/>
        </w:rPr>
        <w:t>риентации</w:t>
      </w:r>
      <w:r w:rsidRPr="00596B15">
        <w:rPr>
          <w:rFonts w:ascii="Times New Roman" w:hAnsi="Times New Roman" w:cs="Times New Roman"/>
          <w:sz w:val="28"/>
          <w:szCs w:val="28"/>
        </w:rPr>
        <w:t xml:space="preserve"> </w:t>
      </w:r>
      <w:r>
        <w:rPr>
          <w:rFonts w:ascii="Times New Roman" w:hAnsi="Times New Roman" w:cs="Times New Roman"/>
          <w:sz w:val="28"/>
          <w:szCs w:val="28"/>
        </w:rPr>
        <w:t>вузов, что на 63,21% больше по сравнению с 2020 г</w:t>
      </w:r>
      <w:r w:rsidR="00821FAE">
        <w:rPr>
          <w:rFonts w:ascii="Times New Roman" w:hAnsi="Times New Roman" w:cs="Times New Roman"/>
          <w:sz w:val="28"/>
          <w:szCs w:val="28"/>
        </w:rPr>
        <w:t xml:space="preserve">. Количество вузов, которые </w:t>
      </w:r>
      <w:r w:rsidR="001F6208" w:rsidRPr="00821FAE">
        <w:rPr>
          <w:rFonts w:ascii="Times New Roman" w:hAnsi="Times New Roman" w:cs="Times New Roman"/>
          <w:sz w:val="28"/>
          <w:szCs w:val="28"/>
        </w:rPr>
        <w:t>реализуют адаптированные программы профориентации в образовательны</w:t>
      </w:r>
      <w:r w:rsidR="00821FAE">
        <w:rPr>
          <w:rFonts w:ascii="Times New Roman" w:hAnsi="Times New Roman" w:cs="Times New Roman"/>
          <w:sz w:val="28"/>
          <w:szCs w:val="28"/>
        </w:rPr>
        <w:t xml:space="preserve">х </w:t>
      </w:r>
      <w:r w:rsidR="001F6208" w:rsidRPr="00821FAE">
        <w:rPr>
          <w:rFonts w:ascii="Times New Roman" w:hAnsi="Times New Roman" w:cs="Times New Roman"/>
          <w:sz w:val="28"/>
          <w:szCs w:val="28"/>
        </w:rPr>
        <w:t>организациях общего и среднего профессиональн</w:t>
      </w:r>
      <w:r w:rsidR="00821FAE">
        <w:rPr>
          <w:rFonts w:ascii="Times New Roman" w:hAnsi="Times New Roman" w:cs="Times New Roman"/>
          <w:sz w:val="28"/>
          <w:szCs w:val="28"/>
        </w:rPr>
        <w:t>ого образования, выросло с</w:t>
      </w:r>
      <w:r w:rsidR="007C3F0D">
        <w:rPr>
          <w:rFonts w:ascii="Times New Roman" w:hAnsi="Times New Roman" w:cs="Times New Roman"/>
          <w:sz w:val="28"/>
          <w:szCs w:val="28"/>
        </w:rPr>
        <w:t>о</w:t>
      </w:r>
      <w:r w:rsidR="00821FAE">
        <w:rPr>
          <w:rFonts w:ascii="Times New Roman" w:hAnsi="Times New Roman" w:cs="Times New Roman"/>
          <w:sz w:val="28"/>
          <w:szCs w:val="28"/>
        </w:rPr>
        <w:t xml:space="preserve"> 153 </w:t>
      </w:r>
      <w:r w:rsidR="001F6208" w:rsidRPr="00821FAE">
        <w:rPr>
          <w:rFonts w:ascii="Times New Roman" w:hAnsi="Times New Roman" w:cs="Times New Roman"/>
          <w:sz w:val="28"/>
          <w:szCs w:val="28"/>
        </w:rPr>
        <w:t>до 162 вузов (14,32% от числа участников мониторинга).</w:t>
      </w:r>
    </w:p>
    <w:p w14:paraId="5B3F7E90" w14:textId="77777777" w:rsidR="00821FAE" w:rsidRPr="00821FAE" w:rsidRDefault="00E26D6C" w:rsidP="00841F38">
      <w:pPr>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Всего проведено </w:t>
      </w:r>
      <w:r w:rsidR="00841F38">
        <w:rPr>
          <w:rFonts w:ascii="Times New Roman" w:hAnsi="Times New Roman" w:cs="Times New Roman"/>
          <w:sz w:val="28"/>
          <w:szCs w:val="28"/>
        </w:rPr>
        <w:t xml:space="preserve">3 763 </w:t>
      </w:r>
      <w:r w:rsidR="00821FAE">
        <w:rPr>
          <w:rFonts w:ascii="Times New Roman" w:hAnsi="Times New Roman" w:cs="Times New Roman"/>
          <w:sz w:val="28"/>
          <w:szCs w:val="28"/>
        </w:rPr>
        <w:t xml:space="preserve">семинаров (вебинаров) для </w:t>
      </w:r>
      <w:r w:rsidR="00821FAE" w:rsidRPr="00821FAE">
        <w:rPr>
          <w:rFonts w:ascii="Times New Roman" w:hAnsi="Times New Roman" w:cs="Times New Roman"/>
          <w:sz w:val="28"/>
          <w:szCs w:val="28"/>
        </w:rPr>
        <w:t>педагогических работников и роди</w:t>
      </w:r>
      <w:r w:rsidR="00821FAE">
        <w:rPr>
          <w:rFonts w:ascii="Times New Roman" w:hAnsi="Times New Roman" w:cs="Times New Roman"/>
          <w:sz w:val="28"/>
          <w:szCs w:val="28"/>
        </w:rPr>
        <w:t xml:space="preserve">телей (законных представителей) </w:t>
      </w:r>
      <w:r w:rsidR="00821FAE" w:rsidRPr="00821FAE">
        <w:rPr>
          <w:rFonts w:ascii="Times New Roman" w:hAnsi="Times New Roman" w:cs="Times New Roman"/>
          <w:sz w:val="28"/>
          <w:szCs w:val="28"/>
        </w:rPr>
        <w:t>обучающихся с инвалидностью и ОВЗ по вопр</w:t>
      </w:r>
      <w:r w:rsidR="00821FAE">
        <w:rPr>
          <w:rFonts w:ascii="Times New Roman" w:hAnsi="Times New Roman" w:cs="Times New Roman"/>
          <w:sz w:val="28"/>
          <w:szCs w:val="28"/>
        </w:rPr>
        <w:t xml:space="preserve">осам профориентации и получения </w:t>
      </w:r>
      <w:r w:rsidR="00821FAE" w:rsidRPr="00821FAE">
        <w:rPr>
          <w:rFonts w:ascii="Times New Roman" w:hAnsi="Times New Roman" w:cs="Times New Roman"/>
          <w:sz w:val="28"/>
          <w:szCs w:val="28"/>
        </w:rPr>
        <w:t>услуг высшего образования</w:t>
      </w:r>
      <w:r w:rsidR="00821FAE">
        <w:rPr>
          <w:rFonts w:ascii="Times New Roman" w:hAnsi="Times New Roman" w:cs="Times New Roman"/>
          <w:sz w:val="28"/>
          <w:szCs w:val="28"/>
        </w:rPr>
        <w:t xml:space="preserve">. Семинары </w:t>
      </w:r>
      <w:r w:rsidR="00821FAE" w:rsidRPr="00821FAE">
        <w:rPr>
          <w:rFonts w:ascii="Times New Roman" w:hAnsi="Times New Roman" w:cs="Times New Roman"/>
          <w:sz w:val="28"/>
          <w:szCs w:val="28"/>
        </w:rPr>
        <w:t>(</w:t>
      </w:r>
      <w:proofErr w:type="spellStart"/>
      <w:r w:rsidR="00821FAE" w:rsidRPr="00821FAE">
        <w:rPr>
          <w:rFonts w:ascii="Times New Roman" w:hAnsi="Times New Roman" w:cs="Times New Roman"/>
          <w:sz w:val="28"/>
          <w:szCs w:val="28"/>
        </w:rPr>
        <w:t>вебинары</w:t>
      </w:r>
      <w:proofErr w:type="spellEnd"/>
      <w:r w:rsidR="00821FAE" w:rsidRPr="00821FAE">
        <w:rPr>
          <w:rFonts w:ascii="Times New Roman" w:hAnsi="Times New Roman" w:cs="Times New Roman"/>
          <w:sz w:val="28"/>
          <w:szCs w:val="28"/>
        </w:rPr>
        <w:t>) данной направленности проводил</w:t>
      </w:r>
      <w:r w:rsidR="00821FAE">
        <w:rPr>
          <w:rFonts w:ascii="Times New Roman" w:hAnsi="Times New Roman" w:cs="Times New Roman"/>
          <w:sz w:val="28"/>
          <w:szCs w:val="28"/>
        </w:rPr>
        <w:t xml:space="preserve">ись в 522 вузах, что составляет </w:t>
      </w:r>
      <w:r w:rsidR="00841F38">
        <w:rPr>
          <w:rFonts w:ascii="Times New Roman" w:hAnsi="Times New Roman" w:cs="Times New Roman"/>
          <w:sz w:val="28"/>
          <w:szCs w:val="28"/>
        </w:rPr>
        <w:t>46,15</w:t>
      </w:r>
      <w:r w:rsidR="00821FAE" w:rsidRPr="00821FAE">
        <w:rPr>
          <w:rFonts w:ascii="Times New Roman" w:hAnsi="Times New Roman" w:cs="Times New Roman"/>
          <w:sz w:val="28"/>
          <w:szCs w:val="28"/>
        </w:rPr>
        <w:t>% от числа участников мониторинга. По ср</w:t>
      </w:r>
      <w:r w:rsidR="00821FAE">
        <w:rPr>
          <w:rFonts w:ascii="Times New Roman" w:hAnsi="Times New Roman" w:cs="Times New Roman"/>
          <w:sz w:val="28"/>
          <w:szCs w:val="28"/>
        </w:rPr>
        <w:t>авнению с 2020 г</w:t>
      </w:r>
      <w:r w:rsidR="00920421">
        <w:rPr>
          <w:rFonts w:ascii="Times New Roman" w:hAnsi="Times New Roman" w:cs="Times New Roman"/>
          <w:sz w:val="28"/>
          <w:szCs w:val="28"/>
        </w:rPr>
        <w:t>.</w:t>
      </w:r>
      <w:r w:rsidR="00821FAE">
        <w:rPr>
          <w:rFonts w:ascii="Times New Roman" w:hAnsi="Times New Roman" w:cs="Times New Roman"/>
          <w:sz w:val="28"/>
          <w:szCs w:val="28"/>
        </w:rPr>
        <w:t xml:space="preserve"> отмечается </w:t>
      </w:r>
      <w:r w:rsidR="00821FAE" w:rsidRPr="00821FAE">
        <w:rPr>
          <w:rFonts w:ascii="Times New Roman" w:hAnsi="Times New Roman" w:cs="Times New Roman"/>
          <w:sz w:val="28"/>
          <w:szCs w:val="28"/>
        </w:rPr>
        <w:t xml:space="preserve">увеличение </w:t>
      </w:r>
      <w:r w:rsidR="00841F38">
        <w:rPr>
          <w:rFonts w:ascii="Times New Roman" w:hAnsi="Times New Roman" w:cs="Times New Roman"/>
          <w:sz w:val="28"/>
          <w:szCs w:val="28"/>
        </w:rPr>
        <w:t>на 2,37</w:t>
      </w:r>
      <w:r w:rsidR="00841F38" w:rsidRPr="00821FAE">
        <w:rPr>
          <w:rFonts w:ascii="Times New Roman" w:hAnsi="Times New Roman" w:cs="Times New Roman"/>
          <w:sz w:val="28"/>
          <w:szCs w:val="28"/>
        </w:rPr>
        <w:t>%</w:t>
      </w:r>
      <w:r w:rsidR="00841F38" w:rsidRPr="00841F38">
        <w:rPr>
          <w:rFonts w:ascii="Times New Roman" w:hAnsi="Times New Roman" w:cs="Times New Roman"/>
          <w:sz w:val="28"/>
          <w:szCs w:val="28"/>
        </w:rPr>
        <w:t xml:space="preserve"> </w:t>
      </w:r>
      <w:r w:rsidR="00841F38" w:rsidRPr="00821FAE">
        <w:rPr>
          <w:rFonts w:ascii="Times New Roman" w:hAnsi="Times New Roman" w:cs="Times New Roman"/>
          <w:sz w:val="28"/>
          <w:szCs w:val="28"/>
        </w:rPr>
        <w:t>к</w:t>
      </w:r>
      <w:r w:rsidR="00821FAE" w:rsidRPr="00821FAE">
        <w:rPr>
          <w:rFonts w:ascii="Times New Roman" w:hAnsi="Times New Roman" w:cs="Times New Roman"/>
          <w:sz w:val="28"/>
          <w:szCs w:val="28"/>
        </w:rPr>
        <w:t>оличеств</w:t>
      </w:r>
      <w:r w:rsidR="00841F38">
        <w:rPr>
          <w:rFonts w:ascii="Times New Roman" w:hAnsi="Times New Roman" w:cs="Times New Roman"/>
          <w:sz w:val="28"/>
          <w:szCs w:val="28"/>
        </w:rPr>
        <w:t>а семинаров (вебинаров)</w:t>
      </w:r>
      <w:r w:rsidR="00821FAE" w:rsidRPr="00821FAE">
        <w:rPr>
          <w:rFonts w:ascii="Times New Roman" w:hAnsi="Times New Roman" w:cs="Times New Roman"/>
          <w:sz w:val="28"/>
          <w:szCs w:val="28"/>
        </w:rPr>
        <w:t>. Всего в организованных вузами семинарах (</w:t>
      </w:r>
      <w:proofErr w:type="spellStart"/>
      <w:r w:rsidR="00821FAE" w:rsidRPr="00821FAE">
        <w:rPr>
          <w:rFonts w:ascii="Times New Roman" w:hAnsi="Times New Roman" w:cs="Times New Roman"/>
          <w:sz w:val="28"/>
          <w:szCs w:val="28"/>
        </w:rPr>
        <w:t>вебинарах</w:t>
      </w:r>
      <w:proofErr w:type="spellEnd"/>
      <w:r w:rsidR="00821FAE" w:rsidRPr="00821FAE">
        <w:rPr>
          <w:rFonts w:ascii="Times New Roman" w:hAnsi="Times New Roman" w:cs="Times New Roman"/>
          <w:sz w:val="28"/>
          <w:szCs w:val="28"/>
        </w:rPr>
        <w:t xml:space="preserve">) приняли участие </w:t>
      </w:r>
      <w:r w:rsidR="00821FAE">
        <w:rPr>
          <w:rFonts w:ascii="Times New Roman" w:hAnsi="Times New Roman" w:cs="Times New Roman"/>
          <w:sz w:val="28"/>
          <w:szCs w:val="28"/>
        </w:rPr>
        <w:t xml:space="preserve">151 872 человека. Вузы, на базе </w:t>
      </w:r>
      <w:r w:rsidR="00821FAE" w:rsidRPr="00821FAE">
        <w:rPr>
          <w:rFonts w:ascii="Times New Roman" w:hAnsi="Times New Roman" w:cs="Times New Roman"/>
          <w:sz w:val="28"/>
          <w:szCs w:val="28"/>
        </w:rPr>
        <w:t>которых функционируют РУМЦ, и вузы-партн</w:t>
      </w:r>
      <w:r w:rsidR="00821FAE">
        <w:rPr>
          <w:rFonts w:ascii="Times New Roman" w:hAnsi="Times New Roman" w:cs="Times New Roman"/>
          <w:sz w:val="28"/>
          <w:szCs w:val="28"/>
        </w:rPr>
        <w:t xml:space="preserve">еры РУМЦ провели 2 902 семинара </w:t>
      </w:r>
      <w:r w:rsidR="00821FAE" w:rsidRPr="00821FAE">
        <w:rPr>
          <w:rFonts w:ascii="Times New Roman" w:hAnsi="Times New Roman" w:cs="Times New Roman"/>
          <w:sz w:val="28"/>
          <w:szCs w:val="28"/>
        </w:rPr>
        <w:t>(</w:t>
      </w:r>
      <w:proofErr w:type="spellStart"/>
      <w:r w:rsidR="00821FAE">
        <w:rPr>
          <w:rFonts w:ascii="Times New Roman" w:hAnsi="Times New Roman" w:cs="Times New Roman"/>
          <w:sz w:val="28"/>
          <w:szCs w:val="28"/>
        </w:rPr>
        <w:t>вебинара</w:t>
      </w:r>
      <w:proofErr w:type="spellEnd"/>
      <w:r w:rsidR="00821FAE">
        <w:rPr>
          <w:rFonts w:ascii="Times New Roman" w:hAnsi="Times New Roman" w:cs="Times New Roman"/>
          <w:sz w:val="28"/>
          <w:szCs w:val="28"/>
        </w:rPr>
        <w:t>), что составляет 77,12</w:t>
      </w:r>
      <w:r w:rsidR="00821FAE" w:rsidRPr="00821FAE">
        <w:rPr>
          <w:rFonts w:ascii="Times New Roman" w:hAnsi="Times New Roman" w:cs="Times New Roman"/>
          <w:sz w:val="28"/>
          <w:szCs w:val="28"/>
        </w:rPr>
        <w:t>% от общего ко</w:t>
      </w:r>
      <w:r w:rsidR="00821FAE">
        <w:rPr>
          <w:rFonts w:ascii="Times New Roman" w:hAnsi="Times New Roman" w:cs="Times New Roman"/>
          <w:sz w:val="28"/>
          <w:szCs w:val="28"/>
        </w:rPr>
        <w:t xml:space="preserve">личества </w:t>
      </w:r>
      <w:r w:rsidR="00841F38">
        <w:rPr>
          <w:rFonts w:ascii="Times New Roman" w:hAnsi="Times New Roman" w:cs="Times New Roman"/>
          <w:sz w:val="28"/>
          <w:szCs w:val="28"/>
        </w:rPr>
        <w:t xml:space="preserve">проведенных </w:t>
      </w:r>
      <w:r w:rsidR="00821FAE">
        <w:rPr>
          <w:rFonts w:ascii="Times New Roman" w:hAnsi="Times New Roman" w:cs="Times New Roman"/>
          <w:sz w:val="28"/>
          <w:szCs w:val="28"/>
        </w:rPr>
        <w:t xml:space="preserve">семинаров (вебинаров). </w:t>
      </w:r>
      <w:r w:rsidR="00821FAE" w:rsidRPr="00821FAE">
        <w:rPr>
          <w:rFonts w:ascii="Times New Roman" w:hAnsi="Times New Roman" w:cs="Times New Roman"/>
          <w:sz w:val="28"/>
          <w:szCs w:val="28"/>
        </w:rPr>
        <w:t>В данных мероприятиях приняли участие 129 82</w:t>
      </w:r>
      <w:r w:rsidR="00841F38">
        <w:rPr>
          <w:rFonts w:ascii="Times New Roman" w:hAnsi="Times New Roman" w:cs="Times New Roman"/>
          <w:sz w:val="28"/>
          <w:szCs w:val="28"/>
        </w:rPr>
        <w:t>8 человек или 85,49</w:t>
      </w:r>
      <w:r w:rsidR="00821FAE">
        <w:rPr>
          <w:rFonts w:ascii="Times New Roman" w:hAnsi="Times New Roman" w:cs="Times New Roman"/>
          <w:sz w:val="28"/>
          <w:szCs w:val="28"/>
        </w:rPr>
        <w:t xml:space="preserve">% от общего </w:t>
      </w:r>
      <w:r w:rsidR="00821FAE" w:rsidRPr="00821FAE">
        <w:rPr>
          <w:rFonts w:ascii="Times New Roman" w:hAnsi="Times New Roman" w:cs="Times New Roman"/>
          <w:sz w:val="28"/>
          <w:szCs w:val="28"/>
        </w:rPr>
        <w:t>числа участников.</w:t>
      </w:r>
    </w:p>
    <w:p w14:paraId="2DE743AA" w14:textId="5436919B" w:rsidR="00821FAE" w:rsidRPr="00821FAE" w:rsidRDefault="00841F38" w:rsidP="00821FAE">
      <w:pPr>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2021 г</w:t>
      </w:r>
      <w:r w:rsidR="00920421">
        <w:rPr>
          <w:rFonts w:ascii="Times New Roman" w:hAnsi="Times New Roman" w:cs="Times New Roman"/>
          <w:sz w:val="28"/>
          <w:szCs w:val="28"/>
        </w:rPr>
        <w:t>.</w:t>
      </w:r>
      <w:r>
        <w:rPr>
          <w:rFonts w:ascii="Times New Roman" w:hAnsi="Times New Roman" w:cs="Times New Roman"/>
          <w:sz w:val="28"/>
          <w:szCs w:val="28"/>
        </w:rPr>
        <w:t xml:space="preserve"> на базе 501 вуза</w:t>
      </w:r>
      <w:r w:rsidRPr="00821FAE">
        <w:rPr>
          <w:rFonts w:ascii="Times New Roman" w:hAnsi="Times New Roman" w:cs="Times New Roman"/>
          <w:sz w:val="28"/>
          <w:szCs w:val="28"/>
        </w:rPr>
        <w:t xml:space="preserve"> </w:t>
      </w:r>
      <w:r>
        <w:rPr>
          <w:rFonts w:ascii="Times New Roman" w:hAnsi="Times New Roman" w:cs="Times New Roman"/>
          <w:sz w:val="28"/>
          <w:szCs w:val="28"/>
        </w:rPr>
        <w:t xml:space="preserve">профессиональное консультирование прошли </w:t>
      </w:r>
      <w:r w:rsidR="00150209">
        <w:rPr>
          <w:rFonts w:ascii="Times New Roman" w:hAnsi="Times New Roman" w:cs="Times New Roman"/>
          <w:sz w:val="28"/>
          <w:szCs w:val="28"/>
        </w:rPr>
        <w:br/>
      </w:r>
      <w:r w:rsidRPr="00821FAE">
        <w:rPr>
          <w:rFonts w:ascii="Times New Roman" w:hAnsi="Times New Roman" w:cs="Times New Roman"/>
          <w:sz w:val="28"/>
          <w:szCs w:val="28"/>
        </w:rPr>
        <w:t>8</w:t>
      </w:r>
      <w:r>
        <w:rPr>
          <w:rFonts w:ascii="Times New Roman" w:hAnsi="Times New Roman" w:cs="Times New Roman"/>
          <w:sz w:val="28"/>
          <w:szCs w:val="28"/>
        </w:rPr>
        <w:t> </w:t>
      </w:r>
      <w:r w:rsidRPr="00821FAE">
        <w:rPr>
          <w:rFonts w:ascii="Times New Roman" w:hAnsi="Times New Roman" w:cs="Times New Roman"/>
          <w:sz w:val="28"/>
          <w:szCs w:val="28"/>
        </w:rPr>
        <w:t>999</w:t>
      </w:r>
      <w:r>
        <w:rPr>
          <w:rFonts w:ascii="Times New Roman" w:hAnsi="Times New Roman" w:cs="Times New Roman"/>
          <w:sz w:val="28"/>
          <w:szCs w:val="28"/>
        </w:rPr>
        <w:t xml:space="preserve"> </w:t>
      </w:r>
      <w:r w:rsidR="00821FAE" w:rsidRPr="00821FAE">
        <w:rPr>
          <w:rFonts w:ascii="Times New Roman" w:hAnsi="Times New Roman" w:cs="Times New Roman"/>
          <w:sz w:val="28"/>
          <w:szCs w:val="28"/>
        </w:rPr>
        <w:t>абитуриентов и студентов из чис</w:t>
      </w:r>
      <w:r w:rsidR="00821FAE">
        <w:rPr>
          <w:rFonts w:ascii="Times New Roman" w:hAnsi="Times New Roman" w:cs="Times New Roman"/>
          <w:sz w:val="28"/>
          <w:szCs w:val="28"/>
        </w:rPr>
        <w:t xml:space="preserve">ла лиц с инвалидностью </w:t>
      </w:r>
      <w:r w:rsidR="00821FAE" w:rsidRPr="00821FAE">
        <w:rPr>
          <w:rFonts w:ascii="Times New Roman" w:hAnsi="Times New Roman" w:cs="Times New Roman"/>
          <w:sz w:val="28"/>
          <w:szCs w:val="28"/>
        </w:rPr>
        <w:t>и ОВЗ. Данный по</w:t>
      </w:r>
      <w:r w:rsidR="00821FAE">
        <w:rPr>
          <w:rFonts w:ascii="Times New Roman" w:hAnsi="Times New Roman" w:cs="Times New Roman"/>
          <w:sz w:val="28"/>
          <w:szCs w:val="28"/>
        </w:rPr>
        <w:t xml:space="preserve">казатель впервые введен в форму </w:t>
      </w:r>
      <w:r w:rsidR="00821FAE" w:rsidRPr="00821FAE">
        <w:rPr>
          <w:rFonts w:ascii="Times New Roman" w:hAnsi="Times New Roman" w:cs="Times New Roman"/>
          <w:sz w:val="28"/>
          <w:szCs w:val="28"/>
        </w:rPr>
        <w:t xml:space="preserve">мониторинга. Получение результатов в </w:t>
      </w:r>
      <w:r w:rsidR="00821FAE">
        <w:rPr>
          <w:rFonts w:ascii="Times New Roman" w:hAnsi="Times New Roman" w:cs="Times New Roman"/>
          <w:sz w:val="28"/>
          <w:szCs w:val="28"/>
        </w:rPr>
        <w:t xml:space="preserve">следующем году позволит выявить </w:t>
      </w:r>
      <w:r w:rsidR="00821FAE" w:rsidRPr="00821FAE">
        <w:rPr>
          <w:rFonts w:ascii="Times New Roman" w:hAnsi="Times New Roman" w:cs="Times New Roman"/>
          <w:sz w:val="28"/>
          <w:szCs w:val="28"/>
        </w:rPr>
        <w:t>динамику.</w:t>
      </w:r>
    </w:p>
    <w:p w14:paraId="1C1B9312" w14:textId="4C7CB861" w:rsidR="00821FAE" w:rsidRPr="00821FAE" w:rsidRDefault="00821FAE" w:rsidP="00821FAE">
      <w:pPr>
        <w:autoSpaceDE w:val="0"/>
        <w:autoSpaceDN w:val="0"/>
        <w:adjustRightInd w:val="0"/>
        <w:spacing w:after="0" w:line="312" w:lineRule="auto"/>
        <w:ind w:firstLine="709"/>
        <w:jc w:val="both"/>
        <w:rPr>
          <w:rFonts w:ascii="Times New Roman" w:hAnsi="Times New Roman" w:cs="Times New Roman"/>
          <w:sz w:val="28"/>
          <w:szCs w:val="28"/>
        </w:rPr>
      </w:pPr>
      <w:r w:rsidRPr="00821FAE">
        <w:rPr>
          <w:rFonts w:ascii="Times New Roman" w:hAnsi="Times New Roman" w:cs="Times New Roman"/>
          <w:sz w:val="28"/>
          <w:szCs w:val="28"/>
        </w:rPr>
        <w:t>В 2021 г</w:t>
      </w:r>
      <w:r w:rsidR="00920421">
        <w:rPr>
          <w:rFonts w:ascii="Times New Roman" w:hAnsi="Times New Roman" w:cs="Times New Roman"/>
          <w:sz w:val="28"/>
          <w:szCs w:val="28"/>
        </w:rPr>
        <w:t>.</w:t>
      </w:r>
      <w:r w:rsidRPr="00821FAE">
        <w:rPr>
          <w:rFonts w:ascii="Times New Roman" w:hAnsi="Times New Roman" w:cs="Times New Roman"/>
          <w:sz w:val="28"/>
          <w:szCs w:val="28"/>
        </w:rPr>
        <w:t xml:space="preserve"> по итогам работы</w:t>
      </w:r>
      <w:r>
        <w:rPr>
          <w:rFonts w:ascii="Times New Roman" w:hAnsi="Times New Roman" w:cs="Times New Roman"/>
          <w:sz w:val="28"/>
          <w:szCs w:val="28"/>
        </w:rPr>
        <w:t xml:space="preserve"> «горячей линии» сети РУМЦ было </w:t>
      </w:r>
      <w:r w:rsidRPr="00821FAE">
        <w:rPr>
          <w:rFonts w:ascii="Times New Roman" w:hAnsi="Times New Roman" w:cs="Times New Roman"/>
          <w:sz w:val="28"/>
          <w:szCs w:val="28"/>
        </w:rPr>
        <w:t xml:space="preserve">осуществлено </w:t>
      </w:r>
      <w:r w:rsidR="00150209">
        <w:rPr>
          <w:rFonts w:ascii="Times New Roman" w:hAnsi="Times New Roman" w:cs="Times New Roman"/>
          <w:sz w:val="28"/>
          <w:szCs w:val="28"/>
        </w:rPr>
        <w:br/>
      </w:r>
      <w:r w:rsidRPr="00821FAE">
        <w:rPr>
          <w:rFonts w:ascii="Times New Roman" w:hAnsi="Times New Roman" w:cs="Times New Roman"/>
          <w:sz w:val="28"/>
          <w:szCs w:val="28"/>
        </w:rPr>
        <w:t>10 098 консультаций, в том</w:t>
      </w:r>
      <w:r>
        <w:rPr>
          <w:rFonts w:ascii="Times New Roman" w:hAnsi="Times New Roman" w:cs="Times New Roman"/>
          <w:sz w:val="28"/>
          <w:szCs w:val="28"/>
        </w:rPr>
        <w:t xml:space="preserve"> числе через Портал. На Портале </w:t>
      </w:r>
      <w:r w:rsidRPr="00821FAE">
        <w:rPr>
          <w:rFonts w:ascii="Times New Roman" w:hAnsi="Times New Roman" w:cs="Times New Roman"/>
          <w:sz w:val="28"/>
          <w:szCs w:val="28"/>
        </w:rPr>
        <w:t>размещен сборник ответов на наи</w:t>
      </w:r>
      <w:r>
        <w:rPr>
          <w:rFonts w:ascii="Times New Roman" w:hAnsi="Times New Roman" w:cs="Times New Roman"/>
          <w:sz w:val="28"/>
          <w:szCs w:val="28"/>
        </w:rPr>
        <w:t xml:space="preserve">более распространенные вопросы. </w:t>
      </w:r>
      <w:r w:rsidRPr="00821FAE">
        <w:rPr>
          <w:rFonts w:ascii="Times New Roman" w:hAnsi="Times New Roman" w:cs="Times New Roman"/>
          <w:sz w:val="28"/>
          <w:szCs w:val="28"/>
        </w:rPr>
        <w:t>Сетью РУМЦ системно осуществляется обновление блока «Атлас</w:t>
      </w:r>
      <w:r>
        <w:rPr>
          <w:rFonts w:ascii="Times New Roman" w:hAnsi="Times New Roman" w:cs="Times New Roman"/>
          <w:sz w:val="28"/>
          <w:szCs w:val="28"/>
        </w:rPr>
        <w:t xml:space="preserve"> </w:t>
      </w:r>
      <w:r w:rsidRPr="00821FAE">
        <w:rPr>
          <w:rFonts w:ascii="Times New Roman" w:hAnsi="Times New Roman" w:cs="Times New Roman"/>
          <w:sz w:val="28"/>
          <w:szCs w:val="28"/>
        </w:rPr>
        <w:t>профессий» на Портале с учетом выяв</w:t>
      </w:r>
      <w:r>
        <w:rPr>
          <w:rFonts w:ascii="Times New Roman" w:hAnsi="Times New Roman" w:cs="Times New Roman"/>
          <w:sz w:val="28"/>
          <w:szCs w:val="28"/>
        </w:rPr>
        <w:t xml:space="preserve">ления образовательных программ, </w:t>
      </w:r>
      <w:r w:rsidRPr="00821FAE">
        <w:rPr>
          <w:rFonts w:ascii="Times New Roman" w:hAnsi="Times New Roman" w:cs="Times New Roman"/>
          <w:sz w:val="28"/>
          <w:szCs w:val="28"/>
        </w:rPr>
        <w:t>реализуемых с применением дистанционных технологий.</w:t>
      </w:r>
    </w:p>
    <w:p w14:paraId="68E5E9DC" w14:textId="77777777" w:rsidR="00821FAE" w:rsidRPr="00821FAE" w:rsidRDefault="00821FAE" w:rsidP="00841F38">
      <w:pPr>
        <w:autoSpaceDE w:val="0"/>
        <w:autoSpaceDN w:val="0"/>
        <w:adjustRightInd w:val="0"/>
        <w:spacing w:after="0" w:line="312" w:lineRule="auto"/>
        <w:ind w:firstLine="709"/>
        <w:jc w:val="both"/>
        <w:rPr>
          <w:rFonts w:ascii="Times New Roman" w:hAnsi="Times New Roman" w:cs="Times New Roman"/>
          <w:sz w:val="28"/>
          <w:szCs w:val="28"/>
        </w:rPr>
      </w:pPr>
      <w:r w:rsidRPr="00821FAE">
        <w:rPr>
          <w:rFonts w:ascii="Times New Roman" w:hAnsi="Times New Roman" w:cs="Times New Roman"/>
          <w:sz w:val="28"/>
          <w:szCs w:val="28"/>
        </w:rPr>
        <w:t>В контексте широкого информи</w:t>
      </w:r>
      <w:r>
        <w:rPr>
          <w:rFonts w:ascii="Times New Roman" w:hAnsi="Times New Roman" w:cs="Times New Roman"/>
          <w:sz w:val="28"/>
          <w:szCs w:val="28"/>
        </w:rPr>
        <w:t>рования о возможностях</w:t>
      </w:r>
      <w:r w:rsidRPr="0079389A">
        <w:rPr>
          <w:rFonts w:ascii="Times New Roman" w:eastAsia="Times New Roman" w:hAnsi="Times New Roman" w:cs="Times New Roman"/>
          <w:sz w:val="28"/>
          <w:szCs w:val="28"/>
          <w:lang w:eastAsia="ru-RU"/>
        </w:rPr>
        <w:t> </w:t>
      </w:r>
      <w:r>
        <w:rPr>
          <w:rFonts w:ascii="Times New Roman" w:hAnsi="Times New Roman" w:cs="Times New Roman"/>
          <w:sz w:val="28"/>
          <w:szCs w:val="28"/>
        </w:rPr>
        <w:t xml:space="preserve">получения </w:t>
      </w:r>
      <w:r w:rsidRPr="00821FAE">
        <w:rPr>
          <w:rFonts w:ascii="Times New Roman" w:hAnsi="Times New Roman" w:cs="Times New Roman"/>
          <w:sz w:val="28"/>
          <w:szCs w:val="28"/>
        </w:rPr>
        <w:t>высшего образования лицами, имеющим</w:t>
      </w:r>
      <w:r>
        <w:rPr>
          <w:rFonts w:ascii="Times New Roman" w:hAnsi="Times New Roman" w:cs="Times New Roman"/>
          <w:sz w:val="28"/>
          <w:szCs w:val="28"/>
        </w:rPr>
        <w:t xml:space="preserve">и инвалидность, сетью РУМЦ были </w:t>
      </w:r>
      <w:r w:rsidRPr="00821FAE">
        <w:rPr>
          <w:rFonts w:ascii="Times New Roman" w:hAnsi="Times New Roman" w:cs="Times New Roman"/>
          <w:sz w:val="28"/>
          <w:szCs w:val="28"/>
        </w:rPr>
        <w:t>разработаны и распространены по вузам-партн</w:t>
      </w:r>
      <w:r>
        <w:rPr>
          <w:rFonts w:ascii="Times New Roman" w:hAnsi="Times New Roman" w:cs="Times New Roman"/>
          <w:sz w:val="28"/>
          <w:szCs w:val="28"/>
        </w:rPr>
        <w:t xml:space="preserve">ерам программа профессиональной </w:t>
      </w:r>
      <w:r w:rsidRPr="00821FAE">
        <w:rPr>
          <w:rFonts w:ascii="Times New Roman" w:hAnsi="Times New Roman" w:cs="Times New Roman"/>
          <w:sz w:val="28"/>
          <w:szCs w:val="28"/>
        </w:rPr>
        <w:t xml:space="preserve">ориентации лиц с инвалидностью и ОВЗ и </w:t>
      </w:r>
      <w:r>
        <w:rPr>
          <w:rFonts w:ascii="Times New Roman" w:hAnsi="Times New Roman" w:cs="Times New Roman"/>
          <w:sz w:val="28"/>
          <w:szCs w:val="28"/>
        </w:rPr>
        <w:t xml:space="preserve">методические рекомендации по ее </w:t>
      </w:r>
      <w:r w:rsidR="00841F38">
        <w:rPr>
          <w:rFonts w:ascii="Times New Roman" w:hAnsi="Times New Roman" w:cs="Times New Roman"/>
          <w:sz w:val="28"/>
          <w:szCs w:val="28"/>
        </w:rPr>
        <w:t xml:space="preserve">реализации. </w:t>
      </w:r>
      <w:r w:rsidRPr="00821FAE">
        <w:rPr>
          <w:rFonts w:ascii="Times New Roman" w:hAnsi="Times New Roman" w:cs="Times New Roman"/>
          <w:sz w:val="28"/>
          <w:szCs w:val="28"/>
        </w:rPr>
        <w:t>Программа и методические рекомен</w:t>
      </w:r>
      <w:r>
        <w:rPr>
          <w:rFonts w:ascii="Times New Roman" w:hAnsi="Times New Roman" w:cs="Times New Roman"/>
          <w:sz w:val="28"/>
          <w:szCs w:val="28"/>
        </w:rPr>
        <w:t xml:space="preserve">дации позволяют вузам учитывать </w:t>
      </w:r>
      <w:r w:rsidRPr="00821FAE">
        <w:rPr>
          <w:rFonts w:ascii="Times New Roman" w:hAnsi="Times New Roman" w:cs="Times New Roman"/>
          <w:sz w:val="28"/>
          <w:szCs w:val="28"/>
        </w:rPr>
        <w:t xml:space="preserve">в своей деятельности нозологический подход в работе </w:t>
      </w:r>
      <w:r>
        <w:rPr>
          <w:rFonts w:ascii="Times New Roman" w:hAnsi="Times New Roman" w:cs="Times New Roman"/>
          <w:sz w:val="28"/>
          <w:szCs w:val="28"/>
        </w:rPr>
        <w:t xml:space="preserve">с лицами с инвалидностью </w:t>
      </w:r>
      <w:r w:rsidRPr="00821FAE">
        <w:rPr>
          <w:rFonts w:ascii="Times New Roman" w:hAnsi="Times New Roman" w:cs="Times New Roman"/>
          <w:sz w:val="28"/>
          <w:szCs w:val="28"/>
        </w:rPr>
        <w:t xml:space="preserve">и ОВЗ, внедрять актуальные формы </w:t>
      </w:r>
      <w:r>
        <w:rPr>
          <w:rFonts w:ascii="Times New Roman" w:hAnsi="Times New Roman" w:cs="Times New Roman"/>
          <w:sz w:val="28"/>
          <w:szCs w:val="28"/>
        </w:rPr>
        <w:t xml:space="preserve">и инструменты профессионального </w:t>
      </w:r>
      <w:r w:rsidRPr="00821FAE">
        <w:rPr>
          <w:rFonts w:ascii="Times New Roman" w:hAnsi="Times New Roman" w:cs="Times New Roman"/>
          <w:sz w:val="28"/>
          <w:szCs w:val="28"/>
        </w:rPr>
        <w:t>ориентирования и мотивирования.</w:t>
      </w:r>
    </w:p>
    <w:p w14:paraId="57499255" w14:textId="77777777" w:rsidR="001F6208" w:rsidRPr="00821FAE" w:rsidRDefault="00841F38" w:rsidP="00841F38">
      <w:pPr>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2021 г</w:t>
      </w:r>
      <w:r w:rsidR="00920421">
        <w:rPr>
          <w:rFonts w:ascii="Times New Roman" w:hAnsi="Times New Roman" w:cs="Times New Roman"/>
          <w:sz w:val="28"/>
          <w:szCs w:val="28"/>
        </w:rPr>
        <w:t>.</w:t>
      </w:r>
      <w:r>
        <w:rPr>
          <w:rFonts w:ascii="Times New Roman" w:hAnsi="Times New Roman" w:cs="Times New Roman"/>
          <w:sz w:val="28"/>
          <w:szCs w:val="28"/>
        </w:rPr>
        <w:t xml:space="preserve"> в 509 </w:t>
      </w:r>
      <w:r w:rsidR="00821FAE" w:rsidRPr="00821FAE">
        <w:rPr>
          <w:rFonts w:ascii="Times New Roman" w:hAnsi="Times New Roman" w:cs="Times New Roman"/>
          <w:sz w:val="28"/>
          <w:szCs w:val="28"/>
        </w:rPr>
        <w:t xml:space="preserve">вузах </w:t>
      </w:r>
      <w:r w:rsidR="00821FAE">
        <w:rPr>
          <w:rFonts w:ascii="Times New Roman" w:hAnsi="Times New Roman" w:cs="Times New Roman"/>
          <w:sz w:val="28"/>
          <w:szCs w:val="28"/>
        </w:rPr>
        <w:t xml:space="preserve">утверждены программы содействия </w:t>
      </w:r>
      <w:r w:rsidR="00821FAE" w:rsidRPr="00821FAE">
        <w:rPr>
          <w:rFonts w:ascii="Times New Roman" w:hAnsi="Times New Roman" w:cs="Times New Roman"/>
          <w:sz w:val="28"/>
          <w:szCs w:val="28"/>
        </w:rPr>
        <w:t>трудоустройству выпускников с инвалидностью</w:t>
      </w:r>
      <w:r>
        <w:rPr>
          <w:rFonts w:ascii="Times New Roman" w:hAnsi="Times New Roman" w:cs="Times New Roman"/>
          <w:sz w:val="28"/>
          <w:szCs w:val="28"/>
        </w:rPr>
        <w:t xml:space="preserve">, что составляет </w:t>
      </w:r>
      <w:r w:rsidR="00821FAE">
        <w:rPr>
          <w:rFonts w:ascii="Times New Roman" w:hAnsi="Times New Roman" w:cs="Times New Roman"/>
          <w:sz w:val="28"/>
          <w:szCs w:val="28"/>
        </w:rPr>
        <w:t xml:space="preserve">45% от общего числа </w:t>
      </w:r>
      <w:r w:rsidR="00920421">
        <w:rPr>
          <w:rFonts w:ascii="Times New Roman" w:hAnsi="Times New Roman" w:cs="Times New Roman"/>
          <w:sz w:val="28"/>
          <w:szCs w:val="28"/>
        </w:rPr>
        <w:br/>
      </w:r>
      <w:r w:rsidR="00821FAE">
        <w:rPr>
          <w:rFonts w:ascii="Times New Roman" w:hAnsi="Times New Roman" w:cs="Times New Roman"/>
          <w:sz w:val="28"/>
          <w:szCs w:val="28"/>
        </w:rPr>
        <w:t>вузов-</w:t>
      </w:r>
      <w:r>
        <w:rPr>
          <w:rFonts w:ascii="Times New Roman" w:hAnsi="Times New Roman" w:cs="Times New Roman"/>
          <w:sz w:val="28"/>
          <w:szCs w:val="28"/>
        </w:rPr>
        <w:t>респондентов</w:t>
      </w:r>
      <w:r w:rsidR="00821FAE" w:rsidRPr="00821FAE">
        <w:rPr>
          <w:rFonts w:ascii="Times New Roman" w:hAnsi="Times New Roman" w:cs="Times New Roman"/>
          <w:sz w:val="28"/>
          <w:szCs w:val="28"/>
        </w:rPr>
        <w:t>. По сравнению с 2020 г</w:t>
      </w:r>
      <w:r w:rsidR="00920421">
        <w:rPr>
          <w:rFonts w:ascii="Times New Roman" w:hAnsi="Times New Roman" w:cs="Times New Roman"/>
          <w:sz w:val="28"/>
          <w:szCs w:val="28"/>
        </w:rPr>
        <w:t>.</w:t>
      </w:r>
      <w:r w:rsidR="00821FAE">
        <w:rPr>
          <w:rFonts w:ascii="Times New Roman" w:hAnsi="Times New Roman" w:cs="Times New Roman"/>
          <w:sz w:val="28"/>
          <w:szCs w:val="28"/>
        </w:rPr>
        <w:t xml:space="preserve"> отмечается </w:t>
      </w:r>
      <w:r w:rsidR="00821FAE" w:rsidRPr="00821FAE">
        <w:rPr>
          <w:rFonts w:ascii="Times New Roman" w:hAnsi="Times New Roman" w:cs="Times New Roman"/>
          <w:sz w:val="28"/>
          <w:szCs w:val="28"/>
        </w:rPr>
        <w:t>увеличение доли вузов с утвержденн</w:t>
      </w:r>
      <w:r w:rsidR="00821FAE">
        <w:rPr>
          <w:rFonts w:ascii="Times New Roman" w:hAnsi="Times New Roman" w:cs="Times New Roman"/>
          <w:sz w:val="28"/>
          <w:szCs w:val="28"/>
        </w:rPr>
        <w:t xml:space="preserve">ыми программами трудоустройства </w:t>
      </w:r>
      <w:r w:rsidR="00821FAE" w:rsidRPr="00821FAE">
        <w:rPr>
          <w:rFonts w:ascii="Times New Roman" w:hAnsi="Times New Roman" w:cs="Times New Roman"/>
          <w:sz w:val="28"/>
          <w:szCs w:val="28"/>
        </w:rPr>
        <w:t>выпускников с инвалидностью: в общем коли</w:t>
      </w:r>
      <w:r w:rsidR="00821FAE">
        <w:rPr>
          <w:rFonts w:ascii="Times New Roman" w:hAnsi="Times New Roman" w:cs="Times New Roman"/>
          <w:sz w:val="28"/>
          <w:szCs w:val="28"/>
        </w:rPr>
        <w:t xml:space="preserve">честве участников мониторинга </w:t>
      </w:r>
      <w:r w:rsidR="00821FAE" w:rsidRPr="00821FAE">
        <w:rPr>
          <w:rFonts w:ascii="Times New Roman" w:hAnsi="Times New Roman" w:cs="Times New Roman"/>
          <w:sz w:val="28"/>
          <w:szCs w:val="28"/>
        </w:rPr>
        <w:t>на 2,19%</w:t>
      </w:r>
      <w:r>
        <w:rPr>
          <w:rFonts w:ascii="Times New Roman" w:hAnsi="Times New Roman" w:cs="Times New Roman"/>
          <w:sz w:val="28"/>
          <w:szCs w:val="28"/>
        </w:rPr>
        <w:t>,</w:t>
      </w:r>
      <w:r w:rsidR="00821FAE" w:rsidRPr="00821FAE">
        <w:rPr>
          <w:rFonts w:ascii="Times New Roman" w:hAnsi="Times New Roman" w:cs="Times New Roman"/>
          <w:sz w:val="28"/>
          <w:szCs w:val="28"/>
        </w:rPr>
        <w:t xml:space="preserve"> в группе вузов, где обучаются </w:t>
      </w:r>
      <w:r w:rsidR="00821FAE">
        <w:rPr>
          <w:rFonts w:ascii="Times New Roman" w:hAnsi="Times New Roman" w:cs="Times New Roman"/>
          <w:sz w:val="28"/>
          <w:szCs w:val="28"/>
        </w:rPr>
        <w:t xml:space="preserve">студенты с инвалидностью и ОВЗ, </w:t>
      </w:r>
      <w:r>
        <w:rPr>
          <w:rFonts w:ascii="Times New Roman" w:hAnsi="Times New Roman" w:cs="Times New Roman"/>
          <w:sz w:val="28"/>
          <w:szCs w:val="28"/>
        </w:rPr>
        <w:t>на 3,73</w:t>
      </w:r>
      <w:r w:rsidR="00821FAE" w:rsidRPr="00821FAE">
        <w:rPr>
          <w:rFonts w:ascii="Times New Roman" w:hAnsi="Times New Roman" w:cs="Times New Roman"/>
          <w:sz w:val="28"/>
          <w:szCs w:val="28"/>
        </w:rPr>
        <w:t>%.</w:t>
      </w:r>
      <w:r w:rsidRPr="00841F38">
        <w:rPr>
          <w:rFonts w:ascii="Times New Roman" w:hAnsi="Times New Roman" w:cs="Times New Roman"/>
          <w:sz w:val="28"/>
          <w:szCs w:val="28"/>
        </w:rPr>
        <w:t xml:space="preserve"> </w:t>
      </w:r>
      <w:r>
        <w:rPr>
          <w:rFonts w:ascii="Times New Roman" w:hAnsi="Times New Roman" w:cs="Times New Roman"/>
          <w:sz w:val="28"/>
          <w:szCs w:val="28"/>
        </w:rPr>
        <w:t xml:space="preserve">В 601 вузе </w:t>
      </w:r>
      <w:r w:rsidR="00821FAE" w:rsidRPr="00821FAE">
        <w:rPr>
          <w:rFonts w:ascii="Times New Roman" w:hAnsi="Times New Roman" w:cs="Times New Roman"/>
          <w:sz w:val="28"/>
          <w:szCs w:val="28"/>
        </w:rPr>
        <w:t xml:space="preserve">проводятся мероприятия </w:t>
      </w:r>
      <w:r>
        <w:rPr>
          <w:rFonts w:ascii="Times New Roman" w:hAnsi="Times New Roman" w:cs="Times New Roman"/>
          <w:sz w:val="28"/>
          <w:szCs w:val="28"/>
        </w:rPr>
        <w:t xml:space="preserve">по содействию трудоустройству </w:t>
      </w:r>
      <w:r w:rsidR="00821FAE" w:rsidRPr="00821FAE">
        <w:rPr>
          <w:rFonts w:ascii="Times New Roman" w:hAnsi="Times New Roman" w:cs="Times New Roman"/>
          <w:sz w:val="28"/>
          <w:szCs w:val="28"/>
        </w:rPr>
        <w:t>для обучающихся с и</w:t>
      </w:r>
      <w:r w:rsidR="00821FAE">
        <w:rPr>
          <w:rFonts w:ascii="Times New Roman" w:hAnsi="Times New Roman" w:cs="Times New Roman"/>
          <w:sz w:val="28"/>
          <w:szCs w:val="28"/>
        </w:rPr>
        <w:t xml:space="preserve">нвалидностью и с ОВЗ </w:t>
      </w:r>
      <w:r>
        <w:rPr>
          <w:rFonts w:ascii="Times New Roman" w:hAnsi="Times New Roman" w:cs="Times New Roman"/>
          <w:sz w:val="28"/>
          <w:szCs w:val="28"/>
        </w:rPr>
        <w:t>(53,14</w:t>
      </w:r>
      <w:r w:rsidR="00821FAE" w:rsidRPr="00821FAE">
        <w:rPr>
          <w:rFonts w:ascii="Times New Roman" w:hAnsi="Times New Roman" w:cs="Times New Roman"/>
          <w:sz w:val="28"/>
          <w:szCs w:val="28"/>
        </w:rPr>
        <w:t>% от общего числа</w:t>
      </w:r>
      <w:r>
        <w:rPr>
          <w:rFonts w:ascii="Times New Roman" w:hAnsi="Times New Roman" w:cs="Times New Roman"/>
          <w:sz w:val="28"/>
          <w:szCs w:val="28"/>
        </w:rPr>
        <w:t>, что</w:t>
      </w:r>
      <w:r w:rsidR="00821FAE" w:rsidRPr="00821FAE">
        <w:rPr>
          <w:rFonts w:ascii="Times New Roman" w:hAnsi="Times New Roman" w:cs="Times New Roman"/>
          <w:sz w:val="28"/>
          <w:szCs w:val="28"/>
        </w:rPr>
        <w:t xml:space="preserve"> на 1,0</w:t>
      </w:r>
      <w:r>
        <w:rPr>
          <w:rFonts w:ascii="Times New Roman" w:hAnsi="Times New Roman" w:cs="Times New Roman"/>
          <w:sz w:val="28"/>
          <w:szCs w:val="28"/>
        </w:rPr>
        <w:t>7</w:t>
      </w:r>
      <w:r w:rsidR="00821FAE">
        <w:rPr>
          <w:rFonts w:ascii="Times New Roman" w:hAnsi="Times New Roman" w:cs="Times New Roman"/>
          <w:sz w:val="28"/>
          <w:szCs w:val="28"/>
        </w:rPr>
        <w:t xml:space="preserve">% </w:t>
      </w:r>
      <w:r>
        <w:rPr>
          <w:rFonts w:ascii="Times New Roman" w:hAnsi="Times New Roman" w:cs="Times New Roman"/>
          <w:sz w:val="28"/>
          <w:szCs w:val="28"/>
        </w:rPr>
        <w:t xml:space="preserve">больше </w:t>
      </w:r>
      <w:r w:rsidR="00821FAE">
        <w:rPr>
          <w:rFonts w:ascii="Times New Roman" w:hAnsi="Times New Roman" w:cs="Times New Roman"/>
          <w:sz w:val="28"/>
          <w:szCs w:val="28"/>
        </w:rPr>
        <w:t>по сравнению с 2020 г</w:t>
      </w:r>
      <w:r w:rsidR="00920421">
        <w:rPr>
          <w:rFonts w:ascii="Times New Roman" w:hAnsi="Times New Roman" w:cs="Times New Roman"/>
          <w:sz w:val="28"/>
          <w:szCs w:val="28"/>
        </w:rPr>
        <w:t>.</w:t>
      </w:r>
      <w:r w:rsidR="00821FAE">
        <w:rPr>
          <w:rFonts w:ascii="Times New Roman" w:hAnsi="Times New Roman" w:cs="Times New Roman"/>
          <w:sz w:val="28"/>
          <w:szCs w:val="28"/>
        </w:rPr>
        <w:t xml:space="preserve">). </w:t>
      </w:r>
      <w:r w:rsidR="00821FAE" w:rsidRPr="00821FAE">
        <w:rPr>
          <w:rFonts w:ascii="Times New Roman" w:hAnsi="Times New Roman" w:cs="Times New Roman"/>
          <w:sz w:val="28"/>
          <w:szCs w:val="28"/>
        </w:rPr>
        <w:t>Вузы, на базе которых функционируют РУМЦ, к</w:t>
      </w:r>
      <w:r w:rsidR="00821FAE">
        <w:rPr>
          <w:rFonts w:ascii="Times New Roman" w:hAnsi="Times New Roman" w:cs="Times New Roman"/>
          <w:sz w:val="28"/>
          <w:szCs w:val="28"/>
        </w:rPr>
        <w:t>ак и в 2020 г</w:t>
      </w:r>
      <w:r w:rsidR="00920421">
        <w:rPr>
          <w:rFonts w:ascii="Times New Roman" w:hAnsi="Times New Roman" w:cs="Times New Roman"/>
          <w:sz w:val="28"/>
          <w:szCs w:val="28"/>
        </w:rPr>
        <w:t>.</w:t>
      </w:r>
      <w:r w:rsidR="00821FAE">
        <w:rPr>
          <w:rFonts w:ascii="Times New Roman" w:hAnsi="Times New Roman" w:cs="Times New Roman"/>
          <w:sz w:val="28"/>
          <w:szCs w:val="28"/>
        </w:rPr>
        <w:t xml:space="preserve">, демонстрируют </w:t>
      </w:r>
      <w:r w:rsidR="00821FAE" w:rsidRPr="00821FAE">
        <w:rPr>
          <w:rFonts w:ascii="Times New Roman" w:hAnsi="Times New Roman" w:cs="Times New Roman"/>
          <w:sz w:val="28"/>
          <w:szCs w:val="28"/>
        </w:rPr>
        <w:t>100</w:t>
      </w:r>
      <w:r>
        <w:rPr>
          <w:rFonts w:ascii="Times New Roman" w:hAnsi="Times New Roman" w:cs="Times New Roman"/>
          <w:sz w:val="28"/>
          <w:szCs w:val="28"/>
        </w:rPr>
        <w:t>%</w:t>
      </w:r>
      <w:r w:rsidR="00821FAE" w:rsidRPr="00821FAE">
        <w:rPr>
          <w:rFonts w:ascii="Times New Roman" w:hAnsi="Times New Roman" w:cs="Times New Roman"/>
          <w:sz w:val="28"/>
          <w:szCs w:val="28"/>
        </w:rPr>
        <w:t xml:space="preserve"> результат по данному показателю.</w:t>
      </w:r>
    </w:p>
    <w:p w14:paraId="3C7FB8EC" w14:textId="77777777" w:rsidR="00821FAE" w:rsidRPr="00821FAE" w:rsidRDefault="00821FAE" w:rsidP="00821FAE">
      <w:pPr>
        <w:autoSpaceDE w:val="0"/>
        <w:autoSpaceDN w:val="0"/>
        <w:adjustRightInd w:val="0"/>
        <w:spacing w:after="0" w:line="312" w:lineRule="auto"/>
        <w:ind w:firstLine="709"/>
        <w:jc w:val="both"/>
        <w:rPr>
          <w:rFonts w:ascii="Times New Roman" w:hAnsi="Times New Roman" w:cs="Times New Roman"/>
          <w:sz w:val="28"/>
          <w:szCs w:val="28"/>
        </w:rPr>
      </w:pPr>
      <w:r w:rsidRPr="00821FAE">
        <w:rPr>
          <w:rFonts w:ascii="Times New Roman" w:hAnsi="Times New Roman" w:cs="Times New Roman"/>
          <w:sz w:val="28"/>
          <w:szCs w:val="28"/>
        </w:rPr>
        <w:t>Программа постдипломного сопровождения выпускников с инвалидностью</w:t>
      </w:r>
      <w:r>
        <w:rPr>
          <w:rFonts w:ascii="Times New Roman" w:hAnsi="Times New Roman" w:cs="Times New Roman"/>
          <w:sz w:val="28"/>
          <w:szCs w:val="28"/>
        </w:rPr>
        <w:t xml:space="preserve"> </w:t>
      </w:r>
      <w:r w:rsidRPr="00821FAE">
        <w:rPr>
          <w:rFonts w:ascii="Times New Roman" w:hAnsi="Times New Roman" w:cs="Times New Roman"/>
          <w:sz w:val="28"/>
          <w:szCs w:val="28"/>
        </w:rPr>
        <w:t>и ОВЗ (на период не менее 3-х лет после оконча</w:t>
      </w:r>
      <w:r>
        <w:rPr>
          <w:rFonts w:ascii="Times New Roman" w:hAnsi="Times New Roman" w:cs="Times New Roman"/>
          <w:sz w:val="28"/>
          <w:szCs w:val="28"/>
        </w:rPr>
        <w:t xml:space="preserve">ния вуза), завершивших обучение </w:t>
      </w:r>
      <w:r w:rsidRPr="00821FAE">
        <w:rPr>
          <w:rFonts w:ascii="Times New Roman" w:hAnsi="Times New Roman" w:cs="Times New Roman"/>
          <w:sz w:val="28"/>
          <w:szCs w:val="28"/>
        </w:rPr>
        <w:t>по программам высшего образовани</w:t>
      </w:r>
      <w:r>
        <w:rPr>
          <w:rFonts w:ascii="Times New Roman" w:hAnsi="Times New Roman" w:cs="Times New Roman"/>
          <w:sz w:val="28"/>
          <w:szCs w:val="28"/>
        </w:rPr>
        <w:t>я, утверждена в 2021 г</w:t>
      </w:r>
      <w:r w:rsidR="00BF427F">
        <w:rPr>
          <w:rFonts w:ascii="Times New Roman" w:hAnsi="Times New Roman" w:cs="Times New Roman"/>
          <w:sz w:val="28"/>
          <w:szCs w:val="28"/>
        </w:rPr>
        <w:t>.</w:t>
      </w:r>
      <w:r>
        <w:rPr>
          <w:rFonts w:ascii="Times New Roman" w:hAnsi="Times New Roman" w:cs="Times New Roman"/>
          <w:sz w:val="28"/>
          <w:szCs w:val="28"/>
        </w:rPr>
        <w:t xml:space="preserve"> в 283 </w:t>
      </w:r>
      <w:r w:rsidRPr="00821FAE">
        <w:rPr>
          <w:rFonts w:ascii="Times New Roman" w:hAnsi="Times New Roman" w:cs="Times New Roman"/>
          <w:sz w:val="28"/>
          <w:szCs w:val="28"/>
        </w:rPr>
        <w:t>образовательных организациях высшего обра</w:t>
      </w:r>
      <w:r w:rsidR="00841F38">
        <w:rPr>
          <w:rFonts w:ascii="Times New Roman" w:hAnsi="Times New Roman" w:cs="Times New Roman"/>
          <w:sz w:val="28"/>
          <w:szCs w:val="28"/>
        </w:rPr>
        <w:t>зования, что составляет 25,02</w:t>
      </w:r>
      <w:r>
        <w:rPr>
          <w:rFonts w:ascii="Times New Roman" w:hAnsi="Times New Roman" w:cs="Times New Roman"/>
          <w:sz w:val="28"/>
          <w:szCs w:val="28"/>
        </w:rPr>
        <w:t xml:space="preserve">% </w:t>
      </w:r>
      <w:r w:rsidRPr="00821FAE">
        <w:rPr>
          <w:rFonts w:ascii="Times New Roman" w:hAnsi="Times New Roman" w:cs="Times New Roman"/>
          <w:sz w:val="28"/>
          <w:szCs w:val="28"/>
        </w:rPr>
        <w:t xml:space="preserve">от общего числа участников мониторинга. </w:t>
      </w:r>
      <w:r>
        <w:rPr>
          <w:rFonts w:ascii="Times New Roman" w:hAnsi="Times New Roman" w:cs="Times New Roman"/>
          <w:sz w:val="28"/>
          <w:szCs w:val="28"/>
        </w:rPr>
        <w:t>По сравнению с 2020 г</w:t>
      </w:r>
      <w:r w:rsidR="00920421">
        <w:rPr>
          <w:rFonts w:ascii="Times New Roman" w:hAnsi="Times New Roman" w:cs="Times New Roman"/>
          <w:sz w:val="28"/>
          <w:szCs w:val="28"/>
        </w:rPr>
        <w:t>.</w:t>
      </w:r>
      <w:r>
        <w:rPr>
          <w:rFonts w:ascii="Times New Roman" w:hAnsi="Times New Roman" w:cs="Times New Roman"/>
          <w:sz w:val="28"/>
          <w:szCs w:val="28"/>
        </w:rPr>
        <w:t xml:space="preserve"> </w:t>
      </w:r>
      <w:r w:rsidRPr="00821FAE">
        <w:rPr>
          <w:rFonts w:ascii="Times New Roman" w:hAnsi="Times New Roman" w:cs="Times New Roman"/>
          <w:sz w:val="28"/>
          <w:szCs w:val="28"/>
        </w:rPr>
        <w:t>наблюдается незначительное увеличени</w:t>
      </w:r>
      <w:r w:rsidR="00841F38">
        <w:rPr>
          <w:rFonts w:ascii="Times New Roman" w:hAnsi="Times New Roman" w:cs="Times New Roman"/>
          <w:sz w:val="28"/>
          <w:szCs w:val="28"/>
        </w:rPr>
        <w:t>е на 0,25</w:t>
      </w:r>
      <w:r>
        <w:rPr>
          <w:rFonts w:ascii="Times New Roman" w:hAnsi="Times New Roman" w:cs="Times New Roman"/>
          <w:sz w:val="28"/>
          <w:szCs w:val="28"/>
        </w:rPr>
        <w:t xml:space="preserve">% доли вузов, имеющих </w:t>
      </w:r>
      <w:r w:rsidRPr="00821FAE">
        <w:rPr>
          <w:rFonts w:ascii="Times New Roman" w:hAnsi="Times New Roman" w:cs="Times New Roman"/>
          <w:sz w:val="28"/>
          <w:szCs w:val="28"/>
        </w:rPr>
        <w:t>в наличии программы постдипло</w:t>
      </w:r>
      <w:r>
        <w:rPr>
          <w:rFonts w:ascii="Times New Roman" w:hAnsi="Times New Roman" w:cs="Times New Roman"/>
          <w:sz w:val="28"/>
          <w:szCs w:val="28"/>
        </w:rPr>
        <w:t xml:space="preserve">много сопровождения выпускников </w:t>
      </w:r>
      <w:r w:rsidRPr="00821FAE">
        <w:rPr>
          <w:rFonts w:ascii="Times New Roman" w:hAnsi="Times New Roman" w:cs="Times New Roman"/>
          <w:sz w:val="28"/>
          <w:szCs w:val="28"/>
        </w:rPr>
        <w:t>с инвалидностью и ОВЗ.</w:t>
      </w:r>
    </w:p>
    <w:p w14:paraId="0AE5FABF" w14:textId="77777777" w:rsidR="00821FAE" w:rsidRPr="00821FAE" w:rsidRDefault="00821FAE" w:rsidP="00841F38">
      <w:pPr>
        <w:autoSpaceDE w:val="0"/>
        <w:autoSpaceDN w:val="0"/>
        <w:adjustRightInd w:val="0"/>
        <w:spacing w:after="0" w:line="312" w:lineRule="auto"/>
        <w:ind w:firstLine="709"/>
        <w:jc w:val="both"/>
        <w:rPr>
          <w:rFonts w:ascii="Times New Roman" w:hAnsi="Times New Roman" w:cs="Times New Roman"/>
          <w:sz w:val="28"/>
          <w:szCs w:val="28"/>
        </w:rPr>
      </w:pPr>
      <w:r w:rsidRPr="00821FAE">
        <w:rPr>
          <w:rFonts w:ascii="Times New Roman" w:hAnsi="Times New Roman" w:cs="Times New Roman"/>
          <w:sz w:val="28"/>
          <w:szCs w:val="28"/>
        </w:rPr>
        <w:t>Численность выпускников с инвалидн</w:t>
      </w:r>
      <w:r>
        <w:rPr>
          <w:rFonts w:ascii="Times New Roman" w:hAnsi="Times New Roman" w:cs="Times New Roman"/>
          <w:sz w:val="28"/>
          <w:szCs w:val="28"/>
        </w:rPr>
        <w:t xml:space="preserve">остью и ОВЗ, которые используют </w:t>
      </w:r>
      <w:r w:rsidRPr="00821FAE">
        <w:rPr>
          <w:rFonts w:ascii="Times New Roman" w:hAnsi="Times New Roman" w:cs="Times New Roman"/>
          <w:sz w:val="28"/>
          <w:szCs w:val="28"/>
        </w:rPr>
        <w:t>программы постдипломного сопровождения, выросла по сравнен</w:t>
      </w:r>
      <w:r>
        <w:rPr>
          <w:rFonts w:ascii="Times New Roman" w:hAnsi="Times New Roman" w:cs="Times New Roman"/>
          <w:sz w:val="28"/>
          <w:szCs w:val="28"/>
        </w:rPr>
        <w:t xml:space="preserve">ию с предыдущим </w:t>
      </w:r>
      <w:r w:rsidRPr="00821FAE">
        <w:rPr>
          <w:rFonts w:ascii="Times New Roman" w:hAnsi="Times New Roman" w:cs="Times New Roman"/>
          <w:sz w:val="28"/>
          <w:szCs w:val="28"/>
        </w:rPr>
        <w:t>годом до 1 070 человек в 116 вузах</w:t>
      </w:r>
      <w:r w:rsidR="00841F38">
        <w:rPr>
          <w:rFonts w:ascii="Times New Roman" w:hAnsi="Times New Roman" w:cs="Times New Roman"/>
          <w:sz w:val="28"/>
          <w:szCs w:val="28"/>
        </w:rPr>
        <w:t xml:space="preserve">, что составляет </w:t>
      </w:r>
      <w:r w:rsidRPr="00821FAE">
        <w:rPr>
          <w:rFonts w:ascii="Times New Roman" w:hAnsi="Times New Roman" w:cs="Times New Roman"/>
          <w:sz w:val="28"/>
          <w:szCs w:val="28"/>
        </w:rPr>
        <w:t>10,2</w:t>
      </w:r>
      <w:r w:rsidR="00841F38">
        <w:rPr>
          <w:rFonts w:ascii="Times New Roman" w:hAnsi="Times New Roman" w:cs="Times New Roman"/>
          <w:sz w:val="28"/>
          <w:szCs w:val="28"/>
        </w:rPr>
        <w:t>6</w:t>
      </w:r>
      <w:r>
        <w:rPr>
          <w:rFonts w:ascii="Times New Roman" w:hAnsi="Times New Roman" w:cs="Times New Roman"/>
          <w:sz w:val="28"/>
          <w:szCs w:val="28"/>
        </w:rPr>
        <w:t>% от общего числа</w:t>
      </w:r>
      <w:r w:rsidR="00841F38">
        <w:rPr>
          <w:rFonts w:ascii="Times New Roman" w:hAnsi="Times New Roman" w:cs="Times New Roman"/>
          <w:sz w:val="28"/>
          <w:szCs w:val="28"/>
        </w:rPr>
        <w:t xml:space="preserve"> </w:t>
      </w:r>
      <w:r w:rsidR="00841F38">
        <w:rPr>
          <w:rFonts w:ascii="Times New Roman" w:hAnsi="Times New Roman" w:cs="Times New Roman"/>
          <w:sz w:val="28"/>
          <w:szCs w:val="28"/>
        </w:rPr>
        <w:br/>
        <w:t xml:space="preserve">(2020 г. – 1 040 человек </w:t>
      </w:r>
      <w:r w:rsidR="00841F38" w:rsidRPr="00821FAE">
        <w:rPr>
          <w:rFonts w:ascii="Times New Roman" w:hAnsi="Times New Roman" w:cs="Times New Roman"/>
          <w:sz w:val="28"/>
          <w:szCs w:val="28"/>
        </w:rPr>
        <w:t>в 113 вузах</w:t>
      </w:r>
      <w:r w:rsidR="00841F38">
        <w:rPr>
          <w:rFonts w:ascii="Times New Roman" w:hAnsi="Times New Roman" w:cs="Times New Roman"/>
          <w:sz w:val="28"/>
          <w:szCs w:val="28"/>
        </w:rPr>
        <w:t xml:space="preserve">; 2019 г. – </w:t>
      </w:r>
      <w:r>
        <w:rPr>
          <w:rFonts w:ascii="Times New Roman" w:hAnsi="Times New Roman" w:cs="Times New Roman"/>
          <w:sz w:val="28"/>
          <w:szCs w:val="28"/>
        </w:rPr>
        <w:t xml:space="preserve">825 человек из 102 </w:t>
      </w:r>
      <w:r w:rsidR="00841F38">
        <w:rPr>
          <w:rFonts w:ascii="Times New Roman" w:hAnsi="Times New Roman" w:cs="Times New Roman"/>
          <w:sz w:val="28"/>
          <w:szCs w:val="28"/>
        </w:rPr>
        <w:t>вузов).</w:t>
      </w:r>
    </w:p>
    <w:p w14:paraId="33D13007" w14:textId="77777777" w:rsidR="00821FAE" w:rsidRPr="00821FAE" w:rsidRDefault="00821FAE" w:rsidP="00821FAE">
      <w:pPr>
        <w:autoSpaceDE w:val="0"/>
        <w:autoSpaceDN w:val="0"/>
        <w:adjustRightInd w:val="0"/>
        <w:spacing w:after="0" w:line="312" w:lineRule="auto"/>
        <w:ind w:firstLine="709"/>
        <w:jc w:val="both"/>
        <w:rPr>
          <w:rFonts w:ascii="Times New Roman" w:hAnsi="Times New Roman" w:cs="Times New Roman"/>
          <w:sz w:val="28"/>
          <w:szCs w:val="28"/>
        </w:rPr>
      </w:pPr>
      <w:r w:rsidRPr="00821FAE">
        <w:rPr>
          <w:rFonts w:ascii="Times New Roman" w:hAnsi="Times New Roman" w:cs="Times New Roman"/>
          <w:sz w:val="28"/>
          <w:szCs w:val="28"/>
        </w:rPr>
        <w:t>По данным мониторинга за 2021 г</w:t>
      </w:r>
      <w:r w:rsidR="00920421">
        <w:rPr>
          <w:rFonts w:ascii="Times New Roman" w:hAnsi="Times New Roman" w:cs="Times New Roman"/>
          <w:sz w:val="28"/>
          <w:szCs w:val="28"/>
        </w:rPr>
        <w:t>.</w:t>
      </w:r>
      <w:r w:rsidRPr="00821FAE">
        <w:rPr>
          <w:rFonts w:ascii="Times New Roman" w:hAnsi="Times New Roman" w:cs="Times New Roman"/>
          <w:sz w:val="28"/>
          <w:szCs w:val="28"/>
        </w:rPr>
        <w:t>, в</w:t>
      </w:r>
      <w:r w:rsidR="006E7BAC">
        <w:rPr>
          <w:rFonts w:ascii="Times New Roman" w:hAnsi="Times New Roman" w:cs="Times New Roman"/>
          <w:sz w:val="28"/>
          <w:szCs w:val="28"/>
        </w:rPr>
        <w:t xml:space="preserve"> 93 вузах (8,22</w:t>
      </w:r>
      <w:r>
        <w:rPr>
          <w:rFonts w:ascii="Times New Roman" w:hAnsi="Times New Roman" w:cs="Times New Roman"/>
          <w:sz w:val="28"/>
          <w:szCs w:val="28"/>
        </w:rPr>
        <w:t xml:space="preserve">% от участников </w:t>
      </w:r>
      <w:r w:rsidRPr="00821FAE">
        <w:rPr>
          <w:rFonts w:ascii="Times New Roman" w:hAnsi="Times New Roman" w:cs="Times New Roman"/>
          <w:sz w:val="28"/>
          <w:szCs w:val="28"/>
        </w:rPr>
        <w:t>мониторинга) реализуются 1 859 программ до</w:t>
      </w:r>
      <w:r>
        <w:rPr>
          <w:rFonts w:ascii="Times New Roman" w:hAnsi="Times New Roman" w:cs="Times New Roman"/>
          <w:sz w:val="28"/>
          <w:szCs w:val="28"/>
        </w:rPr>
        <w:t xml:space="preserve">полнительного профессионального </w:t>
      </w:r>
      <w:r w:rsidRPr="00821FAE">
        <w:rPr>
          <w:rFonts w:ascii="Times New Roman" w:hAnsi="Times New Roman" w:cs="Times New Roman"/>
          <w:sz w:val="28"/>
          <w:szCs w:val="28"/>
        </w:rPr>
        <w:t>образования (далее – ДПО)</w:t>
      </w:r>
      <w:r w:rsidR="006E7BAC">
        <w:rPr>
          <w:rFonts w:ascii="Times New Roman" w:hAnsi="Times New Roman" w:cs="Times New Roman"/>
          <w:sz w:val="28"/>
          <w:szCs w:val="28"/>
        </w:rPr>
        <w:t xml:space="preserve">, </w:t>
      </w:r>
      <w:r w:rsidRPr="00821FAE">
        <w:rPr>
          <w:rFonts w:ascii="Times New Roman" w:hAnsi="Times New Roman" w:cs="Times New Roman"/>
          <w:sz w:val="28"/>
          <w:szCs w:val="28"/>
        </w:rPr>
        <w:t>в том чи</w:t>
      </w:r>
      <w:r>
        <w:rPr>
          <w:rFonts w:ascii="Times New Roman" w:hAnsi="Times New Roman" w:cs="Times New Roman"/>
          <w:sz w:val="28"/>
          <w:szCs w:val="28"/>
        </w:rPr>
        <w:t xml:space="preserve">сле с применением дистанционных </w:t>
      </w:r>
      <w:r w:rsidRPr="00821FAE">
        <w:rPr>
          <w:rFonts w:ascii="Times New Roman" w:hAnsi="Times New Roman" w:cs="Times New Roman"/>
          <w:sz w:val="28"/>
          <w:szCs w:val="28"/>
        </w:rPr>
        <w:t>образовательных технологий</w:t>
      </w:r>
      <w:r w:rsidR="006E7BAC">
        <w:rPr>
          <w:rFonts w:ascii="Times New Roman" w:hAnsi="Times New Roman" w:cs="Times New Roman"/>
          <w:sz w:val="28"/>
          <w:szCs w:val="28"/>
        </w:rPr>
        <w:t>,</w:t>
      </w:r>
      <w:r w:rsidRPr="00821FAE">
        <w:rPr>
          <w:rFonts w:ascii="Times New Roman" w:hAnsi="Times New Roman" w:cs="Times New Roman"/>
          <w:sz w:val="28"/>
          <w:szCs w:val="28"/>
        </w:rPr>
        <w:t xml:space="preserve"> для обучения л</w:t>
      </w:r>
      <w:r>
        <w:rPr>
          <w:rFonts w:ascii="Times New Roman" w:hAnsi="Times New Roman" w:cs="Times New Roman"/>
          <w:sz w:val="28"/>
          <w:szCs w:val="28"/>
        </w:rPr>
        <w:t xml:space="preserve">иц с инвалидностью и ОВЗ, в том </w:t>
      </w:r>
      <w:r w:rsidRPr="00821FAE">
        <w:rPr>
          <w:rFonts w:ascii="Times New Roman" w:hAnsi="Times New Roman" w:cs="Times New Roman"/>
          <w:sz w:val="28"/>
          <w:szCs w:val="28"/>
        </w:rPr>
        <w:t>числе получающих государственную</w:t>
      </w:r>
      <w:r>
        <w:rPr>
          <w:rFonts w:ascii="Times New Roman" w:hAnsi="Times New Roman" w:cs="Times New Roman"/>
          <w:sz w:val="28"/>
          <w:szCs w:val="28"/>
        </w:rPr>
        <w:t xml:space="preserve"> социальную помощь на основании </w:t>
      </w:r>
      <w:r w:rsidRPr="00821FAE">
        <w:rPr>
          <w:rFonts w:ascii="Times New Roman" w:hAnsi="Times New Roman" w:cs="Times New Roman"/>
          <w:sz w:val="28"/>
          <w:szCs w:val="28"/>
        </w:rPr>
        <w:t xml:space="preserve">социального контракта. </w:t>
      </w:r>
      <w:r w:rsidR="006E7BAC">
        <w:rPr>
          <w:rFonts w:ascii="Times New Roman" w:hAnsi="Times New Roman" w:cs="Times New Roman"/>
          <w:sz w:val="28"/>
          <w:szCs w:val="28"/>
        </w:rPr>
        <w:t xml:space="preserve">По указанным </w:t>
      </w:r>
      <w:r w:rsidR="006E7BAC" w:rsidRPr="00821FAE">
        <w:rPr>
          <w:rFonts w:ascii="Times New Roman" w:hAnsi="Times New Roman" w:cs="Times New Roman"/>
          <w:sz w:val="28"/>
          <w:szCs w:val="28"/>
        </w:rPr>
        <w:t xml:space="preserve">программам ДПО </w:t>
      </w:r>
      <w:r w:rsidR="006E7BAC">
        <w:rPr>
          <w:rFonts w:ascii="Times New Roman" w:hAnsi="Times New Roman" w:cs="Times New Roman"/>
          <w:sz w:val="28"/>
          <w:szCs w:val="28"/>
        </w:rPr>
        <w:t>прошли обучение</w:t>
      </w:r>
      <w:r>
        <w:rPr>
          <w:rFonts w:ascii="Times New Roman" w:hAnsi="Times New Roman" w:cs="Times New Roman"/>
          <w:sz w:val="28"/>
          <w:szCs w:val="28"/>
        </w:rPr>
        <w:t xml:space="preserve"> </w:t>
      </w:r>
      <w:r w:rsidR="001D3161">
        <w:rPr>
          <w:rFonts w:ascii="Times New Roman" w:hAnsi="Times New Roman" w:cs="Times New Roman"/>
          <w:sz w:val="28"/>
          <w:szCs w:val="28"/>
        </w:rPr>
        <w:br/>
      </w:r>
      <w:r w:rsidR="006E7BAC" w:rsidRPr="00821FAE">
        <w:rPr>
          <w:rFonts w:ascii="Times New Roman" w:hAnsi="Times New Roman" w:cs="Times New Roman"/>
          <w:sz w:val="28"/>
          <w:szCs w:val="28"/>
        </w:rPr>
        <w:t>547</w:t>
      </w:r>
      <w:r w:rsidR="006E7BAC">
        <w:rPr>
          <w:rFonts w:ascii="Times New Roman" w:hAnsi="Times New Roman" w:cs="Times New Roman"/>
          <w:sz w:val="28"/>
          <w:szCs w:val="28"/>
        </w:rPr>
        <w:t xml:space="preserve"> </w:t>
      </w:r>
      <w:r>
        <w:rPr>
          <w:rFonts w:ascii="Times New Roman" w:hAnsi="Times New Roman" w:cs="Times New Roman"/>
          <w:sz w:val="28"/>
          <w:szCs w:val="28"/>
        </w:rPr>
        <w:t>инвалидов</w:t>
      </w:r>
      <w:r w:rsidRPr="00821FAE">
        <w:rPr>
          <w:rFonts w:ascii="Times New Roman" w:hAnsi="Times New Roman" w:cs="Times New Roman"/>
          <w:sz w:val="28"/>
          <w:szCs w:val="28"/>
        </w:rPr>
        <w:t>, в том числе 150 выпускнико</w:t>
      </w:r>
      <w:r>
        <w:rPr>
          <w:rFonts w:ascii="Times New Roman" w:hAnsi="Times New Roman" w:cs="Times New Roman"/>
          <w:sz w:val="28"/>
          <w:szCs w:val="28"/>
        </w:rPr>
        <w:t>в вузов-</w:t>
      </w:r>
      <w:r w:rsidR="006E7BAC">
        <w:rPr>
          <w:rFonts w:ascii="Times New Roman" w:hAnsi="Times New Roman" w:cs="Times New Roman"/>
          <w:sz w:val="28"/>
          <w:szCs w:val="28"/>
        </w:rPr>
        <w:t xml:space="preserve">респондентов </w:t>
      </w:r>
      <w:r w:rsidR="001D3161">
        <w:rPr>
          <w:rFonts w:ascii="Times New Roman" w:hAnsi="Times New Roman" w:cs="Times New Roman"/>
          <w:sz w:val="28"/>
          <w:szCs w:val="28"/>
        </w:rPr>
        <w:t xml:space="preserve">или </w:t>
      </w:r>
      <w:r w:rsidR="006E7BAC">
        <w:rPr>
          <w:rFonts w:ascii="Times New Roman" w:hAnsi="Times New Roman" w:cs="Times New Roman"/>
          <w:sz w:val="28"/>
          <w:szCs w:val="28"/>
        </w:rPr>
        <w:t>0,35</w:t>
      </w:r>
      <w:r w:rsidRPr="00821FAE">
        <w:rPr>
          <w:rFonts w:ascii="Times New Roman" w:hAnsi="Times New Roman" w:cs="Times New Roman"/>
          <w:sz w:val="28"/>
          <w:szCs w:val="28"/>
        </w:rPr>
        <w:t xml:space="preserve">% </w:t>
      </w:r>
      <w:r w:rsidR="00920421">
        <w:rPr>
          <w:rFonts w:ascii="Times New Roman" w:hAnsi="Times New Roman" w:cs="Times New Roman"/>
          <w:sz w:val="28"/>
          <w:szCs w:val="28"/>
        </w:rPr>
        <w:br/>
      </w:r>
      <w:r w:rsidRPr="00821FAE">
        <w:rPr>
          <w:rFonts w:ascii="Times New Roman" w:hAnsi="Times New Roman" w:cs="Times New Roman"/>
          <w:sz w:val="28"/>
          <w:szCs w:val="28"/>
        </w:rPr>
        <w:t>от общего количес</w:t>
      </w:r>
      <w:r w:rsidR="001D3161">
        <w:rPr>
          <w:rFonts w:ascii="Times New Roman" w:hAnsi="Times New Roman" w:cs="Times New Roman"/>
          <w:sz w:val="28"/>
          <w:szCs w:val="28"/>
        </w:rPr>
        <w:t>тва выпускников с инвалидностью</w:t>
      </w:r>
      <w:r w:rsidRPr="00821FAE">
        <w:rPr>
          <w:rFonts w:ascii="Times New Roman" w:hAnsi="Times New Roman" w:cs="Times New Roman"/>
          <w:sz w:val="28"/>
          <w:szCs w:val="28"/>
        </w:rPr>
        <w:t>.</w:t>
      </w:r>
    </w:p>
    <w:p w14:paraId="7B2C50AF" w14:textId="77777777" w:rsidR="00821FAE" w:rsidRPr="00821FAE" w:rsidRDefault="00821FAE" w:rsidP="00821FAE">
      <w:pPr>
        <w:autoSpaceDE w:val="0"/>
        <w:autoSpaceDN w:val="0"/>
        <w:adjustRightInd w:val="0"/>
        <w:spacing w:after="0" w:line="312" w:lineRule="auto"/>
        <w:ind w:firstLine="709"/>
        <w:jc w:val="both"/>
        <w:rPr>
          <w:rFonts w:ascii="Times New Roman" w:hAnsi="Times New Roman" w:cs="Times New Roman"/>
          <w:sz w:val="28"/>
          <w:szCs w:val="28"/>
        </w:rPr>
      </w:pPr>
      <w:r w:rsidRPr="00821FAE">
        <w:rPr>
          <w:rFonts w:ascii="Times New Roman" w:hAnsi="Times New Roman" w:cs="Times New Roman"/>
          <w:sz w:val="28"/>
          <w:szCs w:val="28"/>
        </w:rPr>
        <w:t>Непосредственно вузы, на базе которы</w:t>
      </w:r>
      <w:r>
        <w:rPr>
          <w:rFonts w:ascii="Times New Roman" w:hAnsi="Times New Roman" w:cs="Times New Roman"/>
          <w:sz w:val="28"/>
          <w:szCs w:val="28"/>
        </w:rPr>
        <w:t xml:space="preserve">х функционируют РУМЦ, реализуют </w:t>
      </w:r>
      <w:r w:rsidRPr="00821FAE">
        <w:rPr>
          <w:rFonts w:ascii="Times New Roman" w:hAnsi="Times New Roman" w:cs="Times New Roman"/>
          <w:sz w:val="28"/>
          <w:szCs w:val="28"/>
        </w:rPr>
        <w:t>более 13 дополнительных проф</w:t>
      </w:r>
      <w:r>
        <w:rPr>
          <w:rFonts w:ascii="Times New Roman" w:hAnsi="Times New Roman" w:cs="Times New Roman"/>
          <w:sz w:val="28"/>
          <w:szCs w:val="28"/>
        </w:rPr>
        <w:t xml:space="preserve">ессиональных программ повышения </w:t>
      </w:r>
      <w:r w:rsidRPr="00821FAE">
        <w:rPr>
          <w:rFonts w:ascii="Times New Roman" w:hAnsi="Times New Roman" w:cs="Times New Roman"/>
          <w:sz w:val="28"/>
          <w:szCs w:val="28"/>
        </w:rPr>
        <w:t>квалификации в формате онлайн-курсов. Данные пр</w:t>
      </w:r>
      <w:r>
        <w:rPr>
          <w:rFonts w:ascii="Times New Roman" w:hAnsi="Times New Roman" w:cs="Times New Roman"/>
          <w:sz w:val="28"/>
          <w:szCs w:val="28"/>
        </w:rPr>
        <w:t xml:space="preserve">ограммы опираются на </w:t>
      </w:r>
      <w:r w:rsidRPr="00821FAE">
        <w:rPr>
          <w:rFonts w:ascii="Times New Roman" w:hAnsi="Times New Roman" w:cs="Times New Roman"/>
          <w:sz w:val="28"/>
          <w:szCs w:val="28"/>
        </w:rPr>
        <w:t>результаты анкетирования 1</w:t>
      </w:r>
      <w:r w:rsidR="001D3161">
        <w:rPr>
          <w:rFonts w:ascii="Times New Roman" w:hAnsi="Times New Roman" w:cs="Times New Roman"/>
          <w:sz w:val="28"/>
          <w:szCs w:val="28"/>
        </w:rPr>
        <w:t xml:space="preserve"> </w:t>
      </w:r>
      <w:r w:rsidRPr="00821FAE">
        <w:rPr>
          <w:rFonts w:ascii="Times New Roman" w:hAnsi="Times New Roman" w:cs="Times New Roman"/>
          <w:sz w:val="28"/>
          <w:szCs w:val="28"/>
        </w:rPr>
        <w:t xml:space="preserve">300 студентов </w:t>
      </w:r>
      <w:r>
        <w:rPr>
          <w:rFonts w:ascii="Times New Roman" w:hAnsi="Times New Roman" w:cs="Times New Roman"/>
          <w:sz w:val="28"/>
          <w:szCs w:val="28"/>
        </w:rPr>
        <w:t xml:space="preserve">выпускных курсов и выпускников, </w:t>
      </w:r>
      <w:r w:rsidRPr="00821FAE">
        <w:rPr>
          <w:rFonts w:ascii="Times New Roman" w:hAnsi="Times New Roman" w:cs="Times New Roman"/>
          <w:sz w:val="28"/>
          <w:szCs w:val="28"/>
        </w:rPr>
        <w:t>имеющих инвалидность.</w:t>
      </w:r>
    </w:p>
    <w:p w14:paraId="6E20491A" w14:textId="77777777" w:rsidR="00821FAE" w:rsidRPr="00821FAE" w:rsidRDefault="00821FAE" w:rsidP="00821FAE">
      <w:pPr>
        <w:autoSpaceDE w:val="0"/>
        <w:autoSpaceDN w:val="0"/>
        <w:adjustRightInd w:val="0"/>
        <w:spacing w:after="0" w:line="312" w:lineRule="auto"/>
        <w:ind w:firstLine="709"/>
        <w:jc w:val="both"/>
        <w:rPr>
          <w:rFonts w:ascii="Times New Roman" w:hAnsi="Times New Roman" w:cs="Times New Roman"/>
          <w:sz w:val="28"/>
          <w:szCs w:val="28"/>
        </w:rPr>
      </w:pPr>
      <w:r w:rsidRPr="00821FAE">
        <w:rPr>
          <w:rFonts w:ascii="Times New Roman" w:hAnsi="Times New Roman" w:cs="Times New Roman"/>
          <w:sz w:val="28"/>
          <w:szCs w:val="28"/>
        </w:rPr>
        <w:t>Меры по содействию трудоустрой</w:t>
      </w:r>
      <w:r>
        <w:rPr>
          <w:rFonts w:ascii="Times New Roman" w:hAnsi="Times New Roman" w:cs="Times New Roman"/>
          <w:sz w:val="28"/>
          <w:szCs w:val="28"/>
        </w:rPr>
        <w:t xml:space="preserve">ству реализуются уже в процессе </w:t>
      </w:r>
      <w:r w:rsidRPr="00821FAE">
        <w:rPr>
          <w:rFonts w:ascii="Times New Roman" w:hAnsi="Times New Roman" w:cs="Times New Roman"/>
          <w:sz w:val="28"/>
          <w:szCs w:val="28"/>
        </w:rPr>
        <w:t>освоения обучающимися с инвалидностью и ОВЗ образовательных программ.</w:t>
      </w:r>
    </w:p>
    <w:p w14:paraId="67A14A47" w14:textId="77777777" w:rsidR="00821FAE" w:rsidRPr="00821FAE" w:rsidRDefault="00821FAE" w:rsidP="0077204B">
      <w:pPr>
        <w:autoSpaceDE w:val="0"/>
        <w:autoSpaceDN w:val="0"/>
        <w:adjustRightInd w:val="0"/>
        <w:spacing w:after="0" w:line="312" w:lineRule="auto"/>
        <w:ind w:firstLine="709"/>
        <w:jc w:val="both"/>
        <w:rPr>
          <w:rFonts w:ascii="Times New Roman" w:hAnsi="Times New Roman" w:cs="Times New Roman"/>
          <w:sz w:val="28"/>
          <w:szCs w:val="28"/>
        </w:rPr>
      </w:pPr>
      <w:r w:rsidRPr="00821FAE">
        <w:rPr>
          <w:rFonts w:ascii="Times New Roman" w:hAnsi="Times New Roman" w:cs="Times New Roman"/>
          <w:sz w:val="28"/>
          <w:szCs w:val="28"/>
        </w:rPr>
        <w:t>Важнейшая роль отводится орган</w:t>
      </w:r>
      <w:r>
        <w:rPr>
          <w:rFonts w:ascii="Times New Roman" w:hAnsi="Times New Roman" w:cs="Times New Roman"/>
          <w:sz w:val="28"/>
          <w:szCs w:val="28"/>
        </w:rPr>
        <w:t xml:space="preserve">изации эффективной практической </w:t>
      </w:r>
      <w:r w:rsidRPr="00821FAE">
        <w:rPr>
          <w:rFonts w:ascii="Times New Roman" w:hAnsi="Times New Roman" w:cs="Times New Roman"/>
          <w:sz w:val="28"/>
          <w:szCs w:val="28"/>
        </w:rPr>
        <w:t>подготовки. С этой целью РУМЦ была разработ</w:t>
      </w:r>
      <w:r>
        <w:rPr>
          <w:rFonts w:ascii="Times New Roman" w:hAnsi="Times New Roman" w:cs="Times New Roman"/>
          <w:sz w:val="28"/>
          <w:szCs w:val="28"/>
        </w:rPr>
        <w:t xml:space="preserve">ана модульная сетевая программа </w:t>
      </w:r>
      <w:r w:rsidRPr="00821FAE">
        <w:rPr>
          <w:rFonts w:ascii="Times New Roman" w:hAnsi="Times New Roman" w:cs="Times New Roman"/>
          <w:sz w:val="28"/>
          <w:szCs w:val="28"/>
        </w:rPr>
        <w:t>по обучению кураторов практики из числа работо</w:t>
      </w:r>
      <w:r w:rsidR="0077204B">
        <w:rPr>
          <w:rFonts w:ascii="Times New Roman" w:hAnsi="Times New Roman" w:cs="Times New Roman"/>
          <w:sz w:val="28"/>
          <w:szCs w:val="28"/>
        </w:rPr>
        <w:t>дателей, по которой в 2021 г</w:t>
      </w:r>
      <w:r w:rsidR="00713191">
        <w:rPr>
          <w:rFonts w:ascii="Times New Roman" w:hAnsi="Times New Roman" w:cs="Times New Roman"/>
          <w:sz w:val="28"/>
          <w:szCs w:val="28"/>
        </w:rPr>
        <w:t>.</w:t>
      </w:r>
      <w:r w:rsidR="0077204B">
        <w:rPr>
          <w:rFonts w:ascii="Times New Roman" w:hAnsi="Times New Roman" w:cs="Times New Roman"/>
          <w:sz w:val="28"/>
          <w:szCs w:val="28"/>
        </w:rPr>
        <w:t xml:space="preserve"> </w:t>
      </w:r>
      <w:r w:rsidRPr="00821FAE">
        <w:rPr>
          <w:rFonts w:ascii="Times New Roman" w:hAnsi="Times New Roman" w:cs="Times New Roman"/>
          <w:sz w:val="28"/>
          <w:szCs w:val="28"/>
        </w:rPr>
        <w:t>было обучено более 670 человек.</w:t>
      </w:r>
    </w:p>
    <w:p w14:paraId="31AB6BEC" w14:textId="77777777" w:rsidR="00821FAE" w:rsidRPr="00821FAE" w:rsidRDefault="00821FAE" w:rsidP="0077204B">
      <w:pPr>
        <w:autoSpaceDE w:val="0"/>
        <w:autoSpaceDN w:val="0"/>
        <w:adjustRightInd w:val="0"/>
        <w:spacing w:after="0" w:line="312" w:lineRule="auto"/>
        <w:ind w:firstLine="709"/>
        <w:jc w:val="both"/>
        <w:rPr>
          <w:rFonts w:ascii="Times New Roman" w:hAnsi="Times New Roman" w:cs="Times New Roman"/>
          <w:sz w:val="28"/>
          <w:szCs w:val="28"/>
        </w:rPr>
      </w:pPr>
      <w:r w:rsidRPr="00821FAE">
        <w:rPr>
          <w:rFonts w:ascii="Times New Roman" w:hAnsi="Times New Roman" w:cs="Times New Roman"/>
          <w:sz w:val="28"/>
          <w:szCs w:val="28"/>
        </w:rPr>
        <w:t>Для мотивационной поддержки с</w:t>
      </w:r>
      <w:r w:rsidR="0077204B">
        <w:rPr>
          <w:rFonts w:ascii="Times New Roman" w:hAnsi="Times New Roman" w:cs="Times New Roman"/>
          <w:sz w:val="28"/>
          <w:szCs w:val="28"/>
        </w:rPr>
        <w:t xml:space="preserve">тудентов с инвалидностью и ОВЗ, </w:t>
      </w:r>
      <w:r w:rsidRPr="00821FAE">
        <w:rPr>
          <w:rFonts w:ascii="Times New Roman" w:hAnsi="Times New Roman" w:cs="Times New Roman"/>
          <w:sz w:val="28"/>
          <w:szCs w:val="28"/>
        </w:rPr>
        <w:t>обретения уверенности в своих профессиональ</w:t>
      </w:r>
      <w:r w:rsidR="0077204B">
        <w:rPr>
          <w:rFonts w:ascii="Times New Roman" w:hAnsi="Times New Roman" w:cs="Times New Roman"/>
          <w:sz w:val="28"/>
          <w:szCs w:val="28"/>
        </w:rPr>
        <w:t xml:space="preserve">ных силах создаются условия для </w:t>
      </w:r>
      <w:r w:rsidRPr="00821FAE">
        <w:rPr>
          <w:rFonts w:ascii="Times New Roman" w:hAnsi="Times New Roman" w:cs="Times New Roman"/>
          <w:sz w:val="28"/>
          <w:szCs w:val="28"/>
        </w:rPr>
        <w:t>их участия в конкурсах и чемпионатах профессионального мастерства.</w:t>
      </w:r>
    </w:p>
    <w:p w14:paraId="18580651" w14:textId="77777777" w:rsidR="00821FAE" w:rsidRPr="00821FAE" w:rsidRDefault="00821FAE" w:rsidP="0077204B">
      <w:pPr>
        <w:autoSpaceDE w:val="0"/>
        <w:autoSpaceDN w:val="0"/>
        <w:adjustRightInd w:val="0"/>
        <w:spacing w:after="0" w:line="312" w:lineRule="auto"/>
        <w:ind w:firstLine="709"/>
        <w:jc w:val="both"/>
        <w:rPr>
          <w:rFonts w:ascii="Times New Roman" w:hAnsi="Times New Roman" w:cs="Times New Roman"/>
          <w:sz w:val="28"/>
          <w:szCs w:val="28"/>
        </w:rPr>
      </w:pPr>
      <w:r w:rsidRPr="00821FAE">
        <w:rPr>
          <w:rFonts w:ascii="Times New Roman" w:hAnsi="Times New Roman" w:cs="Times New Roman"/>
          <w:sz w:val="28"/>
          <w:szCs w:val="28"/>
        </w:rPr>
        <w:t>Всероссийский сетево</w:t>
      </w:r>
      <w:r w:rsidR="0077204B">
        <w:rPr>
          <w:rFonts w:ascii="Times New Roman" w:hAnsi="Times New Roman" w:cs="Times New Roman"/>
          <w:sz w:val="28"/>
          <w:szCs w:val="28"/>
        </w:rPr>
        <w:t xml:space="preserve">й конкурс студенческих проектов </w:t>
      </w:r>
      <w:r w:rsidRPr="00821FAE">
        <w:rPr>
          <w:rFonts w:ascii="Times New Roman" w:hAnsi="Times New Roman" w:cs="Times New Roman"/>
          <w:sz w:val="28"/>
          <w:szCs w:val="28"/>
        </w:rPr>
        <w:t>«Профессиональное завтра» является флагма</w:t>
      </w:r>
      <w:r w:rsidR="0077204B">
        <w:rPr>
          <w:rFonts w:ascii="Times New Roman" w:hAnsi="Times New Roman" w:cs="Times New Roman"/>
          <w:sz w:val="28"/>
          <w:szCs w:val="28"/>
        </w:rPr>
        <w:t xml:space="preserve">нским мероприятием РУМЦ. В 2021 </w:t>
      </w:r>
      <w:r w:rsidR="00713191">
        <w:rPr>
          <w:rFonts w:ascii="Times New Roman" w:hAnsi="Times New Roman" w:cs="Times New Roman"/>
          <w:sz w:val="28"/>
          <w:szCs w:val="28"/>
        </w:rPr>
        <w:t>г.</w:t>
      </w:r>
      <w:r w:rsidRPr="00821FAE">
        <w:rPr>
          <w:rFonts w:ascii="Times New Roman" w:hAnsi="Times New Roman" w:cs="Times New Roman"/>
          <w:sz w:val="28"/>
          <w:szCs w:val="28"/>
        </w:rPr>
        <w:t xml:space="preserve"> он проводился в четвертый раз. Оператором Конкурса выступил РУМЦ ФГАОУ ВО «Крымский федеральный университе</w:t>
      </w:r>
      <w:r w:rsidR="0077204B">
        <w:rPr>
          <w:rFonts w:ascii="Times New Roman" w:hAnsi="Times New Roman" w:cs="Times New Roman"/>
          <w:sz w:val="28"/>
          <w:szCs w:val="28"/>
        </w:rPr>
        <w:t xml:space="preserve">т им. В.И. Вернадского». В 2021 </w:t>
      </w:r>
      <w:r w:rsidRPr="00821FAE">
        <w:rPr>
          <w:rFonts w:ascii="Times New Roman" w:hAnsi="Times New Roman" w:cs="Times New Roman"/>
          <w:sz w:val="28"/>
          <w:szCs w:val="28"/>
        </w:rPr>
        <w:t>г</w:t>
      </w:r>
      <w:r w:rsidR="00C66AD1">
        <w:rPr>
          <w:rFonts w:ascii="Times New Roman" w:hAnsi="Times New Roman" w:cs="Times New Roman"/>
          <w:sz w:val="28"/>
          <w:szCs w:val="28"/>
        </w:rPr>
        <w:t>.</w:t>
      </w:r>
      <w:r w:rsidRPr="00821FAE">
        <w:rPr>
          <w:rFonts w:ascii="Times New Roman" w:hAnsi="Times New Roman" w:cs="Times New Roman"/>
          <w:sz w:val="28"/>
          <w:szCs w:val="28"/>
        </w:rPr>
        <w:t xml:space="preserve"> были зарегистрированы 344 конкурсных работы и 571 участ</w:t>
      </w:r>
      <w:r w:rsidR="0077204B">
        <w:rPr>
          <w:rFonts w:ascii="Times New Roman" w:hAnsi="Times New Roman" w:cs="Times New Roman"/>
          <w:sz w:val="28"/>
          <w:szCs w:val="28"/>
        </w:rPr>
        <w:t xml:space="preserve">ник из 183 вузов </w:t>
      </w:r>
      <w:r w:rsidRPr="00821FAE">
        <w:rPr>
          <w:rFonts w:ascii="Times New Roman" w:hAnsi="Times New Roman" w:cs="Times New Roman"/>
          <w:sz w:val="28"/>
          <w:szCs w:val="28"/>
        </w:rPr>
        <w:t>России. В то же время отраслевые РУ</w:t>
      </w:r>
      <w:r w:rsidR="0077204B">
        <w:rPr>
          <w:rFonts w:ascii="Times New Roman" w:hAnsi="Times New Roman" w:cs="Times New Roman"/>
          <w:sz w:val="28"/>
          <w:szCs w:val="28"/>
        </w:rPr>
        <w:t xml:space="preserve">МЦ проводят профильные конкурсы </w:t>
      </w:r>
      <w:r w:rsidRPr="00821FAE">
        <w:rPr>
          <w:rFonts w:ascii="Times New Roman" w:hAnsi="Times New Roman" w:cs="Times New Roman"/>
          <w:sz w:val="28"/>
          <w:szCs w:val="28"/>
        </w:rPr>
        <w:t>профессионального мастерства.</w:t>
      </w:r>
    </w:p>
    <w:p w14:paraId="03F71324" w14:textId="512ECF2B" w:rsidR="00821FAE" w:rsidRPr="00821FAE" w:rsidRDefault="00821FAE" w:rsidP="0077204B">
      <w:pPr>
        <w:autoSpaceDE w:val="0"/>
        <w:autoSpaceDN w:val="0"/>
        <w:adjustRightInd w:val="0"/>
        <w:spacing w:after="0" w:line="312" w:lineRule="auto"/>
        <w:ind w:firstLine="709"/>
        <w:jc w:val="both"/>
        <w:rPr>
          <w:rFonts w:ascii="Times New Roman" w:hAnsi="Times New Roman" w:cs="Times New Roman"/>
          <w:sz w:val="28"/>
          <w:szCs w:val="28"/>
        </w:rPr>
      </w:pPr>
      <w:r w:rsidRPr="00821FAE">
        <w:rPr>
          <w:rFonts w:ascii="Times New Roman" w:hAnsi="Times New Roman" w:cs="Times New Roman"/>
          <w:sz w:val="28"/>
          <w:szCs w:val="28"/>
        </w:rPr>
        <w:t xml:space="preserve">По результатам мониторинга за 2021 </w:t>
      </w:r>
      <w:r w:rsidR="0077204B">
        <w:rPr>
          <w:rFonts w:ascii="Times New Roman" w:hAnsi="Times New Roman" w:cs="Times New Roman"/>
          <w:sz w:val="28"/>
          <w:szCs w:val="28"/>
        </w:rPr>
        <w:t>г</w:t>
      </w:r>
      <w:r w:rsidR="00C66AD1">
        <w:rPr>
          <w:rFonts w:ascii="Times New Roman" w:hAnsi="Times New Roman" w:cs="Times New Roman"/>
          <w:sz w:val="28"/>
          <w:szCs w:val="28"/>
        </w:rPr>
        <w:t>.</w:t>
      </w:r>
      <w:r w:rsidR="0077204B">
        <w:rPr>
          <w:rFonts w:ascii="Times New Roman" w:hAnsi="Times New Roman" w:cs="Times New Roman"/>
          <w:sz w:val="28"/>
          <w:szCs w:val="28"/>
        </w:rPr>
        <w:t xml:space="preserve">, из 4 269 выпускников вузов </w:t>
      </w:r>
      <w:r w:rsidRPr="00821FAE">
        <w:rPr>
          <w:rFonts w:ascii="Times New Roman" w:hAnsi="Times New Roman" w:cs="Times New Roman"/>
          <w:sz w:val="28"/>
          <w:szCs w:val="28"/>
        </w:rPr>
        <w:t>с инвалидностью и ОВЗ в течение календар</w:t>
      </w:r>
      <w:r w:rsidR="0077204B">
        <w:rPr>
          <w:rFonts w:ascii="Times New Roman" w:hAnsi="Times New Roman" w:cs="Times New Roman"/>
          <w:sz w:val="28"/>
          <w:szCs w:val="28"/>
        </w:rPr>
        <w:t xml:space="preserve">ного года трудоустроились 2 334 </w:t>
      </w:r>
      <w:r w:rsidRPr="00821FAE">
        <w:rPr>
          <w:rFonts w:ascii="Times New Roman" w:hAnsi="Times New Roman" w:cs="Times New Roman"/>
          <w:sz w:val="28"/>
          <w:szCs w:val="28"/>
        </w:rPr>
        <w:t>чел</w:t>
      </w:r>
      <w:r w:rsidR="001D3161">
        <w:rPr>
          <w:rFonts w:ascii="Times New Roman" w:hAnsi="Times New Roman" w:cs="Times New Roman"/>
          <w:sz w:val="28"/>
          <w:szCs w:val="28"/>
        </w:rPr>
        <w:t>овек, то есть 54,67</w:t>
      </w:r>
      <w:r w:rsidRPr="00821FAE">
        <w:rPr>
          <w:rFonts w:ascii="Times New Roman" w:hAnsi="Times New Roman" w:cs="Times New Roman"/>
          <w:sz w:val="28"/>
          <w:szCs w:val="28"/>
        </w:rPr>
        <w:t>%</w:t>
      </w:r>
      <w:r w:rsidR="001D3161">
        <w:rPr>
          <w:rFonts w:ascii="Times New Roman" w:hAnsi="Times New Roman" w:cs="Times New Roman"/>
          <w:sz w:val="28"/>
          <w:szCs w:val="28"/>
        </w:rPr>
        <w:t xml:space="preserve"> (2020 г. – 55,18%)</w:t>
      </w:r>
      <w:r w:rsidRPr="00821FAE">
        <w:rPr>
          <w:rFonts w:ascii="Times New Roman" w:hAnsi="Times New Roman" w:cs="Times New Roman"/>
          <w:sz w:val="28"/>
          <w:szCs w:val="28"/>
        </w:rPr>
        <w:t xml:space="preserve">. </w:t>
      </w:r>
      <w:r w:rsidR="0077204B">
        <w:rPr>
          <w:rFonts w:ascii="Times New Roman" w:hAnsi="Times New Roman" w:cs="Times New Roman"/>
          <w:sz w:val="28"/>
          <w:szCs w:val="28"/>
        </w:rPr>
        <w:t xml:space="preserve">На фоне </w:t>
      </w:r>
      <w:r w:rsidRPr="00821FAE">
        <w:rPr>
          <w:rFonts w:ascii="Times New Roman" w:hAnsi="Times New Roman" w:cs="Times New Roman"/>
          <w:sz w:val="28"/>
          <w:szCs w:val="28"/>
        </w:rPr>
        <w:t xml:space="preserve">неблагоприятной экономической ситуации, </w:t>
      </w:r>
      <w:r w:rsidR="0077204B">
        <w:rPr>
          <w:rFonts w:ascii="Times New Roman" w:hAnsi="Times New Roman" w:cs="Times New Roman"/>
          <w:sz w:val="28"/>
          <w:szCs w:val="28"/>
        </w:rPr>
        <w:t xml:space="preserve">связанной с пандемией COVID-19, </w:t>
      </w:r>
      <w:r w:rsidRPr="00821FAE">
        <w:rPr>
          <w:rFonts w:ascii="Times New Roman" w:hAnsi="Times New Roman" w:cs="Times New Roman"/>
          <w:sz w:val="28"/>
          <w:szCs w:val="28"/>
        </w:rPr>
        <w:t>такое снижение выглядит минимально кр</w:t>
      </w:r>
      <w:r w:rsidR="0077204B">
        <w:rPr>
          <w:rFonts w:ascii="Times New Roman" w:hAnsi="Times New Roman" w:cs="Times New Roman"/>
          <w:sz w:val="28"/>
          <w:szCs w:val="28"/>
        </w:rPr>
        <w:t xml:space="preserve">итичным и компенсируется ростом </w:t>
      </w:r>
      <w:r w:rsidRPr="00821FAE">
        <w:rPr>
          <w:rFonts w:ascii="Times New Roman" w:hAnsi="Times New Roman" w:cs="Times New Roman"/>
          <w:sz w:val="28"/>
          <w:szCs w:val="28"/>
        </w:rPr>
        <w:t>численности выпускников, принявших решение продолжить образование</w:t>
      </w:r>
      <w:r w:rsidR="0077204B">
        <w:rPr>
          <w:rFonts w:ascii="Times New Roman" w:hAnsi="Times New Roman" w:cs="Times New Roman"/>
          <w:sz w:val="28"/>
          <w:szCs w:val="28"/>
        </w:rPr>
        <w:t xml:space="preserve"> </w:t>
      </w:r>
      <w:r w:rsidRPr="00821FAE">
        <w:rPr>
          <w:rFonts w:ascii="Times New Roman" w:hAnsi="Times New Roman" w:cs="Times New Roman"/>
          <w:sz w:val="28"/>
          <w:szCs w:val="28"/>
        </w:rPr>
        <w:t>на следующем уровне</w:t>
      </w:r>
      <w:r w:rsidR="001D3161">
        <w:rPr>
          <w:rFonts w:ascii="Times New Roman" w:hAnsi="Times New Roman" w:cs="Times New Roman"/>
          <w:sz w:val="28"/>
          <w:szCs w:val="28"/>
        </w:rPr>
        <w:t>.</w:t>
      </w:r>
      <w:r w:rsidRPr="00821FAE">
        <w:rPr>
          <w:rFonts w:ascii="Times New Roman" w:hAnsi="Times New Roman" w:cs="Times New Roman"/>
          <w:sz w:val="28"/>
          <w:szCs w:val="28"/>
        </w:rPr>
        <w:t xml:space="preserve"> </w:t>
      </w:r>
      <w:r w:rsidR="001D3161">
        <w:rPr>
          <w:rFonts w:ascii="Times New Roman" w:hAnsi="Times New Roman" w:cs="Times New Roman"/>
          <w:sz w:val="28"/>
          <w:szCs w:val="28"/>
        </w:rPr>
        <w:t>В</w:t>
      </w:r>
      <w:r w:rsidRPr="00821FAE">
        <w:rPr>
          <w:rFonts w:ascii="Times New Roman" w:hAnsi="Times New Roman" w:cs="Times New Roman"/>
          <w:sz w:val="28"/>
          <w:szCs w:val="28"/>
        </w:rPr>
        <w:t xml:space="preserve"> 2021 г</w:t>
      </w:r>
      <w:r w:rsidR="00C66AD1">
        <w:rPr>
          <w:rFonts w:ascii="Times New Roman" w:hAnsi="Times New Roman" w:cs="Times New Roman"/>
          <w:sz w:val="28"/>
          <w:szCs w:val="28"/>
        </w:rPr>
        <w:t>.</w:t>
      </w:r>
      <w:r w:rsidRPr="00821FAE">
        <w:rPr>
          <w:rFonts w:ascii="Times New Roman" w:hAnsi="Times New Roman" w:cs="Times New Roman"/>
          <w:sz w:val="28"/>
          <w:szCs w:val="28"/>
        </w:rPr>
        <w:t xml:space="preserve"> </w:t>
      </w:r>
      <w:r w:rsidR="001D3161">
        <w:rPr>
          <w:rFonts w:ascii="Times New Roman" w:hAnsi="Times New Roman" w:cs="Times New Roman"/>
          <w:sz w:val="28"/>
          <w:szCs w:val="28"/>
        </w:rPr>
        <w:t>насчитывалось</w:t>
      </w:r>
      <w:r w:rsidRPr="00821FAE">
        <w:rPr>
          <w:rFonts w:ascii="Times New Roman" w:hAnsi="Times New Roman" w:cs="Times New Roman"/>
          <w:sz w:val="28"/>
          <w:szCs w:val="28"/>
        </w:rPr>
        <w:t xml:space="preserve"> 1</w:t>
      </w:r>
      <w:r w:rsidR="001D3161">
        <w:rPr>
          <w:rFonts w:ascii="Times New Roman" w:hAnsi="Times New Roman" w:cs="Times New Roman"/>
          <w:sz w:val="28"/>
          <w:szCs w:val="28"/>
        </w:rPr>
        <w:t> </w:t>
      </w:r>
      <w:r w:rsidRPr="00821FAE">
        <w:rPr>
          <w:rFonts w:ascii="Times New Roman" w:hAnsi="Times New Roman" w:cs="Times New Roman"/>
          <w:sz w:val="28"/>
          <w:szCs w:val="28"/>
        </w:rPr>
        <w:t>139</w:t>
      </w:r>
      <w:r w:rsidR="0077204B">
        <w:rPr>
          <w:rFonts w:ascii="Times New Roman" w:hAnsi="Times New Roman" w:cs="Times New Roman"/>
          <w:sz w:val="28"/>
          <w:szCs w:val="28"/>
        </w:rPr>
        <w:t xml:space="preserve"> </w:t>
      </w:r>
      <w:r w:rsidR="001D3161">
        <w:rPr>
          <w:rFonts w:ascii="Times New Roman" w:hAnsi="Times New Roman" w:cs="Times New Roman"/>
          <w:sz w:val="28"/>
          <w:szCs w:val="28"/>
        </w:rPr>
        <w:t xml:space="preserve">таких выпускников или </w:t>
      </w:r>
      <w:r w:rsidR="0077204B">
        <w:rPr>
          <w:rFonts w:ascii="Times New Roman" w:hAnsi="Times New Roman" w:cs="Times New Roman"/>
          <w:sz w:val="28"/>
          <w:szCs w:val="28"/>
        </w:rPr>
        <w:t xml:space="preserve">26,68% от выпускников </w:t>
      </w:r>
      <w:r w:rsidRPr="00821FAE">
        <w:rPr>
          <w:rFonts w:ascii="Times New Roman" w:hAnsi="Times New Roman" w:cs="Times New Roman"/>
          <w:sz w:val="28"/>
          <w:szCs w:val="28"/>
        </w:rPr>
        <w:t>с инвалидностью и ОВЗ</w:t>
      </w:r>
      <w:r w:rsidR="001D3161">
        <w:rPr>
          <w:rFonts w:ascii="Times New Roman" w:hAnsi="Times New Roman" w:cs="Times New Roman"/>
          <w:sz w:val="28"/>
          <w:szCs w:val="28"/>
        </w:rPr>
        <w:t xml:space="preserve"> </w:t>
      </w:r>
      <w:r w:rsidR="00D50BC5">
        <w:rPr>
          <w:rFonts w:ascii="Times New Roman" w:hAnsi="Times New Roman" w:cs="Times New Roman"/>
          <w:sz w:val="28"/>
          <w:szCs w:val="28"/>
        </w:rPr>
        <w:br/>
      </w:r>
      <w:r w:rsidR="001D3161">
        <w:rPr>
          <w:rFonts w:ascii="Times New Roman" w:hAnsi="Times New Roman" w:cs="Times New Roman"/>
          <w:sz w:val="28"/>
          <w:szCs w:val="28"/>
        </w:rPr>
        <w:t>(2020 г. – 969 человек или 24,72</w:t>
      </w:r>
      <w:r w:rsidRPr="00821FAE">
        <w:rPr>
          <w:rFonts w:ascii="Times New Roman" w:hAnsi="Times New Roman" w:cs="Times New Roman"/>
          <w:sz w:val="28"/>
          <w:szCs w:val="28"/>
        </w:rPr>
        <w:t>% от общего числа выпускников с инвалидностью</w:t>
      </w:r>
      <w:r w:rsidR="001D3161">
        <w:rPr>
          <w:rFonts w:ascii="Times New Roman" w:hAnsi="Times New Roman" w:cs="Times New Roman"/>
          <w:sz w:val="28"/>
          <w:szCs w:val="28"/>
        </w:rPr>
        <w:t>)</w:t>
      </w:r>
      <w:r w:rsidRPr="00821FAE">
        <w:rPr>
          <w:rFonts w:ascii="Times New Roman" w:hAnsi="Times New Roman" w:cs="Times New Roman"/>
          <w:sz w:val="28"/>
          <w:szCs w:val="28"/>
        </w:rPr>
        <w:t>.</w:t>
      </w:r>
    </w:p>
    <w:p w14:paraId="38A60B05" w14:textId="77777777" w:rsidR="00821FAE" w:rsidRPr="00821FAE" w:rsidRDefault="00821FAE" w:rsidP="0077204B">
      <w:pPr>
        <w:autoSpaceDE w:val="0"/>
        <w:autoSpaceDN w:val="0"/>
        <w:adjustRightInd w:val="0"/>
        <w:spacing w:after="0" w:line="312" w:lineRule="auto"/>
        <w:ind w:firstLine="709"/>
        <w:jc w:val="both"/>
        <w:rPr>
          <w:rFonts w:ascii="Times New Roman" w:hAnsi="Times New Roman" w:cs="Times New Roman"/>
          <w:sz w:val="28"/>
          <w:szCs w:val="28"/>
        </w:rPr>
      </w:pPr>
      <w:r w:rsidRPr="00821FAE">
        <w:rPr>
          <w:rFonts w:ascii="Times New Roman" w:hAnsi="Times New Roman" w:cs="Times New Roman"/>
          <w:sz w:val="28"/>
          <w:szCs w:val="28"/>
        </w:rPr>
        <w:t xml:space="preserve">Из трудоустроенных выпускников с </w:t>
      </w:r>
      <w:r w:rsidR="0077204B">
        <w:rPr>
          <w:rFonts w:ascii="Times New Roman" w:hAnsi="Times New Roman" w:cs="Times New Roman"/>
          <w:sz w:val="28"/>
          <w:szCs w:val="28"/>
        </w:rPr>
        <w:t xml:space="preserve">инвалидностью участниками и/или </w:t>
      </w:r>
      <w:r w:rsidRPr="00821FAE">
        <w:rPr>
          <w:rFonts w:ascii="Times New Roman" w:hAnsi="Times New Roman" w:cs="Times New Roman"/>
          <w:sz w:val="28"/>
          <w:szCs w:val="28"/>
        </w:rPr>
        <w:t>победителями конкурсов професс</w:t>
      </w:r>
      <w:r w:rsidR="0077204B">
        <w:rPr>
          <w:rFonts w:ascii="Times New Roman" w:hAnsi="Times New Roman" w:cs="Times New Roman"/>
          <w:sz w:val="28"/>
          <w:szCs w:val="28"/>
        </w:rPr>
        <w:t xml:space="preserve">ионального мастерства являются: </w:t>
      </w:r>
      <w:r w:rsidRPr="00821FAE">
        <w:rPr>
          <w:rFonts w:ascii="Times New Roman" w:hAnsi="Times New Roman" w:cs="Times New Roman"/>
          <w:sz w:val="28"/>
          <w:szCs w:val="28"/>
        </w:rPr>
        <w:t>«</w:t>
      </w:r>
      <w:proofErr w:type="spellStart"/>
      <w:r w:rsidRPr="00821FAE">
        <w:rPr>
          <w:rFonts w:ascii="Times New Roman" w:hAnsi="Times New Roman" w:cs="Times New Roman"/>
          <w:sz w:val="28"/>
          <w:szCs w:val="28"/>
        </w:rPr>
        <w:t>Абилимпикс</w:t>
      </w:r>
      <w:proofErr w:type="spellEnd"/>
      <w:r w:rsidRPr="00821FAE">
        <w:rPr>
          <w:rFonts w:ascii="Times New Roman" w:hAnsi="Times New Roman" w:cs="Times New Roman"/>
          <w:sz w:val="28"/>
          <w:szCs w:val="28"/>
        </w:rPr>
        <w:t>» – 105 человек из 56 вузов;</w:t>
      </w:r>
      <w:r w:rsidR="0077204B">
        <w:rPr>
          <w:rFonts w:ascii="Times New Roman" w:hAnsi="Times New Roman" w:cs="Times New Roman"/>
          <w:sz w:val="28"/>
          <w:szCs w:val="28"/>
        </w:rPr>
        <w:t xml:space="preserve"> «Профессиональное завтра» – 58 </w:t>
      </w:r>
      <w:r w:rsidRPr="00821FAE">
        <w:rPr>
          <w:rFonts w:ascii="Times New Roman" w:hAnsi="Times New Roman" w:cs="Times New Roman"/>
          <w:sz w:val="28"/>
          <w:szCs w:val="28"/>
        </w:rPr>
        <w:t>человек из 35 вузов; иных конкурсов – 131 челов</w:t>
      </w:r>
      <w:r w:rsidR="0077204B">
        <w:rPr>
          <w:rFonts w:ascii="Times New Roman" w:hAnsi="Times New Roman" w:cs="Times New Roman"/>
          <w:sz w:val="28"/>
          <w:szCs w:val="28"/>
        </w:rPr>
        <w:t xml:space="preserve">ек из 56 вузов. Данный параметр </w:t>
      </w:r>
      <w:r w:rsidRPr="00821FAE">
        <w:rPr>
          <w:rFonts w:ascii="Times New Roman" w:hAnsi="Times New Roman" w:cs="Times New Roman"/>
          <w:sz w:val="28"/>
          <w:szCs w:val="28"/>
        </w:rPr>
        <w:t>оценки впервые введен в форму мониторинга в 2</w:t>
      </w:r>
      <w:r w:rsidR="0077204B">
        <w:rPr>
          <w:rFonts w:ascii="Times New Roman" w:hAnsi="Times New Roman" w:cs="Times New Roman"/>
          <w:sz w:val="28"/>
          <w:szCs w:val="28"/>
        </w:rPr>
        <w:t xml:space="preserve">021 г. Получение результатов </w:t>
      </w:r>
      <w:r w:rsidRPr="00821FAE">
        <w:rPr>
          <w:rFonts w:ascii="Times New Roman" w:hAnsi="Times New Roman" w:cs="Times New Roman"/>
          <w:sz w:val="28"/>
          <w:szCs w:val="28"/>
        </w:rPr>
        <w:t xml:space="preserve">по тем же показателям </w:t>
      </w:r>
      <w:r w:rsidR="00C66AD1">
        <w:rPr>
          <w:rFonts w:ascii="Times New Roman" w:hAnsi="Times New Roman" w:cs="Times New Roman"/>
          <w:sz w:val="28"/>
          <w:szCs w:val="28"/>
        </w:rPr>
        <w:br/>
      </w:r>
      <w:r w:rsidRPr="00821FAE">
        <w:rPr>
          <w:rFonts w:ascii="Times New Roman" w:hAnsi="Times New Roman" w:cs="Times New Roman"/>
          <w:sz w:val="28"/>
          <w:szCs w:val="28"/>
        </w:rPr>
        <w:t xml:space="preserve">в </w:t>
      </w:r>
      <w:r w:rsidR="005440F3">
        <w:rPr>
          <w:rFonts w:ascii="Times New Roman" w:hAnsi="Times New Roman" w:cs="Times New Roman"/>
          <w:sz w:val="28"/>
          <w:szCs w:val="28"/>
        </w:rPr>
        <w:t>2022</w:t>
      </w:r>
      <w:r w:rsidRPr="00821FAE">
        <w:rPr>
          <w:rFonts w:ascii="Times New Roman" w:hAnsi="Times New Roman" w:cs="Times New Roman"/>
          <w:sz w:val="28"/>
          <w:szCs w:val="28"/>
        </w:rPr>
        <w:t xml:space="preserve"> г</w:t>
      </w:r>
      <w:r w:rsidR="00C66AD1">
        <w:rPr>
          <w:rFonts w:ascii="Times New Roman" w:hAnsi="Times New Roman" w:cs="Times New Roman"/>
          <w:sz w:val="28"/>
          <w:szCs w:val="28"/>
        </w:rPr>
        <w:t>.</w:t>
      </w:r>
      <w:r w:rsidRPr="00821FAE">
        <w:rPr>
          <w:rFonts w:ascii="Times New Roman" w:hAnsi="Times New Roman" w:cs="Times New Roman"/>
          <w:sz w:val="28"/>
          <w:szCs w:val="28"/>
        </w:rPr>
        <w:t xml:space="preserve"> позволит выявить динамику.</w:t>
      </w:r>
    </w:p>
    <w:p w14:paraId="55018878" w14:textId="77777777" w:rsidR="0077204B" w:rsidRDefault="00821FAE" w:rsidP="0077204B">
      <w:pPr>
        <w:autoSpaceDE w:val="0"/>
        <w:autoSpaceDN w:val="0"/>
        <w:adjustRightInd w:val="0"/>
        <w:spacing w:after="0" w:line="312" w:lineRule="auto"/>
        <w:ind w:firstLine="709"/>
        <w:jc w:val="both"/>
        <w:rPr>
          <w:rFonts w:ascii="Times New Roman" w:hAnsi="Times New Roman" w:cs="Times New Roman"/>
          <w:sz w:val="28"/>
          <w:szCs w:val="28"/>
        </w:rPr>
      </w:pPr>
      <w:r w:rsidRPr="00821FAE">
        <w:rPr>
          <w:rFonts w:ascii="Times New Roman" w:hAnsi="Times New Roman" w:cs="Times New Roman"/>
          <w:sz w:val="28"/>
          <w:szCs w:val="28"/>
        </w:rPr>
        <w:t>С целью актуальной методической по</w:t>
      </w:r>
      <w:r w:rsidR="0077204B">
        <w:rPr>
          <w:rFonts w:ascii="Times New Roman" w:hAnsi="Times New Roman" w:cs="Times New Roman"/>
          <w:sz w:val="28"/>
          <w:szCs w:val="28"/>
        </w:rPr>
        <w:t xml:space="preserve">ддержки деятельности вузов РУМЦ </w:t>
      </w:r>
      <w:r w:rsidRPr="00821FAE">
        <w:rPr>
          <w:rFonts w:ascii="Times New Roman" w:hAnsi="Times New Roman" w:cs="Times New Roman"/>
          <w:sz w:val="28"/>
          <w:szCs w:val="28"/>
        </w:rPr>
        <w:t xml:space="preserve">в </w:t>
      </w:r>
      <w:r w:rsidR="00C66AD1">
        <w:rPr>
          <w:rFonts w:ascii="Times New Roman" w:hAnsi="Times New Roman" w:cs="Times New Roman"/>
          <w:sz w:val="28"/>
          <w:szCs w:val="28"/>
        </w:rPr>
        <w:t>2020-2021 гг.</w:t>
      </w:r>
      <w:r w:rsidR="0077204B">
        <w:rPr>
          <w:rFonts w:ascii="Times New Roman" w:hAnsi="Times New Roman" w:cs="Times New Roman"/>
          <w:sz w:val="28"/>
          <w:szCs w:val="28"/>
        </w:rPr>
        <w:t xml:space="preserve"> также разработали:</w:t>
      </w:r>
    </w:p>
    <w:p w14:paraId="36DD52A3" w14:textId="77777777" w:rsidR="0077204B" w:rsidRDefault="00821FAE" w:rsidP="0077204B">
      <w:pPr>
        <w:autoSpaceDE w:val="0"/>
        <w:autoSpaceDN w:val="0"/>
        <w:adjustRightInd w:val="0"/>
        <w:spacing w:after="0" w:line="312" w:lineRule="auto"/>
        <w:ind w:firstLine="709"/>
        <w:jc w:val="both"/>
        <w:rPr>
          <w:rFonts w:ascii="Times New Roman" w:hAnsi="Times New Roman" w:cs="Times New Roman"/>
          <w:sz w:val="28"/>
          <w:szCs w:val="28"/>
        </w:rPr>
      </w:pPr>
      <w:r w:rsidRPr="00821FAE">
        <w:rPr>
          <w:rFonts w:ascii="Times New Roman" w:hAnsi="Times New Roman" w:cs="Times New Roman"/>
          <w:sz w:val="28"/>
          <w:szCs w:val="28"/>
        </w:rPr>
        <w:t>1) Методические материалы по адаптации образовательных программ</w:t>
      </w:r>
      <w:r w:rsidR="0077204B">
        <w:rPr>
          <w:rFonts w:ascii="Times New Roman" w:hAnsi="Times New Roman" w:cs="Times New Roman"/>
          <w:sz w:val="28"/>
          <w:szCs w:val="28"/>
        </w:rPr>
        <w:t xml:space="preserve"> </w:t>
      </w:r>
      <w:r w:rsidRPr="00821FAE">
        <w:rPr>
          <w:rFonts w:ascii="Times New Roman" w:hAnsi="Times New Roman" w:cs="Times New Roman"/>
          <w:sz w:val="28"/>
          <w:szCs w:val="28"/>
        </w:rPr>
        <w:t>высшего образования (в частности</w:t>
      </w:r>
      <w:r w:rsidR="0077204B">
        <w:rPr>
          <w:rFonts w:ascii="Times New Roman" w:hAnsi="Times New Roman" w:cs="Times New Roman"/>
          <w:sz w:val="28"/>
          <w:szCs w:val="28"/>
        </w:rPr>
        <w:t xml:space="preserve">, для бакалавров и магистрантов </w:t>
      </w:r>
      <w:r w:rsidRPr="00821FAE">
        <w:rPr>
          <w:rFonts w:ascii="Times New Roman" w:hAnsi="Times New Roman" w:cs="Times New Roman"/>
          <w:sz w:val="28"/>
          <w:szCs w:val="28"/>
        </w:rPr>
        <w:t>направлений подготовки «Юриспру</w:t>
      </w:r>
      <w:r w:rsidR="0077204B">
        <w:rPr>
          <w:rFonts w:ascii="Times New Roman" w:hAnsi="Times New Roman" w:cs="Times New Roman"/>
          <w:sz w:val="28"/>
          <w:szCs w:val="28"/>
        </w:rPr>
        <w:t>денция» и «Социальная работа»);</w:t>
      </w:r>
    </w:p>
    <w:p w14:paraId="63B81865" w14:textId="77777777" w:rsidR="001F6208" w:rsidRPr="0077204B" w:rsidRDefault="00821FAE" w:rsidP="0077204B">
      <w:pPr>
        <w:autoSpaceDE w:val="0"/>
        <w:autoSpaceDN w:val="0"/>
        <w:adjustRightInd w:val="0"/>
        <w:spacing w:after="0" w:line="312" w:lineRule="auto"/>
        <w:ind w:firstLine="709"/>
        <w:jc w:val="both"/>
        <w:rPr>
          <w:rFonts w:ascii="Times New Roman" w:hAnsi="Times New Roman" w:cs="Times New Roman"/>
          <w:sz w:val="28"/>
          <w:szCs w:val="28"/>
        </w:rPr>
      </w:pPr>
      <w:r w:rsidRPr="00821FAE">
        <w:rPr>
          <w:rFonts w:ascii="Times New Roman" w:hAnsi="Times New Roman" w:cs="Times New Roman"/>
          <w:sz w:val="28"/>
          <w:szCs w:val="28"/>
        </w:rPr>
        <w:t>2) Инфраструктурные ли</w:t>
      </w:r>
      <w:r w:rsidR="0077204B">
        <w:rPr>
          <w:rFonts w:ascii="Times New Roman" w:hAnsi="Times New Roman" w:cs="Times New Roman"/>
          <w:sz w:val="28"/>
          <w:szCs w:val="28"/>
        </w:rPr>
        <w:t xml:space="preserve">сты и методические рекомендации </w:t>
      </w:r>
      <w:r w:rsidRPr="00821FAE">
        <w:rPr>
          <w:rFonts w:ascii="Times New Roman" w:hAnsi="Times New Roman" w:cs="Times New Roman"/>
          <w:sz w:val="28"/>
          <w:szCs w:val="28"/>
        </w:rPr>
        <w:t>по применению специальных технич</w:t>
      </w:r>
      <w:r w:rsidR="0077204B">
        <w:rPr>
          <w:rFonts w:ascii="Times New Roman" w:hAnsi="Times New Roman" w:cs="Times New Roman"/>
          <w:sz w:val="28"/>
          <w:szCs w:val="28"/>
        </w:rPr>
        <w:t xml:space="preserve">еских средств обучения, которые </w:t>
      </w:r>
      <w:r w:rsidRPr="00821FAE">
        <w:rPr>
          <w:rFonts w:ascii="Times New Roman" w:hAnsi="Times New Roman" w:cs="Times New Roman"/>
          <w:sz w:val="28"/>
          <w:szCs w:val="28"/>
        </w:rPr>
        <w:t>размещены на Портале в разделе «Вуз</w:t>
      </w:r>
      <w:r w:rsidR="0077204B">
        <w:rPr>
          <w:rFonts w:ascii="Times New Roman" w:hAnsi="Times New Roman" w:cs="Times New Roman"/>
          <w:sz w:val="28"/>
          <w:szCs w:val="28"/>
        </w:rPr>
        <w:t>ам». В 2021 г</w:t>
      </w:r>
      <w:r w:rsidR="00C66AD1">
        <w:rPr>
          <w:rFonts w:ascii="Times New Roman" w:hAnsi="Times New Roman" w:cs="Times New Roman"/>
          <w:sz w:val="28"/>
          <w:szCs w:val="28"/>
        </w:rPr>
        <w:t>.</w:t>
      </w:r>
      <w:r w:rsidR="0077204B">
        <w:rPr>
          <w:rFonts w:ascii="Times New Roman" w:hAnsi="Times New Roman" w:cs="Times New Roman"/>
          <w:sz w:val="28"/>
          <w:szCs w:val="28"/>
        </w:rPr>
        <w:t xml:space="preserve"> было проведено </w:t>
      </w:r>
      <w:r w:rsidRPr="00821FAE">
        <w:rPr>
          <w:rFonts w:ascii="Times New Roman" w:hAnsi="Times New Roman" w:cs="Times New Roman"/>
          <w:sz w:val="28"/>
          <w:szCs w:val="28"/>
        </w:rPr>
        <w:t xml:space="preserve">обучение 500 преподавателей </w:t>
      </w:r>
      <w:r w:rsidR="0077204B">
        <w:rPr>
          <w:rFonts w:ascii="Times New Roman" w:hAnsi="Times New Roman" w:cs="Times New Roman"/>
          <w:sz w:val="28"/>
          <w:szCs w:val="28"/>
        </w:rPr>
        <w:t xml:space="preserve">и сотрудников вузов, работающих </w:t>
      </w:r>
      <w:r w:rsidRPr="00821FAE">
        <w:rPr>
          <w:rFonts w:ascii="Times New Roman" w:hAnsi="Times New Roman" w:cs="Times New Roman"/>
          <w:sz w:val="28"/>
          <w:szCs w:val="28"/>
        </w:rPr>
        <w:t>со специализированным оборудованием.</w:t>
      </w:r>
    </w:p>
    <w:p w14:paraId="288CCB16" w14:textId="0BCE7446" w:rsidR="0079389A" w:rsidRPr="0079389A" w:rsidRDefault="0079389A" w:rsidP="00821FAE">
      <w:pPr>
        <w:widowControl w:val="0"/>
        <w:pBdr>
          <w:top w:val="single" w:sz="4" w:space="0" w:color="FFFFFF"/>
          <w:left w:val="single" w:sz="4" w:space="1" w:color="FFFFFF"/>
          <w:bottom w:val="single" w:sz="4" w:space="31" w:color="FFFFFF"/>
          <w:right w:val="single" w:sz="4" w:space="1" w:color="FFFFFF"/>
        </w:pBdr>
        <w:suppressAutoHyphens/>
        <w:spacing w:after="0" w:line="312" w:lineRule="auto"/>
        <w:ind w:firstLine="709"/>
        <w:jc w:val="both"/>
        <w:rPr>
          <w:rFonts w:ascii="Times New Roman" w:eastAsia="Times New Roman" w:hAnsi="Times New Roman" w:cs="Times New Roman"/>
          <w:sz w:val="28"/>
          <w:szCs w:val="28"/>
          <w:lang w:eastAsia="ru-RU"/>
        </w:rPr>
      </w:pPr>
      <w:r w:rsidRPr="0079389A">
        <w:rPr>
          <w:rFonts w:ascii="Times New Roman" w:eastAsia="Times New Roman" w:hAnsi="Times New Roman" w:cs="Times New Roman"/>
          <w:sz w:val="28"/>
          <w:szCs w:val="28"/>
          <w:lang w:eastAsia="ru-RU"/>
        </w:rPr>
        <w:t>Также в 2021 г</w:t>
      </w:r>
      <w:r w:rsidR="00C66AD1">
        <w:rPr>
          <w:rFonts w:ascii="Times New Roman" w:eastAsia="Times New Roman" w:hAnsi="Times New Roman" w:cs="Times New Roman"/>
          <w:sz w:val="28"/>
          <w:szCs w:val="28"/>
          <w:lang w:eastAsia="ru-RU"/>
        </w:rPr>
        <w:t>.</w:t>
      </w:r>
      <w:r w:rsidRPr="0079389A">
        <w:rPr>
          <w:rFonts w:ascii="Times New Roman" w:eastAsia="Times New Roman" w:hAnsi="Times New Roman" w:cs="Times New Roman"/>
          <w:sz w:val="28"/>
          <w:szCs w:val="28"/>
          <w:lang w:eastAsia="ru-RU"/>
        </w:rPr>
        <w:t xml:space="preserve"> Заместителем Председателя Правительства Российской Федерации Т.А.  Голиковой утверждены межведомственный комплексный план мероприятий по развитию инклюзи</w:t>
      </w:r>
      <w:r w:rsidR="00821FAE">
        <w:rPr>
          <w:rFonts w:ascii="Times New Roman" w:eastAsia="Times New Roman" w:hAnsi="Times New Roman" w:cs="Times New Roman"/>
          <w:sz w:val="28"/>
          <w:szCs w:val="28"/>
          <w:lang w:eastAsia="ru-RU"/>
        </w:rPr>
        <w:t xml:space="preserve">вного общего и дополнительного </w:t>
      </w:r>
      <w:r w:rsidRPr="0079389A">
        <w:rPr>
          <w:rFonts w:ascii="Times New Roman" w:eastAsia="Times New Roman" w:hAnsi="Times New Roman" w:cs="Times New Roman"/>
          <w:sz w:val="28"/>
          <w:szCs w:val="28"/>
          <w:lang w:eastAsia="ru-RU"/>
        </w:rPr>
        <w:t>образования, детского отдыха, созданию специ</w:t>
      </w:r>
      <w:r w:rsidR="00821FAE">
        <w:rPr>
          <w:rFonts w:ascii="Times New Roman" w:eastAsia="Times New Roman" w:hAnsi="Times New Roman" w:cs="Times New Roman"/>
          <w:sz w:val="28"/>
          <w:szCs w:val="28"/>
          <w:lang w:eastAsia="ru-RU"/>
        </w:rPr>
        <w:t xml:space="preserve">альных условий для обучающихся </w:t>
      </w:r>
      <w:r w:rsidRPr="0079389A">
        <w:rPr>
          <w:rFonts w:ascii="Times New Roman" w:eastAsia="Times New Roman" w:hAnsi="Times New Roman" w:cs="Times New Roman"/>
          <w:sz w:val="28"/>
          <w:szCs w:val="28"/>
          <w:lang w:eastAsia="ru-RU"/>
        </w:rPr>
        <w:t>с инвалидностью</w:t>
      </w:r>
      <w:r w:rsidR="00821FAE">
        <w:rPr>
          <w:rFonts w:ascii="Times New Roman" w:eastAsia="Times New Roman" w:hAnsi="Times New Roman" w:cs="Times New Roman"/>
          <w:sz w:val="28"/>
          <w:szCs w:val="28"/>
          <w:lang w:eastAsia="ru-RU"/>
        </w:rPr>
        <w:t xml:space="preserve"> и ОВЗ</w:t>
      </w:r>
      <w:r w:rsidRPr="0079389A">
        <w:rPr>
          <w:rFonts w:ascii="Times New Roman" w:eastAsia="Times New Roman" w:hAnsi="Times New Roman" w:cs="Times New Roman"/>
          <w:sz w:val="28"/>
          <w:szCs w:val="28"/>
          <w:lang w:eastAsia="ru-RU"/>
        </w:rPr>
        <w:t xml:space="preserve"> </w:t>
      </w:r>
      <w:r w:rsidR="005440F3">
        <w:rPr>
          <w:rFonts w:ascii="Times New Roman" w:eastAsia="Times New Roman" w:hAnsi="Times New Roman" w:cs="Times New Roman"/>
          <w:sz w:val="28"/>
          <w:szCs w:val="28"/>
          <w:lang w:eastAsia="ru-RU"/>
        </w:rPr>
        <w:t>до 2030 г</w:t>
      </w:r>
      <w:r w:rsidR="00C66AD1">
        <w:rPr>
          <w:rFonts w:ascii="Times New Roman" w:eastAsia="Times New Roman" w:hAnsi="Times New Roman" w:cs="Times New Roman"/>
          <w:sz w:val="28"/>
          <w:szCs w:val="28"/>
          <w:lang w:eastAsia="ru-RU"/>
        </w:rPr>
        <w:t>.</w:t>
      </w:r>
      <w:r w:rsidRPr="0079389A">
        <w:rPr>
          <w:rFonts w:ascii="Times New Roman" w:eastAsia="Times New Roman" w:hAnsi="Times New Roman" w:cs="Times New Roman"/>
          <w:sz w:val="28"/>
          <w:szCs w:val="28"/>
          <w:lang w:eastAsia="ru-RU"/>
        </w:rPr>
        <w:t xml:space="preserve"> (от 22 декабря 2021 г. № 14068п-П8), а также межведомственный комплексный план мероприятий по повышению доступности среднего профессионального и выс</w:t>
      </w:r>
      <w:r w:rsidR="0077204B">
        <w:rPr>
          <w:rFonts w:ascii="Times New Roman" w:eastAsia="Times New Roman" w:hAnsi="Times New Roman" w:cs="Times New Roman"/>
          <w:sz w:val="28"/>
          <w:szCs w:val="28"/>
          <w:lang w:eastAsia="ru-RU"/>
        </w:rPr>
        <w:t xml:space="preserve">шего образования для инвалидов </w:t>
      </w:r>
      <w:r w:rsidRPr="0079389A">
        <w:rPr>
          <w:rFonts w:ascii="Times New Roman" w:eastAsia="Times New Roman" w:hAnsi="Times New Roman" w:cs="Times New Roman"/>
          <w:sz w:val="28"/>
          <w:szCs w:val="28"/>
          <w:lang w:eastAsia="ru-RU"/>
        </w:rPr>
        <w:t xml:space="preserve">и лиц с </w:t>
      </w:r>
      <w:r w:rsidR="005440F3">
        <w:rPr>
          <w:rFonts w:ascii="Times New Roman" w:eastAsia="Times New Roman" w:hAnsi="Times New Roman" w:cs="Times New Roman"/>
          <w:sz w:val="28"/>
          <w:szCs w:val="28"/>
          <w:lang w:eastAsia="ru-RU"/>
        </w:rPr>
        <w:t>ОВЗ</w:t>
      </w:r>
      <w:r w:rsidR="0077204B">
        <w:rPr>
          <w:rFonts w:ascii="Times New Roman" w:eastAsia="Times New Roman" w:hAnsi="Times New Roman" w:cs="Times New Roman"/>
          <w:sz w:val="28"/>
          <w:szCs w:val="28"/>
          <w:lang w:eastAsia="ru-RU"/>
        </w:rPr>
        <w:t xml:space="preserve">, в том числе профориентации </w:t>
      </w:r>
      <w:r w:rsidRPr="0079389A">
        <w:rPr>
          <w:rFonts w:ascii="Times New Roman" w:eastAsia="Times New Roman" w:hAnsi="Times New Roman" w:cs="Times New Roman"/>
          <w:sz w:val="28"/>
          <w:szCs w:val="28"/>
          <w:lang w:eastAsia="ru-RU"/>
        </w:rPr>
        <w:t xml:space="preserve">и занятости указанных лиц </w:t>
      </w:r>
      <w:r w:rsidR="005440F3">
        <w:rPr>
          <w:rFonts w:ascii="Times New Roman" w:eastAsia="Times New Roman" w:hAnsi="Times New Roman" w:cs="Times New Roman"/>
          <w:sz w:val="28"/>
          <w:szCs w:val="28"/>
          <w:lang w:eastAsia="ru-RU"/>
        </w:rPr>
        <w:t>до 2030 г</w:t>
      </w:r>
      <w:r w:rsidR="00C66AD1">
        <w:rPr>
          <w:rFonts w:ascii="Times New Roman" w:eastAsia="Times New Roman" w:hAnsi="Times New Roman" w:cs="Times New Roman"/>
          <w:sz w:val="28"/>
          <w:szCs w:val="28"/>
          <w:lang w:eastAsia="ru-RU"/>
        </w:rPr>
        <w:t>.</w:t>
      </w:r>
      <w:r w:rsidRPr="0079389A">
        <w:rPr>
          <w:rFonts w:ascii="Times New Roman" w:eastAsia="Times New Roman" w:hAnsi="Times New Roman" w:cs="Times New Roman"/>
          <w:sz w:val="28"/>
          <w:szCs w:val="28"/>
          <w:lang w:eastAsia="ru-RU"/>
        </w:rPr>
        <w:t xml:space="preserve"> (от 21</w:t>
      </w:r>
      <w:r w:rsidR="0077204B">
        <w:rPr>
          <w:rFonts w:ascii="Times New Roman" w:eastAsia="Times New Roman" w:hAnsi="Times New Roman" w:cs="Times New Roman"/>
          <w:sz w:val="28"/>
          <w:szCs w:val="28"/>
          <w:lang w:eastAsia="ru-RU"/>
        </w:rPr>
        <w:t xml:space="preserve"> декабря 2021 г. </w:t>
      </w:r>
      <w:r w:rsidR="00D50BC5">
        <w:rPr>
          <w:rFonts w:ascii="Times New Roman" w:eastAsia="Times New Roman" w:hAnsi="Times New Roman" w:cs="Times New Roman"/>
          <w:sz w:val="28"/>
          <w:szCs w:val="28"/>
          <w:lang w:eastAsia="ru-RU"/>
        </w:rPr>
        <w:br/>
      </w:r>
      <w:r w:rsidR="0077204B">
        <w:rPr>
          <w:rFonts w:ascii="Times New Roman" w:eastAsia="Times New Roman" w:hAnsi="Times New Roman" w:cs="Times New Roman"/>
          <w:sz w:val="28"/>
          <w:szCs w:val="28"/>
          <w:lang w:eastAsia="ru-RU"/>
        </w:rPr>
        <w:t xml:space="preserve">№ 14000п-П8). </w:t>
      </w:r>
      <w:r w:rsidRPr="0079389A">
        <w:rPr>
          <w:rFonts w:ascii="Times New Roman" w:eastAsia="Times New Roman" w:hAnsi="Times New Roman" w:cs="Times New Roman"/>
          <w:sz w:val="28"/>
          <w:szCs w:val="28"/>
          <w:lang w:eastAsia="ru-RU"/>
        </w:rPr>
        <w:t>Их реализация будет способствовать повышению эффективности реализуемой государственной политики в сфере организации образования и психолого-педагогического сопровождения обучающихся с инвалидностью</w:t>
      </w:r>
      <w:r w:rsidR="005440F3">
        <w:rPr>
          <w:rFonts w:ascii="Times New Roman" w:eastAsia="Times New Roman" w:hAnsi="Times New Roman" w:cs="Times New Roman"/>
          <w:sz w:val="28"/>
          <w:szCs w:val="28"/>
          <w:lang w:eastAsia="ru-RU"/>
        </w:rPr>
        <w:t xml:space="preserve"> и</w:t>
      </w:r>
      <w:r w:rsidRPr="0079389A">
        <w:rPr>
          <w:rFonts w:ascii="Times New Roman" w:eastAsia="Times New Roman" w:hAnsi="Times New Roman" w:cs="Times New Roman"/>
          <w:sz w:val="28"/>
          <w:szCs w:val="28"/>
          <w:lang w:eastAsia="ru-RU"/>
        </w:rPr>
        <w:t xml:space="preserve"> с </w:t>
      </w:r>
      <w:r w:rsidR="005440F3">
        <w:rPr>
          <w:rFonts w:ascii="Times New Roman" w:eastAsia="Times New Roman" w:hAnsi="Times New Roman" w:cs="Times New Roman"/>
          <w:sz w:val="28"/>
          <w:szCs w:val="28"/>
          <w:lang w:eastAsia="ru-RU"/>
        </w:rPr>
        <w:t>ОВЗ,</w:t>
      </w:r>
      <w:r w:rsidRPr="0079389A">
        <w:rPr>
          <w:rFonts w:ascii="Times New Roman" w:eastAsia="Times New Roman" w:hAnsi="Times New Roman" w:cs="Times New Roman"/>
          <w:sz w:val="28"/>
          <w:szCs w:val="28"/>
          <w:lang w:eastAsia="ru-RU"/>
        </w:rPr>
        <w:t xml:space="preserve"> консолидации ресурсов государственных и общественных институтов, укреплению системы защиты прав детей с особыми образовательными потребностями на образование, повышению благополучия и развитию личностного потенциал</w:t>
      </w:r>
      <w:r w:rsidR="00C66AD1">
        <w:rPr>
          <w:rFonts w:ascii="Times New Roman" w:eastAsia="Times New Roman" w:hAnsi="Times New Roman" w:cs="Times New Roman"/>
          <w:sz w:val="28"/>
          <w:szCs w:val="28"/>
          <w:lang w:eastAsia="ru-RU"/>
        </w:rPr>
        <w:t>а граждан Российской Федерации.</w:t>
      </w:r>
    </w:p>
    <w:p w14:paraId="3C57D027" w14:textId="77777777" w:rsidR="0079389A" w:rsidRPr="0079389A" w:rsidRDefault="0079389A" w:rsidP="00821FAE">
      <w:pPr>
        <w:widowControl w:val="0"/>
        <w:pBdr>
          <w:top w:val="single" w:sz="4" w:space="0" w:color="FFFFFF"/>
          <w:left w:val="single" w:sz="4" w:space="1" w:color="FFFFFF"/>
          <w:bottom w:val="single" w:sz="4" w:space="31" w:color="FFFFFF"/>
          <w:right w:val="single" w:sz="4" w:space="1" w:color="FFFFFF"/>
        </w:pBdr>
        <w:suppressAutoHyphens/>
        <w:spacing w:after="0" w:line="312" w:lineRule="auto"/>
        <w:ind w:firstLine="709"/>
        <w:jc w:val="both"/>
        <w:rPr>
          <w:rFonts w:ascii="Times New Roman" w:eastAsia="Times New Roman" w:hAnsi="Times New Roman" w:cs="Times New Roman"/>
          <w:sz w:val="28"/>
          <w:szCs w:val="28"/>
          <w:lang w:eastAsia="ru-RU"/>
        </w:rPr>
      </w:pPr>
      <w:r w:rsidRPr="0079389A">
        <w:rPr>
          <w:rFonts w:ascii="Times New Roman" w:eastAsia="Times New Roman" w:hAnsi="Times New Roman" w:cs="Times New Roman"/>
          <w:sz w:val="28"/>
          <w:szCs w:val="28"/>
          <w:lang w:eastAsia="ru-RU"/>
        </w:rPr>
        <w:t xml:space="preserve">Регулярно проводятся мероприятия в рамках федеральных мер повышения мотивации развития системы образования детей с </w:t>
      </w:r>
      <w:r w:rsidR="005440F3">
        <w:rPr>
          <w:rFonts w:ascii="Times New Roman" w:eastAsia="Times New Roman" w:hAnsi="Times New Roman" w:cs="Times New Roman"/>
          <w:sz w:val="28"/>
          <w:szCs w:val="28"/>
          <w:lang w:eastAsia="ru-RU"/>
        </w:rPr>
        <w:t>ОВЗ и</w:t>
      </w:r>
      <w:r w:rsidRPr="0079389A">
        <w:rPr>
          <w:rFonts w:ascii="Times New Roman" w:eastAsia="Times New Roman" w:hAnsi="Times New Roman" w:cs="Times New Roman"/>
          <w:sz w:val="28"/>
          <w:szCs w:val="28"/>
          <w:lang w:eastAsia="ru-RU"/>
        </w:rPr>
        <w:t xml:space="preserve"> детей-инвалидов, среди которых: Всероссийские конкурсы профессионального мастерства </w:t>
      </w:r>
      <w:r w:rsidR="00C66AD1">
        <w:rPr>
          <w:rFonts w:ascii="Times New Roman" w:eastAsia="Times New Roman" w:hAnsi="Times New Roman" w:cs="Times New Roman"/>
          <w:sz w:val="28"/>
          <w:szCs w:val="28"/>
          <w:lang w:eastAsia="ru-RU"/>
        </w:rPr>
        <w:br/>
      </w:r>
      <w:r w:rsidRPr="0079389A">
        <w:rPr>
          <w:rFonts w:ascii="Times New Roman" w:eastAsia="Times New Roman" w:hAnsi="Times New Roman" w:cs="Times New Roman"/>
          <w:sz w:val="28"/>
          <w:szCs w:val="28"/>
          <w:lang w:eastAsia="ru-RU"/>
        </w:rPr>
        <w:t>«Учитель-дефектолог России» и «Педагог-психолог России», Всероссийский конкурс, «Лучшая инклюзивная школа России», Всероссийский конкурс профессионального мастерства работников сферы дополнительного образования детей «Сердце отдаю детям!», Всероссийский съезд дефектологов, Всероссийский конкурс молодых исследователей в области коррекционной педагогики и специальной психологии, Всероссийский конкурс инклюзивных педагогических техноло</w:t>
      </w:r>
      <w:r w:rsidR="005440F3">
        <w:rPr>
          <w:rFonts w:ascii="Times New Roman" w:eastAsia="Times New Roman" w:hAnsi="Times New Roman" w:cs="Times New Roman"/>
          <w:sz w:val="28"/>
          <w:szCs w:val="28"/>
          <w:lang w:eastAsia="ru-RU"/>
        </w:rPr>
        <w:t xml:space="preserve">гий, Международная конференция </w:t>
      </w:r>
      <w:r w:rsidRPr="0079389A">
        <w:rPr>
          <w:rFonts w:ascii="Times New Roman" w:eastAsia="Times New Roman" w:hAnsi="Times New Roman" w:cs="Times New Roman"/>
          <w:sz w:val="28"/>
          <w:szCs w:val="28"/>
          <w:lang w:eastAsia="ru-RU"/>
        </w:rPr>
        <w:t>по инклюзивному образованию, конкурсные мероприятия, олимпиады, спортивные мероприятия для детей с инвалидностью, с ограниченными возможностями здоровья, научно-практические и иные конференции, посвященные вопросам образования и психолого-педагогичес</w:t>
      </w:r>
      <w:r w:rsidR="005440F3">
        <w:rPr>
          <w:rFonts w:ascii="Times New Roman" w:eastAsia="Times New Roman" w:hAnsi="Times New Roman" w:cs="Times New Roman"/>
          <w:sz w:val="28"/>
          <w:szCs w:val="28"/>
          <w:lang w:eastAsia="ru-RU"/>
        </w:rPr>
        <w:t xml:space="preserve">кого сопровождения обучающихся </w:t>
      </w:r>
      <w:r w:rsidRPr="0079389A">
        <w:rPr>
          <w:rFonts w:ascii="Times New Roman" w:eastAsia="Times New Roman" w:hAnsi="Times New Roman" w:cs="Times New Roman"/>
          <w:sz w:val="28"/>
          <w:szCs w:val="28"/>
          <w:lang w:eastAsia="ru-RU"/>
        </w:rPr>
        <w:t>с инвалидностью</w:t>
      </w:r>
      <w:r w:rsidR="005440F3">
        <w:rPr>
          <w:rFonts w:ascii="Times New Roman" w:eastAsia="Times New Roman" w:hAnsi="Times New Roman" w:cs="Times New Roman"/>
          <w:sz w:val="28"/>
          <w:szCs w:val="28"/>
          <w:lang w:eastAsia="ru-RU"/>
        </w:rPr>
        <w:t xml:space="preserve"> и </w:t>
      </w:r>
      <w:r w:rsidRPr="0079389A">
        <w:rPr>
          <w:rFonts w:ascii="Times New Roman" w:eastAsia="Times New Roman" w:hAnsi="Times New Roman" w:cs="Times New Roman"/>
          <w:sz w:val="28"/>
          <w:szCs w:val="28"/>
          <w:lang w:eastAsia="ru-RU"/>
        </w:rPr>
        <w:t xml:space="preserve">с </w:t>
      </w:r>
      <w:r w:rsidR="005440F3">
        <w:rPr>
          <w:rFonts w:ascii="Times New Roman" w:eastAsia="Times New Roman" w:hAnsi="Times New Roman" w:cs="Times New Roman"/>
          <w:sz w:val="28"/>
          <w:szCs w:val="28"/>
          <w:lang w:eastAsia="ru-RU"/>
        </w:rPr>
        <w:t>ОВЗ</w:t>
      </w:r>
      <w:r w:rsidRPr="0079389A">
        <w:rPr>
          <w:rFonts w:ascii="Times New Roman" w:eastAsia="Times New Roman" w:hAnsi="Times New Roman" w:cs="Times New Roman"/>
          <w:sz w:val="28"/>
          <w:szCs w:val="28"/>
          <w:lang w:eastAsia="ru-RU"/>
        </w:rPr>
        <w:t>.</w:t>
      </w:r>
    </w:p>
    <w:p w14:paraId="0FD934BF" w14:textId="77777777" w:rsidR="0079389A" w:rsidRDefault="0079389A" w:rsidP="00821FAE">
      <w:pPr>
        <w:widowControl w:val="0"/>
        <w:pBdr>
          <w:top w:val="single" w:sz="4" w:space="0" w:color="FFFFFF"/>
          <w:left w:val="single" w:sz="4" w:space="1" w:color="FFFFFF"/>
          <w:bottom w:val="single" w:sz="4" w:space="31" w:color="FFFFFF"/>
          <w:right w:val="single" w:sz="4" w:space="1" w:color="FFFFFF"/>
        </w:pBdr>
        <w:suppressAutoHyphens/>
        <w:spacing w:after="0" w:line="312" w:lineRule="auto"/>
        <w:ind w:firstLine="709"/>
        <w:jc w:val="both"/>
        <w:rPr>
          <w:rFonts w:ascii="Times New Roman" w:eastAsia="Times New Roman" w:hAnsi="Times New Roman" w:cs="Times New Roman"/>
          <w:sz w:val="28"/>
          <w:szCs w:val="28"/>
          <w:lang w:eastAsia="ru-RU"/>
        </w:rPr>
      </w:pPr>
      <w:r w:rsidRPr="0079389A">
        <w:rPr>
          <w:rFonts w:ascii="Times New Roman" w:eastAsia="Times New Roman" w:hAnsi="Times New Roman" w:cs="Times New Roman"/>
          <w:sz w:val="28"/>
          <w:szCs w:val="28"/>
          <w:lang w:eastAsia="ru-RU"/>
        </w:rPr>
        <w:t>Таким образом, в Российской</w:t>
      </w:r>
      <w:r w:rsidR="005440F3">
        <w:rPr>
          <w:rFonts w:ascii="Times New Roman" w:eastAsia="Times New Roman" w:hAnsi="Times New Roman" w:cs="Times New Roman"/>
          <w:sz w:val="28"/>
          <w:szCs w:val="28"/>
          <w:lang w:eastAsia="ru-RU"/>
        </w:rPr>
        <w:t xml:space="preserve"> Федерации продолжается работа </w:t>
      </w:r>
      <w:r w:rsidRPr="0079389A">
        <w:rPr>
          <w:rFonts w:ascii="Times New Roman" w:eastAsia="Times New Roman" w:hAnsi="Times New Roman" w:cs="Times New Roman"/>
          <w:sz w:val="28"/>
          <w:szCs w:val="28"/>
          <w:lang w:eastAsia="ru-RU"/>
        </w:rPr>
        <w:t>по развитию качественного дост</w:t>
      </w:r>
      <w:r w:rsidR="005440F3">
        <w:rPr>
          <w:rFonts w:ascii="Times New Roman" w:eastAsia="Times New Roman" w:hAnsi="Times New Roman" w:cs="Times New Roman"/>
          <w:sz w:val="28"/>
          <w:szCs w:val="28"/>
          <w:lang w:eastAsia="ru-RU"/>
        </w:rPr>
        <w:t xml:space="preserve">упного образования обучающихся </w:t>
      </w:r>
      <w:r w:rsidRPr="0079389A">
        <w:rPr>
          <w:rFonts w:ascii="Times New Roman" w:eastAsia="Times New Roman" w:hAnsi="Times New Roman" w:cs="Times New Roman"/>
          <w:sz w:val="28"/>
          <w:szCs w:val="28"/>
          <w:lang w:eastAsia="ru-RU"/>
        </w:rPr>
        <w:t xml:space="preserve">с </w:t>
      </w:r>
      <w:r w:rsidR="005440F3" w:rsidRPr="0079389A">
        <w:rPr>
          <w:rFonts w:ascii="Times New Roman" w:eastAsia="Times New Roman" w:hAnsi="Times New Roman" w:cs="Times New Roman"/>
          <w:sz w:val="28"/>
          <w:szCs w:val="28"/>
          <w:lang w:eastAsia="ru-RU"/>
        </w:rPr>
        <w:t xml:space="preserve">инвалидностью </w:t>
      </w:r>
      <w:r w:rsidRPr="0079389A">
        <w:rPr>
          <w:rFonts w:ascii="Times New Roman" w:eastAsia="Times New Roman" w:hAnsi="Times New Roman" w:cs="Times New Roman"/>
          <w:sz w:val="28"/>
          <w:szCs w:val="28"/>
          <w:lang w:eastAsia="ru-RU"/>
        </w:rPr>
        <w:t xml:space="preserve">и </w:t>
      </w:r>
      <w:r w:rsidR="005440F3">
        <w:rPr>
          <w:rFonts w:ascii="Times New Roman" w:eastAsia="Times New Roman" w:hAnsi="Times New Roman" w:cs="Times New Roman"/>
          <w:sz w:val="28"/>
          <w:szCs w:val="28"/>
          <w:lang w:eastAsia="ru-RU"/>
        </w:rPr>
        <w:t>ОВЗ</w:t>
      </w:r>
      <w:r w:rsidRPr="0079389A">
        <w:rPr>
          <w:rFonts w:ascii="Times New Roman" w:eastAsia="Times New Roman" w:hAnsi="Times New Roman" w:cs="Times New Roman"/>
          <w:sz w:val="28"/>
          <w:szCs w:val="28"/>
          <w:lang w:eastAsia="ru-RU"/>
        </w:rPr>
        <w:t>, учитывающего особые образовательные потребности указанных категорий обучающихся.</w:t>
      </w:r>
    </w:p>
    <w:p w14:paraId="1AC94F4B" w14:textId="77777777" w:rsidR="00D03A4F" w:rsidRDefault="00D03A4F" w:rsidP="002E52A2">
      <w:pPr>
        <w:spacing w:after="240" w:line="312"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Поддержка одаренных детей</w:t>
      </w:r>
    </w:p>
    <w:p w14:paraId="37F3A3CC" w14:textId="77777777" w:rsidR="00E94206" w:rsidRDefault="00E94206" w:rsidP="00E94206">
      <w:pPr>
        <w:widowControl w:val="0"/>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A87B5B">
        <w:rPr>
          <w:rFonts w:ascii="Times New Roman" w:eastAsia="Times New Roman" w:hAnsi="Times New Roman" w:cs="Times New Roman"/>
          <w:sz w:val="28"/>
          <w:szCs w:val="28"/>
          <w:lang w:eastAsia="ru-RU"/>
        </w:rPr>
        <w:t>Согласно Указу Президента Российской Федерации от 21 июля 2020 г. № 474 «О национальных целях развития Российской Федерации на период до 2030 года»</w:t>
      </w:r>
      <w:r w:rsidR="002173DF">
        <w:rPr>
          <w:rFonts w:ascii="Times New Roman" w:eastAsia="Times New Roman" w:hAnsi="Times New Roman" w:cs="Times New Roman"/>
          <w:sz w:val="28"/>
          <w:szCs w:val="28"/>
          <w:lang w:eastAsia="ru-RU"/>
        </w:rPr>
        <w:t>,</w:t>
      </w:r>
      <w:r w:rsidRPr="00A87B5B">
        <w:rPr>
          <w:rFonts w:ascii="Times New Roman" w:eastAsia="Times New Roman" w:hAnsi="Times New Roman" w:cs="Times New Roman"/>
          <w:sz w:val="28"/>
          <w:szCs w:val="28"/>
          <w:lang w:eastAsia="ru-RU"/>
        </w:rPr>
        <w:t xml:space="preserve"> достижение национальной цели «Возможности для самореализации и развития талантов» обеспечивается</w:t>
      </w:r>
      <w:r w:rsidR="00FF6BFB">
        <w:rPr>
          <w:rFonts w:ascii="Times New Roman" w:eastAsia="Times New Roman" w:hAnsi="Times New Roman" w:cs="Times New Roman"/>
          <w:sz w:val="28"/>
          <w:szCs w:val="28"/>
          <w:lang w:eastAsia="ru-RU"/>
        </w:rPr>
        <w:t>,</w:t>
      </w:r>
      <w:r w:rsidRPr="00A87B5B">
        <w:rPr>
          <w:rFonts w:ascii="Times New Roman" w:eastAsia="Times New Roman" w:hAnsi="Times New Roman" w:cs="Times New Roman"/>
          <w:sz w:val="28"/>
          <w:szCs w:val="28"/>
          <w:lang w:eastAsia="ru-RU"/>
        </w:rPr>
        <w:t xml:space="preserve"> в том числе за счет создания эффективной системы выявления, поддержки и развития способностей и талантов у детей и молодежи.</w:t>
      </w:r>
    </w:p>
    <w:p w14:paraId="18DFA1C1" w14:textId="77777777" w:rsidR="001F5148" w:rsidRDefault="001F5148" w:rsidP="001F5148">
      <w:pPr>
        <w:widowControl w:val="0"/>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A87B5B">
        <w:rPr>
          <w:rFonts w:ascii="Times New Roman" w:eastAsia="Times New Roman" w:hAnsi="Times New Roman" w:cs="Times New Roman"/>
          <w:sz w:val="28"/>
          <w:szCs w:val="28"/>
          <w:lang w:eastAsia="ru-RU"/>
        </w:rPr>
        <w:t xml:space="preserve">Минпросвещения России совместно с </w:t>
      </w:r>
      <w:bookmarkStart w:id="8" w:name="_Hlk106357087"/>
      <w:r>
        <w:rPr>
          <w:rFonts w:ascii="Times New Roman" w:eastAsia="Times New Roman" w:hAnsi="Times New Roman" w:cs="Times New Roman"/>
          <w:sz w:val="28"/>
          <w:szCs w:val="28"/>
          <w:lang w:eastAsia="ru-RU"/>
        </w:rPr>
        <w:t xml:space="preserve">Фондом «Талант </w:t>
      </w:r>
      <w:r w:rsidRPr="00A87B5B">
        <w:rPr>
          <w:rFonts w:ascii="Times New Roman" w:eastAsia="Times New Roman" w:hAnsi="Times New Roman" w:cs="Times New Roman"/>
          <w:sz w:val="28"/>
          <w:szCs w:val="28"/>
          <w:lang w:eastAsia="ru-RU"/>
        </w:rPr>
        <w:t>и успех»</w:t>
      </w:r>
      <w:bookmarkEnd w:id="8"/>
      <w:r w:rsidRPr="00A87B5B">
        <w:rPr>
          <w:rFonts w:ascii="Times New Roman" w:eastAsia="Times New Roman" w:hAnsi="Times New Roman" w:cs="Times New Roman"/>
          <w:sz w:val="28"/>
          <w:szCs w:val="28"/>
          <w:lang w:eastAsia="ru-RU"/>
        </w:rPr>
        <w:t xml:space="preserve"> и субъектами Российской Федерации ведется работа по развитию механизмов по выявлению и</w:t>
      </w:r>
      <w:r>
        <w:rPr>
          <w:rFonts w:ascii="Times New Roman" w:eastAsia="Times New Roman" w:hAnsi="Times New Roman" w:cs="Times New Roman"/>
          <w:sz w:val="28"/>
          <w:szCs w:val="28"/>
          <w:lang w:eastAsia="ru-RU"/>
        </w:rPr>
        <w:t xml:space="preserve"> сопровождению одаренных детей. </w:t>
      </w:r>
      <w:r w:rsidRPr="00A87B5B">
        <w:rPr>
          <w:rFonts w:ascii="Times New Roman" w:eastAsia="Times New Roman" w:hAnsi="Times New Roman" w:cs="Times New Roman"/>
          <w:sz w:val="28"/>
          <w:szCs w:val="28"/>
          <w:lang w:eastAsia="ru-RU"/>
        </w:rPr>
        <w:t>С 2021 г</w:t>
      </w:r>
      <w:r w:rsidR="00C66AD1">
        <w:rPr>
          <w:rFonts w:ascii="Times New Roman" w:eastAsia="Times New Roman" w:hAnsi="Times New Roman" w:cs="Times New Roman"/>
          <w:sz w:val="28"/>
          <w:szCs w:val="28"/>
          <w:lang w:eastAsia="ru-RU"/>
        </w:rPr>
        <w:t>.</w:t>
      </w:r>
      <w:r w:rsidRPr="00A87B5B">
        <w:rPr>
          <w:rFonts w:ascii="Times New Roman" w:eastAsia="Times New Roman" w:hAnsi="Times New Roman" w:cs="Times New Roman"/>
          <w:sz w:val="28"/>
          <w:szCs w:val="28"/>
          <w:lang w:eastAsia="ru-RU"/>
        </w:rPr>
        <w:t xml:space="preserve"> результаты в области выявления и сопровождения талантливых детей включены в число показателей, на основе которых оценивается деятельность глав субъектов Российской Федерации.</w:t>
      </w:r>
    </w:p>
    <w:p w14:paraId="564D1804" w14:textId="77777777" w:rsidR="004903A6" w:rsidRPr="00A87B5B" w:rsidRDefault="004903A6" w:rsidP="004903A6">
      <w:pPr>
        <w:widowControl w:val="0"/>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A87B5B">
        <w:rPr>
          <w:rFonts w:ascii="Times New Roman" w:eastAsia="Times New Roman" w:hAnsi="Times New Roman" w:cs="Times New Roman"/>
          <w:sz w:val="28"/>
          <w:szCs w:val="28"/>
          <w:lang w:eastAsia="ru-RU"/>
        </w:rPr>
        <w:t xml:space="preserve">В рамках федерального проекта «Успех каждого ребенка» национального проекта «Образование» создается сеть </w:t>
      </w:r>
      <w:bookmarkStart w:id="9" w:name="_Hlk106699541"/>
      <w:r w:rsidRPr="00A87B5B">
        <w:rPr>
          <w:rFonts w:ascii="Times New Roman" w:eastAsia="Times New Roman" w:hAnsi="Times New Roman" w:cs="Times New Roman"/>
          <w:sz w:val="28"/>
          <w:szCs w:val="28"/>
          <w:lang w:eastAsia="ru-RU"/>
        </w:rPr>
        <w:t>региональных центров выявления, поддержки и развития способностей и талантов у детей и молодежи</w:t>
      </w:r>
      <w:bookmarkEnd w:id="9"/>
      <w:r w:rsidRPr="00A87B5B">
        <w:rPr>
          <w:rFonts w:ascii="Times New Roman" w:eastAsia="Times New Roman" w:hAnsi="Times New Roman" w:cs="Times New Roman"/>
          <w:sz w:val="28"/>
          <w:szCs w:val="28"/>
          <w:lang w:eastAsia="ru-RU"/>
        </w:rPr>
        <w:t>, в том числе на базе ведущих образовательных организаций.</w:t>
      </w:r>
    </w:p>
    <w:p w14:paraId="669F466A" w14:textId="77777777" w:rsidR="00990D03" w:rsidRDefault="00990D03" w:rsidP="001F5148">
      <w:pPr>
        <w:widowControl w:val="0"/>
        <w:suppressAutoHyphens/>
        <w:spacing w:after="0" w:line="31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2021 г</w:t>
      </w:r>
      <w:r w:rsidR="00C66AD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 реализацию мероприятий, направленных на 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всех обучающихся, из федерального бюджета направлено 7 9</w:t>
      </w:r>
      <w:r w:rsidR="000F3F3C">
        <w:rPr>
          <w:rFonts w:ascii="Times New Roman" w:eastAsia="Times New Roman" w:hAnsi="Times New Roman" w:cs="Times New Roman"/>
          <w:sz w:val="28"/>
          <w:szCs w:val="28"/>
          <w:lang w:eastAsia="ru-RU"/>
        </w:rPr>
        <w:t>72</w:t>
      </w:r>
      <w:r>
        <w:rPr>
          <w:rFonts w:ascii="Times New Roman" w:eastAsia="Times New Roman" w:hAnsi="Times New Roman" w:cs="Times New Roman"/>
          <w:sz w:val="28"/>
          <w:szCs w:val="28"/>
          <w:lang w:eastAsia="ru-RU"/>
        </w:rPr>
        <w:t>,</w:t>
      </w:r>
      <w:r w:rsidR="000F3F3C">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млн рублей (2020 г. – </w:t>
      </w:r>
      <w:r w:rsidR="000F3F3C">
        <w:rPr>
          <w:rFonts w:ascii="Times New Roman" w:eastAsia="Times New Roman" w:hAnsi="Times New Roman" w:cs="Times New Roman"/>
          <w:sz w:val="28"/>
          <w:szCs w:val="28"/>
          <w:lang w:eastAsia="ru-RU"/>
        </w:rPr>
        <w:t>8 788,8</w:t>
      </w:r>
      <w:r>
        <w:rPr>
          <w:rFonts w:ascii="Times New Roman" w:eastAsia="Times New Roman" w:hAnsi="Times New Roman" w:cs="Times New Roman"/>
          <w:sz w:val="28"/>
          <w:szCs w:val="28"/>
          <w:lang w:eastAsia="ru-RU"/>
        </w:rPr>
        <w:t xml:space="preserve"> млн рублей; 2019 г. – 7 644,6 млн рублей), из них:</w:t>
      </w:r>
    </w:p>
    <w:p w14:paraId="075D3F1B" w14:textId="5788EDAB" w:rsidR="004903A6" w:rsidRDefault="009D1A16" w:rsidP="001F5148">
      <w:pPr>
        <w:widowControl w:val="0"/>
        <w:suppressAutoHyphens/>
        <w:spacing w:after="0" w:line="31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03A6">
        <w:rPr>
          <w:rFonts w:ascii="Times New Roman" w:eastAsia="Times New Roman" w:hAnsi="Times New Roman" w:cs="Times New Roman"/>
          <w:sz w:val="28"/>
          <w:szCs w:val="28"/>
          <w:lang w:eastAsia="ru-RU"/>
        </w:rPr>
        <w:t>3 267,6 млн рублей – на создание центров выявления и поддержки одаренных детей (2020 г. – 3 270,6 млн рублей; 2019 г. – 3 303,5 млн рублей);</w:t>
      </w:r>
    </w:p>
    <w:p w14:paraId="1F4AA62F" w14:textId="3B12AF95" w:rsidR="004903A6" w:rsidRDefault="004903A6" w:rsidP="001F5148">
      <w:pPr>
        <w:widowControl w:val="0"/>
        <w:suppressAutoHyphens/>
        <w:spacing w:after="0" w:line="31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2 116 млн рублей – на создание новых мест в образовательных организациях различных типов для реализации дополнительных общеразвивающих программ всех направленностей (2020 г. – 2 308,6 млн рублей; 2019 г. – 950 млн рублей);</w:t>
      </w:r>
    </w:p>
    <w:p w14:paraId="0DD61578" w14:textId="56E6C7A3" w:rsidR="00990D03" w:rsidRDefault="00990D03" w:rsidP="001F5148">
      <w:pPr>
        <w:widowControl w:val="0"/>
        <w:suppressAutoHyphens/>
        <w:spacing w:after="0" w:line="31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1 448,9 млн рублей – на создание в</w:t>
      </w:r>
      <w:r w:rsidR="00EC2FBF">
        <w:rPr>
          <w:rFonts w:ascii="Times New Roman" w:eastAsia="Times New Roman" w:hAnsi="Times New Roman" w:cs="Times New Roman"/>
          <w:sz w:val="28"/>
          <w:szCs w:val="28"/>
          <w:lang w:eastAsia="ru-RU"/>
        </w:rPr>
        <w:t xml:space="preserve"> общеобразовательных организациях, расположенных в сельской местности, условий для занятий физической культурой и спортом (2020 г. – 1 373,9 млн рублей; 2019 г. – 1 432,8 млн рублей);</w:t>
      </w:r>
    </w:p>
    <w:p w14:paraId="69025F81" w14:textId="6E859041" w:rsidR="004903A6" w:rsidRDefault="00EC2FBF" w:rsidP="004903A6">
      <w:pPr>
        <w:widowControl w:val="0"/>
        <w:suppressAutoHyphens/>
        <w:spacing w:after="0" w:line="31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953,4 млн рублей – на создание детских технопарков «</w:t>
      </w:r>
      <w:proofErr w:type="spellStart"/>
      <w:r>
        <w:rPr>
          <w:rFonts w:ascii="Times New Roman" w:eastAsia="Times New Roman" w:hAnsi="Times New Roman" w:cs="Times New Roman"/>
          <w:sz w:val="28"/>
          <w:szCs w:val="28"/>
          <w:lang w:eastAsia="ru-RU"/>
        </w:rPr>
        <w:t>Кванториум</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t>(2020 г. – 1 632,7 млн рублей;</w:t>
      </w:r>
      <w:r w:rsidR="004903A6">
        <w:rPr>
          <w:rFonts w:ascii="Times New Roman" w:eastAsia="Times New Roman" w:hAnsi="Times New Roman" w:cs="Times New Roman"/>
          <w:sz w:val="28"/>
          <w:szCs w:val="28"/>
          <w:lang w:eastAsia="ru-RU"/>
        </w:rPr>
        <w:t xml:space="preserve"> 2019 г. – 1 738,3 млн рублей);</w:t>
      </w:r>
    </w:p>
    <w:p w14:paraId="1B16B993" w14:textId="14FBF7DD" w:rsidR="004903A6" w:rsidRDefault="004903A6" w:rsidP="004903A6">
      <w:pPr>
        <w:widowControl w:val="0"/>
        <w:suppressAutoHyphens/>
        <w:spacing w:after="0" w:line="31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186,8 млн рублей – для формирования современных управленческих и организационно-экономических механизмов в системе дополнительного образования детей в субъектах Российской Федерации (2020 г. – 202</w:t>
      </w:r>
      <w:r w:rsidR="00636AC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8 млн рублей; 2019 г. – </w:t>
      </w:r>
      <w:r w:rsidR="00D50BC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220 млн рублей).</w:t>
      </w:r>
    </w:p>
    <w:p w14:paraId="51D9EA7C" w14:textId="538A6F79" w:rsidR="00E94206" w:rsidRPr="00A87B5B" w:rsidRDefault="00D6539B" w:rsidP="00E94206">
      <w:pPr>
        <w:widowControl w:val="0"/>
        <w:suppressAutoHyphens/>
        <w:spacing w:after="0" w:line="31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A87B5B">
        <w:rPr>
          <w:rFonts w:ascii="Times New Roman" w:eastAsia="Times New Roman" w:hAnsi="Times New Roman" w:cs="Times New Roman"/>
          <w:sz w:val="28"/>
          <w:szCs w:val="28"/>
          <w:lang w:eastAsia="ru-RU"/>
        </w:rPr>
        <w:t>лючевым звеном общенациональной системы выявления талантливых детей</w:t>
      </w:r>
      <w:r>
        <w:rPr>
          <w:rFonts w:ascii="Times New Roman" w:eastAsia="Times New Roman" w:hAnsi="Times New Roman" w:cs="Times New Roman"/>
          <w:sz w:val="28"/>
          <w:szCs w:val="28"/>
          <w:lang w:eastAsia="ru-RU"/>
        </w:rPr>
        <w:t>, служащий</w:t>
      </w:r>
      <w:r w:rsidRPr="00A87B5B">
        <w:rPr>
          <w:rFonts w:ascii="Times New Roman" w:eastAsia="Times New Roman" w:hAnsi="Times New Roman" w:cs="Times New Roman"/>
          <w:sz w:val="28"/>
          <w:szCs w:val="28"/>
          <w:lang w:eastAsia="ru-RU"/>
        </w:rPr>
        <w:t xml:space="preserve"> ориентиром для всех субъектов Российской Федерации, создающих региональны</w:t>
      </w:r>
      <w:r>
        <w:rPr>
          <w:rFonts w:ascii="Times New Roman" w:eastAsia="Times New Roman" w:hAnsi="Times New Roman" w:cs="Times New Roman"/>
          <w:sz w:val="28"/>
          <w:szCs w:val="28"/>
          <w:lang w:eastAsia="ru-RU"/>
        </w:rPr>
        <w:t>е</w:t>
      </w:r>
      <w:r w:rsidRPr="00A87B5B">
        <w:rPr>
          <w:rFonts w:ascii="Times New Roman" w:eastAsia="Times New Roman" w:hAnsi="Times New Roman" w:cs="Times New Roman"/>
          <w:sz w:val="28"/>
          <w:szCs w:val="28"/>
          <w:lang w:eastAsia="ru-RU"/>
        </w:rPr>
        <w:t xml:space="preserve"> центр</w:t>
      </w:r>
      <w:r>
        <w:rPr>
          <w:rFonts w:ascii="Times New Roman" w:eastAsia="Times New Roman" w:hAnsi="Times New Roman" w:cs="Times New Roman"/>
          <w:sz w:val="28"/>
          <w:szCs w:val="28"/>
          <w:lang w:eastAsia="ru-RU"/>
        </w:rPr>
        <w:t>ы</w:t>
      </w:r>
      <w:r w:rsidRPr="00A87B5B">
        <w:rPr>
          <w:rFonts w:ascii="Times New Roman" w:eastAsia="Times New Roman" w:hAnsi="Times New Roman" w:cs="Times New Roman"/>
          <w:sz w:val="28"/>
          <w:szCs w:val="28"/>
          <w:lang w:eastAsia="ru-RU"/>
        </w:rPr>
        <w:t xml:space="preserve"> выявления, поддержки и развития способностей </w:t>
      </w:r>
      <w:r>
        <w:rPr>
          <w:rFonts w:ascii="Times New Roman" w:eastAsia="Times New Roman" w:hAnsi="Times New Roman" w:cs="Times New Roman"/>
          <w:sz w:val="28"/>
          <w:szCs w:val="28"/>
          <w:lang w:eastAsia="ru-RU"/>
        </w:rPr>
        <w:t>и талантов у детей и молодежи, является</w:t>
      </w:r>
      <w:r w:rsidRPr="00A87B5B">
        <w:rPr>
          <w:rFonts w:ascii="Times New Roman" w:eastAsia="Times New Roman" w:hAnsi="Times New Roman" w:cs="Times New Roman"/>
          <w:sz w:val="28"/>
          <w:szCs w:val="28"/>
          <w:lang w:eastAsia="ru-RU"/>
        </w:rPr>
        <w:t xml:space="preserve"> </w:t>
      </w:r>
      <w:r w:rsidR="00E94206" w:rsidRPr="00A87B5B">
        <w:rPr>
          <w:rFonts w:ascii="Times New Roman" w:eastAsia="Times New Roman" w:hAnsi="Times New Roman" w:cs="Times New Roman"/>
          <w:sz w:val="28"/>
          <w:szCs w:val="28"/>
          <w:lang w:eastAsia="ru-RU"/>
        </w:rPr>
        <w:t>Образовательный Центр «Сириус»</w:t>
      </w:r>
      <w:r>
        <w:rPr>
          <w:rFonts w:ascii="Times New Roman" w:eastAsia="Times New Roman" w:hAnsi="Times New Roman" w:cs="Times New Roman"/>
          <w:sz w:val="28"/>
          <w:szCs w:val="28"/>
          <w:lang w:eastAsia="ru-RU"/>
        </w:rPr>
        <w:t xml:space="preserve">. </w:t>
      </w:r>
      <w:r w:rsidR="00E94206" w:rsidRPr="00A87B5B">
        <w:rPr>
          <w:rFonts w:ascii="Times New Roman" w:eastAsia="Times New Roman" w:hAnsi="Times New Roman" w:cs="Times New Roman"/>
          <w:sz w:val="28"/>
          <w:szCs w:val="28"/>
          <w:lang w:eastAsia="ru-RU"/>
        </w:rPr>
        <w:t>С 2019 г</w:t>
      </w:r>
      <w:r w:rsidR="00C66AD1">
        <w:rPr>
          <w:rFonts w:ascii="Times New Roman" w:eastAsia="Times New Roman" w:hAnsi="Times New Roman" w:cs="Times New Roman"/>
          <w:sz w:val="28"/>
          <w:szCs w:val="28"/>
          <w:lang w:eastAsia="ru-RU"/>
        </w:rPr>
        <w:t>.</w:t>
      </w:r>
      <w:r w:rsidR="00E94206" w:rsidRPr="00A87B5B">
        <w:rPr>
          <w:rFonts w:ascii="Times New Roman" w:eastAsia="Times New Roman" w:hAnsi="Times New Roman" w:cs="Times New Roman"/>
          <w:sz w:val="28"/>
          <w:szCs w:val="28"/>
          <w:lang w:eastAsia="ru-RU"/>
        </w:rPr>
        <w:t xml:space="preserve"> в Российской Федерации </w:t>
      </w:r>
      <w:r w:rsidR="001F5148">
        <w:rPr>
          <w:rFonts w:ascii="Times New Roman" w:eastAsia="Times New Roman" w:hAnsi="Times New Roman" w:cs="Times New Roman"/>
          <w:sz w:val="28"/>
          <w:szCs w:val="28"/>
          <w:lang w:eastAsia="ru-RU"/>
        </w:rPr>
        <w:t>работают 44 региональных центра</w:t>
      </w:r>
      <w:r w:rsidR="00E94206" w:rsidRPr="00A87B5B">
        <w:rPr>
          <w:rFonts w:ascii="Times New Roman" w:eastAsia="Times New Roman" w:hAnsi="Times New Roman" w:cs="Times New Roman"/>
          <w:sz w:val="28"/>
          <w:szCs w:val="28"/>
          <w:lang w:eastAsia="ru-RU"/>
        </w:rPr>
        <w:t xml:space="preserve"> выявления, поддержки и развития способностей </w:t>
      </w:r>
      <w:r w:rsidR="001F5148">
        <w:rPr>
          <w:rFonts w:ascii="Times New Roman" w:eastAsia="Times New Roman" w:hAnsi="Times New Roman" w:cs="Times New Roman"/>
          <w:sz w:val="28"/>
          <w:szCs w:val="28"/>
          <w:lang w:eastAsia="ru-RU"/>
        </w:rPr>
        <w:t xml:space="preserve">и талантов у детей и молодежи, </w:t>
      </w:r>
      <w:r w:rsidR="00E94206" w:rsidRPr="00A87B5B">
        <w:rPr>
          <w:rFonts w:ascii="Times New Roman" w:eastAsia="Times New Roman" w:hAnsi="Times New Roman" w:cs="Times New Roman"/>
          <w:sz w:val="28"/>
          <w:szCs w:val="28"/>
          <w:lang w:eastAsia="ru-RU"/>
        </w:rPr>
        <w:t xml:space="preserve">17 из которых созданы </w:t>
      </w:r>
      <w:r w:rsidR="00D50BC5">
        <w:rPr>
          <w:rFonts w:ascii="Times New Roman" w:eastAsia="Times New Roman" w:hAnsi="Times New Roman" w:cs="Times New Roman"/>
          <w:sz w:val="28"/>
          <w:szCs w:val="28"/>
          <w:lang w:eastAsia="ru-RU"/>
        </w:rPr>
        <w:br/>
      </w:r>
      <w:r w:rsidR="00E94206" w:rsidRPr="00A87B5B">
        <w:rPr>
          <w:rFonts w:ascii="Times New Roman" w:eastAsia="Times New Roman" w:hAnsi="Times New Roman" w:cs="Times New Roman"/>
          <w:sz w:val="28"/>
          <w:szCs w:val="28"/>
          <w:lang w:eastAsia="ru-RU"/>
        </w:rPr>
        <w:t>в 2021 г. Указанными центрами реализуются образовательные программы по напр</w:t>
      </w:r>
      <w:r w:rsidR="001F5148">
        <w:rPr>
          <w:rFonts w:ascii="Times New Roman" w:eastAsia="Times New Roman" w:hAnsi="Times New Roman" w:cs="Times New Roman"/>
          <w:sz w:val="28"/>
          <w:szCs w:val="28"/>
          <w:lang w:eastAsia="ru-RU"/>
        </w:rPr>
        <w:t xml:space="preserve">авлениям «Наука», «Искусство», </w:t>
      </w:r>
      <w:r w:rsidR="00E94206" w:rsidRPr="00A87B5B">
        <w:rPr>
          <w:rFonts w:ascii="Times New Roman" w:eastAsia="Times New Roman" w:hAnsi="Times New Roman" w:cs="Times New Roman"/>
          <w:sz w:val="28"/>
          <w:szCs w:val="28"/>
          <w:lang w:eastAsia="ru-RU"/>
        </w:rPr>
        <w:t>«Спорт», принять участие в которых могут все обучающиеся в возрасте 10-17 лет, прошедшие единый отбор.</w:t>
      </w:r>
    </w:p>
    <w:p w14:paraId="300565B9" w14:textId="6F5CD10D" w:rsidR="00E94206" w:rsidRPr="00A87B5B" w:rsidRDefault="00E94206" w:rsidP="00E94206">
      <w:pPr>
        <w:widowControl w:val="0"/>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A87B5B">
        <w:rPr>
          <w:rFonts w:ascii="Times New Roman" w:eastAsia="Times New Roman" w:hAnsi="Times New Roman" w:cs="Times New Roman"/>
          <w:sz w:val="28"/>
          <w:szCs w:val="28"/>
          <w:lang w:eastAsia="ru-RU"/>
        </w:rPr>
        <w:t>Также в целях совершенствования системы выявления одаренных детей</w:t>
      </w:r>
      <w:r w:rsidR="009D1A16">
        <w:rPr>
          <w:rFonts w:ascii="Times New Roman" w:eastAsia="Times New Roman" w:hAnsi="Times New Roman" w:cs="Times New Roman"/>
          <w:sz w:val="28"/>
          <w:szCs w:val="28"/>
          <w:lang w:eastAsia="ru-RU"/>
        </w:rPr>
        <w:t xml:space="preserve"> </w:t>
      </w:r>
      <w:r w:rsidRPr="00A87B5B">
        <w:rPr>
          <w:rFonts w:ascii="Times New Roman" w:eastAsia="Times New Roman" w:hAnsi="Times New Roman" w:cs="Times New Roman"/>
          <w:sz w:val="28"/>
          <w:szCs w:val="28"/>
          <w:lang w:eastAsia="ru-RU"/>
        </w:rPr>
        <w:t>развивается вовлечение обучающихся в оли</w:t>
      </w:r>
      <w:r w:rsidR="00DC54ED">
        <w:rPr>
          <w:rFonts w:ascii="Times New Roman" w:eastAsia="Times New Roman" w:hAnsi="Times New Roman" w:cs="Times New Roman"/>
          <w:sz w:val="28"/>
          <w:szCs w:val="28"/>
          <w:lang w:eastAsia="ru-RU"/>
        </w:rPr>
        <w:t xml:space="preserve">мпиады и иные интеллектуальные </w:t>
      </w:r>
      <w:r w:rsidRPr="00A87B5B">
        <w:rPr>
          <w:rFonts w:ascii="Times New Roman" w:eastAsia="Times New Roman" w:hAnsi="Times New Roman" w:cs="Times New Roman"/>
          <w:sz w:val="28"/>
          <w:szCs w:val="28"/>
          <w:lang w:eastAsia="ru-RU"/>
        </w:rPr>
        <w:t>и (или) творческие конкурсы, мероприятия, направленные на развитие интеллектуальных и творческих способн</w:t>
      </w:r>
      <w:r w:rsidR="00DC54ED">
        <w:rPr>
          <w:rFonts w:ascii="Times New Roman" w:eastAsia="Times New Roman" w:hAnsi="Times New Roman" w:cs="Times New Roman"/>
          <w:sz w:val="28"/>
          <w:szCs w:val="28"/>
          <w:lang w:eastAsia="ru-RU"/>
        </w:rPr>
        <w:t xml:space="preserve">остей, способностей к занятиям </w:t>
      </w:r>
      <w:r w:rsidRPr="00A87B5B">
        <w:rPr>
          <w:rFonts w:ascii="Times New Roman" w:eastAsia="Times New Roman" w:hAnsi="Times New Roman" w:cs="Times New Roman"/>
          <w:sz w:val="28"/>
          <w:szCs w:val="28"/>
          <w:lang w:eastAsia="ru-RU"/>
        </w:rPr>
        <w:t>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w:t>
      </w:r>
    </w:p>
    <w:p w14:paraId="5A1C3968" w14:textId="77777777" w:rsidR="00E94206" w:rsidRPr="00A87B5B" w:rsidRDefault="00E94206" w:rsidP="00E94206">
      <w:pPr>
        <w:widowControl w:val="0"/>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A87B5B">
        <w:rPr>
          <w:rFonts w:ascii="Times New Roman" w:eastAsia="Times New Roman" w:hAnsi="Times New Roman" w:cs="Times New Roman"/>
          <w:sz w:val="28"/>
          <w:szCs w:val="28"/>
          <w:lang w:eastAsia="ru-RU"/>
        </w:rPr>
        <w:t>Приказом Минпросвещения России от 31 мая 2022 г. № 382 на 2021/22 учебный год утвержден обновленный перечень олимпиад и иных интеллектуальных и (или) творческих конкурсов, мероприятий, направленных на развитие интеллектуальных и творческих способн</w:t>
      </w:r>
      <w:r w:rsidR="00192122">
        <w:rPr>
          <w:rFonts w:ascii="Times New Roman" w:eastAsia="Times New Roman" w:hAnsi="Times New Roman" w:cs="Times New Roman"/>
          <w:sz w:val="28"/>
          <w:szCs w:val="28"/>
          <w:lang w:eastAsia="ru-RU"/>
        </w:rPr>
        <w:t xml:space="preserve">остей, способностей к занятиям </w:t>
      </w:r>
      <w:r w:rsidRPr="00A87B5B">
        <w:rPr>
          <w:rFonts w:ascii="Times New Roman" w:eastAsia="Times New Roman" w:hAnsi="Times New Roman" w:cs="Times New Roman"/>
          <w:sz w:val="28"/>
          <w:szCs w:val="28"/>
          <w:lang w:eastAsia="ru-RU"/>
        </w:rPr>
        <w:t>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(далее – перечень мероприятий).</w:t>
      </w:r>
    </w:p>
    <w:p w14:paraId="07D32466" w14:textId="77777777" w:rsidR="00E94206" w:rsidRPr="00A87B5B" w:rsidRDefault="00E94206" w:rsidP="00E94206">
      <w:pPr>
        <w:widowControl w:val="0"/>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A87B5B">
        <w:rPr>
          <w:rFonts w:ascii="Times New Roman" w:eastAsia="Times New Roman" w:hAnsi="Times New Roman" w:cs="Times New Roman"/>
          <w:sz w:val="28"/>
          <w:szCs w:val="28"/>
          <w:lang w:eastAsia="ru-RU"/>
        </w:rPr>
        <w:t>Выявление талантов и способностей у детей осуществляется посредством проведения мероприятий в соответстви</w:t>
      </w:r>
      <w:r w:rsidR="004D4A2A">
        <w:rPr>
          <w:rFonts w:ascii="Times New Roman" w:eastAsia="Times New Roman" w:hAnsi="Times New Roman" w:cs="Times New Roman"/>
          <w:sz w:val="28"/>
          <w:szCs w:val="28"/>
          <w:lang w:eastAsia="ru-RU"/>
        </w:rPr>
        <w:t xml:space="preserve">и с Правилами выявления детей, </w:t>
      </w:r>
      <w:r w:rsidRPr="00A87B5B">
        <w:rPr>
          <w:rFonts w:ascii="Times New Roman" w:eastAsia="Times New Roman" w:hAnsi="Times New Roman" w:cs="Times New Roman"/>
          <w:sz w:val="28"/>
          <w:szCs w:val="28"/>
          <w:lang w:eastAsia="ru-RU"/>
        </w:rPr>
        <w:t xml:space="preserve">проявивших выдающиеся способности </w:t>
      </w:r>
      <w:r w:rsidR="004D4A2A">
        <w:rPr>
          <w:rFonts w:ascii="Times New Roman" w:eastAsia="Times New Roman" w:hAnsi="Times New Roman" w:cs="Times New Roman"/>
          <w:sz w:val="28"/>
          <w:szCs w:val="28"/>
          <w:lang w:eastAsia="ru-RU"/>
        </w:rPr>
        <w:t xml:space="preserve">и сопровождения их дальнейшего </w:t>
      </w:r>
      <w:r w:rsidRPr="00A87B5B">
        <w:rPr>
          <w:rFonts w:ascii="Times New Roman" w:eastAsia="Times New Roman" w:hAnsi="Times New Roman" w:cs="Times New Roman"/>
          <w:sz w:val="28"/>
          <w:szCs w:val="28"/>
          <w:lang w:eastAsia="ru-RU"/>
        </w:rPr>
        <w:t>развития, утвержденными постановлением Прав</w:t>
      </w:r>
      <w:r w:rsidR="004D4A2A">
        <w:rPr>
          <w:rFonts w:ascii="Times New Roman" w:eastAsia="Times New Roman" w:hAnsi="Times New Roman" w:cs="Times New Roman"/>
          <w:sz w:val="28"/>
          <w:szCs w:val="28"/>
          <w:lang w:eastAsia="ru-RU"/>
        </w:rPr>
        <w:t xml:space="preserve">ительства Российской Федерации </w:t>
      </w:r>
      <w:r w:rsidR="004D4A2A">
        <w:rPr>
          <w:rFonts w:ascii="Times New Roman" w:eastAsia="Times New Roman" w:hAnsi="Times New Roman" w:cs="Times New Roman"/>
          <w:sz w:val="28"/>
          <w:szCs w:val="28"/>
          <w:lang w:eastAsia="ru-RU"/>
        </w:rPr>
        <w:br/>
      </w:r>
      <w:r w:rsidRPr="00A87B5B">
        <w:rPr>
          <w:rFonts w:ascii="Times New Roman" w:eastAsia="Times New Roman" w:hAnsi="Times New Roman" w:cs="Times New Roman"/>
          <w:sz w:val="28"/>
          <w:szCs w:val="28"/>
          <w:lang w:eastAsia="ru-RU"/>
        </w:rPr>
        <w:t>от 17 ноября 2015 г. № 1239.</w:t>
      </w:r>
    </w:p>
    <w:p w14:paraId="4A2819D2" w14:textId="77777777" w:rsidR="00E94206" w:rsidRPr="00A87B5B" w:rsidRDefault="00E94206" w:rsidP="00E94206">
      <w:pPr>
        <w:widowControl w:val="0"/>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A87B5B">
        <w:rPr>
          <w:rFonts w:ascii="Times New Roman" w:eastAsia="Times New Roman" w:hAnsi="Times New Roman" w:cs="Times New Roman"/>
          <w:sz w:val="28"/>
          <w:szCs w:val="28"/>
          <w:lang w:eastAsia="ru-RU"/>
        </w:rPr>
        <w:t xml:space="preserve">Для совершенствования порядка формирования перечня мероприятий, который ежегодно утверждается Минпросвещения России, издано постановление Правительства Российской Федерации </w:t>
      </w:r>
      <w:r w:rsidR="008260EF">
        <w:rPr>
          <w:rFonts w:ascii="Times New Roman" w:eastAsia="Times New Roman" w:hAnsi="Times New Roman" w:cs="Times New Roman"/>
          <w:sz w:val="28"/>
          <w:szCs w:val="28"/>
          <w:lang w:eastAsia="ru-RU"/>
        </w:rPr>
        <w:t xml:space="preserve">от </w:t>
      </w:r>
      <w:r w:rsidR="008260EF" w:rsidRPr="00A87B5B">
        <w:rPr>
          <w:rFonts w:ascii="Times New Roman" w:eastAsia="Times New Roman" w:hAnsi="Times New Roman" w:cs="Times New Roman"/>
          <w:sz w:val="28"/>
          <w:szCs w:val="28"/>
          <w:lang w:eastAsia="ru-RU"/>
        </w:rPr>
        <w:t>18 сентября 2021 г.</w:t>
      </w:r>
      <w:r w:rsidR="008260EF">
        <w:rPr>
          <w:rFonts w:ascii="Times New Roman" w:eastAsia="Times New Roman" w:hAnsi="Times New Roman" w:cs="Times New Roman"/>
          <w:sz w:val="28"/>
          <w:szCs w:val="28"/>
          <w:lang w:eastAsia="ru-RU"/>
        </w:rPr>
        <w:t xml:space="preserve"> </w:t>
      </w:r>
      <w:r w:rsidRPr="00A87B5B">
        <w:rPr>
          <w:rFonts w:ascii="Times New Roman" w:eastAsia="Times New Roman" w:hAnsi="Times New Roman" w:cs="Times New Roman"/>
          <w:sz w:val="28"/>
          <w:szCs w:val="28"/>
          <w:lang w:eastAsia="ru-RU"/>
        </w:rPr>
        <w:t>№ 1573 «О внесении изменений в Правила выявления детей, прояв</w:t>
      </w:r>
      <w:r w:rsidR="008260EF">
        <w:rPr>
          <w:rFonts w:ascii="Times New Roman" w:eastAsia="Times New Roman" w:hAnsi="Times New Roman" w:cs="Times New Roman"/>
          <w:sz w:val="28"/>
          <w:szCs w:val="28"/>
          <w:lang w:eastAsia="ru-RU"/>
        </w:rPr>
        <w:t xml:space="preserve">ивших выдающиеся способности, </w:t>
      </w:r>
      <w:r w:rsidRPr="00A87B5B">
        <w:rPr>
          <w:rFonts w:ascii="Times New Roman" w:eastAsia="Times New Roman" w:hAnsi="Times New Roman" w:cs="Times New Roman"/>
          <w:sz w:val="28"/>
          <w:szCs w:val="28"/>
          <w:lang w:eastAsia="ru-RU"/>
        </w:rPr>
        <w:t>и сопровождения их дальнейшего развития». Указанным постановлением введена двухэтапная экспертиза мероприятий, а также уточнены понятия «содержательная экспертиза» и «уровень мероприятия». На основании усовершенствованных Правил совместным приказом Минпросвещен</w:t>
      </w:r>
      <w:r w:rsidR="008260EF">
        <w:rPr>
          <w:rFonts w:ascii="Times New Roman" w:eastAsia="Times New Roman" w:hAnsi="Times New Roman" w:cs="Times New Roman"/>
          <w:sz w:val="28"/>
          <w:szCs w:val="28"/>
          <w:lang w:eastAsia="ru-RU"/>
        </w:rPr>
        <w:t xml:space="preserve">ия России и Минобрнауки России </w:t>
      </w:r>
      <w:r w:rsidR="008260EF">
        <w:rPr>
          <w:rFonts w:ascii="Times New Roman" w:eastAsia="Times New Roman" w:hAnsi="Times New Roman" w:cs="Times New Roman"/>
          <w:sz w:val="28"/>
          <w:szCs w:val="28"/>
          <w:lang w:eastAsia="ru-RU"/>
        </w:rPr>
        <w:br/>
      </w:r>
      <w:r w:rsidRPr="00A87B5B">
        <w:rPr>
          <w:rFonts w:ascii="Times New Roman" w:eastAsia="Times New Roman" w:hAnsi="Times New Roman" w:cs="Times New Roman"/>
          <w:sz w:val="28"/>
          <w:szCs w:val="28"/>
          <w:lang w:eastAsia="ru-RU"/>
        </w:rPr>
        <w:t>от 10 ноября 2021 г. № 814/1008 утвержден новый Порядок проведения экспертизы мероприятий по согласованию с Фондом «Талант и успех».</w:t>
      </w:r>
    </w:p>
    <w:p w14:paraId="7F73730A" w14:textId="77777777" w:rsidR="00E94206" w:rsidRPr="00A87B5B" w:rsidRDefault="00E94206" w:rsidP="008260EF">
      <w:pPr>
        <w:widowControl w:val="0"/>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A87B5B">
        <w:rPr>
          <w:rFonts w:ascii="Times New Roman" w:eastAsia="Times New Roman" w:hAnsi="Times New Roman" w:cs="Times New Roman"/>
          <w:sz w:val="28"/>
          <w:szCs w:val="28"/>
          <w:lang w:eastAsia="ru-RU"/>
        </w:rPr>
        <w:t xml:space="preserve">Таким образом, с 2021/22 учебного года </w:t>
      </w:r>
      <w:r w:rsidR="008260EF">
        <w:rPr>
          <w:rFonts w:ascii="Times New Roman" w:eastAsia="Times New Roman" w:hAnsi="Times New Roman" w:cs="Times New Roman"/>
          <w:sz w:val="28"/>
          <w:szCs w:val="28"/>
          <w:lang w:eastAsia="ru-RU"/>
        </w:rPr>
        <w:t xml:space="preserve">все мероприятия, включенные </w:t>
      </w:r>
      <w:r w:rsidRPr="00A87B5B">
        <w:rPr>
          <w:rFonts w:ascii="Times New Roman" w:eastAsia="Times New Roman" w:hAnsi="Times New Roman" w:cs="Times New Roman"/>
          <w:sz w:val="28"/>
          <w:szCs w:val="28"/>
          <w:lang w:eastAsia="ru-RU"/>
        </w:rPr>
        <w:t>в перечень мероприятий, будут ранжироваться по соде</w:t>
      </w:r>
      <w:r w:rsidR="008260EF">
        <w:rPr>
          <w:rFonts w:ascii="Times New Roman" w:eastAsia="Times New Roman" w:hAnsi="Times New Roman" w:cs="Times New Roman"/>
          <w:sz w:val="28"/>
          <w:szCs w:val="28"/>
          <w:lang w:eastAsia="ru-RU"/>
        </w:rPr>
        <w:t xml:space="preserve">ржательным уровням мероприятий. </w:t>
      </w:r>
      <w:r w:rsidRPr="00A87B5B">
        <w:rPr>
          <w:rFonts w:ascii="Times New Roman" w:eastAsia="Times New Roman" w:hAnsi="Times New Roman" w:cs="Times New Roman"/>
          <w:sz w:val="28"/>
          <w:szCs w:val="28"/>
          <w:lang w:eastAsia="ru-RU"/>
        </w:rPr>
        <w:t>Ежегодно количество перечневых мероприятий увеличивается. Так, перечень мероприятий на 2014/15 и 2015/16 учебны</w:t>
      </w:r>
      <w:r w:rsidR="008260EF">
        <w:rPr>
          <w:rFonts w:ascii="Times New Roman" w:eastAsia="Times New Roman" w:hAnsi="Times New Roman" w:cs="Times New Roman"/>
          <w:sz w:val="28"/>
          <w:szCs w:val="28"/>
          <w:lang w:eastAsia="ru-RU"/>
        </w:rPr>
        <w:t xml:space="preserve">е годы включал 34 мероприятия, </w:t>
      </w:r>
      <w:r w:rsidRPr="00A87B5B">
        <w:rPr>
          <w:rFonts w:ascii="Times New Roman" w:eastAsia="Times New Roman" w:hAnsi="Times New Roman" w:cs="Times New Roman"/>
          <w:sz w:val="28"/>
          <w:szCs w:val="28"/>
          <w:lang w:eastAsia="ru-RU"/>
        </w:rPr>
        <w:t>на 2017/18 учебный год – 200 меропри</w:t>
      </w:r>
      <w:r w:rsidR="008260EF">
        <w:rPr>
          <w:rFonts w:ascii="Times New Roman" w:eastAsia="Times New Roman" w:hAnsi="Times New Roman" w:cs="Times New Roman"/>
          <w:sz w:val="28"/>
          <w:szCs w:val="28"/>
          <w:lang w:eastAsia="ru-RU"/>
        </w:rPr>
        <w:t xml:space="preserve">ятий, на 2018/19 учебный год – </w:t>
      </w:r>
      <w:r w:rsidRPr="00A87B5B">
        <w:rPr>
          <w:rFonts w:ascii="Times New Roman" w:eastAsia="Times New Roman" w:hAnsi="Times New Roman" w:cs="Times New Roman"/>
          <w:sz w:val="28"/>
          <w:szCs w:val="28"/>
          <w:lang w:eastAsia="ru-RU"/>
        </w:rPr>
        <w:t>287 мероприятий, на 2019/20 учебный год – 267 мероприятий, на 2020/21 учебный год – 827 мероприятий, а на 2021/22 – уже 854 мероприятия.</w:t>
      </w:r>
    </w:p>
    <w:p w14:paraId="0B113A1A" w14:textId="77777777" w:rsidR="00E94206" w:rsidRPr="00A87B5B" w:rsidRDefault="00E94206" w:rsidP="00E94206">
      <w:pPr>
        <w:widowControl w:val="0"/>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A87B5B">
        <w:rPr>
          <w:rFonts w:ascii="Times New Roman" w:eastAsia="Times New Roman" w:hAnsi="Times New Roman" w:cs="Times New Roman"/>
          <w:sz w:val="28"/>
          <w:szCs w:val="28"/>
          <w:lang w:eastAsia="ru-RU"/>
        </w:rPr>
        <w:t>Данные о победителях и призерах перечневых мероприят</w:t>
      </w:r>
      <w:r w:rsidR="008260EF">
        <w:rPr>
          <w:rFonts w:ascii="Times New Roman" w:eastAsia="Times New Roman" w:hAnsi="Times New Roman" w:cs="Times New Roman"/>
          <w:sz w:val="28"/>
          <w:szCs w:val="28"/>
          <w:lang w:eastAsia="ru-RU"/>
        </w:rPr>
        <w:t xml:space="preserve">ий содержатся </w:t>
      </w:r>
      <w:r w:rsidRPr="00A87B5B">
        <w:rPr>
          <w:rFonts w:ascii="Times New Roman" w:eastAsia="Times New Roman" w:hAnsi="Times New Roman" w:cs="Times New Roman"/>
          <w:sz w:val="28"/>
          <w:szCs w:val="28"/>
          <w:lang w:eastAsia="ru-RU"/>
        </w:rPr>
        <w:t>в государственном информационном ресурсе о лицах, проявивших выдающиеся способности. По состоянию на конец 2021 г</w:t>
      </w:r>
      <w:r w:rsidR="00C66AD1">
        <w:rPr>
          <w:rFonts w:ascii="Times New Roman" w:eastAsia="Times New Roman" w:hAnsi="Times New Roman" w:cs="Times New Roman"/>
          <w:sz w:val="28"/>
          <w:szCs w:val="28"/>
          <w:lang w:eastAsia="ru-RU"/>
        </w:rPr>
        <w:t>.</w:t>
      </w:r>
      <w:r w:rsidRPr="00A87B5B">
        <w:rPr>
          <w:rFonts w:ascii="Times New Roman" w:eastAsia="Times New Roman" w:hAnsi="Times New Roman" w:cs="Times New Roman"/>
          <w:sz w:val="28"/>
          <w:szCs w:val="28"/>
          <w:lang w:eastAsia="ru-RU"/>
        </w:rPr>
        <w:t xml:space="preserve"> в государственном информационном ресурсе о лицах, проявивших выдающиеся спо</w:t>
      </w:r>
      <w:r w:rsidR="008260EF">
        <w:rPr>
          <w:rFonts w:ascii="Times New Roman" w:eastAsia="Times New Roman" w:hAnsi="Times New Roman" w:cs="Times New Roman"/>
          <w:sz w:val="28"/>
          <w:szCs w:val="28"/>
          <w:lang w:eastAsia="ru-RU"/>
        </w:rPr>
        <w:t xml:space="preserve">собности, содержались сведения </w:t>
      </w:r>
      <w:r w:rsidRPr="00A87B5B">
        <w:rPr>
          <w:rFonts w:ascii="Times New Roman" w:eastAsia="Times New Roman" w:hAnsi="Times New Roman" w:cs="Times New Roman"/>
          <w:sz w:val="28"/>
          <w:szCs w:val="28"/>
          <w:lang w:eastAsia="ru-RU"/>
        </w:rPr>
        <w:t>о 510 744 достижениях, принадлежащих 278 329 победителям и призерам мероприятий. Включение в государственный информационный ресурс о лицах, проявивших выдающиеся способности, позв</w:t>
      </w:r>
      <w:r w:rsidR="008260EF">
        <w:rPr>
          <w:rFonts w:ascii="Times New Roman" w:eastAsia="Times New Roman" w:hAnsi="Times New Roman" w:cs="Times New Roman"/>
          <w:sz w:val="28"/>
          <w:szCs w:val="28"/>
          <w:lang w:eastAsia="ru-RU"/>
        </w:rPr>
        <w:t xml:space="preserve">оляет обучающимся претендовать </w:t>
      </w:r>
      <w:r w:rsidRPr="00A87B5B">
        <w:rPr>
          <w:rFonts w:ascii="Times New Roman" w:eastAsia="Times New Roman" w:hAnsi="Times New Roman" w:cs="Times New Roman"/>
          <w:sz w:val="28"/>
          <w:szCs w:val="28"/>
          <w:lang w:eastAsia="ru-RU"/>
        </w:rPr>
        <w:t>на получение государственной поддержки в различных формах, а т</w:t>
      </w:r>
      <w:r w:rsidR="008260EF">
        <w:rPr>
          <w:rFonts w:ascii="Times New Roman" w:eastAsia="Times New Roman" w:hAnsi="Times New Roman" w:cs="Times New Roman"/>
          <w:sz w:val="28"/>
          <w:szCs w:val="28"/>
          <w:lang w:eastAsia="ru-RU"/>
        </w:rPr>
        <w:t xml:space="preserve">акже </w:t>
      </w:r>
      <w:r w:rsidRPr="00A87B5B">
        <w:rPr>
          <w:rFonts w:ascii="Times New Roman" w:eastAsia="Times New Roman" w:hAnsi="Times New Roman" w:cs="Times New Roman"/>
          <w:sz w:val="28"/>
          <w:szCs w:val="28"/>
          <w:lang w:eastAsia="ru-RU"/>
        </w:rPr>
        <w:t>на начисление баллов за участие и (или) результаты участия в мероприятиях, включенных в перечень мероприяти</w:t>
      </w:r>
      <w:r w:rsidR="008260EF">
        <w:rPr>
          <w:rFonts w:ascii="Times New Roman" w:eastAsia="Times New Roman" w:hAnsi="Times New Roman" w:cs="Times New Roman"/>
          <w:sz w:val="28"/>
          <w:szCs w:val="28"/>
          <w:lang w:eastAsia="ru-RU"/>
        </w:rPr>
        <w:t xml:space="preserve">й, при поступлении на обучение </w:t>
      </w:r>
      <w:r w:rsidRPr="00A87B5B">
        <w:rPr>
          <w:rFonts w:ascii="Times New Roman" w:eastAsia="Times New Roman" w:hAnsi="Times New Roman" w:cs="Times New Roman"/>
          <w:sz w:val="28"/>
          <w:szCs w:val="28"/>
          <w:lang w:eastAsia="ru-RU"/>
        </w:rPr>
        <w:t>по образовательным программам высшего образования – программам бакалавриата, программам специалитета, программам магистратуры.</w:t>
      </w:r>
    </w:p>
    <w:p w14:paraId="2EEEA77A" w14:textId="77777777" w:rsidR="008260EF" w:rsidRDefault="008260EF" w:rsidP="008260EF">
      <w:pPr>
        <w:widowControl w:val="0"/>
        <w:suppressAutoHyphens/>
        <w:spacing w:after="0" w:line="31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2021 г</w:t>
      </w:r>
      <w:r w:rsidR="00C66AD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продолжено предоставление субсидии Фонду «Талант и успех», являющемуся оператором по предоставлению грантов Президента Российской Федерации лицам, проявившим выдающиеся способности и показавшим высокие достижения в определенной сфере деятельности, в том числе в области искусств и спорта, поступившим на обучение в профессиональные образовательные организации, образовательные организации высшего образования, научные организации по очной, очно-заочной и заочной формам обучения по программам подготовки специалистов среднего звена, программам бакалавриата, специалитета и магистратуры за счет бюджетных ассигнований федерального бюджета, бюджетов субъектов Российской Федерации и местных бюджетов. Объем бюджетных ассигнований, предоставленных из федерального бюджета бюджету Фонда «Талант и успех» на указанные цели, составил 1 400,3 млн рублей (2020 г. – 1 195,4 млн рублей; 2019 г. – 786,1 млн рублей).</w:t>
      </w:r>
    </w:p>
    <w:p w14:paraId="149BB75C" w14:textId="77777777" w:rsidR="008260EF" w:rsidRDefault="008260EF" w:rsidP="008260EF">
      <w:pPr>
        <w:widowControl w:val="0"/>
        <w:suppressAutoHyphens/>
        <w:spacing w:after="0" w:line="31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Фондом «Талант и успех» осуществляется выплата премий Президента Российской Федерации победителям международных олимпиад по общеобразовательным предметам – членам сборных команд Российской Федерации, сформированных в соответствии с пунктом 1 части 4 статьи 71 Федерального закона от 29 декабря 2012 г. № 273-ФЗ, и тренерам, осуществляющим их подготовку. На эти цели бюджету Фонда «Таланит и успех» из федерального бюджета было предоставлено 47 млн рублей (2020 г. – 57,8 млн рублей; 2019 г. – 59,6 млн рублей).</w:t>
      </w:r>
    </w:p>
    <w:p w14:paraId="34D5F534" w14:textId="77777777" w:rsidR="004173CB" w:rsidRDefault="004173CB" w:rsidP="004173CB">
      <w:pPr>
        <w:widowControl w:val="0"/>
        <w:suppressAutoHyphens/>
        <w:spacing w:after="0" w:line="31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C66AD1">
        <w:rPr>
          <w:rFonts w:ascii="Times New Roman" w:eastAsia="Times New Roman" w:hAnsi="Times New Roman" w:cs="Times New Roman"/>
          <w:sz w:val="28"/>
          <w:szCs w:val="28"/>
          <w:lang w:eastAsia="ru-RU"/>
        </w:rPr>
        <w:t>2019-2021</w:t>
      </w:r>
      <w:r>
        <w:rPr>
          <w:rFonts w:ascii="Times New Roman" w:eastAsia="Times New Roman" w:hAnsi="Times New Roman" w:cs="Times New Roman"/>
          <w:sz w:val="28"/>
          <w:szCs w:val="28"/>
          <w:lang w:eastAsia="ru-RU"/>
        </w:rPr>
        <w:t xml:space="preserve"> г</w:t>
      </w:r>
      <w:r w:rsidR="00C66AD1">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по всей России были проведены масштабные мероприятия для молодежи в рамках работы форумов: Всероссийского молодежного образовательного форму «Территория смыслов» (г. Солнечногорск Московской области), Всероссийский молодежный образовательный форум «Таврида» (Республика Крым), Всероссийский молодежный образовательный Дальневосточный форум «Восток» (г. Владивосток Приморского края), Международный молодежный образовательный форум «Евразия» (Оренбургская область), Северо-Кавказский молодежный форум «Машук» (Ставропольский край), Форум молодежи коренных малочисленных народов Севера, Сибири и Дальнего Востока Российской Федерации «Российский Север» и другие.</w:t>
      </w:r>
    </w:p>
    <w:p w14:paraId="0F2C88E3" w14:textId="77777777" w:rsidR="004173CB" w:rsidRDefault="004173CB" w:rsidP="004173CB">
      <w:pPr>
        <w:widowControl w:val="0"/>
        <w:suppressAutoHyphens/>
        <w:spacing w:after="0" w:line="31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Целью форумов является создание условий для самореализации молодых людей и формирование молодежных профессиональных сообществ. В вышеуказанных форумах приняли участие талантливые молодые люди из почти всех субъектов Российской Федерации, а также иностранных государств. В рамках форумов прошли тематические смены, целью которых являлось формирование у молодого поколения привычек и навыков, способствующих ведению здорового образа жизни, эффективной физической активности.</w:t>
      </w:r>
    </w:p>
    <w:p w14:paraId="3A8C1A66" w14:textId="77777777" w:rsidR="004173CB" w:rsidRPr="00A87B5B" w:rsidRDefault="004173CB" w:rsidP="004173CB">
      <w:pPr>
        <w:widowControl w:val="0"/>
        <w:suppressAutoHyphens/>
        <w:spacing w:after="0" w:line="31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проведение мероприятий для молодежи в 2021 г</w:t>
      </w:r>
      <w:r w:rsidR="00C66AD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было направлено </w:t>
      </w:r>
      <w:r w:rsidR="00C66AD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1 447,6 млн рублей (2020 г. – 1 393 млн рублей; 2019 г. – 1 281,3 млн рублей).</w:t>
      </w:r>
    </w:p>
    <w:p w14:paraId="2BDD7BCB" w14:textId="77777777" w:rsidR="00E94206" w:rsidRPr="00A87B5B" w:rsidRDefault="00E94206" w:rsidP="00E94206">
      <w:pPr>
        <w:widowControl w:val="0"/>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A87B5B">
        <w:rPr>
          <w:rFonts w:ascii="Times New Roman" w:eastAsia="Times New Roman" w:hAnsi="Times New Roman" w:cs="Times New Roman"/>
          <w:sz w:val="28"/>
          <w:szCs w:val="28"/>
          <w:lang w:eastAsia="ru-RU"/>
        </w:rPr>
        <w:t>Важным механизмом выявле</w:t>
      </w:r>
      <w:r w:rsidR="008260EF">
        <w:rPr>
          <w:rFonts w:ascii="Times New Roman" w:eastAsia="Times New Roman" w:hAnsi="Times New Roman" w:cs="Times New Roman"/>
          <w:sz w:val="28"/>
          <w:szCs w:val="28"/>
          <w:lang w:eastAsia="ru-RU"/>
        </w:rPr>
        <w:t xml:space="preserve">ния одаренных детей и молодежи </w:t>
      </w:r>
      <w:r w:rsidRPr="00A87B5B">
        <w:rPr>
          <w:rFonts w:ascii="Times New Roman" w:eastAsia="Times New Roman" w:hAnsi="Times New Roman" w:cs="Times New Roman"/>
          <w:sz w:val="28"/>
          <w:szCs w:val="28"/>
          <w:lang w:eastAsia="ru-RU"/>
        </w:rPr>
        <w:t xml:space="preserve">является всероссийская олимпиада </w:t>
      </w:r>
      <w:r w:rsidR="008260EF">
        <w:rPr>
          <w:rFonts w:ascii="Times New Roman" w:eastAsia="Times New Roman" w:hAnsi="Times New Roman" w:cs="Times New Roman"/>
          <w:sz w:val="28"/>
          <w:szCs w:val="28"/>
          <w:lang w:eastAsia="ru-RU"/>
        </w:rPr>
        <w:t xml:space="preserve">школьников, проводимая </w:t>
      </w:r>
      <w:r w:rsidRPr="00A87B5B">
        <w:rPr>
          <w:rFonts w:ascii="Times New Roman" w:eastAsia="Times New Roman" w:hAnsi="Times New Roman" w:cs="Times New Roman"/>
          <w:sz w:val="28"/>
          <w:szCs w:val="28"/>
          <w:lang w:eastAsia="ru-RU"/>
        </w:rPr>
        <w:t xml:space="preserve">по 24 общеобразовательным предметам во всех субъектах Российской Федерации, участие в которой </w:t>
      </w:r>
      <w:r w:rsidR="008260EF" w:rsidRPr="00A87B5B">
        <w:rPr>
          <w:rFonts w:ascii="Times New Roman" w:eastAsia="Times New Roman" w:hAnsi="Times New Roman" w:cs="Times New Roman"/>
          <w:sz w:val="28"/>
          <w:szCs w:val="28"/>
          <w:lang w:eastAsia="ru-RU"/>
        </w:rPr>
        <w:t xml:space="preserve">ежегодно </w:t>
      </w:r>
      <w:r w:rsidRPr="00A87B5B">
        <w:rPr>
          <w:rFonts w:ascii="Times New Roman" w:eastAsia="Times New Roman" w:hAnsi="Times New Roman" w:cs="Times New Roman"/>
          <w:sz w:val="28"/>
          <w:szCs w:val="28"/>
          <w:lang w:eastAsia="ru-RU"/>
        </w:rPr>
        <w:t xml:space="preserve">принимает более 7 млн учащихся. </w:t>
      </w:r>
    </w:p>
    <w:p w14:paraId="6AE2F22F" w14:textId="77777777" w:rsidR="00E94206" w:rsidRPr="00A87B5B" w:rsidRDefault="00E94206" w:rsidP="009B1C25">
      <w:pPr>
        <w:widowControl w:val="0"/>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A87B5B">
        <w:rPr>
          <w:rFonts w:ascii="Times New Roman" w:eastAsia="Times New Roman" w:hAnsi="Times New Roman" w:cs="Times New Roman"/>
          <w:sz w:val="28"/>
          <w:szCs w:val="28"/>
          <w:lang w:eastAsia="ru-RU"/>
        </w:rPr>
        <w:t>В 2020/21 учебном году обесп</w:t>
      </w:r>
      <w:r w:rsidR="009B1C25">
        <w:rPr>
          <w:rFonts w:ascii="Times New Roman" w:eastAsia="Times New Roman" w:hAnsi="Times New Roman" w:cs="Times New Roman"/>
          <w:sz w:val="28"/>
          <w:szCs w:val="28"/>
          <w:lang w:eastAsia="ru-RU"/>
        </w:rPr>
        <w:t xml:space="preserve">ечено проведение всероссийской </w:t>
      </w:r>
      <w:r w:rsidRPr="00A87B5B">
        <w:rPr>
          <w:rFonts w:ascii="Times New Roman" w:eastAsia="Times New Roman" w:hAnsi="Times New Roman" w:cs="Times New Roman"/>
          <w:sz w:val="28"/>
          <w:szCs w:val="28"/>
          <w:lang w:eastAsia="ru-RU"/>
        </w:rPr>
        <w:t>олимпиады школьников, в которой</w:t>
      </w:r>
      <w:r w:rsidR="009B1C25">
        <w:rPr>
          <w:rFonts w:ascii="Times New Roman" w:eastAsia="Times New Roman" w:hAnsi="Times New Roman" w:cs="Times New Roman"/>
          <w:sz w:val="28"/>
          <w:szCs w:val="28"/>
          <w:lang w:eastAsia="ru-RU"/>
        </w:rPr>
        <w:t xml:space="preserve"> приняли участие более 7,3 млн </w:t>
      </w:r>
      <w:r w:rsidRPr="00A87B5B">
        <w:rPr>
          <w:rFonts w:ascii="Times New Roman" w:eastAsia="Times New Roman" w:hAnsi="Times New Roman" w:cs="Times New Roman"/>
          <w:sz w:val="28"/>
          <w:szCs w:val="28"/>
          <w:lang w:eastAsia="ru-RU"/>
        </w:rPr>
        <w:t xml:space="preserve">обучающихся </w:t>
      </w:r>
      <w:r w:rsidR="009B1C25">
        <w:rPr>
          <w:rFonts w:ascii="Times New Roman" w:eastAsia="Times New Roman" w:hAnsi="Times New Roman" w:cs="Times New Roman"/>
          <w:sz w:val="28"/>
          <w:szCs w:val="28"/>
          <w:lang w:eastAsia="ru-RU"/>
        </w:rPr>
        <w:t>4-11 классов</w:t>
      </w:r>
      <w:r w:rsidRPr="00A87B5B">
        <w:rPr>
          <w:rFonts w:ascii="Times New Roman" w:eastAsia="Times New Roman" w:hAnsi="Times New Roman" w:cs="Times New Roman"/>
          <w:sz w:val="28"/>
          <w:szCs w:val="28"/>
          <w:lang w:eastAsia="ru-RU"/>
        </w:rPr>
        <w:t xml:space="preserve">, что составляет более 65% </w:t>
      </w:r>
      <w:r w:rsidR="009B1C25">
        <w:rPr>
          <w:rFonts w:ascii="Times New Roman" w:eastAsia="Times New Roman" w:hAnsi="Times New Roman" w:cs="Times New Roman"/>
          <w:sz w:val="28"/>
          <w:szCs w:val="28"/>
          <w:lang w:eastAsia="ru-RU"/>
        </w:rPr>
        <w:t xml:space="preserve">всех обучающихся в Российской Федерации. </w:t>
      </w:r>
      <w:r w:rsidRPr="00A87B5B">
        <w:rPr>
          <w:rFonts w:ascii="Times New Roman" w:eastAsia="Times New Roman" w:hAnsi="Times New Roman" w:cs="Times New Roman"/>
          <w:sz w:val="28"/>
          <w:szCs w:val="28"/>
          <w:lang w:eastAsia="ru-RU"/>
        </w:rPr>
        <w:t xml:space="preserve">По итогам проведения заключительного этапа всероссийской олимпиады школьников </w:t>
      </w:r>
      <w:r w:rsidR="00C66AD1">
        <w:rPr>
          <w:rFonts w:ascii="Times New Roman" w:eastAsia="Times New Roman" w:hAnsi="Times New Roman" w:cs="Times New Roman"/>
          <w:sz w:val="28"/>
          <w:szCs w:val="28"/>
          <w:lang w:eastAsia="ru-RU"/>
        </w:rPr>
        <w:br/>
      </w:r>
      <w:r w:rsidRPr="00A87B5B">
        <w:rPr>
          <w:rFonts w:ascii="Times New Roman" w:eastAsia="Times New Roman" w:hAnsi="Times New Roman" w:cs="Times New Roman"/>
          <w:sz w:val="28"/>
          <w:szCs w:val="28"/>
          <w:lang w:eastAsia="ru-RU"/>
        </w:rPr>
        <w:t>2 875 обучающихся стали победителями и призерами.</w:t>
      </w:r>
    </w:p>
    <w:p w14:paraId="1F71F44E" w14:textId="77777777" w:rsidR="00E94206" w:rsidRPr="00A87B5B" w:rsidRDefault="00E94206" w:rsidP="00E94206">
      <w:pPr>
        <w:widowControl w:val="0"/>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A87B5B">
        <w:rPr>
          <w:rFonts w:ascii="Times New Roman" w:eastAsia="Times New Roman" w:hAnsi="Times New Roman" w:cs="Times New Roman"/>
          <w:sz w:val="28"/>
          <w:szCs w:val="28"/>
          <w:lang w:eastAsia="ru-RU"/>
        </w:rPr>
        <w:t>В 2021 г</w:t>
      </w:r>
      <w:r w:rsidR="00C66AD1">
        <w:rPr>
          <w:rFonts w:ascii="Times New Roman" w:eastAsia="Times New Roman" w:hAnsi="Times New Roman" w:cs="Times New Roman"/>
          <w:sz w:val="28"/>
          <w:szCs w:val="28"/>
          <w:lang w:eastAsia="ru-RU"/>
        </w:rPr>
        <w:t>.</w:t>
      </w:r>
      <w:r w:rsidRPr="00A87B5B">
        <w:rPr>
          <w:rFonts w:ascii="Times New Roman" w:eastAsia="Times New Roman" w:hAnsi="Times New Roman" w:cs="Times New Roman"/>
          <w:sz w:val="28"/>
          <w:szCs w:val="28"/>
          <w:lang w:eastAsia="ru-RU"/>
        </w:rPr>
        <w:t xml:space="preserve"> сборные команды Российской Федерации в составе 38 человек выступили на 8 международных олимпиадах по общеобразовательным предметам (химии, биологии, математике, информатике, физике, географии, астрономии </w:t>
      </w:r>
      <w:r w:rsidRPr="00A87B5B">
        <w:rPr>
          <w:rFonts w:ascii="Times New Roman" w:eastAsia="Times New Roman" w:hAnsi="Times New Roman" w:cs="Times New Roman"/>
          <w:sz w:val="28"/>
          <w:szCs w:val="28"/>
          <w:lang w:eastAsia="ru-RU"/>
        </w:rPr>
        <w:br/>
        <w:t>и астрофизике, естественнонаучной олимпиаде юниоров). В связи со сложной эпидемиологической обстановкой в мире, связанной с распространением коронавирусной инфекции, олимпиады проходили в дистанционном формате.</w:t>
      </w:r>
    </w:p>
    <w:p w14:paraId="71B6184B" w14:textId="2F2F8D4B" w:rsidR="00E94206" w:rsidRPr="00A87B5B" w:rsidRDefault="00E94206" w:rsidP="00E94206">
      <w:pPr>
        <w:widowControl w:val="0"/>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A87B5B">
        <w:rPr>
          <w:rFonts w:ascii="Times New Roman" w:eastAsia="Times New Roman" w:hAnsi="Times New Roman" w:cs="Times New Roman"/>
          <w:sz w:val="28"/>
          <w:szCs w:val="28"/>
          <w:lang w:eastAsia="ru-RU"/>
        </w:rPr>
        <w:t>Российская Федерация является одним из безусловных лидеров по числу завоеванных наград в целом и по числ</w:t>
      </w:r>
      <w:r w:rsidR="009B1C25">
        <w:rPr>
          <w:rFonts w:ascii="Times New Roman" w:eastAsia="Times New Roman" w:hAnsi="Times New Roman" w:cs="Times New Roman"/>
          <w:sz w:val="28"/>
          <w:szCs w:val="28"/>
          <w:lang w:eastAsia="ru-RU"/>
        </w:rPr>
        <w:t xml:space="preserve">у золотых медалей в частности. </w:t>
      </w:r>
      <w:r w:rsidRPr="00A87B5B">
        <w:rPr>
          <w:rFonts w:ascii="Times New Roman" w:eastAsia="Times New Roman" w:hAnsi="Times New Roman" w:cs="Times New Roman"/>
          <w:sz w:val="28"/>
          <w:szCs w:val="28"/>
          <w:lang w:eastAsia="ru-RU"/>
        </w:rPr>
        <w:t>Сборные команды Российской Федерации ежегодно входят в шестерку сильнейших стран мира. Так</w:t>
      </w:r>
      <w:r w:rsidR="009B1C25">
        <w:rPr>
          <w:rFonts w:ascii="Times New Roman" w:eastAsia="Times New Roman" w:hAnsi="Times New Roman" w:cs="Times New Roman"/>
          <w:sz w:val="28"/>
          <w:szCs w:val="28"/>
          <w:lang w:eastAsia="ru-RU"/>
        </w:rPr>
        <w:t>,</w:t>
      </w:r>
      <w:r w:rsidRPr="00A87B5B">
        <w:rPr>
          <w:rFonts w:ascii="Times New Roman" w:eastAsia="Times New Roman" w:hAnsi="Times New Roman" w:cs="Times New Roman"/>
          <w:sz w:val="28"/>
          <w:szCs w:val="28"/>
          <w:lang w:eastAsia="ru-RU"/>
        </w:rPr>
        <w:t xml:space="preserve"> в 2021 г</w:t>
      </w:r>
      <w:r w:rsidR="00C66AD1">
        <w:rPr>
          <w:rFonts w:ascii="Times New Roman" w:eastAsia="Times New Roman" w:hAnsi="Times New Roman" w:cs="Times New Roman"/>
          <w:sz w:val="28"/>
          <w:szCs w:val="28"/>
          <w:lang w:eastAsia="ru-RU"/>
        </w:rPr>
        <w:t>.</w:t>
      </w:r>
      <w:r w:rsidRPr="00A87B5B">
        <w:rPr>
          <w:rFonts w:ascii="Times New Roman" w:eastAsia="Times New Roman" w:hAnsi="Times New Roman" w:cs="Times New Roman"/>
          <w:sz w:val="28"/>
          <w:szCs w:val="28"/>
          <w:lang w:eastAsia="ru-RU"/>
        </w:rPr>
        <w:t xml:space="preserve"> сборные команды </w:t>
      </w:r>
      <w:r w:rsidR="009B1C25">
        <w:rPr>
          <w:rFonts w:ascii="Times New Roman" w:eastAsia="Times New Roman" w:hAnsi="Times New Roman" w:cs="Times New Roman"/>
          <w:sz w:val="28"/>
          <w:szCs w:val="28"/>
          <w:lang w:eastAsia="ru-RU"/>
        </w:rPr>
        <w:t xml:space="preserve">Российской Федерации завоевали </w:t>
      </w:r>
      <w:r w:rsidRPr="00A87B5B">
        <w:rPr>
          <w:rFonts w:ascii="Times New Roman" w:eastAsia="Times New Roman" w:hAnsi="Times New Roman" w:cs="Times New Roman"/>
          <w:sz w:val="28"/>
          <w:szCs w:val="28"/>
          <w:lang w:eastAsia="ru-RU"/>
        </w:rPr>
        <w:t>38 медалей (31 золотая, 7 серебряных), ч</w:t>
      </w:r>
      <w:r w:rsidR="009B1C25">
        <w:rPr>
          <w:rFonts w:ascii="Times New Roman" w:eastAsia="Times New Roman" w:hAnsi="Times New Roman" w:cs="Times New Roman"/>
          <w:sz w:val="28"/>
          <w:szCs w:val="28"/>
          <w:lang w:eastAsia="ru-RU"/>
        </w:rPr>
        <w:t xml:space="preserve">то является лучшим результатом </w:t>
      </w:r>
      <w:r w:rsidRPr="00A87B5B">
        <w:rPr>
          <w:rFonts w:ascii="Times New Roman" w:eastAsia="Times New Roman" w:hAnsi="Times New Roman" w:cs="Times New Roman"/>
          <w:sz w:val="28"/>
          <w:szCs w:val="28"/>
          <w:lang w:eastAsia="ru-RU"/>
        </w:rPr>
        <w:t>по количеству золотых медалей за последние 10 лет (</w:t>
      </w:r>
      <w:r w:rsidR="005E31FC" w:rsidRPr="00A87B5B">
        <w:rPr>
          <w:rFonts w:ascii="Times New Roman" w:eastAsia="Times New Roman" w:hAnsi="Times New Roman" w:cs="Times New Roman"/>
          <w:sz w:val="28"/>
          <w:szCs w:val="28"/>
          <w:lang w:eastAsia="ru-RU"/>
        </w:rPr>
        <w:t xml:space="preserve">2020 </w:t>
      </w:r>
      <w:r w:rsidR="005E31FC">
        <w:rPr>
          <w:rFonts w:ascii="Times New Roman" w:eastAsia="Times New Roman" w:hAnsi="Times New Roman" w:cs="Times New Roman"/>
          <w:sz w:val="28"/>
          <w:szCs w:val="28"/>
          <w:lang w:eastAsia="ru-RU"/>
        </w:rPr>
        <w:t xml:space="preserve">г. – 28 медалей: 19 золотых, </w:t>
      </w:r>
      <w:r w:rsidR="005E31FC" w:rsidRPr="00A87B5B">
        <w:rPr>
          <w:rFonts w:ascii="Times New Roman" w:eastAsia="Times New Roman" w:hAnsi="Times New Roman" w:cs="Times New Roman"/>
          <w:sz w:val="28"/>
          <w:szCs w:val="28"/>
          <w:lang w:eastAsia="ru-RU"/>
        </w:rPr>
        <w:t>9 серебряных</w:t>
      </w:r>
      <w:r w:rsidR="005E31FC">
        <w:rPr>
          <w:rFonts w:ascii="Times New Roman" w:eastAsia="Times New Roman" w:hAnsi="Times New Roman" w:cs="Times New Roman"/>
          <w:sz w:val="28"/>
          <w:szCs w:val="28"/>
          <w:lang w:eastAsia="ru-RU"/>
        </w:rPr>
        <w:t>;</w:t>
      </w:r>
      <w:r w:rsidR="005E31FC" w:rsidRPr="00A87B5B">
        <w:rPr>
          <w:rFonts w:ascii="Times New Roman" w:eastAsia="Times New Roman" w:hAnsi="Times New Roman" w:cs="Times New Roman"/>
          <w:sz w:val="28"/>
          <w:szCs w:val="28"/>
          <w:lang w:eastAsia="ru-RU"/>
        </w:rPr>
        <w:t xml:space="preserve"> </w:t>
      </w:r>
      <w:r w:rsidR="00D50BC5">
        <w:rPr>
          <w:rFonts w:ascii="Times New Roman" w:eastAsia="Times New Roman" w:hAnsi="Times New Roman" w:cs="Times New Roman"/>
          <w:sz w:val="28"/>
          <w:szCs w:val="28"/>
          <w:lang w:eastAsia="ru-RU"/>
        </w:rPr>
        <w:br/>
      </w:r>
      <w:r w:rsidRPr="00A87B5B">
        <w:rPr>
          <w:rFonts w:ascii="Times New Roman" w:eastAsia="Times New Roman" w:hAnsi="Times New Roman" w:cs="Times New Roman"/>
          <w:sz w:val="28"/>
          <w:szCs w:val="28"/>
          <w:lang w:eastAsia="ru-RU"/>
        </w:rPr>
        <w:t xml:space="preserve">2019 </w:t>
      </w:r>
      <w:r w:rsidR="005E31FC">
        <w:rPr>
          <w:rFonts w:ascii="Times New Roman" w:eastAsia="Times New Roman" w:hAnsi="Times New Roman" w:cs="Times New Roman"/>
          <w:sz w:val="28"/>
          <w:szCs w:val="28"/>
          <w:lang w:eastAsia="ru-RU"/>
        </w:rPr>
        <w:t>г.</w:t>
      </w:r>
      <w:r w:rsidRPr="00A87B5B">
        <w:rPr>
          <w:rFonts w:ascii="Times New Roman" w:eastAsia="Times New Roman" w:hAnsi="Times New Roman" w:cs="Times New Roman"/>
          <w:sz w:val="28"/>
          <w:szCs w:val="28"/>
          <w:lang w:eastAsia="ru-RU"/>
        </w:rPr>
        <w:t xml:space="preserve"> – 37</w:t>
      </w:r>
      <w:r w:rsidR="005E31FC">
        <w:rPr>
          <w:rFonts w:ascii="Times New Roman" w:eastAsia="Times New Roman" w:hAnsi="Times New Roman" w:cs="Times New Roman"/>
          <w:sz w:val="28"/>
          <w:szCs w:val="28"/>
          <w:lang w:eastAsia="ru-RU"/>
        </w:rPr>
        <w:t xml:space="preserve"> медалей: </w:t>
      </w:r>
      <w:r w:rsidRPr="00A87B5B">
        <w:rPr>
          <w:rFonts w:ascii="Times New Roman" w:eastAsia="Times New Roman" w:hAnsi="Times New Roman" w:cs="Times New Roman"/>
          <w:sz w:val="28"/>
          <w:szCs w:val="28"/>
          <w:lang w:eastAsia="ru-RU"/>
        </w:rPr>
        <w:t>21 золотая, 15 серебряных, 1 бронзовая</w:t>
      </w:r>
      <w:r w:rsidR="005E31FC">
        <w:rPr>
          <w:rFonts w:ascii="Times New Roman" w:eastAsia="Times New Roman" w:hAnsi="Times New Roman" w:cs="Times New Roman"/>
          <w:sz w:val="28"/>
          <w:szCs w:val="28"/>
          <w:lang w:eastAsia="ru-RU"/>
        </w:rPr>
        <w:t>),</w:t>
      </w:r>
      <w:r w:rsidRPr="00A87B5B">
        <w:rPr>
          <w:rFonts w:ascii="Times New Roman" w:eastAsia="Times New Roman" w:hAnsi="Times New Roman" w:cs="Times New Roman"/>
          <w:sz w:val="28"/>
          <w:szCs w:val="28"/>
          <w:lang w:eastAsia="ru-RU"/>
        </w:rPr>
        <w:t xml:space="preserve"> а в общекомандных зачетах</w:t>
      </w:r>
      <w:r w:rsidR="005E31FC">
        <w:rPr>
          <w:rFonts w:ascii="Times New Roman" w:eastAsia="Times New Roman" w:hAnsi="Times New Roman" w:cs="Times New Roman"/>
          <w:sz w:val="28"/>
          <w:szCs w:val="28"/>
          <w:lang w:eastAsia="ru-RU"/>
        </w:rPr>
        <w:t xml:space="preserve"> в 2021 г</w:t>
      </w:r>
      <w:r w:rsidR="00B608C0">
        <w:rPr>
          <w:rFonts w:ascii="Times New Roman" w:eastAsia="Times New Roman" w:hAnsi="Times New Roman" w:cs="Times New Roman"/>
          <w:sz w:val="28"/>
          <w:szCs w:val="28"/>
          <w:lang w:eastAsia="ru-RU"/>
        </w:rPr>
        <w:t>.</w:t>
      </w:r>
      <w:r w:rsidR="005E31FC">
        <w:rPr>
          <w:rFonts w:ascii="Times New Roman" w:eastAsia="Times New Roman" w:hAnsi="Times New Roman" w:cs="Times New Roman"/>
          <w:sz w:val="28"/>
          <w:szCs w:val="28"/>
          <w:lang w:eastAsia="ru-RU"/>
        </w:rPr>
        <w:t xml:space="preserve"> заняли 1 и 2 места</w:t>
      </w:r>
      <w:r w:rsidRPr="00A87B5B">
        <w:rPr>
          <w:rFonts w:ascii="Times New Roman" w:eastAsia="Times New Roman" w:hAnsi="Times New Roman" w:cs="Times New Roman"/>
          <w:sz w:val="28"/>
          <w:szCs w:val="28"/>
          <w:lang w:eastAsia="ru-RU"/>
        </w:rPr>
        <w:t xml:space="preserve"> среди стран-участниц, разделяя места с такими странами, как Китай и США.</w:t>
      </w:r>
    </w:p>
    <w:p w14:paraId="71CEEBC8" w14:textId="77777777" w:rsidR="00E94206" w:rsidRPr="00A87B5B" w:rsidRDefault="00750ECD" w:rsidP="00E94206">
      <w:pPr>
        <w:widowControl w:val="0"/>
        <w:suppressAutoHyphens/>
        <w:spacing w:after="0" w:line="312"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Обеспечено проведение</w:t>
      </w:r>
      <w:r w:rsidR="005E31FC">
        <w:rPr>
          <w:rFonts w:ascii="Times New Roman" w:eastAsia="Times New Roman" w:hAnsi="Times New Roman" w:cs="Times New Roman"/>
          <w:sz w:val="28"/>
          <w:szCs w:val="28"/>
          <w:lang w:eastAsia="ru-RU"/>
        </w:rPr>
        <w:t xml:space="preserve"> </w:t>
      </w:r>
      <w:r w:rsidR="00C66AD1">
        <w:rPr>
          <w:rFonts w:ascii="Times New Roman" w:eastAsia="Times New Roman" w:hAnsi="Times New Roman" w:cs="Times New Roman"/>
          <w:sz w:val="28"/>
          <w:szCs w:val="28"/>
          <w:lang w:eastAsia="ru-RU"/>
        </w:rPr>
        <w:t>14-24</w:t>
      </w:r>
      <w:r w:rsidR="005E31FC">
        <w:rPr>
          <w:rFonts w:ascii="Times New Roman" w:eastAsia="Times New Roman" w:hAnsi="Times New Roman" w:cs="Times New Roman"/>
          <w:sz w:val="28"/>
          <w:szCs w:val="28"/>
          <w:lang w:eastAsia="ru-RU"/>
        </w:rPr>
        <w:t xml:space="preserve"> июля 2021 г. </w:t>
      </w:r>
      <w:r w:rsidR="00E94206" w:rsidRPr="00A87B5B">
        <w:rPr>
          <w:rFonts w:ascii="Times New Roman" w:eastAsia="Times New Roman" w:hAnsi="Times New Roman" w:cs="Times New Roman"/>
          <w:sz w:val="28"/>
          <w:szCs w:val="28"/>
          <w:lang w:eastAsia="ru-RU"/>
        </w:rPr>
        <w:t>в г. Санкт-Петербург</w:t>
      </w:r>
      <w:r w:rsidR="005E31FC">
        <w:rPr>
          <w:rFonts w:ascii="Times New Roman" w:eastAsia="Times New Roman" w:hAnsi="Times New Roman" w:cs="Times New Roman"/>
          <w:sz w:val="28"/>
          <w:szCs w:val="28"/>
          <w:lang w:eastAsia="ru-RU"/>
        </w:rPr>
        <w:t>е</w:t>
      </w:r>
      <w:r w:rsidR="00E94206" w:rsidRPr="00A87B5B">
        <w:rPr>
          <w:rFonts w:ascii="Times New Roman" w:eastAsia="Times New Roman" w:hAnsi="Times New Roman" w:cs="Times New Roman"/>
          <w:sz w:val="28"/>
          <w:szCs w:val="28"/>
          <w:lang w:eastAsia="ru-RU"/>
        </w:rPr>
        <w:t xml:space="preserve"> на базе федерального государственного бюджетного образовательного учреждения высшего образования «Российский государственный педагогический университет имени </w:t>
      </w:r>
      <w:r>
        <w:rPr>
          <w:rFonts w:ascii="Times New Roman" w:eastAsia="Times New Roman" w:hAnsi="Times New Roman" w:cs="Times New Roman"/>
          <w:sz w:val="28"/>
          <w:szCs w:val="28"/>
          <w:lang w:eastAsia="ru-RU"/>
        </w:rPr>
        <w:br/>
      </w:r>
      <w:r w:rsidR="00E94206" w:rsidRPr="00A87B5B">
        <w:rPr>
          <w:rFonts w:ascii="Times New Roman" w:eastAsia="Times New Roman" w:hAnsi="Times New Roman" w:cs="Times New Roman"/>
          <w:sz w:val="28"/>
          <w:szCs w:val="28"/>
          <w:lang w:eastAsia="ru-RU"/>
        </w:rPr>
        <w:t xml:space="preserve">А.И. Герцена» </w:t>
      </w:r>
      <w:r w:rsidR="005E31FC" w:rsidRPr="00A87B5B">
        <w:rPr>
          <w:rFonts w:ascii="Times New Roman" w:eastAsia="Times New Roman" w:hAnsi="Times New Roman" w:cs="Times New Roman"/>
          <w:sz w:val="28"/>
          <w:szCs w:val="28"/>
          <w:lang w:eastAsia="ru-RU"/>
        </w:rPr>
        <w:t>62-й Междунар</w:t>
      </w:r>
      <w:r w:rsidR="005E31FC">
        <w:rPr>
          <w:rFonts w:ascii="Times New Roman" w:eastAsia="Times New Roman" w:hAnsi="Times New Roman" w:cs="Times New Roman"/>
          <w:sz w:val="28"/>
          <w:szCs w:val="28"/>
          <w:lang w:eastAsia="ru-RU"/>
        </w:rPr>
        <w:t>одной математической олимпиады,</w:t>
      </w:r>
      <w:r w:rsidR="005E31FC" w:rsidRPr="00A87B5B">
        <w:rPr>
          <w:rFonts w:ascii="Times New Roman" w:eastAsia="Times New Roman" w:hAnsi="Times New Roman" w:cs="Times New Roman"/>
          <w:sz w:val="28"/>
          <w:szCs w:val="28"/>
          <w:lang w:eastAsia="ru-RU"/>
        </w:rPr>
        <w:t xml:space="preserve"> </w:t>
      </w:r>
      <w:r w:rsidR="00E94206" w:rsidRPr="00A87B5B">
        <w:rPr>
          <w:rFonts w:ascii="Times New Roman" w:eastAsia="Times New Roman" w:hAnsi="Times New Roman" w:cs="Times New Roman"/>
          <w:sz w:val="28"/>
          <w:szCs w:val="28"/>
          <w:lang w:eastAsia="ru-RU"/>
        </w:rPr>
        <w:t>в которой приняли участие более 600 человек из 109 стран мира. Международный оргкомитет международной математической олим</w:t>
      </w:r>
      <w:r w:rsidR="009B1C25">
        <w:rPr>
          <w:rFonts w:ascii="Times New Roman" w:eastAsia="Times New Roman" w:hAnsi="Times New Roman" w:cs="Times New Roman"/>
          <w:sz w:val="28"/>
          <w:szCs w:val="28"/>
          <w:lang w:eastAsia="ru-RU"/>
        </w:rPr>
        <w:t xml:space="preserve">пиады отметил высокое качество </w:t>
      </w:r>
      <w:r w:rsidR="00E94206" w:rsidRPr="00A87B5B">
        <w:rPr>
          <w:rFonts w:ascii="Times New Roman" w:eastAsia="Times New Roman" w:hAnsi="Times New Roman" w:cs="Times New Roman"/>
          <w:sz w:val="28"/>
          <w:szCs w:val="28"/>
          <w:lang w:eastAsia="ru-RU"/>
        </w:rPr>
        <w:t>организации проведения олимпиады.</w:t>
      </w:r>
    </w:p>
    <w:p w14:paraId="2A383F49" w14:textId="77777777" w:rsidR="00E94206" w:rsidRPr="00A87B5B" w:rsidRDefault="00E94206" w:rsidP="00E94206">
      <w:pPr>
        <w:widowControl w:val="0"/>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A87B5B">
        <w:rPr>
          <w:rFonts w:ascii="Times New Roman" w:eastAsia="Times New Roman" w:hAnsi="Times New Roman" w:cs="Times New Roman"/>
          <w:sz w:val="28"/>
          <w:szCs w:val="28"/>
          <w:lang w:eastAsia="ru-RU"/>
        </w:rPr>
        <w:t>В целях подготовки и формирования сборных команд Российской Федерации обеспечено проведение 19 учебно-трениров</w:t>
      </w:r>
      <w:r w:rsidR="009B1C25">
        <w:rPr>
          <w:rFonts w:ascii="Times New Roman" w:eastAsia="Times New Roman" w:hAnsi="Times New Roman" w:cs="Times New Roman"/>
          <w:sz w:val="28"/>
          <w:szCs w:val="28"/>
          <w:lang w:eastAsia="ru-RU"/>
        </w:rPr>
        <w:t xml:space="preserve">очных и 7 установочных сборов </w:t>
      </w:r>
      <w:r w:rsidRPr="00A87B5B">
        <w:rPr>
          <w:rFonts w:ascii="Times New Roman" w:eastAsia="Times New Roman" w:hAnsi="Times New Roman" w:cs="Times New Roman"/>
          <w:sz w:val="28"/>
          <w:szCs w:val="28"/>
          <w:lang w:eastAsia="ru-RU"/>
        </w:rPr>
        <w:t>с участием 941 обучающегося и 219 преподавателей.</w:t>
      </w:r>
    </w:p>
    <w:p w14:paraId="4AE08F16" w14:textId="77777777" w:rsidR="00E94206" w:rsidRPr="00A87B5B" w:rsidRDefault="00E94206" w:rsidP="00E94206">
      <w:pPr>
        <w:widowControl w:val="0"/>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A87B5B">
        <w:rPr>
          <w:rFonts w:ascii="Times New Roman" w:eastAsia="Times New Roman" w:hAnsi="Times New Roman" w:cs="Times New Roman"/>
          <w:sz w:val="28"/>
          <w:szCs w:val="28"/>
          <w:lang w:eastAsia="ru-RU"/>
        </w:rPr>
        <w:t>Дополнительно в целях подготовки к основным международным олимпиадам сборные команды Российской Федерации выступают на промежуточных международных олимпиадах. В 2021 г</w:t>
      </w:r>
      <w:r w:rsidR="00C66AD1">
        <w:rPr>
          <w:rFonts w:ascii="Times New Roman" w:eastAsia="Times New Roman" w:hAnsi="Times New Roman" w:cs="Times New Roman"/>
          <w:sz w:val="28"/>
          <w:szCs w:val="28"/>
          <w:lang w:eastAsia="ru-RU"/>
        </w:rPr>
        <w:t>.</w:t>
      </w:r>
      <w:r w:rsidRPr="00A87B5B">
        <w:rPr>
          <w:rFonts w:ascii="Times New Roman" w:eastAsia="Times New Roman" w:hAnsi="Times New Roman" w:cs="Times New Roman"/>
          <w:sz w:val="28"/>
          <w:szCs w:val="28"/>
          <w:lang w:eastAsia="ru-RU"/>
        </w:rPr>
        <w:t xml:space="preserve"> обеспечено участие 78 членов сборных команд Российской Федерации в 12 промежуточных международных олимпиадах. По итогам участия завоеваны 74 медали</w:t>
      </w:r>
      <w:r w:rsidR="005E31FC">
        <w:rPr>
          <w:rFonts w:ascii="Times New Roman" w:eastAsia="Times New Roman" w:hAnsi="Times New Roman" w:cs="Times New Roman"/>
          <w:sz w:val="28"/>
          <w:szCs w:val="28"/>
          <w:lang w:eastAsia="ru-RU"/>
        </w:rPr>
        <w:t xml:space="preserve">: </w:t>
      </w:r>
      <w:r w:rsidRPr="00A87B5B">
        <w:rPr>
          <w:rFonts w:ascii="Times New Roman" w:eastAsia="Times New Roman" w:hAnsi="Times New Roman" w:cs="Times New Roman"/>
          <w:sz w:val="28"/>
          <w:szCs w:val="28"/>
          <w:lang w:eastAsia="ru-RU"/>
        </w:rPr>
        <w:t>48 золот</w:t>
      </w:r>
      <w:r w:rsidR="005E31FC">
        <w:rPr>
          <w:rFonts w:ascii="Times New Roman" w:eastAsia="Times New Roman" w:hAnsi="Times New Roman" w:cs="Times New Roman"/>
          <w:sz w:val="28"/>
          <w:szCs w:val="28"/>
          <w:lang w:eastAsia="ru-RU"/>
        </w:rPr>
        <w:t>ых, 17 серебряных и 9 бронзовых</w:t>
      </w:r>
      <w:r w:rsidRPr="00A87B5B">
        <w:rPr>
          <w:rFonts w:ascii="Times New Roman" w:eastAsia="Times New Roman" w:hAnsi="Times New Roman" w:cs="Times New Roman"/>
          <w:sz w:val="28"/>
          <w:szCs w:val="28"/>
          <w:lang w:eastAsia="ru-RU"/>
        </w:rPr>
        <w:t>.</w:t>
      </w:r>
    </w:p>
    <w:p w14:paraId="23DE2858" w14:textId="17F65A4B" w:rsidR="00E94206" w:rsidRPr="00A87B5B" w:rsidRDefault="00E94206" w:rsidP="002F4D1C">
      <w:pPr>
        <w:widowControl w:val="0"/>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A87B5B">
        <w:rPr>
          <w:rFonts w:ascii="Times New Roman" w:eastAsia="Times New Roman" w:hAnsi="Times New Roman" w:cs="Times New Roman"/>
          <w:sz w:val="28"/>
          <w:szCs w:val="28"/>
          <w:lang w:eastAsia="ru-RU"/>
        </w:rPr>
        <w:t>Одновременно Минпросвещения Росси</w:t>
      </w:r>
      <w:r w:rsidR="009B1C25">
        <w:rPr>
          <w:rFonts w:ascii="Times New Roman" w:eastAsia="Times New Roman" w:hAnsi="Times New Roman" w:cs="Times New Roman"/>
          <w:sz w:val="28"/>
          <w:szCs w:val="28"/>
          <w:lang w:eastAsia="ru-RU"/>
        </w:rPr>
        <w:t xml:space="preserve">и обеспечивает организационную </w:t>
      </w:r>
      <w:r w:rsidRPr="00A87B5B">
        <w:rPr>
          <w:rFonts w:ascii="Times New Roman" w:eastAsia="Times New Roman" w:hAnsi="Times New Roman" w:cs="Times New Roman"/>
          <w:sz w:val="28"/>
          <w:szCs w:val="28"/>
          <w:lang w:eastAsia="ru-RU"/>
        </w:rPr>
        <w:t>и финансовую поддержку системы чемпионатов «Молодые профессионалы (</w:t>
      </w:r>
      <w:proofErr w:type="spellStart"/>
      <w:r w:rsidRPr="00A87B5B">
        <w:rPr>
          <w:rFonts w:ascii="Times New Roman" w:eastAsia="Times New Roman" w:hAnsi="Times New Roman" w:cs="Times New Roman"/>
          <w:sz w:val="28"/>
          <w:szCs w:val="28"/>
          <w:lang w:eastAsia="ru-RU"/>
        </w:rPr>
        <w:t>Ворлдскиллс</w:t>
      </w:r>
      <w:proofErr w:type="spellEnd"/>
      <w:r w:rsidRPr="00A87B5B">
        <w:rPr>
          <w:rFonts w:ascii="Times New Roman" w:eastAsia="Times New Roman" w:hAnsi="Times New Roman" w:cs="Times New Roman"/>
          <w:sz w:val="28"/>
          <w:szCs w:val="28"/>
          <w:lang w:eastAsia="ru-RU"/>
        </w:rPr>
        <w:t xml:space="preserve"> Россия)», которые</w:t>
      </w:r>
      <w:r w:rsidR="009B1C25">
        <w:rPr>
          <w:rFonts w:ascii="Times New Roman" w:eastAsia="Times New Roman" w:hAnsi="Times New Roman" w:cs="Times New Roman"/>
          <w:sz w:val="28"/>
          <w:szCs w:val="28"/>
          <w:lang w:eastAsia="ru-RU"/>
        </w:rPr>
        <w:t xml:space="preserve"> являются одним из направлений </w:t>
      </w:r>
      <w:r w:rsidRPr="00A87B5B">
        <w:rPr>
          <w:rFonts w:ascii="Times New Roman" w:eastAsia="Times New Roman" w:hAnsi="Times New Roman" w:cs="Times New Roman"/>
          <w:sz w:val="28"/>
          <w:szCs w:val="28"/>
          <w:lang w:eastAsia="ru-RU"/>
        </w:rPr>
        <w:t xml:space="preserve">развития конкурсного движения, а также чемпионаты по профессиональному мастерству среди инвалидов и лиц с </w:t>
      </w:r>
      <w:r w:rsidR="002F4D1C">
        <w:rPr>
          <w:rFonts w:ascii="Times New Roman" w:eastAsia="Times New Roman" w:hAnsi="Times New Roman" w:cs="Times New Roman"/>
          <w:sz w:val="28"/>
          <w:szCs w:val="28"/>
          <w:lang w:eastAsia="ru-RU"/>
        </w:rPr>
        <w:t>ОВЗ</w:t>
      </w:r>
      <w:r w:rsidRPr="00A87B5B">
        <w:rPr>
          <w:rFonts w:ascii="Times New Roman" w:eastAsia="Times New Roman" w:hAnsi="Times New Roman" w:cs="Times New Roman"/>
          <w:sz w:val="28"/>
          <w:szCs w:val="28"/>
          <w:lang w:eastAsia="ru-RU"/>
        </w:rPr>
        <w:t xml:space="preserve"> «</w:t>
      </w:r>
      <w:proofErr w:type="spellStart"/>
      <w:r w:rsidRPr="00A87B5B">
        <w:rPr>
          <w:rFonts w:ascii="Times New Roman" w:eastAsia="Times New Roman" w:hAnsi="Times New Roman" w:cs="Times New Roman"/>
          <w:sz w:val="28"/>
          <w:szCs w:val="28"/>
          <w:lang w:eastAsia="ru-RU"/>
        </w:rPr>
        <w:t>Аблимпикс</w:t>
      </w:r>
      <w:proofErr w:type="spellEnd"/>
      <w:r w:rsidRPr="00A87B5B">
        <w:rPr>
          <w:rFonts w:ascii="Times New Roman" w:eastAsia="Times New Roman" w:hAnsi="Times New Roman" w:cs="Times New Roman"/>
          <w:sz w:val="28"/>
          <w:szCs w:val="28"/>
          <w:lang w:eastAsia="ru-RU"/>
        </w:rPr>
        <w:t>» и национальный открытый чемпионат творческих компетенций «</w:t>
      </w:r>
      <w:proofErr w:type="spellStart"/>
      <w:r w:rsidRPr="00A87B5B">
        <w:rPr>
          <w:rFonts w:ascii="Times New Roman" w:eastAsia="Times New Roman" w:hAnsi="Times New Roman" w:cs="Times New Roman"/>
          <w:sz w:val="28"/>
          <w:szCs w:val="28"/>
          <w:lang w:eastAsia="ru-RU"/>
        </w:rPr>
        <w:t>ArtMasters</w:t>
      </w:r>
      <w:proofErr w:type="spellEnd"/>
      <w:r w:rsidRPr="00A87B5B">
        <w:rPr>
          <w:rFonts w:ascii="Times New Roman" w:eastAsia="Times New Roman" w:hAnsi="Times New Roman" w:cs="Times New Roman"/>
          <w:sz w:val="28"/>
          <w:szCs w:val="28"/>
          <w:lang w:eastAsia="ru-RU"/>
        </w:rPr>
        <w:t>». Финал Национального чемпионата «Молодые профессионалы» (</w:t>
      </w:r>
      <w:proofErr w:type="spellStart"/>
      <w:r w:rsidRPr="00A87B5B">
        <w:rPr>
          <w:rFonts w:ascii="Times New Roman" w:eastAsia="Times New Roman" w:hAnsi="Times New Roman" w:cs="Times New Roman"/>
          <w:sz w:val="28"/>
          <w:szCs w:val="28"/>
          <w:lang w:eastAsia="ru-RU"/>
        </w:rPr>
        <w:t>WorldSkills</w:t>
      </w:r>
      <w:proofErr w:type="spellEnd"/>
      <w:r w:rsidRPr="00A87B5B">
        <w:rPr>
          <w:rFonts w:ascii="Times New Roman" w:eastAsia="Times New Roman" w:hAnsi="Times New Roman" w:cs="Times New Roman"/>
          <w:sz w:val="28"/>
          <w:szCs w:val="28"/>
          <w:lang w:eastAsia="ru-RU"/>
        </w:rPr>
        <w:t xml:space="preserve"> </w:t>
      </w:r>
      <w:proofErr w:type="spellStart"/>
      <w:r w:rsidRPr="00A87B5B">
        <w:rPr>
          <w:rFonts w:ascii="Times New Roman" w:eastAsia="Times New Roman" w:hAnsi="Times New Roman" w:cs="Times New Roman"/>
          <w:sz w:val="28"/>
          <w:szCs w:val="28"/>
          <w:lang w:eastAsia="ru-RU"/>
        </w:rPr>
        <w:t>Russia</w:t>
      </w:r>
      <w:proofErr w:type="spellEnd"/>
      <w:r w:rsidRPr="00A87B5B">
        <w:rPr>
          <w:rFonts w:ascii="Times New Roman" w:eastAsia="Times New Roman" w:hAnsi="Times New Roman" w:cs="Times New Roman"/>
          <w:sz w:val="28"/>
          <w:szCs w:val="28"/>
          <w:lang w:eastAsia="ru-RU"/>
        </w:rPr>
        <w:t xml:space="preserve">) – это самые масштабные в России и одни из самых масштабных в мире соревнования профессионального мастерства по стандартам </w:t>
      </w:r>
      <w:proofErr w:type="spellStart"/>
      <w:r w:rsidRPr="00A87B5B">
        <w:rPr>
          <w:rFonts w:ascii="Times New Roman" w:eastAsia="Times New Roman" w:hAnsi="Times New Roman" w:cs="Times New Roman"/>
          <w:sz w:val="28"/>
          <w:szCs w:val="28"/>
          <w:lang w:eastAsia="ru-RU"/>
        </w:rPr>
        <w:t>WorldSkills</w:t>
      </w:r>
      <w:proofErr w:type="spellEnd"/>
      <w:r w:rsidRPr="00A87B5B">
        <w:rPr>
          <w:rFonts w:ascii="Times New Roman" w:eastAsia="Times New Roman" w:hAnsi="Times New Roman" w:cs="Times New Roman"/>
          <w:sz w:val="28"/>
          <w:szCs w:val="28"/>
          <w:lang w:eastAsia="ru-RU"/>
        </w:rPr>
        <w:t xml:space="preserve"> среди студентов средних профессиональных образовательных учреждений</w:t>
      </w:r>
      <w:r w:rsidR="002F4D1C">
        <w:rPr>
          <w:rFonts w:ascii="Times New Roman" w:eastAsia="Times New Roman" w:hAnsi="Times New Roman" w:cs="Times New Roman"/>
          <w:sz w:val="28"/>
          <w:szCs w:val="28"/>
          <w:lang w:eastAsia="ru-RU"/>
        </w:rPr>
        <w:t xml:space="preserve">. </w:t>
      </w:r>
      <w:r w:rsidRPr="00A87B5B">
        <w:rPr>
          <w:rFonts w:ascii="Times New Roman" w:eastAsia="Times New Roman" w:hAnsi="Times New Roman" w:cs="Times New Roman"/>
          <w:sz w:val="28"/>
          <w:szCs w:val="28"/>
          <w:lang w:eastAsia="ru-RU"/>
        </w:rPr>
        <w:t>В 2021 г</w:t>
      </w:r>
      <w:r w:rsidR="00C66AD1">
        <w:rPr>
          <w:rFonts w:ascii="Times New Roman" w:eastAsia="Times New Roman" w:hAnsi="Times New Roman" w:cs="Times New Roman"/>
          <w:sz w:val="28"/>
          <w:szCs w:val="28"/>
          <w:lang w:eastAsia="ru-RU"/>
        </w:rPr>
        <w:t>.</w:t>
      </w:r>
      <w:r w:rsidRPr="00A87B5B">
        <w:rPr>
          <w:rFonts w:ascii="Times New Roman" w:eastAsia="Times New Roman" w:hAnsi="Times New Roman" w:cs="Times New Roman"/>
          <w:sz w:val="28"/>
          <w:szCs w:val="28"/>
          <w:lang w:eastAsia="ru-RU"/>
        </w:rPr>
        <w:t xml:space="preserve"> финал IX Национального чемпионата «Молодые профессионалы» (</w:t>
      </w:r>
      <w:proofErr w:type="spellStart"/>
      <w:r w:rsidRPr="00A87B5B">
        <w:rPr>
          <w:rFonts w:ascii="Times New Roman" w:eastAsia="Times New Roman" w:hAnsi="Times New Roman" w:cs="Times New Roman"/>
          <w:sz w:val="28"/>
          <w:szCs w:val="28"/>
          <w:lang w:eastAsia="ru-RU"/>
        </w:rPr>
        <w:t>WorldSkills</w:t>
      </w:r>
      <w:proofErr w:type="spellEnd"/>
      <w:r w:rsidRPr="00A87B5B">
        <w:rPr>
          <w:rFonts w:ascii="Times New Roman" w:eastAsia="Times New Roman" w:hAnsi="Times New Roman" w:cs="Times New Roman"/>
          <w:sz w:val="28"/>
          <w:szCs w:val="28"/>
          <w:lang w:eastAsia="ru-RU"/>
        </w:rPr>
        <w:t xml:space="preserve"> </w:t>
      </w:r>
      <w:proofErr w:type="spellStart"/>
      <w:r w:rsidRPr="00A87B5B">
        <w:rPr>
          <w:rFonts w:ascii="Times New Roman" w:eastAsia="Times New Roman" w:hAnsi="Times New Roman" w:cs="Times New Roman"/>
          <w:sz w:val="28"/>
          <w:szCs w:val="28"/>
          <w:lang w:eastAsia="ru-RU"/>
        </w:rPr>
        <w:t>Russia</w:t>
      </w:r>
      <w:proofErr w:type="spellEnd"/>
      <w:r w:rsidRPr="00A87B5B">
        <w:rPr>
          <w:rFonts w:ascii="Times New Roman" w:eastAsia="Times New Roman" w:hAnsi="Times New Roman" w:cs="Times New Roman"/>
          <w:sz w:val="28"/>
          <w:szCs w:val="28"/>
          <w:lang w:eastAsia="ru-RU"/>
        </w:rPr>
        <w:t>) состоялся с 25 по 29 августа в г. Уфа (Республика Башкортостан). Участниками финала стали более 1 800 конкурсантов</w:t>
      </w:r>
      <w:r w:rsidR="002F4D1C" w:rsidRPr="00A87B5B">
        <w:rPr>
          <w:rFonts w:ascii="Times New Roman" w:eastAsia="Times New Roman" w:hAnsi="Times New Roman" w:cs="Times New Roman"/>
          <w:sz w:val="28"/>
          <w:szCs w:val="28"/>
          <w:lang w:eastAsia="ru-RU"/>
        </w:rPr>
        <w:t>,</w:t>
      </w:r>
      <w:r w:rsidRPr="00A87B5B">
        <w:rPr>
          <w:rFonts w:ascii="Times New Roman" w:eastAsia="Times New Roman" w:hAnsi="Times New Roman" w:cs="Times New Roman"/>
          <w:sz w:val="28"/>
          <w:szCs w:val="28"/>
          <w:lang w:eastAsia="ru-RU"/>
        </w:rPr>
        <w:t xml:space="preserve"> </w:t>
      </w:r>
      <w:r w:rsidR="002F4D1C" w:rsidRPr="00A87B5B">
        <w:rPr>
          <w:rFonts w:ascii="Times New Roman" w:eastAsia="Times New Roman" w:hAnsi="Times New Roman" w:cs="Times New Roman"/>
          <w:sz w:val="28"/>
          <w:szCs w:val="28"/>
          <w:lang w:eastAsia="ru-RU"/>
        </w:rPr>
        <w:t>из них более 600 человек – юниоры</w:t>
      </w:r>
      <w:r w:rsidR="002F4D1C">
        <w:rPr>
          <w:rFonts w:ascii="Times New Roman" w:eastAsia="Times New Roman" w:hAnsi="Times New Roman" w:cs="Times New Roman"/>
          <w:sz w:val="28"/>
          <w:szCs w:val="28"/>
          <w:lang w:eastAsia="ru-RU"/>
        </w:rPr>
        <w:t xml:space="preserve"> (</w:t>
      </w:r>
      <w:r w:rsidRPr="00A87B5B">
        <w:rPr>
          <w:rFonts w:ascii="Times New Roman" w:eastAsia="Times New Roman" w:hAnsi="Times New Roman" w:cs="Times New Roman"/>
          <w:sz w:val="28"/>
          <w:szCs w:val="28"/>
          <w:lang w:eastAsia="ru-RU"/>
        </w:rPr>
        <w:t>2020 г</w:t>
      </w:r>
      <w:r w:rsidR="002F4D1C">
        <w:rPr>
          <w:rFonts w:ascii="Times New Roman" w:eastAsia="Times New Roman" w:hAnsi="Times New Roman" w:cs="Times New Roman"/>
          <w:sz w:val="28"/>
          <w:szCs w:val="28"/>
          <w:lang w:eastAsia="ru-RU"/>
        </w:rPr>
        <w:t>.</w:t>
      </w:r>
      <w:r w:rsidRPr="00A87B5B">
        <w:rPr>
          <w:rFonts w:ascii="Times New Roman" w:eastAsia="Times New Roman" w:hAnsi="Times New Roman" w:cs="Times New Roman"/>
          <w:sz w:val="28"/>
          <w:szCs w:val="28"/>
          <w:lang w:eastAsia="ru-RU"/>
        </w:rPr>
        <w:t xml:space="preserve"> – 2 800 человек благодаря очно-заочному формату участия). Соревнования среди студентов прошли по 105 профессиональным компетенциям, разделенным на 7 блоков профессий: строительство и строительные технологии</w:t>
      </w:r>
      <w:r w:rsidR="002F4D1C">
        <w:rPr>
          <w:rFonts w:ascii="Times New Roman" w:eastAsia="Times New Roman" w:hAnsi="Times New Roman" w:cs="Times New Roman"/>
          <w:sz w:val="28"/>
          <w:szCs w:val="28"/>
          <w:lang w:eastAsia="ru-RU"/>
        </w:rPr>
        <w:t>, ИКТ,</w:t>
      </w:r>
      <w:r w:rsidRPr="00A87B5B">
        <w:rPr>
          <w:rFonts w:ascii="Times New Roman" w:eastAsia="Times New Roman" w:hAnsi="Times New Roman" w:cs="Times New Roman"/>
          <w:sz w:val="28"/>
          <w:szCs w:val="28"/>
          <w:lang w:eastAsia="ru-RU"/>
        </w:rPr>
        <w:t xml:space="preserve"> творчество и дизайн</w:t>
      </w:r>
      <w:r w:rsidR="002F4D1C">
        <w:rPr>
          <w:rFonts w:ascii="Times New Roman" w:eastAsia="Times New Roman" w:hAnsi="Times New Roman" w:cs="Times New Roman"/>
          <w:sz w:val="28"/>
          <w:szCs w:val="28"/>
          <w:lang w:eastAsia="ru-RU"/>
        </w:rPr>
        <w:t>,</w:t>
      </w:r>
      <w:r w:rsidRPr="00A87B5B">
        <w:rPr>
          <w:rFonts w:ascii="Times New Roman" w:eastAsia="Times New Roman" w:hAnsi="Times New Roman" w:cs="Times New Roman"/>
          <w:sz w:val="28"/>
          <w:szCs w:val="28"/>
          <w:lang w:eastAsia="ru-RU"/>
        </w:rPr>
        <w:t xml:space="preserve"> производство и инженерные технологии</w:t>
      </w:r>
      <w:r w:rsidR="002F4D1C">
        <w:rPr>
          <w:rFonts w:ascii="Times New Roman" w:eastAsia="Times New Roman" w:hAnsi="Times New Roman" w:cs="Times New Roman"/>
          <w:sz w:val="28"/>
          <w:szCs w:val="28"/>
          <w:lang w:eastAsia="ru-RU"/>
        </w:rPr>
        <w:t>,</w:t>
      </w:r>
      <w:r w:rsidRPr="00A87B5B">
        <w:rPr>
          <w:rFonts w:ascii="Times New Roman" w:eastAsia="Times New Roman" w:hAnsi="Times New Roman" w:cs="Times New Roman"/>
          <w:sz w:val="28"/>
          <w:szCs w:val="28"/>
          <w:lang w:eastAsia="ru-RU"/>
        </w:rPr>
        <w:t xml:space="preserve"> сфера услуг</w:t>
      </w:r>
      <w:r w:rsidR="002F4D1C">
        <w:rPr>
          <w:rFonts w:ascii="Times New Roman" w:eastAsia="Times New Roman" w:hAnsi="Times New Roman" w:cs="Times New Roman"/>
          <w:sz w:val="28"/>
          <w:szCs w:val="28"/>
          <w:lang w:eastAsia="ru-RU"/>
        </w:rPr>
        <w:t>, транспорт и логистика,</w:t>
      </w:r>
      <w:r w:rsidRPr="00A87B5B">
        <w:rPr>
          <w:rFonts w:ascii="Times New Roman" w:eastAsia="Times New Roman" w:hAnsi="Times New Roman" w:cs="Times New Roman"/>
          <w:sz w:val="28"/>
          <w:szCs w:val="28"/>
          <w:lang w:eastAsia="ru-RU"/>
        </w:rPr>
        <w:t xml:space="preserve"> обр</w:t>
      </w:r>
      <w:r w:rsidR="006E3CF3">
        <w:rPr>
          <w:rFonts w:ascii="Times New Roman" w:eastAsia="Times New Roman" w:hAnsi="Times New Roman" w:cs="Times New Roman"/>
          <w:sz w:val="28"/>
          <w:szCs w:val="28"/>
          <w:lang w:eastAsia="ru-RU"/>
        </w:rPr>
        <w:t>азование,</w:t>
      </w:r>
      <w:r w:rsidR="009B1C25">
        <w:rPr>
          <w:rFonts w:ascii="Times New Roman" w:eastAsia="Times New Roman" w:hAnsi="Times New Roman" w:cs="Times New Roman"/>
          <w:sz w:val="28"/>
          <w:szCs w:val="28"/>
          <w:lang w:eastAsia="ru-RU"/>
        </w:rPr>
        <w:t xml:space="preserve"> юниоры соревновались </w:t>
      </w:r>
      <w:r w:rsidR="00D50BC5">
        <w:rPr>
          <w:rFonts w:ascii="Times New Roman" w:eastAsia="Times New Roman" w:hAnsi="Times New Roman" w:cs="Times New Roman"/>
          <w:sz w:val="28"/>
          <w:szCs w:val="28"/>
          <w:lang w:eastAsia="ru-RU"/>
        </w:rPr>
        <w:br/>
      </w:r>
      <w:r w:rsidRPr="00A87B5B">
        <w:rPr>
          <w:rFonts w:ascii="Times New Roman" w:eastAsia="Times New Roman" w:hAnsi="Times New Roman" w:cs="Times New Roman"/>
          <w:sz w:val="28"/>
          <w:szCs w:val="28"/>
          <w:lang w:eastAsia="ru-RU"/>
        </w:rPr>
        <w:t>по 51 компетенции. Экспертами выступили порядка 2</w:t>
      </w:r>
      <w:r w:rsidRPr="00A87B5B">
        <w:rPr>
          <w:rFonts w:ascii="Times New Roman" w:eastAsia="Times New Roman" w:hAnsi="Times New Roman" w:cs="Times New Roman"/>
          <w:sz w:val="28"/>
          <w:szCs w:val="28"/>
          <w:lang w:val="en-US" w:eastAsia="ru-RU"/>
        </w:rPr>
        <w:t> </w:t>
      </w:r>
      <w:r w:rsidRPr="00A87B5B">
        <w:rPr>
          <w:rFonts w:ascii="Times New Roman" w:eastAsia="Times New Roman" w:hAnsi="Times New Roman" w:cs="Times New Roman"/>
          <w:sz w:val="28"/>
          <w:szCs w:val="28"/>
          <w:lang w:eastAsia="ru-RU"/>
        </w:rPr>
        <w:t>000 человек.</w:t>
      </w:r>
    </w:p>
    <w:p w14:paraId="1CBE7A48" w14:textId="60F2ADF6" w:rsidR="00E94206" w:rsidRPr="00A87B5B" w:rsidRDefault="00E94206" w:rsidP="00E94206">
      <w:pPr>
        <w:widowControl w:val="0"/>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A87B5B">
        <w:rPr>
          <w:rFonts w:ascii="Times New Roman" w:eastAsia="Times New Roman" w:hAnsi="Times New Roman" w:cs="Times New Roman"/>
          <w:sz w:val="28"/>
          <w:szCs w:val="28"/>
          <w:lang w:eastAsia="ru-RU"/>
        </w:rPr>
        <w:t xml:space="preserve">В ТОП-10 субъектов Российской Федерации по количеству конкурсантов вошли: Республика Башкортостан </w:t>
      </w:r>
      <w:r w:rsidR="006E3CF3">
        <w:rPr>
          <w:rFonts w:ascii="Times New Roman" w:eastAsia="Times New Roman" w:hAnsi="Times New Roman" w:cs="Times New Roman"/>
          <w:sz w:val="28"/>
          <w:szCs w:val="28"/>
          <w:lang w:eastAsia="ru-RU"/>
        </w:rPr>
        <w:t>(</w:t>
      </w:r>
      <w:r w:rsidRPr="00A87B5B">
        <w:rPr>
          <w:rFonts w:ascii="Times New Roman" w:eastAsia="Times New Roman" w:hAnsi="Times New Roman" w:cs="Times New Roman"/>
          <w:sz w:val="28"/>
          <w:szCs w:val="28"/>
          <w:lang w:eastAsia="ru-RU"/>
        </w:rPr>
        <w:t>280 ч</w:t>
      </w:r>
      <w:r w:rsidR="009B1C25">
        <w:rPr>
          <w:rFonts w:ascii="Times New Roman" w:eastAsia="Times New Roman" w:hAnsi="Times New Roman" w:cs="Times New Roman"/>
          <w:sz w:val="28"/>
          <w:szCs w:val="28"/>
          <w:lang w:eastAsia="ru-RU"/>
        </w:rPr>
        <w:t>еловек</w:t>
      </w:r>
      <w:r w:rsidR="006E3CF3">
        <w:rPr>
          <w:rFonts w:ascii="Times New Roman" w:eastAsia="Times New Roman" w:hAnsi="Times New Roman" w:cs="Times New Roman"/>
          <w:sz w:val="28"/>
          <w:szCs w:val="28"/>
          <w:lang w:eastAsia="ru-RU"/>
        </w:rPr>
        <w:t>)</w:t>
      </w:r>
      <w:r w:rsidR="009B1C25">
        <w:rPr>
          <w:rFonts w:ascii="Times New Roman" w:eastAsia="Times New Roman" w:hAnsi="Times New Roman" w:cs="Times New Roman"/>
          <w:sz w:val="28"/>
          <w:szCs w:val="28"/>
          <w:lang w:eastAsia="ru-RU"/>
        </w:rPr>
        <w:t xml:space="preserve">, </w:t>
      </w:r>
      <w:r w:rsidR="006E3CF3">
        <w:rPr>
          <w:rFonts w:ascii="Times New Roman" w:eastAsia="Times New Roman" w:hAnsi="Times New Roman" w:cs="Times New Roman"/>
          <w:sz w:val="28"/>
          <w:szCs w:val="28"/>
          <w:lang w:eastAsia="ru-RU"/>
        </w:rPr>
        <w:t xml:space="preserve">г. </w:t>
      </w:r>
      <w:r w:rsidR="009B1C25">
        <w:rPr>
          <w:rFonts w:ascii="Times New Roman" w:eastAsia="Times New Roman" w:hAnsi="Times New Roman" w:cs="Times New Roman"/>
          <w:sz w:val="28"/>
          <w:szCs w:val="28"/>
          <w:lang w:eastAsia="ru-RU"/>
        </w:rPr>
        <w:t xml:space="preserve">Москва </w:t>
      </w:r>
      <w:r w:rsidR="006E3CF3">
        <w:rPr>
          <w:rFonts w:ascii="Times New Roman" w:eastAsia="Times New Roman" w:hAnsi="Times New Roman" w:cs="Times New Roman"/>
          <w:sz w:val="28"/>
          <w:szCs w:val="28"/>
          <w:lang w:eastAsia="ru-RU"/>
        </w:rPr>
        <w:t>(</w:t>
      </w:r>
      <w:r w:rsidR="009B1C25">
        <w:rPr>
          <w:rFonts w:ascii="Times New Roman" w:eastAsia="Times New Roman" w:hAnsi="Times New Roman" w:cs="Times New Roman"/>
          <w:sz w:val="28"/>
          <w:szCs w:val="28"/>
          <w:lang w:eastAsia="ru-RU"/>
        </w:rPr>
        <w:t>193 человека</w:t>
      </w:r>
      <w:r w:rsidR="006E3CF3">
        <w:rPr>
          <w:rFonts w:ascii="Times New Roman" w:eastAsia="Times New Roman" w:hAnsi="Times New Roman" w:cs="Times New Roman"/>
          <w:sz w:val="28"/>
          <w:szCs w:val="28"/>
          <w:lang w:eastAsia="ru-RU"/>
        </w:rPr>
        <w:t>)</w:t>
      </w:r>
      <w:r w:rsidR="009B1C25">
        <w:rPr>
          <w:rFonts w:ascii="Times New Roman" w:eastAsia="Times New Roman" w:hAnsi="Times New Roman" w:cs="Times New Roman"/>
          <w:sz w:val="28"/>
          <w:szCs w:val="28"/>
          <w:lang w:eastAsia="ru-RU"/>
        </w:rPr>
        <w:t xml:space="preserve">, </w:t>
      </w:r>
      <w:r w:rsidRPr="00A87B5B">
        <w:rPr>
          <w:rFonts w:ascii="Times New Roman" w:eastAsia="Times New Roman" w:hAnsi="Times New Roman" w:cs="Times New Roman"/>
          <w:sz w:val="28"/>
          <w:szCs w:val="28"/>
          <w:lang w:eastAsia="ru-RU"/>
        </w:rPr>
        <w:t xml:space="preserve">Республика Татарстан </w:t>
      </w:r>
      <w:r w:rsidR="006E3CF3">
        <w:rPr>
          <w:rFonts w:ascii="Times New Roman" w:eastAsia="Times New Roman" w:hAnsi="Times New Roman" w:cs="Times New Roman"/>
          <w:sz w:val="28"/>
          <w:szCs w:val="28"/>
          <w:lang w:eastAsia="ru-RU"/>
        </w:rPr>
        <w:t>(</w:t>
      </w:r>
      <w:r w:rsidRPr="00A87B5B">
        <w:rPr>
          <w:rFonts w:ascii="Times New Roman" w:eastAsia="Times New Roman" w:hAnsi="Times New Roman" w:cs="Times New Roman"/>
          <w:sz w:val="28"/>
          <w:szCs w:val="28"/>
          <w:lang w:eastAsia="ru-RU"/>
        </w:rPr>
        <w:t>164 человека</w:t>
      </w:r>
      <w:r w:rsidR="006E3CF3">
        <w:rPr>
          <w:rFonts w:ascii="Times New Roman" w:eastAsia="Times New Roman" w:hAnsi="Times New Roman" w:cs="Times New Roman"/>
          <w:sz w:val="28"/>
          <w:szCs w:val="28"/>
          <w:lang w:eastAsia="ru-RU"/>
        </w:rPr>
        <w:t>)</w:t>
      </w:r>
      <w:r w:rsidRPr="00A87B5B">
        <w:rPr>
          <w:rFonts w:ascii="Times New Roman" w:eastAsia="Times New Roman" w:hAnsi="Times New Roman" w:cs="Times New Roman"/>
          <w:sz w:val="28"/>
          <w:szCs w:val="28"/>
          <w:lang w:eastAsia="ru-RU"/>
        </w:rPr>
        <w:t xml:space="preserve">, </w:t>
      </w:r>
      <w:r w:rsidR="004173CB">
        <w:rPr>
          <w:rFonts w:ascii="Times New Roman" w:eastAsia="Times New Roman" w:hAnsi="Times New Roman" w:cs="Times New Roman"/>
          <w:sz w:val="28"/>
          <w:szCs w:val="28"/>
          <w:lang w:eastAsia="ru-RU"/>
        </w:rPr>
        <w:t xml:space="preserve">г. </w:t>
      </w:r>
      <w:r w:rsidRPr="00A87B5B">
        <w:rPr>
          <w:rFonts w:ascii="Times New Roman" w:eastAsia="Times New Roman" w:hAnsi="Times New Roman" w:cs="Times New Roman"/>
          <w:sz w:val="28"/>
          <w:szCs w:val="28"/>
          <w:lang w:eastAsia="ru-RU"/>
        </w:rPr>
        <w:t>Санкт-Петербург</w:t>
      </w:r>
      <w:r w:rsidR="004173CB">
        <w:rPr>
          <w:rFonts w:ascii="Times New Roman" w:eastAsia="Times New Roman" w:hAnsi="Times New Roman" w:cs="Times New Roman"/>
          <w:sz w:val="28"/>
          <w:szCs w:val="28"/>
          <w:lang w:eastAsia="ru-RU"/>
        </w:rPr>
        <w:t xml:space="preserve"> (1</w:t>
      </w:r>
      <w:r w:rsidRPr="00A87B5B">
        <w:rPr>
          <w:rFonts w:ascii="Times New Roman" w:eastAsia="Times New Roman" w:hAnsi="Times New Roman" w:cs="Times New Roman"/>
          <w:sz w:val="28"/>
          <w:szCs w:val="28"/>
          <w:lang w:eastAsia="ru-RU"/>
        </w:rPr>
        <w:t>10 человек</w:t>
      </w:r>
      <w:r w:rsidR="004173CB">
        <w:rPr>
          <w:rFonts w:ascii="Times New Roman" w:eastAsia="Times New Roman" w:hAnsi="Times New Roman" w:cs="Times New Roman"/>
          <w:sz w:val="28"/>
          <w:szCs w:val="28"/>
          <w:lang w:eastAsia="ru-RU"/>
        </w:rPr>
        <w:t>)</w:t>
      </w:r>
      <w:r w:rsidRPr="00A87B5B">
        <w:rPr>
          <w:rFonts w:ascii="Times New Roman" w:eastAsia="Times New Roman" w:hAnsi="Times New Roman" w:cs="Times New Roman"/>
          <w:sz w:val="28"/>
          <w:szCs w:val="28"/>
          <w:lang w:eastAsia="ru-RU"/>
        </w:rPr>
        <w:t xml:space="preserve">, Московская область </w:t>
      </w:r>
      <w:r w:rsidR="004173CB">
        <w:rPr>
          <w:rFonts w:ascii="Times New Roman" w:eastAsia="Times New Roman" w:hAnsi="Times New Roman" w:cs="Times New Roman"/>
          <w:sz w:val="28"/>
          <w:szCs w:val="28"/>
          <w:lang w:eastAsia="ru-RU"/>
        </w:rPr>
        <w:t>(</w:t>
      </w:r>
      <w:r w:rsidRPr="00A87B5B">
        <w:rPr>
          <w:rFonts w:ascii="Times New Roman" w:eastAsia="Times New Roman" w:hAnsi="Times New Roman" w:cs="Times New Roman"/>
          <w:sz w:val="28"/>
          <w:szCs w:val="28"/>
          <w:lang w:eastAsia="ru-RU"/>
        </w:rPr>
        <w:t>103 человека</w:t>
      </w:r>
      <w:r w:rsidR="004173CB">
        <w:rPr>
          <w:rFonts w:ascii="Times New Roman" w:eastAsia="Times New Roman" w:hAnsi="Times New Roman" w:cs="Times New Roman"/>
          <w:sz w:val="28"/>
          <w:szCs w:val="28"/>
          <w:lang w:eastAsia="ru-RU"/>
        </w:rPr>
        <w:t>)</w:t>
      </w:r>
      <w:r w:rsidRPr="00A87B5B">
        <w:rPr>
          <w:rFonts w:ascii="Times New Roman" w:eastAsia="Times New Roman" w:hAnsi="Times New Roman" w:cs="Times New Roman"/>
          <w:sz w:val="28"/>
          <w:szCs w:val="28"/>
          <w:lang w:eastAsia="ru-RU"/>
        </w:rPr>
        <w:t xml:space="preserve">, Новосибирская область </w:t>
      </w:r>
      <w:r w:rsidR="004173CB">
        <w:rPr>
          <w:rFonts w:ascii="Times New Roman" w:eastAsia="Times New Roman" w:hAnsi="Times New Roman" w:cs="Times New Roman"/>
          <w:sz w:val="28"/>
          <w:szCs w:val="28"/>
          <w:lang w:eastAsia="ru-RU"/>
        </w:rPr>
        <w:t>(</w:t>
      </w:r>
      <w:r w:rsidRPr="00A87B5B">
        <w:rPr>
          <w:rFonts w:ascii="Times New Roman" w:eastAsia="Times New Roman" w:hAnsi="Times New Roman" w:cs="Times New Roman"/>
          <w:sz w:val="28"/>
          <w:szCs w:val="28"/>
          <w:lang w:eastAsia="ru-RU"/>
        </w:rPr>
        <w:t>58 человек</w:t>
      </w:r>
      <w:r w:rsidR="004173CB">
        <w:rPr>
          <w:rFonts w:ascii="Times New Roman" w:eastAsia="Times New Roman" w:hAnsi="Times New Roman" w:cs="Times New Roman"/>
          <w:sz w:val="28"/>
          <w:szCs w:val="28"/>
          <w:lang w:eastAsia="ru-RU"/>
        </w:rPr>
        <w:t xml:space="preserve">), Кемеровская область </w:t>
      </w:r>
      <w:r w:rsidR="00D50BC5">
        <w:rPr>
          <w:rFonts w:ascii="Times New Roman" w:eastAsia="Times New Roman" w:hAnsi="Times New Roman" w:cs="Times New Roman"/>
          <w:sz w:val="28"/>
          <w:szCs w:val="28"/>
          <w:lang w:eastAsia="ru-RU"/>
        </w:rPr>
        <w:br/>
      </w:r>
      <w:r w:rsidR="004173CB">
        <w:rPr>
          <w:rFonts w:ascii="Times New Roman" w:eastAsia="Times New Roman" w:hAnsi="Times New Roman" w:cs="Times New Roman"/>
          <w:sz w:val="28"/>
          <w:szCs w:val="28"/>
          <w:lang w:eastAsia="ru-RU"/>
        </w:rPr>
        <w:t>(</w:t>
      </w:r>
      <w:r w:rsidRPr="00A87B5B">
        <w:rPr>
          <w:rFonts w:ascii="Times New Roman" w:eastAsia="Times New Roman" w:hAnsi="Times New Roman" w:cs="Times New Roman"/>
          <w:sz w:val="28"/>
          <w:szCs w:val="28"/>
          <w:lang w:eastAsia="ru-RU"/>
        </w:rPr>
        <w:t>45 человек</w:t>
      </w:r>
      <w:r w:rsidR="004173CB">
        <w:rPr>
          <w:rFonts w:ascii="Times New Roman" w:eastAsia="Times New Roman" w:hAnsi="Times New Roman" w:cs="Times New Roman"/>
          <w:sz w:val="28"/>
          <w:szCs w:val="28"/>
          <w:lang w:eastAsia="ru-RU"/>
        </w:rPr>
        <w:t>)</w:t>
      </w:r>
      <w:r w:rsidRPr="00A87B5B">
        <w:rPr>
          <w:rFonts w:ascii="Times New Roman" w:eastAsia="Times New Roman" w:hAnsi="Times New Roman" w:cs="Times New Roman"/>
          <w:sz w:val="28"/>
          <w:szCs w:val="28"/>
          <w:lang w:eastAsia="ru-RU"/>
        </w:rPr>
        <w:t xml:space="preserve">, Челябинская и Свердловская области </w:t>
      </w:r>
      <w:r w:rsidR="004173CB">
        <w:rPr>
          <w:rFonts w:ascii="Times New Roman" w:eastAsia="Times New Roman" w:hAnsi="Times New Roman" w:cs="Times New Roman"/>
          <w:sz w:val="28"/>
          <w:szCs w:val="28"/>
          <w:lang w:eastAsia="ru-RU"/>
        </w:rPr>
        <w:t>(</w:t>
      </w:r>
      <w:r w:rsidRPr="00A87B5B">
        <w:rPr>
          <w:rFonts w:ascii="Times New Roman" w:eastAsia="Times New Roman" w:hAnsi="Times New Roman" w:cs="Times New Roman"/>
          <w:sz w:val="28"/>
          <w:szCs w:val="28"/>
          <w:lang w:eastAsia="ru-RU"/>
        </w:rPr>
        <w:t>по 44 человека</w:t>
      </w:r>
      <w:r w:rsidR="004173CB">
        <w:rPr>
          <w:rFonts w:ascii="Times New Roman" w:eastAsia="Times New Roman" w:hAnsi="Times New Roman" w:cs="Times New Roman"/>
          <w:sz w:val="28"/>
          <w:szCs w:val="28"/>
          <w:lang w:eastAsia="ru-RU"/>
        </w:rPr>
        <w:t>)</w:t>
      </w:r>
      <w:r w:rsidRPr="00A87B5B">
        <w:rPr>
          <w:rFonts w:ascii="Times New Roman" w:eastAsia="Times New Roman" w:hAnsi="Times New Roman" w:cs="Times New Roman"/>
          <w:sz w:val="28"/>
          <w:szCs w:val="28"/>
          <w:lang w:eastAsia="ru-RU"/>
        </w:rPr>
        <w:t xml:space="preserve">, Красноярский край </w:t>
      </w:r>
      <w:r w:rsidR="004173CB">
        <w:rPr>
          <w:rFonts w:ascii="Times New Roman" w:eastAsia="Times New Roman" w:hAnsi="Times New Roman" w:cs="Times New Roman"/>
          <w:sz w:val="28"/>
          <w:szCs w:val="28"/>
          <w:lang w:eastAsia="ru-RU"/>
        </w:rPr>
        <w:t>(</w:t>
      </w:r>
      <w:r w:rsidRPr="00A87B5B">
        <w:rPr>
          <w:rFonts w:ascii="Times New Roman" w:eastAsia="Times New Roman" w:hAnsi="Times New Roman" w:cs="Times New Roman"/>
          <w:sz w:val="28"/>
          <w:szCs w:val="28"/>
          <w:lang w:eastAsia="ru-RU"/>
        </w:rPr>
        <w:t>38 человек</w:t>
      </w:r>
      <w:r w:rsidR="004173CB">
        <w:rPr>
          <w:rFonts w:ascii="Times New Roman" w:eastAsia="Times New Roman" w:hAnsi="Times New Roman" w:cs="Times New Roman"/>
          <w:sz w:val="28"/>
          <w:szCs w:val="28"/>
          <w:lang w:eastAsia="ru-RU"/>
        </w:rPr>
        <w:t>)</w:t>
      </w:r>
      <w:r w:rsidRPr="00A87B5B">
        <w:rPr>
          <w:rFonts w:ascii="Times New Roman" w:eastAsia="Times New Roman" w:hAnsi="Times New Roman" w:cs="Times New Roman"/>
          <w:sz w:val="28"/>
          <w:szCs w:val="28"/>
          <w:lang w:eastAsia="ru-RU"/>
        </w:rPr>
        <w:t>.</w:t>
      </w:r>
    </w:p>
    <w:p w14:paraId="5265EC7B" w14:textId="77777777" w:rsidR="00E94206" w:rsidRPr="00A87B5B" w:rsidRDefault="00E94206" w:rsidP="00E94206">
      <w:pPr>
        <w:widowControl w:val="0"/>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A87B5B">
        <w:rPr>
          <w:rFonts w:ascii="Times New Roman" w:eastAsia="Times New Roman" w:hAnsi="Times New Roman" w:cs="Times New Roman"/>
          <w:sz w:val="28"/>
          <w:szCs w:val="28"/>
          <w:lang w:eastAsia="ru-RU"/>
        </w:rPr>
        <w:t>В сентябре 2021</w:t>
      </w:r>
      <w:r w:rsidRPr="00A87B5B">
        <w:rPr>
          <w:rFonts w:ascii="Times New Roman" w:eastAsia="Times New Roman" w:hAnsi="Times New Roman" w:cs="Times New Roman"/>
          <w:sz w:val="28"/>
          <w:szCs w:val="28"/>
          <w:lang w:val="en-US" w:eastAsia="ru-RU"/>
        </w:rPr>
        <w:t> </w:t>
      </w:r>
      <w:r w:rsidRPr="00A87B5B">
        <w:rPr>
          <w:rFonts w:ascii="Times New Roman" w:eastAsia="Times New Roman" w:hAnsi="Times New Roman" w:cs="Times New Roman"/>
          <w:sz w:val="28"/>
          <w:szCs w:val="28"/>
          <w:lang w:eastAsia="ru-RU"/>
        </w:rPr>
        <w:t>г. в г.</w:t>
      </w:r>
      <w:r w:rsidRPr="00A87B5B">
        <w:rPr>
          <w:rFonts w:ascii="Times New Roman" w:eastAsia="Times New Roman" w:hAnsi="Times New Roman" w:cs="Times New Roman"/>
          <w:sz w:val="28"/>
          <w:szCs w:val="28"/>
          <w:lang w:val="en-US" w:eastAsia="ru-RU"/>
        </w:rPr>
        <w:t> </w:t>
      </w:r>
      <w:proofErr w:type="spellStart"/>
      <w:r w:rsidRPr="00A87B5B">
        <w:rPr>
          <w:rFonts w:ascii="Times New Roman" w:eastAsia="Times New Roman" w:hAnsi="Times New Roman" w:cs="Times New Roman"/>
          <w:sz w:val="28"/>
          <w:szCs w:val="28"/>
          <w:lang w:eastAsia="ru-RU"/>
        </w:rPr>
        <w:t>Грац</w:t>
      </w:r>
      <w:proofErr w:type="spellEnd"/>
      <w:r w:rsidRPr="00A87B5B">
        <w:rPr>
          <w:rFonts w:ascii="Times New Roman" w:eastAsia="Times New Roman" w:hAnsi="Times New Roman" w:cs="Times New Roman"/>
          <w:sz w:val="28"/>
          <w:szCs w:val="28"/>
          <w:lang w:eastAsia="ru-RU"/>
        </w:rPr>
        <w:t xml:space="preserve"> (Австрия) состоялся Европейски</w:t>
      </w:r>
      <w:r w:rsidR="009B1C25">
        <w:rPr>
          <w:rFonts w:ascii="Times New Roman" w:eastAsia="Times New Roman" w:hAnsi="Times New Roman" w:cs="Times New Roman"/>
          <w:sz w:val="28"/>
          <w:szCs w:val="28"/>
          <w:lang w:eastAsia="ru-RU"/>
        </w:rPr>
        <w:t xml:space="preserve">й </w:t>
      </w:r>
      <w:r w:rsidRPr="00A87B5B">
        <w:rPr>
          <w:rFonts w:ascii="Times New Roman" w:eastAsia="Times New Roman" w:hAnsi="Times New Roman" w:cs="Times New Roman"/>
          <w:sz w:val="28"/>
          <w:szCs w:val="28"/>
          <w:lang w:eastAsia="ru-RU"/>
        </w:rPr>
        <w:t>чемпионат по профессиональному мастерству по стандартам «</w:t>
      </w:r>
      <w:proofErr w:type="spellStart"/>
      <w:r w:rsidRPr="00A87B5B">
        <w:rPr>
          <w:rFonts w:ascii="Times New Roman" w:eastAsia="Times New Roman" w:hAnsi="Times New Roman" w:cs="Times New Roman"/>
          <w:sz w:val="28"/>
          <w:szCs w:val="28"/>
          <w:lang w:eastAsia="ru-RU"/>
        </w:rPr>
        <w:t>Ворлдскиллс</w:t>
      </w:r>
      <w:proofErr w:type="spellEnd"/>
      <w:r w:rsidRPr="00A87B5B">
        <w:rPr>
          <w:rFonts w:ascii="Times New Roman" w:eastAsia="Times New Roman" w:hAnsi="Times New Roman" w:cs="Times New Roman"/>
          <w:sz w:val="28"/>
          <w:szCs w:val="28"/>
          <w:lang w:eastAsia="ru-RU"/>
        </w:rPr>
        <w:t>» («</w:t>
      </w:r>
      <w:proofErr w:type="spellStart"/>
      <w:r w:rsidRPr="00A87B5B">
        <w:rPr>
          <w:rFonts w:ascii="Times New Roman" w:eastAsia="Times New Roman" w:hAnsi="Times New Roman" w:cs="Times New Roman"/>
          <w:sz w:val="28"/>
          <w:szCs w:val="28"/>
          <w:lang w:eastAsia="ru-RU"/>
        </w:rPr>
        <w:t>EuroSkills</w:t>
      </w:r>
      <w:proofErr w:type="spellEnd"/>
      <w:r w:rsidRPr="00A87B5B">
        <w:rPr>
          <w:rFonts w:ascii="Times New Roman" w:eastAsia="Times New Roman" w:hAnsi="Times New Roman" w:cs="Times New Roman"/>
          <w:sz w:val="28"/>
          <w:szCs w:val="28"/>
          <w:lang w:eastAsia="ru-RU"/>
        </w:rPr>
        <w:t xml:space="preserve"> </w:t>
      </w:r>
      <w:proofErr w:type="spellStart"/>
      <w:r w:rsidRPr="00A87B5B">
        <w:rPr>
          <w:rFonts w:ascii="Times New Roman" w:eastAsia="Times New Roman" w:hAnsi="Times New Roman" w:cs="Times New Roman"/>
          <w:sz w:val="28"/>
          <w:szCs w:val="28"/>
          <w:lang w:eastAsia="ru-RU"/>
        </w:rPr>
        <w:t>Graz</w:t>
      </w:r>
      <w:proofErr w:type="spellEnd"/>
      <w:r w:rsidRPr="00A87B5B">
        <w:rPr>
          <w:rFonts w:ascii="Times New Roman" w:eastAsia="Times New Roman" w:hAnsi="Times New Roman" w:cs="Times New Roman"/>
          <w:sz w:val="28"/>
          <w:szCs w:val="28"/>
          <w:lang w:eastAsia="ru-RU"/>
        </w:rPr>
        <w:t xml:space="preserve"> 2021»), в котором приняли </w:t>
      </w:r>
      <w:r w:rsidR="009B1C25">
        <w:rPr>
          <w:rFonts w:ascii="Times New Roman" w:eastAsia="Times New Roman" w:hAnsi="Times New Roman" w:cs="Times New Roman"/>
          <w:sz w:val="28"/>
          <w:szCs w:val="28"/>
          <w:lang w:eastAsia="ru-RU"/>
        </w:rPr>
        <w:t xml:space="preserve">участие более 400 конкурсантов </w:t>
      </w:r>
      <w:r w:rsidRPr="00A87B5B">
        <w:rPr>
          <w:rFonts w:ascii="Times New Roman" w:eastAsia="Times New Roman" w:hAnsi="Times New Roman" w:cs="Times New Roman"/>
          <w:sz w:val="28"/>
          <w:szCs w:val="28"/>
          <w:lang w:eastAsia="ru-RU"/>
        </w:rPr>
        <w:t>из 19 стран-участниц. Соревнования прош</w:t>
      </w:r>
      <w:r w:rsidR="009B1C25">
        <w:rPr>
          <w:rFonts w:ascii="Times New Roman" w:eastAsia="Times New Roman" w:hAnsi="Times New Roman" w:cs="Times New Roman"/>
          <w:sz w:val="28"/>
          <w:szCs w:val="28"/>
          <w:lang w:eastAsia="ru-RU"/>
        </w:rPr>
        <w:t xml:space="preserve">ли по 38 основным компетенциям </w:t>
      </w:r>
      <w:r w:rsidRPr="00A87B5B">
        <w:rPr>
          <w:rFonts w:ascii="Times New Roman" w:eastAsia="Times New Roman" w:hAnsi="Times New Roman" w:cs="Times New Roman"/>
          <w:sz w:val="28"/>
          <w:szCs w:val="28"/>
          <w:lang w:eastAsia="ru-RU"/>
        </w:rPr>
        <w:t>и 10 презентационным компетенциям. В</w:t>
      </w:r>
      <w:r w:rsidR="009B1C25">
        <w:rPr>
          <w:rFonts w:ascii="Times New Roman" w:eastAsia="Times New Roman" w:hAnsi="Times New Roman" w:cs="Times New Roman"/>
          <w:sz w:val="28"/>
          <w:szCs w:val="28"/>
          <w:lang w:eastAsia="ru-RU"/>
        </w:rPr>
        <w:t xml:space="preserve"> рамках указанного чемпионата </w:t>
      </w:r>
      <w:r w:rsidRPr="00A87B5B">
        <w:rPr>
          <w:rFonts w:ascii="Times New Roman" w:eastAsia="Times New Roman" w:hAnsi="Times New Roman" w:cs="Times New Roman"/>
          <w:sz w:val="28"/>
          <w:szCs w:val="28"/>
          <w:lang w:eastAsia="ru-RU"/>
        </w:rPr>
        <w:t>в Национальную сборную России вошли 57 конкурсантов из 1</w:t>
      </w:r>
      <w:r w:rsidR="00F34E13">
        <w:rPr>
          <w:rFonts w:ascii="Times New Roman" w:eastAsia="Times New Roman" w:hAnsi="Times New Roman" w:cs="Times New Roman"/>
          <w:sz w:val="28"/>
          <w:szCs w:val="28"/>
          <w:lang w:eastAsia="ru-RU"/>
        </w:rPr>
        <w:t>5</w:t>
      </w:r>
      <w:r w:rsidRPr="00A87B5B">
        <w:rPr>
          <w:rFonts w:ascii="Times New Roman" w:eastAsia="Times New Roman" w:hAnsi="Times New Roman" w:cs="Times New Roman"/>
          <w:sz w:val="28"/>
          <w:szCs w:val="28"/>
          <w:lang w:eastAsia="ru-RU"/>
        </w:rPr>
        <w:t xml:space="preserve"> субъектов Российской Федерации.</w:t>
      </w:r>
    </w:p>
    <w:p w14:paraId="2B2DF9BC" w14:textId="53C1C815" w:rsidR="00E94206" w:rsidRPr="00A87B5B" w:rsidRDefault="00E94206" w:rsidP="00E94206">
      <w:pPr>
        <w:widowControl w:val="0"/>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A87B5B">
        <w:rPr>
          <w:rFonts w:ascii="Times New Roman" w:eastAsia="Times New Roman" w:hAnsi="Times New Roman" w:cs="Times New Roman"/>
          <w:sz w:val="28"/>
          <w:szCs w:val="28"/>
          <w:lang w:eastAsia="ru-RU"/>
        </w:rPr>
        <w:t>По итогам Европейского чемпионата п</w:t>
      </w:r>
      <w:r w:rsidR="009B1C25">
        <w:rPr>
          <w:rFonts w:ascii="Times New Roman" w:eastAsia="Times New Roman" w:hAnsi="Times New Roman" w:cs="Times New Roman"/>
          <w:sz w:val="28"/>
          <w:szCs w:val="28"/>
          <w:lang w:eastAsia="ru-RU"/>
        </w:rPr>
        <w:t xml:space="preserve">о профессиональному мастерству </w:t>
      </w:r>
      <w:r w:rsidRPr="00A87B5B">
        <w:rPr>
          <w:rFonts w:ascii="Times New Roman" w:eastAsia="Times New Roman" w:hAnsi="Times New Roman" w:cs="Times New Roman"/>
          <w:sz w:val="28"/>
          <w:szCs w:val="28"/>
          <w:lang w:eastAsia="ru-RU"/>
        </w:rPr>
        <w:t>по стандартам «</w:t>
      </w:r>
      <w:proofErr w:type="spellStart"/>
      <w:r w:rsidRPr="00A87B5B">
        <w:rPr>
          <w:rFonts w:ascii="Times New Roman" w:eastAsia="Times New Roman" w:hAnsi="Times New Roman" w:cs="Times New Roman"/>
          <w:sz w:val="28"/>
          <w:szCs w:val="28"/>
          <w:lang w:eastAsia="ru-RU"/>
        </w:rPr>
        <w:t>Ворлдскиллс</w:t>
      </w:r>
      <w:proofErr w:type="spellEnd"/>
      <w:r w:rsidRPr="00A87B5B">
        <w:rPr>
          <w:rFonts w:ascii="Times New Roman" w:eastAsia="Times New Roman" w:hAnsi="Times New Roman" w:cs="Times New Roman"/>
          <w:sz w:val="28"/>
          <w:szCs w:val="28"/>
          <w:lang w:eastAsia="ru-RU"/>
        </w:rPr>
        <w:t>» («</w:t>
      </w:r>
      <w:proofErr w:type="spellStart"/>
      <w:r w:rsidRPr="00A87B5B">
        <w:rPr>
          <w:rFonts w:ascii="Times New Roman" w:eastAsia="Times New Roman" w:hAnsi="Times New Roman" w:cs="Times New Roman"/>
          <w:sz w:val="28"/>
          <w:szCs w:val="28"/>
          <w:lang w:eastAsia="ru-RU"/>
        </w:rPr>
        <w:t>Euro</w:t>
      </w:r>
      <w:r w:rsidR="009B1C25">
        <w:rPr>
          <w:rFonts w:ascii="Times New Roman" w:eastAsia="Times New Roman" w:hAnsi="Times New Roman" w:cs="Times New Roman"/>
          <w:sz w:val="28"/>
          <w:szCs w:val="28"/>
          <w:lang w:eastAsia="ru-RU"/>
        </w:rPr>
        <w:t>Skills</w:t>
      </w:r>
      <w:proofErr w:type="spellEnd"/>
      <w:r w:rsidR="009B1C25">
        <w:rPr>
          <w:rFonts w:ascii="Times New Roman" w:eastAsia="Times New Roman" w:hAnsi="Times New Roman" w:cs="Times New Roman"/>
          <w:sz w:val="28"/>
          <w:szCs w:val="28"/>
          <w:lang w:eastAsia="ru-RU"/>
        </w:rPr>
        <w:t xml:space="preserve"> </w:t>
      </w:r>
      <w:proofErr w:type="spellStart"/>
      <w:r w:rsidR="009B1C25">
        <w:rPr>
          <w:rFonts w:ascii="Times New Roman" w:eastAsia="Times New Roman" w:hAnsi="Times New Roman" w:cs="Times New Roman"/>
          <w:sz w:val="28"/>
          <w:szCs w:val="28"/>
          <w:lang w:eastAsia="ru-RU"/>
        </w:rPr>
        <w:t>Graz</w:t>
      </w:r>
      <w:proofErr w:type="spellEnd"/>
      <w:r w:rsidR="009B1C25">
        <w:rPr>
          <w:rFonts w:ascii="Times New Roman" w:eastAsia="Times New Roman" w:hAnsi="Times New Roman" w:cs="Times New Roman"/>
          <w:sz w:val="28"/>
          <w:szCs w:val="28"/>
          <w:lang w:eastAsia="ru-RU"/>
        </w:rPr>
        <w:t xml:space="preserve"> 2021») по основным </w:t>
      </w:r>
      <w:r w:rsidRPr="00A87B5B">
        <w:rPr>
          <w:rFonts w:ascii="Times New Roman" w:eastAsia="Times New Roman" w:hAnsi="Times New Roman" w:cs="Times New Roman"/>
          <w:sz w:val="28"/>
          <w:szCs w:val="28"/>
          <w:lang w:eastAsia="ru-RU"/>
        </w:rPr>
        <w:t>компетенциям Национальная сборная Росси</w:t>
      </w:r>
      <w:r w:rsidR="009B1C25">
        <w:rPr>
          <w:rFonts w:ascii="Times New Roman" w:eastAsia="Times New Roman" w:hAnsi="Times New Roman" w:cs="Times New Roman"/>
          <w:sz w:val="28"/>
          <w:szCs w:val="28"/>
          <w:lang w:eastAsia="ru-RU"/>
        </w:rPr>
        <w:t xml:space="preserve">и завоевала 32 награды (медали </w:t>
      </w:r>
      <w:r w:rsidRPr="00A87B5B">
        <w:rPr>
          <w:rFonts w:ascii="Times New Roman" w:eastAsia="Times New Roman" w:hAnsi="Times New Roman" w:cs="Times New Roman"/>
          <w:sz w:val="28"/>
          <w:szCs w:val="28"/>
          <w:lang w:eastAsia="ru-RU"/>
        </w:rPr>
        <w:t xml:space="preserve">и медальоны за профессионализм): 15 конкурсантов по 13 компетенциям завоевали 13 золотых медалей; 7 </w:t>
      </w:r>
      <w:r w:rsidR="004173CB">
        <w:rPr>
          <w:rFonts w:ascii="Times New Roman" w:eastAsia="Times New Roman" w:hAnsi="Times New Roman" w:cs="Times New Roman"/>
          <w:sz w:val="28"/>
          <w:szCs w:val="28"/>
          <w:lang w:eastAsia="ru-RU"/>
        </w:rPr>
        <w:t xml:space="preserve">конкурсантов по 6 компетенциям – </w:t>
      </w:r>
      <w:r w:rsidRPr="00A87B5B">
        <w:rPr>
          <w:rFonts w:ascii="Times New Roman" w:eastAsia="Times New Roman" w:hAnsi="Times New Roman" w:cs="Times New Roman"/>
          <w:sz w:val="28"/>
          <w:szCs w:val="28"/>
          <w:lang w:eastAsia="ru-RU"/>
        </w:rPr>
        <w:t xml:space="preserve">6 серебряных медалей; </w:t>
      </w:r>
      <w:r w:rsidR="00D50BC5">
        <w:rPr>
          <w:rFonts w:ascii="Times New Roman" w:eastAsia="Times New Roman" w:hAnsi="Times New Roman" w:cs="Times New Roman"/>
          <w:sz w:val="28"/>
          <w:szCs w:val="28"/>
          <w:lang w:eastAsia="ru-RU"/>
        </w:rPr>
        <w:br/>
      </w:r>
      <w:r w:rsidRPr="00A87B5B">
        <w:rPr>
          <w:rFonts w:ascii="Times New Roman" w:eastAsia="Times New Roman" w:hAnsi="Times New Roman" w:cs="Times New Roman"/>
          <w:sz w:val="28"/>
          <w:szCs w:val="28"/>
          <w:lang w:eastAsia="ru-RU"/>
        </w:rPr>
        <w:t xml:space="preserve">10 конкурсантов по 8 компетенциям </w:t>
      </w:r>
      <w:r w:rsidR="004173CB">
        <w:rPr>
          <w:rFonts w:ascii="Times New Roman" w:eastAsia="Times New Roman" w:hAnsi="Times New Roman" w:cs="Times New Roman"/>
          <w:sz w:val="28"/>
          <w:szCs w:val="28"/>
          <w:lang w:eastAsia="ru-RU"/>
        </w:rPr>
        <w:t xml:space="preserve">– </w:t>
      </w:r>
      <w:r w:rsidR="009B1C25">
        <w:rPr>
          <w:rFonts w:ascii="Times New Roman" w:eastAsia="Times New Roman" w:hAnsi="Times New Roman" w:cs="Times New Roman"/>
          <w:sz w:val="28"/>
          <w:szCs w:val="28"/>
          <w:lang w:eastAsia="ru-RU"/>
        </w:rPr>
        <w:t xml:space="preserve">8 бронзовых медалей; </w:t>
      </w:r>
      <w:r w:rsidRPr="00A87B5B">
        <w:rPr>
          <w:rFonts w:ascii="Times New Roman" w:eastAsia="Times New Roman" w:hAnsi="Times New Roman" w:cs="Times New Roman"/>
          <w:sz w:val="28"/>
          <w:szCs w:val="28"/>
          <w:lang w:eastAsia="ru-RU"/>
        </w:rPr>
        <w:t xml:space="preserve">5 конкурсантов </w:t>
      </w:r>
      <w:r w:rsidR="00D50BC5">
        <w:rPr>
          <w:rFonts w:ascii="Times New Roman" w:eastAsia="Times New Roman" w:hAnsi="Times New Roman" w:cs="Times New Roman"/>
          <w:sz w:val="28"/>
          <w:szCs w:val="28"/>
          <w:lang w:eastAsia="ru-RU"/>
        </w:rPr>
        <w:br/>
      </w:r>
      <w:r w:rsidRPr="00A87B5B">
        <w:rPr>
          <w:rFonts w:ascii="Times New Roman" w:eastAsia="Times New Roman" w:hAnsi="Times New Roman" w:cs="Times New Roman"/>
          <w:sz w:val="28"/>
          <w:szCs w:val="28"/>
          <w:lang w:eastAsia="ru-RU"/>
        </w:rPr>
        <w:t xml:space="preserve">по 5 компетенциям </w:t>
      </w:r>
      <w:r w:rsidR="004173CB">
        <w:rPr>
          <w:rFonts w:ascii="Times New Roman" w:eastAsia="Times New Roman" w:hAnsi="Times New Roman" w:cs="Times New Roman"/>
          <w:sz w:val="28"/>
          <w:szCs w:val="28"/>
          <w:lang w:eastAsia="ru-RU"/>
        </w:rPr>
        <w:t>–</w:t>
      </w:r>
      <w:r w:rsidRPr="00A87B5B">
        <w:rPr>
          <w:rFonts w:ascii="Times New Roman" w:eastAsia="Times New Roman" w:hAnsi="Times New Roman" w:cs="Times New Roman"/>
          <w:sz w:val="28"/>
          <w:szCs w:val="28"/>
          <w:lang w:eastAsia="ru-RU"/>
        </w:rPr>
        <w:t xml:space="preserve"> 5 медальонов за профессионализм.</w:t>
      </w:r>
    </w:p>
    <w:p w14:paraId="1DD26CFA" w14:textId="77777777" w:rsidR="00E94206" w:rsidRPr="00A87B5B" w:rsidRDefault="00E94206" w:rsidP="00E94206">
      <w:pPr>
        <w:widowControl w:val="0"/>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A87B5B">
        <w:rPr>
          <w:rFonts w:ascii="Times New Roman" w:eastAsia="Times New Roman" w:hAnsi="Times New Roman" w:cs="Times New Roman"/>
          <w:sz w:val="28"/>
          <w:szCs w:val="28"/>
          <w:lang w:eastAsia="ru-RU"/>
        </w:rPr>
        <w:t>По презентационным компетенциям в рамках указанного чемпионата Национальная сборная России завое</w:t>
      </w:r>
      <w:r w:rsidR="009B1C25">
        <w:rPr>
          <w:rFonts w:ascii="Times New Roman" w:eastAsia="Times New Roman" w:hAnsi="Times New Roman" w:cs="Times New Roman"/>
          <w:sz w:val="28"/>
          <w:szCs w:val="28"/>
          <w:lang w:eastAsia="ru-RU"/>
        </w:rPr>
        <w:t xml:space="preserve">вала 8 медалей: 5 конкурсантов </w:t>
      </w:r>
      <w:r w:rsidR="00C66AD1">
        <w:rPr>
          <w:rFonts w:ascii="Times New Roman" w:eastAsia="Times New Roman" w:hAnsi="Times New Roman" w:cs="Times New Roman"/>
          <w:sz w:val="28"/>
          <w:szCs w:val="28"/>
          <w:lang w:eastAsia="ru-RU"/>
        </w:rPr>
        <w:br/>
      </w:r>
      <w:r w:rsidRPr="00A87B5B">
        <w:rPr>
          <w:rFonts w:ascii="Times New Roman" w:eastAsia="Times New Roman" w:hAnsi="Times New Roman" w:cs="Times New Roman"/>
          <w:sz w:val="28"/>
          <w:szCs w:val="28"/>
          <w:lang w:eastAsia="ru-RU"/>
        </w:rPr>
        <w:t xml:space="preserve">по 4 компетенциям завоевали 4 золотые медали; 2 конкурсанта по 2 компетенциям </w:t>
      </w:r>
      <w:r w:rsidR="004173CB">
        <w:rPr>
          <w:rFonts w:ascii="Times New Roman" w:eastAsia="Times New Roman" w:hAnsi="Times New Roman" w:cs="Times New Roman"/>
          <w:sz w:val="28"/>
          <w:szCs w:val="28"/>
          <w:lang w:eastAsia="ru-RU"/>
        </w:rPr>
        <w:t>–</w:t>
      </w:r>
      <w:r w:rsidRPr="00A87B5B">
        <w:rPr>
          <w:rFonts w:ascii="Times New Roman" w:eastAsia="Times New Roman" w:hAnsi="Times New Roman" w:cs="Times New Roman"/>
          <w:sz w:val="28"/>
          <w:szCs w:val="28"/>
          <w:lang w:eastAsia="ru-RU"/>
        </w:rPr>
        <w:t xml:space="preserve"> 2 серебряные медали; 3 конкурсанта по 2 компетенциям </w:t>
      </w:r>
      <w:r w:rsidR="004173CB">
        <w:rPr>
          <w:rFonts w:ascii="Times New Roman" w:eastAsia="Times New Roman" w:hAnsi="Times New Roman" w:cs="Times New Roman"/>
          <w:sz w:val="28"/>
          <w:szCs w:val="28"/>
          <w:lang w:eastAsia="ru-RU"/>
        </w:rPr>
        <w:t xml:space="preserve">– </w:t>
      </w:r>
      <w:r w:rsidRPr="00A87B5B">
        <w:rPr>
          <w:rFonts w:ascii="Times New Roman" w:eastAsia="Times New Roman" w:hAnsi="Times New Roman" w:cs="Times New Roman"/>
          <w:sz w:val="28"/>
          <w:szCs w:val="28"/>
          <w:lang w:eastAsia="ru-RU"/>
        </w:rPr>
        <w:t>2 бронзовые медали.</w:t>
      </w:r>
    </w:p>
    <w:p w14:paraId="2CAB77D5" w14:textId="77777777" w:rsidR="00E94206" w:rsidRPr="00A87B5B" w:rsidRDefault="00E94206" w:rsidP="00E94206">
      <w:pPr>
        <w:widowControl w:val="0"/>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A87B5B">
        <w:rPr>
          <w:rFonts w:ascii="Times New Roman" w:eastAsia="Times New Roman" w:hAnsi="Times New Roman" w:cs="Times New Roman"/>
          <w:sz w:val="28"/>
          <w:szCs w:val="28"/>
          <w:lang w:eastAsia="ru-RU"/>
        </w:rPr>
        <w:t>Таким образом, Национальн</w:t>
      </w:r>
      <w:r w:rsidR="009B1C25">
        <w:rPr>
          <w:rFonts w:ascii="Times New Roman" w:eastAsia="Times New Roman" w:hAnsi="Times New Roman" w:cs="Times New Roman"/>
          <w:sz w:val="28"/>
          <w:szCs w:val="28"/>
          <w:lang w:eastAsia="ru-RU"/>
        </w:rPr>
        <w:t xml:space="preserve">ая сборная России стала первой </w:t>
      </w:r>
      <w:r w:rsidRPr="00A87B5B">
        <w:rPr>
          <w:rFonts w:ascii="Times New Roman" w:eastAsia="Times New Roman" w:hAnsi="Times New Roman" w:cs="Times New Roman"/>
          <w:sz w:val="28"/>
          <w:szCs w:val="28"/>
          <w:lang w:eastAsia="ru-RU"/>
        </w:rPr>
        <w:t>(из 19 стран-участниц) по общему количес</w:t>
      </w:r>
      <w:r w:rsidR="004173CB">
        <w:rPr>
          <w:rFonts w:ascii="Times New Roman" w:eastAsia="Times New Roman" w:hAnsi="Times New Roman" w:cs="Times New Roman"/>
          <w:sz w:val="28"/>
          <w:szCs w:val="28"/>
          <w:lang w:eastAsia="ru-RU"/>
        </w:rPr>
        <w:t>тву выигранных медалей</w:t>
      </w:r>
      <w:r w:rsidR="009B1C25">
        <w:rPr>
          <w:rFonts w:ascii="Times New Roman" w:eastAsia="Times New Roman" w:hAnsi="Times New Roman" w:cs="Times New Roman"/>
          <w:sz w:val="28"/>
          <w:szCs w:val="28"/>
          <w:lang w:eastAsia="ru-RU"/>
        </w:rPr>
        <w:t xml:space="preserve"> </w:t>
      </w:r>
      <w:r w:rsidR="004173CB">
        <w:rPr>
          <w:rFonts w:ascii="Times New Roman" w:eastAsia="Times New Roman" w:hAnsi="Times New Roman" w:cs="Times New Roman"/>
          <w:sz w:val="28"/>
          <w:szCs w:val="28"/>
          <w:lang w:eastAsia="ru-RU"/>
        </w:rPr>
        <w:t xml:space="preserve">и </w:t>
      </w:r>
      <w:r w:rsidRPr="00A87B5B">
        <w:rPr>
          <w:rFonts w:ascii="Times New Roman" w:eastAsia="Times New Roman" w:hAnsi="Times New Roman" w:cs="Times New Roman"/>
          <w:sz w:val="28"/>
          <w:szCs w:val="28"/>
          <w:lang w:eastAsia="ru-RU"/>
        </w:rPr>
        <w:t>по количеству золотых медалей.</w:t>
      </w:r>
    </w:p>
    <w:p w14:paraId="4920E505" w14:textId="5C00EA7B" w:rsidR="00E94206" w:rsidRPr="00A87B5B" w:rsidRDefault="00E94206" w:rsidP="00E94206">
      <w:pPr>
        <w:widowControl w:val="0"/>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A87B5B">
        <w:rPr>
          <w:rFonts w:ascii="Times New Roman" w:eastAsia="Times New Roman" w:hAnsi="Times New Roman" w:cs="Times New Roman"/>
          <w:sz w:val="28"/>
          <w:szCs w:val="28"/>
          <w:lang w:eastAsia="ru-RU"/>
        </w:rPr>
        <w:t>В октябр</w:t>
      </w:r>
      <w:r w:rsidR="009B1C25">
        <w:rPr>
          <w:rFonts w:ascii="Times New Roman" w:eastAsia="Times New Roman" w:hAnsi="Times New Roman" w:cs="Times New Roman"/>
          <w:sz w:val="28"/>
          <w:szCs w:val="28"/>
          <w:lang w:eastAsia="ru-RU"/>
        </w:rPr>
        <w:t>е</w:t>
      </w:r>
      <w:r w:rsidRPr="00A87B5B">
        <w:rPr>
          <w:rFonts w:ascii="Times New Roman" w:eastAsia="Times New Roman" w:hAnsi="Times New Roman" w:cs="Times New Roman"/>
          <w:sz w:val="28"/>
          <w:szCs w:val="28"/>
          <w:lang w:eastAsia="ru-RU"/>
        </w:rPr>
        <w:t xml:space="preserve"> 2021 г. в очно-дистанционном формате проведен отборочный этап VII Национального чемпионата по проф</w:t>
      </w:r>
      <w:r w:rsidR="009B1C25">
        <w:rPr>
          <w:rFonts w:ascii="Times New Roman" w:eastAsia="Times New Roman" w:hAnsi="Times New Roman" w:cs="Times New Roman"/>
          <w:sz w:val="28"/>
          <w:szCs w:val="28"/>
          <w:lang w:eastAsia="ru-RU"/>
        </w:rPr>
        <w:t xml:space="preserve">ессиональному мастерству среди </w:t>
      </w:r>
      <w:r w:rsidRPr="00A87B5B">
        <w:rPr>
          <w:rFonts w:ascii="Times New Roman" w:eastAsia="Times New Roman" w:hAnsi="Times New Roman" w:cs="Times New Roman"/>
          <w:sz w:val="28"/>
          <w:szCs w:val="28"/>
          <w:lang w:eastAsia="ru-RU"/>
        </w:rPr>
        <w:t xml:space="preserve">инвалидов и лиц с </w:t>
      </w:r>
      <w:r w:rsidR="004173CB">
        <w:rPr>
          <w:rFonts w:ascii="Times New Roman" w:eastAsia="Times New Roman" w:hAnsi="Times New Roman" w:cs="Times New Roman"/>
          <w:sz w:val="28"/>
          <w:szCs w:val="28"/>
          <w:lang w:eastAsia="ru-RU"/>
        </w:rPr>
        <w:t>ОВЗ</w:t>
      </w:r>
      <w:r w:rsidR="009B1C25">
        <w:rPr>
          <w:rFonts w:ascii="Times New Roman" w:eastAsia="Times New Roman" w:hAnsi="Times New Roman" w:cs="Times New Roman"/>
          <w:sz w:val="28"/>
          <w:szCs w:val="28"/>
          <w:lang w:eastAsia="ru-RU"/>
        </w:rPr>
        <w:t xml:space="preserve"> «</w:t>
      </w:r>
      <w:proofErr w:type="spellStart"/>
      <w:r w:rsidR="009B1C25">
        <w:rPr>
          <w:rFonts w:ascii="Times New Roman" w:eastAsia="Times New Roman" w:hAnsi="Times New Roman" w:cs="Times New Roman"/>
          <w:sz w:val="28"/>
          <w:szCs w:val="28"/>
          <w:lang w:eastAsia="ru-RU"/>
        </w:rPr>
        <w:t>Абилимпикс</w:t>
      </w:r>
      <w:proofErr w:type="spellEnd"/>
      <w:r w:rsidR="009B1C25">
        <w:rPr>
          <w:rFonts w:ascii="Times New Roman" w:eastAsia="Times New Roman" w:hAnsi="Times New Roman" w:cs="Times New Roman"/>
          <w:sz w:val="28"/>
          <w:szCs w:val="28"/>
          <w:lang w:eastAsia="ru-RU"/>
        </w:rPr>
        <w:t xml:space="preserve">» </w:t>
      </w:r>
      <w:r w:rsidRPr="00A87B5B">
        <w:rPr>
          <w:rFonts w:ascii="Times New Roman" w:eastAsia="Times New Roman" w:hAnsi="Times New Roman" w:cs="Times New Roman"/>
          <w:sz w:val="28"/>
          <w:szCs w:val="28"/>
          <w:lang w:eastAsia="ru-RU"/>
        </w:rPr>
        <w:t xml:space="preserve">по 74 компетенциям, </w:t>
      </w:r>
      <w:r w:rsidR="004173CB">
        <w:rPr>
          <w:rFonts w:ascii="Times New Roman" w:eastAsia="Times New Roman" w:hAnsi="Times New Roman" w:cs="Times New Roman"/>
          <w:sz w:val="28"/>
          <w:szCs w:val="28"/>
          <w:lang w:eastAsia="ru-RU"/>
        </w:rPr>
        <w:t>участниками которого стали</w:t>
      </w:r>
      <w:r w:rsidRPr="00A87B5B">
        <w:rPr>
          <w:rFonts w:ascii="Times New Roman" w:eastAsia="Times New Roman" w:hAnsi="Times New Roman" w:cs="Times New Roman"/>
          <w:sz w:val="28"/>
          <w:szCs w:val="28"/>
          <w:lang w:eastAsia="ru-RU"/>
        </w:rPr>
        <w:t xml:space="preserve"> </w:t>
      </w:r>
      <w:r w:rsidR="00D50BC5">
        <w:rPr>
          <w:rFonts w:ascii="Times New Roman" w:eastAsia="Times New Roman" w:hAnsi="Times New Roman" w:cs="Times New Roman"/>
          <w:sz w:val="28"/>
          <w:szCs w:val="28"/>
          <w:lang w:eastAsia="ru-RU"/>
        </w:rPr>
        <w:br/>
      </w:r>
      <w:r w:rsidRPr="00A87B5B">
        <w:rPr>
          <w:rFonts w:ascii="Times New Roman" w:eastAsia="Times New Roman" w:hAnsi="Times New Roman" w:cs="Times New Roman"/>
          <w:sz w:val="28"/>
          <w:szCs w:val="28"/>
          <w:lang w:eastAsia="ru-RU"/>
        </w:rPr>
        <w:t>2</w:t>
      </w:r>
      <w:r w:rsidRPr="00A87B5B">
        <w:rPr>
          <w:rFonts w:ascii="Times New Roman" w:eastAsia="Times New Roman" w:hAnsi="Times New Roman" w:cs="Times New Roman"/>
          <w:sz w:val="28"/>
          <w:szCs w:val="28"/>
          <w:lang w:val="en-US" w:eastAsia="ru-RU"/>
        </w:rPr>
        <w:t> </w:t>
      </w:r>
      <w:r w:rsidRPr="00A87B5B">
        <w:rPr>
          <w:rFonts w:ascii="Times New Roman" w:eastAsia="Times New Roman" w:hAnsi="Times New Roman" w:cs="Times New Roman"/>
          <w:sz w:val="28"/>
          <w:szCs w:val="28"/>
          <w:lang w:eastAsia="ru-RU"/>
        </w:rPr>
        <w:t xml:space="preserve">198 </w:t>
      </w:r>
      <w:r w:rsidR="004173CB">
        <w:rPr>
          <w:rFonts w:ascii="Times New Roman" w:eastAsia="Times New Roman" w:hAnsi="Times New Roman" w:cs="Times New Roman"/>
          <w:sz w:val="28"/>
          <w:szCs w:val="28"/>
          <w:lang w:eastAsia="ru-RU"/>
        </w:rPr>
        <w:t xml:space="preserve">человек, </w:t>
      </w:r>
      <w:r w:rsidRPr="00A87B5B">
        <w:rPr>
          <w:rFonts w:ascii="Times New Roman" w:eastAsia="Times New Roman" w:hAnsi="Times New Roman" w:cs="Times New Roman"/>
          <w:sz w:val="28"/>
          <w:szCs w:val="28"/>
          <w:lang w:eastAsia="ru-RU"/>
        </w:rPr>
        <w:t>что на 9,9% больше, чем в 2020 г</w:t>
      </w:r>
      <w:r w:rsidR="00C66AD1">
        <w:rPr>
          <w:rFonts w:ascii="Times New Roman" w:eastAsia="Times New Roman" w:hAnsi="Times New Roman" w:cs="Times New Roman"/>
          <w:sz w:val="28"/>
          <w:szCs w:val="28"/>
          <w:lang w:eastAsia="ru-RU"/>
        </w:rPr>
        <w:t>.</w:t>
      </w:r>
      <w:r w:rsidRPr="00A87B5B">
        <w:rPr>
          <w:rFonts w:ascii="Times New Roman" w:eastAsia="Times New Roman" w:hAnsi="Times New Roman" w:cs="Times New Roman"/>
          <w:sz w:val="28"/>
          <w:szCs w:val="28"/>
          <w:lang w:eastAsia="ru-RU"/>
        </w:rPr>
        <w:t xml:space="preserve">, и в </w:t>
      </w:r>
      <w:r w:rsidR="004173CB">
        <w:rPr>
          <w:rFonts w:ascii="Times New Roman" w:eastAsia="Times New Roman" w:hAnsi="Times New Roman" w:cs="Times New Roman"/>
          <w:sz w:val="28"/>
          <w:szCs w:val="28"/>
          <w:lang w:eastAsia="ru-RU"/>
        </w:rPr>
        <w:t>7,7 раз больше, чем в 2015 г</w:t>
      </w:r>
      <w:r w:rsidR="00C66AD1">
        <w:rPr>
          <w:rFonts w:ascii="Times New Roman" w:eastAsia="Times New Roman" w:hAnsi="Times New Roman" w:cs="Times New Roman"/>
          <w:sz w:val="28"/>
          <w:szCs w:val="28"/>
          <w:lang w:eastAsia="ru-RU"/>
        </w:rPr>
        <w:t>.</w:t>
      </w:r>
      <w:r w:rsidRPr="00A87B5B">
        <w:rPr>
          <w:rFonts w:ascii="Times New Roman" w:eastAsia="Times New Roman" w:hAnsi="Times New Roman" w:cs="Times New Roman"/>
          <w:sz w:val="28"/>
          <w:szCs w:val="28"/>
          <w:lang w:eastAsia="ru-RU"/>
        </w:rPr>
        <w:t>, в том числе 1</w:t>
      </w:r>
      <w:r w:rsidRPr="00A87B5B">
        <w:rPr>
          <w:rFonts w:ascii="Times New Roman" w:eastAsia="Times New Roman" w:hAnsi="Times New Roman" w:cs="Times New Roman"/>
          <w:sz w:val="28"/>
          <w:szCs w:val="28"/>
          <w:lang w:val="en-US" w:eastAsia="ru-RU"/>
        </w:rPr>
        <w:t> </w:t>
      </w:r>
      <w:r w:rsidRPr="00A87B5B">
        <w:rPr>
          <w:rFonts w:ascii="Times New Roman" w:eastAsia="Times New Roman" w:hAnsi="Times New Roman" w:cs="Times New Roman"/>
          <w:sz w:val="28"/>
          <w:szCs w:val="28"/>
          <w:lang w:eastAsia="ru-RU"/>
        </w:rPr>
        <w:t>253 студента (по 73 компетенциям), 679 шк</w:t>
      </w:r>
      <w:r w:rsidR="009B1C25">
        <w:rPr>
          <w:rFonts w:ascii="Times New Roman" w:eastAsia="Times New Roman" w:hAnsi="Times New Roman" w:cs="Times New Roman"/>
          <w:sz w:val="28"/>
          <w:szCs w:val="28"/>
          <w:lang w:eastAsia="ru-RU"/>
        </w:rPr>
        <w:t xml:space="preserve">ольников </w:t>
      </w:r>
      <w:r w:rsidR="00D50BC5">
        <w:rPr>
          <w:rFonts w:ascii="Times New Roman" w:eastAsia="Times New Roman" w:hAnsi="Times New Roman" w:cs="Times New Roman"/>
          <w:sz w:val="28"/>
          <w:szCs w:val="28"/>
          <w:lang w:eastAsia="ru-RU"/>
        </w:rPr>
        <w:br/>
      </w:r>
      <w:r w:rsidR="009B1C25">
        <w:rPr>
          <w:rFonts w:ascii="Times New Roman" w:eastAsia="Times New Roman" w:hAnsi="Times New Roman" w:cs="Times New Roman"/>
          <w:sz w:val="28"/>
          <w:szCs w:val="28"/>
          <w:lang w:eastAsia="ru-RU"/>
        </w:rPr>
        <w:t xml:space="preserve">(по 48 компетенциям), </w:t>
      </w:r>
      <w:r w:rsidRPr="00A87B5B">
        <w:rPr>
          <w:rFonts w:ascii="Times New Roman" w:eastAsia="Times New Roman" w:hAnsi="Times New Roman" w:cs="Times New Roman"/>
          <w:sz w:val="28"/>
          <w:szCs w:val="28"/>
          <w:lang w:eastAsia="ru-RU"/>
        </w:rPr>
        <w:t>266 специалистов (по 28 компетенциям). Для проведения соревнований было задействовано 786 площадок в 84 субъектах Российской Федерации.</w:t>
      </w:r>
    </w:p>
    <w:p w14:paraId="0DFEC4F7" w14:textId="77777777" w:rsidR="00E94206" w:rsidRDefault="00E94206" w:rsidP="00E94206">
      <w:pPr>
        <w:widowControl w:val="0"/>
        <w:suppressAutoHyphens/>
        <w:spacing w:after="0" w:line="312" w:lineRule="auto"/>
        <w:ind w:firstLine="709"/>
        <w:contextualSpacing/>
        <w:jc w:val="both"/>
        <w:rPr>
          <w:rFonts w:ascii="Times New Roman" w:eastAsia="Times New Roman" w:hAnsi="Times New Roman" w:cs="Times New Roman"/>
          <w:sz w:val="28"/>
          <w:szCs w:val="28"/>
          <w:lang w:eastAsia="ru-RU"/>
        </w:rPr>
      </w:pPr>
      <w:r w:rsidRPr="00A87B5B">
        <w:rPr>
          <w:rFonts w:ascii="Times New Roman" w:eastAsia="Times New Roman" w:hAnsi="Times New Roman" w:cs="Times New Roman"/>
          <w:sz w:val="28"/>
          <w:szCs w:val="28"/>
          <w:lang w:eastAsia="ru-RU"/>
        </w:rPr>
        <w:t>В Национальном открытом чемпионате творческих компетенций «</w:t>
      </w:r>
      <w:proofErr w:type="spellStart"/>
      <w:r w:rsidRPr="00A87B5B">
        <w:rPr>
          <w:rFonts w:ascii="Times New Roman" w:eastAsia="Times New Roman" w:hAnsi="Times New Roman" w:cs="Times New Roman"/>
          <w:sz w:val="28"/>
          <w:szCs w:val="28"/>
          <w:lang w:eastAsia="ru-RU"/>
        </w:rPr>
        <w:t>ArtMasters</w:t>
      </w:r>
      <w:proofErr w:type="spellEnd"/>
      <w:r w:rsidRPr="00A87B5B">
        <w:rPr>
          <w:rFonts w:ascii="Times New Roman" w:eastAsia="Times New Roman" w:hAnsi="Times New Roman" w:cs="Times New Roman"/>
          <w:sz w:val="28"/>
          <w:szCs w:val="28"/>
          <w:lang w:eastAsia="ru-RU"/>
        </w:rPr>
        <w:t>» в категории «юниоры» приняли участие 1</w:t>
      </w:r>
      <w:r w:rsidRPr="00A87B5B">
        <w:rPr>
          <w:rFonts w:ascii="Times New Roman" w:eastAsia="Times New Roman" w:hAnsi="Times New Roman" w:cs="Times New Roman"/>
          <w:sz w:val="28"/>
          <w:szCs w:val="28"/>
          <w:lang w:val="en-US" w:eastAsia="ru-RU"/>
        </w:rPr>
        <w:t> </w:t>
      </w:r>
      <w:r w:rsidRPr="00A87B5B">
        <w:rPr>
          <w:rFonts w:ascii="Times New Roman" w:eastAsia="Times New Roman" w:hAnsi="Times New Roman" w:cs="Times New Roman"/>
          <w:sz w:val="28"/>
          <w:szCs w:val="28"/>
          <w:lang w:eastAsia="ru-RU"/>
        </w:rPr>
        <w:t xml:space="preserve">628 человек по 8 компетенциям: </w:t>
      </w:r>
      <w:r w:rsidRPr="00A87B5B">
        <w:rPr>
          <w:rFonts w:ascii="Times New Roman" w:eastAsia="Times New Roman" w:hAnsi="Times New Roman" w:cs="Times New Roman"/>
          <w:sz w:val="28"/>
          <w:szCs w:val="28"/>
          <w:lang w:eastAsia="ru-RU"/>
        </w:rPr>
        <w:br/>
        <w:t>«Гейм-дизайнер», «Клипмейкер», «Композитор популярной музыки», «Оператор кино и ТВ (</w:t>
      </w:r>
      <w:proofErr w:type="spellStart"/>
      <w:r w:rsidRPr="00A87B5B">
        <w:rPr>
          <w:rFonts w:ascii="Times New Roman" w:eastAsia="Times New Roman" w:hAnsi="Times New Roman" w:cs="Times New Roman"/>
          <w:sz w:val="28"/>
          <w:szCs w:val="28"/>
          <w:lang w:eastAsia="ru-RU"/>
        </w:rPr>
        <w:t>видеооператоры</w:t>
      </w:r>
      <w:proofErr w:type="spellEnd"/>
      <w:r w:rsidRPr="00A87B5B">
        <w:rPr>
          <w:rFonts w:ascii="Times New Roman" w:eastAsia="Times New Roman" w:hAnsi="Times New Roman" w:cs="Times New Roman"/>
          <w:sz w:val="28"/>
          <w:szCs w:val="28"/>
          <w:lang w:eastAsia="ru-RU"/>
        </w:rPr>
        <w:t xml:space="preserve">)», «Режиссер монтажа (видеомонтажеры)», </w:t>
      </w:r>
      <w:r w:rsidRPr="00A87B5B">
        <w:rPr>
          <w:rFonts w:ascii="Times New Roman" w:eastAsia="Times New Roman" w:hAnsi="Times New Roman" w:cs="Times New Roman"/>
          <w:sz w:val="28"/>
          <w:szCs w:val="28"/>
          <w:lang w:eastAsia="ru-RU"/>
        </w:rPr>
        <w:br/>
        <w:t>«Саунд-дизайнер», «Сценарист», «Художн</w:t>
      </w:r>
      <w:r w:rsidR="009B1C25">
        <w:rPr>
          <w:rFonts w:ascii="Times New Roman" w:eastAsia="Times New Roman" w:hAnsi="Times New Roman" w:cs="Times New Roman"/>
          <w:sz w:val="28"/>
          <w:szCs w:val="28"/>
          <w:lang w:eastAsia="ru-RU"/>
        </w:rPr>
        <w:t xml:space="preserve">ик-аниматор». В финальный этап </w:t>
      </w:r>
      <w:r w:rsidRPr="00A87B5B">
        <w:rPr>
          <w:rFonts w:ascii="Times New Roman" w:eastAsia="Times New Roman" w:hAnsi="Times New Roman" w:cs="Times New Roman"/>
          <w:sz w:val="28"/>
          <w:szCs w:val="28"/>
          <w:lang w:eastAsia="ru-RU"/>
        </w:rPr>
        <w:t>прошли 40 человек.</w:t>
      </w:r>
    </w:p>
    <w:p w14:paraId="01D6EA89" w14:textId="77777777" w:rsidR="00F27D80" w:rsidRPr="00F27D80" w:rsidRDefault="00F27D80" w:rsidP="00F27D80">
      <w:pPr>
        <w:pStyle w:val="Style17"/>
        <w:shd w:val="clear" w:color="auto" w:fill="auto"/>
        <w:spacing w:line="312" w:lineRule="auto"/>
        <w:ind w:firstLine="709"/>
        <w:jc w:val="both"/>
        <w:rPr>
          <w:rFonts w:ascii="Times New Roman" w:hAnsi="Times New Roman" w:cs="Times New Roman"/>
          <w:sz w:val="28"/>
          <w:szCs w:val="28"/>
        </w:rPr>
      </w:pPr>
      <w:r w:rsidRPr="00F27D80">
        <w:rPr>
          <w:rFonts w:ascii="Times New Roman" w:eastAsia="Times New Roman" w:hAnsi="Times New Roman" w:cs="Times New Roman"/>
          <w:color w:val="000000"/>
          <w:sz w:val="28"/>
          <w:szCs w:val="28"/>
          <w:lang w:eastAsia="ru-RU" w:bidi="ru-RU"/>
        </w:rPr>
        <w:t xml:space="preserve">Выявление и поддержка одаренных детей в раннем возрасте в области различных видов искусств является одной из главных задач системы детских школ искусств (далее </w:t>
      </w:r>
      <w:r>
        <w:rPr>
          <w:rFonts w:ascii="Times New Roman" w:eastAsia="Times New Roman" w:hAnsi="Times New Roman" w:cs="Times New Roman"/>
          <w:color w:val="000000"/>
          <w:sz w:val="28"/>
          <w:szCs w:val="28"/>
          <w:lang w:eastAsia="ru-RU" w:bidi="ru-RU"/>
        </w:rPr>
        <w:t>–</w:t>
      </w:r>
      <w:r w:rsidRPr="00F27D80">
        <w:rPr>
          <w:rFonts w:ascii="Times New Roman" w:eastAsia="Times New Roman" w:hAnsi="Times New Roman" w:cs="Times New Roman"/>
          <w:color w:val="000000"/>
          <w:sz w:val="28"/>
          <w:szCs w:val="28"/>
          <w:lang w:eastAsia="ru-RU" w:bidi="ru-RU"/>
        </w:rPr>
        <w:t xml:space="preserve"> Д</w:t>
      </w:r>
      <w:r w:rsidR="00FD38D5">
        <w:rPr>
          <w:rFonts w:ascii="Times New Roman" w:eastAsia="Times New Roman" w:hAnsi="Times New Roman" w:cs="Times New Roman"/>
          <w:color w:val="000000"/>
          <w:sz w:val="28"/>
          <w:szCs w:val="28"/>
          <w:lang w:eastAsia="ru-RU" w:bidi="ru-RU"/>
        </w:rPr>
        <w:t>ШИ). П</w:t>
      </w:r>
      <w:r w:rsidR="00FD38D5" w:rsidRPr="00F27D80">
        <w:rPr>
          <w:rFonts w:ascii="Times New Roman" w:eastAsia="Times New Roman" w:hAnsi="Times New Roman" w:cs="Times New Roman"/>
          <w:color w:val="000000"/>
          <w:sz w:val="28"/>
          <w:szCs w:val="28"/>
          <w:lang w:eastAsia="ru-RU" w:bidi="ru-RU"/>
        </w:rPr>
        <w:t>о данным федерального статистического наблюдения</w:t>
      </w:r>
      <w:r w:rsidR="00FD38D5">
        <w:rPr>
          <w:rFonts w:ascii="Times New Roman" w:eastAsia="Times New Roman" w:hAnsi="Times New Roman" w:cs="Times New Roman"/>
          <w:color w:val="000000"/>
          <w:sz w:val="28"/>
          <w:szCs w:val="28"/>
          <w:lang w:eastAsia="ru-RU" w:bidi="ru-RU"/>
        </w:rPr>
        <w:t>, в</w:t>
      </w:r>
      <w:r w:rsidR="00FD38D5" w:rsidRPr="00F27D80">
        <w:rPr>
          <w:rFonts w:ascii="Times New Roman" w:eastAsia="Times New Roman" w:hAnsi="Times New Roman" w:cs="Times New Roman"/>
          <w:color w:val="000000"/>
          <w:sz w:val="28"/>
          <w:szCs w:val="28"/>
          <w:lang w:eastAsia="ru-RU" w:bidi="ru-RU"/>
        </w:rPr>
        <w:t xml:space="preserve"> </w:t>
      </w:r>
      <w:r w:rsidRPr="00F27D80">
        <w:rPr>
          <w:rFonts w:ascii="Times New Roman" w:eastAsia="Times New Roman" w:hAnsi="Times New Roman" w:cs="Times New Roman"/>
          <w:color w:val="000000"/>
          <w:sz w:val="28"/>
          <w:szCs w:val="28"/>
          <w:lang w:eastAsia="ru-RU" w:bidi="ru-RU"/>
        </w:rPr>
        <w:t xml:space="preserve">2021 </w:t>
      </w:r>
      <w:r w:rsidR="00C66AD1">
        <w:rPr>
          <w:rFonts w:ascii="Times New Roman" w:eastAsia="Times New Roman" w:hAnsi="Times New Roman" w:cs="Times New Roman"/>
          <w:color w:val="000000"/>
          <w:sz w:val="28"/>
          <w:szCs w:val="28"/>
          <w:lang w:eastAsia="ru-RU" w:bidi="ru-RU"/>
        </w:rPr>
        <w:t>г.</w:t>
      </w:r>
      <w:r w:rsidRPr="00F27D80">
        <w:rPr>
          <w:rFonts w:ascii="Times New Roman" w:eastAsia="Times New Roman" w:hAnsi="Times New Roman" w:cs="Times New Roman"/>
          <w:color w:val="000000"/>
          <w:sz w:val="28"/>
          <w:szCs w:val="28"/>
          <w:lang w:eastAsia="ru-RU" w:bidi="ru-RU"/>
        </w:rPr>
        <w:t xml:space="preserve"> в Российской Федерации функционировало 5 008 ДШИ, в том числе </w:t>
      </w:r>
      <w:r w:rsidR="00FD38D5">
        <w:rPr>
          <w:rFonts w:ascii="Times New Roman" w:eastAsia="Times New Roman" w:hAnsi="Times New Roman" w:cs="Times New Roman"/>
          <w:color w:val="000000"/>
          <w:sz w:val="28"/>
          <w:szCs w:val="28"/>
          <w:lang w:eastAsia="ru-RU" w:bidi="ru-RU"/>
        </w:rPr>
        <w:br/>
      </w:r>
      <w:r w:rsidRPr="00F27D80">
        <w:rPr>
          <w:rFonts w:ascii="Times New Roman" w:eastAsia="Times New Roman" w:hAnsi="Times New Roman" w:cs="Times New Roman"/>
          <w:color w:val="000000"/>
          <w:sz w:val="28"/>
          <w:szCs w:val="28"/>
          <w:lang w:eastAsia="ru-RU" w:bidi="ru-RU"/>
        </w:rPr>
        <w:t xml:space="preserve">4 767 </w:t>
      </w:r>
      <w:r w:rsidR="00FD38D5">
        <w:rPr>
          <w:rFonts w:ascii="Times New Roman" w:eastAsia="Times New Roman" w:hAnsi="Times New Roman" w:cs="Times New Roman"/>
          <w:color w:val="000000"/>
          <w:sz w:val="28"/>
          <w:szCs w:val="28"/>
          <w:lang w:eastAsia="ru-RU" w:bidi="ru-RU"/>
        </w:rPr>
        <w:t>–</w:t>
      </w:r>
      <w:r w:rsidRPr="00F27D80">
        <w:rPr>
          <w:rFonts w:ascii="Times New Roman" w:eastAsia="Times New Roman" w:hAnsi="Times New Roman" w:cs="Times New Roman"/>
          <w:color w:val="000000"/>
          <w:sz w:val="28"/>
          <w:szCs w:val="28"/>
          <w:lang w:eastAsia="ru-RU" w:bidi="ru-RU"/>
        </w:rPr>
        <w:t xml:space="preserve"> в ведении органов управления культурой, 236 </w:t>
      </w:r>
      <w:r w:rsidR="00FD38D5">
        <w:rPr>
          <w:rFonts w:ascii="Times New Roman" w:eastAsia="Times New Roman" w:hAnsi="Times New Roman" w:cs="Times New Roman"/>
          <w:color w:val="000000"/>
          <w:sz w:val="28"/>
          <w:szCs w:val="28"/>
          <w:lang w:eastAsia="ru-RU" w:bidi="ru-RU"/>
        </w:rPr>
        <w:t>–</w:t>
      </w:r>
      <w:r w:rsidRPr="00F27D80">
        <w:rPr>
          <w:rFonts w:ascii="Times New Roman" w:eastAsia="Times New Roman" w:hAnsi="Times New Roman" w:cs="Times New Roman"/>
          <w:color w:val="000000"/>
          <w:sz w:val="28"/>
          <w:szCs w:val="28"/>
          <w:lang w:eastAsia="ru-RU" w:bidi="ru-RU"/>
        </w:rPr>
        <w:t xml:space="preserve"> в ведении органов управления образованием, 5 частных ДШИ.</w:t>
      </w:r>
    </w:p>
    <w:p w14:paraId="2CF04317" w14:textId="77777777" w:rsidR="00F27D80" w:rsidRPr="00F27D80" w:rsidRDefault="00F27D80" w:rsidP="00F27D80">
      <w:pPr>
        <w:pStyle w:val="Style17"/>
        <w:shd w:val="clear" w:color="auto" w:fill="auto"/>
        <w:spacing w:line="312" w:lineRule="auto"/>
        <w:ind w:firstLine="709"/>
        <w:jc w:val="both"/>
        <w:rPr>
          <w:rFonts w:ascii="Times New Roman" w:hAnsi="Times New Roman" w:cs="Times New Roman"/>
          <w:sz w:val="28"/>
          <w:szCs w:val="28"/>
        </w:rPr>
      </w:pPr>
      <w:r w:rsidRPr="00F27D80">
        <w:rPr>
          <w:rFonts w:ascii="Times New Roman" w:eastAsia="Times New Roman" w:hAnsi="Times New Roman" w:cs="Times New Roman"/>
          <w:color w:val="000000"/>
          <w:sz w:val="28"/>
          <w:szCs w:val="28"/>
          <w:lang w:eastAsia="ru-RU" w:bidi="ru-RU"/>
        </w:rPr>
        <w:t>В ДШИ на начало 2021</w:t>
      </w:r>
      <w:r w:rsidR="00C4618A">
        <w:rPr>
          <w:rFonts w:ascii="Times New Roman" w:eastAsia="Times New Roman" w:hAnsi="Times New Roman" w:cs="Times New Roman"/>
          <w:color w:val="000000"/>
          <w:sz w:val="28"/>
          <w:szCs w:val="28"/>
          <w:lang w:eastAsia="ru-RU" w:bidi="ru-RU"/>
        </w:rPr>
        <w:t>/</w:t>
      </w:r>
      <w:r w:rsidRPr="00F27D80">
        <w:rPr>
          <w:rFonts w:ascii="Times New Roman" w:eastAsia="Times New Roman" w:hAnsi="Times New Roman" w:cs="Times New Roman"/>
          <w:color w:val="000000"/>
          <w:sz w:val="28"/>
          <w:szCs w:val="28"/>
          <w:lang w:eastAsia="ru-RU" w:bidi="ru-RU"/>
        </w:rPr>
        <w:t xml:space="preserve">2022 учебного </w:t>
      </w:r>
      <w:r w:rsidR="00FD38D5">
        <w:rPr>
          <w:rFonts w:ascii="Times New Roman" w:eastAsia="Times New Roman" w:hAnsi="Times New Roman" w:cs="Times New Roman"/>
          <w:color w:val="000000"/>
          <w:sz w:val="28"/>
          <w:szCs w:val="28"/>
          <w:lang w:eastAsia="ru-RU" w:bidi="ru-RU"/>
        </w:rPr>
        <w:t xml:space="preserve">года </w:t>
      </w:r>
      <w:r w:rsidRPr="00F27D80">
        <w:rPr>
          <w:rFonts w:ascii="Times New Roman" w:eastAsia="Times New Roman" w:hAnsi="Times New Roman" w:cs="Times New Roman"/>
          <w:color w:val="000000"/>
          <w:sz w:val="28"/>
          <w:szCs w:val="28"/>
          <w:lang w:eastAsia="ru-RU" w:bidi="ru-RU"/>
        </w:rPr>
        <w:t>обучалось 1 771 525 одаренных детей</w:t>
      </w:r>
      <w:r w:rsidR="00FD38D5">
        <w:rPr>
          <w:rFonts w:ascii="Times New Roman" w:eastAsia="Times New Roman" w:hAnsi="Times New Roman" w:cs="Times New Roman"/>
          <w:color w:val="000000"/>
          <w:sz w:val="28"/>
          <w:szCs w:val="28"/>
          <w:lang w:eastAsia="ru-RU" w:bidi="ru-RU"/>
        </w:rPr>
        <w:t xml:space="preserve">, </w:t>
      </w:r>
      <w:r w:rsidRPr="00F27D80">
        <w:rPr>
          <w:rFonts w:ascii="Times New Roman" w:eastAsia="Times New Roman" w:hAnsi="Times New Roman" w:cs="Times New Roman"/>
          <w:color w:val="000000"/>
          <w:sz w:val="28"/>
          <w:szCs w:val="28"/>
          <w:lang w:eastAsia="ru-RU" w:bidi="ru-RU"/>
        </w:rPr>
        <w:t>в том числе 10 923 инвалид</w:t>
      </w:r>
      <w:r w:rsidR="00FD38D5">
        <w:rPr>
          <w:rFonts w:ascii="Times New Roman" w:eastAsia="Times New Roman" w:hAnsi="Times New Roman" w:cs="Times New Roman"/>
          <w:color w:val="000000"/>
          <w:sz w:val="28"/>
          <w:szCs w:val="28"/>
          <w:lang w:eastAsia="ru-RU" w:bidi="ru-RU"/>
        </w:rPr>
        <w:t>ов</w:t>
      </w:r>
      <w:r w:rsidRPr="00F27D80">
        <w:rPr>
          <w:rFonts w:ascii="Times New Roman" w:eastAsia="Times New Roman" w:hAnsi="Times New Roman" w:cs="Times New Roman"/>
          <w:color w:val="000000"/>
          <w:sz w:val="28"/>
          <w:szCs w:val="28"/>
          <w:lang w:eastAsia="ru-RU" w:bidi="ru-RU"/>
        </w:rPr>
        <w:t xml:space="preserve"> и лица с </w:t>
      </w:r>
      <w:r w:rsidR="00FD38D5">
        <w:rPr>
          <w:rFonts w:ascii="Times New Roman" w:eastAsia="Times New Roman" w:hAnsi="Times New Roman" w:cs="Times New Roman"/>
          <w:color w:val="000000"/>
          <w:sz w:val="28"/>
          <w:szCs w:val="28"/>
          <w:lang w:eastAsia="ru-RU" w:bidi="ru-RU"/>
        </w:rPr>
        <w:t>ОВЗ</w:t>
      </w:r>
      <w:r w:rsidRPr="00F27D80">
        <w:rPr>
          <w:rFonts w:ascii="Times New Roman" w:eastAsia="Times New Roman" w:hAnsi="Times New Roman" w:cs="Times New Roman"/>
          <w:color w:val="000000"/>
          <w:sz w:val="28"/>
          <w:szCs w:val="28"/>
          <w:lang w:eastAsia="ru-RU" w:bidi="ru-RU"/>
        </w:rPr>
        <w:t xml:space="preserve">. Из общего числа обучающихся ДШИ 931 728 </w:t>
      </w:r>
      <w:r w:rsidR="00FD38D5">
        <w:rPr>
          <w:rFonts w:ascii="Times New Roman" w:eastAsia="Times New Roman" w:hAnsi="Times New Roman" w:cs="Times New Roman"/>
          <w:color w:val="000000"/>
          <w:sz w:val="28"/>
          <w:szCs w:val="28"/>
          <w:lang w:eastAsia="ru-RU" w:bidi="ru-RU"/>
        </w:rPr>
        <w:t>человек</w:t>
      </w:r>
      <w:r w:rsidRPr="00F27D80">
        <w:rPr>
          <w:rFonts w:ascii="Times New Roman" w:eastAsia="Times New Roman" w:hAnsi="Times New Roman" w:cs="Times New Roman"/>
          <w:color w:val="000000"/>
          <w:sz w:val="28"/>
          <w:szCs w:val="28"/>
          <w:lang w:eastAsia="ru-RU" w:bidi="ru-RU"/>
        </w:rPr>
        <w:t xml:space="preserve"> обучалось по дополнительным предпрофессиональным программам в области искусств (</w:t>
      </w:r>
      <w:r w:rsidR="00FD38D5">
        <w:rPr>
          <w:rFonts w:ascii="Times New Roman" w:eastAsia="Times New Roman" w:hAnsi="Times New Roman" w:cs="Times New Roman"/>
          <w:color w:val="000000"/>
          <w:sz w:val="28"/>
          <w:szCs w:val="28"/>
          <w:lang w:eastAsia="ru-RU" w:bidi="ru-RU"/>
        </w:rPr>
        <w:t>что на 8</w:t>
      </w:r>
      <w:r w:rsidRPr="00F27D80">
        <w:rPr>
          <w:rFonts w:ascii="Times New Roman" w:eastAsia="Times New Roman" w:hAnsi="Times New Roman" w:cs="Times New Roman"/>
          <w:color w:val="000000"/>
          <w:sz w:val="28"/>
          <w:szCs w:val="28"/>
          <w:lang w:eastAsia="ru-RU" w:bidi="ru-RU"/>
        </w:rPr>
        <w:t xml:space="preserve">% </w:t>
      </w:r>
      <w:r w:rsidR="00FD38D5">
        <w:rPr>
          <w:rFonts w:ascii="Times New Roman" w:eastAsia="Times New Roman" w:hAnsi="Times New Roman" w:cs="Times New Roman"/>
          <w:color w:val="000000"/>
          <w:sz w:val="28"/>
          <w:szCs w:val="28"/>
          <w:lang w:eastAsia="ru-RU" w:bidi="ru-RU"/>
        </w:rPr>
        <w:t xml:space="preserve">превышает показатели </w:t>
      </w:r>
      <w:r w:rsidRPr="00F27D80">
        <w:rPr>
          <w:rFonts w:ascii="Times New Roman" w:eastAsia="Times New Roman" w:hAnsi="Times New Roman" w:cs="Times New Roman"/>
          <w:color w:val="000000"/>
          <w:sz w:val="28"/>
          <w:szCs w:val="28"/>
          <w:lang w:eastAsia="ru-RU" w:bidi="ru-RU"/>
        </w:rPr>
        <w:t>начал</w:t>
      </w:r>
      <w:r w:rsidR="00FD38D5">
        <w:rPr>
          <w:rFonts w:ascii="Times New Roman" w:eastAsia="Times New Roman" w:hAnsi="Times New Roman" w:cs="Times New Roman"/>
          <w:color w:val="000000"/>
          <w:sz w:val="28"/>
          <w:szCs w:val="28"/>
          <w:lang w:eastAsia="ru-RU" w:bidi="ru-RU"/>
        </w:rPr>
        <w:t>а 2020-</w:t>
      </w:r>
      <w:r w:rsidRPr="00F27D80">
        <w:rPr>
          <w:rFonts w:ascii="Times New Roman" w:eastAsia="Times New Roman" w:hAnsi="Times New Roman" w:cs="Times New Roman"/>
          <w:color w:val="000000"/>
          <w:sz w:val="28"/>
          <w:szCs w:val="28"/>
          <w:lang w:eastAsia="ru-RU" w:bidi="ru-RU"/>
        </w:rPr>
        <w:t>2021 учебного</w:t>
      </w:r>
      <w:r w:rsidR="00FD38D5">
        <w:rPr>
          <w:rFonts w:ascii="Times New Roman" w:eastAsia="Times New Roman" w:hAnsi="Times New Roman" w:cs="Times New Roman"/>
          <w:color w:val="000000"/>
          <w:sz w:val="28"/>
          <w:szCs w:val="28"/>
          <w:lang w:eastAsia="ru-RU" w:bidi="ru-RU"/>
        </w:rPr>
        <w:t xml:space="preserve"> года), в том числе 923 597 человек (99</w:t>
      </w:r>
      <w:r w:rsidRPr="00F27D80">
        <w:rPr>
          <w:rFonts w:ascii="Times New Roman" w:eastAsia="Times New Roman" w:hAnsi="Times New Roman" w:cs="Times New Roman"/>
          <w:color w:val="000000"/>
          <w:sz w:val="28"/>
          <w:szCs w:val="28"/>
          <w:lang w:eastAsia="ru-RU" w:bidi="ru-RU"/>
        </w:rPr>
        <w:t>%) осваивало программы за счет бюджетных средств; по общеразвивающим програм</w:t>
      </w:r>
      <w:r w:rsidR="00FD38D5">
        <w:rPr>
          <w:rFonts w:ascii="Times New Roman" w:eastAsia="Times New Roman" w:hAnsi="Times New Roman" w:cs="Times New Roman"/>
          <w:color w:val="000000"/>
          <w:sz w:val="28"/>
          <w:szCs w:val="28"/>
          <w:lang w:eastAsia="ru-RU" w:bidi="ru-RU"/>
        </w:rPr>
        <w:t xml:space="preserve">мам в ДШИ обучалось </w:t>
      </w:r>
      <w:r w:rsidR="00C66AD1">
        <w:rPr>
          <w:rFonts w:ascii="Times New Roman" w:eastAsia="Times New Roman" w:hAnsi="Times New Roman" w:cs="Times New Roman"/>
          <w:color w:val="000000"/>
          <w:sz w:val="28"/>
          <w:szCs w:val="28"/>
          <w:lang w:eastAsia="ru-RU" w:bidi="ru-RU"/>
        </w:rPr>
        <w:br/>
      </w:r>
      <w:r w:rsidR="00FD38D5">
        <w:rPr>
          <w:rFonts w:ascii="Times New Roman" w:eastAsia="Times New Roman" w:hAnsi="Times New Roman" w:cs="Times New Roman"/>
          <w:color w:val="000000"/>
          <w:sz w:val="28"/>
          <w:szCs w:val="28"/>
          <w:lang w:eastAsia="ru-RU" w:bidi="ru-RU"/>
        </w:rPr>
        <w:t>839 797 человек</w:t>
      </w:r>
      <w:r w:rsidRPr="00F27D80">
        <w:rPr>
          <w:rFonts w:ascii="Times New Roman" w:eastAsia="Times New Roman" w:hAnsi="Times New Roman" w:cs="Times New Roman"/>
          <w:color w:val="000000"/>
          <w:sz w:val="28"/>
          <w:szCs w:val="28"/>
          <w:lang w:eastAsia="ru-RU" w:bidi="ru-RU"/>
        </w:rPr>
        <w:t>, в том числе 629 441 чел</w:t>
      </w:r>
      <w:r w:rsidR="00FD38D5">
        <w:rPr>
          <w:rFonts w:ascii="Times New Roman" w:eastAsia="Times New Roman" w:hAnsi="Times New Roman" w:cs="Times New Roman"/>
          <w:color w:val="000000"/>
          <w:sz w:val="28"/>
          <w:szCs w:val="28"/>
          <w:lang w:eastAsia="ru-RU" w:bidi="ru-RU"/>
        </w:rPr>
        <w:t>овек (75</w:t>
      </w:r>
      <w:r w:rsidRPr="00F27D80">
        <w:rPr>
          <w:rFonts w:ascii="Times New Roman" w:eastAsia="Times New Roman" w:hAnsi="Times New Roman" w:cs="Times New Roman"/>
          <w:color w:val="000000"/>
          <w:sz w:val="28"/>
          <w:szCs w:val="28"/>
          <w:lang w:eastAsia="ru-RU" w:bidi="ru-RU"/>
        </w:rPr>
        <w:t xml:space="preserve">%) </w:t>
      </w:r>
      <w:r w:rsidR="00FD38D5">
        <w:rPr>
          <w:rFonts w:ascii="Times New Roman" w:eastAsia="Times New Roman" w:hAnsi="Times New Roman" w:cs="Times New Roman"/>
          <w:color w:val="000000"/>
          <w:sz w:val="28"/>
          <w:szCs w:val="28"/>
          <w:lang w:eastAsia="ru-RU" w:bidi="ru-RU"/>
        </w:rPr>
        <w:t>–</w:t>
      </w:r>
      <w:r w:rsidRPr="00F27D80">
        <w:rPr>
          <w:rFonts w:ascii="Times New Roman" w:eastAsia="Times New Roman" w:hAnsi="Times New Roman" w:cs="Times New Roman"/>
          <w:color w:val="000000"/>
          <w:sz w:val="28"/>
          <w:szCs w:val="28"/>
          <w:lang w:eastAsia="ru-RU" w:bidi="ru-RU"/>
        </w:rPr>
        <w:t xml:space="preserve"> за счет бюджетных средств.</w:t>
      </w:r>
    </w:p>
    <w:p w14:paraId="184AA17A" w14:textId="77777777" w:rsidR="00F27D80" w:rsidRPr="00F27D80" w:rsidRDefault="00F27D80" w:rsidP="00F27D80">
      <w:pPr>
        <w:pStyle w:val="Style17"/>
        <w:shd w:val="clear" w:color="auto" w:fill="auto"/>
        <w:spacing w:line="312" w:lineRule="auto"/>
        <w:ind w:firstLine="709"/>
        <w:jc w:val="both"/>
        <w:rPr>
          <w:rFonts w:ascii="Times New Roman" w:hAnsi="Times New Roman" w:cs="Times New Roman"/>
          <w:sz w:val="28"/>
          <w:szCs w:val="28"/>
        </w:rPr>
      </w:pPr>
      <w:r w:rsidRPr="00F27D80">
        <w:rPr>
          <w:rFonts w:ascii="Times New Roman" w:eastAsia="Times New Roman" w:hAnsi="Times New Roman" w:cs="Times New Roman"/>
          <w:color w:val="000000"/>
          <w:sz w:val="28"/>
          <w:szCs w:val="28"/>
          <w:lang w:eastAsia="ru-RU" w:bidi="ru-RU"/>
        </w:rPr>
        <w:t>В 2021 г</w:t>
      </w:r>
      <w:r w:rsidR="00C66AD1">
        <w:rPr>
          <w:rFonts w:ascii="Times New Roman" w:eastAsia="Times New Roman" w:hAnsi="Times New Roman" w:cs="Times New Roman"/>
          <w:color w:val="000000"/>
          <w:sz w:val="28"/>
          <w:szCs w:val="28"/>
          <w:lang w:eastAsia="ru-RU" w:bidi="ru-RU"/>
        </w:rPr>
        <w:t>.</w:t>
      </w:r>
      <w:r w:rsidRPr="00F27D80">
        <w:rPr>
          <w:rFonts w:ascii="Times New Roman" w:eastAsia="Times New Roman" w:hAnsi="Times New Roman" w:cs="Times New Roman"/>
          <w:color w:val="000000"/>
          <w:sz w:val="28"/>
          <w:szCs w:val="28"/>
          <w:lang w:eastAsia="ru-RU" w:bidi="ru-RU"/>
        </w:rPr>
        <w:t xml:space="preserve"> завершило обучение в ДШИ 284 992 одаренных детей, из которых </w:t>
      </w:r>
      <w:r w:rsidR="00C66AD1">
        <w:rPr>
          <w:rFonts w:ascii="Times New Roman" w:eastAsia="Times New Roman" w:hAnsi="Times New Roman" w:cs="Times New Roman"/>
          <w:color w:val="000000"/>
          <w:sz w:val="28"/>
          <w:szCs w:val="28"/>
          <w:lang w:eastAsia="ru-RU" w:bidi="ru-RU"/>
        </w:rPr>
        <w:br/>
      </w:r>
      <w:r w:rsidRPr="00F27D80">
        <w:rPr>
          <w:rFonts w:ascii="Times New Roman" w:eastAsia="Times New Roman" w:hAnsi="Times New Roman" w:cs="Times New Roman"/>
          <w:color w:val="000000"/>
          <w:sz w:val="28"/>
          <w:szCs w:val="28"/>
          <w:lang w:eastAsia="ru-RU" w:bidi="ru-RU"/>
        </w:rPr>
        <w:t>15 231 чел</w:t>
      </w:r>
      <w:r w:rsidR="00C66AD1">
        <w:rPr>
          <w:rFonts w:ascii="Times New Roman" w:eastAsia="Times New Roman" w:hAnsi="Times New Roman" w:cs="Times New Roman"/>
          <w:color w:val="000000"/>
          <w:sz w:val="28"/>
          <w:szCs w:val="28"/>
          <w:lang w:eastAsia="ru-RU" w:bidi="ru-RU"/>
        </w:rPr>
        <w:t>овек</w:t>
      </w:r>
      <w:r w:rsidRPr="00F27D80">
        <w:rPr>
          <w:rFonts w:ascii="Times New Roman" w:eastAsia="Times New Roman" w:hAnsi="Times New Roman" w:cs="Times New Roman"/>
          <w:color w:val="000000"/>
          <w:sz w:val="28"/>
          <w:szCs w:val="28"/>
          <w:lang w:eastAsia="ru-RU" w:bidi="ru-RU"/>
        </w:rPr>
        <w:t xml:space="preserve"> в том же году продолжили обучение в профессиональных образовательных организациях (училищах и колледжах) и вузах культуры и искусств.</w:t>
      </w:r>
    </w:p>
    <w:p w14:paraId="022180D1" w14:textId="77777777" w:rsidR="00A44EE0" w:rsidRDefault="00F27D80" w:rsidP="00F27D80">
      <w:pPr>
        <w:pStyle w:val="Style17"/>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F27D80">
        <w:rPr>
          <w:rFonts w:ascii="Times New Roman" w:eastAsia="Times New Roman" w:hAnsi="Times New Roman" w:cs="Times New Roman"/>
          <w:color w:val="000000"/>
          <w:sz w:val="28"/>
          <w:szCs w:val="28"/>
          <w:lang w:eastAsia="ru-RU" w:bidi="ru-RU"/>
        </w:rPr>
        <w:t xml:space="preserve">В целях повышения качества обучения, совершенствования </w:t>
      </w:r>
      <w:proofErr w:type="spellStart"/>
      <w:r w:rsidRPr="00F27D80">
        <w:rPr>
          <w:rFonts w:ascii="Times New Roman" w:eastAsia="Times New Roman" w:hAnsi="Times New Roman" w:cs="Times New Roman"/>
          <w:color w:val="000000"/>
          <w:sz w:val="28"/>
          <w:szCs w:val="28"/>
          <w:lang w:eastAsia="ru-RU" w:bidi="ru-RU"/>
        </w:rPr>
        <w:t>учебно</w:t>
      </w:r>
      <w:r w:rsidRPr="00F27D80">
        <w:rPr>
          <w:rFonts w:ascii="Times New Roman" w:eastAsia="Times New Roman" w:hAnsi="Times New Roman" w:cs="Times New Roman"/>
          <w:color w:val="000000"/>
          <w:sz w:val="28"/>
          <w:szCs w:val="28"/>
          <w:lang w:eastAsia="ru-RU" w:bidi="ru-RU"/>
        </w:rPr>
        <w:softHyphen/>
        <w:t>методического</w:t>
      </w:r>
      <w:proofErr w:type="spellEnd"/>
      <w:r w:rsidRPr="00F27D80">
        <w:rPr>
          <w:rFonts w:ascii="Times New Roman" w:eastAsia="Times New Roman" w:hAnsi="Times New Roman" w:cs="Times New Roman"/>
          <w:color w:val="000000"/>
          <w:sz w:val="28"/>
          <w:szCs w:val="28"/>
          <w:lang w:eastAsia="ru-RU" w:bidi="ru-RU"/>
        </w:rPr>
        <w:t xml:space="preserve"> обеспечения в ДШИ, распространения опыта лучших практик работы с одаренными детьми в области искусств в 2021 г</w:t>
      </w:r>
      <w:r w:rsidR="00C66AD1">
        <w:rPr>
          <w:rFonts w:ascii="Times New Roman" w:eastAsia="Times New Roman" w:hAnsi="Times New Roman" w:cs="Times New Roman"/>
          <w:color w:val="000000"/>
          <w:sz w:val="28"/>
          <w:szCs w:val="28"/>
          <w:lang w:eastAsia="ru-RU" w:bidi="ru-RU"/>
        </w:rPr>
        <w:t>.</w:t>
      </w:r>
      <w:r w:rsidRPr="00F27D80">
        <w:rPr>
          <w:rFonts w:ascii="Times New Roman" w:eastAsia="Times New Roman" w:hAnsi="Times New Roman" w:cs="Times New Roman"/>
          <w:color w:val="000000"/>
          <w:sz w:val="28"/>
          <w:szCs w:val="28"/>
          <w:lang w:eastAsia="ru-RU" w:bidi="ru-RU"/>
        </w:rPr>
        <w:t xml:space="preserve"> при финансовой поддержке Минкультуры России обеспечена разработка и выпуск интерактивных учебно-методических пособий для реализации учебных предметов дополнительных предпрофессиональных программ в области искусств по предметам «Сольфеджио: </w:t>
      </w:r>
      <w:r w:rsidR="00A44EE0">
        <w:rPr>
          <w:rFonts w:ascii="Times New Roman" w:eastAsia="Times New Roman" w:hAnsi="Times New Roman" w:cs="Times New Roman"/>
          <w:color w:val="000000"/>
          <w:sz w:val="28"/>
          <w:szCs w:val="28"/>
          <w:lang w:eastAsia="ru-RU" w:bidi="ru-RU"/>
        </w:rPr>
        <w:br/>
      </w:r>
      <w:r w:rsidRPr="00F27D80">
        <w:rPr>
          <w:rFonts w:ascii="Times New Roman" w:eastAsia="Times New Roman" w:hAnsi="Times New Roman" w:cs="Times New Roman"/>
          <w:color w:val="000000"/>
          <w:sz w:val="28"/>
          <w:szCs w:val="28"/>
          <w:lang w:eastAsia="ru-RU" w:bidi="ru-RU"/>
        </w:rPr>
        <w:t xml:space="preserve">8 класс», «Русская музыкальная литература: 6-7 классы», «Музыкальная литература. 8 класс: Современная отечественная музыка» для учащихся по дополнительным программам в области музыкального искусства. Интерактивные учебно-методические пособия продолжают линейку электронных образовательных ресурсов по музыкально-теоретическим предметам для ДШИ, которые уже широко используются в педагогической практике. Пособия разработаны в соответствии с федеральными государственными требованиями к реализации дополнительных предпрофессиональных программам. </w:t>
      </w:r>
    </w:p>
    <w:p w14:paraId="5A578DF1" w14:textId="77777777" w:rsidR="00F27D80" w:rsidRPr="00F27D80" w:rsidRDefault="00F27D80" w:rsidP="00F27D80">
      <w:pPr>
        <w:pStyle w:val="Style17"/>
        <w:shd w:val="clear" w:color="auto" w:fill="auto"/>
        <w:spacing w:line="312" w:lineRule="auto"/>
        <w:ind w:firstLine="709"/>
        <w:jc w:val="both"/>
        <w:rPr>
          <w:rFonts w:ascii="Times New Roman" w:hAnsi="Times New Roman" w:cs="Times New Roman"/>
          <w:sz w:val="28"/>
          <w:szCs w:val="28"/>
        </w:rPr>
      </w:pPr>
      <w:r w:rsidRPr="00F27D80">
        <w:rPr>
          <w:rFonts w:ascii="Times New Roman" w:eastAsia="Times New Roman" w:hAnsi="Times New Roman" w:cs="Times New Roman"/>
          <w:color w:val="000000"/>
          <w:sz w:val="28"/>
          <w:szCs w:val="28"/>
          <w:lang w:eastAsia="ru-RU" w:bidi="ru-RU"/>
        </w:rPr>
        <w:t>В целях создания единого методического и информационного пространства отраслевого образования Федеральными ресурсным информационно-аналитическим центром художественного образования Российской академии музыки имени Гнесиных в сети Интернет создан портал «</w:t>
      </w:r>
      <w:proofErr w:type="spellStart"/>
      <w:r w:rsidRPr="00F27D80">
        <w:rPr>
          <w:rFonts w:ascii="Times New Roman" w:eastAsia="Times New Roman" w:hAnsi="Times New Roman" w:cs="Times New Roman"/>
          <w:color w:val="000000"/>
          <w:sz w:val="28"/>
          <w:szCs w:val="28"/>
          <w:lang w:eastAsia="ru-RU" w:bidi="ru-RU"/>
        </w:rPr>
        <w:t>Артцентр.рус</w:t>
      </w:r>
      <w:proofErr w:type="spellEnd"/>
      <w:r w:rsidRPr="00F27D80">
        <w:rPr>
          <w:rFonts w:ascii="Times New Roman" w:eastAsia="Times New Roman" w:hAnsi="Times New Roman" w:cs="Times New Roman"/>
          <w:color w:val="000000"/>
          <w:sz w:val="28"/>
          <w:szCs w:val="28"/>
          <w:lang w:eastAsia="ru-RU" w:bidi="ru-RU"/>
        </w:rPr>
        <w:t>», на котором консолидируется</w:t>
      </w:r>
      <w:r w:rsidR="00A44EE0">
        <w:rPr>
          <w:rFonts w:ascii="Times New Roman" w:eastAsia="Times New Roman" w:hAnsi="Times New Roman" w:cs="Times New Roman"/>
          <w:color w:val="000000"/>
          <w:sz w:val="28"/>
          <w:szCs w:val="28"/>
          <w:lang w:eastAsia="ru-RU" w:bidi="ru-RU"/>
        </w:rPr>
        <w:t>,</w:t>
      </w:r>
      <w:r w:rsidRPr="00F27D80">
        <w:rPr>
          <w:rFonts w:ascii="Times New Roman" w:eastAsia="Times New Roman" w:hAnsi="Times New Roman" w:cs="Times New Roman"/>
          <w:color w:val="000000"/>
          <w:sz w:val="28"/>
          <w:szCs w:val="28"/>
          <w:lang w:eastAsia="ru-RU" w:bidi="ru-RU"/>
        </w:rPr>
        <w:t xml:space="preserve"> в том числе информация о системе художественного образования, федеральных учебно</w:t>
      </w:r>
      <w:r w:rsidR="00A44EE0">
        <w:rPr>
          <w:rFonts w:ascii="Times New Roman" w:eastAsia="Times New Roman" w:hAnsi="Times New Roman" w:cs="Times New Roman"/>
          <w:color w:val="000000"/>
          <w:sz w:val="28"/>
          <w:szCs w:val="28"/>
          <w:lang w:eastAsia="ru-RU" w:bidi="ru-RU"/>
        </w:rPr>
        <w:t>-</w:t>
      </w:r>
      <w:r w:rsidRPr="00F27D80">
        <w:rPr>
          <w:rFonts w:ascii="Times New Roman" w:eastAsia="Times New Roman" w:hAnsi="Times New Roman" w:cs="Times New Roman"/>
          <w:color w:val="000000"/>
          <w:sz w:val="28"/>
          <w:szCs w:val="28"/>
          <w:lang w:eastAsia="ru-RU" w:bidi="ru-RU"/>
        </w:rPr>
        <w:t>методических объединениях и региональных методических службах, представлена база нормативных документов, методических материалов для реализации дополнительных общеобразовательных программ в области искусств (свыше 100 примерных образовательных программ для ДШИ, методические рекомендации, каталог инте</w:t>
      </w:r>
      <w:r w:rsidR="00A44EE0">
        <w:rPr>
          <w:rFonts w:ascii="Times New Roman" w:eastAsia="Times New Roman" w:hAnsi="Times New Roman" w:cs="Times New Roman"/>
          <w:color w:val="000000"/>
          <w:sz w:val="28"/>
          <w:szCs w:val="28"/>
          <w:lang w:eastAsia="ru-RU" w:bidi="ru-RU"/>
        </w:rPr>
        <w:t>рактивных обучающих онлайн-</w:t>
      </w:r>
      <w:r w:rsidRPr="00F27D80">
        <w:rPr>
          <w:rFonts w:ascii="Times New Roman" w:eastAsia="Times New Roman" w:hAnsi="Times New Roman" w:cs="Times New Roman"/>
          <w:color w:val="000000"/>
          <w:sz w:val="28"/>
          <w:szCs w:val="28"/>
          <w:lang w:eastAsia="ru-RU" w:bidi="ru-RU"/>
        </w:rPr>
        <w:t>ресурсов, календарь творческих конкурсов).</w:t>
      </w:r>
    </w:p>
    <w:p w14:paraId="6BED4359" w14:textId="77777777" w:rsidR="00F27D80" w:rsidRPr="00F27D80" w:rsidRDefault="00F27D80" w:rsidP="00F27D80">
      <w:pPr>
        <w:pStyle w:val="Style17"/>
        <w:shd w:val="clear" w:color="auto" w:fill="auto"/>
        <w:spacing w:line="312" w:lineRule="auto"/>
        <w:ind w:firstLine="709"/>
        <w:jc w:val="both"/>
        <w:rPr>
          <w:rFonts w:ascii="Times New Roman" w:hAnsi="Times New Roman" w:cs="Times New Roman"/>
          <w:sz w:val="28"/>
          <w:szCs w:val="28"/>
        </w:rPr>
      </w:pPr>
      <w:r w:rsidRPr="00F27D80">
        <w:rPr>
          <w:rFonts w:ascii="Times New Roman" w:eastAsia="Times New Roman" w:hAnsi="Times New Roman" w:cs="Times New Roman"/>
          <w:color w:val="000000"/>
          <w:sz w:val="28"/>
          <w:szCs w:val="28"/>
          <w:lang w:eastAsia="ru-RU" w:bidi="ru-RU"/>
        </w:rPr>
        <w:t xml:space="preserve">Успешные практики выявления и работы с одаренными детьми и возможности обмена педагогическим опытом в современных условиях обсуждались в рамках Всероссийского круглого стола «Развитие системы детских школ искусств </w:t>
      </w:r>
      <w:r w:rsidR="00360490">
        <w:rPr>
          <w:rFonts w:ascii="Times New Roman" w:eastAsia="Times New Roman" w:hAnsi="Times New Roman" w:cs="Times New Roman"/>
          <w:color w:val="000000"/>
          <w:sz w:val="28"/>
          <w:szCs w:val="28"/>
          <w:lang w:eastAsia="ru-RU" w:bidi="ru-RU"/>
        </w:rPr>
        <w:t>–</w:t>
      </w:r>
      <w:r w:rsidRPr="00F27D80">
        <w:rPr>
          <w:rFonts w:ascii="Times New Roman" w:eastAsia="Times New Roman" w:hAnsi="Times New Roman" w:cs="Times New Roman"/>
          <w:color w:val="000000"/>
          <w:sz w:val="28"/>
          <w:szCs w:val="28"/>
          <w:lang w:eastAsia="ru-RU" w:bidi="ru-RU"/>
        </w:rPr>
        <w:t xml:space="preserve"> 2021: правовое регулирование, эффективные практики», организованного 11</w:t>
      </w:r>
      <w:r w:rsidR="00C66AD1">
        <w:rPr>
          <w:rFonts w:ascii="Times New Roman" w:eastAsia="Times New Roman" w:hAnsi="Times New Roman" w:cs="Times New Roman"/>
          <w:color w:val="000000"/>
          <w:sz w:val="28"/>
          <w:szCs w:val="28"/>
          <w:lang w:eastAsia="ru-RU" w:bidi="ru-RU"/>
        </w:rPr>
        <w:t>-</w:t>
      </w:r>
      <w:r w:rsidRPr="00F27D80">
        <w:rPr>
          <w:rFonts w:ascii="Times New Roman" w:eastAsia="Times New Roman" w:hAnsi="Times New Roman" w:cs="Times New Roman"/>
          <w:color w:val="000000"/>
          <w:sz w:val="28"/>
          <w:szCs w:val="28"/>
          <w:lang w:eastAsia="ru-RU" w:bidi="ru-RU"/>
        </w:rPr>
        <w:t xml:space="preserve">12 ноября в </w:t>
      </w:r>
      <w:r w:rsidR="00360490">
        <w:rPr>
          <w:rFonts w:ascii="Times New Roman" w:eastAsia="Times New Roman" w:hAnsi="Times New Roman" w:cs="Times New Roman"/>
          <w:color w:val="000000"/>
          <w:sz w:val="28"/>
          <w:szCs w:val="28"/>
          <w:lang w:eastAsia="ru-RU" w:bidi="ru-RU"/>
        </w:rPr>
        <w:t xml:space="preserve">г. </w:t>
      </w:r>
      <w:r w:rsidRPr="00F27D80">
        <w:rPr>
          <w:rFonts w:ascii="Times New Roman" w:eastAsia="Times New Roman" w:hAnsi="Times New Roman" w:cs="Times New Roman"/>
          <w:color w:val="000000"/>
          <w:sz w:val="28"/>
          <w:szCs w:val="28"/>
          <w:lang w:eastAsia="ru-RU" w:bidi="ru-RU"/>
        </w:rPr>
        <w:t xml:space="preserve">Санкт-Петербурге при поддержке Минкультуры России. В дистанционном формате в работе круглого стола приняли участие свыше </w:t>
      </w:r>
      <w:r w:rsidR="00360490">
        <w:rPr>
          <w:rFonts w:ascii="Times New Roman" w:eastAsia="Times New Roman" w:hAnsi="Times New Roman" w:cs="Times New Roman"/>
          <w:color w:val="000000"/>
          <w:sz w:val="28"/>
          <w:szCs w:val="28"/>
          <w:lang w:eastAsia="ru-RU" w:bidi="ru-RU"/>
        </w:rPr>
        <w:t xml:space="preserve">1 </w:t>
      </w:r>
      <w:r w:rsidRPr="00F27D80">
        <w:rPr>
          <w:rFonts w:ascii="Times New Roman" w:eastAsia="Times New Roman" w:hAnsi="Times New Roman" w:cs="Times New Roman"/>
          <w:color w:val="000000"/>
          <w:sz w:val="28"/>
          <w:szCs w:val="28"/>
          <w:lang w:eastAsia="ru-RU" w:bidi="ru-RU"/>
        </w:rPr>
        <w:t>тыс</w:t>
      </w:r>
      <w:r w:rsidR="00360490">
        <w:rPr>
          <w:rFonts w:ascii="Times New Roman" w:eastAsia="Times New Roman" w:hAnsi="Times New Roman" w:cs="Times New Roman"/>
          <w:color w:val="000000"/>
          <w:sz w:val="28"/>
          <w:szCs w:val="28"/>
          <w:lang w:eastAsia="ru-RU" w:bidi="ru-RU"/>
        </w:rPr>
        <w:t>.</w:t>
      </w:r>
      <w:r w:rsidRPr="00F27D80">
        <w:rPr>
          <w:rFonts w:ascii="Times New Roman" w:eastAsia="Times New Roman" w:hAnsi="Times New Roman" w:cs="Times New Roman"/>
          <w:color w:val="000000"/>
          <w:sz w:val="28"/>
          <w:szCs w:val="28"/>
          <w:lang w:eastAsia="ru-RU" w:bidi="ru-RU"/>
        </w:rPr>
        <w:t xml:space="preserve"> руководителей и преподавателей ДШИ из 130 населенных пунктов, представители методических служб субъектов Российской Федерации.</w:t>
      </w:r>
    </w:p>
    <w:p w14:paraId="083D944A" w14:textId="2A306859" w:rsidR="00F27D80" w:rsidRPr="00F27D80" w:rsidRDefault="00F27D80" w:rsidP="00F27D80">
      <w:pPr>
        <w:pStyle w:val="Style17"/>
        <w:shd w:val="clear" w:color="auto" w:fill="auto"/>
        <w:spacing w:line="312" w:lineRule="auto"/>
        <w:ind w:firstLine="709"/>
        <w:jc w:val="both"/>
        <w:rPr>
          <w:rFonts w:ascii="Times New Roman" w:hAnsi="Times New Roman" w:cs="Times New Roman"/>
          <w:sz w:val="28"/>
          <w:szCs w:val="28"/>
        </w:rPr>
      </w:pPr>
      <w:r w:rsidRPr="00F27D80">
        <w:rPr>
          <w:rFonts w:ascii="Times New Roman" w:eastAsia="Times New Roman" w:hAnsi="Times New Roman" w:cs="Times New Roman"/>
          <w:color w:val="000000"/>
          <w:sz w:val="28"/>
          <w:szCs w:val="28"/>
          <w:lang w:eastAsia="ru-RU" w:bidi="ru-RU"/>
        </w:rPr>
        <w:t xml:space="preserve">Привлечению большего количества одаренных детей в ДШИ способствует продолжающаяся реализация в </w:t>
      </w:r>
      <w:r w:rsidR="007447CA">
        <w:rPr>
          <w:rFonts w:ascii="Times New Roman" w:eastAsia="Times New Roman" w:hAnsi="Times New Roman" w:cs="Times New Roman"/>
          <w:color w:val="000000"/>
          <w:sz w:val="28"/>
          <w:szCs w:val="28"/>
          <w:lang w:eastAsia="ru-RU" w:bidi="ru-RU"/>
        </w:rPr>
        <w:t>субъектах</w:t>
      </w:r>
      <w:r w:rsidRPr="00F27D80">
        <w:rPr>
          <w:rFonts w:ascii="Times New Roman" w:eastAsia="Times New Roman" w:hAnsi="Times New Roman" w:cs="Times New Roman"/>
          <w:color w:val="000000"/>
          <w:sz w:val="28"/>
          <w:szCs w:val="28"/>
          <w:lang w:eastAsia="ru-RU" w:bidi="ru-RU"/>
        </w:rPr>
        <w:t xml:space="preserve"> Российской Федерации национального проекта «Культура», в рамках которого в 2021 г</w:t>
      </w:r>
      <w:r w:rsidR="00C66AD1">
        <w:rPr>
          <w:rFonts w:ascii="Times New Roman" w:eastAsia="Times New Roman" w:hAnsi="Times New Roman" w:cs="Times New Roman"/>
          <w:color w:val="000000"/>
          <w:sz w:val="28"/>
          <w:szCs w:val="28"/>
          <w:lang w:eastAsia="ru-RU" w:bidi="ru-RU"/>
        </w:rPr>
        <w:t>.</w:t>
      </w:r>
      <w:r w:rsidRPr="00F27D80">
        <w:rPr>
          <w:rFonts w:ascii="Times New Roman" w:eastAsia="Times New Roman" w:hAnsi="Times New Roman" w:cs="Times New Roman"/>
          <w:color w:val="000000"/>
          <w:sz w:val="28"/>
          <w:szCs w:val="28"/>
          <w:lang w:eastAsia="ru-RU" w:bidi="ru-RU"/>
        </w:rPr>
        <w:t xml:space="preserve"> 287 ДШИ и 19 училищ искусств </w:t>
      </w:r>
      <w:r w:rsidR="00D50BC5">
        <w:rPr>
          <w:rFonts w:ascii="Times New Roman" w:eastAsia="Times New Roman" w:hAnsi="Times New Roman" w:cs="Times New Roman"/>
          <w:color w:val="000000"/>
          <w:sz w:val="28"/>
          <w:szCs w:val="28"/>
          <w:lang w:eastAsia="ru-RU" w:bidi="ru-RU"/>
        </w:rPr>
        <w:br/>
      </w:r>
      <w:r w:rsidRPr="00F27D80">
        <w:rPr>
          <w:rFonts w:ascii="Times New Roman" w:eastAsia="Times New Roman" w:hAnsi="Times New Roman" w:cs="Times New Roman"/>
          <w:color w:val="000000"/>
          <w:sz w:val="28"/>
          <w:szCs w:val="28"/>
          <w:lang w:eastAsia="ru-RU" w:bidi="ru-RU"/>
        </w:rPr>
        <w:t>в 41 субъекте Центрального, Северо-Западного, Уральского, и Дальневосточного федеральных округов получили новые музыкальные инструменты, специализированное оборудование для учебных классов и залов, учебную и методическую литературу для пополнения библиотечных фондов образовательных организаций. В целях улучшения условий для обучения талантливых детей и молодежи в 2021 г</w:t>
      </w:r>
      <w:r w:rsidR="00C66AD1">
        <w:rPr>
          <w:rFonts w:ascii="Times New Roman" w:eastAsia="Times New Roman" w:hAnsi="Times New Roman" w:cs="Times New Roman"/>
          <w:color w:val="000000"/>
          <w:sz w:val="28"/>
          <w:szCs w:val="28"/>
          <w:lang w:eastAsia="ru-RU" w:bidi="ru-RU"/>
        </w:rPr>
        <w:t>.</w:t>
      </w:r>
      <w:r w:rsidRPr="00F27D80">
        <w:rPr>
          <w:rFonts w:ascii="Times New Roman" w:eastAsia="Times New Roman" w:hAnsi="Times New Roman" w:cs="Times New Roman"/>
          <w:color w:val="000000"/>
          <w:sz w:val="28"/>
          <w:szCs w:val="28"/>
          <w:lang w:eastAsia="ru-RU" w:bidi="ru-RU"/>
        </w:rPr>
        <w:t xml:space="preserve"> за счет средств субсидии из федерального бюджета и средств региональных бюджетов произведены капитальный ремонт и реконструкция </w:t>
      </w:r>
      <w:r w:rsidR="00C66AD1">
        <w:rPr>
          <w:rFonts w:ascii="Times New Roman" w:eastAsia="Times New Roman" w:hAnsi="Times New Roman" w:cs="Times New Roman"/>
          <w:color w:val="000000"/>
          <w:sz w:val="28"/>
          <w:szCs w:val="28"/>
          <w:lang w:eastAsia="ru-RU" w:bidi="ru-RU"/>
        </w:rPr>
        <w:br/>
      </w:r>
      <w:r w:rsidRPr="00F27D80">
        <w:rPr>
          <w:rFonts w:ascii="Times New Roman" w:eastAsia="Times New Roman" w:hAnsi="Times New Roman" w:cs="Times New Roman"/>
          <w:color w:val="000000"/>
          <w:sz w:val="28"/>
          <w:szCs w:val="28"/>
          <w:lang w:eastAsia="ru-RU" w:bidi="ru-RU"/>
        </w:rPr>
        <w:t xml:space="preserve">283 зданий ДШИ в 76 субъектах Российской Федерации. </w:t>
      </w:r>
      <w:r w:rsidR="00F577B6">
        <w:rPr>
          <w:rFonts w:ascii="Times New Roman" w:eastAsia="Times New Roman" w:hAnsi="Times New Roman" w:cs="Times New Roman"/>
          <w:color w:val="000000"/>
          <w:sz w:val="28"/>
          <w:szCs w:val="28"/>
          <w:lang w:eastAsia="ru-RU" w:bidi="ru-RU"/>
        </w:rPr>
        <w:t>Б</w:t>
      </w:r>
      <w:r w:rsidR="00F577B6" w:rsidRPr="00F27D80">
        <w:rPr>
          <w:rFonts w:ascii="Times New Roman" w:eastAsia="Times New Roman" w:hAnsi="Times New Roman" w:cs="Times New Roman"/>
          <w:color w:val="000000"/>
          <w:sz w:val="28"/>
          <w:szCs w:val="28"/>
          <w:lang w:eastAsia="ru-RU" w:bidi="ru-RU"/>
        </w:rPr>
        <w:t xml:space="preserve">лагодаря передаче части модернизированных зданий в оперативное управление ДШИ </w:t>
      </w:r>
      <w:r w:rsidR="00F577B6">
        <w:rPr>
          <w:rFonts w:ascii="Times New Roman" w:eastAsia="Times New Roman" w:hAnsi="Times New Roman" w:cs="Times New Roman"/>
          <w:color w:val="000000"/>
          <w:sz w:val="28"/>
          <w:szCs w:val="28"/>
          <w:lang w:eastAsia="ru-RU" w:bidi="ru-RU"/>
        </w:rPr>
        <w:t>р</w:t>
      </w:r>
      <w:r w:rsidRPr="00F27D80">
        <w:rPr>
          <w:rFonts w:ascii="Times New Roman" w:eastAsia="Times New Roman" w:hAnsi="Times New Roman" w:cs="Times New Roman"/>
          <w:color w:val="000000"/>
          <w:sz w:val="28"/>
          <w:szCs w:val="28"/>
          <w:lang w:eastAsia="ru-RU" w:bidi="ru-RU"/>
        </w:rPr>
        <w:t>асширились площади для ведения образовательной деятельности. В 2021 г</w:t>
      </w:r>
      <w:r w:rsidR="00C66AD1">
        <w:rPr>
          <w:rFonts w:ascii="Times New Roman" w:eastAsia="Times New Roman" w:hAnsi="Times New Roman" w:cs="Times New Roman"/>
          <w:color w:val="000000"/>
          <w:sz w:val="28"/>
          <w:szCs w:val="28"/>
          <w:lang w:eastAsia="ru-RU" w:bidi="ru-RU"/>
        </w:rPr>
        <w:t>.</w:t>
      </w:r>
      <w:r w:rsidRPr="00F27D80">
        <w:rPr>
          <w:rFonts w:ascii="Times New Roman" w:eastAsia="Times New Roman" w:hAnsi="Times New Roman" w:cs="Times New Roman"/>
          <w:color w:val="000000"/>
          <w:sz w:val="28"/>
          <w:szCs w:val="28"/>
          <w:lang w:eastAsia="ru-RU" w:bidi="ru-RU"/>
        </w:rPr>
        <w:t xml:space="preserve"> также продолжена работа по повышению кадрового потенциала работников сферы культуры и искусств. </w:t>
      </w:r>
      <w:r w:rsidR="00C66AD1">
        <w:rPr>
          <w:rFonts w:ascii="Times New Roman" w:eastAsia="Times New Roman" w:hAnsi="Times New Roman" w:cs="Times New Roman"/>
          <w:color w:val="000000"/>
          <w:sz w:val="28"/>
          <w:szCs w:val="28"/>
          <w:lang w:eastAsia="ru-RU" w:bidi="ru-RU"/>
        </w:rPr>
        <w:br/>
      </w:r>
      <w:r w:rsidRPr="00F27D80">
        <w:rPr>
          <w:rFonts w:ascii="Times New Roman" w:eastAsia="Times New Roman" w:hAnsi="Times New Roman" w:cs="Times New Roman"/>
          <w:color w:val="000000"/>
          <w:sz w:val="28"/>
          <w:szCs w:val="28"/>
          <w:lang w:eastAsia="ru-RU" w:bidi="ru-RU"/>
        </w:rPr>
        <w:t>В рамках национального проекта «Культура» 40 тыс. работников культуры, в том числе преподавателей ДШИ, училищ и вузов культуры и искусств, повысили квалификацию в 18 Центрах непрерывного образования и повышения квалификации творческих и управленческих кадров в области культуры.</w:t>
      </w:r>
    </w:p>
    <w:p w14:paraId="3D6E7E2D" w14:textId="77777777" w:rsidR="00F27D80" w:rsidRPr="00F27D80" w:rsidRDefault="00F27D80" w:rsidP="00F27D80">
      <w:pPr>
        <w:pStyle w:val="Style17"/>
        <w:shd w:val="clear" w:color="auto" w:fill="auto"/>
        <w:spacing w:line="312" w:lineRule="auto"/>
        <w:ind w:firstLine="709"/>
        <w:jc w:val="both"/>
        <w:rPr>
          <w:rFonts w:ascii="Times New Roman" w:hAnsi="Times New Roman" w:cs="Times New Roman"/>
          <w:sz w:val="28"/>
          <w:szCs w:val="28"/>
        </w:rPr>
      </w:pPr>
      <w:r w:rsidRPr="00F27D80">
        <w:rPr>
          <w:rFonts w:ascii="Times New Roman" w:eastAsia="Times New Roman" w:hAnsi="Times New Roman" w:cs="Times New Roman"/>
          <w:color w:val="000000"/>
          <w:sz w:val="28"/>
          <w:szCs w:val="28"/>
          <w:lang w:eastAsia="ru-RU" w:bidi="ru-RU"/>
        </w:rPr>
        <w:t>Минкультуры России совместно с органами исполнительной власти в области культуры и профильными образовательными организациями ведется системная работа по выявлению и поддержке одаренных детей путем организации и поддержки проведения всероссийских творческих конкурсов, олимпиад и иных мероприятий по различным направлениям искусств.</w:t>
      </w:r>
    </w:p>
    <w:p w14:paraId="52EB4D07" w14:textId="77777777" w:rsidR="00F27D80" w:rsidRPr="00F27D80" w:rsidRDefault="00F27D80" w:rsidP="00F27D80">
      <w:pPr>
        <w:pStyle w:val="Style17"/>
        <w:shd w:val="clear" w:color="auto" w:fill="auto"/>
        <w:spacing w:line="312" w:lineRule="auto"/>
        <w:ind w:firstLine="709"/>
        <w:jc w:val="both"/>
        <w:rPr>
          <w:rFonts w:ascii="Times New Roman" w:hAnsi="Times New Roman" w:cs="Times New Roman"/>
          <w:sz w:val="28"/>
          <w:szCs w:val="28"/>
        </w:rPr>
      </w:pPr>
      <w:r w:rsidRPr="00F27D80">
        <w:rPr>
          <w:rFonts w:ascii="Times New Roman" w:eastAsia="Times New Roman" w:hAnsi="Times New Roman" w:cs="Times New Roman"/>
          <w:color w:val="000000"/>
          <w:sz w:val="28"/>
          <w:szCs w:val="28"/>
          <w:lang w:eastAsia="ru-RU" w:bidi="ru-RU"/>
        </w:rPr>
        <w:t>В 2021 г</w:t>
      </w:r>
      <w:r w:rsidR="00C66AD1">
        <w:rPr>
          <w:rFonts w:ascii="Times New Roman" w:eastAsia="Times New Roman" w:hAnsi="Times New Roman" w:cs="Times New Roman"/>
          <w:color w:val="000000"/>
          <w:sz w:val="28"/>
          <w:szCs w:val="28"/>
          <w:lang w:eastAsia="ru-RU" w:bidi="ru-RU"/>
        </w:rPr>
        <w:t>.</w:t>
      </w:r>
      <w:r w:rsidRPr="00F27D80">
        <w:rPr>
          <w:rFonts w:ascii="Times New Roman" w:eastAsia="Times New Roman" w:hAnsi="Times New Roman" w:cs="Times New Roman"/>
          <w:color w:val="000000"/>
          <w:sz w:val="28"/>
          <w:szCs w:val="28"/>
          <w:lang w:eastAsia="ru-RU" w:bidi="ru-RU"/>
        </w:rPr>
        <w:t xml:space="preserve"> увеличилось количество конкурсных мероприятий в сфере культуры и искусств, включенных в перечни олимпиад и иных интеллектуальных и (или) творческих конкурсов, направленных на развитие интеллектуальных и творческих способностей, а также на пропаганду</w:t>
      </w:r>
      <w:r w:rsidRPr="00F27D80">
        <w:rPr>
          <w:rFonts w:ascii="Times New Roman" w:hAnsi="Times New Roman" w:cs="Times New Roman"/>
          <w:sz w:val="28"/>
          <w:szCs w:val="28"/>
        </w:rPr>
        <w:t xml:space="preserve"> </w:t>
      </w:r>
      <w:r w:rsidRPr="00F27D80">
        <w:rPr>
          <w:rFonts w:ascii="Times New Roman" w:eastAsia="Times New Roman" w:hAnsi="Times New Roman" w:cs="Times New Roman"/>
          <w:color w:val="000000"/>
          <w:sz w:val="28"/>
          <w:szCs w:val="28"/>
          <w:lang w:eastAsia="ru-RU" w:bidi="ru-RU"/>
        </w:rPr>
        <w:t>научных знаний, творческих и спортивных достижений, утверждаемых ежегодно Минпросвещения России. В перечень мероприятий на 2021/2022 учебный год включены 76 конкурсов в сфере культуры и искусств (музыкальное, изобразительное, театральное и хореографическое искусства, библиотечное дело, социально-культурная деятельность, народно</w:t>
      </w:r>
      <w:r w:rsidRPr="00F27D80">
        <w:rPr>
          <w:rFonts w:ascii="Times New Roman" w:hAnsi="Times New Roman" w:cs="Times New Roman"/>
          <w:sz w:val="28"/>
          <w:szCs w:val="28"/>
        </w:rPr>
        <w:t>-</w:t>
      </w:r>
      <w:r w:rsidRPr="00F27D80">
        <w:rPr>
          <w:rFonts w:ascii="Times New Roman" w:eastAsia="Times New Roman" w:hAnsi="Times New Roman" w:cs="Times New Roman"/>
          <w:color w:val="000000"/>
          <w:sz w:val="28"/>
          <w:szCs w:val="28"/>
          <w:lang w:eastAsia="ru-RU" w:bidi="ru-RU"/>
        </w:rPr>
        <w:t>художественное творчество), проводимых Минкультуры России и профильными образовательными организациями.</w:t>
      </w:r>
    </w:p>
    <w:p w14:paraId="27F6E6BA" w14:textId="1E1FD4E2" w:rsidR="00F27D80" w:rsidRPr="00F27D80" w:rsidRDefault="00F27D80" w:rsidP="00F27D80">
      <w:pPr>
        <w:pStyle w:val="Style17"/>
        <w:shd w:val="clear" w:color="auto" w:fill="auto"/>
        <w:spacing w:line="312" w:lineRule="auto"/>
        <w:ind w:firstLine="709"/>
        <w:jc w:val="both"/>
        <w:rPr>
          <w:rFonts w:ascii="Times New Roman" w:hAnsi="Times New Roman" w:cs="Times New Roman"/>
          <w:sz w:val="28"/>
          <w:szCs w:val="28"/>
        </w:rPr>
      </w:pPr>
      <w:r w:rsidRPr="00F27D80">
        <w:rPr>
          <w:rFonts w:ascii="Times New Roman" w:eastAsia="Times New Roman" w:hAnsi="Times New Roman" w:cs="Times New Roman"/>
          <w:color w:val="000000"/>
          <w:sz w:val="28"/>
          <w:szCs w:val="28"/>
          <w:lang w:eastAsia="ru-RU" w:bidi="ru-RU"/>
        </w:rPr>
        <w:t xml:space="preserve">Победители указанных конкурсов при поступлении на обучение по программам бакалавриата, специалитета и программам среднего профессионального образования становятся претендентами на получение грантов Президента Российской Федерации. За последние пять лет количество таких мероприятий, включенных в ежегодные перечни Минпросвещения России, возросло в 3,5 раза (в 2017/2018 учебном году </w:t>
      </w:r>
      <w:r w:rsidR="00F577B6">
        <w:rPr>
          <w:rFonts w:ascii="Times New Roman" w:eastAsia="Times New Roman" w:hAnsi="Times New Roman" w:cs="Times New Roman"/>
          <w:color w:val="000000"/>
          <w:sz w:val="28"/>
          <w:szCs w:val="28"/>
          <w:lang w:eastAsia="ru-RU" w:bidi="ru-RU"/>
        </w:rPr>
        <w:t>–</w:t>
      </w:r>
      <w:r w:rsidRPr="00F27D80">
        <w:rPr>
          <w:rFonts w:ascii="Times New Roman" w:eastAsia="Times New Roman" w:hAnsi="Times New Roman" w:cs="Times New Roman"/>
          <w:color w:val="000000"/>
          <w:sz w:val="28"/>
          <w:szCs w:val="28"/>
          <w:lang w:eastAsia="ru-RU" w:bidi="ru-RU"/>
        </w:rPr>
        <w:t xml:space="preserve"> </w:t>
      </w:r>
      <w:r w:rsidR="00D50BC5">
        <w:rPr>
          <w:rFonts w:ascii="Times New Roman" w:eastAsia="Times New Roman" w:hAnsi="Times New Roman" w:cs="Times New Roman"/>
          <w:color w:val="000000"/>
          <w:sz w:val="28"/>
          <w:szCs w:val="28"/>
          <w:lang w:eastAsia="ru-RU" w:bidi="ru-RU"/>
        </w:rPr>
        <w:br/>
      </w:r>
      <w:r w:rsidRPr="00F27D80">
        <w:rPr>
          <w:rFonts w:ascii="Times New Roman" w:eastAsia="Times New Roman" w:hAnsi="Times New Roman" w:cs="Times New Roman"/>
          <w:color w:val="000000"/>
          <w:sz w:val="28"/>
          <w:szCs w:val="28"/>
          <w:lang w:eastAsia="ru-RU" w:bidi="ru-RU"/>
        </w:rPr>
        <w:t>22 мероприятия).</w:t>
      </w:r>
    </w:p>
    <w:p w14:paraId="45FE3799" w14:textId="77777777" w:rsidR="00F27D80" w:rsidRPr="00F27D80" w:rsidRDefault="00F27D80" w:rsidP="00F577B6">
      <w:pPr>
        <w:pStyle w:val="Style17"/>
        <w:shd w:val="clear" w:color="auto" w:fill="auto"/>
        <w:spacing w:line="312" w:lineRule="auto"/>
        <w:ind w:firstLine="709"/>
        <w:jc w:val="both"/>
        <w:rPr>
          <w:rFonts w:ascii="Times New Roman" w:hAnsi="Times New Roman" w:cs="Times New Roman"/>
          <w:sz w:val="28"/>
          <w:szCs w:val="28"/>
        </w:rPr>
      </w:pPr>
      <w:r w:rsidRPr="00F27D80">
        <w:rPr>
          <w:rFonts w:ascii="Times New Roman" w:eastAsia="Times New Roman" w:hAnsi="Times New Roman" w:cs="Times New Roman"/>
          <w:color w:val="000000"/>
          <w:sz w:val="28"/>
          <w:szCs w:val="28"/>
          <w:lang w:eastAsia="ru-RU" w:bidi="ru-RU"/>
        </w:rPr>
        <w:t xml:space="preserve">В целях выявления и поддержки лучших учащихся ДШИ и студентов училищ искусств Минкультуры России ежегодно проводит самый масштабный в Российской Федерации конкурс среди детей и молодежи, осваивающих образовательные программы в области искусств </w:t>
      </w:r>
      <w:r w:rsidR="00F577B6">
        <w:rPr>
          <w:rFonts w:ascii="Times New Roman" w:eastAsia="Times New Roman" w:hAnsi="Times New Roman" w:cs="Times New Roman"/>
          <w:color w:val="000000"/>
          <w:sz w:val="28"/>
          <w:szCs w:val="28"/>
          <w:lang w:eastAsia="ru-RU" w:bidi="ru-RU"/>
        </w:rPr>
        <w:t>–</w:t>
      </w:r>
      <w:r w:rsidRPr="00F27D80">
        <w:rPr>
          <w:rFonts w:ascii="Times New Roman" w:eastAsia="Times New Roman" w:hAnsi="Times New Roman" w:cs="Times New Roman"/>
          <w:color w:val="000000"/>
          <w:sz w:val="28"/>
          <w:szCs w:val="28"/>
          <w:lang w:eastAsia="ru-RU" w:bidi="ru-RU"/>
        </w:rPr>
        <w:t xml:space="preserve"> Общероссийский кон</w:t>
      </w:r>
      <w:r w:rsidR="00F577B6">
        <w:rPr>
          <w:rFonts w:ascii="Times New Roman" w:eastAsia="Times New Roman" w:hAnsi="Times New Roman" w:cs="Times New Roman"/>
          <w:color w:val="000000"/>
          <w:sz w:val="28"/>
          <w:szCs w:val="28"/>
          <w:lang w:eastAsia="ru-RU" w:bidi="ru-RU"/>
        </w:rPr>
        <w:t>курс «Молодые дарования России», участниками которого в</w:t>
      </w:r>
      <w:r w:rsidRPr="00F27D80">
        <w:rPr>
          <w:rFonts w:ascii="Times New Roman" w:eastAsia="Times New Roman" w:hAnsi="Times New Roman" w:cs="Times New Roman"/>
          <w:color w:val="000000"/>
          <w:sz w:val="28"/>
          <w:szCs w:val="28"/>
          <w:lang w:eastAsia="ru-RU" w:bidi="ru-RU"/>
        </w:rPr>
        <w:t xml:space="preserve"> 2021 г</w:t>
      </w:r>
      <w:r w:rsidR="008E266C">
        <w:rPr>
          <w:rFonts w:ascii="Times New Roman" w:eastAsia="Times New Roman" w:hAnsi="Times New Roman" w:cs="Times New Roman"/>
          <w:color w:val="000000"/>
          <w:sz w:val="28"/>
          <w:szCs w:val="28"/>
          <w:lang w:eastAsia="ru-RU" w:bidi="ru-RU"/>
        </w:rPr>
        <w:t>.</w:t>
      </w:r>
      <w:r w:rsidRPr="00F27D80">
        <w:rPr>
          <w:rFonts w:ascii="Times New Roman" w:eastAsia="Times New Roman" w:hAnsi="Times New Roman" w:cs="Times New Roman"/>
          <w:color w:val="000000"/>
          <w:sz w:val="28"/>
          <w:szCs w:val="28"/>
          <w:lang w:eastAsia="ru-RU" w:bidi="ru-RU"/>
        </w:rPr>
        <w:t xml:space="preserve"> </w:t>
      </w:r>
      <w:r w:rsidR="00F577B6">
        <w:rPr>
          <w:rFonts w:ascii="Times New Roman" w:eastAsia="Times New Roman" w:hAnsi="Times New Roman" w:cs="Times New Roman"/>
          <w:color w:val="000000"/>
          <w:sz w:val="28"/>
          <w:szCs w:val="28"/>
          <w:lang w:eastAsia="ru-RU" w:bidi="ru-RU"/>
        </w:rPr>
        <w:t>стали</w:t>
      </w:r>
      <w:r w:rsidRPr="00F27D80">
        <w:rPr>
          <w:rFonts w:ascii="Times New Roman" w:eastAsia="Times New Roman" w:hAnsi="Times New Roman" w:cs="Times New Roman"/>
          <w:color w:val="000000"/>
          <w:sz w:val="28"/>
          <w:szCs w:val="28"/>
          <w:lang w:eastAsia="ru-RU" w:bidi="ru-RU"/>
        </w:rPr>
        <w:t xml:space="preserve"> 2 455 человек из 79 субъектов Российской Федерации. По итогам работы жюри призерами признаны свыше </w:t>
      </w:r>
      <w:r w:rsidR="008E266C">
        <w:rPr>
          <w:rFonts w:ascii="Times New Roman" w:eastAsia="Times New Roman" w:hAnsi="Times New Roman" w:cs="Times New Roman"/>
          <w:color w:val="000000"/>
          <w:sz w:val="28"/>
          <w:szCs w:val="28"/>
          <w:lang w:eastAsia="ru-RU" w:bidi="ru-RU"/>
        </w:rPr>
        <w:br/>
      </w:r>
      <w:r w:rsidRPr="00F27D80">
        <w:rPr>
          <w:rFonts w:ascii="Times New Roman" w:eastAsia="Times New Roman" w:hAnsi="Times New Roman" w:cs="Times New Roman"/>
          <w:color w:val="000000"/>
          <w:sz w:val="28"/>
          <w:szCs w:val="28"/>
          <w:lang w:eastAsia="ru-RU" w:bidi="ru-RU"/>
        </w:rPr>
        <w:t>576 молодых дарований, 40 из которых стали лауреатами первых премий.</w:t>
      </w:r>
    </w:p>
    <w:p w14:paraId="44A7D41B" w14:textId="77777777" w:rsidR="00F27D80" w:rsidRPr="00F27D80" w:rsidRDefault="00F27D80" w:rsidP="00F27D80">
      <w:pPr>
        <w:pStyle w:val="Style17"/>
        <w:shd w:val="clear" w:color="auto" w:fill="auto"/>
        <w:spacing w:line="312" w:lineRule="auto"/>
        <w:ind w:firstLine="709"/>
        <w:jc w:val="both"/>
        <w:rPr>
          <w:rFonts w:ascii="Times New Roman" w:hAnsi="Times New Roman" w:cs="Times New Roman"/>
          <w:sz w:val="28"/>
          <w:szCs w:val="28"/>
        </w:rPr>
      </w:pPr>
      <w:r w:rsidRPr="00F27D80">
        <w:rPr>
          <w:rFonts w:ascii="Times New Roman" w:eastAsia="Times New Roman" w:hAnsi="Times New Roman" w:cs="Times New Roman"/>
          <w:color w:val="000000"/>
          <w:sz w:val="28"/>
          <w:szCs w:val="28"/>
          <w:lang w:eastAsia="ru-RU" w:bidi="ru-RU"/>
        </w:rPr>
        <w:t>Для развития творческого потенциала подрастающего поколения в рамках национального проекта «Культура» осуществляется поддержка фестивалей детского творчества всех жанров. В 2021 г</w:t>
      </w:r>
      <w:r w:rsidR="008E266C">
        <w:rPr>
          <w:rFonts w:ascii="Times New Roman" w:eastAsia="Times New Roman" w:hAnsi="Times New Roman" w:cs="Times New Roman"/>
          <w:color w:val="000000"/>
          <w:sz w:val="28"/>
          <w:szCs w:val="28"/>
          <w:lang w:eastAsia="ru-RU" w:bidi="ru-RU"/>
        </w:rPr>
        <w:t>.</w:t>
      </w:r>
      <w:r w:rsidRPr="00F27D80">
        <w:rPr>
          <w:rFonts w:ascii="Times New Roman" w:eastAsia="Times New Roman" w:hAnsi="Times New Roman" w:cs="Times New Roman"/>
          <w:color w:val="000000"/>
          <w:sz w:val="28"/>
          <w:szCs w:val="28"/>
          <w:lang w:eastAsia="ru-RU" w:bidi="ru-RU"/>
        </w:rPr>
        <w:t xml:space="preserve"> поддержано 11 проектов, </w:t>
      </w:r>
      <w:r w:rsidR="00F577B6">
        <w:rPr>
          <w:rFonts w:ascii="Times New Roman" w:eastAsia="Times New Roman" w:hAnsi="Times New Roman" w:cs="Times New Roman"/>
          <w:color w:val="000000"/>
          <w:sz w:val="28"/>
          <w:szCs w:val="28"/>
          <w:lang w:eastAsia="ru-RU" w:bidi="ru-RU"/>
        </w:rPr>
        <w:t>в числе которых</w:t>
      </w:r>
      <w:r w:rsidRPr="00F27D80">
        <w:rPr>
          <w:rFonts w:ascii="Times New Roman" w:eastAsia="Times New Roman" w:hAnsi="Times New Roman" w:cs="Times New Roman"/>
          <w:color w:val="000000"/>
          <w:sz w:val="28"/>
          <w:szCs w:val="28"/>
          <w:lang w:eastAsia="ru-RU" w:bidi="ru-RU"/>
        </w:rPr>
        <w:t xml:space="preserve"> «Детские проекты в Московской филармонии», «Проекты Театра юного актера», «Народное творчество </w:t>
      </w:r>
      <w:r w:rsidR="00F577B6">
        <w:rPr>
          <w:rFonts w:ascii="Times New Roman" w:eastAsia="Times New Roman" w:hAnsi="Times New Roman" w:cs="Times New Roman"/>
          <w:color w:val="000000"/>
          <w:sz w:val="28"/>
          <w:szCs w:val="28"/>
          <w:lang w:eastAsia="ru-RU" w:bidi="ru-RU"/>
        </w:rPr>
        <w:t>–</w:t>
      </w:r>
      <w:r w:rsidRPr="00F27D80">
        <w:rPr>
          <w:rFonts w:ascii="Times New Roman" w:eastAsia="Times New Roman" w:hAnsi="Times New Roman" w:cs="Times New Roman"/>
          <w:color w:val="000000"/>
          <w:sz w:val="28"/>
          <w:szCs w:val="28"/>
          <w:lang w:eastAsia="ru-RU" w:bidi="ru-RU"/>
        </w:rPr>
        <w:t xml:space="preserve"> детям».</w:t>
      </w:r>
    </w:p>
    <w:p w14:paraId="7580DC62" w14:textId="77777777" w:rsidR="00F27D80" w:rsidRPr="00F27D80" w:rsidRDefault="00F27D80" w:rsidP="00F27D80">
      <w:pPr>
        <w:pStyle w:val="Style17"/>
        <w:shd w:val="clear" w:color="auto" w:fill="auto"/>
        <w:spacing w:line="312" w:lineRule="auto"/>
        <w:ind w:firstLine="709"/>
        <w:jc w:val="both"/>
        <w:rPr>
          <w:rFonts w:ascii="Times New Roman" w:hAnsi="Times New Roman" w:cs="Times New Roman"/>
          <w:sz w:val="28"/>
          <w:szCs w:val="28"/>
        </w:rPr>
      </w:pPr>
      <w:r w:rsidRPr="00F27D80">
        <w:rPr>
          <w:rFonts w:ascii="Times New Roman" w:eastAsia="Times New Roman" w:hAnsi="Times New Roman" w:cs="Times New Roman"/>
          <w:color w:val="000000"/>
          <w:sz w:val="28"/>
          <w:szCs w:val="28"/>
          <w:lang w:eastAsia="ru-RU" w:bidi="ru-RU"/>
        </w:rPr>
        <w:t>При поддержке Минкультуры России в 2021 г</w:t>
      </w:r>
      <w:r w:rsidR="008E266C">
        <w:rPr>
          <w:rFonts w:ascii="Times New Roman" w:eastAsia="Times New Roman" w:hAnsi="Times New Roman" w:cs="Times New Roman"/>
          <w:color w:val="000000"/>
          <w:sz w:val="28"/>
          <w:szCs w:val="28"/>
          <w:lang w:eastAsia="ru-RU" w:bidi="ru-RU"/>
        </w:rPr>
        <w:t>.</w:t>
      </w:r>
      <w:r w:rsidRPr="00F27D80">
        <w:rPr>
          <w:rFonts w:ascii="Times New Roman" w:eastAsia="Times New Roman" w:hAnsi="Times New Roman" w:cs="Times New Roman"/>
          <w:color w:val="000000"/>
          <w:sz w:val="28"/>
          <w:szCs w:val="28"/>
          <w:lang w:eastAsia="ru-RU" w:bidi="ru-RU"/>
        </w:rPr>
        <w:t xml:space="preserve"> были проведены </w:t>
      </w:r>
      <w:r w:rsidR="008E266C">
        <w:rPr>
          <w:rFonts w:ascii="Times New Roman" w:eastAsia="Times New Roman" w:hAnsi="Times New Roman" w:cs="Times New Roman"/>
          <w:color w:val="000000"/>
          <w:sz w:val="28"/>
          <w:szCs w:val="28"/>
          <w:lang w:eastAsia="ru-RU" w:bidi="ru-RU"/>
        </w:rPr>
        <w:br/>
      </w:r>
      <w:r w:rsidRPr="00F27D80">
        <w:rPr>
          <w:rFonts w:ascii="Times New Roman" w:eastAsia="Times New Roman" w:hAnsi="Times New Roman" w:cs="Times New Roman"/>
          <w:color w:val="000000"/>
          <w:sz w:val="28"/>
          <w:szCs w:val="28"/>
          <w:lang w:eastAsia="ru-RU" w:bidi="ru-RU"/>
        </w:rPr>
        <w:t>6 кинофестивалей, направленных на выявление и поддержку талантливых детей и молодежи: XVII Международный мастер-класс-фестиваль детского</w:t>
      </w:r>
      <w:r w:rsidRPr="00F27D80">
        <w:rPr>
          <w:rFonts w:ascii="Times New Roman" w:hAnsi="Times New Roman" w:cs="Times New Roman"/>
          <w:sz w:val="28"/>
          <w:szCs w:val="28"/>
        </w:rPr>
        <w:t xml:space="preserve"> </w:t>
      </w:r>
      <w:r w:rsidRPr="00F27D80">
        <w:rPr>
          <w:rFonts w:ascii="Times New Roman" w:eastAsia="Times New Roman" w:hAnsi="Times New Roman" w:cs="Times New Roman"/>
          <w:color w:val="000000"/>
          <w:sz w:val="28"/>
          <w:szCs w:val="28"/>
          <w:lang w:eastAsia="ru-RU" w:bidi="ru-RU"/>
        </w:rPr>
        <w:t>мультипликационного кино «Жар-Птица», XXIX Международный детский кинофестиваль «Алые паруса Артека» в Крыму, IV Международный фестиваль детского анимационного кино в Международном детском центре «Артек» «АНИМАТИКА», Калининградский международный кинофестиваль «Край света. Запад», XVI Всероссийский открытый фестиваль-форум детского и юношеского экранного творчества «Бумеранг». В рамках фестивалей прошли творческие встречи детей с кинематографистами, мастер-классы, практические занятия в съемочных павильонах, а также конкурсы детских фильмов.</w:t>
      </w:r>
    </w:p>
    <w:p w14:paraId="6B938DDD" w14:textId="77777777" w:rsidR="00D03A4F" w:rsidRDefault="00D03A4F" w:rsidP="002E52A2">
      <w:pPr>
        <w:spacing w:before="240" w:after="240"/>
        <w:ind w:firstLine="709"/>
        <w:jc w:val="center"/>
        <w:rPr>
          <w:rFonts w:ascii="Times New Roman" w:eastAsia="Times New Roman" w:hAnsi="Times New Roman" w:cs="Times New Roman"/>
          <w:b/>
          <w:sz w:val="28"/>
          <w:szCs w:val="28"/>
          <w:lang w:eastAsia="ru-RU"/>
        </w:rPr>
      </w:pPr>
      <w:r w:rsidRPr="00E36759">
        <w:rPr>
          <w:rFonts w:ascii="Times New Roman" w:eastAsia="Times New Roman" w:hAnsi="Times New Roman" w:cs="Times New Roman"/>
          <w:b/>
          <w:sz w:val="28"/>
          <w:szCs w:val="28"/>
          <w:lang w:eastAsia="ru-RU"/>
        </w:rPr>
        <w:t>Мероприятия, направленные на обеспечение информационной безопасности несовершеннолетних</w:t>
      </w:r>
    </w:p>
    <w:p w14:paraId="16B657A4" w14:textId="77777777" w:rsidR="003A5C59" w:rsidRDefault="003A5C59" w:rsidP="003A5C59">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F5764E">
        <w:rPr>
          <w:rFonts w:ascii="Times New Roman" w:eastAsia="Times New Roman" w:hAnsi="Times New Roman" w:cs="Times New Roman"/>
          <w:bCs/>
          <w:sz w:val="28"/>
          <w:szCs w:val="28"/>
          <w:lang w:eastAsia="ru-RU"/>
        </w:rPr>
        <w:t xml:space="preserve">В условиях цифровой трансформации современного общества и возрастающих темпов вовлечения детей в цифровые технологии, популяризации информационных ресурсов и виртуальных пространств вопросы предотвращения вовлечения несовершеннолетних в потребление и распространение деструктивного контента, размещаемого в </w:t>
      </w:r>
      <w:r>
        <w:rPr>
          <w:rFonts w:ascii="Times New Roman" w:eastAsia="Times New Roman" w:hAnsi="Times New Roman" w:cs="Times New Roman"/>
          <w:bCs/>
          <w:sz w:val="28"/>
          <w:szCs w:val="28"/>
          <w:lang w:eastAsia="ru-RU"/>
        </w:rPr>
        <w:t xml:space="preserve">информационно-телекоммуникационной сети «Интернет» </w:t>
      </w:r>
      <w:r w:rsidR="0074433D">
        <w:rPr>
          <w:rFonts w:ascii="Times New Roman" w:eastAsia="Times New Roman" w:hAnsi="Times New Roman" w:cs="Times New Roman"/>
          <w:bCs/>
          <w:sz w:val="28"/>
          <w:szCs w:val="28"/>
          <w:lang w:eastAsia="ru-RU"/>
        </w:rPr>
        <w:br/>
      </w:r>
      <w:r>
        <w:rPr>
          <w:rFonts w:ascii="Times New Roman" w:eastAsia="Times New Roman" w:hAnsi="Times New Roman" w:cs="Times New Roman"/>
          <w:bCs/>
          <w:sz w:val="28"/>
          <w:szCs w:val="28"/>
          <w:lang w:eastAsia="ru-RU"/>
        </w:rPr>
        <w:t xml:space="preserve">(далее </w:t>
      </w:r>
      <w:r w:rsidR="0074433D">
        <w:rPr>
          <w:rFonts w:ascii="Times New Roman" w:eastAsia="Times New Roman" w:hAnsi="Times New Roman" w:cs="Times New Roman"/>
          <w:bCs/>
          <w:sz w:val="28"/>
          <w:szCs w:val="28"/>
          <w:lang w:eastAsia="ru-RU"/>
        </w:rPr>
        <w:t xml:space="preserve">по тексту подраздела </w:t>
      </w:r>
      <w:r>
        <w:rPr>
          <w:rFonts w:ascii="Times New Roman" w:eastAsia="Times New Roman" w:hAnsi="Times New Roman" w:cs="Times New Roman"/>
          <w:bCs/>
          <w:sz w:val="28"/>
          <w:szCs w:val="28"/>
          <w:lang w:eastAsia="ru-RU"/>
        </w:rPr>
        <w:t>– сеть Интернет)</w:t>
      </w:r>
      <w:r w:rsidRPr="00F5764E">
        <w:rPr>
          <w:rFonts w:ascii="Times New Roman" w:eastAsia="Times New Roman" w:hAnsi="Times New Roman" w:cs="Times New Roman"/>
          <w:bCs/>
          <w:sz w:val="28"/>
          <w:szCs w:val="28"/>
          <w:lang w:eastAsia="ru-RU"/>
        </w:rPr>
        <w:t>, приобретают ос</w:t>
      </w:r>
      <w:r w:rsidR="0074433D">
        <w:rPr>
          <w:rFonts w:ascii="Times New Roman" w:eastAsia="Times New Roman" w:hAnsi="Times New Roman" w:cs="Times New Roman"/>
          <w:bCs/>
          <w:sz w:val="28"/>
          <w:szCs w:val="28"/>
          <w:lang w:eastAsia="ru-RU"/>
        </w:rPr>
        <w:t>обую значимость и актуальность.</w:t>
      </w:r>
    </w:p>
    <w:p w14:paraId="6C4CE7E5" w14:textId="77777777" w:rsidR="003A5C59" w:rsidRDefault="003A5C59" w:rsidP="003A5C59">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F5764E">
        <w:rPr>
          <w:rFonts w:ascii="Times New Roman" w:eastAsia="Times New Roman" w:hAnsi="Times New Roman" w:cs="Times New Roman"/>
          <w:bCs/>
          <w:sz w:val="28"/>
          <w:szCs w:val="28"/>
          <w:lang w:eastAsia="ru-RU"/>
        </w:rPr>
        <w:t>Тенденции неуклонного роста рисков, связанных с потреблением несовершеннолетними негативной информации, размещаемой</w:t>
      </w:r>
      <w:r w:rsidR="00D663E9">
        <w:rPr>
          <w:rFonts w:ascii="Times New Roman" w:eastAsia="Times New Roman" w:hAnsi="Times New Roman" w:cs="Times New Roman"/>
          <w:bCs/>
          <w:sz w:val="28"/>
          <w:szCs w:val="28"/>
          <w:lang w:eastAsia="ru-RU"/>
        </w:rPr>
        <w:t>,</w:t>
      </w:r>
      <w:r w:rsidRPr="00F5764E">
        <w:rPr>
          <w:rFonts w:ascii="Times New Roman" w:eastAsia="Times New Roman" w:hAnsi="Times New Roman" w:cs="Times New Roman"/>
          <w:bCs/>
          <w:sz w:val="28"/>
          <w:szCs w:val="28"/>
          <w:lang w:eastAsia="ru-RU"/>
        </w:rPr>
        <w:t xml:space="preserve"> </w:t>
      </w:r>
      <w:r w:rsidR="0074433D">
        <w:rPr>
          <w:rFonts w:ascii="Times New Roman" w:eastAsia="Times New Roman" w:hAnsi="Times New Roman" w:cs="Times New Roman"/>
          <w:bCs/>
          <w:sz w:val="28"/>
          <w:szCs w:val="28"/>
          <w:lang w:eastAsia="ru-RU"/>
        </w:rPr>
        <w:t xml:space="preserve">в том числе </w:t>
      </w:r>
      <w:r w:rsidRPr="00F5764E">
        <w:rPr>
          <w:rFonts w:ascii="Times New Roman" w:eastAsia="Times New Roman" w:hAnsi="Times New Roman" w:cs="Times New Roman"/>
          <w:bCs/>
          <w:sz w:val="28"/>
          <w:szCs w:val="28"/>
          <w:lang w:eastAsia="ru-RU"/>
        </w:rPr>
        <w:t xml:space="preserve">в популярных социальных сетях, обуславливают необходимость проведения тщательного </w:t>
      </w:r>
      <w:r w:rsidR="0074433D">
        <w:rPr>
          <w:rFonts w:ascii="Times New Roman" w:eastAsia="Times New Roman" w:hAnsi="Times New Roman" w:cs="Times New Roman"/>
          <w:bCs/>
          <w:sz w:val="28"/>
          <w:szCs w:val="28"/>
          <w:lang w:eastAsia="ru-RU"/>
        </w:rPr>
        <w:t>мониторинга и анализа контента.</w:t>
      </w:r>
    </w:p>
    <w:p w14:paraId="5D693AAB" w14:textId="77777777" w:rsidR="003A5C59" w:rsidRDefault="003A5C59" w:rsidP="003A5C59">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F5764E">
        <w:rPr>
          <w:rFonts w:ascii="Times New Roman" w:eastAsia="Times New Roman" w:hAnsi="Times New Roman" w:cs="Times New Roman"/>
          <w:bCs/>
          <w:sz w:val="28"/>
          <w:szCs w:val="28"/>
          <w:lang w:eastAsia="ru-RU"/>
        </w:rPr>
        <w:t xml:space="preserve">Несовершеннолетние пользователи </w:t>
      </w:r>
      <w:r>
        <w:rPr>
          <w:rFonts w:ascii="Times New Roman" w:eastAsia="Times New Roman" w:hAnsi="Times New Roman" w:cs="Times New Roman"/>
          <w:bCs/>
          <w:sz w:val="28"/>
          <w:szCs w:val="28"/>
          <w:lang w:eastAsia="ru-RU"/>
        </w:rPr>
        <w:t>в сети Интернет могут столкнуться</w:t>
      </w:r>
      <w:r w:rsidRPr="00F5764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с информацией, пропагандирующей</w:t>
      </w:r>
      <w:r w:rsidRPr="00F5764E">
        <w:rPr>
          <w:rFonts w:ascii="Times New Roman" w:eastAsia="Times New Roman" w:hAnsi="Times New Roman" w:cs="Times New Roman"/>
          <w:bCs/>
          <w:sz w:val="28"/>
          <w:szCs w:val="28"/>
          <w:lang w:eastAsia="ru-RU"/>
        </w:rPr>
        <w:t xml:space="preserve"> проявление насилия и жестокости, совершение общественно опасных деяний, сопряженных с угрозой жизни и здоровью людей, развитием суицидальных наклонностей</w:t>
      </w:r>
      <w:r>
        <w:rPr>
          <w:rFonts w:ascii="Times New Roman" w:eastAsia="Times New Roman" w:hAnsi="Times New Roman" w:cs="Times New Roman"/>
          <w:bCs/>
          <w:sz w:val="28"/>
          <w:szCs w:val="28"/>
          <w:lang w:eastAsia="ru-RU"/>
        </w:rPr>
        <w:t xml:space="preserve"> у подростков, распространяющей</w:t>
      </w:r>
      <w:r w:rsidRPr="00F5764E">
        <w:rPr>
          <w:rFonts w:ascii="Times New Roman" w:eastAsia="Times New Roman" w:hAnsi="Times New Roman" w:cs="Times New Roman"/>
          <w:bCs/>
          <w:sz w:val="28"/>
          <w:szCs w:val="28"/>
          <w:lang w:eastAsia="ru-RU"/>
        </w:rPr>
        <w:t xml:space="preserve"> идеологию криминальных суб</w:t>
      </w:r>
      <w:r>
        <w:rPr>
          <w:rFonts w:ascii="Times New Roman" w:eastAsia="Times New Roman" w:hAnsi="Times New Roman" w:cs="Times New Roman"/>
          <w:bCs/>
          <w:sz w:val="28"/>
          <w:szCs w:val="28"/>
          <w:lang w:eastAsia="ru-RU"/>
        </w:rPr>
        <w:t>культур, а также способствующей</w:t>
      </w:r>
      <w:r w:rsidRPr="00F5764E">
        <w:rPr>
          <w:rFonts w:ascii="Times New Roman" w:eastAsia="Times New Roman" w:hAnsi="Times New Roman" w:cs="Times New Roman"/>
          <w:bCs/>
          <w:sz w:val="28"/>
          <w:szCs w:val="28"/>
          <w:lang w:eastAsia="ru-RU"/>
        </w:rPr>
        <w:t xml:space="preserve"> вовлечению несовершеннолетних в политическую, в том числе оппозиционную, деятельность.</w:t>
      </w:r>
    </w:p>
    <w:p w14:paraId="28FCA357" w14:textId="77777777" w:rsidR="003A5C59" w:rsidRDefault="003A5C59" w:rsidP="003A5C59">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2021 г</w:t>
      </w:r>
      <w:r w:rsidR="008E266C">
        <w:rPr>
          <w:rFonts w:ascii="Times New Roman" w:eastAsia="Times New Roman" w:hAnsi="Times New Roman" w:cs="Times New Roman"/>
          <w:bCs/>
          <w:sz w:val="28"/>
          <w:szCs w:val="28"/>
          <w:lang w:eastAsia="ru-RU"/>
        </w:rPr>
        <w:t>.</w:t>
      </w:r>
      <w:r w:rsidR="006C5CE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более 90% подростков являлись постоянными потребителями информации, размещаемой в сети Интернет, что было связано</w:t>
      </w:r>
      <w:r w:rsidR="0074433D">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в том числе с эпидемиологической ситуацией. За этот период </w:t>
      </w:r>
      <w:r>
        <w:rPr>
          <w:rFonts w:ascii="Times New Roman" w:eastAsia="Calibri" w:hAnsi="Times New Roman" w:cs="Times New Roman"/>
          <w:sz w:val="28"/>
          <w:szCs w:val="28"/>
        </w:rPr>
        <w:t>А</w:t>
      </w:r>
      <w:r w:rsidRPr="0099654C">
        <w:rPr>
          <w:rFonts w:ascii="Times New Roman" w:eastAsia="Calibri" w:hAnsi="Times New Roman" w:cs="Times New Roman"/>
          <w:sz w:val="28"/>
          <w:szCs w:val="28"/>
        </w:rPr>
        <w:t xml:space="preserve">втономной некоммерческой организацией «Центр изучения и сетевого мониторинга молодежной среды» </w:t>
      </w:r>
      <w:r w:rsidR="0074433D">
        <w:rPr>
          <w:rFonts w:ascii="Times New Roman" w:eastAsia="Calibri" w:hAnsi="Times New Roman" w:cs="Times New Roman"/>
          <w:sz w:val="28"/>
          <w:szCs w:val="28"/>
        </w:rPr>
        <w:br/>
      </w:r>
      <w:r w:rsidRPr="0099654C">
        <w:rPr>
          <w:rFonts w:ascii="Times New Roman" w:eastAsia="Calibri" w:hAnsi="Times New Roman" w:cs="Times New Roman"/>
          <w:sz w:val="28"/>
          <w:szCs w:val="28"/>
        </w:rPr>
        <w:t xml:space="preserve">(далее </w:t>
      </w:r>
      <w:r w:rsidR="0074433D">
        <w:rPr>
          <w:rFonts w:ascii="Times New Roman" w:eastAsia="Calibri" w:hAnsi="Times New Roman" w:cs="Times New Roman"/>
          <w:sz w:val="28"/>
          <w:szCs w:val="28"/>
        </w:rPr>
        <w:t>по тексту подраздела –</w:t>
      </w:r>
      <w:r w:rsidRPr="0099654C">
        <w:rPr>
          <w:rFonts w:ascii="Times New Roman" w:eastAsia="Calibri" w:hAnsi="Times New Roman" w:cs="Times New Roman"/>
          <w:sz w:val="28"/>
          <w:szCs w:val="28"/>
        </w:rPr>
        <w:t xml:space="preserve"> АНО «ЦИСМ»)</w:t>
      </w:r>
      <w:r>
        <w:rPr>
          <w:rFonts w:ascii="Times New Roman" w:eastAsia="Calibri" w:hAnsi="Times New Roman" w:cs="Times New Roman"/>
          <w:sz w:val="28"/>
          <w:szCs w:val="28"/>
        </w:rPr>
        <w:t xml:space="preserve"> </w:t>
      </w:r>
      <w:r>
        <w:rPr>
          <w:rFonts w:ascii="Times New Roman" w:hAnsi="Times New Roman" w:cs="Times New Roman"/>
          <w:sz w:val="28"/>
          <w:szCs w:val="28"/>
        </w:rPr>
        <w:t>было</w:t>
      </w:r>
      <w:r w:rsidRPr="00F36806">
        <w:rPr>
          <w:rFonts w:ascii="Times New Roman" w:hAnsi="Times New Roman" w:cs="Times New Roman"/>
          <w:sz w:val="28"/>
          <w:szCs w:val="28"/>
        </w:rPr>
        <w:t xml:space="preserve"> зафиксировано двукратное увеличение количества несовершеннолетних пользователей, которые хотя бы единожды проявляли интерес к деструктивному</w:t>
      </w:r>
      <w:r>
        <w:rPr>
          <w:rFonts w:ascii="Times New Roman" w:hAnsi="Times New Roman" w:cs="Times New Roman"/>
          <w:sz w:val="28"/>
          <w:szCs w:val="28"/>
        </w:rPr>
        <w:t xml:space="preserve"> контенту, размещаемому в сети Интернет – </w:t>
      </w:r>
      <w:r w:rsidRPr="00F36806">
        <w:rPr>
          <w:rFonts w:ascii="Times New Roman" w:hAnsi="Times New Roman" w:cs="Times New Roman"/>
          <w:sz w:val="28"/>
          <w:szCs w:val="28"/>
        </w:rPr>
        <w:t>более 78 м</w:t>
      </w:r>
      <w:r>
        <w:rPr>
          <w:rFonts w:ascii="Times New Roman" w:hAnsi="Times New Roman" w:cs="Times New Roman"/>
          <w:sz w:val="28"/>
          <w:szCs w:val="28"/>
        </w:rPr>
        <w:t>лн</w:t>
      </w:r>
      <w:r w:rsidRPr="00F36806">
        <w:rPr>
          <w:rFonts w:ascii="Times New Roman" w:hAnsi="Times New Roman" w:cs="Times New Roman"/>
          <w:sz w:val="28"/>
          <w:szCs w:val="28"/>
        </w:rPr>
        <w:t xml:space="preserve"> сете</w:t>
      </w:r>
      <w:r>
        <w:rPr>
          <w:rFonts w:ascii="Times New Roman" w:hAnsi="Times New Roman" w:cs="Times New Roman"/>
          <w:sz w:val="28"/>
          <w:szCs w:val="28"/>
        </w:rPr>
        <w:t>вых профилей (в январе 2020 г</w:t>
      </w:r>
      <w:r w:rsidR="00F0657B">
        <w:rPr>
          <w:rFonts w:ascii="Times New Roman" w:hAnsi="Times New Roman" w:cs="Times New Roman"/>
          <w:sz w:val="28"/>
          <w:szCs w:val="28"/>
        </w:rPr>
        <w:t>.</w:t>
      </w:r>
      <w:r w:rsidRPr="00F36806">
        <w:rPr>
          <w:rFonts w:ascii="Times New Roman" w:hAnsi="Times New Roman" w:cs="Times New Roman"/>
          <w:sz w:val="28"/>
          <w:szCs w:val="28"/>
        </w:rPr>
        <w:t xml:space="preserve"> было зафиксировано более 41 млн сетевых профилей). Указанные статистические данные свидетельствуют о возрастающей вовлеченности несовершеннолетних пользователей социальных сетей в потребление деструктивного контента</w:t>
      </w:r>
      <w:r w:rsidR="0074433D">
        <w:rPr>
          <w:rFonts w:ascii="Times New Roman" w:hAnsi="Times New Roman" w:cs="Times New Roman"/>
          <w:sz w:val="28"/>
          <w:szCs w:val="28"/>
        </w:rPr>
        <w:t>, в связи с чем</w:t>
      </w:r>
      <w:r>
        <w:rPr>
          <w:rFonts w:ascii="Times New Roman" w:eastAsia="Times New Roman" w:hAnsi="Times New Roman" w:cs="Times New Roman"/>
          <w:bCs/>
          <w:sz w:val="28"/>
          <w:szCs w:val="28"/>
          <w:lang w:eastAsia="ru-RU"/>
        </w:rPr>
        <w:t xml:space="preserve"> первоочередной задачей государства является обеспечение инф</w:t>
      </w:r>
      <w:r w:rsidR="0074433D">
        <w:rPr>
          <w:rFonts w:ascii="Times New Roman" w:eastAsia="Times New Roman" w:hAnsi="Times New Roman" w:cs="Times New Roman"/>
          <w:bCs/>
          <w:sz w:val="28"/>
          <w:szCs w:val="28"/>
          <w:lang w:eastAsia="ru-RU"/>
        </w:rPr>
        <w:t>ормационной безопасности детей.</w:t>
      </w:r>
    </w:p>
    <w:p w14:paraId="7F1305B0" w14:textId="77777777" w:rsidR="003A5C59" w:rsidRDefault="003A5C59" w:rsidP="0074433D">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сентябре 2021 г</w:t>
      </w:r>
      <w:r w:rsidR="00F0657B">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был </w:t>
      </w:r>
      <w:r w:rsidRPr="00857B34">
        <w:rPr>
          <w:rFonts w:ascii="Times New Roman" w:eastAsia="Times New Roman" w:hAnsi="Times New Roman" w:cs="Times New Roman"/>
          <w:bCs/>
          <w:sz w:val="28"/>
          <w:szCs w:val="28"/>
          <w:lang w:eastAsia="ru-RU"/>
        </w:rPr>
        <w:t>учрежден Альянс по защите детей в цифровой среде</w:t>
      </w:r>
      <w:r>
        <w:rPr>
          <w:rFonts w:ascii="Times New Roman" w:eastAsia="Times New Roman" w:hAnsi="Times New Roman" w:cs="Times New Roman"/>
          <w:bCs/>
          <w:sz w:val="28"/>
          <w:szCs w:val="28"/>
          <w:lang w:eastAsia="ru-RU"/>
        </w:rPr>
        <w:t xml:space="preserve"> (далее</w:t>
      </w:r>
      <w:r w:rsidR="0074433D">
        <w:rPr>
          <w:rFonts w:ascii="Times New Roman" w:eastAsia="Times New Roman" w:hAnsi="Times New Roman" w:cs="Times New Roman"/>
          <w:bCs/>
          <w:sz w:val="28"/>
          <w:szCs w:val="28"/>
          <w:lang w:eastAsia="ru-RU"/>
        </w:rPr>
        <w:t xml:space="preserve"> по тексту подраздела</w:t>
      </w:r>
      <w:r>
        <w:rPr>
          <w:rFonts w:ascii="Times New Roman" w:eastAsia="Times New Roman" w:hAnsi="Times New Roman" w:cs="Times New Roman"/>
          <w:bCs/>
          <w:sz w:val="28"/>
          <w:szCs w:val="28"/>
          <w:lang w:eastAsia="ru-RU"/>
        </w:rPr>
        <w:t xml:space="preserve"> – Альянс)</w:t>
      </w:r>
      <w:r w:rsidRPr="00857B34">
        <w:rPr>
          <w:rFonts w:ascii="Times New Roman" w:eastAsia="Times New Roman" w:hAnsi="Times New Roman" w:cs="Times New Roman"/>
          <w:bCs/>
          <w:sz w:val="28"/>
          <w:szCs w:val="28"/>
          <w:lang w:eastAsia="ru-RU"/>
        </w:rPr>
        <w:t xml:space="preserve">. </w:t>
      </w:r>
      <w:r w:rsidRPr="0009284D">
        <w:rPr>
          <w:rFonts w:ascii="Times New Roman" w:eastAsia="Times New Roman" w:hAnsi="Times New Roman" w:cs="Times New Roman"/>
          <w:bCs/>
          <w:sz w:val="28"/>
          <w:szCs w:val="28"/>
          <w:lang w:eastAsia="ru-RU"/>
        </w:rPr>
        <w:t xml:space="preserve">В Альянс вошли «ВымпелКом», «Газпром-Медиа Холдинг», «Лаборатория Касперского», «МегаФон», МТС, </w:t>
      </w:r>
      <w:proofErr w:type="spellStart"/>
      <w:r w:rsidRPr="0009284D">
        <w:rPr>
          <w:rFonts w:ascii="Times New Roman" w:eastAsia="Times New Roman" w:hAnsi="Times New Roman" w:cs="Times New Roman"/>
          <w:bCs/>
          <w:sz w:val="28"/>
          <w:szCs w:val="28"/>
          <w:lang w:eastAsia="ru-RU"/>
        </w:rPr>
        <w:t>Mail.Ru</w:t>
      </w:r>
      <w:proofErr w:type="spellEnd"/>
      <w:r w:rsidRPr="0009284D">
        <w:rPr>
          <w:rFonts w:ascii="Times New Roman" w:eastAsia="Times New Roman" w:hAnsi="Times New Roman" w:cs="Times New Roman"/>
          <w:bCs/>
          <w:sz w:val="28"/>
          <w:szCs w:val="28"/>
          <w:lang w:eastAsia="ru-RU"/>
        </w:rPr>
        <w:t xml:space="preserve"> </w:t>
      </w:r>
      <w:proofErr w:type="spellStart"/>
      <w:r w:rsidRPr="0009284D">
        <w:rPr>
          <w:rFonts w:ascii="Times New Roman" w:eastAsia="Times New Roman" w:hAnsi="Times New Roman" w:cs="Times New Roman"/>
          <w:bCs/>
          <w:sz w:val="28"/>
          <w:szCs w:val="28"/>
          <w:lang w:eastAsia="ru-RU"/>
        </w:rPr>
        <w:t>Group</w:t>
      </w:r>
      <w:proofErr w:type="spellEnd"/>
      <w:r w:rsidRPr="0009284D">
        <w:rPr>
          <w:rFonts w:ascii="Times New Roman" w:eastAsia="Times New Roman" w:hAnsi="Times New Roman" w:cs="Times New Roman"/>
          <w:bCs/>
          <w:sz w:val="28"/>
          <w:szCs w:val="28"/>
          <w:lang w:eastAsia="ru-RU"/>
        </w:rPr>
        <w:t>, «Национальная Медиа Группа», «Ростелеком» и «Яндекс»</w:t>
      </w:r>
      <w:r>
        <w:rPr>
          <w:rFonts w:ascii="Times New Roman" w:eastAsia="Times New Roman" w:hAnsi="Times New Roman" w:cs="Times New Roman"/>
          <w:bCs/>
          <w:sz w:val="28"/>
          <w:szCs w:val="28"/>
          <w:lang w:eastAsia="ru-RU"/>
        </w:rPr>
        <w:t>. К</w:t>
      </w:r>
      <w:r w:rsidRPr="00857B34">
        <w:rPr>
          <w:rFonts w:ascii="Times New Roman" w:eastAsia="Times New Roman" w:hAnsi="Times New Roman" w:cs="Times New Roman"/>
          <w:bCs/>
          <w:sz w:val="28"/>
          <w:szCs w:val="28"/>
          <w:lang w:eastAsia="ru-RU"/>
        </w:rPr>
        <w:t xml:space="preserve">рупнейшие </w:t>
      </w:r>
      <w:r>
        <w:rPr>
          <w:rFonts w:ascii="Times New Roman" w:eastAsia="Times New Roman" w:hAnsi="Times New Roman" w:cs="Times New Roman"/>
          <w:bCs/>
          <w:sz w:val="28"/>
          <w:szCs w:val="28"/>
          <w:lang w:eastAsia="ru-RU"/>
        </w:rPr>
        <w:t xml:space="preserve">российские </w:t>
      </w:r>
      <w:r w:rsidRPr="00857B34">
        <w:rPr>
          <w:rFonts w:ascii="Times New Roman" w:eastAsia="Times New Roman" w:hAnsi="Times New Roman" w:cs="Times New Roman"/>
          <w:bCs/>
          <w:sz w:val="28"/>
          <w:szCs w:val="28"/>
          <w:lang w:eastAsia="ru-RU"/>
        </w:rPr>
        <w:t xml:space="preserve">интернет-компании, </w:t>
      </w:r>
      <w:proofErr w:type="spellStart"/>
      <w:r w:rsidRPr="00857B34">
        <w:rPr>
          <w:rFonts w:ascii="Times New Roman" w:eastAsia="Times New Roman" w:hAnsi="Times New Roman" w:cs="Times New Roman"/>
          <w:bCs/>
          <w:sz w:val="28"/>
          <w:szCs w:val="28"/>
          <w:lang w:eastAsia="ru-RU"/>
        </w:rPr>
        <w:t>медиахолдинги</w:t>
      </w:r>
      <w:proofErr w:type="spellEnd"/>
      <w:r w:rsidRPr="00857B34">
        <w:rPr>
          <w:rFonts w:ascii="Times New Roman" w:eastAsia="Times New Roman" w:hAnsi="Times New Roman" w:cs="Times New Roman"/>
          <w:bCs/>
          <w:sz w:val="28"/>
          <w:szCs w:val="28"/>
          <w:lang w:eastAsia="ru-RU"/>
        </w:rPr>
        <w:t xml:space="preserve"> и телеком-операторы </w:t>
      </w:r>
      <w:r>
        <w:rPr>
          <w:rFonts w:ascii="Times New Roman" w:eastAsia="Times New Roman" w:hAnsi="Times New Roman" w:cs="Times New Roman"/>
          <w:bCs/>
          <w:sz w:val="28"/>
          <w:szCs w:val="28"/>
          <w:lang w:eastAsia="ru-RU"/>
        </w:rPr>
        <w:t>под председательством Президента Российской Федерации В.В. Путина подписали хартию «Цифровая этика детства».</w:t>
      </w:r>
      <w:r w:rsidR="0074433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Участники Альянса, с одной стороны, обязались выявлять и ограничивать доступ к противоправной информации и контенту, который может нанести вред здоровью и развитию детей, с другой, обменивать</w:t>
      </w:r>
      <w:r w:rsidR="0074433D">
        <w:rPr>
          <w:rFonts w:ascii="Times New Roman" w:eastAsia="Times New Roman" w:hAnsi="Times New Roman" w:cs="Times New Roman"/>
          <w:bCs/>
          <w:sz w:val="28"/>
          <w:szCs w:val="28"/>
          <w:lang w:eastAsia="ru-RU"/>
        </w:rPr>
        <w:t>ся разработками в данной сфере.</w:t>
      </w:r>
    </w:p>
    <w:p w14:paraId="17CE1CE9" w14:textId="77777777" w:rsidR="00B1751F" w:rsidRDefault="003A5C59" w:rsidP="00B1751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Члены Альянса совершенствовали инструменты по защите несовершеннолетних в сети Интернет, созд</w:t>
      </w:r>
      <w:r w:rsidR="0074433D">
        <w:rPr>
          <w:rFonts w:ascii="Times New Roman" w:eastAsia="Times New Roman" w:hAnsi="Times New Roman" w:cs="Times New Roman"/>
          <w:bCs/>
          <w:sz w:val="28"/>
          <w:szCs w:val="28"/>
          <w:lang w:eastAsia="ru-RU"/>
        </w:rPr>
        <w:t xml:space="preserve">авали и продвигали развивающий </w:t>
      </w:r>
      <w:r>
        <w:rPr>
          <w:rFonts w:ascii="Times New Roman" w:eastAsia="Times New Roman" w:hAnsi="Times New Roman" w:cs="Times New Roman"/>
          <w:bCs/>
          <w:sz w:val="28"/>
          <w:szCs w:val="28"/>
          <w:lang w:eastAsia="ru-RU"/>
        </w:rPr>
        <w:t>и созидательный контент, повышали цифровую грамотность детей, развивали международное сотрудничество в этой сфере, развивали механизм саморегулирования и внедряли социально ориентированные проекты по защите детей в цифровой среде.</w:t>
      </w:r>
      <w:r w:rsidR="00B1751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Например, </w:t>
      </w:r>
      <w:r w:rsidRPr="003100A7">
        <w:rPr>
          <w:rFonts w:ascii="Times New Roman" w:eastAsia="Times New Roman" w:hAnsi="Times New Roman" w:cs="Times New Roman"/>
          <w:bCs/>
          <w:sz w:val="28"/>
          <w:szCs w:val="28"/>
          <w:lang w:eastAsia="ru-RU"/>
        </w:rPr>
        <w:t xml:space="preserve">«Ростелеком» в качестве одного из учредителей Альянса </w:t>
      </w:r>
      <w:r>
        <w:rPr>
          <w:rFonts w:ascii="Times New Roman" w:eastAsia="Times New Roman" w:hAnsi="Times New Roman" w:cs="Times New Roman"/>
          <w:bCs/>
          <w:sz w:val="28"/>
          <w:szCs w:val="28"/>
          <w:lang w:eastAsia="ru-RU"/>
        </w:rPr>
        <w:t>в октябре 2021 г</w:t>
      </w:r>
      <w:r w:rsidR="00A9391F">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запустил </w:t>
      </w:r>
      <w:r w:rsidRPr="003100A7">
        <w:rPr>
          <w:rFonts w:ascii="Times New Roman" w:eastAsia="Times New Roman" w:hAnsi="Times New Roman" w:cs="Times New Roman"/>
          <w:bCs/>
          <w:sz w:val="28"/>
          <w:szCs w:val="28"/>
          <w:lang w:eastAsia="ru-RU"/>
        </w:rPr>
        <w:t>исследование</w:t>
      </w:r>
      <w:r>
        <w:rPr>
          <w:rFonts w:ascii="Times New Roman" w:eastAsia="Times New Roman" w:hAnsi="Times New Roman" w:cs="Times New Roman"/>
          <w:bCs/>
          <w:sz w:val="28"/>
          <w:szCs w:val="28"/>
          <w:lang w:eastAsia="ru-RU"/>
        </w:rPr>
        <w:t xml:space="preserve"> </w:t>
      </w:r>
      <w:r w:rsidRPr="003100A7">
        <w:rPr>
          <w:rFonts w:ascii="Times New Roman" w:eastAsia="Times New Roman" w:hAnsi="Times New Roman" w:cs="Times New Roman"/>
          <w:bCs/>
          <w:sz w:val="28"/>
          <w:szCs w:val="28"/>
          <w:lang w:eastAsia="ru-RU"/>
        </w:rPr>
        <w:t>«Технологии защиты детей в интернете».</w:t>
      </w:r>
      <w:r>
        <w:rPr>
          <w:rFonts w:ascii="Times New Roman" w:eastAsia="Times New Roman" w:hAnsi="Times New Roman" w:cs="Times New Roman"/>
          <w:bCs/>
          <w:sz w:val="28"/>
          <w:szCs w:val="28"/>
          <w:lang w:eastAsia="ru-RU"/>
        </w:rPr>
        <w:t xml:space="preserve"> По итогам анализа командой</w:t>
      </w:r>
      <w:r w:rsidRPr="003100A7">
        <w:rPr>
          <w:rFonts w:ascii="Times New Roman" w:eastAsia="Times New Roman" w:hAnsi="Times New Roman" w:cs="Times New Roman"/>
          <w:bCs/>
          <w:sz w:val="28"/>
          <w:szCs w:val="28"/>
          <w:lang w:eastAsia="ru-RU"/>
        </w:rPr>
        <w:t xml:space="preserve"> специалистов компании </w:t>
      </w:r>
      <w:r>
        <w:rPr>
          <w:rFonts w:ascii="Times New Roman" w:eastAsia="Times New Roman" w:hAnsi="Times New Roman" w:cs="Times New Roman"/>
          <w:bCs/>
          <w:sz w:val="28"/>
          <w:szCs w:val="28"/>
          <w:lang w:eastAsia="ru-RU"/>
        </w:rPr>
        <w:t xml:space="preserve">будут </w:t>
      </w:r>
      <w:r w:rsidRPr="003100A7">
        <w:rPr>
          <w:rFonts w:ascii="Times New Roman" w:eastAsia="Times New Roman" w:hAnsi="Times New Roman" w:cs="Times New Roman"/>
          <w:bCs/>
          <w:sz w:val="28"/>
          <w:szCs w:val="28"/>
          <w:lang w:eastAsia="ru-RU"/>
        </w:rPr>
        <w:t xml:space="preserve">определены риски, с которыми несовершеннолетние могут столкнуться в будущем, а также предложены рекомендации для </w:t>
      </w:r>
      <w:proofErr w:type="spellStart"/>
      <w:r w:rsidRPr="003100A7">
        <w:rPr>
          <w:rFonts w:ascii="Times New Roman" w:eastAsia="Times New Roman" w:hAnsi="Times New Roman" w:cs="Times New Roman"/>
          <w:bCs/>
          <w:sz w:val="28"/>
          <w:szCs w:val="28"/>
          <w:lang w:eastAsia="ru-RU"/>
        </w:rPr>
        <w:t>стейкхолдеров</w:t>
      </w:r>
      <w:proofErr w:type="spellEnd"/>
      <w:r w:rsidRPr="003100A7">
        <w:rPr>
          <w:rFonts w:ascii="Times New Roman" w:eastAsia="Times New Roman" w:hAnsi="Times New Roman" w:cs="Times New Roman"/>
          <w:bCs/>
          <w:sz w:val="28"/>
          <w:szCs w:val="28"/>
          <w:lang w:eastAsia="ru-RU"/>
        </w:rPr>
        <w:t>.</w:t>
      </w:r>
      <w:r w:rsidR="00B1751F">
        <w:rPr>
          <w:rFonts w:ascii="Times New Roman" w:eastAsia="Times New Roman" w:hAnsi="Times New Roman" w:cs="Times New Roman"/>
          <w:bCs/>
          <w:sz w:val="28"/>
          <w:szCs w:val="28"/>
          <w:lang w:eastAsia="ru-RU"/>
        </w:rPr>
        <w:t xml:space="preserve"> </w:t>
      </w:r>
    </w:p>
    <w:p w14:paraId="5937E6BE" w14:textId="77777777" w:rsidR="003A5C59" w:rsidRDefault="00B1751F" w:rsidP="00B1751F">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Кроме того, в 2021 г</w:t>
      </w:r>
      <w:r w:rsidR="008E266C">
        <w:rPr>
          <w:rFonts w:ascii="Times New Roman" w:eastAsia="Times New Roman" w:hAnsi="Times New Roman" w:cs="Times New Roman"/>
          <w:bCs/>
          <w:sz w:val="28"/>
          <w:szCs w:val="28"/>
          <w:lang w:eastAsia="ru-RU"/>
        </w:rPr>
        <w:t>.</w:t>
      </w:r>
      <w:r w:rsidR="003A5C59">
        <w:rPr>
          <w:rFonts w:ascii="Times New Roman" w:eastAsia="Times New Roman" w:hAnsi="Times New Roman" w:cs="Times New Roman"/>
          <w:bCs/>
          <w:sz w:val="28"/>
          <w:szCs w:val="28"/>
          <w:lang w:eastAsia="ru-RU"/>
        </w:rPr>
        <w:t xml:space="preserve"> «Ростелекомом» была издана книга по кибербезопасности «Прекрасный, опасный, </w:t>
      </w:r>
      <w:proofErr w:type="spellStart"/>
      <w:r w:rsidR="003A5C59">
        <w:rPr>
          <w:rFonts w:ascii="Times New Roman" w:eastAsia="Times New Roman" w:hAnsi="Times New Roman" w:cs="Times New Roman"/>
          <w:bCs/>
          <w:sz w:val="28"/>
          <w:szCs w:val="28"/>
          <w:lang w:eastAsia="ru-RU"/>
        </w:rPr>
        <w:t>кибербезопасный</w:t>
      </w:r>
      <w:proofErr w:type="spellEnd"/>
      <w:r w:rsidR="003A5C59">
        <w:rPr>
          <w:rFonts w:ascii="Times New Roman" w:eastAsia="Times New Roman" w:hAnsi="Times New Roman" w:cs="Times New Roman"/>
          <w:bCs/>
          <w:sz w:val="28"/>
          <w:szCs w:val="28"/>
          <w:lang w:eastAsia="ru-RU"/>
        </w:rPr>
        <w:t xml:space="preserve"> мир», которая доступна для скачивания в электронном формате.</w:t>
      </w:r>
      <w:r>
        <w:rPr>
          <w:rFonts w:ascii="Times New Roman" w:eastAsia="Times New Roman" w:hAnsi="Times New Roman" w:cs="Times New Roman"/>
          <w:bCs/>
          <w:sz w:val="28"/>
          <w:szCs w:val="28"/>
          <w:lang w:eastAsia="ru-RU"/>
        </w:rPr>
        <w:t xml:space="preserve"> </w:t>
      </w:r>
      <w:r w:rsidR="003A5C59" w:rsidRPr="007F6692">
        <w:rPr>
          <w:rFonts w:ascii="Times New Roman" w:eastAsia="Times New Roman" w:hAnsi="Times New Roman" w:cs="Times New Roman"/>
          <w:bCs/>
          <w:sz w:val="28"/>
          <w:szCs w:val="28"/>
          <w:lang w:eastAsia="ru-RU"/>
        </w:rPr>
        <w:t xml:space="preserve">В книге подробно разобраны правила </w:t>
      </w:r>
      <w:proofErr w:type="spellStart"/>
      <w:r w:rsidR="003A5C59" w:rsidRPr="007F6692">
        <w:rPr>
          <w:rFonts w:ascii="Times New Roman" w:eastAsia="Times New Roman" w:hAnsi="Times New Roman" w:cs="Times New Roman"/>
          <w:bCs/>
          <w:sz w:val="28"/>
          <w:szCs w:val="28"/>
          <w:lang w:eastAsia="ru-RU"/>
        </w:rPr>
        <w:t>кибергигиены</w:t>
      </w:r>
      <w:proofErr w:type="spellEnd"/>
      <w:r w:rsidR="003A5C59" w:rsidRPr="007F6692">
        <w:rPr>
          <w:rFonts w:ascii="Times New Roman" w:eastAsia="Times New Roman" w:hAnsi="Times New Roman" w:cs="Times New Roman"/>
          <w:bCs/>
          <w:sz w:val="28"/>
          <w:szCs w:val="28"/>
          <w:lang w:eastAsia="ru-RU"/>
        </w:rPr>
        <w:t>, применение которых сделает пользование интернетом максимально безопасным. На реальных примерах разъясняется, как защищать цифровые ценности, как правильно придумывать, менять и запоминать пароли, описана зависимость детей и взрослых</w:t>
      </w:r>
      <w:r w:rsidR="003A5C59">
        <w:rPr>
          <w:rFonts w:ascii="Times New Roman" w:eastAsia="Times New Roman" w:hAnsi="Times New Roman" w:cs="Times New Roman"/>
          <w:bCs/>
          <w:sz w:val="28"/>
          <w:szCs w:val="28"/>
          <w:lang w:eastAsia="ru-RU"/>
        </w:rPr>
        <w:t xml:space="preserve"> от социальных сетей и от количества </w:t>
      </w:r>
      <w:proofErr w:type="spellStart"/>
      <w:r w:rsidR="003A5C59">
        <w:rPr>
          <w:rFonts w:ascii="Times New Roman" w:eastAsia="Times New Roman" w:hAnsi="Times New Roman" w:cs="Times New Roman"/>
          <w:bCs/>
          <w:sz w:val="28"/>
          <w:szCs w:val="28"/>
          <w:lang w:eastAsia="ru-RU"/>
        </w:rPr>
        <w:t>лай</w:t>
      </w:r>
      <w:r w:rsidR="003A5C59" w:rsidRPr="007F6692">
        <w:rPr>
          <w:rFonts w:ascii="Times New Roman" w:eastAsia="Times New Roman" w:hAnsi="Times New Roman" w:cs="Times New Roman"/>
          <w:bCs/>
          <w:sz w:val="28"/>
          <w:szCs w:val="28"/>
          <w:lang w:eastAsia="ru-RU"/>
        </w:rPr>
        <w:t>ков</w:t>
      </w:r>
      <w:proofErr w:type="spellEnd"/>
      <w:r w:rsidR="003A5C59" w:rsidRPr="007F6692">
        <w:rPr>
          <w:rFonts w:ascii="Times New Roman" w:eastAsia="Times New Roman" w:hAnsi="Times New Roman" w:cs="Times New Roman"/>
          <w:bCs/>
          <w:sz w:val="28"/>
          <w:szCs w:val="28"/>
          <w:lang w:eastAsia="ru-RU"/>
        </w:rPr>
        <w:t>, а та</w:t>
      </w:r>
      <w:r w:rsidR="003A5C59">
        <w:rPr>
          <w:rFonts w:ascii="Times New Roman" w:eastAsia="Times New Roman" w:hAnsi="Times New Roman" w:cs="Times New Roman"/>
          <w:bCs/>
          <w:sz w:val="28"/>
          <w:szCs w:val="28"/>
          <w:lang w:eastAsia="ru-RU"/>
        </w:rPr>
        <w:t>кже рассказано о пользе социальных сетей</w:t>
      </w:r>
      <w:r w:rsidR="003A5C59" w:rsidRPr="007F6692">
        <w:rPr>
          <w:rFonts w:ascii="Times New Roman" w:eastAsia="Times New Roman" w:hAnsi="Times New Roman" w:cs="Times New Roman"/>
          <w:bCs/>
          <w:sz w:val="28"/>
          <w:szCs w:val="28"/>
          <w:lang w:eastAsia="ru-RU"/>
        </w:rPr>
        <w:t xml:space="preserve"> и опасностях, которые в них подстерегают.</w:t>
      </w:r>
    </w:p>
    <w:p w14:paraId="509BE788" w14:textId="77777777" w:rsidR="003A5C59" w:rsidRDefault="003A5C59" w:rsidP="003A5C59">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Вместе с тем вопросы обеспечения информационной безопасности детей находятся в фокусе внимания целог</w:t>
      </w:r>
      <w:r w:rsidR="00C3764E">
        <w:rPr>
          <w:rFonts w:ascii="Times New Roman" w:eastAsia="Times New Roman" w:hAnsi="Times New Roman" w:cs="Times New Roman"/>
          <w:bCs/>
          <w:sz w:val="28"/>
          <w:szCs w:val="28"/>
          <w:lang w:eastAsia="ru-RU"/>
        </w:rPr>
        <w:t xml:space="preserve">о ряда государственных органов </w:t>
      </w:r>
      <w:r>
        <w:rPr>
          <w:rFonts w:ascii="Times New Roman" w:eastAsia="Times New Roman" w:hAnsi="Times New Roman" w:cs="Times New Roman"/>
          <w:bCs/>
          <w:sz w:val="28"/>
          <w:szCs w:val="28"/>
          <w:lang w:eastAsia="ru-RU"/>
        </w:rPr>
        <w:t>и общественных организаций, а также на постоянном контроле и в повестке всех субъектов Российской Федерации. Работа в данной сфере осуществляется по следующим направлениям:</w:t>
      </w:r>
    </w:p>
    <w:p w14:paraId="080E2473" w14:textId="77777777" w:rsidR="003A5C59" w:rsidRPr="00C3764E" w:rsidRDefault="003A5C59" w:rsidP="003A5C59">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C3764E">
        <w:rPr>
          <w:rFonts w:ascii="Times New Roman" w:eastAsia="Times New Roman" w:hAnsi="Times New Roman" w:cs="Times New Roman"/>
          <w:bCs/>
          <w:sz w:val="28"/>
          <w:szCs w:val="28"/>
          <w:lang w:eastAsia="ru-RU"/>
        </w:rPr>
        <w:t xml:space="preserve">совершенствование законодательства в области защиты детей от информации, причиняющей вред их здоровью и развитию; </w:t>
      </w:r>
    </w:p>
    <w:p w14:paraId="219913AA" w14:textId="77777777" w:rsidR="003A5C59" w:rsidRPr="00C3764E" w:rsidRDefault="003A5C59" w:rsidP="003A5C59">
      <w:pPr>
        <w:autoSpaceDE w:val="0"/>
        <w:autoSpaceDN w:val="0"/>
        <w:adjustRightInd w:val="0"/>
        <w:spacing w:after="0" w:line="312" w:lineRule="auto"/>
        <w:ind w:firstLine="709"/>
        <w:jc w:val="both"/>
        <w:rPr>
          <w:rFonts w:ascii="Times New Roman" w:eastAsia="Times New Roman" w:hAnsi="Times New Roman" w:cs="Times New Roman"/>
          <w:sz w:val="28"/>
          <w:szCs w:val="24"/>
        </w:rPr>
      </w:pPr>
      <w:r w:rsidRPr="00C3764E">
        <w:rPr>
          <w:rFonts w:ascii="Times New Roman" w:eastAsia="Times New Roman" w:hAnsi="Times New Roman" w:cs="Times New Roman"/>
          <w:bCs/>
          <w:sz w:val="28"/>
          <w:szCs w:val="28"/>
          <w:lang w:eastAsia="ru-RU"/>
        </w:rPr>
        <w:t>блокировка сайтов</w:t>
      </w:r>
      <w:r w:rsidRPr="00C3764E">
        <w:rPr>
          <w:rFonts w:ascii="Times New Roman" w:eastAsia="Times New Roman" w:hAnsi="Times New Roman" w:cs="Times New Roman"/>
          <w:sz w:val="28"/>
          <w:szCs w:val="24"/>
        </w:rPr>
        <w:t xml:space="preserve"> в сети Интернет с запрещенной информацией (ведение Единого реестра запрещенных сайтов);</w:t>
      </w:r>
    </w:p>
    <w:p w14:paraId="089429F7" w14:textId="77777777" w:rsidR="003A5C59" w:rsidRPr="00C3764E" w:rsidRDefault="003A5C59" w:rsidP="003A5C59">
      <w:pPr>
        <w:autoSpaceDE w:val="0"/>
        <w:autoSpaceDN w:val="0"/>
        <w:adjustRightInd w:val="0"/>
        <w:spacing w:after="0" w:line="312" w:lineRule="auto"/>
        <w:ind w:firstLine="709"/>
        <w:jc w:val="both"/>
        <w:rPr>
          <w:rFonts w:ascii="Times New Roman" w:eastAsia="Times New Roman" w:hAnsi="Times New Roman" w:cs="Times New Roman"/>
          <w:sz w:val="28"/>
          <w:szCs w:val="24"/>
        </w:rPr>
      </w:pPr>
      <w:r w:rsidRPr="00C3764E">
        <w:rPr>
          <w:rFonts w:ascii="Times New Roman" w:eastAsia="Times New Roman" w:hAnsi="Times New Roman" w:cs="Times New Roman"/>
          <w:sz w:val="28"/>
          <w:szCs w:val="24"/>
        </w:rPr>
        <w:t xml:space="preserve">проведение мероприятий, направленных на обеспечение </w:t>
      </w:r>
      <w:r w:rsidRPr="00C3764E">
        <w:rPr>
          <w:rFonts w:ascii="Times New Roman" w:eastAsia="Times New Roman" w:hAnsi="Times New Roman" w:cs="Times New Roman"/>
          <w:bCs/>
          <w:sz w:val="28"/>
          <w:szCs w:val="28"/>
          <w:lang w:eastAsia="ru-RU"/>
        </w:rPr>
        <w:t>информационной безопасности детей</w:t>
      </w:r>
      <w:r w:rsidRPr="00C3764E">
        <w:rPr>
          <w:rFonts w:ascii="Times New Roman" w:eastAsia="Times New Roman" w:hAnsi="Times New Roman" w:cs="Times New Roman"/>
          <w:sz w:val="28"/>
          <w:szCs w:val="24"/>
        </w:rPr>
        <w:t>;</w:t>
      </w:r>
    </w:p>
    <w:p w14:paraId="371AADF7" w14:textId="77777777" w:rsidR="00401F00" w:rsidRPr="00C3764E" w:rsidRDefault="003A5C59" w:rsidP="003A5C59">
      <w:pPr>
        <w:autoSpaceDE w:val="0"/>
        <w:autoSpaceDN w:val="0"/>
        <w:adjustRightInd w:val="0"/>
        <w:spacing w:after="0" w:line="312" w:lineRule="auto"/>
        <w:ind w:firstLine="709"/>
        <w:jc w:val="both"/>
        <w:rPr>
          <w:rFonts w:ascii="Times New Roman" w:eastAsia="Times New Roman" w:hAnsi="Times New Roman" w:cs="Times New Roman"/>
          <w:sz w:val="28"/>
          <w:szCs w:val="24"/>
        </w:rPr>
      </w:pPr>
      <w:r w:rsidRPr="00C3764E">
        <w:rPr>
          <w:rFonts w:ascii="Times New Roman" w:eastAsia="Times New Roman" w:hAnsi="Times New Roman" w:cs="Times New Roman"/>
          <w:sz w:val="28"/>
          <w:szCs w:val="24"/>
        </w:rPr>
        <w:t>взаимодействие с волонтерскими движениями.</w:t>
      </w:r>
    </w:p>
    <w:p w14:paraId="1590B047" w14:textId="77777777" w:rsidR="003F3F5E" w:rsidRDefault="003F3F5E" w:rsidP="00C3764E">
      <w:pPr>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В декабре 2020 г</w:t>
      </w:r>
      <w:r w:rsidR="00A9391F">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были приняты важные изменения, касающиеся определения статуса социальных сетей и наделения владельцев социальных сетей рядом обязательств по недопущению распространения противоправного контента, мониторинга информации в социальных сетях и публикации соответствующей отчетности, </w:t>
      </w:r>
      <w:r w:rsidR="00C3764E">
        <w:rPr>
          <w:rFonts w:ascii="Times New Roman" w:eastAsia="Times New Roman" w:hAnsi="Times New Roman" w:cs="Times New Roman"/>
          <w:bCs/>
          <w:sz w:val="28"/>
          <w:szCs w:val="28"/>
          <w:lang w:eastAsia="ru-RU"/>
        </w:rPr>
        <w:t>а</w:t>
      </w:r>
      <w:r>
        <w:rPr>
          <w:rFonts w:ascii="Times New Roman" w:eastAsia="Times New Roman" w:hAnsi="Times New Roman" w:cs="Times New Roman"/>
          <w:bCs/>
          <w:sz w:val="28"/>
          <w:szCs w:val="28"/>
          <w:lang w:eastAsia="ru-RU"/>
        </w:rPr>
        <w:t xml:space="preserve"> также </w:t>
      </w:r>
      <w:r>
        <w:rPr>
          <w:rFonts w:ascii="Times New Roman" w:hAnsi="Times New Roman" w:cs="Times New Roman"/>
          <w:sz w:val="28"/>
          <w:szCs w:val="28"/>
        </w:rPr>
        <w:t>установление оперативного механизма</w:t>
      </w:r>
      <w:r w:rsidRPr="00A25D3A">
        <w:rPr>
          <w:rFonts w:ascii="Times New Roman" w:hAnsi="Times New Roman" w:cs="Times New Roman"/>
          <w:sz w:val="28"/>
          <w:szCs w:val="28"/>
        </w:rPr>
        <w:t xml:space="preserve"> пресечения распространения противоправной информации в социальных сетях.</w:t>
      </w:r>
      <w:r w:rsidR="00C3764E">
        <w:rPr>
          <w:rFonts w:ascii="Times New Roman" w:hAnsi="Times New Roman" w:cs="Times New Roman"/>
          <w:sz w:val="28"/>
          <w:szCs w:val="28"/>
        </w:rPr>
        <w:t xml:space="preserve"> </w:t>
      </w:r>
      <w:r w:rsidRPr="002D698A">
        <w:rPr>
          <w:rFonts w:ascii="Times New Roman" w:hAnsi="Times New Roman" w:cs="Times New Roman"/>
          <w:sz w:val="28"/>
          <w:szCs w:val="28"/>
        </w:rPr>
        <w:t>В частности, на владельца сайта и (или) страницы сайта в сети Интернет, и (или) владе</w:t>
      </w:r>
      <w:r>
        <w:rPr>
          <w:rFonts w:ascii="Times New Roman" w:hAnsi="Times New Roman" w:cs="Times New Roman"/>
          <w:sz w:val="28"/>
          <w:szCs w:val="28"/>
        </w:rPr>
        <w:t>льца социальной сети был возложен</w:t>
      </w:r>
      <w:r w:rsidRPr="002D698A">
        <w:rPr>
          <w:rFonts w:ascii="Times New Roman" w:hAnsi="Times New Roman" w:cs="Times New Roman"/>
          <w:sz w:val="28"/>
          <w:szCs w:val="28"/>
        </w:rPr>
        <w:t xml:space="preserve"> ряд обязанностей</w:t>
      </w:r>
      <w:r>
        <w:rPr>
          <w:rFonts w:ascii="Times New Roman" w:hAnsi="Times New Roman" w:cs="Times New Roman"/>
          <w:sz w:val="28"/>
          <w:szCs w:val="28"/>
        </w:rPr>
        <w:t>, среди которых:</w:t>
      </w:r>
    </w:p>
    <w:p w14:paraId="6AC75B92" w14:textId="77777777" w:rsidR="003F3F5E" w:rsidRDefault="003F3F5E" w:rsidP="00653DAE">
      <w:pPr>
        <w:spacing w:after="0" w:line="312" w:lineRule="auto"/>
        <w:ind w:firstLine="709"/>
        <w:jc w:val="both"/>
        <w:rPr>
          <w:rFonts w:ascii="Times New Roman" w:hAnsi="Times New Roman" w:cs="Times New Roman"/>
          <w:sz w:val="28"/>
          <w:szCs w:val="28"/>
        </w:rPr>
      </w:pPr>
      <w:r w:rsidRPr="002D698A">
        <w:rPr>
          <w:rFonts w:ascii="Times New Roman" w:hAnsi="Times New Roman" w:cs="Times New Roman"/>
          <w:sz w:val="28"/>
          <w:szCs w:val="28"/>
        </w:rPr>
        <w:t xml:space="preserve">не допускать использование социальной сети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 </w:t>
      </w:r>
    </w:p>
    <w:p w14:paraId="7D10F0B0" w14:textId="77777777" w:rsidR="003F3F5E" w:rsidRDefault="003F3F5E" w:rsidP="00653DAE">
      <w:pPr>
        <w:spacing w:after="0" w:line="312" w:lineRule="auto"/>
        <w:ind w:firstLine="709"/>
        <w:jc w:val="both"/>
        <w:rPr>
          <w:rFonts w:ascii="Times New Roman" w:hAnsi="Times New Roman" w:cs="Times New Roman"/>
          <w:sz w:val="28"/>
          <w:szCs w:val="28"/>
        </w:rPr>
      </w:pPr>
      <w:r w:rsidRPr="002D698A">
        <w:rPr>
          <w:rFonts w:ascii="Times New Roman" w:hAnsi="Times New Roman" w:cs="Times New Roman"/>
          <w:sz w:val="28"/>
          <w:szCs w:val="28"/>
        </w:rPr>
        <w:t xml:space="preserve">препятствовать распространению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w:t>
      </w:r>
      <w:r>
        <w:rPr>
          <w:rFonts w:ascii="Times New Roman" w:hAnsi="Times New Roman" w:cs="Times New Roman"/>
          <w:sz w:val="28"/>
          <w:szCs w:val="28"/>
        </w:rPr>
        <w:t>их политическими убеждениями;</w:t>
      </w:r>
    </w:p>
    <w:p w14:paraId="0DEE8B7F" w14:textId="77777777" w:rsidR="003F3F5E" w:rsidRDefault="003F3F5E" w:rsidP="00653DAE">
      <w:pPr>
        <w:spacing w:after="0" w:line="312" w:lineRule="auto"/>
        <w:ind w:firstLine="709"/>
        <w:jc w:val="both"/>
        <w:rPr>
          <w:rFonts w:ascii="Times New Roman" w:hAnsi="Times New Roman" w:cs="Times New Roman"/>
          <w:sz w:val="28"/>
          <w:szCs w:val="28"/>
        </w:rPr>
      </w:pPr>
      <w:r w:rsidRPr="002D698A">
        <w:rPr>
          <w:rFonts w:ascii="Times New Roman" w:hAnsi="Times New Roman" w:cs="Times New Roman"/>
          <w:sz w:val="28"/>
          <w:szCs w:val="28"/>
        </w:rPr>
        <w:t xml:space="preserve">соблюдать запреты и ограничения, предусмотренные законодательством о референдуме и выборах, а также прав и законных интересов граждан </w:t>
      </w:r>
      <w:r>
        <w:rPr>
          <w:rFonts w:ascii="Times New Roman" w:hAnsi="Times New Roman" w:cs="Times New Roman"/>
          <w:sz w:val="28"/>
          <w:szCs w:val="28"/>
        </w:rPr>
        <w:br/>
      </w:r>
      <w:r w:rsidRPr="002D698A">
        <w:rPr>
          <w:rFonts w:ascii="Times New Roman" w:hAnsi="Times New Roman" w:cs="Times New Roman"/>
          <w:sz w:val="28"/>
          <w:szCs w:val="28"/>
        </w:rPr>
        <w:t>и организаций, в том числе чести, достоинства и деловой репутации граждан, д</w:t>
      </w:r>
      <w:r>
        <w:rPr>
          <w:rFonts w:ascii="Times New Roman" w:hAnsi="Times New Roman" w:cs="Times New Roman"/>
          <w:sz w:val="28"/>
          <w:szCs w:val="28"/>
        </w:rPr>
        <w:t>еловой репутации организаций.</w:t>
      </w:r>
    </w:p>
    <w:p w14:paraId="136A4ED9" w14:textId="77777777" w:rsidR="003F3F5E" w:rsidRDefault="003F3F5E" w:rsidP="00653DAE">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владелец социальной сети должен размещать </w:t>
      </w:r>
      <w:r w:rsidRPr="002D698A">
        <w:rPr>
          <w:rFonts w:ascii="Times New Roman" w:hAnsi="Times New Roman" w:cs="Times New Roman"/>
          <w:sz w:val="28"/>
          <w:szCs w:val="28"/>
        </w:rPr>
        <w:t>правила ее использования, электронную почту для направления юридически значимых сообщений и форму обратной связи для направления обращений о распространении</w:t>
      </w:r>
      <w:r>
        <w:rPr>
          <w:rFonts w:ascii="Times New Roman" w:hAnsi="Times New Roman" w:cs="Times New Roman"/>
          <w:sz w:val="28"/>
          <w:szCs w:val="28"/>
        </w:rPr>
        <w:t xml:space="preserve"> запрещенной информации.</w:t>
      </w:r>
    </w:p>
    <w:p w14:paraId="705F87C9" w14:textId="77777777" w:rsidR="003F3F5E" w:rsidRDefault="003F3F5E" w:rsidP="00653DAE">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обязанности владельца социальной сети также входит </w:t>
      </w:r>
      <w:r w:rsidRPr="002D698A">
        <w:rPr>
          <w:rFonts w:ascii="Times New Roman" w:hAnsi="Times New Roman" w:cs="Times New Roman"/>
          <w:sz w:val="28"/>
          <w:szCs w:val="28"/>
        </w:rPr>
        <w:t xml:space="preserve">мониторинг социальной сети в целях выявления запрещенного контента (в том числе детской порнографии, пропаганды и распространения наркотиков, суицидальной информации, азартных игр, дистанционной продажи алкогольной продукции, </w:t>
      </w:r>
      <w:proofErr w:type="spellStart"/>
      <w:r w:rsidRPr="002D698A">
        <w:rPr>
          <w:rFonts w:ascii="Times New Roman" w:hAnsi="Times New Roman" w:cs="Times New Roman"/>
          <w:sz w:val="28"/>
          <w:szCs w:val="28"/>
        </w:rPr>
        <w:t>фейк-ньюс</w:t>
      </w:r>
      <w:proofErr w:type="spellEnd"/>
      <w:r w:rsidRPr="002D698A">
        <w:rPr>
          <w:rFonts w:ascii="Times New Roman" w:hAnsi="Times New Roman" w:cs="Times New Roman"/>
          <w:sz w:val="28"/>
          <w:szCs w:val="28"/>
        </w:rPr>
        <w:t xml:space="preserve">, призывов к массовым беспорядкам) и </w:t>
      </w:r>
      <w:r>
        <w:rPr>
          <w:rFonts w:ascii="Times New Roman" w:hAnsi="Times New Roman" w:cs="Times New Roman"/>
          <w:sz w:val="28"/>
          <w:szCs w:val="28"/>
        </w:rPr>
        <w:t xml:space="preserve">незамедлительное удаление </w:t>
      </w:r>
      <w:r w:rsidRPr="002D698A">
        <w:rPr>
          <w:rFonts w:ascii="Times New Roman" w:hAnsi="Times New Roman" w:cs="Times New Roman"/>
          <w:sz w:val="28"/>
          <w:szCs w:val="28"/>
        </w:rPr>
        <w:t>такой информации</w:t>
      </w:r>
      <w:r>
        <w:rPr>
          <w:rFonts w:ascii="Times New Roman" w:hAnsi="Times New Roman" w:cs="Times New Roman"/>
          <w:sz w:val="28"/>
          <w:szCs w:val="28"/>
        </w:rPr>
        <w:t>.</w:t>
      </w:r>
      <w:r w:rsidRPr="002D698A">
        <w:rPr>
          <w:rFonts w:ascii="Times New Roman" w:hAnsi="Times New Roman" w:cs="Times New Roman"/>
          <w:sz w:val="28"/>
          <w:szCs w:val="28"/>
        </w:rPr>
        <w:t xml:space="preserve"> </w:t>
      </w:r>
    </w:p>
    <w:p w14:paraId="1BE929A0" w14:textId="77777777" w:rsidR="003F3F5E" w:rsidRDefault="003F3F5E" w:rsidP="00653DAE">
      <w:pPr>
        <w:spacing w:after="0" w:line="312"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2021 г</w:t>
      </w:r>
      <w:r w:rsidR="008E266C">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также был внесен ряд</w:t>
      </w:r>
      <w:r w:rsidR="004E3E5C">
        <w:rPr>
          <w:rFonts w:ascii="Times New Roman" w:eastAsia="Times New Roman" w:hAnsi="Times New Roman" w:cs="Times New Roman"/>
          <w:bCs/>
          <w:sz w:val="28"/>
          <w:szCs w:val="28"/>
          <w:lang w:eastAsia="ru-RU"/>
        </w:rPr>
        <w:t xml:space="preserve"> изменений в Федеральный закон </w:t>
      </w:r>
      <w:r w:rsidR="004E3E5C">
        <w:rPr>
          <w:rFonts w:ascii="Times New Roman" w:eastAsia="Times New Roman" w:hAnsi="Times New Roman" w:cs="Times New Roman"/>
          <w:bCs/>
          <w:sz w:val="28"/>
          <w:szCs w:val="28"/>
          <w:lang w:eastAsia="ru-RU"/>
        </w:rPr>
        <w:br/>
      </w:r>
      <w:r>
        <w:rPr>
          <w:rFonts w:ascii="Times New Roman" w:eastAsia="Times New Roman" w:hAnsi="Times New Roman" w:cs="Times New Roman"/>
          <w:bCs/>
          <w:sz w:val="28"/>
          <w:szCs w:val="28"/>
          <w:lang w:eastAsia="ru-RU"/>
        </w:rPr>
        <w:t>от 29 декабря 2010 г. № 436 «О защите детей от информации, причиняющей вред их здоровью и развитию»</w:t>
      </w:r>
      <w:r w:rsidR="004E3E5C">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предусматривающих:</w:t>
      </w:r>
    </w:p>
    <w:p w14:paraId="5AEE9F7D" w14:textId="77777777" w:rsidR="003F3F5E" w:rsidRDefault="003F3F5E" w:rsidP="00653DAE">
      <w:pPr>
        <w:spacing w:after="0" w:line="312"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возможность Роскомнадзора устанавливать дополнительные требования к экспертам, осуществляющим экспертизу информационной продукции;</w:t>
      </w:r>
    </w:p>
    <w:p w14:paraId="0F695960" w14:textId="77777777" w:rsidR="003F3F5E" w:rsidRDefault="003F3F5E" w:rsidP="00653DAE">
      <w:pPr>
        <w:spacing w:after="0" w:line="312"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уточнение полномочий Минцифры России и субъектов Российской Федерации в сфере защиты детей от информации, причиняющей вред их здоровью и развитию.</w:t>
      </w:r>
    </w:p>
    <w:p w14:paraId="57967EFB" w14:textId="77777777" w:rsidR="003F3F5E" w:rsidRDefault="003F3F5E" w:rsidP="00653DAE">
      <w:pPr>
        <w:spacing w:after="0" w:line="312"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Теперь Роскомнадзор </w:t>
      </w:r>
      <w:r w:rsidRPr="009D5633">
        <w:rPr>
          <w:rFonts w:ascii="Times New Roman" w:eastAsia="Times New Roman" w:hAnsi="Times New Roman" w:cs="Times New Roman"/>
          <w:bCs/>
          <w:sz w:val="28"/>
          <w:szCs w:val="28"/>
          <w:lang w:eastAsia="ru-RU"/>
        </w:rPr>
        <w:t>может устанавливать не только порядок аккредитации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 но и требования к таким экспертам и экспертным организациям. Соответствующее изменение</w:t>
      </w:r>
      <w:r>
        <w:rPr>
          <w:rFonts w:ascii="Times New Roman" w:eastAsia="Times New Roman" w:hAnsi="Times New Roman" w:cs="Times New Roman"/>
          <w:bCs/>
          <w:sz w:val="28"/>
          <w:szCs w:val="28"/>
          <w:lang w:eastAsia="ru-RU"/>
        </w:rPr>
        <w:t xml:space="preserve"> было</w:t>
      </w:r>
      <w:r w:rsidRPr="009D5633">
        <w:rPr>
          <w:rFonts w:ascii="Times New Roman" w:eastAsia="Times New Roman" w:hAnsi="Times New Roman" w:cs="Times New Roman"/>
          <w:bCs/>
          <w:sz w:val="28"/>
          <w:szCs w:val="28"/>
          <w:lang w:eastAsia="ru-RU"/>
        </w:rPr>
        <w:t xml:space="preserve"> внесено </w:t>
      </w:r>
      <w:r w:rsidR="004E3E5C">
        <w:rPr>
          <w:rFonts w:ascii="Times New Roman" w:eastAsia="Times New Roman" w:hAnsi="Times New Roman" w:cs="Times New Roman"/>
          <w:bCs/>
          <w:sz w:val="28"/>
          <w:szCs w:val="28"/>
          <w:lang w:eastAsia="ru-RU"/>
        </w:rPr>
        <w:t xml:space="preserve">постановлением </w:t>
      </w:r>
      <w:r w:rsidR="004E3E5C" w:rsidRPr="009D5633">
        <w:rPr>
          <w:rFonts w:ascii="Times New Roman" w:eastAsia="Times New Roman" w:hAnsi="Times New Roman" w:cs="Times New Roman"/>
          <w:bCs/>
          <w:sz w:val="28"/>
          <w:szCs w:val="28"/>
          <w:lang w:eastAsia="ru-RU"/>
        </w:rPr>
        <w:t xml:space="preserve">Правительства Российской Федерации </w:t>
      </w:r>
      <w:r w:rsidR="004E3E5C">
        <w:rPr>
          <w:rFonts w:ascii="Times New Roman" w:eastAsia="Times New Roman" w:hAnsi="Times New Roman" w:cs="Times New Roman"/>
          <w:bCs/>
          <w:sz w:val="28"/>
          <w:szCs w:val="28"/>
          <w:lang w:eastAsia="ru-RU"/>
        </w:rPr>
        <w:br/>
      </w:r>
      <w:r w:rsidR="004E3E5C" w:rsidRPr="009D5633">
        <w:rPr>
          <w:rFonts w:ascii="Times New Roman" w:eastAsia="Times New Roman" w:hAnsi="Times New Roman" w:cs="Times New Roman"/>
          <w:bCs/>
          <w:sz w:val="28"/>
          <w:szCs w:val="28"/>
          <w:lang w:eastAsia="ru-RU"/>
        </w:rPr>
        <w:t>от 19 июня 2021 г. № 942</w:t>
      </w:r>
      <w:r w:rsidR="004E3E5C">
        <w:rPr>
          <w:rFonts w:ascii="Times New Roman" w:eastAsia="Times New Roman" w:hAnsi="Times New Roman" w:cs="Times New Roman"/>
          <w:bCs/>
          <w:sz w:val="28"/>
          <w:szCs w:val="28"/>
          <w:lang w:eastAsia="ru-RU"/>
        </w:rPr>
        <w:t xml:space="preserve"> </w:t>
      </w:r>
      <w:r w:rsidRPr="009D5633">
        <w:rPr>
          <w:rFonts w:ascii="Times New Roman" w:eastAsia="Times New Roman" w:hAnsi="Times New Roman" w:cs="Times New Roman"/>
          <w:bCs/>
          <w:sz w:val="28"/>
          <w:szCs w:val="28"/>
          <w:lang w:eastAsia="ru-RU"/>
        </w:rPr>
        <w:t xml:space="preserve">в Положение о Федеральной службе по надзору в сфере связи, информационных технологий и массовых коммуникаций. Это позволит аккредитовывать высококвалифицированных лиц, обладающих соответствующими компетенциями, и избежать «случайных» экспертов </w:t>
      </w:r>
      <w:r w:rsidR="00787935">
        <w:rPr>
          <w:rFonts w:ascii="Times New Roman" w:eastAsia="Times New Roman" w:hAnsi="Times New Roman" w:cs="Times New Roman"/>
          <w:bCs/>
          <w:sz w:val="28"/>
          <w:szCs w:val="28"/>
          <w:lang w:eastAsia="ru-RU"/>
        </w:rPr>
        <w:t>в данной сфере.</w:t>
      </w:r>
    </w:p>
    <w:p w14:paraId="43924B7C" w14:textId="77777777" w:rsidR="003F3F5E" w:rsidRPr="004E3E5C" w:rsidRDefault="003F3F5E" w:rsidP="004E3E5C">
      <w:pPr>
        <w:spacing w:after="0" w:line="312"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Вместе с тем в отношении уточненных полномочий Минцифры России и субъектов Российской Федерации </w:t>
      </w:r>
      <w:r>
        <w:rPr>
          <w:rFonts w:ascii="Times New Roman" w:hAnsi="Times New Roman" w:cs="Times New Roman"/>
          <w:sz w:val="28"/>
          <w:szCs w:val="28"/>
        </w:rPr>
        <w:t>в сфере защиты детей от информации, причиняющей вред их здоровью и развитию,</w:t>
      </w:r>
      <w:r w:rsidRPr="00B42CE5">
        <w:t xml:space="preserve"> </w:t>
      </w:r>
      <w:r>
        <w:rPr>
          <w:rFonts w:ascii="Times New Roman" w:hAnsi="Times New Roman" w:cs="Times New Roman"/>
          <w:sz w:val="28"/>
          <w:szCs w:val="28"/>
        </w:rPr>
        <w:t>стоит отметить, что с 2021 г</w:t>
      </w:r>
      <w:r w:rsidR="00B562DE">
        <w:rPr>
          <w:rFonts w:ascii="Times New Roman" w:hAnsi="Times New Roman" w:cs="Times New Roman"/>
          <w:sz w:val="28"/>
          <w:szCs w:val="28"/>
        </w:rPr>
        <w:t>.</w:t>
      </w:r>
      <w:r w:rsidR="004E3E5C">
        <w:rPr>
          <w:rFonts w:ascii="Times New Roman" w:hAnsi="Times New Roman" w:cs="Times New Roman"/>
          <w:sz w:val="28"/>
          <w:szCs w:val="28"/>
        </w:rPr>
        <w:t xml:space="preserve"> </w:t>
      </w:r>
      <w:r>
        <w:rPr>
          <w:rFonts w:ascii="Times New Roman" w:hAnsi="Times New Roman" w:cs="Times New Roman"/>
          <w:sz w:val="28"/>
          <w:szCs w:val="28"/>
        </w:rPr>
        <w:t xml:space="preserve">предусмотрена </w:t>
      </w:r>
      <w:r w:rsidRPr="00B42CE5">
        <w:rPr>
          <w:rFonts w:ascii="Times New Roman" w:hAnsi="Times New Roman" w:cs="Times New Roman"/>
          <w:sz w:val="28"/>
          <w:szCs w:val="28"/>
        </w:rPr>
        <w:t>разработка и реализация перечня федеральных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 а также перечня региональных мероприятий по каждому субъекту Российской Федерации. Формирование перечней федеральных и региональных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w:t>
      </w:r>
      <w:r>
        <w:rPr>
          <w:rFonts w:ascii="Times New Roman" w:hAnsi="Times New Roman" w:cs="Times New Roman"/>
          <w:sz w:val="28"/>
          <w:szCs w:val="28"/>
        </w:rPr>
        <w:t xml:space="preserve"> продукции, наиболее гибкий инструмент</w:t>
      </w:r>
      <w:r w:rsidRPr="00B42CE5">
        <w:rPr>
          <w:rFonts w:ascii="Times New Roman" w:hAnsi="Times New Roman" w:cs="Times New Roman"/>
          <w:sz w:val="28"/>
          <w:szCs w:val="28"/>
        </w:rPr>
        <w:t xml:space="preserve"> реализации государственной политики в сфере защиты детей от информации, причиняющей вред их здоровью и (или) развитию.</w:t>
      </w:r>
    </w:p>
    <w:p w14:paraId="5E66A7E4" w14:textId="77777777" w:rsidR="003F3F5E" w:rsidRDefault="0026371A" w:rsidP="00B0607E">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 основании статьи 15.1</w:t>
      </w:r>
      <w:r w:rsidRPr="00141853">
        <w:rPr>
          <w:rFonts w:ascii="Times New Roman" w:eastAsia="Calibri" w:hAnsi="Times New Roman" w:cs="Times New Roman"/>
          <w:sz w:val="28"/>
          <w:szCs w:val="28"/>
        </w:rPr>
        <w:t xml:space="preserve"> Федерального закона </w:t>
      </w:r>
      <w:r>
        <w:rPr>
          <w:rFonts w:ascii="Times New Roman" w:eastAsia="Calibri" w:hAnsi="Times New Roman" w:cs="Times New Roman"/>
          <w:sz w:val="28"/>
          <w:szCs w:val="28"/>
        </w:rPr>
        <w:t xml:space="preserve">от 27 июля 2006 г. </w:t>
      </w:r>
      <w:r w:rsidRPr="00141853">
        <w:rPr>
          <w:rFonts w:ascii="Times New Roman" w:eastAsia="Calibri" w:hAnsi="Times New Roman" w:cs="Times New Roman"/>
          <w:sz w:val="28"/>
          <w:szCs w:val="28"/>
        </w:rPr>
        <w:t>№ 149-ФЗ</w:t>
      </w:r>
      <w:r>
        <w:rPr>
          <w:rFonts w:ascii="Times New Roman" w:eastAsia="Calibri" w:hAnsi="Times New Roman" w:cs="Times New Roman"/>
          <w:sz w:val="28"/>
          <w:szCs w:val="28"/>
        </w:rPr>
        <w:t xml:space="preserve"> «Об информации, информационных технологиях и о защите информации» </w:t>
      </w:r>
      <w:r>
        <w:rPr>
          <w:rFonts w:ascii="Times New Roman" w:eastAsia="Calibri" w:hAnsi="Times New Roman" w:cs="Times New Roman"/>
          <w:sz w:val="28"/>
          <w:szCs w:val="28"/>
        </w:rPr>
        <w:br/>
        <w:t xml:space="preserve">(далее – Федеральный закон от 27 июля 2006 г. № 149-ФЗ) </w:t>
      </w:r>
      <w:r w:rsidR="00B0607E">
        <w:rPr>
          <w:rFonts w:ascii="Times New Roman" w:eastAsia="Calibri" w:hAnsi="Times New Roman" w:cs="Times New Roman"/>
          <w:sz w:val="28"/>
          <w:szCs w:val="28"/>
        </w:rPr>
        <w:t>в</w:t>
      </w:r>
      <w:r w:rsidR="003F3F5E" w:rsidRPr="00141853">
        <w:rPr>
          <w:rFonts w:ascii="Times New Roman" w:eastAsia="Calibri" w:hAnsi="Times New Roman" w:cs="Times New Roman"/>
          <w:sz w:val="28"/>
          <w:szCs w:val="28"/>
        </w:rPr>
        <w:t xml:space="preserve"> 2012 г</w:t>
      </w:r>
      <w:r w:rsidR="00B562DE">
        <w:rPr>
          <w:rFonts w:ascii="Times New Roman" w:eastAsia="Calibri" w:hAnsi="Times New Roman" w:cs="Times New Roman"/>
          <w:sz w:val="28"/>
          <w:szCs w:val="28"/>
        </w:rPr>
        <w:t>.</w:t>
      </w:r>
      <w:r w:rsidR="003F3F5E" w:rsidRPr="00141853">
        <w:rPr>
          <w:rFonts w:ascii="Times New Roman" w:eastAsia="Calibri" w:hAnsi="Times New Roman" w:cs="Times New Roman"/>
          <w:sz w:val="28"/>
          <w:szCs w:val="28"/>
        </w:rPr>
        <w:t xml:space="preserve"> </w:t>
      </w:r>
      <w:r w:rsidR="00B0607E">
        <w:rPr>
          <w:rFonts w:ascii="Times New Roman" w:eastAsia="Calibri" w:hAnsi="Times New Roman" w:cs="Times New Roman"/>
          <w:sz w:val="28"/>
          <w:szCs w:val="28"/>
        </w:rPr>
        <w:t>создана единая автоматизированная информационная система «</w:t>
      </w:r>
      <w:r w:rsidR="003F3F5E">
        <w:rPr>
          <w:rFonts w:ascii="Times New Roman" w:eastAsia="Calibri" w:hAnsi="Times New Roman" w:cs="Times New Roman"/>
          <w:sz w:val="28"/>
          <w:szCs w:val="28"/>
        </w:rPr>
        <w:t>Единый реестр</w:t>
      </w:r>
      <w:r w:rsidR="003F3F5E" w:rsidRPr="00141853">
        <w:rPr>
          <w:rFonts w:ascii="Times New Roman" w:eastAsia="Calibri" w:hAnsi="Times New Roman" w:cs="Times New Roman"/>
          <w:sz w:val="28"/>
          <w:szCs w:val="28"/>
        </w:rPr>
        <w:t xml:space="preserve">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r w:rsidR="00B0607E">
        <w:rPr>
          <w:rFonts w:ascii="Times New Roman" w:eastAsia="Calibri" w:hAnsi="Times New Roman" w:cs="Times New Roman"/>
          <w:sz w:val="28"/>
          <w:szCs w:val="28"/>
        </w:rPr>
        <w:t>»</w:t>
      </w:r>
      <w:r w:rsidR="003F3F5E" w:rsidRPr="00141853">
        <w:rPr>
          <w:rFonts w:ascii="Times New Roman" w:eastAsia="Calibri" w:hAnsi="Times New Roman" w:cs="Times New Roman"/>
          <w:sz w:val="28"/>
          <w:szCs w:val="28"/>
        </w:rPr>
        <w:t xml:space="preserve"> (далее – </w:t>
      </w:r>
      <w:r w:rsidR="00B0607E">
        <w:rPr>
          <w:rFonts w:ascii="Times New Roman" w:eastAsia="Calibri" w:hAnsi="Times New Roman" w:cs="Times New Roman"/>
          <w:sz w:val="28"/>
          <w:szCs w:val="28"/>
        </w:rPr>
        <w:t>Е</w:t>
      </w:r>
      <w:r w:rsidR="003F3F5E" w:rsidRPr="00141853">
        <w:rPr>
          <w:rFonts w:ascii="Times New Roman" w:eastAsia="Calibri" w:hAnsi="Times New Roman" w:cs="Times New Roman"/>
          <w:sz w:val="28"/>
          <w:szCs w:val="28"/>
        </w:rPr>
        <w:t>диный реестр)</w:t>
      </w:r>
      <w:r>
        <w:rPr>
          <w:rFonts w:ascii="Times New Roman" w:eastAsia="Calibri" w:hAnsi="Times New Roman" w:cs="Times New Roman"/>
          <w:sz w:val="28"/>
          <w:szCs w:val="28"/>
        </w:rPr>
        <w:t>,</w:t>
      </w:r>
      <w:r w:rsidR="003F3F5E">
        <w:rPr>
          <w:rFonts w:ascii="Times New Roman" w:eastAsia="Calibri" w:hAnsi="Times New Roman" w:cs="Times New Roman"/>
          <w:sz w:val="28"/>
          <w:szCs w:val="28"/>
        </w:rPr>
        <w:t xml:space="preserve"> </w:t>
      </w:r>
      <w:r>
        <w:rPr>
          <w:rFonts w:ascii="Times New Roman" w:eastAsia="Calibri" w:hAnsi="Times New Roman" w:cs="Times New Roman"/>
          <w:sz w:val="28"/>
          <w:szCs w:val="28"/>
        </w:rPr>
        <w:t>доказавший</w:t>
      </w:r>
      <w:r w:rsidR="003F3F5E">
        <w:rPr>
          <w:rFonts w:ascii="Times New Roman" w:eastAsia="Calibri" w:hAnsi="Times New Roman" w:cs="Times New Roman"/>
          <w:sz w:val="28"/>
          <w:szCs w:val="28"/>
        </w:rPr>
        <w:t xml:space="preserve"> свою</w:t>
      </w:r>
      <w:r w:rsidR="003F3F5E" w:rsidRPr="00141853">
        <w:rPr>
          <w:rFonts w:ascii="Times New Roman" w:eastAsia="Calibri" w:hAnsi="Times New Roman" w:cs="Times New Roman"/>
          <w:sz w:val="28"/>
          <w:szCs w:val="28"/>
        </w:rPr>
        <w:t xml:space="preserve"> </w:t>
      </w:r>
      <w:r w:rsidR="003F3F5E">
        <w:rPr>
          <w:rFonts w:ascii="Times New Roman" w:eastAsia="Calibri" w:hAnsi="Times New Roman" w:cs="Times New Roman"/>
          <w:sz w:val="28"/>
          <w:szCs w:val="28"/>
        </w:rPr>
        <w:t>эффективность.</w:t>
      </w:r>
    </w:p>
    <w:p w14:paraId="2343B97C" w14:textId="77777777" w:rsidR="005651AB" w:rsidRDefault="005651AB" w:rsidP="00653DAE">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 решению уполномоченных органов: Роскомнадзора, МВД России, Роспотребнадзора, </w:t>
      </w:r>
      <w:proofErr w:type="spellStart"/>
      <w:r>
        <w:rPr>
          <w:rFonts w:ascii="Times New Roman" w:eastAsia="Calibri" w:hAnsi="Times New Roman" w:cs="Times New Roman"/>
          <w:sz w:val="28"/>
          <w:szCs w:val="28"/>
        </w:rPr>
        <w:t>Росалкогольрегулирования</w:t>
      </w:r>
      <w:proofErr w:type="spellEnd"/>
      <w:r>
        <w:rPr>
          <w:rFonts w:ascii="Times New Roman" w:eastAsia="Calibri" w:hAnsi="Times New Roman" w:cs="Times New Roman"/>
          <w:sz w:val="28"/>
          <w:szCs w:val="28"/>
        </w:rPr>
        <w:t xml:space="preserve">, ФНС России, </w:t>
      </w:r>
      <w:proofErr w:type="spellStart"/>
      <w:r>
        <w:rPr>
          <w:rFonts w:ascii="Times New Roman" w:eastAsia="Calibri" w:hAnsi="Times New Roman" w:cs="Times New Roman"/>
          <w:sz w:val="28"/>
          <w:szCs w:val="28"/>
        </w:rPr>
        <w:t>Росмолодежи</w:t>
      </w:r>
      <w:proofErr w:type="spellEnd"/>
      <w:r>
        <w:rPr>
          <w:rFonts w:ascii="Times New Roman" w:eastAsia="Calibri" w:hAnsi="Times New Roman" w:cs="Times New Roman"/>
          <w:sz w:val="28"/>
          <w:szCs w:val="28"/>
        </w:rPr>
        <w:t xml:space="preserve"> и Росздравнадзора во внесудебном порядке доступ к информации может быть ограничен в связи с распространением: материалов с порнографическими изображениями несовершеннолетних; </w:t>
      </w:r>
      <w:r w:rsidR="00C07960">
        <w:rPr>
          <w:rFonts w:ascii="Times New Roman" w:eastAsia="Calibri" w:hAnsi="Times New Roman" w:cs="Times New Roman"/>
          <w:sz w:val="28"/>
          <w:szCs w:val="28"/>
        </w:rPr>
        <w:t xml:space="preserve">информации о способах изготовления и использования наркотических средств и культивирования наркосодержащих растений; информации о способах совершения самоубийств, призывов к совершению самоубийства, информации о незаконной деятельности </w:t>
      </w:r>
      <w:r w:rsidR="00997A93">
        <w:rPr>
          <w:rFonts w:ascii="Times New Roman" w:eastAsia="Calibri" w:hAnsi="Times New Roman" w:cs="Times New Roman"/>
          <w:sz w:val="28"/>
          <w:szCs w:val="28"/>
        </w:rPr>
        <w:t xml:space="preserve">по организации и проведению азартных игр и лотерей; информации о незаконной розничной продаже дистанционным </w:t>
      </w:r>
      <w:r w:rsidR="00EF7572">
        <w:rPr>
          <w:rFonts w:ascii="Times New Roman" w:eastAsia="Calibri" w:hAnsi="Times New Roman" w:cs="Times New Roman"/>
          <w:sz w:val="28"/>
          <w:szCs w:val="28"/>
        </w:rPr>
        <w:t xml:space="preserve">способом алкогольной продукции; информации, направленной на склонение или иное вовлечение несовершеннолетних в совершение противоправных действий (бездействий), распространение которой запрещено федеральными законами; </w:t>
      </w:r>
      <w:r w:rsidR="00143490">
        <w:rPr>
          <w:rFonts w:ascii="Times New Roman" w:eastAsia="Calibri" w:hAnsi="Times New Roman" w:cs="Times New Roman"/>
          <w:sz w:val="28"/>
          <w:szCs w:val="28"/>
        </w:rPr>
        <w:t>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 (соответственно).</w:t>
      </w:r>
    </w:p>
    <w:p w14:paraId="782F93D9" w14:textId="77777777" w:rsidR="003F3F5E" w:rsidRDefault="0026371A" w:rsidP="0026371A">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Е</w:t>
      </w:r>
      <w:r w:rsidR="003F3F5E">
        <w:rPr>
          <w:rFonts w:ascii="Times New Roman" w:eastAsia="Calibri" w:hAnsi="Times New Roman" w:cs="Times New Roman"/>
          <w:sz w:val="28"/>
          <w:szCs w:val="28"/>
        </w:rPr>
        <w:t>диный реестр – гибкий инструмент, который позволяет при необходимости быстро реагиров</w:t>
      </w:r>
      <w:r>
        <w:rPr>
          <w:rFonts w:ascii="Times New Roman" w:eastAsia="Calibri" w:hAnsi="Times New Roman" w:cs="Times New Roman"/>
          <w:sz w:val="28"/>
          <w:szCs w:val="28"/>
        </w:rPr>
        <w:t xml:space="preserve">ать на вновь возникающие риски. </w:t>
      </w:r>
      <w:r w:rsidR="003F3F5E">
        <w:rPr>
          <w:rFonts w:ascii="Times New Roman" w:eastAsia="Calibri" w:hAnsi="Times New Roman" w:cs="Times New Roman"/>
          <w:sz w:val="28"/>
          <w:szCs w:val="28"/>
        </w:rPr>
        <w:t>В частности, с 2021 г</w:t>
      </w:r>
      <w:r w:rsidR="00B562DE">
        <w:rPr>
          <w:rFonts w:ascii="Times New Roman" w:eastAsia="Calibri" w:hAnsi="Times New Roman" w:cs="Times New Roman"/>
          <w:sz w:val="28"/>
          <w:szCs w:val="28"/>
        </w:rPr>
        <w:t>.</w:t>
      </w:r>
      <w:r w:rsidR="003F3F5E">
        <w:rPr>
          <w:rFonts w:ascii="Times New Roman" w:eastAsia="Calibri" w:hAnsi="Times New Roman" w:cs="Times New Roman"/>
          <w:sz w:val="28"/>
          <w:szCs w:val="28"/>
        </w:rPr>
        <w:t xml:space="preserve"> в единый реестр включаются </w:t>
      </w:r>
      <w:r w:rsidR="003F3F5E" w:rsidRPr="00DB6EEA">
        <w:rPr>
          <w:rFonts w:ascii="Times New Roman" w:eastAsia="Calibri" w:hAnsi="Times New Roman" w:cs="Times New Roman"/>
          <w:sz w:val="28"/>
          <w:szCs w:val="28"/>
        </w:rPr>
        <w:t>ресурсы, распространяющие информацию о способах, методах самодельного изготовления взрывчатых веществ и взрывных веществ и взрывных устройств, незаконного изготовления или переделки оружия, основных частей огнестрел</w:t>
      </w:r>
      <w:r>
        <w:rPr>
          <w:rFonts w:ascii="Times New Roman" w:eastAsia="Calibri" w:hAnsi="Times New Roman" w:cs="Times New Roman"/>
          <w:sz w:val="28"/>
          <w:szCs w:val="28"/>
        </w:rPr>
        <w:t>ьного оружия</w:t>
      </w:r>
      <w:r w:rsidR="00CD3E42">
        <w:rPr>
          <w:rFonts w:ascii="Times New Roman" w:eastAsia="Calibri" w:hAnsi="Times New Roman" w:cs="Times New Roman"/>
          <w:sz w:val="28"/>
          <w:szCs w:val="28"/>
        </w:rPr>
        <w:t>,</w:t>
      </w:r>
      <w:r w:rsidR="003F3F5E">
        <w:rPr>
          <w:rFonts w:ascii="Times New Roman" w:eastAsia="Calibri" w:hAnsi="Times New Roman" w:cs="Times New Roman"/>
          <w:sz w:val="28"/>
          <w:szCs w:val="28"/>
        </w:rPr>
        <w:t xml:space="preserve"> на основании решений МВД России.</w:t>
      </w:r>
    </w:p>
    <w:p w14:paraId="5447E8D0" w14:textId="77777777" w:rsidR="003F3F5E" w:rsidRPr="0009284D" w:rsidRDefault="003F3F5E" w:rsidP="00653DAE">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 2021 г</w:t>
      </w:r>
      <w:r w:rsidR="00B562DE">
        <w:rPr>
          <w:rFonts w:ascii="Times New Roman" w:eastAsia="Calibri" w:hAnsi="Times New Roman" w:cs="Times New Roman"/>
          <w:sz w:val="28"/>
          <w:szCs w:val="28"/>
        </w:rPr>
        <w:t>.</w:t>
      </w:r>
      <w:r>
        <w:rPr>
          <w:rFonts w:ascii="Times New Roman" w:eastAsia="Calibri" w:hAnsi="Times New Roman" w:cs="Times New Roman"/>
          <w:sz w:val="28"/>
          <w:szCs w:val="28"/>
        </w:rPr>
        <w:t xml:space="preserve"> на основании решений </w:t>
      </w:r>
      <w:r w:rsidRPr="0009284D">
        <w:rPr>
          <w:rFonts w:ascii="Times New Roman" w:eastAsia="Calibri" w:hAnsi="Times New Roman" w:cs="Times New Roman"/>
          <w:sz w:val="28"/>
          <w:szCs w:val="28"/>
        </w:rPr>
        <w:t xml:space="preserve">уполномоченных органов </w:t>
      </w:r>
      <w:r>
        <w:rPr>
          <w:rFonts w:ascii="Times New Roman" w:eastAsia="Calibri" w:hAnsi="Times New Roman" w:cs="Times New Roman"/>
          <w:sz w:val="28"/>
          <w:szCs w:val="28"/>
        </w:rPr>
        <w:t xml:space="preserve">было </w:t>
      </w:r>
      <w:r w:rsidRPr="0009284D">
        <w:rPr>
          <w:rFonts w:ascii="Times New Roman" w:eastAsia="Calibri" w:hAnsi="Times New Roman" w:cs="Times New Roman"/>
          <w:sz w:val="28"/>
          <w:szCs w:val="28"/>
        </w:rPr>
        <w:t xml:space="preserve">заблокировано интернет-ресурсов (интернет-страниц) или запрещенная информация с них </w:t>
      </w:r>
      <w:r>
        <w:rPr>
          <w:rFonts w:ascii="Times New Roman" w:eastAsia="Calibri" w:hAnsi="Times New Roman" w:cs="Times New Roman"/>
          <w:sz w:val="28"/>
          <w:szCs w:val="28"/>
        </w:rPr>
        <w:t xml:space="preserve">была </w:t>
      </w:r>
      <w:r w:rsidRPr="0009284D">
        <w:rPr>
          <w:rFonts w:ascii="Times New Roman" w:eastAsia="Calibri" w:hAnsi="Times New Roman" w:cs="Times New Roman"/>
          <w:sz w:val="28"/>
          <w:szCs w:val="28"/>
        </w:rPr>
        <w:t>удалена (по типам запрещенной информации):</w:t>
      </w:r>
    </w:p>
    <w:p w14:paraId="65BB4C80" w14:textId="77777777" w:rsidR="003F3F5E" w:rsidRPr="0009284D" w:rsidRDefault="003F3F5E" w:rsidP="00653DAE">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детская порнография – 31 184;</w:t>
      </w:r>
    </w:p>
    <w:p w14:paraId="5D72BBA4" w14:textId="77777777" w:rsidR="003F3F5E" w:rsidRPr="0009284D" w:rsidRDefault="003F3F5E" w:rsidP="00653DAE">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наркотики – 77 616;</w:t>
      </w:r>
    </w:p>
    <w:p w14:paraId="1595670F" w14:textId="77777777" w:rsidR="003F3F5E" w:rsidRPr="0009284D" w:rsidRDefault="003F3F5E" w:rsidP="00653DAE">
      <w:pPr>
        <w:spacing w:after="0" w:line="312" w:lineRule="auto"/>
        <w:ind w:firstLine="709"/>
        <w:jc w:val="both"/>
        <w:rPr>
          <w:rFonts w:ascii="Times New Roman" w:eastAsia="Calibri" w:hAnsi="Times New Roman" w:cs="Times New Roman"/>
          <w:sz w:val="28"/>
          <w:szCs w:val="28"/>
        </w:rPr>
      </w:pPr>
      <w:r w:rsidRPr="0009284D">
        <w:rPr>
          <w:rFonts w:ascii="Times New Roman" w:eastAsia="Calibri" w:hAnsi="Times New Roman" w:cs="Times New Roman"/>
          <w:sz w:val="28"/>
          <w:szCs w:val="28"/>
        </w:rPr>
        <w:t>- призывы к самоубийств</w:t>
      </w:r>
      <w:r>
        <w:rPr>
          <w:rFonts w:ascii="Times New Roman" w:eastAsia="Calibri" w:hAnsi="Times New Roman" w:cs="Times New Roman"/>
          <w:sz w:val="28"/>
          <w:szCs w:val="28"/>
        </w:rPr>
        <w:t>у (в том числе в СМИ) – 34 364;</w:t>
      </w:r>
    </w:p>
    <w:p w14:paraId="1F9F742E" w14:textId="77777777" w:rsidR="003F3F5E" w:rsidRPr="0009284D" w:rsidRDefault="003F3F5E" w:rsidP="00653DAE">
      <w:pPr>
        <w:spacing w:after="0" w:line="312" w:lineRule="auto"/>
        <w:ind w:firstLine="709"/>
        <w:jc w:val="both"/>
        <w:rPr>
          <w:rFonts w:ascii="Times New Roman" w:eastAsia="Calibri" w:hAnsi="Times New Roman" w:cs="Times New Roman"/>
          <w:sz w:val="28"/>
          <w:szCs w:val="28"/>
        </w:rPr>
      </w:pPr>
      <w:r w:rsidRPr="0009284D">
        <w:rPr>
          <w:rFonts w:ascii="Times New Roman" w:eastAsia="Calibri" w:hAnsi="Times New Roman" w:cs="Times New Roman"/>
          <w:sz w:val="28"/>
          <w:szCs w:val="28"/>
        </w:rPr>
        <w:t>- азартные</w:t>
      </w:r>
      <w:r>
        <w:rPr>
          <w:rFonts w:ascii="Times New Roman" w:eastAsia="Calibri" w:hAnsi="Times New Roman" w:cs="Times New Roman"/>
          <w:sz w:val="28"/>
          <w:szCs w:val="28"/>
        </w:rPr>
        <w:t xml:space="preserve"> игры – 61 624;</w:t>
      </w:r>
    </w:p>
    <w:p w14:paraId="4338D85C" w14:textId="77777777" w:rsidR="003F3F5E" w:rsidRPr="0009284D" w:rsidRDefault="003F3F5E" w:rsidP="00653DAE">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алкоголь – 6 588;</w:t>
      </w:r>
    </w:p>
    <w:p w14:paraId="76D11E7B" w14:textId="46369E92" w:rsidR="003F3F5E" w:rsidRPr="0009284D" w:rsidRDefault="003F3F5E" w:rsidP="00653DAE">
      <w:pPr>
        <w:spacing w:after="0" w:line="312" w:lineRule="auto"/>
        <w:ind w:firstLine="709"/>
        <w:jc w:val="both"/>
        <w:rPr>
          <w:rFonts w:ascii="Times New Roman" w:eastAsia="Calibri" w:hAnsi="Times New Roman" w:cs="Times New Roman"/>
          <w:sz w:val="28"/>
          <w:szCs w:val="28"/>
        </w:rPr>
      </w:pPr>
      <w:r w:rsidRPr="0009284D">
        <w:rPr>
          <w:rFonts w:ascii="Times New Roman" w:eastAsia="Calibri" w:hAnsi="Times New Roman" w:cs="Times New Roman"/>
          <w:sz w:val="28"/>
          <w:szCs w:val="28"/>
        </w:rPr>
        <w:t>- вовлечение несовершеннолетних в совершение пр</w:t>
      </w:r>
      <w:r>
        <w:rPr>
          <w:rFonts w:ascii="Times New Roman" w:eastAsia="Calibri" w:hAnsi="Times New Roman" w:cs="Times New Roman"/>
          <w:sz w:val="28"/>
          <w:szCs w:val="28"/>
        </w:rPr>
        <w:t xml:space="preserve">отивоправных действий – </w:t>
      </w:r>
      <w:r w:rsidR="00D50BC5">
        <w:rPr>
          <w:rFonts w:ascii="Times New Roman" w:eastAsia="Calibri" w:hAnsi="Times New Roman" w:cs="Times New Roman"/>
          <w:sz w:val="28"/>
          <w:szCs w:val="28"/>
        </w:rPr>
        <w:br/>
      </w:r>
      <w:r>
        <w:rPr>
          <w:rFonts w:ascii="Times New Roman" w:eastAsia="Calibri" w:hAnsi="Times New Roman" w:cs="Times New Roman"/>
          <w:sz w:val="28"/>
          <w:szCs w:val="28"/>
        </w:rPr>
        <w:t>11 921;</w:t>
      </w:r>
    </w:p>
    <w:p w14:paraId="4F8B4573" w14:textId="77777777" w:rsidR="003F3F5E" w:rsidRPr="0009284D" w:rsidRDefault="003F3F5E" w:rsidP="00653DAE">
      <w:pPr>
        <w:spacing w:after="0" w:line="312" w:lineRule="auto"/>
        <w:ind w:firstLine="709"/>
        <w:jc w:val="both"/>
        <w:rPr>
          <w:rFonts w:ascii="Times New Roman" w:eastAsia="Calibri" w:hAnsi="Times New Roman" w:cs="Times New Roman"/>
          <w:sz w:val="28"/>
          <w:szCs w:val="28"/>
        </w:rPr>
      </w:pPr>
      <w:r w:rsidRPr="0009284D">
        <w:rPr>
          <w:rFonts w:ascii="Times New Roman" w:eastAsia="Calibri" w:hAnsi="Times New Roman" w:cs="Times New Roman"/>
          <w:sz w:val="28"/>
          <w:szCs w:val="28"/>
        </w:rPr>
        <w:t>- информации о несовершеннолетнем, пострадавшем в результате противоправных действий (бездействий), распространение которой запрещено федеральными з</w:t>
      </w:r>
      <w:r>
        <w:rPr>
          <w:rFonts w:ascii="Times New Roman" w:eastAsia="Calibri" w:hAnsi="Times New Roman" w:cs="Times New Roman"/>
          <w:sz w:val="28"/>
          <w:szCs w:val="28"/>
        </w:rPr>
        <w:t>аконами (в том числе СМИ) – 80;</w:t>
      </w:r>
    </w:p>
    <w:p w14:paraId="2CF434DB" w14:textId="77777777" w:rsidR="003F3F5E" w:rsidRDefault="003F3F5E" w:rsidP="00653DAE">
      <w:pPr>
        <w:spacing w:after="0" w:line="312" w:lineRule="auto"/>
        <w:ind w:firstLine="709"/>
        <w:jc w:val="both"/>
        <w:rPr>
          <w:rFonts w:ascii="Times New Roman" w:eastAsia="Calibri" w:hAnsi="Times New Roman" w:cs="Times New Roman"/>
          <w:sz w:val="28"/>
          <w:szCs w:val="28"/>
        </w:rPr>
      </w:pPr>
      <w:r w:rsidRPr="0009284D">
        <w:rPr>
          <w:rFonts w:ascii="Times New Roman" w:eastAsia="Calibri" w:hAnsi="Times New Roman" w:cs="Times New Roman"/>
          <w:sz w:val="28"/>
          <w:szCs w:val="28"/>
        </w:rPr>
        <w:t>- л</w:t>
      </w:r>
      <w:r>
        <w:rPr>
          <w:rFonts w:ascii="Times New Roman" w:eastAsia="Calibri" w:hAnsi="Times New Roman" w:cs="Times New Roman"/>
          <w:sz w:val="28"/>
          <w:szCs w:val="28"/>
        </w:rPr>
        <w:t>екарственные препараты – 17</w:t>
      </w:r>
      <w:r w:rsidR="00176AB6">
        <w:rPr>
          <w:rFonts w:ascii="Times New Roman" w:eastAsia="Calibri" w:hAnsi="Times New Roman" w:cs="Times New Roman"/>
          <w:sz w:val="28"/>
          <w:szCs w:val="28"/>
        </w:rPr>
        <w:t> </w:t>
      </w:r>
      <w:r>
        <w:rPr>
          <w:rFonts w:ascii="Times New Roman" w:eastAsia="Calibri" w:hAnsi="Times New Roman" w:cs="Times New Roman"/>
          <w:sz w:val="28"/>
          <w:szCs w:val="28"/>
        </w:rPr>
        <w:t>451</w:t>
      </w:r>
      <w:r w:rsidR="00176AB6">
        <w:rPr>
          <w:rFonts w:ascii="Times New Roman" w:eastAsia="Calibri" w:hAnsi="Times New Roman" w:cs="Times New Roman"/>
          <w:sz w:val="28"/>
          <w:szCs w:val="28"/>
        </w:rPr>
        <w:t>.</w:t>
      </w:r>
    </w:p>
    <w:p w14:paraId="2F9C7480" w14:textId="77777777" w:rsidR="003F3F5E" w:rsidRPr="0009284D" w:rsidRDefault="00CD3E42" w:rsidP="00CD3E42">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 2021 г</w:t>
      </w:r>
      <w:r w:rsidR="00B562DE">
        <w:rPr>
          <w:rFonts w:ascii="Times New Roman" w:eastAsia="Calibri" w:hAnsi="Times New Roman" w:cs="Times New Roman"/>
          <w:sz w:val="28"/>
          <w:szCs w:val="28"/>
        </w:rPr>
        <w:t>.</w:t>
      </w:r>
      <w:r w:rsidR="003F3F5E" w:rsidRPr="0009284D">
        <w:rPr>
          <w:rFonts w:ascii="Times New Roman" w:eastAsia="Calibri" w:hAnsi="Times New Roman" w:cs="Times New Roman"/>
          <w:sz w:val="28"/>
          <w:szCs w:val="28"/>
        </w:rPr>
        <w:t xml:space="preserve"> на основании судебных решений в Единый реестр было включено более 186 тыс. указателей страниц сайтов в сети Интернет, содержащих вышеуказанный контент. В настоящее время запрещенная информация с них удалена</w:t>
      </w:r>
      <w:r>
        <w:rPr>
          <w:rFonts w:ascii="Times New Roman" w:eastAsia="Calibri" w:hAnsi="Times New Roman" w:cs="Times New Roman"/>
          <w:sz w:val="28"/>
          <w:szCs w:val="28"/>
        </w:rPr>
        <w:t xml:space="preserve"> либо доступ к ней ограничен. </w:t>
      </w:r>
      <w:r w:rsidR="003F3F5E">
        <w:rPr>
          <w:rFonts w:ascii="Times New Roman" w:eastAsia="Calibri" w:hAnsi="Times New Roman" w:cs="Times New Roman"/>
          <w:sz w:val="28"/>
          <w:szCs w:val="28"/>
        </w:rPr>
        <w:t>В</w:t>
      </w:r>
      <w:r w:rsidR="003F3F5E" w:rsidRPr="0009284D">
        <w:rPr>
          <w:rFonts w:ascii="Times New Roman" w:eastAsia="Calibri" w:hAnsi="Times New Roman" w:cs="Times New Roman"/>
          <w:sz w:val="28"/>
          <w:szCs w:val="28"/>
        </w:rPr>
        <w:t xml:space="preserve"> 2021 г</w:t>
      </w:r>
      <w:r w:rsidR="00B562DE">
        <w:rPr>
          <w:rFonts w:ascii="Times New Roman" w:eastAsia="Calibri" w:hAnsi="Times New Roman" w:cs="Times New Roman"/>
          <w:sz w:val="28"/>
          <w:szCs w:val="28"/>
        </w:rPr>
        <w:t>.</w:t>
      </w:r>
      <w:r w:rsidR="003F3F5E" w:rsidRPr="0009284D">
        <w:rPr>
          <w:rFonts w:ascii="Times New Roman" w:eastAsia="Calibri" w:hAnsi="Times New Roman" w:cs="Times New Roman"/>
          <w:sz w:val="28"/>
          <w:szCs w:val="28"/>
        </w:rPr>
        <w:t xml:space="preserve"> в ходе рабочего взаимодействия с администрациями интернет-ресурсов («</w:t>
      </w:r>
      <w:proofErr w:type="spellStart"/>
      <w:r w:rsidR="003F3F5E" w:rsidRPr="0009284D">
        <w:rPr>
          <w:rFonts w:ascii="Times New Roman" w:eastAsia="Calibri" w:hAnsi="Times New Roman" w:cs="Times New Roman"/>
          <w:sz w:val="28"/>
          <w:szCs w:val="28"/>
        </w:rPr>
        <w:t>ВКонтакте</w:t>
      </w:r>
      <w:proofErr w:type="spellEnd"/>
      <w:r w:rsidR="003F3F5E" w:rsidRPr="0009284D">
        <w:rPr>
          <w:rFonts w:ascii="Times New Roman" w:eastAsia="Calibri" w:hAnsi="Times New Roman" w:cs="Times New Roman"/>
          <w:sz w:val="28"/>
          <w:szCs w:val="28"/>
        </w:rPr>
        <w:t>», «Одноклассники», «</w:t>
      </w:r>
      <w:proofErr w:type="spellStart"/>
      <w:r w:rsidR="003F3F5E" w:rsidRPr="0009284D">
        <w:rPr>
          <w:rFonts w:ascii="Times New Roman" w:eastAsia="Calibri" w:hAnsi="Times New Roman" w:cs="Times New Roman"/>
          <w:sz w:val="28"/>
          <w:szCs w:val="28"/>
        </w:rPr>
        <w:t>Telegram</w:t>
      </w:r>
      <w:proofErr w:type="spellEnd"/>
      <w:r w:rsidR="003F3F5E" w:rsidRPr="0009284D">
        <w:rPr>
          <w:rFonts w:ascii="Times New Roman" w:eastAsia="Calibri" w:hAnsi="Times New Roman" w:cs="Times New Roman"/>
          <w:sz w:val="28"/>
          <w:szCs w:val="28"/>
        </w:rPr>
        <w:t>», «</w:t>
      </w:r>
      <w:proofErr w:type="spellStart"/>
      <w:r w:rsidR="003F3F5E" w:rsidRPr="0009284D">
        <w:rPr>
          <w:rFonts w:ascii="Times New Roman" w:eastAsia="Calibri" w:hAnsi="Times New Roman" w:cs="Times New Roman"/>
          <w:sz w:val="28"/>
          <w:szCs w:val="28"/>
        </w:rPr>
        <w:t>Tik</w:t>
      </w:r>
      <w:proofErr w:type="spellEnd"/>
      <w:r w:rsidR="003F3F5E" w:rsidRPr="0009284D">
        <w:rPr>
          <w:rFonts w:ascii="Times New Roman" w:eastAsia="Calibri" w:hAnsi="Times New Roman" w:cs="Times New Roman"/>
          <w:sz w:val="28"/>
          <w:szCs w:val="28"/>
        </w:rPr>
        <w:t xml:space="preserve"> </w:t>
      </w:r>
      <w:proofErr w:type="spellStart"/>
      <w:r w:rsidR="003F3F5E" w:rsidRPr="0009284D">
        <w:rPr>
          <w:rFonts w:ascii="Times New Roman" w:eastAsia="Calibri" w:hAnsi="Times New Roman" w:cs="Times New Roman"/>
          <w:sz w:val="28"/>
          <w:szCs w:val="28"/>
        </w:rPr>
        <w:t>Tok</w:t>
      </w:r>
      <w:proofErr w:type="spellEnd"/>
      <w:r w:rsidR="003F3F5E" w:rsidRPr="0009284D">
        <w:rPr>
          <w:rFonts w:ascii="Times New Roman" w:eastAsia="Calibri" w:hAnsi="Times New Roman" w:cs="Times New Roman"/>
          <w:sz w:val="28"/>
          <w:szCs w:val="28"/>
        </w:rPr>
        <w:t>») из социальных сетей</w:t>
      </w:r>
      <w:r w:rsidR="003F3F5E">
        <w:rPr>
          <w:rFonts w:ascii="Times New Roman" w:eastAsia="Calibri" w:hAnsi="Times New Roman" w:cs="Times New Roman"/>
          <w:sz w:val="28"/>
          <w:szCs w:val="28"/>
        </w:rPr>
        <w:t xml:space="preserve"> также</w:t>
      </w:r>
      <w:r w:rsidR="003F3F5E" w:rsidRPr="0009284D">
        <w:rPr>
          <w:rFonts w:ascii="Times New Roman" w:eastAsia="Calibri" w:hAnsi="Times New Roman" w:cs="Times New Roman"/>
          <w:sz w:val="28"/>
          <w:szCs w:val="28"/>
        </w:rPr>
        <w:t xml:space="preserve"> были удалены или заблокированы более </w:t>
      </w:r>
      <w:r>
        <w:rPr>
          <w:rFonts w:ascii="Times New Roman" w:eastAsia="Calibri" w:hAnsi="Times New Roman" w:cs="Times New Roman"/>
          <w:sz w:val="28"/>
          <w:szCs w:val="28"/>
        </w:rPr>
        <w:br/>
      </w:r>
      <w:r w:rsidR="003F3F5E" w:rsidRPr="0009284D">
        <w:rPr>
          <w:rFonts w:ascii="Times New Roman" w:eastAsia="Calibri" w:hAnsi="Times New Roman" w:cs="Times New Roman"/>
          <w:sz w:val="28"/>
          <w:szCs w:val="28"/>
        </w:rPr>
        <w:t xml:space="preserve">74 тыс. материалов с суицидальным контентом. </w:t>
      </w:r>
    </w:p>
    <w:p w14:paraId="202E1C28" w14:textId="77777777" w:rsidR="003F3F5E" w:rsidRPr="0009284D" w:rsidRDefault="003F3F5E" w:rsidP="00653DAE">
      <w:pPr>
        <w:spacing w:after="0" w:line="312" w:lineRule="auto"/>
        <w:ind w:firstLine="709"/>
        <w:jc w:val="both"/>
        <w:rPr>
          <w:rFonts w:ascii="Times New Roman" w:eastAsia="Calibri" w:hAnsi="Times New Roman" w:cs="Times New Roman"/>
          <w:sz w:val="28"/>
          <w:szCs w:val="28"/>
        </w:rPr>
      </w:pPr>
      <w:r w:rsidRPr="0009284D">
        <w:rPr>
          <w:rFonts w:ascii="Times New Roman" w:eastAsia="Calibri" w:hAnsi="Times New Roman" w:cs="Times New Roman"/>
          <w:sz w:val="28"/>
          <w:szCs w:val="28"/>
        </w:rPr>
        <w:t xml:space="preserve">Кроме того, одним из оснований ограничения доступа к </w:t>
      </w:r>
      <w:proofErr w:type="spellStart"/>
      <w:r w:rsidRPr="0009284D">
        <w:rPr>
          <w:rFonts w:ascii="Times New Roman" w:eastAsia="Calibri" w:hAnsi="Times New Roman" w:cs="Times New Roman"/>
          <w:sz w:val="28"/>
          <w:szCs w:val="28"/>
        </w:rPr>
        <w:t>интернет-ресурсам</w:t>
      </w:r>
      <w:proofErr w:type="spellEnd"/>
      <w:r w:rsidRPr="0009284D">
        <w:rPr>
          <w:rFonts w:ascii="Times New Roman" w:eastAsia="Calibri" w:hAnsi="Times New Roman" w:cs="Times New Roman"/>
          <w:sz w:val="28"/>
          <w:szCs w:val="28"/>
        </w:rPr>
        <w:t xml:space="preserve">, определенным статьей 15.1 Федерального закона </w:t>
      </w:r>
      <w:r w:rsidR="00CD3E42">
        <w:rPr>
          <w:rFonts w:ascii="Times New Roman" w:eastAsia="Calibri" w:hAnsi="Times New Roman" w:cs="Times New Roman"/>
          <w:sz w:val="28"/>
          <w:szCs w:val="28"/>
        </w:rPr>
        <w:t xml:space="preserve">от 27 июля 2006 г. </w:t>
      </w:r>
      <w:r w:rsidRPr="0009284D">
        <w:rPr>
          <w:rFonts w:ascii="Times New Roman" w:eastAsia="Calibri" w:hAnsi="Times New Roman" w:cs="Times New Roman"/>
          <w:sz w:val="28"/>
          <w:szCs w:val="28"/>
        </w:rPr>
        <w:t xml:space="preserve">№ 149-ФЗ, является распространение информации, признанной судом запрещенной к распространению на территории Российской Федерации (или экстремистской). </w:t>
      </w:r>
    </w:p>
    <w:p w14:paraId="23FAF337" w14:textId="77777777" w:rsidR="003F3F5E" w:rsidRPr="0009284D" w:rsidRDefault="003F3F5E" w:rsidP="00653DAE">
      <w:pPr>
        <w:spacing w:after="0" w:line="312" w:lineRule="auto"/>
        <w:ind w:firstLine="709"/>
        <w:jc w:val="both"/>
        <w:rPr>
          <w:rFonts w:ascii="Times New Roman" w:eastAsia="Calibri" w:hAnsi="Times New Roman" w:cs="Times New Roman"/>
          <w:sz w:val="28"/>
          <w:szCs w:val="28"/>
        </w:rPr>
      </w:pPr>
      <w:r w:rsidRPr="0009284D">
        <w:rPr>
          <w:rFonts w:ascii="Times New Roman" w:eastAsia="Calibri" w:hAnsi="Times New Roman" w:cs="Times New Roman"/>
          <w:sz w:val="28"/>
          <w:szCs w:val="28"/>
        </w:rPr>
        <w:t>Роскомнадзором совместно с М</w:t>
      </w:r>
      <w:r w:rsidR="00CD3E42">
        <w:rPr>
          <w:rFonts w:ascii="Times New Roman" w:eastAsia="Calibri" w:hAnsi="Times New Roman" w:cs="Times New Roman"/>
          <w:sz w:val="28"/>
          <w:szCs w:val="28"/>
        </w:rPr>
        <w:t xml:space="preserve">ВД России и ФСБ России, а также </w:t>
      </w:r>
      <w:r w:rsidRPr="0009284D">
        <w:rPr>
          <w:rFonts w:ascii="Times New Roman" w:eastAsia="Calibri" w:hAnsi="Times New Roman" w:cs="Times New Roman"/>
          <w:sz w:val="28"/>
          <w:szCs w:val="28"/>
        </w:rPr>
        <w:t>органами прокуратуры налажено постоянн</w:t>
      </w:r>
      <w:r w:rsidR="00CD3E42">
        <w:rPr>
          <w:rFonts w:ascii="Times New Roman" w:eastAsia="Calibri" w:hAnsi="Times New Roman" w:cs="Times New Roman"/>
          <w:sz w:val="28"/>
          <w:szCs w:val="28"/>
        </w:rPr>
        <w:t>ое взаимодействие, в том числе в электронном виде</w:t>
      </w:r>
      <w:r w:rsidRPr="0009284D">
        <w:rPr>
          <w:rFonts w:ascii="Times New Roman" w:eastAsia="Calibri" w:hAnsi="Times New Roman" w:cs="Times New Roman"/>
          <w:sz w:val="28"/>
          <w:szCs w:val="28"/>
        </w:rPr>
        <w:t>, в рамках которого осуществляется внесение в Единый реестр интернет-сайтов, содерж</w:t>
      </w:r>
      <w:r w:rsidR="00CD3E42">
        <w:rPr>
          <w:rFonts w:ascii="Times New Roman" w:eastAsia="Calibri" w:hAnsi="Times New Roman" w:cs="Times New Roman"/>
          <w:sz w:val="28"/>
          <w:szCs w:val="28"/>
        </w:rPr>
        <w:t xml:space="preserve">ащих информационные материалы, </w:t>
      </w:r>
      <w:r w:rsidRPr="0009284D">
        <w:rPr>
          <w:rFonts w:ascii="Times New Roman" w:eastAsia="Calibri" w:hAnsi="Times New Roman" w:cs="Times New Roman"/>
          <w:sz w:val="28"/>
          <w:szCs w:val="28"/>
        </w:rPr>
        <w:t xml:space="preserve">в установленном порядке признанные запрещенными к распространению на территории Российской Федерации или экстремистскими. </w:t>
      </w:r>
    </w:p>
    <w:p w14:paraId="6D513FCC" w14:textId="77777777" w:rsidR="003F3F5E" w:rsidRDefault="003F3F5E" w:rsidP="00653DAE">
      <w:pPr>
        <w:spacing w:after="0" w:line="312" w:lineRule="auto"/>
        <w:ind w:firstLine="709"/>
        <w:jc w:val="both"/>
        <w:rPr>
          <w:rFonts w:ascii="Times New Roman" w:eastAsia="Calibri" w:hAnsi="Times New Roman" w:cs="Times New Roman"/>
          <w:sz w:val="28"/>
          <w:szCs w:val="28"/>
        </w:rPr>
      </w:pPr>
      <w:r w:rsidRPr="0009284D">
        <w:rPr>
          <w:rFonts w:ascii="Times New Roman" w:eastAsia="Calibri" w:hAnsi="Times New Roman" w:cs="Times New Roman"/>
          <w:sz w:val="28"/>
          <w:szCs w:val="28"/>
        </w:rPr>
        <w:t>В общей сложности за 2021 г</w:t>
      </w:r>
      <w:r w:rsidR="00B562DE">
        <w:rPr>
          <w:rFonts w:ascii="Times New Roman" w:eastAsia="Calibri" w:hAnsi="Times New Roman" w:cs="Times New Roman"/>
          <w:sz w:val="28"/>
          <w:szCs w:val="28"/>
        </w:rPr>
        <w:t>.</w:t>
      </w:r>
      <w:r w:rsidRPr="0009284D">
        <w:rPr>
          <w:rFonts w:ascii="Times New Roman" w:eastAsia="Calibri" w:hAnsi="Times New Roman" w:cs="Times New Roman"/>
          <w:sz w:val="28"/>
          <w:szCs w:val="28"/>
        </w:rPr>
        <w:t xml:space="preserve"> в соответствии со статьей 15.1 Федерального </w:t>
      </w:r>
      <w:r w:rsidR="00CF45DF" w:rsidRPr="0009284D">
        <w:rPr>
          <w:rFonts w:ascii="Times New Roman" w:eastAsia="Calibri" w:hAnsi="Times New Roman" w:cs="Times New Roman"/>
          <w:sz w:val="28"/>
          <w:szCs w:val="28"/>
        </w:rPr>
        <w:t>закона</w:t>
      </w:r>
      <w:r w:rsidR="00CF45DF">
        <w:rPr>
          <w:rFonts w:ascii="Times New Roman" w:eastAsia="Calibri" w:hAnsi="Times New Roman" w:cs="Times New Roman"/>
          <w:sz w:val="28"/>
          <w:szCs w:val="28"/>
        </w:rPr>
        <w:t xml:space="preserve"> от 27 июля 2006 г. </w:t>
      </w:r>
      <w:r w:rsidRPr="0009284D">
        <w:rPr>
          <w:rFonts w:ascii="Times New Roman" w:eastAsia="Calibri" w:hAnsi="Times New Roman" w:cs="Times New Roman"/>
          <w:sz w:val="28"/>
          <w:szCs w:val="28"/>
        </w:rPr>
        <w:t>№ 149-ФЗ Роскомнадзором в Единый реестр на основании судебных решений о признании информационных материалов запрещенными к распространению в Российской Федерации (или экстремистскими), писем органов МВД России, ФСБ России и прокуратуры о распространении в сети Интернет копий экстремистских материалов</w:t>
      </w:r>
      <w:r>
        <w:rPr>
          <w:rFonts w:ascii="Times New Roman" w:eastAsia="Calibri" w:hAnsi="Times New Roman" w:cs="Times New Roman"/>
          <w:sz w:val="28"/>
          <w:szCs w:val="28"/>
        </w:rPr>
        <w:t xml:space="preserve"> было</w:t>
      </w:r>
      <w:r w:rsidRPr="0009284D">
        <w:rPr>
          <w:rFonts w:ascii="Times New Roman" w:eastAsia="Calibri" w:hAnsi="Times New Roman" w:cs="Times New Roman"/>
          <w:sz w:val="28"/>
          <w:szCs w:val="28"/>
        </w:rPr>
        <w:t xml:space="preserve"> внесено 36</w:t>
      </w:r>
      <w:r>
        <w:rPr>
          <w:rFonts w:ascii="Times New Roman" w:eastAsia="Calibri" w:hAnsi="Times New Roman" w:cs="Times New Roman"/>
          <w:sz w:val="28"/>
          <w:szCs w:val="28"/>
        </w:rPr>
        <w:t> </w:t>
      </w:r>
      <w:r w:rsidRPr="0009284D">
        <w:rPr>
          <w:rFonts w:ascii="Times New Roman" w:eastAsia="Calibri" w:hAnsi="Times New Roman" w:cs="Times New Roman"/>
          <w:sz w:val="28"/>
          <w:szCs w:val="28"/>
        </w:rPr>
        <w:t>833</w:t>
      </w:r>
      <w:r>
        <w:rPr>
          <w:rFonts w:ascii="Times New Roman" w:eastAsia="Calibri" w:hAnsi="Times New Roman" w:cs="Times New Roman"/>
          <w:sz w:val="28"/>
          <w:szCs w:val="28"/>
        </w:rPr>
        <w:t xml:space="preserve"> тыс.</w:t>
      </w:r>
      <w:r w:rsidR="00D30C43">
        <w:rPr>
          <w:rFonts w:ascii="Times New Roman" w:eastAsia="Calibri" w:hAnsi="Times New Roman" w:cs="Times New Roman"/>
          <w:sz w:val="28"/>
          <w:szCs w:val="28"/>
        </w:rPr>
        <w:t xml:space="preserve"> интернет-страниц</w:t>
      </w:r>
      <w:r w:rsidRPr="0009284D">
        <w:rPr>
          <w:rFonts w:ascii="Times New Roman" w:eastAsia="Calibri" w:hAnsi="Times New Roman" w:cs="Times New Roman"/>
          <w:sz w:val="28"/>
          <w:szCs w:val="28"/>
        </w:rPr>
        <w:t xml:space="preserve"> ил</w:t>
      </w:r>
      <w:r w:rsidR="00CF45DF">
        <w:rPr>
          <w:rFonts w:ascii="Times New Roman" w:eastAsia="Calibri" w:hAnsi="Times New Roman" w:cs="Times New Roman"/>
          <w:sz w:val="28"/>
          <w:szCs w:val="28"/>
        </w:rPr>
        <w:t>и доменных имен интернет-сайтов</w:t>
      </w:r>
      <w:r w:rsidRPr="0009284D">
        <w:rPr>
          <w:rFonts w:ascii="Times New Roman" w:eastAsia="Calibri" w:hAnsi="Times New Roman" w:cs="Times New Roman"/>
          <w:sz w:val="28"/>
          <w:szCs w:val="28"/>
        </w:rPr>
        <w:t xml:space="preserve">, содержащих экстремистские материалы. </w:t>
      </w:r>
      <w:r w:rsidR="00C6122C">
        <w:rPr>
          <w:rFonts w:ascii="Times New Roman" w:eastAsia="Calibri" w:hAnsi="Times New Roman" w:cs="Times New Roman"/>
          <w:sz w:val="28"/>
          <w:szCs w:val="28"/>
        </w:rPr>
        <w:br/>
      </w:r>
      <w:r w:rsidRPr="0009284D">
        <w:rPr>
          <w:rFonts w:ascii="Times New Roman" w:eastAsia="Calibri" w:hAnsi="Times New Roman" w:cs="Times New Roman"/>
          <w:sz w:val="28"/>
          <w:szCs w:val="28"/>
        </w:rPr>
        <w:t>В настоящее время доступ к да</w:t>
      </w:r>
      <w:r w:rsidR="00CF45DF">
        <w:rPr>
          <w:rFonts w:ascii="Times New Roman" w:eastAsia="Calibri" w:hAnsi="Times New Roman" w:cs="Times New Roman"/>
          <w:sz w:val="28"/>
          <w:szCs w:val="28"/>
        </w:rPr>
        <w:t>нным интернет-страницам или интернет-сайтам</w:t>
      </w:r>
      <w:r w:rsidRPr="0009284D">
        <w:rPr>
          <w:rFonts w:ascii="Times New Roman" w:eastAsia="Calibri" w:hAnsi="Times New Roman" w:cs="Times New Roman"/>
          <w:sz w:val="28"/>
          <w:szCs w:val="28"/>
        </w:rPr>
        <w:t xml:space="preserve"> ограничен на территории Российской Федерации, или запрещенная (экстремистская) информация с них удалена.</w:t>
      </w:r>
    </w:p>
    <w:p w14:paraId="61096580" w14:textId="77777777" w:rsidR="003F3F5E" w:rsidRDefault="003F3F5E" w:rsidP="00653DAE">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99654C">
        <w:rPr>
          <w:rFonts w:ascii="Times New Roman" w:eastAsia="Calibri" w:hAnsi="Times New Roman" w:cs="Times New Roman"/>
          <w:sz w:val="28"/>
          <w:szCs w:val="28"/>
        </w:rPr>
        <w:t xml:space="preserve"> рамках мероприятий, направленных на обеспечение информационной безопасности несовершеннолетних, </w:t>
      </w:r>
      <w:r>
        <w:rPr>
          <w:rFonts w:ascii="Times New Roman" w:eastAsia="Calibri" w:hAnsi="Times New Roman" w:cs="Times New Roman"/>
          <w:sz w:val="28"/>
          <w:szCs w:val="28"/>
        </w:rPr>
        <w:t xml:space="preserve">подведомственной </w:t>
      </w:r>
      <w:proofErr w:type="spellStart"/>
      <w:r>
        <w:rPr>
          <w:rFonts w:ascii="Times New Roman" w:eastAsia="Calibri" w:hAnsi="Times New Roman" w:cs="Times New Roman"/>
          <w:sz w:val="28"/>
          <w:szCs w:val="28"/>
        </w:rPr>
        <w:t>Росмолодежи</w:t>
      </w:r>
      <w:proofErr w:type="spellEnd"/>
      <w:r>
        <w:rPr>
          <w:rFonts w:ascii="Times New Roman" w:eastAsia="Calibri" w:hAnsi="Times New Roman" w:cs="Times New Roman"/>
          <w:sz w:val="28"/>
          <w:szCs w:val="28"/>
        </w:rPr>
        <w:t xml:space="preserve"> АНО «</w:t>
      </w:r>
      <w:r w:rsidR="00CF45DF">
        <w:rPr>
          <w:rFonts w:ascii="Times New Roman" w:eastAsia="Calibri" w:hAnsi="Times New Roman" w:cs="Times New Roman"/>
          <w:sz w:val="28"/>
          <w:szCs w:val="28"/>
        </w:rPr>
        <w:t>Центр изучения и сетевого мониторинга молодежной среды</w:t>
      </w:r>
      <w:r>
        <w:rPr>
          <w:rFonts w:ascii="Times New Roman" w:eastAsia="Calibri" w:hAnsi="Times New Roman" w:cs="Times New Roman"/>
          <w:sz w:val="28"/>
          <w:szCs w:val="28"/>
        </w:rPr>
        <w:t>»</w:t>
      </w:r>
      <w:r w:rsidR="00CF45DF">
        <w:rPr>
          <w:rFonts w:ascii="Times New Roman" w:eastAsia="Calibri" w:hAnsi="Times New Roman" w:cs="Times New Roman"/>
          <w:sz w:val="28"/>
          <w:szCs w:val="28"/>
        </w:rPr>
        <w:t xml:space="preserve"> (далее – ЦИСМ)</w:t>
      </w:r>
      <w:r w:rsidRPr="0099654C">
        <w:rPr>
          <w:rFonts w:ascii="Times New Roman" w:eastAsia="Calibri" w:hAnsi="Times New Roman" w:cs="Times New Roman"/>
          <w:sz w:val="28"/>
          <w:szCs w:val="28"/>
        </w:rPr>
        <w:t xml:space="preserve"> проводится мониторинг сети Интернет с целью выявления информации, склоняющей детей к совершению действий, представляющих угрозу их жизни и здоровью, а т</w:t>
      </w:r>
      <w:r w:rsidR="00CF45DF">
        <w:rPr>
          <w:rFonts w:ascii="Times New Roman" w:eastAsia="Calibri" w:hAnsi="Times New Roman" w:cs="Times New Roman"/>
          <w:sz w:val="28"/>
          <w:szCs w:val="28"/>
        </w:rPr>
        <w:t>акже жизни и здоровью иных лиц.</w:t>
      </w:r>
    </w:p>
    <w:p w14:paraId="4087CB06" w14:textId="77777777" w:rsidR="00CF45DF" w:rsidRDefault="00CF45DF" w:rsidP="00653DAE">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 состоянию на 31 декабря 2021 г</w:t>
      </w:r>
      <w:r w:rsidR="00C6122C">
        <w:rPr>
          <w:rFonts w:ascii="Times New Roman" w:eastAsia="Calibri" w:hAnsi="Times New Roman" w:cs="Times New Roman"/>
          <w:sz w:val="28"/>
          <w:szCs w:val="28"/>
        </w:rPr>
        <w:t>.</w:t>
      </w:r>
      <w:r>
        <w:rPr>
          <w:rFonts w:ascii="Times New Roman" w:eastAsia="Calibri" w:hAnsi="Times New Roman" w:cs="Times New Roman"/>
          <w:sz w:val="28"/>
          <w:szCs w:val="28"/>
        </w:rPr>
        <w:t xml:space="preserve"> на ежедневном мониторинге сетевой активности (изменений) ЦИСМ находились 496 млн профилей, из которых 864 471 – деструктивные сетевые профили пользователей, проявляющих активность по направлениям: суицидальное поведение – 123 707; </w:t>
      </w:r>
      <w:proofErr w:type="spellStart"/>
      <w:r>
        <w:rPr>
          <w:rFonts w:ascii="Times New Roman" w:eastAsia="Calibri" w:hAnsi="Times New Roman" w:cs="Times New Roman"/>
          <w:sz w:val="28"/>
          <w:szCs w:val="28"/>
        </w:rPr>
        <w:t>скулшутинг</w:t>
      </w:r>
      <w:proofErr w:type="spellEnd"/>
      <w:r>
        <w:rPr>
          <w:rFonts w:ascii="Times New Roman" w:eastAsia="Calibri" w:hAnsi="Times New Roman" w:cs="Times New Roman"/>
          <w:sz w:val="28"/>
          <w:szCs w:val="28"/>
        </w:rPr>
        <w:t xml:space="preserve"> – 3 626; </w:t>
      </w:r>
      <w:proofErr w:type="spellStart"/>
      <w:r>
        <w:rPr>
          <w:rFonts w:ascii="Times New Roman" w:eastAsia="Calibri" w:hAnsi="Times New Roman" w:cs="Times New Roman"/>
          <w:sz w:val="28"/>
          <w:szCs w:val="28"/>
        </w:rPr>
        <w:t>ультрадвижения</w:t>
      </w:r>
      <w:proofErr w:type="spellEnd"/>
      <w:r>
        <w:rPr>
          <w:rFonts w:ascii="Times New Roman" w:eastAsia="Calibri" w:hAnsi="Times New Roman" w:cs="Times New Roman"/>
          <w:sz w:val="28"/>
          <w:szCs w:val="28"/>
        </w:rPr>
        <w:t xml:space="preserve"> – 433 042; подражание криминальному поведению</w:t>
      </w:r>
      <w:r w:rsidR="00720AAB">
        <w:rPr>
          <w:rFonts w:ascii="Times New Roman" w:eastAsia="Calibri" w:hAnsi="Times New Roman" w:cs="Times New Roman"/>
          <w:sz w:val="28"/>
          <w:szCs w:val="28"/>
        </w:rPr>
        <w:t xml:space="preserve"> – 175 571; анархизм – 128 345.</w:t>
      </w:r>
    </w:p>
    <w:p w14:paraId="348471C2" w14:textId="77777777" w:rsidR="00CF45DF" w:rsidRDefault="00CF45DF" w:rsidP="00653DAE">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обнаружении информации о намерении совершения противоправных или антиобщественных действий ЦИСМ передавал данную информацию правоохранительным органам и иным заинтересованным ведомствам. В 2021 г</w:t>
      </w:r>
      <w:r w:rsidR="00B562DE">
        <w:rPr>
          <w:rFonts w:ascii="Times New Roman" w:eastAsia="Calibri" w:hAnsi="Times New Roman" w:cs="Times New Roman"/>
          <w:sz w:val="28"/>
          <w:szCs w:val="28"/>
        </w:rPr>
        <w:t>.</w:t>
      </w:r>
      <w:r>
        <w:rPr>
          <w:rFonts w:ascii="Times New Roman" w:eastAsia="Calibri" w:hAnsi="Times New Roman" w:cs="Times New Roman"/>
          <w:sz w:val="28"/>
          <w:szCs w:val="28"/>
        </w:rPr>
        <w:t xml:space="preserve"> ЦИСМ была выявлена и передана информация о 2 181 аккаунтах, представляющих наибольшую опасность. По результатам проверки правоохранительными органами с 201 несовершеннолетним проведена профилактическая беседа, по 342 случаям информация направлена в профильные региональные подразделения по делам несовершеннолетних, с 996 владельцами аккаунтов организована профилактическая работа.</w:t>
      </w:r>
    </w:p>
    <w:p w14:paraId="580CEB61" w14:textId="77777777" w:rsidR="003F3F5E" w:rsidRDefault="003F3F5E" w:rsidP="00653DAE">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течение 2021 г</w:t>
      </w:r>
      <w:r w:rsidR="00B562DE">
        <w:rPr>
          <w:rFonts w:ascii="Times New Roman" w:eastAsia="Calibri" w:hAnsi="Times New Roman" w:cs="Times New Roman"/>
          <w:sz w:val="28"/>
          <w:szCs w:val="28"/>
        </w:rPr>
        <w:t>.</w:t>
      </w:r>
      <w:r w:rsidRPr="0099654C">
        <w:rPr>
          <w:rFonts w:ascii="Times New Roman" w:eastAsia="Calibri" w:hAnsi="Times New Roman" w:cs="Times New Roman"/>
          <w:sz w:val="28"/>
          <w:szCs w:val="28"/>
        </w:rPr>
        <w:t xml:space="preserve"> на основании проведенного </w:t>
      </w:r>
      <w:r w:rsidR="00F56BFF">
        <w:rPr>
          <w:rFonts w:ascii="Times New Roman" w:eastAsia="Calibri" w:hAnsi="Times New Roman" w:cs="Times New Roman"/>
          <w:sz w:val="28"/>
          <w:szCs w:val="28"/>
        </w:rPr>
        <w:t xml:space="preserve">ЦИСМ </w:t>
      </w:r>
      <w:r w:rsidRPr="0099654C">
        <w:rPr>
          <w:rFonts w:ascii="Times New Roman" w:eastAsia="Calibri" w:hAnsi="Times New Roman" w:cs="Times New Roman"/>
          <w:sz w:val="28"/>
          <w:szCs w:val="28"/>
        </w:rPr>
        <w:t>анализа контента было выявлено и передано</w:t>
      </w:r>
      <w:r w:rsidR="00F56BFF">
        <w:rPr>
          <w:rFonts w:ascii="Times New Roman" w:eastAsia="Calibri" w:hAnsi="Times New Roman" w:cs="Times New Roman"/>
          <w:sz w:val="28"/>
          <w:szCs w:val="28"/>
        </w:rPr>
        <w:t xml:space="preserve"> Росмолодежью</w:t>
      </w:r>
      <w:r w:rsidRPr="0099654C">
        <w:rPr>
          <w:rFonts w:ascii="Times New Roman" w:eastAsia="Calibri" w:hAnsi="Times New Roman" w:cs="Times New Roman"/>
          <w:sz w:val="28"/>
          <w:szCs w:val="28"/>
        </w:rPr>
        <w:t xml:space="preserve"> для блокировки 11 405 информационных ресурсов, размещающих деструктивный контент по следующим тематикам:</w:t>
      </w:r>
    </w:p>
    <w:p w14:paraId="02AEC228" w14:textId="77777777" w:rsidR="003F3F5E" w:rsidRDefault="003F3F5E" w:rsidP="00653DAE">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9654C">
        <w:rPr>
          <w:rFonts w:ascii="Times New Roman" w:eastAsia="Calibri" w:hAnsi="Times New Roman" w:cs="Times New Roman"/>
          <w:sz w:val="28"/>
          <w:szCs w:val="28"/>
        </w:rPr>
        <w:t xml:space="preserve"> рискованное поведение (</w:t>
      </w:r>
      <w:proofErr w:type="spellStart"/>
      <w:r w:rsidRPr="0099654C">
        <w:rPr>
          <w:rFonts w:ascii="Times New Roman" w:eastAsia="Calibri" w:hAnsi="Times New Roman" w:cs="Times New Roman"/>
          <w:sz w:val="28"/>
          <w:szCs w:val="28"/>
        </w:rPr>
        <w:t>зацепинг</w:t>
      </w:r>
      <w:proofErr w:type="spellEnd"/>
      <w:r w:rsidRPr="0099654C">
        <w:rPr>
          <w:rFonts w:ascii="Times New Roman" w:eastAsia="Calibri" w:hAnsi="Times New Roman" w:cs="Times New Roman"/>
          <w:sz w:val="28"/>
          <w:szCs w:val="28"/>
        </w:rPr>
        <w:t xml:space="preserve">, </w:t>
      </w:r>
      <w:proofErr w:type="spellStart"/>
      <w:r w:rsidRPr="0099654C">
        <w:rPr>
          <w:rFonts w:ascii="Times New Roman" w:eastAsia="Calibri" w:hAnsi="Times New Roman" w:cs="Times New Roman"/>
          <w:sz w:val="28"/>
          <w:szCs w:val="28"/>
        </w:rPr>
        <w:t>руфинг</w:t>
      </w:r>
      <w:proofErr w:type="spellEnd"/>
      <w:r w:rsidRPr="0099654C">
        <w:rPr>
          <w:rFonts w:ascii="Times New Roman" w:eastAsia="Calibri" w:hAnsi="Times New Roman" w:cs="Times New Roman"/>
          <w:sz w:val="28"/>
          <w:szCs w:val="28"/>
        </w:rPr>
        <w:t xml:space="preserve">) </w:t>
      </w:r>
      <w:r w:rsidR="00193A2C">
        <w:rPr>
          <w:rFonts w:ascii="Times New Roman" w:eastAsia="Calibri" w:hAnsi="Times New Roman" w:cs="Times New Roman"/>
          <w:sz w:val="28"/>
          <w:szCs w:val="28"/>
        </w:rPr>
        <w:t>–</w:t>
      </w:r>
      <w:r w:rsidRPr="0099654C">
        <w:rPr>
          <w:rFonts w:ascii="Times New Roman" w:eastAsia="Calibri" w:hAnsi="Times New Roman" w:cs="Times New Roman"/>
          <w:sz w:val="28"/>
          <w:szCs w:val="28"/>
        </w:rPr>
        <w:t xml:space="preserve"> 4 409; </w:t>
      </w:r>
    </w:p>
    <w:p w14:paraId="055B2AD0" w14:textId="77777777" w:rsidR="003F3F5E" w:rsidRDefault="003F3F5E" w:rsidP="00653DAE">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9654C">
        <w:rPr>
          <w:rFonts w:ascii="Times New Roman" w:eastAsia="Calibri" w:hAnsi="Times New Roman" w:cs="Times New Roman"/>
          <w:sz w:val="28"/>
          <w:szCs w:val="28"/>
        </w:rPr>
        <w:t xml:space="preserve"> пропаганда криминальных субкультур </w:t>
      </w:r>
      <w:r w:rsidR="00193A2C">
        <w:rPr>
          <w:rFonts w:ascii="Times New Roman" w:eastAsia="Calibri" w:hAnsi="Times New Roman" w:cs="Times New Roman"/>
          <w:sz w:val="28"/>
          <w:szCs w:val="28"/>
        </w:rPr>
        <w:t>–</w:t>
      </w:r>
      <w:r w:rsidRPr="0099654C">
        <w:rPr>
          <w:rFonts w:ascii="Times New Roman" w:eastAsia="Calibri" w:hAnsi="Times New Roman" w:cs="Times New Roman"/>
          <w:sz w:val="28"/>
          <w:szCs w:val="28"/>
        </w:rPr>
        <w:t xml:space="preserve"> 2 749; </w:t>
      </w:r>
    </w:p>
    <w:p w14:paraId="15861C79" w14:textId="77777777" w:rsidR="003F3F5E" w:rsidRDefault="003F3F5E" w:rsidP="00653DAE">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9654C">
        <w:rPr>
          <w:rFonts w:ascii="Times New Roman" w:eastAsia="Calibri" w:hAnsi="Times New Roman" w:cs="Times New Roman"/>
          <w:sz w:val="28"/>
          <w:szCs w:val="28"/>
        </w:rPr>
        <w:t xml:space="preserve"> </w:t>
      </w:r>
      <w:proofErr w:type="spellStart"/>
      <w:r w:rsidRPr="0099654C">
        <w:rPr>
          <w:rFonts w:ascii="Times New Roman" w:eastAsia="Calibri" w:hAnsi="Times New Roman" w:cs="Times New Roman"/>
          <w:sz w:val="28"/>
          <w:szCs w:val="28"/>
        </w:rPr>
        <w:t>скулшутинг</w:t>
      </w:r>
      <w:proofErr w:type="spellEnd"/>
      <w:r w:rsidRPr="0099654C">
        <w:rPr>
          <w:rFonts w:ascii="Times New Roman" w:eastAsia="Calibri" w:hAnsi="Times New Roman" w:cs="Times New Roman"/>
          <w:sz w:val="28"/>
          <w:szCs w:val="28"/>
        </w:rPr>
        <w:t xml:space="preserve"> </w:t>
      </w:r>
      <w:r w:rsidR="00193A2C">
        <w:rPr>
          <w:rFonts w:ascii="Times New Roman" w:eastAsia="Calibri" w:hAnsi="Times New Roman" w:cs="Times New Roman"/>
          <w:sz w:val="28"/>
          <w:szCs w:val="28"/>
        </w:rPr>
        <w:t>–</w:t>
      </w:r>
      <w:r w:rsidRPr="0099654C">
        <w:rPr>
          <w:rFonts w:ascii="Times New Roman" w:eastAsia="Calibri" w:hAnsi="Times New Roman" w:cs="Times New Roman"/>
          <w:sz w:val="28"/>
          <w:szCs w:val="28"/>
        </w:rPr>
        <w:t xml:space="preserve"> 1 994; </w:t>
      </w:r>
    </w:p>
    <w:p w14:paraId="54FF0D30" w14:textId="77777777" w:rsidR="003F3F5E" w:rsidRDefault="003F3F5E" w:rsidP="00653DAE">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9654C">
        <w:rPr>
          <w:rFonts w:ascii="Times New Roman" w:eastAsia="Calibri" w:hAnsi="Times New Roman" w:cs="Times New Roman"/>
          <w:sz w:val="28"/>
          <w:szCs w:val="28"/>
        </w:rPr>
        <w:t xml:space="preserve"> массовые драки </w:t>
      </w:r>
      <w:r w:rsidR="00193A2C">
        <w:rPr>
          <w:rFonts w:ascii="Times New Roman" w:eastAsia="Calibri" w:hAnsi="Times New Roman" w:cs="Times New Roman"/>
          <w:sz w:val="28"/>
          <w:szCs w:val="28"/>
        </w:rPr>
        <w:t>–</w:t>
      </w:r>
      <w:r w:rsidRPr="0099654C">
        <w:rPr>
          <w:rFonts w:ascii="Times New Roman" w:eastAsia="Calibri" w:hAnsi="Times New Roman" w:cs="Times New Roman"/>
          <w:sz w:val="28"/>
          <w:szCs w:val="28"/>
        </w:rPr>
        <w:t xml:space="preserve"> 1 343; </w:t>
      </w:r>
    </w:p>
    <w:p w14:paraId="57A9C0B7" w14:textId="77777777" w:rsidR="003F3F5E" w:rsidRDefault="003F3F5E" w:rsidP="00653DAE">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9654C">
        <w:rPr>
          <w:rFonts w:ascii="Times New Roman" w:eastAsia="Calibri" w:hAnsi="Times New Roman" w:cs="Times New Roman"/>
          <w:sz w:val="28"/>
          <w:szCs w:val="28"/>
        </w:rPr>
        <w:t xml:space="preserve"> материалы, трансляция которых вызывает негативные эмоции </w:t>
      </w:r>
      <w:r w:rsidR="00193A2C">
        <w:rPr>
          <w:rFonts w:ascii="Times New Roman" w:eastAsia="Calibri" w:hAnsi="Times New Roman" w:cs="Times New Roman"/>
          <w:sz w:val="28"/>
          <w:szCs w:val="28"/>
        </w:rPr>
        <w:br/>
      </w:r>
      <w:r w:rsidRPr="0099654C">
        <w:rPr>
          <w:rFonts w:ascii="Times New Roman" w:eastAsia="Calibri" w:hAnsi="Times New Roman" w:cs="Times New Roman"/>
          <w:sz w:val="28"/>
          <w:szCs w:val="28"/>
        </w:rPr>
        <w:t xml:space="preserve">(шок-контент) </w:t>
      </w:r>
      <w:r w:rsidR="00193A2C">
        <w:rPr>
          <w:rFonts w:ascii="Times New Roman" w:eastAsia="Calibri" w:hAnsi="Times New Roman" w:cs="Times New Roman"/>
          <w:sz w:val="28"/>
          <w:szCs w:val="28"/>
        </w:rPr>
        <w:t>–</w:t>
      </w:r>
      <w:r w:rsidRPr="0099654C">
        <w:rPr>
          <w:rFonts w:ascii="Times New Roman" w:eastAsia="Calibri" w:hAnsi="Times New Roman" w:cs="Times New Roman"/>
          <w:sz w:val="28"/>
          <w:szCs w:val="28"/>
        </w:rPr>
        <w:t xml:space="preserve"> 365; </w:t>
      </w:r>
    </w:p>
    <w:p w14:paraId="26531F92" w14:textId="77777777" w:rsidR="003F3F5E" w:rsidRDefault="003F3F5E" w:rsidP="00653DAE">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9654C">
        <w:rPr>
          <w:rFonts w:ascii="Times New Roman" w:eastAsia="Calibri" w:hAnsi="Times New Roman" w:cs="Times New Roman"/>
          <w:sz w:val="28"/>
          <w:szCs w:val="28"/>
        </w:rPr>
        <w:t xml:space="preserve"> распространение/потребление запрещенных веществ (</w:t>
      </w:r>
      <w:proofErr w:type="spellStart"/>
      <w:r w:rsidRPr="0099654C">
        <w:rPr>
          <w:rFonts w:ascii="Times New Roman" w:eastAsia="Calibri" w:hAnsi="Times New Roman" w:cs="Times New Roman"/>
          <w:sz w:val="28"/>
          <w:szCs w:val="28"/>
        </w:rPr>
        <w:t>сниффинг</w:t>
      </w:r>
      <w:proofErr w:type="spellEnd"/>
      <w:r w:rsidRPr="0099654C">
        <w:rPr>
          <w:rFonts w:ascii="Times New Roman" w:eastAsia="Calibri" w:hAnsi="Times New Roman" w:cs="Times New Roman"/>
          <w:sz w:val="28"/>
          <w:szCs w:val="28"/>
        </w:rPr>
        <w:t>)</w:t>
      </w:r>
      <w:r w:rsidR="00193A2C">
        <w:rPr>
          <w:rFonts w:ascii="Times New Roman" w:eastAsia="Calibri" w:hAnsi="Times New Roman" w:cs="Times New Roman"/>
          <w:sz w:val="28"/>
          <w:szCs w:val="28"/>
        </w:rPr>
        <w:t xml:space="preserve"> –</w:t>
      </w:r>
      <w:r w:rsidRPr="0099654C">
        <w:rPr>
          <w:rFonts w:ascii="Times New Roman" w:eastAsia="Calibri" w:hAnsi="Times New Roman" w:cs="Times New Roman"/>
          <w:sz w:val="28"/>
          <w:szCs w:val="28"/>
        </w:rPr>
        <w:t xml:space="preserve"> 263; </w:t>
      </w:r>
    </w:p>
    <w:p w14:paraId="5DEEFDE0" w14:textId="77777777" w:rsidR="003F3F5E" w:rsidRDefault="003F3F5E" w:rsidP="00653DAE">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9654C">
        <w:rPr>
          <w:rFonts w:ascii="Times New Roman" w:eastAsia="Calibri" w:hAnsi="Times New Roman" w:cs="Times New Roman"/>
          <w:sz w:val="28"/>
          <w:szCs w:val="28"/>
        </w:rPr>
        <w:t xml:space="preserve"> травля (</w:t>
      </w:r>
      <w:proofErr w:type="spellStart"/>
      <w:r w:rsidRPr="0099654C">
        <w:rPr>
          <w:rFonts w:ascii="Times New Roman" w:eastAsia="Calibri" w:hAnsi="Times New Roman" w:cs="Times New Roman"/>
          <w:sz w:val="28"/>
          <w:szCs w:val="28"/>
        </w:rPr>
        <w:t>буллинг</w:t>
      </w:r>
      <w:proofErr w:type="spellEnd"/>
      <w:r w:rsidRPr="0099654C">
        <w:rPr>
          <w:rFonts w:ascii="Times New Roman" w:eastAsia="Calibri" w:hAnsi="Times New Roman" w:cs="Times New Roman"/>
          <w:sz w:val="28"/>
          <w:szCs w:val="28"/>
        </w:rPr>
        <w:t xml:space="preserve">) </w:t>
      </w:r>
      <w:r w:rsidR="00193A2C">
        <w:rPr>
          <w:rFonts w:ascii="Times New Roman" w:eastAsia="Calibri" w:hAnsi="Times New Roman" w:cs="Times New Roman"/>
          <w:sz w:val="28"/>
          <w:szCs w:val="28"/>
        </w:rPr>
        <w:t>–</w:t>
      </w:r>
      <w:r w:rsidRPr="0099654C">
        <w:rPr>
          <w:rFonts w:ascii="Times New Roman" w:eastAsia="Calibri" w:hAnsi="Times New Roman" w:cs="Times New Roman"/>
          <w:sz w:val="28"/>
          <w:szCs w:val="28"/>
        </w:rPr>
        <w:t xml:space="preserve"> 122; </w:t>
      </w:r>
    </w:p>
    <w:p w14:paraId="348E7269" w14:textId="77777777" w:rsidR="003F3F5E" w:rsidRDefault="003F3F5E" w:rsidP="00653DAE">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9654C">
        <w:rPr>
          <w:rFonts w:ascii="Times New Roman" w:eastAsia="Calibri" w:hAnsi="Times New Roman" w:cs="Times New Roman"/>
          <w:sz w:val="28"/>
          <w:szCs w:val="28"/>
        </w:rPr>
        <w:t xml:space="preserve"> сексуальные девиации </w:t>
      </w:r>
      <w:r w:rsidR="00193A2C">
        <w:rPr>
          <w:rFonts w:ascii="Times New Roman" w:eastAsia="Calibri" w:hAnsi="Times New Roman" w:cs="Times New Roman"/>
          <w:sz w:val="28"/>
          <w:szCs w:val="28"/>
        </w:rPr>
        <w:t>–</w:t>
      </w:r>
      <w:r w:rsidRPr="0099654C">
        <w:rPr>
          <w:rFonts w:ascii="Times New Roman" w:eastAsia="Calibri" w:hAnsi="Times New Roman" w:cs="Times New Roman"/>
          <w:sz w:val="28"/>
          <w:szCs w:val="28"/>
        </w:rPr>
        <w:t xml:space="preserve"> 97; </w:t>
      </w:r>
    </w:p>
    <w:p w14:paraId="57C7FF88" w14:textId="77777777" w:rsidR="003F3F5E" w:rsidRDefault="003F3F5E" w:rsidP="00653DAE">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9654C">
        <w:rPr>
          <w:rFonts w:ascii="Times New Roman" w:eastAsia="Calibri" w:hAnsi="Times New Roman" w:cs="Times New Roman"/>
          <w:sz w:val="28"/>
          <w:szCs w:val="28"/>
        </w:rPr>
        <w:t xml:space="preserve"> разглашение персональных данных </w:t>
      </w:r>
      <w:r w:rsidR="00193A2C">
        <w:rPr>
          <w:rFonts w:ascii="Times New Roman" w:eastAsia="Calibri" w:hAnsi="Times New Roman" w:cs="Times New Roman"/>
          <w:sz w:val="28"/>
          <w:szCs w:val="28"/>
        </w:rPr>
        <w:t>–</w:t>
      </w:r>
      <w:r w:rsidRPr="0099654C">
        <w:rPr>
          <w:rFonts w:ascii="Times New Roman" w:eastAsia="Calibri" w:hAnsi="Times New Roman" w:cs="Times New Roman"/>
          <w:sz w:val="28"/>
          <w:szCs w:val="28"/>
        </w:rPr>
        <w:t xml:space="preserve"> 34; </w:t>
      </w:r>
    </w:p>
    <w:p w14:paraId="2EA2F8FF" w14:textId="77777777" w:rsidR="003F3F5E" w:rsidRDefault="003F3F5E" w:rsidP="00193A2C">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99654C">
        <w:rPr>
          <w:rFonts w:ascii="Times New Roman" w:eastAsia="Calibri" w:hAnsi="Times New Roman" w:cs="Times New Roman"/>
          <w:sz w:val="28"/>
          <w:szCs w:val="28"/>
        </w:rPr>
        <w:t>вовлечение несове</w:t>
      </w:r>
      <w:r>
        <w:rPr>
          <w:rFonts w:ascii="Times New Roman" w:eastAsia="Calibri" w:hAnsi="Times New Roman" w:cs="Times New Roman"/>
          <w:sz w:val="28"/>
          <w:szCs w:val="28"/>
        </w:rPr>
        <w:t xml:space="preserve">ршеннолетних в противоправное и </w:t>
      </w:r>
      <w:r w:rsidRPr="0099654C">
        <w:rPr>
          <w:rFonts w:ascii="Times New Roman" w:eastAsia="Calibri" w:hAnsi="Times New Roman" w:cs="Times New Roman"/>
          <w:sz w:val="28"/>
          <w:szCs w:val="28"/>
        </w:rPr>
        <w:t xml:space="preserve">антиобщественное поведение </w:t>
      </w:r>
      <w:r w:rsidR="00193A2C">
        <w:rPr>
          <w:rFonts w:ascii="Times New Roman" w:eastAsia="Calibri" w:hAnsi="Times New Roman" w:cs="Times New Roman"/>
          <w:sz w:val="28"/>
          <w:szCs w:val="28"/>
        </w:rPr>
        <w:t>–</w:t>
      </w:r>
      <w:r w:rsidRPr="0099654C">
        <w:rPr>
          <w:rFonts w:ascii="Times New Roman" w:eastAsia="Calibri" w:hAnsi="Times New Roman" w:cs="Times New Roman"/>
          <w:sz w:val="28"/>
          <w:szCs w:val="28"/>
        </w:rPr>
        <w:t xml:space="preserve"> 29.</w:t>
      </w:r>
    </w:p>
    <w:p w14:paraId="3D371A64" w14:textId="77777777" w:rsidR="0096769E" w:rsidRDefault="0096769E" w:rsidP="00193A2C">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2021 г</w:t>
      </w:r>
      <w:r w:rsidR="00B562DE">
        <w:rPr>
          <w:rFonts w:ascii="Times New Roman" w:eastAsia="Calibri" w:hAnsi="Times New Roman" w:cs="Times New Roman"/>
          <w:sz w:val="28"/>
          <w:szCs w:val="28"/>
        </w:rPr>
        <w:t>.</w:t>
      </w:r>
      <w:r>
        <w:rPr>
          <w:rFonts w:ascii="Times New Roman" w:eastAsia="Calibri" w:hAnsi="Times New Roman" w:cs="Times New Roman"/>
          <w:sz w:val="28"/>
          <w:szCs w:val="28"/>
        </w:rPr>
        <w:t xml:space="preserve"> Роспотребнадзором была продолжена системная работа по профилактике самоубийств среди несовершеннолетних в части установленной компетенции. Принято 22 820 решений, из которых 12 092 решения по идентичным материалам, по которым Роспотребнадзором ранее выносились решения, о наличии на странице сайта в информационно-коммуникационной сети Интернет запрещенной к распространению в Российской Федерации информации </w:t>
      </w:r>
      <w:r w:rsidR="0056133C">
        <w:rPr>
          <w:rFonts w:ascii="Times New Roman" w:eastAsia="Calibri" w:hAnsi="Times New Roman" w:cs="Times New Roman"/>
          <w:sz w:val="28"/>
          <w:szCs w:val="28"/>
        </w:rPr>
        <w:t>о способах совершения самоубийства и (или) призывов к совершению самоубийства, а также 335 решений об отсутствии на странице сайта запрещенной информации.</w:t>
      </w:r>
    </w:p>
    <w:p w14:paraId="05FC3A4F" w14:textId="77777777" w:rsidR="0056133C" w:rsidRPr="00193A2C" w:rsidRDefault="0056133C" w:rsidP="00193A2C">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0026318A">
        <w:rPr>
          <w:rFonts w:ascii="Times New Roman" w:eastAsia="Calibri" w:hAnsi="Times New Roman" w:cs="Times New Roman"/>
          <w:sz w:val="28"/>
          <w:szCs w:val="28"/>
        </w:rPr>
        <w:t>рамках исполнения пункта 11 Комплекса мер до 2025 г</w:t>
      </w:r>
      <w:r w:rsidR="00B562DE">
        <w:rPr>
          <w:rFonts w:ascii="Times New Roman" w:eastAsia="Calibri" w:hAnsi="Times New Roman" w:cs="Times New Roman"/>
          <w:sz w:val="28"/>
          <w:szCs w:val="28"/>
        </w:rPr>
        <w:t>.</w:t>
      </w:r>
      <w:r w:rsidR="0026318A">
        <w:rPr>
          <w:rFonts w:ascii="Times New Roman" w:eastAsia="Calibri" w:hAnsi="Times New Roman" w:cs="Times New Roman"/>
          <w:sz w:val="28"/>
          <w:szCs w:val="28"/>
        </w:rPr>
        <w:t xml:space="preserve"> по совершенствованию системы профилактики суицида среди несовершеннолетних, утвержденного распоряжением Правительства Российской Федерации от 26 апреля 2021 г. № 1058-р, Минздравом России обобщены результаты мониторинга показателей смертности от самоубийств среди несовершеннолетних за 2020 </w:t>
      </w:r>
      <w:r w:rsidR="00B562DE">
        <w:rPr>
          <w:rFonts w:ascii="Times New Roman" w:eastAsia="Calibri" w:hAnsi="Times New Roman" w:cs="Times New Roman"/>
          <w:sz w:val="28"/>
          <w:szCs w:val="28"/>
        </w:rPr>
        <w:t>г.</w:t>
      </w:r>
      <w:r w:rsidR="0026318A">
        <w:rPr>
          <w:rFonts w:ascii="Times New Roman" w:eastAsia="Calibri" w:hAnsi="Times New Roman" w:cs="Times New Roman"/>
          <w:sz w:val="28"/>
          <w:szCs w:val="28"/>
        </w:rPr>
        <w:t xml:space="preserve">, определены субъекты Российской Федерации с наиболее высокими показателями смертности от самоубийств среди несовершеннолетних. При этом необходимо отметить положительную динамику в снижении показателей смертности </w:t>
      </w:r>
      <w:r w:rsidR="00720AAB">
        <w:rPr>
          <w:rFonts w:ascii="Times New Roman" w:eastAsia="Calibri" w:hAnsi="Times New Roman" w:cs="Times New Roman"/>
          <w:sz w:val="28"/>
          <w:szCs w:val="28"/>
        </w:rPr>
        <w:br/>
      </w:r>
      <w:r w:rsidR="0026318A">
        <w:rPr>
          <w:rFonts w:ascii="Times New Roman" w:eastAsia="Calibri" w:hAnsi="Times New Roman" w:cs="Times New Roman"/>
          <w:sz w:val="28"/>
          <w:szCs w:val="28"/>
        </w:rPr>
        <w:t>от самоубийств среди несовершеннолетних в Российской Федерации.</w:t>
      </w:r>
    </w:p>
    <w:p w14:paraId="3855A338" w14:textId="77777777" w:rsidR="003F3F5E" w:rsidRDefault="003F3F5E" w:rsidP="003F3F5E">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2021 г</w:t>
      </w:r>
      <w:r w:rsidR="00EC2163">
        <w:rPr>
          <w:rFonts w:ascii="Times New Roman" w:eastAsia="Times New Roman" w:hAnsi="Times New Roman" w:cs="Times New Roman"/>
          <w:bCs/>
          <w:sz w:val="28"/>
          <w:szCs w:val="28"/>
          <w:lang w:eastAsia="ru-RU"/>
        </w:rPr>
        <w:t>.</w:t>
      </w:r>
      <w:r w:rsidRPr="00C51863">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была </w:t>
      </w:r>
      <w:r w:rsidRPr="00C51863">
        <w:rPr>
          <w:rFonts w:ascii="Times New Roman" w:eastAsia="Times New Roman" w:hAnsi="Times New Roman" w:cs="Times New Roman"/>
          <w:bCs/>
          <w:sz w:val="28"/>
          <w:szCs w:val="28"/>
          <w:lang w:eastAsia="ru-RU"/>
        </w:rPr>
        <w:t>начата реализация плана мероприятий, направленных на обеспечение ин</w:t>
      </w:r>
      <w:r>
        <w:rPr>
          <w:rFonts w:ascii="Times New Roman" w:eastAsia="Times New Roman" w:hAnsi="Times New Roman" w:cs="Times New Roman"/>
          <w:bCs/>
          <w:sz w:val="28"/>
          <w:szCs w:val="28"/>
          <w:lang w:eastAsia="ru-RU"/>
        </w:rPr>
        <w:t>формационной безопасности детей, на 2021</w:t>
      </w:r>
      <w:r w:rsidR="00EC2163">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2027 г</w:t>
      </w:r>
      <w:r w:rsidR="00EC2163">
        <w:rPr>
          <w:rFonts w:ascii="Times New Roman" w:eastAsia="Times New Roman" w:hAnsi="Times New Roman" w:cs="Times New Roman"/>
          <w:bCs/>
          <w:sz w:val="28"/>
          <w:szCs w:val="28"/>
          <w:lang w:eastAsia="ru-RU"/>
        </w:rPr>
        <w:t>г.</w:t>
      </w:r>
      <w:r w:rsidR="00193A2C">
        <w:rPr>
          <w:rFonts w:ascii="Times New Roman" w:eastAsia="Times New Roman" w:hAnsi="Times New Roman" w:cs="Times New Roman"/>
          <w:bCs/>
          <w:sz w:val="28"/>
          <w:szCs w:val="28"/>
          <w:lang w:eastAsia="ru-RU"/>
        </w:rPr>
        <w:t xml:space="preserve">, утвержденного </w:t>
      </w:r>
      <w:r w:rsidRPr="00C51863">
        <w:rPr>
          <w:rFonts w:ascii="Times New Roman" w:eastAsia="Times New Roman" w:hAnsi="Times New Roman" w:cs="Times New Roman"/>
          <w:bCs/>
          <w:sz w:val="28"/>
          <w:szCs w:val="28"/>
          <w:lang w:eastAsia="ru-RU"/>
        </w:rPr>
        <w:t>приказ</w:t>
      </w:r>
      <w:r w:rsidR="00193A2C">
        <w:rPr>
          <w:rFonts w:ascii="Times New Roman" w:eastAsia="Times New Roman" w:hAnsi="Times New Roman" w:cs="Times New Roman"/>
          <w:bCs/>
          <w:sz w:val="28"/>
          <w:szCs w:val="28"/>
          <w:lang w:eastAsia="ru-RU"/>
        </w:rPr>
        <w:t>ом</w:t>
      </w:r>
      <w:r w:rsidRPr="00C51863">
        <w:rPr>
          <w:rFonts w:ascii="Times New Roman" w:eastAsia="Times New Roman" w:hAnsi="Times New Roman" w:cs="Times New Roman"/>
          <w:bCs/>
          <w:sz w:val="28"/>
          <w:szCs w:val="28"/>
          <w:lang w:eastAsia="ru-RU"/>
        </w:rPr>
        <w:t xml:space="preserve"> Минцифры России от 1</w:t>
      </w:r>
      <w:r w:rsidR="00193A2C">
        <w:rPr>
          <w:rFonts w:ascii="Times New Roman" w:eastAsia="Times New Roman" w:hAnsi="Times New Roman" w:cs="Times New Roman"/>
          <w:bCs/>
          <w:sz w:val="28"/>
          <w:szCs w:val="28"/>
          <w:lang w:eastAsia="ru-RU"/>
        </w:rPr>
        <w:t xml:space="preserve"> декабря </w:t>
      </w:r>
      <w:r>
        <w:rPr>
          <w:rFonts w:ascii="Times New Roman" w:eastAsia="Times New Roman" w:hAnsi="Times New Roman" w:cs="Times New Roman"/>
          <w:bCs/>
          <w:sz w:val="28"/>
          <w:szCs w:val="28"/>
          <w:lang w:eastAsia="ru-RU"/>
        </w:rPr>
        <w:t>2020</w:t>
      </w:r>
      <w:r w:rsidR="00193A2C">
        <w:rPr>
          <w:rFonts w:ascii="Times New Roman" w:eastAsia="Times New Roman" w:hAnsi="Times New Roman" w:cs="Times New Roman"/>
          <w:bCs/>
          <w:sz w:val="28"/>
          <w:szCs w:val="28"/>
          <w:lang w:eastAsia="ru-RU"/>
        </w:rPr>
        <w:t xml:space="preserve"> г.</w:t>
      </w:r>
      <w:r>
        <w:rPr>
          <w:rFonts w:ascii="Times New Roman" w:eastAsia="Times New Roman" w:hAnsi="Times New Roman" w:cs="Times New Roman"/>
          <w:bCs/>
          <w:sz w:val="28"/>
          <w:szCs w:val="28"/>
          <w:lang w:eastAsia="ru-RU"/>
        </w:rPr>
        <w:t xml:space="preserve"> № 644,</w:t>
      </w:r>
      <w:r w:rsidRPr="00C51863">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участниками которого являются</w:t>
      </w:r>
      <w:r w:rsidRPr="00F00C67">
        <w:rPr>
          <w:rFonts w:ascii="Times New Roman" w:eastAsia="Times New Roman" w:hAnsi="Times New Roman" w:cs="Times New Roman"/>
          <w:bCs/>
          <w:sz w:val="28"/>
          <w:szCs w:val="28"/>
          <w:lang w:eastAsia="ru-RU"/>
        </w:rPr>
        <w:t xml:space="preserve"> Минобрнауки России, Минпросвещения России, Минздрав России, МВД России, Росмолодежь, Роспотребнадзор, Рособрнадзор, Роскомнадзор, ФАС России</w:t>
      </w:r>
      <w:r>
        <w:rPr>
          <w:rFonts w:ascii="Times New Roman" w:eastAsia="Times New Roman" w:hAnsi="Times New Roman" w:cs="Times New Roman"/>
          <w:bCs/>
          <w:sz w:val="28"/>
          <w:szCs w:val="28"/>
          <w:lang w:eastAsia="ru-RU"/>
        </w:rPr>
        <w:t>, общественные организации</w:t>
      </w:r>
      <w:r w:rsidRPr="00F00C67">
        <w:rPr>
          <w:rFonts w:ascii="Times New Roman" w:eastAsia="Times New Roman" w:hAnsi="Times New Roman" w:cs="Times New Roman"/>
          <w:bCs/>
          <w:sz w:val="28"/>
          <w:szCs w:val="28"/>
          <w:lang w:eastAsia="ru-RU"/>
        </w:rPr>
        <w:t xml:space="preserve"> и органы исполнительной власти субъектов Российской Федерации. </w:t>
      </w:r>
    </w:p>
    <w:p w14:paraId="48636FDD" w14:textId="77777777" w:rsidR="003F3F5E" w:rsidRDefault="00193A2C" w:rsidP="003F3F5E">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числе мероприятий плана </w:t>
      </w:r>
      <w:r w:rsidR="003F3F5E">
        <w:rPr>
          <w:rFonts w:ascii="Times New Roman" w:eastAsia="Times New Roman" w:hAnsi="Times New Roman" w:cs="Times New Roman"/>
          <w:bCs/>
          <w:sz w:val="28"/>
          <w:szCs w:val="28"/>
          <w:lang w:eastAsia="ru-RU"/>
        </w:rPr>
        <w:t>проведение Всероссийского конкурса по разработке информационной продукци</w:t>
      </w:r>
      <w:r>
        <w:rPr>
          <w:rFonts w:ascii="Times New Roman" w:eastAsia="Times New Roman" w:hAnsi="Times New Roman" w:cs="Times New Roman"/>
          <w:bCs/>
          <w:sz w:val="28"/>
          <w:szCs w:val="28"/>
          <w:lang w:eastAsia="ru-RU"/>
        </w:rPr>
        <w:t xml:space="preserve">и для детей «Премия </w:t>
      </w:r>
      <w:proofErr w:type="spellStart"/>
      <w:r>
        <w:rPr>
          <w:rFonts w:ascii="Times New Roman" w:eastAsia="Times New Roman" w:hAnsi="Times New Roman" w:cs="Times New Roman"/>
          <w:bCs/>
          <w:sz w:val="28"/>
          <w:szCs w:val="28"/>
          <w:lang w:eastAsia="ru-RU"/>
        </w:rPr>
        <w:t>Сетевичок</w:t>
      </w:r>
      <w:proofErr w:type="spellEnd"/>
      <w:r>
        <w:rPr>
          <w:rFonts w:ascii="Times New Roman" w:eastAsia="Times New Roman" w:hAnsi="Times New Roman" w:cs="Times New Roman"/>
          <w:bCs/>
          <w:sz w:val="28"/>
          <w:szCs w:val="28"/>
          <w:lang w:eastAsia="ru-RU"/>
        </w:rPr>
        <w:t xml:space="preserve">» </w:t>
      </w:r>
      <w:r w:rsidR="003F3F5E">
        <w:rPr>
          <w:rFonts w:ascii="Times New Roman" w:eastAsia="Times New Roman" w:hAnsi="Times New Roman" w:cs="Times New Roman"/>
          <w:bCs/>
          <w:sz w:val="28"/>
          <w:szCs w:val="28"/>
          <w:lang w:eastAsia="ru-RU"/>
        </w:rPr>
        <w:t xml:space="preserve">с развитием системы ротаций баннеров безопасных детских интернет-сайтов для детей и молодежи, </w:t>
      </w:r>
      <w:r w:rsidR="003F3F5E" w:rsidRPr="00F00C67">
        <w:rPr>
          <w:rFonts w:ascii="Times New Roman" w:eastAsia="Times New Roman" w:hAnsi="Times New Roman" w:cs="Times New Roman"/>
          <w:bCs/>
          <w:sz w:val="28"/>
          <w:szCs w:val="28"/>
          <w:lang w:eastAsia="ru-RU"/>
        </w:rPr>
        <w:t>проведение Единого урока безопасности в сети Интернет, уроков по защите персональных данных, пр</w:t>
      </w:r>
      <w:r w:rsidR="003F3F5E">
        <w:rPr>
          <w:rFonts w:ascii="Times New Roman" w:eastAsia="Times New Roman" w:hAnsi="Times New Roman" w:cs="Times New Roman"/>
          <w:bCs/>
          <w:sz w:val="28"/>
          <w:szCs w:val="28"/>
          <w:lang w:eastAsia="ru-RU"/>
        </w:rPr>
        <w:t>оведение различных исследований</w:t>
      </w:r>
      <w:r>
        <w:rPr>
          <w:rFonts w:ascii="Times New Roman" w:eastAsia="Times New Roman" w:hAnsi="Times New Roman" w:cs="Times New Roman"/>
          <w:bCs/>
          <w:sz w:val="28"/>
          <w:szCs w:val="28"/>
          <w:lang w:eastAsia="ru-RU"/>
        </w:rPr>
        <w:t>,</w:t>
      </w:r>
      <w:r w:rsidR="003F3F5E" w:rsidRPr="00F00C67">
        <w:rPr>
          <w:rFonts w:ascii="Times New Roman" w:eastAsia="Times New Roman" w:hAnsi="Times New Roman" w:cs="Times New Roman"/>
          <w:bCs/>
          <w:sz w:val="28"/>
          <w:szCs w:val="28"/>
          <w:lang w:eastAsia="ru-RU"/>
        </w:rPr>
        <w:t xml:space="preserve"> мероприятия, направленные на обеспечение информационной безопасност</w:t>
      </w:r>
      <w:r w:rsidR="003F3F5E">
        <w:rPr>
          <w:rFonts w:ascii="Times New Roman" w:eastAsia="Times New Roman" w:hAnsi="Times New Roman" w:cs="Times New Roman"/>
          <w:bCs/>
          <w:sz w:val="28"/>
          <w:szCs w:val="28"/>
          <w:lang w:eastAsia="ru-RU"/>
        </w:rPr>
        <w:t>и несовершеннолетних, проводимые</w:t>
      </w:r>
      <w:r w:rsidR="003F3F5E" w:rsidRPr="00F00C67">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субъектами Российской Федерации.</w:t>
      </w:r>
    </w:p>
    <w:p w14:paraId="29C746EE" w14:textId="77777777" w:rsidR="003F3F5E" w:rsidRDefault="003F3F5E" w:rsidP="003F3F5E">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Например, п</w:t>
      </w:r>
      <w:r w:rsidRPr="00F00C67">
        <w:rPr>
          <w:rFonts w:ascii="Times New Roman" w:eastAsia="Times New Roman" w:hAnsi="Times New Roman" w:cs="Times New Roman"/>
          <w:bCs/>
          <w:sz w:val="28"/>
          <w:szCs w:val="28"/>
          <w:lang w:eastAsia="ru-RU"/>
        </w:rPr>
        <w:t xml:space="preserve">ри поддержке </w:t>
      </w:r>
      <w:r>
        <w:rPr>
          <w:rFonts w:ascii="Times New Roman" w:eastAsia="Times New Roman" w:hAnsi="Times New Roman" w:cs="Times New Roman"/>
          <w:bCs/>
          <w:sz w:val="28"/>
          <w:szCs w:val="28"/>
          <w:lang w:eastAsia="ru-RU"/>
        </w:rPr>
        <w:t>Минцифры России</w:t>
      </w:r>
      <w:r w:rsidRPr="00F00C67">
        <w:rPr>
          <w:rFonts w:ascii="Times New Roman" w:eastAsia="Times New Roman" w:hAnsi="Times New Roman" w:cs="Times New Roman"/>
          <w:bCs/>
          <w:sz w:val="28"/>
          <w:szCs w:val="28"/>
          <w:lang w:eastAsia="ru-RU"/>
        </w:rPr>
        <w:t xml:space="preserve"> запущен Всероссийский конкурс по разработке информационной продукции для детей «Премия </w:t>
      </w:r>
      <w:proofErr w:type="spellStart"/>
      <w:r w:rsidRPr="00F00C67">
        <w:rPr>
          <w:rFonts w:ascii="Times New Roman" w:eastAsia="Times New Roman" w:hAnsi="Times New Roman" w:cs="Times New Roman"/>
          <w:bCs/>
          <w:sz w:val="28"/>
          <w:szCs w:val="28"/>
          <w:lang w:eastAsia="ru-RU"/>
        </w:rPr>
        <w:t>Сетевичок</w:t>
      </w:r>
      <w:proofErr w:type="spellEnd"/>
      <w:r w:rsidRPr="00F00C67">
        <w:rPr>
          <w:rFonts w:ascii="Times New Roman" w:eastAsia="Times New Roman" w:hAnsi="Times New Roman" w:cs="Times New Roman"/>
          <w:bCs/>
          <w:sz w:val="28"/>
          <w:szCs w:val="28"/>
          <w:lang w:eastAsia="ru-RU"/>
        </w:rPr>
        <w:t>», участниками которого в 2021 г</w:t>
      </w:r>
      <w:r w:rsidR="001C3E3C">
        <w:rPr>
          <w:rFonts w:ascii="Times New Roman" w:eastAsia="Times New Roman" w:hAnsi="Times New Roman" w:cs="Times New Roman"/>
          <w:bCs/>
          <w:sz w:val="28"/>
          <w:szCs w:val="28"/>
          <w:lang w:eastAsia="ru-RU"/>
        </w:rPr>
        <w:t>.</w:t>
      </w:r>
      <w:r w:rsidRPr="00F00C67">
        <w:rPr>
          <w:rFonts w:ascii="Times New Roman" w:eastAsia="Times New Roman" w:hAnsi="Times New Roman" w:cs="Times New Roman"/>
          <w:bCs/>
          <w:sz w:val="28"/>
          <w:szCs w:val="28"/>
          <w:lang w:eastAsia="ru-RU"/>
        </w:rPr>
        <w:t xml:space="preserve"> по 13 направлениям молодежной политики стали </w:t>
      </w:r>
      <w:r w:rsidR="001C3E3C">
        <w:rPr>
          <w:rFonts w:ascii="Times New Roman" w:eastAsia="Times New Roman" w:hAnsi="Times New Roman" w:cs="Times New Roman"/>
          <w:bCs/>
          <w:sz w:val="28"/>
          <w:szCs w:val="28"/>
          <w:lang w:eastAsia="ru-RU"/>
        </w:rPr>
        <w:br/>
      </w:r>
      <w:r w:rsidRPr="00F00C67">
        <w:rPr>
          <w:rFonts w:ascii="Times New Roman" w:eastAsia="Times New Roman" w:hAnsi="Times New Roman" w:cs="Times New Roman"/>
          <w:bCs/>
          <w:sz w:val="28"/>
          <w:szCs w:val="28"/>
          <w:lang w:eastAsia="ru-RU"/>
        </w:rPr>
        <w:t>5</w:t>
      </w:r>
      <w:r w:rsidR="00193A2C">
        <w:rPr>
          <w:rFonts w:ascii="Times New Roman" w:eastAsia="Times New Roman" w:hAnsi="Times New Roman" w:cs="Times New Roman"/>
          <w:bCs/>
          <w:sz w:val="28"/>
          <w:szCs w:val="28"/>
          <w:lang w:eastAsia="ru-RU"/>
        </w:rPr>
        <w:t xml:space="preserve"> </w:t>
      </w:r>
      <w:r w:rsidRPr="00F00C67">
        <w:rPr>
          <w:rFonts w:ascii="Times New Roman" w:eastAsia="Times New Roman" w:hAnsi="Times New Roman" w:cs="Times New Roman"/>
          <w:bCs/>
          <w:sz w:val="28"/>
          <w:szCs w:val="28"/>
          <w:lang w:eastAsia="ru-RU"/>
        </w:rPr>
        <w:t>870 информационных ресурсов, включая федеральные и региональные сетевые издания, общественные проекты, сайты государственных органов власти</w:t>
      </w:r>
      <w:r w:rsidR="00193A2C">
        <w:rPr>
          <w:rFonts w:ascii="Times New Roman" w:eastAsia="Times New Roman" w:hAnsi="Times New Roman" w:cs="Times New Roman"/>
          <w:bCs/>
          <w:sz w:val="28"/>
          <w:szCs w:val="28"/>
          <w:lang w:eastAsia="ru-RU"/>
        </w:rPr>
        <w:t xml:space="preserve"> и образовательных организаций.</w:t>
      </w:r>
    </w:p>
    <w:p w14:paraId="5CF8E38A" w14:textId="718BE4F4" w:rsidR="003F3F5E" w:rsidRDefault="003F3F5E" w:rsidP="003F3F5E">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F00C67">
        <w:rPr>
          <w:rFonts w:ascii="Times New Roman" w:eastAsia="Times New Roman" w:hAnsi="Times New Roman" w:cs="Times New Roman"/>
          <w:bCs/>
          <w:sz w:val="28"/>
          <w:szCs w:val="28"/>
          <w:lang w:eastAsia="ru-RU"/>
        </w:rPr>
        <w:t>В международный день защиты детей стартовал цикл дистанционных мероприятий для обучающихся, родителей (законных представителей) и работников образовательных организаций «</w:t>
      </w:r>
      <w:proofErr w:type="spellStart"/>
      <w:r w:rsidRPr="00F00C67">
        <w:rPr>
          <w:rFonts w:ascii="Times New Roman" w:eastAsia="Times New Roman" w:hAnsi="Times New Roman" w:cs="Times New Roman"/>
          <w:bCs/>
          <w:sz w:val="28"/>
          <w:szCs w:val="28"/>
          <w:lang w:eastAsia="ru-RU"/>
        </w:rPr>
        <w:t>Сетевичок</w:t>
      </w:r>
      <w:proofErr w:type="spellEnd"/>
      <w:r w:rsidRPr="00F00C67">
        <w:rPr>
          <w:rFonts w:ascii="Times New Roman" w:eastAsia="Times New Roman" w:hAnsi="Times New Roman" w:cs="Times New Roman"/>
          <w:bCs/>
          <w:sz w:val="28"/>
          <w:szCs w:val="28"/>
          <w:lang w:eastAsia="ru-RU"/>
        </w:rPr>
        <w:t xml:space="preserve">», в котором </w:t>
      </w:r>
      <w:r w:rsidR="00193A2C">
        <w:rPr>
          <w:rFonts w:ascii="Times New Roman" w:eastAsia="Times New Roman" w:hAnsi="Times New Roman" w:cs="Times New Roman"/>
          <w:bCs/>
          <w:sz w:val="28"/>
          <w:szCs w:val="28"/>
          <w:lang w:eastAsia="ru-RU"/>
        </w:rPr>
        <w:t xml:space="preserve">по состоянию </w:t>
      </w:r>
      <w:r w:rsidRPr="00F00C67">
        <w:rPr>
          <w:rFonts w:ascii="Times New Roman" w:eastAsia="Times New Roman" w:hAnsi="Times New Roman" w:cs="Times New Roman"/>
          <w:bCs/>
          <w:sz w:val="28"/>
          <w:szCs w:val="28"/>
          <w:lang w:eastAsia="ru-RU"/>
        </w:rPr>
        <w:t xml:space="preserve">на 1 января </w:t>
      </w:r>
      <w:r w:rsidR="00D50BC5">
        <w:rPr>
          <w:rFonts w:ascii="Times New Roman" w:eastAsia="Times New Roman" w:hAnsi="Times New Roman" w:cs="Times New Roman"/>
          <w:bCs/>
          <w:sz w:val="28"/>
          <w:szCs w:val="28"/>
          <w:lang w:eastAsia="ru-RU"/>
        </w:rPr>
        <w:br/>
      </w:r>
      <w:r w:rsidRPr="00F00C67">
        <w:rPr>
          <w:rFonts w:ascii="Times New Roman" w:eastAsia="Times New Roman" w:hAnsi="Times New Roman" w:cs="Times New Roman"/>
          <w:bCs/>
          <w:sz w:val="28"/>
          <w:szCs w:val="28"/>
          <w:lang w:eastAsia="ru-RU"/>
        </w:rPr>
        <w:t>2022 г. уже приняло участие 995</w:t>
      </w:r>
      <w:r w:rsidR="00193A2C">
        <w:rPr>
          <w:rFonts w:ascii="Times New Roman" w:eastAsia="Times New Roman" w:hAnsi="Times New Roman" w:cs="Times New Roman"/>
          <w:bCs/>
          <w:sz w:val="28"/>
          <w:szCs w:val="28"/>
          <w:lang w:eastAsia="ru-RU"/>
        </w:rPr>
        <w:t xml:space="preserve"> </w:t>
      </w:r>
      <w:r w:rsidRPr="00F00C67">
        <w:rPr>
          <w:rFonts w:ascii="Times New Roman" w:eastAsia="Times New Roman" w:hAnsi="Times New Roman" w:cs="Times New Roman"/>
          <w:bCs/>
          <w:sz w:val="28"/>
          <w:szCs w:val="28"/>
          <w:lang w:eastAsia="ru-RU"/>
        </w:rPr>
        <w:t>000 детей, 263</w:t>
      </w:r>
      <w:r w:rsidR="00193A2C">
        <w:rPr>
          <w:rFonts w:ascii="Times New Roman" w:eastAsia="Times New Roman" w:hAnsi="Times New Roman" w:cs="Times New Roman"/>
          <w:bCs/>
          <w:sz w:val="28"/>
          <w:szCs w:val="28"/>
          <w:lang w:eastAsia="ru-RU"/>
        </w:rPr>
        <w:t xml:space="preserve"> </w:t>
      </w:r>
      <w:r w:rsidRPr="00F00C67">
        <w:rPr>
          <w:rFonts w:ascii="Times New Roman" w:eastAsia="Times New Roman" w:hAnsi="Times New Roman" w:cs="Times New Roman"/>
          <w:bCs/>
          <w:sz w:val="28"/>
          <w:szCs w:val="28"/>
          <w:lang w:eastAsia="ru-RU"/>
        </w:rPr>
        <w:t xml:space="preserve">000 педагогических работников и </w:t>
      </w:r>
      <w:r w:rsidR="00D50BC5">
        <w:rPr>
          <w:rFonts w:ascii="Times New Roman" w:eastAsia="Times New Roman" w:hAnsi="Times New Roman" w:cs="Times New Roman"/>
          <w:bCs/>
          <w:sz w:val="28"/>
          <w:szCs w:val="28"/>
          <w:lang w:eastAsia="ru-RU"/>
        </w:rPr>
        <w:br/>
      </w:r>
      <w:r w:rsidRPr="00F00C67">
        <w:rPr>
          <w:rFonts w:ascii="Times New Roman" w:eastAsia="Times New Roman" w:hAnsi="Times New Roman" w:cs="Times New Roman"/>
          <w:bCs/>
          <w:sz w:val="28"/>
          <w:szCs w:val="28"/>
          <w:lang w:eastAsia="ru-RU"/>
        </w:rPr>
        <w:t>143</w:t>
      </w:r>
      <w:r w:rsidR="00193A2C">
        <w:rPr>
          <w:rFonts w:ascii="Times New Roman" w:eastAsia="Times New Roman" w:hAnsi="Times New Roman" w:cs="Times New Roman"/>
          <w:bCs/>
          <w:sz w:val="28"/>
          <w:szCs w:val="28"/>
          <w:lang w:eastAsia="ru-RU"/>
        </w:rPr>
        <w:t xml:space="preserve"> </w:t>
      </w:r>
      <w:r w:rsidR="000B3338">
        <w:rPr>
          <w:rFonts w:ascii="Times New Roman" w:eastAsia="Times New Roman" w:hAnsi="Times New Roman" w:cs="Times New Roman"/>
          <w:bCs/>
          <w:sz w:val="28"/>
          <w:szCs w:val="28"/>
          <w:lang w:eastAsia="ru-RU"/>
        </w:rPr>
        <w:t>000 родителей.</w:t>
      </w:r>
    </w:p>
    <w:p w14:paraId="533DFF1F" w14:textId="77777777" w:rsidR="003F3F5E" w:rsidRDefault="00193A2C" w:rsidP="00193A2C">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Осенью 2021 г</w:t>
      </w:r>
      <w:r w:rsidR="001C3E3C">
        <w:rPr>
          <w:rFonts w:ascii="Times New Roman" w:eastAsia="Times New Roman" w:hAnsi="Times New Roman" w:cs="Times New Roman"/>
          <w:bCs/>
          <w:sz w:val="28"/>
          <w:szCs w:val="28"/>
          <w:lang w:eastAsia="ru-RU"/>
        </w:rPr>
        <w:t>.</w:t>
      </w:r>
      <w:r w:rsidR="003F3F5E" w:rsidRPr="00F00C67">
        <w:rPr>
          <w:rFonts w:ascii="Times New Roman" w:eastAsia="Times New Roman" w:hAnsi="Times New Roman" w:cs="Times New Roman"/>
          <w:bCs/>
          <w:sz w:val="28"/>
          <w:szCs w:val="28"/>
          <w:lang w:eastAsia="ru-RU"/>
        </w:rPr>
        <w:t xml:space="preserve"> в образовательных организациях Российской Федерации прошел ежегодный Е</w:t>
      </w:r>
      <w:r w:rsidR="003F3F5E">
        <w:rPr>
          <w:rFonts w:ascii="Times New Roman" w:eastAsia="Times New Roman" w:hAnsi="Times New Roman" w:cs="Times New Roman"/>
          <w:bCs/>
          <w:sz w:val="28"/>
          <w:szCs w:val="28"/>
          <w:lang w:eastAsia="ru-RU"/>
        </w:rPr>
        <w:t>диный урок безопасности в сети Интернет (далее – Единый урок)</w:t>
      </w:r>
      <w:r w:rsidR="003F3F5E" w:rsidRPr="00F00C67">
        <w:rPr>
          <w:rFonts w:ascii="Times New Roman" w:eastAsia="Times New Roman" w:hAnsi="Times New Roman" w:cs="Times New Roman"/>
          <w:bCs/>
          <w:sz w:val="28"/>
          <w:szCs w:val="28"/>
          <w:lang w:eastAsia="ru-RU"/>
        </w:rPr>
        <w:t xml:space="preserve">, посвященный вопросам безопасности и возможностям цифровой образовательной среды. В рамках Единого урока </w:t>
      </w:r>
      <w:r w:rsidR="003F3F5E">
        <w:rPr>
          <w:rFonts w:ascii="Times New Roman" w:eastAsia="Times New Roman" w:hAnsi="Times New Roman" w:cs="Times New Roman"/>
          <w:bCs/>
          <w:sz w:val="28"/>
          <w:szCs w:val="28"/>
          <w:lang w:eastAsia="ru-RU"/>
        </w:rPr>
        <w:t>состоялась</w:t>
      </w:r>
      <w:r w:rsidR="003F3F5E" w:rsidRPr="00F00C67">
        <w:rPr>
          <w:rFonts w:ascii="Times New Roman" w:eastAsia="Times New Roman" w:hAnsi="Times New Roman" w:cs="Times New Roman"/>
          <w:bCs/>
          <w:sz w:val="28"/>
          <w:szCs w:val="28"/>
          <w:lang w:eastAsia="ru-RU"/>
        </w:rPr>
        <w:t xml:space="preserve"> ежегодная Всероссийская контрольная работа по информационной безопасности</w:t>
      </w:r>
      <w:r>
        <w:rPr>
          <w:rFonts w:ascii="Times New Roman" w:eastAsia="Times New Roman" w:hAnsi="Times New Roman" w:cs="Times New Roman"/>
          <w:bCs/>
          <w:sz w:val="28"/>
          <w:szCs w:val="28"/>
          <w:lang w:eastAsia="ru-RU"/>
        </w:rPr>
        <w:t xml:space="preserve"> с участием</w:t>
      </w:r>
      <w:r w:rsidR="003F3F5E" w:rsidRPr="00F00C67">
        <w:rPr>
          <w:rFonts w:ascii="Times New Roman" w:eastAsia="Times New Roman" w:hAnsi="Times New Roman" w:cs="Times New Roman"/>
          <w:bCs/>
          <w:sz w:val="28"/>
          <w:szCs w:val="28"/>
          <w:lang w:eastAsia="ru-RU"/>
        </w:rPr>
        <w:t xml:space="preserve"> более 6 млн пользователей из 85 субъектов </w:t>
      </w:r>
      <w:r>
        <w:rPr>
          <w:rFonts w:ascii="Times New Roman" w:eastAsia="Times New Roman" w:hAnsi="Times New Roman" w:cs="Times New Roman"/>
          <w:bCs/>
          <w:sz w:val="28"/>
          <w:szCs w:val="28"/>
          <w:lang w:eastAsia="ru-RU"/>
        </w:rPr>
        <w:t xml:space="preserve">Российской </w:t>
      </w:r>
      <w:r w:rsidR="003F3F5E" w:rsidRPr="00F00C67">
        <w:rPr>
          <w:rFonts w:ascii="Times New Roman" w:eastAsia="Times New Roman" w:hAnsi="Times New Roman" w:cs="Times New Roman"/>
          <w:bCs/>
          <w:sz w:val="28"/>
          <w:szCs w:val="28"/>
          <w:lang w:eastAsia="ru-RU"/>
        </w:rPr>
        <w:t xml:space="preserve">Федерации, </w:t>
      </w:r>
      <w:r>
        <w:rPr>
          <w:rFonts w:ascii="Times New Roman" w:eastAsia="Times New Roman" w:hAnsi="Times New Roman" w:cs="Times New Roman"/>
          <w:bCs/>
          <w:sz w:val="28"/>
          <w:szCs w:val="28"/>
          <w:lang w:eastAsia="ru-RU"/>
        </w:rPr>
        <w:t>Беларуси</w:t>
      </w:r>
      <w:r w:rsidR="003F3F5E" w:rsidRPr="00F00C67">
        <w:rPr>
          <w:rFonts w:ascii="Times New Roman" w:eastAsia="Times New Roman" w:hAnsi="Times New Roman" w:cs="Times New Roman"/>
          <w:bCs/>
          <w:sz w:val="28"/>
          <w:szCs w:val="28"/>
          <w:lang w:eastAsia="ru-RU"/>
        </w:rPr>
        <w:t>, Казахстана. Количество участников увеличилось более чем в два раз</w:t>
      </w:r>
      <w:r>
        <w:rPr>
          <w:rFonts w:ascii="Times New Roman" w:eastAsia="Times New Roman" w:hAnsi="Times New Roman" w:cs="Times New Roman"/>
          <w:bCs/>
          <w:sz w:val="28"/>
          <w:szCs w:val="28"/>
          <w:lang w:eastAsia="ru-RU"/>
        </w:rPr>
        <w:t>а по сравнению с предыдущим годом.</w:t>
      </w:r>
    </w:p>
    <w:p w14:paraId="0C7127E0" w14:textId="77777777" w:rsidR="003F3F5E" w:rsidRDefault="003F3F5E" w:rsidP="003F3F5E">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w:t>
      </w:r>
      <w:r w:rsidRPr="00F00C67">
        <w:rPr>
          <w:rFonts w:ascii="Times New Roman" w:eastAsia="Times New Roman" w:hAnsi="Times New Roman" w:cs="Times New Roman"/>
          <w:bCs/>
          <w:sz w:val="28"/>
          <w:szCs w:val="28"/>
          <w:lang w:eastAsia="ru-RU"/>
        </w:rPr>
        <w:t>2021 г</w:t>
      </w:r>
      <w:r w:rsidR="001C3E3C">
        <w:rPr>
          <w:rFonts w:ascii="Times New Roman" w:eastAsia="Times New Roman" w:hAnsi="Times New Roman" w:cs="Times New Roman"/>
          <w:bCs/>
          <w:sz w:val="28"/>
          <w:szCs w:val="28"/>
          <w:lang w:eastAsia="ru-RU"/>
        </w:rPr>
        <w:t>.</w:t>
      </w:r>
      <w:r w:rsidRPr="00F00C67">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н</w:t>
      </w:r>
      <w:r w:rsidRPr="00F00C67">
        <w:rPr>
          <w:rFonts w:ascii="Times New Roman" w:eastAsia="Times New Roman" w:hAnsi="Times New Roman" w:cs="Times New Roman"/>
          <w:bCs/>
          <w:sz w:val="28"/>
          <w:szCs w:val="28"/>
          <w:lang w:eastAsia="ru-RU"/>
        </w:rPr>
        <w:t>а образовательном по</w:t>
      </w:r>
      <w:r>
        <w:rPr>
          <w:rFonts w:ascii="Times New Roman" w:eastAsia="Times New Roman" w:hAnsi="Times New Roman" w:cs="Times New Roman"/>
          <w:bCs/>
          <w:sz w:val="28"/>
          <w:szCs w:val="28"/>
          <w:lang w:eastAsia="ru-RU"/>
        </w:rPr>
        <w:t>ртале «</w:t>
      </w:r>
      <w:proofErr w:type="spellStart"/>
      <w:r>
        <w:rPr>
          <w:rFonts w:ascii="Times New Roman" w:eastAsia="Times New Roman" w:hAnsi="Times New Roman" w:cs="Times New Roman"/>
          <w:bCs/>
          <w:sz w:val="28"/>
          <w:szCs w:val="28"/>
          <w:lang w:eastAsia="ru-RU"/>
        </w:rPr>
        <w:t>Учеба.онлайн</w:t>
      </w:r>
      <w:proofErr w:type="spellEnd"/>
      <w:r>
        <w:rPr>
          <w:rFonts w:ascii="Times New Roman" w:eastAsia="Times New Roman" w:hAnsi="Times New Roman" w:cs="Times New Roman"/>
          <w:bCs/>
          <w:sz w:val="28"/>
          <w:szCs w:val="28"/>
          <w:lang w:eastAsia="ru-RU"/>
        </w:rPr>
        <w:t xml:space="preserve">» </w:t>
      </w:r>
      <w:r w:rsidRPr="00F00C67">
        <w:rPr>
          <w:rFonts w:ascii="Times New Roman" w:eastAsia="Times New Roman" w:hAnsi="Times New Roman" w:cs="Times New Roman"/>
          <w:bCs/>
          <w:sz w:val="28"/>
          <w:szCs w:val="28"/>
          <w:lang w:eastAsia="ru-RU"/>
        </w:rPr>
        <w:t>обучение в области цифровой грамотности и информационной безопасности прошли более 353</w:t>
      </w:r>
      <w:r w:rsidR="001C3E3C">
        <w:rPr>
          <w:rFonts w:ascii="Times New Roman" w:eastAsia="Times New Roman" w:hAnsi="Times New Roman" w:cs="Times New Roman"/>
          <w:bCs/>
          <w:sz w:val="28"/>
          <w:szCs w:val="28"/>
          <w:lang w:eastAsia="ru-RU"/>
        </w:rPr>
        <w:t>,6 тыс.</w:t>
      </w:r>
      <w:r w:rsidR="00193A2C">
        <w:rPr>
          <w:rFonts w:ascii="Times New Roman" w:eastAsia="Times New Roman" w:hAnsi="Times New Roman" w:cs="Times New Roman"/>
          <w:bCs/>
          <w:sz w:val="28"/>
          <w:szCs w:val="28"/>
          <w:lang w:eastAsia="ru-RU"/>
        </w:rPr>
        <w:t xml:space="preserve"> </w:t>
      </w:r>
      <w:r w:rsidRPr="00F00C67">
        <w:rPr>
          <w:rFonts w:ascii="Times New Roman" w:eastAsia="Times New Roman" w:hAnsi="Times New Roman" w:cs="Times New Roman"/>
          <w:bCs/>
          <w:sz w:val="28"/>
          <w:szCs w:val="28"/>
          <w:lang w:eastAsia="ru-RU"/>
        </w:rPr>
        <w:t>совершеннолетних граждан, имеющих детей, и 141</w:t>
      </w:r>
      <w:r w:rsidR="00193A2C">
        <w:rPr>
          <w:rFonts w:ascii="Times New Roman" w:eastAsia="Times New Roman" w:hAnsi="Times New Roman" w:cs="Times New Roman"/>
          <w:bCs/>
          <w:sz w:val="28"/>
          <w:szCs w:val="28"/>
          <w:lang w:eastAsia="ru-RU"/>
        </w:rPr>
        <w:t xml:space="preserve"> </w:t>
      </w:r>
      <w:r w:rsidR="001C3E3C">
        <w:rPr>
          <w:rFonts w:ascii="Times New Roman" w:eastAsia="Times New Roman" w:hAnsi="Times New Roman" w:cs="Times New Roman"/>
          <w:bCs/>
          <w:sz w:val="28"/>
          <w:szCs w:val="28"/>
          <w:lang w:eastAsia="ru-RU"/>
        </w:rPr>
        <w:t>тыс.</w:t>
      </w:r>
      <w:r w:rsidRPr="00F00C67">
        <w:rPr>
          <w:rFonts w:ascii="Times New Roman" w:eastAsia="Times New Roman" w:hAnsi="Times New Roman" w:cs="Times New Roman"/>
          <w:bCs/>
          <w:sz w:val="28"/>
          <w:szCs w:val="28"/>
          <w:lang w:eastAsia="ru-RU"/>
        </w:rPr>
        <w:t xml:space="preserve"> педагогических и руководящих работников образовательных организаций. В ходе обучения рассматривались общие вопросы информационной безопасности и отдельн</w:t>
      </w:r>
      <w:r w:rsidR="00193A2C">
        <w:rPr>
          <w:rFonts w:ascii="Times New Roman" w:eastAsia="Times New Roman" w:hAnsi="Times New Roman" w:cs="Times New Roman"/>
          <w:bCs/>
          <w:sz w:val="28"/>
          <w:szCs w:val="28"/>
          <w:lang w:eastAsia="ru-RU"/>
        </w:rPr>
        <w:t>о защиты детей в сети Интернет.</w:t>
      </w:r>
    </w:p>
    <w:p w14:paraId="6C136728" w14:textId="77777777" w:rsidR="003F3F5E" w:rsidRPr="00193A2C" w:rsidRDefault="003F3F5E" w:rsidP="00193A2C">
      <w:pPr>
        <w:suppressAutoHyphens/>
        <w:spacing w:after="0" w:line="312" w:lineRule="auto"/>
        <w:ind w:firstLine="709"/>
        <w:jc w:val="both"/>
        <w:rPr>
          <w:rFonts w:ascii="Times New Roman" w:eastAsia="Times New Roman" w:hAnsi="Times New Roman" w:cs="Times New Roman"/>
          <w:sz w:val="28"/>
          <w:szCs w:val="28"/>
          <w:lang w:eastAsia="ru-RU"/>
        </w:rPr>
      </w:pPr>
      <w:r w:rsidRPr="004A148F">
        <w:rPr>
          <w:rFonts w:ascii="Times New Roman" w:eastAsia="Times New Roman" w:hAnsi="Times New Roman" w:cs="Times New Roman"/>
          <w:sz w:val="28"/>
          <w:szCs w:val="28"/>
          <w:lang w:eastAsia="ru-RU"/>
        </w:rPr>
        <w:t>Стоит также отметить, что профилактическая работа в подростковой среде является одним из приоритетных направлений деятельности Роскомнадзора в сфере защиты прав</w:t>
      </w:r>
      <w:r w:rsidR="00193A2C">
        <w:rPr>
          <w:rFonts w:ascii="Times New Roman" w:eastAsia="Times New Roman" w:hAnsi="Times New Roman" w:cs="Times New Roman"/>
          <w:sz w:val="28"/>
          <w:szCs w:val="28"/>
          <w:lang w:eastAsia="ru-RU"/>
        </w:rPr>
        <w:t xml:space="preserve"> субъектов персональных данных. </w:t>
      </w:r>
      <w:r>
        <w:rPr>
          <w:rFonts w:ascii="Times New Roman" w:eastAsia="Times New Roman" w:hAnsi="Times New Roman" w:cs="Times New Roman"/>
          <w:bCs/>
          <w:sz w:val="28"/>
          <w:szCs w:val="28"/>
          <w:lang w:eastAsia="ru-RU"/>
        </w:rPr>
        <w:t>Так, в</w:t>
      </w:r>
      <w:r w:rsidRPr="000B2B50">
        <w:rPr>
          <w:rFonts w:ascii="Times New Roman" w:eastAsia="Times New Roman" w:hAnsi="Times New Roman" w:cs="Times New Roman"/>
          <w:bCs/>
          <w:sz w:val="28"/>
          <w:szCs w:val="28"/>
          <w:lang w:eastAsia="ru-RU"/>
        </w:rPr>
        <w:t xml:space="preserve"> 2021 г</w:t>
      </w:r>
      <w:r w:rsidR="001C3E3C">
        <w:rPr>
          <w:rFonts w:ascii="Times New Roman" w:eastAsia="Times New Roman" w:hAnsi="Times New Roman" w:cs="Times New Roman"/>
          <w:bCs/>
          <w:sz w:val="28"/>
          <w:szCs w:val="28"/>
          <w:lang w:eastAsia="ru-RU"/>
        </w:rPr>
        <w:t>.</w:t>
      </w:r>
      <w:r w:rsidRPr="000B2B50">
        <w:rPr>
          <w:rFonts w:ascii="Times New Roman" w:eastAsia="Times New Roman" w:hAnsi="Times New Roman" w:cs="Times New Roman"/>
          <w:bCs/>
          <w:sz w:val="28"/>
          <w:szCs w:val="28"/>
          <w:lang w:eastAsia="ru-RU"/>
        </w:rPr>
        <w:t xml:space="preserve"> </w:t>
      </w:r>
      <w:r w:rsidR="00193A2C">
        <w:rPr>
          <w:rFonts w:ascii="Times New Roman" w:eastAsia="Times New Roman" w:hAnsi="Times New Roman" w:cs="Times New Roman"/>
          <w:bCs/>
          <w:sz w:val="28"/>
          <w:szCs w:val="28"/>
          <w:lang w:eastAsia="ru-RU"/>
        </w:rPr>
        <w:t xml:space="preserve">в рамках </w:t>
      </w:r>
      <w:r w:rsidR="00193A2C" w:rsidRPr="000B2B50">
        <w:rPr>
          <w:rFonts w:ascii="Times New Roman" w:eastAsia="Times New Roman" w:hAnsi="Times New Roman" w:cs="Times New Roman"/>
          <w:bCs/>
          <w:sz w:val="28"/>
          <w:szCs w:val="28"/>
          <w:lang w:eastAsia="ru-RU"/>
        </w:rPr>
        <w:t xml:space="preserve">популяризацию защиты персональных </w:t>
      </w:r>
      <w:r w:rsidR="00193A2C">
        <w:rPr>
          <w:rFonts w:ascii="Times New Roman" w:eastAsia="Times New Roman" w:hAnsi="Times New Roman" w:cs="Times New Roman"/>
          <w:bCs/>
          <w:sz w:val="28"/>
          <w:szCs w:val="28"/>
          <w:lang w:eastAsia="ru-RU"/>
        </w:rPr>
        <w:t>данных среди несовершеннолетних</w:t>
      </w:r>
      <w:r w:rsidR="00193A2C" w:rsidRPr="000B2B50">
        <w:rPr>
          <w:rFonts w:ascii="Times New Roman" w:eastAsia="Times New Roman" w:hAnsi="Times New Roman" w:cs="Times New Roman"/>
          <w:bCs/>
          <w:sz w:val="28"/>
          <w:szCs w:val="28"/>
          <w:lang w:eastAsia="ru-RU"/>
        </w:rPr>
        <w:t xml:space="preserve"> </w:t>
      </w:r>
      <w:r w:rsidRPr="000B2B50">
        <w:rPr>
          <w:rFonts w:ascii="Times New Roman" w:eastAsia="Times New Roman" w:hAnsi="Times New Roman" w:cs="Times New Roman"/>
          <w:bCs/>
          <w:sz w:val="28"/>
          <w:szCs w:val="28"/>
          <w:lang w:eastAsia="ru-RU"/>
        </w:rPr>
        <w:t>Роскомнадзором проводил</w:t>
      </w:r>
      <w:r w:rsidR="00193A2C">
        <w:rPr>
          <w:rFonts w:ascii="Times New Roman" w:eastAsia="Times New Roman" w:hAnsi="Times New Roman" w:cs="Times New Roman"/>
          <w:bCs/>
          <w:sz w:val="28"/>
          <w:szCs w:val="28"/>
          <w:lang w:eastAsia="ru-RU"/>
        </w:rPr>
        <w:t>и</w:t>
      </w:r>
      <w:r w:rsidRPr="000B2B50">
        <w:rPr>
          <w:rFonts w:ascii="Times New Roman" w:eastAsia="Times New Roman" w:hAnsi="Times New Roman" w:cs="Times New Roman"/>
          <w:bCs/>
          <w:sz w:val="28"/>
          <w:szCs w:val="28"/>
          <w:lang w:eastAsia="ru-RU"/>
        </w:rPr>
        <w:t xml:space="preserve">сь дистанционные уроки </w:t>
      </w:r>
      <w:r>
        <w:rPr>
          <w:rFonts w:ascii="Times New Roman" w:eastAsia="Times New Roman" w:hAnsi="Times New Roman" w:cs="Times New Roman"/>
          <w:bCs/>
          <w:sz w:val="28"/>
          <w:szCs w:val="28"/>
          <w:lang w:eastAsia="ru-RU"/>
        </w:rPr>
        <w:t>п</w:t>
      </w:r>
      <w:r w:rsidRPr="000B2B50">
        <w:rPr>
          <w:rFonts w:ascii="Times New Roman" w:eastAsia="Times New Roman" w:hAnsi="Times New Roman" w:cs="Times New Roman"/>
          <w:bCs/>
          <w:sz w:val="28"/>
          <w:szCs w:val="28"/>
          <w:lang w:eastAsia="ru-RU"/>
        </w:rPr>
        <w:t xml:space="preserve">о защите персональных данных с использованием технических возможностей региональных органов власти в сфере образования, центров дистанционного обучения в регионах с целью </w:t>
      </w:r>
      <w:r>
        <w:rPr>
          <w:rFonts w:ascii="Times New Roman" w:eastAsia="Times New Roman" w:hAnsi="Times New Roman" w:cs="Times New Roman"/>
          <w:bCs/>
          <w:sz w:val="28"/>
          <w:szCs w:val="28"/>
          <w:lang w:eastAsia="ru-RU"/>
        </w:rPr>
        <w:t>максимального охвата слушателей,</w:t>
      </w:r>
      <w:r w:rsidRPr="000B2B5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в которых приняло </w:t>
      </w:r>
      <w:r w:rsidRPr="000B2B50">
        <w:rPr>
          <w:rFonts w:ascii="Times New Roman" w:eastAsia="Times New Roman" w:hAnsi="Times New Roman" w:cs="Times New Roman"/>
          <w:bCs/>
          <w:sz w:val="28"/>
          <w:szCs w:val="28"/>
          <w:lang w:eastAsia="ru-RU"/>
        </w:rPr>
        <w:t>участие 967</w:t>
      </w:r>
      <w:r w:rsidR="001C3E3C">
        <w:rPr>
          <w:rFonts w:ascii="Times New Roman" w:eastAsia="Times New Roman" w:hAnsi="Times New Roman" w:cs="Times New Roman"/>
          <w:bCs/>
          <w:sz w:val="28"/>
          <w:szCs w:val="28"/>
          <w:lang w:eastAsia="ru-RU"/>
        </w:rPr>
        <w:t>,1 тыс.</w:t>
      </w:r>
      <w:r w:rsidRPr="000B2B50">
        <w:rPr>
          <w:rFonts w:ascii="Times New Roman" w:eastAsia="Times New Roman" w:hAnsi="Times New Roman" w:cs="Times New Roman"/>
          <w:bCs/>
          <w:sz w:val="28"/>
          <w:szCs w:val="28"/>
          <w:lang w:eastAsia="ru-RU"/>
        </w:rPr>
        <w:t xml:space="preserve"> учащихся. </w:t>
      </w:r>
    </w:p>
    <w:p w14:paraId="3F695EDF" w14:textId="77777777" w:rsidR="003F3F5E" w:rsidRDefault="003F3F5E" w:rsidP="003F3F5E">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летний период 2021 г</w:t>
      </w:r>
      <w:r w:rsidR="001C3E3C">
        <w:rPr>
          <w:rFonts w:ascii="Times New Roman" w:eastAsia="Times New Roman" w:hAnsi="Times New Roman" w:cs="Times New Roman"/>
          <w:bCs/>
          <w:sz w:val="28"/>
          <w:szCs w:val="28"/>
          <w:lang w:eastAsia="ru-RU"/>
        </w:rPr>
        <w:t>.</w:t>
      </w:r>
      <w:r w:rsidRPr="000B2B50">
        <w:rPr>
          <w:rFonts w:ascii="Times New Roman" w:eastAsia="Times New Roman" w:hAnsi="Times New Roman" w:cs="Times New Roman"/>
          <w:bCs/>
          <w:sz w:val="28"/>
          <w:szCs w:val="28"/>
          <w:lang w:eastAsia="ru-RU"/>
        </w:rPr>
        <w:t xml:space="preserve"> на базе организаций отдыха детей и оздоровления сезонного и круглогодичного действия (летних лагерей) Роскомнадзором проведено 7</w:t>
      </w:r>
      <w:r w:rsidR="00547C34">
        <w:rPr>
          <w:rFonts w:ascii="Times New Roman" w:eastAsia="Times New Roman" w:hAnsi="Times New Roman" w:cs="Times New Roman"/>
          <w:bCs/>
          <w:sz w:val="28"/>
          <w:szCs w:val="28"/>
          <w:lang w:eastAsia="ru-RU"/>
        </w:rPr>
        <w:t xml:space="preserve"> </w:t>
      </w:r>
      <w:r w:rsidRPr="000B2B50">
        <w:rPr>
          <w:rFonts w:ascii="Times New Roman" w:eastAsia="Times New Roman" w:hAnsi="Times New Roman" w:cs="Times New Roman"/>
          <w:bCs/>
          <w:sz w:val="28"/>
          <w:szCs w:val="28"/>
          <w:lang w:eastAsia="ru-RU"/>
        </w:rPr>
        <w:t>939 тематических мероприятий по вопросам защиты персональных данных с общим охватом около 612</w:t>
      </w:r>
      <w:r w:rsidR="00547C34">
        <w:rPr>
          <w:rFonts w:ascii="Times New Roman" w:eastAsia="Times New Roman" w:hAnsi="Times New Roman" w:cs="Times New Roman"/>
          <w:bCs/>
          <w:sz w:val="28"/>
          <w:szCs w:val="28"/>
          <w:lang w:eastAsia="ru-RU"/>
        </w:rPr>
        <w:t xml:space="preserve"> </w:t>
      </w:r>
      <w:r w:rsidR="00F86328">
        <w:rPr>
          <w:rFonts w:ascii="Times New Roman" w:eastAsia="Times New Roman" w:hAnsi="Times New Roman" w:cs="Times New Roman"/>
          <w:bCs/>
          <w:sz w:val="28"/>
          <w:szCs w:val="28"/>
          <w:lang w:eastAsia="ru-RU"/>
        </w:rPr>
        <w:t>тыс.</w:t>
      </w:r>
      <w:r w:rsidRPr="000B2B50">
        <w:rPr>
          <w:rFonts w:ascii="Times New Roman" w:eastAsia="Times New Roman" w:hAnsi="Times New Roman" w:cs="Times New Roman"/>
          <w:bCs/>
          <w:sz w:val="28"/>
          <w:szCs w:val="28"/>
          <w:lang w:eastAsia="ru-RU"/>
        </w:rPr>
        <w:t xml:space="preserve"> несовершен</w:t>
      </w:r>
      <w:r w:rsidR="00547C34">
        <w:rPr>
          <w:rFonts w:ascii="Times New Roman" w:eastAsia="Times New Roman" w:hAnsi="Times New Roman" w:cs="Times New Roman"/>
          <w:bCs/>
          <w:sz w:val="28"/>
          <w:szCs w:val="28"/>
          <w:lang w:eastAsia="ru-RU"/>
        </w:rPr>
        <w:t>нолетних.</w:t>
      </w:r>
    </w:p>
    <w:p w14:paraId="486955DF" w14:textId="77777777" w:rsidR="003F3F5E" w:rsidRDefault="003F3F5E" w:rsidP="003F3F5E">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0B2B50">
        <w:rPr>
          <w:rFonts w:ascii="Times New Roman" w:eastAsia="Times New Roman" w:hAnsi="Times New Roman" w:cs="Times New Roman"/>
          <w:bCs/>
          <w:sz w:val="28"/>
          <w:szCs w:val="28"/>
          <w:lang w:eastAsia="ru-RU"/>
        </w:rPr>
        <w:t>В рамках взаимодействия с молодежными объединениями</w:t>
      </w:r>
      <w:r w:rsidR="00547C34">
        <w:rPr>
          <w:rFonts w:ascii="Times New Roman" w:eastAsia="Times New Roman" w:hAnsi="Times New Roman" w:cs="Times New Roman"/>
          <w:bCs/>
          <w:sz w:val="28"/>
          <w:szCs w:val="28"/>
          <w:lang w:eastAsia="ru-RU"/>
        </w:rPr>
        <w:t xml:space="preserve">, </w:t>
      </w:r>
      <w:r w:rsidRPr="000B2B50">
        <w:rPr>
          <w:rFonts w:ascii="Times New Roman" w:eastAsia="Times New Roman" w:hAnsi="Times New Roman" w:cs="Times New Roman"/>
          <w:bCs/>
          <w:sz w:val="28"/>
          <w:szCs w:val="28"/>
          <w:lang w:eastAsia="ru-RU"/>
        </w:rPr>
        <w:t>в том числе с Российским движением школьников, Российским союзом молодежи</w:t>
      </w:r>
      <w:r w:rsidR="00547C34">
        <w:rPr>
          <w:rFonts w:ascii="Times New Roman" w:eastAsia="Times New Roman" w:hAnsi="Times New Roman" w:cs="Times New Roman"/>
          <w:bCs/>
          <w:sz w:val="28"/>
          <w:szCs w:val="28"/>
          <w:lang w:eastAsia="ru-RU"/>
        </w:rPr>
        <w:t>,</w:t>
      </w:r>
      <w:r w:rsidRPr="000B2B50">
        <w:rPr>
          <w:rFonts w:ascii="Times New Roman" w:eastAsia="Times New Roman" w:hAnsi="Times New Roman" w:cs="Times New Roman"/>
          <w:bCs/>
          <w:sz w:val="28"/>
          <w:szCs w:val="28"/>
          <w:lang w:eastAsia="ru-RU"/>
        </w:rPr>
        <w:t xml:space="preserve"> специалистами Роскомнадзора проведено 27 мероприятий, посвященных важности бережного отношения к персональным данным, участие в которых приняли в общей сложности более 10</w:t>
      </w:r>
      <w:r w:rsidR="001C3E3C">
        <w:rPr>
          <w:rFonts w:ascii="Times New Roman" w:eastAsia="Times New Roman" w:hAnsi="Times New Roman" w:cs="Times New Roman"/>
          <w:bCs/>
          <w:sz w:val="28"/>
          <w:szCs w:val="28"/>
          <w:lang w:eastAsia="ru-RU"/>
        </w:rPr>
        <w:t>,</w:t>
      </w:r>
      <w:r w:rsidRPr="000B2B50">
        <w:rPr>
          <w:rFonts w:ascii="Times New Roman" w:eastAsia="Times New Roman" w:hAnsi="Times New Roman" w:cs="Times New Roman"/>
          <w:bCs/>
          <w:sz w:val="28"/>
          <w:szCs w:val="28"/>
          <w:lang w:eastAsia="ru-RU"/>
        </w:rPr>
        <w:t>5</w:t>
      </w:r>
      <w:r w:rsidR="001C3E3C">
        <w:rPr>
          <w:rFonts w:ascii="Times New Roman" w:eastAsia="Times New Roman" w:hAnsi="Times New Roman" w:cs="Times New Roman"/>
          <w:bCs/>
          <w:sz w:val="28"/>
          <w:szCs w:val="28"/>
          <w:lang w:eastAsia="ru-RU"/>
        </w:rPr>
        <w:t xml:space="preserve"> тыс.</w:t>
      </w:r>
      <w:r w:rsidRPr="000B2B50">
        <w:rPr>
          <w:rFonts w:ascii="Times New Roman" w:eastAsia="Times New Roman" w:hAnsi="Times New Roman" w:cs="Times New Roman"/>
          <w:bCs/>
          <w:sz w:val="28"/>
          <w:szCs w:val="28"/>
          <w:lang w:eastAsia="ru-RU"/>
        </w:rPr>
        <w:t xml:space="preserve"> подростков. </w:t>
      </w:r>
    </w:p>
    <w:p w14:paraId="0C102315" w14:textId="77777777" w:rsidR="003F3F5E" w:rsidRDefault="003F3F5E" w:rsidP="003F3F5E">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0B2B50">
        <w:rPr>
          <w:rFonts w:ascii="Times New Roman" w:eastAsia="Times New Roman" w:hAnsi="Times New Roman" w:cs="Times New Roman"/>
          <w:bCs/>
          <w:sz w:val="28"/>
          <w:szCs w:val="28"/>
          <w:lang w:eastAsia="ru-RU"/>
        </w:rPr>
        <w:t>Помимо выездов специалистов территориальных органов Роскомнадзора в места отдыха детей и их оздоро</w:t>
      </w:r>
      <w:r w:rsidR="00787935">
        <w:rPr>
          <w:rFonts w:ascii="Times New Roman" w:eastAsia="Times New Roman" w:hAnsi="Times New Roman" w:cs="Times New Roman"/>
          <w:bCs/>
          <w:sz w:val="28"/>
          <w:szCs w:val="28"/>
          <w:lang w:eastAsia="ru-RU"/>
        </w:rPr>
        <w:t>вления в июне</w:t>
      </w:r>
      <w:r w:rsidR="001C3E3C">
        <w:rPr>
          <w:rFonts w:ascii="Times New Roman" w:eastAsia="Times New Roman" w:hAnsi="Times New Roman" w:cs="Times New Roman"/>
          <w:bCs/>
          <w:sz w:val="28"/>
          <w:szCs w:val="28"/>
          <w:lang w:eastAsia="ru-RU"/>
        </w:rPr>
        <w:t>-</w:t>
      </w:r>
      <w:r w:rsidR="00787935">
        <w:rPr>
          <w:rFonts w:ascii="Times New Roman" w:eastAsia="Times New Roman" w:hAnsi="Times New Roman" w:cs="Times New Roman"/>
          <w:bCs/>
          <w:sz w:val="28"/>
          <w:szCs w:val="28"/>
          <w:lang w:eastAsia="ru-RU"/>
        </w:rPr>
        <w:t xml:space="preserve">августе </w:t>
      </w:r>
      <w:r>
        <w:rPr>
          <w:rFonts w:ascii="Times New Roman" w:eastAsia="Times New Roman" w:hAnsi="Times New Roman" w:cs="Times New Roman"/>
          <w:bCs/>
          <w:sz w:val="28"/>
          <w:szCs w:val="28"/>
          <w:lang w:eastAsia="ru-RU"/>
        </w:rPr>
        <w:t>2021 г</w:t>
      </w:r>
      <w:r w:rsidR="00EE32C9">
        <w:rPr>
          <w:rFonts w:ascii="Times New Roman" w:eastAsia="Times New Roman" w:hAnsi="Times New Roman" w:cs="Times New Roman"/>
          <w:bCs/>
          <w:sz w:val="28"/>
          <w:szCs w:val="28"/>
          <w:lang w:eastAsia="ru-RU"/>
        </w:rPr>
        <w:t>.</w:t>
      </w:r>
      <w:r w:rsidRPr="000B2B50">
        <w:rPr>
          <w:rFonts w:ascii="Times New Roman" w:eastAsia="Times New Roman" w:hAnsi="Times New Roman" w:cs="Times New Roman"/>
          <w:bCs/>
          <w:sz w:val="28"/>
          <w:szCs w:val="28"/>
          <w:lang w:eastAsia="ru-RU"/>
        </w:rPr>
        <w:t xml:space="preserve"> также проводились профилактические и информационно-разъяснительные работы среди детей и молодежи по вопросам законодательства в области защиты персональных данных. Мероприятия проводились дистанционно либо силами представителей педагогического и воспитательного (вожатского) состава на базе лагерей дневного пребывания и детских оздоровительных лагерей с использованием информационных материалов, предоставленных Роскомнадзором. </w:t>
      </w:r>
    </w:p>
    <w:p w14:paraId="621E92A7" w14:textId="77777777" w:rsidR="003F3F5E" w:rsidRDefault="003F3F5E" w:rsidP="003F3F5E">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0B2B50">
        <w:rPr>
          <w:rFonts w:ascii="Times New Roman" w:eastAsia="Times New Roman" w:hAnsi="Times New Roman" w:cs="Times New Roman"/>
          <w:bCs/>
          <w:sz w:val="28"/>
          <w:szCs w:val="28"/>
          <w:lang w:eastAsia="ru-RU"/>
        </w:rPr>
        <w:t>В рамках обучающих меропр</w:t>
      </w:r>
      <w:r w:rsidR="00101294">
        <w:rPr>
          <w:rFonts w:ascii="Times New Roman" w:eastAsia="Times New Roman" w:hAnsi="Times New Roman" w:cs="Times New Roman"/>
          <w:bCs/>
          <w:sz w:val="28"/>
          <w:szCs w:val="28"/>
          <w:lang w:eastAsia="ru-RU"/>
        </w:rPr>
        <w:t>иятий Роскомнадзором также</w:t>
      </w:r>
      <w:r w:rsidRPr="000B2B50">
        <w:rPr>
          <w:rFonts w:ascii="Times New Roman" w:eastAsia="Times New Roman" w:hAnsi="Times New Roman" w:cs="Times New Roman"/>
          <w:bCs/>
          <w:sz w:val="28"/>
          <w:szCs w:val="28"/>
          <w:lang w:eastAsia="ru-RU"/>
        </w:rPr>
        <w:t xml:space="preserve"> распростра</w:t>
      </w:r>
      <w:r w:rsidR="00101294">
        <w:rPr>
          <w:rFonts w:ascii="Times New Roman" w:eastAsia="Times New Roman" w:hAnsi="Times New Roman" w:cs="Times New Roman"/>
          <w:bCs/>
          <w:sz w:val="28"/>
          <w:szCs w:val="28"/>
          <w:lang w:eastAsia="ru-RU"/>
        </w:rPr>
        <w:t xml:space="preserve">нено </w:t>
      </w:r>
      <w:r w:rsidR="00101294" w:rsidRPr="000B2B50">
        <w:rPr>
          <w:rFonts w:ascii="Times New Roman" w:eastAsia="Times New Roman" w:hAnsi="Times New Roman" w:cs="Times New Roman"/>
          <w:bCs/>
          <w:sz w:val="28"/>
          <w:szCs w:val="28"/>
          <w:lang w:eastAsia="ru-RU"/>
        </w:rPr>
        <w:t>более 463</w:t>
      </w:r>
      <w:r w:rsidR="00101294">
        <w:rPr>
          <w:rFonts w:ascii="Times New Roman" w:eastAsia="Times New Roman" w:hAnsi="Times New Roman" w:cs="Times New Roman"/>
          <w:bCs/>
          <w:sz w:val="28"/>
          <w:szCs w:val="28"/>
          <w:lang w:eastAsia="ru-RU"/>
        </w:rPr>
        <w:t xml:space="preserve"> </w:t>
      </w:r>
      <w:r w:rsidR="00EE32C9">
        <w:rPr>
          <w:rFonts w:ascii="Times New Roman" w:eastAsia="Times New Roman" w:hAnsi="Times New Roman" w:cs="Times New Roman"/>
          <w:bCs/>
          <w:sz w:val="28"/>
          <w:szCs w:val="28"/>
          <w:lang w:eastAsia="ru-RU"/>
        </w:rPr>
        <w:t>тыс.</w:t>
      </w:r>
      <w:r w:rsidR="00101294" w:rsidRPr="000B2B50">
        <w:rPr>
          <w:rFonts w:ascii="Times New Roman" w:eastAsia="Times New Roman" w:hAnsi="Times New Roman" w:cs="Times New Roman"/>
          <w:bCs/>
          <w:sz w:val="28"/>
          <w:szCs w:val="28"/>
          <w:lang w:eastAsia="ru-RU"/>
        </w:rPr>
        <w:t xml:space="preserve"> </w:t>
      </w:r>
      <w:r w:rsidRPr="000B2B50">
        <w:rPr>
          <w:rFonts w:ascii="Times New Roman" w:eastAsia="Times New Roman" w:hAnsi="Times New Roman" w:cs="Times New Roman"/>
          <w:bCs/>
          <w:sz w:val="28"/>
          <w:szCs w:val="28"/>
          <w:lang w:eastAsia="ru-RU"/>
        </w:rPr>
        <w:t>информационны</w:t>
      </w:r>
      <w:r w:rsidR="00101294">
        <w:rPr>
          <w:rFonts w:ascii="Times New Roman" w:eastAsia="Times New Roman" w:hAnsi="Times New Roman" w:cs="Times New Roman"/>
          <w:bCs/>
          <w:sz w:val="28"/>
          <w:szCs w:val="28"/>
          <w:lang w:eastAsia="ru-RU"/>
        </w:rPr>
        <w:t>х</w:t>
      </w:r>
      <w:r w:rsidRPr="000B2B50">
        <w:rPr>
          <w:rFonts w:ascii="Times New Roman" w:eastAsia="Times New Roman" w:hAnsi="Times New Roman" w:cs="Times New Roman"/>
          <w:bCs/>
          <w:sz w:val="28"/>
          <w:szCs w:val="28"/>
          <w:lang w:eastAsia="ru-RU"/>
        </w:rPr>
        <w:t xml:space="preserve"> буклет</w:t>
      </w:r>
      <w:r w:rsidR="00101294">
        <w:rPr>
          <w:rFonts w:ascii="Times New Roman" w:eastAsia="Times New Roman" w:hAnsi="Times New Roman" w:cs="Times New Roman"/>
          <w:bCs/>
          <w:sz w:val="28"/>
          <w:szCs w:val="28"/>
          <w:lang w:eastAsia="ru-RU"/>
        </w:rPr>
        <w:t>ов</w:t>
      </w:r>
      <w:r w:rsidRPr="000B2B50">
        <w:rPr>
          <w:rFonts w:ascii="Times New Roman" w:eastAsia="Times New Roman" w:hAnsi="Times New Roman" w:cs="Times New Roman"/>
          <w:bCs/>
          <w:sz w:val="28"/>
          <w:szCs w:val="28"/>
          <w:lang w:eastAsia="ru-RU"/>
        </w:rPr>
        <w:t>, направленны</w:t>
      </w:r>
      <w:r w:rsidR="00101294">
        <w:rPr>
          <w:rFonts w:ascii="Times New Roman" w:eastAsia="Times New Roman" w:hAnsi="Times New Roman" w:cs="Times New Roman"/>
          <w:bCs/>
          <w:sz w:val="28"/>
          <w:szCs w:val="28"/>
          <w:lang w:eastAsia="ru-RU"/>
        </w:rPr>
        <w:t>х</w:t>
      </w:r>
      <w:r w:rsidRPr="000B2B50">
        <w:rPr>
          <w:rFonts w:ascii="Times New Roman" w:eastAsia="Times New Roman" w:hAnsi="Times New Roman" w:cs="Times New Roman"/>
          <w:bCs/>
          <w:sz w:val="28"/>
          <w:szCs w:val="28"/>
          <w:lang w:eastAsia="ru-RU"/>
        </w:rPr>
        <w:t xml:space="preserve"> на формирование бережного отношения учащихся к своим персональным данным. Кроме того, Роскомнадзором были проведены конкурсы тематических плакатов и видеороликов «Защити свои персональные данные»</w:t>
      </w:r>
      <w:r w:rsidR="00101294">
        <w:rPr>
          <w:rFonts w:ascii="Times New Roman" w:eastAsia="Times New Roman" w:hAnsi="Times New Roman" w:cs="Times New Roman"/>
          <w:bCs/>
          <w:sz w:val="28"/>
          <w:szCs w:val="28"/>
          <w:lang w:eastAsia="ru-RU"/>
        </w:rPr>
        <w:t>, участие в которых приняли</w:t>
      </w:r>
      <w:r w:rsidRPr="000B2B50">
        <w:rPr>
          <w:rFonts w:ascii="Times New Roman" w:eastAsia="Times New Roman" w:hAnsi="Times New Roman" w:cs="Times New Roman"/>
          <w:bCs/>
          <w:sz w:val="28"/>
          <w:szCs w:val="28"/>
          <w:lang w:eastAsia="ru-RU"/>
        </w:rPr>
        <w:t xml:space="preserve"> более 1</w:t>
      </w:r>
      <w:r w:rsidR="001C3E3C">
        <w:rPr>
          <w:rFonts w:ascii="Times New Roman" w:eastAsia="Times New Roman" w:hAnsi="Times New Roman" w:cs="Times New Roman"/>
          <w:bCs/>
          <w:sz w:val="28"/>
          <w:szCs w:val="28"/>
          <w:lang w:eastAsia="ru-RU"/>
        </w:rPr>
        <w:t>,5 тыс.</w:t>
      </w:r>
      <w:r w:rsidRPr="000B2B50">
        <w:rPr>
          <w:rFonts w:ascii="Times New Roman" w:eastAsia="Times New Roman" w:hAnsi="Times New Roman" w:cs="Times New Roman"/>
          <w:bCs/>
          <w:sz w:val="28"/>
          <w:szCs w:val="28"/>
          <w:lang w:eastAsia="ru-RU"/>
        </w:rPr>
        <w:t xml:space="preserve"> </w:t>
      </w:r>
      <w:r w:rsidR="00101294">
        <w:rPr>
          <w:rFonts w:ascii="Times New Roman" w:eastAsia="Times New Roman" w:hAnsi="Times New Roman" w:cs="Times New Roman"/>
          <w:bCs/>
          <w:sz w:val="28"/>
          <w:szCs w:val="28"/>
          <w:lang w:eastAsia="ru-RU"/>
        </w:rPr>
        <w:t>учащихся и студентов</w:t>
      </w:r>
      <w:r w:rsidRPr="000B2B50">
        <w:rPr>
          <w:rFonts w:ascii="Times New Roman" w:eastAsia="Times New Roman" w:hAnsi="Times New Roman" w:cs="Times New Roman"/>
          <w:bCs/>
          <w:sz w:val="28"/>
          <w:szCs w:val="28"/>
          <w:lang w:eastAsia="ru-RU"/>
        </w:rPr>
        <w:t xml:space="preserve">. </w:t>
      </w:r>
    </w:p>
    <w:p w14:paraId="49ECE915" w14:textId="77777777" w:rsidR="003F3F5E" w:rsidRDefault="00101294" w:rsidP="003F3F5E">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Кроме того, в</w:t>
      </w:r>
      <w:r w:rsidR="003F3F5E">
        <w:rPr>
          <w:rFonts w:ascii="Times New Roman" w:eastAsia="Times New Roman" w:hAnsi="Times New Roman" w:cs="Times New Roman"/>
          <w:bCs/>
          <w:sz w:val="28"/>
          <w:szCs w:val="28"/>
          <w:lang w:eastAsia="ru-RU"/>
        </w:rPr>
        <w:t xml:space="preserve"> поддержку федерального проекта «Кадры для цифровой экономики»</w:t>
      </w:r>
      <w:r w:rsidR="003F3F5E" w:rsidRPr="00F00C67">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национальной программы «Цифровая экономика Российской Федерации» </w:t>
      </w:r>
      <w:r w:rsidR="003F3F5E" w:rsidRPr="00F00C67">
        <w:rPr>
          <w:rFonts w:ascii="Times New Roman" w:eastAsia="Times New Roman" w:hAnsi="Times New Roman" w:cs="Times New Roman"/>
          <w:bCs/>
          <w:sz w:val="28"/>
          <w:szCs w:val="28"/>
          <w:lang w:eastAsia="ru-RU"/>
        </w:rPr>
        <w:t xml:space="preserve">реализуется </w:t>
      </w:r>
      <w:r>
        <w:rPr>
          <w:rFonts w:ascii="Times New Roman" w:eastAsia="Times New Roman" w:hAnsi="Times New Roman" w:cs="Times New Roman"/>
          <w:bCs/>
          <w:sz w:val="28"/>
          <w:szCs w:val="28"/>
          <w:lang w:eastAsia="ru-RU"/>
        </w:rPr>
        <w:t>В</w:t>
      </w:r>
      <w:r w:rsidR="003F3F5E" w:rsidRPr="00F00C67">
        <w:rPr>
          <w:rFonts w:ascii="Times New Roman" w:eastAsia="Times New Roman" w:hAnsi="Times New Roman" w:cs="Times New Roman"/>
          <w:bCs/>
          <w:sz w:val="28"/>
          <w:szCs w:val="28"/>
          <w:lang w:eastAsia="ru-RU"/>
        </w:rPr>
        <w:t>сероссийский образовательный проект «Урок цифры» (</w:t>
      </w:r>
      <w:hyperlink r:id="rId18" w:history="1">
        <w:r w:rsidRPr="00B049F5">
          <w:rPr>
            <w:rStyle w:val="af1"/>
            <w:rFonts w:ascii="Times New Roman" w:eastAsia="Times New Roman" w:hAnsi="Times New Roman" w:cs="Times New Roman"/>
            <w:bCs/>
            <w:sz w:val="28"/>
            <w:szCs w:val="28"/>
            <w:lang w:eastAsia="ru-RU"/>
          </w:rPr>
          <w:t>https://урокцифры.рф/</w:t>
        </w:r>
      </w:hyperlink>
      <w:r w:rsidR="003F3F5E" w:rsidRPr="00F00C67">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r w:rsidR="003F3F5E" w:rsidRPr="00F00C67">
        <w:rPr>
          <w:rFonts w:ascii="Times New Roman" w:eastAsia="Times New Roman" w:hAnsi="Times New Roman" w:cs="Times New Roman"/>
          <w:bCs/>
          <w:sz w:val="28"/>
          <w:szCs w:val="28"/>
          <w:lang w:eastAsia="ru-RU"/>
        </w:rPr>
        <w:t xml:space="preserve"> позволяющий учащимся получить знания от ведущих технологических компаний</w:t>
      </w:r>
      <w:r w:rsidRPr="00F00C67">
        <w:rPr>
          <w:rFonts w:ascii="Times New Roman" w:eastAsia="Times New Roman" w:hAnsi="Times New Roman" w:cs="Times New Roman"/>
          <w:bCs/>
          <w:sz w:val="28"/>
          <w:szCs w:val="28"/>
          <w:lang w:eastAsia="ru-RU"/>
        </w:rPr>
        <w:t>-лидерами цифровой трансформации</w:t>
      </w:r>
      <w:r w:rsidR="003F3F5E" w:rsidRPr="00F00C67">
        <w:rPr>
          <w:rFonts w:ascii="Times New Roman" w:eastAsia="Times New Roman" w:hAnsi="Times New Roman" w:cs="Times New Roman"/>
          <w:bCs/>
          <w:sz w:val="28"/>
          <w:szCs w:val="28"/>
          <w:lang w:eastAsia="ru-RU"/>
        </w:rPr>
        <w:t xml:space="preserve"> и развить навыки и </w:t>
      </w:r>
      <w:r>
        <w:rPr>
          <w:rFonts w:ascii="Times New Roman" w:eastAsia="Times New Roman" w:hAnsi="Times New Roman" w:cs="Times New Roman"/>
          <w:bCs/>
          <w:sz w:val="28"/>
          <w:szCs w:val="28"/>
          <w:lang w:eastAsia="ru-RU"/>
        </w:rPr>
        <w:t>компетенции цифровой экономики, определиться с профессией.</w:t>
      </w:r>
    </w:p>
    <w:p w14:paraId="20B6B15C" w14:textId="77777777" w:rsidR="003F3F5E" w:rsidRDefault="003F3F5E" w:rsidP="00101294">
      <w:pPr>
        <w:autoSpaceDE w:val="0"/>
        <w:autoSpaceDN w:val="0"/>
        <w:adjustRightInd w:val="0"/>
        <w:spacing w:after="0" w:line="312" w:lineRule="auto"/>
        <w:ind w:firstLine="709"/>
        <w:jc w:val="both"/>
        <w:rPr>
          <w:rFonts w:ascii="Times New Roman" w:eastAsia="Times New Roman" w:hAnsi="Times New Roman" w:cs="Times New Roman"/>
          <w:bCs/>
          <w:sz w:val="28"/>
          <w:szCs w:val="28"/>
          <w:lang w:eastAsia="ru-RU"/>
        </w:rPr>
      </w:pPr>
      <w:r w:rsidRPr="00F00C67">
        <w:rPr>
          <w:rFonts w:ascii="Times New Roman" w:eastAsia="Times New Roman" w:hAnsi="Times New Roman" w:cs="Times New Roman"/>
          <w:bCs/>
          <w:sz w:val="28"/>
          <w:szCs w:val="28"/>
          <w:lang w:eastAsia="ru-RU"/>
        </w:rPr>
        <w:t xml:space="preserve">Занятия на тематических тренажерах проекта «Урок цифры» реализованы в виде увлекательных онлайн-игр для трех возрастных групп – учащихся младшей, средней и старшей школы. В любое время на сайте проекта доступны для проведения уроки по большим данным, сетям и облачным технологиям, персональным помощникам и безопасному поведению в </w:t>
      </w:r>
      <w:r>
        <w:rPr>
          <w:rFonts w:ascii="Times New Roman" w:eastAsia="Times New Roman" w:hAnsi="Times New Roman" w:cs="Times New Roman"/>
          <w:bCs/>
          <w:sz w:val="28"/>
          <w:szCs w:val="28"/>
          <w:lang w:eastAsia="ru-RU"/>
        </w:rPr>
        <w:t>сети Интернет</w:t>
      </w:r>
      <w:r w:rsidRPr="00F00C67">
        <w:rPr>
          <w:rFonts w:ascii="Times New Roman" w:eastAsia="Times New Roman" w:hAnsi="Times New Roman" w:cs="Times New Roman"/>
          <w:bCs/>
          <w:sz w:val="28"/>
          <w:szCs w:val="28"/>
          <w:lang w:eastAsia="ru-RU"/>
        </w:rPr>
        <w:t xml:space="preserve">. В 2021 учебном году </w:t>
      </w:r>
      <w:r w:rsidR="00101294">
        <w:rPr>
          <w:rFonts w:ascii="Times New Roman" w:eastAsia="Times New Roman" w:hAnsi="Times New Roman" w:cs="Times New Roman"/>
          <w:bCs/>
          <w:sz w:val="28"/>
          <w:szCs w:val="28"/>
          <w:lang w:eastAsia="ru-RU"/>
        </w:rPr>
        <w:t>в рамках образовательного проекта было охвачено</w:t>
      </w:r>
      <w:r w:rsidRPr="00F00C67">
        <w:rPr>
          <w:rFonts w:ascii="Times New Roman" w:eastAsia="Times New Roman" w:hAnsi="Times New Roman" w:cs="Times New Roman"/>
          <w:bCs/>
          <w:sz w:val="28"/>
          <w:szCs w:val="28"/>
          <w:lang w:eastAsia="ru-RU"/>
        </w:rPr>
        <w:t xml:space="preserve"> боле</w:t>
      </w:r>
      <w:r>
        <w:rPr>
          <w:rFonts w:ascii="Times New Roman" w:eastAsia="Times New Roman" w:hAnsi="Times New Roman" w:cs="Times New Roman"/>
          <w:bCs/>
          <w:sz w:val="28"/>
          <w:szCs w:val="28"/>
          <w:lang w:eastAsia="ru-RU"/>
        </w:rPr>
        <w:t>е 6,5 млн российских школьников</w:t>
      </w:r>
      <w:r w:rsidR="00101294">
        <w:rPr>
          <w:rFonts w:ascii="Times New Roman" w:eastAsia="Times New Roman" w:hAnsi="Times New Roman" w:cs="Times New Roman"/>
          <w:bCs/>
          <w:sz w:val="28"/>
          <w:szCs w:val="28"/>
          <w:lang w:eastAsia="ru-RU"/>
        </w:rPr>
        <w:t>. Кроме того, «Урок цифры»</w:t>
      </w:r>
      <w:r>
        <w:rPr>
          <w:rFonts w:ascii="Times New Roman" w:eastAsia="Times New Roman" w:hAnsi="Times New Roman" w:cs="Times New Roman"/>
          <w:bCs/>
          <w:sz w:val="28"/>
          <w:szCs w:val="28"/>
          <w:lang w:eastAsia="ru-RU"/>
        </w:rPr>
        <w:t xml:space="preserve"> </w:t>
      </w:r>
      <w:r w:rsidRPr="00F00C67">
        <w:rPr>
          <w:rFonts w:ascii="Times New Roman" w:eastAsia="Times New Roman" w:hAnsi="Times New Roman" w:cs="Times New Roman"/>
          <w:bCs/>
          <w:sz w:val="28"/>
          <w:szCs w:val="28"/>
          <w:lang w:eastAsia="ru-RU"/>
        </w:rPr>
        <w:t xml:space="preserve">получил Премию </w:t>
      </w:r>
      <w:proofErr w:type="spellStart"/>
      <w:r w:rsidRPr="00F00C67">
        <w:rPr>
          <w:rFonts w:ascii="Times New Roman" w:eastAsia="Times New Roman" w:hAnsi="Times New Roman" w:cs="Times New Roman"/>
          <w:bCs/>
          <w:sz w:val="28"/>
          <w:szCs w:val="28"/>
          <w:lang w:eastAsia="ru-RU"/>
        </w:rPr>
        <w:t>RuPoR</w:t>
      </w:r>
      <w:proofErr w:type="spellEnd"/>
      <w:r w:rsidRPr="00F00C67">
        <w:rPr>
          <w:rFonts w:ascii="Times New Roman" w:eastAsia="Times New Roman" w:hAnsi="Times New Roman" w:cs="Times New Roman"/>
          <w:bCs/>
          <w:sz w:val="28"/>
          <w:szCs w:val="28"/>
          <w:lang w:eastAsia="ru-RU"/>
        </w:rPr>
        <w:t xml:space="preserve"> в номинации </w:t>
      </w:r>
      <w:proofErr w:type="spellStart"/>
      <w:r w:rsidRPr="00F00C67">
        <w:rPr>
          <w:rFonts w:ascii="Times New Roman" w:eastAsia="Times New Roman" w:hAnsi="Times New Roman" w:cs="Times New Roman"/>
          <w:bCs/>
          <w:sz w:val="28"/>
          <w:szCs w:val="28"/>
          <w:lang w:eastAsia="ru-RU"/>
        </w:rPr>
        <w:t>Digital</w:t>
      </w:r>
      <w:proofErr w:type="spellEnd"/>
      <w:r w:rsidRPr="00F00C67">
        <w:rPr>
          <w:rFonts w:ascii="Times New Roman" w:eastAsia="Times New Roman" w:hAnsi="Times New Roman" w:cs="Times New Roman"/>
          <w:bCs/>
          <w:sz w:val="28"/>
          <w:szCs w:val="28"/>
          <w:lang w:eastAsia="ru-RU"/>
        </w:rPr>
        <w:t xml:space="preserve"> образовательный проект</w:t>
      </w:r>
      <w:r>
        <w:rPr>
          <w:rFonts w:ascii="Times New Roman" w:eastAsia="Times New Roman" w:hAnsi="Times New Roman" w:cs="Times New Roman"/>
          <w:bCs/>
          <w:sz w:val="28"/>
          <w:szCs w:val="28"/>
          <w:lang w:eastAsia="ru-RU"/>
        </w:rPr>
        <w:t xml:space="preserve"> </w:t>
      </w:r>
      <w:r w:rsidRPr="00F00C67">
        <w:rPr>
          <w:rFonts w:ascii="Times New Roman" w:eastAsia="Times New Roman" w:hAnsi="Times New Roman" w:cs="Times New Roman"/>
          <w:bCs/>
          <w:sz w:val="28"/>
          <w:szCs w:val="28"/>
          <w:lang w:eastAsia="ru-RU"/>
        </w:rPr>
        <w:t>– «За эффективные цифровые коммуникации с подрастающим поколением» и Национальную премию в области развития общественных связей «Серебряный лучник», победив в номинации «Продвижение государственных и общественных программ».</w:t>
      </w:r>
    </w:p>
    <w:p w14:paraId="1BBECB06" w14:textId="6A8CA607" w:rsidR="003F3F5E" w:rsidRPr="0009284D" w:rsidRDefault="003F3F5E" w:rsidP="003F3F5E">
      <w:pPr>
        <w:widowControl w:val="0"/>
        <w:shd w:val="clear" w:color="auto" w:fill="FFFFFF"/>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Одновременно с этим, в</w:t>
      </w:r>
      <w:r w:rsidRPr="0009284D">
        <w:rPr>
          <w:rFonts w:ascii="Times New Roman" w:eastAsia="Times New Roman" w:hAnsi="Times New Roman" w:cs="Times New Roman"/>
          <w:sz w:val="28"/>
          <w:szCs w:val="28"/>
          <w:lang w:eastAsia="ru-RU"/>
        </w:rPr>
        <w:t xml:space="preserve"> целях </w:t>
      </w:r>
      <w:r>
        <w:rPr>
          <w:rFonts w:ascii="Times New Roman" w:eastAsia="Times New Roman" w:hAnsi="Times New Roman" w:cs="Times New Roman"/>
          <w:sz w:val="28"/>
          <w:szCs w:val="28"/>
          <w:lang w:eastAsia="ru-RU"/>
        </w:rPr>
        <w:t>формирования безопасного информационного пространства</w:t>
      </w:r>
      <w:r w:rsidRPr="000928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наращивания</w:t>
      </w:r>
      <w:r w:rsidRPr="0009284D">
        <w:rPr>
          <w:rFonts w:ascii="Times New Roman" w:eastAsia="Times New Roman" w:hAnsi="Times New Roman" w:cs="Times New Roman"/>
          <w:sz w:val="28"/>
          <w:szCs w:val="28"/>
          <w:lang w:eastAsia="ru-RU"/>
        </w:rPr>
        <w:t xml:space="preserve"> компетенций обучающихся образовательных организаций Российской Федерации в сфере информа</w:t>
      </w:r>
      <w:r>
        <w:rPr>
          <w:rFonts w:ascii="Times New Roman" w:eastAsia="Times New Roman" w:hAnsi="Times New Roman" w:cs="Times New Roman"/>
          <w:sz w:val="28"/>
          <w:szCs w:val="28"/>
          <w:lang w:eastAsia="ru-RU"/>
        </w:rPr>
        <w:t>ционной безопасности в 2021 г</w:t>
      </w:r>
      <w:r w:rsidR="001C3E3C">
        <w:rPr>
          <w:rFonts w:ascii="Times New Roman" w:eastAsia="Times New Roman" w:hAnsi="Times New Roman" w:cs="Times New Roman"/>
          <w:sz w:val="28"/>
          <w:szCs w:val="28"/>
          <w:lang w:eastAsia="ru-RU"/>
        </w:rPr>
        <w:t>.</w:t>
      </w:r>
      <w:r w:rsidRPr="0009284D">
        <w:rPr>
          <w:rFonts w:ascii="Times New Roman" w:eastAsia="Times New Roman" w:hAnsi="Times New Roman" w:cs="Times New Roman"/>
          <w:sz w:val="28"/>
          <w:szCs w:val="28"/>
          <w:lang w:eastAsia="ru-RU"/>
        </w:rPr>
        <w:t xml:space="preserve"> был разработан федеральный урок информатики «Информационная безопасность» для учащихся 7</w:t>
      </w:r>
      <w:r w:rsidR="00DF4B69">
        <w:rPr>
          <w:rFonts w:ascii="Times New Roman" w:eastAsia="Times New Roman" w:hAnsi="Times New Roman" w:cs="Times New Roman"/>
          <w:sz w:val="28"/>
          <w:szCs w:val="28"/>
          <w:lang w:eastAsia="ru-RU"/>
        </w:rPr>
        <w:t>-</w:t>
      </w:r>
      <w:r w:rsidRPr="0009284D">
        <w:rPr>
          <w:rFonts w:ascii="Times New Roman" w:eastAsia="Times New Roman" w:hAnsi="Times New Roman" w:cs="Times New Roman"/>
          <w:sz w:val="28"/>
          <w:szCs w:val="28"/>
          <w:lang w:eastAsia="ru-RU"/>
        </w:rPr>
        <w:t>11 классов и обучающихся по программам среднего профессионального образования</w:t>
      </w:r>
      <w:r>
        <w:rPr>
          <w:rFonts w:ascii="Times New Roman" w:eastAsia="Times New Roman" w:hAnsi="Times New Roman" w:cs="Times New Roman"/>
          <w:sz w:val="28"/>
          <w:szCs w:val="28"/>
          <w:lang w:eastAsia="ru-RU"/>
        </w:rPr>
        <w:t xml:space="preserve"> (далее – урок информатики)</w:t>
      </w:r>
      <w:r w:rsidRPr="0009284D">
        <w:rPr>
          <w:rFonts w:ascii="Times New Roman" w:eastAsia="Times New Roman" w:hAnsi="Times New Roman" w:cs="Times New Roman"/>
          <w:sz w:val="28"/>
          <w:szCs w:val="28"/>
          <w:lang w:eastAsia="ru-RU"/>
        </w:rPr>
        <w:t xml:space="preserve">. </w:t>
      </w:r>
    </w:p>
    <w:p w14:paraId="017F6C4A" w14:textId="77777777" w:rsidR="00101294" w:rsidRDefault="003F3F5E" w:rsidP="00101294">
      <w:pPr>
        <w:widowControl w:val="0"/>
        <w:shd w:val="clear" w:color="auto" w:fill="FFFFFF"/>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09284D">
        <w:rPr>
          <w:rFonts w:ascii="Times New Roman" w:eastAsia="Times New Roman" w:hAnsi="Times New Roman" w:cs="Times New Roman"/>
          <w:sz w:val="28"/>
          <w:szCs w:val="28"/>
          <w:lang w:eastAsia="ru-RU"/>
        </w:rPr>
        <w:t xml:space="preserve">В рамках урока </w:t>
      </w:r>
      <w:r>
        <w:rPr>
          <w:rFonts w:ascii="Times New Roman" w:eastAsia="Times New Roman" w:hAnsi="Times New Roman" w:cs="Times New Roman"/>
          <w:sz w:val="28"/>
          <w:szCs w:val="28"/>
          <w:lang w:eastAsia="ru-RU"/>
        </w:rPr>
        <w:t>информатики давались разъяснения значения</w:t>
      </w:r>
      <w:r w:rsidRPr="0009284D">
        <w:rPr>
          <w:rFonts w:ascii="Times New Roman" w:eastAsia="Times New Roman" w:hAnsi="Times New Roman" w:cs="Times New Roman"/>
          <w:sz w:val="28"/>
          <w:szCs w:val="28"/>
          <w:lang w:eastAsia="ru-RU"/>
        </w:rPr>
        <w:t xml:space="preserve"> термина «досто</w:t>
      </w:r>
      <w:r>
        <w:rPr>
          <w:rFonts w:ascii="Times New Roman" w:eastAsia="Times New Roman" w:hAnsi="Times New Roman" w:cs="Times New Roman"/>
          <w:sz w:val="28"/>
          <w:szCs w:val="28"/>
          <w:lang w:eastAsia="ru-RU"/>
        </w:rPr>
        <w:t>верность информации», происходило</w:t>
      </w:r>
      <w:r w:rsidRPr="0009284D">
        <w:rPr>
          <w:rFonts w:ascii="Times New Roman" w:eastAsia="Times New Roman" w:hAnsi="Times New Roman" w:cs="Times New Roman"/>
          <w:sz w:val="28"/>
          <w:szCs w:val="28"/>
          <w:lang w:eastAsia="ru-RU"/>
        </w:rPr>
        <w:t xml:space="preserve"> знакомство с основными понятиями и принципами информационной безопасности, документами, регулирующими вопросы информационной безопасности на государственном уровне, видам</w:t>
      </w:r>
      <w:r>
        <w:rPr>
          <w:rFonts w:ascii="Times New Roman" w:eastAsia="Times New Roman" w:hAnsi="Times New Roman" w:cs="Times New Roman"/>
          <w:sz w:val="28"/>
          <w:szCs w:val="28"/>
          <w:lang w:eastAsia="ru-RU"/>
        </w:rPr>
        <w:t xml:space="preserve">и угроз </w:t>
      </w:r>
      <w:r w:rsidRPr="0009284D">
        <w:rPr>
          <w:rFonts w:ascii="Times New Roman" w:eastAsia="Times New Roman" w:hAnsi="Times New Roman" w:cs="Times New Roman"/>
          <w:sz w:val="28"/>
          <w:szCs w:val="28"/>
          <w:lang w:eastAsia="ru-RU"/>
        </w:rPr>
        <w:t>в сети Интернет</w:t>
      </w:r>
      <w:r>
        <w:rPr>
          <w:rFonts w:ascii="Times New Roman" w:eastAsia="Times New Roman" w:hAnsi="Times New Roman" w:cs="Times New Roman"/>
          <w:sz w:val="28"/>
          <w:szCs w:val="28"/>
          <w:lang w:eastAsia="ru-RU"/>
        </w:rPr>
        <w:t>. Обучающиеся знакомились</w:t>
      </w:r>
      <w:r w:rsidRPr="0009284D">
        <w:rPr>
          <w:rFonts w:ascii="Times New Roman" w:eastAsia="Times New Roman" w:hAnsi="Times New Roman" w:cs="Times New Roman"/>
          <w:sz w:val="28"/>
          <w:szCs w:val="28"/>
          <w:lang w:eastAsia="ru-RU"/>
        </w:rPr>
        <w:t xml:space="preserve"> с правилами создания безопасных паролей и со с</w:t>
      </w:r>
      <w:r w:rsidR="00101294">
        <w:rPr>
          <w:rFonts w:ascii="Times New Roman" w:eastAsia="Times New Roman" w:hAnsi="Times New Roman" w:cs="Times New Roman"/>
          <w:sz w:val="28"/>
          <w:szCs w:val="28"/>
          <w:lang w:eastAsia="ru-RU"/>
        </w:rPr>
        <w:t xml:space="preserve">пособами шифрования информации. </w:t>
      </w:r>
    </w:p>
    <w:p w14:paraId="106A14D3" w14:textId="77777777" w:rsidR="003F3F5E" w:rsidRPr="0009284D" w:rsidRDefault="003F3F5E" w:rsidP="00101294">
      <w:pPr>
        <w:widowControl w:val="0"/>
        <w:shd w:val="clear" w:color="auto" w:fill="FFFFFF"/>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09284D">
        <w:rPr>
          <w:rFonts w:ascii="Times New Roman" w:eastAsia="Times New Roman" w:hAnsi="Times New Roman" w:cs="Times New Roman"/>
          <w:sz w:val="28"/>
          <w:szCs w:val="28"/>
          <w:lang w:eastAsia="ru-RU"/>
        </w:rPr>
        <w:t xml:space="preserve"> работе с родительс</w:t>
      </w:r>
      <w:r>
        <w:rPr>
          <w:rFonts w:ascii="Times New Roman" w:eastAsia="Times New Roman" w:hAnsi="Times New Roman" w:cs="Times New Roman"/>
          <w:sz w:val="28"/>
          <w:szCs w:val="28"/>
          <w:lang w:eastAsia="ru-RU"/>
        </w:rPr>
        <w:t>кой общественностью использовались</w:t>
      </w:r>
      <w:r w:rsidRPr="0009284D">
        <w:rPr>
          <w:rFonts w:ascii="Times New Roman" w:eastAsia="Times New Roman" w:hAnsi="Times New Roman" w:cs="Times New Roman"/>
          <w:sz w:val="28"/>
          <w:szCs w:val="28"/>
          <w:lang w:eastAsia="ru-RU"/>
        </w:rPr>
        <w:t xml:space="preserve"> различные практики организации обучения в области защиты детей в информационном пространс</w:t>
      </w:r>
      <w:r>
        <w:rPr>
          <w:rFonts w:ascii="Times New Roman" w:eastAsia="Times New Roman" w:hAnsi="Times New Roman" w:cs="Times New Roman"/>
          <w:sz w:val="28"/>
          <w:szCs w:val="28"/>
          <w:lang w:eastAsia="ru-RU"/>
        </w:rPr>
        <w:t>тве</w:t>
      </w:r>
      <w:r w:rsidR="00101294">
        <w:rPr>
          <w:rFonts w:ascii="Times New Roman" w:eastAsia="Times New Roman" w:hAnsi="Times New Roman" w:cs="Times New Roman"/>
          <w:sz w:val="28"/>
          <w:szCs w:val="28"/>
          <w:lang w:eastAsia="ru-RU"/>
        </w:rPr>
        <w:t xml:space="preserve">: </w:t>
      </w:r>
      <w:r w:rsidRPr="0009284D">
        <w:rPr>
          <w:rFonts w:ascii="Times New Roman" w:eastAsia="Times New Roman" w:hAnsi="Times New Roman" w:cs="Times New Roman"/>
          <w:sz w:val="28"/>
          <w:szCs w:val="28"/>
          <w:lang w:eastAsia="ru-RU"/>
        </w:rPr>
        <w:t xml:space="preserve">онлайн-курсы, родительские собрания, консультации экспертов, семинары и лекции, </w:t>
      </w:r>
      <w:proofErr w:type="spellStart"/>
      <w:r w:rsidRPr="0009284D">
        <w:rPr>
          <w:rFonts w:ascii="Times New Roman" w:eastAsia="Times New Roman" w:hAnsi="Times New Roman" w:cs="Times New Roman"/>
          <w:sz w:val="28"/>
          <w:szCs w:val="28"/>
          <w:lang w:eastAsia="ru-RU"/>
        </w:rPr>
        <w:t>вебинары</w:t>
      </w:r>
      <w:proofErr w:type="spellEnd"/>
      <w:r w:rsidRPr="0009284D">
        <w:rPr>
          <w:rFonts w:ascii="Times New Roman" w:eastAsia="Times New Roman" w:hAnsi="Times New Roman" w:cs="Times New Roman"/>
          <w:sz w:val="28"/>
          <w:szCs w:val="28"/>
          <w:lang w:eastAsia="ru-RU"/>
        </w:rPr>
        <w:t xml:space="preserve">, опросы и селекторные совещания с представителями родительской общественности в образовательных организациях. </w:t>
      </w:r>
    </w:p>
    <w:p w14:paraId="50AD9022" w14:textId="77777777" w:rsidR="003F3F5E" w:rsidRPr="0009284D" w:rsidRDefault="00101294" w:rsidP="003F3F5E">
      <w:pPr>
        <w:widowControl w:val="0"/>
        <w:shd w:val="clear" w:color="auto" w:fill="FFFFFF"/>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F3F5E" w:rsidRPr="0009284D">
        <w:rPr>
          <w:rFonts w:ascii="Times New Roman" w:eastAsia="Times New Roman" w:hAnsi="Times New Roman" w:cs="Times New Roman"/>
          <w:sz w:val="28"/>
          <w:szCs w:val="28"/>
          <w:lang w:eastAsia="ru-RU"/>
        </w:rPr>
        <w:t xml:space="preserve"> целях повышения уровня медиаграмотности детей и родителей в разделе «</w:t>
      </w:r>
      <w:proofErr w:type="spellStart"/>
      <w:r w:rsidR="003F3F5E" w:rsidRPr="0009284D">
        <w:rPr>
          <w:rFonts w:ascii="Times New Roman" w:eastAsia="Times New Roman" w:hAnsi="Times New Roman" w:cs="Times New Roman"/>
          <w:sz w:val="28"/>
          <w:szCs w:val="28"/>
          <w:lang w:eastAsia="ru-RU"/>
        </w:rPr>
        <w:t>Кибербезопасность</w:t>
      </w:r>
      <w:proofErr w:type="spellEnd"/>
      <w:r w:rsidR="003F3F5E" w:rsidRPr="0009284D">
        <w:rPr>
          <w:rFonts w:ascii="Times New Roman" w:eastAsia="Times New Roman" w:hAnsi="Times New Roman" w:cs="Times New Roman"/>
          <w:sz w:val="28"/>
          <w:szCs w:val="28"/>
          <w:lang w:eastAsia="ru-RU"/>
        </w:rPr>
        <w:t xml:space="preserve"> для детей и взрослых» государственной образовательной платформы «Российская электронная школа» (</w:t>
      </w:r>
      <w:hyperlink r:id="rId19" w:history="1">
        <w:r w:rsidRPr="00B049F5">
          <w:rPr>
            <w:rStyle w:val="af1"/>
            <w:rFonts w:ascii="Times New Roman" w:eastAsia="Times New Roman" w:hAnsi="Times New Roman" w:cs="Times New Roman"/>
            <w:sz w:val="28"/>
            <w:szCs w:val="28"/>
            <w:lang w:eastAsia="ru-RU"/>
          </w:rPr>
          <w:t>https://resh.edu.ru/page/cyber-project</w:t>
        </w:r>
      </w:hyperlink>
      <w:r w:rsidR="003F3F5E" w:rsidRPr="0009284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F3F5E">
        <w:rPr>
          <w:rFonts w:ascii="Times New Roman" w:eastAsia="Times New Roman" w:hAnsi="Times New Roman" w:cs="Times New Roman"/>
          <w:sz w:val="28"/>
          <w:szCs w:val="28"/>
          <w:lang w:eastAsia="ru-RU"/>
        </w:rPr>
        <w:t xml:space="preserve">были </w:t>
      </w:r>
      <w:r w:rsidR="003F3F5E" w:rsidRPr="0009284D">
        <w:rPr>
          <w:rFonts w:ascii="Times New Roman" w:eastAsia="Times New Roman" w:hAnsi="Times New Roman" w:cs="Times New Roman"/>
          <w:sz w:val="28"/>
          <w:szCs w:val="28"/>
          <w:lang w:eastAsia="ru-RU"/>
        </w:rPr>
        <w:t>размещены 6 социальных короткометражных фильмов</w:t>
      </w:r>
      <w:r w:rsidR="00AA1460">
        <w:rPr>
          <w:rFonts w:ascii="Times New Roman" w:eastAsia="Times New Roman" w:hAnsi="Times New Roman" w:cs="Times New Roman"/>
          <w:sz w:val="28"/>
          <w:szCs w:val="28"/>
          <w:lang w:eastAsia="ru-RU"/>
        </w:rPr>
        <w:t xml:space="preserve"> с </w:t>
      </w:r>
      <w:r w:rsidR="00AA1460" w:rsidRPr="0009284D">
        <w:rPr>
          <w:rFonts w:ascii="Times New Roman" w:eastAsia="Times New Roman" w:hAnsi="Times New Roman" w:cs="Times New Roman"/>
          <w:sz w:val="28"/>
          <w:szCs w:val="28"/>
          <w:lang w:eastAsia="ru-RU"/>
        </w:rPr>
        <w:t>рекомендаци</w:t>
      </w:r>
      <w:r w:rsidR="00AA1460">
        <w:rPr>
          <w:rFonts w:ascii="Times New Roman" w:eastAsia="Times New Roman" w:hAnsi="Times New Roman" w:cs="Times New Roman"/>
          <w:sz w:val="28"/>
          <w:szCs w:val="28"/>
          <w:lang w:eastAsia="ru-RU"/>
        </w:rPr>
        <w:t>ями</w:t>
      </w:r>
      <w:r w:rsidR="00AA1460" w:rsidRPr="0009284D">
        <w:rPr>
          <w:rFonts w:ascii="Times New Roman" w:eastAsia="Times New Roman" w:hAnsi="Times New Roman" w:cs="Times New Roman"/>
          <w:sz w:val="28"/>
          <w:szCs w:val="28"/>
          <w:lang w:eastAsia="ru-RU"/>
        </w:rPr>
        <w:t xml:space="preserve"> по распознаванию факторов опасностей и по противодействию им</w:t>
      </w:r>
      <w:r w:rsidR="003F3F5E" w:rsidRPr="0009284D">
        <w:rPr>
          <w:rFonts w:ascii="Times New Roman" w:eastAsia="Times New Roman" w:hAnsi="Times New Roman" w:cs="Times New Roman"/>
          <w:sz w:val="28"/>
          <w:szCs w:val="28"/>
          <w:lang w:eastAsia="ru-RU"/>
        </w:rPr>
        <w:t xml:space="preserve">, предоставленных ООО «Творческое объединение «Группа товарищей»: </w:t>
      </w:r>
    </w:p>
    <w:p w14:paraId="2D7F5782" w14:textId="41283D9A" w:rsidR="003F3F5E" w:rsidRPr="00AA1460" w:rsidRDefault="003F3F5E" w:rsidP="003F3F5E">
      <w:pPr>
        <w:widowControl w:val="0"/>
        <w:shd w:val="clear" w:color="auto" w:fill="FFFFFF"/>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AA1460">
        <w:rPr>
          <w:rFonts w:ascii="Times New Roman" w:eastAsia="Times New Roman" w:hAnsi="Times New Roman" w:cs="Times New Roman"/>
          <w:sz w:val="28"/>
          <w:szCs w:val="28"/>
          <w:lang w:eastAsia="ru-RU"/>
        </w:rPr>
        <w:t>- «</w:t>
      </w:r>
      <w:r w:rsidRPr="0009284D">
        <w:rPr>
          <w:rFonts w:ascii="Times New Roman" w:eastAsia="Times New Roman" w:hAnsi="Times New Roman" w:cs="Times New Roman"/>
          <w:sz w:val="28"/>
          <w:szCs w:val="28"/>
          <w:lang w:eastAsia="ru-RU"/>
        </w:rPr>
        <w:t>На</w:t>
      </w:r>
      <w:r w:rsidRPr="00AA1460">
        <w:rPr>
          <w:rFonts w:ascii="Times New Roman" w:eastAsia="Times New Roman" w:hAnsi="Times New Roman" w:cs="Times New Roman"/>
          <w:sz w:val="28"/>
          <w:szCs w:val="28"/>
          <w:lang w:eastAsia="ru-RU"/>
        </w:rPr>
        <w:t xml:space="preserve"> </w:t>
      </w:r>
      <w:r w:rsidRPr="0009284D">
        <w:rPr>
          <w:rFonts w:ascii="Times New Roman" w:eastAsia="Times New Roman" w:hAnsi="Times New Roman" w:cs="Times New Roman"/>
          <w:sz w:val="28"/>
          <w:szCs w:val="28"/>
          <w:lang w:eastAsia="ru-RU"/>
        </w:rPr>
        <w:t>игре</w:t>
      </w:r>
      <w:r w:rsidRPr="00AA1460">
        <w:rPr>
          <w:rFonts w:ascii="Times New Roman" w:eastAsia="Times New Roman" w:hAnsi="Times New Roman" w:cs="Times New Roman"/>
          <w:sz w:val="28"/>
          <w:szCs w:val="28"/>
          <w:lang w:eastAsia="ru-RU"/>
        </w:rPr>
        <w:t>» (12+) (</w:t>
      </w:r>
      <w:r w:rsidR="00AA1460" w:rsidRPr="001833C1">
        <w:rPr>
          <w:rStyle w:val="af1"/>
          <w:rFonts w:ascii="Times New Roman" w:eastAsia="Times New Roman" w:hAnsi="Times New Roman" w:cs="Times New Roman"/>
          <w:sz w:val="28"/>
          <w:szCs w:val="28"/>
          <w:lang w:val="en-US" w:eastAsia="ru-RU"/>
        </w:rPr>
        <w:t>https</w:t>
      </w:r>
      <w:r w:rsidR="00AA1460" w:rsidRPr="001833C1">
        <w:rPr>
          <w:rStyle w:val="af1"/>
          <w:rFonts w:ascii="Times New Roman" w:eastAsia="Times New Roman" w:hAnsi="Times New Roman" w:cs="Times New Roman"/>
          <w:sz w:val="28"/>
          <w:szCs w:val="28"/>
          <w:lang w:eastAsia="ru-RU"/>
        </w:rPr>
        <w:t>://</w:t>
      </w:r>
      <w:proofErr w:type="spellStart"/>
      <w:r w:rsidR="00AA1460" w:rsidRPr="001833C1">
        <w:rPr>
          <w:rStyle w:val="af1"/>
          <w:rFonts w:ascii="Times New Roman" w:eastAsia="Times New Roman" w:hAnsi="Times New Roman" w:cs="Times New Roman"/>
          <w:sz w:val="28"/>
          <w:szCs w:val="28"/>
          <w:lang w:val="en-US" w:eastAsia="ru-RU"/>
        </w:rPr>
        <w:t>resh</w:t>
      </w:r>
      <w:proofErr w:type="spellEnd"/>
      <w:r w:rsidR="00AA1460" w:rsidRPr="001833C1">
        <w:rPr>
          <w:rStyle w:val="af1"/>
          <w:rFonts w:ascii="Times New Roman" w:eastAsia="Times New Roman" w:hAnsi="Times New Roman" w:cs="Times New Roman"/>
          <w:sz w:val="28"/>
          <w:szCs w:val="28"/>
          <w:lang w:eastAsia="ru-RU"/>
        </w:rPr>
        <w:t>.</w:t>
      </w:r>
      <w:proofErr w:type="spellStart"/>
      <w:r w:rsidR="00AA1460" w:rsidRPr="001833C1">
        <w:rPr>
          <w:rStyle w:val="af1"/>
          <w:rFonts w:ascii="Times New Roman" w:eastAsia="Times New Roman" w:hAnsi="Times New Roman" w:cs="Times New Roman"/>
          <w:sz w:val="28"/>
          <w:szCs w:val="28"/>
          <w:lang w:val="en-US" w:eastAsia="ru-RU"/>
        </w:rPr>
        <w:t>edu</w:t>
      </w:r>
      <w:proofErr w:type="spellEnd"/>
      <w:r w:rsidR="00AA1460" w:rsidRPr="001833C1">
        <w:rPr>
          <w:rStyle w:val="af1"/>
          <w:rFonts w:ascii="Times New Roman" w:eastAsia="Times New Roman" w:hAnsi="Times New Roman" w:cs="Times New Roman"/>
          <w:sz w:val="28"/>
          <w:szCs w:val="28"/>
          <w:lang w:eastAsia="ru-RU"/>
        </w:rPr>
        <w:t>.</w:t>
      </w:r>
      <w:proofErr w:type="spellStart"/>
      <w:r w:rsidR="00AA1460" w:rsidRPr="001833C1">
        <w:rPr>
          <w:rStyle w:val="af1"/>
          <w:rFonts w:ascii="Times New Roman" w:eastAsia="Times New Roman" w:hAnsi="Times New Roman" w:cs="Times New Roman"/>
          <w:sz w:val="28"/>
          <w:szCs w:val="28"/>
          <w:lang w:val="en-US" w:eastAsia="ru-RU"/>
        </w:rPr>
        <w:t>ru</w:t>
      </w:r>
      <w:proofErr w:type="spellEnd"/>
      <w:r w:rsidR="00AA1460" w:rsidRPr="001833C1">
        <w:rPr>
          <w:rStyle w:val="af1"/>
          <w:rFonts w:ascii="Times New Roman" w:eastAsia="Times New Roman" w:hAnsi="Times New Roman" w:cs="Times New Roman"/>
          <w:sz w:val="28"/>
          <w:szCs w:val="28"/>
          <w:lang w:eastAsia="ru-RU"/>
        </w:rPr>
        <w:t>/</w:t>
      </w:r>
      <w:r w:rsidR="00AA1460" w:rsidRPr="001833C1">
        <w:rPr>
          <w:rStyle w:val="af1"/>
          <w:rFonts w:ascii="Times New Roman" w:eastAsia="Times New Roman" w:hAnsi="Times New Roman" w:cs="Times New Roman"/>
          <w:sz w:val="28"/>
          <w:szCs w:val="28"/>
          <w:lang w:val="en-US" w:eastAsia="ru-RU"/>
        </w:rPr>
        <w:t>page</w:t>
      </w:r>
      <w:r w:rsidR="00AA1460" w:rsidRPr="001833C1">
        <w:rPr>
          <w:rStyle w:val="af1"/>
          <w:rFonts w:ascii="Times New Roman" w:eastAsia="Times New Roman" w:hAnsi="Times New Roman" w:cs="Times New Roman"/>
          <w:sz w:val="28"/>
          <w:szCs w:val="28"/>
          <w:lang w:eastAsia="ru-RU"/>
        </w:rPr>
        <w:t>/</w:t>
      </w:r>
      <w:proofErr w:type="spellStart"/>
      <w:r w:rsidR="00AA1460" w:rsidRPr="001833C1">
        <w:rPr>
          <w:rStyle w:val="af1"/>
          <w:rFonts w:ascii="Times New Roman" w:eastAsia="Times New Roman" w:hAnsi="Times New Roman" w:cs="Times New Roman"/>
          <w:sz w:val="28"/>
          <w:szCs w:val="28"/>
          <w:lang w:val="en-US" w:eastAsia="ru-RU"/>
        </w:rPr>
        <w:t>cyberproject</w:t>
      </w:r>
      <w:proofErr w:type="spellEnd"/>
      <w:r w:rsidR="00AA1460" w:rsidRPr="001833C1">
        <w:rPr>
          <w:rStyle w:val="af1"/>
          <w:rFonts w:ascii="Times New Roman" w:eastAsia="Times New Roman" w:hAnsi="Times New Roman" w:cs="Times New Roman"/>
          <w:sz w:val="28"/>
          <w:szCs w:val="28"/>
          <w:lang w:eastAsia="ru-RU"/>
        </w:rPr>
        <w:t>-1</w:t>
      </w:r>
      <w:r w:rsidRPr="00AA1460">
        <w:rPr>
          <w:rFonts w:ascii="Times New Roman" w:eastAsia="Times New Roman" w:hAnsi="Times New Roman" w:cs="Times New Roman"/>
          <w:sz w:val="28"/>
          <w:szCs w:val="28"/>
          <w:lang w:eastAsia="ru-RU"/>
        </w:rPr>
        <w:t>);</w:t>
      </w:r>
    </w:p>
    <w:p w14:paraId="094CEEA5" w14:textId="77777777" w:rsidR="003F3F5E" w:rsidRPr="0009284D" w:rsidRDefault="003F3F5E" w:rsidP="003F3F5E">
      <w:pPr>
        <w:widowControl w:val="0"/>
        <w:shd w:val="clear" w:color="auto" w:fill="FFFFFF"/>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0928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09284D">
        <w:rPr>
          <w:rFonts w:ascii="Times New Roman" w:eastAsia="Times New Roman" w:hAnsi="Times New Roman" w:cs="Times New Roman"/>
          <w:sz w:val="28"/>
          <w:szCs w:val="28"/>
          <w:lang w:eastAsia="ru-RU"/>
        </w:rPr>
        <w:t xml:space="preserve">Максимальный </w:t>
      </w:r>
      <w:proofErr w:type="spellStart"/>
      <w:r w:rsidRPr="0009284D">
        <w:rPr>
          <w:rFonts w:ascii="Times New Roman" w:eastAsia="Times New Roman" w:hAnsi="Times New Roman" w:cs="Times New Roman"/>
          <w:sz w:val="28"/>
          <w:szCs w:val="28"/>
          <w:lang w:eastAsia="ru-RU"/>
        </w:rPr>
        <w:t>репост</w:t>
      </w:r>
      <w:proofErr w:type="spellEnd"/>
      <w:r>
        <w:rPr>
          <w:rFonts w:ascii="Times New Roman" w:eastAsia="Times New Roman" w:hAnsi="Times New Roman" w:cs="Times New Roman"/>
          <w:sz w:val="28"/>
          <w:szCs w:val="28"/>
          <w:lang w:eastAsia="ru-RU"/>
        </w:rPr>
        <w:t>»</w:t>
      </w:r>
      <w:r w:rsidRPr="0009284D">
        <w:rPr>
          <w:rFonts w:ascii="Times New Roman" w:eastAsia="Times New Roman" w:hAnsi="Times New Roman" w:cs="Times New Roman"/>
          <w:sz w:val="28"/>
          <w:szCs w:val="28"/>
          <w:lang w:eastAsia="ru-RU"/>
        </w:rPr>
        <w:t xml:space="preserve"> (6+) (</w:t>
      </w:r>
      <w:hyperlink r:id="rId20" w:history="1">
        <w:r w:rsidRPr="0009284D">
          <w:rPr>
            <w:rStyle w:val="af1"/>
            <w:rFonts w:ascii="Times New Roman" w:eastAsia="Times New Roman" w:hAnsi="Times New Roman" w:cs="Times New Roman"/>
            <w:sz w:val="28"/>
            <w:szCs w:val="28"/>
            <w:lang w:eastAsia="ru-RU"/>
          </w:rPr>
          <w:t>https://i-esh.edu.ru/page/cybeгproject-2</w:t>
        </w:r>
      </w:hyperlink>
      <w:r w:rsidRPr="0009284D">
        <w:rPr>
          <w:rFonts w:ascii="Times New Roman" w:eastAsia="Times New Roman" w:hAnsi="Times New Roman" w:cs="Times New Roman"/>
          <w:sz w:val="28"/>
          <w:szCs w:val="28"/>
          <w:lang w:eastAsia="ru-RU"/>
        </w:rPr>
        <w:t>);</w:t>
      </w:r>
    </w:p>
    <w:p w14:paraId="676BF04D" w14:textId="77777777" w:rsidR="003F3F5E" w:rsidRPr="0009284D" w:rsidRDefault="003F3F5E" w:rsidP="003F3F5E">
      <w:pPr>
        <w:widowControl w:val="0"/>
        <w:shd w:val="clear" w:color="auto" w:fill="FFFFFF"/>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0928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09284D">
        <w:rPr>
          <w:rFonts w:ascii="Times New Roman" w:eastAsia="Times New Roman" w:hAnsi="Times New Roman" w:cs="Times New Roman"/>
          <w:sz w:val="28"/>
          <w:szCs w:val="28"/>
          <w:lang w:eastAsia="ru-RU"/>
        </w:rPr>
        <w:t>Виртуальная реальность</w:t>
      </w:r>
      <w:r>
        <w:rPr>
          <w:rFonts w:ascii="Times New Roman" w:eastAsia="Times New Roman" w:hAnsi="Times New Roman" w:cs="Times New Roman"/>
          <w:sz w:val="28"/>
          <w:szCs w:val="28"/>
          <w:lang w:eastAsia="ru-RU"/>
        </w:rPr>
        <w:t>»</w:t>
      </w:r>
      <w:r w:rsidRPr="0009284D">
        <w:rPr>
          <w:rFonts w:ascii="Times New Roman" w:eastAsia="Times New Roman" w:hAnsi="Times New Roman" w:cs="Times New Roman"/>
          <w:sz w:val="28"/>
          <w:szCs w:val="28"/>
          <w:lang w:eastAsia="ru-RU"/>
        </w:rPr>
        <w:t xml:space="preserve"> (12+) (</w:t>
      </w:r>
      <w:hyperlink r:id="rId21" w:history="1">
        <w:r w:rsidRPr="0009284D">
          <w:rPr>
            <w:rStyle w:val="af1"/>
            <w:rFonts w:ascii="Times New Roman" w:eastAsia="Times New Roman" w:hAnsi="Times New Roman" w:cs="Times New Roman"/>
            <w:sz w:val="28"/>
            <w:szCs w:val="28"/>
            <w:lang w:eastAsia="ru-RU"/>
          </w:rPr>
          <w:t>https://гesh.edu.ш/page/cybeгproject-3</w:t>
        </w:r>
      </w:hyperlink>
      <w:r w:rsidRPr="0009284D">
        <w:rPr>
          <w:rFonts w:ascii="Times New Roman" w:eastAsia="Times New Roman" w:hAnsi="Times New Roman" w:cs="Times New Roman"/>
          <w:sz w:val="28"/>
          <w:szCs w:val="28"/>
          <w:lang w:eastAsia="ru-RU"/>
        </w:rPr>
        <w:t xml:space="preserve">); </w:t>
      </w:r>
    </w:p>
    <w:p w14:paraId="32EEBB4D" w14:textId="77777777" w:rsidR="003F3F5E" w:rsidRDefault="003F3F5E" w:rsidP="003F3F5E">
      <w:pPr>
        <w:widowControl w:val="0"/>
        <w:shd w:val="clear" w:color="auto" w:fill="FFFFFF"/>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0928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09284D">
        <w:rPr>
          <w:rFonts w:ascii="Times New Roman" w:eastAsia="Times New Roman" w:hAnsi="Times New Roman" w:cs="Times New Roman"/>
          <w:sz w:val="28"/>
          <w:szCs w:val="28"/>
          <w:lang w:eastAsia="ru-RU"/>
        </w:rPr>
        <w:t>Ты не один</w:t>
      </w:r>
      <w:r>
        <w:rPr>
          <w:rFonts w:ascii="Times New Roman" w:eastAsia="Times New Roman" w:hAnsi="Times New Roman" w:cs="Times New Roman"/>
          <w:sz w:val="28"/>
          <w:szCs w:val="28"/>
          <w:lang w:eastAsia="ru-RU"/>
        </w:rPr>
        <w:t>»</w:t>
      </w:r>
      <w:r w:rsidR="00AA1460">
        <w:rPr>
          <w:rFonts w:ascii="Times New Roman" w:eastAsia="Times New Roman" w:hAnsi="Times New Roman" w:cs="Times New Roman"/>
          <w:sz w:val="28"/>
          <w:szCs w:val="28"/>
          <w:lang w:eastAsia="ru-RU"/>
        </w:rPr>
        <w:t xml:space="preserve"> (6+) (</w:t>
      </w:r>
      <w:hyperlink r:id="rId22" w:history="1">
        <w:r w:rsidR="00AA1460" w:rsidRPr="00B049F5">
          <w:rPr>
            <w:rStyle w:val="af1"/>
            <w:rFonts w:ascii="Times New Roman" w:eastAsia="Times New Roman" w:hAnsi="Times New Roman" w:cs="Times New Roman"/>
            <w:sz w:val="28"/>
            <w:szCs w:val="28"/>
            <w:lang w:eastAsia="ru-RU"/>
          </w:rPr>
          <w:t>https://resh.edu.ru/page/cybeгproject-4</w:t>
        </w:r>
      </w:hyperlink>
      <w:r w:rsidR="00AA1460">
        <w:rPr>
          <w:rFonts w:ascii="Times New Roman" w:eastAsia="Times New Roman" w:hAnsi="Times New Roman" w:cs="Times New Roman"/>
          <w:sz w:val="28"/>
          <w:szCs w:val="28"/>
          <w:lang w:eastAsia="ru-RU"/>
        </w:rPr>
        <w:t>);</w:t>
      </w:r>
    </w:p>
    <w:p w14:paraId="0B944015" w14:textId="77777777" w:rsidR="003F3F5E" w:rsidRPr="0009284D" w:rsidRDefault="003F3F5E" w:rsidP="003F3F5E">
      <w:pPr>
        <w:widowControl w:val="0"/>
        <w:shd w:val="clear" w:color="auto" w:fill="FFFFFF"/>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0928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09284D">
        <w:rPr>
          <w:rFonts w:ascii="Times New Roman" w:eastAsia="Times New Roman" w:hAnsi="Times New Roman" w:cs="Times New Roman"/>
          <w:sz w:val="28"/>
          <w:szCs w:val="28"/>
          <w:lang w:eastAsia="ru-RU"/>
        </w:rPr>
        <w:t>Калькулятор</w:t>
      </w:r>
      <w:r>
        <w:rPr>
          <w:rFonts w:ascii="Times New Roman" w:eastAsia="Times New Roman" w:hAnsi="Times New Roman" w:cs="Times New Roman"/>
          <w:sz w:val="28"/>
          <w:szCs w:val="28"/>
          <w:lang w:eastAsia="ru-RU"/>
        </w:rPr>
        <w:t>»</w:t>
      </w:r>
      <w:r w:rsidRPr="0009284D">
        <w:rPr>
          <w:rFonts w:ascii="Times New Roman" w:eastAsia="Times New Roman" w:hAnsi="Times New Roman" w:cs="Times New Roman"/>
          <w:sz w:val="28"/>
          <w:szCs w:val="28"/>
          <w:lang w:eastAsia="ru-RU"/>
        </w:rPr>
        <w:t xml:space="preserve"> (16+) (</w:t>
      </w:r>
      <w:hyperlink r:id="rId23" w:history="1">
        <w:r w:rsidRPr="0009284D">
          <w:rPr>
            <w:rStyle w:val="af1"/>
            <w:rFonts w:ascii="Times New Roman" w:eastAsia="Times New Roman" w:hAnsi="Times New Roman" w:cs="Times New Roman"/>
            <w:sz w:val="28"/>
            <w:szCs w:val="28"/>
            <w:lang w:eastAsia="ru-RU"/>
          </w:rPr>
          <w:t>https://гesh.edu.ru/page/cybei-pгoject-5</w:t>
        </w:r>
      </w:hyperlink>
      <w:r w:rsidRPr="0009284D">
        <w:rPr>
          <w:rFonts w:ascii="Times New Roman" w:eastAsia="Times New Roman" w:hAnsi="Times New Roman" w:cs="Times New Roman"/>
          <w:sz w:val="28"/>
          <w:szCs w:val="28"/>
          <w:lang w:eastAsia="ru-RU"/>
        </w:rPr>
        <w:t xml:space="preserve">); </w:t>
      </w:r>
    </w:p>
    <w:p w14:paraId="516B2791" w14:textId="77777777" w:rsidR="003F3F5E" w:rsidRPr="0009284D" w:rsidRDefault="003F3F5E" w:rsidP="003F3F5E">
      <w:pPr>
        <w:widowControl w:val="0"/>
        <w:shd w:val="clear" w:color="auto" w:fill="FFFFFF"/>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0928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09284D">
        <w:rPr>
          <w:rFonts w:ascii="Times New Roman" w:eastAsia="Times New Roman" w:hAnsi="Times New Roman" w:cs="Times New Roman"/>
          <w:sz w:val="28"/>
          <w:szCs w:val="28"/>
          <w:lang w:eastAsia="ru-RU"/>
        </w:rPr>
        <w:t>Лучший подарок</w:t>
      </w:r>
      <w:r>
        <w:rPr>
          <w:rFonts w:ascii="Times New Roman" w:eastAsia="Times New Roman" w:hAnsi="Times New Roman" w:cs="Times New Roman"/>
          <w:sz w:val="28"/>
          <w:szCs w:val="28"/>
          <w:lang w:eastAsia="ru-RU"/>
        </w:rPr>
        <w:t>»</w:t>
      </w:r>
      <w:r w:rsidRPr="0009284D">
        <w:rPr>
          <w:rFonts w:ascii="Times New Roman" w:eastAsia="Times New Roman" w:hAnsi="Times New Roman" w:cs="Times New Roman"/>
          <w:sz w:val="28"/>
          <w:szCs w:val="28"/>
          <w:lang w:eastAsia="ru-RU"/>
        </w:rPr>
        <w:t xml:space="preserve"> (6+) (</w:t>
      </w:r>
      <w:hyperlink r:id="rId24" w:history="1">
        <w:r w:rsidRPr="0009284D">
          <w:rPr>
            <w:rStyle w:val="af1"/>
            <w:rFonts w:ascii="Times New Roman" w:eastAsia="Times New Roman" w:hAnsi="Times New Roman" w:cs="Times New Roman"/>
            <w:sz w:val="28"/>
            <w:szCs w:val="28"/>
            <w:lang w:eastAsia="ru-RU"/>
          </w:rPr>
          <w:t>https://resh.edu.ru/page/cybeгpi-oject-6</w:t>
        </w:r>
      </w:hyperlink>
      <w:r w:rsidRPr="0009284D">
        <w:rPr>
          <w:rFonts w:ascii="Times New Roman" w:eastAsia="Times New Roman" w:hAnsi="Times New Roman" w:cs="Times New Roman"/>
          <w:sz w:val="28"/>
          <w:szCs w:val="28"/>
          <w:lang w:eastAsia="ru-RU"/>
        </w:rPr>
        <w:t xml:space="preserve">). </w:t>
      </w:r>
    </w:p>
    <w:p w14:paraId="16D9B986" w14:textId="77777777" w:rsidR="003F3F5E" w:rsidRPr="0009284D" w:rsidRDefault="00AA1460" w:rsidP="00AA1460">
      <w:pPr>
        <w:widowControl w:val="0"/>
        <w:shd w:val="clear" w:color="auto" w:fill="FFFFFF"/>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3F3F5E" w:rsidRPr="0009284D">
        <w:rPr>
          <w:rFonts w:ascii="Times New Roman" w:eastAsia="Times New Roman" w:hAnsi="Times New Roman" w:cs="Times New Roman"/>
          <w:sz w:val="28"/>
          <w:szCs w:val="28"/>
          <w:lang w:eastAsia="ru-RU"/>
        </w:rPr>
        <w:t>субъектах Российской Федерации</w:t>
      </w:r>
      <w:r w:rsidR="003F3F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также </w:t>
      </w:r>
      <w:r w:rsidR="003F3F5E">
        <w:rPr>
          <w:rFonts w:ascii="Times New Roman" w:eastAsia="Times New Roman" w:hAnsi="Times New Roman" w:cs="Times New Roman"/>
          <w:sz w:val="28"/>
          <w:szCs w:val="28"/>
          <w:lang w:eastAsia="ru-RU"/>
        </w:rPr>
        <w:t>были</w:t>
      </w:r>
      <w:r w:rsidR="003F3F5E" w:rsidRPr="0009284D">
        <w:rPr>
          <w:rFonts w:ascii="Times New Roman" w:eastAsia="Times New Roman" w:hAnsi="Times New Roman" w:cs="Times New Roman"/>
          <w:sz w:val="28"/>
          <w:szCs w:val="28"/>
          <w:lang w:eastAsia="ru-RU"/>
        </w:rPr>
        <w:t xml:space="preserve"> разработаны методические рекомендации по безопасному использованию несовершеннолетними сети Интернет</w:t>
      </w:r>
      <w:r>
        <w:rPr>
          <w:rFonts w:ascii="Times New Roman" w:eastAsia="Times New Roman" w:hAnsi="Times New Roman" w:cs="Times New Roman"/>
          <w:sz w:val="28"/>
          <w:szCs w:val="28"/>
          <w:lang w:eastAsia="ru-RU"/>
        </w:rPr>
        <w:t xml:space="preserve"> </w:t>
      </w:r>
      <w:r w:rsidR="003F3F5E">
        <w:rPr>
          <w:rFonts w:ascii="Times New Roman" w:eastAsia="Times New Roman" w:hAnsi="Times New Roman" w:cs="Times New Roman"/>
          <w:sz w:val="28"/>
          <w:szCs w:val="28"/>
          <w:lang w:eastAsia="ru-RU"/>
        </w:rPr>
        <w:t>(</w:t>
      </w:r>
      <w:hyperlink r:id="rId25" w:history="1">
        <w:r w:rsidRPr="00B049F5">
          <w:rPr>
            <w:rStyle w:val="af1"/>
            <w:rFonts w:ascii="Times New Roman" w:eastAsia="Times New Roman" w:hAnsi="Times New Roman" w:cs="Times New Roman"/>
            <w:sz w:val="28"/>
            <w:szCs w:val="28"/>
            <w:lang w:eastAsia="ru-RU"/>
          </w:rPr>
          <w:t>https://docs.edu.gov.ru/document/f9f90ed22419ee2738e66ea467bf52ae/</w:t>
        </w:r>
      </w:hyperlink>
      <w:r w:rsidR="003F3F5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39AF06F9" w14:textId="77777777" w:rsidR="003F3F5E" w:rsidRPr="0009284D" w:rsidRDefault="003F3F5E" w:rsidP="003F3F5E">
      <w:pPr>
        <w:widowControl w:val="0"/>
        <w:shd w:val="clear" w:color="auto" w:fill="FFFFFF"/>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09284D">
        <w:rPr>
          <w:rFonts w:ascii="Times New Roman" w:eastAsia="Times New Roman" w:hAnsi="Times New Roman" w:cs="Times New Roman"/>
          <w:sz w:val="28"/>
          <w:szCs w:val="28"/>
          <w:lang w:eastAsia="ru-RU"/>
        </w:rPr>
        <w:t xml:space="preserve">- для родителей (законных представителей) несовершеннолетних – </w:t>
      </w:r>
      <w:r w:rsidR="00BC1649">
        <w:rPr>
          <w:rFonts w:ascii="Times New Roman" w:eastAsia="Times New Roman" w:hAnsi="Times New Roman" w:cs="Times New Roman"/>
          <w:sz w:val="28"/>
          <w:szCs w:val="28"/>
          <w:lang w:eastAsia="ru-RU"/>
        </w:rPr>
        <w:br/>
      </w:r>
      <w:r w:rsidRPr="0009284D">
        <w:rPr>
          <w:rFonts w:ascii="Times New Roman" w:eastAsia="Times New Roman" w:hAnsi="Times New Roman" w:cs="Times New Roman"/>
          <w:sz w:val="28"/>
          <w:szCs w:val="28"/>
          <w:lang w:eastAsia="ru-RU"/>
        </w:rPr>
        <w:t>в 8 с</w:t>
      </w:r>
      <w:r>
        <w:rPr>
          <w:rFonts w:ascii="Times New Roman" w:eastAsia="Times New Roman" w:hAnsi="Times New Roman" w:cs="Times New Roman"/>
          <w:sz w:val="28"/>
          <w:szCs w:val="28"/>
          <w:lang w:eastAsia="ru-RU"/>
        </w:rPr>
        <w:t>убъектах Российской Федерации</w:t>
      </w:r>
      <w:r w:rsidR="009530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09284D">
        <w:rPr>
          <w:rFonts w:ascii="Times New Roman" w:eastAsia="Times New Roman" w:hAnsi="Times New Roman" w:cs="Times New Roman"/>
          <w:sz w:val="28"/>
          <w:szCs w:val="28"/>
          <w:lang w:eastAsia="ru-RU"/>
        </w:rPr>
        <w:t xml:space="preserve">еспублики Адыгея, Дагестан, Воронежская, Нижегородская, Самарская и Ярославская области, </w:t>
      </w:r>
      <w:r>
        <w:rPr>
          <w:rFonts w:ascii="Times New Roman" w:eastAsia="Times New Roman" w:hAnsi="Times New Roman" w:cs="Times New Roman"/>
          <w:sz w:val="28"/>
          <w:szCs w:val="28"/>
          <w:lang w:eastAsia="ru-RU"/>
        </w:rPr>
        <w:t xml:space="preserve">г. </w:t>
      </w:r>
      <w:r w:rsidRPr="0009284D">
        <w:rPr>
          <w:rFonts w:ascii="Times New Roman" w:eastAsia="Times New Roman" w:hAnsi="Times New Roman" w:cs="Times New Roman"/>
          <w:sz w:val="28"/>
          <w:szCs w:val="28"/>
          <w:lang w:eastAsia="ru-RU"/>
        </w:rPr>
        <w:t>Севастополь, Ямало-Ненецкий автономный округ</w:t>
      </w:r>
      <w:r w:rsidR="00A07291">
        <w:rPr>
          <w:rFonts w:ascii="Times New Roman" w:eastAsia="Times New Roman" w:hAnsi="Times New Roman" w:cs="Times New Roman"/>
          <w:sz w:val="28"/>
          <w:szCs w:val="28"/>
          <w:lang w:eastAsia="ru-RU"/>
        </w:rPr>
        <w:t>)</w:t>
      </w:r>
      <w:r w:rsidR="009530A5">
        <w:rPr>
          <w:rFonts w:ascii="Times New Roman" w:eastAsia="Times New Roman" w:hAnsi="Times New Roman" w:cs="Times New Roman"/>
          <w:sz w:val="28"/>
          <w:szCs w:val="28"/>
          <w:lang w:eastAsia="ru-RU"/>
        </w:rPr>
        <w:t>. Н</w:t>
      </w:r>
      <w:r w:rsidRPr="0009284D">
        <w:rPr>
          <w:rFonts w:ascii="Times New Roman" w:eastAsia="Times New Roman" w:hAnsi="Times New Roman" w:cs="Times New Roman"/>
          <w:sz w:val="28"/>
          <w:szCs w:val="28"/>
          <w:lang w:eastAsia="ru-RU"/>
        </w:rPr>
        <w:t xml:space="preserve">апример, в Воронежской </w:t>
      </w:r>
      <w:r>
        <w:rPr>
          <w:rFonts w:ascii="Times New Roman" w:eastAsia="Times New Roman" w:hAnsi="Times New Roman" w:cs="Times New Roman"/>
          <w:sz w:val="28"/>
          <w:szCs w:val="28"/>
          <w:lang w:eastAsia="ru-RU"/>
        </w:rPr>
        <w:t>области разработаны методические</w:t>
      </w:r>
      <w:r w:rsidRPr="0009284D">
        <w:rPr>
          <w:rFonts w:ascii="Times New Roman" w:eastAsia="Times New Roman" w:hAnsi="Times New Roman" w:cs="Times New Roman"/>
          <w:sz w:val="28"/>
          <w:szCs w:val="28"/>
          <w:lang w:eastAsia="ru-RU"/>
        </w:rPr>
        <w:t xml:space="preserve"> рекомендации «Дети в интернете: психологические аспекты проблемы насилия в отношении несовершеннолетних в сети Интернет», раскрывающие психологические аспекты проблемы насилия в отношении несовершеннолетних в сети Интернет, сценарии </w:t>
      </w:r>
      <w:proofErr w:type="spellStart"/>
      <w:r w:rsidRPr="0009284D">
        <w:rPr>
          <w:rFonts w:ascii="Times New Roman" w:eastAsia="Times New Roman" w:hAnsi="Times New Roman" w:cs="Times New Roman"/>
          <w:sz w:val="28"/>
          <w:szCs w:val="28"/>
          <w:lang w:eastAsia="ru-RU"/>
        </w:rPr>
        <w:t>манипулятивного</w:t>
      </w:r>
      <w:proofErr w:type="spellEnd"/>
      <w:r w:rsidRPr="0009284D">
        <w:rPr>
          <w:rFonts w:ascii="Times New Roman" w:eastAsia="Times New Roman" w:hAnsi="Times New Roman" w:cs="Times New Roman"/>
          <w:sz w:val="28"/>
          <w:szCs w:val="28"/>
          <w:lang w:eastAsia="ru-RU"/>
        </w:rPr>
        <w:t xml:space="preserve"> воздействия на детей, причины, побуждающие несовершеннолетних вступать в переписку с незнакомыми людьми в сети Интернет; </w:t>
      </w:r>
    </w:p>
    <w:p w14:paraId="0AAB4844" w14:textId="77777777" w:rsidR="003F3F5E" w:rsidRPr="0009284D" w:rsidRDefault="003F3F5E" w:rsidP="003F3F5E">
      <w:pPr>
        <w:widowControl w:val="0"/>
        <w:shd w:val="clear" w:color="auto" w:fill="FFFFFF"/>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09284D">
        <w:rPr>
          <w:rFonts w:ascii="Times New Roman" w:eastAsia="Times New Roman" w:hAnsi="Times New Roman" w:cs="Times New Roman"/>
          <w:sz w:val="28"/>
          <w:szCs w:val="28"/>
          <w:lang w:eastAsia="ru-RU"/>
        </w:rPr>
        <w:t xml:space="preserve">- для несовершеннолетних – в 6 субъектах Российской Федерации: Республика Дагестан, Нижегородская, Свердловская и Ярославская области, </w:t>
      </w:r>
      <w:r>
        <w:rPr>
          <w:rFonts w:ascii="Times New Roman" w:eastAsia="Times New Roman" w:hAnsi="Times New Roman" w:cs="Times New Roman"/>
          <w:sz w:val="28"/>
          <w:szCs w:val="28"/>
          <w:lang w:eastAsia="ru-RU"/>
        </w:rPr>
        <w:t xml:space="preserve">г. </w:t>
      </w:r>
      <w:r w:rsidRPr="0009284D">
        <w:rPr>
          <w:rFonts w:ascii="Times New Roman" w:eastAsia="Times New Roman" w:hAnsi="Times New Roman" w:cs="Times New Roman"/>
          <w:sz w:val="28"/>
          <w:szCs w:val="28"/>
          <w:lang w:eastAsia="ru-RU"/>
        </w:rPr>
        <w:t>Севастополь и Я</w:t>
      </w:r>
      <w:r w:rsidR="009530A5">
        <w:rPr>
          <w:rFonts w:ascii="Times New Roman" w:eastAsia="Times New Roman" w:hAnsi="Times New Roman" w:cs="Times New Roman"/>
          <w:sz w:val="28"/>
          <w:szCs w:val="28"/>
          <w:lang w:eastAsia="ru-RU"/>
        </w:rPr>
        <w:t>мало-Ненецкий автономный округ.</w:t>
      </w:r>
    </w:p>
    <w:p w14:paraId="680008F4" w14:textId="77777777" w:rsidR="003F3F5E" w:rsidRPr="0009284D" w:rsidRDefault="003F3F5E" w:rsidP="003F3F5E">
      <w:pPr>
        <w:widowControl w:val="0"/>
        <w:shd w:val="clear" w:color="auto" w:fill="FFFFFF"/>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09284D">
        <w:rPr>
          <w:rFonts w:ascii="Times New Roman" w:eastAsia="Times New Roman" w:hAnsi="Times New Roman" w:cs="Times New Roman"/>
          <w:sz w:val="28"/>
          <w:szCs w:val="28"/>
          <w:lang w:eastAsia="ru-RU"/>
        </w:rPr>
        <w:t xml:space="preserve">В целях обеспечения доступности информации о безопасном использовании несовершеннолетними сети Интернет в субъектах Российской Федерации </w:t>
      </w:r>
      <w:r>
        <w:rPr>
          <w:rFonts w:ascii="Times New Roman" w:eastAsia="Times New Roman" w:hAnsi="Times New Roman" w:cs="Times New Roman"/>
          <w:sz w:val="28"/>
          <w:szCs w:val="28"/>
          <w:lang w:eastAsia="ru-RU"/>
        </w:rPr>
        <w:t xml:space="preserve">были </w:t>
      </w:r>
      <w:r w:rsidRPr="0009284D">
        <w:rPr>
          <w:rFonts w:ascii="Times New Roman" w:eastAsia="Times New Roman" w:hAnsi="Times New Roman" w:cs="Times New Roman"/>
          <w:sz w:val="28"/>
          <w:szCs w:val="28"/>
          <w:lang w:eastAsia="ru-RU"/>
        </w:rPr>
        <w:t>разработаны методические рекомендации</w:t>
      </w:r>
      <w:r>
        <w:rPr>
          <w:rFonts w:ascii="Times New Roman" w:eastAsia="Times New Roman" w:hAnsi="Times New Roman" w:cs="Times New Roman"/>
          <w:sz w:val="28"/>
          <w:szCs w:val="28"/>
          <w:lang w:eastAsia="ru-RU"/>
        </w:rPr>
        <w:t>,</w:t>
      </w:r>
      <w:r w:rsidRPr="0009284D">
        <w:rPr>
          <w:rFonts w:ascii="Times New Roman" w:eastAsia="Times New Roman" w:hAnsi="Times New Roman" w:cs="Times New Roman"/>
          <w:sz w:val="28"/>
          <w:szCs w:val="28"/>
          <w:lang w:eastAsia="ru-RU"/>
        </w:rPr>
        <w:t xml:space="preserve"> наглядные информационные материалы по указанному вопросу: </w:t>
      </w:r>
    </w:p>
    <w:p w14:paraId="646477F1" w14:textId="77777777" w:rsidR="003F3F5E" w:rsidRPr="0009284D" w:rsidRDefault="003F3F5E" w:rsidP="003F3F5E">
      <w:pPr>
        <w:widowControl w:val="0"/>
        <w:shd w:val="clear" w:color="auto" w:fill="FFFFFF"/>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09284D">
        <w:rPr>
          <w:rFonts w:ascii="Times New Roman" w:eastAsia="Times New Roman" w:hAnsi="Times New Roman" w:cs="Times New Roman"/>
          <w:sz w:val="28"/>
          <w:szCs w:val="28"/>
          <w:lang w:eastAsia="ru-RU"/>
        </w:rPr>
        <w:t xml:space="preserve">- для родителей (законных представителей) несовершеннолетних – </w:t>
      </w:r>
      <w:r w:rsidR="00BC1649">
        <w:rPr>
          <w:rFonts w:ascii="Times New Roman" w:eastAsia="Times New Roman" w:hAnsi="Times New Roman" w:cs="Times New Roman"/>
          <w:sz w:val="28"/>
          <w:szCs w:val="28"/>
          <w:lang w:eastAsia="ru-RU"/>
        </w:rPr>
        <w:br/>
      </w:r>
      <w:r w:rsidRPr="0009284D">
        <w:rPr>
          <w:rFonts w:ascii="Times New Roman" w:eastAsia="Times New Roman" w:hAnsi="Times New Roman" w:cs="Times New Roman"/>
          <w:sz w:val="28"/>
          <w:szCs w:val="28"/>
          <w:lang w:eastAsia="ru-RU"/>
        </w:rPr>
        <w:t>в 32 субъектах Российской Федер</w:t>
      </w:r>
      <w:r>
        <w:rPr>
          <w:rFonts w:ascii="Times New Roman" w:eastAsia="Times New Roman" w:hAnsi="Times New Roman" w:cs="Times New Roman"/>
          <w:sz w:val="28"/>
          <w:szCs w:val="28"/>
          <w:lang w:eastAsia="ru-RU"/>
        </w:rPr>
        <w:t>ации</w:t>
      </w:r>
      <w:r w:rsidR="009530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09284D">
        <w:rPr>
          <w:rFonts w:ascii="Times New Roman" w:eastAsia="Times New Roman" w:hAnsi="Times New Roman" w:cs="Times New Roman"/>
          <w:sz w:val="28"/>
          <w:szCs w:val="28"/>
          <w:lang w:eastAsia="ru-RU"/>
        </w:rPr>
        <w:t xml:space="preserve">еспублики Алтай, Башкортостан, Бурятия, Татарстан, Хакасия, Камчатский, Краснодарский и Хабаровский края, Амурская, Белгородская, Брянская, Псковская, Тамбовская, Ульяновская области и </w:t>
      </w:r>
      <w:r>
        <w:rPr>
          <w:rFonts w:ascii="Times New Roman" w:eastAsia="Times New Roman" w:hAnsi="Times New Roman" w:cs="Times New Roman"/>
          <w:sz w:val="28"/>
          <w:szCs w:val="28"/>
          <w:lang w:eastAsia="ru-RU"/>
        </w:rPr>
        <w:t>др.</w:t>
      </w:r>
      <w:r w:rsidR="009530A5">
        <w:rPr>
          <w:rFonts w:ascii="Times New Roman" w:eastAsia="Times New Roman" w:hAnsi="Times New Roman" w:cs="Times New Roman"/>
          <w:sz w:val="28"/>
          <w:szCs w:val="28"/>
          <w:lang w:eastAsia="ru-RU"/>
        </w:rPr>
        <w:t>).</w:t>
      </w:r>
      <w:r w:rsidRPr="0009284D">
        <w:rPr>
          <w:rFonts w:ascii="Times New Roman" w:eastAsia="Times New Roman" w:hAnsi="Times New Roman" w:cs="Times New Roman"/>
          <w:sz w:val="28"/>
          <w:szCs w:val="28"/>
          <w:lang w:eastAsia="ru-RU"/>
        </w:rPr>
        <w:t xml:space="preserve"> </w:t>
      </w:r>
      <w:r w:rsidR="009530A5">
        <w:rPr>
          <w:rFonts w:ascii="Times New Roman" w:eastAsia="Times New Roman" w:hAnsi="Times New Roman" w:cs="Times New Roman"/>
          <w:sz w:val="28"/>
          <w:szCs w:val="28"/>
          <w:lang w:eastAsia="ru-RU"/>
        </w:rPr>
        <w:t>Например</w:t>
      </w:r>
      <w:r w:rsidRPr="0009284D">
        <w:rPr>
          <w:rFonts w:ascii="Times New Roman" w:eastAsia="Times New Roman" w:hAnsi="Times New Roman" w:cs="Times New Roman"/>
          <w:sz w:val="28"/>
          <w:szCs w:val="28"/>
          <w:lang w:eastAsia="ru-RU"/>
        </w:rPr>
        <w:t xml:space="preserve">, в Тамбовской области разработан буклет «Интернет-угрозы. Вовлечение подростков в группы деструктивной направленности», направленный на оказание помощи родителям в распознании интернет-угроз; </w:t>
      </w:r>
      <w:r w:rsidR="009530A5">
        <w:rPr>
          <w:rFonts w:ascii="Times New Roman" w:eastAsia="Times New Roman" w:hAnsi="Times New Roman" w:cs="Times New Roman"/>
          <w:sz w:val="28"/>
          <w:szCs w:val="28"/>
          <w:lang w:eastAsia="ru-RU"/>
        </w:rPr>
        <w:t xml:space="preserve">в Ульяновской области – </w:t>
      </w:r>
      <w:r w:rsidRPr="0009284D">
        <w:rPr>
          <w:rFonts w:ascii="Times New Roman" w:eastAsia="Times New Roman" w:hAnsi="Times New Roman" w:cs="Times New Roman"/>
          <w:sz w:val="28"/>
          <w:szCs w:val="28"/>
          <w:lang w:eastAsia="ru-RU"/>
        </w:rPr>
        <w:t>памятк</w:t>
      </w:r>
      <w:r w:rsidR="009530A5">
        <w:rPr>
          <w:rFonts w:ascii="Times New Roman" w:eastAsia="Times New Roman" w:hAnsi="Times New Roman" w:cs="Times New Roman"/>
          <w:sz w:val="28"/>
          <w:szCs w:val="28"/>
          <w:lang w:eastAsia="ru-RU"/>
        </w:rPr>
        <w:t>а</w:t>
      </w:r>
      <w:r w:rsidRPr="0009284D">
        <w:rPr>
          <w:rFonts w:ascii="Times New Roman" w:eastAsia="Times New Roman" w:hAnsi="Times New Roman" w:cs="Times New Roman"/>
          <w:sz w:val="28"/>
          <w:szCs w:val="28"/>
          <w:lang w:eastAsia="ru-RU"/>
        </w:rPr>
        <w:t xml:space="preserve"> «</w:t>
      </w:r>
      <w:proofErr w:type="spellStart"/>
      <w:r w:rsidRPr="0009284D">
        <w:rPr>
          <w:rFonts w:ascii="Times New Roman" w:eastAsia="Times New Roman" w:hAnsi="Times New Roman" w:cs="Times New Roman"/>
          <w:sz w:val="28"/>
          <w:szCs w:val="28"/>
          <w:lang w:eastAsia="ru-RU"/>
        </w:rPr>
        <w:t>Кибербул</w:t>
      </w:r>
      <w:r>
        <w:rPr>
          <w:rFonts w:ascii="Times New Roman" w:eastAsia="Times New Roman" w:hAnsi="Times New Roman" w:cs="Times New Roman"/>
          <w:sz w:val="28"/>
          <w:szCs w:val="28"/>
          <w:lang w:eastAsia="ru-RU"/>
        </w:rPr>
        <w:t>линг</w:t>
      </w:r>
      <w:proofErr w:type="spellEnd"/>
      <w:r>
        <w:rPr>
          <w:rFonts w:ascii="Times New Roman" w:eastAsia="Times New Roman" w:hAnsi="Times New Roman" w:cs="Times New Roman"/>
          <w:sz w:val="28"/>
          <w:szCs w:val="28"/>
          <w:lang w:eastAsia="ru-RU"/>
        </w:rPr>
        <w:t xml:space="preserve">: советы родителям», </w:t>
      </w:r>
      <w:r w:rsidR="009530A5">
        <w:rPr>
          <w:rFonts w:ascii="Times New Roman" w:eastAsia="Times New Roman" w:hAnsi="Times New Roman" w:cs="Times New Roman"/>
          <w:sz w:val="28"/>
          <w:szCs w:val="28"/>
          <w:lang w:eastAsia="ru-RU"/>
        </w:rPr>
        <w:t>содержащая</w:t>
      </w:r>
      <w:r w:rsidRPr="0009284D">
        <w:rPr>
          <w:rFonts w:ascii="Times New Roman" w:eastAsia="Times New Roman" w:hAnsi="Times New Roman" w:cs="Times New Roman"/>
          <w:sz w:val="28"/>
          <w:szCs w:val="28"/>
          <w:lang w:eastAsia="ru-RU"/>
        </w:rPr>
        <w:t xml:space="preserve"> информацию о понятии «</w:t>
      </w:r>
      <w:proofErr w:type="spellStart"/>
      <w:r w:rsidRPr="0009284D">
        <w:rPr>
          <w:rFonts w:ascii="Times New Roman" w:eastAsia="Times New Roman" w:hAnsi="Times New Roman" w:cs="Times New Roman"/>
          <w:sz w:val="28"/>
          <w:szCs w:val="28"/>
          <w:lang w:eastAsia="ru-RU"/>
        </w:rPr>
        <w:t>Кибербуллинг</w:t>
      </w:r>
      <w:proofErr w:type="spellEnd"/>
      <w:r w:rsidRPr="0009284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09284D">
        <w:rPr>
          <w:rFonts w:ascii="Times New Roman" w:eastAsia="Times New Roman" w:hAnsi="Times New Roman" w:cs="Times New Roman"/>
          <w:sz w:val="28"/>
          <w:szCs w:val="28"/>
          <w:lang w:eastAsia="ru-RU"/>
        </w:rPr>
        <w:t xml:space="preserve"> признак</w:t>
      </w:r>
      <w:r w:rsidR="009530A5">
        <w:rPr>
          <w:rFonts w:ascii="Times New Roman" w:eastAsia="Times New Roman" w:hAnsi="Times New Roman" w:cs="Times New Roman"/>
          <w:sz w:val="28"/>
          <w:szCs w:val="28"/>
          <w:lang w:eastAsia="ru-RU"/>
        </w:rPr>
        <w:t>ах</w:t>
      </w:r>
      <w:r w:rsidRPr="0009284D">
        <w:rPr>
          <w:rFonts w:ascii="Times New Roman" w:eastAsia="Times New Roman" w:hAnsi="Times New Roman" w:cs="Times New Roman"/>
          <w:sz w:val="28"/>
          <w:szCs w:val="28"/>
          <w:lang w:eastAsia="ru-RU"/>
        </w:rPr>
        <w:t xml:space="preserve"> </w:t>
      </w:r>
      <w:proofErr w:type="spellStart"/>
      <w:r w:rsidRPr="0009284D">
        <w:rPr>
          <w:rFonts w:ascii="Times New Roman" w:eastAsia="Times New Roman" w:hAnsi="Times New Roman" w:cs="Times New Roman"/>
          <w:sz w:val="28"/>
          <w:szCs w:val="28"/>
          <w:lang w:eastAsia="ru-RU"/>
        </w:rPr>
        <w:t>кибербуллинга</w:t>
      </w:r>
      <w:proofErr w:type="spellEnd"/>
      <w:r w:rsidRPr="0009284D">
        <w:rPr>
          <w:rFonts w:ascii="Times New Roman" w:eastAsia="Times New Roman" w:hAnsi="Times New Roman" w:cs="Times New Roman"/>
          <w:sz w:val="28"/>
          <w:szCs w:val="28"/>
          <w:lang w:eastAsia="ru-RU"/>
        </w:rPr>
        <w:t>, способ</w:t>
      </w:r>
      <w:r w:rsidR="009530A5">
        <w:rPr>
          <w:rFonts w:ascii="Times New Roman" w:eastAsia="Times New Roman" w:hAnsi="Times New Roman" w:cs="Times New Roman"/>
          <w:sz w:val="28"/>
          <w:szCs w:val="28"/>
          <w:lang w:eastAsia="ru-RU"/>
        </w:rPr>
        <w:t>ах</w:t>
      </w:r>
      <w:r w:rsidRPr="0009284D">
        <w:rPr>
          <w:rFonts w:ascii="Times New Roman" w:eastAsia="Times New Roman" w:hAnsi="Times New Roman" w:cs="Times New Roman"/>
          <w:sz w:val="28"/>
          <w:szCs w:val="28"/>
          <w:lang w:eastAsia="ru-RU"/>
        </w:rPr>
        <w:t xml:space="preserve"> реагирования, если ребенка травят в сети; </w:t>
      </w:r>
    </w:p>
    <w:p w14:paraId="7D5A49B0" w14:textId="77777777" w:rsidR="000B3338" w:rsidRDefault="003F3F5E" w:rsidP="000B3338">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sidRPr="0009284D">
        <w:rPr>
          <w:rFonts w:ascii="Times New Roman" w:eastAsia="Times New Roman" w:hAnsi="Times New Roman" w:cs="Times New Roman"/>
          <w:sz w:val="28"/>
          <w:szCs w:val="28"/>
          <w:lang w:eastAsia="ru-RU"/>
        </w:rPr>
        <w:t>- для несовершеннолетних обучающихся общеобразовательных организаций и профессиональных образовательных организаций – в 24 субъектах Российской Федерации</w:t>
      </w:r>
      <w:r w:rsidR="009530A5">
        <w:rPr>
          <w:rFonts w:ascii="Times New Roman" w:eastAsia="Times New Roman" w:hAnsi="Times New Roman" w:cs="Times New Roman"/>
          <w:sz w:val="28"/>
          <w:szCs w:val="28"/>
          <w:lang w:eastAsia="ru-RU"/>
        </w:rPr>
        <w:t xml:space="preserve"> (</w:t>
      </w:r>
      <w:r w:rsidRPr="0009284D">
        <w:rPr>
          <w:rFonts w:ascii="Times New Roman" w:eastAsia="Times New Roman" w:hAnsi="Times New Roman" w:cs="Times New Roman"/>
          <w:sz w:val="28"/>
          <w:szCs w:val="28"/>
          <w:lang w:eastAsia="ru-RU"/>
        </w:rPr>
        <w:t>Республики Бурятия и Татарстан, Алтайский, К</w:t>
      </w:r>
      <w:r>
        <w:rPr>
          <w:rFonts w:ascii="Times New Roman" w:eastAsia="Times New Roman" w:hAnsi="Times New Roman" w:cs="Times New Roman"/>
          <w:sz w:val="28"/>
          <w:szCs w:val="28"/>
          <w:lang w:eastAsia="ru-RU"/>
        </w:rPr>
        <w:t>раснодарский и Хабаровский края,</w:t>
      </w:r>
      <w:r w:rsidRPr="0009284D">
        <w:rPr>
          <w:rFonts w:ascii="Times New Roman" w:eastAsia="Times New Roman" w:hAnsi="Times New Roman" w:cs="Times New Roman"/>
          <w:sz w:val="28"/>
          <w:szCs w:val="28"/>
          <w:lang w:eastAsia="ru-RU"/>
        </w:rPr>
        <w:t xml:space="preserve"> Иркутская, Калининградская, Калужская, Липецкая, Московская, Омская и Тюменская области, </w:t>
      </w:r>
      <w:r>
        <w:rPr>
          <w:rFonts w:ascii="Times New Roman" w:eastAsia="Times New Roman" w:hAnsi="Times New Roman" w:cs="Times New Roman"/>
          <w:sz w:val="28"/>
          <w:szCs w:val="28"/>
          <w:lang w:eastAsia="ru-RU"/>
        </w:rPr>
        <w:t xml:space="preserve">г. </w:t>
      </w:r>
      <w:r w:rsidRPr="0009284D">
        <w:rPr>
          <w:rFonts w:ascii="Times New Roman" w:eastAsia="Times New Roman" w:hAnsi="Times New Roman" w:cs="Times New Roman"/>
          <w:sz w:val="28"/>
          <w:szCs w:val="28"/>
          <w:lang w:eastAsia="ru-RU"/>
        </w:rPr>
        <w:t xml:space="preserve">Санкт-Петербург и </w:t>
      </w:r>
      <w:r>
        <w:rPr>
          <w:rFonts w:ascii="Times New Roman" w:eastAsia="Times New Roman" w:hAnsi="Times New Roman" w:cs="Times New Roman"/>
          <w:sz w:val="28"/>
          <w:szCs w:val="28"/>
          <w:lang w:eastAsia="ru-RU"/>
        </w:rPr>
        <w:t>др.</w:t>
      </w:r>
      <w:r w:rsidR="009530A5">
        <w:rPr>
          <w:rFonts w:ascii="Times New Roman" w:eastAsia="Times New Roman" w:hAnsi="Times New Roman" w:cs="Times New Roman"/>
          <w:sz w:val="28"/>
          <w:szCs w:val="28"/>
          <w:lang w:eastAsia="ru-RU"/>
        </w:rPr>
        <w:t>). Н</w:t>
      </w:r>
      <w:r w:rsidRPr="0009284D">
        <w:rPr>
          <w:rFonts w:ascii="Times New Roman" w:eastAsia="Times New Roman" w:hAnsi="Times New Roman" w:cs="Times New Roman"/>
          <w:sz w:val="28"/>
          <w:szCs w:val="28"/>
          <w:lang w:eastAsia="ru-RU"/>
        </w:rPr>
        <w:t>апример, в Брянской области разработаны наглядные материалы для детей и подростков «Азбука информационной безопасности» с информацией об основных угрозах сети Интернет, советами, как предупредить преступление, куда обратиться при выявлении фактов мошенничества</w:t>
      </w:r>
      <w:r w:rsidR="009530A5">
        <w:rPr>
          <w:rFonts w:ascii="Times New Roman" w:eastAsia="Times New Roman" w:hAnsi="Times New Roman" w:cs="Times New Roman"/>
          <w:sz w:val="28"/>
          <w:szCs w:val="28"/>
          <w:lang w:eastAsia="ru-RU"/>
        </w:rPr>
        <w:t>. В</w:t>
      </w:r>
      <w:r w:rsidRPr="0009284D">
        <w:rPr>
          <w:rFonts w:ascii="Times New Roman" w:eastAsia="Times New Roman" w:hAnsi="Times New Roman" w:cs="Times New Roman"/>
          <w:sz w:val="28"/>
          <w:szCs w:val="28"/>
          <w:lang w:eastAsia="ru-RU"/>
        </w:rPr>
        <w:t xml:space="preserve"> памятке по вопросам кибербезопасности в сети Интернет, разработанной в </w:t>
      </w:r>
      <w:r>
        <w:rPr>
          <w:rFonts w:ascii="Times New Roman" w:eastAsia="Times New Roman" w:hAnsi="Times New Roman" w:cs="Times New Roman"/>
          <w:sz w:val="28"/>
          <w:szCs w:val="28"/>
          <w:lang w:eastAsia="ru-RU"/>
        </w:rPr>
        <w:t xml:space="preserve">г. </w:t>
      </w:r>
      <w:r w:rsidRPr="0009284D">
        <w:rPr>
          <w:rFonts w:ascii="Times New Roman" w:eastAsia="Times New Roman" w:hAnsi="Times New Roman" w:cs="Times New Roman"/>
          <w:sz w:val="28"/>
          <w:szCs w:val="28"/>
          <w:lang w:eastAsia="ru-RU"/>
        </w:rPr>
        <w:t>Санкт-Петербурге</w:t>
      </w:r>
      <w:r>
        <w:rPr>
          <w:rFonts w:ascii="Times New Roman" w:eastAsia="Times New Roman" w:hAnsi="Times New Roman" w:cs="Times New Roman"/>
          <w:sz w:val="28"/>
          <w:szCs w:val="28"/>
          <w:lang w:eastAsia="ru-RU"/>
        </w:rPr>
        <w:t>,</w:t>
      </w:r>
      <w:r w:rsidRPr="0009284D">
        <w:rPr>
          <w:rFonts w:ascii="Times New Roman" w:eastAsia="Times New Roman" w:hAnsi="Times New Roman" w:cs="Times New Roman"/>
          <w:sz w:val="28"/>
          <w:szCs w:val="28"/>
          <w:lang w:eastAsia="ru-RU"/>
        </w:rPr>
        <w:t xml:space="preserve"> представлена информация о компьютерных вирусах, методах защиты от вредоносных программ, даны советы детям для безопасного общения в социальных сетях, общедоступных сетях WI-FI, по борьбе с </w:t>
      </w:r>
      <w:proofErr w:type="spellStart"/>
      <w:r w:rsidRPr="0009284D">
        <w:rPr>
          <w:rFonts w:ascii="Times New Roman" w:eastAsia="Times New Roman" w:hAnsi="Times New Roman" w:cs="Times New Roman"/>
          <w:sz w:val="28"/>
          <w:szCs w:val="28"/>
          <w:lang w:eastAsia="ru-RU"/>
        </w:rPr>
        <w:t>кибербуллингом</w:t>
      </w:r>
      <w:proofErr w:type="spellEnd"/>
      <w:r w:rsidRPr="0009284D">
        <w:rPr>
          <w:rFonts w:ascii="Times New Roman" w:eastAsia="Times New Roman" w:hAnsi="Times New Roman" w:cs="Times New Roman"/>
          <w:sz w:val="28"/>
          <w:szCs w:val="28"/>
          <w:lang w:eastAsia="ru-RU"/>
        </w:rPr>
        <w:t>, по безопасности мобильного телефона).</w:t>
      </w:r>
    </w:p>
    <w:p w14:paraId="0BC9EFC8" w14:textId="77777777" w:rsidR="000B3338" w:rsidRDefault="000B3338" w:rsidP="000B3338">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2021 г</w:t>
      </w:r>
      <w:r w:rsidR="00BC164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Росмолодежью проведен ряд мероприятий для специалистов органов по делам молодежи регионального и муниципального уровней, направленных на координацию работы по профилактике правонарушений и иных антиобщественных действий среди несовершеннолетних и молодежи, обучение новым методикам и формам работы по профилактике социально-негативных явлений в молодежной среде:</w:t>
      </w:r>
    </w:p>
    <w:p w14:paraId="5D009576" w14:textId="77777777" w:rsidR="000B3338" w:rsidRDefault="000B3338" w:rsidP="000B3338">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семинар «Современные угрозы в молодежной среде» на базе Мастерской управления «</w:t>
      </w:r>
      <w:proofErr w:type="spellStart"/>
      <w:r>
        <w:rPr>
          <w:rFonts w:ascii="Times New Roman" w:eastAsia="Times New Roman" w:hAnsi="Times New Roman" w:cs="Times New Roman"/>
          <w:sz w:val="28"/>
          <w:szCs w:val="28"/>
          <w:lang w:eastAsia="ru-RU"/>
        </w:rPr>
        <w:t>Сенеж</w:t>
      </w:r>
      <w:proofErr w:type="spellEnd"/>
      <w:r>
        <w:rPr>
          <w:rFonts w:ascii="Times New Roman" w:eastAsia="Times New Roman" w:hAnsi="Times New Roman" w:cs="Times New Roman"/>
          <w:sz w:val="28"/>
          <w:szCs w:val="28"/>
          <w:lang w:eastAsia="ru-RU"/>
        </w:rPr>
        <w:t>», участниками которого стали 114 представителей органов исполнительной власти 63 субъектов Российской Федерации, реализующих в рамках государственной молодежной политики мероприятия по профилактике негативных проявлений среди молодежи;</w:t>
      </w:r>
    </w:p>
    <w:p w14:paraId="7A72A67B" w14:textId="0E4C1FDE" w:rsidR="000B3338" w:rsidRDefault="000B3338" w:rsidP="000B3338">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Всероссийский научно-образовательный форум по профилактике социально-негативных явлений в молодежной среде «Социальный десант», участниками которого в очном формате стали 120</w:t>
      </w:r>
      <w:r w:rsidR="00335477">
        <w:rPr>
          <w:rFonts w:ascii="Times New Roman" w:eastAsia="Times New Roman" w:hAnsi="Times New Roman" w:cs="Times New Roman"/>
          <w:sz w:val="28"/>
          <w:szCs w:val="28"/>
          <w:lang w:eastAsia="ru-RU"/>
        </w:rPr>
        <w:t xml:space="preserve"> человек из 53 субъектов Российской Федерации и 47 человек из 31 субъекта Российской Федерации в онлайн-формате;</w:t>
      </w:r>
    </w:p>
    <w:p w14:paraId="1B69BBFD" w14:textId="30CA5833" w:rsidR="00335477" w:rsidRDefault="00335477" w:rsidP="000B3338">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Всероссийский форум по межведомственному взаимодействию по профилактике терроризма и экстремизма в молодежной среде, участниками которого стали 168 представителей руководящего состава органов по делам молодежи и аппаратов антитеррористических комиссий 74 субъектов Российской Федерации. </w:t>
      </w:r>
      <w:r w:rsidR="00DF4B6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В рамках форума были презентованы лучшие практики субъектов Российской Федерации по противодействию терроризму и экстремизму, определены механизмы межведомственного и межрегионального взаимодействия между органами по делам молодежи с аппаратами антитеррористических комиссий, определены основные направления работы по противодействию распространения идеологии терроризма и экстремизма в молодежной среде на 2022 г</w:t>
      </w:r>
      <w:r w:rsidR="00BC164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425DA3C4" w14:textId="77777777" w:rsidR="00335477" w:rsidRDefault="003F7E64" w:rsidP="000B3338">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Всероссийский форум по профилактике терроризма и экстремизма «Формула согласия», участниками которого стали 250 специалистов из 74 субъектов Российской Федерации в офлайн- и онлайн-формате;</w:t>
      </w:r>
    </w:p>
    <w:p w14:paraId="1D605B4A" w14:textId="77777777" w:rsidR="000B3338" w:rsidRPr="000B3338" w:rsidRDefault="003F7E64" w:rsidP="000B3338">
      <w:pPr>
        <w:autoSpaceDE w:val="0"/>
        <w:autoSpaceDN w:val="0"/>
        <w:adjustRightInd w:val="0"/>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секция «Мир без угроз» на площадке Всероссийского патриотического форума, участниками которого стали 600 очных и более 4400 онлайн-участников из всех регионов России. В рамках секции помимо пленарной дискуссии «Профилактика деструктивного поведения среди молодежи, новые вызовы и способы совершенствования» прошли образовательные интенсивы «Основы информационной гигиены как противодействие киберугрозам» и «Профилактика вовлечения детей и молодежи в деструктивные сообщества».</w:t>
      </w:r>
    </w:p>
    <w:p w14:paraId="149AEB7F" w14:textId="77777777" w:rsidR="003F3F5E" w:rsidRDefault="009530A5" w:rsidP="003F3F5E">
      <w:pPr>
        <w:spacing w:after="0" w:line="312"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Pr="00172F36">
        <w:rPr>
          <w:rFonts w:ascii="Times New Roman" w:eastAsia="Times New Roman" w:hAnsi="Times New Roman" w:cs="Times New Roman"/>
          <w:bCs/>
          <w:sz w:val="28"/>
          <w:szCs w:val="28"/>
          <w:lang w:eastAsia="ru-RU"/>
        </w:rPr>
        <w:t>о всех субъектах Российской Федерации в рамках региональных программ или планов мероприятий, направленных на обеспечение информационной безопасности детей</w:t>
      </w:r>
      <w:r>
        <w:rPr>
          <w:rFonts w:ascii="Times New Roman" w:eastAsia="Times New Roman" w:hAnsi="Times New Roman" w:cs="Times New Roman"/>
          <w:bCs/>
          <w:sz w:val="28"/>
          <w:szCs w:val="28"/>
          <w:lang w:eastAsia="ru-RU"/>
        </w:rPr>
        <w:t>,</w:t>
      </w:r>
      <w:r w:rsidRPr="00172F36">
        <w:rPr>
          <w:rFonts w:ascii="Times New Roman" w:eastAsia="Times New Roman" w:hAnsi="Times New Roman" w:cs="Times New Roman"/>
          <w:bCs/>
          <w:sz w:val="28"/>
          <w:szCs w:val="28"/>
          <w:lang w:eastAsia="ru-RU"/>
        </w:rPr>
        <w:t xml:space="preserve"> проводилась </w:t>
      </w:r>
      <w:r>
        <w:rPr>
          <w:rFonts w:ascii="Times New Roman" w:eastAsia="Times New Roman" w:hAnsi="Times New Roman" w:cs="Times New Roman"/>
          <w:bCs/>
          <w:sz w:val="28"/>
          <w:szCs w:val="28"/>
          <w:lang w:eastAsia="ru-RU"/>
        </w:rPr>
        <w:t>р</w:t>
      </w:r>
      <w:r w:rsidR="003F3F5E" w:rsidRPr="00172F36">
        <w:rPr>
          <w:rFonts w:ascii="Times New Roman" w:eastAsia="Times New Roman" w:hAnsi="Times New Roman" w:cs="Times New Roman"/>
          <w:bCs/>
          <w:sz w:val="28"/>
          <w:szCs w:val="28"/>
          <w:lang w:eastAsia="ru-RU"/>
        </w:rPr>
        <w:t>абота по профилактике нарушений прав несовершеннолетних в сети Интернет</w:t>
      </w:r>
      <w:r>
        <w:rPr>
          <w:rFonts w:ascii="Times New Roman" w:eastAsia="Times New Roman" w:hAnsi="Times New Roman" w:cs="Times New Roman"/>
          <w:bCs/>
          <w:sz w:val="28"/>
          <w:szCs w:val="28"/>
          <w:lang w:eastAsia="ru-RU"/>
        </w:rPr>
        <w:t xml:space="preserve">, </w:t>
      </w:r>
      <w:r w:rsidR="003F3F5E" w:rsidRPr="00172F36">
        <w:rPr>
          <w:rFonts w:ascii="Times New Roman" w:eastAsia="Times New Roman" w:hAnsi="Times New Roman" w:cs="Times New Roman"/>
          <w:bCs/>
          <w:sz w:val="28"/>
          <w:szCs w:val="28"/>
          <w:lang w:eastAsia="ru-RU"/>
        </w:rPr>
        <w:t>в том числе по таким направлениям, как запрет и блокировка оборота запрещенного контента и пов</w:t>
      </w:r>
      <w:r>
        <w:rPr>
          <w:rFonts w:ascii="Times New Roman" w:eastAsia="Times New Roman" w:hAnsi="Times New Roman" w:cs="Times New Roman"/>
          <w:bCs/>
          <w:sz w:val="28"/>
          <w:szCs w:val="28"/>
          <w:lang w:eastAsia="ru-RU"/>
        </w:rPr>
        <w:t>ышение уровня медиаграмотности.</w:t>
      </w:r>
    </w:p>
    <w:p w14:paraId="164910CD" w14:textId="77777777" w:rsidR="00696F8E" w:rsidRDefault="003F3F5E" w:rsidP="003F3F5E">
      <w:pPr>
        <w:spacing w:after="0" w:line="312" w:lineRule="auto"/>
        <w:ind w:firstLine="709"/>
        <w:jc w:val="both"/>
        <w:rPr>
          <w:rFonts w:ascii="Times New Roman" w:eastAsia="Times New Roman" w:hAnsi="Times New Roman" w:cs="Times New Roman"/>
          <w:bCs/>
          <w:sz w:val="28"/>
          <w:szCs w:val="28"/>
          <w:lang w:eastAsia="ru-RU"/>
        </w:rPr>
      </w:pPr>
      <w:r w:rsidRPr="00172F36">
        <w:rPr>
          <w:rFonts w:ascii="Times New Roman" w:eastAsia="Times New Roman" w:hAnsi="Times New Roman" w:cs="Times New Roman"/>
          <w:bCs/>
          <w:sz w:val="28"/>
          <w:szCs w:val="28"/>
          <w:lang w:eastAsia="ru-RU"/>
        </w:rPr>
        <w:t>Одной из лучших профилактических практик, направленных на обеспечение информационной безопасности несовершеннолетних, является создание «</w:t>
      </w:r>
      <w:proofErr w:type="spellStart"/>
      <w:r w:rsidRPr="00172F36">
        <w:rPr>
          <w:rFonts w:ascii="Times New Roman" w:eastAsia="Times New Roman" w:hAnsi="Times New Roman" w:cs="Times New Roman"/>
          <w:bCs/>
          <w:sz w:val="28"/>
          <w:szCs w:val="28"/>
          <w:lang w:eastAsia="ru-RU"/>
        </w:rPr>
        <w:t>киберволонтерских</w:t>
      </w:r>
      <w:proofErr w:type="spellEnd"/>
      <w:r w:rsidRPr="00172F36">
        <w:rPr>
          <w:rFonts w:ascii="Times New Roman" w:eastAsia="Times New Roman" w:hAnsi="Times New Roman" w:cs="Times New Roman"/>
          <w:bCs/>
          <w:sz w:val="28"/>
          <w:szCs w:val="28"/>
          <w:lang w:eastAsia="ru-RU"/>
        </w:rPr>
        <w:t xml:space="preserve"> дружин» и «</w:t>
      </w:r>
      <w:proofErr w:type="spellStart"/>
      <w:r w:rsidRPr="00172F36">
        <w:rPr>
          <w:rFonts w:ascii="Times New Roman" w:eastAsia="Times New Roman" w:hAnsi="Times New Roman" w:cs="Times New Roman"/>
          <w:bCs/>
          <w:sz w:val="28"/>
          <w:szCs w:val="28"/>
          <w:lang w:eastAsia="ru-RU"/>
        </w:rPr>
        <w:t>киберпатрулей</w:t>
      </w:r>
      <w:proofErr w:type="spellEnd"/>
      <w:r w:rsidRPr="00172F36">
        <w:rPr>
          <w:rFonts w:ascii="Times New Roman" w:eastAsia="Times New Roman" w:hAnsi="Times New Roman" w:cs="Times New Roman"/>
          <w:bCs/>
          <w:sz w:val="28"/>
          <w:szCs w:val="28"/>
          <w:lang w:eastAsia="ru-RU"/>
        </w:rPr>
        <w:t>»</w:t>
      </w:r>
      <w:r w:rsidR="009530A5" w:rsidRPr="00172F36">
        <w:rPr>
          <w:rFonts w:ascii="Times New Roman" w:eastAsia="Times New Roman" w:hAnsi="Times New Roman" w:cs="Times New Roman"/>
          <w:bCs/>
          <w:sz w:val="28"/>
          <w:szCs w:val="28"/>
          <w:lang w:eastAsia="ru-RU"/>
        </w:rPr>
        <w:t>.</w:t>
      </w:r>
      <w:r w:rsidRPr="00172F36">
        <w:rPr>
          <w:rFonts w:ascii="Times New Roman" w:eastAsia="Times New Roman" w:hAnsi="Times New Roman" w:cs="Times New Roman"/>
          <w:bCs/>
          <w:sz w:val="28"/>
          <w:szCs w:val="28"/>
          <w:lang w:eastAsia="ru-RU"/>
        </w:rPr>
        <w:t xml:space="preserve"> Деятельность подобных объединений и отрядов направлена на верификацию негативных групп в социальных сетях, в том числе суицидальных, противодействие распространению в сети Интернет иной противоправной информации, постоянный мониторинг информации в сети Интернет и реагирование на негативный и противоправный контент путем подачи жалобы в Роскомнадзор, распространение полезной информации о безопасном поведении в сети, а также на проведение профилактических мероприятий, формирование знаний о правилах пользования сетью Интернет и о способах защиты персональных данных. </w:t>
      </w:r>
    </w:p>
    <w:p w14:paraId="0C163BA7" w14:textId="77777777" w:rsidR="003F3F5E" w:rsidRDefault="003F3F5E" w:rsidP="003F3F5E">
      <w:pPr>
        <w:spacing w:after="0" w:line="312" w:lineRule="auto"/>
        <w:ind w:firstLine="709"/>
        <w:jc w:val="both"/>
        <w:rPr>
          <w:rFonts w:ascii="Times New Roman" w:eastAsia="Times New Roman" w:hAnsi="Times New Roman" w:cs="Times New Roman"/>
          <w:bCs/>
          <w:sz w:val="28"/>
          <w:szCs w:val="28"/>
          <w:lang w:eastAsia="ru-RU"/>
        </w:rPr>
      </w:pPr>
      <w:r w:rsidRPr="00172F36">
        <w:rPr>
          <w:rFonts w:ascii="Times New Roman" w:eastAsia="Times New Roman" w:hAnsi="Times New Roman" w:cs="Times New Roman"/>
          <w:bCs/>
          <w:sz w:val="28"/>
          <w:szCs w:val="28"/>
          <w:lang w:eastAsia="ru-RU"/>
        </w:rPr>
        <w:t>Одной из основных платформ, обеспечивающих взаимодействие с профильными ведомствами, является Лига безопасного Интернета. Созданное Лигой общественное движение «Кибердружина»</w:t>
      </w:r>
      <w:r w:rsidR="00992EE2">
        <w:rPr>
          <w:rFonts w:ascii="Times New Roman" w:eastAsia="Times New Roman" w:hAnsi="Times New Roman" w:cs="Times New Roman"/>
          <w:bCs/>
          <w:sz w:val="28"/>
          <w:szCs w:val="28"/>
          <w:lang w:eastAsia="ru-RU"/>
        </w:rPr>
        <w:t xml:space="preserve">, </w:t>
      </w:r>
      <w:r w:rsidR="00992EE2" w:rsidRPr="00172F36">
        <w:rPr>
          <w:rFonts w:ascii="Times New Roman" w:eastAsia="Times New Roman" w:hAnsi="Times New Roman" w:cs="Times New Roman"/>
          <w:bCs/>
          <w:sz w:val="28"/>
          <w:szCs w:val="28"/>
          <w:lang w:eastAsia="ru-RU"/>
        </w:rPr>
        <w:t>име</w:t>
      </w:r>
      <w:r w:rsidR="00992EE2">
        <w:rPr>
          <w:rFonts w:ascii="Times New Roman" w:eastAsia="Times New Roman" w:hAnsi="Times New Roman" w:cs="Times New Roman"/>
          <w:bCs/>
          <w:sz w:val="28"/>
          <w:szCs w:val="28"/>
          <w:lang w:eastAsia="ru-RU"/>
        </w:rPr>
        <w:t>ющее</w:t>
      </w:r>
      <w:r w:rsidR="00992EE2" w:rsidRPr="00172F36">
        <w:rPr>
          <w:rFonts w:ascii="Times New Roman" w:eastAsia="Times New Roman" w:hAnsi="Times New Roman" w:cs="Times New Roman"/>
          <w:bCs/>
          <w:sz w:val="28"/>
          <w:szCs w:val="28"/>
          <w:lang w:eastAsia="ru-RU"/>
        </w:rPr>
        <w:t xml:space="preserve"> представительства </w:t>
      </w:r>
      <w:r w:rsidR="003F7E64">
        <w:rPr>
          <w:rFonts w:ascii="Times New Roman" w:eastAsia="Times New Roman" w:hAnsi="Times New Roman" w:cs="Times New Roman"/>
          <w:bCs/>
          <w:sz w:val="28"/>
          <w:szCs w:val="28"/>
          <w:lang w:eastAsia="ru-RU"/>
        </w:rPr>
        <w:br/>
      </w:r>
      <w:r w:rsidR="00992EE2" w:rsidRPr="00172F36">
        <w:rPr>
          <w:rFonts w:ascii="Times New Roman" w:eastAsia="Times New Roman" w:hAnsi="Times New Roman" w:cs="Times New Roman"/>
          <w:bCs/>
          <w:sz w:val="28"/>
          <w:szCs w:val="28"/>
          <w:lang w:eastAsia="ru-RU"/>
        </w:rPr>
        <w:t>в 36 регионах России</w:t>
      </w:r>
      <w:r w:rsidR="00992EE2">
        <w:rPr>
          <w:rFonts w:ascii="Times New Roman" w:eastAsia="Times New Roman" w:hAnsi="Times New Roman" w:cs="Times New Roman"/>
          <w:bCs/>
          <w:sz w:val="28"/>
          <w:szCs w:val="28"/>
          <w:lang w:eastAsia="ru-RU"/>
        </w:rPr>
        <w:t>,</w:t>
      </w:r>
      <w:r w:rsidR="00992EE2" w:rsidRPr="00172F36">
        <w:rPr>
          <w:rFonts w:ascii="Times New Roman" w:eastAsia="Times New Roman" w:hAnsi="Times New Roman" w:cs="Times New Roman"/>
          <w:bCs/>
          <w:sz w:val="28"/>
          <w:szCs w:val="28"/>
          <w:lang w:eastAsia="ru-RU"/>
        </w:rPr>
        <w:t xml:space="preserve"> </w:t>
      </w:r>
      <w:r w:rsidRPr="00172F36">
        <w:rPr>
          <w:rFonts w:ascii="Times New Roman" w:eastAsia="Times New Roman" w:hAnsi="Times New Roman" w:cs="Times New Roman"/>
          <w:bCs/>
          <w:sz w:val="28"/>
          <w:szCs w:val="28"/>
          <w:lang w:eastAsia="ru-RU"/>
        </w:rPr>
        <w:t xml:space="preserve">стало значимым элементом в системе детской кибербезопасности многих регионов. Кибердружинники осуществляют мониторинг контента в сети и при необходимости </w:t>
      </w:r>
      <w:r w:rsidR="00992EE2">
        <w:rPr>
          <w:rFonts w:ascii="Times New Roman" w:eastAsia="Times New Roman" w:hAnsi="Times New Roman" w:cs="Times New Roman"/>
          <w:bCs/>
          <w:sz w:val="28"/>
          <w:szCs w:val="28"/>
          <w:lang w:eastAsia="ru-RU"/>
        </w:rPr>
        <w:t>направляют</w:t>
      </w:r>
      <w:r w:rsidRPr="00172F36">
        <w:rPr>
          <w:rFonts w:ascii="Times New Roman" w:eastAsia="Times New Roman" w:hAnsi="Times New Roman" w:cs="Times New Roman"/>
          <w:bCs/>
          <w:sz w:val="28"/>
          <w:szCs w:val="28"/>
          <w:lang w:eastAsia="ru-RU"/>
        </w:rPr>
        <w:t xml:space="preserve"> информацию в правоохранительные органы и Роскомнадзор, а также участвуют в семинарах и лекциях. Волонтерами «Кибердружины», как правило, становятся молодые люди, студенты, что формирует положительный имидж данной деятельности среди школьников. Важно отметить, что площадкой для офлайн общения кибердружинников служат ежегодные Всероссийские слеты активистов движения «Кибердружина»</w:t>
      </w:r>
      <w:r w:rsidR="00992EE2">
        <w:rPr>
          <w:rFonts w:ascii="Times New Roman" w:eastAsia="Times New Roman" w:hAnsi="Times New Roman" w:cs="Times New Roman"/>
          <w:bCs/>
          <w:sz w:val="28"/>
          <w:szCs w:val="28"/>
          <w:lang w:eastAsia="ru-RU"/>
        </w:rPr>
        <w:t>, т</w:t>
      </w:r>
      <w:r w:rsidRPr="00172F36">
        <w:rPr>
          <w:rFonts w:ascii="Times New Roman" w:eastAsia="Times New Roman" w:hAnsi="Times New Roman" w:cs="Times New Roman"/>
          <w:bCs/>
          <w:sz w:val="28"/>
          <w:szCs w:val="28"/>
          <w:lang w:eastAsia="ru-RU"/>
        </w:rPr>
        <w:t xml:space="preserve">радиционно </w:t>
      </w:r>
      <w:r w:rsidR="00992EE2">
        <w:rPr>
          <w:rFonts w:ascii="Times New Roman" w:eastAsia="Times New Roman" w:hAnsi="Times New Roman" w:cs="Times New Roman"/>
          <w:bCs/>
          <w:sz w:val="28"/>
          <w:szCs w:val="28"/>
          <w:lang w:eastAsia="ru-RU"/>
        </w:rPr>
        <w:t>проходящие</w:t>
      </w:r>
      <w:r w:rsidRPr="00172F36">
        <w:rPr>
          <w:rFonts w:ascii="Times New Roman" w:eastAsia="Times New Roman" w:hAnsi="Times New Roman" w:cs="Times New Roman"/>
          <w:bCs/>
          <w:sz w:val="28"/>
          <w:szCs w:val="28"/>
          <w:lang w:eastAsia="ru-RU"/>
        </w:rPr>
        <w:t xml:space="preserve"> в г. Москве и собираю</w:t>
      </w:r>
      <w:r w:rsidR="00992EE2">
        <w:rPr>
          <w:rFonts w:ascii="Times New Roman" w:eastAsia="Times New Roman" w:hAnsi="Times New Roman" w:cs="Times New Roman"/>
          <w:bCs/>
          <w:sz w:val="28"/>
          <w:szCs w:val="28"/>
          <w:lang w:eastAsia="ru-RU"/>
        </w:rPr>
        <w:t>щие</w:t>
      </w:r>
      <w:r w:rsidRPr="00172F36">
        <w:rPr>
          <w:rFonts w:ascii="Times New Roman" w:eastAsia="Times New Roman" w:hAnsi="Times New Roman" w:cs="Times New Roman"/>
          <w:bCs/>
          <w:sz w:val="28"/>
          <w:szCs w:val="28"/>
          <w:lang w:eastAsia="ru-RU"/>
        </w:rPr>
        <w:t xml:space="preserve"> сотни кибердружинников. </w:t>
      </w:r>
      <w:r w:rsidR="00696F8E">
        <w:rPr>
          <w:rFonts w:ascii="Times New Roman" w:eastAsia="Times New Roman" w:hAnsi="Times New Roman" w:cs="Times New Roman"/>
          <w:bCs/>
          <w:sz w:val="28"/>
          <w:szCs w:val="28"/>
          <w:lang w:eastAsia="ru-RU"/>
        </w:rPr>
        <w:t>В 2021 г</w:t>
      </w:r>
      <w:r w:rsidR="00BC1649">
        <w:rPr>
          <w:rFonts w:ascii="Times New Roman" w:eastAsia="Times New Roman" w:hAnsi="Times New Roman" w:cs="Times New Roman"/>
          <w:bCs/>
          <w:sz w:val="28"/>
          <w:szCs w:val="28"/>
          <w:lang w:eastAsia="ru-RU"/>
        </w:rPr>
        <w:t>.</w:t>
      </w:r>
      <w:r w:rsidR="00696F8E" w:rsidRPr="00172F36">
        <w:rPr>
          <w:rFonts w:ascii="Times New Roman" w:eastAsia="Times New Roman" w:hAnsi="Times New Roman" w:cs="Times New Roman"/>
          <w:bCs/>
          <w:sz w:val="28"/>
          <w:szCs w:val="28"/>
          <w:lang w:eastAsia="ru-RU"/>
        </w:rPr>
        <w:t xml:space="preserve"> волонтерами Лиги безопасного </w:t>
      </w:r>
      <w:r w:rsidR="00696F8E">
        <w:rPr>
          <w:rFonts w:ascii="Times New Roman" w:eastAsia="Times New Roman" w:hAnsi="Times New Roman" w:cs="Times New Roman"/>
          <w:bCs/>
          <w:sz w:val="28"/>
          <w:szCs w:val="28"/>
          <w:lang w:eastAsia="ru-RU"/>
        </w:rPr>
        <w:t>И</w:t>
      </w:r>
      <w:r w:rsidR="00696F8E" w:rsidRPr="00172F36">
        <w:rPr>
          <w:rFonts w:ascii="Times New Roman" w:eastAsia="Times New Roman" w:hAnsi="Times New Roman" w:cs="Times New Roman"/>
          <w:bCs/>
          <w:sz w:val="28"/>
          <w:szCs w:val="28"/>
          <w:lang w:eastAsia="ru-RU"/>
        </w:rPr>
        <w:t>нтернета было обнаружено в социальных сетях 72,5 тыс. фейковых сообщений</w:t>
      </w:r>
      <w:r w:rsidR="00696F8E">
        <w:rPr>
          <w:rFonts w:ascii="Times New Roman" w:eastAsia="Times New Roman" w:hAnsi="Times New Roman" w:cs="Times New Roman"/>
          <w:bCs/>
          <w:sz w:val="28"/>
          <w:szCs w:val="28"/>
          <w:lang w:eastAsia="ru-RU"/>
        </w:rPr>
        <w:t>.</w:t>
      </w:r>
    </w:p>
    <w:p w14:paraId="4BFB2B77" w14:textId="77777777" w:rsidR="003F3F5E" w:rsidRDefault="00992EE2" w:rsidP="00696F8E">
      <w:pPr>
        <w:spacing w:after="0" w:line="312"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Кроме того</w:t>
      </w:r>
      <w:r w:rsidR="00696F8E">
        <w:rPr>
          <w:rFonts w:ascii="Times New Roman" w:eastAsia="Times New Roman" w:hAnsi="Times New Roman" w:cs="Times New Roman"/>
          <w:bCs/>
          <w:sz w:val="28"/>
          <w:szCs w:val="28"/>
          <w:lang w:eastAsia="ru-RU"/>
        </w:rPr>
        <w:t>,</w:t>
      </w:r>
      <w:r w:rsidR="003F3F5E" w:rsidRPr="00172F36">
        <w:rPr>
          <w:rFonts w:ascii="Times New Roman" w:eastAsia="Times New Roman" w:hAnsi="Times New Roman" w:cs="Times New Roman"/>
          <w:bCs/>
          <w:sz w:val="28"/>
          <w:szCs w:val="28"/>
          <w:lang w:eastAsia="ru-RU"/>
        </w:rPr>
        <w:t xml:space="preserve"> с привлечением потенциала молодежных волонтерских организаций МВД России реализовывало мероприятия по формированию в обществе осознанного негативного отношения к незаконному изготовлению и испол</w:t>
      </w:r>
      <w:r w:rsidR="00696F8E">
        <w:rPr>
          <w:rFonts w:ascii="Times New Roman" w:eastAsia="Times New Roman" w:hAnsi="Times New Roman" w:cs="Times New Roman"/>
          <w:bCs/>
          <w:sz w:val="28"/>
          <w:szCs w:val="28"/>
          <w:lang w:eastAsia="ru-RU"/>
        </w:rPr>
        <w:t xml:space="preserve">ьзованию наркотических средств. </w:t>
      </w:r>
      <w:r w:rsidR="003F3F5E" w:rsidRPr="00172F36">
        <w:rPr>
          <w:rFonts w:ascii="Times New Roman" w:eastAsia="Times New Roman" w:hAnsi="Times New Roman" w:cs="Times New Roman"/>
          <w:bCs/>
          <w:sz w:val="28"/>
          <w:szCs w:val="28"/>
          <w:lang w:eastAsia="ru-RU"/>
        </w:rPr>
        <w:t xml:space="preserve">В целях формирования законопослушной модели поведения у несовершеннолетних территориальными органами МВД России принимались меры по наполнению интернет-среды позитивным контентом. </w:t>
      </w:r>
    </w:p>
    <w:p w14:paraId="7DBF5E1A" w14:textId="77777777" w:rsidR="003F3F5E" w:rsidRDefault="003F3F5E" w:rsidP="003F3F5E">
      <w:pPr>
        <w:spacing w:after="0" w:line="312" w:lineRule="auto"/>
        <w:ind w:firstLine="709"/>
        <w:jc w:val="both"/>
        <w:rPr>
          <w:rFonts w:ascii="Times New Roman" w:eastAsia="Times New Roman" w:hAnsi="Times New Roman" w:cs="Times New Roman"/>
          <w:bCs/>
          <w:sz w:val="28"/>
          <w:szCs w:val="28"/>
          <w:lang w:eastAsia="ru-RU"/>
        </w:rPr>
      </w:pPr>
      <w:r w:rsidRPr="00172F36">
        <w:rPr>
          <w:rFonts w:ascii="Times New Roman" w:eastAsia="Times New Roman" w:hAnsi="Times New Roman" w:cs="Times New Roman"/>
          <w:bCs/>
          <w:sz w:val="28"/>
          <w:szCs w:val="28"/>
          <w:lang w:eastAsia="ru-RU"/>
        </w:rPr>
        <w:t>Так, ГУ МВД России по Ростовской области было организовано взаимодействие с региональным общественным движением «Интернет без угроз» с общим охватом более 12</w:t>
      </w:r>
      <w:r w:rsidR="00696F8E">
        <w:rPr>
          <w:rFonts w:ascii="Times New Roman" w:eastAsia="Times New Roman" w:hAnsi="Times New Roman" w:cs="Times New Roman"/>
          <w:bCs/>
          <w:sz w:val="28"/>
          <w:szCs w:val="28"/>
          <w:lang w:eastAsia="ru-RU"/>
        </w:rPr>
        <w:t xml:space="preserve"> </w:t>
      </w:r>
      <w:r w:rsidR="0085665D">
        <w:rPr>
          <w:rFonts w:ascii="Times New Roman" w:eastAsia="Times New Roman" w:hAnsi="Times New Roman" w:cs="Times New Roman"/>
          <w:bCs/>
          <w:sz w:val="28"/>
          <w:szCs w:val="28"/>
          <w:lang w:eastAsia="ru-RU"/>
        </w:rPr>
        <w:t>тыс.</w:t>
      </w:r>
      <w:r w:rsidRPr="00172F36">
        <w:rPr>
          <w:rFonts w:ascii="Times New Roman" w:eastAsia="Times New Roman" w:hAnsi="Times New Roman" w:cs="Times New Roman"/>
          <w:bCs/>
          <w:sz w:val="28"/>
          <w:szCs w:val="28"/>
          <w:lang w:eastAsia="ru-RU"/>
        </w:rPr>
        <w:t xml:space="preserve"> пользователей. Волонтеры движения осуществляли поиск противоправных сведений в сети Интернет, размещали памятки для обучающихся и их родителей по вопросам личной медиабезопасности и противодействия информационным угрозам. В Приморском крае в рамках реализации федерального проекта «Безопасный Интернет» с участием сотрудников специальных подразделений полиции была сформирована волонтерская команда «Киберволонтеры». Аналогичные проекты функционировали в Алтайском крае, Архангельской, Воронежской, Новосибирской, Тю</w:t>
      </w:r>
      <w:r w:rsidR="00696F8E">
        <w:rPr>
          <w:rFonts w:ascii="Times New Roman" w:eastAsia="Times New Roman" w:hAnsi="Times New Roman" w:cs="Times New Roman"/>
          <w:bCs/>
          <w:sz w:val="28"/>
          <w:szCs w:val="28"/>
          <w:lang w:eastAsia="ru-RU"/>
        </w:rPr>
        <w:t>менской и Ульяновской областях.</w:t>
      </w:r>
    </w:p>
    <w:p w14:paraId="3189FE89" w14:textId="77777777" w:rsidR="003F3F5E" w:rsidRDefault="003F3F5E" w:rsidP="003F3F5E">
      <w:pPr>
        <w:spacing w:after="0" w:line="312" w:lineRule="auto"/>
        <w:ind w:firstLine="709"/>
        <w:jc w:val="both"/>
        <w:rPr>
          <w:rFonts w:ascii="Times New Roman" w:eastAsia="Times New Roman" w:hAnsi="Times New Roman" w:cs="Times New Roman"/>
          <w:bCs/>
          <w:sz w:val="28"/>
          <w:szCs w:val="28"/>
          <w:lang w:eastAsia="ru-RU"/>
        </w:rPr>
      </w:pPr>
      <w:r w:rsidRPr="00172F36">
        <w:rPr>
          <w:rFonts w:ascii="Times New Roman" w:eastAsia="Times New Roman" w:hAnsi="Times New Roman" w:cs="Times New Roman"/>
          <w:bCs/>
          <w:sz w:val="28"/>
          <w:szCs w:val="28"/>
          <w:lang w:eastAsia="ru-RU"/>
        </w:rPr>
        <w:t>Важно отметить, что информационная безопасность несовершеннолетних возможна только при условии эффективного сочетания государственных и общественных усилий при главенствующей роли семьи. В этой связи сотрудники полиции принимали участие в разъяснительной работе с родителями, преподавателями учебных заведений по защите детей в интернет-пространстве, порядку обращения за помощью в заинтересованные ведомства в случае девиации и деструктив</w:t>
      </w:r>
      <w:r w:rsidR="00857584">
        <w:rPr>
          <w:rFonts w:ascii="Times New Roman" w:eastAsia="Times New Roman" w:hAnsi="Times New Roman" w:cs="Times New Roman"/>
          <w:bCs/>
          <w:sz w:val="28"/>
          <w:szCs w:val="28"/>
          <w:lang w:eastAsia="ru-RU"/>
        </w:rPr>
        <w:t>ного поведения ребенка.</w:t>
      </w:r>
    </w:p>
    <w:p w14:paraId="15F6A79D" w14:textId="77777777" w:rsidR="003F3F5E" w:rsidRDefault="003F3F5E" w:rsidP="003F3F5E">
      <w:pPr>
        <w:spacing w:after="0" w:line="312" w:lineRule="auto"/>
        <w:ind w:firstLine="709"/>
        <w:jc w:val="both"/>
        <w:rPr>
          <w:rFonts w:ascii="Times New Roman" w:eastAsia="Times New Roman" w:hAnsi="Times New Roman" w:cs="Times New Roman"/>
          <w:bCs/>
          <w:sz w:val="28"/>
          <w:szCs w:val="28"/>
          <w:lang w:eastAsia="ru-RU"/>
        </w:rPr>
      </w:pPr>
      <w:r w:rsidRPr="00172F36">
        <w:rPr>
          <w:rFonts w:ascii="Times New Roman" w:eastAsia="Times New Roman" w:hAnsi="Times New Roman" w:cs="Times New Roman"/>
          <w:bCs/>
          <w:sz w:val="28"/>
          <w:szCs w:val="28"/>
          <w:lang w:eastAsia="ru-RU"/>
        </w:rPr>
        <w:t>Одновременно с этим в 2021 г</w:t>
      </w:r>
      <w:r w:rsidR="00BC1649">
        <w:rPr>
          <w:rFonts w:ascii="Times New Roman" w:eastAsia="Times New Roman" w:hAnsi="Times New Roman" w:cs="Times New Roman"/>
          <w:bCs/>
          <w:sz w:val="28"/>
          <w:szCs w:val="28"/>
          <w:lang w:eastAsia="ru-RU"/>
        </w:rPr>
        <w:t>.</w:t>
      </w:r>
      <w:r w:rsidRPr="00172F36">
        <w:rPr>
          <w:rFonts w:ascii="Times New Roman" w:eastAsia="Times New Roman" w:hAnsi="Times New Roman" w:cs="Times New Roman"/>
          <w:bCs/>
          <w:sz w:val="28"/>
          <w:szCs w:val="28"/>
          <w:lang w:eastAsia="ru-RU"/>
        </w:rPr>
        <w:t xml:space="preserve"> при участии образовательных и общественных организаций в субъектах Российской Федерации также были проведены различные тематические конкурсы, олимпиады, квесты, форумы, посвященные информационной безопасности несовершеннолетних.</w:t>
      </w:r>
    </w:p>
    <w:p w14:paraId="3288DD58" w14:textId="5DA66774" w:rsidR="003F3F5E" w:rsidRDefault="003F3F5E" w:rsidP="003F3F5E">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Учитывая, что в фокусе внимания остается именно обеспечение информационной безопасности детей в сети Интернет, активными пользователями который являются несовершеннолетние, требует актуализации Концепци</w:t>
      </w:r>
      <w:r w:rsidR="00591C19">
        <w:rPr>
          <w:rFonts w:ascii="Times New Roman" w:hAnsi="Times New Roman" w:cs="Times New Roman"/>
          <w:sz w:val="28"/>
          <w:szCs w:val="28"/>
        </w:rPr>
        <w:t>и</w:t>
      </w:r>
      <w:r w:rsidRPr="003C2147">
        <w:rPr>
          <w:rFonts w:ascii="Times New Roman" w:hAnsi="Times New Roman" w:cs="Times New Roman"/>
          <w:sz w:val="28"/>
          <w:szCs w:val="28"/>
        </w:rPr>
        <w:t xml:space="preserve"> информационной безопасности детей</w:t>
      </w:r>
      <w:r>
        <w:rPr>
          <w:rFonts w:ascii="Times New Roman" w:hAnsi="Times New Roman" w:cs="Times New Roman"/>
          <w:sz w:val="28"/>
          <w:szCs w:val="28"/>
        </w:rPr>
        <w:t xml:space="preserve"> в Российской Федерации, утвержденн</w:t>
      </w:r>
      <w:r w:rsidR="00591C19">
        <w:rPr>
          <w:rFonts w:ascii="Times New Roman" w:hAnsi="Times New Roman" w:cs="Times New Roman"/>
          <w:sz w:val="28"/>
          <w:szCs w:val="28"/>
        </w:rPr>
        <w:t>ой</w:t>
      </w:r>
      <w:r>
        <w:rPr>
          <w:rFonts w:ascii="Times New Roman" w:hAnsi="Times New Roman" w:cs="Times New Roman"/>
          <w:sz w:val="28"/>
          <w:szCs w:val="28"/>
        </w:rPr>
        <w:t xml:space="preserve"> распоряжением Правительства Российской Федерации от 2 декабря 2015 г. № 2471-р.</w:t>
      </w:r>
    </w:p>
    <w:p w14:paraId="47A0525C" w14:textId="77777777" w:rsidR="003F3F5E" w:rsidRPr="00591C19" w:rsidRDefault="003F3F5E" w:rsidP="00591C19">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площадке </w:t>
      </w:r>
      <w:r w:rsidR="007B2E51">
        <w:rPr>
          <w:rFonts w:ascii="Times New Roman" w:hAnsi="Times New Roman" w:cs="Times New Roman"/>
          <w:sz w:val="28"/>
          <w:szCs w:val="28"/>
        </w:rPr>
        <w:t>О</w:t>
      </w:r>
      <w:r>
        <w:rPr>
          <w:rFonts w:ascii="Times New Roman" w:hAnsi="Times New Roman" w:cs="Times New Roman"/>
          <w:sz w:val="28"/>
          <w:szCs w:val="28"/>
        </w:rPr>
        <w:t xml:space="preserve">бщественной палаты Российской Федерации создана межведомственная рабочая группа, </w:t>
      </w:r>
      <w:r w:rsidR="00591C19">
        <w:rPr>
          <w:rFonts w:ascii="Times New Roman" w:hAnsi="Times New Roman" w:cs="Times New Roman"/>
          <w:sz w:val="28"/>
          <w:szCs w:val="28"/>
        </w:rPr>
        <w:t>разрабатывающая</w:t>
      </w:r>
      <w:r>
        <w:rPr>
          <w:rFonts w:ascii="Times New Roman" w:hAnsi="Times New Roman" w:cs="Times New Roman"/>
          <w:sz w:val="28"/>
          <w:szCs w:val="28"/>
        </w:rPr>
        <w:t xml:space="preserve"> проект Концепции информационной безопасности детей в цифровой среде в Российской Федерации, в рамках которой с учетом текущей ситуации будет предусмотрена комплексная система мер, направленных на создание безопасной информационной</w:t>
      </w:r>
      <w:r w:rsidR="00591C19">
        <w:rPr>
          <w:rFonts w:ascii="Times New Roman" w:hAnsi="Times New Roman" w:cs="Times New Roman"/>
          <w:sz w:val="28"/>
          <w:szCs w:val="28"/>
        </w:rPr>
        <w:t xml:space="preserve"> среды для несовершеннолетних. </w:t>
      </w:r>
    </w:p>
    <w:p w14:paraId="6C8461A5" w14:textId="77777777" w:rsidR="0059096A" w:rsidRDefault="0059096A" w:rsidP="0059096A">
      <w:pPr>
        <w:autoSpaceDE w:val="0"/>
        <w:autoSpaceDN w:val="0"/>
        <w:adjustRightInd w:val="0"/>
        <w:spacing w:before="120" w:after="120" w:line="312" w:lineRule="auto"/>
        <w:ind w:firstLine="709"/>
        <w:jc w:val="center"/>
        <w:rPr>
          <w:rFonts w:ascii="Times New Roman" w:eastAsia="Times New Roman" w:hAnsi="Times New Roman" w:cs="Times New Roman"/>
          <w:bCs/>
          <w:i/>
          <w:sz w:val="28"/>
          <w:szCs w:val="28"/>
          <w:lang w:eastAsia="ru-RU"/>
        </w:rPr>
        <w:sectPr w:rsidR="0059096A" w:rsidSect="00BB5821">
          <w:pgSz w:w="11906" w:h="16838"/>
          <w:pgMar w:top="1134" w:right="567" w:bottom="1134" w:left="1134" w:header="708" w:footer="708" w:gutter="0"/>
          <w:cols w:space="708"/>
          <w:docGrid w:linePitch="360"/>
        </w:sectPr>
      </w:pPr>
    </w:p>
    <w:p w14:paraId="2DA2E90F" w14:textId="77777777" w:rsidR="00D03A4F" w:rsidRPr="00D03A4F" w:rsidRDefault="00D03A4F" w:rsidP="00D03A4F">
      <w:pPr>
        <w:shd w:val="clear" w:color="auto" w:fill="FFFFFF"/>
        <w:spacing w:after="0" w:line="312"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7. РАЗВИТИЕ ДОСУГА ДЕТЕЙ И СЕМЕЙ, ИМЕЮЩИХ ДЕТЕЙ</w:t>
      </w:r>
    </w:p>
    <w:p w14:paraId="5DD3B080" w14:textId="77777777" w:rsidR="00D03A4F" w:rsidRDefault="00D03A4F" w:rsidP="002E52A2">
      <w:pPr>
        <w:spacing w:before="240" w:after="240"/>
        <w:ind w:firstLine="709"/>
        <w:jc w:val="center"/>
        <w:rPr>
          <w:rFonts w:ascii="Times New Roman" w:eastAsia="Times New Roman" w:hAnsi="Times New Roman" w:cs="Times New Roman"/>
          <w:b/>
          <w:sz w:val="28"/>
          <w:szCs w:val="28"/>
          <w:lang w:eastAsia="ru-RU"/>
        </w:rPr>
      </w:pPr>
      <w:r w:rsidRPr="005940F1">
        <w:rPr>
          <w:rFonts w:ascii="Times New Roman" w:eastAsia="Times New Roman" w:hAnsi="Times New Roman" w:cs="Times New Roman"/>
          <w:b/>
          <w:sz w:val="28"/>
          <w:szCs w:val="28"/>
          <w:lang w:eastAsia="ru-RU"/>
        </w:rPr>
        <w:t>Организация культурного досуга детей и семей, имеющих детей</w:t>
      </w:r>
    </w:p>
    <w:p w14:paraId="1D27065A" w14:textId="295BFDF8" w:rsidR="00E931CB" w:rsidRPr="00E931CB" w:rsidRDefault="00E931CB" w:rsidP="00E931CB">
      <w:pPr>
        <w:pStyle w:val="Style17"/>
        <w:shd w:val="clear" w:color="auto" w:fill="auto"/>
        <w:spacing w:line="312" w:lineRule="auto"/>
        <w:ind w:firstLine="709"/>
        <w:jc w:val="both"/>
        <w:rPr>
          <w:rFonts w:ascii="Times New Roman" w:hAnsi="Times New Roman" w:cs="Times New Roman"/>
          <w:sz w:val="28"/>
          <w:szCs w:val="28"/>
        </w:rPr>
      </w:pPr>
      <w:r w:rsidRPr="00E931CB">
        <w:rPr>
          <w:rFonts w:ascii="Times New Roman" w:eastAsia="Times New Roman" w:hAnsi="Times New Roman" w:cs="Times New Roman"/>
          <w:color w:val="000000"/>
          <w:sz w:val="28"/>
          <w:szCs w:val="28"/>
          <w:lang w:eastAsia="ru-RU" w:bidi="ru-RU"/>
        </w:rPr>
        <w:t>Ежегодно в рамках нац</w:t>
      </w:r>
      <w:r w:rsidR="00787935">
        <w:rPr>
          <w:rFonts w:ascii="Times New Roman" w:eastAsia="Times New Roman" w:hAnsi="Times New Roman" w:cs="Times New Roman"/>
          <w:color w:val="000000"/>
          <w:sz w:val="28"/>
          <w:szCs w:val="28"/>
          <w:lang w:eastAsia="ru-RU" w:bidi="ru-RU"/>
        </w:rPr>
        <w:t xml:space="preserve">ионального </w:t>
      </w:r>
      <w:r w:rsidRPr="00E931CB">
        <w:rPr>
          <w:rFonts w:ascii="Times New Roman" w:eastAsia="Times New Roman" w:hAnsi="Times New Roman" w:cs="Times New Roman"/>
          <w:color w:val="000000"/>
          <w:sz w:val="28"/>
          <w:szCs w:val="28"/>
          <w:lang w:eastAsia="ru-RU" w:bidi="ru-RU"/>
        </w:rPr>
        <w:t xml:space="preserve">проекта «Культура» проводится не менее </w:t>
      </w:r>
      <w:r w:rsidR="00DF4B69">
        <w:rPr>
          <w:rFonts w:ascii="Times New Roman" w:eastAsia="Times New Roman" w:hAnsi="Times New Roman" w:cs="Times New Roman"/>
          <w:color w:val="000000"/>
          <w:sz w:val="28"/>
          <w:szCs w:val="28"/>
          <w:lang w:eastAsia="ru-RU" w:bidi="ru-RU"/>
        </w:rPr>
        <w:br/>
      </w:r>
      <w:r w:rsidRPr="00E931CB">
        <w:rPr>
          <w:rFonts w:ascii="Times New Roman" w:eastAsia="Times New Roman" w:hAnsi="Times New Roman" w:cs="Times New Roman"/>
          <w:color w:val="000000"/>
          <w:sz w:val="28"/>
          <w:szCs w:val="28"/>
          <w:lang w:eastAsia="ru-RU" w:bidi="ru-RU"/>
        </w:rPr>
        <w:t>25 культурно-просветительских программ для школьников</w:t>
      </w:r>
      <w:r w:rsidR="00C90BCB">
        <w:rPr>
          <w:rFonts w:ascii="Times New Roman" w:eastAsia="Times New Roman" w:hAnsi="Times New Roman" w:cs="Times New Roman"/>
          <w:color w:val="000000"/>
          <w:sz w:val="28"/>
          <w:szCs w:val="28"/>
          <w:lang w:eastAsia="ru-RU" w:bidi="ru-RU"/>
        </w:rPr>
        <w:t>, участниками которых</w:t>
      </w:r>
      <w:r w:rsidRPr="00E931CB">
        <w:rPr>
          <w:rFonts w:ascii="Times New Roman" w:eastAsia="Times New Roman" w:hAnsi="Times New Roman" w:cs="Times New Roman"/>
          <w:color w:val="000000"/>
          <w:sz w:val="28"/>
          <w:szCs w:val="28"/>
          <w:lang w:eastAsia="ru-RU" w:bidi="ru-RU"/>
        </w:rPr>
        <w:t xml:space="preserve"> </w:t>
      </w:r>
      <w:r w:rsidR="00C90BCB">
        <w:rPr>
          <w:rFonts w:ascii="Times New Roman" w:eastAsia="Times New Roman" w:hAnsi="Times New Roman" w:cs="Times New Roman"/>
          <w:color w:val="000000"/>
          <w:sz w:val="28"/>
          <w:szCs w:val="28"/>
          <w:lang w:eastAsia="ru-RU" w:bidi="ru-RU"/>
        </w:rPr>
        <w:t>в</w:t>
      </w:r>
      <w:r w:rsidR="00BC1649">
        <w:rPr>
          <w:rFonts w:ascii="Times New Roman" w:eastAsia="Times New Roman" w:hAnsi="Times New Roman" w:cs="Times New Roman"/>
          <w:color w:val="000000"/>
          <w:sz w:val="28"/>
          <w:szCs w:val="28"/>
          <w:lang w:eastAsia="ru-RU" w:bidi="ru-RU"/>
        </w:rPr>
        <w:t xml:space="preserve"> 2021 г.</w:t>
      </w:r>
      <w:r w:rsidRPr="00E931CB">
        <w:rPr>
          <w:rFonts w:ascii="Times New Roman" w:eastAsia="Times New Roman" w:hAnsi="Times New Roman" w:cs="Times New Roman"/>
          <w:color w:val="000000"/>
          <w:sz w:val="28"/>
          <w:szCs w:val="28"/>
          <w:lang w:eastAsia="ru-RU" w:bidi="ru-RU"/>
        </w:rPr>
        <w:t xml:space="preserve"> </w:t>
      </w:r>
      <w:r w:rsidR="00C90BCB">
        <w:rPr>
          <w:rFonts w:ascii="Times New Roman" w:eastAsia="Times New Roman" w:hAnsi="Times New Roman" w:cs="Times New Roman"/>
          <w:color w:val="000000"/>
          <w:sz w:val="28"/>
          <w:szCs w:val="28"/>
          <w:lang w:eastAsia="ru-RU" w:bidi="ru-RU"/>
        </w:rPr>
        <w:t>стало</w:t>
      </w:r>
      <w:r w:rsidRPr="00E931CB">
        <w:rPr>
          <w:rFonts w:ascii="Times New Roman" w:eastAsia="Times New Roman" w:hAnsi="Times New Roman" w:cs="Times New Roman"/>
          <w:color w:val="000000"/>
          <w:sz w:val="28"/>
          <w:szCs w:val="28"/>
          <w:lang w:eastAsia="ru-RU" w:bidi="ru-RU"/>
        </w:rPr>
        <w:t xml:space="preserve"> 72 тыс. человек. Организация экскурсионных и туристских поездок учащихся </w:t>
      </w:r>
      <w:r w:rsidR="00787935">
        <w:rPr>
          <w:rFonts w:ascii="Times New Roman" w:eastAsia="Times New Roman" w:hAnsi="Times New Roman" w:cs="Times New Roman"/>
          <w:color w:val="000000"/>
          <w:sz w:val="28"/>
          <w:szCs w:val="28"/>
          <w:lang w:eastAsia="ru-RU" w:bidi="ru-RU"/>
        </w:rPr>
        <w:t>–</w:t>
      </w:r>
      <w:r w:rsidRPr="00E931CB">
        <w:rPr>
          <w:rFonts w:ascii="Times New Roman" w:eastAsia="Times New Roman" w:hAnsi="Times New Roman" w:cs="Times New Roman"/>
          <w:color w:val="000000"/>
          <w:sz w:val="28"/>
          <w:szCs w:val="28"/>
          <w:lang w:eastAsia="ru-RU" w:bidi="ru-RU"/>
        </w:rPr>
        <w:t xml:space="preserve"> одна из наиболее эффективных образовательных технологий, обеспечивающих гармоничное развитие личности. В реализации проекта </w:t>
      </w:r>
      <w:r w:rsidR="00DF4B69">
        <w:rPr>
          <w:rFonts w:ascii="Times New Roman" w:eastAsia="Times New Roman" w:hAnsi="Times New Roman" w:cs="Times New Roman"/>
          <w:color w:val="000000"/>
          <w:sz w:val="28"/>
          <w:szCs w:val="28"/>
          <w:lang w:eastAsia="ru-RU" w:bidi="ru-RU"/>
        </w:rPr>
        <w:br/>
      </w:r>
      <w:r w:rsidRPr="00E931CB">
        <w:rPr>
          <w:rFonts w:ascii="Times New Roman" w:eastAsia="Times New Roman" w:hAnsi="Times New Roman" w:cs="Times New Roman"/>
          <w:color w:val="000000"/>
          <w:sz w:val="28"/>
          <w:szCs w:val="28"/>
          <w:lang w:eastAsia="ru-RU" w:bidi="ru-RU"/>
        </w:rPr>
        <w:t>«Моя Россия» принимают участие органы исполнительной власти субъектов Российской Федерации в области культуры, образования и туризма, туристические компании, музеи, объекты питания и размещения, а также центры историко-культурного наследия и туристско-информационные центры регионов. В 2021 г</w:t>
      </w:r>
      <w:r w:rsidR="00BC1649">
        <w:rPr>
          <w:rFonts w:ascii="Times New Roman" w:eastAsia="Times New Roman" w:hAnsi="Times New Roman" w:cs="Times New Roman"/>
          <w:color w:val="000000"/>
          <w:sz w:val="28"/>
          <w:szCs w:val="28"/>
          <w:lang w:eastAsia="ru-RU" w:bidi="ru-RU"/>
        </w:rPr>
        <w:t>.</w:t>
      </w:r>
      <w:r w:rsidRPr="00E931CB">
        <w:rPr>
          <w:rFonts w:ascii="Times New Roman" w:eastAsia="Times New Roman" w:hAnsi="Times New Roman" w:cs="Times New Roman"/>
          <w:color w:val="000000"/>
          <w:sz w:val="28"/>
          <w:szCs w:val="28"/>
          <w:lang w:eastAsia="ru-RU" w:bidi="ru-RU"/>
        </w:rPr>
        <w:t xml:space="preserve"> участниками программы «Моя Россия»</w:t>
      </w:r>
      <w:r w:rsidR="00787935" w:rsidRPr="00787935">
        <w:rPr>
          <w:rFonts w:ascii="Times New Roman" w:eastAsia="Times New Roman" w:hAnsi="Times New Roman" w:cs="Times New Roman"/>
          <w:color w:val="000000"/>
          <w:sz w:val="28"/>
          <w:szCs w:val="28"/>
          <w:lang w:eastAsia="ru-RU" w:bidi="ru-RU"/>
        </w:rPr>
        <w:t xml:space="preserve"> </w:t>
      </w:r>
      <w:r w:rsidR="00787935" w:rsidRPr="00E931CB">
        <w:rPr>
          <w:rFonts w:ascii="Times New Roman" w:eastAsia="Times New Roman" w:hAnsi="Times New Roman" w:cs="Times New Roman"/>
          <w:color w:val="000000"/>
          <w:sz w:val="28"/>
          <w:szCs w:val="28"/>
          <w:lang w:eastAsia="ru-RU" w:bidi="ru-RU"/>
        </w:rPr>
        <w:t>стали</w:t>
      </w:r>
      <w:r w:rsidR="00787935">
        <w:rPr>
          <w:rFonts w:ascii="Times New Roman" w:eastAsia="Times New Roman" w:hAnsi="Times New Roman" w:cs="Times New Roman"/>
          <w:color w:val="000000"/>
          <w:sz w:val="28"/>
          <w:szCs w:val="28"/>
          <w:lang w:eastAsia="ru-RU" w:bidi="ru-RU"/>
        </w:rPr>
        <w:t xml:space="preserve"> обучающиеся общеобразовательных организаций</w:t>
      </w:r>
      <w:r w:rsidR="00787935" w:rsidRPr="00E931CB">
        <w:rPr>
          <w:rFonts w:ascii="Times New Roman" w:eastAsia="Times New Roman" w:hAnsi="Times New Roman" w:cs="Times New Roman"/>
          <w:color w:val="000000"/>
          <w:sz w:val="28"/>
          <w:szCs w:val="28"/>
          <w:lang w:eastAsia="ru-RU" w:bidi="ru-RU"/>
        </w:rPr>
        <w:t>:</w:t>
      </w:r>
    </w:p>
    <w:p w14:paraId="7D2B7B17" w14:textId="77777777" w:rsidR="00E931CB" w:rsidRPr="00787935" w:rsidRDefault="00787935" w:rsidP="00787935">
      <w:pPr>
        <w:pStyle w:val="Style17"/>
        <w:shd w:val="clear" w:color="auto" w:fill="auto"/>
        <w:tabs>
          <w:tab w:val="left" w:pos="5837"/>
        </w:tabs>
        <w:spacing w:line="312"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в</w:t>
      </w:r>
      <w:r w:rsidR="00E931CB" w:rsidRPr="00E931CB">
        <w:rPr>
          <w:rFonts w:ascii="Times New Roman" w:eastAsia="Times New Roman" w:hAnsi="Times New Roman" w:cs="Times New Roman"/>
          <w:color w:val="000000"/>
          <w:sz w:val="28"/>
          <w:szCs w:val="28"/>
          <w:lang w:eastAsia="ru-RU" w:bidi="ru-RU"/>
        </w:rPr>
        <w:t xml:space="preserve"> 14 многодневных маршрутах: «Петербург Достоевского»</w:t>
      </w:r>
      <w:r w:rsidR="00E931CB" w:rsidRPr="00E931CB">
        <w:rPr>
          <w:rFonts w:ascii="Times New Roman" w:hAnsi="Times New Roman" w:cs="Times New Roman"/>
          <w:sz w:val="28"/>
          <w:szCs w:val="28"/>
        </w:rPr>
        <w:t xml:space="preserve"> </w:t>
      </w:r>
      <w:r w:rsidR="00E931CB" w:rsidRPr="00E931CB">
        <w:rPr>
          <w:rFonts w:ascii="Times New Roman" w:eastAsia="Times New Roman" w:hAnsi="Times New Roman" w:cs="Times New Roman"/>
          <w:color w:val="000000"/>
          <w:sz w:val="28"/>
          <w:szCs w:val="28"/>
          <w:lang w:eastAsia="ru-RU" w:bidi="ru-RU"/>
        </w:rPr>
        <w:t xml:space="preserve">(Санкт-Петербург), Александр Невский </w:t>
      </w:r>
      <w:r>
        <w:rPr>
          <w:rFonts w:ascii="Times New Roman" w:eastAsia="Times New Roman" w:hAnsi="Times New Roman" w:cs="Times New Roman"/>
          <w:color w:val="000000"/>
          <w:sz w:val="28"/>
          <w:szCs w:val="28"/>
          <w:lang w:eastAsia="ru-RU" w:bidi="ru-RU"/>
        </w:rPr>
        <w:t>–</w:t>
      </w:r>
      <w:r w:rsidR="00E931CB" w:rsidRPr="00E931CB">
        <w:rPr>
          <w:rFonts w:ascii="Times New Roman" w:eastAsia="Times New Roman" w:hAnsi="Times New Roman" w:cs="Times New Roman"/>
          <w:color w:val="000000"/>
          <w:sz w:val="28"/>
          <w:szCs w:val="28"/>
          <w:lang w:eastAsia="ru-RU" w:bidi="ru-RU"/>
        </w:rPr>
        <w:t xml:space="preserve"> святой покровитель города Петра» (Санкт-Петербург), «Золотое Кольцо» (Суздаль </w:t>
      </w:r>
      <w:r>
        <w:rPr>
          <w:rFonts w:ascii="Times New Roman" w:eastAsia="Times New Roman" w:hAnsi="Times New Roman" w:cs="Times New Roman"/>
          <w:color w:val="000000"/>
          <w:sz w:val="28"/>
          <w:szCs w:val="28"/>
          <w:lang w:eastAsia="ru-RU" w:bidi="ru-RU"/>
        </w:rPr>
        <w:t>–</w:t>
      </w:r>
      <w:r w:rsidR="00E931CB" w:rsidRPr="00E931CB">
        <w:rPr>
          <w:rFonts w:ascii="Times New Roman" w:eastAsia="Times New Roman" w:hAnsi="Times New Roman" w:cs="Times New Roman"/>
          <w:color w:val="000000"/>
          <w:sz w:val="28"/>
          <w:szCs w:val="28"/>
          <w:lang w:eastAsia="ru-RU" w:bidi="ru-RU"/>
        </w:rPr>
        <w:t xml:space="preserve"> Владимир), «Россия </w:t>
      </w:r>
      <w:r>
        <w:rPr>
          <w:rFonts w:ascii="Times New Roman" w:eastAsia="Times New Roman" w:hAnsi="Times New Roman" w:cs="Times New Roman"/>
          <w:color w:val="000000"/>
          <w:sz w:val="28"/>
          <w:szCs w:val="28"/>
          <w:lang w:eastAsia="ru-RU" w:bidi="ru-RU"/>
        </w:rPr>
        <w:t>–</w:t>
      </w:r>
      <w:r w:rsidR="00E931CB" w:rsidRPr="00E931CB">
        <w:rPr>
          <w:rFonts w:ascii="Times New Roman" w:eastAsia="Times New Roman" w:hAnsi="Times New Roman" w:cs="Times New Roman"/>
          <w:color w:val="000000"/>
          <w:sz w:val="28"/>
          <w:szCs w:val="28"/>
          <w:lang w:eastAsia="ru-RU" w:bidi="ru-RU"/>
        </w:rPr>
        <w:t xml:space="preserve"> родина космонавтики» (Калужская область), «Золотое Кольцо. Александр Невский» (Ярославль </w:t>
      </w:r>
      <w:r>
        <w:rPr>
          <w:rFonts w:ascii="Times New Roman" w:eastAsia="Times New Roman" w:hAnsi="Times New Roman" w:cs="Times New Roman"/>
          <w:color w:val="000000"/>
          <w:sz w:val="28"/>
          <w:szCs w:val="28"/>
          <w:lang w:eastAsia="ru-RU" w:bidi="ru-RU"/>
        </w:rPr>
        <w:t>–</w:t>
      </w:r>
      <w:r w:rsidR="00E931CB" w:rsidRPr="00E931CB">
        <w:rPr>
          <w:rFonts w:ascii="Times New Roman" w:eastAsia="Times New Roman" w:hAnsi="Times New Roman" w:cs="Times New Roman"/>
          <w:color w:val="000000"/>
          <w:sz w:val="28"/>
          <w:szCs w:val="28"/>
          <w:lang w:eastAsia="ru-RU" w:bidi="ru-RU"/>
        </w:rPr>
        <w:t xml:space="preserve"> Ростов </w:t>
      </w:r>
      <w:r>
        <w:rPr>
          <w:rFonts w:ascii="Times New Roman" w:eastAsia="Times New Roman" w:hAnsi="Times New Roman" w:cs="Times New Roman"/>
          <w:color w:val="000000"/>
          <w:sz w:val="28"/>
          <w:szCs w:val="28"/>
          <w:lang w:eastAsia="ru-RU" w:bidi="ru-RU"/>
        </w:rPr>
        <w:t>–</w:t>
      </w:r>
      <w:r w:rsidR="00E931CB" w:rsidRPr="00E931CB">
        <w:rPr>
          <w:rFonts w:ascii="Times New Roman" w:eastAsia="Times New Roman" w:hAnsi="Times New Roman" w:cs="Times New Roman"/>
          <w:color w:val="000000"/>
          <w:sz w:val="28"/>
          <w:szCs w:val="28"/>
          <w:lang w:eastAsia="ru-RU" w:bidi="ru-RU"/>
        </w:rPr>
        <w:t xml:space="preserve"> Переславль), «Моя столица </w:t>
      </w:r>
      <w:r>
        <w:rPr>
          <w:rFonts w:ascii="Times New Roman" w:eastAsia="Times New Roman" w:hAnsi="Times New Roman" w:cs="Times New Roman"/>
          <w:color w:val="000000"/>
          <w:sz w:val="28"/>
          <w:szCs w:val="28"/>
          <w:lang w:eastAsia="ru-RU" w:bidi="ru-RU"/>
        </w:rPr>
        <w:t>–</w:t>
      </w:r>
      <w:r w:rsidR="00E931CB" w:rsidRPr="00E931CB">
        <w:rPr>
          <w:rFonts w:ascii="Times New Roman" w:eastAsia="Times New Roman" w:hAnsi="Times New Roman" w:cs="Times New Roman"/>
          <w:color w:val="000000"/>
          <w:sz w:val="28"/>
          <w:szCs w:val="28"/>
          <w:lang w:eastAsia="ru-RU" w:bidi="ru-RU"/>
        </w:rPr>
        <w:t xml:space="preserve"> моя Москва» (Москва </w:t>
      </w:r>
      <w:r>
        <w:rPr>
          <w:rFonts w:ascii="Times New Roman" w:eastAsia="Times New Roman" w:hAnsi="Times New Roman" w:cs="Times New Roman"/>
          <w:color w:val="000000"/>
          <w:sz w:val="28"/>
          <w:szCs w:val="28"/>
          <w:lang w:eastAsia="ru-RU" w:bidi="ru-RU"/>
        </w:rPr>
        <w:t>–</w:t>
      </w:r>
      <w:r w:rsidR="00E931CB" w:rsidRPr="00E931CB">
        <w:rPr>
          <w:rFonts w:ascii="Times New Roman" w:eastAsia="Times New Roman" w:hAnsi="Times New Roman" w:cs="Times New Roman"/>
          <w:color w:val="000000"/>
          <w:sz w:val="28"/>
          <w:szCs w:val="28"/>
          <w:lang w:eastAsia="ru-RU" w:bidi="ru-RU"/>
        </w:rPr>
        <w:t xml:space="preserve"> Московская область), «Государева дорога» (Тверь </w:t>
      </w:r>
      <w:r>
        <w:rPr>
          <w:rFonts w:ascii="Times New Roman" w:eastAsia="Times New Roman" w:hAnsi="Times New Roman" w:cs="Times New Roman"/>
          <w:color w:val="000000"/>
          <w:sz w:val="28"/>
          <w:szCs w:val="28"/>
          <w:lang w:eastAsia="ru-RU" w:bidi="ru-RU"/>
        </w:rPr>
        <w:t>–</w:t>
      </w:r>
      <w:r w:rsidR="00E931CB" w:rsidRPr="00E931CB">
        <w:rPr>
          <w:rFonts w:ascii="Times New Roman" w:eastAsia="Times New Roman" w:hAnsi="Times New Roman" w:cs="Times New Roman"/>
          <w:color w:val="000000"/>
          <w:sz w:val="28"/>
          <w:szCs w:val="28"/>
          <w:lang w:eastAsia="ru-RU" w:bidi="ru-RU"/>
        </w:rPr>
        <w:t xml:space="preserve"> Торжок </w:t>
      </w:r>
      <w:r>
        <w:rPr>
          <w:rFonts w:ascii="Times New Roman" w:eastAsia="Times New Roman" w:hAnsi="Times New Roman" w:cs="Times New Roman"/>
          <w:color w:val="000000"/>
          <w:sz w:val="28"/>
          <w:szCs w:val="28"/>
          <w:lang w:eastAsia="ru-RU" w:bidi="ru-RU"/>
        </w:rPr>
        <w:t>–</w:t>
      </w:r>
      <w:r w:rsidR="00E931CB" w:rsidRPr="00E931CB">
        <w:rPr>
          <w:rFonts w:ascii="Times New Roman" w:eastAsia="Times New Roman" w:hAnsi="Times New Roman" w:cs="Times New Roman"/>
          <w:color w:val="000000"/>
          <w:sz w:val="28"/>
          <w:szCs w:val="28"/>
          <w:lang w:eastAsia="ru-RU" w:bidi="ru-RU"/>
        </w:rPr>
        <w:t xml:space="preserve"> Клин), «Нижний Новгород </w:t>
      </w:r>
      <w:r>
        <w:rPr>
          <w:rFonts w:ascii="Times New Roman" w:eastAsia="Times New Roman" w:hAnsi="Times New Roman" w:cs="Times New Roman"/>
          <w:color w:val="000000"/>
          <w:sz w:val="28"/>
          <w:szCs w:val="28"/>
          <w:lang w:eastAsia="ru-RU" w:bidi="ru-RU"/>
        </w:rPr>
        <w:t>–</w:t>
      </w:r>
      <w:r w:rsidR="00E931CB" w:rsidRPr="00E931CB">
        <w:rPr>
          <w:rFonts w:ascii="Times New Roman" w:eastAsia="Times New Roman" w:hAnsi="Times New Roman" w:cs="Times New Roman"/>
          <w:color w:val="000000"/>
          <w:sz w:val="28"/>
          <w:szCs w:val="28"/>
          <w:lang w:eastAsia="ru-RU" w:bidi="ru-RU"/>
        </w:rPr>
        <w:t xml:space="preserve"> 800» (Нижний Новгород </w:t>
      </w:r>
      <w:r>
        <w:rPr>
          <w:rFonts w:ascii="Times New Roman" w:eastAsia="Times New Roman" w:hAnsi="Times New Roman" w:cs="Times New Roman"/>
          <w:color w:val="000000"/>
          <w:sz w:val="28"/>
          <w:szCs w:val="28"/>
          <w:lang w:eastAsia="ru-RU" w:bidi="ru-RU"/>
        </w:rPr>
        <w:t>–</w:t>
      </w:r>
      <w:r w:rsidR="00E931CB" w:rsidRPr="00E931CB">
        <w:rPr>
          <w:rFonts w:ascii="Times New Roman" w:eastAsia="Times New Roman" w:hAnsi="Times New Roman" w:cs="Times New Roman"/>
          <w:color w:val="000000"/>
          <w:sz w:val="28"/>
          <w:szCs w:val="28"/>
          <w:lang w:eastAsia="ru-RU" w:bidi="ru-RU"/>
        </w:rPr>
        <w:t xml:space="preserve"> Городец), «Императорский маршрут» (Пермь </w:t>
      </w:r>
      <w:r>
        <w:rPr>
          <w:rFonts w:ascii="Times New Roman" w:eastAsia="Times New Roman" w:hAnsi="Times New Roman" w:cs="Times New Roman"/>
          <w:color w:val="000000"/>
          <w:sz w:val="28"/>
          <w:szCs w:val="28"/>
          <w:lang w:eastAsia="ru-RU" w:bidi="ru-RU"/>
        </w:rPr>
        <w:t>–</w:t>
      </w:r>
      <w:r w:rsidR="00E931CB" w:rsidRPr="00E931CB">
        <w:rPr>
          <w:rFonts w:ascii="Times New Roman" w:eastAsia="Times New Roman" w:hAnsi="Times New Roman" w:cs="Times New Roman"/>
          <w:color w:val="000000"/>
          <w:sz w:val="28"/>
          <w:szCs w:val="28"/>
          <w:lang w:eastAsia="ru-RU" w:bidi="ru-RU"/>
        </w:rPr>
        <w:t xml:space="preserve"> Кунгур </w:t>
      </w:r>
      <w:r>
        <w:rPr>
          <w:rFonts w:ascii="Times New Roman" w:eastAsia="Times New Roman" w:hAnsi="Times New Roman" w:cs="Times New Roman"/>
          <w:color w:val="000000"/>
          <w:sz w:val="28"/>
          <w:szCs w:val="28"/>
          <w:lang w:eastAsia="ru-RU" w:bidi="ru-RU"/>
        </w:rPr>
        <w:t>–</w:t>
      </w:r>
      <w:r w:rsidR="00E931CB" w:rsidRPr="00E931CB">
        <w:rPr>
          <w:rFonts w:ascii="Times New Roman" w:eastAsia="Times New Roman" w:hAnsi="Times New Roman" w:cs="Times New Roman"/>
          <w:color w:val="000000"/>
          <w:sz w:val="28"/>
          <w:szCs w:val="28"/>
          <w:lang w:eastAsia="ru-RU" w:bidi="ru-RU"/>
        </w:rPr>
        <w:t xml:space="preserve"> Екатеринбург), «Каникулы на</w:t>
      </w:r>
      <w:r w:rsidR="00E931CB" w:rsidRPr="00E931CB">
        <w:rPr>
          <w:rFonts w:ascii="Times New Roman" w:hAnsi="Times New Roman" w:cs="Times New Roman"/>
          <w:sz w:val="28"/>
          <w:szCs w:val="28"/>
        </w:rPr>
        <w:t xml:space="preserve"> </w:t>
      </w:r>
      <w:r w:rsidR="00E931CB" w:rsidRPr="00E931CB">
        <w:rPr>
          <w:rFonts w:ascii="Times New Roman" w:eastAsia="Times New Roman" w:hAnsi="Times New Roman" w:cs="Times New Roman"/>
          <w:color w:val="000000"/>
          <w:sz w:val="28"/>
          <w:szCs w:val="28"/>
          <w:lang w:eastAsia="ru-RU" w:bidi="ru-RU"/>
        </w:rPr>
        <w:t xml:space="preserve">Сахалине» (Сахалинская область), «Азовские походы Петра I» (Воронеж </w:t>
      </w:r>
      <w:r>
        <w:rPr>
          <w:rFonts w:ascii="Times New Roman" w:eastAsia="Times New Roman" w:hAnsi="Times New Roman" w:cs="Times New Roman"/>
          <w:color w:val="000000"/>
          <w:sz w:val="28"/>
          <w:szCs w:val="28"/>
          <w:lang w:eastAsia="ru-RU" w:bidi="ru-RU"/>
        </w:rPr>
        <w:t>–</w:t>
      </w:r>
      <w:r w:rsidR="00E931CB" w:rsidRPr="00E931CB">
        <w:rPr>
          <w:rFonts w:ascii="Times New Roman" w:eastAsia="Times New Roman" w:hAnsi="Times New Roman" w:cs="Times New Roman"/>
          <w:color w:val="000000"/>
          <w:sz w:val="28"/>
          <w:szCs w:val="28"/>
          <w:lang w:eastAsia="ru-RU" w:bidi="ru-RU"/>
        </w:rPr>
        <w:t xml:space="preserve"> Азов </w:t>
      </w:r>
      <w:r>
        <w:rPr>
          <w:rFonts w:ascii="Times New Roman" w:eastAsia="Times New Roman" w:hAnsi="Times New Roman" w:cs="Times New Roman"/>
          <w:color w:val="000000"/>
          <w:sz w:val="28"/>
          <w:szCs w:val="28"/>
          <w:lang w:eastAsia="ru-RU" w:bidi="ru-RU"/>
        </w:rPr>
        <w:t>–</w:t>
      </w:r>
      <w:r w:rsidR="00E931CB" w:rsidRPr="00E931CB">
        <w:rPr>
          <w:rFonts w:ascii="Times New Roman" w:eastAsia="Times New Roman" w:hAnsi="Times New Roman" w:cs="Times New Roman"/>
          <w:color w:val="000000"/>
          <w:sz w:val="28"/>
          <w:szCs w:val="28"/>
          <w:lang w:eastAsia="ru-RU" w:bidi="ru-RU"/>
        </w:rPr>
        <w:t xml:space="preserve"> Таганрог), «Кузбасс </w:t>
      </w:r>
      <w:r>
        <w:rPr>
          <w:rFonts w:ascii="Times New Roman" w:eastAsia="Times New Roman" w:hAnsi="Times New Roman" w:cs="Times New Roman"/>
          <w:color w:val="000000"/>
          <w:sz w:val="28"/>
          <w:szCs w:val="28"/>
          <w:lang w:eastAsia="ru-RU" w:bidi="ru-RU"/>
        </w:rPr>
        <w:t>–</w:t>
      </w:r>
      <w:r w:rsidR="00E931CB" w:rsidRPr="00E931CB">
        <w:rPr>
          <w:rFonts w:ascii="Times New Roman" w:eastAsia="Times New Roman" w:hAnsi="Times New Roman" w:cs="Times New Roman"/>
          <w:color w:val="000000"/>
          <w:sz w:val="28"/>
          <w:szCs w:val="28"/>
          <w:lang w:eastAsia="ru-RU" w:bidi="ru-RU"/>
        </w:rPr>
        <w:t xml:space="preserve"> кузница Победы» (Кемерово </w:t>
      </w:r>
      <w:r>
        <w:rPr>
          <w:rFonts w:ascii="Times New Roman" w:eastAsia="Times New Roman" w:hAnsi="Times New Roman" w:cs="Times New Roman"/>
          <w:color w:val="000000"/>
          <w:sz w:val="28"/>
          <w:szCs w:val="28"/>
          <w:lang w:eastAsia="ru-RU" w:bidi="ru-RU"/>
        </w:rPr>
        <w:t>–</w:t>
      </w:r>
      <w:r w:rsidR="00E931CB" w:rsidRPr="00E931CB">
        <w:rPr>
          <w:rFonts w:ascii="Times New Roman" w:eastAsia="Times New Roman" w:hAnsi="Times New Roman" w:cs="Times New Roman"/>
          <w:color w:val="000000"/>
          <w:sz w:val="28"/>
          <w:szCs w:val="28"/>
          <w:lang w:eastAsia="ru-RU" w:bidi="ru-RU"/>
        </w:rPr>
        <w:t xml:space="preserve"> Новокузнецк), «Легенды Байкала» (Республика Бурятия), «Золото русской литературы» (Орел </w:t>
      </w:r>
      <w:r w:rsidR="0035500B">
        <w:rPr>
          <w:rFonts w:ascii="Times New Roman" w:eastAsia="Times New Roman" w:hAnsi="Times New Roman" w:cs="Times New Roman"/>
          <w:color w:val="000000"/>
          <w:sz w:val="28"/>
          <w:szCs w:val="28"/>
          <w:lang w:eastAsia="ru-RU" w:bidi="ru-RU"/>
        </w:rPr>
        <w:t>–</w:t>
      </w:r>
      <w:r w:rsidR="00E931CB" w:rsidRPr="00E931CB">
        <w:rPr>
          <w:rFonts w:ascii="Times New Roman" w:eastAsia="Times New Roman" w:hAnsi="Times New Roman" w:cs="Times New Roman"/>
          <w:color w:val="000000"/>
          <w:sz w:val="28"/>
          <w:szCs w:val="28"/>
          <w:lang w:eastAsia="ru-RU" w:bidi="ru-RU"/>
        </w:rPr>
        <w:t xml:space="preserve"> Тула);</w:t>
      </w:r>
    </w:p>
    <w:p w14:paraId="081E1DBD" w14:textId="77777777" w:rsidR="00E931CB" w:rsidRPr="00E931CB" w:rsidRDefault="0035500B" w:rsidP="00E931CB">
      <w:pPr>
        <w:pStyle w:val="Style17"/>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в</w:t>
      </w:r>
      <w:r w:rsidR="00E931CB" w:rsidRPr="00E931CB">
        <w:rPr>
          <w:rFonts w:ascii="Times New Roman" w:eastAsia="Times New Roman" w:hAnsi="Times New Roman" w:cs="Times New Roman"/>
          <w:color w:val="000000"/>
          <w:sz w:val="28"/>
          <w:szCs w:val="28"/>
          <w:lang w:eastAsia="ru-RU" w:bidi="ru-RU"/>
        </w:rPr>
        <w:t xml:space="preserve"> 13 однодневных музейных маршрутах (Москва, Санкт-Петербург, Владивосток, Хабаровск, Комсомольск-на-Амуре, Саранск, Рязань, Смоленск, Волгоград, Пятигорск, Тула, Курск, Московская область).</w:t>
      </w:r>
    </w:p>
    <w:p w14:paraId="0667A338" w14:textId="77777777" w:rsidR="00E931CB" w:rsidRPr="00E931CB" w:rsidRDefault="0035500B" w:rsidP="00E931CB">
      <w:pPr>
        <w:pStyle w:val="Style17"/>
        <w:shd w:val="clear" w:color="auto" w:fill="auto"/>
        <w:spacing w:line="312" w:lineRule="auto"/>
        <w:ind w:firstLine="709"/>
        <w:jc w:val="both"/>
        <w:rPr>
          <w:rFonts w:ascii="Times New Roman" w:hAnsi="Times New Roman" w:cs="Times New Roman"/>
          <w:sz w:val="28"/>
          <w:szCs w:val="28"/>
        </w:rPr>
      </w:pPr>
      <w:r w:rsidRPr="00E931CB">
        <w:rPr>
          <w:rFonts w:ascii="Times New Roman" w:eastAsia="Times New Roman" w:hAnsi="Times New Roman" w:cs="Times New Roman"/>
          <w:color w:val="000000"/>
          <w:sz w:val="28"/>
          <w:szCs w:val="28"/>
          <w:lang w:eastAsia="ru-RU" w:bidi="ru-RU"/>
        </w:rPr>
        <w:t xml:space="preserve">42 850 школьников приняли участие в 44 культурно-познавательных маршрутах </w:t>
      </w:r>
      <w:r>
        <w:rPr>
          <w:rFonts w:ascii="Times New Roman" w:eastAsia="Times New Roman" w:hAnsi="Times New Roman" w:cs="Times New Roman"/>
          <w:color w:val="000000"/>
          <w:sz w:val="28"/>
          <w:szCs w:val="28"/>
          <w:lang w:eastAsia="ru-RU" w:bidi="ru-RU"/>
        </w:rPr>
        <w:t>в</w:t>
      </w:r>
      <w:r w:rsidR="00E931CB" w:rsidRPr="00E931CB">
        <w:rPr>
          <w:rFonts w:ascii="Times New Roman" w:eastAsia="Times New Roman" w:hAnsi="Times New Roman" w:cs="Times New Roman"/>
          <w:color w:val="000000"/>
          <w:sz w:val="28"/>
          <w:szCs w:val="28"/>
          <w:lang w:eastAsia="ru-RU" w:bidi="ru-RU"/>
        </w:rPr>
        <w:t xml:space="preserve"> рамках программы «Дороги Победы» в 12 регионах страны (Краснодарском и Приморском краях, Республиках Мордовия и Карелия, а также в Московской, Волгоградской, Кемеровской, Калининградской, Ростовской, Самарской, Тамбовской областях и городе Москве</w:t>
      </w:r>
      <w:r>
        <w:rPr>
          <w:rFonts w:ascii="Times New Roman" w:eastAsia="Times New Roman" w:hAnsi="Times New Roman" w:cs="Times New Roman"/>
          <w:color w:val="000000"/>
          <w:sz w:val="28"/>
          <w:szCs w:val="28"/>
          <w:lang w:eastAsia="ru-RU" w:bidi="ru-RU"/>
        </w:rPr>
        <w:t>)</w:t>
      </w:r>
      <w:r w:rsidR="00E931CB" w:rsidRPr="00E931CB">
        <w:rPr>
          <w:rFonts w:ascii="Times New Roman" w:eastAsia="Times New Roman" w:hAnsi="Times New Roman" w:cs="Times New Roman"/>
          <w:color w:val="000000"/>
          <w:sz w:val="28"/>
          <w:szCs w:val="28"/>
          <w:lang w:eastAsia="ru-RU" w:bidi="ru-RU"/>
        </w:rPr>
        <w:t>.</w:t>
      </w:r>
    </w:p>
    <w:p w14:paraId="50ED60BA" w14:textId="77777777" w:rsidR="00E931CB" w:rsidRPr="00E931CB" w:rsidRDefault="00E931CB" w:rsidP="00E931CB">
      <w:pPr>
        <w:pStyle w:val="Style17"/>
        <w:shd w:val="clear" w:color="auto" w:fill="auto"/>
        <w:spacing w:line="312" w:lineRule="auto"/>
        <w:ind w:firstLine="709"/>
        <w:jc w:val="both"/>
        <w:rPr>
          <w:rFonts w:ascii="Times New Roman" w:hAnsi="Times New Roman" w:cs="Times New Roman"/>
          <w:sz w:val="28"/>
          <w:szCs w:val="28"/>
        </w:rPr>
      </w:pPr>
      <w:r w:rsidRPr="00E931CB">
        <w:rPr>
          <w:rFonts w:ascii="Times New Roman" w:eastAsia="Times New Roman" w:hAnsi="Times New Roman" w:cs="Times New Roman"/>
          <w:color w:val="000000"/>
          <w:sz w:val="28"/>
          <w:szCs w:val="28"/>
          <w:lang w:eastAsia="ru-RU" w:bidi="ru-RU"/>
        </w:rPr>
        <w:t>В 2021 г</w:t>
      </w:r>
      <w:r w:rsidR="00BC1649">
        <w:rPr>
          <w:rFonts w:ascii="Times New Roman" w:eastAsia="Times New Roman" w:hAnsi="Times New Roman" w:cs="Times New Roman"/>
          <w:color w:val="000000"/>
          <w:sz w:val="28"/>
          <w:szCs w:val="28"/>
          <w:lang w:eastAsia="ru-RU" w:bidi="ru-RU"/>
        </w:rPr>
        <w:t>.</w:t>
      </w:r>
      <w:r w:rsidRPr="00E931CB">
        <w:rPr>
          <w:rFonts w:ascii="Times New Roman" w:eastAsia="Times New Roman" w:hAnsi="Times New Roman" w:cs="Times New Roman"/>
          <w:color w:val="000000"/>
          <w:sz w:val="28"/>
          <w:szCs w:val="28"/>
          <w:lang w:eastAsia="ru-RU" w:bidi="ru-RU"/>
        </w:rPr>
        <w:t xml:space="preserve"> Минкультуры России продолжило реализацию совместного с Минпросвещения России Межведомственного культурно</w:t>
      </w:r>
      <w:r w:rsidRPr="00E931CB">
        <w:rPr>
          <w:rFonts w:ascii="Times New Roman" w:hAnsi="Times New Roman" w:cs="Times New Roman"/>
          <w:sz w:val="28"/>
          <w:szCs w:val="28"/>
        </w:rPr>
        <w:t>-</w:t>
      </w:r>
      <w:r w:rsidRPr="00E931CB">
        <w:rPr>
          <w:rFonts w:ascii="Times New Roman" w:eastAsia="Times New Roman" w:hAnsi="Times New Roman" w:cs="Times New Roman"/>
          <w:color w:val="000000"/>
          <w:sz w:val="28"/>
          <w:szCs w:val="28"/>
          <w:lang w:eastAsia="ru-RU" w:bidi="ru-RU"/>
        </w:rPr>
        <w:t>образовательного проекта «Культура для школьников» (далее</w:t>
      </w:r>
      <w:r w:rsidR="0035500B">
        <w:rPr>
          <w:rFonts w:ascii="Times New Roman" w:eastAsia="Times New Roman" w:hAnsi="Times New Roman" w:cs="Times New Roman"/>
          <w:color w:val="000000"/>
          <w:sz w:val="28"/>
          <w:szCs w:val="28"/>
          <w:lang w:eastAsia="ru-RU" w:bidi="ru-RU"/>
        </w:rPr>
        <w:t xml:space="preserve"> по тексту подраздела</w:t>
      </w:r>
      <w:r w:rsidRPr="00E931CB">
        <w:rPr>
          <w:rFonts w:ascii="Times New Roman" w:eastAsia="Times New Roman" w:hAnsi="Times New Roman" w:cs="Times New Roman"/>
          <w:color w:val="000000"/>
          <w:sz w:val="28"/>
          <w:szCs w:val="28"/>
          <w:lang w:eastAsia="ru-RU" w:bidi="ru-RU"/>
        </w:rPr>
        <w:t xml:space="preserve"> </w:t>
      </w:r>
      <w:r w:rsidR="0035500B">
        <w:rPr>
          <w:rFonts w:ascii="Times New Roman" w:eastAsia="Times New Roman" w:hAnsi="Times New Roman" w:cs="Times New Roman"/>
          <w:color w:val="000000"/>
          <w:sz w:val="28"/>
          <w:szCs w:val="28"/>
          <w:lang w:eastAsia="ru-RU" w:bidi="ru-RU"/>
        </w:rPr>
        <w:t>–</w:t>
      </w:r>
      <w:r w:rsidRPr="00E931CB">
        <w:rPr>
          <w:rFonts w:ascii="Times New Roman" w:eastAsia="Times New Roman" w:hAnsi="Times New Roman" w:cs="Times New Roman"/>
          <w:color w:val="000000"/>
          <w:sz w:val="28"/>
          <w:szCs w:val="28"/>
          <w:lang w:eastAsia="ru-RU" w:bidi="ru-RU"/>
        </w:rPr>
        <w:t xml:space="preserve"> </w:t>
      </w:r>
      <w:r w:rsidR="001E6C2D">
        <w:rPr>
          <w:rFonts w:ascii="Times New Roman" w:eastAsia="Times New Roman" w:hAnsi="Times New Roman" w:cs="Times New Roman"/>
          <w:color w:val="000000"/>
          <w:sz w:val="28"/>
          <w:szCs w:val="28"/>
          <w:lang w:eastAsia="ru-RU" w:bidi="ru-RU"/>
        </w:rPr>
        <w:t xml:space="preserve">культурно-образовательный </w:t>
      </w:r>
      <w:r w:rsidR="0035500B">
        <w:rPr>
          <w:rFonts w:ascii="Times New Roman" w:eastAsia="Times New Roman" w:hAnsi="Times New Roman" w:cs="Times New Roman"/>
          <w:color w:val="000000"/>
          <w:sz w:val="28"/>
          <w:szCs w:val="28"/>
          <w:lang w:eastAsia="ru-RU" w:bidi="ru-RU"/>
        </w:rPr>
        <w:t>п</w:t>
      </w:r>
      <w:r w:rsidRPr="00E931CB">
        <w:rPr>
          <w:rFonts w:ascii="Times New Roman" w:eastAsia="Times New Roman" w:hAnsi="Times New Roman" w:cs="Times New Roman"/>
          <w:color w:val="000000"/>
          <w:sz w:val="28"/>
          <w:szCs w:val="28"/>
          <w:lang w:eastAsia="ru-RU" w:bidi="ru-RU"/>
        </w:rPr>
        <w:t>роект).</w:t>
      </w:r>
    </w:p>
    <w:p w14:paraId="3DA4A10D" w14:textId="77777777" w:rsidR="00E931CB" w:rsidRPr="00E931CB" w:rsidRDefault="00E931CB" w:rsidP="00E931CB">
      <w:pPr>
        <w:pStyle w:val="Style17"/>
        <w:shd w:val="clear" w:color="auto" w:fill="auto"/>
        <w:spacing w:line="312" w:lineRule="auto"/>
        <w:ind w:firstLine="709"/>
        <w:jc w:val="both"/>
        <w:rPr>
          <w:rFonts w:ascii="Times New Roman" w:hAnsi="Times New Roman" w:cs="Times New Roman"/>
          <w:sz w:val="28"/>
          <w:szCs w:val="28"/>
        </w:rPr>
      </w:pPr>
      <w:r w:rsidRPr="00E931CB">
        <w:rPr>
          <w:rFonts w:ascii="Times New Roman" w:eastAsia="Times New Roman" w:hAnsi="Times New Roman" w:cs="Times New Roman"/>
          <w:color w:val="000000"/>
          <w:sz w:val="28"/>
          <w:szCs w:val="28"/>
          <w:lang w:eastAsia="ru-RU" w:bidi="ru-RU"/>
        </w:rPr>
        <w:t xml:space="preserve">В каждом регионе были созданы региональные рабочие группы из представителей органов исполнительной власти субъектов Российской Федерации в сфере культуры и образования. Рабочими группами разработаны дорожные карты реализации </w:t>
      </w:r>
      <w:r w:rsidR="00961893">
        <w:rPr>
          <w:rFonts w:ascii="Times New Roman" w:eastAsia="Times New Roman" w:hAnsi="Times New Roman" w:cs="Times New Roman"/>
          <w:color w:val="000000"/>
          <w:sz w:val="28"/>
          <w:szCs w:val="28"/>
          <w:lang w:eastAsia="ru-RU" w:bidi="ru-RU"/>
        </w:rPr>
        <w:t>культурно-образовательн</w:t>
      </w:r>
      <w:r w:rsidR="00B71E8E">
        <w:rPr>
          <w:rFonts w:ascii="Times New Roman" w:eastAsia="Times New Roman" w:hAnsi="Times New Roman" w:cs="Times New Roman"/>
          <w:color w:val="000000"/>
          <w:sz w:val="28"/>
          <w:szCs w:val="28"/>
          <w:lang w:eastAsia="ru-RU" w:bidi="ru-RU"/>
        </w:rPr>
        <w:t>ого</w:t>
      </w:r>
      <w:r w:rsidR="00961893" w:rsidRPr="00E931CB">
        <w:rPr>
          <w:rFonts w:ascii="Times New Roman" w:eastAsia="Times New Roman" w:hAnsi="Times New Roman" w:cs="Times New Roman"/>
          <w:color w:val="000000"/>
          <w:sz w:val="28"/>
          <w:szCs w:val="28"/>
          <w:lang w:eastAsia="ru-RU" w:bidi="ru-RU"/>
        </w:rPr>
        <w:t xml:space="preserve"> </w:t>
      </w:r>
      <w:r w:rsidRPr="00E931CB">
        <w:rPr>
          <w:rFonts w:ascii="Times New Roman" w:eastAsia="Times New Roman" w:hAnsi="Times New Roman" w:cs="Times New Roman"/>
          <w:color w:val="000000"/>
          <w:sz w:val="28"/>
          <w:szCs w:val="28"/>
          <w:lang w:eastAsia="ru-RU" w:bidi="ru-RU"/>
        </w:rPr>
        <w:t>проекта по блокам: «Культпоход», «Культурный клуб» и «Цифровая культура».</w:t>
      </w:r>
    </w:p>
    <w:p w14:paraId="6FC3559F" w14:textId="77777777" w:rsidR="00E931CB" w:rsidRPr="0035500B" w:rsidRDefault="00E931CB" w:rsidP="0035500B">
      <w:pPr>
        <w:pStyle w:val="Style17"/>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E931CB">
        <w:rPr>
          <w:rFonts w:ascii="Times New Roman" w:eastAsia="Times New Roman" w:hAnsi="Times New Roman" w:cs="Times New Roman"/>
          <w:color w:val="000000"/>
          <w:sz w:val="28"/>
          <w:szCs w:val="28"/>
          <w:lang w:eastAsia="ru-RU" w:bidi="ru-RU"/>
        </w:rPr>
        <w:t>В течение года во всех субъектах Российской Федерации проводились различные массовые культурно-образовательные акции, основными принцип</w:t>
      </w:r>
      <w:r w:rsidR="0035500B">
        <w:rPr>
          <w:rFonts w:ascii="Times New Roman" w:eastAsia="Times New Roman" w:hAnsi="Times New Roman" w:cs="Times New Roman"/>
          <w:color w:val="000000"/>
          <w:sz w:val="28"/>
          <w:szCs w:val="28"/>
          <w:lang w:eastAsia="ru-RU" w:bidi="ru-RU"/>
        </w:rPr>
        <w:t>ами которых являются</w:t>
      </w:r>
      <w:r w:rsidRPr="00E931CB">
        <w:rPr>
          <w:rFonts w:ascii="Times New Roman" w:eastAsia="Times New Roman" w:hAnsi="Times New Roman" w:cs="Times New Roman"/>
          <w:color w:val="000000"/>
          <w:sz w:val="28"/>
          <w:szCs w:val="28"/>
          <w:lang w:eastAsia="ru-RU" w:bidi="ru-RU"/>
        </w:rPr>
        <w:t xml:space="preserve"> компетентность организаторов и бесплатное добровольное участие каждого школьника.</w:t>
      </w:r>
    </w:p>
    <w:p w14:paraId="33B8B62A" w14:textId="492AE12B" w:rsidR="00E931CB" w:rsidRPr="00E931CB" w:rsidRDefault="00E931CB" w:rsidP="00E931CB">
      <w:pPr>
        <w:pStyle w:val="Style17"/>
        <w:shd w:val="clear" w:color="auto" w:fill="auto"/>
        <w:spacing w:line="312" w:lineRule="auto"/>
        <w:ind w:firstLine="709"/>
        <w:jc w:val="both"/>
        <w:rPr>
          <w:rFonts w:ascii="Times New Roman" w:hAnsi="Times New Roman" w:cs="Times New Roman"/>
          <w:sz w:val="28"/>
          <w:szCs w:val="28"/>
        </w:rPr>
      </w:pPr>
      <w:r w:rsidRPr="00E931CB">
        <w:rPr>
          <w:rFonts w:ascii="Times New Roman" w:eastAsia="Times New Roman" w:hAnsi="Times New Roman" w:cs="Times New Roman"/>
          <w:color w:val="000000"/>
          <w:sz w:val="28"/>
          <w:szCs w:val="28"/>
          <w:lang w:eastAsia="ru-RU" w:bidi="ru-RU"/>
        </w:rPr>
        <w:t>С 14 января по 31 марта 2021 г</w:t>
      </w:r>
      <w:r w:rsidR="00696F8D">
        <w:rPr>
          <w:rFonts w:ascii="Times New Roman" w:eastAsia="Times New Roman" w:hAnsi="Times New Roman" w:cs="Times New Roman"/>
          <w:color w:val="000000"/>
          <w:sz w:val="28"/>
          <w:szCs w:val="28"/>
          <w:lang w:eastAsia="ru-RU" w:bidi="ru-RU"/>
        </w:rPr>
        <w:t>.</w:t>
      </w:r>
      <w:r w:rsidRPr="00E931CB">
        <w:rPr>
          <w:rFonts w:ascii="Times New Roman" w:eastAsia="Times New Roman" w:hAnsi="Times New Roman" w:cs="Times New Roman"/>
          <w:color w:val="000000"/>
          <w:sz w:val="28"/>
          <w:szCs w:val="28"/>
          <w:lang w:eastAsia="ru-RU" w:bidi="ru-RU"/>
        </w:rPr>
        <w:t xml:space="preserve"> </w:t>
      </w:r>
      <w:r w:rsidR="0035500B">
        <w:rPr>
          <w:rFonts w:ascii="Times New Roman" w:eastAsia="Times New Roman" w:hAnsi="Times New Roman" w:cs="Times New Roman"/>
          <w:color w:val="000000"/>
          <w:sz w:val="28"/>
          <w:szCs w:val="28"/>
          <w:lang w:eastAsia="ru-RU" w:bidi="ru-RU"/>
        </w:rPr>
        <w:t>проведен</w:t>
      </w:r>
      <w:r w:rsidRPr="00E931CB">
        <w:rPr>
          <w:rFonts w:ascii="Times New Roman" w:eastAsia="Times New Roman" w:hAnsi="Times New Roman" w:cs="Times New Roman"/>
          <w:color w:val="000000"/>
          <w:sz w:val="28"/>
          <w:szCs w:val="28"/>
          <w:lang w:eastAsia="ru-RU" w:bidi="ru-RU"/>
        </w:rPr>
        <w:t xml:space="preserve">а акция «Народная культура для школьников», в рамках которой </w:t>
      </w:r>
      <w:r w:rsidR="0035500B" w:rsidRPr="00E931CB">
        <w:rPr>
          <w:rFonts w:ascii="Times New Roman" w:eastAsia="Times New Roman" w:hAnsi="Times New Roman" w:cs="Times New Roman"/>
          <w:color w:val="000000"/>
          <w:sz w:val="28"/>
          <w:szCs w:val="28"/>
          <w:lang w:eastAsia="ru-RU" w:bidi="ru-RU"/>
        </w:rPr>
        <w:t>для школьников, их родителей и учителей</w:t>
      </w:r>
      <w:r w:rsidR="0035500B">
        <w:rPr>
          <w:rFonts w:ascii="Times New Roman" w:eastAsia="Times New Roman" w:hAnsi="Times New Roman" w:cs="Times New Roman"/>
          <w:color w:val="000000"/>
          <w:sz w:val="28"/>
          <w:szCs w:val="28"/>
          <w:lang w:eastAsia="ru-RU" w:bidi="ru-RU"/>
        </w:rPr>
        <w:t xml:space="preserve"> состоялись</w:t>
      </w:r>
      <w:r w:rsidRPr="00E931CB">
        <w:rPr>
          <w:rFonts w:ascii="Times New Roman" w:eastAsia="Times New Roman" w:hAnsi="Times New Roman" w:cs="Times New Roman"/>
          <w:color w:val="000000"/>
          <w:sz w:val="28"/>
          <w:szCs w:val="28"/>
          <w:lang w:eastAsia="ru-RU" w:bidi="ru-RU"/>
        </w:rPr>
        <w:t xml:space="preserve"> мероприятия по знакомству с многонациональными традициями России через современные формы участия. </w:t>
      </w:r>
      <w:r w:rsidR="0035500B">
        <w:rPr>
          <w:rFonts w:ascii="Times New Roman" w:eastAsia="Times New Roman" w:hAnsi="Times New Roman" w:cs="Times New Roman"/>
          <w:color w:val="000000"/>
          <w:sz w:val="28"/>
          <w:szCs w:val="28"/>
          <w:lang w:eastAsia="ru-RU" w:bidi="ru-RU"/>
        </w:rPr>
        <w:t>К</w:t>
      </w:r>
      <w:r w:rsidRPr="00E931CB">
        <w:rPr>
          <w:rFonts w:ascii="Times New Roman" w:eastAsia="Times New Roman" w:hAnsi="Times New Roman" w:cs="Times New Roman"/>
          <w:color w:val="000000"/>
          <w:sz w:val="28"/>
          <w:szCs w:val="28"/>
          <w:lang w:eastAsia="ru-RU" w:bidi="ru-RU"/>
        </w:rPr>
        <w:t xml:space="preserve"> акции присоединились более 13</w:t>
      </w:r>
      <w:r w:rsidR="0035500B">
        <w:rPr>
          <w:rFonts w:ascii="Times New Roman" w:eastAsia="Times New Roman" w:hAnsi="Times New Roman" w:cs="Times New Roman"/>
          <w:color w:val="000000"/>
          <w:sz w:val="28"/>
          <w:szCs w:val="28"/>
          <w:lang w:eastAsia="ru-RU" w:bidi="ru-RU"/>
        </w:rPr>
        <w:t xml:space="preserve"> тыс.</w:t>
      </w:r>
      <w:r w:rsidRPr="00E931CB">
        <w:rPr>
          <w:rFonts w:ascii="Times New Roman" w:eastAsia="Times New Roman" w:hAnsi="Times New Roman" w:cs="Times New Roman"/>
          <w:color w:val="000000"/>
          <w:sz w:val="28"/>
          <w:szCs w:val="28"/>
          <w:lang w:eastAsia="ru-RU" w:bidi="ru-RU"/>
        </w:rPr>
        <w:t xml:space="preserve"> домов</w:t>
      </w:r>
      <w:r w:rsidRPr="00E931CB">
        <w:rPr>
          <w:rFonts w:ascii="Times New Roman" w:hAnsi="Times New Roman" w:cs="Times New Roman"/>
          <w:sz w:val="28"/>
          <w:szCs w:val="28"/>
        </w:rPr>
        <w:t xml:space="preserve"> </w:t>
      </w:r>
      <w:r w:rsidRPr="00E931CB">
        <w:rPr>
          <w:rFonts w:ascii="Times New Roman" w:eastAsia="Times New Roman" w:hAnsi="Times New Roman" w:cs="Times New Roman"/>
          <w:color w:val="000000"/>
          <w:sz w:val="28"/>
          <w:szCs w:val="28"/>
          <w:lang w:eastAsia="ru-RU" w:bidi="ru-RU"/>
        </w:rPr>
        <w:t xml:space="preserve">культуры, которые за 3 месяца программы провели 40 </w:t>
      </w:r>
      <w:r w:rsidR="0035500B">
        <w:rPr>
          <w:rFonts w:ascii="Times New Roman" w:hAnsi="Times New Roman" w:cs="Times New Roman"/>
          <w:sz w:val="28"/>
          <w:szCs w:val="28"/>
        </w:rPr>
        <w:t>тыс.</w:t>
      </w:r>
      <w:r w:rsidRPr="00E931CB">
        <w:rPr>
          <w:rFonts w:ascii="Times New Roman" w:eastAsia="Times New Roman" w:hAnsi="Times New Roman" w:cs="Times New Roman"/>
          <w:color w:val="000000"/>
          <w:sz w:val="28"/>
          <w:szCs w:val="28"/>
          <w:lang w:eastAsia="ru-RU" w:bidi="ru-RU"/>
        </w:rPr>
        <w:t xml:space="preserve"> мероприятий: фольклорных экспедиций, </w:t>
      </w:r>
      <w:proofErr w:type="spellStart"/>
      <w:r w:rsidRPr="00E931CB">
        <w:rPr>
          <w:rFonts w:ascii="Times New Roman" w:eastAsia="Times New Roman" w:hAnsi="Times New Roman" w:cs="Times New Roman"/>
          <w:color w:val="000000"/>
          <w:sz w:val="28"/>
          <w:szCs w:val="28"/>
          <w:lang w:eastAsia="ru-RU" w:bidi="ru-RU"/>
        </w:rPr>
        <w:t>флешмобов</w:t>
      </w:r>
      <w:proofErr w:type="spellEnd"/>
      <w:r w:rsidRPr="00E931CB">
        <w:rPr>
          <w:rFonts w:ascii="Times New Roman" w:eastAsia="Times New Roman" w:hAnsi="Times New Roman" w:cs="Times New Roman"/>
          <w:color w:val="000000"/>
          <w:sz w:val="28"/>
          <w:szCs w:val="28"/>
          <w:lang w:eastAsia="ru-RU" w:bidi="ru-RU"/>
        </w:rPr>
        <w:t xml:space="preserve">, </w:t>
      </w:r>
      <w:proofErr w:type="spellStart"/>
      <w:r w:rsidRPr="00E931CB">
        <w:rPr>
          <w:rFonts w:ascii="Times New Roman" w:eastAsia="Times New Roman" w:hAnsi="Times New Roman" w:cs="Times New Roman"/>
          <w:color w:val="000000"/>
          <w:sz w:val="28"/>
          <w:szCs w:val="28"/>
          <w:lang w:eastAsia="ru-RU" w:bidi="ru-RU"/>
        </w:rPr>
        <w:t>этночелленджей</w:t>
      </w:r>
      <w:proofErr w:type="spellEnd"/>
      <w:r w:rsidRPr="00E931CB">
        <w:rPr>
          <w:rFonts w:ascii="Times New Roman" w:eastAsia="Times New Roman" w:hAnsi="Times New Roman" w:cs="Times New Roman"/>
          <w:color w:val="000000"/>
          <w:sz w:val="28"/>
          <w:szCs w:val="28"/>
          <w:lang w:eastAsia="ru-RU" w:bidi="ru-RU"/>
        </w:rPr>
        <w:t xml:space="preserve">, концертов, экскурсий, фолк-уроков. </w:t>
      </w:r>
      <w:r w:rsidR="00DF4B69">
        <w:rPr>
          <w:rFonts w:ascii="Times New Roman" w:eastAsia="Times New Roman" w:hAnsi="Times New Roman" w:cs="Times New Roman"/>
          <w:color w:val="000000"/>
          <w:sz w:val="28"/>
          <w:szCs w:val="28"/>
          <w:lang w:eastAsia="ru-RU" w:bidi="ru-RU"/>
        </w:rPr>
        <w:br/>
      </w:r>
      <w:r w:rsidRPr="00E931CB">
        <w:rPr>
          <w:rFonts w:ascii="Times New Roman" w:eastAsia="Times New Roman" w:hAnsi="Times New Roman" w:cs="Times New Roman"/>
          <w:color w:val="000000"/>
          <w:sz w:val="28"/>
          <w:szCs w:val="28"/>
          <w:lang w:eastAsia="ru-RU" w:bidi="ru-RU"/>
        </w:rPr>
        <w:t xml:space="preserve">22 </w:t>
      </w:r>
      <w:r w:rsidR="0035500B">
        <w:rPr>
          <w:rFonts w:ascii="Times New Roman" w:hAnsi="Times New Roman" w:cs="Times New Roman"/>
          <w:sz w:val="28"/>
          <w:szCs w:val="28"/>
        </w:rPr>
        <w:t>тыс.</w:t>
      </w:r>
      <w:r w:rsidRPr="00E931CB">
        <w:rPr>
          <w:rFonts w:ascii="Times New Roman" w:eastAsia="Times New Roman" w:hAnsi="Times New Roman" w:cs="Times New Roman"/>
          <w:color w:val="000000"/>
          <w:sz w:val="28"/>
          <w:szCs w:val="28"/>
          <w:lang w:eastAsia="ru-RU" w:bidi="ru-RU"/>
        </w:rPr>
        <w:t xml:space="preserve"> мероприятий </w:t>
      </w:r>
      <w:r w:rsidR="0035500B">
        <w:rPr>
          <w:rFonts w:ascii="Times New Roman" w:eastAsia="Times New Roman" w:hAnsi="Times New Roman" w:cs="Times New Roman"/>
          <w:color w:val="000000"/>
          <w:sz w:val="28"/>
          <w:szCs w:val="28"/>
          <w:lang w:eastAsia="ru-RU" w:bidi="ru-RU"/>
        </w:rPr>
        <w:t>проведены в онлайн-</w:t>
      </w:r>
      <w:r w:rsidRPr="00E931CB">
        <w:rPr>
          <w:rFonts w:ascii="Times New Roman" w:eastAsia="Times New Roman" w:hAnsi="Times New Roman" w:cs="Times New Roman"/>
          <w:color w:val="000000"/>
          <w:sz w:val="28"/>
          <w:szCs w:val="28"/>
          <w:lang w:eastAsia="ru-RU" w:bidi="ru-RU"/>
        </w:rPr>
        <w:t xml:space="preserve">формате. </w:t>
      </w:r>
      <w:r w:rsidR="0035500B">
        <w:rPr>
          <w:rFonts w:ascii="Times New Roman" w:eastAsia="Times New Roman" w:hAnsi="Times New Roman" w:cs="Times New Roman"/>
          <w:color w:val="000000"/>
          <w:sz w:val="28"/>
          <w:szCs w:val="28"/>
          <w:lang w:eastAsia="ru-RU" w:bidi="ru-RU"/>
        </w:rPr>
        <w:t>Общий охват акции составил свыше 1,2 млн</w:t>
      </w:r>
      <w:r w:rsidRPr="00E931CB">
        <w:rPr>
          <w:rFonts w:ascii="Times New Roman" w:eastAsia="Times New Roman" w:hAnsi="Times New Roman" w:cs="Times New Roman"/>
          <w:color w:val="000000"/>
          <w:sz w:val="28"/>
          <w:szCs w:val="28"/>
          <w:lang w:eastAsia="ru-RU" w:bidi="ru-RU"/>
        </w:rPr>
        <w:t xml:space="preserve"> человек, </w:t>
      </w:r>
      <w:r w:rsidR="0035500B" w:rsidRPr="00E931CB">
        <w:rPr>
          <w:rFonts w:ascii="Times New Roman" w:eastAsia="Times New Roman" w:hAnsi="Times New Roman" w:cs="Times New Roman"/>
          <w:color w:val="000000"/>
          <w:sz w:val="28"/>
          <w:szCs w:val="28"/>
          <w:lang w:eastAsia="ru-RU" w:bidi="ru-RU"/>
        </w:rPr>
        <w:t xml:space="preserve">из которых </w:t>
      </w:r>
      <w:r w:rsidRPr="00E931CB">
        <w:rPr>
          <w:rFonts w:ascii="Times New Roman" w:eastAsia="Times New Roman" w:hAnsi="Times New Roman" w:cs="Times New Roman"/>
          <w:color w:val="000000"/>
          <w:sz w:val="28"/>
          <w:szCs w:val="28"/>
          <w:lang w:eastAsia="ru-RU" w:bidi="ru-RU"/>
        </w:rPr>
        <w:t>720 тыс</w:t>
      </w:r>
      <w:r w:rsidR="0035500B">
        <w:rPr>
          <w:rFonts w:ascii="Times New Roman" w:eastAsia="Times New Roman" w:hAnsi="Times New Roman" w:cs="Times New Roman"/>
          <w:color w:val="000000"/>
          <w:sz w:val="28"/>
          <w:szCs w:val="28"/>
          <w:lang w:eastAsia="ru-RU" w:bidi="ru-RU"/>
        </w:rPr>
        <w:t>.</w:t>
      </w:r>
      <w:r w:rsidRPr="00E931CB">
        <w:rPr>
          <w:rFonts w:ascii="Times New Roman" w:eastAsia="Times New Roman" w:hAnsi="Times New Roman" w:cs="Times New Roman"/>
          <w:color w:val="000000"/>
          <w:sz w:val="28"/>
          <w:szCs w:val="28"/>
          <w:lang w:eastAsia="ru-RU" w:bidi="ru-RU"/>
        </w:rPr>
        <w:t xml:space="preserve"> </w:t>
      </w:r>
      <w:r w:rsidR="0035500B">
        <w:rPr>
          <w:rFonts w:ascii="Times New Roman" w:eastAsia="Times New Roman" w:hAnsi="Times New Roman" w:cs="Times New Roman"/>
          <w:color w:val="000000"/>
          <w:sz w:val="28"/>
          <w:szCs w:val="28"/>
          <w:lang w:eastAsia="ru-RU" w:bidi="ru-RU"/>
        </w:rPr>
        <w:t>обучающихся общеобразовательных организаций</w:t>
      </w:r>
      <w:r w:rsidRPr="00E931CB">
        <w:rPr>
          <w:rFonts w:ascii="Times New Roman" w:eastAsia="Times New Roman" w:hAnsi="Times New Roman" w:cs="Times New Roman"/>
          <w:color w:val="000000"/>
          <w:sz w:val="28"/>
          <w:szCs w:val="28"/>
          <w:lang w:eastAsia="ru-RU" w:bidi="ru-RU"/>
        </w:rPr>
        <w:t>.</w:t>
      </w:r>
    </w:p>
    <w:p w14:paraId="50313768" w14:textId="77777777" w:rsidR="00E931CB" w:rsidRPr="00E931CB" w:rsidRDefault="00E931CB" w:rsidP="00E931CB">
      <w:pPr>
        <w:pStyle w:val="Style17"/>
        <w:shd w:val="clear" w:color="auto" w:fill="auto"/>
        <w:tabs>
          <w:tab w:val="left" w:pos="7056"/>
        </w:tabs>
        <w:spacing w:line="312" w:lineRule="auto"/>
        <w:ind w:firstLine="709"/>
        <w:jc w:val="both"/>
        <w:rPr>
          <w:rFonts w:ascii="Times New Roman" w:hAnsi="Times New Roman" w:cs="Times New Roman"/>
          <w:sz w:val="28"/>
          <w:szCs w:val="28"/>
        </w:rPr>
      </w:pPr>
      <w:r w:rsidRPr="00E931CB">
        <w:rPr>
          <w:rFonts w:ascii="Times New Roman" w:eastAsia="Times New Roman" w:hAnsi="Times New Roman" w:cs="Times New Roman"/>
          <w:color w:val="000000"/>
          <w:sz w:val="28"/>
          <w:szCs w:val="28"/>
          <w:lang w:eastAsia="ru-RU" w:bidi="ru-RU"/>
        </w:rPr>
        <w:t>В мае прошла патриотическая культурно-образова</w:t>
      </w:r>
      <w:r w:rsidR="0035500B">
        <w:rPr>
          <w:rFonts w:ascii="Times New Roman" w:eastAsia="Times New Roman" w:hAnsi="Times New Roman" w:cs="Times New Roman"/>
          <w:color w:val="000000"/>
          <w:sz w:val="28"/>
          <w:szCs w:val="28"/>
          <w:lang w:eastAsia="ru-RU" w:bidi="ru-RU"/>
        </w:rPr>
        <w:t>тельная онлайн-</w:t>
      </w:r>
      <w:r w:rsidRPr="00E931CB">
        <w:rPr>
          <w:rFonts w:ascii="Times New Roman" w:eastAsia="Times New Roman" w:hAnsi="Times New Roman" w:cs="Times New Roman"/>
          <w:color w:val="000000"/>
          <w:sz w:val="28"/>
          <w:szCs w:val="28"/>
          <w:lang w:eastAsia="ru-RU" w:bidi="ru-RU"/>
        </w:rPr>
        <w:t xml:space="preserve">акция «Летопись сердец», приуроченная к 76-летию Победы, которая была проведена при поддержке Российского движения школьников, компании ООО «Яндекс», Российского союза ветеранов, общероссийского общественного движения «Бессмертный полк» и </w:t>
      </w:r>
      <w:proofErr w:type="spellStart"/>
      <w:r w:rsidRPr="00E931CB">
        <w:rPr>
          <w:rFonts w:ascii="Times New Roman" w:eastAsia="Times New Roman" w:hAnsi="Times New Roman" w:cs="Times New Roman"/>
          <w:color w:val="000000"/>
          <w:sz w:val="28"/>
          <w:szCs w:val="28"/>
          <w:lang w:eastAsia="ru-RU" w:bidi="ru-RU"/>
        </w:rPr>
        <w:t>Мосволонтёр</w:t>
      </w:r>
      <w:proofErr w:type="spellEnd"/>
      <w:r w:rsidRPr="00E931CB">
        <w:rPr>
          <w:rFonts w:ascii="Times New Roman" w:eastAsia="Times New Roman" w:hAnsi="Times New Roman" w:cs="Times New Roman"/>
          <w:color w:val="000000"/>
          <w:sz w:val="28"/>
          <w:szCs w:val="28"/>
          <w:lang w:eastAsia="ru-RU" w:bidi="ru-RU"/>
        </w:rPr>
        <w:t>. По итогам акции школьн</w:t>
      </w:r>
      <w:r w:rsidRPr="00E931CB">
        <w:rPr>
          <w:rFonts w:ascii="Times New Roman" w:hAnsi="Times New Roman" w:cs="Times New Roman"/>
          <w:sz w:val="28"/>
          <w:szCs w:val="28"/>
        </w:rPr>
        <w:t xml:space="preserve">иками было опубликовано более 5 </w:t>
      </w:r>
      <w:r w:rsidRPr="00E931CB">
        <w:rPr>
          <w:rFonts w:ascii="Times New Roman" w:eastAsia="Times New Roman" w:hAnsi="Times New Roman" w:cs="Times New Roman"/>
          <w:color w:val="000000"/>
          <w:sz w:val="28"/>
          <w:szCs w:val="28"/>
          <w:lang w:eastAsia="ru-RU" w:bidi="ru-RU"/>
        </w:rPr>
        <w:t>500 музыкальных</w:t>
      </w:r>
      <w:r w:rsidRPr="00E931CB">
        <w:rPr>
          <w:rFonts w:ascii="Times New Roman" w:hAnsi="Times New Roman" w:cs="Times New Roman"/>
          <w:sz w:val="28"/>
          <w:szCs w:val="28"/>
        </w:rPr>
        <w:t xml:space="preserve"> </w:t>
      </w:r>
      <w:r w:rsidRPr="00E931CB">
        <w:rPr>
          <w:rFonts w:ascii="Times New Roman" w:eastAsia="Times New Roman" w:hAnsi="Times New Roman" w:cs="Times New Roman"/>
          <w:color w:val="000000"/>
          <w:sz w:val="28"/>
          <w:szCs w:val="28"/>
          <w:lang w:eastAsia="ru-RU" w:bidi="ru-RU"/>
        </w:rPr>
        <w:t>видеопоздравлений в социальных сетях.</w:t>
      </w:r>
    </w:p>
    <w:p w14:paraId="0B277BEF" w14:textId="77777777" w:rsidR="00E931CB" w:rsidRPr="00E931CB" w:rsidRDefault="00E931CB" w:rsidP="00E931CB">
      <w:pPr>
        <w:pStyle w:val="Style17"/>
        <w:shd w:val="clear" w:color="auto" w:fill="auto"/>
        <w:spacing w:line="312" w:lineRule="auto"/>
        <w:ind w:firstLine="709"/>
        <w:jc w:val="both"/>
        <w:rPr>
          <w:rFonts w:ascii="Times New Roman" w:hAnsi="Times New Roman" w:cs="Times New Roman"/>
          <w:sz w:val="28"/>
          <w:szCs w:val="28"/>
        </w:rPr>
      </w:pPr>
      <w:r w:rsidRPr="00E931CB">
        <w:rPr>
          <w:rFonts w:ascii="Times New Roman" w:eastAsia="Times New Roman" w:hAnsi="Times New Roman" w:cs="Times New Roman"/>
          <w:color w:val="000000"/>
          <w:sz w:val="28"/>
          <w:szCs w:val="28"/>
          <w:lang w:eastAsia="ru-RU" w:bidi="ru-RU"/>
        </w:rPr>
        <w:t>В октябре 2021 г</w:t>
      </w:r>
      <w:r w:rsidR="00696F8D">
        <w:rPr>
          <w:rFonts w:ascii="Times New Roman" w:eastAsia="Times New Roman" w:hAnsi="Times New Roman" w:cs="Times New Roman"/>
          <w:color w:val="000000"/>
          <w:sz w:val="28"/>
          <w:szCs w:val="28"/>
          <w:lang w:eastAsia="ru-RU" w:bidi="ru-RU"/>
        </w:rPr>
        <w:t>.</w:t>
      </w:r>
      <w:r w:rsidRPr="00E931CB">
        <w:rPr>
          <w:rFonts w:ascii="Times New Roman" w:eastAsia="Times New Roman" w:hAnsi="Times New Roman" w:cs="Times New Roman"/>
          <w:color w:val="000000"/>
          <w:sz w:val="28"/>
          <w:szCs w:val="28"/>
          <w:lang w:eastAsia="ru-RU" w:bidi="ru-RU"/>
        </w:rPr>
        <w:t xml:space="preserve"> стартовала акция «</w:t>
      </w:r>
      <w:proofErr w:type="spellStart"/>
      <w:r w:rsidRPr="00E931CB">
        <w:rPr>
          <w:rFonts w:ascii="Times New Roman" w:eastAsia="Times New Roman" w:hAnsi="Times New Roman" w:cs="Times New Roman"/>
          <w:color w:val="000000"/>
          <w:sz w:val="28"/>
          <w:szCs w:val="28"/>
          <w:lang w:eastAsia="ru-RU" w:bidi="ru-RU"/>
        </w:rPr>
        <w:t>Киноуроки</w:t>
      </w:r>
      <w:proofErr w:type="spellEnd"/>
      <w:r w:rsidRPr="00E931CB">
        <w:rPr>
          <w:rFonts w:ascii="Times New Roman" w:eastAsia="Times New Roman" w:hAnsi="Times New Roman" w:cs="Times New Roman"/>
          <w:color w:val="000000"/>
          <w:sz w:val="28"/>
          <w:szCs w:val="28"/>
          <w:lang w:eastAsia="ru-RU" w:bidi="ru-RU"/>
        </w:rPr>
        <w:t xml:space="preserve"> в </w:t>
      </w:r>
      <w:r w:rsidRPr="0035500B">
        <w:rPr>
          <w:rStyle w:val="CharStyle34"/>
          <w:rFonts w:eastAsiaTheme="minorHAnsi"/>
          <w:sz w:val="28"/>
          <w:szCs w:val="28"/>
          <w:u w:val="none"/>
        </w:rPr>
        <w:t>шк</w:t>
      </w:r>
      <w:r w:rsidRPr="0035500B">
        <w:rPr>
          <w:rFonts w:ascii="Times New Roman" w:eastAsia="Times New Roman" w:hAnsi="Times New Roman" w:cs="Times New Roman"/>
          <w:color w:val="000000"/>
          <w:sz w:val="28"/>
          <w:szCs w:val="28"/>
          <w:lang w:eastAsia="ru-RU" w:bidi="ru-RU"/>
        </w:rPr>
        <w:t>олах России</w:t>
      </w:r>
      <w:r w:rsidRPr="00E931CB">
        <w:rPr>
          <w:rFonts w:ascii="Times New Roman" w:eastAsia="Times New Roman" w:hAnsi="Times New Roman" w:cs="Times New Roman"/>
          <w:color w:val="000000"/>
          <w:sz w:val="28"/>
          <w:szCs w:val="28"/>
          <w:lang w:eastAsia="ru-RU" w:bidi="ru-RU"/>
        </w:rPr>
        <w:t xml:space="preserve">», </w:t>
      </w:r>
      <w:r w:rsidR="0035500B">
        <w:rPr>
          <w:rFonts w:ascii="Times New Roman" w:eastAsia="Times New Roman" w:hAnsi="Times New Roman" w:cs="Times New Roman"/>
          <w:color w:val="000000"/>
          <w:sz w:val="28"/>
          <w:szCs w:val="28"/>
          <w:lang w:eastAsia="ru-RU" w:bidi="ru-RU"/>
        </w:rPr>
        <w:t>предусматривающая:</w:t>
      </w:r>
    </w:p>
    <w:p w14:paraId="04CA2990" w14:textId="77777777" w:rsidR="00E931CB" w:rsidRPr="0035500B" w:rsidRDefault="00E931CB" w:rsidP="00E931CB">
      <w:pPr>
        <w:pStyle w:val="Style17"/>
        <w:shd w:val="clear" w:color="auto" w:fill="auto"/>
        <w:spacing w:line="312" w:lineRule="auto"/>
        <w:ind w:firstLine="709"/>
        <w:jc w:val="both"/>
        <w:rPr>
          <w:rFonts w:ascii="Times New Roman" w:hAnsi="Times New Roman" w:cs="Times New Roman"/>
          <w:sz w:val="28"/>
          <w:szCs w:val="28"/>
        </w:rPr>
      </w:pPr>
      <w:r w:rsidRPr="0035500B">
        <w:rPr>
          <w:rFonts w:ascii="Times New Roman" w:eastAsia="Times New Roman" w:hAnsi="Times New Roman" w:cs="Times New Roman"/>
          <w:color w:val="000000"/>
          <w:sz w:val="28"/>
          <w:szCs w:val="28"/>
          <w:lang w:eastAsia="ru-RU" w:bidi="ru-RU"/>
        </w:rPr>
        <w:t>организацию кинопросмотров профессиональных короткометражных игровых фильмов педагогами школ для формирования у учащихся эмоционального интереса к героям произведений и стремления к рефлексии по поводу этических элементов представленных фильмов;</w:t>
      </w:r>
    </w:p>
    <w:p w14:paraId="5AA93375" w14:textId="77777777" w:rsidR="00E931CB" w:rsidRPr="0035500B" w:rsidRDefault="00E931CB" w:rsidP="00E931CB">
      <w:pPr>
        <w:pStyle w:val="Style17"/>
        <w:shd w:val="clear" w:color="auto" w:fill="auto"/>
        <w:spacing w:line="312" w:lineRule="auto"/>
        <w:ind w:firstLine="709"/>
        <w:jc w:val="both"/>
        <w:rPr>
          <w:rFonts w:ascii="Times New Roman" w:hAnsi="Times New Roman" w:cs="Times New Roman"/>
          <w:sz w:val="28"/>
          <w:szCs w:val="28"/>
        </w:rPr>
      </w:pPr>
      <w:r w:rsidRPr="0035500B">
        <w:rPr>
          <w:rFonts w:ascii="Times New Roman" w:eastAsia="Times New Roman" w:hAnsi="Times New Roman" w:cs="Times New Roman"/>
          <w:color w:val="000000"/>
          <w:sz w:val="28"/>
          <w:szCs w:val="28"/>
          <w:lang w:eastAsia="ru-RU" w:bidi="ru-RU"/>
        </w:rPr>
        <w:t>разработку методических пособий, раскрывающих особенности организации обсуждения фильма, для учителей;</w:t>
      </w:r>
    </w:p>
    <w:p w14:paraId="2827E78C" w14:textId="77777777" w:rsidR="00E931CB" w:rsidRPr="0035500B" w:rsidRDefault="00E931CB" w:rsidP="0035500B">
      <w:pPr>
        <w:pStyle w:val="Style17"/>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35500B">
        <w:rPr>
          <w:rFonts w:ascii="Times New Roman" w:eastAsia="Times New Roman" w:hAnsi="Times New Roman" w:cs="Times New Roman"/>
          <w:color w:val="000000"/>
          <w:sz w:val="28"/>
          <w:szCs w:val="28"/>
          <w:lang w:eastAsia="ru-RU" w:bidi="ru-RU"/>
        </w:rPr>
        <w:t xml:space="preserve">проведение в </w:t>
      </w:r>
      <w:r w:rsidRPr="0035500B">
        <w:rPr>
          <w:rStyle w:val="CharStyle34"/>
          <w:rFonts w:eastAsiaTheme="minorHAnsi"/>
          <w:sz w:val="28"/>
          <w:szCs w:val="28"/>
          <w:u w:val="none"/>
        </w:rPr>
        <w:t>шк</w:t>
      </w:r>
      <w:r w:rsidRPr="0035500B">
        <w:rPr>
          <w:rFonts w:ascii="Times New Roman" w:eastAsia="Times New Roman" w:hAnsi="Times New Roman" w:cs="Times New Roman"/>
          <w:color w:val="000000"/>
          <w:sz w:val="28"/>
          <w:szCs w:val="28"/>
          <w:lang w:eastAsia="ru-RU" w:bidi="ru-RU"/>
        </w:rPr>
        <w:t xml:space="preserve">олах социальных практик </w:t>
      </w:r>
      <w:r w:rsidR="0035500B">
        <w:rPr>
          <w:rFonts w:ascii="Times New Roman" w:eastAsia="Times New Roman" w:hAnsi="Times New Roman" w:cs="Times New Roman"/>
          <w:color w:val="000000"/>
          <w:sz w:val="28"/>
          <w:szCs w:val="28"/>
          <w:lang w:eastAsia="ru-RU" w:bidi="ru-RU"/>
        </w:rPr>
        <w:t>–</w:t>
      </w:r>
      <w:r w:rsidRPr="0035500B">
        <w:rPr>
          <w:rFonts w:ascii="Times New Roman" w:eastAsia="Times New Roman" w:hAnsi="Times New Roman" w:cs="Times New Roman"/>
          <w:color w:val="000000"/>
          <w:sz w:val="28"/>
          <w:szCs w:val="28"/>
          <w:lang w:eastAsia="ru-RU" w:bidi="ru-RU"/>
        </w:rPr>
        <w:t xml:space="preserve"> общественно полезных дел, инициированных детьми и позволяющих проявить рассмотренные при просмотре фильма качества личности на практике;</w:t>
      </w:r>
    </w:p>
    <w:p w14:paraId="1DEAA9BF" w14:textId="77777777" w:rsidR="00E931CB" w:rsidRPr="0035500B" w:rsidRDefault="00E931CB" w:rsidP="00E931CB">
      <w:pPr>
        <w:pStyle w:val="Style17"/>
        <w:shd w:val="clear" w:color="auto" w:fill="auto"/>
        <w:spacing w:line="312" w:lineRule="auto"/>
        <w:ind w:firstLine="709"/>
        <w:jc w:val="both"/>
        <w:rPr>
          <w:rFonts w:ascii="Times New Roman" w:hAnsi="Times New Roman" w:cs="Times New Roman"/>
          <w:sz w:val="28"/>
          <w:szCs w:val="28"/>
        </w:rPr>
      </w:pPr>
      <w:r w:rsidRPr="0035500B">
        <w:rPr>
          <w:rFonts w:ascii="Times New Roman" w:eastAsia="Times New Roman" w:hAnsi="Times New Roman" w:cs="Times New Roman"/>
          <w:color w:val="000000"/>
          <w:sz w:val="28"/>
          <w:szCs w:val="28"/>
          <w:lang w:eastAsia="ru-RU" w:bidi="ru-RU"/>
        </w:rPr>
        <w:t>проведение киномарафона для родителей, включающего организацию ежемесячных встреч в целях информирования российской родительской общественности о значении и содержании программы акции, а также в целях привлечения родительского сообщества к оказанию помощи и поддержке педагогов во время реализации проекта.</w:t>
      </w:r>
    </w:p>
    <w:p w14:paraId="4E7ECD97" w14:textId="77777777" w:rsidR="00E931CB" w:rsidRPr="00E931CB" w:rsidRDefault="00E931CB" w:rsidP="00B24C7E">
      <w:pPr>
        <w:pStyle w:val="Style17"/>
        <w:shd w:val="clear" w:color="auto" w:fill="auto"/>
        <w:spacing w:line="312" w:lineRule="auto"/>
        <w:ind w:firstLine="709"/>
        <w:jc w:val="both"/>
        <w:rPr>
          <w:rFonts w:ascii="Times New Roman" w:hAnsi="Times New Roman" w:cs="Times New Roman"/>
          <w:sz w:val="28"/>
          <w:szCs w:val="28"/>
        </w:rPr>
      </w:pPr>
      <w:r w:rsidRPr="00E931CB">
        <w:rPr>
          <w:rFonts w:ascii="Times New Roman" w:eastAsia="Times New Roman" w:hAnsi="Times New Roman" w:cs="Times New Roman"/>
          <w:color w:val="000000"/>
          <w:sz w:val="28"/>
          <w:szCs w:val="28"/>
          <w:lang w:eastAsia="ru-RU" w:bidi="ru-RU"/>
        </w:rPr>
        <w:t>С 8 ноября по 24 декабря 2021 г</w:t>
      </w:r>
      <w:r w:rsidR="004C0010">
        <w:rPr>
          <w:rFonts w:ascii="Times New Roman" w:eastAsia="Times New Roman" w:hAnsi="Times New Roman" w:cs="Times New Roman"/>
          <w:color w:val="000000"/>
          <w:sz w:val="28"/>
          <w:szCs w:val="28"/>
          <w:lang w:eastAsia="ru-RU" w:bidi="ru-RU"/>
        </w:rPr>
        <w:t>.</w:t>
      </w:r>
      <w:r w:rsidRPr="00E931CB">
        <w:rPr>
          <w:rFonts w:ascii="Times New Roman" w:eastAsia="Times New Roman" w:hAnsi="Times New Roman" w:cs="Times New Roman"/>
          <w:color w:val="000000"/>
          <w:sz w:val="28"/>
          <w:szCs w:val="28"/>
          <w:lang w:eastAsia="ru-RU" w:bidi="ru-RU"/>
        </w:rPr>
        <w:t xml:space="preserve"> более 1,2 м</w:t>
      </w:r>
      <w:r w:rsidR="0035500B">
        <w:rPr>
          <w:rFonts w:ascii="Times New Roman" w:eastAsia="Times New Roman" w:hAnsi="Times New Roman" w:cs="Times New Roman"/>
          <w:color w:val="000000"/>
          <w:sz w:val="28"/>
          <w:szCs w:val="28"/>
          <w:lang w:eastAsia="ru-RU" w:bidi="ru-RU"/>
        </w:rPr>
        <w:t>лн</w:t>
      </w:r>
      <w:r w:rsidRPr="00E931CB">
        <w:rPr>
          <w:rFonts w:ascii="Times New Roman" w:eastAsia="Times New Roman" w:hAnsi="Times New Roman" w:cs="Times New Roman"/>
          <w:color w:val="000000"/>
          <w:sz w:val="28"/>
          <w:szCs w:val="28"/>
          <w:lang w:eastAsia="ru-RU" w:bidi="ru-RU"/>
        </w:rPr>
        <w:t xml:space="preserve"> школьников и более 50 тыс</w:t>
      </w:r>
      <w:r w:rsidR="0035500B">
        <w:rPr>
          <w:rFonts w:ascii="Times New Roman" w:eastAsia="Times New Roman" w:hAnsi="Times New Roman" w:cs="Times New Roman"/>
          <w:color w:val="000000"/>
          <w:sz w:val="28"/>
          <w:szCs w:val="28"/>
          <w:lang w:eastAsia="ru-RU" w:bidi="ru-RU"/>
        </w:rPr>
        <w:t>.</w:t>
      </w:r>
      <w:r w:rsidRPr="00E931CB">
        <w:rPr>
          <w:rFonts w:ascii="Times New Roman" w:eastAsia="Times New Roman" w:hAnsi="Times New Roman" w:cs="Times New Roman"/>
          <w:color w:val="000000"/>
          <w:sz w:val="28"/>
          <w:szCs w:val="28"/>
          <w:lang w:eastAsia="ru-RU" w:bidi="ru-RU"/>
        </w:rPr>
        <w:t xml:space="preserve"> учителей присоединились к ежегодному всероссийскому</w:t>
      </w:r>
      <w:r w:rsidRPr="00E931CB">
        <w:rPr>
          <w:rFonts w:ascii="Times New Roman" w:hAnsi="Times New Roman" w:cs="Times New Roman"/>
          <w:sz w:val="28"/>
          <w:szCs w:val="28"/>
        </w:rPr>
        <w:t xml:space="preserve"> </w:t>
      </w:r>
      <w:r w:rsidRPr="00E931CB">
        <w:rPr>
          <w:rFonts w:ascii="Times New Roman" w:eastAsia="Times New Roman" w:hAnsi="Times New Roman" w:cs="Times New Roman"/>
          <w:color w:val="000000"/>
          <w:sz w:val="28"/>
          <w:szCs w:val="28"/>
          <w:lang w:eastAsia="ru-RU" w:bidi="ru-RU"/>
        </w:rPr>
        <w:t>проекту Минкультуры России, Минпросвещения России и Яндекса «Культурный марафон»</w:t>
      </w:r>
      <w:r w:rsidR="00DB659C">
        <w:rPr>
          <w:rFonts w:ascii="Times New Roman" w:eastAsia="Times New Roman" w:hAnsi="Times New Roman" w:cs="Times New Roman"/>
          <w:color w:val="000000"/>
          <w:sz w:val="28"/>
          <w:szCs w:val="28"/>
          <w:lang w:eastAsia="ru-RU" w:bidi="ru-RU"/>
        </w:rPr>
        <w:t>, приуроченн</w:t>
      </w:r>
      <w:r w:rsidR="00702B23">
        <w:rPr>
          <w:rFonts w:ascii="Times New Roman" w:eastAsia="Times New Roman" w:hAnsi="Times New Roman" w:cs="Times New Roman"/>
          <w:color w:val="000000"/>
          <w:sz w:val="28"/>
          <w:szCs w:val="28"/>
          <w:lang w:eastAsia="ru-RU" w:bidi="ru-RU"/>
        </w:rPr>
        <w:t>ому</w:t>
      </w:r>
      <w:r w:rsidRPr="00E931CB">
        <w:rPr>
          <w:rFonts w:ascii="Times New Roman" w:eastAsia="Times New Roman" w:hAnsi="Times New Roman" w:cs="Times New Roman"/>
          <w:color w:val="000000"/>
          <w:sz w:val="28"/>
          <w:szCs w:val="28"/>
          <w:lang w:eastAsia="ru-RU" w:bidi="ru-RU"/>
        </w:rPr>
        <w:t xml:space="preserve"> к важной дате в истории кино </w:t>
      </w:r>
      <w:r w:rsidR="00B24C7E">
        <w:rPr>
          <w:rFonts w:ascii="Times New Roman" w:eastAsia="Times New Roman" w:hAnsi="Times New Roman" w:cs="Times New Roman"/>
          <w:color w:val="000000"/>
          <w:sz w:val="28"/>
          <w:szCs w:val="28"/>
          <w:lang w:eastAsia="ru-RU" w:bidi="ru-RU"/>
        </w:rPr>
        <w:t>– первому</w:t>
      </w:r>
      <w:r w:rsidRPr="00E931CB">
        <w:rPr>
          <w:rFonts w:ascii="Times New Roman" w:eastAsia="Times New Roman" w:hAnsi="Times New Roman" w:cs="Times New Roman"/>
          <w:color w:val="000000"/>
          <w:sz w:val="28"/>
          <w:szCs w:val="28"/>
          <w:lang w:eastAsia="ru-RU" w:bidi="ru-RU"/>
        </w:rPr>
        <w:t xml:space="preserve"> </w:t>
      </w:r>
      <w:r w:rsidR="00B24C7E" w:rsidRPr="00E931CB">
        <w:rPr>
          <w:rFonts w:ascii="Times New Roman" w:eastAsia="Times New Roman" w:hAnsi="Times New Roman" w:cs="Times New Roman"/>
          <w:color w:val="000000"/>
          <w:sz w:val="28"/>
          <w:szCs w:val="28"/>
          <w:lang w:eastAsia="ru-RU" w:bidi="ru-RU"/>
        </w:rPr>
        <w:t>киносеанс</w:t>
      </w:r>
      <w:r w:rsidR="00B24C7E">
        <w:rPr>
          <w:rFonts w:ascii="Times New Roman" w:eastAsia="Times New Roman" w:hAnsi="Times New Roman" w:cs="Times New Roman"/>
          <w:color w:val="000000"/>
          <w:sz w:val="28"/>
          <w:szCs w:val="28"/>
          <w:lang w:eastAsia="ru-RU" w:bidi="ru-RU"/>
        </w:rPr>
        <w:t>у</w:t>
      </w:r>
      <w:r w:rsidR="00B24C7E" w:rsidRPr="00E931CB">
        <w:rPr>
          <w:rFonts w:ascii="Times New Roman" w:eastAsia="Times New Roman" w:hAnsi="Times New Roman" w:cs="Times New Roman"/>
          <w:color w:val="000000"/>
          <w:sz w:val="28"/>
          <w:szCs w:val="28"/>
          <w:lang w:eastAsia="ru-RU" w:bidi="ru-RU"/>
        </w:rPr>
        <w:t xml:space="preserve"> в России</w:t>
      </w:r>
      <w:r w:rsidR="00B24C7E">
        <w:rPr>
          <w:rFonts w:ascii="Times New Roman" w:eastAsia="Times New Roman" w:hAnsi="Times New Roman" w:cs="Times New Roman"/>
          <w:color w:val="000000"/>
          <w:sz w:val="28"/>
          <w:szCs w:val="28"/>
          <w:lang w:eastAsia="ru-RU" w:bidi="ru-RU"/>
        </w:rPr>
        <w:t>, состоявшему</w:t>
      </w:r>
      <w:r w:rsidR="00B24C7E" w:rsidRPr="00E931CB">
        <w:rPr>
          <w:rFonts w:ascii="Times New Roman" w:eastAsia="Times New Roman" w:hAnsi="Times New Roman" w:cs="Times New Roman"/>
          <w:color w:val="000000"/>
          <w:sz w:val="28"/>
          <w:szCs w:val="28"/>
          <w:lang w:eastAsia="ru-RU" w:bidi="ru-RU"/>
        </w:rPr>
        <w:t xml:space="preserve"> </w:t>
      </w:r>
      <w:r w:rsidRPr="00E931CB">
        <w:rPr>
          <w:rFonts w:ascii="Times New Roman" w:eastAsia="Times New Roman" w:hAnsi="Times New Roman" w:cs="Times New Roman"/>
          <w:color w:val="000000"/>
          <w:sz w:val="28"/>
          <w:szCs w:val="28"/>
          <w:lang w:eastAsia="ru-RU" w:bidi="ru-RU"/>
        </w:rPr>
        <w:t xml:space="preserve">125 лет назад. В рамках акции разработан курс для учителей «Как организовать дискуссию на уроке», на который зарегистрировались более 10 </w:t>
      </w:r>
      <w:r w:rsidR="00B24C7E">
        <w:rPr>
          <w:rFonts w:ascii="Times New Roman" w:hAnsi="Times New Roman" w:cs="Times New Roman"/>
          <w:sz w:val="28"/>
          <w:szCs w:val="28"/>
        </w:rPr>
        <w:t>тыс.</w:t>
      </w:r>
      <w:r w:rsidRPr="00E931CB">
        <w:rPr>
          <w:rFonts w:ascii="Times New Roman" w:eastAsia="Times New Roman" w:hAnsi="Times New Roman" w:cs="Times New Roman"/>
          <w:color w:val="000000"/>
          <w:sz w:val="28"/>
          <w:szCs w:val="28"/>
          <w:lang w:eastAsia="ru-RU" w:bidi="ru-RU"/>
        </w:rPr>
        <w:t xml:space="preserve"> педагогов учреждений образования и культуры. 30 ноября Яндексом был запущен спецпроект, задача участников которого заключалась в том, чтобы придумать идею своего идеального фильма. </w:t>
      </w:r>
      <w:r w:rsidR="00B24C7E">
        <w:rPr>
          <w:rFonts w:ascii="Times New Roman" w:eastAsia="Times New Roman" w:hAnsi="Times New Roman" w:cs="Times New Roman"/>
          <w:color w:val="000000"/>
          <w:sz w:val="28"/>
          <w:szCs w:val="28"/>
          <w:lang w:eastAsia="ru-RU" w:bidi="ru-RU"/>
        </w:rPr>
        <w:t>В спецпроекте приняло участие</w:t>
      </w:r>
      <w:r w:rsidRPr="00E931CB">
        <w:rPr>
          <w:rFonts w:ascii="Times New Roman" w:eastAsia="Times New Roman" w:hAnsi="Times New Roman" w:cs="Times New Roman"/>
          <w:color w:val="000000"/>
          <w:sz w:val="28"/>
          <w:szCs w:val="28"/>
          <w:lang w:eastAsia="ru-RU" w:bidi="ru-RU"/>
        </w:rPr>
        <w:t xml:space="preserve"> более 350 человек. По итогам опубликован</w:t>
      </w:r>
      <w:r w:rsidRPr="00E931CB">
        <w:rPr>
          <w:rFonts w:ascii="Times New Roman" w:hAnsi="Times New Roman" w:cs="Times New Roman"/>
          <w:sz w:val="28"/>
          <w:szCs w:val="28"/>
        </w:rPr>
        <w:t xml:space="preserve">ных пресс-релизов вышло более 2 </w:t>
      </w:r>
      <w:r w:rsidRPr="00E931CB">
        <w:rPr>
          <w:rFonts w:ascii="Times New Roman" w:eastAsia="Times New Roman" w:hAnsi="Times New Roman" w:cs="Times New Roman"/>
          <w:color w:val="000000"/>
          <w:sz w:val="28"/>
          <w:szCs w:val="28"/>
          <w:lang w:eastAsia="ru-RU" w:bidi="ru-RU"/>
        </w:rPr>
        <w:t>800 публикаций на всех ключевых информационных площадках</w:t>
      </w:r>
      <w:r w:rsidR="00B24C7E">
        <w:rPr>
          <w:rFonts w:ascii="Times New Roman" w:hAnsi="Times New Roman" w:cs="Times New Roman"/>
          <w:sz w:val="28"/>
          <w:szCs w:val="28"/>
        </w:rPr>
        <w:t xml:space="preserve"> </w:t>
      </w:r>
      <w:r w:rsidRPr="00E931CB">
        <w:rPr>
          <w:rFonts w:ascii="Times New Roman" w:eastAsia="Times New Roman" w:hAnsi="Times New Roman" w:cs="Times New Roman"/>
          <w:color w:val="000000"/>
          <w:sz w:val="28"/>
          <w:szCs w:val="28"/>
          <w:lang w:eastAsia="ru-RU" w:bidi="ru-RU"/>
        </w:rPr>
        <w:t xml:space="preserve">(ТАСС, РИА, Интерфакс, Газета, Лента, Вести ФМ, Учительская газета, Вести образования и другие). Охват публикаций и качество </w:t>
      </w:r>
      <w:proofErr w:type="spellStart"/>
      <w:r w:rsidRPr="00E931CB">
        <w:rPr>
          <w:rFonts w:ascii="Times New Roman" w:eastAsia="Times New Roman" w:hAnsi="Times New Roman" w:cs="Times New Roman"/>
          <w:color w:val="000000"/>
          <w:sz w:val="28"/>
          <w:szCs w:val="28"/>
          <w:lang w:eastAsia="ru-RU" w:bidi="ru-RU"/>
        </w:rPr>
        <w:t>медиаполя</w:t>
      </w:r>
      <w:proofErr w:type="spellEnd"/>
      <w:r w:rsidRPr="00E931CB">
        <w:rPr>
          <w:rFonts w:ascii="Times New Roman" w:eastAsia="Times New Roman" w:hAnsi="Times New Roman" w:cs="Times New Roman"/>
          <w:color w:val="000000"/>
          <w:sz w:val="28"/>
          <w:szCs w:val="28"/>
          <w:lang w:eastAsia="ru-RU" w:bidi="ru-RU"/>
        </w:rPr>
        <w:t xml:space="preserve"> превышает показатели </w:t>
      </w:r>
      <w:r w:rsidR="0016435A" w:rsidRPr="00E931CB">
        <w:rPr>
          <w:rFonts w:ascii="Times New Roman" w:eastAsia="Times New Roman" w:hAnsi="Times New Roman" w:cs="Times New Roman"/>
          <w:color w:val="000000"/>
          <w:sz w:val="28"/>
          <w:szCs w:val="28"/>
          <w:lang w:eastAsia="ru-RU" w:bidi="ru-RU"/>
        </w:rPr>
        <w:t>акции</w:t>
      </w:r>
      <w:r w:rsidR="0016435A">
        <w:rPr>
          <w:rFonts w:ascii="Times New Roman" w:eastAsia="Times New Roman" w:hAnsi="Times New Roman" w:cs="Times New Roman"/>
          <w:color w:val="000000"/>
          <w:sz w:val="28"/>
          <w:szCs w:val="28"/>
          <w:lang w:eastAsia="ru-RU" w:bidi="ru-RU"/>
        </w:rPr>
        <w:t xml:space="preserve">, </w:t>
      </w:r>
      <w:r w:rsidRPr="00E931CB">
        <w:rPr>
          <w:rFonts w:ascii="Times New Roman" w:eastAsia="Times New Roman" w:hAnsi="Times New Roman" w:cs="Times New Roman"/>
          <w:color w:val="000000"/>
          <w:sz w:val="28"/>
          <w:szCs w:val="28"/>
          <w:lang w:eastAsia="ru-RU" w:bidi="ru-RU"/>
        </w:rPr>
        <w:t>проведен</w:t>
      </w:r>
      <w:r w:rsidR="0016435A">
        <w:rPr>
          <w:rFonts w:ascii="Times New Roman" w:eastAsia="Times New Roman" w:hAnsi="Times New Roman" w:cs="Times New Roman"/>
          <w:color w:val="000000"/>
          <w:sz w:val="28"/>
          <w:szCs w:val="28"/>
          <w:lang w:eastAsia="ru-RU" w:bidi="ru-RU"/>
        </w:rPr>
        <w:t>ной</w:t>
      </w:r>
      <w:r w:rsidRPr="00E931CB">
        <w:rPr>
          <w:rFonts w:ascii="Times New Roman" w:eastAsia="Times New Roman" w:hAnsi="Times New Roman" w:cs="Times New Roman"/>
          <w:color w:val="000000"/>
          <w:sz w:val="28"/>
          <w:szCs w:val="28"/>
          <w:lang w:eastAsia="ru-RU" w:bidi="ru-RU"/>
        </w:rPr>
        <w:t xml:space="preserve"> в 2020 г. Суммарный охват акции в социальных сетях (поддержка у блогеров, реклама, тематические</w:t>
      </w:r>
      <w:r w:rsidR="00CF4730">
        <w:rPr>
          <w:rFonts w:ascii="Times New Roman" w:eastAsia="Times New Roman" w:hAnsi="Times New Roman" w:cs="Times New Roman"/>
          <w:color w:val="000000"/>
          <w:sz w:val="28"/>
          <w:szCs w:val="28"/>
          <w:lang w:eastAsia="ru-RU" w:bidi="ru-RU"/>
        </w:rPr>
        <w:t xml:space="preserve"> комиксы) составил более 38 млн</w:t>
      </w:r>
      <w:r w:rsidRPr="00E931CB">
        <w:rPr>
          <w:rFonts w:ascii="Times New Roman" w:eastAsia="Times New Roman" w:hAnsi="Times New Roman" w:cs="Times New Roman"/>
          <w:color w:val="000000"/>
          <w:sz w:val="28"/>
          <w:szCs w:val="28"/>
          <w:lang w:eastAsia="ru-RU" w:bidi="ru-RU"/>
        </w:rPr>
        <w:t xml:space="preserve"> человек.</w:t>
      </w:r>
    </w:p>
    <w:p w14:paraId="71A20573" w14:textId="77777777" w:rsidR="00E931CB" w:rsidRPr="00E931CB" w:rsidRDefault="00E931CB" w:rsidP="00E931CB">
      <w:pPr>
        <w:pStyle w:val="Style17"/>
        <w:shd w:val="clear" w:color="auto" w:fill="auto"/>
        <w:spacing w:line="312" w:lineRule="auto"/>
        <w:ind w:firstLine="709"/>
        <w:jc w:val="both"/>
        <w:rPr>
          <w:rFonts w:ascii="Times New Roman" w:hAnsi="Times New Roman" w:cs="Times New Roman"/>
          <w:sz w:val="28"/>
          <w:szCs w:val="28"/>
        </w:rPr>
      </w:pPr>
      <w:r w:rsidRPr="00E931CB">
        <w:rPr>
          <w:rFonts w:ascii="Times New Roman" w:eastAsia="Times New Roman" w:hAnsi="Times New Roman" w:cs="Times New Roman"/>
          <w:color w:val="000000"/>
          <w:sz w:val="28"/>
          <w:szCs w:val="28"/>
          <w:lang w:eastAsia="ru-RU" w:bidi="ru-RU"/>
        </w:rPr>
        <w:t>В сентябре 2021 г</w:t>
      </w:r>
      <w:r w:rsidR="005D3081">
        <w:rPr>
          <w:rFonts w:ascii="Times New Roman" w:eastAsia="Times New Roman" w:hAnsi="Times New Roman" w:cs="Times New Roman"/>
          <w:color w:val="000000"/>
          <w:sz w:val="28"/>
          <w:szCs w:val="28"/>
          <w:lang w:eastAsia="ru-RU" w:bidi="ru-RU"/>
        </w:rPr>
        <w:t>.</w:t>
      </w:r>
      <w:r w:rsidRPr="00E931CB">
        <w:rPr>
          <w:rFonts w:ascii="Times New Roman" w:eastAsia="Times New Roman" w:hAnsi="Times New Roman" w:cs="Times New Roman"/>
          <w:color w:val="000000"/>
          <w:sz w:val="28"/>
          <w:szCs w:val="28"/>
          <w:lang w:eastAsia="ru-RU" w:bidi="ru-RU"/>
        </w:rPr>
        <w:t xml:space="preserve"> состоялся старт программы «Пушкинская карта», целью которой является создание условий для самореализации и развития талантов молодежи. Уже за первые 4 месяца реализации программы почти 3,7 млн молодых людей </w:t>
      </w:r>
      <w:r w:rsidR="00246ADA">
        <w:rPr>
          <w:rFonts w:ascii="Times New Roman" w:eastAsia="Times New Roman" w:hAnsi="Times New Roman" w:cs="Times New Roman"/>
          <w:color w:val="000000"/>
          <w:sz w:val="28"/>
          <w:szCs w:val="28"/>
          <w:lang w:eastAsia="ru-RU" w:bidi="ru-RU"/>
        </w:rPr>
        <w:t xml:space="preserve">в возрасте </w:t>
      </w:r>
      <w:r w:rsidRPr="00E931CB">
        <w:rPr>
          <w:rFonts w:ascii="Times New Roman" w:eastAsia="Times New Roman" w:hAnsi="Times New Roman" w:cs="Times New Roman"/>
          <w:color w:val="000000"/>
          <w:sz w:val="28"/>
          <w:szCs w:val="28"/>
          <w:lang w:eastAsia="ru-RU" w:bidi="ru-RU"/>
        </w:rPr>
        <w:t>14</w:t>
      </w:r>
      <w:r w:rsidR="00BC1649">
        <w:rPr>
          <w:rFonts w:ascii="Times New Roman" w:eastAsia="Times New Roman" w:hAnsi="Times New Roman" w:cs="Times New Roman"/>
          <w:color w:val="000000"/>
          <w:sz w:val="28"/>
          <w:szCs w:val="28"/>
          <w:lang w:eastAsia="ru-RU" w:bidi="ru-RU"/>
        </w:rPr>
        <w:t>-</w:t>
      </w:r>
      <w:r w:rsidRPr="00E931CB">
        <w:rPr>
          <w:rFonts w:ascii="Times New Roman" w:eastAsia="Times New Roman" w:hAnsi="Times New Roman" w:cs="Times New Roman"/>
          <w:color w:val="000000"/>
          <w:sz w:val="28"/>
          <w:szCs w:val="28"/>
          <w:lang w:eastAsia="ru-RU" w:bidi="ru-RU"/>
        </w:rPr>
        <w:t>22 лет оформили «Пушкинскую карту». К участию в программе присоединилось более 3 тыс. учреждений культуры</w:t>
      </w:r>
      <w:r w:rsidR="0016435A">
        <w:rPr>
          <w:rFonts w:ascii="Times New Roman" w:eastAsia="Times New Roman" w:hAnsi="Times New Roman" w:cs="Times New Roman"/>
          <w:color w:val="000000"/>
          <w:sz w:val="28"/>
          <w:szCs w:val="28"/>
          <w:lang w:eastAsia="ru-RU" w:bidi="ru-RU"/>
        </w:rPr>
        <w:t>:</w:t>
      </w:r>
      <w:r w:rsidRPr="00E931CB">
        <w:rPr>
          <w:rFonts w:ascii="Times New Roman" w:eastAsia="Times New Roman" w:hAnsi="Times New Roman" w:cs="Times New Roman"/>
          <w:color w:val="000000"/>
          <w:sz w:val="28"/>
          <w:szCs w:val="28"/>
          <w:lang w:eastAsia="ru-RU" w:bidi="ru-RU"/>
        </w:rPr>
        <w:t xml:space="preserve"> 672 театра, 973 музея, </w:t>
      </w:r>
      <w:r w:rsidR="00BC1649">
        <w:rPr>
          <w:rFonts w:ascii="Times New Roman" w:eastAsia="Times New Roman" w:hAnsi="Times New Roman" w:cs="Times New Roman"/>
          <w:color w:val="000000"/>
          <w:sz w:val="28"/>
          <w:szCs w:val="28"/>
          <w:lang w:eastAsia="ru-RU" w:bidi="ru-RU"/>
        </w:rPr>
        <w:br/>
      </w:r>
      <w:r w:rsidRPr="00E931CB">
        <w:rPr>
          <w:rFonts w:ascii="Times New Roman" w:eastAsia="Times New Roman" w:hAnsi="Times New Roman" w:cs="Times New Roman"/>
          <w:color w:val="000000"/>
          <w:sz w:val="28"/>
          <w:szCs w:val="28"/>
          <w:lang w:eastAsia="ru-RU" w:bidi="ru-RU"/>
        </w:rPr>
        <w:t xml:space="preserve">167 концертных организаций и филармоний, 690 домов культуры и культурных центров, 683 библиотеки и творческие образовательные организации. </w:t>
      </w:r>
      <w:r w:rsidR="0016435A">
        <w:rPr>
          <w:rFonts w:ascii="Times New Roman" w:eastAsia="Times New Roman" w:hAnsi="Times New Roman" w:cs="Times New Roman"/>
          <w:color w:val="000000"/>
          <w:sz w:val="28"/>
          <w:szCs w:val="28"/>
          <w:lang w:eastAsia="ru-RU" w:bidi="ru-RU"/>
        </w:rPr>
        <w:t xml:space="preserve">Благодаря введению «Пушкинской карты» </w:t>
      </w:r>
      <w:r w:rsidR="0016435A" w:rsidRPr="00E931CB">
        <w:rPr>
          <w:rFonts w:ascii="Times New Roman" w:eastAsia="Times New Roman" w:hAnsi="Times New Roman" w:cs="Times New Roman"/>
          <w:color w:val="000000"/>
          <w:sz w:val="28"/>
          <w:szCs w:val="28"/>
          <w:lang w:eastAsia="ru-RU" w:bidi="ru-RU"/>
        </w:rPr>
        <w:t>вместо планируемых 25 тыс</w:t>
      </w:r>
      <w:r w:rsidR="0016435A">
        <w:rPr>
          <w:rFonts w:ascii="Times New Roman" w:eastAsia="Times New Roman" w:hAnsi="Times New Roman" w:cs="Times New Roman"/>
          <w:color w:val="000000"/>
          <w:sz w:val="28"/>
          <w:szCs w:val="28"/>
          <w:lang w:eastAsia="ru-RU" w:bidi="ru-RU"/>
        </w:rPr>
        <w:t>. культурных мероприятий</w:t>
      </w:r>
      <w:r w:rsidR="0016435A" w:rsidRPr="00E931CB">
        <w:rPr>
          <w:rFonts w:ascii="Times New Roman" w:eastAsia="Times New Roman" w:hAnsi="Times New Roman" w:cs="Times New Roman"/>
          <w:color w:val="000000"/>
          <w:sz w:val="28"/>
          <w:szCs w:val="28"/>
          <w:lang w:eastAsia="ru-RU" w:bidi="ru-RU"/>
        </w:rPr>
        <w:t xml:space="preserve"> в афише программы в 2021 г</w:t>
      </w:r>
      <w:r w:rsidR="00BC1649">
        <w:rPr>
          <w:rFonts w:ascii="Times New Roman" w:eastAsia="Times New Roman" w:hAnsi="Times New Roman" w:cs="Times New Roman"/>
          <w:color w:val="000000"/>
          <w:sz w:val="28"/>
          <w:szCs w:val="28"/>
          <w:lang w:eastAsia="ru-RU" w:bidi="ru-RU"/>
        </w:rPr>
        <w:t>.</w:t>
      </w:r>
      <w:r w:rsidR="0016435A" w:rsidRPr="00E931CB">
        <w:rPr>
          <w:rFonts w:ascii="Times New Roman" w:eastAsia="Times New Roman" w:hAnsi="Times New Roman" w:cs="Times New Roman"/>
          <w:color w:val="000000"/>
          <w:sz w:val="28"/>
          <w:szCs w:val="28"/>
          <w:lang w:eastAsia="ru-RU" w:bidi="ru-RU"/>
        </w:rPr>
        <w:t xml:space="preserve"> </w:t>
      </w:r>
      <w:r w:rsidR="0016435A">
        <w:rPr>
          <w:rFonts w:ascii="Times New Roman" w:eastAsia="Times New Roman" w:hAnsi="Times New Roman" w:cs="Times New Roman"/>
          <w:color w:val="000000"/>
          <w:sz w:val="28"/>
          <w:szCs w:val="28"/>
          <w:lang w:eastAsia="ru-RU" w:bidi="ru-RU"/>
        </w:rPr>
        <w:t xml:space="preserve">появилось </w:t>
      </w:r>
      <w:r w:rsidRPr="00E931CB">
        <w:rPr>
          <w:rFonts w:ascii="Times New Roman" w:eastAsia="Times New Roman" w:hAnsi="Times New Roman" w:cs="Times New Roman"/>
          <w:color w:val="000000"/>
          <w:sz w:val="28"/>
          <w:szCs w:val="28"/>
          <w:lang w:eastAsia="ru-RU" w:bidi="ru-RU"/>
        </w:rPr>
        <w:t>46</w:t>
      </w:r>
      <w:r w:rsidR="00E66114">
        <w:rPr>
          <w:rFonts w:ascii="Times New Roman" w:eastAsia="Times New Roman" w:hAnsi="Times New Roman" w:cs="Times New Roman"/>
          <w:color w:val="000000"/>
          <w:sz w:val="28"/>
          <w:szCs w:val="28"/>
          <w:lang w:eastAsia="ru-RU" w:bidi="ru-RU"/>
        </w:rPr>
        <w:t>,7 тыс.</w:t>
      </w:r>
      <w:r w:rsidRPr="00E931CB">
        <w:rPr>
          <w:rFonts w:ascii="Times New Roman" w:eastAsia="Times New Roman" w:hAnsi="Times New Roman" w:cs="Times New Roman"/>
          <w:color w:val="000000"/>
          <w:sz w:val="28"/>
          <w:szCs w:val="28"/>
          <w:lang w:eastAsia="ru-RU" w:bidi="ru-RU"/>
        </w:rPr>
        <w:t xml:space="preserve"> культурных мероприятий.</w:t>
      </w:r>
      <w:r w:rsidR="00E63BB2">
        <w:rPr>
          <w:rFonts w:ascii="Times New Roman" w:eastAsia="Times New Roman" w:hAnsi="Times New Roman" w:cs="Times New Roman"/>
          <w:color w:val="000000"/>
          <w:sz w:val="28"/>
          <w:szCs w:val="28"/>
          <w:lang w:eastAsia="ru-RU" w:bidi="ru-RU"/>
        </w:rPr>
        <w:t xml:space="preserve"> На реализацию программы было направлено 1 399,9 млн рублей.</w:t>
      </w:r>
    </w:p>
    <w:p w14:paraId="6FB806AF" w14:textId="77777777" w:rsidR="00E931CB" w:rsidRPr="00775AA0" w:rsidRDefault="00E931CB" w:rsidP="00E931CB">
      <w:pPr>
        <w:pStyle w:val="Style17"/>
        <w:shd w:val="clear" w:color="auto" w:fill="auto"/>
        <w:spacing w:line="312" w:lineRule="auto"/>
        <w:ind w:firstLine="709"/>
        <w:jc w:val="both"/>
        <w:rPr>
          <w:rFonts w:ascii="Times New Roman" w:hAnsi="Times New Roman" w:cs="Times New Roman"/>
          <w:sz w:val="28"/>
          <w:szCs w:val="28"/>
        </w:rPr>
      </w:pPr>
      <w:r w:rsidRPr="00775AA0">
        <w:rPr>
          <w:rFonts w:ascii="Times New Roman" w:eastAsia="Times New Roman" w:hAnsi="Times New Roman" w:cs="Times New Roman"/>
          <w:color w:val="000000"/>
          <w:sz w:val="28"/>
          <w:szCs w:val="28"/>
          <w:lang w:eastAsia="ru-RU" w:bidi="ru-RU"/>
        </w:rPr>
        <w:t>Важную роль в создании условий для формирования гармонично развитой личности ребенка, просвещении и формировании культурно</w:t>
      </w:r>
      <w:r w:rsidRPr="00775AA0">
        <w:rPr>
          <w:rFonts w:ascii="Times New Roman" w:hAnsi="Times New Roman" w:cs="Times New Roman"/>
          <w:sz w:val="28"/>
          <w:szCs w:val="28"/>
        </w:rPr>
        <w:t>-</w:t>
      </w:r>
      <w:r w:rsidRPr="00775AA0">
        <w:rPr>
          <w:rFonts w:ascii="Times New Roman" w:eastAsia="Times New Roman" w:hAnsi="Times New Roman" w:cs="Times New Roman"/>
          <w:color w:val="000000"/>
          <w:sz w:val="28"/>
          <w:szCs w:val="28"/>
          <w:lang w:eastAsia="ru-RU" w:bidi="ru-RU"/>
        </w:rPr>
        <w:t>образовательного пространства для подрастающего поколения выполняют учреждения культуры.</w:t>
      </w:r>
    </w:p>
    <w:p w14:paraId="01E555CC" w14:textId="77777777" w:rsidR="00E931CB" w:rsidRPr="00E931CB" w:rsidRDefault="00E931CB" w:rsidP="00E931CB">
      <w:pPr>
        <w:pStyle w:val="Style17"/>
        <w:shd w:val="clear" w:color="auto" w:fill="auto"/>
        <w:spacing w:line="312" w:lineRule="auto"/>
        <w:ind w:firstLine="709"/>
        <w:jc w:val="both"/>
        <w:rPr>
          <w:rFonts w:ascii="Times New Roman" w:hAnsi="Times New Roman" w:cs="Times New Roman"/>
          <w:sz w:val="28"/>
          <w:szCs w:val="28"/>
        </w:rPr>
      </w:pPr>
      <w:r w:rsidRPr="00E931CB">
        <w:rPr>
          <w:rFonts w:ascii="Times New Roman" w:eastAsia="Times New Roman" w:hAnsi="Times New Roman" w:cs="Times New Roman"/>
          <w:color w:val="000000"/>
          <w:sz w:val="28"/>
          <w:szCs w:val="28"/>
          <w:lang w:eastAsia="ru-RU" w:bidi="ru-RU"/>
        </w:rPr>
        <w:t>В 2021 г</w:t>
      </w:r>
      <w:r w:rsidR="00BC1649">
        <w:rPr>
          <w:rFonts w:ascii="Times New Roman" w:eastAsia="Times New Roman" w:hAnsi="Times New Roman" w:cs="Times New Roman"/>
          <w:color w:val="000000"/>
          <w:sz w:val="28"/>
          <w:szCs w:val="28"/>
          <w:lang w:eastAsia="ru-RU" w:bidi="ru-RU"/>
        </w:rPr>
        <w:t>.</w:t>
      </w:r>
      <w:r w:rsidRPr="00E931CB">
        <w:rPr>
          <w:rFonts w:ascii="Times New Roman" w:eastAsia="Times New Roman" w:hAnsi="Times New Roman" w:cs="Times New Roman"/>
          <w:color w:val="000000"/>
          <w:sz w:val="28"/>
          <w:szCs w:val="28"/>
          <w:lang w:eastAsia="ru-RU" w:bidi="ru-RU"/>
        </w:rPr>
        <w:t xml:space="preserve"> федеральными и региональными музеями проведено </w:t>
      </w:r>
      <w:r w:rsidR="00033A05">
        <w:rPr>
          <w:rFonts w:ascii="Times New Roman" w:eastAsia="Times New Roman" w:hAnsi="Times New Roman" w:cs="Times New Roman"/>
          <w:color w:val="000000"/>
          <w:sz w:val="28"/>
          <w:szCs w:val="28"/>
          <w:lang w:eastAsia="ru-RU" w:bidi="ru-RU"/>
        </w:rPr>
        <w:br/>
      </w:r>
      <w:r w:rsidRPr="00E931CB">
        <w:rPr>
          <w:rFonts w:ascii="Times New Roman" w:eastAsia="Times New Roman" w:hAnsi="Times New Roman" w:cs="Times New Roman"/>
          <w:color w:val="000000"/>
          <w:sz w:val="28"/>
          <w:szCs w:val="28"/>
          <w:lang w:eastAsia="ru-RU" w:bidi="ru-RU"/>
        </w:rPr>
        <w:t>35 195 экскурсий, лекций, мастер-классов, игровых программ,</w:t>
      </w:r>
      <w:r w:rsidRPr="00E931CB">
        <w:rPr>
          <w:rFonts w:ascii="Times New Roman" w:hAnsi="Times New Roman" w:cs="Times New Roman"/>
          <w:sz w:val="28"/>
          <w:szCs w:val="28"/>
        </w:rPr>
        <w:t xml:space="preserve"> </w:t>
      </w:r>
      <w:r w:rsidRPr="00E931CB">
        <w:rPr>
          <w:rFonts w:ascii="Times New Roman" w:eastAsia="Times New Roman" w:hAnsi="Times New Roman" w:cs="Times New Roman"/>
          <w:color w:val="000000"/>
          <w:sz w:val="28"/>
          <w:szCs w:val="28"/>
          <w:lang w:eastAsia="ru-RU" w:bidi="ru-RU"/>
        </w:rPr>
        <w:t>содействующи</w:t>
      </w:r>
      <w:r w:rsidR="0016435A">
        <w:rPr>
          <w:rFonts w:ascii="Times New Roman" w:eastAsia="Times New Roman" w:hAnsi="Times New Roman" w:cs="Times New Roman"/>
          <w:color w:val="000000"/>
          <w:sz w:val="28"/>
          <w:szCs w:val="28"/>
          <w:lang w:eastAsia="ru-RU" w:bidi="ru-RU"/>
        </w:rPr>
        <w:t>х</w:t>
      </w:r>
      <w:r w:rsidRPr="00E931CB">
        <w:rPr>
          <w:rFonts w:ascii="Times New Roman" w:eastAsia="Times New Roman" w:hAnsi="Times New Roman" w:cs="Times New Roman"/>
          <w:color w:val="000000"/>
          <w:sz w:val="28"/>
          <w:szCs w:val="28"/>
          <w:lang w:eastAsia="ru-RU" w:bidi="ru-RU"/>
        </w:rPr>
        <w:t xml:space="preserve"> объединению семьи, раскрытию творческого потенциала личности ребенка, укреплению авторитета родителей в совместных занятиях с детьми</w:t>
      </w:r>
      <w:r w:rsidR="00775AA0">
        <w:rPr>
          <w:rFonts w:ascii="Times New Roman" w:eastAsia="Times New Roman" w:hAnsi="Times New Roman" w:cs="Times New Roman"/>
          <w:color w:val="000000"/>
          <w:sz w:val="28"/>
          <w:szCs w:val="28"/>
          <w:lang w:eastAsia="ru-RU" w:bidi="ru-RU"/>
        </w:rPr>
        <w:t xml:space="preserve">, </w:t>
      </w:r>
      <w:r w:rsidRPr="00E931CB">
        <w:rPr>
          <w:rFonts w:ascii="Times New Roman" w:eastAsia="Times New Roman" w:hAnsi="Times New Roman" w:cs="Times New Roman"/>
          <w:color w:val="000000"/>
          <w:sz w:val="28"/>
          <w:szCs w:val="28"/>
          <w:lang w:eastAsia="ru-RU" w:bidi="ru-RU"/>
        </w:rPr>
        <w:t>участ</w:t>
      </w:r>
      <w:r w:rsidR="00775AA0">
        <w:rPr>
          <w:rFonts w:ascii="Times New Roman" w:eastAsia="Times New Roman" w:hAnsi="Times New Roman" w:cs="Times New Roman"/>
          <w:color w:val="000000"/>
          <w:sz w:val="28"/>
          <w:szCs w:val="28"/>
          <w:lang w:eastAsia="ru-RU" w:bidi="ru-RU"/>
        </w:rPr>
        <w:t>никами которых стало</w:t>
      </w:r>
      <w:r w:rsidRPr="00E931CB">
        <w:rPr>
          <w:rFonts w:ascii="Times New Roman" w:eastAsia="Times New Roman" w:hAnsi="Times New Roman" w:cs="Times New Roman"/>
          <w:color w:val="000000"/>
          <w:sz w:val="28"/>
          <w:szCs w:val="28"/>
          <w:lang w:eastAsia="ru-RU" w:bidi="ru-RU"/>
        </w:rPr>
        <w:t xml:space="preserve"> более полумиллиона </w:t>
      </w:r>
      <w:r w:rsidR="00775AA0">
        <w:rPr>
          <w:rFonts w:ascii="Times New Roman" w:eastAsia="Times New Roman" w:hAnsi="Times New Roman" w:cs="Times New Roman"/>
          <w:color w:val="000000"/>
          <w:sz w:val="28"/>
          <w:szCs w:val="28"/>
          <w:lang w:eastAsia="ru-RU" w:bidi="ru-RU"/>
        </w:rPr>
        <w:t>человек</w:t>
      </w:r>
      <w:r w:rsidRPr="00E931CB">
        <w:rPr>
          <w:rFonts w:ascii="Times New Roman" w:eastAsia="Times New Roman" w:hAnsi="Times New Roman" w:cs="Times New Roman"/>
          <w:color w:val="000000"/>
          <w:sz w:val="28"/>
          <w:szCs w:val="28"/>
          <w:lang w:eastAsia="ru-RU" w:bidi="ru-RU"/>
        </w:rPr>
        <w:t>.</w:t>
      </w:r>
    </w:p>
    <w:p w14:paraId="56192E14" w14:textId="77777777" w:rsidR="00E931CB" w:rsidRPr="00E931CB" w:rsidRDefault="0016435A" w:rsidP="00E931CB">
      <w:pPr>
        <w:pStyle w:val="Style17"/>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Среди н</w:t>
      </w:r>
      <w:r w:rsidR="00E931CB" w:rsidRPr="00E931CB">
        <w:rPr>
          <w:rFonts w:ascii="Times New Roman" w:eastAsia="Times New Roman" w:hAnsi="Times New Roman" w:cs="Times New Roman"/>
          <w:color w:val="000000"/>
          <w:sz w:val="28"/>
          <w:szCs w:val="28"/>
          <w:lang w:eastAsia="ru-RU" w:bidi="ru-RU"/>
        </w:rPr>
        <w:t>аиболее значимы</w:t>
      </w:r>
      <w:r>
        <w:rPr>
          <w:rFonts w:ascii="Times New Roman" w:eastAsia="Times New Roman" w:hAnsi="Times New Roman" w:cs="Times New Roman"/>
          <w:color w:val="000000"/>
          <w:sz w:val="28"/>
          <w:szCs w:val="28"/>
          <w:lang w:eastAsia="ru-RU" w:bidi="ru-RU"/>
        </w:rPr>
        <w:t>х</w:t>
      </w:r>
      <w:r w:rsidR="00E931CB" w:rsidRPr="00E931CB">
        <w:rPr>
          <w:rFonts w:ascii="Times New Roman" w:eastAsia="Times New Roman" w:hAnsi="Times New Roman" w:cs="Times New Roman"/>
          <w:color w:val="000000"/>
          <w:sz w:val="28"/>
          <w:szCs w:val="28"/>
          <w:lang w:eastAsia="ru-RU" w:bidi="ru-RU"/>
        </w:rPr>
        <w:t xml:space="preserve"> программ, реализуемы</w:t>
      </w:r>
      <w:r>
        <w:rPr>
          <w:rFonts w:ascii="Times New Roman" w:eastAsia="Times New Roman" w:hAnsi="Times New Roman" w:cs="Times New Roman"/>
          <w:color w:val="000000"/>
          <w:sz w:val="28"/>
          <w:szCs w:val="28"/>
          <w:lang w:eastAsia="ru-RU" w:bidi="ru-RU"/>
        </w:rPr>
        <w:t>х</w:t>
      </w:r>
      <w:r w:rsidR="00E931CB" w:rsidRPr="00E931CB">
        <w:rPr>
          <w:rFonts w:ascii="Times New Roman" w:eastAsia="Times New Roman" w:hAnsi="Times New Roman" w:cs="Times New Roman"/>
          <w:color w:val="000000"/>
          <w:sz w:val="28"/>
          <w:szCs w:val="28"/>
          <w:lang w:eastAsia="ru-RU" w:bidi="ru-RU"/>
        </w:rPr>
        <w:t xml:space="preserve"> федеральными музеями, для детей и подростков в 2021 г</w:t>
      </w:r>
      <w:r w:rsidR="00BC1649">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 xml:space="preserve"> можно отметить:</w:t>
      </w:r>
    </w:p>
    <w:p w14:paraId="1F098D3C" w14:textId="77777777" w:rsidR="0016435A" w:rsidRDefault="0016435A" w:rsidP="00E931CB">
      <w:pPr>
        <w:pStyle w:val="Style17"/>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E931CB">
        <w:rPr>
          <w:rFonts w:ascii="Times New Roman" w:eastAsia="Times New Roman" w:hAnsi="Times New Roman" w:cs="Times New Roman"/>
          <w:color w:val="000000"/>
          <w:sz w:val="28"/>
          <w:szCs w:val="28"/>
          <w:lang w:eastAsia="ru-RU" w:bidi="ru-RU"/>
        </w:rPr>
        <w:t>Художественный фестиваль «Арт-осень»</w:t>
      </w:r>
      <w:r>
        <w:rPr>
          <w:rFonts w:ascii="Times New Roman" w:eastAsia="Times New Roman" w:hAnsi="Times New Roman" w:cs="Times New Roman"/>
          <w:color w:val="000000"/>
          <w:sz w:val="28"/>
          <w:szCs w:val="28"/>
          <w:lang w:eastAsia="ru-RU" w:bidi="ru-RU"/>
        </w:rPr>
        <w:t>, проведенный Г</w:t>
      </w:r>
      <w:r w:rsidR="00E931CB" w:rsidRPr="00E931CB">
        <w:rPr>
          <w:rFonts w:ascii="Times New Roman" w:eastAsia="Times New Roman" w:hAnsi="Times New Roman" w:cs="Times New Roman"/>
          <w:color w:val="000000"/>
          <w:sz w:val="28"/>
          <w:szCs w:val="28"/>
          <w:lang w:eastAsia="ru-RU" w:bidi="ru-RU"/>
        </w:rPr>
        <w:t>осударственны</w:t>
      </w:r>
      <w:r>
        <w:rPr>
          <w:rFonts w:ascii="Times New Roman" w:eastAsia="Times New Roman" w:hAnsi="Times New Roman" w:cs="Times New Roman"/>
          <w:color w:val="000000"/>
          <w:sz w:val="28"/>
          <w:szCs w:val="28"/>
          <w:lang w:eastAsia="ru-RU" w:bidi="ru-RU"/>
        </w:rPr>
        <w:t>м</w:t>
      </w:r>
      <w:r w:rsidR="00E931CB" w:rsidRPr="00E931CB">
        <w:rPr>
          <w:rFonts w:ascii="Times New Roman" w:eastAsia="Times New Roman" w:hAnsi="Times New Roman" w:cs="Times New Roman"/>
          <w:color w:val="000000"/>
          <w:sz w:val="28"/>
          <w:szCs w:val="28"/>
          <w:lang w:eastAsia="ru-RU" w:bidi="ru-RU"/>
        </w:rPr>
        <w:t xml:space="preserve"> историко-археологический музей-за</w:t>
      </w:r>
      <w:r>
        <w:rPr>
          <w:rFonts w:ascii="Times New Roman" w:eastAsia="Times New Roman" w:hAnsi="Times New Roman" w:cs="Times New Roman"/>
          <w:color w:val="000000"/>
          <w:sz w:val="28"/>
          <w:szCs w:val="28"/>
          <w:lang w:eastAsia="ru-RU" w:bidi="ru-RU"/>
        </w:rPr>
        <w:t>поведник «Херсонес Таврический»;</w:t>
      </w:r>
    </w:p>
    <w:p w14:paraId="4C7C0AB7" w14:textId="77777777" w:rsidR="0016435A" w:rsidRDefault="00E931CB" w:rsidP="00E931CB">
      <w:pPr>
        <w:pStyle w:val="Style17"/>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E931CB">
        <w:rPr>
          <w:rFonts w:ascii="Times New Roman" w:eastAsia="Times New Roman" w:hAnsi="Times New Roman" w:cs="Times New Roman"/>
          <w:color w:val="000000"/>
          <w:sz w:val="28"/>
          <w:szCs w:val="28"/>
          <w:lang w:eastAsia="ru-RU" w:bidi="ru-RU"/>
        </w:rPr>
        <w:t>Программ</w:t>
      </w:r>
      <w:r w:rsidR="005C6D04">
        <w:rPr>
          <w:rFonts w:ascii="Times New Roman" w:eastAsia="Times New Roman" w:hAnsi="Times New Roman" w:cs="Times New Roman"/>
          <w:color w:val="000000"/>
          <w:sz w:val="28"/>
          <w:szCs w:val="28"/>
          <w:lang w:eastAsia="ru-RU" w:bidi="ru-RU"/>
        </w:rPr>
        <w:t>у</w:t>
      </w:r>
      <w:r w:rsidRPr="00E931CB">
        <w:rPr>
          <w:rFonts w:ascii="Times New Roman" w:eastAsia="Times New Roman" w:hAnsi="Times New Roman" w:cs="Times New Roman"/>
          <w:color w:val="000000"/>
          <w:sz w:val="28"/>
          <w:szCs w:val="28"/>
          <w:lang w:eastAsia="ru-RU" w:bidi="ru-RU"/>
        </w:rPr>
        <w:t xml:space="preserve"> «Наш Эрмитаж» (автор Л.Я. Шостак)</w:t>
      </w:r>
      <w:r w:rsidR="0016435A">
        <w:rPr>
          <w:rFonts w:ascii="Times New Roman" w:eastAsia="Times New Roman" w:hAnsi="Times New Roman" w:cs="Times New Roman"/>
          <w:color w:val="000000"/>
          <w:sz w:val="28"/>
          <w:szCs w:val="28"/>
          <w:lang w:eastAsia="ru-RU" w:bidi="ru-RU"/>
        </w:rPr>
        <w:t>,</w:t>
      </w:r>
      <w:r w:rsidRPr="00E931CB">
        <w:rPr>
          <w:rFonts w:ascii="Times New Roman" w:eastAsia="Times New Roman" w:hAnsi="Times New Roman" w:cs="Times New Roman"/>
          <w:color w:val="000000"/>
          <w:sz w:val="28"/>
          <w:szCs w:val="28"/>
          <w:lang w:eastAsia="ru-RU" w:bidi="ru-RU"/>
        </w:rPr>
        <w:t xml:space="preserve"> адресован</w:t>
      </w:r>
      <w:r w:rsidR="0016435A">
        <w:rPr>
          <w:rFonts w:ascii="Times New Roman" w:eastAsia="Times New Roman" w:hAnsi="Times New Roman" w:cs="Times New Roman"/>
          <w:color w:val="000000"/>
          <w:sz w:val="28"/>
          <w:szCs w:val="28"/>
          <w:lang w:eastAsia="ru-RU" w:bidi="ru-RU"/>
        </w:rPr>
        <w:t>н</w:t>
      </w:r>
      <w:r w:rsidR="00DB1DF8">
        <w:rPr>
          <w:rFonts w:ascii="Times New Roman" w:eastAsia="Times New Roman" w:hAnsi="Times New Roman" w:cs="Times New Roman"/>
          <w:color w:val="000000"/>
          <w:sz w:val="28"/>
          <w:szCs w:val="28"/>
          <w:lang w:eastAsia="ru-RU" w:bidi="ru-RU"/>
        </w:rPr>
        <w:t>ую</w:t>
      </w:r>
      <w:r w:rsidRPr="00E931CB">
        <w:rPr>
          <w:rFonts w:ascii="Times New Roman" w:eastAsia="Times New Roman" w:hAnsi="Times New Roman" w:cs="Times New Roman"/>
          <w:color w:val="000000"/>
          <w:sz w:val="28"/>
          <w:szCs w:val="28"/>
          <w:lang w:eastAsia="ru-RU" w:bidi="ru-RU"/>
        </w:rPr>
        <w:t xml:space="preserve"> педагогам, педагогам-психологам, </w:t>
      </w:r>
      <w:proofErr w:type="spellStart"/>
      <w:r w:rsidRPr="00E931CB">
        <w:rPr>
          <w:rFonts w:ascii="Times New Roman" w:eastAsia="Times New Roman" w:hAnsi="Times New Roman" w:cs="Times New Roman"/>
          <w:color w:val="000000"/>
          <w:sz w:val="28"/>
          <w:szCs w:val="28"/>
          <w:lang w:eastAsia="ru-RU" w:bidi="ru-RU"/>
        </w:rPr>
        <w:t>тьюторам</w:t>
      </w:r>
      <w:proofErr w:type="spellEnd"/>
      <w:r w:rsidRPr="00E931CB">
        <w:rPr>
          <w:rFonts w:ascii="Times New Roman" w:eastAsia="Times New Roman" w:hAnsi="Times New Roman" w:cs="Times New Roman"/>
          <w:color w:val="000000"/>
          <w:sz w:val="28"/>
          <w:szCs w:val="28"/>
          <w:lang w:eastAsia="ru-RU" w:bidi="ru-RU"/>
        </w:rPr>
        <w:t xml:space="preserve">, </w:t>
      </w:r>
      <w:r w:rsidR="0016435A">
        <w:rPr>
          <w:rFonts w:ascii="Times New Roman" w:eastAsia="Times New Roman" w:hAnsi="Times New Roman" w:cs="Times New Roman"/>
          <w:color w:val="000000"/>
          <w:sz w:val="28"/>
          <w:szCs w:val="28"/>
          <w:lang w:eastAsia="ru-RU" w:bidi="ru-RU"/>
        </w:rPr>
        <w:t>работающим</w:t>
      </w:r>
      <w:r w:rsidRPr="00E931CB">
        <w:rPr>
          <w:rFonts w:ascii="Times New Roman" w:eastAsia="Times New Roman" w:hAnsi="Times New Roman" w:cs="Times New Roman"/>
          <w:color w:val="000000"/>
          <w:sz w:val="28"/>
          <w:szCs w:val="28"/>
          <w:lang w:eastAsia="ru-RU" w:bidi="ru-RU"/>
        </w:rPr>
        <w:t xml:space="preserve"> с детьми с ОВЗ, обучающимися</w:t>
      </w:r>
      <w:r w:rsidR="005C6D04">
        <w:rPr>
          <w:rFonts w:ascii="Times New Roman" w:eastAsia="Times New Roman" w:hAnsi="Times New Roman" w:cs="Times New Roman"/>
          <w:color w:val="000000"/>
          <w:sz w:val="28"/>
          <w:szCs w:val="28"/>
          <w:lang w:eastAsia="ru-RU" w:bidi="ru-RU"/>
        </w:rPr>
        <w:t xml:space="preserve"> на разных уровнях образования;</w:t>
      </w:r>
    </w:p>
    <w:p w14:paraId="4DB3F91A" w14:textId="26E288E2" w:rsidR="00E931CB" w:rsidRPr="00E931CB" w:rsidRDefault="005C6D04" w:rsidP="00E931CB">
      <w:pPr>
        <w:pStyle w:val="Style17"/>
        <w:shd w:val="clear" w:color="auto" w:fill="auto"/>
        <w:spacing w:line="312" w:lineRule="auto"/>
        <w:ind w:firstLine="709"/>
        <w:jc w:val="both"/>
        <w:rPr>
          <w:rFonts w:ascii="Times New Roman" w:hAnsi="Times New Roman" w:cs="Times New Roman"/>
          <w:sz w:val="28"/>
          <w:szCs w:val="28"/>
        </w:rPr>
      </w:pPr>
      <w:r w:rsidRPr="00E931CB">
        <w:rPr>
          <w:rFonts w:ascii="Times New Roman" w:eastAsia="Times New Roman" w:hAnsi="Times New Roman" w:cs="Times New Roman"/>
          <w:color w:val="000000"/>
          <w:sz w:val="28"/>
          <w:szCs w:val="28"/>
          <w:lang w:eastAsia="ru-RU" w:bidi="ru-RU"/>
        </w:rPr>
        <w:t>Всероссийск</w:t>
      </w:r>
      <w:r>
        <w:rPr>
          <w:rFonts w:ascii="Times New Roman" w:eastAsia="Times New Roman" w:hAnsi="Times New Roman" w:cs="Times New Roman"/>
          <w:color w:val="000000"/>
          <w:sz w:val="28"/>
          <w:szCs w:val="28"/>
          <w:lang w:eastAsia="ru-RU" w:bidi="ru-RU"/>
        </w:rPr>
        <w:t>ую</w:t>
      </w:r>
      <w:r w:rsidRPr="00E931CB">
        <w:rPr>
          <w:rFonts w:ascii="Times New Roman" w:eastAsia="Times New Roman" w:hAnsi="Times New Roman" w:cs="Times New Roman"/>
          <w:color w:val="000000"/>
          <w:sz w:val="28"/>
          <w:szCs w:val="28"/>
          <w:lang w:eastAsia="ru-RU" w:bidi="ru-RU"/>
        </w:rPr>
        <w:t xml:space="preserve"> военно-патриотическ</w:t>
      </w:r>
      <w:r>
        <w:rPr>
          <w:rFonts w:ascii="Times New Roman" w:eastAsia="Times New Roman" w:hAnsi="Times New Roman" w:cs="Times New Roman"/>
          <w:color w:val="000000"/>
          <w:sz w:val="28"/>
          <w:szCs w:val="28"/>
          <w:lang w:eastAsia="ru-RU" w:bidi="ru-RU"/>
        </w:rPr>
        <w:t>ую</w:t>
      </w:r>
      <w:r w:rsidRPr="00E931CB">
        <w:rPr>
          <w:rFonts w:ascii="Times New Roman" w:eastAsia="Times New Roman" w:hAnsi="Times New Roman" w:cs="Times New Roman"/>
          <w:color w:val="000000"/>
          <w:sz w:val="28"/>
          <w:szCs w:val="28"/>
          <w:lang w:eastAsia="ru-RU" w:bidi="ru-RU"/>
        </w:rPr>
        <w:t xml:space="preserve"> программ</w:t>
      </w:r>
      <w:r>
        <w:rPr>
          <w:rFonts w:ascii="Times New Roman" w:eastAsia="Times New Roman" w:hAnsi="Times New Roman" w:cs="Times New Roman"/>
          <w:color w:val="000000"/>
          <w:sz w:val="28"/>
          <w:szCs w:val="28"/>
          <w:lang w:eastAsia="ru-RU" w:bidi="ru-RU"/>
        </w:rPr>
        <w:t>у</w:t>
      </w:r>
      <w:r w:rsidRPr="00E931CB">
        <w:rPr>
          <w:rFonts w:ascii="Times New Roman" w:eastAsia="Times New Roman" w:hAnsi="Times New Roman" w:cs="Times New Roman"/>
          <w:color w:val="000000"/>
          <w:sz w:val="28"/>
          <w:szCs w:val="28"/>
          <w:lang w:eastAsia="ru-RU" w:bidi="ru-RU"/>
        </w:rPr>
        <w:t xml:space="preserve"> «Дороги Победы»</w:t>
      </w:r>
      <w:r w:rsidR="00F91D28">
        <w:rPr>
          <w:rFonts w:ascii="Times New Roman" w:eastAsia="Times New Roman" w:hAnsi="Times New Roman" w:cs="Times New Roman"/>
          <w:color w:val="000000"/>
          <w:sz w:val="28"/>
          <w:szCs w:val="28"/>
          <w:lang w:eastAsia="ru-RU" w:bidi="ru-RU"/>
        </w:rPr>
        <w:t xml:space="preserve">, участие в которой приняли </w:t>
      </w:r>
      <w:r w:rsidR="00E931CB" w:rsidRPr="00E931CB">
        <w:rPr>
          <w:rFonts w:ascii="Times New Roman" w:eastAsia="Times New Roman" w:hAnsi="Times New Roman" w:cs="Times New Roman"/>
          <w:color w:val="000000"/>
          <w:sz w:val="28"/>
          <w:szCs w:val="28"/>
          <w:lang w:eastAsia="ru-RU" w:bidi="ru-RU"/>
        </w:rPr>
        <w:t>АНО «Агентств</w:t>
      </w:r>
      <w:r w:rsidR="00F91D28">
        <w:rPr>
          <w:rFonts w:ascii="Times New Roman" w:eastAsia="Times New Roman" w:hAnsi="Times New Roman" w:cs="Times New Roman"/>
          <w:color w:val="000000"/>
          <w:sz w:val="28"/>
          <w:szCs w:val="28"/>
          <w:lang w:eastAsia="ru-RU" w:bidi="ru-RU"/>
        </w:rPr>
        <w:t xml:space="preserve">о развития внутреннего туризма», </w:t>
      </w:r>
      <w:r w:rsidR="00E931CB" w:rsidRPr="00E931CB">
        <w:rPr>
          <w:rFonts w:ascii="Times New Roman" w:eastAsia="Times New Roman" w:hAnsi="Times New Roman" w:cs="Times New Roman"/>
          <w:color w:val="000000"/>
          <w:sz w:val="28"/>
          <w:szCs w:val="28"/>
          <w:lang w:eastAsia="ru-RU" w:bidi="ru-RU"/>
        </w:rPr>
        <w:t xml:space="preserve">Государственный музей </w:t>
      </w:r>
      <w:r w:rsidR="00AC394B">
        <w:rPr>
          <w:rFonts w:ascii="Times New Roman" w:eastAsia="Times New Roman" w:hAnsi="Times New Roman" w:cs="Times New Roman"/>
          <w:color w:val="000000"/>
          <w:sz w:val="28"/>
          <w:szCs w:val="28"/>
          <w:lang w:bidi="en-US"/>
        </w:rPr>
        <w:t>Л</w:t>
      </w:r>
      <w:r w:rsidR="00E931CB" w:rsidRPr="00E931CB">
        <w:rPr>
          <w:rFonts w:ascii="Times New Roman" w:eastAsia="Times New Roman" w:hAnsi="Times New Roman" w:cs="Times New Roman"/>
          <w:color w:val="000000"/>
          <w:sz w:val="28"/>
          <w:szCs w:val="28"/>
          <w:lang w:bidi="en-US"/>
        </w:rPr>
        <w:t>.</w:t>
      </w:r>
      <w:r w:rsidR="00AC394B">
        <w:rPr>
          <w:rFonts w:ascii="Times New Roman" w:eastAsia="Times New Roman" w:hAnsi="Times New Roman" w:cs="Times New Roman"/>
          <w:color w:val="000000"/>
          <w:sz w:val="28"/>
          <w:szCs w:val="28"/>
          <w:lang w:bidi="en-US"/>
        </w:rPr>
        <w:t>Н</w:t>
      </w:r>
      <w:r w:rsidR="00E931CB" w:rsidRPr="00E931CB">
        <w:rPr>
          <w:rFonts w:ascii="Times New Roman" w:eastAsia="Times New Roman" w:hAnsi="Times New Roman" w:cs="Times New Roman"/>
          <w:color w:val="000000"/>
          <w:sz w:val="28"/>
          <w:szCs w:val="28"/>
          <w:lang w:bidi="en-US"/>
        </w:rPr>
        <w:t xml:space="preserve">. </w:t>
      </w:r>
      <w:r w:rsidR="00E931CB" w:rsidRPr="00E931CB">
        <w:rPr>
          <w:rFonts w:ascii="Times New Roman" w:eastAsia="Times New Roman" w:hAnsi="Times New Roman" w:cs="Times New Roman"/>
          <w:color w:val="000000"/>
          <w:sz w:val="28"/>
          <w:szCs w:val="28"/>
          <w:lang w:eastAsia="ru-RU" w:bidi="ru-RU"/>
        </w:rPr>
        <w:t xml:space="preserve">Толстого </w:t>
      </w:r>
      <w:r w:rsidR="00F91D28">
        <w:rPr>
          <w:rFonts w:ascii="Times New Roman" w:eastAsia="Times New Roman" w:hAnsi="Times New Roman" w:cs="Times New Roman"/>
          <w:color w:val="000000"/>
          <w:sz w:val="28"/>
          <w:szCs w:val="28"/>
          <w:lang w:eastAsia="ru-RU" w:bidi="ru-RU"/>
        </w:rPr>
        <w:t>«</w:t>
      </w:r>
      <w:r w:rsidR="00E931CB" w:rsidRPr="00E931CB">
        <w:rPr>
          <w:rFonts w:ascii="Times New Roman" w:eastAsia="Times New Roman" w:hAnsi="Times New Roman" w:cs="Times New Roman"/>
          <w:color w:val="000000"/>
          <w:sz w:val="28"/>
          <w:szCs w:val="28"/>
          <w:lang w:eastAsia="ru-RU" w:bidi="ru-RU"/>
        </w:rPr>
        <w:t xml:space="preserve">Усадьба </w:t>
      </w:r>
      <w:r w:rsidR="00F95848">
        <w:rPr>
          <w:rFonts w:ascii="Times New Roman" w:eastAsia="Times New Roman" w:hAnsi="Times New Roman" w:cs="Times New Roman"/>
          <w:color w:val="000000"/>
          <w:sz w:val="28"/>
          <w:szCs w:val="28"/>
          <w:lang w:bidi="en-US"/>
        </w:rPr>
        <w:t>Л</w:t>
      </w:r>
      <w:r w:rsidR="00E931CB" w:rsidRPr="00E931CB">
        <w:rPr>
          <w:rFonts w:ascii="Times New Roman" w:eastAsia="Times New Roman" w:hAnsi="Times New Roman" w:cs="Times New Roman"/>
          <w:color w:val="000000"/>
          <w:sz w:val="28"/>
          <w:szCs w:val="28"/>
          <w:lang w:bidi="en-US"/>
        </w:rPr>
        <w:t>.</w:t>
      </w:r>
      <w:r w:rsidR="00E931CB" w:rsidRPr="00E931CB">
        <w:rPr>
          <w:rFonts w:ascii="Times New Roman" w:eastAsia="Times New Roman" w:hAnsi="Times New Roman" w:cs="Times New Roman"/>
          <w:color w:val="000000"/>
          <w:sz w:val="28"/>
          <w:szCs w:val="28"/>
          <w:lang w:val="en-US" w:bidi="en-US"/>
        </w:rPr>
        <w:t>H</w:t>
      </w:r>
      <w:r w:rsidR="00E931CB" w:rsidRPr="00E931CB">
        <w:rPr>
          <w:rFonts w:ascii="Times New Roman" w:eastAsia="Times New Roman" w:hAnsi="Times New Roman" w:cs="Times New Roman"/>
          <w:color w:val="000000"/>
          <w:sz w:val="28"/>
          <w:szCs w:val="28"/>
          <w:lang w:bidi="en-US"/>
        </w:rPr>
        <w:t xml:space="preserve">. </w:t>
      </w:r>
      <w:r w:rsidR="00E931CB" w:rsidRPr="00E931CB">
        <w:rPr>
          <w:rFonts w:ascii="Times New Roman" w:eastAsia="Times New Roman" w:hAnsi="Times New Roman" w:cs="Times New Roman"/>
          <w:color w:val="000000"/>
          <w:sz w:val="28"/>
          <w:szCs w:val="28"/>
          <w:lang w:eastAsia="ru-RU" w:bidi="ru-RU"/>
        </w:rPr>
        <w:t>Толстого</w:t>
      </w:r>
      <w:r w:rsidR="00F91D28">
        <w:rPr>
          <w:rFonts w:ascii="Times New Roman" w:eastAsia="Times New Roman" w:hAnsi="Times New Roman" w:cs="Times New Roman"/>
          <w:color w:val="000000"/>
          <w:sz w:val="28"/>
          <w:szCs w:val="28"/>
          <w:lang w:eastAsia="ru-RU" w:bidi="ru-RU"/>
        </w:rPr>
        <w:t>»</w:t>
      </w:r>
      <w:r w:rsidR="00E931CB" w:rsidRPr="00E931CB">
        <w:rPr>
          <w:rFonts w:ascii="Times New Roman" w:eastAsia="Times New Roman" w:hAnsi="Times New Roman" w:cs="Times New Roman"/>
          <w:color w:val="000000"/>
          <w:sz w:val="28"/>
          <w:szCs w:val="28"/>
          <w:lang w:eastAsia="ru-RU" w:bidi="ru-RU"/>
        </w:rPr>
        <w:t xml:space="preserve">, Тульский государственный музей оружия, Центральный музей древнерусской культуры и искусства имени Андрея Рублева, Государственный центральный театральный музей имени А.А. Бахрушина, Государственный центральный музей кино, </w:t>
      </w:r>
      <w:r w:rsidR="00B62814">
        <w:rPr>
          <w:rFonts w:ascii="Times New Roman" w:eastAsia="Times New Roman" w:hAnsi="Times New Roman" w:cs="Times New Roman"/>
          <w:color w:val="000000"/>
          <w:sz w:val="28"/>
          <w:szCs w:val="28"/>
          <w:lang w:eastAsia="ru-RU" w:bidi="ru-RU"/>
        </w:rPr>
        <w:br/>
      </w:r>
      <w:r w:rsidR="00E931CB" w:rsidRPr="00E931CB">
        <w:rPr>
          <w:rFonts w:ascii="Times New Roman" w:eastAsia="Times New Roman" w:hAnsi="Times New Roman" w:cs="Times New Roman"/>
          <w:color w:val="000000"/>
          <w:sz w:val="28"/>
          <w:szCs w:val="28"/>
          <w:lang w:eastAsia="ru-RU" w:bidi="ru-RU"/>
        </w:rPr>
        <w:t>Музей-заповедник «Бородинское поле», музей-заповедник «Куликово поле», Центральный музей Великой Отечественной войны 1941-1945 гг., Государственный центральный музей современной истории России, Гос</w:t>
      </w:r>
      <w:r w:rsidR="00F91D28">
        <w:rPr>
          <w:rFonts w:ascii="Times New Roman" w:eastAsia="Times New Roman" w:hAnsi="Times New Roman" w:cs="Times New Roman"/>
          <w:color w:val="000000"/>
          <w:sz w:val="28"/>
          <w:szCs w:val="28"/>
          <w:lang w:eastAsia="ru-RU" w:bidi="ru-RU"/>
        </w:rPr>
        <w:t>ударственный исторический музей;</w:t>
      </w:r>
    </w:p>
    <w:p w14:paraId="0C68467F" w14:textId="77777777" w:rsidR="00E931CB" w:rsidRDefault="00F91D28" w:rsidP="00E931CB">
      <w:pPr>
        <w:pStyle w:val="Style17"/>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E931CB">
        <w:rPr>
          <w:rFonts w:ascii="Times New Roman" w:eastAsia="Times New Roman" w:hAnsi="Times New Roman" w:cs="Times New Roman"/>
          <w:color w:val="000000"/>
          <w:sz w:val="28"/>
          <w:szCs w:val="28"/>
          <w:lang w:eastAsia="ru-RU" w:bidi="ru-RU"/>
        </w:rPr>
        <w:t>Олимпиад</w:t>
      </w:r>
      <w:r>
        <w:rPr>
          <w:rFonts w:ascii="Times New Roman" w:eastAsia="Times New Roman" w:hAnsi="Times New Roman" w:cs="Times New Roman"/>
          <w:color w:val="000000"/>
          <w:sz w:val="28"/>
          <w:szCs w:val="28"/>
          <w:lang w:eastAsia="ru-RU" w:bidi="ru-RU"/>
        </w:rPr>
        <w:t>у</w:t>
      </w:r>
      <w:r w:rsidRPr="00E931CB">
        <w:rPr>
          <w:rFonts w:ascii="Times New Roman" w:eastAsia="Times New Roman" w:hAnsi="Times New Roman" w:cs="Times New Roman"/>
          <w:color w:val="000000"/>
          <w:sz w:val="28"/>
          <w:szCs w:val="28"/>
          <w:lang w:eastAsia="ru-RU" w:bidi="ru-RU"/>
        </w:rPr>
        <w:t xml:space="preserve"> «Музеи. Парки. Усадьбы»</w:t>
      </w:r>
      <w:r>
        <w:rPr>
          <w:rFonts w:ascii="Times New Roman" w:eastAsia="Times New Roman" w:hAnsi="Times New Roman" w:cs="Times New Roman"/>
          <w:color w:val="000000"/>
          <w:sz w:val="28"/>
          <w:szCs w:val="28"/>
          <w:lang w:eastAsia="ru-RU" w:bidi="ru-RU"/>
        </w:rPr>
        <w:t>,</w:t>
      </w:r>
      <w:r w:rsidRPr="00E931CB">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п</w:t>
      </w:r>
      <w:r w:rsidR="00E931CB" w:rsidRPr="00E931CB">
        <w:rPr>
          <w:rFonts w:ascii="Times New Roman" w:eastAsia="Times New Roman" w:hAnsi="Times New Roman" w:cs="Times New Roman"/>
          <w:color w:val="000000"/>
          <w:sz w:val="28"/>
          <w:szCs w:val="28"/>
          <w:lang w:eastAsia="ru-RU" w:bidi="ru-RU"/>
        </w:rPr>
        <w:t xml:space="preserve">лощадками для проведения </w:t>
      </w:r>
      <w:r>
        <w:rPr>
          <w:rFonts w:ascii="Times New Roman" w:eastAsia="Times New Roman" w:hAnsi="Times New Roman" w:cs="Times New Roman"/>
          <w:color w:val="000000"/>
          <w:sz w:val="28"/>
          <w:szCs w:val="28"/>
          <w:lang w:eastAsia="ru-RU" w:bidi="ru-RU"/>
        </w:rPr>
        <w:t xml:space="preserve">которой </w:t>
      </w:r>
      <w:r w:rsidR="00E931CB" w:rsidRPr="00E931CB">
        <w:rPr>
          <w:rFonts w:ascii="Times New Roman" w:eastAsia="Times New Roman" w:hAnsi="Times New Roman" w:cs="Times New Roman"/>
          <w:color w:val="000000"/>
          <w:sz w:val="28"/>
          <w:szCs w:val="28"/>
          <w:lang w:eastAsia="ru-RU" w:bidi="ru-RU"/>
        </w:rPr>
        <w:t xml:space="preserve">стали Государственный музей Востока, Всероссийский музей </w:t>
      </w:r>
      <w:proofErr w:type="spellStart"/>
      <w:r w:rsidR="00E931CB" w:rsidRPr="00E931CB">
        <w:rPr>
          <w:rFonts w:ascii="Times New Roman" w:eastAsia="Times New Roman" w:hAnsi="Times New Roman" w:cs="Times New Roman"/>
          <w:color w:val="000000"/>
          <w:sz w:val="28"/>
          <w:szCs w:val="28"/>
          <w:lang w:eastAsia="ru-RU" w:bidi="ru-RU"/>
        </w:rPr>
        <w:t>декоративно</w:t>
      </w:r>
      <w:r w:rsidR="00E931CB" w:rsidRPr="00E931CB">
        <w:rPr>
          <w:rFonts w:ascii="Times New Roman" w:eastAsia="Times New Roman" w:hAnsi="Times New Roman" w:cs="Times New Roman"/>
          <w:color w:val="000000"/>
          <w:sz w:val="28"/>
          <w:szCs w:val="28"/>
          <w:lang w:eastAsia="ru-RU" w:bidi="ru-RU"/>
        </w:rPr>
        <w:softHyphen/>
        <w:t>прикладного</w:t>
      </w:r>
      <w:proofErr w:type="spellEnd"/>
      <w:r w:rsidR="00E931CB" w:rsidRPr="00E931CB">
        <w:rPr>
          <w:rFonts w:ascii="Times New Roman" w:eastAsia="Times New Roman" w:hAnsi="Times New Roman" w:cs="Times New Roman"/>
          <w:color w:val="000000"/>
          <w:sz w:val="28"/>
          <w:szCs w:val="28"/>
          <w:lang w:eastAsia="ru-RU" w:bidi="ru-RU"/>
        </w:rPr>
        <w:t xml:space="preserve"> и народного искусства, музей-заповедник </w:t>
      </w:r>
      <w:r>
        <w:rPr>
          <w:rFonts w:ascii="Times New Roman" w:eastAsia="Times New Roman" w:hAnsi="Times New Roman" w:cs="Times New Roman"/>
          <w:color w:val="000000"/>
          <w:sz w:val="28"/>
          <w:szCs w:val="28"/>
          <w:lang w:eastAsia="ru-RU" w:bidi="ru-RU"/>
        </w:rPr>
        <w:t>«</w:t>
      </w:r>
      <w:r w:rsidR="00E931CB" w:rsidRPr="00E931CB">
        <w:rPr>
          <w:rFonts w:ascii="Times New Roman" w:eastAsia="Times New Roman" w:hAnsi="Times New Roman" w:cs="Times New Roman"/>
          <w:color w:val="000000"/>
          <w:sz w:val="28"/>
          <w:szCs w:val="28"/>
          <w:lang w:eastAsia="ru-RU" w:bidi="ru-RU"/>
        </w:rPr>
        <w:t>Горки Ленинские</w:t>
      </w:r>
      <w:r>
        <w:rPr>
          <w:rFonts w:ascii="Times New Roman" w:eastAsia="Times New Roman" w:hAnsi="Times New Roman" w:cs="Times New Roman"/>
          <w:color w:val="000000"/>
          <w:sz w:val="28"/>
          <w:szCs w:val="28"/>
          <w:lang w:eastAsia="ru-RU" w:bidi="ru-RU"/>
        </w:rPr>
        <w:t>»</w:t>
      </w:r>
      <w:r w:rsidR="00E931CB" w:rsidRPr="00E931CB">
        <w:rPr>
          <w:rFonts w:ascii="Times New Roman" w:eastAsia="Times New Roman" w:hAnsi="Times New Roman" w:cs="Times New Roman"/>
          <w:color w:val="000000"/>
          <w:sz w:val="28"/>
          <w:szCs w:val="28"/>
          <w:lang w:eastAsia="ru-RU" w:bidi="ru-RU"/>
        </w:rPr>
        <w:t xml:space="preserve">, Центральный музей древнерусской культуры и искусства имени Андрея Рублева, Государственный музей кино, Музей МХАТ, Музей современной истории России, Музей-усадьба </w:t>
      </w:r>
      <w:proofErr w:type="spellStart"/>
      <w:r w:rsidR="00E931CB" w:rsidRPr="00E931CB">
        <w:rPr>
          <w:rFonts w:ascii="Times New Roman" w:eastAsia="Times New Roman" w:hAnsi="Times New Roman" w:cs="Times New Roman"/>
          <w:color w:val="000000"/>
          <w:sz w:val="28"/>
          <w:szCs w:val="28"/>
          <w:lang w:eastAsia="ru-RU" w:bidi="ru-RU"/>
        </w:rPr>
        <w:t>Остафьево</w:t>
      </w:r>
      <w:proofErr w:type="spellEnd"/>
      <w:r w:rsidR="00E931CB" w:rsidRPr="00E931CB">
        <w:rPr>
          <w:rFonts w:ascii="Times New Roman" w:eastAsia="Times New Roman" w:hAnsi="Times New Roman" w:cs="Times New Roman"/>
          <w:color w:val="000000"/>
          <w:sz w:val="28"/>
          <w:szCs w:val="28"/>
          <w:lang w:eastAsia="ru-RU" w:bidi="ru-RU"/>
        </w:rPr>
        <w:t xml:space="preserve">, ФГБУК </w:t>
      </w:r>
      <w:r>
        <w:rPr>
          <w:rFonts w:ascii="Times New Roman" w:eastAsia="Times New Roman" w:hAnsi="Times New Roman" w:cs="Times New Roman"/>
          <w:color w:val="000000"/>
          <w:sz w:val="28"/>
          <w:szCs w:val="28"/>
          <w:lang w:eastAsia="ru-RU" w:bidi="ru-RU"/>
        </w:rPr>
        <w:t>«</w:t>
      </w:r>
      <w:r w:rsidR="00E931CB" w:rsidRPr="00E931CB">
        <w:rPr>
          <w:rFonts w:ascii="Times New Roman" w:eastAsia="Times New Roman" w:hAnsi="Times New Roman" w:cs="Times New Roman"/>
          <w:color w:val="000000"/>
          <w:sz w:val="28"/>
          <w:szCs w:val="28"/>
          <w:lang w:eastAsia="ru-RU" w:bidi="ru-RU"/>
        </w:rPr>
        <w:t>Россий</w:t>
      </w:r>
      <w:r>
        <w:rPr>
          <w:rFonts w:ascii="Times New Roman" w:eastAsia="Times New Roman" w:hAnsi="Times New Roman" w:cs="Times New Roman"/>
          <w:color w:val="000000"/>
          <w:sz w:val="28"/>
          <w:szCs w:val="28"/>
          <w:lang w:eastAsia="ru-RU" w:bidi="ru-RU"/>
        </w:rPr>
        <w:t>ский национальный музей музыки»;</w:t>
      </w:r>
    </w:p>
    <w:p w14:paraId="176526C5" w14:textId="77777777" w:rsidR="00E931CB" w:rsidRDefault="00F91D28" w:rsidP="00F91D28">
      <w:pPr>
        <w:pStyle w:val="Style17"/>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E931CB">
        <w:rPr>
          <w:rFonts w:ascii="Times New Roman" w:eastAsia="Times New Roman" w:hAnsi="Times New Roman" w:cs="Times New Roman"/>
          <w:color w:val="000000"/>
          <w:sz w:val="28"/>
          <w:szCs w:val="28"/>
          <w:lang w:eastAsia="ru-RU" w:bidi="ru-RU"/>
        </w:rPr>
        <w:t>Проект «Инклюзивный музей»</w:t>
      </w:r>
      <w:r>
        <w:rPr>
          <w:rFonts w:ascii="Times New Roman" w:eastAsia="Times New Roman" w:hAnsi="Times New Roman" w:cs="Times New Roman"/>
          <w:color w:val="000000"/>
          <w:sz w:val="28"/>
          <w:szCs w:val="28"/>
          <w:lang w:eastAsia="ru-RU" w:bidi="ru-RU"/>
        </w:rPr>
        <w:t xml:space="preserve"> </w:t>
      </w:r>
      <w:r w:rsidR="00E931CB" w:rsidRPr="00E931CB">
        <w:rPr>
          <w:rFonts w:ascii="Times New Roman" w:eastAsia="Times New Roman" w:hAnsi="Times New Roman" w:cs="Times New Roman"/>
          <w:color w:val="000000"/>
          <w:sz w:val="28"/>
          <w:szCs w:val="28"/>
          <w:lang w:eastAsia="ru-RU" w:bidi="ru-RU"/>
        </w:rPr>
        <w:t>Саратовско</w:t>
      </w:r>
      <w:r>
        <w:rPr>
          <w:rFonts w:ascii="Times New Roman" w:eastAsia="Times New Roman" w:hAnsi="Times New Roman" w:cs="Times New Roman"/>
          <w:color w:val="000000"/>
          <w:sz w:val="28"/>
          <w:szCs w:val="28"/>
          <w:lang w:eastAsia="ru-RU" w:bidi="ru-RU"/>
        </w:rPr>
        <w:t>го</w:t>
      </w:r>
      <w:r w:rsidR="00E931CB" w:rsidRPr="00E931CB">
        <w:rPr>
          <w:rFonts w:ascii="Times New Roman" w:eastAsia="Times New Roman" w:hAnsi="Times New Roman" w:cs="Times New Roman"/>
          <w:color w:val="000000"/>
          <w:sz w:val="28"/>
          <w:szCs w:val="28"/>
          <w:lang w:eastAsia="ru-RU" w:bidi="ru-RU"/>
        </w:rPr>
        <w:t xml:space="preserve"> государственно</w:t>
      </w:r>
      <w:r>
        <w:rPr>
          <w:rFonts w:ascii="Times New Roman" w:eastAsia="Times New Roman" w:hAnsi="Times New Roman" w:cs="Times New Roman"/>
          <w:color w:val="000000"/>
          <w:sz w:val="28"/>
          <w:szCs w:val="28"/>
          <w:lang w:eastAsia="ru-RU" w:bidi="ru-RU"/>
        </w:rPr>
        <w:t>го</w:t>
      </w:r>
      <w:r w:rsidR="00E931CB" w:rsidRPr="00E931CB">
        <w:rPr>
          <w:rFonts w:ascii="Times New Roman" w:eastAsia="Times New Roman" w:hAnsi="Times New Roman" w:cs="Times New Roman"/>
          <w:color w:val="000000"/>
          <w:sz w:val="28"/>
          <w:szCs w:val="28"/>
          <w:lang w:eastAsia="ru-RU" w:bidi="ru-RU"/>
        </w:rPr>
        <w:t xml:space="preserve"> художественно</w:t>
      </w:r>
      <w:r>
        <w:rPr>
          <w:rFonts w:ascii="Times New Roman" w:eastAsia="Times New Roman" w:hAnsi="Times New Roman" w:cs="Times New Roman"/>
          <w:color w:val="000000"/>
          <w:sz w:val="28"/>
          <w:szCs w:val="28"/>
          <w:lang w:eastAsia="ru-RU" w:bidi="ru-RU"/>
        </w:rPr>
        <w:t>го</w:t>
      </w:r>
      <w:r w:rsidR="00E931CB" w:rsidRPr="00E931CB">
        <w:rPr>
          <w:rFonts w:ascii="Times New Roman" w:eastAsia="Times New Roman" w:hAnsi="Times New Roman" w:cs="Times New Roman"/>
          <w:color w:val="000000"/>
          <w:sz w:val="28"/>
          <w:szCs w:val="28"/>
          <w:lang w:eastAsia="ru-RU" w:bidi="ru-RU"/>
        </w:rPr>
        <w:t xml:space="preserve"> музе</w:t>
      </w:r>
      <w:r>
        <w:rPr>
          <w:rFonts w:ascii="Times New Roman" w:eastAsia="Times New Roman" w:hAnsi="Times New Roman" w:cs="Times New Roman"/>
          <w:color w:val="000000"/>
          <w:sz w:val="28"/>
          <w:szCs w:val="28"/>
          <w:lang w:eastAsia="ru-RU" w:bidi="ru-RU"/>
        </w:rPr>
        <w:t xml:space="preserve">я имени А.Н. Радищева, предусматривающий </w:t>
      </w:r>
      <w:r w:rsidR="00E931CB" w:rsidRPr="00E931CB">
        <w:rPr>
          <w:rFonts w:ascii="Times New Roman" w:eastAsia="Times New Roman" w:hAnsi="Times New Roman" w:cs="Times New Roman"/>
          <w:color w:val="000000"/>
          <w:sz w:val="28"/>
          <w:szCs w:val="28"/>
          <w:lang w:eastAsia="ru-RU" w:bidi="ru-RU"/>
        </w:rPr>
        <w:t>специализированные музейные программы для семей, воспитывающих детей с расстройством аутистического спектра и другими ментальными особенностями. Аналогичный проект реализует Всероссийский музей декоративно</w:t>
      </w:r>
      <w:r w:rsidR="00E931CB" w:rsidRPr="00E931CB">
        <w:rPr>
          <w:rFonts w:ascii="Times New Roman" w:hAnsi="Times New Roman" w:cs="Times New Roman"/>
          <w:sz w:val="28"/>
          <w:szCs w:val="28"/>
        </w:rPr>
        <w:t>-</w:t>
      </w:r>
      <w:r w:rsidR="00E931CB" w:rsidRPr="00E931CB">
        <w:rPr>
          <w:rFonts w:ascii="Times New Roman" w:eastAsia="Times New Roman" w:hAnsi="Times New Roman" w:cs="Times New Roman"/>
          <w:color w:val="000000"/>
          <w:sz w:val="28"/>
          <w:szCs w:val="28"/>
          <w:lang w:eastAsia="ru-RU" w:bidi="ru-RU"/>
        </w:rPr>
        <w:t>прикладного и народного искусства: инклюзивную тематическую программу для детей с инвалидностью из семейного инк</w:t>
      </w:r>
      <w:r>
        <w:rPr>
          <w:rFonts w:ascii="Times New Roman" w:eastAsia="Times New Roman" w:hAnsi="Times New Roman" w:cs="Times New Roman"/>
          <w:color w:val="000000"/>
          <w:sz w:val="28"/>
          <w:szCs w:val="28"/>
          <w:lang w:eastAsia="ru-RU" w:bidi="ru-RU"/>
        </w:rPr>
        <w:t>люзивного клуба «Шаг навстречу»;</w:t>
      </w:r>
    </w:p>
    <w:p w14:paraId="1E8D02A0" w14:textId="77777777" w:rsidR="00E931CB" w:rsidRPr="00E931CB" w:rsidRDefault="00F91D28" w:rsidP="00F91D28">
      <w:pPr>
        <w:pStyle w:val="Style17"/>
        <w:shd w:val="clear" w:color="auto" w:fill="auto"/>
        <w:spacing w:line="312" w:lineRule="auto"/>
        <w:ind w:firstLine="709"/>
        <w:jc w:val="both"/>
        <w:rPr>
          <w:rFonts w:ascii="Times New Roman" w:hAnsi="Times New Roman" w:cs="Times New Roman"/>
          <w:sz w:val="28"/>
          <w:szCs w:val="28"/>
        </w:rPr>
      </w:pPr>
      <w:r w:rsidRPr="00E931CB">
        <w:rPr>
          <w:rFonts w:ascii="Times New Roman" w:eastAsia="Times New Roman" w:hAnsi="Times New Roman" w:cs="Times New Roman"/>
          <w:color w:val="000000"/>
          <w:sz w:val="28"/>
          <w:szCs w:val="28"/>
          <w:lang w:eastAsia="ru-RU" w:bidi="ru-RU"/>
        </w:rPr>
        <w:t>проект для всей семьи «Сам по следам»</w:t>
      </w:r>
      <w:r>
        <w:rPr>
          <w:rFonts w:ascii="Times New Roman" w:eastAsia="Times New Roman" w:hAnsi="Times New Roman" w:cs="Times New Roman"/>
          <w:color w:val="000000"/>
          <w:sz w:val="28"/>
          <w:szCs w:val="28"/>
          <w:lang w:eastAsia="ru-RU" w:bidi="ru-RU"/>
        </w:rPr>
        <w:t xml:space="preserve">, возобновивший свою работу </w:t>
      </w:r>
      <w:r w:rsidR="00DB1DF8">
        <w:rPr>
          <w:rFonts w:ascii="Times New Roman" w:eastAsia="Times New Roman" w:hAnsi="Times New Roman" w:cs="Times New Roman"/>
          <w:color w:val="000000"/>
          <w:sz w:val="28"/>
          <w:szCs w:val="28"/>
          <w:lang w:eastAsia="ru-RU" w:bidi="ru-RU"/>
        </w:rPr>
        <w:br/>
      </w:r>
      <w:r>
        <w:rPr>
          <w:rFonts w:ascii="Times New Roman" w:eastAsia="Times New Roman" w:hAnsi="Times New Roman" w:cs="Times New Roman"/>
          <w:color w:val="000000"/>
          <w:sz w:val="28"/>
          <w:szCs w:val="28"/>
          <w:lang w:eastAsia="ru-RU" w:bidi="ru-RU"/>
        </w:rPr>
        <w:t xml:space="preserve">в </w:t>
      </w:r>
      <w:r w:rsidRPr="00E931CB">
        <w:rPr>
          <w:rFonts w:ascii="Times New Roman" w:eastAsia="Times New Roman" w:hAnsi="Times New Roman" w:cs="Times New Roman"/>
          <w:color w:val="000000"/>
          <w:sz w:val="28"/>
          <w:szCs w:val="28"/>
          <w:lang w:eastAsia="ru-RU" w:bidi="ru-RU"/>
        </w:rPr>
        <w:t>9</w:t>
      </w:r>
      <w:r w:rsidRPr="00F91D28">
        <w:rPr>
          <w:rFonts w:ascii="Times New Roman" w:eastAsia="Times New Roman" w:hAnsi="Times New Roman" w:cs="Times New Roman"/>
          <w:color w:val="000000"/>
          <w:sz w:val="28"/>
          <w:szCs w:val="28"/>
          <w:lang w:eastAsia="ru-RU" w:bidi="ru-RU"/>
        </w:rPr>
        <w:t xml:space="preserve"> </w:t>
      </w:r>
      <w:r w:rsidRPr="00E931CB">
        <w:rPr>
          <w:rFonts w:ascii="Times New Roman" w:eastAsia="Times New Roman" w:hAnsi="Times New Roman" w:cs="Times New Roman"/>
          <w:color w:val="000000"/>
          <w:sz w:val="28"/>
          <w:szCs w:val="28"/>
          <w:lang w:eastAsia="ru-RU" w:bidi="ru-RU"/>
        </w:rPr>
        <w:t>музеях</w:t>
      </w:r>
      <w:r w:rsidR="00DB1DF8">
        <w:rPr>
          <w:rFonts w:ascii="Times New Roman" w:eastAsia="Times New Roman" w:hAnsi="Times New Roman" w:cs="Times New Roman"/>
          <w:color w:val="000000"/>
          <w:sz w:val="28"/>
          <w:szCs w:val="28"/>
          <w:lang w:eastAsia="ru-RU" w:bidi="ru-RU"/>
        </w:rPr>
        <w:t xml:space="preserve"> г. </w:t>
      </w:r>
      <w:r w:rsidRPr="00E931CB">
        <w:rPr>
          <w:rFonts w:ascii="Times New Roman" w:eastAsia="Times New Roman" w:hAnsi="Times New Roman" w:cs="Times New Roman"/>
          <w:color w:val="000000"/>
          <w:sz w:val="28"/>
          <w:szCs w:val="28"/>
          <w:lang w:eastAsia="ru-RU" w:bidi="ru-RU"/>
        </w:rPr>
        <w:t>Владивостока</w:t>
      </w:r>
      <w:r>
        <w:rPr>
          <w:rFonts w:ascii="Times New Roman" w:eastAsia="Times New Roman" w:hAnsi="Times New Roman" w:cs="Times New Roman"/>
          <w:color w:val="000000"/>
          <w:sz w:val="28"/>
          <w:szCs w:val="28"/>
          <w:lang w:eastAsia="ru-RU" w:bidi="ru-RU"/>
        </w:rPr>
        <w:t>, предусматривающий исследование</w:t>
      </w:r>
      <w:r w:rsidR="00E931CB" w:rsidRPr="00E931CB">
        <w:rPr>
          <w:rFonts w:ascii="Times New Roman" w:eastAsia="Times New Roman" w:hAnsi="Times New Roman" w:cs="Times New Roman"/>
          <w:color w:val="000000"/>
          <w:sz w:val="28"/>
          <w:szCs w:val="28"/>
          <w:lang w:eastAsia="ru-RU" w:bidi="ru-RU"/>
        </w:rPr>
        <w:t xml:space="preserve"> окружающ</w:t>
      </w:r>
      <w:r>
        <w:rPr>
          <w:rFonts w:ascii="Times New Roman" w:eastAsia="Times New Roman" w:hAnsi="Times New Roman" w:cs="Times New Roman"/>
          <w:color w:val="000000"/>
          <w:sz w:val="28"/>
          <w:szCs w:val="28"/>
          <w:lang w:eastAsia="ru-RU" w:bidi="ru-RU"/>
        </w:rPr>
        <w:t>его</w:t>
      </w:r>
      <w:r w:rsidR="00E931CB" w:rsidRPr="00E931CB">
        <w:rPr>
          <w:rFonts w:ascii="Times New Roman" w:eastAsia="Times New Roman" w:hAnsi="Times New Roman" w:cs="Times New Roman"/>
          <w:color w:val="000000"/>
          <w:sz w:val="28"/>
          <w:szCs w:val="28"/>
          <w:lang w:eastAsia="ru-RU" w:bidi="ru-RU"/>
        </w:rPr>
        <w:t xml:space="preserve"> мир</w:t>
      </w:r>
      <w:r>
        <w:rPr>
          <w:rFonts w:ascii="Times New Roman" w:eastAsia="Times New Roman" w:hAnsi="Times New Roman" w:cs="Times New Roman"/>
          <w:color w:val="000000"/>
          <w:sz w:val="28"/>
          <w:szCs w:val="28"/>
          <w:lang w:eastAsia="ru-RU" w:bidi="ru-RU"/>
        </w:rPr>
        <w:t>а</w:t>
      </w:r>
      <w:r w:rsidR="00E931CB" w:rsidRPr="00E931CB">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историю</w:t>
      </w:r>
      <w:r w:rsidR="00E931CB" w:rsidRPr="00E931CB">
        <w:rPr>
          <w:rFonts w:ascii="Times New Roman" w:eastAsia="Times New Roman" w:hAnsi="Times New Roman" w:cs="Times New Roman"/>
          <w:color w:val="000000"/>
          <w:sz w:val="28"/>
          <w:szCs w:val="28"/>
          <w:lang w:eastAsia="ru-RU" w:bidi="ru-RU"/>
        </w:rPr>
        <w:t xml:space="preserve"> Приморского края</w:t>
      </w:r>
      <w:r>
        <w:rPr>
          <w:rFonts w:ascii="Times New Roman" w:eastAsia="Times New Roman" w:hAnsi="Times New Roman" w:cs="Times New Roman"/>
          <w:color w:val="000000"/>
          <w:sz w:val="28"/>
          <w:szCs w:val="28"/>
          <w:lang w:eastAsia="ru-RU" w:bidi="ru-RU"/>
        </w:rPr>
        <w:t>. В рамках проекта</w:t>
      </w:r>
      <w:r w:rsidR="00E931CB" w:rsidRPr="00E931CB">
        <w:rPr>
          <w:rFonts w:ascii="Times New Roman" w:eastAsia="Times New Roman" w:hAnsi="Times New Roman" w:cs="Times New Roman"/>
          <w:color w:val="000000"/>
          <w:sz w:val="28"/>
          <w:szCs w:val="28"/>
          <w:lang w:eastAsia="ru-RU" w:bidi="ru-RU"/>
        </w:rPr>
        <w:t xml:space="preserve"> </w:t>
      </w:r>
      <w:r w:rsidRPr="00E931CB">
        <w:rPr>
          <w:rFonts w:ascii="Times New Roman" w:eastAsia="Times New Roman" w:hAnsi="Times New Roman" w:cs="Times New Roman"/>
          <w:color w:val="000000"/>
          <w:sz w:val="28"/>
          <w:szCs w:val="28"/>
          <w:lang w:eastAsia="ru-RU" w:bidi="ru-RU"/>
        </w:rPr>
        <w:t xml:space="preserve">при поддержке специалистов Дальневосточного отделения Российской академии наук </w:t>
      </w:r>
      <w:r>
        <w:rPr>
          <w:rFonts w:ascii="Times New Roman" w:eastAsia="Times New Roman" w:hAnsi="Times New Roman" w:cs="Times New Roman"/>
          <w:color w:val="000000"/>
          <w:sz w:val="28"/>
          <w:szCs w:val="28"/>
          <w:lang w:eastAsia="ru-RU" w:bidi="ru-RU"/>
        </w:rPr>
        <w:t>также были</w:t>
      </w:r>
      <w:r w:rsidR="00E931CB" w:rsidRPr="00E931CB">
        <w:rPr>
          <w:rFonts w:ascii="Times New Roman" w:eastAsia="Times New Roman" w:hAnsi="Times New Roman" w:cs="Times New Roman"/>
          <w:color w:val="000000"/>
          <w:sz w:val="28"/>
          <w:szCs w:val="28"/>
          <w:lang w:eastAsia="ru-RU" w:bidi="ru-RU"/>
        </w:rPr>
        <w:t xml:space="preserve"> собра</w:t>
      </w:r>
      <w:r>
        <w:rPr>
          <w:rFonts w:ascii="Times New Roman" w:eastAsia="Times New Roman" w:hAnsi="Times New Roman" w:cs="Times New Roman"/>
          <w:color w:val="000000"/>
          <w:sz w:val="28"/>
          <w:szCs w:val="28"/>
          <w:lang w:eastAsia="ru-RU" w:bidi="ru-RU"/>
        </w:rPr>
        <w:t>ны</w:t>
      </w:r>
      <w:r w:rsidR="00E931CB" w:rsidRPr="00E931CB">
        <w:rPr>
          <w:rFonts w:ascii="Times New Roman" w:eastAsia="Times New Roman" w:hAnsi="Times New Roman" w:cs="Times New Roman"/>
          <w:color w:val="000000"/>
          <w:sz w:val="28"/>
          <w:szCs w:val="28"/>
          <w:lang w:eastAsia="ru-RU" w:bidi="ru-RU"/>
        </w:rPr>
        <w:t xml:space="preserve"> научные данные о море и побережье</w:t>
      </w:r>
      <w:r>
        <w:rPr>
          <w:rFonts w:ascii="Times New Roman" w:eastAsia="Times New Roman" w:hAnsi="Times New Roman" w:cs="Times New Roman"/>
          <w:color w:val="000000"/>
          <w:sz w:val="28"/>
          <w:szCs w:val="28"/>
          <w:lang w:eastAsia="ru-RU" w:bidi="ru-RU"/>
        </w:rPr>
        <w:t>;</w:t>
      </w:r>
    </w:p>
    <w:p w14:paraId="22AA6A4D" w14:textId="77777777" w:rsidR="00E931CB" w:rsidRPr="00E931CB" w:rsidRDefault="00E931CB" w:rsidP="00E931CB">
      <w:pPr>
        <w:pStyle w:val="Style17"/>
        <w:shd w:val="clear" w:color="auto" w:fill="auto"/>
        <w:spacing w:line="312" w:lineRule="auto"/>
        <w:ind w:firstLine="709"/>
        <w:jc w:val="both"/>
        <w:rPr>
          <w:rFonts w:ascii="Times New Roman" w:hAnsi="Times New Roman" w:cs="Times New Roman"/>
          <w:sz w:val="28"/>
          <w:szCs w:val="28"/>
        </w:rPr>
      </w:pPr>
      <w:r w:rsidRPr="00E931CB">
        <w:rPr>
          <w:rFonts w:ascii="Times New Roman" w:eastAsia="Times New Roman" w:hAnsi="Times New Roman" w:cs="Times New Roman"/>
          <w:color w:val="000000"/>
          <w:sz w:val="28"/>
          <w:szCs w:val="28"/>
          <w:lang w:eastAsia="ru-RU" w:bidi="ru-RU"/>
        </w:rPr>
        <w:t xml:space="preserve">Музейный праздник «Водная ассамблея» Музея Мирового океана </w:t>
      </w:r>
      <w:r w:rsidR="00610D77">
        <w:rPr>
          <w:rFonts w:ascii="Times New Roman" w:eastAsia="Times New Roman" w:hAnsi="Times New Roman" w:cs="Times New Roman"/>
          <w:color w:val="000000"/>
          <w:sz w:val="28"/>
          <w:szCs w:val="28"/>
          <w:lang w:eastAsia="ru-RU" w:bidi="ru-RU"/>
        </w:rPr>
        <w:br/>
      </w:r>
      <w:r w:rsidR="00F91D28">
        <w:rPr>
          <w:rFonts w:ascii="Times New Roman" w:eastAsia="Times New Roman" w:hAnsi="Times New Roman" w:cs="Times New Roman"/>
          <w:color w:val="000000"/>
          <w:sz w:val="28"/>
          <w:szCs w:val="28"/>
          <w:lang w:eastAsia="ru-RU" w:bidi="ru-RU"/>
        </w:rPr>
        <w:t>г. Калининграда, включавший</w:t>
      </w:r>
      <w:r w:rsidRPr="00E931CB">
        <w:rPr>
          <w:rFonts w:ascii="Times New Roman" w:eastAsia="Times New Roman" w:hAnsi="Times New Roman" w:cs="Times New Roman"/>
          <w:color w:val="000000"/>
          <w:sz w:val="28"/>
          <w:szCs w:val="28"/>
          <w:lang w:eastAsia="ru-RU" w:bidi="ru-RU"/>
        </w:rPr>
        <w:t xml:space="preserve"> парад исторических судов, экскурсии по выставкам и экспозициям музея</w:t>
      </w:r>
      <w:r w:rsidR="00F91D28">
        <w:rPr>
          <w:rFonts w:ascii="Times New Roman" w:eastAsia="Times New Roman" w:hAnsi="Times New Roman" w:cs="Times New Roman"/>
          <w:color w:val="000000"/>
          <w:sz w:val="28"/>
          <w:szCs w:val="28"/>
          <w:lang w:eastAsia="ru-RU" w:bidi="ru-RU"/>
        </w:rPr>
        <w:t>,</w:t>
      </w:r>
      <w:r w:rsidRPr="00E931CB">
        <w:rPr>
          <w:rFonts w:ascii="Times New Roman" w:eastAsia="Times New Roman" w:hAnsi="Times New Roman" w:cs="Times New Roman"/>
          <w:color w:val="000000"/>
          <w:sz w:val="28"/>
          <w:szCs w:val="28"/>
          <w:lang w:eastAsia="ru-RU" w:bidi="ru-RU"/>
        </w:rPr>
        <w:t xml:space="preserve"> заверши</w:t>
      </w:r>
      <w:r w:rsidR="00F91D28">
        <w:rPr>
          <w:rFonts w:ascii="Times New Roman" w:eastAsia="Times New Roman" w:hAnsi="Times New Roman" w:cs="Times New Roman"/>
          <w:color w:val="000000"/>
          <w:sz w:val="28"/>
          <w:szCs w:val="28"/>
          <w:lang w:eastAsia="ru-RU" w:bidi="ru-RU"/>
        </w:rPr>
        <w:t>вшийся</w:t>
      </w:r>
      <w:r w:rsidRPr="00E931CB">
        <w:rPr>
          <w:rFonts w:ascii="Times New Roman" w:eastAsia="Times New Roman" w:hAnsi="Times New Roman" w:cs="Times New Roman"/>
          <w:color w:val="000000"/>
          <w:sz w:val="28"/>
          <w:szCs w:val="28"/>
          <w:lang w:eastAsia="ru-RU" w:bidi="ru-RU"/>
        </w:rPr>
        <w:t xml:space="preserve"> 12 сентября в акватории реки </w:t>
      </w:r>
      <w:proofErr w:type="spellStart"/>
      <w:r w:rsidRPr="00E931CB">
        <w:rPr>
          <w:rFonts w:ascii="Times New Roman" w:eastAsia="Times New Roman" w:hAnsi="Times New Roman" w:cs="Times New Roman"/>
          <w:color w:val="000000"/>
          <w:sz w:val="28"/>
          <w:szCs w:val="28"/>
          <w:lang w:eastAsia="ru-RU" w:bidi="ru-RU"/>
        </w:rPr>
        <w:t>Преголя</w:t>
      </w:r>
      <w:proofErr w:type="spellEnd"/>
      <w:r w:rsidRPr="00E931CB">
        <w:rPr>
          <w:rFonts w:ascii="Times New Roman" w:eastAsia="Times New Roman" w:hAnsi="Times New Roman" w:cs="Times New Roman"/>
          <w:color w:val="000000"/>
          <w:sz w:val="28"/>
          <w:szCs w:val="28"/>
          <w:lang w:eastAsia="ru-RU" w:bidi="ru-RU"/>
        </w:rPr>
        <w:t xml:space="preserve"> на набережной исторического флота гребной регатой «Миля «Витязя»».</w:t>
      </w:r>
    </w:p>
    <w:p w14:paraId="7EBCCBF5" w14:textId="77777777" w:rsidR="00E931CB" w:rsidRPr="001C2FA9" w:rsidRDefault="00F91D28" w:rsidP="001C2FA9">
      <w:pPr>
        <w:pStyle w:val="Style17"/>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С</w:t>
      </w:r>
      <w:r w:rsidRPr="00E931CB">
        <w:rPr>
          <w:rFonts w:ascii="Times New Roman" w:eastAsia="Times New Roman" w:hAnsi="Times New Roman" w:cs="Times New Roman"/>
          <w:color w:val="000000"/>
          <w:sz w:val="28"/>
          <w:szCs w:val="28"/>
          <w:lang w:eastAsia="ru-RU" w:bidi="ru-RU"/>
        </w:rPr>
        <w:t xml:space="preserve">реди детей </w:t>
      </w:r>
      <w:r>
        <w:rPr>
          <w:rFonts w:ascii="Times New Roman" w:eastAsia="Times New Roman" w:hAnsi="Times New Roman" w:cs="Times New Roman"/>
          <w:color w:val="000000"/>
          <w:sz w:val="28"/>
          <w:szCs w:val="28"/>
          <w:lang w:eastAsia="ru-RU" w:bidi="ru-RU"/>
        </w:rPr>
        <w:t>о</w:t>
      </w:r>
      <w:r w:rsidR="00E931CB" w:rsidRPr="00E931CB">
        <w:rPr>
          <w:rFonts w:ascii="Times New Roman" w:eastAsia="Times New Roman" w:hAnsi="Times New Roman" w:cs="Times New Roman"/>
          <w:color w:val="000000"/>
          <w:sz w:val="28"/>
          <w:szCs w:val="28"/>
          <w:lang w:eastAsia="ru-RU" w:bidi="ru-RU"/>
        </w:rPr>
        <w:t>чень популярны квесты, практические мастерские и активные занятия в музеях. Участники встреч в «Мастерской художника», каждая из которых включает в себя прогулку по музейным залам, узнают, как сделаны картины, рисунки и скульптуры из коллекции Третьяковской галереи. Практические занятия, сопровождающие лекции, позволяют детям самим попробовать разные художественные техники. В Пушкинском музее преподают компьютерную графику, опираясь на историю изобразительного искусства: дети учатся использовать цвет и изучают принципы перспективы на примерах работ художников эпохи</w:t>
      </w:r>
      <w:r w:rsidR="00E931CB" w:rsidRPr="00E931CB">
        <w:rPr>
          <w:rFonts w:ascii="Times New Roman" w:hAnsi="Times New Roman" w:cs="Times New Roman"/>
          <w:sz w:val="28"/>
          <w:szCs w:val="28"/>
        </w:rPr>
        <w:t xml:space="preserve"> </w:t>
      </w:r>
      <w:r w:rsidR="00E931CB" w:rsidRPr="00E931CB">
        <w:rPr>
          <w:rFonts w:ascii="Times New Roman" w:eastAsia="Times New Roman" w:hAnsi="Times New Roman" w:cs="Times New Roman"/>
          <w:color w:val="000000"/>
          <w:sz w:val="28"/>
          <w:szCs w:val="28"/>
          <w:lang w:eastAsia="ru-RU" w:bidi="ru-RU"/>
        </w:rPr>
        <w:t>Возрождения и других мастеров из собрания музея. Музе</w:t>
      </w:r>
      <w:r>
        <w:rPr>
          <w:rFonts w:ascii="Times New Roman" w:eastAsia="Times New Roman" w:hAnsi="Times New Roman" w:cs="Times New Roman"/>
          <w:color w:val="000000"/>
          <w:sz w:val="28"/>
          <w:szCs w:val="28"/>
          <w:lang w:eastAsia="ru-RU" w:bidi="ru-RU"/>
        </w:rPr>
        <w:t>ем</w:t>
      </w:r>
      <w:r w:rsidR="00E931CB" w:rsidRPr="00E931CB">
        <w:rPr>
          <w:rFonts w:ascii="Times New Roman" w:eastAsia="Times New Roman" w:hAnsi="Times New Roman" w:cs="Times New Roman"/>
          <w:color w:val="000000"/>
          <w:sz w:val="28"/>
          <w:szCs w:val="28"/>
          <w:lang w:eastAsia="ru-RU" w:bidi="ru-RU"/>
        </w:rPr>
        <w:t xml:space="preserve"> искусства народов Востока реализует</w:t>
      </w:r>
      <w:r>
        <w:rPr>
          <w:rFonts w:ascii="Times New Roman" w:eastAsia="Times New Roman" w:hAnsi="Times New Roman" w:cs="Times New Roman"/>
          <w:color w:val="000000"/>
          <w:sz w:val="28"/>
          <w:szCs w:val="28"/>
          <w:lang w:eastAsia="ru-RU" w:bidi="ru-RU"/>
        </w:rPr>
        <w:t>ся</w:t>
      </w:r>
      <w:r w:rsidR="00E931CB" w:rsidRPr="00E931CB">
        <w:rPr>
          <w:rFonts w:ascii="Times New Roman" w:eastAsia="Times New Roman" w:hAnsi="Times New Roman" w:cs="Times New Roman"/>
          <w:color w:val="000000"/>
          <w:sz w:val="28"/>
          <w:szCs w:val="28"/>
          <w:lang w:eastAsia="ru-RU" w:bidi="ru-RU"/>
        </w:rPr>
        <w:t xml:space="preserve"> программ</w:t>
      </w:r>
      <w:r w:rsidR="001C2FA9">
        <w:rPr>
          <w:rFonts w:ascii="Times New Roman" w:eastAsia="Times New Roman" w:hAnsi="Times New Roman" w:cs="Times New Roman"/>
          <w:color w:val="000000"/>
          <w:sz w:val="28"/>
          <w:szCs w:val="28"/>
          <w:lang w:eastAsia="ru-RU" w:bidi="ru-RU"/>
        </w:rPr>
        <w:t>а</w:t>
      </w:r>
      <w:r w:rsidR="00E931CB" w:rsidRPr="00E931CB">
        <w:rPr>
          <w:rFonts w:ascii="Times New Roman" w:eastAsia="Times New Roman" w:hAnsi="Times New Roman" w:cs="Times New Roman"/>
          <w:color w:val="000000"/>
          <w:sz w:val="28"/>
          <w:szCs w:val="28"/>
          <w:lang w:eastAsia="ru-RU" w:bidi="ru-RU"/>
        </w:rPr>
        <w:t xml:space="preserve"> «Юный востоковед».</w:t>
      </w:r>
    </w:p>
    <w:p w14:paraId="2BE97ADA" w14:textId="0D0D12CE" w:rsidR="00E931CB" w:rsidRPr="00E931CB" w:rsidRDefault="00E931CB" w:rsidP="00E931CB">
      <w:pPr>
        <w:pStyle w:val="Style17"/>
        <w:shd w:val="clear" w:color="auto" w:fill="auto"/>
        <w:tabs>
          <w:tab w:val="left" w:pos="3566"/>
        </w:tabs>
        <w:spacing w:line="312" w:lineRule="auto"/>
        <w:ind w:firstLine="709"/>
        <w:jc w:val="both"/>
        <w:rPr>
          <w:rFonts w:ascii="Times New Roman" w:hAnsi="Times New Roman" w:cs="Times New Roman"/>
          <w:sz w:val="28"/>
          <w:szCs w:val="28"/>
        </w:rPr>
      </w:pPr>
      <w:r w:rsidRPr="00E931CB">
        <w:rPr>
          <w:rFonts w:ascii="Times New Roman" w:eastAsia="Times New Roman" w:hAnsi="Times New Roman" w:cs="Times New Roman"/>
          <w:color w:val="000000"/>
          <w:sz w:val="28"/>
          <w:szCs w:val="28"/>
          <w:lang w:eastAsia="ru-RU" w:bidi="ru-RU"/>
        </w:rPr>
        <w:t>В 2021 г</w:t>
      </w:r>
      <w:r w:rsidR="00BC1649">
        <w:rPr>
          <w:rFonts w:ascii="Times New Roman" w:eastAsia="Times New Roman" w:hAnsi="Times New Roman" w:cs="Times New Roman"/>
          <w:color w:val="000000"/>
          <w:sz w:val="28"/>
          <w:szCs w:val="28"/>
          <w:lang w:eastAsia="ru-RU" w:bidi="ru-RU"/>
        </w:rPr>
        <w:t>.</w:t>
      </w:r>
      <w:r w:rsidRPr="00E931CB">
        <w:rPr>
          <w:rFonts w:ascii="Times New Roman" w:eastAsia="Times New Roman" w:hAnsi="Times New Roman" w:cs="Times New Roman"/>
          <w:color w:val="000000"/>
          <w:sz w:val="28"/>
          <w:szCs w:val="28"/>
          <w:lang w:eastAsia="ru-RU" w:bidi="ru-RU"/>
        </w:rPr>
        <w:t xml:space="preserve"> государственная поддержка была оказана 7 кинофестивалям, целевой аудиторией которых являются с</w:t>
      </w:r>
      <w:r w:rsidR="008F784A">
        <w:rPr>
          <w:rFonts w:ascii="Times New Roman" w:eastAsia="Times New Roman" w:hAnsi="Times New Roman" w:cs="Times New Roman"/>
          <w:color w:val="000000"/>
          <w:sz w:val="28"/>
          <w:szCs w:val="28"/>
          <w:lang w:eastAsia="ru-RU" w:bidi="ru-RU"/>
        </w:rPr>
        <w:t xml:space="preserve">емьи с детьми, дети и подростки, в том числе: </w:t>
      </w:r>
      <w:r w:rsidR="00BC1649">
        <w:rPr>
          <w:rFonts w:ascii="Times New Roman" w:eastAsia="Times New Roman" w:hAnsi="Times New Roman" w:cs="Times New Roman"/>
          <w:color w:val="000000"/>
          <w:sz w:val="28"/>
          <w:szCs w:val="28"/>
          <w:lang w:eastAsia="ru-RU" w:bidi="ru-RU"/>
        </w:rPr>
        <w:br/>
      </w:r>
      <w:r w:rsidRPr="00E931CB">
        <w:rPr>
          <w:rFonts w:ascii="Times New Roman" w:eastAsia="Times New Roman" w:hAnsi="Times New Roman" w:cs="Times New Roman"/>
          <w:color w:val="000000"/>
          <w:sz w:val="28"/>
          <w:szCs w:val="28"/>
          <w:lang w:eastAsia="ru-RU" w:bidi="ru-RU"/>
        </w:rPr>
        <w:t>XXVI Международн</w:t>
      </w:r>
      <w:r w:rsidR="008F784A">
        <w:rPr>
          <w:rFonts w:ascii="Times New Roman" w:eastAsia="Times New Roman" w:hAnsi="Times New Roman" w:cs="Times New Roman"/>
          <w:color w:val="000000"/>
          <w:sz w:val="28"/>
          <w:szCs w:val="28"/>
          <w:lang w:eastAsia="ru-RU" w:bidi="ru-RU"/>
        </w:rPr>
        <w:t>ому</w:t>
      </w:r>
      <w:r w:rsidRPr="00E931CB">
        <w:rPr>
          <w:rFonts w:ascii="Times New Roman" w:eastAsia="Times New Roman" w:hAnsi="Times New Roman" w:cs="Times New Roman"/>
          <w:color w:val="000000"/>
          <w:sz w:val="28"/>
          <w:szCs w:val="28"/>
          <w:lang w:eastAsia="ru-RU" w:bidi="ru-RU"/>
        </w:rPr>
        <w:t xml:space="preserve"> фестивал</w:t>
      </w:r>
      <w:r w:rsidR="008F784A">
        <w:rPr>
          <w:rFonts w:ascii="Times New Roman" w:eastAsia="Times New Roman" w:hAnsi="Times New Roman" w:cs="Times New Roman"/>
          <w:color w:val="000000"/>
          <w:sz w:val="28"/>
          <w:szCs w:val="28"/>
          <w:lang w:eastAsia="ru-RU" w:bidi="ru-RU"/>
        </w:rPr>
        <w:t>ю</w:t>
      </w:r>
      <w:r w:rsidRPr="00E931CB">
        <w:rPr>
          <w:rFonts w:ascii="Times New Roman" w:eastAsia="Times New Roman" w:hAnsi="Times New Roman" w:cs="Times New Roman"/>
          <w:color w:val="000000"/>
          <w:sz w:val="28"/>
          <w:szCs w:val="28"/>
          <w:lang w:eastAsia="ru-RU" w:bidi="ru-RU"/>
        </w:rPr>
        <w:t xml:space="preserve"> «Кино </w:t>
      </w:r>
      <w:r w:rsidR="00F91D28">
        <w:rPr>
          <w:rFonts w:ascii="Times New Roman" w:eastAsia="Times New Roman" w:hAnsi="Times New Roman" w:cs="Times New Roman"/>
          <w:color w:val="000000"/>
          <w:sz w:val="28"/>
          <w:szCs w:val="28"/>
          <w:lang w:eastAsia="ru-RU" w:bidi="ru-RU"/>
        </w:rPr>
        <w:t>–</w:t>
      </w:r>
      <w:r w:rsidRPr="00E931CB">
        <w:rPr>
          <w:rFonts w:ascii="Times New Roman" w:eastAsia="Times New Roman" w:hAnsi="Times New Roman" w:cs="Times New Roman"/>
          <w:color w:val="000000"/>
          <w:sz w:val="28"/>
          <w:szCs w:val="28"/>
          <w:lang w:eastAsia="ru-RU" w:bidi="ru-RU"/>
        </w:rPr>
        <w:t xml:space="preserve"> детям», VIII Международн</w:t>
      </w:r>
      <w:r w:rsidR="008F784A">
        <w:rPr>
          <w:rFonts w:ascii="Times New Roman" w:eastAsia="Times New Roman" w:hAnsi="Times New Roman" w:cs="Times New Roman"/>
          <w:color w:val="000000"/>
          <w:sz w:val="28"/>
          <w:szCs w:val="28"/>
          <w:lang w:eastAsia="ru-RU" w:bidi="ru-RU"/>
        </w:rPr>
        <w:t>ому</w:t>
      </w:r>
      <w:r w:rsidRPr="00E931CB">
        <w:rPr>
          <w:rFonts w:ascii="Times New Roman" w:eastAsia="Times New Roman" w:hAnsi="Times New Roman" w:cs="Times New Roman"/>
          <w:color w:val="000000"/>
          <w:sz w:val="28"/>
          <w:szCs w:val="28"/>
          <w:lang w:eastAsia="ru-RU" w:bidi="ru-RU"/>
        </w:rPr>
        <w:t xml:space="preserve"> фестивал</w:t>
      </w:r>
      <w:r w:rsidR="008F784A">
        <w:rPr>
          <w:rFonts w:ascii="Times New Roman" w:eastAsia="Times New Roman" w:hAnsi="Times New Roman" w:cs="Times New Roman"/>
          <w:color w:val="000000"/>
          <w:sz w:val="28"/>
          <w:szCs w:val="28"/>
          <w:lang w:eastAsia="ru-RU" w:bidi="ru-RU"/>
        </w:rPr>
        <w:t>ю</w:t>
      </w:r>
      <w:r w:rsidRPr="00E931CB">
        <w:rPr>
          <w:rFonts w:ascii="Times New Roman" w:eastAsia="Times New Roman" w:hAnsi="Times New Roman" w:cs="Times New Roman"/>
          <w:color w:val="000000"/>
          <w:sz w:val="28"/>
          <w:szCs w:val="28"/>
          <w:lang w:eastAsia="ru-RU" w:bidi="ru-RU"/>
        </w:rPr>
        <w:t xml:space="preserve"> детского и семейного кино «Ноль Плюс». </w:t>
      </w:r>
      <w:r w:rsidR="008F784A">
        <w:rPr>
          <w:rFonts w:ascii="Times New Roman" w:eastAsia="Times New Roman" w:hAnsi="Times New Roman" w:cs="Times New Roman"/>
          <w:color w:val="000000"/>
          <w:sz w:val="28"/>
          <w:szCs w:val="28"/>
          <w:lang w:eastAsia="ru-RU" w:bidi="ru-RU"/>
        </w:rPr>
        <w:t>В</w:t>
      </w:r>
      <w:r w:rsidRPr="00E931CB">
        <w:rPr>
          <w:rFonts w:ascii="Times New Roman" w:eastAsia="Times New Roman" w:hAnsi="Times New Roman" w:cs="Times New Roman"/>
          <w:color w:val="000000"/>
          <w:sz w:val="28"/>
          <w:szCs w:val="28"/>
          <w:lang w:eastAsia="ru-RU" w:bidi="ru-RU"/>
        </w:rPr>
        <w:t xml:space="preserve"> российский и международный прокат вышли фильмы для детской и семейной аудитории, созданные при государственной финансовой поддержке: «Пальма», «Конёк-Горбунок», «Последний</w:t>
      </w:r>
      <w:r w:rsidRPr="00E931CB">
        <w:rPr>
          <w:rFonts w:ascii="Times New Roman" w:hAnsi="Times New Roman" w:cs="Times New Roman"/>
          <w:sz w:val="28"/>
          <w:szCs w:val="28"/>
        </w:rPr>
        <w:t xml:space="preserve"> </w:t>
      </w:r>
      <w:r w:rsidRPr="00E931CB">
        <w:rPr>
          <w:rFonts w:ascii="Times New Roman" w:eastAsia="Times New Roman" w:hAnsi="Times New Roman" w:cs="Times New Roman"/>
          <w:color w:val="000000"/>
          <w:sz w:val="28"/>
          <w:szCs w:val="28"/>
          <w:lang w:eastAsia="ru-RU" w:bidi="ru-RU"/>
        </w:rPr>
        <w:t>Богатырь: Посланник тьмы» и др.</w:t>
      </w:r>
    </w:p>
    <w:p w14:paraId="371AD8FC" w14:textId="77777777" w:rsidR="00E931CB" w:rsidRPr="00E931CB" w:rsidRDefault="00E931CB" w:rsidP="00E931CB">
      <w:pPr>
        <w:pStyle w:val="Style17"/>
        <w:shd w:val="clear" w:color="auto" w:fill="auto"/>
        <w:spacing w:line="312" w:lineRule="auto"/>
        <w:ind w:firstLine="709"/>
        <w:jc w:val="both"/>
        <w:rPr>
          <w:rFonts w:ascii="Times New Roman" w:hAnsi="Times New Roman" w:cs="Times New Roman"/>
          <w:sz w:val="28"/>
          <w:szCs w:val="28"/>
        </w:rPr>
      </w:pPr>
      <w:r w:rsidRPr="00E931CB">
        <w:rPr>
          <w:rFonts w:ascii="Times New Roman" w:eastAsia="Times New Roman" w:hAnsi="Times New Roman" w:cs="Times New Roman"/>
          <w:color w:val="000000"/>
          <w:sz w:val="28"/>
          <w:szCs w:val="28"/>
          <w:lang w:eastAsia="ru-RU" w:bidi="ru-RU"/>
        </w:rPr>
        <w:t>Для осуществления организации культурного досуга для детей в целях популяризации театрального искусства среди подрастающего поколения и обеспечения доступности качественных театральных постановок в учреждениях культуры в рамках национального проекта «Культура» реализуется мероприятие по капитальному ремонту и реконструкции детских театров. В 2021 г</w:t>
      </w:r>
      <w:r w:rsidR="00BC1649">
        <w:rPr>
          <w:rFonts w:ascii="Times New Roman" w:eastAsia="Times New Roman" w:hAnsi="Times New Roman" w:cs="Times New Roman"/>
          <w:color w:val="000000"/>
          <w:sz w:val="28"/>
          <w:szCs w:val="28"/>
          <w:lang w:eastAsia="ru-RU" w:bidi="ru-RU"/>
        </w:rPr>
        <w:t>.</w:t>
      </w:r>
      <w:r w:rsidRPr="00E931CB">
        <w:rPr>
          <w:rFonts w:ascii="Times New Roman" w:eastAsia="Times New Roman" w:hAnsi="Times New Roman" w:cs="Times New Roman"/>
          <w:color w:val="000000"/>
          <w:sz w:val="28"/>
          <w:szCs w:val="28"/>
          <w:lang w:eastAsia="ru-RU" w:bidi="ru-RU"/>
        </w:rPr>
        <w:t xml:space="preserve"> были выделены субсидии субъектам Российской Федерации на модернизацию региональных и муниципальных театров юного зрителя и театров кукол путем их реконструкции</w:t>
      </w:r>
      <w:r w:rsidR="00F91D28">
        <w:rPr>
          <w:rFonts w:ascii="Times New Roman" w:eastAsia="Times New Roman" w:hAnsi="Times New Roman" w:cs="Times New Roman"/>
          <w:color w:val="000000"/>
          <w:sz w:val="28"/>
          <w:szCs w:val="28"/>
          <w:lang w:eastAsia="ru-RU" w:bidi="ru-RU"/>
        </w:rPr>
        <w:t xml:space="preserve"> и</w:t>
      </w:r>
      <w:r w:rsidRPr="00E931CB">
        <w:rPr>
          <w:rFonts w:ascii="Times New Roman" w:eastAsia="Times New Roman" w:hAnsi="Times New Roman" w:cs="Times New Roman"/>
          <w:color w:val="000000"/>
          <w:sz w:val="28"/>
          <w:szCs w:val="28"/>
          <w:lang w:eastAsia="ru-RU" w:bidi="ru-RU"/>
        </w:rPr>
        <w:t xml:space="preserve"> капитального ремонта. Осуществлялось финансирование реконструкции 4 театров юного зрителя в Удмуртск</w:t>
      </w:r>
      <w:r w:rsidR="00F91D28">
        <w:rPr>
          <w:rFonts w:ascii="Times New Roman" w:eastAsia="Times New Roman" w:hAnsi="Times New Roman" w:cs="Times New Roman"/>
          <w:color w:val="000000"/>
          <w:sz w:val="28"/>
          <w:szCs w:val="28"/>
          <w:lang w:eastAsia="ru-RU" w:bidi="ru-RU"/>
        </w:rPr>
        <w:t>ой</w:t>
      </w:r>
      <w:r w:rsidRPr="00E931CB">
        <w:rPr>
          <w:rFonts w:ascii="Times New Roman" w:eastAsia="Times New Roman" w:hAnsi="Times New Roman" w:cs="Times New Roman"/>
          <w:color w:val="000000"/>
          <w:sz w:val="28"/>
          <w:szCs w:val="28"/>
          <w:lang w:eastAsia="ru-RU" w:bidi="ru-RU"/>
        </w:rPr>
        <w:t xml:space="preserve"> Республик</w:t>
      </w:r>
      <w:r w:rsidR="00F91D28">
        <w:rPr>
          <w:rFonts w:ascii="Times New Roman" w:eastAsia="Times New Roman" w:hAnsi="Times New Roman" w:cs="Times New Roman"/>
          <w:color w:val="000000"/>
          <w:sz w:val="28"/>
          <w:szCs w:val="28"/>
          <w:lang w:eastAsia="ru-RU" w:bidi="ru-RU"/>
        </w:rPr>
        <w:t>е</w:t>
      </w:r>
      <w:r w:rsidRPr="00E931CB">
        <w:rPr>
          <w:rFonts w:ascii="Times New Roman" w:eastAsia="Times New Roman" w:hAnsi="Times New Roman" w:cs="Times New Roman"/>
          <w:color w:val="000000"/>
          <w:sz w:val="28"/>
          <w:szCs w:val="28"/>
          <w:lang w:eastAsia="ru-RU" w:bidi="ru-RU"/>
        </w:rPr>
        <w:t>, Кемеровск</w:t>
      </w:r>
      <w:r w:rsidR="00F91D28">
        <w:rPr>
          <w:rFonts w:ascii="Times New Roman" w:eastAsia="Times New Roman" w:hAnsi="Times New Roman" w:cs="Times New Roman"/>
          <w:color w:val="000000"/>
          <w:sz w:val="28"/>
          <w:szCs w:val="28"/>
          <w:lang w:eastAsia="ru-RU" w:bidi="ru-RU"/>
        </w:rPr>
        <w:t>ой</w:t>
      </w:r>
      <w:r w:rsidRPr="00E931CB">
        <w:rPr>
          <w:rFonts w:ascii="Times New Roman" w:eastAsia="Times New Roman" w:hAnsi="Times New Roman" w:cs="Times New Roman"/>
          <w:color w:val="000000"/>
          <w:sz w:val="28"/>
          <w:szCs w:val="28"/>
          <w:lang w:eastAsia="ru-RU" w:bidi="ru-RU"/>
        </w:rPr>
        <w:t xml:space="preserve"> област</w:t>
      </w:r>
      <w:r w:rsidR="00F91D28">
        <w:rPr>
          <w:rFonts w:ascii="Times New Roman" w:eastAsia="Times New Roman" w:hAnsi="Times New Roman" w:cs="Times New Roman"/>
          <w:color w:val="000000"/>
          <w:sz w:val="28"/>
          <w:szCs w:val="28"/>
          <w:lang w:eastAsia="ru-RU" w:bidi="ru-RU"/>
        </w:rPr>
        <w:t>и – Кузбассе</w:t>
      </w:r>
      <w:r w:rsidRPr="00E931CB">
        <w:rPr>
          <w:rFonts w:ascii="Times New Roman" w:eastAsia="Times New Roman" w:hAnsi="Times New Roman" w:cs="Times New Roman"/>
          <w:color w:val="000000"/>
          <w:sz w:val="28"/>
          <w:szCs w:val="28"/>
          <w:lang w:eastAsia="ru-RU" w:bidi="ru-RU"/>
        </w:rPr>
        <w:t>, Ульяновск</w:t>
      </w:r>
      <w:r w:rsidR="00F91D28">
        <w:rPr>
          <w:rFonts w:ascii="Times New Roman" w:eastAsia="Times New Roman" w:hAnsi="Times New Roman" w:cs="Times New Roman"/>
          <w:color w:val="000000"/>
          <w:sz w:val="28"/>
          <w:szCs w:val="28"/>
          <w:lang w:eastAsia="ru-RU" w:bidi="ru-RU"/>
        </w:rPr>
        <w:t>ой</w:t>
      </w:r>
      <w:r w:rsidRPr="00E931CB">
        <w:rPr>
          <w:rFonts w:ascii="Times New Roman" w:eastAsia="Times New Roman" w:hAnsi="Times New Roman" w:cs="Times New Roman"/>
          <w:color w:val="000000"/>
          <w:sz w:val="28"/>
          <w:szCs w:val="28"/>
          <w:lang w:eastAsia="ru-RU" w:bidi="ru-RU"/>
        </w:rPr>
        <w:t xml:space="preserve"> област</w:t>
      </w:r>
      <w:r w:rsidR="00F91D28">
        <w:rPr>
          <w:rFonts w:ascii="Times New Roman" w:eastAsia="Times New Roman" w:hAnsi="Times New Roman" w:cs="Times New Roman"/>
          <w:color w:val="000000"/>
          <w:sz w:val="28"/>
          <w:szCs w:val="28"/>
          <w:lang w:eastAsia="ru-RU" w:bidi="ru-RU"/>
        </w:rPr>
        <w:t>и</w:t>
      </w:r>
      <w:r w:rsidRPr="00E931CB">
        <w:rPr>
          <w:rFonts w:ascii="Times New Roman" w:eastAsia="Times New Roman" w:hAnsi="Times New Roman" w:cs="Times New Roman"/>
          <w:color w:val="000000"/>
          <w:sz w:val="28"/>
          <w:szCs w:val="28"/>
          <w:lang w:eastAsia="ru-RU" w:bidi="ru-RU"/>
        </w:rPr>
        <w:t>, Калужск</w:t>
      </w:r>
      <w:r w:rsidR="00F91D28">
        <w:rPr>
          <w:rFonts w:ascii="Times New Roman" w:eastAsia="Times New Roman" w:hAnsi="Times New Roman" w:cs="Times New Roman"/>
          <w:color w:val="000000"/>
          <w:sz w:val="28"/>
          <w:szCs w:val="28"/>
          <w:lang w:eastAsia="ru-RU" w:bidi="ru-RU"/>
        </w:rPr>
        <w:t>ой области</w:t>
      </w:r>
      <w:r w:rsidRPr="00E931CB">
        <w:rPr>
          <w:rFonts w:ascii="Times New Roman" w:eastAsia="Times New Roman" w:hAnsi="Times New Roman" w:cs="Times New Roman"/>
          <w:color w:val="000000"/>
          <w:sz w:val="28"/>
          <w:szCs w:val="28"/>
          <w:lang w:eastAsia="ru-RU" w:bidi="ru-RU"/>
        </w:rPr>
        <w:t xml:space="preserve">. </w:t>
      </w:r>
      <w:r w:rsidR="00F91D28">
        <w:rPr>
          <w:rFonts w:ascii="Times New Roman" w:eastAsia="Times New Roman" w:hAnsi="Times New Roman" w:cs="Times New Roman"/>
          <w:color w:val="000000"/>
          <w:sz w:val="28"/>
          <w:szCs w:val="28"/>
          <w:lang w:eastAsia="ru-RU" w:bidi="ru-RU"/>
        </w:rPr>
        <w:t>Также</w:t>
      </w:r>
      <w:r w:rsidRPr="00E931CB">
        <w:rPr>
          <w:rFonts w:ascii="Times New Roman" w:eastAsia="Times New Roman" w:hAnsi="Times New Roman" w:cs="Times New Roman"/>
          <w:color w:val="000000"/>
          <w:sz w:val="28"/>
          <w:szCs w:val="28"/>
          <w:lang w:eastAsia="ru-RU" w:bidi="ru-RU"/>
        </w:rPr>
        <w:t xml:space="preserve"> завершена реконструкция театра кукол в Республике Калмыкия.</w:t>
      </w:r>
    </w:p>
    <w:p w14:paraId="1C030295" w14:textId="77777777" w:rsidR="00F91D28" w:rsidRDefault="00E931CB" w:rsidP="00E931CB">
      <w:pPr>
        <w:pStyle w:val="Style17"/>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E931CB">
        <w:rPr>
          <w:rFonts w:ascii="Times New Roman" w:eastAsia="Times New Roman" w:hAnsi="Times New Roman" w:cs="Times New Roman"/>
          <w:color w:val="000000"/>
          <w:sz w:val="28"/>
          <w:szCs w:val="28"/>
          <w:lang w:eastAsia="ru-RU" w:bidi="ru-RU"/>
        </w:rPr>
        <w:t>В 2021 г</w:t>
      </w:r>
      <w:r w:rsidR="00BC1649">
        <w:rPr>
          <w:rFonts w:ascii="Times New Roman" w:eastAsia="Times New Roman" w:hAnsi="Times New Roman" w:cs="Times New Roman"/>
          <w:color w:val="000000"/>
          <w:sz w:val="28"/>
          <w:szCs w:val="28"/>
          <w:lang w:eastAsia="ru-RU" w:bidi="ru-RU"/>
        </w:rPr>
        <w:t>.</w:t>
      </w:r>
      <w:r w:rsidRPr="00E931CB">
        <w:rPr>
          <w:rFonts w:ascii="Times New Roman" w:eastAsia="Times New Roman" w:hAnsi="Times New Roman" w:cs="Times New Roman"/>
          <w:color w:val="000000"/>
          <w:sz w:val="28"/>
          <w:szCs w:val="28"/>
          <w:lang w:eastAsia="ru-RU" w:bidi="ru-RU"/>
        </w:rPr>
        <w:t xml:space="preserve"> финансировался капитальный ремонт 8 театров юного зрителя в </w:t>
      </w:r>
      <w:r w:rsidR="00F91D28" w:rsidRPr="00E931CB">
        <w:rPr>
          <w:rFonts w:ascii="Times New Roman" w:eastAsia="Times New Roman" w:hAnsi="Times New Roman" w:cs="Times New Roman"/>
          <w:color w:val="000000"/>
          <w:sz w:val="28"/>
          <w:szCs w:val="28"/>
          <w:lang w:eastAsia="ru-RU" w:bidi="ru-RU"/>
        </w:rPr>
        <w:t>Республик</w:t>
      </w:r>
      <w:r w:rsidR="00F91D28">
        <w:rPr>
          <w:rFonts w:ascii="Times New Roman" w:eastAsia="Times New Roman" w:hAnsi="Times New Roman" w:cs="Times New Roman"/>
          <w:color w:val="000000"/>
          <w:sz w:val="28"/>
          <w:szCs w:val="28"/>
          <w:lang w:eastAsia="ru-RU" w:bidi="ru-RU"/>
        </w:rPr>
        <w:t>ах</w:t>
      </w:r>
      <w:r w:rsidR="00F91D28" w:rsidRPr="00E931CB">
        <w:rPr>
          <w:rFonts w:ascii="Times New Roman" w:eastAsia="Times New Roman" w:hAnsi="Times New Roman" w:cs="Times New Roman"/>
          <w:color w:val="000000"/>
          <w:sz w:val="28"/>
          <w:szCs w:val="28"/>
          <w:lang w:eastAsia="ru-RU" w:bidi="ru-RU"/>
        </w:rPr>
        <w:t xml:space="preserve"> Ингушети</w:t>
      </w:r>
      <w:r w:rsidR="00F91D28">
        <w:rPr>
          <w:rFonts w:ascii="Times New Roman" w:eastAsia="Times New Roman" w:hAnsi="Times New Roman" w:cs="Times New Roman"/>
          <w:color w:val="000000"/>
          <w:sz w:val="28"/>
          <w:szCs w:val="28"/>
          <w:lang w:eastAsia="ru-RU" w:bidi="ru-RU"/>
        </w:rPr>
        <w:t>я и</w:t>
      </w:r>
      <w:r w:rsidR="00F91D28" w:rsidRPr="00E931CB">
        <w:rPr>
          <w:rFonts w:ascii="Times New Roman" w:eastAsia="Times New Roman" w:hAnsi="Times New Roman" w:cs="Times New Roman"/>
          <w:color w:val="000000"/>
          <w:sz w:val="28"/>
          <w:szCs w:val="28"/>
          <w:lang w:eastAsia="ru-RU" w:bidi="ru-RU"/>
        </w:rPr>
        <w:t xml:space="preserve"> Кабардино-Балкар</w:t>
      </w:r>
      <w:r w:rsidR="00F91D28">
        <w:rPr>
          <w:rFonts w:ascii="Times New Roman" w:eastAsia="Times New Roman" w:hAnsi="Times New Roman" w:cs="Times New Roman"/>
          <w:color w:val="000000"/>
          <w:sz w:val="28"/>
          <w:szCs w:val="28"/>
          <w:lang w:eastAsia="ru-RU" w:bidi="ru-RU"/>
        </w:rPr>
        <w:t xml:space="preserve">ской, </w:t>
      </w:r>
      <w:r w:rsidR="00F91D28" w:rsidRPr="00E931CB">
        <w:rPr>
          <w:rFonts w:ascii="Times New Roman" w:eastAsia="Times New Roman" w:hAnsi="Times New Roman" w:cs="Times New Roman"/>
          <w:color w:val="000000"/>
          <w:sz w:val="28"/>
          <w:szCs w:val="28"/>
          <w:lang w:eastAsia="ru-RU" w:bidi="ru-RU"/>
        </w:rPr>
        <w:t>Хабаровском крае, Амурской</w:t>
      </w:r>
      <w:r w:rsidR="00F91D28">
        <w:rPr>
          <w:rFonts w:ascii="Times New Roman" w:eastAsia="Times New Roman" w:hAnsi="Times New Roman" w:cs="Times New Roman"/>
          <w:color w:val="000000"/>
          <w:sz w:val="28"/>
          <w:szCs w:val="28"/>
          <w:lang w:eastAsia="ru-RU" w:bidi="ru-RU"/>
        </w:rPr>
        <w:t>,</w:t>
      </w:r>
      <w:r w:rsidR="00F91D28" w:rsidRPr="00E931CB">
        <w:rPr>
          <w:rFonts w:ascii="Times New Roman" w:eastAsia="Times New Roman" w:hAnsi="Times New Roman" w:cs="Times New Roman"/>
          <w:color w:val="000000"/>
          <w:sz w:val="28"/>
          <w:szCs w:val="28"/>
          <w:lang w:eastAsia="ru-RU" w:bidi="ru-RU"/>
        </w:rPr>
        <w:t xml:space="preserve"> </w:t>
      </w:r>
      <w:r w:rsidRPr="00E931CB">
        <w:rPr>
          <w:rFonts w:ascii="Times New Roman" w:eastAsia="Times New Roman" w:hAnsi="Times New Roman" w:cs="Times New Roman"/>
          <w:color w:val="000000"/>
          <w:sz w:val="28"/>
          <w:szCs w:val="28"/>
          <w:lang w:eastAsia="ru-RU" w:bidi="ru-RU"/>
        </w:rPr>
        <w:t xml:space="preserve">Воронежской, </w:t>
      </w:r>
      <w:r w:rsidR="00F91D28" w:rsidRPr="00E931CB">
        <w:rPr>
          <w:rFonts w:ascii="Times New Roman" w:eastAsia="Times New Roman" w:hAnsi="Times New Roman" w:cs="Times New Roman"/>
          <w:color w:val="000000"/>
          <w:sz w:val="28"/>
          <w:szCs w:val="28"/>
          <w:lang w:eastAsia="ru-RU" w:bidi="ru-RU"/>
        </w:rPr>
        <w:t xml:space="preserve">Пензенской, </w:t>
      </w:r>
      <w:r w:rsidR="00F91D28">
        <w:rPr>
          <w:rFonts w:ascii="Times New Roman" w:eastAsia="Times New Roman" w:hAnsi="Times New Roman" w:cs="Times New Roman"/>
          <w:color w:val="000000"/>
          <w:sz w:val="28"/>
          <w:szCs w:val="28"/>
          <w:lang w:eastAsia="ru-RU" w:bidi="ru-RU"/>
        </w:rPr>
        <w:t>Свердловской, Челябинской областях</w:t>
      </w:r>
      <w:r w:rsidR="008F784A">
        <w:rPr>
          <w:rFonts w:ascii="Times New Roman" w:eastAsia="Times New Roman" w:hAnsi="Times New Roman" w:cs="Times New Roman"/>
          <w:color w:val="000000"/>
          <w:sz w:val="28"/>
          <w:szCs w:val="28"/>
          <w:lang w:eastAsia="ru-RU" w:bidi="ru-RU"/>
        </w:rPr>
        <w:t>.</w:t>
      </w:r>
    </w:p>
    <w:p w14:paraId="3A86C919" w14:textId="77777777" w:rsidR="00E931CB" w:rsidRPr="00E931CB" w:rsidRDefault="00F91D28" w:rsidP="00E931CB">
      <w:pPr>
        <w:pStyle w:val="Style17"/>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В</w:t>
      </w:r>
      <w:r w:rsidR="00E931CB" w:rsidRPr="00E931CB">
        <w:rPr>
          <w:rFonts w:ascii="Times New Roman" w:eastAsia="Times New Roman" w:hAnsi="Times New Roman" w:cs="Times New Roman"/>
          <w:color w:val="000000"/>
          <w:sz w:val="28"/>
          <w:szCs w:val="28"/>
          <w:lang w:eastAsia="ru-RU" w:bidi="ru-RU"/>
        </w:rPr>
        <w:t xml:space="preserve"> рамках Всероссийского гастрольно-концертного плана в 79 городах Российской Федерации прошли гастроли 86 детских театров, более чем 98 тыс. зрителям представлены 292 спектакля.</w:t>
      </w:r>
    </w:p>
    <w:p w14:paraId="5FDD9C0C" w14:textId="77777777" w:rsidR="00E931CB" w:rsidRPr="00E931CB" w:rsidRDefault="00E931CB" w:rsidP="00F91D28">
      <w:pPr>
        <w:pStyle w:val="Style17"/>
        <w:shd w:val="clear" w:color="auto" w:fill="auto"/>
        <w:spacing w:line="312" w:lineRule="auto"/>
        <w:ind w:firstLine="709"/>
        <w:jc w:val="both"/>
        <w:rPr>
          <w:rFonts w:ascii="Times New Roman" w:hAnsi="Times New Roman" w:cs="Times New Roman"/>
          <w:sz w:val="28"/>
          <w:szCs w:val="28"/>
        </w:rPr>
      </w:pPr>
      <w:r w:rsidRPr="00E931CB">
        <w:rPr>
          <w:rFonts w:ascii="Times New Roman" w:eastAsia="Times New Roman" w:hAnsi="Times New Roman" w:cs="Times New Roman"/>
          <w:color w:val="000000"/>
          <w:sz w:val="28"/>
          <w:szCs w:val="28"/>
          <w:lang w:eastAsia="ru-RU" w:bidi="ru-RU"/>
        </w:rPr>
        <w:t>На интеллектуальное развитие и духовно-нравственное становление детей и подростков направлена деятельность обширной сети библиотек.</w:t>
      </w:r>
      <w:r w:rsidR="00F91D28">
        <w:rPr>
          <w:rFonts w:ascii="Times New Roman" w:hAnsi="Times New Roman" w:cs="Times New Roman"/>
          <w:sz w:val="28"/>
          <w:szCs w:val="28"/>
        </w:rPr>
        <w:t xml:space="preserve"> </w:t>
      </w:r>
      <w:r w:rsidRPr="00E931CB">
        <w:rPr>
          <w:rFonts w:ascii="Times New Roman" w:eastAsia="Times New Roman" w:hAnsi="Times New Roman" w:cs="Times New Roman"/>
          <w:color w:val="000000"/>
          <w:sz w:val="28"/>
          <w:szCs w:val="28"/>
          <w:lang w:eastAsia="ru-RU" w:bidi="ru-RU"/>
        </w:rPr>
        <w:t xml:space="preserve">Специализированные детские и общедоступные библиотеки </w:t>
      </w:r>
      <w:r w:rsidR="00F91D28">
        <w:rPr>
          <w:rFonts w:ascii="Times New Roman" w:eastAsia="Times New Roman" w:hAnsi="Times New Roman" w:cs="Times New Roman"/>
          <w:color w:val="000000"/>
          <w:sz w:val="28"/>
          <w:szCs w:val="28"/>
          <w:lang w:eastAsia="ru-RU" w:bidi="ru-RU"/>
        </w:rPr>
        <w:t>–</w:t>
      </w:r>
      <w:r w:rsidRPr="00E931CB">
        <w:rPr>
          <w:rFonts w:ascii="Times New Roman" w:eastAsia="Times New Roman" w:hAnsi="Times New Roman" w:cs="Times New Roman"/>
          <w:color w:val="000000"/>
          <w:sz w:val="28"/>
          <w:szCs w:val="28"/>
          <w:lang w:eastAsia="ru-RU" w:bidi="ru-RU"/>
        </w:rPr>
        <w:t xml:space="preserve"> учреждения, создающие на местах условия для приобщения юных читателей к це</w:t>
      </w:r>
      <w:r w:rsidRPr="00E931CB">
        <w:rPr>
          <w:rFonts w:ascii="Times New Roman" w:hAnsi="Times New Roman" w:cs="Times New Roman"/>
          <w:sz w:val="28"/>
          <w:szCs w:val="28"/>
        </w:rPr>
        <w:t xml:space="preserve">нностям мировой и отечественной </w:t>
      </w:r>
      <w:r w:rsidRPr="00E931CB">
        <w:rPr>
          <w:rFonts w:ascii="Times New Roman" w:eastAsia="Times New Roman" w:hAnsi="Times New Roman" w:cs="Times New Roman"/>
          <w:color w:val="000000"/>
          <w:sz w:val="28"/>
          <w:szCs w:val="28"/>
          <w:lang w:eastAsia="ru-RU" w:bidi="ru-RU"/>
        </w:rPr>
        <w:t>культуры. Способствуя просвещению и</w:t>
      </w:r>
      <w:r w:rsidRPr="00E931CB">
        <w:rPr>
          <w:rFonts w:ascii="Times New Roman" w:hAnsi="Times New Roman" w:cs="Times New Roman"/>
          <w:sz w:val="28"/>
          <w:szCs w:val="28"/>
        </w:rPr>
        <w:t xml:space="preserve"> </w:t>
      </w:r>
      <w:r w:rsidRPr="00E931CB">
        <w:rPr>
          <w:rFonts w:ascii="Times New Roman" w:eastAsia="Times New Roman" w:hAnsi="Times New Roman" w:cs="Times New Roman"/>
          <w:color w:val="000000"/>
          <w:sz w:val="28"/>
          <w:szCs w:val="28"/>
          <w:lang w:eastAsia="ru-RU" w:bidi="ru-RU"/>
        </w:rPr>
        <w:t>повышению образовательного уровня детей, библиотеки предоставляют широкие возможности для развития творческой, социально ответственной личности.</w:t>
      </w:r>
    </w:p>
    <w:p w14:paraId="53B85BA3" w14:textId="77777777" w:rsidR="00E931CB" w:rsidRPr="00E931CB" w:rsidRDefault="00E931CB" w:rsidP="00F91D28">
      <w:pPr>
        <w:pStyle w:val="Style17"/>
        <w:shd w:val="clear" w:color="auto" w:fill="auto"/>
        <w:tabs>
          <w:tab w:val="left" w:pos="3812"/>
        </w:tabs>
        <w:spacing w:line="312" w:lineRule="auto"/>
        <w:ind w:firstLine="709"/>
        <w:jc w:val="both"/>
        <w:rPr>
          <w:rFonts w:ascii="Times New Roman" w:hAnsi="Times New Roman" w:cs="Times New Roman"/>
          <w:sz w:val="28"/>
          <w:szCs w:val="28"/>
        </w:rPr>
      </w:pPr>
      <w:r w:rsidRPr="00E931CB">
        <w:rPr>
          <w:rFonts w:ascii="Times New Roman" w:eastAsia="Times New Roman" w:hAnsi="Times New Roman" w:cs="Times New Roman"/>
          <w:color w:val="000000"/>
          <w:sz w:val="28"/>
          <w:szCs w:val="28"/>
          <w:lang w:eastAsia="ru-RU" w:bidi="ru-RU"/>
        </w:rPr>
        <w:t>Действующая сеть специализированных детских и общедоступных библиотек позволяет организовать систему библиотечного обсл</w:t>
      </w:r>
      <w:r w:rsidRPr="00E931CB">
        <w:rPr>
          <w:rFonts w:ascii="Times New Roman" w:hAnsi="Times New Roman" w:cs="Times New Roman"/>
          <w:sz w:val="28"/>
          <w:szCs w:val="28"/>
        </w:rPr>
        <w:t xml:space="preserve">уживания детей на всех уровнях: </w:t>
      </w:r>
      <w:r w:rsidRPr="00E931CB">
        <w:rPr>
          <w:rFonts w:ascii="Times New Roman" w:eastAsia="Times New Roman" w:hAnsi="Times New Roman" w:cs="Times New Roman"/>
          <w:color w:val="000000"/>
          <w:sz w:val="28"/>
          <w:szCs w:val="28"/>
          <w:lang w:eastAsia="ru-RU" w:bidi="ru-RU"/>
        </w:rPr>
        <w:t>от федерального (ФГБУК «Российская</w:t>
      </w:r>
      <w:r w:rsidR="00F91D28">
        <w:rPr>
          <w:rFonts w:ascii="Times New Roman" w:hAnsi="Times New Roman" w:cs="Times New Roman"/>
          <w:sz w:val="28"/>
          <w:szCs w:val="28"/>
        </w:rPr>
        <w:t xml:space="preserve"> </w:t>
      </w:r>
      <w:r w:rsidRPr="00E931CB">
        <w:rPr>
          <w:rFonts w:ascii="Times New Roman" w:eastAsia="Times New Roman" w:hAnsi="Times New Roman" w:cs="Times New Roman"/>
          <w:color w:val="000000"/>
          <w:sz w:val="28"/>
          <w:szCs w:val="28"/>
          <w:lang w:eastAsia="ru-RU" w:bidi="ru-RU"/>
        </w:rPr>
        <w:t xml:space="preserve">государственная детская библиотека» (далее </w:t>
      </w:r>
      <w:r w:rsidR="00F91D28">
        <w:rPr>
          <w:rFonts w:ascii="Times New Roman" w:eastAsia="Times New Roman" w:hAnsi="Times New Roman" w:cs="Times New Roman"/>
          <w:color w:val="000000"/>
          <w:sz w:val="28"/>
          <w:szCs w:val="28"/>
          <w:lang w:eastAsia="ru-RU" w:bidi="ru-RU"/>
        </w:rPr>
        <w:t>–</w:t>
      </w:r>
      <w:r w:rsidRPr="00E931CB">
        <w:rPr>
          <w:rFonts w:ascii="Times New Roman" w:eastAsia="Times New Roman" w:hAnsi="Times New Roman" w:cs="Times New Roman"/>
          <w:color w:val="000000"/>
          <w:sz w:val="28"/>
          <w:szCs w:val="28"/>
          <w:lang w:eastAsia="ru-RU" w:bidi="ru-RU"/>
        </w:rPr>
        <w:t xml:space="preserve"> РГДБ), региональ</w:t>
      </w:r>
      <w:r w:rsidRPr="00E931CB">
        <w:rPr>
          <w:rFonts w:ascii="Times New Roman" w:hAnsi="Times New Roman" w:cs="Times New Roman"/>
          <w:sz w:val="28"/>
          <w:szCs w:val="28"/>
        </w:rPr>
        <w:t xml:space="preserve">ного (республиканские, краевые, </w:t>
      </w:r>
      <w:r w:rsidRPr="00E931CB">
        <w:rPr>
          <w:rFonts w:ascii="Times New Roman" w:eastAsia="Times New Roman" w:hAnsi="Times New Roman" w:cs="Times New Roman"/>
          <w:color w:val="000000"/>
          <w:sz w:val="28"/>
          <w:szCs w:val="28"/>
          <w:lang w:eastAsia="ru-RU" w:bidi="ru-RU"/>
        </w:rPr>
        <w:t>областные детские и детско-юношеские</w:t>
      </w:r>
      <w:r w:rsidRPr="00E931CB">
        <w:rPr>
          <w:rFonts w:ascii="Times New Roman" w:hAnsi="Times New Roman" w:cs="Times New Roman"/>
          <w:sz w:val="28"/>
          <w:szCs w:val="28"/>
        </w:rPr>
        <w:t xml:space="preserve"> </w:t>
      </w:r>
      <w:r w:rsidRPr="00E931CB">
        <w:rPr>
          <w:rFonts w:ascii="Times New Roman" w:eastAsia="Times New Roman" w:hAnsi="Times New Roman" w:cs="Times New Roman"/>
          <w:color w:val="000000"/>
          <w:sz w:val="28"/>
          <w:szCs w:val="28"/>
          <w:lang w:eastAsia="ru-RU" w:bidi="ru-RU"/>
        </w:rPr>
        <w:t>библиотеки, центры детского чтения национальных библиотек регионов, иные структурные подразделения центральных библиотек субъектов Российской Федерации) до муниципального (центральных детских библиотек и филиалов, а также структурных подразделений общедоступных библиотек).</w:t>
      </w:r>
    </w:p>
    <w:p w14:paraId="62A06FE7" w14:textId="77777777" w:rsidR="00E931CB" w:rsidRPr="00E931CB" w:rsidRDefault="00F91D28" w:rsidP="00E931CB">
      <w:pPr>
        <w:pStyle w:val="Style17"/>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В рамках реализации</w:t>
      </w:r>
      <w:r w:rsidR="00E931CB" w:rsidRPr="00E931CB">
        <w:rPr>
          <w:rFonts w:ascii="Times New Roman" w:eastAsia="Times New Roman" w:hAnsi="Times New Roman" w:cs="Times New Roman"/>
          <w:color w:val="000000"/>
          <w:sz w:val="28"/>
          <w:szCs w:val="28"/>
          <w:lang w:eastAsia="ru-RU" w:bidi="ru-RU"/>
        </w:rPr>
        <w:t xml:space="preserve"> Концепции программы поддержки детского и юношеского чтения в Российской Федерации, утвержденной распоряжением Правите</w:t>
      </w:r>
      <w:r>
        <w:rPr>
          <w:rFonts w:ascii="Times New Roman" w:eastAsia="Times New Roman" w:hAnsi="Times New Roman" w:cs="Times New Roman"/>
          <w:color w:val="000000"/>
          <w:sz w:val="28"/>
          <w:szCs w:val="28"/>
          <w:lang w:eastAsia="ru-RU" w:bidi="ru-RU"/>
        </w:rPr>
        <w:t xml:space="preserve">льства Российской Федерации от </w:t>
      </w:r>
      <w:r w:rsidR="00E931CB" w:rsidRPr="00E931CB">
        <w:rPr>
          <w:rFonts w:ascii="Times New Roman" w:eastAsia="Times New Roman" w:hAnsi="Times New Roman" w:cs="Times New Roman"/>
          <w:color w:val="000000"/>
          <w:sz w:val="28"/>
          <w:szCs w:val="28"/>
          <w:lang w:eastAsia="ru-RU" w:bidi="ru-RU"/>
        </w:rPr>
        <w:t>3</w:t>
      </w:r>
      <w:r>
        <w:rPr>
          <w:rFonts w:ascii="Times New Roman" w:eastAsia="Times New Roman" w:hAnsi="Times New Roman" w:cs="Times New Roman"/>
          <w:color w:val="000000"/>
          <w:sz w:val="28"/>
          <w:szCs w:val="28"/>
          <w:lang w:eastAsia="ru-RU" w:bidi="ru-RU"/>
        </w:rPr>
        <w:t xml:space="preserve"> июня </w:t>
      </w:r>
      <w:r w:rsidR="00E931CB" w:rsidRPr="00E931CB">
        <w:rPr>
          <w:rFonts w:ascii="Times New Roman" w:eastAsia="Times New Roman" w:hAnsi="Times New Roman" w:cs="Times New Roman"/>
          <w:color w:val="000000"/>
          <w:sz w:val="28"/>
          <w:szCs w:val="28"/>
          <w:lang w:eastAsia="ru-RU" w:bidi="ru-RU"/>
        </w:rPr>
        <w:t>2017</w:t>
      </w:r>
      <w:r>
        <w:rPr>
          <w:rFonts w:ascii="Times New Roman" w:eastAsia="Times New Roman" w:hAnsi="Times New Roman" w:cs="Times New Roman"/>
          <w:color w:val="000000"/>
          <w:sz w:val="28"/>
          <w:szCs w:val="28"/>
          <w:lang w:eastAsia="ru-RU" w:bidi="ru-RU"/>
        </w:rPr>
        <w:t xml:space="preserve"> г.</w:t>
      </w:r>
      <w:r w:rsidR="00E931CB" w:rsidRPr="00E931CB">
        <w:rPr>
          <w:rFonts w:ascii="Times New Roman" w:eastAsia="Times New Roman" w:hAnsi="Times New Roman" w:cs="Times New Roman"/>
          <w:color w:val="000000"/>
          <w:sz w:val="28"/>
          <w:szCs w:val="28"/>
          <w:lang w:eastAsia="ru-RU" w:bidi="ru-RU"/>
        </w:rPr>
        <w:t xml:space="preserve"> № 1155-р</w:t>
      </w:r>
      <w:r>
        <w:rPr>
          <w:rFonts w:ascii="Times New Roman" w:eastAsia="Times New Roman" w:hAnsi="Times New Roman" w:cs="Times New Roman"/>
          <w:color w:val="000000"/>
          <w:sz w:val="28"/>
          <w:szCs w:val="28"/>
          <w:lang w:eastAsia="ru-RU" w:bidi="ru-RU"/>
        </w:rPr>
        <w:t>,</w:t>
      </w:r>
      <w:r w:rsidR="00E931CB" w:rsidRPr="00E931CB">
        <w:rPr>
          <w:rFonts w:ascii="Times New Roman" w:eastAsia="Times New Roman" w:hAnsi="Times New Roman" w:cs="Times New Roman"/>
          <w:color w:val="000000"/>
          <w:sz w:val="28"/>
          <w:szCs w:val="28"/>
          <w:lang w:eastAsia="ru-RU" w:bidi="ru-RU"/>
        </w:rPr>
        <w:t xml:space="preserve"> федеральными, региональными и муниципальными библиотеками проведено более 220 тыс</w:t>
      </w:r>
      <w:r>
        <w:rPr>
          <w:rFonts w:ascii="Times New Roman" w:eastAsia="Times New Roman" w:hAnsi="Times New Roman" w:cs="Times New Roman"/>
          <w:color w:val="000000"/>
          <w:sz w:val="28"/>
          <w:szCs w:val="28"/>
          <w:lang w:eastAsia="ru-RU" w:bidi="ru-RU"/>
        </w:rPr>
        <w:t>.</w:t>
      </w:r>
      <w:r w:rsidR="00E931CB" w:rsidRPr="00E931CB">
        <w:rPr>
          <w:rFonts w:ascii="Times New Roman" w:eastAsia="Times New Roman" w:hAnsi="Times New Roman" w:cs="Times New Roman"/>
          <w:color w:val="000000"/>
          <w:sz w:val="28"/>
          <w:szCs w:val="28"/>
          <w:lang w:eastAsia="ru-RU" w:bidi="ru-RU"/>
        </w:rPr>
        <w:t xml:space="preserve"> мероприятий</w:t>
      </w:r>
      <w:r>
        <w:rPr>
          <w:rFonts w:ascii="Times New Roman" w:eastAsia="Times New Roman" w:hAnsi="Times New Roman" w:cs="Times New Roman"/>
          <w:color w:val="000000"/>
          <w:sz w:val="28"/>
          <w:szCs w:val="28"/>
          <w:lang w:eastAsia="ru-RU" w:bidi="ru-RU"/>
        </w:rPr>
        <w:t xml:space="preserve">, </w:t>
      </w:r>
      <w:r w:rsidR="00E931CB" w:rsidRPr="00E931CB">
        <w:rPr>
          <w:rFonts w:ascii="Times New Roman" w:eastAsia="Times New Roman" w:hAnsi="Times New Roman" w:cs="Times New Roman"/>
          <w:color w:val="000000"/>
          <w:sz w:val="28"/>
          <w:szCs w:val="28"/>
          <w:lang w:eastAsia="ru-RU" w:bidi="ru-RU"/>
        </w:rPr>
        <w:t>в том числе в онлайн-формате</w:t>
      </w:r>
      <w:r>
        <w:rPr>
          <w:rFonts w:ascii="Times New Roman" w:eastAsia="Times New Roman" w:hAnsi="Times New Roman" w:cs="Times New Roman"/>
          <w:color w:val="000000"/>
          <w:sz w:val="28"/>
          <w:szCs w:val="28"/>
          <w:lang w:eastAsia="ru-RU" w:bidi="ru-RU"/>
        </w:rPr>
        <w:t>,</w:t>
      </w:r>
      <w:r w:rsidR="00E931CB" w:rsidRPr="00E931CB">
        <w:rPr>
          <w:rFonts w:ascii="Times New Roman" w:eastAsia="Times New Roman" w:hAnsi="Times New Roman" w:cs="Times New Roman"/>
          <w:color w:val="000000"/>
          <w:sz w:val="28"/>
          <w:szCs w:val="28"/>
          <w:lang w:eastAsia="ru-RU" w:bidi="ru-RU"/>
        </w:rPr>
        <w:t xml:space="preserve"> в поддержку детского и юношеского чтения</w:t>
      </w:r>
      <w:r w:rsidR="00554DDD">
        <w:rPr>
          <w:rFonts w:ascii="Times New Roman" w:eastAsia="Times New Roman" w:hAnsi="Times New Roman" w:cs="Times New Roman"/>
          <w:color w:val="000000"/>
          <w:sz w:val="28"/>
          <w:szCs w:val="28"/>
          <w:lang w:eastAsia="ru-RU" w:bidi="ru-RU"/>
        </w:rPr>
        <w:t>:</w:t>
      </w:r>
      <w:r w:rsidR="00E931CB" w:rsidRPr="00E931CB">
        <w:rPr>
          <w:rFonts w:ascii="Times New Roman" w:eastAsia="Times New Roman" w:hAnsi="Times New Roman" w:cs="Times New Roman"/>
          <w:color w:val="000000"/>
          <w:sz w:val="28"/>
          <w:szCs w:val="28"/>
          <w:lang w:eastAsia="ru-RU" w:bidi="ru-RU"/>
        </w:rPr>
        <w:t xml:space="preserve"> фестивали и литературные конкурсы, читательские акции, книжные выставки детских книг, творческие встречи со школьниками.</w:t>
      </w:r>
    </w:p>
    <w:p w14:paraId="3FF1DC24" w14:textId="77777777" w:rsidR="00E931CB" w:rsidRPr="00554DDD" w:rsidRDefault="00E931CB" w:rsidP="00554DDD">
      <w:pPr>
        <w:pStyle w:val="Style17"/>
        <w:shd w:val="clear" w:color="auto" w:fill="auto"/>
        <w:tabs>
          <w:tab w:val="center" w:pos="4446"/>
          <w:tab w:val="right" w:pos="6476"/>
          <w:tab w:val="right" w:pos="9361"/>
        </w:tabs>
        <w:spacing w:line="312" w:lineRule="auto"/>
        <w:ind w:firstLine="709"/>
        <w:jc w:val="both"/>
        <w:rPr>
          <w:rFonts w:ascii="Times New Roman" w:hAnsi="Times New Roman" w:cs="Times New Roman"/>
          <w:sz w:val="28"/>
          <w:szCs w:val="28"/>
        </w:rPr>
      </w:pPr>
      <w:r w:rsidRPr="00554DDD">
        <w:rPr>
          <w:rFonts w:ascii="Times New Roman" w:eastAsia="Times New Roman" w:hAnsi="Times New Roman" w:cs="Times New Roman"/>
          <w:color w:val="000000"/>
          <w:sz w:val="28"/>
          <w:szCs w:val="28"/>
          <w:lang w:eastAsia="ru-RU" w:bidi="ru-RU"/>
        </w:rPr>
        <w:t xml:space="preserve">Так, РГДБ организованы и проведены </w:t>
      </w:r>
      <w:r w:rsidRPr="00554DDD">
        <w:rPr>
          <w:rFonts w:ascii="Times New Roman" w:hAnsi="Times New Roman" w:cs="Times New Roman"/>
          <w:sz w:val="28"/>
          <w:szCs w:val="28"/>
        </w:rPr>
        <w:t xml:space="preserve">Всероссийская </w:t>
      </w:r>
      <w:r w:rsidR="00554DDD" w:rsidRPr="00554DDD">
        <w:rPr>
          <w:rFonts w:ascii="Times New Roman" w:eastAsia="Times New Roman" w:hAnsi="Times New Roman" w:cs="Times New Roman"/>
          <w:color w:val="000000"/>
          <w:sz w:val="28"/>
          <w:szCs w:val="28"/>
          <w:lang w:eastAsia="ru-RU" w:bidi="ru-RU"/>
        </w:rPr>
        <w:t>акция</w:t>
      </w:r>
      <w:r w:rsidR="00554DDD" w:rsidRPr="00554DDD">
        <w:rPr>
          <w:rFonts w:ascii="Times New Roman" w:eastAsia="Times New Roman" w:hAnsi="Times New Roman" w:cs="Times New Roman"/>
          <w:color w:val="000000"/>
          <w:sz w:val="28"/>
          <w:szCs w:val="28"/>
          <w:lang w:eastAsia="ru-RU" w:bidi="ru-RU"/>
        </w:rPr>
        <w:tab/>
      </w:r>
      <w:r w:rsidR="00554DDD" w:rsidRPr="00554DDD">
        <w:rPr>
          <w:rFonts w:ascii="Times New Roman" w:eastAsia="Calibri" w:hAnsi="Times New Roman" w:cs="Times New Roman"/>
          <w:sz w:val="28"/>
          <w:szCs w:val="28"/>
        </w:rPr>
        <w:t> </w:t>
      </w:r>
      <w:r w:rsidR="00554DDD" w:rsidRPr="00554DDD">
        <w:rPr>
          <w:rFonts w:ascii="Times New Roman" w:eastAsia="Times New Roman" w:hAnsi="Times New Roman" w:cs="Times New Roman"/>
          <w:color w:val="000000"/>
          <w:sz w:val="28"/>
          <w:szCs w:val="28"/>
          <w:lang w:eastAsia="ru-RU" w:bidi="ru-RU"/>
        </w:rPr>
        <w:t xml:space="preserve">«Библионочь – </w:t>
      </w:r>
      <w:r w:rsidRPr="00554DDD">
        <w:rPr>
          <w:rFonts w:ascii="Times New Roman" w:eastAsia="Times New Roman" w:hAnsi="Times New Roman" w:cs="Times New Roman"/>
          <w:color w:val="000000"/>
          <w:sz w:val="28"/>
          <w:szCs w:val="28"/>
          <w:lang w:eastAsia="ru-RU" w:bidi="ru-RU"/>
        </w:rPr>
        <w:t>2021»,</w:t>
      </w:r>
      <w:r w:rsidR="00554DDD" w:rsidRPr="00554DDD">
        <w:rPr>
          <w:rFonts w:ascii="Times New Roman" w:hAnsi="Times New Roman" w:cs="Times New Roman"/>
          <w:sz w:val="28"/>
          <w:szCs w:val="28"/>
        </w:rPr>
        <w:t xml:space="preserve"> </w:t>
      </w:r>
      <w:r w:rsidRPr="00554DDD">
        <w:rPr>
          <w:rFonts w:ascii="Times New Roman" w:eastAsia="Times New Roman" w:hAnsi="Times New Roman" w:cs="Times New Roman"/>
          <w:color w:val="000000"/>
          <w:sz w:val="28"/>
          <w:szCs w:val="28"/>
          <w:lang w:eastAsia="ru-RU" w:bidi="ru-RU"/>
        </w:rPr>
        <w:t>Всероссийский проект «Международный день книгодарения», Всероссийская неделя детской книги, семейный творческий фестиваль «Просто Космос»</w:t>
      </w:r>
      <w:r w:rsidR="00554DDD">
        <w:rPr>
          <w:rFonts w:ascii="Times New Roman" w:eastAsia="Times New Roman" w:hAnsi="Times New Roman" w:cs="Times New Roman"/>
          <w:color w:val="000000"/>
          <w:sz w:val="28"/>
          <w:szCs w:val="28"/>
          <w:lang w:eastAsia="ru-RU" w:bidi="ru-RU"/>
        </w:rPr>
        <w:t xml:space="preserve">, </w:t>
      </w:r>
      <w:r w:rsidRPr="00554DDD">
        <w:rPr>
          <w:rFonts w:ascii="Times New Roman" w:eastAsia="Times New Roman" w:hAnsi="Times New Roman" w:cs="Times New Roman"/>
          <w:color w:val="000000"/>
          <w:sz w:val="28"/>
          <w:szCs w:val="28"/>
          <w:lang w:eastAsia="ru-RU" w:bidi="ru-RU"/>
        </w:rPr>
        <w:t>Всероссийский фестиваль семейного чтения «#</w:t>
      </w:r>
      <w:proofErr w:type="spellStart"/>
      <w:r w:rsidRPr="00554DDD">
        <w:rPr>
          <w:rFonts w:ascii="Times New Roman" w:eastAsia="Times New Roman" w:hAnsi="Times New Roman" w:cs="Times New Roman"/>
          <w:color w:val="000000"/>
          <w:sz w:val="28"/>
          <w:szCs w:val="28"/>
          <w:lang w:eastAsia="ru-RU" w:bidi="ru-RU"/>
        </w:rPr>
        <w:t>ЧитайФестФольклор</w:t>
      </w:r>
      <w:proofErr w:type="spellEnd"/>
      <w:r w:rsidRPr="00554DDD">
        <w:rPr>
          <w:rFonts w:ascii="Times New Roman" w:eastAsia="Times New Roman" w:hAnsi="Times New Roman" w:cs="Times New Roman"/>
          <w:color w:val="000000"/>
          <w:sz w:val="28"/>
          <w:szCs w:val="28"/>
          <w:lang w:eastAsia="ru-RU" w:bidi="ru-RU"/>
        </w:rPr>
        <w:t>»</w:t>
      </w:r>
      <w:r w:rsidR="00554DDD">
        <w:rPr>
          <w:rFonts w:ascii="Times New Roman" w:eastAsia="Times New Roman" w:hAnsi="Times New Roman" w:cs="Times New Roman"/>
          <w:color w:val="000000"/>
          <w:sz w:val="28"/>
          <w:szCs w:val="28"/>
          <w:lang w:eastAsia="ru-RU" w:bidi="ru-RU"/>
        </w:rPr>
        <w:t>,</w:t>
      </w:r>
      <w:r w:rsidRPr="00554DDD">
        <w:rPr>
          <w:rFonts w:ascii="Times New Roman" w:eastAsia="Times New Roman" w:hAnsi="Times New Roman" w:cs="Times New Roman"/>
          <w:color w:val="000000"/>
          <w:sz w:val="28"/>
          <w:szCs w:val="28"/>
          <w:lang w:eastAsia="ru-RU" w:bidi="ru-RU"/>
        </w:rPr>
        <w:t xml:space="preserve"> новогодний семейный фестиваль «Рождественские дни в РГДБ»</w:t>
      </w:r>
      <w:r w:rsidR="00554DDD">
        <w:rPr>
          <w:rFonts w:ascii="Times New Roman" w:eastAsia="Times New Roman" w:hAnsi="Times New Roman" w:cs="Times New Roman"/>
          <w:color w:val="000000"/>
          <w:sz w:val="28"/>
          <w:szCs w:val="28"/>
          <w:lang w:eastAsia="ru-RU" w:bidi="ru-RU"/>
        </w:rPr>
        <w:t>,</w:t>
      </w:r>
      <w:r w:rsidRPr="00554DDD">
        <w:rPr>
          <w:rFonts w:ascii="Times New Roman" w:eastAsia="Times New Roman" w:hAnsi="Times New Roman" w:cs="Times New Roman"/>
          <w:color w:val="000000"/>
          <w:sz w:val="28"/>
          <w:szCs w:val="28"/>
          <w:lang w:eastAsia="ru-RU" w:bidi="ru-RU"/>
        </w:rPr>
        <w:t xml:space="preserve"> просветительский проект «Виртуальный выставочный зал РГДБ».</w:t>
      </w:r>
    </w:p>
    <w:p w14:paraId="3C972825" w14:textId="499716B1" w:rsidR="00401F00" w:rsidRDefault="00E931CB" w:rsidP="00E931CB">
      <w:pPr>
        <w:spacing w:after="0" w:line="312" w:lineRule="auto"/>
        <w:ind w:firstLine="709"/>
        <w:jc w:val="both"/>
        <w:rPr>
          <w:rFonts w:ascii="Times New Roman" w:eastAsia="Times New Roman" w:hAnsi="Times New Roman" w:cs="Times New Roman"/>
          <w:color w:val="000000"/>
          <w:sz w:val="28"/>
          <w:szCs w:val="28"/>
          <w:lang w:eastAsia="ru-RU" w:bidi="ru-RU"/>
        </w:rPr>
      </w:pPr>
      <w:r w:rsidRPr="00554DDD">
        <w:rPr>
          <w:rFonts w:ascii="Times New Roman" w:eastAsia="Times New Roman" w:hAnsi="Times New Roman" w:cs="Times New Roman"/>
          <w:color w:val="000000"/>
          <w:sz w:val="28"/>
          <w:szCs w:val="28"/>
          <w:lang w:eastAsia="ru-RU" w:bidi="ru-RU"/>
        </w:rPr>
        <w:t>В Учебном центре РГДБ прошли повышение квалификации 633 специалиста библиотек, обслуживающих детей, в том числе 400 специалистов по программам повышения квалификации: «Детский библиотекарь: новые компетенции в современных реалиях»</w:t>
      </w:r>
      <w:r w:rsidR="00554DDD">
        <w:rPr>
          <w:rFonts w:ascii="Times New Roman" w:eastAsia="Times New Roman" w:hAnsi="Times New Roman" w:cs="Times New Roman"/>
          <w:color w:val="000000"/>
          <w:sz w:val="28"/>
          <w:szCs w:val="28"/>
          <w:lang w:eastAsia="ru-RU" w:bidi="ru-RU"/>
        </w:rPr>
        <w:t>,</w:t>
      </w:r>
      <w:r w:rsidRPr="00554DDD">
        <w:rPr>
          <w:rFonts w:ascii="Times New Roman" w:eastAsia="Times New Roman" w:hAnsi="Times New Roman" w:cs="Times New Roman"/>
          <w:color w:val="000000"/>
          <w:sz w:val="28"/>
          <w:szCs w:val="28"/>
          <w:lang w:eastAsia="ru-RU" w:bidi="ru-RU"/>
        </w:rPr>
        <w:t xml:space="preserve"> «Чтение современных детей и подростков: психология, педагогика, формы и методы продвижения»</w:t>
      </w:r>
      <w:r w:rsidR="00554DDD">
        <w:rPr>
          <w:rFonts w:ascii="Times New Roman" w:eastAsia="Times New Roman" w:hAnsi="Times New Roman" w:cs="Times New Roman"/>
          <w:color w:val="000000"/>
          <w:sz w:val="28"/>
          <w:szCs w:val="28"/>
          <w:lang w:eastAsia="ru-RU" w:bidi="ru-RU"/>
        </w:rPr>
        <w:t>,</w:t>
      </w:r>
      <w:r w:rsidRPr="00554DDD">
        <w:rPr>
          <w:rFonts w:ascii="Times New Roman" w:eastAsia="Times New Roman" w:hAnsi="Times New Roman" w:cs="Times New Roman"/>
          <w:color w:val="000000"/>
          <w:sz w:val="28"/>
          <w:szCs w:val="28"/>
          <w:lang w:eastAsia="ru-RU" w:bidi="ru-RU"/>
        </w:rPr>
        <w:t xml:space="preserve"> «Современная детская литература»</w:t>
      </w:r>
      <w:r w:rsidR="00554DDD">
        <w:rPr>
          <w:rFonts w:ascii="Times New Roman" w:eastAsia="Times New Roman" w:hAnsi="Times New Roman" w:cs="Times New Roman"/>
          <w:color w:val="000000"/>
          <w:sz w:val="28"/>
          <w:szCs w:val="28"/>
          <w:lang w:eastAsia="ru-RU" w:bidi="ru-RU"/>
        </w:rPr>
        <w:t>,</w:t>
      </w:r>
      <w:r w:rsidRPr="00554DDD">
        <w:rPr>
          <w:rFonts w:ascii="Times New Roman" w:eastAsia="Times New Roman" w:hAnsi="Times New Roman" w:cs="Times New Roman"/>
          <w:color w:val="000000"/>
          <w:sz w:val="28"/>
          <w:szCs w:val="28"/>
          <w:lang w:eastAsia="ru-RU" w:bidi="ru-RU"/>
        </w:rPr>
        <w:t xml:space="preserve"> </w:t>
      </w:r>
      <w:r w:rsidR="00DF4B69">
        <w:rPr>
          <w:rFonts w:ascii="Times New Roman" w:eastAsia="Times New Roman" w:hAnsi="Times New Roman" w:cs="Times New Roman"/>
          <w:color w:val="000000"/>
          <w:sz w:val="28"/>
          <w:szCs w:val="28"/>
          <w:lang w:eastAsia="ru-RU" w:bidi="ru-RU"/>
        </w:rPr>
        <w:br/>
      </w:r>
      <w:r w:rsidRPr="00554DDD">
        <w:rPr>
          <w:rFonts w:ascii="Times New Roman" w:eastAsia="Times New Roman" w:hAnsi="Times New Roman" w:cs="Times New Roman"/>
          <w:color w:val="000000"/>
          <w:sz w:val="28"/>
          <w:szCs w:val="28"/>
          <w:lang w:eastAsia="ru-RU" w:bidi="ru-RU"/>
        </w:rPr>
        <w:t>«</w:t>
      </w:r>
      <w:r w:rsidRPr="00554DDD">
        <w:rPr>
          <w:rFonts w:ascii="Times New Roman" w:eastAsia="Times New Roman" w:hAnsi="Times New Roman" w:cs="Times New Roman"/>
          <w:color w:val="000000"/>
          <w:sz w:val="28"/>
          <w:szCs w:val="28"/>
          <w:lang w:val="en-US" w:eastAsia="ru-RU" w:bidi="ru-RU"/>
        </w:rPr>
        <w:t>IT</w:t>
      </w:r>
      <w:r w:rsidRPr="00554DDD">
        <w:rPr>
          <w:rFonts w:ascii="Times New Roman" w:eastAsia="Times New Roman" w:hAnsi="Times New Roman" w:cs="Times New Roman"/>
          <w:color w:val="000000"/>
          <w:sz w:val="28"/>
          <w:szCs w:val="28"/>
          <w:lang w:eastAsia="ru-RU" w:bidi="ru-RU"/>
        </w:rPr>
        <w:t>-технологии и цифровые ресурсы в библиотечном обслуживании детей».</w:t>
      </w:r>
    </w:p>
    <w:p w14:paraId="0DEBEFD5" w14:textId="77777777" w:rsidR="001C343A" w:rsidRDefault="001C343A" w:rsidP="00E931CB">
      <w:pPr>
        <w:spacing w:after="0" w:line="312"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Кроме того, проекты, направленные на раскрытие уникальных возможностей и талантов, реализуются Федеральным агентством </w:t>
      </w:r>
      <w:r w:rsidR="00226607">
        <w:rPr>
          <w:rFonts w:ascii="Times New Roman" w:eastAsia="Times New Roman" w:hAnsi="Times New Roman" w:cs="Times New Roman"/>
          <w:color w:val="000000"/>
          <w:sz w:val="28"/>
          <w:szCs w:val="28"/>
          <w:lang w:eastAsia="ru-RU" w:bidi="ru-RU"/>
        </w:rPr>
        <w:t>по делам молодежи. Ключевым мероприятием для подростков является Всероссийский конкурс для школьников «Большая перемена» (далее по тексту подраздела – Конкурс, «Большая перемена»), который дает возможность каждому раскрыть свои способности и таланты. Конкурс сегодня становится навигатором в большом пространстве возможностей, которые открываются для детей в нашей стране, поскольку в рамках него представлен широкий диапазон инструментов самореализации и маршрутов к жизненному успеху.</w:t>
      </w:r>
    </w:p>
    <w:p w14:paraId="2F5C706F" w14:textId="77777777" w:rsidR="00226607" w:rsidRDefault="00226607" w:rsidP="00E931CB">
      <w:pPr>
        <w:spacing w:after="0" w:line="312"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В 2021 г</w:t>
      </w:r>
      <w:r w:rsidR="00BC1649">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 xml:space="preserve"> в Конкурсе приняли участие более 2,5 млн человек из всех регионов или 22,2% от общего числа обучающихся в 5</w:t>
      </w:r>
      <w:r w:rsidR="00A03AF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11 классах, из них 1,1 млн – обучающиеся 5</w:t>
      </w:r>
      <w:r w:rsidR="00A03AF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7 классов, 1,0 млн – обучающиеся 8</w:t>
      </w:r>
      <w:r w:rsidR="00A03AF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10 классов, 410,4 тыс. – студенты, получающие образование по программам среднего профессионального образования, 4,9 тыс. – иностранные граждане.</w:t>
      </w:r>
    </w:p>
    <w:p w14:paraId="085212B1" w14:textId="77777777" w:rsidR="00226607" w:rsidRDefault="00226607" w:rsidP="00E931CB">
      <w:pPr>
        <w:spacing w:after="0" w:line="312"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«Большая перемена» стала самым массовым конкурсом, в рамках которого преодолена проблема элитарности академических конкурсов и олимпиад школьников.</w:t>
      </w:r>
    </w:p>
    <w:p w14:paraId="4FA3C4E6" w14:textId="77777777" w:rsidR="00921E4B" w:rsidRDefault="000F65EA" w:rsidP="00921E4B">
      <w:pPr>
        <w:spacing w:after="0" w:line="312"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Конкурс проходит по 12 н</w:t>
      </w:r>
      <w:r w:rsidR="00921E4B">
        <w:rPr>
          <w:rFonts w:ascii="Times New Roman" w:eastAsia="Times New Roman" w:hAnsi="Times New Roman" w:cs="Times New Roman"/>
          <w:color w:val="000000"/>
          <w:sz w:val="28"/>
          <w:szCs w:val="28"/>
          <w:lang w:eastAsia="ru-RU" w:bidi="ru-RU"/>
        </w:rPr>
        <w:t>аправлениям и охватывает широкий круг интересов современных детей и подростков: наука и технологии («Создавай будущее!»), искусство и творчество («Твори!»), журналистика и новые медиа («Расскажи о главном!»), урбанистика («Меняй мир вокруг»), историческая память («Помни!»), экология («Сохраняй природу!»), здоровый образ жизни («Будь здоров!»), путешествия и туризм («Познавай Россию!»), волонтерство («Делай добро!»).</w:t>
      </w:r>
    </w:p>
    <w:p w14:paraId="58C59906" w14:textId="77777777" w:rsidR="00921E4B" w:rsidRDefault="00937EC9" w:rsidP="00921E4B">
      <w:pPr>
        <w:spacing w:after="0" w:line="312"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В 2021 г</w:t>
      </w:r>
      <w:r w:rsidR="00BC1649">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 xml:space="preserve"> в Конкурсе появились новые треки, связанные с развитием образовательных технологий («Открывай новое!»), молодежным предпринимательством («Предпринимай!»), государственной обороной и безопасностью («Служи Отечеству!»).</w:t>
      </w:r>
    </w:p>
    <w:p w14:paraId="2F8C637B" w14:textId="77777777" w:rsidR="00937EC9" w:rsidRDefault="002E4ED2" w:rsidP="00921E4B">
      <w:pPr>
        <w:spacing w:after="0" w:line="312"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Конкурс позволяет каждому участнику пройти профориентационное тестирование, получить представление о своих сильных качествах, чтобы не только определиться с выбором будущей профессии, но и выбрать направление Конкурса, в котором молодой человек сможет проявить себя наиболее успешно. В ходе Конкурса школьники работают над практическими задачами, которые предоставляются ведущими российскими вузами, компаниями, регионами и некоммерческими организациями.</w:t>
      </w:r>
      <w:r w:rsidR="009D1CA5">
        <w:rPr>
          <w:rFonts w:ascii="Times New Roman" w:eastAsia="Times New Roman" w:hAnsi="Times New Roman" w:cs="Times New Roman"/>
          <w:color w:val="000000"/>
          <w:sz w:val="28"/>
          <w:szCs w:val="28"/>
          <w:lang w:eastAsia="ru-RU" w:bidi="ru-RU"/>
        </w:rPr>
        <w:t xml:space="preserve"> Обучающиеся, которые хотят продолжить работу над своими проектами по окончании Конкурса, имеют возможность обратиться за грантовой поддержкой в Росмолодежь.</w:t>
      </w:r>
    </w:p>
    <w:p w14:paraId="37D13987" w14:textId="77777777" w:rsidR="00981303" w:rsidRDefault="00981303" w:rsidP="00981303">
      <w:pPr>
        <w:spacing w:after="0" w:line="312"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Помимо этого, в рамках деятельности сообщества «Большой перемены» школьники впервые получили возможность принимать участие в обсуждении всех значимых вопросов повестки детства, получили в свое распоряжение инструменты воплощения в жизнь своих инициатив, направленных на позитивное преобразование окружающей их среды.</w:t>
      </w:r>
      <w:r w:rsidR="005B3191">
        <w:rPr>
          <w:rFonts w:ascii="Times New Roman" w:eastAsia="Times New Roman" w:hAnsi="Times New Roman" w:cs="Times New Roman"/>
          <w:color w:val="000000"/>
          <w:sz w:val="28"/>
          <w:szCs w:val="28"/>
          <w:lang w:eastAsia="ru-RU" w:bidi="ru-RU"/>
        </w:rPr>
        <w:t xml:space="preserve"> Так, школьников привлекали к разработке концепции рекламной кампании программы «Пушкинская карта», к участию в семинаре-совещании по подготовке Заседания Президиума Государственного Совета Российской Федерации по образованию. Детское жюри конкурса «Учитель года России» в 2021 г</w:t>
      </w:r>
      <w:r w:rsidR="00BC1649">
        <w:rPr>
          <w:rFonts w:ascii="Times New Roman" w:eastAsia="Times New Roman" w:hAnsi="Times New Roman" w:cs="Times New Roman"/>
          <w:color w:val="000000"/>
          <w:sz w:val="28"/>
          <w:szCs w:val="28"/>
          <w:lang w:eastAsia="ru-RU" w:bidi="ru-RU"/>
        </w:rPr>
        <w:t>.</w:t>
      </w:r>
      <w:r w:rsidR="005B3191">
        <w:rPr>
          <w:rFonts w:ascii="Times New Roman" w:eastAsia="Times New Roman" w:hAnsi="Times New Roman" w:cs="Times New Roman"/>
          <w:color w:val="000000"/>
          <w:sz w:val="28"/>
          <w:szCs w:val="28"/>
          <w:lang w:eastAsia="ru-RU" w:bidi="ru-RU"/>
        </w:rPr>
        <w:t xml:space="preserve"> также было сформировано из участников сообщества «Большая перемена».</w:t>
      </w:r>
    </w:p>
    <w:p w14:paraId="7098D3B2" w14:textId="77777777" w:rsidR="005B3191" w:rsidRDefault="00C61B48" w:rsidP="00981303">
      <w:pPr>
        <w:spacing w:after="0" w:line="312"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Активное участие в развитии «Большой перемены» принимают педагоги общего и дополнительного образования, благодаря чему сформировано самое крупное сообщество педагогов в стране, насчитывающее более 150 тыс. человек.</w:t>
      </w:r>
    </w:p>
    <w:p w14:paraId="31FE43D5" w14:textId="0E6FD1E4" w:rsidR="00C61B48" w:rsidRDefault="00C61B48" w:rsidP="00981303">
      <w:pPr>
        <w:spacing w:after="0" w:line="312"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Педагоги-наставники участников Конкурса вы</w:t>
      </w:r>
      <w:r w:rsidR="00E13809">
        <w:rPr>
          <w:rFonts w:ascii="Times New Roman" w:eastAsia="Times New Roman" w:hAnsi="Times New Roman" w:cs="Times New Roman"/>
          <w:color w:val="000000"/>
          <w:sz w:val="28"/>
          <w:szCs w:val="28"/>
          <w:lang w:eastAsia="ru-RU" w:bidi="ru-RU"/>
        </w:rPr>
        <w:t>ступили с инициативой создания клубов «Большой перемены», целью которых является объединение активных детей, педагогов, родителей и администрации общеобразовательной организации для решения общих задач, создания проектов и проведения мероприятий, решающих реальные вопросы, стоящие перед общеобразовательной организацией. В 2021 г</w:t>
      </w:r>
      <w:r w:rsidR="00BC1649">
        <w:rPr>
          <w:rFonts w:ascii="Times New Roman" w:eastAsia="Times New Roman" w:hAnsi="Times New Roman" w:cs="Times New Roman"/>
          <w:color w:val="000000"/>
          <w:sz w:val="28"/>
          <w:szCs w:val="28"/>
          <w:lang w:eastAsia="ru-RU" w:bidi="ru-RU"/>
        </w:rPr>
        <w:t>.</w:t>
      </w:r>
      <w:r w:rsidR="00E13809">
        <w:rPr>
          <w:rFonts w:ascii="Times New Roman" w:eastAsia="Times New Roman" w:hAnsi="Times New Roman" w:cs="Times New Roman"/>
          <w:color w:val="000000"/>
          <w:sz w:val="28"/>
          <w:szCs w:val="28"/>
          <w:lang w:eastAsia="ru-RU" w:bidi="ru-RU"/>
        </w:rPr>
        <w:t xml:space="preserve"> </w:t>
      </w:r>
      <w:r w:rsidR="00DF4B69">
        <w:rPr>
          <w:rFonts w:ascii="Times New Roman" w:eastAsia="Times New Roman" w:hAnsi="Times New Roman" w:cs="Times New Roman"/>
          <w:color w:val="000000"/>
          <w:sz w:val="28"/>
          <w:szCs w:val="28"/>
          <w:lang w:eastAsia="ru-RU" w:bidi="ru-RU"/>
        </w:rPr>
        <w:br/>
      </w:r>
      <w:r w:rsidR="00E13809">
        <w:rPr>
          <w:rFonts w:ascii="Times New Roman" w:eastAsia="Times New Roman" w:hAnsi="Times New Roman" w:cs="Times New Roman"/>
          <w:color w:val="000000"/>
          <w:sz w:val="28"/>
          <w:szCs w:val="28"/>
          <w:lang w:eastAsia="ru-RU" w:bidi="ru-RU"/>
        </w:rPr>
        <w:t>в 76 субъектах Российской Федерации создано более 300 клубов, объединивших более 10 тыс. обучающихся, педагогов-наставников, родителей и выпускников Конкурса.</w:t>
      </w:r>
    </w:p>
    <w:p w14:paraId="027D1913" w14:textId="77777777" w:rsidR="00E13809" w:rsidRDefault="00E13809" w:rsidP="00981303">
      <w:pPr>
        <w:spacing w:after="0" w:line="312"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В 2021 г</w:t>
      </w:r>
      <w:r w:rsidR="00BC1649">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 xml:space="preserve"> к развитию сообщества «Большая перемена» присоединились и родители. В рамках семейного трека «Родные – любимые» прошли смены «Большой перемены» в Архызе и на фестивале «</w:t>
      </w:r>
      <w:proofErr w:type="spellStart"/>
      <w:r>
        <w:rPr>
          <w:rFonts w:ascii="Times New Roman" w:eastAsia="Times New Roman" w:hAnsi="Times New Roman" w:cs="Times New Roman"/>
          <w:color w:val="000000"/>
          <w:sz w:val="28"/>
          <w:szCs w:val="28"/>
          <w:lang w:eastAsia="ru-RU" w:bidi="ru-RU"/>
        </w:rPr>
        <w:t>Таврида.АРТ</w:t>
      </w:r>
      <w:proofErr w:type="spellEnd"/>
      <w:r>
        <w:rPr>
          <w:rFonts w:ascii="Times New Roman" w:eastAsia="Times New Roman" w:hAnsi="Times New Roman" w:cs="Times New Roman"/>
          <w:color w:val="000000"/>
          <w:sz w:val="28"/>
          <w:szCs w:val="28"/>
          <w:lang w:eastAsia="ru-RU" w:bidi="ru-RU"/>
        </w:rPr>
        <w:t>» в Республике Крым. Итоговым мероприятием семейного трека стала предновогодняя программа для детей и родителей, которая прошла в г. Москве.</w:t>
      </w:r>
    </w:p>
    <w:p w14:paraId="1437A773" w14:textId="77777777" w:rsidR="00E13809" w:rsidRDefault="00E13809" w:rsidP="00981303">
      <w:pPr>
        <w:spacing w:after="0" w:line="312"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Кроме того, родители обучающихся принимают участие в традиционной волонтерской акции «Добрая суббота», реализуем</w:t>
      </w:r>
      <w:r w:rsidR="007075F5">
        <w:rPr>
          <w:rFonts w:ascii="Times New Roman" w:eastAsia="Times New Roman" w:hAnsi="Times New Roman" w:cs="Times New Roman"/>
          <w:color w:val="000000"/>
          <w:sz w:val="28"/>
          <w:szCs w:val="28"/>
          <w:lang w:eastAsia="ru-RU" w:bidi="ru-RU"/>
        </w:rPr>
        <w:t>ой</w:t>
      </w:r>
      <w:r>
        <w:rPr>
          <w:rFonts w:ascii="Times New Roman" w:eastAsia="Times New Roman" w:hAnsi="Times New Roman" w:cs="Times New Roman"/>
          <w:color w:val="000000"/>
          <w:sz w:val="28"/>
          <w:szCs w:val="28"/>
          <w:lang w:eastAsia="ru-RU" w:bidi="ru-RU"/>
        </w:rPr>
        <w:t xml:space="preserve"> по инициативе региональных команд «Большой перемены» на протяжении года. </w:t>
      </w:r>
      <w:r w:rsidR="007075F5">
        <w:rPr>
          <w:rFonts w:ascii="Times New Roman" w:eastAsia="Times New Roman" w:hAnsi="Times New Roman" w:cs="Times New Roman"/>
          <w:color w:val="000000"/>
          <w:sz w:val="28"/>
          <w:szCs w:val="28"/>
          <w:lang w:eastAsia="ru-RU" w:bidi="ru-RU"/>
        </w:rPr>
        <w:t>Непрерывная социальная практика дает детям возможность проявить ответственность и попробовать себя в разных направлениях добровольчества. В 2021 г</w:t>
      </w:r>
      <w:r w:rsidR="00BC1649">
        <w:rPr>
          <w:rFonts w:ascii="Times New Roman" w:eastAsia="Times New Roman" w:hAnsi="Times New Roman" w:cs="Times New Roman"/>
          <w:color w:val="000000"/>
          <w:sz w:val="28"/>
          <w:szCs w:val="28"/>
          <w:lang w:eastAsia="ru-RU" w:bidi="ru-RU"/>
        </w:rPr>
        <w:t>.</w:t>
      </w:r>
      <w:r w:rsidR="007075F5">
        <w:rPr>
          <w:rFonts w:ascii="Times New Roman" w:eastAsia="Times New Roman" w:hAnsi="Times New Roman" w:cs="Times New Roman"/>
          <w:color w:val="000000"/>
          <w:sz w:val="28"/>
          <w:szCs w:val="28"/>
          <w:lang w:eastAsia="ru-RU" w:bidi="ru-RU"/>
        </w:rPr>
        <w:t xml:space="preserve"> проведено 52 «добрых субботы», в рамках которых обучающиеся помогали пожилым педагогам, поддерживали ветеранов, заботились об окружающей среде и проводили патриотические акции, приуроченные к государственным праздникам.</w:t>
      </w:r>
    </w:p>
    <w:p w14:paraId="361FAD70" w14:textId="77777777" w:rsidR="007075F5" w:rsidRDefault="007075F5" w:rsidP="00981303">
      <w:pPr>
        <w:spacing w:after="0" w:line="312"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 целью </w:t>
      </w:r>
      <w:r w:rsidR="00B342C8">
        <w:rPr>
          <w:rFonts w:ascii="Times New Roman" w:eastAsia="Times New Roman" w:hAnsi="Times New Roman" w:cs="Times New Roman"/>
          <w:color w:val="000000"/>
          <w:sz w:val="28"/>
          <w:szCs w:val="28"/>
          <w:lang w:eastAsia="ru-RU" w:bidi="ru-RU"/>
        </w:rPr>
        <w:t>совершенствования государственной политики в области воспитания подрастающего поколения и содействия формированию личности на основе присущей российскому обществу системы ценностей в 2015 г</w:t>
      </w:r>
      <w:r w:rsidR="00BC1649">
        <w:rPr>
          <w:rFonts w:ascii="Times New Roman" w:eastAsia="Times New Roman" w:hAnsi="Times New Roman" w:cs="Times New Roman"/>
          <w:color w:val="000000"/>
          <w:sz w:val="28"/>
          <w:szCs w:val="28"/>
          <w:lang w:eastAsia="ru-RU" w:bidi="ru-RU"/>
        </w:rPr>
        <w:t>.</w:t>
      </w:r>
      <w:r w:rsidR="00B342C8">
        <w:rPr>
          <w:rFonts w:ascii="Times New Roman" w:eastAsia="Times New Roman" w:hAnsi="Times New Roman" w:cs="Times New Roman"/>
          <w:color w:val="000000"/>
          <w:sz w:val="28"/>
          <w:szCs w:val="28"/>
          <w:lang w:eastAsia="ru-RU" w:bidi="ru-RU"/>
        </w:rPr>
        <w:t xml:space="preserve"> создана Общероссийская общественно-государственная детско-юношеская организация «Российское движение школьников» (далее – Российское движение школьников), объединявшее в 2021 г</w:t>
      </w:r>
      <w:r w:rsidR="00BC1649">
        <w:rPr>
          <w:rFonts w:ascii="Times New Roman" w:eastAsia="Times New Roman" w:hAnsi="Times New Roman" w:cs="Times New Roman"/>
          <w:color w:val="000000"/>
          <w:sz w:val="28"/>
          <w:szCs w:val="28"/>
          <w:lang w:eastAsia="ru-RU" w:bidi="ru-RU"/>
        </w:rPr>
        <w:t>.</w:t>
      </w:r>
      <w:r w:rsidR="00B342C8">
        <w:rPr>
          <w:rFonts w:ascii="Times New Roman" w:eastAsia="Times New Roman" w:hAnsi="Times New Roman" w:cs="Times New Roman"/>
          <w:color w:val="000000"/>
          <w:sz w:val="28"/>
          <w:szCs w:val="28"/>
          <w:lang w:eastAsia="ru-RU" w:bidi="ru-RU"/>
        </w:rPr>
        <w:t xml:space="preserve"> </w:t>
      </w:r>
      <w:r w:rsidR="000C0BEC">
        <w:rPr>
          <w:rFonts w:ascii="Times New Roman" w:eastAsia="Times New Roman" w:hAnsi="Times New Roman" w:cs="Times New Roman"/>
          <w:color w:val="000000"/>
          <w:sz w:val="28"/>
          <w:szCs w:val="28"/>
          <w:lang w:eastAsia="ru-RU" w:bidi="ru-RU"/>
        </w:rPr>
        <w:t>более 1,6 млн обучающихся, их родителей и педагогов из более 26 тыс. общеобразовательных организаций 85 субъектов Российской Федерации. Было создано 80 ресурсных центров и открыто 8 тыс. первичных отделений.</w:t>
      </w:r>
    </w:p>
    <w:p w14:paraId="784D772D" w14:textId="77777777" w:rsidR="000C0BEC" w:rsidRDefault="000C0BEC" w:rsidP="00981303">
      <w:pPr>
        <w:spacing w:after="0" w:line="312"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Российское движение школьников реализует федеральные проекты различной направленности: экология, добровольчество, медиа, спорт, дизайн, самоуправление, а также является оператором 4 проектов: «Добро не уходит на каникулы», «Лига вожатых», «Навигаторы детства» и «Классные встречи».</w:t>
      </w:r>
    </w:p>
    <w:p w14:paraId="4EE20337" w14:textId="77777777" w:rsidR="00D03A4F" w:rsidRDefault="00D03A4F" w:rsidP="002E52A2">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Развитие детского и семейн</w:t>
      </w:r>
      <w:r w:rsidR="00D62E84">
        <w:rPr>
          <w:rFonts w:ascii="Times New Roman" w:eastAsia="Times New Roman" w:hAnsi="Times New Roman" w:cs="Times New Roman"/>
          <w:b/>
          <w:sz w:val="28"/>
          <w:szCs w:val="28"/>
          <w:lang w:eastAsia="ru-RU"/>
        </w:rPr>
        <w:t>ого спорта, физической культуры</w:t>
      </w:r>
      <w:r w:rsidR="00D62E84">
        <w:rPr>
          <w:rFonts w:ascii="Times New Roman" w:eastAsia="Times New Roman" w:hAnsi="Times New Roman" w:cs="Times New Roman"/>
          <w:b/>
          <w:sz w:val="28"/>
          <w:szCs w:val="28"/>
          <w:lang w:eastAsia="ru-RU"/>
        </w:rPr>
        <w:br/>
      </w:r>
      <w:r w:rsidRPr="00D03A4F">
        <w:rPr>
          <w:rFonts w:ascii="Times New Roman" w:eastAsia="Times New Roman" w:hAnsi="Times New Roman" w:cs="Times New Roman"/>
          <w:b/>
          <w:sz w:val="28"/>
          <w:szCs w:val="28"/>
          <w:lang w:eastAsia="ru-RU"/>
        </w:rPr>
        <w:t>и туризма</w:t>
      </w:r>
    </w:p>
    <w:p w14:paraId="4FA23736" w14:textId="77777777" w:rsidR="00C92470" w:rsidRPr="00C92470" w:rsidRDefault="00C92470" w:rsidP="00C92470">
      <w:pPr>
        <w:pStyle w:val="Style5"/>
        <w:shd w:val="clear" w:color="auto" w:fill="auto"/>
        <w:spacing w:line="312" w:lineRule="auto"/>
        <w:ind w:firstLine="709"/>
        <w:jc w:val="both"/>
        <w:rPr>
          <w:sz w:val="28"/>
          <w:szCs w:val="28"/>
          <w:u w:val="none"/>
        </w:rPr>
      </w:pPr>
      <w:r w:rsidRPr="00C92470">
        <w:rPr>
          <w:sz w:val="28"/>
          <w:szCs w:val="28"/>
          <w:u w:val="none"/>
        </w:rPr>
        <w:t>Формирование приоритетов государственной политики в сфере физической культуры и спорта, основных направлений и механизмов, способствующих созданию условий, обеспечивающих равные возможности гражданам страны вести здоровый образ жизни, систематически заниматься физической культурой и спортом, и способствующих повышению конкурентоспособности российского спорта является основной целью Стратегии развития физической культуры и спорта в Российской Федерации на период до 2030 г</w:t>
      </w:r>
      <w:r w:rsidR="00BC1649">
        <w:rPr>
          <w:sz w:val="28"/>
          <w:szCs w:val="28"/>
          <w:u w:val="none"/>
        </w:rPr>
        <w:t>.</w:t>
      </w:r>
      <w:r w:rsidRPr="00C92470">
        <w:rPr>
          <w:sz w:val="28"/>
          <w:szCs w:val="28"/>
          <w:u w:val="none"/>
        </w:rPr>
        <w:t>, утвержденной распоряжением Правительства Российской</w:t>
      </w:r>
      <w:r w:rsidR="002623D0">
        <w:rPr>
          <w:sz w:val="28"/>
          <w:szCs w:val="28"/>
          <w:u w:val="none"/>
        </w:rPr>
        <w:t xml:space="preserve"> Федерации от 24 ноября 2020 г. № 3081</w:t>
      </w:r>
      <w:r w:rsidRPr="00C92470">
        <w:rPr>
          <w:sz w:val="28"/>
          <w:szCs w:val="28"/>
          <w:u w:val="none"/>
        </w:rPr>
        <w:t xml:space="preserve">-р (далее </w:t>
      </w:r>
      <w:r w:rsidR="002623D0">
        <w:rPr>
          <w:sz w:val="28"/>
          <w:szCs w:val="28"/>
          <w:u w:val="none"/>
        </w:rPr>
        <w:t>по тексту подраздела –</w:t>
      </w:r>
      <w:r w:rsidRPr="00C92470">
        <w:rPr>
          <w:sz w:val="28"/>
          <w:szCs w:val="28"/>
          <w:u w:val="none"/>
        </w:rPr>
        <w:t xml:space="preserve"> Стратегия</w:t>
      </w:r>
      <w:r w:rsidR="002623D0">
        <w:rPr>
          <w:sz w:val="28"/>
          <w:szCs w:val="28"/>
          <w:u w:val="none"/>
        </w:rPr>
        <w:t xml:space="preserve"> развития физкультуры и спорта</w:t>
      </w:r>
      <w:r w:rsidRPr="00C92470">
        <w:rPr>
          <w:sz w:val="28"/>
          <w:szCs w:val="28"/>
          <w:u w:val="none"/>
        </w:rPr>
        <w:t xml:space="preserve">). Одной из основных задач Стратегии </w:t>
      </w:r>
      <w:r w:rsidR="002623D0">
        <w:rPr>
          <w:sz w:val="28"/>
          <w:szCs w:val="28"/>
          <w:u w:val="none"/>
        </w:rPr>
        <w:t>развития физкультуры и спорта</w:t>
      </w:r>
      <w:r w:rsidR="002623D0" w:rsidRPr="00C92470">
        <w:rPr>
          <w:sz w:val="28"/>
          <w:szCs w:val="28"/>
          <w:u w:val="none"/>
        </w:rPr>
        <w:t xml:space="preserve"> </w:t>
      </w:r>
      <w:r w:rsidRPr="00C92470">
        <w:rPr>
          <w:sz w:val="28"/>
          <w:szCs w:val="28"/>
          <w:u w:val="none"/>
        </w:rPr>
        <w:t>является обеспечение доступных условий и равных возможностей для занятий физической культурой и спортом для граждан всех возрастных категорий, в том числе для детей и семей, имеющих детей.</w:t>
      </w:r>
    </w:p>
    <w:p w14:paraId="1D2CF17B" w14:textId="77777777" w:rsidR="00C92470" w:rsidRPr="00C92470" w:rsidRDefault="00C92470" w:rsidP="00C92470">
      <w:pPr>
        <w:pStyle w:val="Style5"/>
        <w:shd w:val="clear" w:color="auto" w:fill="auto"/>
        <w:spacing w:line="312" w:lineRule="auto"/>
        <w:ind w:firstLine="709"/>
        <w:jc w:val="both"/>
        <w:rPr>
          <w:sz w:val="28"/>
          <w:szCs w:val="28"/>
          <w:u w:val="none"/>
        </w:rPr>
      </w:pPr>
      <w:r w:rsidRPr="00C92470">
        <w:rPr>
          <w:sz w:val="28"/>
          <w:szCs w:val="28"/>
          <w:u w:val="none"/>
        </w:rPr>
        <w:t>Формирование всесторонне развитого и физически здорового человека должно осуществляться с учетом возраста, интересов, пола, характера учебной деятельности</w:t>
      </w:r>
      <w:r w:rsidR="00847634">
        <w:rPr>
          <w:sz w:val="28"/>
          <w:szCs w:val="28"/>
          <w:u w:val="none"/>
        </w:rPr>
        <w:t>,</w:t>
      </w:r>
      <w:r w:rsidRPr="00C92470">
        <w:rPr>
          <w:sz w:val="28"/>
          <w:szCs w:val="28"/>
          <w:u w:val="none"/>
        </w:rPr>
        <w:t xml:space="preserve"> состояния здоровья и уровня физической подготовленности каждого гражданина нашей страны.</w:t>
      </w:r>
    </w:p>
    <w:p w14:paraId="6038AD82" w14:textId="77777777" w:rsidR="00C92470" w:rsidRPr="00C92470" w:rsidRDefault="002623D0" w:rsidP="00C92470">
      <w:pPr>
        <w:pStyle w:val="Style5"/>
        <w:shd w:val="clear" w:color="auto" w:fill="auto"/>
        <w:spacing w:line="312" w:lineRule="auto"/>
        <w:ind w:firstLine="709"/>
        <w:jc w:val="both"/>
        <w:rPr>
          <w:sz w:val="28"/>
          <w:szCs w:val="28"/>
          <w:u w:val="none"/>
        </w:rPr>
      </w:pPr>
      <w:r>
        <w:rPr>
          <w:sz w:val="28"/>
          <w:szCs w:val="28"/>
          <w:u w:val="none"/>
        </w:rPr>
        <w:t>В связи с этим</w:t>
      </w:r>
      <w:r w:rsidR="00C92470" w:rsidRPr="00C92470">
        <w:rPr>
          <w:sz w:val="28"/>
          <w:szCs w:val="28"/>
          <w:u w:val="none"/>
        </w:rPr>
        <w:t xml:space="preserve"> </w:t>
      </w:r>
      <w:r>
        <w:rPr>
          <w:sz w:val="28"/>
          <w:szCs w:val="28"/>
          <w:u w:val="none"/>
        </w:rPr>
        <w:t xml:space="preserve">деятельность </w:t>
      </w:r>
      <w:proofErr w:type="spellStart"/>
      <w:r w:rsidR="00C92470" w:rsidRPr="00C92470">
        <w:rPr>
          <w:sz w:val="28"/>
          <w:szCs w:val="28"/>
          <w:u w:val="none"/>
        </w:rPr>
        <w:t>Минспорт</w:t>
      </w:r>
      <w:r>
        <w:rPr>
          <w:sz w:val="28"/>
          <w:szCs w:val="28"/>
          <w:u w:val="none"/>
        </w:rPr>
        <w:t>а</w:t>
      </w:r>
      <w:proofErr w:type="spellEnd"/>
      <w:r w:rsidR="00C92470" w:rsidRPr="00C92470">
        <w:rPr>
          <w:sz w:val="28"/>
          <w:szCs w:val="28"/>
          <w:u w:val="none"/>
        </w:rPr>
        <w:t xml:space="preserve"> России </w:t>
      </w:r>
      <w:r>
        <w:rPr>
          <w:sz w:val="28"/>
          <w:szCs w:val="28"/>
          <w:u w:val="none"/>
        </w:rPr>
        <w:t xml:space="preserve">ориентирована на </w:t>
      </w:r>
      <w:r w:rsidR="00C92470" w:rsidRPr="00C92470">
        <w:rPr>
          <w:sz w:val="28"/>
          <w:szCs w:val="28"/>
          <w:u w:val="none"/>
        </w:rPr>
        <w:t>дет</w:t>
      </w:r>
      <w:r>
        <w:rPr>
          <w:sz w:val="28"/>
          <w:szCs w:val="28"/>
          <w:u w:val="none"/>
        </w:rPr>
        <w:t>ей и молодежь, граждан среднего возраста, граждан</w:t>
      </w:r>
      <w:r w:rsidR="00C92470" w:rsidRPr="00C92470">
        <w:rPr>
          <w:sz w:val="28"/>
          <w:szCs w:val="28"/>
          <w:u w:val="none"/>
        </w:rPr>
        <w:t xml:space="preserve"> пожилого возраста</w:t>
      </w:r>
      <w:r>
        <w:rPr>
          <w:sz w:val="28"/>
          <w:szCs w:val="28"/>
          <w:u w:val="none"/>
        </w:rPr>
        <w:t>, лиц</w:t>
      </w:r>
      <w:r w:rsidR="00C92470" w:rsidRPr="00C92470">
        <w:rPr>
          <w:sz w:val="28"/>
          <w:szCs w:val="28"/>
          <w:u w:val="none"/>
        </w:rPr>
        <w:t xml:space="preserve"> с </w:t>
      </w:r>
      <w:r>
        <w:rPr>
          <w:sz w:val="28"/>
          <w:szCs w:val="28"/>
          <w:u w:val="none"/>
        </w:rPr>
        <w:t>ОВЗ</w:t>
      </w:r>
      <w:r w:rsidR="00C92470" w:rsidRPr="00C92470">
        <w:rPr>
          <w:sz w:val="28"/>
          <w:szCs w:val="28"/>
          <w:u w:val="none"/>
        </w:rPr>
        <w:t xml:space="preserve"> и инвалид</w:t>
      </w:r>
      <w:r>
        <w:rPr>
          <w:sz w:val="28"/>
          <w:szCs w:val="28"/>
          <w:u w:val="none"/>
        </w:rPr>
        <w:t>ов</w:t>
      </w:r>
      <w:r w:rsidR="00C92470" w:rsidRPr="00C92470">
        <w:rPr>
          <w:sz w:val="28"/>
          <w:szCs w:val="28"/>
          <w:u w:val="none"/>
        </w:rPr>
        <w:t>.</w:t>
      </w:r>
    </w:p>
    <w:p w14:paraId="79654C69" w14:textId="77777777" w:rsidR="00C92470" w:rsidRPr="00C92470" w:rsidRDefault="00C92470" w:rsidP="00792A50">
      <w:pPr>
        <w:pStyle w:val="Style5"/>
        <w:shd w:val="clear" w:color="auto" w:fill="auto"/>
        <w:spacing w:line="312" w:lineRule="auto"/>
        <w:ind w:firstLine="709"/>
        <w:jc w:val="both"/>
        <w:rPr>
          <w:sz w:val="28"/>
          <w:szCs w:val="28"/>
          <w:u w:val="none"/>
        </w:rPr>
      </w:pPr>
      <w:r w:rsidRPr="002E52A2">
        <w:rPr>
          <w:sz w:val="28"/>
          <w:szCs w:val="28"/>
          <w:u w:val="none"/>
        </w:rPr>
        <w:t xml:space="preserve">Указом Президента Российской Федерации от 21 июля 2020 г. № 474 </w:t>
      </w:r>
      <w:r w:rsidR="002623D0" w:rsidRPr="002E52A2">
        <w:rPr>
          <w:sz w:val="28"/>
          <w:szCs w:val="28"/>
          <w:u w:val="none"/>
        </w:rPr>
        <w:br/>
      </w:r>
      <w:r w:rsidRPr="002E52A2">
        <w:rPr>
          <w:sz w:val="28"/>
          <w:szCs w:val="28"/>
          <w:u w:val="none"/>
        </w:rPr>
        <w:t>«О национальных целях развития Российской Федерации на период до 2030 года»</w:t>
      </w:r>
      <w:r w:rsidRPr="00C92470">
        <w:rPr>
          <w:sz w:val="28"/>
          <w:szCs w:val="28"/>
          <w:u w:val="none"/>
        </w:rPr>
        <w:t xml:space="preserve"> </w:t>
      </w:r>
      <w:r w:rsidR="002623D0">
        <w:rPr>
          <w:sz w:val="28"/>
          <w:szCs w:val="28"/>
          <w:u w:val="none"/>
        </w:rPr>
        <w:t>в качестве</w:t>
      </w:r>
      <w:r w:rsidRPr="00C92470">
        <w:rPr>
          <w:sz w:val="28"/>
          <w:szCs w:val="28"/>
          <w:u w:val="none"/>
        </w:rPr>
        <w:t xml:space="preserve"> национальны</w:t>
      </w:r>
      <w:r w:rsidR="002623D0">
        <w:rPr>
          <w:sz w:val="28"/>
          <w:szCs w:val="28"/>
          <w:u w:val="none"/>
        </w:rPr>
        <w:t>х</w:t>
      </w:r>
      <w:r w:rsidRPr="00C92470">
        <w:rPr>
          <w:sz w:val="28"/>
          <w:szCs w:val="28"/>
          <w:u w:val="none"/>
        </w:rPr>
        <w:t xml:space="preserve"> цел</w:t>
      </w:r>
      <w:r w:rsidR="002623D0">
        <w:rPr>
          <w:sz w:val="28"/>
          <w:szCs w:val="28"/>
          <w:u w:val="none"/>
        </w:rPr>
        <w:t>ей</w:t>
      </w:r>
      <w:r w:rsidRPr="00C92470">
        <w:rPr>
          <w:sz w:val="28"/>
          <w:szCs w:val="28"/>
          <w:u w:val="none"/>
        </w:rPr>
        <w:t xml:space="preserve"> развития</w:t>
      </w:r>
      <w:r w:rsidR="002623D0">
        <w:rPr>
          <w:sz w:val="28"/>
          <w:szCs w:val="28"/>
          <w:u w:val="none"/>
        </w:rPr>
        <w:t xml:space="preserve"> определены</w:t>
      </w:r>
      <w:r w:rsidRPr="00C92470">
        <w:rPr>
          <w:sz w:val="28"/>
          <w:szCs w:val="28"/>
          <w:u w:val="none"/>
        </w:rPr>
        <w:t xml:space="preserve"> сохранение населения, здоровье и благополучие людей</w:t>
      </w:r>
      <w:r w:rsidR="002623D0">
        <w:rPr>
          <w:sz w:val="28"/>
          <w:szCs w:val="28"/>
          <w:u w:val="none"/>
        </w:rPr>
        <w:t>,</w:t>
      </w:r>
      <w:r w:rsidRPr="00C92470">
        <w:rPr>
          <w:sz w:val="28"/>
          <w:szCs w:val="28"/>
          <w:u w:val="none"/>
        </w:rPr>
        <w:t xml:space="preserve"> возможности для самореализации и развития талантов</w:t>
      </w:r>
      <w:r w:rsidR="002623D0">
        <w:rPr>
          <w:sz w:val="28"/>
          <w:szCs w:val="28"/>
          <w:u w:val="none"/>
        </w:rPr>
        <w:t>,</w:t>
      </w:r>
      <w:r w:rsidRPr="00C92470">
        <w:rPr>
          <w:sz w:val="28"/>
          <w:szCs w:val="28"/>
          <w:u w:val="none"/>
        </w:rPr>
        <w:t xml:space="preserve"> комфортна</w:t>
      </w:r>
      <w:r w:rsidR="00792A50">
        <w:rPr>
          <w:sz w:val="28"/>
          <w:szCs w:val="28"/>
          <w:u w:val="none"/>
        </w:rPr>
        <w:t xml:space="preserve">я и безопасная среда для жизни. </w:t>
      </w:r>
      <w:r w:rsidRPr="00C92470">
        <w:rPr>
          <w:sz w:val="28"/>
          <w:szCs w:val="28"/>
          <w:u w:val="none"/>
        </w:rPr>
        <w:t>В качестве целевых показателей, характеризующих достижение указанных национальных целей к 2030 г</w:t>
      </w:r>
      <w:r w:rsidR="00BC1649">
        <w:rPr>
          <w:sz w:val="28"/>
          <w:szCs w:val="28"/>
          <w:u w:val="none"/>
        </w:rPr>
        <w:t>.</w:t>
      </w:r>
      <w:r w:rsidRPr="00C92470">
        <w:rPr>
          <w:sz w:val="28"/>
          <w:szCs w:val="28"/>
          <w:u w:val="none"/>
        </w:rPr>
        <w:t>, установлены, в том числе:</w:t>
      </w:r>
    </w:p>
    <w:p w14:paraId="3E313F79" w14:textId="77777777" w:rsidR="00C92470" w:rsidRPr="00C92470" w:rsidRDefault="00C92470" w:rsidP="00C92470">
      <w:pPr>
        <w:pStyle w:val="Style5"/>
        <w:shd w:val="clear" w:color="auto" w:fill="auto"/>
        <w:spacing w:line="312" w:lineRule="auto"/>
        <w:ind w:firstLine="709"/>
        <w:jc w:val="both"/>
        <w:rPr>
          <w:sz w:val="28"/>
          <w:szCs w:val="28"/>
          <w:u w:val="none"/>
        </w:rPr>
      </w:pPr>
      <w:r w:rsidRPr="00C92470">
        <w:rPr>
          <w:sz w:val="28"/>
          <w:szCs w:val="28"/>
          <w:u w:val="none"/>
        </w:rPr>
        <w:t>увеличение доли граждан, систематически занимающихся физической культурой и спортом, до 70</w:t>
      </w:r>
      <w:r w:rsidR="00657C59">
        <w:rPr>
          <w:sz w:val="28"/>
          <w:szCs w:val="28"/>
          <w:u w:val="none"/>
        </w:rPr>
        <w:t>%</w:t>
      </w:r>
      <w:r w:rsidRPr="00C92470">
        <w:rPr>
          <w:sz w:val="28"/>
          <w:szCs w:val="28"/>
          <w:u w:val="none"/>
        </w:rPr>
        <w:t>;</w:t>
      </w:r>
    </w:p>
    <w:p w14:paraId="025CCB05" w14:textId="77777777" w:rsidR="00C92470" w:rsidRPr="00C92470" w:rsidRDefault="00C92470" w:rsidP="00C92470">
      <w:pPr>
        <w:pStyle w:val="Style5"/>
        <w:shd w:val="clear" w:color="auto" w:fill="auto"/>
        <w:spacing w:line="312" w:lineRule="auto"/>
        <w:ind w:firstLine="709"/>
        <w:jc w:val="both"/>
        <w:rPr>
          <w:sz w:val="28"/>
          <w:szCs w:val="28"/>
          <w:u w:val="none"/>
        </w:rPr>
      </w:pPr>
      <w:r w:rsidRPr="00C92470">
        <w:rPr>
          <w:sz w:val="28"/>
          <w:szCs w:val="28"/>
          <w:u w:val="none"/>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14:paraId="3CE52BEC" w14:textId="77777777" w:rsidR="00C92470" w:rsidRDefault="00C92470" w:rsidP="00C92470">
      <w:pPr>
        <w:pStyle w:val="Style5"/>
        <w:shd w:val="clear" w:color="auto" w:fill="auto"/>
        <w:spacing w:line="312" w:lineRule="auto"/>
        <w:ind w:firstLine="709"/>
        <w:jc w:val="both"/>
        <w:rPr>
          <w:sz w:val="28"/>
          <w:szCs w:val="28"/>
          <w:u w:val="none"/>
        </w:rPr>
      </w:pPr>
      <w:r w:rsidRPr="00C92470">
        <w:rPr>
          <w:sz w:val="28"/>
          <w:szCs w:val="28"/>
          <w:u w:val="none"/>
        </w:rPr>
        <w:t>По данным федерального статистического наблюдения по форме № 1-ФК «Сведения о физической культуре и спорте»</w:t>
      </w:r>
      <w:r w:rsidR="00657C59">
        <w:rPr>
          <w:sz w:val="28"/>
          <w:szCs w:val="28"/>
          <w:u w:val="none"/>
        </w:rPr>
        <w:t>,</w:t>
      </w:r>
      <w:r w:rsidRPr="00C92470">
        <w:rPr>
          <w:sz w:val="28"/>
          <w:szCs w:val="28"/>
          <w:u w:val="none"/>
        </w:rPr>
        <w:t xml:space="preserve"> в Российской Федерации ежегодно наблюдается динамика увеличения численности занимающихся физической культурой и спортом.</w:t>
      </w:r>
    </w:p>
    <w:p w14:paraId="3ED2E3EA" w14:textId="77777777" w:rsidR="00C92470" w:rsidRPr="00C92470" w:rsidRDefault="00C92470" w:rsidP="00657C59">
      <w:pPr>
        <w:pStyle w:val="Style5"/>
        <w:shd w:val="clear" w:color="auto" w:fill="auto"/>
        <w:spacing w:line="312" w:lineRule="auto"/>
        <w:ind w:firstLine="709"/>
        <w:jc w:val="both"/>
        <w:rPr>
          <w:sz w:val="28"/>
          <w:szCs w:val="28"/>
          <w:u w:val="none"/>
        </w:rPr>
      </w:pPr>
      <w:r w:rsidRPr="00C92470">
        <w:rPr>
          <w:sz w:val="28"/>
          <w:szCs w:val="28"/>
          <w:u w:val="none"/>
        </w:rPr>
        <w:t>Так, в 2021 г</w:t>
      </w:r>
      <w:r w:rsidR="00AF49EB">
        <w:rPr>
          <w:sz w:val="28"/>
          <w:szCs w:val="28"/>
          <w:u w:val="none"/>
        </w:rPr>
        <w:t>.</w:t>
      </w:r>
      <w:r w:rsidRPr="00C92470">
        <w:rPr>
          <w:sz w:val="28"/>
          <w:szCs w:val="28"/>
          <w:u w:val="none"/>
        </w:rPr>
        <w:t xml:space="preserve"> численност</w:t>
      </w:r>
      <w:r w:rsidR="00657C59">
        <w:rPr>
          <w:sz w:val="28"/>
          <w:szCs w:val="28"/>
          <w:u w:val="none"/>
        </w:rPr>
        <w:t>ь</w:t>
      </w:r>
      <w:r w:rsidRPr="00C92470">
        <w:rPr>
          <w:sz w:val="28"/>
          <w:szCs w:val="28"/>
          <w:u w:val="none"/>
        </w:rPr>
        <w:t xml:space="preserve"> зани</w:t>
      </w:r>
      <w:r w:rsidR="00CF4730">
        <w:rPr>
          <w:sz w:val="28"/>
          <w:szCs w:val="28"/>
          <w:u w:val="none"/>
        </w:rPr>
        <w:t>мающихся увеличилась на 3,3 млн</w:t>
      </w:r>
      <w:r w:rsidRPr="00C92470">
        <w:rPr>
          <w:sz w:val="28"/>
          <w:szCs w:val="28"/>
          <w:u w:val="none"/>
        </w:rPr>
        <w:t xml:space="preserve"> человек по сравнению с 2020 г</w:t>
      </w:r>
      <w:r w:rsidR="00AF49EB">
        <w:rPr>
          <w:sz w:val="28"/>
          <w:szCs w:val="28"/>
          <w:u w:val="none"/>
        </w:rPr>
        <w:t>.</w:t>
      </w:r>
      <w:r w:rsidRPr="00C92470">
        <w:rPr>
          <w:sz w:val="28"/>
          <w:szCs w:val="28"/>
          <w:u w:val="none"/>
        </w:rPr>
        <w:t xml:space="preserve"> и достигла значения 65,3 млн россиян (49,4% от общей численности населения Российской Федерации). Доля детей и молодежи от 3 до 29 лет, систематически занимающихся физической культурой и спортом, составила 86,8% от общей численности населения этого возраста (2020 г</w:t>
      </w:r>
      <w:r w:rsidR="00657C59">
        <w:rPr>
          <w:sz w:val="28"/>
          <w:szCs w:val="28"/>
          <w:u w:val="none"/>
        </w:rPr>
        <w:t>.</w:t>
      </w:r>
      <w:r w:rsidRPr="00C92470">
        <w:rPr>
          <w:sz w:val="28"/>
          <w:szCs w:val="28"/>
          <w:u w:val="none"/>
        </w:rPr>
        <w:t xml:space="preserve"> </w:t>
      </w:r>
      <w:r w:rsidR="00657C59">
        <w:rPr>
          <w:sz w:val="28"/>
          <w:szCs w:val="28"/>
          <w:u w:val="none"/>
        </w:rPr>
        <w:t>–</w:t>
      </w:r>
      <w:r w:rsidRPr="00C92470">
        <w:rPr>
          <w:sz w:val="28"/>
          <w:szCs w:val="28"/>
          <w:u w:val="none"/>
        </w:rPr>
        <w:t xml:space="preserve"> 85,3%); доля граждан среднего возраста (женщины 30-54 года</w:t>
      </w:r>
      <w:r w:rsidR="00657C59">
        <w:rPr>
          <w:sz w:val="28"/>
          <w:szCs w:val="28"/>
          <w:u w:val="none"/>
        </w:rPr>
        <w:t>,</w:t>
      </w:r>
      <w:r w:rsidRPr="00C92470">
        <w:rPr>
          <w:sz w:val="28"/>
          <w:szCs w:val="28"/>
          <w:u w:val="none"/>
        </w:rPr>
        <w:t xml:space="preserve"> мужчины 30-59 лет) </w:t>
      </w:r>
      <w:r>
        <w:rPr>
          <w:sz w:val="28"/>
          <w:szCs w:val="28"/>
          <w:u w:val="none"/>
        </w:rPr>
        <w:t>– 36,3%</w:t>
      </w:r>
      <w:r w:rsidRPr="00C92470">
        <w:rPr>
          <w:sz w:val="28"/>
          <w:szCs w:val="28"/>
          <w:u w:val="none"/>
        </w:rPr>
        <w:t xml:space="preserve"> </w:t>
      </w:r>
      <w:r w:rsidR="005A209B">
        <w:rPr>
          <w:sz w:val="28"/>
          <w:szCs w:val="28"/>
          <w:u w:val="none"/>
        </w:rPr>
        <w:br/>
      </w:r>
      <w:r w:rsidRPr="00C92470">
        <w:rPr>
          <w:sz w:val="28"/>
          <w:szCs w:val="28"/>
          <w:u w:val="none"/>
        </w:rPr>
        <w:t>от общей численности данной группы населения (2020 г</w:t>
      </w:r>
      <w:r w:rsidR="00657C59">
        <w:rPr>
          <w:sz w:val="28"/>
          <w:szCs w:val="28"/>
          <w:u w:val="none"/>
        </w:rPr>
        <w:t>.</w:t>
      </w:r>
      <w:r w:rsidRPr="00C92470">
        <w:rPr>
          <w:sz w:val="28"/>
          <w:szCs w:val="28"/>
          <w:u w:val="none"/>
        </w:rPr>
        <w:t xml:space="preserve"> </w:t>
      </w:r>
      <w:r w:rsidR="00657C59">
        <w:rPr>
          <w:sz w:val="28"/>
          <w:szCs w:val="28"/>
          <w:u w:val="none"/>
        </w:rPr>
        <w:t>–</w:t>
      </w:r>
      <w:r w:rsidRPr="00C92470">
        <w:rPr>
          <w:sz w:val="28"/>
          <w:szCs w:val="28"/>
          <w:u w:val="none"/>
        </w:rPr>
        <w:t xml:space="preserve"> 32,6%); доля граждан старшего возраста (женщины 55-79 лет</w:t>
      </w:r>
      <w:r w:rsidR="00657C59">
        <w:rPr>
          <w:sz w:val="28"/>
          <w:szCs w:val="28"/>
          <w:u w:val="none"/>
        </w:rPr>
        <w:t>,</w:t>
      </w:r>
      <w:r w:rsidRPr="00C92470">
        <w:rPr>
          <w:sz w:val="28"/>
          <w:szCs w:val="28"/>
          <w:u w:val="none"/>
        </w:rPr>
        <w:t xml:space="preserve"> мужчины 60-79 лет) </w:t>
      </w:r>
      <w:r w:rsidR="00657C59">
        <w:rPr>
          <w:sz w:val="28"/>
          <w:szCs w:val="28"/>
          <w:u w:val="none"/>
        </w:rPr>
        <w:t>–</w:t>
      </w:r>
      <w:r w:rsidRPr="00C92470">
        <w:rPr>
          <w:sz w:val="28"/>
          <w:szCs w:val="28"/>
          <w:u w:val="none"/>
        </w:rPr>
        <w:t xml:space="preserve"> 17,2% от общей численности данной группы населения (2020 г</w:t>
      </w:r>
      <w:r w:rsidR="00657C59">
        <w:rPr>
          <w:sz w:val="28"/>
          <w:szCs w:val="28"/>
          <w:u w:val="none"/>
        </w:rPr>
        <w:t>.</w:t>
      </w:r>
      <w:r w:rsidRPr="00C92470">
        <w:rPr>
          <w:sz w:val="28"/>
          <w:szCs w:val="28"/>
          <w:u w:val="none"/>
        </w:rPr>
        <w:t xml:space="preserve"> </w:t>
      </w:r>
      <w:r w:rsidR="00657C59">
        <w:rPr>
          <w:sz w:val="28"/>
          <w:szCs w:val="28"/>
          <w:u w:val="none"/>
        </w:rPr>
        <w:t>–</w:t>
      </w:r>
      <w:r w:rsidRPr="00C92470">
        <w:rPr>
          <w:sz w:val="28"/>
          <w:szCs w:val="28"/>
          <w:u w:val="none"/>
        </w:rPr>
        <w:t xml:space="preserve"> 14,2%). Из общего числа занимающихся физической культурой и спортом 21,2% занимаются на платной основе (2020 г. </w:t>
      </w:r>
      <w:r w:rsidR="00657C59">
        <w:rPr>
          <w:sz w:val="28"/>
          <w:szCs w:val="28"/>
          <w:u w:val="none"/>
        </w:rPr>
        <w:t>–</w:t>
      </w:r>
      <w:r w:rsidRPr="00C92470">
        <w:rPr>
          <w:sz w:val="28"/>
          <w:szCs w:val="28"/>
          <w:u w:val="none"/>
        </w:rPr>
        <w:t xml:space="preserve"> 2</w:t>
      </w:r>
      <w:r w:rsidR="00657C59">
        <w:rPr>
          <w:sz w:val="28"/>
          <w:szCs w:val="28"/>
          <w:u w:val="none"/>
        </w:rPr>
        <w:t>0,9%;</w:t>
      </w:r>
      <w:r w:rsidRPr="00C92470">
        <w:rPr>
          <w:sz w:val="28"/>
          <w:szCs w:val="28"/>
          <w:u w:val="none"/>
        </w:rPr>
        <w:t xml:space="preserve"> 2019 г. </w:t>
      </w:r>
      <w:r w:rsidR="00657C59">
        <w:rPr>
          <w:sz w:val="28"/>
          <w:szCs w:val="28"/>
          <w:u w:val="none"/>
        </w:rPr>
        <w:t>–</w:t>
      </w:r>
      <w:r w:rsidRPr="00C92470">
        <w:rPr>
          <w:sz w:val="28"/>
          <w:szCs w:val="28"/>
          <w:u w:val="none"/>
        </w:rPr>
        <w:t xml:space="preserve"> 21,5%).</w:t>
      </w:r>
    </w:p>
    <w:p w14:paraId="3B7E570F" w14:textId="77777777" w:rsidR="00C92470" w:rsidRPr="00C92470" w:rsidRDefault="00C92470" w:rsidP="00C92470">
      <w:pPr>
        <w:pStyle w:val="Style5"/>
        <w:shd w:val="clear" w:color="auto" w:fill="auto"/>
        <w:spacing w:line="312" w:lineRule="auto"/>
        <w:ind w:firstLine="709"/>
        <w:jc w:val="both"/>
        <w:rPr>
          <w:sz w:val="28"/>
          <w:szCs w:val="28"/>
          <w:u w:val="none"/>
        </w:rPr>
      </w:pPr>
      <w:r w:rsidRPr="00C92470">
        <w:rPr>
          <w:sz w:val="28"/>
          <w:szCs w:val="28"/>
          <w:u w:val="none"/>
        </w:rPr>
        <w:t>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физкультурно-спортивных клубов по месту жительства.</w:t>
      </w:r>
    </w:p>
    <w:p w14:paraId="78DEA620" w14:textId="77777777" w:rsidR="00C92470" w:rsidRPr="00C92470" w:rsidRDefault="00C92470" w:rsidP="00C92470">
      <w:pPr>
        <w:pStyle w:val="Style5"/>
        <w:shd w:val="clear" w:color="auto" w:fill="auto"/>
        <w:spacing w:line="312" w:lineRule="auto"/>
        <w:ind w:firstLine="709"/>
        <w:jc w:val="both"/>
        <w:rPr>
          <w:sz w:val="28"/>
          <w:szCs w:val="28"/>
          <w:u w:val="none"/>
        </w:rPr>
      </w:pPr>
      <w:r w:rsidRPr="00C92470">
        <w:rPr>
          <w:sz w:val="28"/>
          <w:szCs w:val="28"/>
          <w:u w:val="none"/>
        </w:rPr>
        <w:t>В 2021 г</w:t>
      </w:r>
      <w:r w:rsidR="00AF49EB">
        <w:rPr>
          <w:sz w:val="28"/>
          <w:szCs w:val="28"/>
          <w:u w:val="none"/>
        </w:rPr>
        <w:t>.</w:t>
      </w:r>
      <w:r w:rsidRPr="00C92470">
        <w:rPr>
          <w:sz w:val="28"/>
          <w:szCs w:val="28"/>
          <w:u w:val="none"/>
        </w:rPr>
        <w:t xml:space="preserve"> в системе подготовки спортивного резерва в Российской Федерации действовало более 5 тыс. организаций</w:t>
      </w:r>
      <w:r w:rsidR="00202A0D">
        <w:rPr>
          <w:sz w:val="28"/>
          <w:szCs w:val="28"/>
          <w:u w:val="none"/>
        </w:rPr>
        <w:t>, в</w:t>
      </w:r>
      <w:r w:rsidR="00AF49EB">
        <w:rPr>
          <w:sz w:val="28"/>
          <w:szCs w:val="28"/>
          <w:u w:val="none"/>
        </w:rPr>
        <w:t xml:space="preserve"> том числе 1,6 тыс. детско-</w:t>
      </w:r>
      <w:r w:rsidRPr="00C92470">
        <w:rPr>
          <w:sz w:val="28"/>
          <w:szCs w:val="28"/>
          <w:u w:val="none"/>
        </w:rPr>
        <w:t>юношеских спортивных школ, более 1,8 тыс. спортивных школ и 1,6 тыс. школ олимпийского резерва различной ведомственной подчиненности.</w:t>
      </w:r>
    </w:p>
    <w:p w14:paraId="10980500" w14:textId="77777777" w:rsidR="00C92470" w:rsidRPr="00C92470" w:rsidRDefault="00C92470" w:rsidP="00C92470">
      <w:pPr>
        <w:pStyle w:val="Style5"/>
        <w:shd w:val="clear" w:color="auto" w:fill="auto"/>
        <w:spacing w:line="312" w:lineRule="auto"/>
        <w:ind w:firstLine="709"/>
        <w:jc w:val="both"/>
        <w:rPr>
          <w:sz w:val="28"/>
          <w:szCs w:val="28"/>
          <w:u w:val="none"/>
        </w:rPr>
      </w:pPr>
      <w:r w:rsidRPr="00C92470">
        <w:rPr>
          <w:sz w:val="28"/>
          <w:szCs w:val="28"/>
          <w:u w:val="none"/>
        </w:rPr>
        <w:t xml:space="preserve">Спортивную подготовку проходили 3,3 млн человек, в том числе </w:t>
      </w:r>
      <w:r w:rsidR="00202A0D">
        <w:rPr>
          <w:sz w:val="28"/>
          <w:szCs w:val="28"/>
          <w:u w:val="none"/>
        </w:rPr>
        <w:t>около 2 млн</w:t>
      </w:r>
      <w:r w:rsidR="00202A0D" w:rsidRPr="00C92470">
        <w:rPr>
          <w:sz w:val="28"/>
          <w:szCs w:val="28"/>
          <w:u w:val="none"/>
        </w:rPr>
        <w:t xml:space="preserve"> человек </w:t>
      </w:r>
      <w:r w:rsidRPr="00C92470">
        <w:rPr>
          <w:sz w:val="28"/>
          <w:szCs w:val="28"/>
          <w:u w:val="none"/>
        </w:rPr>
        <w:t>в возрасте 5-</w:t>
      </w:r>
      <w:r w:rsidR="00CF4730">
        <w:rPr>
          <w:sz w:val="28"/>
          <w:szCs w:val="28"/>
          <w:u w:val="none"/>
        </w:rPr>
        <w:t>17 лет</w:t>
      </w:r>
      <w:r w:rsidRPr="00C92470">
        <w:rPr>
          <w:sz w:val="28"/>
          <w:szCs w:val="28"/>
          <w:u w:val="none"/>
        </w:rPr>
        <w:t xml:space="preserve">. Из них на тренировочном этапе </w:t>
      </w:r>
      <w:r w:rsidR="00202A0D">
        <w:rPr>
          <w:sz w:val="28"/>
          <w:szCs w:val="28"/>
          <w:u w:val="none"/>
        </w:rPr>
        <w:t>–</w:t>
      </w:r>
      <w:r w:rsidRPr="00C92470">
        <w:rPr>
          <w:sz w:val="28"/>
          <w:szCs w:val="28"/>
          <w:u w:val="none"/>
        </w:rPr>
        <w:t xml:space="preserve"> 737,2 тыс. человек, на этапе спортивного совершенствования </w:t>
      </w:r>
      <w:r w:rsidR="00202A0D">
        <w:rPr>
          <w:sz w:val="28"/>
          <w:szCs w:val="28"/>
          <w:u w:val="none"/>
        </w:rPr>
        <w:t>–</w:t>
      </w:r>
      <w:r w:rsidRPr="00C92470">
        <w:rPr>
          <w:sz w:val="28"/>
          <w:szCs w:val="28"/>
          <w:u w:val="none"/>
        </w:rPr>
        <w:t xml:space="preserve"> 56,3 тыс. человек, на этапе высшего спортивного мастерства </w:t>
      </w:r>
      <w:r w:rsidR="00202A0D">
        <w:rPr>
          <w:sz w:val="28"/>
          <w:szCs w:val="28"/>
          <w:u w:val="none"/>
        </w:rPr>
        <w:t>–</w:t>
      </w:r>
      <w:r w:rsidRPr="00C92470">
        <w:rPr>
          <w:sz w:val="28"/>
          <w:szCs w:val="28"/>
          <w:u w:val="none"/>
        </w:rPr>
        <w:t xml:space="preserve"> 17,1 тыс. человек. Всего в системе подготовки спортивного резерва работает 96,1 тыс. тренеров и тренеров-преподавателей.</w:t>
      </w:r>
    </w:p>
    <w:p w14:paraId="33048FB7" w14:textId="17C1C016" w:rsidR="00C92470" w:rsidRPr="00C92470" w:rsidRDefault="00C92470" w:rsidP="00C92470">
      <w:pPr>
        <w:pStyle w:val="Style5"/>
        <w:shd w:val="clear" w:color="auto" w:fill="auto"/>
        <w:spacing w:line="312" w:lineRule="auto"/>
        <w:ind w:firstLine="709"/>
        <w:jc w:val="both"/>
        <w:rPr>
          <w:sz w:val="28"/>
          <w:szCs w:val="28"/>
          <w:u w:val="none"/>
        </w:rPr>
      </w:pPr>
      <w:r w:rsidRPr="00C92470">
        <w:rPr>
          <w:sz w:val="28"/>
          <w:szCs w:val="28"/>
          <w:u w:val="none"/>
        </w:rPr>
        <w:t>По состоянию на 31 декабря 2021 г</w:t>
      </w:r>
      <w:r w:rsidR="005A209B">
        <w:rPr>
          <w:sz w:val="28"/>
          <w:szCs w:val="28"/>
          <w:u w:val="none"/>
        </w:rPr>
        <w:t>.</w:t>
      </w:r>
      <w:r w:rsidRPr="00C92470">
        <w:rPr>
          <w:sz w:val="28"/>
          <w:szCs w:val="28"/>
          <w:u w:val="none"/>
        </w:rPr>
        <w:t xml:space="preserve"> в организациях, осуществляющих спортивную подготовку в Российской Федерации, в оперативном управлении имеются: </w:t>
      </w:r>
      <w:r w:rsidR="00202A0D" w:rsidRPr="00C92470">
        <w:rPr>
          <w:sz w:val="28"/>
          <w:szCs w:val="28"/>
          <w:u w:val="none"/>
        </w:rPr>
        <w:t>1</w:t>
      </w:r>
      <w:r w:rsidR="00202A0D">
        <w:rPr>
          <w:sz w:val="28"/>
          <w:szCs w:val="28"/>
          <w:u w:val="none"/>
        </w:rPr>
        <w:t> </w:t>
      </w:r>
      <w:r w:rsidR="00202A0D" w:rsidRPr="00C92470">
        <w:rPr>
          <w:sz w:val="28"/>
          <w:szCs w:val="28"/>
          <w:u w:val="none"/>
        </w:rPr>
        <w:t>310</w:t>
      </w:r>
      <w:r w:rsidR="00202A0D">
        <w:rPr>
          <w:sz w:val="28"/>
          <w:szCs w:val="28"/>
          <w:u w:val="none"/>
        </w:rPr>
        <w:t xml:space="preserve"> </w:t>
      </w:r>
      <w:r w:rsidRPr="00C92470">
        <w:rPr>
          <w:sz w:val="28"/>
          <w:szCs w:val="28"/>
          <w:u w:val="none"/>
        </w:rPr>
        <w:t>стадио</w:t>
      </w:r>
      <w:r w:rsidR="00202A0D">
        <w:rPr>
          <w:sz w:val="28"/>
          <w:szCs w:val="28"/>
          <w:u w:val="none"/>
        </w:rPr>
        <w:t>нов</w:t>
      </w:r>
      <w:r w:rsidRPr="00C92470">
        <w:rPr>
          <w:sz w:val="28"/>
          <w:szCs w:val="28"/>
          <w:u w:val="none"/>
        </w:rPr>
        <w:t xml:space="preserve"> с трибунами, </w:t>
      </w:r>
      <w:r w:rsidR="00202A0D" w:rsidRPr="00C92470">
        <w:rPr>
          <w:sz w:val="28"/>
          <w:szCs w:val="28"/>
          <w:u w:val="none"/>
        </w:rPr>
        <w:t>10</w:t>
      </w:r>
      <w:r w:rsidR="00202A0D">
        <w:rPr>
          <w:sz w:val="28"/>
          <w:szCs w:val="28"/>
          <w:u w:val="none"/>
        </w:rPr>
        <w:t> </w:t>
      </w:r>
      <w:r w:rsidR="00202A0D" w:rsidRPr="00C92470">
        <w:rPr>
          <w:sz w:val="28"/>
          <w:szCs w:val="28"/>
          <w:u w:val="none"/>
        </w:rPr>
        <w:t>154</w:t>
      </w:r>
      <w:r w:rsidR="00202A0D">
        <w:rPr>
          <w:sz w:val="28"/>
          <w:szCs w:val="28"/>
          <w:u w:val="none"/>
        </w:rPr>
        <w:t xml:space="preserve"> </w:t>
      </w:r>
      <w:r w:rsidRPr="00C92470">
        <w:rPr>
          <w:sz w:val="28"/>
          <w:szCs w:val="28"/>
          <w:u w:val="none"/>
        </w:rPr>
        <w:t>плоскостны</w:t>
      </w:r>
      <w:r w:rsidR="00202A0D">
        <w:rPr>
          <w:sz w:val="28"/>
          <w:szCs w:val="28"/>
          <w:u w:val="none"/>
        </w:rPr>
        <w:t>х спортивных сооружения</w:t>
      </w:r>
      <w:r w:rsidRPr="00C92470">
        <w:rPr>
          <w:sz w:val="28"/>
          <w:szCs w:val="28"/>
          <w:u w:val="none"/>
        </w:rPr>
        <w:t xml:space="preserve">, </w:t>
      </w:r>
      <w:r w:rsidR="00202A0D" w:rsidRPr="00C92470">
        <w:rPr>
          <w:sz w:val="28"/>
          <w:szCs w:val="28"/>
          <w:u w:val="none"/>
        </w:rPr>
        <w:t>2</w:t>
      </w:r>
      <w:r w:rsidR="00202A0D">
        <w:rPr>
          <w:sz w:val="28"/>
          <w:szCs w:val="28"/>
          <w:u w:val="none"/>
        </w:rPr>
        <w:t> </w:t>
      </w:r>
      <w:r w:rsidR="00202A0D" w:rsidRPr="00C92470">
        <w:rPr>
          <w:sz w:val="28"/>
          <w:szCs w:val="28"/>
          <w:u w:val="none"/>
        </w:rPr>
        <w:t>862</w:t>
      </w:r>
      <w:r w:rsidR="00202A0D">
        <w:rPr>
          <w:sz w:val="28"/>
          <w:szCs w:val="28"/>
          <w:u w:val="none"/>
        </w:rPr>
        <w:t xml:space="preserve"> </w:t>
      </w:r>
      <w:r w:rsidRPr="00C92470">
        <w:rPr>
          <w:sz w:val="28"/>
          <w:szCs w:val="28"/>
          <w:u w:val="none"/>
        </w:rPr>
        <w:t>фу</w:t>
      </w:r>
      <w:r w:rsidR="00202A0D">
        <w:rPr>
          <w:sz w:val="28"/>
          <w:szCs w:val="28"/>
          <w:u w:val="none"/>
        </w:rPr>
        <w:t>тбольных</w:t>
      </w:r>
      <w:r w:rsidRPr="00C92470">
        <w:rPr>
          <w:sz w:val="28"/>
          <w:szCs w:val="28"/>
          <w:u w:val="none"/>
        </w:rPr>
        <w:t xml:space="preserve"> поля</w:t>
      </w:r>
      <w:r w:rsidR="00202A0D">
        <w:rPr>
          <w:sz w:val="28"/>
          <w:szCs w:val="28"/>
          <w:u w:val="none"/>
        </w:rPr>
        <w:t>,</w:t>
      </w:r>
      <w:r w:rsidRPr="00C92470">
        <w:rPr>
          <w:sz w:val="28"/>
          <w:szCs w:val="28"/>
          <w:u w:val="none"/>
        </w:rPr>
        <w:t xml:space="preserve"> </w:t>
      </w:r>
      <w:r w:rsidR="00202A0D" w:rsidRPr="00C92470">
        <w:rPr>
          <w:sz w:val="28"/>
          <w:szCs w:val="28"/>
          <w:u w:val="none"/>
        </w:rPr>
        <w:t>29</w:t>
      </w:r>
      <w:r w:rsidR="00202A0D">
        <w:rPr>
          <w:sz w:val="28"/>
          <w:szCs w:val="28"/>
          <w:u w:val="none"/>
        </w:rPr>
        <w:t> </w:t>
      </w:r>
      <w:r w:rsidR="00202A0D" w:rsidRPr="00C92470">
        <w:rPr>
          <w:sz w:val="28"/>
          <w:szCs w:val="28"/>
          <w:u w:val="none"/>
        </w:rPr>
        <w:t>388</w:t>
      </w:r>
      <w:r w:rsidR="00202A0D">
        <w:rPr>
          <w:sz w:val="28"/>
          <w:szCs w:val="28"/>
          <w:u w:val="none"/>
        </w:rPr>
        <w:t xml:space="preserve"> </w:t>
      </w:r>
      <w:r w:rsidRPr="00C92470">
        <w:rPr>
          <w:sz w:val="28"/>
          <w:szCs w:val="28"/>
          <w:u w:val="none"/>
        </w:rPr>
        <w:t>спортивны</w:t>
      </w:r>
      <w:r w:rsidR="00202A0D">
        <w:rPr>
          <w:sz w:val="28"/>
          <w:szCs w:val="28"/>
          <w:u w:val="none"/>
        </w:rPr>
        <w:t>х</w:t>
      </w:r>
      <w:r w:rsidRPr="00C92470">
        <w:rPr>
          <w:sz w:val="28"/>
          <w:szCs w:val="28"/>
          <w:u w:val="none"/>
        </w:rPr>
        <w:t xml:space="preserve"> зал</w:t>
      </w:r>
      <w:r w:rsidR="00202A0D">
        <w:rPr>
          <w:sz w:val="28"/>
          <w:szCs w:val="28"/>
          <w:u w:val="none"/>
        </w:rPr>
        <w:t>ов</w:t>
      </w:r>
      <w:r w:rsidRPr="00C92470">
        <w:rPr>
          <w:sz w:val="28"/>
          <w:szCs w:val="28"/>
          <w:u w:val="none"/>
        </w:rPr>
        <w:t xml:space="preserve">, </w:t>
      </w:r>
      <w:r w:rsidR="00202A0D" w:rsidRPr="00C92470">
        <w:rPr>
          <w:sz w:val="28"/>
          <w:szCs w:val="28"/>
          <w:u w:val="none"/>
        </w:rPr>
        <w:t>1</w:t>
      </w:r>
      <w:r w:rsidR="00202A0D">
        <w:rPr>
          <w:sz w:val="28"/>
          <w:szCs w:val="28"/>
          <w:u w:val="none"/>
        </w:rPr>
        <w:t> </w:t>
      </w:r>
      <w:r w:rsidR="00202A0D" w:rsidRPr="00C92470">
        <w:rPr>
          <w:sz w:val="28"/>
          <w:szCs w:val="28"/>
          <w:u w:val="none"/>
        </w:rPr>
        <w:t>980</w:t>
      </w:r>
      <w:r w:rsidR="00202A0D">
        <w:rPr>
          <w:sz w:val="28"/>
          <w:szCs w:val="28"/>
          <w:u w:val="none"/>
        </w:rPr>
        <w:t xml:space="preserve"> </w:t>
      </w:r>
      <w:r w:rsidRPr="00C92470">
        <w:rPr>
          <w:sz w:val="28"/>
          <w:szCs w:val="28"/>
          <w:u w:val="none"/>
        </w:rPr>
        <w:t>бассейн</w:t>
      </w:r>
      <w:r w:rsidR="00202A0D">
        <w:rPr>
          <w:sz w:val="28"/>
          <w:szCs w:val="28"/>
          <w:u w:val="none"/>
        </w:rPr>
        <w:t>ов</w:t>
      </w:r>
      <w:r w:rsidRPr="00C92470">
        <w:rPr>
          <w:sz w:val="28"/>
          <w:szCs w:val="28"/>
          <w:u w:val="none"/>
        </w:rPr>
        <w:t xml:space="preserve">, </w:t>
      </w:r>
      <w:r w:rsidR="00202A0D" w:rsidRPr="00C92470">
        <w:rPr>
          <w:sz w:val="28"/>
          <w:szCs w:val="28"/>
          <w:u w:val="none"/>
        </w:rPr>
        <w:t>747</w:t>
      </w:r>
      <w:r w:rsidR="00202A0D">
        <w:rPr>
          <w:sz w:val="28"/>
          <w:szCs w:val="28"/>
          <w:u w:val="none"/>
        </w:rPr>
        <w:t xml:space="preserve"> </w:t>
      </w:r>
      <w:r w:rsidRPr="00C92470">
        <w:rPr>
          <w:sz w:val="28"/>
          <w:szCs w:val="28"/>
          <w:u w:val="none"/>
        </w:rPr>
        <w:t>крыты</w:t>
      </w:r>
      <w:r w:rsidR="00202A0D">
        <w:rPr>
          <w:sz w:val="28"/>
          <w:szCs w:val="28"/>
          <w:u w:val="none"/>
        </w:rPr>
        <w:t>х</w:t>
      </w:r>
      <w:r w:rsidRPr="00C92470">
        <w:rPr>
          <w:sz w:val="28"/>
          <w:szCs w:val="28"/>
          <w:u w:val="none"/>
        </w:rPr>
        <w:t xml:space="preserve"> спортивны</w:t>
      </w:r>
      <w:r w:rsidR="00202A0D">
        <w:rPr>
          <w:sz w:val="28"/>
          <w:szCs w:val="28"/>
          <w:u w:val="none"/>
        </w:rPr>
        <w:t>х</w:t>
      </w:r>
      <w:r w:rsidRPr="00C92470">
        <w:rPr>
          <w:sz w:val="28"/>
          <w:szCs w:val="28"/>
          <w:u w:val="none"/>
        </w:rPr>
        <w:t xml:space="preserve"> объект</w:t>
      </w:r>
      <w:r w:rsidR="00202A0D">
        <w:rPr>
          <w:sz w:val="28"/>
          <w:szCs w:val="28"/>
          <w:u w:val="none"/>
        </w:rPr>
        <w:t>ов с искусственным льдом</w:t>
      </w:r>
      <w:r w:rsidRPr="00C92470">
        <w:rPr>
          <w:sz w:val="28"/>
          <w:szCs w:val="28"/>
          <w:u w:val="none"/>
        </w:rPr>
        <w:t xml:space="preserve">, </w:t>
      </w:r>
      <w:r w:rsidR="00202A0D" w:rsidRPr="00C92470">
        <w:rPr>
          <w:sz w:val="28"/>
          <w:szCs w:val="28"/>
          <w:u w:val="none"/>
        </w:rPr>
        <w:t>998</w:t>
      </w:r>
      <w:r w:rsidR="00202A0D">
        <w:rPr>
          <w:sz w:val="28"/>
          <w:szCs w:val="28"/>
          <w:u w:val="none"/>
        </w:rPr>
        <w:t xml:space="preserve"> </w:t>
      </w:r>
      <w:r w:rsidRPr="00C92470">
        <w:rPr>
          <w:sz w:val="28"/>
          <w:szCs w:val="28"/>
          <w:u w:val="none"/>
        </w:rPr>
        <w:t>лыжны</w:t>
      </w:r>
      <w:r w:rsidR="00202A0D">
        <w:rPr>
          <w:sz w:val="28"/>
          <w:szCs w:val="28"/>
          <w:u w:val="none"/>
        </w:rPr>
        <w:t>х баз</w:t>
      </w:r>
      <w:r w:rsidRPr="00C92470">
        <w:rPr>
          <w:sz w:val="28"/>
          <w:szCs w:val="28"/>
          <w:u w:val="none"/>
        </w:rPr>
        <w:t xml:space="preserve">, </w:t>
      </w:r>
      <w:r w:rsidR="00DF4B69">
        <w:rPr>
          <w:sz w:val="28"/>
          <w:szCs w:val="28"/>
          <w:u w:val="none"/>
        </w:rPr>
        <w:br/>
      </w:r>
      <w:r w:rsidR="00202A0D" w:rsidRPr="00C92470">
        <w:rPr>
          <w:sz w:val="28"/>
          <w:szCs w:val="28"/>
          <w:u w:val="none"/>
        </w:rPr>
        <w:t>437</w:t>
      </w:r>
      <w:r w:rsidR="00202A0D">
        <w:rPr>
          <w:sz w:val="28"/>
          <w:szCs w:val="28"/>
          <w:u w:val="none"/>
        </w:rPr>
        <w:t xml:space="preserve"> </w:t>
      </w:r>
      <w:r w:rsidRPr="00C92470">
        <w:rPr>
          <w:sz w:val="28"/>
          <w:szCs w:val="28"/>
          <w:u w:val="none"/>
        </w:rPr>
        <w:t>легкоатлетически</w:t>
      </w:r>
      <w:r w:rsidR="00202A0D">
        <w:rPr>
          <w:sz w:val="28"/>
          <w:szCs w:val="28"/>
          <w:u w:val="none"/>
        </w:rPr>
        <w:t>х</w:t>
      </w:r>
      <w:r w:rsidRPr="00C92470">
        <w:rPr>
          <w:sz w:val="28"/>
          <w:szCs w:val="28"/>
          <w:u w:val="none"/>
        </w:rPr>
        <w:t xml:space="preserve"> </w:t>
      </w:r>
      <w:r w:rsidR="00202A0D">
        <w:rPr>
          <w:sz w:val="28"/>
          <w:szCs w:val="28"/>
          <w:u w:val="none"/>
        </w:rPr>
        <w:t>манежей</w:t>
      </w:r>
      <w:r w:rsidRPr="00C92470">
        <w:rPr>
          <w:sz w:val="28"/>
          <w:szCs w:val="28"/>
          <w:u w:val="none"/>
        </w:rPr>
        <w:t xml:space="preserve">, </w:t>
      </w:r>
      <w:r w:rsidR="00202A0D" w:rsidRPr="00C92470">
        <w:rPr>
          <w:sz w:val="28"/>
          <w:szCs w:val="28"/>
          <w:u w:val="none"/>
        </w:rPr>
        <w:t>107</w:t>
      </w:r>
      <w:r w:rsidR="00202A0D">
        <w:rPr>
          <w:sz w:val="28"/>
          <w:szCs w:val="28"/>
          <w:u w:val="none"/>
        </w:rPr>
        <w:t xml:space="preserve"> </w:t>
      </w:r>
      <w:r w:rsidRPr="00C92470">
        <w:rPr>
          <w:sz w:val="28"/>
          <w:szCs w:val="28"/>
          <w:u w:val="none"/>
        </w:rPr>
        <w:t>гребны</w:t>
      </w:r>
      <w:r w:rsidR="00202A0D">
        <w:rPr>
          <w:sz w:val="28"/>
          <w:szCs w:val="28"/>
          <w:u w:val="none"/>
        </w:rPr>
        <w:t>х</w:t>
      </w:r>
      <w:r w:rsidRPr="00C92470">
        <w:rPr>
          <w:sz w:val="28"/>
          <w:szCs w:val="28"/>
          <w:u w:val="none"/>
        </w:rPr>
        <w:t xml:space="preserve"> </w:t>
      </w:r>
      <w:r w:rsidR="00202A0D">
        <w:rPr>
          <w:sz w:val="28"/>
          <w:szCs w:val="28"/>
          <w:u w:val="none"/>
        </w:rPr>
        <w:t>баз</w:t>
      </w:r>
      <w:r w:rsidRPr="00C92470">
        <w:rPr>
          <w:sz w:val="28"/>
          <w:szCs w:val="28"/>
          <w:u w:val="none"/>
        </w:rPr>
        <w:t xml:space="preserve"> и другие спортивные сооружения.</w:t>
      </w:r>
    </w:p>
    <w:p w14:paraId="510A3A98" w14:textId="54DAD26E" w:rsidR="00C92470" w:rsidRPr="00C92470" w:rsidRDefault="00C92470" w:rsidP="00C92470">
      <w:pPr>
        <w:pStyle w:val="Style5"/>
        <w:shd w:val="clear" w:color="auto" w:fill="auto"/>
        <w:spacing w:line="312" w:lineRule="auto"/>
        <w:ind w:firstLine="709"/>
        <w:jc w:val="both"/>
        <w:rPr>
          <w:sz w:val="28"/>
          <w:szCs w:val="28"/>
          <w:u w:val="none"/>
        </w:rPr>
      </w:pPr>
      <w:r w:rsidRPr="00C92470">
        <w:rPr>
          <w:sz w:val="28"/>
          <w:szCs w:val="28"/>
          <w:u w:val="none"/>
        </w:rPr>
        <w:t xml:space="preserve">Ежегодно растет общее число организаций и учреждений, осуществляющих физкультурно-оздоровительную работу с </w:t>
      </w:r>
      <w:r w:rsidR="003B77D7">
        <w:rPr>
          <w:sz w:val="28"/>
          <w:szCs w:val="28"/>
          <w:u w:val="none"/>
        </w:rPr>
        <w:t xml:space="preserve">гражданами </w:t>
      </w:r>
      <w:r w:rsidR="003B77D7" w:rsidRPr="009E08D5">
        <w:rPr>
          <w:sz w:val="28"/>
          <w:szCs w:val="28"/>
          <w:u w:val="none"/>
        </w:rPr>
        <w:t>с инвалидностью</w:t>
      </w:r>
      <w:r w:rsidRPr="00C92470">
        <w:rPr>
          <w:sz w:val="28"/>
          <w:szCs w:val="28"/>
          <w:u w:val="none"/>
        </w:rPr>
        <w:t xml:space="preserve"> и лицами с </w:t>
      </w:r>
      <w:r w:rsidR="00202A0D">
        <w:rPr>
          <w:sz w:val="28"/>
          <w:szCs w:val="28"/>
          <w:u w:val="none"/>
        </w:rPr>
        <w:t>ОВЗ.</w:t>
      </w:r>
      <w:r w:rsidRPr="00C92470">
        <w:rPr>
          <w:sz w:val="28"/>
          <w:szCs w:val="28"/>
          <w:u w:val="none"/>
        </w:rPr>
        <w:t xml:space="preserve"> В 2021 г</w:t>
      </w:r>
      <w:r w:rsidR="00897A15">
        <w:rPr>
          <w:sz w:val="28"/>
          <w:szCs w:val="28"/>
          <w:u w:val="none"/>
        </w:rPr>
        <w:t>.</w:t>
      </w:r>
      <w:r w:rsidRPr="00C92470">
        <w:rPr>
          <w:sz w:val="28"/>
          <w:szCs w:val="28"/>
          <w:u w:val="none"/>
        </w:rPr>
        <w:t xml:space="preserve"> количество таких организаций сос</w:t>
      </w:r>
      <w:r w:rsidR="00202A0D">
        <w:rPr>
          <w:sz w:val="28"/>
          <w:szCs w:val="28"/>
          <w:u w:val="none"/>
        </w:rPr>
        <w:t xml:space="preserve">тавило 24,1 тыс. организаций </w:t>
      </w:r>
      <w:r w:rsidR="009E08D5">
        <w:rPr>
          <w:sz w:val="28"/>
          <w:szCs w:val="28"/>
          <w:u w:val="none"/>
        </w:rPr>
        <w:br/>
      </w:r>
      <w:r w:rsidR="00202A0D">
        <w:rPr>
          <w:sz w:val="28"/>
          <w:szCs w:val="28"/>
          <w:u w:val="none"/>
        </w:rPr>
        <w:t>(</w:t>
      </w:r>
      <w:r w:rsidRPr="00C92470">
        <w:rPr>
          <w:sz w:val="28"/>
          <w:szCs w:val="28"/>
          <w:u w:val="none"/>
        </w:rPr>
        <w:t xml:space="preserve">2020 г. </w:t>
      </w:r>
      <w:r w:rsidR="00202A0D">
        <w:rPr>
          <w:sz w:val="28"/>
          <w:szCs w:val="28"/>
          <w:u w:val="none"/>
        </w:rPr>
        <w:t>–</w:t>
      </w:r>
      <w:r w:rsidRPr="00C92470">
        <w:rPr>
          <w:sz w:val="28"/>
          <w:szCs w:val="28"/>
          <w:u w:val="none"/>
        </w:rPr>
        <w:t xml:space="preserve"> 2</w:t>
      </w:r>
      <w:r w:rsidR="00202A0D">
        <w:rPr>
          <w:sz w:val="28"/>
          <w:szCs w:val="28"/>
          <w:u w:val="none"/>
        </w:rPr>
        <w:t xml:space="preserve">3,2 тыс., </w:t>
      </w:r>
      <w:r w:rsidRPr="00C92470">
        <w:rPr>
          <w:sz w:val="28"/>
          <w:szCs w:val="28"/>
          <w:u w:val="none"/>
        </w:rPr>
        <w:t xml:space="preserve">2019 г. </w:t>
      </w:r>
      <w:r w:rsidR="00202A0D">
        <w:rPr>
          <w:sz w:val="28"/>
          <w:szCs w:val="28"/>
          <w:u w:val="none"/>
        </w:rPr>
        <w:t>–</w:t>
      </w:r>
      <w:r w:rsidRPr="00C92470">
        <w:rPr>
          <w:sz w:val="28"/>
          <w:szCs w:val="28"/>
          <w:u w:val="none"/>
        </w:rPr>
        <w:t xml:space="preserve"> 21,1 тыс.).</w:t>
      </w:r>
    </w:p>
    <w:p w14:paraId="1076AE44" w14:textId="77777777" w:rsidR="00C92470" w:rsidRPr="00C92470" w:rsidRDefault="00C92470" w:rsidP="00C92470">
      <w:pPr>
        <w:pStyle w:val="Style5"/>
        <w:shd w:val="clear" w:color="auto" w:fill="auto"/>
        <w:spacing w:line="312" w:lineRule="auto"/>
        <w:ind w:firstLine="709"/>
        <w:jc w:val="both"/>
        <w:rPr>
          <w:sz w:val="28"/>
          <w:szCs w:val="28"/>
          <w:u w:val="none"/>
        </w:rPr>
      </w:pPr>
      <w:r w:rsidRPr="00C92470">
        <w:rPr>
          <w:sz w:val="28"/>
          <w:szCs w:val="28"/>
          <w:u w:val="none"/>
        </w:rPr>
        <w:t xml:space="preserve">Наблюдается планомерная динамика увеличения </w:t>
      </w:r>
      <w:r w:rsidR="00202A0D">
        <w:rPr>
          <w:sz w:val="28"/>
          <w:szCs w:val="28"/>
          <w:u w:val="none"/>
        </w:rPr>
        <w:t>числа</w:t>
      </w:r>
      <w:r w:rsidRPr="00C92470">
        <w:rPr>
          <w:sz w:val="28"/>
          <w:szCs w:val="28"/>
          <w:u w:val="none"/>
        </w:rPr>
        <w:t xml:space="preserve"> </w:t>
      </w:r>
      <w:r w:rsidR="00202A0D" w:rsidRPr="00C92470">
        <w:rPr>
          <w:sz w:val="28"/>
          <w:szCs w:val="28"/>
          <w:u w:val="none"/>
        </w:rPr>
        <w:t>инвалидов</w:t>
      </w:r>
      <w:r w:rsidR="00202A0D">
        <w:rPr>
          <w:sz w:val="28"/>
          <w:szCs w:val="28"/>
          <w:u w:val="none"/>
        </w:rPr>
        <w:t>,</w:t>
      </w:r>
      <w:r w:rsidR="00202A0D" w:rsidRPr="00C92470">
        <w:rPr>
          <w:sz w:val="28"/>
          <w:szCs w:val="28"/>
          <w:u w:val="none"/>
        </w:rPr>
        <w:t xml:space="preserve"> </w:t>
      </w:r>
      <w:r w:rsidRPr="00C92470">
        <w:rPr>
          <w:sz w:val="28"/>
          <w:szCs w:val="28"/>
          <w:u w:val="none"/>
        </w:rPr>
        <w:t>занимающихся физической культурой и спортом. По данным федерального статистического наблюдения 3-АФК «Сведения об адаптивной физической культуре и спорте», в 2021 г</w:t>
      </w:r>
      <w:r w:rsidR="00897A15">
        <w:rPr>
          <w:sz w:val="28"/>
          <w:szCs w:val="28"/>
          <w:u w:val="none"/>
        </w:rPr>
        <w:t>.</w:t>
      </w:r>
      <w:r w:rsidRPr="00C92470">
        <w:rPr>
          <w:sz w:val="28"/>
          <w:szCs w:val="28"/>
          <w:u w:val="none"/>
        </w:rPr>
        <w:t xml:space="preserve"> </w:t>
      </w:r>
      <w:r w:rsidR="00202A0D" w:rsidRPr="00C92470">
        <w:rPr>
          <w:sz w:val="28"/>
          <w:szCs w:val="28"/>
          <w:u w:val="none"/>
        </w:rPr>
        <w:t xml:space="preserve">513,8 тыс. </w:t>
      </w:r>
      <w:r w:rsidRPr="00C92470">
        <w:rPr>
          <w:sz w:val="28"/>
          <w:szCs w:val="28"/>
          <w:u w:val="none"/>
        </w:rPr>
        <w:t xml:space="preserve">детей-инвалидов и лиц с </w:t>
      </w:r>
      <w:r w:rsidR="00202A0D">
        <w:rPr>
          <w:sz w:val="28"/>
          <w:szCs w:val="28"/>
          <w:u w:val="none"/>
        </w:rPr>
        <w:t>ОВЗ</w:t>
      </w:r>
      <w:r w:rsidRPr="00C92470">
        <w:rPr>
          <w:sz w:val="28"/>
          <w:szCs w:val="28"/>
          <w:u w:val="none"/>
        </w:rPr>
        <w:t xml:space="preserve"> в в</w:t>
      </w:r>
      <w:r w:rsidR="00202A0D">
        <w:rPr>
          <w:sz w:val="28"/>
          <w:szCs w:val="28"/>
          <w:u w:val="none"/>
        </w:rPr>
        <w:t>озрасте от 6 до 18 лет или 75,9</w:t>
      </w:r>
      <w:r w:rsidRPr="00C92470">
        <w:rPr>
          <w:sz w:val="28"/>
          <w:szCs w:val="28"/>
          <w:u w:val="none"/>
        </w:rPr>
        <w:t xml:space="preserve">% </w:t>
      </w:r>
      <w:r w:rsidR="00202A0D" w:rsidRPr="00C92470">
        <w:rPr>
          <w:sz w:val="28"/>
          <w:szCs w:val="28"/>
          <w:u w:val="none"/>
        </w:rPr>
        <w:t>систематически занима</w:t>
      </w:r>
      <w:r w:rsidR="00202A0D">
        <w:rPr>
          <w:sz w:val="28"/>
          <w:szCs w:val="28"/>
          <w:u w:val="none"/>
        </w:rPr>
        <w:t>лись</w:t>
      </w:r>
      <w:r w:rsidR="00202A0D" w:rsidRPr="00C92470">
        <w:rPr>
          <w:sz w:val="28"/>
          <w:szCs w:val="28"/>
          <w:u w:val="none"/>
        </w:rPr>
        <w:t xml:space="preserve"> физической культурой и спортом </w:t>
      </w:r>
      <w:r w:rsidR="00202A0D">
        <w:rPr>
          <w:sz w:val="28"/>
          <w:szCs w:val="28"/>
          <w:u w:val="none"/>
        </w:rPr>
        <w:br/>
        <w:t>(</w:t>
      </w:r>
      <w:r w:rsidRPr="00C92470">
        <w:rPr>
          <w:sz w:val="28"/>
          <w:szCs w:val="28"/>
          <w:u w:val="none"/>
        </w:rPr>
        <w:t>2020 г</w:t>
      </w:r>
      <w:r w:rsidR="00202A0D">
        <w:rPr>
          <w:sz w:val="28"/>
          <w:szCs w:val="28"/>
          <w:u w:val="none"/>
        </w:rPr>
        <w:t>.</w:t>
      </w:r>
      <w:r w:rsidRPr="00C92470">
        <w:rPr>
          <w:sz w:val="28"/>
          <w:szCs w:val="28"/>
          <w:u w:val="none"/>
        </w:rPr>
        <w:t xml:space="preserve"> </w:t>
      </w:r>
      <w:r w:rsidR="00202A0D">
        <w:rPr>
          <w:sz w:val="28"/>
          <w:szCs w:val="28"/>
          <w:u w:val="none"/>
        </w:rPr>
        <w:t>–</w:t>
      </w:r>
      <w:r w:rsidRPr="00C92470">
        <w:rPr>
          <w:sz w:val="28"/>
          <w:szCs w:val="28"/>
          <w:u w:val="none"/>
        </w:rPr>
        <w:t xml:space="preserve"> 47</w:t>
      </w:r>
      <w:r w:rsidR="00202A0D">
        <w:rPr>
          <w:sz w:val="28"/>
          <w:szCs w:val="28"/>
          <w:u w:val="none"/>
        </w:rPr>
        <w:t>5,6 тыс. детей или 73,05</w:t>
      </w:r>
      <w:r w:rsidRPr="00C92470">
        <w:rPr>
          <w:sz w:val="28"/>
          <w:szCs w:val="28"/>
          <w:u w:val="none"/>
        </w:rPr>
        <w:t>%).</w:t>
      </w:r>
    </w:p>
    <w:p w14:paraId="34082066" w14:textId="77777777" w:rsidR="00C92470" w:rsidRPr="00C92470" w:rsidRDefault="00C92470" w:rsidP="00C92470">
      <w:pPr>
        <w:pStyle w:val="Style5"/>
        <w:shd w:val="clear" w:color="auto" w:fill="auto"/>
        <w:spacing w:line="312" w:lineRule="auto"/>
        <w:ind w:firstLine="709"/>
        <w:jc w:val="both"/>
        <w:rPr>
          <w:sz w:val="28"/>
          <w:szCs w:val="28"/>
          <w:u w:val="none"/>
        </w:rPr>
      </w:pPr>
      <w:r w:rsidRPr="00C92470">
        <w:rPr>
          <w:sz w:val="28"/>
          <w:szCs w:val="28"/>
          <w:u w:val="none"/>
        </w:rPr>
        <w:t>В 2021 г</w:t>
      </w:r>
      <w:r w:rsidR="00897A15">
        <w:rPr>
          <w:sz w:val="28"/>
          <w:szCs w:val="28"/>
          <w:u w:val="none"/>
        </w:rPr>
        <w:t>.</w:t>
      </w:r>
      <w:r w:rsidRPr="00C92470">
        <w:rPr>
          <w:sz w:val="28"/>
          <w:szCs w:val="28"/>
          <w:u w:val="none"/>
        </w:rPr>
        <w:t xml:space="preserve"> </w:t>
      </w:r>
      <w:r w:rsidR="00202A0D" w:rsidRPr="00C92470">
        <w:rPr>
          <w:sz w:val="28"/>
          <w:szCs w:val="28"/>
          <w:u w:val="none"/>
        </w:rPr>
        <w:t>совместны</w:t>
      </w:r>
      <w:r w:rsidR="00202A0D">
        <w:rPr>
          <w:sz w:val="28"/>
          <w:szCs w:val="28"/>
          <w:u w:val="none"/>
        </w:rPr>
        <w:t>м</w:t>
      </w:r>
      <w:r w:rsidR="00202A0D" w:rsidRPr="00C92470">
        <w:rPr>
          <w:sz w:val="28"/>
          <w:szCs w:val="28"/>
          <w:u w:val="none"/>
        </w:rPr>
        <w:t xml:space="preserve"> приказ</w:t>
      </w:r>
      <w:r w:rsidR="00202A0D">
        <w:rPr>
          <w:sz w:val="28"/>
          <w:szCs w:val="28"/>
          <w:u w:val="none"/>
        </w:rPr>
        <w:t>ом</w:t>
      </w:r>
      <w:r w:rsidR="00202A0D" w:rsidRPr="00C92470">
        <w:rPr>
          <w:sz w:val="28"/>
          <w:szCs w:val="28"/>
          <w:u w:val="none"/>
        </w:rPr>
        <w:t xml:space="preserve"> </w:t>
      </w:r>
      <w:proofErr w:type="spellStart"/>
      <w:r w:rsidR="00202A0D" w:rsidRPr="00C92470">
        <w:rPr>
          <w:sz w:val="28"/>
          <w:szCs w:val="28"/>
          <w:u w:val="none"/>
        </w:rPr>
        <w:t>Минспорта</w:t>
      </w:r>
      <w:proofErr w:type="spellEnd"/>
      <w:r w:rsidR="00202A0D" w:rsidRPr="00C92470">
        <w:rPr>
          <w:sz w:val="28"/>
          <w:szCs w:val="28"/>
          <w:u w:val="none"/>
        </w:rPr>
        <w:t xml:space="preserve"> России и Минпросвещения России от 17 февраля 2021 г. № 89/59</w:t>
      </w:r>
      <w:r w:rsidR="00202A0D">
        <w:rPr>
          <w:sz w:val="28"/>
          <w:szCs w:val="28"/>
          <w:u w:val="none"/>
        </w:rPr>
        <w:t xml:space="preserve"> </w:t>
      </w:r>
      <w:r w:rsidRPr="00C92470">
        <w:rPr>
          <w:sz w:val="28"/>
          <w:szCs w:val="28"/>
          <w:u w:val="none"/>
        </w:rPr>
        <w:t>актуализирована Межотраслевая программа развития школьного спорта до 2024 г</w:t>
      </w:r>
      <w:r w:rsidR="003506F0">
        <w:rPr>
          <w:sz w:val="28"/>
          <w:szCs w:val="28"/>
          <w:u w:val="none"/>
        </w:rPr>
        <w:t>.</w:t>
      </w:r>
      <w:r w:rsidR="00202A0D">
        <w:rPr>
          <w:sz w:val="28"/>
          <w:szCs w:val="28"/>
          <w:u w:val="none"/>
        </w:rPr>
        <w:t xml:space="preserve"> (</w:t>
      </w:r>
      <w:r w:rsidRPr="00C92470">
        <w:rPr>
          <w:sz w:val="28"/>
          <w:szCs w:val="28"/>
          <w:u w:val="none"/>
        </w:rPr>
        <w:t xml:space="preserve">далее </w:t>
      </w:r>
      <w:r w:rsidR="00202A0D">
        <w:rPr>
          <w:sz w:val="28"/>
          <w:szCs w:val="28"/>
          <w:u w:val="none"/>
        </w:rPr>
        <w:t>по тексту подраздела –</w:t>
      </w:r>
      <w:r w:rsidRPr="00C92470">
        <w:rPr>
          <w:sz w:val="28"/>
          <w:szCs w:val="28"/>
          <w:u w:val="none"/>
        </w:rPr>
        <w:t xml:space="preserve"> Программа школьного спорта).</w:t>
      </w:r>
    </w:p>
    <w:p w14:paraId="36CFBDA6" w14:textId="77777777" w:rsidR="00C92470" w:rsidRDefault="00C92470" w:rsidP="00C92470">
      <w:pPr>
        <w:pStyle w:val="Style5"/>
        <w:shd w:val="clear" w:color="auto" w:fill="auto"/>
        <w:tabs>
          <w:tab w:val="left" w:pos="2883"/>
          <w:tab w:val="left" w:pos="4425"/>
          <w:tab w:val="right" w:pos="7295"/>
          <w:tab w:val="right" w:pos="10212"/>
        </w:tabs>
        <w:spacing w:line="312" w:lineRule="auto"/>
        <w:ind w:firstLine="709"/>
        <w:jc w:val="both"/>
        <w:rPr>
          <w:sz w:val="28"/>
          <w:szCs w:val="28"/>
          <w:u w:val="none"/>
        </w:rPr>
      </w:pPr>
      <w:r w:rsidRPr="00C92470">
        <w:rPr>
          <w:sz w:val="28"/>
          <w:szCs w:val="28"/>
          <w:u w:val="none"/>
        </w:rPr>
        <w:t xml:space="preserve">По данным федерального статистического наблюдения, по состоянию </w:t>
      </w:r>
      <w:r w:rsidR="00202A0D">
        <w:rPr>
          <w:sz w:val="28"/>
          <w:szCs w:val="28"/>
          <w:u w:val="none"/>
        </w:rPr>
        <w:br/>
      </w:r>
      <w:r w:rsidRPr="00C92470">
        <w:rPr>
          <w:sz w:val="28"/>
          <w:szCs w:val="28"/>
          <w:u w:val="none"/>
        </w:rPr>
        <w:t xml:space="preserve">на 31 декабря 2021 г. в общеобразовательных организациях действуют 17 789 </w:t>
      </w:r>
      <w:r w:rsidR="00E20C0C">
        <w:rPr>
          <w:sz w:val="28"/>
          <w:szCs w:val="28"/>
          <w:u w:val="none"/>
        </w:rPr>
        <w:t>ШСК</w:t>
      </w:r>
      <w:r>
        <w:rPr>
          <w:sz w:val="28"/>
          <w:szCs w:val="28"/>
          <w:u w:val="none"/>
        </w:rPr>
        <w:t xml:space="preserve"> </w:t>
      </w:r>
      <w:r w:rsidR="00202A0D">
        <w:rPr>
          <w:sz w:val="28"/>
          <w:szCs w:val="28"/>
          <w:u w:val="none"/>
        </w:rPr>
        <w:t>(45,7</w:t>
      </w:r>
      <w:r w:rsidRPr="00C92470">
        <w:rPr>
          <w:sz w:val="28"/>
          <w:szCs w:val="28"/>
          <w:u w:val="none"/>
        </w:rPr>
        <w:t>% от общего количества общеобразовате</w:t>
      </w:r>
      <w:r w:rsidR="00202A0D">
        <w:rPr>
          <w:sz w:val="28"/>
          <w:szCs w:val="28"/>
          <w:u w:val="none"/>
        </w:rPr>
        <w:t>льных организаций, что на 20,86</w:t>
      </w:r>
      <w:r w:rsidRPr="00C92470">
        <w:rPr>
          <w:sz w:val="28"/>
          <w:szCs w:val="28"/>
          <w:u w:val="none"/>
        </w:rPr>
        <w:t>% больше, чем в 2020 г</w:t>
      </w:r>
      <w:r w:rsidR="00897A15">
        <w:rPr>
          <w:sz w:val="28"/>
          <w:szCs w:val="28"/>
          <w:u w:val="none"/>
        </w:rPr>
        <w:t>.</w:t>
      </w:r>
      <w:r w:rsidRPr="00C92470">
        <w:rPr>
          <w:sz w:val="28"/>
          <w:szCs w:val="28"/>
          <w:u w:val="none"/>
        </w:rPr>
        <w:t xml:space="preserve">). </w:t>
      </w:r>
      <w:r w:rsidR="00202A0D">
        <w:rPr>
          <w:sz w:val="28"/>
          <w:szCs w:val="28"/>
          <w:u w:val="none"/>
        </w:rPr>
        <w:t>По итогам</w:t>
      </w:r>
      <w:r w:rsidRPr="00C92470">
        <w:rPr>
          <w:sz w:val="28"/>
          <w:szCs w:val="28"/>
          <w:u w:val="none"/>
        </w:rPr>
        <w:t xml:space="preserve"> реализации Программы школьного спорта ожидается, что к 2024 г</w:t>
      </w:r>
      <w:r w:rsidR="00897A15">
        <w:rPr>
          <w:sz w:val="28"/>
          <w:szCs w:val="28"/>
          <w:u w:val="none"/>
        </w:rPr>
        <w:t>.</w:t>
      </w:r>
      <w:r w:rsidRPr="00C92470">
        <w:rPr>
          <w:sz w:val="28"/>
          <w:szCs w:val="28"/>
          <w:u w:val="none"/>
        </w:rPr>
        <w:t xml:space="preserve"> доля общеобразовательных организаций, и</w:t>
      </w:r>
      <w:r w:rsidR="00202A0D">
        <w:rPr>
          <w:sz w:val="28"/>
          <w:szCs w:val="28"/>
          <w:u w:val="none"/>
        </w:rPr>
        <w:t xml:space="preserve">меющих </w:t>
      </w:r>
      <w:r w:rsidR="00E20C0C">
        <w:rPr>
          <w:sz w:val="28"/>
          <w:szCs w:val="28"/>
          <w:u w:val="none"/>
        </w:rPr>
        <w:t>ШСК</w:t>
      </w:r>
      <w:r w:rsidR="00202A0D">
        <w:rPr>
          <w:sz w:val="28"/>
          <w:szCs w:val="28"/>
          <w:u w:val="none"/>
        </w:rPr>
        <w:t>, составит 100</w:t>
      </w:r>
      <w:r w:rsidRPr="00C92470">
        <w:rPr>
          <w:sz w:val="28"/>
          <w:szCs w:val="28"/>
          <w:u w:val="none"/>
        </w:rPr>
        <w:t>%, материально-техническая база физической культуры и спорта будет обновлена в 7</w:t>
      </w:r>
      <w:r w:rsidR="00CA69E9">
        <w:rPr>
          <w:sz w:val="28"/>
          <w:szCs w:val="28"/>
          <w:u w:val="none"/>
        </w:rPr>
        <w:t xml:space="preserve"> </w:t>
      </w:r>
      <w:r w:rsidRPr="00C92470">
        <w:rPr>
          <w:sz w:val="28"/>
          <w:szCs w:val="28"/>
          <w:u w:val="none"/>
        </w:rPr>
        <w:t>тыс. образовательных организациях.</w:t>
      </w:r>
    </w:p>
    <w:p w14:paraId="5AAB65EA" w14:textId="77777777" w:rsidR="00E20C0C" w:rsidRPr="00C92470" w:rsidRDefault="00E20C0C" w:rsidP="00C92470">
      <w:pPr>
        <w:pStyle w:val="Style5"/>
        <w:shd w:val="clear" w:color="auto" w:fill="auto"/>
        <w:tabs>
          <w:tab w:val="left" w:pos="2883"/>
          <w:tab w:val="left" w:pos="4425"/>
          <w:tab w:val="right" w:pos="7295"/>
          <w:tab w:val="right" w:pos="10212"/>
        </w:tabs>
        <w:spacing w:line="312" w:lineRule="auto"/>
        <w:ind w:firstLine="709"/>
        <w:jc w:val="both"/>
        <w:rPr>
          <w:sz w:val="28"/>
          <w:szCs w:val="28"/>
          <w:u w:val="none"/>
        </w:rPr>
      </w:pPr>
      <w:r>
        <w:rPr>
          <w:sz w:val="28"/>
          <w:szCs w:val="28"/>
          <w:u w:val="none"/>
        </w:rPr>
        <w:t xml:space="preserve">Региональные программы развития школьного спорта утверждены </w:t>
      </w:r>
      <w:r w:rsidR="00897A15">
        <w:rPr>
          <w:sz w:val="28"/>
          <w:szCs w:val="28"/>
          <w:u w:val="none"/>
        </w:rPr>
        <w:br/>
      </w:r>
      <w:r>
        <w:rPr>
          <w:sz w:val="28"/>
          <w:szCs w:val="28"/>
          <w:u w:val="none"/>
        </w:rPr>
        <w:t xml:space="preserve">в 60 субъектах Российской Федерации, в еще 25 субъектах Российской Федерации находятся </w:t>
      </w:r>
      <w:r w:rsidR="00CA69E9">
        <w:rPr>
          <w:sz w:val="28"/>
          <w:szCs w:val="28"/>
          <w:u w:val="none"/>
        </w:rPr>
        <w:t>на</w:t>
      </w:r>
      <w:r>
        <w:rPr>
          <w:sz w:val="28"/>
          <w:szCs w:val="28"/>
          <w:u w:val="none"/>
        </w:rPr>
        <w:t xml:space="preserve"> стадии согласования.</w:t>
      </w:r>
    </w:p>
    <w:p w14:paraId="7C71AF53" w14:textId="77777777" w:rsidR="00C92470" w:rsidRPr="00202A0D" w:rsidRDefault="00C92470" w:rsidP="00202A0D">
      <w:pPr>
        <w:pStyle w:val="Style5"/>
        <w:shd w:val="clear" w:color="auto" w:fill="auto"/>
        <w:tabs>
          <w:tab w:val="left" w:pos="2883"/>
          <w:tab w:val="left" w:pos="7378"/>
          <w:tab w:val="right" w:pos="10212"/>
        </w:tabs>
        <w:spacing w:line="312" w:lineRule="auto"/>
        <w:ind w:firstLine="709"/>
        <w:jc w:val="both"/>
        <w:rPr>
          <w:sz w:val="28"/>
          <w:szCs w:val="28"/>
          <w:u w:val="none"/>
        </w:rPr>
      </w:pPr>
      <w:r w:rsidRPr="00202A0D">
        <w:rPr>
          <w:sz w:val="28"/>
          <w:szCs w:val="28"/>
          <w:u w:val="none"/>
        </w:rPr>
        <w:t xml:space="preserve">Во исполнение пункта 25 Плана мероприятий по реализации Стратегии развития </w:t>
      </w:r>
      <w:r w:rsidR="00DB0410">
        <w:rPr>
          <w:sz w:val="28"/>
          <w:szCs w:val="28"/>
          <w:u w:val="none"/>
        </w:rPr>
        <w:t>физкультуры</w:t>
      </w:r>
      <w:r w:rsidRPr="00202A0D">
        <w:rPr>
          <w:sz w:val="28"/>
          <w:szCs w:val="28"/>
          <w:u w:val="none"/>
        </w:rPr>
        <w:t xml:space="preserve"> и спорта в Российской Федерации на период до 2030 г</w:t>
      </w:r>
      <w:r w:rsidR="00897A15">
        <w:rPr>
          <w:sz w:val="28"/>
          <w:szCs w:val="28"/>
          <w:u w:val="none"/>
        </w:rPr>
        <w:t>.</w:t>
      </w:r>
      <w:r w:rsidRPr="00202A0D">
        <w:rPr>
          <w:sz w:val="28"/>
          <w:szCs w:val="28"/>
          <w:u w:val="none"/>
        </w:rPr>
        <w:t xml:space="preserve">, утвержденного распоряжением Правительства Российской Федерации от 28 декабря 2020 г. № 3615-р, разработан и утвержден комплекс мер, направленный на создание и поддержку деятельности школьных и студенческих спортивных клубов, а также обеспечение их участия в физкультурных и спортивных мероприятиях, проводимых школьными и студенческими спортивными лигами (совместный приказ </w:t>
      </w:r>
      <w:proofErr w:type="spellStart"/>
      <w:r w:rsidRPr="00202A0D">
        <w:rPr>
          <w:sz w:val="28"/>
          <w:szCs w:val="28"/>
          <w:u w:val="none"/>
        </w:rPr>
        <w:t>Минспорта</w:t>
      </w:r>
      <w:proofErr w:type="spellEnd"/>
      <w:r w:rsidRPr="00202A0D">
        <w:rPr>
          <w:sz w:val="28"/>
          <w:szCs w:val="28"/>
          <w:u w:val="none"/>
        </w:rPr>
        <w:t xml:space="preserve"> России, Минпросвещения России и Минобрнауки России от 29 декабря 2021 г. </w:t>
      </w:r>
      <w:r w:rsidR="00897A15">
        <w:rPr>
          <w:sz w:val="28"/>
          <w:szCs w:val="28"/>
          <w:u w:val="none"/>
        </w:rPr>
        <w:br/>
      </w:r>
      <w:r w:rsidRPr="00202A0D">
        <w:rPr>
          <w:sz w:val="28"/>
          <w:szCs w:val="28"/>
          <w:u w:val="none"/>
        </w:rPr>
        <w:t>№ 1071/1031/1708).</w:t>
      </w:r>
    </w:p>
    <w:p w14:paraId="306003E1" w14:textId="77777777" w:rsidR="00C92470" w:rsidRPr="00202A0D" w:rsidRDefault="00C92470" w:rsidP="00202A0D">
      <w:pPr>
        <w:pStyle w:val="Style5"/>
        <w:shd w:val="clear" w:color="auto" w:fill="auto"/>
        <w:spacing w:line="312" w:lineRule="auto"/>
        <w:ind w:firstLine="709"/>
        <w:jc w:val="both"/>
        <w:rPr>
          <w:sz w:val="28"/>
          <w:szCs w:val="28"/>
          <w:u w:val="none"/>
        </w:rPr>
      </w:pPr>
      <w:r w:rsidRPr="00202A0D">
        <w:rPr>
          <w:sz w:val="28"/>
          <w:szCs w:val="28"/>
          <w:u w:val="none"/>
        </w:rPr>
        <w:t xml:space="preserve">Комплекс мер, предусматривает разработку и утверждение методических рекомендаций по коллективному использованию объектов спорта в образовательных организациях высшего образования и физкультурно-спортивных организациях для занятий физической культурой и спортом студентами, в том числе для инвалидов и лиц с </w:t>
      </w:r>
      <w:r w:rsidR="00DB0410">
        <w:rPr>
          <w:sz w:val="28"/>
          <w:szCs w:val="28"/>
          <w:u w:val="none"/>
        </w:rPr>
        <w:t>ОВЗ</w:t>
      </w:r>
      <w:r w:rsidRPr="00202A0D">
        <w:rPr>
          <w:sz w:val="28"/>
          <w:szCs w:val="28"/>
          <w:u w:val="none"/>
        </w:rPr>
        <w:t>. В настоящее время данный комплекс мер направлен в субъекты Российской Федерации для организации работы по его реализации.</w:t>
      </w:r>
    </w:p>
    <w:p w14:paraId="6E81AAF9" w14:textId="77777777" w:rsidR="00E20C0C" w:rsidRDefault="00C92470" w:rsidP="00E20C0C">
      <w:pPr>
        <w:pStyle w:val="Style5"/>
        <w:shd w:val="clear" w:color="auto" w:fill="auto"/>
        <w:spacing w:line="312" w:lineRule="auto"/>
        <w:ind w:firstLine="709"/>
        <w:jc w:val="both"/>
        <w:rPr>
          <w:sz w:val="28"/>
          <w:szCs w:val="28"/>
          <w:u w:val="none"/>
        </w:rPr>
      </w:pPr>
      <w:r w:rsidRPr="00202A0D">
        <w:rPr>
          <w:sz w:val="28"/>
          <w:szCs w:val="28"/>
          <w:u w:val="none"/>
        </w:rPr>
        <w:t>В целях увеличения численности населения, умеющего плавать</w:t>
      </w:r>
      <w:r w:rsidR="00DB0410">
        <w:rPr>
          <w:sz w:val="28"/>
          <w:szCs w:val="28"/>
          <w:u w:val="none"/>
        </w:rPr>
        <w:t>,</w:t>
      </w:r>
      <w:r w:rsidRPr="00202A0D">
        <w:rPr>
          <w:sz w:val="28"/>
          <w:szCs w:val="28"/>
          <w:u w:val="none"/>
        </w:rPr>
        <w:t xml:space="preserve"> и развития соответствующей инфраструктуры Минспорт</w:t>
      </w:r>
      <w:r w:rsidR="00DB0410">
        <w:rPr>
          <w:sz w:val="28"/>
          <w:szCs w:val="28"/>
          <w:u w:val="none"/>
        </w:rPr>
        <w:t>ом</w:t>
      </w:r>
      <w:r w:rsidRPr="00202A0D">
        <w:rPr>
          <w:sz w:val="28"/>
          <w:szCs w:val="28"/>
          <w:u w:val="none"/>
        </w:rPr>
        <w:t xml:space="preserve"> России совместно </w:t>
      </w:r>
      <w:r w:rsidR="005A209B">
        <w:rPr>
          <w:sz w:val="28"/>
          <w:szCs w:val="28"/>
          <w:u w:val="none"/>
        </w:rPr>
        <w:t xml:space="preserve">с </w:t>
      </w:r>
      <w:r w:rsidRPr="00202A0D">
        <w:rPr>
          <w:sz w:val="28"/>
          <w:szCs w:val="28"/>
          <w:u w:val="none"/>
        </w:rPr>
        <w:t>Минпросвещения России, Минобрнауки России и Всероссийской федерацией плавания в 2021 г</w:t>
      </w:r>
      <w:r w:rsidR="008A669B">
        <w:rPr>
          <w:sz w:val="28"/>
          <w:szCs w:val="28"/>
          <w:u w:val="none"/>
        </w:rPr>
        <w:t>.</w:t>
      </w:r>
      <w:r w:rsidRPr="00202A0D">
        <w:rPr>
          <w:sz w:val="28"/>
          <w:szCs w:val="28"/>
          <w:u w:val="none"/>
        </w:rPr>
        <w:t xml:space="preserve"> продолж</w:t>
      </w:r>
      <w:r w:rsidR="00DB0410">
        <w:rPr>
          <w:sz w:val="28"/>
          <w:szCs w:val="28"/>
          <w:u w:val="none"/>
        </w:rPr>
        <w:t>ена</w:t>
      </w:r>
      <w:r w:rsidRPr="00202A0D">
        <w:rPr>
          <w:sz w:val="28"/>
          <w:szCs w:val="28"/>
          <w:u w:val="none"/>
        </w:rPr>
        <w:t xml:space="preserve"> работ</w:t>
      </w:r>
      <w:r w:rsidR="00DB0410">
        <w:rPr>
          <w:sz w:val="28"/>
          <w:szCs w:val="28"/>
          <w:u w:val="none"/>
        </w:rPr>
        <w:t>а</w:t>
      </w:r>
      <w:r w:rsidRPr="00202A0D">
        <w:rPr>
          <w:sz w:val="28"/>
          <w:szCs w:val="28"/>
          <w:u w:val="none"/>
        </w:rPr>
        <w:t xml:space="preserve"> по реализации межведомственной программы «Плавание для всех», утвержд</w:t>
      </w:r>
      <w:r w:rsidR="00E20C0C">
        <w:rPr>
          <w:sz w:val="28"/>
          <w:szCs w:val="28"/>
          <w:u w:val="none"/>
        </w:rPr>
        <w:t>е</w:t>
      </w:r>
      <w:r w:rsidR="008A669B">
        <w:rPr>
          <w:sz w:val="28"/>
          <w:szCs w:val="28"/>
          <w:u w:val="none"/>
        </w:rPr>
        <w:t>нной в 2019 г</w:t>
      </w:r>
      <w:r w:rsidRPr="00202A0D">
        <w:rPr>
          <w:sz w:val="28"/>
          <w:szCs w:val="28"/>
          <w:u w:val="none"/>
        </w:rPr>
        <w:t>. В настоящее время ведется разработка актуализированной версии межведомственной программы «Плавание для всех на период до 2030 г</w:t>
      </w:r>
      <w:r w:rsidR="008A669B">
        <w:rPr>
          <w:sz w:val="28"/>
          <w:szCs w:val="28"/>
          <w:u w:val="none"/>
        </w:rPr>
        <w:t>.</w:t>
      </w:r>
      <w:r w:rsidRPr="00202A0D">
        <w:rPr>
          <w:sz w:val="28"/>
          <w:szCs w:val="28"/>
          <w:u w:val="none"/>
        </w:rPr>
        <w:t>», осуществляется деятельность рабочей группы по реализации программы «Плавание для всех», действующей при Межведомственной комиссии по развитию физической культуры и массового спорта</w:t>
      </w:r>
      <w:r w:rsidR="00DB0410">
        <w:rPr>
          <w:sz w:val="28"/>
          <w:szCs w:val="28"/>
          <w:u w:val="none"/>
        </w:rPr>
        <w:t>.</w:t>
      </w:r>
    </w:p>
    <w:p w14:paraId="7F89034C" w14:textId="77777777" w:rsidR="00C92470" w:rsidRPr="00202A0D" w:rsidRDefault="00C92470" w:rsidP="00E20C0C">
      <w:pPr>
        <w:pStyle w:val="Style5"/>
        <w:shd w:val="clear" w:color="auto" w:fill="auto"/>
        <w:spacing w:line="312" w:lineRule="auto"/>
        <w:ind w:firstLine="709"/>
        <w:jc w:val="both"/>
        <w:rPr>
          <w:sz w:val="28"/>
          <w:szCs w:val="28"/>
          <w:u w:val="none"/>
        </w:rPr>
      </w:pPr>
      <w:r w:rsidRPr="00202A0D">
        <w:rPr>
          <w:sz w:val="28"/>
          <w:szCs w:val="28"/>
          <w:u w:val="none"/>
        </w:rPr>
        <w:t>В 47 субъектах Российской Федерации разработаны и утверждены региональные программы «Плавание для всех».</w:t>
      </w:r>
      <w:r w:rsidR="00E20C0C">
        <w:rPr>
          <w:sz w:val="28"/>
          <w:szCs w:val="28"/>
          <w:u w:val="none"/>
        </w:rPr>
        <w:t xml:space="preserve"> </w:t>
      </w:r>
      <w:r w:rsidRPr="00202A0D">
        <w:rPr>
          <w:sz w:val="28"/>
          <w:szCs w:val="28"/>
          <w:u w:val="none"/>
        </w:rPr>
        <w:t>В рамках реализации плана межведомственной программы в 2021 г</w:t>
      </w:r>
      <w:r w:rsidR="008A669B">
        <w:rPr>
          <w:sz w:val="28"/>
          <w:szCs w:val="28"/>
          <w:u w:val="none"/>
        </w:rPr>
        <w:t>.</w:t>
      </w:r>
      <w:r w:rsidRPr="00202A0D">
        <w:rPr>
          <w:sz w:val="28"/>
          <w:szCs w:val="28"/>
          <w:u w:val="none"/>
        </w:rPr>
        <w:t xml:space="preserve"> велось обучение по 12-часовой унифицированной программно-методической баз</w:t>
      </w:r>
      <w:r w:rsidR="00E20C0C">
        <w:rPr>
          <w:sz w:val="28"/>
          <w:szCs w:val="28"/>
          <w:u w:val="none"/>
        </w:rPr>
        <w:t>е</w:t>
      </w:r>
      <w:r w:rsidRPr="00202A0D">
        <w:rPr>
          <w:sz w:val="28"/>
          <w:szCs w:val="28"/>
          <w:u w:val="none"/>
        </w:rPr>
        <w:t xml:space="preserve"> обучения базовым навыкам плавания детей и 36-часовой программ</w:t>
      </w:r>
      <w:r w:rsidR="00E20C0C">
        <w:rPr>
          <w:sz w:val="28"/>
          <w:szCs w:val="28"/>
          <w:u w:val="none"/>
        </w:rPr>
        <w:t>е</w:t>
      </w:r>
      <w:r w:rsidRPr="00202A0D">
        <w:rPr>
          <w:sz w:val="28"/>
          <w:szCs w:val="28"/>
          <w:u w:val="none"/>
        </w:rPr>
        <w:t xml:space="preserve"> обучения плаванию для применения в образовательных программах начального общего образования, основного общего образования, дополнительного образования.</w:t>
      </w:r>
    </w:p>
    <w:p w14:paraId="465069BA" w14:textId="77777777" w:rsidR="00C92470" w:rsidRPr="00202A0D" w:rsidRDefault="00E20C0C" w:rsidP="00202A0D">
      <w:pPr>
        <w:pStyle w:val="Style5"/>
        <w:shd w:val="clear" w:color="auto" w:fill="auto"/>
        <w:spacing w:line="312" w:lineRule="auto"/>
        <w:ind w:firstLine="709"/>
        <w:jc w:val="both"/>
        <w:rPr>
          <w:sz w:val="28"/>
          <w:szCs w:val="28"/>
          <w:u w:val="none"/>
        </w:rPr>
      </w:pPr>
      <w:r>
        <w:rPr>
          <w:sz w:val="28"/>
          <w:szCs w:val="28"/>
          <w:u w:val="none"/>
        </w:rPr>
        <w:t>В течение 2021 г</w:t>
      </w:r>
      <w:r w:rsidR="008A669B">
        <w:rPr>
          <w:sz w:val="28"/>
          <w:szCs w:val="28"/>
          <w:u w:val="none"/>
        </w:rPr>
        <w:t>.</w:t>
      </w:r>
      <w:r>
        <w:rPr>
          <w:sz w:val="28"/>
          <w:szCs w:val="28"/>
          <w:u w:val="none"/>
        </w:rPr>
        <w:t xml:space="preserve"> </w:t>
      </w:r>
      <w:r w:rsidR="00C92470" w:rsidRPr="00202A0D">
        <w:rPr>
          <w:sz w:val="28"/>
          <w:szCs w:val="28"/>
          <w:u w:val="none"/>
        </w:rPr>
        <w:t>Минспортом России пров</w:t>
      </w:r>
      <w:r>
        <w:rPr>
          <w:sz w:val="28"/>
          <w:szCs w:val="28"/>
          <w:u w:val="none"/>
        </w:rPr>
        <w:t>о</w:t>
      </w:r>
      <w:r w:rsidR="00C92470" w:rsidRPr="00202A0D">
        <w:rPr>
          <w:sz w:val="28"/>
          <w:szCs w:val="28"/>
          <w:u w:val="none"/>
        </w:rPr>
        <w:t>д</w:t>
      </w:r>
      <w:r>
        <w:rPr>
          <w:sz w:val="28"/>
          <w:szCs w:val="28"/>
          <w:u w:val="none"/>
        </w:rPr>
        <w:t>ился</w:t>
      </w:r>
      <w:r w:rsidR="00C92470" w:rsidRPr="00202A0D">
        <w:rPr>
          <w:sz w:val="28"/>
          <w:szCs w:val="28"/>
          <w:u w:val="none"/>
        </w:rPr>
        <w:t xml:space="preserve"> мониторинг работы субъектов Российской Федерации по реализации межведомственно</w:t>
      </w:r>
      <w:r>
        <w:rPr>
          <w:sz w:val="28"/>
          <w:szCs w:val="28"/>
          <w:u w:val="none"/>
        </w:rPr>
        <w:t xml:space="preserve">й программы «Плавание для всех», по итогам которого </w:t>
      </w:r>
      <w:r w:rsidRPr="00202A0D">
        <w:rPr>
          <w:sz w:val="28"/>
          <w:szCs w:val="28"/>
          <w:u w:val="none"/>
        </w:rPr>
        <w:t xml:space="preserve">более 790 тыс. </w:t>
      </w:r>
      <w:r w:rsidR="00C92470" w:rsidRPr="00202A0D">
        <w:rPr>
          <w:sz w:val="28"/>
          <w:szCs w:val="28"/>
          <w:u w:val="none"/>
        </w:rPr>
        <w:t>граждан обучен</w:t>
      </w:r>
      <w:r>
        <w:rPr>
          <w:sz w:val="28"/>
          <w:szCs w:val="28"/>
          <w:u w:val="none"/>
        </w:rPr>
        <w:t>ы</w:t>
      </w:r>
      <w:r w:rsidR="00C92470" w:rsidRPr="00202A0D">
        <w:rPr>
          <w:sz w:val="28"/>
          <w:szCs w:val="28"/>
          <w:u w:val="none"/>
        </w:rPr>
        <w:t xml:space="preserve"> навыкам плавания, из них </w:t>
      </w:r>
      <w:r w:rsidRPr="00202A0D">
        <w:rPr>
          <w:sz w:val="28"/>
          <w:szCs w:val="28"/>
          <w:u w:val="none"/>
        </w:rPr>
        <w:t xml:space="preserve">21,1 тыс. человек </w:t>
      </w:r>
      <w:r w:rsidR="00C92470" w:rsidRPr="00202A0D">
        <w:rPr>
          <w:sz w:val="28"/>
          <w:szCs w:val="28"/>
          <w:u w:val="none"/>
        </w:rPr>
        <w:t xml:space="preserve">с инвалидностью и </w:t>
      </w:r>
      <w:r>
        <w:rPr>
          <w:sz w:val="28"/>
          <w:szCs w:val="28"/>
          <w:u w:val="none"/>
        </w:rPr>
        <w:t>ОВЗ</w:t>
      </w:r>
      <w:r w:rsidR="00C92470" w:rsidRPr="00202A0D">
        <w:rPr>
          <w:sz w:val="28"/>
          <w:szCs w:val="28"/>
          <w:u w:val="none"/>
        </w:rPr>
        <w:t xml:space="preserve">, </w:t>
      </w:r>
      <w:r>
        <w:rPr>
          <w:sz w:val="28"/>
          <w:szCs w:val="28"/>
          <w:u w:val="none"/>
        </w:rPr>
        <w:t xml:space="preserve">из </w:t>
      </w:r>
      <w:r w:rsidRPr="00202A0D">
        <w:rPr>
          <w:sz w:val="28"/>
          <w:szCs w:val="28"/>
          <w:u w:val="none"/>
        </w:rPr>
        <w:t xml:space="preserve">723,2 тыс. </w:t>
      </w:r>
      <w:r>
        <w:rPr>
          <w:sz w:val="28"/>
          <w:szCs w:val="28"/>
          <w:u w:val="none"/>
        </w:rPr>
        <w:t xml:space="preserve">обученных </w:t>
      </w:r>
      <w:r w:rsidR="00C92470" w:rsidRPr="00202A0D">
        <w:rPr>
          <w:sz w:val="28"/>
          <w:szCs w:val="28"/>
          <w:u w:val="none"/>
        </w:rPr>
        <w:t>детей в возрасте от 3 до 17 лет</w:t>
      </w:r>
      <w:r w:rsidR="000F486A">
        <w:rPr>
          <w:sz w:val="28"/>
          <w:szCs w:val="28"/>
          <w:u w:val="none"/>
        </w:rPr>
        <w:t xml:space="preserve"> –</w:t>
      </w:r>
      <w:r w:rsidR="00C92470" w:rsidRPr="00202A0D">
        <w:rPr>
          <w:sz w:val="28"/>
          <w:szCs w:val="28"/>
          <w:u w:val="none"/>
        </w:rPr>
        <w:t xml:space="preserve"> </w:t>
      </w:r>
      <w:r w:rsidR="000F486A">
        <w:rPr>
          <w:sz w:val="28"/>
          <w:szCs w:val="28"/>
          <w:u w:val="none"/>
        </w:rPr>
        <w:t>1</w:t>
      </w:r>
      <w:r w:rsidRPr="00202A0D">
        <w:rPr>
          <w:sz w:val="28"/>
          <w:szCs w:val="28"/>
          <w:u w:val="none"/>
        </w:rPr>
        <w:t xml:space="preserve">8,2 тыс. </w:t>
      </w:r>
      <w:r w:rsidR="00C92470" w:rsidRPr="00202A0D">
        <w:rPr>
          <w:sz w:val="28"/>
          <w:szCs w:val="28"/>
          <w:u w:val="none"/>
        </w:rPr>
        <w:t xml:space="preserve">с инвалидностью и </w:t>
      </w:r>
      <w:r>
        <w:rPr>
          <w:sz w:val="28"/>
          <w:szCs w:val="28"/>
          <w:u w:val="none"/>
        </w:rPr>
        <w:t>ОВЗ</w:t>
      </w:r>
      <w:r w:rsidR="00C92470" w:rsidRPr="00202A0D">
        <w:rPr>
          <w:sz w:val="28"/>
          <w:szCs w:val="28"/>
          <w:u w:val="none"/>
        </w:rPr>
        <w:t>.</w:t>
      </w:r>
    </w:p>
    <w:p w14:paraId="15F4ECCC" w14:textId="77777777" w:rsidR="00C92470" w:rsidRPr="00202A0D" w:rsidRDefault="00C92470" w:rsidP="00AD688A">
      <w:pPr>
        <w:pStyle w:val="Style5"/>
        <w:shd w:val="clear" w:color="auto" w:fill="auto"/>
        <w:spacing w:line="312" w:lineRule="auto"/>
        <w:ind w:firstLine="709"/>
        <w:jc w:val="both"/>
        <w:rPr>
          <w:sz w:val="28"/>
          <w:szCs w:val="28"/>
          <w:u w:val="none"/>
        </w:rPr>
      </w:pPr>
      <w:r w:rsidRPr="00202A0D">
        <w:rPr>
          <w:sz w:val="28"/>
          <w:szCs w:val="28"/>
          <w:u w:val="none"/>
        </w:rPr>
        <w:t xml:space="preserve">Объем финансирования на реализацию межведомственной программы «Плавания для всех» из региональных бюджетов составил свыше 565,0 млн рублей, в том числе </w:t>
      </w:r>
      <w:r w:rsidR="00AD688A" w:rsidRPr="00202A0D">
        <w:rPr>
          <w:sz w:val="28"/>
          <w:szCs w:val="28"/>
          <w:u w:val="none"/>
        </w:rPr>
        <w:t>свыше</w:t>
      </w:r>
      <w:r w:rsidR="00AD688A">
        <w:rPr>
          <w:sz w:val="28"/>
          <w:szCs w:val="28"/>
          <w:u w:val="none"/>
        </w:rPr>
        <w:t xml:space="preserve"> 11,3 млн</w:t>
      </w:r>
      <w:r w:rsidR="00AD688A" w:rsidRPr="00202A0D">
        <w:rPr>
          <w:sz w:val="28"/>
          <w:szCs w:val="28"/>
          <w:u w:val="none"/>
        </w:rPr>
        <w:t xml:space="preserve"> </w:t>
      </w:r>
      <w:r w:rsidR="00AD688A">
        <w:rPr>
          <w:sz w:val="28"/>
          <w:szCs w:val="28"/>
          <w:u w:val="none"/>
        </w:rPr>
        <w:t>из внебюджетных источников. В рамках реализации программы в 31 субъекте Российской Федерации проведено 974</w:t>
      </w:r>
      <w:r w:rsidRPr="00202A0D">
        <w:rPr>
          <w:sz w:val="28"/>
          <w:szCs w:val="28"/>
          <w:u w:val="none"/>
        </w:rPr>
        <w:t xml:space="preserve"> соревнования «Умею плавать».</w:t>
      </w:r>
    </w:p>
    <w:p w14:paraId="702D1AFC" w14:textId="77777777" w:rsidR="00C92470" w:rsidRPr="00202A0D" w:rsidRDefault="00C92470" w:rsidP="00923E41">
      <w:pPr>
        <w:pStyle w:val="Style5"/>
        <w:shd w:val="clear" w:color="auto" w:fill="auto"/>
        <w:spacing w:line="312" w:lineRule="auto"/>
        <w:ind w:firstLine="709"/>
        <w:jc w:val="both"/>
        <w:rPr>
          <w:sz w:val="28"/>
          <w:szCs w:val="28"/>
          <w:u w:val="none"/>
        </w:rPr>
      </w:pPr>
      <w:r w:rsidRPr="00202A0D">
        <w:rPr>
          <w:sz w:val="28"/>
          <w:szCs w:val="28"/>
          <w:u w:val="none"/>
        </w:rPr>
        <w:t xml:space="preserve">Также в целях привлечения различных возрастных и социальных групп населения к систематическим занятиям физической культурой и спортом Минспортом России определен перечень субъектов Российской Федерации </w:t>
      </w:r>
      <w:r w:rsidR="00923E41">
        <w:rPr>
          <w:sz w:val="28"/>
          <w:szCs w:val="28"/>
          <w:u w:val="none"/>
        </w:rPr>
        <w:t>–</w:t>
      </w:r>
      <w:r w:rsidRPr="00202A0D">
        <w:rPr>
          <w:sz w:val="28"/>
          <w:szCs w:val="28"/>
          <w:u w:val="none"/>
        </w:rPr>
        <w:t xml:space="preserve"> модельных площадок по обобщению и распространению опыта по вовлечению различных категорий населения («фокус-групп») в занятия физической культурой и спортом.</w:t>
      </w:r>
      <w:r w:rsidR="00923E41">
        <w:rPr>
          <w:sz w:val="28"/>
          <w:szCs w:val="28"/>
          <w:u w:val="none"/>
        </w:rPr>
        <w:t xml:space="preserve"> Модельные площадки </w:t>
      </w:r>
      <w:r w:rsidRPr="00202A0D">
        <w:rPr>
          <w:sz w:val="28"/>
          <w:szCs w:val="28"/>
          <w:u w:val="none"/>
        </w:rPr>
        <w:t>по всеобщему обучению плаванию («фокус</w:t>
      </w:r>
      <w:r w:rsidR="00923E41">
        <w:rPr>
          <w:sz w:val="28"/>
          <w:szCs w:val="28"/>
          <w:u w:val="none"/>
        </w:rPr>
        <w:t>-</w:t>
      </w:r>
      <w:r w:rsidRPr="00202A0D">
        <w:rPr>
          <w:sz w:val="28"/>
          <w:szCs w:val="28"/>
          <w:u w:val="none"/>
        </w:rPr>
        <w:t xml:space="preserve">группа» «Плавание для всех») реализуются в </w:t>
      </w:r>
      <w:r w:rsidR="00923E41" w:rsidRPr="00202A0D">
        <w:rPr>
          <w:sz w:val="28"/>
          <w:szCs w:val="28"/>
          <w:u w:val="none"/>
        </w:rPr>
        <w:t>Хабаровск</w:t>
      </w:r>
      <w:r w:rsidR="00923E41">
        <w:rPr>
          <w:sz w:val="28"/>
          <w:szCs w:val="28"/>
          <w:u w:val="none"/>
        </w:rPr>
        <w:t>ом</w:t>
      </w:r>
      <w:r w:rsidR="00923E41" w:rsidRPr="00202A0D">
        <w:rPr>
          <w:sz w:val="28"/>
          <w:szCs w:val="28"/>
          <w:u w:val="none"/>
        </w:rPr>
        <w:t xml:space="preserve"> кра</w:t>
      </w:r>
      <w:r w:rsidR="00923E41">
        <w:rPr>
          <w:sz w:val="28"/>
          <w:szCs w:val="28"/>
          <w:u w:val="none"/>
        </w:rPr>
        <w:t>е,</w:t>
      </w:r>
      <w:r w:rsidR="00923E41" w:rsidRPr="00202A0D">
        <w:rPr>
          <w:sz w:val="28"/>
          <w:szCs w:val="28"/>
          <w:u w:val="none"/>
        </w:rPr>
        <w:t xml:space="preserve"> </w:t>
      </w:r>
      <w:r w:rsidRPr="00202A0D">
        <w:rPr>
          <w:sz w:val="28"/>
          <w:szCs w:val="28"/>
          <w:u w:val="none"/>
        </w:rPr>
        <w:t>Архангельск</w:t>
      </w:r>
      <w:r w:rsidR="00923E41">
        <w:rPr>
          <w:sz w:val="28"/>
          <w:szCs w:val="28"/>
          <w:u w:val="none"/>
        </w:rPr>
        <w:t xml:space="preserve">ой и </w:t>
      </w:r>
      <w:r w:rsidR="00923E41" w:rsidRPr="00202A0D">
        <w:rPr>
          <w:sz w:val="28"/>
          <w:szCs w:val="28"/>
          <w:u w:val="none"/>
        </w:rPr>
        <w:t>Калужск</w:t>
      </w:r>
      <w:r w:rsidR="00923E41">
        <w:rPr>
          <w:sz w:val="28"/>
          <w:szCs w:val="28"/>
          <w:u w:val="none"/>
        </w:rPr>
        <w:t>ой</w:t>
      </w:r>
      <w:r w:rsidR="00923E41" w:rsidRPr="00202A0D">
        <w:rPr>
          <w:sz w:val="28"/>
          <w:szCs w:val="28"/>
          <w:u w:val="none"/>
        </w:rPr>
        <w:t xml:space="preserve"> </w:t>
      </w:r>
      <w:r w:rsidR="00923E41">
        <w:rPr>
          <w:sz w:val="28"/>
          <w:szCs w:val="28"/>
          <w:u w:val="none"/>
        </w:rPr>
        <w:t>областях</w:t>
      </w:r>
      <w:r w:rsidRPr="00202A0D">
        <w:rPr>
          <w:sz w:val="28"/>
          <w:szCs w:val="28"/>
          <w:u w:val="none"/>
        </w:rPr>
        <w:t>. Положительный опыт регионов будет рекомендован к реализации во всех субъектах Российской Федерации.</w:t>
      </w:r>
    </w:p>
    <w:p w14:paraId="0D711D53" w14:textId="77777777" w:rsidR="00C92470" w:rsidRPr="00202A0D" w:rsidRDefault="00C92470" w:rsidP="00202A0D">
      <w:pPr>
        <w:pStyle w:val="Style5"/>
        <w:shd w:val="clear" w:color="auto" w:fill="auto"/>
        <w:spacing w:line="312" w:lineRule="auto"/>
        <w:ind w:firstLine="709"/>
        <w:jc w:val="both"/>
        <w:rPr>
          <w:sz w:val="28"/>
          <w:szCs w:val="28"/>
          <w:u w:val="none"/>
        </w:rPr>
      </w:pPr>
      <w:r w:rsidRPr="00202A0D">
        <w:rPr>
          <w:sz w:val="28"/>
          <w:szCs w:val="28"/>
          <w:u w:val="none"/>
        </w:rPr>
        <w:t>В целях создания условий, обеспечивающих равные возможности населению вести здоровый образ жизни, систематически заниматься физической культурой и спортом</w:t>
      </w:r>
      <w:r w:rsidR="00923E41">
        <w:rPr>
          <w:sz w:val="28"/>
          <w:szCs w:val="28"/>
          <w:u w:val="none"/>
        </w:rPr>
        <w:t>,</w:t>
      </w:r>
      <w:r w:rsidRPr="00202A0D">
        <w:rPr>
          <w:sz w:val="28"/>
          <w:szCs w:val="28"/>
          <w:u w:val="none"/>
        </w:rPr>
        <w:t xml:space="preserve"> в 2021 г</w:t>
      </w:r>
      <w:r w:rsidR="008A669B">
        <w:rPr>
          <w:sz w:val="28"/>
          <w:szCs w:val="28"/>
          <w:u w:val="none"/>
        </w:rPr>
        <w:t>.</w:t>
      </w:r>
      <w:r w:rsidRPr="00202A0D">
        <w:rPr>
          <w:sz w:val="28"/>
          <w:szCs w:val="28"/>
          <w:u w:val="none"/>
        </w:rPr>
        <w:t xml:space="preserve"> Минспортом России совместно </w:t>
      </w:r>
      <w:r w:rsidR="000F486A">
        <w:rPr>
          <w:sz w:val="28"/>
          <w:szCs w:val="28"/>
          <w:u w:val="none"/>
        </w:rPr>
        <w:t xml:space="preserve">с </w:t>
      </w:r>
      <w:r w:rsidRPr="00202A0D">
        <w:rPr>
          <w:sz w:val="28"/>
          <w:szCs w:val="28"/>
          <w:u w:val="none"/>
        </w:rPr>
        <w:t>Минпросвещения России разработаны и утверждены Методические рекомендации по обеспечению доступности использования спортивной инфраструктуры общеобразовательных организаций для занятий физической культурой и спортом населением. Данные методические рекомендации адресованы руководител</w:t>
      </w:r>
      <w:r w:rsidR="00923E41">
        <w:rPr>
          <w:sz w:val="28"/>
          <w:szCs w:val="28"/>
          <w:u w:val="none"/>
        </w:rPr>
        <w:t>ям</w:t>
      </w:r>
      <w:r w:rsidRPr="00202A0D">
        <w:rPr>
          <w:sz w:val="28"/>
          <w:szCs w:val="28"/>
          <w:u w:val="none"/>
        </w:rPr>
        <w:t xml:space="preserve"> образовательных организаций, физкультурно-спортивных организаций, в том числе </w:t>
      </w:r>
      <w:proofErr w:type="spellStart"/>
      <w:r w:rsidRPr="00202A0D">
        <w:rPr>
          <w:sz w:val="28"/>
          <w:szCs w:val="28"/>
          <w:u w:val="none"/>
        </w:rPr>
        <w:t>физкультурно</w:t>
      </w:r>
      <w:r w:rsidRPr="00202A0D">
        <w:rPr>
          <w:sz w:val="28"/>
          <w:szCs w:val="28"/>
          <w:u w:val="none"/>
        </w:rPr>
        <w:softHyphen/>
        <w:t>спортивных</w:t>
      </w:r>
      <w:proofErr w:type="spellEnd"/>
      <w:r w:rsidRPr="00202A0D">
        <w:rPr>
          <w:sz w:val="28"/>
          <w:szCs w:val="28"/>
          <w:u w:val="none"/>
        </w:rPr>
        <w:t xml:space="preserve"> клубов.</w:t>
      </w:r>
    </w:p>
    <w:p w14:paraId="477EC2A8" w14:textId="77777777" w:rsidR="00C92470" w:rsidRPr="00202A0D" w:rsidRDefault="00C92470" w:rsidP="00923E41">
      <w:pPr>
        <w:pStyle w:val="Style5"/>
        <w:shd w:val="clear" w:color="auto" w:fill="auto"/>
        <w:spacing w:line="312" w:lineRule="auto"/>
        <w:ind w:firstLine="709"/>
        <w:jc w:val="both"/>
        <w:rPr>
          <w:sz w:val="28"/>
          <w:szCs w:val="28"/>
          <w:u w:val="none"/>
        </w:rPr>
      </w:pPr>
      <w:r w:rsidRPr="00202A0D">
        <w:rPr>
          <w:sz w:val="28"/>
          <w:szCs w:val="28"/>
          <w:u w:val="none"/>
        </w:rPr>
        <w:t>Приоритетным направлением по формированию доступности спортивной инфраструктуры общеобразовательных организаций для детей, семей с детьми является развитие и совершенствование дополнительного образования, в том числе физкульт</w:t>
      </w:r>
      <w:r w:rsidR="00923E41">
        <w:rPr>
          <w:sz w:val="28"/>
          <w:szCs w:val="28"/>
          <w:u w:val="none"/>
        </w:rPr>
        <w:t xml:space="preserve">урно-спортивной направленности. </w:t>
      </w:r>
      <w:r w:rsidRPr="00202A0D">
        <w:rPr>
          <w:sz w:val="28"/>
          <w:szCs w:val="28"/>
          <w:u w:val="none"/>
        </w:rPr>
        <w:t>Такая система позволяет увеличить охват детей, регулярно занимающихся физической культурой и спортом, создавать условия для личностного роста и реализации физических и творческих способностей детей, выявления одаренных детей, готовых далее продолжить свою тренировочную и соревновательную деятельность в физкультурно-спортивных организациях по подготовке спортивного резерва.</w:t>
      </w:r>
    </w:p>
    <w:p w14:paraId="64FE8823" w14:textId="6A6751CD" w:rsidR="00C92470" w:rsidRPr="00202A0D" w:rsidRDefault="00C92470" w:rsidP="00202A0D">
      <w:pPr>
        <w:pStyle w:val="Style5"/>
        <w:shd w:val="clear" w:color="auto" w:fill="auto"/>
        <w:spacing w:line="312" w:lineRule="auto"/>
        <w:ind w:firstLine="709"/>
        <w:jc w:val="both"/>
        <w:rPr>
          <w:sz w:val="28"/>
          <w:szCs w:val="28"/>
          <w:u w:val="none"/>
        </w:rPr>
      </w:pPr>
      <w:r w:rsidRPr="00202A0D">
        <w:rPr>
          <w:sz w:val="28"/>
          <w:szCs w:val="28"/>
          <w:u w:val="none"/>
        </w:rPr>
        <w:t xml:space="preserve">Кроме того, в рамках федерального проекта «Спорт </w:t>
      </w:r>
      <w:r w:rsidR="00923E41">
        <w:rPr>
          <w:sz w:val="28"/>
          <w:szCs w:val="28"/>
          <w:u w:val="none"/>
        </w:rPr>
        <w:t>–</w:t>
      </w:r>
      <w:r w:rsidRPr="00202A0D">
        <w:rPr>
          <w:sz w:val="28"/>
          <w:szCs w:val="28"/>
          <w:u w:val="none"/>
        </w:rPr>
        <w:t xml:space="preserve"> норма жизни» и в соответствии с приложением № 3 к государственной программе Российской Федерации «Развитие физической культуры и спорта», утвержденной постановлением Правительства Российской Федерации от 30</w:t>
      </w:r>
      <w:r w:rsidR="00923E41">
        <w:rPr>
          <w:sz w:val="28"/>
          <w:szCs w:val="28"/>
          <w:u w:val="none"/>
        </w:rPr>
        <w:t xml:space="preserve"> сентября </w:t>
      </w:r>
      <w:r w:rsidRPr="00202A0D">
        <w:rPr>
          <w:sz w:val="28"/>
          <w:szCs w:val="28"/>
          <w:u w:val="none"/>
        </w:rPr>
        <w:t>202</w:t>
      </w:r>
      <w:r w:rsidR="00923E41">
        <w:rPr>
          <w:sz w:val="28"/>
          <w:szCs w:val="28"/>
          <w:u w:val="none"/>
        </w:rPr>
        <w:t>1 г.</w:t>
      </w:r>
      <w:r w:rsidRPr="00202A0D">
        <w:rPr>
          <w:sz w:val="28"/>
          <w:szCs w:val="28"/>
          <w:u w:val="none"/>
        </w:rPr>
        <w:t xml:space="preserve"> № 1661</w:t>
      </w:r>
      <w:r w:rsidR="00DB0410">
        <w:rPr>
          <w:sz w:val="28"/>
          <w:szCs w:val="28"/>
          <w:u w:val="none"/>
        </w:rPr>
        <w:t>,</w:t>
      </w:r>
      <w:r w:rsidRPr="00202A0D">
        <w:rPr>
          <w:sz w:val="28"/>
          <w:szCs w:val="28"/>
          <w:u w:val="none"/>
        </w:rPr>
        <w:t xml:space="preserve"> Минспортом России ежегодно предоставляются субсидии из федерального бюджета бюджетам субъе</w:t>
      </w:r>
      <w:r w:rsidR="00DB0410">
        <w:rPr>
          <w:sz w:val="28"/>
          <w:szCs w:val="28"/>
          <w:u w:val="none"/>
        </w:rPr>
        <w:t xml:space="preserve">ктов Российской Федерации на </w:t>
      </w:r>
      <w:proofErr w:type="spellStart"/>
      <w:r w:rsidR="00DB0410">
        <w:rPr>
          <w:sz w:val="28"/>
          <w:szCs w:val="28"/>
          <w:u w:val="none"/>
        </w:rPr>
        <w:t>со</w:t>
      </w:r>
      <w:r w:rsidRPr="00202A0D">
        <w:rPr>
          <w:sz w:val="28"/>
          <w:szCs w:val="28"/>
          <w:u w:val="none"/>
        </w:rPr>
        <w:t>финансирование</w:t>
      </w:r>
      <w:proofErr w:type="spellEnd"/>
      <w:r w:rsidRPr="00202A0D">
        <w:rPr>
          <w:sz w:val="28"/>
          <w:szCs w:val="28"/>
          <w:u w:val="none"/>
        </w:rPr>
        <w:t xml:space="preserve"> государственных программ субъектов Российской Федерации в части приобретения спортивного оборудования и инвентаря для приведения организаций спортивной подготовки в нормативное состояние.</w:t>
      </w:r>
    </w:p>
    <w:p w14:paraId="13B99024" w14:textId="77777777" w:rsidR="00C92470" w:rsidRPr="00202A0D" w:rsidRDefault="00C92470" w:rsidP="00202A0D">
      <w:pPr>
        <w:pStyle w:val="Style5"/>
        <w:shd w:val="clear" w:color="auto" w:fill="auto"/>
        <w:spacing w:line="312" w:lineRule="auto"/>
        <w:ind w:firstLine="709"/>
        <w:jc w:val="both"/>
        <w:rPr>
          <w:sz w:val="28"/>
          <w:szCs w:val="28"/>
          <w:u w:val="none"/>
        </w:rPr>
      </w:pPr>
      <w:r w:rsidRPr="00202A0D">
        <w:rPr>
          <w:sz w:val="28"/>
          <w:szCs w:val="28"/>
          <w:u w:val="none"/>
        </w:rPr>
        <w:t xml:space="preserve">В рамках реализации </w:t>
      </w:r>
      <w:r w:rsidR="00923E41">
        <w:rPr>
          <w:sz w:val="28"/>
          <w:szCs w:val="28"/>
          <w:u w:val="none"/>
        </w:rPr>
        <w:t>ф</w:t>
      </w:r>
      <w:r w:rsidRPr="00202A0D">
        <w:rPr>
          <w:sz w:val="28"/>
          <w:szCs w:val="28"/>
          <w:u w:val="none"/>
        </w:rPr>
        <w:t xml:space="preserve">едерального проекта </w:t>
      </w:r>
      <w:r w:rsidR="00923E41" w:rsidRPr="00202A0D">
        <w:rPr>
          <w:sz w:val="28"/>
          <w:szCs w:val="28"/>
          <w:u w:val="none"/>
        </w:rPr>
        <w:t xml:space="preserve">«Спорт </w:t>
      </w:r>
      <w:r w:rsidR="00923E41">
        <w:rPr>
          <w:sz w:val="28"/>
          <w:szCs w:val="28"/>
          <w:u w:val="none"/>
        </w:rPr>
        <w:t>–</w:t>
      </w:r>
      <w:r w:rsidR="00923E41" w:rsidRPr="00202A0D">
        <w:rPr>
          <w:sz w:val="28"/>
          <w:szCs w:val="28"/>
          <w:u w:val="none"/>
        </w:rPr>
        <w:t xml:space="preserve"> норма жизни» </w:t>
      </w:r>
      <w:r w:rsidR="00923E41">
        <w:rPr>
          <w:sz w:val="28"/>
          <w:szCs w:val="28"/>
          <w:u w:val="none"/>
        </w:rPr>
        <w:t>в 2021 г</w:t>
      </w:r>
      <w:r w:rsidR="008A669B">
        <w:rPr>
          <w:sz w:val="28"/>
          <w:szCs w:val="28"/>
          <w:u w:val="none"/>
        </w:rPr>
        <w:t>.</w:t>
      </w:r>
      <w:r w:rsidR="00923E41">
        <w:rPr>
          <w:sz w:val="28"/>
          <w:szCs w:val="28"/>
          <w:u w:val="none"/>
        </w:rPr>
        <w:t xml:space="preserve"> </w:t>
      </w:r>
      <w:r w:rsidRPr="00202A0D">
        <w:rPr>
          <w:sz w:val="28"/>
          <w:szCs w:val="28"/>
          <w:u w:val="none"/>
        </w:rPr>
        <w:t>Минспорт</w:t>
      </w:r>
      <w:r w:rsidR="00923E41">
        <w:rPr>
          <w:sz w:val="28"/>
          <w:szCs w:val="28"/>
          <w:u w:val="none"/>
        </w:rPr>
        <w:t>ом</w:t>
      </w:r>
      <w:r w:rsidRPr="00202A0D">
        <w:rPr>
          <w:sz w:val="28"/>
          <w:szCs w:val="28"/>
          <w:u w:val="none"/>
        </w:rPr>
        <w:t xml:space="preserve"> России </w:t>
      </w:r>
      <w:r w:rsidR="00923E41">
        <w:rPr>
          <w:sz w:val="28"/>
          <w:szCs w:val="28"/>
          <w:u w:val="none"/>
        </w:rPr>
        <w:t>предоставлены</w:t>
      </w:r>
      <w:r w:rsidRPr="00202A0D">
        <w:rPr>
          <w:sz w:val="28"/>
          <w:szCs w:val="28"/>
          <w:u w:val="none"/>
        </w:rPr>
        <w:t xml:space="preserve"> субсидии субъектам Российской Федерации на </w:t>
      </w:r>
      <w:proofErr w:type="spellStart"/>
      <w:r w:rsidRPr="00202A0D">
        <w:rPr>
          <w:sz w:val="28"/>
          <w:szCs w:val="28"/>
          <w:u w:val="none"/>
        </w:rPr>
        <w:t>софинансирование</w:t>
      </w:r>
      <w:proofErr w:type="spellEnd"/>
      <w:r w:rsidRPr="00202A0D">
        <w:rPr>
          <w:sz w:val="28"/>
          <w:szCs w:val="28"/>
          <w:u w:val="none"/>
        </w:rPr>
        <w:t xml:space="preserve"> мероприятий по приобретению спортивного оборудования и инвентаря для приведения организаций спортивной подготовки в нормативное состояние на общую сумму 1 </w:t>
      </w:r>
      <w:r w:rsidR="00B84E6F">
        <w:rPr>
          <w:sz w:val="28"/>
          <w:szCs w:val="28"/>
          <w:u w:val="none"/>
        </w:rPr>
        <w:t>373</w:t>
      </w:r>
      <w:r w:rsidRPr="00202A0D">
        <w:rPr>
          <w:sz w:val="28"/>
          <w:szCs w:val="28"/>
          <w:u w:val="none"/>
        </w:rPr>
        <w:t>,</w:t>
      </w:r>
      <w:r w:rsidR="00B84E6F">
        <w:rPr>
          <w:sz w:val="28"/>
          <w:szCs w:val="28"/>
          <w:u w:val="none"/>
        </w:rPr>
        <w:t>0</w:t>
      </w:r>
      <w:r w:rsidRPr="00202A0D">
        <w:rPr>
          <w:sz w:val="28"/>
          <w:szCs w:val="28"/>
          <w:u w:val="none"/>
        </w:rPr>
        <w:t xml:space="preserve"> млн рублей.</w:t>
      </w:r>
    </w:p>
    <w:p w14:paraId="50DB7E5B" w14:textId="77777777" w:rsidR="00C92470" w:rsidRPr="00202A0D" w:rsidRDefault="00923E41" w:rsidP="00202A0D">
      <w:pPr>
        <w:pStyle w:val="Style5"/>
        <w:shd w:val="clear" w:color="auto" w:fill="auto"/>
        <w:spacing w:line="312" w:lineRule="auto"/>
        <w:ind w:firstLine="709"/>
        <w:jc w:val="both"/>
        <w:rPr>
          <w:sz w:val="28"/>
          <w:szCs w:val="28"/>
          <w:u w:val="none"/>
        </w:rPr>
      </w:pPr>
      <w:r>
        <w:rPr>
          <w:sz w:val="28"/>
          <w:szCs w:val="28"/>
          <w:u w:val="none"/>
        </w:rPr>
        <w:t>При этом</w:t>
      </w:r>
      <w:r w:rsidR="00C92470" w:rsidRPr="00202A0D">
        <w:rPr>
          <w:sz w:val="28"/>
          <w:szCs w:val="28"/>
          <w:u w:val="none"/>
        </w:rPr>
        <w:t xml:space="preserve"> в целях оснащения спортивных школ олимпийского резерва спортивным оборудованием и инвентарем, а также в целях развития производства российского спортивного оборудования и инвентаря, увеличения уровня локализации отечественных производителей спортивного оборудования и инвентаря, уменьшения доли использованных иностранных компонентов и сырья Минпромторгом России совместно с Минспортом России с 2020 г</w:t>
      </w:r>
      <w:r w:rsidR="008A669B">
        <w:rPr>
          <w:sz w:val="28"/>
          <w:szCs w:val="28"/>
          <w:u w:val="none"/>
        </w:rPr>
        <w:t>.</w:t>
      </w:r>
      <w:r w:rsidR="00C92470" w:rsidRPr="00202A0D">
        <w:rPr>
          <w:sz w:val="28"/>
          <w:szCs w:val="28"/>
          <w:u w:val="none"/>
        </w:rPr>
        <w:t xml:space="preserve"> реализуются мероприятия по поставке в субъекты Российской Федерации спортивного оборудования и аппаратно-программных комплексов для </w:t>
      </w:r>
      <w:proofErr w:type="spellStart"/>
      <w:r w:rsidR="00C92470" w:rsidRPr="00202A0D">
        <w:rPr>
          <w:sz w:val="28"/>
          <w:szCs w:val="28"/>
          <w:u w:val="none"/>
        </w:rPr>
        <w:t>скрининговой</w:t>
      </w:r>
      <w:proofErr w:type="spellEnd"/>
      <w:r w:rsidR="00C92470" w:rsidRPr="00202A0D">
        <w:rPr>
          <w:sz w:val="28"/>
          <w:szCs w:val="28"/>
          <w:u w:val="none"/>
        </w:rPr>
        <w:t xml:space="preserve"> оценки организма и тестирования уровня физической подготовленности.</w:t>
      </w:r>
    </w:p>
    <w:p w14:paraId="0F8B5BA1" w14:textId="77777777" w:rsidR="00C92470" w:rsidRPr="00202A0D" w:rsidRDefault="00C92470" w:rsidP="00202A0D">
      <w:pPr>
        <w:pStyle w:val="Style5"/>
        <w:shd w:val="clear" w:color="auto" w:fill="auto"/>
        <w:spacing w:line="312" w:lineRule="auto"/>
        <w:ind w:firstLine="709"/>
        <w:jc w:val="both"/>
        <w:rPr>
          <w:sz w:val="28"/>
          <w:szCs w:val="28"/>
          <w:u w:val="none"/>
        </w:rPr>
      </w:pPr>
      <w:r w:rsidRPr="00202A0D">
        <w:rPr>
          <w:sz w:val="28"/>
          <w:szCs w:val="28"/>
          <w:u w:val="none"/>
        </w:rPr>
        <w:t>Соответствующими распоряжениями Правительства Российской Федерации утверждаются, в том числе перечни закупаемого оборудования, а также его распределение между субъектами Российской Федерации. Как правило, конечными получателями оборудования являются физкультурно-спортивные организации по подготовки спортивного резерва.</w:t>
      </w:r>
    </w:p>
    <w:p w14:paraId="7046D88C" w14:textId="77777777" w:rsidR="00C92470" w:rsidRPr="00202A0D" w:rsidRDefault="00C92470" w:rsidP="00202A0D">
      <w:pPr>
        <w:pStyle w:val="Style5"/>
        <w:shd w:val="clear" w:color="auto" w:fill="auto"/>
        <w:spacing w:line="312" w:lineRule="auto"/>
        <w:ind w:firstLine="709"/>
        <w:jc w:val="both"/>
        <w:rPr>
          <w:sz w:val="28"/>
          <w:szCs w:val="28"/>
          <w:u w:val="none"/>
        </w:rPr>
      </w:pPr>
      <w:r w:rsidRPr="00202A0D">
        <w:rPr>
          <w:sz w:val="28"/>
          <w:szCs w:val="28"/>
          <w:u w:val="none"/>
        </w:rPr>
        <w:t>В 2021 г</w:t>
      </w:r>
      <w:r w:rsidR="008A669B">
        <w:rPr>
          <w:sz w:val="28"/>
          <w:szCs w:val="28"/>
          <w:u w:val="none"/>
        </w:rPr>
        <w:t>.</w:t>
      </w:r>
      <w:r w:rsidRPr="00202A0D">
        <w:rPr>
          <w:sz w:val="28"/>
          <w:szCs w:val="28"/>
          <w:u w:val="none"/>
        </w:rPr>
        <w:t xml:space="preserve"> в соответствии с распоряжениями Правительства Российской Федерации от 28</w:t>
      </w:r>
      <w:r w:rsidR="00923E41">
        <w:rPr>
          <w:sz w:val="28"/>
          <w:szCs w:val="28"/>
          <w:u w:val="none"/>
        </w:rPr>
        <w:t xml:space="preserve"> июля </w:t>
      </w:r>
      <w:r w:rsidRPr="00202A0D">
        <w:rPr>
          <w:sz w:val="28"/>
          <w:szCs w:val="28"/>
          <w:u w:val="none"/>
        </w:rPr>
        <w:t>2021</w:t>
      </w:r>
      <w:r w:rsidR="00923E41">
        <w:rPr>
          <w:sz w:val="28"/>
          <w:szCs w:val="28"/>
          <w:u w:val="none"/>
        </w:rPr>
        <w:t xml:space="preserve"> г. и 17 августа</w:t>
      </w:r>
      <w:r w:rsidR="00923E41" w:rsidRPr="00202A0D">
        <w:rPr>
          <w:sz w:val="28"/>
          <w:szCs w:val="28"/>
          <w:u w:val="none"/>
        </w:rPr>
        <w:t xml:space="preserve"> </w:t>
      </w:r>
      <w:r w:rsidRPr="00202A0D">
        <w:rPr>
          <w:sz w:val="28"/>
          <w:szCs w:val="28"/>
          <w:u w:val="none"/>
        </w:rPr>
        <w:t>2021</w:t>
      </w:r>
      <w:r w:rsidR="00923E41">
        <w:rPr>
          <w:sz w:val="28"/>
          <w:szCs w:val="28"/>
          <w:u w:val="none"/>
        </w:rPr>
        <w:t xml:space="preserve"> г.</w:t>
      </w:r>
      <w:r w:rsidRPr="00202A0D">
        <w:rPr>
          <w:sz w:val="28"/>
          <w:szCs w:val="28"/>
          <w:u w:val="none"/>
        </w:rPr>
        <w:t xml:space="preserve"> </w:t>
      </w:r>
      <w:r w:rsidR="00923E41">
        <w:rPr>
          <w:sz w:val="28"/>
          <w:szCs w:val="28"/>
          <w:u w:val="none"/>
        </w:rPr>
        <w:t>передан</w:t>
      </w:r>
      <w:r w:rsidR="00491CDB">
        <w:rPr>
          <w:sz w:val="28"/>
          <w:szCs w:val="28"/>
          <w:u w:val="none"/>
        </w:rPr>
        <w:t xml:space="preserve">о </w:t>
      </w:r>
      <w:r w:rsidR="00923E41" w:rsidRPr="00202A0D">
        <w:rPr>
          <w:sz w:val="28"/>
          <w:szCs w:val="28"/>
          <w:u w:val="none"/>
        </w:rPr>
        <w:t>5</w:t>
      </w:r>
      <w:r w:rsidR="00923E41">
        <w:rPr>
          <w:sz w:val="28"/>
          <w:szCs w:val="28"/>
          <w:u w:val="none"/>
        </w:rPr>
        <w:t> </w:t>
      </w:r>
      <w:r w:rsidR="00923E41" w:rsidRPr="00202A0D">
        <w:rPr>
          <w:sz w:val="28"/>
          <w:szCs w:val="28"/>
          <w:u w:val="none"/>
        </w:rPr>
        <w:t xml:space="preserve">759 единиц </w:t>
      </w:r>
      <w:r w:rsidRPr="00202A0D">
        <w:rPr>
          <w:sz w:val="28"/>
          <w:szCs w:val="28"/>
          <w:u w:val="none"/>
        </w:rPr>
        <w:t xml:space="preserve">спортивного инвентаря и оборудования для оснащения спортивных школ (на сумму 392,9 млн </w:t>
      </w:r>
      <w:r w:rsidR="00923E41">
        <w:rPr>
          <w:sz w:val="28"/>
          <w:szCs w:val="28"/>
          <w:u w:val="none"/>
        </w:rPr>
        <w:t>рублей), а также 112 аппаратно-</w:t>
      </w:r>
      <w:r w:rsidRPr="00202A0D">
        <w:rPr>
          <w:sz w:val="28"/>
          <w:szCs w:val="28"/>
          <w:u w:val="none"/>
        </w:rPr>
        <w:t>программных комплексов (на сумму 350,0 млн рублей).</w:t>
      </w:r>
    </w:p>
    <w:p w14:paraId="68EE6160" w14:textId="77777777" w:rsidR="00C92470" w:rsidRPr="00202A0D" w:rsidRDefault="00923E41" w:rsidP="00202A0D">
      <w:pPr>
        <w:pStyle w:val="Style5"/>
        <w:shd w:val="clear" w:color="auto" w:fill="auto"/>
        <w:spacing w:line="312" w:lineRule="auto"/>
        <w:ind w:firstLine="709"/>
        <w:jc w:val="both"/>
        <w:rPr>
          <w:sz w:val="28"/>
          <w:szCs w:val="28"/>
          <w:u w:val="none"/>
        </w:rPr>
      </w:pPr>
      <w:r>
        <w:rPr>
          <w:sz w:val="28"/>
          <w:szCs w:val="28"/>
          <w:u w:val="none"/>
        </w:rPr>
        <w:t>П</w:t>
      </w:r>
      <w:r w:rsidRPr="00202A0D">
        <w:rPr>
          <w:sz w:val="28"/>
          <w:szCs w:val="28"/>
          <w:u w:val="none"/>
        </w:rPr>
        <w:t>риоритетным направлением работы по совершенствованию системы физического воспитания и увеличению численности граждан, систематически занимающихся физической культурой и спортом</w:t>
      </w:r>
      <w:r>
        <w:rPr>
          <w:sz w:val="28"/>
          <w:szCs w:val="28"/>
          <w:u w:val="none"/>
        </w:rPr>
        <w:t>,</w:t>
      </w:r>
      <w:r w:rsidRPr="00202A0D">
        <w:rPr>
          <w:sz w:val="28"/>
          <w:szCs w:val="28"/>
          <w:u w:val="none"/>
        </w:rPr>
        <w:t xml:space="preserve"> является </w:t>
      </w:r>
      <w:r>
        <w:rPr>
          <w:sz w:val="28"/>
          <w:szCs w:val="28"/>
          <w:u w:val="none"/>
        </w:rPr>
        <w:t>п</w:t>
      </w:r>
      <w:r w:rsidR="00C92470" w:rsidRPr="00202A0D">
        <w:rPr>
          <w:sz w:val="28"/>
          <w:szCs w:val="28"/>
          <w:u w:val="none"/>
        </w:rPr>
        <w:t>ривлечение детей к соревновательной деятельности</w:t>
      </w:r>
      <w:r w:rsidR="006C2515">
        <w:rPr>
          <w:sz w:val="28"/>
          <w:szCs w:val="28"/>
          <w:u w:val="none"/>
        </w:rPr>
        <w:t xml:space="preserve"> (подробнее в подразделе «Формирование здорового образа жизни» раздела 4 «Состояние здоровья женщин и детей»).</w:t>
      </w:r>
    </w:p>
    <w:p w14:paraId="1C1A9D15" w14:textId="77777777" w:rsidR="00C92470" w:rsidRPr="00202A0D" w:rsidRDefault="00C92470" w:rsidP="00202A0D">
      <w:pPr>
        <w:pStyle w:val="Style5"/>
        <w:shd w:val="clear" w:color="auto" w:fill="auto"/>
        <w:spacing w:line="312" w:lineRule="auto"/>
        <w:ind w:firstLine="709"/>
        <w:jc w:val="both"/>
        <w:rPr>
          <w:sz w:val="28"/>
          <w:szCs w:val="28"/>
          <w:u w:val="none"/>
        </w:rPr>
      </w:pPr>
      <w:r w:rsidRPr="00202A0D">
        <w:rPr>
          <w:sz w:val="28"/>
          <w:szCs w:val="28"/>
          <w:u w:val="none"/>
        </w:rPr>
        <w:t>Физкультурные мероприятия среди семей, имеющих детей</w:t>
      </w:r>
      <w:r w:rsidR="00906D79">
        <w:rPr>
          <w:sz w:val="28"/>
          <w:szCs w:val="28"/>
          <w:u w:val="none"/>
        </w:rPr>
        <w:t>,</w:t>
      </w:r>
      <w:r w:rsidRPr="00202A0D">
        <w:rPr>
          <w:sz w:val="28"/>
          <w:szCs w:val="28"/>
          <w:u w:val="none"/>
        </w:rPr>
        <w:t xml:space="preserve"> проводились Минспортом России совместно с органами исполнительной власти субъектов Российской Федерации в области физической культуры и спорта, Олимпийским комитетом России, Национальным сообществом профессиональных участников спортивно-оздоровительной индустрии, Ассоциацией «Город Детства», общероссийскими спортивными федерациями и другим заинтересованными организациями.</w:t>
      </w:r>
    </w:p>
    <w:p w14:paraId="4408F61C" w14:textId="76A41124" w:rsidR="00C92470" w:rsidRPr="009F0CE2" w:rsidRDefault="002F3F30" w:rsidP="00202A0D">
      <w:pPr>
        <w:pStyle w:val="Style5"/>
        <w:shd w:val="clear" w:color="auto" w:fill="auto"/>
        <w:spacing w:line="312" w:lineRule="auto"/>
        <w:ind w:firstLine="709"/>
        <w:jc w:val="both"/>
        <w:rPr>
          <w:sz w:val="28"/>
          <w:szCs w:val="28"/>
          <w:u w:val="none"/>
        </w:rPr>
      </w:pPr>
      <w:r w:rsidRPr="009F0CE2">
        <w:rPr>
          <w:sz w:val="28"/>
          <w:szCs w:val="28"/>
          <w:u w:val="none"/>
        </w:rPr>
        <w:t xml:space="preserve">Так, </w:t>
      </w:r>
      <w:r w:rsidR="00C92470" w:rsidRPr="009F0CE2">
        <w:rPr>
          <w:sz w:val="28"/>
          <w:szCs w:val="28"/>
          <w:u w:val="none"/>
        </w:rPr>
        <w:t xml:space="preserve">в рамках </w:t>
      </w:r>
      <w:r w:rsidRPr="009F0CE2">
        <w:rPr>
          <w:sz w:val="28"/>
          <w:szCs w:val="28"/>
          <w:u w:val="none"/>
        </w:rPr>
        <w:t xml:space="preserve">организованной Минспортом России и Федерацией Независимых Профсоюзов России </w:t>
      </w:r>
      <w:r w:rsidR="00C92470" w:rsidRPr="009F0CE2">
        <w:rPr>
          <w:sz w:val="28"/>
          <w:szCs w:val="28"/>
          <w:u w:val="none"/>
        </w:rPr>
        <w:t>VI Всероссийской спартакиады среди труд</w:t>
      </w:r>
      <w:r w:rsidR="00C92470" w:rsidRPr="009F0CE2">
        <w:rPr>
          <w:rStyle w:val="CharStyle30"/>
          <w:sz w:val="28"/>
          <w:szCs w:val="28"/>
        </w:rPr>
        <w:t>ящи</w:t>
      </w:r>
      <w:r w:rsidR="00C92470" w:rsidRPr="009F0CE2">
        <w:rPr>
          <w:sz w:val="28"/>
          <w:szCs w:val="28"/>
          <w:u w:val="none"/>
        </w:rPr>
        <w:t>хся</w:t>
      </w:r>
      <w:r w:rsidRPr="009F0CE2">
        <w:rPr>
          <w:sz w:val="28"/>
          <w:szCs w:val="28"/>
          <w:u w:val="none"/>
        </w:rPr>
        <w:t>, состоявшейся</w:t>
      </w:r>
      <w:r w:rsidR="00C92470" w:rsidRPr="009F0CE2">
        <w:rPr>
          <w:sz w:val="28"/>
          <w:szCs w:val="28"/>
          <w:u w:val="none"/>
        </w:rPr>
        <w:t xml:space="preserve"> </w:t>
      </w:r>
      <w:r w:rsidR="00832765" w:rsidRPr="009F0CE2">
        <w:rPr>
          <w:sz w:val="28"/>
          <w:szCs w:val="28"/>
          <w:u w:val="none"/>
        </w:rPr>
        <w:t>6</w:t>
      </w:r>
      <w:r w:rsidR="008A669B">
        <w:rPr>
          <w:sz w:val="28"/>
          <w:szCs w:val="28"/>
          <w:u w:val="none"/>
        </w:rPr>
        <w:t>-</w:t>
      </w:r>
      <w:r w:rsidR="00832765" w:rsidRPr="009F0CE2">
        <w:rPr>
          <w:sz w:val="28"/>
          <w:szCs w:val="28"/>
          <w:u w:val="none"/>
        </w:rPr>
        <w:t>10</w:t>
      </w:r>
      <w:r w:rsidR="00C92470" w:rsidRPr="009F0CE2">
        <w:rPr>
          <w:sz w:val="28"/>
          <w:szCs w:val="28"/>
          <w:u w:val="none"/>
        </w:rPr>
        <w:t xml:space="preserve"> сентября 2021 г</w:t>
      </w:r>
      <w:r w:rsidR="00CC682C">
        <w:rPr>
          <w:sz w:val="28"/>
          <w:szCs w:val="28"/>
          <w:u w:val="none"/>
        </w:rPr>
        <w:t>.</w:t>
      </w:r>
      <w:r w:rsidRPr="009F0CE2">
        <w:rPr>
          <w:sz w:val="28"/>
          <w:szCs w:val="28"/>
          <w:u w:val="none"/>
        </w:rPr>
        <w:t xml:space="preserve"> в</w:t>
      </w:r>
      <w:r w:rsidR="00C92470" w:rsidRPr="009F0CE2">
        <w:rPr>
          <w:sz w:val="28"/>
          <w:szCs w:val="28"/>
          <w:u w:val="none"/>
        </w:rPr>
        <w:t xml:space="preserve"> г. Калуг</w:t>
      </w:r>
      <w:r w:rsidRPr="009F0CE2">
        <w:rPr>
          <w:sz w:val="28"/>
          <w:szCs w:val="28"/>
          <w:u w:val="none"/>
        </w:rPr>
        <w:t>е</w:t>
      </w:r>
      <w:r w:rsidR="00C92470" w:rsidRPr="009F0CE2">
        <w:rPr>
          <w:sz w:val="28"/>
          <w:szCs w:val="28"/>
          <w:u w:val="none"/>
        </w:rPr>
        <w:t xml:space="preserve">, команды </w:t>
      </w:r>
      <w:r w:rsidRPr="009F0CE2">
        <w:rPr>
          <w:sz w:val="28"/>
          <w:szCs w:val="28"/>
          <w:u w:val="none"/>
        </w:rPr>
        <w:t xml:space="preserve">семей из </w:t>
      </w:r>
      <w:r w:rsidR="00C92470" w:rsidRPr="009F0CE2">
        <w:rPr>
          <w:sz w:val="28"/>
          <w:szCs w:val="28"/>
          <w:u w:val="none"/>
        </w:rPr>
        <w:t>60 субъектов Российской Федерации</w:t>
      </w:r>
      <w:r w:rsidRPr="009F0CE2">
        <w:rPr>
          <w:sz w:val="28"/>
          <w:szCs w:val="28"/>
          <w:u w:val="none"/>
        </w:rPr>
        <w:t xml:space="preserve"> соревновались на</w:t>
      </w:r>
      <w:r w:rsidR="00C92470" w:rsidRPr="009F0CE2">
        <w:rPr>
          <w:sz w:val="28"/>
          <w:szCs w:val="28"/>
          <w:u w:val="none"/>
        </w:rPr>
        <w:t xml:space="preserve"> туристск</w:t>
      </w:r>
      <w:r w:rsidRPr="009F0CE2">
        <w:rPr>
          <w:sz w:val="28"/>
          <w:szCs w:val="28"/>
          <w:u w:val="none"/>
        </w:rPr>
        <w:t>ой</w:t>
      </w:r>
      <w:r w:rsidR="00C92470" w:rsidRPr="009F0CE2">
        <w:rPr>
          <w:sz w:val="28"/>
          <w:szCs w:val="28"/>
          <w:u w:val="none"/>
        </w:rPr>
        <w:t xml:space="preserve"> полос</w:t>
      </w:r>
      <w:r w:rsidRPr="009F0CE2">
        <w:rPr>
          <w:sz w:val="28"/>
          <w:szCs w:val="28"/>
          <w:u w:val="none"/>
        </w:rPr>
        <w:t>е</w:t>
      </w:r>
      <w:r w:rsidR="00C92470" w:rsidRPr="009F0CE2">
        <w:rPr>
          <w:sz w:val="28"/>
          <w:szCs w:val="28"/>
          <w:u w:val="none"/>
        </w:rPr>
        <w:t xml:space="preserve"> препятствий, </w:t>
      </w:r>
      <w:r w:rsidRPr="009F0CE2">
        <w:rPr>
          <w:sz w:val="28"/>
          <w:szCs w:val="28"/>
          <w:u w:val="none"/>
        </w:rPr>
        <w:t xml:space="preserve">в </w:t>
      </w:r>
      <w:r w:rsidR="00C92470" w:rsidRPr="009F0CE2">
        <w:rPr>
          <w:sz w:val="28"/>
          <w:szCs w:val="28"/>
          <w:u w:val="none"/>
        </w:rPr>
        <w:t>настольн</w:t>
      </w:r>
      <w:r w:rsidRPr="009F0CE2">
        <w:rPr>
          <w:sz w:val="28"/>
          <w:szCs w:val="28"/>
          <w:u w:val="none"/>
        </w:rPr>
        <w:t>ом</w:t>
      </w:r>
      <w:r w:rsidR="00C92470" w:rsidRPr="009F0CE2">
        <w:rPr>
          <w:sz w:val="28"/>
          <w:szCs w:val="28"/>
          <w:u w:val="none"/>
        </w:rPr>
        <w:t xml:space="preserve"> теннис</w:t>
      </w:r>
      <w:r w:rsidRPr="009F0CE2">
        <w:rPr>
          <w:sz w:val="28"/>
          <w:szCs w:val="28"/>
          <w:u w:val="none"/>
        </w:rPr>
        <w:t>е.</w:t>
      </w:r>
    </w:p>
    <w:p w14:paraId="26D674F4" w14:textId="77777777" w:rsidR="00C92470" w:rsidRPr="009F0CE2" w:rsidRDefault="00C92470" w:rsidP="00202A0D">
      <w:pPr>
        <w:pStyle w:val="Style5"/>
        <w:shd w:val="clear" w:color="auto" w:fill="auto"/>
        <w:spacing w:line="312" w:lineRule="auto"/>
        <w:ind w:firstLine="709"/>
        <w:jc w:val="both"/>
        <w:rPr>
          <w:sz w:val="28"/>
          <w:szCs w:val="28"/>
          <w:u w:val="none"/>
        </w:rPr>
      </w:pPr>
      <w:r w:rsidRPr="009F0CE2">
        <w:rPr>
          <w:sz w:val="28"/>
          <w:szCs w:val="28"/>
          <w:u w:val="none"/>
        </w:rPr>
        <w:t>В период с 4 по 8 октября 2021 г</w:t>
      </w:r>
      <w:r w:rsidR="00CC682C">
        <w:rPr>
          <w:sz w:val="28"/>
          <w:szCs w:val="28"/>
          <w:u w:val="none"/>
        </w:rPr>
        <w:t>.</w:t>
      </w:r>
      <w:r w:rsidRPr="009F0CE2">
        <w:rPr>
          <w:sz w:val="28"/>
          <w:szCs w:val="28"/>
          <w:u w:val="none"/>
        </w:rPr>
        <w:t xml:space="preserve"> в г. Кисловодске прошёл финальный этап Фестиваля Всероссийского физкультурно-спортивного комплекса «Готов к труду и обороне» среди семейных команд из 34 субъектов Российской Федерации.</w:t>
      </w:r>
    </w:p>
    <w:p w14:paraId="0C5173E2" w14:textId="0F32883E" w:rsidR="006B13E0" w:rsidRPr="009F0CE2" w:rsidRDefault="00C92470" w:rsidP="00202A0D">
      <w:pPr>
        <w:pStyle w:val="Style5"/>
        <w:shd w:val="clear" w:color="auto" w:fill="auto"/>
        <w:spacing w:line="312" w:lineRule="auto"/>
        <w:ind w:firstLine="709"/>
        <w:jc w:val="both"/>
        <w:rPr>
          <w:sz w:val="28"/>
          <w:szCs w:val="28"/>
          <w:u w:val="none"/>
        </w:rPr>
      </w:pPr>
      <w:r w:rsidRPr="009F0CE2">
        <w:rPr>
          <w:sz w:val="28"/>
          <w:szCs w:val="28"/>
          <w:u w:val="none"/>
        </w:rPr>
        <w:t>В рамках программы X Всероссийских зимних сельских спортивных игр</w:t>
      </w:r>
      <w:r w:rsidR="002F3F30" w:rsidRPr="009F0CE2">
        <w:rPr>
          <w:sz w:val="28"/>
          <w:szCs w:val="28"/>
          <w:u w:val="none"/>
        </w:rPr>
        <w:t xml:space="preserve">, </w:t>
      </w:r>
      <w:r w:rsidR="006B13E0" w:rsidRPr="009F0CE2">
        <w:rPr>
          <w:sz w:val="28"/>
          <w:szCs w:val="28"/>
          <w:u w:val="none"/>
        </w:rPr>
        <w:t xml:space="preserve">организованных Минспортом России и Минсельхозом России </w:t>
      </w:r>
      <w:r w:rsidR="002F3F30" w:rsidRPr="009F0CE2">
        <w:rPr>
          <w:sz w:val="28"/>
          <w:szCs w:val="28"/>
          <w:u w:val="none"/>
        </w:rPr>
        <w:t>16</w:t>
      </w:r>
      <w:r w:rsidR="008A669B">
        <w:rPr>
          <w:sz w:val="28"/>
          <w:szCs w:val="28"/>
          <w:u w:val="none"/>
        </w:rPr>
        <w:t>-</w:t>
      </w:r>
      <w:r w:rsidRPr="009F0CE2">
        <w:rPr>
          <w:sz w:val="28"/>
          <w:szCs w:val="28"/>
          <w:u w:val="none"/>
        </w:rPr>
        <w:t>20 марта 2021 г</w:t>
      </w:r>
      <w:r w:rsidR="00CC682C">
        <w:rPr>
          <w:sz w:val="28"/>
          <w:szCs w:val="28"/>
          <w:u w:val="none"/>
        </w:rPr>
        <w:t>.</w:t>
      </w:r>
      <w:r w:rsidR="002F3F30" w:rsidRPr="009F0CE2">
        <w:rPr>
          <w:sz w:val="28"/>
          <w:szCs w:val="28"/>
          <w:u w:val="none"/>
        </w:rPr>
        <w:t xml:space="preserve"> </w:t>
      </w:r>
      <w:r w:rsidR="003028EB">
        <w:rPr>
          <w:sz w:val="28"/>
          <w:szCs w:val="28"/>
          <w:u w:val="none"/>
        </w:rPr>
        <w:br/>
      </w:r>
      <w:r w:rsidR="002F3F30" w:rsidRPr="009F0CE2">
        <w:rPr>
          <w:sz w:val="28"/>
          <w:szCs w:val="28"/>
          <w:u w:val="none"/>
        </w:rPr>
        <w:t>в</w:t>
      </w:r>
      <w:r w:rsidRPr="009F0CE2">
        <w:rPr>
          <w:sz w:val="28"/>
          <w:szCs w:val="28"/>
          <w:u w:val="none"/>
        </w:rPr>
        <w:t xml:space="preserve"> г. Перм</w:t>
      </w:r>
      <w:r w:rsidR="002F3F30" w:rsidRPr="009F0CE2">
        <w:rPr>
          <w:sz w:val="28"/>
          <w:szCs w:val="28"/>
          <w:u w:val="none"/>
        </w:rPr>
        <w:t>и</w:t>
      </w:r>
      <w:r w:rsidRPr="009F0CE2">
        <w:rPr>
          <w:sz w:val="28"/>
          <w:szCs w:val="28"/>
          <w:u w:val="none"/>
        </w:rPr>
        <w:t xml:space="preserve">, </w:t>
      </w:r>
      <w:r w:rsidR="006B13E0" w:rsidRPr="009F0CE2">
        <w:rPr>
          <w:sz w:val="28"/>
          <w:szCs w:val="28"/>
          <w:u w:val="none"/>
        </w:rPr>
        <w:t xml:space="preserve">семейные </w:t>
      </w:r>
      <w:r w:rsidRPr="009F0CE2">
        <w:rPr>
          <w:sz w:val="28"/>
          <w:szCs w:val="28"/>
          <w:u w:val="none"/>
        </w:rPr>
        <w:t>команды</w:t>
      </w:r>
      <w:r w:rsidR="006B13E0" w:rsidRPr="009F0CE2">
        <w:rPr>
          <w:sz w:val="28"/>
          <w:szCs w:val="28"/>
          <w:u w:val="none"/>
        </w:rPr>
        <w:t xml:space="preserve"> из</w:t>
      </w:r>
      <w:r w:rsidRPr="009F0CE2">
        <w:rPr>
          <w:sz w:val="28"/>
          <w:szCs w:val="28"/>
          <w:u w:val="none"/>
        </w:rPr>
        <w:t xml:space="preserve"> 44 субъектов Российской Федерации состязались в лыжных гонках, дартсе и комбинированной эстафете. </w:t>
      </w:r>
    </w:p>
    <w:p w14:paraId="2BD76445" w14:textId="77777777" w:rsidR="00C92470" w:rsidRPr="009F0CE2" w:rsidRDefault="00C92470" w:rsidP="00202A0D">
      <w:pPr>
        <w:pStyle w:val="Style5"/>
        <w:shd w:val="clear" w:color="auto" w:fill="auto"/>
        <w:spacing w:line="312" w:lineRule="auto"/>
        <w:ind w:firstLine="709"/>
        <w:jc w:val="both"/>
        <w:rPr>
          <w:sz w:val="28"/>
          <w:szCs w:val="28"/>
          <w:u w:val="none"/>
        </w:rPr>
      </w:pPr>
      <w:r w:rsidRPr="009F0CE2">
        <w:rPr>
          <w:sz w:val="28"/>
          <w:szCs w:val="28"/>
          <w:u w:val="none"/>
        </w:rPr>
        <w:t xml:space="preserve">В дни новогодних праздников в субъектах Российской Федерации в целях популяризации здорового образа жизни среди населения </w:t>
      </w:r>
      <w:r w:rsidR="006B13E0" w:rsidRPr="009F0CE2">
        <w:rPr>
          <w:sz w:val="28"/>
          <w:szCs w:val="28"/>
          <w:u w:val="none"/>
        </w:rPr>
        <w:t xml:space="preserve">Минспортом России </w:t>
      </w:r>
      <w:r w:rsidRPr="009F0CE2">
        <w:rPr>
          <w:sz w:val="28"/>
          <w:szCs w:val="28"/>
          <w:u w:val="none"/>
        </w:rPr>
        <w:t xml:space="preserve">совместно с органами исполнительной власти субъектов Российской Федерации в области физической культуры и спорта традиционно проведена Декада спорта и здоровья, </w:t>
      </w:r>
      <w:r w:rsidR="006B13E0" w:rsidRPr="009F0CE2">
        <w:rPr>
          <w:sz w:val="28"/>
          <w:szCs w:val="28"/>
          <w:u w:val="none"/>
        </w:rPr>
        <w:t>предусматривающая</w:t>
      </w:r>
      <w:r w:rsidRPr="009F0CE2">
        <w:rPr>
          <w:sz w:val="28"/>
          <w:szCs w:val="28"/>
          <w:u w:val="none"/>
        </w:rPr>
        <w:t xml:space="preserve"> более 25 тыс. мероприятий</w:t>
      </w:r>
      <w:r w:rsidR="006B13E0" w:rsidRPr="009F0CE2">
        <w:rPr>
          <w:sz w:val="28"/>
          <w:szCs w:val="28"/>
          <w:u w:val="none"/>
        </w:rPr>
        <w:t xml:space="preserve"> по всей стране</w:t>
      </w:r>
      <w:r w:rsidRPr="009F0CE2">
        <w:rPr>
          <w:sz w:val="28"/>
          <w:szCs w:val="28"/>
          <w:u w:val="none"/>
        </w:rPr>
        <w:t>, направленных на приобщение граждан к активному отдыху и занятиям физической культурой и спортом.</w:t>
      </w:r>
    </w:p>
    <w:p w14:paraId="012E6344" w14:textId="77777777" w:rsidR="006B13E0" w:rsidRPr="009F0CE2" w:rsidRDefault="00C92470" w:rsidP="00202A0D">
      <w:pPr>
        <w:pStyle w:val="Style5"/>
        <w:shd w:val="clear" w:color="auto" w:fill="auto"/>
        <w:spacing w:line="312" w:lineRule="auto"/>
        <w:ind w:firstLine="709"/>
        <w:jc w:val="both"/>
        <w:rPr>
          <w:sz w:val="28"/>
          <w:szCs w:val="28"/>
          <w:u w:val="none"/>
        </w:rPr>
      </w:pPr>
      <w:r w:rsidRPr="009F0CE2">
        <w:rPr>
          <w:sz w:val="28"/>
          <w:szCs w:val="28"/>
          <w:u w:val="none"/>
        </w:rPr>
        <w:t>Семейный велосипедный фестиваль</w:t>
      </w:r>
      <w:r w:rsidR="006B13E0" w:rsidRPr="009F0CE2">
        <w:rPr>
          <w:sz w:val="28"/>
          <w:szCs w:val="28"/>
          <w:u w:val="none"/>
        </w:rPr>
        <w:t xml:space="preserve"> «Гран Фонда </w:t>
      </w:r>
      <w:proofErr w:type="spellStart"/>
      <w:r w:rsidR="006B13E0" w:rsidRPr="009F0CE2">
        <w:rPr>
          <w:sz w:val="28"/>
          <w:szCs w:val="28"/>
          <w:u w:val="none"/>
        </w:rPr>
        <w:t>Фест</w:t>
      </w:r>
      <w:proofErr w:type="spellEnd"/>
      <w:r w:rsidR="006B13E0" w:rsidRPr="009F0CE2">
        <w:rPr>
          <w:sz w:val="28"/>
          <w:szCs w:val="28"/>
          <w:u w:val="none"/>
        </w:rPr>
        <w:t xml:space="preserve">», впервые проведенный Минспортом России, Федерацией велосипедного спорта России, Министерством физической культуры и спорта Московской области </w:t>
      </w:r>
      <w:r w:rsidRPr="009F0CE2">
        <w:rPr>
          <w:sz w:val="28"/>
          <w:szCs w:val="28"/>
          <w:u w:val="none"/>
        </w:rPr>
        <w:t xml:space="preserve">на автодроме </w:t>
      </w:r>
      <w:r w:rsidRPr="009F0CE2">
        <w:rPr>
          <w:sz w:val="28"/>
          <w:szCs w:val="28"/>
          <w:u w:val="none"/>
          <w:lang w:eastAsia="en-US" w:bidi="en-US"/>
        </w:rPr>
        <w:t>«</w:t>
      </w:r>
      <w:r w:rsidRPr="009F0CE2">
        <w:rPr>
          <w:sz w:val="28"/>
          <w:szCs w:val="28"/>
          <w:u w:val="none"/>
          <w:lang w:val="en-US" w:eastAsia="en-US" w:bidi="en-US"/>
        </w:rPr>
        <w:t>Moscow</w:t>
      </w:r>
      <w:r w:rsidRPr="009F0CE2">
        <w:rPr>
          <w:sz w:val="28"/>
          <w:szCs w:val="28"/>
          <w:u w:val="none"/>
          <w:lang w:eastAsia="en-US" w:bidi="en-US"/>
        </w:rPr>
        <w:t xml:space="preserve"> </w:t>
      </w:r>
      <w:r w:rsidRPr="009F0CE2">
        <w:rPr>
          <w:sz w:val="28"/>
          <w:szCs w:val="28"/>
          <w:u w:val="none"/>
          <w:lang w:val="en-US" w:eastAsia="en-US" w:bidi="en-US"/>
        </w:rPr>
        <w:t>Raceway</w:t>
      </w:r>
      <w:r w:rsidRPr="009F0CE2">
        <w:rPr>
          <w:sz w:val="28"/>
          <w:szCs w:val="28"/>
          <w:u w:val="none"/>
          <w:lang w:eastAsia="en-US" w:bidi="en-US"/>
        </w:rPr>
        <w:t xml:space="preserve">» </w:t>
      </w:r>
      <w:r w:rsidRPr="009F0CE2">
        <w:rPr>
          <w:sz w:val="28"/>
          <w:szCs w:val="28"/>
          <w:u w:val="none"/>
        </w:rPr>
        <w:t xml:space="preserve">в пригороде подмосковного </w:t>
      </w:r>
      <w:r w:rsidR="00CC682C">
        <w:rPr>
          <w:sz w:val="28"/>
          <w:szCs w:val="28"/>
          <w:u w:val="none"/>
        </w:rPr>
        <w:t xml:space="preserve">г. </w:t>
      </w:r>
      <w:r w:rsidRPr="009F0CE2">
        <w:rPr>
          <w:sz w:val="28"/>
          <w:szCs w:val="28"/>
          <w:u w:val="none"/>
        </w:rPr>
        <w:t>Волоколамска</w:t>
      </w:r>
      <w:r w:rsidR="006B13E0" w:rsidRPr="009F0CE2">
        <w:rPr>
          <w:sz w:val="28"/>
          <w:szCs w:val="28"/>
          <w:u w:val="none"/>
        </w:rPr>
        <w:t>,</w:t>
      </w:r>
      <w:r w:rsidRPr="009F0CE2">
        <w:rPr>
          <w:sz w:val="28"/>
          <w:szCs w:val="28"/>
          <w:u w:val="none"/>
        </w:rPr>
        <w:t xml:space="preserve"> запомнился своими многочисленными активностями </w:t>
      </w:r>
      <w:r w:rsidR="006B13E0" w:rsidRPr="009F0CE2">
        <w:rPr>
          <w:sz w:val="28"/>
          <w:szCs w:val="28"/>
          <w:u w:val="none"/>
        </w:rPr>
        <w:t>как</w:t>
      </w:r>
      <w:r w:rsidRPr="009F0CE2">
        <w:rPr>
          <w:sz w:val="28"/>
          <w:szCs w:val="28"/>
          <w:u w:val="none"/>
        </w:rPr>
        <w:t xml:space="preserve"> дет</w:t>
      </w:r>
      <w:r w:rsidR="006B13E0" w:rsidRPr="009F0CE2">
        <w:rPr>
          <w:sz w:val="28"/>
          <w:szCs w:val="28"/>
          <w:u w:val="none"/>
        </w:rPr>
        <w:t>ям, так и</w:t>
      </w:r>
      <w:r w:rsidRPr="009F0CE2">
        <w:rPr>
          <w:sz w:val="28"/>
          <w:szCs w:val="28"/>
          <w:u w:val="none"/>
        </w:rPr>
        <w:t xml:space="preserve"> взрослы</w:t>
      </w:r>
      <w:r w:rsidR="006B13E0" w:rsidRPr="009F0CE2">
        <w:rPr>
          <w:sz w:val="28"/>
          <w:szCs w:val="28"/>
          <w:u w:val="none"/>
        </w:rPr>
        <w:t>м</w:t>
      </w:r>
      <w:r w:rsidRPr="009F0CE2">
        <w:rPr>
          <w:sz w:val="28"/>
          <w:szCs w:val="28"/>
          <w:u w:val="none"/>
        </w:rPr>
        <w:t xml:space="preserve">. </w:t>
      </w:r>
    </w:p>
    <w:p w14:paraId="6BA2E405" w14:textId="77777777" w:rsidR="00C92470" w:rsidRPr="009F0CE2" w:rsidRDefault="00C92470" w:rsidP="00202A0D">
      <w:pPr>
        <w:pStyle w:val="Style5"/>
        <w:shd w:val="clear" w:color="auto" w:fill="auto"/>
        <w:spacing w:line="312" w:lineRule="auto"/>
        <w:ind w:firstLine="709"/>
        <w:jc w:val="both"/>
        <w:rPr>
          <w:sz w:val="28"/>
          <w:szCs w:val="28"/>
          <w:u w:val="none"/>
        </w:rPr>
      </w:pPr>
      <w:r w:rsidRPr="009F0CE2">
        <w:rPr>
          <w:sz w:val="28"/>
          <w:szCs w:val="28"/>
          <w:u w:val="none"/>
        </w:rPr>
        <w:t>В целях укрепления института семьи в программы Всероссийской массовой лыжной гонки «Лыжня России» и Всероссийского дня бега «Кросс нации» были включены дистанции, как для взрослого населения, так и для детей, что позволило гражданам выйти на старты всей семьей.</w:t>
      </w:r>
    </w:p>
    <w:p w14:paraId="6312761F" w14:textId="77777777" w:rsidR="00C92470" w:rsidRPr="009F0CE2" w:rsidRDefault="00C92470" w:rsidP="00202A0D">
      <w:pPr>
        <w:pStyle w:val="Style5"/>
        <w:shd w:val="clear" w:color="auto" w:fill="auto"/>
        <w:spacing w:line="312" w:lineRule="auto"/>
        <w:ind w:firstLine="709"/>
        <w:jc w:val="both"/>
        <w:rPr>
          <w:sz w:val="28"/>
          <w:szCs w:val="28"/>
          <w:u w:val="none"/>
        </w:rPr>
      </w:pPr>
      <w:r w:rsidRPr="009F0CE2">
        <w:rPr>
          <w:sz w:val="28"/>
          <w:szCs w:val="28"/>
          <w:u w:val="none"/>
        </w:rPr>
        <w:t xml:space="preserve">В таких мероприятиях как Всероссийский фестиваль «Мастер-классы олимпийских чемпионов детям», Всероссийские массовые соревнования «Оздоровительный спорт </w:t>
      </w:r>
      <w:r w:rsidR="006B13E0" w:rsidRPr="009F0CE2">
        <w:rPr>
          <w:sz w:val="28"/>
          <w:szCs w:val="28"/>
          <w:u w:val="none"/>
        </w:rPr>
        <w:t>–</w:t>
      </w:r>
      <w:r w:rsidRPr="009F0CE2">
        <w:rPr>
          <w:sz w:val="28"/>
          <w:szCs w:val="28"/>
          <w:u w:val="none"/>
        </w:rPr>
        <w:t xml:space="preserve"> в каждую семью, Всероссийские семейные спортивные игры «Моя семья </w:t>
      </w:r>
      <w:r w:rsidR="009F0CE2" w:rsidRPr="009F0CE2">
        <w:rPr>
          <w:sz w:val="28"/>
          <w:szCs w:val="28"/>
          <w:u w:val="none"/>
        </w:rPr>
        <w:t>–</w:t>
      </w:r>
      <w:r w:rsidRPr="009F0CE2">
        <w:rPr>
          <w:sz w:val="28"/>
          <w:szCs w:val="28"/>
          <w:u w:val="none"/>
        </w:rPr>
        <w:t xml:space="preserve"> моя страна», Всероссийские Игры «Спорт поколений», День зимних видов спорта, Фестиваль физической культуры народов России и стран Евразии «Русский Мир», День физкультурника, Фестиваль народных традиционных, отечественных видов спорта и боевых искусств «Богатырские игры» были задействованы не только дети, но семейные команды.</w:t>
      </w:r>
    </w:p>
    <w:p w14:paraId="564A74A1" w14:textId="77777777" w:rsidR="00C92470" w:rsidRPr="004F5BDF" w:rsidRDefault="00C92470" w:rsidP="00202A0D">
      <w:pPr>
        <w:pStyle w:val="Style5"/>
        <w:shd w:val="clear" w:color="auto" w:fill="auto"/>
        <w:spacing w:line="312" w:lineRule="auto"/>
        <w:ind w:firstLine="709"/>
        <w:jc w:val="both"/>
        <w:rPr>
          <w:sz w:val="28"/>
          <w:szCs w:val="28"/>
          <w:u w:val="none"/>
        </w:rPr>
      </w:pPr>
      <w:r w:rsidRPr="004F5BDF">
        <w:rPr>
          <w:sz w:val="28"/>
          <w:szCs w:val="28"/>
          <w:u w:val="none"/>
        </w:rPr>
        <w:t xml:space="preserve">Минспортом России </w:t>
      </w:r>
      <w:r w:rsidR="009F0CE2" w:rsidRPr="004F5BDF">
        <w:rPr>
          <w:sz w:val="28"/>
          <w:szCs w:val="28"/>
          <w:u w:val="none"/>
        </w:rPr>
        <w:t>также</w:t>
      </w:r>
      <w:r w:rsidRPr="004F5BDF">
        <w:rPr>
          <w:sz w:val="28"/>
          <w:szCs w:val="28"/>
          <w:u w:val="none"/>
        </w:rPr>
        <w:t xml:space="preserve"> вел</w:t>
      </w:r>
      <w:r w:rsidR="009F0CE2" w:rsidRPr="004F5BDF">
        <w:rPr>
          <w:sz w:val="28"/>
          <w:szCs w:val="28"/>
          <w:u w:val="none"/>
        </w:rPr>
        <w:t>ась работа по привлечению детей-</w:t>
      </w:r>
      <w:r w:rsidRPr="004F5BDF">
        <w:rPr>
          <w:sz w:val="28"/>
          <w:szCs w:val="28"/>
          <w:u w:val="none"/>
        </w:rPr>
        <w:t>сирот и детей</w:t>
      </w:r>
      <w:r w:rsidR="009F0CE2" w:rsidRPr="004F5BDF">
        <w:rPr>
          <w:sz w:val="28"/>
          <w:szCs w:val="28"/>
          <w:u w:val="none"/>
        </w:rPr>
        <w:t>,</w:t>
      </w:r>
      <w:r w:rsidRPr="004F5BDF">
        <w:rPr>
          <w:sz w:val="28"/>
          <w:szCs w:val="28"/>
          <w:u w:val="none"/>
        </w:rPr>
        <w:t xml:space="preserve"> оставшихся без попечения родителей</w:t>
      </w:r>
      <w:r w:rsidR="009F0CE2" w:rsidRPr="004F5BDF">
        <w:rPr>
          <w:sz w:val="28"/>
          <w:szCs w:val="28"/>
          <w:u w:val="none"/>
        </w:rPr>
        <w:t>,</w:t>
      </w:r>
      <w:r w:rsidRPr="004F5BDF">
        <w:rPr>
          <w:sz w:val="28"/>
          <w:szCs w:val="28"/>
          <w:u w:val="none"/>
        </w:rPr>
        <w:t xml:space="preserve"> к участию в спортивных конкурсах, фестивалях и мероприятиях, направленных на повышение возможностей физического развития.</w:t>
      </w:r>
    </w:p>
    <w:p w14:paraId="01691783" w14:textId="729858D4" w:rsidR="00C92470" w:rsidRPr="004F5BDF" w:rsidRDefault="00C92470" w:rsidP="00202A0D">
      <w:pPr>
        <w:pStyle w:val="Style5"/>
        <w:shd w:val="clear" w:color="auto" w:fill="auto"/>
        <w:spacing w:line="312" w:lineRule="auto"/>
        <w:ind w:firstLine="709"/>
        <w:jc w:val="both"/>
        <w:rPr>
          <w:sz w:val="28"/>
          <w:szCs w:val="28"/>
          <w:u w:val="none"/>
        </w:rPr>
      </w:pPr>
      <w:r w:rsidRPr="004F5BDF">
        <w:rPr>
          <w:sz w:val="28"/>
          <w:szCs w:val="28"/>
          <w:u w:val="none"/>
        </w:rPr>
        <w:t>Так</w:t>
      </w:r>
      <w:r w:rsidR="009F0CE2" w:rsidRPr="004F5BDF">
        <w:rPr>
          <w:sz w:val="28"/>
          <w:szCs w:val="28"/>
          <w:u w:val="none"/>
        </w:rPr>
        <w:t>,</w:t>
      </w:r>
      <w:r w:rsidRPr="004F5BDF">
        <w:rPr>
          <w:sz w:val="28"/>
          <w:szCs w:val="28"/>
          <w:u w:val="none"/>
        </w:rPr>
        <w:t xml:space="preserve"> в рамках Единого календарного плана межрегиональных, всероссийских и международных физкультурных мероприятий и спортивных мероприятий в 2021 г</w:t>
      </w:r>
      <w:r w:rsidR="008A669B">
        <w:rPr>
          <w:sz w:val="28"/>
          <w:szCs w:val="28"/>
          <w:u w:val="none"/>
        </w:rPr>
        <w:t>.</w:t>
      </w:r>
      <w:r w:rsidRPr="004F5BDF">
        <w:rPr>
          <w:sz w:val="28"/>
          <w:szCs w:val="28"/>
          <w:u w:val="none"/>
        </w:rPr>
        <w:t xml:space="preserve"> Минспортом России совместно с Российским футбольным союзом и Ассоциацией мини-футбола России проведен Всероссийский турнир по мини-футболу среди детских домов и школ-интернатов (в рамках общероссийского проекта «Мини-футбол </w:t>
      </w:r>
      <w:r w:rsidR="009F0CE2" w:rsidRPr="004F5BDF">
        <w:rPr>
          <w:sz w:val="28"/>
          <w:szCs w:val="28"/>
          <w:u w:val="none"/>
        </w:rPr>
        <w:t>–</w:t>
      </w:r>
      <w:r w:rsidRPr="004F5BDF">
        <w:rPr>
          <w:sz w:val="28"/>
          <w:szCs w:val="28"/>
          <w:u w:val="none"/>
        </w:rPr>
        <w:t xml:space="preserve"> в школу»).</w:t>
      </w:r>
    </w:p>
    <w:p w14:paraId="37B7B9F5" w14:textId="4A1EC5BA" w:rsidR="009F0CE2" w:rsidRPr="004F5BDF" w:rsidRDefault="00C92470" w:rsidP="00202A0D">
      <w:pPr>
        <w:pStyle w:val="Style5"/>
        <w:shd w:val="clear" w:color="auto" w:fill="auto"/>
        <w:spacing w:line="312" w:lineRule="auto"/>
        <w:ind w:firstLine="709"/>
        <w:jc w:val="both"/>
        <w:rPr>
          <w:sz w:val="28"/>
          <w:szCs w:val="28"/>
          <w:u w:val="none"/>
        </w:rPr>
      </w:pPr>
      <w:r w:rsidRPr="004F5BDF">
        <w:rPr>
          <w:sz w:val="28"/>
          <w:szCs w:val="28"/>
          <w:u w:val="none"/>
        </w:rPr>
        <w:t xml:space="preserve">Соревнования прошли </w:t>
      </w:r>
      <w:r w:rsidR="009F0CE2" w:rsidRPr="004F5BDF">
        <w:rPr>
          <w:sz w:val="28"/>
          <w:szCs w:val="28"/>
          <w:u w:val="none"/>
        </w:rPr>
        <w:t>в период с 15 по 20 декабря 2021 г</w:t>
      </w:r>
      <w:r w:rsidR="00CC682C">
        <w:rPr>
          <w:sz w:val="28"/>
          <w:szCs w:val="28"/>
          <w:u w:val="none"/>
        </w:rPr>
        <w:t>.</w:t>
      </w:r>
      <w:r w:rsidRPr="004F5BDF">
        <w:rPr>
          <w:sz w:val="28"/>
          <w:szCs w:val="28"/>
          <w:u w:val="none"/>
        </w:rPr>
        <w:t xml:space="preserve"> </w:t>
      </w:r>
      <w:r w:rsidR="009F0CE2" w:rsidRPr="004F5BDF">
        <w:rPr>
          <w:sz w:val="28"/>
          <w:szCs w:val="28"/>
          <w:u w:val="none"/>
        </w:rPr>
        <w:t xml:space="preserve">в </w:t>
      </w:r>
      <w:r w:rsidRPr="004F5BDF">
        <w:rPr>
          <w:sz w:val="28"/>
          <w:szCs w:val="28"/>
          <w:u w:val="none"/>
        </w:rPr>
        <w:t xml:space="preserve">д. Большой Суходол Нижегородской области, в которых приняли участие команды юношей </w:t>
      </w:r>
      <w:r w:rsidR="003028EB">
        <w:rPr>
          <w:sz w:val="28"/>
          <w:szCs w:val="28"/>
          <w:u w:val="none"/>
        </w:rPr>
        <w:br/>
      </w:r>
      <w:r w:rsidRPr="004F5BDF">
        <w:rPr>
          <w:sz w:val="28"/>
          <w:szCs w:val="28"/>
          <w:u w:val="none"/>
        </w:rPr>
        <w:t>2008</w:t>
      </w:r>
      <w:r w:rsidR="008A669B">
        <w:rPr>
          <w:sz w:val="28"/>
          <w:szCs w:val="28"/>
          <w:u w:val="none"/>
        </w:rPr>
        <w:t>-</w:t>
      </w:r>
      <w:r w:rsidRPr="004F5BDF">
        <w:rPr>
          <w:sz w:val="28"/>
          <w:szCs w:val="28"/>
          <w:u w:val="none"/>
        </w:rPr>
        <w:t xml:space="preserve">2011 годов рождения из детских домов и школ-интернатов 11 регионов России. </w:t>
      </w:r>
      <w:r w:rsidR="009F0CE2" w:rsidRPr="004F5BDF">
        <w:rPr>
          <w:sz w:val="28"/>
          <w:szCs w:val="28"/>
          <w:u w:val="none"/>
        </w:rPr>
        <w:t>Более 80 юношей 13-14 лет в период с 9 по 14 апреля 2021 г</w:t>
      </w:r>
      <w:r w:rsidR="00CC682C">
        <w:rPr>
          <w:sz w:val="28"/>
          <w:szCs w:val="28"/>
          <w:u w:val="none"/>
        </w:rPr>
        <w:t>.</w:t>
      </w:r>
      <w:r w:rsidR="009F0CE2" w:rsidRPr="004F5BDF">
        <w:rPr>
          <w:sz w:val="28"/>
          <w:szCs w:val="28"/>
          <w:u w:val="none"/>
        </w:rPr>
        <w:t xml:space="preserve"> приняли участие в </w:t>
      </w:r>
      <w:r w:rsidRPr="004F5BDF">
        <w:rPr>
          <w:sz w:val="28"/>
          <w:szCs w:val="28"/>
          <w:u w:val="none"/>
        </w:rPr>
        <w:t>XXVI Всероссийски</w:t>
      </w:r>
      <w:r w:rsidR="009F0CE2" w:rsidRPr="004F5BDF">
        <w:rPr>
          <w:sz w:val="28"/>
          <w:szCs w:val="28"/>
          <w:u w:val="none"/>
        </w:rPr>
        <w:t>х</w:t>
      </w:r>
      <w:r w:rsidRPr="004F5BDF">
        <w:rPr>
          <w:sz w:val="28"/>
          <w:szCs w:val="28"/>
          <w:u w:val="none"/>
        </w:rPr>
        <w:t xml:space="preserve"> открыты</w:t>
      </w:r>
      <w:r w:rsidR="009F0CE2" w:rsidRPr="004F5BDF">
        <w:rPr>
          <w:sz w:val="28"/>
          <w:szCs w:val="28"/>
          <w:u w:val="none"/>
        </w:rPr>
        <w:t>х</w:t>
      </w:r>
      <w:r w:rsidRPr="004F5BDF">
        <w:rPr>
          <w:sz w:val="28"/>
          <w:szCs w:val="28"/>
          <w:u w:val="none"/>
        </w:rPr>
        <w:t xml:space="preserve"> соревнования</w:t>
      </w:r>
      <w:r w:rsidR="009F0CE2" w:rsidRPr="004F5BDF">
        <w:rPr>
          <w:sz w:val="28"/>
          <w:szCs w:val="28"/>
          <w:u w:val="none"/>
        </w:rPr>
        <w:t>х</w:t>
      </w:r>
      <w:r w:rsidRPr="004F5BDF">
        <w:rPr>
          <w:sz w:val="28"/>
          <w:szCs w:val="28"/>
          <w:u w:val="none"/>
        </w:rPr>
        <w:t xml:space="preserve"> по боксу среди обучающихся общеобразовательных организаций и воспитанников детских домов и школ-интернатов памяти заслуженного тренера СССР В. </w:t>
      </w:r>
      <w:proofErr w:type="spellStart"/>
      <w:r w:rsidR="009F0CE2" w:rsidRPr="004F5BDF">
        <w:rPr>
          <w:sz w:val="28"/>
          <w:szCs w:val="28"/>
          <w:u w:val="none"/>
        </w:rPr>
        <w:t>Островерхова</w:t>
      </w:r>
      <w:proofErr w:type="spellEnd"/>
      <w:r w:rsidR="003028EB">
        <w:rPr>
          <w:sz w:val="28"/>
          <w:szCs w:val="28"/>
          <w:u w:val="none"/>
        </w:rPr>
        <w:t xml:space="preserve"> </w:t>
      </w:r>
      <w:r w:rsidR="00CC682C" w:rsidRPr="004F5BDF">
        <w:rPr>
          <w:sz w:val="28"/>
          <w:szCs w:val="28"/>
          <w:u w:val="none"/>
        </w:rPr>
        <w:t>в г. Люберцы Московской области</w:t>
      </w:r>
      <w:r w:rsidRPr="004F5BDF">
        <w:rPr>
          <w:sz w:val="28"/>
          <w:szCs w:val="28"/>
          <w:u w:val="none"/>
        </w:rPr>
        <w:t xml:space="preserve">. </w:t>
      </w:r>
    </w:p>
    <w:p w14:paraId="1E65BCC8" w14:textId="25473F57" w:rsidR="00C92470" w:rsidRPr="004F5BDF" w:rsidRDefault="00C92470" w:rsidP="009F0CE2">
      <w:pPr>
        <w:pStyle w:val="Style5"/>
        <w:shd w:val="clear" w:color="auto" w:fill="auto"/>
        <w:spacing w:line="312" w:lineRule="auto"/>
        <w:ind w:firstLine="709"/>
        <w:jc w:val="both"/>
        <w:rPr>
          <w:sz w:val="28"/>
          <w:szCs w:val="28"/>
          <w:u w:val="none"/>
        </w:rPr>
      </w:pPr>
      <w:r w:rsidRPr="004F5BDF">
        <w:rPr>
          <w:sz w:val="28"/>
          <w:szCs w:val="28"/>
          <w:u w:val="none"/>
        </w:rPr>
        <w:t>Особое место среди соревнований для детей и молодежи занимает выстроенная система комплексных мероприятий. Это всероссийские спартакиады учащихся и молодежи, всероссийские универсиады и спартакиады инвалидов отдельно по зимним и летним видам спорта. Данная система является эффективным инструментом отбора одаренных детей и планирования мероприятий по подготовке спортивного резерва на региональном и федеральном уровн</w:t>
      </w:r>
      <w:r w:rsidR="00FF1188">
        <w:rPr>
          <w:sz w:val="28"/>
          <w:szCs w:val="28"/>
          <w:u w:val="none"/>
        </w:rPr>
        <w:t>ях</w:t>
      </w:r>
      <w:r w:rsidRPr="004F5BDF">
        <w:rPr>
          <w:sz w:val="28"/>
          <w:szCs w:val="28"/>
          <w:u w:val="none"/>
        </w:rPr>
        <w:t>. В 2021 г</w:t>
      </w:r>
      <w:r w:rsidR="008A669B">
        <w:rPr>
          <w:sz w:val="28"/>
          <w:szCs w:val="28"/>
          <w:u w:val="none"/>
        </w:rPr>
        <w:t>.</w:t>
      </w:r>
      <w:r w:rsidRPr="004F5BDF">
        <w:rPr>
          <w:sz w:val="28"/>
          <w:szCs w:val="28"/>
          <w:u w:val="none"/>
        </w:rPr>
        <w:t xml:space="preserve"> проведена </w:t>
      </w:r>
      <w:r w:rsidR="008A669B">
        <w:rPr>
          <w:sz w:val="28"/>
          <w:szCs w:val="28"/>
          <w:u w:val="none"/>
        </w:rPr>
        <w:br/>
      </w:r>
      <w:r w:rsidRPr="004F5BDF">
        <w:rPr>
          <w:sz w:val="28"/>
          <w:szCs w:val="28"/>
          <w:u w:val="none"/>
        </w:rPr>
        <w:t>V летняя Спартакиада молодежи (юниорская) России по 41 виду спорта, в финале соревнований приняли участие 8</w:t>
      </w:r>
      <w:r w:rsidR="009F0CE2" w:rsidRPr="004F5BDF">
        <w:rPr>
          <w:sz w:val="28"/>
          <w:szCs w:val="28"/>
          <w:u w:val="none"/>
        </w:rPr>
        <w:t xml:space="preserve"> </w:t>
      </w:r>
      <w:r w:rsidRPr="004F5BDF">
        <w:rPr>
          <w:sz w:val="28"/>
          <w:szCs w:val="28"/>
          <w:u w:val="none"/>
        </w:rPr>
        <w:t xml:space="preserve">109 спортсменов из 83 </w:t>
      </w:r>
      <w:r w:rsidR="009F0CE2" w:rsidRPr="004F5BDF">
        <w:rPr>
          <w:sz w:val="28"/>
          <w:szCs w:val="28"/>
          <w:u w:val="none"/>
        </w:rPr>
        <w:t xml:space="preserve">субъектов Российской Федерации. </w:t>
      </w:r>
      <w:r w:rsidRPr="004F5BDF">
        <w:rPr>
          <w:sz w:val="28"/>
          <w:szCs w:val="28"/>
          <w:u w:val="none"/>
        </w:rPr>
        <w:t xml:space="preserve">Также проведена III Всероссийская зимняя Спартакиада инвалидов </w:t>
      </w:r>
      <w:r w:rsidR="008A669B">
        <w:rPr>
          <w:sz w:val="28"/>
          <w:szCs w:val="28"/>
          <w:u w:val="none"/>
        </w:rPr>
        <w:br/>
      </w:r>
      <w:r w:rsidRPr="004F5BDF">
        <w:rPr>
          <w:sz w:val="28"/>
          <w:szCs w:val="28"/>
          <w:u w:val="none"/>
        </w:rPr>
        <w:t>2021 г</w:t>
      </w:r>
      <w:r w:rsidR="008A669B">
        <w:rPr>
          <w:sz w:val="28"/>
          <w:szCs w:val="28"/>
          <w:u w:val="none"/>
        </w:rPr>
        <w:t>.</w:t>
      </w:r>
      <w:r w:rsidRPr="004F5BDF">
        <w:rPr>
          <w:sz w:val="28"/>
          <w:szCs w:val="28"/>
          <w:u w:val="none"/>
        </w:rPr>
        <w:t>, в которой приняли участие 356 спортсменов из 31 субъекта Российской Федерации.</w:t>
      </w:r>
    </w:p>
    <w:p w14:paraId="4007FC41" w14:textId="77777777" w:rsidR="00C92470" w:rsidRPr="004F5BDF" w:rsidRDefault="00C92470" w:rsidP="00202A0D">
      <w:pPr>
        <w:pStyle w:val="Style5"/>
        <w:shd w:val="clear" w:color="auto" w:fill="auto"/>
        <w:spacing w:line="312" w:lineRule="auto"/>
        <w:ind w:firstLine="709"/>
        <w:jc w:val="both"/>
        <w:rPr>
          <w:sz w:val="28"/>
          <w:szCs w:val="28"/>
          <w:u w:val="none"/>
        </w:rPr>
      </w:pPr>
      <w:r w:rsidRPr="004F5BDF">
        <w:rPr>
          <w:sz w:val="28"/>
          <w:szCs w:val="28"/>
          <w:u w:val="none"/>
        </w:rPr>
        <w:t>Кроме того, Минспорт России осуществляет проведение различного уровня конкурсов и акций,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w:t>
      </w:r>
    </w:p>
    <w:p w14:paraId="0D651AEA" w14:textId="77777777" w:rsidR="00C92470" w:rsidRPr="004F5BDF" w:rsidRDefault="00C92470" w:rsidP="00202A0D">
      <w:pPr>
        <w:pStyle w:val="Style5"/>
        <w:shd w:val="clear" w:color="auto" w:fill="auto"/>
        <w:spacing w:line="312" w:lineRule="auto"/>
        <w:ind w:firstLine="709"/>
        <w:jc w:val="both"/>
        <w:rPr>
          <w:sz w:val="28"/>
          <w:szCs w:val="28"/>
          <w:u w:val="none"/>
        </w:rPr>
      </w:pPr>
      <w:r w:rsidRPr="004F5BDF">
        <w:rPr>
          <w:sz w:val="28"/>
          <w:szCs w:val="28"/>
          <w:u w:val="none"/>
        </w:rPr>
        <w:t xml:space="preserve">В соответствии постановлением Правительства Российской Федерации </w:t>
      </w:r>
      <w:r w:rsidR="009F0CE2" w:rsidRPr="004F5BDF">
        <w:rPr>
          <w:sz w:val="28"/>
          <w:szCs w:val="28"/>
          <w:u w:val="none"/>
        </w:rPr>
        <w:br/>
        <w:t xml:space="preserve">от 17 ноября </w:t>
      </w:r>
      <w:r w:rsidRPr="004F5BDF">
        <w:rPr>
          <w:sz w:val="28"/>
          <w:szCs w:val="28"/>
          <w:u w:val="none"/>
        </w:rPr>
        <w:t>2015</w:t>
      </w:r>
      <w:r w:rsidR="009F0CE2" w:rsidRPr="004F5BDF">
        <w:rPr>
          <w:sz w:val="28"/>
          <w:szCs w:val="28"/>
          <w:u w:val="none"/>
        </w:rPr>
        <w:t xml:space="preserve"> г.</w:t>
      </w:r>
      <w:r w:rsidRPr="004F5BDF">
        <w:rPr>
          <w:sz w:val="28"/>
          <w:szCs w:val="28"/>
          <w:u w:val="none"/>
        </w:rPr>
        <w:t xml:space="preserve"> № 1239 «Об утверждении Правил выявления детей, проявивших выдающиеся способности, сопровождения и мониторинга их дальнейшего развития» Минспорт России осуществляет деятельность по сбору и внесению данных по победителям и призерам спортивных мероприятий, включенных в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очередной учебный год (далее</w:t>
      </w:r>
      <w:r w:rsidR="002C150E" w:rsidRPr="004F5BDF">
        <w:rPr>
          <w:sz w:val="28"/>
          <w:szCs w:val="28"/>
          <w:u w:val="none"/>
        </w:rPr>
        <w:t xml:space="preserve"> по тексту подраздела –</w:t>
      </w:r>
      <w:r w:rsidRPr="004F5BDF">
        <w:rPr>
          <w:sz w:val="28"/>
          <w:szCs w:val="28"/>
          <w:u w:val="none"/>
        </w:rPr>
        <w:t xml:space="preserve"> перечень) в государственный информационный ресурс о лицах, проявивших выдающиеся способности (далее </w:t>
      </w:r>
      <w:r w:rsidR="002C150E" w:rsidRPr="004F5BDF">
        <w:rPr>
          <w:sz w:val="28"/>
          <w:szCs w:val="28"/>
          <w:u w:val="none"/>
        </w:rPr>
        <w:t>–</w:t>
      </w:r>
      <w:r w:rsidRPr="004F5BDF">
        <w:rPr>
          <w:sz w:val="28"/>
          <w:szCs w:val="28"/>
          <w:u w:val="none"/>
        </w:rPr>
        <w:t xml:space="preserve"> ГИР).</w:t>
      </w:r>
    </w:p>
    <w:p w14:paraId="7AC6398D" w14:textId="77777777" w:rsidR="00C92470" w:rsidRPr="004F5BDF" w:rsidRDefault="00C92470" w:rsidP="00202A0D">
      <w:pPr>
        <w:pStyle w:val="Style5"/>
        <w:shd w:val="clear" w:color="auto" w:fill="auto"/>
        <w:spacing w:line="312" w:lineRule="auto"/>
        <w:ind w:firstLine="709"/>
        <w:jc w:val="both"/>
        <w:rPr>
          <w:sz w:val="28"/>
          <w:szCs w:val="28"/>
          <w:u w:val="none"/>
        </w:rPr>
      </w:pPr>
      <w:r w:rsidRPr="004F5BDF">
        <w:rPr>
          <w:sz w:val="28"/>
          <w:szCs w:val="28"/>
          <w:u w:val="none"/>
        </w:rPr>
        <w:t xml:space="preserve">По представлению </w:t>
      </w:r>
      <w:proofErr w:type="spellStart"/>
      <w:r w:rsidRPr="004F5BDF">
        <w:rPr>
          <w:sz w:val="28"/>
          <w:szCs w:val="28"/>
          <w:u w:val="none"/>
        </w:rPr>
        <w:t>Минспорта</w:t>
      </w:r>
      <w:proofErr w:type="spellEnd"/>
      <w:r w:rsidRPr="004F5BDF">
        <w:rPr>
          <w:sz w:val="28"/>
          <w:szCs w:val="28"/>
          <w:u w:val="none"/>
        </w:rPr>
        <w:t xml:space="preserve"> России на 2020/2021 год в перечень были включены: первенства России, Европы и мира по олимпийским видам спорта в олимпийских дисциплинах 2020/21 г</w:t>
      </w:r>
      <w:r w:rsidR="00FB31FC">
        <w:rPr>
          <w:sz w:val="28"/>
          <w:szCs w:val="28"/>
          <w:u w:val="none"/>
        </w:rPr>
        <w:t>г.</w:t>
      </w:r>
      <w:r w:rsidRPr="004F5BDF">
        <w:rPr>
          <w:sz w:val="28"/>
          <w:szCs w:val="28"/>
          <w:u w:val="none"/>
        </w:rPr>
        <w:t>, V летняя Спартакиада молодежи (юниорская) России 2021 г</w:t>
      </w:r>
      <w:r w:rsidR="00FB31FC">
        <w:rPr>
          <w:sz w:val="28"/>
          <w:szCs w:val="28"/>
          <w:u w:val="none"/>
        </w:rPr>
        <w:t>.</w:t>
      </w:r>
      <w:r w:rsidRPr="004F5BDF">
        <w:rPr>
          <w:sz w:val="28"/>
          <w:szCs w:val="28"/>
          <w:u w:val="none"/>
        </w:rPr>
        <w:t xml:space="preserve">, III Всероссийская зимняя Спартакиада инвалидов </w:t>
      </w:r>
      <w:r w:rsidR="00FB31FC">
        <w:rPr>
          <w:sz w:val="28"/>
          <w:szCs w:val="28"/>
          <w:u w:val="none"/>
        </w:rPr>
        <w:br/>
      </w:r>
      <w:r w:rsidRPr="004F5BDF">
        <w:rPr>
          <w:sz w:val="28"/>
          <w:szCs w:val="28"/>
          <w:u w:val="none"/>
        </w:rPr>
        <w:t>2021 г. По итогам выступления в вышеуказанных спортивных мероприятиях в ГИР внесено 6</w:t>
      </w:r>
      <w:r w:rsidR="002C150E" w:rsidRPr="004F5BDF">
        <w:rPr>
          <w:sz w:val="28"/>
          <w:szCs w:val="28"/>
          <w:u w:val="none"/>
        </w:rPr>
        <w:t xml:space="preserve"> </w:t>
      </w:r>
      <w:r w:rsidRPr="004F5BDF">
        <w:rPr>
          <w:sz w:val="28"/>
          <w:szCs w:val="28"/>
          <w:u w:val="none"/>
        </w:rPr>
        <w:t>658 спортивных результата.</w:t>
      </w:r>
    </w:p>
    <w:p w14:paraId="219ADF6B" w14:textId="77777777" w:rsidR="00C92470" w:rsidRPr="004F5BDF" w:rsidRDefault="00C92470" w:rsidP="002C150E">
      <w:pPr>
        <w:pStyle w:val="Style5"/>
        <w:shd w:val="clear" w:color="auto" w:fill="auto"/>
        <w:spacing w:line="312" w:lineRule="auto"/>
        <w:ind w:firstLine="709"/>
        <w:jc w:val="both"/>
        <w:rPr>
          <w:sz w:val="28"/>
          <w:szCs w:val="28"/>
          <w:u w:val="none"/>
        </w:rPr>
      </w:pPr>
      <w:r w:rsidRPr="004F5BDF">
        <w:rPr>
          <w:sz w:val="28"/>
          <w:szCs w:val="28"/>
          <w:u w:val="none"/>
        </w:rPr>
        <w:t>Из числа лиц, включенных в ГИР и поступивши</w:t>
      </w:r>
      <w:r w:rsidR="00C00381">
        <w:rPr>
          <w:sz w:val="28"/>
          <w:szCs w:val="28"/>
          <w:u w:val="none"/>
        </w:rPr>
        <w:t>х</w:t>
      </w:r>
      <w:r w:rsidRPr="004F5BDF">
        <w:rPr>
          <w:sz w:val="28"/>
          <w:szCs w:val="28"/>
          <w:u w:val="none"/>
        </w:rPr>
        <w:t xml:space="preserve"> на обучение в образовательные и научные организации в текущем году, отбираются претенденты на получение грантов П</w:t>
      </w:r>
      <w:r w:rsidR="002C150E" w:rsidRPr="004F5BDF">
        <w:rPr>
          <w:sz w:val="28"/>
          <w:szCs w:val="28"/>
          <w:u w:val="none"/>
        </w:rPr>
        <w:t xml:space="preserve">резидента Российской Федерации. </w:t>
      </w:r>
      <w:r w:rsidRPr="004F5BDF">
        <w:rPr>
          <w:sz w:val="28"/>
          <w:szCs w:val="28"/>
          <w:u w:val="none"/>
        </w:rPr>
        <w:t>Согласно списку претендентов на получение грантов Президента Российской Федерации на 2020/2021 учебный год (обучающиеся по программам подготовки специалистов среднего звена, программам бакалавриата и программам специалитета)</w:t>
      </w:r>
      <w:r w:rsidR="002C150E" w:rsidRPr="004F5BDF">
        <w:rPr>
          <w:sz w:val="28"/>
          <w:szCs w:val="28"/>
          <w:u w:val="none"/>
        </w:rPr>
        <w:t>,</w:t>
      </w:r>
      <w:r w:rsidRPr="004F5BDF">
        <w:rPr>
          <w:sz w:val="28"/>
          <w:szCs w:val="28"/>
          <w:u w:val="none"/>
        </w:rPr>
        <w:t xml:space="preserve"> по направлению «Спорт» гранты предоставлены 243 спортсменам.</w:t>
      </w:r>
    </w:p>
    <w:p w14:paraId="4D79D5D3" w14:textId="77777777" w:rsidR="00C92470" w:rsidRPr="004F5BDF" w:rsidRDefault="00C92470" w:rsidP="00202A0D">
      <w:pPr>
        <w:pStyle w:val="Style5"/>
        <w:shd w:val="clear" w:color="auto" w:fill="auto"/>
        <w:spacing w:line="312" w:lineRule="auto"/>
        <w:ind w:firstLine="709"/>
        <w:jc w:val="both"/>
        <w:rPr>
          <w:sz w:val="28"/>
          <w:szCs w:val="28"/>
          <w:u w:val="none"/>
        </w:rPr>
      </w:pPr>
      <w:r w:rsidRPr="004F5BDF">
        <w:rPr>
          <w:sz w:val="28"/>
          <w:szCs w:val="28"/>
          <w:u w:val="none"/>
        </w:rPr>
        <w:t xml:space="preserve">В соответствии с постановлением Правительства Российской Федерации </w:t>
      </w:r>
      <w:r w:rsidR="002C150E" w:rsidRPr="004F5BDF">
        <w:rPr>
          <w:sz w:val="28"/>
          <w:szCs w:val="28"/>
          <w:u w:val="none"/>
        </w:rPr>
        <w:br/>
      </w:r>
      <w:r w:rsidRPr="004F5BDF">
        <w:rPr>
          <w:sz w:val="28"/>
          <w:szCs w:val="28"/>
          <w:u w:val="none"/>
        </w:rPr>
        <w:t>от 15</w:t>
      </w:r>
      <w:r w:rsidR="002C150E" w:rsidRPr="004F5BDF">
        <w:rPr>
          <w:sz w:val="28"/>
          <w:szCs w:val="28"/>
          <w:u w:val="none"/>
        </w:rPr>
        <w:t xml:space="preserve"> апреля </w:t>
      </w:r>
      <w:r w:rsidRPr="004F5BDF">
        <w:rPr>
          <w:sz w:val="28"/>
          <w:szCs w:val="28"/>
          <w:u w:val="none"/>
        </w:rPr>
        <w:t>2014</w:t>
      </w:r>
      <w:r w:rsidR="002C150E" w:rsidRPr="004F5BDF">
        <w:rPr>
          <w:sz w:val="28"/>
          <w:szCs w:val="28"/>
          <w:u w:val="none"/>
        </w:rPr>
        <w:t xml:space="preserve"> г.</w:t>
      </w:r>
      <w:r w:rsidRPr="004F5BDF">
        <w:rPr>
          <w:sz w:val="28"/>
          <w:szCs w:val="28"/>
          <w:u w:val="none"/>
        </w:rPr>
        <w:t xml:space="preserve"> № 302 «Об утверждении государственной программы Российской Федерации «Развитие физической культуры и спорта» и приказом </w:t>
      </w:r>
      <w:proofErr w:type="spellStart"/>
      <w:r w:rsidRPr="004F5BDF">
        <w:rPr>
          <w:sz w:val="28"/>
          <w:szCs w:val="28"/>
          <w:u w:val="none"/>
        </w:rPr>
        <w:t>Минспорта</w:t>
      </w:r>
      <w:proofErr w:type="spellEnd"/>
      <w:r w:rsidRPr="004F5BDF">
        <w:rPr>
          <w:sz w:val="28"/>
          <w:szCs w:val="28"/>
          <w:u w:val="none"/>
        </w:rPr>
        <w:t xml:space="preserve"> России от 13</w:t>
      </w:r>
      <w:r w:rsidR="002C150E" w:rsidRPr="004F5BDF">
        <w:rPr>
          <w:sz w:val="28"/>
          <w:szCs w:val="28"/>
          <w:u w:val="none"/>
        </w:rPr>
        <w:t xml:space="preserve"> февраля </w:t>
      </w:r>
      <w:r w:rsidRPr="004F5BDF">
        <w:rPr>
          <w:sz w:val="28"/>
          <w:szCs w:val="28"/>
          <w:u w:val="none"/>
        </w:rPr>
        <w:t>2018</w:t>
      </w:r>
      <w:r w:rsidR="002C150E" w:rsidRPr="004F5BDF">
        <w:rPr>
          <w:sz w:val="28"/>
          <w:szCs w:val="28"/>
          <w:u w:val="none"/>
        </w:rPr>
        <w:t xml:space="preserve"> г.</w:t>
      </w:r>
      <w:r w:rsidRPr="004F5BDF">
        <w:rPr>
          <w:sz w:val="28"/>
          <w:szCs w:val="28"/>
          <w:u w:val="none"/>
        </w:rPr>
        <w:t xml:space="preserve"> № 127 «Об утверждении порядка поддержки одаренных спортсменов, занимающихся в организациях, осуществляющих спортивную подготовку, и образовательных организациях, реализующих федеральные стандарты спортивной подготовки» в рамках субсидий, предоставляемых Минспортом России субъектам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предусмотрено направление средств на поддержку одаренных спортсменов.</w:t>
      </w:r>
    </w:p>
    <w:p w14:paraId="560CE435" w14:textId="77777777" w:rsidR="00C92470" w:rsidRPr="004F5BDF" w:rsidRDefault="00C92470" w:rsidP="00202A0D">
      <w:pPr>
        <w:pStyle w:val="Style5"/>
        <w:shd w:val="clear" w:color="auto" w:fill="auto"/>
        <w:spacing w:line="312" w:lineRule="auto"/>
        <w:ind w:firstLine="709"/>
        <w:jc w:val="both"/>
        <w:rPr>
          <w:sz w:val="28"/>
          <w:szCs w:val="28"/>
          <w:u w:val="none"/>
        </w:rPr>
      </w:pPr>
      <w:r w:rsidRPr="004F5BDF">
        <w:rPr>
          <w:sz w:val="28"/>
          <w:szCs w:val="28"/>
          <w:u w:val="none"/>
        </w:rPr>
        <w:t xml:space="preserve">За счет средств указанной субсидии спортсменам, показавшим высокие спортивные результаты на первенствах мира, первенствах Европы, юношеских Олимпийских играх, Европейских </w:t>
      </w:r>
      <w:proofErr w:type="spellStart"/>
      <w:r w:rsidR="00554DDD" w:rsidRPr="004F5BDF">
        <w:rPr>
          <w:sz w:val="28"/>
          <w:szCs w:val="28"/>
          <w:u w:val="none"/>
        </w:rPr>
        <w:t>П</w:t>
      </w:r>
      <w:r w:rsidRPr="004F5BDF">
        <w:rPr>
          <w:sz w:val="28"/>
          <w:szCs w:val="28"/>
          <w:u w:val="none"/>
        </w:rPr>
        <w:t>аралимпийских</w:t>
      </w:r>
      <w:proofErr w:type="spellEnd"/>
      <w:r w:rsidRPr="004F5BDF">
        <w:rPr>
          <w:sz w:val="28"/>
          <w:szCs w:val="28"/>
          <w:u w:val="none"/>
        </w:rPr>
        <w:t xml:space="preserve"> юношеских играх, юношеских </w:t>
      </w:r>
      <w:proofErr w:type="spellStart"/>
      <w:r w:rsidRPr="004F5BDF">
        <w:rPr>
          <w:sz w:val="28"/>
          <w:szCs w:val="28"/>
          <w:u w:val="none"/>
        </w:rPr>
        <w:t>Сурдлимпийских</w:t>
      </w:r>
      <w:proofErr w:type="spellEnd"/>
      <w:r w:rsidRPr="004F5BDF">
        <w:rPr>
          <w:sz w:val="28"/>
          <w:szCs w:val="28"/>
          <w:u w:val="none"/>
        </w:rPr>
        <w:t xml:space="preserve"> играх, Европейских юношеских Олимпийских фестивалях, первенствах России, всероссийских спартакиад учащихся, спартакиад молодежи</w:t>
      </w:r>
      <w:r w:rsidR="002C150E" w:rsidRPr="004F5BDF">
        <w:rPr>
          <w:sz w:val="28"/>
          <w:szCs w:val="28"/>
          <w:u w:val="none"/>
        </w:rPr>
        <w:t>,</w:t>
      </w:r>
      <w:r w:rsidRPr="004F5BDF">
        <w:rPr>
          <w:sz w:val="28"/>
          <w:szCs w:val="28"/>
          <w:u w:val="none"/>
        </w:rPr>
        <w:t xml:space="preserve"> осуществляются денежные выплаты (один раз в календарный год).</w:t>
      </w:r>
    </w:p>
    <w:p w14:paraId="479B95F4" w14:textId="77777777" w:rsidR="00C92470" w:rsidRPr="004F5BDF" w:rsidRDefault="00C92470" w:rsidP="00202A0D">
      <w:pPr>
        <w:pStyle w:val="Style5"/>
        <w:shd w:val="clear" w:color="auto" w:fill="auto"/>
        <w:spacing w:line="312" w:lineRule="auto"/>
        <w:ind w:firstLine="709"/>
        <w:jc w:val="both"/>
        <w:rPr>
          <w:sz w:val="28"/>
          <w:szCs w:val="28"/>
          <w:u w:val="none"/>
        </w:rPr>
      </w:pPr>
      <w:r w:rsidRPr="004F5BDF">
        <w:rPr>
          <w:sz w:val="28"/>
          <w:szCs w:val="28"/>
          <w:u w:val="none"/>
        </w:rPr>
        <w:t>В 2021 г</w:t>
      </w:r>
      <w:r w:rsidR="00FB31FC">
        <w:rPr>
          <w:sz w:val="28"/>
          <w:szCs w:val="28"/>
          <w:u w:val="none"/>
        </w:rPr>
        <w:t>.</w:t>
      </w:r>
      <w:r w:rsidRPr="004F5BDF">
        <w:rPr>
          <w:sz w:val="28"/>
          <w:szCs w:val="28"/>
          <w:u w:val="none"/>
        </w:rPr>
        <w:t xml:space="preserve"> денежные выплаты произведены 278 одаренным спортсменам </w:t>
      </w:r>
      <w:r w:rsidR="00AF2FDC">
        <w:rPr>
          <w:sz w:val="28"/>
          <w:szCs w:val="28"/>
          <w:u w:val="none"/>
        </w:rPr>
        <w:br/>
      </w:r>
      <w:r w:rsidRPr="004F5BDF">
        <w:rPr>
          <w:sz w:val="28"/>
          <w:szCs w:val="28"/>
          <w:u w:val="none"/>
        </w:rPr>
        <w:t>из 15 субъектов Российской Федерации (</w:t>
      </w:r>
      <w:r w:rsidR="002C150E" w:rsidRPr="004F5BDF">
        <w:rPr>
          <w:sz w:val="28"/>
          <w:szCs w:val="28"/>
          <w:u w:val="none"/>
        </w:rPr>
        <w:t xml:space="preserve">Республики Коми, Марий Эл, Тыва, Краснодарский край, Астраханская, </w:t>
      </w:r>
      <w:r w:rsidRPr="004F5BDF">
        <w:rPr>
          <w:sz w:val="28"/>
          <w:szCs w:val="28"/>
          <w:u w:val="none"/>
        </w:rPr>
        <w:t xml:space="preserve">Белгородская, Брянская, </w:t>
      </w:r>
      <w:r w:rsidR="002C150E" w:rsidRPr="004F5BDF">
        <w:rPr>
          <w:sz w:val="28"/>
          <w:szCs w:val="28"/>
          <w:u w:val="none"/>
        </w:rPr>
        <w:t xml:space="preserve">Волгоградская, Иркутская, Калининградская, Костромская, </w:t>
      </w:r>
      <w:r w:rsidRPr="004F5BDF">
        <w:rPr>
          <w:sz w:val="28"/>
          <w:szCs w:val="28"/>
          <w:u w:val="none"/>
        </w:rPr>
        <w:t>Курская, Псковская</w:t>
      </w:r>
      <w:r w:rsidR="002C150E" w:rsidRPr="004F5BDF">
        <w:rPr>
          <w:sz w:val="28"/>
          <w:szCs w:val="28"/>
          <w:u w:val="none"/>
        </w:rPr>
        <w:t>,</w:t>
      </w:r>
      <w:r w:rsidRPr="004F5BDF">
        <w:rPr>
          <w:sz w:val="28"/>
          <w:szCs w:val="28"/>
          <w:u w:val="none"/>
        </w:rPr>
        <w:t xml:space="preserve"> </w:t>
      </w:r>
      <w:r w:rsidR="002C150E" w:rsidRPr="004F5BDF">
        <w:rPr>
          <w:sz w:val="28"/>
          <w:szCs w:val="28"/>
          <w:u w:val="none"/>
        </w:rPr>
        <w:t xml:space="preserve">Свердловская, </w:t>
      </w:r>
      <w:r w:rsidRPr="004F5BDF">
        <w:rPr>
          <w:sz w:val="28"/>
          <w:szCs w:val="28"/>
          <w:u w:val="none"/>
        </w:rPr>
        <w:t>Ульяновская област</w:t>
      </w:r>
      <w:r w:rsidR="002C150E" w:rsidRPr="004F5BDF">
        <w:rPr>
          <w:sz w:val="28"/>
          <w:szCs w:val="28"/>
          <w:u w:val="none"/>
        </w:rPr>
        <w:t>и</w:t>
      </w:r>
      <w:r w:rsidRPr="004F5BDF">
        <w:rPr>
          <w:sz w:val="28"/>
          <w:szCs w:val="28"/>
          <w:u w:val="none"/>
        </w:rPr>
        <w:t>).</w:t>
      </w:r>
    </w:p>
    <w:p w14:paraId="36D47D2B" w14:textId="77777777" w:rsidR="00C92470" w:rsidRPr="004F5BDF" w:rsidRDefault="00C92470" w:rsidP="002C150E">
      <w:pPr>
        <w:pStyle w:val="Style5"/>
        <w:shd w:val="clear" w:color="auto" w:fill="auto"/>
        <w:spacing w:line="312" w:lineRule="auto"/>
        <w:ind w:firstLine="709"/>
        <w:jc w:val="both"/>
        <w:rPr>
          <w:sz w:val="28"/>
          <w:szCs w:val="28"/>
          <w:u w:val="none"/>
        </w:rPr>
      </w:pPr>
      <w:r w:rsidRPr="004F5BDF">
        <w:rPr>
          <w:sz w:val="28"/>
          <w:szCs w:val="28"/>
          <w:u w:val="none"/>
        </w:rPr>
        <w:t xml:space="preserve">К числу приоритетных задач </w:t>
      </w:r>
      <w:proofErr w:type="spellStart"/>
      <w:r w:rsidRPr="004F5BDF">
        <w:rPr>
          <w:sz w:val="28"/>
          <w:szCs w:val="28"/>
          <w:u w:val="none"/>
        </w:rPr>
        <w:t>Минспорта</w:t>
      </w:r>
      <w:proofErr w:type="spellEnd"/>
      <w:r w:rsidRPr="004F5BDF">
        <w:rPr>
          <w:sz w:val="28"/>
          <w:szCs w:val="28"/>
          <w:u w:val="none"/>
        </w:rPr>
        <w:t xml:space="preserve"> России относятся вопросы развития физической культуры </w:t>
      </w:r>
      <w:r w:rsidR="00451998">
        <w:rPr>
          <w:sz w:val="28"/>
          <w:szCs w:val="28"/>
          <w:u w:val="none"/>
        </w:rPr>
        <w:t>в</w:t>
      </w:r>
      <w:r w:rsidRPr="004F5BDF">
        <w:rPr>
          <w:sz w:val="28"/>
          <w:szCs w:val="28"/>
          <w:u w:val="none"/>
        </w:rPr>
        <w:t xml:space="preserve"> сельских территориях. С каждым годом растет интерес сельского населения к занятиям </w:t>
      </w:r>
      <w:r w:rsidR="002C150E" w:rsidRPr="004F5BDF">
        <w:rPr>
          <w:sz w:val="28"/>
          <w:szCs w:val="28"/>
          <w:u w:val="none"/>
        </w:rPr>
        <w:t>физической культурой и спортом. По данным федерального статистического наблюдения № 1-ФК «Сведения о физической культуре и спорте», по состоянию на 31 декабря 2021 г</w:t>
      </w:r>
      <w:r w:rsidR="00451998">
        <w:rPr>
          <w:sz w:val="28"/>
          <w:szCs w:val="28"/>
          <w:u w:val="none"/>
        </w:rPr>
        <w:t>.</w:t>
      </w:r>
      <w:r w:rsidR="002C150E" w:rsidRPr="004F5BDF">
        <w:rPr>
          <w:sz w:val="28"/>
          <w:szCs w:val="28"/>
          <w:u w:val="none"/>
        </w:rPr>
        <w:t xml:space="preserve"> </w:t>
      </w:r>
      <w:r w:rsidRPr="004F5BDF">
        <w:rPr>
          <w:sz w:val="28"/>
          <w:szCs w:val="28"/>
          <w:u w:val="none"/>
        </w:rPr>
        <w:t>сельское население Российской Феде</w:t>
      </w:r>
      <w:r w:rsidR="00CF4730" w:rsidRPr="004F5BDF">
        <w:rPr>
          <w:sz w:val="28"/>
          <w:szCs w:val="28"/>
          <w:u w:val="none"/>
        </w:rPr>
        <w:t xml:space="preserve">рации </w:t>
      </w:r>
      <w:r w:rsidR="002C150E" w:rsidRPr="004F5BDF">
        <w:rPr>
          <w:sz w:val="28"/>
          <w:szCs w:val="28"/>
          <w:u w:val="none"/>
        </w:rPr>
        <w:t xml:space="preserve">в возрасте </w:t>
      </w:r>
      <w:r w:rsidR="002C150E" w:rsidRPr="004F5BDF">
        <w:rPr>
          <w:rStyle w:val="CharStyle31"/>
          <w:spacing w:val="0"/>
          <w:sz w:val="28"/>
          <w:szCs w:val="28"/>
        </w:rPr>
        <w:t>3-79</w:t>
      </w:r>
      <w:r w:rsidR="002C150E" w:rsidRPr="004F5BDF">
        <w:rPr>
          <w:sz w:val="28"/>
          <w:szCs w:val="28"/>
          <w:u w:val="none"/>
        </w:rPr>
        <w:t xml:space="preserve"> лет </w:t>
      </w:r>
      <w:r w:rsidR="00CF4730" w:rsidRPr="004F5BDF">
        <w:rPr>
          <w:sz w:val="28"/>
          <w:szCs w:val="28"/>
          <w:u w:val="none"/>
        </w:rPr>
        <w:t>составляет более 34,2 млн</w:t>
      </w:r>
      <w:r w:rsidRPr="004F5BDF">
        <w:rPr>
          <w:sz w:val="28"/>
          <w:szCs w:val="28"/>
          <w:u w:val="none"/>
        </w:rPr>
        <w:t xml:space="preserve"> жителей, из них систематически занимаются физической культурой и спортом более 14,4 млн, что составляет 42,3% от численности сельского населения страны.</w:t>
      </w:r>
    </w:p>
    <w:p w14:paraId="10D2B80F" w14:textId="77777777" w:rsidR="00C92470" w:rsidRPr="004F5BDF" w:rsidRDefault="00C92470" w:rsidP="00202A0D">
      <w:pPr>
        <w:pStyle w:val="Style5"/>
        <w:shd w:val="clear" w:color="auto" w:fill="auto"/>
        <w:spacing w:line="312" w:lineRule="auto"/>
        <w:ind w:firstLine="709"/>
        <w:jc w:val="both"/>
        <w:rPr>
          <w:sz w:val="28"/>
          <w:szCs w:val="28"/>
          <w:u w:val="none"/>
        </w:rPr>
      </w:pPr>
      <w:r w:rsidRPr="004F5BDF">
        <w:rPr>
          <w:sz w:val="28"/>
          <w:szCs w:val="28"/>
          <w:u w:val="none"/>
        </w:rPr>
        <w:t>Физкультурно-оздоровительная и спортивная работа в сельской местности осуществляется на 120,4 тыс. спортивных сооружениях</w:t>
      </w:r>
      <w:r w:rsidR="002C150E" w:rsidRPr="004F5BDF">
        <w:rPr>
          <w:sz w:val="28"/>
          <w:szCs w:val="28"/>
          <w:u w:val="none"/>
        </w:rPr>
        <w:t xml:space="preserve">, что составляет </w:t>
      </w:r>
      <w:r w:rsidRPr="004F5BDF">
        <w:rPr>
          <w:sz w:val="28"/>
          <w:szCs w:val="28"/>
          <w:u w:val="none"/>
        </w:rPr>
        <w:t xml:space="preserve">34,8% </w:t>
      </w:r>
      <w:r w:rsidR="00451998">
        <w:rPr>
          <w:sz w:val="28"/>
          <w:szCs w:val="28"/>
          <w:u w:val="none"/>
        </w:rPr>
        <w:br/>
      </w:r>
      <w:r w:rsidRPr="004F5BDF">
        <w:rPr>
          <w:sz w:val="28"/>
          <w:szCs w:val="28"/>
          <w:u w:val="none"/>
        </w:rPr>
        <w:t>от общего количества объекто</w:t>
      </w:r>
      <w:r w:rsidR="002C150E" w:rsidRPr="004F5BDF">
        <w:rPr>
          <w:sz w:val="28"/>
          <w:szCs w:val="28"/>
          <w:u w:val="none"/>
        </w:rPr>
        <w:t>в спорта в Российской Федерации</w:t>
      </w:r>
      <w:r w:rsidRPr="004F5BDF">
        <w:rPr>
          <w:sz w:val="28"/>
          <w:szCs w:val="28"/>
          <w:u w:val="none"/>
        </w:rPr>
        <w:t>. Численность штатных работников физической культуры и спорта на сельских территориях составляет 71,8 тыс. чел</w:t>
      </w:r>
      <w:r w:rsidR="002C150E" w:rsidRPr="004F5BDF">
        <w:rPr>
          <w:sz w:val="28"/>
          <w:szCs w:val="28"/>
          <w:u w:val="none"/>
        </w:rPr>
        <w:t>овек</w:t>
      </w:r>
      <w:r w:rsidRPr="004F5BDF">
        <w:rPr>
          <w:sz w:val="28"/>
          <w:szCs w:val="28"/>
          <w:u w:val="none"/>
        </w:rPr>
        <w:t xml:space="preserve"> </w:t>
      </w:r>
      <w:r w:rsidR="002C150E" w:rsidRPr="004F5BDF">
        <w:rPr>
          <w:sz w:val="28"/>
          <w:szCs w:val="28"/>
          <w:u w:val="none"/>
        </w:rPr>
        <w:t xml:space="preserve">или </w:t>
      </w:r>
      <w:r w:rsidRPr="004F5BDF">
        <w:rPr>
          <w:sz w:val="28"/>
          <w:szCs w:val="28"/>
          <w:u w:val="none"/>
        </w:rPr>
        <w:t>17,7% от общей численности указанных работников.</w:t>
      </w:r>
    </w:p>
    <w:p w14:paraId="7EEBDE54" w14:textId="77777777" w:rsidR="00C92470" w:rsidRPr="004F5BDF" w:rsidRDefault="00C92470" w:rsidP="00202A0D">
      <w:pPr>
        <w:pStyle w:val="Style5"/>
        <w:shd w:val="clear" w:color="auto" w:fill="auto"/>
        <w:spacing w:line="312" w:lineRule="auto"/>
        <w:ind w:firstLine="709"/>
        <w:jc w:val="both"/>
        <w:rPr>
          <w:sz w:val="28"/>
          <w:szCs w:val="28"/>
          <w:u w:val="none"/>
        </w:rPr>
      </w:pPr>
      <w:r w:rsidRPr="004F5BDF">
        <w:rPr>
          <w:sz w:val="28"/>
          <w:szCs w:val="28"/>
          <w:u w:val="none"/>
        </w:rPr>
        <w:t>Планируется, что в рамках реализации государственной программы Российской Федерации «Развитие физической культуры и спорта» к 2030 г</w:t>
      </w:r>
      <w:r w:rsidR="00FB31FC">
        <w:rPr>
          <w:sz w:val="28"/>
          <w:szCs w:val="28"/>
          <w:u w:val="none"/>
        </w:rPr>
        <w:t>.</w:t>
      </w:r>
      <w:r w:rsidRPr="004F5BDF">
        <w:rPr>
          <w:sz w:val="28"/>
          <w:szCs w:val="28"/>
          <w:u w:val="none"/>
        </w:rPr>
        <w:t xml:space="preserve"> показатель «Доля сельского населения, систематически занимающегося физической культурой и спортом» достигнет 50% от общей численности населения данной категории.</w:t>
      </w:r>
    </w:p>
    <w:p w14:paraId="39BD3646" w14:textId="77777777" w:rsidR="00C92470" w:rsidRPr="004F5BDF" w:rsidRDefault="00C92470" w:rsidP="00202A0D">
      <w:pPr>
        <w:pStyle w:val="Style5"/>
        <w:shd w:val="clear" w:color="auto" w:fill="auto"/>
        <w:spacing w:line="312" w:lineRule="auto"/>
        <w:ind w:firstLine="709"/>
        <w:jc w:val="both"/>
        <w:rPr>
          <w:sz w:val="28"/>
          <w:szCs w:val="28"/>
          <w:u w:val="none"/>
        </w:rPr>
      </w:pPr>
      <w:r w:rsidRPr="004F5BDF">
        <w:rPr>
          <w:sz w:val="28"/>
          <w:szCs w:val="28"/>
          <w:u w:val="none"/>
        </w:rPr>
        <w:t xml:space="preserve">Ежегодно в целях реализации </w:t>
      </w:r>
      <w:r w:rsidR="002C150E" w:rsidRPr="004F5BDF">
        <w:rPr>
          <w:sz w:val="28"/>
          <w:szCs w:val="28"/>
          <w:u w:val="none"/>
        </w:rPr>
        <w:t xml:space="preserve">Единого календарного плана межрегиональных, всероссийских и международных физкультурных мероприятий и спортивных мероприятий </w:t>
      </w:r>
      <w:r w:rsidRPr="004F5BDF">
        <w:rPr>
          <w:sz w:val="28"/>
          <w:szCs w:val="28"/>
          <w:u w:val="none"/>
        </w:rPr>
        <w:t>осуществляется организация и проведение мероприятий, направленных на развитие физической культуры и массового спорта на сельских территориях.</w:t>
      </w:r>
    </w:p>
    <w:p w14:paraId="2AD7FBB7" w14:textId="77777777" w:rsidR="002C150E" w:rsidRPr="004F5BDF" w:rsidRDefault="00C92470" w:rsidP="00202A0D">
      <w:pPr>
        <w:pStyle w:val="Style5"/>
        <w:shd w:val="clear" w:color="auto" w:fill="auto"/>
        <w:spacing w:line="312" w:lineRule="auto"/>
        <w:ind w:firstLine="709"/>
        <w:jc w:val="both"/>
        <w:rPr>
          <w:sz w:val="28"/>
          <w:szCs w:val="28"/>
          <w:u w:val="none"/>
        </w:rPr>
      </w:pPr>
      <w:r w:rsidRPr="004F5BDF">
        <w:rPr>
          <w:sz w:val="28"/>
          <w:szCs w:val="28"/>
          <w:u w:val="none"/>
        </w:rPr>
        <w:t>Наиболее массовым и многоэтапным мероприятием в 2021 г</w:t>
      </w:r>
      <w:r w:rsidR="007010AA">
        <w:rPr>
          <w:sz w:val="28"/>
          <w:szCs w:val="28"/>
          <w:u w:val="none"/>
        </w:rPr>
        <w:t>.</w:t>
      </w:r>
      <w:r w:rsidRPr="004F5BDF">
        <w:rPr>
          <w:sz w:val="28"/>
          <w:szCs w:val="28"/>
          <w:u w:val="none"/>
        </w:rPr>
        <w:t xml:space="preserve"> стали </w:t>
      </w:r>
      <w:r w:rsidR="002C150E" w:rsidRPr="004F5BDF">
        <w:rPr>
          <w:sz w:val="28"/>
          <w:szCs w:val="28"/>
          <w:u w:val="none"/>
        </w:rPr>
        <w:br/>
      </w:r>
      <w:r w:rsidRPr="004F5BDF">
        <w:rPr>
          <w:sz w:val="28"/>
          <w:szCs w:val="28"/>
          <w:u w:val="none"/>
        </w:rPr>
        <w:t>X Всероссийские зимние сельские спортивные игры</w:t>
      </w:r>
      <w:r w:rsidR="002C150E" w:rsidRPr="004F5BDF">
        <w:rPr>
          <w:sz w:val="28"/>
          <w:szCs w:val="28"/>
          <w:u w:val="none"/>
        </w:rPr>
        <w:t xml:space="preserve">. В финальных соревнованиях, включавших 7 видов спорта: лыжные гонки, </w:t>
      </w:r>
      <w:proofErr w:type="spellStart"/>
      <w:r w:rsidR="002C150E" w:rsidRPr="004F5BDF">
        <w:rPr>
          <w:sz w:val="28"/>
          <w:szCs w:val="28"/>
          <w:u w:val="none"/>
        </w:rPr>
        <w:t>полиатлон</w:t>
      </w:r>
      <w:proofErr w:type="spellEnd"/>
      <w:r w:rsidR="002C150E" w:rsidRPr="004F5BDF">
        <w:rPr>
          <w:sz w:val="28"/>
          <w:szCs w:val="28"/>
          <w:u w:val="none"/>
        </w:rPr>
        <w:t>, шашки, шахматы, соревнования среди спортивных семей, троеборье дояров и троеборье механизаторов, приняли участие 659 человек из 44 субъектов Российской Федерации</w:t>
      </w:r>
      <w:r w:rsidR="00271DF0">
        <w:rPr>
          <w:sz w:val="28"/>
          <w:szCs w:val="28"/>
          <w:u w:val="none"/>
        </w:rPr>
        <w:t>.</w:t>
      </w:r>
    </w:p>
    <w:p w14:paraId="3AE05E9E" w14:textId="77777777" w:rsidR="00C92470" w:rsidRPr="004F5BDF" w:rsidRDefault="00C92470" w:rsidP="00202A0D">
      <w:pPr>
        <w:pStyle w:val="Style5"/>
        <w:shd w:val="clear" w:color="auto" w:fill="auto"/>
        <w:spacing w:line="312" w:lineRule="auto"/>
        <w:ind w:firstLine="709"/>
        <w:jc w:val="both"/>
        <w:rPr>
          <w:sz w:val="28"/>
          <w:szCs w:val="28"/>
          <w:u w:val="none"/>
        </w:rPr>
      </w:pPr>
      <w:r w:rsidRPr="004F5BDF">
        <w:rPr>
          <w:sz w:val="28"/>
          <w:szCs w:val="28"/>
          <w:u w:val="none"/>
        </w:rPr>
        <w:t xml:space="preserve">В связи с распространением новой коронавирусной инфекции </w:t>
      </w:r>
      <w:r w:rsidRPr="004F5BDF">
        <w:rPr>
          <w:sz w:val="28"/>
          <w:szCs w:val="28"/>
          <w:u w:val="none"/>
          <w:lang w:eastAsia="en-US" w:bidi="en-US"/>
        </w:rPr>
        <w:t>(</w:t>
      </w:r>
      <w:r w:rsidRPr="004F5BDF">
        <w:rPr>
          <w:sz w:val="28"/>
          <w:szCs w:val="28"/>
          <w:u w:val="none"/>
          <w:lang w:val="en-US" w:eastAsia="en-US" w:bidi="en-US"/>
        </w:rPr>
        <w:t>COVID</w:t>
      </w:r>
      <w:r w:rsidRPr="004F5BDF">
        <w:rPr>
          <w:sz w:val="28"/>
          <w:szCs w:val="28"/>
          <w:u w:val="none"/>
          <w:lang w:eastAsia="en-US" w:bidi="en-US"/>
        </w:rPr>
        <w:t xml:space="preserve">-19) </w:t>
      </w:r>
      <w:r w:rsidRPr="004F5BDF">
        <w:rPr>
          <w:sz w:val="28"/>
          <w:szCs w:val="28"/>
          <w:u w:val="none"/>
        </w:rPr>
        <w:t>в 2021 г</w:t>
      </w:r>
      <w:r w:rsidR="007010AA">
        <w:rPr>
          <w:sz w:val="28"/>
          <w:szCs w:val="28"/>
          <w:u w:val="none"/>
        </w:rPr>
        <w:t>.</w:t>
      </w:r>
      <w:r w:rsidRPr="004F5BDF">
        <w:rPr>
          <w:sz w:val="28"/>
          <w:szCs w:val="28"/>
          <w:u w:val="none"/>
        </w:rPr>
        <w:t xml:space="preserve"> были отменены Всероссийские летние сельские спортивные игры, проведение которых было запланировано в г. Пензе.</w:t>
      </w:r>
    </w:p>
    <w:p w14:paraId="4C9AA3A5" w14:textId="77777777" w:rsidR="00C92470" w:rsidRPr="004F5BDF" w:rsidRDefault="00C92470" w:rsidP="002C150E">
      <w:pPr>
        <w:pStyle w:val="Style5"/>
        <w:shd w:val="clear" w:color="auto" w:fill="auto"/>
        <w:spacing w:line="312" w:lineRule="auto"/>
        <w:ind w:firstLine="709"/>
        <w:jc w:val="both"/>
        <w:rPr>
          <w:sz w:val="28"/>
          <w:szCs w:val="28"/>
          <w:u w:val="none"/>
        </w:rPr>
      </w:pPr>
      <w:r w:rsidRPr="004F5BDF">
        <w:rPr>
          <w:sz w:val="28"/>
          <w:szCs w:val="28"/>
          <w:u w:val="none"/>
        </w:rPr>
        <w:t xml:space="preserve">Также в рамках </w:t>
      </w:r>
      <w:r w:rsidR="002C150E" w:rsidRPr="004F5BDF">
        <w:rPr>
          <w:sz w:val="28"/>
          <w:szCs w:val="28"/>
          <w:u w:val="none"/>
        </w:rPr>
        <w:t>Единого календарного плана</w:t>
      </w:r>
      <w:r w:rsidRPr="004F5BDF">
        <w:rPr>
          <w:sz w:val="28"/>
          <w:szCs w:val="28"/>
          <w:u w:val="none"/>
        </w:rPr>
        <w:t xml:space="preserve"> проведены Всероссийские финальные соревнования по футболу с</w:t>
      </w:r>
      <w:r w:rsidR="002C150E" w:rsidRPr="004F5BDF">
        <w:rPr>
          <w:sz w:val="28"/>
          <w:szCs w:val="28"/>
          <w:u w:val="none"/>
        </w:rPr>
        <w:t xml:space="preserve">реди сельских команд «Колосок», </w:t>
      </w:r>
      <w:r w:rsidRPr="004F5BDF">
        <w:rPr>
          <w:sz w:val="28"/>
          <w:szCs w:val="28"/>
          <w:u w:val="none"/>
        </w:rPr>
        <w:t>Всероссийские соревнования по футболу среди сельских ком</w:t>
      </w:r>
      <w:r w:rsidR="002C150E" w:rsidRPr="004F5BDF">
        <w:rPr>
          <w:sz w:val="28"/>
          <w:szCs w:val="28"/>
          <w:u w:val="none"/>
        </w:rPr>
        <w:t>анд «Золотой колос»,</w:t>
      </w:r>
      <w:r w:rsidRPr="004F5BDF">
        <w:rPr>
          <w:sz w:val="28"/>
          <w:szCs w:val="28"/>
          <w:u w:val="none"/>
        </w:rPr>
        <w:t xml:space="preserve"> Всероссийские финальные соревнования ю</w:t>
      </w:r>
      <w:r w:rsidR="002C150E" w:rsidRPr="004F5BDF">
        <w:rPr>
          <w:sz w:val="28"/>
          <w:szCs w:val="28"/>
          <w:u w:val="none"/>
        </w:rPr>
        <w:t xml:space="preserve">ных хоккеистов «Золотая шайба», </w:t>
      </w:r>
      <w:r w:rsidRPr="004F5BDF">
        <w:rPr>
          <w:sz w:val="28"/>
          <w:szCs w:val="28"/>
          <w:u w:val="none"/>
        </w:rPr>
        <w:t>Всероссийские соревнования по хоккею с шайбой среди сельского населения</w:t>
      </w:r>
      <w:r w:rsidR="002C150E" w:rsidRPr="004F5BDF">
        <w:rPr>
          <w:sz w:val="28"/>
          <w:szCs w:val="28"/>
          <w:u w:val="none"/>
        </w:rPr>
        <w:t xml:space="preserve">, </w:t>
      </w:r>
      <w:r w:rsidRPr="004F5BDF">
        <w:rPr>
          <w:sz w:val="28"/>
          <w:szCs w:val="28"/>
          <w:u w:val="none"/>
        </w:rPr>
        <w:t>Всероссийские соревнования по быстрым шахматам и блицу среди учащихся, проживающих в сельской местности</w:t>
      </w:r>
      <w:r w:rsidR="002C150E" w:rsidRPr="004F5BDF">
        <w:rPr>
          <w:sz w:val="28"/>
          <w:szCs w:val="28"/>
          <w:u w:val="none"/>
        </w:rPr>
        <w:t>,</w:t>
      </w:r>
      <w:r w:rsidRPr="004F5BDF">
        <w:rPr>
          <w:sz w:val="28"/>
          <w:szCs w:val="28"/>
          <w:u w:val="none"/>
        </w:rPr>
        <w:t xml:space="preserve"> Всероссийские соревнования по шахматам среди обучающихся общеобразовательных организаций, пр</w:t>
      </w:r>
      <w:r w:rsidR="002C150E" w:rsidRPr="004F5BDF">
        <w:rPr>
          <w:sz w:val="28"/>
          <w:szCs w:val="28"/>
          <w:u w:val="none"/>
        </w:rPr>
        <w:t>оживающих в сельской местности,</w:t>
      </w:r>
      <w:r w:rsidRPr="004F5BDF">
        <w:rPr>
          <w:sz w:val="28"/>
          <w:szCs w:val="28"/>
          <w:u w:val="none"/>
        </w:rPr>
        <w:t xml:space="preserve"> Всероссийский сельский марафон «Сметанино-Марафон».</w:t>
      </w:r>
    </w:p>
    <w:p w14:paraId="6384DF62" w14:textId="77777777" w:rsidR="00C92470" w:rsidRPr="004F5BDF" w:rsidRDefault="00C92470" w:rsidP="00202A0D">
      <w:pPr>
        <w:pStyle w:val="Style5"/>
        <w:shd w:val="clear" w:color="auto" w:fill="auto"/>
        <w:spacing w:line="312" w:lineRule="auto"/>
        <w:ind w:firstLine="709"/>
        <w:jc w:val="both"/>
        <w:rPr>
          <w:sz w:val="28"/>
          <w:szCs w:val="28"/>
          <w:u w:val="none"/>
        </w:rPr>
      </w:pPr>
      <w:r w:rsidRPr="004F5BDF">
        <w:rPr>
          <w:sz w:val="28"/>
          <w:szCs w:val="28"/>
          <w:u w:val="none"/>
        </w:rPr>
        <w:t>Начиная с 2019 г</w:t>
      </w:r>
      <w:r w:rsidR="007010AA">
        <w:rPr>
          <w:sz w:val="28"/>
          <w:szCs w:val="28"/>
          <w:u w:val="none"/>
        </w:rPr>
        <w:t>.</w:t>
      </w:r>
      <w:r w:rsidRPr="004F5BDF">
        <w:rPr>
          <w:sz w:val="28"/>
          <w:szCs w:val="28"/>
          <w:u w:val="none"/>
        </w:rPr>
        <w:t xml:space="preserve"> Минспорт России осуществляет грантовую поддержку некоммерческих организаций, реализующих проекты в области физической культуры, массового спорта и спортивного резерва. Отбор получателей грантов осуществлялся в соответствии с положением о проведении конкурсного отбора на предоставление из федерального бюджета грантов в форме субсидий некоммерческим организациям, реализующим данные проекты, в целях выполнения государственной программы Российской Федерации «Развитие физической культуры и спорта», утвержденным постановлением Правительства Российской Федерации от 14 января 2019 г. № 4. В 2022 г</w:t>
      </w:r>
      <w:r w:rsidR="007010AA">
        <w:rPr>
          <w:sz w:val="28"/>
          <w:szCs w:val="28"/>
          <w:u w:val="none"/>
        </w:rPr>
        <w:t>.</w:t>
      </w:r>
      <w:r w:rsidRPr="004F5BDF">
        <w:rPr>
          <w:sz w:val="28"/>
          <w:szCs w:val="28"/>
          <w:u w:val="none"/>
        </w:rPr>
        <w:t xml:space="preserve"> 35 некоммерческих организаций стали победителями конкурса на предоставление из федерального бюджета грантов в форме субсидий на реализацию проектов, направленных на привлечение граждан к занятиям физической культурой и массовым спортом, ведению здорового активного образа жизни. Общая сумма субсидии на реализацию проектов составила 256</w:t>
      </w:r>
      <w:r w:rsidR="004F5BDF" w:rsidRPr="004F5BDF">
        <w:rPr>
          <w:sz w:val="28"/>
          <w:szCs w:val="28"/>
          <w:u w:val="none"/>
        </w:rPr>
        <w:t>,5</w:t>
      </w:r>
      <w:r w:rsidRPr="004F5BDF">
        <w:rPr>
          <w:sz w:val="28"/>
          <w:szCs w:val="28"/>
          <w:u w:val="none"/>
        </w:rPr>
        <w:t xml:space="preserve"> млн рублей.</w:t>
      </w:r>
    </w:p>
    <w:p w14:paraId="7B7AA8C3" w14:textId="77777777" w:rsidR="00C92470" w:rsidRPr="007F50B7" w:rsidRDefault="00C92470" w:rsidP="00202A0D">
      <w:pPr>
        <w:pStyle w:val="Style5"/>
        <w:shd w:val="clear" w:color="auto" w:fill="auto"/>
        <w:spacing w:line="312" w:lineRule="auto"/>
        <w:ind w:firstLine="709"/>
        <w:jc w:val="both"/>
        <w:rPr>
          <w:sz w:val="28"/>
          <w:szCs w:val="28"/>
          <w:u w:val="none"/>
        </w:rPr>
      </w:pPr>
      <w:r w:rsidRPr="007F50B7">
        <w:rPr>
          <w:sz w:val="28"/>
          <w:szCs w:val="28"/>
          <w:u w:val="none"/>
        </w:rPr>
        <w:t>Ежегодно Минпросвещения России и Минобрнауки России совместно с Минспортом России проводят смотры-конкурсы на лучшую постановку физкультурной работы и развитие массового спорта среди школьных и студенческих спортивных клубов</w:t>
      </w:r>
      <w:r w:rsidR="007F50B7" w:rsidRPr="007F50B7">
        <w:rPr>
          <w:sz w:val="28"/>
          <w:szCs w:val="28"/>
          <w:u w:val="none"/>
        </w:rPr>
        <w:t>,</w:t>
      </w:r>
      <w:r w:rsidRPr="007F50B7">
        <w:rPr>
          <w:sz w:val="28"/>
          <w:szCs w:val="28"/>
          <w:u w:val="none"/>
        </w:rPr>
        <w:t xml:space="preserve"> соответственно.</w:t>
      </w:r>
    </w:p>
    <w:p w14:paraId="2BA92BD7" w14:textId="68A6F36F" w:rsidR="00C92470" w:rsidRPr="007F50B7" w:rsidRDefault="00C92470" w:rsidP="00202A0D">
      <w:pPr>
        <w:pStyle w:val="Style5"/>
        <w:shd w:val="clear" w:color="auto" w:fill="auto"/>
        <w:spacing w:line="312" w:lineRule="auto"/>
        <w:ind w:firstLine="709"/>
        <w:jc w:val="both"/>
        <w:rPr>
          <w:sz w:val="28"/>
          <w:szCs w:val="28"/>
          <w:u w:val="none"/>
        </w:rPr>
      </w:pPr>
      <w:r w:rsidRPr="007F50B7">
        <w:rPr>
          <w:sz w:val="28"/>
          <w:szCs w:val="28"/>
          <w:u w:val="none"/>
        </w:rPr>
        <w:t>В 2021 г</w:t>
      </w:r>
      <w:r w:rsidR="00D66D20">
        <w:rPr>
          <w:sz w:val="28"/>
          <w:szCs w:val="28"/>
          <w:u w:val="none"/>
        </w:rPr>
        <w:t>.</w:t>
      </w:r>
      <w:r w:rsidRPr="007F50B7">
        <w:rPr>
          <w:sz w:val="28"/>
          <w:szCs w:val="28"/>
          <w:u w:val="none"/>
        </w:rPr>
        <w:t xml:space="preserve"> во Всероссийском смотре-конкурсе на лучшую постановку физкультурной работы и развитие массового спорта среди </w:t>
      </w:r>
      <w:r w:rsidR="007F50B7" w:rsidRPr="007F50B7">
        <w:rPr>
          <w:sz w:val="28"/>
          <w:szCs w:val="28"/>
          <w:u w:val="none"/>
        </w:rPr>
        <w:t>ШСК</w:t>
      </w:r>
      <w:r w:rsidRPr="007F50B7">
        <w:rPr>
          <w:sz w:val="28"/>
          <w:szCs w:val="28"/>
          <w:u w:val="none"/>
        </w:rPr>
        <w:t xml:space="preserve"> приняли участие </w:t>
      </w:r>
      <w:r w:rsidR="003028EB">
        <w:rPr>
          <w:sz w:val="28"/>
          <w:szCs w:val="28"/>
          <w:u w:val="none"/>
        </w:rPr>
        <w:br/>
      </w:r>
      <w:r w:rsidRPr="007F50B7">
        <w:rPr>
          <w:sz w:val="28"/>
          <w:szCs w:val="28"/>
          <w:u w:val="none"/>
        </w:rPr>
        <w:t>233 образовательные организации из 54 субъектов Российской Федерации, 20 из которых стали победителями и призерами данного конкурса.</w:t>
      </w:r>
    </w:p>
    <w:p w14:paraId="14039945" w14:textId="67D5E960" w:rsidR="00C92470" w:rsidRPr="007F50B7" w:rsidRDefault="00C92470" w:rsidP="00202A0D">
      <w:pPr>
        <w:pStyle w:val="Style5"/>
        <w:shd w:val="clear" w:color="auto" w:fill="auto"/>
        <w:spacing w:line="312" w:lineRule="auto"/>
        <w:ind w:firstLine="709"/>
        <w:jc w:val="both"/>
        <w:rPr>
          <w:sz w:val="28"/>
          <w:szCs w:val="28"/>
          <w:u w:val="none"/>
        </w:rPr>
      </w:pPr>
      <w:r w:rsidRPr="007F50B7">
        <w:rPr>
          <w:sz w:val="28"/>
          <w:szCs w:val="28"/>
          <w:u w:val="none"/>
        </w:rPr>
        <w:t>Кроме того, проведены смотры-конкурсы на лучшую организацию физкультурно-спортивной работы среди образовательных организаций высшего образования и Всероссийский смотр-конкурс на лучшую организацию физкультурно</w:t>
      </w:r>
      <w:r w:rsidR="004F5BDF" w:rsidRPr="007F50B7">
        <w:rPr>
          <w:sz w:val="28"/>
          <w:szCs w:val="28"/>
          <w:u w:val="none"/>
        </w:rPr>
        <w:t>-</w:t>
      </w:r>
      <w:r w:rsidRPr="007F50B7">
        <w:rPr>
          <w:sz w:val="28"/>
          <w:szCs w:val="28"/>
          <w:u w:val="none"/>
        </w:rPr>
        <w:t xml:space="preserve">спортивной работы среди профессиональных образовательных организаций. </w:t>
      </w:r>
      <w:r w:rsidR="003028EB">
        <w:rPr>
          <w:sz w:val="28"/>
          <w:szCs w:val="28"/>
          <w:u w:val="none"/>
        </w:rPr>
        <w:br/>
      </w:r>
      <w:r w:rsidRPr="007F50B7">
        <w:rPr>
          <w:sz w:val="28"/>
          <w:szCs w:val="28"/>
          <w:u w:val="none"/>
        </w:rPr>
        <w:t>11 образовательных организаций высшего образования и 9 профессиональных образовательных организаций, победивших в названных конкурсах, получили грантовую поддержку в форме субсидии.</w:t>
      </w:r>
    </w:p>
    <w:p w14:paraId="691BAE73" w14:textId="77777777" w:rsidR="00C92470" w:rsidRPr="007F50B7" w:rsidRDefault="00C92470" w:rsidP="00202A0D">
      <w:pPr>
        <w:pStyle w:val="Style5"/>
        <w:shd w:val="clear" w:color="auto" w:fill="auto"/>
        <w:spacing w:line="312" w:lineRule="auto"/>
        <w:ind w:firstLine="709"/>
        <w:jc w:val="both"/>
        <w:rPr>
          <w:sz w:val="28"/>
          <w:szCs w:val="28"/>
          <w:u w:val="none"/>
        </w:rPr>
      </w:pPr>
      <w:r w:rsidRPr="007F50B7">
        <w:rPr>
          <w:sz w:val="28"/>
          <w:szCs w:val="28"/>
          <w:u w:val="none"/>
        </w:rPr>
        <w:t xml:space="preserve">Значимую роль в развитии физической культуры и массового спорта среди детей населения играет Всероссийский физкультурно-спортивный комплекс «Готов к труду и обороне» (ГТО) (далее </w:t>
      </w:r>
      <w:r w:rsidR="007F50B7" w:rsidRPr="007F50B7">
        <w:rPr>
          <w:sz w:val="28"/>
          <w:szCs w:val="28"/>
          <w:u w:val="none"/>
        </w:rPr>
        <w:t>–</w:t>
      </w:r>
      <w:r w:rsidRPr="007F50B7">
        <w:rPr>
          <w:sz w:val="28"/>
          <w:szCs w:val="28"/>
          <w:u w:val="none"/>
        </w:rPr>
        <w:t xml:space="preserve"> комплекс ГТО).</w:t>
      </w:r>
    </w:p>
    <w:p w14:paraId="66006F6E" w14:textId="77777777" w:rsidR="00C92470" w:rsidRPr="007F50B7" w:rsidRDefault="00C92470" w:rsidP="007F50B7">
      <w:pPr>
        <w:pStyle w:val="Style5"/>
        <w:shd w:val="clear" w:color="auto" w:fill="auto"/>
        <w:spacing w:line="312" w:lineRule="auto"/>
        <w:ind w:firstLine="709"/>
        <w:jc w:val="both"/>
        <w:rPr>
          <w:sz w:val="28"/>
          <w:szCs w:val="28"/>
          <w:u w:val="none"/>
        </w:rPr>
      </w:pPr>
      <w:r w:rsidRPr="007F50B7">
        <w:rPr>
          <w:sz w:val="28"/>
          <w:szCs w:val="28"/>
          <w:u w:val="none"/>
        </w:rPr>
        <w:t>В 2021 г</w:t>
      </w:r>
      <w:r w:rsidR="00D66D20">
        <w:rPr>
          <w:sz w:val="28"/>
          <w:szCs w:val="28"/>
          <w:u w:val="none"/>
        </w:rPr>
        <w:t>.</w:t>
      </w:r>
      <w:r w:rsidRPr="007F50B7">
        <w:rPr>
          <w:sz w:val="28"/>
          <w:szCs w:val="28"/>
          <w:u w:val="none"/>
        </w:rPr>
        <w:t xml:space="preserve"> центрами тестирования комплекса ГТО проведено </w:t>
      </w:r>
      <w:r w:rsidR="00D66D20">
        <w:rPr>
          <w:sz w:val="28"/>
          <w:szCs w:val="28"/>
          <w:u w:val="none"/>
        </w:rPr>
        <w:br/>
      </w:r>
      <w:r w:rsidRPr="007F50B7">
        <w:rPr>
          <w:sz w:val="28"/>
          <w:szCs w:val="28"/>
          <w:u w:val="none"/>
        </w:rPr>
        <w:t xml:space="preserve">115 538 мероприятий по приему нормативов испытаний (тестов) у населения, в том числе более 30 000 мероприятий </w:t>
      </w:r>
      <w:r w:rsidR="007F50B7" w:rsidRPr="007F50B7">
        <w:rPr>
          <w:sz w:val="28"/>
          <w:szCs w:val="28"/>
          <w:u w:val="none"/>
        </w:rPr>
        <w:t xml:space="preserve">проведено в сельской местности. </w:t>
      </w:r>
      <w:r w:rsidRPr="007F50B7">
        <w:rPr>
          <w:sz w:val="28"/>
          <w:szCs w:val="28"/>
          <w:u w:val="none"/>
        </w:rPr>
        <w:t>За 2021 г</w:t>
      </w:r>
      <w:r w:rsidR="008D0370">
        <w:rPr>
          <w:sz w:val="28"/>
          <w:szCs w:val="28"/>
          <w:u w:val="none"/>
        </w:rPr>
        <w:t>.</w:t>
      </w:r>
      <w:r w:rsidRPr="007F50B7">
        <w:rPr>
          <w:sz w:val="28"/>
          <w:szCs w:val="28"/>
          <w:u w:val="none"/>
        </w:rPr>
        <w:t xml:space="preserve"> </w:t>
      </w:r>
      <w:r w:rsidR="008D0370">
        <w:rPr>
          <w:sz w:val="28"/>
          <w:szCs w:val="28"/>
          <w:u w:val="none"/>
        </w:rPr>
        <w:br/>
      </w:r>
      <w:r w:rsidRPr="007F50B7">
        <w:rPr>
          <w:sz w:val="28"/>
          <w:szCs w:val="28"/>
          <w:u w:val="none"/>
        </w:rPr>
        <w:t>2 704 711 человек старше 6 лет, из них 1 260 436 женщин</w:t>
      </w:r>
      <w:r w:rsidR="007F50B7" w:rsidRPr="007F50B7">
        <w:rPr>
          <w:sz w:val="28"/>
          <w:szCs w:val="28"/>
          <w:u w:val="none"/>
        </w:rPr>
        <w:t>,</w:t>
      </w:r>
      <w:r w:rsidRPr="007F50B7">
        <w:rPr>
          <w:sz w:val="28"/>
          <w:szCs w:val="28"/>
          <w:u w:val="none"/>
        </w:rPr>
        <w:t xml:space="preserve"> приняли участие в выполнении нормативов испытаний (тестов) комплекса ГТО. 1 496 124 человек завершили их выполнение и показали высокий уровень физической подготовленности, соответствующ</w:t>
      </w:r>
      <w:r w:rsidR="007F50B7" w:rsidRPr="007F50B7">
        <w:rPr>
          <w:sz w:val="28"/>
          <w:szCs w:val="28"/>
          <w:u w:val="none"/>
        </w:rPr>
        <w:t>ий знакам отличия комплекса ГТО,</w:t>
      </w:r>
      <w:r w:rsidRPr="007F50B7">
        <w:rPr>
          <w:sz w:val="28"/>
          <w:szCs w:val="28"/>
          <w:u w:val="none"/>
        </w:rPr>
        <w:t xml:space="preserve"> </w:t>
      </w:r>
      <w:r w:rsidR="007F50B7" w:rsidRPr="007F50B7">
        <w:rPr>
          <w:sz w:val="28"/>
          <w:szCs w:val="28"/>
          <w:u w:val="none"/>
        </w:rPr>
        <w:t>и</w:t>
      </w:r>
      <w:r w:rsidRPr="007F50B7">
        <w:rPr>
          <w:sz w:val="28"/>
          <w:szCs w:val="28"/>
          <w:u w:val="none"/>
        </w:rPr>
        <w:t xml:space="preserve">з них </w:t>
      </w:r>
      <w:r w:rsidR="008D0370">
        <w:rPr>
          <w:sz w:val="28"/>
          <w:szCs w:val="28"/>
          <w:u w:val="none"/>
        </w:rPr>
        <w:br/>
      </w:r>
      <w:r w:rsidR="007F50B7" w:rsidRPr="007F50B7">
        <w:rPr>
          <w:sz w:val="28"/>
          <w:szCs w:val="28"/>
          <w:u w:val="none"/>
        </w:rPr>
        <w:t xml:space="preserve">679 227 </w:t>
      </w:r>
      <w:r w:rsidRPr="007F50B7">
        <w:rPr>
          <w:sz w:val="28"/>
          <w:szCs w:val="28"/>
          <w:u w:val="none"/>
        </w:rPr>
        <w:t>женщин.</w:t>
      </w:r>
      <w:r w:rsidR="007F50B7" w:rsidRPr="007F50B7">
        <w:rPr>
          <w:sz w:val="28"/>
          <w:szCs w:val="28"/>
          <w:u w:val="none"/>
        </w:rPr>
        <w:t xml:space="preserve"> </w:t>
      </w:r>
      <w:r w:rsidRPr="007F50B7">
        <w:rPr>
          <w:sz w:val="28"/>
          <w:szCs w:val="28"/>
          <w:u w:val="none"/>
        </w:rPr>
        <w:t xml:space="preserve">При этом численность детей в возрасте до 18 лет, принявших участие в выполнении нормативов испытаний (тестов) комплекса ГТО, составила </w:t>
      </w:r>
      <w:r w:rsidR="008D0370">
        <w:rPr>
          <w:sz w:val="28"/>
          <w:szCs w:val="28"/>
          <w:u w:val="none"/>
        </w:rPr>
        <w:br/>
      </w:r>
      <w:r w:rsidRPr="007F50B7">
        <w:rPr>
          <w:sz w:val="28"/>
          <w:szCs w:val="28"/>
          <w:u w:val="none"/>
        </w:rPr>
        <w:t xml:space="preserve">1 970 859 человек, а выполнивших данные нормативы </w:t>
      </w:r>
      <w:r w:rsidR="007F50B7" w:rsidRPr="007F50B7">
        <w:rPr>
          <w:sz w:val="28"/>
          <w:szCs w:val="28"/>
          <w:u w:val="none"/>
        </w:rPr>
        <w:t>–</w:t>
      </w:r>
      <w:r w:rsidRPr="007F50B7">
        <w:rPr>
          <w:sz w:val="28"/>
          <w:szCs w:val="28"/>
          <w:u w:val="none"/>
        </w:rPr>
        <w:t xml:space="preserve"> 1 014 149 человек.</w:t>
      </w:r>
    </w:p>
    <w:p w14:paraId="39BFC041" w14:textId="77777777" w:rsidR="00C92470" w:rsidRPr="007F50B7" w:rsidRDefault="00C92470" w:rsidP="007F50B7">
      <w:pPr>
        <w:pStyle w:val="Style5"/>
        <w:shd w:val="clear" w:color="auto" w:fill="auto"/>
        <w:spacing w:line="312" w:lineRule="auto"/>
        <w:ind w:firstLine="709"/>
        <w:jc w:val="both"/>
        <w:rPr>
          <w:sz w:val="28"/>
          <w:szCs w:val="28"/>
          <w:u w:val="none"/>
        </w:rPr>
      </w:pPr>
      <w:r w:rsidRPr="007F50B7">
        <w:rPr>
          <w:sz w:val="28"/>
          <w:szCs w:val="28"/>
          <w:u w:val="none"/>
        </w:rPr>
        <w:t>Существенную поддержку развитию физической культуры и массового спорта</w:t>
      </w:r>
      <w:r w:rsidR="007F50B7" w:rsidRPr="007F50B7">
        <w:rPr>
          <w:sz w:val="28"/>
          <w:szCs w:val="28"/>
          <w:u w:val="none"/>
        </w:rPr>
        <w:t xml:space="preserve"> оказывают центры тестирования. </w:t>
      </w:r>
      <w:r w:rsidRPr="007F50B7">
        <w:rPr>
          <w:sz w:val="28"/>
          <w:szCs w:val="28"/>
          <w:u w:val="none"/>
        </w:rPr>
        <w:t>В 2021 г</w:t>
      </w:r>
      <w:r w:rsidR="00C47389">
        <w:rPr>
          <w:sz w:val="28"/>
          <w:szCs w:val="28"/>
          <w:u w:val="none"/>
        </w:rPr>
        <w:t>.</w:t>
      </w:r>
      <w:r w:rsidRPr="007F50B7">
        <w:rPr>
          <w:sz w:val="28"/>
          <w:szCs w:val="28"/>
          <w:u w:val="none"/>
        </w:rPr>
        <w:t xml:space="preserve"> в субъектах Российской Федерации из </w:t>
      </w:r>
      <w:r w:rsidR="00C47389">
        <w:rPr>
          <w:sz w:val="28"/>
          <w:szCs w:val="28"/>
          <w:u w:val="none"/>
        </w:rPr>
        <w:br/>
      </w:r>
      <w:r w:rsidRPr="007F50B7">
        <w:rPr>
          <w:sz w:val="28"/>
          <w:szCs w:val="28"/>
          <w:u w:val="none"/>
        </w:rPr>
        <w:t xml:space="preserve">2 650 центров тестирования вновь создано 44 центра, прекратили работу или реорганизованы </w:t>
      </w:r>
      <w:r w:rsidR="007F50B7" w:rsidRPr="007F50B7">
        <w:rPr>
          <w:sz w:val="28"/>
          <w:szCs w:val="28"/>
          <w:u w:val="none"/>
        </w:rPr>
        <w:t>–</w:t>
      </w:r>
      <w:r w:rsidRPr="007F50B7">
        <w:rPr>
          <w:sz w:val="28"/>
          <w:szCs w:val="28"/>
          <w:u w:val="none"/>
        </w:rPr>
        <w:t xml:space="preserve"> 30.</w:t>
      </w:r>
    </w:p>
    <w:p w14:paraId="0C3F49AB" w14:textId="77777777" w:rsidR="00C92470" w:rsidRPr="007F50B7" w:rsidRDefault="00D20DB8" w:rsidP="00202A0D">
      <w:pPr>
        <w:pStyle w:val="Style5"/>
        <w:shd w:val="clear" w:color="auto" w:fill="auto"/>
        <w:spacing w:line="312" w:lineRule="auto"/>
        <w:ind w:firstLine="709"/>
        <w:jc w:val="both"/>
        <w:rPr>
          <w:sz w:val="28"/>
          <w:szCs w:val="28"/>
          <w:u w:val="none"/>
        </w:rPr>
      </w:pPr>
      <w:r>
        <w:rPr>
          <w:sz w:val="28"/>
          <w:szCs w:val="28"/>
          <w:u w:val="none"/>
        </w:rPr>
        <w:t>В</w:t>
      </w:r>
      <w:r w:rsidRPr="007F50B7">
        <w:rPr>
          <w:sz w:val="28"/>
          <w:szCs w:val="28"/>
          <w:u w:val="none"/>
        </w:rPr>
        <w:t xml:space="preserve"> 73 субъектах Российской Федерации в 2021 г</w:t>
      </w:r>
      <w:r w:rsidR="00C47389">
        <w:rPr>
          <w:sz w:val="28"/>
          <w:szCs w:val="28"/>
          <w:u w:val="none"/>
        </w:rPr>
        <w:t>.</w:t>
      </w:r>
      <w:r w:rsidRPr="007F50B7">
        <w:rPr>
          <w:sz w:val="28"/>
          <w:szCs w:val="28"/>
          <w:u w:val="none"/>
        </w:rPr>
        <w:t xml:space="preserve"> организовано </w:t>
      </w:r>
      <w:r>
        <w:rPr>
          <w:sz w:val="28"/>
          <w:szCs w:val="28"/>
          <w:u w:val="none"/>
        </w:rPr>
        <w:t>т</w:t>
      </w:r>
      <w:r w:rsidR="00C92470" w:rsidRPr="007F50B7">
        <w:rPr>
          <w:sz w:val="28"/>
          <w:szCs w:val="28"/>
          <w:u w:val="none"/>
        </w:rPr>
        <w:t>естирование инвалидов (на 7 регионов больше, чем в 2020 г</w:t>
      </w:r>
      <w:r w:rsidR="00C47389">
        <w:rPr>
          <w:sz w:val="28"/>
          <w:szCs w:val="28"/>
          <w:u w:val="none"/>
        </w:rPr>
        <w:t>.</w:t>
      </w:r>
      <w:r w:rsidR="00C92470" w:rsidRPr="007F50B7">
        <w:rPr>
          <w:sz w:val="28"/>
          <w:szCs w:val="28"/>
          <w:u w:val="none"/>
        </w:rPr>
        <w:t xml:space="preserve">), при этом </w:t>
      </w:r>
      <w:r w:rsidR="00CA4BE9">
        <w:rPr>
          <w:sz w:val="28"/>
          <w:szCs w:val="28"/>
          <w:u w:val="none"/>
        </w:rPr>
        <w:t>сохраняются</w:t>
      </w:r>
      <w:r w:rsidR="00C92470" w:rsidRPr="007F50B7">
        <w:rPr>
          <w:sz w:val="28"/>
          <w:szCs w:val="28"/>
          <w:u w:val="none"/>
        </w:rPr>
        <w:t xml:space="preserve"> регион</w:t>
      </w:r>
      <w:r w:rsidR="00CA4BE9">
        <w:rPr>
          <w:sz w:val="28"/>
          <w:szCs w:val="28"/>
          <w:u w:val="none"/>
        </w:rPr>
        <w:t>ы,</w:t>
      </w:r>
      <w:r w:rsidR="00C92470" w:rsidRPr="007F50B7">
        <w:rPr>
          <w:sz w:val="28"/>
          <w:szCs w:val="28"/>
          <w:u w:val="none"/>
        </w:rPr>
        <w:t xml:space="preserve"> до сих пор не включи</w:t>
      </w:r>
      <w:r w:rsidR="00CA4BE9">
        <w:rPr>
          <w:sz w:val="28"/>
          <w:szCs w:val="28"/>
          <w:u w:val="none"/>
        </w:rPr>
        <w:t>вшиеся</w:t>
      </w:r>
      <w:r w:rsidR="00C92470" w:rsidRPr="007F50B7">
        <w:rPr>
          <w:sz w:val="28"/>
          <w:szCs w:val="28"/>
          <w:u w:val="none"/>
        </w:rPr>
        <w:t xml:space="preserve"> в реализацию </w:t>
      </w:r>
      <w:r w:rsidR="007F50B7" w:rsidRPr="007F50B7">
        <w:rPr>
          <w:sz w:val="28"/>
          <w:szCs w:val="28"/>
          <w:u w:val="none"/>
        </w:rPr>
        <w:t>тестирования</w:t>
      </w:r>
      <w:r w:rsidR="00C92470" w:rsidRPr="007F50B7">
        <w:rPr>
          <w:sz w:val="28"/>
          <w:szCs w:val="28"/>
          <w:u w:val="none"/>
        </w:rPr>
        <w:t xml:space="preserve"> инвалидов по нормативам ГТО.</w:t>
      </w:r>
    </w:p>
    <w:p w14:paraId="72F9E69B" w14:textId="77777777" w:rsidR="00C92470" w:rsidRPr="007F50B7" w:rsidRDefault="00C92470" w:rsidP="00202A0D">
      <w:pPr>
        <w:pStyle w:val="Style5"/>
        <w:shd w:val="clear" w:color="auto" w:fill="auto"/>
        <w:spacing w:line="312" w:lineRule="auto"/>
        <w:ind w:firstLine="709"/>
        <w:jc w:val="both"/>
        <w:rPr>
          <w:sz w:val="28"/>
          <w:szCs w:val="28"/>
          <w:u w:val="none"/>
        </w:rPr>
      </w:pPr>
      <w:r w:rsidRPr="007F50B7">
        <w:rPr>
          <w:sz w:val="28"/>
          <w:szCs w:val="28"/>
          <w:u w:val="none"/>
        </w:rPr>
        <w:t>Всего в 2021 г</w:t>
      </w:r>
      <w:r w:rsidR="00C47389">
        <w:rPr>
          <w:sz w:val="28"/>
          <w:szCs w:val="28"/>
          <w:u w:val="none"/>
        </w:rPr>
        <w:t>.</w:t>
      </w:r>
      <w:r w:rsidRPr="007F50B7">
        <w:rPr>
          <w:sz w:val="28"/>
          <w:szCs w:val="28"/>
          <w:u w:val="none"/>
        </w:rPr>
        <w:t xml:space="preserve"> в тестировании по нормативам испытаний (тестов) комплекса ГТО приняло участие 9 160 инвалидов и лиц с </w:t>
      </w:r>
      <w:r w:rsidR="007F50B7" w:rsidRPr="007F50B7">
        <w:rPr>
          <w:sz w:val="28"/>
          <w:szCs w:val="28"/>
          <w:u w:val="none"/>
        </w:rPr>
        <w:t>ОВЗ</w:t>
      </w:r>
      <w:r w:rsidRPr="007F50B7">
        <w:rPr>
          <w:sz w:val="28"/>
          <w:szCs w:val="28"/>
          <w:u w:val="none"/>
        </w:rPr>
        <w:t>, из которых 73,4%</w:t>
      </w:r>
      <w:r w:rsidR="007F50B7" w:rsidRPr="007F50B7">
        <w:rPr>
          <w:sz w:val="28"/>
          <w:szCs w:val="28"/>
          <w:u w:val="none"/>
        </w:rPr>
        <w:t xml:space="preserve"> </w:t>
      </w:r>
      <w:r w:rsidRPr="007F50B7">
        <w:rPr>
          <w:sz w:val="28"/>
          <w:szCs w:val="28"/>
          <w:u w:val="none"/>
        </w:rPr>
        <w:t xml:space="preserve">или 6 720 человек справились с нормативами на знаки отличия в соответствующих </w:t>
      </w:r>
      <w:r w:rsidR="00D20DB8" w:rsidRPr="007F50B7">
        <w:rPr>
          <w:sz w:val="28"/>
          <w:szCs w:val="28"/>
          <w:u w:val="none"/>
        </w:rPr>
        <w:t>половозрастных</w:t>
      </w:r>
      <w:r w:rsidRPr="007F50B7">
        <w:rPr>
          <w:sz w:val="28"/>
          <w:szCs w:val="28"/>
          <w:u w:val="none"/>
        </w:rPr>
        <w:t xml:space="preserve"> и нозологических группах:</w:t>
      </w:r>
    </w:p>
    <w:p w14:paraId="7810BF11" w14:textId="77777777" w:rsidR="00C92470" w:rsidRPr="007F50B7" w:rsidRDefault="00C92470" w:rsidP="007F50B7">
      <w:pPr>
        <w:pStyle w:val="Style5"/>
        <w:shd w:val="clear" w:color="auto" w:fill="auto"/>
        <w:spacing w:line="312" w:lineRule="auto"/>
        <w:ind w:firstLine="709"/>
        <w:jc w:val="both"/>
        <w:rPr>
          <w:sz w:val="28"/>
          <w:szCs w:val="28"/>
          <w:u w:val="none"/>
        </w:rPr>
      </w:pPr>
      <w:r w:rsidRPr="007F50B7">
        <w:rPr>
          <w:sz w:val="28"/>
          <w:szCs w:val="28"/>
          <w:u w:val="none"/>
        </w:rPr>
        <w:t xml:space="preserve">3 809 человек </w:t>
      </w:r>
      <w:r w:rsidR="007F50B7" w:rsidRPr="007F50B7">
        <w:rPr>
          <w:sz w:val="28"/>
          <w:szCs w:val="28"/>
          <w:u w:val="none"/>
        </w:rPr>
        <w:t xml:space="preserve">имеют интеллектуальные нарушения </w:t>
      </w:r>
      <w:r w:rsidRPr="007F50B7">
        <w:rPr>
          <w:sz w:val="28"/>
          <w:szCs w:val="28"/>
          <w:u w:val="none"/>
        </w:rPr>
        <w:t>(56,7% от общего числа приступив</w:t>
      </w:r>
      <w:r w:rsidRPr="007F50B7">
        <w:rPr>
          <w:rStyle w:val="CharStyle30"/>
          <w:sz w:val="28"/>
          <w:szCs w:val="28"/>
        </w:rPr>
        <w:t>ши</w:t>
      </w:r>
      <w:r w:rsidR="007F50B7" w:rsidRPr="007F50B7">
        <w:rPr>
          <w:sz w:val="28"/>
          <w:szCs w:val="28"/>
          <w:u w:val="none"/>
        </w:rPr>
        <w:t>х)</w:t>
      </w:r>
      <w:r w:rsidRPr="007F50B7">
        <w:rPr>
          <w:sz w:val="28"/>
          <w:szCs w:val="28"/>
          <w:u w:val="none"/>
        </w:rPr>
        <w:t>;</w:t>
      </w:r>
    </w:p>
    <w:p w14:paraId="357EEBA2" w14:textId="77777777" w:rsidR="00C92470" w:rsidRPr="007F50B7" w:rsidRDefault="00C92470" w:rsidP="00202A0D">
      <w:pPr>
        <w:pStyle w:val="Style5"/>
        <w:shd w:val="clear" w:color="auto" w:fill="auto"/>
        <w:spacing w:line="312" w:lineRule="auto"/>
        <w:ind w:firstLine="709"/>
        <w:jc w:val="both"/>
        <w:rPr>
          <w:sz w:val="28"/>
          <w:szCs w:val="28"/>
          <w:u w:val="none"/>
        </w:rPr>
      </w:pPr>
      <w:r w:rsidRPr="007F50B7">
        <w:rPr>
          <w:sz w:val="28"/>
          <w:szCs w:val="28"/>
          <w:u w:val="none"/>
        </w:rPr>
        <w:t>1 061 человек</w:t>
      </w:r>
      <w:r w:rsidR="007F50B7" w:rsidRPr="007F50B7">
        <w:rPr>
          <w:sz w:val="28"/>
          <w:szCs w:val="28"/>
          <w:u w:val="none"/>
        </w:rPr>
        <w:t xml:space="preserve"> –</w:t>
      </w:r>
      <w:r w:rsidRPr="007F50B7">
        <w:rPr>
          <w:sz w:val="28"/>
          <w:szCs w:val="28"/>
          <w:u w:val="none"/>
        </w:rPr>
        <w:t xml:space="preserve"> лица с нарушением слуха</w:t>
      </w:r>
      <w:r w:rsidR="007F50B7" w:rsidRPr="007F50B7">
        <w:rPr>
          <w:sz w:val="28"/>
          <w:szCs w:val="28"/>
          <w:u w:val="none"/>
        </w:rPr>
        <w:t xml:space="preserve"> (15,8%)</w:t>
      </w:r>
      <w:r w:rsidRPr="007F50B7">
        <w:rPr>
          <w:sz w:val="28"/>
          <w:szCs w:val="28"/>
          <w:u w:val="none"/>
        </w:rPr>
        <w:t>;</w:t>
      </w:r>
    </w:p>
    <w:p w14:paraId="61227473" w14:textId="77777777" w:rsidR="00C92470" w:rsidRPr="007F50B7" w:rsidRDefault="00C92470" w:rsidP="00202A0D">
      <w:pPr>
        <w:pStyle w:val="Style5"/>
        <w:shd w:val="clear" w:color="auto" w:fill="auto"/>
        <w:spacing w:line="312" w:lineRule="auto"/>
        <w:ind w:firstLine="709"/>
        <w:jc w:val="both"/>
        <w:rPr>
          <w:sz w:val="28"/>
          <w:szCs w:val="28"/>
          <w:u w:val="none"/>
        </w:rPr>
      </w:pPr>
      <w:r w:rsidRPr="007F50B7">
        <w:rPr>
          <w:sz w:val="28"/>
          <w:szCs w:val="28"/>
          <w:u w:val="none"/>
        </w:rPr>
        <w:t xml:space="preserve">579 человек </w:t>
      </w:r>
      <w:r w:rsidR="007F50B7" w:rsidRPr="007F50B7">
        <w:rPr>
          <w:sz w:val="28"/>
          <w:szCs w:val="28"/>
          <w:u w:val="none"/>
        </w:rPr>
        <w:t>–</w:t>
      </w:r>
      <w:r w:rsidRPr="007F50B7">
        <w:rPr>
          <w:sz w:val="28"/>
          <w:szCs w:val="28"/>
          <w:u w:val="none"/>
        </w:rPr>
        <w:t xml:space="preserve"> лица с остаточным зрением</w:t>
      </w:r>
      <w:r w:rsidR="007F50B7" w:rsidRPr="007F50B7">
        <w:rPr>
          <w:sz w:val="28"/>
          <w:szCs w:val="28"/>
          <w:u w:val="none"/>
        </w:rPr>
        <w:t xml:space="preserve"> (8,6%)</w:t>
      </w:r>
      <w:r w:rsidRPr="007F50B7">
        <w:rPr>
          <w:sz w:val="28"/>
          <w:szCs w:val="28"/>
          <w:u w:val="none"/>
        </w:rPr>
        <w:t>;</w:t>
      </w:r>
    </w:p>
    <w:p w14:paraId="01DA4E60" w14:textId="77777777" w:rsidR="00C92470" w:rsidRPr="007F50B7" w:rsidRDefault="00C92470" w:rsidP="00202A0D">
      <w:pPr>
        <w:pStyle w:val="Style5"/>
        <w:shd w:val="clear" w:color="auto" w:fill="auto"/>
        <w:spacing w:line="312" w:lineRule="auto"/>
        <w:ind w:firstLine="709"/>
        <w:jc w:val="both"/>
        <w:rPr>
          <w:sz w:val="28"/>
          <w:szCs w:val="28"/>
          <w:u w:val="none"/>
        </w:rPr>
      </w:pPr>
      <w:r w:rsidRPr="007F50B7">
        <w:rPr>
          <w:sz w:val="28"/>
          <w:szCs w:val="28"/>
          <w:u w:val="none"/>
        </w:rPr>
        <w:t xml:space="preserve">74 человека </w:t>
      </w:r>
      <w:r w:rsidR="007F50B7" w:rsidRPr="007F50B7">
        <w:rPr>
          <w:sz w:val="28"/>
          <w:szCs w:val="28"/>
          <w:u w:val="none"/>
        </w:rPr>
        <w:t>–</w:t>
      </w:r>
      <w:r w:rsidRPr="007F50B7">
        <w:rPr>
          <w:sz w:val="28"/>
          <w:szCs w:val="28"/>
          <w:u w:val="none"/>
        </w:rPr>
        <w:t xml:space="preserve"> тотально слепые граждане</w:t>
      </w:r>
      <w:r w:rsidR="007F50B7" w:rsidRPr="007F50B7">
        <w:rPr>
          <w:sz w:val="28"/>
          <w:szCs w:val="28"/>
          <w:u w:val="none"/>
        </w:rPr>
        <w:t xml:space="preserve"> (1,1%)</w:t>
      </w:r>
      <w:r w:rsidRPr="007F50B7">
        <w:rPr>
          <w:sz w:val="28"/>
          <w:szCs w:val="28"/>
          <w:u w:val="none"/>
        </w:rPr>
        <w:t>;</w:t>
      </w:r>
    </w:p>
    <w:p w14:paraId="2EFD7040" w14:textId="77777777" w:rsidR="00C92470" w:rsidRPr="007F50B7" w:rsidRDefault="00C92470" w:rsidP="00202A0D">
      <w:pPr>
        <w:pStyle w:val="Style5"/>
        <w:shd w:val="clear" w:color="auto" w:fill="auto"/>
        <w:spacing w:line="312" w:lineRule="auto"/>
        <w:ind w:firstLine="709"/>
        <w:jc w:val="both"/>
        <w:rPr>
          <w:sz w:val="28"/>
          <w:szCs w:val="28"/>
          <w:u w:val="none"/>
        </w:rPr>
      </w:pPr>
      <w:r w:rsidRPr="007F50B7">
        <w:rPr>
          <w:sz w:val="28"/>
          <w:szCs w:val="28"/>
          <w:u w:val="none"/>
        </w:rPr>
        <w:t xml:space="preserve">117 человек </w:t>
      </w:r>
      <w:r w:rsidR="007F50B7" w:rsidRPr="007F50B7">
        <w:rPr>
          <w:sz w:val="28"/>
          <w:szCs w:val="28"/>
          <w:u w:val="none"/>
        </w:rPr>
        <w:t>–</w:t>
      </w:r>
      <w:r w:rsidRPr="007F50B7">
        <w:rPr>
          <w:sz w:val="28"/>
          <w:szCs w:val="28"/>
          <w:u w:val="none"/>
        </w:rPr>
        <w:t xml:space="preserve"> лица с односторонней или двусторонней ампутацией или иными поражениями верхних конечностей</w:t>
      </w:r>
      <w:r w:rsidR="007F50B7" w:rsidRPr="007F50B7">
        <w:rPr>
          <w:sz w:val="28"/>
          <w:szCs w:val="28"/>
          <w:u w:val="none"/>
        </w:rPr>
        <w:t xml:space="preserve"> (1,7%)</w:t>
      </w:r>
      <w:r w:rsidRPr="007F50B7">
        <w:rPr>
          <w:sz w:val="28"/>
          <w:szCs w:val="28"/>
          <w:u w:val="none"/>
        </w:rPr>
        <w:t>;</w:t>
      </w:r>
    </w:p>
    <w:p w14:paraId="4BC803A5" w14:textId="77777777" w:rsidR="00C92470" w:rsidRPr="007F50B7" w:rsidRDefault="00C92470" w:rsidP="00202A0D">
      <w:pPr>
        <w:pStyle w:val="Style5"/>
        <w:shd w:val="clear" w:color="auto" w:fill="auto"/>
        <w:spacing w:line="312" w:lineRule="auto"/>
        <w:ind w:firstLine="709"/>
        <w:jc w:val="both"/>
        <w:rPr>
          <w:sz w:val="28"/>
          <w:szCs w:val="28"/>
          <w:u w:val="none"/>
        </w:rPr>
      </w:pPr>
      <w:r w:rsidRPr="007F50B7">
        <w:rPr>
          <w:sz w:val="28"/>
          <w:szCs w:val="28"/>
          <w:u w:val="none"/>
        </w:rPr>
        <w:t xml:space="preserve">286 человек </w:t>
      </w:r>
      <w:r w:rsidR="007F50B7" w:rsidRPr="007F50B7">
        <w:rPr>
          <w:sz w:val="28"/>
          <w:szCs w:val="28"/>
          <w:u w:val="none"/>
        </w:rPr>
        <w:t>–</w:t>
      </w:r>
      <w:r w:rsidRPr="007F50B7">
        <w:rPr>
          <w:sz w:val="28"/>
          <w:szCs w:val="28"/>
          <w:u w:val="none"/>
        </w:rPr>
        <w:t xml:space="preserve"> лица с односторонней или двусторонней ампутацией или иными поражениями нижних конечностей</w:t>
      </w:r>
      <w:r w:rsidR="007F50B7" w:rsidRPr="007F50B7">
        <w:rPr>
          <w:sz w:val="28"/>
          <w:szCs w:val="28"/>
          <w:u w:val="none"/>
        </w:rPr>
        <w:t xml:space="preserve"> (4,3%)</w:t>
      </w:r>
      <w:r w:rsidRPr="007F50B7">
        <w:rPr>
          <w:sz w:val="28"/>
          <w:szCs w:val="28"/>
          <w:u w:val="none"/>
        </w:rPr>
        <w:t>;</w:t>
      </w:r>
    </w:p>
    <w:p w14:paraId="5340AADB" w14:textId="77777777" w:rsidR="00C92470" w:rsidRPr="007F50B7" w:rsidRDefault="007F50B7" w:rsidP="007F50B7">
      <w:pPr>
        <w:pStyle w:val="Style5"/>
        <w:shd w:val="clear" w:color="auto" w:fill="auto"/>
        <w:spacing w:line="312" w:lineRule="auto"/>
        <w:ind w:firstLine="709"/>
        <w:jc w:val="both"/>
        <w:rPr>
          <w:sz w:val="28"/>
          <w:szCs w:val="28"/>
          <w:u w:val="none"/>
        </w:rPr>
      </w:pPr>
      <w:r w:rsidRPr="007F50B7">
        <w:rPr>
          <w:sz w:val="28"/>
          <w:szCs w:val="28"/>
          <w:u w:val="none"/>
        </w:rPr>
        <w:t>182 человека</w:t>
      </w:r>
      <w:r w:rsidR="00C92470" w:rsidRPr="007F50B7">
        <w:rPr>
          <w:sz w:val="28"/>
          <w:szCs w:val="28"/>
          <w:u w:val="none"/>
        </w:rPr>
        <w:t xml:space="preserve"> </w:t>
      </w:r>
      <w:r w:rsidRPr="007F50B7">
        <w:rPr>
          <w:sz w:val="28"/>
          <w:szCs w:val="28"/>
          <w:u w:val="none"/>
        </w:rPr>
        <w:t>–</w:t>
      </w:r>
      <w:r w:rsidR="00C92470" w:rsidRPr="007F50B7">
        <w:rPr>
          <w:sz w:val="28"/>
          <w:szCs w:val="28"/>
          <w:u w:val="none"/>
        </w:rPr>
        <w:t xml:space="preserve"> лица с травмами поз</w:t>
      </w:r>
      <w:r w:rsidRPr="007F50B7">
        <w:rPr>
          <w:sz w:val="28"/>
          <w:szCs w:val="28"/>
          <w:u w:val="none"/>
        </w:rPr>
        <w:t xml:space="preserve">воночника и поражением спинного </w:t>
      </w:r>
      <w:r w:rsidR="00C92470" w:rsidRPr="007F50B7">
        <w:rPr>
          <w:sz w:val="28"/>
          <w:szCs w:val="28"/>
          <w:u w:val="none"/>
        </w:rPr>
        <w:t>мозга</w:t>
      </w:r>
      <w:r w:rsidRPr="007F50B7">
        <w:rPr>
          <w:sz w:val="28"/>
          <w:szCs w:val="28"/>
          <w:u w:val="none"/>
        </w:rPr>
        <w:t xml:space="preserve"> (2,7%)</w:t>
      </w:r>
      <w:r w:rsidR="00C92470" w:rsidRPr="007F50B7">
        <w:rPr>
          <w:sz w:val="28"/>
          <w:szCs w:val="28"/>
          <w:u w:val="none"/>
        </w:rPr>
        <w:t>;</w:t>
      </w:r>
    </w:p>
    <w:p w14:paraId="72E76C32" w14:textId="77777777" w:rsidR="00C92470" w:rsidRPr="007F50B7" w:rsidRDefault="00C92470" w:rsidP="00202A0D">
      <w:pPr>
        <w:pStyle w:val="Style5"/>
        <w:shd w:val="clear" w:color="auto" w:fill="auto"/>
        <w:spacing w:line="312" w:lineRule="auto"/>
        <w:ind w:firstLine="709"/>
        <w:jc w:val="both"/>
        <w:rPr>
          <w:sz w:val="28"/>
          <w:szCs w:val="28"/>
          <w:u w:val="none"/>
        </w:rPr>
      </w:pPr>
      <w:r w:rsidRPr="007F50B7">
        <w:rPr>
          <w:sz w:val="28"/>
          <w:szCs w:val="28"/>
          <w:u w:val="none"/>
        </w:rPr>
        <w:t xml:space="preserve">546 человек </w:t>
      </w:r>
      <w:r w:rsidR="007F50B7" w:rsidRPr="007F50B7">
        <w:rPr>
          <w:sz w:val="28"/>
          <w:szCs w:val="28"/>
          <w:u w:val="none"/>
        </w:rPr>
        <w:t>–</w:t>
      </w:r>
      <w:r w:rsidRPr="007F50B7">
        <w:rPr>
          <w:sz w:val="28"/>
          <w:szCs w:val="28"/>
          <w:u w:val="none"/>
        </w:rPr>
        <w:t xml:space="preserve"> лица с церебральным параличом</w:t>
      </w:r>
      <w:r w:rsidR="007F50B7" w:rsidRPr="007F50B7">
        <w:rPr>
          <w:sz w:val="28"/>
          <w:szCs w:val="28"/>
          <w:u w:val="none"/>
        </w:rPr>
        <w:t xml:space="preserve"> (8,1%)</w:t>
      </w:r>
      <w:r w:rsidRPr="007F50B7">
        <w:rPr>
          <w:sz w:val="28"/>
          <w:szCs w:val="28"/>
          <w:u w:val="none"/>
        </w:rPr>
        <w:t>;</w:t>
      </w:r>
    </w:p>
    <w:p w14:paraId="332EB5CC" w14:textId="77777777" w:rsidR="00C92470" w:rsidRPr="007F50B7" w:rsidRDefault="00C92470" w:rsidP="00202A0D">
      <w:pPr>
        <w:pStyle w:val="Style5"/>
        <w:shd w:val="clear" w:color="auto" w:fill="auto"/>
        <w:spacing w:line="312" w:lineRule="auto"/>
        <w:ind w:firstLine="709"/>
        <w:jc w:val="both"/>
        <w:rPr>
          <w:sz w:val="28"/>
          <w:szCs w:val="28"/>
          <w:u w:val="none"/>
        </w:rPr>
      </w:pPr>
      <w:r w:rsidRPr="007F50B7">
        <w:rPr>
          <w:sz w:val="28"/>
          <w:szCs w:val="28"/>
          <w:u w:val="none"/>
        </w:rPr>
        <w:t xml:space="preserve">66 человек </w:t>
      </w:r>
      <w:r w:rsidR="007F50B7" w:rsidRPr="007F50B7">
        <w:rPr>
          <w:sz w:val="28"/>
          <w:szCs w:val="28"/>
          <w:u w:val="none"/>
        </w:rPr>
        <w:t>–</w:t>
      </w:r>
      <w:r w:rsidRPr="007F50B7">
        <w:rPr>
          <w:sz w:val="28"/>
          <w:szCs w:val="28"/>
          <w:u w:val="none"/>
        </w:rPr>
        <w:t xml:space="preserve"> лица с низким ростом</w:t>
      </w:r>
      <w:r w:rsidR="007F50B7" w:rsidRPr="007F50B7">
        <w:rPr>
          <w:sz w:val="28"/>
          <w:szCs w:val="28"/>
          <w:u w:val="none"/>
        </w:rPr>
        <w:t xml:space="preserve"> (0,98%)</w:t>
      </w:r>
      <w:r w:rsidRPr="007F50B7">
        <w:rPr>
          <w:sz w:val="28"/>
          <w:szCs w:val="28"/>
          <w:u w:val="none"/>
        </w:rPr>
        <w:t>.</w:t>
      </w:r>
    </w:p>
    <w:p w14:paraId="220121DC" w14:textId="77777777" w:rsidR="00C92470" w:rsidRPr="00202A0D" w:rsidRDefault="00C92470" w:rsidP="00202A0D">
      <w:pPr>
        <w:pStyle w:val="Style5"/>
        <w:shd w:val="clear" w:color="auto" w:fill="auto"/>
        <w:spacing w:line="312" w:lineRule="auto"/>
        <w:ind w:firstLine="709"/>
        <w:jc w:val="both"/>
        <w:rPr>
          <w:sz w:val="28"/>
          <w:szCs w:val="28"/>
          <w:u w:val="none"/>
        </w:rPr>
      </w:pPr>
      <w:r w:rsidRPr="007F50B7">
        <w:rPr>
          <w:sz w:val="28"/>
          <w:szCs w:val="28"/>
          <w:u w:val="none"/>
        </w:rPr>
        <w:t>Проведение системной физкультурно-спортивной работы с населением позволяет совершенствовать систему физического воспитания среди различных категорий и групп населения, в том числе в сельской местности.</w:t>
      </w:r>
    </w:p>
    <w:p w14:paraId="207CCB17" w14:textId="77777777" w:rsidR="00D03A4F" w:rsidRDefault="00D03A4F" w:rsidP="0030505F">
      <w:pPr>
        <w:spacing w:before="240" w:after="240"/>
        <w:ind w:firstLine="709"/>
        <w:jc w:val="center"/>
        <w:rPr>
          <w:rFonts w:ascii="Times New Roman" w:eastAsia="Times New Roman" w:hAnsi="Times New Roman" w:cs="Times New Roman"/>
          <w:b/>
          <w:sz w:val="28"/>
          <w:szCs w:val="28"/>
          <w:lang w:eastAsia="ru-RU"/>
        </w:rPr>
      </w:pPr>
      <w:r w:rsidRPr="00C032AB">
        <w:rPr>
          <w:rFonts w:ascii="Times New Roman" w:eastAsia="Times New Roman" w:hAnsi="Times New Roman" w:cs="Times New Roman"/>
          <w:b/>
          <w:sz w:val="28"/>
          <w:szCs w:val="28"/>
          <w:lang w:eastAsia="ru-RU"/>
        </w:rPr>
        <w:t>Организация отдыха и оздоровления детей</w:t>
      </w:r>
    </w:p>
    <w:p w14:paraId="6E8806D9" w14:textId="77777777" w:rsidR="00E94206" w:rsidRPr="00E94206" w:rsidRDefault="007F50B7" w:rsidP="00E94206">
      <w:pPr>
        <w:widowControl w:val="0"/>
        <w:suppressAutoHyphens/>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E94206" w:rsidRPr="00E94206">
        <w:rPr>
          <w:rFonts w:ascii="Times New Roman" w:eastAsia="Calibri" w:hAnsi="Times New Roman" w:cs="Times New Roman"/>
          <w:sz w:val="28"/>
          <w:szCs w:val="28"/>
        </w:rPr>
        <w:t xml:space="preserve"> 2021 г</w:t>
      </w:r>
      <w:r w:rsidR="00C47389">
        <w:rPr>
          <w:rFonts w:ascii="Times New Roman" w:eastAsia="Calibri" w:hAnsi="Times New Roman" w:cs="Times New Roman"/>
          <w:sz w:val="28"/>
          <w:szCs w:val="28"/>
        </w:rPr>
        <w:t>.</w:t>
      </w:r>
      <w:r w:rsidR="00E94206" w:rsidRPr="00E94206">
        <w:rPr>
          <w:rFonts w:ascii="Times New Roman" w:eastAsia="Calibri" w:hAnsi="Times New Roman" w:cs="Times New Roman"/>
          <w:sz w:val="28"/>
          <w:szCs w:val="28"/>
        </w:rPr>
        <w:t xml:space="preserve"> подготовка к летней оздоровительной кампании началась своевременно, были выработаны оперативные межведомственные решения, приняты и направлены в субъекты Российской Федерации соответствующие методические рекомендации.</w:t>
      </w:r>
    </w:p>
    <w:p w14:paraId="737B9656" w14:textId="77777777" w:rsidR="00E94206" w:rsidRPr="00E94206" w:rsidRDefault="00E94206" w:rsidP="00E94206">
      <w:pPr>
        <w:widowControl w:val="0"/>
        <w:suppressAutoHyphens/>
        <w:spacing w:after="0" w:line="312" w:lineRule="auto"/>
        <w:ind w:firstLine="709"/>
        <w:contextualSpacing/>
        <w:jc w:val="both"/>
        <w:rPr>
          <w:rFonts w:ascii="Times New Roman" w:eastAsia="Calibri" w:hAnsi="Times New Roman" w:cs="Times New Roman"/>
          <w:sz w:val="28"/>
          <w:szCs w:val="28"/>
        </w:rPr>
      </w:pPr>
      <w:r w:rsidRPr="00E94206">
        <w:rPr>
          <w:rFonts w:ascii="Times New Roman" w:eastAsia="Calibri" w:hAnsi="Times New Roman" w:cs="Times New Roman"/>
          <w:sz w:val="28"/>
          <w:szCs w:val="28"/>
        </w:rPr>
        <w:t>В целях обеспечения безопасного отдыха и оздоровления детей Роспотребнадзором разработаны методические рекомендации, утвержденные Главным государственным санитарн</w:t>
      </w:r>
      <w:r w:rsidR="007F50B7">
        <w:rPr>
          <w:rFonts w:ascii="Times New Roman" w:eastAsia="Calibri" w:hAnsi="Times New Roman" w:cs="Times New Roman"/>
          <w:sz w:val="28"/>
          <w:szCs w:val="28"/>
        </w:rPr>
        <w:t xml:space="preserve">ым врачом Российской Федерации </w:t>
      </w:r>
      <w:r w:rsidRPr="00E94206">
        <w:rPr>
          <w:rFonts w:ascii="Times New Roman" w:eastAsia="Calibri" w:hAnsi="Times New Roman" w:cs="Times New Roman"/>
          <w:sz w:val="28"/>
          <w:szCs w:val="28"/>
        </w:rPr>
        <w:t xml:space="preserve">от 29 марта 2021 г. № МР 3.1/2.4.0239-21, по организации работы организаций отдыха детей и их оздоровления в условиях сохранения рисков распространения COVID-19 </w:t>
      </w:r>
      <w:r w:rsidR="00C47389">
        <w:rPr>
          <w:rFonts w:ascii="Times New Roman" w:eastAsia="Calibri" w:hAnsi="Times New Roman" w:cs="Times New Roman"/>
          <w:sz w:val="28"/>
          <w:szCs w:val="28"/>
        </w:rPr>
        <w:br/>
      </w:r>
      <w:r w:rsidRPr="00E94206">
        <w:rPr>
          <w:rFonts w:ascii="Times New Roman" w:eastAsia="Calibri" w:hAnsi="Times New Roman" w:cs="Times New Roman"/>
          <w:sz w:val="28"/>
          <w:szCs w:val="28"/>
        </w:rPr>
        <w:t>в 2021 г.</w:t>
      </w:r>
    </w:p>
    <w:p w14:paraId="67434379" w14:textId="77777777" w:rsidR="00E94206" w:rsidRPr="00E94206" w:rsidRDefault="00E94206" w:rsidP="00E94206">
      <w:pPr>
        <w:widowControl w:val="0"/>
        <w:suppressAutoHyphens/>
        <w:spacing w:after="0" w:line="312" w:lineRule="auto"/>
        <w:ind w:firstLine="709"/>
        <w:contextualSpacing/>
        <w:jc w:val="both"/>
        <w:rPr>
          <w:rFonts w:ascii="Times New Roman" w:eastAsia="Calibri" w:hAnsi="Times New Roman" w:cs="Times New Roman"/>
          <w:sz w:val="28"/>
          <w:szCs w:val="28"/>
        </w:rPr>
      </w:pPr>
      <w:r w:rsidRPr="00E94206">
        <w:rPr>
          <w:rFonts w:ascii="Times New Roman" w:eastAsia="Calibri" w:hAnsi="Times New Roman" w:cs="Times New Roman"/>
          <w:sz w:val="28"/>
          <w:szCs w:val="28"/>
        </w:rPr>
        <w:t>В соответствии с решениями Рос</w:t>
      </w:r>
      <w:r w:rsidR="007F50B7">
        <w:rPr>
          <w:rFonts w:ascii="Times New Roman" w:eastAsia="Calibri" w:hAnsi="Times New Roman" w:cs="Times New Roman"/>
          <w:sz w:val="28"/>
          <w:szCs w:val="28"/>
        </w:rPr>
        <w:t xml:space="preserve">сийской Трехсторонней Комиссии </w:t>
      </w:r>
      <w:r w:rsidRPr="00E94206">
        <w:rPr>
          <w:rFonts w:ascii="Times New Roman" w:eastAsia="Calibri" w:hAnsi="Times New Roman" w:cs="Times New Roman"/>
          <w:sz w:val="28"/>
          <w:szCs w:val="28"/>
        </w:rPr>
        <w:t>по регулированию социально-трудовых отношений Минпросвещения России подготовлены и направлены в субъекты Российской Федерации методические рекомендации по организации оздоровительной кампании 2021 г.</w:t>
      </w:r>
    </w:p>
    <w:p w14:paraId="1A8057E5" w14:textId="77777777" w:rsidR="00E94206" w:rsidRPr="00E94206" w:rsidRDefault="00E94206" w:rsidP="00E94206">
      <w:pPr>
        <w:widowControl w:val="0"/>
        <w:suppressAutoHyphens/>
        <w:spacing w:after="0" w:line="312" w:lineRule="auto"/>
        <w:ind w:firstLine="709"/>
        <w:contextualSpacing/>
        <w:jc w:val="both"/>
        <w:rPr>
          <w:rFonts w:ascii="Times New Roman" w:eastAsia="Calibri" w:hAnsi="Times New Roman" w:cs="Times New Roman"/>
          <w:sz w:val="28"/>
          <w:szCs w:val="28"/>
        </w:rPr>
      </w:pPr>
      <w:r w:rsidRPr="00E94206">
        <w:rPr>
          <w:rFonts w:ascii="Times New Roman" w:eastAsia="Calibri" w:hAnsi="Times New Roman" w:cs="Times New Roman"/>
          <w:sz w:val="28"/>
          <w:szCs w:val="28"/>
        </w:rPr>
        <w:t>Постановлением Правительства Российской Федерации от 14 мая 2021 г. № 732 утверждены требования к антитеррористической защищенности объектов (территорий), предназначенных для организации о</w:t>
      </w:r>
      <w:r w:rsidR="00F46507">
        <w:rPr>
          <w:rFonts w:ascii="Times New Roman" w:eastAsia="Calibri" w:hAnsi="Times New Roman" w:cs="Times New Roman"/>
          <w:sz w:val="28"/>
          <w:szCs w:val="28"/>
        </w:rPr>
        <w:t xml:space="preserve">тдыха детей и их оздоровления, </w:t>
      </w:r>
      <w:r w:rsidRPr="00E94206">
        <w:rPr>
          <w:rFonts w:ascii="Times New Roman" w:eastAsia="Calibri" w:hAnsi="Times New Roman" w:cs="Times New Roman"/>
          <w:sz w:val="28"/>
          <w:szCs w:val="28"/>
        </w:rPr>
        <w:t>и формы паспорта безопасности объектов (территорий) стационарного типа, предназначенных для организации отдыха детей и их оздоровления.</w:t>
      </w:r>
    </w:p>
    <w:p w14:paraId="48B8A4FD" w14:textId="77777777" w:rsidR="00354633" w:rsidRPr="00E94206" w:rsidRDefault="00E94206" w:rsidP="00354633">
      <w:pPr>
        <w:widowControl w:val="0"/>
        <w:suppressAutoHyphens/>
        <w:spacing w:after="0" w:line="312" w:lineRule="auto"/>
        <w:ind w:firstLine="709"/>
        <w:contextualSpacing/>
        <w:jc w:val="both"/>
        <w:rPr>
          <w:rFonts w:ascii="Times New Roman" w:eastAsia="Calibri" w:hAnsi="Times New Roman" w:cs="Times New Roman"/>
          <w:sz w:val="28"/>
          <w:szCs w:val="28"/>
        </w:rPr>
      </w:pPr>
      <w:r w:rsidRPr="00E94206">
        <w:rPr>
          <w:rFonts w:ascii="Times New Roman" w:eastAsia="Calibri" w:hAnsi="Times New Roman" w:cs="Times New Roman"/>
          <w:sz w:val="28"/>
          <w:szCs w:val="28"/>
        </w:rPr>
        <w:t>В период проведения летней оздоровительной кампании Минпросвещения России совместно с федеральными органами исполнительной власти и субъектами Российской Федерации в соответствии с у</w:t>
      </w:r>
      <w:r w:rsidR="00F46507">
        <w:rPr>
          <w:rFonts w:ascii="Times New Roman" w:eastAsia="Calibri" w:hAnsi="Times New Roman" w:cs="Times New Roman"/>
          <w:sz w:val="28"/>
          <w:szCs w:val="28"/>
        </w:rPr>
        <w:t xml:space="preserve">твержденной формой «Мониторинг </w:t>
      </w:r>
      <w:r w:rsidRPr="00E94206">
        <w:rPr>
          <w:rFonts w:ascii="Times New Roman" w:eastAsia="Calibri" w:hAnsi="Times New Roman" w:cs="Times New Roman"/>
          <w:sz w:val="28"/>
          <w:szCs w:val="28"/>
        </w:rPr>
        <w:t>хода оздоровительной кампании в 2021 г</w:t>
      </w:r>
      <w:r w:rsidR="007733C4">
        <w:rPr>
          <w:rFonts w:ascii="Times New Roman" w:eastAsia="Calibri" w:hAnsi="Times New Roman" w:cs="Times New Roman"/>
          <w:sz w:val="28"/>
          <w:szCs w:val="28"/>
        </w:rPr>
        <w:t>.</w:t>
      </w:r>
      <w:r w:rsidR="00F46507">
        <w:rPr>
          <w:rFonts w:ascii="Times New Roman" w:eastAsia="Calibri" w:hAnsi="Times New Roman" w:cs="Times New Roman"/>
          <w:sz w:val="28"/>
          <w:szCs w:val="28"/>
        </w:rPr>
        <w:t xml:space="preserve">» от 2 июня 2021 г. № 5384п-П8 </w:t>
      </w:r>
      <w:r w:rsidRPr="00E94206">
        <w:rPr>
          <w:rFonts w:ascii="Times New Roman" w:eastAsia="Calibri" w:hAnsi="Times New Roman" w:cs="Times New Roman"/>
          <w:sz w:val="28"/>
          <w:szCs w:val="28"/>
        </w:rPr>
        <w:t>и поручением Правительства Российской Федерации от</w:t>
      </w:r>
      <w:r w:rsidR="007733C4">
        <w:rPr>
          <w:rFonts w:ascii="Times New Roman" w:eastAsia="Calibri" w:hAnsi="Times New Roman" w:cs="Times New Roman"/>
          <w:sz w:val="28"/>
          <w:szCs w:val="28"/>
        </w:rPr>
        <w:t xml:space="preserve"> 26 апреля 2021 г. </w:t>
      </w:r>
      <w:r w:rsidRPr="00E94206">
        <w:rPr>
          <w:rFonts w:ascii="Times New Roman" w:eastAsia="Calibri" w:hAnsi="Times New Roman" w:cs="Times New Roman"/>
          <w:sz w:val="28"/>
          <w:szCs w:val="28"/>
        </w:rPr>
        <w:t>№ ТГ-П8-29пр на ежемесячной основе осуществляло соответствующий мониторинг.</w:t>
      </w:r>
    </w:p>
    <w:p w14:paraId="6E9E4B9C" w14:textId="77777777" w:rsidR="00E94206" w:rsidRPr="00E94206" w:rsidRDefault="00E94206" w:rsidP="00E94206">
      <w:pPr>
        <w:widowControl w:val="0"/>
        <w:suppressAutoHyphens/>
        <w:spacing w:after="0" w:line="312" w:lineRule="auto"/>
        <w:ind w:firstLine="709"/>
        <w:contextualSpacing/>
        <w:jc w:val="both"/>
        <w:rPr>
          <w:rFonts w:ascii="Times New Roman" w:eastAsia="Calibri" w:hAnsi="Times New Roman" w:cs="Times New Roman"/>
          <w:sz w:val="28"/>
          <w:szCs w:val="28"/>
        </w:rPr>
      </w:pPr>
      <w:r w:rsidRPr="00E94206">
        <w:rPr>
          <w:rFonts w:ascii="Times New Roman" w:eastAsia="Calibri" w:hAnsi="Times New Roman" w:cs="Times New Roman"/>
          <w:sz w:val="28"/>
          <w:szCs w:val="28"/>
        </w:rPr>
        <w:t>По информации субъектов Российской Федерации</w:t>
      </w:r>
      <w:r w:rsidR="00832765">
        <w:rPr>
          <w:rFonts w:ascii="Times New Roman" w:eastAsia="Calibri" w:hAnsi="Times New Roman" w:cs="Times New Roman"/>
          <w:sz w:val="28"/>
          <w:szCs w:val="28"/>
        </w:rPr>
        <w:t>,</w:t>
      </w:r>
      <w:r w:rsidRPr="00E94206">
        <w:rPr>
          <w:rFonts w:ascii="Times New Roman" w:eastAsia="Calibri" w:hAnsi="Times New Roman" w:cs="Times New Roman"/>
          <w:sz w:val="28"/>
          <w:szCs w:val="28"/>
        </w:rPr>
        <w:t xml:space="preserve"> в указанный период деятельность осуществляли 38 520 организаций отдыха детей и их оздоровления </w:t>
      </w:r>
      <w:r w:rsidRPr="00E94206">
        <w:rPr>
          <w:rFonts w:ascii="Times New Roman" w:eastAsia="Calibri" w:hAnsi="Times New Roman" w:cs="Times New Roman"/>
          <w:sz w:val="28"/>
          <w:szCs w:val="28"/>
        </w:rPr>
        <w:br/>
        <w:t>(за аналогичный период 2020 г</w:t>
      </w:r>
      <w:r w:rsidR="002E472B">
        <w:rPr>
          <w:rFonts w:ascii="Times New Roman" w:eastAsia="Calibri" w:hAnsi="Times New Roman" w:cs="Times New Roman"/>
          <w:sz w:val="28"/>
          <w:szCs w:val="28"/>
        </w:rPr>
        <w:t>.</w:t>
      </w:r>
      <w:r w:rsidRPr="00E94206">
        <w:rPr>
          <w:rFonts w:ascii="Times New Roman" w:eastAsia="Calibri" w:hAnsi="Times New Roman" w:cs="Times New Roman"/>
          <w:sz w:val="28"/>
          <w:szCs w:val="28"/>
        </w:rPr>
        <w:t xml:space="preserve"> – 9 137 орг</w:t>
      </w:r>
      <w:r w:rsidR="002E472B">
        <w:rPr>
          <w:rFonts w:ascii="Times New Roman" w:eastAsia="Calibri" w:hAnsi="Times New Roman" w:cs="Times New Roman"/>
          <w:sz w:val="28"/>
          <w:szCs w:val="28"/>
        </w:rPr>
        <w:t>анизаций; за аналогичный период</w:t>
      </w:r>
      <w:r w:rsidRPr="00E94206">
        <w:rPr>
          <w:rFonts w:ascii="Times New Roman" w:eastAsia="Calibri" w:hAnsi="Times New Roman" w:cs="Times New Roman"/>
          <w:sz w:val="28"/>
          <w:szCs w:val="28"/>
        </w:rPr>
        <w:t xml:space="preserve"> </w:t>
      </w:r>
      <w:r w:rsidR="002E472B">
        <w:rPr>
          <w:rFonts w:ascii="Times New Roman" w:eastAsia="Calibri" w:hAnsi="Times New Roman" w:cs="Times New Roman"/>
          <w:sz w:val="28"/>
          <w:szCs w:val="28"/>
        </w:rPr>
        <w:br/>
      </w:r>
      <w:r w:rsidRPr="00E94206">
        <w:rPr>
          <w:rFonts w:ascii="Times New Roman" w:eastAsia="Calibri" w:hAnsi="Times New Roman" w:cs="Times New Roman"/>
          <w:sz w:val="28"/>
          <w:szCs w:val="28"/>
        </w:rPr>
        <w:t>2019 г</w:t>
      </w:r>
      <w:r w:rsidR="002E472B">
        <w:rPr>
          <w:rFonts w:ascii="Times New Roman" w:eastAsia="Calibri" w:hAnsi="Times New Roman" w:cs="Times New Roman"/>
          <w:sz w:val="28"/>
          <w:szCs w:val="28"/>
        </w:rPr>
        <w:t>.</w:t>
      </w:r>
      <w:r w:rsidRPr="00E94206">
        <w:rPr>
          <w:rFonts w:ascii="Times New Roman" w:eastAsia="Calibri" w:hAnsi="Times New Roman" w:cs="Times New Roman"/>
          <w:sz w:val="28"/>
          <w:szCs w:val="28"/>
        </w:rPr>
        <w:t xml:space="preserve"> – 44 572 организации), в том числе 2 053 стационарны</w:t>
      </w:r>
      <w:r w:rsidR="00C032AB">
        <w:rPr>
          <w:rFonts w:ascii="Times New Roman" w:eastAsia="Calibri" w:hAnsi="Times New Roman" w:cs="Times New Roman"/>
          <w:sz w:val="28"/>
          <w:szCs w:val="28"/>
        </w:rPr>
        <w:t>х</w:t>
      </w:r>
      <w:r w:rsidRPr="00E94206">
        <w:rPr>
          <w:rFonts w:ascii="Times New Roman" w:eastAsia="Calibri" w:hAnsi="Times New Roman" w:cs="Times New Roman"/>
          <w:sz w:val="28"/>
          <w:szCs w:val="28"/>
        </w:rPr>
        <w:t xml:space="preserve"> организации отдыха </w:t>
      </w:r>
      <w:r w:rsidR="00C032AB">
        <w:rPr>
          <w:rFonts w:ascii="Times New Roman" w:eastAsia="Calibri" w:hAnsi="Times New Roman" w:cs="Times New Roman"/>
          <w:sz w:val="28"/>
          <w:szCs w:val="28"/>
        </w:rPr>
        <w:t>детей и их оздоровления</w:t>
      </w:r>
      <w:r w:rsidR="00F2711D">
        <w:rPr>
          <w:rFonts w:ascii="Times New Roman" w:eastAsia="Calibri" w:hAnsi="Times New Roman" w:cs="Times New Roman"/>
          <w:sz w:val="28"/>
          <w:szCs w:val="28"/>
        </w:rPr>
        <w:t>,</w:t>
      </w:r>
      <w:r w:rsidR="00C032AB">
        <w:rPr>
          <w:rFonts w:ascii="Times New Roman" w:eastAsia="Calibri" w:hAnsi="Times New Roman" w:cs="Times New Roman"/>
          <w:sz w:val="28"/>
          <w:szCs w:val="28"/>
        </w:rPr>
        <w:t xml:space="preserve"> 31 379</w:t>
      </w:r>
      <w:r w:rsidRPr="00E94206">
        <w:rPr>
          <w:rFonts w:ascii="Times New Roman" w:eastAsia="Calibri" w:hAnsi="Times New Roman" w:cs="Times New Roman"/>
          <w:sz w:val="28"/>
          <w:szCs w:val="28"/>
        </w:rPr>
        <w:t xml:space="preserve"> лагер</w:t>
      </w:r>
      <w:r w:rsidR="00C032AB">
        <w:rPr>
          <w:rFonts w:ascii="Times New Roman" w:eastAsia="Calibri" w:hAnsi="Times New Roman" w:cs="Times New Roman"/>
          <w:sz w:val="28"/>
          <w:szCs w:val="28"/>
        </w:rPr>
        <w:t>ей с дневным пребыванием</w:t>
      </w:r>
      <w:r w:rsidR="00F2711D">
        <w:rPr>
          <w:rFonts w:ascii="Times New Roman" w:eastAsia="Calibri" w:hAnsi="Times New Roman" w:cs="Times New Roman"/>
          <w:sz w:val="28"/>
          <w:szCs w:val="28"/>
        </w:rPr>
        <w:t>,</w:t>
      </w:r>
      <w:r w:rsidR="00C032AB">
        <w:rPr>
          <w:rFonts w:ascii="Times New Roman" w:eastAsia="Calibri" w:hAnsi="Times New Roman" w:cs="Times New Roman"/>
          <w:sz w:val="28"/>
          <w:szCs w:val="28"/>
        </w:rPr>
        <w:t xml:space="preserve"> </w:t>
      </w:r>
      <w:r w:rsidR="00C032AB">
        <w:rPr>
          <w:rFonts w:ascii="Times New Roman" w:eastAsia="Calibri" w:hAnsi="Times New Roman" w:cs="Times New Roman"/>
          <w:sz w:val="28"/>
          <w:szCs w:val="28"/>
        </w:rPr>
        <w:br/>
        <w:t>3 552</w:t>
      </w:r>
      <w:r w:rsidR="00F2711D">
        <w:rPr>
          <w:rFonts w:ascii="Times New Roman" w:eastAsia="Calibri" w:hAnsi="Times New Roman" w:cs="Times New Roman"/>
          <w:sz w:val="28"/>
          <w:szCs w:val="28"/>
        </w:rPr>
        <w:t xml:space="preserve"> детских лагеря труда и отдыха,</w:t>
      </w:r>
      <w:r w:rsidRPr="00E94206">
        <w:rPr>
          <w:rFonts w:ascii="Times New Roman" w:eastAsia="Calibri" w:hAnsi="Times New Roman" w:cs="Times New Roman"/>
          <w:sz w:val="28"/>
          <w:szCs w:val="28"/>
        </w:rPr>
        <w:t xml:space="preserve"> 204 детских</w:t>
      </w:r>
      <w:r w:rsidR="00F2711D">
        <w:rPr>
          <w:rFonts w:ascii="Times New Roman" w:eastAsia="Calibri" w:hAnsi="Times New Roman" w:cs="Times New Roman"/>
          <w:sz w:val="28"/>
          <w:szCs w:val="28"/>
        </w:rPr>
        <w:t xml:space="preserve"> лагеря палаточного типа,</w:t>
      </w:r>
      <w:r w:rsidR="00C032AB">
        <w:rPr>
          <w:rFonts w:ascii="Times New Roman" w:eastAsia="Calibri" w:hAnsi="Times New Roman" w:cs="Times New Roman"/>
          <w:sz w:val="28"/>
          <w:szCs w:val="28"/>
        </w:rPr>
        <w:t xml:space="preserve"> </w:t>
      </w:r>
      <w:r w:rsidR="00C032AB">
        <w:rPr>
          <w:rFonts w:ascii="Times New Roman" w:eastAsia="Calibri" w:hAnsi="Times New Roman" w:cs="Times New Roman"/>
          <w:sz w:val="28"/>
          <w:szCs w:val="28"/>
        </w:rPr>
        <w:br/>
        <w:t>1 092</w:t>
      </w:r>
      <w:r w:rsidRPr="00E94206">
        <w:rPr>
          <w:rFonts w:ascii="Times New Roman" w:eastAsia="Calibri" w:hAnsi="Times New Roman" w:cs="Times New Roman"/>
          <w:sz w:val="28"/>
          <w:szCs w:val="28"/>
        </w:rPr>
        <w:t xml:space="preserve"> детских специализированных (профильных) лагеря и детских лагерей различной тематической направленности</w:t>
      </w:r>
      <w:r w:rsidR="00F2711D">
        <w:rPr>
          <w:rFonts w:ascii="Times New Roman" w:eastAsia="Calibri" w:hAnsi="Times New Roman" w:cs="Times New Roman"/>
          <w:sz w:val="28"/>
          <w:szCs w:val="28"/>
        </w:rPr>
        <w:t>,</w:t>
      </w:r>
      <w:r w:rsidRPr="00E94206">
        <w:rPr>
          <w:rFonts w:ascii="Times New Roman" w:eastAsia="Calibri" w:hAnsi="Times New Roman" w:cs="Times New Roman"/>
          <w:sz w:val="28"/>
          <w:szCs w:val="28"/>
        </w:rPr>
        <w:t xml:space="preserve"> 240 санаторных оздоровительных лагерей круглогодичного действия.</w:t>
      </w:r>
    </w:p>
    <w:p w14:paraId="49C7875F" w14:textId="77777777" w:rsidR="00E94206" w:rsidRPr="00E94206" w:rsidRDefault="00E94206" w:rsidP="00F2711D">
      <w:pPr>
        <w:widowControl w:val="0"/>
        <w:suppressAutoHyphens/>
        <w:spacing w:after="0" w:line="312" w:lineRule="auto"/>
        <w:ind w:firstLine="709"/>
        <w:contextualSpacing/>
        <w:jc w:val="both"/>
        <w:rPr>
          <w:rFonts w:ascii="Times New Roman" w:eastAsia="Calibri" w:hAnsi="Times New Roman" w:cs="Times New Roman"/>
          <w:sz w:val="28"/>
          <w:szCs w:val="28"/>
        </w:rPr>
      </w:pPr>
      <w:r w:rsidRPr="00E94206">
        <w:rPr>
          <w:rFonts w:ascii="Times New Roman" w:eastAsia="Calibri" w:hAnsi="Times New Roman" w:cs="Times New Roman"/>
          <w:sz w:val="28"/>
          <w:szCs w:val="28"/>
        </w:rPr>
        <w:t>Охвачено организованными формами отдыха и оздоровления 4 680 557 детей (</w:t>
      </w:r>
      <w:r w:rsidR="00F2711D">
        <w:rPr>
          <w:rFonts w:ascii="Times New Roman" w:eastAsia="Calibri" w:hAnsi="Times New Roman" w:cs="Times New Roman"/>
          <w:sz w:val="28"/>
          <w:szCs w:val="28"/>
        </w:rPr>
        <w:t xml:space="preserve">за аналогичный период </w:t>
      </w:r>
      <w:r w:rsidR="00F2711D" w:rsidRPr="00E94206">
        <w:rPr>
          <w:rFonts w:ascii="Times New Roman" w:eastAsia="Calibri" w:hAnsi="Times New Roman" w:cs="Times New Roman"/>
          <w:sz w:val="28"/>
          <w:szCs w:val="28"/>
        </w:rPr>
        <w:t>2020 г</w:t>
      </w:r>
      <w:r w:rsidR="0033119C">
        <w:rPr>
          <w:rFonts w:ascii="Times New Roman" w:eastAsia="Calibri" w:hAnsi="Times New Roman" w:cs="Times New Roman"/>
          <w:sz w:val="28"/>
          <w:szCs w:val="28"/>
        </w:rPr>
        <w:t>.</w:t>
      </w:r>
      <w:r w:rsidR="00F2711D" w:rsidRPr="00E94206">
        <w:rPr>
          <w:rFonts w:ascii="Times New Roman" w:eastAsia="Calibri" w:hAnsi="Times New Roman" w:cs="Times New Roman"/>
          <w:sz w:val="28"/>
          <w:szCs w:val="28"/>
        </w:rPr>
        <w:t xml:space="preserve"> – 891 573 ребенка</w:t>
      </w:r>
      <w:r w:rsidR="00F2711D">
        <w:rPr>
          <w:rFonts w:ascii="Times New Roman" w:eastAsia="Calibri" w:hAnsi="Times New Roman" w:cs="Times New Roman"/>
          <w:sz w:val="28"/>
          <w:szCs w:val="28"/>
        </w:rPr>
        <w:t>;</w:t>
      </w:r>
      <w:r w:rsidR="00F2711D" w:rsidRPr="00E94206">
        <w:rPr>
          <w:rFonts w:ascii="Times New Roman" w:eastAsia="Calibri" w:hAnsi="Times New Roman" w:cs="Times New Roman"/>
          <w:sz w:val="28"/>
          <w:szCs w:val="28"/>
        </w:rPr>
        <w:t xml:space="preserve"> </w:t>
      </w:r>
      <w:r w:rsidRPr="00E94206">
        <w:rPr>
          <w:rFonts w:ascii="Times New Roman" w:eastAsia="Calibri" w:hAnsi="Times New Roman" w:cs="Times New Roman"/>
          <w:sz w:val="28"/>
          <w:szCs w:val="28"/>
        </w:rPr>
        <w:t>за аналогичный пер</w:t>
      </w:r>
      <w:r w:rsidR="00F2711D">
        <w:rPr>
          <w:rFonts w:ascii="Times New Roman" w:eastAsia="Calibri" w:hAnsi="Times New Roman" w:cs="Times New Roman"/>
          <w:sz w:val="28"/>
          <w:szCs w:val="28"/>
        </w:rPr>
        <w:t>иод 2019 г</w:t>
      </w:r>
      <w:r w:rsidR="0033119C">
        <w:rPr>
          <w:rFonts w:ascii="Times New Roman" w:eastAsia="Calibri" w:hAnsi="Times New Roman" w:cs="Times New Roman"/>
          <w:sz w:val="28"/>
          <w:szCs w:val="28"/>
        </w:rPr>
        <w:t>.</w:t>
      </w:r>
      <w:r w:rsidR="00F2711D">
        <w:rPr>
          <w:rFonts w:ascii="Times New Roman" w:eastAsia="Calibri" w:hAnsi="Times New Roman" w:cs="Times New Roman"/>
          <w:sz w:val="28"/>
          <w:szCs w:val="28"/>
        </w:rPr>
        <w:t xml:space="preserve"> – 5 690 426 детей</w:t>
      </w:r>
      <w:r w:rsidRPr="00E94206">
        <w:rPr>
          <w:rFonts w:ascii="Times New Roman" w:eastAsia="Calibri" w:hAnsi="Times New Roman" w:cs="Times New Roman"/>
          <w:sz w:val="28"/>
          <w:szCs w:val="28"/>
        </w:rPr>
        <w:t>), в том числе 1 638 905 человек – в стационарных организациях отдыха детей и их оздоровления</w:t>
      </w:r>
      <w:r w:rsidR="00F2711D">
        <w:rPr>
          <w:rFonts w:ascii="Times New Roman" w:eastAsia="Calibri" w:hAnsi="Times New Roman" w:cs="Times New Roman"/>
          <w:sz w:val="28"/>
          <w:szCs w:val="28"/>
        </w:rPr>
        <w:t>,</w:t>
      </w:r>
      <w:r w:rsidR="000D79C3">
        <w:rPr>
          <w:rFonts w:ascii="Times New Roman" w:eastAsia="Calibri" w:hAnsi="Times New Roman" w:cs="Times New Roman"/>
          <w:sz w:val="28"/>
          <w:szCs w:val="28"/>
        </w:rPr>
        <w:t xml:space="preserve"> 2 577 106 человек – в лагерях </w:t>
      </w:r>
      <w:r w:rsidRPr="00E94206">
        <w:rPr>
          <w:rFonts w:ascii="Times New Roman" w:eastAsia="Calibri" w:hAnsi="Times New Roman" w:cs="Times New Roman"/>
          <w:sz w:val="28"/>
          <w:szCs w:val="28"/>
        </w:rPr>
        <w:t>с дневным пребыванием</w:t>
      </w:r>
      <w:r w:rsidR="00F2711D">
        <w:rPr>
          <w:rFonts w:ascii="Times New Roman" w:eastAsia="Calibri" w:hAnsi="Times New Roman" w:cs="Times New Roman"/>
          <w:sz w:val="28"/>
          <w:szCs w:val="28"/>
        </w:rPr>
        <w:t>,</w:t>
      </w:r>
      <w:r w:rsidRPr="00E94206">
        <w:rPr>
          <w:rFonts w:ascii="Times New Roman" w:eastAsia="Calibri" w:hAnsi="Times New Roman" w:cs="Times New Roman"/>
          <w:sz w:val="28"/>
          <w:szCs w:val="28"/>
        </w:rPr>
        <w:t xml:space="preserve"> 116 406 человек – в детских лагерях труда и отдыха</w:t>
      </w:r>
      <w:r w:rsidR="00F2711D">
        <w:rPr>
          <w:rFonts w:ascii="Times New Roman" w:eastAsia="Calibri" w:hAnsi="Times New Roman" w:cs="Times New Roman"/>
          <w:sz w:val="28"/>
          <w:szCs w:val="28"/>
        </w:rPr>
        <w:t>,</w:t>
      </w:r>
      <w:r w:rsidRPr="00E94206">
        <w:rPr>
          <w:rFonts w:ascii="Times New Roman" w:eastAsia="Calibri" w:hAnsi="Times New Roman" w:cs="Times New Roman"/>
          <w:sz w:val="28"/>
          <w:szCs w:val="28"/>
        </w:rPr>
        <w:t xml:space="preserve"> 40 677 человек – в детских лагерях палаточного типа</w:t>
      </w:r>
      <w:r w:rsidR="00F2711D">
        <w:rPr>
          <w:rFonts w:ascii="Times New Roman" w:eastAsia="Calibri" w:hAnsi="Times New Roman" w:cs="Times New Roman"/>
          <w:sz w:val="28"/>
          <w:szCs w:val="28"/>
        </w:rPr>
        <w:t>,</w:t>
      </w:r>
      <w:r w:rsidRPr="00E94206">
        <w:rPr>
          <w:rFonts w:ascii="Times New Roman" w:eastAsia="Calibri" w:hAnsi="Times New Roman" w:cs="Times New Roman"/>
          <w:sz w:val="28"/>
          <w:szCs w:val="28"/>
        </w:rPr>
        <w:t xml:space="preserve"> 102 308 человек – в детских специализированных (профильных) лагерях и детских лагерях различной тематической направленности</w:t>
      </w:r>
      <w:r w:rsidR="00F2711D">
        <w:rPr>
          <w:rFonts w:ascii="Times New Roman" w:eastAsia="Calibri" w:hAnsi="Times New Roman" w:cs="Times New Roman"/>
          <w:sz w:val="28"/>
          <w:szCs w:val="28"/>
        </w:rPr>
        <w:t>,</w:t>
      </w:r>
      <w:r w:rsidRPr="00E94206">
        <w:rPr>
          <w:rFonts w:ascii="Times New Roman" w:eastAsia="Calibri" w:hAnsi="Times New Roman" w:cs="Times New Roman"/>
          <w:sz w:val="28"/>
          <w:szCs w:val="28"/>
        </w:rPr>
        <w:t xml:space="preserve"> 205 155 человек – в санаторных оздоровительных лагерях круглогодичного действия.</w:t>
      </w:r>
    </w:p>
    <w:p w14:paraId="06A13057" w14:textId="77777777" w:rsidR="00E94206" w:rsidRDefault="00E94206" w:rsidP="00E94206">
      <w:pPr>
        <w:widowControl w:val="0"/>
        <w:suppressAutoHyphens/>
        <w:spacing w:after="0" w:line="312" w:lineRule="auto"/>
        <w:ind w:firstLine="709"/>
        <w:contextualSpacing/>
        <w:jc w:val="both"/>
        <w:rPr>
          <w:rFonts w:ascii="Times New Roman" w:eastAsia="Calibri" w:hAnsi="Times New Roman" w:cs="Times New Roman"/>
          <w:sz w:val="28"/>
          <w:szCs w:val="28"/>
        </w:rPr>
      </w:pPr>
      <w:r w:rsidRPr="00E94206">
        <w:rPr>
          <w:rFonts w:ascii="Times New Roman" w:eastAsia="Calibri" w:hAnsi="Times New Roman" w:cs="Times New Roman"/>
          <w:sz w:val="28"/>
          <w:szCs w:val="28"/>
        </w:rPr>
        <w:t>По данным уполномоченных органов исполнительной власти субъектов Российской Федерации в сфере организаци</w:t>
      </w:r>
      <w:r w:rsidR="00F2711D">
        <w:rPr>
          <w:rFonts w:ascii="Times New Roman" w:eastAsia="Calibri" w:hAnsi="Times New Roman" w:cs="Times New Roman"/>
          <w:sz w:val="28"/>
          <w:szCs w:val="28"/>
        </w:rPr>
        <w:t xml:space="preserve">и отдыха и оздоровления детей, </w:t>
      </w:r>
      <w:r w:rsidRPr="00E94206">
        <w:rPr>
          <w:rFonts w:ascii="Times New Roman" w:eastAsia="Calibri" w:hAnsi="Times New Roman" w:cs="Times New Roman"/>
          <w:sz w:val="28"/>
          <w:szCs w:val="28"/>
        </w:rPr>
        <w:t>в период летней оздоровительной кампании 20</w:t>
      </w:r>
      <w:r w:rsidR="00F2711D">
        <w:rPr>
          <w:rFonts w:ascii="Times New Roman" w:eastAsia="Calibri" w:hAnsi="Times New Roman" w:cs="Times New Roman"/>
          <w:sz w:val="28"/>
          <w:szCs w:val="28"/>
        </w:rPr>
        <w:t>21 г</w:t>
      </w:r>
      <w:r w:rsidR="007733C4">
        <w:rPr>
          <w:rFonts w:ascii="Times New Roman" w:eastAsia="Calibri" w:hAnsi="Times New Roman" w:cs="Times New Roman"/>
          <w:sz w:val="28"/>
          <w:szCs w:val="28"/>
        </w:rPr>
        <w:t>.</w:t>
      </w:r>
      <w:r w:rsidR="00F2711D">
        <w:rPr>
          <w:rFonts w:ascii="Times New Roman" w:eastAsia="Calibri" w:hAnsi="Times New Roman" w:cs="Times New Roman"/>
          <w:sz w:val="28"/>
          <w:szCs w:val="28"/>
        </w:rPr>
        <w:t xml:space="preserve"> направлено на отдых </w:t>
      </w:r>
      <w:r w:rsidRPr="00E94206">
        <w:rPr>
          <w:rFonts w:ascii="Times New Roman" w:eastAsia="Calibri" w:hAnsi="Times New Roman" w:cs="Times New Roman"/>
          <w:sz w:val="28"/>
          <w:szCs w:val="28"/>
        </w:rPr>
        <w:t>и оздоровление 1 582 90 детей, находящихся</w:t>
      </w:r>
      <w:r w:rsidR="00F2711D">
        <w:rPr>
          <w:rFonts w:ascii="Times New Roman" w:eastAsia="Calibri" w:hAnsi="Times New Roman" w:cs="Times New Roman"/>
          <w:sz w:val="28"/>
          <w:szCs w:val="28"/>
        </w:rPr>
        <w:t xml:space="preserve"> в трудной жизненной ситуации, </w:t>
      </w:r>
      <w:r w:rsidRPr="00E94206">
        <w:rPr>
          <w:rFonts w:ascii="Times New Roman" w:eastAsia="Calibri" w:hAnsi="Times New Roman" w:cs="Times New Roman"/>
          <w:sz w:val="28"/>
          <w:szCs w:val="28"/>
        </w:rPr>
        <w:t>из них в том числе: 146 786 человек из категории детей-сирот и детей, оставшихся без попечения родителей</w:t>
      </w:r>
      <w:r w:rsidR="00F2711D">
        <w:rPr>
          <w:rFonts w:ascii="Times New Roman" w:eastAsia="Calibri" w:hAnsi="Times New Roman" w:cs="Times New Roman"/>
          <w:sz w:val="28"/>
          <w:szCs w:val="28"/>
        </w:rPr>
        <w:t>,</w:t>
      </w:r>
      <w:r w:rsidRPr="00E94206">
        <w:rPr>
          <w:rFonts w:ascii="Times New Roman" w:eastAsia="Calibri" w:hAnsi="Times New Roman" w:cs="Times New Roman"/>
          <w:sz w:val="28"/>
          <w:szCs w:val="28"/>
        </w:rPr>
        <w:t xml:space="preserve"> 53 648 детей-инвалидов</w:t>
      </w:r>
      <w:r w:rsidR="00F2711D">
        <w:rPr>
          <w:rFonts w:ascii="Times New Roman" w:eastAsia="Calibri" w:hAnsi="Times New Roman" w:cs="Times New Roman"/>
          <w:sz w:val="28"/>
          <w:szCs w:val="28"/>
        </w:rPr>
        <w:t>,</w:t>
      </w:r>
      <w:r w:rsidRPr="00E94206">
        <w:rPr>
          <w:rFonts w:ascii="Times New Roman" w:eastAsia="Calibri" w:hAnsi="Times New Roman" w:cs="Times New Roman"/>
          <w:sz w:val="28"/>
          <w:szCs w:val="28"/>
        </w:rPr>
        <w:t xml:space="preserve"> 80 643 ребенка с </w:t>
      </w:r>
      <w:r w:rsidR="00F2711D">
        <w:rPr>
          <w:rFonts w:ascii="Times New Roman" w:eastAsia="Calibri" w:hAnsi="Times New Roman" w:cs="Times New Roman"/>
          <w:sz w:val="28"/>
          <w:szCs w:val="28"/>
        </w:rPr>
        <w:t>ОВЗ</w:t>
      </w:r>
      <w:r w:rsidRPr="00E94206">
        <w:rPr>
          <w:rFonts w:ascii="Times New Roman" w:eastAsia="Calibri" w:hAnsi="Times New Roman" w:cs="Times New Roman"/>
          <w:sz w:val="28"/>
          <w:szCs w:val="28"/>
        </w:rPr>
        <w:t>.</w:t>
      </w:r>
    </w:p>
    <w:p w14:paraId="70C83180" w14:textId="77777777" w:rsidR="00E94206" w:rsidRPr="00E94206" w:rsidRDefault="00E94206" w:rsidP="00E94206">
      <w:pPr>
        <w:widowControl w:val="0"/>
        <w:suppressAutoHyphens/>
        <w:spacing w:after="0" w:line="312" w:lineRule="auto"/>
        <w:ind w:firstLine="709"/>
        <w:contextualSpacing/>
        <w:jc w:val="both"/>
        <w:rPr>
          <w:rFonts w:ascii="Times New Roman" w:eastAsia="Calibri" w:hAnsi="Times New Roman" w:cs="Times New Roman"/>
          <w:sz w:val="28"/>
          <w:szCs w:val="28"/>
        </w:rPr>
      </w:pPr>
      <w:r w:rsidRPr="00E94206">
        <w:rPr>
          <w:rFonts w:ascii="Times New Roman" w:eastAsia="Calibri" w:hAnsi="Times New Roman" w:cs="Times New Roman"/>
          <w:sz w:val="28"/>
          <w:szCs w:val="28"/>
        </w:rPr>
        <w:t>В период проведения летней оздо</w:t>
      </w:r>
      <w:r w:rsidR="00F2711D">
        <w:rPr>
          <w:rFonts w:ascii="Times New Roman" w:eastAsia="Calibri" w:hAnsi="Times New Roman" w:cs="Times New Roman"/>
          <w:sz w:val="28"/>
          <w:szCs w:val="28"/>
        </w:rPr>
        <w:t>ровительной кампании 2021 г</w:t>
      </w:r>
      <w:r w:rsidR="007733C4">
        <w:rPr>
          <w:rFonts w:ascii="Times New Roman" w:eastAsia="Calibri" w:hAnsi="Times New Roman" w:cs="Times New Roman"/>
          <w:sz w:val="28"/>
          <w:szCs w:val="28"/>
        </w:rPr>
        <w:t>.</w:t>
      </w:r>
      <w:r w:rsidR="00F2711D">
        <w:rPr>
          <w:rFonts w:ascii="Times New Roman" w:eastAsia="Calibri" w:hAnsi="Times New Roman" w:cs="Times New Roman"/>
          <w:sz w:val="28"/>
          <w:szCs w:val="28"/>
        </w:rPr>
        <w:t xml:space="preserve"> </w:t>
      </w:r>
      <w:r w:rsidRPr="00E94206">
        <w:rPr>
          <w:rFonts w:ascii="Times New Roman" w:eastAsia="Calibri" w:hAnsi="Times New Roman" w:cs="Times New Roman"/>
          <w:sz w:val="28"/>
          <w:szCs w:val="28"/>
        </w:rPr>
        <w:t>на территории Российской Федерации функ</w:t>
      </w:r>
      <w:r w:rsidR="00F2711D">
        <w:rPr>
          <w:rFonts w:ascii="Times New Roman" w:eastAsia="Calibri" w:hAnsi="Times New Roman" w:cs="Times New Roman"/>
          <w:sz w:val="28"/>
          <w:szCs w:val="28"/>
        </w:rPr>
        <w:t xml:space="preserve">ционировали организации отдыха </w:t>
      </w:r>
      <w:r w:rsidRPr="00E94206">
        <w:rPr>
          <w:rFonts w:ascii="Times New Roman" w:eastAsia="Calibri" w:hAnsi="Times New Roman" w:cs="Times New Roman"/>
          <w:sz w:val="28"/>
          <w:szCs w:val="28"/>
        </w:rPr>
        <w:t xml:space="preserve">детей и их оздоровления следующих форм собственности: </w:t>
      </w:r>
      <w:r w:rsidR="00F2711D" w:rsidRPr="00E94206">
        <w:rPr>
          <w:rFonts w:ascii="Times New Roman" w:eastAsia="Calibri" w:hAnsi="Times New Roman" w:cs="Times New Roman"/>
          <w:sz w:val="28"/>
          <w:szCs w:val="28"/>
        </w:rPr>
        <w:t xml:space="preserve">1 613 </w:t>
      </w:r>
      <w:r w:rsidRPr="00E94206">
        <w:rPr>
          <w:rFonts w:ascii="Times New Roman" w:eastAsia="Calibri" w:hAnsi="Times New Roman" w:cs="Times New Roman"/>
          <w:sz w:val="28"/>
          <w:szCs w:val="28"/>
        </w:rPr>
        <w:t>государственны</w:t>
      </w:r>
      <w:r w:rsidR="00F2711D">
        <w:rPr>
          <w:rFonts w:ascii="Times New Roman" w:eastAsia="Calibri" w:hAnsi="Times New Roman" w:cs="Times New Roman"/>
          <w:sz w:val="28"/>
          <w:szCs w:val="28"/>
        </w:rPr>
        <w:t>х</w:t>
      </w:r>
      <w:r w:rsidRPr="00E94206">
        <w:rPr>
          <w:rFonts w:ascii="Times New Roman" w:eastAsia="Calibri" w:hAnsi="Times New Roman" w:cs="Times New Roman"/>
          <w:sz w:val="28"/>
          <w:szCs w:val="28"/>
        </w:rPr>
        <w:t xml:space="preserve"> организаци</w:t>
      </w:r>
      <w:r w:rsidR="00F2711D">
        <w:rPr>
          <w:rFonts w:ascii="Times New Roman" w:eastAsia="Calibri" w:hAnsi="Times New Roman" w:cs="Times New Roman"/>
          <w:sz w:val="28"/>
          <w:szCs w:val="28"/>
        </w:rPr>
        <w:t>й,</w:t>
      </w:r>
      <w:r w:rsidRPr="00E94206">
        <w:rPr>
          <w:rFonts w:ascii="Times New Roman" w:eastAsia="Calibri" w:hAnsi="Times New Roman" w:cs="Times New Roman"/>
          <w:sz w:val="28"/>
          <w:szCs w:val="28"/>
        </w:rPr>
        <w:t xml:space="preserve"> </w:t>
      </w:r>
      <w:r w:rsidR="00F2711D" w:rsidRPr="00E94206">
        <w:rPr>
          <w:rFonts w:ascii="Times New Roman" w:eastAsia="Calibri" w:hAnsi="Times New Roman" w:cs="Times New Roman"/>
          <w:sz w:val="28"/>
          <w:szCs w:val="28"/>
        </w:rPr>
        <w:t xml:space="preserve">35 498 </w:t>
      </w:r>
      <w:r w:rsidRPr="00E94206">
        <w:rPr>
          <w:rFonts w:ascii="Times New Roman" w:eastAsia="Calibri" w:hAnsi="Times New Roman" w:cs="Times New Roman"/>
          <w:sz w:val="28"/>
          <w:szCs w:val="28"/>
        </w:rPr>
        <w:t>муниципальны</w:t>
      </w:r>
      <w:r w:rsidR="00F2711D">
        <w:rPr>
          <w:rFonts w:ascii="Times New Roman" w:eastAsia="Calibri" w:hAnsi="Times New Roman" w:cs="Times New Roman"/>
          <w:sz w:val="28"/>
          <w:szCs w:val="28"/>
        </w:rPr>
        <w:t>х</w:t>
      </w:r>
      <w:r w:rsidRPr="00E94206">
        <w:rPr>
          <w:rFonts w:ascii="Times New Roman" w:eastAsia="Calibri" w:hAnsi="Times New Roman" w:cs="Times New Roman"/>
          <w:sz w:val="28"/>
          <w:szCs w:val="28"/>
        </w:rPr>
        <w:t xml:space="preserve"> организаций</w:t>
      </w:r>
      <w:r w:rsidR="00F2711D">
        <w:rPr>
          <w:rFonts w:ascii="Times New Roman" w:eastAsia="Calibri" w:hAnsi="Times New Roman" w:cs="Times New Roman"/>
          <w:sz w:val="28"/>
          <w:szCs w:val="28"/>
        </w:rPr>
        <w:t>,</w:t>
      </w:r>
      <w:r w:rsidRPr="00E94206">
        <w:rPr>
          <w:rFonts w:ascii="Times New Roman" w:eastAsia="Calibri" w:hAnsi="Times New Roman" w:cs="Times New Roman"/>
          <w:sz w:val="28"/>
          <w:szCs w:val="28"/>
        </w:rPr>
        <w:t xml:space="preserve"> </w:t>
      </w:r>
      <w:r w:rsidR="00F2711D" w:rsidRPr="00E94206">
        <w:rPr>
          <w:rFonts w:ascii="Times New Roman" w:eastAsia="Calibri" w:hAnsi="Times New Roman" w:cs="Times New Roman"/>
          <w:sz w:val="28"/>
          <w:szCs w:val="28"/>
        </w:rPr>
        <w:t xml:space="preserve">1 165 </w:t>
      </w:r>
      <w:r w:rsidRPr="00E94206">
        <w:rPr>
          <w:rFonts w:ascii="Times New Roman" w:eastAsia="Calibri" w:hAnsi="Times New Roman" w:cs="Times New Roman"/>
          <w:sz w:val="28"/>
          <w:szCs w:val="28"/>
        </w:rPr>
        <w:t>частны</w:t>
      </w:r>
      <w:r w:rsidR="00F2711D">
        <w:rPr>
          <w:rFonts w:ascii="Times New Roman" w:eastAsia="Calibri" w:hAnsi="Times New Roman" w:cs="Times New Roman"/>
          <w:sz w:val="28"/>
          <w:szCs w:val="28"/>
        </w:rPr>
        <w:t>х</w:t>
      </w:r>
      <w:r w:rsidRPr="00E94206">
        <w:rPr>
          <w:rFonts w:ascii="Times New Roman" w:eastAsia="Calibri" w:hAnsi="Times New Roman" w:cs="Times New Roman"/>
          <w:sz w:val="28"/>
          <w:szCs w:val="28"/>
        </w:rPr>
        <w:t xml:space="preserve"> организаций</w:t>
      </w:r>
      <w:r w:rsidR="007733C4">
        <w:rPr>
          <w:rFonts w:ascii="Times New Roman" w:eastAsia="Calibri" w:hAnsi="Times New Roman" w:cs="Times New Roman"/>
          <w:sz w:val="28"/>
          <w:szCs w:val="28"/>
        </w:rPr>
        <w:t xml:space="preserve">, </w:t>
      </w:r>
      <w:r w:rsidR="00F2711D">
        <w:rPr>
          <w:rFonts w:ascii="Times New Roman" w:eastAsia="Calibri" w:hAnsi="Times New Roman" w:cs="Times New Roman"/>
          <w:sz w:val="28"/>
          <w:szCs w:val="28"/>
        </w:rPr>
        <w:t>244 организаций</w:t>
      </w:r>
      <w:r w:rsidR="00F2711D" w:rsidRPr="00E94206">
        <w:rPr>
          <w:rFonts w:ascii="Times New Roman" w:eastAsia="Calibri" w:hAnsi="Times New Roman" w:cs="Times New Roman"/>
          <w:sz w:val="28"/>
          <w:szCs w:val="28"/>
        </w:rPr>
        <w:t xml:space="preserve"> </w:t>
      </w:r>
      <w:r w:rsidR="00F2711D">
        <w:rPr>
          <w:rFonts w:ascii="Times New Roman" w:eastAsia="Calibri" w:hAnsi="Times New Roman" w:cs="Times New Roman"/>
          <w:sz w:val="28"/>
          <w:szCs w:val="28"/>
        </w:rPr>
        <w:t>иной формы собственности</w:t>
      </w:r>
      <w:r w:rsidRPr="00E94206">
        <w:rPr>
          <w:rFonts w:ascii="Times New Roman" w:eastAsia="Calibri" w:hAnsi="Times New Roman" w:cs="Times New Roman"/>
          <w:sz w:val="28"/>
          <w:szCs w:val="28"/>
        </w:rPr>
        <w:t>.</w:t>
      </w:r>
    </w:p>
    <w:p w14:paraId="4B1FE8AC" w14:textId="04EF0112" w:rsidR="00E94206" w:rsidRPr="00E94206" w:rsidRDefault="00E94206" w:rsidP="006323C4">
      <w:pPr>
        <w:widowControl w:val="0"/>
        <w:suppressAutoHyphens/>
        <w:spacing w:after="0" w:line="312" w:lineRule="auto"/>
        <w:ind w:firstLine="709"/>
        <w:contextualSpacing/>
        <w:jc w:val="both"/>
        <w:rPr>
          <w:rFonts w:ascii="Times New Roman" w:eastAsia="Calibri" w:hAnsi="Times New Roman" w:cs="Times New Roman"/>
          <w:sz w:val="28"/>
          <w:szCs w:val="28"/>
        </w:rPr>
      </w:pPr>
      <w:r w:rsidRPr="00E94206">
        <w:rPr>
          <w:rFonts w:ascii="Times New Roman" w:eastAsia="Calibri" w:hAnsi="Times New Roman" w:cs="Times New Roman"/>
          <w:sz w:val="28"/>
          <w:szCs w:val="28"/>
        </w:rPr>
        <w:t>На территории районов Крайнего Севера и приравненных к ним местностей осуществляли свою деятельность 8 923 организации, в том числе 403 стационарные организации отдыха детей и их оздоровления</w:t>
      </w:r>
      <w:r w:rsidR="006323C4">
        <w:rPr>
          <w:rFonts w:ascii="Times New Roman" w:eastAsia="Calibri" w:hAnsi="Times New Roman" w:cs="Times New Roman"/>
          <w:sz w:val="28"/>
          <w:szCs w:val="28"/>
        </w:rPr>
        <w:t>,</w:t>
      </w:r>
      <w:r w:rsidRPr="00E94206">
        <w:rPr>
          <w:rFonts w:ascii="Times New Roman" w:eastAsia="Calibri" w:hAnsi="Times New Roman" w:cs="Times New Roman"/>
          <w:sz w:val="28"/>
          <w:szCs w:val="28"/>
        </w:rPr>
        <w:t xml:space="preserve"> 7 644 лагеря, организованных образовательными организациями</w:t>
      </w:r>
      <w:r w:rsidR="006323C4">
        <w:rPr>
          <w:rFonts w:ascii="Times New Roman" w:eastAsia="Calibri" w:hAnsi="Times New Roman" w:cs="Times New Roman"/>
          <w:sz w:val="28"/>
          <w:szCs w:val="28"/>
        </w:rPr>
        <w:t xml:space="preserve"> в каникулярное время </w:t>
      </w:r>
      <w:r w:rsidRPr="00E94206">
        <w:rPr>
          <w:rFonts w:ascii="Times New Roman" w:eastAsia="Calibri" w:hAnsi="Times New Roman" w:cs="Times New Roman"/>
          <w:sz w:val="28"/>
          <w:szCs w:val="28"/>
        </w:rPr>
        <w:t>с дневным пребыванием</w:t>
      </w:r>
      <w:r w:rsidR="006323C4">
        <w:rPr>
          <w:rFonts w:ascii="Times New Roman" w:eastAsia="Calibri" w:hAnsi="Times New Roman" w:cs="Times New Roman"/>
          <w:sz w:val="28"/>
          <w:szCs w:val="28"/>
        </w:rPr>
        <w:t>,</w:t>
      </w:r>
      <w:r w:rsidRPr="00E94206">
        <w:rPr>
          <w:rFonts w:ascii="Times New Roman" w:eastAsia="Calibri" w:hAnsi="Times New Roman" w:cs="Times New Roman"/>
          <w:sz w:val="28"/>
          <w:szCs w:val="28"/>
        </w:rPr>
        <w:t xml:space="preserve"> 558 лагерей труда и отдыха</w:t>
      </w:r>
      <w:r w:rsidR="006323C4">
        <w:rPr>
          <w:rFonts w:ascii="Times New Roman" w:eastAsia="Calibri" w:hAnsi="Times New Roman" w:cs="Times New Roman"/>
          <w:sz w:val="28"/>
          <w:szCs w:val="28"/>
        </w:rPr>
        <w:t>,</w:t>
      </w:r>
      <w:r w:rsidRPr="00E94206">
        <w:rPr>
          <w:rFonts w:ascii="Times New Roman" w:eastAsia="Calibri" w:hAnsi="Times New Roman" w:cs="Times New Roman"/>
          <w:sz w:val="28"/>
          <w:szCs w:val="28"/>
        </w:rPr>
        <w:t xml:space="preserve"> 73 детских лагеря палаточного типа</w:t>
      </w:r>
      <w:r w:rsidR="006323C4">
        <w:rPr>
          <w:rFonts w:ascii="Times New Roman" w:eastAsia="Calibri" w:hAnsi="Times New Roman" w:cs="Times New Roman"/>
          <w:sz w:val="28"/>
          <w:szCs w:val="28"/>
        </w:rPr>
        <w:t>,</w:t>
      </w:r>
      <w:r w:rsidRPr="00E94206">
        <w:rPr>
          <w:rFonts w:ascii="Times New Roman" w:eastAsia="Calibri" w:hAnsi="Times New Roman" w:cs="Times New Roman"/>
          <w:sz w:val="28"/>
          <w:szCs w:val="28"/>
        </w:rPr>
        <w:t xml:space="preserve"> 220 детских специализированных (профильных) лагерей и детских лагерей различной тематической направленности</w:t>
      </w:r>
      <w:r w:rsidR="006323C4">
        <w:rPr>
          <w:rFonts w:ascii="Times New Roman" w:eastAsia="Calibri" w:hAnsi="Times New Roman" w:cs="Times New Roman"/>
          <w:sz w:val="28"/>
          <w:szCs w:val="28"/>
        </w:rPr>
        <w:t>,</w:t>
      </w:r>
      <w:r w:rsidRPr="00E94206">
        <w:rPr>
          <w:rFonts w:ascii="Times New Roman" w:eastAsia="Calibri" w:hAnsi="Times New Roman" w:cs="Times New Roman"/>
          <w:sz w:val="28"/>
          <w:szCs w:val="28"/>
        </w:rPr>
        <w:t xml:space="preserve"> 25</w:t>
      </w:r>
      <w:r w:rsidR="00F95848">
        <w:rPr>
          <w:rFonts w:ascii="Times New Roman" w:eastAsia="Calibri" w:hAnsi="Times New Roman" w:cs="Times New Roman"/>
          <w:sz w:val="28"/>
          <w:szCs w:val="28"/>
        </w:rPr>
        <w:t xml:space="preserve"> </w:t>
      </w:r>
      <w:r w:rsidRPr="00E94206">
        <w:rPr>
          <w:rFonts w:ascii="Times New Roman" w:eastAsia="Calibri" w:hAnsi="Times New Roman" w:cs="Times New Roman"/>
          <w:sz w:val="28"/>
          <w:szCs w:val="28"/>
        </w:rPr>
        <w:t>санаторных оздоровительных ла</w:t>
      </w:r>
      <w:r w:rsidR="006323C4">
        <w:rPr>
          <w:rFonts w:ascii="Times New Roman" w:eastAsia="Calibri" w:hAnsi="Times New Roman" w:cs="Times New Roman"/>
          <w:sz w:val="28"/>
          <w:szCs w:val="28"/>
        </w:rPr>
        <w:t>герей круглогодичного действия. О</w:t>
      </w:r>
      <w:r w:rsidRPr="00E94206">
        <w:rPr>
          <w:rFonts w:ascii="Times New Roman" w:eastAsia="Calibri" w:hAnsi="Times New Roman" w:cs="Times New Roman"/>
          <w:sz w:val="28"/>
          <w:szCs w:val="28"/>
        </w:rPr>
        <w:t xml:space="preserve">рганизованными формами </w:t>
      </w:r>
      <w:r w:rsidR="006323C4">
        <w:rPr>
          <w:rFonts w:ascii="Times New Roman" w:eastAsia="Calibri" w:hAnsi="Times New Roman" w:cs="Times New Roman"/>
          <w:sz w:val="28"/>
          <w:szCs w:val="28"/>
        </w:rPr>
        <w:t xml:space="preserve">отдыха и оздоровления охвачено </w:t>
      </w:r>
      <w:r w:rsidRPr="00E94206">
        <w:rPr>
          <w:rFonts w:ascii="Times New Roman" w:eastAsia="Calibri" w:hAnsi="Times New Roman" w:cs="Times New Roman"/>
          <w:sz w:val="28"/>
          <w:szCs w:val="28"/>
        </w:rPr>
        <w:t>954 688 детей из районов Крайнего Севера и приравненных к ним местностей.</w:t>
      </w:r>
    </w:p>
    <w:p w14:paraId="222DDAFD" w14:textId="77777777" w:rsidR="00E94206" w:rsidRPr="00E94206" w:rsidRDefault="00E94206" w:rsidP="00E94206">
      <w:pPr>
        <w:widowControl w:val="0"/>
        <w:suppressAutoHyphens/>
        <w:spacing w:after="0" w:line="312" w:lineRule="auto"/>
        <w:ind w:firstLine="709"/>
        <w:contextualSpacing/>
        <w:jc w:val="both"/>
        <w:rPr>
          <w:rFonts w:ascii="Times New Roman" w:eastAsia="Calibri" w:hAnsi="Times New Roman" w:cs="Times New Roman"/>
          <w:sz w:val="28"/>
          <w:szCs w:val="28"/>
        </w:rPr>
      </w:pPr>
      <w:r w:rsidRPr="00E94206">
        <w:rPr>
          <w:rFonts w:ascii="Times New Roman" w:eastAsia="Calibri" w:hAnsi="Times New Roman" w:cs="Times New Roman"/>
          <w:sz w:val="28"/>
          <w:szCs w:val="28"/>
        </w:rPr>
        <w:t>В период проведения летней оздо</w:t>
      </w:r>
      <w:r w:rsidR="006323C4">
        <w:rPr>
          <w:rFonts w:ascii="Times New Roman" w:eastAsia="Calibri" w:hAnsi="Times New Roman" w:cs="Times New Roman"/>
          <w:sz w:val="28"/>
          <w:szCs w:val="28"/>
        </w:rPr>
        <w:t>ровительной кампании 2021 г</w:t>
      </w:r>
      <w:r w:rsidR="007733C4">
        <w:rPr>
          <w:rFonts w:ascii="Times New Roman" w:eastAsia="Calibri" w:hAnsi="Times New Roman" w:cs="Times New Roman"/>
          <w:sz w:val="28"/>
          <w:szCs w:val="28"/>
        </w:rPr>
        <w:t>.</w:t>
      </w:r>
      <w:r w:rsidR="006323C4">
        <w:rPr>
          <w:rFonts w:ascii="Times New Roman" w:eastAsia="Calibri" w:hAnsi="Times New Roman" w:cs="Times New Roman"/>
          <w:sz w:val="28"/>
          <w:szCs w:val="28"/>
        </w:rPr>
        <w:t xml:space="preserve"> </w:t>
      </w:r>
      <w:r w:rsidRPr="00E94206">
        <w:rPr>
          <w:rFonts w:ascii="Times New Roman" w:eastAsia="Calibri" w:hAnsi="Times New Roman" w:cs="Times New Roman"/>
          <w:sz w:val="28"/>
          <w:szCs w:val="28"/>
        </w:rPr>
        <w:t>454 679 детей отдохнули в детских</w:t>
      </w:r>
      <w:r w:rsidR="006323C4">
        <w:rPr>
          <w:rFonts w:ascii="Times New Roman" w:eastAsia="Calibri" w:hAnsi="Times New Roman" w:cs="Times New Roman"/>
          <w:sz w:val="28"/>
          <w:szCs w:val="28"/>
        </w:rPr>
        <w:t xml:space="preserve"> лагерях за пределами субъекта </w:t>
      </w:r>
      <w:r w:rsidRPr="00E94206">
        <w:rPr>
          <w:rFonts w:ascii="Times New Roman" w:eastAsia="Calibri" w:hAnsi="Times New Roman" w:cs="Times New Roman"/>
          <w:sz w:val="28"/>
          <w:szCs w:val="28"/>
        </w:rPr>
        <w:t>Российской Федерации своего проживания, из которых 227 638 человек направлены на побережье Черного и Азовского морей.</w:t>
      </w:r>
    </w:p>
    <w:p w14:paraId="5436E0D8" w14:textId="77777777" w:rsidR="00E94206" w:rsidRPr="00E94206" w:rsidRDefault="00E94206" w:rsidP="007733C4">
      <w:pPr>
        <w:widowControl w:val="0"/>
        <w:suppressAutoHyphens/>
        <w:spacing w:after="0" w:line="312" w:lineRule="auto"/>
        <w:ind w:firstLine="709"/>
        <w:contextualSpacing/>
        <w:jc w:val="both"/>
        <w:rPr>
          <w:rFonts w:ascii="Times New Roman" w:eastAsia="Calibri" w:hAnsi="Times New Roman" w:cs="Times New Roman"/>
          <w:sz w:val="28"/>
          <w:szCs w:val="28"/>
        </w:rPr>
      </w:pPr>
      <w:r w:rsidRPr="00E94206">
        <w:rPr>
          <w:rFonts w:ascii="Times New Roman" w:eastAsia="Calibri" w:hAnsi="Times New Roman" w:cs="Times New Roman"/>
          <w:sz w:val="28"/>
          <w:szCs w:val="28"/>
        </w:rPr>
        <w:t xml:space="preserve">Общее число обучающихся </w:t>
      </w:r>
      <w:r w:rsidR="006323C4">
        <w:rPr>
          <w:rFonts w:ascii="Times New Roman" w:eastAsia="Calibri" w:hAnsi="Times New Roman" w:cs="Times New Roman"/>
          <w:sz w:val="28"/>
          <w:szCs w:val="28"/>
        </w:rPr>
        <w:t xml:space="preserve">ВДЦ </w:t>
      </w:r>
      <w:r w:rsidRPr="00E94206">
        <w:rPr>
          <w:rFonts w:ascii="Times New Roman" w:eastAsia="Calibri" w:hAnsi="Times New Roman" w:cs="Times New Roman"/>
          <w:sz w:val="28"/>
          <w:szCs w:val="28"/>
        </w:rPr>
        <w:t>«Орленок», «Смена», «Океан» и «Между</w:t>
      </w:r>
      <w:r w:rsidR="006323C4">
        <w:rPr>
          <w:rFonts w:ascii="Times New Roman" w:eastAsia="Calibri" w:hAnsi="Times New Roman" w:cs="Times New Roman"/>
          <w:sz w:val="28"/>
          <w:szCs w:val="28"/>
        </w:rPr>
        <w:t xml:space="preserve">народный детский центр «Артек» </w:t>
      </w:r>
      <w:r w:rsidRPr="00E94206">
        <w:rPr>
          <w:rFonts w:ascii="Times New Roman" w:eastAsia="Calibri" w:hAnsi="Times New Roman" w:cs="Times New Roman"/>
          <w:sz w:val="28"/>
          <w:szCs w:val="28"/>
        </w:rPr>
        <w:t>в период проведения летней оздо</w:t>
      </w:r>
      <w:r w:rsidR="006323C4">
        <w:rPr>
          <w:rFonts w:ascii="Times New Roman" w:eastAsia="Calibri" w:hAnsi="Times New Roman" w:cs="Times New Roman"/>
          <w:sz w:val="28"/>
          <w:szCs w:val="28"/>
        </w:rPr>
        <w:t>ровительной кампании 2021 г</w:t>
      </w:r>
      <w:r w:rsidR="007733C4">
        <w:rPr>
          <w:rFonts w:ascii="Times New Roman" w:eastAsia="Calibri" w:hAnsi="Times New Roman" w:cs="Times New Roman"/>
          <w:sz w:val="28"/>
          <w:szCs w:val="28"/>
        </w:rPr>
        <w:t>.</w:t>
      </w:r>
      <w:r w:rsidR="006323C4">
        <w:rPr>
          <w:rFonts w:ascii="Times New Roman" w:eastAsia="Calibri" w:hAnsi="Times New Roman" w:cs="Times New Roman"/>
          <w:sz w:val="28"/>
          <w:szCs w:val="28"/>
        </w:rPr>
        <w:t xml:space="preserve"> </w:t>
      </w:r>
      <w:r w:rsidRPr="00E94206">
        <w:rPr>
          <w:rFonts w:ascii="Times New Roman" w:eastAsia="Calibri" w:hAnsi="Times New Roman" w:cs="Times New Roman"/>
          <w:sz w:val="28"/>
          <w:szCs w:val="28"/>
        </w:rPr>
        <w:t xml:space="preserve">(с 1 июня по 31 августа 2021 г.) составило </w:t>
      </w:r>
      <w:r w:rsidR="007733C4">
        <w:rPr>
          <w:rFonts w:ascii="Times New Roman" w:eastAsia="Calibri" w:hAnsi="Times New Roman" w:cs="Times New Roman"/>
          <w:sz w:val="28"/>
          <w:szCs w:val="28"/>
        </w:rPr>
        <w:br/>
      </w:r>
      <w:r w:rsidRPr="00E94206">
        <w:rPr>
          <w:rFonts w:ascii="Times New Roman" w:eastAsia="Calibri" w:hAnsi="Times New Roman" w:cs="Times New Roman"/>
          <w:sz w:val="28"/>
          <w:szCs w:val="28"/>
        </w:rPr>
        <w:t xml:space="preserve">28 960 детей. </w:t>
      </w:r>
      <w:r w:rsidR="006323C4">
        <w:rPr>
          <w:rFonts w:ascii="Times New Roman" w:eastAsia="Calibri" w:hAnsi="Times New Roman" w:cs="Times New Roman"/>
          <w:sz w:val="28"/>
          <w:szCs w:val="28"/>
        </w:rPr>
        <w:t>О</w:t>
      </w:r>
      <w:r w:rsidR="006323C4" w:rsidRPr="00E94206">
        <w:rPr>
          <w:rFonts w:ascii="Times New Roman" w:eastAsia="Calibri" w:hAnsi="Times New Roman" w:cs="Times New Roman"/>
          <w:sz w:val="28"/>
          <w:szCs w:val="28"/>
        </w:rPr>
        <w:t xml:space="preserve">коло 9 тыс. </w:t>
      </w:r>
      <w:r w:rsidRPr="00E94206">
        <w:rPr>
          <w:rFonts w:ascii="Times New Roman" w:eastAsia="Calibri" w:hAnsi="Times New Roman" w:cs="Times New Roman"/>
          <w:sz w:val="28"/>
          <w:szCs w:val="28"/>
        </w:rPr>
        <w:t>детей прош</w:t>
      </w:r>
      <w:r w:rsidR="006323C4">
        <w:rPr>
          <w:rFonts w:ascii="Times New Roman" w:eastAsia="Calibri" w:hAnsi="Times New Roman" w:cs="Times New Roman"/>
          <w:sz w:val="28"/>
          <w:szCs w:val="28"/>
        </w:rPr>
        <w:t>ли</w:t>
      </w:r>
      <w:r w:rsidRPr="00E94206">
        <w:rPr>
          <w:rFonts w:ascii="Times New Roman" w:eastAsia="Calibri" w:hAnsi="Times New Roman" w:cs="Times New Roman"/>
          <w:sz w:val="28"/>
          <w:szCs w:val="28"/>
        </w:rPr>
        <w:t xml:space="preserve"> конкурсный отбор в у</w:t>
      </w:r>
      <w:r w:rsidR="006323C4">
        <w:rPr>
          <w:rFonts w:ascii="Times New Roman" w:eastAsia="Calibri" w:hAnsi="Times New Roman" w:cs="Times New Roman"/>
          <w:sz w:val="28"/>
          <w:szCs w:val="28"/>
        </w:rPr>
        <w:t>казанные ВДЦ</w:t>
      </w:r>
      <w:r w:rsidRPr="00E94206">
        <w:rPr>
          <w:rFonts w:ascii="Times New Roman" w:eastAsia="Calibri" w:hAnsi="Times New Roman" w:cs="Times New Roman"/>
          <w:sz w:val="28"/>
          <w:szCs w:val="28"/>
        </w:rPr>
        <w:t xml:space="preserve"> </w:t>
      </w:r>
      <w:r w:rsidR="007733C4">
        <w:rPr>
          <w:rFonts w:ascii="Times New Roman" w:eastAsia="Calibri" w:hAnsi="Times New Roman" w:cs="Times New Roman"/>
          <w:sz w:val="28"/>
          <w:szCs w:val="28"/>
        </w:rPr>
        <w:br/>
      </w:r>
      <w:r w:rsidRPr="00E94206">
        <w:rPr>
          <w:rFonts w:ascii="Times New Roman" w:eastAsia="Calibri" w:hAnsi="Times New Roman" w:cs="Times New Roman"/>
          <w:sz w:val="28"/>
          <w:szCs w:val="28"/>
        </w:rPr>
        <w:t>в 2020 г</w:t>
      </w:r>
      <w:r w:rsidR="007733C4">
        <w:rPr>
          <w:rFonts w:ascii="Times New Roman" w:eastAsia="Calibri" w:hAnsi="Times New Roman" w:cs="Times New Roman"/>
          <w:sz w:val="28"/>
          <w:szCs w:val="28"/>
        </w:rPr>
        <w:t>.</w:t>
      </w:r>
      <w:r w:rsidRPr="00E94206">
        <w:rPr>
          <w:rFonts w:ascii="Times New Roman" w:eastAsia="Calibri" w:hAnsi="Times New Roman" w:cs="Times New Roman"/>
          <w:sz w:val="28"/>
          <w:szCs w:val="28"/>
        </w:rPr>
        <w:t xml:space="preserve"> и зачислен</w:t>
      </w:r>
      <w:r w:rsidR="00414F23">
        <w:rPr>
          <w:rFonts w:ascii="Times New Roman" w:eastAsia="Calibri" w:hAnsi="Times New Roman" w:cs="Times New Roman"/>
          <w:sz w:val="28"/>
          <w:szCs w:val="28"/>
        </w:rPr>
        <w:t>ы</w:t>
      </w:r>
      <w:r w:rsidRPr="00E94206">
        <w:rPr>
          <w:rFonts w:ascii="Times New Roman" w:eastAsia="Calibri" w:hAnsi="Times New Roman" w:cs="Times New Roman"/>
          <w:sz w:val="28"/>
          <w:szCs w:val="28"/>
        </w:rPr>
        <w:t xml:space="preserve"> на об</w:t>
      </w:r>
      <w:r w:rsidR="006323C4">
        <w:rPr>
          <w:rFonts w:ascii="Times New Roman" w:eastAsia="Calibri" w:hAnsi="Times New Roman" w:cs="Times New Roman"/>
          <w:sz w:val="28"/>
          <w:szCs w:val="28"/>
        </w:rPr>
        <w:t>учение в 2021 г</w:t>
      </w:r>
      <w:r w:rsidR="00414F23">
        <w:rPr>
          <w:rFonts w:ascii="Times New Roman" w:eastAsia="Calibri" w:hAnsi="Times New Roman" w:cs="Times New Roman"/>
          <w:sz w:val="28"/>
          <w:szCs w:val="28"/>
        </w:rPr>
        <w:t xml:space="preserve">. </w:t>
      </w:r>
      <w:r w:rsidRPr="00E94206">
        <w:rPr>
          <w:rFonts w:ascii="Times New Roman" w:eastAsia="Calibri" w:hAnsi="Times New Roman" w:cs="Times New Roman"/>
          <w:sz w:val="28"/>
          <w:szCs w:val="28"/>
        </w:rPr>
        <w:t xml:space="preserve">В указанных </w:t>
      </w:r>
      <w:r w:rsidR="00414F23">
        <w:rPr>
          <w:rFonts w:ascii="Times New Roman" w:eastAsia="Calibri" w:hAnsi="Times New Roman" w:cs="Times New Roman"/>
          <w:sz w:val="28"/>
          <w:szCs w:val="28"/>
        </w:rPr>
        <w:t>ВДЦ</w:t>
      </w:r>
      <w:r w:rsidRPr="00E94206">
        <w:rPr>
          <w:rFonts w:ascii="Times New Roman" w:eastAsia="Calibri" w:hAnsi="Times New Roman" w:cs="Times New Roman"/>
          <w:sz w:val="28"/>
          <w:szCs w:val="28"/>
        </w:rPr>
        <w:t xml:space="preserve"> реализовано </w:t>
      </w:r>
      <w:r w:rsidR="006211F2">
        <w:rPr>
          <w:rFonts w:ascii="Times New Roman" w:eastAsia="Calibri" w:hAnsi="Times New Roman" w:cs="Times New Roman"/>
          <w:sz w:val="28"/>
          <w:szCs w:val="28"/>
        </w:rPr>
        <w:br/>
      </w:r>
      <w:r w:rsidRPr="00E94206">
        <w:rPr>
          <w:rFonts w:ascii="Times New Roman" w:eastAsia="Calibri" w:hAnsi="Times New Roman" w:cs="Times New Roman"/>
          <w:sz w:val="28"/>
          <w:szCs w:val="28"/>
        </w:rPr>
        <w:t>246 дополнительных общеобразовательных программам различной направленности.</w:t>
      </w:r>
    </w:p>
    <w:p w14:paraId="585C9C81" w14:textId="77777777" w:rsidR="00E94206" w:rsidRPr="00E94206" w:rsidRDefault="00E94206" w:rsidP="00E94206">
      <w:pPr>
        <w:widowControl w:val="0"/>
        <w:suppressAutoHyphens/>
        <w:spacing w:after="0" w:line="312" w:lineRule="auto"/>
        <w:ind w:firstLine="709"/>
        <w:contextualSpacing/>
        <w:jc w:val="both"/>
        <w:rPr>
          <w:rFonts w:ascii="Times New Roman" w:eastAsia="Calibri" w:hAnsi="Times New Roman" w:cs="Times New Roman"/>
          <w:sz w:val="28"/>
          <w:szCs w:val="28"/>
        </w:rPr>
      </w:pPr>
      <w:r w:rsidRPr="00E94206">
        <w:rPr>
          <w:rFonts w:ascii="Times New Roman" w:eastAsia="Calibri" w:hAnsi="Times New Roman" w:cs="Times New Roman"/>
          <w:sz w:val="28"/>
          <w:szCs w:val="28"/>
        </w:rPr>
        <w:t>В 2021 г</w:t>
      </w:r>
      <w:r w:rsidR="007733C4">
        <w:rPr>
          <w:rFonts w:ascii="Times New Roman" w:eastAsia="Calibri" w:hAnsi="Times New Roman" w:cs="Times New Roman"/>
          <w:sz w:val="28"/>
          <w:szCs w:val="28"/>
        </w:rPr>
        <w:t>.</w:t>
      </w:r>
      <w:r w:rsidRPr="00E94206">
        <w:rPr>
          <w:rFonts w:ascii="Times New Roman" w:eastAsia="Calibri" w:hAnsi="Times New Roman" w:cs="Times New Roman"/>
          <w:sz w:val="28"/>
          <w:szCs w:val="28"/>
        </w:rPr>
        <w:t xml:space="preserve"> к работе в федеральных государственных бюджетных образовательных учреждений «</w:t>
      </w:r>
      <w:r w:rsidR="00414F23">
        <w:rPr>
          <w:rFonts w:ascii="Times New Roman" w:eastAsia="Calibri" w:hAnsi="Times New Roman" w:cs="Times New Roman"/>
          <w:sz w:val="28"/>
          <w:szCs w:val="28"/>
        </w:rPr>
        <w:t xml:space="preserve">ВДЦ «Орленок», </w:t>
      </w:r>
      <w:r w:rsidRPr="00E94206">
        <w:rPr>
          <w:rFonts w:ascii="Times New Roman" w:eastAsia="Calibri" w:hAnsi="Times New Roman" w:cs="Times New Roman"/>
          <w:sz w:val="28"/>
          <w:szCs w:val="28"/>
        </w:rPr>
        <w:t>«Смена», «Океан» и «Международный де</w:t>
      </w:r>
      <w:r w:rsidR="00414F23">
        <w:rPr>
          <w:rFonts w:ascii="Times New Roman" w:eastAsia="Calibri" w:hAnsi="Times New Roman" w:cs="Times New Roman"/>
          <w:sz w:val="28"/>
          <w:szCs w:val="28"/>
        </w:rPr>
        <w:t xml:space="preserve">тский центр «Артек» привлечены </w:t>
      </w:r>
      <w:r w:rsidRPr="00E94206">
        <w:rPr>
          <w:rFonts w:ascii="Times New Roman" w:eastAsia="Calibri" w:hAnsi="Times New Roman" w:cs="Times New Roman"/>
          <w:sz w:val="28"/>
          <w:szCs w:val="28"/>
        </w:rPr>
        <w:t>848 педагогических работников, а также 1 253 вожатых.</w:t>
      </w:r>
    </w:p>
    <w:p w14:paraId="73ECD920" w14:textId="77777777" w:rsidR="00E94206" w:rsidRPr="00E94206" w:rsidRDefault="00E94206" w:rsidP="00E94206">
      <w:pPr>
        <w:widowControl w:val="0"/>
        <w:suppressAutoHyphens/>
        <w:spacing w:after="0" w:line="312" w:lineRule="auto"/>
        <w:ind w:firstLine="709"/>
        <w:contextualSpacing/>
        <w:jc w:val="both"/>
        <w:rPr>
          <w:rFonts w:ascii="Times New Roman" w:eastAsia="Calibri" w:hAnsi="Times New Roman" w:cs="Times New Roman"/>
          <w:sz w:val="28"/>
          <w:szCs w:val="28"/>
        </w:rPr>
      </w:pPr>
      <w:r w:rsidRPr="00E94206">
        <w:rPr>
          <w:rFonts w:ascii="Times New Roman" w:eastAsia="Calibri" w:hAnsi="Times New Roman" w:cs="Times New Roman"/>
          <w:sz w:val="28"/>
          <w:szCs w:val="28"/>
        </w:rPr>
        <w:t>Всего в работе организаций отдыха и оздоровления в Российской Федерации</w:t>
      </w:r>
      <w:r w:rsidR="00414F23">
        <w:rPr>
          <w:rFonts w:ascii="Times New Roman" w:eastAsia="Calibri" w:hAnsi="Times New Roman" w:cs="Times New Roman"/>
          <w:sz w:val="28"/>
          <w:szCs w:val="28"/>
        </w:rPr>
        <w:t>,</w:t>
      </w:r>
      <w:r w:rsidRPr="00E94206">
        <w:rPr>
          <w:rFonts w:ascii="Times New Roman" w:eastAsia="Calibri" w:hAnsi="Times New Roman" w:cs="Times New Roman"/>
          <w:sz w:val="28"/>
          <w:szCs w:val="28"/>
        </w:rPr>
        <w:t xml:space="preserve"> согласно представленным данным</w:t>
      </w:r>
      <w:r w:rsidR="00414F23">
        <w:rPr>
          <w:rFonts w:ascii="Times New Roman" w:eastAsia="Calibri" w:hAnsi="Times New Roman" w:cs="Times New Roman"/>
          <w:sz w:val="28"/>
          <w:szCs w:val="28"/>
        </w:rPr>
        <w:t>,</w:t>
      </w:r>
      <w:r w:rsidRPr="00E94206">
        <w:rPr>
          <w:rFonts w:ascii="Times New Roman" w:eastAsia="Calibri" w:hAnsi="Times New Roman" w:cs="Times New Roman"/>
          <w:sz w:val="28"/>
          <w:szCs w:val="28"/>
        </w:rPr>
        <w:t xml:space="preserve"> задействовано 638 624 человека, из которых 70 845 вожаты</w:t>
      </w:r>
      <w:r w:rsidR="00414F23">
        <w:rPr>
          <w:rFonts w:ascii="Times New Roman" w:eastAsia="Calibri" w:hAnsi="Times New Roman" w:cs="Times New Roman"/>
          <w:sz w:val="28"/>
          <w:szCs w:val="28"/>
        </w:rPr>
        <w:t>х</w:t>
      </w:r>
      <w:r w:rsidRPr="00E94206">
        <w:rPr>
          <w:rFonts w:ascii="Times New Roman" w:eastAsia="Calibri" w:hAnsi="Times New Roman" w:cs="Times New Roman"/>
          <w:sz w:val="28"/>
          <w:szCs w:val="28"/>
        </w:rPr>
        <w:t>.</w:t>
      </w:r>
    </w:p>
    <w:p w14:paraId="60529FC7" w14:textId="77777777" w:rsidR="00E94206" w:rsidRPr="00E94206" w:rsidRDefault="00E94206" w:rsidP="00E94206">
      <w:pPr>
        <w:widowControl w:val="0"/>
        <w:suppressAutoHyphens/>
        <w:spacing w:after="0" w:line="312" w:lineRule="auto"/>
        <w:ind w:firstLine="709"/>
        <w:contextualSpacing/>
        <w:jc w:val="both"/>
        <w:rPr>
          <w:rFonts w:ascii="Times New Roman" w:eastAsia="Calibri" w:hAnsi="Times New Roman" w:cs="Times New Roman"/>
          <w:sz w:val="28"/>
          <w:szCs w:val="28"/>
        </w:rPr>
      </w:pPr>
      <w:r w:rsidRPr="00E94206">
        <w:rPr>
          <w:rFonts w:ascii="Times New Roman" w:eastAsia="Calibri" w:hAnsi="Times New Roman" w:cs="Times New Roman"/>
          <w:sz w:val="28"/>
          <w:szCs w:val="28"/>
        </w:rPr>
        <w:t>По информации уполномоченных органов исполн</w:t>
      </w:r>
      <w:r w:rsidR="00414F23">
        <w:rPr>
          <w:rFonts w:ascii="Times New Roman" w:eastAsia="Calibri" w:hAnsi="Times New Roman" w:cs="Times New Roman"/>
          <w:sz w:val="28"/>
          <w:szCs w:val="28"/>
        </w:rPr>
        <w:t xml:space="preserve">ительной власти </w:t>
      </w:r>
      <w:r w:rsidRPr="00E94206">
        <w:rPr>
          <w:rFonts w:ascii="Times New Roman" w:eastAsia="Calibri" w:hAnsi="Times New Roman" w:cs="Times New Roman"/>
          <w:sz w:val="28"/>
          <w:szCs w:val="28"/>
        </w:rPr>
        <w:t>субъектов Российской Федерации в сфере организации отдыха и оздоровления детей, общий объем выделенны</w:t>
      </w:r>
      <w:r w:rsidR="00414F23">
        <w:rPr>
          <w:rFonts w:ascii="Times New Roman" w:eastAsia="Calibri" w:hAnsi="Times New Roman" w:cs="Times New Roman"/>
          <w:sz w:val="28"/>
          <w:szCs w:val="28"/>
        </w:rPr>
        <w:t xml:space="preserve">х средств на реализацию летней </w:t>
      </w:r>
      <w:r w:rsidRPr="00E94206">
        <w:rPr>
          <w:rFonts w:ascii="Times New Roman" w:eastAsia="Calibri" w:hAnsi="Times New Roman" w:cs="Times New Roman"/>
          <w:sz w:val="28"/>
          <w:szCs w:val="28"/>
        </w:rPr>
        <w:t xml:space="preserve">оздоровительной кампании </w:t>
      </w:r>
      <w:r w:rsidR="007733C4">
        <w:rPr>
          <w:rFonts w:ascii="Times New Roman" w:eastAsia="Calibri" w:hAnsi="Times New Roman" w:cs="Times New Roman"/>
          <w:sz w:val="28"/>
          <w:szCs w:val="28"/>
        </w:rPr>
        <w:br/>
      </w:r>
      <w:r w:rsidRPr="00E94206">
        <w:rPr>
          <w:rFonts w:ascii="Times New Roman" w:eastAsia="Calibri" w:hAnsi="Times New Roman" w:cs="Times New Roman"/>
          <w:sz w:val="28"/>
          <w:szCs w:val="28"/>
        </w:rPr>
        <w:t>2021 г</w:t>
      </w:r>
      <w:r w:rsidR="007733C4">
        <w:rPr>
          <w:rFonts w:ascii="Times New Roman" w:eastAsia="Calibri" w:hAnsi="Times New Roman" w:cs="Times New Roman"/>
          <w:sz w:val="28"/>
          <w:szCs w:val="28"/>
        </w:rPr>
        <w:t>.</w:t>
      </w:r>
      <w:r w:rsidRPr="00E94206">
        <w:rPr>
          <w:rFonts w:ascii="Times New Roman" w:eastAsia="Calibri" w:hAnsi="Times New Roman" w:cs="Times New Roman"/>
          <w:sz w:val="28"/>
          <w:szCs w:val="28"/>
        </w:rPr>
        <w:t xml:space="preserve"> субъектов Российской Федерации составил более 51 857 485,57 тыс. рублей, в том числе более 30 696 402,17 тыс. рублей – ср</w:t>
      </w:r>
      <w:r w:rsidR="00414F23">
        <w:rPr>
          <w:rFonts w:ascii="Times New Roman" w:eastAsia="Calibri" w:hAnsi="Times New Roman" w:cs="Times New Roman"/>
          <w:sz w:val="28"/>
          <w:szCs w:val="28"/>
        </w:rPr>
        <w:t xml:space="preserve">едства региональных бюджетов, а </w:t>
      </w:r>
      <w:r w:rsidRPr="00E94206">
        <w:rPr>
          <w:rFonts w:ascii="Times New Roman" w:eastAsia="Calibri" w:hAnsi="Times New Roman" w:cs="Times New Roman"/>
          <w:sz w:val="28"/>
          <w:szCs w:val="28"/>
        </w:rPr>
        <w:t>также бо</w:t>
      </w:r>
      <w:r w:rsidR="00414F23">
        <w:rPr>
          <w:rFonts w:ascii="Times New Roman" w:eastAsia="Calibri" w:hAnsi="Times New Roman" w:cs="Times New Roman"/>
          <w:sz w:val="28"/>
          <w:szCs w:val="28"/>
        </w:rPr>
        <w:t xml:space="preserve">лее 7 861 470,42 тыс. рублей – </w:t>
      </w:r>
      <w:r w:rsidRPr="00E94206">
        <w:rPr>
          <w:rFonts w:ascii="Times New Roman" w:eastAsia="Calibri" w:hAnsi="Times New Roman" w:cs="Times New Roman"/>
          <w:sz w:val="28"/>
          <w:szCs w:val="28"/>
        </w:rPr>
        <w:t>средства муниципальных бюджетов, свыше 13 299 612,98 тыс. рублей – внебюджетные средства.</w:t>
      </w:r>
    </w:p>
    <w:p w14:paraId="5CC87892" w14:textId="77777777" w:rsidR="00E94206" w:rsidRPr="00E94206" w:rsidRDefault="00E94206" w:rsidP="00E94206">
      <w:pPr>
        <w:widowControl w:val="0"/>
        <w:suppressAutoHyphens/>
        <w:spacing w:after="0" w:line="312" w:lineRule="auto"/>
        <w:ind w:firstLine="709"/>
        <w:contextualSpacing/>
        <w:jc w:val="both"/>
        <w:rPr>
          <w:rFonts w:ascii="Times New Roman" w:eastAsia="Calibri" w:hAnsi="Times New Roman" w:cs="Times New Roman"/>
          <w:sz w:val="28"/>
          <w:szCs w:val="28"/>
        </w:rPr>
      </w:pPr>
      <w:r w:rsidRPr="00E94206">
        <w:rPr>
          <w:rFonts w:ascii="Times New Roman" w:eastAsia="Calibri" w:hAnsi="Times New Roman" w:cs="Times New Roman"/>
          <w:sz w:val="28"/>
          <w:szCs w:val="28"/>
        </w:rPr>
        <w:t>По данным, переданным в Минпросвещения России уполномоченными органами исполнительной власти субъектов Российской Федерации в сфере организации отдыха и оздоровления де</w:t>
      </w:r>
      <w:r w:rsidR="00414F23">
        <w:rPr>
          <w:rFonts w:ascii="Times New Roman" w:eastAsia="Calibri" w:hAnsi="Times New Roman" w:cs="Times New Roman"/>
          <w:sz w:val="28"/>
          <w:szCs w:val="28"/>
        </w:rPr>
        <w:t xml:space="preserve">тей, средняя стоимость путевки </w:t>
      </w:r>
      <w:r w:rsidRPr="00E94206">
        <w:rPr>
          <w:rFonts w:ascii="Times New Roman" w:eastAsia="Calibri" w:hAnsi="Times New Roman" w:cs="Times New Roman"/>
          <w:sz w:val="28"/>
          <w:szCs w:val="28"/>
        </w:rPr>
        <w:t>в организации отдыха детей и их оздор</w:t>
      </w:r>
      <w:r w:rsidR="00414F23">
        <w:rPr>
          <w:rFonts w:ascii="Times New Roman" w:eastAsia="Calibri" w:hAnsi="Times New Roman" w:cs="Times New Roman"/>
          <w:sz w:val="28"/>
          <w:szCs w:val="28"/>
        </w:rPr>
        <w:t>овления в 2021 г</w:t>
      </w:r>
      <w:r w:rsidR="007733C4">
        <w:rPr>
          <w:rFonts w:ascii="Times New Roman" w:eastAsia="Calibri" w:hAnsi="Times New Roman" w:cs="Times New Roman"/>
          <w:sz w:val="28"/>
          <w:szCs w:val="28"/>
        </w:rPr>
        <w:t>.</w:t>
      </w:r>
      <w:r w:rsidR="00414F23">
        <w:rPr>
          <w:rFonts w:ascii="Times New Roman" w:eastAsia="Calibri" w:hAnsi="Times New Roman" w:cs="Times New Roman"/>
          <w:sz w:val="28"/>
          <w:szCs w:val="28"/>
        </w:rPr>
        <w:t xml:space="preserve"> составила </w:t>
      </w:r>
      <w:r w:rsidRPr="00E94206">
        <w:rPr>
          <w:rFonts w:ascii="Times New Roman" w:eastAsia="Calibri" w:hAnsi="Times New Roman" w:cs="Times New Roman"/>
          <w:sz w:val="28"/>
          <w:szCs w:val="28"/>
        </w:rPr>
        <w:t>28,1 тыс. рублей.</w:t>
      </w:r>
    </w:p>
    <w:p w14:paraId="11C66CBB" w14:textId="77777777" w:rsidR="00E94206" w:rsidRPr="00E94206" w:rsidRDefault="00E94206" w:rsidP="00E94206">
      <w:pPr>
        <w:widowControl w:val="0"/>
        <w:suppressAutoHyphens/>
        <w:spacing w:after="0" w:line="312" w:lineRule="auto"/>
        <w:ind w:firstLine="709"/>
        <w:contextualSpacing/>
        <w:jc w:val="both"/>
        <w:rPr>
          <w:rFonts w:ascii="Times New Roman" w:eastAsia="Calibri" w:hAnsi="Times New Roman" w:cs="Times New Roman"/>
          <w:sz w:val="28"/>
          <w:szCs w:val="28"/>
        </w:rPr>
      </w:pPr>
      <w:r w:rsidRPr="00E94206">
        <w:rPr>
          <w:rFonts w:ascii="Times New Roman" w:eastAsia="Calibri" w:hAnsi="Times New Roman" w:cs="Times New Roman"/>
          <w:sz w:val="28"/>
          <w:szCs w:val="28"/>
        </w:rPr>
        <w:t xml:space="preserve">В условиях распространения новой коронавирусной инфекции (COVID-19) Минпросвещения России проработан вопрос </w:t>
      </w:r>
      <w:r w:rsidR="00414F23">
        <w:rPr>
          <w:rFonts w:ascii="Times New Roman" w:eastAsia="Calibri" w:hAnsi="Times New Roman" w:cs="Times New Roman"/>
          <w:sz w:val="28"/>
          <w:szCs w:val="28"/>
        </w:rPr>
        <w:t xml:space="preserve">о недопущении сокращения числа детей </w:t>
      </w:r>
      <w:r w:rsidRPr="00E94206">
        <w:rPr>
          <w:rFonts w:ascii="Times New Roman" w:eastAsia="Calibri" w:hAnsi="Times New Roman" w:cs="Times New Roman"/>
          <w:sz w:val="28"/>
          <w:szCs w:val="28"/>
        </w:rPr>
        <w:t xml:space="preserve">и подростков, охваченных организованными формами занятости, </w:t>
      </w:r>
      <w:r w:rsidR="00414F23">
        <w:rPr>
          <w:rFonts w:ascii="Times New Roman" w:eastAsia="Calibri" w:hAnsi="Times New Roman" w:cs="Times New Roman"/>
          <w:sz w:val="28"/>
          <w:szCs w:val="28"/>
        </w:rPr>
        <w:t>в связи с чем</w:t>
      </w:r>
      <w:r w:rsidRPr="00E94206">
        <w:rPr>
          <w:rFonts w:ascii="Times New Roman" w:eastAsia="Calibri" w:hAnsi="Times New Roman" w:cs="Times New Roman"/>
          <w:sz w:val="28"/>
          <w:szCs w:val="28"/>
        </w:rPr>
        <w:t xml:space="preserve"> уполномоченным органам исполнительной власти субъектов </w:t>
      </w:r>
      <w:r w:rsidR="00414F23">
        <w:rPr>
          <w:rFonts w:ascii="Times New Roman" w:eastAsia="Calibri" w:hAnsi="Times New Roman" w:cs="Times New Roman"/>
          <w:sz w:val="28"/>
          <w:szCs w:val="28"/>
        </w:rPr>
        <w:t xml:space="preserve">Российской </w:t>
      </w:r>
      <w:r w:rsidRPr="00E94206">
        <w:rPr>
          <w:rFonts w:ascii="Times New Roman" w:eastAsia="Calibri" w:hAnsi="Times New Roman" w:cs="Times New Roman"/>
          <w:sz w:val="28"/>
          <w:szCs w:val="28"/>
        </w:rPr>
        <w:t>Федерации в сфере организации отдыха и оздоровления детей рекомендовано проведение работы по вовлечению макс</w:t>
      </w:r>
      <w:r w:rsidR="00414F23">
        <w:rPr>
          <w:rFonts w:ascii="Times New Roman" w:eastAsia="Calibri" w:hAnsi="Times New Roman" w:cs="Times New Roman"/>
          <w:sz w:val="28"/>
          <w:szCs w:val="28"/>
        </w:rPr>
        <w:t xml:space="preserve">имально возможного числа детей </w:t>
      </w:r>
      <w:r w:rsidRPr="00E94206">
        <w:rPr>
          <w:rFonts w:ascii="Times New Roman" w:eastAsia="Calibri" w:hAnsi="Times New Roman" w:cs="Times New Roman"/>
          <w:sz w:val="28"/>
          <w:szCs w:val="28"/>
        </w:rPr>
        <w:t>и подростков в малые формы занятости.</w:t>
      </w:r>
    </w:p>
    <w:p w14:paraId="044606CC" w14:textId="77777777" w:rsidR="00E94206" w:rsidRPr="00E94206" w:rsidRDefault="00E94206" w:rsidP="00E94206">
      <w:pPr>
        <w:widowControl w:val="0"/>
        <w:suppressAutoHyphens/>
        <w:spacing w:after="0" w:line="312" w:lineRule="auto"/>
        <w:ind w:firstLine="709"/>
        <w:contextualSpacing/>
        <w:jc w:val="both"/>
        <w:rPr>
          <w:rFonts w:ascii="Times New Roman" w:eastAsia="Calibri" w:hAnsi="Times New Roman" w:cs="Times New Roman"/>
          <w:sz w:val="28"/>
          <w:szCs w:val="28"/>
        </w:rPr>
      </w:pPr>
      <w:r w:rsidRPr="00E94206">
        <w:rPr>
          <w:rFonts w:ascii="Times New Roman" w:eastAsia="Calibri" w:hAnsi="Times New Roman" w:cs="Times New Roman"/>
          <w:sz w:val="28"/>
          <w:szCs w:val="28"/>
        </w:rPr>
        <w:t xml:space="preserve">Так, на базе инфраструктуры организаций дополнительного образования детей, профессиональных и иных образовательных организаций, учреждений культуры и спорта по месту жительства </w:t>
      </w:r>
      <w:r w:rsidR="00414F23" w:rsidRPr="00E94206">
        <w:rPr>
          <w:rFonts w:ascii="Times New Roman" w:eastAsia="Calibri" w:hAnsi="Times New Roman" w:cs="Times New Roman"/>
          <w:sz w:val="28"/>
          <w:szCs w:val="28"/>
        </w:rPr>
        <w:t xml:space="preserve">в каникулярный период времени </w:t>
      </w:r>
      <w:r w:rsidRPr="00E94206">
        <w:rPr>
          <w:rFonts w:ascii="Times New Roman" w:eastAsia="Calibri" w:hAnsi="Times New Roman" w:cs="Times New Roman"/>
          <w:sz w:val="28"/>
          <w:szCs w:val="28"/>
        </w:rPr>
        <w:t>обеспеч</w:t>
      </w:r>
      <w:r w:rsidR="00414F23">
        <w:rPr>
          <w:rFonts w:ascii="Times New Roman" w:eastAsia="Calibri" w:hAnsi="Times New Roman" w:cs="Times New Roman"/>
          <w:sz w:val="28"/>
          <w:szCs w:val="28"/>
        </w:rPr>
        <w:t>ена занятость 15 613 668 детей</w:t>
      </w:r>
      <w:r w:rsidRPr="00E94206">
        <w:rPr>
          <w:rFonts w:ascii="Times New Roman" w:eastAsia="Calibri" w:hAnsi="Times New Roman" w:cs="Times New Roman"/>
          <w:sz w:val="28"/>
          <w:szCs w:val="28"/>
        </w:rPr>
        <w:t>, в</w:t>
      </w:r>
      <w:r w:rsidR="00414F23">
        <w:rPr>
          <w:rFonts w:ascii="Times New Roman" w:eastAsia="Calibri" w:hAnsi="Times New Roman" w:cs="Times New Roman"/>
          <w:sz w:val="28"/>
          <w:szCs w:val="28"/>
        </w:rPr>
        <w:t xml:space="preserve"> том числе 2 717 363 ребенка – </w:t>
      </w:r>
      <w:r w:rsidRPr="00E94206">
        <w:rPr>
          <w:rFonts w:ascii="Times New Roman" w:eastAsia="Calibri" w:hAnsi="Times New Roman" w:cs="Times New Roman"/>
          <w:sz w:val="28"/>
          <w:szCs w:val="28"/>
        </w:rPr>
        <w:t>в дистанционном формате.</w:t>
      </w:r>
    </w:p>
    <w:p w14:paraId="0D7F70D1" w14:textId="77777777" w:rsidR="00E94206" w:rsidRPr="00E94206" w:rsidRDefault="00E94206" w:rsidP="00414F23">
      <w:pPr>
        <w:widowControl w:val="0"/>
        <w:suppressAutoHyphens/>
        <w:spacing w:after="0" w:line="312" w:lineRule="auto"/>
        <w:ind w:firstLine="709"/>
        <w:contextualSpacing/>
        <w:jc w:val="both"/>
        <w:rPr>
          <w:rFonts w:ascii="Times New Roman" w:eastAsia="Calibri" w:hAnsi="Times New Roman" w:cs="Times New Roman"/>
          <w:sz w:val="28"/>
          <w:szCs w:val="28"/>
        </w:rPr>
      </w:pPr>
      <w:r w:rsidRPr="00E94206">
        <w:rPr>
          <w:rFonts w:ascii="Times New Roman" w:eastAsia="Calibri" w:hAnsi="Times New Roman" w:cs="Times New Roman"/>
          <w:sz w:val="28"/>
          <w:szCs w:val="28"/>
        </w:rPr>
        <w:t>Всего за период летней оздоровительной кампании 2021 г</w:t>
      </w:r>
      <w:r w:rsidR="007733C4">
        <w:rPr>
          <w:rFonts w:ascii="Times New Roman" w:eastAsia="Calibri" w:hAnsi="Times New Roman" w:cs="Times New Roman"/>
          <w:sz w:val="28"/>
          <w:szCs w:val="28"/>
        </w:rPr>
        <w:t>.</w:t>
      </w:r>
      <w:r w:rsidRPr="00E94206">
        <w:rPr>
          <w:rFonts w:ascii="Times New Roman" w:eastAsia="Calibri" w:hAnsi="Times New Roman" w:cs="Times New Roman"/>
          <w:sz w:val="28"/>
          <w:szCs w:val="28"/>
        </w:rPr>
        <w:t xml:space="preserve"> на территории субъектов Российской Федерации реал</w:t>
      </w:r>
      <w:r w:rsidR="00414F23">
        <w:rPr>
          <w:rFonts w:ascii="Times New Roman" w:eastAsia="Calibri" w:hAnsi="Times New Roman" w:cs="Times New Roman"/>
          <w:sz w:val="28"/>
          <w:szCs w:val="28"/>
        </w:rPr>
        <w:t xml:space="preserve">изовано 65 914 профильных смен </w:t>
      </w:r>
      <w:r w:rsidRPr="00E94206">
        <w:rPr>
          <w:rFonts w:ascii="Times New Roman" w:eastAsia="Calibri" w:hAnsi="Times New Roman" w:cs="Times New Roman"/>
          <w:sz w:val="28"/>
          <w:szCs w:val="28"/>
        </w:rPr>
        <w:t xml:space="preserve">и дополнительных общеразвивающих программ, в том числе 4 293 адаптированных для детей с </w:t>
      </w:r>
      <w:r w:rsidR="00414F23">
        <w:rPr>
          <w:rFonts w:ascii="Times New Roman" w:eastAsia="Calibri" w:hAnsi="Times New Roman" w:cs="Times New Roman"/>
          <w:sz w:val="28"/>
          <w:szCs w:val="28"/>
        </w:rPr>
        <w:t xml:space="preserve">ОВЗ. </w:t>
      </w:r>
      <w:r w:rsidR="00414F23" w:rsidRPr="00E94206">
        <w:rPr>
          <w:rFonts w:ascii="Times New Roman" w:eastAsia="Calibri" w:hAnsi="Times New Roman" w:cs="Times New Roman"/>
          <w:sz w:val="28"/>
          <w:szCs w:val="28"/>
        </w:rPr>
        <w:t xml:space="preserve">4 227 893 </w:t>
      </w:r>
      <w:r w:rsidRPr="00E94206">
        <w:rPr>
          <w:rFonts w:ascii="Times New Roman" w:eastAsia="Calibri" w:hAnsi="Times New Roman" w:cs="Times New Roman"/>
          <w:sz w:val="28"/>
          <w:szCs w:val="28"/>
        </w:rPr>
        <w:t>детей, участвова</w:t>
      </w:r>
      <w:r w:rsidR="00414F23">
        <w:rPr>
          <w:rFonts w:ascii="Times New Roman" w:eastAsia="Calibri" w:hAnsi="Times New Roman" w:cs="Times New Roman"/>
          <w:sz w:val="28"/>
          <w:szCs w:val="28"/>
        </w:rPr>
        <w:t xml:space="preserve">ли в профильных сменах </w:t>
      </w:r>
      <w:r w:rsidRPr="00E94206">
        <w:rPr>
          <w:rFonts w:ascii="Times New Roman" w:eastAsia="Calibri" w:hAnsi="Times New Roman" w:cs="Times New Roman"/>
          <w:sz w:val="28"/>
          <w:szCs w:val="28"/>
        </w:rPr>
        <w:t xml:space="preserve">и </w:t>
      </w:r>
      <w:r w:rsidR="00414F23">
        <w:rPr>
          <w:rFonts w:ascii="Times New Roman" w:eastAsia="Calibri" w:hAnsi="Times New Roman" w:cs="Times New Roman"/>
          <w:sz w:val="28"/>
          <w:szCs w:val="28"/>
        </w:rPr>
        <w:t xml:space="preserve">были </w:t>
      </w:r>
      <w:r w:rsidRPr="00E94206">
        <w:rPr>
          <w:rFonts w:ascii="Times New Roman" w:eastAsia="Calibri" w:hAnsi="Times New Roman" w:cs="Times New Roman"/>
          <w:sz w:val="28"/>
          <w:szCs w:val="28"/>
        </w:rPr>
        <w:t>охвачен</w:t>
      </w:r>
      <w:r w:rsidR="00414F23">
        <w:rPr>
          <w:rFonts w:ascii="Times New Roman" w:eastAsia="Calibri" w:hAnsi="Times New Roman" w:cs="Times New Roman"/>
          <w:sz w:val="28"/>
          <w:szCs w:val="28"/>
        </w:rPr>
        <w:t>ы</w:t>
      </w:r>
      <w:r w:rsidRPr="00E94206">
        <w:rPr>
          <w:rFonts w:ascii="Times New Roman" w:eastAsia="Calibri" w:hAnsi="Times New Roman" w:cs="Times New Roman"/>
          <w:sz w:val="28"/>
          <w:szCs w:val="28"/>
        </w:rPr>
        <w:t xml:space="preserve"> дополнительными общераз</w:t>
      </w:r>
      <w:r w:rsidR="00414F23">
        <w:rPr>
          <w:rFonts w:ascii="Times New Roman" w:eastAsia="Calibri" w:hAnsi="Times New Roman" w:cs="Times New Roman"/>
          <w:sz w:val="28"/>
          <w:szCs w:val="28"/>
        </w:rPr>
        <w:t xml:space="preserve">вивающими программами в летний </w:t>
      </w:r>
      <w:r w:rsidRPr="00E94206">
        <w:rPr>
          <w:rFonts w:ascii="Times New Roman" w:eastAsia="Calibri" w:hAnsi="Times New Roman" w:cs="Times New Roman"/>
          <w:sz w:val="28"/>
          <w:szCs w:val="28"/>
        </w:rPr>
        <w:t xml:space="preserve">период времени, в том числе 79 169 детей с </w:t>
      </w:r>
      <w:r w:rsidR="00414F23">
        <w:rPr>
          <w:rFonts w:ascii="Times New Roman" w:eastAsia="Calibri" w:hAnsi="Times New Roman" w:cs="Times New Roman"/>
          <w:sz w:val="28"/>
          <w:szCs w:val="28"/>
        </w:rPr>
        <w:t>ОВЗ</w:t>
      </w:r>
      <w:r w:rsidRPr="00E94206">
        <w:rPr>
          <w:rFonts w:ascii="Times New Roman" w:eastAsia="Calibri" w:hAnsi="Times New Roman" w:cs="Times New Roman"/>
          <w:sz w:val="28"/>
          <w:szCs w:val="28"/>
        </w:rPr>
        <w:t>.</w:t>
      </w:r>
    </w:p>
    <w:p w14:paraId="6D17B7F2" w14:textId="77777777" w:rsidR="00E94206" w:rsidRDefault="00E94206" w:rsidP="00E94206">
      <w:pPr>
        <w:widowControl w:val="0"/>
        <w:suppressAutoHyphens/>
        <w:spacing w:after="0" w:line="312" w:lineRule="auto"/>
        <w:ind w:firstLine="709"/>
        <w:contextualSpacing/>
        <w:jc w:val="both"/>
        <w:rPr>
          <w:rFonts w:ascii="Times New Roman" w:eastAsia="Calibri" w:hAnsi="Times New Roman" w:cs="Times New Roman"/>
          <w:sz w:val="28"/>
          <w:szCs w:val="28"/>
        </w:rPr>
      </w:pPr>
      <w:r w:rsidRPr="00E94206">
        <w:rPr>
          <w:rFonts w:ascii="Times New Roman" w:eastAsia="Calibri" w:hAnsi="Times New Roman" w:cs="Times New Roman"/>
          <w:sz w:val="28"/>
          <w:szCs w:val="28"/>
        </w:rPr>
        <w:t>В период летней оздоровительной кампании 2021 г</w:t>
      </w:r>
      <w:r w:rsidR="007733C4">
        <w:rPr>
          <w:rFonts w:ascii="Times New Roman" w:eastAsia="Calibri" w:hAnsi="Times New Roman" w:cs="Times New Roman"/>
          <w:sz w:val="28"/>
          <w:szCs w:val="28"/>
        </w:rPr>
        <w:t>.</w:t>
      </w:r>
      <w:r w:rsidRPr="00E94206">
        <w:rPr>
          <w:rFonts w:ascii="Times New Roman" w:eastAsia="Calibri" w:hAnsi="Times New Roman" w:cs="Times New Roman"/>
          <w:sz w:val="28"/>
          <w:szCs w:val="28"/>
        </w:rPr>
        <w:t xml:space="preserve"> продолжила работу федеральная «горячая линия» по вопросам детс</w:t>
      </w:r>
      <w:r w:rsidR="00414F23">
        <w:rPr>
          <w:rFonts w:ascii="Times New Roman" w:eastAsia="Calibri" w:hAnsi="Times New Roman" w:cs="Times New Roman"/>
          <w:sz w:val="28"/>
          <w:szCs w:val="28"/>
        </w:rPr>
        <w:t xml:space="preserve">кого отдыха, а также созданные </w:t>
      </w:r>
      <w:r w:rsidRPr="00E94206">
        <w:rPr>
          <w:rFonts w:ascii="Times New Roman" w:eastAsia="Calibri" w:hAnsi="Times New Roman" w:cs="Times New Roman"/>
          <w:sz w:val="28"/>
          <w:szCs w:val="28"/>
        </w:rPr>
        <w:t xml:space="preserve">в субъектах Российской Федерации «горячие линии» по аналогичным вопросам. </w:t>
      </w:r>
      <w:r w:rsidR="00414F23">
        <w:rPr>
          <w:rFonts w:ascii="Times New Roman" w:eastAsia="Calibri" w:hAnsi="Times New Roman" w:cs="Times New Roman"/>
          <w:sz w:val="28"/>
          <w:szCs w:val="28"/>
        </w:rPr>
        <w:br/>
        <w:t>В период с</w:t>
      </w:r>
      <w:r w:rsidRPr="00E94206">
        <w:rPr>
          <w:rFonts w:ascii="Times New Roman" w:eastAsia="Calibri" w:hAnsi="Times New Roman" w:cs="Times New Roman"/>
          <w:sz w:val="28"/>
          <w:szCs w:val="28"/>
        </w:rPr>
        <w:t xml:space="preserve"> 1 января по 1 октября 2021 г</w:t>
      </w:r>
      <w:r w:rsidR="003066AB">
        <w:rPr>
          <w:rFonts w:ascii="Times New Roman" w:eastAsia="Calibri" w:hAnsi="Times New Roman" w:cs="Times New Roman"/>
          <w:sz w:val="28"/>
          <w:szCs w:val="28"/>
        </w:rPr>
        <w:t>.</w:t>
      </w:r>
      <w:r w:rsidR="00414F23">
        <w:rPr>
          <w:rFonts w:ascii="Times New Roman" w:eastAsia="Calibri" w:hAnsi="Times New Roman" w:cs="Times New Roman"/>
          <w:sz w:val="28"/>
          <w:szCs w:val="28"/>
        </w:rPr>
        <w:t xml:space="preserve"> на федеральную горячую линию </w:t>
      </w:r>
      <w:r w:rsidRPr="00E94206">
        <w:rPr>
          <w:rFonts w:ascii="Times New Roman" w:eastAsia="Calibri" w:hAnsi="Times New Roman" w:cs="Times New Roman"/>
          <w:sz w:val="28"/>
          <w:szCs w:val="28"/>
        </w:rPr>
        <w:t>поступило 2 472 звонка.</w:t>
      </w:r>
    </w:p>
    <w:p w14:paraId="41F8BDB1" w14:textId="77777777" w:rsidR="002A28D3" w:rsidRDefault="002A28D3" w:rsidP="00E94206">
      <w:pPr>
        <w:widowControl w:val="0"/>
        <w:suppressAutoHyphens/>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 учетом положительной динамики и улучшения эпидемиологической ситуации с заболеваемостью новой коронавирусной инфекцией в Российской Федерации </w:t>
      </w:r>
      <w:r w:rsidR="008F3756">
        <w:rPr>
          <w:rFonts w:ascii="Times New Roman" w:eastAsia="Calibri" w:hAnsi="Times New Roman" w:cs="Times New Roman"/>
          <w:sz w:val="28"/>
          <w:szCs w:val="28"/>
        </w:rPr>
        <w:t xml:space="preserve">внесены изменения в санитарно-эпидемиологические правила </w:t>
      </w:r>
      <w:r w:rsidR="008F3756">
        <w:rPr>
          <w:rFonts w:ascii="Times New Roman" w:eastAsia="Calibri" w:hAnsi="Times New Roman" w:cs="Times New Roman"/>
          <w:sz w:val="28"/>
          <w:szCs w:val="28"/>
        </w:rPr>
        <w:br/>
        <w:t xml:space="preserve">СП 3.1/2.4.3598-20 «Санитарно-эпидемиологические </w:t>
      </w:r>
      <w:r w:rsidR="00805725">
        <w:rPr>
          <w:rFonts w:ascii="Times New Roman" w:eastAsia="Calibri" w:hAnsi="Times New Roman" w:cs="Times New Roman"/>
          <w:sz w:val="28"/>
          <w:szCs w:val="28"/>
        </w:rPr>
        <w:t>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00805725">
        <w:rPr>
          <w:rFonts w:ascii="Times New Roman" w:eastAsia="Calibri" w:hAnsi="Times New Roman" w:cs="Times New Roman"/>
          <w:sz w:val="28"/>
          <w:szCs w:val="28"/>
          <w:lang w:val="en-US"/>
        </w:rPr>
        <w:t>COVID</w:t>
      </w:r>
      <w:r w:rsidR="00805725" w:rsidRPr="00805725">
        <w:rPr>
          <w:rFonts w:ascii="Times New Roman" w:eastAsia="Calibri" w:hAnsi="Times New Roman" w:cs="Times New Roman"/>
          <w:sz w:val="28"/>
          <w:szCs w:val="28"/>
        </w:rPr>
        <w:t>-19</w:t>
      </w:r>
      <w:r w:rsidR="00805725">
        <w:rPr>
          <w:rFonts w:ascii="Times New Roman" w:eastAsia="Calibri" w:hAnsi="Times New Roman" w:cs="Times New Roman"/>
          <w:sz w:val="28"/>
          <w:szCs w:val="28"/>
        </w:rPr>
        <w:t>)», утвержденные постановлением Главного государственного санитарного врача от 24 марта 2021 г. № 10, направленные на снижение ранее установленных ограничений.</w:t>
      </w:r>
    </w:p>
    <w:p w14:paraId="7E921606" w14:textId="77777777" w:rsidR="002615EC" w:rsidRDefault="002615EC" w:rsidP="002615EC">
      <w:pPr>
        <w:widowControl w:val="0"/>
        <w:suppressAutoHyphens/>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Изменениями была предусмотрена возможность организации межрегионального отдыха детей с учетом эпидемиологической ситуации, увеличения наполняемости организаций отдыха детей и их оздоровления до 75%, работы лагерей без проживания персонала в них при условии еженедельного обследования персонала на новую коронавирусную инфекцию, функц</w:t>
      </w:r>
      <w:r w:rsidR="003066AB">
        <w:rPr>
          <w:rFonts w:ascii="Times New Roman" w:eastAsia="Calibri" w:hAnsi="Times New Roman" w:cs="Times New Roman"/>
          <w:sz w:val="28"/>
          <w:szCs w:val="28"/>
        </w:rPr>
        <w:t>ионирования палаточных лагерей.</w:t>
      </w:r>
    </w:p>
    <w:p w14:paraId="4563E582" w14:textId="77777777" w:rsidR="002615EC" w:rsidRPr="00805725" w:rsidRDefault="002615EC" w:rsidP="002615EC">
      <w:pPr>
        <w:widowControl w:val="0"/>
        <w:suppressAutoHyphens/>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Организации отдыха и оздоровления детей были открыты во всех субъектах Российской Федерации.</w:t>
      </w:r>
    </w:p>
    <w:p w14:paraId="2468737C" w14:textId="77777777" w:rsidR="002615EC" w:rsidRDefault="002615EC" w:rsidP="002615EC">
      <w:pPr>
        <w:widowControl w:val="0"/>
        <w:suppressAutoHyphens/>
        <w:spacing w:after="0" w:line="312" w:lineRule="auto"/>
        <w:ind w:firstLine="709"/>
        <w:contextualSpacing/>
        <w:jc w:val="both"/>
        <w:rPr>
          <w:rFonts w:ascii="Times New Roman" w:eastAsia="Calibri" w:hAnsi="Times New Roman" w:cs="Times New Roman"/>
          <w:sz w:val="28"/>
          <w:szCs w:val="28"/>
        </w:rPr>
      </w:pPr>
      <w:r w:rsidRPr="00C705F7">
        <w:rPr>
          <w:rFonts w:ascii="Times New Roman" w:eastAsia="Calibri" w:hAnsi="Times New Roman" w:cs="Times New Roman"/>
          <w:sz w:val="28"/>
          <w:szCs w:val="28"/>
        </w:rPr>
        <w:t>За период 2016</w:t>
      </w:r>
      <w:r w:rsidR="007733C4">
        <w:rPr>
          <w:rFonts w:ascii="Times New Roman" w:eastAsia="Calibri" w:hAnsi="Times New Roman" w:cs="Times New Roman"/>
          <w:sz w:val="28"/>
          <w:szCs w:val="28"/>
        </w:rPr>
        <w:t>-</w:t>
      </w:r>
      <w:r w:rsidRPr="00C705F7">
        <w:rPr>
          <w:rFonts w:ascii="Times New Roman" w:eastAsia="Calibri" w:hAnsi="Times New Roman" w:cs="Times New Roman"/>
          <w:sz w:val="28"/>
          <w:szCs w:val="28"/>
        </w:rPr>
        <w:t>2021 гг. улучшилась обеспеченность организаций централизованными техническими системами. В летний период 2021 г</w:t>
      </w:r>
      <w:r w:rsidR="007733C4">
        <w:rPr>
          <w:rFonts w:ascii="Times New Roman" w:eastAsia="Calibri" w:hAnsi="Times New Roman" w:cs="Times New Roman"/>
          <w:sz w:val="28"/>
          <w:szCs w:val="28"/>
        </w:rPr>
        <w:t>.</w:t>
      </w:r>
      <w:r w:rsidRPr="00C705F7">
        <w:rPr>
          <w:rFonts w:ascii="Times New Roman" w:eastAsia="Calibri" w:hAnsi="Times New Roman" w:cs="Times New Roman"/>
          <w:sz w:val="28"/>
          <w:szCs w:val="28"/>
        </w:rPr>
        <w:t xml:space="preserve"> функционировали 348 организаций отдыха, не имеющие централизованной </w:t>
      </w:r>
      <w:r w:rsidR="00F82C31" w:rsidRPr="00C705F7">
        <w:rPr>
          <w:rFonts w:ascii="Times New Roman" w:eastAsia="Calibri" w:hAnsi="Times New Roman" w:cs="Times New Roman"/>
          <w:sz w:val="28"/>
          <w:szCs w:val="28"/>
        </w:rPr>
        <w:t>системы канализации (0,9% от общего количества эксплуатирующихся организаций), в том числе 231 оздоровительная организация с дневным пребыванием (0,7% от общего количества эксплуатирующихся организаций данного типа)</w:t>
      </w:r>
      <w:r w:rsidR="00C705F7">
        <w:rPr>
          <w:rFonts w:ascii="Times New Roman" w:eastAsia="Calibri" w:hAnsi="Times New Roman" w:cs="Times New Roman"/>
          <w:sz w:val="28"/>
          <w:szCs w:val="28"/>
        </w:rPr>
        <w:t xml:space="preserve"> и 23 загородных стационарных оздоровительных организаций (1,2%).</w:t>
      </w:r>
    </w:p>
    <w:p w14:paraId="56232BEB" w14:textId="05D9C52D" w:rsidR="00C705F7" w:rsidRDefault="004F20B4" w:rsidP="002615EC">
      <w:pPr>
        <w:widowControl w:val="0"/>
        <w:suppressAutoHyphens/>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Без централизованной системы водоснабжения в 2021 г</w:t>
      </w:r>
      <w:r w:rsidR="007733C4">
        <w:rPr>
          <w:rFonts w:ascii="Times New Roman" w:eastAsia="Calibri" w:hAnsi="Times New Roman" w:cs="Times New Roman"/>
          <w:sz w:val="28"/>
          <w:szCs w:val="28"/>
        </w:rPr>
        <w:t>.</w:t>
      </w:r>
      <w:r>
        <w:rPr>
          <w:rFonts w:ascii="Times New Roman" w:eastAsia="Calibri" w:hAnsi="Times New Roman" w:cs="Times New Roman"/>
          <w:sz w:val="28"/>
          <w:szCs w:val="28"/>
        </w:rPr>
        <w:t xml:space="preserve"> работали </w:t>
      </w:r>
      <w:r w:rsidR="007733C4">
        <w:rPr>
          <w:rFonts w:ascii="Times New Roman" w:eastAsia="Calibri" w:hAnsi="Times New Roman" w:cs="Times New Roman"/>
          <w:sz w:val="28"/>
          <w:szCs w:val="28"/>
        </w:rPr>
        <w:br/>
      </w:r>
      <w:r>
        <w:rPr>
          <w:rFonts w:ascii="Times New Roman" w:eastAsia="Calibri" w:hAnsi="Times New Roman" w:cs="Times New Roman"/>
          <w:sz w:val="28"/>
          <w:szCs w:val="28"/>
        </w:rPr>
        <w:t xml:space="preserve">697 организаций отдыха (1,9% от общего количества эксплуатирующихся организаций), в </w:t>
      </w:r>
      <w:r w:rsidR="00E53A88">
        <w:rPr>
          <w:rFonts w:ascii="Times New Roman" w:eastAsia="Calibri" w:hAnsi="Times New Roman" w:cs="Times New Roman"/>
          <w:sz w:val="28"/>
          <w:szCs w:val="28"/>
        </w:rPr>
        <w:t xml:space="preserve">том числе 572 оздоровительные организации с дневным пребыванием (1,8% от общего количества эксплуатирующихся организаций данного типа) </w:t>
      </w:r>
      <w:r w:rsidR="003028EB">
        <w:rPr>
          <w:rFonts w:ascii="Times New Roman" w:eastAsia="Calibri" w:hAnsi="Times New Roman" w:cs="Times New Roman"/>
          <w:sz w:val="28"/>
          <w:szCs w:val="28"/>
        </w:rPr>
        <w:br/>
      </w:r>
      <w:r w:rsidR="00E53A88">
        <w:rPr>
          <w:rFonts w:ascii="Times New Roman" w:eastAsia="Calibri" w:hAnsi="Times New Roman" w:cs="Times New Roman"/>
          <w:sz w:val="28"/>
          <w:szCs w:val="28"/>
        </w:rPr>
        <w:t>и 32 загородные стационарные оздоровительные организации (1,7%).</w:t>
      </w:r>
    </w:p>
    <w:p w14:paraId="1E58C857" w14:textId="77777777" w:rsidR="00BF3DEF" w:rsidRDefault="00E53A88" w:rsidP="00BF3DEF">
      <w:pPr>
        <w:widowControl w:val="0"/>
        <w:suppressAutoHyphens/>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00BF3DEF">
        <w:rPr>
          <w:rFonts w:ascii="Times New Roman" w:eastAsia="Calibri" w:hAnsi="Times New Roman" w:cs="Times New Roman"/>
          <w:sz w:val="28"/>
          <w:szCs w:val="28"/>
        </w:rPr>
        <w:t>ходе контрольно-надзорных мероприятий 2021 г</w:t>
      </w:r>
      <w:r w:rsidR="007733C4">
        <w:rPr>
          <w:rFonts w:ascii="Times New Roman" w:eastAsia="Calibri" w:hAnsi="Times New Roman" w:cs="Times New Roman"/>
          <w:sz w:val="28"/>
          <w:szCs w:val="28"/>
        </w:rPr>
        <w:t>.</w:t>
      </w:r>
      <w:r w:rsidR="00BF3DEF">
        <w:rPr>
          <w:rFonts w:ascii="Times New Roman" w:eastAsia="Calibri" w:hAnsi="Times New Roman" w:cs="Times New Roman"/>
          <w:sz w:val="28"/>
          <w:szCs w:val="28"/>
        </w:rPr>
        <w:t>, несмотря на наличие заключения Роспотребнадзора о несоответствии деятельности санитарно-эпидемиологическим требованиям, руководителями 5-ти учреждений был организован заезд 462 детей в оздоровитель</w:t>
      </w:r>
      <w:r w:rsidR="000A2A26">
        <w:rPr>
          <w:rFonts w:ascii="Times New Roman" w:eastAsia="Calibri" w:hAnsi="Times New Roman" w:cs="Times New Roman"/>
          <w:sz w:val="28"/>
          <w:szCs w:val="28"/>
        </w:rPr>
        <w:t>ные организации.</w:t>
      </w:r>
    </w:p>
    <w:p w14:paraId="4F0A6FA5" w14:textId="77777777" w:rsidR="000A2A26" w:rsidRDefault="000A2A26" w:rsidP="00BF3DEF">
      <w:pPr>
        <w:widowControl w:val="0"/>
        <w:suppressAutoHyphens/>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Кроме того, в 6 субъектах Российской Федерации были установлены факты организованного отдыха 200 детей в 8 учреждениях, не входящих в региональные реестры, начавших работу без санитарно-эпидемиологических заключений.</w:t>
      </w:r>
    </w:p>
    <w:p w14:paraId="5E69F610" w14:textId="77777777" w:rsidR="000A2A26" w:rsidRDefault="000A2A26" w:rsidP="00BF3DEF">
      <w:pPr>
        <w:widowControl w:val="0"/>
        <w:suppressAutoHyphens/>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Во всех случаях осуществления организациями отдыха детей и их оздоровления деятельности без санитарно-эпидемиологических заключений, были приняты меры административного воздействия, деятельность лагерей была приостановлена.</w:t>
      </w:r>
    </w:p>
    <w:p w14:paraId="2211BDF3" w14:textId="77777777" w:rsidR="00957C77" w:rsidRPr="00957C77" w:rsidRDefault="00957C77" w:rsidP="00BF3DEF">
      <w:pPr>
        <w:widowControl w:val="0"/>
        <w:suppressAutoHyphens/>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Выявлены факты приема на работу 111 человек персонала в 6 субъектах Российской Федерации, не проходившего обследование на новую коронавирусную инфекцию </w:t>
      </w:r>
      <w:r w:rsidRPr="00307F6D">
        <w:rPr>
          <w:rFonts w:ascii="Times New Roman" w:eastAsia="Calibri" w:hAnsi="Times New Roman" w:cs="Times New Roman"/>
          <w:sz w:val="28"/>
          <w:szCs w:val="28"/>
        </w:rPr>
        <w:t>(</w:t>
      </w:r>
      <w:r>
        <w:rPr>
          <w:rFonts w:ascii="Times New Roman" w:eastAsia="Calibri" w:hAnsi="Times New Roman" w:cs="Times New Roman"/>
          <w:sz w:val="28"/>
          <w:szCs w:val="28"/>
          <w:lang w:val="en-US"/>
        </w:rPr>
        <w:t>COVID</w:t>
      </w:r>
      <w:r w:rsidRPr="00307F6D">
        <w:rPr>
          <w:rFonts w:ascii="Times New Roman" w:eastAsia="Calibri" w:hAnsi="Times New Roman" w:cs="Times New Roman"/>
          <w:sz w:val="28"/>
          <w:szCs w:val="28"/>
        </w:rPr>
        <w:t>-</w:t>
      </w:r>
      <w:r>
        <w:rPr>
          <w:rFonts w:ascii="Times New Roman" w:eastAsia="Calibri" w:hAnsi="Times New Roman" w:cs="Times New Roman"/>
          <w:sz w:val="28"/>
          <w:szCs w:val="28"/>
        </w:rPr>
        <w:t>19)</w:t>
      </w:r>
      <w:r w:rsidR="004E3563">
        <w:rPr>
          <w:rFonts w:ascii="Times New Roman" w:eastAsia="Calibri" w:hAnsi="Times New Roman" w:cs="Times New Roman"/>
          <w:sz w:val="28"/>
          <w:szCs w:val="28"/>
        </w:rPr>
        <w:t>,</w:t>
      </w:r>
      <w:r>
        <w:rPr>
          <w:rFonts w:ascii="Times New Roman" w:eastAsia="Calibri" w:hAnsi="Times New Roman" w:cs="Times New Roman"/>
          <w:sz w:val="28"/>
          <w:szCs w:val="28"/>
        </w:rPr>
        <w:t xml:space="preserve"> в нарушение требований санитарного законодательства.</w:t>
      </w:r>
    </w:p>
    <w:p w14:paraId="1DB0C99A" w14:textId="0E6E0620" w:rsidR="00E94206" w:rsidRPr="00E94206" w:rsidRDefault="00E53A88" w:rsidP="00E94206">
      <w:pPr>
        <w:widowControl w:val="0"/>
        <w:suppressAutoHyphens/>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414F23" w:rsidRPr="00E94206">
        <w:rPr>
          <w:rFonts w:ascii="Times New Roman" w:eastAsia="Calibri" w:hAnsi="Times New Roman" w:cs="Times New Roman"/>
          <w:sz w:val="28"/>
          <w:szCs w:val="28"/>
        </w:rPr>
        <w:t xml:space="preserve"> летнюю оздоровительную кампанию 2021 г</w:t>
      </w:r>
      <w:r w:rsidR="007733C4">
        <w:rPr>
          <w:rFonts w:ascii="Times New Roman" w:eastAsia="Calibri" w:hAnsi="Times New Roman" w:cs="Times New Roman"/>
          <w:sz w:val="28"/>
          <w:szCs w:val="28"/>
        </w:rPr>
        <w:t>.</w:t>
      </w:r>
      <w:r w:rsidR="00414F23" w:rsidRPr="00E94206">
        <w:rPr>
          <w:rFonts w:ascii="Times New Roman" w:eastAsia="Calibri" w:hAnsi="Times New Roman" w:cs="Times New Roman"/>
          <w:sz w:val="28"/>
          <w:szCs w:val="28"/>
        </w:rPr>
        <w:t xml:space="preserve"> </w:t>
      </w:r>
      <w:r w:rsidR="00E94206" w:rsidRPr="00E94206">
        <w:rPr>
          <w:rFonts w:ascii="Times New Roman" w:eastAsia="Calibri" w:hAnsi="Times New Roman" w:cs="Times New Roman"/>
          <w:sz w:val="28"/>
          <w:szCs w:val="28"/>
        </w:rPr>
        <w:t xml:space="preserve">не допущены к эксплуатации </w:t>
      </w:r>
      <w:r w:rsidR="003028EB">
        <w:rPr>
          <w:rFonts w:ascii="Times New Roman" w:eastAsia="Calibri" w:hAnsi="Times New Roman" w:cs="Times New Roman"/>
          <w:sz w:val="28"/>
          <w:szCs w:val="28"/>
        </w:rPr>
        <w:br/>
      </w:r>
      <w:r w:rsidR="00E94206" w:rsidRPr="00E94206">
        <w:rPr>
          <w:rFonts w:ascii="Times New Roman" w:eastAsia="Calibri" w:hAnsi="Times New Roman" w:cs="Times New Roman"/>
          <w:sz w:val="28"/>
          <w:szCs w:val="28"/>
        </w:rPr>
        <w:t>122 учреждения в 18 субъектах Российской Федерации, которым были выданы санитарно</w:t>
      </w:r>
      <w:r w:rsidR="00414F23">
        <w:rPr>
          <w:rFonts w:ascii="Times New Roman" w:eastAsia="Calibri" w:hAnsi="Times New Roman" w:cs="Times New Roman"/>
          <w:sz w:val="28"/>
          <w:szCs w:val="28"/>
        </w:rPr>
        <w:t xml:space="preserve">-эпидемиологические заключения </w:t>
      </w:r>
      <w:r w:rsidR="00E94206" w:rsidRPr="00E94206">
        <w:rPr>
          <w:rFonts w:ascii="Times New Roman" w:eastAsia="Calibri" w:hAnsi="Times New Roman" w:cs="Times New Roman"/>
          <w:sz w:val="28"/>
          <w:szCs w:val="28"/>
        </w:rPr>
        <w:t>о несоответствии их деятельности санитарно-</w:t>
      </w:r>
      <w:r w:rsidR="00414F23">
        <w:rPr>
          <w:rFonts w:ascii="Times New Roman" w:eastAsia="Calibri" w:hAnsi="Times New Roman" w:cs="Times New Roman"/>
          <w:sz w:val="28"/>
          <w:szCs w:val="28"/>
        </w:rPr>
        <w:t>эпидемиоло</w:t>
      </w:r>
      <w:r>
        <w:rPr>
          <w:rFonts w:ascii="Times New Roman" w:eastAsia="Calibri" w:hAnsi="Times New Roman" w:cs="Times New Roman"/>
          <w:sz w:val="28"/>
          <w:szCs w:val="28"/>
        </w:rPr>
        <w:t xml:space="preserve">гическим требованиям: </w:t>
      </w:r>
      <w:r w:rsidR="00E94206" w:rsidRPr="00E94206">
        <w:rPr>
          <w:rFonts w:ascii="Times New Roman" w:eastAsia="Calibri" w:hAnsi="Times New Roman" w:cs="Times New Roman"/>
          <w:sz w:val="28"/>
          <w:szCs w:val="28"/>
        </w:rPr>
        <w:t xml:space="preserve">40 учреждений – </w:t>
      </w:r>
      <w:r w:rsidR="00414F23">
        <w:rPr>
          <w:rFonts w:ascii="Times New Roman" w:eastAsia="Calibri" w:hAnsi="Times New Roman" w:cs="Times New Roman"/>
          <w:sz w:val="28"/>
          <w:szCs w:val="28"/>
        </w:rPr>
        <w:t xml:space="preserve">в </w:t>
      </w:r>
      <w:r w:rsidR="00E94206" w:rsidRPr="00E94206">
        <w:rPr>
          <w:rFonts w:ascii="Times New Roman" w:eastAsia="Calibri" w:hAnsi="Times New Roman" w:cs="Times New Roman"/>
          <w:sz w:val="28"/>
          <w:szCs w:val="28"/>
        </w:rPr>
        <w:t>Республик</w:t>
      </w:r>
      <w:r w:rsidR="00414F23">
        <w:rPr>
          <w:rFonts w:ascii="Times New Roman" w:eastAsia="Calibri" w:hAnsi="Times New Roman" w:cs="Times New Roman"/>
          <w:sz w:val="28"/>
          <w:szCs w:val="28"/>
        </w:rPr>
        <w:t>е</w:t>
      </w:r>
      <w:r w:rsidR="00E94206" w:rsidRPr="00E94206">
        <w:rPr>
          <w:rFonts w:ascii="Times New Roman" w:eastAsia="Calibri" w:hAnsi="Times New Roman" w:cs="Times New Roman"/>
          <w:sz w:val="28"/>
          <w:szCs w:val="28"/>
        </w:rPr>
        <w:t xml:space="preserve"> Карелия, 28 – </w:t>
      </w:r>
      <w:r w:rsidR="00414F23">
        <w:rPr>
          <w:rFonts w:ascii="Times New Roman" w:eastAsia="Calibri" w:hAnsi="Times New Roman" w:cs="Times New Roman"/>
          <w:sz w:val="28"/>
          <w:szCs w:val="28"/>
        </w:rPr>
        <w:t xml:space="preserve">в </w:t>
      </w:r>
      <w:r w:rsidR="00E94206" w:rsidRPr="00E94206">
        <w:rPr>
          <w:rFonts w:ascii="Times New Roman" w:eastAsia="Calibri" w:hAnsi="Times New Roman" w:cs="Times New Roman"/>
          <w:sz w:val="28"/>
          <w:szCs w:val="28"/>
        </w:rPr>
        <w:t>Волгоградск</w:t>
      </w:r>
      <w:r w:rsidR="00414F23">
        <w:rPr>
          <w:rFonts w:ascii="Times New Roman" w:eastAsia="Calibri" w:hAnsi="Times New Roman" w:cs="Times New Roman"/>
          <w:sz w:val="28"/>
          <w:szCs w:val="28"/>
        </w:rPr>
        <w:t>ой</w:t>
      </w:r>
      <w:r w:rsidR="00E94206" w:rsidRPr="00E94206">
        <w:rPr>
          <w:rFonts w:ascii="Times New Roman" w:eastAsia="Calibri" w:hAnsi="Times New Roman" w:cs="Times New Roman"/>
          <w:sz w:val="28"/>
          <w:szCs w:val="28"/>
        </w:rPr>
        <w:t xml:space="preserve"> област</w:t>
      </w:r>
      <w:r w:rsidR="00414F23">
        <w:rPr>
          <w:rFonts w:ascii="Times New Roman" w:eastAsia="Calibri" w:hAnsi="Times New Roman" w:cs="Times New Roman"/>
          <w:sz w:val="28"/>
          <w:szCs w:val="28"/>
        </w:rPr>
        <w:t>и</w:t>
      </w:r>
      <w:r w:rsidR="00E94206" w:rsidRPr="00E94206">
        <w:rPr>
          <w:rFonts w:ascii="Times New Roman" w:eastAsia="Calibri" w:hAnsi="Times New Roman" w:cs="Times New Roman"/>
          <w:sz w:val="28"/>
          <w:szCs w:val="28"/>
        </w:rPr>
        <w:t xml:space="preserve">, 17 – </w:t>
      </w:r>
      <w:r w:rsidR="00414F23">
        <w:rPr>
          <w:rFonts w:ascii="Times New Roman" w:eastAsia="Calibri" w:hAnsi="Times New Roman" w:cs="Times New Roman"/>
          <w:sz w:val="28"/>
          <w:szCs w:val="28"/>
        </w:rPr>
        <w:t xml:space="preserve">в </w:t>
      </w:r>
      <w:r w:rsidR="00E94206" w:rsidRPr="00E94206">
        <w:rPr>
          <w:rFonts w:ascii="Times New Roman" w:eastAsia="Calibri" w:hAnsi="Times New Roman" w:cs="Times New Roman"/>
          <w:sz w:val="28"/>
          <w:szCs w:val="28"/>
        </w:rPr>
        <w:t>Республик</w:t>
      </w:r>
      <w:r w:rsidR="00414F23">
        <w:rPr>
          <w:rFonts w:ascii="Times New Roman" w:eastAsia="Calibri" w:hAnsi="Times New Roman" w:cs="Times New Roman"/>
          <w:sz w:val="28"/>
          <w:szCs w:val="28"/>
        </w:rPr>
        <w:t>е</w:t>
      </w:r>
      <w:r w:rsidR="00E94206" w:rsidRPr="00E94206">
        <w:rPr>
          <w:rFonts w:ascii="Times New Roman" w:eastAsia="Calibri" w:hAnsi="Times New Roman" w:cs="Times New Roman"/>
          <w:sz w:val="28"/>
          <w:szCs w:val="28"/>
        </w:rPr>
        <w:t xml:space="preserve"> Хакасия, 7 – </w:t>
      </w:r>
      <w:r w:rsidR="00414F23">
        <w:rPr>
          <w:rFonts w:ascii="Times New Roman" w:eastAsia="Calibri" w:hAnsi="Times New Roman" w:cs="Times New Roman"/>
          <w:sz w:val="28"/>
          <w:szCs w:val="28"/>
        </w:rPr>
        <w:t xml:space="preserve">в </w:t>
      </w:r>
      <w:r w:rsidR="00E94206" w:rsidRPr="00E94206">
        <w:rPr>
          <w:rFonts w:ascii="Times New Roman" w:eastAsia="Calibri" w:hAnsi="Times New Roman" w:cs="Times New Roman"/>
          <w:sz w:val="28"/>
          <w:szCs w:val="28"/>
        </w:rPr>
        <w:t>Кемеровс</w:t>
      </w:r>
      <w:r w:rsidR="00414F23">
        <w:rPr>
          <w:rFonts w:ascii="Times New Roman" w:eastAsia="Calibri" w:hAnsi="Times New Roman" w:cs="Times New Roman"/>
          <w:sz w:val="28"/>
          <w:szCs w:val="28"/>
        </w:rPr>
        <w:t>кой</w:t>
      </w:r>
      <w:r w:rsidR="00E94206" w:rsidRPr="00E94206">
        <w:rPr>
          <w:rFonts w:ascii="Times New Roman" w:eastAsia="Calibri" w:hAnsi="Times New Roman" w:cs="Times New Roman"/>
          <w:sz w:val="28"/>
          <w:szCs w:val="28"/>
        </w:rPr>
        <w:t xml:space="preserve"> област</w:t>
      </w:r>
      <w:r w:rsidR="00414F23">
        <w:rPr>
          <w:rFonts w:ascii="Times New Roman" w:eastAsia="Calibri" w:hAnsi="Times New Roman" w:cs="Times New Roman"/>
          <w:sz w:val="28"/>
          <w:szCs w:val="28"/>
        </w:rPr>
        <w:t>и</w:t>
      </w:r>
      <w:r w:rsidR="00E94206" w:rsidRPr="00E94206">
        <w:rPr>
          <w:rFonts w:ascii="Times New Roman" w:eastAsia="Calibri" w:hAnsi="Times New Roman" w:cs="Times New Roman"/>
          <w:sz w:val="28"/>
          <w:szCs w:val="28"/>
        </w:rPr>
        <w:t xml:space="preserve">, по 6 – </w:t>
      </w:r>
      <w:r w:rsidR="00414F23">
        <w:rPr>
          <w:rFonts w:ascii="Times New Roman" w:eastAsia="Calibri" w:hAnsi="Times New Roman" w:cs="Times New Roman"/>
          <w:sz w:val="28"/>
          <w:szCs w:val="28"/>
        </w:rPr>
        <w:t xml:space="preserve">в </w:t>
      </w:r>
      <w:r w:rsidR="00E94206" w:rsidRPr="00E94206">
        <w:rPr>
          <w:rFonts w:ascii="Times New Roman" w:eastAsia="Calibri" w:hAnsi="Times New Roman" w:cs="Times New Roman"/>
          <w:sz w:val="28"/>
          <w:szCs w:val="28"/>
        </w:rPr>
        <w:t>Астраханс</w:t>
      </w:r>
      <w:r w:rsidR="00414F23">
        <w:rPr>
          <w:rFonts w:ascii="Times New Roman" w:eastAsia="Calibri" w:hAnsi="Times New Roman" w:cs="Times New Roman"/>
          <w:sz w:val="28"/>
          <w:szCs w:val="28"/>
        </w:rPr>
        <w:t>кой</w:t>
      </w:r>
      <w:r w:rsidR="00E94206" w:rsidRPr="00E94206">
        <w:rPr>
          <w:rFonts w:ascii="Times New Roman" w:eastAsia="Calibri" w:hAnsi="Times New Roman" w:cs="Times New Roman"/>
          <w:sz w:val="28"/>
          <w:szCs w:val="28"/>
        </w:rPr>
        <w:t xml:space="preserve"> </w:t>
      </w:r>
      <w:r w:rsidR="00414F23">
        <w:rPr>
          <w:rFonts w:ascii="Times New Roman" w:eastAsia="Calibri" w:hAnsi="Times New Roman" w:cs="Times New Roman"/>
          <w:sz w:val="28"/>
          <w:szCs w:val="28"/>
        </w:rPr>
        <w:t>области и</w:t>
      </w:r>
      <w:r>
        <w:rPr>
          <w:rFonts w:ascii="Times New Roman" w:eastAsia="Calibri" w:hAnsi="Times New Roman" w:cs="Times New Roman"/>
          <w:sz w:val="28"/>
          <w:szCs w:val="28"/>
        </w:rPr>
        <w:t xml:space="preserve"> </w:t>
      </w:r>
      <w:r w:rsidR="00E94206" w:rsidRPr="00E94206">
        <w:rPr>
          <w:rFonts w:ascii="Times New Roman" w:eastAsia="Calibri" w:hAnsi="Times New Roman" w:cs="Times New Roman"/>
          <w:sz w:val="28"/>
          <w:szCs w:val="28"/>
        </w:rPr>
        <w:t>Краснодарск</w:t>
      </w:r>
      <w:r w:rsidR="00414F23">
        <w:rPr>
          <w:rFonts w:ascii="Times New Roman" w:eastAsia="Calibri" w:hAnsi="Times New Roman" w:cs="Times New Roman"/>
          <w:sz w:val="28"/>
          <w:szCs w:val="28"/>
        </w:rPr>
        <w:t>ом</w:t>
      </w:r>
      <w:r w:rsidR="00E94206" w:rsidRPr="00E94206">
        <w:rPr>
          <w:rFonts w:ascii="Times New Roman" w:eastAsia="Calibri" w:hAnsi="Times New Roman" w:cs="Times New Roman"/>
          <w:sz w:val="28"/>
          <w:szCs w:val="28"/>
        </w:rPr>
        <w:t xml:space="preserve"> кра</w:t>
      </w:r>
      <w:r w:rsidR="00414F23">
        <w:rPr>
          <w:rFonts w:ascii="Times New Roman" w:eastAsia="Calibri" w:hAnsi="Times New Roman" w:cs="Times New Roman"/>
          <w:sz w:val="28"/>
          <w:szCs w:val="28"/>
        </w:rPr>
        <w:t>е</w:t>
      </w:r>
      <w:r w:rsidR="00E94206" w:rsidRPr="00E94206">
        <w:rPr>
          <w:rFonts w:ascii="Times New Roman" w:eastAsia="Calibri" w:hAnsi="Times New Roman" w:cs="Times New Roman"/>
          <w:sz w:val="28"/>
          <w:szCs w:val="28"/>
        </w:rPr>
        <w:t xml:space="preserve">; 4 – </w:t>
      </w:r>
      <w:r w:rsidR="00414F23">
        <w:rPr>
          <w:rFonts w:ascii="Times New Roman" w:eastAsia="Calibri" w:hAnsi="Times New Roman" w:cs="Times New Roman"/>
          <w:sz w:val="28"/>
          <w:szCs w:val="28"/>
        </w:rPr>
        <w:t xml:space="preserve">в </w:t>
      </w:r>
      <w:r w:rsidR="00E94206" w:rsidRPr="00E94206">
        <w:rPr>
          <w:rFonts w:ascii="Times New Roman" w:eastAsia="Calibri" w:hAnsi="Times New Roman" w:cs="Times New Roman"/>
          <w:sz w:val="28"/>
          <w:szCs w:val="28"/>
        </w:rPr>
        <w:t>Томск</w:t>
      </w:r>
      <w:r w:rsidR="00414F23">
        <w:rPr>
          <w:rFonts w:ascii="Times New Roman" w:eastAsia="Calibri" w:hAnsi="Times New Roman" w:cs="Times New Roman"/>
          <w:sz w:val="28"/>
          <w:szCs w:val="28"/>
        </w:rPr>
        <w:t>ой</w:t>
      </w:r>
      <w:r w:rsidR="00E94206" w:rsidRPr="00E94206">
        <w:rPr>
          <w:rFonts w:ascii="Times New Roman" w:eastAsia="Calibri" w:hAnsi="Times New Roman" w:cs="Times New Roman"/>
          <w:sz w:val="28"/>
          <w:szCs w:val="28"/>
        </w:rPr>
        <w:t xml:space="preserve"> област</w:t>
      </w:r>
      <w:r w:rsidR="00414F23">
        <w:rPr>
          <w:rFonts w:ascii="Times New Roman" w:eastAsia="Calibri" w:hAnsi="Times New Roman" w:cs="Times New Roman"/>
          <w:sz w:val="28"/>
          <w:szCs w:val="28"/>
        </w:rPr>
        <w:t>и</w:t>
      </w:r>
      <w:r w:rsidR="00E94206" w:rsidRPr="00E94206">
        <w:rPr>
          <w:rFonts w:ascii="Times New Roman" w:eastAsia="Calibri" w:hAnsi="Times New Roman" w:cs="Times New Roman"/>
          <w:sz w:val="28"/>
          <w:szCs w:val="28"/>
        </w:rPr>
        <w:t xml:space="preserve">, 3 – </w:t>
      </w:r>
      <w:r w:rsidR="00414F23">
        <w:rPr>
          <w:rFonts w:ascii="Times New Roman" w:eastAsia="Calibri" w:hAnsi="Times New Roman" w:cs="Times New Roman"/>
          <w:sz w:val="28"/>
          <w:szCs w:val="28"/>
        </w:rPr>
        <w:t xml:space="preserve">в </w:t>
      </w:r>
      <w:r w:rsidR="00E94206" w:rsidRPr="00E94206">
        <w:rPr>
          <w:rFonts w:ascii="Times New Roman" w:eastAsia="Calibri" w:hAnsi="Times New Roman" w:cs="Times New Roman"/>
          <w:sz w:val="28"/>
          <w:szCs w:val="28"/>
        </w:rPr>
        <w:t>г. Москв</w:t>
      </w:r>
      <w:r w:rsidR="00414F23">
        <w:rPr>
          <w:rFonts w:ascii="Times New Roman" w:eastAsia="Calibri" w:hAnsi="Times New Roman" w:cs="Times New Roman"/>
          <w:sz w:val="28"/>
          <w:szCs w:val="28"/>
        </w:rPr>
        <w:t>е</w:t>
      </w:r>
      <w:r w:rsidR="00E94206" w:rsidRPr="00E94206">
        <w:rPr>
          <w:rFonts w:ascii="Times New Roman" w:eastAsia="Calibri" w:hAnsi="Times New Roman" w:cs="Times New Roman"/>
          <w:sz w:val="28"/>
          <w:szCs w:val="28"/>
        </w:rPr>
        <w:t xml:space="preserve">, 2 – </w:t>
      </w:r>
      <w:r w:rsidR="00414F23">
        <w:rPr>
          <w:rFonts w:ascii="Times New Roman" w:eastAsia="Calibri" w:hAnsi="Times New Roman" w:cs="Times New Roman"/>
          <w:sz w:val="28"/>
          <w:szCs w:val="28"/>
        </w:rPr>
        <w:t xml:space="preserve">в </w:t>
      </w:r>
      <w:r w:rsidR="00E94206" w:rsidRPr="00E94206">
        <w:rPr>
          <w:rFonts w:ascii="Times New Roman" w:eastAsia="Calibri" w:hAnsi="Times New Roman" w:cs="Times New Roman"/>
          <w:sz w:val="28"/>
          <w:szCs w:val="28"/>
        </w:rPr>
        <w:t>Воронежск</w:t>
      </w:r>
      <w:r w:rsidR="00414F23">
        <w:rPr>
          <w:rFonts w:ascii="Times New Roman" w:eastAsia="Calibri" w:hAnsi="Times New Roman" w:cs="Times New Roman"/>
          <w:sz w:val="28"/>
          <w:szCs w:val="28"/>
        </w:rPr>
        <w:t>ой</w:t>
      </w:r>
      <w:r w:rsidR="00E94206" w:rsidRPr="00E94206">
        <w:rPr>
          <w:rFonts w:ascii="Times New Roman" w:eastAsia="Calibri" w:hAnsi="Times New Roman" w:cs="Times New Roman"/>
          <w:sz w:val="28"/>
          <w:szCs w:val="28"/>
        </w:rPr>
        <w:t xml:space="preserve"> област</w:t>
      </w:r>
      <w:r w:rsidR="00414F23">
        <w:rPr>
          <w:rFonts w:ascii="Times New Roman" w:eastAsia="Calibri" w:hAnsi="Times New Roman" w:cs="Times New Roman"/>
          <w:sz w:val="28"/>
          <w:szCs w:val="28"/>
        </w:rPr>
        <w:t>и</w:t>
      </w:r>
      <w:r w:rsidR="00E94206" w:rsidRPr="00E94206">
        <w:rPr>
          <w:rFonts w:ascii="Times New Roman" w:eastAsia="Calibri" w:hAnsi="Times New Roman" w:cs="Times New Roman"/>
          <w:sz w:val="28"/>
          <w:szCs w:val="28"/>
        </w:rPr>
        <w:t xml:space="preserve">, по 1 – </w:t>
      </w:r>
      <w:r w:rsidR="00414F23">
        <w:rPr>
          <w:rFonts w:ascii="Times New Roman" w:eastAsia="Calibri" w:hAnsi="Times New Roman" w:cs="Times New Roman"/>
          <w:sz w:val="28"/>
          <w:szCs w:val="28"/>
        </w:rPr>
        <w:t xml:space="preserve">в </w:t>
      </w:r>
      <w:r w:rsidR="00414F23" w:rsidRPr="00E94206">
        <w:rPr>
          <w:rFonts w:ascii="Times New Roman" w:eastAsia="Calibri" w:hAnsi="Times New Roman" w:cs="Times New Roman"/>
          <w:sz w:val="28"/>
          <w:szCs w:val="28"/>
        </w:rPr>
        <w:t>Республик</w:t>
      </w:r>
      <w:r w:rsidR="00414F23">
        <w:rPr>
          <w:rFonts w:ascii="Times New Roman" w:eastAsia="Calibri" w:hAnsi="Times New Roman" w:cs="Times New Roman"/>
          <w:sz w:val="28"/>
          <w:szCs w:val="28"/>
        </w:rPr>
        <w:t>е</w:t>
      </w:r>
      <w:r w:rsidR="00414F23" w:rsidRPr="00E94206">
        <w:rPr>
          <w:rFonts w:ascii="Times New Roman" w:eastAsia="Calibri" w:hAnsi="Times New Roman" w:cs="Times New Roman"/>
          <w:sz w:val="28"/>
          <w:szCs w:val="28"/>
        </w:rPr>
        <w:t xml:space="preserve"> Калмыкия</w:t>
      </w:r>
      <w:r w:rsidR="00414F23">
        <w:rPr>
          <w:rFonts w:ascii="Times New Roman" w:eastAsia="Calibri" w:hAnsi="Times New Roman" w:cs="Times New Roman"/>
          <w:sz w:val="28"/>
          <w:szCs w:val="28"/>
        </w:rPr>
        <w:t>,</w:t>
      </w:r>
      <w:r w:rsidR="00414F23" w:rsidRPr="00414F23">
        <w:rPr>
          <w:rFonts w:ascii="Times New Roman" w:eastAsia="Calibri" w:hAnsi="Times New Roman" w:cs="Times New Roman"/>
          <w:sz w:val="28"/>
          <w:szCs w:val="28"/>
        </w:rPr>
        <w:t xml:space="preserve"> </w:t>
      </w:r>
      <w:r w:rsidR="00414F23" w:rsidRPr="00E94206">
        <w:rPr>
          <w:rFonts w:ascii="Times New Roman" w:eastAsia="Calibri" w:hAnsi="Times New Roman" w:cs="Times New Roman"/>
          <w:sz w:val="28"/>
          <w:szCs w:val="28"/>
        </w:rPr>
        <w:t>Ставропольск</w:t>
      </w:r>
      <w:r w:rsidR="00414F23">
        <w:rPr>
          <w:rFonts w:ascii="Times New Roman" w:eastAsia="Calibri" w:hAnsi="Times New Roman" w:cs="Times New Roman"/>
          <w:sz w:val="28"/>
          <w:szCs w:val="28"/>
        </w:rPr>
        <w:t>ом</w:t>
      </w:r>
      <w:r w:rsidR="00414F23" w:rsidRPr="00E94206">
        <w:rPr>
          <w:rFonts w:ascii="Times New Roman" w:eastAsia="Calibri" w:hAnsi="Times New Roman" w:cs="Times New Roman"/>
          <w:sz w:val="28"/>
          <w:szCs w:val="28"/>
        </w:rPr>
        <w:t xml:space="preserve"> кра</w:t>
      </w:r>
      <w:r w:rsidR="00414F23">
        <w:rPr>
          <w:rFonts w:ascii="Times New Roman" w:eastAsia="Calibri" w:hAnsi="Times New Roman" w:cs="Times New Roman"/>
          <w:sz w:val="28"/>
          <w:szCs w:val="28"/>
        </w:rPr>
        <w:t>е</w:t>
      </w:r>
      <w:r w:rsidR="00414F23" w:rsidRPr="00E94206">
        <w:rPr>
          <w:rFonts w:ascii="Times New Roman" w:eastAsia="Calibri" w:hAnsi="Times New Roman" w:cs="Times New Roman"/>
          <w:sz w:val="28"/>
          <w:szCs w:val="28"/>
        </w:rPr>
        <w:t>,</w:t>
      </w:r>
      <w:r w:rsidR="00414F23">
        <w:rPr>
          <w:rFonts w:ascii="Times New Roman" w:eastAsia="Calibri" w:hAnsi="Times New Roman" w:cs="Times New Roman"/>
          <w:sz w:val="28"/>
          <w:szCs w:val="28"/>
        </w:rPr>
        <w:t xml:space="preserve"> </w:t>
      </w:r>
      <w:r w:rsidR="00E94206" w:rsidRPr="00E94206">
        <w:rPr>
          <w:rFonts w:ascii="Times New Roman" w:eastAsia="Calibri" w:hAnsi="Times New Roman" w:cs="Times New Roman"/>
          <w:sz w:val="28"/>
          <w:szCs w:val="28"/>
        </w:rPr>
        <w:t>Московск</w:t>
      </w:r>
      <w:r w:rsidR="00414F23">
        <w:rPr>
          <w:rFonts w:ascii="Times New Roman" w:eastAsia="Calibri" w:hAnsi="Times New Roman" w:cs="Times New Roman"/>
          <w:sz w:val="28"/>
          <w:szCs w:val="28"/>
        </w:rPr>
        <w:t>ой</w:t>
      </w:r>
      <w:r w:rsidR="00E94206" w:rsidRPr="00E94206">
        <w:rPr>
          <w:rFonts w:ascii="Times New Roman" w:eastAsia="Calibri" w:hAnsi="Times New Roman" w:cs="Times New Roman"/>
          <w:sz w:val="28"/>
          <w:szCs w:val="28"/>
        </w:rPr>
        <w:t>, Ленинградск</w:t>
      </w:r>
      <w:r w:rsidR="00414F23">
        <w:rPr>
          <w:rFonts w:ascii="Times New Roman" w:eastAsia="Calibri" w:hAnsi="Times New Roman" w:cs="Times New Roman"/>
          <w:sz w:val="28"/>
          <w:szCs w:val="28"/>
        </w:rPr>
        <w:t>ой</w:t>
      </w:r>
      <w:r w:rsidR="00E94206" w:rsidRPr="00E94206">
        <w:rPr>
          <w:rFonts w:ascii="Times New Roman" w:eastAsia="Calibri" w:hAnsi="Times New Roman" w:cs="Times New Roman"/>
          <w:sz w:val="28"/>
          <w:szCs w:val="28"/>
        </w:rPr>
        <w:t>, Сахалинск</w:t>
      </w:r>
      <w:r w:rsidR="00414F23">
        <w:rPr>
          <w:rFonts w:ascii="Times New Roman" w:eastAsia="Calibri" w:hAnsi="Times New Roman" w:cs="Times New Roman"/>
          <w:sz w:val="28"/>
          <w:szCs w:val="28"/>
        </w:rPr>
        <w:t>ой</w:t>
      </w:r>
      <w:r w:rsidR="00E94206" w:rsidRPr="00E94206">
        <w:rPr>
          <w:rFonts w:ascii="Times New Roman" w:eastAsia="Calibri" w:hAnsi="Times New Roman" w:cs="Times New Roman"/>
          <w:sz w:val="28"/>
          <w:szCs w:val="28"/>
        </w:rPr>
        <w:t>, Орловск</w:t>
      </w:r>
      <w:r w:rsidR="00414F23">
        <w:rPr>
          <w:rFonts w:ascii="Times New Roman" w:eastAsia="Calibri" w:hAnsi="Times New Roman" w:cs="Times New Roman"/>
          <w:sz w:val="28"/>
          <w:szCs w:val="28"/>
        </w:rPr>
        <w:t>ой</w:t>
      </w:r>
      <w:r w:rsidR="00E94206" w:rsidRPr="00E94206">
        <w:rPr>
          <w:rFonts w:ascii="Times New Roman" w:eastAsia="Calibri" w:hAnsi="Times New Roman" w:cs="Times New Roman"/>
          <w:sz w:val="28"/>
          <w:szCs w:val="28"/>
        </w:rPr>
        <w:t>, Тюменск</w:t>
      </w:r>
      <w:r w:rsidR="00414F23">
        <w:rPr>
          <w:rFonts w:ascii="Times New Roman" w:eastAsia="Calibri" w:hAnsi="Times New Roman" w:cs="Times New Roman"/>
          <w:sz w:val="28"/>
          <w:szCs w:val="28"/>
        </w:rPr>
        <w:t>ой</w:t>
      </w:r>
      <w:r w:rsidR="00E94206" w:rsidRPr="00E94206">
        <w:rPr>
          <w:rFonts w:ascii="Times New Roman" w:eastAsia="Calibri" w:hAnsi="Times New Roman" w:cs="Times New Roman"/>
          <w:sz w:val="28"/>
          <w:szCs w:val="28"/>
        </w:rPr>
        <w:t>, Иркутск</w:t>
      </w:r>
      <w:r w:rsidR="00414F23">
        <w:rPr>
          <w:rFonts w:ascii="Times New Roman" w:eastAsia="Calibri" w:hAnsi="Times New Roman" w:cs="Times New Roman"/>
          <w:sz w:val="28"/>
          <w:szCs w:val="28"/>
        </w:rPr>
        <w:t>ой</w:t>
      </w:r>
      <w:r w:rsidR="00E94206" w:rsidRPr="00E94206">
        <w:rPr>
          <w:rFonts w:ascii="Times New Roman" w:eastAsia="Calibri" w:hAnsi="Times New Roman" w:cs="Times New Roman"/>
          <w:sz w:val="28"/>
          <w:szCs w:val="28"/>
        </w:rPr>
        <w:t xml:space="preserve"> и Новгородск</w:t>
      </w:r>
      <w:r w:rsidR="00414F23">
        <w:rPr>
          <w:rFonts w:ascii="Times New Roman" w:eastAsia="Calibri" w:hAnsi="Times New Roman" w:cs="Times New Roman"/>
          <w:sz w:val="28"/>
          <w:szCs w:val="28"/>
        </w:rPr>
        <w:t>ой</w:t>
      </w:r>
      <w:r w:rsidR="00E94206" w:rsidRPr="00E94206">
        <w:rPr>
          <w:rFonts w:ascii="Times New Roman" w:eastAsia="Calibri" w:hAnsi="Times New Roman" w:cs="Times New Roman"/>
          <w:sz w:val="28"/>
          <w:szCs w:val="28"/>
        </w:rPr>
        <w:t xml:space="preserve"> област</w:t>
      </w:r>
      <w:r w:rsidR="00414F23">
        <w:rPr>
          <w:rFonts w:ascii="Times New Roman" w:eastAsia="Calibri" w:hAnsi="Times New Roman" w:cs="Times New Roman"/>
          <w:sz w:val="28"/>
          <w:szCs w:val="28"/>
        </w:rPr>
        <w:t>ях.</w:t>
      </w:r>
    </w:p>
    <w:p w14:paraId="2232E6DF" w14:textId="77777777" w:rsidR="00E94206" w:rsidRDefault="00E94206" w:rsidP="00E94206">
      <w:pPr>
        <w:widowControl w:val="0"/>
        <w:suppressAutoHyphens/>
        <w:spacing w:after="0" w:line="312" w:lineRule="auto"/>
        <w:ind w:firstLine="709"/>
        <w:contextualSpacing/>
        <w:jc w:val="both"/>
        <w:rPr>
          <w:rFonts w:ascii="Times New Roman" w:eastAsia="Calibri" w:hAnsi="Times New Roman" w:cs="Times New Roman"/>
          <w:sz w:val="28"/>
          <w:szCs w:val="28"/>
        </w:rPr>
      </w:pPr>
      <w:r w:rsidRPr="00E94206">
        <w:rPr>
          <w:rFonts w:ascii="Times New Roman" w:eastAsia="Calibri" w:hAnsi="Times New Roman" w:cs="Times New Roman"/>
          <w:sz w:val="28"/>
          <w:szCs w:val="28"/>
        </w:rPr>
        <w:t>При проведении контрольно-надзорных мероприятий в 25 787 лагерях выявлено около 37 тыс. нарушений требований законодательства Российской Федерации, в число которых вошли нарушения, связанные с несоблюдением требований к организации питания, условиям размещения детей, водоснабжению, содержанию территории и помещений, санитарному режиму в оздоровительных организациях, проведению санитарно-противоэпидемических мероприятий.</w:t>
      </w:r>
    </w:p>
    <w:p w14:paraId="15CFCF42" w14:textId="77777777" w:rsidR="00957C77" w:rsidRDefault="00957C77" w:rsidP="00E94206">
      <w:pPr>
        <w:widowControl w:val="0"/>
        <w:suppressAutoHyphens/>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рамках подготовки организаций отдыха детей и их оздоровления к работе, а также в ходе летней</w:t>
      </w:r>
      <w:r w:rsidR="00411B5C">
        <w:rPr>
          <w:rFonts w:ascii="Times New Roman" w:eastAsia="Calibri" w:hAnsi="Times New Roman" w:cs="Times New Roman"/>
          <w:sz w:val="28"/>
          <w:szCs w:val="28"/>
        </w:rPr>
        <w:t xml:space="preserve"> кампании было проведено исследование более 17,5 тыс. проб воды с водных объектов, используемых в рекреационных целях, в том числе </w:t>
      </w:r>
      <w:r w:rsidR="00411B5C">
        <w:rPr>
          <w:rFonts w:ascii="Times New Roman" w:eastAsia="Calibri" w:hAnsi="Times New Roman" w:cs="Times New Roman"/>
          <w:sz w:val="28"/>
          <w:szCs w:val="28"/>
        </w:rPr>
        <w:br/>
        <w:t>более 8 тыс. проб из чаш бассейнов и около 9,5 тыс. проб из естественных водоемов, было отобрано и исследовано около 160 тыс. проб готовых блюд и питьевой воды, в том числе:</w:t>
      </w:r>
    </w:p>
    <w:p w14:paraId="604ECD13" w14:textId="77777777" w:rsidR="00411B5C" w:rsidRDefault="00411B5C" w:rsidP="00E94206">
      <w:pPr>
        <w:widowControl w:val="0"/>
        <w:suppressAutoHyphens/>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более 88 тыс. проб готовых блюд</w:t>
      </w:r>
      <w:r w:rsidR="00C50599">
        <w:rPr>
          <w:rFonts w:ascii="Times New Roman" w:eastAsia="Calibri" w:hAnsi="Times New Roman" w:cs="Times New Roman"/>
          <w:sz w:val="28"/>
          <w:szCs w:val="28"/>
        </w:rPr>
        <w:t>, из которых 2,5% проб не соответствовали санитарным нормативам по калорийности и химическому составу блюд, 1,4% проб – по микробиологическим показателям и 0,8% проб – по санитарно-химическим показателям;</w:t>
      </w:r>
    </w:p>
    <w:p w14:paraId="4A1E3149" w14:textId="77777777" w:rsidR="00C50599" w:rsidRDefault="00C50599" w:rsidP="00E94206">
      <w:pPr>
        <w:widowControl w:val="0"/>
        <w:suppressAutoHyphens/>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более 71 тыс. проб питьевой воды, из которых не соответствовали гигиеническим нормативам по микробиологическим показателям 1,4% проб и </w:t>
      </w:r>
      <w:r w:rsidR="000E7254">
        <w:rPr>
          <w:rFonts w:ascii="Times New Roman" w:eastAsia="Calibri" w:hAnsi="Times New Roman" w:cs="Times New Roman"/>
          <w:sz w:val="28"/>
          <w:szCs w:val="28"/>
        </w:rPr>
        <w:br/>
      </w:r>
      <w:r>
        <w:rPr>
          <w:rFonts w:ascii="Times New Roman" w:eastAsia="Calibri" w:hAnsi="Times New Roman" w:cs="Times New Roman"/>
          <w:sz w:val="28"/>
          <w:szCs w:val="28"/>
        </w:rPr>
        <w:t xml:space="preserve">3,2% </w:t>
      </w:r>
      <w:r w:rsidR="000E7254">
        <w:rPr>
          <w:rFonts w:ascii="Times New Roman" w:eastAsia="Calibri" w:hAnsi="Times New Roman" w:cs="Times New Roman"/>
          <w:sz w:val="28"/>
          <w:szCs w:val="28"/>
        </w:rPr>
        <w:t>–</w:t>
      </w:r>
      <w:r>
        <w:rPr>
          <w:rFonts w:ascii="Times New Roman" w:eastAsia="Calibri" w:hAnsi="Times New Roman" w:cs="Times New Roman"/>
          <w:sz w:val="28"/>
          <w:szCs w:val="28"/>
        </w:rPr>
        <w:t xml:space="preserve"> по санитарно-химическим показателям.</w:t>
      </w:r>
    </w:p>
    <w:p w14:paraId="0355A021" w14:textId="10D1BEBC" w:rsidR="00E94206" w:rsidRDefault="00E94206" w:rsidP="00E94206">
      <w:pPr>
        <w:widowControl w:val="0"/>
        <w:suppressAutoHyphens/>
        <w:spacing w:after="0" w:line="312" w:lineRule="auto"/>
        <w:ind w:firstLine="709"/>
        <w:contextualSpacing/>
        <w:jc w:val="both"/>
        <w:rPr>
          <w:rFonts w:ascii="Times New Roman" w:eastAsia="Calibri" w:hAnsi="Times New Roman" w:cs="Times New Roman"/>
          <w:sz w:val="28"/>
          <w:szCs w:val="28"/>
        </w:rPr>
      </w:pPr>
      <w:r w:rsidRPr="00E94206">
        <w:rPr>
          <w:rFonts w:ascii="Times New Roman" w:eastAsia="Calibri" w:hAnsi="Times New Roman" w:cs="Times New Roman"/>
          <w:sz w:val="28"/>
          <w:szCs w:val="28"/>
        </w:rPr>
        <w:t>По результатам контрольно-надз</w:t>
      </w:r>
      <w:r w:rsidR="00414F23">
        <w:rPr>
          <w:rFonts w:ascii="Times New Roman" w:eastAsia="Calibri" w:hAnsi="Times New Roman" w:cs="Times New Roman"/>
          <w:sz w:val="28"/>
          <w:szCs w:val="28"/>
        </w:rPr>
        <w:t xml:space="preserve">орных мероприятий должностными </w:t>
      </w:r>
      <w:r w:rsidRPr="00E94206">
        <w:rPr>
          <w:rFonts w:ascii="Times New Roman" w:eastAsia="Calibri" w:hAnsi="Times New Roman" w:cs="Times New Roman"/>
          <w:sz w:val="28"/>
          <w:szCs w:val="28"/>
        </w:rPr>
        <w:t>лицами Роспотребнадзора соста</w:t>
      </w:r>
      <w:r w:rsidR="00414F23">
        <w:rPr>
          <w:rFonts w:ascii="Times New Roman" w:eastAsia="Calibri" w:hAnsi="Times New Roman" w:cs="Times New Roman"/>
          <w:sz w:val="28"/>
          <w:szCs w:val="28"/>
        </w:rPr>
        <w:t xml:space="preserve">влено более 20 тыс. протоколов </w:t>
      </w:r>
      <w:r w:rsidRPr="00E94206">
        <w:rPr>
          <w:rFonts w:ascii="Times New Roman" w:eastAsia="Calibri" w:hAnsi="Times New Roman" w:cs="Times New Roman"/>
          <w:sz w:val="28"/>
          <w:szCs w:val="28"/>
        </w:rPr>
        <w:t>об административном правонарушении. Общая сумма наложенных административных штрафов составила</w:t>
      </w:r>
      <w:r w:rsidR="00414F23">
        <w:rPr>
          <w:rFonts w:ascii="Times New Roman" w:eastAsia="Calibri" w:hAnsi="Times New Roman" w:cs="Times New Roman"/>
          <w:sz w:val="28"/>
          <w:szCs w:val="28"/>
        </w:rPr>
        <w:t xml:space="preserve"> более 98 млн рублей. Вынесено </w:t>
      </w:r>
      <w:r w:rsidRPr="00E94206">
        <w:rPr>
          <w:rFonts w:ascii="Times New Roman" w:eastAsia="Calibri" w:hAnsi="Times New Roman" w:cs="Times New Roman"/>
          <w:sz w:val="28"/>
          <w:szCs w:val="28"/>
        </w:rPr>
        <w:t>5 постановлений о направлении в правоо</w:t>
      </w:r>
      <w:r w:rsidR="00414F23">
        <w:rPr>
          <w:rFonts w:ascii="Times New Roman" w:eastAsia="Calibri" w:hAnsi="Times New Roman" w:cs="Times New Roman"/>
          <w:sz w:val="28"/>
          <w:szCs w:val="28"/>
        </w:rPr>
        <w:t xml:space="preserve">хранительные органы материалов </w:t>
      </w:r>
      <w:r w:rsidRPr="00E94206">
        <w:rPr>
          <w:rFonts w:ascii="Times New Roman" w:eastAsia="Calibri" w:hAnsi="Times New Roman" w:cs="Times New Roman"/>
          <w:sz w:val="28"/>
          <w:szCs w:val="28"/>
        </w:rPr>
        <w:t xml:space="preserve">для возбуждения уголовных дел, из которых 3 </w:t>
      </w:r>
      <w:r w:rsidR="00414F23">
        <w:rPr>
          <w:rFonts w:ascii="Times New Roman" w:eastAsia="Calibri" w:hAnsi="Times New Roman" w:cs="Times New Roman"/>
          <w:sz w:val="28"/>
          <w:szCs w:val="28"/>
        </w:rPr>
        <w:t xml:space="preserve">постановления стали основанием </w:t>
      </w:r>
      <w:r w:rsidRPr="00E94206">
        <w:rPr>
          <w:rFonts w:ascii="Times New Roman" w:eastAsia="Calibri" w:hAnsi="Times New Roman" w:cs="Times New Roman"/>
          <w:sz w:val="28"/>
          <w:szCs w:val="28"/>
        </w:rPr>
        <w:t xml:space="preserve">для возбуждения уголовных дел. Эксплуатация </w:t>
      </w:r>
      <w:r w:rsidR="003028EB">
        <w:rPr>
          <w:rFonts w:ascii="Times New Roman" w:eastAsia="Calibri" w:hAnsi="Times New Roman" w:cs="Times New Roman"/>
          <w:sz w:val="28"/>
          <w:szCs w:val="28"/>
        </w:rPr>
        <w:br/>
      </w:r>
      <w:r w:rsidRPr="00E94206">
        <w:rPr>
          <w:rFonts w:ascii="Times New Roman" w:eastAsia="Calibri" w:hAnsi="Times New Roman" w:cs="Times New Roman"/>
          <w:sz w:val="28"/>
          <w:szCs w:val="28"/>
        </w:rPr>
        <w:t>71 объекта была приостановлена. Отстранено от работы 1 493 сотрудника оздоровительных организаций.</w:t>
      </w:r>
    </w:p>
    <w:p w14:paraId="06ECC6F7" w14:textId="77777777" w:rsidR="00957C77" w:rsidRPr="00E94206" w:rsidRDefault="00957C77" w:rsidP="00E94206">
      <w:pPr>
        <w:widowControl w:val="0"/>
        <w:suppressAutoHyphens/>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Реализация положений СП 3.1/2.4.3598-20 позволила не допустить ухудшения эпидемиологической ситуации в ходе летней оздоровительной кампании 2021 г.</w:t>
      </w:r>
    </w:p>
    <w:p w14:paraId="4499B551" w14:textId="77777777" w:rsidR="00E94206" w:rsidRPr="00E94206" w:rsidRDefault="00E94206" w:rsidP="00E94206">
      <w:pPr>
        <w:widowControl w:val="0"/>
        <w:suppressAutoHyphens/>
        <w:spacing w:after="0" w:line="312" w:lineRule="auto"/>
        <w:ind w:firstLine="709"/>
        <w:contextualSpacing/>
        <w:jc w:val="both"/>
        <w:rPr>
          <w:rFonts w:ascii="Times New Roman" w:eastAsia="Calibri" w:hAnsi="Times New Roman" w:cs="Times New Roman"/>
          <w:sz w:val="28"/>
          <w:szCs w:val="28"/>
        </w:rPr>
      </w:pPr>
      <w:r w:rsidRPr="00E94206">
        <w:rPr>
          <w:rFonts w:ascii="Times New Roman" w:eastAsia="Calibri" w:hAnsi="Times New Roman" w:cs="Times New Roman"/>
          <w:sz w:val="28"/>
          <w:szCs w:val="28"/>
        </w:rPr>
        <w:t>Надзорными органами МЧС Р</w:t>
      </w:r>
      <w:r w:rsidR="00101877">
        <w:rPr>
          <w:rFonts w:ascii="Times New Roman" w:eastAsia="Calibri" w:hAnsi="Times New Roman" w:cs="Times New Roman"/>
          <w:sz w:val="28"/>
          <w:szCs w:val="28"/>
        </w:rPr>
        <w:t>оссии в 2021 г</w:t>
      </w:r>
      <w:r w:rsidR="008B77B1">
        <w:rPr>
          <w:rFonts w:ascii="Times New Roman" w:eastAsia="Calibri" w:hAnsi="Times New Roman" w:cs="Times New Roman"/>
          <w:sz w:val="28"/>
          <w:szCs w:val="28"/>
        </w:rPr>
        <w:t>.</w:t>
      </w:r>
      <w:r w:rsidR="00101877">
        <w:rPr>
          <w:rFonts w:ascii="Times New Roman" w:eastAsia="Calibri" w:hAnsi="Times New Roman" w:cs="Times New Roman"/>
          <w:sz w:val="28"/>
          <w:szCs w:val="28"/>
        </w:rPr>
        <w:t xml:space="preserve"> с учетом мер </w:t>
      </w:r>
      <w:r w:rsidRPr="00E94206">
        <w:rPr>
          <w:rFonts w:ascii="Times New Roman" w:eastAsia="Calibri" w:hAnsi="Times New Roman" w:cs="Times New Roman"/>
          <w:sz w:val="28"/>
          <w:szCs w:val="28"/>
        </w:rPr>
        <w:t>по предупреждению распространения новой коронавирусной инфекции (COVID-19) организованы и проведены контр</w:t>
      </w:r>
      <w:r w:rsidR="00101877">
        <w:rPr>
          <w:rFonts w:ascii="Times New Roman" w:eastAsia="Calibri" w:hAnsi="Times New Roman" w:cs="Times New Roman"/>
          <w:sz w:val="28"/>
          <w:szCs w:val="28"/>
        </w:rPr>
        <w:t xml:space="preserve">ольные (надзорные) мероприятия </w:t>
      </w:r>
      <w:r w:rsidRPr="00E94206">
        <w:rPr>
          <w:rFonts w:ascii="Times New Roman" w:eastAsia="Calibri" w:hAnsi="Times New Roman" w:cs="Times New Roman"/>
          <w:sz w:val="28"/>
          <w:szCs w:val="28"/>
        </w:rPr>
        <w:t>по соблюдению обязательных требований пожарной безопасности на объектах отдыха и оздоровления детей.</w:t>
      </w:r>
    </w:p>
    <w:p w14:paraId="57CDB81F" w14:textId="77777777" w:rsidR="00101877" w:rsidRDefault="00101877" w:rsidP="00E94206">
      <w:pPr>
        <w:widowControl w:val="0"/>
        <w:suppressAutoHyphens/>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2021 г</w:t>
      </w:r>
      <w:r w:rsidR="008B77B1">
        <w:rPr>
          <w:rFonts w:ascii="Times New Roman" w:eastAsia="Calibri" w:hAnsi="Times New Roman" w:cs="Times New Roman"/>
          <w:sz w:val="28"/>
          <w:szCs w:val="28"/>
        </w:rPr>
        <w:t>.</w:t>
      </w:r>
      <w:r>
        <w:rPr>
          <w:rFonts w:ascii="Times New Roman" w:eastAsia="Calibri" w:hAnsi="Times New Roman" w:cs="Times New Roman"/>
          <w:sz w:val="28"/>
          <w:szCs w:val="28"/>
        </w:rPr>
        <w:t xml:space="preserve"> на объектах и территориях летнего детского отдыха и оздоровления произошло 5 пожаров в Иркутской, Нижегородской, Новгородской, Томской областях и г. Санкт-Петербурге, при этом гибели людей не допущено. На контроле МЧС России находилось более 38 </w:t>
      </w:r>
      <w:r w:rsidR="009B6E60">
        <w:rPr>
          <w:rFonts w:ascii="Times New Roman" w:eastAsia="Calibri" w:hAnsi="Times New Roman" w:cs="Times New Roman"/>
          <w:sz w:val="28"/>
          <w:szCs w:val="28"/>
        </w:rPr>
        <w:t>52</w:t>
      </w:r>
      <w:r>
        <w:rPr>
          <w:rFonts w:ascii="Times New Roman" w:eastAsia="Calibri" w:hAnsi="Times New Roman" w:cs="Times New Roman"/>
          <w:sz w:val="28"/>
          <w:szCs w:val="28"/>
        </w:rPr>
        <w:t>0 организаций отдыха и оздоровления детей, из которых более 1,5 тыс. организаций граничили с лесными участками.</w:t>
      </w:r>
    </w:p>
    <w:p w14:paraId="0A1D52FC" w14:textId="77777777" w:rsidR="00101877" w:rsidRPr="00101877" w:rsidRDefault="00101877" w:rsidP="00101877">
      <w:pPr>
        <w:widowControl w:val="0"/>
        <w:suppressAutoHyphens/>
        <w:spacing w:after="0" w:line="312" w:lineRule="auto"/>
        <w:ind w:firstLine="709"/>
        <w:contextualSpacing/>
        <w:jc w:val="both"/>
        <w:rPr>
          <w:rFonts w:ascii="Times New Roman" w:eastAsia="Calibri" w:hAnsi="Times New Roman" w:cs="Times New Roman"/>
          <w:sz w:val="28"/>
          <w:szCs w:val="28"/>
        </w:rPr>
      </w:pPr>
      <w:r w:rsidRPr="00101877">
        <w:rPr>
          <w:rFonts w:ascii="Times New Roman" w:eastAsia="Calibri" w:hAnsi="Times New Roman" w:cs="Times New Roman"/>
          <w:sz w:val="28"/>
          <w:szCs w:val="28"/>
        </w:rPr>
        <w:t>Наибольшее количество объектов оздоровления детей с нарушениями обязательных требований пожарной безопасности установлено в Иркутской (259), Свердловской (182), Калининградской (101) и Омской (73) областях. В целях пресечения выявленных правонарушений к административной ответственности привлечено 1 239 юридических и 2 026 должностных лиц.</w:t>
      </w:r>
    </w:p>
    <w:p w14:paraId="2205393B" w14:textId="77777777" w:rsidR="00101877" w:rsidRPr="00101877" w:rsidRDefault="00101877" w:rsidP="00101877">
      <w:pPr>
        <w:widowControl w:val="0"/>
        <w:suppressAutoHyphens/>
        <w:spacing w:after="0" w:line="312" w:lineRule="auto"/>
        <w:ind w:firstLine="709"/>
        <w:contextualSpacing/>
        <w:jc w:val="both"/>
        <w:rPr>
          <w:rFonts w:ascii="Times New Roman" w:eastAsia="Calibri" w:hAnsi="Times New Roman" w:cs="Times New Roman"/>
          <w:sz w:val="28"/>
          <w:szCs w:val="28"/>
        </w:rPr>
      </w:pPr>
      <w:r w:rsidRPr="00101877">
        <w:rPr>
          <w:rFonts w:ascii="Times New Roman" w:eastAsia="Calibri" w:hAnsi="Times New Roman" w:cs="Times New Roman"/>
          <w:sz w:val="28"/>
          <w:szCs w:val="28"/>
        </w:rPr>
        <w:t xml:space="preserve">О неудовлетворительном состоянии детских лагерей 1 469 информаций направлено в органы государственной власти, в том числе 657 – в органы прокурорского надзора. </w:t>
      </w:r>
    </w:p>
    <w:p w14:paraId="3D71624D" w14:textId="77777777" w:rsidR="00101877" w:rsidRPr="00101877" w:rsidRDefault="00101877" w:rsidP="00101877">
      <w:pPr>
        <w:widowControl w:val="0"/>
        <w:suppressAutoHyphens/>
        <w:spacing w:after="0" w:line="312" w:lineRule="auto"/>
        <w:ind w:firstLine="709"/>
        <w:contextualSpacing/>
        <w:jc w:val="both"/>
        <w:rPr>
          <w:rFonts w:ascii="Times New Roman" w:eastAsia="Calibri" w:hAnsi="Times New Roman" w:cs="Times New Roman"/>
          <w:sz w:val="28"/>
          <w:szCs w:val="28"/>
        </w:rPr>
      </w:pPr>
      <w:r w:rsidRPr="00101877">
        <w:rPr>
          <w:rFonts w:ascii="Times New Roman" w:eastAsia="Calibri" w:hAnsi="Times New Roman" w:cs="Times New Roman"/>
          <w:sz w:val="28"/>
          <w:szCs w:val="28"/>
        </w:rPr>
        <w:t>В 2021 г</w:t>
      </w:r>
      <w:r w:rsidR="00932D1D">
        <w:rPr>
          <w:rFonts w:ascii="Times New Roman" w:eastAsia="Calibri" w:hAnsi="Times New Roman" w:cs="Times New Roman"/>
          <w:sz w:val="28"/>
          <w:szCs w:val="28"/>
        </w:rPr>
        <w:t>.</w:t>
      </w:r>
      <w:r w:rsidRPr="00101877">
        <w:rPr>
          <w:rFonts w:ascii="Times New Roman" w:eastAsia="Calibri" w:hAnsi="Times New Roman" w:cs="Times New Roman"/>
          <w:sz w:val="28"/>
          <w:szCs w:val="28"/>
        </w:rPr>
        <w:t xml:space="preserve"> приостанавливалась</w:t>
      </w:r>
      <w:r>
        <w:rPr>
          <w:rFonts w:ascii="Times New Roman" w:eastAsia="Calibri" w:hAnsi="Times New Roman" w:cs="Times New Roman"/>
          <w:sz w:val="28"/>
          <w:szCs w:val="28"/>
        </w:rPr>
        <w:t xml:space="preserve"> работа 6</w:t>
      </w:r>
      <w:r w:rsidRPr="00101877">
        <w:rPr>
          <w:rFonts w:ascii="Times New Roman" w:eastAsia="Calibri" w:hAnsi="Times New Roman" w:cs="Times New Roman"/>
          <w:sz w:val="28"/>
          <w:szCs w:val="28"/>
        </w:rPr>
        <w:t xml:space="preserve"> детских оздоровительных лагерей:</w:t>
      </w:r>
    </w:p>
    <w:p w14:paraId="41D503F5" w14:textId="77777777" w:rsidR="00101877" w:rsidRPr="00101877" w:rsidRDefault="00101877" w:rsidP="00101877">
      <w:pPr>
        <w:widowControl w:val="0"/>
        <w:suppressAutoHyphens/>
        <w:spacing w:after="0" w:line="312" w:lineRule="auto"/>
        <w:ind w:firstLine="709"/>
        <w:contextualSpacing/>
        <w:jc w:val="both"/>
        <w:rPr>
          <w:rFonts w:ascii="Times New Roman" w:eastAsia="Calibri" w:hAnsi="Times New Roman" w:cs="Times New Roman"/>
          <w:sz w:val="28"/>
          <w:szCs w:val="28"/>
        </w:rPr>
      </w:pPr>
      <w:r w:rsidRPr="00101877">
        <w:rPr>
          <w:rFonts w:ascii="Times New Roman" w:eastAsia="Calibri" w:hAnsi="Times New Roman" w:cs="Times New Roman"/>
          <w:sz w:val="28"/>
          <w:szCs w:val="28"/>
        </w:rPr>
        <w:t>1. Муниципальное автономное учреждение «Детский спортивно-оздоровительный стационарный лагерь «</w:t>
      </w:r>
      <w:proofErr w:type="spellStart"/>
      <w:r w:rsidRPr="00101877">
        <w:rPr>
          <w:rFonts w:ascii="Times New Roman" w:eastAsia="Calibri" w:hAnsi="Times New Roman" w:cs="Times New Roman"/>
          <w:sz w:val="28"/>
          <w:szCs w:val="28"/>
        </w:rPr>
        <w:t>Барилдаан</w:t>
      </w:r>
      <w:proofErr w:type="spellEnd"/>
      <w:r>
        <w:rPr>
          <w:rFonts w:ascii="Times New Roman" w:eastAsia="Calibri" w:hAnsi="Times New Roman" w:cs="Times New Roman"/>
          <w:sz w:val="28"/>
          <w:szCs w:val="28"/>
        </w:rPr>
        <w:t>» (Республика Бурятия),</w:t>
      </w:r>
      <w:r w:rsidRPr="00101877">
        <w:rPr>
          <w:rFonts w:ascii="Times New Roman" w:eastAsia="Calibri" w:hAnsi="Times New Roman" w:cs="Times New Roman"/>
          <w:sz w:val="28"/>
          <w:szCs w:val="28"/>
        </w:rPr>
        <w:t xml:space="preserve"> </w:t>
      </w:r>
      <w:r>
        <w:rPr>
          <w:rFonts w:ascii="Times New Roman" w:eastAsia="Calibri" w:hAnsi="Times New Roman" w:cs="Times New Roman"/>
          <w:sz w:val="28"/>
          <w:szCs w:val="28"/>
        </w:rPr>
        <w:t>в ходе</w:t>
      </w:r>
      <w:r w:rsidRPr="00101877">
        <w:rPr>
          <w:rFonts w:ascii="Times New Roman" w:eastAsia="Calibri" w:hAnsi="Times New Roman" w:cs="Times New Roman"/>
          <w:sz w:val="28"/>
          <w:szCs w:val="28"/>
        </w:rPr>
        <w:t xml:space="preserve"> проверки </w:t>
      </w:r>
      <w:r>
        <w:rPr>
          <w:rFonts w:ascii="Times New Roman" w:eastAsia="Calibri" w:hAnsi="Times New Roman" w:cs="Times New Roman"/>
          <w:sz w:val="28"/>
          <w:szCs w:val="28"/>
        </w:rPr>
        <w:t xml:space="preserve">которого </w:t>
      </w:r>
      <w:r w:rsidRPr="00101877">
        <w:rPr>
          <w:rFonts w:ascii="Times New Roman" w:eastAsia="Calibri" w:hAnsi="Times New Roman" w:cs="Times New Roman"/>
          <w:sz w:val="28"/>
          <w:szCs w:val="28"/>
        </w:rPr>
        <w:t xml:space="preserve">выявлено 14 нарушений требований пожарной безопасности. Решением Суда </w:t>
      </w:r>
      <w:proofErr w:type="spellStart"/>
      <w:r w:rsidRPr="00101877">
        <w:rPr>
          <w:rFonts w:ascii="Times New Roman" w:eastAsia="Calibri" w:hAnsi="Times New Roman" w:cs="Times New Roman"/>
          <w:sz w:val="28"/>
          <w:szCs w:val="28"/>
        </w:rPr>
        <w:t>Баргузинского</w:t>
      </w:r>
      <w:proofErr w:type="spellEnd"/>
      <w:r w:rsidRPr="00101877">
        <w:rPr>
          <w:rFonts w:ascii="Times New Roman" w:eastAsia="Calibri" w:hAnsi="Times New Roman" w:cs="Times New Roman"/>
          <w:sz w:val="28"/>
          <w:szCs w:val="28"/>
        </w:rPr>
        <w:t xml:space="preserve"> района Республики Бурятия юридическое лицо привлечено к административной ответственности в виде административного приостановления деятельности на 90 суток.</w:t>
      </w:r>
    </w:p>
    <w:p w14:paraId="24059BA2" w14:textId="77777777" w:rsidR="00101877" w:rsidRPr="00101877" w:rsidRDefault="00101877" w:rsidP="00101877">
      <w:pPr>
        <w:widowControl w:val="0"/>
        <w:suppressAutoHyphens/>
        <w:spacing w:after="0" w:line="312" w:lineRule="auto"/>
        <w:ind w:firstLine="709"/>
        <w:contextualSpacing/>
        <w:jc w:val="both"/>
        <w:rPr>
          <w:rFonts w:ascii="Times New Roman" w:eastAsia="Calibri" w:hAnsi="Times New Roman" w:cs="Times New Roman"/>
          <w:sz w:val="28"/>
          <w:szCs w:val="28"/>
        </w:rPr>
      </w:pPr>
      <w:r w:rsidRPr="00101877">
        <w:rPr>
          <w:rFonts w:ascii="Times New Roman" w:eastAsia="Calibri" w:hAnsi="Times New Roman" w:cs="Times New Roman"/>
          <w:sz w:val="28"/>
          <w:szCs w:val="28"/>
        </w:rPr>
        <w:t xml:space="preserve">2. Детский оздоровительный стационарный лагерь «Юность» ГБУДО «Ресурсный центр патриотического воспитания, туризма и спорта Республики Бурятия», </w:t>
      </w:r>
      <w:r>
        <w:rPr>
          <w:rFonts w:ascii="Times New Roman" w:eastAsia="Calibri" w:hAnsi="Times New Roman" w:cs="Times New Roman"/>
          <w:sz w:val="28"/>
          <w:szCs w:val="28"/>
        </w:rPr>
        <w:t>в ходе проведения</w:t>
      </w:r>
      <w:r w:rsidRPr="00101877">
        <w:rPr>
          <w:rFonts w:ascii="Times New Roman" w:eastAsia="Calibri" w:hAnsi="Times New Roman" w:cs="Times New Roman"/>
          <w:sz w:val="28"/>
          <w:szCs w:val="28"/>
        </w:rPr>
        <w:t xml:space="preserve"> проверки</w:t>
      </w:r>
      <w:r>
        <w:rPr>
          <w:rFonts w:ascii="Times New Roman" w:eastAsia="Calibri" w:hAnsi="Times New Roman" w:cs="Times New Roman"/>
          <w:sz w:val="28"/>
          <w:szCs w:val="28"/>
        </w:rPr>
        <w:t xml:space="preserve"> которого</w:t>
      </w:r>
      <w:r w:rsidRPr="00101877">
        <w:rPr>
          <w:rFonts w:ascii="Times New Roman" w:eastAsia="Calibri" w:hAnsi="Times New Roman" w:cs="Times New Roman"/>
          <w:sz w:val="28"/>
          <w:szCs w:val="28"/>
        </w:rPr>
        <w:t xml:space="preserve"> выявлено 20 нарушений требований пожарной безопасности. Решением Суда </w:t>
      </w:r>
      <w:proofErr w:type="spellStart"/>
      <w:r w:rsidRPr="00101877">
        <w:rPr>
          <w:rFonts w:ascii="Times New Roman" w:eastAsia="Calibri" w:hAnsi="Times New Roman" w:cs="Times New Roman"/>
          <w:sz w:val="28"/>
          <w:szCs w:val="28"/>
        </w:rPr>
        <w:t>Баргузинского</w:t>
      </w:r>
      <w:proofErr w:type="spellEnd"/>
      <w:r w:rsidRPr="00101877">
        <w:rPr>
          <w:rFonts w:ascii="Times New Roman" w:eastAsia="Calibri" w:hAnsi="Times New Roman" w:cs="Times New Roman"/>
          <w:sz w:val="28"/>
          <w:szCs w:val="28"/>
        </w:rPr>
        <w:t xml:space="preserve"> района Республики Бурятия юридическое лицо привлечено к административной ответственности в виде административного приостановления деятельности на 90 суток.</w:t>
      </w:r>
    </w:p>
    <w:p w14:paraId="06305039" w14:textId="77777777" w:rsidR="00101877" w:rsidRPr="00101877" w:rsidRDefault="00101877" w:rsidP="00101877">
      <w:pPr>
        <w:widowControl w:val="0"/>
        <w:suppressAutoHyphens/>
        <w:spacing w:after="0" w:line="312" w:lineRule="auto"/>
        <w:ind w:firstLine="709"/>
        <w:contextualSpacing/>
        <w:jc w:val="both"/>
        <w:rPr>
          <w:rFonts w:ascii="Times New Roman" w:eastAsia="Calibri" w:hAnsi="Times New Roman" w:cs="Times New Roman"/>
          <w:sz w:val="28"/>
          <w:szCs w:val="28"/>
        </w:rPr>
      </w:pPr>
      <w:r w:rsidRPr="00101877">
        <w:rPr>
          <w:rFonts w:ascii="Times New Roman" w:eastAsia="Calibri" w:hAnsi="Times New Roman" w:cs="Times New Roman"/>
          <w:sz w:val="28"/>
          <w:szCs w:val="28"/>
        </w:rPr>
        <w:t>3. Лагерь труда и отдыха «Патриот Кубани»</w:t>
      </w:r>
      <w:r>
        <w:rPr>
          <w:rFonts w:ascii="Times New Roman" w:eastAsia="Calibri" w:hAnsi="Times New Roman" w:cs="Times New Roman"/>
          <w:sz w:val="28"/>
          <w:szCs w:val="28"/>
        </w:rPr>
        <w:t xml:space="preserve"> (Краснодарский край)</w:t>
      </w:r>
      <w:r w:rsidRPr="00101877">
        <w:rPr>
          <w:rFonts w:ascii="Times New Roman" w:eastAsia="Calibri" w:hAnsi="Times New Roman" w:cs="Times New Roman"/>
          <w:sz w:val="28"/>
          <w:szCs w:val="28"/>
        </w:rPr>
        <w:t xml:space="preserve">, </w:t>
      </w:r>
      <w:r>
        <w:rPr>
          <w:rFonts w:ascii="Times New Roman" w:eastAsia="Calibri" w:hAnsi="Times New Roman" w:cs="Times New Roman"/>
          <w:sz w:val="28"/>
          <w:szCs w:val="28"/>
        </w:rPr>
        <w:t>в</w:t>
      </w:r>
      <w:r w:rsidRPr="00101877">
        <w:rPr>
          <w:rFonts w:ascii="Times New Roman" w:eastAsia="Calibri" w:hAnsi="Times New Roman" w:cs="Times New Roman"/>
          <w:sz w:val="28"/>
          <w:szCs w:val="28"/>
        </w:rPr>
        <w:t xml:space="preserve"> ходе проведения проверки </w:t>
      </w:r>
      <w:r>
        <w:rPr>
          <w:rFonts w:ascii="Times New Roman" w:eastAsia="Calibri" w:hAnsi="Times New Roman" w:cs="Times New Roman"/>
          <w:sz w:val="28"/>
          <w:szCs w:val="28"/>
        </w:rPr>
        <w:t xml:space="preserve">которого </w:t>
      </w:r>
      <w:r w:rsidRPr="00101877">
        <w:rPr>
          <w:rFonts w:ascii="Times New Roman" w:eastAsia="Calibri" w:hAnsi="Times New Roman" w:cs="Times New Roman"/>
          <w:sz w:val="28"/>
          <w:szCs w:val="28"/>
        </w:rPr>
        <w:t xml:space="preserve">выявлено 27 нарушений. Крымский районный Суд Краснодарского края назначил наказание в виде административного приостановления деятельности на 90 суток. </w:t>
      </w:r>
    </w:p>
    <w:p w14:paraId="0682614B" w14:textId="77777777" w:rsidR="00101877" w:rsidRPr="00101877" w:rsidRDefault="00101877" w:rsidP="00101877">
      <w:pPr>
        <w:widowControl w:val="0"/>
        <w:suppressAutoHyphens/>
        <w:spacing w:after="0" w:line="312" w:lineRule="auto"/>
        <w:ind w:firstLine="709"/>
        <w:contextualSpacing/>
        <w:jc w:val="both"/>
        <w:rPr>
          <w:rFonts w:ascii="Times New Roman" w:eastAsia="Calibri" w:hAnsi="Times New Roman" w:cs="Times New Roman"/>
          <w:sz w:val="28"/>
          <w:szCs w:val="28"/>
        </w:rPr>
      </w:pPr>
      <w:r w:rsidRPr="00101877">
        <w:rPr>
          <w:rFonts w:ascii="Times New Roman" w:eastAsia="Calibri" w:hAnsi="Times New Roman" w:cs="Times New Roman"/>
          <w:sz w:val="28"/>
          <w:szCs w:val="28"/>
        </w:rPr>
        <w:t>4. Детский оздоровительный лагерь «Белая Медведица»</w:t>
      </w:r>
      <w:r>
        <w:rPr>
          <w:rFonts w:ascii="Times New Roman" w:eastAsia="Calibri" w:hAnsi="Times New Roman" w:cs="Times New Roman"/>
          <w:sz w:val="28"/>
          <w:szCs w:val="28"/>
        </w:rPr>
        <w:t xml:space="preserve"> (Республика Марий Эл), в ходе проведения проверки которого в</w:t>
      </w:r>
      <w:r w:rsidRPr="00101877">
        <w:rPr>
          <w:rFonts w:ascii="Times New Roman" w:eastAsia="Calibri" w:hAnsi="Times New Roman" w:cs="Times New Roman"/>
          <w:sz w:val="28"/>
          <w:szCs w:val="28"/>
        </w:rPr>
        <w:t>ыявлено</w:t>
      </w:r>
      <w:r>
        <w:rPr>
          <w:rFonts w:ascii="Times New Roman" w:eastAsia="Calibri" w:hAnsi="Times New Roman" w:cs="Times New Roman"/>
          <w:sz w:val="28"/>
          <w:szCs w:val="28"/>
        </w:rPr>
        <w:t xml:space="preserve"> </w:t>
      </w:r>
      <w:r w:rsidRPr="00101877">
        <w:rPr>
          <w:rFonts w:ascii="Times New Roman" w:eastAsia="Calibri" w:hAnsi="Times New Roman" w:cs="Times New Roman"/>
          <w:sz w:val="28"/>
          <w:szCs w:val="28"/>
        </w:rPr>
        <w:t xml:space="preserve">2 нарушения. По решению Суда </w:t>
      </w:r>
      <w:proofErr w:type="spellStart"/>
      <w:r w:rsidRPr="00101877">
        <w:rPr>
          <w:rFonts w:ascii="Times New Roman" w:eastAsia="Calibri" w:hAnsi="Times New Roman" w:cs="Times New Roman"/>
          <w:sz w:val="28"/>
          <w:szCs w:val="28"/>
        </w:rPr>
        <w:t>Медведевского</w:t>
      </w:r>
      <w:proofErr w:type="spellEnd"/>
      <w:r w:rsidRPr="00101877">
        <w:rPr>
          <w:rFonts w:ascii="Times New Roman" w:eastAsia="Calibri" w:hAnsi="Times New Roman" w:cs="Times New Roman"/>
          <w:sz w:val="28"/>
          <w:szCs w:val="28"/>
        </w:rPr>
        <w:t xml:space="preserve"> района Республики Марий Эл назначено наказание в виде административного приостановления деятельности мансардного этажа одноэтажного здания столовой с игровым залом на </w:t>
      </w:r>
      <w:r>
        <w:rPr>
          <w:rFonts w:ascii="Times New Roman" w:eastAsia="Calibri" w:hAnsi="Times New Roman" w:cs="Times New Roman"/>
          <w:sz w:val="28"/>
          <w:szCs w:val="28"/>
        </w:rPr>
        <w:t>21 день</w:t>
      </w:r>
      <w:r w:rsidRPr="00101877">
        <w:rPr>
          <w:rFonts w:ascii="Times New Roman" w:eastAsia="Calibri" w:hAnsi="Times New Roman" w:cs="Times New Roman"/>
          <w:sz w:val="28"/>
          <w:szCs w:val="28"/>
        </w:rPr>
        <w:t>.</w:t>
      </w:r>
    </w:p>
    <w:p w14:paraId="52DB31C4" w14:textId="77777777" w:rsidR="00101877" w:rsidRPr="00101877" w:rsidRDefault="00101877" w:rsidP="00101877">
      <w:pPr>
        <w:widowControl w:val="0"/>
        <w:suppressAutoHyphens/>
        <w:spacing w:after="0" w:line="312" w:lineRule="auto"/>
        <w:ind w:firstLine="709"/>
        <w:contextualSpacing/>
        <w:jc w:val="both"/>
        <w:rPr>
          <w:rFonts w:ascii="Times New Roman" w:eastAsia="Calibri" w:hAnsi="Times New Roman" w:cs="Times New Roman"/>
          <w:sz w:val="28"/>
          <w:szCs w:val="28"/>
        </w:rPr>
      </w:pPr>
      <w:r w:rsidRPr="00101877">
        <w:rPr>
          <w:rFonts w:ascii="Times New Roman" w:eastAsia="Calibri" w:hAnsi="Times New Roman" w:cs="Times New Roman"/>
          <w:sz w:val="28"/>
          <w:szCs w:val="28"/>
        </w:rPr>
        <w:t>5. ДОЛ «Солнечный», деятельность в котором осуществляет открытое акционерное общество «Российские железные дороги»</w:t>
      </w:r>
      <w:r>
        <w:rPr>
          <w:rFonts w:ascii="Times New Roman" w:eastAsia="Calibri" w:hAnsi="Times New Roman" w:cs="Times New Roman"/>
          <w:sz w:val="28"/>
          <w:szCs w:val="28"/>
        </w:rPr>
        <w:t xml:space="preserve"> (Челябинская область)</w:t>
      </w:r>
      <w:r w:rsidRPr="00101877">
        <w:rPr>
          <w:rFonts w:ascii="Times New Roman" w:eastAsia="Calibri" w:hAnsi="Times New Roman" w:cs="Times New Roman"/>
          <w:sz w:val="28"/>
          <w:szCs w:val="28"/>
        </w:rPr>
        <w:t xml:space="preserve">, </w:t>
      </w:r>
      <w:r>
        <w:rPr>
          <w:rFonts w:ascii="Times New Roman" w:eastAsia="Calibri" w:hAnsi="Times New Roman" w:cs="Times New Roman"/>
          <w:sz w:val="28"/>
          <w:szCs w:val="28"/>
        </w:rPr>
        <w:t>в ходе проведения проверки которого в</w:t>
      </w:r>
      <w:r w:rsidRPr="00101877">
        <w:rPr>
          <w:rFonts w:ascii="Times New Roman" w:eastAsia="Calibri" w:hAnsi="Times New Roman" w:cs="Times New Roman"/>
          <w:sz w:val="28"/>
          <w:szCs w:val="28"/>
        </w:rPr>
        <w:t>ыявлено 2 нарушения. Златоустовским городским судом Челябинской области назначено наказание в виде административного приостановления деятельности на срок 5 суток трехэтажного спального корпуса № 2.</w:t>
      </w:r>
    </w:p>
    <w:p w14:paraId="3E111CE5" w14:textId="77777777" w:rsidR="00101877" w:rsidRPr="00101877" w:rsidRDefault="00101877" w:rsidP="00101877">
      <w:pPr>
        <w:widowControl w:val="0"/>
        <w:suppressAutoHyphens/>
        <w:spacing w:after="0" w:line="312" w:lineRule="auto"/>
        <w:ind w:firstLine="709"/>
        <w:contextualSpacing/>
        <w:jc w:val="both"/>
        <w:rPr>
          <w:rFonts w:ascii="Times New Roman" w:eastAsia="Calibri" w:hAnsi="Times New Roman" w:cs="Times New Roman"/>
          <w:bCs/>
          <w:sz w:val="28"/>
          <w:szCs w:val="28"/>
          <w:lang w:val="x-none"/>
        </w:rPr>
      </w:pPr>
      <w:r w:rsidRPr="00101877">
        <w:rPr>
          <w:rFonts w:ascii="Times New Roman" w:eastAsia="Calibri" w:hAnsi="Times New Roman" w:cs="Times New Roman"/>
          <w:sz w:val="28"/>
          <w:szCs w:val="28"/>
        </w:rPr>
        <w:t>6. С</w:t>
      </w:r>
      <w:proofErr w:type="spellStart"/>
      <w:r w:rsidRPr="00101877">
        <w:rPr>
          <w:rFonts w:ascii="Times New Roman" w:eastAsia="Calibri" w:hAnsi="Times New Roman" w:cs="Times New Roman"/>
          <w:sz w:val="28"/>
          <w:szCs w:val="28"/>
          <w:lang w:val="x-none"/>
        </w:rPr>
        <w:t>тационар</w:t>
      </w:r>
      <w:r w:rsidRPr="00101877">
        <w:rPr>
          <w:rFonts w:ascii="Times New Roman" w:eastAsia="Calibri" w:hAnsi="Times New Roman" w:cs="Times New Roman"/>
          <w:sz w:val="28"/>
          <w:szCs w:val="28"/>
        </w:rPr>
        <w:t>ный</w:t>
      </w:r>
      <w:proofErr w:type="spellEnd"/>
      <w:r w:rsidRPr="00101877">
        <w:rPr>
          <w:rFonts w:ascii="Times New Roman" w:eastAsia="Calibri" w:hAnsi="Times New Roman" w:cs="Times New Roman"/>
          <w:sz w:val="28"/>
          <w:szCs w:val="28"/>
          <w:lang w:val="x-none"/>
        </w:rPr>
        <w:t xml:space="preserve"> детск</w:t>
      </w:r>
      <w:r w:rsidRPr="00101877">
        <w:rPr>
          <w:rFonts w:ascii="Times New Roman" w:eastAsia="Calibri" w:hAnsi="Times New Roman" w:cs="Times New Roman"/>
          <w:sz w:val="28"/>
          <w:szCs w:val="28"/>
        </w:rPr>
        <w:t>ий</w:t>
      </w:r>
      <w:r w:rsidRPr="00101877">
        <w:rPr>
          <w:rFonts w:ascii="Times New Roman" w:eastAsia="Calibri" w:hAnsi="Times New Roman" w:cs="Times New Roman"/>
          <w:sz w:val="28"/>
          <w:szCs w:val="28"/>
          <w:lang w:val="x-none"/>
        </w:rPr>
        <w:t xml:space="preserve"> лагер</w:t>
      </w:r>
      <w:r w:rsidRPr="00101877">
        <w:rPr>
          <w:rFonts w:ascii="Times New Roman" w:eastAsia="Calibri" w:hAnsi="Times New Roman" w:cs="Times New Roman"/>
          <w:sz w:val="28"/>
          <w:szCs w:val="28"/>
        </w:rPr>
        <w:t>ь</w:t>
      </w:r>
      <w:r w:rsidRPr="00101877">
        <w:rPr>
          <w:rFonts w:ascii="Times New Roman" w:eastAsia="Calibri" w:hAnsi="Times New Roman" w:cs="Times New Roman"/>
          <w:sz w:val="28"/>
          <w:szCs w:val="28"/>
          <w:lang w:val="x-none"/>
        </w:rPr>
        <w:t xml:space="preserve"> «</w:t>
      </w:r>
      <w:proofErr w:type="spellStart"/>
      <w:r w:rsidRPr="00101877">
        <w:rPr>
          <w:rFonts w:ascii="Times New Roman" w:eastAsia="Calibri" w:hAnsi="Times New Roman" w:cs="Times New Roman"/>
          <w:sz w:val="28"/>
          <w:szCs w:val="28"/>
          <w:lang w:val="x-none"/>
        </w:rPr>
        <w:t>Malina</w:t>
      </w:r>
      <w:proofErr w:type="spellEnd"/>
      <w:r w:rsidRPr="00101877">
        <w:rPr>
          <w:rFonts w:ascii="Times New Roman" w:eastAsia="Calibri" w:hAnsi="Times New Roman" w:cs="Times New Roman"/>
          <w:sz w:val="28"/>
          <w:szCs w:val="28"/>
          <w:lang w:val="x-none"/>
        </w:rPr>
        <w:t xml:space="preserve"> </w:t>
      </w:r>
      <w:proofErr w:type="spellStart"/>
      <w:r w:rsidRPr="00101877">
        <w:rPr>
          <w:rFonts w:ascii="Times New Roman" w:eastAsia="Calibri" w:hAnsi="Times New Roman" w:cs="Times New Roman"/>
          <w:sz w:val="28"/>
          <w:szCs w:val="28"/>
          <w:lang w:val="x-none"/>
        </w:rPr>
        <w:t>Camp</w:t>
      </w:r>
      <w:proofErr w:type="spellEnd"/>
      <w:r w:rsidRPr="00101877">
        <w:rPr>
          <w:rFonts w:ascii="Times New Roman" w:eastAsia="Calibri" w:hAnsi="Times New Roman" w:cs="Times New Roman"/>
          <w:sz w:val="28"/>
          <w:szCs w:val="28"/>
          <w:lang w:val="x-none"/>
        </w:rPr>
        <w:t xml:space="preserve">» </w:t>
      </w:r>
      <w:r>
        <w:rPr>
          <w:rFonts w:ascii="Times New Roman" w:eastAsia="Calibri" w:hAnsi="Times New Roman" w:cs="Times New Roman"/>
          <w:sz w:val="28"/>
          <w:szCs w:val="28"/>
        </w:rPr>
        <w:t>(Республика Карелия), в ходе проведения проверки которого в</w:t>
      </w:r>
      <w:r w:rsidRPr="00101877">
        <w:rPr>
          <w:rFonts w:ascii="Times New Roman" w:eastAsia="Calibri" w:hAnsi="Times New Roman" w:cs="Times New Roman"/>
          <w:sz w:val="28"/>
          <w:szCs w:val="28"/>
        </w:rPr>
        <w:t xml:space="preserve">ыявлено 9 нарушений. </w:t>
      </w:r>
      <w:r w:rsidRPr="00101877">
        <w:rPr>
          <w:rFonts w:ascii="Times New Roman" w:eastAsia="Calibri" w:hAnsi="Times New Roman" w:cs="Times New Roman"/>
          <w:bCs/>
          <w:sz w:val="28"/>
          <w:szCs w:val="28"/>
          <w:lang w:val="x-none"/>
        </w:rPr>
        <w:t xml:space="preserve">Петрозаводским городским судом принято судебное решение о запрете деятельности детского лагеря. </w:t>
      </w:r>
    </w:p>
    <w:p w14:paraId="318E5E3A" w14:textId="77777777" w:rsidR="00E94206" w:rsidRPr="00E94206" w:rsidRDefault="00E94206" w:rsidP="00E94206">
      <w:pPr>
        <w:widowControl w:val="0"/>
        <w:suppressAutoHyphens/>
        <w:spacing w:after="0" w:line="312" w:lineRule="auto"/>
        <w:ind w:firstLine="709"/>
        <w:contextualSpacing/>
        <w:jc w:val="both"/>
        <w:rPr>
          <w:rFonts w:ascii="Times New Roman" w:eastAsia="Calibri" w:hAnsi="Times New Roman" w:cs="Times New Roman"/>
          <w:sz w:val="28"/>
          <w:szCs w:val="28"/>
        </w:rPr>
      </w:pPr>
      <w:r w:rsidRPr="00E94206">
        <w:rPr>
          <w:rFonts w:ascii="Times New Roman" w:eastAsia="Calibri" w:hAnsi="Times New Roman" w:cs="Times New Roman"/>
          <w:sz w:val="28"/>
          <w:szCs w:val="28"/>
        </w:rPr>
        <w:t>В рамках проведенных мероприя</w:t>
      </w:r>
      <w:r w:rsidR="00101877">
        <w:rPr>
          <w:rFonts w:ascii="Times New Roman" w:eastAsia="Calibri" w:hAnsi="Times New Roman" w:cs="Times New Roman"/>
          <w:sz w:val="28"/>
          <w:szCs w:val="28"/>
        </w:rPr>
        <w:t xml:space="preserve">тий выявлено и пресечено более </w:t>
      </w:r>
      <w:r w:rsidRPr="00E94206">
        <w:rPr>
          <w:rFonts w:ascii="Times New Roman" w:eastAsia="Calibri" w:hAnsi="Times New Roman" w:cs="Times New Roman"/>
          <w:sz w:val="28"/>
          <w:szCs w:val="28"/>
        </w:rPr>
        <w:t>12</w:t>
      </w:r>
      <w:r w:rsidR="00101877">
        <w:rPr>
          <w:rFonts w:ascii="Times New Roman" w:eastAsia="Calibri" w:hAnsi="Times New Roman" w:cs="Times New Roman"/>
          <w:sz w:val="28"/>
          <w:szCs w:val="28"/>
        </w:rPr>
        <w:t>,4</w:t>
      </w:r>
      <w:r w:rsidRPr="00E94206">
        <w:rPr>
          <w:rFonts w:ascii="Times New Roman" w:eastAsia="Calibri" w:hAnsi="Times New Roman" w:cs="Times New Roman"/>
          <w:sz w:val="28"/>
          <w:szCs w:val="28"/>
        </w:rPr>
        <w:t xml:space="preserve"> тыс. нарушений обязательных требований. За допущенные нарушения требований пожарной безопасности к административной ответственности привлечено </w:t>
      </w:r>
      <w:r w:rsidR="009B6B57">
        <w:rPr>
          <w:rFonts w:ascii="Times New Roman" w:eastAsia="Calibri" w:hAnsi="Times New Roman" w:cs="Times New Roman"/>
          <w:sz w:val="28"/>
          <w:szCs w:val="28"/>
        </w:rPr>
        <w:br/>
      </w:r>
      <w:r w:rsidRPr="00E94206">
        <w:rPr>
          <w:rFonts w:ascii="Times New Roman" w:eastAsia="Calibri" w:hAnsi="Times New Roman" w:cs="Times New Roman"/>
          <w:sz w:val="28"/>
          <w:szCs w:val="28"/>
        </w:rPr>
        <w:t>более 1 тыс. юридических и 2 тыс. должностных лиц.</w:t>
      </w:r>
    </w:p>
    <w:p w14:paraId="3DC1932A" w14:textId="77777777" w:rsidR="00E56D87" w:rsidRDefault="00E94206" w:rsidP="00E56D87">
      <w:pPr>
        <w:widowControl w:val="0"/>
        <w:suppressAutoHyphens/>
        <w:spacing w:after="0" w:line="312" w:lineRule="auto"/>
        <w:ind w:firstLine="709"/>
        <w:contextualSpacing/>
        <w:jc w:val="both"/>
        <w:rPr>
          <w:rFonts w:ascii="Times New Roman" w:eastAsia="Calibri" w:hAnsi="Times New Roman" w:cs="Times New Roman"/>
          <w:sz w:val="28"/>
          <w:szCs w:val="28"/>
        </w:rPr>
      </w:pPr>
      <w:r w:rsidRPr="00E94206">
        <w:rPr>
          <w:rFonts w:ascii="Times New Roman" w:eastAsia="Calibri" w:hAnsi="Times New Roman" w:cs="Times New Roman"/>
          <w:sz w:val="28"/>
          <w:szCs w:val="28"/>
        </w:rPr>
        <w:t>В период летней оздоровите</w:t>
      </w:r>
      <w:r w:rsidR="00101877">
        <w:rPr>
          <w:rFonts w:ascii="Times New Roman" w:eastAsia="Calibri" w:hAnsi="Times New Roman" w:cs="Times New Roman"/>
          <w:sz w:val="28"/>
          <w:szCs w:val="28"/>
        </w:rPr>
        <w:t xml:space="preserve">льной кампании проведено порядка 185 тыс. профилактических мероприятий, в том числе более </w:t>
      </w:r>
      <w:r w:rsidRPr="00E94206">
        <w:rPr>
          <w:rFonts w:ascii="Times New Roman" w:eastAsia="Calibri" w:hAnsi="Times New Roman" w:cs="Times New Roman"/>
          <w:sz w:val="28"/>
          <w:szCs w:val="28"/>
        </w:rPr>
        <w:t>29</w:t>
      </w:r>
      <w:r w:rsidR="00E56D87">
        <w:rPr>
          <w:rFonts w:ascii="Times New Roman" w:eastAsia="Calibri" w:hAnsi="Times New Roman" w:cs="Times New Roman"/>
          <w:sz w:val="28"/>
          <w:szCs w:val="28"/>
        </w:rPr>
        <w:t>,5</w:t>
      </w:r>
      <w:r w:rsidRPr="00E94206">
        <w:rPr>
          <w:rFonts w:ascii="Times New Roman" w:eastAsia="Calibri" w:hAnsi="Times New Roman" w:cs="Times New Roman"/>
          <w:sz w:val="28"/>
          <w:szCs w:val="28"/>
        </w:rPr>
        <w:t xml:space="preserve"> тыс. практических тренировок п</w:t>
      </w:r>
      <w:r w:rsidR="00101877">
        <w:rPr>
          <w:rFonts w:ascii="Times New Roman" w:eastAsia="Calibri" w:hAnsi="Times New Roman" w:cs="Times New Roman"/>
          <w:sz w:val="28"/>
          <w:szCs w:val="28"/>
        </w:rPr>
        <w:t>о эвакуации, 17</w:t>
      </w:r>
      <w:r w:rsidR="00E56D87">
        <w:rPr>
          <w:rFonts w:ascii="Times New Roman" w:eastAsia="Calibri" w:hAnsi="Times New Roman" w:cs="Times New Roman"/>
          <w:sz w:val="28"/>
          <w:szCs w:val="28"/>
        </w:rPr>
        <w:t>,1</w:t>
      </w:r>
      <w:r w:rsidR="00101877">
        <w:rPr>
          <w:rFonts w:ascii="Times New Roman" w:eastAsia="Calibri" w:hAnsi="Times New Roman" w:cs="Times New Roman"/>
          <w:sz w:val="28"/>
          <w:szCs w:val="28"/>
        </w:rPr>
        <w:t xml:space="preserve"> тыс. совещаний </w:t>
      </w:r>
      <w:r w:rsidR="00E56D87">
        <w:rPr>
          <w:rFonts w:ascii="Times New Roman" w:eastAsia="Calibri" w:hAnsi="Times New Roman" w:cs="Times New Roman"/>
          <w:sz w:val="28"/>
          <w:szCs w:val="28"/>
        </w:rPr>
        <w:t>по вопросам обеспечения пожарной безопасности</w:t>
      </w:r>
      <w:r w:rsidRPr="00E94206">
        <w:rPr>
          <w:rFonts w:ascii="Times New Roman" w:eastAsia="Calibri" w:hAnsi="Times New Roman" w:cs="Times New Roman"/>
          <w:sz w:val="28"/>
          <w:szCs w:val="28"/>
        </w:rPr>
        <w:t>, 39</w:t>
      </w:r>
      <w:r w:rsidR="00E56D87">
        <w:rPr>
          <w:rFonts w:ascii="Times New Roman" w:eastAsia="Calibri" w:hAnsi="Times New Roman" w:cs="Times New Roman"/>
          <w:sz w:val="28"/>
          <w:szCs w:val="28"/>
        </w:rPr>
        <w:t>,7</w:t>
      </w:r>
      <w:r w:rsidRPr="00E94206">
        <w:rPr>
          <w:rFonts w:ascii="Times New Roman" w:eastAsia="Calibri" w:hAnsi="Times New Roman" w:cs="Times New Roman"/>
          <w:sz w:val="28"/>
          <w:szCs w:val="28"/>
        </w:rPr>
        <w:t xml:space="preserve"> тыс. </w:t>
      </w:r>
      <w:r w:rsidR="00E56D87">
        <w:rPr>
          <w:rFonts w:ascii="Times New Roman" w:eastAsia="Calibri" w:hAnsi="Times New Roman" w:cs="Times New Roman"/>
          <w:sz w:val="28"/>
          <w:szCs w:val="28"/>
        </w:rPr>
        <w:t>занятий с персоналом</w:t>
      </w:r>
      <w:r w:rsidRPr="00E94206">
        <w:rPr>
          <w:rFonts w:ascii="Times New Roman" w:eastAsia="Calibri" w:hAnsi="Times New Roman" w:cs="Times New Roman"/>
          <w:sz w:val="28"/>
          <w:szCs w:val="28"/>
        </w:rPr>
        <w:t>, а также 4</w:t>
      </w:r>
      <w:r w:rsidR="00E56D87">
        <w:rPr>
          <w:rFonts w:ascii="Times New Roman" w:eastAsia="Calibri" w:hAnsi="Times New Roman" w:cs="Times New Roman"/>
          <w:sz w:val="28"/>
          <w:szCs w:val="28"/>
        </w:rPr>
        <w:t>,8</w:t>
      </w:r>
      <w:r w:rsidRPr="00E94206">
        <w:rPr>
          <w:rFonts w:ascii="Times New Roman" w:eastAsia="Calibri" w:hAnsi="Times New Roman" w:cs="Times New Roman"/>
          <w:sz w:val="28"/>
          <w:szCs w:val="28"/>
        </w:rPr>
        <w:t xml:space="preserve"> тыс. конкурсов и викторин детско-юношеского творчества на противопожарную тематику.</w:t>
      </w:r>
    </w:p>
    <w:p w14:paraId="46377FA9" w14:textId="77777777" w:rsidR="00E94206" w:rsidRDefault="00E56D87" w:rsidP="00E56D87">
      <w:pPr>
        <w:widowControl w:val="0"/>
        <w:suppressAutoHyphens/>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E94206" w:rsidRPr="00E94206">
        <w:rPr>
          <w:rFonts w:ascii="Times New Roman" w:eastAsia="Calibri" w:hAnsi="Times New Roman" w:cs="Times New Roman"/>
          <w:sz w:val="28"/>
          <w:szCs w:val="28"/>
        </w:rPr>
        <w:t xml:space="preserve"> июне 2021 г</w:t>
      </w:r>
      <w:r w:rsidR="00932D1D">
        <w:rPr>
          <w:rFonts w:ascii="Times New Roman" w:eastAsia="Calibri" w:hAnsi="Times New Roman" w:cs="Times New Roman"/>
          <w:sz w:val="28"/>
          <w:szCs w:val="28"/>
        </w:rPr>
        <w:t>.</w:t>
      </w:r>
      <w:r w:rsidR="00E94206" w:rsidRPr="00E94206">
        <w:rPr>
          <w:rFonts w:ascii="Times New Roman" w:eastAsia="Calibri" w:hAnsi="Times New Roman" w:cs="Times New Roman"/>
          <w:sz w:val="28"/>
          <w:szCs w:val="28"/>
        </w:rPr>
        <w:t xml:space="preserve"> завершено прове</w:t>
      </w:r>
      <w:r>
        <w:rPr>
          <w:rFonts w:ascii="Times New Roman" w:eastAsia="Calibri" w:hAnsi="Times New Roman" w:cs="Times New Roman"/>
          <w:sz w:val="28"/>
          <w:szCs w:val="28"/>
        </w:rPr>
        <w:t xml:space="preserve">дение научно-исследовательской </w:t>
      </w:r>
      <w:r w:rsidR="00E94206" w:rsidRPr="00E94206">
        <w:rPr>
          <w:rFonts w:ascii="Times New Roman" w:eastAsia="Calibri" w:hAnsi="Times New Roman" w:cs="Times New Roman"/>
          <w:sz w:val="28"/>
          <w:szCs w:val="28"/>
        </w:rPr>
        <w:t>и опытно-конструкторской рабо</w:t>
      </w:r>
      <w:r>
        <w:rPr>
          <w:rFonts w:ascii="Times New Roman" w:eastAsia="Calibri" w:hAnsi="Times New Roman" w:cs="Times New Roman"/>
          <w:sz w:val="28"/>
          <w:szCs w:val="28"/>
        </w:rPr>
        <w:t xml:space="preserve">ты по подготовке национального </w:t>
      </w:r>
      <w:r w:rsidR="00E94206" w:rsidRPr="00E94206">
        <w:rPr>
          <w:rFonts w:ascii="Times New Roman" w:eastAsia="Calibri" w:hAnsi="Times New Roman" w:cs="Times New Roman"/>
          <w:sz w:val="28"/>
          <w:szCs w:val="28"/>
        </w:rPr>
        <w:t>стандарта, устанавливающего требования пожарной без</w:t>
      </w:r>
      <w:r>
        <w:rPr>
          <w:rFonts w:ascii="Times New Roman" w:eastAsia="Calibri" w:hAnsi="Times New Roman" w:cs="Times New Roman"/>
          <w:sz w:val="28"/>
          <w:szCs w:val="28"/>
        </w:rPr>
        <w:t xml:space="preserve">опасности к материалам </w:t>
      </w:r>
      <w:r w:rsidR="00E94206" w:rsidRPr="00E94206">
        <w:rPr>
          <w:rFonts w:ascii="Times New Roman" w:eastAsia="Calibri" w:hAnsi="Times New Roman" w:cs="Times New Roman"/>
          <w:sz w:val="28"/>
          <w:szCs w:val="28"/>
        </w:rPr>
        <w:t>и конструктивным особенностям палат</w:t>
      </w:r>
      <w:r>
        <w:rPr>
          <w:rFonts w:ascii="Times New Roman" w:eastAsia="Calibri" w:hAnsi="Times New Roman" w:cs="Times New Roman"/>
          <w:sz w:val="28"/>
          <w:szCs w:val="28"/>
        </w:rPr>
        <w:t xml:space="preserve">ок ГОСТ Р 59567-2021 «Палатки. </w:t>
      </w:r>
      <w:r w:rsidR="00E94206" w:rsidRPr="00E94206">
        <w:rPr>
          <w:rFonts w:ascii="Times New Roman" w:eastAsia="Calibri" w:hAnsi="Times New Roman" w:cs="Times New Roman"/>
          <w:sz w:val="28"/>
          <w:szCs w:val="28"/>
        </w:rPr>
        <w:t>Требования пожарной безопасности. Методы испытаний на воспламеняемость», который введен в действие с 1 ноября 2021 г.</w:t>
      </w:r>
    </w:p>
    <w:p w14:paraId="5A294238" w14:textId="77777777" w:rsidR="00E56D87" w:rsidRDefault="00E56D87" w:rsidP="00E56D87">
      <w:pPr>
        <w:widowControl w:val="0"/>
        <w:spacing w:after="0" w:line="312" w:lineRule="auto"/>
        <w:ind w:firstLine="709"/>
        <w:jc w:val="both"/>
        <w:rPr>
          <w:rFonts w:ascii="Times New Roman" w:eastAsia="Calibri" w:hAnsi="Times New Roman" w:cs="Times New Roman"/>
          <w:sz w:val="28"/>
          <w:szCs w:val="28"/>
        </w:rPr>
      </w:pPr>
      <w:r w:rsidRPr="007144BD">
        <w:rPr>
          <w:rFonts w:ascii="Times New Roman" w:eastAsia="Calibri" w:hAnsi="Times New Roman" w:cs="Times New Roman"/>
          <w:sz w:val="28"/>
          <w:szCs w:val="28"/>
        </w:rPr>
        <w:t xml:space="preserve">Особое внимание уделялось группам детей, пребывающих в походах, на туристских маршрутах и маршрутах сплава, проходящих по труднодоступной местности. </w:t>
      </w:r>
    </w:p>
    <w:p w14:paraId="7BDE57A6" w14:textId="77777777" w:rsidR="00E56D87" w:rsidRPr="00432D85" w:rsidRDefault="00E56D87" w:rsidP="00E56D87">
      <w:pPr>
        <w:widowControl w:val="0"/>
        <w:spacing w:after="0" w:line="312" w:lineRule="auto"/>
        <w:ind w:firstLine="709"/>
        <w:jc w:val="both"/>
        <w:rPr>
          <w:rFonts w:ascii="Times New Roman" w:eastAsia="Calibri" w:hAnsi="Times New Roman" w:cs="Times New Roman"/>
          <w:sz w:val="28"/>
          <w:szCs w:val="28"/>
        </w:rPr>
      </w:pPr>
      <w:r w:rsidRPr="00E56D87">
        <w:rPr>
          <w:rFonts w:ascii="Times New Roman" w:eastAsia="Calibri" w:hAnsi="Times New Roman" w:cs="Times New Roman"/>
          <w:sz w:val="28"/>
          <w:szCs w:val="28"/>
        </w:rPr>
        <w:t>В соответствии с приказом МЧС России от 30 января 2019 г. № 42</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br/>
      </w:r>
      <w:r w:rsidRPr="00E56D87">
        <w:rPr>
          <w:rFonts w:ascii="Times New Roman" w:eastAsia="Calibri" w:hAnsi="Times New Roman" w:cs="Times New Roman"/>
          <w:sz w:val="28"/>
          <w:szCs w:val="28"/>
        </w:rPr>
        <w:t>«Об утверждении Порядка информир</w:t>
      </w:r>
      <w:r>
        <w:rPr>
          <w:rFonts w:ascii="Times New Roman" w:eastAsia="Calibri" w:hAnsi="Times New Roman" w:cs="Times New Roman"/>
          <w:sz w:val="28"/>
          <w:szCs w:val="28"/>
        </w:rPr>
        <w:t xml:space="preserve">ования территориальных органов </w:t>
      </w:r>
      <w:r w:rsidRPr="00E56D87">
        <w:rPr>
          <w:rFonts w:ascii="Times New Roman" w:eastAsia="Calibri" w:hAnsi="Times New Roman" w:cs="Times New Roman"/>
          <w:sz w:val="28"/>
          <w:szCs w:val="28"/>
        </w:rPr>
        <w:t>МЧС России о маршрутах передвижения, проходящих по труднодоступной местности, водным, горным, спелеологическим и другим объектам, связанных с повышенным риском для жизни, причинением вреда здоровью туристов (экскурсантов) и их имуществу, и Порядка хранения, использования и снятия с учета территориальными органами МЧС России информации о маршрутах передвижения, проходящих по труднодоступной местности, водным, горным, спелеологическим и другим объектам, связанных с повышенным риском для жизни, причинением вреда здоровью туристов (экскурсантов) и их имуществу» т</w:t>
      </w:r>
      <w:r w:rsidRPr="00432D85">
        <w:rPr>
          <w:rFonts w:ascii="Times New Roman" w:eastAsia="Calibri" w:hAnsi="Times New Roman" w:cs="Times New Roman"/>
          <w:sz w:val="28"/>
          <w:szCs w:val="28"/>
        </w:rPr>
        <w:t>ерриториальными органами МЧС России организовывалась их регистрация с последующим контролем на всем пути следования для оказания практической помощи.</w:t>
      </w:r>
    </w:p>
    <w:p w14:paraId="1BD57E6F" w14:textId="77777777" w:rsidR="00E56D87" w:rsidRDefault="00E56D87" w:rsidP="00E56D87">
      <w:pPr>
        <w:widowControl w:val="0"/>
        <w:spacing w:after="0" w:line="312" w:lineRule="auto"/>
        <w:ind w:firstLine="709"/>
        <w:jc w:val="both"/>
        <w:rPr>
          <w:rFonts w:ascii="Times New Roman" w:eastAsia="Calibri" w:hAnsi="Times New Roman" w:cs="Times New Roman"/>
          <w:sz w:val="28"/>
          <w:szCs w:val="28"/>
        </w:rPr>
      </w:pPr>
      <w:r w:rsidRPr="00432D85">
        <w:rPr>
          <w:rFonts w:ascii="Times New Roman" w:eastAsia="Calibri" w:hAnsi="Times New Roman" w:cs="Times New Roman"/>
          <w:sz w:val="28"/>
          <w:szCs w:val="28"/>
        </w:rPr>
        <w:t>Всего в летний период 2021 г</w:t>
      </w:r>
      <w:r w:rsidR="00932D1D">
        <w:rPr>
          <w:rFonts w:ascii="Times New Roman" w:eastAsia="Calibri" w:hAnsi="Times New Roman" w:cs="Times New Roman"/>
          <w:sz w:val="28"/>
          <w:szCs w:val="28"/>
        </w:rPr>
        <w:t>.</w:t>
      </w:r>
      <w:r w:rsidRPr="00432D85">
        <w:rPr>
          <w:rFonts w:ascii="Times New Roman" w:eastAsia="Calibri" w:hAnsi="Times New Roman" w:cs="Times New Roman"/>
          <w:sz w:val="28"/>
          <w:szCs w:val="28"/>
        </w:rPr>
        <w:t xml:space="preserve"> зарегистрировано </w:t>
      </w:r>
      <w:r>
        <w:rPr>
          <w:rFonts w:ascii="Times New Roman" w:eastAsia="Calibri" w:hAnsi="Times New Roman" w:cs="Times New Roman"/>
          <w:sz w:val="28"/>
          <w:szCs w:val="28"/>
        </w:rPr>
        <w:t>11 </w:t>
      </w:r>
      <w:r w:rsidRPr="00365E29">
        <w:rPr>
          <w:rFonts w:ascii="Times New Roman" w:eastAsia="Calibri" w:hAnsi="Times New Roman" w:cs="Times New Roman"/>
          <w:sz w:val="28"/>
          <w:szCs w:val="28"/>
        </w:rPr>
        <w:t>207</w:t>
      </w:r>
      <w:r w:rsidRPr="00432D85">
        <w:rPr>
          <w:rFonts w:ascii="Times New Roman" w:eastAsia="Calibri" w:hAnsi="Times New Roman" w:cs="Times New Roman"/>
          <w:sz w:val="28"/>
          <w:szCs w:val="28"/>
        </w:rPr>
        <w:t xml:space="preserve"> туристских групп, имеющих в своем составе </w:t>
      </w:r>
      <w:r>
        <w:rPr>
          <w:rFonts w:ascii="Times New Roman" w:eastAsia="Calibri" w:hAnsi="Times New Roman" w:cs="Times New Roman"/>
          <w:sz w:val="28"/>
          <w:szCs w:val="28"/>
        </w:rPr>
        <w:t>64 </w:t>
      </w:r>
      <w:r w:rsidRPr="00365E29">
        <w:rPr>
          <w:rFonts w:ascii="Times New Roman" w:eastAsia="Calibri" w:hAnsi="Times New Roman" w:cs="Times New Roman"/>
          <w:sz w:val="28"/>
          <w:szCs w:val="28"/>
        </w:rPr>
        <w:t xml:space="preserve">679 </w:t>
      </w:r>
      <w:r w:rsidRPr="00432D85">
        <w:rPr>
          <w:rFonts w:ascii="Times New Roman" w:eastAsia="Calibri" w:hAnsi="Times New Roman" w:cs="Times New Roman"/>
          <w:sz w:val="28"/>
          <w:szCs w:val="28"/>
        </w:rPr>
        <w:t>детей.</w:t>
      </w:r>
    </w:p>
    <w:p w14:paraId="68601701" w14:textId="77777777" w:rsidR="00E56D87" w:rsidRPr="00432D85" w:rsidRDefault="00E56D87" w:rsidP="00E56D87">
      <w:pPr>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Работа по созданию безопасных условий отдыха детей также осуществлялась </w:t>
      </w:r>
      <w:r w:rsidRPr="00432D85">
        <w:rPr>
          <w:rFonts w:ascii="Times New Roman" w:eastAsia="Calibri" w:hAnsi="Times New Roman" w:cs="Times New Roman"/>
          <w:sz w:val="28"/>
          <w:szCs w:val="28"/>
        </w:rPr>
        <w:t>инспектор</w:t>
      </w:r>
      <w:r>
        <w:rPr>
          <w:rFonts w:ascii="Times New Roman" w:eastAsia="Calibri" w:hAnsi="Times New Roman" w:cs="Times New Roman"/>
          <w:sz w:val="28"/>
          <w:szCs w:val="28"/>
        </w:rPr>
        <w:t>ами</w:t>
      </w:r>
      <w:r w:rsidRPr="00432D8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Государственной инспекции по маломерным судам </w:t>
      </w:r>
      <w:r w:rsidRPr="00432D85">
        <w:rPr>
          <w:rFonts w:ascii="Times New Roman" w:eastAsia="Calibri" w:hAnsi="Times New Roman" w:cs="Times New Roman"/>
          <w:sz w:val="28"/>
          <w:szCs w:val="28"/>
        </w:rPr>
        <w:t xml:space="preserve">МЧС России </w:t>
      </w:r>
      <w:r>
        <w:rPr>
          <w:rFonts w:ascii="Times New Roman" w:eastAsia="Calibri" w:hAnsi="Times New Roman" w:cs="Times New Roman"/>
          <w:sz w:val="28"/>
          <w:szCs w:val="28"/>
        </w:rPr>
        <w:t xml:space="preserve">по субъектам Российской Федерации (далее – ГИМС). </w:t>
      </w:r>
      <w:r w:rsidRPr="00432D85">
        <w:rPr>
          <w:rFonts w:ascii="Times New Roman" w:eastAsia="Calibri" w:hAnsi="Times New Roman" w:cs="Times New Roman"/>
          <w:sz w:val="28"/>
          <w:szCs w:val="28"/>
        </w:rPr>
        <w:t>В 2021 г</w:t>
      </w:r>
      <w:r w:rsidR="00932D1D">
        <w:rPr>
          <w:rFonts w:ascii="Times New Roman" w:eastAsia="Calibri" w:hAnsi="Times New Roman" w:cs="Times New Roman"/>
          <w:sz w:val="28"/>
          <w:szCs w:val="28"/>
        </w:rPr>
        <w:t>.</w:t>
      </w:r>
      <w:r w:rsidRPr="00432D85">
        <w:rPr>
          <w:rFonts w:ascii="Times New Roman" w:eastAsia="Calibri" w:hAnsi="Times New Roman" w:cs="Times New Roman"/>
          <w:sz w:val="28"/>
          <w:szCs w:val="28"/>
        </w:rPr>
        <w:t xml:space="preserve"> инспекторами ГИМС на территории Ро</w:t>
      </w:r>
      <w:r>
        <w:rPr>
          <w:rFonts w:ascii="Times New Roman" w:eastAsia="Calibri" w:hAnsi="Times New Roman" w:cs="Times New Roman"/>
          <w:sz w:val="28"/>
          <w:szCs w:val="28"/>
        </w:rPr>
        <w:t>ссийской Федерации проведено 95,1 тыс.</w:t>
      </w:r>
      <w:r w:rsidRPr="00432D85">
        <w:rPr>
          <w:rFonts w:ascii="Times New Roman" w:eastAsia="Calibri" w:hAnsi="Times New Roman" w:cs="Times New Roman"/>
          <w:sz w:val="28"/>
          <w:szCs w:val="28"/>
        </w:rPr>
        <w:t xml:space="preserve"> рейдов и патрулирований акваторий, в том числе совместно с о</w:t>
      </w:r>
      <w:r w:rsidR="00932D1D">
        <w:rPr>
          <w:rFonts w:ascii="Times New Roman" w:eastAsia="Calibri" w:hAnsi="Times New Roman" w:cs="Times New Roman"/>
          <w:sz w:val="28"/>
          <w:szCs w:val="28"/>
        </w:rPr>
        <w:t xml:space="preserve">бщественными </w:t>
      </w:r>
      <w:r>
        <w:rPr>
          <w:rFonts w:ascii="Times New Roman" w:eastAsia="Calibri" w:hAnsi="Times New Roman" w:cs="Times New Roman"/>
          <w:sz w:val="28"/>
          <w:szCs w:val="28"/>
        </w:rPr>
        <w:t>организациями – 39,6 тыс. рейдов</w:t>
      </w:r>
      <w:r w:rsidRPr="00432D85">
        <w:rPr>
          <w:rFonts w:ascii="Times New Roman" w:eastAsia="Calibri" w:hAnsi="Times New Roman" w:cs="Times New Roman"/>
          <w:sz w:val="28"/>
          <w:szCs w:val="28"/>
        </w:rPr>
        <w:t xml:space="preserve">, с внештатными </w:t>
      </w:r>
      <w:r>
        <w:rPr>
          <w:rFonts w:ascii="Times New Roman" w:eastAsia="Calibri" w:hAnsi="Times New Roman" w:cs="Times New Roman"/>
          <w:sz w:val="28"/>
          <w:szCs w:val="28"/>
        </w:rPr>
        <w:t>общественными инспекторами – 19 тыс. рейдов</w:t>
      </w:r>
      <w:r w:rsidRPr="00432D85">
        <w:rPr>
          <w:rFonts w:ascii="Times New Roman" w:eastAsia="Calibri" w:hAnsi="Times New Roman" w:cs="Times New Roman"/>
          <w:sz w:val="28"/>
          <w:szCs w:val="28"/>
        </w:rPr>
        <w:t>, с органами исполнительной власти субъекта Р</w:t>
      </w:r>
      <w:r w:rsidR="00932D1D">
        <w:rPr>
          <w:rFonts w:ascii="Times New Roman" w:eastAsia="Calibri" w:hAnsi="Times New Roman" w:cs="Times New Roman"/>
          <w:sz w:val="28"/>
          <w:szCs w:val="28"/>
        </w:rPr>
        <w:t xml:space="preserve">оссийской </w:t>
      </w:r>
      <w:r>
        <w:rPr>
          <w:rFonts w:ascii="Times New Roman" w:eastAsia="Calibri" w:hAnsi="Times New Roman" w:cs="Times New Roman"/>
          <w:sz w:val="28"/>
          <w:szCs w:val="28"/>
        </w:rPr>
        <w:t>Федерации</w:t>
      </w:r>
      <w:r w:rsidRPr="00432D85">
        <w:rPr>
          <w:rFonts w:ascii="Times New Roman" w:eastAsia="Calibri" w:hAnsi="Times New Roman" w:cs="Times New Roman"/>
          <w:sz w:val="28"/>
          <w:szCs w:val="28"/>
        </w:rPr>
        <w:t xml:space="preserve"> – 3</w:t>
      </w:r>
      <w:r>
        <w:rPr>
          <w:rFonts w:ascii="Times New Roman" w:eastAsia="Calibri" w:hAnsi="Times New Roman" w:cs="Times New Roman"/>
          <w:sz w:val="28"/>
          <w:szCs w:val="28"/>
        </w:rPr>
        <w:t>7 тыс. рейдов</w:t>
      </w:r>
      <w:r w:rsidRPr="00432D85">
        <w:rPr>
          <w:rFonts w:ascii="Times New Roman" w:eastAsia="Calibri" w:hAnsi="Times New Roman" w:cs="Times New Roman"/>
          <w:sz w:val="28"/>
          <w:szCs w:val="28"/>
        </w:rPr>
        <w:t>.</w:t>
      </w:r>
    </w:p>
    <w:p w14:paraId="495F616C" w14:textId="77777777" w:rsidR="00E56D87" w:rsidRPr="00E56D87" w:rsidRDefault="00E56D87" w:rsidP="00E56D87">
      <w:pPr>
        <w:widowControl w:val="0"/>
        <w:suppressAutoHyphens/>
        <w:spacing w:after="0" w:line="312" w:lineRule="auto"/>
        <w:ind w:firstLine="709"/>
        <w:contextualSpacing/>
        <w:jc w:val="both"/>
        <w:rPr>
          <w:rFonts w:ascii="Times New Roman" w:eastAsia="Calibri" w:hAnsi="Times New Roman" w:cs="Times New Roman"/>
          <w:sz w:val="28"/>
          <w:szCs w:val="28"/>
        </w:rPr>
      </w:pPr>
      <w:r w:rsidRPr="00E56D87">
        <w:rPr>
          <w:rFonts w:ascii="Times New Roman" w:eastAsia="Calibri" w:hAnsi="Times New Roman" w:cs="Times New Roman"/>
          <w:sz w:val="28"/>
          <w:szCs w:val="28"/>
        </w:rPr>
        <w:t>В целях недопущения гибели детей на водных о</w:t>
      </w:r>
      <w:r>
        <w:rPr>
          <w:rFonts w:ascii="Times New Roman" w:eastAsia="Calibri" w:hAnsi="Times New Roman" w:cs="Times New Roman"/>
          <w:sz w:val="28"/>
          <w:szCs w:val="28"/>
        </w:rPr>
        <w:t xml:space="preserve">бъектах приказом МЧС России от </w:t>
      </w:r>
      <w:r w:rsidRPr="00E56D87">
        <w:rPr>
          <w:rFonts w:ascii="Times New Roman" w:eastAsia="Calibri" w:hAnsi="Times New Roman" w:cs="Times New Roman"/>
          <w:sz w:val="28"/>
          <w:szCs w:val="28"/>
        </w:rPr>
        <w:t>6</w:t>
      </w:r>
      <w:r>
        <w:rPr>
          <w:rFonts w:ascii="Times New Roman" w:eastAsia="Calibri" w:hAnsi="Times New Roman" w:cs="Times New Roman"/>
          <w:sz w:val="28"/>
          <w:szCs w:val="28"/>
        </w:rPr>
        <w:t xml:space="preserve"> июля </w:t>
      </w:r>
      <w:r w:rsidRPr="00E56D87">
        <w:rPr>
          <w:rFonts w:ascii="Times New Roman" w:eastAsia="Calibri" w:hAnsi="Times New Roman" w:cs="Times New Roman"/>
          <w:sz w:val="28"/>
          <w:szCs w:val="28"/>
        </w:rPr>
        <w:t>2020</w:t>
      </w:r>
      <w:r>
        <w:rPr>
          <w:rFonts w:ascii="Times New Roman" w:eastAsia="Calibri" w:hAnsi="Times New Roman" w:cs="Times New Roman"/>
          <w:sz w:val="28"/>
          <w:szCs w:val="28"/>
        </w:rPr>
        <w:t xml:space="preserve"> г.</w:t>
      </w:r>
      <w:r w:rsidRPr="00E56D87">
        <w:rPr>
          <w:rFonts w:ascii="Times New Roman" w:eastAsia="Calibri" w:hAnsi="Times New Roman" w:cs="Times New Roman"/>
          <w:sz w:val="28"/>
          <w:szCs w:val="28"/>
        </w:rPr>
        <w:t xml:space="preserve"> № 487 утверждены Правила пользования маломерными судами на водных объектах Российской Федерации, вступившие в силу 1 января 2021 г. В соответствии с положениями указанного акта дети до 12-летнего возраста, находящиеся вне судовых помещений, при плавании должны быть одеты в индивидуальные спасательные средства. </w:t>
      </w:r>
    </w:p>
    <w:p w14:paraId="6B2940D3" w14:textId="77777777" w:rsidR="00E56D87" w:rsidRPr="00E94206" w:rsidRDefault="00E56D87" w:rsidP="00E56D87">
      <w:pPr>
        <w:widowControl w:val="0"/>
        <w:suppressAutoHyphens/>
        <w:spacing w:after="0" w:line="312" w:lineRule="auto"/>
        <w:ind w:firstLine="709"/>
        <w:contextualSpacing/>
        <w:jc w:val="both"/>
        <w:rPr>
          <w:rFonts w:ascii="Times New Roman" w:eastAsia="Calibri" w:hAnsi="Times New Roman" w:cs="Times New Roman"/>
          <w:sz w:val="28"/>
          <w:szCs w:val="28"/>
        </w:rPr>
      </w:pPr>
      <w:r w:rsidRPr="00E56D87">
        <w:rPr>
          <w:rFonts w:ascii="Times New Roman" w:eastAsia="Calibri" w:hAnsi="Times New Roman" w:cs="Times New Roman"/>
          <w:sz w:val="28"/>
          <w:szCs w:val="28"/>
        </w:rPr>
        <w:t>Кроме того, приказом МЧС России от 30</w:t>
      </w:r>
      <w:r>
        <w:rPr>
          <w:rFonts w:ascii="Times New Roman" w:eastAsia="Calibri" w:hAnsi="Times New Roman" w:cs="Times New Roman"/>
          <w:sz w:val="28"/>
          <w:szCs w:val="28"/>
        </w:rPr>
        <w:t xml:space="preserve"> сентября </w:t>
      </w:r>
      <w:r w:rsidRPr="00E56D87">
        <w:rPr>
          <w:rFonts w:ascii="Times New Roman" w:eastAsia="Calibri" w:hAnsi="Times New Roman" w:cs="Times New Roman"/>
          <w:sz w:val="28"/>
          <w:szCs w:val="28"/>
        </w:rPr>
        <w:t xml:space="preserve">2020 </w:t>
      </w:r>
      <w:r>
        <w:rPr>
          <w:rFonts w:ascii="Times New Roman" w:eastAsia="Calibri" w:hAnsi="Times New Roman" w:cs="Times New Roman"/>
          <w:sz w:val="28"/>
          <w:szCs w:val="28"/>
        </w:rPr>
        <w:t xml:space="preserve">г. </w:t>
      </w:r>
      <w:r w:rsidRPr="00E56D87">
        <w:rPr>
          <w:rFonts w:ascii="Times New Roman" w:eastAsia="Calibri" w:hAnsi="Times New Roman" w:cs="Times New Roman"/>
          <w:sz w:val="28"/>
          <w:szCs w:val="28"/>
        </w:rPr>
        <w:t>№ 732 утверждены Правила пользования пляжами в Российской Федерации, которые также вступили в силу с 1 января 2021 г</w:t>
      </w:r>
      <w:r w:rsidR="00F608AC">
        <w:rPr>
          <w:rFonts w:ascii="Times New Roman" w:eastAsia="Calibri" w:hAnsi="Times New Roman" w:cs="Times New Roman"/>
          <w:sz w:val="28"/>
          <w:szCs w:val="28"/>
        </w:rPr>
        <w:t>.</w:t>
      </w:r>
      <w:r w:rsidRPr="00E56D87">
        <w:rPr>
          <w:rFonts w:ascii="Times New Roman" w:eastAsia="Calibri" w:hAnsi="Times New Roman" w:cs="Times New Roman"/>
          <w:sz w:val="28"/>
          <w:szCs w:val="28"/>
        </w:rPr>
        <w:t xml:space="preserve"> (III глава – с 1 июля 2021 г</w:t>
      </w:r>
      <w:r w:rsidR="00F608AC">
        <w:rPr>
          <w:rFonts w:ascii="Times New Roman" w:eastAsia="Calibri" w:hAnsi="Times New Roman" w:cs="Times New Roman"/>
          <w:sz w:val="28"/>
          <w:szCs w:val="28"/>
        </w:rPr>
        <w:t>.</w:t>
      </w:r>
      <w:r w:rsidRPr="00E56D87">
        <w:rPr>
          <w:rFonts w:ascii="Times New Roman" w:eastAsia="Calibri" w:hAnsi="Times New Roman" w:cs="Times New Roman"/>
          <w:sz w:val="28"/>
          <w:szCs w:val="28"/>
        </w:rPr>
        <w:t>). В</w:t>
      </w:r>
      <w:r w:rsidR="002D1FD1">
        <w:rPr>
          <w:rFonts w:ascii="Times New Roman" w:eastAsia="Calibri" w:hAnsi="Times New Roman" w:cs="Times New Roman"/>
          <w:sz w:val="28"/>
          <w:szCs w:val="28"/>
        </w:rPr>
        <w:t>в</w:t>
      </w:r>
      <w:r w:rsidRPr="00E56D87">
        <w:rPr>
          <w:rFonts w:ascii="Times New Roman" w:eastAsia="Calibri" w:hAnsi="Times New Roman" w:cs="Times New Roman"/>
          <w:sz w:val="28"/>
          <w:szCs w:val="28"/>
        </w:rPr>
        <w:t>едено требование, в соответствии с которым купание детей и лиц, не умеющих плавать, допускается на специально отведенном участке зоны купания.</w:t>
      </w:r>
    </w:p>
    <w:p w14:paraId="28A8E1A1" w14:textId="77777777" w:rsidR="00284B60" w:rsidRPr="00E94206" w:rsidRDefault="00284B60" w:rsidP="00284B60">
      <w:pPr>
        <w:widowControl w:val="0"/>
        <w:suppressAutoHyphens/>
        <w:spacing w:after="0" w:line="312" w:lineRule="auto"/>
        <w:ind w:firstLine="709"/>
        <w:contextualSpacing/>
        <w:jc w:val="both"/>
        <w:rPr>
          <w:rFonts w:ascii="Times New Roman" w:eastAsia="Calibri" w:hAnsi="Times New Roman" w:cs="Times New Roman"/>
          <w:sz w:val="28"/>
          <w:szCs w:val="28"/>
        </w:rPr>
      </w:pPr>
      <w:r w:rsidRPr="00E94206">
        <w:rPr>
          <w:rFonts w:ascii="Times New Roman" w:eastAsia="Calibri" w:hAnsi="Times New Roman" w:cs="Times New Roman"/>
          <w:sz w:val="28"/>
          <w:szCs w:val="28"/>
        </w:rPr>
        <w:t>Кроме того</w:t>
      </w:r>
      <w:r>
        <w:rPr>
          <w:rFonts w:ascii="Times New Roman" w:eastAsia="Calibri" w:hAnsi="Times New Roman" w:cs="Times New Roman"/>
          <w:sz w:val="28"/>
          <w:szCs w:val="28"/>
        </w:rPr>
        <w:t>,</w:t>
      </w:r>
      <w:r w:rsidRPr="00E94206">
        <w:rPr>
          <w:rFonts w:ascii="Times New Roman" w:eastAsia="Calibri" w:hAnsi="Times New Roman" w:cs="Times New Roman"/>
          <w:sz w:val="28"/>
          <w:szCs w:val="28"/>
        </w:rPr>
        <w:t xml:space="preserve"> МВД России были приняты организационные и практические меры, предусматривающие приоритетную реализацию мероприятий, направленных на профилактику правонарушений не</w:t>
      </w:r>
      <w:r>
        <w:rPr>
          <w:rFonts w:ascii="Times New Roman" w:eastAsia="Calibri" w:hAnsi="Times New Roman" w:cs="Times New Roman"/>
          <w:sz w:val="28"/>
          <w:szCs w:val="28"/>
        </w:rPr>
        <w:t xml:space="preserve">совершеннолетних и обеспечение </w:t>
      </w:r>
      <w:r w:rsidRPr="00E94206">
        <w:rPr>
          <w:rFonts w:ascii="Times New Roman" w:eastAsia="Calibri" w:hAnsi="Times New Roman" w:cs="Times New Roman"/>
          <w:sz w:val="28"/>
          <w:szCs w:val="28"/>
        </w:rPr>
        <w:t>их защиты от преступных посягательств в пе</w:t>
      </w:r>
      <w:r w:rsidR="005A170D">
        <w:rPr>
          <w:rFonts w:ascii="Times New Roman" w:eastAsia="Calibri" w:hAnsi="Times New Roman" w:cs="Times New Roman"/>
          <w:sz w:val="28"/>
          <w:szCs w:val="28"/>
        </w:rPr>
        <w:t xml:space="preserve">риод летнего курортного сезона </w:t>
      </w:r>
      <w:r w:rsidRPr="00E94206">
        <w:rPr>
          <w:rFonts w:ascii="Times New Roman" w:eastAsia="Calibri" w:hAnsi="Times New Roman" w:cs="Times New Roman"/>
          <w:sz w:val="28"/>
          <w:szCs w:val="28"/>
        </w:rPr>
        <w:t xml:space="preserve">(приказ </w:t>
      </w:r>
      <w:r w:rsidR="005A170D">
        <w:rPr>
          <w:rFonts w:ascii="Times New Roman" w:eastAsia="Calibri" w:hAnsi="Times New Roman" w:cs="Times New Roman"/>
          <w:sz w:val="28"/>
          <w:szCs w:val="28"/>
        </w:rPr>
        <w:br/>
      </w:r>
      <w:r w:rsidR="00932D1D">
        <w:rPr>
          <w:rFonts w:ascii="Times New Roman" w:eastAsia="Calibri" w:hAnsi="Times New Roman" w:cs="Times New Roman"/>
          <w:sz w:val="28"/>
          <w:szCs w:val="28"/>
        </w:rPr>
        <w:t>М</w:t>
      </w:r>
      <w:r w:rsidRPr="00E94206">
        <w:rPr>
          <w:rFonts w:ascii="Times New Roman" w:eastAsia="Calibri" w:hAnsi="Times New Roman" w:cs="Times New Roman"/>
          <w:sz w:val="28"/>
          <w:szCs w:val="28"/>
        </w:rPr>
        <w:t>ВД России от 24 мая 2021 г</w:t>
      </w:r>
      <w:r w:rsidR="005A170D">
        <w:rPr>
          <w:rFonts w:ascii="Times New Roman" w:eastAsia="Calibri" w:hAnsi="Times New Roman" w:cs="Times New Roman"/>
          <w:sz w:val="28"/>
          <w:szCs w:val="28"/>
        </w:rPr>
        <w:t>.</w:t>
      </w:r>
      <w:r w:rsidRPr="00E94206">
        <w:rPr>
          <w:rFonts w:ascii="Times New Roman" w:eastAsia="Calibri" w:hAnsi="Times New Roman" w:cs="Times New Roman"/>
          <w:sz w:val="28"/>
          <w:szCs w:val="28"/>
        </w:rPr>
        <w:t xml:space="preserve"> № 287 «О мерах по обеспечению общественного порядка и общественной</w:t>
      </w:r>
      <w:r w:rsidR="005A170D">
        <w:rPr>
          <w:rFonts w:ascii="Times New Roman" w:eastAsia="Calibri" w:hAnsi="Times New Roman" w:cs="Times New Roman"/>
          <w:sz w:val="28"/>
          <w:szCs w:val="28"/>
        </w:rPr>
        <w:t xml:space="preserve"> безопасности в период летнего </w:t>
      </w:r>
      <w:r w:rsidRPr="00E94206">
        <w:rPr>
          <w:rFonts w:ascii="Times New Roman" w:eastAsia="Calibri" w:hAnsi="Times New Roman" w:cs="Times New Roman"/>
          <w:sz w:val="28"/>
          <w:szCs w:val="28"/>
        </w:rPr>
        <w:t>курортного сезона 2021 года»).</w:t>
      </w:r>
    </w:p>
    <w:p w14:paraId="71E4A471" w14:textId="77777777" w:rsidR="00284B60" w:rsidRPr="00E94206" w:rsidRDefault="00284B60" w:rsidP="00284B60">
      <w:pPr>
        <w:widowControl w:val="0"/>
        <w:suppressAutoHyphens/>
        <w:spacing w:after="0" w:line="312" w:lineRule="auto"/>
        <w:ind w:firstLine="709"/>
        <w:contextualSpacing/>
        <w:jc w:val="both"/>
        <w:rPr>
          <w:rFonts w:ascii="Times New Roman" w:eastAsia="Calibri" w:hAnsi="Times New Roman" w:cs="Times New Roman"/>
          <w:sz w:val="28"/>
          <w:szCs w:val="28"/>
        </w:rPr>
      </w:pPr>
      <w:r w:rsidRPr="00E94206">
        <w:rPr>
          <w:rFonts w:ascii="Times New Roman" w:eastAsia="Calibri" w:hAnsi="Times New Roman" w:cs="Times New Roman"/>
          <w:sz w:val="28"/>
          <w:szCs w:val="28"/>
        </w:rPr>
        <w:t>В Республику Крым</w:t>
      </w:r>
      <w:r>
        <w:rPr>
          <w:rFonts w:ascii="Times New Roman" w:eastAsia="Calibri" w:hAnsi="Times New Roman" w:cs="Times New Roman"/>
          <w:sz w:val="28"/>
          <w:szCs w:val="28"/>
        </w:rPr>
        <w:t>,</w:t>
      </w:r>
      <w:r w:rsidRPr="00E94206">
        <w:rPr>
          <w:rFonts w:ascii="Times New Roman" w:eastAsia="Calibri" w:hAnsi="Times New Roman" w:cs="Times New Roman"/>
          <w:sz w:val="28"/>
          <w:szCs w:val="28"/>
        </w:rPr>
        <w:t xml:space="preserve"> </w:t>
      </w:r>
      <w:r>
        <w:rPr>
          <w:rFonts w:ascii="Times New Roman" w:eastAsia="Calibri" w:hAnsi="Times New Roman" w:cs="Times New Roman"/>
          <w:sz w:val="28"/>
          <w:szCs w:val="28"/>
        </w:rPr>
        <w:t>Краснодарский край</w:t>
      </w:r>
      <w:r w:rsidRPr="00E94206">
        <w:rPr>
          <w:rFonts w:ascii="Times New Roman" w:eastAsia="Calibri" w:hAnsi="Times New Roman" w:cs="Times New Roman"/>
          <w:sz w:val="28"/>
          <w:szCs w:val="28"/>
        </w:rPr>
        <w:t xml:space="preserve"> и г. С</w:t>
      </w:r>
      <w:r>
        <w:rPr>
          <w:rFonts w:ascii="Times New Roman" w:eastAsia="Calibri" w:hAnsi="Times New Roman" w:cs="Times New Roman"/>
          <w:sz w:val="28"/>
          <w:szCs w:val="28"/>
        </w:rPr>
        <w:t xml:space="preserve">евастополь, как регионы </w:t>
      </w:r>
      <w:r w:rsidRPr="00E94206">
        <w:rPr>
          <w:rFonts w:ascii="Times New Roman" w:eastAsia="Calibri" w:hAnsi="Times New Roman" w:cs="Times New Roman"/>
          <w:sz w:val="28"/>
          <w:szCs w:val="28"/>
        </w:rPr>
        <w:t>с наибольшим количеством оздоровительных организаций, дополнительно направлялись сводные отряды органов внутренних дел в составе сотрудников подразделений по делам несовершеннолетних, патрульно-постовой службы полиции, уголовного розыска, уча</w:t>
      </w:r>
      <w:r>
        <w:rPr>
          <w:rFonts w:ascii="Times New Roman" w:eastAsia="Calibri" w:hAnsi="Times New Roman" w:cs="Times New Roman"/>
          <w:sz w:val="28"/>
          <w:szCs w:val="28"/>
        </w:rPr>
        <w:t xml:space="preserve">стковых уполномоченных полиции </w:t>
      </w:r>
      <w:r w:rsidRPr="00E94206">
        <w:rPr>
          <w:rFonts w:ascii="Times New Roman" w:eastAsia="Calibri" w:hAnsi="Times New Roman" w:cs="Times New Roman"/>
          <w:sz w:val="28"/>
          <w:szCs w:val="28"/>
        </w:rPr>
        <w:t>и полицейских-кинологов со служебными собаками.</w:t>
      </w:r>
    </w:p>
    <w:p w14:paraId="6B8583C6" w14:textId="77777777" w:rsidR="00284B60" w:rsidRPr="00E94206" w:rsidRDefault="00284B60" w:rsidP="00284B60">
      <w:pPr>
        <w:widowControl w:val="0"/>
        <w:suppressAutoHyphens/>
        <w:spacing w:after="0" w:line="312" w:lineRule="auto"/>
        <w:ind w:firstLine="709"/>
        <w:contextualSpacing/>
        <w:jc w:val="both"/>
        <w:rPr>
          <w:rFonts w:ascii="Times New Roman" w:eastAsia="Calibri" w:hAnsi="Times New Roman" w:cs="Times New Roman"/>
          <w:sz w:val="28"/>
          <w:szCs w:val="28"/>
        </w:rPr>
      </w:pPr>
      <w:r w:rsidRPr="00E94206">
        <w:rPr>
          <w:rFonts w:ascii="Times New Roman" w:eastAsia="Calibri" w:hAnsi="Times New Roman" w:cs="Times New Roman"/>
          <w:sz w:val="28"/>
          <w:szCs w:val="28"/>
        </w:rPr>
        <w:t>Для оказания содействия сотрудникам полиции привлекались представители общественности из числа персонала курортных учреждений, казачества, частных охранных структур, студенчества и молодежи.</w:t>
      </w:r>
    </w:p>
    <w:p w14:paraId="7C1D4587" w14:textId="77777777" w:rsidR="00284B60" w:rsidRPr="00E94206" w:rsidRDefault="00284B60" w:rsidP="00284B60">
      <w:pPr>
        <w:widowControl w:val="0"/>
        <w:suppressAutoHyphens/>
        <w:spacing w:after="0" w:line="312" w:lineRule="auto"/>
        <w:ind w:firstLine="709"/>
        <w:contextualSpacing/>
        <w:jc w:val="both"/>
        <w:rPr>
          <w:rFonts w:ascii="Times New Roman" w:eastAsia="Calibri" w:hAnsi="Times New Roman" w:cs="Times New Roman"/>
          <w:sz w:val="28"/>
          <w:szCs w:val="28"/>
        </w:rPr>
      </w:pPr>
      <w:r w:rsidRPr="00E94206">
        <w:rPr>
          <w:rFonts w:ascii="Times New Roman" w:eastAsia="Calibri" w:hAnsi="Times New Roman" w:cs="Times New Roman"/>
          <w:sz w:val="28"/>
          <w:szCs w:val="28"/>
        </w:rPr>
        <w:t xml:space="preserve">На территории </w:t>
      </w:r>
      <w:r>
        <w:rPr>
          <w:rFonts w:ascii="Times New Roman" w:eastAsia="Calibri" w:hAnsi="Times New Roman" w:cs="Times New Roman"/>
          <w:sz w:val="28"/>
          <w:szCs w:val="28"/>
        </w:rPr>
        <w:t>ВДЦ</w:t>
      </w:r>
      <w:r w:rsidRPr="00E94206">
        <w:rPr>
          <w:rFonts w:ascii="Times New Roman" w:eastAsia="Calibri" w:hAnsi="Times New Roman" w:cs="Times New Roman"/>
          <w:sz w:val="28"/>
          <w:szCs w:val="28"/>
        </w:rPr>
        <w:t xml:space="preserve"> «Орленок», «Смена», «Океан» по аналогии с «Международным детским центром «Артек» созданы пункты полиции, в каждом из которых согласно штатному расписанию введено по одной должности инспектора по делам несовершеннолетних и участкового уполномоченного полиции.</w:t>
      </w:r>
    </w:p>
    <w:p w14:paraId="0A013CF7" w14:textId="77777777" w:rsidR="00284B60" w:rsidRPr="00E94206" w:rsidRDefault="00284B60" w:rsidP="00284B60">
      <w:pPr>
        <w:widowControl w:val="0"/>
        <w:suppressAutoHyphens/>
        <w:spacing w:after="0" w:line="312" w:lineRule="auto"/>
        <w:ind w:firstLine="709"/>
        <w:contextualSpacing/>
        <w:jc w:val="both"/>
        <w:rPr>
          <w:rFonts w:ascii="Times New Roman" w:eastAsia="Calibri" w:hAnsi="Times New Roman" w:cs="Times New Roman"/>
          <w:sz w:val="28"/>
          <w:szCs w:val="28"/>
        </w:rPr>
      </w:pPr>
      <w:r w:rsidRPr="00E94206">
        <w:rPr>
          <w:rFonts w:ascii="Times New Roman" w:eastAsia="Calibri" w:hAnsi="Times New Roman" w:cs="Times New Roman"/>
          <w:sz w:val="28"/>
          <w:szCs w:val="28"/>
        </w:rPr>
        <w:t>Ежегодно принимались допо</w:t>
      </w:r>
      <w:r>
        <w:rPr>
          <w:rFonts w:ascii="Times New Roman" w:eastAsia="Calibri" w:hAnsi="Times New Roman" w:cs="Times New Roman"/>
          <w:sz w:val="28"/>
          <w:szCs w:val="28"/>
        </w:rPr>
        <w:t xml:space="preserve">лнительные меры по обеспечению </w:t>
      </w:r>
      <w:r w:rsidRPr="00E94206">
        <w:rPr>
          <w:rFonts w:ascii="Times New Roman" w:eastAsia="Calibri" w:hAnsi="Times New Roman" w:cs="Times New Roman"/>
          <w:sz w:val="28"/>
          <w:szCs w:val="28"/>
        </w:rPr>
        <w:t>безопасности при проезде организованных групп де</w:t>
      </w:r>
      <w:r>
        <w:rPr>
          <w:rFonts w:ascii="Times New Roman" w:eastAsia="Calibri" w:hAnsi="Times New Roman" w:cs="Times New Roman"/>
          <w:sz w:val="28"/>
          <w:szCs w:val="28"/>
        </w:rPr>
        <w:t xml:space="preserve">тей к местам отдыха и обратно, </w:t>
      </w:r>
      <w:r w:rsidRPr="00E94206">
        <w:rPr>
          <w:rFonts w:ascii="Times New Roman" w:eastAsia="Calibri" w:hAnsi="Times New Roman" w:cs="Times New Roman"/>
          <w:sz w:val="28"/>
          <w:szCs w:val="28"/>
        </w:rPr>
        <w:t xml:space="preserve">а также в период их пребывания </w:t>
      </w:r>
      <w:r>
        <w:rPr>
          <w:rFonts w:ascii="Times New Roman" w:eastAsia="Calibri" w:hAnsi="Times New Roman" w:cs="Times New Roman"/>
          <w:sz w:val="28"/>
          <w:szCs w:val="28"/>
        </w:rPr>
        <w:t xml:space="preserve">в оздоровительных организациях. </w:t>
      </w:r>
      <w:r w:rsidRPr="00E94206">
        <w:rPr>
          <w:rFonts w:ascii="Times New Roman" w:eastAsia="Calibri" w:hAnsi="Times New Roman" w:cs="Times New Roman"/>
          <w:sz w:val="28"/>
          <w:szCs w:val="28"/>
        </w:rPr>
        <w:t>МВД России осуществлялся ежесуточны</w:t>
      </w:r>
      <w:r>
        <w:rPr>
          <w:rFonts w:ascii="Times New Roman" w:eastAsia="Calibri" w:hAnsi="Times New Roman" w:cs="Times New Roman"/>
          <w:sz w:val="28"/>
          <w:szCs w:val="28"/>
        </w:rPr>
        <w:t xml:space="preserve">й мониторинг убытия (прибытия) </w:t>
      </w:r>
      <w:r w:rsidRPr="00E94206">
        <w:rPr>
          <w:rFonts w:ascii="Times New Roman" w:eastAsia="Calibri" w:hAnsi="Times New Roman" w:cs="Times New Roman"/>
          <w:sz w:val="28"/>
          <w:szCs w:val="28"/>
        </w:rPr>
        <w:t>и следования организованных групп детей в курортные зоны. Подразделениями транспортной полиции обеспечено их сопровождение.</w:t>
      </w:r>
    </w:p>
    <w:p w14:paraId="6C8C7903" w14:textId="77777777" w:rsidR="00E94206" w:rsidRPr="00E94206" w:rsidRDefault="00C92470" w:rsidP="00E94206">
      <w:pPr>
        <w:widowControl w:val="0"/>
        <w:suppressAutoHyphens/>
        <w:spacing w:after="0" w:line="312"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 информации </w:t>
      </w:r>
      <w:proofErr w:type="spellStart"/>
      <w:r>
        <w:rPr>
          <w:rFonts w:ascii="Times New Roman" w:eastAsia="Calibri" w:hAnsi="Times New Roman" w:cs="Times New Roman"/>
          <w:sz w:val="28"/>
          <w:szCs w:val="28"/>
        </w:rPr>
        <w:t>Росгвардии</w:t>
      </w:r>
      <w:proofErr w:type="spellEnd"/>
      <w:r>
        <w:rPr>
          <w:rFonts w:ascii="Times New Roman" w:eastAsia="Calibri" w:hAnsi="Times New Roman" w:cs="Times New Roman"/>
          <w:sz w:val="28"/>
          <w:szCs w:val="28"/>
        </w:rPr>
        <w:t xml:space="preserve">, </w:t>
      </w:r>
      <w:r w:rsidR="00E94206" w:rsidRPr="00E94206">
        <w:rPr>
          <w:rFonts w:ascii="Times New Roman" w:eastAsia="Calibri" w:hAnsi="Times New Roman" w:cs="Times New Roman"/>
          <w:sz w:val="28"/>
          <w:szCs w:val="28"/>
        </w:rPr>
        <w:t>войска национально</w:t>
      </w:r>
      <w:r w:rsidR="00E56D87">
        <w:rPr>
          <w:rFonts w:ascii="Times New Roman" w:eastAsia="Calibri" w:hAnsi="Times New Roman" w:cs="Times New Roman"/>
          <w:sz w:val="28"/>
          <w:szCs w:val="28"/>
        </w:rPr>
        <w:t xml:space="preserve">й гвардии привлекались </w:t>
      </w:r>
      <w:r w:rsidR="00E94206" w:rsidRPr="00E94206">
        <w:rPr>
          <w:rFonts w:ascii="Times New Roman" w:eastAsia="Calibri" w:hAnsi="Times New Roman" w:cs="Times New Roman"/>
          <w:sz w:val="28"/>
          <w:szCs w:val="28"/>
        </w:rPr>
        <w:t xml:space="preserve">к реагированию на сообщения о нарушении </w:t>
      </w:r>
      <w:r w:rsidR="00E56D87">
        <w:rPr>
          <w:rFonts w:ascii="Times New Roman" w:eastAsia="Calibri" w:hAnsi="Times New Roman" w:cs="Times New Roman"/>
          <w:sz w:val="28"/>
          <w:szCs w:val="28"/>
        </w:rPr>
        <w:t xml:space="preserve">общественного порядка 218 раз, </w:t>
      </w:r>
      <w:r w:rsidR="00E94206" w:rsidRPr="00E94206">
        <w:rPr>
          <w:rFonts w:ascii="Times New Roman" w:eastAsia="Calibri" w:hAnsi="Times New Roman" w:cs="Times New Roman"/>
          <w:sz w:val="28"/>
          <w:szCs w:val="28"/>
        </w:rPr>
        <w:t xml:space="preserve">из них: </w:t>
      </w:r>
      <w:r w:rsidR="00E56D87">
        <w:rPr>
          <w:rFonts w:ascii="Times New Roman" w:eastAsia="Calibri" w:hAnsi="Times New Roman" w:cs="Times New Roman"/>
          <w:sz w:val="28"/>
          <w:szCs w:val="28"/>
        </w:rPr>
        <w:t xml:space="preserve">в </w:t>
      </w:r>
      <w:r w:rsidR="00E94206" w:rsidRPr="00E94206">
        <w:rPr>
          <w:rFonts w:ascii="Times New Roman" w:eastAsia="Calibri" w:hAnsi="Times New Roman" w:cs="Times New Roman"/>
          <w:sz w:val="28"/>
          <w:szCs w:val="28"/>
        </w:rPr>
        <w:t>стационарных организациях отдыха детей и их оздоровления – 30 раз; лагерях с дневным пребыванием – 183 раза; детских лагерях труда и отдыха – 1 раз; детских специализированных (профильных) лагерях, детских лагерях различной тематической направленности – 1 раз; санаторно-оздоровительных лагерях круглогодичного действия – 3 раза.</w:t>
      </w:r>
    </w:p>
    <w:p w14:paraId="640B6B83" w14:textId="77777777" w:rsidR="00E94206" w:rsidRPr="00E94206" w:rsidRDefault="00E94206" w:rsidP="00E94206">
      <w:pPr>
        <w:widowControl w:val="0"/>
        <w:suppressAutoHyphens/>
        <w:spacing w:after="0" w:line="312" w:lineRule="auto"/>
        <w:ind w:firstLine="709"/>
        <w:contextualSpacing/>
        <w:jc w:val="both"/>
        <w:rPr>
          <w:rFonts w:ascii="Times New Roman" w:eastAsia="Calibri" w:hAnsi="Times New Roman" w:cs="Times New Roman"/>
          <w:sz w:val="28"/>
          <w:szCs w:val="28"/>
        </w:rPr>
      </w:pPr>
      <w:r w:rsidRPr="00E94206">
        <w:rPr>
          <w:rFonts w:ascii="Times New Roman" w:eastAsia="Calibri" w:hAnsi="Times New Roman" w:cs="Times New Roman"/>
          <w:sz w:val="28"/>
          <w:szCs w:val="28"/>
        </w:rPr>
        <w:t>Кроме того, войска национальной гвард</w:t>
      </w:r>
      <w:r w:rsidR="00E56D87">
        <w:rPr>
          <w:rFonts w:ascii="Times New Roman" w:eastAsia="Calibri" w:hAnsi="Times New Roman" w:cs="Times New Roman"/>
          <w:sz w:val="28"/>
          <w:szCs w:val="28"/>
        </w:rPr>
        <w:t xml:space="preserve">ии привлекались к реагированию </w:t>
      </w:r>
      <w:r w:rsidRPr="00E94206">
        <w:rPr>
          <w:rFonts w:ascii="Times New Roman" w:eastAsia="Calibri" w:hAnsi="Times New Roman" w:cs="Times New Roman"/>
          <w:sz w:val="28"/>
          <w:szCs w:val="28"/>
        </w:rPr>
        <w:t>на сообщения о нарушении общественного порядка по обследованию объектов (мест массового пребывания людей) на предмет выявления и обезвреживания взрывных устройств 148 раз, из них</w:t>
      </w:r>
      <w:r w:rsidR="00E56D87">
        <w:rPr>
          <w:rFonts w:ascii="Times New Roman" w:eastAsia="Calibri" w:hAnsi="Times New Roman" w:cs="Times New Roman"/>
          <w:sz w:val="28"/>
          <w:szCs w:val="28"/>
        </w:rPr>
        <w:t>: в</w:t>
      </w:r>
      <w:r w:rsidRPr="00E94206">
        <w:rPr>
          <w:rFonts w:ascii="Times New Roman" w:eastAsia="Calibri" w:hAnsi="Times New Roman" w:cs="Times New Roman"/>
          <w:sz w:val="28"/>
          <w:szCs w:val="28"/>
        </w:rPr>
        <w:t xml:space="preserve"> стациона</w:t>
      </w:r>
      <w:r w:rsidR="00E56D87">
        <w:rPr>
          <w:rFonts w:ascii="Times New Roman" w:eastAsia="Calibri" w:hAnsi="Times New Roman" w:cs="Times New Roman"/>
          <w:sz w:val="28"/>
          <w:szCs w:val="28"/>
        </w:rPr>
        <w:t xml:space="preserve">рных организациях отдыха детей </w:t>
      </w:r>
      <w:r w:rsidRPr="00E94206">
        <w:rPr>
          <w:rFonts w:ascii="Times New Roman" w:eastAsia="Calibri" w:hAnsi="Times New Roman" w:cs="Times New Roman"/>
          <w:sz w:val="28"/>
          <w:szCs w:val="28"/>
        </w:rPr>
        <w:t>и их оздоровления – 14 раз; лагерях с дневным пребыванием – 119 раз; детских лагерях труда и отдыха – 3 раза; детских специализированных (профильных) лагерях, детских лагерях различной тематической направленности – 10 раз; санаторно-оздоровительных лагерях круглогодичного действия – 2 раза.</w:t>
      </w:r>
    </w:p>
    <w:p w14:paraId="25287182" w14:textId="71FBFB8E" w:rsidR="00E94206" w:rsidRPr="00E94206" w:rsidRDefault="00E94206" w:rsidP="00E94206">
      <w:pPr>
        <w:widowControl w:val="0"/>
        <w:suppressAutoHyphens/>
        <w:spacing w:after="0" w:line="312" w:lineRule="auto"/>
        <w:ind w:firstLine="709"/>
        <w:contextualSpacing/>
        <w:jc w:val="both"/>
        <w:rPr>
          <w:rFonts w:ascii="Times New Roman" w:eastAsia="Calibri" w:hAnsi="Times New Roman" w:cs="Times New Roman"/>
          <w:sz w:val="28"/>
          <w:szCs w:val="28"/>
        </w:rPr>
      </w:pPr>
      <w:r w:rsidRPr="00E94206">
        <w:rPr>
          <w:rFonts w:ascii="Times New Roman" w:eastAsia="Calibri" w:hAnsi="Times New Roman" w:cs="Times New Roman"/>
          <w:sz w:val="28"/>
          <w:szCs w:val="28"/>
        </w:rPr>
        <w:t xml:space="preserve">По информации </w:t>
      </w:r>
      <w:proofErr w:type="spellStart"/>
      <w:r w:rsidRPr="00E94206">
        <w:rPr>
          <w:rFonts w:ascii="Times New Roman" w:eastAsia="Calibri" w:hAnsi="Times New Roman" w:cs="Times New Roman"/>
          <w:sz w:val="28"/>
          <w:szCs w:val="28"/>
        </w:rPr>
        <w:t>Ространснадзора</w:t>
      </w:r>
      <w:proofErr w:type="spellEnd"/>
      <w:r w:rsidRPr="00E94206">
        <w:rPr>
          <w:rFonts w:ascii="Times New Roman" w:eastAsia="Calibri" w:hAnsi="Times New Roman" w:cs="Times New Roman"/>
          <w:sz w:val="28"/>
          <w:szCs w:val="28"/>
        </w:rPr>
        <w:t xml:space="preserve">, в </w:t>
      </w:r>
      <w:r w:rsidR="00932D1D">
        <w:rPr>
          <w:rFonts w:ascii="Times New Roman" w:eastAsia="Calibri" w:hAnsi="Times New Roman" w:cs="Times New Roman"/>
          <w:sz w:val="28"/>
          <w:szCs w:val="28"/>
        </w:rPr>
        <w:t>2018-</w:t>
      </w:r>
      <w:r w:rsidR="00942740">
        <w:rPr>
          <w:rFonts w:ascii="Times New Roman" w:eastAsia="Calibri" w:hAnsi="Times New Roman" w:cs="Times New Roman"/>
          <w:sz w:val="28"/>
          <w:szCs w:val="28"/>
        </w:rPr>
        <w:t>2020 гг.</w:t>
      </w:r>
      <w:r w:rsidRPr="00E94206">
        <w:rPr>
          <w:rFonts w:ascii="Times New Roman" w:eastAsia="Calibri" w:hAnsi="Times New Roman" w:cs="Times New Roman"/>
          <w:sz w:val="28"/>
          <w:szCs w:val="28"/>
        </w:rPr>
        <w:t xml:space="preserve"> Управлением государственного автомобильног</w:t>
      </w:r>
      <w:r w:rsidR="00E56D87">
        <w:rPr>
          <w:rFonts w:ascii="Times New Roman" w:eastAsia="Calibri" w:hAnsi="Times New Roman" w:cs="Times New Roman"/>
          <w:sz w:val="28"/>
          <w:szCs w:val="28"/>
        </w:rPr>
        <w:t xml:space="preserve">о и дорожного надзора в рамках </w:t>
      </w:r>
      <w:r w:rsidRPr="00E94206">
        <w:rPr>
          <w:rFonts w:ascii="Times New Roman" w:eastAsia="Calibri" w:hAnsi="Times New Roman" w:cs="Times New Roman"/>
          <w:sz w:val="28"/>
          <w:szCs w:val="28"/>
        </w:rPr>
        <w:t>исполнения пункт</w:t>
      </w:r>
      <w:r w:rsidR="00E56D87">
        <w:rPr>
          <w:rFonts w:ascii="Times New Roman" w:eastAsia="Calibri" w:hAnsi="Times New Roman" w:cs="Times New Roman"/>
          <w:sz w:val="28"/>
          <w:szCs w:val="28"/>
        </w:rPr>
        <w:t>а 10 «Плана мероприятий на 2017-</w:t>
      </w:r>
      <w:r w:rsidRPr="00E94206">
        <w:rPr>
          <w:rFonts w:ascii="Times New Roman" w:eastAsia="Calibri" w:hAnsi="Times New Roman" w:cs="Times New Roman"/>
          <w:sz w:val="28"/>
          <w:szCs w:val="28"/>
        </w:rPr>
        <w:t xml:space="preserve">2020 годы по реализации Основ государственного регулирования и государственного контроля организации отдыха и оздоровления детей», утвержденного распоряжением Правительства Российской Федерации </w:t>
      </w:r>
      <w:r w:rsidR="003A3715">
        <w:rPr>
          <w:rFonts w:ascii="Times New Roman" w:eastAsia="Calibri" w:hAnsi="Times New Roman" w:cs="Times New Roman"/>
          <w:sz w:val="28"/>
          <w:szCs w:val="28"/>
        </w:rPr>
        <w:br/>
      </w:r>
      <w:r w:rsidRPr="00E94206">
        <w:rPr>
          <w:rFonts w:ascii="Times New Roman" w:eastAsia="Calibri" w:hAnsi="Times New Roman" w:cs="Times New Roman"/>
          <w:sz w:val="28"/>
          <w:szCs w:val="28"/>
        </w:rPr>
        <w:t>от 25 октября 2017 г. № 2344-р, на уровне субъектов Российской Федерации усилена работа по контролю за обеспечением безопасности перевозок организованных групп детей автобусами в летний период – период массового перемещения детей в лагеря отдыха и обратно, на экскурсии, спортивно-массовые, оздоровительные и другие мероприятия.</w:t>
      </w:r>
    </w:p>
    <w:p w14:paraId="1B9757CE" w14:textId="35B17661" w:rsidR="00E94206" w:rsidRPr="00E94206" w:rsidRDefault="00E94206" w:rsidP="00E94206">
      <w:pPr>
        <w:widowControl w:val="0"/>
        <w:suppressAutoHyphens/>
        <w:spacing w:after="0" w:line="312" w:lineRule="auto"/>
        <w:ind w:firstLine="709"/>
        <w:contextualSpacing/>
        <w:jc w:val="both"/>
        <w:rPr>
          <w:rFonts w:ascii="Times New Roman" w:eastAsia="Calibri" w:hAnsi="Times New Roman" w:cs="Times New Roman"/>
          <w:sz w:val="28"/>
          <w:szCs w:val="28"/>
        </w:rPr>
      </w:pPr>
      <w:r w:rsidRPr="00E94206">
        <w:rPr>
          <w:rFonts w:ascii="Times New Roman" w:eastAsia="Calibri" w:hAnsi="Times New Roman" w:cs="Times New Roman"/>
          <w:sz w:val="28"/>
          <w:szCs w:val="28"/>
        </w:rPr>
        <w:t>Начиная с 2021 г</w:t>
      </w:r>
      <w:r w:rsidR="00932D1D">
        <w:rPr>
          <w:rFonts w:ascii="Times New Roman" w:eastAsia="Calibri" w:hAnsi="Times New Roman" w:cs="Times New Roman"/>
          <w:sz w:val="28"/>
          <w:szCs w:val="28"/>
        </w:rPr>
        <w:t>.</w:t>
      </w:r>
      <w:r w:rsidRPr="00E94206">
        <w:rPr>
          <w:rFonts w:ascii="Times New Roman" w:eastAsia="Calibri" w:hAnsi="Times New Roman" w:cs="Times New Roman"/>
          <w:sz w:val="28"/>
          <w:szCs w:val="28"/>
        </w:rPr>
        <w:t>, по истечению срока действия указанного плана, контроль за обеспечением безопасности перевозок организованных групп детей автобусами в летний период осуществляется на постоянной основе в рамках общего контроля (надзора) за обеспечением безопасности перевозок организованных групп детей автобусами, в том числе в рамках исполнения поручений Правительства Российской Федерации от 1 июня 2015 г. № И</w:t>
      </w:r>
      <w:r w:rsidR="003A3715">
        <w:rPr>
          <w:rFonts w:ascii="Times New Roman" w:eastAsia="Calibri" w:hAnsi="Times New Roman" w:cs="Times New Roman"/>
          <w:sz w:val="28"/>
          <w:szCs w:val="28"/>
        </w:rPr>
        <w:t xml:space="preserve">Ш-П9-3600 по усилению контроля </w:t>
      </w:r>
      <w:r w:rsidRPr="00E94206">
        <w:rPr>
          <w:rFonts w:ascii="Times New Roman" w:eastAsia="Calibri" w:hAnsi="Times New Roman" w:cs="Times New Roman"/>
          <w:sz w:val="28"/>
          <w:szCs w:val="28"/>
        </w:rPr>
        <w:t>за соблюдением требований к организованной пе</w:t>
      </w:r>
      <w:r w:rsidR="003A3715">
        <w:rPr>
          <w:rFonts w:ascii="Times New Roman" w:eastAsia="Calibri" w:hAnsi="Times New Roman" w:cs="Times New Roman"/>
          <w:sz w:val="28"/>
          <w:szCs w:val="28"/>
        </w:rPr>
        <w:t xml:space="preserve">ревозке групп детей автобусами </w:t>
      </w:r>
      <w:r w:rsidRPr="00E94206">
        <w:rPr>
          <w:rFonts w:ascii="Times New Roman" w:eastAsia="Calibri" w:hAnsi="Times New Roman" w:cs="Times New Roman"/>
          <w:sz w:val="28"/>
          <w:szCs w:val="28"/>
        </w:rPr>
        <w:t>и Президента Российской Федерации В.В. Путина по вопросам обеспечения безопасности при осуществлении организованной перевозки группы детей автомобильным транспортом от 17 декабря 2016 г. № Пр-2480.</w:t>
      </w:r>
    </w:p>
    <w:p w14:paraId="18102991" w14:textId="77777777" w:rsidR="00E94206" w:rsidRPr="00E94206" w:rsidRDefault="00E94206" w:rsidP="00E94206">
      <w:pPr>
        <w:widowControl w:val="0"/>
        <w:suppressAutoHyphens/>
        <w:spacing w:after="0" w:line="312" w:lineRule="auto"/>
        <w:ind w:firstLine="709"/>
        <w:contextualSpacing/>
        <w:jc w:val="both"/>
        <w:rPr>
          <w:rFonts w:ascii="Times New Roman" w:eastAsia="Calibri" w:hAnsi="Times New Roman" w:cs="Times New Roman"/>
          <w:sz w:val="28"/>
          <w:szCs w:val="28"/>
        </w:rPr>
      </w:pPr>
      <w:r w:rsidRPr="00E94206">
        <w:rPr>
          <w:rFonts w:ascii="Times New Roman" w:eastAsia="Calibri" w:hAnsi="Times New Roman" w:cs="Times New Roman"/>
          <w:sz w:val="28"/>
          <w:szCs w:val="28"/>
        </w:rPr>
        <w:t xml:space="preserve">По докладам, поступившим из территориальных органов Управления государственного автомобильного и дорожного надзора, в течение </w:t>
      </w:r>
      <w:r w:rsidR="00E56D87">
        <w:rPr>
          <w:rFonts w:ascii="Times New Roman" w:eastAsia="Calibri" w:hAnsi="Times New Roman" w:cs="Times New Roman"/>
          <w:sz w:val="28"/>
          <w:szCs w:val="28"/>
        </w:rPr>
        <w:t>июня</w:t>
      </w:r>
      <w:r w:rsidR="00932D1D">
        <w:rPr>
          <w:rFonts w:ascii="Times New Roman" w:eastAsia="Calibri" w:hAnsi="Times New Roman" w:cs="Times New Roman"/>
          <w:sz w:val="28"/>
          <w:szCs w:val="28"/>
        </w:rPr>
        <w:t>-</w:t>
      </w:r>
      <w:r w:rsidR="00E56D87">
        <w:rPr>
          <w:rFonts w:ascii="Times New Roman" w:eastAsia="Calibri" w:hAnsi="Times New Roman" w:cs="Times New Roman"/>
          <w:sz w:val="28"/>
          <w:szCs w:val="28"/>
        </w:rPr>
        <w:t>августа 2021 г</w:t>
      </w:r>
      <w:r w:rsidR="00942740">
        <w:rPr>
          <w:rFonts w:ascii="Times New Roman" w:eastAsia="Calibri" w:hAnsi="Times New Roman" w:cs="Times New Roman"/>
          <w:sz w:val="28"/>
          <w:szCs w:val="28"/>
        </w:rPr>
        <w:t>.</w:t>
      </w:r>
      <w:r w:rsidRPr="00E94206">
        <w:rPr>
          <w:rFonts w:ascii="Times New Roman" w:eastAsia="Calibri" w:hAnsi="Times New Roman" w:cs="Times New Roman"/>
          <w:sz w:val="28"/>
          <w:szCs w:val="28"/>
        </w:rPr>
        <w:t xml:space="preserve"> проведено 2 004 контрольных (надзорных) мероприятия в отношении юридических лиц и индивидуальных предпринимателей, осуществляющих организованную перевозку групп детей автобусами, что на 62,8% выше показателя за аналогичный период прошлого года.</w:t>
      </w:r>
    </w:p>
    <w:p w14:paraId="3F176E33" w14:textId="77777777" w:rsidR="00E94206" w:rsidRPr="00E94206" w:rsidRDefault="00E94206" w:rsidP="00E94206">
      <w:pPr>
        <w:widowControl w:val="0"/>
        <w:suppressAutoHyphens/>
        <w:spacing w:after="0" w:line="312" w:lineRule="auto"/>
        <w:ind w:firstLine="709"/>
        <w:contextualSpacing/>
        <w:jc w:val="both"/>
        <w:rPr>
          <w:rFonts w:ascii="Times New Roman" w:eastAsia="Calibri" w:hAnsi="Times New Roman" w:cs="Times New Roman"/>
          <w:sz w:val="28"/>
          <w:szCs w:val="28"/>
        </w:rPr>
      </w:pPr>
      <w:r w:rsidRPr="00E94206">
        <w:rPr>
          <w:rFonts w:ascii="Times New Roman" w:eastAsia="Calibri" w:hAnsi="Times New Roman" w:cs="Times New Roman"/>
          <w:sz w:val="28"/>
          <w:szCs w:val="28"/>
        </w:rPr>
        <w:t>В том числе проверено 2 787 транспортных средств (рост к аналогичному периоду прошлого года – 59,2%) и выявлено 1 058 нарушений обязательных требований законодательства Российской Федерации (рост к аналогичному периоду прошлого года – 68,2%), основными из которых явились: несоблюдение требований по заключению договоров фрахтования; отсутствие уведомления Госавтоинспекции об организованной перевозке группы детей автобусами; отсутствие списка назначенных сопровождающих и списка детей; отсутствие сведений о маршруте перевозки; нарушение правил использования контрольного устройства (</w:t>
      </w:r>
      <w:proofErr w:type="spellStart"/>
      <w:r w:rsidRPr="00E94206">
        <w:rPr>
          <w:rFonts w:ascii="Times New Roman" w:eastAsia="Calibri" w:hAnsi="Times New Roman" w:cs="Times New Roman"/>
          <w:sz w:val="28"/>
          <w:szCs w:val="28"/>
        </w:rPr>
        <w:t>тахографа</w:t>
      </w:r>
      <w:proofErr w:type="spellEnd"/>
      <w:r w:rsidRPr="00E94206">
        <w:rPr>
          <w:rFonts w:ascii="Times New Roman" w:eastAsia="Calibri" w:hAnsi="Times New Roman" w:cs="Times New Roman"/>
          <w:sz w:val="28"/>
          <w:szCs w:val="28"/>
        </w:rPr>
        <w:t>); нарушение порядка ведения, оформления и заполнения путевой документации.</w:t>
      </w:r>
    </w:p>
    <w:p w14:paraId="00EB8228" w14:textId="77777777" w:rsidR="00E94206" w:rsidRPr="00E94206" w:rsidRDefault="00E94206" w:rsidP="00E94206">
      <w:pPr>
        <w:widowControl w:val="0"/>
        <w:suppressAutoHyphens/>
        <w:spacing w:after="0" w:line="312" w:lineRule="auto"/>
        <w:ind w:firstLine="709"/>
        <w:contextualSpacing/>
        <w:jc w:val="both"/>
        <w:rPr>
          <w:rFonts w:ascii="Times New Roman" w:eastAsia="Calibri" w:hAnsi="Times New Roman" w:cs="Times New Roman"/>
          <w:sz w:val="28"/>
          <w:szCs w:val="28"/>
        </w:rPr>
      </w:pPr>
      <w:r w:rsidRPr="00E94206">
        <w:rPr>
          <w:rFonts w:ascii="Times New Roman" w:eastAsia="Calibri" w:hAnsi="Times New Roman" w:cs="Times New Roman"/>
          <w:sz w:val="28"/>
          <w:szCs w:val="28"/>
        </w:rPr>
        <w:t>Всего к административной ответственно</w:t>
      </w:r>
      <w:r w:rsidR="00E56D87">
        <w:rPr>
          <w:rFonts w:ascii="Times New Roman" w:eastAsia="Calibri" w:hAnsi="Times New Roman" w:cs="Times New Roman"/>
          <w:sz w:val="28"/>
          <w:szCs w:val="28"/>
        </w:rPr>
        <w:t xml:space="preserve">сти привлечено 605 юридических </w:t>
      </w:r>
      <w:r w:rsidRPr="00E94206">
        <w:rPr>
          <w:rFonts w:ascii="Times New Roman" w:eastAsia="Calibri" w:hAnsi="Times New Roman" w:cs="Times New Roman"/>
          <w:sz w:val="28"/>
          <w:szCs w:val="28"/>
        </w:rPr>
        <w:t xml:space="preserve">лиц (рост к аналогичному периоду </w:t>
      </w:r>
      <w:r w:rsidR="00942740">
        <w:rPr>
          <w:rFonts w:ascii="Times New Roman" w:eastAsia="Calibri" w:hAnsi="Times New Roman" w:cs="Times New Roman"/>
          <w:sz w:val="28"/>
          <w:szCs w:val="28"/>
        </w:rPr>
        <w:t>2020</w:t>
      </w:r>
      <w:r w:rsidRPr="00E94206">
        <w:rPr>
          <w:rFonts w:ascii="Times New Roman" w:eastAsia="Calibri" w:hAnsi="Times New Roman" w:cs="Times New Roman"/>
          <w:sz w:val="28"/>
          <w:szCs w:val="28"/>
        </w:rPr>
        <w:t xml:space="preserve"> г</w:t>
      </w:r>
      <w:r w:rsidR="00942740">
        <w:rPr>
          <w:rFonts w:ascii="Times New Roman" w:eastAsia="Calibri" w:hAnsi="Times New Roman" w:cs="Times New Roman"/>
          <w:sz w:val="28"/>
          <w:szCs w:val="28"/>
        </w:rPr>
        <w:t>.</w:t>
      </w:r>
      <w:r w:rsidRPr="00E94206">
        <w:rPr>
          <w:rFonts w:ascii="Times New Roman" w:eastAsia="Calibri" w:hAnsi="Times New Roman" w:cs="Times New Roman"/>
          <w:sz w:val="28"/>
          <w:szCs w:val="28"/>
        </w:rPr>
        <w:t xml:space="preserve"> – 595,4%), 314 должностных лиц (рост к аналогичному периоду </w:t>
      </w:r>
      <w:r w:rsidR="00942740">
        <w:rPr>
          <w:rFonts w:ascii="Times New Roman" w:eastAsia="Calibri" w:hAnsi="Times New Roman" w:cs="Times New Roman"/>
          <w:sz w:val="28"/>
          <w:szCs w:val="28"/>
        </w:rPr>
        <w:t>2020</w:t>
      </w:r>
      <w:r w:rsidRPr="00E94206">
        <w:rPr>
          <w:rFonts w:ascii="Times New Roman" w:eastAsia="Calibri" w:hAnsi="Times New Roman" w:cs="Times New Roman"/>
          <w:sz w:val="28"/>
          <w:szCs w:val="28"/>
        </w:rPr>
        <w:t xml:space="preserve"> г</w:t>
      </w:r>
      <w:r w:rsidR="00942740">
        <w:rPr>
          <w:rFonts w:ascii="Times New Roman" w:eastAsia="Calibri" w:hAnsi="Times New Roman" w:cs="Times New Roman"/>
          <w:sz w:val="28"/>
          <w:szCs w:val="28"/>
        </w:rPr>
        <w:t>.</w:t>
      </w:r>
      <w:r w:rsidRPr="00E94206">
        <w:rPr>
          <w:rFonts w:ascii="Times New Roman" w:eastAsia="Calibri" w:hAnsi="Times New Roman" w:cs="Times New Roman"/>
          <w:sz w:val="28"/>
          <w:szCs w:val="28"/>
        </w:rPr>
        <w:t xml:space="preserve"> – 115,1%), 71 индивидуальный предприниматель (рост к аналогичному пе</w:t>
      </w:r>
      <w:r w:rsidR="00E56D87">
        <w:rPr>
          <w:rFonts w:ascii="Times New Roman" w:eastAsia="Calibri" w:hAnsi="Times New Roman" w:cs="Times New Roman"/>
          <w:sz w:val="28"/>
          <w:szCs w:val="28"/>
        </w:rPr>
        <w:t xml:space="preserve">риоду </w:t>
      </w:r>
      <w:r w:rsidR="00942740">
        <w:rPr>
          <w:rFonts w:ascii="Times New Roman" w:eastAsia="Calibri" w:hAnsi="Times New Roman" w:cs="Times New Roman"/>
          <w:sz w:val="28"/>
          <w:szCs w:val="28"/>
        </w:rPr>
        <w:t>2020</w:t>
      </w:r>
      <w:r w:rsidR="00E56D87">
        <w:rPr>
          <w:rFonts w:ascii="Times New Roman" w:eastAsia="Calibri" w:hAnsi="Times New Roman" w:cs="Times New Roman"/>
          <w:sz w:val="28"/>
          <w:szCs w:val="28"/>
        </w:rPr>
        <w:t xml:space="preserve"> г</w:t>
      </w:r>
      <w:r w:rsidR="00942740">
        <w:rPr>
          <w:rFonts w:ascii="Times New Roman" w:eastAsia="Calibri" w:hAnsi="Times New Roman" w:cs="Times New Roman"/>
          <w:sz w:val="28"/>
          <w:szCs w:val="28"/>
        </w:rPr>
        <w:t>.</w:t>
      </w:r>
      <w:r w:rsidR="00E56D87">
        <w:rPr>
          <w:rFonts w:ascii="Times New Roman" w:eastAsia="Calibri" w:hAnsi="Times New Roman" w:cs="Times New Roman"/>
          <w:sz w:val="28"/>
          <w:szCs w:val="28"/>
        </w:rPr>
        <w:t xml:space="preserve"> – 163,0%), </w:t>
      </w:r>
      <w:r w:rsidRPr="00E94206">
        <w:rPr>
          <w:rFonts w:ascii="Times New Roman" w:eastAsia="Calibri" w:hAnsi="Times New Roman" w:cs="Times New Roman"/>
          <w:sz w:val="28"/>
          <w:szCs w:val="28"/>
        </w:rPr>
        <w:t>247 водителей (рост к аналогичному пер</w:t>
      </w:r>
      <w:r w:rsidR="00E56D87">
        <w:rPr>
          <w:rFonts w:ascii="Times New Roman" w:eastAsia="Calibri" w:hAnsi="Times New Roman" w:cs="Times New Roman"/>
          <w:sz w:val="28"/>
          <w:szCs w:val="28"/>
        </w:rPr>
        <w:t xml:space="preserve">иоду </w:t>
      </w:r>
      <w:r w:rsidR="00942740">
        <w:rPr>
          <w:rFonts w:ascii="Times New Roman" w:eastAsia="Calibri" w:hAnsi="Times New Roman" w:cs="Times New Roman"/>
          <w:sz w:val="28"/>
          <w:szCs w:val="28"/>
        </w:rPr>
        <w:t>2020</w:t>
      </w:r>
      <w:r w:rsidR="00E56D87">
        <w:rPr>
          <w:rFonts w:ascii="Times New Roman" w:eastAsia="Calibri" w:hAnsi="Times New Roman" w:cs="Times New Roman"/>
          <w:sz w:val="28"/>
          <w:szCs w:val="28"/>
        </w:rPr>
        <w:t xml:space="preserve"> г</w:t>
      </w:r>
      <w:r w:rsidR="00942740">
        <w:rPr>
          <w:rFonts w:ascii="Times New Roman" w:eastAsia="Calibri" w:hAnsi="Times New Roman" w:cs="Times New Roman"/>
          <w:sz w:val="28"/>
          <w:szCs w:val="28"/>
        </w:rPr>
        <w:t>.</w:t>
      </w:r>
      <w:r w:rsidR="00E56D87">
        <w:rPr>
          <w:rFonts w:ascii="Times New Roman" w:eastAsia="Calibri" w:hAnsi="Times New Roman" w:cs="Times New Roman"/>
          <w:sz w:val="28"/>
          <w:szCs w:val="28"/>
        </w:rPr>
        <w:t xml:space="preserve"> – 21,1%), </w:t>
      </w:r>
      <w:r w:rsidRPr="00E94206">
        <w:rPr>
          <w:rFonts w:ascii="Times New Roman" w:eastAsia="Calibri" w:hAnsi="Times New Roman" w:cs="Times New Roman"/>
          <w:sz w:val="28"/>
          <w:szCs w:val="28"/>
        </w:rPr>
        <w:t>а также 149 организаторов перевозк</w:t>
      </w:r>
      <w:r w:rsidR="00E56D87">
        <w:rPr>
          <w:rFonts w:ascii="Times New Roman" w:eastAsia="Calibri" w:hAnsi="Times New Roman" w:cs="Times New Roman"/>
          <w:sz w:val="28"/>
          <w:szCs w:val="28"/>
        </w:rPr>
        <w:t xml:space="preserve">и (рост к аналогичному периоду </w:t>
      </w:r>
      <w:r w:rsidR="00942740">
        <w:rPr>
          <w:rFonts w:ascii="Times New Roman" w:eastAsia="Calibri" w:hAnsi="Times New Roman" w:cs="Times New Roman"/>
          <w:sz w:val="28"/>
          <w:szCs w:val="28"/>
        </w:rPr>
        <w:t>2020</w:t>
      </w:r>
      <w:r w:rsidRPr="00E94206">
        <w:rPr>
          <w:rFonts w:ascii="Times New Roman" w:eastAsia="Calibri" w:hAnsi="Times New Roman" w:cs="Times New Roman"/>
          <w:sz w:val="28"/>
          <w:szCs w:val="28"/>
        </w:rPr>
        <w:t xml:space="preserve"> г</w:t>
      </w:r>
      <w:r w:rsidR="00942740">
        <w:rPr>
          <w:rFonts w:ascii="Times New Roman" w:eastAsia="Calibri" w:hAnsi="Times New Roman" w:cs="Times New Roman"/>
          <w:sz w:val="28"/>
          <w:szCs w:val="28"/>
        </w:rPr>
        <w:t>.</w:t>
      </w:r>
      <w:r w:rsidRPr="00E94206">
        <w:rPr>
          <w:rFonts w:ascii="Times New Roman" w:eastAsia="Calibri" w:hAnsi="Times New Roman" w:cs="Times New Roman"/>
          <w:sz w:val="28"/>
          <w:szCs w:val="28"/>
        </w:rPr>
        <w:t xml:space="preserve"> – 35,5%).</w:t>
      </w:r>
    </w:p>
    <w:p w14:paraId="65ECF406" w14:textId="77777777" w:rsidR="00E94206" w:rsidRPr="00E94206" w:rsidRDefault="00E94206" w:rsidP="00E94206">
      <w:pPr>
        <w:widowControl w:val="0"/>
        <w:suppressAutoHyphens/>
        <w:spacing w:after="0" w:line="312" w:lineRule="auto"/>
        <w:ind w:firstLine="709"/>
        <w:contextualSpacing/>
        <w:jc w:val="both"/>
        <w:rPr>
          <w:rFonts w:ascii="Times New Roman" w:eastAsia="Calibri" w:hAnsi="Times New Roman" w:cs="Times New Roman"/>
          <w:sz w:val="28"/>
          <w:szCs w:val="28"/>
        </w:rPr>
      </w:pPr>
      <w:r w:rsidRPr="00E94206">
        <w:rPr>
          <w:rFonts w:ascii="Times New Roman" w:eastAsia="Calibri" w:hAnsi="Times New Roman" w:cs="Times New Roman"/>
          <w:sz w:val="28"/>
          <w:szCs w:val="28"/>
        </w:rPr>
        <w:t xml:space="preserve">Общая сумма наложенных штрафов составила 9 923,5 тыс. рублей (рост к аналогичному периоду </w:t>
      </w:r>
      <w:r w:rsidR="009D5A6F">
        <w:rPr>
          <w:rFonts w:ascii="Times New Roman" w:eastAsia="Calibri" w:hAnsi="Times New Roman" w:cs="Times New Roman"/>
          <w:sz w:val="28"/>
          <w:szCs w:val="28"/>
        </w:rPr>
        <w:t>2020</w:t>
      </w:r>
      <w:r w:rsidRPr="00E94206">
        <w:rPr>
          <w:rFonts w:ascii="Times New Roman" w:eastAsia="Calibri" w:hAnsi="Times New Roman" w:cs="Times New Roman"/>
          <w:sz w:val="28"/>
          <w:szCs w:val="28"/>
        </w:rPr>
        <w:t xml:space="preserve"> г</w:t>
      </w:r>
      <w:r w:rsidR="009D5A6F">
        <w:rPr>
          <w:rFonts w:ascii="Times New Roman" w:eastAsia="Calibri" w:hAnsi="Times New Roman" w:cs="Times New Roman"/>
          <w:sz w:val="28"/>
          <w:szCs w:val="28"/>
        </w:rPr>
        <w:t>.</w:t>
      </w:r>
      <w:r w:rsidRPr="00E94206">
        <w:rPr>
          <w:rFonts w:ascii="Times New Roman" w:eastAsia="Calibri" w:hAnsi="Times New Roman" w:cs="Times New Roman"/>
          <w:sz w:val="28"/>
          <w:szCs w:val="28"/>
        </w:rPr>
        <w:t xml:space="preserve"> </w:t>
      </w:r>
      <w:r w:rsidR="009D5A6F" w:rsidRPr="00E94206">
        <w:rPr>
          <w:rFonts w:ascii="Times New Roman" w:eastAsia="Calibri" w:hAnsi="Times New Roman" w:cs="Times New Roman"/>
          <w:sz w:val="28"/>
          <w:szCs w:val="28"/>
        </w:rPr>
        <w:t>–</w:t>
      </w:r>
      <w:r w:rsidR="009D5A6F">
        <w:rPr>
          <w:rFonts w:ascii="Times New Roman" w:eastAsia="Calibri" w:hAnsi="Times New Roman" w:cs="Times New Roman"/>
          <w:sz w:val="28"/>
          <w:szCs w:val="28"/>
        </w:rPr>
        <w:t xml:space="preserve"> </w:t>
      </w:r>
      <w:r w:rsidRPr="00E94206">
        <w:rPr>
          <w:rFonts w:ascii="Times New Roman" w:eastAsia="Calibri" w:hAnsi="Times New Roman" w:cs="Times New Roman"/>
          <w:sz w:val="28"/>
          <w:szCs w:val="28"/>
        </w:rPr>
        <w:t>111,7%).</w:t>
      </w:r>
    </w:p>
    <w:p w14:paraId="4E5A6C90" w14:textId="77777777" w:rsidR="00E94206" w:rsidRPr="00E94206" w:rsidRDefault="00E94206" w:rsidP="005F702D">
      <w:pPr>
        <w:widowControl w:val="0"/>
        <w:suppressAutoHyphens/>
        <w:spacing w:after="0" w:line="312" w:lineRule="auto"/>
        <w:ind w:firstLine="709"/>
        <w:contextualSpacing/>
        <w:jc w:val="both"/>
        <w:rPr>
          <w:rFonts w:ascii="Times New Roman" w:eastAsia="Calibri" w:hAnsi="Times New Roman" w:cs="Times New Roman"/>
          <w:sz w:val="28"/>
          <w:szCs w:val="28"/>
        </w:rPr>
      </w:pPr>
      <w:r w:rsidRPr="00E94206">
        <w:rPr>
          <w:rFonts w:ascii="Times New Roman" w:eastAsia="Calibri" w:hAnsi="Times New Roman" w:cs="Times New Roman"/>
          <w:sz w:val="28"/>
          <w:szCs w:val="28"/>
        </w:rPr>
        <w:t>Кроме того, по результатам контр</w:t>
      </w:r>
      <w:r w:rsidR="005F702D">
        <w:rPr>
          <w:rFonts w:ascii="Times New Roman" w:eastAsia="Calibri" w:hAnsi="Times New Roman" w:cs="Times New Roman"/>
          <w:sz w:val="28"/>
          <w:szCs w:val="28"/>
        </w:rPr>
        <w:t xml:space="preserve">ольных (надзорных) мероприятий </w:t>
      </w:r>
      <w:r w:rsidRPr="00E94206">
        <w:rPr>
          <w:rFonts w:ascii="Times New Roman" w:eastAsia="Calibri" w:hAnsi="Times New Roman" w:cs="Times New Roman"/>
          <w:sz w:val="28"/>
          <w:szCs w:val="28"/>
        </w:rPr>
        <w:t xml:space="preserve">в соответствии с частью 1 статьи 27.14 </w:t>
      </w:r>
      <w:r w:rsidR="00774E16">
        <w:rPr>
          <w:rFonts w:ascii="Times New Roman" w:eastAsia="Calibri" w:hAnsi="Times New Roman" w:cs="Times New Roman"/>
          <w:sz w:val="28"/>
          <w:szCs w:val="28"/>
        </w:rPr>
        <w:t>КоАП РФ</w:t>
      </w:r>
      <w:r w:rsidRPr="00E94206">
        <w:rPr>
          <w:rFonts w:ascii="Times New Roman" w:eastAsia="Calibri" w:hAnsi="Times New Roman" w:cs="Times New Roman"/>
          <w:sz w:val="28"/>
          <w:szCs w:val="28"/>
        </w:rPr>
        <w:t xml:space="preserve"> к нарушителям обязательных требований была применена обеспечительная мера в виде наложения аре</w:t>
      </w:r>
      <w:r w:rsidR="005F702D">
        <w:rPr>
          <w:rFonts w:ascii="Times New Roman" w:eastAsia="Calibri" w:hAnsi="Times New Roman" w:cs="Times New Roman"/>
          <w:sz w:val="28"/>
          <w:szCs w:val="28"/>
        </w:rPr>
        <w:t xml:space="preserve">ста </w:t>
      </w:r>
      <w:r w:rsidR="00774E16">
        <w:rPr>
          <w:rFonts w:ascii="Times New Roman" w:eastAsia="Calibri" w:hAnsi="Times New Roman" w:cs="Times New Roman"/>
          <w:sz w:val="28"/>
          <w:szCs w:val="28"/>
        </w:rPr>
        <w:br/>
      </w:r>
      <w:r w:rsidR="005F702D">
        <w:rPr>
          <w:rFonts w:ascii="Times New Roman" w:eastAsia="Calibri" w:hAnsi="Times New Roman" w:cs="Times New Roman"/>
          <w:sz w:val="28"/>
          <w:szCs w:val="28"/>
        </w:rPr>
        <w:t xml:space="preserve">на 27 транспортных средств </w:t>
      </w:r>
      <w:r w:rsidRPr="00E94206">
        <w:rPr>
          <w:rFonts w:ascii="Times New Roman" w:eastAsia="Calibri" w:hAnsi="Times New Roman" w:cs="Times New Roman"/>
          <w:sz w:val="28"/>
          <w:szCs w:val="28"/>
        </w:rPr>
        <w:t xml:space="preserve">(рост к аналогичному периоду </w:t>
      </w:r>
      <w:r w:rsidR="001815E9">
        <w:rPr>
          <w:rFonts w:ascii="Times New Roman" w:eastAsia="Calibri" w:hAnsi="Times New Roman" w:cs="Times New Roman"/>
          <w:sz w:val="28"/>
          <w:szCs w:val="28"/>
        </w:rPr>
        <w:t>2020</w:t>
      </w:r>
      <w:r w:rsidRPr="00E94206">
        <w:rPr>
          <w:rFonts w:ascii="Times New Roman" w:eastAsia="Calibri" w:hAnsi="Times New Roman" w:cs="Times New Roman"/>
          <w:sz w:val="28"/>
          <w:szCs w:val="28"/>
        </w:rPr>
        <w:t xml:space="preserve"> г</w:t>
      </w:r>
      <w:r w:rsidR="001815E9">
        <w:rPr>
          <w:rFonts w:ascii="Times New Roman" w:eastAsia="Calibri" w:hAnsi="Times New Roman" w:cs="Times New Roman"/>
          <w:sz w:val="28"/>
          <w:szCs w:val="28"/>
        </w:rPr>
        <w:t>.</w:t>
      </w:r>
      <w:r w:rsidRPr="00E94206">
        <w:rPr>
          <w:rFonts w:ascii="Times New Roman" w:eastAsia="Calibri" w:hAnsi="Times New Roman" w:cs="Times New Roman"/>
          <w:sz w:val="28"/>
          <w:szCs w:val="28"/>
        </w:rPr>
        <w:t xml:space="preserve"> </w:t>
      </w:r>
      <w:r w:rsidR="001815E9" w:rsidRPr="00E94206">
        <w:rPr>
          <w:rFonts w:ascii="Times New Roman" w:eastAsia="Calibri" w:hAnsi="Times New Roman" w:cs="Times New Roman"/>
          <w:sz w:val="28"/>
          <w:szCs w:val="28"/>
        </w:rPr>
        <w:t>–</w:t>
      </w:r>
      <w:r w:rsidR="001815E9">
        <w:rPr>
          <w:rFonts w:ascii="Times New Roman" w:eastAsia="Calibri" w:hAnsi="Times New Roman" w:cs="Times New Roman"/>
          <w:sz w:val="28"/>
          <w:szCs w:val="28"/>
        </w:rPr>
        <w:t xml:space="preserve"> </w:t>
      </w:r>
      <w:r w:rsidRPr="00E94206">
        <w:rPr>
          <w:rFonts w:ascii="Times New Roman" w:eastAsia="Calibri" w:hAnsi="Times New Roman" w:cs="Times New Roman"/>
          <w:sz w:val="28"/>
          <w:szCs w:val="28"/>
        </w:rPr>
        <w:t>150%).</w:t>
      </w:r>
    </w:p>
    <w:p w14:paraId="7E03A235" w14:textId="77777777" w:rsidR="00E94206" w:rsidRPr="00E94206" w:rsidRDefault="00E94206" w:rsidP="00E94206">
      <w:pPr>
        <w:widowControl w:val="0"/>
        <w:suppressAutoHyphens/>
        <w:spacing w:after="0" w:line="312" w:lineRule="auto"/>
        <w:ind w:firstLine="709"/>
        <w:contextualSpacing/>
        <w:jc w:val="both"/>
        <w:rPr>
          <w:rFonts w:ascii="Times New Roman" w:eastAsia="Calibri" w:hAnsi="Times New Roman" w:cs="Times New Roman"/>
          <w:sz w:val="28"/>
          <w:szCs w:val="28"/>
        </w:rPr>
      </w:pPr>
      <w:r w:rsidRPr="00E94206">
        <w:rPr>
          <w:rFonts w:ascii="Times New Roman" w:eastAsia="Calibri" w:hAnsi="Times New Roman" w:cs="Times New Roman"/>
          <w:sz w:val="28"/>
          <w:szCs w:val="28"/>
        </w:rPr>
        <w:t>Также осуществлялось регулярное информирование органов исполнительной власти, органов муниципальной власти с</w:t>
      </w:r>
      <w:r w:rsidR="005F702D">
        <w:rPr>
          <w:rFonts w:ascii="Times New Roman" w:eastAsia="Calibri" w:hAnsi="Times New Roman" w:cs="Times New Roman"/>
          <w:sz w:val="28"/>
          <w:szCs w:val="28"/>
        </w:rPr>
        <w:t xml:space="preserve">убъектов Российской Федерации, </w:t>
      </w:r>
      <w:r w:rsidRPr="00E94206">
        <w:rPr>
          <w:rFonts w:ascii="Times New Roman" w:eastAsia="Calibri" w:hAnsi="Times New Roman" w:cs="Times New Roman"/>
          <w:sz w:val="28"/>
          <w:szCs w:val="28"/>
        </w:rPr>
        <w:t>органов прокуратуры и средств массовой информации о нарушениях, выявл</w:t>
      </w:r>
      <w:r w:rsidR="005F702D">
        <w:rPr>
          <w:rFonts w:ascii="Times New Roman" w:eastAsia="Calibri" w:hAnsi="Times New Roman" w:cs="Times New Roman"/>
          <w:sz w:val="28"/>
          <w:szCs w:val="28"/>
        </w:rPr>
        <w:t xml:space="preserve">енных </w:t>
      </w:r>
      <w:r w:rsidRPr="00E94206">
        <w:rPr>
          <w:rFonts w:ascii="Times New Roman" w:eastAsia="Calibri" w:hAnsi="Times New Roman" w:cs="Times New Roman"/>
          <w:sz w:val="28"/>
          <w:szCs w:val="28"/>
        </w:rPr>
        <w:t xml:space="preserve">в ходе контрольных (надзорных) мероприятий. Всего было направлено 42 таких уведомлений (снижение к аналогичному периоду прошлого года </w:t>
      </w:r>
      <w:r w:rsidR="005F702D">
        <w:rPr>
          <w:rFonts w:ascii="Times New Roman" w:eastAsia="Calibri" w:hAnsi="Times New Roman" w:cs="Times New Roman"/>
          <w:sz w:val="28"/>
          <w:szCs w:val="28"/>
        </w:rPr>
        <w:t>на</w:t>
      </w:r>
      <w:r w:rsidRPr="00E94206">
        <w:rPr>
          <w:rFonts w:ascii="Times New Roman" w:eastAsia="Calibri" w:hAnsi="Times New Roman" w:cs="Times New Roman"/>
          <w:sz w:val="28"/>
          <w:szCs w:val="28"/>
        </w:rPr>
        <w:t xml:space="preserve"> 54,3%).</w:t>
      </w:r>
    </w:p>
    <w:p w14:paraId="6C72B98C" w14:textId="77777777" w:rsidR="00E94206" w:rsidRPr="00E94206" w:rsidRDefault="00E94206" w:rsidP="00E94206">
      <w:pPr>
        <w:widowControl w:val="0"/>
        <w:suppressAutoHyphens/>
        <w:spacing w:after="0" w:line="312" w:lineRule="auto"/>
        <w:ind w:firstLine="709"/>
        <w:contextualSpacing/>
        <w:jc w:val="both"/>
        <w:rPr>
          <w:rFonts w:ascii="Times New Roman" w:eastAsia="Calibri" w:hAnsi="Times New Roman" w:cs="Times New Roman"/>
          <w:sz w:val="28"/>
          <w:szCs w:val="28"/>
        </w:rPr>
      </w:pPr>
      <w:r w:rsidRPr="00E94206">
        <w:rPr>
          <w:rFonts w:ascii="Times New Roman" w:eastAsia="Calibri" w:hAnsi="Times New Roman" w:cs="Times New Roman"/>
          <w:sz w:val="28"/>
          <w:szCs w:val="28"/>
        </w:rPr>
        <w:t xml:space="preserve">Одним из основных факторов роста </w:t>
      </w:r>
      <w:r w:rsidR="005F702D">
        <w:rPr>
          <w:rFonts w:ascii="Times New Roman" w:eastAsia="Calibri" w:hAnsi="Times New Roman" w:cs="Times New Roman"/>
          <w:sz w:val="28"/>
          <w:szCs w:val="28"/>
        </w:rPr>
        <w:t xml:space="preserve">показателей контроля (надзора) </w:t>
      </w:r>
      <w:r w:rsidRPr="00E94206">
        <w:rPr>
          <w:rFonts w:ascii="Times New Roman" w:eastAsia="Calibri" w:hAnsi="Times New Roman" w:cs="Times New Roman"/>
          <w:sz w:val="28"/>
          <w:szCs w:val="28"/>
        </w:rPr>
        <w:t>за организованной перевозкой групп детей</w:t>
      </w:r>
      <w:r w:rsidR="005F702D">
        <w:rPr>
          <w:rFonts w:ascii="Times New Roman" w:eastAsia="Calibri" w:hAnsi="Times New Roman" w:cs="Times New Roman"/>
          <w:sz w:val="28"/>
          <w:szCs w:val="28"/>
        </w:rPr>
        <w:t xml:space="preserve"> автобусами в указанный период </w:t>
      </w:r>
      <w:r w:rsidRPr="00E94206">
        <w:rPr>
          <w:rFonts w:ascii="Times New Roman" w:eastAsia="Calibri" w:hAnsi="Times New Roman" w:cs="Times New Roman"/>
          <w:sz w:val="28"/>
          <w:szCs w:val="28"/>
        </w:rPr>
        <w:t xml:space="preserve">явилось частичное снятие ограничительных </w:t>
      </w:r>
      <w:r w:rsidR="005F702D">
        <w:rPr>
          <w:rFonts w:ascii="Times New Roman" w:eastAsia="Calibri" w:hAnsi="Times New Roman" w:cs="Times New Roman"/>
          <w:sz w:val="28"/>
          <w:szCs w:val="28"/>
        </w:rPr>
        <w:t xml:space="preserve">мер в условиях распространения </w:t>
      </w:r>
      <w:r w:rsidRPr="00E94206">
        <w:rPr>
          <w:rFonts w:ascii="Times New Roman" w:eastAsia="Calibri" w:hAnsi="Times New Roman" w:cs="Times New Roman"/>
          <w:sz w:val="28"/>
          <w:szCs w:val="28"/>
        </w:rPr>
        <w:t xml:space="preserve">новой коронавирусной инфекции (COVID-19), повлекшее </w:t>
      </w:r>
      <w:r w:rsidR="005F702D">
        <w:rPr>
          <w:rFonts w:ascii="Times New Roman" w:eastAsia="Calibri" w:hAnsi="Times New Roman" w:cs="Times New Roman"/>
          <w:sz w:val="28"/>
          <w:szCs w:val="28"/>
        </w:rPr>
        <w:t xml:space="preserve">за собой </w:t>
      </w:r>
      <w:r w:rsidRPr="00E94206">
        <w:rPr>
          <w:rFonts w:ascii="Times New Roman" w:eastAsia="Calibri" w:hAnsi="Times New Roman" w:cs="Times New Roman"/>
          <w:sz w:val="28"/>
          <w:szCs w:val="28"/>
        </w:rPr>
        <w:t>рост количества эксплуатируемых транспортных средств, задействованных в перевозках.</w:t>
      </w:r>
    </w:p>
    <w:p w14:paraId="08451817" w14:textId="77777777" w:rsidR="00E94206" w:rsidRPr="00E94206" w:rsidRDefault="00E94206" w:rsidP="00E94206">
      <w:pPr>
        <w:widowControl w:val="0"/>
        <w:suppressAutoHyphens/>
        <w:spacing w:after="0" w:line="312" w:lineRule="auto"/>
        <w:ind w:firstLine="709"/>
        <w:contextualSpacing/>
        <w:jc w:val="both"/>
        <w:rPr>
          <w:rFonts w:ascii="Times New Roman" w:eastAsia="Calibri" w:hAnsi="Times New Roman" w:cs="Times New Roman"/>
          <w:sz w:val="28"/>
          <w:szCs w:val="28"/>
        </w:rPr>
      </w:pPr>
      <w:r w:rsidRPr="00E94206">
        <w:rPr>
          <w:rFonts w:ascii="Times New Roman" w:eastAsia="Calibri" w:hAnsi="Times New Roman" w:cs="Times New Roman"/>
          <w:sz w:val="28"/>
          <w:szCs w:val="28"/>
        </w:rPr>
        <w:t>Вместе с тем вопросы развития сферы детского отдыха обсужд</w:t>
      </w:r>
      <w:r w:rsidR="005F702D">
        <w:rPr>
          <w:rFonts w:ascii="Times New Roman" w:eastAsia="Calibri" w:hAnsi="Times New Roman" w:cs="Times New Roman"/>
          <w:sz w:val="28"/>
          <w:szCs w:val="28"/>
        </w:rPr>
        <w:t>ались</w:t>
      </w:r>
      <w:r w:rsidRPr="00E94206">
        <w:rPr>
          <w:rFonts w:ascii="Times New Roman" w:eastAsia="Calibri" w:hAnsi="Times New Roman" w:cs="Times New Roman"/>
          <w:sz w:val="28"/>
          <w:szCs w:val="28"/>
        </w:rPr>
        <w:t xml:space="preserve"> в рамках Всероссийского форума организаторов отдыха и оздоровления детей «Большие Смыслы</w:t>
      </w:r>
      <w:r w:rsidR="005F702D">
        <w:rPr>
          <w:rFonts w:ascii="Times New Roman" w:eastAsia="Calibri" w:hAnsi="Times New Roman" w:cs="Times New Roman"/>
          <w:sz w:val="28"/>
          <w:szCs w:val="28"/>
        </w:rPr>
        <w:t xml:space="preserve"> – </w:t>
      </w:r>
      <w:r w:rsidRPr="00E94206">
        <w:rPr>
          <w:rFonts w:ascii="Times New Roman" w:eastAsia="Calibri" w:hAnsi="Times New Roman" w:cs="Times New Roman"/>
          <w:sz w:val="28"/>
          <w:szCs w:val="28"/>
        </w:rPr>
        <w:t xml:space="preserve">2021» </w:t>
      </w:r>
      <w:r w:rsidR="005F702D">
        <w:rPr>
          <w:rFonts w:ascii="Times New Roman" w:eastAsia="Calibri" w:hAnsi="Times New Roman" w:cs="Times New Roman"/>
          <w:sz w:val="28"/>
          <w:szCs w:val="28"/>
        </w:rPr>
        <w:t xml:space="preserve">в период </w:t>
      </w:r>
      <w:r w:rsidRPr="00E94206">
        <w:rPr>
          <w:rFonts w:ascii="Times New Roman" w:eastAsia="Calibri" w:hAnsi="Times New Roman" w:cs="Times New Roman"/>
          <w:sz w:val="28"/>
          <w:szCs w:val="28"/>
        </w:rPr>
        <w:t xml:space="preserve">с 19 по 22 октября 2021 г. на базе </w:t>
      </w:r>
      <w:r w:rsidR="005F702D">
        <w:rPr>
          <w:rFonts w:ascii="Times New Roman" w:eastAsia="Calibri" w:hAnsi="Times New Roman" w:cs="Times New Roman"/>
          <w:sz w:val="28"/>
          <w:szCs w:val="28"/>
        </w:rPr>
        <w:t>ФГБОУ</w:t>
      </w:r>
      <w:r w:rsidRPr="00E94206">
        <w:rPr>
          <w:rFonts w:ascii="Times New Roman" w:eastAsia="Calibri" w:hAnsi="Times New Roman" w:cs="Times New Roman"/>
          <w:sz w:val="28"/>
          <w:szCs w:val="28"/>
        </w:rPr>
        <w:t xml:space="preserve"> «Всероссийский детский центр «Смена».</w:t>
      </w:r>
    </w:p>
    <w:p w14:paraId="5DB9D0F1" w14:textId="77777777" w:rsidR="00D03A4F" w:rsidRPr="00D03A4F" w:rsidRDefault="00D03A4F" w:rsidP="00D03A4F">
      <w:pPr>
        <w:spacing w:after="0"/>
        <w:ind w:firstLine="709"/>
        <w:jc w:val="both"/>
        <w:rPr>
          <w:rFonts w:ascii="Times New Roman" w:eastAsia="Times New Roman" w:hAnsi="Times New Roman" w:cs="Times New Roman"/>
          <w:b/>
          <w:sz w:val="28"/>
          <w:szCs w:val="28"/>
          <w:lang w:eastAsia="ru-RU"/>
        </w:rPr>
      </w:pPr>
    </w:p>
    <w:p w14:paraId="3C919C4C" w14:textId="77777777"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rsidSect="009C0CC8">
          <w:pgSz w:w="11906" w:h="16838"/>
          <w:pgMar w:top="1134" w:right="567" w:bottom="1134" w:left="1134" w:header="708" w:footer="708" w:gutter="0"/>
          <w:cols w:space="708"/>
          <w:docGrid w:linePitch="360"/>
        </w:sectPr>
      </w:pPr>
    </w:p>
    <w:p w14:paraId="3925D4EB" w14:textId="77777777" w:rsidR="00D03A4F" w:rsidRDefault="00D03A4F" w:rsidP="00D03A4F">
      <w:pPr>
        <w:spacing w:after="0" w:line="240"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8. ТРУДОВАЯ ЗАНЯТОСТЬ ПОДРОСТКОВ И РОДИТЕЛЕЙ, ИМЕЮЩИХ ДЕТЕЙ</w:t>
      </w:r>
    </w:p>
    <w:p w14:paraId="7B6615E2" w14:textId="77777777" w:rsidR="009F0D85" w:rsidRPr="00D03A4F" w:rsidRDefault="009F0D85" w:rsidP="00D03A4F">
      <w:pPr>
        <w:spacing w:after="0" w:line="240" w:lineRule="auto"/>
        <w:ind w:firstLine="709"/>
        <w:jc w:val="center"/>
        <w:rPr>
          <w:rFonts w:ascii="Times New Roman" w:eastAsia="Times New Roman" w:hAnsi="Times New Roman" w:cs="Times New Roman"/>
          <w:b/>
          <w:sz w:val="28"/>
          <w:szCs w:val="28"/>
          <w:lang w:eastAsia="ru-RU"/>
        </w:rPr>
      </w:pPr>
    </w:p>
    <w:p w14:paraId="16626921" w14:textId="77777777" w:rsidR="009F523E" w:rsidRDefault="00D03A4F" w:rsidP="00D03A4F">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14:paraId="5867CB5D" w14:textId="77777777" w:rsidR="00832765" w:rsidRDefault="00820D8A" w:rsidP="00832765">
      <w:pPr>
        <w:pStyle w:val="Style2"/>
        <w:shd w:val="clear" w:color="auto" w:fill="auto"/>
        <w:spacing w:after="0" w:line="312" w:lineRule="auto"/>
        <w:ind w:firstLine="709"/>
        <w:jc w:val="both"/>
        <w:rPr>
          <w:sz w:val="28"/>
          <w:szCs w:val="28"/>
        </w:rPr>
      </w:pPr>
      <w:r w:rsidRPr="00820D8A">
        <w:rPr>
          <w:rFonts w:ascii="Times New Roman" w:eastAsia="Times New Roman" w:hAnsi="Times New Roman" w:cs="Times New Roman"/>
          <w:color w:val="000000"/>
          <w:sz w:val="28"/>
          <w:szCs w:val="28"/>
          <w:lang w:eastAsia="ru-RU" w:bidi="ru-RU"/>
        </w:rPr>
        <w:t>Женщинам и лицам с семейными обязанностями трудовым законодательством предоставляются следующие гарантии:</w:t>
      </w:r>
    </w:p>
    <w:p w14:paraId="20F1875A" w14:textId="77777777" w:rsidR="00832765" w:rsidRDefault="00832765" w:rsidP="00832765">
      <w:pPr>
        <w:pStyle w:val="Style2"/>
        <w:shd w:val="clear" w:color="auto" w:fill="auto"/>
        <w:spacing w:after="0" w:line="312" w:lineRule="auto"/>
        <w:ind w:firstLine="709"/>
        <w:jc w:val="both"/>
        <w:rPr>
          <w:sz w:val="28"/>
          <w:szCs w:val="28"/>
        </w:rPr>
      </w:pPr>
      <w:r>
        <w:rPr>
          <w:sz w:val="28"/>
          <w:szCs w:val="28"/>
        </w:rPr>
        <w:t>-</w:t>
      </w:r>
      <w:r w:rsidR="00820D8A" w:rsidRPr="00820D8A">
        <w:rPr>
          <w:rFonts w:ascii="Times New Roman" w:eastAsia="Times New Roman" w:hAnsi="Times New Roman" w:cs="Times New Roman"/>
          <w:color w:val="000000"/>
          <w:sz w:val="28"/>
          <w:szCs w:val="28"/>
          <w:lang w:eastAsia="ru-RU" w:bidi="ru-RU"/>
        </w:rPr>
        <w:t xml:space="preserve"> не устанавливается испытательный срок женщинам, имеющим детей в возрасте до полутора лет (статья 70 Трудового кодекса Российской Федерации (далее </w:t>
      </w:r>
      <w:r w:rsidR="00516713">
        <w:rPr>
          <w:rFonts w:ascii="Times New Roman" w:eastAsia="Times New Roman" w:hAnsi="Times New Roman" w:cs="Times New Roman"/>
          <w:color w:val="000000"/>
          <w:sz w:val="28"/>
          <w:szCs w:val="28"/>
          <w:lang w:eastAsia="ru-RU" w:bidi="ru-RU"/>
        </w:rPr>
        <w:t>по тексту подраздела –</w:t>
      </w:r>
      <w:r w:rsidR="00820D8A" w:rsidRPr="00820D8A">
        <w:rPr>
          <w:rFonts w:ascii="Times New Roman" w:eastAsia="Times New Roman" w:hAnsi="Times New Roman" w:cs="Times New Roman"/>
          <w:color w:val="000000"/>
          <w:sz w:val="28"/>
          <w:szCs w:val="28"/>
          <w:lang w:eastAsia="ru-RU" w:bidi="ru-RU"/>
        </w:rPr>
        <w:t xml:space="preserve"> Кодекс)</w:t>
      </w:r>
      <w:r w:rsidR="00516713">
        <w:rPr>
          <w:rFonts w:ascii="Times New Roman" w:eastAsia="Times New Roman" w:hAnsi="Times New Roman" w:cs="Times New Roman"/>
          <w:color w:val="000000"/>
          <w:sz w:val="28"/>
          <w:szCs w:val="28"/>
          <w:lang w:eastAsia="ru-RU" w:bidi="ru-RU"/>
        </w:rPr>
        <w:t>)</w:t>
      </w:r>
      <w:r w:rsidR="00820D8A" w:rsidRPr="00820D8A">
        <w:rPr>
          <w:rFonts w:ascii="Times New Roman" w:eastAsia="Times New Roman" w:hAnsi="Times New Roman" w:cs="Times New Roman"/>
          <w:color w:val="000000"/>
          <w:sz w:val="28"/>
          <w:szCs w:val="28"/>
          <w:lang w:eastAsia="ru-RU" w:bidi="ru-RU"/>
        </w:rPr>
        <w:t>, а также другим лицам, воспитывающим детей в возрасте до полутора лет без матери (пункт 9 постановления Пленума Верховного Суда Российской Федерации от 28 января 2014 г. № 1);</w:t>
      </w:r>
    </w:p>
    <w:p w14:paraId="6CE255FE" w14:textId="77777777" w:rsidR="00832765" w:rsidRDefault="00832765" w:rsidP="00832765">
      <w:pPr>
        <w:pStyle w:val="Style2"/>
        <w:shd w:val="clear" w:color="auto" w:fill="auto"/>
        <w:spacing w:after="0" w:line="312" w:lineRule="auto"/>
        <w:ind w:firstLine="709"/>
        <w:jc w:val="both"/>
        <w:rPr>
          <w:sz w:val="28"/>
          <w:szCs w:val="28"/>
        </w:rPr>
      </w:pPr>
      <w:r>
        <w:rPr>
          <w:rFonts w:ascii="Times New Roman" w:eastAsia="Times New Roman" w:hAnsi="Times New Roman" w:cs="Times New Roman"/>
          <w:color w:val="000000"/>
          <w:sz w:val="28"/>
          <w:szCs w:val="28"/>
          <w:lang w:eastAsia="ru-RU" w:bidi="ru-RU"/>
        </w:rPr>
        <w:t>-</w:t>
      </w:r>
      <w:r w:rsidR="00820D8A" w:rsidRPr="00820D8A">
        <w:rPr>
          <w:rFonts w:ascii="Times New Roman" w:eastAsia="Times New Roman" w:hAnsi="Times New Roman" w:cs="Times New Roman"/>
          <w:color w:val="000000"/>
          <w:sz w:val="28"/>
          <w:szCs w:val="28"/>
          <w:lang w:eastAsia="ru-RU" w:bidi="ru-RU"/>
        </w:rPr>
        <w:t xml:space="preserve"> по заявлению женщин перед отпуском по беременности и родам или непосредственно после него, а также работников, усыновивших ребенка (детей) в возрасте до трех месяцев, им должен быть предоставлен оплачиваемый отпуск до истечения шести месяцев непрерывной работы (статья 122 Кодекса);</w:t>
      </w:r>
    </w:p>
    <w:p w14:paraId="4209EA5C" w14:textId="77777777" w:rsidR="00832765" w:rsidRDefault="00832765" w:rsidP="00832765">
      <w:pPr>
        <w:pStyle w:val="Style2"/>
        <w:shd w:val="clear" w:color="auto" w:fill="auto"/>
        <w:spacing w:after="0" w:line="312" w:lineRule="auto"/>
        <w:ind w:firstLine="709"/>
        <w:jc w:val="both"/>
        <w:rPr>
          <w:sz w:val="28"/>
          <w:szCs w:val="28"/>
        </w:rPr>
      </w:pPr>
      <w:r>
        <w:rPr>
          <w:rFonts w:ascii="Times New Roman" w:eastAsia="Times New Roman" w:hAnsi="Times New Roman" w:cs="Times New Roman"/>
          <w:color w:val="000000"/>
          <w:sz w:val="28"/>
          <w:szCs w:val="28"/>
          <w:lang w:eastAsia="ru-RU" w:bidi="ru-RU"/>
        </w:rPr>
        <w:t>-</w:t>
      </w:r>
      <w:r w:rsidR="00820D8A" w:rsidRPr="00820D8A">
        <w:rPr>
          <w:rFonts w:ascii="Times New Roman" w:eastAsia="Times New Roman" w:hAnsi="Times New Roman" w:cs="Times New Roman"/>
          <w:color w:val="000000"/>
          <w:sz w:val="28"/>
          <w:szCs w:val="28"/>
          <w:lang w:eastAsia="ru-RU" w:bidi="ru-RU"/>
        </w:rPr>
        <w:t xml:space="preserve"> по заявлению женщины или лица с семейными обязанностями предоставляется отпуск по уходу за ребенком до достижения им возраста трех лет, во время которого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 (статья 256 Кодекса);</w:t>
      </w:r>
    </w:p>
    <w:p w14:paraId="11709348" w14:textId="69C7B72D" w:rsidR="00832765" w:rsidRDefault="00832765" w:rsidP="00832765">
      <w:pPr>
        <w:pStyle w:val="Style2"/>
        <w:shd w:val="clear" w:color="auto" w:fill="auto"/>
        <w:spacing w:after="0" w:line="312" w:lineRule="auto"/>
        <w:ind w:firstLine="709"/>
        <w:jc w:val="both"/>
        <w:rPr>
          <w:sz w:val="28"/>
          <w:szCs w:val="28"/>
        </w:rPr>
      </w:pPr>
      <w:r>
        <w:rPr>
          <w:rFonts w:ascii="Times New Roman" w:eastAsia="Times New Roman" w:hAnsi="Times New Roman" w:cs="Times New Roman"/>
          <w:color w:val="000000"/>
          <w:sz w:val="28"/>
          <w:szCs w:val="28"/>
          <w:lang w:eastAsia="ru-RU" w:bidi="ru-RU"/>
        </w:rPr>
        <w:t>-</w:t>
      </w:r>
      <w:r w:rsidR="00820D8A" w:rsidRPr="00820D8A">
        <w:rPr>
          <w:rFonts w:ascii="Times New Roman" w:eastAsia="Times New Roman" w:hAnsi="Times New Roman" w:cs="Times New Roman"/>
          <w:color w:val="000000"/>
          <w:sz w:val="28"/>
          <w:szCs w:val="28"/>
          <w:lang w:eastAsia="ru-RU" w:bidi="ru-RU"/>
        </w:rPr>
        <w:t xml:space="preserve">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w:t>
      </w:r>
      <w:r w:rsidR="003B77D7" w:rsidRPr="003B77D7">
        <w:rPr>
          <w:rFonts w:ascii="Times New Roman" w:eastAsia="Times New Roman" w:hAnsi="Times New Roman" w:cs="Times New Roman"/>
          <w:sz w:val="28"/>
          <w:szCs w:val="28"/>
          <w:lang w:eastAsia="ru-RU"/>
        </w:rPr>
        <w:t xml:space="preserve"> </w:t>
      </w:r>
      <w:r w:rsidR="003B77D7">
        <w:rPr>
          <w:rFonts w:ascii="Times New Roman" w:eastAsia="Times New Roman" w:hAnsi="Times New Roman" w:cs="Times New Roman"/>
          <w:sz w:val="28"/>
          <w:szCs w:val="28"/>
          <w:lang w:eastAsia="ru-RU"/>
        </w:rPr>
        <w:t>с инвалидностью</w:t>
      </w:r>
      <w:r w:rsidR="003B77D7" w:rsidRPr="00820D8A" w:rsidDel="003B77D7">
        <w:rPr>
          <w:rFonts w:ascii="Times New Roman" w:eastAsia="Times New Roman" w:hAnsi="Times New Roman" w:cs="Times New Roman"/>
          <w:color w:val="000000"/>
          <w:sz w:val="28"/>
          <w:szCs w:val="28"/>
          <w:lang w:eastAsia="ru-RU" w:bidi="ru-RU"/>
        </w:rPr>
        <w:t xml:space="preserve"> </w:t>
      </w:r>
      <w:r w:rsidR="00820D8A" w:rsidRPr="00820D8A">
        <w:rPr>
          <w:rFonts w:ascii="Times New Roman" w:eastAsia="Times New Roman" w:hAnsi="Times New Roman" w:cs="Times New Roman"/>
          <w:color w:val="000000"/>
          <w:sz w:val="28"/>
          <w:szCs w:val="28"/>
          <w:lang w:eastAsia="ru-RU" w:bidi="ru-RU"/>
        </w:rPr>
        <w:t>в возрасте до восемнадцати лет), лицу, осуществляющему уход</w:t>
      </w:r>
      <w:r>
        <w:rPr>
          <w:sz w:val="28"/>
          <w:szCs w:val="28"/>
        </w:rPr>
        <w:t xml:space="preserve"> </w:t>
      </w:r>
      <w:r w:rsidR="00820D8A" w:rsidRPr="00820D8A">
        <w:rPr>
          <w:rFonts w:ascii="Times New Roman" w:eastAsia="Times New Roman" w:hAnsi="Times New Roman" w:cs="Times New Roman"/>
          <w:color w:val="000000"/>
          <w:sz w:val="28"/>
          <w:szCs w:val="28"/>
          <w:lang w:eastAsia="ru-RU" w:bidi="ru-RU"/>
        </w:rPr>
        <w:t>за больным членом семьи в соответствии с медицинским заключением (статья 93 Кодекса);</w:t>
      </w:r>
    </w:p>
    <w:p w14:paraId="26CEEC0D" w14:textId="77777777" w:rsidR="00832765" w:rsidRPr="00516713" w:rsidRDefault="00832765" w:rsidP="00832765">
      <w:pPr>
        <w:pStyle w:val="Style2"/>
        <w:shd w:val="clear" w:color="auto" w:fill="auto"/>
        <w:spacing w:after="0" w:line="312" w:lineRule="auto"/>
        <w:ind w:firstLine="709"/>
        <w:jc w:val="both"/>
        <w:rPr>
          <w:rFonts w:ascii="Times New Roman" w:hAnsi="Times New Roman" w:cs="Times New Roman"/>
          <w:sz w:val="28"/>
          <w:szCs w:val="28"/>
        </w:rPr>
      </w:pPr>
      <w:r w:rsidRPr="00516713">
        <w:rPr>
          <w:rFonts w:ascii="Times New Roman" w:hAnsi="Times New Roman" w:cs="Times New Roman"/>
          <w:sz w:val="28"/>
          <w:szCs w:val="28"/>
        </w:rPr>
        <w:t>-</w:t>
      </w:r>
      <w:r w:rsidR="00820D8A" w:rsidRPr="00820D8A">
        <w:rPr>
          <w:rFonts w:ascii="Times New Roman" w:eastAsia="Times New Roman" w:hAnsi="Times New Roman" w:cs="Times New Roman"/>
          <w:color w:val="000000"/>
          <w:sz w:val="28"/>
          <w:szCs w:val="28"/>
          <w:lang w:eastAsia="ru-RU" w:bidi="ru-RU"/>
        </w:rPr>
        <w:t xml:space="preserve"> 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лиц с семейными обязанностями, воспитывающих без супруга (супруги) детей в возрасте до 5 лет, работник</w:t>
      </w:r>
      <w:r w:rsidR="00516713">
        <w:rPr>
          <w:rFonts w:ascii="Times New Roman" w:eastAsia="Times New Roman" w:hAnsi="Times New Roman" w:cs="Times New Roman"/>
          <w:color w:val="000000"/>
          <w:sz w:val="28"/>
          <w:szCs w:val="28"/>
          <w:lang w:eastAsia="ru-RU" w:bidi="ru-RU"/>
        </w:rPr>
        <w:t>ов</w:t>
      </w:r>
      <w:r w:rsidR="00820D8A" w:rsidRPr="00820D8A">
        <w:rPr>
          <w:rFonts w:ascii="Times New Roman" w:eastAsia="Times New Roman" w:hAnsi="Times New Roman" w:cs="Times New Roman"/>
          <w:color w:val="000000"/>
          <w:sz w:val="28"/>
          <w:szCs w:val="28"/>
          <w:lang w:eastAsia="ru-RU" w:bidi="ru-RU"/>
        </w:rPr>
        <w:t>, имеющи</w:t>
      </w:r>
      <w:r w:rsidR="00516713">
        <w:rPr>
          <w:rFonts w:ascii="Times New Roman" w:eastAsia="Times New Roman" w:hAnsi="Times New Roman" w:cs="Times New Roman"/>
          <w:color w:val="000000"/>
          <w:sz w:val="28"/>
          <w:szCs w:val="28"/>
          <w:lang w:eastAsia="ru-RU" w:bidi="ru-RU"/>
        </w:rPr>
        <w:t>х</w:t>
      </w:r>
      <w:r w:rsidR="00820D8A" w:rsidRPr="00820D8A">
        <w:rPr>
          <w:rFonts w:ascii="Times New Roman" w:eastAsia="Times New Roman" w:hAnsi="Times New Roman" w:cs="Times New Roman"/>
          <w:color w:val="000000"/>
          <w:sz w:val="28"/>
          <w:szCs w:val="28"/>
          <w:lang w:eastAsia="ru-RU" w:bidi="ru-RU"/>
        </w:rPr>
        <w:t xml:space="preserve"> детей-инвалидов, и работник</w:t>
      </w:r>
      <w:r w:rsidR="00516713">
        <w:rPr>
          <w:rFonts w:ascii="Times New Roman" w:eastAsia="Times New Roman" w:hAnsi="Times New Roman" w:cs="Times New Roman"/>
          <w:color w:val="000000"/>
          <w:sz w:val="28"/>
          <w:szCs w:val="28"/>
          <w:lang w:eastAsia="ru-RU" w:bidi="ru-RU"/>
        </w:rPr>
        <w:t>ов, осуществляющих</w:t>
      </w:r>
      <w:r w:rsidR="00820D8A" w:rsidRPr="00820D8A">
        <w:rPr>
          <w:rFonts w:ascii="Times New Roman" w:eastAsia="Times New Roman" w:hAnsi="Times New Roman" w:cs="Times New Roman"/>
          <w:color w:val="000000"/>
          <w:sz w:val="28"/>
          <w:szCs w:val="28"/>
          <w:lang w:eastAsia="ru-RU" w:bidi="ru-RU"/>
        </w:rPr>
        <w:t xml:space="preserve"> уход за больными членами их семей, опекунов (попечителей) несовершеннолетних, допускаются только с их письменного согласия и при условии, что это не запрещено им в соот</w:t>
      </w:r>
      <w:r w:rsidR="00820D8A" w:rsidRPr="00516713">
        <w:rPr>
          <w:rFonts w:ascii="Times New Roman" w:eastAsia="Times New Roman" w:hAnsi="Times New Roman" w:cs="Times New Roman"/>
          <w:color w:val="000000"/>
          <w:sz w:val="28"/>
          <w:szCs w:val="28"/>
          <w:lang w:eastAsia="ru-RU" w:bidi="ru-RU"/>
        </w:rPr>
        <w:t>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(статьи 96, 99, 113, 259, 264 Кодекса);</w:t>
      </w:r>
    </w:p>
    <w:p w14:paraId="6B427FB8" w14:textId="654F6BB7" w:rsidR="00832765" w:rsidRPr="00516713" w:rsidRDefault="00516713" w:rsidP="00832765">
      <w:pPr>
        <w:pStyle w:val="Style2"/>
        <w:shd w:val="clear" w:color="auto" w:fill="auto"/>
        <w:spacing w:after="0" w:line="312" w:lineRule="auto"/>
        <w:ind w:firstLine="709"/>
        <w:jc w:val="both"/>
        <w:rPr>
          <w:rFonts w:ascii="Times New Roman" w:hAnsi="Times New Roman" w:cs="Times New Roman"/>
          <w:sz w:val="28"/>
          <w:szCs w:val="28"/>
        </w:rPr>
      </w:pPr>
      <w:r w:rsidRPr="00516713">
        <w:rPr>
          <w:rFonts w:ascii="Times New Roman" w:eastAsia="Times New Roman" w:hAnsi="Times New Roman" w:cs="Times New Roman"/>
          <w:color w:val="000000"/>
          <w:sz w:val="28"/>
          <w:szCs w:val="28"/>
          <w:lang w:eastAsia="ru-RU" w:bidi="ru-RU"/>
        </w:rPr>
        <w:t>-</w:t>
      </w:r>
      <w:r w:rsidR="00820D8A" w:rsidRPr="00516713">
        <w:rPr>
          <w:rFonts w:ascii="Times New Roman" w:eastAsia="Times New Roman" w:hAnsi="Times New Roman" w:cs="Times New Roman"/>
          <w:color w:val="000000"/>
          <w:sz w:val="28"/>
          <w:szCs w:val="28"/>
          <w:lang w:eastAsia="ru-RU" w:bidi="ru-RU"/>
        </w:rPr>
        <w:t xml:space="preserve"> расторжение трудового договора с женщиной, имеющей ребенка в возрасте до трех лет, с одинокой матерью, воспитывающей ребенка</w:t>
      </w:r>
      <w:r w:rsidR="003B77D7" w:rsidRPr="003B77D7">
        <w:rPr>
          <w:rFonts w:ascii="Times New Roman" w:eastAsia="Times New Roman" w:hAnsi="Times New Roman" w:cs="Times New Roman"/>
          <w:sz w:val="28"/>
          <w:szCs w:val="28"/>
          <w:lang w:eastAsia="ru-RU"/>
        </w:rPr>
        <w:t xml:space="preserve"> </w:t>
      </w:r>
      <w:r w:rsidR="003B77D7">
        <w:rPr>
          <w:rFonts w:ascii="Times New Roman" w:eastAsia="Times New Roman" w:hAnsi="Times New Roman" w:cs="Times New Roman"/>
          <w:sz w:val="28"/>
          <w:szCs w:val="28"/>
          <w:lang w:eastAsia="ru-RU"/>
        </w:rPr>
        <w:t>с инвалидностью</w:t>
      </w:r>
      <w:r w:rsidR="003B77D7" w:rsidRPr="00516713" w:rsidDel="003B77D7">
        <w:rPr>
          <w:rFonts w:ascii="Times New Roman" w:eastAsia="Times New Roman" w:hAnsi="Times New Roman" w:cs="Times New Roman"/>
          <w:color w:val="000000"/>
          <w:sz w:val="28"/>
          <w:szCs w:val="28"/>
          <w:lang w:eastAsia="ru-RU" w:bidi="ru-RU"/>
        </w:rPr>
        <w:t xml:space="preserve"> </w:t>
      </w:r>
      <w:r w:rsidR="00820D8A" w:rsidRPr="00516713">
        <w:rPr>
          <w:rFonts w:ascii="Times New Roman" w:eastAsia="Times New Roman" w:hAnsi="Times New Roman" w:cs="Times New Roman"/>
          <w:color w:val="000000"/>
          <w:sz w:val="28"/>
          <w:szCs w:val="28"/>
          <w:lang w:eastAsia="ru-RU" w:bidi="ru-RU"/>
        </w:rPr>
        <w:t xml:space="preserve">в возрасте до восемнадцати лет или малолетнего ребенка </w:t>
      </w:r>
      <w:r w:rsidR="000F3A6B">
        <w:rPr>
          <w:rFonts w:ascii="Times New Roman" w:eastAsia="Times New Roman" w:hAnsi="Times New Roman" w:cs="Times New Roman"/>
          <w:color w:val="000000"/>
          <w:sz w:val="28"/>
          <w:szCs w:val="28"/>
          <w:lang w:eastAsia="ru-RU" w:bidi="ru-RU"/>
        </w:rPr>
        <w:t>–</w:t>
      </w:r>
      <w:r w:rsidR="00820D8A" w:rsidRPr="00516713">
        <w:rPr>
          <w:rFonts w:ascii="Times New Roman" w:eastAsia="Times New Roman" w:hAnsi="Times New Roman" w:cs="Times New Roman"/>
          <w:color w:val="000000"/>
          <w:sz w:val="28"/>
          <w:szCs w:val="28"/>
          <w:lang w:eastAsia="ru-RU" w:bidi="ru-RU"/>
        </w:rPr>
        <w:t xml:space="preserve">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w:t>
      </w:r>
      <w:r w:rsidR="003B77D7" w:rsidRPr="003B77D7">
        <w:rPr>
          <w:rFonts w:ascii="Times New Roman" w:eastAsia="Times New Roman" w:hAnsi="Times New Roman" w:cs="Times New Roman"/>
          <w:sz w:val="28"/>
          <w:szCs w:val="28"/>
          <w:lang w:eastAsia="ru-RU"/>
        </w:rPr>
        <w:t xml:space="preserve"> </w:t>
      </w:r>
      <w:r w:rsidR="003B77D7">
        <w:rPr>
          <w:rFonts w:ascii="Times New Roman" w:eastAsia="Times New Roman" w:hAnsi="Times New Roman" w:cs="Times New Roman"/>
          <w:sz w:val="28"/>
          <w:szCs w:val="28"/>
          <w:lang w:eastAsia="ru-RU"/>
        </w:rPr>
        <w:t>с инвалидностью</w:t>
      </w:r>
      <w:r w:rsidR="003B77D7" w:rsidRPr="00516713" w:rsidDel="003B77D7">
        <w:rPr>
          <w:rFonts w:ascii="Times New Roman" w:eastAsia="Times New Roman" w:hAnsi="Times New Roman" w:cs="Times New Roman"/>
          <w:color w:val="000000"/>
          <w:sz w:val="28"/>
          <w:szCs w:val="28"/>
          <w:lang w:eastAsia="ru-RU" w:bidi="ru-RU"/>
        </w:rPr>
        <w:t xml:space="preserve"> </w:t>
      </w:r>
      <w:r w:rsidR="00820D8A" w:rsidRPr="00516713">
        <w:rPr>
          <w:rFonts w:ascii="Times New Roman" w:eastAsia="Times New Roman" w:hAnsi="Times New Roman" w:cs="Times New Roman"/>
          <w:color w:val="000000"/>
          <w:sz w:val="28"/>
          <w:szCs w:val="28"/>
          <w:lang w:eastAsia="ru-RU" w:bidi="ru-RU"/>
        </w:rPr>
        <w:t>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допускается только по основаниям, предусмотренным пунктами 1, 5, 6, 7, 8, 10 или 11 части первой статьи 81 или пунктом 2 статьи 336 Кодекса, то есть за виновные действия и в случаях ликвидации организации либо прекращения деятельности индивидуальным предпринимателем (статья 261 Кодекса);</w:t>
      </w:r>
    </w:p>
    <w:p w14:paraId="712A9D3E" w14:textId="32E441DE" w:rsidR="00832765" w:rsidRPr="00516713" w:rsidRDefault="00516713" w:rsidP="00832765">
      <w:pPr>
        <w:pStyle w:val="Style2"/>
        <w:shd w:val="clear" w:color="auto" w:fill="auto"/>
        <w:spacing w:after="0" w:line="312" w:lineRule="auto"/>
        <w:ind w:firstLine="709"/>
        <w:jc w:val="both"/>
        <w:rPr>
          <w:rFonts w:ascii="Times New Roman" w:hAnsi="Times New Roman" w:cs="Times New Roman"/>
          <w:sz w:val="28"/>
          <w:szCs w:val="28"/>
        </w:rPr>
      </w:pPr>
      <w:r w:rsidRPr="00516713">
        <w:rPr>
          <w:rFonts w:ascii="Times New Roman" w:hAnsi="Times New Roman" w:cs="Times New Roman"/>
          <w:sz w:val="28"/>
          <w:szCs w:val="28"/>
        </w:rPr>
        <w:t>-</w:t>
      </w:r>
      <w:r w:rsidR="00820D8A" w:rsidRPr="00516713">
        <w:rPr>
          <w:rFonts w:ascii="Times New Roman" w:eastAsia="Times New Roman" w:hAnsi="Times New Roman" w:cs="Times New Roman"/>
          <w:color w:val="000000"/>
          <w:sz w:val="28"/>
          <w:szCs w:val="28"/>
          <w:lang w:eastAsia="ru-RU" w:bidi="ru-RU"/>
        </w:rPr>
        <w:t xml:space="preserve"> одному из родителей (опекуну, попечителю) для ухода за детьми</w:t>
      </w:r>
      <w:r w:rsidR="003B77D7" w:rsidRPr="003B77D7">
        <w:rPr>
          <w:rFonts w:ascii="Times New Roman" w:eastAsia="Times New Roman" w:hAnsi="Times New Roman" w:cs="Times New Roman"/>
          <w:sz w:val="28"/>
          <w:szCs w:val="28"/>
          <w:lang w:eastAsia="ru-RU"/>
        </w:rPr>
        <w:t xml:space="preserve"> </w:t>
      </w:r>
      <w:r w:rsidR="003B77D7">
        <w:rPr>
          <w:rFonts w:ascii="Times New Roman" w:eastAsia="Times New Roman" w:hAnsi="Times New Roman" w:cs="Times New Roman"/>
          <w:sz w:val="28"/>
          <w:szCs w:val="28"/>
          <w:lang w:eastAsia="ru-RU"/>
        </w:rPr>
        <w:t>с инвалидностью</w:t>
      </w:r>
      <w:r w:rsidR="003B77D7" w:rsidRPr="00516713" w:rsidDel="003B77D7">
        <w:rPr>
          <w:rFonts w:ascii="Times New Roman" w:eastAsia="Times New Roman" w:hAnsi="Times New Roman" w:cs="Times New Roman"/>
          <w:color w:val="000000"/>
          <w:sz w:val="28"/>
          <w:szCs w:val="28"/>
          <w:lang w:eastAsia="ru-RU" w:bidi="ru-RU"/>
        </w:rPr>
        <w:t xml:space="preserve"> </w:t>
      </w:r>
      <w:r w:rsidR="00820D8A" w:rsidRPr="00516713">
        <w:rPr>
          <w:rFonts w:ascii="Times New Roman" w:eastAsia="Times New Roman" w:hAnsi="Times New Roman" w:cs="Times New Roman"/>
          <w:color w:val="000000"/>
          <w:sz w:val="28"/>
          <w:szCs w:val="28"/>
          <w:lang w:eastAsia="ru-RU" w:bidi="ru-RU"/>
        </w:rPr>
        <w:t>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(статья 262 Кодекса);</w:t>
      </w:r>
    </w:p>
    <w:p w14:paraId="0ADF46D7" w14:textId="79BFBB2F" w:rsidR="00832765" w:rsidRPr="00516713" w:rsidRDefault="00832765" w:rsidP="00832765">
      <w:pPr>
        <w:pStyle w:val="Style2"/>
        <w:shd w:val="clear" w:color="auto" w:fill="auto"/>
        <w:spacing w:after="0" w:line="312" w:lineRule="auto"/>
        <w:ind w:firstLine="709"/>
        <w:jc w:val="both"/>
        <w:rPr>
          <w:rFonts w:ascii="Times New Roman" w:hAnsi="Times New Roman" w:cs="Times New Roman"/>
          <w:sz w:val="28"/>
          <w:szCs w:val="28"/>
        </w:rPr>
      </w:pPr>
      <w:r w:rsidRPr="00516713">
        <w:rPr>
          <w:rFonts w:ascii="Times New Roman" w:hAnsi="Times New Roman" w:cs="Times New Roman"/>
          <w:sz w:val="28"/>
          <w:szCs w:val="28"/>
        </w:rPr>
        <w:t xml:space="preserve">- </w:t>
      </w:r>
      <w:r w:rsidR="00820D8A" w:rsidRPr="00516713">
        <w:rPr>
          <w:rFonts w:ascii="Times New Roman" w:eastAsia="Times New Roman" w:hAnsi="Times New Roman" w:cs="Times New Roman"/>
          <w:color w:val="000000"/>
          <w:sz w:val="28"/>
          <w:szCs w:val="28"/>
          <w:lang w:eastAsia="ru-RU" w:bidi="ru-RU"/>
        </w:rPr>
        <w:t>одному из родителей (опекуну, попечителю, приемному родителю), воспитывающему ребенка</w:t>
      </w:r>
      <w:r w:rsidR="003B77D7" w:rsidRPr="003B77D7">
        <w:rPr>
          <w:rFonts w:ascii="Times New Roman" w:eastAsia="Times New Roman" w:hAnsi="Times New Roman" w:cs="Times New Roman"/>
          <w:sz w:val="28"/>
          <w:szCs w:val="28"/>
          <w:lang w:eastAsia="ru-RU"/>
        </w:rPr>
        <w:t xml:space="preserve"> </w:t>
      </w:r>
      <w:r w:rsidR="003B77D7">
        <w:rPr>
          <w:rFonts w:ascii="Times New Roman" w:eastAsia="Times New Roman" w:hAnsi="Times New Roman" w:cs="Times New Roman"/>
          <w:sz w:val="28"/>
          <w:szCs w:val="28"/>
          <w:lang w:eastAsia="ru-RU"/>
        </w:rPr>
        <w:t>с инвалидностью</w:t>
      </w:r>
      <w:r w:rsidR="003B77D7" w:rsidRPr="00516713" w:rsidDel="003B77D7">
        <w:rPr>
          <w:rFonts w:ascii="Times New Roman" w:eastAsia="Times New Roman" w:hAnsi="Times New Roman" w:cs="Times New Roman"/>
          <w:color w:val="000000"/>
          <w:sz w:val="28"/>
          <w:szCs w:val="28"/>
          <w:lang w:eastAsia="ru-RU" w:bidi="ru-RU"/>
        </w:rPr>
        <w:t xml:space="preserve"> </w:t>
      </w:r>
      <w:r w:rsidR="00820D8A" w:rsidRPr="00516713">
        <w:rPr>
          <w:rFonts w:ascii="Times New Roman" w:eastAsia="Times New Roman" w:hAnsi="Times New Roman" w:cs="Times New Roman"/>
          <w:color w:val="000000"/>
          <w:sz w:val="28"/>
          <w:szCs w:val="28"/>
          <w:lang w:eastAsia="ru-RU" w:bidi="ru-RU"/>
        </w:rPr>
        <w:t>в возрасте до восемнадцати лет, ежегодный оплачиваемый отпуск предоставляется по его желанию в удобное для него время (статья 262.1 Кодекса);</w:t>
      </w:r>
    </w:p>
    <w:p w14:paraId="32AD6E90" w14:textId="77777777" w:rsidR="00832765" w:rsidRPr="00516713" w:rsidRDefault="000F3A6B" w:rsidP="00832765">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20D8A" w:rsidRPr="00516713">
        <w:rPr>
          <w:rFonts w:ascii="Times New Roman" w:eastAsia="Times New Roman" w:hAnsi="Times New Roman" w:cs="Times New Roman"/>
          <w:color w:val="000000"/>
          <w:sz w:val="28"/>
          <w:szCs w:val="28"/>
          <w:lang w:eastAsia="ru-RU" w:bidi="ru-RU"/>
        </w:rPr>
        <w:t xml:space="preserve"> работникам, имеющим трех и более детей в возрасте до двенадцати лет, ежегодный оплачиваемый отпуск предоставляется по их желанию в удобное для них время</w:t>
      </w:r>
      <w:r w:rsidR="00832765" w:rsidRPr="00516713">
        <w:rPr>
          <w:rFonts w:ascii="Times New Roman" w:hAnsi="Times New Roman" w:cs="Times New Roman"/>
          <w:sz w:val="28"/>
          <w:szCs w:val="28"/>
        </w:rPr>
        <w:t xml:space="preserve"> </w:t>
      </w:r>
      <w:r w:rsidR="00820D8A" w:rsidRPr="00516713">
        <w:rPr>
          <w:rFonts w:ascii="Times New Roman" w:eastAsia="Times New Roman" w:hAnsi="Times New Roman" w:cs="Times New Roman"/>
          <w:color w:val="000000"/>
          <w:sz w:val="28"/>
          <w:szCs w:val="28"/>
          <w:lang w:eastAsia="ru-RU" w:bidi="ru-RU"/>
        </w:rPr>
        <w:t>(статья 262.2 Кодекса);</w:t>
      </w:r>
    </w:p>
    <w:p w14:paraId="42775697" w14:textId="4B7CFC99" w:rsidR="00820D8A" w:rsidRPr="00820D8A" w:rsidRDefault="00832765" w:rsidP="00832765">
      <w:pPr>
        <w:pStyle w:val="Style2"/>
        <w:shd w:val="clear" w:color="auto" w:fill="auto"/>
        <w:spacing w:after="0" w:line="312" w:lineRule="auto"/>
        <w:ind w:firstLine="709"/>
        <w:jc w:val="both"/>
        <w:rPr>
          <w:sz w:val="28"/>
          <w:szCs w:val="28"/>
        </w:rPr>
      </w:pPr>
      <w:r w:rsidRPr="00516713">
        <w:rPr>
          <w:rFonts w:ascii="Times New Roman" w:hAnsi="Times New Roman" w:cs="Times New Roman"/>
          <w:sz w:val="28"/>
          <w:szCs w:val="28"/>
        </w:rPr>
        <w:t>-</w:t>
      </w:r>
      <w:r w:rsidR="00820D8A" w:rsidRPr="00516713">
        <w:rPr>
          <w:rFonts w:ascii="Times New Roman" w:eastAsia="Times New Roman" w:hAnsi="Times New Roman" w:cs="Times New Roman"/>
          <w:color w:val="000000"/>
          <w:sz w:val="28"/>
          <w:szCs w:val="28"/>
          <w:lang w:eastAsia="ru-RU" w:bidi="ru-RU"/>
        </w:rPr>
        <w:t xml:space="preserve"> работнику, имеющему двух или более детей в возрасте до четырнадцати лет, работнику, имеющему ребенка</w:t>
      </w:r>
      <w:r w:rsidR="003B77D7" w:rsidRPr="003B77D7">
        <w:rPr>
          <w:rFonts w:ascii="Times New Roman" w:eastAsia="Times New Roman" w:hAnsi="Times New Roman" w:cs="Times New Roman"/>
          <w:sz w:val="28"/>
          <w:szCs w:val="28"/>
          <w:lang w:eastAsia="ru-RU"/>
        </w:rPr>
        <w:t xml:space="preserve"> </w:t>
      </w:r>
      <w:r w:rsidR="003B77D7">
        <w:rPr>
          <w:rFonts w:ascii="Times New Roman" w:eastAsia="Times New Roman" w:hAnsi="Times New Roman" w:cs="Times New Roman"/>
          <w:sz w:val="28"/>
          <w:szCs w:val="28"/>
          <w:lang w:eastAsia="ru-RU"/>
        </w:rPr>
        <w:t>с инвалидностью</w:t>
      </w:r>
      <w:r w:rsidR="003B77D7" w:rsidRPr="00516713" w:rsidDel="003B77D7">
        <w:rPr>
          <w:rFonts w:ascii="Times New Roman" w:eastAsia="Times New Roman" w:hAnsi="Times New Roman" w:cs="Times New Roman"/>
          <w:color w:val="000000"/>
          <w:sz w:val="28"/>
          <w:szCs w:val="28"/>
          <w:lang w:eastAsia="ru-RU" w:bidi="ru-RU"/>
        </w:rPr>
        <w:t xml:space="preserve"> </w:t>
      </w:r>
      <w:r w:rsidR="00820D8A" w:rsidRPr="00516713">
        <w:rPr>
          <w:rFonts w:ascii="Times New Roman" w:eastAsia="Times New Roman" w:hAnsi="Times New Roman" w:cs="Times New Roman"/>
          <w:color w:val="000000"/>
          <w:sz w:val="28"/>
          <w:szCs w:val="28"/>
          <w:lang w:eastAsia="ru-RU" w:bidi="ru-RU"/>
        </w:rPr>
        <w:t xml:space="preserve">в возрасте до восемнадцати лет, одинокой матери, воспитывающей ребенка в возрасте </w:t>
      </w:r>
      <w:r w:rsidR="00820D8A" w:rsidRPr="00820D8A">
        <w:rPr>
          <w:rFonts w:ascii="Times New Roman" w:eastAsia="Times New Roman" w:hAnsi="Times New Roman" w:cs="Times New Roman"/>
          <w:color w:val="000000"/>
          <w:sz w:val="28"/>
          <w:szCs w:val="28"/>
          <w:lang w:eastAsia="ru-RU" w:bidi="ru-RU"/>
        </w:rPr>
        <w:t>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которые по письменному заявлению работника могут быть присоединены к ежегодному оплачиваемому отпуску или использованы отдельно полностью либо по частям (статья 263 Кодекса).</w:t>
      </w:r>
    </w:p>
    <w:p w14:paraId="7741B53F" w14:textId="77777777" w:rsidR="00820D8A" w:rsidRPr="00820D8A" w:rsidRDefault="000F3A6B" w:rsidP="00820D8A">
      <w:pPr>
        <w:pStyle w:val="Style2"/>
        <w:shd w:val="clear" w:color="auto" w:fill="auto"/>
        <w:spacing w:after="0" w:line="312" w:lineRule="auto"/>
        <w:ind w:firstLine="709"/>
        <w:jc w:val="both"/>
        <w:rPr>
          <w:sz w:val="28"/>
          <w:szCs w:val="28"/>
        </w:rPr>
      </w:pPr>
      <w:r>
        <w:rPr>
          <w:rFonts w:ascii="Times New Roman" w:eastAsia="Times New Roman" w:hAnsi="Times New Roman" w:cs="Times New Roman"/>
          <w:color w:val="000000"/>
          <w:sz w:val="28"/>
          <w:szCs w:val="28"/>
          <w:lang w:eastAsia="ru-RU" w:bidi="ru-RU"/>
        </w:rPr>
        <w:t>Кроме того</w:t>
      </w:r>
      <w:r w:rsidR="00820D8A" w:rsidRPr="00820D8A">
        <w:rPr>
          <w:rFonts w:ascii="Times New Roman" w:eastAsia="Times New Roman" w:hAnsi="Times New Roman" w:cs="Times New Roman"/>
          <w:color w:val="000000"/>
          <w:sz w:val="28"/>
          <w:szCs w:val="28"/>
          <w:lang w:eastAsia="ru-RU" w:bidi="ru-RU"/>
        </w:rPr>
        <w:t>, что в период нахождения работника в отпуске по уходу за ребенком до достижения полутора лет в соответствии с законодательством Российской Федерации гражданам, фактически осуществляющим уход за ребенком, выплачивается ежемесячное пособие по уходу за ребенком.</w:t>
      </w:r>
    </w:p>
    <w:p w14:paraId="2ED31C49" w14:textId="77777777" w:rsidR="00820D8A" w:rsidRPr="00820D8A" w:rsidRDefault="000F3A6B" w:rsidP="00820D8A">
      <w:pPr>
        <w:pStyle w:val="Style2"/>
        <w:shd w:val="clear" w:color="auto" w:fill="auto"/>
        <w:spacing w:after="0" w:line="312" w:lineRule="auto"/>
        <w:ind w:firstLine="709"/>
        <w:jc w:val="both"/>
        <w:rPr>
          <w:sz w:val="28"/>
          <w:szCs w:val="28"/>
        </w:rPr>
      </w:pPr>
      <w:r>
        <w:rPr>
          <w:rFonts w:ascii="Times New Roman" w:eastAsia="Times New Roman" w:hAnsi="Times New Roman" w:cs="Times New Roman"/>
          <w:color w:val="000000"/>
          <w:sz w:val="28"/>
          <w:szCs w:val="28"/>
          <w:lang w:eastAsia="ru-RU" w:bidi="ru-RU"/>
        </w:rPr>
        <w:t>В</w:t>
      </w:r>
      <w:r w:rsidR="00820D8A" w:rsidRPr="00820D8A">
        <w:rPr>
          <w:rFonts w:ascii="Times New Roman" w:eastAsia="Times New Roman" w:hAnsi="Times New Roman" w:cs="Times New Roman"/>
          <w:color w:val="000000"/>
          <w:sz w:val="28"/>
          <w:szCs w:val="28"/>
          <w:lang w:eastAsia="ru-RU" w:bidi="ru-RU"/>
        </w:rPr>
        <w:t xml:space="preserve">о избежание дискриминации принят Федеральный закон от 2 июля 2013 г. </w:t>
      </w:r>
      <w:r>
        <w:rPr>
          <w:rFonts w:ascii="Times New Roman" w:eastAsia="Times New Roman" w:hAnsi="Times New Roman" w:cs="Times New Roman"/>
          <w:color w:val="000000"/>
          <w:sz w:val="28"/>
          <w:szCs w:val="28"/>
          <w:lang w:eastAsia="ru-RU" w:bidi="ru-RU"/>
        </w:rPr>
        <w:br/>
      </w:r>
      <w:r w:rsidR="00820D8A" w:rsidRPr="00820D8A">
        <w:rPr>
          <w:rFonts w:ascii="Times New Roman" w:eastAsia="Times New Roman" w:hAnsi="Times New Roman" w:cs="Times New Roman"/>
          <w:color w:val="000000"/>
          <w:sz w:val="28"/>
          <w:szCs w:val="28"/>
          <w:lang w:eastAsia="ru-RU" w:bidi="ru-RU"/>
        </w:rPr>
        <w:t>№ 162-ФЗ «О внесении изменений в Закон Российской Федерации «О занятости населения в Российской Федерации» и отдельные законодательные акты Российской Федерации», которым:</w:t>
      </w:r>
    </w:p>
    <w:p w14:paraId="73F0F3A9" w14:textId="77777777" w:rsidR="009F0F2E" w:rsidRDefault="00820D8A" w:rsidP="009F0F2E">
      <w:pPr>
        <w:pStyle w:val="Style2"/>
        <w:numPr>
          <w:ilvl w:val="0"/>
          <w:numId w:val="10"/>
        </w:numPr>
        <w:shd w:val="clear" w:color="auto" w:fill="auto"/>
        <w:spacing w:after="0" w:line="312" w:lineRule="auto"/>
        <w:ind w:firstLine="709"/>
        <w:jc w:val="both"/>
        <w:rPr>
          <w:sz w:val="28"/>
          <w:szCs w:val="28"/>
        </w:rPr>
      </w:pPr>
      <w:r w:rsidRPr="00820D8A">
        <w:rPr>
          <w:rFonts w:ascii="Times New Roman" w:eastAsia="Times New Roman" w:hAnsi="Times New Roman" w:cs="Times New Roman"/>
          <w:color w:val="000000"/>
          <w:sz w:val="28"/>
          <w:szCs w:val="28"/>
          <w:lang w:eastAsia="ru-RU" w:bidi="ru-RU"/>
        </w:rPr>
        <w:t xml:space="preserve"> статья 25 Закона Российской Федерации от 19 апреля 1991 г. № 1032-1 «О занятости населения в Российской Федерации» дополнена положением о запрете распространения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национальности, а также от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w:t>
      </w:r>
    </w:p>
    <w:p w14:paraId="7DC07DBF" w14:textId="77777777" w:rsidR="00820D8A" w:rsidRPr="009F0F2E" w:rsidRDefault="00820D8A" w:rsidP="009F0F2E">
      <w:pPr>
        <w:pStyle w:val="Style2"/>
        <w:numPr>
          <w:ilvl w:val="0"/>
          <w:numId w:val="10"/>
        </w:numPr>
        <w:shd w:val="clear" w:color="auto" w:fill="auto"/>
        <w:spacing w:after="0" w:line="312" w:lineRule="auto"/>
        <w:ind w:firstLine="709"/>
        <w:jc w:val="both"/>
        <w:rPr>
          <w:sz w:val="28"/>
          <w:szCs w:val="28"/>
        </w:rPr>
      </w:pPr>
      <w:r w:rsidRPr="009F0F2E">
        <w:rPr>
          <w:rFonts w:ascii="Times New Roman" w:eastAsia="Times New Roman" w:hAnsi="Times New Roman" w:cs="Times New Roman"/>
          <w:color w:val="000000"/>
          <w:sz w:val="28"/>
          <w:szCs w:val="28"/>
          <w:lang w:eastAsia="ru-RU" w:bidi="ru-RU"/>
        </w:rPr>
        <w:t xml:space="preserve"> </w:t>
      </w:r>
      <w:r w:rsidR="00307FDF">
        <w:rPr>
          <w:rFonts w:ascii="Times New Roman" w:eastAsia="Times New Roman" w:hAnsi="Times New Roman" w:cs="Times New Roman"/>
          <w:color w:val="000000"/>
          <w:sz w:val="28"/>
          <w:szCs w:val="28"/>
          <w:lang w:eastAsia="ru-RU" w:bidi="ru-RU"/>
        </w:rPr>
        <w:t>КоАП РФ</w:t>
      </w:r>
      <w:r w:rsidRPr="009F0F2E">
        <w:rPr>
          <w:rFonts w:ascii="Times New Roman" w:eastAsia="Times New Roman" w:hAnsi="Times New Roman" w:cs="Times New Roman"/>
          <w:color w:val="000000"/>
          <w:sz w:val="28"/>
          <w:szCs w:val="28"/>
          <w:lang w:eastAsia="ru-RU" w:bidi="ru-RU"/>
        </w:rPr>
        <w:t xml:space="preserve"> дополнен статьей 13.11.1, в соответствии с которой распространение информации о свободных рабочих местах или вакантных должностях, содержащей ограничения дискриминационного характера (в том числе ограничения в зависимости пола или наличия детей), влечет наложение административного штрафа: на граждан </w:t>
      </w:r>
      <w:r w:rsidR="000F3A6B" w:rsidRPr="009F0F2E">
        <w:rPr>
          <w:rFonts w:ascii="Times New Roman" w:eastAsia="Times New Roman" w:hAnsi="Times New Roman" w:cs="Times New Roman"/>
          <w:color w:val="000000"/>
          <w:sz w:val="28"/>
          <w:szCs w:val="28"/>
          <w:lang w:eastAsia="ru-RU" w:bidi="ru-RU"/>
        </w:rPr>
        <w:t>–</w:t>
      </w:r>
      <w:r w:rsidRPr="009F0F2E">
        <w:rPr>
          <w:rFonts w:ascii="Times New Roman" w:eastAsia="Times New Roman" w:hAnsi="Times New Roman" w:cs="Times New Roman"/>
          <w:color w:val="000000"/>
          <w:sz w:val="28"/>
          <w:szCs w:val="28"/>
          <w:lang w:eastAsia="ru-RU" w:bidi="ru-RU"/>
        </w:rPr>
        <w:t xml:space="preserve"> от 500 до 1</w:t>
      </w:r>
      <w:r w:rsidR="000F3A6B" w:rsidRPr="009F0F2E">
        <w:rPr>
          <w:rFonts w:ascii="Times New Roman" w:eastAsia="Times New Roman" w:hAnsi="Times New Roman" w:cs="Times New Roman"/>
          <w:color w:val="000000"/>
          <w:sz w:val="28"/>
          <w:szCs w:val="28"/>
          <w:lang w:eastAsia="ru-RU" w:bidi="ru-RU"/>
        </w:rPr>
        <w:t xml:space="preserve"> </w:t>
      </w:r>
      <w:r w:rsidR="006A24DB">
        <w:rPr>
          <w:rFonts w:ascii="Times New Roman" w:eastAsia="Times New Roman" w:hAnsi="Times New Roman" w:cs="Times New Roman"/>
          <w:color w:val="000000"/>
          <w:sz w:val="28"/>
          <w:szCs w:val="28"/>
          <w:lang w:eastAsia="ru-RU" w:bidi="ru-RU"/>
        </w:rPr>
        <w:t>тыс.</w:t>
      </w:r>
      <w:r w:rsidRPr="009F0F2E">
        <w:rPr>
          <w:rFonts w:ascii="Times New Roman" w:eastAsia="Times New Roman" w:hAnsi="Times New Roman" w:cs="Times New Roman"/>
          <w:color w:val="000000"/>
          <w:sz w:val="28"/>
          <w:szCs w:val="28"/>
          <w:lang w:eastAsia="ru-RU" w:bidi="ru-RU"/>
        </w:rPr>
        <w:t xml:space="preserve"> рублей; на должностных лиц </w:t>
      </w:r>
      <w:r w:rsidR="000F3A6B" w:rsidRPr="009F0F2E">
        <w:rPr>
          <w:rFonts w:ascii="Times New Roman" w:eastAsia="Times New Roman" w:hAnsi="Times New Roman" w:cs="Times New Roman"/>
          <w:color w:val="000000"/>
          <w:sz w:val="28"/>
          <w:szCs w:val="28"/>
          <w:lang w:eastAsia="ru-RU" w:bidi="ru-RU"/>
        </w:rPr>
        <w:t>–</w:t>
      </w:r>
      <w:r w:rsidRPr="009F0F2E">
        <w:rPr>
          <w:rFonts w:ascii="Times New Roman" w:eastAsia="Times New Roman" w:hAnsi="Times New Roman" w:cs="Times New Roman"/>
          <w:color w:val="000000"/>
          <w:sz w:val="28"/>
          <w:szCs w:val="28"/>
          <w:lang w:eastAsia="ru-RU" w:bidi="ru-RU"/>
        </w:rPr>
        <w:t xml:space="preserve"> от 3 до 5</w:t>
      </w:r>
      <w:r w:rsidR="006A24DB">
        <w:rPr>
          <w:rFonts w:ascii="Times New Roman" w:eastAsia="Times New Roman" w:hAnsi="Times New Roman" w:cs="Times New Roman"/>
          <w:color w:val="000000"/>
          <w:sz w:val="28"/>
          <w:szCs w:val="28"/>
          <w:lang w:eastAsia="ru-RU" w:bidi="ru-RU"/>
        </w:rPr>
        <w:t xml:space="preserve"> тыс.</w:t>
      </w:r>
      <w:r w:rsidRPr="009F0F2E">
        <w:rPr>
          <w:rFonts w:ascii="Times New Roman" w:eastAsia="Times New Roman" w:hAnsi="Times New Roman" w:cs="Times New Roman"/>
          <w:color w:val="000000"/>
          <w:sz w:val="28"/>
          <w:szCs w:val="28"/>
          <w:lang w:eastAsia="ru-RU" w:bidi="ru-RU"/>
        </w:rPr>
        <w:t xml:space="preserve"> рублей; на юридических лиц </w:t>
      </w:r>
      <w:r w:rsidR="000F3A6B" w:rsidRPr="009F0F2E">
        <w:rPr>
          <w:rFonts w:ascii="Times New Roman" w:eastAsia="Times New Roman" w:hAnsi="Times New Roman" w:cs="Times New Roman"/>
          <w:color w:val="000000"/>
          <w:sz w:val="28"/>
          <w:szCs w:val="28"/>
          <w:lang w:eastAsia="ru-RU" w:bidi="ru-RU"/>
        </w:rPr>
        <w:t>–</w:t>
      </w:r>
      <w:r w:rsidRPr="009F0F2E">
        <w:rPr>
          <w:rFonts w:ascii="Times New Roman" w:eastAsia="Times New Roman" w:hAnsi="Times New Roman" w:cs="Times New Roman"/>
          <w:color w:val="000000"/>
          <w:sz w:val="28"/>
          <w:szCs w:val="28"/>
          <w:lang w:eastAsia="ru-RU" w:bidi="ru-RU"/>
        </w:rPr>
        <w:t xml:space="preserve"> от 10 до 15 </w:t>
      </w:r>
      <w:r w:rsidR="006A24DB">
        <w:rPr>
          <w:rFonts w:ascii="Times New Roman" w:eastAsia="Times New Roman" w:hAnsi="Times New Roman" w:cs="Times New Roman"/>
          <w:color w:val="000000"/>
          <w:sz w:val="28"/>
          <w:szCs w:val="28"/>
          <w:lang w:eastAsia="ru-RU" w:bidi="ru-RU"/>
        </w:rPr>
        <w:t>тыс.</w:t>
      </w:r>
      <w:r w:rsidRPr="009F0F2E">
        <w:rPr>
          <w:rFonts w:ascii="Times New Roman" w:eastAsia="Times New Roman" w:hAnsi="Times New Roman" w:cs="Times New Roman"/>
          <w:color w:val="000000"/>
          <w:sz w:val="28"/>
          <w:szCs w:val="28"/>
          <w:lang w:eastAsia="ru-RU" w:bidi="ru-RU"/>
        </w:rPr>
        <w:t xml:space="preserve"> рублей.</w:t>
      </w:r>
    </w:p>
    <w:p w14:paraId="5CA50331" w14:textId="77777777" w:rsidR="00286405" w:rsidRPr="00286405" w:rsidRDefault="00286405" w:rsidP="00286405">
      <w:pPr>
        <w:pStyle w:val="Style2"/>
        <w:spacing w:after="0" w:line="312" w:lineRule="auto"/>
        <w:ind w:firstLine="709"/>
        <w:jc w:val="both"/>
        <w:rPr>
          <w:rFonts w:ascii="Times New Roman" w:hAnsi="Times New Roman" w:cs="Times New Roman"/>
          <w:sz w:val="28"/>
          <w:szCs w:val="28"/>
        </w:rPr>
      </w:pPr>
      <w:r w:rsidRPr="00286405">
        <w:rPr>
          <w:rFonts w:ascii="Times New Roman" w:hAnsi="Times New Roman" w:cs="Times New Roman"/>
          <w:sz w:val="28"/>
          <w:szCs w:val="28"/>
        </w:rPr>
        <w:t xml:space="preserve">Обеспечение соблюдения и защиты трудовых прав работников в возрасте до восемнадцати лет является одним из направлений отечественного трудового законодательства, которое содержит систему гарантий, защищающих работников от дискриминации в трудовой сфере. Соблюдение режимов труда и отдыха, заключения трудового договора, прохождение медицинских осмотров и другие гарантии регулируются главой 42 </w:t>
      </w:r>
      <w:r w:rsidR="00307FDF">
        <w:rPr>
          <w:rFonts w:ascii="Times New Roman" w:hAnsi="Times New Roman" w:cs="Times New Roman"/>
          <w:sz w:val="28"/>
          <w:szCs w:val="28"/>
        </w:rPr>
        <w:t>Кодекса</w:t>
      </w:r>
      <w:r w:rsidRPr="00286405">
        <w:rPr>
          <w:rFonts w:ascii="Times New Roman" w:hAnsi="Times New Roman" w:cs="Times New Roman"/>
          <w:sz w:val="28"/>
          <w:szCs w:val="28"/>
        </w:rPr>
        <w:t xml:space="preserve"> «Особенности регулирования труда работников в возрасте до восемнадцати лет».</w:t>
      </w:r>
    </w:p>
    <w:p w14:paraId="417863EA" w14:textId="77777777" w:rsidR="00286405" w:rsidRPr="00286405" w:rsidRDefault="00286405" w:rsidP="00286405">
      <w:pPr>
        <w:pStyle w:val="Style2"/>
        <w:spacing w:after="0" w:line="312" w:lineRule="auto"/>
        <w:ind w:firstLine="709"/>
        <w:jc w:val="both"/>
        <w:rPr>
          <w:rFonts w:ascii="Times New Roman" w:hAnsi="Times New Roman" w:cs="Times New Roman"/>
          <w:sz w:val="28"/>
          <w:szCs w:val="28"/>
        </w:rPr>
      </w:pPr>
      <w:r w:rsidRPr="00286405">
        <w:rPr>
          <w:rFonts w:ascii="Times New Roman" w:hAnsi="Times New Roman" w:cs="Times New Roman"/>
          <w:sz w:val="28"/>
          <w:szCs w:val="28"/>
        </w:rPr>
        <w:t>В 2021 г</w:t>
      </w:r>
      <w:r w:rsidR="008A33E5">
        <w:rPr>
          <w:rFonts w:ascii="Times New Roman" w:hAnsi="Times New Roman" w:cs="Times New Roman"/>
          <w:sz w:val="28"/>
          <w:szCs w:val="28"/>
        </w:rPr>
        <w:t>.</w:t>
      </w:r>
      <w:r w:rsidRPr="00286405">
        <w:rPr>
          <w:rFonts w:ascii="Times New Roman" w:hAnsi="Times New Roman" w:cs="Times New Roman"/>
          <w:sz w:val="28"/>
          <w:szCs w:val="28"/>
        </w:rPr>
        <w:t xml:space="preserve"> поступило 124 обращения по вопросам соблюдения трудовых работников в возрасте до восемнадцати лет, из которы</w:t>
      </w:r>
      <w:r w:rsidR="000F3A6B">
        <w:rPr>
          <w:rFonts w:ascii="Times New Roman" w:hAnsi="Times New Roman" w:cs="Times New Roman"/>
          <w:sz w:val="28"/>
          <w:szCs w:val="28"/>
        </w:rPr>
        <w:t>х по 112 обращениям даны устные</w:t>
      </w:r>
      <w:r w:rsidRPr="00286405">
        <w:rPr>
          <w:rFonts w:ascii="Times New Roman" w:hAnsi="Times New Roman" w:cs="Times New Roman"/>
          <w:sz w:val="28"/>
          <w:szCs w:val="28"/>
        </w:rPr>
        <w:t xml:space="preserve"> либо письменные разъяснения.</w:t>
      </w:r>
    </w:p>
    <w:p w14:paraId="429DDE2D" w14:textId="77777777" w:rsidR="00286405" w:rsidRPr="00286405" w:rsidRDefault="00286405" w:rsidP="00286405">
      <w:pPr>
        <w:pStyle w:val="Style2"/>
        <w:spacing w:after="0" w:line="312" w:lineRule="auto"/>
        <w:ind w:firstLine="709"/>
        <w:jc w:val="both"/>
        <w:rPr>
          <w:rFonts w:ascii="Times New Roman" w:hAnsi="Times New Roman" w:cs="Times New Roman"/>
          <w:sz w:val="28"/>
          <w:szCs w:val="28"/>
        </w:rPr>
      </w:pPr>
      <w:r w:rsidRPr="00286405">
        <w:rPr>
          <w:rFonts w:ascii="Times New Roman" w:hAnsi="Times New Roman" w:cs="Times New Roman"/>
          <w:sz w:val="28"/>
          <w:szCs w:val="28"/>
        </w:rPr>
        <w:t>За 2021 г</w:t>
      </w:r>
      <w:r w:rsidR="008A33E5">
        <w:rPr>
          <w:rFonts w:ascii="Times New Roman" w:hAnsi="Times New Roman" w:cs="Times New Roman"/>
          <w:sz w:val="28"/>
          <w:szCs w:val="28"/>
        </w:rPr>
        <w:t>.</w:t>
      </w:r>
      <w:r w:rsidRPr="00286405">
        <w:rPr>
          <w:rFonts w:ascii="Times New Roman" w:hAnsi="Times New Roman" w:cs="Times New Roman"/>
          <w:sz w:val="28"/>
          <w:szCs w:val="28"/>
        </w:rPr>
        <w:t xml:space="preserve"> государственными инспекциями труда в субъектах Российской Федерации было проведено 12 проверок по вопросам соблюдения трудовых прав работников в возрасте до восемнадцати ле</w:t>
      </w:r>
      <w:r w:rsidR="000F3A6B">
        <w:rPr>
          <w:rFonts w:ascii="Times New Roman" w:hAnsi="Times New Roman" w:cs="Times New Roman"/>
          <w:sz w:val="28"/>
          <w:szCs w:val="28"/>
        </w:rPr>
        <w:t xml:space="preserve">т, в ходе которых было выявлено </w:t>
      </w:r>
      <w:r w:rsidR="000F3A6B">
        <w:rPr>
          <w:rFonts w:ascii="Times New Roman" w:hAnsi="Times New Roman" w:cs="Times New Roman"/>
          <w:sz w:val="28"/>
          <w:szCs w:val="28"/>
        </w:rPr>
        <w:br/>
      </w:r>
      <w:r w:rsidRPr="00286405">
        <w:rPr>
          <w:rFonts w:ascii="Times New Roman" w:hAnsi="Times New Roman" w:cs="Times New Roman"/>
          <w:sz w:val="28"/>
          <w:szCs w:val="28"/>
        </w:rPr>
        <w:t>16 нарушений трудового законодательства.</w:t>
      </w:r>
    </w:p>
    <w:p w14:paraId="3D6139D7" w14:textId="77777777" w:rsidR="00286405" w:rsidRPr="00286405" w:rsidRDefault="00286405" w:rsidP="00286405">
      <w:pPr>
        <w:pStyle w:val="Style2"/>
        <w:spacing w:after="0" w:line="312" w:lineRule="auto"/>
        <w:ind w:firstLine="709"/>
        <w:jc w:val="both"/>
        <w:rPr>
          <w:rFonts w:ascii="Times New Roman" w:hAnsi="Times New Roman" w:cs="Times New Roman"/>
          <w:sz w:val="28"/>
          <w:szCs w:val="28"/>
        </w:rPr>
      </w:pPr>
      <w:r w:rsidRPr="00286405">
        <w:rPr>
          <w:rFonts w:ascii="Times New Roman" w:hAnsi="Times New Roman" w:cs="Times New Roman"/>
          <w:sz w:val="28"/>
          <w:szCs w:val="28"/>
        </w:rPr>
        <w:t>В целях устранения выявленных нарушений трудового</w:t>
      </w:r>
      <w:r w:rsidR="000F3A6B">
        <w:rPr>
          <w:rFonts w:ascii="Times New Roman" w:hAnsi="Times New Roman" w:cs="Times New Roman"/>
          <w:sz w:val="28"/>
          <w:szCs w:val="28"/>
        </w:rPr>
        <w:t xml:space="preserve"> законодательства</w:t>
      </w:r>
      <w:r w:rsidRPr="00286405">
        <w:rPr>
          <w:rFonts w:ascii="Times New Roman" w:hAnsi="Times New Roman" w:cs="Times New Roman"/>
          <w:sz w:val="28"/>
          <w:szCs w:val="28"/>
        </w:rPr>
        <w:t xml:space="preserve"> должностными лицами государственных инспекций труда было выдано </w:t>
      </w:r>
      <w:r w:rsidR="000F3A6B">
        <w:rPr>
          <w:rFonts w:ascii="Times New Roman" w:hAnsi="Times New Roman" w:cs="Times New Roman"/>
          <w:sz w:val="28"/>
          <w:szCs w:val="28"/>
        </w:rPr>
        <w:br/>
      </w:r>
      <w:r w:rsidRPr="00286405">
        <w:rPr>
          <w:rFonts w:ascii="Times New Roman" w:hAnsi="Times New Roman" w:cs="Times New Roman"/>
          <w:sz w:val="28"/>
          <w:szCs w:val="28"/>
        </w:rPr>
        <w:t>8 предписаний об устранении выявленных нарушений.</w:t>
      </w:r>
    </w:p>
    <w:p w14:paraId="55F4D09C" w14:textId="77777777" w:rsidR="00286405" w:rsidRPr="00286405" w:rsidRDefault="00286405" w:rsidP="00832765">
      <w:pPr>
        <w:pStyle w:val="Style2"/>
        <w:spacing w:after="0" w:line="312" w:lineRule="auto"/>
        <w:ind w:firstLine="709"/>
        <w:jc w:val="both"/>
        <w:rPr>
          <w:rFonts w:ascii="Times New Roman" w:hAnsi="Times New Roman" w:cs="Times New Roman"/>
          <w:sz w:val="28"/>
          <w:szCs w:val="28"/>
        </w:rPr>
      </w:pPr>
      <w:r w:rsidRPr="00286405">
        <w:rPr>
          <w:rFonts w:ascii="Times New Roman" w:hAnsi="Times New Roman" w:cs="Times New Roman"/>
          <w:sz w:val="28"/>
          <w:szCs w:val="28"/>
        </w:rPr>
        <w:t xml:space="preserve">Привлечено к административной ответственности в виде штрафа более </w:t>
      </w:r>
      <w:r w:rsidR="00307FDF">
        <w:rPr>
          <w:rFonts w:ascii="Times New Roman" w:hAnsi="Times New Roman" w:cs="Times New Roman"/>
          <w:sz w:val="28"/>
          <w:szCs w:val="28"/>
        </w:rPr>
        <w:br/>
      </w:r>
      <w:r w:rsidRPr="00286405">
        <w:rPr>
          <w:rFonts w:ascii="Times New Roman" w:hAnsi="Times New Roman" w:cs="Times New Roman"/>
          <w:sz w:val="28"/>
          <w:szCs w:val="28"/>
        </w:rPr>
        <w:t>18 виновных в нарушениях трудового законодательства должностных, юридических лиц и лиц, осуществляющих предпринимательскую деятельность без образования юр</w:t>
      </w:r>
      <w:r w:rsidR="00832765">
        <w:rPr>
          <w:rFonts w:ascii="Times New Roman" w:hAnsi="Times New Roman" w:cs="Times New Roman"/>
          <w:sz w:val="28"/>
          <w:szCs w:val="28"/>
        </w:rPr>
        <w:t xml:space="preserve">идического лица, на общую сумму </w:t>
      </w:r>
      <w:r w:rsidRPr="00286405">
        <w:rPr>
          <w:rFonts w:ascii="Times New Roman" w:hAnsi="Times New Roman" w:cs="Times New Roman"/>
          <w:sz w:val="28"/>
          <w:szCs w:val="28"/>
        </w:rPr>
        <w:t>330 тыс. рублей.</w:t>
      </w:r>
    </w:p>
    <w:p w14:paraId="2BF3D2E8" w14:textId="77777777" w:rsidR="00286405" w:rsidRPr="00286405" w:rsidRDefault="00286405" w:rsidP="00286405">
      <w:pPr>
        <w:pStyle w:val="Style2"/>
        <w:spacing w:after="0" w:line="312" w:lineRule="auto"/>
        <w:ind w:firstLine="709"/>
        <w:jc w:val="both"/>
        <w:rPr>
          <w:rFonts w:ascii="Times New Roman" w:hAnsi="Times New Roman" w:cs="Times New Roman"/>
          <w:sz w:val="28"/>
          <w:szCs w:val="28"/>
        </w:rPr>
      </w:pPr>
      <w:r w:rsidRPr="00286405">
        <w:rPr>
          <w:rFonts w:ascii="Times New Roman" w:hAnsi="Times New Roman" w:cs="Times New Roman"/>
          <w:sz w:val="28"/>
          <w:szCs w:val="28"/>
        </w:rPr>
        <w:t xml:space="preserve">Самым распространенным нарушением является нарушение требований статьи 271 Трудового кодекса Российской Федерации в части оплаты труда работников в возрасте до восемнадцати лет. </w:t>
      </w:r>
    </w:p>
    <w:p w14:paraId="43EEC6C7" w14:textId="77777777" w:rsidR="00286405" w:rsidRPr="00286405" w:rsidRDefault="00286405" w:rsidP="00286405">
      <w:pPr>
        <w:pStyle w:val="Style2"/>
        <w:spacing w:after="0" w:line="312" w:lineRule="auto"/>
        <w:ind w:firstLine="709"/>
        <w:jc w:val="both"/>
        <w:rPr>
          <w:rFonts w:ascii="Times New Roman" w:hAnsi="Times New Roman" w:cs="Times New Roman"/>
          <w:sz w:val="28"/>
          <w:szCs w:val="28"/>
        </w:rPr>
      </w:pPr>
      <w:r w:rsidRPr="00286405">
        <w:rPr>
          <w:rFonts w:ascii="Times New Roman" w:hAnsi="Times New Roman" w:cs="Times New Roman"/>
          <w:sz w:val="28"/>
          <w:szCs w:val="28"/>
        </w:rPr>
        <w:t>Также в ходе надзорных мероприятий были выявлены следующие нарушения:</w:t>
      </w:r>
    </w:p>
    <w:p w14:paraId="3A4C987C" w14:textId="77777777" w:rsidR="00286405" w:rsidRPr="00286405" w:rsidRDefault="00286405" w:rsidP="00286405">
      <w:pPr>
        <w:pStyle w:val="Style2"/>
        <w:spacing w:after="0" w:line="312" w:lineRule="auto"/>
        <w:ind w:firstLine="709"/>
        <w:jc w:val="both"/>
        <w:rPr>
          <w:rFonts w:ascii="Times New Roman" w:hAnsi="Times New Roman" w:cs="Times New Roman"/>
          <w:sz w:val="28"/>
          <w:szCs w:val="28"/>
        </w:rPr>
      </w:pPr>
      <w:r w:rsidRPr="00286405">
        <w:rPr>
          <w:rFonts w:ascii="Times New Roman" w:hAnsi="Times New Roman" w:cs="Times New Roman"/>
          <w:sz w:val="28"/>
          <w:szCs w:val="28"/>
        </w:rPr>
        <w:t xml:space="preserve">- в части проведения медицинских осмотров работников в возрасте до восемнадцати лет; </w:t>
      </w:r>
    </w:p>
    <w:p w14:paraId="27829EDF" w14:textId="77777777" w:rsidR="00286405" w:rsidRPr="00286405" w:rsidRDefault="00286405" w:rsidP="00286405">
      <w:pPr>
        <w:pStyle w:val="Style2"/>
        <w:spacing w:after="0" w:line="312" w:lineRule="auto"/>
        <w:ind w:firstLine="709"/>
        <w:jc w:val="both"/>
        <w:rPr>
          <w:rFonts w:ascii="Times New Roman" w:hAnsi="Times New Roman" w:cs="Times New Roman"/>
          <w:sz w:val="28"/>
          <w:szCs w:val="28"/>
        </w:rPr>
      </w:pPr>
      <w:r w:rsidRPr="00286405">
        <w:rPr>
          <w:rFonts w:ascii="Times New Roman" w:hAnsi="Times New Roman" w:cs="Times New Roman"/>
          <w:sz w:val="28"/>
          <w:szCs w:val="28"/>
        </w:rPr>
        <w:t>- в части соблюдения рабочего времени и времени отдыха;</w:t>
      </w:r>
    </w:p>
    <w:p w14:paraId="591591F9" w14:textId="77777777" w:rsidR="00286405" w:rsidRPr="00286405" w:rsidRDefault="00286405" w:rsidP="00286405">
      <w:pPr>
        <w:pStyle w:val="Style2"/>
        <w:spacing w:after="0" w:line="312" w:lineRule="auto"/>
        <w:ind w:firstLine="709"/>
        <w:jc w:val="both"/>
        <w:rPr>
          <w:rFonts w:ascii="Times New Roman" w:hAnsi="Times New Roman" w:cs="Times New Roman"/>
          <w:sz w:val="28"/>
          <w:szCs w:val="28"/>
        </w:rPr>
      </w:pPr>
      <w:r w:rsidRPr="00286405">
        <w:rPr>
          <w:rFonts w:ascii="Times New Roman" w:hAnsi="Times New Roman" w:cs="Times New Roman"/>
          <w:sz w:val="28"/>
          <w:szCs w:val="28"/>
        </w:rPr>
        <w:t>- в части оформления трудового договора;</w:t>
      </w:r>
    </w:p>
    <w:p w14:paraId="2B8DE9CE" w14:textId="77777777" w:rsidR="00286405" w:rsidRPr="00286405" w:rsidRDefault="00286405" w:rsidP="00286405">
      <w:pPr>
        <w:pStyle w:val="Style2"/>
        <w:spacing w:after="0" w:line="312" w:lineRule="auto"/>
        <w:ind w:firstLine="709"/>
        <w:jc w:val="both"/>
        <w:rPr>
          <w:rFonts w:ascii="Times New Roman" w:hAnsi="Times New Roman" w:cs="Times New Roman"/>
          <w:sz w:val="28"/>
          <w:szCs w:val="28"/>
        </w:rPr>
      </w:pPr>
      <w:r w:rsidRPr="00286405">
        <w:rPr>
          <w:rFonts w:ascii="Times New Roman" w:hAnsi="Times New Roman" w:cs="Times New Roman"/>
          <w:sz w:val="28"/>
          <w:szCs w:val="28"/>
        </w:rPr>
        <w:t>- в применения труда работников в возрасте до восемнадцати лет на работах, на которых запрещается применение труда работников данной категории.</w:t>
      </w:r>
    </w:p>
    <w:p w14:paraId="7E4F5056" w14:textId="77777777" w:rsidR="00286405" w:rsidRPr="00286405" w:rsidRDefault="00286405" w:rsidP="00286405">
      <w:pPr>
        <w:pStyle w:val="Style2"/>
        <w:spacing w:after="0" w:line="312" w:lineRule="auto"/>
        <w:ind w:firstLine="709"/>
        <w:jc w:val="both"/>
        <w:rPr>
          <w:rFonts w:ascii="Times New Roman" w:hAnsi="Times New Roman" w:cs="Times New Roman"/>
          <w:sz w:val="28"/>
          <w:szCs w:val="28"/>
        </w:rPr>
      </w:pPr>
      <w:r w:rsidRPr="00286405">
        <w:rPr>
          <w:rFonts w:ascii="Times New Roman" w:hAnsi="Times New Roman" w:cs="Times New Roman"/>
          <w:sz w:val="28"/>
          <w:szCs w:val="28"/>
        </w:rPr>
        <w:t xml:space="preserve">В тоже время нарушения трудового законодательства в части соблюдения трудовых прав работников до восемнадцати лет не носят массовый характер. Обращения по данным вопросам составили 0,02% от общего количества поступивших в территориальные органы </w:t>
      </w:r>
      <w:proofErr w:type="spellStart"/>
      <w:r w:rsidRPr="00286405">
        <w:rPr>
          <w:rFonts w:ascii="Times New Roman" w:hAnsi="Times New Roman" w:cs="Times New Roman"/>
          <w:sz w:val="28"/>
          <w:szCs w:val="28"/>
        </w:rPr>
        <w:t>Роструда</w:t>
      </w:r>
      <w:proofErr w:type="spellEnd"/>
      <w:r w:rsidRPr="00286405">
        <w:rPr>
          <w:rFonts w:ascii="Times New Roman" w:hAnsi="Times New Roman" w:cs="Times New Roman"/>
          <w:sz w:val="28"/>
          <w:szCs w:val="28"/>
        </w:rPr>
        <w:t xml:space="preserve"> (более 414 тыс.). </w:t>
      </w:r>
    </w:p>
    <w:p w14:paraId="43C9DE8A" w14:textId="77777777" w:rsidR="00286405" w:rsidRPr="00286405" w:rsidRDefault="00286405" w:rsidP="00286405">
      <w:pPr>
        <w:pStyle w:val="Style2"/>
        <w:shd w:val="clear" w:color="auto" w:fill="auto"/>
        <w:spacing w:after="0" w:line="312" w:lineRule="auto"/>
        <w:ind w:firstLine="709"/>
        <w:jc w:val="both"/>
        <w:rPr>
          <w:rFonts w:ascii="Times New Roman" w:hAnsi="Times New Roman" w:cs="Times New Roman"/>
          <w:sz w:val="28"/>
          <w:szCs w:val="28"/>
        </w:rPr>
      </w:pPr>
      <w:r w:rsidRPr="00286405">
        <w:rPr>
          <w:rFonts w:ascii="Times New Roman" w:hAnsi="Times New Roman" w:cs="Times New Roman"/>
          <w:sz w:val="28"/>
          <w:szCs w:val="28"/>
        </w:rPr>
        <w:t xml:space="preserve">При этом </w:t>
      </w:r>
      <w:r w:rsidR="000F3A6B">
        <w:rPr>
          <w:rFonts w:ascii="Times New Roman" w:hAnsi="Times New Roman" w:cs="Times New Roman"/>
          <w:sz w:val="28"/>
          <w:szCs w:val="28"/>
        </w:rPr>
        <w:t xml:space="preserve">выявлено </w:t>
      </w:r>
      <w:r w:rsidR="000F3A6B" w:rsidRPr="00286405">
        <w:rPr>
          <w:rFonts w:ascii="Times New Roman" w:hAnsi="Times New Roman" w:cs="Times New Roman"/>
          <w:sz w:val="28"/>
          <w:szCs w:val="28"/>
        </w:rPr>
        <w:t>16</w:t>
      </w:r>
      <w:r w:rsidRPr="00286405">
        <w:rPr>
          <w:rFonts w:ascii="Times New Roman" w:hAnsi="Times New Roman" w:cs="Times New Roman"/>
          <w:sz w:val="28"/>
          <w:szCs w:val="28"/>
        </w:rPr>
        <w:t xml:space="preserve"> нарушений трудового законодательства по вопросам особенностей регулирования труда работников</w:t>
      </w:r>
      <w:r w:rsidR="000F3A6B">
        <w:rPr>
          <w:rFonts w:ascii="Times New Roman" w:hAnsi="Times New Roman" w:cs="Times New Roman"/>
          <w:sz w:val="28"/>
          <w:szCs w:val="28"/>
        </w:rPr>
        <w:t xml:space="preserve"> в возрасте до восемнадцати лет, </w:t>
      </w:r>
      <w:r w:rsidRPr="00286405">
        <w:rPr>
          <w:rFonts w:ascii="Times New Roman" w:hAnsi="Times New Roman" w:cs="Times New Roman"/>
          <w:sz w:val="28"/>
          <w:szCs w:val="28"/>
        </w:rPr>
        <w:t>что составило 0,0092% от общего количества выявленных нарушений (в 2021 г</w:t>
      </w:r>
      <w:r w:rsidR="008A33E5">
        <w:rPr>
          <w:rFonts w:ascii="Times New Roman" w:hAnsi="Times New Roman" w:cs="Times New Roman"/>
          <w:sz w:val="28"/>
          <w:szCs w:val="28"/>
        </w:rPr>
        <w:t>.</w:t>
      </w:r>
      <w:r w:rsidRPr="00286405">
        <w:rPr>
          <w:rFonts w:ascii="Times New Roman" w:hAnsi="Times New Roman" w:cs="Times New Roman"/>
          <w:sz w:val="28"/>
          <w:szCs w:val="28"/>
        </w:rPr>
        <w:t xml:space="preserve"> выявлено более 172 тыс. нарушений).</w:t>
      </w:r>
    </w:p>
    <w:p w14:paraId="326B322B" w14:textId="77777777" w:rsidR="003362CA" w:rsidRDefault="003362CA" w:rsidP="00D03A4F">
      <w:pPr>
        <w:spacing w:before="240" w:after="240"/>
        <w:ind w:firstLine="709"/>
        <w:jc w:val="center"/>
        <w:rPr>
          <w:rFonts w:ascii="Times New Roman" w:eastAsia="Times New Roman" w:hAnsi="Times New Roman" w:cs="Times New Roman"/>
          <w:b/>
          <w:sz w:val="28"/>
          <w:szCs w:val="28"/>
          <w:lang w:eastAsia="ru-RU"/>
        </w:rPr>
      </w:pPr>
    </w:p>
    <w:p w14:paraId="557073E3" w14:textId="54A41DA3" w:rsidR="00D03A4F" w:rsidRPr="00012ECF" w:rsidRDefault="00D03A4F" w:rsidP="00D03A4F">
      <w:pPr>
        <w:spacing w:before="240" w:after="240"/>
        <w:ind w:firstLine="709"/>
        <w:jc w:val="center"/>
        <w:rPr>
          <w:rFonts w:ascii="Times New Roman" w:eastAsia="Times New Roman" w:hAnsi="Times New Roman" w:cs="Times New Roman"/>
          <w:b/>
          <w:sz w:val="28"/>
          <w:szCs w:val="28"/>
          <w:lang w:eastAsia="ru-RU"/>
        </w:rPr>
      </w:pPr>
      <w:r w:rsidRPr="00012ECF">
        <w:rPr>
          <w:rFonts w:ascii="Times New Roman" w:eastAsia="Times New Roman" w:hAnsi="Times New Roman" w:cs="Times New Roman"/>
          <w:b/>
          <w:sz w:val="28"/>
          <w:szCs w:val="28"/>
          <w:lang w:eastAsia="ru-RU"/>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14:paraId="561AA441" w14:textId="77777777" w:rsidR="005D2D17" w:rsidRPr="000171B8" w:rsidRDefault="005D2D17" w:rsidP="000F3A6B">
      <w:pPr>
        <w:autoSpaceDE w:val="0"/>
        <w:autoSpaceDN w:val="0"/>
        <w:adjustRightInd w:val="0"/>
        <w:spacing w:after="0" w:line="312" w:lineRule="auto"/>
        <w:ind w:firstLine="709"/>
        <w:jc w:val="both"/>
        <w:rPr>
          <w:rFonts w:ascii="Times New Roman" w:hAnsi="Times New Roman" w:cs="Times New Roman"/>
          <w:sz w:val="28"/>
          <w:szCs w:val="28"/>
        </w:rPr>
      </w:pPr>
      <w:r w:rsidRPr="000171B8">
        <w:rPr>
          <w:rFonts w:ascii="Times New Roman" w:hAnsi="Times New Roman" w:cs="Times New Roman"/>
          <w:sz w:val="28"/>
          <w:szCs w:val="28"/>
        </w:rPr>
        <w:t>В 2021 г</w:t>
      </w:r>
      <w:r w:rsidR="008A33E5">
        <w:rPr>
          <w:rFonts w:ascii="Times New Roman" w:hAnsi="Times New Roman" w:cs="Times New Roman"/>
          <w:sz w:val="28"/>
          <w:szCs w:val="28"/>
        </w:rPr>
        <w:t>.</w:t>
      </w:r>
      <w:r w:rsidRPr="000171B8">
        <w:rPr>
          <w:rFonts w:ascii="Times New Roman" w:hAnsi="Times New Roman" w:cs="Times New Roman"/>
          <w:sz w:val="28"/>
          <w:szCs w:val="28"/>
        </w:rPr>
        <w:t xml:space="preserve"> в органы службы занятости населения субъектов Российской</w:t>
      </w:r>
      <w:r w:rsidR="00286405" w:rsidRPr="000171B8">
        <w:rPr>
          <w:rFonts w:ascii="Times New Roman" w:hAnsi="Times New Roman" w:cs="Times New Roman"/>
          <w:sz w:val="28"/>
          <w:szCs w:val="28"/>
        </w:rPr>
        <w:t xml:space="preserve"> </w:t>
      </w:r>
      <w:r w:rsidRPr="000171B8">
        <w:rPr>
          <w:rFonts w:ascii="Times New Roman" w:hAnsi="Times New Roman" w:cs="Times New Roman"/>
          <w:sz w:val="28"/>
          <w:szCs w:val="28"/>
        </w:rPr>
        <w:t>Федерации поступило 4,7 млн заявлений о содейст</w:t>
      </w:r>
      <w:r w:rsidR="000F3A6B">
        <w:rPr>
          <w:rFonts w:ascii="Times New Roman" w:hAnsi="Times New Roman" w:cs="Times New Roman"/>
          <w:sz w:val="28"/>
          <w:szCs w:val="28"/>
        </w:rPr>
        <w:t xml:space="preserve">вии в поиске подходящей работы, </w:t>
      </w:r>
      <w:r w:rsidRPr="000171B8">
        <w:rPr>
          <w:rFonts w:ascii="Times New Roman" w:hAnsi="Times New Roman" w:cs="Times New Roman"/>
          <w:sz w:val="28"/>
          <w:szCs w:val="28"/>
        </w:rPr>
        <w:t>в том числе 558,6 тыс. заявлений от несовершеннолетних граждан в возрасте 14 до 18</w:t>
      </w:r>
      <w:r w:rsidR="000F3A6B">
        <w:rPr>
          <w:rFonts w:ascii="Times New Roman" w:hAnsi="Times New Roman" w:cs="Times New Roman"/>
          <w:sz w:val="28"/>
          <w:szCs w:val="28"/>
        </w:rPr>
        <w:t xml:space="preserve"> </w:t>
      </w:r>
      <w:r w:rsidR="00E23905">
        <w:rPr>
          <w:rFonts w:ascii="Times New Roman" w:hAnsi="Times New Roman" w:cs="Times New Roman"/>
          <w:sz w:val="28"/>
          <w:szCs w:val="28"/>
        </w:rPr>
        <w:t>лет (12</w:t>
      </w:r>
      <w:r w:rsidRPr="000171B8">
        <w:rPr>
          <w:rFonts w:ascii="Times New Roman" w:hAnsi="Times New Roman" w:cs="Times New Roman"/>
          <w:sz w:val="28"/>
          <w:szCs w:val="28"/>
        </w:rPr>
        <w:t>% от общего количества заявлений), из них 366,4 тыс. заявлений о временном</w:t>
      </w:r>
      <w:r w:rsidR="000F3A6B">
        <w:rPr>
          <w:rFonts w:ascii="Times New Roman" w:hAnsi="Times New Roman" w:cs="Times New Roman"/>
          <w:sz w:val="28"/>
          <w:szCs w:val="28"/>
        </w:rPr>
        <w:t xml:space="preserve"> </w:t>
      </w:r>
      <w:r w:rsidRPr="000171B8">
        <w:rPr>
          <w:rFonts w:ascii="Times New Roman" w:hAnsi="Times New Roman" w:cs="Times New Roman"/>
          <w:sz w:val="28"/>
          <w:szCs w:val="28"/>
        </w:rPr>
        <w:t>трудоустройстве в свободное от уч</w:t>
      </w:r>
      <w:r w:rsidR="00E23905">
        <w:rPr>
          <w:rFonts w:ascii="Times New Roman" w:hAnsi="Times New Roman" w:cs="Times New Roman"/>
          <w:sz w:val="28"/>
          <w:szCs w:val="28"/>
        </w:rPr>
        <w:t>е</w:t>
      </w:r>
      <w:r w:rsidRPr="000171B8">
        <w:rPr>
          <w:rFonts w:ascii="Times New Roman" w:hAnsi="Times New Roman" w:cs="Times New Roman"/>
          <w:sz w:val="28"/>
          <w:szCs w:val="28"/>
        </w:rPr>
        <w:t>бы время</w:t>
      </w:r>
      <w:r w:rsidR="000F3A6B">
        <w:rPr>
          <w:rFonts w:ascii="Times New Roman" w:hAnsi="Times New Roman" w:cs="Times New Roman"/>
          <w:sz w:val="28"/>
          <w:szCs w:val="28"/>
        </w:rPr>
        <w:t xml:space="preserve">. При содействии органов службы </w:t>
      </w:r>
      <w:r w:rsidRPr="000171B8">
        <w:rPr>
          <w:rFonts w:ascii="Times New Roman" w:hAnsi="Times New Roman" w:cs="Times New Roman"/>
          <w:sz w:val="28"/>
          <w:szCs w:val="28"/>
        </w:rPr>
        <w:t>занятости было заключено 518,4 тыс.</w:t>
      </w:r>
      <w:r w:rsidR="000F3A6B">
        <w:rPr>
          <w:rFonts w:ascii="Times New Roman" w:hAnsi="Times New Roman" w:cs="Times New Roman"/>
          <w:sz w:val="28"/>
          <w:szCs w:val="28"/>
        </w:rPr>
        <w:t xml:space="preserve"> трудовых договоров о временном </w:t>
      </w:r>
      <w:r w:rsidRPr="000171B8">
        <w:rPr>
          <w:rFonts w:ascii="Times New Roman" w:hAnsi="Times New Roman" w:cs="Times New Roman"/>
          <w:sz w:val="28"/>
          <w:szCs w:val="28"/>
        </w:rPr>
        <w:t>трудоустройстве несовершеннолетних в возрасте 14-17 лет (2020 г. – 246,5 тыс.</w:t>
      </w:r>
      <w:r w:rsidR="000F3A6B">
        <w:rPr>
          <w:rFonts w:ascii="Times New Roman" w:hAnsi="Times New Roman" w:cs="Times New Roman"/>
          <w:sz w:val="28"/>
          <w:szCs w:val="28"/>
        </w:rPr>
        <w:t xml:space="preserve"> </w:t>
      </w:r>
      <w:r w:rsidRPr="000171B8">
        <w:rPr>
          <w:rFonts w:ascii="Times New Roman" w:hAnsi="Times New Roman" w:cs="Times New Roman"/>
          <w:sz w:val="28"/>
          <w:szCs w:val="28"/>
        </w:rPr>
        <w:t>человек и 349,5 тыс. человек, соответственно).</w:t>
      </w:r>
    </w:p>
    <w:p w14:paraId="571C34D1" w14:textId="77777777" w:rsidR="005D2D17" w:rsidRPr="000171B8" w:rsidRDefault="005D2D17" w:rsidP="000F3A6B">
      <w:pPr>
        <w:autoSpaceDE w:val="0"/>
        <w:autoSpaceDN w:val="0"/>
        <w:adjustRightInd w:val="0"/>
        <w:spacing w:after="0" w:line="312" w:lineRule="auto"/>
        <w:ind w:firstLine="709"/>
        <w:jc w:val="both"/>
        <w:rPr>
          <w:rFonts w:ascii="Times New Roman" w:hAnsi="Times New Roman" w:cs="Times New Roman"/>
          <w:sz w:val="28"/>
          <w:szCs w:val="28"/>
        </w:rPr>
      </w:pPr>
      <w:r w:rsidRPr="000171B8">
        <w:rPr>
          <w:rFonts w:ascii="Times New Roman" w:hAnsi="Times New Roman" w:cs="Times New Roman"/>
          <w:sz w:val="28"/>
          <w:szCs w:val="28"/>
        </w:rPr>
        <w:t>Решением органов службы занятости</w:t>
      </w:r>
      <w:r w:rsidR="000F3A6B">
        <w:rPr>
          <w:rFonts w:ascii="Times New Roman" w:hAnsi="Times New Roman" w:cs="Times New Roman"/>
          <w:sz w:val="28"/>
          <w:szCs w:val="28"/>
        </w:rPr>
        <w:t xml:space="preserve"> субъектов Российской Федерации </w:t>
      </w:r>
      <w:r w:rsidRPr="000171B8">
        <w:rPr>
          <w:rFonts w:ascii="Times New Roman" w:hAnsi="Times New Roman" w:cs="Times New Roman"/>
          <w:sz w:val="28"/>
          <w:szCs w:val="28"/>
        </w:rPr>
        <w:t>безработными в 2021 г</w:t>
      </w:r>
      <w:r w:rsidR="008A33E5">
        <w:rPr>
          <w:rFonts w:ascii="Times New Roman" w:hAnsi="Times New Roman" w:cs="Times New Roman"/>
          <w:sz w:val="28"/>
          <w:szCs w:val="28"/>
        </w:rPr>
        <w:t>.</w:t>
      </w:r>
      <w:r w:rsidRPr="000171B8">
        <w:rPr>
          <w:rFonts w:ascii="Times New Roman" w:hAnsi="Times New Roman" w:cs="Times New Roman"/>
          <w:sz w:val="28"/>
          <w:szCs w:val="28"/>
        </w:rPr>
        <w:t xml:space="preserve"> признано 2,</w:t>
      </w:r>
      <w:r w:rsidR="000F3A6B">
        <w:rPr>
          <w:rFonts w:ascii="Times New Roman" w:hAnsi="Times New Roman" w:cs="Times New Roman"/>
          <w:sz w:val="28"/>
          <w:szCs w:val="28"/>
        </w:rPr>
        <w:t xml:space="preserve">3 млн человек, из них 10,8 тыс. </w:t>
      </w:r>
      <w:r w:rsidRPr="000171B8">
        <w:rPr>
          <w:rFonts w:ascii="Times New Roman" w:hAnsi="Times New Roman" w:cs="Times New Roman"/>
          <w:sz w:val="28"/>
          <w:szCs w:val="28"/>
        </w:rPr>
        <w:t>несовершеннолетни</w:t>
      </w:r>
      <w:r w:rsidR="00E23905">
        <w:rPr>
          <w:rFonts w:ascii="Times New Roman" w:hAnsi="Times New Roman" w:cs="Times New Roman"/>
          <w:sz w:val="28"/>
          <w:szCs w:val="28"/>
        </w:rPr>
        <w:t>х</w:t>
      </w:r>
      <w:r w:rsidRPr="000171B8">
        <w:rPr>
          <w:rFonts w:ascii="Times New Roman" w:hAnsi="Times New Roman" w:cs="Times New Roman"/>
          <w:sz w:val="28"/>
          <w:szCs w:val="28"/>
        </w:rPr>
        <w:t xml:space="preserve"> в возрасте 16-17 лет, что составляет 0,5% от общей численности</w:t>
      </w:r>
      <w:r w:rsidR="000F3A6B">
        <w:rPr>
          <w:rFonts w:ascii="Times New Roman" w:hAnsi="Times New Roman" w:cs="Times New Roman"/>
          <w:sz w:val="28"/>
          <w:szCs w:val="28"/>
        </w:rPr>
        <w:t xml:space="preserve"> </w:t>
      </w:r>
      <w:r w:rsidRPr="000171B8">
        <w:rPr>
          <w:rFonts w:ascii="Times New Roman" w:hAnsi="Times New Roman" w:cs="Times New Roman"/>
          <w:sz w:val="28"/>
          <w:szCs w:val="28"/>
        </w:rPr>
        <w:t xml:space="preserve">признанных безработными (2020 г. – 0,5% </w:t>
      </w:r>
      <w:r w:rsidR="000F3A6B">
        <w:rPr>
          <w:rFonts w:ascii="Times New Roman" w:hAnsi="Times New Roman" w:cs="Times New Roman"/>
          <w:sz w:val="28"/>
          <w:szCs w:val="28"/>
        </w:rPr>
        <w:t xml:space="preserve">от общей численности признанных </w:t>
      </w:r>
      <w:r w:rsidRPr="000171B8">
        <w:rPr>
          <w:rFonts w:ascii="Times New Roman" w:hAnsi="Times New Roman" w:cs="Times New Roman"/>
          <w:sz w:val="28"/>
          <w:szCs w:val="28"/>
        </w:rPr>
        <w:t>безработными).</w:t>
      </w:r>
    </w:p>
    <w:p w14:paraId="702322A5" w14:textId="77777777" w:rsidR="00AE38A5" w:rsidRPr="00DC3099" w:rsidRDefault="00AE38A5" w:rsidP="00DC3099">
      <w:pPr>
        <w:widowControl w:val="0"/>
        <w:pBdr>
          <w:bottom w:val="single" w:sz="4" w:space="31" w:color="FFFFFF"/>
        </w:pBdr>
        <w:tabs>
          <w:tab w:val="left" w:pos="9540"/>
        </w:tabs>
        <w:suppressAutoHyphens/>
        <w:spacing w:after="0" w:line="312" w:lineRule="auto"/>
        <w:ind w:firstLine="709"/>
        <w:jc w:val="both"/>
        <w:rPr>
          <w:rFonts w:ascii="Times New Roman" w:eastAsia="Times New Roman" w:hAnsi="Times New Roman" w:cs="Times New Roman"/>
          <w:color w:val="000000"/>
          <w:sz w:val="28"/>
          <w:szCs w:val="28"/>
          <w:lang w:eastAsia="ru-RU"/>
        </w:rPr>
      </w:pPr>
      <w:r w:rsidRPr="000171B8">
        <w:rPr>
          <w:rFonts w:ascii="Times New Roman" w:eastAsia="Times New Roman" w:hAnsi="Times New Roman" w:cs="Times New Roman"/>
          <w:color w:val="000000"/>
          <w:sz w:val="28"/>
          <w:szCs w:val="28"/>
          <w:lang w:eastAsia="ru-RU"/>
        </w:rPr>
        <w:t xml:space="preserve">Одной из наиболее эффективных форм профилактики противоправного поседения несовершеннолетних, социализации подростков, вступивших в конфликт с законом, является формирование у них мотивации на законопослушное поведение путем включения в социально-полезные формы занятости. </w:t>
      </w:r>
      <w:r w:rsidRPr="000171B8">
        <w:rPr>
          <w:rFonts w:ascii="Times New Roman" w:hAnsi="Times New Roman" w:cs="Times New Roman"/>
          <w:color w:val="000000"/>
          <w:sz w:val="28"/>
          <w:szCs w:val="28"/>
          <w:lang w:bidi="ru-RU"/>
        </w:rPr>
        <w:t>Территориальными органами МВД России на региональном и районом уровнях в пределах компетенции принимаются необходимые меры по оказанию содействия занятости подростков, состо</w:t>
      </w:r>
      <w:r w:rsidR="00E23905">
        <w:rPr>
          <w:rFonts w:ascii="Times New Roman" w:hAnsi="Times New Roman" w:cs="Times New Roman"/>
          <w:color w:val="000000"/>
          <w:sz w:val="28"/>
          <w:szCs w:val="28"/>
          <w:lang w:bidi="ru-RU"/>
        </w:rPr>
        <w:t xml:space="preserve">ящих на профилактическом учете </w:t>
      </w:r>
      <w:r w:rsidRPr="000171B8">
        <w:rPr>
          <w:rFonts w:ascii="Times New Roman" w:hAnsi="Times New Roman" w:cs="Times New Roman"/>
          <w:color w:val="000000"/>
          <w:sz w:val="28"/>
          <w:szCs w:val="28"/>
          <w:lang w:bidi="ru-RU"/>
        </w:rPr>
        <w:t>в органах внутренних дел.</w:t>
      </w:r>
    </w:p>
    <w:p w14:paraId="0EF5034A" w14:textId="77777777" w:rsidR="00BF4318" w:rsidRPr="00DC3099" w:rsidRDefault="00AE38A5" w:rsidP="00BF4318">
      <w:pPr>
        <w:widowControl w:val="0"/>
        <w:pBdr>
          <w:bottom w:val="single" w:sz="4" w:space="31" w:color="FFFFFF"/>
        </w:pBdr>
        <w:tabs>
          <w:tab w:val="left" w:pos="9540"/>
        </w:tabs>
        <w:suppressAutoHyphens/>
        <w:spacing w:after="0" w:line="312" w:lineRule="auto"/>
        <w:ind w:firstLine="709"/>
        <w:jc w:val="both"/>
        <w:rPr>
          <w:rFonts w:ascii="Times New Roman" w:hAnsi="Times New Roman" w:cs="Times New Roman"/>
          <w:color w:val="000000"/>
          <w:sz w:val="28"/>
          <w:szCs w:val="28"/>
          <w:lang w:bidi="ru-RU"/>
        </w:rPr>
      </w:pPr>
      <w:r w:rsidRPr="000171B8">
        <w:rPr>
          <w:rFonts w:ascii="Times New Roman" w:hAnsi="Times New Roman" w:cs="Times New Roman"/>
          <w:color w:val="000000"/>
          <w:sz w:val="28"/>
          <w:szCs w:val="28"/>
          <w:lang w:bidi="ru-RU"/>
        </w:rPr>
        <w:t>Индивидуальная профилактическая работа с несовершеннолетними указанной категории организована с учетом особенностей их ли</w:t>
      </w:r>
      <w:r w:rsidR="00E23905">
        <w:rPr>
          <w:rFonts w:ascii="Times New Roman" w:hAnsi="Times New Roman" w:cs="Times New Roman"/>
          <w:color w:val="000000"/>
          <w:sz w:val="28"/>
          <w:szCs w:val="28"/>
          <w:lang w:bidi="ru-RU"/>
        </w:rPr>
        <w:t xml:space="preserve">чности </w:t>
      </w:r>
      <w:r w:rsidRPr="000171B8">
        <w:rPr>
          <w:rFonts w:ascii="Times New Roman" w:hAnsi="Times New Roman" w:cs="Times New Roman"/>
          <w:color w:val="000000"/>
          <w:sz w:val="28"/>
          <w:szCs w:val="28"/>
          <w:lang w:bidi="ru-RU"/>
        </w:rPr>
        <w:t>и окружения, характера совершенных правонарушений</w:t>
      </w:r>
      <w:r w:rsidR="00E23905">
        <w:rPr>
          <w:rFonts w:ascii="Times New Roman" w:hAnsi="Times New Roman" w:cs="Times New Roman"/>
          <w:color w:val="000000"/>
          <w:sz w:val="28"/>
          <w:szCs w:val="28"/>
          <w:lang w:bidi="ru-RU"/>
        </w:rPr>
        <w:t xml:space="preserve">, условий семейного воспитания. </w:t>
      </w:r>
      <w:r w:rsidRPr="000171B8">
        <w:rPr>
          <w:rFonts w:ascii="Times New Roman" w:hAnsi="Times New Roman" w:cs="Times New Roman"/>
          <w:color w:val="000000"/>
          <w:sz w:val="28"/>
          <w:szCs w:val="28"/>
          <w:lang w:bidi="ru-RU"/>
        </w:rPr>
        <w:t>В ходе ее проведения выясняются образ жизни, связи и намерения подростков, выявляются и в пределах установленной компетенции должностными лицами органов внутренних дел принима</w:t>
      </w:r>
      <w:r w:rsidR="00E23905">
        <w:rPr>
          <w:rFonts w:ascii="Times New Roman" w:hAnsi="Times New Roman" w:cs="Times New Roman"/>
          <w:color w:val="000000"/>
          <w:sz w:val="28"/>
          <w:szCs w:val="28"/>
          <w:lang w:bidi="ru-RU"/>
        </w:rPr>
        <w:t xml:space="preserve">ются меры по устранению причин </w:t>
      </w:r>
      <w:r w:rsidRPr="000171B8">
        <w:rPr>
          <w:rFonts w:ascii="Times New Roman" w:hAnsi="Times New Roman" w:cs="Times New Roman"/>
          <w:color w:val="000000"/>
          <w:sz w:val="28"/>
          <w:szCs w:val="28"/>
          <w:lang w:bidi="ru-RU"/>
        </w:rPr>
        <w:t xml:space="preserve">и условий совершения ими </w:t>
      </w:r>
      <w:r w:rsidRPr="00DC3099">
        <w:rPr>
          <w:rFonts w:ascii="Times New Roman" w:hAnsi="Times New Roman" w:cs="Times New Roman"/>
          <w:color w:val="000000"/>
          <w:sz w:val="28"/>
          <w:szCs w:val="28"/>
          <w:lang w:bidi="ru-RU"/>
        </w:rPr>
        <w:t>правонарушений.</w:t>
      </w:r>
      <w:r w:rsidR="00BF4318" w:rsidRPr="00DC3099">
        <w:rPr>
          <w:rFonts w:ascii="Times New Roman" w:hAnsi="Times New Roman" w:cs="Times New Roman"/>
          <w:color w:val="000000"/>
          <w:sz w:val="28"/>
          <w:szCs w:val="28"/>
          <w:lang w:bidi="ru-RU"/>
        </w:rPr>
        <w:t xml:space="preserve"> </w:t>
      </w:r>
      <w:r w:rsidRPr="00DC3099">
        <w:rPr>
          <w:rFonts w:ascii="Times New Roman" w:hAnsi="Times New Roman" w:cs="Times New Roman"/>
          <w:color w:val="000000"/>
          <w:sz w:val="28"/>
          <w:szCs w:val="28"/>
          <w:lang w:bidi="ru-RU"/>
        </w:rPr>
        <w:t xml:space="preserve">Во взаимодействии с органами и учреждениями системы профилактики безнадзорности и правонарушений несовершеннолетних решаются вопросы </w:t>
      </w:r>
      <w:r w:rsidR="00773984" w:rsidRPr="00DC3099">
        <w:rPr>
          <w:rFonts w:ascii="Times New Roman" w:hAnsi="Times New Roman" w:cs="Times New Roman"/>
          <w:color w:val="000000"/>
          <w:sz w:val="28"/>
          <w:szCs w:val="28"/>
          <w:lang w:bidi="ru-RU"/>
        </w:rPr>
        <w:t>о</w:t>
      </w:r>
      <w:r w:rsidRPr="00DC3099">
        <w:rPr>
          <w:rFonts w:ascii="Times New Roman" w:hAnsi="Times New Roman" w:cs="Times New Roman"/>
          <w:color w:val="000000"/>
          <w:sz w:val="28"/>
          <w:szCs w:val="28"/>
          <w:lang w:bidi="ru-RU"/>
        </w:rPr>
        <w:t>рганизации профессионального обучения и трудоустройства несовершеннолетних.</w:t>
      </w:r>
    </w:p>
    <w:p w14:paraId="688BDE5C" w14:textId="77777777" w:rsidR="00AE38A5" w:rsidRPr="00DC3099" w:rsidRDefault="00AE38A5" w:rsidP="00BF4318">
      <w:pPr>
        <w:widowControl w:val="0"/>
        <w:pBdr>
          <w:bottom w:val="single" w:sz="4" w:space="31" w:color="FFFFFF"/>
        </w:pBdr>
        <w:tabs>
          <w:tab w:val="left" w:pos="9540"/>
        </w:tabs>
        <w:suppressAutoHyphens/>
        <w:spacing w:after="0" w:line="312" w:lineRule="auto"/>
        <w:ind w:firstLine="709"/>
        <w:jc w:val="both"/>
        <w:rPr>
          <w:rFonts w:ascii="Times New Roman" w:hAnsi="Times New Roman" w:cs="Times New Roman"/>
          <w:color w:val="000000"/>
          <w:sz w:val="28"/>
          <w:szCs w:val="28"/>
          <w:lang w:bidi="ru-RU"/>
        </w:rPr>
      </w:pPr>
      <w:r w:rsidRPr="00DC3099">
        <w:rPr>
          <w:rFonts w:ascii="Times New Roman" w:hAnsi="Times New Roman" w:cs="Times New Roman"/>
          <w:color w:val="000000"/>
          <w:sz w:val="28"/>
          <w:szCs w:val="28"/>
          <w:lang w:bidi="ru-RU"/>
        </w:rPr>
        <w:t>Особое внимание уделяется подросткам, осужденным к мерам наказания, не связанным с лишением свободы, а также освободившимся из воспитательных колоний после отбывания наказания.</w:t>
      </w:r>
    </w:p>
    <w:p w14:paraId="58DE5D44" w14:textId="119A5020" w:rsidR="00AE38A5" w:rsidRPr="000171B8" w:rsidRDefault="00AE38A5" w:rsidP="00AE38A5">
      <w:pPr>
        <w:widowControl w:val="0"/>
        <w:pBdr>
          <w:bottom w:val="single" w:sz="4" w:space="31" w:color="FFFFFF"/>
        </w:pBdr>
        <w:tabs>
          <w:tab w:val="left" w:pos="9540"/>
        </w:tabs>
        <w:suppressAutoHyphens/>
        <w:spacing w:after="0" w:line="312" w:lineRule="auto"/>
        <w:ind w:firstLine="709"/>
        <w:jc w:val="both"/>
        <w:rPr>
          <w:rFonts w:ascii="Times New Roman" w:hAnsi="Times New Roman" w:cs="Times New Roman"/>
          <w:color w:val="000000"/>
          <w:sz w:val="28"/>
          <w:szCs w:val="28"/>
          <w:lang w:bidi="ru-RU"/>
        </w:rPr>
      </w:pPr>
      <w:r w:rsidRPr="000171B8">
        <w:rPr>
          <w:rFonts w:ascii="Times New Roman" w:hAnsi="Times New Roman" w:cs="Times New Roman"/>
          <w:color w:val="000000"/>
          <w:sz w:val="28"/>
          <w:szCs w:val="28"/>
          <w:lang w:bidi="ru-RU"/>
        </w:rPr>
        <w:t xml:space="preserve">В соответствии с требованиями Федерального закона от 24 июня 1999 г. </w:t>
      </w:r>
      <w:r w:rsidR="003A3715">
        <w:rPr>
          <w:rFonts w:ascii="Times New Roman" w:hAnsi="Times New Roman" w:cs="Times New Roman"/>
          <w:color w:val="000000"/>
          <w:sz w:val="28"/>
          <w:szCs w:val="28"/>
          <w:lang w:bidi="ru-RU"/>
        </w:rPr>
        <w:br/>
      </w:r>
      <w:r w:rsidRPr="000171B8">
        <w:rPr>
          <w:rFonts w:ascii="Times New Roman" w:hAnsi="Times New Roman" w:cs="Times New Roman"/>
          <w:color w:val="000000"/>
          <w:sz w:val="28"/>
          <w:szCs w:val="28"/>
          <w:lang w:bidi="ru-RU"/>
        </w:rPr>
        <w:t>№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w:t>
      </w:r>
      <w:r w:rsidR="00E23905">
        <w:rPr>
          <w:rFonts w:ascii="Times New Roman" w:hAnsi="Times New Roman" w:cs="Times New Roman"/>
          <w:color w:val="000000"/>
          <w:sz w:val="28"/>
          <w:szCs w:val="28"/>
          <w:lang w:bidi="ru-RU"/>
        </w:rPr>
        <w:t xml:space="preserve">ября 2013 г. № 845, информация </w:t>
      </w:r>
      <w:r w:rsidRPr="000171B8">
        <w:rPr>
          <w:rFonts w:ascii="Times New Roman" w:hAnsi="Times New Roman" w:cs="Times New Roman"/>
          <w:color w:val="000000"/>
          <w:sz w:val="28"/>
          <w:szCs w:val="28"/>
          <w:lang w:bidi="ru-RU"/>
        </w:rPr>
        <w:t>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14:paraId="65ACDE7B" w14:textId="77777777" w:rsidR="00AE38A5" w:rsidRPr="000171B8" w:rsidRDefault="00AE38A5" w:rsidP="00AE38A5">
      <w:pPr>
        <w:widowControl w:val="0"/>
        <w:pBdr>
          <w:bottom w:val="single" w:sz="4" w:space="31" w:color="FFFFFF"/>
        </w:pBdr>
        <w:tabs>
          <w:tab w:val="left" w:pos="9540"/>
        </w:tabs>
        <w:suppressAutoHyphens/>
        <w:spacing w:after="0" w:line="312" w:lineRule="auto"/>
        <w:ind w:firstLine="709"/>
        <w:jc w:val="both"/>
        <w:rPr>
          <w:rFonts w:ascii="Times New Roman" w:hAnsi="Times New Roman" w:cs="Times New Roman"/>
          <w:color w:val="000000"/>
          <w:sz w:val="28"/>
          <w:szCs w:val="28"/>
          <w:lang w:bidi="ru-RU"/>
        </w:rPr>
      </w:pPr>
      <w:r w:rsidRPr="000171B8">
        <w:rPr>
          <w:rFonts w:ascii="Times New Roman" w:hAnsi="Times New Roman" w:cs="Times New Roman"/>
          <w:color w:val="000000"/>
          <w:sz w:val="28"/>
          <w:szCs w:val="28"/>
          <w:lang w:bidi="ru-RU"/>
        </w:rPr>
        <w:t xml:space="preserve">Мероприятия по трудоустройству несовершеннолетних граждан в возрасте </w:t>
      </w:r>
      <w:r w:rsidR="00B70258">
        <w:rPr>
          <w:rFonts w:ascii="Times New Roman" w:hAnsi="Times New Roman" w:cs="Times New Roman"/>
          <w:color w:val="000000"/>
          <w:sz w:val="28"/>
          <w:szCs w:val="28"/>
          <w:lang w:bidi="ru-RU"/>
        </w:rPr>
        <w:br/>
      </w:r>
      <w:r w:rsidRPr="000171B8">
        <w:rPr>
          <w:rFonts w:ascii="Times New Roman" w:hAnsi="Times New Roman" w:cs="Times New Roman"/>
          <w:color w:val="000000"/>
          <w:sz w:val="28"/>
          <w:szCs w:val="28"/>
          <w:lang w:bidi="ru-RU"/>
        </w:rPr>
        <w:t xml:space="preserve">от 14 до 18 лет, в том числе состоящих на профилактическом учете в органах внутренних дел, реализуются в рамках региональных программ, например, </w:t>
      </w:r>
      <w:r w:rsidRPr="000171B8">
        <w:rPr>
          <w:rFonts w:ascii="Times New Roman" w:hAnsi="Times New Roman" w:cs="Times New Roman"/>
          <w:sz w:val="28"/>
          <w:szCs w:val="28"/>
        </w:rPr>
        <w:t xml:space="preserve">«Регулирование рынка труда и содействие занятости населения в Республике Башкортостан», «Содействие занятости населения Камчатского края», </w:t>
      </w:r>
      <w:r w:rsidRPr="000171B8">
        <w:rPr>
          <w:rFonts w:ascii="Times New Roman" w:hAnsi="Times New Roman" w:cs="Times New Roman"/>
          <w:color w:val="000000"/>
          <w:sz w:val="28"/>
          <w:szCs w:val="28"/>
          <w:lang w:bidi="ru-RU"/>
        </w:rPr>
        <w:t>«Развитие рынка труда и содействие занятости населения Хабаровского края», «Развитие рынка труда в Калужской области», «</w:t>
      </w:r>
      <w:r w:rsidR="00E23905">
        <w:rPr>
          <w:rFonts w:ascii="Times New Roman" w:hAnsi="Times New Roman" w:cs="Times New Roman"/>
          <w:color w:val="000000"/>
          <w:sz w:val="28"/>
          <w:szCs w:val="28"/>
          <w:lang w:bidi="ru-RU"/>
        </w:rPr>
        <w:t xml:space="preserve">Содействие занятости населения </w:t>
      </w:r>
      <w:r w:rsidRPr="000171B8">
        <w:rPr>
          <w:rFonts w:ascii="Times New Roman" w:hAnsi="Times New Roman" w:cs="Times New Roman"/>
          <w:color w:val="000000"/>
          <w:sz w:val="28"/>
          <w:szCs w:val="28"/>
          <w:lang w:bidi="ru-RU"/>
        </w:rPr>
        <w:t>Санкт-Петербурга», «Социальная защита, охрана труда и содействие занятости населения в г. Севастополе на 2017</w:t>
      </w:r>
      <w:r w:rsidR="001862B6">
        <w:rPr>
          <w:rFonts w:ascii="Times New Roman" w:hAnsi="Times New Roman" w:cs="Times New Roman"/>
          <w:color w:val="000000"/>
          <w:sz w:val="28"/>
          <w:szCs w:val="28"/>
          <w:lang w:bidi="ru-RU"/>
        </w:rPr>
        <w:t>-</w:t>
      </w:r>
      <w:r w:rsidRPr="000171B8">
        <w:rPr>
          <w:rFonts w:ascii="Times New Roman" w:hAnsi="Times New Roman" w:cs="Times New Roman"/>
          <w:color w:val="000000"/>
          <w:sz w:val="28"/>
          <w:szCs w:val="28"/>
          <w:lang w:bidi="ru-RU"/>
        </w:rPr>
        <w:t>2022 годы».</w:t>
      </w:r>
    </w:p>
    <w:p w14:paraId="33DFFA4A" w14:textId="77777777" w:rsidR="00AE38A5" w:rsidRPr="000171B8" w:rsidRDefault="00AE38A5" w:rsidP="00AE38A5">
      <w:pPr>
        <w:widowControl w:val="0"/>
        <w:pBdr>
          <w:bottom w:val="single" w:sz="4" w:space="31" w:color="FFFFFF"/>
        </w:pBdr>
        <w:tabs>
          <w:tab w:val="left" w:pos="9540"/>
        </w:tabs>
        <w:suppressAutoHyphens/>
        <w:spacing w:after="0" w:line="312" w:lineRule="auto"/>
        <w:ind w:firstLine="709"/>
        <w:jc w:val="both"/>
        <w:rPr>
          <w:rFonts w:ascii="Times New Roman" w:eastAsia="Calibri" w:hAnsi="Times New Roman" w:cs="Times New Roman"/>
          <w:bCs/>
          <w:sz w:val="28"/>
          <w:szCs w:val="28"/>
        </w:rPr>
      </w:pPr>
      <w:r w:rsidRPr="000171B8">
        <w:rPr>
          <w:rFonts w:ascii="Times New Roman" w:eastAsia="Times New Roman" w:hAnsi="Times New Roman" w:cs="Times New Roman"/>
          <w:color w:val="000000"/>
          <w:sz w:val="28"/>
          <w:szCs w:val="28"/>
          <w:lang w:eastAsia="ru-RU"/>
        </w:rPr>
        <w:t xml:space="preserve">Так, </w:t>
      </w:r>
      <w:r w:rsidRPr="000171B8">
        <w:rPr>
          <w:rFonts w:ascii="Times New Roman" w:eastAsia="Times New Roman" w:hAnsi="Times New Roman" w:cs="Times New Roman"/>
          <w:sz w:val="28"/>
          <w:szCs w:val="28"/>
        </w:rPr>
        <w:t>в Камчатском крае в рамках государственной программы в 2021 г</w:t>
      </w:r>
      <w:r w:rsidR="001862B6">
        <w:rPr>
          <w:rFonts w:ascii="Times New Roman" w:eastAsia="Times New Roman" w:hAnsi="Times New Roman" w:cs="Times New Roman"/>
          <w:sz w:val="28"/>
          <w:szCs w:val="28"/>
        </w:rPr>
        <w:t>.</w:t>
      </w:r>
      <w:r w:rsidRPr="000171B8">
        <w:rPr>
          <w:rFonts w:ascii="Times New Roman" w:eastAsia="Times New Roman" w:hAnsi="Times New Roman" w:cs="Times New Roman"/>
          <w:sz w:val="28"/>
          <w:szCs w:val="28"/>
        </w:rPr>
        <w:t xml:space="preserve"> организовано временное трудоустройство 2 764 несовершеннолетних граждан, в том числе 16 детей, состоящих на учете в органах внутренних дел. </w:t>
      </w:r>
      <w:r w:rsidRPr="000171B8">
        <w:rPr>
          <w:rFonts w:ascii="Times New Roman" w:eastAsia="Calibri" w:hAnsi="Times New Roman" w:cs="Times New Roman"/>
          <w:bCs/>
          <w:sz w:val="28"/>
          <w:szCs w:val="28"/>
        </w:rPr>
        <w:t>Подростки были заняты в деятельности по благоустройству городских территорий, работали помощниками библиотекарей, вожатых, гардеробщиками, лаборантами, садовниками, цветоводами, редакторами и инструкторами по физической культуре.</w:t>
      </w:r>
    </w:p>
    <w:p w14:paraId="3291A80C" w14:textId="77777777" w:rsidR="00AE38A5" w:rsidRPr="000171B8" w:rsidRDefault="00AE38A5" w:rsidP="00AE38A5">
      <w:pPr>
        <w:widowControl w:val="0"/>
        <w:pBdr>
          <w:bottom w:val="single" w:sz="4" w:space="31" w:color="FFFFFF"/>
        </w:pBdr>
        <w:tabs>
          <w:tab w:val="left" w:pos="9540"/>
        </w:tabs>
        <w:suppressAutoHyphens/>
        <w:spacing w:after="0" w:line="312" w:lineRule="auto"/>
        <w:ind w:firstLine="709"/>
        <w:jc w:val="both"/>
        <w:rPr>
          <w:rFonts w:ascii="Times New Roman" w:eastAsia="Times New Roman" w:hAnsi="Times New Roman" w:cs="Times New Roman"/>
          <w:color w:val="000000"/>
          <w:sz w:val="28"/>
          <w:szCs w:val="28"/>
          <w:lang w:eastAsia="ru-RU"/>
        </w:rPr>
      </w:pPr>
      <w:r w:rsidRPr="000171B8">
        <w:rPr>
          <w:rFonts w:ascii="Times New Roman" w:eastAsia="Times New Roman" w:hAnsi="Times New Roman" w:cs="Times New Roman"/>
          <w:color w:val="000000"/>
          <w:sz w:val="28"/>
          <w:szCs w:val="28"/>
          <w:lang w:eastAsia="ru-RU"/>
        </w:rPr>
        <w:t xml:space="preserve">В г. Санкт-Петербурге в ходе реализации государственной программы создано 8 775 рабочих мест, на которые трудоустроено 545 подростков из числа состоящих на профилактическом учете и находящихся в социально опасном положении. </w:t>
      </w:r>
    </w:p>
    <w:p w14:paraId="18E8B2EC" w14:textId="77777777" w:rsidR="00AE38A5" w:rsidRPr="00E23905" w:rsidRDefault="00AE38A5" w:rsidP="00AE38A5">
      <w:pPr>
        <w:widowControl w:val="0"/>
        <w:pBdr>
          <w:bottom w:val="single" w:sz="4" w:space="31" w:color="FFFFFF"/>
        </w:pBdr>
        <w:tabs>
          <w:tab w:val="left" w:pos="9540"/>
        </w:tabs>
        <w:suppressAutoHyphens/>
        <w:spacing w:after="0" w:line="312" w:lineRule="auto"/>
        <w:ind w:firstLine="709"/>
        <w:jc w:val="both"/>
        <w:rPr>
          <w:rFonts w:ascii="Times New Roman" w:eastAsia="Times New Roman" w:hAnsi="Times New Roman" w:cs="Times New Roman"/>
          <w:color w:val="000000"/>
          <w:sz w:val="28"/>
          <w:szCs w:val="28"/>
          <w:lang w:eastAsia="ru-RU"/>
        </w:rPr>
      </w:pPr>
      <w:r w:rsidRPr="000171B8">
        <w:rPr>
          <w:rFonts w:ascii="Times New Roman" w:eastAsia="Times New Roman" w:hAnsi="Times New Roman" w:cs="Times New Roman"/>
          <w:color w:val="000000"/>
          <w:sz w:val="28"/>
          <w:szCs w:val="28"/>
          <w:lang w:eastAsia="ru-RU"/>
        </w:rPr>
        <w:t xml:space="preserve">В </w:t>
      </w:r>
      <w:r w:rsidRPr="00E23905">
        <w:rPr>
          <w:rFonts w:ascii="Times New Roman" w:eastAsia="Times New Roman" w:hAnsi="Times New Roman" w:cs="Times New Roman"/>
          <w:color w:val="000000"/>
          <w:sz w:val="28"/>
          <w:szCs w:val="28"/>
          <w:lang w:eastAsia="ru-RU"/>
        </w:rPr>
        <w:t>2021 г</w:t>
      </w:r>
      <w:r w:rsidR="001862B6">
        <w:rPr>
          <w:rFonts w:ascii="Times New Roman" w:eastAsia="Times New Roman" w:hAnsi="Times New Roman" w:cs="Times New Roman"/>
          <w:color w:val="000000"/>
          <w:sz w:val="28"/>
          <w:szCs w:val="28"/>
          <w:lang w:eastAsia="ru-RU"/>
        </w:rPr>
        <w:t>.</w:t>
      </w:r>
      <w:r w:rsidRPr="00E23905">
        <w:rPr>
          <w:rFonts w:ascii="Times New Roman" w:eastAsia="Times New Roman" w:hAnsi="Times New Roman" w:cs="Times New Roman"/>
          <w:color w:val="000000"/>
          <w:sz w:val="28"/>
          <w:szCs w:val="28"/>
          <w:lang w:eastAsia="ru-RU"/>
        </w:rPr>
        <w:t xml:space="preserve"> на территории Магаданской области в органы службы занятости обратилось 779 несовершеннолетних, из них </w:t>
      </w:r>
      <w:r w:rsidR="00E23905" w:rsidRPr="00E23905">
        <w:rPr>
          <w:rFonts w:ascii="Times New Roman" w:eastAsia="Times New Roman" w:hAnsi="Times New Roman" w:cs="Times New Roman"/>
          <w:color w:val="000000"/>
          <w:sz w:val="28"/>
          <w:szCs w:val="28"/>
          <w:lang w:eastAsia="ru-RU"/>
        </w:rPr>
        <w:t xml:space="preserve">737 </w:t>
      </w:r>
      <w:r w:rsidRPr="00E23905">
        <w:rPr>
          <w:rFonts w:ascii="Times New Roman" w:eastAsia="Times New Roman" w:hAnsi="Times New Roman" w:cs="Times New Roman"/>
          <w:color w:val="000000"/>
          <w:sz w:val="28"/>
          <w:szCs w:val="28"/>
          <w:lang w:eastAsia="ru-RU"/>
        </w:rPr>
        <w:t xml:space="preserve">трудоустроены, заключено </w:t>
      </w:r>
      <w:r w:rsidR="001862B6">
        <w:rPr>
          <w:rFonts w:ascii="Times New Roman" w:eastAsia="Times New Roman" w:hAnsi="Times New Roman" w:cs="Times New Roman"/>
          <w:color w:val="000000"/>
          <w:sz w:val="28"/>
          <w:szCs w:val="28"/>
          <w:lang w:eastAsia="ru-RU"/>
        </w:rPr>
        <w:br/>
      </w:r>
      <w:r w:rsidRPr="00E23905">
        <w:rPr>
          <w:rFonts w:ascii="Times New Roman" w:eastAsia="Times New Roman" w:hAnsi="Times New Roman" w:cs="Times New Roman"/>
          <w:color w:val="000000"/>
          <w:sz w:val="28"/>
          <w:szCs w:val="28"/>
          <w:lang w:eastAsia="ru-RU"/>
        </w:rPr>
        <w:t>124 договора на организацию временных рабочих мест для трудоустройства несовершеннолетних в свободное от учебы время, в том числе 56 – с общеобразовательными организация</w:t>
      </w:r>
      <w:r w:rsidR="00E23905" w:rsidRPr="00E23905">
        <w:rPr>
          <w:rFonts w:ascii="Times New Roman" w:eastAsia="Times New Roman" w:hAnsi="Times New Roman" w:cs="Times New Roman"/>
          <w:color w:val="000000"/>
          <w:sz w:val="28"/>
          <w:szCs w:val="28"/>
          <w:lang w:eastAsia="ru-RU"/>
        </w:rPr>
        <w:t xml:space="preserve">ми, 64 – с работодателями, 4 – </w:t>
      </w:r>
      <w:r w:rsidRPr="00E23905">
        <w:rPr>
          <w:rFonts w:ascii="Times New Roman" w:eastAsia="Times New Roman" w:hAnsi="Times New Roman" w:cs="Times New Roman"/>
          <w:color w:val="000000"/>
          <w:sz w:val="28"/>
          <w:szCs w:val="28"/>
          <w:lang w:eastAsia="ru-RU"/>
        </w:rPr>
        <w:t xml:space="preserve">с училищами, лицеями. </w:t>
      </w:r>
    </w:p>
    <w:p w14:paraId="3224C40E" w14:textId="77777777" w:rsidR="00AE38A5" w:rsidRPr="00E23905" w:rsidRDefault="00AE38A5" w:rsidP="00AE38A5">
      <w:pPr>
        <w:widowControl w:val="0"/>
        <w:pBdr>
          <w:bottom w:val="single" w:sz="4" w:space="31" w:color="FFFFFF"/>
        </w:pBdr>
        <w:tabs>
          <w:tab w:val="left" w:pos="9540"/>
        </w:tabs>
        <w:suppressAutoHyphens/>
        <w:spacing w:after="0" w:line="312" w:lineRule="auto"/>
        <w:ind w:firstLine="709"/>
        <w:jc w:val="both"/>
        <w:rPr>
          <w:rFonts w:ascii="Times New Roman" w:eastAsia="Times New Roman" w:hAnsi="Times New Roman" w:cs="Times New Roman"/>
          <w:color w:val="000000"/>
          <w:sz w:val="28"/>
          <w:szCs w:val="28"/>
          <w:lang w:eastAsia="ru-RU"/>
        </w:rPr>
      </w:pPr>
      <w:r w:rsidRPr="00E23905">
        <w:rPr>
          <w:rFonts w:ascii="Times New Roman" w:eastAsia="Times New Roman" w:hAnsi="Times New Roman" w:cs="Times New Roman"/>
          <w:color w:val="000000"/>
          <w:sz w:val="28"/>
          <w:szCs w:val="28"/>
          <w:lang w:eastAsia="ru-RU"/>
        </w:rPr>
        <w:t xml:space="preserve">В приоритетном порядке на рабочие места направлялись подростки, попавшие в трудную жизненную ситуацию, в том числе дети-сироты и дети, оставшиеся без попечения родителей – 24, состоящие на учете в комиссиях по делам несовершеннолетних и защите их прав – 22 и в органах внутренних дел – 13. </w:t>
      </w:r>
    </w:p>
    <w:p w14:paraId="47820907" w14:textId="25E24C2E" w:rsidR="00AE38A5" w:rsidRPr="00E23905" w:rsidRDefault="00AE38A5" w:rsidP="00AE38A5">
      <w:pPr>
        <w:pBdr>
          <w:bottom w:val="single" w:sz="4" w:space="31" w:color="FFFFFF"/>
        </w:pBdr>
        <w:tabs>
          <w:tab w:val="left" w:pos="9540"/>
        </w:tabs>
        <w:suppressAutoHyphens/>
        <w:spacing w:after="0" w:line="312" w:lineRule="auto"/>
        <w:ind w:firstLine="709"/>
        <w:jc w:val="both"/>
        <w:rPr>
          <w:rFonts w:ascii="Times New Roman" w:eastAsia="Times New Roman" w:hAnsi="Times New Roman" w:cs="Times New Roman"/>
          <w:color w:val="000000"/>
          <w:sz w:val="28"/>
          <w:szCs w:val="28"/>
          <w:lang w:eastAsia="ru-RU"/>
        </w:rPr>
      </w:pPr>
      <w:r w:rsidRPr="00E23905">
        <w:rPr>
          <w:rFonts w:ascii="Times New Roman" w:eastAsia="Times New Roman" w:hAnsi="Times New Roman" w:cs="Times New Roman"/>
          <w:color w:val="000000"/>
          <w:sz w:val="28"/>
          <w:szCs w:val="28"/>
          <w:lang w:eastAsia="ru-RU"/>
        </w:rPr>
        <w:t>В Ненецком автономн</w:t>
      </w:r>
      <w:r w:rsidR="00FF1188">
        <w:rPr>
          <w:rFonts w:ascii="Times New Roman" w:eastAsia="Times New Roman" w:hAnsi="Times New Roman" w:cs="Times New Roman"/>
          <w:color w:val="000000"/>
          <w:sz w:val="28"/>
          <w:szCs w:val="28"/>
          <w:lang w:eastAsia="ru-RU"/>
        </w:rPr>
        <w:t>о</w:t>
      </w:r>
      <w:r w:rsidRPr="00E23905">
        <w:rPr>
          <w:rFonts w:ascii="Times New Roman" w:eastAsia="Times New Roman" w:hAnsi="Times New Roman" w:cs="Times New Roman"/>
          <w:color w:val="000000"/>
          <w:sz w:val="28"/>
          <w:szCs w:val="28"/>
          <w:lang w:eastAsia="ru-RU"/>
        </w:rPr>
        <w:t>м округе ежегодно формируется План мероприятий по содействию занятости населения, исходя из потребностей глав муниципальных образований и работодателей, осуществляющих деятельность на территории региона. В 2021 г</w:t>
      </w:r>
      <w:r w:rsidR="001862B6">
        <w:rPr>
          <w:rFonts w:ascii="Times New Roman" w:eastAsia="Times New Roman" w:hAnsi="Times New Roman" w:cs="Times New Roman"/>
          <w:color w:val="000000"/>
          <w:sz w:val="28"/>
          <w:szCs w:val="28"/>
          <w:lang w:eastAsia="ru-RU"/>
        </w:rPr>
        <w:t>.</w:t>
      </w:r>
      <w:r w:rsidRPr="00E23905">
        <w:rPr>
          <w:rFonts w:ascii="Times New Roman" w:eastAsia="Times New Roman" w:hAnsi="Times New Roman" w:cs="Times New Roman"/>
          <w:color w:val="000000"/>
          <w:sz w:val="28"/>
          <w:szCs w:val="28"/>
          <w:lang w:eastAsia="ru-RU"/>
        </w:rPr>
        <w:t xml:space="preserve"> трудоу</w:t>
      </w:r>
      <w:r w:rsidR="00E23905">
        <w:rPr>
          <w:rFonts w:ascii="Times New Roman" w:eastAsia="Times New Roman" w:hAnsi="Times New Roman" w:cs="Times New Roman"/>
          <w:color w:val="000000"/>
          <w:sz w:val="28"/>
          <w:szCs w:val="28"/>
          <w:lang w:eastAsia="ru-RU"/>
        </w:rPr>
        <w:t xml:space="preserve">строено 778 несовершеннолетних, </w:t>
      </w:r>
      <w:r w:rsidRPr="00E23905">
        <w:rPr>
          <w:rFonts w:ascii="Times New Roman" w:eastAsia="Times New Roman" w:hAnsi="Times New Roman" w:cs="Times New Roman"/>
          <w:color w:val="000000"/>
          <w:sz w:val="28"/>
          <w:szCs w:val="28"/>
          <w:lang w:eastAsia="ru-RU"/>
        </w:rPr>
        <w:t xml:space="preserve">в том числе 216 – проживающих в сельской местности, 180 – из многодетных семей, 136 – из неполных семей, </w:t>
      </w:r>
      <w:r w:rsidR="003A3715">
        <w:rPr>
          <w:rFonts w:ascii="Times New Roman" w:eastAsia="Times New Roman" w:hAnsi="Times New Roman" w:cs="Times New Roman"/>
          <w:color w:val="000000"/>
          <w:sz w:val="28"/>
          <w:szCs w:val="28"/>
          <w:lang w:eastAsia="ru-RU"/>
        </w:rPr>
        <w:br/>
      </w:r>
      <w:r w:rsidRPr="00E23905">
        <w:rPr>
          <w:rFonts w:ascii="Times New Roman" w:eastAsia="Times New Roman" w:hAnsi="Times New Roman" w:cs="Times New Roman"/>
          <w:color w:val="000000"/>
          <w:sz w:val="28"/>
          <w:szCs w:val="28"/>
          <w:lang w:eastAsia="ru-RU"/>
        </w:rPr>
        <w:t xml:space="preserve">25 – состоящих на учете в </w:t>
      </w:r>
      <w:r w:rsidR="00E23905" w:rsidRPr="00E23905">
        <w:rPr>
          <w:rFonts w:ascii="Times New Roman" w:eastAsia="Times New Roman" w:hAnsi="Times New Roman" w:cs="Times New Roman"/>
          <w:color w:val="000000"/>
          <w:sz w:val="28"/>
          <w:szCs w:val="28"/>
          <w:lang w:eastAsia="ru-RU"/>
        </w:rPr>
        <w:t>комиссиях по делам несовершеннолетних и защите их прав</w:t>
      </w:r>
      <w:r w:rsidRPr="00E23905">
        <w:rPr>
          <w:rFonts w:ascii="Times New Roman" w:eastAsia="Times New Roman" w:hAnsi="Times New Roman" w:cs="Times New Roman"/>
          <w:color w:val="000000"/>
          <w:sz w:val="28"/>
          <w:szCs w:val="28"/>
          <w:lang w:eastAsia="ru-RU"/>
        </w:rPr>
        <w:t xml:space="preserve"> и в УМВД России по Ненецкому автономному округу. </w:t>
      </w:r>
    </w:p>
    <w:p w14:paraId="62A1375E" w14:textId="77777777" w:rsidR="00AE38A5" w:rsidRPr="000171B8" w:rsidRDefault="00AE38A5" w:rsidP="00AE38A5">
      <w:pPr>
        <w:pBdr>
          <w:bottom w:val="single" w:sz="4" w:space="31" w:color="FFFFFF"/>
        </w:pBdr>
        <w:tabs>
          <w:tab w:val="left" w:pos="9540"/>
        </w:tabs>
        <w:suppressAutoHyphens/>
        <w:spacing w:after="0" w:line="312" w:lineRule="auto"/>
        <w:ind w:firstLine="709"/>
        <w:jc w:val="both"/>
        <w:rPr>
          <w:rFonts w:ascii="Times New Roman" w:hAnsi="Times New Roman" w:cs="Times New Roman"/>
          <w:color w:val="000000"/>
          <w:sz w:val="28"/>
          <w:szCs w:val="28"/>
          <w:lang w:bidi="ru-RU"/>
        </w:rPr>
      </w:pPr>
      <w:r w:rsidRPr="00E23905">
        <w:rPr>
          <w:rFonts w:ascii="Times New Roman" w:hAnsi="Times New Roman" w:cs="Times New Roman"/>
          <w:color w:val="000000"/>
          <w:sz w:val="28"/>
          <w:szCs w:val="28"/>
          <w:lang w:bidi="ru-RU"/>
        </w:rPr>
        <w:t>Подростки работали по таким профессиям как разнорабочий, подсобный рабочий, рабочий по благоустройству населенных пунктов, комплексному обслуживанию и ремонту зданий, курьер, дворник, кастелянша, во</w:t>
      </w:r>
      <w:r w:rsidRPr="000171B8">
        <w:rPr>
          <w:rFonts w:ascii="Times New Roman" w:hAnsi="Times New Roman" w:cs="Times New Roman"/>
          <w:color w:val="000000"/>
          <w:sz w:val="28"/>
          <w:szCs w:val="28"/>
          <w:lang w:bidi="ru-RU"/>
        </w:rPr>
        <w:t>жатый, слесарь механосборочных работ, дизайнер компьютерной графики.</w:t>
      </w:r>
    </w:p>
    <w:p w14:paraId="5DD60B94" w14:textId="7A2AF6D8" w:rsidR="00AE38A5" w:rsidRPr="00E23905" w:rsidRDefault="00AE38A5" w:rsidP="00E23905">
      <w:pPr>
        <w:widowControl w:val="0"/>
        <w:pBdr>
          <w:bottom w:val="single" w:sz="4" w:space="31" w:color="FFFFFF"/>
        </w:pBdr>
        <w:tabs>
          <w:tab w:val="left" w:pos="9540"/>
        </w:tabs>
        <w:suppressAutoHyphens/>
        <w:spacing w:after="0" w:line="312" w:lineRule="auto"/>
        <w:ind w:firstLine="709"/>
        <w:jc w:val="both"/>
        <w:rPr>
          <w:rFonts w:ascii="Times New Roman" w:hAnsi="Times New Roman" w:cs="Times New Roman"/>
          <w:sz w:val="28"/>
          <w:szCs w:val="28"/>
        </w:rPr>
      </w:pPr>
      <w:r w:rsidRPr="000171B8">
        <w:rPr>
          <w:rFonts w:ascii="Times New Roman" w:hAnsi="Times New Roman" w:cs="Times New Roman"/>
          <w:sz w:val="28"/>
          <w:szCs w:val="28"/>
        </w:rPr>
        <w:t xml:space="preserve">В соответствии с постановлением Правительства Республики Саха (Якутия) </w:t>
      </w:r>
      <w:r w:rsidR="00E23905">
        <w:rPr>
          <w:rFonts w:ascii="Times New Roman" w:hAnsi="Times New Roman" w:cs="Times New Roman"/>
          <w:sz w:val="28"/>
          <w:szCs w:val="28"/>
        </w:rPr>
        <w:br/>
      </w:r>
      <w:r w:rsidRPr="000171B8">
        <w:rPr>
          <w:rFonts w:ascii="Times New Roman" w:hAnsi="Times New Roman" w:cs="Times New Roman"/>
          <w:sz w:val="28"/>
          <w:szCs w:val="28"/>
        </w:rPr>
        <w:t>от 22 апреля 2021 г. № 110 «Об утверждении Порядка предоставления субсидий из государственного бюджета Республики Саха (Якутия) юридическим лицам, не являющимся государственными (муниципальными) учреждениями, индивидуальным предпринимателям на организацию летней занятости несовершеннолетних граждан в возрасте от 14 до 18 лет» в оленеводческих хозяйствах предоставлялись на безвозм</w:t>
      </w:r>
      <w:r w:rsidR="00E23905">
        <w:rPr>
          <w:rFonts w:ascii="Times New Roman" w:hAnsi="Times New Roman" w:cs="Times New Roman"/>
          <w:sz w:val="28"/>
          <w:szCs w:val="28"/>
        </w:rPr>
        <w:t xml:space="preserve">ездной и безвозвратной основе. </w:t>
      </w:r>
      <w:r w:rsidRPr="000171B8">
        <w:rPr>
          <w:rFonts w:ascii="Times New Roman" w:hAnsi="Times New Roman" w:cs="Times New Roman"/>
          <w:sz w:val="28"/>
          <w:szCs w:val="28"/>
        </w:rPr>
        <w:t>В 2021 г</w:t>
      </w:r>
      <w:r w:rsidR="001862B6">
        <w:rPr>
          <w:rFonts w:ascii="Times New Roman" w:hAnsi="Times New Roman" w:cs="Times New Roman"/>
          <w:sz w:val="28"/>
          <w:szCs w:val="28"/>
        </w:rPr>
        <w:t>.</w:t>
      </w:r>
      <w:r w:rsidRPr="000171B8">
        <w:rPr>
          <w:rFonts w:ascii="Times New Roman" w:hAnsi="Times New Roman" w:cs="Times New Roman"/>
          <w:sz w:val="28"/>
          <w:szCs w:val="28"/>
        </w:rPr>
        <w:t xml:space="preserve"> 98 подростков приступили к </w:t>
      </w:r>
      <w:r w:rsidR="00E23905">
        <w:rPr>
          <w:rFonts w:ascii="Times New Roman" w:hAnsi="Times New Roman" w:cs="Times New Roman"/>
          <w:sz w:val="28"/>
          <w:szCs w:val="28"/>
        </w:rPr>
        <w:t xml:space="preserve">работе в 13 улусах республики, </w:t>
      </w:r>
      <w:r w:rsidRPr="000171B8">
        <w:rPr>
          <w:rFonts w:ascii="Times New Roman" w:hAnsi="Times New Roman" w:cs="Times New Roman"/>
          <w:sz w:val="28"/>
          <w:szCs w:val="28"/>
        </w:rPr>
        <w:t xml:space="preserve">где работали в овощеводческих и животноводческих хозяйствах, </w:t>
      </w:r>
      <w:r w:rsidRPr="000171B8">
        <w:rPr>
          <w:rFonts w:ascii="Times New Roman" w:hAnsi="Times New Roman" w:cs="Times New Roman"/>
          <w:color w:val="000000"/>
          <w:sz w:val="28"/>
          <w:szCs w:val="28"/>
          <w:lang w:bidi="ru-RU"/>
        </w:rPr>
        <w:t xml:space="preserve">принимали участие в благоустройстве </w:t>
      </w:r>
      <w:r w:rsidRPr="000171B8">
        <w:rPr>
          <w:rFonts w:ascii="Times New Roman" w:hAnsi="Times New Roman" w:cs="Times New Roman"/>
          <w:sz w:val="28"/>
          <w:szCs w:val="28"/>
        </w:rPr>
        <w:t xml:space="preserve">воинских захоронений, </w:t>
      </w:r>
      <w:r w:rsidR="00E23905">
        <w:rPr>
          <w:rFonts w:ascii="Times New Roman" w:hAnsi="Times New Roman" w:cs="Times New Roman"/>
          <w:color w:val="000000"/>
          <w:sz w:val="28"/>
          <w:szCs w:val="28"/>
          <w:lang w:bidi="ru-RU"/>
        </w:rPr>
        <w:t xml:space="preserve">мемориалов, памятников </w:t>
      </w:r>
      <w:r w:rsidRPr="000171B8">
        <w:rPr>
          <w:rFonts w:ascii="Times New Roman" w:hAnsi="Times New Roman" w:cs="Times New Roman"/>
          <w:color w:val="000000"/>
          <w:sz w:val="28"/>
          <w:szCs w:val="28"/>
          <w:lang w:bidi="ru-RU"/>
        </w:rPr>
        <w:t>и обелисков воинской славы, в подготовке и проведении культурно-массовых молодежных мероприятий, оказывали помощь ветеранам Великой Отечественной войны, тыла, семьям погибших воинов, пенсионерам.</w:t>
      </w:r>
    </w:p>
    <w:p w14:paraId="77872552" w14:textId="77777777" w:rsidR="00AE38A5" w:rsidRPr="000171B8" w:rsidRDefault="00AE38A5" w:rsidP="00AE38A5">
      <w:pPr>
        <w:widowControl w:val="0"/>
        <w:pBdr>
          <w:bottom w:val="single" w:sz="4" w:space="31" w:color="FFFFFF"/>
        </w:pBdr>
        <w:tabs>
          <w:tab w:val="left" w:pos="9540"/>
        </w:tabs>
        <w:suppressAutoHyphens/>
        <w:spacing w:after="0" w:line="312" w:lineRule="auto"/>
        <w:ind w:firstLine="709"/>
        <w:jc w:val="both"/>
        <w:rPr>
          <w:rFonts w:ascii="Times New Roman" w:hAnsi="Times New Roman" w:cs="Times New Roman"/>
          <w:color w:val="000000"/>
          <w:sz w:val="28"/>
          <w:szCs w:val="28"/>
          <w:lang w:bidi="ru-RU"/>
        </w:rPr>
      </w:pPr>
      <w:r w:rsidRPr="000171B8">
        <w:rPr>
          <w:rFonts w:ascii="Times New Roman" w:hAnsi="Times New Roman" w:cs="Times New Roman"/>
          <w:color w:val="000000"/>
          <w:sz w:val="28"/>
          <w:szCs w:val="28"/>
          <w:lang w:bidi="ru-RU"/>
        </w:rPr>
        <w:t>В целях обеспечения дополнительных гарантий занятости молодежи,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четырнадцатилетнего возраста.</w:t>
      </w:r>
    </w:p>
    <w:p w14:paraId="16AFC4F6" w14:textId="77777777" w:rsidR="00AE38A5" w:rsidRPr="000171B8" w:rsidRDefault="00AE38A5" w:rsidP="00AE38A5">
      <w:pPr>
        <w:widowControl w:val="0"/>
        <w:pBdr>
          <w:bottom w:val="single" w:sz="4" w:space="31" w:color="FFFFFF"/>
        </w:pBdr>
        <w:tabs>
          <w:tab w:val="left" w:pos="9540"/>
        </w:tabs>
        <w:suppressAutoHyphens/>
        <w:spacing w:after="0" w:line="312" w:lineRule="auto"/>
        <w:ind w:firstLine="709"/>
        <w:jc w:val="both"/>
        <w:rPr>
          <w:rFonts w:ascii="Times New Roman" w:eastAsia="Times New Roman" w:hAnsi="Times New Roman" w:cs="Times New Roman"/>
          <w:color w:val="000000"/>
          <w:sz w:val="28"/>
          <w:szCs w:val="28"/>
          <w:lang w:eastAsia="ru-RU"/>
        </w:rPr>
      </w:pPr>
      <w:r w:rsidRPr="000171B8">
        <w:rPr>
          <w:rFonts w:ascii="Times New Roman" w:eastAsia="Times New Roman" w:hAnsi="Times New Roman" w:cs="Times New Roman"/>
          <w:color w:val="000000"/>
          <w:sz w:val="28"/>
          <w:szCs w:val="28"/>
          <w:lang w:eastAsia="ru-RU"/>
        </w:rPr>
        <w:t>В Ярославской области реализуется ряд локальных актов</w:t>
      </w:r>
      <w:r w:rsidR="00E23905">
        <w:rPr>
          <w:rFonts w:ascii="Times New Roman" w:eastAsia="Times New Roman" w:hAnsi="Times New Roman" w:cs="Times New Roman"/>
          <w:color w:val="000000"/>
          <w:sz w:val="28"/>
          <w:szCs w:val="28"/>
          <w:lang w:eastAsia="ru-RU"/>
        </w:rPr>
        <w:t>:</w:t>
      </w:r>
      <w:r w:rsidRPr="000171B8">
        <w:rPr>
          <w:rFonts w:ascii="Times New Roman" w:eastAsia="Times New Roman" w:hAnsi="Times New Roman" w:cs="Times New Roman"/>
          <w:color w:val="000000"/>
          <w:sz w:val="28"/>
          <w:szCs w:val="28"/>
          <w:lang w:eastAsia="ru-RU"/>
        </w:rPr>
        <w:t xml:space="preserve"> Закон Ярославской области от 2 апреля 2019 г. № 21-з «О квотировании рабочих мест для трудоустройства несовершеннолетних граждан в Ярославской области», Порядок предоставления работодателями в государственные учреждения службы занятости населения информации о трудоустройстве несовершеннолетних граждан на квотируемые рабочие места, утвержденный постановлением Правительства области от 11 июля 2019 г. № 502-п, Порядок организации и осуществления контроля за квотированием рабочих мест для трудоустройства несовершеннолетних граждан, утвержденный постановлением Правительства области от 7 августа 2019 г. № 566-п. </w:t>
      </w:r>
    </w:p>
    <w:p w14:paraId="7023C2BE" w14:textId="77777777" w:rsidR="00AE38A5" w:rsidRPr="000171B8" w:rsidRDefault="00AE38A5" w:rsidP="00AE38A5">
      <w:pPr>
        <w:widowControl w:val="0"/>
        <w:pBdr>
          <w:bottom w:val="single" w:sz="4" w:space="31" w:color="FFFFFF"/>
        </w:pBdr>
        <w:tabs>
          <w:tab w:val="left" w:pos="9540"/>
        </w:tabs>
        <w:suppressAutoHyphens/>
        <w:spacing w:after="0" w:line="312" w:lineRule="auto"/>
        <w:ind w:firstLine="709"/>
        <w:jc w:val="both"/>
        <w:rPr>
          <w:rFonts w:ascii="Times New Roman" w:eastAsia="Times New Roman" w:hAnsi="Times New Roman" w:cs="Times New Roman"/>
          <w:color w:val="000000"/>
          <w:sz w:val="28"/>
          <w:szCs w:val="28"/>
          <w:lang w:eastAsia="ru-RU"/>
        </w:rPr>
      </w:pPr>
      <w:r w:rsidRPr="000171B8">
        <w:rPr>
          <w:rFonts w:ascii="Times New Roman" w:eastAsia="Times New Roman" w:hAnsi="Times New Roman" w:cs="Times New Roman"/>
          <w:color w:val="000000"/>
          <w:sz w:val="28"/>
          <w:szCs w:val="28"/>
          <w:lang w:eastAsia="ru-RU"/>
        </w:rPr>
        <w:t xml:space="preserve">Квота для приема на работу несовершеннолетних граждан устанавливается для юридических лиц независимо от организационно-правовых форм и форм собственности и индивидуальных предпринимателей, осуществляющих деятельность на территории Ярославской области и имеющих среднесписочную численность работников не менее чем 50 человек, в </w:t>
      </w:r>
      <w:r w:rsidR="00E23905">
        <w:rPr>
          <w:rFonts w:ascii="Times New Roman" w:eastAsia="Times New Roman" w:hAnsi="Times New Roman" w:cs="Times New Roman"/>
          <w:color w:val="000000"/>
          <w:sz w:val="28"/>
          <w:szCs w:val="28"/>
          <w:lang w:eastAsia="ru-RU"/>
        </w:rPr>
        <w:t>размере 1%</w:t>
      </w:r>
      <w:r w:rsidRPr="000171B8">
        <w:rPr>
          <w:rFonts w:ascii="Times New Roman" w:eastAsia="Times New Roman" w:hAnsi="Times New Roman" w:cs="Times New Roman"/>
          <w:color w:val="000000"/>
          <w:sz w:val="28"/>
          <w:szCs w:val="28"/>
          <w:lang w:eastAsia="ru-RU"/>
        </w:rPr>
        <w:t xml:space="preserve"> от среднесписочной численности работников. </w:t>
      </w:r>
    </w:p>
    <w:p w14:paraId="26F2E7C3" w14:textId="77777777" w:rsidR="00AE38A5" w:rsidRPr="00E23905" w:rsidRDefault="00AE38A5" w:rsidP="00E23905">
      <w:pPr>
        <w:widowControl w:val="0"/>
        <w:pBdr>
          <w:bottom w:val="single" w:sz="4" w:space="31" w:color="FFFFFF"/>
        </w:pBdr>
        <w:tabs>
          <w:tab w:val="left" w:pos="9540"/>
        </w:tabs>
        <w:suppressAutoHyphens/>
        <w:spacing w:after="0" w:line="312" w:lineRule="auto"/>
        <w:ind w:firstLine="709"/>
        <w:jc w:val="both"/>
        <w:rPr>
          <w:rFonts w:ascii="Times New Roman" w:eastAsia="Times New Roman" w:hAnsi="Times New Roman" w:cs="Times New Roman"/>
          <w:color w:val="000000"/>
          <w:sz w:val="28"/>
          <w:szCs w:val="28"/>
          <w:lang w:eastAsia="ru-RU"/>
        </w:rPr>
      </w:pPr>
      <w:r w:rsidRPr="000171B8">
        <w:rPr>
          <w:rFonts w:ascii="Times New Roman" w:eastAsia="Times New Roman" w:hAnsi="Times New Roman" w:cs="Times New Roman"/>
          <w:color w:val="000000"/>
          <w:sz w:val="28"/>
          <w:szCs w:val="28"/>
          <w:lang w:eastAsia="ru-RU"/>
        </w:rPr>
        <w:t>В 2021 г</w:t>
      </w:r>
      <w:r w:rsidR="001862B6">
        <w:rPr>
          <w:rFonts w:ascii="Times New Roman" w:eastAsia="Times New Roman" w:hAnsi="Times New Roman" w:cs="Times New Roman"/>
          <w:color w:val="000000"/>
          <w:sz w:val="28"/>
          <w:szCs w:val="28"/>
          <w:lang w:eastAsia="ru-RU"/>
        </w:rPr>
        <w:t>.</w:t>
      </w:r>
      <w:r w:rsidRPr="000171B8">
        <w:rPr>
          <w:rFonts w:ascii="Times New Roman" w:eastAsia="Times New Roman" w:hAnsi="Times New Roman" w:cs="Times New Roman"/>
          <w:color w:val="000000"/>
          <w:sz w:val="28"/>
          <w:szCs w:val="28"/>
          <w:lang w:eastAsia="ru-RU"/>
        </w:rPr>
        <w:t xml:space="preserve"> в органы службы занятости населения </w:t>
      </w:r>
      <w:r w:rsidR="00E23905">
        <w:rPr>
          <w:rFonts w:ascii="Times New Roman" w:eastAsia="Times New Roman" w:hAnsi="Times New Roman" w:cs="Times New Roman"/>
          <w:color w:val="000000"/>
          <w:sz w:val="28"/>
          <w:szCs w:val="28"/>
          <w:lang w:eastAsia="ru-RU"/>
        </w:rPr>
        <w:t xml:space="preserve">Ярославской </w:t>
      </w:r>
      <w:r w:rsidRPr="000171B8">
        <w:rPr>
          <w:rFonts w:ascii="Times New Roman" w:eastAsia="Times New Roman" w:hAnsi="Times New Roman" w:cs="Times New Roman"/>
          <w:color w:val="000000"/>
          <w:sz w:val="28"/>
          <w:szCs w:val="28"/>
          <w:lang w:eastAsia="ru-RU"/>
        </w:rPr>
        <w:t>области подана информация о 1 256 рабочих местах в счет квоты для несовершеннолетних граждан, в основном по специальностям курьер, дворник, официант, подсобн</w:t>
      </w:r>
      <w:r w:rsidR="00E23905">
        <w:rPr>
          <w:rFonts w:ascii="Times New Roman" w:eastAsia="Times New Roman" w:hAnsi="Times New Roman" w:cs="Times New Roman"/>
          <w:color w:val="000000"/>
          <w:sz w:val="28"/>
          <w:szCs w:val="28"/>
          <w:lang w:eastAsia="ru-RU"/>
        </w:rPr>
        <w:t xml:space="preserve">ый рабочий, разнорабочий и т.п. </w:t>
      </w:r>
      <w:r w:rsidRPr="000171B8">
        <w:rPr>
          <w:rFonts w:ascii="Times New Roman" w:eastAsia="Times New Roman" w:hAnsi="Times New Roman" w:cs="Times New Roman"/>
          <w:color w:val="000000"/>
          <w:sz w:val="28"/>
          <w:szCs w:val="28"/>
          <w:lang w:eastAsia="ru-RU"/>
        </w:rPr>
        <w:t xml:space="preserve">Службой занятости с учетом критериев, предъявляемых к подходящей работе для несовершеннолетних, а также требований работодателей к соискателям, выдано 99 направлений для прохождения собеседований, по результатам которых трудоустроено 5 человек. </w:t>
      </w:r>
    </w:p>
    <w:p w14:paraId="4FB1FDAE" w14:textId="77777777" w:rsidR="00AE38A5" w:rsidRPr="000171B8" w:rsidRDefault="00AE38A5" w:rsidP="00A32FD8">
      <w:pPr>
        <w:widowControl w:val="0"/>
        <w:pBdr>
          <w:bottom w:val="single" w:sz="4" w:space="31" w:color="FFFFFF"/>
        </w:pBdr>
        <w:tabs>
          <w:tab w:val="left" w:pos="9540"/>
        </w:tabs>
        <w:suppressAutoHyphens/>
        <w:spacing w:after="0" w:line="312" w:lineRule="auto"/>
        <w:ind w:firstLine="709"/>
        <w:jc w:val="both"/>
        <w:rPr>
          <w:rFonts w:ascii="Times New Roman" w:eastAsia="Times New Roman" w:hAnsi="Times New Roman" w:cs="Times New Roman"/>
          <w:color w:val="000000"/>
          <w:sz w:val="28"/>
          <w:szCs w:val="28"/>
          <w:lang w:eastAsia="ru-RU"/>
        </w:rPr>
      </w:pPr>
      <w:r w:rsidRPr="000171B8">
        <w:rPr>
          <w:rFonts w:ascii="Times New Roman" w:eastAsia="Times New Roman" w:hAnsi="Times New Roman" w:cs="Times New Roman"/>
          <w:color w:val="000000"/>
          <w:sz w:val="28"/>
          <w:szCs w:val="28"/>
          <w:lang w:eastAsia="ru-RU"/>
        </w:rPr>
        <w:t xml:space="preserve">В соответствии с Законом Тюменской области от 31 марта 2000 г. № 168 </w:t>
      </w:r>
      <w:r w:rsidRPr="000171B8">
        <w:rPr>
          <w:rFonts w:ascii="Times New Roman" w:eastAsia="Times New Roman" w:hAnsi="Times New Roman" w:cs="Times New Roman"/>
          <w:color w:val="000000"/>
          <w:sz w:val="28"/>
          <w:szCs w:val="28"/>
          <w:lang w:eastAsia="ru-RU"/>
        </w:rPr>
        <w:br/>
        <w:t>«О квотировании рабочих мест в Тюменской области» в 2021 г</w:t>
      </w:r>
      <w:r w:rsidR="00FE7E94">
        <w:rPr>
          <w:rFonts w:ascii="Times New Roman" w:eastAsia="Times New Roman" w:hAnsi="Times New Roman" w:cs="Times New Roman"/>
          <w:color w:val="000000"/>
          <w:sz w:val="28"/>
          <w:szCs w:val="28"/>
          <w:lang w:eastAsia="ru-RU"/>
        </w:rPr>
        <w:t>.</w:t>
      </w:r>
      <w:r w:rsidRPr="000171B8">
        <w:rPr>
          <w:rFonts w:ascii="Times New Roman" w:eastAsia="Times New Roman" w:hAnsi="Times New Roman" w:cs="Times New Roman"/>
          <w:color w:val="000000"/>
          <w:sz w:val="28"/>
          <w:szCs w:val="28"/>
          <w:lang w:eastAsia="ru-RU"/>
        </w:rPr>
        <w:t xml:space="preserve"> работодателями создано 401 квотируемое рабочее</w:t>
      </w:r>
      <w:r w:rsidR="00A32FD8">
        <w:rPr>
          <w:rFonts w:ascii="Times New Roman" w:eastAsia="Times New Roman" w:hAnsi="Times New Roman" w:cs="Times New Roman"/>
          <w:color w:val="000000"/>
          <w:sz w:val="28"/>
          <w:szCs w:val="28"/>
          <w:lang w:eastAsia="ru-RU"/>
        </w:rPr>
        <w:t xml:space="preserve"> место для несовершеннолетних. </w:t>
      </w:r>
      <w:r w:rsidRPr="000171B8">
        <w:rPr>
          <w:rFonts w:ascii="Times New Roman" w:eastAsia="Times New Roman" w:hAnsi="Times New Roman" w:cs="Times New Roman"/>
          <w:color w:val="000000"/>
          <w:sz w:val="28"/>
          <w:szCs w:val="28"/>
          <w:lang w:eastAsia="ru-RU"/>
        </w:rPr>
        <w:t xml:space="preserve">При содействии органов службы занятости в свободное от учебы время всего трудоустроено </w:t>
      </w:r>
      <w:r w:rsidR="00A32FD8">
        <w:rPr>
          <w:rFonts w:ascii="Times New Roman" w:eastAsia="Times New Roman" w:hAnsi="Times New Roman" w:cs="Times New Roman"/>
          <w:color w:val="000000"/>
          <w:sz w:val="28"/>
          <w:szCs w:val="28"/>
          <w:lang w:eastAsia="ru-RU"/>
        </w:rPr>
        <w:br/>
      </w:r>
      <w:r w:rsidRPr="000171B8">
        <w:rPr>
          <w:rFonts w:ascii="Times New Roman" w:eastAsia="Times New Roman" w:hAnsi="Times New Roman" w:cs="Times New Roman"/>
          <w:color w:val="000000"/>
          <w:sz w:val="28"/>
          <w:szCs w:val="28"/>
          <w:lang w:eastAsia="ru-RU"/>
        </w:rPr>
        <w:t xml:space="preserve">23,3 тыс. несовершеннолетних, в том числе 898 – состоящих на профилактическом учете в органах внутренних дел. </w:t>
      </w:r>
    </w:p>
    <w:p w14:paraId="7A5DCDE1" w14:textId="77777777" w:rsidR="00AE38A5" w:rsidRPr="000171B8" w:rsidRDefault="00AE38A5" w:rsidP="00AE38A5">
      <w:pPr>
        <w:widowControl w:val="0"/>
        <w:pBdr>
          <w:bottom w:val="single" w:sz="4" w:space="31" w:color="FFFFFF"/>
        </w:pBdr>
        <w:tabs>
          <w:tab w:val="left" w:pos="9540"/>
        </w:tabs>
        <w:suppressAutoHyphens/>
        <w:spacing w:after="0" w:line="312" w:lineRule="auto"/>
        <w:ind w:firstLine="709"/>
        <w:jc w:val="both"/>
        <w:rPr>
          <w:rFonts w:ascii="Times New Roman" w:eastAsia="Times New Roman" w:hAnsi="Times New Roman" w:cs="Times New Roman"/>
          <w:bCs/>
          <w:sz w:val="28"/>
          <w:szCs w:val="28"/>
          <w:lang w:eastAsia="ru-RU"/>
        </w:rPr>
      </w:pPr>
      <w:r w:rsidRPr="000171B8">
        <w:rPr>
          <w:rFonts w:ascii="Times New Roman" w:eastAsia="Times New Roman" w:hAnsi="Times New Roman" w:cs="Times New Roman"/>
          <w:bCs/>
          <w:iCs/>
          <w:sz w:val="28"/>
          <w:szCs w:val="28"/>
          <w:lang w:eastAsia="ru-RU"/>
        </w:rPr>
        <w:t xml:space="preserve">В </w:t>
      </w:r>
      <w:r w:rsidRPr="000171B8">
        <w:rPr>
          <w:rFonts w:ascii="Times New Roman" w:eastAsia="Times New Roman" w:hAnsi="Times New Roman" w:cs="Times New Roman"/>
          <w:color w:val="000000"/>
          <w:sz w:val="28"/>
          <w:szCs w:val="28"/>
          <w:lang w:eastAsia="ru-RU"/>
        </w:rPr>
        <w:t xml:space="preserve">целях </w:t>
      </w:r>
      <w:r w:rsidRPr="000171B8">
        <w:rPr>
          <w:rFonts w:ascii="Times New Roman" w:eastAsia="Times New Roman" w:hAnsi="Times New Roman" w:cs="Times New Roman"/>
          <w:bCs/>
          <w:sz w:val="28"/>
          <w:szCs w:val="28"/>
          <w:lang w:eastAsia="ru-RU"/>
        </w:rPr>
        <w:t>популяризации временн</w:t>
      </w:r>
      <w:r w:rsidR="00A32FD8">
        <w:rPr>
          <w:rFonts w:ascii="Times New Roman" w:eastAsia="Times New Roman" w:hAnsi="Times New Roman" w:cs="Times New Roman"/>
          <w:bCs/>
          <w:sz w:val="28"/>
          <w:szCs w:val="28"/>
          <w:lang w:eastAsia="ru-RU"/>
        </w:rPr>
        <w:t xml:space="preserve">ого трудоустройства подростков </w:t>
      </w:r>
      <w:r w:rsidRPr="000171B8">
        <w:rPr>
          <w:rFonts w:ascii="Times New Roman" w:eastAsia="Times New Roman" w:hAnsi="Times New Roman" w:cs="Times New Roman"/>
          <w:color w:val="000000"/>
          <w:sz w:val="28"/>
          <w:szCs w:val="28"/>
          <w:lang w:eastAsia="ru-RU"/>
        </w:rPr>
        <w:t xml:space="preserve">в </w:t>
      </w:r>
      <w:r w:rsidRPr="000171B8">
        <w:rPr>
          <w:rFonts w:ascii="Times New Roman" w:eastAsia="Times New Roman" w:hAnsi="Times New Roman" w:cs="Times New Roman"/>
          <w:bCs/>
          <w:iCs/>
          <w:sz w:val="28"/>
          <w:szCs w:val="28"/>
          <w:lang w:eastAsia="ru-RU"/>
        </w:rPr>
        <w:t xml:space="preserve">Ульяновской области </w:t>
      </w:r>
      <w:r w:rsidRPr="000171B8">
        <w:rPr>
          <w:rFonts w:ascii="Times New Roman" w:eastAsia="Times New Roman" w:hAnsi="Times New Roman" w:cs="Times New Roman"/>
          <w:bCs/>
          <w:sz w:val="28"/>
          <w:szCs w:val="28"/>
          <w:lang w:eastAsia="ru-RU"/>
        </w:rPr>
        <w:t>в 2021 г</w:t>
      </w:r>
      <w:r w:rsidR="001862B6">
        <w:rPr>
          <w:rFonts w:ascii="Times New Roman" w:eastAsia="Times New Roman" w:hAnsi="Times New Roman" w:cs="Times New Roman"/>
          <w:bCs/>
          <w:sz w:val="28"/>
          <w:szCs w:val="28"/>
          <w:lang w:eastAsia="ru-RU"/>
        </w:rPr>
        <w:t>.</w:t>
      </w:r>
      <w:r w:rsidRPr="000171B8">
        <w:rPr>
          <w:rFonts w:ascii="Times New Roman" w:eastAsia="Times New Roman" w:hAnsi="Times New Roman" w:cs="Times New Roman"/>
          <w:bCs/>
          <w:sz w:val="28"/>
          <w:szCs w:val="28"/>
          <w:lang w:eastAsia="ru-RU"/>
        </w:rPr>
        <w:t xml:space="preserve"> провед</w:t>
      </w:r>
      <w:r w:rsidR="00A32FD8">
        <w:rPr>
          <w:rFonts w:ascii="Times New Roman" w:eastAsia="Times New Roman" w:hAnsi="Times New Roman" w:cs="Times New Roman"/>
          <w:bCs/>
          <w:sz w:val="28"/>
          <w:szCs w:val="28"/>
          <w:lang w:eastAsia="ru-RU"/>
        </w:rPr>
        <w:t xml:space="preserve">ена акция «Мое трудовое лето», </w:t>
      </w:r>
      <w:r w:rsidRPr="000171B8">
        <w:rPr>
          <w:rFonts w:ascii="Times New Roman" w:eastAsia="Times New Roman" w:hAnsi="Times New Roman" w:cs="Times New Roman"/>
          <w:bCs/>
          <w:sz w:val="28"/>
          <w:szCs w:val="28"/>
          <w:lang w:eastAsia="ru-RU"/>
        </w:rPr>
        <w:t>в ходе которой состоялся конкурс анкет и фотографий, в котором каждый желающий мог рассказать о своей работе</w:t>
      </w:r>
      <w:r w:rsidR="00A32FD8">
        <w:rPr>
          <w:rFonts w:ascii="Times New Roman" w:eastAsia="Times New Roman" w:hAnsi="Times New Roman" w:cs="Times New Roman"/>
          <w:bCs/>
          <w:sz w:val="28"/>
          <w:szCs w:val="28"/>
          <w:lang w:eastAsia="ru-RU"/>
        </w:rPr>
        <w:t xml:space="preserve">. В результате организованного </w:t>
      </w:r>
      <w:r w:rsidRPr="000171B8">
        <w:rPr>
          <w:rFonts w:ascii="Times New Roman" w:eastAsia="Times New Roman" w:hAnsi="Times New Roman" w:cs="Times New Roman"/>
          <w:bCs/>
          <w:sz w:val="28"/>
          <w:szCs w:val="28"/>
          <w:lang w:eastAsia="ru-RU"/>
        </w:rPr>
        <w:t>в социальной сети «</w:t>
      </w:r>
      <w:proofErr w:type="spellStart"/>
      <w:r w:rsidRPr="000171B8">
        <w:rPr>
          <w:rFonts w:ascii="Times New Roman" w:eastAsia="Times New Roman" w:hAnsi="Times New Roman" w:cs="Times New Roman"/>
          <w:bCs/>
          <w:sz w:val="28"/>
          <w:szCs w:val="28"/>
          <w:lang w:eastAsia="ru-RU"/>
        </w:rPr>
        <w:t>ВКонтакте</w:t>
      </w:r>
      <w:proofErr w:type="spellEnd"/>
      <w:r w:rsidRPr="000171B8">
        <w:rPr>
          <w:rFonts w:ascii="Times New Roman" w:eastAsia="Times New Roman" w:hAnsi="Times New Roman" w:cs="Times New Roman"/>
          <w:bCs/>
          <w:sz w:val="28"/>
          <w:szCs w:val="28"/>
          <w:lang w:eastAsia="ru-RU"/>
        </w:rPr>
        <w:t xml:space="preserve">» онлайн-голосования 6 несовершеннолетних, набравших наибольшее количество голосов, стали победителями. Всего в акции приняли участие </w:t>
      </w:r>
      <w:r w:rsidR="00A32FD8">
        <w:rPr>
          <w:rFonts w:ascii="Times New Roman" w:eastAsia="Times New Roman" w:hAnsi="Times New Roman" w:cs="Times New Roman"/>
          <w:bCs/>
          <w:sz w:val="28"/>
          <w:szCs w:val="28"/>
          <w:lang w:eastAsia="ru-RU"/>
        </w:rPr>
        <w:br/>
      </w:r>
      <w:r w:rsidRPr="000171B8">
        <w:rPr>
          <w:rFonts w:ascii="Times New Roman" w:eastAsia="Times New Roman" w:hAnsi="Times New Roman" w:cs="Times New Roman"/>
          <w:bCs/>
          <w:sz w:val="28"/>
          <w:szCs w:val="28"/>
          <w:lang w:eastAsia="ru-RU"/>
        </w:rPr>
        <w:t xml:space="preserve">111 подростков. </w:t>
      </w:r>
    </w:p>
    <w:p w14:paraId="7BB0307D" w14:textId="77777777" w:rsidR="00AE38A5" w:rsidRPr="000171B8" w:rsidRDefault="00AE38A5" w:rsidP="00AE38A5">
      <w:pPr>
        <w:widowControl w:val="0"/>
        <w:pBdr>
          <w:bottom w:val="single" w:sz="4" w:space="31" w:color="FFFFFF"/>
        </w:pBdr>
        <w:tabs>
          <w:tab w:val="left" w:pos="9540"/>
        </w:tabs>
        <w:suppressAutoHyphens/>
        <w:spacing w:after="0" w:line="312" w:lineRule="auto"/>
        <w:ind w:firstLine="709"/>
        <w:jc w:val="both"/>
        <w:rPr>
          <w:rFonts w:ascii="Times New Roman" w:eastAsia="Times New Roman" w:hAnsi="Times New Roman" w:cs="Times New Roman"/>
          <w:color w:val="000000"/>
          <w:sz w:val="28"/>
          <w:szCs w:val="28"/>
          <w:lang w:eastAsia="ru-RU"/>
        </w:rPr>
      </w:pPr>
      <w:r w:rsidRPr="000171B8">
        <w:rPr>
          <w:rFonts w:ascii="Times New Roman" w:eastAsia="Times New Roman" w:hAnsi="Times New Roman" w:cs="Times New Roman"/>
          <w:color w:val="000000"/>
          <w:sz w:val="28"/>
          <w:szCs w:val="28"/>
          <w:lang w:eastAsia="ru-RU"/>
        </w:rPr>
        <w:t xml:space="preserve">В решении вопросов трудоустройства лиц, не достигших 18 лет, наиболее эффективны мероприятия по их профессиональной ориентации. </w:t>
      </w:r>
    </w:p>
    <w:p w14:paraId="31412013" w14:textId="77777777" w:rsidR="00AE38A5" w:rsidRPr="000171B8" w:rsidRDefault="00AE38A5" w:rsidP="00AE38A5">
      <w:pPr>
        <w:widowControl w:val="0"/>
        <w:pBdr>
          <w:bottom w:val="single" w:sz="4" w:space="31" w:color="FFFFFF"/>
        </w:pBdr>
        <w:tabs>
          <w:tab w:val="left" w:pos="9540"/>
        </w:tabs>
        <w:suppressAutoHyphens/>
        <w:spacing w:after="0" w:line="312" w:lineRule="auto"/>
        <w:ind w:firstLine="709"/>
        <w:jc w:val="both"/>
        <w:rPr>
          <w:rFonts w:ascii="Times New Roman" w:eastAsia="Times New Roman" w:hAnsi="Times New Roman" w:cs="Times New Roman"/>
          <w:color w:val="000000"/>
          <w:sz w:val="28"/>
          <w:szCs w:val="28"/>
          <w:lang w:eastAsia="ru-RU"/>
        </w:rPr>
      </w:pPr>
      <w:r w:rsidRPr="000171B8">
        <w:rPr>
          <w:rFonts w:ascii="Times New Roman" w:eastAsia="Times New Roman" w:hAnsi="Times New Roman" w:cs="Times New Roman"/>
          <w:color w:val="000000"/>
          <w:sz w:val="28"/>
          <w:szCs w:val="28"/>
          <w:lang w:eastAsia="ru-RU"/>
        </w:rPr>
        <w:t>Так, в рамках государственной программы «Содействие занятости населения Орловской области» территориальными органами занятости осуществлялось информирование об оказываемым услугам в средствах массовой информации.</w:t>
      </w:r>
    </w:p>
    <w:p w14:paraId="2A784BB3" w14:textId="77777777" w:rsidR="00AE38A5" w:rsidRPr="000171B8" w:rsidRDefault="00AE38A5" w:rsidP="0073737A">
      <w:pPr>
        <w:widowControl w:val="0"/>
        <w:pBdr>
          <w:bottom w:val="single" w:sz="4" w:space="31" w:color="FFFFFF"/>
        </w:pBdr>
        <w:tabs>
          <w:tab w:val="left" w:pos="9540"/>
        </w:tabs>
        <w:suppressAutoHyphens/>
        <w:spacing w:after="0" w:line="312" w:lineRule="auto"/>
        <w:ind w:firstLine="709"/>
        <w:jc w:val="both"/>
        <w:rPr>
          <w:rFonts w:ascii="Times New Roman" w:eastAsia="Times New Roman" w:hAnsi="Times New Roman" w:cs="Times New Roman"/>
          <w:color w:val="000000"/>
          <w:sz w:val="28"/>
          <w:szCs w:val="28"/>
          <w:lang w:eastAsia="ru-RU"/>
        </w:rPr>
      </w:pPr>
      <w:r w:rsidRPr="000171B8">
        <w:rPr>
          <w:rFonts w:ascii="Times New Roman" w:eastAsia="Times New Roman" w:hAnsi="Times New Roman" w:cs="Times New Roman"/>
          <w:color w:val="000000"/>
          <w:sz w:val="28"/>
          <w:szCs w:val="28"/>
          <w:lang w:eastAsia="ru-RU"/>
        </w:rPr>
        <w:t xml:space="preserve">В печатных и электронных </w:t>
      </w:r>
      <w:r w:rsidR="00A32FD8" w:rsidRPr="000171B8">
        <w:rPr>
          <w:rFonts w:ascii="Times New Roman" w:eastAsia="Times New Roman" w:hAnsi="Times New Roman" w:cs="Times New Roman"/>
          <w:color w:val="000000"/>
          <w:sz w:val="28"/>
          <w:szCs w:val="28"/>
          <w:lang w:eastAsia="ru-RU"/>
        </w:rPr>
        <w:t>средствах массовой информации</w:t>
      </w:r>
      <w:r w:rsidRPr="000171B8">
        <w:rPr>
          <w:rFonts w:ascii="Times New Roman" w:eastAsia="Times New Roman" w:hAnsi="Times New Roman" w:cs="Times New Roman"/>
          <w:color w:val="000000"/>
          <w:sz w:val="28"/>
          <w:szCs w:val="28"/>
          <w:lang w:eastAsia="ru-RU"/>
        </w:rPr>
        <w:t xml:space="preserve"> были опубликованы материалы, содержащие сведения о работодателях, принимающих участие в организации временной занятости подростков в свободное от учебы время, о видах деятельности, доступной для несовершеннолетних. В специальном разделе портала Департамента социаль</w:t>
      </w:r>
      <w:r w:rsidR="00A32FD8">
        <w:rPr>
          <w:rFonts w:ascii="Times New Roman" w:eastAsia="Times New Roman" w:hAnsi="Times New Roman" w:cs="Times New Roman"/>
          <w:color w:val="000000"/>
          <w:sz w:val="28"/>
          <w:szCs w:val="28"/>
          <w:lang w:eastAsia="ru-RU"/>
        </w:rPr>
        <w:t xml:space="preserve">ной защиты, опеки </w:t>
      </w:r>
      <w:r w:rsidRPr="000171B8">
        <w:rPr>
          <w:rFonts w:ascii="Times New Roman" w:eastAsia="Times New Roman" w:hAnsi="Times New Roman" w:cs="Times New Roman"/>
          <w:color w:val="000000"/>
          <w:sz w:val="28"/>
          <w:szCs w:val="28"/>
          <w:lang w:eastAsia="ru-RU"/>
        </w:rPr>
        <w:t xml:space="preserve">и попечительства, труда и занятости </w:t>
      </w:r>
      <w:r w:rsidRPr="00A32FD8">
        <w:rPr>
          <w:rFonts w:ascii="Times New Roman" w:eastAsia="Times New Roman" w:hAnsi="Times New Roman" w:cs="Times New Roman"/>
          <w:color w:val="000000"/>
          <w:sz w:val="28"/>
          <w:szCs w:val="28"/>
          <w:lang w:eastAsia="ru-RU"/>
        </w:rPr>
        <w:t>(</w:t>
      </w:r>
      <w:hyperlink r:id="rId26" w:history="1">
        <w:r w:rsidRPr="00A32FD8">
          <w:rPr>
            <w:rFonts w:ascii="Times New Roman" w:eastAsia="Times New Roman" w:hAnsi="Times New Roman" w:cs="Times New Roman"/>
            <w:sz w:val="28"/>
            <w:szCs w:val="28"/>
            <w:lang w:eastAsia="ru-RU"/>
          </w:rPr>
          <w:t>http://job.orl.ru</w:t>
        </w:r>
      </w:hyperlink>
      <w:r w:rsidRPr="00A32FD8">
        <w:rPr>
          <w:rFonts w:ascii="Times New Roman" w:eastAsia="Times New Roman" w:hAnsi="Times New Roman" w:cs="Times New Roman"/>
          <w:sz w:val="28"/>
          <w:szCs w:val="28"/>
          <w:lang w:eastAsia="ru-RU"/>
        </w:rPr>
        <w:t>)</w:t>
      </w:r>
      <w:r w:rsidRPr="000171B8">
        <w:rPr>
          <w:rFonts w:ascii="Times New Roman" w:eastAsia="Times New Roman" w:hAnsi="Times New Roman" w:cs="Times New Roman"/>
          <w:sz w:val="28"/>
          <w:szCs w:val="28"/>
          <w:lang w:eastAsia="ru-RU"/>
        </w:rPr>
        <w:t xml:space="preserve"> </w:t>
      </w:r>
      <w:r w:rsidRPr="000171B8">
        <w:rPr>
          <w:rFonts w:ascii="Times New Roman" w:eastAsia="Times New Roman" w:hAnsi="Times New Roman" w:cs="Times New Roman"/>
          <w:color w:val="000000"/>
          <w:sz w:val="28"/>
          <w:szCs w:val="28"/>
          <w:lang w:eastAsia="ru-RU"/>
        </w:rPr>
        <w:t>ежемесячно размещался план временной занятости подростков в свободное от учебы время.</w:t>
      </w:r>
    </w:p>
    <w:p w14:paraId="63FCE0DA" w14:textId="77777777" w:rsidR="00AE38A5" w:rsidRPr="000171B8" w:rsidRDefault="00AE38A5" w:rsidP="00AE38A5">
      <w:pPr>
        <w:widowControl w:val="0"/>
        <w:pBdr>
          <w:bottom w:val="single" w:sz="4" w:space="31" w:color="FFFFFF"/>
        </w:pBdr>
        <w:tabs>
          <w:tab w:val="left" w:pos="9540"/>
        </w:tabs>
        <w:suppressAutoHyphens/>
        <w:spacing w:after="0" w:line="312" w:lineRule="auto"/>
        <w:ind w:firstLine="709"/>
        <w:jc w:val="both"/>
        <w:rPr>
          <w:rFonts w:ascii="Times New Roman" w:eastAsia="Times New Roman" w:hAnsi="Times New Roman" w:cs="Times New Roman"/>
          <w:color w:val="000000"/>
          <w:sz w:val="28"/>
          <w:szCs w:val="28"/>
          <w:lang w:eastAsia="ru-RU"/>
        </w:rPr>
      </w:pPr>
      <w:r w:rsidRPr="000171B8">
        <w:rPr>
          <w:rFonts w:ascii="Times New Roman" w:eastAsia="Times New Roman" w:hAnsi="Times New Roman" w:cs="Times New Roman"/>
          <w:color w:val="000000"/>
          <w:sz w:val="28"/>
          <w:szCs w:val="28"/>
          <w:lang w:eastAsia="ru-RU"/>
        </w:rPr>
        <w:t>В целях повышения осведомленности подростков о реальных потребностях рынка труда, поднятия престижа рабочих и инженерных профессий, удовлетворения потребностей обучающихся общеобразовательных организаций в профессиональном самоопреде</w:t>
      </w:r>
      <w:r w:rsidR="00A32FD8">
        <w:rPr>
          <w:rFonts w:ascii="Times New Roman" w:eastAsia="Times New Roman" w:hAnsi="Times New Roman" w:cs="Times New Roman"/>
          <w:color w:val="000000"/>
          <w:sz w:val="28"/>
          <w:szCs w:val="28"/>
          <w:lang w:eastAsia="ru-RU"/>
        </w:rPr>
        <w:t xml:space="preserve">лении, восстановления системной </w:t>
      </w:r>
      <w:r w:rsidRPr="000171B8">
        <w:rPr>
          <w:rFonts w:ascii="Times New Roman" w:eastAsia="Times New Roman" w:hAnsi="Times New Roman" w:cs="Times New Roman"/>
          <w:color w:val="000000"/>
          <w:sz w:val="28"/>
          <w:szCs w:val="28"/>
          <w:lang w:eastAsia="ru-RU"/>
        </w:rPr>
        <w:t>профориентационной работы специалистами службы занятости организовано распространение среди школьников буклетов, информационных листков «Выпускнику школы», «Выбираем рабочую профессию», «Новые профессии», «Профессиональная ориентация и профессиональное обучение безработных граждан», «Организация временного трудоустройства несовершеннолетних граждан в возрасте от 14 до 18 лет», «Портал «Работа в России».</w:t>
      </w:r>
    </w:p>
    <w:p w14:paraId="774AE854" w14:textId="77777777" w:rsidR="00AE38A5" w:rsidRPr="000171B8" w:rsidRDefault="00AE38A5" w:rsidP="00A32FD8">
      <w:pPr>
        <w:widowControl w:val="0"/>
        <w:pBdr>
          <w:bottom w:val="single" w:sz="4" w:space="31" w:color="FFFFFF"/>
        </w:pBdr>
        <w:tabs>
          <w:tab w:val="left" w:pos="9540"/>
        </w:tabs>
        <w:suppressAutoHyphens/>
        <w:spacing w:after="0" w:line="312" w:lineRule="auto"/>
        <w:ind w:firstLine="709"/>
        <w:jc w:val="both"/>
        <w:rPr>
          <w:rFonts w:ascii="Times New Roman" w:eastAsia="Times New Roman" w:hAnsi="Times New Roman" w:cs="Times New Roman"/>
          <w:color w:val="000000"/>
          <w:sz w:val="28"/>
          <w:szCs w:val="28"/>
          <w:lang w:eastAsia="ru-RU"/>
        </w:rPr>
      </w:pPr>
      <w:r w:rsidRPr="000171B8">
        <w:rPr>
          <w:rFonts w:ascii="Times New Roman" w:eastAsia="Times New Roman" w:hAnsi="Times New Roman" w:cs="Times New Roman"/>
          <w:color w:val="000000"/>
          <w:sz w:val="28"/>
          <w:szCs w:val="28"/>
          <w:lang w:eastAsia="ru-RU"/>
        </w:rPr>
        <w:t>На базе Центра занятости населения Тюменской области создан Центр профессиональной ориентации, специалистами которого организуются интерактивные экскурсии, професс</w:t>
      </w:r>
      <w:r w:rsidR="00A32FD8">
        <w:rPr>
          <w:rFonts w:ascii="Times New Roman" w:eastAsia="Times New Roman" w:hAnsi="Times New Roman" w:cs="Times New Roman"/>
          <w:color w:val="000000"/>
          <w:sz w:val="28"/>
          <w:szCs w:val="28"/>
          <w:lang w:eastAsia="ru-RU"/>
        </w:rPr>
        <w:t xml:space="preserve">иональные пробы, мастер-классы. </w:t>
      </w:r>
      <w:r w:rsidRPr="000171B8">
        <w:rPr>
          <w:rFonts w:ascii="Times New Roman" w:eastAsia="Times New Roman" w:hAnsi="Times New Roman" w:cs="Times New Roman"/>
          <w:color w:val="000000"/>
          <w:sz w:val="28"/>
          <w:szCs w:val="28"/>
          <w:lang w:eastAsia="ru-RU"/>
        </w:rPr>
        <w:t>В 2021 г</w:t>
      </w:r>
      <w:r w:rsidR="001862B6">
        <w:rPr>
          <w:rFonts w:ascii="Times New Roman" w:eastAsia="Times New Roman" w:hAnsi="Times New Roman" w:cs="Times New Roman"/>
          <w:color w:val="000000"/>
          <w:sz w:val="28"/>
          <w:szCs w:val="28"/>
          <w:lang w:eastAsia="ru-RU"/>
        </w:rPr>
        <w:t>.</w:t>
      </w:r>
      <w:r w:rsidRPr="000171B8">
        <w:rPr>
          <w:rFonts w:ascii="Times New Roman" w:eastAsia="Times New Roman" w:hAnsi="Times New Roman" w:cs="Times New Roman"/>
          <w:color w:val="000000"/>
          <w:sz w:val="28"/>
          <w:szCs w:val="28"/>
          <w:lang w:eastAsia="ru-RU"/>
        </w:rPr>
        <w:t xml:space="preserve"> проведено 57 экску</w:t>
      </w:r>
      <w:r w:rsidR="00A32FD8">
        <w:rPr>
          <w:rFonts w:ascii="Times New Roman" w:eastAsia="Times New Roman" w:hAnsi="Times New Roman" w:cs="Times New Roman"/>
          <w:color w:val="000000"/>
          <w:sz w:val="28"/>
          <w:szCs w:val="28"/>
          <w:lang w:eastAsia="ru-RU"/>
        </w:rPr>
        <w:t xml:space="preserve">рсий, в которой принял участие </w:t>
      </w:r>
      <w:r w:rsidRPr="000171B8">
        <w:rPr>
          <w:rFonts w:ascii="Times New Roman" w:eastAsia="Times New Roman" w:hAnsi="Times New Roman" w:cs="Times New Roman"/>
          <w:color w:val="000000"/>
          <w:sz w:val="28"/>
          <w:szCs w:val="28"/>
          <w:lang w:eastAsia="ru-RU"/>
        </w:rPr>
        <w:t xml:space="preserve">791 подросток, из них 79 – </w:t>
      </w:r>
      <w:r w:rsidR="00A32FD8">
        <w:rPr>
          <w:rFonts w:ascii="Times New Roman" w:eastAsia="Times New Roman" w:hAnsi="Times New Roman" w:cs="Times New Roman"/>
          <w:color w:val="000000"/>
          <w:sz w:val="28"/>
          <w:szCs w:val="28"/>
          <w:lang w:eastAsia="ru-RU"/>
        </w:rPr>
        <w:t xml:space="preserve">из </w:t>
      </w:r>
      <w:r w:rsidRPr="000171B8">
        <w:rPr>
          <w:rFonts w:ascii="Times New Roman" w:eastAsia="Times New Roman" w:hAnsi="Times New Roman" w:cs="Times New Roman"/>
          <w:color w:val="000000"/>
          <w:sz w:val="28"/>
          <w:szCs w:val="28"/>
          <w:lang w:eastAsia="ru-RU"/>
        </w:rPr>
        <w:t>«группы риска».</w:t>
      </w:r>
    </w:p>
    <w:p w14:paraId="0FBFD641" w14:textId="77777777" w:rsidR="00AE38A5" w:rsidRPr="000171B8" w:rsidRDefault="00AE38A5" w:rsidP="00AE38A5">
      <w:pPr>
        <w:widowControl w:val="0"/>
        <w:pBdr>
          <w:bottom w:val="single" w:sz="4" w:space="31" w:color="FFFFFF"/>
        </w:pBdr>
        <w:tabs>
          <w:tab w:val="left" w:pos="9540"/>
        </w:tabs>
        <w:suppressAutoHyphens/>
        <w:spacing w:after="0" w:line="312" w:lineRule="auto"/>
        <w:ind w:firstLine="709"/>
        <w:jc w:val="both"/>
        <w:rPr>
          <w:rFonts w:ascii="Times New Roman" w:eastAsia="Times New Roman" w:hAnsi="Times New Roman" w:cs="Times New Roman"/>
          <w:color w:val="000000"/>
          <w:sz w:val="28"/>
          <w:szCs w:val="28"/>
          <w:lang w:eastAsia="ru-RU"/>
        </w:rPr>
      </w:pPr>
      <w:r w:rsidRPr="000171B8">
        <w:rPr>
          <w:rFonts w:ascii="Times New Roman" w:eastAsia="Times New Roman" w:hAnsi="Times New Roman" w:cs="Times New Roman"/>
          <w:color w:val="000000"/>
          <w:sz w:val="28"/>
          <w:szCs w:val="28"/>
          <w:lang w:eastAsia="ru-RU"/>
        </w:rPr>
        <w:t>Идея создания указанного Центра возникла в 2013 г</w:t>
      </w:r>
      <w:r w:rsidR="001862B6">
        <w:rPr>
          <w:rFonts w:ascii="Times New Roman" w:eastAsia="Times New Roman" w:hAnsi="Times New Roman" w:cs="Times New Roman"/>
          <w:color w:val="000000"/>
          <w:sz w:val="28"/>
          <w:szCs w:val="28"/>
          <w:lang w:eastAsia="ru-RU"/>
        </w:rPr>
        <w:t>.</w:t>
      </w:r>
      <w:r w:rsidRPr="000171B8">
        <w:rPr>
          <w:rFonts w:ascii="Times New Roman" w:eastAsia="Times New Roman" w:hAnsi="Times New Roman" w:cs="Times New Roman"/>
          <w:color w:val="000000"/>
          <w:sz w:val="28"/>
          <w:szCs w:val="28"/>
          <w:lang w:eastAsia="ru-RU"/>
        </w:rPr>
        <w:t xml:space="preserve"> и подчинена целям государственной политики в области занятости населения, профориентации молодежи, обучающихся общеобразовательных учреждений города Тюмени и Тюменского района на организацию </w:t>
      </w:r>
      <w:proofErr w:type="spellStart"/>
      <w:r w:rsidRPr="000171B8">
        <w:rPr>
          <w:rFonts w:ascii="Times New Roman" w:eastAsia="Times New Roman" w:hAnsi="Times New Roman" w:cs="Times New Roman"/>
          <w:color w:val="000000"/>
          <w:sz w:val="28"/>
          <w:szCs w:val="28"/>
          <w:lang w:eastAsia="ru-RU"/>
        </w:rPr>
        <w:t>профориентационного</w:t>
      </w:r>
      <w:proofErr w:type="spellEnd"/>
      <w:r w:rsidRPr="000171B8">
        <w:rPr>
          <w:rFonts w:ascii="Times New Roman" w:eastAsia="Times New Roman" w:hAnsi="Times New Roman" w:cs="Times New Roman"/>
          <w:color w:val="000000"/>
          <w:sz w:val="28"/>
          <w:szCs w:val="28"/>
          <w:lang w:eastAsia="ru-RU"/>
        </w:rPr>
        <w:t xml:space="preserve"> обслуживания с учетом их профессиональных интересов, склонностей, потребностей, возможностей и состояния здоровья, исходя из требований рынка труда, социально-экономических условий региона.</w:t>
      </w:r>
    </w:p>
    <w:p w14:paraId="4D8B3947" w14:textId="77777777" w:rsidR="00AE38A5" w:rsidRPr="000171B8" w:rsidRDefault="00AE38A5" w:rsidP="00A32FD8">
      <w:pPr>
        <w:widowControl w:val="0"/>
        <w:pBdr>
          <w:bottom w:val="single" w:sz="4" w:space="31" w:color="FFFFFF"/>
        </w:pBdr>
        <w:tabs>
          <w:tab w:val="left" w:pos="9540"/>
        </w:tabs>
        <w:suppressAutoHyphens/>
        <w:spacing w:after="0" w:line="312" w:lineRule="auto"/>
        <w:ind w:firstLine="709"/>
        <w:jc w:val="both"/>
        <w:rPr>
          <w:rFonts w:ascii="Times New Roman" w:eastAsia="Times New Roman" w:hAnsi="Times New Roman" w:cs="Times New Roman"/>
          <w:color w:val="000000"/>
          <w:sz w:val="28"/>
          <w:szCs w:val="28"/>
          <w:lang w:eastAsia="ru-RU"/>
        </w:rPr>
      </w:pPr>
      <w:r w:rsidRPr="000171B8">
        <w:rPr>
          <w:rFonts w:ascii="Times New Roman" w:eastAsia="Times New Roman" w:hAnsi="Times New Roman" w:cs="Times New Roman"/>
          <w:color w:val="000000"/>
          <w:sz w:val="28"/>
          <w:szCs w:val="28"/>
          <w:lang w:eastAsia="ru-RU"/>
        </w:rPr>
        <w:t xml:space="preserve">В Центре профориентации реализуются проекты и проводятся различные </w:t>
      </w:r>
      <w:proofErr w:type="spellStart"/>
      <w:r w:rsidRPr="000171B8">
        <w:rPr>
          <w:rFonts w:ascii="Times New Roman" w:eastAsia="Times New Roman" w:hAnsi="Times New Roman" w:cs="Times New Roman"/>
          <w:color w:val="000000"/>
          <w:sz w:val="28"/>
          <w:szCs w:val="28"/>
          <w:lang w:eastAsia="ru-RU"/>
        </w:rPr>
        <w:t>профориентационные</w:t>
      </w:r>
      <w:proofErr w:type="spellEnd"/>
      <w:r w:rsidRPr="000171B8">
        <w:rPr>
          <w:rFonts w:ascii="Times New Roman" w:eastAsia="Times New Roman" w:hAnsi="Times New Roman" w:cs="Times New Roman"/>
          <w:color w:val="000000"/>
          <w:sz w:val="28"/>
          <w:szCs w:val="28"/>
          <w:lang w:eastAsia="ru-RU"/>
        </w:rPr>
        <w:t xml:space="preserve"> мероприятия. Работа Цент</w:t>
      </w:r>
      <w:r w:rsidR="00A32FD8">
        <w:rPr>
          <w:rFonts w:ascii="Times New Roman" w:eastAsia="Times New Roman" w:hAnsi="Times New Roman" w:cs="Times New Roman"/>
          <w:color w:val="000000"/>
          <w:sz w:val="28"/>
          <w:szCs w:val="28"/>
          <w:lang w:eastAsia="ru-RU"/>
        </w:rPr>
        <w:t xml:space="preserve">ра ведется в двух направлениях: </w:t>
      </w:r>
      <w:r w:rsidRPr="000171B8">
        <w:rPr>
          <w:rFonts w:ascii="Times New Roman" w:eastAsia="Times New Roman" w:hAnsi="Times New Roman" w:cs="Times New Roman"/>
          <w:color w:val="000000"/>
          <w:sz w:val="28"/>
          <w:szCs w:val="28"/>
          <w:lang w:eastAsia="ru-RU"/>
        </w:rPr>
        <w:t xml:space="preserve">оказание государственных услуг </w:t>
      </w:r>
      <w:r w:rsidRPr="00A32FD8">
        <w:rPr>
          <w:rFonts w:ascii="Times New Roman" w:eastAsia="Times New Roman" w:hAnsi="Times New Roman" w:cs="Times New Roman"/>
          <w:color w:val="000000"/>
          <w:sz w:val="28"/>
          <w:szCs w:val="28"/>
          <w:lang w:eastAsia="ru-RU"/>
        </w:rPr>
        <w:t>(профориентация, социальная адаптация, психологическая поддержка)</w:t>
      </w:r>
      <w:r w:rsidRPr="000171B8">
        <w:rPr>
          <w:rFonts w:ascii="Times New Roman" w:eastAsia="Times New Roman" w:hAnsi="Times New Roman" w:cs="Times New Roman"/>
          <w:color w:val="000000"/>
          <w:sz w:val="28"/>
          <w:szCs w:val="28"/>
          <w:lang w:eastAsia="ru-RU"/>
        </w:rPr>
        <w:t>;</w:t>
      </w:r>
      <w:r w:rsidR="00A32FD8">
        <w:rPr>
          <w:rFonts w:ascii="Times New Roman" w:eastAsia="Times New Roman" w:hAnsi="Times New Roman" w:cs="Times New Roman"/>
          <w:color w:val="000000"/>
          <w:sz w:val="28"/>
          <w:szCs w:val="28"/>
          <w:lang w:eastAsia="ru-RU"/>
        </w:rPr>
        <w:t xml:space="preserve"> </w:t>
      </w:r>
      <w:r w:rsidRPr="000171B8">
        <w:rPr>
          <w:rFonts w:ascii="Times New Roman" w:eastAsia="Times New Roman" w:hAnsi="Times New Roman" w:cs="Times New Roman"/>
          <w:color w:val="000000"/>
          <w:sz w:val="28"/>
          <w:szCs w:val="28"/>
          <w:lang w:eastAsia="ru-RU"/>
        </w:rPr>
        <w:t xml:space="preserve">проектная работа </w:t>
      </w:r>
      <w:r w:rsidRPr="00A32FD8">
        <w:rPr>
          <w:rFonts w:ascii="Times New Roman" w:eastAsia="Times New Roman" w:hAnsi="Times New Roman" w:cs="Times New Roman"/>
          <w:color w:val="000000"/>
          <w:sz w:val="28"/>
          <w:szCs w:val="28"/>
          <w:lang w:eastAsia="ru-RU"/>
        </w:rPr>
        <w:t xml:space="preserve">(интерактивное посещение ЦПО, мастер-классы, </w:t>
      </w:r>
      <w:proofErr w:type="spellStart"/>
      <w:r w:rsidRPr="00A32FD8">
        <w:rPr>
          <w:rFonts w:ascii="Times New Roman" w:eastAsia="Times New Roman" w:hAnsi="Times New Roman" w:cs="Times New Roman"/>
          <w:color w:val="000000"/>
          <w:sz w:val="28"/>
          <w:szCs w:val="28"/>
          <w:lang w:eastAsia="ru-RU"/>
        </w:rPr>
        <w:t>профпробы</w:t>
      </w:r>
      <w:proofErr w:type="spellEnd"/>
      <w:r w:rsidRPr="00A32FD8">
        <w:rPr>
          <w:rFonts w:ascii="Times New Roman" w:eastAsia="Times New Roman" w:hAnsi="Times New Roman" w:cs="Times New Roman"/>
          <w:color w:val="000000"/>
          <w:sz w:val="28"/>
          <w:szCs w:val="28"/>
          <w:lang w:eastAsia="ru-RU"/>
        </w:rPr>
        <w:t>, организация тематических мероприятий, методическое сопровождение, работа с персоналом Центра занятости, работа с предприятиями и образовательными организациями)</w:t>
      </w:r>
      <w:r w:rsidRPr="000171B8">
        <w:rPr>
          <w:rFonts w:ascii="Times New Roman" w:eastAsia="Times New Roman" w:hAnsi="Times New Roman" w:cs="Times New Roman"/>
          <w:color w:val="000000"/>
          <w:sz w:val="28"/>
          <w:szCs w:val="28"/>
          <w:lang w:eastAsia="ru-RU"/>
        </w:rPr>
        <w:t>.</w:t>
      </w:r>
    </w:p>
    <w:p w14:paraId="71214570" w14:textId="77777777" w:rsidR="00AE38A5" w:rsidRPr="000171B8" w:rsidRDefault="00AE38A5" w:rsidP="00AE38A5">
      <w:pPr>
        <w:widowControl w:val="0"/>
        <w:pBdr>
          <w:bottom w:val="single" w:sz="4" w:space="31" w:color="FFFFFF"/>
        </w:pBdr>
        <w:tabs>
          <w:tab w:val="left" w:pos="9540"/>
        </w:tabs>
        <w:suppressAutoHyphens/>
        <w:spacing w:after="0" w:line="312" w:lineRule="auto"/>
        <w:ind w:firstLine="709"/>
        <w:jc w:val="both"/>
        <w:rPr>
          <w:rFonts w:ascii="Times New Roman" w:eastAsia="Times New Roman" w:hAnsi="Times New Roman" w:cs="Times New Roman"/>
          <w:color w:val="000000"/>
          <w:sz w:val="28"/>
          <w:szCs w:val="28"/>
          <w:lang w:eastAsia="ru-RU"/>
        </w:rPr>
      </w:pPr>
      <w:r w:rsidRPr="000171B8">
        <w:rPr>
          <w:rFonts w:ascii="Times New Roman" w:eastAsia="Times New Roman" w:hAnsi="Times New Roman" w:cs="Times New Roman"/>
          <w:color w:val="000000"/>
          <w:sz w:val="28"/>
          <w:szCs w:val="28"/>
          <w:lang w:eastAsia="ru-RU"/>
        </w:rPr>
        <w:t>Мероприятия проходят в 20 специальн</w:t>
      </w:r>
      <w:r w:rsidR="00A32FD8">
        <w:rPr>
          <w:rFonts w:ascii="Times New Roman" w:eastAsia="Times New Roman" w:hAnsi="Times New Roman" w:cs="Times New Roman"/>
          <w:color w:val="000000"/>
          <w:sz w:val="28"/>
          <w:szCs w:val="28"/>
          <w:lang w:eastAsia="ru-RU"/>
        </w:rPr>
        <w:t xml:space="preserve">ых профориентационных модулях, </w:t>
      </w:r>
      <w:r w:rsidRPr="000171B8">
        <w:rPr>
          <w:rFonts w:ascii="Times New Roman" w:eastAsia="Times New Roman" w:hAnsi="Times New Roman" w:cs="Times New Roman"/>
          <w:color w:val="000000"/>
          <w:sz w:val="28"/>
          <w:szCs w:val="28"/>
          <w:lang w:eastAsia="ru-RU"/>
        </w:rPr>
        <w:t xml:space="preserve">в которых представлено более 500 единиц оборудования: общественное питание, гончарная мастерская, </w:t>
      </w:r>
      <w:proofErr w:type="spellStart"/>
      <w:r w:rsidRPr="000171B8">
        <w:rPr>
          <w:rFonts w:ascii="Times New Roman" w:eastAsia="Times New Roman" w:hAnsi="Times New Roman" w:cs="Times New Roman"/>
          <w:color w:val="000000"/>
          <w:sz w:val="28"/>
          <w:szCs w:val="28"/>
          <w:lang w:eastAsia="ru-RU"/>
        </w:rPr>
        <w:t>самозанятость</w:t>
      </w:r>
      <w:proofErr w:type="spellEnd"/>
      <w:r w:rsidRPr="000171B8">
        <w:rPr>
          <w:rFonts w:ascii="Times New Roman" w:eastAsia="Times New Roman" w:hAnsi="Times New Roman" w:cs="Times New Roman"/>
          <w:color w:val="000000"/>
          <w:sz w:val="28"/>
          <w:szCs w:val="28"/>
          <w:lang w:eastAsia="ru-RU"/>
        </w:rPr>
        <w:t>, силовые ведомства, сельское хозяйство, промышленность, энергетика, строительство, нефтегазовый комплекс, транспортно-логистический комплекс, жилищно-коммунальное хозяйство, цифровая экономика, лесная промышленность, медицина, типография.</w:t>
      </w:r>
    </w:p>
    <w:p w14:paraId="2471C211" w14:textId="77777777" w:rsidR="00AE38A5" w:rsidRPr="000171B8" w:rsidRDefault="00AE38A5" w:rsidP="00AE38A5">
      <w:pPr>
        <w:widowControl w:val="0"/>
        <w:pBdr>
          <w:bottom w:val="single" w:sz="4" w:space="31" w:color="FFFFFF"/>
        </w:pBdr>
        <w:tabs>
          <w:tab w:val="left" w:pos="9540"/>
        </w:tabs>
        <w:suppressAutoHyphens/>
        <w:spacing w:after="0" w:line="312" w:lineRule="auto"/>
        <w:ind w:firstLine="709"/>
        <w:jc w:val="both"/>
        <w:rPr>
          <w:rFonts w:ascii="Times New Roman" w:eastAsia="Times New Roman" w:hAnsi="Times New Roman" w:cs="Times New Roman"/>
          <w:color w:val="000000"/>
          <w:sz w:val="28"/>
          <w:szCs w:val="28"/>
          <w:lang w:eastAsia="ru-RU"/>
        </w:rPr>
      </w:pPr>
      <w:r w:rsidRPr="000171B8">
        <w:rPr>
          <w:rFonts w:ascii="Times New Roman" w:eastAsia="Times New Roman" w:hAnsi="Times New Roman" w:cs="Times New Roman"/>
          <w:color w:val="000000"/>
          <w:sz w:val="28"/>
          <w:szCs w:val="28"/>
          <w:lang w:eastAsia="ru-RU"/>
        </w:rPr>
        <w:t xml:space="preserve">Каждый из представленных модулей представляет отрасль экономики региона, предприятия данной отрасли, специальности, которые востребованы в настоящее время и будут востребованы в ближайшем будущем. </w:t>
      </w:r>
      <w:r w:rsidR="00A32FD8">
        <w:rPr>
          <w:rFonts w:ascii="Times New Roman" w:eastAsia="Times New Roman" w:hAnsi="Times New Roman" w:cs="Times New Roman"/>
          <w:color w:val="000000"/>
          <w:sz w:val="28"/>
          <w:szCs w:val="28"/>
          <w:lang w:eastAsia="ru-RU"/>
        </w:rPr>
        <w:t>По итогам 2021 г</w:t>
      </w:r>
      <w:r w:rsidR="009F055B">
        <w:rPr>
          <w:rFonts w:ascii="Times New Roman" w:eastAsia="Times New Roman" w:hAnsi="Times New Roman" w:cs="Times New Roman"/>
          <w:color w:val="000000"/>
          <w:sz w:val="28"/>
          <w:szCs w:val="28"/>
          <w:lang w:eastAsia="ru-RU"/>
        </w:rPr>
        <w:t>.</w:t>
      </w:r>
      <w:r w:rsidRPr="000171B8">
        <w:rPr>
          <w:rFonts w:ascii="Times New Roman" w:eastAsia="Times New Roman" w:hAnsi="Times New Roman" w:cs="Times New Roman"/>
          <w:color w:val="000000"/>
          <w:sz w:val="28"/>
          <w:szCs w:val="28"/>
          <w:lang w:eastAsia="ru-RU"/>
        </w:rPr>
        <w:t xml:space="preserve"> </w:t>
      </w:r>
      <w:proofErr w:type="spellStart"/>
      <w:r w:rsidRPr="000171B8">
        <w:rPr>
          <w:rFonts w:ascii="Times New Roman" w:eastAsia="Times New Roman" w:hAnsi="Times New Roman" w:cs="Times New Roman"/>
          <w:color w:val="000000"/>
          <w:sz w:val="28"/>
          <w:szCs w:val="28"/>
          <w:lang w:eastAsia="ru-RU"/>
        </w:rPr>
        <w:t>профориентационными</w:t>
      </w:r>
      <w:proofErr w:type="spellEnd"/>
      <w:r w:rsidRPr="000171B8">
        <w:rPr>
          <w:rFonts w:ascii="Times New Roman" w:eastAsia="Times New Roman" w:hAnsi="Times New Roman" w:cs="Times New Roman"/>
          <w:color w:val="000000"/>
          <w:sz w:val="28"/>
          <w:szCs w:val="28"/>
          <w:lang w:eastAsia="ru-RU"/>
        </w:rPr>
        <w:t xml:space="preserve"> мероприятиями охвачено 21,5 тыс. несовершеннолетних, в том числе 773 – находящихся в социально опасном положении.</w:t>
      </w:r>
    </w:p>
    <w:p w14:paraId="3B2EBAB3" w14:textId="12F43804" w:rsidR="00D03A4F" w:rsidRDefault="00D03A4F" w:rsidP="0030505F">
      <w:pPr>
        <w:spacing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Дополнительное профессиональное образование, профессиональное обучение родителей</w:t>
      </w:r>
      <w:r w:rsidR="009F0D85">
        <w:rPr>
          <w:rFonts w:ascii="Times New Roman" w:eastAsia="Times New Roman" w:hAnsi="Times New Roman" w:cs="Times New Roman"/>
          <w:b/>
          <w:sz w:val="28"/>
          <w:szCs w:val="28"/>
          <w:lang w:eastAsia="ru-RU"/>
        </w:rPr>
        <w:t xml:space="preserve"> </w:t>
      </w:r>
      <w:r w:rsidR="00BC53F5">
        <w:rPr>
          <w:rFonts w:ascii="Times New Roman" w:eastAsia="Times New Roman" w:hAnsi="Times New Roman" w:cs="Times New Roman"/>
          <w:b/>
          <w:sz w:val="28"/>
          <w:szCs w:val="28"/>
          <w:lang w:eastAsia="ru-RU"/>
        </w:rPr>
        <w:t xml:space="preserve">с детьми дошкольного возраста, </w:t>
      </w:r>
      <w:r w:rsidRPr="00D03A4F">
        <w:rPr>
          <w:rFonts w:ascii="Times New Roman" w:eastAsia="Times New Roman" w:hAnsi="Times New Roman" w:cs="Times New Roman"/>
          <w:b/>
          <w:sz w:val="28"/>
          <w:szCs w:val="28"/>
          <w:lang w:eastAsia="ru-RU"/>
        </w:rPr>
        <w:t>в том числе мно</w:t>
      </w:r>
      <w:r w:rsidR="006B1AE4">
        <w:rPr>
          <w:rFonts w:ascii="Times New Roman" w:eastAsia="Times New Roman" w:hAnsi="Times New Roman" w:cs="Times New Roman"/>
          <w:b/>
          <w:sz w:val="28"/>
          <w:szCs w:val="28"/>
          <w:lang w:eastAsia="ru-RU"/>
        </w:rPr>
        <w:t xml:space="preserve">годетных родителей и </w:t>
      </w:r>
      <w:r w:rsidR="003D1F57">
        <w:rPr>
          <w:rFonts w:ascii="Times New Roman" w:eastAsia="Times New Roman" w:hAnsi="Times New Roman" w:cs="Times New Roman"/>
          <w:b/>
          <w:sz w:val="28"/>
          <w:szCs w:val="28"/>
          <w:lang w:eastAsia="ru-RU"/>
        </w:rPr>
        <w:t>родителей, имеющих</w:t>
      </w:r>
      <w:r w:rsidRPr="00D03A4F">
        <w:rPr>
          <w:rFonts w:ascii="Times New Roman" w:eastAsia="Times New Roman" w:hAnsi="Times New Roman" w:cs="Times New Roman"/>
          <w:b/>
          <w:sz w:val="28"/>
          <w:szCs w:val="28"/>
          <w:lang w:eastAsia="ru-RU"/>
        </w:rPr>
        <w:t xml:space="preserve"> детей-инвалидов</w:t>
      </w:r>
    </w:p>
    <w:p w14:paraId="0ABD4B88" w14:textId="7E638883" w:rsidR="00E23905" w:rsidRPr="000171B8" w:rsidRDefault="00E23905" w:rsidP="00E23905">
      <w:pPr>
        <w:autoSpaceDE w:val="0"/>
        <w:autoSpaceDN w:val="0"/>
        <w:adjustRightInd w:val="0"/>
        <w:spacing w:after="0" w:line="312" w:lineRule="auto"/>
        <w:ind w:firstLine="709"/>
        <w:jc w:val="both"/>
        <w:rPr>
          <w:rFonts w:ascii="Times New Roman" w:hAnsi="Times New Roman" w:cs="Times New Roman"/>
          <w:sz w:val="28"/>
          <w:szCs w:val="28"/>
        </w:rPr>
      </w:pPr>
      <w:r w:rsidRPr="000171B8">
        <w:rPr>
          <w:rFonts w:ascii="Times New Roman" w:hAnsi="Times New Roman" w:cs="Times New Roman"/>
          <w:sz w:val="28"/>
          <w:szCs w:val="28"/>
        </w:rPr>
        <w:t>В 2021 г</w:t>
      </w:r>
      <w:r w:rsidR="00495D26">
        <w:rPr>
          <w:rFonts w:ascii="Times New Roman" w:hAnsi="Times New Roman" w:cs="Times New Roman"/>
          <w:sz w:val="28"/>
          <w:szCs w:val="28"/>
        </w:rPr>
        <w:t>.</w:t>
      </w:r>
      <w:r w:rsidRPr="000171B8">
        <w:rPr>
          <w:rFonts w:ascii="Times New Roman" w:hAnsi="Times New Roman" w:cs="Times New Roman"/>
          <w:sz w:val="28"/>
          <w:szCs w:val="28"/>
        </w:rPr>
        <w:t xml:space="preserve"> в органы службы занятости</w:t>
      </w:r>
      <w:r>
        <w:rPr>
          <w:rFonts w:ascii="Times New Roman" w:hAnsi="Times New Roman" w:cs="Times New Roman"/>
          <w:sz w:val="28"/>
          <w:szCs w:val="28"/>
        </w:rPr>
        <w:t xml:space="preserve"> населения субъектов Российской Федерации поступило 4,7 млн</w:t>
      </w:r>
      <w:r w:rsidRPr="000171B8">
        <w:rPr>
          <w:rFonts w:ascii="Times New Roman" w:hAnsi="Times New Roman" w:cs="Times New Roman"/>
          <w:sz w:val="28"/>
          <w:szCs w:val="28"/>
        </w:rPr>
        <w:t xml:space="preserve"> заявлений о содействии в поиске подходящей работы,</w:t>
      </w:r>
      <w:r>
        <w:rPr>
          <w:rFonts w:ascii="Times New Roman" w:hAnsi="Times New Roman" w:cs="Times New Roman"/>
          <w:sz w:val="28"/>
          <w:szCs w:val="28"/>
        </w:rPr>
        <w:t xml:space="preserve"> </w:t>
      </w:r>
      <w:r w:rsidRPr="000171B8">
        <w:rPr>
          <w:rFonts w:ascii="Times New Roman" w:hAnsi="Times New Roman" w:cs="Times New Roman"/>
          <w:sz w:val="28"/>
          <w:szCs w:val="28"/>
        </w:rPr>
        <w:t>из них 1 429,9 тыс. заявлений от родителей, воспитывающих несовершеннолетних</w:t>
      </w:r>
      <w:r>
        <w:rPr>
          <w:rFonts w:ascii="Times New Roman" w:hAnsi="Times New Roman" w:cs="Times New Roman"/>
          <w:sz w:val="28"/>
          <w:szCs w:val="28"/>
        </w:rPr>
        <w:t xml:space="preserve"> </w:t>
      </w:r>
      <w:r w:rsidRPr="000171B8">
        <w:rPr>
          <w:rFonts w:ascii="Times New Roman" w:hAnsi="Times New Roman" w:cs="Times New Roman"/>
          <w:sz w:val="28"/>
          <w:szCs w:val="28"/>
        </w:rPr>
        <w:t>детей, или 30,7% от общего количества заявлений (2020 г.</w:t>
      </w:r>
      <w:r w:rsidR="00A32FD8" w:rsidRPr="002F71BF">
        <w:rPr>
          <w:rFonts w:ascii="Times New Roman" w:hAnsi="Times New Roman" w:cs="Times New Roman"/>
          <w:sz w:val="28"/>
          <w:szCs w:val="28"/>
        </w:rPr>
        <w:t> </w:t>
      </w:r>
      <w:r w:rsidRPr="000171B8">
        <w:rPr>
          <w:rFonts w:ascii="Times New Roman" w:hAnsi="Times New Roman" w:cs="Times New Roman"/>
          <w:sz w:val="28"/>
          <w:szCs w:val="28"/>
        </w:rPr>
        <w:t>– 2 916,4 тыс. заявлений</w:t>
      </w:r>
      <w:r>
        <w:rPr>
          <w:rFonts w:ascii="Times New Roman" w:hAnsi="Times New Roman" w:cs="Times New Roman"/>
          <w:sz w:val="28"/>
          <w:szCs w:val="28"/>
        </w:rPr>
        <w:t xml:space="preserve"> </w:t>
      </w:r>
      <w:r w:rsidRPr="000171B8">
        <w:rPr>
          <w:rFonts w:ascii="Times New Roman" w:hAnsi="Times New Roman" w:cs="Times New Roman"/>
          <w:sz w:val="28"/>
          <w:szCs w:val="28"/>
        </w:rPr>
        <w:t>или 39,4%), в том числе</w:t>
      </w:r>
      <w:r w:rsidR="00C45B9C">
        <w:rPr>
          <w:rFonts w:ascii="Times New Roman" w:hAnsi="Times New Roman" w:cs="Times New Roman"/>
          <w:sz w:val="28"/>
          <w:szCs w:val="28"/>
        </w:rPr>
        <w:t xml:space="preserve"> </w:t>
      </w:r>
      <w:r w:rsidRPr="000171B8">
        <w:rPr>
          <w:rFonts w:ascii="Times New Roman" w:hAnsi="Times New Roman" w:cs="Times New Roman"/>
          <w:sz w:val="28"/>
          <w:szCs w:val="28"/>
        </w:rPr>
        <w:t xml:space="preserve">151,5 тыс. заявлений </w:t>
      </w:r>
      <w:r w:rsidR="00C45B9C">
        <w:rPr>
          <w:rFonts w:ascii="Times New Roman" w:hAnsi="Times New Roman" w:cs="Times New Roman"/>
          <w:sz w:val="28"/>
          <w:szCs w:val="28"/>
        </w:rPr>
        <w:t xml:space="preserve">– </w:t>
      </w:r>
      <w:r w:rsidRPr="000171B8">
        <w:rPr>
          <w:rFonts w:ascii="Times New Roman" w:hAnsi="Times New Roman" w:cs="Times New Roman"/>
          <w:sz w:val="28"/>
          <w:szCs w:val="28"/>
        </w:rPr>
        <w:t>от многодетных родителей, 19,8 тыс.</w:t>
      </w:r>
      <w:r>
        <w:rPr>
          <w:rFonts w:ascii="Times New Roman" w:hAnsi="Times New Roman" w:cs="Times New Roman"/>
          <w:sz w:val="28"/>
          <w:szCs w:val="28"/>
        </w:rPr>
        <w:t xml:space="preserve"> </w:t>
      </w:r>
      <w:r w:rsidRPr="000171B8">
        <w:rPr>
          <w:rFonts w:ascii="Times New Roman" w:hAnsi="Times New Roman" w:cs="Times New Roman"/>
          <w:sz w:val="28"/>
          <w:szCs w:val="28"/>
        </w:rPr>
        <w:t xml:space="preserve">заявлений </w:t>
      </w:r>
      <w:r w:rsidR="00C45B9C">
        <w:rPr>
          <w:rFonts w:ascii="Times New Roman" w:hAnsi="Times New Roman" w:cs="Times New Roman"/>
          <w:sz w:val="28"/>
          <w:szCs w:val="28"/>
        </w:rPr>
        <w:t xml:space="preserve">– </w:t>
      </w:r>
      <w:r w:rsidRPr="000171B8">
        <w:rPr>
          <w:rFonts w:ascii="Times New Roman" w:hAnsi="Times New Roman" w:cs="Times New Roman"/>
          <w:sz w:val="28"/>
          <w:szCs w:val="28"/>
        </w:rPr>
        <w:t xml:space="preserve">от одиноких родителей и 1,0 тыс. заявлений </w:t>
      </w:r>
      <w:r w:rsidR="00C45B9C">
        <w:rPr>
          <w:rFonts w:ascii="Times New Roman" w:hAnsi="Times New Roman" w:cs="Times New Roman"/>
          <w:sz w:val="28"/>
          <w:szCs w:val="28"/>
        </w:rPr>
        <w:t xml:space="preserve">– </w:t>
      </w:r>
      <w:r w:rsidRPr="000171B8">
        <w:rPr>
          <w:rFonts w:ascii="Times New Roman" w:hAnsi="Times New Roman" w:cs="Times New Roman"/>
          <w:sz w:val="28"/>
          <w:szCs w:val="28"/>
        </w:rPr>
        <w:t>от родителей, имеющих детей</w:t>
      </w:r>
      <w:r w:rsidR="003B77D7" w:rsidRPr="003B77D7">
        <w:rPr>
          <w:rFonts w:ascii="Times New Roman" w:eastAsia="Times New Roman" w:hAnsi="Times New Roman" w:cs="Times New Roman"/>
          <w:sz w:val="28"/>
          <w:szCs w:val="28"/>
          <w:lang w:eastAsia="ru-RU"/>
        </w:rPr>
        <w:t xml:space="preserve"> </w:t>
      </w:r>
      <w:r w:rsidR="003B77D7">
        <w:rPr>
          <w:rFonts w:ascii="Times New Roman" w:eastAsia="Times New Roman" w:hAnsi="Times New Roman" w:cs="Times New Roman"/>
          <w:sz w:val="28"/>
          <w:szCs w:val="28"/>
          <w:lang w:eastAsia="ru-RU"/>
        </w:rPr>
        <w:t>с инвалидностью</w:t>
      </w:r>
      <w:r w:rsidR="009E08D5">
        <w:rPr>
          <w:rFonts w:ascii="Times New Roman" w:eastAsia="Times New Roman" w:hAnsi="Times New Roman" w:cs="Times New Roman"/>
          <w:sz w:val="28"/>
          <w:szCs w:val="28"/>
          <w:lang w:eastAsia="ru-RU"/>
        </w:rPr>
        <w:t>.</w:t>
      </w:r>
    </w:p>
    <w:p w14:paraId="1B076677" w14:textId="766F0F4F" w:rsidR="00E23905" w:rsidRPr="000171B8" w:rsidRDefault="00E23905" w:rsidP="00E23905">
      <w:pPr>
        <w:autoSpaceDE w:val="0"/>
        <w:autoSpaceDN w:val="0"/>
        <w:adjustRightInd w:val="0"/>
        <w:spacing w:after="0" w:line="312" w:lineRule="auto"/>
        <w:ind w:firstLine="709"/>
        <w:jc w:val="both"/>
        <w:rPr>
          <w:rFonts w:ascii="Times New Roman" w:hAnsi="Times New Roman" w:cs="Times New Roman"/>
          <w:sz w:val="28"/>
          <w:szCs w:val="28"/>
        </w:rPr>
      </w:pPr>
      <w:r w:rsidRPr="000171B8">
        <w:rPr>
          <w:rFonts w:ascii="Times New Roman" w:hAnsi="Times New Roman" w:cs="Times New Roman"/>
          <w:sz w:val="28"/>
          <w:szCs w:val="28"/>
        </w:rPr>
        <w:t>Снято с регистрационного учета в связ</w:t>
      </w:r>
      <w:r>
        <w:rPr>
          <w:rFonts w:ascii="Times New Roman" w:hAnsi="Times New Roman" w:cs="Times New Roman"/>
          <w:sz w:val="28"/>
          <w:szCs w:val="28"/>
        </w:rPr>
        <w:t xml:space="preserve">и с трудоустройством 712,3 тыс. </w:t>
      </w:r>
      <w:r w:rsidRPr="000171B8">
        <w:rPr>
          <w:rFonts w:ascii="Times New Roman" w:hAnsi="Times New Roman" w:cs="Times New Roman"/>
          <w:sz w:val="28"/>
          <w:szCs w:val="28"/>
        </w:rPr>
        <w:t>заявлений от родителей, воспитывающих несовершеннолетних детей (49,8% от</w:t>
      </w:r>
      <w:r>
        <w:rPr>
          <w:rFonts w:ascii="Times New Roman" w:hAnsi="Times New Roman" w:cs="Times New Roman"/>
          <w:sz w:val="28"/>
          <w:szCs w:val="28"/>
        </w:rPr>
        <w:t xml:space="preserve"> </w:t>
      </w:r>
      <w:r w:rsidRPr="000171B8">
        <w:rPr>
          <w:rFonts w:ascii="Times New Roman" w:hAnsi="Times New Roman" w:cs="Times New Roman"/>
          <w:sz w:val="28"/>
          <w:szCs w:val="28"/>
        </w:rPr>
        <w:t>обрат</w:t>
      </w:r>
      <w:r w:rsidR="00A32FD8">
        <w:rPr>
          <w:rFonts w:ascii="Times New Roman" w:hAnsi="Times New Roman" w:cs="Times New Roman"/>
          <w:sz w:val="28"/>
          <w:szCs w:val="28"/>
        </w:rPr>
        <w:t>ившихся родителей), в том числе</w:t>
      </w:r>
      <w:r w:rsidRPr="000171B8">
        <w:rPr>
          <w:rFonts w:ascii="Times New Roman" w:hAnsi="Times New Roman" w:cs="Times New Roman"/>
          <w:sz w:val="28"/>
          <w:szCs w:val="28"/>
        </w:rPr>
        <w:t xml:space="preserve"> 69,</w:t>
      </w:r>
      <w:r>
        <w:rPr>
          <w:rFonts w:ascii="Times New Roman" w:hAnsi="Times New Roman" w:cs="Times New Roman"/>
          <w:sz w:val="28"/>
          <w:szCs w:val="28"/>
        </w:rPr>
        <w:t xml:space="preserve">4 тыс. заявлений от многодетных </w:t>
      </w:r>
      <w:r w:rsidRPr="000171B8">
        <w:rPr>
          <w:rFonts w:ascii="Times New Roman" w:hAnsi="Times New Roman" w:cs="Times New Roman"/>
          <w:sz w:val="28"/>
          <w:szCs w:val="28"/>
        </w:rPr>
        <w:t>родителей, 11,2 тыс. заявлений от одиноких ро</w:t>
      </w:r>
      <w:r>
        <w:rPr>
          <w:rFonts w:ascii="Times New Roman" w:hAnsi="Times New Roman" w:cs="Times New Roman"/>
          <w:sz w:val="28"/>
          <w:szCs w:val="28"/>
        </w:rPr>
        <w:t xml:space="preserve">дителей и 0,5 тыс. заявлений от </w:t>
      </w:r>
      <w:r w:rsidRPr="000171B8">
        <w:rPr>
          <w:rFonts w:ascii="Times New Roman" w:hAnsi="Times New Roman" w:cs="Times New Roman"/>
          <w:sz w:val="28"/>
          <w:szCs w:val="28"/>
        </w:rPr>
        <w:t>родителей, имеющих детей</w:t>
      </w:r>
      <w:r w:rsidR="003B77D7">
        <w:rPr>
          <w:rFonts w:ascii="Times New Roman" w:hAnsi="Times New Roman" w:cs="Times New Roman"/>
          <w:sz w:val="28"/>
          <w:szCs w:val="28"/>
        </w:rPr>
        <w:t xml:space="preserve"> </w:t>
      </w:r>
      <w:r w:rsidR="003B77D7">
        <w:rPr>
          <w:rFonts w:ascii="Times New Roman" w:eastAsia="Times New Roman" w:hAnsi="Times New Roman" w:cs="Times New Roman"/>
          <w:sz w:val="28"/>
          <w:szCs w:val="28"/>
          <w:lang w:eastAsia="ru-RU"/>
        </w:rPr>
        <w:t>с инвалидностью.</w:t>
      </w:r>
    </w:p>
    <w:p w14:paraId="05F2B6B4" w14:textId="1DAB4782" w:rsidR="00E23905" w:rsidRPr="000171B8" w:rsidRDefault="00E23905" w:rsidP="00E23905">
      <w:pPr>
        <w:autoSpaceDE w:val="0"/>
        <w:autoSpaceDN w:val="0"/>
        <w:adjustRightInd w:val="0"/>
        <w:spacing w:after="0" w:line="312" w:lineRule="auto"/>
        <w:ind w:firstLine="709"/>
        <w:jc w:val="both"/>
        <w:rPr>
          <w:rFonts w:ascii="Times New Roman" w:hAnsi="Times New Roman" w:cs="Times New Roman"/>
          <w:sz w:val="28"/>
          <w:szCs w:val="28"/>
        </w:rPr>
      </w:pPr>
      <w:r w:rsidRPr="000171B8">
        <w:rPr>
          <w:rFonts w:ascii="Times New Roman" w:hAnsi="Times New Roman" w:cs="Times New Roman"/>
          <w:sz w:val="28"/>
          <w:szCs w:val="28"/>
        </w:rPr>
        <w:t>На конец 2021 г</w:t>
      </w:r>
      <w:r w:rsidR="00495D26">
        <w:rPr>
          <w:rFonts w:ascii="Times New Roman" w:hAnsi="Times New Roman" w:cs="Times New Roman"/>
          <w:sz w:val="28"/>
          <w:szCs w:val="28"/>
        </w:rPr>
        <w:t>.</w:t>
      </w:r>
      <w:r w:rsidRPr="000171B8">
        <w:rPr>
          <w:rFonts w:ascii="Times New Roman" w:hAnsi="Times New Roman" w:cs="Times New Roman"/>
          <w:sz w:val="28"/>
          <w:szCs w:val="28"/>
        </w:rPr>
        <w:t xml:space="preserve"> на учете в органах </w:t>
      </w:r>
      <w:r>
        <w:rPr>
          <w:rFonts w:ascii="Times New Roman" w:hAnsi="Times New Roman" w:cs="Times New Roman"/>
          <w:sz w:val="28"/>
          <w:szCs w:val="28"/>
        </w:rPr>
        <w:t xml:space="preserve">службы занятости населения было </w:t>
      </w:r>
      <w:r w:rsidRPr="000171B8">
        <w:rPr>
          <w:rFonts w:ascii="Times New Roman" w:hAnsi="Times New Roman" w:cs="Times New Roman"/>
          <w:sz w:val="28"/>
          <w:szCs w:val="28"/>
        </w:rPr>
        <w:t>зарегистрировано 313,6 тыс. заявлений о содействии в поиске подходящей работы от</w:t>
      </w:r>
      <w:r>
        <w:rPr>
          <w:rFonts w:ascii="Times New Roman" w:hAnsi="Times New Roman" w:cs="Times New Roman"/>
          <w:sz w:val="28"/>
          <w:szCs w:val="28"/>
        </w:rPr>
        <w:t xml:space="preserve"> </w:t>
      </w:r>
      <w:r w:rsidRPr="000171B8">
        <w:rPr>
          <w:rFonts w:ascii="Times New Roman" w:hAnsi="Times New Roman" w:cs="Times New Roman"/>
          <w:sz w:val="28"/>
          <w:szCs w:val="28"/>
        </w:rPr>
        <w:t>родителей, воспитывающих несовершеннол</w:t>
      </w:r>
      <w:r>
        <w:rPr>
          <w:rFonts w:ascii="Times New Roman" w:hAnsi="Times New Roman" w:cs="Times New Roman"/>
          <w:sz w:val="28"/>
          <w:szCs w:val="28"/>
        </w:rPr>
        <w:t>етних детей</w:t>
      </w:r>
      <w:r w:rsidR="008541F4">
        <w:rPr>
          <w:rFonts w:ascii="Times New Roman" w:hAnsi="Times New Roman" w:cs="Times New Roman"/>
          <w:sz w:val="28"/>
          <w:szCs w:val="28"/>
        </w:rPr>
        <w:t>,</w:t>
      </w:r>
      <w:r>
        <w:rPr>
          <w:rFonts w:ascii="Times New Roman" w:hAnsi="Times New Roman" w:cs="Times New Roman"/>
          <w:sz w:val="28"/>
          <w:szCs w:val="28"/>
        </w:rPr>
        <w:t xml:space="preserve"> или 32,8% от общего </w:t>
      </w:r>
      <w:r w:rsidRPr="000171B8">
        <w:rPr>
          <w:rFonts w:ascii="Times New Roman" w:hAnsi="Times New Roman" w:cs="Times New Roman"/>
          <w:sz w:val="28"/>
          <w:szCs w:val="28"/>
        </w:rPr>
        <w:t>количества заявлений (на конец 2020 г. – 1 322,9 тыс. заявлений), в том числе</w:t>
      </w:r>
      <w:r w:rsidR="008541F4">
        <w:rPr>
          <w:rFonts w:ascii="Times New Roman" w:hAnsi="Times New Roman" w:cs="Times New Roman"/>
          <w:sz w:val="28"/>
          <w:szCs w:val="28"/>
        </w:rPr>
        <w:br/>
      </w:r>
      <w:r w:rsidRPr="000171B8">
        <w:rPr>
          <w:rFonts w:ascii="Times New Roman" w:hAnsi="Times New Roman" w:cs="Times New Roman"/>
          <w:sz w:val="28"/>
          <w:szCs w:val="28"/>
        </w:rPr>
        <w:t>40,1</w:t>
      </w:r>
      <w:r>
        <w:rPr>
          <w:rFonts w:ascii="Times New Roman" w:hAnsi="Times New Roman" w:cs="Times New Roman"/>
          <w:sz w:val="28"/>
          <w:szCs w:val="28"/>
        </w:rPr>
        <w:t xml:space="preserve"> </w:t>
      </w:r>
      <w:r w:rsidRPr="000171B8">
        <w:rPr>
          <w:rFonts w:ascii="Times New Roman" w:hAnsi="Times New Roman" w:cs="Times New Roman"/>
          <w:sz w:val="28"/>
          <w:szCs w:val="28"/>
        </w:rPr>
        <w:t>тыс. заявлений от многодетных родителей, 4,5 тыс. заявлений от одиноких родителей,</w:t>
      </w:r>
      <w:r>
        <w:rPr>
          <w:rFonts w:ascii="Times New Roman" w:hAnsi="Times New Roman" w:cs="Times New Roman"/>
          <w:sz w:val="28"/>
          <w:szCs w:val="28"/>
        </w:rPr>
        <w:t xml:space="preserve"> </w:t>
      </w:r>
      <w:r w:rsidRPr="000171B8">
        <w:rPr>
          <w:rFonts w:ascii="Times New Roman" w:hAnsi="Times New Roman" w:cs="Times New Roman"/>
          <w:sz w:val="28"/>
          <w:szCs w:val="28"/>
        </w:rPr>
        <w:t>0,3 тыс. заявлений от родителей, имеющих детей</w:t>
      </w:r>
      <w:r w:rsidR="003B77D7" w:rsidRPr="003B77D7">
        <w:rPr>
          <w:rFonts w:ascii="Times New Roman" w:eastAsia="Times New Roman" w:hAnsi="Times New Roman" w:cs="Times New Roman"/>
          <w:sz w:val="28"/>
          <w:szCs w:val="28"/>
          <w:lang w:eastAsia="ru-RU"/>
        </w:rPr>
        <w:t xml:space="preserve"> </w:t>
      </w:r>
      <w:r w:rsidR="003B77D7">
        <w:rPr>
          <w:rFonts w:ascii="Times New Roman" w:eastAsia="Times New Roman" w:hAnsi="Times New Roman" w:cs="Times New Roman"/>
          <w:sz w:val="28"/>
          <w:szCs w:val="28"/>
          <w:lang w:eastAsia="ru-RU"/>
        </w:rPr>
        <w:t>с инвалидностью</w:t>
      </w:r>
      <w:r w:rsidRPr="000171B8">
        <w:rPr>
          <w:rFonts w:ascii="Times New Roman" w:hAnsi="Times New Roman" w:cs="Times New Roman"/>
          <w:sz w:val="28"/>
          <w:szCs w:val="28"/>
        </w:rPr>
        <w:t>.</w:t>
      </w:r>
    </w:p>
    <w:p w14:paraId="4B57D834" w14:textId="4EE2F8CD" w:rsidR="00E23905" w:rsidRPr="00E23905" w:rsidRDefault="00E23905" w:rsidP="00E23905">
      <w:pPr>
        <w:autoSpaceDE w:val="0"/>
        <w:autoSpaceDN w:val="0"/>
        <w:adjustRightInd w:val="0"/>
        <w:spacing w:after="0" w:line="312" w:lineRule="auto"/>
        <w:ind w:firstLine="709"/>
        <w:jc w:val="both"/>
        <w:rPr>
          <w:rFonts w:ascii="Times New Roman" w:hAnsi="Times New Roman" w:cs="Times New Roman"/>
          <w:sz w:val="28"/>
          <w:szCs w:val="28"/>
        </w:rPr>
      </w:pPr>
      <w:r w:rsidRPr="000171B8">
        <w:rPr>
          <w:rFonts w:ascii="Times New Roman" w:hAnsi="Times New Roman" w:cs="Times New Roman"/>
          <w:sz w:val="28"/>
          <w:szCs w:val="28"/>
        </w:rPr>
        <w:t>На конец 2021 г</w:t>
      </w:r>
      <w:r w:rsidR="00495D26">
        <w:rPr>
          <w:rFonts w:ascii="Times New Roman" w:hAnsi="Times New Roman" w:cs="Times New Roman"/>
          <w:sz w:val="28"/>
          <w:szCs w:val="28"/>
        </w:rPr>
        <w:t>.</w:t>
      </w:r>
      <w:r w:rsidRPr="000171B8">
        <w:rPr>
          <w:rFonts w:ascii="Times New Roman" w:hAnsi="Times New Roman" w:cs="Times New Roman"/>
          <w:sz w:val="28"/>
          <w:szCs w:val="28"/>
        </w:rPr>
        <w:t xml:space="preserve"> на регистрационном учете с</w:t>
      </w:r>
      <w:r>
        <w:rPr>
          <w:rFonts w:ascii="Times New Roman" w:hAnsi="Times New Roman" w:cs="Times New Roman"/>
          <w:sz w:val="28"/>
          <w:szCs w:val="28"/>
        </w:rPr>
        <w:t xml:space="preserve">остояло 265,3 </w:t>
      </w:r>
      <w:r w:rsidRPr="000171B8">
        <w:rPr>
          <w:rFonts w:ascii="Times New Roman" w:hAnsi="Times New Roman" w:cs="Times New Roman"/>
          <w:sz w:val="28"/>
          <w:szCs w:val="28"/>
        </w:rPr>
        <w:t>тыс. безработных родителей, воспитывающих несовершеннолетних детей (на конец</w:t>
      </w:r>
      <w:r>
        <w:rPr>
          <w:rFonts w:ascii="Times New Roman" w:hAnsi="Times New Roman" w:cs="Times New Roman"/>
          <w:sz w:val="28"/>
          <w:szCs w:val="28"/>
        </w:rPr>
        <w:t xml:space="preserve"> </w:t>
      </w:r>
      <w:r w:rsidRPr="000171B8">
        <w:rPr>
          <w:rFonts w:ascii="Times New Roman" w:hAnsi="Times New Roman" w:cs="Times New Roman"/>
          <w:sz w:val="28"/>
          <w:szCs w:val="28"/>
        </w:rPr>
        <w:t xml:space="preserve">2020 г. – </w:t>
      </w:r>
      <w:r w:rsidR="00495D26">
        <w:rPr>
          <w:rFonts w:ascii="Times New Roman" w:hAnsi="Times New Roman" w:cs="Times New Roman"/>
          <w:sz w:val="28"/>
          <w:szCs w:val="28"/>
        </w:rPr>
        <w:br/>
      </w:r>
      <w:r w:rsidRPr="000171B8">
        <w:rPr>
          <w:rFonts w:ascii="Times New Roman" w:hAnsi="Times New Roman" w:cs="Times New Roman"/>
          <w:sz w:val="28"/>
          <w:szCs w:val="28"/>
        </w:rPr>
        <w:t>1 261,1 тыс. родителей), в том числе 35,5 тыс. многодетных родителей, 4,2</w:t>
      </w:r>
      <w:r>
        <w:rPr>
          <w:rFonts w:ascii="Times New Roman" w:hAnsi="Times New Roman" w:cs="Times New Roman"/>
          <w:sz w:val="28"/>
          <w:szCs w:val="28"/>
        </w:rPr>
        <w:t xml:space="preserve"> </w:t>
      </w:r>
      <w:r w:rsidRPr="000171B8">
        <w:rPr>
          <w:rFonts w:ascii="Times New Roman" w:hAnsi="Times New Roman" w:cs="Times New Roman"/>
          <w:sz w:val="28"/>
          <w:szCs w:val="28"/>
        </w:rPr>
        <w:t>тыс. одиноких родителей, 0,2 тыс. родит</w:t>
      </w:r>
      <w:r>
        <w:rPr>
          <w:rFonts w:ascii="Times New Roman" w:hAnsi="Times New Roman" w:cs="Times New Roman"/>
          <w:sz w:val="28"/>
          <w:szCs w:val="28"/>
        </w:rPr>
        <w:t>елей, имеющий детей</w:t>
      </w:r>
      <w:r w:rsidR="003B77D7" w:rsidRPr="003B77D7">
        <w:rPr>
          <w:rFonts w:ascii="Times New Roman" w:eastAsia="Times New Roman" w:hAnsi="Times New Roman" w:cs="Times New Roman"/>
          <w:sz w:val="28"/>
          <w:szCs w:val="28"/>
          <w:lang w:eastAsia="ru-RU"/>
        </w:rPr>
        <w:t xml:space="preserve"> </w:t>
      </w:r>
      <w:r w:rsidR="003B77D7">
        <w:rPr>
          <w:rFonts w:ascii="Times New Roman" w:eastAsia="Times New Roman" w:hAnsi="Times New Roman" w:cs="Times New Roman"/>
          <w:sz w:val="28"/>
          <w:szCs w:val="28"/>
          <w:lang w:eastAsia="ru-RU"/>
        </w:rPr>
        <w:t>с инвалидностью</w:t>
      </w:r>
      <w:r>
        <w:rPr>
          <w:rFonts w:ascii="Times New Roman" w:hAnsi="Times New Roman" w:cs="Times New Roman"/>
          <w:sz w:val="28"/>
          <w:szCs w:val="28"/>
        </w:rPr>
        <w:t>.</w:t>
      </w:r>
    </w:p>
    <w:p w14:paraId="040E214E" w14:textId="746FC19D" w:rsidR="00286405" w:rsidRPr="00286405" w:rsidRDefault="00286405" w:rsidP="00E23905">
      <w:pPr>
        <w:spacing w:after="0" w:line="312" w:lineRule="auto"/>
        <w:ind w:firstLine="709"/>
        <w:jc w:val="both"/>
        <w:outlineLvl w:val="0"/>
        <w:rPr>
          <w:rFonts w:ascii="Times New Roman" w:hAnsi="Times New Roman" w:cs="Times New Roman"/>
          <w:sz w:val="28"/>
          <w:szCs w:val="28"/>
        </w:rPr>
      </w:pPr>
      <w:r w:rsidRPr="00286405">
        <w:rPr>
          <w:rFonts w:ascii="Times New Roman" w:hAnsi="Times New Roman" w:cs="Times New Roman"/>
          <w:sz w:val="28"/>
          <w:szCs w:val="28"/>
        </w:rPr>
        <w:t>В 2021 г</w:t>
      </w:r>
      <w:r w:rsidR="00495D26">
        <w:rPr>
          <w:rFonts w:ascii="Times New Roman" w:hAnsi="Times New Roman" w:cs="Times New Roman"/>
          <w:sz w:val="28"/>
          <w:szCs w:val="28"/>
        </w:rPr>
        <w:t>.</w:t>
      </w:r>
      <w:r w:rsidRPr="00286405">
        <w:rPr>
          <w:rFonts w:ascii="Times New Roman" w:hAnsi="Times New Roman" w:cs="Times New Roman"/>
          <w:sz w:val="28"/>
          <w:szCs w:val="28"/>
        </w:rPr>
        <w:t xml:space="preserve"> государственные услуги</w:t>
      </w:r>
      <w:r w:rsidR="00E23905">
        <w:rPr>
          <w:rFonts w:ascii="Times New Roman" w:hAnsi="Times New Roman" w:cs="Times New Roman"/>
          <w:sz w:val="28"/>
          <w:szCs w:val="28"/>
        </w:rPr>
        <w:t xml:space="preserve"> по профессиональному обучению </w:t>
      </w:r>
      <w:r w:rsidRPr="00286405">
        <w:rPr>
          <w:rFonts w:ascii="Times New Roman" w:hAnsi="Times New Roman" w:cs="Times New Roman"/>
          <w:sz w:val="28"/>
          <w:szCs w:val="28"/>
        </w:rPr>
        <w:t>и дополнительному професс</w:t>
      </w:r>
      <w:r w:rsidR="008541F4">
        <w:rPr>
          <w:rFonts w:ascii="Times New Roman" w:hAnsi="Times New Roman" w:cs="Times New Roman"/>
          <w:sz w:val="28"/>
          <w:szCs w:val="28"/>
        </w:rPr>
        <w:t>иональному образованию получили</w:t>
      </w:r>
      <w:r w:rsidR="00E23905">
        <w:rPr>
          <w:rFonts w:ascii="Times New Roman" w:hAnsi="Times New Roman" w:cs="Times New Roman"/>
          <w:sz w:val="28"/>
          <w:szCs w:val="28"/>
        </w:rPr>
        <w:t xml:space="preserve"> </w:t>
      </w:r>
      <w:r w:rsidRPr="00286405">
        <w:rPr>
          <w:rFonts w:ascii="Times New Roman" w:hAnsi="Times New Roman" w:cs="Times New Roman"/>
          <w:sz w:val="28"/>
          <w:szCs w:val="28"/>
        </w:rPr>
        <w:t>6 741 женщин</w:t>
      </w:r>
      <w:r w:rsidR="008541F4">
        <w:rPr>
          <w:rFonts w:ascii="Times New Roman" w:hAnsi="Times New Roman" w:cs="Times New Roman"/>
          <w:sz w:val="28"/>
          <w:szCs w:val="28"/>
        </w:rPr>
        <w:t>а</w:t>
      </w:r>
      <w:r w:rsidRPr="00286405">
        <w:rPr>
          <w:rFonts w:ascii="Times New Roman" w:hAnsi="Times New Roman" w:cs="Times New Roman"/>
          <w:sz w:val="28"/>
          <w:szCs w:val="28"/>
        </w:rPr>
        <w:t>, имеющ</w:t>
      </w:r>
      <w:r w:rsidR="008541F4">
        <w:rPr>
          <w:rFonts w:ascii="Times New Roman" w:hAnsi="Times New Roman" w:cs="Times New Roman"/>
          <w:sz w:val="28"/>
          <w:szCs w:val="28"/>
        </w:rPr>
        <w:t>ая</w:t>
      </w:r>
      <w:r w:rsidRPr="00286405">
        <w:rPr>
          <w:rFonts w:ascii="Times New Roman" w:hAnsi="Times New Roman" w:cs="Times New Roman"/>
          <w:sz w:val="28"/>
          <w:szCs w:val="28"/>
        </w:rPr>
        <w:t xml:space="preserve"> детей в возрасте до трех лет;</w:t>
      </w:r>
      <w:r w:rsidR="00E23905">
        <w:rPr>
          <w:rFonts w:ascii="Times New Roman" w:hAnsi="Times New Roman" w:cs="Times New Roman"/>
          <w:sz w:val="28"/>
          <w:szCs w:val="28"/>
        </w:rPr>
        <w:t xml:space="preserve"> </w:t>
      </w:r>
      <w:r w:rsidRPr="00286405">
        <w:rPr>
          <w:rFonts w:ascii="Times New Roman" w:hAnsi="Times New Roman" w:cs="Times New Roman"/>
          <w:sz w:val="28"/>
          <w:szCs w:val="28"/>
        </w:rPr>
        <w:t>794 граждан из числа детей-сирот, детей, оставшихся без попечения родителей;</w:t>
      </w:r>
      <w:r w:rsidR="00E23905">
        <w:rPr>
          <w:rFonts w:ascii="Times New Roman" w:hAnsi="Times New Roman" w:cs="Times New Roman"/>
          <w:sz w:val="28"/>
          <w:szCs w:val="28"/>
        </w:rPr>
        <w:t xml:space="preserve"> </w:t>
      </w:r>
      <w:r w:rsidRPr="00286405">
        <w:rPr>
          <w:rFonts w:ascii="Times New Roman" w:hAnsi="Times New Roman" w:cs="Times New Roman"/>
          <w:sz w:val="28"/>
          <w:szCs w:val="28"/>
        </w:rPr>
        <w:t>76 699 родителей, имеющих несовершеннолетних детей, из них:</w:t>
      </w:r>
      <w:r w:rsidR="00E23905">
        <w:rPr>
          <w:rFonts w:ascii="Times New Roman" w:hAnsi="Times New Roman" w:cs="Times New Roman"/>
          <w:sz w:val="28"/>
          <w:szCs w:val="28"/>
        </w:rPr>
        <w:t xml:space="preserve"> </w:t>
      </w:r>
      <w:r w:rsidRPr="00286405">
        <w:rPr>
          <w:rFonts w:ascii="Times New Roman" w:hAnsi="Times New Roman" w:cs="Times New Roman"/>
          <w:sz w:val="28"/>
          <w:szCs w:val="28"/>
        </w:rPr>
        <w:t>1 537 одиноки</w:t>
      </w:r>
      <w:r w:rsidR="008541F4">
        <w:rPr>
          <w:rFonts w:ascii="Times New Roman" w:hAnsi="Times New Roman" w:cs="Times New Roman"/>
          <w:sz w:val="28"/>
          <w:szCs w:val="28"/>
        </w:rPr>
        <w:t>х</w:t>
      </w:r>
      <w:r w:rsidRPr="00286405">
        <w:rPr>
          <w:rFonts w:ascii="Times New Roman" w:hAnsi="Times New Roman" w:cs="Times New Roman"/>
          <w:sz w:val="28"/>
          <w:szCs w:val="28"/>
        </w:rPr>
        <w:t xml:space="preserve"> родител</w:t>
      </w:r>
      <w:r w:rsidR="008541F4">
        <w:rPr>
          <w:rFonts w:ascii="Times New Roman" w:hAnsi="Times New Roman" w:cs="Times New Roman"/>
          <w:sz w:val="28"/>
          <w:szCs w:val="28"/>
        </w:rPr>
        <w:t>ей,</w:t>
      </w:r>
      <w:r w:rsidR="00E23905">
        <w:rPr>
          <w:rFonts w:ascii="Times New Roman" w:hAnsi="Times New Roman" w:cs="Times New Roman"/>
          <w:sz w:val="28"/>
          <w:szCs w:val="28"/>
        </w:rPr>
        <w:t xml:space="preserve"> </w:t>
      </w:r>
      <w:r w:rsidRPr="00286405">
        <w:rPr>
          <w:rFonts w:ascii="Times New Roman" w:hAnsi="Times New Roman" w:cs="Times New Roman"/>
          <w:sz w:val="28"/>
          <w:szCs w:val="28"/>
        </w:rPr>
        <w:t xml:space="preserve">8 473 </w:t>
      </w:r>
      <w:r w:rsidR="00E23905">
        <w:rPr>
          <w:rFonts w:ascii="Times New Roman" w:hAnsi="Times New Roman" w:cs="Times New Roman"/>
          <w:sz w:val="28"/>
          <w:szCs w:val="28"/>
        </w:rPr>
        <w:t>многодетны</w:t>
      </w:r>
      <w:r w:rsidR="008541F4">
        <w:rPr>
          <w:rFonts w:ascii="Times New Roman" w:hAnsi="Times New Roman" w:cs="Times New Roman"/>
          <w:sz w:val="28"/>
          <w:szCs w:val="28"/>
        </w:rPr>
        <w:t>х</w:t>
      </w:r>
      <w:r w:rsidR="00E23905">
        <w:rPr>
          <w:rFonts w:ascii="Times New Roman" w:hAnsi="Times New Roman" w:cs="Times New Roman"/>
          <w:sz w:val="28"/>
          <w:szCs w:val="28"/>
        </w:rPr>
        <w:t xml:space="preserve"> родител</w:t>
      </w:r>
      <w:r w:rsidR="008541F4">
        <w:rPr>
          <w:rFonts w:ascii="Times New Roman" w:hAnsi="Times New Roman" w:cs="Times New Roman"/>
          <w:sz w:val="28"/>
          <w:szCs w:val="28"/>
        </w:rPr>
        <w:t>я,</w:t>
      </w:r>
      <w:r w:rsidR="00E23905">
        <w:rPr>
          <w:rFonts w:ascii="Times New Roman" w:hAnsi="Times New Roman" w:cs="Times New Roman"/>
          <w:sz w:val="28"/>
          <w:szCs w:val="28"/>
        </w:rPr>
        <w:t xml:space="preserve"> </w:t>
      </w:r>
      <w:r w:rsidRPr="00286405">
        <w:rPr>
          <w:rFonts w:ascii="Times New Roman" w:hAnsi="Times New Roman" w:cs="Times New Roman"/>
          <w:sz w:val="28"/>
          <w:szCs w:val="28"/>
        </w:rPr>
        <w:t>83 родител</w:t>
      </w:r>
      <w:r w:rsidR="008541F4">
        <w:rPr>
          <w:rFonts w:ascii="Times New Roman" w:hAnsi="Times New Roman" w:cs="Times New Roman"/>
          <w:sz w:val="28"/>
          <w:szCs w:val="28"/>
        </w:rPr>
        <w:t>я</w:t>
      </w:r>
      <w:r w:rsidRPr="00286405">
        <w:rPr>
          <w:rFonts w:ascii="Times New Roman" w:hAnsi="Times New Roman" w:cs="Times New Roman"/>
          <w:sz w:val="28"/>
          <w:szCs w:val="28"/>
        </w:rPr>
        <w:t>, имеющи</w:t>
      </w:r>
      <w:r w:rsidR="008541F4">
        <w:rPr>
          <w:rFonts w:ascii="Times New Roman" w:hAnsi="Times New Roman" w:cs="Times New Roman"/>
          <w:sz w:val="28"/>
          <w:szCs w:val="28"/>
        </w:rPr>
        <w:t>х</w:t>
      </w:r>
      <w:r w:rsidRPr="00286405">
        <w:rPr>
          <w:rFonts w:ascii="Times New Roman" w:hAnsi="Times New Roman" w:cs="Times New Roman"/>
          <w:sz w:val="28"/>
          <w:szCs w:val="28"/>
        </w:rPr>
        <w:t xml:space="preserve"> детей</w:t>
      </w:r>
      <w:r w:rsidR="003B77D7" w:rsidRPr="003B77D7">
        <w:rPr>
          <w:rFonts w:ascii="Times New Roman" w:eastAsia="Times New Roman" w:hAnsi="Times New Roman" w:cs="Times New Roman"/>
          <w:sz w:val="28"/>
          <w:szCs w:val="28"/>
          <w:lang w:eastAsia="ru-RU"/>
        </w:rPr>
        <w:t xml:space="preserve"> </w:t>
      </w:r>
      <w:r w:rsidR="003B77D7">
        <w:rPr>
          <w:rFonts w:ascii="Times New Roman" w:eastAsia="Times New Roman" w:hAnsi="Times New Roman" w:cs="Times New Roman"/>
          <w:sz w:val="28"/>
          <w:szCs w:val="28"/>
          <w:lang w:eastAsia="ru-RU"/>
        </w:rPr>
        <w:t>с инвалидностью</w:t>
      </w:r>
      <w:r w:rsidRPr="00286405">
        <w:rPr>
          <w:rFonts w:ascii="Times New Roman" w:hAnsi="Times New Roman" w:cs="Times New Roman"/>
          <w:sz w:val="28"/>
          <w:szCs w:val="28"/>
        </w:rPr>
        <w:t>.</w:t>
      </w:r>
    </w:p>
    <w:p w14:paraId="2D205BB8" w14:textId="77777777" w:rsidR="00B95E06" w:rsidRDefault="00B95E06" w:rsidP="00576FC6">
      <w:pPr>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Содействие совмещению родителями приносящей доход деятельности с выполнением семейных обязанностей, в том числе путем развития форм присмотра и ухода за детьми</w:t>
      </w:r>
    </w:p>
    <w:p w14:paraId="4D6B6607" w14:textId="77777777" w:rsidR="00286405" w:rsidRPr="008541F4" w:rsidRDefault="00286405" w:rsidP="008541F4">
      <w:pPr>
        <w:pStyle w:val="Style2"/>
        <w:shd w:val="clear" w:color="auto" w:fill="auto"/>
        <w:spacing w:after="0" w:line="312" w:lineRule="auto"/>
        <w:ind w:firstLine="709"/>
        <w:jc w:val="both"/>
        <w:rPr>
          <w:rFonts w:ascii="Times New Roman" w:hAnsi="Times New Roman" w:cs="Times New Roman"/>
          <w:sz w:val="28"/>
          <w:szCs w:val="28"/>
        </w:rPr>
      </w:pPr>
      <w:r w:rsidRPr="008541F4">
        <w:rPr>
          <w:rFonts w:ascii="Times New Roman" w:eastAsia="Times New Roman" w:hAnsi="Times New Roman" w:cs="Times New Roman"/>
          <w:color w:val="000000"/>
          <w:sz w:val="28"/>
          <w:szCs w:val="28"/>
          <w:lang w:eastAsia="ru-RU" w:bidi="ru-RU"/>
        </w:rPr>
        <w:t xml:space="preserve">В целом трудовое законодательство позволяет применять гибкий график работы, возможность работать дистанционно, с целью создания условий работникам </w:t>
      </w:r>
      <w:r w:rsidR="008541F4">
        <w:rPr>
          <w:rFonts w:ascii="Times New Roman" w:eastAsia="Times New Roman" w:hAnsi="Times New Roman" w:cs="Times New Roman"/>
          <w:color w:val="000000"/>
          <w:sz w:val="28"/>
          <w:szCs w:val="28"/>
          <w:lang w:eastAsia="ru-RU" w:bidi="ru-RU"/>
        </w:rPr>
        <w:t xml:space="preserve">для </w:t>
      </w:r>
      <w:r w:rsidRPr="008541F4">
        <w:rPr>
          <w:rFonts w:ascii="Times New Roman" w:eastAsia="Times New Roman" w:hAnsi="Times New Roman" w:cs="Times New Roman"/>
          <w:color w:val="000000"/>
          <w:sz w:val="28"/>
          <w:szCs w:val="28"/>
          <w:lang w:eastAsia="ru-RU" w:bidi="ru-RU"/>
        </w:rPr>
        <w:t>совмещ</w:t>
      </w:r>
      <w:r w:rsidR="008541F4">
        <w:rPr>
          <w:rFonts w:ascii="Times New Roman" w:eastAsia="Times New Roman" w:hAnsi="Times New Roman" w:cs="Times New Roman"/>
          <w:color w:val="000000"/>
          <w:sz w:val="28"/>
          <w:szCs w:val="28"/>
          <w:lang w:eastAsia="ru-RU" w:bidi="ru-RU"/>
        </w:rPr>
        <w:t>ения</w:t>
      </w:r>
      <w:r w:rsidRPr="008541F4">
        <w:rPr>
          <w:rFonts w:ascii="Times New Roman" w:eastAsia="Times New Roman" w:hAnsi="Times New Roman" w:cs="Times New Roman"/>
          <w:color w:val="000000"/>
          <w:sz w:val="28"/>
          <w:szCs w:val="28"/>
          <w:lang w:eastAsia="ru-RU" w:bidi="ru-RU"/>
        </w:rPr>
        <w:t xml:space="preserve"> рабо</w:t>
      </w:r>
      <w:r w:rsidR="008541F4">
        <w:rPr>
          <w:rFonts w:ascii="Times New Roman" w:eastAsia="Times New Roman" w:hAnsi="Times New Roman" w:cs="Times New Roman"/>
          <w:color w:val="000000"/>
          <w:sz w:val="28"/>
          <w:szCs w:val="28"/>
          <w:lang w:eastAsia="ru-RU" w:bidi="ru-RU"/>
        </w:rPr>
        <w:t>ты</w:t>
      </w:r>
      <w:r w:rsidRPr="008541F4">
        <w:rPr>
          <w:rFonts w:ascii="Times New Roman" w:eastAsia="Times New Roman" w:hAnsi="Times New Roman" w:cs="Times New Roman"/>
          <w:color w:val="000000"/>
          <w:sz w:val="28"/>
          <w:szCs w:val="28"/>
          <w:lang w:eastAsia="ru-RU" w:bidi="ru-RU"/>
        </w:rPr>
        <w:t xml:space="preserve"> с семейными обязанностями.</w:t>
      </w:r>
      <w:r w:rsidR="008541F4">
        <w:rPr>
          <w:rFonts w:ascii="Times New Roman" w:hAnsi="Times New Roman" w:cs="Times New Roman"/>
          <w:sz w:val="28"/>
          <w:szCs w:val="28"/>
        </w:rPr>
        <w:t xml:space="preserve"> </w:t>
      </w:r>
      <w:r w:rsidRPr="008541F4">
        <w:rPr>
          <w:rFonts w:ascii="Times New Roman" w:eastAsia="Times New Roman" w:hAnsi="Times New Roman" w:cs="Times New Roman"/>
          <w:color w:val="000000"/>
          <w:sz w:val="28"/>
          <w:szCs w:val="28"/>
          <w:lang w:eastAsia="ru-RU" w:bidi="ru-RU"/>
        </w:rPr>
        <w:t xml:space="preserve">Кроме того, при наличии финансово-экономических возможностей работодателем в коллективных договорах, соглашениях, в трудовом договоре могут быть предусмотрены работникам дополнительные гарантии, улучшающие положение работников по сравнению с </w:t>
      </w:r>
      <w:r w:rsidR="008541F4">
        <w:rPr>
          <w:rFonts w:ascii="Times New Roman" w:eastAsia="Times New Roman" w:hAnsi="Times New Roman" w:cs="Times New Roman"/>
          <w:color w:val="000000"/>
          <w:sz w:val="28"/>
          <w:szCs w:val="28"/>
          <w:lang w:eastAsia="ru-RU" w:bidi="ru-RU"/>
        </w:rPr>
        <w:t xml:space="preserve">предусмотренными </w:t>
      </w:r>
      <w:r w:rsidRPr="008541F4">
        <w:rPr>
          <w:rFonts w:ascii="Times New Roman" w:eastAsia="Times New Roman" w:hAnsi="Times New Roman" w:cs="Times New Roman"/>
          <w:color w:val="000000"/>
          <w:sz w:val="28"/>
          <w:szCs w:val="28"/>
          <w:lang w:eastAsia="ru-RU" w:bidi="ru-RU"/>
        </w:rPr>
        <w:t>трудовым законодательством.</w:t>
      </w:r>
    </w:p>
    <w:p w14:paraId="2C35FF9F" w14:textId="77777777" w:rsidR="00286405" w:rsidRPr="008541F4" w:rsidRDefault="00286405" w:rsidP="008541F4">
      <w:pPr>
        <w:pStyle w:val="Style2"/>
        <w:shd w:val="clear" w:color="auto" w:fill="auto"/>
        <w:spacing w:after="0" w:line="312" w:lineRule="auto"/>
        <w:ind w:firstLine="709"/>
        <w:jc w:val="both"/>
        <w:rPr>
          <w:rFonts w:ascii="Times New Roman" w:hAnsi="Times New Roman" w:cs="Times New Roman"/>
          <w:sz w:val="28"/>
          <w:szCs w:val="28"/>
        </w:rPr>
      </w:pPr>
      <w:r w:rsidRPr="008541F4">
        <w:rPr>
          <w:rFonts w:ascii="Times New Roman" w:eastAsia="Times New Roman" w:hAnsi="Times New Roman" w:cs="Times New Roman"/>
          <w:color w:val="000000"/>
          <w:sz w:val="28"/>
          <w:szCs w:val="28"/>
          <w:lang w:eastAsia="ru-RU" w:bidi="ru-RU"/>
        </w:rPr>
        <w:t>Ввиду того, что в настоящее время количество рабочих мест с гибким графиком и возможностью дистанционной (удаленной) работы растет год от года, у работников появляется все больше возможностей совмещать исполнение трудовых функций с семейными обязанностями.</w:t>
      </w:r>
    </w:p>
    <w:p w14:paraId="2E9C51E0" w14:textId="77777777" w:rsidR="00286405" w:rsidRPr="008541F4" w:rsidRDefault="00286405" w:rsidP="008541F4">
      <w:pPr>
        <w:pStyle w:val="Style2"/>
        <w:shd w:val="clear" w:color="auto" w:fill="auto"/>
        <w:spacing w:after="0" w:line="312" w:lineRule="auto"/>
        <w:ind w:firstLine="709"/>
        <w:jc w:val="both"/>
        <w:rPr>
          <w:rFonts w:ascii="Times New Roman" w:hAnsi="Times New Roman" w:cs="Times New Roman"/>
          <w:sz w:val="28"/>
          <w:szCs w:val="28"/>
        </w:rPr>
      </w:pPr>
      <w:r w:rsidRPr="008541F4">
        <w:rPr>
          <w:rFonts w:ascii="Times New Roman" w:eastAsia="Times New Roman" w:hAnsi="Times New Roman" w:cs="Times New Roman"/>
          <w:color w:val="000000"/>
          <w:sz w:val="28"/>
          <w:szCs w:val="28"/>
          <w:lang w:eastAsia="ru-RU" w:bidi="ru-RU"/>
        </w:rPr>
        <w:t>В целях совершенствования в трудовом законодательстве гибких форм занятости, применения информационно-коммуникационных технологий в трудовых отношениях принят Федеральный закон от 8 декабря 2020 г. № 407-ФЗ «О внесении изменений в Трудовой кодекс Российской Федерации в части регулирования дистанционной и удаленной работы и временного перевода работников на дистанционную работу по инициативе работодателя в исключительных случаях», который вступил в силу с 1 января 2021 г.</w:t>
      </w:r>
    </w:p>
    <w:p w14:paraId="3DFDD36B" w14:textId="77777777" w:rsidR="00286405" w:rsidRPr="008541F4" w:rsidRDefault="00286405" w:rsidP="008541F4">
      <w:pPr>
        <w:pStyle w:val="Style2"/>
        <w:shd w:val="clear" w:color="auto" w:fill="auto"/>
        <w:spacing w:after="0" w:line="312" w:lineRule="auto"/>
        <w:ind w:firstLine="709"/>
        <w:jc w:val="both"/>
        <w:rPr>
          <w:rFonts w:ascii="Times New Roman" w:hAnsi="Times New Roman" w:cs="Times New Roman"/>
          <w:sz w:val="28"/>
          <w:szCs w:val="28"/>
        </w:rPr>
      </w:pPr>
      <w:r w:rsidRPr="008541F4">
        <w:rPr>
          <w:rFonts w:ascii="Times New Roman" w:eastAsia="Times New Roman" w:hAnsi="Times New Roman" w:cs="Times New Roman"/>
          <w:color w:val="000000"/>
          <w:sz w:val="28"/>
          <w:szCs w:val="28"/>
          <w:lang w:eastAsia="ru-RU" w:bidi="ru-RU"/>
        </w:rPr>
        <w:t>Данный Федеральный закон расширил возможности организации дистанционной работы. Она может выполняться на постоянной либо временно</w:t>
      </w:r>
      <w:r w:rsidR="008541F4">
        <w:rPr>
          <w:rFonts w:ascii="Times New Roman" w:eastAsia="Times New Roman" w:hAnsi="Times New Roman" w:cs="Times New Roman"/>
          <w:color w:val="000000"/>
          <w:sz w:val="28"/>
          <w:szCs w:val="28"/>
          <w:lang w:eastAsia="ru-RU" w:bidi="ru-RU"/>
        </w:rPr>
        <w:t xml:space="preserve">й основе: </w:t>
      </w:r>
      <w:r w:rsidRPr="008541F4">
        <w:rPr>
          <w:rFonts w:ascii="Times New Roman" w:eastAsia="Times New Roman" w:hAnsi="Times New Roman" w:cs="Times New Roman"/>
          <w:color w:val="000000"/>
          <w:sz w:val="28"/>
          <w:szCs w:val="28"/>
          <w:lang w:eastAsia="ru-RU" w:bidi="ru-RU"/>
        </w:rPr>
        <w:t>непрерывно до 6 месяцев либо периодически, когда дистанционная работа чередуется с работо</w:t>
      </w:r>
      <w:r w:rsidR="008541F4">
        <w:rPr>
          <w:rFonts w:ascii="Times New Roman" w:eastAsia="Times New Roman" w:hAnsi="Times New Roman" w:cs="Times New Roman"/>
          <w:color w:val="000000"/>
          <w:sz w:val="28"/>
          <w:szCs w:val="28"/>
          <w:lang w:eastAsia="ru-RU" w:bidi="ru-RU"/>
        </w:rPr>
        <w:t>й на стационарном рабочем месте</w:t>
      </w:r>
      <w:r w:rsidRPr="008541F4">
        <w:rPr>
          <w:rFonts w:ascii="Times New Roman" w:eastAsia="Times New Roman" w:hAnsi="Times New Roman" w:cs="Times New Roman"/>
          <w:color w:val="000000"/>
          <w:sz w:val="28"/>
          <w:szCs w:val="28"/>
          <w:lang w:eastAsia="ru-RU" w:bidi="ru-RU"/>
        </w:rPr>
        <w:t>.</w:t>
      </w:r>
      <w:r w:rsidR="008541F4">
        <w:rPr>
          <w:rFonts w:ascii="Times New Roman" w:hAnsi="Times New Roman" w:cs="Times New Roman"/>
          <w:sz w:val="28"/>
          <w:szCs w:val="28"/>
        </w:rPr>
        <w:t xml:space="preserve"> </w:t>
      </w:r>
      <w:r w:rsidRPr="008541F4">
        <w:rPr>
          <w:rFonts w:ascii="Times New Roman" w:eastAsia="Times New Roman" w:hAnsi="Times New Roman" w:cs="Times New Roman"/>
          <w:color w:val="000000"/>
          <w:sz w:val="28"/>
          <w:szCs w:val="28"/>
          <w:lang w:eastAsia="ru-RU" w:bidi="ru-RU"/>
        </w:rPr>
        <w:t>Кроме того, урегулирована дистанционная (удаленная) работа в исключительных случаях, ставящих под угрозу жизнь или нормальные жизненные условия всего населения или его части.</w:t>
      </w:r>
    </w:p>
    <w:p w14:paraId="4DA48FEE" w14:textId="77777777" w:rsidR="00286405" w:rsidRPr="008541F4" w:rsidRDefault="00286405" w:rsidP="008541F4">
      <w:pPr>
        <w:pStyle w:val="Style2"/>
        <w:shd w:val="clear" w:color="auto" w:fill="auto"/>
        <w:spacing w:after="0" w:line="312" w:lineRule="auto"/>
        <w:ind w:firstLine="709"/>
        <w:jc w:val="both"/>
        <w:rPr>
          <w:rFonts w:ascii="Times New Roman" w:hAnsi="Times New Roman" w:cs="Times New Roman"/>
          <w:sz w:val="28"/>
          <w:szCs w:val="28"/>
        </w:rPr>
      </w:pPr>
      <w:r w:rsidRPr="008541F4">
        <w:rPr>
          <w:rFonts w:ascii="Times New Roman" w:eastAsia="Times New Roman" w:hAnsi="Times New Roman" w:cs="Times New Roman"/>
          <w:color w:val="000000"/>
          <w:sz w:val="28"/>
          <w:szCs w:val="28"/>
          <w:lang w:eastAsia="ru-RU" w:bidi="ru-RU"/>
        </w:rPr>
        <w:t>Взаимодействие дистанционного работника и работодателя может осуществляться путем обмена электронными документами с использованием электронной подписи или в иной форме, предусмотренной коллективным договором, локальным нормативным актом, принимаемым с учетом мнения профсоюза, трудовым договором, и позволяющей</w:t>
      </w:r>
      <w:r w:rsidRPr="008541F4">
        <w:rPr>
          <w:rFonts w:ascii="Times New Roman" w:hAnsi="Times New Roman" w:cs="Times New Roman"/>
          <w:sz w:val="28"/>
          <w:szCs w:val="28"/>
        </w:rPr>
        <w:t xml:space="preserve"> </w:t>
      </w:r>
      <w:r w:rsidRPr="008541F4">
        <w:rPr>
          <w:rFonts w:ascii="Times New Roman" w:eastAsia="Times New Roman" w:hAnsi="Times New Roman" w:cs="Times New Roman"/>
          <w:color w:val="000000"/>
          <w:sz w:val="28"/>
          <w:szCs w:val="28"/>
          <w:lang w:eastAsia="ru-RU" w:bidi="ru-RU"/>
        </w:rPr>
        <w:t>обеспечить фиксацию факта получения работником и (или) работодателем документов в электронном виде.</w:t>
      </w:r>
    </w:p>
    <w:p w14:paraId="3D32720E" w14:textId="77777777" w:rsidR="005D2D17" w:rsidRPr="008541F4" w:rsidRDefault="005D2D17" w:rsidP="003E5916">
      <w:pPr>
        <w:autoSpaceDE w:val="0"/>
        <w:autoSpaceDN w:val="0"/>
        <w:adjustRightInd w:val="0"/>
        <w:spacing w:after="0" w:line="312" w:lineRule="auto"/>
        <w:ind w:firstLine="709"/>
        <w:jc w:val="both"/>
        <w:rPr>
          <w:rFonts w:ascii="Times New Roman" w:hAnsi="Times New Roman" w:cs="Times New Roman"/>
          <w:sz w:val="28"/>
          <w:szCs w:val="28"/>
        </w:rPr>
      </w:pPr>
      <w:r w:rsidRPr="008541F4">
        <w:rPr>
          <w:rFonts w:ascii="Times New Roman" w:hAnsi="Times New Roman" w:cs="Times New Roman"/>
          <w:sz w:val="28"/>
          <w:szCs w:val="28"/>
        </w:rPr>
        <w:t>С 2021 г</w:t>
      </w:r>
      <w:r w:rsidR="00495D26">
        <w:rPr>
          <w:rFonts w:ascii="Times New Roman" w:hAnsi="Times New Roman" w:cs="Times New Roman"/>
          <w:sz w:val="28"/>
          <w:szCs w:val="28"/>
        </w:rPr>
        <w:t>.</w:t>
      </w:r>
      <w:r w:rsidRPr="008541F4">
        <w:rPr>
          <w:rFonts w:ascii="Times New Roman" w:hAnsi="Times New Roman" w:cs="Times New Roman"/>
          <w:sz w:val="28"/>
          <w:szCs w:val="28"/>
        </w:rPr>
        <w:t xml:space="preserve"> в рамках федерального проекта «</w:t>
      </w:r>
      <w:r w:rsidR="003E5916">
        <w:rPr>
          <w:rFonts w:ascii="Times New Roman" w:hAnsi="Times New Roman" w:cs="Times New Roman"/>
          <w:sz w:val="28"/>
          <w:szCs w:val="28"/>
        </w:rPr>
        <w:t xml:space="preserve">Содействие занятости» (далее по </w:t>
      </w:r>
      <w:r w:rsidRPr="008541F4">
        <w:rPr>
          <w:rFonts w:ascii="Times New Roman" w:hAnsi="Times New Roman" w:cs="Times New Roman"/>
          <w:sz w:val="28"/>
          <w:szCs w:val="28"/>
        </w:rPr>
        <w:t>тексту подраздела – федеральный про</w:t>
      </w:r>
      <w:r w:rsidR="003E5916">
        <w:rPr>
          <w:rFonts w:ascii="Times New Roman" w:hAnsi="Times New Roman" w:cs="Times New Roman"/>
          <w:sz w:val="28"/>
          <w:szCs w:val="28"/>
        </w:rPr>
        <w:t xml:space="preserve">ект) реализуются мероприятия по </w:t>
      </w:r>
      <w:r w:rsidRPr="008541F4">
        <w:rPr>
          <w:rFonts w:ascii="Times New Roman" w:hAnsi="Times New Roman" w:cs="Times New Roman"/>
          <w:sz w:val="28"/>
          <w:szCs w:val="28"/>
        </w:rPr>
        <w:t>профессиональному обучению и дополнительному профессиональному</w:t>
      </w:r>
      <w:r w:rsidR="003E5916">
        <w:rPr>
          <w:rFonts w:ascii="Times New Roman" w:hAnsi="Times New Roman" w:cs="Times New Roman"/>
          <w:sz w:val="28"/>
          <w:szCs w:val="28"/>
        </w:rPr>
        <w:t xml:space="preserve"> образованию </w:t>
      </w:r>
      <w:r w:rsidRPr="008541F4">
        <w:rPr>
          <w:rFonts w:ascii="Times New Roman" w:hAnsi="Times New Roman" w:cs="Times New Roman"/>
          <w:sz w:val="28"/>
          <w:szCs w:val="28"/>
        </w:rPr>
        <w:t>отдельных категорий граждан, в том числе женщин,</w:t>
      </w:r>
      <w:r w:rsidR="003E5916">
        <w:rPr>
          <w:rFonts w:ascii="Times New Roman" w:hAnsi="Times New Roman" w:cs="Times New Roman"/>
          <w:sz w:val="28"/>
          <w:szCs w:val="28"/>
        </w:rPr>
        <w:t xml:space="preserve"> находящихся в отпуске по уходу </w:t>
      </w:r>
      <w:r w:rsidRPr="008541F4">
        <w:rPr>
          <w:rFonts w:ascii="Times New Roman" w:hAnsi="Times New Roman" w:cs="Times New Roman"/>
          <w:sz w:val="28"/>
          <w:szCs w:val="28"/>
        </w:rPr>
        <w:t xml:space="preserve">за ребенком в возрасте до трех лет, женщин, не </w:t>
      </w:r>
      <w:r w:rsidR="003E5916">
        <w:rPr>
          <w:rFonts w:ascii="Times New Roman" w:hAnsi="Times New Roman" w:cs="Times New Roman"/>
          <w:sz w:val="28"/>
          <w:szCs w:val="28"/>
        </w:rPr>
        <w:t xml:space="preserve">состоящих в трудовых отношениях </w:t>
      </w:r>
      <w:r w:rsidRPr="008541F4">
        <w:rPr>
          <w:rFonts w:ascii="Times New Roman" w:hAnsi="Times New Roman" w:cs="Times New Roman"/>
          <w:sz w:val="28"/>
          <w:szCs w:val="28"/>
        </w:rPr>
        <w:t>и имеющих детей дошкольного возраста.</w:t>
      </w:r>
    </w:p>
    <w:p w14:paraId="534E5FB2" w14:textId="77777777" w:rsidR="005D2D17" w:rsidRPr="008541F4" w:rsidRDefault="005D2D17" w:rsidP="003E5916">
      <w:pPr>
        <w:autoSpaceDE w:val="0"/>
        <w:autoSpaceDN w:val="0"/>
        <w:adjustRightInd w:val="0"/>
        <w:spacing w:after="0" w:line="312" w:lineRule="auto"/>
        <w:ind w:firstLine="709"/>
        <w:jc w:val="both"/>
        <w:rPr>
          <w:rFonts w:ascii="Times New Roman" w:hAnsi="Times New Roman" w:cs="Times New Roman"/>
          <w:sz w:val="28"/>
          <w:szCs w:val="28"/>
        </w:rPr>
      </w:pPr>
      <w:r w:rsidRPr="008541F4">
        <w:rPr>
          <w:rFonts w:ascii="Times New Roman" w:hAnsi="Times New Roman" w:cs="Times New Roman"/>
          <w:sz w:val="28"/>
          <w:szCs w:val="28"/>
        </w:rPr>
        <w:t>Основная цель обучения граждан в рамках федер</w:t>
      </w:r>
      <w:r w:rsidR="003E5916">
        <w:rPr>
          <w:rFonts w:ascii="Times New Roman" w:hAnsi="Times New Roman" w:cs="Times New Roman"/>
          <w:sz w:val="28"/>
          <w:szCs w:val="28"/>
        </w:rPr>
        <w:t>ального проекта</w:t>
      </w:r>
      <w:r w:rsidRPr="008541F4">
        <w:rPr>
          <w:rFonts w:ascii="Times New Roman" w:hAnsi="Times New Roman" w:cs="Times New Roman"/>
          <w:sz w:val="28"/>
          <w:szCs w:val="28"/>
        </w:rPr>
        <w:t xml:space="preserve"> – содействие занятости граждан, сок</w:t>
      </w:r>
      <w:r w:rsidR="003E5916">
        <w:rPr>
          <w:rFonts w:ascii="Times New Roman" w:hAnsi="Times New Roman" w:cs="Times New Roman"/>
          <w:sz w:val="28"/>
          <w:szCs w:val="28"/>
        </w:rPr>
        <w:t xml:space="preserve">ращение периода поиска работы и </w:t>
      </w:r>
      <w:r w:rsidRPr="008541F4">
        <w:rPr>
          <w:rFonts w:ascii="Times New Roman" w:hAnsi="Times New Roman" w:cs="Times New Roman"/>
          <w:sz w:val="28"/>
          <w:szCs w:val="28"/>
        </w:rPr>
        <w:t>обеспечение н</w:t>
      </w:r>
      <w:r w:rsidR="003E5916">
        <w:rPr>
          <w:rFonts w:ascii="Times New Roman" w:hAnsi="Times New Roman" w:cs="Times New Roman"/>
          <w:sz w:val="28"/>
          <w:szCs w:val="28"/>
        </w:rPr>
        <w:t xml:space="preserve">аиболее качественной занятости. </w:t>
      </w:r>
      <w:r w:rsidRPr="008541F4">
        <w:rPr>
          <w:rFonts w:ascii="Times New Roman" w:hAnsi="Times New Roman" w:cs="Times New Roman"/>
          <w:sz w:val="28"/>
          <w:szCs w:val="28"/>
        </w:rPr>
        <w:t>В части создания условий для же</w:t>
      </w:r>
      <w:r w:rsidR="003E5916">
        <w:rPr>
          <w:rFonts w:ascii="Times New Roman" w:hAnsi="Times New Roman" w:cs="Times New Roman"/>
          <w:sz w:val="28"/>
          <w:szCs w:val="28"/>
        </w:rPr>
        <w:t xml:space="preserve">нщин с семейными обязанностями, </w:t>
      </w:r>
      <w:r w:rsidRPr="008541F4">
        <w:rPr>
          <w:rFonts w:ascii="Times New Roman" w:hAnsi="Times New Roman" w:cs="Times New Roman"/>
          <w:sz w:val="28"/>
          <w:szCs w:val="28"/>
        </w:rPr>
        <w:t>позволяющих в наибольшей степени соблюсти бал</w:t>
      </w:r>
      <w:r w:rsidR="003E5916">
        <w:rPr>
          <w:rFonts w:ascii="Times New Roman" w:hAnsi="Times New Roman" w:cs="Times New Roman"/>
          <w:sz w:val="28"/>
          <w:szCs w:val="28"/>
        </w:rPr>
        <w:t xml:space="preserve">анс между работой и воспитанием </w:t>
      </w:r>
      <w:r w:rsidRPr="008541F4">
        <w:rPr>
          <w:rFonts w:ascii="Times New Roman" w:hAnsi="Times New Roman" w:cs="Times New Roman"/>
          <w:sz w:val="28"/>
          <w:szCs w:val="28"/>
        </w:rPr>
        <w:t>ребенка, актуальна организация профессиональ</w:t>
      </w:r>
      <w:r w:rsidR="003E5916">
        <w:rPr>
          <w:rFonts w:ascii="Times New Roman" w:hAnsi="Times New Roman" w:cs="Times New Roman"/>
          <w:sz w:val="28"/>
          <w:szCs w:val="28"/>
        </w:rPr>
        <w:t xml:space="preserve">ного обучения и дополнительного </w:t>
      </w:r>
      <w:r w:rsidRPr="008541F4">
        <w:rPr>
          <w:rFonts w:ascii="Times New Roman" w:hAnsi="Times New Roman" w:cs="Times New Roman"/>
          <w:sz w:val="28"/>
          <w:szCs w:val="28"/>
        </w:rPr>
        <w:t>профессионального образования в свя</w:t>
      </w:r>
      <w:r w:rsidR="003E5916">
        <w:rPr>
          <w:rFonts w:ascii="Times New Roman" w:hAnsi="Times New Roman" w:cs="Times New Roman"/>
          <w:sz w:val="28"/>
          <w:szCs w:val="28"/>
        </w:rPr>
        <w:t xml:space="preserve">зи с необходимостью смены сферы </w:t>
      </w:r>
      <w:r w:rsidRPr="008541F4">
        <w:rPr>
          <w:rFonts w:ascii="Times New Roman" w:hAnsi="Times New Roman" w:cs="Times New Roman"/>
          <w:sz w:val="28"/>
          <w:szCs w:val="28"/>
        </w:rPr>
        <w:t>профессиональной деятельности, про</w:t>
      </w:r>
      <w:r w:rsidR="003E5916">
        <w:rPr>
          <w:rFonts w:ascii="Times New Roman" w:hAnsi="Times New Roman" w:cs="Times New Roman"/>
          <w:sz w:val="28"/>
          <w:szCs w:val="28"/>
        </w:rPr>
        <w:t xml:space="preserve">фессии, освоения дополнительных </w:t>
      </w:r>
      <w:r w:rsidRPr="008541F4">
        <w:rPr>
          <w:rFonts w:ascii="Times New Roman" w:hAnsi="Times New Roman" w:cs="Times New Roman"/>
          <w:sz w:val="28"/>
          <w:szCs w:val="28"/>
        </w:rPr>
        <w:t>профессиональных навыков перед возвращение</w:t>
      </w:r>
      <w:r w:rsidR="003E5916">
        <w:rPr>
          <w:rFonts w:ascii="Times New Roman" w:hAnsi="Times New Roman" w:cs="Times New Roman"/>
          <w:sz w:val="28"/>
          <w:szCs w:val="28"/>
        </w:rPr>
        <w:t xml:space="preserve">м к трудовой деятельности после </w:t>
      </w:r>
      <w:r w:rsidRPr="008541F4">
        <w:rPr>
          <w:rFonts w:ascii="Times New Roman" w:hAnsi="Times New Roman" w:cs="Times New Roman"/>
          <w:sz w:val="28"/>
          <w:szCs w:val="28"/>
        </w:rPr>
        <w:t>отпуска по уходу за ребенком. Указанное мероп</w:t>
      </w:r>
      <w:r w:rsidR="003E5916">
        <w:rPr>
          <w:rFonts w:ascii="Times New Roman" w:hAnsi="Times New Roman" w:cs="Times New Roman"/>
          <w:sz w:val="28"/>
          <w:szCs w:val="28"/>
        </w:rPr>
        <w:t xml:space="preserve">риятие предполагает возможность </w:t>
      </w:r>
      <w:r w:rsidRPr="008541F4">
        <w:rPr>
          <w:rFonts w:ascii="Times New Roman" w:hAnsi="Times New Roman" w:cs="Times New Roman"/>
          <w:sz w:val="28"/>
          <w:szCs w:val="28"/>
        </w:rPr>
        <w:t>для женщин пройти по направлению органов сл</w:t>
      </w:r>
      <w:r w:rsidR="003E5916">
        <w:rPr>
          <w:rFonts w:ascii="Times New Roman" w:hAnsi="Times New Roman" w:cs="Times New Roman"/>
          <w:sz w:val="28"/>
          <w:szCs w:val="28"/>
        </w:rPr>
        <w:t xml:space="preserve">ужбы занятости профессиональное </w:t>
      </w:r>
      <w:r w:rsidRPr="008541F4">
        <w:rPr>
          <w:rFonts w:ascii="Times New Roman" w:hAnsi="Times New Roman" w:cs="Times New Roman"/>
          <w:sz w:val="28"/>
          <w:szCs w:val="28"/>
        </w:rPr>
        <w:t>обучение и вернуться к трудовой деятельнос</w:t>
      </w:r>
      <w:r w:rsidR="003E5916">
        <w:rPr>
          <w:rFonts w:ascii="Times New Roman" w:hAnsi="Times New Roman" w:cs="Times New Roman"/>
          <w:sz w:val="28"/>
          <w:szCs w:val="28"/>
        </w:rPr>
        <w:t xml:space="preserve">ти на прежнее рабочее место </w:t>
      </w:r>
      <w:r w:rsidRPr="008541F4">
        <w:rPr>
          <w:rFonts w:ascii="Times New Roman" w:hAnsi="Times New Roman" w:cs="Times New Roman"/>
          <w:sz w:val="28"/>
          <w:szCs w:val="28"/>
        </w:rPr>
        <w:t>(актуализировав профессиональные знания и навыки)</w:t>
      </w:r>
      <w:r w:rsidR="003E5916">
        <w:rPr>
          <w:rFonts w:ascii="Times New Roman" w:hAnsi="Times New Roman" w:cs="Times New Roman"/>
          <w:sz w:val="28"/>
          <w:szCs w:val="28"/>
        </w:rPr>
        <w:t xml:space="preserve">, либо трудоустроиться на место </w:t>
      </w:r>
      <w:r w:rsidRPr="008541F4">
        <w:rPr>
          <w:rFonts w:ascii="Times New Roman" w:hAnsi="Times New Roman" w:cs="Times New Roman"/>
          <w:sz w:val="28"/>
          <w:szCs w:val="28"/>
        </w:rPr>
        <w:t>работы, наиболее подходящее для совмещения с обязанностями по воспитанию</w:t>
      </w:r>
      <w:r w:rsidR="003E5916">
        <w:rPr>
          <w:rFonts w:ascii="Times New Roman" w:hAnsi="Times New Roman" w:cs="Times New Roman"/>
          <w:sz w:val="28"/>
          <w:szCs w:val="28"/>
        </w:rPr>
        <w:t xml:space="preserve"> </w:t>
      </w:r>
      <w:r w:rsidRPr="008541F4">
        <w:rPr>
          <w:rFonts w:ascii="Times New Roman" w:hAnsi="Times New Roman" w:cs="Times New Roman"/>
          <w:sz w:val="28"/>
          <w:szCs w:val="28"/>
        </w:rPr>
        <w:t>ребенка.</w:t>
      </w:r>
    </w:p>
    <w:p w14:paraId="00BA1CFD" w14:textId="77777777" w:rsidR="005D2D17" w:rsidRPr="008541F4" w:rsidRDefault="005D2D17" w:rsidP="008541F4">
      <w:pPr>
        <w:autoSpaceDE w:val="0"/>
        <w:autoSpaceDN w:val="0"/>
        <w:adjustRightInd w:val="0"/>
        <w:spacing w:after="0" w:line="312" w:lineRule="auto"/>
        <w:ind w:firstLine="709"/>
        <w:jc w:val="both"/>
        <w:rPr>
          <w:rFonts w:ascii="Times New Roman" w:hAnsi="Times New Roman" w:cs="Times New Roman"/>
          <w:sz w:val="28"/>
          <w:szCs w:val="28"/>
        </w:rPr>
      </w:pPr>
      <w:r w:rsidRPr="008541F4">
        <w:rPr>
          <w:rFonts w:ascii="Times New Roman" w:hAnsi="Times New Roman" w:cs="Times New Roman"/>
          <w:sz w:val="28"/>
          <w:szCs w:val="28"/>
        </w:rPr>
        <w:t>Реализация мероприятий федерального проекта способствовала повыше</w:t>
      </w:r>
      <w:r w:rsidR="003E5916">
        <w:rPr>
          <w:rFonts w:ascii="Times New Roman" w:hAnsi="Times New Roman" w:cs="Times New Roman"/>
          <w:sz w:val="28"/>
          <w:szCs w:val="28"/>
        </w:rPr>
        <w:t xml:space="preserve">нию </w:t>
      </w:r>
      <w:r w:rsidRPr="008541F4">
        <w:rPr>
          <w:rFonts w:ascii="Times New Roman" w:hAnsi="Times New Roman" w:cs="Times New Roman"/>
          <w:sz w:val="28"/>
          <w:szCs w:val="28"/>
        </w:rPr>
        <w:t>конкурентоспособности на рынке труда и професс</w:t>
      </w:r>
      <w:r w:rsidR="003E5916">
        <w:rPr>
          <w:rFonts w:ascii="Times New Roman" w:hAnsi="Times New Roman" w:cs="Times New Roman"/>
          <w:sz w:val="28"/>
          <w:szCs w:val="28"/>
        </w:rPr>
        <w:t xml:space="preserve">иональной мобильности, развитию </w:t>
      </w:r>
      <w:r w:rsidRPr="008541F4">
        <w:rPr>
          <w:rFonts w:ascii="Times New Roman" w:hAnsi="Times New Roman" w:cs="Times New Roman"/>
          <w:sz w:val="28"/>
          <w:szCs w:val="28"/>
        </w:rPr>
        <w:t>занятости женщин, имеющих детей, и обеспечила возможность совмещать трудовую</w:t>
      </w:r>
      <w:r w:rsidR="003E5916">
        <w:rPr>
          <w:rFonts w:ascii="Times New Roman" w:hAnsi="Times New Roman" w:cs="Times New Roman"/>
          <w:sz w:val="28"/>
          <w:szCs w:val="28"/>
        </w:rPr>
        <w:t xml:space="preserve"> </w:t>
      </w:r>
      <w:r w:rsidRPr="008541F4">
        <w:rPr>
          <w:rFonts w:ascii="Times New Roman" w:hAnsi="Times New Roman" w:cs="Times New Roman"/>
          <w:sz w:val="28"/>
          <w:szCs w:val="28"/>
        </w:rPr>
        <w:t>занятость с семейными обязанностями.</w:t>
      </w:r>
    </w:p>
    <w:p w14:paraId="7EF6C9E8" w14:textId="77777777" w:rsidR="005D2D17" w:rsidRPr="008541F4" w:rsidRDefault="005D2D17" w:rsidP="008541F4">
      <w:pPr>
        <w:autoSpaceDE w:val="0"/>
        <w:autoSpaceDN w:val="0"/>
        <w:adjustRightInd w:val="0"/>
        <w:spacing w:after="0" w:line="312" w:lineRule="auto"/>
        <w:ind w:firstLine="709"/>
        <w:jc w:val="both"/>
        <w:rPr>
          <w:rFonts w:ascii="Times New Roman" w:hAnsi="Times New Roman" w:cs="Times New Roman"/>
          <w:sz w:val="28"/>
          <w:szCs w:val="28"/>
        </w:rPr>
      </w:pPr>
      <w:r w:rsidRPr="008541F4">
        <w:rPr>
          <w:rFonts w:ascii="Times New Roman" w:hAnsi="Times New Roman" w:cs="Times New Roman"/>
          <w:sz w:val="28"/>
          <w:szCs w:val="28"/>
        </w:rPr>
        <w:t>Повышение квалификации осуще</w:t>
      </w:r>
      <w:r w:rsidR="003E5916">
        <w:rPr>
          <w:rFonts w:ascii="Times New Roman" w:hAnsi="Times New Roman" w:cs="Times New Roman"/>
          <w:sz w:val="28"/>
          <w:szCs w:val="28"/>
        </w:rPr>
        <w:t xml:space="preserve">ствлялось по имеющимся у женщин </w:t>
      </w:r>
      <w:r w:rsidRPr="008541F4">
        <w:rPr>
          <w:rFonts w:ascii="Times New Roman" w:hAnsi="Times New Roman" w:cs="Times New Roman"/>
          <w:sz w:val="28"/>
          <w:szCs w:val="28"/>
        </w:rPr>
        <w:t xml:space="preserve">профессиям (специальностям), </w:t>
      </w:r>
      <w:r w:rsidR="004455A6">
        <w:rPr>
          <w:rFonts w:ascii="Times New Roman" w:hAnsi="Times New Roman" w:cs="Times New Roman"/>
          <w:sz w:val="28"/>
          <w:szCs w:val="28"/>
        </w:rPr>
        <w:t xml:space="preserve">профессиональная </w:t>
      </w:r>
      <w:r w:rsidRPr="008541F4">
        <w:rPr>
          <w:rFonts w:ascii="Times New Roman" w:hAnsi="Times New Roman" w:cs="Times New Roman"/>
          <w:sz w:val="28"/>
          <w:szCs w:val="28"/>
        </w:rPr>
        <w:t>переподготовка – п</w:t>
      </w:r>
      <w:r w:rsidR="003E5916">
        <w:rPr>
          <w:rFonts w:ascii="Times New Roman" w:hAnsi="Times New Roman" w:cs="Times New Roman"/>
          <w:sz w:val="28"/>
          <w:szCs w:val="28"/>
        </w:rPr>
        <w:t xml:space="preserve">о профессиям, востребованным на </w:t>
      </w:r>
      <w:r w:rsidRPr="008541F4">
        <w:rPr>
          <w:rFonts w:ascii="Times New Roman" w:hAnsi="Times New Roman" w:cs="Times New Roman"/>
          <w:sz w:val="28"/>
          <w:szCs w:val="28"/>
        </w:rPr>
        <w:t>локальных рынках труда, или в соответствии с требованиями конкретного</w:t>
      </w:r>
      <w:r w:rsidR="003E5916">
        <w:rPr>
          <w:rFonts w:ascii="Times New Roman" w:hAnsi="Times New Roman" w:cs="Times New Roman"/>
          <w:sz w:val="28"/>
          <w:szCs w:val="28"/>
        </w:rPr>
        <w:t xml:space="preserve"> </w:t>
      </w:r>
      <w:r w:rsidRPr="008541F4">
        <w:rPr>
          <w:rFonts w:ascii="Times New Roman" w:hAnsi="Times New Roman" w:cs="Times New Roman"/>
          <w:sz w:val="28"/>
          <w:szCs w:val="28"/>
        </w:rPr>
        <w:t>работодателя под гарантированное трудоустройство.</w:t>
      </w:r>
    </w:p>
    <w:p w14:paraId="5CACCBBB" w14:textId="77777777" w:rsidR="005D2D17" w:rsidRPr="008541F4" w:rsidRDefault="005D2D17" w:rsidP="003E5916">
      <w:pPr>
        <w:autoSpaceDE w:val="0"/>
        <w:autoSpaceDN w:val="0"/>
        <w:adjustRightInd w:val="0"/>
        <w:spacing w:after="0" w:line="312" w:lineRule="auto"/>
        <w:ind w:firstLine="709"/>
        <w:jc w:val="both"/>
        <w:rPr>
          <w:rFonts w:ascii="Times New Roman" w:hAnsi="Times New Roman" w:cs="Times New Roman"/>
          <w:sz w:val="28"/>
          <w:szCs w:val="28"/>
        </w:rPr>
      </w:pPr>
      <w:r w:rsidRPr="008541F4">
        <w:rPr>
          <w:rFonts w:ascii="Times New Roman" w:hAnsi="Times New Roman" w:cs="Times New Roman"/>
          <w:sz w:val="28"/>
          <w:szCs w:val="28"/>
        </w:rPr>
        <w:t>Обучение проводилось по различным профессиям, специальнос</w:t>
      </w:r>
      <w:r w:rsidR="003E5916">
        <w:rPr>
          <w:rFonts w:ascii="Times New Roman" w:hAnsi="Times New Roman" w:cs="Times New Roman"/>
          <w:sz w:val="28"/>
          <w:szCs w:val="28"/>
        </w:rPr>
        <w:t xml:space="preserve">тям с учетом </w:t>
      </w:r>
      <w:r w:rsidRPr="008541F4">
        <w:rPr>
          <w:rFonts w:ascii="Times New Roman" w:hAnsi="Times New Roman" w:cs="Times New Roman"/>
          <w:sz w:val="28"/>
          <w:szCs w:val="28"/>
        </w:rPr>
        <w:t>уровня образования и профессиональной квалиф</w:t>
      </w:r>
      <w:r w:rsidR="003E5916">
        <w:rPr>
          <w:rFonts w:ascii="Times New Roman" w:hAnsi="Times New Roman" w:cs="Times New Roman"/>
          <w:sz w:val="28"/>
          <w:szCs w:val="28"/>
        </w:rPr>
        <w:t xml:space="preserve">икации женщин, их практического </w:t>
      </w:r>
      <w:r w:rsidRPr="008541F4">
        <w:rPr>
          <w:rFonts w:ascii="Times New Roman" w:hAnsi="Times New Roman" w:cs="Times New Roman"/>
          <w:sz w:val="28"/>
          <w:szCs w:val="28"/>
        </w:rPr>
        <w:t>опыта, сложности осваиваемых профессий (специальностей).</w:t>
      </w:r>
    </w:p>
    <w:p w14:paraId="6C10B373" w14:textId="77777777" w:rsidR="005D2D17" w:rsidRPr="008541F4" w:rsidRDefault="005D2D17" w:rsidP="008F38C9">
      <w:pPr>
        <w:autoSpaceDE w:val="0"/>
        <w:autoSpaceDN w:val="0"/>
        <w:adjustRightInd w:val="0"/>
        <w:spacing w:after="0" w:line="312" w:lineRule="auto"/>
        <w:ind w:firstLine="709"/>
        <w:jc w:val="both"/>
        <w:rPr>
          <w:rFonts w:ascii="Times New Roman" w:hAnsi="Times New Roman" w:cs="Times New Roman"/>
          <w:sz w:val="28"/>
          <w:szCs w:val="28"/>
        </w:rPr>
      </w:pPr>
      <w:r w:rsidRPr="008541F4">
        <w:rPr>
          <w:rFonts w:ascii="Times New Roman" w:hAnsi="Times New Roman" w:cs="Times New Roman"/>
          <w:sz w:val="28"/>
          <w:szCs w:val="28"/>
        </w:rPr>
        <w:t>По итогам 2021</w:t>
      </w:r>
      <w:r w:rsidR="00495D26">
        <w:rPr>
          <w:rFonts w:ascii="Times New Roman" w:hAnsi="Times New Roman" w:cs="Times New Roman"/>
          <w:sz w:val="28"/>
          <w:szCs w:val="28"/>
        </w:rPr>
        <w:t xml:space="preserve"> г.</w:t>
      </w:r>
      <w:r w:rsidRPr="008541F4">
        <w:rPr>
          <w:rFonts w:ascii="Times New Roman" w:hAnsi="Times New Roman" w:cs="Times New Roman"/>
          <w:sz w:val="28"/>
          <w:szCs w:val="28"/>
        </w:rPr>
        <w:t xml:space="preserve"> </w:t>
      </w:r>
      <w:r w:rsidR="008F38C9">
        <w:rPr>
          <w:rFonts w:ascii="Times New Roman" w:hAnsi="Times New Roman" w:cs="Times New Roman"/>
          <w:sz w:val="28"/>
          <w:szCs w:val="28"/>
        </w:rPr>
        <w:t>54 569 женщин</w:t>
      </w:r>
      <w:r w:rsidR="008F38C9" w:rsidRPr="008541F4">
        <w:rPr>
          <w:rFonts w:ascii="Times New Roman" w:hAnsi="Times New Roman" w:cs="Times New Roman"/>
          <w:sz w:val="28"/>
          <w:szCs w:val="28"/>
        </w:rPr>
        <w:t xml:space="preserve"> </w:t>
      </w:r>
      <w:r w:rsidRPr="008541F4">
        <w:rPr>
          <w:rFonts w:ascii="Times New Roman" w:hAnsi="Times New Roman" w:cs="Times New Roman"/>
          <w:sz w:val="28"/>
          <w:szCs w:val="28"/>
        </w:rPr>
        <w:t>завершили професс</w:t>
      </w:r>
      <w:r w:rsidR="003E5916">
        <w:rPr>
          <w:rFonts w:ascii="Times New Roman" w:hAnsi="Times New Roman" w:cs="Times New Roman"/>
          <w:sz w:val="28"/>
          <w:szCs w:val="28"/>
        </w:rPr>
        <w:t xml:space="preserve">иональное обучение или получили </w:t>
      </w:r>
      <w:r w:rsidRPr="008541F4">
        <w:rPr>
          <w:rFonts w:ascii="Times New Roman" w:hAnsi="Times New Roman" w:cs="Times New Roman"/>
          <w:sz w:val="28"/>
          <w:szCs w:val="28"/>
        </w:rPr>
        <w:t>дополнительное профессиональное образован</w:t>
      </w:r>
      <w:r w:rsidR="003E5916">
        <w:rPr>
          <w:rFonts w:ascii="Times New Roman" w:hAnsi="Times New Roman" w:cs="Times New Roman"/>
          <w:sz w:val="28"/>
          <w:szCs w:val="28"/>
        </w:rPr>
        <w:t xml:space="preserve">ие. </w:t>
      </w:r>
      <w:r w:rsidR="008F38C9" w:rsidRPr="008541F4">
        <w:rPr>
          <w:rFonts w:ascii="Times New Roman" w:hAnsi="Times New Roman" w:cs="Times New Roman"/>
          <w:sz w:val="28"/>
          <w:szCs w:val="28"/>
        </w:rPr>
        <w:t xml:space="preserve">38 713 женщин </w:t>
      </w:r>
      <w:r w:rsidR="008F38C9">
        <w:rPr>
          <w:rFonts w:ascii="Times New Roman" w:hAnsi="Times New Roman" w:cs="Times New Roman"/>
          <w:sz w:val="28"/>
          <w:szCs w:val="28"/>
        </w:rPr>
        <w:t>и</w:t>
      </w:r>
      <w:r w:rsidR="003E5916">
        <w:rPr>
          <w:rFonts w:ascii="Times New Roman" w:hAnsi="Times New Roman" w:cs="Times New Roman"/>
          <w:sz w:val="28"/>
          <w:szCs w:val="28"/>
        </w:rPr>
        <w:t xml:space="preserve">з числа </w:t>
      </w:r>
      <w:r w:rsidRPr="008541F4">
        <w:rPr>
          <w:rFonts w:ascii="Times New Roman" w:hAnsi="Times New Roman" w:cs="Times New Roman"/>
          <w:sz w:val="28"/>
          <w:szCs w:val="28"/>
        </w:rPr>
        <w:t>завершивших обучение приступил</w:t>
      </w:r>
      <w:r w:rsidR="003E5916">
        <w:rPr>
          <w:rFonts w:ascii="Times New Roman" w:hAnsi="Times New Roman" w:cs="Times New Roman"/>
          <w:sz w:val="28"/>
          <w:szCs w:val="28"/>
        </w:rPr>
        <w:t xml:space="preserve">и к трудовой деятельности после </w:t>
      </w:r>
      <w:r w:rsidRPr="008541F4">
        <w:rPr>
          <w:rFonts w:ascii="Times New Roman" w:hAnsi="Times New Roman" w:cs="Times New Roman"/>
          <w:sz w:val="28"/>
          <w:szCs w:val="28"/>
        </w:rPr>
        <w:t>прохождения обучения, из них 28 939 человек –</w:t>
      </w:r>
      <w:r w:rsidR="008F38C9" w:rsidRPr="002F71BF">
        <w:rPr>
          <w:rFonts w:ascii="Times New Roman" w:hAnsi="Times New Roman" w:cs="Times New Roman"/>
          <w:sz w:val="28"/>
          <w:szCs w:val="28"/>
        </w:rPr>
        <w:t> </w:t>
      </w:r>
      <w:r w:rsidR="003E5916">
        <w:rPr>
          <w:rFonts w:ascii="Times New Roman" w:hAnsi="Times New Roman" w:cs="Times New Roman"/>
          <w:sz w:val="28"/>
          <w:szCs w:val="28"/>
        </w:rPr>
        <w:t xml:space="preserve">вышедшие из отпуска по уходу за </w:t>
      </w:r>
      <w:r w:rsidRPr="008541F4">
        <w:rPr>
          <w:rFonts w:ascii="Times New Roman" w:hAnsi="Times New Roman" w:cs="Times New Roman"/>
          <w:sz w:val="28"/>
          <w:szCs w:val="28"/>
        </w:rPr>
        <w:t>р</w:t>
      </w:r>
      <w:r w:rsidR="008F38C9">
        <w:rPr>
          <w:rFonts w:ascii="Times New Roman" w:hAnsi="Times New Roman" w:cs="Times New Roman"/>
          <w:sz w:val="28"/>
          <w:szCs w:val="28"/>
        </w:rPr>
        <w:t xml:space="preserve">ебенком в возрасте до трех лет. </w:t>
      </w:r>
      <w:r w:rsidRPr="008541F4">
        <w:rPr>
          <w:rFonts w:ascii="Times New Roman" w:hAnsi="Times New Roman" w:cs="Times New Roman"/>
          <w:sz w:val="28"/>
          <w:szCs w:val="28"/>
        </w:rPr>
        <w:t>Доля приступивших к трудовой деятельности в</w:t>
      </w:r>
      <w:r w:rsidR="003E5916">
        <w:rPr>
          <w:rFonts w:ascii="Times New Roman" w:hAnsi="Times New Roman" w:cs="Times New Roman"/>
          <w:sz w:val="28"/>
          <w:szCs w:val="28"/>
        </w:rPr>
        <w:t xml:space="preserve"> общей численности прошедших </w:t>
      </w:r>
      <w:r w:rsidRPr="008541F4">
        <w:rPr>
          <w:rFonts w:ascii="Times New Roman" w:hAnsi="Times New Roman" w:cs="Times New Roman"/>
          <w:sz w:val="28"/>
          <w:szCs w:val="28"/>
        </w:rPr>
        <w:t>переобучение и повышение квалификации женщи</w:t>
      </w:r>
      <w:r w:rsidR="003E5916">
        <w:rPr>
          <w:rFonts w:ascii="Times New Roman" w:hAnsi="Times New Roman" w:cs="Times New Roman"/>
          <w:sz w:val="28"/>
          <w:szCs w:val="28"/>
        </w:rPr>
        <w:t xml:space="preserve">н указанных категорий составила </w:t>
      </w:r>
      <w:r w:rsidRPr="008541F4">
        <w:rPr>
          <w:rFonts w:ascii="Times New Roman" w:hAnsi="Times New Roman" w:cs="Times New Roman"/>
          <w:sz w:val="28"/>
          <w:szCs w:val="28"/>
        </w:rPr>
        <w:t>70,9%.</w:t>
      </w:r>
    </w:p>
    <w:p w14:paraId="57C13FE8" w14:textId="77777777" w:rsidR="00D03A4F" w:rsidRPr="003E5916" w:rsidRDefault="005D2D17" w:rsidP="003E5916">
      <w:pPr>
        <w:autoSpaceDE w:val="0"/>
        <w:autoSpaceDN w:val="0"/>
        <w:adjustRightInd w:val="0"/>
        <w:spacing w:after="0" w:line="312" w:lineRule="auto"/>
        <w:ind w:firstLine="709"/>
        <w:jc w:val="both"/>
        <w:rPr>
          <w:rFonts w:ascii="Times New Roman" w:hAnsi="Times New Roman" w:cs="Times New Roman"/>
          <w:sz w:val="28"/>
          <w:szCs w:val="28"/>
        </w:rPr>
      </w:pPr>
      <w:r w:rsidRPr="008541F4">
        <w:rPr>
          <w:rFonts w:ascii="Times New Roman" w:hAnsi="Times New Roman" w:cs="Times New Roman"/>
          <w:sz w:val="28"/>
          <w:szCs w:val="28"/>
        </w:rPr>
        <w:t>В 2022 г</w:t>
      </w:r>
      <w:r w:rsidR="00495D26">
        <w:rPr>
          <w:rFonts w:ascii="Times New Roman" w:hAnsi="Times New Roman" w:cs="Times New Roman"/>
          <w:sz w:val="28"/>
          <w:szCs w:val="28"/>
        </w:rPr>
        <w:t>.</w:t>
      </w:r>
      <w:r w:rsidRPr="008541F4">
        <w:rPr>
          <w:rFonts w:ascii="Times New Roman" w:hAnsi="Times New Roman" w:cs="Times New Roman"/>
          <w:sz w:val="28"/>
          <w:szCs w:val="28"/>
        </w:rPr>
        <w:t xml:space="preserve"> реализация мероприятий </w:t>
      </w:r>
      <w:r w:rsidR="003E5916">
        <w:rPr>
          <w:rFonts w:ascii="Times New Roman" w:hAnsi="Times New Roman" w:cs="Times New Roman"/>
          <w:sz w:val="28"/>
          <w:szCs w:val="28"/>
        </w:rPr>
        <w:t xml:space="preserve">по профессиональному обучению и </w:t>
      </w:r>
      <w:r w:rsidRPr="008541F4">
        <w:rPr>
          <w:rFonts w:ascii="Times New Roman" w:hAnsi="Times New Roman" w:cs="Times New Roman"/>
          <w:sz w:val="28"/>
          <w:szCs w:val="28"/>
        </w:rPr>
        <w:t>дополнительному профессиональному образованию</w:t>
      </w:r>
      <w:r w:rsidR="003E5916">
        <w:rPr>
          <w:rFonts w:ascii="Times New Roman" w:hAnsi="Times New Roman" w:cs="Times New Roman"/>
          <w:sz w:val="28"/>
          <w:szCs w:val="28"/>
        </w:rPr>
        <w:t xml:space="preserve"> отдельных категорий граждан, в </w:t>
      </w:r>
      <w:r w:rsidRPr="008541F4">
        <w:rPr>
          <w:rFonts w:ascii="Times New Roman" w:hAnsi="Times New Roman" w:cs="Times New Roman"/>
          <w:sz w:val="28"/>
          <w:szCs w:val="28"/>
        </w:rPr>
        <w:t>том числе женщин, находящихся в отпуске по ухо</w:t>
      </w:r>
      <w:r w:rsidR="003E5916">
        <w:rPr>
          <w:rFonts w:ascii="Times New Roman" w:hAnsi="Times New Roman" w:cs="Times New Roman"/>
          <w:sz w:val="28"/>
          <w:szCs w:val="28"/>
        </w:rPr>
        <w:t xml:space="preserve">ду за ребенком до достижения им </w:t>
      </w:r>
      <w:r w:rsidRPr="008541F4">
        <w:rPr>
          <w:rFonts w:ascii="Times New Roman" w:hAnsi="Times New Roman" w:cs="Times New Roman"/>
          <w:sz w:val="28"/>
          <w:szCs w:val="28"/>
        </w:rPr>
        <w:t xml:space="preserve">возраста 3 лет, а также женщин, не состоящих </w:t>
      </w:r>
      <w:r w:rsidR="003E5916">
        <w:rPr>
          <w:rFonts w:ascii="Times New Roman" w:hAnsi="Times New Roman" w:cs="Times New Roman"/>
          <w:sz w:val="28"/>
          <w:szCs w:val="28"/>
        </w:rPr>
        <w:t xml:space="preserve">в трудовых отношениях и имеющие </w:t>
      </w:r>
      <w:r w:rsidRPr="008541F4">
        <w:rPr>
          <w:rFonts w:ascii="Times New Roman" w:hAnsi="Times New Roman" w:cs="Times New Roman"/>
          <w:sz w:val="28"/>
          <w:szCs w:val="28"/>
        </w:rPr>
        <w:t xml:space="preserve">детей дошкольного возраста в возрасте до 7 лет включительно, </w:t>
      </w:r>
      <w:r w:rsidR="00C45B08">
        <w:rPr>
          <w:rFonts w:ascii="Times New Roman" w:hAnsi="Times New Roman" w:cs="Times New Roman"/>
          <w:sz w:val="28"/>
          <w:szCs w:val="28"/>
        </w:rPr>
        <w:t xml:space="preserve">будет </w:t>
      </w:r>
      <w:r w:rsidRPr="008541F4">
        <w:rPr>
          <w:rFonts w:ascii="Times New Roman" w:hAnsi="Times New Roman" w:cs="Times New Roman"/>
          <w:sz w:val="28"/>
          <w:szCs w:val="28"/>
        </w:rPr>
        <w:t>продолжена.</w:t>
      </w:r>
    </w:p>
    <w:p w14:paraId="2BBD8E4F" w14:textId="77777777"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rsidSect="009C0CC8">
          <w:pgSz w:w="11906" w:h="16838"/>
          <w:pgMar w:top="1134" w:right="567" w:bottom="1134" w:left="1134" w:header="708" w:footer="708" w:gutter="0"/>
          <w:cols w:space="708"/>
          <w:docGrid w:linePitch="360"/>
        </w:sectPr>
      </w:pPr>
    </w:p>
    <w:p w14:paraId="22093D2D" w14:textId="77777777" w:rsidR="00D03A4F" w:rsidRPr="00D03A4F" w:rsidRDefault="00D03A4F" w:rsidP="00D03A4F">
      <w:pPr>
        <w:shd w:val="clear" w:color="auto" w:fill="FFFFFF"/>
        <w:spacing w:after="120" w:line="312"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 xml:space="preserve">9. ПРОФИЛАКТИКА СЕМЕЙНОГО НЕБЛАГОПОЛУЧИЯ, СОЦИАЛЬНОГО СИРОТСТВА И ЖЕСТОКОГО ОБРАЩЕНИЯ </w:t>
      </w:r>
      <w:r w:rsidRPr="00D03A4F">
        <w:rPr>
          <w:rFonts w:ascii="Times New Roman" w:eastAsia="Times New Roman" w:hAnsi="Times New Roman" w:cs="Times New Roman"/>
          <w:b/>
          <w:sz w:val="28"/>
          <w:szCs w:val="28"/>
          <w:lang w:eastAsia="ru-RU"/>
        </w:rPr>
        <w:br/>
        <w:t>С ДЕТЬМИ</w:t>
      </w:r>
    </w:p>
    <w:p w14:paraId="577C9DF8" w14:textId="77777777" w:rsidR="00D03A4F" w:rsidRDefault="00D03A4F" w:rsidP="00576FC6">
      <w:pPr>
        <w:shd w:val="clear" w:color="auto" w:fill="FFFFFF"/>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Развитие системы социального обслуживания семьи и детей</w:t>
      </w:r>
    </w:p>
    <w:p w14:paraId="62C51CE4" w14:textId="77777777" w:rsidR="007D7152" w:rsidRPr="00193A1D" w:rsidRDefault="007D7152" w:rsidP="007D7152">
      <w:pPr>
        <w:tabs>
          <w:tab w:val="left" w:pos="993"/>
        </w:tabs>
        <w:autoSpaceDE w:val="0"/>
        <w:autoSpaceDN w:val="0"/>
        <w:adjustRightInd w:val="0"/>
        <w:spacing w:after="0" w:line="312" w:lineRule="auto"/>
        <w:ind w:firstLine="709"/>
        <w:jc w:val="both"/>
        <w:rPr>
          <w:rFonts w:ascii="Times New Roman" w:hAnsi="Times New Roman" w:cs="Times New Roman"/>
          <w:sz w:val="28"/>
          <w:szCs w:val="28"/>
        </w:rPr>
      </w:pPr>
      <w:r w:rsidRPr="00193A1D">
        <w:rPr>
          <w:rFonts w:ascii="Times New Roman" w:hAnsi="Times New Roman" w:cs="Times New Roman"/>
          <w:sz w:val="28"/>
          <w:szCs w:val="28"/>
        </w:rPr>
        <w:t>Согласно информации, представленной в Минтруд России органами исполнительной власти субъектов Российской Федерации, в 2021 г</w:t>
      </w:r>
      <w:r w:rsidR="00495D26">
        <w:rPr>
          <w:rFonts w:ascii="Times New Roman" w:hAnsi="Times New Roman" w:cs="Times New Roman"/>
          <w:sz w:val="28"/>
          <w:szCs w:val="28"/>
        </w:rPr>
        <w:t>.</w:t>
      </w:r>
      <w:r w:rsidRPr="00193A1D">
        <w:rPr>
          <w:rFonts w:ascii="Times New Roman" w:hAnsi="Times New Roman" w:cs="Times New Roman"/>
          <w:sz w:val="28"/>
          <w:szCs w:val="28"/>
        </w:rPr>
        <w:t xml:space="preserve"> социальная помощь оказана 3,8 млн семей, находящимся </w:t>
      </w:r>
      <w:r w:rsidR="00416692">
        <w:rPr>
          <w:rFonts w:ascii="Times New Roman" w:hAnsi="Times New Roman" w:cs="Times New Roman"/>
          <w:sz w:val="28"/>
          <w:szCs w:val="28"/>
        </w:rPr>
        <w:t xml:space="preserve">в трудной жизненной ситуации </w:t>
      </w:r>
      <w:r w:rsidR="00416692">
        <w:rPr>
          <w:rFonts w:ascii="Times New Roman" w:hAnsi="Times New Roman" w:cs="Times New Roman"/>
          <w:sz w:val="28"/>
          <w:szCs w:val="28"/>
        </w:rPr>
        <w:br/>
        <w:t>(</w:t>
      </w:r>
      <w:r w:rsidRPr="00193A1D">
        <w:rPr>
          <w:rFonts w:ascii="Times New Roman" w:hAnsi="Times New Roman" w:cs="Times New Roman"/>
          <w:sz w:val="28"/>
          <w:szCs w:val="28"/>
        </w:rPr>
        <w:t>2020 г</w:t>
      </w:r>
      <w:r w:rsidR="00416692">
        <w:rPr>
          <w:rFonts w:ascii="Times New Roman" w:hAnsi="Times New Roman" w:cs="Times New Roman"/>
          <w:sz w:val="28"/>
          <w:szCs w:val="28"/>
        </w:rPr>
        <w:t>.</w:t>
      </w:r>
      <w:r w:rsidRPr="00193A1D">
        <w:rPr>
          <w:rFonts w:ascii="Times New Roman" w:hAnsi="Times New Roman" w:cs="Times New Roman"/>
          <w:sz w:val="28"/>
          <w:szCs w:val="28"/>
        </w:rPr>
        <w:t xml:space="preserve"> – 3,9 млн семей). При этом около 850 тыс. семей социальная помощь </w:t>
      </w:r>
      <w:r w:rsidR="00416692" w:rsidRPr="00193A1D">
        <w:rPr>
          <w:rFonts w:ascii="Times New Roman" w:hAnsi="Times New Roman" w:cs="Times New Roman"/>
          <w:sz w:val="28"/>
          <w:szCs w:val="28"/>
        </w:rPr>
        <w:t xml:space="preserve">оказана </w:t>
      </w:r>
      <w:r w:rsidR="00416692">
        <w:rPr>
          <w:rFonts w:ascii="Times New Roman" w:hAnsi="Times New Roman" w:cs="Times New Roman"/>
          <w:sz w:val="28"/>
          <w:szCs w:val="28"/>
        </w:rPr>
        <w:t>в денежном выражении (</w:t>
      </w:r>
      <w:r w:rsidRPr="00193A1D">
        <w:rPr>
          <w:rFonts w:ascii="Times New Roman" w:hAnsi="Times New Roman" w:cs="Times New Roman"/>
          <w:sz w:val="28"/>
          <w:szCs w:val="28"/>
        </w:rPr>
        <w:t>2020 г</w:t>
      </w:r>
      <w:r w:rsidR="00416692">
        <w:rPr>
          <w:rFonts w:ascii="Times New Roman" w:hAnsi="Times New Roman" w:cs="Times New Roman"/>
          <w:sz w:val="28"/>
          <w:szCs w:val="28"/>
        </w:rPr>
        <w:t>.</w:t>
      </w:r>
      <w:r w:rsidRPr="00193A1D">
        <w:rPr>
          <w:rFonts w:ascii="Times New Roman" w:hAnsi="Times New Roman" w:cs="Times New Roman"/>
          <w:sz w:val="28"/>
          <w:szCs w:val="28"/>
        </w:rPr>
        <w:t xml:space="preserve"> </w:t>
      </w:r>
      <w:r w:rsidR="00A32FD8">
        <w:rPr>
          <w:rFonts w:ascii="Times New Roman" w:hAnsi="Times New Roman" w:cs="Times New Roman"/>
          <w:sz w:val="28"/>
          <w:szCs w:val="28"/>
        </w:rPr>
        <w:t>–</w:t>
      </w:r>
      <w:r w:rsidRPr="00193A1D">
        <w:rPr>
          <w:rFonts w:ascii="Times New Roman" w:hAnsi="Times New Roman" w:cs="Times New Roman"/>
          <w:sz w:val="28"/>
          <w:szCs w:val="28"/>
        </w:rPr>
        <w:t xml:space="preserve"> 875 тыс. семей), около 800 тыс. семей </w:t>
      </w:r>
      <w:r w:rsidR="00416692">
        <w:rPr>
          <w:rFonts w:ascii="Times New Roman" w:hAnsi="Times New Roman" w:cs="Times New Roman"/>
          <w:sz w:val="28"/>
          <w:szCs w:val="28"/>
        </w:rPr>
        <w:t>–</w:t>
      </w:r>
      <w:r w:rsidRPr="00193A1D">
        <w:rPr>
          <w:rFonts w:ascii="Times New Roman" w:hAnsi="Times New Roman" w:cs="Times New Roman"/>
          <w:sz w:val="28"/>
          <w:szCs w:val="28"/>
        </w:rPr>
        <w:t xml:space="preserve"> в натуральном выражении</w:t>
      </w:r>
      <w:r w:rsidR="00416692">
        <w:rPr>
          <w:rFonts w:ascii="Times New Roman" w:hAnsi="Times New Roman" w:cs="Times New Roman"/>
          <w:sz w:val="28"/>
          <w:szCs w:val="28"/>
        </w:rPr>
        <w:t xml:space="preserve">: </w:t>
      </w:r>
      <w:r w:rsidRPr="00193A1D">
        <w:rPr>
          <w:rFonts w:ascii="Times New Roman" w:hAnsi="Times New Roman" w:cs="Times New Roman"/>
          <w:sz w:val="28"/>
          <w:szCs w:val="28"/>
        </w:rPr>
        <w:t>продукты</w:t>
      </w:r>
      <w:r w:rsidR="00416692">
        <w:rPr>
          <w:rFonts w:ascii="Times New Roman" w:hAnsi="Times New Roman" w:cs="Times New Roman"/>
          <w:sz w:val="28"/>
          <w:szCs w:val="28"/>
        </w:rPr>
        <w:t>, предметы первой необходимости</w:t>
      </w:r>
      <w:r w:rsidRPr="00193A1D">
        <w:rPr>
          <w:rFonts w:ascii="Times New Roman" w:hAnsi="Times New Roman" w:cs="Times New Roman"/>
          <w:sz w:val="28"/>
          <w:szCs w:val="28"/>
        </w:rPr>
        <w:t xml:space="preserve"> </w:t>
      </w:r>
      <w:r w:rsidR="00416692">
        <w:rPr>
          <w:rFonts w:ascii="Times New Roman" w:hAnsi="Times New Roman" w:cs="Times New Roman"/>
          <w:sz w:val="28"/>
          <w:szCs w:val="28"/>
        </w:rPr>
        <w:br/>
      </w:r>
      <w:r w:rsidRPr="00193A1D">
        <w:rPr>
          <w:rFonts w:ascii="Times New Roman" w:hAnsi="Times New Roman" w:cs="Times New Roman"/>
          <w:sz w:val="28"/>
          <w:szCs w:val="28"/>
        </w:rPr>
        <w:t>(2020 г</w:t>
      </w:r>
      <w:r w:rsidR="00416692">
        <w:rPr>
          <w:rFonts w:ascii="Times New Roman" w:hAnsi="Times New Roman" w:cs="Times New Roman"/>
          <w:sz w:val="28"/>
          <w:szCs w:val="28"/>
        </w:rPr>
        <w:t>.</w:t>
      </w:r>
      <w:r w:rsidRPr="00193A1D">
        <w:rPr>
          <w:rFonts w:ascii="Times New Roman" w:hAnsi="Times New Roman" w:cs="Times New Roman"/>
          <w:sz w:val="28"/>
          <w:szCs w:val="28"/>
        </w:rPr>
        <w:t xml:space="preserve"> – около 900 тыс. семей).</w:t>
      </w:r>
    </w:p>
    <w:p w14:paraId="3EF242F3" w14:textId="77777777" w:rsidR="007D7152" w:rsidRPr="00193A1D" w:rsidRDefault="007D7152" w:rsidP="007D7152">
      <w:pPr>
        <w:tabs>
          <w:tab w:val="left" w:pos="993"/>
        </w:tabs>
        <w:autoSpaceDE w:val="0"/>
        <w:autoSpaceDN w:val="0"/>
        <w:adjustRightInd w:val="0"/>
        <w:spacing w:after="0" w:line="312" w:lineRule="auto"/>
        <w:ind w:firstLine="709"/>
        <w:jc w:val="both"/>
        <w:rPr>
          <w:rFonts w:ascii="Times New Roman" w:hAnsi="Times New Roman" w:cs="Times New Roman"/>
          <w:sz w:val="28"/>
          <w:szCs w:val="28"/>
        </w:rPr>
      </w:pPr>
      <w:r w:rsidRPr="00193A1D">
        <w:rPr>
          <w:rFonts w:ascii="Times New Roman" w:hAnsi="Times New Roman" w:cs="Times New Roman"/>
          <w:sz w:val="28"/>
          <w:szCs w:val="28"/>
        </w:rPr>
        <w:t>Социальные услуги семьям с детьми предоставляются центрами социальной помощи семье и детям, центрами психолого-пе</w:t>
      </w:r>
      <w:r w:rsidR="00416692">
        <w:rPr>
          <w:rFonts w:ascii="Times New Roman" w:hAnsi="Times New Roman" w:cs="Times New Roman"/>
          <w:sz w:val="28"/>
          <w:szCs w:val="28"/>
        </w:rPr>
        <w:t xml:space="preserve">дагогической помощи населению, </w:t>
      </w:r>
      <w:r w:rsidRPr="00193A1D">
        <w:rPr>
          <w:rFonts w:ascii="Times New Roman" w:hAnsi="Times New Roman" w:cs="Times New Roman"/>
          <w:sz w:val="28"/>
          <w:szCs w:val="28"/>
        </w:rPr>
        <w:t xml:space="preserve">центрами экстренной психологической помощи по телефону, социально-реабилитационными центрами для несовершеннолетних, социальными приютами для детей, центрами помощи детям, оставшимся без попечения родителей, реабилитационными центрами для детей и подростков с </w:t>
      </w:r>
      <w:r w:rsidR="00416692">
        <w:rPr>
          <w:rFonts w:ascii="Times New Roman" w:hAnsi="Times New Roman" w:cs="Times New Roman"/>
          <w:sz w:val="28"/>
          <w:szCs w:val="28"/>
        </w:rPr>
        <w:t>ОВЗ</w:t>
      </w:r>
      <w:r w:rsidRPr="00193A1D">
        <w:rPr>
          <w:rFonts w:ascii="Times New Roman" w:hAnsi="Times New Roman" w:cs="Times New Roman"/>
          <w:sz w:val="28"/>
          <w:szCs w:val="28"/>
        </w:rPr>
        <w:t>, отделениями по работе с семьей и детьми в центрах социального обслуживания, комплексными центрами социального обслуживания населения,  кризисными центрами для женщин и другими учреждениями социального обслуживания.</w:t>
      </w:r>
    </w:p>
    <w:p w14:paraId="6EFF423C" w14:textId="77777777" w:rsidR="007D7152" w:rsidRPr="00193A1D" w:rsidRDefault="007D7152" w:rsidP="007D7152">
      <w:pPr>
        <w:tabs>
          <w:tab w:val="left" w:pos="993"/>
        </w:tabs>
        <w:autoSpaceDE w:val="0"/>
        <w:autoSpaceDN w:val="0"/>
        <w:adjustRightInd w:val="0"/>
        <w:spacing w:after="0" w:line="312" w:lineRule="auto"/>
        <w:ind w:firstLine="709"/>
        <w:jc w:val="both"/>
        <w:rPr>
          <w:rFonts w:ascii="Times New Roman" w:hAnsi="Times New Roman" w:cs="Times New Roman"/>
          <w:sz w:val="28"/>
          <w:szCs w:val="28"/>
        </w:rPr>
      </w:pPr>
      <w:r w:rsidRPr="00193A1D">
        <w:rPr>
          <w:rFonts w:ascii="Times New Roman" w:hAnsi="Times New Roman" w:cs="Times New Roman"/>
          <w:sz w:val="28"/>
          <w:szCs w:val="28"/>
        </w:rPr>
        <w:t>По состоянию на 1 января 2022 г</w:t>
      </w:r>
      <w:r w:rsidR="00C45B9C">
        <w:rPr>
          <w:rFonts w:ascii="Times New Roman" w:hAnsi="Times New Roman" w:cs="Times New Roman"/>
          <w:sz w:val="28"/>
          <w:szCs w:val="28"/>
        </w:rPr>
        <w:t>.</w:t>
      </w:r>
      <w:r w:rsidRPr="00193A1D">
        <w:rPr>
          <w:rFonts w:ascii="Times New Roman" w:hAnsi="Times New Roman" w:cs="Times New Roman"/>
          <w:sz w:val="28"/>
          <w:szCs w:val="28"/>
        </w:rPr>
        <w:t xml:space="preserve"> </w:t>
      </w:r>
      <w:r w:rsidR="00416692">
        <w:rPr>
          <w:rFonts w:ascii="Times New Roman" w:hAnsi="Times New Roman" w:cs="Times New Roman"/>
          <w:sz w:val="28"/>
          <w:szCs w:val="28"/>
        </w:rPr>
        <w:t xml:space="preserve">насчитывалось </w:t>
      </w:r>
      <w:r w:rsidR="00416692" w:rsidRPr="00193A1D">
        <w:rPr>
          <w:rFonts w:ascii="Times New Roman" w:hAnsi="Times New Roman" w:cs="Times New Roman"/>
          <w:sz w:val="28"/>
          <w:szCs w:val="28"/>
        </w:rPr>
        <w:t>2</w:t>
      </w:r>
      <w:r w:rsidR="00416692">
        <w:rPr>
          <w:rFonts w:ascii="Times New Roman" w:hAnsi="Times New Roman" w:cs="Times New Roman"/>
          <w:sz w:val="28"/>
          <w:szCs w:val="28"/>
        </w:rPr>
        <w:t> </w:t>
      </w:r>
      <w:r w:rsidR="00416692" w:rsidRPr="00193A1D">
        <w:rPr>
          <w:rFonts w:ascii="Times New Roman" w:hAnsi="Times New Roman" w:cs="Times New Roman"/>
          <w:sz w:val="28"/>
          <w:szCs w:val="28"/>
        </w:rPr>
        <w:t>628</w:t>
      </w:r>
      <w:r w:rsidR="00416692">
        <w:rPr>
          <w:rFonts w:ascii="Times New Roman" w:hAnsi="Times New Roman" w:cs="Times New Roman"/>
          <w:sz w:val="28"/>
          <w:szCs w:val="28"/>
        </w:rPr>
        <w:t xml:space="preserve"> </w:t>
      </w:r>
      <w:r w:rsidRPr="00193A1D">
        <w:rPr>
          <w:rFonts w:ascii="Times New Roman" w:hAnsi="Times New Roman" w:cs="Times New Roman"/>
          <w:sz w:val="28"/>
          <w:szCs w:val="28"/>
        </w:rPr>
        <w:t>таких организаций</w:t>
      </w:r>
      <w:r w:rsidR="00416692">
        <w:rPr>
          <w:rFonts w:ascii="Times New Roman" w:hAnsi="Times New Roman" w:cs="Times New Roman"/>
          <w:sz w:val="28"/>
          <w:szCs w:val="28"/>
        </w:rPr>
        <w:t xml:space="preserve">, обслуживших в течение года </w:t>
      </w:r>
      <w:r w:rsidRPr="00193A1D">
        <w:rPr>
          <w:rFonts w:ascii="Times New Roman" w:hAnsi="Times New Roman" w:cs="Times New Roman"/>
          <w:sz w:val="28"/>
          <w:szCs w:val="28"/>
        </w:rPr>
        <w:t>2,6 мл</w:t>
      </w:r>
      <w:r w:rsidR="00416692">
        <w:rPr>
          <w:rFonts w:ascii="Times New Roman" w:hAnsi="Times New Roman" w:cs="Times New Roman"/>
          <w:sz w:val="28"/>
          <w:szCs w:val="28"/>
        </w:rPr>
        <w:t>н семей, из которых около 1 млн</w:t>
      </w:r>
      <w:r w:rsidRPr="00193A1D">
        <w:rPr>
          <w:rFonts w:ascii="Times New Roman" w:hAnsi="Times New Roman" w:cs="Times New Roman"/>
          <w:sz w:val="28"/>
          <w:szCs w:val="28"/>
        </w:rPr>
        <w:t xml:space="preserve"> – малообеспеченные семьи.</w:t>
      </w:r>
    </w:p>
    <w:p w14:paraId="519CEF75" w14:textId="77777777" w:rsidR="007D7152" w:rsidRPr="00193A1D" w:rsidRDefault="007D7152" w:rsidP="007D7152">
      <w:pPr>
        <w:tabs>
          <w:tab w:val="left" w:pos="993"/>
        </w:tabs>
        <w:autoSpaceDE w:val="0"/>
        <w:autoSpaceDN w:val="0"/>
        <w:adjustRightInd w:val="0"/>
        <w:spacing w:after="0" w:line="312" w:lineRule="auto"/>
        <w:ind w:firstLine="709"/>
        <w:jc w:val="both"/>
        <w:rPr>
          <w:rFonts w:ascii="Times New Roman" w:hAnsi="Times New Roman" w:cs="Times New Roman"/>
          <w:sz w:val="28"/>
          <w:szCs w:val="28"/>
        </w:rPr>
      </w:pPr>
      <w:r w:rsidRPr="00193A1D">
        <w:rPr>
          <w:rFonts w:ascii="Times New Roman" w:hAnsi="Times New Roman" w:cs="Times New Roman"/>
          <w:sz w:val="28"/>
          <w:szCs w:val="28"/>
        </w:rPr>
        <w:t>При этом семьям с детьми социальные услуги оказываются по следующим основаниям:</w:t>
      </w:r>
    </w:p>
    <w:p w14:paraId="0C9B387E" w14:textId="21FD6311" w:rsidR="007D7152" w:rsidRPr="00193A1D" w:rsidRDefault="007D7152" w:rsidP="007D7152">
      <w:pPr>
        <w:tabs>
          <w:tab w:val="left" w:pos="993"/>
        </w:tabs>
        <w:autoSpaceDE w:val="0"/>
        <w:autoSpaceDN w:val="0"/>
        <w:adjustRightInd w:val="0"/>
        <w:spacing w:after="0" w:line="312" w:lineRule="auto"/>
        <w:ind w:firstLine="709"/>
        <w:jc w:val="both"/>
        <w:rPr>
          <w:rFonts w:ascii="Times New Roman" w:hAnsi="Times New Roman" w:cs="Times New Roman"/>
          <w:sz w:val="28"/>
          <w:szCs w:val="28"/>
        </w:rPr>
      </w:pPr>
      <w:r w:rsidRPr="00193A1D">
        <w:rPr>
          <w:rFonts w:ascii="Times New Roman" w:hAnsi="Times New Roman" w:cs="Times New Roman"/>
          <w:sz w:val="28"/>
          <w:szCs w:val="28"/>
        </w:rPr>
        <w:t xml:space="preserve">наличие в семье </w:t>
      </w:r>
      <w:r w:rsidR="003B77D7">
        <w:rPr>
          <w:rFonts w:ascii="Times New Roman" w:hAnsi="Times New Roman" w:cs="Times New Roman"/>
          <w:sz w:val="28"/>
          <w:szCs w:val="28"/>
        </w:rPr>
        <w:t xml:space="preserve">гражданина </w:t>
      </w:r>
      <w:r w:rsidR="003B77D7">
        <w:rPr>
          <w:rFonts w:ascii="Times New Roman" w:eastAsia="Times New Roman" w:hAnsi="Times New Roman" w:cs="Times New Roman"/>
          <w:sz w:val="28"/>
          <w:szCs w:val="28"/>
          <w:lang w:eastAsia="ru-RU"/>
        </w:rPr>
        <w:t>с инвалидностью</w:t>
      </w:r>
      <w:r w:rsidR="003B77D7" w:rsidRPr="00193A1D">
        <w:rPr>
          <w:rFonts w:ascii="Times New Roman" w:hAnsi="Times New Roman" w:cs="Times New Roman"/>
          <w:sz w:val="28"/>
          <w:szCs w:val="28"/>
        </w:rPr>
        <w:t xml:space="preserve"> </w:t>
      </w:r>
      <w:r w:rsidRPr="00193A1D">
        <w:rPr>
          <w:rFonts w:ascii="Times New Roman" w:hAnsi="Times New Roman" w:cs="Times New Roman"/>
          <w:sz w:val="28"/>
          <w:szCs w:val="28"/>
        </w:rPr>
        <w:t xml:space="preserve">или </w:t>
      </w:r>
      <w:r w:rsidR="003B77D7">
        <w:rPr>
          <w:rFonts w:ascii="Times New Roman" w:hAnsi="Times New Roman" w:cs="Times New Roman"/>
          <w:sz w:val="28"/>
          <w:szCs w:val="28"/>
        </w:rPr>
        <w:t xml:space="preserve">граждан </w:t>
      </w:r>
      <w:r w:rsidR="003B77D7">
        <w:rPr>
          <w:rFonts w:ascii="Times New Roman" w:eastAsia="Times New Roman" w:hAnsi="Times New Roman" w:cs="Times New Roman"/>
          <w:sz w:val="28"/>
          <w:szCs w:val="28"/>
          <w:lang w:eastAsia="ru-RU"/>
        </w:rPr>
        <w:t>с инвалидностью</w:t>
      </w:r>
      <w:r w:rsidRPr="00193A1D">
        <w:rPr>
          <w:rFonts w:ascii="Times New Roman" w:hAnsi="Times New Roman" w:cs="Times New Roman"/>
          <w:sz w:val="28"/>
          <w:szCs w:val="28"/>
        </w:rPr>
        <w:t>, в том числе ребенка</w:t>
      </w:r>
      <w:r w:rsidR="003B77D7" w:rsidRPr="003B77D7">
        <w:rPr>
          <w:rFonts w:ascii="Times New Roman" w:eastAsia="Times New Roman" w:hAnsi="Times New Roman" w:cs="Times New Roman"/>
          <w:sz w:val="28"/>
          <w:szCs w:val="28"/>
          <w:lang w:eastAsia="ru-RU"/>
        </w:rPr>
        <w:t xml:space="preserve"> </w:t>
      </w:r>
      <w:r w:rsidR="003B77D7">
        <w:rPr>
          <w:rFonts w:ascii="Times New Roman" w:eastAsia="Times New Roman" w:hAnsi="Times New Roman" w:cs="Times New Roman"/>
          <w:sz w:val="28"/>
          <w:szCs w:val="28"/>
          <w:lang w:eastAsia="ru-RU"/>
        </w:rPr>
        <w:t>с инвалидностью</w:t>
      </w:r>
      <w:r w:rsidR="003B77D7" w:rsidRPr="00193A1D" w:rsidDel="003B77D7">
        <w:rPr>
          <w:rFonts w:ascii="Times New Roman" w:hAnsi="Times New Roman" w:cs="Times New Roman"/>
          <w:sz w:val="28"/>
          <w:szCs w:val="28"/>
        </w:rPr>
        <w:t xml:space="preserve"> </w:t>
      </w:r>
      <w:r w:rsidRPr="00193A1D">
        <w:rPr>
          <w:rFonts w:ascii="Times New Roman" w:hAnsi="Times New Roman" w:cs="Times New Roman"/>
          <w:sz w:val="28"/>
          <w:szCs w:val="28"/>
        </w:rPr>
        <w:t>или детей</w:t>
      </w:r>
      <w:r w:rsidR="003B77D7" w:rsidRPr="003B77D7">
        <w:rPr>
          <w:rFonts w:ascii="Times New Roman" w:eastAsia="Times New Roman" w:hAnsi="Times New Roman" w:cs="Times New Roman"/>
          <w:sz w:val="28"/>
          <w:szCs w:val="28"/>
          <w:lang w:eastAsia="ru-RU"/>
        </w:rPr>
        <w:t xml:space="preserve"> </w:t>
      </w:r>
      <w:r w:rsidR="003B77D7">
        <w:rPr>
          <w:rFonts w:ascii="Times New Roman" w:eastAsia="Times New Roman" w:hAnsi="Times New Roman" w:cs="Times New Roman"/>
          <w:sz w:val="28"/>
          <w:szCs w:val="28"/>
          <w:lang w:eastAsia="ru-RU"/>
        </w:rPr>
        <w:t>с инвалидностью</w:t>
      </w:r>
      <w:r w:rsidRPr="00193A1D">
        <w:rPr>
          <w:rFonts w:ascii="Times New Roman" w:hAnsi="Times New Roman" w:cs="Times New Roman"/>
          <w:sz w:val="28"/>
          <w:szCs w:val="28"/>
        </w:rPr>
        <w:t>, нуждающихся в постоянном постороннем уходе;</w:t>
      </w:r>
    </w:p>
    <w:p w14:paraId="39D2FD36" w14:textId="77777777" w:rsidR="007D7152" w:rsidRPr="00193A1D" w:rsidRDefault="007D7152" w:rsidP="007D7152">
      <w:pPr>
        <w:tabs>
          <w:tab w:val="left" w:pos="993"/>
        </w:tabs>
        <w:autoSpaceDE w:val="0"/>
        <w:autoSpaceDN w:val="0"/>
        <w:adjustRightInd w:val="0"/>
        <w:spacing w:after="0" w:line="312" w:lineRule="auto"/>
        <w:ind w:firstLine="709"/>
        <w:jc w:val="both"/>
        <w:rPr>
          <w:rFonts w:ascii="Times New Roman" w:hAnsi="Times New Roman" w:cs="Times New Roman"/>
          <w:sz w:val="28"/>
          <w:szCs w:val="28"/>
        </w:rPr>
      </w:pPr>
      <w:r w:rsidRPr="00193A1D">
        <w:rPr>
          <w:rFonts w:ascii="Times New Roman" w:hAnsi="Times New Roman" w:cs="Times New Roman"/>
          <w:sz w:val="28"/>
          <w:szCs w:val="28"/>
        </w:rPr>
        <w:t>наличие ребенка или детей</w:t>
      </w:r>
      <w:r w:rsidR="00416692">
        <w:rPr>
          <w:rFonts w:ascii="Times New Roman" w:hAnsi="Times New Roman" w:cs="Times New Roman"/>
          <w:sz w:val="28"/>
          <w:szCs w:val="28"/>
        </w:rPr>
        <w:t xml:space="preserve">, </w:t>
      </w:r>
      <w:r w:rsidRPr="00193A1D">
        <w:rPr>
          <w:rFonts w:ascii="Times New Roman" w:hAnsi="Times New Roman" w:cs="Times New Roman"/>
          <w:sz w:val="28"/>
          <w:szCs w:val="28"/>
        </w:rPr>
        <w:t>в том числе находящихся под опекой</w:t>
      </w:r>
      <w:r w:rsidR="00416692">
        <w:rPr>
          <w:rFonts w:ascii="Times New Roman" w:hAnsi="Times New Roman" w:cs="Times New Roman"/>
          <w:sz w:val="28"/>
          <w:szCs w:val="28"/>
        </w:rPr>
        <w:t xml:space="preserve"> (</w:t>
      </w:r>
      <w:r w:rsidRPr="00193A1D">
        <w:rPr>
          <w:rFonts w:ascii="Times New Roman" w:hAnsi="Times New Roman" w:cs="Times New Roman"/>
          <w:sz w:val="28"/>
          <w:szCs w:val="28"/>
        </w:rPr>
        <w:t>попечительством), испытывающих трудности в социальной адаптации;</w:t>
      </w:r>
    </w:p>
    <w:p w14:paraId="6E48C65F" w14:textId="10CE41AB" w:rsidR="007D7152" w:rsidRPr="00193A1D" w:rsidRDefault="007D7152" w:rsidP="007D7152">
      <w:pPr>
        <w:tabs>
          <w:tab w:val="left" w:pos="993"/>
        </w:tabs>
        <w:autoSpaceDE w:val="0"/>
        <w:autoSpaceDN w:val="0"/>
        <w:adjustRightInd w:val="0"/>
        <w:spacing w:after="0" w:line="312" w:lineRule="auto"/>
        <w:ind w:firstLine="709"/>
        <w:jc w:val="both"/>
        <w:rPr>
          <w:rFonts w:ascii="Times New Roman" w:hAnsi="Times New Roman" w:cs="Times New Roman"/>
          <w:sz w:val="28"/>
          <w:szCs w:val="28"/>
        </w:rPr>
      </w:pPr>
      <w:r w:rsidRPr="00193A1D">
        <w:rPr>
          <w:rFonts w:ascii="Times New Roman" w:hAnsi="Times New Roman" w:cs="Times New Roman"/>
          <w:sz w:val="28"/>
          <w:szCs w:val="28"/>
        </w:rPr>
        <w:t>отсутствие возможности обеспечения ухода</w:t>
      </w:r>
      <w:r w:rsidR="00416692">
        <w:rPr>
          <w:rFonts w:ascii="Times New Roman" w:hAnsi="Times New Roman" w:cs="Times New Roman"/>
          <w:sz w:val="28"/>
          <w:szCs w:val="28"/>
        </w:rPr>
        <w:t>, в том числе временного,</w:t>
      </w:r>
      <w:r w:rsidRPr="00193A1D">
        <w:rPr>
          <w:rFonts w:ascii="Times New Roman" w:hAnsi="Times New Roman" w:cs="Times New Roman"/>
          <w:sz w:val="28"/>
          <w:szCs w:val="28"/>
        </w:rPr>
        <w:t xml:space="preserve"> за </w:t>
      </w:r>
      <w:r w:rsidR="003B77D7">
        <w:rPr>
          <w:rFonts w:ascii="Times New Roman" w:hAnsi="Times New Roman" w:cs="Times New Roman"/>
          <w:sz w:val="28"/>
          <w:szCs w:val="28"/>
        </w:rPr>
        <w:t xml:space="preserve">гражданином </w:t>
      </w:r>
      <w:r w:rsidR="003B77D7">
        <w:rPr>
          <w:rFonts w:ascii="Times New Roman" w:eastAsia="Times New Roman" w:hAnsi="Times New Roman" w:cs="Times New Roman"/>
          <w:sz w:val="28"/>
          <w:szCs w:val="28"/>
          <w:lang w:eastAsia="ru-RU"/>
        </w:rPr>
        <w:t>с инвалидностью</w:t>
      </w:r>
      <w:r w:rsidRPr="00193A1D">
        <w:rPr>
          <w:rFonts w:ascii="Times New Roman" w:hAnsi="Times New Roman" w:cs="Times New Roman"/>
          <w:sz w:val="28"/>
          <w:szCs w:val="28"/>
        </w:rPr>
        <w:t>, ребенком, детьми, а также отсутствие попечения над ними;</w:t>
      </w:r>
    </w:p>
    <w:p w14:paraId="78EF2ED5" w14:textId="77777777" w:rsidR="007D7152" w:rsidRPr="00193A1D" w:rsidRDefault="007D7152" w:rsidP="007D7152">
      <w:pPr>
        <w:tabs>
          <w:tab w:val="left" w:pos="993"/>
        </w:tabs>
        <w:autoSpaceDE w:val="0"/>
        <w:autoSpaceDN w:val="0"/>
        <w:adjustRightInd w:val="0"/>
        <w:spacing w:after="0" w:line="312" w:lineRule="auto"/>
        <w:ind w:firstLine="709"/>
        <w:jc w:val="both"/>
        <w:rPr>
          <w:rFonts w:ascii="Times New Roman" w:hAnsi="Times New Roman" w:cs="Times New Roman"/>
          <w:sz w:val="28"/>
          <w:szCs w:val="28"/>
        </w:rPr>
      </w:pPr>
      <w:r w:rsidRPr="00193A1D">
        <w:rPr>
          <w:rFonts w:ascii="Times New Roman" w:hAnsi="Times New Roman" w:cs="Times New Roman"/>
          <w:sz w:val="28"/>
          <w:szCs w:val="28"/>
        </w:rPr>
        <w:t>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14:paraId="0AE49931" w14:textId="77777777" w:rsidR="007D7152" w:rsidRDefault="007D7152" w:rsidP="007D7152">
      <w:pPr>
        <w:tabs>
          <w:tab w:val="left" w:pos="993"/>
        </w:tabs>
        <w:autoSpaceDE w:val="0"/>
        <w:autoSpaceDN w:val="0"/>
        <w:adjustRightInd w:val="0"/>
        <w:spacing w:after="0" w:line="312" w:lineRule="auto"/>
        <w:ind w:firstLine="709"/>
        <w:jc w:val="both"/>
        <w:rPr>
          <w:rFonts w:ascii="Times New Roman" w:hAnsi="Times New Roman" w:cs="Times New Roman"/>
          <w:sz w:val="28"/>
          <w:szCs w:val="28"/>
        </w:rPr>
      </w:pPr>
      <w:r w:rsidRPr="00193A1D">
        <w:rPr>
          <w:rFonts w:ascii="Times New Roman" w:hAnsi="Times New Roman" w:cs="Times New Roman"/>
          <w:sz w:val="28"/>
          <w:szCs w:val="28"/>
        </w:rPr>
        <w:t>отсутствие работы и средств к существованию.</w:t>
      </w:r>
      <w:r w:rsidRPr="007D7152">
        <w:rPr>
          <w:rFonts w:ascii="Times New Roman" w:hAnsi="Times New Roman" w:cs="Times New Roman"/>
          <w:sz w:val="28"/>
          <w:szCs w:val="28"/>
        </w:rPr>
        <w:t xml:space="preserve"> </w:t>
      </w:r>
    </w:p>
    <w:p w14:paraId="7ED5B15B" w14:textId="77777777" w:rsidR="007D7152" w:rsidRDefault="007D7152" w:rsidP="007D7152">
      <w:pPr>
        <w:tabs>
          <w:tab w:val="left" w:pos="993"/>
        </w:tabs>
        <w:autoSpaceDE w:val="0"/>
        <w:autoSpaceDN w:val="0"/>
        <w:adjustRightInd w:val="0"/>
        <w:spacing w:after="0" w:line="312" w:lineRule="auto"/>
        <w:ind w:firstLine="709"/>
        <w:jc w:val="both"/>
        <w:rPr>
          <w:rFonts w:ascii="Times New Roman" w:hAnsi="Times New Roman" w:cs="Times New Roman"/>
          <w:sz w:val="28"/>
          <w:szCs w:val="28"/>
        </w:rPr>
      </w:pPr>
      <w:r w:rsidRPr="00193A1D">
        <w:rPr>
          <w:rFonts w:ascii="Times New Roman" w:hAnsi="Times New Roman" w:cs="Times New Roman"/>
          <w:sz w:val="28"/>
          <w:szCs w:val="28"/>
        </w:rPr>
        <w:t>Перечень таких оснований не исчерпывающий</w:t>
      </w:r>
      <w:r>
        <w:rPr>
          <w:rFonts w:ascii="Times New Roman" w:hAnsi="Times New Roman" w:cs="Times New Roman"/>
          <w:sz w:val="28"/>
          <w:szCs w:val="28"/>
        </w:rPr>
        <w:t xml:space="preserve">, </w:t>
      </w:r>
      <w:r w:rsidRPr="00193A1D">
        <w:rPr>
          <w:rFonts w:ascii="Times New Roman" w:hAnsi="Times New Roman" w:cs="Times New Roman"/>
          <w:sz w:val="28"/>
          <w:szCs w:val="28"/>
        </w:rPr>
        <w:t>субъекты Российской Федерации могут установить иные обстоятельства, на основании которых гражданину может быть установлена нуждаемость в предоставлении тех или иных социальных услуг.</w:t>
      </w:r>
    </w:p>
    <w:p w14:paraId="6701F7FA" w14:textId="77777777" w:rsidR="00D03A4F" w:rsidRDefault="00D03A4F" w:rsidP="00576FC6">
      <w:pPr>
        <w:shd w:val="clear" w:color="auto" w:fill="FFFFFF"/>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Предоставление социальных услуг семьям, имеющим детей, и детям, в том числе находящимся в социально опасном положении</w:t>
      </w:r>
    </w:p>
    <w:p w14:paraId="51931ED7" w14:textId="77777777" w:rsidR="008112F0" w:rsidRDefault="008112F0" w:rsidP="00764F70">
      <w:pPr>
        <w:tabs>
          <w:tab w:val="left" w:pos="993"/>
        </w:tabs>
        <w:autoSpaceDE w:val="0"/>
        <w:autoSpaceDN w:val="0"/>
        <w:adjustRightInd w:val="0"/>
        <w:spacing w:after="0" w:line="312" w:lineRule="auto"/>
        <w:ind w:firstLine="709"/>
        <w:jc w:val="both"/>
        <w:rPr>
          <w:rFonts w:ascii="Times New Roman" w:hAnsi="Times New Roman" w:cs="Times New Roman"/>
          <w:sz w:val="28"/>
          <w:szCs w:val="28"/>
        </w:rPr>
      </w:pPr>
      <w:r w:rsidRPr="00EC767E">
        <w:rPr>
          <w:rFonts w:ascii="Times New Roman" w:hAnsi="Times New Roman" w:cs="Times New Roman"/>
          <w:sz w:val="28"/>
          <w:szCs w:val="28"/>
        </w:rPr>
        <w:t>Проведенный Минтрудом России анализ пр</w:t>
      </w:r>
      <w:r>
        <w:rPr>
          <w:rFonts w:ascii="Times New Roman" w:hAnsi="Times New Roman" w:cs="Times New Roman"/>
          <w:sz w:val="28"/>
          <w:szCs w:val="28"/>
        </w:rPr>
        <w:t xml:space="preserve">актик социального сопровождения </w:t>
      </w:r>
      <w:r w:rsidRPr="00EC767E">
        <w:rPr>
          <w:rFonts w:ascii="Times New Roman" w:hAnsi="Times New Roman" w:cs="Times New Roman"/>
          <w:sz w:val="28"/>
          <w:szCs w:val="28"/>
        </w:rPr>
        <w:t>семей с детьми (далее – социальное сопровождение), представленный субъектами</w:t>
      </w:r>
      <w:r>
        <w:rPr>
          <w:rFonts w:ascii="Times New Roman" w:hAnsi="Times New Roman" w:cs="Times New Roman"/>
          <w:sz w:val="28"/>
          <w:szCs w:val="28"/>
        </w:rPr>
        <w:t xml:space="preserve"> </w:t>
      </w:r>
      <w:r w:rsidRPr="00EC767E">
        <w:rPr>
          <w:rFonts w:ascii="Times New Roman" w:hAnsi="Times New Roman" w:cs="Times New Roman"/>
          <w:sz w:val="28"/>
          <w:szCs w:val="28"/>
        </w:rPr>
        <w:t>Российской Федерации, показал, что работа в данном направлении проводится с</w:t>
      </w:r>
      <w:r>
        <w:rPr>
          <w:rFonts w:ascii="Times New Roman" w:hAnsi="Times New Roman" w:cs="Times New Roman"/>
          <w:sz w:val="28"/>
          <w:szCs w:val="28"/>
        </w:rPr>
        <w:t xml:space="preserve"> </w:t>
      </w:r>
      <w:r w:rsidRPr="00EC767E">
        <w:rPr>
          <w:rFonts w:ascii="Times New Roman" w:hAnsi="Times New Roman" w:cs="Times New Roman"/>
          <w:sz w:val="28"/>
          <w:szCs w:val="28"/>
        </w:rPr>
        <w:t>применением технологии «ведение случая».</w:t>
      </w:r>
      <w:r w:rsidR="00764F70">
        <w:rPr>
          <w:rFonts w:ascii="Times New Roman" w:hAnsi="Times New Roman" w:cs="Times New Roman"/>
          <w:sz w:val="28"/>
          <w:szCs w:val="28"/>
        </w:rPr>
        <w:t xml:space="preserve"> </w:t>
      </w:r>
      <w:r>
        <w:rPr>
          <w:rFonts w:ascii="Times New Roman" w:hAnsi="Times New Roman" w:cs="Times New Roman"/>
          <w:sz w:val="28"/>
          <w:szCs w:val="28"/>
        </w:rPr>
        <w:t>В</w:t>
      </w:r>
      <w:r w:rsidRPr="00EC767E">
        <w:rPr>
          <w:rFonts w:ascii="Times New Roman" w:hAnsi="Times New Roman" w:cs="Times New Roman"/>
          <w:sz w:val="28"/>
          <w:szCs w:val="28"/>
        </w:rPr>
        <w:t xml:space="preserve"> рамках данной технологии </w:t>
      </w:r>
      <w:r>
        <w:rPr>
          <w:rFonts w:ascii="Times New Roman" w:hAnsi="Times New Roman" w:cs="Times New Roman"/>
          <w:sz w:val="28"/>
          <w:szCs w:val="28"/>
        </w:rPr>
        <w:t xml:space="preserve">субъектами Российской Федерации </w:t>
      </w:r>
      <w:r w:rsidRPr="00EC767E">
        <w:rPr>
          <w:rFonts w:ascii="Times New Roman" w:hAnsi="Times New Roman" w:cs="Times New Roman"/>
          <w:sz w:val="28"/>
          <w:szCs w:val="28"/>
        </w:rPr>
        <w:t>проводится работа с семьей, направленная на вывод ее из кризиса и нормализацию</w:t>
      </w:r>
      <w:r>
        <w:rPr>
          <w:rFonts w:ascii="Times New Roman" w:hAnsi="Times New Roman" w:cs="Times New Roman"/>
          <w:sz w:val="28"/>
          <w:szCs w:val="28"/>
        </w:rPr>
        <w:t xml:space="preserve"> </w:t>
      </w:r>
      <w:r w:rsidRPr="00EC767E">
        <w:rPr>
          <w:rFonts w:ascii="Times New Roman" w:hAnsi="Times New Roman" w:cs="Times New Roman"/>
          <w:sz w:val="28"/>
          <w:szCs w:val="28"/>
        </w:rPr>
        <w:t>детско-родительских отношений.</w:t>
      </w:r>
    </w:p>
    <w:p w14:paraId="141302F6" w14:textId="77777777" w:rsidR="008112F0" w:rsidRDefault="008112F0" w:rsidP="008112F0">
      <w:pPr>
        <w:tabs>
          <w:tab w:val="left" w:pos="993"/>
        </w:tabs>
        <w:autoSpaceDE w:val="0"/>
        <w:autoSpaceDN w:val="0"/>
        <w:adjustRightInd w:val="0"/>
        <w:spacing w:after="0" w:line="312" w:lineRule="auto"/>
        <w:ind w:firstLine="709"/>
        <w:jc w:val="both"/>
        <w:rPr>
          <w:rFonts w:ascii="Times New Roman" w:hAnsi="Times New Roman" w:cs="Times New Roman"/>
          <w:sz w:val="28"/>
          <w:szCs w:val="28"/>
        </w:rPr>
      </w:pPr>
      <w:r w:rsidRPr="00EC767E">
        <w:rPr>
          <w:rFonts w:ascii="Times New Roman" w:hAnsi="Times New Roman" w:cs="Times New Roman"/>
          <w:sz w:val="28"/>
          <w:szCs w:val="28"/>
        </w:rPr>
        <w:t>К числу основных целевых групп, получа</w:t>
      </w:r>
      <w:r>
        <w:rPr>
          <w:rFonts w:ascii="Times New Roman" w:hAnsi="Times New Roman" w:cs="Times New Roman"/>
          <w:sz w:val="28"/>
          <w:szCs w:val="28"/>
        </w:rPr>
        <w:t xml:space="preserve">ющих помощь в форме социального </w:t>
      </w:r>
      <w:r w:rsidRPr="00EC767E">
        <w:rPr>
          <w:rFonts w:ascii="Times New Roman" w:hAnsi="Times New Roman" w:cs="Times New Roman"/>
          <w:sz w:val="28"/>
          <w:szCs w:val="28"/>
        </w:rPr>
        <w:t>сопровождения, относятся:</w:t>
      </w:r>
    </w:p>
    <w:p w14:paraId="38655D93" w14:textId="77777777" w:rsidR="008112F0" w:rsidRDefault="008112F0" w:rsidP="008112F0">
      <w:pPr>
        <w:tabs>
          <w:tab w:val="left" w:pos="993"/>
        </w:tabs>
        <w:autoSpaceDE w:val="0"/>
        <w:autoSpaceDN w:val="0"/>
        <w:adjustRightInd w:val="0"/>
        <w:spacing w:after="0" w:line="312" w:lineRule="auto"/>
        <w:ind w:firstLine="709"/>
        <w:jc w:val="both"/>
        <w:rPr>
          <w:rFonts w:ascii="Times New Roman" w:hAnsi="Times New Roman" w:cs="Times New Roman"/>
          <w:sz w:val="28"/>
          <w:szCs w:val="28"/>
        </w:rPr>
      </w:pPr>
      <w:r w:rsidRPr="00EC767E">
        <w:rPr>
          <w:rFonts w:ascii="Times New Roman" w:hAnsi="Times New Roman" w:cs="Times New Roman"/>
          <w:sz w:val="28"/>
          <w:szCs w:val="28"/>
        </w:rPr>
        <w:t>семьи с детьми, находящиеся в социаль</w:t>
      </w:r>
      <w:r>
        <w:rPr>
          <w:rFonts w:ascii="Times New Roman" w:hAnsi="Times New Roman" w:cs="Times New Roman"/>
          <w:sz w:val="28"/>
          <w:szCs w:val="28"/>
        </w:rPr>
        <w:t xml:space="preserve">но опасном положении, вызванном </w:t>
      </w:r>
      <w:r w:rsidRPr="00EC767E">
        <w:rPr>
          <w:rFonts w:ascii="Times New Roman" w:hAnsi="Times New Roman" w:cs="Times New Roman"/>
          <w:sz w:val="28"/>
          <w:szCs w:val="28"/>
        </w:rPr>
        <w:t>наличием обстоятельств, вызывающих риск оставления ребенка без попеч</w:t>
      </w:r>
      <w:r>
        <w:rPr>
          <w:rFonts w:ascii="Times New Roman" w:hAnsi="Times New Roman" w:cs="Times New Roman"/>
          <w:sz w:val="28"/>
          <w:szCs w:val="28"/>
        </w:rPr>
        <w:t xml:space="preserve">ения </w:t>
      </w:r>
      <w:r w:rsidRPr="00EC767E">
        <w:rPr>
          <w:rFonts w:ascii="Times New Roman" w:hAnsi="Times New Roman" w:cs="Times New Roman"/>
          <w:sz w:val="28"/>
          <w:szCs w:val="28"/>
        </w:rPr>
        <w:t>родителем или иным законным представителем, угрозой жестокого обращения с</w:t>
      </w:r>
      <w:r>
        <w:rPr>
          <w:rFonts w:ascii="Times New Roman" w:hAnsi="Times New Roman" w:cs="Times New Roman"/>
          <w:sz w:val="28"/>
          <w:szCs w:val="28"/>
        </w:rPr>
        <w:t xml:space="preserve"> </w:t>
      </w:r>
      <w:r w:rsidRPr="00EC767E">
        <w:rPr>
          <w:rFonts w:ascii="Times New Roman" w:hAnsi="Times New Roman" w:cs="Times New Roman"/>
          <w:sz w:val="28"/>
          <w:szCs w:val="28"/>
        </w:rPr>
        <w:t>ребенком; лишением родительских прав, временным ограничением родителей в</w:t>
      </w:r>
      <w:r>
        <w:rPr>
          <w:rFonts w:ascii="Times New Roman" w:hAnsi="Times New Roman" w:cs="Times New Roman"/>
          <w:sz w:val="28"/>
          <w:szCs w:val="28"/>
        </w:rPr>
        <w:t xml:space="preserve"> </w:t>
      </w:r>
      <w:r w:rsidRPr="00EC767E">
        <w:rPr>
          <w:rFonts w:ascii="Times New Roman" w:hAnsi="Times New Roman" w:cs="Times New Roman"/>
          <w:sz w:val="28"/>
          <w:szCs w:val="28"/>
        </w:rPr>
        <w:t>родительских правах;</w:t>
      </w:r>
    </w:p>
    <w:p w14:paraId="23C3B1D0" w14:textId="77777777" w:rsidR="008112F0" w:rsidRDefault="008112F0" w:rsidP="008112F0">
      <w:pPr>
        <w:tabs>
          <w:tab w:val="left" w:pos="993"/>
        </w:tabs>
        <w:autoSpaceDE w:val="0"/>
        <w:autoSpaceDN w:val="0"/>
        <w:adjustRightInd w:val="0"/>
        <w:spacing w:after="0" w:line="312" w:lineRule="auto"/>
        <w:ind w:firstLine="709"/>
        <w:jc w:val="both"/>
        <w:rPr>
          <w:rFonts w:ascii="Times New Roman" w:hAnsi="Times New Roman" w:cs="Times New Roman"/>
          <w:sz w:val="28"/>
          <w:szCs w:val="28"/>
        </w:rPr>
      </w:pPr>
      <w:r w:rsidRPr="003528C9">
        <w:rPr>
          <w:rFonts w:ascii="Times New Roman" w:hAnsi="Times New Roman" w:cs="Times New Roman"/>
          <w:sz w:val="28"/>
          <w:szCs w:val="28"/>
        </w:rPr>
        <w:t>семьи, принявшие на воспитание дете</w:t>
      </w:r>
      <w:r>
        <w:rPr>
          <w:rFonts w:ascii="Times New Roman" w:hAnsi="Times New Roman" w:cs="Times New Roman"/>
          <w:sz w:val="28"/>
          <w:szCs w:val="28"/>
        </w:rPr>
        <w:t xml:space="preserve">й-сирот и детей, оставшихся без </w:t>
      </w:r>
      <w:r w:rsidRPr="003528C9">
        <w:rPr>
          <w:rFonts w:ascii="Times New Roman" w:hAnsi="Times New Roman" w:cs="Times New Roman"/>
          <w:sz w:val="28"/>
          <w:szCs w:val="28"/>
        </w:rPr>
        <w:t>попечения родителей, и нуждающиеся в помощи в интересах благополучия детей;</w:t>
      </w:r>
      <w:r>
        <w:rPr>
          <w:rFonts w:ascii="Times New Roman" w:hAnsi="Times New Roman" w:cs="Times New Roman"/>
          <w:sz w:val="28"/>
          <w:szCs w:val="28"/>
        </w:rPr>
        <w:t xml:space="preserve"> </w:t>
      </w:r>
      <w:r w:rsidRPr="003528C9">
        <w:rPr>
          <w:rFonts w:ascii="Times New Roman" w:hAnsi="Times New Roman" w:cs="Times New Roman"/>
          <w:sz w:val="28"/>
          <w:szCs w:val="28"/>
        </w:rPr>
        <w:t>семьи с одним родителем, воспитывающие несовершеннолетних детей, в том числе</w:t>
      </w:r>
      <w:r>
        <w:rPr>
          <w:rFonts w:ascii="Times New Roman" w:hAnsi="Times New Roman" w:cs="Times New Roman"/>
          <w:sz w:val="28"/>
          <w:szCs w:val="28"/>
        </w:rPr>
        <w:t xml:space="preserve"> </w:t>
      </w:r>
      <w:r w:rsidRPr="003528C9">
        <w:rPr>
          <w:rFonts w:ascii="Times New Roman" w:hAnsi="Times New Roman" w:cs="Times New Roman"/>
          <w:sz w:val="28"/>
          <w:szCs w:val="28"/>
        </w:rPr>
        <w:t>матери с новорожденными детьми, имеющие намерение отказаться от ребенка;</w:t>
      </w:r>
    </w:p>
    <w:p w14:paraId="25893123" w14:textId="77777777" w:rsidR="008112F0" w:rsidRDefault="008112F0" w:rsidP="008112F0">
      <w:pPr>
        <w:tabs>
          <w:tab w:val="left" w:pos="993"/>
        </w:tabs>
        <w:autoSpaceDE w:val="0"/>
        <w:autoSpaceDN w:val="0"/>
        <w:adjustRightInd w:val="0"/>
        <w:spacing w:after="0" w:line="312" w:lineRule="auto"/>
        <w:ind w:firstLine="709"/>
        <w:jc w:val="both"/>
        <w:rPr>
          <w:rFonts w:ascii="Times New Roman" w:hAnsi="Times New Roman" w:cs="Times New Roman"/>
          <w:sz w:val="28"/>
          <w:szCs w:val="28"/>
        </w:rPr>
      </w:pPr>
      <w:r w:rsidRPr="003528C9">
        <w:rPr>
          <w:rFonts w:ascii="Times New Roman" w:hAnsi="Times New Roman" w:cs="Times New Roman"/>
          <w:sz w:val="28"/>
          <w:szCs w:val="28"/>
        </w:rPr>
        <w:t>семьи, находящиеся на стадии подготовк</w:t>
      </w:r>
      <w:r>
        <w:rPr>
          <w:rFonts w:ascii="Times New Roman" w:hAnsi="Times New Roman" w:cs="Times New Roman"/>
          <w:sz w:val="28"/>
          <w:szCs w:val="28"/>
        </w:rPr>
        <w:t xml:space="preserve">и к восстановлению родительских </w:t>
      </w:r>
      <w:r w:rsidRPr="003528C9">
        <w:rPr>
          <w:rFonts w:ascii="Times New Roman" w:hAnsi="Times New Roman" w:cs="Times New Roman"/>
          <w:sz w:val="28"/>
          <w:szCs w:val="28"/>
        </w:rPr>
        <w:t>прав или непосредственно после восстановления прав родителей на воспитание</w:t>
      </w:r>
      <w:r>
        <w:rPr>
          <w:rFonts w:ascii="Times New Roman" w:hAnsi="Times New Roman" w:cs="Times New Roman"/>
          <w:sz w:val="28"/>
          <w:szCs w:val="28"/>
        </w:rPr>
        <w:t xml:space="preserve"> </w:t>
      </w:r>
      <w:r w:rsidRPr="003528C9">
        <w:rPr>
          <w:rFonts w:ascii="Times New Roman" w:hAnsi="Times New Roman" w:cs="Times New Roman"/>
          <w:sz w:val="28"/>
          <w:szCs w:val="28"/>
        </w:rPr>
        <w:t>детей;</w:t>
      </w:r>
    </w:p>
    <w:p w14:paraId="1B2EC483" w14:textId="77777777" w:rsidR="008112F0" w:rsidRDefault="008112F0" w:rsidP="008112F0">
      <w:pPr>
        <w:tabs>
          <w:tab w:val="left" w:pos="993"/>
        </w:tabs>
        <w:autoSpaceDE w:val="0"/>
        <w:autoSpaceDN w:val="0"/>
        <w:adjustRightInd w:val="0"/>
        <w:spacing w:after="0" w:line="312" w:lineRule="auto"/>
        <w:ind w:firstLine="709"/>
        <w:jc w:val="both"/>
        <w:rPr>
          <w:rFonts w:ascii="Times New Roman" w:hAnsi="Times New Roman" w:cs="Times New Roman"/>
          <w:sz w:val="28"/>
          <w:szCs w:val="28"/>
        </w:rPr>
      </w:pPr>
      <w:r w:rsidRPr="003528C9">
        <w:rPr>
          <w:rFonts w:ascii="Times New Roman" w:hAnsi="Times New Roman" w:cs="Times New Roman"/>
          <w:sz w:val="28"/>
          <w:szCs w:val="28"/>
        </w:rPr>
        <w:t>семьи с детьми, находящиеся в трудной жи</w:t>
      </w:r>
      <w:r>
        <w:rPr>
          <w:rFonts w:ascii="Times New Roman" w:hAnsi="Times New Roman" w:cs="Times New Roman"/>
          <w:sz w:val="28"/>
          <w:szCs w:val="28"/>
        </w:rPr>
        <w:t xml:space="preserve">зненной ситуации, обусловленной </w:t>
      </w:r>
      <w:r w:rsidRPr="003528C9">
        <w:rPr>
          <w:rFonts w:ascii="Times New Roman" w:hAnsi="Times New Roman" w:cs="Times New Roman"/>
          <w:sz w:val="28"/>
          <w:szCs w:val="28"/>
        </w:rPr>
        <w:t>низким уровнем дохода, последствиями чрезвычайных ситуаций;</w:t>
      </w:r>
    </w:p>
    <w:p w14:paraId="6C35A34A" w14:textId="77777777" w:rsidR="008112F0" w:rsidRPr="003528C9" w:rsidRDefault="008112F0" w:rsidP="008112F0">
      <w:pPr>
        <w:tabs>
          <w:tab w:val="left" w:pos="993"/>
        </w:tabs>
        <w:autoSpaceDE w:val="0"/>
        <w:autoSpaceDN w:val="0"/>
        <w:adjustRightInd w:val="0"/>
        <w:spacing w:after="0" w:line="312" w:lineRule="auto"/>
        <w:ind w:firstLine="709"/>
        <w:jc w:val="both"/>
        <w:rPr>
          <w:rFonts w:ascii="Times New Roman" w:hAnsi="Times New Roman" w:cs="Times New Roman"/>
          <w:sz w:val="28"/>
          <w:szCs w:val="28"/>
        </w:rPr>
      </w:pPr>
      <w:r w:rsidRPr="003528C9">
        <w:rPr>
          <w:rFonts w:ascii="Times New Roman" w:hAnsi="Times New Roman" w:cs="Times New Roman"/>
          <w:sz w:val="28"/>
          <w:szCs w:val="28"/>
        </w:rPr>
        <w:t>семьи, воспитывающие несовершен</w:t>
      </w:r>
      <w:r>
        <w:rPr>
          <w:rFonts w:ascii="Times New Roman" w:hAnsi="Times New Roman" w:cs="Times New Roman"/>
          <w:sz w:val="28"/>
          <w:szCs w:val="28"/>
        </w:rPr>
        <w:t xml:space="preserve">нолетних, склонных к совершению </w:t>
      </w:r>
      <w:r w:rsidRPr="003528C9">
        <w:rPr>
          <w:rFonts w:ascii="Times New Roman" w:hAnsi="Times New Roman" w:cs="Times New Roman"/>
          <w:sz w:val="28"/>
          <w:szCs w:val="28"/>
        </w:rPr>
        <w:t>правонарушений и состоящих на учете в органах внутренних дел, комиссиях по делам</w:t>
      </w:r>
      <w:r>
        <w:rPr>
          <w:rFonts w:ascii="Times New Roman" w:hAnsi="Times New Roman" w:cs="Times New Roman"/>
          <w:sz w:val="28"/>
          <w:szCs w:val="28"/>
        </w:rPr>
        <w:t xml:space="preserve"> </w:t>
      </w:r>
      <w:r w:rsidRPr="003528C9">
        <w:rPr>
          <w:rFonts w:ascii="Times New Roman" w:hAnsi="Times New Roman" w:cs="Times New Roman"/>
          <w:sz w:val="28"/>
          <w:szCs w:val="28"/>
        </w:rPr>
        <w:t>несовершеннолетних и защите их прав.</w:t>
      </w:r>
    </w:p>
    <w:p w14:paraId="60C63595" w14:textId="77777777" w:rsidR="008112F0" w:rsidRPr="003528C9" w:rsidRDefault="008112F0" w:rsidP="008112F0">
      <w:pPr>
        <w:tabs>
          <w:tab w:val="left" w:pos="993"/>
        </w:tabs>
        <w:autoSpaceDE w:val="0"/>
        <w:autoSpaceDN w:val="0"/>
        <w:adjustRightInd w:val="0"/>
        <w:spacing w:after="0" w:line="312" w:lineRule="auto"/>
        <w:ind w:firstLine="709"/>
        <w:jc w:val="both"/>
        <w:rPr>
          <w:rFonts w:ascii="Times New Roman" w:hAnsi="Times New Roman" w:cs="Times New Roman"/>
          <w:sz w:val="28"/>
          <w:szCs w:val="28"/>
        </w:rPr>
      </w:pPr>
      <w:r w:rsidRPr="003528C9">
        <w:rPr>
          <w:rFonts w:ascii="Times New Roman" w:hAnsi="Times New Roman" w:cs="Times New Roman"/>
          <w:sz w:val="28"/>
          <w:szCs w:val="28"/>
        </w:rPr>
        <w:t>К задачам, решаемым в ходе социального сопровождения</w:t>
      </w:r>
      <w:r w:rsidR="00764F70">
        <w:rPr>
          <w:rFonts w:ascii="Times New Roman" w:hAnsi="Times New Roman" w:cs="Times New Roman"/>
          <w:sz w:val="28"/>
          <w:szCs w:val="28"/>
        </w:rPr>
        <w:t>,</w:t>
      </w:r>
      <w:r w:rsidRPr="003528C9">
        <w:rPr>
          <w:rFonts w:ascii="Times New Roman" w:hAnsi="Times New Roman" w:cs="Times New Roman"/>
          <w:sz w:val="28"/>
          <w:szCs w:val="28"/>
        </w:rPr>
        <w:t xml:space="preserve"> относятся:</w:t>
      </w:r>
    </w:p>
    <w:p w14:paraId="2F027DF4" w14:textId="77777777" w:rsidR="008112F0" w:rsidRPr="003528C9" w:rsidRDefault="008112F0" w:rsidP="008112F0">
      <w:pPr>
        <w:tabs>
          <w:tab w:val="left" w:pos="993"/>
        </w:tabs>
        <w:autoSpaceDE w:val="0"/>
        <w:autoSpaceDN w:val="0"/>
        <w:adjustRightInd w:val="0"/>
        <w:spacing w:after="0" w:line="312" w:lineRule="auto"/>
        <w:ind w:firstLine="709"/>
        <w:jc w:val="both"/>
        <w:rPr>
          <w:rFonts w:ascii="Times New Roman" w:hAnsi="Times New Roman" w:cs="Times New Roman"/>
          <w:sz w:val="28"/>
          <w:szCs w:val="28"/>
        </w:rPr>
      </w:pPr>
      <w:r w:rsidRPr="003528C9">
        <w:rPr>
          <w:rFonts w:ascii="Times New Roman" w:hAnsi="Times New Roman" w:cs="Times New Roman"/>
          <w:sz w:val="28"/>
          <w:szCs w:val="28"/>
        </w:rPr>
        <w:t>помощь в решении медицинских, п</w:t>
      </w:r>
      <w:r>
        <w:rPr>
          <w:rFonts w:ascii="Times New Roman" w:hAnsi="Times New Roman" w:cs="Times New Roman"/>
          <w:sz w:val="28"/>
          <w:szCs w:val="28"/>
        </w:rPr>
        <w:t xml:space="preserve">сихологических, педагогических, </w:t>
      </w:r>
      <w:r w:rsidRPr="003528C9">
        <w:rPr>
          <w:rFonts w:ascii="Times New Roman" w:hAnsi="Times New Roman" w:cs="Times New Roman"/>
          <w:sz w:val="28"/>
          <w:szCs w:val="28"/>
        </w:rPr>
        <w:t>юридических и социальных проблем семей с детьми;</w:t>
      </w:r>
    </w:p>
    <w:p w14:paraId="0DA6D7E7" w14:textId="77777777" w:rsidR="008112F0" w:rsidRPr="003528C9" w:rsidRDefault="008112F0" w:rsidP="008112F0">
      <w:pPr>
        <w:tabs>
          <w:tab w:val="left" w:pos="993"/>
        </w:tabs>
        <w:autoSpaceDE w:val="0"/>
        <w:autoSpaceDN w:val="0"/>
        <w:adjustRightInd w:val="0"/>
        <w:spacing w:after="0" w:line="312" w:lineRule="auto"/>
        <w:ind w:firstLine="709"/>
        <w:jc w:val="both"/>
        <w:rPr>
          <w:rFonts w:ascii="Times New Roman" w:hAnsi="Times New Roman" w:cs="Times New Roman"/>
          <w:sz w:val="28"/>
          <w:szCs w:val="28"/>
        </w:rPr>
      </w:pPr>
      <w:r w:rsidRPr="003528C9">
        <w:rPr>
          <w:rFonts w:ascii="Times New Roman" w:hAnsi="Times New Roman" w:cs="Times New Roman"/>
          <w:sz w:val="28"/>
          <w:szCs w:val="28"/>
        </w:rPr>
        <w:t>профилактика и/или преодоление кризи</w:t>
      </w:r>
      <w:r>
        <w:rPr>
          <w:rFonts w:ascii="Times New Roman" w:hAnsi="Times New Roman" w:cs="Times New Roman"/>
          <w:sz w:val="28"/>
          <w:szCs w:val="28"/>
        </w:rPr>
        <w:t xml:space="preserve">сных ситуаций в семье, помощь в </w:t>
      </w:r>
      <w:r w:rsidRPr="003528C9">
        <w:rPr>
          <w:rFonts w:ascii="Times New Roman" w:hAnsi="Times New Roman" w:cs="Times New Roman"/>
          <w:sz w:val="28"/>
          <w:szCs w:val="28"/>
        </w:rPr>
        <w:t>создании условий для успешной адаптации и</w:t>
      </w:r>
      <w:r>
        <w:rPr>
          <w:rFonts w:ascii="Times New Roman" w:hAnsi="Times New Roman" w:cs="Times New Roman"/>
          <w:sz w:val="28"/>
          <w:szCs w:val="28"/>
        </w:rPr>
        <w:t xml:space="preserve"> социализации детей, содействие </w:t>
      </w:r>
      <w:r w:rsidRPr="003528C9">
        <w:rPr>
          <w:rFonts w:ascii="Times New Roman" w:hAnsi="Times New Roman" w:cs="Times New Roman"/>
          <w:sz w:val="28"/>
          <w:szCs w:val="28"/>
        </w:rPr>
        <w:t>укреплению семьи;</w:t>
      </w:r>
    </w:p>
    <w:p w14:paraId="54B57FB9" w14:textId="77777777" w:rsidR="008112F0" w:rsidRPr="003528C9" w:rsidRDefault="008112F0" w:rsidP="008112F0">
      <w:pPr>
        <w:tabs>
          <w:tab w:val="left" w:pos="993"/>
        </w:tabs>
        <w:autoSpaceDE w:val="0"/>
        <w:autoSpaceDN w:val="0"/>
        <w:adjustRightInd w:val="0"/>
        <w:spacing w:after="0" w:line="312" w:lineRule="auto"/>
        <w:ind w:firstLine="709"/>
        <w:jc w:val="both"/>
        <w:rPr>
          <w:rFonts w:ascii="Times New Roman" w:hAnsi="Times New Roman" w:cs="Times New Roman"/>
          <w:sz w:val="28"/>
          <w:szCs w:val="28"/>
        </w:rPr>
      </w:pPr>
      <w:r w:rsidRPr="003528C9">
        <w:rPr>
          <w:rFonts w:ascii="Times New Roman" w:hAnsi="Times New Roman" w:cs="Times New Roman"/>
          <w:sz w:val="28"/>
          <w:szCs w:val="28"/>
        </w:rPr>
        <w:t>профилактика насилия, жестокого обращ</w:t>
      </w:r>
      <w:r>
        <w:rPr>
          <w:rFonts w:ascii="Times New Roman" w:hAnsi="Times New Roman" w:cs="Times New Roman"/>
          <w:sz w:val="28"/>
          <w:szCs w:val="28"/>
        </w:rPr>
        <w:t xml:space="preserve">ения, нарушения прав и законных </w:t>
      </w:r>
      <w:r w:rsidRPr="003528C9">
        <w:rPr>
          <w:rFonts w:ascii="Times New Roman" w:hAnsi="Times New Roman" w:cs="Times New Roman"/>
          <w:sz w:val="28"/>
          <w:szCs w:val="28"/>
        </w:rPr>
        <w:t>интересов детей;</w:t>
      </w:r>
    </w:p>
    <w:p w14:paraId="51F1CEFF" w14:textId="77777777" w:rsidR="008112F0" w:rsidRPr="003528C9" w:rsidRDefault="008112F0" w:rsidP="008112F0">
      <w:pPr>
        <w:tabs>
          <w:tab w:val="left" w:pos="993"/>
        </w:tabs>
        <w:autoSpaceDE w:val="0"/>
        <w:autoSpaceDN w:val="0"/>
        <w:adjustRightInd w:val="0"/>
        <w:spacing w:after="0" w:line="312" w:lineRule="auto"/>
        <w:ind w:firstLine="709"/>
        <w:jc w:val="both"/>
        <w:rPr>
          <w:rFonts w:ascii="Times New Roman" w:hAnsi="Times New Roman" w:cs="Times New Roman"/>
          <w:sz w:val="28"/>
          <w:szCs w:val="28"/>
        </w:rPr>
      </w:pPr>
      <w:r w:rsidRPr="003528C9">
        <w:rPr>
          <w:rFonts w:ascii="Times New Roman" w:hAnsi="Times New Roman" w:cs="Times New Roman"/>
          <w:sz w:val="28"/>
          <w:szCs w:val="28"/>
        </w:rPr>
        <w:t>профилактика лишения родительских прав;</w:t>
      </w:r>
    </w:p>
    <w:p w14:paraId="449EF0F7" w14:textId="77777777" w:rsidR="008112F0" w:rsidRPr="003528C9" w:rsidRDefault="008112F0" w:rsidP="008112F0">
      <w:pPr>
        <w:tabs>
          <w:tab w:val="left" w:pos="993"/>
        </w:tabs>
        <w:autoSpaceDE w:val="0"/>
        <w:autoSpaceDN w:val="0"/>
        <w:adjustRightInd w:val="0"/>
        <w:spacing w:after="0" w:line="312" w:lineRule="auto"/>
        <w:ind w:firstLine="709"/>
        <w:jc w:val="both"/>
        <w:rPr>
          <w:rFonts w:ascii="Times New Roman" w:hAnsi="Times New Roman" w:cs="Times New Roman"/>
          <w:sz w:val="28"/>
          <w:szCs w:val="28"/>
        </w:rPr>
      </w:pPr>
      <w:r w:rsidRPr="003528C9">
        <w:rPr>
          <w:rFonts w:ascii="Times New Roman" w:hAnsi="Times New Roman" w:cs="Times New Roman"/>
          <w:sz w:val="28"/>
          <w:szCs w:val="28"/>
        </w:rPr>
        <w:t>профилактика отказов от детей;</w:t>
      </w:r>
    </w:p>
    <w:p w14:paraId="208F15E4" w14:textId="77777777" w:rsidR="008112F0" w:rsidRPr="003528C9" w:rsidRDefault="008112F0" w:rsidP="008112F0">
      <w:pPr>
        <w:tabs>
          <w:tab w:val="left" w:pos="993"/>
        </w:tabs>
        <w:autoSpaceDE w:val="0"/>
        <w:autoSpaceDN w:val="0"/>
        <w:adjustRightInd w:val="0"/>
        <w:spacing w:after="0" w:line="312" w:lineRule="auto"/>
        <w:ind w:firstLine="709"/>
        <w:jc w:val="both"/>
        <w:rPr>
          <w:rFonts w:ascii="Times New Roman" w:hAnsi="Times New Roman" w:cs="Times New Roman"/>
          <w:sz w:val="28"/>
          <w:szCs w:val="28"/>
        </w:rPr>
      </w:pPr>
      <w:r w:rsidRPr="003528C9">
        <w:rPr>
          <w:rFonts w:ascii="Times New Roman" w:hAnsi="Times New Roman" w:cs="Times New Roman"/>
          <w:sz w:val="28"/>
          <w:szCs w:val="28"/>
        </w:rPr>
        <w:t>повышение психолого-педагогической компетентности родителей;</w:t>
      </w:r>
    </w:p>
    <w:p w14:paraId="2C477D5B" w14:textId="77777777" w:rsidR="008112F0" w:rsidRPr="003528C9" w:rsidRDefault="008112F0" w:rsidP="008112F0">
      <w:pPr>
        <w:tabs>
          <w:tab w:val="left" w:pos="993"/>
        </w:tabs>
        <w:autoSpaceDE w:val="0"/>
        <w:autoSpaceDN w:val="0"/>
        <w:adjustRightInd w:val="0"/>
        <w:spacing w:after="0" w:line="312" w:lineRule="auto"/>
        <w:ind w:firstLine="709"/>
        <w:jc w:val="both"/>
        <w:rPr>
          <w:rFonts w:ascii="Times New Roman" w:hAnsi="Times New Roman" w:cs="Times New Roman"/>
          <w:sz w:val="28"/>
          <w:szCs w:val="28"/>
        </w:rPr>
      </w:pPr>
      <w:r w:rsidRPr="003528C9">
        <w:rPr>
          <w:rFonts w:ascii="Times New Roman" w:hAnsi="Times New Roman" w:cs="Times New Roman"/>
          <w:sz w:val="28"/>
          <w:szCs w:val="28"/>
        </w:rPr>
        <w:t>профилактика возвратов детей из замещаю</w:t>
      </w:r>
      <w:r>
        <w:rPr>
          <w:rFonts w:ascii="Times New Roman" w:hAnsi="Times New Roman" w:cs="Times New Roman"/>
          <w:sz w:val="28"/>
          <w:szCs w:val="28"/>
        </w:rPr>
        <w:t xml:space="preserve">щих семей в государственные </w:t>
      </w:r>
      <w:r w:rsidRPr="003528C9">
        <w:rPr>
          <w:rFonts w:ascii="Times New Roman" w:hAnsi="Times New Roman" w:cs="Times New Roman"/>
          <w:sz w:val="28"/>
          <w:szCs w:val="28"/>
        </w:rPr>
        <w:t>учреждения;</w:t>
      </w:r>
    </w:p>
    <w:p w14:paraId="4DA0E85F" w14:textId="77777777" w:rsidR="008112F0" w:rsidRPr="003528C9" w:rsidRDefault="008112F0" w:rsidP="008112F0">
      <w:pPr>
        <w:tabs>
          <w:tab w:val="left" w:pos="993"/>
        </w:tabs>
        <w:autoSpaceDE w:val="0"/>
        <w:autoSpaceDN w:val="0"/>
        <w:adjustRightInd w:val="0"/>
        <w:spacing w:after="0" w:line="312" w:lineRule="auto"/>
        <w:ind w:firstLine="709"/>
        <w:jc w:val="both"/>
        <w:rPr>
          <w:rFonts w:ascii="Times New Roman" w:hAnsi="Times New Roman" w:cs="Times New Roman"/>
          <w:sz w:val="28"/>
          <w:szCs w:val="28"/>
        </w:rPr>
      </w:pPr>
      <w:r w:rsidRPr="003528C9">
        <w:rPr>
          <w:rFonts w:ascii="Times New Roman" w:hAnsi="Times New Roman" w:cs="Times New Roman"/>
          <w:sz w:val="28"/>
          <w:szCs w:val="28"/>
        </w:rPr>
        <w:t>мониторинг изменений в поведении и сос</w:t>
      </w:r>
      <w:r>
        <w:rPr>
          <w:rFonts w:ascii="Times New Roman" w:hAnsi="Times New Roman" w:cs="Times New Roman"/>
          <w:sz w:val="28"/>
          <w:szCs w:val="28"/>
        </w:rPr>
        <w:t xml:space="preserve">тоянии ребенка (детей) в семье, </w:t>
      </w:r>
      <w:r w:rsidRPr="003528C9">
        <w:rPr>
          <w:rFonts w:ascii="Times New Roman" w:hAnsi="Times New Roman" w:cs="Times New Roman"/>
          <w:sz w:val="28"/>
          <w:szCs w:val="28"/>
        </w:rPr>
        <w:t>находящейся на социальном сопровождении;</w:t>
      </w:r>
    </w:p>
    <w:p w14:paraId="30FF55F6" w14:textId="77777777" w:rsidR="008112F0" w:rsidRPr="003528C9" w:rsidRDefault="008112F0" w:rsidP="008112F0">
      <w:pPr>
        <w:tabs>
          <w:tab w:val="left" w:pos="993"/>
        </w:tabs>
        <w:autoSpaceDE w:val="0"/>
        <w:autoSpaceDN w:val="0"/>
        <w:adjustRightInd w:val="0"/>
        <w:spacing w:after="0" w:line="312" w:lineRule="auto"/>
        <w:ind w:firstLine="709"/>
        <w:jc w:val="both"/>
        <w:rPr>
          <w:rFonts w:ascii="Times New Roman" w:hAnsi="Times New Roman" w:cs="Times New Roman"/>
          <w:sz w:val="28"/>
          <w:szCs w:val="28"/>
        </w:rPr>
      </w:pPr>
      <w:r w:rsidRPr="003528C9">
        <w:rPr>
          <w:rFonts w:ascii="Times New Roman" w:hAnsi="Times New Roman" w:cs="Times New Roman"/>
          <w:sz w:val="28"/>
          <w:szCs w:val="28"/>
        </w:rPr>
        <w:t>диагностика социального положения семей с детьми;</w:t>
      </w:r>
    </w:p>
    <w:p w14:paraId="4E9182DA" w14:textId="77777777" w:rsidR="008112F0" w:rsidRDefault="008112F0" w:rsidP="008112F0">
      <w:pPr>
        <w:tabs>
          <w:tab w:val="left" w:pos="993"/>
        </w:tabs>
        <w:autoSpaceDE w:val="0"/>
        <w:autoSpaceDN w:val="0"/>
        <w:adjustRightInd w:val="0"/>
        <w:spacing w:after="0" w:line="312" w:lineRule="auto"/>
        <w:ind w:firstLine="709"/>
        <w:jc w:val="both"/>
        <w:rPr>
          <w:rFonts w:ascii="Times New Roman" w:hAnsi="Times New Roman" w:cs="Times New Roman"/>
          <w:sz w:val="28"/>
          <w:szCs w:val="28"/>
        </w:rPr>
      </w:pPr>
      <w:r w:rsidRPr="003528C9">
        <w:rPr>
          <w:rFonts w:ascii="Times New Roman" w:hAnsi="Times New Roman" w:cs="Times New Roman"/>
          <w:sz w:val="28"/>
          <w:szCs w:val="28"/>
        </w:rPr>
        <w:t>создание условий для преодоления социальной исключеннос</w:t>
      </w:r>
      <w:r>
        <w:rPr>
          <w:rFonts w:ascii="Times New Roman" w:hAnsi="Times New Roman" w:cs="Times New Roman"/>
          <w:sz w:val="28"/>
          <w:szCs w:val="28"/>
        </w:rPr>
        <w:t xml:space="preserve">ти семьи с </w:t>
      </w:r>
      <w:r w:rsidRPr="003528C9">
        <w:rPr>
          <w:rFonts w:ascii="Times New Roman" w:hAnsi="Times New Roman" w:cs="Times New Roman"/>
          <w:sz w:val="28"/>
          <w:szCs w:val="28"/>
        </w:rPr>
        <w:t>ребенком, находящейся в трудной жизненной ситуации.</w:t>
      </w:r>
    </w:p>
    <w:p w14:paraId="3F55BFC9" w14:textId="77777777" w:rsidR="008112F0" w:rsidRDefault="008112F0" w:rsidP="008112F0">
      <w:pPr>
        <w:tabs>
          <w:tab w:val="left" w:pos="993"/>
        </w:tabs>
        <w:autoSpaceDE w:val="0"/>
        <w:autoSpaceDN w:val="0"/>
        <w:adjustRightInd w:val="0"/>
        <w:spacing w:after="0" w:line="312" w:lineRule="auto"/>
        <w:ind w:firstLine="709"/>
        <w:jc w:val="both"/>
        <w:rPr>
          <w:rFonts w:ascii="Times New Roman" w:hAnsi="Times New Roman" w:cs="Times New Roman"/>
          <w:sz w:val="28"/>
          <w:szCs w:val="28"/>
        </w:rPr>
      </w:pPr>
      <w:r w:rsidRPr="003528C9">
        <w:rPr>
          <w:rFonts w:ascii="Times New Roman" w:hAnsi="Times New Roman" w:cs="Times New Roman"/>
          <w:sz w:val="28"/>
          <w:szCs w:val="28"/>
        </w:rPr>
        <w:t>Осуществляют социальное сопровожде</w:t>
      </w:r>
      <w:r>
        <w:rPr>
          <w:rFonts w:ascii="Times New Roman" w:hAnsi="Times New Roman" w:cs="Times New Roman"/>
          <w:sz w:val="28"/>
          <w:szCs w:val="28"/>
        </w:rPr>
        <w:t xml:space="preserve">ние государственные организации </w:t>
      </w:r>
      <w:r w:rsidRPr="003528C9">
        <w:rPr>
          <w:rFonts w:ascii="Times New Roman" w:hAnsi="Times New Roman" w:cs="Times New Roman"/>
          <w:sz w:val="28"/>
          <w:szCs w:val="28"/>
        </w:rPr>
        <w:t>социального обслуживания при участи</w:t>
      </w:r>
      <w:r>
        <w:rPr>
          <w:rFonts w:ascii="Times New Roman" w:hAnsi="Times New Roman" w:cs="Times New Roman"/>
          <w:sz w:val="28"/>
          <w:szCs w:val="28"/>
        </w:rPr>
        <w:t xml:space="preserve">и органов и организаций системы </w:t>
      </w:r>
      <w:r w:rsidRPr="003528C9">
        <w:rPr>
          <w:rFonts w:ascii="Times New Roman" w:hAnsi="Times New Roman" w:cs="Times New Roman"/>
          <w:sz w:val="28"/>
          <w:szCs w:val="28"/>
        </w:rPr>
        <w:t>профилактики безнадзорности и пра</w:t>
      </w:r>
      <w:r>
        <w:rPr>
          <w:rFonts w:ascii="Times New Roman" w:hAnsi="Times New Roman" w:cs="Times New Roman"/>
          <w:sz w:val="28"/>
          <w:szCs w:val="28"/>
        </w:rPr>
        <w:t xml:space="preserve">вонарушений несовершеннолетних, </w:t>
      </w:r>
      <w:r w:rsidRPr="003528C9">
        <w:rPr>
          <w:rFonts w:ascii="Times New Roman" w:hAnsi="Times New Roman" w:cs="Times New Roman"/>
          <w:sz w:val="28"/>
          <w:szCs w:val="28"/>
        </w:rPr>
        <w:t>привлекаемых для решения медицинских, п</w:t>
      </w:r>
      <w:r>
        <w:rPr>
          <w:rFonts w:ascii="Times New Roman" w:hAnsi="Times New Roman" w:cs="Times New Roman"/>
          <w:sz w:val="28"/>
          <w:szCs w:val="28"/>
        </w:rPr>
        <w:t xml:space="preserve">сихологических, педагогических, </w:t>
      </w:r>
      <w:r w:rsidRPr="003528C9">
        <w:rPr>
          <w:rFonts w:ascii="Times New Roman" w:hAnsi="Times New Roman" w:cs="Times New Roman"/>
          <w:sz w:val="28"/>
          <w:szCs w:val="28"/>
        </w:rPr>
        <w:t>юридических и социальных проблем семьи на межведомственной основе.</w:t>
      </w:r>
    </w:p>
    <w:p w14:paraId="57AB4CA6" w14:textId="77777777" w:rsidR="008112F0" w:rsidRDefault="008112F0" w:rsidP="008112F0">
      <w:pPr>
        <w:tabs>
          <w:tab w:val="left" w:pos="993"/>
        </w:tabs>
        <w:autoSpaceDE w:val="0"/>
        <w:autoSpaceDN w:val="0"/>
        <w:adjustRightInd w:val="0"/>
        <w:spacing w:after="0" w:line="312" w:lineRule="auto"/>
        <w:ind w:firstLine="709"/>
        <w:jc w:val="both"/>
        <w:rPr>
          <w:rFonts w:ascii="Times New Roman" w:hAnsi="Times New Roman" w:cs="Times New Roman"/>
          <w:sz w:val="28"/>
          <w:szCs w:val="28"/>
        </w:rPr>
      </w:pPr>
      <w:r w:rsidRPr="003528C9">
        <w:rPr>
          <w:rFonts w:ascii="Times New Roman" w:hAnsi="Times New Roman" w:cs="Times New Roman"/>
          <w:sz w:val="28"/>
          <w:szCs w:val="28"/>
        </w:rPr>
        <w:t>В настоящее время деятельность по предоставлению социа</w:t>
      </w:r>
      <w:r>
        <w:rPr>
          <w:rFonts w:ascii="Times New Roman" w:hAnsi="Times New Roman" w:cs="Times New Roman"/>
          <w:sz w:val="28"/>
          <w:szCs w:val="28"/>
        </w:rPr>
        <w:t xml:space="preserve">льных услуг семьям с </w:t>
      </w:r>
      <w:r w:rsidRPr="003528C9">
        <w:rPr>
          <w:rFonts w:ascii="Times New Roman" w:hAnsi="Times New Roman" w:cs="Times New Roman"/>
          <w:sz w:val="28"/>
          <w:szCs w:val="28"/>
        </w:rPr>
        <w:t>детьми в Российской Федерации осуществляют 295 центров социальной помощи</w:t>
      </w:r>
      <w:r>
        <w:rPr>
          <w:rFonts w:ascii="Times New Roman" w:hAnsi="Times New Roman" w:cs="Times New Roman"/>
          <w:sz w:val="28"/>
          <w:szCs w:val="28"/>
        </w:rPr>
        <w:t xml:space="preserve"> </w:t>
      </w:r>
      <w:r w:rsidRPr="003528C9">
        <w:rPr>
          <w:rFonts w:ascii="Times New Roman" w:hAnsi="Times New Roman" w:cs="Times New Roman"/>
          <w:sz w:val="28"/>
          <w:szCs w:val="28"/>
        </w:rPr>
        <w:t>семье и детям, 580 социально-реабилитационных центров для несовершеннолетних,</w:t>
      </w:r>
      <w:r>
        <w:rPr>
          <w:rFonts w:ascii="Times New Roman" w:hAnsi="Times New Roman" w:cs="Times New Roman"/>
          <w:sz w:val="28"/>
          <w:szCs w:val="28"/>
        </w:rPr>
        <w:t xml:space="preserve"> </w:t>
      </w:r>
      <w:r w:rsidRPr="003528C9">
        <w:rPr>
          <w:rFonts w:ascii="Times New Roman" w:hAnsi="Times New Roman" w:cs="Times New Roman"/>
          <w:sz w:val="28"/>
          <w:szCs w:val="28"/>
        </w:rPr>
        <w:t>64 социальных приюта для детей, 149 центр</w:t>
      </w:r>
      <w:r>
        <w:rPr>
          <w:rFonts w:ascii="Times New Roman" w:hAnsi="Times New Roman" w:cs="Times New Roman"/>
          <w:sz w:val="28"/>
          <w:szCs w:val="28"/>
        </w:rPr>
        <w:t xml:space="preserve">ов помощи детям, оставшимся без </w:t>
      </w:r>
      <w:r w:rsidRPr="003528C9">
        <w:rPr>
          <w:rFonts w:ascii="Times New Roman" w:hAnsi="Times New Roman" w:cs="Times New Roman"/>
          <w:sz w:val="28"/>
          <w:szCs w:val="28"/>
        </w:rPr>
        <w:t xml:space="preserve">попечения </w:t>
      </w:r>
      <w:r>
        <w:rPr>
          <w:rFonts w:ascii="Times New Roman" w:hAnsi="Times New Roman" w:cs="Times New Roman"/>
          <w:sz w:val="28"/>
          <w:szCs w:val="28"/>
        </w:rPr>
        <w:t>родителей, 15 центров психолого-</w:t>
      </w:r>
      <w:r w:rsidRPr="003528C9">
        <w:rPr>
          <w:rFonts w:ascii="Times New Roman" w:hAnsi="Times New Roman" w:cs="Times New Roman"/>
          <w:sz w:val="28"/>
          <w:szCs w:val="28"/>
        </w:rPr>
        <w:t>педагогической помощи семье и детям,</w:t>
      </w:r>
      <w:r>
        <w:rPr>
          <w:rFonts w:ascii="Times New Roman" w:hAnsi="Times New Roman" w:cs="Times New Roman"/>
          <w:sz w:val="28"/>
          <w:szCs w:val="28"/>
        </w:rPr>
        <w:t xml:space="preserve"> </w:t>
      </w:r>
      <w:r w:rsidRPr="003528C9">
        <w:rPr>
          <w:rFonts w:ascii="Times New Roman" w:hAnsi="Times New Roman" w:cs="Times New Roman"/>
          <w:sz w:val="28"/>
          <w:szCs w:val="28"/>
        </w:rPr>
        <w:t>361 отделение по работе с семьей и детьми в центрах социального обслуживания.</w:t>
      </w:r>
    </w:p>
    <w:p w14:paraId="61A852D8" w14:textId="5D4CBBFF" w:rsidR="008112F0" w:rsidRDefault="008112F0" w:rsidP="008112F0">
      <w:pPr>
        <w:tabs>
          <w:tab w:val="left" w:pos="993"/>
        </w:tabs>
        <w:autoSpaceDE w:val="0"/>
        <w:autoSpaceDN w:val="0"/>
        <w:adjustRightInd w:val="0"/>
        <w:spacing w:after="0" w:line="312" w:lineRule="auto"/>
        <w:ind w:firstLine="709"/>
        <w:jc w:val="both"/>
        <w:rPr>
          <w:rFonts w:ascii="Times New Roman" w:hAnsi="Times New Roman" w:cs="Times New Roman"/>
          <w:sz w:val="28"/>
          <w:szCs w:val="28"/>
        </w:rPr>
      </w:pPr>
      <w:r w:rsidRPr="003528C9">
        <w:rPr>
          <w:rFonts w:ascii="Times New Roman" w:hAnsi="Times New Roman" w:cs="Times New Roman"/>
          <w:sz w:val="28"/>
          <w:szCs w:val="28"/>
        </w:rPr>
        <w:t>В организациях социального обслуж</w:t>
      </w:r>
      <w:r>
        <w:rPr>
          <w:rFonts w:ascii="Times New Roman" w:hAnsi="Times New Roman" w:cs="Times New Roman"/>
          <w:sz w:val="28"/>
          <w:szCs w:val="28"/>
        </w:rPr>
        <w:t xml:space="preserve">ивания социальное сопровождение </w:t>
      </w:r>
      <w:r w:rsidRPr="003528C9">
        <w:rPr>
          <w:rFonts w:ascii="Times New Roman" w:hAnsi="Times New Roman" w:cs="Times New Roman"/>
          <w:sz w:val="28"/>
          <w:szCs w:val="28"/>
        </w:rPr>
        <w:t>осуществляют подразделения по работе с семьей и детьми или специально созданные</w:t>
      </w:r>
      <w:r>
        <w:rPr>
          <w:rFonts w:ascii="Times New Roman" w:hAnsi="Times New Roman" w:cs="Times New Roman"/>
          <w:sz w:val="28"/>
          <w:szCs w:val="28"/>
        </w:rPr>
        <w:t xml:space="preserve"> </w:t>
      </w:r>
      <w:r w:rsidRPr="003528C9">
        <w:rPr>
          <w:rFonts w:ascii="Times New Roman" w:hAnsi="Times New Roman" w:cs="Times New Roman"/>
          <w:sz w:val="28"/>
          <w:szCs w:val="28"/>
        </w:rPr>
        <w:t>службы, например, участковые социальные службы сопровождения семей с детьми,</w:t>
      </w:r>
      <w:r w:rsidRPr="003528C9">
        <w:t xml:space="preserve"> </w:t>
      </w:r>
      <w:r w:rsidRPr="003528C9">
        <w:rPr>
          <w:rFonts w:ascii="Times New Roman" w:hAnsi="Times New Roman" w:cs="Times New Roman"/>
          <w:sz w:val="28"/>
          <w:szCs w:val="28"/>
        </w:rPr>
        <w:t>в рамках которых в штаты центров социального обслуживания вводятся должности</w:t>
      </w:r>
      <w:r>
        <w:rPr>
          <w:rFonts w:ascii="Times New Roman" w:hAnsi="Times New Roman" w:cs="Times New Roman"/>
          <w:sz w:val="28"/>
          <w:szCs w:val="28"/>
        </w:rPr>
        <w:t xml:space="preserve"> </w:t>
      </w:r>
      <w:r w:rsidRPr="003528C9">
        <w:rPr>
          <w:rFonts w:ascii="Times New Roman" w:hAnsi="Times New Roman" w:cs="Times New Roman"/>
          <w:sz w:val="28"/>
          <w:szCs w:val="28"/>
        </w:rPr>
        <w:t>участковых социальных работников – кураторов семей, имеющих специфические</w:t>
      </w:r>
      <w:r>
        <w:rPr>
          <w:rFonts w:ascii="Times New Roman" w:hAnsi="Times New Roman" w:cs="Times New Roman"/>
          <w:sz w:val="28"/>
          <w:szCs w:val="28"/>
        </w:rPr>
        <w:t xml:space="preserve"> </w:t>
      </w:r>
      <w:r w:rsidR="00764F70">
        <w:rPr>
          <w:rFonts w:ascii="Times New Roman" w:hAnsi="Times New Roman" w:cs="Times New Roman"/>
          <w:sz w:val="28"/>
          <w:szCs w:val="28"/>
        </w:rPr>
        <w:t>проблемы (менеджер случая).</w:t>
      </w:r>
      <w:r w:rsidRPr="003528C9">
        <w:rPr>
          <w:rFonts w:ascii="Times New Roman" w:hAnsi="Times New Roman" w:cs="Times New Roman"/>
          <w:sz w:val="28"/>
          <w:szCs w:val="28"/>
        </w:rPr>
        <w:t xml:space="preserve"> </w:t>
      </w:r>
      <w:r w:rsidR="001E5AB7">
        <w:rPr>
          <w:rFonts w:ascii="Times New Roman" w:hAnsi="Times New Roman" w:cs="Times New Roman"/>
          <w:sz w:val="28"/>
          <w:szCs w:val="28"/>
        </w:rPr>
        <w:t xml:space="preserve">Так, такие службы </w:t>
      </w:r>
      <w:r w:rsidRPr="003528C9">
        <w:rPr>
          <w:rFonts w:ascii="Times New Roman" w:hAnsi="Times New Roman" w:cs="Times New Roman"/>
          <w:sz w:val="28"/>
          <w:szCs w:val="28"/>
        </w:rPr>
        <w:t>созданы в 13 су</w:t>
      </w:r>
      <w:r>
        <w:rPr>
          <w:rFonts w:ascii="Times New Roman" w:hAnsi="Times New Roman" w:cs="Times New Roman"/>
          <w:sz w:val="28"/>
          <w:szCs w:val="28"/>
        </w:rPr>
        <w:t xml:space="preserve">бъектах Российской Федерации (в </w:t>
      </w:r>
      <w:r w:rsidR="001E5AB7">
        <w:rPr>
          <w:rFonts w:ascii="Times New Roman" w:hAnsi="Times New Roman" w:cs="Times New Roman"/>
          <w:sz w:val="28"/>
          <w:szCs w:val="28"/>
        </w:rPr>
        <w:t>р</w:t>
      </w:r>
      <w:r w:rsidR="001E5AB7" w:rsidRPr="003528C9">
        <w:rPr>
          <w:rFonts w:ascii="Times New Roman" w:hAnsi="Times New Roman" w:cs="Times New Roman"/>
          <w:sz w:val="28"/>
          <w:szCs w:val="28"/>
        </w:rPr>
        <w:t xml:space="preserve">еспубликах </w:t>
      </w:r>
      <w:r w:rsidR="001E5AB7">
        <w:rPr>
          <w:rFonts w:ascii="Times New Roman" w:hAnsi="Times New Roman" w:cs="Times New Roman"/>
          <w:sz w:val="28"/>
          <w:szCs w:val="28"/>
        </w:rPr>
        <w:t>Алтай,</w:t>
      </w:r>
      <w:r w:rsidR="001E5AB7" w:rsidRPr="003528C9">
        <w:rPr>
          <w:rFonts w:ascii="Times New Roman" w:hAnsi="Times New Roman" w:cs="Times New Roman"/>
          <w:sz w:val="28"/>
          <w:szCs w:val="28"/>
        </w:rPr>
        <w:t xml:space="preserve"> Башкорт</w:t>
      </w:r>
      <w:r w:rsidR="001E5AB7">
        <w:rPr>
          <w:rFonts w:ascii="Times New Roman" w:hAnsi="Times New Roman" w:cs="Times New Roman"/>
          <w:sz w:val="28"/>
          <w:szCs w:val="28"/>
        </w:rPr>
        <w:t xml:space="preserve">остан, Калмыкия, </w:t>
      </w:r>
      <w:r w:rsidR="001E5AB7" w:rsidRPr="003528C9">
        <w:rPr>
          <w:rFonts w:ascii="Times New Roman" w:hAnsi="Times New Roman" w:cs="Times New Roman"/>
          <w:sz w:val="28"/>
          <w:szCs w:val="28"/>
        </w:rPr>
        <w:t>Чеченской Республике</w:t>
      </w:r>
      <w:r w:rsidR="001E5AB7">
        <w:rPr>
          <w:rFonts w:ascii="Times New Roman" w:hAnsi="Times New Roman" w:cs="Times New Roman"/>
          <w:sz w:val="28"/>
          <w:szCs w:val="28"/>
        </w:rPr>
        <w:t>,</w:t>
      </w:r>
      <w:r w:rsidR="001E5AB7" w:rsidRPr="003528C9">
        <w:rPr>
          <w:rFonts w:ascii="Times New Roman" w:hAnsi="Times New Roman" w:cs="Times New Roman"/>
          <w:sz w:val="28"/>
          <w:szCs w:val="28"/>
        </w:rPr>
        <w:t xml:space="preserve"> Забайкальском Пермском,</w:t>
      </w:r>
      <w:r w:rsidR="001E5AB7">
        <w:rPr>
          <w:rFonts w:ascii="Times New Roman" w:hAnsi="Times New Roman" w:cs="Times New Roman"/>
          <w:sz w:val="28"/>
          <w:szCs w:val="28"/>
        </w:rPr>
        <w:t xml:space="preserve"> </w:t>
      </w:r>
      <w:r w:rsidR="001E5AB7" w:rsidRPr="003528C9">
        <w:rPr>
          <w:rFonts w:ascii="Times New Roman" w:hAnsi="Times New Roman" w:cs="Times New Roman"/>
          <w:sz w:val="28"/>
          <w:szCs w:val="28"/>
        </w:rPr>
        <w:t>Приморском, Ставропольском, и Хабаровском краях,</w:t>
      </w:r>
      <w:r w:rsidR="001E5AB7">
        <w:rPr>
          <w:rFonts w:ascii="Times New Roman" w:hAnsi="Times New Roman" w:cs="Times New Roman"/>
          <w:sz w:val="28"/>
          <w:szCs w:val="28"/>
        </w:rPr>
        <w:t xml:space="preserve"> </w:t>
      </w:r>
      <w:r w:rsidR="001E5AB7" w:rsidRPr="003528C9">
        <w:rPr>
          <w:rFonts w:ascii="Times New Roman" w:hAnsi="Times New Roman" w:cs="Times New Roman"/>
          <w:sz w:val="28"/>
          <w:szCs w:val="28"/>
        </w:rPr>
        <w:t xml:space="preserve">Белгородской, Волгоградской, </w:t>
      </w:r>
      <w:r w:rsidRPr="003528C9">
        <w:rPr>
          <w:rFonts w:ascii="Times New Roman" w:hAnsi="Times New Roman" w:cs="Times New Roman"/>
          <w:sz w:val="28"/>
          <w:szCs w:val="28"/>
        </w:rPr>
        <w:t xml:space="preserve">Курганской, </w:t>
      </w:r>
      <w:r w:rsidR="001E5AB7">
        <w:rPr>
          <w:rFonts w:ascii="Times New Roman" w:hAnsi="Times New Roman" w:cs="Times New Roman"/>
          <w:sz w:val="28"/>
          <w:szCs w:val="28"/>
        </w:rPr>
        <w:t>Рязанской и Псковской областях</w:t>
      </w:r>
      <w:r>
        <w:rPr>
          <w:rFonts w:ascii="Times New Roman" w:hAnsi="Times New Roman" w:cs="Times New Roman"/>
          <w:sz w:val="28"/>
          <w:szCs w:val="28"/>
        </w:rPr>
        <w:t xml:space="preserve">), служба </w:t>
      </w:r>
      <w:r w:rsidRPr="003528C9">
        <w:rPr>
          <w:rFonts w:ascii="Times New Roman" w:hAnsi="Times New Roman" w:cs="Times New Roman"/>
          <w:sz w:val="28"/>
          <w:szCs w:val="28"/>
        </w:rPr>
        <w:t xml:space="preserve">домашнего </w:t>
      </w:r>
      <w:proofErr w:type="spellStart"/>
      <w:r w:rsidRPr="003528C9">
        <w:rPr>
          <w:rFonts w:ascii="Times New Roman" w:hAnsi="Times New Roman" w:cs="Times New Roman"/>
          <w:sz w:val="28"/>
          <w:szCs w:val="28"/>
        </w:rPr>
        <w:t>визитирования</w:t>
      </w:r>
      <w:proofErr w:type="spellEnd"/>
      <w:r w:rsidRPr="003528C9">
        <w:rPr>
          <w:rFonts w:ascii="Times New Roman" w:hAnsi="Times New Roman" w:cs="Times New Roman"/>
          <w:sz w:val="28"/>
          <w:szCs w:val="28"/>
        </w:rPr>
        <w:t xml:space="preserve"> </w:t>
      </w:r>
      <w:r w:rsidR="001E5AB7">
        <w:rPr>
          <w:rFonts w:ascii="Times New Roman" w:hAnsi="Times New Roman" w:cs="Times New Roman"/>
          <w:sz w:val="28"/>
          <w:szCs w:val="28"/>
        </w:rPr>
        <w:t xml:space="preserve">– в 2 субъектах Российской Федерации </w:t>
      </w:r>
      <w:r w:rsidRPr="003528C9">
        <w:rPr>
          <w:rFonts w:ascii="Times New Roman" w:hAnsi="Times New Roman" w:cs="Times New Roman"/>
          <w:sz w:val="28"/>
          <w:szCs w:val="28"/>
        </w:rPr>
        <w:t>(в Воронежской</w:t>
      </w:r>
      <w:r>
        <w:rPr>
          <w:rFonts w:ascii="Times New Roman" w:hAnsi="Times New Roman" w:cs="Times New Roman"/>
          <w:sz w:val="28"/>
          <w:szCs w:val="28"/>
        </w:rPr>
        <w:t xml:space="preserve"> и Смоленской областях), служба </w:t>
      </w:r>
      <w:r w:rsidRPr="003528C9">
        <w:rPr>
          <w:rFonts w:ascii="Times New Roman" w:hAnsi="Times New Roman" w:cs="Times New Roman"/>
          <w:sz w:val="28"/>
          <w:szCs w:val="28"/>
        </w:rPr>
        <w:t xml:space="preserve">супервизоров </w:t>
      </w:r>
      <w:r w:rsidR="001E5AB7">
        <w:rPr>
          <w:rFonts w:ascii="Times New Roman" w:hAnsi="Times New Roman" w:cs="Times New Roman"/>
          <w:sz w:val="28"/>
          <w:szCs w:val="28"/>
        </w:rPr>
        <w:t xml:space="preserve">– в 2 субъектах Российской Федерации </w:t>
      </w:r>
      <w:r w:rsidRPr="003528C9">
        <w:rPr>
          <w:rFonts w:ascii="Times New Roman" w:hAnsi="Times New Roman" w:cs="Times New Roman"/>
          <w:sz w:val="28"/>
          <w:szCs w:val="28"/>
        </w:rPr>
        <w:t xml:space="preserve">(в </w:t>
      </w:r>
      <w:r w:rsidR="001E5AB7" w:rsidRPr="003528C9">
        <w:rPr>
          <w:rFonts w:ascii="Times New Roman" w:hAnsi="Times New Roman" w:cs="Times New Roman"/>
          <w:sz w:val="28"/>
          <w:szCs w:val="28"/>
        </w:rPr>
        <w:t xml:space="preserve">Республике Татарстан и </w:t>
      </w:r>
      <w:r w:rsidRPr="003528C9">
        <w:rPr>
          <w:rFonts w:ascii="Times New Roman" w:hAnsi="Times New Roman" w:cs="Times New Roman"/>
          <w:sz w:val="28"/>
          <w:szCs w:val="28"/>
        </w:rPr>
        <w:t>г. Москве)</w:t>
      </w:r>
      <w:r>
        <w:rPr>
          <w:rFonts w:ascii="Times New Roman" w:hAnsi="Times New Roman" w:cs="Times New Roman"/>
          <w:sz w:val="28"/>
          <w:szCs w:val="28"/>
        </w:rPr>
        <w:t>.</w:t>
      </w:r>
    </w:p>
    <w:p w14:paraId="117F20CF" w14:textId="77777777" w:rsidR="008112F0" w:rsidRDefault="008112F0" w:rsidP="008112F0">
      <w:pPr>
        <w:tabs>
          <w:tab w:val="left" w:pos="993"/>
        </w:tabs>
        <w:autoSpaceDE w:val="0"/>
        <w:autoSpaceDN w:val="0"/>
        <w:adjustRightInd w:val="0"/>
        <w:spacing w:after="0" w:line="312" w:lineRule="auto"/>
        <w:ind w:firstLine="709"/>
        <w:jc w:val="both"/>
        <w:rPr>
          <w:rFonts w:ascii="Times New Roman" w:hAnsi="Times New Roman" w:cs="Times New Roman"/>
          <w:sz w:val="28"/>
          <w:szCs w:val="28"/>
        </w:rPr>
      </w:pPr>
      <w:r w:rsidRPr="000848E9">
        <w:rPr>
          <w:rFonts w:ascii="Times New Roman" w:hAnsi="Times New Roman" w:cs="Times New Roman"/>
          <w:sz w:val="28"/>
          <w:szCs w:val="28"/>
        </w:rPr>
        <w:t>Практически во всех регионах в о</w:t>
      </w:r>
      <w:r>
        <w:rPr>
          <w:rFonts w:ascii="Times New Roman" w:hAnsi="Times New Roman" w:cs="Times New Roman"/>
          <w:sz w:val="28"/>
          <w:szCs w:val="28"/>
        </w:rPr>
        <w:t xml:space="preserve">сновном при комплексных центрах </w:t>
      </w:r>
      <w:r w:rsidRPr="000848E9">
        <w:rPr>
          <w:rFonts w:ascii="Times New Roman" w:hAnsi="Times New Roman" w:cs="Times New Roman"/>
          <w:sz w:val="28"/>
          <w:szCs w:val="28"/>
        </w:rPr>
        <w:t xml:space="preserve">социального обслуживания созданы отделения </w:t>
      </w:r>
      <w:r>
        <w:rPr>
          <w:rFonts w:ascii="Times New Roman" w:hAnsi="Times New Roman" w:cs="Times New Roman"/>
          <w:sz w:val="28"/>
          <w:szCs w:val="28"/>
        </w:rPr>
        <w:t xml:space="preserve">по работе с семьей и детьми или </w:t>
      </w:r>
      <w:r w:rsidRPr="000848E9">
        <w:rPr>
          <w:rFonts w:ascii="Times New Roman" w:hAnsi="Times New Roman" w:cs="Times New Roman"/>
          <w:sz w:val="28"/>
          <w:szCs w:val="28"/>
        </w:rPr>
        <w:t>отделения социальной помощи семье и детям, а также семейно-консультативные</w:t>
      </w:r>
      <w:r>
        <w:rPr>
          <w:rFonts w:ascii="Times New Roman" w:hAnsi="Times New Roman" w:cs="Times New Roman"/>
          <w:sz w:val="28"/>
          <w:szCs w:val="28"/>
        </w:rPr>
        <w:t xml:space="preserve"> </w:t>
      </w:r>
      <w:r w:rsidRPr="000848E9">
        <w:rPr>
          <w:rFonts w:ascii="Times New Roman" w:hAnsi="Times New Roman" w:cs="Times New Roman"/>
          <w:sz w:val="28"/>
          <w:szCs w:val="28"/>
        </w:rPr>
        <w:t>пункты для социального сопровождени</w:t>
      </w:r>
      <w:r>
        <w:rPr>
          <w:rFonts w:ascii="Times New Roman" w:hAnsi="Times New Roman" w:cs="Times New Roman"/>
          <w:sz w:val="28"/>
          <w:szCs w:val="28"/>
        </w:rPr>
        <w:t xml:space="preserve">я женщин, отделения экстренного </w:t>
      </w:r>
      <w:r w:rsidRPr="000848E9">
        <w:rPr>
          <w:rFonts w:ascii="Times New Roman" w:hAnsi="Times New Roman" w:cs="Times New Roman"/>
          <w:sz w:val="28"/>
          <w:szCs w:val="28"/>
        </w:rPr>
        <w:t>реагирования на социально неблагополучную ситуацию в семье. В Приморском крае</w:t>
      </w:r>
      <w:r>
        <w:rPr>
          <w:rFonts w:ascii="Times New Roman" w:hAnsi="Times New Roman" w:cs="Times New Roman"/>
          <w:sz w:val="28"/>
          <w:szCs w:val="28"/>
        </w:rPr>
        <w:t xml:space="preserve"> </w:t>
      </w:r>
      <w:r w:rsidRPr="000848E9">
        <w:rPr>
          <w:rFonts w:ascii="Times New Roman" w:hAnsi="Times New Roman" w:cs="Times New Roman"/>
          <w:sz w:val="28"/>
          <w:szCs w:val="28"/>
        </w:rPr>
        <w:t>создан ресурсный центр по социальному сопровождению семей.</w:t>
      </w:r>
    </w:p>
    <w:p w14:paraId="551A4DBC" w14:textId="77777777" w:rsidR="008112F0" w:rsidRDefault="008112F0" w:rsidP="008112F0">
      <w:pPr>
        <w:tabs>
          <w:tab w:val="left" w:pos="993"/>
        </w:tabs>
        <w:autoSpaceDE w:val="0"/>
        <w:autoSpaceDN w:val="0"/>
        <w:adjustRightInd w:val="0"/>
        <w:spacing w:after="0" w:line="312" w:lineRule="auto"/>
        <w:ind w:firstLine="709"/>
        <w:jc w:val="both"/>
        <w:rPr>
          <w:rFonts w:ascii="Times New Roman" w:hAnsi="Times New Roman" w:cs="Times New Roman"/>
          <w:sz w:val="28"/>
          <w:szCs w:val="28"/>
        </w:rPr>
      </w:pPr>
      <w:r w:rsidRPr="000848E9">
        <w:rPr>
          <w:rFonts w:ascii="Times New Roman" w:hAnsi="Times New Roman" w:cs="Times New Roman"/>
          <w:sz w:val="28"/>
          <w:szCs w:val="28"/>
        </w:rPr>
        <w:t>Непосредственно организацию социаль</w:t>
      </w:r>
      <w:r>
        <w:rPr>
          <w:rFonts w:ascii="Times New Roman" w:hAnsi="Times New Roman" w:cs="Times New Roman"/>
          <w:sz w:val="28"/>
          <w:szCs w:val="28"/>
        </w:rPr>
        <w:t xml:space="preserve">ного сопровождения обеспечивают </w:t>
      </w:r>
      <w:r w:rsidRPr="000848E9">
        <w:rPr>
          <w:rFonts w:ascii="Times New Roman" w:hAnsi="Times New Roman" w:cs="Times New Roman"/>
          <w:sz w:val="28"/>
          <w:szCs w:val="28"/>
        </w:rPr>
        <w:t>специалисты соответствующей профессиональной квалификации: специалисты по</w:t>
      </w:r>
      <w:r>
        <w:rPr>
          <w:rFonts w:ascii="Times New Roman" w:hAnsi="Times New Roman" w:cs="Times New Roman"/>
          <w:sz w:val="28"/>
          <w:szCs w:val="28"/>
        </w:rPr>
        <w:t xml:space="preserve"> </w:t>
      </w:r>
      <w:r w:rsidRPr="000848E9">
        <w:rPr>
          <w:rFonts w:ascii="Times New Roman" w:hAnsi="Times New Roman" w:cs="Times New Roman"/>
          <w:sz w:val="28"/>
          <w:szCs w:val="28"/>
        </w:rPr>
        <w:t>социальной работе, специалисты по работе с сем</w:t>
      </w:r>
      <w:r>
        <w:rPr>
          <w:rFonts w:ascii="Times New Roman" w:hAnsi="Times New Roman" w:cs="Times New Roman"/>
          <w:sz w:val="28"/>
          <w:szCs w:val="28"/>
        </w:rPr>
        <w:t xml:space="preserve">ьей, социальные педагоги, </w:t>
      </w:r>
      <w:r w:rsidRPr="000848E9">
        <w:rPr>
          <w:rFonts w:ascii="Times New Roman" w:hAnsi="Times New Roman" w:cs="Times New Roman"/>
          <w:sz w:val="28"/>
          <w:szCs w:val="28"/>
        </w:rPr>
        <w:t>психологи, специалисты по реабилитации, опеке и попечительству.</w:t>
      </w:r>
    </w:p>
    <w:p w14:paraId="6D250966" w14:textId="77777777" w:rsidR="008112F0" w:rsidRDefault="008112F0" w:rsidP="008112F0">
      <w:pPr>
        <w:tabs>
          <w:tab w:val="left" w:pos="993"/>
        </w:tabs>
        <w:autoSpaceDE w:val="0"/>
        <w:autoSpaceDN w:val="0"/>
        <w:adjustRightInd w:val="0"/>
        <w:spacing w:after="0" w:line="312" w:lineRule="auto"/>
        <w:ind w:firstLine="709"/>
        <w:jc w:val="both"/>
        <w:rPr>
          <w:rFonts w:ascii="Times New Roman" w:hAnsi="Times New Roman" w:cs="Times New Roman"/>
          <w:sz w:val="28"/>
          <w:szCs w:val="28"/>
        </w:rPr>
      </w:pPr>
      <w:r w:rsidRPr="000848E9">
        <w:rPr>
          <w:rFonts w:ascii="Times New Roman" w:hAnsi="Times New Roman" w:cs="Times New Roman"/>
          <w:sz w:val="28"/>
          <w:szCs w:val="28"/>
        </w:rPr>
        <w:t>Наряду с этим в целях создания и развития со</w:t>
      </w:r>
      <w:r>
        <w:rPr>
          <w:rFonts w:ascii="Times New Roman" w:hAnsi="Times New Roman" w:cs="Times New Roman"/>
          <w:sz w:val="28"/>
          <w:szCs w:val="28"/>
        </w:rPr>
        <w:t xml:space="preserve">циального сопровождения семей с </w:t>
      </w:r>
      <w:r w:rsidRPr="000848E9">
        <w:rPr>
          <w:rFonts w:ascii="Times New Roman" w:hAnsi="Times New Roman" w:cs="Times New Roman"/>
          <w:sz w:val="28"/>
          <w:szCs w:val="28"/>
        </w:rPr>
        <w:t>детьми в регионах создаются новые службы и сервисы.</w:t>
      </w:r>
    </w:p>
    <w:p w14:paraId="40E681AB" w14:textId="53BA0354" w:rsidR="008112F0" w:rsidRDefault="001E5AB7" w:rsidP="008112F0">
      <w:pPr>
        <w:tabs>
          <w:tab w:val="left" w:pos="993"/>
        </w:tabs>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Так, в</w:t>
      </w:r>
      <w:r w:rsidR="008112F0" w:rsidRPr="000848E9">
        <w:rPr>
          <w:rFonts w:ascii="Times New Roman" w:hAnsi="Times New Roman" w:cs="Times New Roman"/>
          <w:sz w:val="28"/>
          <w:szCs w:val="28"/>
        </w:rPr>
        <w:t xml:space="preserve"> Воронежской области созданы: социальна</w:t>
      </w:r>
      <w:r w:rsidR="008112F0">
        <w:rPr>
          <w:rFonts w:ascii="Times New Roman" w:hAnsi="Times New Roman" w:cs="Times New Roman"/>
          <w:sz w:val="28"/>
          <w:szCs w:val="28"/>
        </w:rPr>
        <w:t xml:space="preserve">я гостиница на 10 мест и группа </w:t>
      </w:r>
      <w:r w:rsidR="008112F0" w:rsidRPr="000848E9">
        <w:rPr>
          <w:rFonts w:ascii="Times New Roman" w:hAnsi="Times New Roman" w:cs="Times New Roman"/>
          <w:sz w:val="28"/>
          <w:szCs w:val="28"/>
        </w:rPr>
        <w:t>дневного пребывания детей с расстройствами аутистического спектра на 20 мест в</w:t>
      </w:r>
      <w:r w:rsidR="008112F0">
        <w:rPr>
          <w:rFonts w:ascii="Times New Roman" w:hAnsi="Times New Roman" w:cs="Times New Roman"/>
          <w:sz w:val="28"/>
          <w:szCs w:val="28"/>
        </w:rPr>
        <w:t xml:space="preserve"> </w:t>
      </w:r>
      <w:r w:rsidR="008112F0" w:rsidRPr="000848E9">
        <w:rPr>
          <w:rFonts w:ascii="Times New Roman" w:hAnsi="Times New Roman" w:cs="Times New Roman"/>
          <w:sz w:val="28"/>
          <w:szCs w:val="28"/>
        </w:rPr>
        <w:t>КУ «Борисоглебский зональный реабилитационный центр для детей и подростков с</w:t>
      </w:r>
      <w:r w:rsidR="008112F0">
        <w:rPr>
          <w:rFonts w:ascii="Times New Roman" w:hAnsi="Times New Roman" w:cs="Times New Roman"/>
          <w:sz w:val="28"/>
          <w:szCs w:val="28"/>
        </w:rPr>
        <w:t xml:space="preserve"> </w:t>
      </w:r>
      <w:r w:rsidR="008112F0" w:rsidRPr="000848E9">
        <w:rPr>
          <w:rFonts w:ascii="Times New Roman" w:hAnsi="Times New Roman" w:cs="Times New Roman"/>
          <w:sz w:val="28"/>
          <w:szCs w:val="28"/>
        </w:rPr>
        <w:t xml:space="preserve">ограниченными возможностями «Журавлик»; служба домашнего </w:t>
      </w:r>
      <w:proofErr w:type="spellStart"/>
      <w:r w:rsidR="008112F0" w:rsidRPr="000848E9">
        <w:rPr>
          <w:rFonts w:ascii="Times New Roman" w:hAnsi="Times New Roman" w:cs="Times New Roman"/>
          <w:sz w:val="28"/>
          <w:szCs w:val="28"/>
        </w:rPr>
        <w:t>визитирования</w:t>
      </w:r>
      <w:proofErr w:type="spellEnd"/>
      <w:r w:rsidR="008112F0" w:rsidRPr="000848E9">
        <w:rPr>
          <w:rFonts w:ascii="Times New Roman" w:hAnsi="Times New Roman" w:cs="Times New Roman"/>
          <w:sz w:val="28"/>
          <w:szCs w:val="28"/>
        </w:rPr>
        <w:t xml:space="preserve"> и</w:t>
      </w:r>
      <w:r w:rsidR="008112F0">
        <w:rPr>
          <w:rFonts w:ascii="Times New Roman" w:hAnsi="Times New Roman" w:cs="Times New Roman"/>
          <w:sz w:val="28"/>
          <w:szCs w:val="28"/>
        </w:rPr>
        <w:t xml:space="preserve"> </w:t>
      </w:r>
      <w:r w:rsidR="008112F0" w:rsidRPr="000848E9">
        <w:rPr>
          <w:rFonts w:ascii="Times New Roman" w:hAnsi="Times New Roman" w:cs="Times New Roman"/>
          <w:sz w:val="28"/>
          <w:szCs w:val="28"/>
        </w:rPr>
        <w:t xml:space="preserve">группа дневного пребывания для взрослых </w:t>
      </w:r>
      <w:r w:rsidR="003B77D7">
        <w:rPr>
          <w:rFonts w:ascii="Times New Roman" w:hAnsi="Times New Roman" w:cs="Times New Roman"/>
          <w:sz w:val="28"/>
          <w:szCs w:val="28"/>
        </w:rPr>
        <w:t xml:space="preserve">граждан </w:t>
      </w:r>
      <w:r w:rsidR="003B77D7">
        <w:rPr>
          <w:rFonts w:ascii="Times New Roman" w:eastAsia="Times New Roman" w:hAnsi="Times New Roman" w:cs="Times New Roman"/>
          <w:sz w:val="28"/>
          <w:szCs w:val="28"/>
          <w:lang w:eastAsia="ru-RU"/>
        </w:rPr>
        <w:t>с инвалидностью</w:t>
      </w:r>
      <w:r w:rsidR="008112F0" w:rsidRPr="000848E9">
        <w:rPr>
          <w:rFonts w:ascii="Times New Roman" w:hAnsi="Times New Roman" w:cs="Times New Roman"/>
          <w:sz w:val="28"/>
          <w:szCs w:val="28"/>
        </w:rPr>
        <w:t xml:space="preserve"> с ментальными нарушениями</w:t>
      </w:r>
      <w:r w:rsidR="008112F0">
        <w:rPr>
          <w:rFonts w:ascii="Times New Roman" w:hAnsi="Times New Roman" w:cs="Times New Roman"/>
          <w:sz w:val="28"/>
          <w:szCs w:val="28"/>
        </w:rPr>
        <w:t xml:space="preserve"> </w:t>
      </w:r>
      <w:r w:rsidR="008112F0" w:rsidRPr="000848E9">
        <w:rPr>
          <w:rFonts w:ascii="Times New Roman" w:hAnsi="Times New Roman" w:cs="Times New Roman"/>
          <w:sz w:val="28"/>
          <w:szCs w:val="28"/>
        </w:rPr>
        <w:t>в КУ «Воронежский центр реабилитации инвалидов».</w:t>
      </w:r>
    </w:p>
    <w:p w14:paraId="66096173" w14:textId="77777777" w:rsidR="008112F0" w:rsidRDefault="008112F0" w:rsidP="008112F0">
      <w:pPr>
        <w:tabs>
          <w:tab w:val="left" w:pos="993"/>
        </w:tabs>
        <w:autoSpaceDE w:val="0"/>
        <w:autoSpaceDN w:val="0"/>
        <w:adjustRightInd w:val="0"/>
        <w:spacing w:after="0" w:line="312" w:lineRule="auto"/>
        <w:ind w:firstLine="709"/>
        <w:jc w:val="both"/>
        <w:rPr>
          <w:rFonts w:ascii="Times New Roman" w:hAnsi="Times New Roman" w:cs="Times New Roman"/>
          <w:sz w:val="28"/>
          <w:szCs w:val="28"/>
        </w:rPr>
      </w:pPr>
      <w:r w:rsidRPr="000848E9">
        <w:rPr>
          <w:rFonts w:ascii="Times New Roman" w:hAnsi="Times New Roman" w:cs="Times New Roman"/>
          <w:sz w:val="28"/>
          <w:szCs w:val="28"/>
        </w:rPr>
        <w:t>В Новосибирской области внедре</w:t>
      </w:r>
      <w:r>
        <w:rPr>
          <w:rFonts w:ascii="Times New Roman" w:hAnsi="Times New Roman" w:cs="Times New Roman"/>
          <w:sz w:val="28"/>
          <w:szCs w:val="28"/>
        </w:rPr>
        <w:t xml:space="preserve">на модель сопровождения семей с </w:t>
      </w:r>
      <w:r w:rsidRPr="000848E9">
        <w:rPr>
          <w:rFonts w:ascii="Times New Roman" w:hAnsi="Times New Roman" w:cs="Times New Roman"/>
          <w:sz w:val="28"/>
          <w:szCs w:val="28"/>
        </w:rPr>
        <w:t>обеспечением временного размещения женщин, детей, а также детей-сирот, детей,</w:t>
      </w:r>
      <w:r>
        <w:rPr>
          <w:rFonts w:ascii="Times New Roman" w:hAnsi="Times New Roman" w:cs="Times New Roman"/>
          <w:sz w:val="28"/>
          <w:szCs w:val="28"/>
        </w:rPr>
        <w:t xml:space="preserve"> </w:t>
      </w:r>
      <w:r w:rsidRPr="000848E9">
        <w:rPr>
          <w:rFonts w:ascii="Times New Roman" w:hAnsi="Times New Roman" w:cs="Times New Roman"/>
          <w:sz w:val="28"/>
          <w:szCs w:val="28"/>
        </w:rPr>
        <w:t>оставшихся без попечения родителей, и лиц из их числа, являющихся выпускниками</w:t>
      </w:r>
      <w:r>
        <w:rPr>
          <w:rFonts w:ascii="Times New Roman" w:hAnsi="Times New Roman" w:cs="Times New Roman"/>
          <w:sz w:val="28"/>
          <w:szCs w:val="28"/>
        </w:rPr>
        <w:t xml:space="preserve"> </w:t>
      </w:r>
      <w:r w:rsidRPr="000848E9">
        <w:rPr>
          <w:rFonts w:ascii="Times New Roman" w:hAnsi="Times New Roman" w:cs="Times New Roman"/>
          <w:sz w:val="28"/>
          <w:szCs w:val="28"/>
        </w:rPr>
        <w:t>учреждений интернатного типа.</w:t>
      </w:r>
    </w:p>
    <w:p w14:paraId="10EC5AF0" w14:textId="77777777" w:rsidR="008112F0" w:rsidRDefault="008112F0" w:rsidP="008112F0">
      <w:pPr>
        <w:tabs>
          <w:tab w:val="left" w:pos="993"/>
        </w:tabs>
        <w:autoSpaceDE w:val="0"/>
        <w:autoSpaceDN w:val="0"/>
        <w:adjustRightInd w:val="0"/>
        <w:spacing w:after="0" w:line="312" w:lineRule="auto"/>
        <w:ind w:firstLine="709"/>
        <w:jc w:val="both"/>
        <w:rPr>
          <w:rFonts w:ascii="Times New Roman" w:hAnsi="Times New Roman" w:cs="Times New Roman"/>
          <w:sz w:val="28"/>
          <w:szCs w:val="28"/>
        </w:rPr>
      </w:pPr>
      <w:r w:rsidRPr="000848E9">
        <w:rPr>
          <w:rFonts w:ascii="Times New Roman" w:hAnsi="Times New Roman" w:cs="Times New Roman"/>
          <w:sz w:val="28"/>
          <w:szCs w:val="28"/>
        </w:rPr>
        <w:t xml:space="preserve">Учитывая, что регионами используются </w:t>
      </w:r>
      <w:r>
        <w:rPr>
          <w:rFonts w:ascii="Times New Roman" w:hAnsi="Times New Roman" w:cs="Times New Roman"/>
          <w:sz w:val="28"/>
          <w:szCs w:val="28"/>
        </w:rPr>
        <w:t xml:space="preserve">различные подходы к организации </w:t>
      </w:r>
      <w:r w:rsidRPr="000848E9">
        <w:rPr>
          <w:rFonts w:ascii="Times New Roman" w:hAnsi="Times New Roman" w:cs="Times New Roman"/>
          <w:sz w:val="28"/>
          <w:szCs w:val="28"/>
        </w:rPr>
        <w:t>данной работы Фондом поддержки детей при поддержке Минтруда России в 2015 г</w:t>
      </w:r>
      <w:r w:rsidR="005750DB">
        <w:rPr>
          <w:rFonts w:ascii="Times New Roman" w:hAnsi="Times New Roman" w:cs="Times New Roman"/>
          <w:sz w:val="28"/>
          <w:szCs w:val="28"/>
        </w:rPr>
        <w:t>.</w:t>
      </w:r>
      <w:r w:rsidRPr="000848E9">
        <w:rPr>
          <w:rFonts w:ascii="Times New Roman" w:hAnsi="Times New Roman" w:cs="Times New Roman"/>
          <w:sz w:val="28"/>
          <w:szCs w:val="28"/>
        </w:rPr>
        <w:t xml:space="preserve"> на территории</w:t>
      </w:r>
      <w:r>
        <w:rPr>
          <w:rFonts w:ascii="Times New Roman" w:hAnsi="Times New Roman" w:cs="Times New Roman"/>
          <w:sz w:val="28"/>
          <w:szCs w:val="28"/>
        </w:rPr>
        <w:t xml:space="preserve"> </w:t>
      </w:r>
      <w:r w:rsidRPr="000848E9">
        <w:rPr>
          <w:rFonts w:ascii="Times New Roman" w:hAnsi="Times New Roman" w:cs="Times New Roman"/>
          <w:sz w:val="28"/>
          <w:szCs w:val="28"/>
        </w:rPr>
        <w:t>Астраханской, Калужской, Новгородской, Псковской, Тверской областей и города</w:t>
      </w:r>
      <w:r>
        <w:rPr>
          <w:rFonts w:ascii="Times New Roman" w:hAnsi="Times New Roman" w:cs="Times New Roman"/>
          <w:sz w:val="28"/>
          <w:szCs w:val="28"/>
        </w:rPr>
        <w:t xml:space="preserve"> </w:t>
      </w:r>
      <w:r w:rsidRPr="000848E9">
        <w:rPr>
          <w:rFonts w:ascii="Times New Roman" w:hAnsi="Times New Roman" w:cs="Times New Roman"/>
          <w:sz w:val="28"/>
          <w:szCs w:val="28"/>
        </w:rPr>
        <w:t>Москвы реализован пилотный проект по внедрению социального сопровождения</w:t>
      </w:r>
      <w:r>
        <w:rPr>
          <w:rFonts w:ascii="Times New Roman" w:hAnsi="Times New Roman" w:cs="Times New Roman"/>
          <w:sz w:val="28"/>
          <w:szCs w:val="28"/>
        </w:rPr>
        <w:t xml:space="preserve"> </w:t>
      </w:r>
      <w:r w:rsidRPr="000848E9">
        <w:rPr>
          <w:rFonts w:ascii="Times New Roman" w:hAnsi="Times New Roman" w:cs="Times New Roman"/>
          <w:sz w:val="28"/>
          <w:szCs w:val="28"/>
        </w:rPr>
        <w:t>семей с детьми (далее</w:t>
      </w:r>
      <w:r w:rsidR="001E5AB7">
        <w:rPr>
          <w:rFonts w:ascii="Times New Roman" w:hAnsi="Times New Roman" w:cs="Times New Roman"/>
          <w:sz w:val="28"/>
          <w:szCs w:val="28"/>
        </w:rPr>
        <w:t xml:space="preserve"> по тексту подраздела</w:t>
      </w:r>
      <w:r w:rsidRPr="000848E9">
        <w:rPr>
          <w:rFonts w:ascii="Times New Roman" w:hAnsi="Times New Roman" w:cs="Times New Roman"/>
          <w:sz w:val="28"/>
          <w:szCs w:val="28"/>
        </w:rPr>
        <w:t xml:space="preserve"> – пилотный проект).</w:t>
      </w:r>
    </w:p>
    <w:p w14:paraId="56695AB7" w14:textId="77777777" w:rsidR="008112F0" w:rsidRDefault="008112F0" w:rsidP="008112F0">
      <w:pPr>
        <w:tabs>
          <w:tab w:val="left" w:pos="993"/>
        </w:tabs>
        <w:autoSpaceDE w:val="0"/>
        <w:autoSpaceDN w:val="0"/>
        <w:adjustRightInd w:val="0"/>
        <w:spacing w:after="0" w:line="312" w:lineRule="auto"/>
        <w:ind w:firstLine="709"/>
        <w:jc w:val="both"/>
        <w:rPr>
          <w:rFonts w:ascii="Times New Roman" w:hAnsi="Times New Roman" w:cs="Times New Roman"/>
          <w:sz w:val="28"/>
          <w:szCs w:val="28"/>
        </w:rPr>
      </w:pPr>
      <w:r w:rsidRPr="00F228CC">
        <w:rPr>
          <w:rFonts w:ascii="Times New Roman" w:hAnsi="Times New Roman" w:cs="Times New Roman"/>
          <w:sz w:val="28"/>
          <w:szCs w:val="28"/>
        </w:rPr>
        <w:t>На первом этапе по результатам реализаци</w:t>
      </w:r>
      <w:r>
        <w:rPr>
          <w:rFonts w:ascii="Times New Roman" w:hAnsi="Times New Roman" w:cs="Times New Roman"/>
          <w:sz w:val="28"/>
          <w:szCs w:val="28"/>
        </w:rPr>
        <w:t xml:space="preserve">и пилотного проекта разработана </w:t>
      </w:r>
      <w:r w:rsidRPr="00F228CC">
        <w:rPr>
          <w:rFonts w:ascii="Times New Roman" w:hAnsi="Times New Roman" w:cs="Times New Roman"/>
          <w:sz w:val="28"/>
          <w:szCs w:val="28"/>
        </w:rPr>
        <w:t xml:space="preserve">модельная программа социального сопровождения семей с детьми (далее </w:t>
      </w:r>
      <w:r w:rsidR="001E5AB7">
        <w:rPr>
          <w:rFonts w:ascii="Times New Roman" w:hAnsi="Times New Roman" w:cs="Times New Roman"/>
          <w:sz w:val="28"/>
          <w:szCs w:val="28"/>
        </w:rPr>
        <w:t xml:space="preserve">по тексту подраздела </w:t>
      </w:r>
      <w:r w:rsidRPr="00F228CC">
        <w:rPr>
          <w:rFonts w:ascii="Times New Roman" w:hAnsi="Times New Roman" w:cs="Times New Roman"/>
          <w:sz w:val="28"/>
          <w:szCs w:val="28"/>
        </w:rPr>
        <w:t>– модельная</w:t>
      </w:r>
      <w:r>
        <w:rPr>
          <w:rFonts w:ascii="Times New Roman" w:hAnsi="Times New Roman" w:cs="Times New Roman"/>
          <w:sz w:val="28"/>
          <w:szCs w:val="28"/>
        </w:rPr>
        <w:t xml:space="preserve"> </w:t>
      </w:r>
      <w:r w:rsidRPr="00F228CC">
        <w:rPr>
          <w:rFonts w:ascii="Times New Roman" w:hAnsi="Times New Roman" w:cs="Times New Roman"/>
          <w:sz w:val="28"/>
          <w:szCs w:val="28"/>
        </w:rPr>
        <w:t>программа) и методический инструментарий для ее внедрения.</w:t>
      </w:r>
    </w:p>
    <w:p w14:paraId="22C9FACB" w14:textId="77777777" w:rsidR="008112F0" w:rsidRDefault="008112F0" w:rsidP="008112F0">
      <w:pPr>
        <w:tabs>
          <w:tab w:val="left" w:pos="993"/>
        </w:tabs>
        <w:autoSpaceDE w:val="0"/>
        <w:autoSpaceDN w:val="0"/>
        <w:adjustRightInd w:val="0"/>
        <w:spacing w:after="0" w:line="312" w:lineRule="auto"/>
        <w:ind w:firstLine="709"/>
        <w:jc w:val="both"/>
        <w:rPr>
          <w:rFonts w:ascii="Times New Roman" w:hAnsi="Times New Roman" w:cs="Times New Roman"/>
          <w:sz w:val="28"/>
          <w:szCs w:val="28"/>
        </w:rPr>
      </w:pPr>
      <w:r w:rsidRPr="00F228CC">
        <w:rPr>
          <w:rFonts w:ascii="Times New Roman" w:hAnsi="Times New Roman" w:cs="Times New Roman"/>
          <w:sz w:val="28"/>
          <w:szCs w:val="28"/>
        </w:rPr>
        <w:t>Модельная программа представляет соб</w:t>
      </w:r>
      <w:r>
        <w:rPr>
          <w:rFonts w:ascii="Times New Roman" w:hAnsi="Times New Roman" w:cs="Times New Roman"/>
          <w:sz w:val="28"/>
          <w:szCs w:val="28"/>
        </w:rPr>
        <w:t xml:space="preserve">ой шаблон механизма организации </w:t>
      </w:r>
      <w:r w:rsidRPr="00F228CC">
        <w:rPr>
          <w:rFonts w:ascii="Times New Roman" w:hAnsi="Times New Roman" w:cs="Times New Roman"/>
          <w:sz w:val="28"/>
          <w:szCs w:val="28"/>
        </w:rPr>
        <w:t xml:space="preserve">социального сопровождения семей с детьми в </w:t>
      </w:r>
      <w:r w:rsidR="001E5AB7">
        <w:rPr>
          <w:rFonts w:ascii="Times New Roman" w:hAnsi="Times New Roman" w:cs="Times New Roman"/>
          <w:sz w:val="28"/>
          <w:szCs w:val="28"/>
        </w:rPr>
        <w:t>субъекте</w:t>
      </w:r>
      <w:r w:rsidRPr="00F228CC">
        <w:rPr>
          <w:rFonts w:ascii="Times New Roman" w:hAnsi="Times New Roman" w:cs="Times New Roman"/>
          <w:sz w:val="28"/>
          <w:szCs w:val="28"/>
        </w:rPr>
        <w:t xml:space="preserve"> Российской Федерации и</w:t>
      </w:r>
      <w:r>
        <w:rPr>
          <w:rFonts w:ascii="Times New Roman" w:hAnsi="Times New Roman" w:cs="Times New Roman"/>
          <w:sz w:val="28"/>
          <w:szCs w:val="28"/>
        </w:rPr>
        <w:t xml:space="preserve"> </w:t>
      </w:r>
      <w:r w:rsidRPr="00F228CC">
        <w:rPr>
          <w:rFonts w:ascii="Times New Roman" w:hAnsi="Times New Roman" w:cs="Times New Roman"/>
          <w:sz w:val="28"/>
          <w:szCs w:val="28"/>
        </w:rPr>
        <w:t>включает в себя разделы, содержащие цели, задачи, принципы социального</w:t>
      </w:r>
      <w:r>
        <w:rPr>
          <w:rFonts w:ascii="Times New Roman" w:hAnsi="Times New Roman" w:cs="Times New Roman"/>
          <w:sz w:val="28"/>
          <w:szCs w:val="28"/>
        </w:rPr>
        <w:t xml:space="preserve"> </w:t>
      </w:r>
      <w:r w:rsidRPr="00F228CC">
        <w:rPr>
          <w:rFonts w:ascii="Times New Roman" w:hAnsi="Times New Roman" w:cs="Times New Roman"/>
          <w:sz w:val="28"/>
          <w:szCs w:val="28"/>
        </w:rPr>
        <w:t>сопровождения, категории семей с д</w:t>
      </w:r>
      <w:r>
        <w:rPr>
          <w:rFonts w:ascii="Times New Roman" w:hAnsi="Times New Roman" w:cs="Times New Roman"/>
          <w:sz w:val="28"/>
          <w:szCs w:val="28"/>
        </w:rPr>
        <w:t xml:space="preserve">етьми, нуждающихся в социальном </w:t>
      </w:r>
      <w:r w:rsidRPr="00F228CC">
        <w:rPr>
          <w:rFonts w:ascii="Times New Roman" w:hAnsi="Times New Roman" w:cs="Times New Roman"/>
          <w:sz w:val="28"/>
          <w:szCs w:val="28"/>
        </w:rPr>
        <w:t>сопровождении, организации, обеспечив</w:t>
      </w:r>
      <w:r>
        <w:rPr>
          <w:rFonts w:ascii="Times New Roman" w:hAnsi="Times New Roman" w:cs="Times New Roman"/>
          <w:sz w:val="28"/>
          <w:szCs w:val="28"/>
        </w:rPr>
        <w:t xml:space="preserve">ающие социальное сопровождение, </w:t>
      </w:r>
      <w:r w:rsidRPr="00F228CC">
        <w:rPr>
          <w:rFonts w:ascii="Times New Roman" w:hAnsi="Times New Roman" w:cs="Times New Roman"/>
          <w:sz w:val="28"/>
          <w:szCs w:val="28"/>
        </w:rPr>
        <w:t>межведомственную координацию, опред</w:t>
      </w:r>
      <w:r>
        <w:rPr>
          <w:rFonts w:ascii="Times New Roman" w:hAnsi="Times New Roman" w:cs="Times New Roman"/>
          <w:sz w:val="28"/>
          <w:szCs w:val="28"/>
        </w:rPr>
        <w:t xml:space="preserve">еление нуждаемости в социальном </w:t>
      </w:r>
      <w:r w:rsidRPr="00F228CC">
        <w:rPr>
          <w:rFonts w:ascii="Times New Roman" w:hAnsi="Times New Roman" w:cs="Times New Roman"/>
          <w:sz w:val="28"/>
          <w:szCs w:val="28"/>
        </w:rPr>
        <w:t>сопровождении, основные этапы, содержание и формы социального сопровождения,</w:t>
      </w:r>
      <w:r>
        <w:rPr>
          <w:rFonts w:ascii="Times New Roman" w:hAnsi="Times New Roman" w:cs="Times New Roman"/>
          <w:sz w:val="28"/>
          <w:szCs w:val="28"/>
        </w:rPr>
        <w:t xml:space="preserve"> </w:t>
      </w:r>
      <w:r w:rsidRPr="00F228CC">
        <w:rPr>
          <w:rFonts w:ascii="Times New Roman" w:hAnsi="Times New Roman" w:cs="Times New Roman"/>
          <w:sz w:val="28"/>
          <w:szCs w:val="28"/>
        </w:rPr>
        <w:t>контроль качества, основные целевые инди</w:t>
      </w:r>
      <w:r>
        <w:rPr>
          <w:rFonts w:ascii="Times New Roman" w:hAnsi="Times New Roman" w:cs="Times New Roman"/>
          <w:sz w:val="28"/>
          <w:szCs w:val="28"/>
        </w:rPr>
        <w:t xml:space="preserve">каторы и показатели результатов </w:t>
      </w:r>
      <w:r w:rsidRPr="00F228CC">
        <w:rPr>
          <w:rFonts w:ascii="Times New Roman" w:hAnsi="Times New Roman" w:cs="Times New Roman"/>
          <w:sz w:val="28"/>
          <w:szCs w:val="28"/>
        </w:rPr>
        <w:t>социального сопровождения, основные условия эффективного развития социального</w:t>
      </w:r>
      <w:r>
        <w:rPr>
          <w:rFonts w:ascii="Times New Roman" w:hAnsi="Times New Roman" w:cs="Times New Roman"/>
          <w:sz w:val="28"/>
          <w:szCs w:val="28"/>
        </w:rPr>
        <w:t xml:space="preserve"> </w:t>
      </w:r>
      <w:r w:rsidRPr="00F228CC">
        <w:rPr>
          <w:rFonts w:ascii="Times New Roman" w:hAnsi="Times New Roman" w:cs="Times New Roman"/>
          <w:sz w:val="28"/>
          <w:szCs w:val="28"/>
        </w:rPr>
        <w:t>сопровождения, а также его информационное, методиче</w:t>
      </w:r>
      <w:r>
        <w:rPr>
          <w:rFonts w:ascii="Times New Roman" w:hAnsi="Times New Roman" w:cs="Times New Roman"/>
          <w:sz w:val="28"/>
          <w:szCs w:val="28"/>
        </w:rPr>
        <w:t xml:space="preserve">ское и финансовое </w:t>
      </w:r>
      <w:r w:rsidRPr="00F228CC">
        <w:rPr>
          <w:rFonts w:ascii="Times New Roman" w:hAnsi="Times New Roman" w:cs="Times New Roman"/>
          <w:sz w:val="28"/>
          <w:szCs w:val="28"/>
        </w:rPr>
        <w:t>обеспечение.</w:t>
      </w:r>
    </w:p>
    <w:p w14:paraId="39A70F32" w14:textId="77777777" w:rsidR="008112F0" w:rsidRDefault="008112F0" w:rsidP="008112F0">
      <w:pPr>
        <w:tabs>
          <w:tab w:val="left" w:pos="993"/>
        </w:tabs>
        <w:autoSpaceDE w:val="0"/>
        <w:autoSpaceDN w:val="0"/>
        <w:adjustRightInd w:val="0"/>
        <w:spacing w:after="0" w:line="312" w:lineRule="auto"/>
        <w:ind w:firstLine="709"/>
        <w:jc w:val="both"/>
        <w:rPr>
          <w:rFonts w:ascii="Times New Roman" w:hAnsi="Times New Roman" w:cs="Times New Roman"/>
          <w:sz w:val="28"/>
          <w:szCs w:val="28"/>
        </w:rPr>
      </w:pPr>
      <w:r w:rsidRPr="00F228CC">
        <w:rPr>
          <w:rFonts w:ascii="Times New Roman" w:hAnsi="Times New Roman" w:cs="Times New Roman"/>
          <w:sz w:val="28"/>
          <w:szCs w:val="28"/>
        </w:rPr>
        <w:t>Модельная программа может быт</w:t>
      </w:r>
      <w:r>
        <w:rPr>
          <w:rFonts w:ascii="Times New Roman" w:hAnsi="Times New Roman" w:cs="Times New Roman"/>
          <w:sz w:val="28"/>
          <w:szCs w:val="28"/>
        </w:rPr>
        <w:t xml:space="preserve">ь апробирована и адаптирована к </w:t>
      </w:r>
      <w:r w:rsidRPr="00F228CC">
        <w:rPr>
          <w:rFonts w:ascii="Times New Roman" w:hAnsi="Times New Roman" w:cs="Times New Roman"/>
          <w:sz w:val="28"/>
          <w:szCs w:val="28"/>
        </w:rPr>
        <w:t>региональным условиям, допускает вариативность использованных технологий и</w:t>
      </w:r>
      <w:r>
        <w:rPr>
          <w:rFonts w:ascii="Times New Roman" w:hAnsi="Times New Roman" w:cs="Times New Roman"/>
          <w:sz w:val="28"/>
          <w:szCs w:val="28"/>
        </w:rPr>
        <w:t xml:space="preserve"> </w:t>
      </w:r>
      <w:r w:rsidRPr="00F228CC">
        <w:rPr>
          <w:rFonts w:ascii="Times New Roman" w:hAnsi="Times New Roman" w:cs="Times New Roman"/>
          <w:sz w:val="28"/>
          <w:szCs w:val="28"/>
        </w:rPr>
        <w:t>механизмов.</w:t>
      </w:r>
    </w:p>
    <w:p w14:paraId="58FEB5A6" w14:textId="77777777" w:rsidR="008112F0" w:rsidRDefault="008112F0" w:rsidP="008112F0">
      <w:pPr>
        <w:tabs>
          <w:tab w:val="left" w:pos="993"/>
        </w:tabs>
        <w:autoSpaceDE w:val="0"/>
        <w:autoSpaceDN w:val="0"/>
        <w:adjustRightInd w:val="0"/>
        <w:spacing w:after="0" w:line="312" w:lineRule="auto"/>
        <w:ind w:firstLine="709"/>
        <w:jc w:val="both"/>
        <w:rPr>
          <w:rFonts w:ascii="Times New Roman" w:hAnsi="Times New Roman" w:cs="Times New Roman"/>
          <w:sz w:val="28"/>
          <w:szCs w:val="28"/>
        </w:rPr>
      </w:pPr>
      <w:r w:rsidRPr="00F228CC">
        <w:rPr>
          <w:rFonts w:ascii="Times New Roman" w:hAnsi="Times New Roman" w:cs="Times New Roman"/>
          <w:sz w:val="28"/>
          <w:szCs w:val="28"/>
        </w:rPr>
        <w:t>На втором этапе Фондом</w:t>
      </w:r>
      <w:r w:rsidR="00C81E67" w:rsidRPr="00C81E67">
        <w:rPr>
          <w:rFonts w:ascii="Times New Roman" w:hAnsi="Times New Roman" w:cs="Times New Roman"/>
          <w:sz w:val="28"/>
          <w:szCs w:val="28"/>
        </w:rPr>
        <w:t xml:space="preserve"> </w:t>
      </w:r>
      <w:r w:rsidR="00C81E67">
        <w:rPr>
          <w:rFonts w:ascii="Times New Roman" w:hAnsi="Times New Roman" w:cs="Times New Roman"/>
          <w:sz w:val="28"/>
          <w:szCs w:val="28"/>
        </w:rPr>
        <w:t>поддержки детей</w:t>
      </w:r>
      <w:r w:rsidR="00C81E67" w:rsidRPr="00F228CC">
        <w:rPr>
          <w:rFonts w:ascii="Times New Roman" w:hAnsi="Times New Roman" w:cs="Times New Roman"/>
          <w:sz w:val="28"/>
          <w:szCs w:val="28"/>
        </w:rPr>
        <w:t xml:space="preserve"> </w:t>
      </w:r>
      <w:r w:rsidRPr="00F228CC">
        <w:rPr>
          <w:rFonts w:ascii="Times New Roman" w:hAnsi="Times New Roman" w:cs="Times New Roman"/>
          <w:sz w:val="28"/>
          <w:szCs w:val="28"/>
        </w:rPr>
        <w:t>осуществляется ти</w:t>
      </w:r>
      <w:r>
        <w:rPr>
          <w:rFonts w:ascii="Times New Roman" w:hAnsi="Times New Roman" w:cs="Times New Roman"/>
          <w:sz w:val="28"/>
          <w:szCs w:val="28"/>
        </w:rPr>
        <w:t xml:space="preserve">ражирование эффективных практик </w:t>
      </w:r>
      <w:r w:rsidRPr="00F228CC">
        <w:rPr>
          <w:rFonts w:ascii="Times New Roman" w:hAnsi="Times New Roman" w:cs="Times New Roman"/>
          <w:sz w:val="28"/>
          <w:szCs w:val="28"/>
        </w:rPr>
        <w:t>социального сопровождения семей с детьми на основе модельной программы. При</w:t>
      </w:r>
      <w:r>
        <w:rPr>
          <w:rFonts w:ascii="Times New Roman" w:hAnsi="Times New Roman" w:cs="Times New Roman"/>
          <w:sz w:val="28"/>
          <w:szCs w:val="28"/>
        </w:rPr>
        <w:t xml:space="preserve"> </w:t>
      </w:r>
      <w:r w:rsidRPr="00F228CC">
        <w:rPr>
          <w:rFonts w:ascii="Times New Roman" w:hAnsi="Times New Roman" w:cs="Times New Roman"/>
          <w:sz w:val="28"/>
          <w:szCs w:val="28"/>
        </w:rPr>
        <w:t xml:space="preserve">этом Фонд </w:t>
      </w:r>
      <w:r w:rsidR="00C81E67">
        <w:rPr>
          <w:rFonts w:ascii="Times New Roman" w:hAnsi="Times New Roman" w:cs="Times New Roman"/>
          <w:sz w:val="28"/>
          <w:szCs w:val="28"/>
        </w:rPr>
        <w:t>поддержки детей</w:t>
      </w:r>
      <w:r w:rsidR="00C81E67" w:rsidRPr="00F228CC">
        <w:rPr>
          <w:rFonts w:ascii="Times New Roman" w:hAnsi="Times New Roman" w:cs="Times New Roman"/>
          <w:sz w:val="28"/>
          <w:szCs w:val="28"/>
        </w:rPr>
        <w:t xml:space="preserve"> </w:t>
      </w:r>
      <w:r w:rsidRPr="00F228CC">
        <w:rPr>
          <w:rFonts w:ascii="Times New Roman" w:hAnsi="Times New Roman" w:cs="Times New Roman"/>
          <w:sz w:val="28"/>
          <w:szCs w:val="28"/>
        </w:rPr>
        <w:t>предоставляет гранты по результатам конкурсного отбора на реализацию</w:t>
      </w:r>
      <w:r>
        <w:rPr>
          <w:rFonts w:ascii="Times New Roman" w:hAnsi="Times New Roman" w:cs="Times New Roman"/>
          <w:sz w:val="28"/>
          <w:szCs w:val="28"/>
        </w:rPr>
        <w:t xml:space="preserve"> </w:t>
      </w:r>
      <w:r w:rsidRPr="00F228CC">
        <w:rPr>
          <w:rFonts w:ascii="Times New Roman" w:hAnsi="Times New Roman" w:cs="Times New Roman"/>
          <w:sz w:val="28"/>
          <w:szCs w:val="28"/>
        </w:rPr>
        <w:t>мероприятий программ и комплексов мер</w:t>
      </w:r>
      <w:r>
        <w:rPr>
          <w:rFonts w:ascii="Times New Roman" w:hAnsi="Times New Roman" w:cs="Times New Roman"/>
          <w:sz w:val="28"/>
          <w:szCs w:val="28"/>
        </w:rPr>
        <w:t xml:space="preserve"> субъектов Российской Федерации </w:t>
      </w:r>
      <w:r w:rsidRPr="00F228CC">
        <w:rPr>
          <w:rFonts w:ascii="Times New Roman" w:hAnsi="Times New Roman" w:cs="Times New Roman"/>
          <w:sz w:val="28"/>
          <w:szCs w:val="28"/>
        </w:rPr>
        <w:t>по приоритетным направлениям своей деятельности (поддержка жизненного</w:t>
      </w:r>
      <w:r w:rsidRPr="00F228CC">
        <w:t xml:space="preserve"> </w:t>
      </w:r>
      <w:r w:rsidRPr="00F228CC">
        <w:rPr>
          <w:rFonts w:ascii="Times New Roman" w:hAnsi="Times New Roman" w:cs="Times New Roman"/>
          <w:sz w:val="28"/>
          <w:szCs w:val="28"/>
        </w:rPr>
        <w:t>потенциала семей, воспитывающих детей с инвали</w:t>
      </w:r>
      <w:r>
        <w:rPr>
          <w:rFonts w:ascii="Times New Roman" w:hAnsi="Times New Roman" w:cs="Times New Roman"/>
          <w:sz w:val="28"/>
          <w:szCs w:val="28"/>
        </w:rPr>
        <w:t xml:space="preserve">дностью; оказание помощи детям, </w:t>
      </w:r>
      <w:r w:rsidRPr="00F228CC">
        <w:rPr>
          <w:rFonts w:ascii="Times New Roman" w:hAnsi="Times New Roman" w:cs="Times New Roman"/>
          <w:sz w:val="28"/>
          <w:szCs w:val="28"/>
        </w:rPr>
        <w:t>пострадавшим от жестокого обращения, обеспечение безопасности детей; развитие</w:t>
      </w:r>
      <w:r>
        <w:rPr>
          <w:rFonts w:ascii="Times New Roman" w:hAnsi="Times New Roman" w:cs="Times New Roman"/>
          <w:sz w:val="28"/>
          <w:szCs w:val="28"/>
        </w:rPr>
        <w:t xml:space="preserve"> </w:t>
      </w:r>
      <w:r w:rsidRPr="00F228CC">
        <w:rPr>
          <w:rFonts w:ascii="Times New Roman" w:hAnsi="Times New Roman" w:cs="Times New Roman"/>
          <w:sz w:val="28"/>
          <w:szCs w:val="28"/>
        </w:rPr>
        <w:t>социальной поддержки семей с низким уровнем дохода).</w:t>
      </w:r>
    </w:p>
    <w:p w14:paraId="3E8B7BE5" w14:textId="77777777" w:rsidR="008112F0" w:rsidRDefault="008112F0" w:rsidP="008112F0">
      <w:pPr>
        <w:tabs>
          <w:tab w:val="left" w:pos="993"/>
        </w:tabs>
        <w:autoSpaceDE w:val="0"/>
        <w:autoSpaceDN w:val="0"/>
        <w:adjustRightInd w:val="0"/>
        <w:spacing w:after="0" w:line="312" w:lineRule="auto"/>
        <w:ind w:firstLine="709"/>
        <w:jc w:val="both"/>
        <w:rPr>
          <w:rFonts w:ascii="Times New Roman" w:hAnsi="Times New Roman" w:cs="Times New Roman"/>
          <w:sz w:val="28"/>
          <w:szCs w:val="28"/>
        </w:rPr>
      </w:pPr>
      <w:r w:rsidRPr="00F228CC">
        <w:rPr>
          <w:rFonts w:ascii="Times New Roman" w:hAnsi="Times New Roman" w:cs="Times New Roman"/>
          <w:sz w:val="28"/>
          <w:szCs w:val="28"/>
        </w:rPr>
        <w:t xml:space="preserve">Так, в </w:t>
      </w:r>
      <w:r w:rsidR="001E5AB7">
        <w:rPr>
          <w:rFonts w:ascii="Times New Roman" w:hAnsi="Times New Roman" w:cs="Times New Roman"/>
          <w:sz w:val="28"/>
          <w:szCs w:val="28"/>
        </w:rPr>
        <w:t xml:space="preserve">период </w:t>
      </w:r>
      <w:r w:rsidRPr="00F228CC">
        <w:rPr>
          <w:rFonts w:ascii="Times New Roman" w:hAnsi="Times New Roman" w:cs="Times New Roman"/>
          <w:sz w:val="28"/>
          <w:szCs w:val="28"/>
        </w:rPr>
        <w:t>2016</w:t>
      </w:r>
      <w:r w:rsidR="00495D26">
        <w:rPr>
          <w:rFonts w:ascii="Times New Roman" w:hAnsi="Times New Roman" w:cs="Times New Roman"/>
          <w:sz w:val="28"/>
          <w:szCs w:val="28"/>
        </w:rPr>
        <w:t>-</w:t>
      </w:r>
      <w:r w:rsidRPr="00F228CC">
        <w:rPr>
          <w:rFonts w:ascii="Times New Roman" w:hAnsi="Times New Roman" w:cs="Times New Roman"/>
          <w:sz w:val="28"/>
          <w:szCs w:val="28"/>
        </w:rPr>
        <w:t xml:space="preserve">2019 гг. </w:t>
      </w:r>
      <w:proofErr w:type="spellStart"/>
      <w:r w:rsidRPr="00F228CC">
        <w:rPr>
          <w:rFonts w:ascii="Times New Roman" w:hAnsi="Times New Roman" w:cs="Times New Roman"/>
          <w:sz w:val="28"/>
          <w:szCs w:val="28"/>
        </w:rPr>
        <w:t>грантовая</w:t>
      </w:r>
      <w:proofErr w:type="spellEnd"/>
      <w:r w:rsidRPr="00F228CC">
        <w:rPr>
          <w:rFonts w:ascii="Times New Roman" w:hAnsi="Times New Roman" w:cs="Times New Roman"/>
          <w:sz w:val="28"/>
          <w:szCs w:val="28"/>
        </w:rPr>
        <w:t xml:space="preserve"> поддержка </w:t>
      </w:r>
      <w:r w:rsidR="001E5AB7">
        <w:rPr>
          <w:rFonts w:ascii="Times New Roman" w:hAnsi="Times New Roman" w:cs="Times New Roman"/>
          <w:sz w:val="28"/>
          <w:szCs w:val="28"/>
        </w:rPr>
        <w:t xml:space="preserve">была </w:t>
      </w:r>
      <w:r>
        <w:rPr>
          <w:rFonts w:ascii="Times New Roman" w:hAnsi="Times New Roman" w:cs="Times New Roman"/>
          <w:sz w:val="28"/>
          <w:szCs w:val="28"/>
        </w:rPr>
        <w:t xml:space="preserve">оказана 33 субъектам Российской </w:t>
      </w:r>
      <w:r w:rsidRPr="00F228CC">
        <w:rPr>
          <w:rFonts w:ascii="Times New Roman" w:hAnsi="Times New Roman" w:cs="Times New Roman"/>
          <w:sz w:val="28"/>
          <w:szCs w:val="28"/>
        </w:rPr>
        <w:t>Федерации на реализацию комплексов мер субъектов, содержащих мероприятия по</w:t>
      </w:r>
      <w:r>
        <w:rPr>
          <w:rFonts w:ascii="Times New Roman" w:hAnsi="Times New Roman" w:cs="Times New Roman"/>
          <w:sz w:val="28"/>
          <w:szCs w:val="28"/>
        </w:rPr>
        <w:t xml:space="preserve"> </w:t>
      </w:r>
      <w:r w:rsidRPr="00F228CC">
        <w:rPr>
          <w:rFonts w:ascii="Times New Roman" w:hAnsi="Times New Roman" w:cs="Times New Roman"/>
          <w:sz w:val="28"/>
          <w:szCs w:val="28"/>
        </w:rPr>
        <w:t>социальному сопровождению (республикам</w:t>
      </w:r>
      <w:r>
        <w:rPr>
          <w:rFonts w:ascii="Times New Roman" w:hAnsi="Times New Roman" w:cs="Times New Roman"/>
          <w:sz w:val="28"/>
          <w:szCs w:val="28"/>
        </w:rPr>
        <w:t xml:space="preserve"> Алтай, Северная Осетия-Алания, </w:t>
      </w:r>
      <w:r w:rsidRPr="00F228CC">
        <w:rPr>
          <w:rFonts w:ascii="Times New Roman" w:hAnsi="Times New Roman" w:cs="Times New Roman"/>
          <w:sz w:val="28"/>
          <w:szCs w:val="28"/>
        </w:rPr>
        <w:t>Татарстан, Тыва, Чеченской и Чув</w:t>
      </w:r>
      <w:r>
        <w:rPr>
          <w:rFonts w:ascii="Times New Roman" w:hAnsi="Times New Roman" w:cs="Times New Roman"/>
          <w:sz w:val="28"/>
          <w:szCs w:val="28"/>
        </w:rPr>
        <w:t xml:space="preserve">ашской республикам, Алтайскому, </w:t>
      </w:r>
      <w:r w:rsidRPr="00F228CC">
        <w:rPr>
          <w:rFonts w:ascii="Times New Roman" w:hAnsi="Times New Roman" w:cs="Times New Roman"/>
          <w:sz w:val="28"/>
          <w:szCs w:val="28"/>
        </w:rPr>
        <w:t>Забайкальскому, Камчатскому, Краснодарскому, Ставропольскому, Пермскому и</w:t>
      </w:r>
      <w:r>
        <w:rPr>
          <w:rFonts w:ascii="Times New Roman" w:hAnsi="Times New Roman" w:cs="Times New Roman"/>
          <w:sz w:val="28"/>
          <w:szCs w:val="28"/>
        </w:rPr>
        <w:t xml:space="preserve"> </w:t>
      </w:r>
      <w:r w:rsidRPr="00F228CC">
        <w:rPr>
          <w:rFonts w:ascii="Times New Roman" w:hAnsi="Times New Roman" w:cs="Times New Roman"/>
          <w:sz w:val="28"/>
          <w:szCs w:val="28"/>
        </w:rPr>
        <w:t>Приморскому краям, Архангельской, Волгогр</w:t>
      </w:r>
      <w:r>
        <w:rPr>
          <w:rFonts w:ascii="Times New Roman" w:hAnsi="Times New Roman" w:cs="Times New Roman"/>
          <w:sz w:val="28"/>
          <w:szCs w:val="28"/>
        </w:rPr>
        <w:t xml:space="preserve">адской, Вологодской, Иркутской, </w:t>
      </w:r>
      <w:r w:rsidRPr="00F228CC">
        <w:rPr>
          <w:rFonts w:ascii="Times New Roman" w:hAnsi="Times New Roman" w:cs="Times New Roman"/>
          <w:sz w:val="28"/>
          <w:szCs w:val="28"/>
        </w:rPr>
        <w:t>Курганской, Ленинградской, Мурманской, Нижего</w:t>
      </w:r>
      <w:r>
        <w:rPr>
          <w:rFonts w:ascii="Times New Roman" w:hAnsi="Times New Roman" w:cs="Times New Roman"/>
          <w:sz w:val="28"/>
          <w:szCs w:val="28"/>
        </w:rPr>
        <w:t xml:space="preserve">родской, Новосибирской, </w:t>
      </w:r>
      <w:r w:rsidRPr="00F228CC">
        <w:rPr>
          <w:rFonts w:ascii="Times New Roman" w:hAnsi="Times New Roman" w:cs="Times New Roman"/>
          <w:sz w:val="28"/>
          <w:szCs w:val="28"/>
        </w:rPr>
        <w:t>Ростовской, Саратовской, Оренбургской, Орл</w:t>
      </w:r>
      <w:r>
        <w:rPr>
          <w:rFonts w:ascii="Times New Roman" w:hAnsi="Times New Roman" w:cs="Times New Roman"/>
          <w:sz w:val="28"/>
          <w:szCs w:val="28"/>
        </w:rPr>
        <w:t xml:space="preserve">овской, Пензенской, Смоленской, </w:t>
      </w:r>
      <w:r w:rsidRPr="00F228CC">
        <w:rPr>
          <w:rFonts w:ascii="Times New Roman" w:hAnsi="Times New Roman" w:cs="Times New Roman"/>
          <w:sz w:val="28"/>
          <w:szCs w:val="28"/>
        </w:rPr>
        <w:t>Тамбовской, Тульской, Тюменской и Челябинской областям, Ханты-Мансийскому</w:t>
      </w:r>
      <w:r>
        <w:rPr>
          <w:rFonts w:ascii="Times New Roman" w:hAnsi="Times New Roman" w:cs="Times New Roman"/>
          <w:sz w:val="28"/>
          <w:szCs w:val="28"/>
        </w:rPr>
        <w:t xml:space="preserve"> </w:t>
      </w:r>
      <w:r w:rsidRPr="00F228CC">
        <w:rPr>
          <w:rFonts w:ascii="Times New Roman" w:hAnsi="Times New Roman" w:cs="Times New Roman"/>
          <w:sz w:val="28"/>
          <w:szCs w:val="28"/>
        </w:rPr>
        <w:t>автономному округу – Югре).</w:t>
      </w:r>
    </w:p>
    <w:p w14:paraId="081CCAD3" w14:textId="221E8EED" w:rsidR="008112F0" w:rsidRDefault="008112F0" w:rsidP="008112F0">
      <w:pPr>
        <w:tabs>
          <w:tab w:val="left" w:pos="993"/>
        </w:tabs>
        <w:autoSpaceDE w:val="0"/>
        <w:autoSpaceDN w:val="0"/>
        <w:adjustRightInd w:val="0"/>
        <w:spacing w:after="0" w:line="312" w:lineRule="auto"/>
        <w:ind w:firstLine="709"/>
        <w:jc w:val="both"/>
        <w:rPr>
          <w:rFonts w:ascii="Times New Roman" w:hAnsi="Times New Roman" w:cs="Times New Roman"/>
          <w:sz w:val="28"/>
          <w:szCs w:val="28"/>
        </w:rPr>
      </w:pPr>
      <w:r w:rsidRPr="00F228CC">
        <w:rPr>
          <w:rFonts w:ascii="Times New Roman" w:hAnsi="Times New Roman" w:cs="Times New Roman"/>
          <w:sz w:val="28"/>
          <w:szCs w:val="28"/>
        </w:rPr>
        <w:t>В рамках программ социального сопровождения помощь получи</w:t>
      </w:r>
      <w:r>
        <w:rPr>
          <w:rFonts w:ascii="Times New Roman" w:hAnsi="Times New Roman" w:cs="Times New Roman"/>
          <w:sz w:val="28"/>
          <w:szCs w:val="28"/>
        </w:rPr>
        <w:t xml:space="preserve">ли более </w:t>
      </w:r>
      <w:r w:rsidR="001E5AB7">
        <w:rPr>
          <w:rFonts w:ascii="Times New Roman" w:hAnsi="Times New Roman" w:cs="Times New Roman"/>
          <w:sz w:val="28"/>
          <w:szCs w:val="28"/>
        </w:rPr>
        <w:br/>
      </w:r>
      <w:r>
        <w:rPr>
          <w:rFonts w:ascii="Times New Roman" w:hAnsi="Times New Roman" w:cs="Times New Roman"/>
          <w:sz w:val="28"/>
          <w:szCs w:val="28"/>
        </w:rPr>
        <w:t xml:space="preserve">223 </w:t>
      </w:r>
      <w:r w:rsidRPr="00F228CC">
        <w:rPr>
          <w:rFonts w:ascii="Times New Roman" w:hAnsi="Times New Roman" w:cs="Times New Roman"/>
          <w:sz w:val="28"/>
          <w:szCs w:val="28"/>
        </w:rPr>
        <w:t>тыс. семей с детьми, находящихся в трудной жизненной ситуации, в том числе: 37,6</w:t>
      </w:r>
      <w:r>
        <w:rPr>
          <w:rFonts w:ascii="Times New Roman" w:hAnsi="Times New Roman" w:cs="Times New Roman"/>
          <w:sz w:val="28"/>
          <w:szCs w:val="28"/>
        </w:rPr>
        <w:t xml:space="preserve"> </w:t>
      </w:r>
      <w:r w:rsidRPr="00F228CC">
        <w:rPr>
          <w:rFonts w:ascii="Times New Roman" w:hAnsi="Times New Roman" w:cs="Times New Roman"/>
          <w:sz w:val="28"/>
          <w:szCs w:val="28"/>
        </w:rPr>
        <w:t>тыс. замещающих семей; 36 тыс. семей, воспитывающих детей</w:t>
      </w:r>
      <w:r w:rsidR="003B77D7" w:rsidRPr="003B77D7">
        <w:rPr>
          <w:rFonts w:ascii="Times New Roman" w:eastAsia="Times New Roman" w:hAnsi="Times New Roman" w:cs="Times New Roman"/>
          <w:sz w:val="28"/>
          <w:szCs w:val="28"/>
          <w:lang w:eastAsia="ru-RU"/>
        </w:rPr>
        <w:t xml:space="preserve"> </w:t>
      </w:r>
      <w:r w:rsidR="003B77D7">
        <w:rPr>
          <w:rFonts w:ascii="Times New Roman" w:eastAsia="Times New Roman" w:hAnsi="Times New Roman" w:cs="Times New Roman"/>
          <w:sz w:val="28"/>
          <w:szCs w:val="28"/>
          <w:lang w:eastAsia="ru-RU"/>
        </w:rPr>
        <w:t>с инвалидностью</w:t>
      </w:r>
      <w:r w:rsidR="003B77D7" w:rsidRPr="00F228CC" w:rsidDel="003B77D7">
        <w:rPr>
          <w:rFonts w:ascii="Times New Roman" w:hAnsi="Times New Roman" w:cs="Times New Roman"/>
          <w:sz w:val="28"/>
          <w:szCs w:val="28"/>
        </w:rPr>
        <w:t xml:space="preserve"> </w:t>
      </w:r>
      <w:r w:rsidRPr="00F228CC">
        <w:rPr>
          <w:rFonts w:ascii="Times New Roman" w:hAnsi="Times New Roman" w:cs="Times New Roman"/>
          <w:sz w:val="28"/>
          <w:szCs w:val="28"/>
        </w:rPr>
        <w:t>и детей с</w:t>
      </w:r>
      <w:r>
        <w:rPr>
          <w:rFonts w:ascii="Times New Roman" w:hAnsi="Times New Roman" w:cs="Times New Roman"/>
          <w:sz w:val="28"/>
          <w:szCs w:val="28"/>
        </w:rPr>
        <w:t xml:space="preserve"> </w:t>
      </w:r>
      <w:r w:rsidR="001E5AB7">
        <w:rPr>
          <w:rFonts w:ascii="Times New Roman" w:hAnsi="Times New Roman" w:cs="Times New Roman"/>
          <w:sz w:val="28"/>
          <w:szCs w:val="28"/>
        </w:rPr>
        <w:t>ОВЗ</w:t>
      </w:r>
      <w:r w:rsidRPr="00F228CC">
        <w:rPr>
          <w:rFonts w:ascii="Times New Roman" w:hAnsi="Times New Roman" w:cs="Times New Roman"/>
          <w:sz w:val="28"/>
          <w:szCs w:val="28"/>
        </w:rPr>
        <w:t>; 53 тыс. многодетных семей; около 57 тыс.</w:t>
      </w:r>
      <w:r>
        <w:rPr>
          <w:rFonts w:ascii="Times New Roman" w:hAnsi="Times New Roman" w:cs="Times New Roman"/>
          <w:sz w:val="28"/>
          <w:szCs w:val="28"/>
        </w:rPr>
        <w:t xml:space="preserve"> </w:t>
      </w:r>
      <w:r w:rsidRPr="00F228CC">
        <w:rPr>
          <w:rFonts w:ascii="Times New Roman" w:hAnsi="Times New Roman" w:cs="Times New Roman"/>
          <w:sz w:val="28"/>
          <w:szCs w:val="28"/>
        </w:rPr>
        <w:t>семей с одним родителем, воспитывающих нес</w:t>
      </w:r>
      <w:r>
        <w:rPr>
          <w:rFonts w:ascii="Times New Roman" w:hAnsi="Times New Roman" w:cs="Times New Roman"/>
          <w:sz w:val="28"/>
          <w:szCs w:val="28"/>
        </w:rPr>
        <w:t xml:space="preserve">овершеннолетних детей; 9,4 тыс. </w:t>
      </w:r>
      <w:r w:rsidRPr="00F228CC">
        <w:rPr>
          <w:rFonts w:ascii="Times New Roman" w:hAnsi="Times New Roman" w:cs="Times New Roman"/>
          <w:sz w:val="28"/>
          <w:szCs w:val="28"/>
        </w:rPr>
        <w:t xml:space="preserve">семей, воспитывающих детей, вступивших в </w:t>
      </w:r>
      <w:r>
        <w:rPr>
          <w:rFonts w:ascii="Times New Roman" w:hAnsi="Times New Roman" w:cs="Times New Roman"/>
          <w:sz w:val="28"/>
          <w:szCs w:val="28"/>
        </w:rPr>
        <w:t xml:space="preserve">конфликт с законом; 697 семей с </w:t>
      </w:r>
      <w:r w:rsidRPr="00F228CC">
        <w:rPr>
          <w:rFonts w:ascii="Times New Roman" w:hAnsi="Times New Roman" w:cs="Times New Roman"/>
          <w:sz w:val="28"/>
          <w:szCs w:val="28"/>
        </w:rPr>
        <w:t>несовершеннолетними родителями (родителем); 1,2 тыс. матерей с новорожденными</w:t>
      </w:r>
      <w:r>
        <w:rPr>
          <w:rFonts w:ascii="Times New Roman" w:hAnsi="Times New Roman" w:cs="Times New Roman"/>
          <w:sz w:val="28"/>
          <w:szCs w:val="28"/>
        </w:rPr>
        <w:t xml:space="preserve"> </w:t>
      </w:r>
      <w:r w:rsidRPr="00F228CC">
        <w:rPr>
          <w:rFonts w:ascii="Times New Roman" w:hAnsi="Times New Roman" w:cs="Times New Roman"/>
          <w:sz w:val="28"/>
          <w:szCs w:val="28"/>
        </w:rPr>
        <w:t>детьми, имеющих намерение отказаться от реб</w:t>
      </w:r>
      <w:r>
        <w:rPr>
          <w:rFonts w:ascii="Times New Roman" w:hAnsi="Times New Roman" w:cs="Times New Roman"/>
          <w:sz w:val="28"/>
          <w:szCs w:val="28"/>
        </w:rPr>
        <w:t xml:space="preserve">енка; </w:t>
      </w:r>
      <w:r w:rsidR="001E5AB7">
        <w:rPr>
          <w:rFonts w:ascii="Times New Roman" w:hAnsi="Times New Roman" w:cs="Times New Roman"/>
          <w:sz w:val="28"/>
          <w:szCs w:val="28"/>
        </w:rPr>
        <w:t>а также</w:t>
      </w:r>
      <w:r>
        <w:rPr>
          <w:rFonts w:ascii="Times New Roman" w:hAnsi="Times New Roman" w:cs="Times New Roman"/>
          <w:sz w:val="28"/>
          <w:szCs w:val="28"/>
        </w:rPr>
        <w:t xml:space="preserve"> другие категории семей, </w:t>
      </w:r>
      <w:r w:rsidRPr="00F228CC">
        <w:rPr>
          <w:rFonts w:ascii="Times New Roman" w:hAnsi="Times New Roman" w:cs="Times New Roman"/>
          <w:sz w:val="28"/>
          <w:szCs w:val="28"/>
        </w:rPr>
        <w:t xml:space="preserve">нуждающиеся в социальной поддержке. Около </w:t>
      </w:r>
      <w:bookmarkStart w:id="10" w:name="_GoBack"/>
      <w:r w:rsidRPr="00F228CC">
        <w:rPr>
          <w:rFonts w:ascii="Times New Roman" w:hAnsi="Times New Roman" w:cs="Times New Roman"/>
          <w:sz w:val="28"/>
          <w:szCs w:val="28"/>
        </w:rPr>
        <w:t>43%</w:t>
      </w:r>
      <w:bookmarkEnd w:id="10"/>
      <w:r w:rsidRPr="00F228CC">
        <w:rPr>
          <w:rFonts w:ascii="Times New Roman" w:hAnsi="Times New Roman" w:cs="Times New Roman"/>
          <w:sz w:val="28"/>
          <w:szCs w:val="28"/>
        </w:rPr>
        <w:t xml:space="preserve"> семей с детьми от общего числа</w:t>
      </w:r>
      <w:r>
        <w:rPr>
          <w:rFonts w:ascii="Times New Roman" w:hAnsi="Times New Roman" w:cs="Times New Roman"/>
          <w:sz w:val="28"/>
          <w:szCs w:val="28"/>
        </w:rPr>
        <w:t xml:space="preserve"> </w:t>
      </w:r>
      <w:r w:rsidRPr="00F228CC">
        <w:rPr>
          <w:rFonts w:ascii="Times New Roman" w:hAnsi="Times New Roman" w:cs="Times New Roman"/>
          <w:sz w:val="28"/>
          <w:szCs w:val="28"/>
        </w:rPr>
        <w:t>семей, находящихся на социальном сопровождении, смогли преодолеть трудную</w:t>
      </w:r>
      <w:r>
        <w:rPr>
          <w:rFonts w:ascii="Times New Roman" w:hAnsi="Times New Roman" w:cs="Times New Roman"/>
          <w:sz w:val="28"/>
          <w:szCs w:val="28"/>
        </w:rPr>
        <w:t xml:space="preserve"> </w:t>
      </w:r>
      <w:r w:rsidRPr="00F228CC">
        <w:rPr>
          <w:rFonts w:ascii="Times New Roman" w:hAnsi="Times New Roman" w:cs="Times New Roman"/>
          <w:sz w:val="28"/>
          <w:szCs w:val="28"/>
        </w:rPr>
        <w:t>жизненную ситуацию.</w:t>
      </w:r>
    </w:p>
    <w:p w14:paraId="539DB0D5" w14:textId="19DAE700" w:rsidR="008112F0" w:rsidRDefault="008112F0" w:rsidP="008112F0">
      <w:pPr>
        <w:tabs>
          <w:tab w:val="left" w:pos="993"/>
        </w:tabs>
        <w:autoSpaceDE w:val="0"/>
        <w:autoSpaceDN w:val="0"/>
        <w:adjustRightInd w:val="0"/>
        <w:spacing w:after="0" w:line="312" w:lineRule="auto"/>
        <w:ind w:firstLine="709"/>
        <w:jc w:val="both"/>
        <w:rPr>
          <w:rFonts w:ascii="Times New Roman" w:hAnsi="Times New Roman" w:cs="Times New Roman"/>
          <w:sz w:val="28"/>
          <w:szCs w:val="28"/>
        </w:rPr>
      </w:pPr>
      <w:r w:rsidRPr="00F228CC">
        <w:rPr>
          <w:rFonts w:ascii="Times New Roman" w:hAnsi="Times New Roman" w:cs="Times New Roman"/>
          <w:sz w:val="28"/>
          <w:szCs w:val="28"/>
        </w:rPr>
        <w:t>С 2020 г</w:t>
      </w:r>
      <w:r w:rsidR="00495D26">
        <w:rPr>
          <w:rFonts w:ascii="Times New Roman" w:hAnsi="Times New Roman" w:cs="Times New Roman"/>
          <w:sz w:val="28"/>
          <w:szCs w:val="28"/>
        </w:rPr>
        <w:t>.</w:t>
      </w:r>
      <w:r w:rsidRPr="00F228CC">
        <w:rPr>
          <w:rFonts w:ascii="Times New Roman" w:hAnsi="Times New Roman" w:cs="Times New Roman"/>
          <w:sz w:val="28"/>
          <w:szCs w:val="28"/>
        </w:rPr>
        <w:t xml:space="preserve"> мероприятия по развитию социального сопровождения семей с</w:t>
      </w:r>
      <w:r>
        <w:rPr>
          <w:rFonts w:ascii="Times New Roman" w:hAnsi="Times New Roman" w:cs="Times New Roman"/>
          <w:sz w:val="28"/>
          <w:szCs w:val="28"/>
        </w:rPr>
        <w:t xml:space="preserve"> </w:t>
      </w:r>
      <w:r w:rsidRPr="00F228CC">
        <w:rPr>
          <w:rFonts w:ascii="Times New Roman" w:hAnsi="Times New Roman" w:cs="Times New Roman"/>
          <w:sz w:val="28"/>
          <w:szCs w:val="28"/>
        </w:rPr>
        <w:t>детьми входят во все региональные комплексы</w:t>
      </w:r>
      <w:r>
        <w:rPr>
          <w:rFonts w:ascii="Times New Roman" w:hAnsi="Times New Roman" w:cs="Times New Roman"/>
          <w:sz w:val="28"/>
          <w:szCs w:val="28"/>
        </w:rPr>
        <w:t xml:space="preserve"> мер, реализуемы</w:t>
      </w:r>
      <w:r w:rsidR="00F95848">
        <w:rPr>
          <w:rFonts w:ascii="Times New Roman" w:hAnsi="Times New Roman" w:cs="Times New Roman"/>
          <w:sz w:val="28"/>
          <w:szCs w:val="28"/>
        </w:rPr>
        <w:t>е</w:t>
      </w:r>
      <w:r>
        <w:rPr>
          <w:rFonts w:ascii="Times New Roman" w:hAnsi="Times New Roman" w:cs="Times New Roman"/>
          <w:sz w:val="28"/>
          <w:szCs w:val="28"/>
        </w:rPr>
        <w:t xml:space="preserve"> при грантовой </w:t>
      </w:r>
      <w:r w:rsidRPr="00F228CC">
        <w:rPr>
          <w:rFonts w:ascii="Times New Roman" w:hAnsi="Times New Roman" w:cs="Times New Roman"/>
          <w:sz w:val="28"/>
          <w:szCs w:val="28"/>
        </w:rPr>
        <w:t>поддержке Фонда</w:t>
      </w:r>
      <w:r w:rsidR="00C81E67">
        <w:rPr>
          <w:rFonts w:ascii="Times New Roman" w:hAnsi="Times New Roman" w:cs="Times New Roman"/>
          <w:sz w:val="28"/>
          <w:szCs w:val="28"/>
        </w:rPr>
        <w:t xml:space="preserve"> поддержки детей</w:t>
      </w:r>
      <w:r w:rsidRPr="00F228CC">
        <w:rPr>
          <w:rFonts w:ascii="Times New Roman" w:hAnsi="Times New Roman" w:cs="Times New Roman"/>
          <w:sz w:val="28"/>
          <w:szCs w:val="28"/>
        </w:rPr>
        <w:t>.</w:t>
      </w:r>
    </w:p>
    <w:p w14:paraId="6395AD59" w14:textId="77777777" w:rsidR="008112F0" w:rsidRPr="00193A1D" w:rsidRDefault="008112F0" w:rsidP="008112F0">
      <w:pPr>
        <w:tabs>
          <w:tab w:val="left" w:pos="993"/>
        </w:tabs>
        <w:autoSpaceDE w:val="0"/>
        <w:autoSpaceDN w:val="0"/>
        <w:adjustRightInd w:val="0"/>
        <w:spacing w:after="0" w:line="312" w:lineRule="auto"/>
        <w:ind w:firstLine="709"/>
        <w:jc w:val="both"/>
        <w:rPr>
          <w:rFonts w:ascii="Times New Roman" w:hAnsi="Times New Roman" w:cs="Times New Roman"/>
          <w:sz w:val="28"/>
          <w:szCs w:val="28"/>
        </w:rPr>
      </w:pPr>
      <w:r w:rsidRPr="00F228CC">
        <w:rPr>
          <w:rFonts w:ascii="Times New Roman" w:hAnsi="Times New Roman" w:cs="Times New Roman"/>
          <w:sz w:val="28"/>
          <w:szCs w:val="28"/>
        </w:rPr>
        <w:t>В настоящее время проводится мониторинг ре</w:t>
      </w:r>
      <w:r>
        <w:rPr>
          <w:rFonts w:ascii="Times New Roman" w:hAnsi="Times New Roman" w:cs="Times New Roman"/>
          <w:sz w:val="28"/>
          <w:szCs w:val="28"/>
        </w:rPr>
        <w:t xml:space="preserve">ализации данных мероприятий, по </w:t>
      </w:r>
      <w:r w:rsidRPr="00F228CC">
        <w:rPr>
          <w:rFonts w:ascii="Times New Roman" w:hAnsi="Times New Roman" w:cs="Times New Roman"/>
          <w:sz w:val="28"/>
          <w:szCs w:val="28"/>
        </w:rPr>
        <w:t>результатам которого модельная программа будет доработана, утверждена приказом</w:t>
      </w:r>
      <w:r>
        <w:rPr>
          <w:rFonts w:ascii="Times New Roman" w:hAnsi="Times New Roman" w:cs="Times New Roman"/>
          <w:sz w:val="28"/>
          <w:szCs w:val="28"/>
        </w:rPr>
        <w:t xml:space="preserve"> </w:t>
      </w:r>
      <w:r w:rsidRPr="00F228CC">
        <w:rPr>
          <w:rFonts w:ascii="Times New Roman" w:hAnsi="Times New Roman" w:cs="Times New Roman"/>
          <w:sz w:val="28"/>
          <w:szCs w:val="28"/>
        </w:rPr>
        <w:t xml:space="preserve">Минтруда России и направлена органам </w:t>
      </w:r>
      <w:r>
        <w:rPr>
          <w:rFonts w:ascii="Times New Roman" w:hAnsi="Times New Roman" w:cs="Times New Roman"/>
          <w:sz w:val="28"/>
          <w:szCs w:val="28"/>
        </w:rPr>
        <w:t xml:space="preserve">исполнительной власти субъектов </w:t>
      </w:r>
      <w:r w:rsidRPr="00F228CC">
        <w:rPr>
          <w:rFonts w:ascii="Times New Roman" w:hAnsi="Times New Roman" w:cs="Times New Roman"/>
          <w:sz w:val="28"/>
          <w:szCs w:val="28"/>
        </w:rPr>
        <w:t>Российской Федерации для организации дальнейшей работы.</w:t>
      </w:r>
    </w:p>
    <w:p w14:paraId="00282499" w14:textId="77777777" w:rsidR="008112F0" w:rsidRPr="00EC767E" w:rsidRDefault="008112F0" w:rsidP="008112F0">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EC767E">
        <w:rPr>
          <w:rFonts w:ascii="Times New Roman" w:eastAsia="Times New Roman" w:hAnsi="Times New Roman" w:cs="Times New Roman"/>
          <w:sz w:val="28"/>
          <w:szCs w:val="28"/>
          <w:lang w:eastAsia="ru-RU"/>
        </w:rPr>
        <w:t xml:space="preserve"> целях создания условий для повышения удобства получения социальных услуг в 2021 г</w:t>
      </w:r>
      <w:r w:rsidR="00495D26">
        <w:rPr>
          <w:rFonts w:ascii="Times New Roman" w:eastAsia="Times New Roman" w:hAnsi="Times New Roman" w:cs="Times New Roman"/>
          <w:sz w:val="28"/>
          <w:szCs w:val="28"/>
          <w:lang w:eastAsia="ru-RU"/>
        </w:rPr>
        <w:t>.</w:t>
      </w:r>
      <w:r w:rsidRPr="00EC767E">
        <w:rPr>
          <w:rFonts w:ascii="Times New Roman" w:eastAsia="Times New Roman" w:hAnsi="Times New Roman" w:cs="Times New Roman"/>
          <w:sz w:val="28"/>
          <w:szCs w:val="28"/>
          <w:lang w:eastAsia="ru-RU"/>
        </w:rPr>
        <w:t xml:space="preserve"> в 21 субъекте Российской Федерации создано 28 социальных служб «Семейная диспетчерская», которые работают по принципу «одного окна». Ключевым моментом организации службы «Семейная диспетчерская» является создание на территории района единой точки приема, регистрации обращений и предоставления услуг семьям с детьми, что позволяет значительно упростить процедуру обращения и получения комплексной поддержки для получателей социальных услуг и оперативно реагировать на возникшую в семье сложную ситуацию.</w:t>
      </w:r>
    </w:p>
    <w:p w14:paraId="1F10BF53" w14:textId="77777777" w:rsidR="008112F0" w:rsidRPr="00EC767E" w:rsidRDefault="008112F0" w:rsidP="00D44981">
      <w:pPr>
        <w:spacing w:after="0" w:line="312" w:lineRule="auto"/>
        <w:ind w:firstLine="709"/>
        <w:jc w:val="both"/>
        <w:rPr>
          <w:rFonts w:ascii="Times New Roman" w:eastAsia="Times New Roman" w:hAnsi="Times New Roman" w:cs="Times New Roman"/>
          <w:sz w:val="28"/>
          <w:szCs w:val="28"/>
          <w:lang w:eastAsia="ru-RU"/>
        </w:rPr>
      </w:pPr>
      <w:r w:rsidRPr="00EC767E">
        <w:rPr>
          <w:rFonts w:ascii="Times New Roman" w:eastAsia="Times New Roman" w:hAnsi="Times New Roman" w:cs="Times New Roman"/>
          <w:sz w:val="28"/>
          <w:szCs w:val="28"/>
          <w:lang w:eastAsia="ru-RU"/>
        </w:rPr>
        <w:t>В целях решения проблем, связанных с низким уровнем информированности семей с детьми о личных правах и возможностях получения требуемых услуг, низкой развитостью инфраструктуры служб, предоставляющих социальные услуги, с точки зрения возможности использования цифровых технологий при их предоставлении в 2022 г</w:t>
      </w:r>
      <w:r w:rsidR="00495D26">
        <w:rPr>
          <w:rFonts w:ascii="Times New Roman" w:eastAsia="Times New Roman" w:hAnsi="Times New Roman" w:cs="Times New Roman"/>
          <w:sz w:val="28"/>
          <w:szCs w:val="28"/>
          <w:lang w:eastAsia="ru-RU"/>
        </w:rPr>
        <w:t>.</w:t>
      </w:r>
      <w:r w:rsidRPr="00EC767E">
        <w:rPr>
          <w:rFonts w:ascii="Times New Roman" w:eastAsia="Times New Roman" w:hAnsi="Times New Roman" w:cs="Times New Roman"/>
          <w:sz w:val="28"/>
          <w:szCs w:val="28"/>
          <w:lang w:eastAsia="ru-RU"/>
        </w:rPr>
        <w:t xml:space="preserve"> на территории </w:t>
      </w:r>
      <w:r w:rsidR="00D44981">
        <w:rPr>
          <w:rFonts w:ascii="Times New Roman" w:eastAsia="Times New Roman" w:hAnsi="Times New Roman" w:cs="Times New Roman"/>
          <w:sz w:val="28"/>
          <w:szCs w:val="28"/>
          <w:lang w:eastAsia="ru-RU"/>
        </w:rPr>
        <w:t>8</w:t>
      </w:r>
      <w:r w:rsidRPr="00EC767E">
        <w:rPr>
          <w:rFonts w:ascii="Times New Roman" w:eastAsia="Times New Roman" w:hAnsi="Times New Roman" w:cs="Times New Roman"/>
          <w:sz w:val="28"/>
          <w:szCs w:val="28"/>
          <w:lang w:eastAsia="ru-RU"/>
        </w:rPr>
        <w:t xml:space="preserve"> субъектов Российской Федерации (Волгоградской, Иркутской, Калужской, Новгородской, Новосибирской, Орловской, Тульской и Челябинской област</w:t>
      </w:r>
      <w:r w:rsidR="00D44981">
        <w:rPr>
          <w:rFonts w:ascii="Times New Roman" w:eastAsia="Times New Roman" w:hAnsi="Times New Roman" w:cs="Times New Roman"/>
          <w:sz w:val="28"/>
          <w:szCs w:val="28"/>
          <w:lang w:eastAsia="ru-RU"/>
        </w:rPr>
        <w:t>ей</w:t>
      </w:r>
      <w:r w:rsidRPr="00EC767E">
        <w:rPr>
          <w:rFonts w:ascii="Times New Roman" w:eastAsia="Times New Roman" w:hAnsi="Times New Roman" w:cs="Times New Roman"/>
          <w:sz w:val="28"/>
          <w:szCs w:val="28"/>
          <w:lang w:eastAsia="ru-RU"/>
        </w:rPr>
        <w:t xml:space="preserve">) </w:t>
      </w:r>
      <w:r w:rsidR="00C336A6">
        <w:rPr>
          <w:rFonts w:ascii="Times New Roman" w:eastAsia="Times New Roman" w:hAnsi="Times New Roman" w:cs="Times New Roman"/>
          <w:sz w:val="28"/>
          <w:szCs w:val="28"/>
          <w:lang w:eastAsia="ru-RU"/>
        </w:rPr>
        <w:t>будет реализован</w:t>
      </w:r>
      <w:r w:rsidRPr="00EC767E">
        <w:rPr>
          <w:rFonts w:ascii="Times New Roman" w:eastAsia="Times New Roman" w:hAnsi="Times New Roman" w:cs="Times New Roman"/>
          <w:sz w:val="28"/>
          <w:szCs w:val="28"/>
          <w:lang w:eastAsia="ru-RU"/>
        </w:rPr>
        <w:t xml:space="preserve"> пилотный проект по созданию семейных многофункциональных центров</w:t>
      </w:r>
      <w:r w:rsidR="00D44981">
        <w:rPr>
          <w:rFonts w:ascii="Times New Roman" w:eastAsia="Times New Roman" w:hAnsi="Times New Roman" w:cs="Times New Roman"/>
          <w:sz w:val="28"/>
          <w:szCs w:val="28"/>
          <w:lang w:eastAsia="ru-RU"/>
        </w:rPr>
        <w:t>.</w:t>
      </w:r>
    </w:p>
    <w:p w14:paraId="6088A067" w14:textId="47203C6E" w:rsidR="00D03A4F" w:rsidRDefault="00D03A4F" w:rsidP="00D03A4F">
      <w:pPr>
        <w:shd w:val="clear" w:color="auto" w:fill="FFFFFF"/>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Предоставление социальных услуг семьям, имеющим детей-инвалидов</w:t>
      </w:r>
    </w:p>
    <w:p w14:paraId="747E820E" w14:textId="77777777" w:rsidR="0067297F" w:rsidRDefault="0067297F" w:rsidP="008112F0">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2021 г</w:t>
      </w:r>
      <w:r w:rsidR="00495D26">
        <w:rPr>
          <w:rFonts w:ascii="Times New Roman" w:hAnsi="Times New Roman" w:cs="Times New Roman"/>
          <w:sz w:val="28"/>
          <w:szCs w:val="28"/>
        </w:rPr>
        <w:t>.</w:t>
      </w:r>
      <w:r>
        <w:rPr>
          <w:rFonts w:ascii="Times New Roman" w:hAnsi="Times New Roman" w:cs="Times New Roman"/>
          <w:sz w:val="28"/>
          <w:szCs w:val="28"/>
        </w:rPr>
        <w:t xml:space="preserve"> при поддержке Фонда </w:t>
      </w:r>
      <w:r w:rsidR="00C81E67">
        <w:rPr>
          <w:rFonts w:ascii="Times New Roman" w:hAnsi="Times New Roman" w:cs="Times New Roman"/>
          <w:sz w:val="28"/>
          <w:szCs w:val="28"/>
        </w:rPr>
        <w:t xml:space="preserve">поддержки детей </w:t>
      </w:r>
      <w:r>
        <w:rPr>
          <w:rFonts w:ascii="Times New Roman" w:hAnsi="Times New Roman" w:cs="Times New Roman"/>
          <w:sz w:val="28"/>
          <w:szCs w:val="28"/>
        </w:rPr>
        <w:t xml:space="preserve">в 22 субъектах Российской Федерации завершена работа по созданию условий для снижения численности </w:t>
      </w:r>
      <w:r w:rsidR="001159A8">
        <w:rPr>
          <w:rFonts w:ascii="Times New Roman" w:hAnsi="Times New Roman" w:cs="Times New Roman"/>
          <w:sz w:val="28"/>
          <w:szCs w:val="28"/>
        </w:rPr>
        <w:t>детей-инвалидов и детей с ОВЗ, находящихся на стационарном обслуживании, а также по инфраструктурной поддержке развития необходимых технологий. В ходе реализации 22 проектов:</w:t>
      </w:r>
    </w:p>
    <w:p w14:paraId="34504FD8" w14:textId="0A41F6A4" w:rsidR="001159A8" w:rsidRDefault="001159A8" w:rsidP="008112F0">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5,5 тыс. детей</w:t>
      </w:r>
      <w:r w:rsidR="003B77D7" w:rsidRPr="003B77D7">
        <w:rPr>
          <w:rFonts w:ascii="Times New Roman" w:eastAsia="Times New Roman" w:hAnsi="Times New Roman" w:cs="Times New Roman"/>
          <w:sz w:val="28"/>
          <w:szCs w:val="28"/>
          <w:lang w:eastAsia="ru-RU"/>
        </w:rPr>
        <w:t xml:space="preserve"> </w:t>
      </w:r>
      <w:r w:rsidR="003B77D7">
        <w:rPr>
          <w:rFonts w:ascii="Times New Roman" w:eastAsia="Times New Roman" w:hAnsi="Times New Roman" w:cs="Times New Roman"/>
          <w:sz w:val="28"/>
          <w:szCs w:val="28"/>
          <w:lang w:eastAsia="ru-RU"/>
        </w:rPr>
        <w:t>с инвалидностью</w:t>
      </w:r>
      <w:r w:rsidR="003B77D7" w:rsidDel="003B77D7">
        <w:rPr>
          <w:rFonts w:ascii="Times New Roman" w:hAnsi="Times New Roman" w:cs="Times New Roman"/>
          <w:sz w:val="28"/>
          <w:szCs w:val="28"/>
        </w:rPr>
        <w:t xml:space="preserve"> </w:t>
      </w:r>
      <w:r>
        <w:rPr>
          <w:rFonts w:ascii="Times New Roman" w:hAnsi="Times New Roman" w:cs="Times New Roman"/>
          <w:sz w:val="28"/>
          <w:szCs w:val="28"/>
        </w:rPr>
        <w:t>и детей с ОВЗ включены в группы кратковременного пребывания на период занятости их родителей (законных представителей);</w:t>
      </w:r>
    </w:p>
    <w:p w14:paraId="0813D595" w14:textId="1F9FAAD3" w:rsidR="001159A8" w:rsidRDefault="001159A8" w:rsidP="008112F0">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3,8 тыс. семей, воспитывающих детей</w:t>
      </w:r>
      <w:r w:rsidR="003B77D7" w:rsidRPr="003B77D7">
        <w:rPr>
          <w:rFonts w:ascii="Times New Roman" w:eastAsia="Times New Roman" w:hAnsi="Times New Roman" w:cs="Times New Roman"/>
          <w:sz w:val="28"/>
          <w:szCs w:val="28"/>
          <w:lang w:eastAsia="ru-RU"/>
        </w:rPr>
        <w:t xml:space="preserve"> </w:t>
      </w:r>
      <w:r w:rsidR="003B77D7">
        <w:rPr>
          <w:rFonts w:ascii="Times New Roman" w:eastAsia="Times New Roman" w:hAnsi="Times New Roman" w:cs="Times New Roman"/>
          <w:sz w:val="28"/>
          <w:szCs w:val="28"/>
          <w:lang w:eastAsia="ru-RU"/>
        </w:rPr>
        <w:t>с инвалидностью</w:t>
      </w:r>
      <w:r w:rsidR="003B77D7" w:rsidDel="003B77D7">
        <w:rPr>
          <w:rFonts w:ascii="Times New Roman" w:hAnsi="Times New Roman" w:cs="Times New Roman"/>
          <w:sz w:val="28"/>
          <w:szCs w:val="28"/>
        </w:rPr>
        <w:t xml:space="preserve"> </w:t>
      </w:r>
      <w:r>
        <w:rPr>
          <w:rFonts w:ascii="Times New Roman" w:hAnsi="Times New Roman" w:cs="Times New Roman"/>
          <w:sz w:val="28"/>
          <w:szCs w:val="28"/>
        </w:rPr>
        <w:t>и детей с ОВЗ, получили необходимую квалифицированную помощь по месту их проживания;</w:t>
      </w:r>
    </w:p>
    <w:p w14:paraId="7BF56CDF" w14:textId="4B6931CD" w:rsidR="008272E2" w:rsidRDefault="001159A8" w:rsidP="008272E2">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1,3 тыс. семей, воспитывающих детей</w:t>
      </w:r>
      <w:r w:rsidR="003B77D7" w:rsidRPr="003B77D7">
        <w:rPr>
          <w:rFonts w:ascii="Times New Roman" w:eastAsia="Times New Roman" w:hAnsi="Times New Roman" w:cs="Times New Roman"/>
          <w:sz w:val="28"/>
          <w:szCs w:val="28"/>
          <w:lang w:eastAsia="ru-RU"/>
        </w:rPr>
        <w:t xml:space="preserve"> </w:t>
      </w:r>
      <w:r w:rsidR="003B77D7">
        <w:rPr>
          <w:rFonts w:ascii="Times New Roman" w:eastAsia="Times New Roman" w:hAnsi="Times New Roman" w:cs="Times New Roman"/>
          <w:sz w:val="28"/>
          <w:szCs w:val="28"/>
          <w:lang w:eastAsia="ru-RU"/>
        </w:rPr>
        <w:t>с инвалидностью</w:t>
      </w:r>
      <w:r w:rsidR="003B77D7" w:rsidDel="003B77D7">
        <w:rPr>
          <w:rFonts w:ascii="Times New Roman" w:hAnsi="Times New Roman" w:cs="Times New Roman"/>
          <w:sz w:val="28"/>
          <w:szCs w:val="28"/>
        </w:rPr>
        <w:t xml:space="preserve"> </w:t>
      </w:r>
      <w:r>
        <w:rPr>
          <w:rFonts w:ascii="Times New Roman" w:hAnsi="Times New Roman" w:cs="Times New Roman"/>
          <w:sz w:val="28"/>
          <w:szCs w:val="28"/>
        </w:rPr>
        <w:t>и детей с ОВЗ, находились на социальном сопровождении</w:t>
      </w:r>
      <w:r w:rsidR="008272E2">
        <w:rPr>
          <w:rFonts w:ascii="Times New Roman" w:hAnsi="Times New Roman" w:cs="Times New Roman"/>
          <w:sz w:val="28"/>
          <w:szCs w:val="28"/>
        </w:rPr>
        <w:t>;</w:t>
      </w:r>
    </w:p>
    <w:p w14:paraId="115EAC9D" w14:textId="77777777" w:rsidR="008272E2" w:rsidRDefault="008272E2" w:rsidP="008272E2">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8,5 тыс. родителей были обучены методам абилитации/реабилитации в домашних условиях, подбору и использованию технических средств реабилитации, навыкам</w:t>
      </w:r>
      <w:r w:rsidR="00C767C6">
        <w:rPr>
          <w:rFonts w:ascii="Times New Roman" w:hAnsi="Times New Roman" w:cs="Times New Roman"/>
          <w:sz w:val="28"/>
          <w:szCs w:val="28"/>
        </w:rPr>
        <w:t xml:space="preserve"> ухода за детьми-инвалидами (в том числе с применением дистанционной формы обучения);</w:t>
      </w:r>
    </w:p>
    <w:p w14:paraId="7810B16A" w14:textId="1DA85473" w:rsidR="00C767C6" w:rsidRDefault="001E021C" w:rsidP="008272E2">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2,4 тыс. детей</w:t>
      </w:r>
      <w:r w:rsidR="003B77D7" w:rsidRPr="003B77D7">
        <w:rPr>
          <w:rFonts w:ascii="Times New Roman" w:eastAsia="Times New Roman" w:hAnsi="Times New Roman" w:cs="Times New Roman"/>
          <w:sz w:val="28"/>
          <w:szCs w:val="28"/>
          <w:lang w:eastAsia="ru-RU"/>
        </w:rPr>
        <w:t xml:space="preserve"> </w:t>
      </w:r>
      <w:r w:rsidR="003B77D7">
        <w:rPr>
          <w:rFonts w:ascii="Times New Roman" w:eastAsia="Times New Roman" w:hAnsi="Times New Roman" w:cs="Times New Roman"/>
          <w:sz w:val="28"/>
          <w:szCs w:val="28"/>
          <w:lang w:eastAsia="ru-RU"/>
        </w:rPr>
        <w:t>с инвалидностью</w:t>
      </w:r>
      <w:r w:rsidR="003B77D7" w:rsidDel="003B77D7">
        <w:rPr>
          <w:rFonts w:ascii="Times New Roman" w:hAnsi="Times New Roman" w:cs="Times New Roman"/>
          <w:sz w:val="28"/>
          <w:szCs w:val="28"/>
        </w:rPr>
        <w:t xml:space="preserve"> </w:t>
      </w:r>
      <w:r>
        <w:rPr>
          <w:rFonts w:ascii="Times New Roman" w:hAnsi="Times New Roman" w:cs="Times New Roman"/>
          <w:sz w:val="28"/>
          <w:szCs w:val="28"/>
        </w:rPr>
        <w:t>и детей с ОВЗ предоставлены технические средства реабилитации, не предусмотренные федеральным перечнем.</w:t>
      </w:r>
    </w:p>
    <w:p w14:paraId="33731A0F" w14:textId="5DBC847C" w:rsidR="001E021C" w:rsidRDefault="001E021C" w:rsidP="008272E2">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Более 23,8 тыс. детей</w:t>
      </w:r>
      <w:r w:rsidR="003B77D7" w:rsidRPr="003B77D7">
        <w:rPr>
          <w:rFonts w:ascii="Times New Roman" w:eastAsia="Times New Roman" w:hAnsi="Times New Roman" w:cs="Times New Roman"/>
          <w:sz w:val="28"/>
          <w:szCs w:val="28"/>
          <w:lang w:eastAsia="ru-RU"/>
        </w:rPr>
        <w:t xml:space="preserve"> </w:t>
      </w:r>
      <w:r w:rsidR="003B77D7">
        <w:rPr>
          <w:rFonts w:ascii="Times New Roman" w:eastAsia="Times New Roman" w:hAnsi="Times New Roman" w:cs="Times New Roman"/>
          <w:sz w:val="28"/>
          <w:szCs w:val="28"/>
          <w:lang w:eastAsia="ru-RU"/>
        </w:rPr>
        <w:t>с инвалидностью</w:t>
      </w:r>
      <w:r w:rsidR="003B77D7" w:rsidDel="003B77D7">
        <w:rPr>
          <w:rFonts w:ascii="Times New Roman" w:hAnsi="Times New Roman" w:cs="Times New Roman"/>
          <w:sz w:val="28"/>
          <w:szCs w:val="28"/>
        </w:rPr>
        <w:t xml:space="preserve"> </w:t>
      </w:r>
      <w:r>
        <w:rPr>
          <w:rFonts w:ascii="Times New Roman" w:hAnsi="Times New Roman" w:cs="Times New Roman"/>
          <w:sz w:val="28"/>
          <w:szCs w:val="28"/>
        </w:rPr>
        <w:t xml:space="preserve">и детей с ОВЗ оказана помощь с применением </w:t>
      </w:r>
      <w:proofErr w:type="spellStart"/>
      <w:r>
        <w:rPr>
          <w:rFonts w:ascii="Times New Roman" w:hAnsi="Times New Roman" w:cs="Times New Roman"/>
          <w:sz w:val="28"/>
          <w:szCs w:val="28"/>
        </w:rPr>
        <w:t>стационарозамещающих</w:t>
      </w:r>
      <w:proofErr w:type="spellEnd"/>
      <w:r>
        <w:rPr>
          <w:rFonts w:ascii="Times New Roman" w:hAnsi="Times New Roman" w:cs="Times New Roman"/>
          <w:sz w:val="28"/>
          <w:szCs w:val="28"/>
        </w:rPr>
        <w:t xml:space="preserve"> технологий.</w:t>
      </w:r>
    </w:p>
    <w:p w14:paraId="61BB7050" w14:textId="77777777" w:rsidR="001E021C" w:rsidRDefault="004A7285" w:rsidP="008272E2">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2021 г</w:t>
      </w:r>
      <w:r w:rsidR="00495D26">
        <w:rPr>
          <w:rFonts w:ascii="Times New Roman" w:hAnsi="Times New Roman" w:cs="Times New Roman"/>
          <w:sz w:val="28"/>
          <w:szCs w:val="28"/>
        </w:rPr>
        <w:t>.</w:t>
      </w:r>
      <w:r>
        <w:rPr>
          <w:rFonts w:ascii="Times New Roman" w:hAnsi="Times New Roman" w:cs="Times New Roman"/>
          <w:sz w:val="28"/>
          <w:szCs w:val="28"/>
        </w:rPr>
        <w:t xml:space="preserve"> в 23 субъектах Российской Федерации также продолжилось выполнение 33 проектов государственных и муниципальных учреждений, российских негосударственных некоммерческих организаций, направленных на организацию развивающего уходу за детьми с тяжелыми множественными нарушениями развития, в том числе с использованием средств альтернативной и дополнительной коммуникации.</w:t>
      </w:r>
    </w:p>
    <w:p w14:paraId="6ED0961C" w14:textId="77777777" w:rsidR="004A7285" w:rsidRDefault="0044112A" w:rsidP="008272E2">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Реализацию мероприятий проектов обеспечивало около 900 специалистов, более 500 из них повысили свои профессиональные компетенции по вопросам использования эффективных социальных практик, новых технологий и методик в работе по организации развивающего ухода за детьми с тяжелыми множественными нарушениями развития.</w:t>
      </w:r>
    </w:p>
    <w:p w14:paraId="531BA356" w14:textId="77777777" w:rsidR="0044112A" w:rsidRDefault="0044112A" w:rsidP="008272E2">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Более 1</w:t>
      </w:r>
      <w:r w:rsidR="00D01F72">
        <w:rPr>
          <w:rFonts w:ascii="Times New Roman" w:hAnsi="Times New Roman" w:cs="Times New Roman"/>
          <w:sz w:val="28"/>
          <w:szCs w:val="28"/>
        </w:rPr>
        <w:t>,1 тыс. детей с тяжелыми множественными нарушениями развития получили комплексную социальную помощь, из которых у 1 тыс. улучшились показатели развития. Более 1 тыс. родителей прошли обучение навыкам развивающего ухода и создания в домашних условиях оптимальной среды для жизни и развития ребенка.</w:t>
      </w:r>
    </w:p>
    <w:p w14:paraId="6655FB1F" w14:textId="65A42AC2" w:rsidR="00D01F72" w:rsidRDefault="00D01F72" w:rsidP="008272E2">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С целью тиражирования успешных социальных практик учреждений, осуществляющих стационарное социальное обслуживание детей</w:t>
      </w:r>
      <w:r w:rsidR="003B77D7" w:rsidRPr="003B77D7">
        <w:rPr>
          <w:rFonts w:ascii="Times New Roman" w:eastAsia="Times New Roman" w:hAnsi="Times New Roman" w:cs="Times New Roman"/>
          <w:sz w:val="28"/>
          <w:szCs w:val="28"/>
          <w:lang w:eastAsia="ru-RU"/>
        </w:rPr>
        <w:t xml:space="preserve"> </w:t>
      </w:r>
      <w:r w:rsidR="003B77D7">
        <w:rPr>
          <w:rFonts w:ascii="Times New Roman" w:eastAsia="Times New Roman" w:hAnsi="Times New Roman" w:cs="Times New Roman"/>
          <w:sz w:val="28"/>
          <w:szCs w:val="28"/>
          <w:lang w:eastAsia="ru-RU"/>
        </w:rPr>
        <w:t>с инвалидностью</w:t>
      </w:r>
      <w:r>
        <w:rPr>
          <w:rFonts w:ascii="Times New Roman" w:hAnsi="Times New Roman" w:cs="Times New Roman"/>
          <w:sz w:val="28"/>
          <w:szCs w:val="28"/>
        </w:rPr>
        <w:t>, при поддержке Минтруда России и Правительства Ставропольского края в сентябре 2021 г</w:t>
      </w:r>
      <w:r w:rsidR="00495D26">
        <w:rPr>
          <w:rFonts w:ascii="Times New Roman" w:hAnsi="Times New Roman" w:cs="Times New Roman"/>
          <w:sz w:val="28"/>
          <w:szCs w:val="28"/>
        </w:rPr>
        <w:t>.</w:t>
      </w:r>
      <w:r>
        <w:rPr>
          <w:rFonts w:ascii="Times New Roman" w:hAnsi="Times New Roman" w:cs="Times New Roman"/>
          <w:sz w:val="28"/>
          <w:szCs w:val="28"/>
        </w:rPr>
        <w:t xml:space="preserve"> Фондом </w:t>
      </w:r>
      <w:r w:rsidR="00C81E67">
        <w:rPr>
          <w:rFonts w:ascii="Times New Roman" w:hAnsi="Times New Roman" w:cs="Times New Roman"/>
          <w:sz w:val="28"/>
          <w:szCs w:val="28"/>
        </w:rPr>
        <w:t xml:space="preserve">поддержки детей </w:t>
      </w:r>
      <w:r>
        <w:rPr>
          <w:rFonts w:ascii="Times New Roman" w:hAnsi="Times New Roman" w:cs="Times New Roman"/>
          <w:sz w:val="28"/>
          <w:szCs w:val="28"/>
        </w:rPr>
        <w:t xml:space="preserve">проведен </w:t>
      </w:r>
      <w:r w:rsidR="00725E2E">
        <w:rPr>
          <w:rFonts w:ascii="Times New Roman" w:hAnsi="Times New Roman" w:cs="Times New Roman"/>
          <w:sz w:val="28"/>
          <w:szCs w:val="28"/>
        </w:rPr>
        <w:t>ф</w:t>
      </w:r>
      <w:r>
        <w:rPr>
          <w:rFonts w:ascii="Times New Roman" w:hAnsi="Times New Roman" w:cs="Times New Roman"/>
          <w:sz w:val="28"/>
          <w:szCs w:val="28"/>
        </w:rPr>
        <w:t>орум директоров учреждений, осуществляющих стационарное социальное обслуживание детей</w:t>
      </w:r>
      <w:r w:rsidR="003B77D7" w:rsidRPr="003B77D7">
        <w:rPr>
          <w:rFonts w:ascii="Times New Roman" w:eastAsia="Times New Roman" w:hAnsi="Times New Roman" w:cs="Times New Roman"/>
          <w:sz w:val="28"/>
          <w:szCs w:val="28"/>
          <w:lang w:eastAsia="ru-RU"/>
        </w:rPr>
        <w:t xml:space="preserve"> </w:t>
      </w:r>
      <w:r w:rsidR="003B77D7">
        <w:rPr>
          <w:rFonts w:ascii="Times New Roman" w:eastAsia="Times New Roman" w:hAnsi="Times New Roman" w:cs="Times New Roman"/>
          <w:sz w:val="28"/>
          <w:szCs w:val="28"/>
          <w:lang w:eastAsia="ru-RU"/>
        </w:rPr>
        <w:t>с инвалидностью</w:t>
      </w:r>
      <w:r>
        <w:rPr>
          <w:rFonts w:ascii="Times New Roman" w:hAnsi="Times New Roman" w:cs="Times New Roman"/>
          <w:sz w:val="28"/>
          <w:szCs w:val="28"/>
        </w:rPr>
        <w:t>.</w:t>
      </w:r>
      <w:r w:rsidR="00725E2E">
        <w:rPr>
          <w:rFonts w:ascii="Times New Roman" w:hAnsi="Times New Roman" w:cs="Times New Roman"/>
          <w:sz w:val="28"/>
          <w:szCs w:val="28"/>
        </w:rPr>
        <w:t xml:space="preserve"> Участниками форума стали 200 государственных учреждений из 80 субъектов Российской Федерации.</w:t>
      </w:r>
    </w:p>
    <w:p w14:paraId="0B8FCF26" w14:textId="66095281" w:rsidR="008112F0" w:rsidRPr="008112F0" w:rsidRDefault="00725E2E" w:rsidP="008112F0">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Также продолжается в</w:t>
      </w:r>
      <w:r w:rsidR="008112F0" w:rsidRPr="008112F0">
        <w:rPr>
          <w:rFonts w:ascii="Times New Roman" w:hAnsi="Times New Roman" w:cs="Times New Roman"/>
          <w:sz w:val="28"/>
          <w:szCs w:val="28"/>
        </w:rPr>
        <w:t>недр</w:t>
      </w:r>
      <w:r>
        <w:rPr>
          <w:rFonts w:ascii="Times New Roman" w:hAnsi="Times New Roman" w:cs="Times New Roman"/>
          <w:sz w:val="28"/>
          <w:szCs w:val="28"/>
        </w:rPr>
        <w:t>ение</w:t>
      </w:r>
      <w:r w:rsidR="008112F0" w:rsidRPr="008112F0">
        <w:rPr>
          <w:rFonts w:ascii="Times New Roman" w:hAnsi="Times New Roman" w:cs="Times New Roman"/>
          <w:sz w:val="28"/>
          <w:szCs w:val="28"/>
        </w:rPr>
        <w:t xml:space="preserve"> новы</w:t>
      </w:r>
      <w:r>
        <w:rPr>
          <w:rFonts w:ascii="Times New Roman" w:hAnsi="Times New Roman" w:cs="Times New Roman"/>
          <w:sz w:val="28"/>
          <w:szCs w:val="28"/>
        </w:rPr>
        <w:t>х</w:t>
      </w:r>
      <w:r w:rsidR="008112F0" w:rsidRPr="008112F0">
        <w:rPr>
          <w:rFonts w:ascii="Times New Roman" w:hAnsi="Times New Roman" w:cs="Times New Roman"/>
          <w:sz w:val="28"/>
          <w:szCs w:val="28"/>
        </w:rPr>
        <w:t xml:space="preserve"> социальны</w:t>
      </w:r>
      <w:r>
        <w:rPr>
          <w:rFonts w:ascii="Times New Roman" w:hAnsi="Times New Roman" w:cs="Times New Roman"/>
          <w:sz w:val="28"/>
          <w:szCs w:val="28"/>
        </w:rPr>
        <w:t>х услуг</w:t>
      </w:r>
      <w:r w:rsidR="008112F0" w:rsidRPr="008112F0">
        <w:rPr>
          <w:rFonts w:ascii="Times New Roman" w:hAnsi="Times New Roman" w:cs="Times New Roman"/>
          <w:sz w:val="28"/>
          <w:szCs w:val="28"/>
        </w:rPr>
        <w:t>, помогающи</w:t>
      </w:r>
      <w:r>
        <w:rPr>
          <w:rFonts w:ascii="Times New Roman" w:hAnsi="Times New Roman" w:cs="Times New Roman"/>
          <w:sz w:val="28"/>
          <w:szCs w:val="28"/>
        </w:rPr>
        <w:t>х</w:t>
      </w:r>
      <w:r w:rsidR="008112F0" w:rsidRPr="008112F0">
        <w:rPr>
          <w:rFonts w:ascii="Times New Roman" w:hAnsi="Times New Roman" w:cs="Times New Roman"/>
          <w:sz w:val="28"/>
          <w:szCs w:val="28"/>
        </w:rPr>
        <w:t xml:space="preserve"> семьям в воспитании детей</w:t>
      </w:r>
      <w:r>
        <w:rPr>
          <w:rFonts w:ascii="Times New Roman" w:hAnsi="Times New Roman" w:cs="Times New Roman"/>
          <w:sz w:val="28"/>
          <w:szCs w:val="28"/>
        </w:rPr>
        <w:t>:</w:t>
      </w:r>
      <w:r w:rsidR="008112F0" w:rsidRPr="008112F0">
        <w:rPr>
          <w:rFonts w:ascii="Times New Roman" w:hAnsi="Times New Roman" w:cs="Times New Roman"/>
          <w:sz w:val="28"/>
          <w:szCs w:val="28"/>
        </w:rPr>
        <w:t xml:space="preserve"> «Передышка», «Няня на час», которые позволяют родителям или законным представителям детей</w:t>
      </w:r>
      <w:r w:rsidR="003B77D7" w:rsidRPr="003B77D7">
        <w:rPr>
          <w:rFonts w:ascii="Times New Roman" w:eastAsia="Times New Roman" w:hAnsi="Times New Roman" w:cs="Times New Roman"/>
          <w:sz w:val="28"/>
          <w:szCs w:val="28"/>
          <w:lang w:eastAsia="ru-RU"/>
        </w:rPr>
        <w:t xml:space="preserve"> </w:t>
      </w:r>
      <w:r w:rsidR="003B77D7">
        <w:rPr>
          <w:rFonts w:ascii="Times New Roman" w:eastAsia="Times New Roman" w:hAnsi="Times New Roman" w:cs="Times New Roman"/>
          <w:sz w:val="28"/>
          <w:szCs w:val="28"/>
          <w:lang w:eastAsia="ru-RU"/>
        </w:rPr>
        <w:t>с инвалидностью</w:t>
      </w:r>
      <w:r w:rsidR="003B77D7" w:rsidRPr="008112F0" w:rsidDel="003B77D7">
        <w:rPr>
          <w:rFonts w:ascii="Times New Roman" w:hAnsi="Times New Roman" w:cs="Times New Roman"/>
          <w:sz w:val="28"/>
          <w:szCs w:val="28"/>
        </w:rPr>
        <w:t xml:space="preserve"> </w:t>
      </w:r>
      <w:r w:rsidR="008112F0" w:rsidRPr="008112F0">
        <w:rPr>
          <w:rFonts w:ascii="Times New Roman" w:hAnsi="Times New Roman" w:cs="Times New Roman"/>
          <w:sz w:val="28"/>
          <w:szCs w:val="28"/>
        </w:rPr>
        <w:t>временно помещать их для присмотра и ухода в отделения дневного пребывания или отделения временного пребывания организаций социального обслуживания.</w:t>
      </w:r>
    </w:p>
    <w:p w14:paraId="270A9416" w14:textId="77777777" w:rsidR="00D03A4F" w:rsidRDefault="00D03A4F" w:rsidP="003C580E">
      <w:pPr>
        <w:shd w:val="clear" w:color="auto" w:fill="FFFFFF"/>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Развитие социального патроната в отношении семей, находящихся в социально опасном положении</w:t>
      </w:r>
    </w:p>
    <w:p w14:paraId="5BDFDB12" w14:textId="77777777" w:rsidR="00E96677" w:rsidRPr="00E96677" w:rsidRDefault="00E96677" w:rsidP="00E96677">
      <w:pPr>
        <w:spacing w:after="0" w:line="312" w:lineRule="auto"/>
        <w:ind w:firstLine="709"/>
        <w:jc w:val="both"/>
        <w:rPr>
          <w:rFonts w:ascii="Times New Roman" w:hAnsi="Times New Roman" w:cs="Times New Roman"/>
          <w:sz w:val="28"/>
          <w:szCs w:val="28"/>
        </w:rPr>
      </w:pPr>
      <w:r w:rsidRPr="00E96677">
        <w:rPr>
          <w:rFonts w:ascii="Times New Roman" w:hAnsi="Times New Roman" w:cs="Times New Roman"/>
          <w:sz w:val="28"/>
          <w:szCs w:val="28"/>
        </w:rPr>
        <w:t>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об их здоровье, физическом, психическом, духовном и нравственном развитии.</w:t>
      </w:r>
    </w:p>
    <w:p w14:paraId="35E41B87" w14:textId="77777777" w:rsidR="00E96677" w:rsidRPr="00E96677" w:rsidRDefault="00E96677" w:rsidP="00E96677">
      <w:pPr>
        <w:spacing w:after="0" w:line="312" w:lineRule="auto"/>
        <w:ind w:firstLine="709"/>
        <w:jc w:val="both"/>
        <w:rPr>
          <w:rFonts w:ascii="Times New Roman" w:hAnsi="Times New Roman" w:cs="Times New Roman"/>
          <w:sz w:val="28"/>
          <w:szCs w:val="28"/>
        </w:rPr>
      </w:pPr>
      <w:r w:rsidRPr="00E96677">
        <w:rPr>
          <w:rFonts w:ascii="Times New Roman" w:hAnsi="Times New Roman" w:cs="Times New Roman"/>
          <w:sz w:val="28"/>
          <w:szCs w:val="28"/>
        </w:rPr>
        <w:t>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14:paraId="0B00E9A8" w14:textId="759150F5" w:rsidR="00E96677" w:rsidRPr="00E96677" w:rsidRDefault="00E96677" w:rsidP="00E96677">
      <w:pPr>
        <w:spacing w:after="0" w:line="312" w:lineRule="auto"/>
        <w:ind w:firstLine="709"/>
        <w:jc w:val="both"/>
        <w:rPr>
          <w:rFonts w:ascii="Times New Roman" w:hAnsi="Times New Roman" w:cs="Times New Roman"/>
          <w:sz w:val="28"/>
          <w:szCs w:val="28"/>
        </w:rPr>
      </w:pPr>
      <w:r w:rsidRPr="00E96677">
        <w:rPr>
          <w:rFonts w:ascii="Times New Roman" w:hAnsi="Times New Roman" w:cs="Times New Roman"/>
          <w:sz w:val="28"/>
          <w:szCs w:val="28"/>
        </w:rPr>
        <w:t>Проблемы семейного неблагополучия, асоциального поведения родителей, жест</w:t>
      </w:r>
      <w:r w:rsidR="00FF1188">
        <w:rPr>
          <w:rFonts w:ascii="Times New Roman" w:hAnsi="Times New Roman" w:cs="Times New Roman"/>
          <w:sz w:val="28"/>
          <w:szCs w:val="28"/>
        </w:rPr>
        <w:t>о</w:t>
      </w:r>
      <w:r w:rsidRPr="00E96677">
        <w:rPr>
          <w:rFonts w:ascii="Times New Roman" w:hAnsi="Times New Roman" w:cs="Times New Roman"/>
          <w:sz w:val="28"/>
          <w:szCs w:val="28"/>
        </w:rPr>
        <w:t>кого обращения с детьми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14:paraId="3D107CD1" w14:textId="77777777" w:rsidR="00E96677" w:rsidRPr="00E96677" w:rsidRDefault="00E96677" w:rsidP="00E96677">
      <w:pPr>
        <w:spacing w:after="0" w:line="312" w:lineRule="auto"/>
        <w:ind w:firstLine="709"/>
        <w:jc w:val="both"/>
        <w:rPr>
          <w:rFonts w:ascii="Times New Roman" w:hAnsi="Times New Roman" w:cs="Times New Roman"/>
          <w:sz w:val="28"/>
          <w:szCs w:val="28"/>
        </w:rPr>
      </w:pPr>
      <w:r w:rsidRPr="00E96677">
        <w:rPr>
          <w:rFonts w:ascii="Times New Roman" w:hAnsi="Times New Roman" w:cs="Times New Roman"/>
          <w:sz w:val="28"/>
          <w:szCs w:val="28"/>
        </w:rPr>
        <w:t>В 202</w:t>
      </w:r>
      <w:r w:rsidR="00B1472F">
        <w:rPr>
          <w:rFonts w:ascii="Times New Roman" w:hAnsi="Times New Roman" w:cs="Times New Roman"/>
          <w:sz w:val="28"/>
          <w:szCs w:val="28"/>
        </w:rPr>
        <w:t>1</w:t>
      </w:r>
      <w:r w:rsidRPr="00E96677">
        <w:rPr>
          <w:rFonts w:ascii="Times New Roman" w:hAnsi="Times New Roman" w:cs="Times New Roman"/>
          <w:sz w:val="28"/>
          <w:szCs w:val="28"/>
        </w:rPr>
        <w:t xml:space="preserve"> г</w:t>
      </w:r>
      <w:r w:rsidR="00495D26">
        <w:rPr>
          <w:rFonts w:ascii="Times New Roman" w:hAnsi="Times New Roman" w:cs="Times New Roman"/>
          <w:sz w:val="28"/>
          <w:szCs w:val="28"/>
        </w:rPr>
        <w:t>.</w:t>
      </w:r>
      <w:r w:rsidRPr="00E96677">
        <w:rPr>
          <w:rFonts w:ascii="Times New Roman" w:hAnsi="Times New Roman" w:cs="Times New Roman"/>
          <w:sz w:val="28"/>
          <w:szCs w:val="28"/>
        </w:rPr>
        <w:t xml:space="preserve"> во всех субъектах Российской Федерации продолжена реализация межведомственных комплексов дополнительных мер, направленных на совершенствование эффективности работы организаций и органов системы профилактики безнадзорности и правонарушений несовершеннолетних, принятых на 2018-2022 г</w:t>
      </w:r>
      <w:r w:rsidR="00495D26">
        <w:rPr>
          <w:rFonts w:ascii="Times New Roman" w:hAnsi="Times New Roman" w:cs="Times New Roman"/>
          <w:sz w:val="28"/>
          <w:szCs w:val="28"/>
        </w:rPr>
        <w:t>г</w:t>
      </w:r>
      <w:r w:rsidRPr="00E96677">
        <w:rPr>
          <w:rFonts w:ascii="Times New Roman" w:hAnsi="Times New Roman" w:cs="Times New Roman"/>
          <w:sz w:val="28"/>
          <w:szCs w:val="28"/>
        </w:rPr>
        <w:t>.</w:t>
      </w:r>
    </w:p>
    <w:p w14:paraId="3C912CE7" w14:textId="77777777" w:rsidR="00D03A4F" w:rsidRDefault="00D03A4F" w:rsidP="003C580E">
      <w:pPr>
        <w:shd w:val="clear" w:color="auto" w:fill="FFFFFF"/>
        <w:spacing w:before="240"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Устройство детей-сирот, детей, оставшихся без попечения родителей, на воспитание в семьи</w:t>
      </w:r>
    </w:p>
    <w:p w14:paraId="28745EA1" w14:textId="63D50578" w:rsidR="007B0916" w:rsidRPr="007B0916" w:rsidRDefault="007B0916" w:rsidP="007B0916">
      <w:pPr>
        <w:widowControl w:val="0"/>
        <w:pBdr>
          <w:bottom w:val="single" w:sz="6" w:space="31" w:color="FFFFFF"/>
        </w:pBdr>
        <w:shd w:val="clear" w:color="auto" w:fill="FFFFFF"/>
        <w:suppressAutoHyphens/>
        <w:spacing w:after="0" w:line="312" w:lineRule="auto"/>
        <w:ind w:firstLine="709"/>
        <w:contextualSpacing/>
        <w:jc w:val="both"/>
        <w:rPr>
          <w:rFonts w:ascii="Times New Roman" w:eastAsia="Times New Roman" w:hAnsi="Times New Roman" w:cs="Times New Roman"/>
          <w:sz w:val="28"/>
          <w:szCs w:val="28"/>
          <w:lang w:eastAsia="ar-SA"/>
        </w:rPr>
      </w:pPr>
      <w:r w:rsidRPr="007B0916">
        <w:rPr>
          <w:rFonts w:ascii="Times New Roman" w:eastAsia="Times New Roman" w:hAnsi="Times New Roman" w:cs="Times New Roman"/>
          <w:sz w:val="28"/>
          <w:szCs w:val="28"/>
          <w:lang w:eastAsia="ar-SA"/>
        </w:rPr>
        <w:t>В 2021 г</w:t>
      </w:r>
      <w:r w:rsidR="00495D26">
        <w:rPr>
          <w:rFonts w:ascii="Times New Roman" w:eastAsia="Times New Roman" w:hAnsi="Times New Roman" w:cs="Times New Roman"/>
          <w:sz w:val="28"/>
          <w:szCs w:val="28"/>
          <w:lang w:eastAsia="ar-SA"/>
        </w:rPr>
        <w:t>.</w:t>
      </w:r>
      <w:r w:rsidRPr="007B0916">
        <w:rPr>
          <w:rFonts w:ascii="Times New Roman" w:eastAsia="Times New Roman" w:hAnsi="Times New Roman" w:cs="Times New Roman"/>
          <w:sz w:val="28"/>
          <w:szCs w:val="28"/>
          <w:lang w:eastAsia="ar-SA"/>
        </w:rPr>
        <w:t xml:space="preserve"> федеральными и региональными органами государственной власти последовательно реализовывались меры, направленные на поддержку института семьи, усиление ее воспитательного потенциала, совершенствование системы работы в сфере опеки и попечительства в отношении несовершеннолетних граждан. </w:t>
      </w:r>
      <w:r w:rsidR="003A3715">
        <w:rPr>
          <w:rFonts w:ascii="Times New Roman" w:eastAsia="Times New Roman" w:hAnsi="Times New Roman" w:cs="Times New Roman"/>
          <w:sz w:val="28"/>
          <w:szCs w:val="28"/>
          <w:lang w:eastAsia="ar-SA"/>
        </w:rPr>
        <w:br/>
      </w:r>
      <w:r w:rsidRPr="007B0916">
        <w:rPr>
          <w:rFonts w:ascii="Times New Roman" w:eastAsia="Times New Roman" w:hAnsi="Times New Roman" w:cs="Times New Roman"/>
          <w:sz w:val="28"/>
          <w:szCs w:val="28"/>
          <w:lang w:eastAsia="ar-SA"/>
        </w:rPr>
        <w:t>В течение 2021 г</w:t>
      </w:r>
      <w:r w:rsidR="00495D26">
        <w:rPr>
          <w:rFonts w:ascii="Times New Roman" w:eastAsia="Times New Roman" w:hAnsi="Times New Roman" w:cs="Times New Roman"/>
          <w:sz w:val="28"/>
          <w:szCs w:val="28"/>
          <w:lang w:eastAsia="ar-SA"/>
        </w:rPr>
        <w:t>.</w:t>
      </w:r>
      <w:r w:rsidRPr="007B0916">
        <w:rPr>
          <w:rFonts w:ascii="Times New Roman" w:eastAsia="Times New Roman" w:hAnsi="Times New Roman" w:cs="Times New Roman"/>
          <w:sz w:val="28"/>
          <w:szCs w:val="28"/>
          <w:lang w:eastAsia="ar-SA"/>
        </w:rPr>
        <w:t xml:space="preserve"> органами власти всех уровней приняты и реализованы решения, направленные на сокращение численности вновь выявляемых детей-сирот и детей, оставшихся без попечения родителей, а также детей-сирот и детей, оставшихся без попечения родителей, находящихся под надзором в организациях детей-сирот и детей, оставшихся без попечения родителей, посредством совершенствования порядка устройства д</w:t>
      </w:r>
      <w:r w:rsidR="006B6051">
        <w:rPr>
          <w:rFonts w:ascii="Times New Roman" w:eastAsia="Times New Roman" w:hAnsi="Times New Roman" w:cs="Times New Roman"/>
          <w:sz w:val="28"/>
          <w:szCs w:val="28"/>
          <w:lang w:eastAsia="ar-SA"/>
        </w:rPr>
        <w:t xml:space="preserve">етей-сирот и детей, оставшихся </w:t>
      </w:r>
      <w:r w:rsidRPr="007B0916">
        <w:rPr>
          <w:rFonts w:ascii="Times New Roman" w:eastAsia="Times New Roman" w:hAnsi="Times New Roman" w:cs="Times New Roman"/>
          <w:sz w:val="28"/>
          <w:szCs w:val="28"/>
          <w:lang w:eastAsia="ar-SA"/>
        </w:rPr>
        <w:t>без попечения родителей, на воспи</w:t>
      </w:r>
      <w:r w:rsidR="006B6051">
        <w:rPr>
          <w:rFonts w:ascii="Times New Roman" w:eastAsia="Times New Roman" w:hAnsi="Times New Roman" w:cs="Times New Roman"/>
          <w:sz w:val="28"/>
          <w:szCs w:val="28"/>
          <w:lang w:eastAsia="ar-SA"/>
        </w:rPr>
        <w:t xml:space="preserve">тание в семьи, мер защиты прав </w:t>
      </w:r>
      <w:r w:rsidRPr="007B0916">
        <w:rPr>
          <w:rFonts w:ascii="Times New Roman" w:eastAsia="Times New Roman" w:hAnsi="Times New Roman" w:cs="Times New Roman"/>
          <w:sz w:val="28"/>
          <w:szCs w:val="28"/>
          <w:lang w:eastAsia="ar-SA"/>
        </w:rPr>
        <w:t>и законных интересов детей, находящи</w:t>
      </w:r>
      <w:r w:rsidR="006B6051">
        <w:rPr>
          <w:rFonts w:ascii="Times New Roman" w:eastAsia="Times New Roman" w:hAnsi="Times New Roman" w:cs="Times New Roman"/>
          <w:sz w:val="28"/>
          <w:szCs w:val="28"/>
          <w:lang w:eastAsia="ar-SA"/>
        </w:rPr>
        <w:t xml:space="preserve">хся на воспитании в замещающих </w:t>
      </w:r>
      <w:r w:rsidRPr="007B0916">
        <w:rPr>
          <w:rFonts w:ascii="Times New Roman" w:eastAsia="Times New Roman" w:hAnsi="Times New Roman" w:cs="Times New Roman"/>
          <w:sz w:val="28"/>
          <w:szCs w:val="28"/>
          <w:lang w:eastAsia="ar-SA"/>
        </w:rPr>
        <w:t>семьях, совершенствования деятельности органов опеки и попечительства.</w:t>
      </w:r>
    </w:p>
    <w:p w14:paraId="135F0F9F" w14:textId="77777777" w:rsidR="007B0916" w:rsidRPr="007B0916" w:rsidRDefault="007B0916" w:rsidP="007B0916">
      <w:pPr>
        <w:widowControl w:val="0"/>
        <w:pBdr>
          <w:bottom w:val="single" w:sz="6" w:space="31" w:color="FFFFFF"/>
        </w:pBdr>
        <w:shd w:val="clear" w:color="auto" w:fill="FFFFFF"/>
        <w:suppressAutoHyphens/>
        <w:spacing w:after="0" w:line="312" w:lineRule="auto"/>
        <w:ind w:firstLine="709"/>
        <w:contextualSpacing/>
        <w:jc w:val="both"/>
        <w:rPr>
          <w:rFonts w:ascii="Times New Roman" w:eastAsia="Times New Roman" w:hAnsi="Times New Roman" w:cs="Times New Roman"/>
          <w:sz w:val="28"/>
          <w:szCs w:val="28"/>
          <w:lang w:eastAsia="ar-SA"/>
        </w:rPr>
      </w:pPr>
      <w:r w:rsidRPr="007B0916">
        <w:rPr>
          <w:rFonts w:ascii="Times New Roman" w:eastAsia="Times New Roman" w:hAnsi="Times New Roman" w:cs="Times New Roman"/>
          <w:sz w:val="28"/>
          <w:szCs w:val="28"/>
          <w:lang w:eastAsia="ar-SA"/>
        </w:rPr>
        <w:t>Реализация в 2021 г</w:t>
      </w:r>
      <w:r w:rsidR="00495D26">
        <w:rPr>
          <w:rFonts w:ascii="Times New Roman" w:eastAsia="Times New Roman" w:hAnsi="Times New Roman" w:cs="Times New Roman"/>
          <w:sz w:val="28"/>
          <w:szCs w:val="28"/>
          <w:lang w:eastAsia="ar-SA"/>
        </w:rPr>
        <w:t>.</w:t>
      </w:r>
      <w:r w:rsidRPr="007B0916">
        <w:rPr>
          <w:rFonts w:ascii="Times New Roman" w:eastAsia="Times New Roman" w:hAnsi="Times New Roman" w:cs="Times New Roman"/>
          <w:sz w:val="28"/>
          <w:szCs w:val="28"/>
          <w:lang w:eastAsia="ar-SA"/>
        </w:rPr>
        <w:t xml:space="preserve"> указанных реш</w:t>
      </w:r>
      <w:r w:rsidR="006B6051">
        <w:rPr>
          <w:rFonts w:ascii="Times New Roman" w:eastAsia="Times New Roman" w:hAnsi="Times New Roman" w:cs="Times New Roman"/>
          <w:sz w:val="28"/>
          <w:szCs w:val="28"/>
          <w:lang w:eastAsia="ar-SA"/>
        </w:rPr>
        <w:t xml:space="preserve">ений способствовала сокращению </w:t>
      </w:r>
      <w:r w:rsidR="00495D26">
        <w:rPr>
          <w:rFonts w:ascii="Times New Roman" w:eastAsia="Times New Roman" w:hAnsi="Times New Roman" w:cs="Times New Roman"/>
          <w:sz w:val="28"/>
          <w:szCs w:val="28"/>
          <w:lang w:eastAsia="ar-SA"/>
        </w:rPr>
        <w:br/>
      </w:r>
      <w:r w:rsidRPr="007B0916">
        <w:rPr>
          <w:rFonts w:ascii="Times New Roman" w:eastAsia="Times New Roman" w:hAnsi="Times New Roman" w:cs="Times New Roman"/>
          <w:sz w:val="28"/>
          <w:szCs w:val="28"/>
          <w:lang w:eastAsia="ar-SA"/>
        </w:rPr>
        <w:t xml:space="preserve">с 41,4 тыс. до 39,4 тыс. детей, стоящих на учете </w:t>
      </w:r>
      <w:r w:rsidR="006B6051">
        <w:rPr>
          <w:rFonts w:ascii="Times New Roman" w:eastAsia="Times New Roman" w:hAnsi="Times New Roman" w:cs="Times New Roman"/>
          <w:sz w:val="28"/>
          <w:szCs w:val="28"/>
          <w:lang w:eastAsia="ar-SA"/>
        </w:rPr>
        <w:t xml:space="preserve">в государственном банке данных </w:t>
      </w:r>
      <w:r w:rsidRPr="007B0916">
        <w:rPr>
          <w:rFonts w:ascii="Times New Roman" w:eastAsia="Times New Roman" w:hAnsi="Times New Roman" w:cs="Times New Roman"/>
          <w:sz w:val="28"/>
          <w:szCs w:val="28"/>
          <w:lang w:eastAsia="ar-SA"/>
        </w:rPr>
        <w:t>о детях, оставшихся без попечения родителей, или на 5% (2020 г</w:t>
      </w:r>
      <w:r w:rsidR="006B6051">
        <w:rPr>
          <w:rFonts w:ascii="Times New Roman" w:eastAsia="Times New Roman" w:hAnsi="Times New Roman" w:cs="Times New Roman"/>
          <w:sz w:val="28"/>
          <w:szCs w:val="28"/>
          <w:lang w:eastAsia="ar-SA"/>
        </w:rPr>
        <w:t>.</w:t>
      </w:r>
      <w:r w:rsidRPr="007B0916">
        <w:rPr>
          <w:rFonts w:ascii="Times New Roman" w:eastAsia="Times New Roman" w:hAnsi="Times New Roman" w:cs="Times New Roman"/>
          <w:sz w:val="28"/>
          <w:szCs w:val="28"/>
          <w:lang w:eastAsia="ar-SA"/>
        </w:rPr>
        <w:t xml:space="preserve"> – на 7,3%, с 44,4 тыс. до 41,4 тыс. детей; 2019 г</w:t>
      </w:r>
      <w:r w:rsidR="006B6051">
        <w:rPr>
          <w:rFonts w:ascii="Times New Roman" w:eastAsia="Times New Roman" w:hAnsi="Times New Roman" w:cs="Times New Roman"/>
          <w:sz w:val="28"/>
          <w:szCs w:val="28"/>
          <w:lang w:eastAsia="ar-SA"/>
        </w:rPr>
        <w:t>.</w:t>
      </w:r>
      <w:r w:rsidRPr="007B0916">
        <w:rPr>
          <w:rFonts w:ascii="Times New Roman" w:eastAsia="Times New Roman" w:hAnsi="Times New Roman" w:cs="Times New Roman"/>
          <w:sz w:val="28"/>
          <w:szCs w:val="28"/>
          <w:lang w:eastAsia="ar-SA"/>
        </w:rPr>
        <w:t xml:space="preserve"> – на 6%, с 47,2 тыс. до 44,4 тыс. детей).</w:t>
      </w:r>
    </w:p>
    <w:p w14:paraId="40E70507" w14:textId="77777777" w:rsidR="007B0916" w:rsidRPr="007B0916" w:rsidRDefault="007B0916" w:rsidP="007B0916">
      <w:pPr>
        <w:widowControl w:val="0"/>
        <w:pBdr>
          <w:bottom w:val="single" w:sz="6" w:space="31" w:color="FFFFFF"/>
        </w:pBdr>
        <w:shd w:val="clear" w:color="auto" w:fill="FFFFFF"/>
        <w:suppressAutoHyphens/>
        <w:spacing w:after="0" w:line="312" w:lineRule="auto"/>
        <w:ind w:firstLine="709"/>
        <w:contextualSpacing/>
        <w:jc w:val="both"/>
        <w:rPr>
          <w:rFonts w:ascii="Times New Roman" w:eastAsia="Times New Roman" w:hAnsi="Times New Roman" w:cs="Times New Roman"/>
          <w:sz w:val="28"/>
          <w:szCs w:val="28"/>
          <w:lang w:eastAsia="ar-SA"/>
        </w:rPr>
      </w:pPr>
      <w:r w:rsidRPr="007B0916">
        <w:rPr>
          <w:rFonts w:ascii="Times New Roman" w:eastAsia="Times New Roman" w:hAnsi="Times New Roman" w:cs="Times New Roman"/>
          <w:sz w:val="28"/>
          <w:szCs w:val="28"/>
          <w:lang w:eastAsia="ar-SA"/>
        </w:rPr>
        <w:t>В 2021 г</w:t>
      </w:r>
      <w:r w:rsidR="00495D26">
        <w:rPr>
          <w:rFonts w:ascii="Times New Roman" w:eastAsia="Times New Roman" w:hAnsi="Times New Roman" w:cs="Times New Roman"/>
          <w:sz w:val="28"/>
          <w:szCs w:val="28"/>
          <w:lang w:eastAsia="ar-SA"/>
        </w:rPr>
        <w:t>.</w:t>
      </w:r>
      <w:r w:rsidRPr="007B0916">
        <w:rPr>
          <w:rFonts w:ascii="Times New Roman" w:eastAsia="Times New Roman" w:hAnsi="Times New Roman" w:cs="Times New Roman"/>
          <w:sz w:val="28"/>
          <w:szCs w:val="28"/>
          <w:lang w:eastAsia="ar-SA"/>
        </w:rPr>
        <w:t xml:space="preserve"> были устроены в семьи 49 183 ребенка (2020 г</w:t>
      </w:r>
      <w:r w:rsidR="006B6051">
        <w:rPr>
          <w:rFonts w:ascii="Times New Roman" w:eastAsia="Times New Roman" w:hAnsi="Times New Roman" w:cs="Times New Roman"/>
          <w:sz w:val="28"/>
          <w:szCs w:val="28"/>
          <w:lang w:eastAsia="ar-SA"/>
        </w:rPr>
        <w:t>.</w:t>
      </w:r>
      <w:r w:rsidRPr="007B0916">
        <w:rPr>
          <w:rFonts w:ascii="Times New Roman" w:eastAsia="Times New Roman" w:hAnsi="Times New Roman" w:cs="Times New Roman"/>
          <w:sz w:val="28"/>
          <w:szCs w:val="28"/>
          <w:lang w:eastAsia="ar-SA"/>
        </w:rPr>
        <w:t xml:space="preserve"> – 45 708 детей</w:t>
      </w:r>
      <w:r w:rsidR="006B6051">
        <w:rPr>
          <w:rFonts w:ascii="Times New Roman" w:eastAsia="Times New Roman" w:hAnsi="Times New Roman" w:cs="Times New Roman"/>
          <w:sz w:val="28"/>
          <w:szCs w:val="28"/>
          <w:lang w:eastAsia="ar-SA"/>
        </w:rPr>
        <w:t xml:space="preserve">; </w:t>
      </w:r>
      <w:r w:rsidR="006B6051">
        <w:rPr>
          <w:rFonts w:ascii="Times New Roman" w:eastAsia="Times New Roman" w:hAnsi="Times New Roman" w:cs="Times New Roman"/>
          <w:sz w:val="28"/>
          <w:szCs w:val="28"/>
          <w:lang w:eastAsia="ar-SA"/>
        </w:rPr>
        <w:br/>
      </w:r>
      <w:r w:rsidRPr="007B0916">
        <w:rPr>
          <w:rFonts w:ascii="Times New Roman" w:eastAsia="Times New Roman" w:hAnsi="Times New Roman" w:cs="Times New Roman"/>
          <w:sz w:val="28"/>
          <w:szCs w:val="28"/>
          <w:lang w:eastAsia="ar-SA"/>
        </w:rPr>
        <w:t>2019 г</w:t>
      </w:r>
      <w:r w:rsidR="006B6051">
        <w:rPr>
          <w:rFonts w:ascii="Times New Roman" w:eastAsia="Times New Roman" w:hAnsi="Times New Roman" w:cs="Times New Roman"/>
          <w:sz w:val="28"/>
          <w:szCs w:val="28"/>
          <w:lang w:eastAsia="ar-SA"/>
        </w:rPr>
        <w:t>.</w:t>
      </w:r>
      <w:r w:rsidRPr="007B0916">
        <w:rPr>
          <w:rFonts w:ascii="Times New Roman" w:eastAsia="Times New Roman" w:hAnsi="Times New Roman" w:cs="Times New Roman"/>
          <w:sz w:val="28"/>
          <w:szCs w:val="28"/>
          <w:lang w:eastAsia="ar-SA"/>
        </w:rPr>
        <w:t xml:space="preserve"> – </w:t>
      </w:r>
      <w:r w:rsidRPr="007B0916">
        <w:rPr>
          <w:rFonts w:ascii="Times New Roman" w:eastAsia="Times New Roman" w:hAnsi="Times New Roman" w:cs="Times New Roman"/>
          <w:sz w:val="28"/>
          <w:szCs w:val="28"/>
          <w:lang w:eastAsia="ru-RU"/>
        </w:rPr>
        <w:t>50 357 детей</w:t>
      </w:r>
      <w:r w:rsidRPr="007B0916">
        <w:rPr>
          <w:rFonts w:ascii="Times New Roman" w:eastAsia="Times New Roman" w:hAnsi="Times New Roman" w:cs="Times New Roman"/>
          <w:sz w:val="28"/>
          <w:szCs w:val="28"/>
          <w:lang w:eastAsia="ar-SA"/>
        </w:rPr>
        <w:t>) из категории д</w:t>
      </w:r>
      <w:r w:rsidR="006B6051">
        <w:rPr>
          <w:rFonts w:ascii="Times New Roman" w:eastAsia="Times New Roman" w:hAnsi="Times New Roman" w:cs="Times New Roman"/>
          <w:sz w:val="28"/>
          <w:szCs w:val="28"/>
          <w:lang w:eastAsia="ar-SA"/>
        </w:rPr>
        <w:t xml:space="preserve">етей-сирот и детей, оставшихся </w:t>
      </w:r>
      <w:r w:rsidRPr="007B0916">
        <w:rPr>
          <w:rFonts w:ascii="Times New Roman" w:eastAsia="Times New Roman" w:hAnsi="Times New Roman" w:cs="Times New Roman"/>
          <w:sz w:val="28"/>
          <w:szCs w:val="28"/>
          <w:lang w:eastAsia="ar-SA"/>
        </w:rPr>
        <w:t>без попечения родителей. Это в том числе дет</w:t>
      </w:r>
      <w:r w:rsidR="006B6051">
        <w:rPr>
          <w:rFonts w:ascii="Times New Roman" w:eastAsia="Times New Roman" w:hAnsi="Times New Roman" w:cs="Times New Roman"/>
          <w:sz w:val="28"/>
          <w:szCs w:val="28"/>
          <w:lang w:eastAsia="ar-SA"/>
        </w:rPr>
        <w:t xml:space="preserve">и, переданные на безвозмездную </w:t>
      </w:r>
      <w:r w:rsidRPr="007B0916">
        <w:rPr>
          <w:rFonts w:ascii="Times New Roman" w:eastAsia="Times New Roman" w:hAnsi="Times New Roman" w:cs="Times New Roman"/>
          <w:sz w:val="28"/>
          <w:szCs w:val="28"/>
          <w:lang w:eastAsia="ar-SA"/>
        </w:rPr>
        <w:t>и возмездную формы опеки, дети, находящиеся под пр</w:t>
      </w:r>
      <w:r w:rsidR="006B6051">
        <w:rPr>
          <w:rFonts w:ascii="Times New Roman" w:eastAsia="Times New Roman" w:hAnsi="Times New Roman" w:cs="Times New Roman"/>
          <w:sz w:val="28"/>
          <w:szCs w:val="28"/>
          <w:lang w:eastAsia="ar-SA"/>
        </w:rPr>
        <w:t xml:space="preserve">едварительной опекой </w:t>
      </w:r>
      <w:r w:rsidRPr="007B0916">
        <w:rPr>
          <w:rFonts w:ascii="Times New Roman" w:eastAsia="Times New Roman" w:hAnsi="Times New Roman" w:cs="Times New Roman"/>
          <w:sz w:val="28"/>
          <w:szCs w:val="28"/>
          <w:lang w:eastAsia="ar-SA"/>
        </w:rPr>
        <w:t xml:space="preserve">на конец отчетного года, а также дети, возвращенные биологическим родителям </w:t>
      </w:r>
      <w:r w:rsidR="008A0309">
        <w:rPr>
          <w:rFonts w:ascii="Times New Roman" w:eastAsia="Times New Roman" w:hAnsi="Times New Roman" w:cs="Times New Roman"/>
          <w:sz w:val="28"/>
          <w:szCs w:val="28"/>
          <w:lang w:eastAsia="ar-SA"/>
        </w:rPr>
        <w:t>из организаций для детей-сирот.</w:t>
      </w:r>
    </w:p>
    <w:p w14:paraId="79B8B535" w14:textId="77777777" w:rsidR="007B0916" w:rsidRPr="007B0916" w:rsidRDefault="007B0916" w:rsidP="007B0916">
      <w:pPr>
        <w:widowControl w:val="0"/>
        <w:pBdr>
          <w:bottom w:val="single" w:sz="6" w:space="31" w:color="FFFFFF"/>
        </w:pBdr>
        <w:shd w:val="clear" w:color="auto" w:fill="FFFFFF"/>
        <w:suppressAutoHyphens/>
        <w:spacing w:after="0" w:line="312" w:lineRule="auto"/>
        <w:ind w:firstLine="709"/>
        <w:contextualSpacing/>
        <w:jc w:val="both"/>
        <w:rPr>
          <w:rFonts w:ascii="Times New Roman" w:eastAsia="Times New Roman" w:hAnsi="Times New Roman" w:cs="Times New Roman"/>
          <w:sz w:val="28"/>
          <w:szCs w:val="28"/>
          <w:lang w:eastAsia="ar-SA"/>
        </w:rPr>
      </w:pPr>
      <w:r w:rsidRPr="007B0916">
        <w:rPr>
          <w:rFonts w:ascii="Times New Roman" w:eastAsia="Times New Roman" w:hAnsi="Times New Roman" w:cs="Times New Roman"/>
          <w:sz w:val="28"/>
          <w:szCs w:val="28"/>
          <w:lang w:eastAsia="ar-SA"/>
        </w:rPr>
        <w:t>Следует отметить, что несмотря на периодически вводимые в субъектах Российской Федерации ограничительные меры ввиду санитарно-эпидемиологической обстановки, временную приостановку в некоторых субъектах Российской Федерации семейного устройства д</w:t>
      </w:r>
      <w:r w:rsidR="006B6051">
        <w:rPr>
          <w:rFonts w:ascii="Times New Roman" w:eastAsia="Times New Roman" w:hAnsi="Times New Roman" w:cs="Times New Roman"/>
          <w:sz w:val="28"/>
          <w:szCs w:val="28"/>
          <w:lang w:eastAsia="ar-SA"/>
        </w:rPr>
        <w:t xml:space="preserve">етей-сирот и детей, оставшихся </w:t>
      </w:r>
      <w:r w:rsidRPr="007B0916">
        <w:rPr>
          <w:rFonts w:ascii="Times New Roman" w:eastAsia="Times New Roman" w:hAnsi="Times New Roman" w:cs="Times New Roman"/>
          <w:sz w:val="28"/>
          <w:szCs w:val="28"/>
          <w:lang w:eastAsia="ar-SA"/>
        </w:rPr>
        <w:t>без попечения родителей, а также сложности в организации встреч и общения кандидатов с детьми, за последние 6 л</w:t>
      </w:r>
      <w:r w:rsidR="006B6051">
        <w:rPr>
          <w:rFonts w:ascii="Times New Roman" w:eastAsia="Times New Roman" w:hAnsi="Times New Roman" w:cs="Times New Roman"/>
          <w:sz w:val="28"/>
          <w:szCs w:val="28"/>
          <w:lang w:eastAsia="ar-SA"/>
        </w:rPr>
        <w:t>ет 2021 г</w:t>
      </w:r>
      <w:r w:rsidR="00495D26">
        <w:rPr>
          <w:rFonts w:ascii="Times New Roman" w:eastAsia="Times New Roman" w:hAnsi="Times New Roman" w:cs="Times New Roman"/>
          <w:sz w:val="28"/>
          <w:szCs w:val="28"/>
          <w:lang w:eastAsia="ar-SA"/>
        </w:rPr>
        <w:t>.</w:t>
      </w:r>
      <w:r w:rsidR="006B6051">
        <w:rPr>
          <w:rFonts w:ascii="Times New Roman" w:eastAsia="Times New Roman" w:hAnsi="Times New Roman" w:cs="Times New Roman"/>
          <w:sz w:val="28"/>
          <w:szCs w:val="28"/>
          <w:lang w:eastAsia="ar-SA"/>
        </w:rPr>
        <w:t xml:space="preserve"> стал первым годом, </w:t>
      </w:r>
      <w:r w:rsidRPr="007B0916">
        <w:rPr>
          <w:rFonts w:ascii="Times New Roman" w:eastAsia="Times New Roman" w:hAnsi="Times New Roman" w:cs="Times New Roman"/>
          <w:sz w:val="28"/>
          <w:szCs w:val="28"/>
          <w:lang w:eastAsia="ar-SA"/>
        </w:rPr>
        <w:t>когда зафиксирована положительная динамика показателя численности детей названных категорий, устроенных в семьи граждан</w:t>
      </w:r>
      <w:r w:rsidR="006C6866">
        <w:rPr>
          <w:rFonts w:ascii="Times New Roman" w:eastAsia="Times New Roman" w:hAnsi="Times New Roman" w:cs="Times New Roman"/>
          <w:sz w:val="28"/>
          <w:szCs w:val="28"/>
          <w:lang w:eastAsia="ar-SA"/>
        </w:rPr>
        <w:t>.</w:t>
      </w:r>
      <w:r w:rsidR="00547BAB">
        <w:rPr>
          <w:rFonts w:ascii="Times New Roman" w:eastAsia="Times New Roman" w:hAnsi="Times New Roman" w:cs="Times New Roman"/>
          <w:sz w:val="28"/>
          <w:szCs w:val="28"/>
          <w:lang w:eastAsia="ar-SA"/>
        </w:rPr>
        <w:t xml:space="preserve"> Р</w:t>
      </w:r>
      <w:r w:rsidRPr="007B0916">
        <w:rPr>
          <w:rFonts w:ascii="Times New Roman" w:eastAsia="Times New Roman" w:hAnsi="Times New Roman" w:cs="Times New Roman"/>
          <w:sz w:val="28"/>
          <w:szCs w:val="28"/>
          <w:lang w:eastAsia="ar-SA"/>
        </w:rPr>
        <w:t>ост данного показателя со</w:t>
      </w:r>
      <w:r w:rsidR="00495D26">
        <w:rPr>
          <w:rFonts w:ascii="Times New Roman" w:eastAsia="Times New Roman" w:hAnsi="Times New Roman" w:cs="Times New Roman"/>
          <w:sz w:val="28"/>
          <w:szCs w:val="28"/>
          <w:lang w:eastAsia="ar-SA"/>
        </w:rPr>
        <w:t>ставил 8% по сравнению с 2020 г</w:t>
      </w:r>
      <w:r w:rsidRPr="007B0916">
        <w:rPr>
          <w:rFonts w:ascii="Times New Roman" w:eastAsia="Times New Roman" w:hAnsi="Times New Roman" w:cs="Times New Roman"/>
          <w:sz w:val="28"/>
          <w:szCs w:val="28"/>
          <w:lang w:eastAsia="ar-SA"/>
        </w:rPr>
        <w:t>.</w:t>
      </w:r>
    </w:p>
    <w:p w14:paraId="3E0CA006" w14:textId="77777777" w:rsidR="007B0916" w:rsidRPr="007B0916" w:rsidRDefault="007B0916" w:rsidP="007B0916">
      <w:pPr>
        <w:widowControl w:val="0"/>
        <w:pBdr>
          <w:bottom w:val="single" w:sz="6" w:space="31" w:color="FFFFFF"/>
        </w:pBdr>
        <w:shd w:val="clear" w:color="auto" w:fill="FFFFFF"/>
        <w:suppressAutoHyphens/>
        <w:spacing w:after="0" w:line="312" w:lineRule="auto"/>
        <w:ind w:firstLine="709"/>
        <w:contextualSpacing/>
        <w:jc w:val="both"/>
        <w:rPr>
          <w:rFonts w:ascii="Times New Roman" w:eastAsia="Times New Roman" w:hAnsi="Times New Roman" w:cs="Times New Roman"/>
          <w:sz w:val="28"/>
          <w:szCs w:val="28"/>
          <w:lang w:eastAsia="ar-SA"/>
        </w:rPr>
      </w:pPr>
      <w:r w:rsidRPr="007B0916">
        <w:rPr>
          <w:rFonts w:ascii="Times New Roman" w:eastAsia="Times New Roman" w:hAnsi="Times New Roman" w:cs="Times New Roman"/>
          <w:sz w:val="28"/>
          <w:szCs w:val="28"/>
          <w:lang w:eastAsia="ar-SA"/>
        </w:rPr>
        <w:t>Кроме того, если сравнивать число д</w:t>
      </w:r>
      <w:r w:rsidR="006B6051">
        <w:rPr>
          <w:rFonts w:ascii="Times New Roman" w:eastAsia="Times New Roman" w:hAnsi="Times New Roman" w:cs="Times New Roman"/>
          <w:sz w:val="28"/>
          <w:szCs w:val="28"/>
          <w:lang w:eastAsia="ar-SA"/>
        </w:rPr>
        <w:t xml:space="preserve">етей-сирот и детей, оставшихся </w:t>
      </w:r>
      <w:r w:rsidRPr="007B0916">
        <w:rPr>
          <w:rFonts w:ascii="Times New Roman" w:eastAsia="Times New Roman" w:hAnsi="Times New Roman" w:cs="Times New Roman"/>
          <w:sz w:val="28"/>
          <w:szCs w:val="28"/>
          <w:lang w:eastAsia="ar-SA"/>
        </w:rPr>
        <w:t>без попечения родителей, устроенных в</w:t>
      </w:r>
      <w:r w:rsidR="006B6051">
        <w:rPr>
          <w:rFonts w:ascii="Times New Roman" w:eastAsia="Times New Roman" w:hAnsi="Times New Roman" w:cs="Times New Roman"/>
          <w:sz w:val="28"/>
          <w:szCs w:val="28"/>
          <w:lang w:eastAsia="ar-SA"/>
        </w:rPr>
        <w:t xml:space="preserve"> семьи граждан, с численностью </w:t>
      </w:r>
      <w:r w:rsidRPr="007B0916">
        <w:rPr>
          <w:rFonts w:ascii="Times New Roman" w:eastAsia="Times New Roman" w:hAnsi="Times New Roman" w:cs="Times New Roman"/>
          <w:sz w:val="28"/>
          <w:szCs w:val="28"/>
          <w:lang w:eastAsia="ar-SA"/>
        </w:rPr>
        <w:t>выявленных детей, то получается, что передано в семьи в 2021 г</w:t>
      </w:r>
      <w:r w:rsidR="00495D26">
        <w:rPr>
          <w:rFonts w:ascii="Times New Roman" w:eastAsia="Times New Roman" w:hAnsi="Times New Roman" w:cs="Times New Roman"/>
          <w:sz w:val="28"/>
          <w:szCs w:val="28"/>
          <w:lang w:eastAsia="ar-SA"/>
        </w:rPr>
        <w:t>.</w:t>
      </w:r>
      <w:r w:rsidRPr="007B0916">
        <w:rPr>
          <w:rFonts w:ascii="Times New Roman" w:eastAsia="Times New Roman" w:hAnsi="Times New Roman" w:cs="Times New Roman"/>
          <w:sz w:val="28"/>
          <w:szCs w:val="28"/>
          <w:lang w:eastAsia="ar-SA"/>
        </w:rPr>
        <w:t xml:space="preserve"> на 5% детей больше, чем выявлено (2020 г</w:t>
      </w:r>
      <w:r w:rsidR="006B6051">
        <w:rPr>
          <w:rFonts w:ascii="Times New Roman" w:eastAsia="Times New Roman" w:hAnsi="Times New Roman" w:cs="Times New Roman"/>
          <w:sz w:val="28"/>
          <w:szCs w:val="28"/>
          <w:lang w:eastAsia="ar-SA"/>
        </w:rPr>
        <w:t>.</w:t>
      </w:r>
      <w:r w:rsidRPr="007B0916">
        <w:rPr>
          <w:rFonts w:ascii="Times New Roman" w:eastAsia="Times New Roman" w:hAnsi="Times New Roman" w:cs="Times New Roman"/>
          <w:sz w:val="28"/>
          <w:szCs w:val="28"/>
          <w:lang w:eastAsia="ar-SA"/>
        </w:rPr>
        <w:t xml:space="preserve"> – на 5,3%; 2019 г</w:t>
      </w:r>
      <w:r w:rsidR="006B6051">
        <w:rPr>
          <w:rFonts w:ascii="Times New Roman" w:eastAsia="Times New Roman" w:hAnsi="Times New Roman" w:cs="Times New Roman"/>
          <w:sz w:val="28"/>
          <w:szCs w:val="28"/>
          <w:lang w:eastAsia="ar-SA"/>
        </w:rPr>
        <w:t>.</w:t>
      </w:r>
      <w:r w:rsidRPr="007B0916">
        <w:rPr>
          <w:rFonts w:ascii="Times New Roman" w:eastAsia="Times New Roman" w:hAnsi="Times New Roman" w:cs="Times New Roman"/>
          <w:sz w:val="28"/>
          <w:szCs w:val="28"/>
          <w:lang w:eastAsia="ar-SA"/>
        </w:rPr>
        <w:t xml:space="preserve"> – на 7,6%).</w:t>
      </w:r>
    </w:p>
    <w:p w14:paraId="0563E412" w14:textId="6CB54CEA" w:rsidR="007B0916" w:rsidRDefault="007B0916" w:rsidP="007B0916">
      <w:pPr>
        <w:widowControl w:val="0"/>
        <w:pBdr>
          <w:bottom w:val="single" w:sz="6" w:space="31" w:color="FFFFFF"/>
        </w:pBdr>
        <w:shd w:val="clear" w:color="auto" w:fill="FFFFFF"/>
        <w:suppressAutoHyphens/>
        <w:spacing w:after="0" w:line="312" w:lineRule="auto"/>
        <w:ind w:firstLine="709"/>
        <w:contextualSpacing/>
        <w:jc w:val="both"/>
        <w:rPr>
          <w:rFonts w:ascii="Times New Roman" w:eastAsia="Times New Roman" w:hAnsi="Times New Roman" w:cs="Times New Roman"/>
          <w:sz w:val="28"/>
          <w:szCs w:val="28"/>
          <w:lang w:eastAsia="ar-SA"/>
        </w:rPr>
      </w:pPr>
      <w:r w:rsidRPr="007B0916">
        <w:rPr>
          <w:rFonts w:ascii="Times New Roman" w:eastAsia="Times New Roman" w:hAnsi="Times New Roman" w:cs="Times New Roman"/>
          <w:sz w:val="28"/>
          <w:szCs w:val="28"/>
          <w:lang w:eastAsia="ar-SA"/>
        </w:rPr>
        <w:t>В 2021 г</w:t>
      </w:r>
      <w:r w:rsidR="00495D26">
        <w:rPr>
          <w:rFonts w:ascii="Times New Roman" w:eastAsia="Times New Roman" w:hAnsi="Times New Roman" w:cs="Times New Roman"/>
          <w:sz w:val="28"/>
          <w:szCs w:val="28"/>
          <w:lang w:eastAsia="ar-SA"/>
        </w:rPr>
        <w:t>.</w:t>
      </w:r>
      <w:r w:rsidRPr="007B0916">
        <w:rPr>
          <w:rFonts w:ascii="Times New Roman" w:eastAsia="Times New Roman" w:hAnsi="Times New Roman" w:cs="Times New Roman"/>
          <w:sz w:val="28"/>
          <w:szCs w:val="28"/>
          <w:lang w:eastAsia="ar-SA"/>
        </w:rPr>
        <w:t xml:space="preserve"> общая численность д</w:t>
      </w:r>
      <w:r w:rsidR="006B6051">
        <w:rPr>
          <w:rFonts w:ascii="Times New Roman" w:eastAsia="Times New Roman" w:hAnsi="Times New Roman" w:cs="Times New Roman"/>
          <w:sz w:val="28"/>
          <w:szCs w:val="28"/>
          <w:lang w:eastAsia="ar-SA"/>
        </w:rPr>
        <w:t xml:space="preserve">етей-сирот и детей, оставшихся </w:t>
      </w:r>
      <w:r w:rsidRPr="007B0916">
        <w:rPr>
          <w:rFonts w:ascii="Times New Roman" w:eastAsia="Times New Roman" w:hAnsi="Times New Roman" w:cs="Times New Roman"/>
          <w:sz w:val="28"/>
          <w:szCs w:val="28"/>
          <w:lang w:eastAsia="ar-SA"/>
        </w:rPr>
        <w:t>без попечения родителей, учтенных на конец отчетного года в субъектах Российской Федерации, составляла 390 949 детей (2020 г</w:t>
      </w:r>
      <w:r w:rsidR="006B6051">
        <w:rPr>
          <w:rFonts w:ascii="Times New Roman" w:eastAsia="Times New Roman" w:hAnsi="Times New Roman" w:cs="Times New Roman"/>
          <w:sz w:val="28"/>
          <w:szCs w:val="28"/>
          <w:lang w:eastAsia="ar-SA"/>
        </w:rPr>
        <w:t>.</w:t>
      </w:r>
      <w:r w:rsidRPr="007B0916">
        <w:rPr>
          <w:rFonts w:ascii="Times New Roman" w:eastAsia="Times New Roman" w:hAnsi="Times New Roman" w:cs="Times New Roman"/>
          <w:sz w:val="28"/>
          <w:szCs w:val="28"/>
          <w:lang w:eastAsia="ar-SA"/>
        </w:rPr>
        <w:t xml:space="preserve"> – 406 138; 2019 г</w:t>
      </w:r>
      <w:r w:rsidR="006B6051">
        <w:rPr>
          <w:rFonts w:ascii="Times New Roman" w:eastAsia="Times New Roman" w:hAnsi="Times New Roman" w:cs="Times New Roman"/>
          <w:sz w:val="28"/>
          <w:szCs w:val="28"/>
          <w:lang w:eastAsia="ar-SA"/>
        </w:rPr>
        <w:t>.</w:t>
      </w:r>
      <w:r w:rsidRPr="007B0916">
        <w:rPr>
          <w:rFonts w:ascii="Times New Roman" w:eastAsia="Times New Roman" w:hAnsi="Times New Roman" w:cs="Times New Roman"/>
          <w:sz w:val="28"/>
          <w:szCs w:val="28"/>
          <w:lang w:eastAsia="ar-SA"/>
        </w:rPr>
        <w:t xml:space="preserve"> – 423 047; 2018 г</w:t>
      </w:r>
      <w:r w:rsidR="006B6051">
        <w:rPr>
          <w:rFonts w:ascii="Times New Roman" w:eastAsia="Times New Roman" w:hAnsi="Times New Roman" w:cs="Times New Roman"/>
          <w:sz w:val="28"/>
          <w:szCs w:val="28"/>
          <w:lang w:eastAsia="ar-SA"/>
        </w:rPr>
        <w:t>.</w:t>
      </w:r>
      <w:r w:rsidRPr="007B0916">
        <w:rPr>
          <w:rFonts w:ascii="Times New Roman" w:eastAsia="Times New Roman" w:hAnsi="Times New Roman" w:cs="Times New Roman"/>
          <w:sz w:val="28"/>
          <w:szCs w:val="28"/>
          <w:lang w:eastAsia="ar-SA"/>
        </w:rPr>
        <w:t xml:space="preserve"> – 436 345), из них 351 203 ребенка находились на воспитании в семьях, что составляло 89,8% </w:t>
      </w:r>
      <w:r w:rsidR="003A3715">
        <w:rPr>
          <w:rFonts w:ascii="Times New Roman" w:eastAsia="Times New Roman" w:hAnsi="Times New Roman" w:cs="Times New Roman"/>
          <w:sz w:val="28"/>
          <w:szCs w:val="28"/>
          <w:lang w:eastAsia="ar-SA"/>
        </w:rPr>
        <w:br/>
      </w:r>
      <w:r w:rsidRPr="007B0916">
        <w:rPr>
          <w:rFonts w:ascii="Times New Roman" w:eastAsia="Times New Roman" w:hAnsi="Times New Roman" w:cs="Times New Roman"/>
          <w:sz w:val="28"/>
          <w:szCs w:val="28"/>
          <w:lang w:eastAsia="ar-SA"/>
        </w:rPr>
        <w:t>(2020 г</w:t>
      </w:r>
      <w:r w:rsidR="006B6051">
        <w:rPr>
          <w:rFonts w:ascii="Times New Roman" w:eastAsia="Times New Roman" w:hAnsi="Times New Roman" w:cs="Times New Roman"/>
          <w:sz w:val="28"/>
          <w:szCs w:val="28"/>
          <w:lang w:eastAsia="ar-SA"/>
        </w:rPr>
        <w:t>.</w:t>
      </w:r>
      <w:r w:rsidRPr="007B0916">
        <w:rPr>
          <w:rFonts w:ascii="Times New Roman" w:eastAsia="Times New Roman" w:hAnsi="Times New Roman" w:cs="Times New Roman"/>
          <w:sz w:val="28"/>
          <w:szCs w:val="28"/>
          <w:lang w:eastAsia="ar-SA"/>
        </w:rPr>
        <w:t xml:space="preserve"> – </w:t>
      </w:r>
      <w:r w:rsidR="006B6051">
        <w:rPr>
          <w:rFonts w:ascii="Times New Roman" w:eastAsia="Times New Roman" w:hAnsi="Times New Roman" w:cs="Times New Roman"/>
          <w:sz w:val="28"/>
          <w:szCs w:val="28"/>
          <w:lang w:eastAsia="ar-SA"/>
        </w:rPr>
        <w:t xml:space="preserve">364 311, что составляло 89,7%; </w:t>
      </w:r>
      <w:r w:rsidRPr="007B0916">
        <w:rPr>
          <w:rFonts w:ascii="Times New Roman" w:eastAsia="Times New Roman" w:hAnsi="Times New Roman" w:cs="Times New Roman"/>
          <w:sz w:val="28"/>
          <w:szCs w:val="28"/>
          <w:lang w:eastAsia="ar-SA"/>
        </w:rPr>
        <w:t>2019 г</w:t>
      </w:r>
      <w:r w:rsidR="006B6051">
        <w:rPr>
          <w:rFonts w:ascii="Times New Roman" w:eastAsia="Times New Roman" w:hAnsi="Times New Roman" w:cs="Times New Roman"/>
          <w:sz w:val="28"/>
          <w:szCs w:val="28"/>
          <w:lang w:eastAsia="ar-SA"/>
        </w:rPr>
        <w:t>.</w:t>
      </w:r>
      <w:r w:rsidRPr="007B0916">
        <w:rPr>
          <w:rFonts w:ascii="Times New Roman" w:eastAsia="Times New Roman" w:hAnsi="Times New Roman" w:cs="Times New Roman"/>
          <w:sz w:val="28"/>
          <w:szCs w:val="28"/>
          <w:lang w:eastAsia="ar-SA"/>
        </w:rPr>
        <w:t xml:space="preserve"> – 378 450, что составляло</w:t>
      </w:r>
      <w:r w:rsidR="00EB5C70">
        <w:rPr>
          <w:rFonts w:ascii="Times New Roman" w:eastAsia="Times New Roman" w:hAnsi="Times New Roman" w:cs="Times New Roman"/>
          <w:sz w:val="28"/>
          <w:szCs w:val="28"/>
          <w:lang w:eastAsia="ar-SA"/>
        </w:rPr>
        <w:t xml:space="preserve"> 89,5%; </w:t>
      </w:r>
      <w:r w:rsidR="003A3715">
        <w:rPr>
          <w:rFonts w:ascii="Times New Roman" w:eastAsia="Times New Roman" w:hAnsi="Times New Roman" w:cs="Times New Roman"/>
          <w:sz w:val="28"/>
          <w:szCs w:val="28"/>
          <w:lang w:eastAsia="ar-SA"/>
        </w:rPr>
        <w:br/>
      </w:r>
      <w:r w:rsidR="006B6051">
        <w:rPr>
          <w:rFonts w:ascii="Times New Roman" w:eastAsia="Times New Roman" w:hAnsi="Times New Roman" w:cs="Times New Roman"/>
          <w:sz w:val="28"/>
          <w:szCs w:val="28"/>
          <w:lang w:eastAsia="ar-SA"/>
        </w:rPr>
        <w:t xml:space="preserve">2018 г. – 388 763, </w:t>
      </w:r>
      <w:r w:rsidRPr="007B0916">
        <w:rPr>
          <w:rFonts w:ascii="Times New Roman" w:eastAsia="Times New Roman" w:hAnsi="Times New Roman" w:cs="Times New Roman"/>
          <w:sz w:val="28"/>
          <w:szCs w:val="28"/>
          <w:lang w:eastAsia="ar-SA"/>
        </w:rPr>
        <w:t>что составляло 89,3%).</w:t>
      </w:r>
    </w:p>
    <w:p w14:paraId="64312A81" w14:textId="028924C5" w:rsidR="00401F00" w:rsidRDefault="007B0916" w:rsidP="007B0916">
      <w:pPr>
        <w:widowControl w:val="0"/>
        <w:pBdr>
          <w:bottom w:val="single" w:sz="6" w:space="31" w:color="FFFFFF"/>
        </w:pBdr>
        <w:shd w:val="clear" w:color="auto" w:fill="FFFFFF"/>
        <w:suppressAutoHyphens/>
        <w:spacing w:after="0" w:line="312" w:lineRule="auto"/>
        <w:ind w:firstLine="709"/>
        <w:contextualSpacing/>
        <w:jc w:val="both"/>
        <w:rPr>
          <w:rFonts w:ascii="Times New Roman" w:eastAsia="Times New Roman" w:hAnsi="Times New Roman" w:cs="Times New Roman"/>
          <w:sz w:val="28"/>
          <w:szCs w:val="28"/>
          <w:lang w:eastAsia="ar-SA"/>
        </w:rPr>
      </w:pPr>
      <w:r w:rsidRPr="007B0916">
        <w:rPr>
          <w:rFonts w:ascii="Times New Roman" w:eastAsia="Times New Roman" w:hAnsi="Times New Roman" w:cs="Times New Roman"/>
          <w:sz w:val="28"/>
          <w:szCs w:val="28"/>
          <w:lang w:eastAsia="ar-SA"/>
        </w:rPr>
        <w:t>В конце 2021 г</w:t>
      </w:r>
      <w:r w:rsidR="00495D26">
        <w:rPr>
          <w:rFonts w:ascii="Times New Roman" w:eastAsia="Times New Roman" w:hAnsi="Times New Roman" w:cs="Times New Roman"/>
          <w:sz w:val="28"/>
          <w:szCs w:val="28"/>
          <w:lang w:eastAsia="ar-SA"/>
        </w:rPr>
        <w:t>.</w:t>
      </w:r>
      <w:r w:rsidRPr="007B0916">
        <w:rPr>
          <w:rFonts w:ascii="Times New Roman" w:eastAsia="Times New Roman" w:hAnsi="Times New Roman" w:cs="Times New Roman"/>
          <w:sz w:val="28"/>
          <w:szCs w:val="28"/>
          <w:lang w:eastAsia="ar-SA"/>
        </w:rPr>
        <w:t xml:space="preserve"> 840 организаций осуществляли</w:t>
      </w:r>
      <w:r w:rsidR="006B6051">
        <w:rPr>
          <w:rFonts w:ascii="Times New Roman" w:eastAsia="Times New Roman" w:hAnsi="Times New Roman" w:cs="Times New Roman"/>
          <w:sz w:val="28"/>
          <w:szCs w:val="28"/>
          <w:lang w:eastAsia="ar-SA"/>
        </w:rPr>
        <w:t xml:space="preserve"> полномочие органа опеки </w:t>
      </w:r>
      <w:r w:rsidRPr="007B0916">
        <w:rPr>
          <w:rFonts w:ascii="Times New Roman" w:eastAsia="Times New Roman" w:hAnsi="Times New Roman" w:cs="Times New Roman"/>
          <w:sz w:val="28"/>
          <w:szCs w:val="28"/>
          <w:lang w:eastAsia="ar-SA"/>
        </w:rPr>
        <w:t>и попечительства по подготовке граждан, выра</w:t>
      </w:r>
      <w:r w:rsidR="006B6051">
        <w:rPr>
          <w:rFonts w:ascii="Times New Roman" w:eastAsia="Times New Roman" w:hAnsi="Times New Roman" w:cs="Times New Roman"/>
          <w:sz w:val="28"/>
          <w:szCs w:val="28"/>
          <w:lang w:eastAsia="ar-SA"/>
        </w:rPr>
        <w:t xml:space="preserve">зивших желание стать опекунами </w:t>
      </w:r>
      <w:r w:rsidRPr="007B0916">
        <w:rPr>
          <w:rFonts w:ascii="Times New Roman" w:eastAsia="Times New Roman" w:hAnsi="Times New Roman" w:cs="Times New Roman"/>
          <w:sz w:val="28"/>
          <w:szCs w:val="28"/>
          <w:lang w:eastAsia="ar-SA"/>
        </w:rPr>
        <w:t>или попечителями либо принять детей, остав</w:t>
      </w:r>
      <w:r w:rsidR="006B6051">
        <w:rPr>
          <w:rFonts w:ascii="Times New Roman" w:eastAsia="Times New Roman" w:hAnsi="Times New Roman" w:cs="Times New Roman"/>
          <w:sz w:val="28"/>
          <w:szCs w:val="28"/>
          <w:lang w:eastAsia="ar-SA"/>
        </w:rPr>
        <w:t xml:space="preserve">шихся без попечения родителей, </w:t>
      </w:r>
      <w:r w:rsidRPr="007B0916">
        <w:rPr>
          <w:rFonts w:ascii="Times New Roman" w:eastAsia="Times New Roman" w:hAnsi="Times New Roman" w:cs="Times New Roman"/>
          <w:sz w:val="28"/>
          <w:szCs w:val="28"/>
          <w:lang w:eastAsia="ar-SA"/>
        </w:rPr>
        <w:t>в семью на воспитание в иных установлен</w:t>
      </w:r>
      <w:r w:rsidR="006B6051">
        <w:rPr>
          <w:rFonts w:ascii="Times New Roman" w:eastAsia="Times New Roman" w:hAnsi="Times New Roman" w:cs="Times New Roman"/>
          <w:sz w:val="28"/>
          <w:szCs w:val="28"/>
          <w:lang w:eastAsia="ar-SA"/>
        </w:rPr>
        <w:t xml:space="preserve">ных семейным законодательством </w:t>
      </w:r>
      <w:r w:rsidRPr="007B0916">
        <w:rPr>
          <w:rFonts w:ascii="Times New Roman" w:eastAsia="Times New Roman" w:hAnsi="Times New Roman" w:cs="Times New Roman"/>
          <w:sz w:val="28"/>
          <w:szCs w:val="28"/>
          <w:lang w:eastAsia="ar-SA"/>
        </w:rPr>
        <w:t xml:space="preserve">формах </w:t>
      </w:r>
      <w:r w:rsidR="003A3715">
        <w:rPr>
          <w:rFonts w:ascii="Times New Roman" w:eastAsia="Times New Roman" w:hAnsi="Times New Roman" w:cs="Times New Roman"/>
          <w:sz w:val="28"/>
          <w:szCs w:val="28"/>
          <w:lang w:eastAsia="ar-SA"/>
        </w:rPr>
        <w:br/>
      </w:r>
      <w:r w:rsidRPr="007B0916">
        <w:rPr>
          <w:rFonts w:ascii="Times New Roman" w:eastAsia="Times New Roman" w:hAnsi="Times New Roman" w:cs="Times New Roman"/>
          <w:sz w:val="28"/>
          <w:szCs w:val="28"/>
          <w:lang w:eastAsia="ar-SA"/>
        </w:rPr>
        <w:t>(2020 г</w:t>
      </w:r>
      <w:r w:rsidR="006B6051">
        <w:rPr>
          <w:rFonts w:ascii="Times New Roman" w:eastAsia="Times New Roman" w:hAnsi="Times New Roman" w:cs="Times New Roman"/>
          <w:sz w:val="28"/>
          <w:szCs w:val="28"/>
          <w:lang w:eastAsia="ar-SA"/>
        </w:rPr>
        <w:t>.</w:t>
      </w:r>
      <w:r w:rsidRPr="007B0916">
        <w:rPr>
          <w:rFonts w:ascii="Times New Roman" w:eastAsia="Times New Roman" w:hAnsi="Times New Roman" w:cs="Times New Roman"/>
          <w:sz w:val="28"/>
          <w:szCs w:val="28"/>
          <w:lang w:eastAsia="ar-SA"/>
        </w:rPr>
        <w:t xml:space="preserve"> – 908 организаций;</w:t>
      </w:r>
      <w:r w:rsidR="006B6051">
        <w:rPr>
          <w:rFonts w:ascii="Times New Roman" w:eastAsia="Times New Roman" w:hAnsi="Times New Roman" w:cs="Times New Roman"/>
          <w:sz w:val="28"/>
          <w:szCs w:val="28"/>
          <w:lang w:eastAsia="ar-SA"/>
        </w:rPr>
        <w:t xml:space="preserve"> 2019 г. – 906 организаций;</w:t>
      </w:r>
      <w:r w:rsidRPr="007B0916">
        <w:rPr>
          <w:rFonts w:ascii="Times New Roman" w:eastAsia="Times New Roman" w:hAnsi="Times New Roman" w:cs="Times New Roman"/>
          <w:sz w:val="28"/>
          <w:szCs w:val="28"/>
          <w:lang w:eastAsia="ar-SA"/>
        </w:rPr>
        <w:t xml:space="preserve"> 2018 г</w:t>
      </w:r>
      <w:r w:rsidR="006B6051">
        <w:rPr>
          <w:rFonts w:ascii="Times New Roman" w:eastAsia="Times New Roman" w:hAnsi="Times New Roman" w:cs="Times New Roman"/>
          <w:sz w:val="28"/>
          <w:szCs w:val="28"/>
          <w:lang w:eastAsia="ar-SA"/>
        </w:rPr>
        <w:t>.</w:t>
      </w:r>
      <w:r w:rsidRPr="007B0916">
        <w:rPr>
          <w:rFonts w:ascii="Times New Roman" w:eastAsia="Times New Roman" w:hAnsi="Times New Roman" w:cs="Times New Roman"/>
          <w:sz w:val="28"/>
          <w:szCs w:val="28"/>
          <w:lang w:eastAsia="ar-SA"/>
        </w:rPr>
        <w:t xml:space="preserve"> – 861 организация), 3 623 организации предоставляли медицинскую, психологическую, педагогическую, ю</w:t>
      </w:r>
      <w:r w:rsidR="006B6051">
        <w:rPr>
          <w:rFonts w:ascii="Times New Roman" w:eastAsia="Times New Roman" w:hAnsi="Times New Roman" w:cs="Times New Roman"/>
          <w:sz w:val="28"/>
          <w:szCs w:val="28"/>
          <w:lang w:eastAsia="ar-SA"/>
        </w:rPr>
        <w:t xml:space="preserve">ридическую, социальную помощь, </w:t>
      </w:r>
      <w:r w:rsidRPr="007B0916">
        <w:rPr>
          <w:rFonts w:ascii="Times New Roman" w:eastAsia="Times New Roman" w:hAnsi="Times New Roman" w:cs="Times New Roman"/>
          <w:sz w:val="28"/>
          <w:szCs w:val="28"/>
          <w:lang w:eastAsia="ar-SA"/>
        </w:rPr>
        <w:t xml:space="preserve">не относящуюся к социальным услугам на основе межведомственного взаимодействия в соответствии с законодательством </w:t>
      </w:r>
      <w:r w:rsidR="006B6051">
        <w:rPr>
          <w:rFonts w:ascii="Times New Roman" w:eastAsia="Times New Roman" w:hAnsi="Times New Roman" w:cs="Times New Roman"/>
          <w:sz w:val="28"/>
          <w:szCs w:val="28"/>
          <w:lang w:eastAsia="ar-SA"/>
        </w:rPr>
        <w:t xml:space="preserve">Российской Федерации </w:t>
      </w:r>
      <w:r w:rsidRPr="007B0916">
        <w:rPr>
          <w:rFonts w:ascii="Times New Roman" w:eastAsia="Times New Roman" w:hAnsi="Times New Roman" w:cs="Times New Roman"/>
          <w:sz w:val="28"/>
          <w:szCs w:val="28"/>
          <w:lang w:eastAsia="ar-SA"/>
        </w:rPr>
        <w:t>о социальном обслуживании (</w:t>
      </w:r>
      <w:r w:rsidR="006B6051">
        <w:rPr>
          <w:rFonts w:ascii="Times New Roman" w:eastAsia="Times New Roman" w:hAnsi="Times New Roman" w:cs="Times New Roman"/>
          <w:sz w:val="28"/>
          <w:szCs w:val="28"/>
          <w:lang w:eastAsia="ar-SA"/>
        </w:rPr>
        <w:t>2020 г. – 3 123 организации;</w:t>
      </w:r>
      <w:r w:rsidR="006B6051" w:rsidRPr="007B0916">
        <w:rPr>
          <w:rFonts w:ascii="Times New Roman" w:eastAsia="Times New Roman" w:hAnsi="Times New Roman" w:cs="Times New Roman"/>
          <w:sz w:val="28"/>
          <w:szCs w:val="28"/>
          <w:lang w:eastAsia="ar-SA"/>
        </w:rPr>
        <w:t xml:space="preserve"> 2019 г</w:t>
      </w:r>
      <w:r w:rsidR="006B6051">
        <w:rPr>
          <w:rFonts w:ascii="Times New Roman" w:eastAsia="Times New Roman" w:hAnsi="Times New Roman" w:cs="Times New Roman"/>
          <w:sz w:val="28"/>
          <w:szCs w:val="28"/>
          <w:lang w:eastAsia="ar-SA"/>
        </w:rPr>
        <w:t>.</w:t>
      </w:r>
      <w:r w:rsidR="006B6051" w:rsidRPr="007B0916">
        <w:rPr>
          <w:rFonts w:ascii="Times New Roman" w:eastAsia="Times New Roman" w:hAnsi="Times New Roman" w:cs="Times New Roman"/>
          <w:sz w:val="28"/>
          <w:szCs w:val="28"/>
          <w:lang w:eastAsia="ar-SA"/>
        </w:rPr>
        <w:t xml:space="preserve"> –</w:t>
      </w:r>
      <w:r w:rsidR="006B6051">
        <w:rPr>
          <w:rFonts w:ascii="Times New Roman" w:eastAsia="Times New Roman" w:hAnsi="Times New Roman" w:cs="Times New Roman"/>
          <w:sz w:val="28"/>
          <w:szCs w:val="28"/>
          <w:lang w:eastAsia="ar-SA"/>
        </w:rPr>
        <w:t xml:space="preserve"> 3 047 организаций;</w:t>
      </w:r>
      <w:r w:rsidR="00A30E9E" w:rsidRPr="007B0916">
        <w:rPr>
          <w:rFonts w:ascii="Times New Roman" w:eastAsia="Times New Roman" w:hAnsi="Times New Roman" w:cs="Times New Roman"/>
          <w:sz w:val="28"/>
          <w:szCs w:val="28"/>
          <w:lang w:eastAsia="ar-SA"/>
        </w:rPr>
        <w:t> </w:t>
      </w:r>
      <w:r w:rsidRPr="007B0916">
        <w:rPr>
          <w:rFonts w:ascii="Times New Roman" w:eastAsia="Times New Roman" w:hAnsi="Times New Roman" w:cs="Times New Roman"/>
          <w:sz w:val="28"/>
          <w:szCs w:val="28"/>
          <w:lang w:eastAsia="ar-SA"/>
        </w:rPr>
        <w:t>2</w:t>
      </w:r>
      <w:r w:rsidR="006B6051">
        <w:rPr>
          <w:rFonts w:ascii="Times New Roman" w:eastAsia="Times New Roman" w:hAnsi="Times New Roman" w:cs="Times New Roman"/>
          <w:sz w:val="28"/>
          <w:szCs w:val="28"/>
          <w:lang w:eastAsia="ar-SA"/>
        </w:rPr>
        <w:t>018 г. – 3 860 организаций</w:t>
      </w:r>
      <w:r>
        <w:rPr>
          <w:rFonts w:ascii="Times New Roman" w:eastAsia="Times New Roman" w:hAnsi="Times New Roman" w:cs="Times New Roman"/>
          <w:sz w:val="28"/>
          <w:szCs w:val="28"/>
          <w:lang w:eastAsia="ar-SA"/>
        </w:rPr>
        <w:t>).</w:t>
      </w:r>
    </w:p>
    <w:p w14:paraId="4D3877E5" w14:textId="77777777" w:rsidR="007F6DAF" w:rsidRDefault="00D03A4F" w:rsidP="003C580E">
      <w:pPr>
        <w:shd w:val="clear" w:color="auto" w:fill="FFFFFF"/>
        <w:spacing w:after="240" w:line="312"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Устройство детей в организации для детей-сирот и детей, оставшихся без попечения родителей</w:t>
      </w:r>
    </w:p>
    <w:p w14:paraId="0A5C6EA7" w14:textId="77777777" w:rsidR="006539F9" w:rsidRPr="006539F9" w:rsidRDefault="006539F9" w:rsidP="007B0916">
      <w:pPr>
        <w:widowControl w:val="0"/>
        <w:pBdr>
          <w:bottom w:val="single" w:sz="6" w:space="30" w:color="FFFFFF"/>
        </w:pBdr>
        <w:shd w:val="clear" w:color="auto" w:fill="FFFFFF"/>
        <w:suppressAutoHyphens/>
        <w:spacing w:before="240" w:after="0" w:line="312" w:lineRule="auto"/>
        <w:ind w:firstLine="720"/>
        <w:jc w:val="both"/>
        <w:rPr>
          <w:rFonts w:ascii="Times New Roman" w:eastAsia="Times New Roman" w:hAnsi="Times New Roman" w:cs="Times New Roman"/>
          <w:sz w:val="28"/>
          <w:szCs w:val="28"/>
          <w:lang w:eastAsia="ru-RU"/>
        </w:rPr>
      </w:pPr>
      <w:r w:rsidRPr="006539F9">
        <w:rPr>
          <w:rFonts w:ascii="Times New Roman" w:eastAsia="Times New Roman" w:hAnsi="Times New Roman" w:cs="Times New Roman"/>
          <w:sz w:val="28"/>
          <w:szCs w:val="28"/>
          <w:lang w:eastAsia="ru-RU"/>
        </w:rPr>
        <w:t>В целях приведения деятельности организаций для детей-сирот и детей, оставшихся без попечения родителей, в соответствие с требованиями постановления Правительства Российской Федерации от 24 мая 2014 г. № 481 «О деятельности организаций для детей-сирот и детей, остав</w:t>
      </w:r>
      <w:r>
        <w:rPr>
          <w:rFonts w:ascii="Times New Roman" w:eastAsia="Times New Roman" w:hAnsi="Times New Roman" w:cs="Times New Roman"/>
          <w:sz w:val="28"/>
          <w:szCs w:val="28"/>
          <w:lang w:eastAsia="ru-RU"/>
        </w:rPr>
        <w:t xml:space="preserve">шихся без попечения родителей, </w:t>
      </w:r>
      <w:r w:rsidRPr="006539F9">
        <w:rPr>
          <w:rFonts w:ascii="Times New Roman" w:eastAsia="Times New Roman" w:hAnsi="Times New Roman" w:cs="Times New Roman"/>
          <w:sz w:val="28"/>
          <w:szCs w:val="28"/>
          <w:lang w:eastAsia="ru-RU"/>
        </w:rPr>
        <w:t>и об устройстве в них детей, оставшихся без попечения родителей» в субъектах Российской Федерации продолжается начавшийся в 2015 г</w:t>
      </w:r>
      <w:r w:rsidR="00495D26">
        <w:rPr>
          <w:rFonts w:ascii="Times New Roman" w:eastAsia="Times New Roman" w:hAnsi="Times New Roman" w:cs="Times New Roman"/>
          <w:sz w:val="28"/>
          <w:szCs w:val="28"/>
          <w:lang w:eastAsia="ru-RU"/>
        </w:rPr>
        <w:t>.</w:t>
      </w:r>
      <w:r w:rsidRPr="006539F9">
        <w:rPr>
          <w:rFonts w:ascii="Times New Roman" w:eastAsia="Times New Roman" w:hAnsi="Times New Roman" w:cs="Times New Roman"/>
          <w:sz w:val="28"/>
          <w:szCs w:val="28"/>
          <w:lang w:eastAsia="ru-RU"/>
        </w:rPr>
        <w:t xml:space="preserve"> процесс реструктуризации и реформирования сети организаций для детей-сирот и детей, оставшихся без попечения родителей. </w:t>
      </w:r>
    </w:p>
    <w:p w14:paraId="170DA3B5" w14:textId="3FD0ECCD" w:rsidR="006539F9" w:rsidRPr="006539F9" w:rsidRDefault="006539F9" w:rsidP="006539F9">
      <w:pPr>
        <w:widowControl w:val="0"/>
        <w:pBdr>
          <w:bottom w:val="single" w:sz="6" w:space="30" w:color="FFFFFF"/>
        </w:pBdr>
        <w:shd w:val="clear" w:color="auto" w:fill="FFFFFF"/>
        <w:suppressAutoHyphens/>
        <w:spacing w:after="0" w:line="312" w:lineRule="auto"/>
        <w:ind w:firstLine="720"/>
        <w:jc w:val="both"/>
        <w:rPr>
          <w:rFonts w:ascii="Times New Roman" w:eastAsia="Times New Roman" w:hAnsi="Times New Roman" w:cs="Times New Roman"/>
          <w:sz w:val="28"/>
          <w:szCs w:val="28"/>
          <w:lang w:eastAsia="ru-RU"/>
        </w:rPr>
      </w:pPr>
      <w:r w:rsidRPr="006539F9">
        <w:rPr>
          <w:rFonts w:ascii="Times New Roman" w:eastAsia="Times New Roman" w:hAnsi="Times New Roman" w:cs="Times New Roman"/>
          <w:sz w:val="28"/>
          <w:szCs w:val="28"/>
          <w:lang w:eastAsia="ru-RU"/>
        </w:rPr>
        <w:t>По итогам мониторинга, на конец 2021 г</w:t>
      </w:r>
      <w:r w:rsidR="00495D26">
        <w:rPr>
          <w:rFonts w:ascii="Times New Roman" w:eastAsia="Times New Roman" w:hAnsi="Times New Roman" w:cs="Times New Roman"/>
          <w:sz w:val="28"/>
          <w:szCs w:val="28"/>
          <w:lang w:eastAsia="ru-RU"/>
        </w:rPr>
        <w:t>.</w:t>
      </w:r>
      <w:r w:rsidRPr="006539F9">
        <w:rPr>
          <w:rFonts w:ascii="Times New Roman" w:eastAsia="Times New Roman" w:hAnsi="Times New Roman" w:cs="Times New Roman"/>
          <w:sz w:val="28"/>
          <w:szCs w:val="28"/>
          <w:lang w:eastAsia="ru-RU"/>
        </w:rPr>
        <w:t xml:space="preserve"> функционировало 1 127 организаций для детей-сирот и детей, оста</w:t>
      </w:r>
      <w:r>
        <w:rPr>
          <w:rFonts w:ascii="Times New Roman" w:eastAsia="Times New Roman" w:hAnsi="Times New Roman" w:cs="Times New Roman"/>
          <w:sz w:val="28"/>
          <w:szCs w:val="28"/>
          <w:lang w:eastAsia="ru-RU"/>
        </w:rPr>
        <w:t xml:space="preserve">вшихся без попечения родителей </w:t>
      </w:r>
      <w:r w:rsidRPr="006539F9">
        <w:rPr>
          <w:rFonts w:ascii="Times New Roman" w:eastAsia="Times New Roman" w:hAnsi="Times New Roman" w:cs="Times New Roman"/>
          <w:sz w:val="28"/>
          <w:szCs w:val="28"/>
          <w:lang w:eastAsia="ru-RU"/>
        </w:rPr>
        <w:t>(2020 г</w:t>
      </w:r>
      <w:r>
        <w:rPr>
          <w:rFonts w:ascii="Times New Roman" w:eastAsia="Times New Roman" w:hAnsi="Times New Roman" w:cs="Times New Roman"/>
          <w:sz w:val="28"/>
          <w:szCs w:val="28"/>
          <w:lang w:eastAsia="ru-RU"/>
        </w:rPr>
        <w:t>.</w:t>
      </w:r>
      <w:r w:rsidRPr="006539F9">
        <w:rPr>
          <w:rFonts w:ascii="Times New Roman" w:eastAsia="Times New Roman" w:hAnsi="Times New Roman" w:cs="Times New Roman"/>
          <w:sz w:val="28"/>
          <w:szCs w:val="28"/>
          <w:lang w:eastAsia="ru-RU"/>
        </w:rPr>
        <w:t xml:space="preserve"> – 1 198 организаций; 2019 г</w:t>
      </w:r>
      <w:r>
        <w:rPr>
          <w:rFonts w:ascii="Times New Roman" w:eastAsia="Times New Roman" w:hAnsi="Times New Roman" w:cs="Times New Roman"/>
          <w:sz w:val="28"/>
          <w:szCs w:val="28"/>
          <w:lang w:eastAsia="ru-RU"/>
        </w:rPr>
        <w:t xml:space="preserve">. – 1 200 организаций), </w:t>
      </w:r>
      <w:r w:rsidRPr="006539F9">
        <w:rPr>
          <w:rFonts w:ascii="Times New Roman" w:eastAsia="Times New Roman" w:hAnsi="Times New Roman" w:cs="Times New Roman"/>
          <w:sz w:val="28"/>
          <w:szCs w:val="28"/>
          <w:lang w:eastAsia="ru-RU"/>
        </w:rPr>
        <w:t>из них 440 организаций находятся в ведении органа исполнительной власти субъекта Российской Федерации в сфере образования (2020 г</w:t>
      </w:r>
      <w:r>
        <w:rPr>
          <w:rFonts w:ascii="Times New Roman" w:eastAsia="Times New Roman" w:hAnsi="Times New Roman" w:cs="Times New Roman"/>
          <w:sz w:val="28"/>
          <w:szCs w:val="28"/>
          <w:lang w:eastAsia="ru-RU"/>
        </w:rPr>
        <w:t xml:space="preserve">. – 487 организаций; </w:t>
      </w:r>
      <w:r w:rsidRPr="006539F9">
        <w:rPr>
          <w:rFonts w:ascii="Times New Roman" w:eastAsia="Times New Roman" w:hAnsi="Times New Roman" w:cs="Times New Roman"/>
          <w:sz w:val="28"/>
          <w:szCs w:val="28"/>
          <w:lang w:eastAsia="ru-RU"/>
        </w:rPr>
        <w:t>2019 г</w:t>
      </w:r>
      <w:r>
        <w:rPr>
          <w:rFonts w:ascii="Times New Roman" w:eastAsia="Times New Roman" w:hAnsi="Times New Roman" w:cs="Times New Roman"/>
          <w:sz w:val="28"/>
          <w:szCs w:val="28"/>
          <w:lang w:eastAsia="ru-RU"/>
        </w:rPr>
        <w:t>.</w:t>
      </w:r>
      <w:r w:rsidRPr="006539F9">
        <w:rPr>
          <w:rFonts w:ascii="Times New Roman" w:eastAsia="Times New Roman" w:hAnsi="Times New Roman" w:cs="Times New Roman"/>
          <w:sz w:val="28"/>
          <w:szCs w:val="28"/>
          <w:lang w:eastAsia="ru-RU"/>
        </w:rPr>
        <w:t xml:space="preserve"> – 542 организации), </w:t>
      </w:r>
      <w:r w:rsidR="00C36EB2">
        <w:rPr>
          <w:rFonts w:ascii="Times New Roman" w:eastAsia="Times New Roman" w:hAnsi="Times New Roman" w:cs="Times New Roman"/>
          <w:sz w:val="28"/>
          <w:szCs w:val="28"/>
          <w:lang w:eastAsia="ru-RU"/>
        </w:rPr>
        <w:br/>
      </w:r>
      <w:r w:rsidRPr="006539F9">
        <w:rPr>
          <w:rFonts w:ascii="Times New Roman" w:eastAsia="Times New Roman" w:hAnsi="Times New Roman" w:cs="Times New Roman"/>
          <w:sz w:val="28"/>
          <w:szCs w:val="28"/>
          <w:lang w:eastAsia="ru-RU"/>
        </w:rPr>
        <w:t>551 организаци</w:t>
      </w:r>
      <w:r>
        <w:rPr>
          <w:rFonts w:ascii="Times New Roman" w:eastAsia="Times New Roman" w:hAnsi="Times New Roman" w:cs="Times New Roman"/>
          <w:sz w:val="28"/>
          <w:szCs w:val="28"/>
          <w:lang w:eastAsia="ru-RU"/>
        </w:rPr>
        <w:t>я</w:t>
      </w:r>
      <w:r w:rsidRPr="006539F9">
        <w:rPr>
          <w:rFonts w:ascii="Times New Roman" w:eastAsia="Times New Roman" w:hAnsi="Times New Roman" w:cs="Times New Roman"/>
          <w:sz w:val="28"/>
          <w:szCs w:val="28"/>
          <w:lang w:eastAsia="ru-RU"/>
        </w:rPr>
        <w:t xml:space="preserve"> – в ведении органа исполнительной власти субъекта Российской Федерации в сфере социального обслуживания (2020 г</w:t>
      </w:r>
      <w:r>
        <w:rPr>
          <w:rFonts w:ascii="Times New Roman" w:eastAsia="Times New Roman" w:hAnsi="Times New Roman" w:cs="Times New Roman"/>
          <w:sz w:val="28"/>
          <w:szCs w:val="28"/>
          <w:lang w:eastAsia="ru-RU"/>
        </w:rPr>
        <w:t>.</w:t>
      </w:r>
      <w:r w:rsidRPr="006539F9">
        <w:rPr>
          <w:rFonts w:ascii="Times New Roman" w:eastAsia="Times New Roman" w:hAnsi="Times New Roman" w:cs="Times New Roman"/>
          <w:sz w:val="28"/>
          <w:szCs w:val="28"/>
          <w:lang w:eastAsia="ru-RU"/>
        </w:rPr>
        <w:t xml:space="preserve"> – 563 организации; </w:t>
      </w:r>
      <w:r>
        <w:rPr>
          <w:rFonts w:ascii="Times New Roman" w:eastAsia="Times New Roman" w:hAnsi="Times New Roman" w:cs="Times New Roman"/>
          <w:sz w:val="28"/>
          <w:szCs w:val="28"/>
          <w:lang w:eastAsia="ru-RU"/>
        </w:rPr>
        <w:t xml:space="preserve">2019 г. – 505 организаций), </w:t>
      </w:r>
      <w:r w:rsidRPr="006539F9">
        <w:rPr>
          <w:rFonts w:ascii="Times New Roman" w:eastAsia="Times New Roman" w:hAnsi="Times New Roman" w:cs="Times New Roman"/>
          <w:sz w:val="28"/>
          <w:szCs w:val="28"/>
          <w:lang w:eastAsia="ru-RU"/>
        </w:rPr>
        <w:t xml:space="preserve">126 организаций – в ведении органа </w:t>
      </w:r>
      <w:r>
        <w:rPr>
          <w:rFonts w:ascii="Times New Roman" w:eastAsia="Times New Roman" w:hAnsi="Times New Roman" w:cs="Times New Roman"/>
          <w:sz w:val="28"/>
          <w:szCs w:val="28"/>
          <w:lang w:eastAsia="ru-RU"/>
        </w:rPr>
        <w:t xml:space="preserve">исполнительной власти субъекта </w:t>
      </w:r>
      <w:r w:rsidRPr="006539F9">
        <w:rPr>
          <w:rFonts w:ascii="Times New Roman" w:eastAsia="Times New Roman" w:hAnsi="Times New Roman" w:cs="Times New Roman"/>
          <w:sz w:val="28"/>
          <w:szCs w:val="28"/>
          <w:lang w:eastAsia="ru-RU"/>
        </w:rPr>
        <w:t>Российской Федерации в сфере здравоохранения (</w:t>
      </w:r>
      <w:r w:rsidR="00BA10FE">
        <w:rPr>
          <w:rFonts w:ascii="Times New Roman" w:eastAsia="Times New Roman" w:hAnsi="Times New Roman" w:cs="Times New Roman"/>
          <w:sz w:val="28"/>
          <w:szCs w:val="28"/>
          <w:lang w:eastAsia="ru-RU"/>
        </w:rPr>
        <w:t xml:space="preserve">2020 г. – 138 </w:t>
      </w:r>
      <w:r>
        <w:rPr>
          <w:rFonts w:ascii="Times New Roman" w:eastAsia="Times New Roman" w:hAnsi="Times New Roman" w:cs="Times New Roman"/>
          <w:sz w:val="28"/>
          <w:szCs w:val="28"/>
          <w:lang w:eastAsia="ru-RU"/>
        </w:rPr>
        <w:t xml:space="preserve">организаций; </w:t>
      </w:r>
      <w:r w:rsidRPr="006539F9">
        <w:rPr>
          <w:rFonts w:ascii="Times New Roman" w:eastAsia="Times New Roman" w:hAnsi="Times New Roman" w:cs="Times New Roman"/>
          <w:sz w:val="28"/>
          <w:szCs w:val="28"/>
          <w:lang w:eastAsia="ru-RU"/>
        </w:rPr>
        <w:t>2019 г</w:t>
      </w:r>
      <w:r>
        <w:rPr>
          <w:rFonts w:ascii="Times New Roman" w:eastAsia="Times New Roman" w:hAnsi="Times New Roman" w:cs="Times New Roman"/>
          <w:sz w:val="28"/>
          <w:szCs w:val="28"/>
          <w:lang w:eastAsia="ru-RU"/>
        </w:rPr>
        <w:t>.</w:t>
      </w:r>
      <w:r w:rsidRPr="006539F9">
        <w:rPr>
          <w:rFonts w:ascii="Times New Roman" w:eastAsia="Times New Roman" w:hAnsi="Times New Roman" w:cs="Times New Roman"/>
          <w:sz w:val="28"/>
          <w:szCs w:val="28"/>
          <w:lang w:eastAsia="ru-RU"/>
        </w:rPr>
        <w:t xml:space="preserve"> – 141 организация), 10 – некоммерчес</w:t>
      </w:r>
      <w:r>
        <w:rPr>
          <w:rFonts w:ascii="Times New Roman" w:eastAsia="Times New Roman" w:hAnsi="Times New Roman" w:cs="Times New Roman"/>
          <w:sz w:val="28"/>
          <w:szCs w:val="28"/>
          <w:lang w:eastAsia="ru-RU"/>
        </w:rPr>
        <w:t xml:space="preserve">кие организации (2020 г. – </w:t>
      </w:r>
      <w:r w:rsidR="00C36EB2">
        <w:rPr>
          <w:rFonts w:ascii="Times New Roman" w:eastAsia="Times New Roman" w:hAnsi="Times New Roman" w:cs="Times New Roman"/>
          <w:sz w:val="28"/>
          <w:szCs w:val="28"/>
          <w:lang w:eastAsia="ru-RU"/>
        </w:rPr>
        <w:br/>
      </w:r>
      <w:r w:rsidRPr="006539F9">
        <w:rPr>
          <w:rFonts w:ascii="Times New Roman" w:eastAsia="Times New Roman" w:hAnsi="Times New Roman" w:cs="Times New Roman"/>
          <w:sz w:val="28"/>
          <w:szCs w:val="28"/>
          <w:lang w:eastAsia="ru-RU"/>
        </w:rPr>
        <w:t>10 организаций; 2019 г</w:t>
      </w:r>
      <w:r>
        <w:rPr>
          <w:rFonts w:ascii="Times New Roman" w:eastAsia="Times New Roman" w:hAnsi="Times New Roman" w:cs="Times New Roman"/>
          <w:sz w:val="28"/>
          <w:szCs w:val="28"/>
          <w:lang w:eastAsia="ru-RU"/>
        </w:rPr>
        <w:t>.</w:t>
      </w:r>
      <w:r w:rsidRPr="006539F9">
        <w:rPr>
          <w:rFonts w:ascii="Times New Roman" w:eastAsia="Times New Roman" w:hAnsi="Times New Roman" w:cs="Times New Roman"/>
          <w:sz w:val="28"/>
          <w:szCs w:val="28"/>
          <w:lang w:eastAsia="ru-RU"/>
        </w:rPr>
        <w:t xml:space="preserve"> – 12 организаций).</w:t>
      </w:r>
    </w:p>
    <w:p w14:paraId="014E2296" w14:textId="4D1941CC" w:rsidR="006539F9" w:rsidRPr="006539F9" w:rsidRDefault="006539F9" w:rsidP="006539F9">
      <w:pPr>
        <w:widowControl w:val="0"/>
        <w:pBdr>
          <w:bottom w:val="single" w:sz="6" w:space="30" w:color="FFFFFF"/>
        </w:pBdr>
        <w:shd w:val="clear" w:color="auto" w:fill="FFFFFF"/>
        <w:suppressAutoHyphens/>
        <w:spacing w:after="0" w:line="312" w:lineRule="auto"/>
        <w:ind w:firstLine="720"/>
        <w:jc w:val="both"/>
        <w:rPr>
          <w:rFonts w:ascii="Times New Roman" w:eastAsia="Times New Roman" w:hAnsi="Times New Roman" w:cs="Times New Roman"/>
          <w:sz w:val="28"/>
          <w:szCs w:val="28"/>
          <w:lang w:eastAsia="ru-RU"/>
        </w:rPr>
      </w:pPr>
      <w:r w:rsidRPr="006539F9">
        <w:rPr>
          <w:rFonts w:ascii="Times New Roman" w:eastAsia="Times New Roman" w:hAnsi="Times New Roman" w:cs="Times New Roman"/>
          <w:sz w:val="28"/>
          <w:szCs w:val="28"/>
          <w:lang w:eastAsia="ru-RU"/>
        </w:rPr>
        <w:t>Общее число воспитанников составило 48,2 тыс</w:t>
      </w:r>
      <w:r>
        <w:rPr>
          <w:rFonts w:ascii="Times New Roman" w:eastAsia="Times New Roman" w:hAnsi="Times New Roman" w:cs="Times New Roman"/>
          <w:sz w:val="28"/>
          <w:szCs w:val="28"/>
          <w:lang w:eastAsia="ru-RU"/>
        </w:rPr>
        <w:t>.</w:t>
      </w:r>
      <w:r w:rsidRPr="006539F9">
        <w:rPr>
          <w:rFonts w:ascii="Times New Roman" w:eastAsia="Times New Roman" w:hAnsi="Times New Roman" w:cs="Times New Roman"/>
          <w:sz w:val="28"/>
          <w:szCs w:val="28"/>
          <w:lang w:eastAsia="ru-RU"/>
        </w:rPr>
        <w:t xml:space="preserve"> детей (2020 г</w:t>
      </w:r>
      <w:r>
        <w:rPr>
          <w:rFonts w:ascii="Times New Roman" w:eastAsia="Times New Roman" w:hAnsi="Times New Roman" w:cs="Times New Roman"/>
          <w:sz w:val="28"/>
          <w:szCs w:val="28"/>
          <w:lang w:eastAsia="ru-RU"/>
        </w:rPr>
        <w:t xml:space="preserve">. – </w:t>
      </w:r>
      <w:r w:rsidRPr="006539F9">
        <w:rPr>
          <w:rFonts w:ascii="Times New Roman" w:eastAsia="Times New Roman" w:hAnsi="Times New Roman" w:cs="Times New Roman"/>
          <w:sz w:val="28"/>
          <w:szCs w:val="28"/>
          <w:lang w:eastAsia="ru-RU"/>
        </w:rPr>
        <w:t>55,2 тыс. детей; 2019 г</w:t>
      </w:r>
      <w:r>
        <w:rPr>
          <w:rFonts w:ascii="Times New Roman" w:eastAsia="Times New Roman" w:hAnsi="Times New Roman" w:cs="Times New Roman"/>
          <w:sz w:val="28"/>
          <w:szCs w:val="28"/>
          <w:lang w:eastAsia="ru-RU"/>
        </w:rPr>
        <w:t>.</w:t>
      </w:r>
      <w:r w:rsidRPr="006539F9">
        <w:rPr>
          <w:rFonts w:ascii="Times New Roman" w:eastAsia="Times New Roman" w:hAnsi="Times New Roman" w:cs="Times New Roman"/>
          <w:sz w:val="28"/>
          <w:szCs w:val="28"/>
          <w:lang w:eastAsia="ru-RU"/>
        </w:rPr>
        <w:t xml:space="preserve"> – 56,2 тыс. детей), из них 34,5</w:t>
      </w:r>
      <w:r>
        <w:rPr>
          <w:rFonts w:ascii="Times New Roman" w:eastAsia="Times New Roman" w:hAnsi="Times New Roman" w:cs="Times New Roman"/>
          <w:sz w:val="28"/>
          <w:szCs w:val="28"/>
          <w:lang w:eastAsia="ru-RU"/>
        </w:rPr>
        <w:t xml:space="preserve"> тыс. детей-сирот </w:t>
      </w:r>
      <w:r w:rsidRPr="006539F9">
        <w:rPr>
          <w:rFonts w:ascii="Times New Roman" w:eastAsia="Times New Roman" w:hAnsi="Times New Roman" w:cs="Times New Roman"/>
          <w:sz w:val="28"/>
          <w:szCs w:val="28"/>
          <w:lang w:eastAsia="ru-RU"/>
        </w:rPr>
        <w:t>и детей, оставшихся без попечения родит</w:t>
      </w:r>
      <w:r>
        <w:rPr>
          <w:rFonts w:ascii="Times New Roman" w:eastAsia="Times New Roman" w:hAnsi="Times New Roman" w:cs="Times New Roman"/>
          <w:sz w:val="28"/>
          <w:szCs w:val="28"/>
          <w:lang w:eastAsia="ru-RU"/>
        </w:rPr>
        <w:t xml:space="preserve">елей, находящихся под надзором </w:t>
      </w:r>
      <w:r w:rsidRPr="006539F9">
        <w:rPr>
          <w:rFonts w:ascii="Times New Roman" w:eastAsia="Times New Roman" w:hAnsi="Times New Roman" w:cs="Times New Roman"/>
          <w:sz w:val="28"/>
          <w:szCs w:val="28"/>
          <w:lang w:eastAsia="ru-RU"/>
        </w:rPr>
        <w:t>(2020 г</w:t>
      </w:r>
      <w:r>
        <w:rPr>
          <w:rFonts w:ascii="Times New Roman" w:eastAsia="Times New Roman" w:hAnsi="Times New Roman" w:cs="Times New Roman"/>
          <w:sz w:val="28"/>
          <w:szCs w:val="28"/>
          <w:lang w:eastAsia="ru-RU"/>
        </w:rPr>
        <w:t>.</w:t>
      </w:r>
      <w:r w:rsidRPr="006539F9">
        <w:rPr>
          <w:rFonts w:ascii="Times New Roman" w:eastAsia="Times New Roman" w:hAnsi="Times New Roman" w:cs="Times New Roman"/>
          <w:sz w:val="28"/>
          <w:szCs w:val="28"/>
          <w:lang w:eastAsia="ru-RU"/>
        </w:rPr>
        <w:t xml:space="preserve"> – 37, 4 тыс. детей; </w:t>
      </w:r>
      <w:r w:rsidR="00C36EB2">
        <w:rPr>
          <w:rFonts w:ascii="Times New Roman" w:eastAsia="Times New Roman" w:hAnsi="Times New Roman" w:cs="Times New Roman"/>
          <w:sz w:val="28"/>
          <w:szCs w:val="28"/>
          <w:lang w:eastAsia="ru-RU"/>
        </w:rPr>
        <w:br/>
      </w:r>
      <w:r w:rsidRPr="006539F9">
        <w:rPr>
          <w:rFonts w:ascii="Times New Roman" w:eastAsia="Times New Roman" w:hAnsi="Times New Roman" w:cs="Times New Roman"/>
          <w:sz w:val="28"/>
          <w:szCs w:val="28"/>
          <w:lang w:eastAsia="ru-RU"/>
        </w:rPr>
        <w:t>2019 г</w:t>
      </w:r>
      <w:r>
        <w:rPr>
          <w:rFonts w:ascii="Times New Roman" w:eastAsia="Times New Roman" w:hAnsi="Times New Roman" w:cs="Times New Roman"/>
          <w:sz w:val="28"/>
          <w:szCs w:val="28"/>
          <w:lang w:eastAsia="ru-RU"/>
        </w:rPr>
        <w:t>.</w:t>
      </w:r>
      <w:r w:rsidRPr="006539F9">
        <w:rPr>
          <w:rFonts w:ascii="Times New Roman" w:eastAsia="Times New Roman" w:hAnsi="Times New Roman" w:cs="Times New Roman"/>
          <w:sz w:val="28"/>
          <w:szCs w:val="28"/>
          <w:lang w:eastAsia="ru-RU"/>
        </w:rPr>
        <w:t xml:space="preserve"> – 39,2 тыс. детей).</w:t>
      </w:r>
    </w:p>
    <w:p w14:paraId="2D918113" w14:textId="77777777" w:rsidR="006539F9" w:rsidRPr="006539F9" w:rsidRDefault="006539F9" w:rsidP="006539F9">
      <w:pPr>
        <w:widowControl w:val="0"/>
        <w:pBdr>
          <w:bottom w:val="single" w:sz="6" w:space="30" w:color="FFFFFF"/>
        </w:pBdr>
        <w:shd w:val="clear" w:color="auto" w:fill="FFFFFF"/>
        <w:suppressAutoHyphens/>
        <w:spacing w:after="0" w:line="312" w:lineRule="auto"/>
        <w:ind w:firstLine="720"/>
        <w:jc w:val="both"/>
        <w:rPr>
          <w:rFonts w:ascii="Times New Roman" w:eastAsia="Times New Roman" w:hAnsi="Times New Roman" w:cs="Times New Roman"/>
          <w:sz w:val="28"/>
          <w:szCs w:val="28"/>
          <w:lang w:eastAsia="ru-RU"/>
        </w:rPr>
      </w:pPr>
      <w:r w:rsidRPr="006539F9">
        <w:rPr>
          <w:rFonts w:ascii="Times New Roman" w:eastAsia="Times New Roman" w:hAnsi="Times New Roman" w:cs="Times New Roman"/>
          <w:sz w:val="28"/>
          <w:szCs w:val="28"/>
          <w:lang w:eastAsia="ru-RU"/>
        </w:rPr>
        <w:t>Ежегодно проводятся общественно значимые ме</w:t>
      </w:r>
      <w:r>
        <w:rPr>
          <w:rFonts w:ascii="Times New Roman" w:eastAsia="Times New Roman" w:hAnsi="Times New Roman" w:cs="Times New Roman"/>
          <w:sz w:val="28"/>
          <w:szCs w:val="28"/>
          <w:lang w:eastAsia="ru-RU"/>
        </w:rPr>
        <w:t xml:space="preserve">роприятия в сфере </w:t>
      </w:r>
      <w:r w:rsidRPr="006539F9">
        <w:rPr>
          <w:rFonts w:ascii="Times New Roman" w:eastAsia="Times New Roman" w:hAnsi="Times New Roman" w:cs="Times New Roman"/>
          <w:sz w:val="28"/>
          <w:szCs w:val="28"/>
          <w:lang w:eastAsia="ru-RU"/>
        </w:rPr>
        <w:t>защиты прав и законных интересов д</w:t>
      </w:r>
      <w:r>
        <w:rPr>
          <w:rFonts w:ascii="Times New Roman" w:eastAsia="Times New Roman" w:hAnsi="Times New Roman" w:cs="Times New Roman"/>
          <w:sz w:val="28"/>
          <w:szCs w:val="28"/>
          <w:lang w:eastAsia="ru-RU"/>
        </w:rPr>
        <w:t xml:space="preserve">етей-сирот и детей, оставшихся </w:t>
      </w:r>
      <w:r w:rsidRPr="006539F9">
        <w:rPr>
          <w:rFonts w:ascii="Times New Roman" w:eastAsia="Times New Roman" w:hAnsi="Times New Roman" w:cs="Times New Roman"/>
          <w:sz w:val="28"/>
          <w:szCs w:val="28"/>
          <w:lang w:eastAsia="ru-RU"/>
        </w:rPr>
        <w:t>без попечения родителей.</w:t>
      </w:r>
    </w:p>
    <w:p w14:paraId="421192AA" w14:textId="77777777" w:rsidR="006539F9" w:rsidRPr="006539F9" w:rsidRDefault="006539F9" w:rsidP="006539F9">
      <w:pPr>
        <w:widowControl w:val="0"/>
        <w:pBdr>
          <w:bottom w:val="single" w:sz="6" w:space="30" w:color="FFFFFF"/>
        </w:pBdr>
        <w:shd w:val="clear" w:color="auto" w:fill="FFFFFF"/>
        <w:suppressAutoHyphens/>
        <w:spacing w:after="0" w:line="312" w:lineRule="auto"/>
        <w:ind w:firstLine="720"/>
        <w:jc w:val="both"/>
        <w:rPr>
          <w:rFonts w:ascii="Times New Roman" w:eastAsia="Times New Roman" w:hAnsi="Times New Roman" w:cs="Times New Roman"/>
          <w:sz w:val="28"/>
          <w:szCs w:val="28"/>
          <w:lang w:eastAsia="ru-RU"/>
        </w:rPr>
      </w:pPr>
      <w:r w:rsidRPr="006539F9">
        <w:rPr>
          <w:rFonts w:ascii="Times New Roman" w:eastAsia="Times New Roman" w:hAnsi="Times New Roman" w:cs="Times New Roman"/>
          <w:sz w:val="28"/>
          <w:szCs w:val="28"/>
          <w:lang w:eastAsia="ru-RU"/>
        </w:rPr>
        <w:t>Для специалистов сфе</w:t>
      </w:r>
      <w:r>
        <w:rPr>
          <w:rFonts w:ascii="Times New Roman" w:eastAsia="Times New Roman" w:hAnsi="Times New Roman" w:cs="Times New Roman"/>
          <w:sz w:val="28"/>
          <w:szCs w:val="28"/>
          <w:lang w:eastAsia="ru-RU"/>
        </w:rPr>
        <w:t xml:space="preserve">ры защиты прав детей проведены </w:t>
      </w:r>
      <w:r w:rsidRPr="006539F9">
        <w:rPr>
          <w:rFonts w:ascii="Times New Roman" w:eastAsia="Times New Roman" w:hAnsi="Times New Roman" w:cs="Times New Roman"/>
          <w:sz w:val="28"/>
          <w:szCs w:val="28"/>
          <w:lang w:eastAsia="ru-RU"/>
        </w:rPr>
        <w:t>IX Съезд руководителей организаций для д</w:t>
      </w:r>
      <w:r>
        <w:rPr>
          <w:rFonts w:ascii="Times New Roman" w:eastAsia="Times New Roman" w:hAnsi="Times New Roman" w:cs="Times New Roman"/>
          <w:sz w:val="28"/>
          <w:szCs w:val="28"/>
          <w:lang w:eastAsia="ru-RU"/>
        </w:rPr>
        <w:t xml:space="preserve">етей-сирот и детей, оставшихся </w:t>
      </w:r>
      <w:r w:rsidRPr="006539F9">
        <w:rPr>
          <w:rFonts w:ascii="Times New Roman" w:eastAsia="Times New Roman" w:hAnsi="Times New Roman" w:cs="Times New Roman"/>
          <w:sz w:val="28"/>
          <w:szCs w:val="28"/>
          <w:lang w:eastAsia="ru-RU"/>
        </w:rPr>
        <w:t>без попечения родителей, и Всероссийское совещание руководителей органов опеки и попечительства в отношении несовершеннолетних граждан.</w:t>
      </w:r>
    </w:p>
    <w:p w14:paraId="37346427" w14:textId="0EAF0CA3" w:rsidR="00EB5C70" w:rsidRDefault="006539F9" w:rsidP="00EB5C70">
      <w:pPr>
        <w:widowControl w:val="0"/>
        <w:pBdr>
          <w:bottom w:val="single" w:sz="6" w:space="30" w:color="FFFFFF"/>
        </w:pBdr>
        <w:shd w:val="clear" w:color="auto" w:fill="FFFFFF"/>
        <w:suppressAutoHyphens/>
        <w:spacing w:after="0" w:line="312" w:lineRule="auto"/>
        <w:ind w:firstLine="720"/>
        <w:jc w:val="both"/>
        <w:rPr>
          <w:rFonts w:ascii="Times New Roman" w:eastAsia="Times New Roman" w:hAnsi="Times New Roman" w:cs="Times New Roman"/>
          <w:sz w:val="28"/>
          <w:szCs w:val="28"/>
          <w:lang w:eastAsia="ru-RU"/>
        </w:rPr>
      </w:pPr>
      <w:r w:rsidRPr="006539F9">
        <w:rPr>
          <w:rFonts w:ascii="Times New Roman" w:eastAsia="Times New Roman" w:hAnsi="Times New Roman" w:cs="Times New Roman"/>
          <w:sz w:val="28"/>
          <w:szCs w:val="28"/>
          <w:lang w:eastAsia="ru-RU"/>
        </w:rPr>
        <w:t xml:space="preserve">Кроме того, в соответствии с перечнем поручений Президента Российской Федерации от 2 апреля 2020 г. № Пр-619 постановлением Правительства Российской Федерации от 19 мая 2021 г. № 760 </w:t>
      </w:r>
      <w:r>
        <w:rPr>
          <w:rFonts w:ascii="Times New Roman" w:eastAsia="Times New Roman" w:hAnsi="Times New Roman" w:cs="Times New Roman"/>
          <w:sz w:val="28"/>
          <w:szCs w:val="28"/>
          <w:lang w:eastAsia="ru-RU"/>
        </w:rPr>
        <w:t>внесены</w:t>
      </w:r>
      <w:r w:rsidRPr="006539F9">
        <w:rPr>
          <w:rFonts w:ascii="Times New Roman" w:eastAsia="Times New Roman" w:hAnsi="Times New Roman" w:cs="Times New Roman"/>
          <w:sz w:val="28"/>
          <w:szCs w:val="28"/>
          <w:lang w:eastAsia="ru-RU"/>
        </w:rPr>
        <w:t xml:space="preserve"> изменения в пункт 51 Положения о деятельности организаций для детей-сирот и детей, оставшихся без попечения родителей, и об устройстве в них детей, оставшихся без попечения родителей, утвержденно</w:t>
      </w:r>
      <w:r w:rsidR="00BA10FE">
        <w:rPr>
          <w:rFonts w:ascii="Times New Roman" w:eastAsia="Times New Roman" w:hAnsi="Times New Roman" w:cs="Times New Roman"/>
          <w:sz w:val="28"/>
          <w:szCs w:val="28"/>
          <w:lang w:eastAsia="ru-RU"/>
        </w:rPr>
        <w:t>го</w:t>
      </w:r>
      <w:r w:rsidRPr="006539F9">
        <w:rPr>
          <w:rFonts w:ascii="Times New Roman" w:eastAsia="Times New Roman" w:hAnsi="Times New Roman" w:cs="Times New Roman"/>
          <w:sz w:val="28"/>
          <w:szCs w:val="28"/>
          <w:lang w:eastAsia="ru-RU"/>
        </w:rPr>
        <w:t xml:space="preserve"> постановлением Правительства Российской Федерации от 24 мая </w:t>
      </w:r>
      <w:r w:rsidR="00ED55A2">
        <w:rPr>
          <w:rFonts w:ascii="Times New Roman" w:eastAsia="Times New Roman" w:hAnsi="Times New Roman" w:cs="Times New Roman"/>
          <w:sz w:val="28"/>
          <w:szCs w:val="28"/>
          <w:lang w:eastAsia="ru-RU"/>
        </w:rPr>
        <w:br/>
      </w:r>
      <w:r w:rsidRPr="006539F9">
        <w:rPr>
          <w:rFonts w:ascii="Times New Roman" w:eastAsia="Times New Roman" w:hAnsi="Times New Roman" w:cs="Times New Roman"/>
          <w:sz w:val="28"/>
          <w:szCs w:val="28"/>
          <w:lang w:eastAsia="ru-RU"/>
        </w:rPr>
        <w:t>2014 г. № 481</w:t>
      </w:r>
      <w:r>
        <w:rPr>
          <w:rFonts w:ascii="Times New Roman" w:eastAsia="Times New Roman" w:hAnsi="Times New Roman" w:cs="Times New Roman"/>
          <w:sz w:val="28"/>
          <w:szCs w:val="28"/>
          <w:lang w:eastAsia="ru-RU"/>
        </w:rPr>
        <w:t>.</w:t>
      </w:r>
    </w:p>
    <w:p w14:paraId="6FF30CF9" w14:textId="77777777" w:rsidR="00401F00" w:rsidRPr="00401F00" w:rsidRDefault="006539F9" w:rsidP="00EB5C70">
      <w:pPr>
        <w:widowControl w:val="0"/>
        <w:pBdr>
          <w:bottom w:val="single" w:sz="6" w:space="30" w:color="FFFFFF"/>
        </w:pBdr>
        <w:shd w:val="clear" w:color="auto" w:fill="FFFFFF"/>
        <w:suppressAutoHyphens/>
        <w:spacing w:after="0" w:line="312"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Указанные и</w:t>
      </w:r>
      <w:r w:rsidRPr="006539F9">
        <w:rPr>
          <w:rFonts w:ascii="Times New Roman" w:eastAsia="Times New Roman" w:hAnsi="Times New Roman" w:cs="Times New Roman"/>
          <w:sz w:val="28"/>
          <w:szCs w:val="28"/>
          <w:lang w:eastAsia="ru-RU"/>
        </w:rPr>
        <w:t>зменения направлены на организаци</w:t>
      </w:r>
      <w:r>
        <w:rPr>
          <w:rFonts w:ascii="Times New Roman" w:eastAsia="Times New Roman" w:hAnsi="Times New Roman" w:cs="Times New Roman"/>
          <w:sz w:val="28"/>
          <w:szCs w:val="28"/>
          <w:lang w:eastAsia="ru-RU"/>
        </w:rPr>
        <w:t xml:space="preserve">ю совместного нахождения </w:t>
      </w:r>
      <w:r w:rsidRPr="006539F9">
        <w:rPr>
          <w:rFonts w:ascii="Times New Roman" w:eastAsia="Times New Roman" w:hAnsi="Times New Roman" w:cs="Times New Roman"/>
          <w:sz w:val="28"/>
          <w:szCs w:val="28"/>
          <w:lang w:eastAsia="ru-RU"/>
        </w:rPr>
        <w:t>работников этих организаций с детьми в медици</w:t>
      </w:r>
      <w:r>
        <w:rPr>
          <w:rFonts w:ascii="Times New Roman" w:eastAsia="Times New Roman" w:hAnsi="Times New Roman" w:cs="Times New Roman"/>
          <w:sz w:val="28"/>
          <w:szCs w:val="28"/>
          <w:lang w:eastAsia="ru-RU"/>
        </w:rPr>
        <w:t xml:space="preserve">нской организации при оказании </w:t>
      </w:r>
      <w:r w:rsidRPr="006539F9">
        <w:rPr>
          <w:rFonts w:ascii="Times New Roman" w:eastAsia="Times New Roman" w:hAnsi="Times New Roman" w:cs="Times New Roman"/>
          <w:sz w:val="28"/>
          <w:szCs w:val="28"/>
          <w:lang w:eastAsia="ru-RU"/>
        </w:rPr>
        <w:t>им медицинской помощи в стационарных условиях в течение всего периода оказания медицинской помощи, с возможностью привлечения некоммерческих организаций, волонтеров.</w:t>
      </w:r>
    </w:p>
    <w:p w14:paraId="5A45A05F" w14:textId="77777777" w:rsidR="002F71BF" w:rsidRDefault="00D03A4F" w:rsidP="003C580E">
      <w:pPr>
        <w:shd w:val="clear" w:color="auto" w:fill="FFFFFF"/>
        <w:spacing w:after="240"/>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Деятельность органов внутренних дел по профилактике семейного неблагополучия</w:t>
      </w:r>
      <w:r w:rsidR="00FE6984">
        <w:rPr>
          <w:rFonts w:ascii="Times New Roman" w:eastAsia="Times New Roman" w:hAnsi="Times New Roman" w:cs="Times New Roman"/>
          <w:b/>
          <w:sz w:val="28"/>
          <w:szCs w:val="28"/>
          <w:lang w:eastAsia="ru-RU"/>
        </w:rPr>
        <w:t xml:space="preserve"> и жестокого обращения с детьми</w:t>
      </w:r>
    </w:p>
    <w:p w14:paraId="3C26365A" w14:textId="5CFE1A55" w:rsidR="002F71BF" w:rsidRPr="002F71BF" w:rsidRDefault="002F71BF" w:rsidP="002F71BF">
      <w:pPr>
        <w:autoSpaceDE w:val="0"/>
        <w:autoSpaceDN w:val="0"/>
        <w:adjustRightInd w:val="0"/>
        <w:spacing w:after="0" w:line="312" w:lineRule="auto"/>
        <w:ind w:firstLine="709"/>
        <w:jc w:val="both"/>
        <w:outlineLvl w:val="0"/>
        <w:rPr>
          <w:rFonts w:ascii="Times New Roman" w:hAnsi="Times New Roman" w:cs="Times New Roman"/>
          <w:sz w:val="28"/>
          <w:szCs w:val="28"/>
        </w:rPr>
      </w:pPr>
      <w:r w:rsidRPr="002F71BF">
        <w:rPr>
          <w:rFonts w:ascii="Times New Roman" w:hAnsi="Times New Roman" w:cs="Times New Roman"/>
          <w:sz w:val="28"/>
          <w:szCs w:val="28"/>
        </w:rPr>
        <w:t>В 2021 г</w:t>
      </w:r>
      <w:r w:rsidR="00495D26">
        <w:rPr>
          <w:rFonts w:ascii="Times New Roman" w:hAnsi="Times New Roman" w:cs="Times New Roman"/>
          <w:sz w:val="28"/>
          <w:szCs w:val="28"/>
        </w:rPr>
        <w:t>.</w:t>
      </w:r>
      <w:r w:rsidRPr="002F71BF">
        <w:rPr>
          <w:rFonts w:ascii="Times New Roman" w:hAnsi="Times New Roman" w:cs="Times New Roman"/>
          <w:sz w:val="28"/>
          <w:szCs w:val="28"/>
        </w:rPr>
        <w:t xml:space="preserve"> реализация основополагающего права каждого ребенка жить и воспитываться в семье осуществлялась в рамках объявленного Указом Президента Российской Федерации от 29 мая 2017 г. № 240 Десятилетия детства</w:t>
      </w:r>
      <w:r>
        <w:rPr>
          <w:rFonts w:ascii="Times New Roman" w:hAnsi="Times New Roman" w:cs="Times New Roman"/>
          <w:sz w:val="28"/>
          <w:szCs w:val="28"/>
        </w:rPr>
        <w:t xml:space="preserve"> и</w:t>
      </w:r>
      <w:r w:rsidRPr="002F71BF">
        <w:rPr>
          <w:rFonts w:ascii="Times New Roman" w:hAnsi="Times New Roman" w:cs="Times New Roman"/>
          <w:sz w:val="28"/>
          <w:szCs w:val="28"/>
        </w:rPr>
        <w:t xml:space="preserve"> Концепции государственной семейной политики в Российской Федерации на период до 2025 г</w:t>
      </w:r>
      <w:r w:rsidR="008B493A">
        <w:rPr>
          <w:rFonts w:ascii="Times New Roman" w:hAnsi="Times New Roman" w:cs="Times New Roman"/>
          <w:sz w:val="28"/>
          <w:szCs w:val="28"/>
        </w:rPr>
        <w:t>.</w:t>
      </w:r>
      <w:r w:rsidR="008C35CF">
        <w:rPr>
          <w:rFonts w:ascii="Times New Roman" w:hAnsi="Times New Roman" w:cs="Times New Roman"/>
          <w:sz w:val="28"/>
          <w:szCs w:val="28"/>
        </w:rPr>
        <w:t>, утвержд</w:t>
      </w:r>
      <w:r w:rsidR="00BA10FE">
        <w:rPr>
          <w:rFonts w:ascii="Times New Roman" w:hAnsi="Times New Roman" w:cs="Times New Roman"/>
          <w:sz w:val="28"/>
          <w:szCs w:val="28"/>
        </w:rPr>
        <w:t>енной распоряжением Правительст</w:t>
      </w:r>
      <w:r w:rsidR="008C35CF">
        <w:rPr>
          <w:rFonts w:ascii="Times New Roman" w:hAnsi="Times New Roman" w:cs="Times New Roman"/>
          <w:sz w:val="28"/>
          <w:szCs w:val="28"/>
        </w:rPr>
        <w:t>ва Российской Федерации от 25 августа 2014 г. № 1618-р</w:t>
      </w:r>
      <w:r w:rsidRPr="002F71BF">
        <w:rPr>
          <w:rFonts w:ascii="Times New Roman" w:hAnsi="Times New Roman" w:cs="Times New Roman"/>
          <w:sz w:val="28"/>
          <w:szCs w:val="28"/>
        </w:rPr>
        <w:t>.</w:t>
      </w:r>
    </w:p>
    <w:p w14:paraId="20FFEC5F" w14:textId="77777777" w:rsidR="002F71BF" w:rsidRPr="002F71BF" w:rsidRDefault="002F71BF" w:rsidP="002F71BF">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2F71BF">
        <w:rPr>
          <w:rFonts w:ascii="Times New Roman" w:eastAsia="Times New Roman" w:hAnsi="Times New Roman" w:cs="Times New Roman"/>
          <w:sz w:val="28"/>
          <w:szCs w:val="28"/>
          <w:lang w:eastAsia="ru-RU"/>
        </w:rPr>
        <w:t>Субъектами системы профилактики безнадзорности и правонарушений несовершеннолетних, органами исполнительной власти субъектов Российской Федерации принимались меры по укреплению и защите семьи как фундаментальной основы российского общества, сохранению традиционных семейных ценностей, повышению авторитета родительства в семье и обществе, профилактике и преодолению семейного неблагополучия, улучшению условий и повышению качества жизни семей.</w:t>
      </w:r>
    </w:p>
    <w:p w14:paraId="151BAB8A" w14:textId="77777777" w:rsidR="002F71BF" w:rsidRPr="002F71BF" w:rsidRDefault="002F71BF" w:rsidP="002F71BF">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2F71BF">
        <w:rPr>
          <w:rFonts w:ascii="Times New Roman" w:eastAsia="Times New Roman" w:hAnsi="Times New Roman" w:cs="Times New Roman"/>
          <w:sz w:val="28"/>
          <w:szCs w:val="28"/>
          <w:lang w:eastAsia="ru-RU"/>
        </w:rPr>
        <w:t xml:space="preserve">В рамках реализации поручения Президента Российской Федерации </w:t>
      </w:r>
      <w:r w:rsidR="00BA10FE">
        <w:rPr>
          <w:rFonts w:ascii="Times New Roman" w:eastAsia="Times New Roman" w:hAnsi="Times New Roman" w:cs="Times New Roman"/>
          <w:sz w:val="28"/>
          <w:szCs w:val="28"/>
          <w:lang w:eastAsia="ru-RU"/>
        </w:rPr>
        <w:br/>
      </w:r>
      <w:r w:rsidRPr="002F71BF">
        <w:rPr>
          <w:rFonts w:ascii="Times New Roman" w:eastAsia="Times New Roman" w:hAnsi="Times New Roman" w:cs="Times New Roman"/>
          <w:sz w:val="28"/>
          <w:szCs w:val="28"/>
          <w:lang w:eastAsia="ru-RU"/>
        </w:rPr>
        <w:t xml:space="preserve">от 3 сентября 2017 г. № Пр-1738 межведомственной рабочей группой, сформированной на площадке </w:t>
      </w:r>
      <w:r w:rsidR="008C35CF">
        <w:rPr>
          <w:rFonts w:ascii="Times New Roman" w:eastAsia="Times New Roman" w:hAnsi="Times New Roman" w:cs="Times New Roman"/>
          <w:sz w:val="28"/>
          <w:szCs w:val="28"/>
          <w:lang w:eastAsia="ru-RU"/>
        </w:rPr>
        <w:t>Минпросвещения России</w:t>
      </w:r>
      <w:r w:rsidRPr="002F71BF">
        <w:rPr>
          <w:rFonts w:ascii="Times New Roman" w:eastAsia="Times New Roman" w:hAnsi="Times New Roman" w:cs="Times New Roman"/>
          <w:sz w:val="28"/>
          <w:szCs w:val="28"/>
          <w:lang w:eastAsia="ru-RU"/>
        </w:rPr>
        <w:t xml:space="preserve"> с участием представителей заинтересованных федеральных органов исполнительной власти, а также общественных организаций и правозащитников, продолжена разработка проекта федерального закона «О внесении изменений в отдельные законодательные акты Российской Федерации </w:t>
      </w:r>
      <w:r w:rsidR="00BA10FE">
        <w:rPr>
          <w:rFonts w:ascii="Times New Roman" w:eastAsia="Times New Roman" w:hAnsi="Times New Roman" w:cs="Times New Roman"/>
          <w:sz w:val="28"/>
          <w:szCs w:val="28"/>
          <w:lang w:eastAsia="ru-RU"/>
        </w:rPr>
        <w:t>по вопросам защиты прав детей».</w:t>
      </w:r>
    </w:p>
    <w:p w14:paraId="61909B5B" w14:textId="77777777" w:rsidR="002F71BF" w:rsidRPr="002F71BF" w:rsidRDefault="002F71BF" w:rsidP="002F71BF">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2F71BF">
        <w:rPr>
          <w:rFonts w:ascii="Times New Roman" w:eastAsia="Times New Roman" w:hAnsi="Times New Roman" w:cs="Times New Roman"/>
          <w:sz w:val="28"/>
          <w:szCs w:val="28"/>
          <w:lang w:eastAsia="ru-RU"/>
        </w:rPr>
        <w:t>Усилия государства в 2021 г</w:t>
      </w:r>
      <w:r w:rsidR="00495D26">
        <w:rPr>
          <w:rFonts w:ascii="Times New Roman" w:eastAsia="Times New Roman" w:hAnsi="Times New Roman" w:cs="Times New Roman"/>
          <w:sz w:val="28"/>
          <w:szCs w:val="28"/>
          <w:lang w:eastAsia="ru-RU"/>
        </w:rPr>
        <w:t>.</w:t>
      </w:r>
      <w:r w:rsidRPr="002F71BF">
        <w:rPr>
          <w:rFonts w:ascii="Times New Roman" w:eastAsia="Times New Roman" w:hAnsi="Times New Roman" w:cs="Times New Roman"/>
          <w:sz w:val="28"/>
          <w:szCs w:val="28"/>
          <w:lang w:eastAsia="ru-RU"/>
        </w:rPr>
        <w:t xml:space="preserve"> были направлены на урегулирование проблем межведомственного механизма экстренного реагирования при выявлении фактов нахождения несовершеннолетних в обстановке, угрожающей их жизни и здоровью, в рамках реализации поручения Заместителя Председателя Правительства Российской Федерации Т.А. Голиковой от 15 февраля 2021 г. № ТГ-П8-1784 по итогам рассмотрения обращения Генеральной прокуратуры Российской Федерации о состоянии законности в деятельности органов опеки </w:t>
      </w:r>
      <w:r w:rsidR="008C35CF">
        <w:rPr>
          <w:rFonts w:ascii="Times New Roman" w:eastAsia="Times New Roman" w:hAnsi="Times New Roman" w:cs="Times New Roman"/>
          <w:sz w:val="28"/>
          <w:szCs w:val="28"/>
          <w:lang w:eastAsia="ru-RU"/>
        </w:rPr>
        <w:t xml:space="preserve">и попечительства в отношении несовершеннолетних граждан </w:t>
      </w:r>
      <w:r w:rsidRPr="002F71BF">
        <w:rPr>
          <w:rFonts w:ascii="Times New Roman" w:eastAsia="Times New Roman" w:hAnsi="Times New Roman" w:cs="Times New Roman"/>
          <w:sz w:val="28"/>
          <w:szCs w:val="28"/>
          <w:lang w:eastAsia="ru-RU"/>
        </w:rPr>
        <w:t>по обеспечению прав и интересов детей при применении статьи 77 Семейного кодекса Российской Федерации</w:t>
      </w:r>
      <w:r w:rsidR="00BA10FE">
        <w:rPr>
          <w:rFonts w:ascii="Times New Roman" w:eastAsia="Times New Roman" w:hAnsi="Times New Roman" w:cs="Times New Roman"/>
          <w:sz w:val="28"/>
          <w:szCs w:val="28"/>
          <w:lang w:eastAsia="ru-RU"/>
        </w:rPr>
        <w:t xml:space="preserve"> (далее по тексту подраздела – СК РФ)</w:t>
      </w:r>
      <w:r w:rsidRPr="002F71BF">
        <w:rPr>
          <w:rFonts w:ascii="Times New Roman" w:eastAsia="Times New Roman" w:hAnsi="Times New Roman" w:cs="Times New Roman"/>
          <w:sz w:val="28"/>
          <w:szCs w:val="28"/>
          <w:lang w:eastAsia="ru-RU"/>
        </w:rPr>
        <w:t>, определяющей порядок отобрания детей у родителей или иных законных представителей при непосредственной угрозе их жизни и здоровью.</w:t>
      </w:r>
    </w:p>
    <w:p w14:paraId="03A4E42E" w14:textId="77777777" w:rsidR="002F71BF" w:rsidRPr="002F71BF" w:rsidRDefault="002F71BF" w:rsidP="002F71BF">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2F71BF">
        <w:rPr>
          <w:rFonts w:ascii="Times New Roman" w:eastAsia="Times New Roman" w:hAnsi="Times New Roman" w:cs="Times New Roman"/>
          <w:sz w:val="28"/>
          <w:szCs w:val="28"/>
          <w:lang w:eastAsia="ru-RU"/>
        </w:rPr>
        <w:t>Кроме того, данная проблематика прорабатывается межведомственной рабочей группой с участием представителей заинтересованных федеральных органов исполнительной власти, созданной решением подкомитета по гражданскому праву и семейному праву Комитета Совета Федерации Федерального Собрания Российской Федерации по конституционному законодательству и государственному строительству от 30 ноября 2020 г</w:t>
      </w:r>
      <w:r w:rsidR="00495D26">
        <w:rPr>
          <w:rFonts w:ascii="Times New Roman" w:eastAsia="Times New Roman" w:hAnsi="Times New Roman" w:cs="Times New Roman"/>
          <w:sz w:val="28"/>
          <w:szCs w:val="28"/>
          <w:lang w:eastAsia="ru-RU"/>
        </w:rPr>
        <w:t>.</w:t>
      </w:r>
      <w:r w:rsidRPr="002F71BF">
        <w:rPr>
          <w:rFonts w:ascii="Times New Roman" w:eastAsia="Times New Roman" w:hAnsi="Times New Roman" w:cs="Times New Roman"/>
          <w:sz w:val="28"/>
          <w:szCs w:val="28"/>
          <w:lang w:eastAsia="ru-RU"/>
        </w:rPr>
        <w:t xml:space="preserve"> в целях выработки консолидированной позиции по проекту федерального закона о поправках в СК</w:t>
      </w:r>
      <w:r w:rsidR="00BA10FE">
        <w:rPr>
          <w:rFonts w:ascii="Times New Roman" w:eastAsia="Times New Roman" w:hAnsi="Times New Roman" w:cs="Times New Roman"/>
          <w:sz w:val="28"/>
          <w:szCs w:val="28"/>
          <w:lang w:eastAsia="ru-RU"/>
        </w:rPr>
        <w:t xml:space="preserve"> РФ</w:t>
      </w:r>
      <w:r w:rsidRPr="002F71BF">
        <w:rPr>
          <w:rFonts w:ascii="Times New Roman" w:eastAsia="Times New Roman" w:hAnsi="Times New Roman" w:cs="Times New Roman"/>
          <w:sz w:val="28"/>
          <w:szCs w:val="28"/>
          <w:lang w:eastAsia="ru-RU"/>
        </w:rPr>
        <w:t>.</w:t>
      </w:r>
    </w:p>
    <w:p w14:paraId="67D25E53" w14:textId="77777777" w:rsidR="002F71BF" w:rsidRPr="002F71BF" w:rsidRDefault="002F71BF" w:rsidP="002F71BF">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rPr>
      </w:pPr>
      <w:r w:rsidRPr="002F71BF">
        <w:rPr>
          <w:rFonts w:ascii="Times New Roman" w:eastAsia="Times New Roman" w:hAnsi="Times New Roman" w:cs="Times New Roman"/>
          <w:sz w:val="28"/>
          <w:szCs w:val="28"/>
          <w:lang w:eastAsia="ru-RU"/>
        </w:rPr>
        <w:t xml:space="preserve">Анализ ситуации, связанной с защитой несовершеннолетних от преступных посягательств, свидетельствует о том, что более половины преступлений в отношении детей совершается родителями или иными законными представителями (2021 г. – 57,5%; 2020 г. – 52,6%; 2019 г. – 55,1%). </w:t>
      </w:r>
    </w:p>
    <w:p w14:paraId="0C79770A" w14:textId="77777777" w:rsidR="002F71BF" w:rsidRPr="002F71BF" w:rsidRDefault="002F71BF" w:rsidP="002F71BF">
      <w:pPr>
        <w:autoSpaceDE w:val="0"/>
        <w:autoSpaceDN w:val="0"/>
        <w:spacing w:after="0" w:line="312" w:lineRule="auto"/>
        <w:ind w:firstLine="709"/>
        <w:jc w:val="both"/>
        <w:rPr>
          <w:rFonts w:ascii="Times New Roman" w:eastAsia="Times New Roman" w:hAnsi="Times New Roman" w:cs="Times New Roman"/>
          <w:sz w:val="28"/>
          <w:szCs w:val="28"/>
          <w:lang w:eastAsia="ru-RU"/>
        </w:rPr>
      </w:pPr>
      <w:r w:rsidRPr="002F71BF">
        <w:rPr>
          <w:rFonts w:ascii="Times New Roman" w:eastAsia="Times New Roman" w:hAnsi="Times New Roman" w:cs="Times New Roman"/>
          <w:sz w:val="28"/>
          <w:szCs w:val="28"/>
          <w:lang w:eastAsia="ru-RU"/>
        </w:rPr>
        <w:t xml:space="preserve">На фоне увеличения их общего числа (2021 г. – 59 426; 2020 г. – 47 514; </w:t>
      </w:r>
      <w:r w:rsidR="00BA10FE">
        <w:rPr>
          <w:rFonts w:ascii="Times New Roman" w:eastAsia="Times New Roman" w:hAnsi="Times New Roman" w:cs="Times New Roman"/>
          <w:sz w:val="28"/>
          <w:szCs w:val="28"/>
          <w:lang w:eastAsia="ru-RU"/>
        </w:rPr>
        <w:br/>
      </w:r>
      <w:r w:rsidRPr="002F71BF">
        <w:rPr>
          <w:rFonts w:ascii="Times New Roman" w:eastAsia="Times New Roman" w:hAnsi="Times New Roman" w:cs="Times New Roman"/>
          <w:sz w:val="28"/>
          <w:szCs w:val="28"/>
          <w:lang w:eastAsia="ru-RU"/>
        </w:rPr>
        <w:t>2019 г. – 54</w:t>
      </w:r>
      <w:r w:rsidRPr="002F71BF">
        <w:rPr>
          <w:rFonts w:ascii="Times New Roman" w:eastAsia="Times New Roman" w:hAnsi="Times New Roman" w:cs="Times New Roman"/>
          <w:sz w:val="28"/>
          <w:szCs w:val="28"/>
          <w:lang w:val="en-US" w:eastAsia="ru-RU"/>
        </w:rPr>
        <w:t> </w:t>
      </w:r>
      <w:r w:rsidRPr="002F71BF">
        <w:rPr>
          <w:rFonts w:ascii="Times New Roman" w:eastAsia="Times New Roman" w:hAnsi="Times New Roman" w:cs="Times New Roman"/>
          <w:sz w:val="28"/>
          <w:szCs w:val="28"/>
          <w:lang w:eastAsia="ru-RU"/>
        </w:rPr>
        <w:t xml:space="preserve">720) возросло количество особо тяжких (2021 г. – 1 345; 2020 г. – 956; 2019 г. – 957) и тяжких (2021 г. – 477; 2020 г. – 434; 2019 г. – 421) </w:t>
      </w:r>
      <w:r w:rsidRPr="002F71BF">
        <w:rPr>
          <w:rFonts w:ascii="Times New Roman" w:eastAsia="Times New Roman" w:hAnsi="Times New Roman" w:cs="Times New Roman"/>
          <w:spacing w:val="-4"/>
          <w:sz w:val="28"/>
          <w:szCs w:val="28"/>
          <w:lang w:eastAsia="ru-RU"/>
        </w:rPr>
        <w:t>преступлений, а также преступлений средней (2021 г. – 313; 2020 г. – 274; 2019 г. – 327)</w:t>
      </w:r>
      <w:r w:rsidRPr="002F71BF">
        <w:rPr>
          <w:rFonts w:ascii="Times New Roman" w:eastAsia="Times New Roman" w:hAnsi="Times New Roman" w:cs="Times New Roman"/>
          <w:sz w:val="28"/>
          <w:szCs w:val="28"/>
          <w:lang w:eastAsia="ru-RU"/>
        </w:rPr>
        <w:t xml:space="preserve"> и небольшой тяжести (2021 г. – 57 291; 2020 г. – 45 850; 2019 г. – 53</w:t>
      </w:r>
      <w:r w:rsidRPr="002F71BF">
        <w:rPr>
          <w:rFonts w:ascii="Times New Roman" w:eastAsia="Times New Roman" w:hAnsi="Times New Roman" w:cs="Times New Roman"/>
          <w:sz w:val="28"/>
          <w:szCs w:val="28"/>
          <w:lang w:val="en-US" w:eastAsia="ru-RU"/>
        </w:rPr>
        <w:t> </w:t>
      </w:r>
      <w:r w:rsidRPr="002F71BF">
        <w:rPr>
          <w:rFonts w:ascii="Times New Roman" w:eastAsia="Times New Roman" w:hAnsi="Times New Roman" w:cs="Times New Roman"/>
          <w:sz w:val="28"/>
          <w:szCs w:val="28"/>
          <w:lang w:eastAsia="ru-RU"/>
        </w:rPr>
        <w:t>015).</w:t>
      </w:r>
    </w:p>
    <w:p w14:paraId="2AD868CA" w14:textId="77777777" w:rsidR="002F71BF" w:rsidRPr="002F71BF" w:rsidRDefault="002F71BF" w:rsidP="002F71BF">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rPr>
      </w:pPr>
      <w:r w:rsidRPr="002F71BF">
        <w:rPr>
          <w:rFonts w:ascii="Times New Roman" w:eastAsia="Times New Roman" w:hAnsi="Times New Roman" w:cs="Times New Roman"/>
          <w:sz w:val="28"/>
          <w:szCs w:val="28"/>
          <w:lang w:eastAsia="ru-RU"/>
        </w:rPr>
        <w:t>Попечителями в 2021 г</w:t>
      </w:r>
      <w:r w:rsidR="00495D26">
        <w:rPr>
          <w:rFonts w:ascii="Times New Roman" w:eastAsia="Times New Roman" w:hAnsi="Times New Roman" w:cs="Times New Roman"/>
          <w:sz w:val="28"/>
          <w:szCs w:val="28"/>
          <w:lang w:eastAsia="ru-RU"/>
        </w:rPr>
        <w:t>.</w:t>
      </w:r>
      <w:r w:rsidRPr="002F71BF">
        <w:rPr>
          <w:rFonts w:ascii="Times New Roman" w:eastAsia="Times New Roman" w:hAnsi="Times New Roman" w:cs="Times New Roman"/>
          <w:sz w:val="28"/>
          <w:szCs w:val="28"/>
          <w:lang w:eastAsia="ru-RU"/>
        </w:rPr>
        <w:t xml:space="preserve"> совершено 7 уголовно-наказуемых деяний (2020 г. – 0; 2019 г. – 3). </w:t>
      </w:r>
    </w:p>
    <w:p w14:paraId="4B38E307" w14:textId="77777777" w:rsidR="002F71BF" w:rsidRPr="00BD6276" w:rsidRDefault="002F71BF" w:rsidP="002F71BF">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rPr>
      </w:pPr>
      <w:r w:rsidRPr="00BD6276">
        <w:rPr>
          <w:rFonts w:ascii="Times New Roman" w:eastAsia="Times New Roman" w:hAnsi="Times New Roman" w:cs="Times New Roman"/>
          <w:sz w:val="28"/>
          <w:szCs w:val="28"/>
          <w:lang w:eastAsia="ru-RU"/>
        </w:rPr>
        <w:t>В то же время положительная динамика сокращения регистрируется по преступлениям, совершенным опекунами (2021 г. – 32; 2020 г. – 40; 2019 г. – 43).</w:t>
      </w:r>
    </w:p>
    <w:p w14:paraId="606A4E9F" w14:textId="77777777" w:rsidR="002F71BF" w:rsidRPr="002F71BF" w:rsidRDefault="002F71BF" w:rsidP="002F71BF">
      <w:pPr>
        <w:widowControl w:val="0"/>
        <w:shd w:val="clear" w:color="auto" w:fill="FFFFFF" w:themeFill="background1"/>
        <w:autoSpaceDE w:val="0"/>
        <w:autoSpaceDN w:val="0"/>
        <w:spacing w:after="0" w:line="312" w:lineRule="auto"/>
        <w:ind w:firstLine="709"/>
        <w:jc w:val="both"/>
        <w:rPr>
          <w:rFonts w:ascii="Times New Roman" w:eastAsia="Times New Roman" w:hAnsi="Times New Roman" w:cs="Times New Roman"/>
          <w:sz w:val="28"/>
          <w:szCs w:val="28"/>
          <w:lang w:eastAsia="ru-RU"/>
        </w:rPr>
      </w:pPr>
      <w:r w:rsidRPr="002F71BF">
        <w:rPr>
          <w:rFonts w:ascii="Times New Roman" w:eastAsia="Times New Roman" w:hAnsi="Times New Roman" w:cs="Times New Roman"/>
          <w:sz w:val="28"/>
          <w:szCs w:val="28"/>
          <w:lang w:eastAsia="ru-RU"/>
        </w:rPr>
        <w:t>По этим причинам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p>
    <w:p w14:paraId="695703C0" w14:textId="7CF47BCF" w:rsidR="002F71BF" w:rsidRPr="002F71BF" w:rsidRDefault="002F71BF" w:rsidP="002F71BF">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rPr>
      </w:pPr>
      <w:r w:rsidRPr="002F71BF">
        <w:rPr>
          <w:rFonts w:ascii="Times New Roman" w:eastAsia="Times New Roman" w:hAnsi="Times New Roman" w:cs="Times New Roman"/>
          <w:sz w:val="28"/>
          <w:szCs w:val="28"/>
          <w:lang w:eastAsia="ru-RU"/>
        </w:rPr>
        <w:t>На конец 2021 г</w:t>
      </w:r>
      <w:r w:rsidR="00495D26">
        <w:rPr>
          <w:rFonts w:ascii="Times New Roman" w:eastAsia="Times New Roman" w:hAnsi="Times New Roman" w:cs="Times New Roman"/>
          <w:sz w:val="28"/>
          <w:szCs w:val="28"/>
          <w:lang w:eastAsia="ru-RU"/>
        </w:rPr>
        <w:t>.</w:t>
      </w:r>
      <w:r w:rsidRPr="002F71BF">
        <w:rPr>
          <w:rFonts w:ascii="Times New Roman" w:eastAsia="Times New Roman" w:hAnsi="Times New Roman" w:cs="Times New Roman"/>
          <w:sz w:val="28"/>
          <w:szCs w:val="28"/>
          <w:lang w:eastAsia="ru-RU"/>
        </w:rPr>
        <w:t xml:space="preserve"> на учете в о</w:t>
      </w:r>
      <w:r w:rsidR="00BD6276">
        <w:rPr>
          <w:rFonts w:ascii="Times New Roman" w:eastAsia="Times New Roman" w:hAnsi="Times New Roman" w:cs="Times New Roman"/>
          <w:sz w:val="28"/>
          <w:szCs w:val="28"/>
          <w:lang w:eastAsia="ru-RU"/>
        </w:rPr>
        <w:t xml:space="preserve">рганах внутренних дел состояло </w:t>
      </w:r>
      <w:r w:rsidRPr="002F71BF">
        <w:rPr>
          <w:rFonts w:ascii="Times New Roman" w:eastAsia="Times New Roman" w:hAnsi="Times New Roman" w:cs="Times New Roman"/>
          <w:sz w:val="28"/>
          <w:szCs w:val="28"/>
          <w:lang w:eastAsia="ru-RU"/>
        </w:rPr>
        <w:t xml:space="preserve">132 700 родителей или иных законных представителей несовершеннолетних данной категории </w:t>
      </w:r>
      <w:r w:rsidR="00C36EB2">
        <w:rPr>
          <w:rFonts w:ascii="Times New Roman" w:eastAsia="Times New Roman" w:hAnsi="Times New Roman" w:cs="Times New Roman"/>
          <w:sz w:val="28"/>
          <w:szCs w:val="28"/>
          <w:lang w:eastAsia="ru-RU"/>
        </w:rPr>
        <w:br/>
      </w:r>
      <w:r w:rsidRPr="002F71BF">
        <w:rPr>
          <w:rFonts w:ascii="Times New Roman" w:eastAsia="Times New Roman" w:hAnsi="Times New Roman" w:cs="Times New Roman"/>
          <w:sz w:val="28"/>
          <w:szCs w:val="28"/>
          <w:lang w:eastAsia="ru-RU"/>
        </w:rPr>
        <w:t>(2020 г. – 128 090; 2019 г. – 127</w:t>
      </w:r>
      <w:r w:rsidRPr="002F71BF">
        <w:rPr>
          <w:rFonts w:ascii="Times New Roman" w:eastAsia="Times New Roman" w:hAnsi="Times New Roman" w:cs="Times New Roman"/>
          <w:sz w:val="28"/>
          <w:szCs w:val="28"/>
          <w:lang w:val="en-US" w:eastAsia="ru-RU"/>
        </w:rPr>
        <w:t> </w:t>
      </w:r>
      <w:r w:rsidRPr="002F71BF">
        <w:rPr>
          <w:rFonts w:ascii="Times New Roman" w:eastAsia="Times New Roman" w:hAnsi="Times New Roman" w:cs="Times New Roman"/>
          <w:sz w:val="28"/>
          <w:szCs w:val="28"/>
          <w:lang w:eastAsia="ru-RU"/>
        </w:rPr>
        <w:t>004).</w:t>
      </w:r>
    </w:p>
    <w:p w14:paraId="4A37BC5C" w14:textId="77777777" w:rsidR="002F71BF" w:rsidRPr="002F71BF" w:rsidRDefault="002F71BF" w:rsidP="002F71BF">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rPr>
      </w:pPr>
      <w:r w:rsidRPr="002F71BF">
        <w:rPr>
          <w:rFonts w:ascii="Times New Roman" w:eastAsia="Times New Roman" w:hAnsi="Times New Roman" w:cs="Times New Roman"/>
          <w:sz w:val="28"/>
          <w:szCs w:val="28"/>
          <w:lang w:eastAsia="ru-RU"/>
        </w:rPr>
        <w:t>К административной ответственности в 2021 г</w:t>
      </w:r>
      <w:r w:rsidR="00495D26">
        <w:rPr>
          <w:rFonts w:ascii="Times New Roman" w:eastAsia="Times New Roman" w:hAnsi="Times New Roman" w:cs="Times New Roman"/>
          <w:sz w:val="28"/>
          <w:szCs w:val="28"/>
          <w:lang w:eastAsia="ru-RU"/>
        </w:rPr>
        <w:t>.</w:t>
      </w:r>
      <w:r w:rsidRPr="002F71BF">
        <w:rPr>
          <w:rFonts w:ascii="Times New Roman" w:eastAsia="Times New Roman" w:hAnsi="Times New Roman" w:cs="Times New Roman"/>
          <w:sz w:val="28"/>
          <w:szCs w:val="28"/>
          <w:lang w:eastAsia="ru-RU"/>
        </w:rPr>
        <w:t xml:space="preserve"> привлечено 474 782 лица </w:t>
      </w:r>
      <w:r w:rsidR="00495D26">
        <w:rPr>
          <w:rFonts w:ascii="Times New Roman" w:eastAsia="Times New Roman" w:hAnsi="Times New Roman" w:cs="Times New Roman"/>
          <w:sz w:val="28"/>
          <w:szCs w:val="28"/>
          <w:lang w:eastAsia="ru-RU"/>
        </w:rPr>
        <w:br/>
      </w:r>
      <w:r w:rsidRPr="002F71BF">
        <w:rPr>
          <w:rFonts w:ascii="Times New Roman" w:eastAsia="Times New Roman" w:hAnsi="Times New Roman" w:cs="Times New Roman"/>
          <w:sz w:val="28"/>
          <w:szCs w:val="28"/>
          <w:lang w:eastAsia="ru-RU"/>
        </w:rPr>
        <w:t xml:space="preserve">(2020 г. – 480 579; 2019 г. – 488 393), в том числе за неисполнение </w:t>
      </w:r>
      <w:r w:rsidRPr="002F71BF">
        <w:rPr>
          <w:rFonts w:ascii="Times New Roman" w:eastAsia="Times New Roman" w:hAnsi="Times New Roman" w:cs="Times New Roman"/>
          <w:spacing w:val="-4"/>
          <w:sz w:val="28"/>
          <w:szCs w:val="28"/>
          <w:lang w:eastAsia="ru-RU"/>
        </w:rPr>
        <w:t>обязанностей по воспитанию детей в соответствии с частью 1 статьи 5.35 КоАП</w:t>
      </w:r>
      <w:r w:rsidR="00B3284A">
        <w:rPr>
          <w:rFonts w:ascii="Times New Roman" w:eastAsia="Times New Roman" w:hAnsi="Times New Roman" w:cs="Times New Roman"/>
          <w:spacing w:val="-4"/>
          <w:sz w:val="28"/>
          <w:szCs w:val="28"/>
          <w:lang w:eastAsia="ru-RU"/>
        </w:rPr>
        <w:t xml:space="preserve"> РФ </w:t>
      </w:r>
      <w:r w:rsidRPr="002F71BF">
        <w:rPr>
          <w:rFonts w:ascii="Times New Roman" w:eastAsia="Times New Roman" w:hAnsi="Times New Roman" w:cs="Times New Roman"/>
          <w:spacing w:val="-4"/>
          <w:sz w:val="28"/>
          <w:szCs w:val="28"/>
          <w:lang w:eastAsia="ru-RU"/>
        </w:rPr>
        <w:t>–</w:t>
      </w:r>
      <w:r w:rsidRPr="002F71BF">
        <w:rPr>
          <w:rFonts w:ascii="Times New Roman" w:eastAsia="Times New Roman" w:hAnsi="Times New Roman" w:cs="Times New Roman"/>
          <w:sz w:val="28"/>
          <w:szCs w:val="28"/>
          <w:lang w:eastAsia="ru-RU"/>
        </w:rPr>
        <w:t xml:space="preserve"> 435 649 </w:t>
      </w:r>
      <w:r w:rsidR="00BD6276">
        <w:rPr>
          <w:rFonts w:ascii="Times New Roman" w:eastAsia="Times New Roman" w:hAnsi="Times New Roman" w:cs="Times New Roman"/>
          <w:sz w:val="28"/>
          <w:szCs w:val="28"/>
          <w:lang w:eastAsia="ru-RU"/>
        </w:rPr>
        <w:br/>
      </w:r>
      <w:r w:rsidRPr="002F71BF">
        <w:rPr>
          <w:rFonts w:ascii="Times New Roman" w:eastAsia="Times New Roman" w:hAnsi="Times New Roman" w:cs="Times New Roman"/>
          <w:sz w:val="28"/>
          <w:szCs w:val="28"/>
          <w:lang w:eastAsia="ru-RU"/>
        </w:rPr>
        <w:t xml:space="preserve">(2020 г. – 438 782; 2019 г. – 436 017), за вовлечение несовершеннолетних в употребление алкогольной и спиртосодержащей продукции, новых потенциально опасных психоактивных веществ или одурманивающих веществ в соответствии с частью 2 статьи 6.10 КоАП </w:t>
      </w:r>
      <w:r w:rsidR="00B3284A">
        <w:rPr>
          <w:rFonts w:ascii="Times New Roman" w:eastAsia="Times New Roman" w:hAnsi="Times New Roman" w:cs="Times New Roman"/>
          <w:sz w:val="28"/>
          <w:szCs w:val="28"/>
          <w:lang w:eastAsia="ru-RU"/>
        </w:rPr>
        <w:t xml:space="preserve">РФ </w:t>
      </w:r>
      <w:r w:rsidRPr="002F71BF">
        <w:rPr>
          <w:rFonts w:ascii="Times New Roman" w:eastAsia="Times New Roman" w:hAnsi="Times New Roman" w:cs="Times New Roman"/>
          <w:sz w:val="28"/>
          <w:szCs w:val="28"/>
          <w:lang w:eastAsia="ru-RU"/>
        </w:rPr>
        <w:t xml:space="preserve">– 601 (2020 г. – 568; 2019 г. – 539), за вовлечение несовершеннолетних в процесс потребления табака в соответствии с частью 2 статьи 6.23 КоАП </w:t>
      </w:r>
      <w:r w:rsidR="00B3284A">
        <w:rPr>
          <w:rFonts w:ascii="Times New Roman" w:eastAsia="Times New Roman" w:hAnsi="Times New Roman" w:cs="Times New Roman"/>
          <w:sz w:val="28"/>
          <w:szCs w:val="28"/>
          <w:lang w:eastAsia="ru-RU"/>
        </w:rPr>
        <w:t xml:space="preserve">РФ </w:t>
      </w:r>
      <w:r w:rsidRPr="002F71BF">
        <w:rPr>
          <w:rFonts w:ascii="Times New Roman" w:eastAsia="Times New Roman" w:hAnsi="Times New Roman" w:cs="Times New Roman"/>
          <w:sz w:val="28"/>
          <w:szCs w:val="28"/>
          <w:lang w:eastAsia="ru-RU"/>
        </w:rPr>
        <w:t>– 285 (2020 г. – 260; 2019 г. – 247).</w:t>
      </w:r>
    </w:p>
    <w:p w14:paraId="5741E691" w14:textId="77777777" w:rsidR="002F71BF" w:rsidRPr="002F71BF" w:rsidRDefault="002F71BF" w:rsidP="00BD6276">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rPr>
      </w:pPr>
      <w:r w:rsidRPr="002F71BF">
        <w:rPr>
          <w:rFonts w:ascii="Times New Roman" w:eastAsia="Times New Roman" w:hAnsi="Times New Roman" w:cs="Times New Roman"/>
          <w:sz w:val="28"/>
          <w:szCs w:val="28"/>
          <w:lang w:eastAsia="ru-RU"/>
        </w:rPr>
        <w:t>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2021 г</w:t>
      </w:r>
      <w:r w:rsidR="00495D26">
        <w:rPr>
          <w:rFonts w:ascii="Times New Roman" w:eastAsia="Times New Roman" w:hAnsi="Times New Roman" w:cs="Times New Roman"/>
          <w:sz w:val="28"/>
          <w:szCs w:val="28"/>
          <w:lang w:eastAsia="ru-RU"/>
        </w:rPr>
        <w:t>.</w:t>
      </w:r>
      <w:r w:rsidRPr="002F71BF">
        <w:rPr>
          <w:rFonts w:ascii="Times New Roman" w:eastAsia="Times New Roman" w:hAnsi="Times New Roman" w:cs="Times New Roman"/>
          <w:sz w:val="28"/>
          <w:szCs w:val="28"/>
          <w:lang w:eastAsia="ru-RU"/>
        </w:rPr>
        <w:t xml:space="preserve"> </w:t>
      </w:r>
      <w:r w:rsidR="00BD6276">
        <w:rPr>
          <w:rFonts w:ascii="Times New Roman" w:eastAsia="Times New Roman" w:hAnsi="Times New Roman" w:cs="Times New Roman"/>
          <w:sz w:val="28"/>
          <w:szCs w:val="28"/>
          <w:lang w:eastAsia="ru-RU"/>
        </w:rPr>
        <w:t xml:space="preserve">возбуждено 1 342 уголовных дела </w:t>
      </w:r>
      <w:r w:rsidRPr="002F71BF">
        <w:rPr>
          <w:rFonts w:ascii="Times New Roman" w:eastAsia="Times New Roman" w:hAnsi="Times New Roman" w:cs="Times New Roman"/>
          <w:sz w:val="28"/>
          <w:szCs w:val="28"/>
          <w:lang w:eastAsia="ru-RU"/>
        </w:rPr>
        <w:t>по признакам преступлений, предусмотренных статьей 156 УК</w:t>
      </w:r>
      <w:r w:rsidR="00BD6276">
        <w:rPr>
          <w:rFonts w:ascii="Times New Roman" w:eastAsia="Times New Roman" w:hAnsi="Times New Roman" w:cs="Times New Roman"/>
          <w:sz w:val="28"/>
          <w:szCs w:val="28"/>
          <w:lang w:eastAsia="ru-RU"/>
        </w:rPr>
        <w:t xml:space="preserve"> РФ</w:t>
      </w:r>
      <w:r w:rsidRPr="002F71BF">
        <w:rPr>
          <w:rFonts w:ascii="Times New Roman" w:eastAsia="Times New Roman" w:hAnsi="Times New Roman" w:cs="Times New Roman"/>
          <w:sz w:val="28"/>
          <w:szCs w:val="28"/>
          <w:lang w:eastAsia="ru-RU"/>
        </w:rPr>
        <w:t xml:space="preserve"> (2020 г. – 1 288; 2019 г. – 1</w:t>
      </w:r>
      <w:r w:rsidRPr="002F71BF">
        <w:rPr>
          <w:rFonts w:ascii="Times New Roman" w:eastAsia="Times New Roman" w:hAnsi="Times New Roman" w:cs="Times New Roman"/>
          <w:sz w:val="28"/>
          <w:szCs w:val="28"/>
          <w:lang w:val="en-US" w:eastAsia="ru-RU"/>
        </w:rPr>
        <w:t> </w:t>
      </w:r>
      <w:r w:rsidRPr="002F71BF">
        <w:rPr>
          <w:rFonts w:ascii="Times New Roman" w:eastAsia="Times New Roman" w:hAnsi="Times New Roman" w:cs="Times New Roman"/>
          <w:sz w:val="28"/>
          <w:szCs w:val="28"/>
          <w:lang w:eastAsia="ru-RU"/>
        </w:rPr>
        <w:t>491).</w:t>
      </w:r>
    </w:p>
    <w:p w14:paraId="16373E04" w14:textId="77777777" w:rsidR="002F71BF" w:rsidRPr="002F71BF" w:rsidRDefault="002F71BF" w:rsidP="00F82219">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2F71BF">
        <w:rPr>
          <w:rFonts w:ascii="Times New Roman" w:eastAsia="Times New Roman" w:hAnsi="Times New Roman" w:cs="Times New Roman"/>
          <w:sz w:val="28"/>
          <w:szCs w:val="28"/>
          <w:lang w:eastAsia="ru-RU"/>
        </w:rPr>
        <w:t>Крайней мерой реагирования в случае злостного уклонения от исполнения родительских обязанностей является лишение родительских прав.</w:t>
      </w:r>
      <w:r w:rsidR="00F82219">
        <w:rPr>
          <w:rFonts w:ascii="Times New Roman" w:eastAsia="Times New Roman" w:hAnsi="Times New Roman" w:cs="Times New Roman"/>
          <w:sz w:val="28"/>
          <w:szCs w:val="28"/>
          <w:lang w:eastAsia="ru-RU"/>
        </w:rPr>
        <w:t xml:space="preserve"> </w:t>
      </w:r>
      <w:r w:rsidRPr="002F71BF">
        <w:rPr>
          <w:rFonts w:ascii="Times New Roman" w:eastAsia="Times New Roman" w:hAnsi="Times New Roman" w:cs="Times New Roman"/>
          <w:sz w:val="28"/>
          <w:szCs w:val="28"/>
          <w:lang w:eastAsia="ru-RU"/>
        </w:rPr>
        <w:t>В 2021 г</w:t>
      </w:r>
      <w:r w:rsidR="00495D26">
        <w:rPr>
          <w:rFonts w:ascii="Times New Roman" w:eastAsia="Times New Roman" w:hAnsi="Times New Roman" w:cs="Times New Roman"/>
          <w:sz w:val="28"/>
          <w:szCs w:val="28"/>
          <w:lang w:eastAsia="ru-RU"/>
        </w:rPr>
        <w:t>.</w:t>
      </w:r>
      <w:r w:rsidRPr="002F71BF">
        <w:rPr>
          <w:rFonts w:ascii="Times New Roman" w:eastAsia="Times New Roman" w:hAnsi="Times New Roman" w:cs="Times New Roman"/>
          <w:sz w:val="28"/>
          <w:szCs w:val="28"/>
          <w:lang w:eastAsia="ru-RU"/>
        </w:rPr>
        <w:t xml:space="preserve"> по материалам, подготовленным с участием органов внутренних дел, родительских прав лише</w:t>
      </w:r>
      <w:r w:rsidR="00BD6276">
        <w:rPr>
          <w:rFonts w:ascii="Times New Roman" w:eastAsia="Times New Roman" w:hAnsi="Times New Roman" w:cs="Times New Roman"/>
          <w:sz w:val="28"/>
          <w:szCs w:val="28"/>
          <w:lang w:eastAsia="ru-RU"/>
        </w:rPr>
        <w:t xml:space="preserve">ны 3 858 лиц (2020 г. – 3 932; </w:t>
      </w:r>
      <w:r w:rsidRPr="002F71BF">
        <w:rPr>
          <w:rFonts w:ascii="Times New Roman" w:eastAsia="Times New Roman" w:hAnsi="Times New Roman" w:cs="Times New Roman"/>
          <w:sz w:val="28"/>
          <w:szCs w:val="28"/>
          <w:lang w:eastAsia="ru-RU"/>
        </w:rPr>
        <w:t>2019 г. – 4 791).</w:t>
      </w:r>
    </w:p>
    <w:p w14:paraId="6052E429" w14:textId="77777777" w:rsidR="002F71BF" w:rsidRPr="002F71BF" w:rsidRDefault="002F71BF" w:rsidP="002F71BF">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rPr>
      </w:pPr>
      <w:r w:rsidRPr="002F71BF">
        <w:rPr>
          <w:rFonts w:ascii="Times New Roman" w:eastAsia="Times New Roman" w:hAnsi="Times New Roman" w:cs="Times New Roman"/>
          <w:sz w:val="28"/>
          <w:szCs w:val="28"/>
          <w:lang w:eastAsia="ru-RU"/>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14:paraId="6707E863" w14:textId="77777777" w:rsidR="002F71BF" w:rsidRPr="002F71BF" w:rsidRDefault="002F71BF" w:rsidP="002F71BF">
      <w:pPr>
        <w:autoSpaceDE w:val="0"/>
        <w:autoSpaceDN w:val="0"/>
        <w:spacing w:after="0" w:line="312" w:lineRule="auto"/>
        <w:ind w:firstLine="709"/>
        <w:jc w:val="both"/>
        <w:rPr>
          <w:rFonts w:ascii="Times New Roman" w:eastAsia="Times New Roman" w:hAnsi="Times New Roman" w:cs="Times New Roman"/>
          <w:sz w:val="28"/>
          <w:szCs w:val="28"/>
          <w:lang w:eastAsia="ru-RU"/>
        </w:rPr>
      </w:pPr>
      <w:r w:rsidRPr="002F71BF">
        <w:rPr>
          <w:rFonts w:ascii="Times New Roman" w:eastAsia="Times New Roman" w:hAnsi="Times New Roman" w:cs="Times New Roman"/>
          <w:sz w:val="28"/>
          <w:szCs w:val="28"/>
          <w:lang w:eastAsia="ru-RU"/>
        </w:rPr>
        <w:t>К примеру, в Калужской области разработан и у</w:t>
      </w:r>
      <w:r w:rsidRPr="002F71BF">
        <w:rPr>
          <w:rFonts w:ascii="Times New Roman" w:eastAsia="Times New Roman" w:hAnsi="Times New Roman" w:cs="Times New Roman"/>
          <w:sz w:val="28"/>
          <w:szCs w:val="28"/>
        </w:rPr>
        <w:t xml:space="preserve">твержден постановлением </w:t>
      </w:r>
      <w:r w:rsidRPr="002F71BF">
        <w:rPr>
          <w:rFonts w:ascii="Times New Roman" w:eastAsia="Times New Roman" w:hAnsi="Times New Roman" w:cs="Times New Roman"/>
          <w:sz w:val="28"/>
          <w:szCs w:val="28"/>
          <w:lang w:eastAsia="ru-RU"/>
        </w:rPr>
        <w:t xml:space="preserve">областной комиссии по делам несовершеннолетних и защите их прав </w:t>
      </w:r>
      <w:r w:rsidRPr="002F71BF">
        <w:rPr>
          <w:rFonts w:ascii="Times New Roman" w:eastAsia="Times New Roman" w:hAnsi="Times New Roman" w:cs="Times New Roman"/>
          <w:sz w:val="28"/>
          <w:szCs w:val="28"/>
        </w:rPr>
        <w:t>от 30 сентября 2021 г. №</w:t>
      </w:r>
      <w:r w:rsidRPr="002F71BF">
        <w:rPr>
          <w:rFonts w:ascii="Times New Roman" w:eastAsia="Times New Roman" w:hAnsi="Times New Roman" w:cs="Times New Roman"/>
          <w:sz w:val="28"/>
          <w:szCs w:val="28"/>
          <w:lang w:val="en-US"/>
        </w:rPr>
        <w:t> </w:t>
      </w:r>
      <w:r w:rsidRPr="002F71BF">
        <w:rPr>
          <w:rFonts w:ascii="Times New Roman" w:eastAsia="Times New Roman" w:hAnsi="Times New Roman" w:cs="Times New Roman"/>
          <w:sz w:val="28"/>
          <w:szCs w:val="28"/>
        </w:rPr>
        <w:t xml:space="preserve">5 </w:t>
      </w:r>
      <w:r w:rsidR="00BD6276">
        <w:rPr>
          <w:rFonts w:ascii="Times New Roman" w:eastAsia="Times New Roman" w:hAnsi="Times New Roman" w:cs="Times New Roman"/>
          <w:sz w:val="28"/>
          <w:szCs w:val="28"/>
          <w:lang w:eastAsia="ru-RU"/>
        </w:rPr>
        <w:t xml:space="preserve">Порядок взаимодействия органов </w:t>
      </w:r>
      <w:r w:rsidRPr="002F71BF">
        <w:rPr>
          <w:rFonts w:ascii="Times New Roman" w:eastAsia="Times New Roman" w:hAnsi="Times New Roman" w:cs="Times New Roman"/>
          <w:sz w:val="28"/>
          <w:szCs w:val="28"/>
          <w:lang w:eastAsia="ru-RU"/>
        </w:rPr>
        <w:t>и учреждений системы профилактики при выявлении, учете и организации индивидуальной профилактической работы с безнадзорными несовершеннолетними, а также подро</w:t>
      </w:r>
      <w:r w:rsidR="00BD6276">
        <w:rPr>
          <w:rFonts w:ascii="Times New Roman" w:eastAsia="Times New Roman" w:hAnsi="Times New Roman" w:cs="Times New Roman"/>
          <w:sz w:val="28"/>
          <w:szCs w:val="28"/>
          <w:lang w:eastAsia="ru-RU"/>
        </w:rPr>
        <w:t xml:space="preserve">стками и семьями, находящимися </w:t>
      </w:r>
      <w:r w:rsidRPr="002F71BF">
        <w:rPr>
          <w:rFonts w:ascii="Times New Roman" w:eastAsia="Times New Roman" w:hAnsi="Times New Roman" w:cs="Times New Roman"/>
          <w:sz w:val="28"/>
          <w:szCs w:val="28"/>
          <w:lang w:eastAsia="ru-RU"/>
        </w:rPr>
        <w:t xml:space="preserve">в социально опасном положении, предупреждении несчастных случаев, суицидов, жестокого обращения с детьми. </w:t>
      </w:r>
    </w:p>
    <w:p w14:paraId="356B0298" w14:textId="77777777" w:rsidR="002F71BF" w:rsidRPr="002F71BF" w:rsidRDefault="002F71BF" w:rsidP="002F71BF">
      <w:pPr>
        <w:autoSpaceDE w:val="0"/>
        <w:autoSpaceDN w:val="0"/>
        <w:spacing w:after="0" w:line="312" w:lineRule="auto"/>
        <w:ind w:firstLine="709"/>
        <w:jc w:val="both"/>
        <w:rPr>
          <w:rFonts w:ascii="Times New Roman" w:eastAsia="Times New Roman" w:hAnsi="Times New Roman" w:cs="Times New Roman"/>
          <w:sz w:val="28"/>
          <w:szCs w:val="28"/>
          <w:lang w:eastAsia="ru-RU"/>
        </w:rPr>
      </w:pPr>
      <w:r w:rsidRPr="002F71BF">
        <w:rPr>
          <w:rFonts w:ascii="Times New Roman" w:eastAsia="Times New Roman" w:hAnsi="Times New Roman" w:cs="Times New Roman"/>
          <w:sz w:val="28"/>
          <w:szCs w:val="28"/>
          <w:lang w:eastAsia="ru-RU"/>
        </w:rPr>
        <w:t>Постановлением Правительственно</w:t>
      </w:r>
      <w:r w:rsidR="00BD6276">
        <w:rPr>
          <w:rFonts w:ascii="Times New Roman" w:eastAsia="Times New Roman" w:hAnsi="Times New Roman" w:cs="Times New Roman"/>
          <w:sz w:val="28"/>
          <w:szCs w:val="28"/>
          <w:lang w:eastAsia="ru-RU"/>
        </w:rPr>
        <w:t xml:space="preserve">й комиссии Магаданской области </w:t>
      </w:r>
      <w:r w:rsidR="00BD6276">
        <w:rPr>
          <w:rFonts w:ascii="Times New Roman" w:eastAsia="Times New Roman" w:hAnsi="Times New Roman" w:cs="Times New Roman"/>
          <w:sz w:val="28"/>
          <w:szCs w:val="28"/>
          <w:lang w:eastAsia="ru-RU"/>
        </w:rPr>
        <w:br/>
      </w:r>
      <w:r w:rsidRPr="002F71BF">
        <w:rPr>
          <w:rFonts w:ascii="Times New Roman" w:eastAsia="Times New Roman" w:hAnsi="Times New Roman" w:cs="Times New Roman"/>
          <w:sz w:val="28"/>
          <w:szCs w:val="28"/>
          <w:lang w:eastAsia="ru-RU"/>
        </w:rPr>
        <w:t>от 29 июля 2021 г. № 2 принят Порядок взаимодействия органов и учреждений системы профилактики безнадзорности и правонарушений несовершеннолетних при организации индивидуальной профилактической работы в отношении несовершеннолетних и семей, находящихся в социально опасном положении, и форм</w:t>
      </w:r>
      <w:r w:rsidR="00EB5C70">
        <w:rPr>
          <w:rFonts w:ascii="Times New Roman" w:eastAsia="Times New Roman" w:hAnsi="Times New Roman" w:cs="Times New Roman"/>
          <w:sz w:val="28"/>
          <w:szCs w:val="28"/>
          <w:lang w:eastAsia="ru-RU"/>
        </w:rPr>
        <w:t xml:space="preserve">ирования банка данных о семьях </w:t>
      </w:r>
      <w:r w:rsidRPr="002F71BF">
        <w:rPr>
          <w:rFonts w:ascii="Times New Roman" w:eastAsia="Times New Roman" w:hAnsi="Times New Roman" w:cs="Times New Roman"/>
          <w:sz w:val="28"/>
          <w:szCs w:val="28"/>
          <w:lang w:eastAsia="ru-RU"/>
        </w:rPr>
        <w:t>и несовершеннолетних, находящихся в социально опасном положении.</w:t>
      </w:r>
    </w:p>
    <w:p w14:paraId="654F58E2" w14:textId="77777777" w:rsidR="002F71BF" w:rsidRPr="002F71BF" w:rsidRDefault="002F71BF" w:rsidP="002F71BF">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rPr>
      </w:pPr>
      <w:r w:rsidRPr="002F71BF">
        <w:rPr>
          <w:rFonts w:ascii="Times New Roman" w:eastAsia="Times New Roman" w:hAnsi="Times New Roman" w:cs="Times New Roman"/>
          <w:sz w:val="28"/>
          <w:szCs w:val="28"/>
          <w:lang w:eastAsia="ru-RU"/>
        </w:rPr>
        <w:t>Аналогичный межведомственный нормативный акт действует с 2020 г</w:t>
      </w:r>
      <w:r w:rsidR="00495D26">
        <w:rPr>
          <w:rFonts w:ascii="Times New Roman" w:eastAsia="Times New Roman" w:hAnsi="Times New Roman" w:cs="Times New Roman"/>
          <w:sz w:val="28"/>
          <w:szCs w:val="28"/>
          <w:lang w:eastAsia="ru-RU"/>
        </w:rPr>
        <w:t>.</w:t>
      </w:r>
      <w:r w:rsidRPr="002F71BF">
        <w:rPr>
          <w:rFonts w:ascii="Times New Roman" w:eastAsia="Times New Roman" w:hAnsi="Times New Roman" w:cs="Times New Roman"/>
          <w:sz w:val="28"/>
          <w:szCs w:val="28"/>
          <w:lang w:eastAsia="ru-RU"/>
        </w:rPr>
        <w:t xml:space="preserve"> </w:t>
      </w:r>
      <w:r w:rsidRPr="002F71BF">
        <w:rPr>
          <w:rFonts w:ascii="Times New Roman" w:eastAsia="Times New Roman" w:hAnsi="Times New Roman" w:cs="Times New Roman"/>
          <w:sz w:val="28"/>
          <w:szCs w:val="28"/>
          <w:lang w:eastAsia="ru-RU"/>
        </w:rPr>
        <w:br/>
        <w:t xml:space="preserve">в Оренбургской области. </w:t>
      </w:r>
    </w:p>
    <w:p w14:paraId="3011C3DF" w14:textId="77777777" w:rsidR="002F71BF" w:rsidRPr="002F71BF" w:rsidRDefault="002F71BF" w:rsidP="002F71BF">
      <w:pPr>
        <w:autoSpaceDE w:val="0"/>
        <w:autoSpaceDN w:val="0"/>
        <w:spacing w:after="0" w:line="312" w:lineRule="auto"/>
        <w:ind w:firstLine="709"/>
        <w:jc w:val="both"/>
        <w:rPr>
          <w:rFonts w:ascii="Times New Roman" w:eastAsia="Times New Roman" w:hAnsi="Times New Roman" w:cs="Times New Roman"/>
          <w:sz w:val="28"/>
          <w:szCs w:val="28"/>
          <w:lang w:eastAsia="ru-RU"/>
        </w:rPr>
      </w:pPr>
      <w:r w:rsidRPr="002F71BF">
        <w:rPr>
          <w:rFonts w:ascii="Times New Roman" w:eastAsia="Times New Roman" w:hAnsi="Times New Roman" w:cs="Times New Roman"/>
          <w:sz w:val="28"/>
          <w:szCs w:val="28"/>
          <w:lang w:eastAsia="ru-RU"/>
        </w:rPr>
        <w:t>На протяжении более семи лет в Краснодарском крае реализуются постановления региональной комисс</w:t>
      </w:r>
      <w:r w:rsidR="00BD6276">
        <w:rPr>
          <w:rFonts w:ascii="Times New Roman" w:eastAsia="Times New Roman" w:hAnsi="Times New Roman" w:cs="Times New Roman"/>
          <w:sz w:val="28"/>
          <w:szCs w:val="28"/>
          <w:lang w:eastAsia="ru-RU"/>
        </w:rPr>
        <w:t xml:space="preserve">ии от 24 октября 2014 г. № 3/8 </w:t>
      </w:r>
      <w:r w:rsidR="00BD6276">
        <w:rPr>
          <w:rFonts w:ascii="Times New Roman" w:eastAsia="Times New Roman" w:hAnsi="Times New Roman" w:cs="Times New Roman"/>
          <w:sz w:val="28"/>
          <w:szCs w:val="28"/>
          <w:lang w:eastAsia="ru-RU"/>
        </w:rPr>
        <w:br/>
      </w:r>
      <w:r w:rsidRPr="002F71BF">
        <w:rPr>
          <w:rFonts w:ascii="Times New Roman" w:eastAsia="Times New Roman" w:hAnsi="Times New Roman" w:cs="Times New Roman"/>
          <w:sz w:val="28"/>
          <w:szCs w:val="28"/>
          <w:lang w:eastAsia="ru-RU"/>
        </w:rPr>
        <w:t xml:space="preserve">«Об утверждении порядка межведомственного взаимодействия при возникновении чрезвычайного происшествия с несовершеннолетним» и № 3/9 «Об утверждении порядка по раннему выявлению детского и семейного неблагополучия на территории Краснодарского края». </w:t>
      </w:r>
    </w:p>
    <w:p w14:paraId="34941FD3" w14:textId="5F06AE58" w:rsidR="002F71BF" w:rsidRPr="002F71BF" w:rsidRDefault="002F71BF" w:rsidP="002F71BF">
      <w:pPr>
        <w:autoSpaceDE w:val="0"/>
        <w:autoSpaceDN w:val="0"/>
        <w:spacing w:after="0" w:line="312" w:lineRule="auto"/>
        <w:ind w:firstLine="709"/>
        <w:jc w:val="both"/>
        <w:rPr>
          <w:rFonts w:ascii="Times New Roman" w:eastAsia="Times New Roman" w:hAnsi="Times New Roman" w:cs="Times New Roman"/>
          <w:sz w:val="28"/>
          <w:szCs w:val="28"/>
          <w:lang w:eastAsia="ru-RU"/>
        </w:rPr>
      </w:pPr>
      <w:r w:rsidRPr="002F71BF">
        <w:rPr>
          <w:rFonts w:ascii="Times New Roman" w:eastAsia="Times New Roman" w:hAnsi="Times New Roman" w:cs="Times New Roman"/>
          <w:sz w:val="28"/>
          <w:szCs w:val="28"/>
          <w:lang w:eastAsia="ru-RU"/>
        </w:rPr>
        <w:t>Деятельность по профилактике социального сиротства в Мурманской области осуществляется в соответствии с Порядком межведомственного взаимодействия</w:t>
      </w:r>
      <w:r w:rsidR="00BD6276">
        <w:rPr>
          <w:rFonts w:ascii="Times New Roman" w:eastAsia="Times New Roman" w:hAnsi="Times New Roman" w:cs="Times New Roman"/>
          <w:sz w:val="28"/>
          <w:szCs w:val="28"/>
          <w:lang w:eastAsia="ru-RU"/>
        </w:rPr>
        <w:t xml:space="preserve">, утвержденным постановлением Правительства Мурманской области от 22 июля </w:t>
      </w:r>
      <w:r w:rsidR="00C36EB2">
        <w:rPr>
          <w:rFonts w:ascii="Times New Roman" w:eastAsia="Times New Roman" w:hAnsi="Times New Roman" w:cs="Times New Roman"/>
          <w:sz w:val="28"/>
          <w:szCs w:val="28"/>
          <w:lang w:eastAsia="ru-RU"/>
        </w:rPr>
        <w:br/>
      </w:r>
      <w:r w:rsidR="00BD6276">
        <w:rPr>
          <w:rFonts w:ascii="Times New Roman" w:eastAsia="Times New Roman" w:hAnsi="Times New Roman" w:cs="Times New Roman"/>
          <w:sz w:val="28"/>
          <w:szCs w:val="28"/>
          <w:lang w:eastAsia="ru-RU"/>
        </w:rPr>
        <w:t>2016 г. № 355-ПП</w:t>
      </w:r>
      <w:r w:rsidRPr="002F71BF">
        <w:rPr>
          <w:rFonts w:ascii="Times New Roman" w:eastAsia="Times New Roman" w:hAnsi="Times New Roman" w:cs="Times New Roman"/>
          <w:sz w:val="28"/>
          <w:szCs w:val="28"/>
          <w:lang w:eastAsia="ru-RU"/>
        </w:rPr>
        <w:t>.</w:t>
      </w:r>
    </w:p>
    <w:p w14:paraId="3195A504" w14:textId="77777777" w:rsidR="002F71BF" w:rsidRPr="002F71BF" w:rsidRDefault="002F71BF" w:rsidP="002F71BF">
      <w:pPr>
        <w:widowControl w:val="0"/>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 xml:space="preserve">В субъектах Российской Федерации накоплен опыт реализации инновационных социальных программ, направленных на организацию работы по своевременному выявлению семейного неблагополучия, в том числе на его ранних стадиях, установлению семей, оказавшихся в трудной жизненной ситуации, профилактике социального сиротства. </w:t>
      </w:r>
    </w:p>
    <w:p w14:paraId="54E8493E" w14:textId="77777777" w:rsidR="002F71BF" w:rsidRPr="002F71BF" w:rsidRDefault="002F71BF" w:rsidP="002F71BF">
      <w:pPr>
        <w:widowControl w:val="0"/>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14:paraId="6E4EB19A" w14:textId="4A3E9C80" w:rsidR="002F71BF" w:rsidRPr="002F71BF" w:rsidRDefault="002F71BF" w:rsidP="002F71BF">
      <w:pPr>
        <w:widowControl w:val="0"/>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 xml:space="preserve">К примеру, названные задачи эффективно реализуются в рамках подпрограммы «Семья и дети </w:t>
      </w:r>
      <w:proofErr w:type="spellStart"/>
      <w:r w:rsidRPr="002F71BF">
        <w:rPr>
          <w:rFonts w:ascii="Times New Roman" w:eastAsia="Times New Roman" w:hAnsi="Times New Roman" w:cs="Times New Roman"/>
          <w:sz w:val="28"/>
          <w:szCs w:val="28"/>
        </w:rPr>
        <w:t>Ярославии</w:t>
      </w:r>
      <w:proofErr w:type="spellEnd"/>
      <w:r w:rsidRPr="002F71BF">
        <w:rPr>
          <w:rFonts w:ascii="Times New Roman" w:eastAsia="Times New Roman" w:hAnsi="Times New Roman" w:cs="Times New Roman"/>
          <w:sz w:val="28"/>
          <w:szCs w:val="28"/>
        </w:rPr>
        <w:t>» на 2021</w:t>
      </w:r>
      <w:r w:rsidR="00495D26">
        <w:rPr>
          <w:rFonts w:ascii="Times New Roman" w:eastAsia="Times New Roman" w:hAnsi="Times New Roman" w:cs="Times New Roman"/>
          <w:sz w:val="28"/>
          <w:szCs w:val="28"/>
        </w:rPr>
        <w:t>-</w:t>
      </w:r>
      <w:r w:rsidRPr="002F71BF">
        <w:rPr>
          <w:rFonts w:ascii="Times New Roman" w:eastAsia="Times New Roman" w:hAnsi="Times New Roman" w:cs="Times New Roman"/>
          <w:sz w:val="28"/>
          <w:szCs w:val="28"/>
        </w:rPr>
        <w:t>2025 г</w:t>
      </w:r>
      <w:r w:rsidR="00495D26">
        <w:rPr>
          <w:rFonts w:ascii="Times New Roman" w:eastAsia="Times New Roman" w:hAnsi="Times New Roman" w:cs="Times New Roman"/>
          <w:sz w:val="28"/>
          <w:szCs w:val="28"/>
        </w:rPr>
        <w:t>г.</w:t>
      </w:r>
      <w:r w:rsidRPr="002F71BF">
        <w:rPr>
          <w:rFonts w:ascii="Times New Roman" w:eastAsia="Times New Roman" w:hAnsi="Times New Roman" w:cs="Times New Roman"/>
          <w:sz w:val="28"/>
          <w:szCs w:val="28"/>
        </w:rPr>
        <w:t xml:space="preserve"> государственной программы Ярославской области «Социальная поддержка населения Ярославской области» на 2021</w:t>
      </w:r>
      <w:r w:rsidR="00495D26">
        <w:rPr>
          <w:rFonts w:ascii="Times New Roman" w:eastAsia="Times New Roman" w:hAnsi="Times New Roman" w:cs="Times New Roman"/>
          <w:sz w:val="28"/>
          <w:szCs w:val="28"/>
        </w:rPr>
        <w:t>-</w:t>
      </w:r>
      <w:r w:rsidRPr="002F71BF">
        <w:rPr>
          <w:rFonts w:ascii="Times New Roman" w:eastAsia="Times New Roman" w:hAnsi="Times New Roman" w:cs="Times New Roman"/>
          <w:sz w:val="28"/>
          <w:szCs w:val="28"/>
        </w:rPr>
        <w:t>2025 г</w:t>
      </w:r>
      <w:r w:rsidR="00495D26">
        <w:rPr>
          <w:rFonts w:ascii="Times New Roman" w:eastAsia="Times New Roman" w:hAnsi="Times New Roman" w:cs="Times New Roman"/>
          <w:sz w:val="28"/>
          <w:szCs w:val="28"/>
        </w:rPr>
        <w:t>г.</w:t>
      </w:r>
      <w:r w:rsidR="00BD6276">
        <w:rPr>
          <w:rFonts w:ascii="Times New Roman" w:eastAsia="Times New Roman" w:hAnsi="Times New Roman" w:cs="Times New Roman"/>
          <w:sz w:val="28"/>
          <w:szCs w:val="28"/>
        </w:rPr>
        <w:t xml:space="preserve">, утвержденной постановлением Правительства Ярославской области от 22 марта </w:t>
      </w:r>
      <w:r w:rsidR="00C36EB2">
        <w:rPr>
          <w:rFonts w:ascii="Times New Roman" w:eastAsia="Times New Roman" w:hAnsi="Times New Roman" w:cs="Times New Roman"/>
          <w:sz w:val="28"/>
          <w:szCs w:val="28"/>
        </w:rPr>
        <w:br/>
      </w:r>
      <w:r w:rsidR="00BD6276">
        <w:rPr>
          <w:rFonts w:ascii="Times New Roman" w:eastAsia="Times New Roman" w:hAnsi="Times New Roman" w:cs="Times New Roman"/>
          <w:sz w:val="28"/>
          <w:szCs w:val="28"/>
        </w:rPr>
        <w:t>2021 г. № 128-п</w:t>
      </w:r>
      <w:r w:rsidRPr="002F71BF">
        <w:rPr>
          <w:rFonts w:ascii="Times New Roman" w:eastAsia="Times New Roman" w:hAnsi="Times New Roman" w:cs="Times New Roman"/>
          <w:sz w:val="28"/>
          <w:szCs w:val="28"/>
        </w:rPr>
        <w:t>.</w:t>
      </w:r>
    </w:p>
    <w:p w14:paraId="5C00583B" w14:textId="55C45138" w:rsidR="002F71BF" w:rsidRPr="002F71BF" w:rsidRDefault="002F71BF" w:rsidP="002F71BF">
      <w:pPr>
        <w:widowControl w:val="0"/>
        <w:spacing w:after="0" w:line="312" w:lineRule="auto"/>
        <w:ind w:firstLine="709"/>
        <w:jc w:val="both"/>
        <w:rPr>
          <w:rFonts w:ascii="Times New Roman" w:eastAsia="Times New Roman" w:hAnsi="Times New Roman" w:cs="Times New Roman"/>
          <w:sz w:val="28"/>
          <w:szCs w:val="28"/>
          <w:lang w:eastAsia="ru-RU"/>
        </w:rPr>
      </w:pPr>
      <w:r w:rsidRPr="002F71BF">
        <w:rPr>
          <w:rFonts w:ascii="Times New Roman" w:eastAsia="Times New Roman" w:hAnsi="Times New Roman" w:cs="Times New Roman"/>
          <w:sz w:val="28"/>
          <w:szCs w:val="28"/>
        </w:rPr>
        <w:t>В 2021 г</w:t>
      </w:r>
      <w:r w:rsidR="00495D26">
        <w:rPr>
          <w:rFonts w:ascii="Times New Roman" w:eastAsia="Times New Roman" w:hAnsi="Times New Roman" w:cs="Times New Roman"/>
          <w:sz w:val="28"/>
          <w:szCs w:val="28"/>
        </w:rPr>
        <w:t>.</w:t>
      </w:r>
      <w:r w:rsidRPr="002F71BF">
        <w:rPr>
          <w:rFonts w:ascii="Times New Roman" w:eastAsia="Times New Roman" w:hAnsi="Times New Roman" w:cs="Times New Roman"/>
          <w:sz w:val="28"/>
          <w:szCs w:val="28"/>
        </w:rPr>
        <w:t xml:space="preserve"> проведены областные мероприятия, направленные на пропаганду семейных ценностей, ответственного родительства, в том числе </w:t>
      </w:r>
      <w:r w:rsidRPr="002F71BF">
        <w:rPr>
          <w:rFonts w:ascii="Times New Roman" w:eastAsia="Times New Roman" w:hAnsi="Times New Roman" w:cs="Times New Roman"/>
          <w:sz w:val="28"/>
          <w:szCs w:val="28"/>
          <w:lang w:eastAsia="ru-RU"/>
        </w:rPr>
        <w:t>Международный день семьи, Международный день защиты детей, Всероссийский день семьи, любви и верности, летняя спортивная олимпиада «Виктория» для детей</w:t>
      </w:r>
      <w:r w:rsidR="003B77D7" w:rsidRPr="003B77D7">
        <w:rPr>
          <w:rFonts w:ascii="Times New Roman" w:eastAsia="Times New Roman" w:hAnsi="Times New Roman" w:cs="Times New Roman"/>
          <w:sz w:val="28"/>
          <w:szCs w:val="28"/>
          <w:lang w:eastAsia="ru-RU"/>
        </w:rPr>
        <w:t xml:space="preserve"> </w:t>
      </w:r>
      <w:r w:rsidR="003B77D7">
        <w:rPr>
          <w:rFonts w:ascii="Times New Roman" w:eastAsia="Times New Roman" w:hAnsi="Times New Roman" w:cs="Times New Roman"/>
          <w:sz w:val="28"/>
          <w:szCs w:val="28"/>
          <w:lang w:eastAsia="ru-RU"/>
        </w:rPr>
        <w:t>с инвалидностью</w:t>
      </w:r>
      <w:r w:rsidR="003B77D7" w:rsidRPr="002F71BF" w:rsidDel="003B77D7">
        <w:rPr>
          <w:rFonts w:ascii="Times New Roman" w:eastAsia="Times New Roman" w:hAnsi="Times New Roman" w:cs="Times New Roman"/>
          <w:sz w:val="28"/>
          <w:szCs w:val="28"/>
          <w:lang w:eastAsia="ru-RU"/>
        </w:rPr>
        <w:t xml:space="preserve"> </w:t>
      </w:r>
      <w:r w:rsidRPr="002F71BF">
        <w:rPr>
          <w:rFonts w:ascii="Times New Roman" w:eastAsia="Times New Roman" w:hAnsi="Times New Roman" w:cs="Times New Roman"/>
          <w:sz w:val="28"/>
          <w:szCs w:val="28"/>
          <w:lang w:eastAsia="ru-RU"/>
        </w:rPr>
        <w:t xml:space="preserve">и детей с </w:t>
      </w:r>
      <w:r w:rsidR="00BD6276">
        <w:rPr>
          <w:rFonts w:ascii="Times New Roman" w:eastAsia="Times New Roman" w:hAnsi="Times New Roman" w:cs="Times New Roman"/>
          <w:sz w:val="28"/>
          <w:szCs w:val="28"/>
          <w:lang w:eastAsia="ru-RU"/>
        </w:rPr>
        <w:t>ОВЗ</w:t>
      </w:r>
      <w:r w:rsidRPr="002F71BF">
        <w:rPr>
          <w:rFonts w:ascii="Times New Roman" w:eastAsia="Times New Roman" w:hAnsi="Times New Roman" w:cs="Times New Roman"/>
          <w:sz w:val="28"/>
          <w:szCs w:val="28"/>
          <w:lang w:eastAsia="ru-RU"/>
        </w:rPr>
        <w:t>, День матери, III Областной родительский форум «Безопасное детство: актуальные проблемы и пути их решения», губернаторские елки для детей из многодетных, неполных, малоимущих семей, детей</w:t>
      </w:r>
      <w:r w:rsidR="003B77D7">
        <w:rPr>
          <w:rFonts w:ascii="Times New Roman" w:eastAsia="Times New Roman" w:hAnsi="Times New Roman" w:cs="Times New Roman"/>
          <w:sz w:val="28"/>
          <w:szCs w:val="28"/>
          <w:lang w:eastAsia="ru-RU"/>
        </w:rPr>
        <w:t xml:space="preserve"> с инвалидностью</w:t>
      </w:r>
      <w:r w:rsidR="003B77D7" w:rsidRPr="002F71BF" w:rsidDel="003B77D7">
        <w:rPr>
          <w:rFonts w:ascii="Times New Roman" w:eastAsia="Times New Roman" w:hAnsi="Times New Roman" w:cs="Times New Roman"/>
          <w:sz w:val="28"/>
          <w:szCs w:val="28"/>
          <w:lang w:eastAsia="ru-RU"/>
        </w:rPr>
        <w:t xml:space="preserve"> </w:t>
      </w:r>
      <w:r w:rsidRPr="002F71BF">
        <w:rPr>
          <w:rFonts w:ascii="Times New Roman" w:eastAsia="Times New Roman" w:hAnsi="Times New Roman" w:cs="Times New Roman"/>
          <w:sz w:val="28"/>
          <w:szCs w:val="28"/>
          <w:lang w:eastAsia="ru-RU"/>
        </w:rPr>
        <w:t xml:space="preserve">, детей-сирот и детей, оставшихся без попечения родителей, областная кампания «Безопасное детство» с общим охватом более 15 тыс. семей с детьми. </w:t>
      </w:r>
    </w:p>
    <w:p w14:paraId="1445AFDF" w14:textId="676CC58E" w:rsidR="002F71BF" w:rsidRPr="002F71BF" w:rsidRDefault="002F71BF" w:rsidP="002F71BF">
      <w:pPr>
        <w:widowControl w:val="0"/>
        <w:spacing w:after="0" w:line="312" w:lineRule="auto"/>
        <w:ind w:firstLine="709"/>
        <w:jc w:val="both"/>
        <w:rPr>
          <w:rFonts w:ascii="Times New Roman" w:eastAsia="Times New Roman" w:hAnsi="Times New Roman" w:cs="Times New Roman"/>
          <w:sz w:val="28"/>
          <w:szCs w:val="28"/>
          <w:lang w:eastAsia="ru-RU"/>
        </w:rPr>
      </w:pPr>
      <w:r w:rsidRPr="002F71BF">
        <w:rPr>
          <w:rFonts w:ascii="Times New Roman" w:eastAsia="Times New Roman" w:hAnsi="Times New Roman" w:cs="Times New Roman"/>
          <w:sz w:val="28"/>
          <w:szCs w:val="28"/>
          <w:lang w:eastAsia="ru-RU"/>
        </w:rPr>
        <w:t>Действуют областные семейные клубы: социально-реабилитационный клуб для семей с детьми</w:t>
      </w:r>
      <w:r w:rsidR="003B77D7" w:rsidRPr="003B77D7">
        <w:rPr>
          <w:rFonts w:ascii="Times New Roman" w:eastAsia="Times New Roman" w:hAnsi="Times New Roman" w:cs="Times New Roman"/>
          <w:sz w:val="28"/>
          <w:szCs w:val="28"/>
          <w:lang w:eastAsia="ru-RU"/>
        </w:rPr>
        <w:t xml:space="preserve"> </w:t>
      </w:r>
      <w:r w:rsidR="003B77D7">
        <w:rPr>
          <w:rFonts w:ascii="Times New Roman" w:eastAsia="Times New Roman" w:hAnsi="Times New Roman" w:cs="Times New Roman"/>
          <w:sz w:val="28"/>
          <w:szCs w:val="28"/>
          <w:lang w:eastAsia="ru-RU"/>
        </w:rPr>
        <w:t>с инвалидностью</w:t>
      </w:r>
      <w:r w:rsidR="003B77D7" w:rsidRPr="002F71BF" w:rsidDel="003B77D7">
        <w:rPr>
          <w:rFonts w:ascii="Times New Roman" w:eastAsia="Times New Roman" w:hAnsi="Times New Roman" w:cs="Times New Roman"/>
          <w:sz w:val="28"/>
          <w:szCs w:val="28"/>
          <w:lang w:eastAsia="ru-RU"/>
        </w:rPr>
        <w:t xml:space="preserve"> </w:t>
      </w:r>
      <w:r w:rsidRPr="002F71BF">
        <w:rPr>
          <w:rFonts w:ascii="Times New Roman" w:eastAsia="Times New Roman" w:hAnsi="Times New Roman" w:cs="Times New Roman"/>
          <w:sz w:val="28"/>
          <w:szCs w:val="28"/>
          <w:lang w:eastAsia="ru-RU"/>
        </w:rPr>
        <w:t>«Шаг навстречу» и досугово-образовательный клуб для замещающих семей «Семья друзей», основной целью которых является привлечение детей и их родителей (законных представителей) к активному и равному участию в культурной жизни области, раскрытию творческого потенциала семьи, налаживанию детско-родительских отношений. В 2021 г</w:t>
      </w:r>
      <w:r w:rsidR="00E3155F">
        <w:rPr>
          <w:rFonts w:ascii="Times New Roman" w:eastAsia="Times New Roman" w:hAnsi="Times New Roman" w:cs="Times New Roman"/>
          <w:sz w:val="28"/>
          <w:szCs w:val="28"/>
          <w:lang w:eastAsia="ru-RU"/>
        </w:rPr>
        <w:t>.</w:t>
      </w:r>
      <w:r w:rsidRPr="002F71BF">
        <w:rPr>
          <w:rFonts w:ascii="Times New Roman" w:eastAsia="Times New Roman" w:hAnsi="Times New Roman" w:cs="Times New Roman"/>
          <w:sz w:val="28"/>
          <w:szCs w:val="28"/>
          <w:lang w:eastAsia="ru-RU"/>
        </w:rPr>
        <w:t xml:space="preserve"> состоялось 9 встреч клубов, в которых приняли участие более 290 человек.</w:t>
      </w:r>
    </w:p>
    <w:p w14:paraId="5078A8B8" w14:textId="77777777" w:rsidR="002F71BF" w:rsidRPr="002F71BF" w:rsidRDefault="002F71BF" w:rsidP="002F71BF">
      <w:pPr>
        <w:widowControl w:val="0"/>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 xml:space="preserve">За счет средств </w:t>
      </w:r>
      <w:r w:rsidRPr="002F71BF">
        <w:rPr>
          <w:rFonts w:ascii="Times New Roman" w:eastAsia="Times New Roman" w:hAnsi="Times New Roman" w:cs="Times New Roman"/>
          <w:sz w:val="28"/>
          <w:szCs w:val="28"/>
          <w:lang w:eastAsia="ru-RU"/>
        </w:rPr>
        <w:t>подпрограммы</w:t>
      </w:r>
      <w:r w:rsidRPr="002F71BF">
        <w:rPr>
          <w:rFonts w:ascii="Times New Roman" w:eastAsia="Times New Roman" w:hAnsi="Times New Roman" w:cs="Times New Roman"/>
          <w:sz w:val="28"/>
          <w:szCs w:val="28"/>
        </w:rPr>
        <w:t xml:space="preserve"> 218 семьям, находящимся в трудной жизненной ситуации, воспитывающим несовершеннолетних детей, оказана адресная материальная помощь на сумму 18,668 млн руб</w:t>
      </w:r>
      <w:r w:rsidR="00BD6276">
        <w:rPr>
          <w:rFonts w:ascii="Times New Roman" w:eastAsia="Times New Roman" w:hAnsi="Times New Roman" w:cs="Times New Roman"/>
          <w:sz w:val="28"/>
          <w:szCs w:val="28"/>
        </w:rPr>
        <w:t>лей</w:t>
      </w:r>
      <w:r w:rsidR="00BD6276">
        <w:rPr>
          <w:rFonts w:ascii="Times New Roman" w:eastAsia="Times New Roman" w:hAnsi="Times New Roman" w:cs="Times New Roman"/>
          <w:sz w:val="28"/>
          <w:szCs w:val="28"/>
          <w:lang w:eastAsia="ru-RU"/>
        </w:rPr>
        <w:t xml:space="preserve"> (в том числе </w:t>
      </w:r>
      <w:r w:rsidRPr="002F71BF">
        <w:rPr>
          <w:rFonts w:ascii="Times New Roman" w:eastAsia="Times New Roman" w:hAnsi="Times New Roman" w:cs="Times New Roman"/>
          <w:sz w:val="28"/>
          <w:szCs w:val="28"/>
          <w:lang w:eastAsia="ru-RU"/>
        </w:rPr>
        <w:t>2 семьям, в которой одновременно родились 3 детей – на улучшение жилищных условий).</w:t>
      </w:r>
    </w:p>
    <w:p w14:paraId="3FED8937" w14:textId="77777777" w:rsidR="002F71BF" w:rsidRPr="002F71BF" w:rsidRDefault="002F71BF" w:rsidP="002F71BF">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rPr>
      </w:pPr>
      <w:r w:rsidRPr="002F71BF">
        <w:rPr>
          <w:rFonts w:ascii="Times New Roman" w:eastAsia="Times New Roman" w:hAnsi="Times New Roman" w:cs="Times New Roman"/>
          <w:sz w:val="28"/>
          <w:szCs w:val="28"/>
          <w:lang w:eastAsia="ru-RU"/>
        </w:rPr>
        <w:t>В целях обеспечения семьям и детям Калужской области дифференцированной поддержки, доступности и качества социального обслуживания, повышения привлекательности имиджа семьи с детьми как показателя стабильности и успешности общества, формирования ценностей семьи, ребенка, ответственного родительства, института семейного устройства детей-сирот и детей, оставшихся без попечения родителей, реализуется государственная программа «Семья и дети Калужской области»</w:t>
      </w:r>
      <w:r w:rsidR="00BD6276">
        <w:rPr>
          <w:rFonts w:ascii="Times New Roman" w:eastAsia="Times New Roman" w:hAnsi="Times New Roman" w:cs="Times New Roman"/>
          <w:sz w:val="28"/>
          <w:szCs w:val="28"/>
          <w:lang w:eastAsia="ru-RU"/>
        </w:rPr>
        <w:t>, утвержденная постановлением Правительства Калужской области от 31 января 2019 г. № 51,</w:t>
      </w:r>
      <w:r w:rsidRPr="002F71BF">
        <w:rPr>
          <w:rFonts w:ascii="Times New Roman" w:eastAsia="Times New Roman" w:hAnsi="Times New Roman" w:cs="Times New Roman"/>
          <w:sz w:val="28"/>
          <w:szCs w:val="28"/>
          <w:lang w:eastAsia="ru-RU"/>
        </w:rPr>
        <w:t xml:space="preserve"> о</w:t>
      </w:r>
      <w:r w:rsidRPr="002F71BF">
        <w:rPr>
          <w:rFonts w:ascii="Times New Roman" w:eastAsia="Times New Roman" w:hAnsi="Times New Roman" w:cs="Times New Roman"/>
          <w:sz w:val="28"/>
          <w:szCs w:val="28"/>
        </w:rPr>
        <w:t xml:space="preserve">бъем финансирования которой </w:t>
      </w:r>
      <w:r w:rsidRPr="002F71BF">
        <w:rPr>
          <w:rFonts w:ascii="Times New Roman" w:eastAsia="Times New Roman" w:hAnsi="Times New Roman" w:cs="Times New Roman"/>
          <w:sz w:val="28"/>
          <w:szCs w:val="28"/>
          <w:lang w:eastAsia="ru-RU"/>
        </w:rPr>
        <w:t>на 2019</w:t>
      </w:r>
      <w:r w:rsidR="00BD6276">
        <w:rPr>
          <w:rFonts w:ascii="Times New Roman" w:eastAsia="Times New Roman" w:hAnsi="Times New Roman" w:cs="Times New Roman"/>
          <w:sz w:val="28"/>
          <w:szCs w:val="28"/>
          <w:lang w:eastAsia="ru-RU"/>
        </w:rPr>
        <w:t>-</w:t>
      </w:r>
      <w:r w:rsidRPr="002F71BF">
        <w:rPr>
          <w:rFonts w:ascii="Times New Roman" w:eastAsia="Times New Roman" w:hAnsi="Times New Roman" w:cs="Times New Roman"/>
          <w:sz w:val="28"/>
          <w:szCs w:val="28"/>
          <w:lang w:eastAsia="ru-RU"/>
        </w:rPr>
        <w:t>2024 г</w:t>
      </w:r>
      <w:r w:rsidR="00E3155F">
        <w:rPr>
          <w:rFonts w:ascii="Times New Roman" w:eastAsia="Times New Roman" w:hAnsi="Times New Roman" w:cs="Times New Roman"/>
          <w:sz w:val="28"/>
          <w:szCs w:val="28"/>
          <w:lang w:eastAsia="ru-RU"/>
        </w:rPr>
        <w:t>г.</w:t>
      </w:r>
      <w:r w:rsidRPr="002F71BF">
        <w:rPr>
          <w:rFonts w:ascii="Times New Roman" w:eastAsia="Times New Roman" w:hAnsi="Times New Roman" w:cs="Times New Roman"/>
          <w:sz w:val="28"/>
          <w:szCs w:val="28"/>
          <w:lang w:eastAsia="ru-RU"/>
        </w:rPr>
        <w:t xml:space="preserve"> составляет 18,604 млрд руб</w:t>
      </w:r>
      <w:r w:rsidR="00BD6276">
        <w:rPr>
          <w:rFonts w:ascii="Times New Roman" w:eastAsia="Times New Roman" w:hAnsi="Times New Roman" w:cs="Times New Roman"/>
          <w:sz w:val="28"/>
          <w:szCs w:val="28"/>
          <w:lang w:eastAsia="ru-RU"/>
        </w:rPr>
        <w:t>лей</w:t>
      </w:r>
      <w:r w:rsidRPr="002F71BF">
        <w:rPr>
          <w:rFonts w:ascii="Times New Roman" w:eastAsia="Times New Roman" w:hAnsi="Times New Roman" w:cs="Times New Roman"/>
          <w:sz w:val="28"/>
          <w:szCs w:val="28"/>
          <w:lang w:eastAsia="ru-RU"/>
        </w:rPr>
        <w:t>.</w:t>
      </w:r>
    </w:p>
    <w:p w14:paraId="16B5CBD0" w14:textId="77777777" w:rsidR="002F71BF" w:rsidRPr="002F71BF" w:rsidRDefault="002F71BF" w:rsidP="002F71BF">
      <w:pPr>
        <w:widowControl w:val="0"/>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В рамках подпрограммы «Профил</w:t>
      </w:r>
      <w:r w:rsidR="00BD6276">
        <w:rPr>
          <w:rFonts w:ascii="Times New Roman" w:eastAsia="Times New Roman" w:hAnsi="Times New Roman" w:cs="Times New Roman"/>
          <w:sz w:val="28"/>
          <w:szCs w:val="28"/>
        </w:rPr>
        <w:t xml:space="preserve">актика и преодоление семейного </w:t>
      </w:r>
      <w:r w:rsidRPr="002F71BF">
        <w:rPr>
          <w:rFonts w:ascii="Times New Roman" w:eastAsia="Times New Roman" w:hAnsi="Times New Roman" w:cs="Times New Roman"/>
          <w:sz w:val="28"/>
          <w:szCs w:val="28"/>
        </w:rPr>
        <w:t>и детского неблагополучия» государственной программы «Семья и дети Камчатки»</w:t>
      </w:r>
      <w:r w:rsidR="00BD6276" w:rsidRPr="002F71BF">
        <w:rPr>
          <w:rFonts w:ascii="Times New Roman" w:eastAsia="Times New Roman" w:hAnsi="Times New Roman" w:cs="Times New Roman"/>
          <w:sz w:val="28"/>
          <w:szCs w:val="28"/>
        </w:rPr>
        <w:t xml:space="preserve"> </w:t>
      </w:r>
      <w:r w:rsidRPr="002F71BF">
        <w:rPr>
          <w:rFonts w:ascii="Times New Roman" w:eastAsia="Times New Roman" w:hAnsi="Times New Roman" w:cs="Times New Roman"/>
          <w:sz w:val="28"/>
          <w:szCs w:val="28"/>
        </w:rPr>
        <w:t>осуществляются мероприятия, направленные на модернизацию учреждений, работающих с семьями и подростками; разработку, апробацию</w:t>
      </w:r>
      <w:r w:rsidRPr="002F71BF">
        <w:rPr>
          <w:rFonts w:ascii="Times New Roman" w:eastAsia="Times New Roman" w:hAnsi="Times New Roman" w:cs="Times New Roman"/>
          <w:sz w:val="28"/>
          <w:szCs w:val="28"/>
        </w:rPr>
        <w:br/>
        <w:t xml:space="preserve"> и внедрение новых методов и технологий работы; организацию реабилитационного и содержательного досуга несовершеннолетних, вовлечение в общественно-полезну</w:t>
      </w:r>
      <w:r w:rsidR="00BD6276">
        <w:rPr>
          <w:rFonts w:ascii="Times New Roman" w:eastAsia="Times New Roman" w:hAnsi="Times New Roman" w:cs="Times New Roman"/>
          <w:sz w:val="28"/>
          <w:szCs w:val="28"/>
        </w:rPr>
        <w:t xml:space="preserve">ю деятельность; информационное </w:t>
      </w:r>
      <w:r w:rsidRPr="002F71BF">
        <w:rPr>
          <w:rFonts w:ascii="Times New Roman" w:eastAsia="Times New Roman" w:hAnsi="Times New Roman" w:cs="Times New Roman"/>
          <w:sz w:val="28"/>
          <w:szCs w:val="28"/>
        </w:rPr>
        <w:t>и методическое обеспечение с</w:t>
      </w:r>
      <w:r w:rsidR="00BD6276">
        <w:rPr>
          <w:rFonts w:ascii="Times New Roman" w:eastAsia="Times New Roman" w:hAnsi="Times New Roman" w:cs="Times New Roman"/>
          <w:sz w:val="28"/>
          <w:szCs w:val="28"/>
        </w:rPr>
        <w:t xml:space="preserve">оциальных инноваций (обобщение </w:t>
      </w:r>
      <w:r w:rsidRPr="002F71BF">
        <w:rPr>
          <w:rFonts w:ascii="Times New Roman" w:eastAsia="Times New Roman" w:hAnsi="Times New Roman" w:cs="Times New Roman"/>
          <w:sz w:val="28"/>
          <w:szCs w:val="28"/>
        </w:rPr>
        <w:t>и распространение опыта работы).</w:t>
      </w:r>
    </w:p>
    <w:p w14:paraId="5758B351" w14:textId="77777777" w:rsidR="002F71BF" w:rsidRPr="002F71BF" w:rsidRDefault="002F71BF" w:rsidP="002F71BF">
      <w:pPr>
        <w:widowControl w:val="0"/>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Мероприятия программы носят разноплановый харак</w:t>
      </w:r>
      <w:r w:rsidR="00BD6276">
        <w:rPr>
          <w:rFonts w:ascii="Times New Roman" w:eastAsia="Times New Roman" w:hAnsi="Times New Roman" w:cs="Times New Roman"/>
          <w:sz w:val="28"/>
          <w:szCs w:val="28"/>
        </w:rPr>
        <w:t xml:space="preserve">тер </w:t>
      </w:r>
      <w:r w:rsidRPr="002F71BF">
        <w:rPr>
          <w:rFonts w:ascii="Times New Roman" w:eastAsia="Times New Roman" w:hAnsi="Times New Roman" w:cs="Times New Roman"/>
          <w:sz w:val="28"/>
          <w:szCs w:val="28"/>
        </w:rPr>
        <w:t>и предусматривают проведение различных социальных конкурсов, антинаркотических и антиалкогольных массовых мероприятий и акций, обеспечение работы детского телефона доверия, издание и распространение справочно-информационных бюллетеней, памяток, брошюр, создание цикла теле- и радиопередач, изготовление и размещение социальной рекламы, оснащение учреждений социального обслуживания оборудованием для организации досуга, укрепление материально-технической базы объектов, работающих с детьми. В 2021 г</w:t>
      </w:r>
      <w:r w:rsidR="00E3155F">
        <w:rPr>
          <w:rFonts w:ascii="Times New Roman" w:eastAsia="Times New Roman" w:hAnsi="Times New Roman" w:cs="Times New Roman"/>
          <w:sz w:val="28"/>
          <w:szCs w:val="28"/>
        </w:rPr>
        <w:t>.</w:t>
      </w:r>
      <w:r w:rsidRPr="002F71BF">
        <w:rPr>
          <w:rFonts w:ascii="Times New Roman" w:eastAsia="Times New Roman" w:hAnsi="Times New Roman" w:cs="Times New Roman"/>
          <w:sz w:val="28"/>
          <w:szCs w:val="28"/>
        </w:rPr>
        <w:t xml:space="preserve"> на е</w:t>
      </w:r>
      <w:r w:rsidR="00BD6276">
        <w:rPr>
          <w:rFonts w:ascii="Times New Roman" w:eastAsia="Times New Roman" w:hAnsi="Times New Roman" w:cs="Times New Roman"/>
          <w:sz w:val="28"/>
          <w:szCs w:val="28"/>
        </w:rPr>
        <w:t xml:space="preserve">е выполнение израсходовано </w:t>
      </w:r>
      <w:r w:rsidRPr="002F71BF">
        <w:rPr>
          <w:rFonts w:ascii="Times New Roman" w:eastAsia="Times New Roman" w:hAnsi="Times New Roman" w:cs="Times New Roman"/>
          <w:sz w:val="28"/>
          <w:szCs w:val="28"/>
        </w:rPr>
        <w:t>4,18 млн руб</w:t>
      </w:r>
      <w:r w:rsidR="00BD6276">
        <w:rPr>
          <w:rFonts w:ascii="Times New Roman" w:eastAsia="Times New Roman" w:hAnsi="Times New Roman" w:cs="Times New Roman"/>
          <w:sz w:val="28"/>
          <w:szCs w:val="28"/>
        </w:rPr>
        <w:t>лей</w:t>
      </w:r>
      <w:r w:rsidRPr="002F71BF">
        <w:rPr>
          <w:rFonts w:ascii="Times New Roman" w:eastAsia="Times New Roman" w:hAnsi="Times New Roman" w:cs="Times New Roman"/>
          <w:sz w:val="28"/>
          <w:szCs w:val="28"/>
        </w:rPr>
        <w:t xml:space="preserve">. </w:t>
      </w:r>
    </w:p>
    <w:p w14:paraId="00E41295" w14:textId="77777777" w:rsidR="002F71BF" w:rsidRPr="002F71BF" w:rsidRDefault="002F71BF" w:rsidP="002F71BF">
      <w:pPr>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lang w:eastAsia="ru-RU"/>
        </w:rPr>
        <w:t>Для обеспечения взаимодействия органов местного самоуправления</w:t>
      </w:r>
      <w:r w:rsidRPr="002F71BF">
        <w:rPr>
          <w:rFonts w:ascii="Times New Roman" w:eastAsia="Times New Roman" w:hAnsi="Times New Roman" w:cs="Times New Roman"/>
          <w:sz w:val="28"/>
          <w:szCs w:val="28"/>
        </w:rPr>
        <w:t>,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регионах Российской Федерации сформированы соответствующие координирующие органы.</w:t>
      </w:r>
    </w:p>
    <w:p w14:paraId="48A97DAC" w14:textId="77777777" w:rsidR="002F71BF" w:rsidRPr="002F71BF" w:rsidRDefault="002F71BF" w:rsidP="002F71BF">
      <w:pPr>
        <w:widowControl w:val="0"/>
        <w:shd w:val="clear" w:color="auto" w:fill="FFFFFF"/>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Положительно зарекомендовал себя многолетний опыт работы созданных в Иркутской области координационных советов при Губернаторе по вопросам профилактики социального сиротства, пред</w:t>
      </w:r>
      <w:r w:rsidR="0015378C">
        <w:rPr>
          <w:rFonts w:ascii="Times New Roman" w:eastAsia="Times New Roman" w:hAnsi="Times New Roman" w:cs="Times New Roman"/>
          <w:sz w:val="28"/>
          <w:szCs w:val="28"/>
        </w:rPr>
        <w:t xml:space="preserve">отвращения жестокого обращения </w:t>
      </w:r>
      <w:r w:rsidRPr="002F71BF">
        <w:rPr>
          <w:rFonts w:ascii="Times New Roman" w:eastAsia="Times New Roman" w:hAnsi="Times New Roman" w:cs="Times New Roman"/>
          <w:sz w:val="28"/>
          <w:szCs w:val="28"/>
        </w:rPr>
        <w:t>с детьми на территории региона и по реализации Концепции семейной политики в Иркутской области на период до 2025 г.</w:t>
      </w:r>
    </w:p>
    <w:p w14:paraId="29471B62" w14:textId="77777777" w:rsidR="002F71BF" w:rsidRPr="002F71BF" w:rsidRDefault="002F71BF" w:rsidP="002F71BF">
      <w:pPr>
        <w:widowControl w:val="0"/>
        <w:tabs>
          <w:tab w:val="left" w:pos="5129"/>
        </w:tabs>
        <w:spacing w:after="0" w:line="312" w:lineRule="auto"/>
        <w:ind w:firstLine="709"/>
        <w:jc w:val="both"/>
        <w:rPr>
          <w:rFonts w:ascii="Times New Roman" w:eastAsia="Times New Roman" w:hAnsi="Times New Roman" w:cs="Times New Roman"/>
          <w:sz w:val="28"/>
          <w:szCs w:val="28"/>
        </w:rPr>
      </w:pPr>
      <w:r w:rsidRPr="002F71BF">
        <w:rPr>
          <w:rFonts w:ascii="Times New Roman" w:eastAsia="Calibri" w:hAnsi="Times New Roman" w:cs="Times New Roman"/>
          <w:sz w:val="28"/>
          <w:szCs w:val="28"/>
        </w:rPr>
        <w:t xml:space="preserve">Деятельность </w:t>
      </w:r>
      <w:r w:rsidRPr="002F71BF">
        <w:rPr>
          <w:rFonts w:ascii="Times New Roman" w:eastAsia="Times New Roman" w:hAnsi="Times New Roman" w:cs="Times New Roman"/>
          <w:sz w:val="28"/>
          <w:szCs w:val="28"/>
        </w:rPr>
        <w:t xml:space="preserve">Координационного совета по семейной и демографической политике, социальной поддержке и улучшению положения детей Курской области, а также созданных во </w:t>
      </w:r>
      <w:r w:rsidRPr="002F71BF">
        <w:rPr>
          <w:rFonts w:ascii="Times New Roman" w:eastAsia="Calibri" w:hAnsi="Times New Roman" w:cs="Times New Roman"/>
          <w:sz w:val="28"/>
          <w:szCs w:val="28"/>
        </w:rPr>
        <w:t xml:space="preserve">всех муниципальных образованиях координационных советов по оказанию помощи семьям </w:t>
      </w:r>
      <w:r w:rsidRPr="002F71BF">
        <w:rPr>
          <w:rFonts w:ascii="Times New Roman" w:eastAsia="Times New Roman" w:hAnsi="Times New Roman" w:cs="Times New Roman"/>
          <w:sz w:val="28"/>
          <w:szCs w:val="28"/>
        </w:rPr>
        <w:t xml:space="preserve">с </w:t>
      </w:r>
      <w:r w:rsidRPr="002F71BF">
        <w:rPr>
          <w:rFonts w:ascii="Times New Roman" w:eastAsia="Calibri" w:hAnsi="Times New Roman" w:cs="Times New Roman"/>
          <w:sz w:val="28"/>
          <w:szCs w:val="28"/>
        </w:rPr>
        <w:t>детьми, находящимся в трудной жизненной ситуации и нуждающимся в социальной поддержке, позволяет обеспечить предоставление необходимой социальной помощи семьям и детям указанной категории,</w:t>
      </w:r>
      <w:r w:rsidR="0015378C">
        <w:rPr>
          <w:rFonts w:ascii="Times New Roman" w:eastAsia="Calibri" w:hAnsi="Times New Roman" w:cs="Times New Roman"/>
          <w:sz w:val="28"/>
          <w:szCs w:val="28"/>
        </w:rPr>
        <w:t xml:space="preserve"> сопровождение семей до выхода </w:t>
      </w:r>
      <w:r w:rsidRPr="002F71BF">
        <w:rPr>
          <w:rFonts w:ascii="Times New Roman" w:eastAsia="Calibri" w:hAnsi="Times New Roman" w:cs="Times New Roman"/>
          <w:sz w:val="28"/>
          <w:szCs w:val="28"/>
        </w:rPr>
        <w:t>из кризисной ситуации.</w:t>
      </w:r>
    </w:p>
    <w:p w14:paraId="27F2531F" w14:textId="77777777" w:rsidR="002F71BF" w:rsidRPr="002F71BF" w:rsidRDefault="002F71BF" w:rsidP="002F71BF">
      <w:pPr>
        <w:widowControl w:val="0"/>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По сигналам о детском неблагополучии в 2021 г</w:t>
      </w:r>
      <w:r w:rsidR="00E3155F">
        <w:rPr>
          <w:rFonts w:ascii="Times New Roman" w:eastAsia="Times New Roman" w:hAnsi="Times New Roman" w:cs="Times New Roman"/>
          <w:sz w:val="28"/>
          <w:szCs w:val="28"/>
        </w:rPr>
        <w:t>.</w:t>
      </w:r>
      <w:r w:rsidRPr="002F71BF">
        <w:rPr>
          <w:rFonts w:ascii="Times New Roman" w:eastAsia="Times New Roman" w:hAnsi="Times New Roman" w:cs="Times New Roman"/>
          <w:sz w:val="28"/>
          <w:szCs w:val="28"/>
        </w:rPr>
        <w:t xml:space="preserve"> координационными советами индивидуальная профилактическая работа организована в отношении 2 700 таких семей, проведено более 8,6 тыс. профилактических бесед, оказано содействие в лечении от алкогольной зависимости 262 гражданам, трудоустроен 391 родитель.</w:t>
      </w:r>
    </w:p>
    <w:p w14:paraId="166BA1E8" w14:textId="77777777" w:rsidR="002F71BF" w:rsidRPr="002F71BF" w:rsidRDefault="002F71BF" w:rsidP="002F71BF">
      <w:pPr>
        <w:widowControl w:val="0"/>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На основе межведомственного взаимодействия разраба</w:t>
      </w:r>
      <w:r w:rsidR="0015378C">
        <w:rPr>
          <w:rFonts w:ascii="Times New Roman" w:eastAsia="Times New Roman" w:hAnsi="Times New Roman" w:cs="Times New Roman"/>
          <w:sz w:val="28"/>
          <w:szCs w:val="28"/>
        </w:rPr>
        <w:t xml:space="preserve">тываются </w:t>
      </w:r>
      <w:r w:rsidRPr="002F71BF">
        <w:rPr>
          <w:rFonts w:ascii="Times New Roman" w:eastAsia="Times New Roman" w:hAnsi="Times New Roman" w:cs="Times New Roman"/>
          <w:sz w:val="28"/>
          <w:szCs w:val="28"/>
        </w:rPr>
        <w:t>и реализуются комплексные планы мероприятий в данной области.</w:t>
      </w:r>
    </w:p>
    <w:p w14:paraId="3A2F0C5C" w14:textId="77777777" w:rsidR="002F71BF" w:rsidRPr="002F71BF" w:rsidRDefault="002F71BF" w:rsidP="002F71BF">
      <w:pPr>
        <w:widowControl w:val="0"/>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В 2021 г</w:t>
      </w:r>
      <w:r w:rsidR="00E3155F">
        <w:rPr>
          <w:rFonts w:ascii="Times New Roman" w:eastAsia="Times New Roman" w:hAnsi="Times New Roman" w:cs="Times New Roman"/>
          <w:sz w:val="28"/>
          <w:szCs w:val="28"/>
        </w:rPr>
        <w:t>.</w:t>
      </w:r>
      <w:r w:rsidRPr="002F71BF">
        <w:rPr>
          <w:rFonts w:ascii="Times New Roman" w:eastAsia="Times New Roman" w:hAnsi="Times New Roman" w:cs="Times New Roman"/>
          <w:sz w:val="28"/>
          <w:szCs w:val="28"/>
        </w:rPr>
        <w:t xml:space="preserve"> продолжено выполнение Плана мероприятий Забайкальского края в сфере защиты прав детей-сирот и детей, оставшихся без попечения родителей, на 2019</w:t>
      </w:r>
      <w:r w:rsidR="00E3155F">
        <w:rPr>
          <w:rFonts w:ascii="Times New Roman" w:eastAsia="Times New Roman" w:hAnsi="Times New Roman" w:cs="Times New Roman"/>
          <w:sz w:val="28"/>
          <w:szCs w:val="28"/>
        </w:rPr>
        <w:t>-</w:t>
      </w:r>
      <w:r w:rsidRPr="002F71BF">
        <w:rPr>
          <w:rFonts w:ascii="Times New Roman" w:eastAsia="Times New Roman" w:hAnsi="Times New Roman" w:cs="Times New Roman"/>
          <w:sz w:val="28"/>
          <w:szCs w:val="28"/>
        </w:rPr>
        <w:t>2021 г</w:t>
      </w:r>
      <w:r w:rsidR="00E3155F">
        <w:rPr>
          <w:rFonts w:ascii="Times New Roman" w:eastAsia="Times New Roman" w:hAnsi="Times New Roman" w:cs="Times New Roman"/>
          <w:sz w:val="28"/>
          <w:szCs w:val="28"/>
        </w:rPr>
        <w:t>г.</w:t>
      </w:r>
      <w:r w:rsidRPr="002F71BF">
        <w:rPr>
          <w:rFonts w:ascii="Times New Roman" w:eastAsia="Times New Roman" w:hAnsi="Times New Roman" w:cs="Times New Roman"/>
          <w:sz w:val="28"/>
          <w:szCs w:val="28"/>
        </w:rPr>
        <w:t>, принятого в целях профилактики социального сиротства, сокращения численности детей-сирот и детей, оставшихся без попечения родителей, обеспечения семейного устройства детей-сирот, оказания содействия гражданам, желающим принять на воспитание детей-сирот, сопровождения замещающих семей; Комплекса дополнительных мер, направленных на совершенствование работы организаций и органов системы профилактики безнадзорности и правонарушений несовершенно</w:t>
      </w:r>
      <w:r w:rsidR="0015378C">
        <w:rPr>
          <w:rFonts w:ascii="Times New Roman" w:eastAsia="Times New Roman" w:hAnsi="Times New Roman" w:cs="Times New Roman"/>
          <w:sz w:val="28"/>
          <w:szCs w:val="28"/>
        </w:rPr>
        <w:t>летних Алтайского края, на 2018</w:t>
      </w:r>
      <w:r w:rsidR="00E3155F">
        <w:rPr>
          <w:rFonts w:ascii="Times New Roman" w:eastAsia="Times New Roman" w:hAnsi="Times New Roman" w:cs="Times New Roman"/>
          <w:sz w:val="28"/>
          <w:szCs w:val="28"/>
        </w:rPr>
        <w:t>-</w:t>
      </w:r>
      <w:r w:rsidRPr="002F71BF">
        <w:rPr>
          <w:rFonts w:ascii="Times New Roman" w:eastAsia="Times New Roman" w:hAnsi="Times New Roman" w:cs="Times New Roman"/>
          <w:sz w:val="28"/>
          <w:szCs w:val="28"/>
        </w:rPr>
        <w:t>2022 г</w:t>
      </w:r>
      <w:r w:rsidR="00E3155F">
        <w:rPr>
          <w:rFonts w:ascii="Times New Roman" w:eastAsia="Times New Roman" w:hAnsi="Times New Roman" w:cs="Times New Roman"/>
          <w:sz w:val="28"/>
          <w:szCs w:val="28"/>
        </w:rPr>
        <w:t>г.</w:t>
      </w:r>
      <w:r w:rsidRPr="002F71BF">
        <w:rPr>
          <w:rFonts w:ascii="Times New Roman" w:eastAsia="Times New Roman" w:hAnsi="Times New Roman" w:cs="Times New Roman"/>
          <w:sz w:val="28"/>
          <w:szCs w:val="28"/>
        </w:rPr>
        <w:t>, нацеленного на защиту прав и интересов несовершеннолетних, находящихся на восп</w:t>
      </w:r>
      <w:r w:rsidR="0015378C">
        <w:rPr>
          <w:rFonts w:ascii="Times New Roman" w:eastAsia="Times New Roman" w:hAnsi="Times New Roman" w:cs="Times New Roman"/>
          <w:sz w:val="28"/>
          <w:szCs w:val="28"/>
        </w:rPr>
        <w:t xml:space="preserve">итании в семьях и под надзором </w:t>
      </w:r>
      <w:r w:rsidRPr="002F71BF">
        <w:rPr>
          <w:rFonts w:ascii="Times New Roman" w:eastAsia="Times New Roman" w:hAnsi="Times New Roman" w:cs="Times New Roman"/>
          <w:sz w:val="28"/>
          <w:szCs w:val="28"/>
        </w:rPr>
        <w:t>в организациях для детей сирот и детей, оста</w:t>
      </w:r>
      <w:r w:rsidR="0015378C">
        <w:rPr>
          <w:rFonts w:ascii="Times New Roman" w:eastAsia="Times New Roman" w:hAnsi="Times New Roman" w:cs="Times New Roman"/>
          <w:sz w:val="28"/>
          <w:szCs w:val="28"/>
        </w:rPr>
        <w:t xml:space="preserve">вшихся без попечения родителей, </w:t>
      </w:r>
      <w:r w:rsidRPr="002F71BF">
        <w:rPr>
          <w:rFonts w:ascii="Times New Roman" w:eastAsia="Times New Roman" w:hAnsi="Times New Roman" w:cs="Times New Roman"/>
          <w:sz w:val="28"/>
          <w:szCs w:val="28"/>
        </w:rPr>
        <w:t xml:space="preserve">и недопущение их гибели и жестокого обращения с ними; Плана </w:t>
      </w:r>
      <w:r w:rsidRPr="002F71BF">
        <w:rPr>
          <w:rFonts w:ascii="Times New Roman" w:eastAsia="Times New Roman" w:hAnsi="Times New Roman" w:cs="Times New Roman"/>
          <w:color w:val="000000"/>
          <w:sz w:val="28"/>
          <w:szCs w:val="28"/>
        </w:rPr>
        <w:t xml:space="preserve">мероприятий («дорожной карты») по реализации мер, направленных на профилактику социального сиротства на </w:t>
      </w:r>
      <w:r w:rsidRPr="002F71BF">
        <w:rPr>
          <w:rFonts w:ascii="Times New Roman" w:eastAsia="Times New Roman" w:hAnsi="Times New Roman" w:cs="Times New Roman"/>
          <w:sz w:val="28"/>
          <w:szCs w:val="28"/>
        </w:rPr>
        <w:t>территории Брянской области на период до 2021 г</w:t>
      </w:r>
      <w:r w:rsidR="00E3155F">
        <w:rPr>
          <w:rFonts w:ascii="Times New Roman" w:eastAsia="Times New Roman" w:hAnsi="Times New Roman" w:cs="Times New Roman"/>
          <w:sz w:val="28"/>
          <w:szCs w:val="28"/>
        </w:rPr>
        <w:t>.</w:t>
      </w:r>
      <w:r w:rsidRPr="002F71BF">
        <w:rPr>
          <w:rFonts w:ascii="Times New Roman" w:eastAsia="Times New Roman" w:hAnsi="Times New Roman" w:cs="Times New Roman"/>
          <w:sz w:val="28"/>
          <w:szCs w:val="28"/>
        </w:rPr>
        <w:t>; Плана мероприятий еди</w:t>
      </w:r>
      <w:r w:rsidR="0015378C">
        <w:rPr>
          <w:rFonts w:ascii="Times New Roman" w:eastAsia="Times New Roman" w:hAnsi="Times New Roman" w:cs="Times New Roman"/>
          <w:sz w:val="28"/>
          <w:szCs w:val="28"/>
        </w:rPr>
        <w:t xml:space="preserve">ного методологического подхода </w:t>
      </w:r>
      <w:r w:rsidRPr="002F71BF">
        <w:rPr>
          <w:rFonts w:ascii="Times New Roman" w:eastAsia="Times New Roman" w:hAnsi="Times New Roman" w:cs="Times New Roman"/>
          <w:sz w:val="28"/>
          <w:szCs w:val="28"/>
        </w:rPr>
        <w:t>в работе с семьей и детьми по раннему выя</w:t>
      </w:r>
      <w:r w:rsidR="0015378C">
        <w:rPr>
          <w:rFonts w:ascii="Times New Roman" w:eastAsia="Times New Roman" w:hAnsi="Times New Roman" w:cs="Times New Roman"/>
          <w:sz w:val="28"/>
          <w:szCs w:val="28"/>
        </w:rPr>
        <w:t xml:space="preserve">влению факторов неблагополучия </w:t>
      </w:r>
      <w:r w:rsidRPr="002F71BF">
        <w:rPr>
          <w:rFonts w:ascii="Times New Roman" w:eastAsia="Times New Roman" w:hAnsi="Times New Roman" w:cs="Times New Roman"/>
          <w:sz w:val="28"/>
          <w:szCs w:val="28"/>
        </w:rPr>
        <w:t>в Белгородской области.</w:t>
      </w:r>
    </w:p>
    <w:p w14:paraId="39F9FF69" w14:textId="77777777" w:rsidR="002F71BF" w:rsidRPr="002F71BF" w:rsidRDefault="002F71BF" w:rsidP="002F71BF">
      <w:pPr>
        <w:widowControl w:val="0"/>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В целях профилактики социального сиротства в Белгородской области дополнительно в 2021 г</w:t>
      </w:r>
      <w:r w:rsidR="00E3155F">
        <w:rPr>
          <w:rFonts w:ascii="Times New Roman" w:eastAsia="Times New Roman" w:hAnsi="Times New Roman" w:cs="Times New Roman"/>
          <w:sz w:val="28"/>
          <w:szCs w:val="28"/>
        </w:rPr>
        <w:t>.</w:t>
      </w:r>
      <w:r w:rsidRPr="002F71BF">
        <w:rPr>
          <w:rFonts w:ascii="Times New Roman" w:eastAsia="Times New Roman" w:hAnsi="Times New Roman" w:cs="Times New Roman"/>
          <w:sz w:val="28"/>
          <w:szCs w:val="28"/>
        </w:rPr>
        <w:t xml:space="preserve"> </w:t>
      </w:r>
      <w:r w:rsidR="0015378C">
        <w:rPr>
          <w:rFonts w:ascii="Times New Roman" w:eastAsia="Times New Roman" w:hAnsi="Times New Roman" w:cs="Times New Roman"/>
          <w:sz w:val="28"/>
          <w:szCs w:val="28"/>
        </w:rPr>
        <w:t xml:space="preserve">постановлением Комиссии по делам несовершеннолетних и защите их прав Белгородской области </w:t>
      </w:r>
      <w:r w:rsidRPr="002F71BF">
        <w:rPr>
          <w:rFonts w:ascii="Times New Roman" w:eastAsia="Times New Roman" w:hAnsi="Times New Roman" w:cs="Times New Roman"/>
          <w:sz w:val="28"/>
          <w:szCs w:val="28"/>
        </w:rPr>
        <w:t>утвержден Комплексный план мероприятий особого контроля в отношении семей, в которых родители или иные законные представители имеют или ранее имели судимость, на 2021</w:t>
      </w:r>
      <w:r w:rsidR="0015378C">
        <w:rPr>
          <w:rFonts w:ascii="Times New Roman" w:eastAsia="Times New Roman" w:hAnsi="Times New Roman" w:cs="Times New Roman"/>
          <w:sz w:val="28"/>
          <w:szCs w:val="28"/>
        </w:rPr>
        <w:t>-</w:t>
      </w:r>
      <w:r w:rsidRPr="002F71BF">
        <w:rPr>
          <w:rFonts w:ascii="Times New Roman" w:eastAsia="Times New Roman" w:hAnsi="Times New Roman" w:cs="Times New Roman"/>
          <w:sz w:val="28"/>
          <w:szCs w:val="28"/>
        </w:rPr>
        <w:t>2022 г</w:t>
      </w:r>
      <w:r w:rsidR="00E3155F">
        <w:rPr>
          <w:rFonts w:ascii="Times New Roman" w:eastAsia="Times New Roman" w:hAnsi="Times New Roman" w:cs="Times New Roman"/>
          <w:sz w:val="28"/>
          <w:szCs w:val="28"/>
        </w:rPr>
        <w:t>г</w:t>
      </w:r>
      <w:r w:rsidRPr="002F71BF">
        <w:rPr>
          <w:rFonts w:ascii="Times New Roman" w:eastAsia="Times New Roman" w:hAnsi="Times New Roman" w:cs="Times New Roman"/>
          <w:sz w:val="28"/>
          <w:szCs w:val="28"/>
        </w:rPr>
        <w:t xml:space="preserve">. </w:t>
      </w:r>
    </w:p>
    <w:p w14:paraId="46C83EC1" w14:textId="77777777" w:rsidR="002F71BF" w:rsidRPr="002F71BF" w:rsidRDefault="002F71BF" w:rsidP="002F71BF">
      <w:pPr>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 xml:space="preserve">В Удмуртской Республике </w:t>
      </w:r>
      <w:r w:rsidR="0015378C">
        <w:rPr>
          <w:rFonts w:ascii="Times New Roman" w:eastAsia="Times New Roman" w:hAnsi="Times New Roman" w:cs="Times New Roman"/>
          <w:sz w:val="28"/>
          <w:szCs w:val="28"/>
        </w:rPr>
        <w:t xml:space="preserve">постановлением Комиссии по делам несовершеннолетних и защите их прав </w:t>
      </w:r>
      <w:r w:rsidRPr="002F71BF">
        <w:rPr>
          <w:rFonts w:ascii="Times New Roman" w:eastAsia="Times New Roman" w:hAnsi="Times New Roman" w:cs="Times New Roman"/>
          <w:sz w:val="28"/>
          <w:szCs w:val="28"/>
        </w:rPr>
        <w:t>разработан План мероприятий («дорожная карта») на период до 2022 г</w:t>
      </w:r>
      <w:r w:rsidR="00E3155F">
        <w:rPr>
          <w:rFonts w:ascii="Times New Roman" w:eastAsia="Times New Roman" w:hAnsi="Times New Roman" w:cs="Times New Roman"/>
          <w:sz w:val="28"/>
          <w:szCs w:val="28"/>
        </w:rPr>
        <w:t>.</w:t>
      </w:r>
      <w:r w:rsidRPr="002F71BF">
        <w:rPr>
          <w:rFonts w:ascii="Times New Roman" w:eastAsia="Times New Roman" w:hAnsi="Times New Roman" w:cs="Times New Roman"/>
          <w:sz w:val="28"/>
          <w:szCs w:val="28"/>
        </w:rPr>
        <w:t xml:space="preserve"> по реализации комплекса межведомственных мер, направленных на профилактику</w:t>
      </w:r>
      <w:r w:rsidR="0015378C">
        <w:rPr>
          <w:rFonts w:ascii="Times New Roman" w:eastAsia="Times New Roman" w:hAnsi="Times New Roman" w:cs="Times New Roman"/>
          <w:sz w:val="28"/>
          <w:szCs w:val="28"/>
        </w:rPr>
        <w:t xml:space="preserve"> насилия и жестокого обращения </w:t>
      </w:r>
      <w:r w:rsidRPr="002F71BF">
        <w:rPr>
          <w:rFonts w:ascii="Times New Roman" w:eastAsia="Times New Roman" w:hAnsi="Times New Roman" w:cs="Times New Roman"/>
          <w:sz w:val="28"/>
          <w:szCs w:val="28"/>
        </w:rPr>
        <w:t xml:space="preserve">с несовершеннолетними на территории Удмуртской Республики. </w:t>
      </w:r>
    </w:p>
    <w:p w14:paraId="0B1C4344" w14:textId="77777777" w:rsidR="002F71BF" w:rsidRPr="002F71BF" w:rsidRDefault="002F71BF" w:rsidP="002F71BF">
      <w:pPr>
        <w:widowControl w:val="0"/>
        <w:shd w:val="clear" w:color="auto" w:fill="FFFFFF"/>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В 2021 г</w:t>
      </w:r>
      <w:r w:rsidR="00E3155F">
        <w:rPr>
          <w:rFonts w:ascii="Times New Roman" w:eastAsia="Times New Roman" w:hAnsi="Times New Roman" w:cs="Times New Roman"/>
          <w:sz w:val="28"/>
          <w:szCs w:val="28"/>
        </w:rPr>
        <w:t>.</w:t>
      </w:r>
      <w:r w:rsidRPr="002F71BF">
        <w:rPr>
          <w:rFonts w:ascii="Times New Roman" w:eastAsia="Times New Roman" w:hAnsi="Times New Roman" w:cs="Times New Roman"/>
          <w:sz w:val="28"/>
          <w:szCs w:val="28"/>
        </w:rPr>
        <w:t xml:space="preserve"> в Курской области при содействии Фонда </w:t>
      </w:r>
      <w:r w:rsidR="00C81E67">
        <w:rPr>
          <w:rFonts w:ascii="Times New Roman" w:hAnsi="Times New Roman" w:cs="Times New Roman"/>
          <w:sz w:val="28"/>
          <w:szCs w:val="28"/>
        </w:rPr>
        <w:t>поддержки детей</w:t>
      </w:r>
      <w:r w:rsidR="00C81E67" w:rsidRPr="002F71BF">
        <w:rPr>
          <w:rFonts w:ascii="Times New Roman" w:eastAsia="Times New Roman" w:hAnsi="Times New Roman" w:cs="Times New Roman"/>
          <w:sz w:val="28"/>
          <w:szCs w:val="28"/>
        </w:rPr>
        <w:t xml:space="preserve"> </w:t>
      </w:r>
      <w:r w:rsidRPr="002F71BF">
        <w:rPr>
          <w:rFonts w:ascii="Times New Roman" w:eastAsia="Times New Roman" w:hAnsi="Times New Roman" w:cs="Times New Roman"/>
          <w:sz w:val="28"/>
          <w:szCs w:val="28"/>
        </w:rPr>
        <w:t>реализованы проекты в сфере поддержки семьи:</w:t>
      </w:r>
    </w:p>
    <w:p w14:paraId="564D3050" w14:textId="77777777" w:rsidR="002F71BF" w:rsidRPr="002F71BF" w:rsidRDefault="002F71BF" w:rsidP="0015378C">
      <w:pPr>
        <w:widowControl w:val="0"/>
        <w:shd w:val="clear" w:color="auto" w:fill="FFFFFF"/>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комплекс мер «Жизнь без риска», направленный на развитие систем безопасног</w:t>
      </w:r>
      <w:r w:rsidR="0015378C">
        <w:rPr>
          <w:rFonts w:ascii="Times New Roman" w:eastAsia="Times New Roman" w:hAnsi="Times New Roman" w:cs="Times New Roman"/>
          <w:sz w:val="28"/>
          <w:szCs w:val="28"/>
        </w:rPr>
        <w:t>о детства, на 2020-</w:t>
      </w:r>
      <w:r w:rsidRPr="002F71BF">
        <w:rPr>
          <w:rFonts w:ascii="Times New Roman" w:eastAsia="Times New Roman" w:hAnsi="Times New Roman" w:cs="Times New Roman"/>
          <w:sz w:val="28"/>
          <w:szCs w:val="28"/>
        </w:rPr>
        <w:t>2021 г</w:t>
      </w:r>
      <w:r w:rsidR="00E3155F">
        <w:rPr>
          <w:rFonts w:ascii="Times New Roman" w:eastAsia="Times New Roman" w:hAnsi="Times New Roman" w:cs="Times New Roman"/>
          <w:sz w:val="28"/>
          <w:szCs w:val="28"/>
        </w:rPr>
        <w:t>г.</w:t>
      </w:r>
      <w:r w:rsidRPr="002F71BF">
        <w:rPr>
          <w:rFonts w:ascii="Times New Roman" w:eastAsia="Times New Roman" w:hAnsi="Times New Roman" w:cs="Times New Roman"/>
          <w:sz w:val="28"/>
          <w:szCs w:val="28"/>
        </w:rPr>
        <w:t>;</w:t>
      </w:r>
    </w:p>
    <w:p w14:paraId="6A435822" w14:textId="77777777" w:rsidR="002F71BF" w:rsidRPr="002F71BF" w:rsidRDefault="002F71BF" w:rsidP="002F71BF">
      <w:pPr>
        <w:widowControl w:val="0"/>
        <w:shd w:val="clear" w:color="auto" w:fill="FFFFFF"/>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комплекс мер «Социальная инициатива» по развитию эффективных практик, направленных на сокращение бедности семей с детьми, и улучшению условий жизнедеятельности детей в таких семьях на 2020</w:t>
      </w:r>
      <w:r w:rsidR="0015378C">
        <w:rPr>
          <w:rFonts w:ascii="Times New Roman" w:eastAsia="Times New Roman" w:hAnsi="Times New Roman" w:cs="Times New Roman"/>
          <w:sz w:val="28"/>
          <w:szCs w:val="28"/>
        </w:rPr>
        <w:t>-</w:t>
      </w:r>
      <w:r w:rsidRPr="002F71BF">
        <w:rPr>
          <w:rFonts w:ascii="Times New Roman" w:eastAsia="Times New Roman" w:hAnsi="Times New Roman" w:cs="Times New Roman"/>
          <w:sz w:val="28"/>
          <w:szCs w:val="28"/>
        </w:rPr>
        <w:t>2021 г</w:t>
      </w:r>
      <w:r w:rsidR="00E3155F">
        <w:rPr>
          <w:rFonts w:ascii="Times New Roman" w:eastAsia="Times New Roman" w:hAnsi="Times New Roman" w:cs="Times New Roman"/>
          <w:sz w:val="28"/>
          <w:szCs w:val="28"/>
        </w:rPr>
        <w:t>г.</w:t>
      </w:r>
      <w:r w:rsidRPr="002F71BF">
        <w:rPr>
          <w:rFonts w:ascii="Times New Roman" w:eastAsia="Times New Roman" w:hAnsi="Times New Roman" w:cs="Times New Roman"/>
          <w:sz w:val="28"/>
          <w:szCs w:val="28"/>
        </w:rPr>
        <w:t>;</w:t>
      </w:r>
    </w:p>
    <w:p w14:paraId="3498FFD9" w14:textId="77A2C74F" w:rsidR="002F71BF" w:rsidRPr="002F71BF" w:rsidRDefault="002F71BF" w:rsidP="002F71BF">
      <w:pPr>
        <w:widowControl w:val="0"/>
        <w:shd w:val="clear" w:color="auto" w:fill="FFFFFF"/>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 xml:space="preserve">программа ОКУ «Центр сопровождения замещающих семей и граждан из числа детей-сирот и детей, оставшихся без попечения родителей» «Подарок аиста» </w:t>
      </w:r>
      <w:r w:rsidR="00C36EB2">
        <w:rPr>
          <w:rFonts w:ascii="Times New Roman" w:eastAsia="Times New Roman" w:hAnsi="Times New Roman" w:cs="Times New Roman"/>
          <w:sz w:val="28"/>
          <w:szCs w:val="28"/>
        </w:rPr>
        <w:br/>
      </w:r>
      <w:r w:rsidRPr="002F71BF">
        <w:rPr>
          <w:rFonts w:ascii="Times New Roman" w:eastAsia="Times New Roman" w:hAnsi="Times New Roman" w:cs="Times New Roman"/>
          <w:sz w:val="28"/>
          <w:szCs w:val="28"/>
        </w:rPr>
        <w:t>(2021</w:t>
      </w:r>
      <w:r w:rsidR="0015378C">
        <w:rPr>
          <w:rFonts w:ascii="Times New Roman" w:eastAsia="Times New Roman" w:hAnsi="Times New Roman" w:cs="Times New Roman"/>
          <w:sz w:val="28"/>
          <w:szCs w:val="28"/>
        </w:rPr>
        <w:t>-</w:t>
      </w:r>
      <w:r w:rsidRPr="002F71BF">
        <w:rPr>
          <w:rFonts w:ascii="Times New Roman" w:eastAsia="Times New Roman" w:hAnsi="Times New Roman" w:cs="Times New Roman"/>
          <w:sz w:val="28"/>
          <w:szCs w:val="28"/>
        </w:rPr>
        <w:t>2022 г</w:t>
      </w:r>
      <w:r w:rsidR="00E3155F">
        <w:rPr>
          <w:rFonts w:ascii="Times New Roman" w:eastAsia="Times New Roman" w:hAnsi="Times New Roman" w:cs="Times New Roman"/>
          <w:sz w:val="28"/>
          <w:szCs w:val="28"/>
        </w:rPr>
        <w:t>г.</w:t>
      </w:r>
      <w:r w:rsidRPr="002F71BF">
        <w:rPr>
          <w:rFonts w:ascii="Times New Roman" w:eastAsia="Times New Roman" w:hAnsi="Times New Roman" w:cs="Times New Roman"/>
          <w:sz w:val="28"/>
          <w:szCs w:val="28"/>
        </w:rPr>
        <w:t>) по профилактике отказов от новорожденных, социально-психологической поддержки несовершеннолетних матерей, нуждающихся в помощи и поддержке государства;</w:t>
      </w:r>
    </w:p>
    <w:p w14:paraId="6C9BE618" w14:textId="77777777" w:rsidR="002F71BF" w:rsidRPr="002F71BF" w:rsidRDefault="002F71BF" w:rsidP="002F71BF">
      <w:pPr>
        <w:widowControl w:val="0"/>
        <w:shd w:val="clear" w:color="auto" w:fill="FFFFFF"/>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 xml:space="preserve">проект </w:t>
      </w:r>
      <w:proofErr w:type="spellStart"/>
      <w:r w:rsidRPr="002F71BF">
        <w:rPr>
          <w:rFonts w:ascii="Times New Roman" w:eastAsia="Times New Roman" w:hAnsi="Times New Roman" w:cs="Times New Roman"/>
          <w:sz w:val="28"/>
          <w:szCs w:val="28"/>
        </w:rPr>
        <w:t>Золотухинского</w:t>
      </w:r>
      <w:proofErr w:type="spellEnd"/>
      <w:r w:rsidRPr="002F71BF">
        <w:rPr>
          <w:rFonts w:ascii="Times New Roman" w:eastAsia="Times New Roman" w:hAnsi="Times New Roman" w:cs="Times New Roman"/>
          <w:sz w:val="28"/>
          <w:szCs w:val="28"/>
        </w:rPr>
        <w:t xml:space="preserve"> района Курской области «Сохраним семью для ребенка» (2020</w:t>
      </w:r>
      <w:r w:rsidR="00E3155F">
        <w:rPr>
          <w:rFonts w:ascii="Times New Roman" w:eastAsia="Times New Roman" w:hAnsi="Times New Roman" w:cs="Times New Roman"/>
          <w:sz w:val="28"/>
          <w:szCs w:val="28"/>
        </w:rPr>
        <w:t>-</w:t>
      </w:r>
      <w:r w:rsidRPr="002F71BF">
        <w:rPr>
          <w:rFonts w:ascii="Times New Roman" w:eastAsia="Times New Roman" w:hAnsi="Times New Roman" w:cs="Times New Roman"/>
          <w:sz w:val="28"/>
          <w:szCs w:val="28"/>
        </w:rPr>
        <w:t>2021 г</w:t>
      </w:r>
      <w:r w:rsidR="00E3155F">
        <w:rPr>
          <w:rFonts w:ascii="Times New Roman" w:eastAsia="Times New Roman" w:hAnsi="Times New Roman" w:cs="Times New Roman"/>
          <w:sz w:val="28"/>
          <w:szCs w:val="28"/>
        </w:rPr>
        <w:t>г.</w:t>
      </w:r>
      <w:r w:rsidRPr="002F71BF">
        <w:rPr>
          <w:rFonts w:ascii="Times New Roman" w:eastAsia="Times New Roman" w:hAnsi="Times New Roman" w:cs="Times New Roman"/>
          <w:sz w:val="28"/>
          <w:szCs w:val="28"/>
        </w:rPr>
        <w:t>).</w:t>
      </w:r>
    </w:p>
    <w:p w14:paraId="33D724C0" w14:textId="77777777" w:rsidR="0015378C" w:rsidRPr="002F71BF" w:rsidRDefault="002F71BF" w:rsidP="0015378C">
      <w:pPr>
        <w:widowControl w:val="0"/>
        <w:shd w:val="clear" w:color="auto" w:fill="FFFFFF"/>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В 2021 г</w:t>
      </w:r>
      <w:r w:rsidR="00E3155F">
        <w:rPr>
          <w:rFonts w:ascii="Times New Roman" w:eastAsia="Times New Roman" w:hAnsi="Times New Roman" w:cs="Times New Roman"/>
          <w:sz w:val="28"/>
          <w:szCs w:val="28"/>
        </w:rPr>
        <w:t>.</w:t>
      </w:r>
      <w:r w:rsidRPr="002F71BF">
        <w:rPr>
          <w:rFonts w:ascii="Times New Roman" w:eastAsia="Times New Roman" w:hAnsi="Times New Roman" w:cs="Times New Roman"/>
          <w:sz w:val="28"/>
          <w:szCs w:val="28"/>
          <w:lang w:bidi="ru-RU"/>
        </w:rPr>
        <w:t xml:space="preserve"> продолжена реализация Всероссийского проекта «Детский телефон доверия», </w:t>
      </w:r>
      <w:r w:rsidRPr="002F71BF">
        <w:rPr>
          <w:rFonts w:ascii="Times New Roman" w:eastAsia="Times New Roman" w:hAnsi="Times New Roman" w:cs="Times New Roman"/>
          <w:sz w:val="28"/>
          <w:szCs w:val="28"/>
        </w:rPr>
        <w:t>созданного в 2010 г</w:t>
      </w:r>
      <w:r w:rsidR="00E3155F">
        <w:rPr>
          <w:rFonts w:ascii="Times New Roman" w:eastAsia="Times New Roman" w:hAnsi="Times New Roman" w:cs="Times New Roman"/>
          <w:sz w:val="28"/>
          <w:szCs w:val="28"/>
        </w:rPr>
        <w:t>.</w:t>
      </w:r>
      <w:r w:rsidRPr="002F71BF">
        <w:rPr>
          <w:rFonts w:ascii="Times New Roman" w:eastAsia="Times New Roman" w:hAnsi="Times New Roman" w:cs="Times New Roman"/>
          <w:sz w:val="28"/>
          <w:szCs w:val="28"/>
        </w:rPr>
        <w:t xml:space="preserve"> Фондом</w:t>
      </w:r>
      <w:r w:rsidR="00C81E67" w:rsidRPr="00C81E67">
        <w:rPr>
          <w:rFonts w:ascii="Times New Roman" w:hAnsi="Times New Roman" w:cs="Times New Roman"/>
          <w:sz w:val="28"/>
          <w:szCs w:val="28"/>
        </w:rPr>
        <w:t xml:space="preserve"> </w:t>
      </w:r>
      <w:r w:rsidR="00C81E67">
        <w:rPr>
          <w:rFonts w:ascii="Times New Roman" w:hAnsi="Times New Roman" w:cs="Times New Roman"/>
          <w:sz w:val="28"/>
          <w:szCs w:val="28"/>
        </w:rPr>
        <w:t>поддержки детей</w:t>
      </w:r>
      <w:r w:rsidRPr="002F71BF">
        <w:rPr>
          <w:rFonts w:ascii="Times New Roman" w:eastAsia="Times New Roman" w:hAnsi="Times New Roman" w:cs="Times New Roman"/>
          <w:sz w:val="28"/>
          <w:szCs w:val="28"/>
        </w:rPr>
        <w:t xml:space="preserve"> </w:t>
      </w:r>
      <w:r w:rsidR="0015378C">
        <w:rPr>
          <w:rFonts w:ascii="Times New Roman" w:eastAsia="Times New Roman" w:hAnsi="Times New Roman" w:cs="Times New Roman"/>
          <w:sz w:val="28"/>
          <w:szCs w:val="28"/>
        </w:rPr>
        <w:t xml:space="preserve">в целях оказания помощи детям </w:t>
      </w:r>
      <w:r w:rsidRPr="002F71BF">
        <w:rPr>
          <w:rFonts w:ascii="Times New Roman" w:eastAsia="Times New Roman" w:hAnsi="Times New Roman" w:cs="Times New Roman"/>
          <w:sz w:val="28"/>
          <w:szCs w:val="28"/>
        </w:rPr>
        <w:t>и родителям, разрешения семейных конфли</w:t>
      </w:r>
      <w:r w:rsidR="0015378C">
        <w:rPr>
          <w:rFonts w:ascii="Times New Roman" w:eastAsia="Times New Roman" w:hAnsi="Times New Roman" w:cs="Times New Roman"/>
          <w:sz w:val="28"/>
          <w:szCs w:val="28"/>
        </w:rPr>
        <w:t xml:space="preserve">ктов, экстренного реагирования </w:t>
      </w:r>
      <w:r w:rsidRPr="002F71BF">
        <w:rPr>
          <w:rFonts w:ascii="Times New Roman" w:eastAsia="Times New Roman" w:hAnsi="Times New Roman" w:cs="Times New Roman"/>
          <w:sz w:val="28"/>
          <w:szCs w:val="28"/>
        </w:rPr>
        <w:t>на случаи насилия и жестокого обращения с детьми,</w:t>
      </w:r>
      <w:r w:rsidR="0015378C">
        <w:rPr>
          <w:rFonts w:ascii="Times New Roman" w:eastAsia="Times New Roman" w:hAnsi="Times New Roman" w:cs="Times New Roman"/>
          <w:sz w:val="28"/>
          <w:szCs w:val="28"/>
          <w:lang w:bidi="ru-RU"/>
        </w:rPr>
        <w:t xml:space="preserve"> объединяющего </w:t>
      </w:r>
      <w:r w:rsidRPr="002F71BF">
        <w:rPr>
          <w:rFonts w:ascii="Times New Roman" w:eastAsia="Times New Roman" w:hAnsi="Times New Roman" w:cs="Times New Roman"/>
          <w:sz w:val="28"/>
          <w:szCs w:val="28"/>
          <w:lang w:bidi="ru-RU"/>
        </w:rPr>
        <w:t>21</w:t>
      </w:r>
      <w:r w:rsidR="003C5210">
        <w:rPr>
          <w:rFonts w:ascii="Times New Roman" w:eastAsia="Times New Roman" w:hAnsi="Times New Roman" w:cs="Times New Roman"/>
          <w:sz w:val="28"/>
          <w:szCs w:val="28"/>
          <w:lang w:bidi="ru-RU"/>
        </w:rPr>
        <w:t>5</w:t>
      </w:r>
      <w:r w:rsidRPr="002F71BF">
        <w:rPr>
          <w:rFonts w:ascii="Times New Roman" w:eastAsia="Times New Roman" w:hAnsi="Times New Roman" w:cs="Times New Roman"/>
          <w:sz w:val="28"/>
          <w:szCs w:val="28"/>
          <w:lang w:bidi="ru-RU"/>
        </w:rPr>
        <w:t xml:space="preserve"> региональных служб в 85 субъектах Российской Федерации под единым общероссийским номером 8-800-2000-122</w:t>
      </w:r>
      <w:r w:rsidR="0015378C">
        <w:rPr>
          <w:rFonts w:ascii="Times New Roman" w:eastAsia="Times New Roman" w:hAnsi="Times New Roman" w:cs="Times New Roman"/>
          <w:sz w:val="28"/>
          <w:szCs w:val="28"/>
          <w:lang w:bidi="ru-RU"/>
        </w:rPr>
        <w:t xml:space="preserve"> (далее – детский телефон доверия)</w:t>
      </w:r>
      <w:r w:rsidRPr="002F71BF">
        <w:rPr>
          <w:rFonts w:ascii="Times New Roman" w:eastAsia="Times New Roman" w:hAnsi="Times New Roman" w:cs="Times New Roman"/>
          <w:sz w:val="28"/>
          <w:szCs w:val="28"/>
          <w:lang w:bidi="ru-RU"/>
        </w:rPr>
        <w:t>.</w:t>
      </w:r>
      <w:r w:rsidR="0015378C" w:rsidRPr="0015378C">
        <w:rPr>
          <w:rFonts w:ascii="Times New Roman" w:eastAsia="Times New Roman" w:hAnsi="Times New Roman" w:cs="Times New Roman"/>
          <w:sz w:val="28"/>
          <w:szCs w:val="28"/>
          <w:lang w:bidi="ru-RU"/>
        </w:rPr>
        <w:t xml:space="preserve"> </w:t>
      </w:r>
      <w:r w:rsidR="0015378C" w:rsidRPr="002F71BF">
        <w:rPr>
          <w:rFonts w:ascii="Times New Roman" w:eastAsia="Times New Roman" w:hAnsi="Times New Roman" w:cs="Times New Roman"/>
          <w:sz w:val="28"/>
          <w:szCs w:val="28"/>
          <w:lang w:bidi="ru-RU"/>
        </w:rPr>
        <w:t>В 2021 г</w:t>
      </w:r>
      <w:r w:rsidR="00E3155F">
        <w:rPr>
          <w:rFonts w:ascii="Times New Roman" w:eastAsia="Times New Roman" w:hAnsi="Times New Roman" w:cs="Times New Roman"/>
          <w:sz w:val="28"/>
          <w:szCs w:val="28"/>
          <w:lang w:bidi="ru-RU"/>
        </w:rPr>
        <w:t>.</w:t>
      </w:r>
      <w:r w:rsidR="0015378C" w:rsidRPr="002F71BF">
        <w:rPr>
          <w:rFonts w:ascii="Times New Roman" w:eastAsia="Times New Roman" w:hAnsi="Times New Roman" w:cs="Times New Roman"/>
          <w:sz w:val="28"/>
          <w:szCs w:val="28"/>
          <w:lang w:bidi="ru-RU"/>
        </w:rPr>
        <w:t xml:space="preserve"> на </w:t>
      </w:r>
      <w:r w:rsidR="0015378C">
        <w:rPr>
          <w:rFonts w:ascii="Times New Roman" w:eastAsia="Times New Roman" w:hAnsi="Times New Roman" w:cs="Times New Roman"/>
          <w:sz w:val="28"/>
          <w:szCs w:val="28"/>
          <w:lang w:bidi="ru-RU"/>
        </w:rPr>
        <w:t>д</w:t>
      </w:r>
      <w:r w:rsidR="0015378C" w:rsidRPr="002F71BF">
        <w:rPr>
          <w:rFonts w:ascii="Times New Roman" w:eastAsia="Times New Roman" w:hAnsi="Times New Roman" w:cs="Times New Roman"/>
          <w:sz w:val="28"/>
          <w:szCs w:val="28"/>
          <w:lang w:bidi="ru-RU"/>
        </w:rPr>
        <w:t xml:space="preserve">етский телефон доверия поступило </w:t>
      </w:r>
      <w:r w:rsidR="003C5210">
        <w:rPr>
          <w:rFonts w:ascii="Times New Roman" w:eastAsia="Times New Roman" w:hAnsi="Times New Roman" w:cs="Times New Roman"/>
          <w:sz w:val="28"/>
          <w:szCs w:val="28"/>
          <w:lang w:bidi="ru-RU"/>
        </w:rPr>
        <w:t>883</w:t>
      </w:r>
      <w:r w:rsidR="0015378C" w:rsidRPr="002F71BF">
        <w:rPr>
          <w:rFonts w:ascii="Times New Roman" w:eastAsia="Times New Roman" w:hAnsi="Times New Roman" w:cs="Times New Roman"/>
          <w:sz w:val="28"/>
          <w:szCs w:val="28"/>
          <w:lang w:bidi="ru-RU"/>
        </w:rPr>
        <w:t> </w:t>
      </w:r>
      <w:r w:rsidR="003C5210">
        <w:rPr>
          <w:rFonts w:ascii="Times New Roman" w:eastAsia="Times New Roman" w:hAnsi="Times New Roman" w:cs="Times New Roman"/>
          <w:sz w:val="28"/>
          <w:szCs w:val="28"/>
          <w:lang w:bidi="ru-RU"/>
        </w:rPr>
        <w:t>367</w:t>
      </w:r>
      <w:r w:rsidR="0015378C" w:rsidRPr="002F71BF">
        <w:rPr>
          <w:rFonts w:ascii="Times New Roman" w:eastAsia="Times New Roman" w:hAnsi="Times New Roman" w:cs="Times New Roman"/>
          <w:sz w:val="28"/>
          <w:szCs w:val="28"/>
          <w:lang w:bidi="ru-RU"/>
        </w:rPr>
        <w:t xml:space="preserve"> обращений от детей и родителей. </w:t>
      </w:r>
    </w:p>
    <w:p w14:paraId="5FA9A14E" w14:textId="77777777" w:rsidR="002F71BF" w:rsidRPr="002F71BF" w:rsidRDefault="002F71BF" w:rsidP="0015378C">
      <w:pPr>
        <w:widowControl w:val="0"/>
        <w:shd w:val="clear" w:color="auto" w:fill="FFFFFF"/>
        <w:spacing w:after="0" w:line="312" w:lineRule="auto"/>
        <w:ind w:firstLine="709"/>
        <w:jc w:val="both"/>
        <w:rPr>
          <w:rFonts w:ascii="Times New Roman" w:eastAsia="Times New Roman" w:hAnsi="Times New Roman" w:cs="Times New Roman"/>
          <w:sz w:val="28"/>
          <w:szCs w:val="28"/>
          <w:lang w:bidi="ru-RU"/>
        </w:rPr>
      </w:pPr>
      <w:r w:rsidRPr="002F71BF">
        <w:rPr>
          <w:rFonts w:ascii="Times New Roman" w:eastAsia="Times New Roman" w:hAnsi="Times New Roman" w:cs="Times New Roman"/>
          <w:sz w:val="28"/>
          <w:szCs w:val="28"/>
          <w:lang w:bidi="ru-RU"/>
        </w:rPr>
        <w:t>В 7</w:t>
      </w:r>
      <w:r w:rsidR="003C5210">
        <w:rPr>
          <w:rFonts w:ascii="Times New Roman" w:eastAsia="Times New Roman" w:hAnsi="Times New Roman" w:cs="Times New Roman"/>
          <w:sz w:val="28"/>
          <w:szCs w:val="28"/>
          <w:lang w:bidi="ru-RU"/>
        </w:rPr>
        <w:t>7</w:t>
      </w:r>
      <w:r w:rsidRPr="002F71BF">
        <w:rPr>
          <w:rFonts w:ascii="Times New Roman" w:eastAsia="Times New Roman" w:hAnsi="Times New Roman" w:cs="Times New Roman"/>
          <w:sz w:val="28"/>
          <w:szCs w:val="28"/>
          <w:lang w:bidi="ru-RU"/>
        </w:rPr>
        <w:t xml:space="preserve"> субъектах Российской Федерации экстренная психологическая помощь </w:t>
      </w:r>
      <w:r w:rsidR="0015378C">
        <w:rPr>
          <w:rFonts w:ascii="Times New Roman" w:eastAsia="Times New Roman" w:hAnsi="Times New Roman" w:cs="Times New Roman"/>
          <w:sz w:val="28"/>
          <w:szCs w:val="28"/>
          <w:lang w:bidi="ru-RU"/>
        </w:rPr>
        <w:t>д</w:t>
      </w:r>
      <w:r w:rsidRPr="002F71BF">
        <w:rPr>
          <w:rFonts w:ascii="Times New Roman" w:eastAsia="Times New Roman" w:hAnsi="Times New Roman" w:cs="Times New Roman"/>
          <w:sz w:val="28"/>
          <w:szCs w:val="28"/>
          <w:lang w:bidi="ru-RU"/>
        </w:rPr>
        <w:t xml:space="preserve">етского телефона доверия </w:t>
      </w:r>
      <w:r w:rsidR="0015378C">
        <w:rPr>
          <w:rFonts w:ascii="Times New Roman" w:eastAsia="Times New Roman" w:hAnsi="Times New Roman" w:cs="Times New Roman"/>
          <w:sz w:val="28"/>
          <w:szCs w:val="28"/>
          <w:lang w:bidi="ru-RU"/>
        </w:rPr>
        <w:t xml:space="preserve">доступна для детей и родителей </w:t>
      </w:r>
      <w:r w:rsidRPr="002F71BF">
        <w:rPr>
          <w:rFonts w:ascii="Times New Roman" w:eastAsia="Times New Roman" w:hAnsi="Times New Roman" w:cs="Times New Roman"/>
          <w:sz w:val="28"/>
          <w:szCs w:val="28"/>
          <w:lang w:bidi="ru-RU"/>
        </w:rPr>
        <w:t xml:space="preserve">в круглосуточном режиме. В </w:t>
      </w:r>
      <w:r w:rsidR="003C5210">
        <w:rPr>
          <w:rFonts w:ascii="Times New Roman" w:eastAsia="Times New Roman" w:hAnsi="Times New Roman" w:cs="Times New Roman"/>
          <w:sz w:val="28"/>
          <w:szCs w:val="28"/>
          <w:lang w:bidi="ru-RU"/>
        </w:rPr>
        <w:t>8</w:t>
      </w:r>
      <w:r w:rsidRPr="002F71BF">
        <w:rPr>
          <w:rFonts w:ascii="Times New Roman" w:eastAsia="Times New Roman" w:hAnsi="Times New Roman" w:cs="Times New Roman"/>
          <w:sz w:val="28"/>
          <w:szCs w:val="28"/>
          <w:lang w:bidi="ru-RU"/>
        </w:rPr>
        <w:t xml:space="preserve"> субъектах Российской Федерации (республики Мордовия, Чеченская Республика, Ставропольский край, Белгородская, Ивановская, Магаданская, Смоленская области, Чукотский автономный округ) телефоны функционируют за исключением ночного вр</w:t>
      </w:r>
      <w:r w:rsidR="0015378C">
        <w:rPr>
          <w:rFonts w:ascii="Times New Roman" w:eastAsia="Times New Roman" w:hAnsi="Times New Roman" w:cs="Times New Roman"/>
          <w:sz w:val="28"/>
          <w:szCs w:val="28"/>
          <w:lang w:bidi="ru-RU"/>
        </w:rPr>
        <w:t xml:space="preserve">емени, </w:t>
      </w:r>
      <w:r w:rsidRPr="002F71BF">
        <w:rPr>
          <w:rFonts w:ascii="Times New Roman" w:eastAsia="Times New Roman" w:hAnsi="Times New Roman" w:cs="Times New Roman"/>
          <w:sz w:val="28"/>
          <w:szCs w:val="28"/>
          <w:lang w:bidi="ru-RU"/>
        </w:rPr>
        <w:t xml:space="preserve">выходных и праздничных дней. </w:t>
      </w:r>
    </w:p>
    <w:p w14:paraId="099E1916" w14:textId="77777777" w:rsidR="002F71BF" w:rsidRPr="002F71BF" w:rsidRDefault="002F71BF" w:rsidP="002F71BF">
      <w:pPr>
        <w:widowControl w:val="0"/>
        <w:shd w:val="clear" w:color="auto" w:fill="FFFFFF"/>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Так, в Челябинской области в 2021 г</w:t>
      </w:r>
      <w:r w:rsidR="00E3155F">
        <w:rPr>
          <w:rFonts w:ascii="Times New Roman" w:eastAsia="Times New Roman" w:hAnsi="Times New Roman" w:cs="Times New Roman"/>
          <w:sz w:val="28"/>
          <w:szCs w:val="28"/>
        </w:rPr>
        <w:t>.</w:t>
      </w:r>
      <w:r w:rsidR="0015378C">
        <w:rPr>
          <w:rFonts w:ascii="Times New Roman" w:eastAsia="Times New Roman" w:hAnsi="Times New Roman" w:cs="Times New Roman"/>
          <w:sz w:val="28"/>
          <w:szCs w:val="28"/>
        </w:rPr>
        <w:t xml:space="preserve"> рассмотрено 47 933 обращения </w:t>
      </w:r>
      <w:r w:rsidRPr="002F71BF">
        <w:rPr>
          <w:rFonts w:ascii="Times New Roman" w:eastAsia="Times New Roman" w:hAnsi="Times New Roman" w:cs="Times New Roman"/>
          <w:sz w:val="28"/>
          <w:szCs w:val="28"/>
        </w:rPr>
        <w:t xml:space="preserve">на </w:t>
      </w:r>
      <w:r w:rsidR="0015378C">
        <w:rPr>
          <w:rFonts w:ascii="Times New Roman" w:eastAsia="Times New Roman" w:hAnsi="Times New Roman" w:cs="Times New Roman"/>
          <w:sz w:val="28"/>
          <w:szCs w:val="28"/>
        </w:rPr>
        <w:t xml:space="preserve">детский </w:t>
      </w:r>
      <w:r w:rsidRPr="002F71BF">
        <w:rPr>
          <w:rFonts w:ascii="Times New Roman" w:eastAsia="Times New Roman" w:hAnsi="Times New Roman" w:cs="Times New Roman"/>
          <w:sz w:val="28"/>
          <w:szCs w:val="28"/>
        </w:rPr>
        <w:t>телефон доверия, функционирующий в круглосуточном режиме на базе трех учреждений системы социальной защиты населения (областной центр социальной защиты «Семья» – основной консультационный пункт; муниципальное учреждение «Центр помощи семье и детям» г. Магнитогорска; «Кризисный центр» г. Челябинска).</w:t>
      </w:r>
    </w:p>
    <w:p w14:paraId="11351C1D" w14:textId="77777777" w:rsidR="002F71BF" w:rsidRPr="002F71BF" w:rsidRDefault="002F71BF" w:rsidP="002F71BF">
      <w:pPr>
        <w:widowControl w:val="0"/>
        <w:shd w:val="clear" w:color="auto" w:fill="FFFFFF"/>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В Пензенской области по обращениям</w:t>
      </w:r>
      <w:r w:rsidR="0015378C">
        <w:rPr>
          <w:rFonts w:ascii="Times New Roman" w:eastAsia="Times New Roman" w:hAnsi="Times New Roman" w:cs="Times New Roman"/>
          <w:sz w:val="28"/>
          <w:szCs w:val="28"/>
        </w:rPr>
        <w:t xml:space="preserve"> на детский телефон доверия, работающий в </w:t>
      </w:r>
      <w:r w:rsidRPr="002F71BF">
        <w:rPr>
          <w:rFonts w:ascii="Times New Roman" w:eastAsia="Times New Roman" w:hAnsi="Times New Roman" w:cs="Times New Roman"/>
          <w:sz w:val="28"/>
          <w:szCs w:val="28"/>
        </w:rPr>
        <w:t xml:space="preserve">двухканальном режиме (круглосуточно </w:t>
      </w:r>
      <w:r w:rsidR="0015378C">
        <w:rPr>
          <w:rFonts w:ascii="Times New Roman" w:eastAsia="Times New Roman" w:hAnsi="Times New Roman" w:cs="Times New Roman"/>
          <w:sz w:val="28"/>
          <w:szCs w:val="28"/>
        </w:rPr>
        <w:t xml:space="preserve">– в системе социальной защиты, </w:t>
      </w:r>
      <w:r w:rsidRPr="002F71BF">
        <w:rPr>
          <w:rFonts w:ascii="Times New Roman" w:eastAsia="Times New Roman" w:hAnsi="Times New Roman" w:cs="Times New Roman"/>
          <w:sz w:val="28"/>
          <w:szCs w:val="28"/>
        </w:rPr>
        <w:t>с 9.00 до 17.00 – в системе образования), экстренная помощь, в том числе психологическая, оказана 8 250 гражданам, из них 4 226</w:t>
      </w:r>
      <w:r w:rsidR="0015378C">
        <w:rPr>
          <w:rFonts w:ascii="Times New Roman" w:eastAsia="Times New Roman" w:hAnsi="Times New Roman" w:cs="Times New Roman"/>
          <w:sz w:val="28"/>
          <w:szCs w:val="28"/>
        </w:rPr>
        <w:t xml:space="preserve"> несовершеннолетним </w:t>
      </w:r>
      <w:r w:rsidRPr="002F71BF">
        <w:rPr>
          <w:rFonts w:ascii="Times New Roman" w:eastAsia="Times New Roman" w:hAnsi="Times New Roman" w:cs="Times New Roman"/>
          <w:sz w:val="28"/>
          <w:szCs w:val="28"/>
        </w:rPr>
        <w:t xml:space="preserve">и </w:t>
      </w:r>
      <w:r w:rsidR="00335FA6">
        <w:rPr>
          <w:rFonts w:ascii="Times New Roman" w:eastAsia="Times New Roman" w:hAnsi="Times New Roman" w:cs="Times New Roman"/>
          <w:sz w:val="28"/>
          <w:szCs w:val="28"/>
        </w:rPr>
        <w:br/>
      </w:r>
      <w:r w:rsidRPr="002F71BF">
        <w:rPr>
          <w:rFonts w:ascii="Times New Roman" w:eastAsia="Times New Roman" w:hAnsi="Times New Roman" w:cs="Times New Roman"/>
          <w:sz w:val="28"/>
          <w:szCs w:val="28"/>
        </w:rPr>
        <w:t>437 родителям, имеющим детей в возрасте до 18 лет. Также оперативно рассмотрены 3 587 обращений иных лиц по вопросам защиты прав и законных интересов несовершеннолетних.</w:t>
      </w:r>
    </w:p>
    <w:p w14:paraId="3D844413" w14:textId="3AC52520" w:rsidR="002F71BF" w:rsidRPr="002F71BF" w:rsidRDefault="002F71BF" w:rsidP="002F71BF">
      <w:pPr>
        <w:widowControl w:val="0"/>
        <w:shd w:val="clear" w:color="auto" w:fill="FFFFFF"/>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В Республике Северная Осетия – Алания действующей на базе Центра «Доброе сердце» службой в 2021 г</w:t>
      </w:r>
      <w:r w:rsidR="00335FA6">
        <w:rPr>
          <w:rFonts w:ascii="Times New Roman" w:eastAsia="Times New Roman" w:hAnsi="Times New Roman" w:cs="Times New Roman"/>
          <w:sz w:val="28"/>
          <w:szCs w:val="28"/>
        </w:rPr>
        <w:t>.</w:t>
      </w:r>
      <w:r w:rsidRPr="002F71BF">
        <w:rPr>
          <w:rFonts w:ascii="Times New Roman" w:eastAsia="Times New Roman" w:hAnsi="Times New Roman" w:cs="Times New Roman"/>
          <w:sz w:val="28"/>
          <w:szCs w:val="28"/>
        </w:rPr>
        <w:t xml:space="preserve"> рассмотрено 1 509 обращений</w:t>
      </w:r>
      <w:r w:rsidR="0015378C">
        <w:rPr>
          <w:rFonts w:ascii="Times New Roman" w:eastAsia="Times New Roman" w:hAnsi="Times New Roman" w:cs="Times New Roman"/>
          <w:sz w:val="28"/>
          <w:szCs w:val="28"/>
        </w:rPr>
        <w:t xml:space="preserve"> на детский телефон доверия</w:t>
      </w:r>
      <w:r w:rsidRPr="002F71BF">
        <w:rPr>
          <w:rFonts w:ascii="Times New Roman" w:eastAsia="Times New Roman" w:hAnsi="Times New Roman" w:cs="Times New Roman"/>
          <w:sz w:val="28"/>
          <w:szCs w:val="28"/>
        </w:rPr>
        <w:t xml:space="preserve">, в рамках которых курс реабилитации в стационарном отделении прошли </w:t>
      </w:r>
      <w:r w:rsidR="00C36EB2">
        <w:rPr>
          <w:rFonts w:ascii="Times New Roman" w:eastAsia="Times New Roman" w:hAnsi="Times New Roman" w:cs="Times New Roman"/>
          <w:sz w:val="28"/>
          <w:szCs w:val="28"/>
        </w:rPr>
        <w:br/>
      </w:r>
      <w:r w:rsidRPr="002F71BF">
        <w:rPr>
          <w:rFonts w:ascii="Times New Roman" w:eastAsia="Times New Roman" w:hAnsi="Times New Roman" w:cs="Times New Roman"/>
          <w:sz w:val="28"/>
          <w:szCs w:val="28"/>
        </w:rPr>
        <w:t xml:space="preserve">112 несовершеннолетних, из них оставшихся без попечения родителей – 17, находящихся в социально-опасном положении – 50, оказавшихся в трудной жизненной ситуации – 45. </w:t>
      </w:r>
    </w:p>
    <w:p w14:paraId="163467F1" w14:textId="77777777" w:rsidR="002F71BF" w:rsidRPr="002F71BF" w:rsidRDefault="002F71BF" w:rsidP="002F71BF">
      <w:pPr>
        <w:widowControl w:val="0"/>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Успешному решению задач по раннем</w:t>
      </w:r>
      <w:r w:rsidR="0015378C">
        <w:rPr>
          <w:rFonts w:ascii="Times New Roman" w:eastAsia="Times New Roman" w:hAnsi="Times New Roman" w:cs="Times New Roman"/>
          <w:sz w:val="28"/>
          <w:szCs w:val="28"/>
        </w:rPr>
        <w:t xml:space="preserve">у выявлению семей, находящихся </w:t>
      </w:r>
      <w:r w:rsidRPr="002F71BF">
        <w:rPr>
          <w:rFonts w:ascii="Times New Roman" w:eastAsia="Times New Roman" w:hAnsi="Times New Roman" w:cs="Times New Roman"/>
          <w:sz w:val="28"/>
          <w:szCs w:val="28"/>
        </w:rPr>
        <w:t>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w:t>
      </w:r>
      <w:r w:rsidR="0015378C">
        <w:rPr>
          <w:rFonts w:ascii="Times New Roman" w:eastAsia="Times New Roman" w:hAnsi="Times New Roman" w:cs="Times New Roman"/>
          <w:sz w:val="28"/>
          <w:szCs w:val="28"/>
        </w:rPr>
        <w:t xml:space="preserve"> (далее по тексту подраздела – Банк данных)</w:t>
      </w:r>
      <w:r w:rsidRPr="002F71BF">
        <w:rPr>
          <w:rFonts w:ascii="Times New Roman" w:eastAsia="Times New Roman" w:hAnsi="Times New Roman" w:cs="Times New Roman"/>
          <w:sz w:val="28"/>
          <w:szCs w:val="28"/>
        </w:rPr>
        <w:t>.</w:t>
      </w:r>
    </w:p>
    <w:p w14:paraId="738456A0" w14:textId="77777777" w:rsidR="002F71BF" w:rsidRPr="002F71BF" w:rsidRDefault="002F71BF" w:rsidP="002F71BF">
      <w:pPr>
        <w:widowControl w:val="0"/>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 xml:space="preserve">Например, постановлением Межведомственной комиссии Челябинской области от 29 сентября 2021 г. № 6 утвержден Единый порядок по ведению Банка данных </w:t>
      </w:r>
      <w:r w:rsidR="00CB54AD">
        <w:rPr>
          <w:rFonts w:ascii="Times New Roman" w:eastAsia="Times New Roman" w:hAnsi="Times New Roman" w:cs="Times New Roman"/>
          <w:sz w:val="28"/>
          <w:szCs w:val="28"/>
        </w:rPr>
        <w:t>Комиссией по делам несовершеннолетних и защите их прав</w:t>
      </w:r>
      <w:r w:rsidRPr="002F71BF">
        <w:rPr>
          <w:rFonts w:ascii="Times New Roman" w:eastAsia="Times New Roman" w:hAnsi="Times New Roman" w:cs="Times New Roman"/>
          <w:sz w:val="28"/>
          <w:szCs w:val="28"/>
        </w:rPr>
        <w:t xml:space="preserve"> муниципальных образований региона в целях организации, координации и проведения индивидуальной профилактической работы с несовершеннолетними и семьями, находящимися в социально опасном положении, в том числе оказания комплексной правовой, психолого-педагогической, социально-реабилитационной и иной помощи и поддержки, защиты и восстановления нарушенных пр</w:t>
      </w:r>
      <w:r w:rsidR="00CB54AD">
        <w:rPr>
          <w:rFonts w:ascii="Times New Roman" w:eastAsia="Times New Roman" w:hAnsi="Times New Roman" w:cs="Times New Roman"/>
          <w:sz w:val="28"/>
          <w:szCs w:val="28"/>
        </w:rPr>
        <w:t xml:space="preserve">ав и законных интересов детей, </w:t>
      </w:r>
      <w:r w:rsidRPr="002F71BF">
        <w:rPr>
          <w:rFonts w:ascii="Times New Roman" w:eastAsia="Times New Roman" w:hAnsi="Times New Roman" w:cs="Times New Roman"/>
          <w:sz w:val="28"/>
          <w:szCs w:val="28"/>
        </w:rPr>
        <w:t>а также своевременного устранения причин и условий, способствующих их безнадзорности, совершению правонарушений и антиобщественных действий.</w:t>
      </w:r>
    </w:p>
    <w:p w14:paraId="36FC1C4E" w14:textId="77777777" w:rsidR="002F71BF" w:rsidRPr="002F71BF" w:rsidRDefault="002F71BF" w:rsidP="002F71BF">
      <w:pPr>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В Белгородской области решением Правительства</w:t>
      </w:r>
      <w:r w:rsidR="00CB54AD">
        <w:rPr>
          <w:rFonts w:ascii="Times New Roman" w:eastAsia="Times New Roman" w:hAnsi="Times New Roman" w:cs="Times New Roman"/>
          <w:sz w:val="28"/>
          <w:szCs w:val="28"/>
        </w:rPr>
        <w:t xml:space="preserve"> от 20 сентября 2021 г. </w:t>
      </w:r>
      <w:r w:rsidR="00CB54AD">
        <w:rPr>
          <w:rFonts w:ascii="Times New Roman" w:eastAsia="Times New Roman" w:hAnsi="Times New Roman" w:cs="Times New Roman"/>
          <w:sz w:val="28"/>
          <w:szCs w:val="28"/>
        </w:rPr>
        <w:br/>
        <w:t xml:space="preserve">№ 409-пп </w:t>
      </w:r>
      <w:r w:rsidRPr="002F71BF">
        <w:rPr>
          <w:rFonts w:ascii="Times New Roman" w:eastAsia="Times New Roman" w:hAnsi="Times New Roman" w:cs="Times New Roman"/>
          <w:sz w:val="28"/>
          <w:szCs w:val="28"/>
        </w:rPr>
        <w:t>сформирован региональный Банк данных семей и н</w:t>
      </w:r>
      <w:r w:rsidR="00CB54AD">
        <w:rPr>
          <w:rFonts w:ascii="Times New Roman" w:eastAsia="Times New Roman" w:hAnsi="Times New Roman" w:cs="Times New Roman"/>
          <w:sz w:val="28"/>
          <w:szCs w:val="28"/>
        </w:rPr>
        <w:t xml:space="preserve">есовершеннолетних, находящихся </w:t>
      </w:r>
      <w:r w:rsidRPr="002F71BF">
        <w:rPr>
          <w:rFonts w:ascii="Times New Roman" w:eastAsia="Times New Roman" w:hAnsi="Times New Roman" w:cs="Times New Roman"/>
          <w:sz w:val="28"/>
          <w:szCs w:val="28"/>
        </w:rPr>
        <w:t>в социально опасном положении, а также обратившихся за оказанием социальной, психологической, право</w:t>
      </w:r>
      <w:r w:rsidR="00CB54AD">
        <w:rPr>
          <w:rFonts w:ascii="Times New Roman" w:eastAsia="Times New Roman" w:hAnsi="Times New Roman" w:cs="Times New Roman"/>
          <w:sz w:val="28"/>
          <w:szCs w:val="28"/>
        </w:rPr>
        <w:t xml:space="preserve">вой и иной помощи, проживающих </w:t>
      </w:r>
      <w:r w:rsidRPr="002F71BF">
        <w:rPr>
          <w:rFonts w:ascii="Times New Roman" w:eastAsia="Times New Roman" w:hAnsi="Times New Roman" w:cs="Times New Roman"/>
          <w:sz w:val="28"/>
          <w:szCs w:val="28"/>
        </w:rPr>
        <w:t>на территории Белгородской области.</w:t>
      </w:r>
    </w:p>
    <w:p w14:paraId="00D6B0A2" w14:textId="28AEB19A" w:rsidR="002F71BF" w:rsidRPr="002F71BF" w:rsidRDefault="002F71BF" w:rsidP="002F71BF">
      <w:pPr>
        <w:widowControl w:val="0"/>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Специальное программное обеспеч</w:t>
      </w:r>
      <w:r w:rsidR="00B5434D">
        <w:rPr>
          <w:rFonts w:ascii="Times New Roman" w:eastAsia="Times New Roman" w:hAnsi="Times New Roman" w:cs="Times New Roman"/>
          <w:sz w:val="28"/>
          <w:szCs w:val="28"/>
        </w:rPr>
        <w:t xml:space="preserve">ение приобретено и установлено </w:t>
      </w:r>
      <w:r w:rsidRPr="002F71BF">
        <w:rPr>
          <w:rFonts w:ascii="Times New Roman" w:eastAsia="Times New Roman" w:hAnsi="Times New Roman" w:cs="Times New Roman"/>
          <w:sz w:val="28"/>
          <w:szCs w:val="28"/>
        </w:rPr>
        <w:t>на рабочих местах ответственных сотрудников тер</w:t>
      </w:r>
      <w:r w:rsidR="00B5434D">
        <w:rPr>
          <w:rFonts w:ascii="Times New Roman" w:eastAsia="Times New Roman" w:hAnsi="Times New Roman" w:cs="Times New Roman"/>
          <w:sz w:val="28"/>
          <w:szCs w:val="28"/>
        </w:rPr>
        <w:t xml:space="preserve">риториальных комиссий </w:t>
      </w:r>
      <w:r w:rsidRPr="002F71BF">
        <w:rPr>
          <w:rFonts w:ascii="Times New Roman" w:eastAsia="Times New Roman" w:hAnsi="Times New Roman" w:cs="Times New Roman"/>
          <w:sz w:val="28"/>
          <w:szCs w:val="28"/>
        </w:rPr>
        <w:t>в 22 муниципальных районах и городских</w:t>
      </w:r>
      <w:r w:rsidR="00B5434D">
        <w:rPr>
          <w:rFonts w:ascii="Times New Roman" w:eastAsia="Times New Roman" w:hAnsi="Times New Roman" w:cs="Times New Roman"/>
          <w:sz w:val="28"/>
          <w:szCs w:val="28"/>
        </w:rPr>
        <w:t xml:space="preserve"> округах области (100% охват), </w:t>
      </w:r>
      <w:r w:rsidRPr="002F71BF">
        <w:rPr>
          <w:rFonts w:ascii="Times New Roman" w:eastAsia="Times New Roman" w:hAnsi="Times New Roman" w:cs="Times New Roman"/>
          <w:sz w:val="28"/>
          <w:szCs w:val="28"/>
        </w:rPr>
        <w:t xml:space="preserve">а также в региональных </w:t>
      </w:r>
      <w:r w:rsidR="00B5434D">
        <w:rPr>
          <w:rFonts w:ascii="Times New Roman" w:eastAsia="Times New Roman" w:hAnsi="Times New Roman" w:cs="Times New Roman"/>
          <w:sz w:val="28"/>
          <w:szCs w:val="28"/>
        </w:rPr>
        <w:t>Комиссиях по делам несовершеннолетних и защите их прав</w:t>
      </w:r>
      <w:r w:rsidRPr="002F71BF">
        <w:rPr>
          <w:rFonts w:ascii="Times New Roman" w:eastAsia="Times New Roman" w:hAnsi="Times New Roman" w:cs="Times New Roman"/>
          <w:sz w:val="28"/>
          <w:szCs w:val="28"/>
        </w:rPr>
        <w:t>, департаментах образования, социальной защиты населения и труда, УМВД России.</w:t>
      </w:r>
    </w:p>
    <w:p w14:paraId="4742F797" w14:textId="77777777" w:rsidR="002F71BF" w:rsidRPr="002F71BF" w:rsidRDefault="002F71BF" w:rsidP="002F71BF">
      <w:pPr>
        <w:widowControl w:val="0"/>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Благодаря системной работе субъектов профилактики Архангельской области и функционированию на протяжении более 10 лет Банка данных, за последние три года сократилось количество</w:t>
      </w:r>
      <w:r w:rsidR="00B5434D">
        <w:rPr>
          <w:rFonts w:ascii="Times New Roman" w:eastAsia="Times New Roman" w:hAnsi="Times New Roman" w:cs="Times New Roman"/>
          <w:sz w:val="28"/>
          <w:szCs w:val="28"/>
        </w:rPr>
        <w:t xml:space="preserve"> выявленных семей, находящихся </w:t>
      </w:r>
      <w:r w:rsidRPr="002F71BF">
        <w:rPr>
          <w:rFonts w:ascii="Times New Roman" w:eastAsia="Times New Roman" w:hAnsi="Times New Roman" w:cs="Times New Roman"/>
          <w:sz w:val="28"/>
          <w:szCs w:val="28"/>
        </w:rPr>
        <w:t xml:space="preserve">в социально опасном положении (2021 г. – 724; </w:t>
      </w:r>
      <w:r w:rsidR="00B5434D">
        <w:rPr>
          <w:rFonts w:ascii="Times New Roman" w:eastAsia="Times New Roman" w:hAnsi="Times New Roman" w:cs="Times New Roman"/>
          <w:sz w:val="28"/>
          <w:szCs w:val="28"/>
        </w:rPr>
        <w:t xml:space="preserve">2020 г. – 745; 2019 г. – 625), </w:t>
      </w:r>
      <w:r w:rsidRPr="002F71BF">
        <w:rPr>
          <w:rFonts w:ascii="Times New Roman" w:eastAsia="Times New Roman" w:hAnsi="Times New Roman" w:cs="Times New Roman"/>
          <w:sz w:val="28"/>
          <w:szCs w:val="28"/>
        </w:rPr>
        <w:t>и фактов жестокого обращения с детьми (2021 г. – 38; 2020 г. – 38; 2019 г. – 60).</w:t>
      </w:r>
    </w:p>
    <w:p w14:paraId="6F21334C" w14:textId="77777777" w:rsidR="002F71BF" w:rsidRPr="002F71BF" w:rsidRDefault="002F71BF" w:rsidP="002F71BF">
      <w:pPr>
        <w:spacing w:after="0" w:line="312" w:lineRule="auto"/>
        <w:ind w:firstLine="709"/>
        <w:jc w:val="both"/>
        <w:rPr>
          <w:rFonts w:ascii="Times New Roman" w:eastAsia="Arial Unicode MS" w:hAnsi="Times New Roman" w:cs="Times New Roman"/>
          <w:color w:val="000000"/>
          <w:sz w:val="28"/>
          <w:szCs w:val="28"/>
          <w:lang w:bidi="en-US"/>
        </w:rPr>
      </w:pPr>
      <w:r w:rsidRPr="002F71BF">
        <w:rPr>
          <w:rFonts w:ascii="Times New Roman" w:eastAsia="Arial Unicode MS" w:hAnsi="Times New Roman" w:cs="Times New Roman"/>
          <w:color w:val="000000"/>
          <w:sz w:val="28"/>
          <w:szCs w:val="28"/>
          <w:lang w:bidi="en-US"/>
        </w:rPr>
        <w:t xml:space="preserve">Наиболее эффективной формой реализации межведомственного взаимодействия </w:t>
      </w:r>
      <w:r w:rsidRPr="002F71BF">
        <w:rPr>
          <w:rFonts w:ascii="Times New Roman" w:hAnsi="Times New Roman" w:cs="Times New Roman"/>
          <w:sz w:val="28"/>
          <w:szCs w:val="28"/>
        </w:rPr>
        <w:t xml:space="preserve">в сфере защиты детей от насилия </w:t>
      </w:r>
      <w:r w:rsidRPr="002F71BF">
        <w:rPr>
          <w:rFonts w:ascii="Times New Roman" w:eastAsia="Arial Unicode MS" w:hAnsi="Times New Roman" w:cs="Times New Roman"/>
          <w:color w:val="000000"/>
          <w:sz w:val="28"/>
          <w:szCs w:val="28"/>
          <w:lang w:bidi="en-US"/>
        </w:rPr>
        <w:t>стало проведение совместных специализированных мероприятий.</w:t>
      </w:r>
    </w:p>
    <w:p w14:paraId="67B9CEF0" w14:textId="4036C087" w:rsidR="002F71BF" w:rsidRPr="002F71BF" w:rsidRDefault="002F71BF" w:rsidP="002F71BF">
      <w:pPr>
        <w:widowControl w:val="0"/>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Так, в период с 1 по 10 июня 2021 г</w:t>
      </w:r>
      <w:r w:rsidR="00E749D2">
        <w:rPr>
          <w:rFonts w:ascii="Times New Roman" w:eastAsia="Times New Roman" w:hAnsi="Times New Roman" w:cs="Times New Roman"/>
          <w:sz w:val="28"/>
          <w:szCs w:val="28"/>
        </w:rPr>
        <w:t>.</w:t>
      </w:r>
      <w:r w:rsidRPr="002F71BF">
        <w:rPr>
          <w:rFonts w:ascii="Times New Roman" w:eastAsia="Times New Roman" w:hAnsi="Times New Roman" w:cs="Times New Roman"/>
          <w:sz w:val="28"/>
          <w:szCs w:val="28"/>
        </w:rPr>
        <w:t xml:space="preserve"> на территории Российской Федерации МВД России во взаимодействии с субъектами системы профилактики</w:t>
      </w:r>
      <w:r w:rsidR="00B5434D">
        <w:rPr>
          <w:rFonts w:ascii="Times New Roman" w:eastAsia="Times New Roman" w:hAnsi="Times New Roman" w:cs="Times New Roman"/>
          <w:sz w:val="28"/>
          <w:szCs w:val="28"/>
        </w:rPr>
        <w:t xml:space="preserve"> безнадзорности и правонарушений несовершеннолетних</w:t>
      </w:r>
      <w:r w:rsidRPr="002F71BF">
        <w:rPr>
          <w:rFonts w:ascii="Times New Roman" w:eastAsia="Times New Roman" w:hAnsi="Times New Roman" w:cs="Times New Roman"/>
          <w:sz w:val="28"/>
          <w:szCs w:val="28"/>
        </w:rPr>
        <w:t>, региональными уполномоченными по правам ребенка в целях соблюдения прав и законных интересов н</w:t>
      </w:r>
      <w:r w:rsidR="00B5434D">
        <w:rPr>
          <w:rFonts w:ascii="Times New Roman" w:eastAsia="Times New Roman" w:hAnsi="Times New Roman" w:cs="Times New Roman"/>
          <w:sz w:val="28"/>
          <w:szCs w:val="28"/>
        </w:rPr>
        <w:t xml:space="preserve">есовершеннолетних, проживающих </w:t>
      </w:r>
      <w:r w:rsidRPr="002F71BF">
        <w:rPr>
          <w:rFonts w:ascii="Times New Roman" w:eastAsia="Times New Roman" w:hAnsi="Times New Roman" w:cs="Times New Roman"/>
          <w:sz w:val="28"/>
          <w:szCs w:val="28"/>
        </w:rPr>
        <w:t>в кровных и замещающих семьях, государственных учреждениях, организовано проведение федерального оперативно-профилактического мероприятия «Защита»</w:t>
      </w:r>
      <w:r w:rsidR="00C36EB2">
        <w:rPr>
          <w:rFonts w:ascii="Times New Roman" w:eastAsia="Times New Roman" w:hAnsi="Times New Roman" w:cs="Times New Roman"/>
          <w:sz w:val="28"/>
          <w:szCs w:val="28"/>
        </w:rPr>
        <w:t xml:space="preserve"> (распоряжение МВД России </w:t>
      </w:r>
      <w:r w:rsidR="00B5434D">
        <w:rPr>
          <w:rFonts w:ascii="Times New Roman" w:eastAsia="Times New Roman" w:hAnsi="Times New Roman" w:cs="Times New Roman"/>
          <w:sz w:val="28"/>
          <w:szCs w:val="28"/>
        </w:rPr>
        <w:t>от 28 апреля 2021 г. № 1/4489).</w:t>
      </w:r>
    </w:p>
    <w:p w14:paraId="5E44AF6B" w14:textId="77777777" w:rsidR="002F71BF" w:rsidRPr="002F71BF" w:rsidRDefault="002F71BF" w:rsidP="002F71BF">
      <w:pPr>
        <w:widowControl w:val="0"/>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В ходе мероприятия по месту жительства посещены 80,6 тыс. неблагополучных семей, состоящих на учете в подразделениях по делам несовершеннолетних органов внутренних дел, проверены 6,8 тыс. родителей ранее лишенных прав, а также 5 тыс. опекунов и попечителей.</w:t>
      </w:r>
    </w:p>
    <w:p w14:paraId="0C0A7ABC" w14:textId="77777777" w:rsidR="002F71BF" w:rsidRPr="002F71BF" w:rsidRDefault="002F71BF" w:rsidP="002F71BF">
      <w:pPr>
        <w:widowControl w:val="0"/>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С целью установления при</w:t>
      </w:r>
      <w:r w:rsidR="00B5434D">
        <w:rPr>
          <w:rFonts w:ascii="Times New Roman" w:eastAsia="Times New Roman" w:hAnsi="Times New Roman" w:cs="Times New Roman"/>
          <w:sz w:val="28"/>
          <w:szCs w:val="28"/>
        </w:rPr>
        <w:t xml:space="preserve">чин самовольных уходов из дома </w:t>
      </w:r>
      <w:r w:rsidRPr="002F71BF">
        <w:rPr>
          <w:rFonts w:ascii="Times New Roman" w:eastAsia="Times New Roman" w:hAnsi="Times New Roman" w:cs="Times New Roman"/>
          <w:sz w:val="28"/>
          <w:szCs w:val="28"/>
        </w:rPr>
        <w:t xml:space="preserve">и государственных учреждений, суицидальных попыток дополнительно обследованы условия воспитания 13,8 тыс. подростков, которые </w:t>
      </w:r>
      <w:r w:rsidR="00B5434D">
        <w:rPr>
          <w:rFonts w:ascii="Times New Roman" w:eastAsia="Times New Roman" w:hAnsi="Times New Roman" w:cs="Times New Roman"/>
          <w:sz w:val="28"/>
          <w:szCs w:val="28"/>
        </w:rPr>
        <w:t>ранее совершали такие поступки.</w:t>
      </w:r>
    </w:p>
    <w:p w14:paraId="09133021" w14:textId="0F84C347" w:rsidR="002F71BF" w:rsidRPr="002F71BF" w:rsidRDefault="002F71BF" w:rsidP="002F71BF">
      <w:pPr>
        <w:widowControl w:val="0"/>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По результатам обследований установлено 14,5 тыс. фактов ненадлежащего исполнения обязанностей по содержанию и воспитанию детей, на профилактический учет дополнительно поставлены 3,6 тыс. родителей, включая 262 опекун</w:t>
      </w:r>
      <w:r w:rsidR="00BB4BD7">
        <w:rPr>
          <w:rFonts w:ascii="Times New Roman" w:eastAsia="Times New Roman" w:hAnsi="Times New Roman" w:cs="Times New Roman"/>
          <w:sz w:val="28"/>
          <w:szCs w:val="28"/>
        </w:rPr>
        <w:t>ов</w:t>
      </w:r>
      <w:r w:rsidRPr="002F71BF">
        <w:rPr>
          <w:rFonts w:ascii="Times New Roman" w:eastAsia="Times New Roman" w:hAnsi="Times New Roman" w:cs="Times New Roman"/>
          <w:sz w:val="28"/>
          <w:szCs w:val="28"/>
        </w:rPr>
        <w:t>, ранее не поп</w:t>
      </w:r>
      <w:r w:rsidR="00B5434D">
        <w:rPr>
          <w:rFonts w:ascii="Times New Roman" w:eastAsia="Times New Roman" w:hAnsi="Times New Roman" w:cs="Times New Roman"/>
          <w:sz w:val="28"/>
          <w:szCs w:val="28"/>
        </w:rPr>
        <w:t xml:space="preserve">адавших в поле зрения полиции. </w:t>
      </w:r>
      <w:r w:rsidRPr="002F71BF">
        <w:rPr>
          <w:rFonts w:ascii="Times New Roman" w:eastAsia="Times New Roman" w:hAnsi="Times New Roman" w:cs="Times New Roman"/>
          <w:sz w:val="28"/>
          <w:szCs w:val="28"/>
        </w:rPr>
        <w:t>В отношении родителей (иных законных представителей), злостно уклоняющихся от исполнения обязанностей по уходу за детьми, территориального органами МВД России инициативно направлены в органы опеки 557 материалов для рассмотрения вопроса о лишении либо ограничении родительских прав, 166 – о снятии опе</w:t>
      </w:r>
      <w:r w:rsidR="006C7E0D">
        <w:rPr>
          <w:rFonts w:ascii="Times New Roman" w:eastAsia="Times New Roman" w:hAnsi="Times New Roman" w:cs="Times New Roman"/>
          <w:sz w:val="28"/>
          <w:szCs w:val="28"/>
        </w:rPr>
        <w:t>ки с недобросовестных опекунов.</w:t>
      </w:r>
    </w:p>
    <w:p w14:paraId="402A0D72" w14:textId="77777777" w:rsidR="002F71BF" w:rsidRPr="002F71BF" w:rsidRDefault="002F71BF" w:rsidP="002F71BF">
      <w:pPr>
        <w:widowControl w:val="0"/>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Выявлено 150 преступлений, соверше</w:t>
      </w:r>
      <w:r w:rsidR="006C7E0D">
        <w:rPr>
          <w:rFonts w:ascii="Times New Roman" w:eastAsia="Times New Roman" w:hAnsi="Times New Roman" w:cs="Times New Roman"/>
          <w:sz w:val="28"/>
          <w:szCs w:val="28"/>
        </w:rPr>
        <w:t xml:space="preserve">нных законными представителями </w:t>
      </w:r>
      <w:r w:rsidR="006C7E0D">
        <w:rPr>
          <w:rFonts w:ascii="Times New Roman" w:eastAsia="Times New Roman" w:hAnsi="Times New Roman" w:cs="Times New Roman"/>
          <w:sz w:val="28"/>
          <w:szCs w:val="28"/>
        </w:rPr>
        <w:br/>
      </w:r>
      <w:r w:rsidRPr="002F71BF">
        <w:rPr>
          <w:rFonts w:ascii="Times New Roman" w:eastAsia="Times New Roman" w:hAnsi="Times New Roman" w:cs="Times New Roman"/>
          <w:sz w:val="28"/>
          <w:szCs w:val="28"/>
        </w:rPr>
        <w:t>в отношении детей, возбуждено 90 уголовных дел по признакам преступлений, предусмотренных статьей 156 УК</w:t>
      </w:r>
      <w:r w:rsidR="006C7E0D">
        <w:rPr>
          <w:rFonts w:ascii="Times New Roman" w:eastAsia="Times New Roman" w:hAnsi="Times New Roman" w:cs="Times New Roman"/>
          <w:sz w:val="28"/>
          <w:szCs w:val="28"/>
        </w:rPr>
        <w:t xml:space="preserve"> РФ</w:t>
      </w:r>
      <w:r w:rsidRPr="002F71BF">
        <w:rPr>
          <w:rFonts w:ascii="Times New Roman" w:eastAsia="Times New Roman" w:hAnsi="Times New Roman" w:cs="Times New Roman"/>
          <w:sz w:val="28"/>
          <w:szCs w:val="28"/>
        </w:rPr>
        <w:t xml:space="preserve">, по действиям, связанным с жестоким обращением с несовершеннолетними, из них 34 – в отношении опекунов. </w:t>
      </w:r>
    </w:p>
    <w:p w14:paraId="2852B5BE" w14:textId="5EE38A49" w:rsidR="002F71BF" w:rsidRPr="002F71BF" w:rsidRDefault="002F71BF" w:rsidP="003A016B">
      <w:pPr>
        <w:widowControl w:val="0"/>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В ходе рейдовых мероприятий с</w:t>
      </w:r>
      <w:r w:rsidR="003A016B">
        <w:rPr>
          <w:rFonts w:ascii="Times New Roman" w:eastAsia="Times New Roman" w:hAnsi="Times New Roman" w:cs="Times New Roman"/>
          <w:sz w:val="28"/>
          <w:szCs w:val="28"/>
        </w:rPr>
        <w:t xml:space="preserve">отрудниками полиции обнаружено </w:t>
      </w:r>
      <w:r w:rsidRPr="002F71BF">
        <w:rPr>
          <w:rFonts w:ascii="Times New Roman" w:eastAsia="Times New Roman" w:hAnsi="Times New Roman" w:cs="Times New Roman"/>
          <w:sz w:val="28"/>
          <w:szCs w:val="28"/>
        </w:rPr>
        <w:t xml:space="preserve">1,6 тыс. безнадзорных детей. Приняты меры по их жизнеустройству, в том числе 1,2 тыс. помещены в учреждения социальной реабилитации. В субъекты системы профилактики </w:t>
      </w:r>
      <w:r w:rsidR="003A016B">
        <w:rPr>
          <w:rFonts w:ascii="Times New Roman" w:eastAsia="Times New Roman" w:hAnsi="Times New Roman" w:cs="Times New Roman"/>
          <w:sz w:val="28"/>
          <w:szCs w:val="28"/>
        </w:rPr>
        <w:t xml:space="preserve">безнадзорности и правонарушений несовершеннолетних </w:t>
      </w:r>
      <w:r w:rsidRPr="002F71BF">
        <w:rPr>
          <w:rFonts w:ascii="Times New Roman" w:eastAsia="Times New Roman" w:hAnsi="Times New Roman" w:cs="Times New Roman"/>
          <w:sz w:val="28"/>
          <w:szCs w:val="28"/>
        </w:rPr>
        <w:t>направлено 3,3 тыс. письменных информаций для оказания адр</w:t>
      </w:r>
      <w:r w:rsidR="003A016B">
        <w:rPr>
          <w:rFonts w:ascii="Times New Roman" w:eastAsia="Times New Roman" w:hAnsi="Times New Roman" w:cs="Times New Roman"/>
          <w:sz w:val="28"/>
          <w:szCs w:val="28"/>
        </w:rPr>
        <w:t xml:space="preserve">есной помощи детям и их семьям. </w:t>
      </w:r>
      <w:r w:rsidRPr="002F71BF">
        <w:rPr>
          <w:rFonts w:ascii="Times New Roman" w:eastAsia="Times New Roman" w:hAnsi="Times New Roman" w:cs="Times New Roman"/>
          <w:sz w:val="28"/>
          <w:szCs w:val="28"/>
        </w:rPr>
        <w:t>В связи с угрозой жизни из семей по э</w:t>
      </w:r>
      <w:r w:rsidR="003A016B">
        <w:rPr>
          <w:rFonts w:ascii="Times New Roman" w:eastAsia="Times New Roman" w:hAnsi="Times New Roman" w:cs="Times New Roman"/>
          <w:sz w:val="28"/>
          <w:szCs w:val="28"/>
        </w:rPr>
        <w:t xml:space="preserve">кстренным показаниям совместно </w:t>
      </w:r>
      <w:r w:rsidRPr="002F71BF">
        <w:rPr>
          <w:rFonts w:ascii="Times New Roman" w:eastAsia="Times New Roman" w:hAnsi="Times New Roman" w:cs="Times New Roman"/>
          <w:sz w:val="28"/>
          <w:szCs w:val="28"/>
        </w:rPr>
        <w:t xml:space="preserve">с органами опеки </w:t>
      </w:r>
      <w:r w:rsidR="003A016B">
        <w:rPr>
          <w:rFonts w:ascii="Times New Roman" w:eastAsia="Times New Roman" w:hAnsi="Times New Roman" w:cs="Times New Roman"/>
          <w:sz w:val="28"/>
          <w:szCs w:val="28"/>
        </w:rPr>
        <w:t xml:space="preserve">и попечительства в отношении несовершеннолетних граждан отобрано </w:t>
      </w:r>
      <w:r w:rsidR="00C36EB2">
        <w:rPr>
          <w:rFonts w:ascii="Times New Roman" w:eastAsia="Times New Roman" w:hAnsi="Times New Roman" w:cs="Times New Roman"/>
          <w:sz w:val="28"/>
          <w:szCs w:val="28"/>
        </w:rPr>
        <w:br/>
      </w:r>
      <w:r w:rsidR="003A016B">
        <w:rPr>
          <w:rFonts w:ascii="Times New Roman" w:eastAsia="Times New Roman" w:hAnsi="Times New Roman" w:cs="Times New Roman"/>
          <w:sz w:val="28"/>
          <w:szCs w:val="28"/>
        </w:rPr>
        <w:t>433 ребенка.</w:t>
      </w:r>
    </w:p>
    <w:p w14:paraId="08130003" w14:textId="77777777" w:rsidR="002F71BF" w:rsidRPr="002F71BF" w:rsidRDefault="002F71BF" w:rsidP="002F71BF">
      <w:pPr>
        <w:widowControl w:val="0"/>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Во взаимодействии с региональными уполномоченными по правам ребенка посещены 1,4 тыс. государственных учреждений для детей, оставшихся без попечения родителей, установлено 2 факт</w:t>
      </w:r>
      <w:r w:rsidR="003A016B">
        <w:rPr>
          <w:rFonts w:ascii="Times New Roman" w:eastAsia="Times New Roman" w:hAnsi="Times New Roman" w:cs="Times New Roman"/>
          <w:sz w:val="28"/>
          <w:szCs w:val="28"/>
        </w:rPr>
        <w:t xml:space="preserve">а нарушения прав воспитанников </w:t>
      </w:r>
      <w:r w:rsidRPr="002F71BF">
        <w:rPr>
          <w:rFonts w:ascii="Times New Roman" w:eastAsia="Times New Roman" w:hAnsi="Times New Roman" w:cs="Times New Roman"/>
          <w:sz w:val="28"/>
          <w:szCs w:val="28"/>
        </w:rPr>
        <w:t>в части применения физических форм наказания со стороны персонала.</w:t>
      </w:r>
    </w:p>
    <w:p w14:paraId="5BF4193A" w14:textId="77777777" w:rsidR="002F71BF" w:rsidRPr="002F71BF" w:rsidRDefault="003A016B" w:rsidP="002F71BF">
      <w:pPr>
        <w:spacing w:after="0" w:line="312"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мониторинга</w:t>
      </w:r>
      <w:r w:rsidR="002F71BF" w:rsidRPr="002F71BF">
        <w:rPr>
          <w:rFonts w:ascii="Times New Roman" w:eastAsia="Times New Roman" w:hAnsi="Times New Roman" w:cs="Times New Roman"/>
          <w:sz w:val="28"/>
          <w:szCs w:val="28"/>
        </w:rPr>
        <w:t xml:space="preserve"> сети «Интернет» уст</w:t>
      </w:r>
      <w:r>
        <w:rPr>
          <w:rFonts w:ascii="Times New Roman" w:eastAsia="Times New Roman" w:hAnsi="Times New Roman" w:cs="Times New Roman"/>
          <w:sz w:val="28"/>
          <w:szCs w:val="28"/>
        </w:rPr>
        <w:t xml:space="preserve">ановлено более 1,2 тыс. сайтов </w:t>
      </w:r>
      <w:r w:rsidR="002F71BF" w:rsidRPr="002F71BF">
        <w:rPr>
          <w:rFonts w:ascii="Times New Roman" w:eastAsia="Times New Roman" w:hAnsi="Times New Roman" w:cs="Times New Roman"/>
          <w:sz w:val="28"/>
          <w:szCs w:val="28"/>
        </w:rPr>
        <w:t xml:space="preserve">и страниц в социальных сетях, содержащих информацию, причиняющую вред здоровью или развитию детей. </w:t>
      </w:r>
      <w:r>
        <w:rPr>
          <w:rFonts w:ascii="Times New Roman" w:eastAsia="Times New Roman" w:hAnsi="Times New Roman" w:cs="Times New Roman"/>
          <w:sz w:val="28"/>
          <w:szCs w:val="28"/>
        </w:rPr>
        <w:t>По итогам мониторинга м</w:t>
      </w:r>
      <w:r w:rsidR="002F71BF" w:rsidRPr="002F71BF">
        <w:rPr>
          <w:rFonts w:ascii="Times New Roman" w:eastAsia="Times New Roman" w:hAnsi="Times New Roman" w:cs="Times New Roman"/>
          <w:sz w:val="28"/>
          <w:szCs w:val="28"/>
        </w:rPr>
        <w:t>атери</w:t>
      </w:r>
      <w:r>
        <w:rPr>
          <w:rFonts w:ascii="Times New Roman" w:eastAsia="Times New Roman" w:hAnsi="Times New Roman" w:cs="Times New Roman"/>
          <w:sz w:val="28"/>
          <w:szCs w:val="28"/>
        </w:rPr>
        <w:t xml:space="preserve">алы направлены в Роскомнадзор, </w:t>
      </w:r>
      <w:r w:rsidR="002F71BF" w:rsidRPr="002F71BF">
        <w:rPr>
          <w:rFonts w:ascii="Times New Roman" w:eastAsia="Times New Roman" w:hAnsi="Times New Roman" w:cs="Times New Roman"/>
          <w:sz w:val="28"/>
          <w:szCs w:val="28"/>
        </w:rPr>
        <w:t xml:space="preserve">275 вредоносных ресурсов заблокированы. </w:t>
      </w:r>
    </w:p>
    <w:p w14:paraId="3E78B15E" w14:textId="77777777" w:rsidR="002F71BF" w:rsidRPr="002F71BF" w:rsidRDefault="002F71BF" w:rsidP="002F71BF">
      <w:pPr>
        <w:widowControl w:val="0"/>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В Амурской области в целях предупреждения совершения преступлений в отношении несовершеннолетних, профилактики семейного неблагополучия, выявления родителей, не исполняющих св</w:t>
      </w:r>
      <w:r w:rsidR="003A016B">
        <w:rPr>
          <w:rFonts w:ascii="Times New Roman" w:eastAsia="Times New Roman" w:hAnsi="Times New Roman" w:cs="Times New Roman"/>
          <w:sz w:val="28"/>
          <w:szCs w:val="28"/>
        </w:rPr>
        <w:t xml:space="preserve">оих обязанностей по воспитанию </w:t>
      </w:r>
      <w:r w:rsidRPr="002F71BF">
        <w:rPr>
          <w:rFonts w:ascii="Times New Roman" w:eastAsia="Times New Roman" w:hAnsi="Times New Roman" w:cs="Times New Roman"/>
          <w:sz w:val="28"/>
          <w:szCs w:val="28"/>
        </w:rPr>
        <w:t>и содержанию детей, отрицательно влияющих на их поведение, либо жестоко обращающихся с ними, в ноябре 2021 г</w:t>
      </w:r>
      <w:r w:rsidR="00BB4BD7">
        <w:rPr>
          <w:rFonts w:ascii="Times New Roman" w:eastAsia="Times New Roman" w:hAnsi="Times New Roman" w:cs="Times New Roman"/>
          <w:sz w:val="28"/>
          <w:szCs w:val="28"/>
        </w:rPr>
        <w:t>.</w:t>
      </w:r>
      <w:r w:rsidRPr="002F71BF">
        <w:rPr>
          <w:rFonts w:ascii="Times New Roman" w:eastAsia="Times New Roman" w:hAnsi="Times New Roman" w:cs="Times New Roman"/>
          <w:sz w:val="28"/>
          <w:szCs w:val="28"/>
        </w:rPr>
        <w:t xml:space="preserve"> в детских учреждениях области организована целевая профилактическая операция «Нет насилию!», в рамках которой проведены анкетирование по выявлению фактов жестокого обращения в отношении несовершеннолетних, конкурс детских рисунков «Дети против жестокости», рейды, беседы, консультации с родителями «Как не стать жертвой преступления», «Насилие в семье: виды, формы, последствия», «Административная и уголовная ответственность за совершение противоправных деяний в отношении несовершеннолетних». </w:t>
      </w:r>
    </w:p>
    <w:p w14:paraId="3739412F" w14:textId="77777777" w:rsidR="002F71BF" w:rsidRPr="002F71BF" w:rsidRDefault="002F71BF" w:rsidP="002F71BF">
      <w:pPr>
        <w:widowControl w:val="0"/>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В ходе операции «Нет насилию!» состоялась акция «Синяя лента»</w:t>
      </w:r>
      <w:r w:rsidR="003A016B">
        <w:rPr>
          <w:rFonts w:ascii="Times New Roman" w:eastAsia="Times New Roman" w:hAnsi="Times New Roman" w:cs="Times New Roman"/>
          <w:sz w:val="28"/>
          <w:szCs w:val="28"/>
        </w:rPr>
        <w:t>, проводимая</w:t>
      </w:r>
      <w:r w:rsidRPr="002F71BF">
        <w:rPr>
          <w:rFonts w:ascii="Times New Roman" w:eastAsia="Times New Roman" w:hAnsi="Times New Roman" w:cs="Times New Roman"/>
          <w:sz w:val="28"/>
          <w:szCs w:val="28"/>
        </w:rPr>
        <w:t xml:space="preserve"> четвертый год </w:t>
      </w:r>
      <w:r w:rsidR="003A016B">
        <w:rPr>
          <w:rFonts w:ascii="Times New Roman" w:eastAsia="Times New Roman" w:hAnsi="Times New Roman" w:cs="Times New Roman"/>
          <w:sz w:val="28"/>
          <w:szCs w:val="28"/>
        </w:rPr>
        <w:t xml:space="preserve">подряд </w:t>
      </w:r>
      <w:r w:rsidRPr="002F71BF">
        <w:rPr>
          <w:rFonts w:ascii="Times New Roman" w:eastAsia="Times New Roman" w:hAnsi="Times New Roman" w:cs="Times New Roman"/>
          <w:sz w:val="28"/>
          <w:szCs w:val="28"/>
        </w:rPr>
        <w:t>и напомин</w:t>
      </w:r>
      <w:r w:rsidR="003A016B">
        <w:rPr>
          <w:rFonts w:ascii="Times New Roman" w:eastAsia="Times New Roman" w:hAnsi="Times New Roman" w:cs="Times New Roman"/>
          <w:sz w:val="28"/>
          <w:szCs w:val="28"/>
        </w:rPr>
        <w:t>ающая</w:t>
      </w:r>
      <w:r w:rsidRPr="002F71BF">
        <w:rPr>
          <w:rFonts w:ascii="Times New Roman" w:eastAsia="Times New Roman" w:hAnsi="Times New Roman" w:cs="Times New Roman"/>
          <w:sz w:val="28"/>
          <w:szCs w:val="28"/>
        </w:rPr>
        <w:t xml:space="preserve"> взрослым о том, что детей нужно защищать и оберегать от люб</w:t>
      </w:r>
      <w:r w:rsidR="003A016B">
        <w:rPr>
          <w:rFonts w:ascii="Times New Roman" w:eastAsia="Times New Roman" w:hAnsi="Times New Roman" w:cs="Times New Roman"/>
          <w:sz w:val="28"/>
          <w:szCs w:val="28"/>
        </w:rPr>
        <w:t xml:space="preserve">ого посягательства на их жизнь </w:t>
      </w:r>
      <w:r w:rsidRPr="002F71BF">
        <w:rPr>
          <w:rFonts w:ascii="Times New Roman" w:eastAsia="Times New Roman" w:hAnsi="Times New Roman" w:cs="Times New Roman"/>
          <w:sz w:val="28"/>
          <w:szCs w:val="28"/>
        </w:rPr>
        <w:t>и здоровье. В 2021 г</w:t>
      </w:r>
      <w:r w:rsidR="00BB4BD7">
        <w:rPr>
          <w:rFonts w:ascii="Times New Roman" w:eastAsia="Times New Roman" w:hAnsi="Times New Roman" w:cs="Times New Roman"/>
          <w:sz w:val="28"/>
          <w:szCs w:val="28"/>
        </w:rPr>
        <w:t>.</w:t>
      </w:r>
      <w:r w:rsidRPr="002F71BF">
        <w:rPr>
          <w:rFonts w:ascii="Times New Roman" w:eastAsia="Times New Roman" w:hAnsi="Times New Roman" w:cs="Times New Roman"/>
          <w:sz w:val="28"/>
          <w:szCs w:val="28"/>
        </w:rPr>
        <w:t xml:space="preserve"> ее участниками стали 864 человека, из них 426 детей. </w:t>
      </w:r>
    </w:p>
    <w:p w14:paraId="2A868057" w14:textId="5A3CF25A" w:rsidR="002F71BF" w:rsidRPr="002F71BF" w:rsidRDefault="002F71BF" w:rsidP="002F71BF">
      <w:pPr>
        <w:widowControl w:val="0"/>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Для привлечения внимания к проблеме насилия и жестокого обращен</w:t>
      </w:r>
      <w:r w:rsidR="003A016B">
        <w:rPr>
          <w:rFonts w:ascii="Times New Roman" w:eastAsia="Times New Roman" w:hAnsi="Times New Roman" w:cs="Times New Roman"/>
          <w:sz w:val="28"/>
          <w:szCs w:val="28"/>
        </w:rPr>
        <w:t xml:space="preserve">ия </w:t>
      </w:r>
      <w:r w:rsidRPr="002F71BF">
        <w:rPr>
          <w:rFonts w:ascii="Times New Roman" w:eastAsia="Times New Roman" w:hAnsi="Times New Roman" w:cs="Times New Roman"/>
          <w:sz w:val="28"/>
          <w:szCs w:val="28"/>
        </w:rPr>
        <w:t>в отношении детей и подростков, поиска новых форм профилактической деятельности, вовлечения детей, подростков</w:t>
      </w:r>
      <w:r w:rsidR="003A016B">
        <w:rPr>
          <w:rFonts w:ascii="Times New Roman" w:eastAsia="Times New Roman" w:hAnsi="Times New Roman" w:cs="Times New Roman"/>
          <w:sz w:val="28"/>
          <w:szCs w:val="28"/>
        </w:rPr>
        <w:t xml:space="preserve"> и родительской общественности </w:t>
      </w:r>
      <w:r w:rsidRPr="002F71BF">
        <w:rPr>
          <w:rFonts w:ascii="Times New Roman" w:eastAsia="Times New Roman" w:hAnsi="Times New Roman" w:cs="Times New Roman"/>
          <w:sz w:val="28"/>
          <w:szCs w:val="28"/>
        </w:rPr>
        <w:t xml:space="preserve">в мероприятия по защите прав </w:t>
      </w:r>
      <w:r w:rsidR="003A016B">
        <w:rPr>
          <w:rFonts w:ascii="Times New Roman" w:eastAsia="Times New Roman" w:hAnsi="Times New Roman" w:cs="Times New Roman"/>
          <w:sz w:val="28"/>
          <w:szCs w:val="28"/>
        </w:rPr>
        <w:t xml:space="preserve">и интересов несовершеннолетних </w:t>
      </w:r>
      <w:r w:rsidRPr="002F71BF">
        <w:rPr>
          <w:rFonts w:ascii="Times New Roman" w:eastAsia="Times New Roman" w:hAnsi="Times New Roman" w:cs="Times New Roman"/>
          <w:sz w:val="28"/>
          <w:szCs w:val="28"/>
        </w:rPr>
        <w:t>в Воронежской области проведены ставшие ежегодными областные акции «Защитим детство от насилия!», «Россия – без жестокости к детям!».</w:t>
      </w:r>
    </w:p>
    <w:p w14:paraId="04F66266" w14:textId="77777777" w:rsidR="002F71BF" w:rsidRPr="002F71BF" w:rsidRDefault="002F71BF" w:rsidP="002F71BF">
      <w:pPr>
        <w:widowControl w:val="0"/>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В рамках акций организованы мероприятия, направленные на повышение уровня ответственного родительства, пр</w:t>
      </w:r>
      <w:r w:rsidR="006E1AF7">
        <w:rPr>
          <w:rFonts w:ascii="Times New Roman" w:eastAsia="Times New Roman" w:hAnsi="Times New Roman" w:cs="Times New Roman"/>
          <w:sz w:val="28"/>
          <w:szCs w:val="28"/>
        </w:rPr>
        <w:t xml:space="preserve">офилактику жестокого обращения </w:t>
      </w:r>
      <w:r w:rsidRPr="002F71BF">
        <w:rPr>
          <w:rFonts w:ascii="Times New Roman" w:eastAsia="Times New Roman" w:hAnsi="Times New Roman" w:cs="Times New Roman"/>
          <w:sz w:val="28"/>
          <w:szCs w:val="28"/>
        </w:rPr>
        <w:t xml:space="preserve">и насилия в отношении детей, информирование детей, родителей, педагогических работников и других граждан о деятельности службы экстренной психологической помощи </w:t>
      </w:r>
      <w:r w:rsidR="006E1AF7">
        <w:rPr>
          <w:rFonts w:ascii="Times New Roman" w:eastAsia="Times New Roman" w:hAnsi="Times New Roman" w:cs="Times New Roman"/>
          <w:sz w:val="28"/>
          <w:szCs w:val="28"/>
        </w:rPr>
        <w:t>д</w:t>
      </w:r>
      <w:r w:rsidRPr="002F71BF">
        <w:rPr>
          <w:rFonts w:ascii="Times New Roman" w:eastAsia="Times New Roman" w:hAnsi="Times New Roman" w:cs="Times New Roman"/>
          <w:sz w:val="28"/>
          <w:szCs w:val="28"/>
        </w:rPr>
        <w:t>етского телефона доверия.</w:t>
      </w:r>
    </w:p>
    <w:p w14:paraId="7B299FE5" w14:textId="77777777" w:rsidR="002F71BF" w:rsidRPr="002F71BF" w:rsidRDefault="002F71BF" w:rsidP="002F71BF">
      <w:pPr>
        <w:widowControl w:val="0"/>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В целях содействия успешному семейному воспитанию детей, формирования ответственного отношения граждан к семейным и родител</w:t>
      </w:r>
      <w:r w:rsidR="006E1AF7">
        <w:rPr>
          <w:rFonts w:ascii="Times New Roman" w:eastAsia="Times New Roman" w:hAnsi="Times New Roman" w:cs="Times New Roman"/>
          <w:sz w:val="28"/>
          <w:szCs w:val="28"/>
        </w:rPr>
        <w:t>ьским обязанностям проведены он</w:t>
      </w:r>
      <w:r w:rsidRPr="002F71BF">
        <w:rPr>
          <w:rFonts w:ascii="Times New Roman" w:eastAsia="Times New Roman" w:hAnsi="Times New Roman" w:cs="Times New Roman"/>
          <w:sz w:val="28"/>
          <w:szCs w:val="28"/>
        </w:rPr>
        <w:t xml:space="preserve">лайн мероприятия для родителей (законных представителей) Воронежской области, подготовлены видеоролики в рамках проекта «Онлайн студия «Территория детства», </w:t>
      </w:r>
      <w:proofErr w:type="spellStart"/>
      <w:r w:rsidRPr="002F71BF">
        <w:rPr>
          <w:rFonts w:ascii="Times New Roman" w:eastAsia="Times New Roman" w:hAnsi="Times New Roman" w:cs="Times New Roman"/>
          <w:sz w:val="28"/>
          <w:szCs w:val="28"/>
        </w:rPr>
        <w:t>вебинары</w:t>
      </w:r>
      <w:proofErr w:type="spellEnd"/>
      <w:r w:rsidRPr="002F71BF">
        <w:rPr>
          <w:rFonts w:ascii="Times New Roman" w:eastAsia="Times New Roman" w:hAnsi="Times New Roman" w:cs="Times New Roman"/>
          <w:sz w:val="28"/>
          <w:szCs w:val="28"/>
        </w:rPr>
        <w:t xml:space="preserve"> из цикла «Родительская перезагрузка #на диване». Охват составил около 1 тыс. просмотров.</w:t>
      </w:r>
    </w:p>
    <w:p w14:paraId="06E800EB" w14:textId="77777777" w:rsidR="002F71BF" w:rsidRPr="002F71BF" w:rsidRDefault="002F71BF" w:rsidP="002F71BF">
      <w:pPr>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В соответствии с межведомственным комплексным планом мероприятий по профилактике безнадзорности, беспризорности, наркомании, токсикомании, алкоголизма, правонарушений и суицидов несовершеннолетних, защите их прав Ивановской области в 2021 г</w:t>
      </w:r>
      <w:r w:rsidR="00BB4BD7">
        <w:rPr>
          <w:rFonts w:ascii="Times New Roman" w:eastAsia="Times New Roman" w:hAnsi="Times New Roman" w:cs="Times New Roman"/>
          <w:sz w:val="28"/>
          <w:szCs w:val="28"/>
        </w:rPr>
        <w:t>.</w:t>
      </w:r>
      <w:r w:rsidRPr="002F71BF">
        <w:rPr>
          <w:rFonts w:ascii="Times New Roman" w:eastAsia="Times New Roman" w:hAnsi="Times New Roman" w:cs="Times New Roman"/>
          <w:sz w:val="28"/>
          <w:szCs w:val="28"/>
        </w:rPr>
        <w:t xml:space="preserve"> состоялась областная операция «В семье без насилия», направленная на профилактику семейного неблагополучия, травматизма детей, предупреждение преступности в отношении несовершеннолетних и защиту их</w:t>
      </w:r>
      <w:r w:rsidR="00704EC9">
        <w:rPr>
          <w:rFonts w:ascii="Times New Roman" w:eastAsia="Times New Roman" w:hAnsi="Times New Roman" w:cs="Times New Roman"/>
          <w:sz w:val="28"/>
          <w:szCs w:val="28"/>
        </w:rPr>
        <w:t xml:space="preserve"> прав, в которой </w:t>
      </w:r>
      <w:r w:rsidR="006E1AF7">
        <w:rPr>
          <w:rFonts w:ascii="Times New Roman" w:eastAsia="Times New Roman" w:hAnsi="Times New Roman" w:cs="Times New Roman"/>
          <w:sz w:val="28"/>
          <w:szCs w:val="28"/>
        </w:rPr>
        <w:t xml:space="preserve">были </w:t>
      </w:r>
      <w:r w:rsidR="00704EC9">
        <w:rPr>
          <w:rFonts w:ascii="Times New Roman" w:eastAsia="Times New Roman" w:hAnsi="Times New Roman" w:cs="Times New Roman"/>
          <w:sz w:val="28"/>
          <w:szCs w:val="28"/>
        </w:rPr>
        <w:t xml:space="preserve">задействованы </w:t>
      </w:r>
      <w:r w:rsidRPr="002F71BF">
        <w:rPr>
          <w:rFonts w:ascii="Times New Roman" w:eastAsia="Times New Roman" w:hAnsi="Times New Roman" w:cs="Times New Roman"/>
          <w:sz w:val="28"/>
          <w:szCs w:val="28"/>
        </w:rPr>
        <w:t>751 несовершеннолетний и 471 родитель.</w:t>
      </w:r>
    </w:p>
    <w:p w14:paraId="0D77DA11" w14:textId="77777777" w:rsidR="002F71BF" w:rsidRPr="002F71BF" w:rsidRDefault="002F71BF" w:rsidP="002F71BF">
      <w:pPr>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 xml:space="preserve">Для своевременного принятия мер реагирования по фактам неблагополучной обстановки в семьях, имеющих детей в возрасте до 18 лет, нарушения их прав и законных интересов в ряде субъектов Российской Федерации нарабатывается опыт взаимодействия органов внутренних дел с </w:t>
      </w:r>
      <w:r w:rsidR="006E1AF7">
        <w:rPr>
          <w:rFonts w:ascii="Times New Roman" w:eastAsia="Times New Roman" w:hAnsi="Times New Roman" w:cs="Times New Roman"/>
          <w:sz w:val="28"/>
          <w:szCs w:val="28"/>
        </w:rPr>
        <w:t>комиссиями по делам несовершеннолетних и защите их п</w:t>
      </w:r>
      <w:r w:rsidR="00F65E61">
        <w:rPr>
          <w:rFonts w:ascii="Times New Roman" w:eastAsia="Times New Roman" w:hAnsi="Times New Roman" w:cs="Times New Roman"/>
          <w:sz w:val="28"/>
          <w:szCs w:val="28"/>
        </w:rPr>
        <w:t>рав</w:t>
      </w:r>
      <w:r w:rsidRPr="002F71BF">
        <w:rPr>
          <w:rFonts w:ascii="Times New Roman" w:eastAsia="Times New Roman" w:hAnsi="Times New Roman" w:cs="Times New Roman"/>
          <w:sz w:val="28"/>
          <w:szCs w:val="28"/>
        </w:rPr>
        <w:t>, 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14:paraId="49F57579" w14:textId="77777777" w:rsidR="002F71BF" w:rsidRPr="002F71BF" w:rsidRDefault="002F71BF" w:rsidP="002F71BF">
      <w:pPr>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 xml:space="preserve">Так, при поддержке Фонда </w:t>
      </w:r>
      <w:r w:rsidR="00C81E67">
        <w:rPr>
          <w:rFonts w:ascii="Times New Roman" w:hAnsi="Times New Roman" w:cs="Times New Roman"/>
          <w:sz w:val="28"/>
          <w:szCs w:val="28"/>
        </w:rPr>
        <w:t>поддержки детей</w:t>
      </w:r>
      <w:r w:rsidR="00C81E67" w:rsidRPr="002F71BF">
        <w:rPr>
          <w:rFonts w:ascii="Times New Roman" w:eastAsia="Times New Roman" w:hAnsi="Times New Roman" w:cs="Times New Roman"/>
          <w:sz w:val="28"/>
          <w:szCs w:val="28"/>
        </w:rPr>
        <w:t xml:space="preserve"> </w:t>
      </w:r>
      <w:r w:rsidRPr="002F71BF">
        <w:rPr>
          <w:rFonts w:ascii="Times New Roman" w:eastAsia="Times New Roman" w:hAnsi="Times New Roman" w:cs="Times New Roman"/>
          <w:sz w:val="28"/>
          <w:szCs w:val="28"/>
        </w:rPr>
        <w:t xml:space="preserve">в </w:t>
      </w:r>
      <w:r w:rsidR="006669DA">
        <w:rPr>
          <w:rFonts w:ascii="Times New Roman" w:eastAsia="Times New Roman" w:hAnsi="Times New Roman" w:cs="Times New Roman"/>
          <w:sz w:val="28"/>
          <w:szCs w:val="28"/>
        </w:rPr>
        <w:t>11</w:t>
      </w:r>
      <w:r w:rsidRPr="002F71BF">
        <w:rPr>
          <w:rFonts w:ascii="Times New Roman" w:eastAsia="Times New Roman" w:hAnsi="Times New Roman" w:cs="Times New Roman"/>
          <w:sz w:val="28"/>
          <w:szCs w:val="28"/>
        </w:rPr>
        <w:t xml:space="preserve"> регионах (Республик</w:t>
      </w:r>
      <w:r w:rsidR="006669DA">
        <w:rPr>
          <w:rFonts w:ascii="Times New Roman" w:eastAsia="Times New Roman" w:hAnsi="Times New Roman" w:cs="Times New Roman"/>
          <w:sz w:val="28"/>
          <w:szCs w:val="28"/>
        </w:rPr>
        <w:t>и</w:t>
      </w:r>
      <w:r w:rsidRPr="002F71BF">
        <w:rPr>
          <w:rFonts w:ascii="Times New Roman" w:eastAsia="Times New Roman" w:hAnsi="Times New Roman" w:cs="Times New Roman"/>
          <w:sz w:val="28"/>
          <w:szCs w:val="28"/>
        </w:rPr>
        <w:t xml:space="preserve"> </w:t>
      </w:r>
      <w:r w:rsidR="006669DA">
        <w:rPr>
          <w:rFonts w:ascii="Times New Roman" w:eastAsia="Times New Roman" w:hAnsi="Times New Roman" w:cs="Times New Roman"/>
          <w:sz w:val="28"/>
          <w:szCs w:val="28"/>
        </w:rPr>
        <w:t xml:space="preserve">Башкортостан, </w:t>
      </w:r>
      <w:r w:rsidRPr="002F71BF">
        <w:rPr>
          <w:rFonts w:ascii="Times New Roman" w:eastAsia="Times New Roman" w:hAnsi="Times New Roman" w:cs="Times New Roman"/>
          <w:sz w:val="28"/>
          <w:szCs w:val="28"/>
        </w:rPr>
        <w:t xml:space="preserve">Татарстан, </w:t>
      </w:r>
      <w:r w:rsidR="006669DA">
        <w:rPr>
          <w:rFonts w:ascii="Times New Roman" w:eastAsia="Times New Roman" w:hAnsi="Times New Roman" w:cs="Times New Roman"/>
          <w:sz w:val="28"/>
          <w:szCs w:val="28"/>
        </w:rPr>
        <w:t xml:space="preserve">Чувашская Республика, </w:t>
      </w:r>
      <w:r w:rsidRPr="002F71BF">
        <w:rPr>
          <w:rFonts w:ascii="Times New Roman" w:eastAsia="Times New Roman" w:hAnsi="Times New Roman" w:cs="Times New Roman"/>
          <w:sz w:val="28"/>
          <w:szCs w:val="28"/>
        </w:rPr>
        <w:t xml:space="preserve">Алтайский край, </w:t>
      </w:r>
      <w:r w:rsidR="006669DA">
        <w:rPr>
          <w:rFonts w:ascii="Times New Roman" w:eastAsia="Times New Roman" w:hAnsi="Times New Roman" w:cs="Times New Roman"/>
          <w:sz w:val="28"/>
          <w:szCs w:val="28"/>
        </w:rPr>
        <w:t>Амурская, Иркутская, Кировская, Новосибирская,</w:t>
      </w:r>
      <w:r w:rsidR="006E1AF7" w:rsidRPr="002F71BF">
        <w:rPr>
          <w:rFonts w:ascii="Times New Roman" w:eastAsia="Times New Roman" w:hAnsi="Times New Roman" w:cs="Times New Roman"/>
          <w:sz w:val="28"/>
          <w:szCs w:val="28"/>
        </w:rPr>
        <w:t xml:space="preserve"> </w:t>
      </w:r>
      <w:r w:rsidRPr="002F71BF">
        <w:rPr>
          <w:rFonts w:ascii="Times New Roman" w:eastAsia="Times New Roman" w:hAnsi="Times New Roman" w:cs="Times New Roman"/>
          <w:sz w:val="28"/>
          <w:szCs w:val="28"/>
        </w:rPr>
        <w:t xml:space="preserve">Орловская, </w:t>
      </w:r>
      <w:r w:rsidR="006669DA">
        <w:rPr>
          <w:rFonts w:ascii="Times New Roman" w:eastAsia="Times New Roman" w:hAnsi="Times New Roman" w:cs="Times New Roman"/>
          <w:sz w:val="28"/>
          <w:szCs w:val="28"/>
        </w:rPr>
        <w:t xml:space="preserve">Тюменская и </w:t>
      </w:r>
      <w:r w:rsidRPr="002F71BF">
        <w:rPr>
          <w:rFonts w:ascii="Times New Roman" w:eastAsia="Times New Roman" w:hAnsi="Times New Roman" w:cs="Times New Roman"/>
          <w:sz w:val="28"/>
          <w:szCs w:val="28"/>
        </w:rPr>
        <w:t>Ульяновская</w:t>
      </w:r>
      <w:r w:rsidR="006E1AF7">
        <w:rPr>
          <w:rFonts w:ascii="Times New Roman" w:eastAsia="Times New Roman" w:hAnsi="Times New Roman" w:cs="Times New Roman"/>
          <w:sz w:val="28"/>
          <w:szCs w:val="28"/>
        </w:rPr>
        <w:t xml:space="preserve"> </w:t>
      </w:r>
      <w:r w:rsidRPr="002F71BF">
        <w:rPr>
          <w:rFonts w:ascii="Times New Roman" w:eastAsia="Times New Roman" w:hAnsi="Times New Roman" w:cs="Times New Roman"/>
          <w:sz w:val="28"/>
          <w:szCs w:val="28"/>
        </w:rPr>
        <w:t>области) в 2021 г</w:t>
      </w:r>
      <w:r w:rsidR="00A1106C">
        <w:rPr>
          <w:rFonts w:ascii="Times New Roman" w:eastAsia="Times New Roman" w:hAnsi="Times New Roman" w:cs="Times New Roman"/>
          <w:sz w:val="28"/>
          <w:szCs w:val="28"/>
        </w:rPr>
        <w:t>.</w:t>
      </w:r>
      <w:r w:rsidRPr="002F71BF">
        <w:rPr>
          <w:rFonts w:ascii="Times New Roman" w:eastAsia="Times New Roman" w:hAnsi="Times New Roman" w:cs="Times New Roman"/>
          <w:sz w:val="28"/>
          <w:szCs w:val="28"/>
        </w:rPr>
        <w:t xml:space="preserve"> реализованы проекты по тематическому направлению «Профилактика отка</w:t>
      </w:r>
      <w:r w:rsidR="00704EC9">
        <w:rPr>
          <w:rFonts w:ascii="Times New Roman" w:eastAsia="Times New Roman" w:hAnsi="Times New Roman" w:cs="Times New Roman"/>
          <w:sz w:val="28"/>
          <w:szCs w:val="28"/>
        </w:rPr>
        <w:t xml:space="preserve">зов </w:t>
      </w:r>
      <w:r w:rsidRPr="002F71BF">
        <w:rPr>
          <w:rFonts w:ascii="Times New Roman" w:eastAsia="Times New Roman" w:hAnsi="Times New Roman" w:cs="Times New Roman"/>
          <w:sz w:val="28"/>
          <w:szCs w:val="28"/>
        </w:rPr>
        <w:t>от новорожденных детей», которыми предусматривалось создание служб экстренного реагирования (выездных мобильных бригад), что позволило оперативно оказывать экстренную психологическую и социально-правовую помощь женщинам с новорожденными детьми, находящимся в социально опасном положении или иной трудной жиз</w:t>
      </w:r>
      <w:r w:rsidR="00704EC9">
        <w:rPr>
          <w:rFonts w:ascii="Times New Roman" w:eastAsia="Times New Roman" w:hAnsi="Times New Roman" w:cs="Times New Roman"/>
          <w:sz w:val="28"/>
          <w:szCs w:val="28"/>
        </w:rPr>
        <w:t xml:space="preserve">ненной ситуации, сомневающихся </w:t>
      </w:r>
      <w:r w:rsidRPr="002F71BF">
        <w:rPr>
          <w:rFonts w:ascii="Times New Roman" w:eastAsia="Times New Roman" w:hAnsi="Times New Roman" w:cs="Times New Roman"/>
          <w:sz w:val="28"/>
          <w:szCs w:val="28"/>
        </w:rPr>
        <w:t>в необходимости рождения ребенка и</w:t>
      </w:r>
      <w:r w:rsidR="00704EC9">
        <w:rPr>
          <w:rFonts w:ascii="Times New Roman" w:eastAsia="Times New Roman" w:hAnsi="Times New Roman" w:cs="Times New Roman"/>
          <w:sz w:val="28"/>
          <w:szCs w:val="28"/>
        </w:rPr>
        <w:t xml:space="preserve">ли принятия рожденного ребенка </w:t>
      </w:r>
      <w:r w:rsidRPr="002F71BF">
        <w:rPr>
          <w:rFonts w:ascii="Times New Roman" w:eastAsia="Times New Roman" w:hAnsi="Times New Roman" w:cs="Times New Roman"/>
          <w:sz w:val="28"/>
          <w:szCs w:val="28"/>
        </w:rPr>
        <w:t>из медицинской организации (имеющим намерения отказаться от ребенка).</w:t>
      </w:r>
    </w:p>
    <w:p w14:paraId="68A87EBE" w14:textId="77777777" w:rsidR="002F71BF" w:rsidRPr="002F71BF" w:rsidRDefault="002F71BF" w:rsidP="002F71BF">
      <w:pPr>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В Республике Алтай, Красноярском, Приморском, Хабаровском краях, Астраханской, Владимирской, Липецкой, Томской, Тюменской областях, применялись технологии создания мобильных социальных служб «Мобильная лаборатория», «Социальный автобус», «Мобильный экспресс», «Игровой автобус – доступная помощь семье и детям», «Мобильная бригада», «Скорая социальная служба», нацеленных на обеспечение доступности социальных услуг в отдаленных населенных пунктах со</w:t>
      </w:r>
      <w:r w:rsidR="006E1AF7">
        <w:rPr>
          <w:rFonts w:ascii="Times New Roman" w:eastAsia="Times New Roman" w:hAnsi="Times New Roman" w:cs="Times New Roman"/>
          <w:sz w:val="28"/>
          <w:szCs w:val="28"/>
        </w:rPr>
        <w:t xml:space="preserve"> слаборазвитой инфраструктурой </w:t>
      </w:r>
      <w:r w:rsidRPr="002F71BF">
        <w:rPr>
          <w:rFonts w:ascii="Times New Roman" w:eastAsia="Times New Roman" w:hAnsi="Times New Roman" w:cs="Times New Roman"/>
          <w:sz w:val="28"/>
          <w:szCs w:val="28"/>
        </w:rPr>
        <w:t xml:space="preserve">и транспортным обеспечением, служба сопровождения семей, страдающих алкогольной зависимостью. </w:t>
      </w:r>
    </w:p>
    <w:p w14:paraId="23132C6C" w14:textId="77777777" w:rsidR="002F71BF" w:rsidRPr="002F71BF" w:rsidRDefault="002F71BF" w:rsidP="002F71BF">
      <w:pPr>
        <w:widowControl w:val="0"/>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 xml:space="preserve">Например, в Республике Коми функционирует межведомственная служба «Скорая социальная помощь», которая позволяет оперативно решать вопросы, возникающие при выявлении семей на ранних стадиях неблагополучия, и осуществлять комплексный подход к оказанию семье помощи по выходу ее из трудной жизненной ситуации. </w:t>
      </w:r>
    </w:p>
    <w:p w14:paraId="319BE634" w14:textId="77777777" w:rsidR="002F71BF" w:rsidRPr="002F71BF" w:rsidRDefault="002F71BF" w:rsidP="002F71BF">
      <w:pPr>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 xml:space="preserve">В Ханты-Мансийском автономном округе – Югре в круглосуточном режиме организована работа межведомственной мобильной службы «Экстренная детская помощь», представляющей собой межотраслевую команду в составе специалистов </w:t>
      </w:r>
      <w:r w:rsidR="006E1AF7">
        <w:rPr>
          <w:rFonts w:ascii="Times New Roman" w:eastAsia="Times New Roman" w:hAnsi="Times New Roman" w:cs="Times New Roman"/>
          <w:sz w:val="28"/>
          <w:szCs w:val="28"/>
        </w:rPr>
        <w:t>комиссии по делам несовершеннолетних и защите их прав</w:t>
      </w:r>
      <w:r w:rsidRPr="002F71BF">
        <w:rPr>
          <w:rFonts w:ascii="Times New Roman" w:eastAsia="Times New Roman" w:hAnsi="Times New Roman" w:cs="Times New Roman"/>
          <w:sz w:val="28"/>
          <w:szCs w:val="28"/>
        </w:rPr>
        <w:t>, органов опеки и попечительства, учреждений социальной защиты и здравоохранения, органов внутренних дел. В 2021 г</w:t>
      </w:r>
      <w:r w:rsidR="00A1106C">
        <w:rPr>
          <w:rFonts w:ascii="Times New Roman" w:eastAsia="Times New Roman" w:hAnsi="Times New Roman" w:cs="Times New Roman"/>
          <w:sz w:val="28"/>
          <w:szCs w:val="28"/>
        </w:rPr>
        <w:t>.</w:t>
      </w:r>
      <w:r w:rsidRPr="002F71BF">
        <w:rPr>
          <w:rFonts w:ascii="Times New Roman" w:eastAsia="Times New Roman" w:hAnsi="Times New Roman" w:cs="Times New Roman"/>
          <w:sz w:val="28"/>
          <w:szCs w:val="28"/>
        </w:rPr>
        <w:t xml:space="preserve"> осуществлено 1 917 выездов, выявлено </w:t>
      </w:r>
      <w:r w:rsidR="00A1106C">
        <w:rPr>
          <w:rFonts w:ascii="Times New Roman" w:eastAsia="Times New Roman" w:hAnsi="Times New Roman" w:cs="Times New Roman"/>
          <w:sz w:val="28"/>
          <w:szCs w:val="28"/>
        </w:rPr>
        <w:br/>
      </w:r>
      <w:r w:rsidRPr="002F71BF">
        <w:rPr>
          <w:rFonts w:ascii="Times New Roman" w:eastAsia="Times New Roman" w:hAnsi="Times New Roman" w:cs="Times New Roman"/>
          <w:sz w:val="28"/>
          <w:szCs w:val="28"/>
        </w:rPr>
        <w:t>189 несовершеннолетних, находящихся в социально опасном положении.</w:t>
      </w:r>
    </w:p>
    <w:p w14:paraId="44DB30DB" w14:textId="77777777" w:rsidR="002F71BF" w:rsidRPr="002F71BF" w:rsidRDefault="002F71BF" w:rsidP="006E1AF7">
      <w:pPr>
        <w:widowControl w:val="0"/>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В Астраханской области продолжено развитие мобильных бригад «Здоровая семья», которыми обследовано 6 439 д</w:t>
      </w:r>
      <w:r w:rsidR="006E1AF7">
        <w:rPr>
          <w:rFonts w:ascii="Times New Roman" w:eastAsia="Times New Roman" w:hAnsi="Times New Roman" w:cs="Times New Roman"/>
          <w:sz w:val="28"/>
          <w:szCs w:val="28"/>
        </w:rPr>
        <w:t xml:space="preserve">етей и 3 403 родителя. </w:t>
      </w:r>
      <w:r w:rsidRPr="002F71BF">
        <w:rPr>
          <w:rFonts w:ascii="Times New Roman" w:eastAsia="Times New Roman" w:hAnsi="Times New Roman" w:cs="Times New Roman"/>
          <w:sz w:val="28"/>
          <w:szCs w:val="28"/>
        </w:rPr>
        <w:t>В Чувашской Республике созданными межведомственными мобильными службами и бригадами экстренного реагирования в 2021 г</w:t>
      </w:r>
      <w:r w:rsidR="00A1106C">
        <w:rPr>
          <w:rFonts w:ascii="Times New Roman" w:eastAsia="Times New Roman" w:hAnsi="Times New Roman" w:cs="Times New Roman"/>
          <w:sz w:val="28"/>
          <w:szCs w:val="28"/>
        </w:rPr>
        <w:t>.</w:t>
      </w:r>
      <w:r w:rsidRPr="002F71BF">
        <w:rPr>
          <w:rFonts w:ascii="Times New Roman" w:eastAsia="Times New Roman" w:hAnsi="Times New Roman" w:cs="Times New Roman"/>
          <w:sz w:val="28"/>
          <w:szCs w:val="28"/>
        </w:rPr>
        <w:t xml:space="preserve"> экстренная помощь оказана 11 013 семьям.</w:t>
      </w:r>
    </w:p>
    <w:p w14:paraId="27EE24D7" w14:textId="77777777" w:rsidR="002F71BF" w:rsidRPr="002F71BF" w:rsidRDefault="002F71BF" w:rsidP="002F71BF">
      <w:pPr>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Благодаря принимаемым мерам удалось достичь положительных результатов по оздоровлению внутрисемейных отношений, исключению фактов асоциального поведения родителей, а также налаживанию детско-родительских отношений.</w:t>
      </w:r>
    </w:p>
    <w:p w14:paraId="7608196E" w14:textId="77777777" w:rsidR="002F71BF" w:rsidRPr="002F71BF" w:rsidRDefault="002F71BF" w:rsidP="002F71BF">
      <w:pPr>
        <w:widowControl w:val="0"/>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В Красноярском</w:t>
      </w:r>
      <w:r w:rsidR="006E1AF7">
        <w:rPr>
          <w:rFonts w:ascii="Times New Roman" w:eastAsia="Times New Roman" w:hAnsi="Times New Roman" w:cs="Times New Roman"/>
          <w:sz w:val="28"/>
          <w:szCs w:val="28"/>
        </w:rPr>
        <w:t xml:space="preserve"> крае в 2021 г</w:t>
      </w:r>
      <w:r w:rsidR="00A1106C">
        <w:rPr>
          <w:rFonts w:ascii="Times New Roman" w:eastAsia="Times New Roman" w:hAnsi="Times New Roman" w:cs="Times New Roman"/>
          <w:sz w:val="28"/>
          <w:szCs w:val="28"/>
        </w:rPr>
        <w:t>.</w:t>
      </w:r>
      <w:r w:rsidR="006E1AF7">
        <w:rPr>
          <w:rFonts w:ascii="Times New Roman" w:eastAsia="Times New Roman" w:hAnsi="Times New Roman" w:cs="Times New Roman"/>
          <w:sz w:val="28"/>
          <w:szCs w:val="28"/>
        </w:rPr>
        <w:t xml:space="preserve"> государственны</w:t>
      </w:r>
      <w:r w:rsidRPr="002F71BF">
        <w:rPr>
          <w:rFonts w:ascii="Times New Roman" w:eastAsia="Times New Roman" w:hAnsi="Times New Roman" w:cs="Times New Roman"/>
          <w:sz w:val="28"/>
          <w:szCs w:val="28"/>
        </w:rPr>
        <w:t>м бюджетн</w:t>
      </w:r>
      <w:r w:rsidR="006E1AF7">
        <w:rPr>
          <w:rFonts w:ascii="Times New Roman" w:eastAsia="Times New Roman" w:hAnsi="Times New Roman" w:cs="Times New Roman"/>
          <w:sz w:val="28"/>
          <w:szCs w:val="28"/>
        </w:rPr>
        <w:t>ы</w:t>
      </w:r>
      <w:r w:rsidRPr="002F71BF">
        <w:rPr>
          <w:rFonts w:ascii="Times New Roman" w:eastAsia="Times New Roman" w:hAnsi="Times New Roman" w:cs="Times New Roman"/>
          <w:sz w:val="28"/>
          <w:szCs w:val="28"/>
        </w:rPr>
        <w:t>м учреждени</w:t>
      </w:r>
      <w:r w:rsidR="006E1AF7">
        <w:rPr>
          <w:rFonts w:ascii="Times New Roman" w:eastAsia="Times New Roman" w:hAnsi="Times New Roman" w:cs="Times New Roman"/>
          <w:sz w:val="28"/>
          <w:szCs w:val="28"/>
        </w:rPr>
        <w:t>ем</w:t>
      </w:r>
      <w:r w:rsidRPr="002F71BF">
        <w:rPr>
          <w:rFonts w:ascii="Times New Roman" w:eastAsia="Times New Roman" w:hAnsi="Times New Roman" w:cs="Times New Roman"/>
          <w:sz w:val="28"/>
          <w:szCs w:val="28"/>
        </w:rPr>
        <w:t xml:space="preserve"> социальной защиты «Краевой центр семьи и детей» проведена подготовительная работа по открытию службы «Семейная диспетчерская», нацеленной на оказание адресной комплексной помощи семьям и детям, оказавшимся в трудной жизненной ситуации</w:t>
      </w:r>
      <w:r w:rsidR="00704EC9">
        <w:rPr>
          <w:rFonts w:ascii="Times New Roman" w:eastAsia="Times New Roman" w:hAnsi="Times New Roman" w:cs="Times New Roman"/>
          <w:sz w:val="28"/>
          <w:szCs w:val="28"/>
        </w:rPr>
        <w:t xml:space="preserve">, социально опасном положении, </w:t>
      </w:r>
      <w:r w:rsidRPr="002F71BF">
        <w:rPr>
          <w:rFonts w:ascii="Times New Roman" w:eastAsia="Times New Roman" w:hAnsi="Times New Roman" w:cs="Times New Roman"/>
          <w:sz w:val="28"/>
          <w:szCs w:val="28"/>
        </w:rPr>
        <w:t xml:space="preserve">и профилактику семейного неблагополучия на ранней стадии по принципу «единого окна». В частности, определены направления ее деятельности, выделена единица автотранспорта для осуществления выездов бригады экстренного реагирования, приобретена дополнительная оргтехника для оснащения выездной бригады. В настоящее время разрабатываются нормативные акты, регламентирующие работу службы «Семейная диспетчерская» (приказы, регламенты, должностные инструкции). Запуск проекта </w:t>
      </w:r>
      <w:r w:rsidR="006E1AF7">
        <w:rPr>
          <w:rFonts w:ascii="Times New Roman" w:eastAsia="Times New Roman" w:hAnsi="Times New Roman" w:cs="Times New Roman"/>
          <w:sz w:val="28"/>
          <w:szCs w:val="28"/>
        </w:rPr>
        <w:t>запланирован</w:t>
      </w:r>
      <w:r w:rsidRPr="002F71BF">
        <w:rPr>
          <w:rFonts w:ascii="Times New Roman" w:eastAsia="Times New Roman" w:hAnsi="Times New Roman" w:cs="Times New Roman"/>
          <w:sz w:val="28"/>
          <w:szCs w:val="28"/>
        </w:rPr>
        <w:t xml:space="preserve"> </w:t>
      </w:r>
      <w:r w:rsidR="006E1AF7">
        <w:rPr>
          <w:rFonts w:ascii="Times New Roman" w:eastAsia="Times New Roman" w:hAnsi="Times New Roman" w:cs="Times New Roman"/>
          <w:sz w:val="28"/>
          <w:szCs w:val="28"/>
        </w:rPr>
        <w:t>на</w:t>
      </w:r>
      <w:r w:rsidRPr="002F71BF">
        <w:rPr>
          <w:rFonts w:ascii="Times New Roman" w:eastAsia="Times New Roman" w:hAnsi="Times New Roman" w:cs="Times New Roman"/>
          <w:sz w:val="28"/>
          <w:szCs w:val="28"/>
        </w:rPr>
        <w:t xml:space="preserve"> июн</w:t>
      </w:r>
      <w:r w:rsidR="006E1AF7">
        <w:rPr>
          <w:rFonts w:ascii="Times New Roman" w:eastAsia="Times New Roman" w:hAnsi="Times New Roman" w:cs="Times New Roman"/>
          <w:sz w:val="28"/>
          <w:szCs w:val="28"/>
        </w:rPr>
        <w:t>ь</w:t>
      </w:r>
      <w:r w:rsidRPr="002F71BF">
        <w:rPr>
          <w:rFonts w:ascii="Times New Roman" w:eastAsia="Times New Roman" w:hAnsi="Times New Roman" w:cs="Times New Roman"/>
          <w:sz w:val="28"/>
          <w:szCs w:val="28"/>
        </w:rPr>
        <w:t xml:space="preserve"> 2022 г.</w:t>
      </w:r>
    </w:p>
    <w:p w14:paraId="2FC47C2F" w14:textId="77777777" w:rsidR="002F71BF" w:rsidRPr="002F71BF" w:rsidRDefault="002F71BF" w:rsidP="002F71BF">
      <w:pPr>
        <w:widowControl w:val="0"/>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Важным вектором деятельности в сфере профилактики семейного неблагополучия и жестокого обращения с детьми является оказание помощи жертвам семейно-бытового насилия.</w:t>
      </w:r>
    </w:p>
    <w:p w14:paraId="1FDCEE38" w14:textId="77777777" w:rsidR="002F71BF" w:rsidRPr="002F71BF" w:rsidRDefault="002F71BF" w:rsidP="002F71BF">
      <w:pPr>
        <w:widowControl w:val="0"/>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 xml:space="preserve">Например, в Республике Башкортостан функционируют 3 отделения помощи женщинам, имеющим детей, оказавшимся в кризисной ситуации, ставших жертвами семейно-бытового насилия, являющиеся структурными подразделениями центров «Семья», подведомственных региональному Министерству семьи, труда </w:t>
      </w:r>
      <w:r w:rsidR="00704EC9">
        <w:rPr>
          <w:rFonts w:ascii="Times New Roman" w:eastAsia="Times New Roman" w:hAnsi="Times New Roman" w:cs="Times New Roman"/>
          <w:sz w:val="28"/>
          <w:szCs w:val="28"/>
        </w:rPr>
        <w:t xml:space="preserve">и социальной защиты населения, </w:t>
      </w:r>
      <w:r w:rsidRPr="002F71BF">
        <w:rPr>
          <w:rFonts w:ascii="Times New Roman" w:eastAsia="Times New Roman" w:hAnsi="Times New Roman" w:cs="Times New Roman"/>
          <w:sz w:val="28"/>
          <w:szCs w:val="28"/>
        </w:rPr>
        <w:t xml:space="preserve">и социальная гостиная автономной некоммерческой организации «Общество помощи детям «Возможность». </w:t>
      </w:r>
    </w:p>
    <w:p w14:paraId="79AB9755" w14:textId="77777777" w:rsidR="002F71BF" w:rsidRPr="002F71BF" w:rsidRDefault="002F71BF" w:rsidP="002F71BF">
      <w:pPr>
        <w:widowControl w:val="0"/>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 xml:space="preserve">Для женщин, проживающих в отделении, составляются индивидуальные программы реабилитации по направлениям: </w:t>
      </w:r>
    </w:p>
    <w:p w14:paraId="46D99289" w14:textId="77777777" w:rsidR="002F71BF" w:rsidRPr="002F71BF" w:rsidRDefault="002F71BF" w:rsidP="002F71BF">
      <w:pPr>
        <w:widowControl w:val="0"/>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 xml:space="preserve">социальная работа (защита от насилия, поддержание социального функционирования, социальное развитие); </w:t>
      </w:r>
    </w:p>
    <w:p w14:paraId="23D778F3" w14:textId="77777777" w:rsidR="002F71BF" w:rsidRPr="002F71BF" w:rsidRDefault="002F71BF" w:rsidP="002F71BF">
      <w:pPr>
        <w:widowControl w:val="0"/>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 xml:space="preserve">медицинская помощь (медицинское обследование женщин и детей, постановка на учет в женскую консультацию, организация необходимого стационарного лечения и его сопровождение); </w:t>
      </w:r>
    </w:p>
    <w:p w14:paraId="1C47BA54" w14:textId="77777777" w:rsidR="002F71BF" w:rsidRPr="002F71BF" w:rsidRDefault="002F71BF" w:rsidP="002F71BF">
      <w:pPr>
        <w:widowControl w:val="0"/>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 xml:space="preserve">психологическая помощь (консультирование, диагностика психоэмоционального состояния женщин и детей, реабилитация жертв насилия, семейная медиация, передача необходимых материалов в суд, улучшение внутрисемейных, в том числе детско-родительских отношений); </w:t>
      </w:r>
    </w:p>
    <w:p w14:paraId="06C3D6E6" w14:textId="77777777" w:rsidR="002F71BF" w:rsidRPr="002F71BF" w:rsidRDefault="002F71BF" w:rsidP="002F71BF">
      <w:pPr>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юридическая помощь (оформление мер социальной поддержки, взыскание алиментов, получение</w:t>
      </w:r>
      <w:r w:rsidR="00883E01">
        <w:rPr>
          <w:rFonts w:ascii="Times New Roman" w:eastAsia="Times New Roman" w:hAnsi="Times New Roman" w:cs="Times New Roman"/>
          <w:sz w:val="28"/>
          <w:szCs w:val="28"/>
        </w:rPr>
        <w:t xml:space="preserve"> материнского капитала, помощь </w:t>
      </w:r>
      <w:r w:rsidRPr="002F71BF">
        <w:rPr>
          <w:rFonts w:ascii="Times New Roman" w:eastAsia="Times New Roman" w:hAnsi="Times New Roman" w:cs="Times New Roman"/>
          <w:sz w:val="28"/>
          <w:szCs w:val="28"/>
        </w:rPr>
        <w:t xml:space="preserve">в оформлении гражданства, поиск родственников в других регионах); </w:t>
      </w:r>
    </w:p>
    <w:p w14:paraId="2217F9BE" w14:textId="77777777" w:rsidR="002F71BF" w:rsidRPr="002F71BF" w:rsidRDefault="002F71BF" w:rsidP="002F71BF">
      <w:pPr>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 xml:space="preserve">содействие в устройстве детей в дошкольные и общеобразовательные организации; </w:t>
      </w:r>
    </w:p>
    <w:p w14:paraId="0CD4ACBE" w14:textId="77777777" w:rsidR="002F71BF" w:rsidRPr="002F71BF" w:rsidRDefault="002F71BF" w:rsidP="002F71BF">
      <w:pPr>
        <w:widowControl w:val="0"/>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 xml:space="preserve">содействие в трудоустройстве (помощь в поиске вакансий, постановка на учет в центр занятости, содействие в получении дополнительного образования посредством квот центра занятости, обучение финансовой грамотности); </w:t>
      </w:r>
    </w:p>
    <w:p w14:paraId="55F3A9C6" w14:textId="77777777" w:rsidR="002F71BF" w:rsidRPr="002F71BF" w:rsidRDefault="002F71BF" w:rsidP="002F71BF">
      <w:pPr>
        <w:widowControl w:val="0"/>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 xml:space="preserve">организация обучения и повышения квалификации женщин; </w:t>
      </w:r>
    </w:p>
    <w:p w14:paraId="7FC4E5F8" w14:textId="77777777" w:rsidR="002F71BF" w:rsidRPr="002F71BF" w:rsidRDefault="002F71BF" w:rsidP="002F71BF">
      <w:pPr>
        <w:widowControl w:val="0"/>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организация лечения, комплексного к</w:t>
      </w:r>
      <w:r w:rsidR="00883E01">
        <w:rPr>
          <w:rFonts w:ascii="Times New Roman" w:eastAsia="Times New Roman" w:hAnsi="Times New Roman" w:cs="Times New Roman"/>
          <w:sz w:val="28"/>
          <w:szCs w:val="28"/>
        </w:rPr>
        <w:t xml:space="preserve">онтроля и сопровождения женщин </w:t>
      </w:r>
      <w:r w:rsidRPr="002F71BF">
        <w:rPr>
          <w:rFonts w:ascii="Times New Roman" w:eastAsia="Times New Roman" w:hAnsi="Times New Roman" w:cs="Times New Roman"/>
          <w:sz w:val="28"/>
          <w:szCs w:val="28"/>
        </w:rPr>
        <w:t>с алкогольной, наркотической зависимостями.</w:t>
      </w:r>
    </w:p>
    <w:p w14:paraId="3FB76184" w14:textId="77777777" w:rsidR="002F71BF" w:rsidRPr="002F71BF" w:rsidRDefault="002F71BF" w:rsidP="002F71BF">
      <w:pPr>
        <w:widowControl w:val="0"/>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По завершению программных мероприятий, по желанию женщины, социальное сопровождение в отношении ее семьи продолжается специалистами службы</w:t>
      </w:r>
      <w:r w:rsidR="006E1AF7">
        <w:rPr>
          <w:rFonts w:ascii="Times New Roman" w:eastAsia="Times New Roman" w:hAnsi="Times New Roman" w:cs="Times New Roman"/>
          <w:sz w:val="28"/>
          <w:szCs w:val="28"/>
        </w:rPr>
        <w:t xml:space="preserve"> семьи по месту ее жительства.</w:t>
      </w:r>
    </w:p>
    <w:p w14:paraId="7924D9B2" w14:textId="77777777" w:rsidR="002F71BF" w:rsidRPr="002F71BF" w:rsidRDefault="002F71BF" w:rsidP="002F71BF">
      <w:pPr>
        <w:widowControl w:val="0"/>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Участницы программы, преодолевшие кризис и получив</w:t>
      </w:r>
      <w:r w:rsidR="006E1AF7">
        <w:rPr>
          <w:rFonts w:ascii="Times New Roman" w:eastAsia="Times New Roman" w:hAnsi="Times New Roman" w:cs="Times New Roman"/>
          <w:sz w:val="28"/>
          <w:szCs w:val="28"/>
        </w:rPr>
        <w:t xml:space="preserve">шие помощь </w:t>
      </w:r>
      <w:r w:rsidRPr="002F71BF">
        <w:rPr>
          <w:rFonts w:ascii="Times New Roman" w:eastAsia="Times New Roman" w:hAnsi="Times New Roman" w:cs="Times New Roman"/>
          <w:sz w:val="28"/>
          <w:szCs w:val="28"/>
        </w:rPr>
        <w:t xml:space="preserve">в отделениях, формируют дополнительный волонтерский ресурс для оказания помощи тем, кто нуждается в помощи. </w:t>
      </w:r>
    </w:p>
    <w:p w14:paraId="15C06C37" w14:textId="77777777" w:rsidR="002F71BF" w:rsidRPr="002F71BF" w:rsidRDefault="002F71BF" w:rsidP="002F71BF">
      <w:pPr>
        <w:widowControl w:val="0"/>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Всего в государственные кризисны</w:t>
      </w:r>
      <w:r w:rsidR="006E1AF7">
        <w:rPr>
          <w:rFonts w:ascii="Times New Roman" w:eastAsia="Times New Roman" w:hAnsi="Times New Roman" w:cs="Times New Roman"/>
          <w:sz w:val="28"/>
          <w:szCs w:val="28"/>
        </w:rPr>
        <w:t xml:space="preserve">е центры республики обратилось </w:t>
      </w:r>
      <w:r w:rsidR="00434825">
        <w:rPr>
          <w:rFonts w:ascii="Times New Roman" w:eastAsia="Times New Roman" w:hAnsi="Times New Roman" w:cs="Times New Roman"/>
          <w:sz w:val="28"/>
          <w:szCs w:val="28"/>
        </w:rPr>
        <w:br/>
      </w:r>
      <w:r w:rsidRPr="002F71BF">
        <w:rPr>
          <w:rFonts w:ascii="Times New Roman" w:eastAsia="Times New Roman" w:hAnsi="Times New Roman" w:cs="Times New Roman"/>
          <w:sz w:val="28"/>
          <w:szCs w:val="28"/>
        </w:rPr>
        <w:t>206 женщин, в негосударственный сектор (АНО «Общество помощи детям «Возможность») – 15, консультирование</w:t>
      </w:r>
      <w:r w:rsidR="006E1AF7">
        <w:rPr>
          <w:rFonts w:ascii="Times New Roman" w:eastAsia="Times New Roman" w:hAnsi="Times New Roman" w:cs="Times New Roman"/>
          <w:sz w:val="28"/>
          <w:szCs w:val="28"/>
        </w:rPr>
        <w:t xml:space="preserve"> и помощь по телефону получило </w:t>
      </w:r>
      <w:r w:rsidR="00434825">
        <w:rPr>
          <w:rFonts w:ascii="Times New Roman" w:eastAsia="Times New Roman" w:hAnsi="Times New Roman" w:cs="Times New Roman"/>
          <w:sz w:val="28"/>
          <w:szCs w:val="28"/>
        </w:rPr>
        <w:br/>
      </w:r>
      <w:r w:rsidRPr="002F71BF">
        <w:rPr>
          <w:rFonts w:ascii="Times New Roman" w:eastAsia="Times New Roman" w:hAnsi="Times New Roman" w:cs="Times New Roman"/>
          <w:sz w:val="28"/>
          <w:szCs w:val="28"/>
        </w:rPr>
        <w:t>268 женщин.</w:t>
      </w:r>
    </w:p>
    <w:p w14:paraId="120438D9" w14:textId="77777777" w:rsidR="002F71BF" w:rsidRPr="002F71BF" w:rsidRDefault="002F71BF" w:rsidP="002F71BF">
      <w:pPr>
        <w:widowControl w:val="0"/>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В Челябинской области для ок</w:t>
      </w:r>
      <w:r w:rsidR="006E1AF7">
        <w:rPr>
          <w:rFonts w:ascii="Times New Roman" w:eastAsia="Times New Roman" w:hAnsi="Times New Roman" w:cs="Times New Roman"/>
          <w:sz w:val="28"/>
          <w:szCs w:val="28"/>
        </w:rPr>
        <w:t xml:space="preserve">азания помощи семьям, попавшим </w:t>
      </w:r>
      <w:r w:rsidRPr="002F71BF">
        <w:rPr>
          <w:rFonts w:ascii="Times New Roman" w:eastAsia="Times New Roman" w:hAnsi="Times New Roman" w:cs="Times New Roman"/>
          <w:sz w:val="28"/>
          <w:szCs w:val="28"/>
        </w:rPr>
        <w:t>в сложную жизненную ситуацию, функционирует муниципальное учреждение социального обслуживания «Кризисный центр». В целях предоставления временного убежища женщинам с детьми,</w:t>
      </w:r>
      <w:r w:rsidR="006E1AF7">
        <w:rPr>
          <w:rFonts w:ascii="Times New Roman" w:eastAsia="Times New Roman" w:hAnsi="Times New Roman" w:cs="Times New Roman"/>
          <w:sz w:val="28"/>
          <w:szCs w:val="28"/>
        </w:rPr>
        <w:t xml:space="preserve"> подвергшимся насилию в семье, </w:t>
      </w:r>
      <w:r w:rsidRPr="002F71BF">
        <w:rPr>
          <w:rFonts w:ascii="Times New Roman" w:eastAsia="Times New Roman" w:hAnsi="Times New Roman" w:cs="Times New Roman"/>
          <w:sz w:val="28"/>
          <w:szCs w:val="28"/>
        </w:rPr>
        <w:t>на базе учреждения создана «кризисная кварт</w:t>
      </w:r>
      <w:r w:rsidR="006E1AF7">
        <w:rPr>
          <w:rFonts w:ascii="Times New Roman" w:eastAsia="Times New Roman" w:hAnsi="Times New Roman" w:cs="Times New Roman"/>
          <w:sz w:val="28"/>
          <w:szCs w:val="28"/>
        </w:rPr>
        <w:t>ира». В 2021 г</w:t>
      </w:r>
      <w:r w:rsidR="007B2B0E">
        <w:rPr>
          <w:rFonts w:ascii="Times New Roman" w:eastAsia="Times New Roman" w:hAnsi="Times New Roman" w:cs="Times New Roman"/>
          <w:sz w:val="28"/>
          <w:szCs w:val="28"/>
        </w:rPr>
        <w:t>.</w:t>
      </w:r>
      <w:r w:rsidR="006E1AF7">
        <w:rPr>
          <w:rFonts w:ascii="Times New Roman" w:eastAsia="Times New Roman" w:hAnsi="Times New Roman" w:cs="Times New Roman"/>
          <w:sz w:val="28"/>
          <w:szCs w:val="28"/>
        </w:rPr>
        <w:t xml:space="preserve"> реабилитацию </w:t>
      </w:r>
      <w:r w:rsidRPr="002F71BF">
        <w:rPr>
          <w:rFonts w:ascii="Times New Roman" w:eastAsia="Times New Roman" w:hAnsi="Times New Roman" w:cs="Times New Roman"/>
          <w:sz w:val="28"/>
          <w:szCs w:val="28"/>
        </w:rPr>
        <w:t xml:space="preserve">в условиях «кризисной квартиры» прошли </w:t>
      </w:r>
      <w:r w:rsidR="006E1AF7">
        <w:rPr>
          <w:rFonts w:ascii="Times New Roman" w:eastAsia="Times New Roman" w:hAnsi="Times New Roman" w:cs="Times New Roman"/>
          <w:sz w:val="28"/>
          <w:szCs w:val="28"/>
        </w:rPr>
        <w:t xml:space="preserve">116 человек, из них 43 женщины </w:t>
      </w:r>
      <w:r w:rsidRPr="002F71BF">
        <w:rPr>
          <w:rFonts w:ascii="Times New Roman" w:eastAsia="Times New Roman" w:hAnsi="Times New Roman" w:cs="Times New Roman"/>
          <w:sz w:val="28"/>
          <w:szCs w:val="28"/>
        </w:rPr>
        <w:t>и 73 ребенка.</w:t>
      </w:r>
    </w:p>
    <w:p w14:paraId="47059F85" w14:textId="77777777" w:rsidR="002F71BF" w:rsidRPr="002F71BF" w:rsidRDefault="002F71BF" w:rsidP="002F71BF">
      <w:pPr>
        <w:widowControl w:val="0"/>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14:paraId="3DC57E1E" w14:textId="77777777" w:rsidR="002F71BF" w:rsidRPr="002F71BF" w:rsidRDefault="002F71BF" w:rsidP="002F71BF">
      <w:pPr>
        <w:spacing w:after="0" w:line="312" w:lineRule="auto"/>
        <w:ind w:firstLine="709"/>
        <w:jc w:val="both"/>
        <w:rPr>
          <w:rFonts w:ascii="Times New Roman" w:hAnsi="Times New Roman" w:cs="Times New Roman"/>
          <w:sz w:val="28"/>
          <w:szCs w:val="28"/>
        </w:rPr>
      </w:pPr>
      <w:r w:rsidRPr="002F71BF">
        <w:rPr>
          <w:rFonts w:ascii="Times New Roman" w:hAnsi="Times New Roman" w:cs="Times New Roman"/>
          <w:sz w:val="28"/>
          <w:szCs w:val="28"/>
        </w:rPr>
        <w:t>Например, в Курской области в рамках муниципальной программы «Социальная поддержка граждан го</w:t>
      </w:r>
      <w:r w:rsidR="006E1AF7">
        <w:rPr>
          <w:rFonts w:ascii="Times New Roman" w:hAnsi="Times New Roman" w:cs="Times New Roman"/>
          <w:sz w:val="28"/>
          <w:szCs w:val="28"/>
        </w:rPr>
        <w:t>рода Курска» на 2019</w:t>
      </w:r>
      <w:r w:rsidR="007B2B0E">
        <w:rPr>
          <w:rFonts w:ascii="Times New Roman" w:hAnsi="Times New Roman" w:cs="Times New Roman"/>
          <w:sz w:val="28"/>
          <w:szCs w:val="28"/>
        </w:rPr>
        <w:t>-</w:t>
      </w:r>
      <w:r w:rsidR="006E1AF7">
        <w:rPr>
          <w:rFonts w:ascii="Times New Roman" w:hAnsi="Times New Roman" w:cs="Times New Roman"/>
          <w:sz w:val="28"/>
          <w:szCs w:val="28"/>
        </w:rPr>
        <w:t>2024 г</w:t>
      </w:r>
      <w:r w:rsidR="007B2B0E">
        <w:rPr>
          <w:rFonts w:ascii="Times New Roman" w:hAnsi="Times New Roman" w:cs="Times New Roman"/>
          <w:sz w:val="28"/>
          <w:szCs w:val="28"/>
        </w:rPr>
        <w:t>г.</w:t>
      </w:r>
      <w:r w:rsidR="006E1AF7">
        <w:rPr>
          <w:rFonts w:ascii="Times New Roman" w:hAnsi="Times New Roman" w:cs="Times New Roman"/>
          <w:sz w:val="28"/>
          <w:szCs w:val="28"/>
        </w:rPr>
        <w:t xml:space="preserve"> </w:t>
      </w:r>
      <w:r w:rsidRPr="002F71BF">
        <w:rPr>
          <w:rFonts w:ascii="Times New Roman" w:hAnsi="Times New Roman" w:cs="Times New Roman"/>
          <w:sz w:val="28"/>
          <w:szCs w:val="28"/>
        </w:rPr>
        <w:t>в 2021 г</w:t>
      </w:r>
      <w:r w:rsidR="007B2B0E">
        <w:rPr>
          <w:rFonts w:ascii="Times New Roman" w:hAnsi="Times New Roman" w:cs="Times New Roman"/>
          <w:sz w:val="28"/>
          <w:szCs w:val="28"/>
        </w:rPr>
        <w:t>.</w:t>
      </w:r>
      <w:r w:rsidRPr="002F71BF">
        <w:rPr>
          <w:rFonts w:ascii="Times New Roman" w:hAnsi="Times New Roman" w:cs="Times New Roman"/>
          <w:sz w:val="28"/>
          <w:szCs w:val="28"/>
        </w:rPr>
        <w:t xml:space="preserve"> лечение от </w:t>
      </w:r>
      <w:proofErr w:type="spellStart"/>
      <w:r w:rsidRPr="002F71BF">
        <w:rPr>
          <w:rFonts w:ascii="Times New Roman" w:hAnsi="Times New Roman" w:cs="Times New Roman"/>
          <w:sz w:val="28"/>
          <w:szCs w:val="28"/>
        </w:rPr>
        <w:t>алко</w:t>
      </w:r>
      <w:proofErr w:type="spellEnd"/>
      <w:r w:rsidRPr="002F71BF">
        <w:rPr>
          <w:rFonts w:ascii="Times New Roman" w:hAnsi="Times New Roman" w:cs="Times New Roman"/>
          <w:sz w:val="28"/>
          <w:szCs w:val="28"/>
        </w:rPr>
        <w:t xml:space="preserve">- и наркозависимости прошли 234 человека и курс социальной </w:t>
      </w:r>
      <w:r w:rsidR="007B2B0E">
        <w:rPr>
          <w:rFonts w:ascii="Times New Roman" w:hAnsi="Times New Roman" w:cs="Times New Roman"/>
          <w:sz w:val="28"/>
          <w:szCs w:val="28"/>
        </w:rPr>
        <w:br/>
      </w:r>
      <w:r w:rsidRPr="002F71BF">
        <w:rPr>
          <w:rFonts w:ascii="Times New Roman" w:hAnsi="Times New Roman" w:cs="Times New Roman"/>
          <w:sz w:val="28"/>
          <w:szCs w:val="28"/>
        </w:rPr>
        <w:t>реабилитации – 18 человек на общую сумму 7,4 млн руб</w:t>
      </w:r>
      <w:r w:rsidR="006E1AF7">
        <w:rPr>
          <w:rFonts w:ascii="Times New Roman" w:hAnsi="Times New Roman" w:cs="Times New Roman"/>
          <w:sz w:val="28"/>
          <w:szCs w:val="28"/>
        </w:rPr>
        <w:t>лей</w:t>
      </w:r>
      <w:r w:rsidRPr="002F71BF">
        <w:rPr>
          <w:rFonts w:ascii="Times New Roman" w:hAnsi="Times New Roman" w:cs="Times New Roman"/>
          <w:sz w:val="28"/>
          <w:szCs w:val="28"/>
        </w:rPr>
        <w:t>.</w:t>
      </w:r>
    </w:p>
    <w:p w14:paraId="5C8425B4" w14:textId="77777777" w:rsidR="002F71BF" w:rsidRPr="002F71BF" w:rsidRDefault="002F71BF" w:rsidP="002F71BF">
      <w:pPr>
        <w:spacing w:after="0" w:line="312" w:lineRule="auto"/>
        <w:ind w:firstLine="709"/>
        <w:jc w:val="both"/>
        <w:rPr>
          <w:rFonts w:ascii="Times New Roman" w:hAnsi="Times New Roman" w:cs="Times New Roman"/>
          <w:bCs/>
          <w:sz w:val="28"/>
          <w:szCs w:val="28"/>
        </w:rPr>
      </w:pPr>
      <w:r w:rsidRPr="002F71BF">
        <w:rPr>
          <w:rFonts w:ascii="Times New Roman" w:hAnsi="Times New Roman" w:cs="Times New Roman"/>
          <w:bCs/>
          <w:sz w:val="28"/>
          <w:szCs w:val="28"/>
        </w:rPr>
        <w:t>В Краевом государственном автономном полустационарном учреждении социальной защиты «Камчатский социально-реабилитационный центр для несовершеннолетних» для родителей, страдающих алкогольной и иной химической зависимостью, организована деятельность информационно-профилактического пункта «Трезвость», на б</w:t>
      </w:r>
      <w:r w:rsidR="006E1AF7">
        <w:rPr>
          <w:rFonts w:ascii="Times New Roman" w:hAnsi="Times New Roman" w:cs="Times New Roman"/>
          <w:bCs/>
          <w:sz w:val="28"/>
          <w:szCs w:val="28"/>
        </w:rPr>
        <w:t>азе которого по решению комиссии по делам несовершеннолетних и защите их прав</w:t>
      </w:r>
      <w:r w:rsidRPr="002F71BF">
        <w:rPr>
          <w:rFonts w:ascii="Times New Roman" w:hAnsi="Times New Roman" w:cs="Times New Roman"/>
          <w:bCs/>
          <w:sz w:val="28"/>
          <w:szCs w:val="28"/>
        </w:rPr>
        <w:t xml:space="preserve"> курс лечения прошли 62 родителя.</w:t>
      </w:r>
    </w:p>
    <w:p w14:paraId="54A75E4E" w14:textId="77777777" w:rsidR="002F71BF" w:rsidRPr="002F71BF" w:rsidRDefault="002F71BF" w:rsidP="002F71BF">
      <w:pPr>
        <w:spacing w:after="0" w:line="312" w:lineRule="auto"/>
        <w:ind w:firstLine="709"/>
        <w:jc w:val="both"/>
        <w:rPr>
          <w:rFonts w:ascii="Times New Roman" w:hAnsi="Times New Roman" w:cs="Times New Roman"/>
          <w:sz w:val="28"/>
          <w:szCs w:val="28"/>
        </w:rPr>
      </w:pPr>
      <w:r w:rsidRPr="002F71BF">
        <w:rPr>
          <w:rFonts w:ascii="Times New Roman" w:hAnsi="Times New Roman" w:cs="Times New Roman"/>
          <w:sz w:val="28"/>
          <w:szCs w:val="28"/>
        </w:rPr>
        <w:t>Свою эффективность в социально-реабилитационном восстановлении зависимых от алкоголя пациентов в отдельных субъектах Российской Федерации показала программа «Точка трезвости».</w:t>
      </w:r>
    </w:p>
    <w:p w14:paraId="33D9B01A" w14:textId="6F2A4CBF" w:rsidR="002F71BF" w:rsidRPr="002F71BF" w:rsidRDefault="002F71BF" w:rsidP="002F71BF">
      <w:pPr>
        <w:spacing w:after="0" w:line="312" w:lineRule="auto"/>
        <w:ind w:firstLine="709"/>
        <w:jc w:val="both"/>
        <w:rPr>
          <w:rFonts w:ascii="Times New Roman" w:hAnsi="Times New Roman" w:cs="Times New Roman"/>
          <w:sz w:val="28"/>
          <w:szCs w:val="28"/>
        </w:rPr>
      </w:pPr>
      <w:r w:rsidRPr="002F71BF">
        <w:rPr>
          <w:rFonts w:ascii="Times New Roman" w:hAnsi="Times New Roman" w:cs="Times New Roman"/>
          <w:sz w:val="28"/>
          <w:szCs w:val="28"/>
        </w:rPr>
        <w:t>В Республике Татарстан указанный проект осуществляется с октября 2015 г. За 6 лет его реализации лечение прошли 246 человек, из них успешно завершили программу 82% (202</w:t>
      </w:r>
      <w:r w:rsidR="006E1AF7">
        <w:rPr>
          <w:rFonts w:ascii="Times New Roman" w:hAnsi="Times New Roman" w:cs="Times New Roman"/>
          <w:sz w:val="28"/>
          <w:szCs w:val="28"/>
        </w:rPr>
        <w:t xml:space="preserve"> человека</w:t>
      </w:r>
      <w:r w:rsidRPr="002F71BF">
        <w:rPr>
          <w:rFonts w:ascii="Times New Roman" w:hAnsi="Times New Roman" w:cs="Times New Roman"/>
          <w:sz w:val="28"/>
          <w:szCs w:val="28"/>
        </w:rPr>
        <w:t>), соответственно</w:t>
      </w:r>
      <w:r w:rsidR="006E1AF7">
        <w:rPr>
          <w:rFonts w:ascii="Times New Roman" w:hAnsi="Times New Roman" w:cs="Times New Roman"/>
          <w:sz w:val="28"/>
          <w:szCs w:val="28"/>
        </w:rPr>
        <w:t>,</w:t>
      </w:r>
      <w:r w:rsidRPr="002F71BF">
        <w:rPr>
          <w:rFonts w:ascii="Times New Roman" w:hAnsi="Times New Roman" w:cs="Times New Roman"/>
          <w:sz w:val="28"/>
          <w:szCs w:val="28"/>
        </w:rPr>
        <w:t xml:space="preserve"> 472 ребенка сохранили кровную семью. </w:t>
      </w:r>
      <w:r w:rsidR="006E1AF7">
        <w:rPr>
          <w:rFonts w:ascii="Times New Roman" w:hAnsi="Times New Roman" w:cs="Times New Roman"/>
          <w:sz w:val="28"/>
          <w:szCs w:val="28"/>
        </w:rPr>
        <w:t>В</w:t>
      </w:r>
      <w:r w:rsidRPr="002F71BF">
        <w:rPr>
          <w:rFonts w:ascii="Times New Roman" w:hAnsi="Times New Roman" w:cs="Times New Roman"/>
          <w:sz w:val="28"/>
          <w:szCs w:val="28"/>
        </w:rPr>
        <w:t xml:space="preserve"> 2022 г</w:t>
      </w:r>
      <w:r w:rsidR="00AA4ED0">
        <w:rPr>
          <w:rFonts w:ascii="Times New Roman" w:hAnsi="Times New Roman" w:cs="Times New Roman"/>
          <w:sz w:val="28"/>
          <w:szCs w:val="28"/>
        </w:rPr>
        <w:t>.</w:t>
      </w:r>
      <w:r w:rsidRPr="002F71BF">
        <w:rPr>
          <w:rFonts w:ascii="Times New Roman" w:hAnsi="Times New Roman" w:cs="Times New Roman"/>
          <w:sz w:val="28"/>
          <w:szCs w:val="28"/>
        </w:rPr>
        <w:t xml:space="preserve"> </w:t>
      </w:r>
      <w:r w:rsidR="006E1AF7">
        <w:rPr>
          <w:rFonts w:ascii="Times New Roman" w:hAnsi="Times New Roman" w:cs="Times New Roman"/>
          <w:sz w:val="28"/>
          <w:szCs w:val="28"/>
        </w:rPr>
        <w:t xml:space="preserve">в </w:t>
      </w:r>
      <w:r w:rsidR="006E1AF7" w:rsidRPr="002F71BF">
        <w:rPr>
          <w:rFonts w:ascii="Times New Roman" w:hAnsi="Times New Roman" w:cs="Times New Roman"/>
          <w:sz w:val="28"/>
          <w:szCs w:val="28"/>
        </w:rPr>
        <w:t>проект</w:t>
      </w:r>
      <w:r w:rsidR="006E1AF7">
        <w:rPr>
          <w:rFonts w:ascii="Times New Roman" w:hAnsi="Times New Roman" w:cs="Times New Roman"/>
          <w:sz w:val="28"/>
          <w:szCs w:val="28"/>
        </w:rPr>
        <w:t>е</w:t>
      </w:r>
      <w:r w:rsidR="006E1AF7" w:rsidRPr="002F71BF">
        <w:rPr>
          <w:rFonts w:ascii="Times New Roman" w:hAnsi="Times New Roman" w:cs="Times New Roman"/>
          <w:sz w:val="28"/>
          <w:szCs w:val="28"/>
        </w:rPr>
        <w:t xml:space="preserve"> «Точка трезвости» </w:t>
      </w:r>
      <w:r w:rsidR="006E1AF7">
        <w:rPr>
          <w:rFonts w:ascii="Times New Roman" w:hAnsi="Times New Roman" w:cs="Times New Roman"/>
          <w:sz w:val="28"/>
          <w:szCs w:val="28"/>
        </w:rPr>
        <w:t>запланировано участие</w:t>
      </w:r>
      <w:r w:rsidRPr="002F71BF">
        <w:rPr>
          <w:rFonts w:ascii="Times New Roman" w:hAnsi="Times New Roman" w:cs="Times New Roman"/>
          <w:sz w:val="28"/>
          <w:szCs w:val="28"/>
        </w:rPr>
        <w:t xml:space="preserve"> 110 родителей.</w:t>
      </w:r>
    </w:p>
    <w:p w14:paraId="4145A026" w14:textId="77777777" w:rsidR="002F71BF" w:rsidRPr="002F71BF" w:rsidRDefault="002F71BF" w:rsidP="002F71BF">
      <w:pPr>
        <w:spacing w:after="0" w:line="312" w:lineRule="auto"/>
        <w:ind w:firstLine="709"/>
        <w:jc w:val="both"/>
        <w:rPr>
          <w:rFonts w:ascii="Times New Roman" w:hAnsi="Times New Roman" w:cs="Times New Roman"/>
          <w:sz w:val="28"/>
          <w:szCs w:val="28"/>
        </w:rPr>
      </w:pPr>
      <w:r w:rsidRPr="002F71BF">
        <w:rPr>
          <w:rFonts w:ascii="Times New Roman" w:hAnsi="Times New Roman" w:cs="Times New Roman"/>
          <w:sz w:val="28"/>
          <w:szCs w:val="28"/>
        </w:rPr>
        <w:t xml:space="preserve">В Вологодской области </w:t>
      </w:r>
      <w:r w:rsidR="006E1AF7">
        <w:rPr>
          <w:rFonts w:ascii="Times New Roman" w:hAnsi="Times New Roman" w:cs="Times New Roman"/>
          <w:sz w:val="28"/>
          <w:szCs w:val="28"/>
        </w:rPr>
        <w:t xml:space="preserve">реализация </w:t>
      </w:r>
      <w:r w:rsidRPr="002F71BF">
        <w:rPr>
          <w:rFonts w:ascii="Times New Roman" w:hAnsi="Times New Roman" w:cs="Times New Roman"/>
          <w:sz w:val="28"/>
          <w:szCs w:val="28"/>
        </w:rPr>
        <w:t>программ</w:t>
      </w:r>
      <w:r w:rsidR="006E1AF7">
        <w:rPr>
          <w:rFonts w:ascii="Times New Roman" w:hAnsi="Times New Roman" w:cs="Times New Roman"/>
          <w:sz w:val="28"/>
          <w:szCs w:val="28"/>
        </w:rPr>
        <w:t>ы</w:t>
      </w:r>
      <w:r w:rsidRPr="002F71BF">
        <w:rPr>
          <w:rFonts w:ascii="Times New Roman" w:hAnsi="Times New Roman" w:cs="Times New Roman"/>
          <w:sz w:val="28"/>
          <w:szCs w:val="28"/>
        </w:rPr>
        <w:t xml:space="preserve"> «Точка трезвости» нача</w:t>
      </w:r>
      <w:r w:rsidR="006E1AF7">
        <w:rPr>
          <w:rFonts w:ascii="Times New Roman" w:hAnsi="Times New Roman" w:cs="Times New Roman"/>
          <w:sz w:val="28"/>
          <w:szCs w:val="28"/>
        </w:rPr>
        <w:t xml:space="preserve">лась в сентябре </w:t>
      </w:r>
      <w:r w:rsidRPr="002F71BF">
        <w:rPr>
          <w:rFonts w:ascii="Times New Roman" w:hAnsi="Times New Roman" w:cs="Times New Roman"/>
          <w:sz w:val="28"/>
          <w:szCs w:val="28"/>
        </w:rPr>
        <w:t>2019 г. Ее целевой группой являются родители, находящиеся на грани лишения родительских прав в связи с алкогольной за</w:t>
      </w:r>
      <w:r w:rsidR="006E1AF7">
        <w:rPr>
          <w:rFonts w:ascii="Times New Roman" w:hAnsi="Times New Roman" w:cs="Times New Roman"/>
          <w:sz w:val="28"/>
          <w:szCs w:val="28"/>
        </w:rPr>
        <w:t xml:space="preserve">висимостью. Лечение проводится </w:t>
      </w:r>
      <w:r w:rsidRPr="002F71BF">
        <w:rPr>
          <w:rFonts w:ascii="Times New Roman" w:hAnsi="Times New Roman" w:cs="Times New Roman"/>
          <w:sz w:val="28"/>
          <w:szCs w:val="28"/>
        </w:rPr>
        <w:t>на базе двух областных наркологических</w:t>
      </w:r>
      <w:r w:rsidR="006E1AF7">
        <w:rPr>
          <w:rFonts w:ascii="Times New Roman" w:hAnsi="Times New Roman" w:cs="Times New Roman"/>
          <w:sz w:val="28"/>
          <w:szCs w:val="28"/>
        </w:rPr>
        <w:t xml:space="preserve"> диспансеров № 1 и № 2 курсами </w:t>
      </w:r>
      <w:r w:rsidRPr="002F71BF">
        <w:rPr>
          <w:rFonts w:ascii="Times New Roman" w:hAnsi="Times New Roman" w:cs="Times New Roman"/>
          <w:sz w:val="28"/>
          <w:szCs w:val="28"/>
        </w:rPr>
        <w:t xml:space="preserve">до полугода и включает в себя комплекс методик по </w:t>
      </w:r>
      <w:proofErr w:type="spellStart"/>
      <w:r w:rsidRPr="002F71BF">
        <w:rPr>
          <w:rFonts w:ascii="Times New Roman" w:hAnsi="Times New Roman" w:cs="Times New Roman"/>
          <w:sz w:val="28"/>
          <w:szCs w:val="28"/>
        </w:rPr>
        <w:t>психоэмоциальному</w:t>
      </w:r>
      <w:proofErr w:type="spellEnd"/>
      <w:r w:rsidRPr="002F71BF">
        <w:rPr>
          <w:rFonts w:ascii="Times New Roman" w:hAnsi="Times New Roman" w:cs="Times New Roman"/>
          <w:sz w:val="28"/>
          <w:szCs w:val="28"/>
        </w:rPr>
        <w:t xml:space="preserve"> воздействию и применение новейших фармакологических разработок. За весь период реализации проекта приняли участие 25 человек.</w:t>
      </w:r>
    </w:p>
    <w:p w14:paraId="271DAF51" w14:textId="77777777" w:rsidR="002F71BF" w:rsidRPr="002F71BF" w:rsidRDefault="002F71BF" w:rsidP="002F71BF">
      <w:pPr>
        <w:spacing w:after="0" w:line="312" w:lineRule="auto"/>
        <w:ind w:firstLine="709"/>
        <w:jc w:val="both"/>
        <w:rPr>
          <w:rFonts w:ascii="Times New Roman" w:eastAsia="Times New Roman" w:hAnsi="Times New Roman" w:cs="Times New Roman"/>
          <w:sz w:val="28"/>
          <w:szCs w:val="28"/>
        </w:rPr>
      </w:pPr>
      <w:r w:rsidRPr="002F71BF">
        <w:rPr>
          <w:rFonts w:ascii="Times New Roman" w:eastAsia="Times New Roman" w:hAnsi="Times New Roman" w:cs="Times New Roman"/>
          <w:sz w:val="28"/>
          <w:szCs w:val="28"/>
        </w:rPr>
        <w:t>В Уд</w:t>
      </w:r>
      <w:r w:rsidR="00B21D26">
        <w:rPr>
          <w:rFonts w:ascii="Times New Roman" w:eastAsia="Times New Roman" w:hAnsi="Times New Roman" w:cs="Times New Roman"/>
          <w:sz w:val="28"/>
          <w:szCs w:val="28"/>
        </w:rPr>
        <w:t>муртской Республике в августе-</w:t>
      </w:r>
      <w:r w:rsidRPr="002F71BF">
        <w:rPr>
          <w:rFonts w:ascii="Times New Roman" w:eastAsia="Times New Roman" w:hAnsi="Times New Roman" w:cs="Times New Roman"/>
          <w:sz w:val="28"/>
          <w:szCs w:val="28"/>
        </w:rPr>
        <w:t>декабре 2021 г</w:t>
      </w:r>
      <w:r w:rsidR="00434825">
        <w:rPr>
          <w:rFonts w:ascii="Times New Roman" w:eastAsia="Times New Roman" w:hAnsi="Times New Roman" w:cs="Times New Roman"/>
          <w:sz w:val="28"/>
          <w:szCs w:val="28"/>
        </w:rPr>
        <w:t>.</w:t>
      </w:r>
      <w:r w:rsidRPr="002F71BF">
        <w:rPr>
          <w:rFonts w:ascii="Times New Roman" w:eastAsia="Times New Roman" w:hAnsi="Times New Roman" w:cs="Times New Roman"/>
          <w:sz w:val="28"/>
          <w:szCs w:val="28"/>
        </w:rPr>
        <w:t xml:space="preserve"> для женщин-матерей, отбывающих наказание в условиях изоляции от общества, в целях сохранения кровной семьи, восстановления отношений с детьми, временно устроенными в учреждения для детей-сирот или в замещающие семьи, профилактики и предотвращения социального сиротства республиканским центром оказания психолого-педагогической помощи населению «</w:t>
      </w:r>
      <w:proofErr w:type="spellStart"/>
      <w:r w:rsidRPr="002F71BF">
        <w:rPr>
          <w:rFonts w:ascii="Times New Roman" w:eastAsia="Times New Roman" w:hAnsi="Times New Roman" w:cs="Times New Roman"/>
          <w:sz w:val="28"/>
          <w:szCs w:val="28"/>
        </w:rPr>
        <w:t>СоДействие</w:t>
      </w:r>
      <w:proofErr w:type="spellEnd"/>
      <w:r w:rsidRPr="002F71BF">
        <w:rPr>
          <w:rFonts w:ascii="Times New Roman" w:eastAsia="Times New Roman" w:hAnsi="Times New Roman" w:cs="Times New Roman"/>
          <w:sz w:val="28"/>
          <w:szCs w:val="28"/>
        </w:rPr>
        <w:t>» совместно с региональной общественной организацией «Центр поддержки семьи и детей «Теплый дом» реализован проект – победитель Фонда президентских грантов «Во имя семьи».</w:t>
      </w:r>
    </w:p>
    <w:p w14:paraId="38DB8447" w14:textId="77777777" w:rsidR="00051462" w:rsidRDefault="00D03A4F" w:rsidP="006E1AF7">
      <w:pPr>
        <w:widowControl w:val="0"/>
        <w:tabs>
          <w:tab w:val="left" w:pos="3735"/>
          <w:tab w:val="center" w:pos="5420"/>
          <w:tab w:val="left" w:pos="7177"/>
          <w:tab w:val="right" w:pos="10202"/>
        </w:tabs>
        <w:spacing w:before="240" w:after="240" w:line="240"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Деятельность органов опеки и попечительства, органов, осуществляющих управление в сфере образования, здравоохранения, социальной защиты населен</w:t>
      </w:r>
      <w:r w:rsidR="00051462">
        <w:rPr>
          <w:rFonts w:ascii="Times New Roman" w:eastAsia="Times New Roman" w:hAnsi="Times New Roman" w:cs="Times New Roman"/>
          <w:b/>
          <w:sz w:val="28"/>
          <w:szCs w:val="28"/>
          <w:lang w:eastAsia="ru-RU"/>
        </w:rPr>
        <w:t>ия, и органов по делам молодежи</w:t>
      </w:r>
      <w:r w:rsidR="00051462">
        <w:rPr>
          <w:rFonts w:ascii="Times New Roman" w:eastAsia="Times New Roman" w:hAnsi="Times New Roman" w:cs="Times New Roman"/>
          <w:b/>
          <w:sz w:val="28"/>
          <w:szCs w:val="28"/>
          <w:lang w:eastAsia="ru-RU"/>
        </w:rPr>
        <w:br/>
      </w:r>
      <w:r w:rsidRPr="00D03A4F">
        <w:rPr>
          <w:rFonts w:ascii="Times New Roman" w:eastAsia="Times New Roman" w:hAnsi="Times New Roman" w:cs="Times New Roman"/>
          <w:b/>
          <w:sz w:val="28"/>
          <w:szCs w:val="28"/>
          <w:lang w:eastAsia="ru-RU"/>
        </w:rPr>
        <w:t>по профилактике семейного неблагополучия и жестокого обраще</w:t>
      </w:r>
      <w:r w:rsidR="00051462">
        <w:rPr>
          <w:rFonts w:ascii="Times New Roman" w:eastAsia="Times New Roman" w:hAnsi="Times New Roman" w:cs="Times New Roman"/>
          <w:b/>
          <w:sz w:val="28"/>
          <w:szCs w:val="28"/>
          <w:lang w:eastAsia="ru-RU"/>
        </w:rPr>
        <w:t>ния</w:t>
      </w:r>
      <w:r w:rsidR="00051462">
        <w:rPr>
          <w:rFonts w:ascii="Times New Roman" w:eastAsia="Times New Roman" w:hAnsi="Times New Roman" w:cs="Times New Roman"/>
          <w:b/>
          <w:sz w:val="28"/>
          <w:szCs w:val="28"/>
          <w:lang w:eastAsia="ru-RU"/>
        </w:rPr>
        <w:br/>
      </w:r>
      <w:r w:rsidRPr="00D03A4F">
        <w:rPr>
          <w:rFonts w:ascii="Times New Roman" w:eastAsia="Times New Roman" w:hAnsi="Times New Roman" w:cs="Times New Roman"/>
          <w:b/>
          <w:sz w:val="28"/>
          <w:szCs w:val="28"/>
          <w:lang w:eastAsia="ru-RU"/>
        </w:rPr>
        <w:t>с детьми</w:t>
      </w:r>
    </w:p>
    <w:p w14:paraId="586E6711" w14:textId="77777777" w:rsidR="004C66F9" w:rsidRPr="004C66F9" w:rsidRDefault="004C66F9" w:rsidP="004C66F9">
      <w:pPr>
        <w:pStyle w:val="Style2"/>
        <w:shd w:val="clear" w:color="auto" w:fill="auto"/>
        <w:spacing w:after="0" w:line="312" w:lineRule="auto"/>
        <w:ind w:firstLine="709"/>
        <w:jc w:val="both"/>
        <w:rPr>
          <w:rFonts w:ascii="Times New Roman" w:hAnsi="Times New Roman" w:cs="Times New Roman"/>
          <w:sz w:val="28"/>
          <w:szCs w:val="28"/>
        </w:rPr>
      </w:pPr>
      <w:r w:rsidRPr="004C66F9">
        <w:rPr>
          <w:rFonts w:ascii="Times New Roman" w:eastAsia="Times New Roman" w:hAnsi="Times New Roman" w:cs="Times New Roman"/>
          <w:color w:val="000000"/>
          <w:sz w:val="28"/>
          <w:szCs w:val="28"/>
          <w:lang w:eastAsia="ru-RU" w:bidi="ru-RU"/>
        </w:rPr>
        <w:t>Минпросвещения России совместно с органами исполнительной власти субъектов Российской Федерации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 в том числе по профилактике социального сиротства, жестокого обращения с детьми и оказанию помощи детям, подвергшимся жестокому обращению.</w:t>
      </w:r>
    </w:p>
    <w:p w14:paraId="1E74D7C3" w14:textId="44CF245C" w:rsidR="004C66F9" w:rsidRPr="004C66F9" w:rsidRDefault="004C66F9" w:rsidP="004C66F9">
      <w:pPr>
        <w:pStyle w:val="Style2"/>
        <w:shd w:val="clear" w:color="auto" w:fill="auto"/>
        <w:spacing w:after="0" w:line="312" w:lineRule="auto"/>
        <w:ind w:firstLine="709"/>
        <w:jc w:val="both"/>
        <w:rPr>
          <w:rFonts w:ascii="Times New Roman" w:hAnsi="Times New Roman" w:cs="Times New Roman"/>
          <w:sz w:val="28"/>
          <w:szCs w:val="28"/>
        </w:rPr>
      </w:pPr>
      <w:r w:rsidRPr="004C66F9">
        <w:rPr>
          <w:rFonts w:ascii="Times New Roman" w:eastAsia="Times New Roman" w:hAnsi="Times New Roman" w:cs="Times New Roman"/>
          <w:color w:val="000000"/>
          <w:sz w:val="28"/>
          <w:szCs w:val="28"/>
          <w:lang w:eastAsia="ru-RU" w:bidi="ru-RU"/>
        </w:rPr>
        <w:t xml:space="preserve">Принятые меры способствовали сокращению за последние 5 лет численности сведений о детях-сиротах и детях, оставшихся без попечения родителей, в государственном банке данных о детях, оставшихся без попечения родителей, </w:t>
      </w:r>
      <w:r w:rsidR="00C36EB2">
        <w:rPr>
          <w:rFonts w:ascii="Times New Roman" w:eastAsia="Times New Roman" w:hAnsi="Times New Roman" w:cs="Times New Roman"/>
          <w:color w:val="000000"/>
          <w:sz w:val="28"/>
          <w:szCs w:val="28"/>
          <w:lang w:eastAsia="ru-RU" w:bidi="ru-RU"/>
        </w:rPr>
        <w:br/>
      </w:r>
      <w:r w:rsidRPr="004C66F9">
        <w:rPr>
          <w:rFonts w:ascii="Times New Roman" w:eastAsia="Times New Roman" w:hAnsi="Times New Roman" w:cs="Times New Roman"/>
          <w:color w:val="000000"/>
          <w:sz w:val="28"/>
          <w:szCs w:val="28"/>
          <w:lang w:eastAsia="ru-RU" w:bidi="ru-RU"/>
        </w:rPr>
        <w:t xml:space="preserve">на 33% </w:t>
      </w:r>
      <w:r w:rsidR="006E1AF7">
        <w:rPr>
          <w:rFonts w:ascii="Times New Roman" w:eastAsia="Times New Roman" w:hAnsi="Times New Roman" w:cs="Times New Roman"/>
          <w:color w:val="000000"/>
          <w:sz w:val="28"/>
          <w:szCs w:val="28"/>
          <w:lang w:eastAsia="ru-RU" w:bidi="ru-RU"/>
        </w:rPr>
        <w:t>–</w:t>
      </w:r>
      <w:r w:rsidRPr="004C66F9">
        <w:rPr>
          <w:rFonts w:ascii="Times New Roman" w:eastAsia="Times New Roman" w:hAnsi="Times New Roman" w:cs="Times New Roman"/>
          <w:color w:val="000000"/>
          <w:sz w:val="28"/>
          <w:szCs w:val="28"/>
          <w:lang w:eastAsia="ru-RU" w:bidi="ru-RU"/>
        </w:rPr>
        <w:t xml:space="preserve"> с 59,1 тыс. в 2017 г</w:t>
      </w:r>
      <w:r w:rsidR="00B21D26">
        <w:rPr>
          <w:rFonts w:ascii="Times New Roman" w:eastAsia="Times New Roman" w:hAnsi="Times New Roman" w:cs="Times New Roman"/>
          <w:color w:val="000000"/>
          <w:sz w:val="28"/>
          <w:szCs w:val="28"/>
          <w:lang w:eastAsia="ru-RU" w:bidi="ru-RU"/>
        </w:rPr>
        <w:t>.</w:t>
      </w:r>
      <w:r w:rsidRPr="004C66F9">
        <w:rPr>
          <w:rFonts w:ascii="Times New Roman" w:eastAsia="Times New Roman" w:hAnsi="Times New Roman" w:cs="Times New Roman"/>
          <w:color w:val="000000"/>
          <w:sz w:val="28"/>
          <w:szCs w:val="28"/>
          <w:lang w:eastAsia="ru-RU" w:bidi="ru-RU"/>
        </w:rPr>
        <w:t xml:space="preserve"> до 39,4 тыс. детей </w:t>
      </w:r>
      <w:r w:rsidR="006E1AF7">
        <w:rPr>
          <w:rFonts w:ascii="Times New Roman" w:eastAsia="Times New Roman" w:hAnsi="Times New Roman" w:cs="Times New Roman"/>
          <w:color w:val="000000"/>
          <w:sz w:val="28"/>
          <w:szCs w:val="28"/>
          <w:lang w:eastAsia="ru-RU" w:bidi="ru-RU"/>
        </w:rPr>
        <w:t>в</w:t>
      </w:r>
      <w:r w:rsidRPr="004C66F9">
        <w:rPr>
          <w:rFonts w:ascii="Times New Roman" w:eastAsia="Times New Roman" w:hAnsi="Times New Roman" w:cs="Times New Roman"/>
          <w:color w:val="000000"/>
          <w:sz w:val="28"/>
          <w:szCs w:val="28"/>
          <w:lang w:eastAsia="ru-RU" w:bidi="ru-RU"/>
        </w:rPr>
        <w:t xml:space="preserve"> 202</w:t>
      </w:r>
      <w:r w:rsidR="006E1AF7">
        <w:rPr>
          <w:rFonts w:ascii="Times New Roman" w:eastAsia="Times New Roman" w:hAnsi="Times New Roman" w:cs="Times New Roman"/>
          <w:color w:val="000000"/>
          <w:sz w:val="28"/>
          <w:szCs w:val="28"/>
          <w:lang w:eastAsia="ru-RU" w:bidi="ru-RU"/>
        </w:rPr>
        <w:t>1</w:t>
      </w:r>
      <w:r w:rsidRPr="004C66F9">
        <w:rPr>
          <w:rFonts w:ascii="Times New Roman" w:eastAsia="Times New Roman" w:hAnsi="Times New Roman" w:cs="Times New Roman"/>
          <w:color w:val="000000"/>
          <w:sz w:val="28"/>
          <w:szCs w:val="28"/>
          <w:lang w:eastAsia="ru-RU" w:bidi="ru-RU"/>
        </w:rPr>
        <w:t xml:space="preserve"> г.</w:t>
      </w:r>
    </w:p>
    <w:p w14:paraId="03860C7D" w14:textId="77777777" w:rsidR="004C66F9" w:rsidRPr="004C66F9" w:rsidRDefault="004C66F9" w:rsidP="004C66F9">
      <w:pPr>
        <w:pStyle w:val="Style2"/>
        <w:shd w:val="clear" w:color="auto" w:fill="auto"/>
        <w:spacing w:after="0" w:line="312" w:lineRule="auto"/>
        <w:ind w:firstLine="709"/>
        <w:jc w:val="both"/>
        <w:rPr>
          <w:rFonts w:ascii="Times New Roman" w:hAnsi="Times New Roman" w:cs="Times New Roman"/>
          <w:sz w:val="28"/>
          <w:szCs w:val="28"/>
        </w:rPr>
      </w:pPr>
      <w:r w:rsidRPr="004C66F9">
        <w:rPr>
          <w:rFonts w:ascii="Times New Roman" w:eastAsia="Times New Roman" w:hAnsi="Times New Roman" w:cs="Times New Roman"/>
          <w:color w:val="000000"/>
          <w:sz w:val="28"/>
          <w:szCs w:val="28"/>
          <w:lang w:eastAsia="ru-RU" w:bidi="ru-RU"/>
        </w:rPr>
        <w:t>При этом большая часть детей, сведения о которых состоят на учете в указанном государственном банке данных о детях, оставшихся без попечения родителей, относятся к «</w:t>
      </w:r>
      <w:proofErr w:type="spellStart"/>
      <w:r w:rsidRPr="004C66F9">
        <w:rPr>
          <w:rFonts w:ascii="Times New Roman" w:eastAsia="Times New Roman" w:hAnsi="Times New Roman" w:cs="Times New Roman"/>
          <w:color w:val="000000"/>
          <w:sz w:val="28"/>
          <w:szCs w:val="28"/>
          <w:lang w:eastAsia="ru-RU" w:bidi="ru-RU"/>
        </w:rPr>
        <w:t>трудноустраиваемой</w:t>
      </w:r>
      <w:proofErr w:type="spellEnd"/>
      <w:r w:rsidRPr="004C66F9">
        <w:rPr>
          <w:rFonts w:ascii="Times New Roman" w:eastAsia="Times New Roman" w:hAnsi="Times New Roman" w:cs="Times New Roman"/>
          <w:color w:val="000000"/>
          <w:sz w:val="28"/>
          <w:szCs w:val="28"/>
          <w:lang w:eastAsia="ru-RU" w:bidi="ru-RU"/>
        </w:rPr>
        <w:t xml:space="preserve">» категории детей: около 76% </w:t>
      </w:r>
      <w:r w:rsidR="009F02CA">
        <w:rPr>
          <w:rFonts w:ascii="Times New Roman" w:eastAsia="Times New Roman" w:hAnsi="Times New Roman" w:cs="Times New Roman"/>
          <w:color w:val="000000"/>
          <w:sz w:val="28"/>
          <w:szCs w:val="28"/>
          <w:lang w:eastAsia="ru-RU" w:bidi="ru-RU"/>
        </w:rPr>
        <w:t>–</w:t>
      </w:r>
      <w:r w:rsidRPr="004C66F9">
        <w:rPr>
          <w:rFonts w:ascii="Times New Roman" w:eastAsia="Times New Roman" w:hAnsi="Times New Roman" w:cs="Times New Roman"/>
          <w:color w:val="000000"/>
          <w:sz w:val="28"/>
          <w:szCs w:val="28"/>
          <w:lang w:eastAsia="ru-RU" w:bidi="ru-RU"/>
        </w:rPr>
        <w:t xml:space="preserve"> дети старше 10 лет, более половины несовершеннолетних имеют братьев и сестер (57%), 29,6% </w:t>
      </w:r>
      <w:r w:rsidR="009F02CA">
        <w:rPr>
          <w:rFonts w:ascii="Times New Roman" w:eastAsia="Times New Roman" w:hAnsi="Times New Roman" w:cs="Times New Roman"/>
          <w:color w:val="000000"/>
          <w:sz w:val="28"/>
          <w:szCs w:val="28"/>
          <w:lang w:eastAsia="ru-RU" w:bidi="ru-RU"/>
        </w:rPr>
        <w:t>–</w:t>
      </w:r>
      <w:r w:rsidRPr="004C66F9">
        <w:rPr>
          <w:rFonts w:ascii="Times New Roman" w:eastAsia="Times New Roman" w:hAnsi="Times New Roman" w:cs="Times New Roman"/>
          <w:color w:val="000000"/>
          <w:sz w:val="28"/>
          <w:szCs w:val="28"/>
          <w:lang w:eastAsia="ru-RU" w:bidi="ru-RU"/>
        </w:rPr>
        <w:t xml:space="preserve"> дети с инвалидностью.</w:t>
      </w:r>
    </w:p>
    <w:p w14:paraId="4899D72D" w14:textId="77777777" w:rsidR="004C66F9" w:rsidRPr="004C66F9" w:rsidRDefault="004C66F9" w:rsidP="009F02CA">
      <w:pPr>
        <w:pStyle w:val="Style2"/>
        <w:shd w:val="clear" w:color="auto" w:fill="auto"/>
        <w:spacing w:after="0" w:line="312" w:lineRule="auto"/>
        <w:ind w:firstLine="709"/>
        <w:jc w:val="both"/>
        <w:rPr>
          <w:rFonts w:ascii="Times New Roman" w:hAnsi="Times New Roman" w:cs="Times New Roman"/>
          <w:sz w:val="28"/>
          <w:szCs w:val="28"/>
        </w:rPr>
      </w:pPr>
      <w:r w:rsidRPr="004C66F9">
        <w:rPr>
          <w:rFonts w:ascii="Times New Roman" w:eastAsia="Times New Roman" w:hAnsi="Times New Roman" w:cs="Times New Roman"/>
          <w:color w:val="000000"/>
          <w:sz w:val="28"/>
          <w:szCs w:val="28"/>
          <w:lang w:eastAsia="ru-RU" w:bidi="ru-RU"/>
        </w:rPr>
        <w:t>Неблагоприятная санитарно-эпидемиологическая обстановка, вызванная распространением новой корон</w:t>
      </w:r>
      <w:r w:rsidR="009F02CA">
        <w:rPr>
          <w:rFonts w:ascii="Times New Roman" w:eastAsia="Times New Roman" w:hAnsi="Times New Roman" w:cs="Times New Roman"/>
          <w:color w:val="000000"/>
          <w:sz w:val="28"/>
          <w:szCs w:val="28"/>
          <w:lang w:eastAsia="ru-RU" w:bidi="ru-RU"/>
        </w:rPr>
        <w:t>а</w:t>
      </w:r>
      <w:r w:rsidRPr="004C66F9">
        <w:rPr>
          <w:rFonts w:ascii="Times New Roman" w:eastAsia="Times New Roman" w:hAnsi="Times New Roman" w:cs="Times New Roman"/>
          <w:color w:val="000000"/>
          <w:sz w:val="28"/>
          <w:szCs w:val="28"/>
          <w:lang w:eastAsia="ru-RU" w:bidi="ru-RU"/>
        </w:rPr>
        <w:t xml:space="preserve">вирусной инфекции </w:t>
      </w:r>
      <w:r w:rsidRPr="004C66F9">
        <w:rPr>
          <w:rFonts w:ascii="Times New Roman" w:eastAsia="Times New Roman" w:hAnsi="Times New Roman" w:cs="Times New Roman"/>
          <w:color w:val="000000"/>
          <w:sz w:val="28"/>
          <w:szCs w:val="28"/>
          <w:lang w:val="en-US" w:bidi="en-US"/>
        </w:rPr>
        <w:t>COVID</w:t>
      </w:r>
      <w:r w:rsidRPr="004C66F9">
        <w:rPr>
          <w:rFonts w:ascii="Times New Roman" w:eastAsia="Times New Roman" w:hAnsi="Times New Roman" w:cs="Times New Roman"/>
          <w:color w:val="000000"/>
          <w:sz w:val="28"/>
          <w:szCs w:val="28"/>
          <w:lang w:bidi="en-US"/>
        </w:rPr>
        <w:t xml:space="preserve">-19, </w:t>
      </w:r>
      <w:r w:rsidRPr="004C66F9">
        <w:rPr>
          <w:rFonts w:ascii="Times New Roman" w:eastAsia="Times New Roman" w:hAnsi="Times New Roman" w:cs="Times New Roman"/>
          <w:color w:val="000000"/>
          <w:sz w:val="28"/>
          <w:szCs w:val="28"/>
          <w:lang w:eastAsia="ru-RU" w:bidi="ru-RU"/>
        </w:rPr>
        <w:t>стала одним из самых серьезных вызовов за последнее время.</w:t>
      </w:r>
      <w:r w:rsidR="009F02CA">
        <w:rPr>
          <w:rFonts w:ascii="Times New Roman" w:hAnsi="Times New Roman" w:cs="Times New Roman"/>
          <w:sz w:val="28"/>
          <w:szCs w:val="28"/>
        </w:rPr>
        <w:t xml:space="preserve"> </w:t>
      </w:r>
      <w:r w:rsidRPr="004C66F9">
        <w:rPr>
          <w:rFonts w:ascii="Times New Roman" w:eastAsia="Times New Roman" w:hAnsi="Times New Roman" w:cs="Times New Roman"/>
          <w:color w:val="000000"/>
          <w:sz w:val="28"/>
          <w:szCs w:val="28"/>
          <w:lang w:eastAsia="ru-RU" w:bidi="ru-RU"/>
        </w:rPr>
        <w:t>При этом ограничительные меры стимулировали распространение альтернативных форматов деятельности профильных специалистов. Так, распространение получили практика перевода в дистанционный формат подготовки и отбора кандидатов в приемные родители, организации знакомств</w:t>
      </w:r>
      <w:r w:rsidRPr="004C66F9">
        <w:rPr>
          <w:rFonts w:ascii="Times New Roman" w:hAnsi="Times New Roman" w:cs="Times New Roman"/>
          <w:sz w:val="28"/>
          <w:szCs w:val="28"/>
        </w:rPr>
        <w:t xml:space="preserve"> </w:t>
      </w:r>
      <w:r w:rsidRPr="004C66F9">
        <w:rPr>
          <w:rFonts w:ascii="Times New Roman" w:eastAsia="Times New Roman" w:hAnsi="Times New Roman" w:cs="Times New Roman"/>
          <w:color w:val="000000"/>
          <w:sz w:val="28"/>
          <w:szCs w:val="28"/>
          <w:lang w:eastAsia="ru-RU" w:bidi="ru-RU"/>
        </w:rPr>
        <w:t>и общения кандидатов с воспитанниками организаций для детей-сирот; временного размещения воспитанников названных организаций в семьях сотрудников учреждений, широкого круга родственников, волонтеров, а также в семьи граждан, стоящих на учете органов опеки и попечительства.</w:t>
      </w:r>
    </w:p>
    <w:p w14:paraId="50E0A2ED" w14:textId="77777777" w:rsidR="004C66F9" w:rsidRPr="004C66F9" w:rsidRDefault="004C66F9" w:rsidP="004C66F9">
      <w:pPr>
        <w:pStyle w:val="Style2"/>
        <w:shd w:val="clear" w:color="auto" w:fill="auto"/>
        <w:spacing w:after="0" w:line="312" w:lineRule="auto"/>
        <w:ind w:firstLine="709"/>
        <w:jc w:val="both"/>
        <w:rPr>
          <w:rFonts w:ascii="Times New Roman" w:hAnsi="Times New Roman" w:cs="Times New Roman"/>
          <w:sz w:val="28"/>
          <w:szCs w:val="28"/>
        </w:rPr>
      </w:pPr>
      <w:r w:rsidRPr="004C66F9">
        <w:rPr>
          <w:rFonts w:ascii="Times New Roman" w:eastAsia="Times New Roman" w:hAnsi="Times New Roman" w:cs="Times New Roman"/>
          <w:color w:val="000000"/>
          <w:sz w:val="28"/>
          <w:szCs w:val="28"/>
          <w:lang w:eastAsia="ru-RU" w:bidi="ru-RU"/>
        </w:rPr>
        <w:t>По состоянию на начало 2022 г</w:t>
      </w:r>
      <w:r w:rsidR="00B21D26">
        <w:rPr>
          <w:rFonts w:ascii="Times New Roman" w:eastAsia="Times New Roman" w:hAnsi="Times New Roman" w:cs="Times New Roman"/>
          <w:color w:val="000000"/>
          <w:sz w:val="28"/>
          <w:szCs w:val="28"/>
          <w:lang w:eastAsia="ru-RU" w:bidi="ru-RU"/>
        </w:rPr>
        <w:t>.</w:t>
      </w:r>
      <w:r w:rsidRPr="004C66F9">
        <w:rPr>
          <w:rFonts w:ascii="Times New Roman" w:eastAsia="Times New Roman" w:hAnsi="Times New Roman" w:cs="Times New Roman"/>
          <w:color w:val="000000"/>
          <w:sz w:val="28"/>
          <w:szCs w:val="28"/>
          <w:lang w:eastAsia="ru-RU" w:bidi="ru-RU"/>
        </w:rPr>
        <w:t xml:space="preserve"> на воспитании в замещающих семьях находилось всего 351 203 ребенка, оставшегося без попечения родителей, из них:</w:t>
      </w:r>
    </w:p>
    <w:p w14:paraId="54D7462C" w14:textId="77777777" w:rsidR="004C66F9" w:rsidRPr="004C66F9" w:rsidRDefault="004C66F9" w:rsidP="004C66F9">
      <w:pPr>
        <w:pStyle w:val="Style2"/>
        <w:shd w:val="clear" w:color="auto" w:fill="auto"/>
        <w:spacing w:after="0" w:line="312" w:lineRule="auto"/>
        <w:ind w:firstLine="709"/>
        <w:jc w:val="both"/>
        <w:rPr>
          <w:rFonts w:ascii="Times New Roman" w:hAnsi="Times New Roman" w:cs="Times New Roman"/>
          <w:sz w:val="28"/>
          <w:szCs w:val="28"/>
        </w:rPr>
      </w:pPr>
      <w:r w:rsidRPr="004C66F9">
        <w:rPr>
          <w:rFonts w:ascii="Times New Roman" w:eastAsia="Times New Roman" w:hAnsi="Times New Roman" w:cs="Times New Roman"/>
          <w:color w:val="000000"/>
          <w:sz w:val="28"/>
          <w:szCs w:val="28"/>
          <w:lang w:eastAsia="ru-RU" w:bidi="ru-RU"/>
        </w:rPr>
        <w:t xml:space="preserve">170 437 </w:t>
      </w:r>
      <w:r w:rsidR="009F02CA">
        <w:rPr>
          <w:rFonts w:ascii="Times New Roman" w:eastAsia="Times New Roman" w:hAnsi="Times New Roman" w:cs="Times New Roman"/>
          <w:color w:val="000000"/>
          <w:sz w:val="28"/>
          <w:szCs w:val="28"/>
          <w:lang w:eastAsia="ru-RU" w:bidi="ru-RU"/>
        </w:rPr>
        <w:t>–</w:t>
      </w:r>
      <w:r w:rsidRPr="004C66F9">
        <w:rPr>
          <w:rFonts w:ascii="Times New Roman" w:eastAsia="Times New Roman" w:hAnsi="Times New Roman" w:cs="Times New Roman"/>
          <w:color w:val="000000"/>
          <w:sz w:val="28"/>
          <w:szCs w:val="28"/>
          <w:lang w:eastAsia="ru-RU" w:bidi="ru-RU"/>
        </w:rPr>
        <w:t xml:space="preserve"> в семьях на безвозмездной форме опеки;</w:t>
      </w:r>
    </w:p>
    <w:p w14:paraId="61ABEB49" w14:textId="77777777" w:rsidR="004C66F9" w:rsidRPr="004C66F9" w:rsidRDefault="004C66F9" w:rsidP="004C66F9">
      <w:pPr>
        <w:pStyle w:val="Style2"/>
        <w:shd w:val="clear" w:color="auto" w:fill="auto"/>
        <w:spacing w:after="0" w:line="312" w:lineRule="auto"/>
        <w:ind w:firstLine="709"/>
        <w:jc w:val="both"/>
        <w:rPr>
          <w:rFonts w:ascii="Times New Roman" w:hAnsi="Times New Roman" w:cs="Times New Roman"/>
          <w:sz w:val="28"/>
          <w:szCs w:val="28"/>
        </w:rPr>
      </w:pPr>
      <w:r w:rsidRPr="004C66F9">
        <w:rPr>
          <w:rFonts w:ascii="Times New Roman" w:eastAsia="Times New Roman" w:hAnsi="Times New Roman" w:cs="Times New Roman"/>
          <w:color w:val="000000"/>
          <w:sz w:val="28"/>
          <w:szCs w:val="28"/>
          <w:lang w:eastAsia="ru-RU" w:bidi="ru-RU"/>
        </w:rPr>
        <w:t xml:space="preserve">169 292 </w:t>
      </w:r>
      <w:r w:rsidR="006E1AF7">
        <w:rPr>
          <w:rFonts w:ascii="Times New Roman" w:eastAsia="Times New Roman" w:hAnsi="Times New Roman" w:cs="Times New Roman"/>
          <w:color w:val="000000"/>
          <w:sz w:val="28"/>
          <w:szCs w:val="28"/>
          <w:lang w:eastAsia="ru-RU" w:bidi="ru-RU"/>
        </w:rPr>
        <w:t>–</w:t>
      </w:r>
      <w:r w:rsidRPr="004C66F9">
        <w:rPr>
          <w:rFonts w:ascii="Times New Roman" w:eastAsia="Times New Roman" w:hAnsi="Times New Roman" w:cs="Times New Roman"/>
          <w:color w:val="000000"/>
          <w:sz w:val="28"/>
          <w:szCs w:val="28"/>
          <w:lang w:eastAsia="ru-RU" w:bidi="ru-RU"/>
        </w:rPr>
        <w:t xml:space="preserve"> на возмездной форме опеки;</w:t>
      </w:r>
    </w:p>
    <w:p w14:paraId="1B6E3F8A" w14:textId="77777777" w:rsidR="004C66F9" w:rsidRPr="004C66F9" w:rsidRDefault="004C66F9" w:rsidP="004C66F9">
      <w:pPr>
        <w:pStyle w:val="Style2"/>
        <w:shd w:val="clear" w:color="auto" w:fill="auto"/>
        <w:spacing w:after="0" w:line="312" w:lineRule="auto"/>
        <w:ind w:firstLine="709"/>
        <w:jc w:val="both"/>
        <w:rPr>
          <w:rFonts w:ascii="Times New Roman" w:hAnsi="Times New Roman" w:cs="Times New Roman"/>
          <w:sz w:val="28"/>
          <w:szCs w:val="28"/>
        </w:rPr>
      </w:pPr>
      <w:r w:rsidRPr="004C66F9">
        <w:rPr>
          <w:rFonts w:ascii="Times New Roman" w:eastAsia="Times New Roman" w:hAnsi="Times New Roman" w:cs="Times New Roman"/>
          <w:color w:val="000000"/>
          <w:sz w:val="28"/>
          <w:szCs w:val="28"/>
          <w:lang w:eastAsia="ru-RU" w:bidi="ru-RU"/>
        </w:rPr>
        <w:t xml:space="preserve">11 474 </w:t>
      </w:r>
      <w:r w:rsidR="009F02CA">
        <w:rPr>
          <w:rFonts w:ascii="Times New Roman" w:eastAsia="Times New Roman" w:hAnsi="Times New Roman" w:cs="Times New Roman"/>
          <w:color w:val="000000"/>
          <w:sz w:val="28"/>
          <w:szCs w:val="28"/>
          <w:lang w:eastAsia="ru-RU" w:bidi="ru-RU"/>
        </w:rPr>
        <w:t>–</w:t>
      </w:r>
      <w:r w:rsidRPr="004C66F9">
        <w:rPr>
          <w:rFonts w:ascii="Times New Roman" w:eastAsia="Times New Roman" w:hAnsi="Times New Roman" w:cs="Times New Roman"/>
          <w:color w:val="000000"/>
          <w:sz w:val="28"/>
          <w:szCs w:val="28"/>
          <w:lang w:eastAsia="ru-RU" w:bidi="ru-RU"/>
        </w:rPr>
        <w:t xml:space="preserve"> под предварительной опекой (попечительством).</w:t>
      </w:r>
    </w:p>
    <w:p w14:paraId="6F8859D0" w14:textId="77777777" w:rsidR="003800E8" w:rsidRDefault="004C66F9" w:rsidP="004C66F9">
      <w:pPr>
        <w:pStyle w:val="Style2"/>
        <w:shd w:val="clear" w:color="auto" w:fill="auto"/>
        <w:spacing w:after="0" w:line="312" w:lineRule="auto"/>
        <w:ind w:firstLine="709"/>
        <w:jc w:val="both"/>
        <w:rPr>
          <w:rFonts w:ascii="Times New Roman" w:eastAsia="Times New Roman" w:hAnsi="Times New Roman" w:cs="Times New Roman"/>
          <w:color w:val="000000"/>
          <w:sz w:val="28"/>
          <w:szCs w:val="28"/>
          <w:lang w:eastAsia="ru-RU" w:bidi="ru-RU"/>
        </w:rPr>
      </w:pPr>
      <w:r w:rsidRPr="004C66F9">
        <w:rPr>
          <w:rFonts w:ascii="Times New Roman" w:eastAsia="Times New Roman" w:hAnsi="Times New Roman" w:cs="Times New Roman"/>
          <w:color w:val="000000"/>
          <w:sz w:val="28"/>
          <w:szCs w:val="28"/>
          <w:lang w:eastAsia="ru-RU" w:bidi="ru-RU"/>
        </w:rPr>
        <w:t>В 2021 г</w:t>
      </w:r>
      <w:r w:rsidR="00665288">
        <w:rPr>
          <w:rFonts w:ascii="Times New Roman" w:eastAsia="Times New Roman" w:hAnsi="Times New Roman" w:cs="Times New Roman"/>
          <w:color w:val="000000"/>
          <w:sz w:val="28"/>
          <w:szCs w:val="28"/>
          <w:lang w:eastAsia="ru-RU" w:bidi="ru-RU"/>
        </w:rPr>
        <w:t>.</w:t>
      </w:r>
      <w:r w:rsidRPr="004C66F9">
        <w:rPr>
          <w:rFonts w:ascii="Times New Roman" w:eastAsia="Times New Roman" w:hAnsi="Times New Roman" w:cs="Times New Roman"/>
          <w:color w:val="000000"/>
          <w:sz w:val="28"/>
          <w:szCs w:val="28"/>
          <w:lang w:eastAsia="ru-RU" w:bidi="ru-RU"/>
        </w:rPr>
        <w:t xml:space="preserve"> были устроены в семьи 49 183 ребенка из категории детей-сирот и детей, оставшихся без попечения родителей</w:t>
      </w:r>
      <w:r w:rsidR="009F02CA">
        <w:rPr>
          <w:rFonts w:ascii="Times New Roman" w:eastAsia="Times New Roman" w:hAnsi="Times New Roman" w:cs="Times New Roman"/>
          <w:color w:val="000000"/>
          <w:sz w:val="28"/>
          <w:szCs w:val="28"/>
          <w:lang w:eastAsia="ru-RU" w:bidi="ru-RU"/>
        </w:rPr>
        <w:t xml:space="preserve"> (2020 г. – 45 708 детей-</w:t>
      </w:r>
      <w:r w:rsidR="009F02CA" w:rsidRPr="004C66F9">
        <w:rPr>
          <w:rFonts w:ascii="Times New Roman" w:eastAsia="Times New Roman" w:hAnsi="Times New Roman" w:cs="Times New Roman"/>
          <w:color w:val="000000"/>
          <w:sz w:val="28"/>
          <w:szCs w:val="28"/>
          <w:lang w:eastAsia="ru-RU" w:bidi="ru-RU"/>
        </w:rPr>
        <w:t>сирот и детей, остав</w:t>
      </w:r>
      <w:r w:rsidR="009F02CA" w:rsidRPr="004C66F9">
        <w:rPr>
          <w:rStyle w:val="CharStyle8"/>
          <w:rFonts w:ascii="Times New Roman" w:hAnsi="Times New Roman" w:cs="Times New Roman"/>
        </w:rPr>
        <w:t>ши</w:t>
      </w:r>
      <w:r w:rsidR="009F02CA" w:rsidRPr="004C66F9">
        <w:rPr>
          <w:rFonts w:ascii="Times New Roman" w:eastAsia="Times New Roman" w:hAnsi="Times New Roman" w:cs="Times New Roman"/>
          <w:color w:val="000000"/>
          <w:sz w:val="28"/>
          <w:szCs w:val="28"/>
          <w:lang w:eastAsia="ru-RU" w:bidi="ru-RU"/>
        </w:rPr>
        <w:t>хся без попечения родителей</w:t>
      </w:r>
      <w:r w:rsidR="009F02CA">
        <w:rPr>
          <w:rFonts w:ascii="Times New Roman" w:eastAsia="Times New Roman" w:hAnsi="Times New Roman" w:cs="Times New Roman"/>
          <w:color w:val="000000"/>
          <w:sz w:val="28"/>
          <w:szCs w:val="28"/>
          <w:lang w:eastAsia="ru-RU" w:bidi="ru-RU"/>
        </w:rPr>
        <w:t>)</w:t>
      </w:r>
      <w:r w:rsidRPr="004C66F9">
        <w:rPr>
          <w:rFonts w:ascii="Times New Roman" w:eastAsia="Times New Roman" w:hAnsi="Times New Roman" w:cs="Times New Roman"/>
          <w:color w:val="000000"/>
          <w:sz w:val="28"/>
          <w:szCs w:val="28"/>
          <w:lang w:eastAsia="ru-RU" w:bidi="ru-RU"/>
        </w:rPr>
        <w:t xml:space="preserve">. Это в том числе дети, переданные на безвозмездную и возмездную формы опеки, дети, находящиеся под предварительной опекой на конец отчетного года, а также дети, возвращенные биологическим родителям из организаций для детей-сирот. </w:t>
      </w:r>
    </w:p>
    <w:p w14:paraId="5CEA61BE" w14:textId="77777777" w:rsidR="004C66F9" w:rsidRPr="004C66F9" w:rsidRDefault="004C66F9" w:rsidP="004C66F9">
      <w:pPr>
        <w:pStyle w:val="Style2"/>
        <w:shd w:val="clear" w:color="auto" w:fill="auto"/>
        <w:spacing w:after="0" w:line="312" w:lineRule="auto"/>
        <w:ind w:firstLine="709"/>
        <w:jc w:val="both"/>
        <w:rPr>
          <w:rFonts w:ascii="Times New Roman" w:hAnsi="Times New Roman" w:cs="Times New Roman"/>
          <w:sz w:val="28"/>
          <w:szCs w:val="28"/>
        </w:rPr>
      </w:pPr>
      <w:r w:rsidRPr="004C66F9">
        <w:rPr>
          <w:rFonts w:ascii="Times New Roman" w:eastAsia="Times New Roman" w:hAnsi="Times New Roman" w:cs="Times New Roman"/>
          <w:color w:val="000000"/>
          <w:sz w:val="28"/>
          <w:szCs w:val="28"/>
          <w:lang w:eastAsia="ru-RU" w:bidi="ru-RU"/>
        </w:rPr>
        <w:t>Несмотря на периодически вводимые в субъектах Российской Федерации ограничительные меры ввиду санитарно-эпидемиологической обстановки, временную приостановку в некоторых субъектах Российской Федерации семейного устройства детей-сирот и детей, остав</w:t>
      </w:r>
      <w:r w:rsidRPr="004C66F9">
        <w:rPr>
          <w:rStyle w:val="CharStyle8"/>
          <w:rFonts w:ascii="Times New Roman" w:hAnsi="Times New Roman" w:cs="Times New Roman"/>
        </w:rPr>
        <w:t>ши</w:t>
      </w:r>
      <w:r w:rsidRPr="004C66F9">
        <w:rPr>
          <w:rFonts w:ascii="Times New Roman" w:eastAsia="Times New Roman" w:hAnsi="Times New Roman" w:cs="Times New Roman"/>
          <w:color w:val="000000"/>
          <w:sz w:val="28"/>
          <w:szCs w:val="28"/>
          <w:lang w:eastAsia="ru-RU" w:bidi="ru-RU"/>
        </w:rPr>
        <w:t>хся без попечения родителей, а также сложности в организации встреч и общения кандидатов с детьми, за последние 6 лет 2021 г</w:t>
      </w:r>
      <w:r w:rsidR="00C87F67">
        <w:rPr>
          <w:rFonts w:ascii="Times New Roman" w:eastAsia="Times New Roman" w:hAnsi="Times New Roman" w:cs="Times New Roman"/>
          <w:color w:val="000000"/>
          <w:sz w:val="28"/>
          <w:szCs w:val="28"/>
          <w:lang w:eastAsia="ru-RU" w:bidi="ru-RU"/>
        </w:rPr>
        <w:t>.</w:t>
      </w:r>
      <w:r w:rsidRPr="004C66F9">
        <w:rPr>
          <w:rFonts w:ascii="Times New Roman" w:eastAsia="Times New Roman" w:hAnsi="Times New Roman" w:cs="Times New Roman"/>
          <w:color w:val="000000"/>
          <w:sz w:val="28"/>
          <w:szCs w:val="28"/>
          <w:lang w:eastAsia="ru-RU" w:bidi="ru-RU"/>
        </w:rPr>
        <w:t xml:space="preserve"> стал первым годом, когда зафиксирована положительная динамика показателя численности детей названных категорий, устроенных в семьи граждан, и рост данного показателя составил 8% по сравнению с 2020 г.</w:t>
      </w:r>
    </w:p>
    <w:p w14:paraId="26B4A67E" w14:textId="77777777" w:rsidR="004C66F9" w:rsidRPr="004C66F9" w:rsidRDefault="004C66F9" w:rsidP="004C66F9">
      <w:pPr>
        <w:pStyle w:val="Style2"/>
        <w:shd w:val="clear" w:color="auto" w:fill="auto"/>
        <w:spacing w:after="0" w:line="312" w:lineRule="auto"/>
        <w:ind w:firstLine="709"/>
        <w:jc w:val="both"/>
        <w:rPr>
          <w:rFonts w:ascii="Times New Roman" w:hAnsi="Times New Roman" w:cs="Times New Roman"/>
          <w:sz w:val="28"/>
          <w:szCs w:val="28"/>
        </w:rPr>
      </w:pPr>
      <w:r w:rsidRPr="002439DF">
        <w:rPr>
          <w:rFonts w:ascii="Times New Roman" w:eastAsia="Times New Roman" w:hAnsi="Times New Roman" w:cs="Times New Roman"/>
          <w:color w:val="000000"/>
          <w:sz w:val="28"/>
          <w:szCs w:val="28"/>
          <w:lang w:eastAsia="ru-RU" w:bidi="ru-RU"/>
        </w:rPr>
        <w:t>В целом</w:t>
      </w:r>
      <w:r w:rsidRPr="004C66F9">
        <w:rPr>
          <w:rFonts w:ascii="Times New Roman" w:eastAsia="Times New Roman" w:hAnsi="Times New Roman" w:cs="Times New Roman"/>
          <w:color w:val="000000"/>
          <w:sz w:val="28"/>
          <w:szCs w:val="28"/>
          <w:lang w:eastAsia="ru-RU" w:bidi="ru-RU"/>
        </w:rPr>
        <w:t>, пандемия и ввод ограничительных мер актуализировали важность межведомственного взаимодействия и активизации разнообразных ресурсов для поддержки семей, использования адресного и индивидуального подхода.</w:t>
      </w:r>
    </w:p>
    <w:p w14:paraId="7B63FBE6" w14:textId="77777777" w:rsidR="004C66F9" w:rsidRPr="004C66F9" w:rsidRDefault="004C66F9" w:rsidP="004C66F9">
      <w:pPr>
        <w:pStyle w:val="Style2"/>
        <w:shd w:val="clear" w:color="auto" w:fill="auto"/>
        <w:spacing w:after="0" w:line="312" w:lineRule="auto"/>
        <w:ind w:firstLine="709"/>
        <w:jc w:val="both"/>
        <w:rPr>
          <w:rFonts w:ascii="Times New Roman" w:hAnsi="Times New Roman" w:cs="Times New Roman"/>
          <w:sz w:val="28"/>
          <w:szCs w:val="28"/>
        </w:rPr>
      </w:pPr>
      <w:r w:rsidRPr="004C66F9">
        <w:rPr>
          <w:rFonts w:ascii="Times New Roman" w:eastAsia="Times New Roman" w:hAnsi="Times New Roman" w:cs="Times New Roman"/>
          <w:color w:val="000000"/>
          <w:sz w:val="28"/>
          <w:szCs w:val="28"/>
          <w:lang w:eastAsia="ru-RU" w:bidi="ru-RU"/>
        </w:rPr>
        <w:t xml:space="preserve">В 2021 </w:t>
      </w:r>
      <w:r w:rsidR="00C87F67">
        <w:rPr>
          <w:rFonts w:ascii="Times New Roman" w:eastAsia="Times New Roman" w:hAnsi="Times New Roman" w:cs="Times New Roman"/>
          <w:color w:val="000000"/>
          <w:sz w:val="28"/>
          <w:szCs w:val="28"/>
          <w:lang w:eastAsia="ru-RU" w:bidi="ru-RU"/>
        </w:rPr>
        <w:t>г.</w:t>
      </w:r>
      <w:r w:rsidRPr="004C66F9">
        <w:rPr>
          <w:rFonts w:ascii="Times New Roman" w:eastAsia="Times New Roman" w:hAnsi="Times New Roman" w:cs="Times New Roman"/>
          <w:color w:val="000000"/>
          <w:sz w:val="28"/>
          <w:szCs w:val="28"/>
          <w:lang w:eastAsia="ru-RU" w:bidi="ru-RU"/>
        </w:rPr>
        <w:t xml:space="preserve"> Минпросвещения России продолжена работа по профилактике суицидального, аддиктивного поведения несовершеннолетних. В адрес выс</w:t>
      </w:r>
      <w:r w:rsidRPr="004C66F9">
        <w:rPr>
          <w:rStyle w:val="CharStyle8"/>
          <w:rFonts w:ascii="Times New Roman" w:hAnsi="Times New Roman" w:cs="Times New Roman"/>
        </w:rPr>
        <w:t>ши</w:t>
      </w:r>
      <w:r w:rsidRPr="004C66F9">
        <w:rPr>
          <w:rFonts w:ascii="Times New Roman" w:eastAsia="Times New Roman" w:hAnsi="Times New Roman" w:cs="Times New Roman"/>
          <w:color w:val="000000"/>
          <w:sz w:val="28"/>
          <w:szCs w:val="28"/>
          <w:lang w:eastAsia="ru-RU" w:bidi="ru-RU"/>
        </w:rPr>
        <w:t>х исполнительных органов государственной власти субъектов Российской Федерации направлены рекомендации по проведению в образовательных организациях</w:t>
      </w:r>
      <w:r w:rsidRPr="004C66F9">
        <w:rPr>
          <w:rFonts w:ascii="Times New Roman" w:hAnsi="Times New Roman" w:cs="Times New Roman"/>
          <w:sz w:val="28"/>
          <w:szCs w:val="28"/>
        </w:rPr>
        <w:t xml:space="preserve"> </w:t>
      </w:r>
      <w:r w:rsidRPr="004C66F9">
        <w:rPr>
          <w:rFonts w:ascii="Times New Roman" w:eastAsia="Times New Roman" w:hAnsi="Times New Roman" w:cs="Times New Roman"/>
          <w:color w:val="000000"/>
          <w:sz w:val="28"/>
          <w:szCs w:val="28"/>
          <w:lang w:eastAsia="ru-RU" w:bidi="ru-RU"/>
        </w:rPr>
        <w:t xml:space="preserve">с обучающимися профилактических мероприятий, направленных на формирование у них позитивного мышления, принципов здорового образа жизни, которым в том числе рекомендовано педагогам-психологам образовательных организаций использовать разнообразные формы работы, ориентированные на сплочение детских коллективов (развитие навыков конструктивной коммуникации, эмоционального интеллекта, </w:t>
      </w:r>
      <w:proofErr w:type="spellStart"/>
      <w:r w:rsidRPr="004C66F9">
        <w:rPr>
          <w:rFonts w:ascii="Times New Roman" w:eastAsia="Times New Roman" w:hAnsi="Times New Roman" w:cs="Times New Roman"/>
          <w:color w:val="000000"/>
          <w:sz w:val="28"/>
          <w:szCs w:val="28"/>
          <w:lang w:eastAsia="ru-RU" w:bidi="ru-RU"/>
        </w:rPr>
        <w:t>копинг</w:t>
      </w:r>
      <w:proofErr w:type="spellEnd"/>
      <w:r w:rsidRPr="004C66F9">
        <w:rPr>
          <w:rFonts w:ascii="Times New Roman" w:eastAsia="Times New Roman" w:hAnsi="Times New Roman" w:cs="Times New Roman"/>
          <w:color w:val="000000"/>
          <w:sz w:val="28"/>
          <w:szCs w:val="28"/>
          <w:lang w:eastAsia="ru-RU" w:bidi="ru-RU"/>
        </w:rPr>
        <w:t xml:space="preserve">-стратегий), так и на формирование личностных качеств школьников, связанных со способностью брать на себя ответственность, готовностью к сознательному выбору социальных ориентиров и организации в соответствии с ними своей деятельности, </w:t>
      </w:r>
      <w:proofErr w:type="spellStart"/>
      <w:r w:rsidRPr="004C66F9">
        <w:rPr>
          <w:rFonts w:ascii="Times New Roman" w:eastAsia="Times New Roman" w:hAnsi="Times New Roman" w:cs="Times New Roman"/>
          <w:color w:val="000000"/>
          <w:sz w:val="28"/>
          <w:szCs w:val="28"/>
          <w:lang w:eastAsia="ru-RU" w:bidi="ru-RU"/>
        </w:rPr>
        <w:t>рефлексивности</w:t>
      </w:r>
      <w:proofErr w:type="spellEnd"/>
      <w:r w:rsidRPr="004C66F9">
        <w:rPr>
          <w:rFonts w:ascii="Times New Roman" w:eastAsia="Times New Roman" w:hAnsi="Times New Roman" w:cs="Times New Roman"/>
          <w:color w:val="000000"/>
          <w:sz w:val="28"/>
          <w:szCs w:val="28"/>
          <w:lang w:eastAsia="ru-RU" w:bidi="ru-RU"/>
        </w:rPr>
        <w:t>, чувства социальной уверенности.</w:t>
      </w:r>
    </w:p>
    <w:p w14:paraId="45C39560" w14:textId="77777777" w:rsidR="004C66F9" w:rsidRPr="004C66F9" w:rsidRDefault="004C66F9" w:rsidP="004C66F9">
      <w:pPr>
        <w:pStyle w:val="Style2"/>
        <w:shd w:val="clear" w:color="auto" w:fill="auto"/>
        <w:spacing w:after="0" w:line="312" w:lineRule="auto"/>
        <w:ind w:firstLine="709"/>
        <w:jc w:val="both"/>
        <w:rPr>
          <w:rFonts w:ascii="Times New Roman" w:hAnsi="Times New Roman" w:cs="Times New Roman"/>
          <w:sz w:val="28"/>
          <w:szCs w:val="28"/>
        </w:rPr>
      </w:pPr>
      <w:r w:rsidRPr="004C66F9">
        <w:rPr>
          <w:rFonts w:ascii="Times New Roman" w:eastAsia="Times New Roman" w:hAnsi="Times New Roman" w:cs="Times New Roman"/>
          <w:color w:val="000000"/>
          <w:sz w:val="28"/>
          <w:szCs w:val="28"/>
          <w:lang w:eastAsia="ru-RU" w:bidi="ru-RU"/>
        </w:rPr>
        <w:t xml:space="preserve">Во взаимодействии с Общероссийской общественно-государственной детско- юношеской организации «Российское движение школьников» (далее </w:t>
      </w:r>
      <w:r w:rsidR="002439DF">
        <w:rPr>
          <w:rFonts w:ascii="Times New Roman" w:eastAsia="Times New Roman" w:hAnsi="Times New Roman" w:cs="Times New Roman"/>
          <w:color w:val="000000"/>
          <w:sz w:val="28"/>
          <w:szCs w:val="28"/>
          <w:lang w:eastAsia="ru-RU" w:bidi="ru-RU"/>
        </w:rPr>
        <w:t>–</w:t>
      </w:r>
      <w:r w:rsidRPr="004C66F9">
        <w:rPr>
          <w:rFonts w:ascii="Times New Roman" w:eastAsia="Times New Roman" w:hAnsi="Times New Roman" w:cs="Times New Roman"/>
          <w:color w:val="000000"/>
          <w:sz w:val="28"/>
          <w:szCs w:val="28"/>
          <w:lang w:eastAsia="ru-RU" w:bidi="ru-RU"/>
        </w:rPr>
        <w:t xml:space="preserve"> </w:t>
      </w:r>
      <w:r w:rsidR="002439DF">
        <w:rPr>
          <w:rFonts w:ascii="Times New Roman" w:eastAsia="Times New Roman" w:hAnsi="Times New Roman" w:cs="Times New Roman"/>
          <w:color w:val="000000"/>
          <w:sz w:val="28"/>
          <w:szCs w:val="28"/>
          <w:lang w:eastAsia="ru-RU" w:bidi="ru-RU"/>
        </w:rPr>
        <w:t>Российское движение школьников</w:t>
      </w:r>
      <w:r w:rsidRPr="004C66F9">
        <w:rPr>
          <w:rFonts w:ascii="Times New Roman" w:eastAsia="Times New Roman" w:hAnsi="Times New Roman" w:cs="Times New Roman"/>
          <w:color w:val="000000"/>
          <w:sz w:val="28"/>
          <w:szCs w:val="28"/>
          <w:lang w:eastAsia="ru-RU" w:bidi="ru-RU"/>
        </w:rPr>
        <w:t xml:space="preserve">) </w:t>
      </w:r>
      <w:r w:rsidR="00B363EC" w:rsidRPr="004C66F9">
        <w:rPr>
          <w:rFonts w:ascii="Times New Roman" w:eastAsia="Times New Roman" w:hAnsi="Times New Roman" w:cs="Times New Roman"/>
          <w:color w:val="000000"/>
          <w:sz w:val="28"/>
          <w:szCs w:val="28"/>
          <w:lang w:eastAsia="ru-RU" w:bidi="ru-RU"/>
        </w:rPr>
        <w:t>в 2021 г</w:t>
      </w:r>
      <w:r w:rsidR="00C87F67">
        <w:rPr>
          <w:rFonts w:ascii="Times New Roman" w:eastAsia="Times New Roman" w:hAnsi="Times New Roman" w:cs="Times New Roman"/>
          <w:color w:val="000000"/>
          <w:sz w:val="28"/>
          <w:szCs w:val="28"/>
          <w:lang w:eastAsia="ru-RU" w:bidi="ru-RU"/>
        </w:rPr>
        <w:t>.</w:t>
      </w:r>
      <w:r w:rsidR="00B363EC" w:rsidRPr="004C66F9">
        <w:rPr>
          <w:rFonts w:ascii="Times New Roman" w:eastAsia="Times New Roman" w:hAnsi="Times New Roman" w:cs="Times New Roman"/>
          <w:color w:val="000000"/>
          <w:sz w:val="28"/>
          <w:szCs w:val="28"/>
          <w:lang w:eastAsia="ru-RU" w:bidi="ru-RU"/>
        </w:rPr>
        <w:t xml:space="preserve"> </w:t>
      </w:r>
      <w:r w:rsidRPr="004C66F9">
        <w:rPr>
          <w:rFonts w:ascii="Times New Roman" w:eastAsia="Times New Roman" w:hAnsi="Times New Roman" w:cs="Times New Roman"/>
          <w:color w:val="000000"/>
          <w:sz w:val="28"/>
          <w:szCs w:val="28"/>
          <w:lang w:eastAsia="ru-RU" w:bidi="ru-RU"/>
        </w:rPr>
        <w:t xml:space="preserve">Минпросвещения России проведены мероприятия, направленные на решение комплекса детских и подростковых проблем, включая одиночество, эгоизм, жестокость, </w:t>
      </w:r>
      <w:proofErr w:type="spellStart"/>
      <w:r w:rsidRPr="004C66F9">
        <w:rPr>
          <w:rFonts w:ascii="Times New Roman" w:eastAsia="Times New Roman" w:hAnsi="Times New Roman" w:cs="Times New Roman"/>
          <w:color w:val="000000"/>
          <w:sz w:val="28"/>
          <w:szCs w:val="28"/>
          <w:lang w:eastAsia="ru-RU" w:bidi="ru-RU"/>
        </w:rPr>
        <w:t>социопатию</w:t>
      </w:r>
      <w:proofErr w:type="spellEnd"/>
      <w:r w:rsidRPr="004C66F9">
        <w:rPr>
          <w:rFonts w:ascii="Times New Roman" w:eastAsia="Times New Roman" w:hAnsi="Times New Roman" w:cs="Times New Roman"/>
          <w:color w:val="000000"/>
          <w:sz w:val="28"/>
          <w:szCs w:val="28"/>
          <w:lang w:eastAsia="ru-RU" w:bidi="ru-RU"/>
        </w:rPr>
        <w:t xml:space="preserve"> и иные, влияющих на риск формирования отклоняющегося поведения. В совместно реализованных Минпросвещения России и </w:t>
      </w:r>
      <w:r w:rsidR="002439DF">
        <w:rPr>
          <w:rFonts w:ascii="Times New Roman" w:eastAsia="Times New Roman" w:hAnsi="Times New Roman" w:cs="Times New Roman"/>
          <w:color w:val="000000"/>
          <w:sz w:val="28"/>
          <w:szCs w:val="28"/>
          <w:lang w:eastAsia="ru-RU" w:bidi="ru-RU"/>
        </w:rPr>
        <w:t>Российским движением школьников</w:t>
      </w:r>
      <w:r w:rsidRPr="004C66F9">
        <w:rPr>
          <w:rFonts w:ascii="Times New Roman" w:eastAsia="Times New Roman" w:hAnsi="Times New Roman" w:cs="Times New Roman"/>
          <w:color w:val="000000"/>
          <w:sz w:val="28"/>
          <w:szCs w:val="28"/>
          <w:lang w:eastAsia="ru-RU" w:bidi="ru-RU"/>
        </w:rPr>
        <w:t xml:space="preserve"> проектах, направленных на формирование гражданской идентичности, навыков социализации, повышение информированности обучающихся о нормах и правилах общественного поведения («Лига решений», «Лига вожатых», «Академия гражданина» и иные), обучающимся предоставлялась возможность проявлять свою активность в общественно полезной деятельности, что также способствовало снижению риска формирования суицидального, деструктивного поведения.</w:t>
      </w:r>
    </w:p>
    <w:p w14:paraId="7B465039" w14:textId="77777777" w:rsidR="004C66F9" w:rsidRPr="004C66F9" w:rsidRDefault="004C66F9" w:rsidP="004C66F9">
      <w:pPr>
        <w:pStyle w:val="Style2"/>
        <w:shd w:val="clear" w:color="auto" w:fill="auto"/>
        <w:spacing w:after="0" w:line="312" w:lineRule="auto"/>
        <w:ind w:firstLine="709"/>
        <w:jc w:val="both"/>
        <w:rPr>
          <w:rFonts w:ascii="Times New Roman" w:hAnsi="Times New Roman" w:cs="Times New Roman"/>
          <w:sz w:val="28"/>
          <w:szCs w:val="28"/>
        </w:rPr>
      </w:pPr>
      <w:r w:rsidRPr="004C66F9">
        <w:rPr>
          <w:rFonts w:ascii="Times New Roman" w:eastAsia="Times New Roman" w:hAnsi="Times New Roman" w:cs="Times New Roman"/>
          <w:color w:val="000000"/>
          <w:sz w:val="28"/>
          <w:szCs w:val="28"/>
          <w:lang w:eastAsia="ru-RU" w:bidi="ru-RU"/>
        </w:rPr>
        <w:t>Кроме того, организовано проведение Всероссийской недели родительской компетентности, в рамках которой специалисты девяти веду</w:t>
      </w:r>
      <w:r w:rsidRPr="004C66F9">
        <w:rPr>
          <w:rStyle w:val="CharStyle8"/>
          <w:rFonts w:ascii="Times New Roman" w:hAnsi="Times New Roman" w:cs="Times New Roman"/>
        </w:rPr>
        <w:t>щи</w:t>
      </w:r>
      <w:r w:rsidRPr="004C66F9">
        <w:rPr>
          <w:rFonts w:ascii="Times New Roman" w:eastAsia="Times New Roman" w:hAnsi="Times New Roman" w:cs="Times New Roman"/>
          <w:color w:val="000000"/>
          <w:sz w:val="28"/>
          <w:szCs w:val="28"/>
          <w:lang w:eastAsia="ru-RU" w:bidi="ru-RU"/>
        </w:rPr>
        <w:t xml:space="preserve">х педагогических вузов провели серию вебинаров, лекций, мастер-классов для родителей (законных представителей) обучающихся по актуальным вопросам воспитания и развития детей и подростков, включая предупреждение рисков </w:t>
      </w:r>
      <w:proofErr w:type="spellStart"/>
      <w:r w:rsidRPr="004C66F9">
        <w:rPr>
          <w:rFonts w:ascii="Times New Roman" w:eastAsia="Times New Roman" w:hAnsi="Times New Roman" w:cs="Times New Roman"/>
          <w:color w:val="000000"/>
          <w:sz w:val="28"/>
          <w:szCs w:val="28"/>
          <w:lang w:eastAsia="ru-RU" w:bidi="ru-RU"/>
        </w:rPr>
        <w:t>аутоагрессивного</w:t>
      </w:r>
      <w:proofErr w:type="spellEnd"/>
      <w:r w:rsidRPr="004C66F9">
        <w:rPr>
          <w:rFonts w:ascii="Times New Roman" w:eastAsia="Times New Roman" w:hAnsi="Times New Roman" w:cs="Times New Roman"/>
          <w:color w:val="000000"/>
          <w:sz w:val="28"/>
          <w:szCs w:val="28"/>
          <w:lang w:eastAsia="ru-RU" w:bidi="ru-RU"/>
        </w:rPr>
        <w:t xml:space="preserve"> поведения. Материалы мероприятий направлены в органы исполнительной власти субъектов Российской Федерации, осуществляющие государственное управление в сфере образования, а также размещены на официальном сайте Минпросвещения России.</w:t>
      </w:r>
    </w:p>
    <w:p w14:paraId="53809E6E" w14:textId="77777777" w:rsidR="004C66F9" w:rsidRPr="004C66F9" w:rsidRDefault="004C66F9" w:rsidP="004C66F9">
      <w:pPr>
        <w:pStyle w:val="Style2"/>
        <w:shd w:val="clear" w:color="auto" w:fill="auto"/>
        <w:spacing w:after="0" w:line="312" w:lineRule="auto"/>
        <w:ind w:firstLine="709"/>
        <w:jc w:val="both"/>
        <w:rPr>
          <w:rFonts w:ascii="Times New Roman" w:hAnsi="Times New Roman" w:cs="Times New Roman"/>
          <w:sz w:val="28"/>
          <w:szCs w:val="28"/>
        </w:rPr>
      </w:pPr>
      <w:r w:rsidRPr="004C66F9">
        <w:rPr>
          <w:rFonts w:ascii="Times New Roman" w:eastAsia="Times New Roman" w:hAnsi="Times New Roman" w:cs="Times New Roman"/>
          <w:color w:val="000000"/>
          <w:sz w:val="28"/>
          <w:szCs w:val="28"/>
          <w:lang w:eastAsia="ru-RU" w:bidi="ru-RU"/>
        </w:rPr>
        <w:t>Минпросвещения России совместно с МВД России, Минтрудом России и Минздравом России в июле 2021 г. разработана модель межведомственного взаимодействия органов и учреждений системы профилактики безнадзорности</w:t>
      </w:r>
      <w:r w:rsidRPr="004C66F9">
        <w:rPr>
          <w:rFonts w:ascii="Times New Roman" w:hAnsi="Times New Roman" w:cs="Times New Roman"/>
          <w:sz w:val="28"/>
          <w:szCs w:val="28"/>
        </w:rPr>
        <w:t xml:space="preserve"> </w:t>
      </w:r>
      <w:r w:rsidRPr="004C66F9">
        <w:rPr>
          <w:rFonts w:ascii="Times New Roman" w:eastAsia="Times New Roman" w:hAnsi="Times New Roman" w:cs="Times New Roman"/>
          <w:color w:val="000000"/>
          <w:sz w:val="28"/>
          <w:szCs w:val="28"/>
          <w:lang w:eastAsia="ru-RU" w:bidi="ru-RU"/>
        </w:rPr>
        <w:t>и правонарушений несовершеннолетних, направленная на исключение случаев необоснованной госпитализации детей перед их помещением в организации для детей-сирот и детей, остав</w:t>
      </w:r>
      <w:r w:rsidRPr="004C66F9">
        <w:rPr>
          <w:rStyle w:val="CharStyle8"/>
          <w:rFonts w:ascii="Times New Roman" w:hAnsi="Times New Roman" w:cs="Times New Roman"/>
        </w:rPr>
        <w:t>ши</w:t>
      </w:r>
      <w:r w:rsidRPr="004C66F9">
        <w:rPr>
          <w:rFonts w:ascii="Times New Roman" w:eastAsia="Times New Roman" w:hAnsi="Times New Roman" w:cs="Times New Roman"/>
          <w:color w:val="000000"/>
          <w:sz w:val="28"/>
          <w:szCs w:val="28"/>
          <w:lang w:eastAsia="ru-RU" w:bidi="ru-RU"/>
        </w:rPr>
        <w:t>хся без попечения родителей, или специализированные учреждения.</w:t>
      </w:r>
    </w:p>
    <w:p w14:paraId="084AC864" w14:textId="77777777" w:rsidR="004C66F9" w:rsidRPr="004C66F9" w:rsidRDefault="004C66F9" w:rsidP="004C66F9">
      <w:pPr>
        <w:pStyle w:val="Style2"/>
        <w:shd w:val="clear" w:color="auto" w:fill="auto"/>
        <w:spacing w:after="0" w:line="312" w:lineRule="auto"/>
        <w:ind w:firstLine="709"/>
        <w:jc w:val="both"/>
        <w:rPr>
          <w:rFonts w:ascii="Times New Roman" w:hAnsi="Times New Roman" w:cs="Times New Roman"/>
          <w:sz w:val="28"/>
          <w:szCs w:val="28"/>
        </w:rPr>
      </w:pPr>
      <w:r w:rsidRPr="004C66F9">
        <w:rPr>
          <w:rFonts w:ascii="Times New Roman" w:eastAsia="Times New Roman" w:hAnsi="Times New Roman" w:cs="Times New Roman"/>
          <w:color w:val="000000"/>
          <w:sz w:val="28"/>
          <w:szCs w:val="28"/>
          <w:lang w:eastAsia="ru-RU" w:bidi="ru-RU"/>
        </w:rPr>
        <w:t xml:space="preserve">По итогам апробации модели межведомственного взаимодействия </w:t>
      </w:r>
      <w:r w:rsidR="00E06142">
        <w:rPr>
          <w:rFonts w:ascii="Times New Roman" w:eastAsia="Times New Roman" w:hAnsi="Times New Roman" w:cs="Times New Roman"/>
          <w:color w:val="000000"/>
          <w:sz w:val="28"/>
          <w:szCs w:val="28"/>
          <w:lang w:eastAsia="ru-RU" w:bidi="ru-RU"/>
        </w:rPr>
        <w:br/>
      </w:r>
      <w:r w:rsidRPr="004C66F9">
        <w:rPr>
          <w:rFonts w:ascii="Times New Roman" w:eastAsia="Times New Roman" w:hAnsi="Times New Roman" w:cs="Times New Roman"/>
          <w:color w:val="000000"/>
          <w:sz w:val="28"/>
          <w:szCs w:val="28"/>
          <w:lang w:eastAsia="ru-RU" w:bidi="ru-RU"/>
        </w:rPr>
        <w:t>в 9 субъектах Российской Федерации (Забайкальский, Красноярский, Приморский, Ставропольский края, Калининградская, Московская, Новосибирская, Пензенская, Челябинская области) Правительством Российской Федерации принято решение об утверждении соответствующих региональных регламентов (порядков) межведомственного взаимодействия, в целях исключения случаев необоснованной госпитализации детей на всей территории Российской Федерации.</w:t>
      </w:r>
    </w:p>
    <w:p w14:paraId="37F6636B" w14:textId="77777777" w:rsidR="004C66F9" w:rsidRPr="004C66F9" w:rsidRDefault="004C66F9" w:rsidP="004C66F9">
      <w:pPr>
        <w:pStyle w:val="Style2"/>
        <w:shd w:val="clear" w:color="auto" w:fill="auto"/>
        <w:spacing w:after="0" w:line="312" w:lineRule="auto"/>
        <w:ind w:firstLine="709"/>
        <w:jc w:val="both"/>
        <w:rPr>
          <w:rFonts w:ascii="Times New Roman" w:hAnsi="Times New Roman" w:cs="Times New Roman"/>
          <w:sz w:val="28"/>
          <w:szCs w:val="28"/>
        </w:rPr>
      </w:pPr>
      <w:r w:rsidRPr="004C66F9">
        <w:rPr>
          <w:rFonts w:ascii="Times New Roman" w:eastAsia="Times New Roman" w:hAnsi="Times New Roman" w:cs="Times New Roman"/>
          <w:color w:val="000000"/>
          <w:sz w:val="28"/>
          <w:szCs w:val="28"/>
          <w:lang w:eastAsia="ru-RU" w:bidi="ru-RU"/>
        </w:rPr>
        <w:t>Во исполнение поручения Совета при Правительстве Российской Федерации по вопросам попечительства в социальной сфере Минпросвещения России в 2021 г</w:t>
      </w:r>
      <w:r w:rsidR="00C87F67">
        <w:rPr>
          <w:rFonts w:ascii="Times New Roman" w:eastAsia="Times New Roman" w:hAnsi="Times New Roman" w:cs="Times New Roman"/>
          <w:color w:val="000000"/>
          <w:sz w:val="28"/>
          <w:szCs w:val="28"/>
          <w:lang w:eastAsia="ru-RU" w:bidi="ru-RU"/>
        </w:rPr>
        <w:t>.</w:t>
      </w:r>
      <w:r w:rsidRPr="004C66F9">
        <w:rPr>
          <w:rFonts w:ascii="Times New Roman" w:eastAsia="Times New Roman" w:hAnsi="Times New Roman" w:cs="Times New Roman"/>
          <w:color w:val="000000"/>
          <w:sz w:val="28"/>
          <w:szCs w:val="28"/>
          <w:lang w:eastAsia="ru-RU" w:bidi="ru-RU"/>
        </w:rPr>
        <w:t xml:space="preserve"> проведен мониторинг соответствия деятельности организаций для детей-сирот и детей, оставшихся без попечения родителей, требованиям Положения о деятельности организаций для детей-сирот и детей, оставшихся без попечения родителей, и об устройстве в них детей, остав</w:t>
      </w:r>
      <w:r w:rsidRPr="004C66F9">
        <w:rPr>
          <w:rStyle w:val="CharStyle8"/>
          <w:rFonts w:ascii="Times New Roman" w:hAnsi="Times New Roman" w:cs="Times New Roman"/>
        </w:rPr>
        <w:t>ши</w:t>
      </w:r>
      <w:r w:rsidRPr="004C66F9">
        <w:rPr>
          <w:rFonts w:ascii="Times New Roman" w:eastAsia="Times New Roman" w:hAnsi="Times New Roman" w:cs="Times New Roman"/>
          <w:color w:val="000000"/>
          <w:sz w:val="28"/>
          <w:szCs w:val="28"/>
          <w:lang w:eastAsia="ru-RU" w:bidi="ru-RU"/>
        </w:rPr>
        <w:t>хся без попечения родителей, утвержденного постановлением Правительства Российской Федерации от 24 мая 2014 г. № 481.</w:t>
      </w:r>
    </w:p>
    <w:p w14:paraId="0250D777" w14:textId="77777777" w:rsidR="004C66F9" w:rsidRPr="004C66F9" w:rsidRDefault="004C66F9" w:rsidP="00E06142">
      <w:pPr>
        <w:pStyle w:val="Style2"/>
        <w:shd w:val="clear" w:color="auto" w:fill="auto"/>
        <w:spacing w:after="0" w:line="312" w:lineRule="auto"/>
        <w:ind w:firstLine="709"/>
        <w:jc w:val="both"/>
        <w:rPr>
          <w:rFonts w:ascii="Times New Roman" w:hAnsi="Times New Roman" w:cs="Times New Roman"/>
          <w:sz w:val="28"/>
          <w:szCs w:val="28"/>
        </w:rPr>
      </w:pPr>
      <w:r w:rsidRPr="004C66F9">
        <w:rPr>
          <w:rFonts w:ascii="Times New Roman" w:eastAsia="Times New Roman" w:hAnsi="Times New Roman" w:cs="Times New Roman"/>
          <w:color w:val="000000"/>
          <w:sz w:val="28"/>
          <w:szCs w:val="28"/>
          <w:lang w:eastAsia="ru-RU" w:bidi="ru-RU"/>
        </w:rPr>
        <w:t>По итогам экспертной оценки в результате указанного мониторинга число таких организаций, не соответствующих требованиям данного нормативного акта,</w:t>
      </w:r>
      <w:r w:rsidRPr="004C66F9">
        <w:rPr>
          <w:rFonts w:ascii="Times New Roman" w:hAnsi="Times New Roman" w:cs="Times New Roman"/>
          <w:sz w:val="28"/>
          <w:szCs w:val="28"/>
        </w:rPr>
        <w:t xml:space="preserve"> </w:t>
      </w:r>
      <w:r w:rsidRPr="004C66F9">
        <w:rPr>
          <w:rFonts w:ascii="Times New Roman" w:eastAsia="Times New Roman" w:hAnsi="Times New Roman" w:cs="Times New Roman"/>
          <w:color w:val="000000"/>
          <w:sz w:val="28"/>
          <w:szCs w:val="28"/>
          <w:lang w:eastAsia="ru-RU" w:bidi="ru-RU"/>
        </w:rPr>
        <w:t>составило всего 0,3% от общего числа организаций, предоставивших информацию (из 226 организаций для детей-сирот и детей, оставшихся без попечения родителей).</w:t>
      </w:r>
      <w:r w:rsidR="00E06142">
        <w:rPr>
          <w:rFonts w:ascii="Times New Roman" w:hAnsi="Times New Roman" w:cs="Times New Roman"/>
          <w:sz w:val="28"/>
          <w:szCs w:val="28"/>
        </w:rPr>
        <w:t xml:space="preserve"> </w:t>
      </w:r>
      <w:r w:rsidRPr="004C66F9">
        <w:rPr>
          <w:rFonts w:ascii="Times New Roman" w:eastAsia="Times New Roman" w:hAnsi="Times New Roman" w:cs="Times New Roman"/>
          <w:color w:val="000000"/>
          <w:sz w:val="28"/>
          <w:szCs w:val="28"/>
          <w:lang w:eastAsia="ru-RU" w:bidi="ru-RU"/>
        </w:rPr>
        <w:t>99,7% организаций для детей-сирот полностью или частично соответствуют требованиям названного Положения.</w:t>
      </w:r>
    </w:p>
    <w:p w14:paraId="7266B0AB" w14:textId="77777777" w:rsidR="004C66F9" w:rsidRPr="004C66F9" w:rsidRDefault="00E06142" w:rsidP="004C66F9">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В</w:t>
      </w:r>
      <w:r w:rsidR="004C66F9" w:rsidRPr="004C66F9">
        <w:rPr>
          <w:rFonts w:ascii="Times New Roman" w:eastAsia="Times New Roman" w:hAnsi="Times New Roman" w:cs="Times New Roman"/>
          <w:color w:val="000000"/>
          <w:sz w:val="28"/>
          <w:szCs w:val="28"/>
          <w:lang w:eastAsia="ru-RU" w:bidi="ru-RU"/>
        </w:rPr>
        <w:t xml:space="preserve"> 399 организациях для детей-сирот и детей, остав</w:t>
      </w:r>
      <w:r w:rsidR="004C66F9" w:rsidRPr="004C66F9">
        <w:rPr>
          <w:rStyle w:val="CharStyle8"/>
          <w:rFonts w:ascii="Times New Roman" w:hAnsi="Times New Roman" w:cs="Times New Roman"/>
        </w:rPr>
        <w:t>ши</w:t>
      </w:r>
      <w:r w:rsidR="004C66F9" w:rsidRPr="004C66F9">
        <w:rPr>
          <w:rFonts w:ascii="Times New Roman" w:eastAsia="Times New Roman" w:hAnsi="Times New Roman" w:cs="Times New Roman"/>
          <w:color w:val="000000"/>
          <w:sz w:val="28"/>
          <w:szCs w:val="28"/>
          <w:lang w:eastAsia="ru-RU" w:bidi="ru-RU"/>
        </w:rPr>
        <w:t>хся без попечения родителей (95,9% от общего количества организаций, предоставивших информацию), организовано выполнение индивидуальных планов развития и жизнеустройства детей, помещенных под надзор в указанные организации.</w:t>
      </w:r>
    </w:p>
    <w:p w14:paraId="6894720D" w14:textId="77777777" w:rsidR="004C66F9" w:rsidRPr="004C66F9" w:rsidRDefault="004C66F9" w:rsidP="004C66F9">
      <w:pPr>
        <w:pStyle w:val="Style2"/>
        <w:shd w:val="clear" w:color="auto" w:fill="auto"/>
        <w:spacing w:after="0" w:line="312" w:lineRule="auto"/>
        <w:ind w:firstLine="709"/>
        <w:jc w:val="both"/>
        <w:rPr>
          <w:rFonts w:ascii="Times New Roman" w:hAnsi="Times New Roman" w:cs="Times New Roman"/>
          <w:sz w:val="28"/>
          <w:szCs w:val="28"/>
        </w:rPr>
      </w:pPr>
      <w:r w:rsidRPr="004C66F9">
        <w:rPr>
          <w:rFonts w:ascii="Times New Roman" w:eastAsia="Times New Roman" w:hAnsi="Times New Roman" w:cs="Times New Roman"/>
          <w:color w:val="000000"/>
          <w:sz w:val="28"/>
          <w:szCs w:val="28"/>
          <w:lang w:eastAsia="ru-RU" w:bidi="ru-RU"/>
        </w:rPr>
        <w:t>На совершенствование механизмов эффективного взаимодействия субъектов системы профилактики безнадзорности и правонарушений несовершеннолетних направлена деятельность Минпросвещения России в части методического обеспечения межведомственного взаимодействия соответствующих направлений профилактической деятельности.</w:t>
      </w:r>
    </w:p>
    <w:p w14:paraId="21E85D14" w14:textId="77777777" w:rsidR="004C66F9" w:rsidRPr="004C66F9" w:rsidRDefault="004C66F9" w:rsidP="004C66F9">
      <w:pPr>
        <w:pStyle w:val="Style2"/>
        <w:shd w:val="clear" w:color="auto" w:fill="auto"/>
        <w:spacing w:after="0" w:line="312" w:lineRule="auto"/>
        <w:ind w:firstLine="709"/>
        <w:jc w:val="both"/>
        <w:rPr>
          <w:rFonts w:ascii="Times New Roman" w:hAnsi="Times New Roman" w:cs="Times New Roman"/>
          <w:sz w:val="28"/>
          <w:szCs w:val="28"/>
        </w:rPr>
      </w:pPr>
      <w:r w:rsidRPr="004C66F9">
        <w:rPr>
          <w:rFonts w:ascii="Times New Roman" w:eastAsia="Times New Roman" w:hAnsi="Times New Roman" w:cs="Times New Roman"/>
          <w:color w:val="000000"/>
          <w:sz w:val="28"/>
          <w:szCs w:val="28"/>
          <w:lang w:eastAsia="ru-RU" w:bidi="ru-RU"/>
        </w:rPr>
        <w:t xml:space="preserve">В целях оказания помощи специалистам, работающим с семьями с детьми и занимающимся проблемой профилактики социального сиротства, Минпросвещения России разработана Технологическая карта по организации работы с родителями, лишенными родительских прав, а также ограниченными в родительских правах, направленной на восстановление или отмену ограничения их в родительских правах. Технологическая карта представляет собой примерный алгоритм мероприятий по </w:t>
      </w:r>
      <w:proofErr w:type="spellStart"/>
      <w:r w:rsidRPr="004C66F9">
        <w:rPr>
          <w:rFonts w:ascii="Times New Roman" w:eastAsia="Times New Roman" w:hAnsi="Times New Roman" w:cs="Times New Roman"/>
          <w:color w:val="000000"/>
          <w:sz w:val="28"/>
          <w:szCs w:val="28"/>
          <w:lang w:eastAsia="ru-RU" w:bidi="ru-RU"/>
        </w:rPr>
        <w:t>реинтеграции</w:t>
      </w:r>
      <w:proofErr w:type="spellEnd"/>
      <w:r w:rsidRPr="004C66F9">
        <w:rPr>
          <w:rFonts w:ascii="Times New Roman" w:eastAsia="Times New Roman" w:hAnsi="Times New Roman" w:cs="Times New Roman"/>
          <w:color w:val="000000"/>
          <w:sz w:val="28"/>
          <w:szCs w:val="28"/>
          <w:lang w:eastAsia="ru-RU" w:bidi="ru-RU"/>
        </w:rPr>
        <w:t xml:space="preserve"> ребенка в кровную семью, который предложено использовать при организации работы, в том числе в случаях оставления родителями своего ребенка в родильном доме (отделении) либо иной медицинской организации, образовательной организации, организации социального обслуживания или аналогичной организации, а также в случаях отбывания родителями наказания в учреждениях, исполняющих наказание в виде лишения свободы. Технологическая карта направлена в субъекты Российской Федерации для руководства в работе.</w:t>
      </w:r>
    </w:p>
    <w:p w14:paraId="6A478182" w14:textId="77777777" w:rsidR="004C66F9" w:rsidRPr="004C66F9" w:rsidRDefault="004C66F9" w:rsidP="004C66F9">
      <w:pPr>
        <w:pStyle w:val="Style2"/>
        <w:shd w:val="clear" w:color="auto" w:fill="auto"/>
        <w:spacing w:after="0" w:line="312" w:lineRule="auto"/>
        <w:ind w:firstLine="709"/>
        <w:jc w:val="both"/>
        <w:rPr>
          <w:rFonts w:ascii="Times New Roman" w:hAnsi="Times New Roman" w:cs="Times New Roman"/>
          <w:sz w:val="28"/>
          <w:szCs w:val="28"/>
        </w:rPr>
      </w:pPr>
      <w:r w:rsidRPr="004C66F9">
        <w:rPr>
          <w:rFonts w:ascii="Times New Roman" w:eastAsia="Times New Roman" w:hAnsi="Times New Roman" w:cs="Times New Roman"/>
          <w:color w:val="000000"/>
          <w:sz w:val="28"/>
          <w:szCs w:val="28"/>
          <w:lang w:eastAsia="ru-RU" w:bidi="ru-RU"/>
        </w:rPr>
        <w:t>Кроме того, в рамках экспертно-методического сопровождения деятельности органов опеки и попечительства в отношении несовершеннолетних граждан Минпросвещения России в 2021 г</w:t>
      </w:r>
      <w:r w:rsidR="00027746">
        <w:rPr>
          <w:rFonts w:ascii="Times New Roman" w:eastAsia="Times New Roman" w:hAnsi="Times New Roman" w:cs="Times New Roman"/>
          <w:color w:val="000000"/>
          <w:sz w:val="28"/>
          <w:szCs w:val="28"/>
          <w:lang w:eastAsia="ru-RU" w:bidi="ru-RU"/>
        </w:rPr>
        <w:t>.</w:t>
      </w:r>
      <w:r w:rsidRPr="004C66F9">
        <w:rPr>
          <w:rFonts w:ascii="Times New Roman" w:eastAsia="Times New Roman" w:hAnsi="Times New Roman" w:cs="Times New Roman"/>
          <w:color w:val="000000"/>
          <w:sz w:val="28"/>
          <w:szCs w:val="28"/>
          <w:lang w:eastAsia="ru-RU" w:bidi="ru-RU"/>
        </w:rPr>
        <w:t xml:space="preserve"> были подготовлены и направлены для руководства в работе следующие методические рекомендации по актуальным вопросам:</w:t>
      </w:r>
    </w:p>
    <w:p w14:paraId="54404FBC" w14:textId="77777777" w:rsidR="008A6325" w:rsidRDefault="004C66F9" w:rsidP="008A6325">
      <w:pPr>
        <w:widowControl w:val="0"/>
        <w:tabs>
          <w:tab w:val="left" w:pos="3735"/>
          <w:tab w:val="center" w:pos="5420"/>
          <w:tab w:val="left" w:pos="7177"/>
          <w:tab w:val="right" w:pos="10202"/>
        </w:tabs>
        <w:spacing w:after="0" w:line="312" w:lineRule="auto"/>
        <w:ind w:firstLine="709"/>
        <w:jc w:val="both"/>
        <w:rPr>
          <w:rFonts w:ascii="Times New Roman" w:eastAsia="Times New Roman" w:hAnsi="Times New Roman" w:cs="Times New Roman"/>
          <w:sz w:val="28"/>
          <w:szCs w:val="28"/>
          <w:lang w:eastAsia="ru-RU"/>
        </w:rPr>
      </w:pPr>
      <w:r w:rsidRPr="004C66F9">
        <w:rPr>
          <w:rFonts w:ascii="Times New Roman" w:eastAsia="Times New Roman" w:hAnsi="Times New Roman" w:cs="Times New Roman"/>
          <w:sz w:val="28"/>
          <w:szCs w:val="28"/>
          <w:lang w:eastAsia="ru-RU"/>
        </w:rPr>
        <w:t>1. Методические</w:t>
      </w:r>
      <w:r>
        <w:rPr>
          <w:rFonts w:ascii="Times New Roman" w:eastAsia="Times New Roman" w:hAnsi="Times New Roman" w:cs="Times New Roman"/>
          <w:sz w:val="28"/>
          <w:szCs w:val="28"/>
          <w:lang w:eastAsia="ru-RU"/>
        </w:rPr>
        <w:t xml:space="preserve"> рекомендации для органов опеки и попечительства по сопровождению семейных споров о месте жительства ребенка и порядке общения с ребенком отдельно проживающего родителя (близкого родственника).</w:t>
      </w:r>
    </w:p>
    <w:p w14:paraId="423FD4A3" w14:textId="77777777" w:rsidR="004C66F9" w:rsidRDefault="004C66F9" w:rsidP="008A6325">
      <w:pPr>
        <w:widowControl w:val="0"/>
        <w:tabs>
          <w:tab w:val="left" w:pos="3735"/>
          <w:tab w:val="center" w:pos="5420"/>
          <w:tab w:val="left" w:pos="7177"/>
          <w:tab w:val="right" w:pos="10202"/>
        </w:tab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Методические рекомендации для органов опеки и попечительства по вопросам выдачи предварительных разрешений на осуществление имущественных прав ребенка.</w:t>
      </w:r>
    </w:p>
    <w:p w14:paraId="25CD35ED" w14:textId="77777777" w:rsidR="004C66F9" w:rsidRDefault="004C66F9" w:rsidP="008A6325">
      <w:pPr>
        <w:widowControl w:val="0"/>
        <w:tabs>
          <w:tab w:val="left" w:pos="3735"/>
          <w:tab w:val="center" w:pos="5420"/>
          <w:tab w:val="left" w:pos="7177"/>
          <w:tab w:val="right" w:pos="10202"/>
        </w:tab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Методические рекомендации по психологическому сопровождению детей-сирот и детей, оставшихся без попечения родителей, включая организационные условия деятельности психологических служб в организациях для детей-сирот и детей, оставшихся без попечения родителей.</w:t>
      </w:r>
    </w:p>
    <w:p w14:paraId="4C9A8E3A" w14:textId="77777777" w:rsidR="004C66F9" w:rsidRDefault="004C66F9" w:rsidP="008A6325">
      <w:pPr>
        <w:widowControl w:val="0"/>
        <w:tabs>
          <w:tab w:val="left" w:pos="3735"/>
          <w:tab w:val="center" w:pos="5420"/>
          <w:tab w:val="left" w:pos="7177"/>
          <w:tab w:val="right" w:pos="10202"/>
        </w:tab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DE474A">
        <w:rPr>
          <w:rFonts w:ascii="Times New Roman" w:eastAsia="Times New Roman" w:hAnsi="Times New Roman" w:cs="Times New Roman"/>
          <w:sz w:val="28"/>
          <w:szCs w:val="28"/>
          <w:lang w:eastAsia="ru-RU"/>
        </w:rPr>
        <w:t>Методические рекомендации по организации комплексного подхода к вопросам профессионального развития специалистов органов опеки и попечительства.</w:t>
      </w:r>
    </w:p>
    <w:p w14:paraId="604F2BB3" w14:textId="77777777" w:rsidR="00DE474A" w:rsidRPr="004C66F9" w:rsidRDefault="00DE474A" w:rsidP="008A6325">
      <w:pPr>
        <w:widowControl w:val="0"/>
        <w:tabs>
          <w:tab w:val="left" w:pos="3735"/>
          <w:tab w:val="center" w:pos="5420"/>
          <w:tab w:val="left" w:pos="7177"/>
          <w:tab w:val="right" w:pos="10202"/>
        </w:tabs>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Методические рекомендации для специалистов органов опеки и попечительства по вопросам подбора, учета и подготовки граждан, выразивших желание стать усыновителями, опекунами (попечителями).</w:t>
      </w:r>
    </w:p>
    <w:p w14:paraId="584C49B1" w14:textId="77777777" w:rsidR="00D03A4F" w:rsidRPr="00D03A4F" w:rsidRDefault="00D03A4F" w:rsidP="00051462">
      <w:pPr>
        <w:shd w:val="clear" w:color="auto" w:fill="FFFFFF"/>
        <w:spacing w:before="240" w:after="240" w:line="240"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Деятельность комис</w:t>
      </w:r>
      <w:r w:rsidR="00051462">
        <w:rPr>
          <w:rFonts w:ascii="Times New Roman" w:eastAsia="Times New Roman" w:hAnsi="Times New Roman" w:cs="Times New Roman"/>
          <w:b/>
          <w:sz w:val="28"/>
          <w:szCs w:val="28"/>
          <w:lang w:eastAsia="ru-RU"/>
        </w:rPr>
        <w:t>сий по делам несовершеннолетних</w:t>
      </w:r>
      <w:r w:rsidR="00051462">
        <w:rPr>
          <w:rFonts w:ascii="Times New Roman" w:eastAsia="Times New Roman" w:hAnsi="Times New Roman" w:cs="Times New Roman"/>
          <w:b/>
          <w:sz w:val="28"/>
          <w:szCs w:val="28"/>
          <w:lang w:eastAsia="ru-RU"/>
        </w:rPr>
        <w:br/>
      </w:r>
      <w:r w:rsidRPr="00D03A4F">
        <w:rPr>
          <w:rFonts w:ascii="Times New Roman" w:eastAsia="Times New Roman" w:hAnsi="Times New Roman" w:cs="Times New Roman"/>
          <w:b/>
          <w:sz w:val="28"/>
          <w:szCs w:val="28"/>
          <w:lang w:eastAsia="ru-RU"/>
        </w:rPr>
        <w:t>и защите их прав</w:t>
      </w:r>
    </w:p>
    <w:p w14:paraId="01B3F913" w14:textId="77777777" w:rsidR="0065066C" w:rsidRPr="0065066C" w:rsidRDefault="0065066C" w:rsidP="002C10D9">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65066C">
        <w:rPr>
          <w:rFonts w:ascii="Times New Roman" w:eastAsia="Times New Roman" w:hAnsi="Times New Roman" w:cs="Times New Roman"/>
          <w:sz w:val="28"/>
          <w:szCs w:val="28"/>
          <w:lang w:eastAsia="ru-RU"/>
        </w:rPr>
        <w:t>Одна из основных задач комис</w:t>
      </w:r>
      <w:r>
        <w:rPr>
          <w:rFonts w:ascii="Times New Roman" w:eastAsia="Times New Roman" w:hAnsi="Times New Roman" w:cs="Times New Roman"/>
          <w:sz w:val="28"/>
          <w:szCs w:val="28"/>
          <w:lang w:eastAsia="ru-RU"/>
        </w:rPr>
        <w:t xml:space="preserve">сии по делам несовершеннолетних </w:t>
      </w:r>
      <w:r w:rsidRPr="0065066C">
        <w:rPr>
          <w:rFonts w:ascii="Times New Roman" w:eastAsia="Times New Roman" w:hAnsi="Times New Roman" w:cs="Times New Roman"/>
          <w:sz w:val="28"/>
          <w:szCs w:val="28"/>
          <w:lang w:eastAsia="ru-RU"/>
        </w:rPr>
        <w:t>и защите их прав – координация деятельности органов и учреждений системы профилактики безнадзорности и правонарушений несовершеннолетних, объединение усилий по предупреждению противоправного и антиобщественного поведения несовершеннолетних, выявлению и устранению причин и условий, способствующих этому поведению, по обеспечению защиты прав и законных интересов несовершеннолетних.</w:t>
      </w:r>
    </w:p>
    <w:p w14:paraId="70670559" w14:textId="77777777" w:rsidR="0065066C" w:rsidRPr="0065066C" w:rsidRDefault="0065066C" w:rsidP="002C10D9">
      <w:pPr>
        <w:widowControl w:val="0"/>
        <w:suppressAutoHyphens/>
        <w:spacing w:after="0" w:line="312" w:lineRule="auto"/>
        <w:ind w:firstLine="709"/>
        <w:jc w:val="both"/>
        <w:rPr>
          <w:rFonts w:ascii="Times New Roman" w:eastAsia="Times New Roman" w:hAnsi="Times New Roman" w:cs="Times New Roman"/>
          <w:sz w:val="28"/>
          <w:szCs w:val="28"/>
          <w:lang w:eastAsia="ru-RU" w:bidi="ru-RU"/>
        </w:rPr>
      </w:pPr>
      <w:r w:rsidRPr="0065066C">
        <w:rPr>
          <w:rFonts w:ascii="Times New Roman" w:eastAsia="Times New Roman" w:hAnsi="Times New Roman" w:cs="Times New Roman"/>
          <w:sz w:val="28"/>
          <w:szCs w:val="28"/>
          <w:lang w:eastAsia="ru-RU" w:bidi="ru-RU"/>
        </w:rPr>
        <w:t>По итогам 2021 г</w:t>
      </w:r>
      <w:r w:rsidR="00027746">
        <w:rPr>
          <w:rFonts w:ascii="Times New Roman" w:eastAsia="Times New Roman" w:hAnsi="Times New Roman" w:cs="Times New Roman"/>
          <w:sz w:val="28"/>
          <w:szCs w:val="28"/>
          <w:lang w:eastAsia="ru-RU" w:bidi="ru-RU"/>
        </w:rPr>
        <w:t>.</w:t>
      </w:r>
      <w:r w:rsidRPr="0065066C">
        <w:rPr>
          <w:rFonts w:ascii="Times New Roman" w:eastAsia="Times New Roman" w:hAnsi="Times New Roman" w:cs="Times New Roman"/>
          <w:sz w:val="28"/>
          <w:szCs w:val="28"/>
          <w:lang w:eastAsia="ru-RU" w:bidi="ru-RU"/>
        </w:rPr>
        <w:t xml:space="preserve"> в Российской Феде</w:t>
      </w:r>
      <w:r>
        <w:rPr>
          <w:rFonts w:ascii="Times New Roman" w:eastAsia="Times New Roman" w:hAnsi="Times New Roman" w:cs="Times New Roman"/>
          <w:sz w:val="28"/>
          <w:szCs w:val="28"/>
          <w:lang w:eastAsia="ru-RU" w:bidi="ru-RU"/>
        </w:rPr>
        <w:t xml:space="preserve">рации действует 2 836 комиссий </w:t>
      </w:r>
      <w:r w:rsidRPr="0065066C">
        <w:rPr>
          <w:rFonts w:ascii="Times New Roman" w:eastAsia="Times New Roman" w:hAnsi="Times New Roman" w:cs="Times New Roman"/>
          <w:sz w:val="28"/>
          <w:szCs w:val="28"/>
          <w:lang w:eastAsia="ru-RU" w:bidi="ru-RU"/>
        </w:rPr>
        <w:t>по делам несовершеннолетних и защите их пра</w:t>
      </w:r>
      <w:r>
        <w:rPr>
          <w:rFonts w:ascii="Times New Roman" w:eastAsia="Times New Roman" w:hAnsi="Times New Roman" w:cs="Times New Roman"/>
          <w:sz w:val="28"/>
          <w:szCs w:val="28"/>
          <w:lang w:eastAsia="ru-RU" w:bidi="ru-RU"/>
        </w:rPr>
        <w:t xml:space="preserve">в, в том числе 85 региональных </w:t>
      </w:r>
      <w:r w:rsidR="00027746">
        <w:rPr>
          <w:rFonts w:ascii="Times New Roman" w:eastAsia="Times New Roman" w:hAnsi="Times New Roman" w:cs="Times New Roman"/>
          <w:sz w:val="28"/>
          <w:szCs w:val="28"/>
          <w:lang w:eastAsia="ru-RU" w:bidi="ru-RU"/>
        </w:rPr>
        <w:br/>
      </w:r>
      <w:r w:rsidRPr="0065066C">
        <w:rPr>
          <w:rFonts w:ascii="Times New Roman" w:eastAsia="Times New Roman" w:hAnsi="Times New Roman" w:cs="Times New Roman"/>
          <w:sz w:val="28"/>
          <w:szCs w:val="28"/>
          <w:lang w:eastAsia="ru-RU" w:bidi="ru-RU"/>
        </w:rPr>
        <w:t>и 2 751 территориальная</w:t>
      </w:r>
      <w:r w:rsidR="00E06142">
        <w:rPr>
          <w:rFonts w:ascii="Times New Roman" w:eastAsia="Times New Roman" w:hAnsi="Times New Roman" w:cs="Times New Roman"/>
          <w:sz w:val="28"/>
          <w:szCs w:val="28"/>
          <w:lang w:eastAsia="ru-RU" w:bidi="ru-RU"/>
        </w:rPr>
        <w:t>/муниципальная</w:t>
      </w:r>
      <w:r w:rsidRPr="0065066C">
        <w:rPr>
          <w:rFonts w:ascii="Times New Roman" w:eastAsia="Times New Roman" w:hAnsi="Times New Roman" w:cs="Times New Roman"/>
          <w:sz w:val="28"/>
          <w:szCs w:val="28"/>
          <w:lang w:eastAsia="ru-RU" w:bidi="ru-RU"/>
        </w:rPr>
        <w:t xml:space="preserve"> (2020 г</w:t>
      </w:r>
      <w:r>
        <w:rPr>
          <w:rFonts w:ascii="Times New Roman" w:eastAsia="Times New Roman" w:hAnsi="Times New Roman" w:cs="Times New Roman"/>
          <w:sz w:val="28"/>
          <w:szCs w:val="28"/>
          <w:lang w:eastAsia="ru-RU" w:bidi="ru-RU"/>
        </w:rPr>
        <w:t xml:space="preserve">. – </w:t>
      </w:r>
      <w:r w:rsidRPr="0065066C">
        <w:rPr>
          <w:rFonts w:ascii="Times New Roman" w:eastAsia="Times New Roman" w:hAnsi="Times New Roman" w:cs="Times New Roman"/>
          <w:sz w:val="28"/>
          <w:szCs w:val="28"/>
          <w:lang w:eastAsia="ru-RU" w:bidi="ru-RU"/>
        </w:rPr>
        <w:t>2 836 комиссий по делам несовершеннолетних и защите их прав</w:t>
      </w:r>
      <w:r>
        <w:rPr>
          <w:rFonts w:ascii="Times New Roman" w:eastAsia="Times New Roman" w:hAnsi="Times New Roman" w:cs="Times New Roman"/>
          <w:sz w:val="28"/>
          <w:szCs w:val="28"/>
          <w:lang w:eastAsia="ru-RU" w:bidi="ru-RU"/>
        </w:rPr>
        <w:t xml:space="preserve">, в том числе 85 региональных, </w:t>
      </w:r>
      <w:r w:rsidR="00027746">
        <w:rPr>
          <w:rFonts w:ascii="Times New Roman" w:eastAsia="Times New Roman" w:hAnsi="Times New Roman" w:cs="Times New Roman"/>
          <w:sz w:val="28"/>
          <w:szCs w:val="28"/>
          <w:lang w:eastAsia="ru-RU" w:bidi="ru-RU"/>
        </w:rPr>
        <w:br/>
      </w:r>
      <w:r w:rsidRPr="0065066C">
        <w:rPr>
          <w:rFonts w:ascii="Times New Roman" w:eastAsia="Times New Roman" w:hAnsi="Times New Roman" w:cs="Times New Roman"/>
          <w:sz w:val="28"/>
          <w:szCs w:val="28"/>
          <w:lang w:eastAsia="ru-RU" w:bidi="ru-RU"/>
        </w:rPr>
        <w:t>2 751 территориальная (муниципальная)</w:t>
      </w:r>
      <w:r>
        <w:rPr>
          <w:rFonts w:ascii="Times New Roman" w:eastAsia="Times New Roman" w:hAnsi="Times New Roman" w:cs="Times New Roman"/>
          <w:sz w:val="28"/>
          <w:szCs w:val="28"/>
          <w:lang w:eastAsia="ru-RU" w:bidi="ru-RU"/>
        </w:rPr>
        <w:t>;</w:t>
      </w:r>
      <w:r w:rsidRPr="0065066C">
        <w:rPr>
          <w:rFonts w:ascii="Times New Roman" w:eastAsia="Times New Roman" w:hAnsi="Times New Roman" w:cs="Times New Roman"/>
          <w:sz w:val="28"/>
          <w:szCs w:val="28"/>
          <w:lang w:eastAsia="ru-RU" w:bidi="ru-RU"/>
        </w:rPr>
        <w:t xml:space="preserve"> 2019 г</w:t>
      </w:r>
      <w:r>
        <w:rPr>
          <w:rFonts w:ascii="Times New Roman" w:eastAsia="Times New Roman" w:hAnsi="Times New Roman" w:cs="Times New Roman"/>
          <w:sz w:val="28"/>
          <w:szCs w:val="28"/>
          <w:lang w:eastAsia="ru-RU" w:bidi="ru-RU"/>
        </w:rPr>
        <w:t xml:space="preserve">. </w:t>
      </w:r>
      <w:r w:rsidRPr="0065066C">
        <w:rPr>
          <w:rFonts w:ascii="Times New Roman" w:eastAsia="Times New Roman" w:hAnsi="Times New Roman" w:cs="Times New Roman"/>
          <w:sz w:val="28"/>
          <w:szCs w:val="28"/>
          <w:lang w:eastAsia="ru-RU" w:bidi="ru-RU"/>
        </w:rPr>
        <w:t>–</w:t>
      </w:r>
      <w:r w:rsidR="00E06142" w:rsidRPr="0065066C">
        <w:rPr>
          <w:rFonts w:ascii="Times New Roman" w:eastAsia="Times New Roman" w:hAnsi="Times New Roman" w:cs="Times New Roman"/>
          <w:sz w:val="28"/>
          <w:szCs w:val="28"/>
          <w:lang w:eastAsia="ru-RU" w:bidi="ru-RU"/>
        </w:rPr>
        <w:t> </w:t>
      </w:r>
      <w:r w:rsidRPr="0065066C">
        <w:rPr>
          <w:rFonts w:ascii="Times New Roman" w:eastAsia="Times New Roman" w:hAnsi="Times New Roman" w:cs="Times New Roman"/>
          <w:sz w:val="28"/>
          <w:szCs w:val="28"/>
          <w:lang w:eastAsia="ru-RU" w:bidi="ru-RU"/>
        </w:rPr>
        <w:t>2 839 комиссий по делам несовершеннолетних и защите их прав</w:t>
      </w:r>
      <w:r>
        <w:rPr>
          <w:rFonts w:ascii="Times New Roman" w:eastAsia="Times New Roman" w:hAnsi="Times New Roman" w:cs="Times New Roman"/>
          <w:sz w:val="28"/>
          <w:szCs w:val="28"/>
          <w:lang w:eastAsia="ru-RU" w:bidi="ru-RU"/>
        </w:rPr>
        <w:t xml:space="preserve">, в том числе 85 региональных, </w:t>
      </w:r>
      <w:r w:rsidR="00027746">
        <w:rPr>
          <w:rFonts w:ascii="Times New Roman" w:eastAsia="Times New Roman" w:hAnsi="Times New Roman" w:cs="Times New Roman"/>
          <w:sz w:val="28"/>
          <w:szCs w:val="28"/>
          <w:lang w:eastAsia="ru-RU" w:bidi="ru-RU"/>
        </w:rPr>
        <w:br/>
      </w:r>
      <w:r w:rsidRPr="0065066C">
        <w:rPr>
          <w:rFonts w:ascii="Times New Roman" w:eastAsia="Times New Roman" w:hAnsi="Times New Roman" w:cs="Times New Roman"/>
          <w:sz w:val="28"/>
          <w:szCs w:val="28"/>
          <w:lang w:eastAsia="ru-RU" w:bidi="ru-RU"/>
        </w:rPr>
        <w:t>2 754 территориальных (муниципальных)</w:t>
      </w:r>
      <w:r w:rsidR="00E06142">
        <w:rPr>
          <w:rFonts w:ascii="Times New Roman" w:eastAsia="Times New Roman" w:hAnsi="Times New Roman" w:cs="Times New Roman"/>
          <w:sz w:val="28"/>
          <w:szCs w:val="28"/>
          <w:lang w:eastAsia="ru-RU" w:bidi="ru-RU"/>
        </w:rPr>
        <w:t>)</w:t>
      </w:r>
      <w:r w:rsidRPr="0065066C">
        <w:rPr>
          <w:rFonts w:ascii="Times New Roman" w:eastAsia="Times New Roman" w:hAnsi="Times New Roman" w:cs="Times New Roman"/>
          <w:sz w:val="28"/>
          <w:szCs w:val="28"/>
          <w:lang w:eastAsia="ru-RU" w:bidi="ru-RU"/>
        </w:rPr>
        <w:t>. Деятельнос</w:t>
      </w:r>
      <w:r>
        <w:rPr>
          <w:rFonts w:ascii="Times New Roman" w:eastAsia="Times New Roman" w:hAnsi="Times New Roman" w:cs="Times New Roman"/>
          <w:sz w:val="28"/>
          <w:szCs w:val="28"/>
          <w:lang w:eastAsia="ru-RU" w:bidi="ru-RU"/>
        </w:rPr>
        <w:t xml:space="preserve">ть указанных </w:t>
      </w:r>
      <w:r w:rsidRPr="0065066C">
        <w:rPr>
          <w:rFonts w:ascii="Times New Roman" w:eastAsia="Times New Roman" w:hAnsi="Times New Roman" w:cs="Times New Roman"/>
          <w:sz w:val="28"/>
          <w:szCs w:val="28"/>
          <w:lang w:eastAsia="ru-RU" w:bidi="ru-RU"/>
        </w:rPr>
        <w:t>комиссий обеспечивают 5 478 сотрудников, их</w:t>
      </w:r>
      <w:r>
        <w:rPr>
          <w:rFonts w:ascii="Times New Roman" w:eastAsia="Times New Roman" w:hAnsi="Times New Roman" w:cs="Times New Roman"/>
          <w:sz w:val="28"/>
          <w:szCs w:val="28"/>
          <w:lang w:eastAsia="ru-RU" w:bidi="ru-RU"/>
        </w:rPr>
        <w:t xml:space="preserve"> них: в региональных комиссиях </w:t>
      </w:r>
      <w:r w:rsidRPr="0065066C">
        <w:rPr>
          <w:rFonts w:ascii="Times New Roman" w:eastAsia="Times New Roman" w:hAnsi="Times New Roman" w:cs="Times New Roman"/>
          <w:sz w:val="28"/>
          <w:szCs w:val="28"/>
          <w:lang w:eastAsia="ru-RU" w:bidi="ru-RU"/>
        </w:rPr>
        <w:t>по делам несовершеннолетних и защ</w:t>
      </w:r>
      <w:r>
        <w:rPr>
          <w:rFonts w:ascii="Times New Roman" w:eastAsia="Times New Roman" w:hAnsi="Times New Roman" w:cs="Times New Roman"/>
          <w:sz w:val="28"/>
          <w:szCs w:val="28"/>
          <w:lang w:eastAsia="ru-RU" w:bidi="ru-RU"/>
        </w:rPr>
        <w:t xml:space="preserve">ите их прав – 202 специалиста, </w:t>
      </w:r>
      <w:r w:rsidRPr="0065066C">
        <w:rPr>
          <w:rFonts w:ascii="Times New Roman" w:eastAsia="Times New Roman" w:hAnsi="Times New Roman" w:cs="Times New Roman"/>
          <w:sz w:val="28"/>
          <w:szCs w:val="28"/>
          <w:lang w:eastAsia="ru-RU" w:bidi="ru-RU"/>
        </w:rPr>
        <w:t>в территориальных (муниципальных)</w:t>
      </w:r>
      <w:r>
        <w:rPr>
          <w:rFonts w:ascii="Times New Roman" w:eastAsia="Times New Roman" w:hAnsi="Times New Roman" w:cs="Times New Roman"/>
          <w:sz w:val="28"/>
          <w:szCs w:val="28"/>
          <w:lang w:eastAsia="ru-RU" w:bidi="ru-RU"/>
        </w:rPr>
        <w:t xml:space="preserve"> – </w:t>
      </w:r>
      <w:r w:rsidRPr="0065066C">
        <w:rPr>
          <w:rFonts w:ascii="Times New Roman" w:eastAsia="Times New Roman" w:hAnsi="Times New Roman" w:cs="Times New Roman"/>
          <w:sz w:val="28"/>
          <w:szCs w:val="28"/>
          <w:lang w:eastAsia="ru-RU" w:bidi="ru-RU"/>
        </w:rPr>
        <w:t>5 276 (</w:t>
      </w:r>
      <w:r>
        <w:rPr>
          <w:rFonts w:ascii="Times New Roman" w:eastAsia="Times New Roman" w:hAnsi="Times New Roman" w:cs="Times New Roman"/>
          <w:sz w:val="28"/>
          <w:szCs w:val="28"/>
          <w:lang w:eastAsia="ru-RU" w:bidi="ru-RU"/>
        </w:rPr>
        <w:t xml:space="preserve">2020 г. – 5 542 сотрудника, </w:t>
      </w:r>
      <w:r w:rsidRPr="0065066C">
        <w:rPr>
          <w:rFonts w:ascii="Times New Roman" w:eastAsia="Times New Roman" w:hAnsi="Times New Roman" w:cs="Times New Roman"/>
          <w:sz w:val="28"/>
          <w:szCs w:val="28"/>
          <w:lang w:eastAsia="ru-RU" w:bidi="ru-RU"/>
        </w:rPr>
        <w:t>их них: в региональных комиссиях</w:t>
      </w:r>
      <w:r w:rsidR="00E06142" w:rsidRPr="0065066C">
        <w:rPr>
          <w:rFonts w:ascii="Times New Roman" w:eastAsia="Times New Roman" w:hAnsi="Times New Roman" w:cs="Times New Roman"/>
          <w:sz w:val="28"/>
          <w:szCs w:val="28"/>
          <w:lang w:eastAsia="ru-RU" w:bidi="ru-RU"/>
        </w:rPr>
        <w:t> </w:t>
      </w:r>
      <w:r w:rsidRPr="0065066C">
        <w:rPr>
          <w:rFonts w:ascii="Times New Roman" w:eastAsia="Times New Roman" w:hAnsi="Times New Roman" w:cs="Times New Roman"/>
          <w:sz w:val="28"/>
          <w:szCs w:val="28"/>
          <w:lang w:eastAsia="ru-RU" w:bidi="ru-RU"/>
        </w:rPr>
        <w:t>–</w:t>
      </w:r>
      <w:r w:rsidR="00E06142" w:rsidRPr="0065066C">
        <w:rPr>
          <w:rFonts w:ascii="Times New Roman" w:eastAsia="Times New Roman" w:hAnsi="Times New Roman" w:cs="Times New Roman"/>
          <w:sz w:val="28"/>
          <w:szCs w:val="28"/>
          <w:lang w:eastAsia="ru-RU" w:bidi="ru-RU"/>
        </w:rPr>
        <w:t> </w:t>
      </w:r>
      <w:r w:rsidRPr="0065066C">
        <w:rPr>
          <w:rFonts w:ascii="Times New Roman" w:eastAsia="Times New Roman" w:hAnsi="Times New Roman" w:cs="Times New Roman"/>
          <w:sz w:val="28"/>
          <w:szCs w:val="28"/>
          <w:lang w:eastAsia="ru-RU" w:bidi="ru-RU"/>
        </w:rPr>
        <w:t>202 специалиста, в территориальных (муниципальных)</w:t>
      </w:r>
      <w:r w:rsidR="00E06142" w:rsidRPr="0065066C">
        <w:rPr>
          <w:rFonts w:ascii="Times New Roman" w:eastAsia="Times New Roman" w:hAnsi="Times New Roman" w:cs="Times New Roman"/>
          <w:sz w:val="28"/>
          <w:szCs w:val="28"/>
          <w:lang w:eastAsia="ru-RU" w:bidi="ru-RU"/>
        </w:rPr>
        <w:t> </w:t>
      </w:r>
      <w:r w:rsidRPr="0065066C">
        <w:rPr>
          <w:rFonts w:ascii="Times New Roman" w:eastAsia="Times New Roman" w:hAnsi="Times New Roman" w:cs="Times New Roman"/>
          <w:sz w:val="28"/>
          <w:szCs w:val="28"/>
          <w:lang w:eastAsia="ru-RU" w:bidi="ru-RU"/>
        </w:rPr>
        <w:t>–</w:t>
      </w:r>
      <w:r w:rsidR="00E06142" w:rsidRPr="0065066C">
        <w:rPr>
          <w:rFonts w:ascii="Times New Roman" w:eastAsia="Times New Roman" w:hAnsi="Times New Roman" w:cs="Times New Roman"/>
          <w:sz w:val="28"/>
          <w:szCs w:val="28"/>
          <w:lang w:eastAsia="ru-RU" w:bidi="ru-RU"/>
        </w:rPr>
        <w:t> </w:t>
      </w:r>
      <w:r w:rsidRPr="0065066C">
        <w:rPr>
          <w:rFonts w:ascii="Times New Roman" w:eastAsia="Times New Roman" w:hAnsi="Times New Roman" w:cs="Times New Roman"/>
          <w:sz w:val="28"/>
          <w:szCs w:val="28"/>
          <w:lang w:eastAsia="ru-RU" w:bidi="ru-RU"/>
        </w:rPr>
        <w:t xml:space="preserve">5 340; </w:t>
      </w:r>
      <w:r>
        <w:rPr>
          <w:rFonts w:ascii="Times New Roman" w:eastAsia="Times New Roman" w:hAnsi="Times New Roman" w:cs="Times New Roman"/>
          <w:sz w:val="28"/>
          <w:szCs w:val="28"/>
          <w:lang w:eastAsia="ru-RU" w:bidi="ru-RU"/>
        </w:rPr>
        <w:br/>
      </w:r>
      <w:r w:rsidRPr="0065066C">
        <w:rPr>
          <w:rFonts w:ascii="Times New Roman" w:eastAsia="Times New Roman" w:hAnsi="Times New Roman" w:cs="Times New Roman"/>
          <w:sz w:val="28"/>
          <w:szCs w:val="28"/>
          <w:lang w:eastAsia="ru-RU" w:bidi="ru-RU"/>
        </w:rPr>
        <w:t>2019 г</w:t>
      </w:r>
      <w:r>
        <w:rPr>
          <w:rFonts w:ascii="Times New Roman" w:eastAsia="Times New Roman" w:hAnsi="Times New Roman" w:cs="Times New Roman"/>
          <w:sz w:val="28"/>
          <w:szCs w:val="28"/>
          <w:lang w:eastAsia="ru-RU" w:bidi="ru-RU"/>
        </w:rPr>
        <w:t xml:space="preserve">. </w:t>
      </w:r>
      <w:r w:rsidRPr="0065066C">
        <w:rPr>
          <w:rFonts w:ascii="Times New Roman" w:eastAsia="Times New Roman" w:hAnsi="Times New Roman" w:cs="Times New Roman"/>
          <w:sz w:val="28"/>
          <w:szCs w:val="28"/>
          <w:lang w:eastAsia="ru-RU" w:bidi="ru-RU"/>
        </w:rPr>
        <w:t>–</w:t>
      </w:r>
      <w:r w:rsidR="00E06142" w:rsidRPr="0065066C">
        <w:rPr>
          <w:rFonts w:ascii="Times New Roman" w:eastAsia="Times New Roman" w:hAnsi="Times New Roman" w:cs="Times New Roman"/>
          <w:sz w:val="28"/>
          <w:szCs w:val="28"/>
          <w:lang w:eastAsia="ru-RU" w:bidi="ru-RU"/>
        </w:rPr>
        <w:t> </w:t>
      </w:r>
      <w:r w:rsidRPr="0065066C">
        <w:rPr>
          <w:rFonts w:ascii="Times New Roman" w:eastAsia="Times New Roman" w:hAnsi="Times New Roman" w:cs="Times New Roman"/>
          <w:sz w:val="28"/>
          <w:szCs w:val="28"/>
          <w:lang w:eastAsia="ru-RU" w:bidi="ru-RU"/>
        </w:rPr>
        <w:t>5 320 сотрудников, из них в региональных комиссиях по делам несовершеннолетних и защите их прав</w:t>
      </w:r>
      <w:r w:rsidR="00E06142" w:rsidRPr="00E06142">
        <w:rPr>
          <w:rFonts w:ascii="Times New Roman" w:eastAsia="Times New Roman" w:hAnsi="Times New Roman" w:cs="Times New Roman"/>
          <w:sz w:val="28"/>
          <w:szCs w:val="28"/>
          <w:lang w:eastAsia="ru-RU" w:bidi="ru-RU"/>
        </w:rPr>
        <w:t> </w:t>
      </w:r>
      <w:r w:rsidRPr="0065066C">
        <w:rPr>
          <w:rFonts w:ascii="Times New Roman" w:eastAsia="Times New Roman" w:hAnsi="Times New Roman" w:cs="Times New Roman"/>
          <w:sz w:val="28"/>
          <w:szCs w:val="28"/>
          <w:lang w:eastAsia="ru-RU" w:bidi="ru-RU"/>
        </w:rPr>
        <w:t>–</w:t>
      </w:r>
      <w:r w:rsidR="00E06142" w:rsidRPr="0065066C">
        <w:rPr>
          <w:rFonts w:ascii="Times New Roman" w:eastAsia="Times New Roman" w:hAnsi="Times New Roman" w:cs="Times New Roman"/>
          <w:sz w:val="28"/>
          <w:szCs w:val="28"/>
          <w:lang w:eastAsia="ru-RU" w:bidi="ru-RU"/>
        </w:rPr>
        <w:t> </w:t>
      </w:r>
      <w:r w:rsidRPr="0065066C">
        <w:rPr>
          <w:rFonts w:ascii="Times New Roman" w:eastAsia="Times New Roman" w:hAnsi="Times New Roman" w:cs="Times New Roman"/>
          <w:sz w:val="28"/>
          <w:szCs w:val="28"/>
          <w:lang w:eastAsia="ru-RU" w:bidi="ru-RU"/>
        </w:rPr>
        <w:t>192</w:t>
      </w:r>
      <w:r>
        <w:rPr>
          <w:rFonts w:ascii="Times New Roman" w:eastAsia="Times New Roman" w:hAnsi="Times New Roman" w:cs="Times New Roman"/>
          <w:sz w:val="28"/>
          <w:szCs w:val="28"/>
          <w:lang w:eastAsia="ru-RU" w:bidi="ru-RU"/>
        </w:rPr>
        <w:t xml:space="preserve"> специалиста</w:t>
      </w:r>
      <w:r w:rsidRPr="0065066C">
        <w:rPr>
          <w:rFonts w:ascii="Times New Roman" w:eastAsia="Times New Roman" w:hAnsi="Times New Roman" w:cs="Times New Roman"/>
          <w:sz w:val="28"/>
          <w:szCs w:val="28"/>
          <w:lang w:eastAsia="ru-RU" w:bidi="ru-RU"/>
        </w:rPr>
        <w:t>, в</w:t>
      </w:r>
      <w:r w:rsidR="00E06142" w:rsidRPr="0065066C">
        <w:rPr>
          <w:rFonts w:ascii="Times New Roman" w:eastAsia="Times New Roman" w:hAnsi="Times New Roman" w:cs="Times New Roman"/>
          <w:sz w:val="28"/>
          <w:szCs w:val="28"/>
          <w:lang w:eastAsia="ru-RU" w:bidi="ru-RU"/>
        </w:rPr>
        <w:t> </w:t>
      </w:r>
      <w:r w:rsidRPr="0065066C">
        <w:rPr>
          <w:rFonts w:ascii="Times New Roman" w:eastAsia="Times New Roman" w:hAnsi="Times New Roman" w:cs="Times New Roman"/>
          <w:sz w:val="28"/>
          <w:szCs w:val="28"/>
          <w:lang w:eastAsia="ru-RU" w:bidi="ru-RU"/>
        </w:rPr>
        <w:t>территориальных (муниципальных) –</w:t>
      </w:r>
      <w:r w:rsidR="00E06142" w:rsidRPr="0065066C">
        <w:rPr>
          <w:rFonts w:ascii="Times New Roman" w:eastAsia="Times New Roman" w:hAnsi="Times New Roman" w:cs="Times New Roman"/>
          <w:sz w:val="28"/>
          <w:szCs w:val="28"/>
          <w:lang w:eastAsia="ru-RU" w:bidi="ru-RU"/>
        </w:rPr>
        <w:t> </w:t>
      </w:r>
      <w:r w:rsidRPr="0065066C">
        <w:rPr>
          <w:rFonts w:ascii="Times New Roman" w:eastAsia="Times New Roman" w:hAnsi="Times New Roman" w:cs="Times New Roman"/>
          <w:sz w:val="28"/>
          <w:szCs w:val="28"/>
          <w:lang w:eastAsia="ru-RU" w:bidi="ru-RU"/>
        </w:rPr>
        <w:t>5 128).</w:t>
      </w:r>
    </w:p>
    <w:p w14:paraId="3B45110F" w14:textId="77777777" w:rsidR="0065066C" w:rsidRPr="0065066C" w:rsidRDefault="0065066C" w:rsidP="002C10D9">
      <w:pPr>
        <w:widowControl w:val="0"/>
        <w:suppressAutoHyphens/>
        <w:spacing w:after="0" w:line="312" w:lineRule="auto"/>
        <w:ind w:firstLine="709"/>
        <w:jc w:val="both"/>
        <w:rPr>
          <w:rFonts w:ascii="Times New Roman" w:eastAsia="Times New Roman" w:hAnsi="Times New Roman" w:cs="Times New Roman"/>
          <w:sz w:val="28"/>
          <w:szCs w:val="28"/>
          <w:lang w:eastAsia="ru-RU" w:bidi="ru-RU"/>
        </w:rPr>
      </w:pPr>
      <w:r w:rsidRPr="0065066C">
        <w:rPr>
          <w:rFonts w:ascii="Times New Roman" w:eastAsia="Times New Roman" w:hAnsi="Times New Roman" w:cs="Times New Roman"/>
          <w:sz w:val="28"/>
          <w:szCs w:val="28"/>
          <w:lang w:eastAsia="ru-RU" w:bidi="ru-RU"/>
        </w:rPr>
        <w:t>В 2021</w:t>
      </w:r>
      <w:r w:rsidR="00260602" w:rsidRPr="0065066C">
        <w:rPr>
          <w:rFonts w:ascii="Times New Roman" w:eastAsia="Times New Roman" w:hAnsi="Times New Roman" w:cs="Times New Roman"/>
          <w:sz w:val="28"/>
          <w:szCs w:val="28"/>
          <w:lang w:eastAsia="ru-RU" w:bidi="ru-RU"/>
        </w:rPr>
        <w:t> </w:t>
      </w:r>
      <w:r w:rsidRPr="0065066C">
        <w:rPr>
          <w:rFonts w:ascii="Times New Roman" w:eastAsia="Times New Roman" w:hAnsi="Times New Roman" w:cs="Times New Roman"/>
          <w:sz w:val="28"/>
          <w:szCs w:val="28"/>
          <w:lang w:eastAsia="ru-RU" w:bidi="ru-RU"/>
        </w:rPr>
        <w:t>г</w:t>
      </w:r>
      <w:r w:rsidR="00027746">
        <w:rPr>
          <w:rFonts w:ascii="Times New Roman" w:eastAsia="Times New Roman" w:hAnsi="Times New Roman" w:cs="Times New Roman"/>
          <w:sz w:val="28"/>
          <w:szCs w:val="28"/>
          <w:lang w:eastAsia="ru-RU" w:bidi="ru-RU"/>
        </w:rPr>
        <w:t>.</w:t>
      </w:r>
      <w:r w:rsidRPr="0065066C">
        <w:rPr>
          <w:rFonts w:ascii="Times New Roman" w:eastAsia="Times New Roman" w:hAnsi="Times New Roman" w:cs="Times New Roman"/>
          <w:sz w:val="28"/>
          <w:szCs w:val="28"/>
          <w:lang w:eastAsia="ru-RU" w:bidi="ru-RU"/>
        </w:rPr>
        <w:t xml:space="preserve"> проведено 4 засед</w:t>
      </w:r>
      <w:r>
        <w:rPr>
          <w:rFonts w:ascii="Times New Roman" w:eastAsia="Times New Roman" w:hAnsi="Times New Roman" w:cs="Times New Roman"/>
          <w:sz w:val="28"/>
          <w:szCs w:val="28"/>
          <w:lang w:eastAsia="ru-RU" w:bidi="ru-RU"/>
        </w:rPr>
        <w:t xml:space="preserve">ания Правительственной комиссии </w:t>
      </w:r>
      <w:r w:rsidRPr="0065066C">
        <w:rPr>
          <w:rFonts w:ascii="Times New Roman" w:eastAsia="Times New Roman" w:hAnsi="Times New Roman" w:cs="Times New Roman"/>
          <w:sz w:val="28"/>
          <w:szCs w:val="28"/>
          <w:lang w:eastAsia="ru-RU" w:bidi="ru-RU"/>
        </w:rPr>
        <w:t>по делам несовершеннолетних и защите их прав, на которых рассмотрены следующие вопросы:</w:t>
      </w:r>
    </w:p>
    <w:p w14:paraId="63AC423E" w14:textId="77777777" w:rsidR="0065066C" w:rsidRPr="0065066C" w:rsidRDefault="0065066C" w:rsidP="002C10D9">
      <w:pPr>
        <w:widowControl w:val="0"/>
        <w:suppressAutoHyphens/>
        <w:spacing w:after="0" w:line="312" w:lineRule="auto"/>
        <w:ind w:firstLine="709"/>
        <w:jc w:val="both"/>
        <w:rPr>
          <w:rFonts w:ascii="Times New Roman" w:eastAsia="Times New Roman" w:hAnsi="Times New Roman" w:cs="Times New Roman"/>
          <w:sz w:val="28"/>
          <w:szCs w:val="28"/>
          <w:lang w:eastAsia="ru-RU" w:bidi="ru-RU"/>
        </w:rPr>
      </w:pPr>
      <w:r w:rsidRPr="0065066C">
        <w:rPr>
          <w:rFonts w:ascii="Times New Roman" w:eastAsia="Times New Roman" w:hAnsi="Times New Roman" w:cs="Times New Roman"/>
          <w:sz w:val="28"/>
          <w:szCs w:val="28"/>
          <w:lang w:eastAsia="ru-RU" w:bidi="ru-RU"/>
        </w:rPr>
        <w:t xml:space="preserve">о системных мерах по профилактике </w:t>
      </w:r>
      <w:proofErr w:type="spellStart"/>
      <w:r w:rsidRPr="0065066C">
        <w:rPr>
          <w:rFonts w:ascii="Times New Roman" w:eastAsia="Times New Roman" w:hAnsi="Times New Roman" w:cs="Times New Roman"/>
          <w:sz w:val="28"/>
          <w:szCs w:val="28"/>
          <w:lang w:eastAsia="ru-RU" w:bidi="ru-RU"/>
        </w:rPr>
        <w:t>буллинга</w:t>
      </w:r>
      <w:proofErr w:type="spellEnd"/>
      <w:r w:rsidRPr="0065066C">
        <w:rPr>
          <w:rFonts w:ascii="Times New Roman" w:eastAsia="Times New Roman" w:hAnsi="Times New Roman" w:cs="Times New Roman"/>
          <w:sz w:val="28"/>
          <w:szCs w:val="28"/>
          <w:lang w:eastAsia="ru-RU" w:bidi="ru-RU"/>
        </w:rPr>
        <w:t xml:space="preserve"> (травли) несовершеннолетних;</w:t>
      </w:r>
    </w:p>
    <w:p w14:paraId="62761D89" w14:textId="77777777" w:rsidR="0065066C" w:rsidRPr="0065066C" w:rsidRDefault="0065066C" w:rsidP="002C10D9">
      <w:pPr>
        <w:widowControl w:val="0"/>
        <w:suppressAutoHyphens/>
        <w:spacing w:after="0" w:line="312" w:lineRule="auto"/>
        <w:ind w:firstLine="709"/>
        <w:jc w:val="both"/>
        <w:rPr>
          <w:rFonts w:ascii="Times New Roman" w:eastAsia="Times New Roman" w:hAnsi="Times New Roman" w:cs="Times New Roman"/>
          <w:sz w:val="28"/>
          <w:szCs w:val="28"/>
          <w:lang w:eastAsia="ru-RU" w:bidi="ru-RU"/>
        </w:rPr>
      </w:pPr>
      <w:r w:rsidRPr="0065066C">
        <w:rPr>
          <w:rFonts w:ascii="Times New Roman" w:eastAsia="Times New Roman" w:hAnsi="Times New Roman" w:cs="Times New Roman"/>
          <w:sz w:val="28"/>
          <w:szCs w:val="28"/>
          <w:lang w:eastAsia="ru-RU" w:bidi="ru-RU"/>
        </w:rPr>
        <w:t>о</w:t>
      </w:r>
      <w:r w:rsidR="00E06142" w:rsidRPr="0065066C">
        <w:rPr>
          <w:rFonts w:ascii="Times New Roman" w:eastAsia="Times New Roman" w:hAnsi="Times New Roman" w:cs="Times New Roman"/>
          <w:sz w:val="28"/>
          <w:szCs w:val="28"/>
          <w:lang w:eastAsia="ru-RU" w:bidi="ru-RU"/>
        </w:rPr>
        <w:t> </w:t>
      </w:r>
      <w:r w:rsidRPr="0065066C">
        <w:rPr>
          <w:rFonts w:ascii="Times New Roman" w:eastAsia="Times New Roman" w:hAnsi="Times New Roman" w:cs="Times New Roman"/>
          <w:sz w:val="28"/>
          <w:szCs w:val="28"/>
          <w:lang w:eastAsia="ru-RU" w:bidi="ru-RU"/>
        </w:rPr>
        <w:t>системе дополнительных мер координации деятельности органо</w:t>
      </w:r>
      <w:r>
        <w:rPr>
          <w:rFonts w:ascii="Times New Roman" w:eastAsia="Times New Roman" w:hAnsi="Times New Roman" w:cs="Times New Roman"/>
          <w:sz w:val="28"/>
          <w:szCs w:val="28"/>
          <w:lang w:eastAsia="ru-RU" w:bidi="ru-RU"/>
        </w:rPr>
        <w:t xml:space="preserve">в </w:t>
      </w:r>
      <w:r w:rsidRPr="0065066C">
        <w:rPr>
          <w:rFonts w:ascii="Times New Roman" w:eastAsia="Times New Roman" w:hAnsi="Times New Roman" w:cs="Times New Roman"/>
          <w:sz w:val="28"/>
          <w:szCs w:val="28"/>
          <w:lang w:eastAsia="ru-RU" w:bidi="ru-RU"/>
        </w:rPr>
        <w:t>по делам молодежи в сфере профилактики безнадзорности и правонарушений несовершеннолетних с учетом со</w:t>
      </w:r>
      <w:r>
        <w:rPr>
          <w:rFonts w:ascii="Times New Roman" w:eastAsia="Times New Roman" w:hAnsi="Times New Roman" w:cs="Times New Roman"/>
          <w:sz w:val="28"/>
          <w:szCs w:val="28"/>
          <w:lang w:eastAsia="ru-RU" w:bidi="ru-RU"/>
        </w:rPr>
        <w:t xml:space="preserve">временных социальных тенденций </w:t>
      </w:r>
      <w:r w:rsidRPr="0065066C">
        <w:rPr>
          <w:rFonts w:ascii="Times New Roman" w:eastAsia="Times New Roman" w:hAnsi="Times New Roman" w:cs="Times New Roman"/>
          <w:sz w:val="28"/>
          <w:szCs w:val="28"/>
          <w:lang w:eastAsia="ru-RU" w:bidi="ru-RU"/>
        </w:rPr>
        <w:t>развития общества;</w:t>
      </w:r>
    </w:p>
    <w:p w14:paraId="685808E1" w14:textId="77777777" w:rsidR="0065066C" w:rsidRPr="0065066C" w:rsidRDefault="0065066C" w:rsidP="002C10D9">
      <w:pPr>
        <w:widowControl w:val="0"/>
        <w:suppressAutoHyphens/>
        <w:spacing w:after="0" w:line="312" w:lineRule="auto"/>
        <w:ind w:firstLine="709"/>
        <w:jc w:val="both"/>
        <w:rPr>
          <w:rFonts w:ascii="Times New Roman" w:eastAsia="Times New Roman" w:hAnsi="Times New Roman" w:cs="Times New Roman"/>
          <w:sz w:val="28"/>
          <w:szCs w:val="28"/>
          <w:lang w:eastAsia="ru-RU" w:bidi="ru-RU"/>
        </w:rPr>
      </w:pPr>
      <w:r w:rsidRPr="0065066C">
        <w:rPr>
          <w:rFonts w:ascii="Times New Roman" w:eastAsia="Times New Roman" w:hAnsi="Times New Roman" w:cs="Times New Roman"/>
          <w:sz w:val="28"/>
          <w:szCs w:val="28"/>
          <w:lang w:eastAsia="ru-RU" w:bidi="ru-RU"/>
        </w:rPr>
        <w:t>об итогах реализации комплекса мер до 2020 г</w:t>
      </w:r>
      <w:r w:rsidR="00027746">
        <w:rPr>
          <w:rFonts w:ascii="Times New Roman" w:eastAsia="Times New Roman" w:hAnsi="Times New Roman" w:cs="Times New Roman"/>
          <w:sz w:val="28"/>
          <w:szCs w:val="28"/>
          <w:lang w:eastAsia="ru-RU" w:bidi="ru-RU"/>
        </w:rPr>
        <w:t>.</w:t>
      </w:r>
      <w:r w:rsidRPr="0065066C">
        <w:rPr>
          <w:rFonts w:ascii="Times New Roman" w:eastAsia="Times New Roman" w:hAnsi="Times New Roman" w:cs="Times New Roman"/>
          <w:sz w:val="28"/>
          <w:szCs w:val="28"/>
          <w:lang w:eastAsia="ru-RU" w:bidi="ru-RU"/>
        </w:rPr>
        <w:t xml:space="preserve"> по совершенствованию системы профилактики суицида среди несовершеннолетних и основных задачах органов и учреждений системы профилактики безнадзорности и правонарушений несовершеннолетних по предупреждению </w:t>
      </w:r>
      <w:proofErr w:type="spellStart"/>
      <w:r w:rsidRPr="0065066C">
        <w:rPr>
          <w:rFonts w:ascii="Times New Roman" w:eastAsia="Times New Roman" w:hAnsi="Times New Roman" w:cs="Times New Roman"/>
          <w:sz w:val="28"/>
          <w:szCs w:val="28"/>
          <w:lang w:eastAsia="ru-RU" w:bidi="ru-RU"/>
        </w:rPr>
        <w:t>ау</w:t>
      </w:r>
      <w:r>
        <w:rPr>
          <w:rFonts w:ascii="Times New Roman" w:eastAsia="Times New Roman" w:hAnsi="Times New Roman" w:cs="Times New Roman"/>
          <w:sz w:val="28"/>
          <w:szCs w:val="28"/>
          <w:lang w:eastAsia="ru-RU" w:bidi="ru-RU"/>
        </w:rPr>
        <w:t>тоагрессивного</w:t>
      </w:r>
      <w:proofErr w:type="spellEnd"/>
      <w:r>
        <w:rPr>
          <w:rFonts w:ascii="Times New Roman" w:eastAsia="Times New Roman" w:hAnsi="Times New Roman" w:cs="Times New Roman"/>
          <w:sz w:val="28"/>
          <w:szCs w:val="28"/>
          <w:lang w:eastAsia="ru-RU" w:bidi="ru-RU"/>
        </w:rPr>
        <w:t xml:space="preserve"> поведения детей </w:t>
      </w:r>
      <w:r w:rsidRPr="0065066C">
        <w:rPr>
          <w:rFonts w:ascii="Times New Roman" w:eastAsia="Times New Roman" w:hAnsi="Times New Roman" w:cs="Times New Roman"/>
          <w:sz w:val="28"/>
          <w:szCs w:val="28"/>
          <w:lang w:eastAsia="ru-RU" w:bidi="ru-RU"/>
        </w:rPr>
        <w:t>на период до 2025 г</w:t>
      </w:r>
      <w:r w:rsidR="001D0FC2">
        <w:rPr>
          <w:rFonts w:ascii="Times New Roman" w:eastAsia="Times New Roman" w:hAnsi="Times New Roman" w:cs="Times New Roman"/>
          <w:sz w:val="28"/>
          <w:szCs w:val="28"/>
          <w:lang w:eastAsia="ru-RU" w:bidi="ru-RU"/>
        </w:rPr>
        <w:t>.</w:t>
      </w:r>
      <w:r w:rsidRPr="0065066C">
        <w:rPr>
          <w:rFonts w:ascii="Times New Roman" w:eastAsia="Times New Roman" w:hAnsi="Times New Roman" w:cs="Times New Roman"/>
          <w:sz w:val="28"/>
          <w:szCs w:val="28"/>
          <w:lang w:eastAsia="ru-RU" w:bidi="ru-RU"/>
        </w:rPr>
        <w:t>;</w:t>
      </w:r>
    </w:p>
    <w:p w14:paraId="14598019" w14:textId="77777777" w:rsidR="0065066C" w:rsidRPr="0065066C" w:rsidRDefault="0065066C" w:rsidP="002C10D9">
      <w:pPr>
        <w:widowControl w:val="0"/>
        <w:suppressAutoHyphens/>
        <w:spacing w:after="0" w:line="312" w:lineRule="auto"/>
        <w:ind w:firstLine="709"/>
        <w:jc w:val="both"/>
        <w:rPr>
          <w:rFonts w:ascii="Times New Roman" w:eastAsia="Times New Roman" w:hAnsi="Times New Roman" w:cs="Times New Roman"/>
          <w:sz w:val="28"/>
          <w:szCs w:val="28"/>
          <w:lang w:eastAsia="ru-RU" w:bidi="ru-RU"/>
        </w:rPr>
      </w:pPr>
      <w:r w:rsidRPr="0065066C">
        <w:rPr>
          <w:rFonts w:ascii="Times New Roman" w:eastAsia="Times New Roman" w:hAnsi="Times New Roman" w:cs="Times New Roman"/>
          <w:sz w:val="28"/>
          <w:szCs w:val="28"/>
          <w:lang w:eastAsia="ru-RU" w:bidi="ru-RU"/>
        </w:rPr>
        <w:t>об участии органов и организаций системы социального обслуживания в деятельности по профилактике безнадзорности и правонарушений несовершеннолетних, а также о совершенствовании их работы;</w:t>
      </w:r>
    </w:p>
    <w:p w14:paraId="48940930" w14:textId="77777777" w:rsidR="0065066C" w:rsidRPr="0065066C" w:rsidRDefault="0065066C" w:rsidP="002C10D9">
      <w:pPr>
        <w:widowControl w:val="0"/>
        <w:suppressAutoHyphens/>
        <w:spacing w:after="0" w:line="312" w:lineRule="auto"/>
        <w:ind w:firstLine="709"/>
        <w:jc w:val="both"/>
        <w:rPr>
          <w:rFonts w:ascii="Times New Roman" w:eastAsia="Times New Roman" w:hAnsi="Times New Roman" w:cs="Times New Roman"/>
          <w:sz w:val="28"/>
          <w:szCs w:val="28"/>
          <w:lang w:eastAsia="ru-RU" w:bidi="ru-RU"/>
        </w:rPr>
      </w:pPr>
      <w:r w:rsidRPr="0065066C">
        <w:rPr>
          <w:rFonts w:ascii="Times New Roman" w:eastAsia="Times New Roman" w:hAnsi="Times New Roman" w:cs="Times New Roman"/>
          <w:sz w:val="28"/>
          <w:szCs w:val="28"/>
          <w:lang w:eastAsia="ru-RU" w:bidi="ru-RU"/>
        </w:rPr>
        <w:t>о развитии систем информационного обмена в деятельности субъектов системы профилактики безнадзорности и правонарушений несовершеннолетних;</w:t>
      </w:r>
    </w:p>
    <w:p w14:paraId="72314290" w14:textId="77777777" w:rsidR="0065066C" w:rsidRPr="0065066C" w:rsidRDefault="0065066C" w:rsidP="002C10D9">
      <w:pPr>
        <w:widowControl w:val="0"/>
        <w:suppressAutoHyphens/>
        <w:spacing w:after="0" w:line="312" w:lineRule="auto"/>
        <w:ind w:firstLine="709"/>
        <w:jc w:val="both"/>
        <w:rPr>
          <w:rFonts w:ascii="Times New Roman" w:eastAsia="Times New Roman" w:hAnsi="Times New Roman" w:cs="Times New Roman"/>
          <w:sz w:val="28"/>
          <w:szCs w:val="28"/>
          <w:lang w:eastAsia="ru-RU" w:bidi="ru-RU"/>
        </w:rPr>
      </w:pPr>
      <w:r w:rsidRPr="0065066C">
        <w:rPr>
          <w:rFonts w:ascii="Times New Roman" w:eastAsia="Times New Roman" w:hAnsi="Times New Roman" w:cs="Times New Roman"/>
          <w:sz w:val="28"/>
          <w:szCs w:val="28"/>
          <w:lang w:eastAsia="ru-RU" w:bidi="ru-RU"/>
        </w:rPr>
        <w:t>о совершенствовании работы по профилактике правонарушений несовершеннолетних, обучающихся в образовательных организациях высшего образования;</w:t>
      </w:r>
    </w:p>
    <w:p w14:paraId="66D37D21" w14:textId="77777777" w:rsidR="0065066C" w:rsidRPr="0065066C" w:rsidRDefault="0065066C" w:rsidP="002C10D9">
      <w:pPr>
        <w:widowControl w:val="0"/>
        <w:suppressAutoHyphens/>
        <w:spacing w:after="0" w:line="312" w:lineRule="auto"/>
        <w:ind w:firstLine="709"/>
        <w:jc w:val="both"/>
        <w:rPr>
          <w:rFonts w:ascii="Times New Roman" w:eastAsia="Times New Roman" w:hAnsi="Times New Roman" w:cs="Times New Roman"/>
          <w:sz w:val="28"/>
          <w:szCs w:val="28"/>
          <w:lang w:eastAsia="ru-RU" w:bidi="ru-RU"/>
        </w:rPr>
      </w:pPr>
      <w:r w:rsidRPr="0065066C">
        <w:rPr>
          <w:rFonts w:ascii="Times New Roman" w:eastAsia="Times New Roman" w:hAnsi="Times New Roman" w:cs="Times New Roman"/>
          <w:sz w:val="28"/>
          <w:szCs w:val="28"/>
          <w:lang w:eastAsia="ru-RU" w:bidi="ru-RU"/>
        </w:rPr>
        <w:t>о мерах по совершенствованию системы воспитания в организациях, оказывающих помощь детям в трудной жизненной ситуации, а также находящимся в учреждениях уголовно-исполнительной системы;</w:t>
      </w:r>
    </w:p>
    <w:p w14:paraId="5A744DB4" w14:textId="77777777" w:rsidR="0065066C" w:rsidRPr="0065066C" w:rsidRDefault="0065066C" w:rsidP="002C10D9">
      <w:pPr>
        <w:widowControl w:val="0"/>
        <w:suppressAutoHyphens/>
        <w:spacing w:after="0" w:line="312" w:lineRule="auto"/>
        <w:ind w:firstLine="709"/>
        <w:jc w:val="both"/>
        <w:rPr>
          <w:rFonts w:ascii="Times New Roman" w:eastAsia="Times New Roman" w:hAnsi="Times New Roman" w:cs="Times New Roman"/>
          <w:sz w:val="28"/>
          <w:szCs w:val="28"/>
          <w:lang w:eastAsia="ru-RU" w:bidi="ru-RU"/>
        </w:rPr>
      </w:pPr>
      <w:r w:rsidRPr="0065066C">
        <w:rPr>
          <w:rFonts w:ascii="Times New Roman" w:eastAsia="Times New Roman" w:hAnsi="Times New Roman" w:cs="Times New Roman"/>
          <w:sz w:val="28"/>
          <w:szCs w:val="28"/>
          <w:lang w:eastAsia="ru-RU" w:bidi="ru-RU"/>
        </w:rPr>
        <w:t>о результатах работы Правительственной комиссии по делам несовершеннолетних и защите их пр</w:t>
      </w:r>
      <w:r>
        <w:rPr>
          <w:rFonts w:ascii="Times New Roman" w:eastAsia="Times New Roman" w:hAnsi="Times New Roman" w:cs="Times New Roman"/>
          <w:sz w:val="28"/>
          <w:szCs w:val="28"/>
          <w:lang w:eastAsia="ru-RU" w:bidi="ru-RU"/>
        </w:rPr>
        <w:t>ав по итогам 2021 г</w:t>
      </w:r>
      <w:r w:rsidR="001D0FC2">
        <w:rPr>
          <w:rFonts w:ascii="Times New Roman" w:eastAsia="Times New Roman" w:hAnsi="Times New Roman" w:cs="Times New Roman"/>
          <w:sz w:val="28"/>
          <w:szCs w:val="28"/>
          <w:lang w:eastAsia="ru-RU" w:bidi="ru-RU"/>
        </w:rPr>
        <w:t>.</w:t>
      </w:r>
      <w:r>
        <w:rPr>
          <w:rFonts w:ascii="Times New Roman" w:eastAsia="Times New Roman" w:hAnsi="Times New Roman" w:cs="Times New Roman"/>
          <w:sz w:val="28"/>
          <w:szCs w:val="28"/>
          <w:lang w:eastAsia="ru-RU" w:bidi="ru-RU"/>
        </w:rPr>
        <w:t xml:space="preserve"> и плане </w:t>
      </w:r>
      <w:r w:rsidR="001D0FC2">
        <w:rPr>
          <w:rFonts w:ascii="Times New Roman" w:eastAsia="Times New Roman" w:hAnsi="Times New Roman" w:cs="Times New Roman"/>
          <w:sz w:val="28"/>
          <w:szCs w:val="28"/>
          <w:lang w:eastAsia="ru-RU" w:bidi="ru-RU"/>
        </w:rPr>
        <w:t>работы на 2022 г</w:t>
      </w:r>
      <w:r w:rsidRPr="0065066C">
        <w:rPr>
          <w:rFonts w:ascii="Times New Roman" w:eastAsia="Times New Roman" w:hAnsi="Times New Roman" w:cs="Times New Roman"/>
          <w:sz w:val="28"/>
          <w:szCs w:val="28"/>
          <w:lang w:eastAsia="ru-RU" w:bidi="ru-RU"/>
        </w:rPr>
        <w:t>.</w:t>
      </w:r>
    </w:p>
    <w:p w14:paraId="3AD5CFC0" w14:textId="77777777" w:rsidR="0065066C" w:rsidRPr="0065066C" w:rsidRDefault="0065066C" w:rsidP="002C10D9">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65066C">
        <w:rPr>
          <w:rFonts w:ascii="Times New Roman" w:eastAsia="Times New Roman" w:hAnsi="Times New Roman" w:cs="Times New Roman"/>
          <w:sz w:val="28"/>
          <w:szCs w:val="28"/>
          <w:lang w:eastAsia="ru-RU"/>
        </w:rPr>
        <w:t xml:space="preserve">Особое внимание Правительственной комиссией по делам несовершеннолетних и защите их прав в отчетном периоде уделялось методическому обеспечению деятельности </w:t>
      </w:r>
      <w:r>
        <w:rPr>
          <w:rFonts w:ascii="Times New Roman" w:eastAsia="Times New Roman" w:hAnsi="Times New Roman" w:cs="Times New Roman"/>
          <w:sz w:val="28"/>
          <w:szCs w:val="28"/>
          <w:lang w:eastAsia="ru-RU"/>
        </w:rPr>
        <w:t xml:space="preserve">комиссий, а также иных органов </w:t>
      </w:r>
      <w:r w:rsidRPr="0065066C">
        <w:rPr>
          <w:rFonts w:ascii="Times New Roman" w:eastAsia="Times New Roman" w:hAnsi="Times New Roman" w:cs="Times New Roman"/>
          <w:sz w:val="28"/>
          <w:szCs w:val="28"/>
          <w:lang w:eastAsia="ru-RU"/>
        </w:rPr>
        <w:t>и учреждений системы профилактики по различным направлениям деятельности.</w:t>
      </w:r>
    </w:p>
    <w:p w14:paraId="378FDF07" w14:textId="77777777" w:rsidR="0065066C" w:rsidRPr="0065066C" w:rsidRDefault="0065066C" w:rsidP="002C10D9">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65066C">
        <w:rPr>
          <w:rFonts w:ascii="Times New Roman" w:eastAsia="Times New Roman" w:hAnsi="Times New Roman" w:cs="Times New Roman"/>
          <w:sz w:val="28"/>
          <w:szCs w:val="28"/>
          <w:lang w:eastAsia="ru-RU"/>
        </w:rPr>
        <w:t xml:space="preserve">В рамках организации работ по детализации порядка межведомственного взаимодействия субъектов системы профилактики </w:t>
      </w:r>
      <w:r w:rsidR="00E06142">
        <w:rPr>
          <w:rFonts w:ascii="Times New Roman" w:eastAsia="Times New Roman" w:hAnsi="Times New Roman" w:cs="Times New Roman"/>
          <w:sz w:val="28"/>
          <w:szCs w:val="28"/>
          <w:lang w:eastAsia="ru-RU"/>
        </w:rPr>
        <w:t xml:space="preserve">безнадзорности и правонарушений несовершеннолетних </w:t>
      </w:r>
      <w:r w:rsidRPr="0065066C">
        <w:rPr>
          <w:rFonts w:ascii="Times New Roman" w:eastAsia="Times New Roman" w:hAnsi="Times New Roman" w:cs="Times New Roman"/>
          <w:sz w:val="28"/>
          <w:szCs w:val="28"/>
          <w:lang w:eastAsia="ru-RU"/>
        </w:rPr>
        <w:t>Минпросвещения России совместно с МВД России, Минздр</w:t>
      </w:r>
      <w:r>
        <w:rPr>
          <w:rFonts w:ascii="Times New Roman" w:eastAsia="Times New Roman" w:hAnsi="Times New Roman" w:cs="Times New Roman"/>
          <w:sz w:val="28"/>
          <w:szCs w:val="28"/>
          <w:lang w:eastAsia="ru-RU"/>
        </w:rPr>
        <w:t xml:space="preserve">авом России, Минтрудом России, </w:t>
      </w:r>
      <w:r w:rsidRPr="0065066C">
        <w:rPr>
          <w:rFonts w:ascii="Times New Roman" w:eastAsia="Times New Roman" w:hAnsi="Times New Roman" w:cs="Times New Roman"/>
          <w:sz w:val="28"/>
          <w:szCs w:val="28"/>
          <w:lang w:eastAsia="ru-RU"/>
        </w:rPr>
        <w:t xml:space="preserve">Минцифры России, Минобрнауки России, ФСИН России и Росмолодежью разработаны методические рекомендации о </w:t>
      </w:r>
      <w:r>
        <w:rPr>
          <w:rFonts w:ascii="Times New Roman" w:eastAsia="Times New Roman" w:hAnsi="Times New Roman" w:cs="Times New Roman"/>
          <w:sz w:val="28"/>
          <w:szCs w:val="28"/>
          <w:lang w:eastAsia="ru-RU"/>
        </w:rPr>
        <w:t xml:space="preserve">порядке взаимодействия </w:t>
      </w:r>
      <w:r w:rsidR="004130B8">
        <w:rPr>
          <w:rFonts w:ascii="Times New Roman" w:eastAsia="Times New Roman" w:hAnsi="Times New Roman" w:cs="Times New Roman"/>
          <w:sz w:val="28"/>
          <w:szCs w:val="28"/>
          <w:lang w:eastAsia="ru-RU"/>
        </w:rPr>
        <w:t xml:space="preserve">вышеуказанных </w:t>
      </w:r>
      <w:r>
        <w:rPr>
          <w:rFonts w:ascii="Times New Roman" w:eastAsia="Times New Roman" w:hAnsi="Times New Roman" w:cs="Times New Roman"/>
          <w:sz w:val="28"/>
          <w:szCs w:val="28"/>
          <w:lang w:eastAsia="ru-RU"/>
        </w:rPr>
        <w:t xml:space="preserve">органов </w:t>
      </w:r>
      <w:r w:rsidRPr="0065066C">
        <w:rPr>
          <w:rFonts w:ascii="Times New Roman" w:eastAsia="Times New Roman" w:hAnsi="Times New Roman" w:cs="Times New Roman"/>
          <w:sz w:val="28"/>
          <w:szCs w:val="28"/>
          <w:lang w:eastAsia="ru-RU"/>
        </w:rPr>
        <w:t>и учреждений системы профилактики, вк</w:t>
      </w:r>
      <w:r>
        <w:rPr>
          <w:rFonts w:ascii="Times New Roman" w:eastAsia="Times New Roman" w:hAnsi="Times New Roman" w:cs="Times New Roman"/>
          <w:sz w:val="28"/>
          <w:szCs w:val="28"/>
          <w:lang w:eastAsia="ru-RU"/>
        </w:rPr>
        <w:t xml:space="preserve">лючающие две примерные типовые </w:t>
      </w:r>
      <w:r w:rsidRPr="0065066C">
        <w:rPr>
          <w:rFonts w:ascii="Times New Roman" w:eastAsia="Times New Roman" w:hAnsi="Times New Roman" w:cs="Times New Roman"/>
          <w:sz w:val="28"/>
          <w:szCs w:val="28"/>
          <w:lang w:eastAsia="ru-RU"/>
        </w:rPr>
        <w:t>формы взаимодействия: при выявлении признаков социально опасного положения в отношении несовершеннолетних и их семей, а также по реагированию в случае выявления чрезвычайной ситуации с несовершеннолетним.</w:t>
      </w:r>
    </w:p>
    <w:p w14:paraId="256BE710" w14:textId="77777777" w:rsidR="0065066C" w:rsidRPr="0065066C" w:rsidRDefault="0065066C" w:rsidP="002C10D9">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65066C">
        <w:rPr>
          <w:rFonts w:ascii="Times New Roman" w:eastAsia="Times New Roman" w:hAnsi="Times New Roman" w:cs="Times New Roman"/>
          <w:sz w:val="28"/>
          <w:szCs w:val="28"/>
          <w:lang w:eastAsia="ru-RU"/>
        </w:rPr>
        <w:t>Кроме того, в 2021 г</w:t>
      </w:r>
      <w:r w:rsidR="0041722E">
        <w:rPr>
          <w:rFonts w:ascii="Times New Roman" w:eastAsia="Times New Roman" w:hAnsi="Times New Roman" w:cs="Times New Roman"/>
          <w:sz w:val="28"/>
          <w:szCs w:val="28"/>
          <w:lang w:eastAsia="ru-RU"/>
        </w:rPr>
        <w:t>.</w:t>
      </w:r>
      <w:r w:rsidRPr="0065066C">
        <w:rPr>
          <w:rFonts w:ascii="Times New Roman" w:eastAsia="Times New Roman" w:hAnsi="Times New Roman" w:cs="Times New Roman"/>
          <w:sz w:val="28"/>
          <w:szCs w:val="28"/>
          <w:lang w:eastAsia="ru-RU"/>
        </w:rPr>
        <w:t xml:space="preserve"> разработ</w:t>
      </w:r>
      <w:r>
        <w:rPr>
          <w:rFonts w:ascii="Times New Roman" w:eastAsia="Times New Roman" w:hAnsi="Times New Roman" w:cs="Times New Roman"/>
          <w:sz w:val="28"/>
          <w:szCs w:val="28"/>
          <w:lang w:eastAsia="ru-RU"/>
        </w:rPr>
        <w:t xml:space="preserve">аны примерные программы курсов </w:t>
      </w:r>
      <w:r w:rsidRPr="0065066C">
        <w:rPr>
          <w:rFonts w:ascii="Times New Roman" w:eastAsia="Times New Roman" w:hAnsi="Times New Roman" w:cs="Times New Roman"/>
          <w:sz w:val="28"/>
          <w:szCs w:val="28"/>
          <w:lang w:eastAsia="ru-RU"/>
        </w:rPr>
        <w:t xml:space="preserve">повышения квалификации, ориентированные </w:t>
      </w:r>
      <w:r>
        <w:rPr>
          <w:rFonts w:ascii="Times New Roman" w:eastAsia="Times New Roman" w:hAnsi="Times New Roman" w:cs="Times New Roman"/>
          <w:sz w:val="28"/>
          <w:szCs w:val="28"/>
          <w:lang w:eastAsia="ru-RU"/>
        </w:rPr>
        <w:t xml:space="preserve">на председателей муниципальных </w:t>
      </w:r>
      <w:r w:rsidRPr="0065066C">
        <w:rPr>
          <w:rFonts w:ascii="Times New Roman" w:eastAsia="Times New Roman" w:hAnsi="Times New Roman" w:cs="Times New Roman"/>
          <w:sz w:val="28"/>
          <w:szCs w:val="28"/>
          <w:lang w:eastAsia="ru-RU"/>
        </w:rPr>
        <w:t>и региональных комиссий</w:t>
      </w:r>
      <w:r w:rsidR="004130B8">
        <w:rPr>
          <w:rFonts w:ascii="Times New Roman" w:eastAsia="Times New Roman" w:hAnsi="Times New Roman" w:cs="Times New Roman"/>
          <w:sz w:val="28"/>
          <w:szCs w:val="28"/>
          <w:lang w:eastAsia="ru-RU"/>
        </w:rPr>
        <w:t xml:space="preserve"> по делам несовершеннолетних и защите их прав</w:t>
      </w:r>
      <w:r w:rsidRPr="0065066C">
        <w:rPr>
          <w:rFonts w:ascii="Times New Roman" w:eastAsia="Times New Roman" w:hAnsi="Times New Roman" w:cs="Times New Roman"/>
          <w:sz w:val="28"/>
          <w:szCs w:val="28"/>
          <w:lang w:eastAsia="ru-RU"/>
        </w:rPr>
        <w:t>, а также специали</w:t>
      </w:r>
      <w:r>
        <w:rPr>
          <w:rFonts w:ascii="Times New Roman" w:eastAsia="Times New Roman" w:hAnsi="Times New Roman" w:cs="Times New Roman"/>
          <w:sz w:val="28"/>
          <w:szCs w:val="28"/>
          <w:lang w:eastAsia="ru-RU"/>
        </w:rPr>
        <w:t xml:space="preserve">стов органов по делам молодежи </w:t>
      </w:r>
      <w:r w:rsidRPr="0065066C">
        <w:rPr>
          <w:rFonts w:ascii="Times New Roman" w:eastAsia="Times New Roman" w:hAnsi="Times New Roman" w:cs="Times New Roman"/>
          <w:sz w:val="28"/>
          <w:szCs w:val="28"/>
          <w:lang w:eastAsia="ru-RU"/>
        </w:rPr>
        <w:t>в сфере профилактики безнадзорности и правонарушений несовершеннолетних (https://fcprc.ru/spec-kdn/metodicheskie-materialy/).</w:t>
      </w:r>
    </w:p>
    <w:p w14:paraId="378C0A49" w14:textId="77777777" w:rsidR="0065066C" w:rsidRPr="0065066C" w:rsidRDefault="0065066C" w:rsidP="002C10D9">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65066C">
        <w:rPr>
          <w:rFonts w:ascii="Times New Roman" w:eastAsia="Times New Roman" w:hAnsi="Times New Roman" w:cs="Times New Roman"/>
          <w:sz w:val="28"/>
          <w:szCs w:val="28"/>
          <w:lang w:eastAsia="ru-RU"/>
        </w:rPr>
        <w:t>В целях обеспечения возможностей приобретения новых компетенций ответственными секретарями комисс</w:t>
      </w:r>
      <w:r>
        <w:rPr>
          <w:rFonts w:ascii="Times New Roman" w:eastAsia="Times New Roman" w:hAnsi="Times New Roman" w:cs="Times New Roman"/>
          <w:sz w:val="28"/>
          <w:szCs w:val="28"/>
          <w:lang w:eastAsia="ru-RU"/>
        </w:rPr>
        <w:t xml:space="preserve">ий по делам несовершеннолетних </w:t>
      </w:r>
      <w:r w:rsidRPr="0065066C">
        <w:rPr>
          <w:rFonts w:ascii="Times New Roman" w:eastAsia="Times New Roman" w:hAnsi="Times New Roman" w:cs="Times New Roman"/>
          <w:sz w:val="28"/>
          <w:szCs w:val="28"/>
          <w:lang w:eastAsia="ru-RU"/>
        </w:rPr>
        <w:t xml:space="preserve">и защите их прав субъектов Российской Федерации и специалистами, обеспечивающими деятельность указанных комиссий, Минпросвещения России совместно </w:t>
      </w:r>
      <w:r w:rsidR="0041722E">
        <w:rPr>
          <w:rFonts w:ascii="Times New Roman" w:eastAsia="Times New Roman" w:hAnsi="Times New Roman" w:cs="Times New Roman"/>
          <w:sz w:val="28"/>
          <w:szCs w:val="28"/>
          <w:lang w:eastAsia="ru-RU"/>
        </w:rPr>
        <w:br/>
      </w:r>
      <w:r w:rsidRPr="0065066C">
        <w:rPr>
          <w:rFonts w:ascii="Times New Roman" w:eastAsia="Times New Roman" w:hAnsi="Times New Roman" w:cs="Times New Roman"/>
          <w:sz w:val="28"/>
          <w:szCs w:val="28"/>
          <w:lang w:eastAsia="ru-RU"/>
        </w:rPr>
        <w:t xml:space="preserve">с </w:t>
      </w:r>
      <w:r w:rsidR="005231B9">
        <w:rPr>
          <w:rFonts w:ascii="Times New Roman" w:eastAsia="Times New Roman" w:hAnsi="Times New Roman" w:cs="Times New Roman"/>
          <w:sz w:val="28"/>
          <w:szCs w:val="28"/>
          <w:lang w:eastAsia="ru-RU"/>
        </w:rPr>
        <w:t>ФГБУ</w:t>
      </w:r>
      <w:r>
        <w:rPr>
          <w:rFonts w:ascii="Times New Roman" w:eastAsia="Times New Roman" w:hAnsi="Times New Roman" w:cs="Times New Roman"/>
          <w:sz w:val="28"/>
          <w:szCs w:val="28"/>
          <w:lang w:eastAsia="ru-RU"/>
        </w:rPr>
        <w:t xml:space="preserve"> </w:t>
      </w:r>
      <w:r w:rsidRPr="0065066C">
        <w:rPr>
          <w:rFonts w:ascii="Times New Roman" w:eastAsia="Times New Roman" w:hAnsi="Times New Roman" w:cs="Times New Roman"/>
          <w:sz w:val="28"/>
          <w:szCs w:val="28"/>
          <w:lang w:eastAsia="ru-RU"/>
        </w:rPr>
        <w:t>«Центр защиты прав и интересов детей</w:t>
      </w:r>
      <w:r>
        <w:rPr>
          <w:rFonts w:ascii="Times New Roman" w:eastAsia="Times New Roman" w:hAnsi="Times New Roman" w:cs="Times New Roman"/>
          <w:sz w:val="28"/>
          <w:szCs w:val="28"/>
          <w:lang w:eastAsia="ru-RU"/>
        </w:rPr>
        <w:t xml:space="preserve">» организовано проведение двух </w:t>
      </w:r>
      <w:r w:rsidRPr="0065066C">
        <w:rPr>
          <w:rFonts w:ascii="Times New Roman" w:eastAsia="Times New Roman" w:hAnsi="Times New Roman" w:cs="Times New Roman"/>
          <w:sz w:val="28"/>
          <w:szCs w:val="28"/>
          <w:lang w:eastAsia="ru-RU"/>
        </w:rPr>
        <w:t>обучающих вебинаров по вопросам организации мониторинга деятельности комиссий по делам несовершеннолетних и защите их прав, правоприменительной практики комиссий, в которых приняли участие 354 специалиста.</w:t>
      </w:r>
    </w:p>
    <w:p w14:paraId="12735236" w14:textId="77777777" w:rsidR="0065066C" w:rsidRPr="00371752" w:rsidRDefault="0065066C" w:rsidP="002C10D9">
      <w:pPr>
        <w:widowControl w:val="0"/>
        <w:suppressAutoHyphens/>
        <w:spacing w:after="0" w:line="312" w:lineRule="auto"/>
        <w:ind w:firstLine="709"/>
        <w:jc w:val="both"/>
        <w:rPr>
          <w:rFonts w:ascii="Times New Roman" w:eastAsia="Times New Roman" w:hAnsi="Times New Roman" w:cs="Times New Roman"/>
          <w:sz w:val="28"/>
          <w:szCs w:val="28"/>
          <w:lang w:eastAsia="ru-RU"/>
        </w:rPr>
      </w:pPr>
      <w:r w:rsidRPr="00371752">
        <w:rPr>
          <w:rFonts w:ascii="Times New Roman" w:eastAsia="Times New Roman" w:hAnsi="Times New Roman" w:cs="Times New Roman"/>
          <w:sz w:val="28"/>
          <w:szCs w:val="28"/>
          <w:lang w:eastAsia="ru-RU"/>
        </w:rPr>
        <w:t>Вопросы повышения эффективности деятельности комиссий как органа, координирующего межведомственное взаимодействие органов и учреждений системы профилактики, с учетом современных тенденций, а также приоритетных направлений государственной политики в сфере защиты детства рассмотрены в рамках V</w:t>
      </w:r>
      <w:r w:rsidRPr="00371752">
        <w:rPr>
          <w:rFonts w:ascii="Times New Roman" w:eastAsia="Times New Roman" w:hAnsi="Times New Roman" w:cs="Times New Roman"/>
          <w:sz w:val="28"/>
          <w:szCs w:val="28"/>
          <w:lang w:val="en-US" w:eastAsia="ru-RU"/>
        </w:rPr>
        <w:t>I</w:t>
      </w:r>
      <w:r w:rsidRPr="00371752">
        <w:rPr>
          <w:rFonts w:ascii="Times New Roman" w:eastAsia="Times New Roman" w:hAnsi="Times New Roman" w:cs="Times New Roman"/>
          <w:sz w:val="28"/>
          <w:szCs w:val="28"/>
          <w:lang w:eastAsia="ru-RU"/>
        </w:rPr>
        <w:t>I</w:t>
      </w:r>
      <w:r w:rsidRPr="00371752">
        <w:rPr>
          <w:rFonts w:ascii="Times New Roman" w:eastAsia="Times New Roman" w:hAnsi="Times New Roman" w:cs="Times New Roman"/>
          <w:sz w:val="28"/>
          <w:szCs w:val="28"/>
          <w:lang w:val="en-US" w:eastAsia="ru-RU"/>
        </w:rPr>
        <w:t>I</w:t>
      </w:r>
      <w:r w:rsidRPr="00371752">
        <w:rPr>
          <w:rFonts w:ascii="Times New Roman" w:eastAsia="Times New Roman" w:hAnsi="Times New Roman" w:cs="Times New Roman"/>
          <w:sz w:val="28"/>
          <w:szCs w:val="28"/>
          <w:lang w:eastAsia="ru-RU"/>
        </w:rPr>
        <w:t xml:space="preserve"> Всероссийского совещания по вопросу организации деятельности комиссий на тему: «Маршрут межведомственного взаимодействия органов и учреждений системы профилактики безнадзорности и правонарушений несовершеннолетних: современный контекст и новые модели», в котором приняли участие более 700 человек из 85 субъектов Российской Федерации. </w:t>
      </w:r>
    </w:p>
    <w:p w14:paraId="6D25A43A" w14:textId="77777777" w:rsidR="0065066C" w:rsidRPr="0065066C" w:rsidRDefault="0065066C" w:rsidP="002C10D9">
      <w:pPr>
        <w:widowControl w:val="0"/>
        <w:suppressAutoHyphens/>
        <w:spacing w:after="0" w:line="312" w:lineRule="auto"/>
        <w:ind w:firstLine="709"/>
        <w:jc w:val="both"/>
        <w:rPr>
          <w:rFonts w:ascii="Times New Roman" w:eastAsia="Times New Roman" w:hAnsi="Times New Roman" w:cs="Times New Roman"/>
          <w:color w:val="000000"/>
          <w:sz w:val="28"/>
          <w:szCs w:val="28"/>
          <w:lang w:eastAsia="ru-RU"/>
        </w:rPr>
      </w:pPr>
      <w:r w:rsidRPr="00371752">
        <w:rPr>
          <w:rFonts w:ascii="Times New Roman" w:eastAsia="Times New Roman" w:hAnsi="Times New Roman" w:cs="Times New Roman"/>
          <w:sz w:val="28"/>
          <w:szCs w:val="28"/>
          <w:lang w:eastAsia="ru-RU"/>
        </w:rPr>
        <w:t xml:space="preserve">На дискуссионных площадках указанного совещания обсуждались вопросы </w:t>
      </w:r>
      <w:r w:rsidRPr="00371752">
        <w:rPr>
          <w:rFonts w:ascii="Times New Roman" w:eastAsia="Times New Roman" w:hAnsi="Times New Roman" w:cs="Times New Roman"/>
          <w:color w:val="000000"/>
          <w:sz w:val="28"/>
          <w:szCs w:val="28"/>
          <w:lang w:eastAsia="ru-RU"/>
        </w:rPr>
        <w:t xml:space="preserve">координации межведомственного взаимодействия органов и учреждений системы профилактики: современные тенденции, новые модели, региональный опыт, инструменты оценки эффективности; </w:t>
      </w:r>
      <w:proofErr w:type="spellStart"/>
      <w:r w:rsidRPr="00371752">
        <w:rPr>
          <w:rFonts w:ascii="Times New Roman" w:eastAsia="Times New Roman" w:hAnsi="Times New Roman" w:cs="Times New Roman"/>
          <w:color w:val="000000"/>
          <w:sz w:val="28"/>
          <w:szCs w:val="28"/>
          <w:lang w:eastAsia="ru-RU"/>
        </w:rPr>
        <w:t>цифровизация</w:t>
      </w:r>
      <w:proofErr w:type="spellEnd"/>
      <w:r w:rsidRPr="00371752">
        <w:rPr>
          <w:rFonts w:ascii="Times New Roman" w:eastAsia="Times New Roman" w:hAnsi="Times New Roman" w:cs="Times New Roman"/>
          <w:color w:val="000000"/>
          <w:sz w:val="28"/>
          <w:szCs w:val="28"/>
          <w:lang w:eastAsia="ru-RU"/>
        </w:rPr>
        <w:t xml:space="preserve"> системы профилактики безнадзорности и правонарушений несовершеннолетних: риски, потенциал, практики внедрения автоматизированных информационных систем в профилактическую деятельность как способ повышения эффективности межведомственного взаимодействия; предупреждение неблагополучия несовершеннолетних, роль комиссий по делам несовершеннолетних и защите их прав в маршрутизации работы со случаем, сотрудничестве с семьей при предупреждении социального сиротства.</w:t>
      </w:r>
    </w:p>
    <w:p w14:paraId="581A3144" w14:textId="77777777" w:rsidR="0065066C" w:rsidRPr="00BE71C3" w:rsidRDefault="0065066C" w:rsidP="002C10D9">
      <w:pPr>
        <w:widowControl w:val="0"/>
        <w:pBdr>
          <w:bottom w:val="single" w:sz="6" w:space="31" w:color="FFFFFF"/>
        </w:pBdr>
        <w:suppressAutoHyphens/>
        <w:spacing w:after="0" w:line="312" w:lineRule="auto"/>
        <w:ind w:firstLine="709"/>
        <w:jc w:val="both"/>
        <w:rPr>
          <w:rFonts w:ascii="Times New Roman" w:eastAsia="Times New Roman" w:hAnsi="Times New Roman" w:cs="Times New Roman"/>
          <w:color w:val="000000"/>
          <w:sz w:val="28"/>
          <w:szCs w:val="28"/>
          <w:lang w:eastAsia="ru-RU"/>
        </w:rPr>
      </w:pPr>
      <w:r w:rsidRPr="00BE71C3">
        <w:rPr>
          <w:rFonts w:ascii="Times New Roman" w:eastAsia="Times New Roman" w:hAnsi="Times New Roman" w:cs="Times New Roman"/>
          <w:color w:val="000000"/>
          <w:sz w:val="28"/>
          <w:szCs w:val="28"/>
          <w:lang w:eastAsia="ru-RU"/>
        </w:rPr>
        <w:t>Во исполнение поручений Правительственной комиссии по делам несовершеннолетних и защите их прав в 2021 г</w:t>
      </w:r>
      <w:r w:rsidR="0041722E">
        <w:rPr>
          <w:rFonts w:ascii="Times New Roman" w:eastAsia="Times New Roman" w:hAnsi="Times New Roman" w:cs="Times New Roman"/>
          <w:color w:val="000000"/>
          <w:sz w:val="28"/>
          <w:szCs w:val="28"/>
          <w:lang w:eastAsia="ru-RU"/>
        </w:rPr>
        <w:t>.</w:t>
      </w:r>
      <w:r w:rsidRPr="00BE71C3">
        <w:rPr>
          <w:rFonts w:ascii="Times New Roman" w:eastAsia="Times New Roman" w:hAnsi="Times New Roman" w:cs="Times New Roman"/>
          <w:color w:val="000000"/>
          <w:sz w:val="28"/>
          <w:szCs w:val="28"/>
          <w:lang w:eastAsia="ru-RU"/>
        </w:rPr>
        <w:t xml:space="preserve"> в субъектах Российской Федерации:</w:t>
      </w:r>
    </w:p>
    <w:p w14:paraId="7FE0E2A1" w14:textId="77777777" w:rsidR="0065066C" w:rsidRPr="00BE71C3" w:rsidRDefault="0065066C" w:rsidP="002C10D9">
      <w:pPr>
        <w:widowControl w:val="0"/>
        <w:pBdr>
          <w:bottom w:val="single" w:sz="6" w:space="31" w:color="FFFFFF"/>
        </w:pBdr>
        <w:suppressAutoHyphens/>
        <w:spacing w:after="0" w:line="312" w:lineRule="auto"/>
        <w:ind w:firstLine="709"/>
        <w:jc w:val="both"/>
        <w:rPr>
          <w:rFonts w:ascii="Times New Roman" w:eastAsia="Times New Roman" w:hAnsi="Times New Roman" w:cs="Times New Roman"/>
          <w:color w:val="000000"/>
          <w:sz w:val="28"/>
          <w:szCs w:val="28"/>
          <w:lang w:eastAsia="ru-RU"/>
        </w:rPr>
      </w:pPr>
      <w:r w:rsidRPr="00BE71C3">
        <w:rPr>
          <w:rFonts w:ascii="Times New Roman" w:eastAsia="Times New Roman" w:hAnsi="Times New Roman" w:cs="Times New Roman"/>
          <w:color w:val="000000"/>
          <w:sz w:val="28"/>
          <w:szCs w:val="28"/>
          <w:lang w:eastAsia="ru-RU"/>
        </w:rPr>
        <w:t>организовано принятие дополнительных мер по стратегическому планированию в области обеспечения информационной безопасности детей, повышению медиаграмотности несовершеннолетних и их родителей (законных представителей);</w:t>
      </w:r>
    </w:p>
    <w:p w14:paraId="71632E06" w14:textId="77777777" w:rsidR="0065066C" w:rsidRPr="00BE71C3" w:rsidRDefault="0065066C" w:rsidP="002C10D9">
      <w:pPr>
        <w:widowControl w:val="0"/>
        <w:pBdr>
          <w:bottom w:val="single" w:sz="6" w:space="31" w:color="FFFFFF"/>
        </w:pBdr>
        <w:suppressAutoHyphens/>
        <w:spacing w:after="0" w:line="312" w:lineRule="auto"/>
        <w:ind w:firstLine="709"/>
        <w:jc w:val="both"/>
        <w:rPr>
          <w:rFonts w:ascii="Times New Roman" w:eastAsia="Times New Roman" w:hAnsi="Times New Roman" w:cs="Times New Roman"/>
          <w:color w:val="000000"/>
          <w:sz w:val="28"/>
          <w:szCs w:val="28"/>
          <w:lang w:eastAsia="ru-RU"/>
        </w:rPr>
      </w:pPr>
      <w:r w:rsidRPr="00BE71C3">
        <w:rPr>
          <w:rFonts w:ascii="Times New Roman" w:eastAsia="Times New Roman" w:hAnsi="Times New Roman" w:cs="Times New Roman"/>
          <w:color w:val="000000"/>
          <w:sz w:val="28"/>
          <w:szCs w:val="28"/>
          <w:lang w:eastAsia="ru-RU"/>
        </w:rPr>
        <w:t>осуществлен анализ участия органов и организаций системы социального обслуживания в деятельности по профилактике, в том числе обобщены практики работы с несовершеннолетними, совершающими систематические самовольные уходы из дома и специализированных учреждений, а также с несовершеннолетними, совершившими административные правонарушения, определены перспективы совершенствования работы;</w:t>
      </w:r>
    </w:p>
    <w:p w14:paraId="04E99FFC" w14:textId="77777777" w:rsidR="0065066C" w:rsidRPr="00BE71C3" w:rsidRDefault="0065066C" w:rsidP="002C10D9">
      <w:pPr>
        <w:widowControl w:val="0"/>
        <w:pBdr>
          <w:bottom w:val="single" w:sz="6" w:space="31" w:color="FFFFFF"/>
        </w:pBdr>
        <w:suppressAutoHyphens/>
        <w:spacing w:after="0" w:line="312" w:lineRule="auto"/>
        <w:ind w:firstLine="709"/>
        <w:jc w:val="both"/>
        <w:rPr>
          <w:rFonts w:ascii="Times New Roman" w:eastAsia="Times New Roman" w:hAnsi="Times New Roman" w:cs="Times New Roman"/>
          <w:color w:val="000000"/>
          <w:sz w:val="28"/>
          <w:szCs w:val="28"/>
          <w:lang w:eastAsia="ru-RU"/>
        </w:rPr>
      </w:pPr>
      <w:r w:rsidRPr="00BE71C3">
        <w:rPr>
          <w:rFonts w:ascii="Times New Roman" w:eastAsia="Times New Roman" w:hAnsi="Times New Roman" w:cs="Times New Roman"/>
          <w:color w:val="000000"/>
          <w:sz w:val="28"/>
          <w:szCs w:val="28"/>
          <w:lang w:eastAsia="ru-RU"/>
        </w:rPr>
        <w:t xml:space="preserve">обеспечено принятие дополнительных мер по организации просветительской работы среди населения, в том числе правового просвещения несовершеннолетних, их родителей (законных представителей), педагогов по вопросам уголовной </w:t>
      </w:r>
      <w:r w:rsidRPr="00BE71C3">
        <w:rPr>
          <w:rFonts w:ascii="Times New Roman" w:eastAsia="Times New Roman" w:hAnsi="Times New Roman" w:cs="Times New Roman"/>
          <w:color w:val="000000"/>
          <w:sz w:val="28"/>
          <w:szCs w:val="28"/>
          <w:lang w:eastAsia="ru-RU"/>
        </w:rPr>
        <w:br/>
        <w:t>и административной ответственности несовершеннолетних;</w:t>
      </w:r>
    </w:p>
    <w:p w14:paraId="11AB2725" w14:textId="77777777" w:rsidR="0065066C" w:rsidRPr="00BE71C3" w:rsidRDefault="0065066C" w:rsidP="002C10D9">
      <w:pPr>
        <w:widowControl w:val="0"/>
        <w:pBdr>
          <w:bottom w:val="single" w:sz="6" w:space="31" w:color="FFFFFF"/>
        </w:pBdr>
        <w:suppressAutoHyphens/>
        <w:spacing w:after="0" w:line="312" w:lineRule="auto"/>
        <w:ind w:firstLine="709"/>
        <w:jc w:val="both"/>
        <w:rPr>
          <w:rFonts w:ascii="Times New Roman" w:eastAsia="Times New Roman" w:hAnsi="Times New Roman" w:cs="Times New Roman"/>
          <w:color w:val="000000"/>
          <w:sz w:val="28"/>
          <w:szCs w:val="28"/>
          <w:lang w:eastAsia="ru-RU"/>
        </w:rPr>
      </w:pPr>
      <w:r w:rsidRPr="00BE71C3">
        <w:rPr>
          <w:rFonts w:ascii="Times New Roman" w:eastAsia="Times New Roman" w:hAnsi="Times New Roman" w:cs="Times New Roman"/>
          <w:color w:val="000000"/>
          <w:sz w:val="28"/>
          <w:szCs w:val="28"/>
          <w:lang w:eastAsia="ru-RU"/>
        </w:rPr>
        <w:t xml:space="preserve">организовано продолжение системной работы по выявлению и профилактике </w:t>
      </w:r>
      <w:proofErr w:type="spellStart"/>
      <w:r w:rsidRPr="00BE71C3">
        <w:rPr>
          <w:rFonts w:ascii="Times New Roman" w:eastAsia="Times New Roman" w:hAnsi="Times New Roman" w:cs="Times New Roman"/>
          <w:color w:val="000000"/>
          <w:sz w:val="28"/>
          <w:szCs w:val="28"/>
          <w:lang w:eastAsia="ru-RU"/>
        </w:rPr>
        <w:t>буллинга</w:t>
      </w:r>
      <w:proofErr w:type="spellEnd"/>
      <w:r w:rsidRPr="00BE71C3">
        <w:rPr>
          <w:rFonts w:ascii="Times New Roman" w:eastAsia="Times New Roman" w:hAnsi="Times New Roman" w:cs="Times New Roman"/>
          <w:color w:val="000000"/>
          <w:sz w:val="28"/>
          <w:szCs w:val="28"/>
          <w:lang w:eastAsia="ru-RU"/>
        </w:rPr>
        <w:t xml:space="preserve"> (травли) несовершеннолетних;</w:t>
      </w:r>
    </w:p>
    <w:p w14:paraId="6E096A70" w14:textId="77777777" w:rsidR="0065066C" w:rsidRPr="00BE71C3" w:rsidRDefault="0065066C" w:rsidP="002C10D9">
      <w:pPr>
        <w:widowControl w:val="0"/>
        <w:pBdr>
          <w:bottom w:val="single" w:sz="6" w:space="31" w:color="FFFFFF"/>
        </w:pBdr>
        <w:suppressAutoHyphens/>
        <w:spacing w:after="0" w:line="312" w:lineRule="auto"/>
        <w:ind w:firstLine="709"/>
        <w:jc w:val="both"/>
        <w:rPr>
          <w:rFonts w:ascii="Times New Roman" w:eastAsia="Times New Roman" w:hAnsi="Times New Roman" w:cs="Times New Roman"/>
          <w:color w:val="000000"/>
          <w:sz w:val="28"/>
          <w:szCs w:val="28"/>
          <w:lang w:eastAsia="ru-RU"/>
        </w:rPr>
      </w:pPr>
      <w:r w:rsidRPr="00BE71C3">
        <w:rPr>
          <w:rFonts w:ascii="Times New Roman" w:eastAsia="Times New Roman" w:hAnsi="Times New Roman" w:cs="Times New Roman"/>
          <w:color w:val="000000"/>
          <w:sz w:val="28"/>
          <w:szCs w:val="28"/>
          <w:lang w:eastAsia="ru-RU"/>
        </w:rPr>
        <w:t>приняты дополнительные мер</w:t>
      </w:r>
      <w:r w:rsidR="008A4D6E">
        <w:rPr>
          <w:rFonts w:ascii="Times New Roman" w:eastAsia="Times New Roman" w:hAnsi="Times New Roman" w:cs="Times New Roman"/>
          <w:color w:val="000000"/>
          <w:sz w:val="28"/>
          <w:szCs w:val="28"/>
          <w:lang w:eastAsia="ru-RU"/>
        </w:rPr>
        <w:t>ы по</w:t>
      </w:r>
      <w:r w:rsidRPr="00BE71C3">
        <w:rPr>
          <w:rFonts w:ascii="Times New Roman" w:eastAsia="Times New Roman" w:hAnsi="Times New Roman" w:cs="Times New Roman"/>
          <w:color w:val="000000"/>
          <w:sz w:val="28"/>
          <w:szCs w:val="28"/>
          <w:lang w:eastAsia="ru-RU"/>
        </w:rPr>
        <w:t xml:space="preserve"> координации деятельности органов по делам молодежи в сфере профилактики с учетом современных социальных тенденций развития общества;</w:t>
      </w:r>
    </w:p>
    <w:p w14:paraId="7A454D22" w14:textId="77777777" w:rsidR="0065066C" w:rsidRPr="00BE71C3" w:rsidRDefault="0065066C" w:rsidP="002C10D9">
      <w:pPr>
        <w:widowControl w:val="0"/>
        <w:pBdr>
          <w:bottom w:val="single" w:sz="6" w:space="31" w:color="FFFFFF"/>
        </w:pBdr>
        <w:suppressAutoHyphens/>
        <w:spacing w:after="0" w:line="312" w:lineRule="auto"/>
        <w:ind w:firstLine="709"/>
        <w:jc w:val="both"/>
        <w:rPr>
          <w:rFonts w:ascii="Times New Roman" w:eastAsia="Times New Roman" w:hAnsi="Times New Roman" w:cs="Times New Roman"/>
          <w:color w:val="000000"/>
          <w:sz w:val="28"/>
          <w:szCs w:val="28"/>
          <w:lang w:eastAsia="ru-RU"/>
        </w:rPr>
      </w:pPr>
      <w:r w:rsidRPr="00BE71C3">
        <w:rPr>
          <w:rFonts w:ascii="Times New Roman" w:eastAsia="Times New Roman" w:hAnsi="Times New Roman" w:cs="Times New Roman"/>
          <w:color w:val="000000"/>
          <w:sz w:val="28"/>
          <w:szCs w:val="28"/>
          <w:lang w:eastAsia="ru-RU"/>
        </w:rPr>
        <w:t>обобщен региональный опыт деятельности органов по делам молодежи по реализации программ и проектов, направленных на организацию системной индивидуальной профилактической работы с несовершеннолетними, состоящими на различных видах профилактического учета, создание позитивной альтернативы асоциальному поведению несовершеннолетних, и иное.</w:t>
      </w:r>
    </w:p>
    <w:p w14:paraId="4FAD1AB2" w14:textId="77777777" w:rsidR="00530795" w:rsidRPr="00BE71C3" w:rsidRDefault="0065066C" w:rsidP="002C10D9">
      <w:pPr>
        <w:pBdr>
          <w:bottom w:val="single" w:sz="6" w:space="31" w:color="FFFFFF"/>
        </w:pBdr>
        <w:spacing w:after="0" w:line="312" w:lineRule="auto"/>
        <w:ind w:firstLine="709"/>
        <w:jc w:val="both"/>
        <w:rPr>
          <w:rFonts w:ascii="Times New Roman" w:hAnsi="Times New Roman" w:cs="Times New Roman"/>
          <w:sz w:val="28"/>
          <w:szCs w:val="28"/>
        </w:rPr>
      </w:pPr>
      <w:r w:rsidRPr="00BE71C3">
        <w:rPr>
          <w:rFonts w:ascii="Times New Roman" w:eastAsia="Times New Roman" w:hAnsi="Times New Roman" w:cs="Times New Roman"/>
          <w:color w:val="000000"/>
          <w:sz w:val="28"/>
          <w:szCs w:val="28"/>
          <w:lang w:eastAsia="ru-RU"/>
        </w:rPr>
        <w:t>Совершенствование деятельности комиссий по делам несовершеннолетних и защите их прав осуществляется с учетом современных тенденций защиты прав детей и лучших практик в сфере профилактики.</w:t>
      </w:r>
    </w:p>
    <w:p w14:paraId="3EE5F68E" w14:textId="77777777" w:rsidR="0065066C" w:rsidRPr="00530795" w:rsidRDefault="0065066C" w:rsidP="00530795">
      <w:pPr>
        <w:pBdr>
          <w:bottom w:val="single" w:sz="6" w:space="31" w:color="FFFFFF"/>
        </w:pBdr>
        <w:spacing w:line="360" w:lineRule="auto"/>
        <w:ind w:firstLine="708"/>
        <w:jc w:val="both"/>
        <w:rPr>
          <w:sz w:val="28"/>
          <w:szCs w:val="28"/>
        </w:rPr>
      </w:pPr>
    </w:p>
    <w:p w14:paraId="173081E7" w14:textId="77777777"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rsidSect="009C0CC8">
          <w:pgSz w:w="11906" w:h="16838"/>
          <w:pgMar w:top="1134" w:right="567" w:bottom="1134" w:left="1134" w:header="708" w:footer="708" w:gutter="0"/>
          <w:cols w:space="708"/>
          <w:docGrid w:linePitch="360"/>
        </w:sectPr>
      </w:pPr>
    </w:p>
    <w:p w14:paraId="3AF42601" w14:textId="77777777" w:rsidR="00D03A4F" w:rsidRPr="00D03A4F" w:rsidRDefault="00D03A4F" w:rsidP="00D03A4F">
      <w:pPr>
        <w:spacing w:after="0" w:line="240"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10. УКРЕПЛЕНИЕ ИНСТИТУТА СЕМЬИ, ДУХОВНО-НРАВСТВЕННЫХ ТРАДИЦИЙ СЕМЕЙНЫХ ОТНОШЕНИЙ</w:t>
      </w:r>
    </w:p>
    <w:p w14:paraId="4362B8D9" w14:textId="77777777" w:rsidR="00D03A4F" w:rsidRDefault="00D03A4F" w:rsidP="00D03A4F">
      <w:pPr>
        <w:spacing w:after="0"/>
        <w:ind w:firstLine="709"/>
        <w:jc w:val="both"/>
        <w:rPr>
          <w:rFonts w:ascii="Times New Roman" w:eastAsia="Times New Roman" w:hAnsi="Times New Roman" w:cs="Times New Roman"/>
          <w:b/>
          <w:sz w:val="28"/>
          <w:szCs w:val="28"/>
          <w:lang w:eastAsia="ru-RU"/>
        </w:rPr>
      </w:pPr>
    </w:p>
    <w:p w14:paraId="3D5A376C" w14:textId="77777777" w:rsidR="008A1D1D" w:rsidRPr="00D03A4F" w:rsidRDefault="008A1D1D" w:rsidP="00A13C5A">
      <w:pPr>
        <w:autoSpaceDE w:val="0"/>
        <w:autoSpaceDN w:val="0"/>
        <w:adjustRightInd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Основополагающими приоритетами государственной семейной политики являются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и поддержания социальной устойчивости каждой семьи.</w:t>
      </w:r>
    </w:p>
    <w:p w14:paraId="490CF4DD" w14:textId="77777777" w:rsidR="008A1D1D" w:rsidRPr="00D03A4F" w:rsidRDefault="008A1D1D" w:rsidP="00A13C5A">
      <w:pPr>
        <w:spacing w:after="0" w:line="312" w:lineRule="auto"/>
        <w:ind w:firstLine="709"/>
        <w:jc w:val="both"/>
        <w:rPr>
          <w:rFonts w:ascii="Times New Roman" w:eastAsia="Times New Roman" w:hAnsi="Times New Roman" w:cs="Times New Roman"/>
          <w:sz w:val="28"/>
          <w:szCs w:val="28"/>
          <w:lang w:eastAsia="ru-RU"/>
        </w:rPr>
      </w:pPr>
      <w:r w:rsidRPr="00D03A4F">
        <w:rPr>
          <w:rFonts w:ascii="Times New Roman" w:eastAsia="Times New Roman" w:hAnsi="Times New Roman" w:cs="Times New Roman"/>
          <w:sz w:val="28"/>
          <w:szCs w:val="28"/>
          <w:lang w:eastAsia="ru-RU"/>
        </w:rPr>
        <w:t>Объединение усилий всех уровней государственной власти, некоммерческих организаций, общественных объединений, средств массовой информации, а также граждан является важной составляющей современной семейной и демографической политики.</w:t>
      </w:r>
    </w:p>
    <w:p w14:paraId="111A98D5" w14:textId="77777777" w:rsidR="00704EC9" w:rsidRDefault="008A1D1D" w:rsidP="00A13C5A">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2021 г</w:t>
      </w:r>
      <w:r w:rsidR="0041722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Минпросвещения России проведен ряд общественно-значимых мероприятий, направленных на повышение авторитета семьи в обществе и распространение положительного опыта семейных отношений в семьях, воспитывающих детей-сирот и детей, оставшихся без попечения родителей, распространение опыта семейного воспитания и укрепление традиций совместного творчества детей и родителей, совершенствование взаимоотношений взрослых и детей, развитие механизмов устройства детей-сирот на воспитание в семьи граждан и поддержку замещающих семей.</w:t>
      </w:r>
    </w:p>
    <w:p w14:paraId="4465CEFD" w14:textId="77777777" w:rsidR="008A1D1D" w:rsidRDefault="008A1D1D" w:rsidP="00A13C5A">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июле 2021 г</w:t>
      </w:r>
      <w:r w:rsidR="0026060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Минпросвещения России обеспечено проведение </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val="en-US" w:eastAsia="ru-RU"/>
        </w:rPr>
        <w:t>IX</w:t>
      </w:r>
      <w:r>
        <w:rPr>
          <w:rFonts w:ascii="Times New Roman" w:eastAsia="Times New Roman" w:hAnsi="Times New Roman" w:cs="Times New Roman"/>
          <w:sz w:val="28"/>
          <w:szCs w:val="28"/>
          <w:lang w:eastAsia="ru-RU"/>
        </w:rPr>
        <w:t xml:space="preserve"> Всероссийского Съезда руководителей организаций </w:t>
      </w:r>
      <w:r w:rsidR="001434E2">
        <w:rPr>
          <w:rFonts w:ascii="Times New Roman" w:eastAsia="Times New Roman" w:hAnsi="Times New Roman" w:cs="Times New Roman"/>
          <w:sz w:val="28"/>
          <w:szCs w:val="28"/>
          <w:lang w:eastAsia="ru-RU"/>
        </w:rPr>
        <w:t>для детей-сирот и детей, оставшихся без попечения родителей.</w:t>
      </w:r>
    </w:p>
    <w:p w14:paraId="10C28ED0" w14:textId="77777777" w:rsidR="001434E2" w:rsidRDefault="001434E2" w:rsidP="00A13C5A">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Ключевыми вопросами для обсуждения на указанном мероприятии стали вопросы, связанные с дальнейшим совершенствованием деятельности организаций для детей-сирот и детей, оставшихся без попечения родителей, в целях качественного улучшения жизни их воспитанников, повышения эффективности функционирования механизмов реализации, соблюдения и защиты прав и законных интересов детей, проживающих в организациях указанного типа.</w:t>
      </w:r>
    </w:p>
    <w:p w14:paraId="12ED7F4E" w14:textId="77777777" w:rsidR="001434E2" w:rsidRDefault="001434E2" w:rsidP="00A13C5A">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декабре 2021 г</w:t>
      </w:r>
      <w:r w:rsidR="001438B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Минпросвещения России проведено Всероссийское </w:t>
      </w:r>
      <w:r w:rsidR="000F5D36">
        <w:rPr>
          <w:rFonts w:ascii="Times New Roman" w:eastAsia="Times New Roman" w:hAnsi="Times New Roman" w:cs="Times New Roman"/>
          <w:sz w:val="28"/>
          <w:szCs w:val="28"/>
          <w:lang w:eastAsia="ru-RU"/>
        </w:rPr>
        <w:t xml:space="preserve">совещание руководителей органов опеки и попечительства, в рамках которого рассмотрены вопросы организации деятельности органов опеки и попечительства в отношении несовершеннолетних граждан, совершенствования законодательства </w:t>
      </w:r>
      <w:r w:rsidR="00ED5FFD">
        <w:rPr>
          <w:rFonts w:ascii="Times New Roman" w:eastAsia="Times New Roman" w:hAnsi="Times New Roman" w:cs="Times New Roman"/>
          <w:sz w:val="28"/>
          <w:szCs w:val="28"/>
          <w:lang w:eastAsia="ru-RU"/>
        </w:rPr>
        <w:t>в указанной сфере, расчета норматива численности специалистов органов опеки и попечительства, взаимодействие с комиссиями по делам несовершеннолетних и защите их прав.</w:t>
      </w:r>
    </w:p>
    <w:p w14:paraId="3C39A096" w14:textId="21CCCCBA" w:rsidR="00ED5FFD" w:rsidRDefault="00ED5FFD" w:rsidP="00A13C5A">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целях проведения акций по поддержке детей-сирот и детей, оставшихся без попече</w:t>
      </w:r>
      <w:r w:rsidR="001438B5">
        <w:rPr>
          <w:rFonts w:ascii="Times New Roman" w:eastAsia="Times New Roman" w:hAnsi="Times New Roman" w:cs="Times New Roman"/>
          <w:sz w:val="28"/>
          <w:szCs w:val="28"/>
          <w:lang w:eastAsia="ru-RU"/>
        </w:rPr>
        <w:t>ния родителей, в декабре 2021 г.</w:t>
      </w:r>
      <w:r>
        <w:rPr>
          <w:rFonts w:ascii="Times New Roman" w:eastAsia="Times New Roman" w:hAnsi="Times New Roman" w:cs="Times New Roman"/>
          <w:sz w:val="28"/>
          <w:szCs w:val="28"/>
          <w:lang w:eastAsia="ru-RU"/>
        </w:rPr>
        <w:t xml:space="preserve"> общественной организацией «Содружество выпускников детских домов «Дети все</w:t>
      </w:r>
      <w:r w:rsidR="00FF1188">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страны» в рамках Всероссийской социально-значимой акции «Согревая сердца» проведен Всероссийский предновогодний онлайн-марафон «ПРАЗДНИК К НАМ ПРИХОДИТ!».</w:t>
      </w:r>
    </w:p>
    <w:p w14:paraId="09D27EC0" w14:textId="77777777" w:rsidR="00ED5FFD" w:rsidRDefault="00ED5FFD" w:rsidP="00A13C5A">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данного марафона во всех федеральных округах Российской Федерации состоялись онлайн активности для воспитанников организаций для детей-сирот и детей, оставшихся без попечения родителей, и детей из замещающих семей. Участниками марафона стали известные в медийном пространстве личности.</w:t>
      </w:r>
    </w:p>
    <w:p w14:paraId="6B554092" w14:textId="77777777" w:rsidR="00ED5FFD" w:rsidRDefault="00ED5FFD" w:rsidP="00A13C5A">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ноября </w:t>
      </w:r>
      <w:r w:rsidR="001438B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2 декабря 2021 г</w:t>
      </w:r>
      <w:r w:rsidR="001438B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76A2D">
        <w:rPr>
          <w:rFonts w:ascii="Times New Roman" w:eastAsia="Times New Roman" w:hAnsi="Times New Roman" w:cs="Times New Roman"/>
          <w:sz w:val="28"/>
          <w:szCs w:val="28"/>
          <w:lang w:eastAsia="ru-RU"/>
        </w:rPr>
        <w:t>на площадке интернет-проекта «</w:t>
      </w:r>
      <w:proofErr w:type="spellStart"/>
      <w:r w:rsidR="00E76A2D">
        <w:rPr>
          <w:rFonts w:ascii="Times New Roman" w:eastAsia="Times New Roman" w:hAnsi="Times New Roman" w:cs="Times New Roman"/>
          <w:sz w:val="28"/>
          <w:szCs w:val="28"/>
          <w:lang w:eastAsia="ru-RU"/>
        </w:rPr>
        <w:t>Усыновите.ру</w:t>
      </w:r>
      <w:proofErr w:type="spellEnd"/>
      <w:r w:rsidR="00E76A2D">
        <w:rPr>
          <w:rFonts w:ascii="Times New Roman" w:eastAsia="Times New Roman" w:hAnsi="Times New Roman" w:cs="Times New Roman"/>
          <w:sz w:val="28"/>
          <w:szCs w:val="28"/>
          <w:lang w:eastAsia="ru-RU"/>
        </w:rPr>
        <w:t>» проведен Всероссийский онлайн-форум приемных семей, организатором которого выступила</w:t>
      </w:r>
      <w:r w:rsidR="0026394E">
        <w:rPr>
          <w:rFonts w:ascii="Times New Roman" w:eastAsia="Times New Roman" w:hAnsi="Times New Roman" w:cs="Times New Roman"/>
          <w:sz w:val="28"/>
          <w:szCs w:val="28"/>
          <w:lang w:eastAsia="ru-RU"/>
        </w:rPr>
        <w:t xml:space="preserve"> АНО «Центр развития социальных проектов». В данном мероприятии приняло участие более 2 000 приемных родителей и специалистов органов опеки и попечительства из 72 субъектов Российской Федерации. Ключевой темой указанного форума стала жизнь приемной семьи в условиях пандемии: выученные уроки на будущее.</w:t>
      </w:r>
    </w:p>
    <w:p w14:paraId="409B236A" w14:textId="77777777" w:rsidR="002220FF" w:rsidRDefault="002220FF" w:rsidP="00A13C5A">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реализации проекта «</w:t>
      </w:r>
      <w:proofErr w:type="spellStart"/>
      <w:r>
        <w:rPr>
          <w:rFonts w:ascii="Times New Roman" w:eastAsia="Times New Roman" w:hAnsi="Times New Roman" w:cs="Times New Roman"/>
          <w:sz w:val="28"/>
          <w:szCs w:val="28"/>
          <w:lang w:eastAsia="ru-RU"/>
        </w:rPr>
        <w:t>ПрофОпека</w:t>
      </w:r>
      <w:proofErr w:type="spellEnd"/>
      <w:r>
        <w:rPr>
          <w:rFonts w:ascii="Times New Roman" w:eastAsia="Times New Roman" w:hAnsi="Times New Roman" w:cs="Times New Roman"/>
          <w:sz w:val="28"/>
          <w:szCs w:val="28"/>
          <w:lang w:eastAsia="ru-RU"/>
        </w:rPr>
        <w:t>», поддержанного Фондом президентских грантов и рассчитанного на 2020</w:t>
      </w:r>
      <w:r w:rsidR="00D43B0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2021 г</w:t>
      </w:r>
      <w:r w:rsidR="00D43B06">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указанным Центром развития социальных проектов реализована программа повышения квалификации специалистов органов опеки и попечительства над несовершеннолетними, подготовки кандидатов в замещающие родители и сопровождения замещающих семей. Прошли обучение по данной программе 1 500 специалистов, из них получили документы о повышении квалификации 1 399 человек.</w:t>
      </w:r>
    </w:p>
    <w:p w14:paraId="1AAA7573" w14:textId="77777777" w:rsidR="002220FF" w:rsidRDefault="002220FF" w:rsidP="00A13C5A">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того, данным центром при поддержке Минпросвещения России в рамках реализации проекта, получившего поддержку Фонда президентских грантов, проводит на постоянной основе целевые курсы повышения квалификации по следующим направлениям: «Практическая компетентность в сфере опеки и попечительства в отношении несовершеннолетних: учимся на кейсах» (для руководителей и специалистов органов опеки и попечительства); «Эффективный </w:t>
      </w:r>
      <w:r w:rsidR="00813F11">
        <w:rPr>
          <w:rFonts w:ascii="Times New Roman" w:eastAsia="Times New Roman" w:hAnsi="Times New Roman" w:cs="Times New Roman"/>
          <w:sz w:val="28"/>
          <w:szCs w:val="28"/>
          <w:lang w:eastAsia="ru-RU"/>
        </w:rPr>
        <w:t>менеджмент организации для детей-сирот и детей, оставшихся без попечения родителей (для директоров, заместителей директоров, специалистов указанных организаций). В рамках курсов повышения квалификации в 2021 г</w:t>
      </w:r>
      <w:r w:rsidR="00D43B06">
        <w:rPr>
          <w:rFonts w:ascii="Times New Roman" w:eastAsia="Times New Roman" w:hAnsi="Times New Roman" w:cs="Times New Roman"/>
          <w:sz w:val="28"/>
          <w:szCs w:val="28"/>
          <w:lang w:eastAsia="ru-RU"/>
        </w:rPr>
        <w:t>.</w:t>
      </w:r>
      <w:r w:rsidR="00813F11">
        <w:rPr>
          <w:rFonts w:ascii="Times New Roman" w:eastAsia="Times New Roman" w:hAnsi="Times New Roman" w:cs="Times New Roman"/>
          <w:sz w:val="28"/>
          <w:szCs w:val="28"/>
          <w:lang w:eastAsia="ru-RU"/>
        </w:rPr>
        <w:t xml:space="preserve"> обучение прошли около 200 специалистов.</w:t>
      </w:r>
    </w:p>
    <w:p w14:paraId="18686B63" w14:textId="77777777" w:rsidR="00813F11" w:rsidRDefault="00813F11" w:rsidP="00A13C5A">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2021 г</w:t>
      </w:r>
      <w:r w:rsidR="00551D3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Центром развития социальных проектов также реализован социально-образовательный проект «</w:t>
      </w:r>
      <w:proofErr w:type="spellStart"/>
      <w:r>
        <w:rPr>
          <w:rFonts w:ascii="Times New Roman" w:eastAsia="Times New Roman" w:hAnsi="Times New Roman" w:cs="Times New Roman"/>
          <w:sz w:val="28"/>
          <w:szCs w:val="28"/>
          <w:lang w:eastAsia="ru-RU"/>
        </w:rPr>
        <w:t>ВыборПрофи</w:t>
      </w:r>
      <w:proofErr w:type="spellEnd"/>
      <w:r>
        <w:rPr>
          <w:rFonts w:ascii="Times New Roman" w:eastAsia="Times New Roman" w:hAnsi="Times New Roman" w:cs="Times New Roman"/>
          <w:sz w:val="28"/>
          <w:szCs w:val="28"/>
          <w:lang w:eastAsia="ru-RU"/>
        </w:rPr>
        <w:t>» по профессиональному самоопределению детей-сирот и детей, оставшихся без попечения родителей, воспитывающихся в замещающих семьях, направленный на повышение и</w:t>
      </w:r>
      <w:r w:rsidR="0032274B">
        <w:rPr>
          <w:rFonts w:ascii="Times New Roman" w:eastAsia="Times New Roman" w:hAnsi="Times New Roman" w:cs="Times New Roman"/>
          <w:sz w:val="28"/>
          <w:szCs w:val="28"/>
          <w:lang w:eastAsia="ru-RU"/>
        </w:rPr>
        <w:t>х образовательного уровня, по подготовке к поступлению в профессиональные образовательные организации среднего профессионального и высшего образования.</w:t>
      </w:r>
    </w:p>
    <w:p w14:paraId="78EC67B0" w14:textId="77777777" w:rsidR="0032274B" w:rsidRDefault="0032274B" w:rsidP="00A13C5A">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Тиражирование и распространение успешного опыта регионов в других субъектах Российской Федерации позволяет обеспечить повышение качества реализации соответствующих мероприятий.</w:t>
      </w:r>
    </w:p>
    <w:p w14:paraId="2052CA05" w14:textId="77777777" w:rsidR="008F3D40" w:rsidRDefault="008F3D40" w:rsidP="00A13C5A">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Масштабная работа по укреплению в обществе традиционных семейных ценностей проводится Фондом</w:t>
      </w:r>
      <w:r w:rsidR="00C81E67" w:rsidRPr="00C81E67">
        <w:rPr>
          <w:rFonts w:ascii="Times New Roman" w:hAnsi="Times New Roman" w:cs="Times New Roman"/>
          <w:sz w:val="28"/>
          <w:szCs w:val="28"/>
        </w:rPr>
        <w:t xml:space="preserve"> </w:t>
      </w:r>
      <w:r w:rsidR="00C81E67">
        <w:rPr>
          <w:rFonts w:ascii="Times New Roman" w:hAnsi="Times New Roman" w:cs="Times New Roman"/>
          <w:sz w:val="28"/>
          <w:szCs w:val="28"/>
        </w:rPr>
        <w:t>поддержки детей</w:t>
      </w:r>
      <w:r w:rsidR="00C81E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 поддержке Минтруда России.</w:t>
      </w:r>
    </w:p>
    <w:p w14:paraId="231CD7B1" w14:textId="77777777" w:rsidR="0040274F" w:rsidRDefault="0040274F" w:rsidP="00A13C5A">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Одним из таких ярких ежегодных мероприятий в данном направлении стал Всероссийский конкурс «Семья года». В 2021 г</w:t>
      </w:r>
      <w:r w:rsidR="00E56F7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участниками региональных этапов стали 3 337 </w:t>
      </w:r>
      <w:r w:rsidR="000C4052">
        <w:rPr>
          <w:rFonts w:ascii="Times New Roman" w:eastAsia="Times New Roman" w:hAnsi="Times New Roman" w:cs="Times New Roman"/>
          <w:sz w:val="28"/>
          <w:szCs w:val="28"/>
          <w:lang w:eastAsia="ru-RU"/>
        </w:rPr>
        <w:t>семей, из которых наибольшее число проживало в Липецкой, Мурманской, Новосибирской, Омской областях и Республике Саха (Якутия).</w:t>
      </w:r>
    </w:p>
    <w:p w14:paraId="248B6BC8" w14:textId="58AE24A4" w:rsidR="000C4052" w:rsidRDefault="000C4052" w:rsidP="00A13C5A">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Участниками федерального этапа конкурса стали 366 семей из 85 субъектов Российской Федерации, из которых 85 семей – победители в номинациях «Многодетная семья», «Молодая семья», «Сельская семья», «Золотая семья», </w:t>
      </w:r>
      <w:r w:rsidR="00B0267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«Семья – хранитель традиций».</w:t>
      </w:r>
    </w:p>
    <w:p w14:paraId="13B2A044" w14:textId="77777777" w:rsidR="000C4052" w:rsidRDefault="000C4052" w:rsidP="00A13C5A">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Награждение победителей Всероссийского конкурса транслировалось на канале ОТР в День матери – 28 ноября 2021 г. По итогам конкурса издана Национальная книга – летопись семей «Семья года. Россия, 2021 год», содержащая краткую историю о каждой семье – победителе.</w:t>
      </w:r>
    </w:p>
    <w:p w14:paraId="46BB048E" w14:textId="77777777" w:rsidR="000C4052" w:rsidRDefault="000C4052" w:rsidP="00A13C5A">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рамках Всероссийского проекта «Многодетная Россия» Фондом </w:t>
      </w:r>
      <w:r w:rsidR="00AA5057">
        <w:rPr>
          <w:rFonts w:ascii="Times New Roman" w:hAnsi="Times New Roman" w:cs="Times New Roman"/>
          <w:sz w:val="28"/>
          <w:szCs w:val="28"/>
        </w:rPr>
        <w:t>поддержки детей</w:t>
      </w:r>
      <w:r w:rsidR="00AA50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совместно с региональной общественной организацией «Объединение </w:t>
      </w:r>
      <w:r w:rsidR="005D1B92">
        <w:rPr>
          <w:rFonts w:ascii="Times New Roman" w:eastAsia="Times New Roman" w:hAnsi="Times New Roman" w:cs="Times New Roman"/>
          <w:sz w:val="28"/>
          <w:szCs w:val="28"/>
          <w:lang w:eastAsia="ru-RU"/>
        </w:rPr>
        <w:t>многодетных семей города Москвы» проведены Всероссийский фестиваль многодетных семей «Искусство возможностей», Всероссийский туристический фестиваль многодетных семей «Моя Россия», Всероссийский форум «Многодетная Россия», «Всероссийский спортивный фестиваль «Здоровая семья – здоровая Россия», участниками которых стали более 130 тыс. детей и 73 тыс. многодетных семей из 85 регионов.</w:t>
      </w:r>
    </w:p>
    <w:p w14:paraId="0FAA89BD" w14:textId="77777777" w:rsidR="005D1B92" w:rsidRDefault="00914FFA" w:rsidP="00A13C5A">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продвижения в обществе ценностей семьи, в том числе многодетной, а также ответственного родительства при информационной поддержке радиостанции «Радио Россия» и телеканала «Домашний» проведена Всероссийская акция «Семья – территория любви», стартовавшая 1 июня 2021 г</w:t>
      </w:r>
      <w:r w:rsidR="001438B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 приуроченная </w:t>
      </w:r>
      <w:r w:rsidR="00A13C5A">
        <w:rPr>
          <w:rFonts w:ascii="Times New Roman" w:eastAsia="Times New Roman" w:hAnsi="Times New Roman" w:cs="Times New Roman"/>
          <w:sz w:val="28"/>
          <w:szCs w:val="28"/>
          <w:lang w:eastAsia="ru-RU"/>
        </w:rPr>
        <w:t>ко Дню семьи, любви и верности.</w:t>
      </w:r>
    </w:p>
    <w:p w14:paraId="1C72DC72" w14:textId="77777777" w:rsidR="00A13C5A" w:rsidRDefault="00A13C5A" w:rsidP="00A13C5A">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Виртуальным участником акции мог стать каждый житель страны, так как мероприятие «День семьи» транслировалось в прямом эфире на </w:t>
      </w:r>
      <w:r>
        <w:rPr>
          <w:rFonts w:ascii="Times New Roman" w:eastAsia="Times New Roman" w:hAnsi="Times New Roman" w:cs="Times New Roman"/>
          <w:sz w:val="28"/>
          <w:szCs w:val="28"/>
          <w:lang w:val="en-US" w:eastAsia="ru-RU"/>
        </w:rPr>
        <w:t>YouTube</w:t>
      </w:r>
      <w:r>
        <w:rPr>
          <w:rFonts w:ascii="Times New Roman" w:eastAsia="Times New Roman" w:hAnsi="Times New Roman" w:cs="Times New Roman"/>
          <w:sz w:val="28"/>
          <w:szCs w:val="28"/>
          <w:lang w:eastAsia="ru-RU"/>
        </w:rPr>
        <w:t>-канале портала «Я – родитель» и в социальной сети «</w:t>
      </w:r>
      <w:proofErr w:type="spellStart"/>
      <w:r>
        <w:rPr>
          <w:rFonts w:ascii="Times New Roman" w:eastAsia="Times New Roman" w:hAnsi="Times New Roman" w:cs="Times New Roman"/>
          <w:sz w:val="28"/>
          <w:szCs w:val="28"/>
          <w:lang w:eastAsia="ru-RU"/>
        </w:rPr>
        <w:t>ВКонтакте</w:t>
      </w:r>
      <w:proofErr w:type="spellEnd"/>
      <w:r>
        <w:rPr>
          <w:rFonts w:ascii="Times New Roman" w:eastAsia="Times New Roman" w:hAnsi="Times New Roman" w:cs="Times New Roman"/>
          <w:sz w:val="28"/>
          <w:szCs w:val="28"/>
          <w:lang w:eastAsia="ru-RU"/>
        </w:rPr>
        <w:t>». Трансляцию посмотрели более 18 тыс. зрителей.</w:t>
      </w:r>
    </w:p>
    <w:p w14:paraId="7D7FD182" w14:textId="52E3CE39" w:rsidR="00A13C5A" w:rsidRDefault="00A13C5A" w:rsidP="00A13C5A">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Одним из ключевых Интернет-ресурсов, аккумулирующих информацию о воспитании детей и предоставляющих родителям возможность получить консультацию специалистов, остается портал «Я – родитель»</w:t>
      </w:r>
      <w:r w:rsidR="00E471B3">
        <w:rPr>
          <w:rFonts w:ascii="Times New Roman" w:eastAsia="Times New Roman" w:hAnsi="Times New Roman" w:cs="Times New Roman"/>
          <w:sz w:val="28"/>
          <w:szCs w:val="28"/>
          <w:lang w:eastAsia="ru-RU"/>
        </w:rPr>
        <w:t>. По итогам 2021 г</w:t>
      </w:r>
      <w:r w:rsidR="00D96EDE">
        <w:rPr>
          <w:rFonts w:ascii="Times New Roman" w:eastAsia="Times New Roman" w:hAnsi="Times New Roman" w:cs="Times New Roman"/>
          <w:sz w:val="28"/>
          <w:szCs w:val="28"/>
          <w:lang w:eastAsia="ru-RU"/>
        </w:rPr>
        <w:t>.</w:t>
      </w:r>
      <w:r w:rsidR="00E471B3">
        <w:rPr>
          <w:rFonts w:ascii="Times New Roman" w:eastAsia="Times New Roman" w:hAnsi="Times New Roman" w:cs="Times New Roman"/>
          <w:sz w:val="28"/>
          <w:szCs w:val="28"/>
          <w:lang w:eastAsia="ru-RU"/>
        </w:rPr>
        <w:t xml:space="preserve"> его посетило более 3 млн пользователей.</w:t>
      </w:r>
    </w:p>
    <w:p w14:paraId="2B956F19" w14:textId="77777777" w:rsidR="003747E7" w:rsidRPr="001438B5" w:rsidRDefault="00E471B3" w:rsidP="001438B5">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2021 г</w:t>
      </w:r>
      <w:r w:rsidR="00D96ED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 портале было размещено 96 уникальных материалов для родителей, созданы </w:t>
      </w:r>
      <w:proofErr w:type="spellStart"/>
      <w:r>
        <w:rPr>
          <w:rFonts w:ascii="Times New Roman" w:eastAsia="Times New Roman" w:hAnsi="Times New Roman" w:cs="Times New Roman"/>
          <w:sz w:val="28"/>
          <w:szCs w:val="28"/>
          <w:lang w:eastAsia="ru-RU"/>
        </w:rPr>
        <w:t>инфографики</w:t>
      </w:r>
      <w:proofErr w:type="spellEnd"/>
      <w:r>
        <w:rPr>
          <w:rFonts w:ascii="Times New Roman" w:eastAsia="Times New Roman" w:hAnsi="Times New Roman" w:cs="Times New Roman"/>
          <w:sz w:val="28"/>
          <w:szCs w:val="28"/>
          <w:lang w:eastAsia="ru-RU"/>
        </w:rPr>
        <w:t>, разработаны психологические онлайн-тесты по вопросам воспитания детей и детско-родительских взаимоотношений. Психологом оказано более 2,5 тыс. онлайн-консультаций по вопросам детско-родительских отношений, профориентации подростков, юридическим вопросам.</w:t>
      </w:r>
    </w:p>
    <w:p w14:paraId="1ED3EA20" w14:textId="77777777"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rsidSect="009C0CC8">
          <w:pgSz w:w="11906" w:h="16838"/>
          <w:pgMar w:top="1134" w:right="567" w:bottom="1134" w:left="1134" w:header="708" w:footer="708" w:gutter="0"/>
          <w:cols w:space="708"/>
          <w:docGrid w:linePitch="360"/>
        </w:sectPr>
      </w:pPr>
    </w:p>
    <w:p w14:paraId="42C99183" w14:textId="77777777" w:rsidR="00D03A4F" w:rsidRPr="00D03A4F" w:rsidRDefault="00D03A4F" w:rsidP="00D03A4F">
      <w:pPr>
        <w:spacing w:after="0" w:line="240"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 xml:space="preserve">11. ПРОФИЛАКТИКА БЕЗНАДЗОРНОСТИ И ПРАВОНАРУШЕНИЙ НЕСОВЕРШЕННОЛЕТНИХ </w:t>
      </w:r>
    </w:p>
    <w:p w14:paraId="49E017CB" w14:textId="77777777" w:rsidR="00D03A4F" w:rsidRDefault="00D03A4F" w:rsidP="003C580E">
      <w:pPr>
        <w:spacing w:after="240" w:line="240"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И В ОТНОШЕНИИ НЕСОВЕРШЕННОЛЕТНИХ</w:t>
      </w:r>
    </w:p>
    <w:p w14:paraId="34FDB258" w14:textId="77777777" w:rsidR="00BD5345" w:rsidRPr="00BD5345" w:rsidRDefault="00BD5345" w:rsidP="00A21663">
      <w:pPr>
        <w:autoSpaceDE w:val="0"/>
        <w:autoSpaceDN w:val="0"/>
        <w:adjustRightInd w:val="0"/>
        <w:spacing w:after="0" w:line="312" w:lineRule="auto"/>
        <w:ind w:firstLine="709"/>
        <w:jc w:val="both"/>
        <w:rPr>
          <w:rFonts w:ascii="Times New Roman" w:hAnsi="Times New Roman" w:cs="Times New Roman"/>
          <w:sz w:val="28"/>
          <w:szCs w:val="28"/>
        </w:rPr>
      </w:pPr>
      <w:r w:rsidRPr="00BD5345">
        <w:rPr>
          <w:rFonts w:ascii="Times New Roman" w:hAnsi="Times New Roman" w:cs="Times New Roman"/>
          <w:sz w:val="28"/>
          <w:szCs w:val="28"/>
        </w:rPr>
        <w:t xml:space="preserve">Обеспечение благополучного и безопасного детства, в том числе создание эффективной системы профилактики правонарушений, совершаемых несовершеннолетними и в отношении детей, является одним из основных национальных приоритетов Российской Федерации. </w:t>
      </w:r>
    </w:p>
    <w:p w14:paraId="03AFAD85" w14:textId="77777777" w:rsidR="00BD5345" w:rsidRPr="00BD5345" w:rsidRDefault="00BD5345" w:rsidP="00A21663">
      <w:pPr>
        <w:widowControl w:val="0"/>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Согласно статистическим сведениям М</w:t>
      </w:r>
      <w:r w:rsidR="009C0CC8">
        <w:rPr>
          <w:rFonts w:ascii="Times New Roman" w:eastAsia="Times New Roman" w:hAnsi="Times New Roman" w:cs="Times New Roman"/>
          <w:sz w:val="28"/>
          <w:szCs w:val="28"/>
        </w:rPr>
        <w:t xml:space="preserve">ВД России, в течение последних </w:t>
      </w:r>
      <w:r w:rsidR="00A21663">
        <w:rPr>
          <w:rFonts w:ascii="Times New Roman" w:eastAsia="Times New Roman" w:hAnsi="Times New Roman" w:cs="Times New Roman"/>
          <w:sz w:val="28"/>
          <w:szCs w:val="28"/>
        </w:rPr>
        <w:t>3</w:t>
      </w:r>
      <w:r w:rsidRPr="00BD5345">
        <w:rPr>
          <w:rFonts w:ascii="Times New Roman" w:eastAsia="Times New Roman" w:hAnsi="Times New Roman" w:cs="Times New Roman"/>
          <w:sz w:val="28"/>
          <w:szCs w:val="28"/>
        </w:rPr>
        <w:t xml:space="preserve"> лет подростковая преступность в Ро</w:t>
      </w:r>
      <w:r w:rsidR="009C0CC8">
        <w:rPr>
          <w:rFonts w:ascii="Times New Roman" w:eastAsia="Times New Roman" w:hAnsi="Times New Roman" w:cs="Times New Roman"/>
          <w:sz w:val="28"/>
          <w:szCs w:val="28"/>
        </w:rPr>
        <w:t xml:space="preserve">ссийской Федерация сократилась </w:t>
      </w:r>
      <w:r w:rsidR="00934A7C">
        <w:rPr>
          <w:rFonts w:ascii="Times New Roman" w:eastAsia="Times New Roman" w:hAnsi="Times New Roman" w:cs="Times New Roman"/>
          <w:sz w:val="28"/>
          <w:szCs w:val="28"/>
        </w:rPr>
        <w:t>с 41 548 в 2019 г.</w:t>
      </w:r>
      <w:r w:rsidRPr="00BD5345">
        <w:rPr>
          <w:rFonts w:ascii="Times New Roman" w:eastAsia="Times New Roman" w:hAnsi="Times New Roman" w:cs="Times New Roman"/>
          <w:sz w:val="28"/>
          <w:szCs w:val="28"/>
        </w:rPr>
        <w:t xml:space="preserve"> до 31 865 в 2021 г.</w:t>
      </w:r>
    </w:p>
    <w:p w14:paraId="05A068BD" w14:textId="77777777" w:rsidR="00BD5345" w:rsidRPr="00BD5345" w:rsidRDefault="00BD5345" w:rsidP="00A21663">
      <w:pPr>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В анализируемом периоде максимально снизился удельный вес преступлений, совершенных несовершенн</w:t>
      </w:r>
      <w:r w:rsidR="009C0CC8">
        <w:rPr>
          <w:rFonts w:ascii="Times New Roman" w:eastAsia="Times New Roman" w:hAnsi="Times New Roman" w:cs="Times New Roman"/>
          <w:sz w:val="28"/>
          <w:szCs w:val="28"/>
        </w:rPr>
        <w:t xml:space="preserve">олетними или при их соучастии, </w:t>
      </w:r>
      <w:r w:rsidRPr="00BD5345">
        <w:rPr>
          <w:rFonts w:ascii="Times New Roman" w:eastAsia="Times New Roman" w:hAnsi="Times New Roman" w:cs="Times New Roman"/>
          <w:sz w:val="28"/>
          <w:szCs w:val="28"/>
        </w:rPr>
        <w:t>в общей структуре преступности (2021 г. – 3,1%; 2020 г. – 3,7%; 2019 г. – 3,9%).</w:t>
      </w:r>
    </w:p>
    <w:p w14:paraId="75DECE95" w14:textId="2FD95C42" w:rsidR="00BD5345" w:rsidRPr="00BD5345" w:rsidRDefault="00BD5345" w:rsidP="00A21663">
      <w:pPr>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 xml:space="preserve">Уменьшилось количество особо тяжких (2021 г. – 1 841; 2020 г. – 2 069; </w:t>
      </w:r>
      <w:r w:rsidR="009C0CC8">
        <w:rPr>
          <w:rFonts w:ascii="Times New Roman" w:eastAsia="Times New Roman" w:hAnsi="Times New Roman" w:cs="Times New Roman"/>
          <w:sz w:val="28"/>
          <w:szCs w:val="28"/>
        </w:rPr>
        <w:br/>
      </w:r>
      <w:r w:rsidRPr="00BD5345">
        <w:rPr>
          <w:rFonts w:ascii="Times New Roman" w:eastAsia="Times New Roman" w:hAnsi="Times New Roman" w:cs="Times New Roman"/>
          <w:sz w:val="28"/>
          <w:szCs w:val="28"/>
        </w:rPr>
        <w:t xml:space="preserve">2019 г. – 2 103) и тяжких (2021 г. – 7 214; 2020 г. – 7 728; 2019 г. – 8 010) преступлений, преступлений средней (2021 г. – 14 913; 2020 г. – 18 860; 2019 г. – 21 517) и небольшой (2021 г. – 7 897; 2020 г. – </w:t>
      </w:r>
      <w:r w:rsidR="00A21663">
        <w:rPr>
          <w:rFonts w:ascii="Times New Roman" w:eastAsia="Times New Roman" w:hAnsi="Times New Roman" w:cs="Times New Roman"/>
          <w:sz w:val="28"/>
          <w:szCs w:val="28"/>
        </w:rPr>
        <w:t>9 114; 2019 г. –</w:t>
      </w:r>
      <w:r w:rsidR="00193E86" w:rsidRPr="00BD5345">
        <w:rPr>
          <w:rFonts w:ascii="Times New Roman" w:eastAsia="Times New Roman" w:hAnsi="Times New Roman" w:cs="Times New Roman"/>
          <w:sz w:val="28"/>
          <w:szCs w:val="28"/>
        </w:rPr>
        <w:t> </w:t>
      </w:r>
      <w:r w:rsidR="00A21663">
        <w:rPr>
          <w:rFonts w:ascii="Times New Roman" w:eastAsia="Times New Roman" w:hAnsi="Times New Roman" w:cs="Times New Roman"/>
          <w:sz w:val="28"/>
          <w:szCs w:val="28"/>
        </w:rPr>
        <w:t>9 918) тяжести.</w:t>
      </w:r>
    </w:p>
    <w:p w14:paraId="7FA8259B" w14:textId="77777777" w:rsidR="00BD5345" w:rsidRPr="00BD5345" w:rsidRDefault="00BD5345" w:rsidP="00A21663">
      <w:pPr>
        <w:widowControl w:val="0"/>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В 2021 г</w:t>
      </w:r>
      <w:r w:rsidR="007F2D4F">
        <w:rPr>
          <w:rFonts w:ascii="Times New Roman" w:eastAsia="Times New Roman" w:hAnsi="Times New Roman" w:cs="Times New Roman"/>
          <w:sz w:val="28"/>
          <w:szCs w:val="28"/>
        </w:rPr>
        <w:t>.</w:t>
      </w:r>
      <w:r w:rsidRPr="00BD5345">
        <w:rPr>
          <w:rFonts w:ascii="Times New Roman" w:eastAsia="Times New Roman" w:hAnsi="Times New Roman" w:cs="Times New Roman"/>
          <w:sz w:val="28"/>
          <w:szCs w:val="28"/>
        </w:rPr>
        <w:t xml:space="preserve"> участниками престу</w:t>
      </w:r>
      <w:r w:rsidR="009C0CC8">
        <w:rPr>
          <w:rFonts w:ascii="Times New Roman" w:eastAsia="Times New Roman" w:hAnsi="Times New Roman" w:cs="Times New Roman"/>
          <w:sz w:val="28"/>
          <w:szCs w:val="28"/>
        </w:rPr>
        <w:t xml:space="preserve">плений стали 29 126 подростков </w:t>
      </w:r>
      <w:r w:rsidRPr="00BD5345">
        <w:rPr>
          <w:rFonts w:ascii="Times New Roman" w:eastAsia="Times New Roman" w:hAnsi="Times New Roman" w:cs="Times New Roman"/>
          <w:sz w:val="28"/>
          <w:szCs w:val="28"/>
        </w:rPr>
        <w:t>(2020 г. – 33 575; 2019 г. – 37 953).</w:t>
      </w:r>
    </w:p>
    <w:p w14:paraId="70B7B8B2" w14:textId="77777777" w:rsidR="00BD5345" w:rsidRPr="00BD5345" w:rsidRDefault="00BD5345" w:rsidP="00A21663">
      <w:pPr>
        <w:widowControl w:val="0"/>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 xml:space="preserve">За последние </w:t>
      </w:r>
      <w:r w:rsidR="000A7228">
        <w:rPr>
          <w:rFonts w:ascii="Times New Roman" w:eastAsia="Times New Roman" w:hAnsi="Times New Roman" w:cs="Times New Roman"/>
          <w:sz w:val="28"/>
          <w:szCs w:val="28"/>
        </w:rPr>
        <w:t>3</w:t>
      </w:r>
      <w:r w:rsidRPr="00BD5345">
        <w:rPr>
          <w:rFonts w:ascii="Times New Roman" w:eastAsia="Times New Roman" w:hAnsi="Times New Roman" w:cs="Times New Roman"/>
          <w:sz w:val="28"/>
          <w:szCs w:val="28"/>
        </w:rPr>
        <w:t xml:space="preserve"> года среди несовершеннолетних, совершивших преступления, значительно снизилась доля учащихся образовательных организаций (2021 г. – 70,1%; 2020 г. – 70,2%; 2019 г. – 74%), уменьшился удельный вес подростков, не имеющих постоянного источника дохода (2021 г. – 0,1%; 2020 г. – 0,6%; 2019 г. – 5%).</w:t>
      </w:r>
    </w:p>
    <w:p w14:paraId="53357B93" w14:textId="77777777" w:rsidR="00BD5345" w:rsidRPr="00BD5345" w:rsidRDefault="00BD5345" w:rsidP="00A21663">
      <w:pPr>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Сократилось число лиц, не достигших 18</w:t>
      </w:r>
      <w:r w:rsidR="000A7228">
        <w:rPr>
          <w:rFonts w:ascii="Times New Roman" w:eastAsia="Times New Roman" w:hAnsi="Times New Roman" w:cs="Times New Roman"/>
          <w:sz w:val="28"/>
          <w:szCs w:val="28"/>
        </w:rPr>
        <w:t xml:space="preserve"> лет, совершивших преступления </w:t>
      </w:r>
      <w:r w:rsidRPr="00BD5345">
        <w:rPr>
          <w:rFonts w:ascii="Times New Roman" w:eastAsia="Times New Roman" w:hAnsi="Times New Roman" w:cs="Times New Roman"/>
          <w:sz w:val="28"/>
          <w:szCs w:val="28"/>
        </w:rPr>
        <w:t>в составе группы лиц (2021 г. – 542; 2020 г. – 6</w:t>
      </w:r>
      <w:r w:rsidR="000A7228">
        <w:rPr>
          <w:rFonts w:ascii="Times New Roman" w:eastAsia="Times New Roman" w:hAnsi="Times New Roman" w:cs="Times New Roman"/>
          <w:sz w:val="28"/>
          <w:szCs w:val="28"/>
        </w:rPr>
        <w:t xml:space="preserve">59; 2019 г. – 795), группы лиц </w:t>
      </w:r>
      <w:r w:rsidRPr="00BD5345">
        <w:rPr>
          <w:rFonts w:ascii="Times New Roman" w:eastAsia="Times New Roman" w:hAnsi="Times New Roman" w:cs="Times New Roman"/>
          <w:sz w:val="28"/>
          <w:szCs w:val="28"/>
        </w:rPr>
        <w:t>по предварительному сговору (2021 г. – 12 487; 2020 г. – 14 961; 2019 г. – 16 991). При этом увеличилось число несовершеннолетних,</w:t>
      </w:r>
      <w:r w:rsidR="000A7228">
        <w:rPr>
          <w:rFonts w:ascii="Times New Roman" w:eastAsia="Times New Roman" w:hAnsi="Times New Roman" w:cs="Times New Roman"/>
          <w:sz w:val="28"/>
          <w:szCs w:val="28"/>
        </w:rPr>
        <w:t xml:space="preserve"> совершивших преступления </w:t>
      </w:r>
      <w:r w:rsidRPr="00BD5345">
        <w:rPr>
          <w:rFonts w:ascii="Times New Roman" w:eastAsia="Times New Roman" w:hAnsi="Times New Roman" w:cs="Times New Roman"/>
          <w:sz w:val="28"/>
          <w:szCs w:val="28"/>
        </w:rPr>
        <w:t xml:space="preserve">в составе организованной группы или преступного сообщества (2021 г. – 122; 2020 г. – 80; </w:t>
      </w:r>
      <w:r w:rsidR="009C0CC8">
        <w:rPr>
          <w:rFonts w:ascii="Times New Roman" w:eastAsia="Times New Roman" w:hAnsi="Times New Roman" w:cs="Times New Roman"/>
          <w:sz w:val="28"/>
          <w:szCs w:val="28"/>
        </w:rPr>
        <w:br/>
      </w:r>
      <w:r w:rsidRPr="00BD5345">
        <w:rPr>
          <w:rFonts w:ascii="Times New Roman" w:eastAsia="Times New Roman" w:hAnsi="Times New Roman" w:cs="Times New Roman"/>
          <w:sz w:val="28"/>
          <w:szCs w:val="28"/>
        </w:rPr>
        <w:t>2019 г. – 96).</w:t>
      </w:r>
    </w:p>
    <w:p w14:paraId="45D29A6E" w14:textId="77777777" w:rsidR="00BD5345" w:rsidRPr="00BD5345" w:rsidRDefault="00BD5345" w:rsidP="00A21663">
      <w:pPr>
        <w:widowControl w:val="0"/>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Уменьшилось число подростков, которые в момент совершения преступления находились в состоянии алкогольного (2021 г. – 3 402; 2020 г. – 4 077; 2019 г. – 4 417) и наркотического (2021 г. – 83; 2020 г. – 91; 2019 г. – 98) опьянения.</w:t>
      </w:r>
    </w:p>
    <w:p w14:paraId="3B7B5A9C" w14:textId="77777777" w:rsidR="00BD5345" w:rsidRPr="00BD5345" w:rsidRDefault="00BD5345" w:rsidP="00A21663">
      <w:pPr>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В целом по Российской Федерации сохраняется тенденция к снижению числа несовершеннолетних, имевших опыт преступной деятельности и вновь совершивших преступления (2021 г. – 7 213; 2020 г. – 8 643; 2019 г. – 9 357).</w:t>
      </w:r>
    </w:p>
    <w:p w14:paraId="064FD4B0" w14:textId="77777777" w:rsidR="00BD5345" w:rsidRPr="00BD5345" w:rsidRDefault="00BD5345" w:rsidP="00A21663">
      <w:pPr>
        <w:widowControl w:val="0"/>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 xml:space="preserve">Органами внутренних дел совместно с представителями субъектов системы профилактики </w:t>
      </w:r>
      <w:r w:rsidR="002D0AB1">
        <w:rPr>
          <w:rFonts w:ascii="Times New Roman" w:eastAsia="Times New Roman" w:hAnsi="Times New Roman" w:cs="Times New Roman"/>
          <w:sz w:val="28"/>
          <w:szCs w:val="28"/>
        </w:rPr>
        <w:t xml:space="preserve">безнадзорности и правонарушений несовершеннолетних </w:t>
      </w:r>
      <w:r w:rsidRPr="00BD5345">
        <w:rPr>
          <w:rFonts w:ascii="Times New Roman" w:eastAsia="Times New Roman" w:hAnsi="Times New Roman" w:cs="Times New Roman"/>
          <w:sz w:val="28"/>
          <w:szCs w:val="28"/>
        </w:rPr>
        <w:t>принимаются меры по выявлению и пресечению правонарушений несовершеннолетних, изъятию с улиц безнадзорных детей, их дальнейшему устройству в учреждения для детей, находящихся в социально опасном положении.</w:t>
      </w:r>
    </w:p>
    <w:p w14:paraId="3F9F1863" w14:textId="77777777" w:rsidR="00BD5345" w:rsidRPr="00BD5345" w:rsidRDefault="00BD5345" w:rsidP="00A21663">
      <w:pPr>
        <w:widowControl w:val="0"/>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В 2021 г</w:t>
      </w:r>
      <w:r w:rsidR="008924B8">
        <w:rPr>
          <w:rFonts w:ascii="Times New Roman" w:eastAsia="Times New Roman" w:hAnsi="Times New Roman" w:cs="Times New Roman"/>
          <w:sz w:val="28"/>
          <w:szCs w:val="28"/>
        </w:rPr>
        <w:t>.</w:t>
      </w:r>
      <w:r w:rsidRPr="00BD5345">
        <w:rPr>
          <w:rFonts w:ascii="Times New Roman" w:eastAsia="Times New Roman" w:hAnsi="Times New Roman" w:cs="Times New Roman"/>
          <w:sz w:val="28"/>
          <w:szCs w:val="28"/>
        </w:rPr>
        <w:t xml:space="preserve"> в органы вн</w:t>
      </w:r>
      <w:r w:rsidR="009C0CC8">
        <w:rPr>
          <w:rFonts w:ascii="Times New Roman" w:eastAsia="Times New Roman" w:hAnsi="Times New Roman" w:cs="Times New Roman"/>
          <w:sz w:val="28"/>
          <w:szCs w:val="28"/>
        </w:rPr>
        <w:t xml:space="preserve">утренних дел доставлено 181 420 </w:t>
      </w:r>
      <w:r w:rsidRPr="00BD5345">
        <w:rPr>
          <w:rFonts w:ascii="Times New Roman" w:eastAsia="Times New Roman" w:hAnsi="Times New Roman" w:cs="Times New Roman"/>
          <w:sz w:val="28"/>
          <w:szCs w:val="28"/>
        </w:rPr>
        <w:t xml:space="preserve">несовершеннолетних правонарушителей (2020 г. – 193 238; 2019 г. – 253 259), выявлено </w:t>
      </w:r>
      <w:r w:rsidR="008924B8">
        <w:rPr>
          <w:rFonts w:ascii="Times New Roman" w:eastAsia="Times New Roman" w:hAnsi="Times New Roman" w:cs="Times New Roman"/>
          <w:sz w:val="28"/>
          <w:szCs w:val="28"/>
        </w:rPr>
        <w:br/>
      </w:r>
      <w:r w:rsidRPr="00BD5345">
        <w:rPr>
          <w:rFonts w:ascii="Times New Roman" w:eastAsia="Times New Roman" w:hAnsi="Times New Roman" w:cs="Times New Roman"/>
          <w:sz w:val="28"/>
          <w:szCs w:val="28"/>
        </w:rPr>
        <w:t xml:space="preserve">38 045 безнадзорных детей, нуждающихся в помощи государства (2020 г. – 37 907; 2019 г. – 52 891), из них 29 060 помещены в учреждения системы профилактики безнадзорности и правонарушений несовершеннолетних (2020 г. – 26 359; </w:t>
      </w:r>
      <w:r w:rsidR="008924B8">
        <w:rPr>
          <w:rFonts w:ascii="Times New Roman" w:eastAsia="Times New Roman" w:hAnsi="Times New Roman" w:cs="Times New Roman"/>
          <w:sz w:val="28"/>
          <w:szCs w:val="28"/>
        </w:rPr>
        <w:br/>
      </w:r>
      <w:r w:rsidRPr="00BD5345">
        <w:rPr>
          <w:rFonts w:ascii="Times New Roman" w:eastAsia="Times New Roman" w:hAnsi="Times New Roman" w:cs="Times New Roman"/>
          <w:sz w:val="28"/>
          <w:szCs w:val="28"/>
        </w:rPr>
        <w:t>2019 г. – 34 809).</w:t>
      </w:r>
    </w:p>
    <w:p w14:paraId="55776D7F" w14:textId="77777777" w:rsidR="00BD5345" w:rsidRPr="00BD5345" w:rsidRDefault="00BD5345" w:rsidP="00A21663">
      <w:pPr>
        <w:widowControl w:val="0"/>
        <w:spacing w:after="0" w:line="312" w:lineRule="auto"/>
        <w:ind w:firstLine="709"/>
        <w:jc w:val="both"/>
        <w:rPr>
          <w:rFonts w:ascii="Times New Roman" w:eastAsia="Times New Roman" w:hAnsi="Times New Roman" w:cs="Times New Roman"/>
          <w:sz w:val="28"/>
          <w:szCs w:val="28"/>
          <w:highlight w:val="yellow"/>
        </w:rPr>
      </w:pPr>
      <w:r w:rsidRPr="00BD5345">
        <w:rPr>
          <w:rFonts w:ascii="Times New Roman" w:eastAsia="Times New Roman" w:hAnsi="Times New Roman" w:cs="Times New Roman"/>
          <w:sz w:val="28"/>
          <w:szCs w:val="28"/>
        </w:rPr>
        <w:t xml:space="preserve">В целях предупреждения повторных правонарушений органами внутренних дел в </w:t>
      </w:r>
      <w:r w:rsidR="002D0AB1">
        <w:rPr>
          <w:rFonts w:ascii="Times New Roman" w:eastAsia="Times New Roman" w:hAnsi="Times New Roman" w:cs="Times New Roman"/>
          <w:sz w:val="28"/>
          <w:szCs w:val="28"/>
        </w:rPr>
        <w:t>2021</w:t>
      </w:r>
      <w:r w:rsidRPr="00BD5345">
        <w:rPr>
          <w:rFonts w:ascii="Times New Roman" w:eastAsia="Times New Roman" w:hAnsi="Times New Roman" w:cs="Times New Roman"/>
          <w:sz w:val="28"/>
          <w:szCs w:val="28"/>
        </w:rPr>
        <w:t xml:space="preserve"> г</w:t>
      </w:r>
      <w:r w:rsidR="008924B8">
        <w:rPr>
          <w:rFonts w:ascii="Times New Roman" w:eastAsia="Times New Roman" w:hAnsi="Times New Roman" w:cs="Times New Roman"/>
          <w:sz w:val="28"/>
          <w:szCs w:val="28"/>
        </w:rPr>
        <w:t>.</w:t>
      </w:r>
      <w:r w:rsidRPr="00BD5345">
        <w:rPr>
          <w:rFonts w:ascii="Times New Roman" w:eastAsia="Times New Roman" w:hAnsi="Times New Roman" w:cs="Times New Roman"/>
          <w:sz w:val="28"/>
          <w:szCs w:val="28"/>
        </w:rPr>
        <w:t xml:space="preserve"> на учет поставлено 127 567 подростков (2020 г. – 129 006; 2019 г. – 144 643).</w:t>
      </w:r>
    </w:p>
    <w:p w14:paraId="61B091AD" w14:textId="77777777" w:rsidR="00BD5345" w:rsidRPr="00BD5345" w:rsidRDefault="00BD5345" w:rsidP="00A21663">
      <w:pPr>
        <w:widowControl w:val="0"/>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 xml:space="preserve">Согласно статистическим сведениям МВД России, за последние </w:t>
      </w:r>
      <w:r w:rsidR="002D0AB1">
        <w:rPr>
          <w:rFonts w:ascii="Times New Roman" w:eastAsia="Times New Roman" w:hAnsi="Times New Roman" w:cs="Times New Roman"/>
          <w:sz w:val="28"/>
          <w:szCs w:val="28"/>
        </w:rPr>
        <w:t>3</w:t>
      </w:r>
      <w:r w:rsidRPr="00BD5345">
        <w:rPr>
          <w:rFonts w:ascii="Times New Roman" w:eastAsia="Times New Roman" w:hAnsi="Times New Roman" w:cs="Times New Roman"/>
          <w:sz w:val="28"/>
          <w:szCs w:val="28"/>
        </w:rPr>
        <w:t xml:space="preserve"> года количество преступлений, совершенных в отношении несовершеннолетних, возросло с 99 382 в 2019 г</w:t>
      </w:r>
      <w:r w:rsidR="008924B8">
        <w:rPr>
          <w:rFonts w:ascii="Times New Roman" w:eastAsia="Times New Roman" w:hAnsi="Times New Roman" w:cs="Times New Roman"/>
          <w:sz w:val="28"/>
          <w:szCs w:val="28"/>
        </w:rPr>
        <w:t>.</w:t>
      </w:r>
      <w:r w:rsidRPr="00BD5345">
        <w:rPr>
          <w:rFonts w:ascii="Times New Roman" w:eastAsia="Times New Roman" w:hAnsi="Times New Roman" w:cs="Times New Roman"/>
          <w:sz w:val="28"/>
          <w:szCs w:val="28"/>
        </w:rPr>
        <w:t xml:space="preserve"> до 103 335 в 2021 г.</w:t>
      </w:r>
    </w:p>
    <w:p w14:paraId="4DD1934E" w14:textId="77777777" w:rsidR="00BD5345" w:rsidRPr="00BD5345" w:rsidRDefault="00BD5345" w:rsidP="00A21663">
      <w:pPr>
        <w:widowControl w:val="0"/>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При этом уменьшилось число прот</w:t>
      </w:r>
      <w:r w:rsidR="002D0AB1">
        <w:rPr>
          <w:rFonts w:ascii="Times New Roman" w:eastAsia="Times New Roman" w:hAnsi="Times New Roman" w:cs="Times New Roman"/>
          <w:sz w:val="28"/>
          <w:szCs w:val="28"/>
        </w:rPr>
        <w:t xml:space="preserve">ивоправных деяний против жизни </w:t>
      </w:r>
      <w:r w:rsidRPr="00BD5345">
        <w:rPr>
          <w:rFonts w:ascii="Times New Roman" w:eastAsia="Times New Roman" w:hAnsi="Times New Roman" w:cs="Times New Roman"/>
          <w:sz w:val="28"/>
          <w:szCs w:val="28"/>
        </w:rPr>
        <w:t>и здоровья (2021 г. – 9 103; 2020 г. – 9 365; 2019 г. – 9 913), против собственности (2021 г. – 12 383; 2020 г. – 12 414; 2019 г. – 13 821).</w:t>
      </w:r>
    </w:p>
    <w:p w14:paraId="7C0D0208" w14:textId="77777777" w:rsidR="00BD5345" w:rsidRPr="00BD5345" w:rsidRDefault="00BD5345" w:rsidP="00A21663">
      <w:pPr>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В структуре зарегистрированных преступлений преобладают преступления небольшой тяжести (2021 г. – 69,2%; 2020 г. – 66,5%; 2019 г. – 69,3%).</w:t>
      </w:r>
    </w:p>
    <w:p w14:paraId="1A13DFEC" w14:textId="77777777" w:rsidR="00BD5345" w:rsidRPr="00BD5345" w:rsidRDefault="00BD5345" w:rsidP="00A21663">
      <w:pPr>
        <w:widowControl w:val="0"/>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Наименьшая доля преступных деяний в отношении несовершеннолетних относится к категории тяжких (2021 г. – 6,6%; 2020 г. – 6,9%; 2019 г. – 6,1%).</w:t>
      </w:r>
    </w:p>
    <w:p w14:paraId="078233AF" w14:textId="77777777" w:rsidR="00BD5345" w:rsidRPr="00BD5345" w:rsidRDefault="00BD5345" w:rsidP="00BD5345">
      <w:pPr>
        <w:autoSpaceDE w:val="0"/>
        <w:autoSpaceDN w:val="0"/>
        <w:adjustRightInd w:val="0"/>
        <w:spacing w:after="0" w:line="240" w:lineRule="auto"/>
        <w:ind w:firstLine="709"/>
        <w:jc w:val="center"/>
        <w:rPr>
          <w:rFonts w:ascii="Times New Roman" w:hAnsi="Times New Roman" w:cs="Times New Roman"/>
          <w:sz w:val="6"/>
          <w:szCs w:val="6"/>
        </w:rPr>
      </w:pPr>
    </w:p>
    <w:p w14:paraId="290576F9" w14:textId="77777777" w:rsidR="00BD5345" w:rsidRPr="00BD5345" w:rsidRDefault="00BD5345" w:rsidP="00BD5345">
      <w:pPr>
        <w:autoSpaceDE w:val="0"/>
        <w:autoSpaceDN w:val="0"/>
        <w:adjustRightInd w:val="0"/>
        <w:spacing w:after="0" w:line="240" w:lineRule="auto"/>
        <w:ind w:firstLine="709"/>
        <w:jc w:val="center"/>
        <w:rPr>
          <w:rFonts w:ascii="Times New Roman" w:hAnsi="Times New Roman" w:cs="Times New Roman"/>
          <w:sz w:val="28"/>
          <w:szCs w:val="28"/>
        </w:rPr>
      </w:pPr>
      <w:r w:rsidRPr="00BD5345">
        <w:rPr>
          <w:rFonts w:ascii="Times New Roman" w:hAnsi="Times New Roman" w:cs="Times New Roman"/>
          <w:sz w:val="28"/>
          <w:szCs w:val="28"/>
        </w:rPr>
        <w:t>Преступления, совершенные в отношении несовершеннолетних</w:t>
      </w:r>
    </w:p>
    <w:p w14:paraId="51B2035A" w14:textId="77777777" w:rsidR="00BD5345" w:rsidRPr="00BD5345" w:rsidRDefault="00BD5345" w:rsidP="00BD5345">
      <w:pPr>
        <w:autoSpaceDE w:val="0"/>
        <w:autoSpaceDN w:val="0"/>
        <w:adjustRightInd w:val="0"/>
        <w:spacing w:after="0" w:line="240" w:lineRule="auto"/>
        <w:ind w:firstLine="709"/>
        <w:jc w:val="center"/>
        <w:rPr>
          <w:rFonts w:ascii="Times New Roman" w:hAnsi="Times New Roman" w:cs="Times New Roman"/>
          <w:sz w:val="6"/>
          <w:szCs w:val="6"/>
          <w:highlight w:val="yellow"/>
        </w:rP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1612"/>
        <w:gridCol w:w="1612"/>
        <w:gridCol w:w="1571"/>
        <w:gridCol w:w="1782"/>
        <w:gridCol w:w="1491"/>
      </w:tblGrid>
      <w:tr w:rsidR="00BD5345" w:rsidRPr="00BD5345" w14:paraId="0290338B" w14:textId="77777777" w:rsidTr="00CA5E0D">
        <w:trPr>
          <w:jc w:val="center"/>
        </w:trPr>
        <w:tc>
          <w:tcPr>
            <w:tcW w:w="1034" w:type="pct"/>
            <w:vMerge w:val="restart"/>
          </w:tcPr>
          <w:p w14:paraId="353765D1" w14:textId="77777777" w:rsidR="00BD5345" w:rsidRPr="00BD5345" w:rsidRDefault="00BD5345" w:rsidP="00BD5345">
            <w:pPr>
              <w:autoSpaceDE w:val="0"/>
              <w:autoSpaceDN w:val="0"/>
              <w:adjustRightInd w:val="0"/>
              <w:spacing w:after="0" w:line="240" w:lineRule="auto"/>
              <w:ind w:firstLine="709"/>
              <w:jc w:val="center"/>
              <w:outlineLvl w:val="0"/>
              <w:rPr>
                <w:rFonts w:ascii="Times New Roman" w:hAnsi="Times New Roman" w:cs="Times New Roman"/>
                <w:sz w:val="24"/>
                <w:szCs w:val="24"/>
              </w:rPr>
            </w:pPr>
          </w:p>
        </w:tc>
        <w:tc>
          <w:tcPr>
            <w:tcW w:w="792" w:type="pct"/>
            <w:vAlign w:val="center"/>
          </w:tcPr>
          <w:p w14:paraId="2949DFC3" w14:textId="77777777" w:rsidR="00BD5345" w:rsidRPr="00BD5345" w:rsidRDefault="00BD5345" w:rsidP="008924B8">
            <w:pPr>
              <w:autoSpaceDE w:val="0"/>
              <w:autoSpaceDN w:val="0"/>
              <w:adjustRightInd w:val="0"/>
              <w:spacing w:after="0" w:line="240" w:lineRule="auto"/>
              <w:jc w:val="center"/>
              <w:outlineLvl w:val="0"/>
              <w:rPr>
                <w:rFonts w:ascii="Times New Roman" w:hAnsi="Times New Roman" w:cs="Times New Roman"/>
                <w:sz w:val="24"/>
                <w:szCs w:val="24"/>
              </w:rPr>
            </w:pPr>
            <w:r w:rsidRPr="00BD5345">
              <w:rPr>
                <w:rFonts w:ascii="Times New Roman" w:hAnsi="Times New Roman" w:cs="Times New Roman"/>
                <w:sz w:val="24"/>
                <w:szCs w:val="24"/>
              </w:rPr>
              <w:t>2019 г</w:t>
            </w:r>
            <w:r w:rsidR="008924B8">
              <w:rPr>
                <w:rFonts w:ascii="Times New Roman" w:hAnsi="Times New Roman" w:cs="Times New Roman"/>
                <w:sz w:val="24"/>
                <w:szCs w:val="24"/>
              </w:rPr>
              <w:t>.</w:t>
            </w:r>
          </w:p>
        </w:tc>
        <w:tc>
          <w:tcPr>
            <w:tcW w:w="1564" w:type="pct"/>
            <w:gridSpan w:val="2"/>
            <w:vAlign w:val="center"/>
          </w:tcPr>
          <w:p w14:paraId="121A17B4" w14:textId="77777777" w:rsidR="00BD5345" w:rsidRPr="00BD5345" w:rsidRDefault="00BD5345" w:rsidP="008924B8">
            <w:pPr>
              <w:autoSpaceDE w:val="0"/>
              <w:autoSpaceDN w:val="0"/>
              <w:adjustRightInd w:val="0"/>
              <w:spacing w:after="0" w:line="240" w:lineRule="auto"/>
              <w:jc w:val="center"/>
              <w:outlineLvl w:val="0"/>
              <w:rPr>
                <w:rFonts w:ascii="Times New Roman" w:hAnsi="Times New Roman" w:cs="Times New Roman"/>
                <w:sz w:val="24"/>
                <w:szCs w:val="24"/>
              </w:rPr>
            </w:pPr>
            <w:r w:rsidRPr="00BD5345">
              <w:rPr>
                <w:rFonts w:ascii="Times New Roman" w:hAnsi="Times New Roman" w:cs="Times New Roman"/>
                <w:sz w:val="24"/>
                <w:szCs w:val="24"/>
              </w:rPr>
              <w:t>2020 г</w:t>
            </w:r>
            <w:r w:rsidR="008924B8">
              <w:rPr>
                <w:rFonts w:ascii="Times New Roman" w:hAnsi="Times New Roman" w:cs="Times New Roman"/>
                <w:sz w:val="24"/>
                <w:szCs w:val="24"/>
              </w:rPr>
              <w:t>.</w:t>
            </w:r>
          </w:p>
        </w:tc>
        <w:tc>
          <w:tcPr>
            <w:tcW w:w="1609" w:type="pct"/>
            <w:gridSpan w:val="2"/>
            <w:vAlign w:val="center"/>
          </w:tcPr>
          <w:p w14:paraId="0E0C2265" w14:textId="77777777" w:rsidR="00BD5345" w:rsidRPr="00BD5345" w:rsidRDefault="00BD5345" w:rsidP="008924B8">
            <w:pPr>
              <w:autoSpaceDE w:val="0"/>
              <w:autoSpaceDN w:val="0"/>
              <w:adjustRightInd w:val="0"/>
              <w:spacing w:after="0" w:line="240" w:lineRule="auto"/>
              <w:jc w:val="center"/>
              <w:outlineLvl w:val="0"/>
              <w:rPr>
                <w:rFonts w:ascii="Times New Roman" w:hAnsi="Times New Roman" w:cs="Times New Roman"/>
                <w:sz w:val="24"/>
                <w:szCs w:val="24"/>
              </w:rPr>
            </w:pPr>
            <w:r w:rsidRPr="00BD5345">
              <w:rPr>
                <w:rFonts w:ascii="Times New Roman" w:hAnsi="Times New Roman" w:cs="Times New Roman"/>
                <w:sz w:val="24"/>
                <w:szCs w:val="24"/>
              </w:rPr>
              <w:t>2021 г</w:t>
            </w:r>
            <w:r w:rsidR="008924B8">
              <w:rPr>
                <w:rFonts w:ascii="Times New Roman" w:hAnsi="Times New Roman" w:cs="Times New Roman"/>
                <w:sz w:val="24"/>
                <w:szCs w:val="24"/>
              </w:rPr>
              <w:t>.</w:t>
            </w:r>
          </w:p>
        </w:tc>
      </w:tr>
      <w:tr w:rsidR="00BD5345" w:rsidRPr="00BD5345" w14:paraId="35B23954" w14:textId="77777777" w:rsidTr="00CA5E0D">
        <w:trPr>
          <w:jc w:val="center"/>
        </w:trPr>
        <w:tc>
          <w:tcPr>
            <w:tcW w:w="1034" w:type="pct"/>
            <w:vMerge/>
          </w:tcPr>
          <w:p w14:paraId="71160D78" w14:textId="77777777" w:rsidR="00BD5345" w:rsidRPr="00BD5345" w:rsidRDefault="00BD5345" w:rsidP="00BD5345">
            <w:pPr>
              <w:autoSpaceDE w:val="0"/>
              <w:autoSpaceDN w:val="0"/>
              <w:adjustRightInd w:val="0"/>
              <w:spacing w:after="0" w:line="240" w:lineRule="auto"/>
              <w:ind w:firstLine="709"/>
              <w:jc w:val="both"/>
              <w:outlineLvl w:val="0"/>
              <w:rPr>
                <w:rFonts w:ascii="Times New Roman" w:hAnsi="Times New Roman" w:cs="Times New Roman"/>
                <w:sz w:val="24"/>
                <w:szCs w:val="24"/>
              </w:rPr>
            </w:pPr>
          </w:p>
        </w:tc>
        <w:tc>
          <w:tcPr>
            <w:tcW w:w="792" w:type="pct"/>
            <w:vAlign w:val="bottom"/>
          </w:tcPr>
          <w:p w14:paraId="760FBAB7" w14:textId="77777777" w:rsidR="00BD5345" w:rsidRPr="00BD5345" w:rsidRDefault="00BD5345" w:rsidP="00BD5345">
            <w:pPr>
              <w:autoSpaceDE w:val="0"/>
              <w:autoSpaceDN w:val="0"/>
              <w:adjustRightInd w:val="0"/>
              <w:spacing w:after="0" w:line="240" w:lineRule="auto"/>
              <w:jc w:val="center"/>
              <w:outlineLvl w:val="0"/>
              <w:rPr>
                <w:rFonts w:ascii="Times New Roman" w:hAnsi="Times New Roman" w:cs="Times New Roman"/>
                <w:sz w:val="24"/>
                <w:szCs w:val="24"/>
              </w:rPr>
            </w:pPr>
            <w:r w:rsidRPr="00BD5345">
              <w:rPr>
                <w:rFonts w:ascii="Times New Roman" w:hAnsi="Times New Roman" w:cs="Times New Roman"/>
                <w:sz w:val="24"/>
                <w:szCs w:val="24"/>
              </w:rPr>
              <w:t>количество</w:t>
            </w:r>
          </w:p>
        </w:tc>
        <w:tc>
          <w:tcPr>
            <w:tcW w:w="792" w:type="pct"/>
            <w:vAlign w:val="bottom"/>
          </w:tcPr>
          <w:p w14:paraId="547AF4A4" w14:textId="73AF1B5C" w:rsidR="00BD5345" w:rsidRPr="00BD5345" w:rsidRDefault="00FF1188" w:rsidP="00BD5345">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к</w:t>
            </w:r>
            <w:r w:rsidR="00BD5345" w:rsidRPr="00BD5345">
              <w:rPr>
                <w:rFonts w:ascii="Times New Roman" w:hAnsi="Times New Roman" w:cs="Times New Roman"/>
                <w:sz w:val="24"/>
                <w:szCs w:val="24"/>
              </w:rPr>
              <w:t>оличество</w:t>
            </w:r>
          </w:p>
        </w:tc>
        <w:tc>
          <w:tcPr>
            <w:tcW w:w="772" w:type="pct"/>
            <w:vAlign w:val="bottom"/>
          </w:tcPr>
          <w:p w14:paraId="0C0822A7" w14:textId="77777777" w:rsidR="00BD5345" w:rsidRPr="00BD5345" w:rsidRDefault="00BD5345" w:rsidP="00BD5345">
            <w:pPr>
              <w:autoSpaceDE w:val="0"/>
              <w:autoSpaceDN w:val="0"/>
              <w:adjustRightInd w:val="0"/>
              <w:spacing w:after="0" w:line="240" w:lineRule="auto"/>
              <w:jc w:val="center"/>
              <w:outlineLvl w:val="0"/>
              <w:rPr>
                <w:rFonts w:ascii="Times New Roman" w:hAnsi="Times New Roman" w:cs="Times New Roman"/>
                <w:sz w:val="24"/>
                <w:szCs w:val="24"/>
              </w:rPr>
            </w:pPr>
            <w:r w:rsidRPr="00BD5345">
              <w:rPr>
                <w:rFonts w:ascii="Times New Roman" w:hAnsi="Times New Roman" w:cs="Times New Roman"/>
                <w:sz w:val="24"/>
                <w:szCs w:val="24"/>
              </w:rPr>
              <w:t>%, (+</w:t>
            </w:r>
            <w:r w:rsidRPr="00BD5345">
              <w:rPr>
                <w:rFonts w:ascii="Times New Roman" w:hAnsi="Times New Roman" w:cs="Times New Roman"/>
                <w:sz w:val="24"/>
                <w:szCs w:val="24"/>
                <w:lang w:val="en-US"/>
              </w:rPr>
              <w:t>/</w:t>
            </w:r>
            <w:r w:rsidRPr="00BD5345">
              <w:rPr>
                <w:rFonts w:ascii="Times New Roman" w:hAnsi="Times New Roman" w:cs="Times New Roman"/>
                <w:sz w:val="24"/>
                <w:szCs w:val="24"/>
              </w:rPr>
              <w:t>-)</w:t>
            </w:r>
          </w:p>
        </w:tc>
        <w:tc>
          <w:tcPr>
            <w:tcW w:w="876" w:type="pct"/>
            <w:vAlign w:val="bottom"/>
          </w:tcPr>
          <w:p w14:paraId="2F2629CD" w14:textId="77777777" w:rsidR="00BD5345" w:rsidRPr="00BD5345" w:rsidRDefault="00BD5345" w:rsidP="00BD5345">
            <w:pPr>
              <w:autoSpaceDE w:val="0"/>
              <w:autoSpaceDN w:val="0"/>
              <w:adjustRightInd w:val="0"/>
              <w:spacing w:after="0" w:line="240" w:lineRule="auto"/>
              <w:jc w:val="center"/>
              <w:outlineLvl w:val="0"/>
              <w:rPr>
                <w:rFonts w:ascii="Times New Roman" w:hAnsi="Times New Roman" w:cs="Times New Roman"/>
                <w:sz w:val="24"/>
                <w:szCs w:val="24"/>
              </w:rPr>
            </w:pPr>
            <w:r w:rsidRPr="00BD5345">
              <w:rPr>
                <w:rFonts w:ascii="Times New Roman" w:hAnsi="Times New Roman" w:cs="Times New Roman"/>
                <w:sz w:val="24"/>
                <w:szCs w:val="24"/>
              </w:rPr>
              <w:t>количество</w:t>
            </w:r>
          </w:p>
        </w:tc>
        <w:tc>
          <w:tcPr>
            <w:tcW w:w="733" w:type="pct"/>
            <w:vAlign w:val="bottom"/>
          </w:tcPr>
          <w:p w14:paraId="661E5BBC" w14:textId="77777777" w:rsidR="00BD5345" w:rsidRPr="00BD5345" w:rsidRDefault="00BD5345" w:rsidP="00BD5345">
            <w:pPr>
              <w:autoSpaceDE w:val="0"/>
              <w:autoSpaceDN w:val="0"/>
              <w:adjustRightInd w:val="0"/>
              <w:spacing w:after="0" w:line="240" w:lineRule="auto"/>
              <w:jc w:val="center"/>
              <w:outlineLvl w:val="0"/>
              <w:rPr>
                <w:rFonts w:ascii="Times New Roman" w:hAnsi="Times New Roman" w:cs="Times New Roman"/>
                <w:sz w:val="24"/>
                <w:szCs w:val="24"/>
              </w:rPr>
            </w:pPr>
            <w:r w:rsidRPr="00BD5345">
              <w:rPr>
                <w:rFonts w:ascii="Times New Roman" w:hAnsi="Times New Roman" w:cs="Times New Roman"/>
                <w:sz w:val="24"/>
                <w:szCs w:val="24"/>
              </w:rPr>
              <w:t>%, (+</w:t>
            </w:r>
            <w:r w:rsidRPr="00BD5345">
              <w:rPr>
                <w:rFonts w:ascii="Times New Roman" w:hAnsi="Times New Roman" w:cs="Times New Roman"/>
                <w:sz w:val="24"/>
                <w:szCs w:val="24"/>
                <w:lang w:val="en-US"/>
              </w:rPr>
              <w:t>/</w:t>
            </w:r>
            <w:r w:rsidRPr="00BD5345">
              <w:rPr>
                <w:rFonts w:ascii="Times New Roman" w:hAnsi="Times New Roman" w:cs="Times New Roman"/>
                <w:sz w:val="24"/>
                <w:szCs w:val="24"/>
              </w:rPr>
              <w:t>-)</w:t>
            </w:r>
          </w:p>
        </w:tc>
      </w:tr>
      <w:tr w:rsidR="00BD5345" w:rsidRPr="00BD5345" w14:paraId="04714858" w14:textId="77777777" w:rsidTr="00CA5E0D">
        <w:trPr>
          <w:jc w:val="center"/>
        </w:trPr>
        <w:tc>
          <w:tcPr>
            <w:tcW w:w="1034" w:type="pct"/>
          </w:tcPr>
          <w:p w14:paraId="114E12ED" w14:textId="77777777" w:rsidR="00BD5345" w:rsidRPr="00BD5345" w:rsidRDefault="00BD5345" w:rsidP="00BD5345">
            <w:pPr>
              <w:autoSpaceDE w:val="0"/>
              <w:autoSpaceDN w:val="0"/>
              <w:adjustRightInd w:val="0"/>
              <w:spacing w:after="0" w:line="240" w:lineRule="auto"/>
              <w:jc w:val="both"/>
              <w:outlineLvl w:val="0"/>
              <w:rPr>
                <w:rFonts w:ascii="Times New Roman" w:hAnsi="Times New Roman" w:cs="Times New Roman"/>
                <w:sz w:val="24"/>
                <w:szCs w:val="24"/>
              </w:rPr>
            </w:pPr>
            <w:r w:rsidRPr="00BD5345">
              <w:rPr>
                <w:rFonts w:ascii="Times New Roman" w:hAnsi="Times New Roman" w:cs="Times New Roman"/>
                <w:sz w:val="24"/>
                <w:szCs w:val="24"/>
              </w:rPr>
              <w:t>Всего, в том числе:</w:t>
            </w:r>
          </w:p>
        </w:tc>
        <w:tc>
          <w:tcPr>
            <w:tcW w:w="792" w:type="pct"/>
            <w:vAlign w:val="center"/>
          </w:tcPr>
          <w:p w14:paraId="7B38C58B" w14:textId="77777777" w:rsidR="00BD5345" w:rsidRPr="00BD5345" w:rsidRDefault="00BD5345" w:rsidP="00BD5345">
            <w:pPr>
              <w:autoSpaceDE w:val="0"/>
              <w:autoSpaceDN w:val="0"/>
              <w:adjustRightInd w:val="0"/>
              <w:spacing w:after="0" w:line="240" w:lineRule="auto"/>
              <w:jc w:val="center"/>
              <w:outlineLvl w:val="0"/>
              <w:rPr>
                <w:rFonts w:ascii="Times New Roman" w:hAnsi="Times New Roman" w:cs="Times New Roman"/>
                <w:sz w:val="24"/>
                <w:szCs w:val="24"/>
              </w:rPr>
            </w:pPr>
            <w:r w:rsidRPr="00BD5345">
              <w:rPr>
                <w:rFonts w:ascii="Times New Roman" w:hAnsi="Times New Roman" w:cs="Times New Roman"/>
                <w:sz w:val="24"/>
                <w:szCs w:val="24"/>
              </w:rPr>
              <w:t>99 382</w:t>
            </w:r>
          </w:p>
        </w:tc>
        <w:tc>
          <w:tcPr>
            <w:tcW w:w="792" w:type="pct"/>
            <w:vAlign w:val="center"/>
          </w:tcPr>
          <w:p w14:paraId="4BFF4F38" w14:textId="77777777" w:rsidR="00BD5345" w:rsidRPr="00BD5345" w:rsidRDefault="00BD5345" w:rsidP="00BD5345">
            <w:pPr>
              <w:autoSpaceDE w:val="0"/>
              <w:autoSpaceDN w:val="0"/>
              <w:adjustRightInd w:val="0"/>
              <w:spacing w:after="0" w:line="240" w:lineRule="auto"/>
              <w:jc w:val="center"/>
              <w:outlineLvl w:val="0"/>
              <w:rPr>
                <w:rFonts w:ascii="Times New Roman" w:hAnsi="Times New Roman" w:cs="Times New Roman"/>
                <w:sz w:val="24"/>
                <w:szCs w:val="24"/>
              </w:rPr>
            </w:pPr>
            <w:r w:rsidRPr="00BD5345">
              <w:rPr>
                <w:rFonts w:ascii="Times New Roman" w:hAnsi="Times New Roman" w:cs="Times New Roman"/>
                <w:sz w:val="24"/>
                <w:szCs w:val="24"/>
              </w:rPr>
              <w:t>90 374</w:t>
            </w:r>
          </w:p>
        </w:tc>
        <w:tc>
          <w:tcPr>
            <w:tcW w:w="772" w:type="pct"/>
            <w:vAlign w:val="center"/>
          </w:tcPr>
          <w:p w14:paraId="1C8EFC93" w14:textId="77777777" w:rsidR="00BD5345" w:rsidRPr="00BD5345" w:rsidRDefault="00BD5345" w:rsidP="00BD5345">
            <w:pPr>
              <w:autoSpaceDE w:val="0"/>
              <w:autoSpaceDN w:val="0"/>
              <w:adjustRightInd w:val="0"/>
              <w:spacing w:after="0" w:line="240" w:lineRule="auto"/>
              <w:jc w:val="center"/>
              <w:outlineLvl w:val="0"/>
              <w:rPr>
                <w:rFonts w:ascii="Times New Roman" w:hAnsi="Times New Roman" w:cs="Times New Roman"/>
                <w:sz w:val="24"/>
                <w:szCs w:val="24"/>
              </w:rPr>
            </w:pPr>
            <w:r w:rsidRPr="00BD5345">
              <w:rPr>
                <w:rFonts w:ascii="Times New Roman" w:hAnsi="Times New Roman" w:cs="Times New Roman"/>
                <w:sz w:val="24"/>
                <w:szCs w:val="24"/>
              </w:rPr>
              <w:t>-9,1</w:t>
            </w:r>
          </w:p>
        </w:tc>
        <w:tc>
          <w:tcPr>
            <w:tcW w:w="876" w:type="pct"/>
            <w:vAlign w:val="center"/>
          </w:tcPr>
          <w:p w14:paraId="347C5617" w14:textId="77777777" w:rsidR="00BD5345" w:rsidRPr="00BD5345" w:rsidRDefault="00BD5345" w:rsidP="00BD5345">
            <w:pPr>
              <w:autoSpaceDE w:val="0"/>
              <w:autoSpaceDN w:val="0"/>
              <w:adjustRightInd w:val="0"/>
              <w:spacing w:after="0" w:line="240" w:lineRule="auto"/>
              <w:jc w:val="center"/>
              <w:outlineLvl w:val="0"/>
              <w:rPr>
                <w:rFonts w:ascii="Times New Roman" w:hAnsi="Times New Roman" w:cs="Times New Roman"/>
                <w:sz w:val="24"/>
                <w:szCs w:val="24"/>
              </w:rPr>
            </w:pPr>
            <w:r w:rsidRPr="00BD5345">
              <w:rPr>
                <w:rFonts w:ascii="Times New Roman" w:hAnsi="Times New Roman" w:cs="Times New Roman"/>
                <w:sz w:val="24"/>
                <w:szCs w:val="24"/>
              </w:rPr>
              <w:t>103 335</w:t>
            </w:r>
          </w:p>
        </w:tc>
        <w:tc>
          <w:tcPr>
            <w:tcW w:w="733" w:type="pct"/>
            <w:vAlign w:val="center"/>
          </w:tcPr>
          <w:p w14:paraId="20FF7D29" w14:textId="77777777" w:rsidR="00BD5345" w:rsidRPr="00BD5345" w:rsidRDefault="00BD5345" w:rsidP="00BD5345">
            <w:pPr>
              <w:autoSpaceDE w:val="0"/>
              <w:autoSpaceDN w:val="0"/>
              <w:adjustRightInd w:val="0"/>
              <w:spacing w:after="0" w:line="240" w:lineRule="auto"/>
              <w:jc w:val="center"/>
              <w:outlineLvl w:val="0"/>
              <w:rPr>
                <w:rFonts w:ascii="Times New Roman" w:hAnsi="Times New Roman" w:cs="Times New Roman"/>
                <w:sz w:val="24"/>
                <w:szCs w:val="24"/>
              </w:rPr>
            </w:pPr>
            <w:r w:rsidRPr="00BD5345">
              <w:rPr>
                <w:rFonts w:ascii="Times New Roman" w:hAnsi="Times New Roman" w:cs="Times New Roman"/>
                <w:sz w:val="24"/>
                <w:szCs w:val="24"/>
              </w:rPr>
              <w:t>+14,3</w:t>
            </w:r>
          </w:p>
        </w:tc>
      </w:tr>
      <w:tr w:rsidR="00BD5345" w:rsidRPr="00BD5345" w14:paraId="559B8CEB" w14:textId="77777777" w:rsidTr="00CA5E0D">
        <w:trPr>
          <w:jc w:val="center"/>
        </w:trPr>
        <w:tc>
          <w:tcPr>
            <w:tcW w:w="1034" w:type="pct"/>
          </w:tcPr>
          <w:p w14:paraId="08F0FF29" w14:textId="77777777" w:rsidR="00BD5345" w:rsidRPr="00BD5345" w:rsidRDefault="00BD5345" w:rsidP="00BD5345">
            <w:pPr>
              <w:autoSpaceDE w:val="0"/>
              <w:autoSpaceDN w:val="0"/>
              <w:adjustRightInd w:val="0"/>
              <w:spacing w:after="0" w:line="240" w:lineRule="auto"/>
              <w:jc w:val="both"/>
              <w:outlineLvl w:val="0"/>
              <w:rPr>
                <w:rFonts w:ascii="Times New Roman" w:hAnsi="Times New Roman" w:cs="Times New Roman"/>
                <w:sz w:val="24"/>
                <w:szCs w:val="24"/>
              </w:rPr>
            </w:pPr>
            <w:r w:rsidRPr="00BD5345">
              <w:rPr>
                <w:rFonts w:ascii="Times New Roman" w:hAnsi="Times New Roman" w:cs="Times New Roman"/>
                <w:sz w:val="24"/>
                <w:szCs w:val="24"/>
              </w:rPr>
              <w:t>особо тяжкие</w:t>
            </w:r>
          </w:p>
        </w:tc>
        <w:tc>
          <w:tcPr>
            <w:tcW w:w="792" w:type="pct"/>
            <w:vAlign w:val="center"/>
          </w:tcPr>
          <w:p w14:paraId="20797B4C" w14:textId="77777777" w:rsidR="00BD5345" w:rsidRPr="00BD5345" w:rsidRDefault="00BD5345" w:rsidP="00BD5345">
            <w:pPr>
              <w:autoSpaceDE w:val="0"/>
              <w:autoSpaceDN w:val="0"/>
              <w:adjustRightInd w:val="0"/>
              <w:spacing w:after="0" w:line="240" w:lineRule="auto"/>
              <w:jc w:val="center"/>
              <w:outlineLvl w:val="0"/>
              <w:rPr>
                <w:rFonts w:ascii="Times New Roman" w:hAnsi="Times New Roman" w:cs="Times New Roman"/>
                <w:sz w:val="24"/>
                <w:szCs w:val="24"/>
              </w:rPr>
            </w:pPr>
            <w:r w:rsidRPr="00BD5345">
              <w:rPr>
                <w:rFonts w:ascii="Times New Roman" w:hAnsi="Times New Roman" w:cs="Times New Roman"/>
                <w:sz w:val="24"/>
                <w:szCs w:val="24"/>
              </w:rPr>
              <w:t>8 830</w:t>
            </w:r>
          </w:p>
        </w:tc>
        <w:tc>
          <w:tcPr>
            <w:tcW w:w="792" w:type="pct"/>
            <w:vAlign w:val="center"/>
          </w:tcPr>
          <w:p w14:paraId="6F7BDD4F" w14:textId="77777777" w:rsidR="00BD5345" w:rsidRPr="00BD5345" w:rsidRDefault="00BD5345" w:rsidP="00BD5345">
            <w:pPr>
              <w:autoSpaceDE w:val="0"/>
              <w:autoSpaceDN w:val="0"/>
              <w:adjustRightInd w:val="0"/>
              <w:spacing w:after="0" w:line="240" w:lineRule="auto"/>
              <w:jc w:val="center"/>
              <w:outlineLvl w:val="0"/>
              <w:rPr>
                <w:rFonts w:ascii="Times New Roman" w:hAnsi="Times New Roman" w:cs="Times New Roman"/>
                <w:sz w:val="24"/>
                <w:szCs w:val="24"/>
              </w:rPr>
            </w:pPr>
            <w:r w:rsidRPr="00BD5345">
              <w:rPr>
                <w:rFonts w:ascii="Times New Roman" w:hAnsi="Times New Roman" w:cs="Times New Roman"/>
                <w:sz w:val="24"/>
                <w:szCs w:val="24"/>
              </w:rPr>
              <w:t>9 463</w:t>
            </w:r>
          </w:p>
        </w:tc>
        <w:tc>
          <w:tcPr>
            <w:tcW w:w="772" w:type="pct"/>
            <w:vAlign w:val="center"/>
          </w:tcPr>
          <w:p w14:paraId="7DE62392" w14:textId="77777777" w:rsidR="00BD5345" w:rsidRPr="00BD5345" w:rsidRDefault="00BD5345" w:rsidP="00BD5345">
            <w:pPr>
              <w:autoSpaceDE w:val="0"/>
              <w:autoSpaceDN w:val="0"/>
              <w:adjustRightInd w:val="0"/>
              <w:spacing w:after="0" w:line="240" w:lineRule="auto"/>
              <w:jc w:val="center"/>
              <w:outlineLvl w:val="0"/>
              <w:rPr>
                <w:rFonts w:ascii="Times New Roman" w:hAnsi="Times New Roman" w:cs="Times New Roman"/>
                <w:sz w:val="24"/>
                <w:szCs w:val="24"/>
              </w:rPr>
            </w:pPr>
            <w:r w:rsidRPr="00BD5345">
              <w:rPr>
                <w:rFonts w:ascii="Times New Roman" w:hAnsi="Times New Roman" w:cs="Times New Roman"/>
                <w:sz w:val="24"/>
                <w:szCs w:val="24"/>
              </w:rPr>
              <w:t>+7,2</w:t>
            </w:r>
          </w:p>
        </w:tc>
        <w:tc>
          <w:tcPr>
            <w:tcW w:w="876" w:type="pct"/>
            <w:vAlign w:val="center"/>
          </w:tcPr>
          <w:p w14:paraId="00EF8C42" w14:textId="77777777" w:rsidR="00BD5345" w:rsidRPr="00BD5345" w:rsidRDefault="00BD5345" w:rsidP="00BD5345">
            <w:pPr>
              <w:autoSpaceDE w:val="0"/>
              <w:autoSpaceDN w:val="0"/>
              <w:adjustRightInd w:val="0"/>
              <w:spacing w:after="0" w:line="240" w:lineRule="auto"/>
              <w:jc w:val="center"/>
              <w:outlineLvl w:val="0"/>
              <w:rPr>
                <w:rFonts w:ascii="Times New Roman" w:hAnsi="Times New Roman" w:cs="Times New Roman"/>
                <w:sz w:val="24"/>
                <w:szCs w:val="24"/>
              </w:rPr>
            </w:pPr>
            <w:r w:rsidRPr="00BD5345">
              <w:rPr>
                <w:rFonts w:ascii="Times New Roman" w:hAnsi="Times New Roman" w:cs="Times New Roman"/>
                <w:sz w:val="24"/>
                <w:szCs w:val="24"/>
              </w:rPr>
              <w:t>10 498</w:t>
            </w:r>
          </w:p>
        </w:tc>
        <w:tc>
          <w:tcPr>
            <w:tcW w:w="733" w:type="pct"/>
            <w:vAlign w:val="center"/>
          </w:tcPr>
          <w:p w14:paraId="00E468F7" w14:textId="77777777" w:rsidR="00BD5345" w:rsidRPr="00BD5345" w:rsidRDefault="00BD5345" w:rsidP="00BD5345">
            <w:pPr>
              <w:autoSpaceDE w:val="0"/>
              <w:autoSpaceDN w:val="0"/>
              <w:adjustRightInd w:val="0"/>
              <w:spacing w:after="0" w:line="240" w:lineRule="auto"/>
              <w:jc w:val="center"/>
              <w:outlineLvl w:val="0"/>
              <w:rPr>
                <w:rFonts w:ascii="Times New Roman" w:hAnsi="Times New Roman" w:cs="Times New Roman"/>
                <w:sz w:val="24"/>
                <w:szCs w:val="24"/>
              </w:rPr>
            </w:pPr>
            <w:r w:rsidRPr="00BD5345">
              <w:rPr>
                <w:rFonts w:ascii="Times New Roman" w:hAnsi="Times New Roman" w:cs="Times New Roman"/>
                <w:sz w:val="24"/>
                <w:szCs w:val="24"/>
              </w:rPr>
              <w:t>+10,9</w:t>
            </w:r>
          </w:p>
        </w:tc>
      </w:tr>
      <w:tr w:rsidR="00BD5345" w:rsidRPr="00BD5345" w14:paraId="3A2F714F" w14:textId="77777777" w:rsidTr="00CA5E0D">
        <w:trPr>
          <w:jc w:val="center"/>
        </w:trPr>
        <w:tc>
          <w:tcPr>
            <w:tcW w:w="1034" w:type="pct"/>
          </w:tcPr>
          <w:p w14:paraId="4B79F9C2" w14:textId="77777777" w:rsidR="00BD5345" w:rsidRPr="00BD5345" w:rsidRDefault="00BD5345" w:rsidP="00BD5345">
            <w:pPr>
              <w:autoSpaceDE w:val="0"/>
              <w:autoSpaceDN w:val="0"/>
              <w:adjustRightInd w:val="0"/>
              <w:spacing w:after="0" w:line="240" w:lineRule="auto"/>
              <w:jc w:val="both"/>
              <w:outlineLvl w:val="0"/>
              <w:rPr>
                <w:rFonts w:ascii="Times New Roman" w:hAnsi="Times New Roman" w:cs="Times New Roman"/>
                <w:sz w:val="24"/>
                <w:szCs w:val="24"/>
              </w:rPr>
            </w:pPr>
            <w:r w:rsidRPr="00BD5345">
              <w:rPr>
                <w:rFonts w:ascii="Times New Roman" w:hAnsi="Times New Roman" w:cs="Times New Roman"/>
                <w:sz w:val="24"/>
                <w:szCs w:val="24"/>
              </w:rPr>
              <w:t>тяжкие</w:t>
            </w:r>
          </w:p>
        </w:tc>
        <w:tc>
          <w:tcPr>
            <w:tcW w:w="792" w:type="pct"/>
            <w:vAlign w:val="center"/>
          </w:tcPr>
          <w:p w14:paraId="216F65AA" w14:textId="77777777" w:rsidR="00BD5345" w:rsidRPr="00BD5345" w:rsidRDefault="00BD5345" w:rsidP="00BD5345">
            <w:pPr>
              <w:autoSpaceDE w:val="0"/>
              <w:autoSpaceDN w:val="0"/>
              <w:adjustRightInd w:val="0"/>
              <w:spacing w:after="0" w:line="240" w:lineRule="auto"/>
              <w:jc w:val="center"/>
              <w:outlineLvl w:val="0"/>
              <w:rPr>
                <w:rFonts w:ascii="Times New Roman" w:hAnsi="Times New Roman" w:cs="Times New Roman"/>
                <w:sz w:val="24"/>
                <w:szCs w:val="24"/>
              </w:rPr>
            </w:pPr>
            <w:r w:rsidRPr="00BD5345">
              <w:rPr>
                <w:rFonts w:ascii="Times New Roman" w:hAnsi="Times New Roman" w:cs="Times New Roman"/>
                <w:sz w:val="24"/>
                <w:szCs w:val="24"/>
              </w:rPr>
              <w:t>6 095</w:t>
            </w:r>
          </w:p>
        </w:tc>
        <w:tc>
          <w:tcPr>
            <w:tcW w:w="792" w:type="pct"/>
            <w:vAlign w:val="center"/>
          </w:tcPr>
          <w:p w14:paraId="499BEA99" w14:textId="77777777" w:rsidR="00BD5345" w:rsidRPr="00BD5345" w:rsidRDefault="00BD5345" w:rsidP="00BD5345">
            <w:pPr>
              <w:autoSpaceDE w:val="0"/>
              <w:autoSpaceDN w:val="0"/>
              <w:adjustRightInd w:val="0"/>
              <w:spacing w:after="0" w:line="240" w:lineRule="auto"/>
              <w:jc w:val="center"/>
              <w:outlineLvl w:val="0"/>
              <w:rPr>
                <w:rFonts w:ascii="Times New Roman" w:hAnsi="Times New Roman" w:cs="Times New Roman"/>
                <w:sz w:val="24"/>
                <w:szCs w:val="24"/>
              </w:rPr>
            </w:pPr>
            <w:r w:rsidRPr="00BD5345">
              <w:rPr>
                <w:rFonts w:ascii="Times New Roman" w:hAnsi="Times New Roman" w:cs="Times New Roman"/>
                <w:sz w:val="24"/>
                <w:szCs w:val="24"/>
              </w:rPr>
              <w:t>6 228</w:t>
            </w:r>
          </w:p>
        </w:tc>
        <w:tc>
          <w:tcPr>
            <w:tcW w:w="772" w:type="pct"/>
            <w:vAlign w:val="center"/>
          </w:tcPr>
          <w:p w14:paraId="7D83C020" w14:textId="77777777" w:rsidR="00BD5345" w:rsidRPr="00BD5345" w:rsidRDefault="00BD5345" w:rsidP="00BD5345">
            <w:pPr>
              <w:autoSpaceDE w:val="0"/>
              <w:autoSpaceDN w:val="0"/>
              <w:adjustRightInd w:val="0"/>
              <w:spacing w:after="0" w:line="240" w:lineRule="auto"/>
              <w:jc w:val="center"/>
              <w:outlineLvl w:val="0"/>
              <w:rPr>
                <w:rFonts w:ascii="Times New Roman" w:hAnsi="Times New Roman" w:cs="Times New Roman"/>
                <w:sz w:val="24"/>
                <w:szCs w:val="24"/>
              </w:rPr>
            </w:pPr>
            <w:r w:rsidRPr="00BD5345">
              <w:rPr>
                <w:rFonts w:ascii="Times New Roman" w:hAnsi="Times New Roman" w:cs="Times New Roman"/>
                <w:sz w:val="24"/>
                <w:szCs w:val="24"/>
              </w:rPr>
              <w:t>+2,2</w:t>
            </w:r>
          </w:p>
        </w:tc>
        <w:tc>
          <w:tcPr>
            <w:tcW w:w="876" w:type="pct"/>
            <w:vAlign w:val="center"/>
          </w:tcPr>
          <w:p w14:paraId="426E95F1" w14:textId="77777777" w:rsidR="00BD5345" w:rsidRPr="00BD5345" w:rsidRDefault="00BD5345" w:rsidP="00BD5345">
            <w:pPr>
              <w:autoSpaceDE w:val="0"/>
              <w:autoSpaceDN w:val="0"/>
              <w:adjustRightInd w:val="0"/>
              <w:spacing w:after="0" w:line="240" w:lineRule="auto"/>
              <w:jc w:val="center"/>
              <w:outlineLvl w:val="0"/>
              <w:rPr>
                <w:rFonts w:ascii="Times New Roman" w:hAnsi="Times New Roman" w:cs="Times New Roman"/>
                <w:sz w:val="24"/>
                <w:szCs w:val="24"/>
              </w:rPr>
            </w:pPr>
            <w:r w:rsidRPr="00BD5345">
              <w:rPr>
                <w:rFonts w:ascii="Times New Roman" w:hAnsi="Times New Roman" w:cs="Times New Roman"/>
                <w:sz w:val="24"/>
                <w:szCs w:val="24"/>
              </w:rPr>
              <w:t>6 857</w:t>
            </w:r>
          </w:p>
        </w:tc>
        <w:tc>
          <w:tcPr>
            <w:tcW w:w="733" w:type="pct"/>
            <w:vAlign w:val="center"/>
          </w:tcPr>
          <w:p w14:paraId="277B2461" w14:textId="77777777" w:rsidR="00BD5345" w:rsidRPr="00BD5345" w:rsidRDefault="00BD5345" w:rsidP="00BD5345">
            <w:pPr>
              <w:autoSpaceDE w:val="0"/>
              <w:autoSpaceDN w:val="0"/>
              <w:adjustRightInd w:val="0"/>
              <w:spacing w:after="0" w:line="240" w:lineRule="auto"/>
              <w:jc w:val="center"/>
              <w:outlineLvl w:val="0"/>
              <w:rPr>
                <w:rFonts w:ascii="Times New Roman" w:hAnsi="Times New Roman" w:cs="Times New Roman"/>
                <w:sz w:val="24"/>
                <w:szCs w:val="24"/>
              </w:rPr>
            </w:pPr>
            <w:r w:rsidRPr="00BD5345">
              <w:rPr>
                <w:rFonts w:ascii="Times New Roman" w:hAnsi="Times New Roman" w:cs="Times New Roman"/>
                <w:sz w:val="24"/>
                <w:szCs w:val="24"/>
              </w:rPr>
              <w:t>+10,1</w:t>
            </w:r>
          </w:p>
        </w:tc>
      </w:tr>
      <w:tr w:rsidR="00BD5345" w:rsidRPr="00BD5345" w14:paraId="6FDD1AF7" w14:textId="77777777" w:rsidTr="00CA5E0D">
        <w:trPr>
          <w:jc w:val="center"/>
        </w:trPr>
        <w:tc>
          <w:tcPr>
            <w:tcW w:w="1034" w:type="pct"/>
          </w:tcPr>
          <w:p w14:paraId="491AB5E5" w14:textId="77777777" w:rsidR="00BD5345" w:rsidRPr="00BD5345" w:rsidRDefault="00BD5345" w:rsidP="00BD5345">
            <w:pPr>
              <w:autoSpaceDE w:val="0"/>
              <w:autoSpaceDN w:val="0"/>
              <w:adjustRightInd w:val="0"/>
              <w:spacing w:after="0" w:line="240" w:lineRule="auto"/>
              <w:jc w:val="both"/>
              <w:outlineLvl w:val="0"/>
              <w:rPr>
                <w:rFonts w:ascii="Times New Roman" w:hAnsi="Times New Roman" w:cs="Times New Roman"/>
                <w:sz w:val="24"/>
                <w:szCs w:val="24"/>
              </w:rPr>
            </w:pPr>
            <w:r w:rsidRPr="00BD5345">
              <w:rPr>
                <w:rFonts w:ascii="Times New Roman" w:hAnsi="Times New Roman" w:cs="Times New Roman"/>
                <w:sz w:val="24"/>
                <w:szCs w:val="24"/>
              </w:rPr>
              <w:t>средней тяжести</w:t>
            </w:r>
          </w:p>
        </w:tc>
        <w:tc>
          <w:tcPr>
            <w:tcW w:w="792" w:type="pct"/>
            <w:vAlign w:val="center"/>
          </w:tcPr>
          <w:p w14:paraId="20C0F600" w14:textId="77777777" w:rsidR="00BD5345" w:rsidRPr="00BD5345" w:rsidRDefault="00BD5345" w:rsidP="00BD5345">
            <w:pPr>
              <w:autoSpaceDE w:val="0"/>
              <w:autoSpaceDN w:val="0"/>
              <w:adjustRightInd w:val="0"/>
              <w:spacing w:after="0" w:line="240" w:lineRule="auto"/>
              <w:jc w:val="center"/>
              <w:outlineLvl w:val="0"/>
              <w:rPr>
                <w:rFonts w:ascii="Times New Roman" w:hAnsi="Times New Roman" w:cs="Times New Roman"/>
                <w:sz w:val="24"/>
                <w:szCs w:val="24"/>
              </w:rPr>
            </w:pPr>
            <w:r w:rsidRPr="00BD5345">
              <w:rPr>
                <w:rFonts w:ascii="Times New Roman" w:hAnsi="Times New Roman" w:cs="Times New Roman"/>
                <w:sz w:val="24"/>
                <w:szCs w:val="24"/>
              </w:rPr>
              <w:t>15 559</w:t>
            </w:r>
          </w:p>
        </w:tc>
        <w:tc>
          <w:tcPr>
            <w:tcW w:w="792" w:type="pct"/>
            <w:vAlign w:val="center"/>
          </w:tcPr>
          <w:p w14:paraId="25AA0F61" w14:textId="77777777" w:rsidR="00BD5345" w:rsidRPr="00BD5345" w:rsidRDefault="00BD5345" w:rsidP="00BD5345">
            <w:pPr>
              <w:autoSpaceDE w:val="0"/>
              <w:autoSpaceDN w:val="0"/>
              <w:adjustRightInd w:val="0"/>
              <w:spacing w:after="0" w:line="240" w:lineRule="auto"/>
              <w:jc w:val="center"/>
              <w:outlineLvl w:val="0"/>
              <w:rPr>
                <w:rFonts w:ascii="Times New Roman" w:hAnsi="Times New Roman" w:cs="Times New Roman"/>
                <w:sz w:val="24"/>
                <w:szCs w:val="24"/>
              </w:rPr>
            </w:pPr>
            <w:r w:rsidRPr="00BD5345">
              <w:rPr>
                <w:rFonts w:ascii="Times New Roman" w:hAnsi="Times New Roman" w:cs="Times New Roman"/>
                <w:sz w:val="24"/>
                <w:szCs w:val="24"/>
              </w:rPr>
              <w:t>14 604</w:t>
            </w:r>
          </w:p>
        </w:tc>
        <w:tc>
          <w:tcPr>
            <w:tcW w:w="772" w:type="pct"/>
            <w:vAlign w:val="center"/>
          </w:tcPr>
          <w:p w14:paraId="081CCA9E" w14:textId="77777777" w:rsidR="00BD5345" w:rsidRPr="00BD5345" w:rsidRDefault="00BD5345" w:rsidP="00BD5345">
            <w:pPr>
              <w:autoSpaceDE w:val="0"/>
              <w:autoSpaceDN w:val="0"/>
              <w:adjustRightInd w:val="0"/>
              <w:spacing w:after="0" w:line="240" w:lineRule="auto"/>
              <w:jc w:val="center"/>
              <w:outlineLvl w:val="0"/>
              <w:rPr>
                <w:rFonts w:ascii="Times New Roman" w:hAnsi="Times New Roman" w:cs="Times New Roman"/>
                <w:sz w:val="24"/>
                <w:szCs w:val="24"/>
              </w:rPr>
            </w:pPr>
            <w:r w:rsidRPr="00BD5345">
              <w:rPr>
                <w:rFonts w:ascii="Times New Roman" w:hAnsi="Times New Roman" w:cs="Times New Roman"/>
                <w:sz w:val="24"/>
                <w:szCs w:val="24"/>
              </w:rPr>
              <w:t>-6,1</w:t>
            </w:r>
          </w:p>
        </w:tc>
        <w:tc>
          <w:tcPr>
            <w:tcW w:w="876" w:type="pct"/>
            <w:vAlign w:val="center"/>
          </w:tcPr>
          <w:p w14:paraId="5395C2B9" w14:textId="77777777" w:rsidR="00BD5345" w:rsidRPr="00BD5345" w:rsidRDefault="00BD5345" w:rsidP="00BD5345">
            <w:pPr>
              <w:autoSpaceDE w:val="0"/>
              <w:autoSpaceDN w:val="0"/>
              <w:adjustRightInd w:val="0"/>
              <w:spacing w:after="0" w:line="240" w:lineRule="auto"/>
              <w:jc w:val="center"/>
              <w:outlineLvl w:val="0"/>
              <w:rPr>
                <w:rFonts w:ascii="Times New Roman" w:hAnsi="Times New Roman" w:cs="Times New Roman"/>
                <w:sz w:val="24"/>
                <w:szCs w:val="24"/>
              </w:rPr>
            </w:pPr>
            <w:r w:rsidRPr="00BD5345">
              <w:rPr>
                <w:rFonts w:ascii="Times New Roman" w:hAnsi="Times New Roman" w:cs="Times New Roman"/>
                <w:sz w:val="24"/>
                <w:szCs w:val="24"/>
              </w:rPr>
              <w:t>14 450</w:t>
            </w:r>
          </w:p>
        </w:tc>
        <w:tc>
          <w:tcPr>
            <w:tcW w:w="733" w:type="pct"/>
            <w:vAlign w:val="center"/>
          </w:tcPr>
          <w:p w14:paraId="335C1D4E" w14:textId="77777777" w:rsidR="00BD5345" w:rsidRPr="00BD5345" w:rsidRDefault="00BD5345" w:rsidP="00BD5345">
            <w:pPr>
              <w:autoSpaceDE w:val="0"/>
              <w:autoSpaceDN w:val="0"/>
              <w:adjustRightInd w:val="0"/>
              <w:spacing w:after="0" w:line="240" w:lineRule="auto"/>
              <w:jc w:val="center"/>
              <w:outlineLvl w:val="0"/>
              <w:rPr>
                <w:rFonts w:ascii="Times New Roman" w:hAnsi="Times New Roman" w:cs="Times New Roman"/>
                <w:sz w:val="24"/>
                <w:szCs w:val="24"/>
              </w:rPr>
            </w:pPr>
            <w:r w:rsidRPr="00BD5345">
              <w:rPr>
                <w:rFonts w:ascii="Times New Roman" w:hAnsi="Times New Roman" w:cs="Times New Roman"/>
                <w:sz w:val="24"/>
                <w:szCs w:val="24"/>
              </w:rPr>
              <w:t>-1,1</w:t>
            </w:r>
          </w:p>
        </w:tc>
      </w:tr>
      <w:tr w:rsidR="00BD5345" w:rsidRPr="00BD5345" w14:paraId="08EED2CF" w14:textId="77777777" w:rsidTr="00CA5E0D">
        <w:trPr>
          <w:jc w:val="center"/>
        </w:trPr>
        <w:tc>
          <w:tcPr>
            <w:tcW w:w="1034" w:type="pct"/>
          </w:tcPr>
          <w:p w14:paraId="10606993" w14:textId="77777777" w:rsidR="00BD5345" w:rsidRPr="00BD5345" w:rsidRDefault="00BD5345" w:rsidP="00BD5345">
            <w:pPr>
              <w:autoSpaceDE w:val="0"/>
              <w:autoSpaceDN w:val="0"/>
              <w:adjustRightInd w:val="0"/>
              <w:spacing w:after="0" w:line="240" w:lineRule="auto"/>
              <w:jc w:val="both"/>
              <w:outlineLvl w:val="0"/>
              <w:rPr>
                <w:rFonts w:ascii="Times New Roman" w:hAnsi="Times New Roman" w:cs="Times New Roman"/>
                <w:sz w:val="24"/>
                <w:szCs w:val="24"/>
              </w:rPr>
            </w:pPr>
            <w:r w:rsidRPr="00BD5345">
              <w:rPr>
                <w:rFonts w:ascii="Times New Roman" w:hAnsi="Times New Roman" w:cs="Times New Roman"/>
                <w:sz w:val="24"/>
                <w:szCs w:val="24"/>
              </w:rPr>
              <w:t>небольшой тяжести</w:t>
            </w:r>
          </w:p>
        </w:tc>
        <w:tc>
          <w:tcPr>
            <w:tcW w:w="792" w:type="pct"/>
            <w:vAlign w:val="center"/>
          </w:tcPr>
          <w:p w14:paraId="5DBED8FC" w14:textId="77777777" w:rsidR="00BD5345" w:rsidRPr="00BD5345" w:rsidRDefault="00BD5345" w:rsidP="00BD5345">
            <w:pPr>
              <w:autoSpaceDE w:val="0"/>
              <w:autoSpaceDN w:val="0"/>
              <w:adjustRightInd w:val="0"/>
              <w:spacing w:after="0" w:line="240" w:lineRule="auto"/>
              <w:jc w:val="center"/>
              <w:outlineLvl w:val="0"/>
              <w:rPr>
                <w:rFonts w:ascii="Times New Roman" w:hAnsi="Times New Roman" w:cs="Times New Roman"/>
                <w:sz w:val="24"/>
                <w:szCs w:val="24"/>
              </w:rPr>
            </w:pPr>
            <w:r w:rsidRPr="00BD5345">
              <w:rPr>
                <w:rFonts w:ascii="Times New Roman" w:hAnsi="Times New Roman" w:cs="Times New Roman"/>
                <w:sz w:val="24"/>
                <w:szCs w:val="24"/>
              </w:rPr>
              <w:t>68 898</w:t>
            </w:r>
          </w:p>
        </w:tc>
        <w:tc>
          <w:tcPr>
            <w:tcW w:w="792" w:type="pct"/>
            <w:vAlign w:val="center"/>
          </w:tcPr>
          <w:p w14:paraId="7D97184E" w14:textId="77777777" w:rsidR="00BD5345" w:rsidRPr="00BD5345" w:rsidRDefault="00BD5345" w:rsidP="00BD5345">
            <w:pPr>
              <w:autoSpaceDE w:val="0"/>
              <w:autoSpaceDN w:val="0"/>
              <w:adjustRightInd w:val="0"/>
              <w:spacing w:after="0" w:line="240" w:lineRule="auto"/>
              <w:jc w:val="center"/>
              <w:outlineLvl w:val="0"/>
              <w:rPr>
                <w:rFonts w:ascii="Times New Roman" w:hAnsi="Times New Roman" w:cs="Times New Roman"/>
                <w:sz w:val="24"/>
                <w:szCs w:val="24"/>
              </w:rPr>
            </w:pPr>
            <w:r w:rsidRPr="00BD5345">
              <w:rPr>
                <w:rFonts w:ascii="Times New Roman" w:hAnsi="Times New Roman" w:cs="Times New Roman"/>
                <w:sz w:val="24"/>
                <w:szCs w:val="24"/>
              </w:rPr>
              <w:t>60 079</w:t>
            </w:r>
          </w:p>
        </w:tc>
        <w:tc>
          <w:tcPr>
            <w:tcW w:w="772" w:type="pct"/>
            <w:vAlign w:val="center"/>
          </w:tcPr>
          <w:p w14:paraId="288C6398" w14:textId="77777777" w:rsidR="00BD5345" w:rsidRPr="00BD5345" w:rsidRDefault="00BD5345" w:rsidP="00BD5345">
            <w:pPr>
              <w:autoSpaceDE w:val="0"/>
              <w:autoSpaceDN w:val="0"/>
              <w:adjustRightInd w:val="0"/>
              <w:spacing w:after="0" w:line="240" w:lineRule="auto"/>
              <w:jc w:val="center"/>
              <w:outlineLvl w:val="0"/>
              <w:rPr>
                <w:rFonts w:ascii="Times New Roman" w:hAnsi="Times New Roman" w:cs="Times New Roman"/>
                <w:sz w:val="24"/>
                <w:szCs w:val="24"/>
              </w:rPr>
            </w:pPr>
            <w:r w:rsidRPr="00BD5345">
              <w:rPr>
                <w:rFonts w:ascii="Times New Roman" w:hAnsi="Times New Roman" w:cs="Times New Roman"/>
                <w:sz w:val="24"/>
                <w:szCs w:val="24"/>
              </w:rPr>
              <w:t>-12,8</w:t>
            </w:r>
          </w:p>
        </w:tc>
        <w:tc>
          <w:tcPr>
            <w:tcW w:w="876" w:type="pct"/>
            <w:vAlign w:val="center"/>
          </w:tcPr>
          <w:p w14:paraId="2CD5906B" w14:textId="77777777" w:rsidR="00BD5345" w:rsidRPr="00BD5345" w:rsidRDefault="00BD5345" w:rsidP="00BD5345">
            <w:pPr>
              <w:autoSpaceDE w:val="0"/>
              <w:autoSpaceDN w:val="0"/>
              <w:adjustRightInd w:val="0"/>
              <w:spacing w:after="0" w:line="240" w:lineRule="auto"/>
              <w:jc w:val="center"/>
              <w:outlineLvl w:val="0"/>
              <w:rPr>
                <w:rFonts w:ascii="Times New Roman" w:hAnsi="Times New Roman" w:cs="Times New Roman"/>
                <w:sz w:val="24"/>
                <w:szCs w:val="24"/>
              </w:rPr>
            </w:pPr>
            <w:r w:rsidRPr="00BD5345">
              <w:rPr>
                <w:rFonts w:ascii="Times New Roman" w:hAnsi="Times New Roman" w:cs="Times New Roman"/>
                <w:sz w:val="24"/>
                <w:szCs w:val="24"/>
              </w:rPr>
              <w:t>71 529</w:t>
            </w:r>
          </w:p>
        </w:tc>
        <w:tc>
          <w:tcPr>
            <w:tcW w:w="733" w:type="pct"/>
            <w:vAlign w:val="center"/>
          </w:tcPr>
          <w:p w14:paraId="18121651" w14:textId="77777777" w:rsidR="00BD5345" w:rsidRPr="00BD5345" w:rsidRDefault="00BD5345" w:rsidP="00BD5345">
            <w:pPr>
              <w:autoSpaceDE w:val="0"/>
              <w:autoSpaceDN w:val="0"/>
              <w:adjustRightInd w:val="0"/>
              <w:spacing w:after="0" w:line="240" w:lineRule="auto"/>
              <w:jc w:val="center"/>
              <w:outlineLvl w:val="0"/>
              <w:rPr>
                <w:rFonts w:ascii="Times New Roman" w:hAnsi="Times New Roman" w:cs="Times New Roman"/>
                <w:sz w:val="24"/>
                <w:szCs w:val="24"/>
              </w:rPr>
            </w:pPr>
            <w:r w:rsidRPr="00BD5345">
              <w:rPr>
                <w:rFonts w:ascii="Times New Roman" w:hAnsi="Times New Roman" w:cs="Times New Roman"/>
                <w:sz w:val="24"/>
                <w:szCs w:val="24"/>
              </w:rPr>
              <w:t>+19,1</w:t>
            </w:r>
          </w:p>
        </w:tc>
      </w:tr>
    </w:tbl>
    <w:p w14:paraId="4D19F736" w14:textId="77777777" w:rsidR="00BD5345" w:rsidRPr="00BD5345" w:rsidRDefault="00BD5345" w:rsidP="00BD5345">
      <w:pPr>
        <w:widowControl w:val="0"/>
        <w:spacing w:after="0" w:line="240" w:lineRule="auto"/>
        <w:ind w:firstLine="709"/>
        <w:jc w:val="both"/>
        <w:rPr>
          <w:rFonts w:ascii="Times New Roman" w:eastAsia="Times New Roman" w:hAnsi="Times New Roman" w:cs="Times New Roman"/>
          <w:sz w:val="6"/>
          <w:szCs w:val="6"/>
          <w:highlight w:val="yellow"/>
        </w:rPr>
      </w:pPr>
    </w:p>
    <w:p w14:paraId="782DAC4E" w14:textId="77777777" w:rsidR="00BD5345" w:rsidRPr="00BD5345" w:rsidRDefault="00BD5345" w:rsidP="00A21663">
      <w:pPr>
        <w:widowControl w:val="0"/>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 xml:space="preserve">За последние </w:t>
      </w:r>
      <w:r w:rsidR="002D0AB1">
        <w:rPr>
          <w:rFonts w:ascii="Times New Roman" w:eastAsia="Times New Roman" w:hAnsi="Times New Roman" w:cs="Times New Roman"/>
          <w:sz w:val="28"/>
          <w:szCs w:val="28"/>
        </w:rPr>
        <w:t>3</w:t>
      </w:r>
      <w:r w:rsidRPr="00BD5345">
        <w:rPr>
          <w:rFonts w:ascii="Times New Roman" w:eastAsia="Times New Roman" w:hAnsi="Times New Roman" w:cs="Times New Roman"/>
          <w:sz w:val="28"/>
          <w:szCs w:val="28"/>
        </w:rPr>
        <w:t xml:space="preserve"> года число детей, ставших жертвами преступлений, увеличилось на 4,5% (2021 г. – 112 387; 2020 г. – 94 881; 2019 г. – 107 571).</w:t>
      </w:r>
    </w:p>
    <w:p w14:paraId="0B381670" w14:textId="77777777" w:rsidR="00BD5345" w:rsidRPr="00BD5345" w:rsidRDefault="00BD5345" w:rsidP="00A21663">
      <w:pPr>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 xml:space="preserve">Ежегодно возрастало количество преступлений против половой неприкосновенности и половой свободы несовершеннолетних (2021 г. – 16 887; </w:t>
      </w:r>
      <w:r w:rsidR="009C0CC8">
        <w:rPr>
          <w:rFonts w:ascii="Times New Roman" w:eastAsia="Times New Roman" w:hAnsi="Times New Roman" w:cs="Times New Roman"/>
          <w:sz w:val="28"/>
          <w:szCs w:val="28"/>
        </w:rPr>
        <w:br/>
      </w:r>
      <w:r w:rsidRPr="00BD5345">
        <w:rPr>
          <w:rFonts w:ascii="Times New Roman" w:eastAsia="Times New Roman" w:hAnsi="Times New Roman" w:cs="Times New Roman"/>
          <w:sz w:val="28"/>
          <w:szCs w:val="28"/>
        </w:rPr>
        <w:t xml:space="preserve">2020 г. – 15 822; 2019 г. – 14 755) и пострадавших от них детей (2021 г. – 12 251; </w:t>
      </w:r>
      <w:r w:rsidR="009C0CC8">
        <w:rPr>
          <w:rFonts w:ascii="Times New Roman" w:eastAsia="Times New Roman" w:hAnsi="Times New Roman" w:cs="Times New Roman"/>
          <w:sz w:val="28"/>
          <w:szCs w:val="28"/>
        </w:rPr>
        <w:br/>
      </w:r>
      <w:r w:rsidRPr="00BD5345">
        <w:rPr>
          <w:rFonts w:ascii="Times New Roman" w:eastAsia="Times New Roman" w:hAnsi="Times New Roman" w:cs="Times New Roman"/>
          <w:sz w:val="28"/>
          <w:szCs w:val="28"/>
        </w:rPr>
        <w:t>2020 г. – 11 287; 2019 г. – 11 462).</w:t>
      </w:r>
    </w:p>
    <w:p w14:paraId="01C181F6" w14:textId="77777777" w:rsidR="00BD5345" w:rsidRPr="00BD5345" w:rsidRDefault="00BD5345" w:rsidP="00A21663">
      <w:pPr>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Осуществляемый органами внутренн</w:t>
      </w:r>
      <w:r w:rsidR="00F52ACF">
        <w:rPr>
          <w:rFonts w:ascii="Times New Roman" w:eastAsia="Times New Roman" w:hAnsi="Times New Roman" w:cs="Times New Roman"/>
          <w:sz w:val="28"/>
          <w:szCs w:val="28"/>
        </w:rPr>
        <w:t xml:space="preserve">их дел административный надзор </w:t>
      </w:r>
      <w:r w:rsidRPr="00BD5345">
        <w:rPr>
          <w:rFonts w:ascii="Times New Roman" w:eastAsia="Times New Roman" w:hAnsi="Times New Roman" w:cs="Times New Roman"/>
          <w:sz w:val="28"/>
          <w:szCs w:val="28"/>
        </w:rPr>
        <w:t>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14:paraId="77A3617A" w14:textId="77777777" w:rsidR="00BD5345" w:rsidRPr="00BD5345" w:rsidRDefault="00BD5345" w:rsidP="00A21663">
      <w:pPr>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Ежегодно под административный надзор ставилось свыше 2 тыс. лиц, освобожденных из мест лишения с</w:t>
      </w:r>
      <w:r w:rsidR="009C0CC8">
        <w:rPr>
          <w:rFonts w:ascii="Times New Roman" w:eastAsia="Times New Roman" w:hAnsi="Times New Roman" w:cs="Times New Roman"/>
          <w:sz w:val="28"/>
          <w:szCs w:val="28"/>
        </w:rPr>
        <w:t xml:space="preserve">вободы после отбытия наказания </w:t>
      </w:r>
      <w:r w:rsidRPr="00BD5345">
        <w:rPr>
          <w:rFonts w:ascii="Times New Roman" w:eastAsia="Times New Roman" w:hAnsi="Times New Roman" w:cs="Times New Roman"/>
          <w:sz w:val="28"/>
          <w:szCs w:val="28"/>
        </w:rPr>
        <w:t xml:space="preserve">за совершение умышленных преступлений в отношении несовершеннолетних (2021 г. – 2 542; </w:t>
      </w:r>
      <w:r w:rsidR="009C0CC8">
        <w:rPr>
          <w:rFonts w:ascii="Times New Roman" w:eastAsia="Times New Roman" w:hAnsi="Times New Roman" w:cs="Times New Roman"/>
          <w:sz w:val="28"/>
          <w:szCs w:val="28"/>
        </w:rPr>
        <w:br/>
      </w:r>
      <w:r w:rsidRPr="00BD5345">
        <w:rPr>
          <w:rFonts w:ascii="Times New Roman" w:eastAsia="Times New Roman" w:hAnsi="Times New Roman" w:cs="Times New Roman"/>
          <w:sz w:val="28"/>
          <w:szCs w:val="28"/>
        </w:rPr>
        <w:t>2020 г. –</w:t>
      </w:r>
      <w:r w:rsidR="00F52ACF" w:rsidRPr="00BD5345">
        <w:rPr>
          <w:rFonts w:ascii="Times New Roman" w:eastAsia="Times New Roman" w:hAnsi="Times New Roman" w:cs="Times New Roman"/>
          <w:sz w:val="28"/>
          <w:szCs w:val="28"/>
        </w:rPr>
        <w:t> </w:t>
      </w:r>
      <w:r w:rsidRPr="00BD5345">
        <w:rPr>
          <w:rFonts w:ascii="Times New Roman" w:eastAsia="Times New Roman" w:hAnsi="Times New Roman" w:cs="Times New Roman"/>
          <w:sz w:val="28"/>
          <w:szCs w:val="28"/>
        </w:rPr>
        <w:t xml:space="preserve">2 291; 2019 г. – 2 311). </w:t>
      </w:r>
    </w:p>
    <w:p w14:paraId="06041A84" w14:textId="77777777" w:rsidR="00BD5345" w:rsidRPr="00BD5345" w:rsidRDefault="00BD5345" w:rsidP="00A21663">
      <w:pPr>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 xml:space="preserve">Соответственно в последние </w:t>
      </w:r>
      <w:r w:rsidR="001F28E4">
        <w:rPr>
          <w:rFonts w:ascii="Times New Roman" w:eastAsia="Times New Roman" w:hAnsi="Times New Roman" w:cs="Times New Roman"/>
          <w:sz w:val="28"/>
          <w:szCs w:val="28"/>
        </w:rPr>
        <w:t>3</w:t>
      </w:r>
      <w:r w:rsidRPr="00BD5345">
        <w:rPr>
          <w:rFonts w:ascii="Times New Roman" w:eastAsia="Times New Roman" w:hAnsi="Times New Roman" w:cs="Times New Roman"/>
          <w:sz w:val="28"/>
          <w:szCs w:val="28"/>
        </w:rPr>
        <w:t xml:space="preserve"> года возросло количество лиц названных категорий, состоящих под административ</w:t>
      </w:r>
      <w:r w:rsidR="009C0CC8">
        <w:rPr>
          <w:rFonts w:ascii="Times New Roman" w:eastAsia="Times New Roman" w:hAnsi="Times New Roman" w:cs="Times New Roman"/>
          <w:sz w:val="28"/>
          <w:szCs w:val="28"/>
        </w:rPr>
        <w:t>ным над</w:t>
      </w:r>
      <w:r w:rsidR="00AA5057">
        <w:rPr>
          <w:rFonts w:ascii="Times New Roman" w:eastAsia="Times New Roman" w:hAnsi="Times New Roman" w:cs="Times New Roman"/>
          <w:sz w:val="28"/>
          <w:szCs w:val="28"/>
        </w:rPr>
        <w:t xml:space="preserve">зором (2021 г. – 7 582; </w:t>
      </w:r>
      <w:r w:rsidRPr="00BD5345">
        <w:rPr>
          <w:rFonts w:ascii="Times New Roman" w:eastAsia="Times New Roman" w:hAnsi="Times New Roman" w:cs="Times New Roman"/>
          <w:sz w:val="28"/>
          <w:szCs w:val="28"/>
        </w:rPr>
        <w:t>2020 г. – 7 478; 2019 г. – 7 450).</w:t>
      </w:r>
    </w:p>
    <w:p w14:paraId="6679E7A8" w14:textId="77777777" w:rsidR="00BD5345" w:rsidRPr="00BD5345" w:rsidRDefault="00BD5345" w:rsidP="00A21663">
      <w:pPr>
        <w:widowControl w:val="0"/>
        <w:autoSpaceDE w:val="0"/>
        <w:autoSpaceDN w:val="0"/>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В целях обеспечения благополучного и защищенного детства в 2021 г</w:t>
      </w:r>
      <w:r w:rsidR="00DE6775">
        <w:rPr>
          <w:rFonts w:ascii="Times New Roman" w:eastAsia="Times New Roman" w:hAnsi="Times New Roman" w:cs="Times New Roman"/>
          <w:sz w:val="28"/>
          <w:szCs w:val="28"/>
        </w:rPr>
        <w:t>.</w:t>
      </w:r>
      <w:r w:rsidRPr="00BD5345">
        <w:rPr>
          <w:rFonts w:ascii="Times New Roman" w:eastAsia="Times New Roman" w:hAnsi="Times New Roman" w:cs="Times New Roman"/>
          <w:sz w:val="28"/>
          <w:szCs w:val="28"/>
        </w:rPr>
        <w:t xml:space="preserve"> в Российской Федерации продолжена реализация комплекса организационных, практических мер, направленных на повышение эффективности государственной политики в сфере детства и семьи, совершенствование деятельности органов и учреждений, входящих в систему профилактики безнадзорности и правонарушений несовершеннолетних, консолидацию ресурсов государственных и общественных институтов.</w:t>
      </w:r>
    </w:p>
    <w:p w14:paraId="6DB91097" w14:textId="77777777" w:rsidR="00BD5345" w:rsidRPr="00BD5345" w:rsidRDefault="00BD5345" w:rsidP="00A21663">
      <w:pPr>
        <w:widowControl w:val="0"/>
        <w:autoSpaceDE w:val="0"/>
        <w:autoSpaceDN w:val="0"/>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С учетом результатов реализации в 2018</w:t>
      </w:r>
      <w:r w:rsidR="00C23B47">
        <w:rPr>
          <w:rFonts w:ascii="Times New Roman" w:eastAsia="Times New Roman" w:hAnsi="Times New Roman" w:cs="Times New Roman"/>
          <w:sz w:val="28"/>
          <w:szCs w:val="28"/>
        </w:rPr>
        <w:t>-</w:t>
      </w:r>
      <w:r w:rsidRPr="00BD5345">
        <w:rPr>
          <w:rFonts w:ascii="Times New Roman" w:eastAsia="Times New Roman" w:hAnsi="Times New Roman" w:cs="Times New Roman"/>
          <w:sz w:val="28"/>
          <w:szCs w:val="28"/>
        </w:rPr>
        <w:t>2020 г</w:t>
      </w:r>
      <w:r w:rsidR="001F28E4">
        <w:rPr>
          <w:rFonts w:ascii="Times New Roman" w:eastAsia="Times New Roman" w:hAnsi="Times New Roman" w:cs="Times New Roman"/>
          <w:sz w:val="28"/>
          <w:szCs w:val="28"/>
        </w:rPr>
        <w:t>г.</w:t>
      </w:r>
      <w:r w:rsidRPr="00BD5345">
        <w:rPr>
          <w:rFonts w:ascii="Times New Roman" w:eastAsia="Times New Roman" w:hAnsi="Times New Roman" w:cs="Times New Roman"/>
          <w:sz w:val="28"/>
          <w:szCs w:val="28"/>
        </w:rPr>
        <w:t xml:space="preserve"> мероприятий, предусмотренных </w:t>
      </w:r>
      <w:r w:rsidR="001F28E4">
        <w:rPr>
          <w:rFonts w:ascii="Times New Roman" w:eastAsia="Times New Roman" w:hAnsi="Times New Roman" w:cs="Times New Roman"/>
          <w:sz w:val="28"/>
          <w:szCs w:val="28"/>
        </w:rPr>
        <w:t>планом основных мероприятий до 2020 г</w:t>
      </w:r>
      <w:r w:rsidR="00C23B47">
        <w:rPr>
          <w:rFonts w:ascii="Times New Roman" w:eastAsia="Times New Roman" w:hAnsi="Times New Roman" w:cs="Times New Roman"/>
          <w:sz w:val="28"/>
          <w:szCs w:val="28"/>
        </w:rPr>
        <w:t>.</w:t>
      </w:r>
      <w:r w:rsidR="001F28E4">
        <w:rPr>
          <w:rFonts w:ascii="Times New Roman" w:eastAsia="Times New Roman" w:hAnsi="Times New Roman" w:cs="Times New Roman"/>
          <w:sz w:val="28"/>
          <w:szCs w:val="28"/>
        </w:rPr>
        <w:t xml:space="preserve">, проводимых в рамках </w:t>
      </w:r>
      <w:r w:rsidRPr="00BD5345">
        <w:rPr>
          <w:rFonts w:ascii="Times New Roman" w:eastAsia="Times New Roman" w:hAnsi="Times New Roman" w:cs="Times New Roman"/>
          <w:sz w:val="28"/>
          <w:szCs w:val="28"/>
        </w:rPr>
        <w:t>Десятилети</w:t>
      </w:r>
      <w:r w:rsidR="001F28E4">
        <w:rPr>
          <w:rFonts w:ascii="Times New Roman" w:eastAsia="Times New Roman" w:hAnsi="Times New Roman" w:cs="Times New Roman"/>
          <w:sz w:val="28"/>
          <w:szCs w:val="28"/>
        </w:rPr>
        <w:t>я</w:t>
      </w:r>
      <w:r w:rsidRPr="00BD5345">
        <w:rPr>
          <w:rFonts w:ascii="Times New Roman" w:eastAsia="Times New Roman" w:hAnsi="Times New Roman" w:cs="Times New Roman"/>
          <w:sz w:val="28"/>
          <w:szCs w:val="28"/>
        </w:rPr>
        <w:t xml:space="preserve"> детства, разработан и утвержден распоряжением Правительства Российской Федерации от 23 января 2021 г. № 122-р соответствующий план на период до 2027 г.</w:t>
      </w:r>
    </w:p>
    <w:p w14:paraId="6FBE54A8" w14:textId="77777777" w:rsidR="00BD5345" w:rsidRPr="00BD5345" w:rsidRDefault="00BD5345" w:rsidP="00A21663">
      <w:pPr>
        <w:widowControl w:val="0"/>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Усилия государства были направлены на повышение эффективности взаимодействия органов и учреждений системы профилактики</w:t>
      </w:r>
      <w:r w:rsidR="001F28E4">
        <w:rPr>
          <w:rFonts w:ascii="Times New Roman" w:eastAsia="Times New Roman" w:hAnsi="Times New Roman" w:cs="Times New Roman"/>
          <w:sz w:val="28"/>
          <w:szCs w:val="28"/>
        </w:rPr>
        <w:t xml:space="preserve"> безнадзорности и правонарушений несовершеннолетних</w:t>
      </w:r>
      <w:r w:rsidRPr="00BD5345">
        <w:rPr>
          <w:rFonts w:ascii="Times New Roman" w:eastAsia="Times New Roman" w:hAnsi="Times New Roman" w:cs="Times New Roman"/>
          <w:sz w:val="28"/>
          <w:szCs w:val="28"/>
        </w:rPr>
        <w:t>, модернизацию действующих механизмов профилактической работы и выработку новых</w:t>
      </w:r>
      <w:r w:rsidR="001F28E4">
        <w:rPr>
          <w:rFonts w:ascii="Times New Roman" w:eastAsia="Times New Roman" w:hAnsi="Times New Roman" w:cs="Times New Roman"/>
          <w:sz w:val="28"/>
          <w:szCs w:val="28"/>
        </w:rPr>
        <w:t>.</w:t>
      </w:r>
    </w:p>
    <w:p w14:paraId="73C2AF22" w14:textId="77777777" w:rsidR="00BD5345" w:rsidRPr="00BD5345" w:rsidRDefault="00BD5345" w:rsidP="00A21663">
      <w:pPr>
        <w:autoSpaceDE w:val="0"/>
        <w:autoSpaceDN w:val="0"/>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 xml:space="preserve">Приняты меры по </w:t>
      </w:r>
      <w:proofErr w:type="spellStart"/>
      <w:r w:rsidRPr="00BD5345">
        <w:rPr>
          <w:rFonts w:ascii="Times New Roman" w:eastAsia="Times New Roman" w:hAnsi="Times New Roman" w:cs="Times New Roman"/>
          <w:sz w:val="28"/>
          <w:szCs w:val="28"/>
        </w:rPr>
        <w:t>пролонгированию</w:t>
      </w:r>
      <w:proofErr w:type="spellEnd"/>
      <w:r w:rsidRPr="00BD5345">
        <w:rPr>
          <w:rFonts w:ascii="Times New Roman" w:eastAsia="Times New Roman" w:hAnsi="Times New Roman" w:cs="Times New Roman"/>
          <w:sz w:val="28"/>
          <w:szCs w:val="28"/>
        </w:rPr>
        <w:t xml:space="preserve"> мероприятий Концепции развития системы профилактики</w:t>
      </w:r>
      <w:r w:rsidR="002917D0">
        <w:rPr>
          <w:rFonts w:ascii="Times New Roman" w:eastAsia="Times New Roman" w:hAnsi="Times New Roman" w:cs="Times New Roman"/>
          <w:sz w:val="28"/>
          <w:szCs w:val="28"/>
        </w:rPr>
        <w:t xml:space="preserve"> безнадзорности и правонарушений несовершеннолетних</w:t>
      </w:r>
      <w:r w:rsidRPr="00BD5345">
        <w:rPr>
          <w:rFonts w:ascii="Times New Roman" w:eastAsia="Times New Roman" w:hAnsi="Times New Roman" w:cs="Times New Roman"/>
          <w:sz w:val="28"/>
          <w:szCs w:val="28"/>
        </w:rPr>
        <w:t>, утвержденной распоряжением Правительства Российской Федерации от 22 марта 2017 г. № 520-р, на период до 2025 г</w:t>
      </w:r>
      <w:r w:rsidR="00C23B47">
        <w:rPr>
          <w:rFonts w:ascii="Times New Roman" w:eastAsia="Times New Roman" w:hAnsi="Times New Roman" w:cs="Times New Roman"/>
          <w:sz w:val="28"/>
          <w:szCs w:val="28"/>
        </w:rPr>
        <w:t>.</w:t>
      </w:r>
      <w:r w:rsidR="00E54C3F">
        <w:rPr>
          <w:rFonts w:ascii="Times New Roman" w:eastAsia="Times New Roman" w:hAnsi="Times New Roman" w:cs="Times New Roman"/>
          <w:sz w:val="28"/>
          <w:szCs w:val="28"/>
        </w:rPr>
        <w:t xml:space="preserve"> (далее – Концепция развития системы профилактики)</w:t>
      </w:r>
      <w:r w:rsidRPr="00BD5345">
        <w:rPr>
          <w:rFonts w:ascii="Times New Roman" w:eastAsia="Times New Roman" w:hAnsi="Times New Roman" w:cs="Times New Roman"/>
          <w:sz w:val="28"/>
          <w:szCs w:val="28"/>
        </w:rPr>
        <w:t>. Распоряжением Правительства Российской Федерации от 18 марта 2021 г. № 656-р внесены изменения в Концепцию развития системы профилактики и утвержден план мероприятий на 2021</w:t>
      </w:r>
      <w:r w:rsidR="00E17D1C">
        <w:rPr>
          <w:rFonts w:ascii="Times New Roman" w:eastAsia="Times New Roman" w:hAnsi="Times New Roman" w:cs="Times New Roman"/>
          <w:sz w:val="28"/>
          <w:szCs w:val="28"/>
        </w:rPr>
        <w:t>-</w:t>
      </w:r>
      <w:r w:rsidRPr="00BD5345">
        <w:rPr>
          <w:rFonts w:ascii="Times New Roman" w:eastAsia="Times New Roman" w:hAnsi="Times New Roman" w:cs="Times New Roman"/>
          <w:sz w:val="28"/>
          <w:szCs w:val="28"/>
        </w:rPr>
        <w:t xml:space="preserve">2025 </w:t>
      </w:r>
      <w:r w:rsidR="00C23B47">
        <w:rPr>
          <w:rFonts w:ascii="Times New Roman" w:eastAsia="Times New Roman" w:hAnsi="Times New Roman" w:cs="Times New Roman"/>
          <w:sz w:val="28"/>
          <w:szCs w:val="28"/>
        </w:rPr>
        <w:t>гг.</w:t>
      </w:r>
      <w:r w:rsidRPr="00BD5345">
        <w:rPr>
          <w:rFonts w:ascii="Times New Roman" w:eastAsia="Times New Roman" w:hAnsi="Times New Roman" w:cs="Times New Roman"/>
          <w:sz w:val="28"/>
          <w:szCs w:val="28"/>
        </w:rPr>
        <w:t xml:space="preserve"> по ее реализации</w:t>
      </w:r>
      <w:r w:rsidR="00E54C3F">
        <w:rPr>
          <w:rFonts w:ascii="Times New Roman" w:eastAsia="Times New Roman" w:hAnsi="Times New Roman" w:cs="Times New Roman"/>
          <w:sz w:val="28"/>
          <w:szCs w:val="28"/>
        </w:rPr>
        <w:t xml:space="preserve"> (далее – План мероприятий по реализации Концепции развития системы профилактики)</w:t>
      </w:r>
      <w:r w:rsidRPr="00BD5345">
        <w:rPr>
          <w:rFonts w:ascii="Times New Roman" w:eastAsia="Times New Roman" w:hAnsi="Times New Roman" w:cs="Times New Roman"/>
          <w:sz w:val="28"/>
          <w:szCs w:val="28"/>
        </w:rPr>
        <w:t>.</w:t>
      </w:r>
    </w:p>
    <w:p w14:paraId="0EC5A02B" w14:textId="77777777" w:rsidR="00BD5345" w:rsidRPr="00BD5345" w:rsidRDefault="00BD5345" w:rsidP="00A21663">
      <w:pPr>
        <w:autoSpaceDE w:val="0"/>
        <w:autoSpaceDN w:val="0"/>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 xml:space="preserve">Актуализированные с учетом новых вызовов и рисков в подростковой среде положения указанной Концепции нацелены на воспитание личности на основе социокультурных, духовно-нравственных ценностей и норм поведения, создание условий для успешной социализации (ресоциализации) несовершеннолетних, формирование у них готовности к саморазвитию, самоопределению и ответственному отношению к своей жизни. </w:t>
      </w:r>
    </w:p>
    <w:p w14:paraId="4E9E4BFD" w14:textId="77777777" w:rsidR="00BD5345" w:rsidRPr="00BD5345" w:rsidRDefault="00BD5345" w:rsidP="00A21663">
      <w:pPr>
        <w:widowControl w:val="0"/>
        <w:autoSpaceDE w:val="0"/>
        <w:autoSpaceDN w:val="0"/>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В 2021 г</w:t>
      </w:r>
      <w:r w:rsidR="00C23B47">
        <w:rPr>
          <w:rFonts w:ascii="Times New Roman" w:eastAsia="Times New Roman" w:hAnsi="Times New Roman" w:cs="Times New Roman"/>
          <w:sz w:val="28"/>
          <w:szCs w:val="28"/>
        </w:rPr>
        <w:t>.</w:t>
      </w:r>
      <w:r w:rsidRPr="00BD5345">
        <w:rPr>
          <w:rFonts w:ascii="Times New Roman" w:eastAsia="Times New Roman" w:hAnsi="Times New Roman" w:cs="Times New Roman"/>
          <w:sz w:val="28"/>
          <w:szCs w:val="28"/>
        </w:rPr>
        <w:t xml:space="preserve"> продолжена работа по реформированию системы профилактики безнадзорности и пра</w:t>
      </w:r>
      <w:r w:rsidR="009C0CC8">
        <w:rPr>
          <w:rFonts w:ascii="Times New Roman" w:eastAsia="Times New Roman" w:hAnsi="Times New Roman" w:cs="Times New Roman"/>
          <w:sz w:val="28"/>
          <w:szCs w:val="28"/>
        </w:rPr>
        <w:t xml:space="preserve">вонарушений несовершеннолетних </w:t>
      </w:r>
      <w:r w:rsidRPr="00BD5345">
        <w:rPr>
          <w:rFonts w:ascii="Times New Roman" w:eastAsia="Times New Roman" w:hAnsi="Times New Roman" w:cs="Times New Roman"/>
          <w:sz w:val="28"/>
          <w:szCs w:val="28"/>
        </w:rPr>
        <w:t xml:space="preserve">в рамках реализации </w:t>
      </w:r>
      <w:r w:rsidRPr="00BD5345">
        <w:rPr>
          <w:rFonts w:ascii="Times New Roman" w:eastAsia="Calibri" w:hAnsi="Times New Roman" w:cs="Times New Roman"/>
          <w:sz w:val="28"/>
          <w:szCs w:val="28"/>
          <w:lang w:eastAsia="ru-RU"/>
        </w:rPr>
        <w:t>разработанной созданной на площадке Минпросвещения России межведомственной рабочей группой и одобренной на заседании Правительственной комиссии в декабре 2020 г</w:t>
      </w:r>
      <w:r w:rsidR="00C23B47">
        <w:rPr>
          <w:rFonts w:ascii="Times New Roman" w:eastAsia="Calibri" w:hAnsi="Times New Roman" w:cs="Times New Roman"/>
          <w:sz w:val="28"/>
          <w:szCs w:val="28"/>
          <w:lang w:eastAsia="ru-RU"/>
        </w:rPr>
        <w:t>.</w:t>
      </w:r>
      <w:r w:rsidRPr="00BD5345">
        <w:rPr>
          <w:rFonts w:ascii="Times New Roman" w:eastAsia="Calibri" w:hAnsi="Times New Roman" w:cs="Times New Roman"/>
          <w:sz w:val="28"/>
          <w:szCs w:val="28"/>
          <w:lang w:eastAsia="ru-RU"/>
        </w:rPr>
        <w:t xml:space="preserve"> концепции проекта федерального закона о внесении изменений в отдельные законодательные акты Российской Федерации</w:t>
      </w:r>
      <w:r w:rsidRPr="00BD5345">
        <w:rPr>
          <w:rFonts w:ascii="Times New Roman" w:eastAsia="Times New Roman" w:hAnsi="Times New Roman" w:cs="Times New Roman"/>
          <w:sz w:val="28"/>
          <w:szCs w:val="28"/>
        </w:rPr>
        <w:t>.</w:t>
      </w:r>
    </w:p>
    <w:p w14:paraId="29D615DC" w14:textId="77777777" w:rsidR="00BD5345" w:rsidRPr="00BD5345" w:rsidRDefault="00BD5345" w:rsidP="00A21663">
      <w:pPr>
        <w:spacing w:after="0" w:line="312" w:lineRule="auto"/>
        <w:ind w:firstLine="709"/>
        <w:jc w:val="both"/>
        <w:rPr>
          <w:rFonts w:ascii="Times New Roman" w:eastAsia="Calibri" w:hAnsi="Times New Roman" w:cs="Times New Roman"/>
          <w:sz w:val="28"/>
          <w:szCs w:val="28"/>
          <w:lang w:eastAsia="ru-RU"/>
        </w:rPr>
      </w:pPr>
      <w:r w:rsidRPr="00BD5345">
        <w:rPr>
          <w:rFonts w:ascii="Times New Roman" w:eastAsia="Calibri" w:hAnsi="Times New Roman" w:cs="Times New Roman"/>
          <w:sz w:val="28"/>
          <w:szCs w:val="28"/>
          <w:lang w:eastAsia="ru-RU"/>
        </w:rPr>
        <w:t>Подготовленный проект федерального закона предусматривает</w:t>
      </w:r>
      <w:r w:rsidR="003745AC">
        <w:rPr>
          <w:rFonts w:ascii="Times New Roman" w:eastAsia="Calibri" w:hAnsi="Times New Roman" w:cs="Times New Roman"/>
          <w:sz w:val="28"/>
          <w:szCs w:val="28"/>
          <w:lang w:eastAsia="ru-RU"/>
        </w:rPr>
        <w:t>,</w:t>
      </w:r>
      <w:r w:rsidRPr="00BD5345">
        <w:rPr>
          <w:rFonts w:ascii="Times New Roman" w:eastAsia="Calibri" w:hAnsi="Times New Roman" w:cs="Times New Roman"/>
          <w:sz w:val="28"/>
          <w:szCs w:val="28"/>
          <w:lang w:eastAsia="ru-RU"/>
        </w:rPr>
        <w:t xml:space="preserve"> в том числе унификацию понятийного аппарата, создание трехуровневой системы профилактики (первичная, вторичная, специальная), а также реформирование системы </w:t>
      </w:r>
      <w:r w:rsidR="003745AC">
        <w:rPr>
          <w:rFonts w:ascii="Times New Roman" w:eastAsia="Calibri" w:hAnsi="Times New Roman" w:cs="Times New Roman"/>
          <w:sz w:val="28"/>
          <w:szCs w:val="28"/>
          <w:lang w:eastAsia="ru-RU"/>
        </w:rPr>
        <w:t>комиссий по делам несовершеннолетних и защите их прав</w:t>
      </w:r>
      <w:r w:rsidRPr="00BD5345">
        <w:rPr>
          <w:rFonts w:ascii="Times New Roman" w:eastAsia="Calibri" w:hAnsi="Times New Roman" w:cs="Times New Roman"/>
          <w:sz w:val="28"/>
          <w:szCs w:val="28"/>
          <w:lang w:eastAsia="ru-RU"/>
        </w:rPr>
        <w:t xml:space="preserve">. </w:t>
      </w:r>
    </w:p>
    <w:p w14:paraId="15115072" w14:textId="77777777" w:rsidR="00BD5345" w:rsidRPr="003C580E" w:rsidRDefault="00BD5345" w:rsidP="00A21663">
      <w:pPr>
        <w:autoSpaceDE w:val="0"/>
        <w:autoSpaceDN w:val="0"/>
        <w:spacing w:after="0" w:line="312" w:lineRule="auto"/>
        <w:ind w:firstLine="709"/>
        <w:jc w:val="both"/>
        <w:rPr>
          <w:rFonts w:ascii="Times New Roman" w:eastAsia="Times New Roman" w:hAnsi="Times New Roman" w:cs="Times New Roman"/>
          <w:sz w:val="28"/>
          <w:szCs w:val="28"/>
        </w:rPr>
      </w:pPr>
      <w:r w:rsidRPr="003C580E">
        <w:rPr>
          <w:rFonts w:ascii="Times New Roman" w:eastAsia="Times New Roman" w:hAnsi="Times New Roman" w:cs="Times New Roman"/>
          <w:sz w:val="28"/>
          <w:szCs w:val="28"/>
        </w:rPr>
        <w:t>Сохраняют актуальность вопросы совершенствования информационной безопасности детей в целях минимизации рисков десоциализации, развития девиантного и противоправного поведения детей, включая применение насилия и проявление жестокости, совершение действий, представляющих угрозу жизни или здоровью, в том числе причинение вреда своему здоровью, суицид, иные виды противоправного поведения или преступлений.</w:t>
      </w:r>
    </w:p>
    <w:p w14:paraId="5447EFBE" w14:textId="77777777" w:rsidR="00BD5345" w:rsidRPr="003C580E" w:rsidRDefault="00BD5345" w:rsidP="003C580E">
      <w:pPr>
        <w:autoSpaceDE w:val="0"/>
        <w:autoSpaceDN w:val="0"/>
        <w:adjustRightInd w:val="0"/>
        <w:spacing w:after="0" w:line="312" w:lineRule="auto"/>
        <w:ind w:firstLine="709"/>
        <w:jc w:val="both"/>
        <w:rPr>
          <w:rFonts w:ascii="Times New Roman" w:hAnsi="Times New Roman" w:cs="Times New Roman"/>
          <w:sz w:val="28"/>
          <w:szCs w:val="28"/>
        </w:rPr>
      </w:pPr>
      <w:r w:rsidRPr="003C580E">
        <w:rPr>
          <w:rFonts w:ascii="Times New Roman" w:hAnsi="Times New Roman" w:cs="Times New Roman"/>
          <w:sz w:val="28"/>
          <w:szCs w:val="28"/>
        </w:rPr>
        <w:t>Федеральным законом от 1 июля 2021 г. № 264-ФЗ «О внесении изменений в статью 4 Федерального закона «О защите детей от информации, причиняющей вред их здоровью и развитию» конкретизированы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w:t>
      </w:r>
      <w:r w:rsidR="003C580E" w:rsidRPr="003C580E">
        <w:rPr>
          <w:rFonts w:ascii="Times New Roman" w:hAnsi="Times New Roman" w:cs="Times New Roman"/>
          <w:sz w:val="28"/>
          <w:szCs w:val="28"/>
        </w:rPr>
        <w:t xml:space="preserve">д их здоровью и (или) развитию. </w:t>
      </w:r>
      <w:r w:rsidRPr="003C580E">
        <w:rPr>
          <w:rFonts w:ascii="Times New Roman" w:hAnsi="Times New Roman" w:cs="Times New Roman"/>
          <w:sz w:val="28"/>
          <w:szCs w:val="28"/>
        </w:rPr>
        <w:t>В частности</w:t>
      </w:r>
      <w:r w:rsidR="00FC4E44" w:rsidRPr="003C580E">
        <w:rPr>
          <w:rFonts w:ascii="Times New Roman" w:hAnsi="Times New Roman" w:cs="Times New Roman"/>
          <w:sz w:val="28"/>
          <w:szCs w:val="28"/>
        </w:rPr>
        <w:t>,</w:t>
      </w:r>
      <w:r w:rsidRPr="003C580E">
        <w:rPr>
          <w:rFonts w:ascii="Times New Roman" w:hAnsi="Times New Roman" w:cs="Times New Roman"/>
          <w:sz w:val="28"/>
          <w:szCs w:val="28"/>
        </w:rPr>
        <w:t xml:space="preserve"> исключены полномочия по разработке и реализации федеральных целевых программ и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 и установлены полномочия по разработке соответствующих перечней федеральных и региональных мероприятий и полномочия по их реализации.</w:t>
      </w:r>
    </w:p>
    <w:p w14:paraId="66C52D0E" w14:textId="77777777" w:rsidR="00BD5345" w:rsidRPr="003C580E" w:rsidRDefault="001E0E7D" w:rsidP="00A21663">
      <w:pPr>
        <w:autoSpaceDE w:val="0"/>
        <w:autoSpaceDN w:val="0"/>
        <w:adjustRightInd w:val="0"/>
        <w:spacing w:after="0" w:line="312" w:lineRule="auto"/>
        <w:ind w:firstLine="709"/>
        <w:jc w:val="both"/>
        <w:rPr>
          <w:rFonts w:ascii="Times New Roman" w:hAnsi="Times New Roman" w:cs="Times New Roman"/>
          <w:bCs/>
          <w:sz w:val="28"/>
          <w:szCs w:val="28"/>
        </w:rPr>
      </w:pPr>
      <w:hyperlink r:id="rId27" w:history="1">
        <w:r w:rsidR="00BD5345" w:rsidRPr="003C580E">
          <w:rPr>
            <w:rFonts w:ascii="Times New Roman" w:hAnsi="Times New Roman" w:cs="Times New Roman"/>
            <w:sz w:val="28"/>
            <w:szCs w:val="28"/>
          </w:rPr>
          <w:t>Постановление</w:t>
        </w:r>
      </w:hyperlink>
      <w:r w:rsidR="00BD5345" w:rsidRPr="003C580E">
        <w:rPr>
          <w:rFonts w:ascii="Times New Roman" w:hAnsi="Times New Roman" w:cs="Times New Roman"/>
          <w:bCs/>
          <w:sz w:val="28"/>
          <w:szCs w:val="28"/>
        </w:rPr>
        <w:t xml:space="preserve">м Правительства Российской Федерации от 25 июня 2021 г. № 1019 введено в действие </w:t>
      </w:r>
      <w:hyperlink r:id="rId28" w:history="1">
        <w:r w:rsidR="00BD5345" w:rsidRPr="003C580E">
          <w:rPr>
            <w:rFonts w:ascii="Times New Roman" w:hAnsi="Times New Roman" w:cs="Times New Roman"/>
            <w:sz w:val="28"/>
            <w:szCs w:val="28"/>
          </w:rPr>
          <w:t>Положение</w:t>
        </w:r>
      </w:hyperlink>
      <w:r w:rsidR="00BD5345" w:rsidRPr="003C580E">
        <w:rPr>
          <w:rFonts w:ascii="Times New Roman" w:hAnsi="Times New Roman" w:cs="Times New Roman"/>
          <w:bCs/>
          <w:sz w:val="28"/>
          <w:szCs w:val="28"/>
        </w:rPr>
        <w:t xml:space="preserve">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w:t>
      </w:r>
    </w:p>
    <w:p w14:paraId="355E548B" w14:textId="77777777" w:rsidR="00BD5345" w:rsidRPr="00BD5345" w:rsidRDefault="00BD5345" w:rsidP="005A6DE9">
      <w:pPr>
        <w:autoSpaceDE w:val="0"/>
        <w:autoSpaceDN w:val="0"/>
        <w:adjustRightInd w:val="0"/>
        <w:spacing w:after="0" w:line="312" w:lineRule="auto"/>
        <w:ind w:firstLine="709"/>
        <w:jc w:val="both"/>
        <w:rPr>
          <w:rFonts w:ascii="Times New Roman" w:hAnsi="Times New Roman" w:cs="Times New Roman"/>
          <w:bCs/>
          <w:sz w:val="28"/>
          <w:szCs w:val="28"/>
        </w:rPr>
      </w:pPr>
      <w:r w:rsidRPr="003C580E">
        <w:rPr>
          <w:rFonts w:ascii="Times New Roman" w:hAnsi="Times New Roman" w:cs="Times New Roman"/>
          <w:bCs/>
          <w:sz w:val="28"/>
          <w:szCs w:val="28"/>
        </w:rPr>
        <w:t>Осуществление государственного контроля (надзора) в пределах компетенции возложено на Роскомнадзор и его территориальные органы, Рособрнадзор, Роспотребнадзор и его территориальные органы.</w:t>
      </w:r>
      <w:r w:rsidR="00F52ACF" w:rsidRPr="003C580E">
        <w:rPr>
          <w:rFonts w:ascii="Times New Roman" w:eastAsia="Times New Roman" w:hAnsi="Times New Roman" w:cs="Times New Roman"/>
          <w:sz w:val="28"/>
          <w:szCs w:val="28"/>
        </w:rPr>
        <w:t> </w:t>
      </w:r>
      <w:r w:rsidRPr="003C580E">
        <w:rPr>
          <w:rFonts w:ascii="Times New Roman" w:hAnsi="Times New Roman" w:cs="Times New Roman"/>
          <w:bCs/>
          <w:sz w:val="28"/>
          <w:szCs w:val="28"/>
        </w:rPr>
        <w:t xml:space="preserve">Определены </w:t>
      </w:r>
      <w:hyperlink r:id="rId29" w:history="1">
        <w:r w:rsidRPr="003C580E">
          <w:rPr>
            <w:rFonts w:ascii="Times New Roman" w:hAnsi="Times New Roman" w:cs="Times New Roman"/>
            <w:sz w:val="28"/>
            <w:szCs w:val="28"/>
          </w:rPr>
          <w:t>предмет</w:t>
        </w:r>
      </w:hyperlink>
      <w:r w:rsidRPr="003C580E">
        <w:rPr>
          <w:rFonts w:ascii="Times New Roman" w:hAnsi="Times New Roman" w:cs="Times New Roman"/>
          <w:bCs/>
          <w:sz w:val="28"/>
          <w:szCs w:val="28"/>
        </w:rPr>
        <w:t xml:space="preserve"> и </w:t>
      </w:r>
      <w:hyperlink r:id="rId30" w:history="1">
        <w:r w:rsidRPr="003C580E">
          <w:rPr>
            <w:rFonts w:ascii="Times New Roman" w:hAnsi="Times New Roman" w:cs="Times New Roman"/>
            <w:sz w:val="28"/>
            <w:szCs w:val="28"/>
          </w:rPr>
          <w:t>объекты</w:t>
        </w:r>
      </w:hyperlink>
      <w:r w:rsidR="005A6DE9" w:rsidRPr="003C580E">
        <w:rPr>
          <w:rFonts w:ascii="Times New Roman" w:hAnsi="Times New Roman" w:cs="Times New Roman"/>
          <w:bCs/>
          <w:sz w:val="28"/>
          <w:szCs w:val="28"/>
        </w:rPr>
        <w:t xml:space="preserve"> контроля (надзора). </w:t>
      </w:r>
      <w:r w:rsidRPr="003C580E">
        <w:rPr>
          <w:rFonts w:ascii="Times New Roman" w:hAnsi="Times New Roman" w:cs="Times New Roman"/>
          <w:bCs/>
          <w:sz w:val="28"/>
          <w:szCs w:val="28"/>
        </w:rPr>
        <w:t xml:space="preserve">Установлено, что государственный контроль (надзор) реализуется на основе управления рисками причинения вреда (ущерба) охраняемым законом ценностям. Контрольные (надзорные) органы относят объекты к одной из следующих категорий риска: значительный, средний, умеренный и низкий. Приводятся </w:t>
      </w:r>
      <w:hyperlink r:id="rId31" w:history="1">
        <w:r w:rsidRPr="003C580E">
          <w:rPr>
            <w:rFonts w:ascii="Times New Roman" w:hAnsi="Times New Roman" w:cs="Times New Roman"/>
            <w:sz w:val="28"/>
            <w:szCs w:val="28"/>
          </w:rPr>
          <w:t>критерии</w:t>
        </w:r>
      </w:hyperlink>
      <w:r w:rsidRPr="003C580E">
        <w:rPr>
          <w:rFonts w:ascii="Times New Roman" w:hAnsi="Times New Roman" w:cs="Times New Roman"/>
          <w:bCs/>
          <w:sz w:val="28"/>
          <w:szCs w:val="28"/>
        </w:rPr>
        <w:t xml:space="preserve"> отнесения объектов государственного контроля (надзора) к категориям риска.</w:t>
      </w:r>
    </w:p>
    <w:p w14:paraId="7EDE25E5" w14:textId="77777777" w:rsidR="00BD5345" w:rsidRPr="00BD5345" w:rsidRDefault="00BD5345" w:rsidP="00A21663">
      <w:pPr>
        <w:autoSpaceDE w:val="0"/>
        <w:autoSpaceDN w:val="0"/>
        <w:adjustRightInd w:val="0"/>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С целью совершенствования законодательства в сфере охраны здоровья граждан, в том числе несовершеннолетних, от потребления не по назначению закиси азота («веселящего газа») с 1 января 2021 г</w:t>
      </w:r>
      <w:r w:rsidR="003838FC">
        <w:rPr>
          <w:rFonts w:ascii="Times New Roman" w:eastAsia="Times New Roman" w:hAnsi="Times New Roman" w:cs="Times New Roman"/>
          <w:sz w:val="28"/>
          <w:szCs w:val="28"/>
        </w:rPr>
        <w:t>.</w:t>
      </w:r>
      <w:r w:rsidRPr="00BD5345">
        <w:rPr>
          <w:rFonts w:ascii="Times New Roman" w:eastAsia="Times New Roman" w:hAnsi="Times New Roman" w:cs="Times New Roman"/>
          <w:sz w:val="28"/>
          <w:szCs w:val="28"/>
        </w:rPr>
        <w:t xml:space="preserve"> на территории Российской Федерации </w:t>
      </w:r>
      <w:r w:rsidR="005A6DE9">
        <w:rPr>
          <w:rFonts w:ascii="Times New Roman" w:eastAsia="Times New Roman" w:hAnsi="Times New Roman" w:cs="Times New Roman"/>
          <w:sz w:val="28"/>
          <w:szCs w:val="28"/>
        </w:rPr>
        <w:t>введено ограничение ее оборота.</w:t>
      </w:r>
    </w:p>
    <w:p w14:paraId="2B60B462" w14:textId="77777777" w:rsidR="00BD5345" w:rsidRPr="00BD5345" w:rsidRDefault="00BD5345" w:rsidP="00A21663">
      <w:pPr>
        <w:autoSpaceDE w:val="0"/>
        <w:autoSpaceDN w:val="0"/>
        <w:adjustRightInd w:val="0"/>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В этой связи постановлением Прав</w:t>
      </w:r>
      <w:r w:rsidR="009C0CC8">
        <w:rPr>
          <w:rFonts w:ascii="Times New Roman" w:eastAsia="Times New Roman" w:hAnsi="Times New Roman" w:cs="Times New Roman"/>
          <w:sz w:val="28"/>
          <w:szCs w:val="28"/>
        </w:rPr>
        <w:t xml:space="preserve">ительства Российской Федерации </w:t>
      </w:r>
      <w:r w:rsidR="005A6DE9">
        <w:rPr>
          <w:rFonts w:ascii="Times New Roman" w:eastAsia="Times New Roman" w:hAnsi="Times New Roman" w:cs="Times New Roman"/>
          <w:sz w:val="28"/>
          <w:szCs w:val="28"/>
        </w:rPr>
        <w:br/>
      </w:r>
      <w:r w:rsidRPr="00BD5345">
        <w:rPr>
          <w:rFonts w:ascii="Times New Roman" w:eastAsia="Times New Roman" w:hAnsi="Times New Roman" w:cs="Times New Roman"/>
          <w:sz w:val="28"/>
          <w:szCs w:val="28"/>
        </w:rPr>
        <w:t>от 24 июля 2021 г. № 1259 утвержден перечень одурманивающих веществ</w:t>
      </w:r>
      <w:r w:rsidR="00FC4E44">
        <w:rPr>
          <w:rFonts w:ascii="Times New Roman" w:eastAsia="Times New Roman" w:hAnsi="Times New Roman" w:cs="Times New Roman"/>
          <w:sz w:val="28"/>
          <w:szCs w:val="28"/>
        </w:rPr>
        <w:t xml:space="preserve">, </w:t>
      </w:r>
      <w:r w:rsidRPr="00BD5345">
        <w:rPr>
          <w:rFonts w:ascii="Times New Roman" w:eastAsia="Times New Roman" w:hAnsi="Times New Roman" w:cs="Times New Roman"/>
          <w:sz w:val="28"/>
          <w:szCs w:val="28"/>
        </w:rPr>
        <w:t>в состав которого включена закись азота.</w:t>
      </w:r>
    </w:p>
    <w:p w14:paraId="37F4E68C" w14:textId="77777777" w:rsidR="00BD5345" w:rsidRPr="00BD5345" w:rsidRDefault="00BD5345" w:rsidP="00A21663">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В зоне особого контроля заинтересованных федеральных органов исполнительной власти находились вопросы обеспечения безопасности образовательной среды.</w:t>
      </w:r>
    </w:p>
    <w:p w14:paraId="493D659F" w14:textId="77777777" w:rsidR="00BD5345" w:rsidRPr="00BD5345" w:rsidRDefault="00BD5345" w:rsidP="00A21663">
      <w:pPr>
        <w:autoSpaceDE w:val="0"/>
        <w:autoSpaceDN w:val="0"/>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 xml:space="preserve">Постановлением Правительства Российской Федерации от 29 марта 2021 г. № 473 внесены изменения в требования к антитеррористической защищенности объектов (территорий) Минобрнауки России и подведомственных ему организаций, объектов (территорий). </w:t>
      </w:r>
    </w:p>
    <w:p w14:paraId="537059A8" w14:textId="77777777" w:rsidR="00BD5345" w:rsidRPr="00BD5345" w:rsidRDefault="00BD5345" w:rsidP="00A21663">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В частности, актуализированы правила установления категорий объектов (территорий), из которых исключены необходимые условия, такие как совершение террористических актов в течение 12 месяцев и прогнозируемый размер материального ущерба и ущерба окружающей природной сре</w:t>
      </w:r>
      <w:r w:rsidR="006611F9">
        <w:rPr>
          <w:rFonts w:ascii="Times New Roman" w:eastAsia="Times New Roman" w:hAnsi="Times New Roman" w:cs="Times New Roman"/>
          <w:sz w:val="28"/>
          <w:szCs w:val="28"/>
          <w:lang w:eastAsia="ru-RU"/>
        </w:rPr>
        <w:t xml:space="preserve">де </w:t>
      </w:r>
      <w:r w:rsidRPr="00BD5345">
        <w:rPr>
          <w:rFonts w:ascii="Times New Roman" w:eastAsia="Times New Roman" w:hAnsi="Times New Roman" w:cs="Times New Roman"/>
          <w:sz w:val="28"/>
          <w:szCs w:val="28"/>
          <w:lang w:eastAsia="ru-RU"/>
        </w:rPr>
        <w:t>в результате его совершения.</w:t>
      </w:r>
    </w:p>
    <w:p w14:paraId="182C5428" w14:textId="77777777" w:rsidR="00BD5345" w:rsidRPr="00BD5345" w:rsidRDefault="00BD5345" w:rsidP="00A21663">
      <w:pPr>
        <w:shd w:val="clear" w:color="auto" w:fill="FFFFFF"/>
        <w:spacing w:after="0" w:line="312" w:lineRule="auto"/>
        <w:ind w:firstLine="709"/>
        <w:jc w:val="both"/>
        <w:rPr>
          <w:rFonts w:ascii="Times New Roman" w:eastAsia="Times New Roman" w:hAnsi="Times New Roman" w:cs="Times New Roman"/>
          <w:bCs/>
          <w:sz w:val="28"/>
          <w:szCs w:val="28"/>
          <w:lang w:eastAsia="ru-RU"/>
        </w:rPr>
      </w:pPr>
      <w:r w:rsidRPr="00BD5345">
        <w:rPr>
          <w:rFonts w:ascii="Times New Roman" w:eastAsia="Times New Roman" w:hAnsi="Times New Roman" w:cs="Times New Roman"/>
          <w:sz w:val="28"/>
          <w:szCs w:val="28"/>
        </w:rPr>
        <w:t xml:space="preserve">Кроме того, в </w:t>
      </w:r>
      <w:r w:rsidRPr="00BD5345">
        <w:rPr>
          <w:rFonts w:ascii="Times New Roman" w:eastAsia="Times New Roman" w:hAnsi="Times New Roman" w:cs="Times New Roman"/>
          <w:sz w:val="28"/>
          <w:szCs w:val="28"/>
          <w:lang w:eastAsia="ru-RU"/>
        </w:rPr>
        <w:t xml:space="preserve">рамках реализации поручений Правительства Российской Федерации от 2 июня 2021 г. № ВА-П11-7053, от 25 июня 2021 г. № ТГ-П8-8382, </w:t>
      </w:r>
      <w:r w:rsidR="005A6DE9">
        <w:rPr>
          <w:rFonts w:ascii="Times New Roman" w:eastAsia="Times New Roman" w:hAnsi="Times New Roman" w:cs="Times New Roman"/>
          <w:sz w:val="28"/>
          <w:szCs w:val="28"/>
          <w:lang w:eastAsia="ru-RU"/>
        </w:rPr>
        <w:br/>
      </w:r>
      <w:r w:rsidRPr="00BD5345">
        <w:rPr>
          <w:rFonts w:ascii="Times New Roman" w:eastAsia="Times New Roman" w:hAnsi="Times New Roman" w:cs="Times New Roman"/>
          <w:sz w:val="28"/>
          <w:szCs w:val="28"/>
          <w:lang w:eastAsia="ru-RU"/>
        </w:rPr>
        <w:t>от 11 августа 2021 г. № Т</w:t>
      </w:r>
      <w:r w:rsidR="009C0CC8">
        <w:rPr>
          <w:rFonts w:ascii="Times New Roman" w:eastAsia="Times New Roman" w:hAnsi="Times New Roman" w:cs="Times New Roman"/>
          <w:sz w:val="28"/>
          <w:szCs w:val="28"/>
          <w:lang w:eastAsia="ru-RU"/>
        </w:rPr>
        <w:t xml:space="preserve">Г-П8-10880 совместными усилиями </w:t>
      </w:r>
      <w:r w:rsidRPr="00BD5345">
        <w:rPr>
          <w:rFonts w:ascii="Times New Roman" w:eastAsia="Times New Roman" w:hAnsi="Times New Roman" w:cs="Times New Roman"/>
          <w:sz w:val="28"/>
          <w:szCs w:val="28"/>
          <w:lang w:eastAsia="ru-RU"/>
        </w:rPr>
        <w:t xml:space="preserve">субъектов профилактики </w:t>
      </w:r>
      <w:r w:rsidR="006611F9">
        <w:rPr>
          <w:rFonts w:ascii="Times New Roman" w:eastAsia="Times New Roman" w:hAnsi="Times New Roman" w:cs="Times New Roman"/>
          <w:sz w:val="28"/>
          <w:szCs w:val="28"/>
          <w:lang w:eastAsia="ru-RU"/>
        </w:rPr>
        <w:t xml:space="preserve">безнадзорности и правонарушений несовершеннолетних </w:t>
      </w:r>
      <w:r w:rsidRPr="00BD5345">
        <w:rPr>
          <w:rFonts w:ascii="Times New Roman" w:eastAsia="Times New Roman" w:hAnsi="Times New Roman" w:cs="Times New Roman"/>
          <w:sz w:val="28"/>
          <w:szCs w:val="28"/>
          <w:lang w:eastAsia="ru-RU"/>
        </w:rPr>
        <w:t xml:space="preserve">прорабатывались вопросы нормативного закрепления финансирования защищенности объектов образования и формирования единого подхода к обеспечению их </w:t>
      </w:r>
      <w:r w:rsidR="006611F9">
        <w:rPr>
          <w:rFonts w:ascii="Times New Roman" w:eastAsia="Times New Roman" w:hAnsi="Times New Roman" w:cs="Times New Roman"/>
          <w:sz w:val="28"/>
          <w:szCs w:val="28"/>
          <w:lang w:eastAsia="ru-RU"/>
        </w:rPr>
        <w:t>безопасности.</w:t>
      </w:r>
    </w:p>
    <w:p w14:paraId="77A53900" w14:textId="77777777" w:rsidR="00BD5345" w:rsidRPr="00BD5345" w:rsidRDefault="00BD5345" w:rsidP="00A21663">
      <w:pPr>
        <w:spacing w:after="0" w:line="312" w:lineRule="auto"/>
        <w:ind w:firstLine="708"/>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В целях актуализации требований к антитеррористической защищенности объектов (территорий) Минпросвещения России, утвержденных постановлением Правительства Российской Федерации от 2 августа 2019 г. № 1006, на площадке Минпросвещения России сформирована межведомственная рабочая группа.</w:t>
      </w:r>
    </w:p>
    <w:p w14:paraId="1888B73A" w14:textId="77777777" w:rsidR="00BD5345" w:rsidRPr="00BD5345" w:rsidRDefault="00BD5345" w:rsidP="00586F82">
      <w:pPr>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Повышение уровня защищенности объектов образования во многом зависит от развития технических средств обеспечения безопасности, в том числе систем видеонаблюдения.</w:t>
      </w:r>
      <w:r w:rsidR="005A6DE9" w:rsidRPr="00BD5345">
        <w:rPr>
          <w:rFonts w:ascii="Times New Roman" w:eastAsia="Times New Roman" w:hAnsi="Times New Roman" w:cs="Times New Roman"/>
          <w:sz w:val="28"/>
          <w:szCs w:val="28"/>
        </w:rPr>
        <w:t> </w:t>
      </w:r>
      <w:r w:rsidRPr="00BD5345">
        <w:rPr>
          <w:rFonts w:ascii="Times New Roman" w:eastAsia="Times New Roman" w:hAnsi="Times New Roman" w:cs="Times New Roman"/>
          <w:sz w:val="28"/>
          <w:szCs w:val="28"/>
          <w:lang w:eastAsia="ru-RU"/>
        </w:rPr>
        <w:t>Наиболее перспективным на сегодняшний день видится оборудование учебных заведений видеокамерами с функциями распознавания лиц аппаратно-программного комплекса «Безопасный город».</w:t>
      </w:r>
    </w:p>
    <w:p w14:paraId="4FE9FA38" w14:textId="77777777" w:rsidR="00BD5345" w:rsidRPr="00BD5345" w:rsidRDefault="00BD5345" w:rsidP="00A21663">
      <w:pPr>
        <w:spacing w:after="0" w:line="312" w:lineRule="auto"/>
        <w:ind w:firstLine="708"/>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Наличие названной системы на объектах сферы образования позволит повысить уровень защищенности обучающихся, своевременно выявлять угрозы нападения, фиксировать и пресекать факты нахождения вблизи учебных заведений лиц, представляющих потенциальную опасность, в том числе находящихся по решению суда под административным надзором, осуществляемом органами внутренних дел, отбывших наказание за совершение преступлений, связанных с экстремисткой и террористической деятельностью, а также против половой неприкос</w:t>
      </w:r>
      <w:r w:rsidR="00CA5E0D">
        <w:rPr>
          <w:rFonts w:ascii="Times New Roman" w:eastAsia="Times New Roman" w:hAnsi="Times New Roman" w:cs="Times New Roman"/>
          <w:sz w:val="28"/>
          <w:szCs w:val="28"/>
          <w:lang w:eastAsia="ru-RU"/>
        </w:rPr>
        <w:t>новенности несовершеннолетних.</w:t>
      </w:r>
    </w:p>
    <w:p w14:paraId="5E31217D" w14:textId="77777777" w:rsidR="00BD5345" w:rsidRPr="00BD5345" w:rsidRDefault="00BD5345" w:rsidP="00CA5E0D">
      <w:pPr>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Деятельность по профилактике безнадзорности и правонарушений несовершеннолетних, совершения в отношении них противоправных деяний носит межведомственный характер.</w:t>
      </w:r>
      <w:r w:rsidR="005A6DE9" w:rsidRPr="00BD5345">
        <w:rPr>
          <w:rFonts w:ascii="Times New Roman" w:eastAsia="Times New Roman" w:hAnsi="Times New Roman" w:cs="Times New Roman"/>
          <w:sz w:val="28"/>
          <w:szCs w:val="28"/>
        </w:rPr>
        <w:t> </w:t>
      </w:r>
      <w:r w:rsidRPr="00BD5345">
        <w:rPr>
          <w:rFonts w:ascii="Times New Roman" w:eastAsia="Times New Roman" w:hAnsi="Times New Roman" w:cs="Times New Roman"/>
          <w:sz w:val="28"/>
          <w:szCs w:val="28"/>
        </w:rPr>
        <w:t xml:space="preserve">В целях повышения уровня взаимодействия субъектов системы профилактики </w:t>
      </w:r>
      <w:r w:rsidR="00CA5E0D">
        <w:rPr>
          <w:rFonts w:ascii="Times New Roman" w:eastAsia="Times New Roman" w:hAnsi="Times New Roman" w:cs="Times New Roman"/>
          <w:sz w:val="28"/>
          <w:szCs w:val="28"/>
        </w:rPr>
        <w:t xml:space="preserve">безнадзорности и правонарушений несовершеннолетних </w:t>
      </w:r>
      <w:r w:rsidRPr="00BD5345">
        <w:rPr>
          <w:rFonts w:ascii="Times New Roman" w:eastAsia="Times New Roman" w:hAnsi="Times New Roman" w:cs="Times New Roman"/>
          <w:sz w:val="28"/>
          <w:szCs w:val="28"/>
        </w:rPr>
        <w:t>в сфере защиты детства в субъектах Российской Федерации принимаются различные региональные программы.</w:t>
      </w:r>
    </w:p>
    <w:p w14:paraId="1DDEAEE0" w14:textId="77777777" w:rsidR="00BD5345" w:rsidRPr="00BD5345" w:rsidRDefault="00BD5345" w:rsidP="00A21663">
      <w:pPr>
        <w:widowControl w:val="0"/>
        <w:shd w:val="clear" w:color="auto" w:fill="FFFFFF"/>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Согласно результатам проведенного в 2021 г</w:t>
      </w:r>
      <w:r w:rsidR="00C23B47">
        <w:rPr>
          <w:rFonts w:ascii="Times New Roman" w:eastAsia="Times New Roman" w:hAnsi="Times New Roman" w:cs="Times New Roman"/>
          <w:sz w:val="28"/>
          <w:szCs w:val="28"/>
        </w:rPr>
        <w:t>.</w:t>
      </w:r>
      <w:r w:rsidRPr="00BD5345">
        <w:rPr>
          <w:rFonts w:ascii="Times New Roman" w:eastAsia="Times New Roman" w:hAnsi="Times New Roman" w:cs="Times New Roman"/>
          <w:sz w:val="28"/>
          <w:szCs w:val="28"/>
        </w:rPr>
        <w:t xml:space="preserve"> Минпросвещения России мониторинга </w:t>
      </w:r>
      <w:r w:rsidR="00CA5E0D">
        <w:rPr>
          <w:rFonts w:ascii="Times New Roman" w:eastAsia="Times New Roman" w:hAnsi="Times New Roman" w:cs="Times New Roman"/>
          <w:sz w:val="28"/>
          <w:szCs w:val="28"/>
        </w:rPr>
        <w:t>в целях</w:t>
      </w:r>
      <w:r w:rsidRPr="00BD5345">
        <w:rPr>
          <w:rFonts w:ascii="Times New Roman" w:eastAsia="Times New Roman" w:hAnsi="Times New Roman" w:cs="Times New Roman"/>
          <w:sz w:val="28"/>
          <w:szCs w:val="28"/>
        </w:rPr>
        <w:t xml:space="preserve"> выработки комплексного подхода к координации деятельности органов и </w:t>
      </w:r>
      <w:r w:rsidR="00CA5E0D">
        <w:rPr>
          <w:rFonts w:ascii="Times New Roman" w:eastAsia="Times New Roman" w:hAnsi="Times New Roman" w:cs="Times New Roman"/>
          <w:sz w:val="28"/>
          <w:szCs w:val="28"/>
        </w:rPr>
        <w:t>учреждений системы профилактики</w:t>
      </w:r>
      <w:r w:rsidR="00A76C70" w:rsidRPr="00BD5345">
        <w:rPr>
          <w:rFonts w:ascii="Times New Roman" w:eastAsia="Times New Roman" w:hAnsi="Times New Roman" w:cs="Times New Roman"/>
          <w:sz w:val="28"/>
          <w:szCs w:val="28"/>
        </w:rPr>
        <w:t> </w:t>
      </w:r>
      <w:r w:rsidR="00CA5E0D">
        <w:rPr>
          <w:rFonts w:ascii="Times New Roman" w:eastAsia="Times New Roman" w:hAnsi="Times New Roman" w:cs="Times New Roman"/>
          <w:sz w:val="28"/>
          <w:szCs w:val="28"/>
        </w:rPr>
        <w:t xml:space="preserve">безнадзорности и правонарушений несовершеннолетних </w:t>
      </w:r>
      <w:r w:rsidRPr="00BD5345">
        <w:rPr>
          <w:rFonts w:ascii="Times New Roman" w:eastAsia="Times New Roman" w:hAnsi="Times New Roman" w:cs="Times New Roman"/>
          <w:sz w:val="28"/>
          <w:szCs w:val="28"/>
        </w:rPr>
        <w:t xml:space="preserve">в 10 субъектах Российской Федерации </w:t>
      </w:r>
      <w:r w:rsidR="005E0D99" w:rsidRPr="00BD5345">
        <w:rPr>
          <w:rFonts w:ascii="Times New Roman" w:eastAsia="Times New Roman" w:hAnsi="Times New Roman" w:cs="Times New Roman"/>
          <w:sz w:val="28"/>
          <w:szCs w:val="28"/>
        </w:rPr>
        <w:t xml:space="preserve">(11,8%) </w:t>
      </w:r>
      <w:r w:rsidRPr="00BD5345">
        <w:rPr>
          <w:rFonts w:ascii="Times New Roman" w:eastAsia="Times New Roman" w:hAnsi="Times New Roman" w:cs="Times New Roman"/>
          <w:sz w:val="28"/>
          <w:szCs w:val="28"/>
        </w:rPr>
        <w:t>разработаны и реализуются соответствующие региональные (целевые) программы (</w:t>
      </w:r>
      <w:r w:rsidR="005E0D99">
        <w:rPr>
          <w:rFonts w:ascii="Times New Roman" w:eastAsia="Times New Roman" w:hAnsi="Times New Roman" w:cs="Times New Roman"/>
          <w:sz w:val="28"/>
          <w:szCs w:val="28"/>
        </w:rPr>
        <w:t>Р</w:t>
      </w:r>
      <w:r w:rsidRPr="00BD5345">
        <w:rPr>
          <w:rFonts w:ascii="Times New Roman" w:eastAsia="Times New Roman" w:hAnsi="Times New Roman" w:cs="Times New Roman"/>
          <w:sz w:val="28"/>
          <w:szCs w:val="28"/>
        </w:rPr>
        <w:t>еспублики Бурятия и Тыва, Забайкальский край, Ивановская область, Кемеровская область – Кузбасс, Новгородская, Омская, Орловская, Свердловская, Челябинская области), из них в Забайкальском крае и Челябинской области мероприятия, включенные в программы, не предусматривают</w:t>
      </w:r>
      <w:r w:rsidR="00D83EB6">
        <w:rPr>
          <w:rFonts w:ascii="Times New Roman" w:eastAsia="Times New Roman" w:hAnsi="Times New Roman" w:cs="Times New Roman"/>
          <w:sz w:val="28"/>
          <w:szCs w:val="28"/>
        </w:rPr>
        <w:t xml:space="preserve"> финансового</w:t>
      </w:r>
      <w:r w:rsidRPr="00BD5345">
        <w:rPr>
          <w:rFonts w:ascii="Times New Roman" w:eastAsia="Times New Roman" w:hAnsi="Times New Roman" w:cs="Times New Roman"/>
          <w:sz w:val="28"/>
          <w:szCs w:val="28"/>
        </w:rPr>
        <w:t xml:space="preserve"> обеспечение.</w:t>
      </w:r>
    </w:p>
    <w:p w14:paraId="02E78186" w14:textId="77777777" w:rsidR="00BD5345" w:rsidRPr="00BD5345" w:rsidRDefault="00BD5345" w:rsidP="00A21663">
      <w:pPr>
        <w:widowControl w:val="0"/>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Мероприятия в рамках региональных программ реализовывались по таким направлениям, как профилактика повторных и групповых правонарушений несовершеннолетних, совершенствование межведомственного взаимодействия органов и учреждений системы профилактики безнадзорности и правонарушений несовершеннолетних, обеспечение их безопасности, в том числе информационной, организация досуга и занятости подростков, состоящих на различных видах профилактического учета, повышение квалификации педагогических работников в сфере воспитания и профилактики правонарушений среди несовершеннолетних, повышение правовой грамотности, патриотическое воспитание детей, методическое обеспечение профилактической работы, создание условий для формирования у подростков позитивных жизненных установок, навыков здорового образа жизни.</w:t>
      </w:r>
    </w:p>
    <w:p w14:paraId="0660A35C" w14:textId="77777777" w:rsidR="00BD5345" w:rsidRPr="00BD5345" w:rsidRDefault="00BD5345" w:rsidP="00A21663">
      <w:pPr>
        <w:widowControl w:val="0"/>
        <w:shd w:val="clear" w:color="auto" w:fill="FFFFFF"/>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В 15 субъектах Российской Федерации</w:t>
      </w:r>
      <w:r w:rsidR="00CA4BA4" w:rsidRPr="00BD5345">
        <w:rPr>
          <w:rFonts w:ascii="Times New Roman" w:eastAsia="Times New Roman" w:hAnsi="Times New Roman" w:cs="Times New Roman"/>
          <w:sz w:val="28"/>
          <w:szCs w:val="28"/>
        </w:rPr>
        <w:t> </w:t>
      </w:r>
      <w:r w:rsidR="005E0D99" w:rsidRPr="00BD5345">
        <w:rPr>
          <w:rFonts w:ascii="Times New Roman" w:eastAsia="Times New Roman" w:hAnsi="Times New Roman" w:cs="Times New Roman"/>
          <w:sz w:val="28"/>
          <w:szCs w:val="28"/>
        </w:rPr>
        <w:t xml:space="preserve">(17,6%) </w:t>
      </w:r>
      <w:r w:rsidRPr="00BD5345">
        <w:rPr>
          <w:rFonts w:ascii="Times New Roman" w:eastAsia="Times New Roman" w:hAnsi="Times New Roman" w:cs="Times New Roman"/>
          <w:sz w:val="28"/>
          <w:szCs w:val="28"/>
        </w:rPr>
        <w:t>подпрограммы «Профилактика правонарушений сред</w:t>
      </w:r>
      <w:r w:rsidR="009C0CC8">
        <w:rPr>
          <w:rFonts w:ascii="Times New Roman" w:eastAsia="Times New Roman" w:hAnsi="Times New Roman" w:cs="Times New Roman"/>
          <w:sz w:val="28"/>
          <w:szCs w:val="28"/>
        </w:rPr>
        <w:t xml:space="preserve">и несовершеннолетних» включены </w:t>
      </w:r>
      <w:r w:rsidRPr="00BD5345">
        <w:rPr>
          <w:rFonts w:ascii="Times New Roman" w:eastAsia="Times New Roman" w:hAnsi="Times New Roman" w:cs="Times New Roman"/>
          <w:sz w:val="28"/>
          <w:szCs w:val="28"/>
        </w:rPr>
        <w:t>в региональные государственные программы по профилактике преступности, правонарушений, в том числе терроризма, экстремизма и противодействия незаконному обороту наркотических средств, укреплению общественного порядка и общественной безопасности, предупреждению чрезвычайных ситуаций, обеспечению благополучия населения (</w:t>
      </w:r>
      <w:r w:rsidR="005E0D99">
        <w:rPr>
          <w:rFonts w:ascii="Times New Roman" w:eastAsia="Times New Roman" w:hAnsi="Times New Roman" w:cs="Times New Roman"/>
          <w:sz w:val="28"/>
          <w:szCs w:val="28"/>
        </w:rPr>
        <w:t>Р</w:t>
      </w:r>
      <w:r w:rsidRPr="00BD5345">
        <w:rPr>
          <w:rFonts w:ascii="Times New Roman" w:eastAsia="Times New Roman" w:hAnsi="Times New Roman" w:cs="Times New Roman"/>
          <w:sz w:val="28"/>
          <w:szCs w:val="28"/>
        </w:rPr>
        <w:t>еспублики Дагестан, Татарстан, Чеченская Республика, Ставропольский край, Белгородская, Вологодская, Курская области и иные).</w:t>
      </w:r>
    </w:p>
    <w:p w14:paraId="4467C44F" w14:textId="77777777" w:rsidR="00BD5345" w:rsidRPr="00BD5345" w:rsidRDefault="00BD5345" w:rsidP="00A21663">
      <w:pPr>
        <w:widowControl w:val="0"/>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В 72 субъектах Российской Федерации</w:t>
      </w:r>
      <w:r w:rsidR="00CA4BA4" w:rsidRPr="00BD5345">
        <w:rPr>
          <w:rFonts w:ascii="Times New Roman" w:eastAsia="Times New Roman" w:hAnsi="Times New Roman" w:cs="Times New Roman"/>
          <w:sz w:val="28"/>
          <w:szCs w:val="28"/>
        </w:rPr>
        <w:t> </w:t>
      </w:r>
      <w:r w:rsidR="005E0D99" w:rsidRPr="00BD5345">
        <w:rPr>
          <w:rFonts w:ascii="Times New Roman" w:eastAsia="Times New Roman" w:hAnsi="Times New Roman" w:cs="Times New Roman"/>
          <w:sz w:val="28"/>
          <w:szCs w:val="28"/>
        </w:rPr>
        <w:t>(84,7%)</w:t>
      </w:r>
      <w:r w:rsidRPr="00BD5345">
        <w:rPr>
          <w:rFonts w:ascii="Times New Roman" w:eastAsia="Times New Roman" w:hAnsi="Times New Roman" w:cs="Times New Roman"/>
          <w:sz w:val="28"/>
          <w:szCs w:val="28"/>
        </w:rPr>
        <w:t xml:space="preserve"> 165 региональных программ предусматривают отдельные мероприятия по профилактике безнадзорности и правонарушений несовершеннолетних.</w:t>
      </w:r>
    </w:p>
    <w:p w14:paraId="5BE2EAE5" w14:textId="51298129" w:rsidR="00BD5345" w:rsidRPr="00BD5345" w:rsidRDefault="00BD5345" w:rsidP="00A21663">
      <w:pPr>
        <w:widowControl w:val="0"/>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Профилактические мероприятия, в том числе по формированию ответственного поведения, чувства патриотизма, толер</w:t>
      </w:r>
      <w:r w:rsidR="009C0CC8">
        <w:rPr>
          <w:rFonts w:ascii="Times New Roman" w:eastAsia="Times New Roman" w:hAnsi="Times New Roman" w:cs="Times New Roman"/>
          <w:sz w:val="28"/>
          <w:szCs w:val="28"/>
        </w:rPr>
        <w:t xml:space="preserve">антного отношения </w:t>
      </w:r>
      <w:r w:rsidRPr="00BD5345">
        <w:rPr>
          <w:rFonts w:ascii="Times New Roman" w:eastAsia="Times New Roman" w:hAnsi="Times New Roman" w:cs="Times New Roman"/>
          <w:sz w:val="28"/>
          <w:szCs w:val="28"/>
        </w:rPr>
        <w:t>к окружающим, законопослушного поведения, обеспечению безопасности несовершеннолетних, проводятся в рамка</w:t>
      </w:r>
      <w:r w:rsidR="009C0CC8">
        <w:rPr>
          <w:rFonts w:ascii="Times New Roman" w:eastAsia="Times New Roman" w:hAnsi="Times New Roman" w:cs="Times New Roman"/>
          <w:sz w:val="28"/>
          <w:szCs w:val="28"/>
        </w:rPr>
        <w:t xml:space="preserve">х 1 466 муниципальных программ </w:t>
      </w:r>
      <w:r w:rsidRPr="00BD5345">
        <w:rPr>
          <w:rFonts w:ascii="Times New Roman" w:eastAsia="Times New Roman" w:hAnsi="Times New Roman" w:cs="Times New Roman"/>
          <w:sz w:val="28"/>
          <w:szCs w:val="28"/>
        </w:rPr>
        <w:t xml:space="preserve">в 69 </w:t>
      </w:r>
      <w:r w:rsidR="000A6D9F">
        <w:rPr>
          <w:rFonts w:ascii="Times New Roman" w:eastAsia="Times New Roman" w:hAnsi="Times New Roman" w:cs="Times New Roman"/>
          <w:sz w:val="28"/>
          <w:szCs w:val="28"/>
        </w:rPr>
        <w:t xml:space="preserve">субъектах </w:t>
      </w:r>
      <w:r w:rsidRPr="00BD5345">
        <w:rPr>
          <w:rFonts w:ascii="Times New Roman" w:eastAsia="Times New Roman" w:hAnsi="Times New Roman" w:cs="Times New Roman"/>
          <w:sz w:val="28"/>
          <w:szCs w:val="28"/>
        </w:rPr>
        <w:t>Российской Федерации</w:t>
      </w:r>
      <w:r w:rsidR="00CA4BA4" w:rsidRPr="00BD5345">
        <w:rPr>
          <w:rFonts w:ascii="Times New Roman" w:eastAsia="Times New Roman" w:hAnsi="Times New Roman" w:cs="Times New Roman"/>
          <w:sz w:val="28"/>
          <w:szCs w:val="28"/>
        </w:rPr>
        <w:t> </w:t>
      </w:r>
      <w:r w:rsidR="000A6D9F" w:rsidRPr="00BD5345">
        <w:rPr>
          <w:rFonts w:ascii="Times New Roman" w:eastAsia="Times New Roman" w:hAnsi="Times New Roman" w:cs="Times New Roman"/>
          <w:sz w:val="28"/>
          <w:szCs w:val="28"/>
        </w:rPr>
        <w:t>(81,2%)</w:t>
      </w:r>
      <w:r w:rsidRPr="00BD5345">
        <w:rPr>
          <w:rFonts w:ascii="Times New Roman" w:eastAsia="Times New Roman" w:hAnsi="Times New Roman" w:cs="Times New Roman"/>
          <w:sz w:val="28"/>
          <w:szCs w:val="28"/>
        </w:rPr>
        <w:t>.</w:t>
      </w:r>
    </w:p>
    <w:p w14:paraId="2B5A4CCD" w14:textId="77777777" w:rsidR="00BD5345" w:rsidRPr="00BD5345" w:rsidRDefault="00BD5345" w:rsidP="00A21663">
      <w:pPr>
        <w:widowControl w:val="0"/>
        <w:autoSpaceDE w:val="0"/>
        <w:autoSpaceDN w:val="0"/>
        <w:spacing w:after="0" w:line="312" w:lineRule="auto"/>
        <w:ind w:firstLine="709"/>
        <w:jc w:val="both"/>
        <w:rPr>
          <w:rFonts w:ascii="Times New Roman" w:eastAsia="Times New Roman" w:hAnsi="Times New Roman" w:cs="Times New Roman"/>
          <w:bCs/>
          <w:iCs/>
          <w:sz w:val="28"/>
          <w:szCs w:val="28"/>
          <w:lang w:eastAsia="ru-RU"/>
        </w:rPr>
      </w:pPr>
      <w:r w:rsidRPr="00BD5345">
        <w:rPr>
          <w:rFonts w:ascii="Times New Roman" w:eastAsia="Times New Roman" w:hAnsi="Times New Roman" w:cs="Times New Roman"/>
          <w:sz w:val="28"/>
          <w:szCs w:val="28"/>
          <w:lang w:eastAsia="ru-RU"/>
        </w:rPr>
        <w:t xml:space="preserve">В ходе выполнения </w:t>
      </w:r>
      <w:r w:rsidRPr="00BD5345">
        <w:rPr>
          <w:rFonts w:ascii="Times New Roman" w:eastAsia="Times New Roman" w:hAnsi="Times New Roman" w:cs="Times New Roman"/>
          <w:bCs/>
          <w:sz w:val="28"/>
          <w:szCs w:val="28"/>
          <w:lang w:eastAsia="ru-RU"/>
        </w:rPr>
        <w:t>Плана мероприятий по реализации Концепции развития системы профилактики в 2021 г</w:t>
      </w:r>
      <w:r w:rsidR="00C23B47">
        <w:rPr>
          <w:rFonts w:ascii="Times New Roman" w:eastAsia="Times New Roman" w:hAnsi="Times New Roman" w:cs="Times New Roman"/>
          <w:bCs/>
          <w:sz w:val="28"/>
          <w:szCs w:val="28"/>
          <w:lang w:eastAsia="ru-RU"/>
        </w:rPr>
        <w:t>.</w:t>
      </w:r>
      <w:r w:rsidRPr="00BD5345">
        <w:rPr>
          <w:rFonts w:ascii="Times New Roman" w:eastAsia="Times New Roman" w:hAnsi="Times New Roman" w:cs="Times New Roman"/>
          <w:bCs/>
          <w:sz w:val="28"/>
          <w:szCs w:val="28"/>
          <w:lang w:eastAsia="ru-RU"/>
        </w:rPr>
        <w:t xml:space="preserve"> </w:t>
      </w:r>
      <w:r w:rsidRPr="00BD5345">
        <w:rPr>
          <w:rFonts w:ascii="Times New Roman" w:eastAsia="Times New Roman" w:hAnsi="Times New Roman" w:cs="Times New Roman"/>
          <w:sz w:val="28"/>
          <w:szCs w:val="28"/>
          <w:lang w:eastAsia="ru-RU"/>
        </w:rPr>
        <w:t xml:space="preserve">в субъектах Российской Федерации принимались меры по </w:t>
      </w:r>
      <w:r w:rsidRPr="00BD5345">
        <w:rPr>
          <w:rFonts w:ascii="Times New Roman" w:eastAsia="Times New Roman" w:hAnsi="Times New Roman" w:cs="Times New Roman"/>
          <w:bCs/>
          <w:iCs/>
          <w:sz w:val="28"/>
          <w:szCs w:val="28"/>
          <w:lang w:eastAsia="ru-RU"/>
        </w:rPr>
        <w:t>разработке и выполнению:</w:t>
      </w:r>
    </w:p>
    <w:p w14:paraId="424126BE" w14:textId="77777777" w:rsidR="00BD5345" w:rsidRPr="00BD5345" w:rsidRDefault="00BD5345" w:rsidP="00A21663">
      <w:pPr>
        <w:widowControl w:val="0"/>
        <w:autoSpaceDE w:val="0"/>
        <w:autoSpaceDN w:val="0"/>
        <w:spacing w:after="0" w:line="312" w:lineRule="auto"/>
        <w:ind w:firstLine="709"/>
        <w:jc w:val="both"/>
        <w:rPr>
          <w:rFonts w:ascii="Times New Roman" w:eastAsia="Times New Roman" w:hAnsi="Times New Roman" w:cs="Times New Roman"/>
          <w:bCs/>
          <w:iCs/>
          <w:sz w:val="28"/>
          <w:szCs w:val="28"/>
          <w:lang w:eastAsia="ru-RU"/>
        </w:rPr>
      </w:pPr>
      <w:r w:rsidRPr="00BD5345">
        <w:rPr>
          <w:rFonts w:ascii="Times New Roman" w:eastAsia="Times New Roman" w:hAnsi="Times New Roman" w:cs="Times New Roman"/>
          <w:bCs/>
          <w:iCs/>
          <w:sz w:val="28"/>
          <w:szCs w:val="28"/>
          <w:lang w:eastAsia="ru-RU"/>
        </w:rPr>
        <w:t>программ по поддержке молодежных и подростковых общественных организаций, волонтерского движения, трудоустройству несовершеннолетних, в том числе находящихся в социально опас</w:t>
      </w:r>
      <w:r w:rsidR="000A6D9F">
        <w:rPr>
          <w:rFonts w:ascii="Times New Roman" w:eastAsia="Times New Roman" w:hAnsi="Times New Roman" w:cs="Times New Roman"/>
          <w:bCs/>
          <w:iCs/>
          <w:sz w:val="28"/>
          <w:szCs w:val="28"/>
          <w:lang w:eastAsia="ru-RU"/>
        </w:rPr>
        <w:t xml:space="preserve">ном положении, развитию спорта </w:t>
      </w:r>
      <w:r w:rsidRPr="00BD5345">
        <w:rPr>
          <w:rFonts w:ascii="Times New Roman" w:eastAsia="Times New Roman" w:hAnsi="Times New Roman" w:cs="Times New Roman"/>
          <w:bCs/>
          <w:iCs/>
          <w:sz w:val="28"/>
          <w:szCs w:val="28"/>
          <w:lang w:eastAsia="ru-RU"/>
        </w:rPr>
        <w:t>и пропаганде здорового образа жизни, духовно-нравственному воспитанию подрастающего поколения (пункт 16);</w:t>
      </w:r>
    </w:p>
    <w:p w14:paraId="587831CC" w14:textId="77777777" w:rsidR="00BD5345" w:rsidRPr="00BD5345" w:rsidRDefault="00BD5345" w:rsidP="00A21663">
      <w:pPr>
        <w:widowControl w:val="0"/>
        <w:autoSpaceDE w:val="0"/>
        <w:autoSpaceDN w:val="0"/>
        <w:spacing w:after="0" w:line="312" w:lineRule="auto"/>
        <w:ind w:firstLine="709"/>
        <w:jc w:val="both"/>
        <w:rPr>
          <w:rFonts w:ascii="Times New Roman" w:eastAsia="Times New Roman" w:hAnsi="Times New Roman" w:cs="Times New Roman"/>
          <w:bCs/>
          <w:sz w:val="28"/>
          <w:szCs w:val="28"/>
          <w:lang w:eastAsia="ru-RU"/>
        </w:rPr>
      </w:pPr>
      <w:r w:rsidRPr="00BD5345">
        <w:rPr>
          <w:rFonts w:ascii="Times New Roman" w:eastAsia="Times New Roman" w:hAnsi="Times New Roman" w:cs="Times New Roman"/>
          <w:bCs/>
          <w:sz w:val="28"/>
          <w:szCs w:val="28"/>
          <w:lang w:eastAsia="ru-RU"/>
        </w:rPr>
        <w:t>комплексных социально-психолог</w:t>
      </w:r>
      <w:r w:rsidR="009C0CC8">
        <w:rPr>
          <w:rFonts w:ascii="Times New Roman" w:eastAsia="Times New Roman" w:hAnsi="Times New Roman" w:cs="Times New Roman"/>
          <w:bCs/>
          <w:sz w:val="28"/>
          <w:szCs w:val="28"/>
          <w:lang w:eastAsia="ru-RU"/>
        </w:rPr>
        <w:t xml:space="preserve">ических программ, направленных </w:t>
      </w:r>
      <w:r w:rsidRPr="00BD5345">
        <w:rPr>
          <w:rFonts w:ascii="Times New Roman" w:eastAsia="Times New Roman" w:hAnsi="Times New Roman" w:cs="Times New Roman"/>
          <w:bCs/>
          <w:sz w:val="28"/>
          <w:szCs w:val="28"/>
          <w:lang w:eastAsia="ru-RU"/>
        </w:rPr>
        <w:t xml:space="preserve">на реабилитацию и </w:t>
      </w:r>
      <w:proofErr w:type="spellStart"/>
      <w:r w:rsidRPr="00BD5345">
        <w:rPr>
          <w:rFonts w:ascii="Times New Roman" w:eastAsia="Times New Roman" w:hAnsi="Times New Roman" w:cs="Times New Roman"/>
          <w:bCs/>
          <w:sz w:val="28"/>
          <w:szCs w:val="28"/>
          <w:lang w:eastAsia="ru-RU"/>
        </w:rPr>
        <w:t>ресоциализацию</w:t>
      </w:r>
      <w:proofErr w:type="spellEnd"/>
      <w:r w:rsidRPr="00BD5345">
        <w:rPr>
          <w:rFonts w:ascii="Times New Roman" w:eastAsia="Times New Roman" w:hAnsi="Times New Roman" w:cs="Times New Roman"/>
          <w:bCs/>
          <w:sz w:val="28"/>
          <w:szCs w:val="28"/>
          <w:lang w:eastAsia="ru-RU"/>
        </w:rPr>
        <w:t xml:space="preserve"> несове</w:t>
      </w:r>
      <w:r w:rsidR="009C0CC8">
        <w:rPr>
          <w:rFonts w:ascii="Times New Roman" w:eastAsia="Times New Roman" w:hAnsi="Times New Roman" w:cs="Times New Roman"/>
          <w:bCs/>
          <w:sz w:val="28"/>
          <w:szCs w:val="28"/>
          <w:lang w:eastAsia="ru-RU"/>
        </w:rPr>
        <w:t xml:space="preserve">ршеннолетних правонарушителей, </w:t>
      </w:r>
      <w:r w:rsidRPr="00BD5345">
        <w:rPr>
          <w:rFonts w:ascii="Times New Roman" w:eastAsia="Times New Roman" w:hAnsi="Times New Roman" w:cs="Times New Roman"/>
          <w:bCs/>
          <w:sz w:val="28"/>
          <w:szCs w:val="28"/>
          <w:lang w:eastAsia="ru-RU"/>
        </w:rPr>
        <w:t xml:space="preserve">в том числе состоящих на учете в учреждениях уголовно-исполнительной системы </w:t>
      </w:r>
      <w:r w:rsidR="00CA4BA4">
        <w:rPr>
          <w:rFonts w:ascii="Times New Roman" w:eastAsia="Times New Roman" w:hAnsi="Times New Roman" w:cs="Times New Roman"/>
          <w:bCs/>
          <w:sz w:val="28"/>
          <w:szCs w:val="28"/>
          <w:lang w:eastAsia="ru-RU"/>
        </w:rPr>
        <w:br/>
      </w:r>
      <w:r w:rsidRPr="00BD5345">
        <w:rPr>
          <w:rFonts w:ascii="Times New Roman" w:eastAsia="Times New Roman" w:hAnsi="Times New Roman" w:cs="Times New Roman"/>
          <w:bCs/>
          <w:sz w:val="28"/>
          <w:szCs w:val="28"/>
          <w:lang w:eastAsia="ru-RU"/>
        </w:rPr>
        <w:t>(пункт 17);</w:t>
      </w:r>
    </w:p>
    <w:p w14:paraId="161B32BB" w14:textId="77777777" w:rsidR="00BD5345" w:rsidRPr="00BD5345" w:rsidRDefault="00BD5345" w:rsidP="00A21663">
      <w:pPr>
        <w:autoSpaceDE w:val="0"/>
        <w:autoSpaceDN w:val="0"/>
        <w:spacing w:after="0" w:line="312" w:lineRule="auto"/>
        <w:ind w:firstLine="709"/>
        <w:jc w:val="both"/>
        <w:rPr>
          <w:rFonts w:ascii="Times New Roman" w:eastAsia="Times New Roman" w:hAnsi="Times New Roman" w:cs="Times New Roman"/>
          <w:sz w:val="28"/>
          <w:szCs w:val="28"/>
          <w:lang w:eastAsia="ru-RU"/>
        </w:rPr>
      </w:pPr>
      <w:r w:rsidRPr="000A5785">
        <w:rPr>
          <w:rFonts w:ascii="Times New Roman" w:eastAsia="Times New Roman" w:hAnsi="Times New Roman" w:cs="Times New Roman"/>
          <w:sz w:val="28"/>
          <w:szCs w:val="28"/>
          <w:lang w:eastAsia="ru-RU"/>
        </w:rPr>
        <w:t>региональных программ по разви</w:t>
      </w:r>
      <w:r w:rsidR="0075350D" w:rsidRPr="000A5785">
        <w:rPr>
          <w:rFonts w:ascii="Times New Roman" w:eastAsia="Times New Roman" w:hAnsi="Times New Roman" w:cs="Times New Roman"/>
          <w:sz w:val="28"/>
          <w:szCs w:val="28"/>
          <w:lang w:eastAsia="ru-RU"/>
        </w:rPr>
        <w:t xml:space="preserve">тию системы внешкольной работы </w:t>
      </w:r>
      <w:r w:rsidRPr="000A5785">
        <w:rPr>
          <w:rFonts w:ascii="Times New Roman" w:eastAsia="Times New Roman" w:hAnsi="Times New Roman" w:cs="Times New Roman"/>
          <w:sz w:val="28"/>
          <w:szCs w:val="28"/>
          <w:lang w:eastAsia="ru-RU"/>
        </w:rPr>
        <w:t>с несовершеннолетними, сети учреждений</w:t>
      </w:r>
      <w:r w:rsidRPr="00BD5345">
        <w:rPr>
          <w:rFonts w:ascii="Times New Roman" w:eastAsia="Times New Roman" w:hAnsi="Times New Roman" w:cs="Times New Roman"/>
          <w:sz w:val="28"/>
          <w:szCs w:val="28"/>
          <w:lang w:eastAsia="ru-RU"/>
        </w:rPr>
        <w:t xml:space="preserve"> дополните</w:t>
      </w:r>
      <w:r w:rsidR="0075350D">
        <w:rPr>
          <w:rFonts w:ascii="Times New Roman" w:eastAsia="Times New Roman" w:hAnsi="Times New Roman" w:cs="Times New Roman"/>
          <w:sz w:val="28"/>
          <w:szCs w:val="28"/>
          <w:lang w:eastAsia="ru-RU"/>
        </w:rPr>
        <w:t xml:space="preserve">льного образования </w:t>
      </w:r>
      <w:r w:rsidRPr="00BD5345">
        <w:rPr>
          <w:rFonts w:ascii="Times New Roman" w:eastAsia="Times New Roman" w:hAnsi="Times New Roman" w:cs="Times New Roman"/>
          <w:sz w:val="28"/>
          <w:szCs w:val="28"/>
          <w:lang w:eastAsia="ru-RU"/>
        </w:rPr>
        <w:t>и организаций отдыха и оздоровления детей, направленных на</w:t>
      </w:r>
      <w:r w:rsidRPr="00BD5345">
        <w:rPr>
          <w:rFonts w:ascii="Times New Roman" w:eastAsia="Times New Roman" w:hAnsi="Times New Roman" w:cs="Times New Roman"/>
          <w:sz w:val="28"/>
          <w:szCs w:val="28"/>
          <w:lang w:val="en-US" w:eastAsia="ru-RU"/>
        </w:rPr>
        <w:t> </w:t>
      </w:r>
      <w:r w:rsidRPr="00BD5345">
        <w:rPr>
          <w:rFonts w:ascii="Times New Roman" w:eastAsia="Times New Roman" w:hAnsi="Times New Roman" w:cs="Times New Roman"/>
          <w:sz w:val="28"/>
          <w:szCs w:val="28"/>
          <w:lang w:eastAsia="ru-RU"/>
        </w:rPr>
        <w:t>обеспечение занятости несовершеннолетних, в том числе находящихся в трудной жизненной ситуации, а также состоящих на профилактическом учете в органах внутренних дел (пункт 18).</w:t>
      </w:r>
    </w:p>
    <w:p w14:paraId="2C75FEAF" w14:textId="77777777" w:rsidR="00BD5345" w:rsidRPr="00BD5345" w:rsidRDefault="00BD5345" w:rsidP="00A21663">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 xml:space="preserve">На совершенствование механизмов эффективного взаимодействия субъектов профилактики </w:t>
      </w:r>
      <w:r w:rsidR="000A6D9F">
        <w:rPr>
          <w:rFonts w:ascii="Times New Roman" w:eastAsia="Times New Roman" w:hAnsi="Times New Roman" w:cs="Times New Roman"/>
          <w:sz w:val="28"/>
          <w:szCs w:val="28"/>
          <w:lang w:eastAsia="ru-RU"/>
        </w:rPr>
        <w:t xml:space="preserve">безнадзорности и правонарушений </w:t>
      </w:r>
      <w:r w:rsidRPr="00BD5345">
        <w:rPr>
          <w:rFonts w:ascii="Times New Roman" w:eastAsia="Times New Roman" w:hAnsi="Times New Roman" w:cs="Times New Roman"/>
          <w:sz w:val="28"/>
          <w:szCs w:val="28"/>
          <w:lang w:eastAsia="ru-RU"/>
        </w:rPr>
        <w:t>направлена деятельность по методическому обеспечению межведомственной профилактической работы.</w:t>
      </w:r>
    </w:p>
    <w:p w14:paraId="45B855BE" w14:textId="77777777" w:rsidR="00BD5345" w:rsidRPr="00BD5345" w:rsidRDefault="00BD5345" w:rsidP="00A21663">
      <w:pPr>
        <w:autoSpaceDE w:val="0"/>
        <w:autoSpaceDN w:val="0"/>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В 2021 г</w:t>
      </w:r>
      <w:r w:rsidR="00B947FF">
        <w:rPr>
          <w:rFonts w:ascii="Times New Roman" w:eastAsia="Times New Roman" w:hAnsi="Times New Roman" w:cs="Times New Roman"/>
          <w:sz w:val="28"/>
          <w:szCs w:val="28"/>
          <w:lang w:eastAsia="ru-RU"/>
        </w:rPr>
        <w:t>.</w:t>
      </w:r>
      <w:r w:rsidRPr="00BD5345">
        <w:rPr>
          <w:rFonts w:ascii="Times New Roman" w:eastAsia="Times New Roman" w:hAnsi="Times New Roman" w:cs="Times New Roman"/>
          <w:sz w:val="28"/>
          <w:szCs w:val="28"/>
          <w:lang w:eastAsia="ru-RU"/>
        </w:rPr>
        <w:t xml:space="preserve"> Минпросвещения России совместно с заинтересованными федеральными органами исполнительной в</w:t>
      </w:r>
      <w:r w:rsidR="0075350D">
        <w:rPr>
          <w:rFonts w:ascii="Times New Roman" w:eastAsia="Times New Roman" w:hAnsi="Times New Roman" w:cs="Times New Roman"/>
          <w:sz w:val="28"/>
          <w:szCs w:val="28"/>
          <w:lang w:eastAsia="ru-RU"/>
        </w:rPr>
        <w:t xml:space="preserve">ласти разработаны и направлены </w:t>
      </w:r>
      <w:r w:rsidRPr="00BD5345">
        <w:rPr>
          <w:rFonts w:ascii="Times New Roman" w:eastAsia="Times New Roman" w:hAnsi="Times New Roman" w:cs="Times New Roman"/>
          <w:sz w:val="28"/>
          <w:szCs w:val="28"/>
          <w:lang w:eastAsia="ru-RU"/>
        </w:rPr>
        <w:t>в регионы следующие методические и информационно-аналитические материалы:</w:t>
      </w:r>
    </w:p>
    <w:p w14:paraId="4BBE2F84" w14:textId="77777777" w:rsidR="00BD5345" w:rsidRPr="00BD5345" w:rsidRDefault="00BD5345" w:rsidP="00A21663">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информационно-аналитические материалы о разработанных на основе изучения влияния социально-экономических факторов на криминализацию подростковой среды, алгоритмах оценки рисков криминализации подростковой среды в субъектах Российской Федерации;</w:t>
      </w:r>
    </w:p>
    <w:p w14:paraId="5A31BE75" w14:textId="77777777" w:rsidR="00BD5345" w:rsidRPr="00BD5345" w:rsidRDefault="00BD5345" w:rsidP="00A21663">
      <w:pPr>
        <w:autoSpaceDE w:val="0"/>
        <w:autoSpaceDN w:val="0"/>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информационные материалы по итогам обобщения лучших практик субъектов Российской Федерации в части профил</w:t>
      </w:r>
      <w:r w:rsidR="0075350D">
        <w:rPr>
          <w:rFonts w:ascii="Times New Roman" w:eastAsia="Times New Roman" w:hAnsi="Times New Roman" w:cs="Times New Roman"/>
          <w:sz w:val="28"/>
          <w:szCs w:val="28"/>
          <w:lang w:eastAsia="ru-RU"/>
        </w:rPr>
        <w:t xml:space="preserve">актики безнадзорности </w:t>
      </w:r>
      <w:r w:rsidRPr="00BD5345">
        <w:rPr>
          <w:rFonts w:ascii="Times New Roman" w:eastAsia="Times New Roman" w:hAnsi="Times New Roman" w:cs="Times New Roman"/>
          <w:sz w:val="28"/>
          <w:szCs w:val="28"/>
          <w:lang w:eastAsia="ru-RU"/>
        </w:rPr>
        <w:t>и правонарушений несовершеннолетних, в том числе силами негосударственных поставщиков;</w:t>
      </w:r>
    </w:p>
    <w:p w14:paraId="416470BC" w14:textId="77777777" w:rsidR="00BD5345" w:rsidRPr="00BD5345" w:rsidRDefault="00BD5345" w:rsidP="00A21663">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методические рекомендации для несовершеннолетних, родителей (законных представителей) несовершеннолетних, наглядные информационные материалы по безопасному использованию сети «Интернет» в целях предотвращения преступлений, совершаемых с ее использованием, как самими несовершеннолетними, так и в отношении них;</w:t>
      </w:r>
    </w:p>
    <w:p w14:paraId="4545BB28" w14:textId="77777777" w:rsidR="00BD5345" w:rsidRPr="00BD5345" w:rsidRDefault="00BD5345" w:rsidP="00A21663">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информационно-аналитические материалы о разработке и реализации программ поддержки молодежных и подростковых общественных организаций, волонтерского движения, программ по труд</w:t>
      </w:r>
      <w:r w:rsidR="000A6D9F">
        <w:rPr>
          <w:rFonts w:ascii="Times New Roman" w:eastAsia="Times New Roman" w:hAnsi="Times New Roman" w:cs="Times New Roman"/>
          <w:sz w:val="28"/>
          <w:szCs w:val="28"/>
          <w:lang w:eastAsia="ru-RU"/>
        </w:rPr>
        <w:t xml:space="preserve">оустройству несовершеннолетних, </w:t>
      </w:r>
      <w:r w:rsidRPr="00BD5345">
        <w:rPr>
          <w:rFonts w:ascii="Times New Roman" w:eastAsia="Times New Roman" w:hAnsi="Times New Roman" w:cs="Times New Roman"/>
          <w:sz w:val="28"/>
          <w:szCs w:val="28"/>
          <w:lang w:eastAsia="ru-RU"/>
        </w:rPr>
        <w:t>в том числе находящихся в социально опасном поло</w:t>
      </w:r>
      <w:r w:rsidR="000A6D9F">
        <w:rPr>
          <w:rFonts w:ascii="Times New Roman" w:eastAsia="Times New Roman" w:hAnsi="Times New Roman" w:cs="Times New Roman"/>
          <w:sz w:val="28"/>
          <w:szCs w:val="28"/>
          <w:lang w:eastAsia="ru-RU"/>
        </w:rPr>
        <w:t xml:space="preserve">жении, развитию спорта </w:t>
      </w:r>
      <w:r w:rsidRPr="00BD5345">
        <w:rPr>
          <w:rFonts w:ascii="Times New Roman" w:eastAsia="Times New Roman" w:hAnsi="Times New Roman" w:cs="Times New Roman"/>
          <w:sz w:val="28"/>
          <w:szCs w:val="28"/>
          <w:lang w:eastAsia="ru-RU"/>
        </w:rPr>
        <w:t>и пропаганде здорового образа жизни, духовно-нравственному воспитанию подрастающего поколения в субъектах Российской Федерации;</w:t>
      </w:r>
    </w:p>
    <w:p w14:paraId="1F29C5B9" w14:textId="77777777" w:rsidR="00BD5345" w:rsidRPr="00BD5345" w:rsidRDefault="00BD5345" w:rsidP="00A21663">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информационно-аналитические материалы о разработке и реализации региональных программ по разви</w:t>
      </w:r>
      <w:r w:rsidR="0075350D">
        <w:rPr>
          <w:rFonts w:ascii="Times New Roman" w:eastAsia="Times New Roman" w:hAnsi="Times New Roman" w:cs="Times New Roman"/>
          <w:sz w:val="28"/>
          <w:szCs w:val="28"/>
          <w:lang w:eastAsia="ru-RU"/>
        </w:rPr>
        <w:t xml:space="preserve">тию системы внешкольной работы </w:t>
      </w:r>
      <w:r w:rsidRPr="00BD5345">
        <w:rPr>
          <w:rFonts w:ascii="Times New Roman" w:eastAsia="Times New Roman" w:hAnsi="Times New Roman" w:cs="Times New Roman"/>
          <w:sz w:val="28"/>
          <w:szCs w:val="28"/>
          <w:lang w:eastAsia="ru-RU"/>
        </w:rPr>
        <w:t>с несовершеннолетними, сети учрежден</w:t>
      </w:r>
      <w:r w:rsidR="0075350D">
        <w:rPr>
          <w:rFonts w:ascii="Times New Roman" w:eastAsia="Times New Roman" w:hAnsi="Times New Roman" w:cs="Times New Roman"/>
          <w:sz w:val="28"/>
          <w:szCs w:val="28"/>
          <w:lang w:eastAsia="ru-RU"/>
        </w:rPr>
        <w:t xml:space="preserve">ий дополнительного образования </w:t>
      </w:r>
      <w:r w:rsidRPr="00BD5345">
        <w:rPr>
          <w:rFonts w:ascii="Times New Roman" w:eastAsia="Times New Roman" w:hAnsi="Times New Roman" w:cs="Times New Roman"/>
          <w:sz w:val="28"/>
          <w:szCs w:val="28"/>
          <w:lang w:eastAsia="ru-RU"/>
        </w:rPr>
        <w:t>и организаций отдыха и оздоровления детей, направленных на обеспечение занятости несовершеннолетних, в том числе находящихся в трудной жизненной ситуации, а также состоящих на профилактическом учете в органах внутренних дел;</w:t>
      </w:r>
    </w:p>
    <w:p w14:paraId="20931C08" w14:textId="77777777" w:rsidR="00BD5345" w:rsidRPr="00BD5345" w:rsidRDefault="00BD5345" w:rsidP="00A21663">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методические рекомендации по разработке и реализации мер, обеспечивающих социально значимую деятельность несовершеннолетних, находящихся в конфликте с законом;</w:t>
      </w:r>
    </w:p>
    <w:p w14:paraId="46A71FDE" w14:textId="77777777" w:rsidR="00BD5345" w:rsidRPr="00BD5345" w:rsidRDefault="00BD5345" w:rsidP="00A21663">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методические рекомендации по разработке и реализации мер, обеспечивающих развитие региональных систем безопасного детства, снижение агрессивности в подростковой среде;</w:t>
      </w:r>
    </w:p>
    <w:p w14:paraId="147E73FF" w14:textId="77777777" w:rsidR="00BD5345" w:rsidRPr="00BD5345" w:rsidRDefault="00BD5345" w:rsidP="00A21663">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 xml:space="preserve">рекомендации по проведению </w:t>
      </w:r>
      <w:r w:rsidR="00833CD6">
        <w:rPr>
          <w:rFonts w:ascii="Times New Roman" w:eastAsia="Times New Roman" w:hAnsi="Times New Roman" w:cs="Times New Roman"/>
          <w:sz w:val="28"/>
          <w:szCs w:val="28"/>
          <w:lang w:eastAsia="ru-RU"/>
        </w:rPr>
        <w:t xml:space="preserve">в образовательных организациях </w:t>
      </w:r>
      <w:r w:rsidRPr="00BD5345">
        <w:rPr>
          <w:rFonts w:ascii="Times New Roman" w:eastAsia="Times New Roman" w:hAnsi="Times New Roman" w:cs="Times New Roman"/>
          <w:sz w:val="28"/>
          <w:szCs w:val="28"/>
          <w:lang w:eastAsia="ru-RU"/>
        </w:rPr>
        <w:t>с обучающимися профилактических мероприятий, направленных на формирование у них позитивного мышления, принципов здорового образа жизни, предупреждение суицидального поведения;</w:t>
      </w:r>
    </w:p>
    <w:p w14:paraId="5234CA23" w14:textId="77777777" w:rsidR="00BD5345" w:rsidRPr="00BD5345" w:rsidRDefault="00BD5345" w:rsidP="00A21663">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методические рекомендации о типовых формах и порядке взаимодействия органов и уч</w:t>
      </w:r>
      <w:r w:rsidR="000A6D9F">
        <w:rPr>
          <w:rFonts w:ascii="Times New Roman" w:eastAsia="Times New Roman" w:hAnsi="Times New Roman" w:cs="Times New Roman"/>
          <w:sz w:val="28"/>
          <w:szCs w:val="28"/>
          <w:lang w:eastAsia="ru-RU"/>
        </w:rPr>
        <w:t>реждений системы профилактики;</w:t>
      </w:r>
    </w:p>
    <w:p w14:paraId="4E3B8C03" w14:textId="77777777" w:rsidR="00BD5345" w:rsidRPr="00BD5345" w:rsidRDefault="00BD5345" w:rsidP="00A21663">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методические рекомендации по подготовке отчета о работе по профилактике безнадзорности и правонарушений несовершеннолетних на территории субъекта Российской Федерации;</w:t>
      </w:r>
    </w:p>
    <w:p w14:paraId="5D772D20" w14:textId="77777777" w:rsidR="00BD5345" w:rsidRPr="00BD5345" w:rsidRDefault="00BD5345" w:rsidP="00A21663">
      <w:pPr>
        <w:autoSpaceDE w:val="0"/>
        <w:autoSpaceDN w:val="0"/>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рекомендации по организации рассм</w:t>
      </w:r>
      <w:r w:rsidR="0092212B">
        <w:rPr>
          <w:rFonts w:ascii="Times New Roman" w:eastAsia="Times New Roman" w:hAnsi="Times New Roman" w:cs="Times New Roman"/>
          <w:sz w:val="28"/>
          <w:szCs w:val="28"/>
          <w:lang w:eastAsia="ru-RU"/>
        </w:rPr>
        <w:t xml:space="preserve">отрения на заседаниях комиссий </w:t>
      </w:r>
      <w:r w:rsidRPr="00BD5345">
        <w:rPr>
          <w:rFonts w:ascii="Times New Roman" w:eastAsia="Times New Roman" w:hAnsi="Times New Roman" w:cs="Times New Roman"/>
          <w:sz w:val="28"/>
          <w:szCs w:val="28"/>
          <w:lang w:eastAsia="ru-RU"/>
        </w:rPr>
        <w:t>по делам несовершеннолетних и защите их прав субъектов Российской Федерации вопросов предупреждения</w:t>
      </w:r>
      <w:r w:rsidR="0092212B">
        <w:rPr>
          <w:rFonts w:ascii="Times New Roman" w:eastAsia="Times New Roman" w:hAnsi="Times New Roman" w:cs="Times New Roman"/>
          <w:sz w:val="28"/>
          <w:szCs w:val="28"/>
          <w:lang w:eastAsia="ru-RU"/>
        </w:rPr>
        <w:t xml:space="preserve"> вовлечения несовершеннолетних </w:t>
      </w:r>
      <w:r w:rsidRPr="00BD5345">
        <w:rPr>
          <w:rFonts w:ascii="Times New Roman" w:eastAsia="Times New Roman" w:hAnsi="Times New Roman" w:cs="Times New Roman"/>
          <w:sz w:val="28"/>
          <w:szCs w:val="28"/>
          <w:lang w:eastAsia="ru-RU"/>
        </w:rPr>
        <w:t>в участие в несанкционированных массовых протестах (акциях).</w:t>
      </w:r>
    </w:p>
    <w:p w14:paraId="400AFCE4" w14:textId="77777777" w:rsidR="00BD5345" w:rsidRPr="00BD5345" w:rsidRDefault="00BD5345" w:rsidP="00A21663">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В соответствии с пунктом 7 Плана мероприятий по реализации Концепции развития системы профилактики Минпросвещения России,</w:t>
      </w:r>
      <w:r w:rsidR="000A5785" w:rsidRPr="00BD5345">
        <w:rPr>
          <w:rFonts w:ascii="Times New Roman" w:eastAsia="Times New Roman" w:hAnsi="Times New Roman" w:cs="Times New Roman"/>
          <w:sz w:val="28"/>
          <w:szCs w:val="28"/>
        </w:rPr>
        <w:t> </w:t>
      </w:r>
      <w:r w:rsidRPr="00BD5345">
        <w:rPr>
          <w:rFonts w:ascii="Times New Roman" w:eastAsia="Times New Roman" w:hAnsi="Times New Roman" w:cs="Times New Roman"/>
          <w:sz w:val="28"/>
          <w:szCs w:val="28"/>
          <w:lang w:eastAsia="ru-RU"/>
        </w:rPr>
        <w:t>органами исполнительной власти</w:t>
      </w:r>
      <w:r w:rsidR="000A5785">
        <w:rPr>
          <w:rFonts w:ascii="Times New Roman" w:eastAsia="Times New Roman" w:hAnsi="Times New Roman" w:cs="Times New Roman"/>
          <w:sz w:val="28"/>
          <w:szCs w:val="28"/>
          <w:lang w:eastAsia="ru-RU"/>
        </w:rPr>
        <w:t xml:space="preserve"> субъектов Российской Федерации</w:t>
      </w:r>
      <w:r w:rsidRPr="00BD5345">
        <w:rPr>
          <w:rFonts w:ascii="Times New Roman" w:eastAsia="Times New Roman" w:hAnsi="Times New Roman" w:cs="Times New Roman"/>
          <w:sz w:val="28"/>
          <w:szCs w:val="28"/>
          <w:lang w:eastAsia="ru-RU"/>
        </w:rPr>
        <w:t xml:space="preserve"> осуществлялось обобщение и тиражирование эффективного опыта, современных технологий профилактической работы, в том числе в рамках создания региональных ресурсных центров</w:t>
      </w:r>
      <w:r w:rsidR="000A6D9F">
        <w:rPr>
          <w:rFonts w:ascii="Times New Roman" w:eastAsia="Times New Roman" w:hAnsi="Times New Roman" w:cs="Times New Roman"/>
          <w:sz w:val="28"/>
          <w:szCs w:val="28"/>
          <w:lang w:eastAsia="ru-RU"/>
        </w:rPr>
        <w:t xml:space="preserve"> (далее</w:t>
      </w:r>
      <w:r w:rsidR="0037242B">
        <w:rPr>
          <w:rFonts w:ascii="Times New Roman" w:eastAsia="Times New Roman" w:hAnsi="Times New Roman" w:cs="Times New Roman"/>
          <w:sz w:val="28"/>
          <w:szCs w:val="28"/>
          <w:lang w:eastAsia="ru-RU"/>
        </w:rPr>
        <w:t xml:space="preserve"> по тексту раздела</w:t>
      </w:r>
      <w:r w:rsidR="000A6D9F">
        <w:rPr>
          <w:rFonts w:ascii="Times New Roman" w:eastAsia="Times New Roman" w:hAnsi="Times New Roman" w:cs="Times New Roman"/>
          <w:sz w:val="28"/>
          <w:szCs w:val="28"/>
          <w:lang w:eastAsia="ru-RU"/>
        </w:rPr>
        <w:t xml:space="preserve"> – ресур</w:t>
      </w:r>
      <w:r w:rsidR="000A5785">
        <w:rPr>
          <w:rFonts w:ascii="Times New Roman" w:eastAsia="Times New Roman" w:hAnsi="Times New Roman" w:cs="Times New Roman"/>
          <w:sz w:val="28"/>
          <w:szCs w:val="28"/>
          <w:lang w:eastAsia="ru-RU"/>
        </w:rPr>
        <w:t>с</w:t>
      </w:r>
      <w:r w:rsidR="000A6D9F">
        <w:rPr>
          <w:rFonts w:ascii="Times New Roman" w:eastAsia="Times New Roman" w:hAnsi="Times New Roman" w:cs="Times New Roman"/>
          <w:sz w:val="28"/>
          <w:szCs w:val="28"/>
          <w:lang w:eastAsia="ru-RU"/>
        </w:rPr>
        <w:t>ный центр)</w:t>
      </w:r>
      <w:r w:rsidRPr="00BD5345">
        <w:rPr>
          <w:rFonts w:ascii="Times New Roman" w:eastAsia="Times New Roman" w:hAnsi="Times New Roman" w:cs="Times New Roman"/>
          <w:sz w:val="28"/>
          <w:szCs w:val="28"/>
          <w:lang w:eastAsia="ru-RU"/>
        </w:rPr>
        <w:t xml:space="preserve">, повышение профессионального уровня специалистов органов и учреждений системы профилактики безнадзорности и правонарушений несовершеннолетних. </w:t>
      </w:r>
    </w:p>
    <w:p w14:paraId="00948F9F" w14:textId="77777777" w:rsidR="00BD5345" w:rsidRPr="00BD5345" w:rsidRDefault="00BD5345" w:rsidP="00A21663">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В 30 регионах действуют 38 подобных центров. В 6 регионах (Краснодарский край, Иркутская, Магаданская, Московская, Ульяновская, Челябинская области) их функции возло</w:t>
      </w:r>
      <w:r w:rsidR="0092212B">
        <w:rPr>
          <w:rFonts w:ascii="Times New Roman" w:eastAsia="Times New Roman" w:hAnsi="Times New Roman" w:cs="Times New Roman"/>
          <w:sz w:val="28"/>
          <w:szCs w:val="28"/>
          <w:lang w:eastAsia="ru-RU"/>
        </w:rPr>
        <w:t xml:space="preserve">жены на различные организации, </w:t>
      </w:r>
      <w:r w:rsidRPr="00BD5345">
        <w:rPr>
          <w:rFonts w:ascii="Times New Roman" w:eastAsia="Times New Roman" w:hAnsi="Times New Roman" w:cs="Times New Roman"/>
          <w:sz w:val="28"/>
          <w:szCs w:val="28"/>
          <w:lang w:eastAsia="ru-RU"/>
        </w:rPr>
        <w:t xml:space="preserve">не входящие в систему профилактики безнадзорности и правонарушений несовершеннолетних. </w:t>
      </w:r>
      <w:r w:rsidR="006E5375">
        <w:rPr>
          <w:rFonts w:ascii="Times New Roman" w:eastAsia="Times New Roman" w:hAnsi="Times New Roman" w:cs="Times New Roman"/>
          <w:sz w:val="28"/>
          <w:szCs w:val="28"/>
          <w:lang w:eastAsia="ru-RU"/>
        </w:rPr>
        <w:br/>
      </w:r>
      <w:r w:rsidRPr="00BD5345">
        <w:rPr>
          <w:rFonts w:ascii="Times New Roman" w:eastAsia="Times New Roman" w:hAnsi="Times New Roman" w:cs="Times New Roman"/>
          <w:sz w:val="28"/>
          <w:szCs w:val="28"/>
          <w:lang w:eastAsia="ru-RU"/>
        </w:rPr>
        <w:t>В 8 субъектах Российской Федерации (Республика Северная Осетия – Алания, Владимирская, Курская, Рязанская, Новосибирская, Томская области, Чукотский и Ямало-Ненецкий автономные округ</w:t>
      </w:r>
      <w:r w:rsidR="000A6D9F">
        <w:rPr>
          <w:rFonts w:ascii="Times New Roman" w:eastAsia="Times New Roman" w:hAnsi="Times New Roman" w:cs="Times New Roman"/>
          <w:sz w:val="28"/>
          <w:szCs w:val="28"/>
          <w:lang w:eastAsia="ru-RU"/>
        </w:rPr>
        <w:t>а) ресурсные центры не созданы.</w:t>
      </w:r>
    </w:p>
    <w:p w14:paraId="404CED44" w14:textId="62372EB4" w:rsidR="00C36EB2" w:rsidRDefault="00BD5345" w:rsidP="00C36EB2">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Обновленный реестр ресурсных центров размещен на официальном сайте ФГБУ «Центр защиты прав и интересов детей»</w:t>
      </w:r>
      <w:r w:rsidR="00D83EB6">
        <w:rPr>
          <w:rFonts w:ascii="Times New Roman" w:eastAsia="Times New Roman" w:hAnsi="Times New Roman" w:cs="Times New Roman"/>
          <w:sz w:val="28"/>
          <w:szCs w:val="28"/>
          <w:lang w:eastAsia="ru-RU"/>
        </w:rPr>
        <w:t xml:space="preserve"> в сети «Интернет»</w:t>
      </w:r>
      <w:r w:rsidRPr="00BD5345">
        <w:rPr>
          <w:rFonts w:ascii="Times New Roman" w:eastAsia="Times New Roman" w:hAnsi="Times New Roman" w:cs="Times New Roman"/>
          <w:sz w:val="28"/>
          <w:szCs w:val="28"/>
          <w:lang w:eastAsia="ru-RU"/>
        </w:rPr>
        <w:t xml:space="preserve">: </w:t>
      </w:r>
      <w:hyperlink r:id="rId32" w:history="1">
        <w:r w:rsidRPr="000A6D9F">
          <w:rPr>
            <w:rFonts w:ascii="Times New Roman" w:eastAsia="Times New Roman" w:hAnsi="Times New Roman" w:cs="Times New Roman"/>
            <w:sz w:val="28"/>
            <w:szCs w:val="28"/>
            <w:lang w:eastAsia="ru-RU"/>
          </w:rPr>
          <w:t>https://fcprc.ru/wp-content/uploads/2021/12/material-konception-do-2025-7-2.pdf</w:t>
        </w:r>
      </w:hyperlink>
      <w:r w:rsidR="000A6D9F">
        <w:rPr>
          <w:rFonts w:ascii="Times New Roman" w:eastAsia="Times New Roman" w:hAnsi="Times New Roman" w:cs="Times New Roman"/>
          <w:sz w:val="28"/>
          <w:szCs w:val="28"/>
          <w:lang w:eastAsia="ru-RU"/>
        </w:rPr>
        <w:t>.</w:t>
      </w:r>
    </w:p>
    <w:p w14:paraId="380397AB" w14:textId="77777777" w:rsidR="00BD5345" w:rsidRPr="0037242B" w:rsidRDefault="00BD5345" w:rsidP="0037242B">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В 2021 г</w:t>
      </w:r>
      <w:r w:rsidR="00B947FF">
        <w:rPr>
          <w:rFonts w:ascii="Times New Roman" w:eastAsia="Times New Roman" w:hAnsi="Times New Roman" w:cs="Times New Roman"/>
          <w:sz w:val="28"/>
          <w:szCs w:val="28"/>
          <w:lang w:eastAsia="ru-RU"/>
        </w:rPr>
        <w:t>.</w:t>
      </w:r>
      <w:r w:rsidRPr="00BD5345">
        <w:rPr>
          <w:rFonts w:ascii="Times New Roman" w:eastAsia="Times New Roman" w:hAnsi="Times New Roman" w:cs="Times New Roman"/>
          <w:sz w:val="28"/>
          <w:szCs w:val="28"/>
          <w:lang w:eastAsia="ru-RU"/>
        </w:rPr>
        <w:t xml:space="preserve"> принимались меры по </w:t>
      </w:r>
      <w:r w:rsidRPr="00BD5345">
        <w:rPr>
          <w:rFonts w:ascii="Times New Roman" w:eastAsia="Times New Roman" w:hAnsi="Times New Roman" w:cs="Times New Roman"/>
          <w:bCs/>
          <w:sz w:val="28"/>
          <w:szCs w:val="28"/>
          <w:lang w:eastAsia="ru-RU"/>
        </w:rPr>
        <w:t>обеспечению повышения квалификации специалистов органов и учреждений системы профилактики безнадзорности и правонарушений несовершеннолетних.</w:t>
      </w:r>
    </w:p>
    <w:p w14:paraId="7CDE4F90" w14:textId="77777777" w:rsidR="00BD5345" w:rsidRPr="00BD5345" w:rsidRDefault="00BD5345" w:rsidP="00A21663">
      <w:pPr>
        <w:widowControl w:val="0"/>
        <w:autoSpaceDE w:val="0"/>
        <w:autoSpaceDN w:val="0"/>
        <w:spacing w:after="0" w:line="312" w:lineRule="auto"/>
        <w:ind w:firstLine="709"/>
        <w:jc w:val="both"/>
        <w:rPr>
          <w:rFonts w:ascii="Times New Roman" w:eastAsia="Times New Roman" w:hAnsi="Times New Roman" w:cs="Times New Roman"/>
          <w:bCs/>
          <w:sz w:val="28"/>
          <w:szCs w:val="28"/>
          <w:lang w:eastAsia="ru-RU"/>
        </w:rPr>
      </w:pPr>
      <w:r w:rsidRPr="00BD5345">
        <w:rPr>
          <w:rFonts w:ascii="Times New Roman" w:eastAsia="Times New Roman" w:hAnsi="Times New Roman" w:cs="Times New Roman"/>
          <w:bCs/>
          <w:sz w:val="28"/>
          <w:szCs w:val="28"/>
          <w:lang w:eastAsia="ru-RU"/>
        </w:rPr>
        <w:t>В рамках реализации федерального проекта «Патриотическое воспитание граждан Российской Федерации» национального проекта «Образование» Минпросвещения России совместно с АНО «Россия – страна возможностей» по инициативе Управления Президента Российской Федерации по общественным проектам с 2019 г</w:t>
      </w:r>
      <w:r w:rsidR="007F0EEE">
        <w:rPr>
          <w:rFonts w:ascii="Times New Roman" w:eastAsia="Times New Roman" w:hAnsi="Times New Roman" w:cs="Times New Roman"/>
          <w:bCs/>
          <w:sz w:val="28"/>
          <w:szCs w:val="28"/>
          <w:lang w:eastAsia="ru-RU"/>
        </w:rPr>
        <w:t>.</w:t>
      </w:r>
      <w:r w:rsidRPr="00BD5345">
        <w:rPr>
          <w:rFonts w:ascii="Times New Roman" w:eastAsia="Times New Roman" w:hAnsi="Times New Roman" w:cs="Times New Roman"/>
          <w:bCs/>
          <w:sz w:val="28"/>
          <w:szCs w:val="28"/>
          <w:lang w:eastAsia="ru-RU"/>
        </w:rPr>
        <w:t xml:space="preserve"> проводятся циклы семинаров-совещаний для специалистов органов и учреждений систе</w:t>
      </w:r>
      <w:r w:rsidR="000A6D9F">
        <w:rPr>
          <w:rFonts w:ascii="Times New Roman" w:eastAsia="Times New Roman" w:hAnsi="Times New Roman" w:cs="Times New Roman"/>
          <w:bCs/>
          <w:sz w:val="28"/>
          <w:szCs w:val="28"/>
          <w:lang w:eastAsia="ru-RU"/>
        </w:rPr>
        <w:t xml:space="preserve">мы профилактики безнадзорности </w:t>
      </w:r>
      <w:r w:rsidRPr="00BD5345">
        <w:rPr>
          <w:rFonts w:ascii="Times New Roman" w:eastAsia="Times New Roman" w:hAnsi="Times New Roman" w:cs="Times New Roman"/>
          <w:bCs/>
          <w:sz w:val="28"/>
          <w:szCs w:val="28"/>
          <w:lang w:eastAsia="ru-RU"/>
        </w:rPr>
        <w:t>и правонарушений несовершеннолетних</w:t>
      </w:r>
      <w:r w:rsidRPr="00BD5345">
        <w:rPr>
          <w:rFonts w:ascii="Times New Roman" w:eastAsia="Times New Roman" w:hAnsi="Times New Roman" w:cs="Times New Roman"/>
          <w:sz w:val="28"/>
          <w:szCs w:val="28"/>
          <w:lang w:eastAsia="ru-RU"/>
        </w:rPr>
        <w:t xml:space="preserve"> в целях выработки в интерактивном режиме (тренинги, моделирование ситуаций) оптимальных вариантов межведомственного взаимодействия учреждений и ведомств системы профилактики безнадзорности и пра</w:t>
      </w:r>
      <w:r w:rsidR="000A6D9F">
        <w:rPr>
          <w:rFonts w:ascii="Times New Roman" w:eastAsia="Times New Roman" w:hAnsi="Times New Roman" w:cs="Times New Roman"/>
          <w:sz w:val="28"/>
          <w:szCs w:val="28"/>
          <w:lang w:eastAsia="ru-RU"/>
        </w:rPr>
        <w:t xml:space="preserve">вонарушений несовершеннолетних </w:t>
      </w:r>
      <w:r w:rsidRPr="00BD5345">
        <w:rPr>
          <w:rFonts w:ascii="Times New Roman" w:eastAsia="Times New Roman" w:hAnsi="Times New Roman" w:cs="Times New Roman"/>
          <w:sz w:val="28"/>
          <w:szCs w:val="28"/>
          <w:lang w:eastAsia="ru-RU"/>
        </w:rPr>
        <w:t xml:space="preserve">и распространения лучших практик работы </w:t>
      </w:r>
      <w:r w:rsidR="009C1642">
        <w:rPr>
          <w:rFonts w:ascii="Times New Roman" w:eastAsia="Times New Roman" w:hAnsi="Times New Roman" w:cs="Times New Roman"/>
          <w:sz w:val="28"/>
          <w:szCs w:val="28"/>
          <w:lang w:eastAsia="ru-RU"/>
        </w:rPr>
        <w:br/>
      </w:r>
      <w:r w:rsidRPr="00BD5345">
        <w:rPr>
          <w:rFonts w:ascii="Times New Roman" w:eastAsia="Times New Roman" w:hAnsi="Times New Roman" w:cs="Times New Roman"/>
          <w:sz w:val="28"/>
          <w:szCs w:val="28"/>
          <w:lang w:eastAsia="ru-RU"/>
        </w:rPr>
        <w:t>с подростками.</w:t>
      </w:r>
      <w:r w:rsidRPr="00BD5345">
        <w:rPr>
          <w:rFonts w:ascii="Times New Roman" w:eastAsia="Times New Roman" w:hAnsi="Times New Roman" w:cs="Times New Roman"/>
          <w:bCs/>
          <w:sz w:val="28"/>
          <w:szCs w:val="28"/>
          <w:lang w:eastAsia="ru-RU"/>
        </w:rPr>
        <w:t xml:space="preserve"> В 2021 г</w:t>
      </w:r>
      <w:r w:rsidR="007F0EEE">
        <w:rPr>
          <w:rFonts w:ascii="Times New Roman" w:eastAsia="Times New Roman" w:hAnsi="Times New Roman" w:cs="Times New Roman"/>
          <w:bCs/>
          <w:sz w:val="28"/>
          <w:szCs w:val="28"/>
          <w:lang w:eastAsia="ru-RU"/>
        </w:rPr>
        <w:t>.</w:t>
      </w:r>
      <w:r w:rsidRPr="00BD5345">
        <w:rPr>
          <w:rFonts w:ascii="Times New Roman" w:eastAsia="Times New Roman" w:hAnsi="Times New Roman" w:cs="Times New Roman"/>
          <w:bCs/>
          <w:sz w:val="28"/>
          <w:szCs w:val="28"/>
          <w:lang w:eastAsia="ru-RU"/>
        </w:rPr>
        <w:t xml:space="preserve"> в них приняли участие 720 человек из 68 субъектов Российской Федерации. Свыше 25 тыс. специалистов были привлечены к работе вебинаров по вопросам организации адресной профилактическо</w:t>
      </w:r>
      <w:r w:rsidR="00DF1E02">
        <w:rPr>
          <w:rFonts w:ascii="Times New Roman" w:eastAsia="Times New Roman" w:hAnsi="Times New Roman" w:cs="Times New Roman"/>
          <w:bCs/>
          <w:sz w:val="28"/>
          <w:szCs w:val="28"/>
          <w:lang w:eastAsia="ru-RU"/>
        </w:rPr>
        <w:t>й работы с несовершеннолетними.</w:t>
      </w:r>
    </w:p>
    <w:p w14:paraId="779F3C59" w14:textId="77777777" w:rsidR="00BD5345" w:rsidRPr="00BD5345" w:rsidRDefault="00BD5345" w:rsidP="00A21663">
      <w:pPr>
        <w:autoSpaceDE w:val="0"/>
        <w:autoSpaceDN w:val="0"/>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Для укрепления межведомственного и междисциплинарного взаимод</w:t>
      </w:r>
      <w:r w:rsidR="00DF1E02">
        <w:rPr>
          <w:rFonts w:ascii="Times New Roman" w:eastAsia="Times New Roman" w:hAnsi="Times New Roman" w:cs="Times New Roman"/>
          <w:sz w:val="28"/>
          <w:szCs w:val="28"/>
          <w:lang w:eastAsia="ru-RU"/>
        </w:rPr>
        <w:t>ействия в рассматриваемой сфере</w:t>
      </w:r>
      <w:r w:rsidRPr="00BD5345">
        <w:rPr>
          <w:rFonts w:ascii="Times New Roman" w:eastAsia="Times New Roman" w:hAnsi="Times New Roman" w:cs="Times New Roman"/>
          <w:sz w:val="28"/>
          <w:szCs w:val="28"/>
          <w:lang w:eastAsia="ru-RU"/>
        </w:rPr>
        <w:t xml:space="preserve"> в</w:t>
      </w:r>
      <w:r w:rsidR="00DF1E02">
        <w:rPr>
          <w:rFonts w:ascii="Times New Roman" w:eastAsia="Times New Roman" w:hAnsi="Times New Roman" w:cs="Times New Roman"/>
          <w:sz w:val="28"/>
          <w:szCs w:val="28"/>
          <w:lang w:eastAsia="ru-RU"/>
        </w:rPr>
        <w:t xml:space="preserve"> рамках проведенного в августе </w:t>
      </w:r>
      <w:r w:rsidRPr="00BD5345">
        <w:rPr>
          <w:rFonts w:ascii="Times New Roman" w:eastAsia="Times New Roman" w:hAnsi="Times New Roman" w:cs="Times New Roman"/>
          <w:sz w:val="28"/>
          <w:szCs w:val="28"/>
          <w:lang w:eastAsia="ru-RU"/>
        </w:rPr>
        <w:t>2021 г</w:t>
      </w:r>
      <w:r w:rsidR="00DF1E02">
        <w:rPr>
          <w:rFonts w:ascii="Times New Roman" w:eastAsia="Times New Roman" w:hAnsi="Times New Roman" w:cs="Times New Roman"/>
          <w:sz w:val="28"/>
          <w:szCs w:val="28"/>
          <w:lang w:eastAsia="ru-RU"/>
        </w:rPr>
        <w:t>.</w:t>
      </w:r>
      <w:r w:rsidRPr="00BD5345">
        <w:rPr>
          <w:rFonts w:ascii="Times New Roman" w:eastAsia="Times New Roman" w:hAnsi="Times New Roman" w:cs="Times New Roman"/>
          <w:sz w:val="28"/>
          <w:szCs w:val="28"/>
          <w:lang w:eastAsia="ru-RU"/>
        </w:rPr>
        <w:t xml:space="preserve"> Всероссийского педагогического марафона «Как во</w:t>
      </w:r>
      <w:r w:rsidR="00DF1E02">
        <w:rPr>
          <w:rFonts w:ascii="Times New Roman" w:eastAsia="Times New Roman" w:hAnsi="Times New Roman" w:cs="Times New Roman"/>
          <w:sz w:val="28"/>
          <w:szCs w:val="28"/>
          <w:lang w:eastAsia="ru-RU"/>
        </w:rPr>
        <w:t>спитать Человека. Новые вызовы»</w:t>
      </w:r>
      <w:r w:rsidRPr="00BD5345">
        <w:rPr>
          <w:rFonts w:ascii="Times New Roman" w:eastAsia="Times New Roman" w:hAnsi="Times New Roman" w:cs="Times New Roman"/>
          <w:sz w:val="28"/>
          <w:szCs w:val="28"/>
          <w:lang w:eastAsia="ru-RU"/>
        </w:rPr>
        <w:t xml:space="preserve"> организована специальная экспертная встреча родителей, педагогов, сотрудников органов внутренних дел, представителей иных субъектов системы профилактики безнадзорности и правонарушений несовершеннолетних по вопросам обеспечения создания условий для безопасного развития ребенка, в том числе для предупреждения вовлечения детей в асоциальную, противоправную деятельность, распространения негативных явлений в подростковой среде, профилактики деструктивного поведения.</w:t>
      </w:r>
    </w:p>
    <w:p w14:paraId="32DB180C" w14:textId="77777777" w:rsidR="00BD5345" w:rsidRPr="00BD5345" w:rsidRDefault="00BD5345" w:rsidP="00A21663">
      <w:pPr>
        <w:autoSpaceDE w:val="0"/>
        <w:autoSpaceDN w:val="0"/>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В октябре 2021</w:t>
      </w:r>
      <w:r w:rsidRPr="00BD5345">
        <w:rPr>
          <w:rFonts w:ascii="Times New Roman" w:eastAsia="Times New Roman" w:hAnsi="Times New Roman" w:cs="Times New Roman"/>
          <w:sz w:val="28"/>
          <w:szCs w:val="28"/>
          <w:lang w:val="en-US" w:eastAsia="ru-RU"/>
        </w:rPr>
        <w:t> </w:t>
      </w:r>
      <w:r w:rsidRPr="00BD5345">
        <w:rPr>
          <w:rFonts w:ascii="Times New Roman" w:eastAsia="Times New Roman" w:hAnsi="Times New Roman" w:cs="Times New Roman"/>
          <w:sz w:val="28"/>
          <w:szCs w:val="28"/>
          <w:lang w:eastAsia="ru-RU"/>
        </w:rPr>
        <w:t>г</w:t>
      </w:r>
      <w:r w:rsidR="00DF1E02">
        <w:rPr>
          <w:rFonts w:ascii="Times New Roman" w:eastAsia="Times New Roman" w:hAnsi="Times New Roman" w:cs="Times New Roman"/>
          <w:sz w:val="28"/>
          <w:szCs w:val="28"/>
          <w:lang w:eastAsia="ru-RU"/>
        </w:rPr>
        <w:t>.</w:t>
      </w:r>
      <w:r w:rsidRPr="00BD5345">
        <w:rPr>
          <w:rFonts w:ascii="Times New Roman" w:eastAsia="Times New Roman" w:hAnsi="Times New Roman" w:cs="Times New Roman"/>
          <w:sz w:val="28"/>
          <w:szCs w:val="28"/>
          <w:lang w:eastAsia="ru-RU"/>
        </w:rPr>
        <w:t xml:space="preserve"> состоялся Первый Всероссийский форум классных руководителей, нацеленный на со</w:t>
      </w:r>
      <w:r w:rsidR="005430C5">
        <w:rPr>
          <w:rFonts w:ascii="Times New Roman" w:eastAsia="Times New Roman" w:hAnsi="Times New Roman" w:cs="Times New Roman"/>
          <w:sz w:val="28"/>
          <w:szCs w:val="28"/>
          <w:lang w:eastAsia="ru-RU"/>
        </w:rPr>
        <w:t xml:space="preserve">действие повышению социального </w:t>
      </w:r>
      <w:r w:rsidRPr="00BD5345">
        <w:rPr>
          <w:rFonts w:ascii="Times New Roman" w:eastAsia="Times New Roman" w:hAnsi="Times New Roman" w:cs="Times New Roman"/>
          <w:sz w:val="28"/>
          <w:szCs w:val="28"/>
          <w:lang w:eastAsia="ru-RU"/>
        </w:rPr>
        <w:t xml:space="preserve">и профессионального статуса классного руководителя и престижа педагогических специальностей, создание профессионального сообщества классных руководителей страны, ориентированного на воспитание у детей традиционных ценностей, в котором приняло очное участие 1 тыс. человек из разных регионов, в онлайн-формате присоединились более 50 тыс. человек. </w:t>
      </w:r>
    </w:p>
    <w:p w14:paraId="1A3645A0" w14:textId="77777777" w:rsidR="00BD5345" w:rsidRPr="00BD5345" w:rsidRDefault="00BD5345" w:rsidP="00A21663">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В декабре 2021 г</w:t>
      </w:r>
      <w:r w:rsidR="00DF1E02">
        <w:rPr>
          <w:rFonts w:ascii="Times New Roman" w:eastAsia="Times New Roman" w:hAnsi="Times New Roman" w:cs="Times New Roman"/>
          <w:sz w:val="28"/>
          <w:szCs w:val="28"/>
          <w:lang w:eastAsia="ru-RU"/>
        </w:rPr>
        <w:t>.</w:t>
      </w:r>
      <w:r w:rsidRPr="00BD5345">
        <w:rPr>
          <w:rFonts w:ascii="Times New Roman" w:eastAsia="Times New Roman" w:hAnsi="Times New Roman" w:cs="Times New Roman"/>
          <w:sz w:val="28"/>
          <w:szCs w:val="28"/>
          <w:lang w:eastAsia="ru-RU"/>
        </w:rPr>
        <w:t xml:space="preserve"> проведена Всероссийская научно-практическая конференция «Актуальные проблемы про</w:t>
      </w:r>
      <w:r w:rsidR="0080122F">
        <w:rPr>
          <w:rFonts w:ascii="Times New Roman" w:eastAsia="Times New Roman" w:hAnsi="Times New Roman" w:cs="Times New Roman"/>
          <w:sz w:val="28"/>
          <w:szCs w:val="28"/>
          <w:lang w:eastAsia="ru-RU"/>
        </w:rPr>
        <w:t xml:space="preserve">филактики девиантного поведения </w:t>
      </w:r>
      <w:r w:rsidRPr="00BD5345">
        <w:rPr>
          <w:rFonts w:ascii="Times New Roman" w:eastAsia="Times New Roman" w:hAnsi="Times New Roman" w:cs="Times New Roman"/>
          <w:sz w:val="28"/>
          <w:szCs w:val="28"/>
          <w:lang w:eastAsia="ru-RU"/>
        </w:rPr>
        <w:t>несовершеннолетних», где с участи</w:t>
      </w:r>
      <w:r w:rsidR="00DF1E02">
        <w:rPr>
          <w:rFonts w:ascii="Times New Roman" w:eastAsia="Times New Roman" w:hAnsi="Times New Roman" w:cs="Times New Roman"/>
          <w:sz w:val="28"/>
          <w:szCs w:val="28"/>
          <w:lang w:eastAsia="ru-RU"/>
        </w:rPr>
        <w:t xml:space="preserve">ем более 3,5 тыс. специалистов </w:t>
      </w:r>
      <w:r w:rsidRPr="00BD5345">
        <w:rPr>
          <w:rFonts w:ascii="Times New Roman" w:eastAsia="Times New Roman" w:hAnsi="Times New Roman" w:cs="Times New Roman"/>
          <w:sz w:val="28"/>
          <w:szCs w:val="28"/>
          <w:lang w:eastAsia="ru-RU"/>
        </w:rPr>
        <w:t>из всех субъектов Российской Федерации</w:t>
      </w:r>
      <w:r w:rsidR="00DF1E02">
        <w:rPr>
          <w:rFonts w:ascii="Times New Roman" w:eastAsia="Times New Roman" w:hAnsi="Times New Roman" w:cs="Times New Roman"/>
          <w:sz w:val="28"/>
          <w:szCs w:val="28"/>
          <w:lang w:eastAsia="ru-RU"/>
        </w:rPr>
        <w:t xml:space="preserve"> обсуждались ключевые проблемы </w:t>
      </w:r>
      <w:r w:rsidRPr="00BD5345">
        <w:rPr>
          <w:rFonts w:ascii="Times New Roman" w:eastAsia="Times New Roman" w:hAnsi="Times New Roman" w:cs="Times New Roman"/>
          <w:sz w:val="28"/>
          <w:szCs w:val="28"/>
          <w:lang w:eastAsia="ru-RU"/>
        </w:rPr>
        <w:t>и задачи развития системы профилактики безнадзорности и пра</w:t>
      </w:r>
      <w:r w:rsidR="00C74ACE">
        <w:rPr>
          <w:rFonts w:ascii="Times New Roman" w:eastAsia="Times New Roman" w:hAnsi="Times New Roman" w:cs="Times New Roman"/>
          <w:sz w:val="28"/>
          <w:szCs w:val="28"/>
          <w:lang w:eastAsia="ru-RU"/>
        </w:rPr>
        <w:t>вонарушений несовершеннолетних.</w:t>
      </w:r>
    </w:p>
    <w:p w14:paraId="2F19C69F" w14:textId="77777777" w:rsidR="00BD5345" w:rsidRPr="00BD5345" w:rsidRDefault="00BD5345" w:rsidP="00DF1E02">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 xml:space="preserve">Органами и учреждениями системы профилактики </w:t>
      </w:r>
      <w:r w:rsidR="00DF1E02">
        <w:rPr>
          <w:rFonts w:ascii="Times New Roman" w:eastAsia="Times New Roman" w:hAnsi="Times New Roman" w:cs="Times New Roman"/>
          <w:sz w:val="28"/>
          <w:szCs w:val="28"/>
          <w:lang w:eastAsia="ru-RU"/>
        </w:rPr>
        <w:t xml:space="preserve">безнадзорности и правонарушений несовершеннолетних </w:t>
      </w:r>
      <w:r w:rsidRPr="00BD5345">
        <w:rPr>
          <w:rFonts w:ascii="Times New Roman" w:eastAsia="Times New Roman" w:hAnsi="Times New Roman" w:cs="Times New Roman"/>
          <w:sz w:val="28"/>
          <w:szCs w:val="28"/>
          <w:lang w:eastAsia="ru-RU"/>
        </w:rPr>
        <w:t>принимались меры по предупреждению распространения деструктивных движений и криминальных субку</w:t>
      </w:r>
      <w:r w:rsidR="00DF1E02">
        <w:rPr>
          <w:rFonts w:ascii="Times New Roman" w:eastAsia="Times New Roman" w:hAnsi="Times New Roman" w:cs="Times New Roman"/>
          <w:sz w:val="28"/>
          <w:szCs w:val="28"/>
          <w:lang w:eastAsia="ru-RU"/>
        </w:rPr>
        <w:t xml:space="preserve">льтур среди несовершеннолетних. </w:t>
      </w:r>
      <w:r w:rsidRPr="00BD5345">
        <w:rPr>
          <w:rFonts w:ascii="Times New Roman" w:eastAsia="Times New Roman" w:hAnsi="Times New Roman" w:cs="Times New Roman"/>
          <w:sz w:val="28"/>
          <w:szCs w:val="28"/>
          <w:lang w:eastAsia="ru-RU"/>
        </w:rPr>
        <w:t>Основное внимание уделялось недопущению популяризации деструктивного явления «</w:t>
      </w:r>
      <w:proofErr w:type="spellStart"/>
      <w:r w:rsidRPr="00BD5345">
        <w:rPr>
          <w:rFonts w:ascii="Times New Roman" w:eastAsia="Times New Roman" w:hAnsi="Times New Roman" w:cs="Times New Roman"/>
          <w:sz w:val="28"/>
          <w:szCs w:val="28"/>
          <w:lang w:eastAsia="ru-RU"/>
        </w:rPr>
        <w:t>скулшутинг</w:t>
      </w:r>
      <w:proofErr w:type="spellEnd"/>
      <w:r w:rsidRPr="00BD5345">
        <w:rPr>
          <w:rFonts w:ascii="Times New Roman" w:eastAsia="Times New Roman" w:hAnsi="Times New Roman" w:cs="Times New Roman"/>
          <w:sz w:val="28"/>
          <w:szCs w:val="28"/>
          <w:lang w:eastAsia="ru-RU"/>
        </w:rPr>
        <w:t xml:space="preserve">» среди учащихся образовательных организаций. </w:t>
      </w:r>
    </w:p>
    <w:p w14:paraId="0AE57DC8" w14:textId="77777777" w:rsidR="00BD5345" w:rsidRPr="00BD5345" w:rsidRDefault="00BD5345" w:rsidP="004A0710">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В рамках оперативного реагирован</w:t>
      </w:r>
      <w:r w:rsidR="004A0710">
        <w:rPr>
          <w:rFonts w:ascii="Times New Roman" w:eastAsia="Times New Roman" w:hAnsi="Times New Roman" w:cs="Times New Roman"/>
          <w:sz w:val="28"/>
          <w:szCs w:val="28"/>
          <w:lang w:eastAsia="ru-RU"/>
        </w:rPr>
        <w:t xml:space="preserve">ия на резонансные происшествия </w:t>
      </w:r>
      <w:r w:rsidRPr="00BD5345">
        <w:rPr>
          <w:rFonts w:ascii="Times New Roman" w:eastAsia="Times New Roman" w:hAnsi="Times New Roman" w:cs="Times New Roman"/>
          <w:sz w:val="28"/>
          <w:szCs w:val="28"/>
          <w:lang w:eastAsia="ru-RU"/>
        </w:rPr>
        <w:t xml:space="preserve">с участием обучающихся несовершеннолетних Минпросвещения России во взаимодействии с заинтересованными федеральными органами исполнительной власти, субъектами Российской Федерации, в том числе региональными и муниципальными </w:t>
      </w:r>
      <w:r w:rsidR="004A0710">
        <w:rPr>
          <w:rFonts w:ascii="Times New Roman" w:eastAsia="Times New Roman" w:hAnsi="Times New Roman" w:cs="Times New Roman"/>
          <w:sz w:val="28"/>
          <w:szCs w:val="28"/>
          <w:lang w:eastAsia="ru-RU"/>
        </w:rPr>
        <w:t>комиссиями по делам несовершеннолетних и защите их прав</w:t>
      </w:r>
      <w:r w:rsidRPr="00BD5345">
        <w:rPr>
          <w:rFonts w:ascii="Times New Roman" w:eastAsia="Times New Roman" w:hAnsi="Times New Roman" w:cs="Times New Roman"/>
          <w:sz w:val="28"/>
          <w:szCs w:val="28"/>
          <w:lang w:eastAsia="ru-RU"/>
        </w:rPr>
        <w:t>, организовано системное проведение мероприятий по выработке стратегии действий в конкретной ситуации, поиск дополнительных ресу</w:t>
      </w:r>
      <w:r w:rsidR="004A0710">
        <w:rPr>
          <w:rFonts w:ascii="Times New Roman" w:eastAsia="Times New Roman" w:hAnsi="Times New Roman" w:cs="Times New Roman"/>
          <w:sz w:val="28"/>
          <w:szCs w:val="28"/>
          <w:lang w:eastAsia="ru-RU"/>
        </w:rPr>
        <w:t xml:space="preserve">рсов, принятие эффективных мер. </w:t>
      </w:r>
      <w:r w:rsidRPr="00BD5345">
        <w:rPr>
          <w:rFonts w:ascii="Times New Roman" w:eastAsia="Times New Roman" w:hAnsi="Times New Roman" w:cs="Times New Roman"/>
          <w:sz w:val="28"/>
          <w:szCs w:val="28"/>
          <w:lang w:eastAsia="ru-RU"/>
        </w:rPr>
        <w:t>В 2021 г</w:t>
      </w:r>
      <w:r w:rsidR="00A7238F">
        <w:rPr>
          <w:rFonts w:ascii="Times New Roman" w:eastAsia="Times New Roman" w:hAnsi="Times New Roman" w:cs="Times New Roman"/>
          <w:sz w:val="28"/>
          <w:szCs w:val="28"/>
          <w:lang w:eastAsia="ru-RU"/>
        </w:rPr>
        <w:t>.</w:t>
      </w:r>
      <w:r w:rsidRPr="00BD5345">
        <w:rPr>
          <w:rFonts w:ascii="Times New Roman" w:eastAsia="Times New Roman" w:hAnsi="Times New Roman" w:cs="Times New Roman"/>
          <w:sz w:val="28"/>
          <w:szCs w:val="28"/>
          <w:lang w:eastAsia="ru-RU"/>
        </w:rPr>
        <w:t xml:space="preserve"> такая работа проводилась по 49 фактам в 39 субъектах Российской Федерации.</w:t>
      </w:r>
    </w:p>
    <w:p w14:paraId="21172817" w14:textId="77777777" w:rsidR="00BD5345" w:rsidRPr="00BD5345" w:rsidRDefault="00BD5345" w:rsidP="00A21663">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Во взаимодействии правоохранительных органов и педагогических коллективов осуществлялась работа п</w:t>
      </w:r>
      <w:r w:rsidR="0037242B">
        <w:rPr>
          <w:rFonts w:ascii="Times New Roman" w:eastAsia="Times New Roman" w:hAnsi="Times New Roman" w:cs="Times New Roman"/>
          <w:sz w:val="28"/>
          <w:szCs w:val="28"/>
          <w:lang w:eastAsia="ru-RU"/>
        </w:rPr>
        <w:t xml:space="preserve">о раннему выявлению подростков </w:t>
      </w:r>
      <w:r w:rsidRPr="00BD5345">
        <w:rPr>
          <w:rFonts w:ascii="Times New Roman" w:eastAsia="Times New Roman" w:hAnsi="Times New Roman" w:cs="Times New Roman"/>
          <w:sz w:val="28"/>
          <w:szCs w:val="28"/>
          <w:lang w:eastAsia="ru-RU"/>
        </w:rPr>
        <w:t xml:space="preserve">с признаками отклоняющегося, депрессивного и </w:t>
      </w:r>
      <w:proofErr w:type="spellStart"/>
      <w:r w:rsidRPr="00BD5345">
        <w:rPr>
          <w:rFonts w:ascii="Times New Roman" w:eastAsia="Times New Roman" w:hAnsi="Times New Roman" w:cs="Times New Roman"/>
          <w:sz w:val="28"/>
          <w:szCs w:val="28"/>
          <w:lang w:eastAsia="ru-RU"/>
        </w:rPr>
        <w:t>аутоагрессивного</w:t>
      </w:r>
      <w:proofErr w:type="spellEnd"/>
      <w:r w:rsidRPr="00BD5345">
        <w:rPr>
          <w:rFonts w:ascii="Times New Roman" w:eastAsia="Times New Roman" w:hAnsi="Times New Roman" w:cs="Times New Roman"/>
          <w:sz w:val="28"/>
          <w:szCs w:val="28"/>
          <w:lang w:eastAsia="ru-RU"/>
        </w:rPr>
        <w:t xml:space="preserve"> поведения.</w:t>
      </w:r>
    </w:p>
    <w:p w14:paraId="1069CA4F" w14:textId="77777777" w:rsidR="00BD5345" w:rsidRPr="00BD5345" w:rsidRDefault="00BD5345" w:rsidP="00A21663">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С учетом специфики указанная тема</w:t>
      </w:r>
      <w:r w:rsidR="0037242B">
        <w:rPr>
          <w:rFonts w:ascii="Times New Roman" w:eastAsia="Times New Roman" w:hAnsi="Times New Roman" w:cs="Times New Roman"/>
          <w:sz w:val="28"/>
          <w:szCs w:val="28"/>
          <w:lang w:eastAsia="ru-RU"/>
        </w:rPr>
        <w:t xml:space="preserve"> рассматривалась исключительно </w:t>
      </w:r>
      <w:r w:rsidRPr="00BD5345">
        <w:rPr>
          <w:rFonts w:ascii="Times New Roman" w:eastAsia="Times New Roman" w:hAnsi="Times New Roman" w:cs="Times New Roman"/>
          <w:sz w:val="28"/>
          <w:szCs w:val="28"/>
          <w:lang w:eastAsia="ru-RU"/>
        </w:rPr>
        <w:t>в родительских аудиториях, где разъяснялись особенности поведения подростков, причисляющих себя к деструктивным течениям, а также возможные последствия их действий.</w:t>
      </w:r>
    </w:p>
    <w:p w14:paraId="4582E4E8" w14:textId="77777777" w:rsidR="00BD5345" w:rsidRPr="00BD5345" w:rsidRDefault="002F76E3" w:rsidP="00A21663">
      <w:pPr>
        <w:autoSpaceDE w:val="0"/>
        <w:autoSpaceDN w:val="0"/>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данным формы статистической отчетности «Отчет о результатах территориальных органов МВД России по предупреждению и пресечению </w:t>
      </w:r>
      <w:r w:rsidR="00F47F39">
        <w:rPr>
          <w:rFonts w:ascii="Times New Roman" w:eastAsia="Times New Roman" w:hAnsi="Times New Roman" w:cs="Times New Roman"/>
          <w:sz w:val="28"/>
          <w:szCs w:val="28"/>
          <w:lang w:eastAsia="ru-RU"/>
        </w:rPr>
        <w:t>безнадзорности и правонарушений несовершеннолетних – «Несовершеннолетние», утвержденн</w:t>
      </w:r>
      <w:r w:rsidR="0080122F">
        <w:rPr>
          <w:rFonts w:ascii="Times New Roman" w:eastAsia="Times New Roman" w:hAnsi="Times New Roman" w:cs="Times New Roman"/>
          <w:sz w:val="28"/>
          <w:szCs w:val="28"/>
          <w:lang w:eastAsia="ru-RU"/>
        </w:rPr>
        <w:t>ой</w:t>
      </w:r>
      <w:r w:rsidR="00F47F39">
        <w:rPr>
          <w:rFonts w:ascii="Times New Roman" w:eastAsia="Times New Roman" w:hAnsi="Times New Roman" w:cs="Times New Roman"/>
          <w:sz w:val="28"/>
          <w:szCs w:val="28"/>
          <w:lang w:eastAsia="ru-RU"/>
        </w:rPr>
        <w:t xml:space="preserve"> приказом МВД России от 30 января 2014 г. № 57, в</w:t>
      </w:r>
      <w:r w:rsidR="00BD5345" w:rsidRPr="00BD5345">
        <w:rPr>
          <w:rFonts w:ascii="Times New Roman" w:eastAsia="Times New Roman" w:hAnsi="Times New Roman" w:cs="Times New Roman"/>
          <w:sz w:val="28"/>
          <w:szCs w:val="28"/>
          <w:lang w:eastAsia="ru-RU"/>
        </w:rPr>
        <w:t>сего в 2021 г</w:t>
      </w:r>
      <w:r w:rsidR="00A7238F">
        <w:rPr>
          <w:rFonts w:ascii="Times New Roman" w:eastAsia="Times New Roman" w:hAnsi="Times New Roman" w:cs="Times New Roman"/>
          <w:sz w:val="28"/>
          <w:szCs w:val="28"/>
          <w:lang w:eastAsia="ru-RU"/>
        </w:rPr>
        <w:t>.</w:t>
      </w:r>
      <w:r w:rsidR="00BD5345" w:rsidRPr="00BD5345">
        <w:rPr>
          <w:rFonts w:ascii="Times New Roman" w:eastAsia="Times New Roman" w:hAnsi="Times New Roman" w:cs="Times New Roman"/>
          <w:sz w:val="28"/>
          <w:szCs w:val="28"/>
          <w:lang w:eastAsia="ru-RU"/>
        </w:rPr>
        <w:t xml:space="preserve"> сотрудниками полиции выявлен 71 подросток, причастный к действиям экстремистского и националистического характера</w:t>
      </w:r>
      <w:r w:rsidR="0037242B" w:rsidRPr="00BD5345">
        <w:rPr>
          <w:rFonts w:ascii="Times New Roman" w:eastAsia="Times New Roman" w:hAnsi="Times New Roman" w:cs="Times New Roman"/>
          <w:sz w:val="28"/>
          <w:szCs w:val="28"/>
        </w:rPr>
        <w:t> </w:t>
      </w:r>
      <w:r w:rsidR="00F47F39" w:rsidRPr="00BD5345">
        <w:rPr>
          <w:rFonts w:ascii="Times New Roman" w:eastAsia="Times New Roman" w:hAnsi="Times New Roman" w:cs="Times New Roman"/>
          <w:sz w:val="28"/>
          <w:szCs w:val="28"/>
          <w:lang w:eastAsia="ru-RU"/>
        </w:rPr>
        <w:t>(+10,9%; 2020 г. – 64)</w:t>
      </w:r>
      <w:r w:rsidR="00BD5345" w:rsidRPr="00BD5345">
        <w:rPr>
          <w:rFonts w:ascii="Times New Roman" w:eastAsia="Times New Roman" w:hAnsi="Times New Roman" w:cs="Times New Roman"/>
          <w:sz w:val="28"/>
          <w:szCs w:val="28"/>
          <w:lang w:eastAsia="ru-RU"/>
        </w:rPr>
        <w:t xml:space="preserve">. </w:t>
      </w:r>
    </w:p>
    <w:p w14:paraId="49947890" w14:textId="77777777" w:rsidR="00BD5345" w:rsidRPr="00BD5345" w:rsidRDefault="00BD5345" w:rsidP="00A21663">
      <w:pPr>
        <w:autoSpaceDE w:val="0"/>
        <w:autoSpaceDN w:val="0"/>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В целях снижения уровня криминализации подростковой среды, выявления и привлечения к уголовной ответственности лиц, вовлекающих несовершеннолетних в противоправную д</w:t>
      </w:r>
      <w:r w:rsidR="00A83465">
        <w:rPr>
          <w:rFonts w:ascii="Times New Roman" w:eastAsia="Times New Roman" w:hAnsi="Times New Roman" w:cs="Times New Roman"/>
          <w:sz w:val="28"/>
          <w:szCs w:val="28"/>
          <w:lang w:eastAsia="ru-RU"/>
        </w:rPr>
        <w:t>еятельность, 15-</w:t>
      </w:r>
      <w:r w:rsidR="00F47F39">
        <w:rPr>
          <w:rFonts w:ascii="Times New Roman" w:eastAsia="Times New Roman" w:hAnsi="Times New Roman" w:cs="Times New Roman"/>
          <w:sz w:val="28"/>
          <w:szCs w:val="28"/>
          <w:lang w:eastAsia="ru-RU"/>
        </w:rPr>
        <w:t xml:space="preserve">21 апреля </w:t>
      </w:r>
      <w:r w:rsidRPr="00BD5345">
        <w:rPr>
          <w:rFonts w:ascii="Times New Roman" w:eastAsia="Times New Roman" w:hAnsi="Times New Roman" w:cs="Times New Roman"/>
          <w:sz w:val="28"/>
          <w:szCs w:val="28"/>
          <w:lang w:eastAsia="ru-RU"/>
        </w:rPr>
        <w:t>2021 г</w:t>
      </w:r>
      <w:r w:rsidR="00F47F39">
        <w:rPr>
          <w:rFonts w:ascii="Times New Roman" w:eastAsia="Times New Roman" w:hAnsi="Times New Roman" w:cs="Times New Roman"/>
          <w:sz w:val="28"/>
          <w:szCs w:val="28"/>
          <w:lang w:eastAsia="ru-RU"/>
        </w:rPr>
        <w:t>.</w:t>
      </w:r>
      <w:r w:rsidRPr="00BD5345">
        <w:rPr>
          <w:rFonts w:ascii="Times New Roman" w:eastAsia="Times New Roman" w:hAnsi="Times New Roman" w:cs="Times New Roman"/>
          <w:sz w:val="28"/>
          <w:szCs w:val="28"/>
          <w:lang w:eastAsia="ru-RU"/>
        </w:rPr>
        <w:t xml:space="preserve"> МВД России </w:t>
      </w:r>
      <w:r w:rsidR="00F47F39">
        <w:rPr>
          <w:rFonts w:ascii="Times New Roman" w:eastAsia="Times New Roman" w:hAnsi="Times New Roman" w:cs="Times New Roman"/>
          <w:sz w:val="28"/>
          <w:szCs w:val="28"/>
          <w:lang w:eastAsia="ru-RU"/>
        </w:rPr>
        <w:t>в соответствии с рас</w:t>
      </w:r>
      <w:r w:rsidR="005430C5">
        <w:rPr>
          <w:rFonts w:ascii="Times New Roman" w:eastAsia="Times New Roman" w:hAnsi="Times New Roman" w:cs="Times New Roman"/>
          <w:sz w:val="28"/>
          <w:szCs w:val="28"/>
          <w:lang w:eastAsia="ru-RU"/>
        </w:rPr>
        <w:t xml:space="preserve">поряжением от 18 марта 2021 г. </w:t>
      </w:r>
      <w:r w:rsidR="00F47F39">
        <w:rPr>
          <w:rFonts w:ascii="Times New Roman" w:eastAsia="Times New Roman" w:hAnsi="Times New Roman" w:cs="Times New Roman"/>
          <w:sz w:val="28"/>
          <w:szCs w:val="28"/>
          <w:lang w:eastAsia="ru-RU"/>
        </w:rPr>
        <w:t xml:space="preserve">№ 1/2762 </w:t>
      </w:r>
      <w:r w:rsidRPr="00BD5345">
        <w:rPr>
          <w:rFonts w:ascii="Times New Roman" w:eastAsia="Times New Roman" w:hAnsi="Times New Roman" w:cs="Times New Roman"/>
          <w:sz w:val="28"/>
          <w:szCs w:val="28"/>
          <w:lang w:eastAsia="ru-RU"/>
        </w:rPr>
        <w:t>проведено федеральное оперативно-профилактическое мероприятие «Твой выбор».</w:t>
      </w:r>
    </w:p>
    <w:p w14:paraId="5FE215CF" w14:textId="77777777" w:rsidR="00BD5345" w:rsidRPr="00BD5345" w:rsidRDefault="00BD5345" w:rsidP="00F47F39">
      <w:pPr>
        <w:autoSpaceDE w:val="0"/>
        <w:autoSpaceDN w:val="0"/>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В ходе мероприятия отработано 75,7 тыс. мест концентрации подростков, в том числе объект</w:t>
      </w:r>
      <w:r w:rsidR="00F47F39">
        <w:rPr>
          <w:rFonts w:ascii="Times New Roman" w:eastAsia="Times New Roman" w:hAnsi="Times New Roman" w:cs="Times New Roman"/>
          <w:sz w:val="28"/>
          <w:szCs w:val="28"/>
          <w:lang w:eastAsia="ru-RU"/>
        </w:rPr>
        <w:t xml:space="preserve">ов транспортной инфраструктуры. </w:t>
      </w:r>
      <w:r w:rsidRPr="00BD5345">
        <w:rPr>
          <w:rFonts w:ascii="Times New Roman" w:eastAsia="Times New Roman" w:hAnsi="Times New Roman" w:cs="Times New Roman"/>
          <w:sz w:val="28"/>
          <w:szCs w:val="28"/>
          <w:lang w:eastAsia="ru-RU"/>
        </w:rPr>
        <w:t>На профилактический учет в ор</w:t>
      </w:r>
      <w:r w:rsidR="00F47F39">
        <w:rPr>
          <w:rFonts w:ascii="Times New Roman" w:eastAsia="Times New Roman" w:hAnsi="Times New Roman" w:cs="Times New Roman"/>
          <w:sz w:val="28"/>
          <w:szCs w:val="28"/>
          <w:lang w:eastAsia="ru-RU"/>
        </w:rPr>
        <w:t xml:space="preserve">ганы внутренних дел поставлено </w:t>
      </w:r>
      <w:r w:rsidRPr="00BD5345">
        <w:rPr>
          <w:rFonts w:ascii="Times New Roman" w:eastAsia="Times New Roman" w:hAnsi="Times New Roman" w:cs="Times New Roman"/>
          <w:sz w:val="28"/>
          <w:szCs w:val="28"/>
          <w:lang w:eastAsia="ru-RU"/>
        </w:rPr>
        <w:t>642 группы несовершеннолетних с</w:t>
      </w:r>
      <w:r w:rsidRPr="00BD5345">
        <w:rPr>
          <w:rFonts w:ascii="Times New Roman" w:eastAsia="Times New Roman" w:hAnsi="Times New Roman" w:cs="Times New Roman"/>
          <w:sz w:val="28"/>
          <w:szCs w:val="28"/>
          <w:lang w:val="en-US" w:eastAsia="ru-RU"/>
        </w:rPr>
        <w:t> </w:t>
      </w:r>
      <w:r w:rsidRPr="00BD5345">
        <w:rPr>
          <w:rFonts w:ascii="Times New Roman" w:eastAsia="Times New Roman" w:hAnsi="Times New Roman" w:cs="Times New Roman"/>
          <w:sz w:val="28"/>
          <w:szCs w:val="28"/>
          <w:lang w:eastAsia="ru-RU"/>
        </w:rPr>
        <w:t>антиобщественной направленностью общей численностью свыше 1,4</w:t>
      </w:r>
      <w:r w:rsidRPr="00BD5345">
        <w:rPr>
          <w:rFonts w:ascii="Times New Roman" w:eastAsia="Times New Roman" w:hAnsi="Times New Roman" w:cs="Times New Roman"/>
          <w:sz w:val="28"/>
          <w:szCs w:val="28"/>
          <w:lang w:val="en-US" w:eastAsia="ru-RU"/>
        </w:rPr>
        <w:t> </w:t>
      </w:r>
      <w:r w:rsidRPr="00BD5345">
        <w:rPr>
          <w:rFonts w:ascii="Times New Roman" w:eastAsia="Times New Roman" w:hAnsi="Times New Roman" w:cs="Times New Roman"/>
          <w:sz w:val="28"/>
          <w:szCs w:val="28"/>
          <w:lang w:eastAsia="ru-RU"/>
        </w:rPr>
        <w:t xml:space="preserve">тыс. участников. </w:t>
      </w:r>
      <w:r w:rsidR="00F47F39">
        <w:rPr>
          <w:rFonts w:ascii="Times New Roman" w:eastAsia="Times New Roman" w:hAnsi="Times New Roman" w:cs="Times New Roman"/>
          <w:sz w:val="28"/>
          <w:szCs w:val="28"/>
          <w:lang w:eastAsia="ru-RU"/>
        </w:rPr>
        <w:t xml:space="preserve">Также установлена причастность </w:t>
      </w:r>
      <w:r w:rsidRPr="00BD5345">
        <w:rPr>
          <w:rFonts w:ascii="Times New Roman" w:eastAsia="Times New Roman" w:hAnsi="Times New Roman" w:cs="Times New Roman"/>
          <w:sz w:val="28"/>
          <w:szCs w:val="28"/>
          <w:lang w:eastAsia="ru-RU"/>
        </w:rPr>
        <w:t>к указанным группам 88 взрослых лиц.</w:t>
      </w:r>
    </w:p>
    <w:p w14:paraId="7F6B9CCF" w14:textId="77777777" w:rsidR="00BD5345" w:rsidRPr="00BD5345" w:rsidRDefault="00BD5345" w:rsidP="00A21663">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По установленным фактам</w:t>
      </w:r>
      <w:r w:rsidR="0037242B">
        <w:rPr>
          <w:rFonts w:ascii="Times New Roman" w:eastAsia="Times New Roman" w:hAnsi="Times New Roman" w:cs="Times New Roman"/>
          <w:sz w:val="28"/>
          <w:szCs w:val="28"/>
          <w:lang w:eastAsia="ru-RU"/>
        </w:rPr>
        <w:t xml:space="preserve"> вовлечения несовершеннолетних </w:t>
      </w:r>
      <w:r w:rsidRPr="00BD5345">
        <w:rPr>
          <w:rFonts w:ascii="Times New Roman" w:eastAsia="Times New Roman" w:hAnsi="Times New Roman" w:cs="Times New Roman"/>
          <w:sz w:val="28"/>
          <w:szCs w:val="28"/>
          <w:lang w:eastAsia="ru-RU"/>
        </w:rPr>
        <w:t xml:space="preserve">в преступные и антиобщественные действия в отношении 33 взрослых лиц возбуждены уголовные дела, из них по статье 150 </w:t>
      </w:r>
      <w:r w:rsidR="00C74ACE">
        <w:rPr>
          <w:rFonts w:ascii="Times New Roman" w:eastAsia="Times New Roman" w:hAnsi="Times New Roman" w:cs="Times New Roman"/>
          <w:sz w:val="28"/>
          <w:szCs w:val="28"/>
          <w:lang w:eastAsia="ru-RU"/>
        </w:rPr>
        <w:t>УК РФ</w:t>
      </w:r>
      <w:r w:rsidR="00F47F39">
        <w:rPr>
          <w:rFonts w:ascii="Times New Roman" w:eastAsia="Times New Roman" w:hAnsi="Times New Roman" w:cs="Times New Roman"/>
          <w:sz w:val="28"/>
          <w:szCs w:val="28"/>
          <w:lang w:eastAsia="ru-RU"/>
        </w:rPr>
        <w:t xml:space="preserve"> </w:t>
      </w:r>
      <w:r w:rsidRPr="00BD5345">
        <w:rPr>
          <w:rFonts w:ascii="Times New Roman" w:eastAsia="Times New Roman" w:hAnsi="Times New Roman" w:cs="Times New Roman"/>
          <w:sz w:val="28"/>
          <w:szCs w:val="28"/>
          <w:lang w:eastAsia="ru-RU"/>
        </w:rPr>
        <w:t xml:space="preserve">«Вовлечение несовершеннолетнего в совершение преступления» – 22, по статье 151 </w:t>
      </w:r>
      <w:r w:rsidR="00C74ACE">
        <w:rPr>
          <w:rFonts w:ascii="Times New Roman" w:eastAsia="Times New Roman" w:hAnsi="Times New Roman" w:cs="Times New Roman"/>
          <w:sz w:val="28"/>
          <w:szCs w:val="28"/>
          <w:lang w:eastAsia="ru-RU"/>
        </w:rPr>
        <w:t>УК РФ</w:t>
      </w:r>
      <w:r w:rsidR="00F47F39">
        <w:rPr>
          <w:rFonts w:ascii="Times New Roman" w:eastAsia="Times New Roman" w:hAnsi="Times New Roman" w:cs="Times New Roman"/>
          <w:sz w:val="28"/>
          <w:szCs w:val="28"/>
          <w:lang w:eastAsia="ru-RU"/>
        </w:rPr>
        <w:t xml:space="preserve"> </w:t>
      </w:r>
      <w:r w:rsidRPr="00BD5345">
        <w:rPr>
          <w:rFonts w:ascii="Times New Roman" w:eastAsia="Times New Roman" w:hAnsi="Times New Roman" w:cs="Times New Roman"/>
          <w:sz w:val="28"/>
          <w:szCs w:val="28"/>
          <w:lang w:eastAsia="ru-RU"/>
        </w:rPr>
        <w:t>«Вовлечение несовершеннолетних в</w:t>
      </w:r>
      <w:r w:rsidRPr="00BD5345">
        <w:rPr>
          <w:rFonts w:ascii="Times New Roman" w:eastAsia="Times New Roman" w:hAnsi="Times New Roman" w:cs="Times New Roman"/>
          <w:sz w:val="28"/>
          <w:szCs w:val="28"/>
          <w:lang w:val="en-US" w:eastAsia="ru-RU"/>
        </w:rPr>
        <w:t> </w:t>
      </w:r>
      <w:r w:rsidRPr="00BD5345">
        <w:rPr>
          <w:rFonts w:ascii="Times New Roman" w:eastAsia="Times New Roman" w:hAnsi="Times New Roman" w:cs="Times New Roman"/>
          <w:sz w:val="28"/>
          <w:szCs w:val="28"/>
          <w:lang w:eastAsia="ru-RU"/>
        </w:rPr>
        <w:t>антиобщественную деятельность» – 11.</w:t>
      </w:r>
    </w:p>
    <w:p w14:paraId="5E6B9FA4" w14:textId="77777777" w:rsidR="00BD5345" w:rsidRPr="00BD5345" w:rsidRDefault="00BD5345" w:rsidP="00A21663">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 xml:space="preserve">В </w:t>
      </w:r>
      <w:r w:rsidR="00F47F39">
        <w:rPr>
          <w:rFonts w:ascii="Times New Roman" w:eastAsia="Times New Roman" w:hAnsi="Times New Roman" w:cs="Times New Roman"/>
          <w:sz w:val="28"/>
          <w:szCs w:val="28"/>
          <w:lang w:eastAsia="ru-RU"/>
        </w:rPr>
        <w:t>образовательных организациях</w:t>
      </w:r>
      <w:r w:rsidRPr="00BD5345">
        <w:rPr>
          <w:rFonts w:ascii="Times New Roman" w:eastAsia="Times New Roman" w:hAnsi="Times New Roman" w:cs="Times New Roman"/>
          <w:sz w:val="28"/>
          <w:szCs w:val="28"/>
          <w:lang w:eastAsia="ru-RU"/>
        </w:rPr>
        <w:t xml:space="preserve"> сотрудниками органов внутренних дел проведено 39,3 тыс. лекций и бесед на правовую тему, в том числе по соблюдению законодательства, регламентирующего порядок проведения публичных мероприятий, а также мерам ответственности за размещение в сети «Интернет» запрещенной информации</w:t>
      </w:r>
      <w:r w:rsidR="00F47F39">
        <w:rPr>
          <w:rFonts w:ascii="Times New Roman" w:eastAsia="Times New Roman" w:hAnsi="Times New Roman" w:cs="Times New Roman"/>
          <w:sz w:val="28"/>
          <w:szCs w:val="28"/>
          <w:lang w:eastAsia="ru-RU"/>
        </w:rPr>
        <w:t>. О</w:t>
      </w:r>
      <w:r w:rsidRPr="00BD5345">
        <w:rPr>
          <w:rFonts w:ascii="Times New Roman" w:eastAsia="Times New Roman" w:hAnsi="Times New Roman" w:cs="Times New Roman"/>
          <w:sz w:val="28"/>
          <w:szCs w:val="28"/>
          <w:lang w:eastAsia="ru-RU"/>
        </w:rPr>
        <w:t>рганизовано 3,5</w:t>
      </w:r>
      <w:r w:rsidRPr="00BD5345">
        <w:rPr>
          <w:rFonts w:ascii="Times New Roman" w:eastAsia="Times New Roman" w:hAnsi="Times New Roman" w:cs="Times New Roman"/>
          <w:sz w:val="28"/>
          <w:szCs w:val="28"/>
          <w:lang w:val="en-US" w:eastAsia="ru-RU"/>
        </w:rPr>
        <w:t> </w:t>
      </w:r>
      <w:r w:rsidRPr="00BD5345">
        <w:rPr>
          <w:rFonts w:ascii="Times New Roman" w:eastAsia="Times New Roman" w:hAnsi="Times New Roman" w:cs="Times New Roman"/>
          <w:sz w:val="28"/>
          <w:szCs w:val="28"/>
          <w:lang w:eastAsia="ru-RU"/>
        </w:rPr>
        <w:t>тыс. родительских собраний, на которых отдельное внимание уделялось существующим рискам и</w:t>
      </w:r>
      <w:r w:rsidRPr="00BD5345">
        <w:rPr>
          <w:rFonts w:ascii="Times New Roman" w:eastAsia="Times New Roman" w:hAnsi="Times New Roman" w:cs="Times New Roman"/>
          <w:sz w:val="28"/>
          <w:szCs w:val="28"/>
          <w:lang w:val="en-US" w:eastAsia="ru-RU"/>
        </w:rPr>
        <w:t> </w:t>
      </w:r>
      <w:r w:rsidRPr="00BD5345">
        <w:rPr>
          <w:rFonts w:ascii="Times New Roman" w:eastAsia="Times New Roman" w:hAnsi="Times New Roman" w:cs="Times New Roman"/>
          <w:sz w:val="28"/>
          <w:szCs w:val="28"/>
          <w:lang w:eastAsia="ru-RU"/>
        </w:rPr>
        <w:t>потенциальным угрозам вовлечения детей в</w:t>
      </w:r>
      <w:r w:rsidRPr="00BD5345">
        <w:rPr>
          <w:rFonts w:ascii="Times New Roman" w:eastAsia="Times New Roman" w:hAnsi="Times New Roman" w:cs="Times New Roman"/>
          <w:sz w:val="28"/>
          <w:szCs w:val="28"/>
          <w:lang w:val="en-US" w:eastAsia="ru-RU"/>
        </w:rPr>
        <w:t> </w:t>
      </w:r>
      <w:r w:rsidRPr="00BD5345">
        <w:rPr>
          <w:rFonts w:ascii="Times New Roman" w:eastAsia="Times New Roman" w:hAnsi="Times New Roman" w:cs="Times New Roman"/>
          <w:sz w:val="28"/>
          <w:szCs w:val="28"/>
          <w:lang w:eastAsia="ru-RU"/>
        </w:rPr>
        <w:t>деструктивную деятельность, в том числе экстремистского характера.</w:t>
      </w:r>
    </w:p>
    <w:p w14:paraId="61D84CE3" w14:textId="77777777" w:rsidR="00BD5345" w:rsidRPr="00BD5345" w:rsidRDefault="00A83465" w:rsidP="00A21663">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BD5345" w:rsidRPr="00BD5345">
        <w:rPr>
          <w:rFonts w:ascii="Times New Roman" w:eastAsia="Times New Roman" w:hAnsi="Times New Roman" w:cs="Times New Roman"/>
          <w:sz w:val="28"/>
          <w:szCs w:val="28"/>
          <w:lang w:eastAsia="ru-RU"/>
        </w:rPr>
        <w:t>26 ноября 2021 г</w:t>
      </w:r>
      <w:r w:rsidR="00F47F39">
        <w:rPr>
          <w:rFonts w:ascii="Times New Roman" w:eastAsia="Times New Roman" w:hAnsi="Times New Roman" w:cs="Times New Roman"/>
          <w:sz w:val="28"/>
          <w:szCs w:val="28"/>
          <w:lang w:eastAsia="ru-RU"/>
        </w:rPr>
        <w:t>.</w:t>
      </w:r>
      <w:r w:rsidR="00BD5345" w:rsidRPr="00BD5345">
        <w:rPr>
          <w:rFonts w:ascii="Times New Roman" w:eastAsia="Times New Roman" w:hAnsi="Times New Roman" w:cs="Times New Roman"/>
          <w:sz w:val="28"/>
          <w:szCs w:val="28"/>
          <w:lang w:eastAsia="ru-RU"/>
        </w:rPr>
        <w:t xml:space="preserve"> МВД России проведено федеральное оперативно-профилактическое мероприятие «С ненавистью и ксенофобией нам не по пути», в ходе которого в образовательных организациях в формате конференций, круглых столов, лекций при участии духовенства, национальных диаспор и землячеств организована разъяснительная работа по профилактике экстремизма в молодежной среде, форм</w:t>
      </w:r>
      <w:r w:rsidR="00F47F39">
        <w:rPr>
          <w:rFonts w:ascii="Times New Roman" w:eastAsia="Times New Roman" w:hAnsi="Times New Roman" w:cs="Times New Roman"/>
          <w:sz w:val="28"/>
          <w:szCs w:val="28"/>
          <w:lang w:eastAsia="ru-RU"/>
        </w:rPr>
        <w:t xml:space="preserve">ированию негативного отношения </w:t>
      </w:r>
      <w:r w:rsidR="00BD5345" w:rsidRPr="00BD5345">
        <w:rPr>
          <w:rFonts w:ascii="Times New Roman" w:eastAsia="Times New Roman" w:hAnsi="Times New Roman" w:cs="Times New Roman"/>
          <w:sz w:val="28"/>
          <w:szCs w:val="28"/>
          <w:lang w:eastAsia="ru-RU"/>
        </w:rPr>
        <w:t>к радикальным объединениями движениям, развитию общественной активности, патриотизма.</w:t>
      </w:r>
    </w:p>
    <w:p w14:paraId="420A9966" w14:textId="77777777" w:rsidR="00BD5345" w:rsidRPr="00BD5345" w:rsidRDefault="00BD5345" w:rsidP="00A21663">
      <w:pPr>
        <w:spacing w:after="0" w:line="312" w:lineRule="auto"/>
        <w:ind w:firstLine="708"/>
        <w:jc w:val="both"/>
        <w:rPr>
          <w:rFonts w:ascii="Times New Roman" w:eastAsia="Times New Roman" w:hAnsi="Times New Roman" w:cs="Times New Roman"/>
          <w:sz w:val="28"/>
          <w:szCs w:val="28"/>
          <w:lang w:eastAsia="ru-RU"/>
        </w:rPr>
      </w:pPr>
      <w:r w:rsidRPr="00BD5345">
        <w:rPr>
          <w:rFonts w:ascii="Times New Roman" w:eastAsia="Calibri" w:hAnsi="Times New Roman" w:cs="Times New Roman"/>
          <w:sz w:val="28"/>
          <w:szCs w:val="28"/>
        </w:rPr>
        <w:t xml:space="preserve">В рамках </w:t>
      </w:r>
      <w:r w:rsidR="003C5F96">
        <w:rPr>
          <w:rFonts w:ascii="Times New Roman" w:eastAsia="Calibri" w:hAnsi="Times New Roman" w:cs="Times New Roman"/>
          <w:sz w:val="28"/>
          <w:szCs w:val="28"/>
        </w:rPr>
        <w:t>исполнения протокола оперативного совещания</w:t>
      </w:r>
      <w:r w:rsidRPr="00BD5345">
        <w:rPr>
          <w:rFonts w:ascii="Times New Roman" w:eastAsia="Calibri" w:hAnsi="Times New Roman" w:cs="Times New Roman"/>
          <w:sz w:val="28"/>
          <w:szCs w:val="28"/>
        </w:rPr>
        <w:t xml:space="preserve"> Совета Безопасности Российской Федерации</w:t>
      </w:r>
      <w:r w:rsidR="003C5F96">
        <w:rPr>
          <w:rFonts w:ascii="Times New Roman" w:eastAsia="Calibri" w:hAnsi="Times New Roman" w:cs="Times New Roman"/>
          <w:sz w:val="28"/>
          <w:szCs w:val="28"/>
        </w:rPr>
        <w:t xml:space="preserve"> от 2 декабря 2021 г. № Пр-2321</w:t>
      </w:r>
      <w:r w:rsidR="0037242B" w:rsidRPr="00BD5345">
        <w:rPr>
          <w:rFonts w:ascii="Times New Roman" w:eastAsia="Times New Roman" w:hAnsi="Times New Roman" w:cs="Times New Roman"/>
          <w:sz w:val="28"/>
          <w:szCs w:val="28"/>
        </w:rPr>
        <w:t> </w:t>
      </w:r>
      <w:r w:rsidRPr="00BD5345">
        <w:rPr>
          <w:rFonts w:ascii="Times New Roman" w:eastAsia="Calibri" w:hAnsi="Times New Roman" w:cs="Times New Roman"/>
          <w:sz w:val="28"/>
          <w:szCs w:val="28"/>
        </w:rPr>
        <w:t>приняты меры по усилению профилактической работы среди обучающихся, предупреждению вовлечени</w:t>
      </w:r>
      <w:r w:rsidR="003C5F96">
        <w:rPr>
          <w:rFonts w:ascii="Times New Roman" w:eastAsia="Calibri" w:hAnsi="Times New Roman" w:cs="Times New Roman"/>
          <w:sz w:val="28"/>
          <w:szCs w:val="28"/>
        </w:rPr>
        <w:t>я</w:t>
      </w:r>
      <w:r w:rsidRPr="00BD5345">
        <w:rPr>
          <w:rFonts w:ascii="Times New Roman" w:eastAsia="Calibri" w:hAnsi="Times New Roman" w:cs="Times New Roman"/>
          <w:sz w:val="28"/>
          <w:szCs w:val="28"/>
        </w:rPr>
        <w:t xml:space="preserve"> их в противоправную и иную деструктивную деятельность, совершенствованию механизмов взаимодействия правоохранительных и иных надзорных органов при поступлении сообщений граждан и организаций о выявлении в сети «Интернет» запрещенной информации, в том числе оказывающих негативное влияние на несовершеннолетних.</w:t>
      </w:r>
    </w:p>
    <w:p w14:paraId="2BABBE57" w14:textId="77777777" w:rsidR="00BD5345" w:rsidRPr="00BD5345" w:rsidRDefault="00BD5345" w:rsidP="00A21663">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Ввиду повышенного внимания к обозначенной проблеме территориальные органы МВД России ориентированы на незамедлительное реагирование на все проявления ненависти и насилия среди молодежи.</w:t>
      </w:r>
    </w:p>
    <w:p w14:paraId="76B1D2BD" w14:textId="77777777" w:rsidR="00BD5345" w:rsidRPr="00BD5345" w:rsidRDefault="00BD5345" w:rsidP="00A21663">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Профилактика девиантного поведения несовершеннолетних в современных условиях неразрывно связана с психолого-педагогическим сопровождением образовательного процесса, предусматривающим</w:t>
      </w:r>
      <w:r w:rsidR="002661F6">
        <w:rPr>
          <w:rFonts w:ascii="Times New Roman" w:eastAsia="Times New Roman" w:hAnsi="Times New Roman" w:cs="Times New Roman"/>
          <w:sz w:val="28"/>
          <w:szCs w:val="28"/>
          <w:lang w:eastAsia="ru-RU"/>
        </w:rPr>
        <w:t>,</w:t>
      </w:r>
      <w:r w:rsidRPr="00BD5345">
        <w:rPr>
          <w:rFonts w:ascii="Times New Roman" w:eastAsia="Times New Roman" w:hAnsi="Times New Roman" w:cs="Times New Roman"/>
          <w:sz w:val="28"/>
          <w:szCs w:val="28"/>
          <w:lang w:eastAsia="ru-RU"/>
        </w:rPr>
        <w:t xml:space="preserve"> в том числе обеспечение обучающихся доступной профессиональной психологической помощью, а также повышение квалификации педагогов-психологов в системе образования с учетом возникновения новых вызовов и рисков в подростковой среде.</w:t>
      </w:r>
    </w:p>
    <w:p w14:paraId="1EEE9346" w14:textId="77777777" w:rsidR="00BD5345" w:rsidRPr="00BD5345" w:rsidRDefault="00BD5345" w:rsidP="00A21663">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 xml:space="preserve">В рамках реализации федерального проекта «Современная школа» национального проекта «Образование» и в целях формирования единого пространства психологического сопровождения во всех образовательных организациях Минпросвещения России </w:t>
      </w:r>
      <w:r w:rsidR="00927A4D" w:rsidRPr="00BD5345">
        <w:rPr>
          <w:rFonts w:ascii="Times New Roman" w:eastAsia="Times New Roman" w:hAnsi="Times New Roman" w:cs="Times New Roman"/>
          <w:sz w:val="28"/>
          <w:szCs w:val="28"/>
          <w:lang w:eastAsia="ru-RU"/>
        </w:rPr>
        <w:t>в 2021 г</w:t>
      </w:r>
      <w:r w:rsidR="0089362F">
        <w:rPr>
          <w:rFonts w:ascii="Times New Roman" w:eastAsia="Times New Roman" w:hAnsi="Times New Roman" w:cs="Times New Roman"/>
          <w:sz w:val="28"/>
          <w:szCs w:val="28"/>
          <w:lang w:eastAsia="ru-RU"/>
        </w:rPr>
        <w:t>.</w:t>
      </w:r>
      <w:r w:rsidR="00927A4D" w:rsidRPr="00BD5345">
        <w:rPr>
          <w:rFonts w:ascii="Times New Roman" w:eastAsia="Times New Roman" w:hAnsi="Times New Roman" w:cs="Times New Roman"/>
          <w:sz w:val="28"/>
          <w:szCs w:val="28"/>
          <w:lang w:eastAsia="ru-RU"/>
        </w:rPr>
        <w:t xml:space="preserve"> </w:t>
      </w:r>
      <w:r w:rsidRPr="00BD5345">
        <w:rPr>
          <w:rFonts w:ascii="Times New Roman" w:eastAsia="Times New Roman" w:hAnsi="Times New Roman" w:cs="Times New Roman"/>
          <w:sz w:val="28"/>
          <w:szCs w:val="28"/>
          <w:lang w:eastAsia="ru-RU"/>
        </w:rPr>
        <w:t>разработ</w:t>
      </w:r>
      <w:r w:rsidR="0037242B">
        <w:rPr>
          <w:rFonts w:ascii="Times New Roman" w:eastAsia="Times New Roman" w:hAnsi="Times New Roman" w:cs="Times New Roman"/>
          <w:sz w:val="28"/>
          <w:szCs w:val="28"/>
          <w:lang w:eastAsia="ru-RU"/>
        </w:rPr>
        <w:t xml:space="preserve">аны и направлены </w:t>
      </w:r>
      <w:r w:rsidRPr="00BD5345">
        <w:rPr>
          <w:rFonts w:ascii="Times New Roman" w:eastAsia="Times New Roman" w:hAnsi="Times New Roman" w:cs="Times New Roman"/>
          <w:sz w:val="28"/>
          <w:szCs w:val="28"/>
          <w:lang w:eastAsia="ru-RU"/>
        </w:rPr>
        <w:t>в субъекты Российской Федерации методические рекомендации по системе функционирования психологических служб в общеобразовательных организациях, которые включают в себя</w:t>
      </w:r>
      <w:r w:rsidR="00C74ACE">
        <w:rPr>
          <w:rFonts w:ascii="Times New Roman" w:eastAsia="Times New Roman" w:hAnsi="Times New Roman" w:cs="Times New Roman"/>
          <w:sz w:val="28"/>
          <w:szCs w:val="28"/>
          <w:lang w:eastAsia="ru-RU"/>
        </w:rPr>
        <w:t>,</w:t>
      </w:r>
      <w:r w:rsidRPr="00BD5345">
        <w:rPr>
          <w:rFonts w:ascii="Times New Roman" w:eastAsia="Times New Roman" w:hAnsi="Times New Roman" w:cs="Times New Roman"/>
          <w:sz w:val="28"/>
          <w:szCs w:val="28"/>
          <w:lang w:eastAsia="ru-RU"/>
        </w:rPr>
        <w:t xml:space="preserve"> в том числе модели межведомственного и межуровневого взаимодействия специалистов психологической службы, открытые реестры рекомендуемых программ психологической помощи и психодиагностических методик, вызывающих доверие профессионального сообщества, с описанием минимально необходимых условий и требований их</w:t>
      </w:r>
      <w:r w:rsidR="005430C5">
        <w:rPr>
          <w:rFonts w:ascii="Times New Roman" w:eastAsia="Times New Roman" w:hAnsi="Times New Roman" w:cs="Times New Roman"/>
          <w:sz w:val="28"/>
          <w:szCs w:val="28"/>
          <w:lang w:eastAsia="ru-RU"/>
        </w:rPr>
        <w:t xml:space="preserve"> использования (заимствования) </w:t>
      </w:r>
      <w:r w:rsidRPr="00BD5345">
        <w:rPr>
          <w:rFonts w:ascii="Times New Roman" w:eastAsia="Times New Roman" w:hAnsi="Times New Roman" w:cs="Times New Roman"/>
          <w:sz w:val="28"/>
          <w:szCs w:val="28"/>
          <w:lang w:eastAsia="ru-RU"/>
        </w:rPr>
        <w:t>и применения в школе.</w:t>
      </w:r>
    </w:p>
    <w:p w14:paraId="4194AC96" w14:textId="77777777" w:rsidR="00BD5345" w:rsidRPr="00BD5345" w:rsidRDefault="00BD5345" w:rsidP="00A21663">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Для обеспечения системы общего и профессионального образования квалифицированными кадрами 3</w:t>
      </w:r>
      <w:r w:rsidRPr="00BD5345">
        <w:rPr>
          <w:rFonts w:ascii="Times New Roman" w:eastAsia="Times New Roman" w:hAnsi="Times New Roman" w:cs="Times New Roman"/>
          <w:sz w:val="28"/>
          <w:szCs w:val="28"/>
          <w:lang w:val="en-US" w:eastAsia="ru-RU"/>
        </w:rPr>
        <w:t> </w:t>
      </w:r>
      <w:r w:rsidRPr="00BD5345">
        <w:rPr>
          <w:rFonts w:ascii="Times New Roman" w:eastAsia="Times New Roman" w:hAnsi="Times New Roman" w:cs="Times New Roman"/>
          <w:sz w:val="28"/>
          <w:szCs w:val="28"/>
          <w:lang w:eastAsia="ru-RU"/>
        </w:rPr>
        <w:t>575 педагогов-психологов прошли повышение квалификации за сче</w:t>
      </w:r>
      <w:r w:rsidR="00D44DFE">
        <w:rPr>
          <w:rFonts w:ascii="Times New Roman" w:eastAsia="Times New Roman" w:hAnsi="Times New Roman" w:cs="Times New Roman"/>
          <w:sz w:val="28"/>
          <w:szCs w:val="28"/>
          <w:lang w:eastAsia="ru-RU"/>
        </w:rPr>
        <w:t>т средств федерального бюджета.</w:t>
      </w:r>
    </w:p>
    <w:p w14:paraId="7FADCD41" w14:textId="77777777" w:rsidR="00BD5345" w:rsidRPr="00BD5345" w:rsidRDefault="00BD5345" w:rsidP="00A21663">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В организации психолого-педагогического сопровождения в данной сфере основной акцент сделан на вопросы профилактики и коррекции девиантного поведения, ранней диагностики рисков формирования суицидального поведения и методов его коррекции, развития социально-эмоциональных навыков у об</w:t>
      </w:r>
      <w:r w:rsidR="005430C5">
        <w:rPr>
          <w:rFonts w:ascii="Times New Roman" w:eastAsia="Times New Roman" w:hAnsi="Times New Roman" w:cs="Times New Roman"/>
          <w:sz w:val="28"/>
          <w:szCs w:val="28"/>
          <w:lang w:eastAsia="ru-RU"/>
        </w:rPr>
        <w:t xml:space="preserve">учающихся, оказания экстренной </w:t>
      </w:r>
      <w:r w:rsidRPr="00BD5345">
        <w:rPr>
          <w:rFonts w:ascii="Times New Roman" w:eastAsia="Times New Roman" w:hAnsi="Times New Roman" w:cs="Times New Roman"/>
          <w:sz w:val="28"/>
          <w:szCs w:val="28"/>
          <w:lang w:eastAsia="ru-RU"/>
        </w:rPr>
        <w:t xml:space="preserve">и пролонгированной психологической помощи в кризисной ситуации, психолого-педагогического сопровождения детей с </w:t>
      </w:r>
      <w:r w:rsidR="00927A4D">
        <w:rPr>
          <w:rFonts w:ascii="Times New Roman" w:eastAsia="Times New Roman" w:hAnsi="Times New Roman" w:cs="Times New Roman"/>
          <w:sz w:val="28"/>
          <w:szCs w:val="28"/>
          <w:lang w:eastAsia="ru-RU"/>
        </w:rPr>
        <w:t>ОВЗ и инвалидностью.</w:t>
      </w:r>
    </w:p>
    <w:p w14:paraId="49A843DA" w14:textId="77777777" w:rsidR="00BD5345" w:rsidRPr="00BD5345" w:rsidRDefault="00BD5345" w:rsidP="00A21663">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В целях распространения эффективных практик по данному направлению деятельности проведены научно-практические конференции, форумы, в том числе с международным участием, на которых рассмотрены вопросы профилактики различных форм от</w:t>
      </w:r>
      <w:r w:rsidR="00A3609C">
        <w:rPr>
          <w:rFonts w:ascii="Times New Roman" w:eastAsia="Times New Roman" w:hAnsi="Times New Roman" w:cs="Times New Roman"/>
          <w:sz w:val="28"/>
          <w:szCs w:val="28"/>
          <w:lang w:eastAsia="ru-RU"/>
        </w:rPr>
        <w:t xml:space="preserve">клоняющегося поведения у детей </w:t>
      </w:r>
      <w:r w:rsidRPr="00BD5345">
        <w:rPr>
          <w:rFonts w:ascii="Times New Roman" w:eastAsia="Times New Roman" w:hAnsi="Times New Roman" w:cs="Times New Roman"/>
          <w:sz w:val="28"/>
          <w:szCs w:val="28"/>
          <w:lang w:eastAsia="ru-RU"/>
        </w:rPr>
        <w:t>и подростков, развития и сохранения психологического благополучия обучающихся, использования современных методов оказания психологической помощи несовершеннолетним. Общий охват участников составил 29,5 тыс. человек, среди которых педагоги-психологи образовательных организаций, центров психолого-педагогической, медицинской и социальной помощи, иные специалисты, обеспечивающие деяте</w:t>
      </w:r>
      <w:r w:rsidR="00927A4D">
        <w:rPr>
          <w:rFonts w:ascii="Times New Roman" w:eastAsia="Times New Roman" w:hAnsi="Times New Roman" w:cs="Times New Roman"/>
          <w:sz w:val="28"/>
          <w:szCs w:val="28"/>
          <w:lang w:eastAsia="ru-RU"/>
        </w:rPr>
        <w:t xml:space="preserve">льность психологической службы </w:t>
      </w:r>
      <w:r w:rsidRPr="00BD5345">
        <w:rPr>
          <w:rFonts w:ascii="Times New Roman" w:eastAsia="Times New Roman" w:hAnsi="Times New Roman" w:cs="Times New Roman"/>
          <w:sz w:val="28"/>
          <w:szCs w:val="28"/>
          <w:lang w:eastAsia="ru-RU"/>
        </w:rPr>
        <w:t>в системе образования.</w:t>
      </w:r>
    </w:p>
    <w:p w14:paraId="573FEB2B" w14:textId="77777777" w:rsidR="00BD5345" w:rsidRPr="00BD5345" w:rsidRDefault="00BD5345" w:rsidP="00A21663">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rPr>
      </w:pPr>
      <w:r w:rsidRPr="00205CA2">
        <w:rPr>
          <w:rFonts w:ascii="Times New Roman" w:eastAsia="Times New Roman" w:hAnsi="Times New Roman" w:cs="Times New Roman"/>
          <w:sz w:val="28"/>
          <w:szCs w:val="28"/>
          <w:lang w:eastAsia="ru-RU"/>
        </w:rPr>
        <w:t>В 2021 г</w:t>
      </w:r>
      <w:r w:rsidR="00E8322C">
        <w:rPr>
          <w:rFonts w:ascii="Times New Roman" w:eastAsia="Times New Roman" w:hAnsi="Times New Roman" w:cs="Times New Roman"/>
          <w:sz w:val="28"/>
          <w:szCs w:val="28"/>
          <w:lang w:eastAsia="ru-RU"/>
        </w:rPr>
        <w:t>.</w:t>
      </w:r>
      <w:r w:rsidRPr="00205CA2">
        <w:rPr>
          <w:rFonts w:ascii="Times New Roman" w:eastAsia="Times New Roman" w:hAnsi="Times New Roman" w:cs="Times New Roman"/>
          <w:sz w:val="28"/>
          <w:szCs w:val="28"/>
          <w:lang w:eastAsia="ru-RU"/>
        </w:rPr>
        <w:t xml:space="preserve"> завершена реализаци</w:t>
      </w:r>
      <w:r w:rsidR="00A3609C" w:rsidRPr="00205CA2">
        <w:rPr>
          <w:rFonts w:ascii="Times New Roman" w:eastAsia="Times New Roman" w:hAnsi="Times New Roman" w:cs="Times New Roman"/>
          <w:sz w:val="28"/>
          <w:szCs w:val="28"/>
          <w:lang w:eastAsia="ru-RU"/>
        </w:rPr>
        <w:t xml:space="preserve">я Комплекса мер, направленного </w:t>
      </w:r>
      <w:r w:rsidRPr="00205CA2">
        <w:rPr>
          <w:rFonts w:ascii="Times New Roman" w:eastAsia="Times New Roman" w:hAnsi="Times New Roman" w:cs="Times New Roman"/>
          <w:sz w:val="28"/>
          <w:szCs w:val="28"/>
          <w:lang w:eastAsia="ru-RU"/>
        </w:rPr>
        <w:t>на совершенствование деяте</w:t>
      </w:r>
      <w:r w:rsidR="00A3609C" w:rsidRPr="00205CA2">
        <w:rPr>
          <w:rFonts w:ascii="Times New Roman" w:eastAsia="Times New Roman" w:hAnsi="Times New Roman" w:cs="Times New Roman"/>
          <w:sz w:val="28"/>
          <w:szCs w:val="28"/>
          <w:lang w:eastAsia="ru-RU"/>
        </w:rPr>
        <w:t xml:space="preserve">льности психологической службы </w:t>
      </w:r>
      <w:r w:rsidRPr="00205CA2">
        <w:rPr>
          <w:rFonts w:ascii="Times New Roman" w:eastAsia="Times New Roman" w:hAnsi="Times New Roman" w:cs="Times New Roman"/>
          <w:sz w:val="28"/>
          <w:szCs w:val="28"/>
          <w:lang w:eastAsia="ru-RU"/>
        </w:rPr>
        <w:t>в образовательных организациях по обеспечению психолого-педагогической помощи участникам образовательных отношений, в том числе ранней профилактики девиантного поведения обучающихся, на 2019</w:t>
      </w:r>
      <w:r w:rsidR="00E8322C">
        <w:rPr>
          <w:rFonts w:ascii="Times New Roman" w:eastAsia="Times New Roman" w:hAnsi="Times New Roman" w:cs="Times New Roman"/>
          <w:sz w:val="28"/>
          <w:szCs w:val="28"/>
          <w:lang w:eastAsia="ru-RU"/>
        </w:rPr>
        <w:t>-</w:t>
      </w:r>
      <w:r w:rsidRPr="00205CA2">
        <w:rPr>
          <w:rFonts w:ascii="Times New Roman" w:eastAsia="Times New Roman" w:hAnsi="Times New Roman" w:cs="Times New Roman"/>
          <w:sz w:val="28"/>
          <w:szCs w:val="28"/>
          <w:lang w:eastAsia="ru-RU"/>
        </w:rPr>
        <w:t>2021 г</w:t>
      </w:r>
      <w:r w:rsidR="00E8322C">
        <w:rPr>
          <w:rFonts w:ascii="Times New Roman" w:eastAsia="Times New Roman" w:hAnsi="Times New Roman" w:cs="Times New Roman"/>
          <w:sz w:val="28"/>
          <w:szCs w:val="28"/>
          <w:lang w:eastAsia="ru-RU"/>
        </w:rPr>
        <w:t>г.</w:t>
      </w:r>
      <w:r w:rsidRPr="00205CA2">
        <w:rPr>
          <w:rFonts w:ascii="Times New Roman" w:eastAsia="Times New Roman" w:hAnsi="Times New Roman" w:cs="Times New Roman"/>
          <w:sz w:val="28"/>
          <w:szCs w:val="28"/>
          <w:lang w:eastAsia="ru-RU"/>
        </w:rPr>
        <w:t>, утвержденного Минпросвещения России (30 августа 2019</w:t>
      </w:r>
      <w:r w:rsidRPr="00205CA2">
        <w:rPr>
          <w:rFonts w:ascii="Times New Roman" w:eastAsia="Times New Roman" w:hAnsi="Times New Roman" w:cs="Times New Roman"/>
          <w:sz w:val="28"/>
          <w:szCs w:val="28"/>
          <w:lang w:val="en-US" w:eastAsia="ru-RU"/>
        </w:rPr>
        <w:t> </w:t>
      </w:r>
      <w:r w:rsidRPr="00205CA2">
        <w:rPr>
          <w:rFonts w:ascii="Times New Roman" w:eastAsia="Times New Roman" w:hAnsi="Times New Roman" w:cs="Times New Roman"/>
          <w:sz w:val="28"/>
          <w:szCs w:val="28"/>
          <w:lang w:eastAsia="ru-RU"/>
        </w:rPr>
        <w:t>г</w:t>
      </w:r>
      <w:r w:rsidR="00B96C44">
        <w:rPr>
          <w:rFonts w:ascii="Times New Roman" w:eastAsia="Times New Roman" w:hAnsi="Times New Roman" w:cs="Times New Roman"/>
          <w:sz w:val="28"/>
          <w:szCs w:val="28"/>
          <w:lang w:eastAsia="ru-RU"/>
        </w:rPr>
        <w:t>.</w:t>
      </w:r>
      <w:r w:rsidRPr="00205CA2">
        <w:rPr>
          <w:rFonts w:ascii="Times New Roman" w:eastAsia="Times New Roman" w:hAnsi="Times New Roman" w:cs="Times New Roman"/>
          <w:sz w:val="28"/>
          <w:szCs w:val="28"/>
          <w:lang w:eastAsia="ru-RU"/>
        </w:rPr>
        <w:t>) и Минобрнауки России (19 сентября 2019</w:t>
      </w:r>
      <w:r w:rsidRPr="00205CA2">
        <w:rPr>
          <w:rFonts w:ascii="Times New Roman" w:eastAsia="Times New Roman" w:hAnsi="Times New Roman" w:cs="Times New Roman"/>
          <w:sz w:val="28"/>
          <w:szCs w:val="28"/>
          <w:lang w:val="en-US" w:eastAsia="ru-RU"/>
        </w:rPr>
        <w:t> </w:t>
      </w:r>
      <w:r w:rsidRPr="00205CA2">
        <w:rPr>
          <w:rFonts w:ascii="Times New Roman" w:eastAsia="Times New Roman" w:hAnsi="Times New Roman" w:cs="Times New Roman"/>
          <w:sz w:val="28"/>
          <w:szCs w:val="28"/>
          <w:lang w:eastAsia="ru-RU"/>
        </w:rPr>
        <w:t>г</w:t>
      </w:r>
      <w:r w:rsidR="00B96C44">
        <w:rPr>
          <w:rFonts w:ascii="Times New Roman" w:eastAsia="Times New Roman" w:hAnsi="Times New Roman" w:cs="Times New Roman"/>
          <w:sz w:val="28"/>
          <w:szCs w:val="28"/>
          <w:lang w:eastAsia="ru-RU"/>
        </w:rPr>
        <w:t>.</w:t>
      </w:r>
      <w:r w:rsidRPr="00205CA2">
        <w:rPr>
          <w:rFonts w:ascii="Times New Roman" w:eastAsia="Times New Roman" w:hAnsi="Times New Roman" w:cs="Times New Roman"/>
          <w:sz w:val="28"/>
          <w:szCs w:val="28"/>
          <w:lang w:eastAsia="ru-RU"/>
        </w:rPr>
        <w:t>)</w:t>
      </w:r>
      <w:r w:rsidR="00434C95" w:rsidRPr="00205CA2">
        <w:rPr>
          <w:rFonts w:ascii="Times New Roman" w:eastAsia="Times New Roman" w:hAnsi="Times New Roman" w:cs="Times New Roman"/>
          <w:sz w:val="28"/>
          <w:szCs w:val="28"/>
          <w:lang w:eastAsia="ru-RU"/>
        </w:rPr>
        <w:t>.</w:t>
      </w:r>
      <w:r w:rsidRPr="00BD5345">
        <w:rPr>
          <w:rFonts w:ascii="Times New Roman" w:eastAsia="Times New Roman" w:hAnsi="Times New Roman" w:cs="Times New Roman"/>
          <w:sz w:val="28"/>
          <w:szCs w:val="28"/>
          <w:lang w:eastAsia="ru-RU"/>
        </w:rPr>
        <w:t xml:space="preserve"> Проведение мероприятий, предусмотренных указанным </w:t>
      </w:r>
      <w:r w:rsidR="00205CA2">
        <w:rPr>
          <w:rFonts w:ascii="Times New Roman" w:eastAsia="Times New Roman" w:hAnsi="Times New Roman" w:cs="Times New Roman"/>
          <w:sz w:val="28"/>
          <w:szCs w:val="28"/>
          <w:lang w:eastAsia="ru-RU"/>
        </w:rPr>
        <w:t>К</w:t>
      </w:r>
      <w:r w:rsidRPr="00BD5345">
        <w:rPr>
          <w:rFonts w:ascii="Times New Roman" w:eastAsia="Times New Roman" w:hAnsi="Times New Roman" w:cs="Times New Roman"/>
          <w:sz w:val="28"/>
          <w:szCs w:val="28"/>
          <w:lang w:eastAsia="ru-RU"/>
        </w:rPr>
        <w:t>омплексом мер, позволило</w:t>
      </w:r>
      <w:r w:rsidR="00AE5E60">
        <w:rPr>
          <w:rFonts w:ascii="Times New Roman" w:eastAsia="Times New Roman" w:hAnsi="Times New Roman" w:cs="Times New Roman"/>
          <w:sz w:val="28"/>
          <w:szCs w:val="28"/>
          <w:lang w:eastAsia="ru-RU"/>
        </w:rPr>
        <w:t>,</w:t>
      </w:r>
      <w:r w:rsidRPr="00BD5345">
        <w:rPr>
          <w:rFonts w:ascii="Times New Roman" w:eastAsia="Times New Roman" w:hAnsi="Times New Roman" w:cs="Times New Roman"/>
          <w:sz w:val="28"/>
          <w:szCs w:val="28"/>
          <w:lang w:eastAsia="ru-RU"/>
        </w:rPr>
        <w:t xml:space="preserve"> в том числе обеспечить увеличение на 4,2% численности штатных педагогов-психологов в образовательных организациях, актуализировать </w:t>
      </w:r>
      <w:r w:rsidR="00866716" w:rsidRPr="00592ED5">
        <w:rPr>
          <w:rFonts w:ascii="Times New Roman" w:eastAsia="Times New Roman" w:hAnsi="Times New Roman" w:cs="Times New Roman"/>
          <w:sz w:val="28"/>
          <w:szCs w:val="28"/>
          <w:lang w:eastAsia="ru-RU"/>
        </w:rPr>
        <w:t>ФГОС</w:t>
      </w:r>
      <w:r w:rsidRPr="00592ED5">
        <w:rPr>
          <w:rFonts w:ascii="Times New Roman" w:eastAsia="Times New Roman" w:hAnsi="Times New Roman" w:cs="Times New Roman"/>
          <w:sz w:val="28"/>
          <w:szCs w:val="28"/>
          <w:lang w:eastAsia="ru-RU"/>
        </w:rPr>
        <w:t xml:space="preserve"> высшего образования</w:t>
      </w:r>
      <w:r w:rsidRPr="00BD5345">
        <w:rPr>
          <w:rFonts w:ascii="Times New Roman" w:eastAsia="Times New Roman" w:hAnsi="Times New Roman" w:cs="Times New Roman"/>
          <w:sz w:val="28"/>
          <w:szCs w:val="28"/>
          <w:lang w:eastAsia="ru-RU"/>
        </w:rPr>
        <w:t xml:space="preserve"> по направлениям «Психология», «</w:t>
      </w:r>
      <w:proofErr w:type="spellStart"/>
      <w:r w:rsidRPr="00BD5345">
        <w:rPr>
          <w:rFonts w:ascii="Times New Roman" w:eastAsia="Times New Roman" w:hAnsi="Times New Roman" w:cs="Times New Roman"/>
          <w:sz w:val="28"/>
          <w:szCs w:val="28"/>
          <w:lang w:eastAsia="ru-RU"/>
        </w:rPr>
        <w:t>Конфликтология</w:t>
      </w:r>
      <w:proofErr w:type="spellEnd"/>
      <w:r w:rsidRPr="00BD5345">
        <w:rPr>
          <w:rFonts w:ascii="Times New Roman" w:eastAsia="Times New Roman" w:hAnsi="Times New Roman" w:cs="Times New Roman"/>
          <w:sz w:val="28"/>
          <w:szCs w:val="28"/>
          <w:lang w:eastAsia="ru-RU"/>
        </w:rPr>
        <w:t>», «Клиническая психология», «Педагогика и психология девиантного поведения», по которым осуществляется подготовка психологов для образовательной среды.</w:t>
      </w:r>
    </w:p>
    <w:p w14:paraId="4A2DBCD1" w14:textId="7A07A9E5" w:rsidR="00BD5345" w:rsidRPr="00BD5345" w:rsidRDefault="00BD5345" w:rsidP="00A21663">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 xml:space="preserve">В </w:t>
      </w:r>
      <w:r w:rsidR="0075660D">
        <w:rPr>
          <w:rFonts w:ascii="Times New Roman" w:eastAsia="Times New Roman" w:hAnsi="Times New Roman" w:cs="Times New Roman"/>
          <w:sz w:val="28"/>
          <w:szCs w:val="28"/>
          <w:lang w:eastAsia="ru-RU"/>
        </w:rPr>
        <w:t xml:space="preserve">рамках исполнения подпункта «д» </w:t>
      </w:r>
      <w:r w:rsidR="0075660D" w:rsidRPr="00BD5345">
        <w:rPr>
          <w:rFonts w:ascii="Times New Roman" w:eastAsia="Times New Roman" w:hAnsi="Times New Roman" w:cs="Times New Roman"/>
          <w:sz w:val="28"/>
          <w:szCs w:val="28"/>
          <w:lang w:eastAsia="ru-RU"/>
        </w:rPr>
        <w:t>пункта 1</w:t>
      </w:r>
      <w:r w:rsidR="0075660D">
        <w:rPr>
          <w:rFonts w:ascii="Times New Roman" w:eastAsia="Times New Roman" w:hAnsi="Times New Roman" w:cs="Times New Roman"/>
          <w:sz w:val="28"/>
          <w:szCs w:val="28"/>
          <w:lang w:eastAsia="ru-RU"/>
        </w:rPr>
        <w:t xml:space="preserve"> перечня</w:t>
      </w:r>
      <w:r w:rsidRPr="00BD5345">
        <w:rPr>
          <w:rFonts w:ascii="Times New Roman" w:eastAsia="Times New Roman" w:hAnsi="Times New Roman" w:cs="Times New Roman"/>
          <w:sz w:val="28"/>
          <w:szCs w:val="28"/>
          <w:lang w:eastAsia="ru-RU"/>
        </w:rPr>
        <w:t xml:space="preserve"> поручени</w:t>
      </w:r>
      <w:r w:rsidR="0075660D">
        <w:rPr>
          <w:rFonts w:ascii="Times New Roman" w:eastAsia="Times New Roman" w:hAnsi="Times New Roman" w:cs="Times New Roman"/>
          <w:sz w:val="28"/>
          <w:szCs w:val="28"/>
          <w:lang w:eastAsia="ru-RU"/>
        </w:rPr>
        <w:t>й</w:t>
      </w:r>
      <w:r w:rsidRPr="00BD5345">
        <w:rPr>
          <w:rFonts w:ascii="Times New Roman" w:eastAsia="Times New Roman" w:hAnsi="Times New Roman" w:cs="Times New Roman"/>
          <w:sz w:val="28"/>
          <w:szCs w:val="28"/>
          <w:lang w:eastAsia="ru-RU"/>
        </w:rPr>
        <w:t xml:space="preserve"> П</w:t>
      </w:r>
      <w:r w:rsidR="0075660D">
        <w:rPr>
          <w:rFonts w:ascii="Times New Roman" w:eastAsia="Times New Roman" w:hAnsi="Times New Roman" w:cs="Times New Roman"/>
          <w:sz w:val="28"/>
          <w:szCs w:val="28"/>
          <w:lang w:eastAsia="ru-RU"/>
        </w:rPr>
        <w:t xml:space="preserve">резидента Российской Федерации </w:t>
      </w:r>
      <w:r w:rsidRPr="00BD5345">
        <w:rPr>
          <w:rFonts w:ascii="Times New Roman" w:eastAsia="Times New Roman" w:hAnsi="Times New Roman" w:cs="Times New Roman"/>
          <w:sz w:val="28"/>
          <w:szCs w:val="28"/>
          <w:lang w:eastAsia="ru-RU"/>
        </w:rPr>
        <w:t>от 30 сентября 2021</w:t>
      </w:r>
      <w:r w:rsidRPr="00BD5345">
        <w:rPr>
          <w:rFonts w:ascii="Times New Roman" w:eastAsia="Times New Roman" w:hAnsi="Times New Roman" w:cs="Times New Roman"/>
          <w:sz w:val="28"/>
          <w:szCs w:val="28"/>
          <w:lang w:val="en-US" w:eastAsia="ru-RU"/>
        </w:rPr>
        <w:t> </w:t>
      </w:r>
      <w:r w:rsidRPr="00BD5345">
        <w:rPr>
          <w:rFonts w:ascii="Times New Roman" w:eastAsia="Times New Roman" w:hAnsi="Times New Roman" w:cs="Times New Roman"/>
          <w:sz w:val="28"/>
          <w:szCs w:val="28"/>
          <w:lang w:eastAsia="ru-RU"/>
        </w:rPr>
        <w:t>г. №</w:t>
      </w:r>
      <w:r w:rsidRPr="00BD5345">
        <w:rPr>
          <w:rFonts w:ascii="Times New Roman" w:eastAsia="Times New Roman" w:hAnsi="Times New Roman" w:cs="Times New Roman"/>
          <w:sz w:val="28"/>
          <w:szCs w:val="28"/>
          <w:lang w:val="en-US" w:eastAsia="ru-RU"/>
        </w:rPr>
        <w:t> </w:t>
      </w:r>
      <w:r w:rsidRPr="00BD5345">
        <w:rPr>
          <w:rFonts w:ascii="Times New Roman" w:eastAsia="Times New Roman" w:hAnsi="Times New Roman" w:cs="Times New Roman"/>
          <w:sz w:val="28"/>
          <w:szCs w:val="28"/>
          <w:lang w:eastAsia="ru-RU"/>
        </w:rPr>
        <w:t>Пр-1845 начата работа по актуализации Концепции развития психологической службы в системе образования до 2025 г</w:t>
      </w:r>
      <w:r w:rsidR="00E8322C">
        <w:rPr>
          <w:rFonts w:ascii="Times New Roman" w:eastAsia="Times New Roman" w:hAnsi="Times New Roman" w:cs="Times New Roman"/>
          <w:sz w:val="28"/>
          <w:szCs w:val="28"/>
          <w:lang w:eastAsia="ru-RU"/>
        </w:rPr>
        <w:t>.</w:t>
      </w:r>
      <w:r w:rsidR="009F744B">
        <w:rPr>
          <w:rFonts w:ascii="Times New Roman" w:eastAsia="Times New Roman" w:hAnsi="Times New Roman" w:cs="Times New Roman"/>
          <w:sz w:val="28"/>
          <w:szCs w:val="28"/>
          <w:lang w:eastAsia="ru-RU"/>
        </w:rPr>
        <w:t>, утвержденной Министром образования и науки 19 декабря 2017 г.,</w:t>
      </w:r>
      <w:r w:rsidRPr="00BD5345">
        <w:rPr>
          <w:rFonts w:ascii="Times New Roman" w:eastAsia="Times New Roman" w:hAnsi="Times New Roman" w:cs="Times New Roman"/>
          <w:sz w:val="28"/>
          <w:szCs w:val="28"/>
          <w:lang w:eastAsia="ru-RU"/>
        </w:rPr>
        <w:t xml:space="preserve"> и плана мероприятий по ее реализации</w:t>
      </w:r>
      <w:r w:rsidR="009F744B">
        <w:rPr>
          <w:rFonts w:ascii="Times New Roman" w:eastAsia="Times New Roman" w:hAnsi="Times New Roman" w:cs="Times New Roman"/>
          <w:sz w:val="28"/>
          <w:szCs w:val="28"/>
          <w:lang w:eastAsia="ru-RU"/>
        </w:rPr>
        <w:t xml:space="preserve">, утвержденного Министром образования и науки </w:t>
      </w:r>
      <w:r w:rsidR="00C36EB2">
        <w:rPr>
          <w:rFonts w:ascii="Times New Roman" w:eastAsia="Times New Roman" w:hAnsi="Times New Roman" w:cs="Times New Roman"/>
          <w:sz w:val="28"/>
          <w:szCs w:val="28"/>
          <w:lang w:eastAsia="ru-RU"/>
        </w:rPr>
        <w:br/>
      </w:r>
      <w:r w:rsidR="009F744B">
        <w:rPr>
          <w:rFonts w:ascii="Times New Roman" w:eastAsia="Times New Roman" w:hAnsi="Times New Roman" w:cs="Times New Roman"/>
          <w:sz w:val="28"/>
          <w:szCs w:val="28"/>
          <w:lang w:eastAsia="ru-RU"/>
        </w:rPr>
        <w:t>11 мая 2018 г.</w:t>
      </w:r>
    </w:p>
    <w:p w14:paraId="57B182DA" w14:textId="77777777" w:rsidR="00BD5345" w:rsidRPr="00BD5345" w:rsidRDefault="00BD5345" w:rsidP="00A21663">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Кроме того, по итогам 2021 г</w:t>
      </w:r>
      <w:r w:rsidR="00075ADD">
        <w:rPr>
          <w:rFonts w:ascii="Times New Roman" w:eastAsia="Times New Roman" w:hAnsi="Times New Roman" w:cs="Times New Roman"/>
          <w:sz w:val="28"/>
          <w:szCs w:val="28"/>
          <w:lang w:eastAsia="ru-RU"/>
        </w:rPr>
        <w:t>.</w:t>
      </w:r>
      <w:r w:rsidRPr="00BD5345">
        <w:rPr>
          <w:rFonts w:ascii="Times New Roman" w:eastAsia="Times New Roman" w:hAnsi="Times New Roman" w:cs="Times New Roman"/>
          <w:sz w:val="28"/>
          <w:szCs w:val="28"/>
          <w:lang w:eastAsia="ru-RU"/>
        </w:rPr>
        <w:t xml:space="preserve"> на базе ФГБОУ ВО «Московский государственный психолого-педагогический университет» создан Федеральный координационный центр по обеспечению психологической службы в системе образования Российской Федерации, деятельность которого позволит принять дополнительные меры по организационному и экспертно-методическому сопровождению указанных служб.</w:t>
      </w:r>
    </w:p>
    <w:p w14:paraId="4FF5D8BC" w14:textId="77777777" w:rsidR="00BD5345" w:rsidRPr="00BD5345" w:rsidRDefault="00BD5345" w:rsidP="00A21663">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Одним из эффективных механизмов предупреждения противоправной действий несовершеннолетних является формирование бесконфликтной образовательной среды.</w:t>
      </w:r>
    </w:p>
    <w:p w14:paraId="25888196" w14:textId="77777777" w:rsidR="00BD5345" w:rsidRPr="00BD5345" w:rsidRDefault="00BD5345" w:rsidP="00A21663">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В 2021 г</w:t>
      </w:r>
      <w:r w:rsidR="00885CB9">
        <w:rPr>
          <w:rFonts w:ascii="Times New Roman" w:eastAsia="Times New Roman" w:hAnsi="Times New Roman" w:cs="Times New Roman"/>
          <w:sz w:val="28"/>
          <w:szCs w:val="28"/>
          <w:lang w:eastAsia="ru-RU"/>
        </w:rPr>
        <w:t>.</w:t>
      </w:r>
      <w:r w:rsidRPr="00BD5345">
        <w:rPr>
          <w:rFonts w:ascii="Times New Roman" w:eastAsia="Times New Roman" w:hAnsi="Times New Roman" w:cs="Times New Roman"/>
          <w:sz w:val="28"/>
          <w:szCs w:val="28"/>
          <w:lang w:eastAsia="ru-RU"/>
        </w:rPr>
        <w:t xml:space="preserve"> ФГБУ «Центр защиты пра</w:t>
      </w:r>
      <w:r w:rsidR="00CA4BA4">
        <w:rPr>
          <w:rFonts w:ascii="Times New Roman" w:eastAsia="Times New Roman" w:hAnsi="Times New Roman" w:cs="Times New Roman"/>
          <w:sz w:val="28"/>
          <w:szCs w:val="28"/>
          <w:lang w:eastAsia="ru-RU"/>
        </w:rPr>
        <w:t xml:space="preserve">в и интересов детей» совместно </w:t>
      </w:r>
      <w:r w:rsidRPr="00BD5345">
        <w:rPr>
          <w:rFonts w:ascii="Times New Roman" w:eastAsia="Times New Roman" w:hAnsi="Times New Roman" w:cs="Times New Roman"/>
          <w:sz w:val="28"/>
          <w:szCs w:val="28"/>
          <w:lang w:eastAsia="ru-RU"/>
        </w:rPr>
        <w:t xml:space="preserve">с Минобрнауки России разработана дополнительная общеразвивающая программа интерактивных занятий для детей, подростков и молодежи по вопросам ненасильственных методов разрешения споров и конфликтов «Курс юного переговорщика», направленная в субъекты Российской Федерации для применения в практической деятельности. </w:t>
      </w:r>
    </w:p>
    <w:p w14:paraId="00E01071" w14:textId="77777777" w:rsidR="00BD5345" w:rsidRPr="00BD5345" w:rsidRDefault="00BD5345" w:rsidP="00A21663">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 xml:space="preserve">На базе </w:t>
      </w:r>
      <w:r w:rsidR="00205CA2">
        <w:rPr>
          <w:rFonts w:ascii="Times New Roman" w:eastAsia="Times New Roman" w:hAnsi="Times New Roman" w:cs="Times New Roman"/>
          <w:sz w:val="28"/>
          <w:szCs w:val="28"/>
          <w:lang w:eastAsia="ru-RU"/>
        </w:rPr>
        <w:t>ВДЦ</w:t>
      </w:r>
      <w:r w:rsidR="005430C5">
        <w:rPr>
          <w:rFonts w:ascii="Times New Roman" w:eastAsia="Times New Roman" w:hAnsi="Times New Roman" w:cs="Times New Roman"/>
          <w:sz w:val="28"/>
          <w:szCs w:val="28"/>
          <w:lang w:eastAsia="ru-RU"/>
        </w:rPr>
        <w:t xml:space="preserve"> «Орленок» </w:t>
      </w:r>
      <w:r w:rsidR="00885CB9">
        <w:rPr>
          <w:rFonts w:ascii="Times New Roman" w:eastAsia="Times New Roman" w:hAnsi="Times New Roman" w:cs="Times New Roman"/>
          <w:sz w:val="28"/>
          <w:szCs w:val="28"/>
          <w:lang w:eastAsia="ru-RU"/>
        </w:rPr>
        <w:t>12-</w:t>
      </w:r>
      <w:r w:rsidRPr="00BD5345">
        <w:rPr>
          <w:rFonts w:ascii="Times New Roman" w:eastAsia="Times New Roman" w:hAnsi="Times New Roman" w:cs="Times New Roman"/>
          <w:sz w:val="28"/>
          <w:szCs w:val="28"/>
          <w:lang w:eastAsia="ru-RU"/>
        </w:rPr>
        <w:t>17 сентября 2021 г</w:t>
      </w:r>
      <w:r w:rsidR="009F744B">
        <w:rPr>
          <w:rFonts w:ascii="Times New Roman" w:eastAsia="Times New Roman" w:hAnsi="Times New Roman" w:cs="Times New Roman"/>
          <w:sz w:val="28"/>
          <w:szCs w:val="28"/>
          <w:lang w:eastAsia="ru-RU"/>
        </w:rPr>
        <w:t>.</w:t>
      </w:r>
      <w:r w:rsidR="0037242B" w:rsidRPr="00BD5345">
        <w:rPr>
          <w:rFonts w:ascii="Times New Roman" w:eastAsia="Times New Roman" w:hAnsi="Times New Roman" w:cs="Times New Roman"/>
          <w:sz w:val="28"/>
          <w:szCs w:val="28"/>
        </w:rPr>
        <w:t> </w:t>
      </w:r>
      <w:r w:rsidR="005231B9">
        <w:rPr>
          <w:rFonts w:ascii="Times New Roman" w:eastAsia="Times New Roman" w:hAnsi="Times New Roman" w:cs="Times New Roman"/>
          <w:sz w:val="28"/>
          <w:szCs w:val="28"/>
          <w:lang w:eastAsia="ru-RU"/>
        </w:rPr>
        <w:t>ФГБ</w:t>
      </w:r>
      <w:r w:rsidR="006A090D" w:rsidRPr="00BD5345">
        <w:rPr>
          <w:rFonts w:ascii="Times New Roman" w:eastAsia="Times New Roman" w:hAnsi="Times New Roman" w:cs="Times New Roman"/>
          <w:sz w:val="28"/>
          <w:szCs w:val="28"/>
          <w:lang w:eastAsia="ru-RU"/>
        </w:rPr>
        <w:t>У «Центр защиты прав и интересов детей»</w:t>
      </w:r>
      <w:r w:rsidRPr="00BD5345">
        <w:rPr>
          <w:rFonts w:ascii="Times New Roman" w:eastAsia="Times New Roman" w:hAnsi="Times New Roman" w:cs="Times New Roman"/>
          <w:sz w:val="28"/>
          <w:szCs w:val="28"/>
          <w:lang w:eastAsia="ru-RU"/>
        </w:rPr>
        <w:t xml:space="preserve"> совместно с Минпросвещения России организована и проведена темат</w:t>
      </w:r>
      <w:r w:rsidR="006A090D">
        <w:rPr>
          <w:rFonts w:ascii="Times New Roman" w:eastAsia="Times New Roman" w:hAnsi="Times New Roman" w:cs="Times New Roman"/>
          <w:sz w:val="28"/>
          <w:szCs w:val="28"/>
          <w:lang w:eastAsia="ru-RU"/>
        </w:rPr>
        <w:t>ическая смена «Юный медиатор», участниками которой</w:t>
      </w:r>
      <w:r w:rsidRPr="00BD5345">
        <w:rPr>
          <w:rFonts w:ascii="Times New Roman" w:eastAsia="Times New Roman" w:hAnsi="Times New Roman" w:cs="Times New Roman"/>
          <w:sz w:val="28"/>
          <w:szCs w:val="28"/>
          <w:lang w:eastAsia="ru-RU"/>
        </w:rPr>
        <w:t xml:space="preserve"> стали 104 подростка в возрасте от 13 до 17 лет из 15 субъектов Российской Федерации.</w:t>
      </w:r>
    </w:p>
    <w:p w14:paraId="2EE37453" w14:textId="77777777" w:rsidR="00BD5345" w:rsidRPr="00BD5345" w:rsidRDefault="00755EF0" w:rsidP="00A21663">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w:t>
      </w:r>
      <w:r w:rsidRPr="00BD5345">
        <w:rPr>
          <w:rFonts w:ascii="Times New Roman" w:eastAsia="Times New Roman" w:hAnsi="Times New Roman" w:cs="Times New Roman"/>
          <w:sz w:val="28"/>
          <w:szCs w:val="28"/>
          <w:lang w:eastAsia="ru-RU"/>
        </w:rPr>
        <w:t xml:space="preserve">ирокое распространение в </w:t>
      </w:r>
      <w:r>
        <w:rPr>
          <w:rFonts w:ascii="Times New Roman" w:eastAsia="Times New Roman" w:hAnsi="Times New Roman" w:cs="Times New Roman"/>
          <w:sz w:val="28"/>
          <w:szCs w:val="28"/>
          <w:lang w:eastAsia="ru-RU"/>
        </w:rPr>
        <w:t>субъектах</w:t>
      </w:r>
      <w:r w:rsidRPr="00BD5345">
        <w:rPr>
          <w:rFonts w:ascii="Times New Roman" w:eastAsia="Times New Roman" w:hAnsi="Times New Roman" w:cs="Times New Roman"/>
          <w:sz w:val="28"/>
          <w:szCs w:val="28"/>
          <w:lang w:eastAsia="ru-RU"/>
        </w:rPr>
        <w:t xml:space="preserve"> Российской Федерации </w:t>
      </w:r>
      <w:r>
        <w:rPr>
          <w:rFonts w:ascii="Times New Roman" w:eastAsia="Times New Roman" w:hAnsi="Times New Roman" w:cs="Times New Roman"/>
          <w:sz w:val="28"/>
          <w:szCs w:val="28"/>
          <w:lang w:eastAsia="ru-RU"/>
        </w:rPr>
        <w:t xml:space="preserve">также </w:t>
      </w:r>
      <w:r w:rsidRPr="00BD5345">
        <w:rPr>
          <w:rFonts w:ascii="Times New Roman" w:eastAsia="Times New Roman" w:hAnsi="Times New Roman" w:cs="Times New Roman"/>
          <w:sz w:val="28"/>
          <w:szCs w:val="28"/>
          <w:lang w:eastAsia="ru-RU"/>
        </w:rPr>
        <w:t xml:space="preserve">получили </w:t>
      </w:r>
      <w:r>
        <w:rPr>
          <w:rFonts w:ascii="Times New Roman" w:eastAsia="Times New Roman" w:hAnsi="Times New Roman" w:cs="Times New Roman"/>
          <w:sz w:val="28"/>
          <w:szCs w:val="28"/>
          <w:lang w:eastAsia="ru-RU"/>
        </w:rPr>
        <w:t>м</w:t>
      </w:r>
      <w:r w:rsidR="00205CA2">
        <w:rPr>
          <w:rFonts w:ascii="Times New Roman" w:eastAsia="Times New Roman" w:hAnsi="Times New Roman" w:cs="Times New Roman"/>
          <w:sz w:val="28"/>
          <w:szCs w:val="28"/>
          <w:lang w:eastAsia="ru-RU"/>
        </w:rPr>
        <w:t>едиативные технологии.</w:t>
      </w:r>
    </w:p>
    <w:p w14:paraId="66F2739C" w14:textId="77777777" w:rsidR="00BD5345" w:rsidRPr="009A4233" w:rsidRDefault="00BD5345" w:rsidP="009A4233">
      <w:pPr>
        <w:autoSpaceDE w:val="0"/>
        <w:autoSpaceDN w:val="0"/>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 xml:space="preserve">Так, в Красноярском крае постановлением краевой комиссии от 20 мая 2021 г. № 55-кдн утвержден Порядок межведомственного взаимодействия муниципальных </w:t>
      </w:r>
      <w:r w:rsidR="009A4233">
        <w:rPr>
          <w:rFonts w:ascii="Times New Roman" w:eastAsia="Times New Roman" w:hAnsi="Times New Roman" w:cs="Times New Roman"/>
          <w:sz w:val="28"/>
          <w:szCs w:val="28"/>
          <w:lang w:eastAsia="ru-RU"/>
        </w:rPr>
        <w:t>комиссий по делам несовершеннолетних и защите их прав</w:t>
      </w:r>
      <w:r w:rsidRPr="00BD5345">
        <w:rPr>
          <w:rFonts w:ascii="Times New Roman" w:eastAsia="Times New Roman" w:hAnsi="Times New Roman" w:cs="Times New Roman"/>
          <w:sz w:val="28"/>
          <w:szCs w:val="28"/>
          <w:lang w:eastAsia="ru-RU"/>
        </w:rPr>
        <w:t xml:space="preserve"> и служб медиации (примирения) по реализации медиативных (восстановительных) программ в отношении несовершеннолетних</w:t>
      </w:r>
      <w:r w:rsidR="009A4233">
        <w:rPr>
          <w:rFonts w:ascii="Times New Roman" w:eastAsia="Times New Roman" w:hAnsi="Times New Roman" w:cs="Times New Roman"/>
          <w:sz w:val="28"/>
          <w:szCs w:val="28"/>
          <w:lang w:eastAsia="ru-RU"/>
        </w:rPr>
        <w:t xml:space="preserve">. </w:t>
      </w:r>
      <w:r w:rsidRPr="00BD5345">
        <w:rPr>
          <w:rFonts w:ascii="Times New Roman" w:eastAsia="Times New Roman" w:hAnsi="Times New Roman" w:cs="Times New Roman"/>
          <w:sz w:val="28"/>
          <w:szCs w:val="28"/>
          <w:lang w:eastAsia="ru-RU"/>
        </w:rPr>
        <w:t>По состоянию на 1 января 2022 г</w:t>
      </w:r>
      <w:r w:rsidR="009A4233">
        <w:rPr>
          <w:rFonts w:ascii="Times New Roman" w:eastAsia="Times New Roman" w:hAnsi="Times New Roman" w:cs="Times New Roman"/>
          <w:sz w:val="28"/>
          <w:szCs w:val="28"/>
          <w:lang w:eastAsia="ru-RU"/>
        </w:rPr>
        <w:t>.</w:t>
      </w:r>
      <w:r w:rsidRPr="00BD5345">
        <w:rPr>
          <w:rFonts w:ascii="Times New Roman" w:eastAsia="Times New Roman" w:hAnsi="Times New Roman" w:cs="Times New Roman"/>
          <w:sz w:val="28"/>
          <w:szCs w:val="28"/>
          <w:lang w:eastAsia="ru-RU"/>
        </w:rPr>
        <w:t xml:space="preserve"> действуют </w:t>
      </w:r>
      <w:r w:rsidR="00885CB9">
        <w:rPr>
          <w:rFonts w:ascii="Times New Roman" w:eastAsia="Times New Roman" w:hAnsi="Times New Roman" w:cs="Times New Roman"/>
          <w:sz w:val="28"/>
          <w:szCs w:val="28"/>
          <w:lang w:eastAsia="ru-RU"/>
        </w:rPr>
        <w:br/>
      </w:r>
      <w:r w:rsidRPr="00BD5345">
        <w:rPr>
          <w:rFonts w:ascii="Times New Roman" w:eastAsia="Times New Roman" w:hAnsi="Times New Roman" w:cs="Times New Roman"/>
          <w:sz w:val="28"/>
          <w:szCs w:val="28"/>
          <w:lang w:eastAsia="ru-RU"/>
        </w:rPr>
        <w:t xml:space="preserve">577 служб медиации учреждений системы образования, из них в общеобразовательных организациях – 496, профессиональных образовательных организациях – 22, дошкольных образовательных организациях – 4, краевых государственных казенных </w:t>
      </w:r>
      <w:r w:rsidRPr="00BD5345">
        <w:rPr>
          <w:rFonts w:ascii="Times New Roman" w:eastAsia="Times New Roman" w:hAnsi="Times New Roman" w:cs="Times New Roman"/>
          <w:spacing w:val="-4"/>
          <w:sz w:val="28"/>
          <w:szCs w:val="28"/>
          <w:lang w:eastAsia="ru-RU"/>
        </w:rPr>
        <w:t>учреждениях для детей-сирот и детей, оставшихся без попечения родителей</w:t>
      </w:r>
      <w:r w:rsidR="009A4233">
        <w:rPr>
          <w:rFonts w:ascii="Times New Roman" w:eastAsia="Times New Roman" w:hAnsi="Times New Roman" w:cs="Times New Roman"/>
          <w:spacing w:val="-4"/>
          <w:sz w:val="28"/>
          <w:szCs w:val="28"/>
          <w:lang w:eastAsia="ru-RU"/>
        </w:rPr>
        <w:t>,</w:t>
      </w:r>
      <w:r w:rsidRPr="00BD5345">
        <w:rPr>
          <w:rFonts w:ascii="Times New Roman" w:eastAsia="Times New Roman" w:hAnsi="Times New Roman" w:cs="Times New Roman"/>
          <w:spacing w:val="-4"/>
          <w:sz w:val="28"/>
          <w:szCs w:val="28"/>
          <w:lang w:eastAsia="ru-RU"/>
        </w:rPr>
        <w:t xml:space="preserve"> – 17.</w:t>
      </w:r>
    </w:p>
    <w:p w14:paraId="7E4A1CBE" w14:textId="77777777" w:rsidR="00BD5345" w:rsidRPr="00BD5345" w:rsidRDefault="00BD5345" w:rsidP="00A21663">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 xml:space="preserve">Службы медиации образовательных организаций реализуют профилактические программы «Профилактика конфликтов», «Как вести себя при возникновении конфликта», «Мы вместе!», «Мир без конфликтов», «Прикладная </w:t>
      </w:r>
      <w:proofErr w:type="spellStart"/>
      <w:r w:rsidRPr="00BD5345">
        <w:rPr>
          <w:rFonts w:ascii="Times New Roman" w:eastAsia="Times New Roman" w:hAnsi="Times New Roman" w:cs="Times New Roman"/>
          <w:sz w:val="28"/>
          <w:szCs w:val="28"/>
          <w:lang w:eastAsia="ru-RU"/>
        </w:rPr>
        <w:t>конфликтология</w:t>
      </w:r>
      <w:proofErr w:type="spellEnd"/>
      <w:r w:rsidRPr="00BD5345">
        <w:rPr>
          <w:rFonts w:ascii="Times New Roman" w:eastAsia="Times New Roman" w:hAnsi="Times New Roman" w:cs="Times New Roman"/>
          <w:sz w:val="28"/>
          <w:szCs w:val="28"/>
          <w:lang w:eastAsia="ru-RU"/>
        </w:rPr>
        <w:t>», «Здоровый образ жизни», «Правила поведения в социальных сетях», провели акцию «Коробка позитива – корзина негатива».</w:t>
      </w:r>
    </w:p>
    <w:p w14:paraId="7C3DB149" w14:textId="77777777" w:rsidR="00BD5345" w:rsidRPr="00BD5345" w:rsidRDefault="00BD5345" w:rsidP="005F2B02">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В 2021 г</w:t>
      </w:r>
      <w:r w:rsidR="00885CB9">
        <w:rPr>
          <w:rFonts w:ascii="Times New Roman" w:eastAsia="Times New Roman" w:hAnsi="Times New Roman" w:cs="Times New Roman"/>
          <w:sz w:val="28"/>
          <w:szCs w:val="28"/>
          <w:lang w:eastAsia="ru-RU"/>
        </w:rPr>
        <w:t>.</w:t>
      </w:r>
      <w:r w:rsidRPr="00BD5345">
        <w:rPr>
          <w:rFonts w:ascii="Times New Roman" w:eastAsia="Times New Roman" w:hAnsi="Times New Roman" w:cs="Times New Roman"/>
          <w:sz w:val="28"/>
          <w:szCs w:val="28"/>
          <w:lang w:eastAsia="ru-RU"/>
        </w:rPr>
        <w:t xml:space="preserve"> службами примирения, действующими на базе 13 краевых учреждений социального обслуживания, проведено 168 программ восстановительной мед</w:t>
      </w:r>
      <w:r w:rsidR="00205CA2">
        <w:rPr>
          <w:rFonts w:ascii="Times New Roman" w:eastAsia="Times New Roman" w:hAnsi="Times New Roman" w:cs="Times New Roman"/>
          <w:sz w:val="28"/>
          <w:szCs w:val="28"/>
          <w:lang w:eastAsia="ru-RU"/>
        </w:rPr>
        <w:t xml:space="preserve">иации, в которых приняли участие </w:t>
      </w:r>
      <w:r w:rsidR="005F2B02">
        <w:rPr>
          <w:rFonts w:ascii="Times New Roman" w:eastAsia="Times New Roman" w:hAnsi="Times New Roman" w:cs="Times New Roman"/>
          <w:sz w:val="28"/>
          <w:szCs w:val="28"/>
          <w:lang w:eastAsia="ru-RU"/>
        </w:rPr>
        <w:t xml:space="preserve">233 человека. </w:t>
      </w:r>
      <w:r w:rsidRPr="00BD5345">
        <w:rPr>
          <w:rFonts w:ascii="Times New Roman" w:eastAsia="Times New Roman" w:hAnsi="Times New Roman" w:cs="Times New Roman"/>
          <w:sz w:val="28"/>
          <w:szCs w:val="28"/>
          <w:lang w:eastAsia="ru-RU"/>
        </w:rPr>
        <w:t>В работе служб примирения специалистами применяются такие методики работы, как «семейные конференции», «круги правосудия», «письмо жертве».</w:t>
      </w:r>
    </w:p>
    <w:p w14:paraId="65C73EEB" w14:textId="77777777" w:rsidR="00BD5345" w:rsidRPr="00BD5345" w:rsidRDefault="00BD5345" w:rsidP="00A21663">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 xml:space="preserve">Семьи и несовершеннолетние, получившие услуги в службах примирения, после завершения программ медиации остаются на социальном сопровождении в краевых учреждениях социального обслуживания, в том числе с целью недопущения </w:t>
      </w:r>
      <w:r w:rsidR="001C3F10">
        <w:rPr>
          <w:rFonts w:ascii="Times New Roman" w:eastAsia="Times New Roman" w:hAnsi="Times New Roman" w:cs="Times New Roman"/>
          <w:sz w:val="28"/>
          <w:szCs w:val="28"/>
          <w:lang w:eastAsia="ru-RU"/>
        </w:rPr>
        <w:t>повторения аналогичных проблем.</w:t>
      </w:r>
    </w:p>
    <w:p w14:paraId="27C5B1E3" w14:textId="77777777" w:rsidR="00BD5345" w:rsidRPr="00BD5345" w:rsidRDefault="00BD5345" w:rsidP="00A21663">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Специалисты краевых учреждений социального обслуживания тесно взаимодействуют со школьными службами медиации, при необходимости активно включаются в примирительну</w:t>
      </w:r>
      <w:r w:rsidR="005430C5">
        <w:rPr>
          <w:rFonts w:ascii="Times New Roman" w:eastAsia="Times New Roman" w:hAnsi="Times New Roman" w:cs="Times New Roman"/>
          <w:sz w:val="28"/>
          <w:szCs w:val="28"/>
          <w:lang w:eastAsia="ru-RU"/>
        </w:rPr>
        <w:t xml:space="preserve">ю практику и дальнейшую работу </w:t>
      </w:r>
      <w:r w:rsidRPr="00BD5345">
        <w:rPr>
          <w:rFonts w:ascii="Times New Roman" w:eastAsia="Times New Roman" w:hAnsi="Times New Roman" w:cs="Times New Roman"/>
          <w:sz w:val="28"/>
          <w:szCs w:val="28"/>
          <w:lang w:eastAsia="ru-RU"/>
        </w:rPr>
        <w:t>с участниками конфликта.</w:t>
      </w:r>
    </w:p>
    <w:p w14:paraId="6646163F" w14:textId="77777777" w:rsidR="00BD5345" w:rsidRPr="00BD5345" w:rsidRDefault="00BD5345" w:rsidP="00A21663">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МБОУ «Гимназия № 7» г. Красноярска в рамках гранта государственной программы Российской Федерации «Развитие образования» реализует инновационный проект «Школьная модель профилактики делинквентного (отклоняющегося) поведения обучающихся на основе реализации медиативного подхода, организации деятельности служб школьной медиации в системе общего образования Кр</w:t>
      </w:r>
      <w:r w:rsidR="001C3F10">
        <w:rPr>
          <w:rFonts w:ascii="Times New Roman" w:eastAsia="Times New Roman" w:hAnsi="Times New Roman" w:cs="Times New Roman"/>
          <w:sz w:val="28"/>
          <w:szCs w:val="28"/>
          <w:lang w:eastAsia="ru-RU"/>
        </w:rPr>
        <w:t>асноярского края».</w:t>
      </w:r>
    </w:p>
    <w:p w14:paraId="29D0655A" w14:textId="100133AE" w:rsidR="00BD5345" w:rsidRPr="00BD5345" w:rsidRDefault="00BD5345" w:rsidP="00A21663">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В 2021 г</w:t>
      </w:r>
      <w:r w:rsidR="00910103">
        <w:rPr>
          <w:rFonts w:ascii="Times New Roman" w:eastAsia="Times New Roman" w:hAnsi="Times New Roman" w:cs="Times New Roman"/>
          <w:sz w:val="28"/>
          <w:szCs w:val="28"/>
          <w:lang w:eastAsia="ru-RU"/>
        </w:rPr>
        <w:t>.</w:t>
      </w:r>
      <w:r w:rsidRPr="00BD5345">
        <w:rPr>
          <w:rFonts w:ascii="Times New Roman" w:eastAsia="Times New Roman" w:hAnsi="Times New Roman" w:cs="Times New Roman"/>
          <w:sz w:val="28"/>
          <w:szCs w:val="28"/>
          <w:lang w:eastAsia="ru-RU"/>
        </w:rPr>
        <w:t xml:space="preserve"> школьная модель успешно апробирована уже </w:t>
      </w:r>
      <w:r w:rsidR="00C36EB2">
        <w:rPr>
          <w:rFonts w:ascii="Times New Roman" w:eastAsia="Times New Roman" w:hAnsi="Times New Roman" w:cs="Times New Roman"/>
          <w:sz w:val="28"/>
          <w:szCs w:val="28"/>
          <w:lang w:eastAsia="ru-RU"/>
        </w:rPr>
        <w:br/>
      </w:r>
      <w:r w:rsidRPr="00BD5345">
        <w:rPr>
          <w:rFonts w:ascii="Times New Roman" w:eastAsia="Times New Roman" w:hAnsi="Times New Roman" w:cs="Times New Roman"/>
          <w:sz w:val="28"/>
          <w:szCs w:val="28"/>
          <w:lang w:eastAsia="ru-RU"/>
        </w:rPr>
        <w:t xml:space="preserve">в 10 </w:t>
      </w:r>
      <w:r w:rsidR="001E4FE6">
        <w:rPr>
          <w:rFonts w:ascii="Times New Roman" w:eastAsia="Times New Roman" w:hAnsi="Times New Roman" w:cs="Times New Roman"/>
          <w:sz w:val="28"/>
          <w:szCs w:val="28"/>
          <w:lang w:eastAsia="ru-RU"/>
        </w:rPr>
        <w:t>общеобразовательных организациях</w:t>
      </w:r>
      <w:r w:rsidRPr="00BD5345">
        <w:rPr>
          <w:rFonts w:ascii="Times New Roman" w:eastAsia="Times New Roman" w:hAnsi="Times New Roman" w:cs="Times New Roman"/>
          <w:sz w:val="28"/>
          <w:szCs w:val="28"/>
          <w:lang w:eastAsia="ru-RU"/>
        </w:rPr>
        <w:t xml:space="preserve"> края. Для ее внедрения в практику деятельности муниципальных </w:t>
      </w:r>
      <w:r w:rsidR="001E4FE6">
        <w:rPr>
          <w:rFonts w:ascii="Times New Roman" w:eastAsia="Times New Roman" w:hAnsi="Times New Roman" w:cs="Times New Roman"/>
          <w:sz w:val="28"/>
          <w:szCs w:val="28"/>
          <w:lang w:eastAsia="ru-RU"/>
        </w:rPr>
        <w:t xml:space="preserve">комиссий по делам несовершеннолетних и защите их прав </w:t>
      </w:r>
      <w:r w:rsidRPr="00BD5345">
        <w:rPr>
          <w:rFonts w:ascii="Times New Roman" w:eastAsia="Times New Roman" w:hAnsi="Times New Roman" w:cs="Times New Roman"/>
          <w:sz w:val="28"/>
          <w:szCs w:val="28"/>
          <w:lang w:eastAsia="ru-RU"/>
        </w:rPr>
        <w:t xml:space="preserve">и субъектов системы профилактики </w:t>
      </w:r>
      <w:r w:rsidR="001E4FE6">
        <w:rPr>
          <w:rFonts w:ascii="Times New Roman" w:eastAsia="Times New Roman" w:hAnsi="Times New Roman" w:cs="Times New Roman"/>
          <w:sz w:val="28"/>
          <w:szCs w:val="28"/>
          <w:lang w:eastAsia="ru-RU"/>
        </w:rPr>
        <w:t xml:space="preserve">безнадзорности и правонарушений несовершеннолетних </w:t>
      </w:r>
      <w:r w:rsidRPr="00BD5345">
        <w:rPr>
          <w:rFonts w:ascii="Times New Roman" w:eastAsia="Times New Roman" w:hAnsi="Times New Roman" w:cs="Times New Roman"/>
          <w:sz w:val="28"/>
          <w:szCs w:val="28"/>
          <w:lang w:eastAsia="ru-RU"/>
        </w:rPr>
        <w:t>использования ресурса служб медиации (примирения) в целях координации и реализации медиативных (восстановительных) технологий были определены пилотные территории. Результаты показали востребованность и эффективность такой работы.</w:t>
      </w:r>
    </w:p>
    <w:p w14:paraId="3ACCE7D7" w14:textId="77777777" w:rsidR="00BD5345" w:rsidRPr="00BD5345" w:rsidRDefault="00BD5345" w:rsidP="00A21663">
      <w:pPr>
        <w:autoSpaceDE w:val="0"/>
        <w:autoSpaceDN w:val="0"/>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По состоянию на 1 января 2022 г</w:t>
      </w:r>
      <w:r w:rsidR="001E4FE6">
        <w:rPr>
          <w:rFonts w:ascii="Times New Roman" w:eastAsia="Times New Roman" w:hAnsi="Times New Roman" w:cs="Times New Roman"/>
          <w:sz w:val="28"/>
          <w:szCs w:val="28"/>
          <w:lang w:eastAsia="ru-RU"/>
        </w:rPr>
        <w:t>.</w:t>
      </w:r>
      <w:r w:rsidRPr="00BD5345">
        <w:rPr>
          <w:rFonts w:ascii="Times New Roman" w:eastAsia="Times New Roman" w:hAnsi="Times New Roman" w:cs="Times New Roman"/>
          <w:sz w:val="28"/>
          <w:szCs w:val="28"/>
          <w:lang w:eastAsia="ru-RU"/>
        </w:rPr>
        <w:t xml:space="preserve"> краевой комиссией сформирован региональный реестр действующих медиаторов (служб медиации (примирения)), осуществляющих проведение программ медиации (восстановительных программ), который размещен для широкого использования заинтересованными лицами и организациями на странице краевой комиссии </w:t>
      </w:r>
      <w:r w:rsidR="001C3F10">
        <w:rPr>
          <w:rFonts w:ascii="Times New Roman" w:eastAsia="Times New Roman" w:hAnsi="Times New Roman" w:cs="Times New Roman"/>
          <w:sz w:val="28"/>
          <w:szCs w:val="28"/>
          <w:lang w:eastAsia="ru-RU"/>
        </w:rPr>
        <w:t xml:space="preserve">в сети «Интернет» </w:t>
      </w:r>
      <w:r w:rsidRPr="00BD5345">
        <w:rPr>
          <w:rFonts w:ascii="Times New Roman" w:eastAsia="Times New Roman" w:hAnsi="Times New Roman" w:cs="Times New Roman"/>
          <w:sz w:val="28"/>
          <w:szCs w:val="28"/>
          <w:lang w:eastAsia="ru-RU"/>
        </w:rPr>
        <w:t xml:space="preserve">по адресу: </w:t>
      </w:r>
      <w:hyperlink r:id="rId33" w:history="1">
        <w:r w:rsidRPr="00BD5345">
          <w:rPr>
            <w:rFonts w:ascii="Times New Roman" w:eastAsia="Times New Roman" w:hAnsi="Times New Roman" w:cs="Times New Roman"/>
            <w:color w:val="0000FF"/>
            <w:sz w:val="28"/>
            <w:szCs w:val="28"/>
            <w:u w:val="single"/>
            <w:lang w:val="en-US" w:eastAsia="ru-RU"/>
          </w:rPr>
          <w:t>http</w:t>
        </w:r>
        <w:r w:rsidRPr="00BD5345">
          <w:rPr>
            <w:rFonts w:ascii="Times New Roman" w:eastAsia="Times New Roman" w:hAnsi="Times New Roman" w:cs="Times New Roman"/>
            <w:color w:val="0000FF"/>
            <w:sz w:val="28"/>
            <w:szCs w:val="28"/>
            <w:u w:val="single"/>
            <w:lang w:eastAsia="ru-RU"/>
          </w:rPr>
          <w:t>://</w:t>
        </w:r>
        <w:r w:rsidRPr="00BD5345">
          <w:rPr>
            <w:rFonts w:ascii="Times New Roman" w:eastAsia="Times New Roman" w:hAnsi="Times New Roman" w:cs="Times New Roman"/>
            <w:color w:val="0000FF"/>
            <w:sz w:val="28"/>
            <w:szCs w:val="28"/>
            <w:u w:val="single"/>
            <w:lang w:val="en-US" w:eastAsia="ru-RU"/>
          </w:rPr>
          <w:t>www</w:t>
        </w:r>
        <w:r w:rsidRPr="00BD5345">
          <w:rPr>
            <w:rFonts w:ascii="Times New Roman" w:eastAsia="Times New Roman" w:hAnsi="Times New Roman" w:cs="Times New Roman"/>
            <w:color w:val="0000FF"/>
            <w:sz w:val="28"/>
            <w:szCs w:val="28"/>
            <w:u w:val="single"/>
            <w:lang w:eastAsia="ru-RU"/>
          </w:rPr>
          <w:t>.</w:t>
        </w:r>
        <w:proofErr w:type="spellStart"/>
        <w:r w:rsidRPr="00BD5345">
          <w:rPr>
            <w:rFonts w:ascii="Times New Roman" w:eastAsia="Times New Roman" w:hAnsi="Times New Roman" w:cs="Times New Roman"/>
            <w:color w:val="0000FF"/>
            <w:sz w:val="28"/>
            <w:szCs w:val="28"/>
            <w:u w:val="single"/>
            <w:lang w:val="en-US" w:eastAsia="ru-RU"/>
          </w:rPr>
          <w:t>krskstate</w:t>
        </w:r>
        <w:proofErr w:type="spellEnd"/>
        <w:r w:rsidRPr="00BD5345">
          <w:rPr>
            <w:rFonts w:ascii="Times New Roman" w:eastAsia="Times New Roman" w:hAnsi="Times New Roman" w:cs="Times New Roman"/>
            <w:color w:val="0000FF"/>
            <w:sz w:val="28"/>
            <w:szCs w:val="28"/>
            <w:u w:val="single"/>
            <w:lang w:eastAsia="ru-RU"/>
          </w:rPr>
          <w:t>.</w:t>
        </w:r>
        <w:proofErr w:type="spellStart"/>
        <w:r w:rsidRPr="00BD5345">
          <w:rPr>
            <w:rFonts w:ascii="Times New Roman" w:eastAsia="Times New Roman" w:hAnsi="Times New Roman" w:cs="Times New Roman"/>
            <w:color w:val="0000FF"/>
            <w:sz w:val="28"/>
            <w:szCs w:val="28"/>
            <w:u w:val="single"/>
            <w:lang w:val="en-US" w:eastAsia="ru-RU"/>
          </w:rPr>
          <w:t>ru</w:t>
        </w:r>
        <w:proofErr w:type="spellEnd"/>
        <w:r w:rsidRPr="00BD5345">
          <w:rPr>
            <w:rFonts w:ascii="Times New Roman" w:eastAsia="Times New Roman" w:hAnsi="Times New Roman" w:cs="Times New Roman"/>
            <w:color w:val="0000FF"/>
            <w:sz w:val="28"/>
            <w:szCs w:val="28"/>
            <w:u w:val="single"/>
            <w:lang w:eastAsia="ru-RU"/>
          </w:rPr>
          <w:t>/</w:t>
        </w:r>
        <w:proofErr w:type="spellStart"/>
        <w:r w:rsidRPr="00BD5345">
          <w:rPr>
            <w:rFonts w:ascii="Times New Roman" w:eastAsia="Times New Roman" w:hAnsi="Times New Roman" w:cs="Times New Roman"/>
            <w:color w:val="0000FF"/>
            <w:sz w:val="28"/>
            <w:szCs w:val="28"/>
            <w:u w:val="single"/>
            <w:lang w:val="en-US" w:eastAsia="ru-RU"/>
          </w:rPr>
          <w:t>kdns</w:t>
        </w:r>
        <w:proofErr w:type="spellEnd"/>
        <w:r w:rsidRPr="00BD5345">
          <w:rPr>
            <w:rFonts w:ascii="Times New Roman" w:eastAsia="Times New Roman" w:hAnsi="Times New Roman" w:cs="Times New Roman"/>
            <w:color w:val="0000FF"/>
            <w:sz w:val="28"/>
            <w:szCs w:val="28"/>
            <w:u w:val="single"/>
            <w:lang w:eastAsia="ru-RU"/>
          </w:rPr>
          <w:t>/</w:t>
        </w:r>
        <w:proofErr w:type="spellStart"/>
        <w:r w:rsidRPr="00BD5345">
          <w:rPr>
            <w:rFonts w:ascii="Times New Roman" w:eastAsia="Times New Roman" w:hAnsi="Times New Roman" w:cs="Times New Roman"/>
            <w:color w:val="0000FF"/>
            <w:sz w:val="28"/>
            <w:szCs w:val="28"/>
            <w:u w:val="single"/>
            <w:lang w:val="en-US" w:eastAsia="ru-RU"/>
          </w:rPr>
          <w:t>mediacii</w:t>
        </w:r>
        <w:proofErr w:type="spellEnd"/>
      </w:hyperlink>
      <w:r w:rsidRPr="00BD5345">
        <w:rPr>
          <w:rFonts w:ascii="Times New Roman" w:eastAsia="Times New Roman" w:hAnsi="Times New Roman" w:cs="Times New Roman"/>
          <w:sz w:val="28"/>
          <w:szCs w:val="28"/>
          <w:lang w:eastAsia="ru-RU"/>
        </w:rPr>
        <w:t>.</w:t>
      </w:r>
    </w:p>
    <w:p w14:paraId="61E6FB25" w14:textId="77777777" w:rsidR="00BD5345" w:rsidRPr="00BD5345" w:rsidRDefault="00BD5345" w:rsidP="00A21663">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В Костромской области в</w:t>
      </w:r>
      <w:r w:rsidR="005430C5">
        <w:rPr>
          <w:rFonts w:ascii="Times New Roman" w:eastAsia="Times New Roman" w:hAnsi="Times New Roman" w:cs="Times New Roman"/>
          <w:sz w:val="28"/>
          <w:szCs w:val="28"/>
          <w:lang w:eastAsia="ru-RU"/>
        </w:rPr>
        <w:t xml:space="preserve"> рамках проекта «Дружественное </w:t>
      </w:r>
      <w:r w:rsidRPr="00BD5345">
        <w:rPr>
          <w:rFonts w:ascii="Times New Roman" w:eastAsia="Times New Roman" w:hAnsi="Times New Roman" w:cs="Times New Roman"/>
          <w:sz w:val="28"/>
          <w:szCs w:val="28"/>
          <w:lang w:eastAsia="ru-RU"/>
        </w:rPr>
        <w:t>к ребенку правосудие» в целях внедрения восстановительных технологий службы медиации организованы в образовательных организациях (школьные службы примирения) и на базе центров п</w:t>
      </w:r>
      <w:r w:rsidR="005430C5">
        <w:rPr>
          <w:rFonts w:ascii="Times New Roman" w:eastAsia="Times New Roman" w:hAnsi="Times New Roman" w:cs="Times New Roman"/>
          <w:sz w:val="28"/>
          <w:szCs w:val="28"/>
          <w:lang w:eastAsia="ru-RU"/>
        </w:rPr>
        <w:t xml:space="preserve">сихолого-медико-педагогической </w:t>
      </w:r>
      <w:r w:rsidRPr="00BD5345">
        <w:rPr>
          <w:rFonts w:ascii="Times New Roman" w:eastAsia="Times New Roman" w:hAnsi="Times New Roman" w:cs="Times New Roman"/>
          <w:sz w:val="28"/>
          <w:szCs w:val="28"/>
          <w:lang w:eastAsia="ru-RU"/>
        </w:rPr>
        <w:t>и социальной помощи.</w:t>
      </w:r>
    </w:p>
    <w:p w14:paraId="753DA4B0" w14:textId="77777777" w:rsidR="00BD5345" w:rsidRPr="00BD5345" w:rsidRDefault="00BD5345" w:rsidP="00A21663">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В 2021 г</w:t>
      </w:r>
      <w:r w:rsidR="00910103">
        <w:rPr>
          <w:rFonts w:ascii="Times New Roman" w:eastAsia="Times New Roman" w:hAnsi="Times New Roman" w:cs="Times New Roman"/>
          <w:sz w:val="28"/>
          <w:szCs w:val="28"/>
          <w:lang w:eastAsia="ru-RU"/>
        </w:rPr>
        <w:t>.</w:t>
      </w:r>
      <w:r w:rsidRPr="00BD5345">
        <w:rPr>
          <w:rFonts w:ascii="Times New Roman" w:eastAsia="Times New Roman" w:hAnsi="Times New Roman" w:cs="Times New Roman"/>
          <w:sz w:val="28"/>
          <w:szCs w:val="28"/>
          <w:lang w:eastAsia="ru-RU"/>
        </w:rPr>
        <w:t xml:space="preserve"> в регионе функционировали 149 служб примирения, проведено более 500 восстановительных программ, которые в 98% случаях завершились примирением сторон, заглаживанием обидчиком причиненного вреда, исцелением пострадавших и улучшением ра</w:t>
      </w:r>
      <w:r w:rsidR="00184FD3">
        <w:rPr>
          <w:rFonts w:ascii="Times New Roman" w:eastAsia="Times New Roman" w:hAnsi="Times New Roman" w:cs="Times New Roman"/>
          <w:sz w:val="28"/>
          <w:szCs w:val="28"/>
          <w:lang w:eastAsia="ru-RU"/>
        </w:rPr>
        <w:t>зрушенных конфликтом отношений.</w:t>
      </w:r>
    </w:p>
    <w:p w14:paraId="58E3E381" w14:textId="77777777" w:rsidR="00BD5345" w:rsidRPr="00BD5345" w:rsidRDefault="00BD5345" w:rsidP="00184FD3">
      <w:pPr>
        <w:autoSpaceDE w:val="0"/>
        <w:autoSpaceDN w:val="0"/>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В отчетном периоде стартовал новый проект по обучению детей-волонтеров навыкам предотвр</w:t>
      </w:r>
      <w:r w:rsidR="00184FD3">
        <w:rPr>
          <w:rFonts w:ascii="Times New Roman" w:eastAsia="Times New Roman" w:hAnsi="Times New Roman" w:cs="Times New Roman"/>
          <w:sz w:val="28"/>
          <w:szCs w:val="28"/>
          <w:lang w:eastAsia="ru-RU"/>
        </w:rPr>
        <w:t xml:space="preserve">ащения и разрешения конфликтов. </w:t>
      </w:r>
      <w:r w:rsidRPr="00BD5345">
        <w:rPr>
          <w:rFonts w:ascii="Times New Roman" w:eastAsia="Times New Roman" w:hAnsi="Times New Roman" w:cs="Times New Roman"/>
          <w:sz w:val="28"/>
          <w:szCs w:val="28"/>
        </w:rPr>
        <w:t xml:space="preserve">В фокусе пристального внимания органов и учреждений системы профилактики </w:t>
      </w:r>
      <w:r w:rsidR="001E4FE6">
        <w:rPr>
          <w:rFonts w:ascii="Times New Roman" w:eastAsia="Times New Roman" w:hAnsi="Times New Roman" w:cs="Times New Roman"/>
          <w:sz w:val="28"/>
          <w:szCs w:val="28"/>
        </w:rPr>
        <w:t xml:space="preserve">безнадзорности и правонарушений несовершеннолетних </w:t>
      </w:r>
      <w:r w:rsidRPr="00BD5345">
        <w:rPr>
          <w:rFonts w:ascii="Times New Roman" w:eastAsia="Times New Roman" w:hAnsi="Times New Roman" w:cs="Times New Roman"/>
          <w:sz w:val="28"/>
          <w:szCs w:val="28"/>
        </w:rPr>
        <w:t xml:space="preserve">находятся вопросы формирования культуры безопасности жизнедеятельности детей. </w:t>
      </w:r>
    </w:p>
    <w:p w14:paraId="399BB789" w14:textId="77777777" w:rsidR="00BD5345" w:rsidRPr="00BD5345" w:rsidRDefault="00BD5345" w:rsidP="00A21663">
      <w:pPr>
        <w:widowControl w:val="0"/>
        <w:autoSpaceDE w:val="0"/>
        <w:autoSpaceDN w:val="0"/>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 xml:space="preserve">Во исполнение поручения Президента Российской Федерации от 28 мая </w:t>
      </w:r>
      <w:r w:rsidR="0037242B">
        <w:rPr>
          <w:rFonts w:ascii="Times New Roman" w:eastAsia="Times New Roman" w:hAnsi="Times New Roman" w:cs="Times New Roman"/>
          <w:sz w:val="28"/>
          <w:szCs w:val="28"/>
          <w:lang w:eastAsia="ru-RU"/>
        </w:rPr>
        <w:br/>
      </w:r>
      <w:r w:rsidRPr="00BD5345">
        <w:rPr>
          <w:rFonts w:ascii="Times New Roman" w:eastAsia="Times New Roman" w:hAnsi="Times New Roman" w:cs="Times New Roman"/>
          <w:sz w:val="28"/>
          <w:szCs w:val="28"/>
          <w:lang w:eastAsia="ru-RU"/>
        </w:rPr>
        <w:t xml:space="preserve">2021 г. № Пр-899 заинтересованными федеральными органами исполнительной власти осуществляется разработка проекта </w:t>
      </w:r>
      <w:r w:rsidR="00184FD3">
        <w:rPr>
          <w:rFonts w:ascii="Times New Roman" w:eastAsia="Times New Roman" w:hAnsi="Times New Roman" w:cs="Times New Roman"/>
          <w:sz w:val="28"/>
          <w:szCs w:val="28"/>
          <w:lang w:eastAsia="ru-RU"/>
        </w:rPr>
        <w:t>с</w:t>
      </w:r>
      <w:r w:rsidRPr="00BD5345">
        <w:rPr>
          <w:rFonts w:ascii="Times New Roman" w:eastAsia="Times New Roman" w:hAnsi="Times New Roman" w:cs="Times New Roman"/>
          <w:sz w:val="28"/>
          <w:szCs w:val="28"/>
          <w:lang w:eastAsia="ru-RU"/>
        </w:rPr>
        <w:t>тратегии детской безопасности</w:t>
      </w:r>
      <w:r w:rsidR="001E4FE6">
        <w:rPr>
          <w:rFonts w:ascii="Times New Roman" w:eastAsia="Times New Roman" w:hAnsi="Times New Roman" w:cs="Times New Roman"/>
          <w:sz w:val="28"/>
          <w:szCs w:val="28"/>
          <w:lang w:eastAsia="ru-RU"/>
        </w:rPr>
        <w:t xml:space="preserve"> –</w:t>
      </w:r>
      <w:r w:rsidRPr="00BD5345">
        <w:rPr>
          <w:rFonts w:ascii="Times New Roman" w:eastAsia="Times New Roman" w:hAnsi="Times New Roman" w:cs="Times New Roman"/>
          <w:sz w:val="28"/>
          <w:szCs w:val="28"/>
          <w:lang w:eastAsia="ru-RU"/>
        </w:rPr>
        <w:t xml:space="preserve"> документа стратегического планирования, определяющего национальные интересы и стратегические приоритеты Российской Федерации в сфере обеспечения комплексной защиты детств</w:t>
      </w:r>
      <w:r w:rsidR="001E4FE6">
        <w:rPr>
          <w:rFonts w:ascii="Times New Roman" w:eastAsia="Times New Roman" w:hAnsi="Times New Roman" w:cs="Times New Roman"/>
          <w:sz w:val="28"/>
          <w:szCs w:val="28"/>
          <w:lang w:eastAsia="ru-RU"/>
        </w:rPr>
        <w:t>а.</w:t>
      </w:r>
    </w:p>
    <w:p w14:paraId="25DCDD49" w14:textId="77777777" w:rsidR="00BD5345" w:rsidRPr="00BD5345" w:rsidRDefault="00BD5345" w:rsidP="00A21663">
      <w:pPr>
        <w:widowControl w:val="0"/>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 xml:space="preserve">В целях оказания правовой помощи несовершеннолетним и их родителям, обучения правилам безопасного поведения, профилактики дорожно-транспортного травматизма, негативного влияния информационно-телекоммуникационной сети «Интернет» на официальном сайте МВД России функционирует «Детская </w:t>
      </w:r>
      <w:r w:rsidR="0037242B">
        <w:rPr>
          <w:rFonts w:ascii="Times New Roman" w:eastAsia="Times New Roman" w:hAnsi="Times New Roman" w:cs="Times New Roman"/>
          <w:sz w:val="28"/>
          <w:szCs w:val="28"/>
        </w:rPr>
        <w:br/>
      </w:r>
      <w:r w:rsidRPr="00BD5345">
        <w:rPr>
          <w:rFonts w:ascii="Times New Roman" w:eastAsia="Times New Roman" w:hAnsi="Times New Roman" w:cs="Times New Roman"/>
          <w:sz w:val="28"/>
          <w:szCs w:val="28"/>
        </w:rPr>
        <w:t xml:space="preserve">страница» – «Полиция – детям». </w:t>
      </w:r>
    </w:p>
    <w:p w14:paraId="2521FD2F" w14:textId="77777777" w:rsidR="00BD5345" w:rsidRPr="00BD5345" w:rsidRDefault="00BD5345" w:rsidP="00A21663">
      <w:pPr>
        <w:widowControl w:val="0"/>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 xml:space="preserve">На сайте размещена информация о телефонах горячей линии и служб спасения, представлены проекты «Онлайн-олимпиада «Безопасные дороги», «Пятерка безопасности», «Не дай себя обмануть», «Делай безопасное </w:t>
      </w:r>
      <w:proofErr w:type="spellStart"/>
      <w:r w:rsidRPr="00BD5345">
        <w:rPr>
          <w:rFonts w:ascii="Times New Roman" w:eastAsia="Times New Roman" w:hAnsi="Times New Roman" w:cs="Times New Roman"/>
          <w:sz w:val="28"/>
          <w:szCs w:val="28"/>
        </w:rPr>
        <w:t>селфи</w:t>
      </w:r>
      <w:proofErr w:type="spellEnd"/>
      <w:r w:rsidRPr="00BD5345">
        <w:rPr>
          <w:rFonts w:ascii="Times New Roman" w:eastAsia="Times New Roman" w:hAnsi="Times New Roman" w:cs="Times New Roman"/>
          <w:sz w:val="28"/>
          <w:szCs w:val="28"/>
        </w:rPr>
        <w:t>», «Энциклопедия для детей», «</w:t>
      </w:r>
      <w:proofErr w:type="spellStart"/>
      <w:r w:rsidRPr="00BD5345">
        <w:rPr>
          <w:rFonts w:ascii="Times New Roman" w:eastAsia="Times New Roman" w:hAnsi="Times New Roman" w:cs="Times New Roman"/>
          <w:sz w:val="28"/>
          <w:szCs w:val="28"/>
        </w:rPr>
        <w:t>Видеокнига</w:t>
      </w:r>
      <w:proofErr w:type="spellEnd"/>
      <w:r w:rsidRPr="00BD5345">
        <w:rPr>
          <w:rFonts w:ascii="Times New Roman" w:eastAsia="Times New Roman" w:hAnsi="Times New Roman" w:cs="Times New Roman"/>
          <w:sz w:val="28"/>
          <w:szCs w:val="28"/>
        </w:rPr>
        <w:t xml:space="preserve"> «Сыщик Добрынин: для самых маленьких», «Любопытная Варвара», «Уроки кибербезопасности от «Лиги безопасного Интернета», «Новостная рубрика «Правовая помощь детям», «Полицейская Азбука», «МВД России </w:t>
      </w:r>
      <w:proofErr w:type="spellStart"/>
      <w:r w:rsidRPr="00BD5345">
        <w:rPr>
          <w:rFonts w:ascii="Times New Roman" w:eastAsia="Times New Roman" w:hAnsi="Times New Roman" w:cs="Times New Roman"/>
          <w:sz w:val="28"/>
          <w:szCs w:val="28"/>
        </w:rPr>
        <w:t>ВКонтакте</w:t>
      </w:r>
      <w:proofErr w:type="spellEnd"/>
      <w:r w:rsidRPr="00BD5345">
        <w:rPr>
          <w:rFonts w:ascii="Times New Roman" w:eastAsia="Times New Roman" w:hAnsi="Times New Roman" w:cs="Times New Roman"/>
          <w:sz w:val="28"/>
          <w:szCs w:val="28"/>
        </w:rPr>
        <w:t xml:space="preserve">: игровые приложения». </w:t>
      </w:r>
    </w:p>
    <w:p w14:paraId="23FAA860" w14:textId="77777777" w:rsidR="00BD5345" w:rsidRPr="00BD5345" w:rsidRDefault="00BD5345" w:rsidP="0037242B">
      <w:pPr>
        <w:widowControl w:val="0"/>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Рубрика «Памятки для детей» сдержит свод простых правил б</w:t>
      </w:r>
      <w:r w:rsidR="0037242B">
        <w:rPr>
          <w:rFonts w:ascii="Times New Roman" w:eastAsia="Times New Roman" w:hAnsi="Times New Roman" w:cs="Times New Roman"/>
          <w:sz w:val="28"/>
          <w:szCs w:val="28"/>
        </w:rPr>
        <w:t xml:space="preserve">езопасного поведения для детей. </w:t>
      </w:r>
      <w:r w:rsidRPr="00BD5345">
        <w:rPr>
          <w:rFonts w:ascii="Times New Roman" w:eastAsia="Times New Roman" w:hAnsi="Times New Roman" w:cs="Times New Roman"/>
          <w:sz w:val="28"/>
          <w:szCs w:val="28"/>
        </w:rPr>
        <w:t>В рубрике «Правовая помощь детям» представлена новостная страница «Полиция на страже детства», где р</w:t>
      </w:r>
      <w:r w:rsidR="00CA4BA4">
        <w:rPr>
          <w:rFonts w:ascii="Times New Roman" w:eastAsia="Times New Roman" w:hAnsi="Times New Roman" w:cs="Times New Roman"/>
          <w:sz w:val="28"/>
          <w:szCs w:val="28"/>
        </w:rPr>
        <w:t xml:space="preserve">егулярно публикуются материалы </w:t>
      </w:r>
      <w:r w:rsidRPr="00BD5345">
        <w:rPr>
          <w:rFonts w:ascii="Times New Roman" w:eastAsia="Times New Roman" w:hAnsi="Times New Roman" w:cs="Times New Roman"/>
          <w:sz w:val="28"/>
          <w:szCs w:val="28"/>
        </w:rPr>
        <w:t>о профилактических мероприятиях, проводимых сотрудниками органов внутренних дел в детских аудиториях.</w:t>
      </w:r>
    </w:p>
    <w:p w14:paraId="621A3C78" w14:textId="77777777" w:rsidR="00BD5345" w:rsidRPr="00BD5345" w:rsidRDefault="00BD5345" w:rsidP="002F554D">
      <w:pPr>
        <w:widowControl w:val="0"/>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Кроме того, для использования в практической деятельности сотрудников полиции предлагаются методические материалы для организации профилактической работы с несовер</w:t>
      </w:r>
      <w:r w:rsidR="002F554D">
        <w:rPr>
          <w:rFonts w:ascii="Times New Roman" w:eastAsia="Times New Roman" w:hAnsi="Times New Roman" w:cs="Times New Roman"/>
          <w:sz w:val="28"/>
          <w:szCs w:val="28"/>
        </w:rPr>
        <w:t xml:space="preserve">шеннолетними (памятки, макеты). </w:t>
      </w:r>
      <w:r w:rsidRPr="00BD5345">
        <w:rPr>
          <w:rFonts w:ascii="Times New Roman" w:eastAsia="Times New Roman" w:hAnsi="Times New Roman" w:cs="Times New Roman"/>
          <w:sz w:val="28"/>
          <w:szCs w:val="28"/>
        </w:rPr>
        <w:t>Подобные страницы созданы на региональных сайтах территориальных органов МВД России.</w:t>
      </w:r>
    </w:p>
    <w:p w14:paraId="238EC061" w14:textId="77777777" w:rsidR="00BD5345" w:rsidRPr="00BD5345" w:rsidRDefault="00BD5345" w:rsidP="0037242B">
      <w:pPr>
        <w:widowControl w:val="0"/>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Так, на сайте УМВД России по Тюменской области действуют постоянные рубрики «Уроки правопорядка», «Наши герои», «Памятка родителям», «Игровая комната», «</w:t>
      </w:r>
      <w:proofErr w:type="spellStart"/>
      <w:r w:rsidRPr="00BD5345">
        <w:rPr>
          <w:rFonts w:ascii="Times New Roman" w:eastAsia="Times New Roman" w:hAnsi="Times New Roman" w:cs="Times New Roman"/>
          <w:sz w:val="28"/>
          <w:szCs w:val="28"/>
        </w:rPr>
        <w:t>Видеоуроки</w:t>
      </w:r>
      <w:proofErr w:type="spellEnd"/>
      <w:r w:rsidR="00CA4BA4" w:rsidRPr="00BD5345">
        <w:rPr>
          <w:rFonts w:ascii="Times New Roman" w:eastAsia="Times New Roman" w:hAnsi="Times New Roman" w:cs="Times New Roman"/>
          <w:sz w:val="28"/>
          <w:szCs w:val="28"/>
        </w:rPr>
        <w:t> </w:t>
      </w:r>
      <w:proofErr w:type="spellStart"/>
      <w:r w:rsidRPr="00BD5345">
        <w:rPr>
          <w:rFonts w:ascii="Times New Roman" w:eastAsia="Times New Roman" w:hAnsi="Times New Roman" w:cs="Times New Roman"/>
          <w:sz w:val="28"/>
          <w:szCs w:val="28"/>
        </w:rPr>
        <w:t>Помогайкина</w:t>
      </w:r>
      <w:proofErr w:type="spellEnd"/>
      <w:r w:rsidRPr="00BD5345">
        <w:rPr>
          <w:rFonts w:ascii="Times New Roman" w:eastAsia="Times New Roman" w:hAnsi="Times New Roman" w:cs="Times New Roman"/>
          <w:sz w:val="28"/>
          <w:szCs w:val="28"/>
        </w:rPr>
        <w:t>» и другие. Образовательные организации региона на своих интернет-площадках размещают гиперссылку на «Детскую страницу» полиции, что позволяет расширять аудиторию и поддерж</w:t>
      </w:r>
      <w:r w:rsidR="0037242B">
        <w:rPr>
          <w:rFonts w:ascii="Times New Roman" w:eastAsia="Times New Roman" w:hAnsi="Times New Roman" w:cs="Times New Roman"/>
          <w:sz w:val="28"/>
          <w:szCs w:val="28"/>
        </w:rPr>
        <w:t xml:space="preserve">ивать обратную связь. </w:t>
      </w:r>
      <w:r w:rsidRPr="00BD5345">
        <w:rPr>
          <w:rFonts w:ascii="Times New Roman" w:eastAsia="Times New Roman" w:hAnsi="Times New Roman" w:cs="Times New Roman"/>
          <w:sz w:val="28"/>
          <w:szCs w:val="28"/>
        </w:rPr>
        <w:t xml:space="preserve">Интерактивное взаимодействие с несовершеннолетними осуществляется через рубрики «Задай вопрос </w:t>
      </w:r>
      <w:proofErr w:type="spellStart"/>
      <w:r w:rsidRPr="00BD5345">
        <w:rPr>
          <w:rFonts w:ascii="Times New Roman" w:eastAsia="Times New Roman" w:hAnsi="Times New Roman" w:cs="Times New Roman"/>
          <w:sz w:val="28"/>
          <w:szCs w:val="28"/>
        </w:rPr>
        <w:t>Помогайкину</w:t>
      </w:r>
      <w:proofErr w:type="spellEnd"/>
      <w:r w:rsidRPr="00BD5345">
        <w:rPr>
          <w:rFonts w:ascii="Times New Roman" w:eastAsia="Times New Roman" w:hAnsi="Times New Roman" w:cs="Times New Roman"/>
          <w:sz w:val="28"/>
          <w:szCs w:val="28"/>
        </w:rPr>
        <w:t>», «Детский теле</w:t>
      </w:r>
      <w:r w:rsidR="004D183A">
        <w:rPr>
          <w:rFonts w:ascii="Times New Roman" w:eastAsia="Times New Roman" w:hAnsi="Times New Roman" w:cs="Times New Roman"/>
          <w:sz w:val="28"/>
          <w:szCs w:val="28"/>
        </w:rPr>
        <w:t>фон доверия», «Обратная связь».</w:t>
      </w:r>
    </w:p>
    <w:p w14:paraId="36771B96" w14:textId="77777777" w:rsidR="00BD5345" w:rsidRPr="00BD5345" w:rsidRDefault="00BD5345" w:rsidP="00A21663">
      <w:pPr>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На официальном сайте ГУ МВД России по Красноярскому краю для несовершеннолетних организован проект «Школа полиции», который представлен рубриками «Наш дневник», «Полезно знать», «Выплесни свою боль», «Задай вопрос инспектору по делам несовершеннолетних».</w:t>
      </w:r>
    </w:p>
    <w:p w14:paraId="126A14E0" w14:textId="77777777" w:rsidR="00BD5345" w:rsidRPr="00BD5345" w:rsidRDefault="00BD5345" w:rsidP="00A21663">
      <w:pPr>
        <w:widowControl w:val="0"/>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В целях обеспечения безопасности детей в виртуальной среде, в том числе касающейся защиты персональных данных, компьютеров и гад</w:t>
      </w:r>
      <w:r w:rsidR="004D183A">
        <w:rPr>
          <w:rFonts w:ascii="Times New Roman" w:eastAsia="Times New Roman" w:hAnsi="Times New Roman" w:cs="Times New Roman"/>
          <w:sz w:val="28"/>
          <w:szCs w:val="28"/>
        </w:rPr>
        <w:t xml:space="preserve">жетов </w:t>
      </w:r>
      <w:r w:rsidRPr="00BD5345">
        <w:rPr>
          <w:rFonts w:ascii="Times New Roman" w:eastAsia="Times New Roman" w:hAnsi="Times New Roman" w:cs="Times New Roman"/>
          <w:sz w:val="28"/>
          <w:szCs w:val="28"/>
        </w:rPr>
        <w:t>от вредоносных программ, осуществляется размещение информации по данной теме в разделе «Безопасный Интернет детям».</w:t>
      </w:r>
    </w:p>
    <w:p w14:paraId="0AAF7E84" w14:textId="77777777" w:rsidR="00BD5345" w:rsidRPr="00BD5345" w:rsidRDefault="00BD5345" w:rsidP="00A21663">
      <w:pPr>
        <w:widowControl w:val="0"/>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 xml:space="preserve">В мае 2021 </w:t>
      </w:r>
      <w:r w:rsidR="004D183A">
        <w:rPr>
          <w:rFonts w:ascii="Times New Roman" w:eastAsia="Times New Roman" w:hAnsi="Times New Roman" w:cs="Times New Roman"/>
          <w:sz w:val="28"/>
          <w:szCs w:val="28"/>
        </w:rPr>
        <w:t>г.</w:t>
      </w:r>
      <w:r w:rsidRPr="00BD5345">
        <w:rPr>
          <w:rFonts w:ascii="Times New Roman" w:eastAsia="Times New Roman" w:hAnsi="Times New Roman" w:cs="Times New Roman"/>
          <w:sz w:val="28"/>
          <w:szCs w:val="28"/>
        </w:rPr>
        <w:t xml:space="preserve"> в рамках Всероссийского конкурса «Большая перемена» в социальной сети «</w:t>
      </w:r>
      <w:proofErr w:type="spellStart"/>
      <w:r w:rsidRPr="00BD5345">
        <w:rPr>
          <w:rFonts w:ascii="Times New Roman" w:eastAsia="Times New Roman" w:hAnsi="Times New Roman" w:cs="Times New Roman"/>
          <w:sz w:val="28"/>
          <w:szCs w:val="28"/>
        </w:rPr>
        <w:t>ВКонтак</w:t>
      </w:r>
      <w:r w:rsidR="00CA4BA4">
        <w:rPr>
          <w:rFonts w:ascii="Times New Roman" w:eastAsia="Times New Roman" w:hAnsi="Times New Roman" w:cs="Times New Roman"/>
          <w:sz w:val="28"/>
          <w:szCs w:val="28"/>
        </w:rPr>
        <w:t>т</w:t>
      </w:r>
      <w:r w:rsidRPr="00BD5345">
        <w:rPr>
          <w:rFonts w:ascii="Times New Roman" w:eastAsia="Times New Roman" w:hAnsi="Times New Roman" w:cs="Times New Roman"/>
          <w:sz w:val="28"/>
          <w:szCs w:val="28"/>
        </w:rPr>
        <w:t>е</w:t>
      </w:r>
      <w:proofErr w:type="spellEnd"/>
      <w:r w:rsidRPr="00BD5345">
        <w:rPr>
          <w:rFonts w:ascii="Times New Roman" w:eastAsia="Times New Roman" w:hAnsi="Times New Roman" w:cs="Times New Roman"/>
          <w:sz w:val="28"/>
          <w:szCs w:val="28"/>
        </w:rPr>
        <w:t>» – проекта президентской платформы «</w:t>
      </w:r>
      <w:r w:rsidR="004D183A">
        <w:rPr>
          <w:rFonts w:ascii="Times New Roman" w:eastAsia="Times New Roman" w:hAnsi="Times New Roman" w:cs="Times New Roman"/>
          <w:sz w:val="28"/>
          <w:szCs w:val="28"/>
        </w:rPr>
        <w:t>Россия – страна возможностей»</w:t>
      </w:r>
      <w:r w:rsidRPr="00BD5345">
        <w:rPr>
          <w:rFonts w:ascii="Times New Roman" w:eastAsia="Times New Roman" w:hAnsi="Times New Roman" w:cs="Times New Roman"/>
          <w:sz w:val="28"/>
          <w:szCs w:val="28"/>
        </w:rPr>
        <w:t xml:space="preserve"> МВД России</w:t>
      </w:r>
      <w:r w:rsidR="004D183A">
        <w:rPr>
          <w:rFonts w:ascii="Times New Roman" w:eastAsia="Times New Roman" w:hAnsi="Times New Roman" w:cs="Times New Roman"/>
          <w:sz w:val="28"/>
          <w:szCs w:val="28"/>
        </w:rPr>
        <w:t xml:space="preserve"> проведена тематическая неделя </w:t>
      </w:r>
      <w:r w:rsidRPr="00BD5345">
        <w:rPr>
          <w:rFonts w:ascii="Times New Roman" w:eastAsia="Times New Roman" w:hAnsi="Times New Roman" w:cs="Times New Roman"/>
          <w:sz w:val="28"/>
          <w:szCs w:val="28"/>
        </w:rPr>
        <w:t>«Твоя безопасность».</w:t>
      </w:r>
    </w:p>
    <w:p w14:paraId="099536B8" w14:textId="57789A90" w:rsidR="00BD5345" w:rsidRPr="00BD5345" w:rsidRDefault="00BD5345" w:rsidP="00A21663">
      <w:pPr>
        <w:widowControl w:val="0"/>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В частности, сотрудники специализированных подразделений в онлайн-формате рассказывали юным гражданам о службе в полиции, а также о том, как избежать вредных привычек и не стать жертвой преступления. Для детей были подготовлены подборки полезных видеороликов, организованы творческие конкурсы по темам «Полиция будущего», «Профессия Героев», «Безопасное движение», а также познавательные викторины. Общее количество просмотров онлайн-уроков недели «Твоя безопасность»</w:t>
      </w:r>
      <w:r w:rsidR="004D183A">
        <w:rPr>
          <w:rFonts w:ascii="Times New Roman" w:eastAsia="Times New Roman" w:hAnsi="Times New Roman" w:cs="Times New Roman"/>
          <w:sz w:val="28"/>
          <w:szCs w:val="28"/>
        </w:rPr>
        <w:t xml:space="preserve"> от МВД России составило более </w:t>
      </w:r>
      <w:r w:rsidRPr="00BD5345">
        <w:rPr>
          <w:rFonts w:ascii="Times New Roman" w:eastAsia="Times New Roman" w:hAnsi="Times New Roman" w:cs="Times New Roman"/>
          <w:sz w:val="28"/>
          <w:szCs w:val="28"/>
        </w:rPr>
        <w:t xml:space="preserve">540 тыс. </w:t>
      </w:r>
      <w:r w:rsidR="002F554D">
        <w:rPr>
          <w:rFonts w:ascii="Times New Roman" w:eastAsia="Times New Roman" w:hAnsi="Times New Roman" w:cs="Times New Roman"/>
          <w:sz w:val="28"/>
          <w:szCs w:val="28"/>
        </w:rPr>
        <w:t xml:space="preserve">Кроме того, </w:t>
      </w:r>
      <w:r w:rsidR="00C36EB2">
        <w:rPr>
          <w:rFonts w:ascii="Times New Roman" w:eastAsia="Times New Roman" w:hAnsi="Times New Roman" w:cs="Times New Roman"/>
          <w:sz w:val="28"/>
          <w:szCs w:val="28"/>
        </w:rPr>
        <w:br/>
      </w:r>
      <w:r w:rsidRPr="00BD5345">
        <w:rPr>
          <w:rFonts w:ascii="Times New Roman" w:eastAsia="Times New Roman" w:hAnsi="Times New Roman" w:cs="Times New Roman"/>
          <w:sz w:val="28"/>
          <w:szCs w:val="28"/>
        </w:rPr>
        <w:t xml:space="preserve">15 российских школьников, победителей онлайн-соревнований, награждены памятными подарками и экскурсиями в отделы полиции. </w:t>
      </w:r>
    </w:p>
    <w:p w14:paraId="3C60DD20" w14:textId="48CE6180" w:rsidR="00BD5345" w:rsidRPr="00BD5345" w:rsidRDefault="00BD5345" w:rsidP="00A21663">
      <w:pPr>
        <w:tabs>
          <w:tab w:val="left" w:pos="9781"/>
        </w:tabs>
        <w:spacing w:after="0" w:line="312" w:lineRule="auto"/>
        <w:ind w:firstLine="709"/>
        <w:jc w:val="both"/>
        <w:rPr>
          <w:rFonts w:ascii="Times New Roman" w:hAnsi="Times New Roman" w:cs="Times New Roman"/>
          <w:sz w:val="28"/>
          <w:szCs w:val="28"/>
        </w:rPr>
      </w:pPr>
      <w:r w:rsidRPr="00BD5345">
        <w:rPr>
          <w:rFonts w:ascii="Times New Roman" w:hAnsi="Times New Roman" w:cs="Times New Roman"/>
          <w:sz w:val="28"/>
          <w:szCs w:val="28"/>
        </w:rPr>
        <w:t>В целях формирования у подростков и молодежи антинаркотического мировоззрения, активной жизненной позиции, направленной на уважение к законности и правопорядку, МВД России обеспечено проведение межведомственной комплексной оперативно-профилактической операции «Дети России»</w:t>
      </w:r>
      <w:r w:rsidR="005C3734">
        <w:rPr>
          <w:rFonts w:ascii="Times New Roman" w:hAnsi="Times New Roman" w:cs="Times New Roman"/>
          <w:sz w:val="28"/>
          <w:szCs w:val="28"/>
        </w:rPr>
        <w:t xml:space="preserve"> (осуществлено свыше 280 тыс. профилактических мероприятий с детьми и молодежью)</w:t>
      </w:r>
      <w:r w:rsidRPr="00BD5345">
        <w:rPr>
          <w:rFonts w:ascii="Times New Roman" w:hAnsi="Times New Roman" w:cs="Times New Roman"/>
          <w:sz w:val="28"/>
          <w:szCs w:val="28"/>
        </w:rPr>
        <w:t>, комплекса мероприятий, посвященного Международному дню борьбы с наркоманией</w:t>
      </w:r>
      <w:r w:rsidR="005C3734">
        <w:rPr>
          <w:rFonts w:ascii="Times New Roman" w:hAnsi="Times New Roman" w:cs="Times New Roman"/>
          <w:sz w:val="28"/>
          <w:szCs w:val="28"/>
        </w:rPr>
        <w:t xml:space="preserve"> (осуществлено более 25 тыс. мероприятий)</w:t>
      </w:r>
      <w:r w:rsidRPr="00BD5345">
        <w:rPr>
          <w:rFonts w:ascii="Times New Roman" w:hAnsi="Times New Roman" w:cs="Times New Roman"/>
          <w:sz w:val="28"/>
          <w:szCs w:val="28"/>
        </w:rPr>
        <w:t>, месячника ан</w:t>
      </w:r>
      <w:r w:rsidR="005C3734">
        <w:rPr>
          <w:rFonts w:ascii="Times New Roman" w:hAnsi="Times New Roman" w:cs="Times New Roman"/>
          <w:sz w:val="28"/>
          <w:szCs w:val="28"/>
        </w:rPr>
        <w:t xml:space="preserve">тинаркотической направленности </w:t>
      </w:r>
      <w:r w:rsidRPr="00BD5345">
        <w:rPr>
          <w:rFonts w:ascii="Times New Roman" w:hAnsi="Times New Roman" w:cs="Times New Roman"/>
          <w:sz w:val="28"/>
          <w:szCs w:val="28"/>
        </w:rPr>
        <w:t>и популяризации здорового образа жизни</w:t>
      </w:r>
      <w:r w:rsidR="005C3734">
        <w:rPr>
          <w:rFonts w:ascii="Times New Roman" w:hAnsi="Times New Roman" w:cs="Times New Roman"/>
          <w:sz w:val="28"/>
          <w:szCs w:val="28"/>
        </w:rPr>
        <w:t xml:space="preserve"> (проведено более 4,4 тыс. просветительских, спортивных, творческих и иных мероприятий)</w:t>
      </w:r>
      <w:r w:rsidRPr="00BD5345">
        <w:rPr>
          <w:rFonts w:ascii="Times New Roman" w:hAnsi="Times New Roman" w:cs="Times New Roman"/>
          <w:sz w:val="28"/>
          <w:szCs w:val="28"/>
        </w:rPr>
        <w:t>, общероссийских акций «Сообщи, где торгуют смертью»</w:t>
      </w:r>
      <w:r w:rsidR="005C3734">
        <w:rPr>
          <w:rFonts w:ascii="Times New Roman" w:hAnsi="Times New Roman" w:cs="Times New Roman"/>
          <w:sz w:val="28"/>
          <w:szCs w:val="28"/>
        </w:rPr>
        <w:t xml:space="preserve"> (по 22,9 тыс. обращений граждан проверено 74,8 тыс. мест массового пребывания несовершеннолетних и молодежи, выявлено </w:t>
      </w:r>
      <w:r w:rsidR="00C36EB2">
        <w:rPr>
          <w:rFonts w:ascii="Times New Roman" w:hAnsi="Times New Roman" w:cs="Times New Roman"/>
          <w:sz w:val="28"/>
          <w:szCs w:val="28"/>
        </w:rPr>
        <w:br/>
      </w:r>
      <w:r w:rsidR="005C3734">
        <w:rPr>
          <w:rFonts w:ascii="Times New Roman" w:hAnsi="Times New Roman" w:cs="Times New Roman"/>
          <w:sz w:val="28"/>
          <w:szCs w:val="28"/>
        </w:rPr>
        <w:t>9,7 тыс. административных правонарушений и 5,1 тыс. преступлений в сфере незаконного оборота наркотиков, более 6,5 тыс. пронаркотических интернет-ресурсов)</w:t>
      </w:r>
      <w:r w:rsidRPr="00BD5345">
        <w:rPr>
          <w:rFonts w:ascii="Times New Roman" w:hAnsi="Times New Roman" w:cs="Times New Roman"/>
          <w:sz w:val="28"/>
          <w:szCs w:val="28"/>
        </w:rPr>
        <w:t xml:space="preserve"> и «Призывник»</w:t>
      </w:r>
      <w:r w:rsidR="008664B6">
        <w:rPr>
          <w:rFonts w:ascii="Times New Roman" w:hAnsi="Times New Roman" w:cs="Times New Roman"/>
          <w:sz w:val="28"/>
          <w:szCs w:val="28"/>
        </w:rPr>
        <w:t xml:space="preserve"> (проведено 58,9 тыс. профилактических мероприятий с участием лиц призывного возраста, в том числе около 7 тыс. мероприятий по духовно-нравственному и военно-патриотическому воспитанию, пропаганде здорового образа жизни)</w:t>
      </w:r>
      <w:r w:rsidRPr="00BD5345">
        <w:rPr>
          <w:rFonts w:ascii="Times New Roman" w:hAnsi="Times New Roman" w:cs="Times New Roman"/>
          <w:sz w:val="28"/>
          <w:szCs w:val="28"/>
        </w:rPr>
        <w:t>.</w:t>
      </w:r>
    </w:p>
    <w:p w14:paraId="6B0FFBE0" w14:textId="77777777" w:rsidR="00BD5345" w:rsidRPr="00BD5345" w:rsidRDefault="00BD5345" w:rsidP="00A21663">
      <w:pPr>
        <w:widowControl w:val="0"/>
        <w:tabs>
          <w:tab w:val="left" w:pos="534"/>
        </w:tabs>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В 2021 г</w:t>
      </w:r>
      <w:r w:rsidR="00910103">
        <w:rPr>
          <w:rFonts w:ascii="Times New Roman" w:eastAsia="Times New Roman" w:hAnsi="Times New Roman" w:cs="Times New Roman"/>
          <w:sz w:val="28"/>
          <w:szCs w:val="28"/>
        </w:rPr>
        <w:t>.</w:t>
      </w:r>
      <w:r w:rsidRPr="00BD5345">
        <w:rPr>
          <w:rFonts w:ascii="Times New Roman" w:eastAsia="Times New Roman" w:hAnsi="Times New Roman" w:cs="Times New Roman"/>
          <w:sz w:val="28"/>
          <w:szCs w:val="28"/>
        </w:rPr>
        <w:t xml:space="preserve"> в официальных аккаунтах МВД России </w:t>
      </w:r>
      <w:r w:rsidR="00523DEF">
        <w:rPr>
          <w:rFonts w:ascii="Times New Roman" w:eastAsia="Times New Roman" w:hAnsi="Times New Roman" w:cs="Times New Roman"/>
          <w:sz w:val="28"/>
          <w:szCs w:val="28"/>
        </w:rPr>
        <w:t>в социальных сетях продолжено ра</w:t>
      </w:r>
      <w:r w:rsidRPr="00BD5345">
        <w:rPr>
          <w:rFonts w:ascii="Times New Roman" w:eastAsia="Times New Roman" w:hAnsi="Times New Roman" w:cs="Times New Roman"/>
          <w:sz w:val="28"/>
          <w:szCs w:val="28"/>
        </w:rPr>
        <w:t>змещение публикаций мультимедийных и информационных материалов антинаркотической направленности, нацеленных</w:t>
      </w:r>
      <w:r w:rsidR="00CA4BA4" w:rsidRPr="00BD5345">
        <w:rPr>
          <w:rFonts w:ascii="Times New Roman" w:eastAsia="Times New Roman" w:hAnsi="Times New Roman" w:cs="Times New Roman"/>
          <w:sz w:val="28"/>
          <w:szCs w:val="28"/>
        </w:rPr>
        <w:t> </w:t>
      </w:r>
      <w:r w:rsidRPr="00BD5345">
        <w:rPr>
          <w:rFonts w:ascii="Times New Roman" w:eastAsia="Times New Roman" w:hAnsi="Times New Roman" w:cs="Times New Roman"/>
          <w:sz w:val="28"/>
          <w:szCs w:val="28"/>
        </w:rPr>
        <w:t>на повышение уровня доверия нас</w:t>
      </w:r>
      <w:r w:rsidR="005430C5">
        <w:rPr>
          <w:rFonts w:ascii="Times New Roman" w:eastAsia="Times New Roman" w:hAnsi="Times New Roman" w:cs="Times New Roman"/>
          <w:sz w:val="28"/>
          <w:szCs w:val="28"/>
        </w:rPr>
        <w:t xml:space="preserve">еления </w:t>
      </w:r>
      <w:r w:rsidRPr="00BD5345">
        <w:rPr>
          <w:rFonts w:ascii="Times New Roman" w:eastAsia="Times New Roman" w:hAnsi="Times New Roman" w:cs="Times New Roman"/>
          <w:sz w:val="28"/>
          <w:szCs w:val="28"/>
        </w:rPr>
        <w:t>к деятельности органов внутренних дел, осуществляющих борьбу с незаконным оборотом наркотиков, привлечение внимания к проблемам наркомании и наркопреступности, формирование у подростков и молодежи антинаркотического мировоззрения, активной жизненной позиции, направленной на уважение к законности и правопорядку.</w:t>
      </w:r>
    </w:p>
    <w:p w14:paraId="5F3EA5C0" w14:textId="307F4783" w:rsidR="00BD5345" w:rsidRPr="00BD5345" w:rsidRDefault="00BD5345" w:rsidP="00A21663">
      <w:pPr>
        <w:tabs>
          <w:tab w:val="left" w:pos="9781"/>
        </w:tabs>
        <w:spacing w:after="0" w:line="312" w:lineRule="auto"/>
        <w:ind w:firstLine="709"/>
        <w:jc w:val="both"/>
        <w:rPr>
          <w:rFonts w:ascii="Times New Roman" w:hAnsi="Times New Roman" w:cs="Times New Roman"/>
          <w:sz w:val="28"/>
          <w:szCs w:val="28"/>
        </w:rPr>
      </w:pPr>
      <w:r w:rsidRPr="00BD5345">
        <w:rPr>
          <w:rFonts w:ascii="Times New Roman" w:hAnsi="Times New Roman" w:cs="Times New Roman"/>
          <w:sz w:val="28"/>
          <w:szCs w:val="28"/>
        </w:rPr>
        <w:t>Наиболее значимым мероприятием, организованным в социальных сетях, стал Всероссийский конкурс социальной рекламы антинаркотической направленности и пропаганды здорового образ</w:t>
      </w:r>
      <w:r w:rsidR="004D183A">
        <w:rPr>
          <w:rFonts w:ascii="Times New Roman" w:hAnsi="Times New Roman" w:cs="Times New Roman"/>
          <w:sz w:val="28"/>
          <w:szCs w:val="28"/>
        </w:rPr>
        <w:t xml:space="preserve">а жизни «Спасем жизнь вместе». </w:t>
      </w:r>
      <w:r w:rsidRPr="00BD5345">
        <w:rPr>
          <w:rFonts w:ascii="Times New Roman" w:hAnsi="Times New Roman" w:cs="Times New Roman"/>
          <w:sz w:val="28"/>
          <w:szCs w:val="28"/>
        </w:rPr>
        <w:t>На федеральный этап Конкурса поступило 165 работ из 50 регионов страны. Лучшие материалы конкурса размещены н</w:t>
      </w:r>
      <w:r w:rsidR="004D183A">
        <w:rPr>
          <w:rFonts w:ascii="Times New Roman" w:hAnsi="Times New Roman" w:cs="Times New Roman"/>
          <w:sz w:val="28"/>
          <w:szCs w:val="28"/>
        </w:rPr>
        <w:t xml:space="preserve">а официальном сайте МВД России </w:t>
      </w:r>
      <w:r w:rsidRPr="00BD5345">
        <w:rPr>
          <w:rFonts w:ascii="Times New Roman" w:hAnsi="Times New Roman" w:cs="Times New Roman"/>
          <w:sz w:val="28"/>
          <w:szCs w:val="28"/>
        </w:rPr>
        <w:t>в разделе «Библиотека антинаркотичес</w:t>
      </w:r>
      <w:r w:rsidR="004D183A">
        <w:rPr>
          <w:rFonts w:ascii="Times New Roman" w:hAnsi="Times New Roman" w:cs="Times New Roman"/>
          <w:sz w:val="28"/>
          <w:szCs w:val="28"/>
        </w:rPr>
        <w:t xml:space="preserve">кой пропаганды» и опубликованы </w:t>
      </w:r>
      <w:r w:rsidRPr="00BD5345">
        <w:rPr>
          <w:rFonts w:ascii="Times New Roman" w:hAnsi="Times New Roman" w:cs="Times New Roman"/>
          <w:sz w:val="28"/>
          <w:szCs w:val="28"/>
        </w:rPr>
        <w:t>в социальных медиа. Всего в указанном разделе содержится 107 материалов, рекомендованных для использования в профилактической работе с населением, в том числе 27 видеороликов, 23 фильма,</w:t>
      </w:r>
      <w:r w:rsidR="004D183A">
        <w:rPr>
          <w:rFonts w:ascii="Times New Roman" w:hAnsi="Times New Roman" w:cs="Times New Roman"/>
          <w:sz w:val="28"/>
          <w:szCs w:val="28"/>
        </w:rPr>
        <w:t xml:space="preserve"> 26 методических рекомендаций, </w:t>
      </w:r>
      <w:r w:rsidRPr="00BD5345">
        <w:rPr>
          <w:rFonts w:ascii="Times New Roman" w:hAnsi="Times New Roman" w:cs="Times New Roman"/>
          <w:sz w:val="28"/>
          <w:szCs w:val="28"/>
        </w:rPr>
        <w:t>31 макет</w:t>
      </w:r>
      <w:r w:rsidR="008664B6">
        <w:rPr>
          <w:rFonts w:ascii="Times New Roman" w:hAnsi="Times New Roman" w:cs="Times New Roman"/>
          <w:sz w:val="28"/>
          <w:szCs w:val="28"/>
        </w:rPr>
        <w:t>-</w:t>
      </w:r>
      <w:r w:rsidRPr="00BD5345">
        <w:rPr>
          <w:rFonts w:ascii="Times New Roman" w:hAnsi="Times New Roman" w:cs="Times New Roman"/>
          <w:sz w:val="28"/>
          <w:szCs w:val="28"/>
        </w:rPr>
        <w:t>плакатов.</w:t>
      </w:r>
    </w:p>
    <w:p w14:paraId="0169ADD1" w14:textId="77777777" w:rsidR="00BD5345" w:rsidRPr="00BD5345" w:rsidRDefault="00BD5345" w:rsidP="00A21663">
      <w:pPr>
        <w:tabs>
          <w:tab w:val="left" w:pos="9781"/>
        </w:tabs>
        <w:spacing w:after="0" w:line="312" w:lineRule="auto"/>
        <w:ind w:firstLine="709"/>
        <w:jc w:val="both"/>
        <w:rPr>
          <w:rFonts w:ascii="Times New Roman" w:hAnsi="Times New Roman" w:cs="Times New Roman"/>
          <w:sz w:val="28"/>
          <w:szCs w:val="28"/>
        </w:rPr>
      </w:pPr>
      <w:r w:rsidRPr="00BD5345">
        <w:rPr>
          <w:rFonts w:ascii="Times New Roman" w:hAnsi="Times New Roman" w:cs="Times New Roman"/>
          <w:sz w:val="28"/>
          <w:szCs w:val="28"/>
        </w:rPr>
        <w:t xml:space="preserve">На официальном канале МВД России ресурса </w:t>
      </w:r>
      <w:proofErr w:type="spellStart"/>
      <w:r w:rsidRPr="00BD5345">
        <w:rPr>
          <w:rFonts w:ascii="Times New Roman" w:hAnsi="Times New Roman" w:cs="Times New Roman"/>
          <w:sz w:val="28"/>
          <w:szCs w:val="28"/>
        </w:rPr>
        <w:t>YouTube</w:t>
      </w:r>
      <w:proofErr w:type="spellEnd"/>
      <w:r w:rsidRPr="00BD5345">
        <w:rPr>
          <w:rFonts w:ascii="Times New Roman" w:hAnsi="Times New Roman" w:cs="Times New Roman"/>
          <w:sz w:val="28"/>
          <w:szCs w:val="28"/>
        </w:rPr>
        <w:t xml:space="preserve"> создан </w:t>
      </w:r>
      <w:proofErr w:type="spellStart"/>
      <w:r w:rsidRPr="00BD5345">
        <w:rPr>
          <w:rFonts w:ascii="Times New Roman" w:hAnsi="Times New Roman" w:cs="Times New Roman"/>
          <w:sz w:val="28"/>
          <w:szCs w:val="28"/>
        </w:rPr>
        <w:t>плейлист</w:t>
      </w:r>
      <w:proofErr w:type="spellEnd"/>
      <w:r w:rsidRPr="00BD5345">
        <w:rPr>
          <w:rFonts w:ascii="Times New Roman" w:hAnsi="Times New Roman" w:cs="Times New Roman"/>
          <w:sz w:val="28"/>
          <w:szCs w:val="28"/>
        </w:rPr>
        <w:t xml:space="preserve"> «Нет наркотикам!», в котором опубликованы 39 видеоматериалов профилактического и информационно-просветительского характера. Аналогичный </w:t>
      </w:r>
      <w:proofErr w:type="spellStart"/>
      <w:r w:rsidRPr="00BD5345">
        <w:rPr>
          <w:rFonts w:ascii="Times New Roman" w:hAnsi="Times New Roman" w:cs="Times New Roman"/>
          <w:sz w:val="28"/>
          <w:szCs w:val="28"/>
        </w:rPr>
        <w:t>плейлист</w:t>
      </w:r>
      <w:proofErr w:type="spellEnd"/>
      <w:r w:rsidRPr="00BD5345">
        <w:rPr>
          <w:rFonts w:ascii="Times New Roman" w:hAnsi="Times New Roman" w:cs="Times New Roman"/>
          <w:sz w:val="28"/>
          <w:szCs w:val="28"/>
        </w:rPr>
        <w:t xml:space="preserve"> размещен на канале </w:t>
      </w:r>
      <w:proofErr w:type="spellStart"/>
      <w:r w:rsidRPr="00BD5345">
        <w:rPr>
          <w:rFonts w:ascii="Times New Roman" w:hAnsi="Times New Roman" w:cs="Times New Roman"/>
          <w:sz w:val="28"/>
          <w:szCs w:val="28"/>
        </w:rPr>
        <w:t>видеохостинга</w:t>
      </w:r>
      <w:proofErr w:type="spellEnd"/>
      <w:r w:rsidR="00CA4BA4" w:rsidRPr="00BD5345">
        <w:rPr>
          <w:rFonts w:ascii="Times New Roman" w:eastAsia="Times New Roman" w:hAnsi="Times New Roman" w:cs="Times New Roman"/>
          <w:sz w:val="28"/>
          <w:szCs w:val="28"/>
        </w:rPr>
        <w:t> </w:t>
      </w:r>
      <w:proofErr w:type="spellStart"/>
      <w:r w:rsidRPr="00BD5345">
        <w:rPr>
          <w:rFonts w:ascii="Times New Roman" w:hAnsi="Times New Roman" w:cs="Times New Roman"/>
          <w:sz w:val="28"/>
          <w:szCs w:val="28"/>
        </w:rPr>
        <w:t>Rutube</w:t>
      </w:r>
      <w:proofErr w:type="spellEnd"/>
      <w:r w:rsidRPr="00BD5345">
        <w:rPr>
          <w:rFonts w:ascii="Times New Roman" w:hAnsi="Times New Roman" w:cs="Times New Roman"/>
          <w:sz w:val="28"/>
          <w:szCs w:val="28"/>
        </w:rPr>
        <w:t>. Обеспечивается их регулярное обновление.</w:t>
      </w:r>
    </w:p>
    <w:p w14:paraId="4E3DD017" w14:textId="77777777" w:rsidR="00BD5345" w:rsidRPr="00BD5345" w:rsidRDefault="00BD5345" w:rsidP="00A21663">
      <w:pPr>
        <w:tabs>
          <w:tab w:val="left" w:pos="9781"/>
        </w:tabs>
        <w:spacing w:after="0" w:line="312" w:lineRule="auto"/>
        <w:ind w:firstLine="709"/>
        <w:jc w:val="both"/>
        <w:rPr>
          <w:rFonts w:ascii="Times New Roman" w:hAnsi="Times New Roman" w:cs="Times New Roman"/>
          <w:sz w:val="28"/>
          <w:szCs w:val="28"/>
        </w:rPr>
      </w:pPr>
      <w:r w:rsidRPr="00BD5345">
        <w:rPr>
          <w:rFonts w:ascii="Times New Roman" w:hAnsi="Times New Roman" w:cs="Times New Roman"/>
          <w:sz w:val="28"/>
          <w:szCs w:val="28"/>
        </w:rPr>
        <w:t>В рамках Всероссийского научно-образовательного форума по профилактике социально-негативных явлений в молодежной среде «Социальный десант»</w:t>
      </w:r>
      <w:r w:rsidR="008736AF">
        <w:rPr>
          <w:rFonts w:ascii="Times New Roman" w:hAnsi="Times New Roman" w:cs="Times New Roman"/>
          <w:sz w:val="28"/>
          <w:szCs w:val="28"/>
        </w:rPr>
        <w:t xml:space="preserve">, прошедшего </w:t>
      </w:r>
      <w:r w:rsidRPr="00BD5345">
        <w:rPr>
          <w:rFonts w:ascii="Times New Roman" w:hAnsi="Times New Roman" w:cs="Times New Roman"/>
          <w:sz w:val="28"/>
          <w:szCs w:val="28"/>
        </w:rPr>
        <w:t>26</w:t>
      </w:r>
      <w:r w:rsidR="00910103">
        <w:rPr>
          <w:rFonts w:ascii="Times New Roman" w:hAnsi="Times New Roman" w:cs="Times New Roman"/>
          <w:sz w:val="28"/>
          <w:szCs w:val="28"/>
        </w:rPr>
        <w:t>-</w:t>
      </w:r>
      <w:r w:rsidRPr="00BD5345">
        <w:rPr>
          <w:rFonts w:ascii="Times New Roman" w:hAnsi="Times New Roman" w:cs="Times New Roman"/>
          <w:sz w:val="28"/>
          <w:szCs w:val="28"/>
        </w:rPr>
        <w:t>30 июля 2021 г</w:t>
      </w:r>
      <w:r w:rsidR="008736AF">
        <w:rPr>
          <w:rFonts w:ascii="Times New Roman" w:hAnsi="Times New Roman" w:cs="Times New Roman"/>
          <w:sz w:val="28"/>
          <w:szCs w:val="28"/>
        </w:rPr>
        <w:t>. в</w:t>
      </w:r>
      <w:r w:rsidRPr="00BD5345">
        <w:rPr>
          <w:rFonts w:ascii="Times New Roman" w:hAnsi="Times New Roman" w:cs="Times New Roman"/>
          <w:sz w:val="28"/>
          <w:szCs w:val="28"/>
        </w:rPr>
        <w:t xml:space="preserve"> Краснодарск</w:t>
      </w:r>
      <w:r w:rsidR="008736AF">
        <w:rPr>
          <w:rFonts w:ascii="Times New Roman" w:hAnsi="Times New Roman" w:cs="Times New Roman"/>
          <w:sz w:val="28"/>
          <w:szCs w:val="28"/>
        </w:rPr>
        <w:t>ом</w:t>
      </w:r>
      <w:r w:rsidRPr="00BD5345">
        <w:rPr>
          <w:rFonts w:ascii="Times New Roman" w:hAnsi="Times New Roman" w:cs="Times New Roman"/>
          <w:sz w:val="28"/>
          <w:szCs w:val="28"/>
        </w:rPr>
        <w:t xml:space="preserve"> кра</w:t>
      </w:r>
      <w:r w:rsidR="008736AF">
        <w:rPr>
          <w:rFonts w:ascii="Times New Roman" w:hAnsi="Times New Roman" w:cs="Times New Roman"/>
          <w:sz w:val="28"/>
          <w:szCs w:val="28"/>
        </w:rPr>
        <w:t>е</w:t>
      </w:r>
      <w:r w:rsidRPr="00BD5345">
        <w:rPr>
          <w:rFonts w:ascii="Times New Roman" w:hAnsi="Times New Roman" w:cs="Times New Roman"/>
          <w:sz w:val="28"/>
          <w:szCs w:val="28"/>
        </w:rPr>
        <w:t>, Межрегионального антинаркотического форума</w:t>
      </w:r>
      <w:r w:rsidR="008736AF">
        <w:rPr>
          <w:rFonts w:ascii="Times New Roman" w:hAnsi="Times New Roman" w:cs="Times New Roman"/>
          <w:sz w:val="28"/>
          <w:szCs w:val="28"/>
        </w:rPr>
        <w:t>, прошедшего 18</w:t>
      </w:r>
      <w:r w:rsidR="00910103">
        <w:rPr>
          <w:rFonts w:ascii="Times New Roman" w:hAnsi="Times New Roman" w:cs="Times New Roman"/>
          <w:sz w:val="28"/>
          <w:szCs w:val="28"/>
        </w:rPr>
        <w:t>-</w:t>
      </w:r>
      <w:r w:rsidRPr="00BD5345">
        <w:rPr>
          <w:rFonts w:ascii="Times New Roman" w:hAnsi="Times New Roman" w:cs="Times New Roman"/>
          <w:sz w:val="28"/>
          <w:szCs w:val="28"/>
        </w:rPr>
        <w:t>19 ноября 2021 г</w:t>
      </w:r>
      <w:r w:rsidR="008736AF">
        <w:rPr>
          <w:rFonts w:ascii="Times New Roman" w:hAnsi="Times New Roman" w:cs="Times New Roman"/>
          <w:sz w:val="28"/>
          <w:szCs w:val="28"/>
        </w:rPr>
        <w:t xml:space="preserve">. в </w:t>
      </w:r>
      <w:r w:rsidRPr="00BD5345">
        <w:rPr>
          <w:rFonts w:ascii="Times New Roman" w:hAnsi="Times New Roman" w:cs="Times New Roman"/>
          <w:sz w:val="28"/>
          <w:szCs w:val="28"/>
        </w:rPr>
        <w:t>г. Ханты-Мансийс</w:t>
      </w:r>
      <w:r w:rsidR="008736AF">
        <w:rPr>
          <w:rFonts w:ascii="Times New Roman" w:hAnsi="Times New Roman" w:cs="Times New Roman"/>
          <w:sz w:val="28"/>
          <w:szCs w:val="28"/>
        </w:rPr>
        <w:t>ке,</w:t>
      </w:r>
      <w:r w:rsidRPr="00BD5345">
        <w:rPr>
          <w:rFonts w:ascii="Times New Roman" w:hAnsi="Times New Roman" w:cs="Times New Roman"/>
          <w:sz w:val="28"/>
          <w:szCs w:val="28"/>
        </w:rPr>
        <w:t xml:space="preserve"> состоялся обмен региональными практиками по формированию у молодежи антинаркотического мировоззрения. МВД России проведены образовательные модули по пр</w:t>
      </w:r>
      <w:r w:rsidR="005430C5">
        <w:rPr>
          <w:rFonts w:ascii="Times New Roman" w:hAnsi="Times New Roman" w:cs="Times New Roman"/>
          <w:sz w:val="28"/>
          <w:szCs w:val="28"/>
        </w:rPr>
        <w:t xml:space="preserve">офилактике незаконного оборота </w:t>
      </w:r>
      <w:r w:rsidRPr="00BD5345">
        <w:rPr>
          <w:rFonts w:ascii="Times New Roman" w:hAnsi="Times New Roman" w:cs="Times New Roman"/>
          <w:sz w:val="28"/>
          <w:szCs w:val="28"/>
        </w:rPr>
        <w:t xml:space="preserve">и потребления наркотиков. </w:t>
      </w:r>
    </w:p>
    <w:p w14:paraId="3464DFCB" w14:textId="77777777" w:rsidR="00BD5345" w:rsidRPr="00BD5345" w:rsidRDefault="00BD5345" w:rsidP="00A21663">
      <w:pPr>
        <w:tabs>
          <w:tab w:val="left" w:pos="9781"/>
        </w:tabs>
        <w:spacing w:after="0" w:line="312" w:lineRule="auto"/>
        <w:ind w:firstLine="709"/>
        <w:jc w:val="both"/>
        <w:rPr>
          <w:rFonts w:ascii="Times New Roman" w:hAnsi="Times New Roman" w:cs="Times New Roman"/>
          <w:sz w:val="28"/>
          <w:szCs w:val="28"/>
        </w:rPr>
      </w:pPr>
      <w:r w:rsidRPr="00BD5345">
        <w:rPr>
          <w:rFonts w:ascii="Times New Roman" w:hAnsi="Times New Roman" w:cs="Times New Roman"/>
          <w:sz w:val="28"/>
          <w:szCs w:val="28"/>
        </w:rPr>
        <w:t>По результатам анализа антинаркот</w:t>
      </w:r>
      <w:r w:rsidR="005430C5">
        <w:rPr>
          <w:rFonts w:ascii="Times New Roman" w:hAnsi="Times New Roman" w:cs="Times New Roman"/>
          <w:sz w:val="28"/>
          <w:szCs w:val="28"/>
        </w:rPr>
        <w:t xml:space="preserve">ической работы среди молодежи, </w:t>
      </w:r>
      <w:r w:rsidRPr="00BD5345">
        <w:rPr>
          <w:rFonts w:ascii="Times New Roman" w:hAnsi="Times New Roman" w:cs="Times New Roman"/>
          <w:sz w:val="28"/>
          <w:szCs w:val="28"/>
        </w:rPr>
        <w:t>в том числе с использованием ресурсов волонтерского движения, лучшие проекты обобщены и направлены в субъекты Российской Федерации.</w:t>
      </w:r>
    </w:p>
    <w:p w14:paraId="1CEA4118" w14:textId="77777777" w:rsidR="00BD5345" w:rsidRPr="00BD5345" w:rsidRDefault="00BD5345" w:rsidP="00A21663">
      <w:pPr>
        <w:tabs>
          <w:tab w:val="left" w:pos="9781"/>
        </w:tabs>
        <w:spacing w:after="0" w:line="312" w:lineRule="auto"/>
        <w:ind w:firstLine="709"/>
        <w:jc w:val="both"/>
        <w:rPr>
          <w:rFonts w:ascii="Times New Roman" w:hAnsi="Times New Roman" w:cs="Times New Roman"/>
          <w:sz w:val="28"/>
          <w:szCs w:val="28"/>
        </w:rPr>
      </w:pPr>
      <w:r w:rsidRPr="00BD5345">
        <w:rPr>
          <w:rFonts w:ascii="Times New Roman" w:hAnsi="Times New Roman" w:cs="Times New Roman"/>
          <w:sz w:val="28"/>
          <w:szCs w:val="28"/>
        </w:rPr>
        <w:t>Кроме того, МВД России разработаны рекомендации по теме</w:t>
      </w:r>
      <w:r w:rsidR="008736AF">
        <w:rPr>
          <w:rFonts w:ascii="Times New Roman" w:hAnsi="Times New Roman" w:cs="Times New Roman"/>
          <w:sz w:val="28"/>
          <w:szCs w:val="28"/>
        </w:rPr>
        <w:t>:</w:t>
      </w:r>
      <w:r w:rsidRPr="00BD5345">
        <w:rPr>
          <w:rFonts w:ascii="Times New Roman" w:hAnsi="Times New Roman" w:cs="Times New Roman"/>
          <w:sz w:val="28"/>
          <w:szCs w:val="28"/>
        </w:rPr>
        <w:t xml:space="preserve"> «Профилактика незаконного потребления и</w:t>
      </w:r>
      <w:r w:rsidR="008736AF">
        <w:rPr>
          <w:rFonts w:ascii="Times New Roman" w:hAnsi="Times New Roman" w:cs="Times New Roman"/>
          <w:sz w:val="28"/>
          <w:szCs w:val="28"/>
        </w:rPr>
        <w:t xml:space="preserve"> оборота наркотических средств </w:t>
      </w:r>
      <w:r w:rsidRPr="00BD5345">
        <w:rPr>
          <w:rFonts w:ascii="Times New Roman" w:hAnsi="Times New Roman" w:cs="Times New Roman"/>
          <w:sz w:val="28"/>
          <w:szCs w:val="28"/>
        </w:rPr>
        <w:t>и психотропных веществ в образовательных организациях», сборник программ, методических материалов и практик в сфере профилактики наркомании для применения в практической деятельности регионов.</w:t>
      </w:r>
    </w:p>
    <w:p w14:paraId="61D00118" w14:textId="77777777" w:rsidR="00BD5345" w:rsidRPr="00BD5345" w:rsidRDefault="00BD5345" w:rsidP="00A21663">
      <w:pPr>
        <w:tabs>
          <w:tab w:val="left" w:pos="9781"/>
        </w:tabs>
        <w:spacing w:after="0" w:line="312" w:lineRule="auto"/>
        <w:ind w:firstLine="709"/>
        <w:jc w:val="both"/>
        <w:rPr>
          <w:rFonts w:ascii="Times New Roman" w:hAnsi="Times New Roman" w:cs="Times New Roman"/>
          <w:sz w:val="28"/>
          <w:szCs w:val="28"/>
        </w:rPr>
      </w:pPr>
      <w:r w:rsidRPr="00BD5345">
        <w:rPr>
          <w:rFonts w:ascii="Times New Roman" w:hAnsi="Times New Roman" w:cs="Times New Roman"/>
          <w:sz w:val="28"/>
          <w:szCs w:val="28"/>
        </w:rPr>
        <w:t xml:space="preserve">На постоянной основе организована работа по досудебному ограничению доступа к сайтам, распространяющим запрещенную информацию о наркотиках. </w:t>
      </w:r>
      <w:r w:rsidR="007B6A5F">
        <w:rPr>
          <w:rFonts w:ascii="Times New Roman" w:hAnsi="Times New Roman" w:cs="Times New Roman"/>
          <w:sz w:val="28"/>
          <w:szCs w:val="28"/>
        </w:rPr>
        <w:br/>
      </w:r>
      <w:r w:rsidRPr="00BD5345">
        <w:rPr>
          <w:rFonts w:ascii="Times New Roman" w:hAnsi="Times New Roman" w:cs="Times New Roman"/>
          <w:sz w:val="28"/>
          <w:szCs w:val="28"/>
        </w:rPr>
        <w:t>В 2021 г</w:t>
      </w:r>
      <w:r w:rsidR="00910103">
        <w:rPr>
          <w:rFonts w:ascii="Times New Roman" w:hAnsi="Times New Roman" w:cs="Times New Roman"/>
          <w:sz w:val="28"/>
          <w:szCs w:val="28"/>
        </w:rPr>
        <w:t>.</w:t>
      </w:r>
      <w:r w:rsidRPr="00BD5345">
        <w:rPr>
          <w:rFonts w:ascii="Times New Roman" w:hAnsi="Times New Roman" w:cs="Times New Roman"/>
          <w:sz w:val="28"/>
          <w:szCs w:val="28"/>
        </w:rPr>
        <w:t xml:space="preserve"> рассмотрено</w:t>
      </w:r>
      <w:r w:rsidR="008736AF">
        <w:rPr>
          <w:rFonts w:ascii="Times New Roman" w:hAnsi="Times New Roman" w:cs="Times New Roman"/>
          <w:sz w:val="28"/>
          <w:szCs w:val="28"/>
        </w:rPr>
        <w:t xml:space="preserve"> 23 137 электронных обращений, </w:t>
      </w:r>
      <w:r w:rsidRPr="00BD5345">
        <w:rPr>
          <w:rFonts w:ascii="Times New Roman" w:hAnsi="Times New Roman" w:cs="Times New Roman"/>
          <w:sz w:val="28"/>
          <w:szCs w:val="28"/>
        </w:rPr>
        <w:t xml:space="preserve">по которым принято </w:t>
      </w:r>
      <w:r w:rsidR="00910103">
        <w:rPr>
          <w:rFonts w:ascii="Times New Roman" w:hAnsi="Times New Roman" w:cs="Times New Roman"/>
          <w:sz w:val="28"/>
          <w:szCs w:val="28"/>
        </w:rPr>
        <w:br/>
      </w:r>
      <w:r w:rsidRPr="00BD5345">
        <w:rPr>
          <w:rFonts w:ascii="Times New Roman" w:hAnsi="Times New Roman" w:cs="Times New Roman"/>
          <w:sz w:val="28"/>
          <w:szCs w:val="28"/>
        </w:rPr>
        <w:t xml:space="preserve">14 812 экспертных </w:t>
      </w:r>
      <w:r w:rsidR="008736AF">
        <w:rPr>
          <w:rFonts w:ascii="Times New Roman" w:hAnsi="Times New Roman" w:cs="Times New Roman"/>
          <w:sz w:val="28"/>
          <w:szCs w:val="28"/>
        </w:rPr>
        <w:t xml:space="preserve">решений об ограничении доступа </w:t>
      </w:r>
      <w:r w:rsidRPr="00BD5345">
        <w:rPr>
          <w:rFonts w:ascii="Times New Roman" w:hAnsi="Times New Roman" w:cs="Times New Roman"/>
          <w:sz w:val="28"/>
          <w:szCs w:val="28"/>
        </w:rPr>
        <w:t xml:space="preserve">к таким </w:t>
      </w:r>
      <w:proofErr w:type="spellStart"/>
      <w:r w:rsidRPr="00BD5345">
        <w:rPr>
          <w:rFonts w:ascii="Times New Roman" w:hAnsi="Times New Roman" w:cs="Times New Roman"/>
          <w:sz w:val="28"/>
          <w:szCs w:val="28"/>
        </w:rPr>
        <w:t>интернет-ресурсам</w:t>
      </w:r>
      <w:proofErr w:type="spellEnd"/>
      <w:r w:rsidRPr="00BD5345">
        <w:rPr>
          <w:rFonts w:ascii="Times New Roman" w:hAnsi="Times New Roman" w:cs="Times New Roman"/>
          <w:sz w:val="28"/>
          <w:szCs w:val="28"/>
        </w:rPr>
        <w:t xml:space="preserve">. </w:t>
      </w:r>
      <w:r w:rsidR="007B6A5F">
        <w:rPr>
          <w:rFonts w:ascii="Times New Roman" w:hAnsi="Times New Roman" w:cs="Times New Roman"/>
          <w:sz w:val="28"/>
          <w:szCs w:val="28"/>
        </w:rPr>
        <w:br/>
      </w:r>
      <w:r w:rsidRPr="00BD5345">
        <w:rPr>
          <w:rFonts w:ascii="Times New Roman" w:hAnsi="Times New Roman" w:cs="Times New Roman"/>
          <w:sz w:val="28"/>
          <w:szCs w:val="28"/>
        </w:rPr>
        <w:t xml:space="preserve">В ходе мониторинга сети «Интернет» в целях выявления пронаркотических интернет-ресурсов в </w:t>
      </w:r>
      <w:r w:rsidRPr="00592ED5">
        <w:rPr>
          <w:rFonts w:ascii="Times New Roman" w:hAnsi="Times New Roman" w:cs="Times New Roman"/>
          <w:sz w:val="28"/>
          <w:szCs w:val="28"/>
        </w:rPr>
        <w:t>Единую автоматизированную информационную систему</w:t>
      </w:r>
      <w:r w:rsidRPr="00BD5345">
        <w:rPr>
          <w:rFonts w:ascii="Times New Roman" w:hAnsi="Times New Roman" w:cs="Times New Roman"/>
          <w:sz w:val="28"/>
          <w:szCs w:val="28"/>
        </w:rPr>
        <w:t xml:space="preserve"> МВД России внесено 3 600 заявок.</w:t>
      </w:r>
    </w:p>
    <w:p w14:paraId="03C6EB96" w14:textId="4CD63803" w:rsidR="00BD5345" w:rsidRPr="00BD5345" w:rsidRDefault="00BD5345" w:rsidP="00A21663">
      <w:pPr>
        <w:tabs>
          <w:tab w:val="left" w:pos="9781"/>
        </w:tabs>
        <w:spacing w:after="0" w:line="312" w:lineRule="auto"/>
        <w:ind w:firstLine="709"/>
        <w:jc w:val="both"/>
        <w:rPr>
          <w:rFonts w:ascii="Times New Roman" w:hAnsi="Times New Roman" w:cs="Times New Roman"/>
          <w:sz w:val="28"/>
          <w:szCs w:val="28"/>
        </w:rPr>
      </w:pPr>
      <w:r w:rsidRPr="00BD5345">
        <w:rPr>
          <w:rFonts w:ascii="Times New Roman" w:hAnsi="Times New Roman" w:cs="Times New Roman"/>
          <w:sz w:val="28"/>
          <w:szCs w:val="28"/>
        </w:rPr>
        <w:t xml:space="preserve">Во исполнение Межведомственного плана по реализации Стратегии государственной антинаркотической политики Российской Федерации </w:t>
      </w:r>
      <w:r w:rsidR="00C36EB2">
        <w:rPr>
          <w:rFonts w:ascii="Times New Roman" w:hAnsi="Times New Roman" w:cs="Times New Roman"/>
          <w:sz w:val="28"/>
          <w:szCs w:val="28"/>
        </w:rPr>
        <w:br/>
      </w:r>
      <w:r w:rsidRPr="00BD5345">
        <w:rPr>
          <w:rFonts w:ascii="Times New Roman" w:hAnsi="Times New Roman" w:cs="Times New Roman"/>
          <w:sz w:val="28"/>
          <w:szCs w:val="28"/>
        </w:rPr>
        <w:t>до 2030 г</w:t>
      </w:r>
      <w:r w:rsidR="00DE6775">
        <w:rPr>
          <w:rFonts w:ascii="Times New Roman" w:hAnsi="Times New Roman" w:cs="Times New Roman"/>
          <w:sz w:val="28"/>
          <w:szCs w:val="28"/>
        </w:rPr>
        <w:t>.</w:t>
      </w:r>
      <w:r w:rsidR="00974BFF">
        <w:rPr>
          <w:rFonts w:ascii="Times New Roman" w:hAnsi="Times New Roman" w:cs="Times New Roman"/>
          <w:sz w:val="28"/>
          <w:szCs w:val="28"/>
        </w:rPr>
        <w:t>,</w:t>
      </w:r>
      <w:r w:rsidR="00B1357C" w:rsidRPr="00B1357C">
        <w:rPr>
          <w:rFonts w:ascii="Times New Roman" w:eastAsia="Times New Roman" w:hAnsi="Times New Roman" w:cs="Times New Roman"/>
          <w:sz w:val="28"/>
          <w:szCs w:val="28"/>
        </w:rPr>
        <w:t xml:space="preserve"> </w:t>
      </w:r>
      <w:r w:rsidR="00B1357C" w:rsidRPr="00BD5345">
        <w:rPr>
          <w:rFonts w:ascii="Times New Roman" w:eastAsia="Times New Roman" w:hAnsi="Times New Roman" w:cs="Times New Roman"/>
          <w:sz w:val="28"/>
          <w:szCs w:val="28"/>
        </w:rPr>
        <w:t> </w:t>
      </w:r>
      <w:r w:rsidR="00974BFF">
        <w:rPr>
          <w:rFonts w:ascii="Times New Roman" w:hAnsi="Times New Roman" w:cs="Times New Roman"/>
          <w:sz w:val="28"/>
          <w:szCs w:val="28"/>
        </w:rPr>
        <w:t xml:space="preserve">утвержденной </w:t>
      </w:r>
      <w:r w:rsidR="00974BFF" w:rsidRPr="00974BFF">
        <w:rPr>
          <w:rFonts w:ascii="Times New Roman" w:hAnsi="Times New Roman" w:cs="Times New Roman"/>
          <w:sz w:val="28"/>
          <w:szCs w:val="28"/>
        </w:rPr>
        <w:t>председателем Государственной антинаркотической комиссии В.А. Колокольцевым от 21 декабря 2020 г. № 8/6-12818</w:t>
      </w:r>
      <w:r w:rsidR="00974BFF">
        <w:rPr>
          <w:rFonts w:ascii="Times New Roman" w:hAnsi="Times New Roman" w:cs="Times New Roman"/>
          <w:sz w:val="28"/>
          <w:szCs w:val="28"/>
        </w:rPr>
        <w:t xml:space="preserve">, </w:t>
      </w:r>
      <w:r w:rsidRPr="00BD5345">
        <w:rPr>
          <w:rFonts w:ascii="Times New Roman" w:hAnsi="Times New Roman" w:cs="Times New Roman"/>
          <w:sz w:val="28"/>
          <w:szCs w:val="28"/>
        </w:rPr>
        <w:t>Минпросвещения России совместно с МВД России, Минздравом России, Минобрнауки России, Росмолодежью разработаны Концепция профилактики употребления психоактивных веществ в о</w:t>
      </w:r>
      <w:r w:rsidR="00974BFF">
        <w:rPr>
          <w:rFonts w:ascii="Times New Roman" w:hAnsi="Times New Roman" w:cs="Times New Roman"/>
          <w:sz w:val="28"/>
          <w:szCs w:val="28"/>
        </w:rPr>
        <w:t xml:space="preserve">бразовательной среде на период </w:t>
      </w:r>
      <w:r w:rsidRPr="00BD5345">
        <w:rPr>
          <w:rFonts w:ascii="Times New Roman" w:hAnsi="Times New Roman" w:cs="Times New Roman"/>
          <w:sz w:val="28"/>
          <w:szCs w:val="28"/>
        </w:rPr>
        <w:t>до 2025 г</w:t>
      </w:r>
      <w:r w:rsidR="00910103">
        <w:rPr>
          <w:rFonts w:ascii="Times New Roman" w:hAnsi="Times New Roman" w:cs="Times New Roman"/>
          <w:sz w:val="28"/>
          <w:szCs w:val="28"/>
        </w:rPr>
        <w:t>.</w:t>
      </w:r>
      <w:r w:rsidR="00974BFF">
        <w:rPr>
          <w:rFonts w:ascii="Times New Roman" w:hAnsi="Times New Roman" w:cs="Times New Roman"/>
          <w:sz w:val="28"/>
          <w:szCs w:val="28"/>
        </w:rPr>
        <w:t xml:space="preserve"> (далее – «Концепция ПАВ»)</w:t>
      </w:r>
      <w:r w:rsidRPr="00BD5345">
        <w:rPr>
          <w:rFonts w:ascii="Times New Roman" w:hAnsi="Times New Roman" w:cs="Times New Roman"/>
          <w:sz w:val="28"/>
          <w:szCs w:val="28"/>
        </w:rPr>
        <w:t xml:space="preserve"> и план мероприятий по ее реализации на период 2021</w:t>
      </w:r>
      <w:r w:rsidR="00910103">
        <w:rPr>
          <w:rFonts w:ascii="Times New Roman" w:hAnsi="Times New Roman" w:cs="Times New Roman"/>
          <w:sz w:val="28"/>
          <w:szCs w:val="28"/>
        </w:rPr>
        <w:t>-</w:t>
      </w:r>
      <w:r w:rsidRPr="00BD5345">
        <w:rPr>
          <w:rFonts w:ascii="Times New Roman" w:hAnsi="Times New Roman" w:cs="Times New Roman"/>
          <w:sz w:val="28"/>
          <w:szCs w:val="28"/>
        </w:rPr>
        <w:t>2025 г</w:t>
      </w:r>
      <w:r w:rsidR="007B6A5F">
        <w:rPr>
          <w:rFonts w:ascii="Times New Roman" w:hAnsi="Times New Roman" w:cs="Times New Roman"/>
          <w:sz w:val="28"/>
          <w:szCs w:val="28"/>
        </w:rPr>
        <w:t>г.</w:t>
      </w:r>
      <w:r w:rsidRPr="00BD5345">
        <w:rPr>
          <w:rFonts w:ascii="Times New Roman" w:hAnsi="Times New Roman" w:cs="Times New Roman"/>
          <w:sz w:val="28"/>
          <w:szCs w:val="28"/>
        </w:rPr>
        <w:t xml:space="preserve">, утвержденные 15 июня </w:t>
      </w:r>
      <w:r w:rsidR="00C36EB2">
        <w:rPr>
          <w:rFonts w:ascii="Times New Roman" w:hAnsi="Times New Roman" w:cs="Times New Roman"/>
          <w:sz w:val="28"/>
          <w:szCs w:val="28"/>
        </w:rPr>
        <w:br/>
      </w:r>
      <w:r w:rsidRPr="00BD5345">
        <w:rPr>
          <w:rFonts w:ascii="Times New Roman" w:hAnsi="Times New Roman" w:cs="Times New Roman"/>
          <w:sz w:val="28"/>
          <w:szCs w:val="28"/>
        </w:rPr>
        <w:t>2021 г</w:t>
      </w:r>
      <w:r w:rsidR="007B6A5F">
        <w:rPr>
          <w:rFonts w:ascii="Times New Roman" w:hAnsi="Times New Roman" w:cs="Times New Roman"/>
          <w:sz w:val="28"/>
          <w:szCs w:val="28"/>
        </w:rPr>
        <w:t>.</w:t>
      </w:r>
      <w:r w:rsidRPr="00BD5345">
        <w:rPr>
          <w:rFonts w:ascii="Times New Roman" w:hAnsi="Times New Roman" w:cs="Times New Roman"/>
          <w:sz w:val="28"/>
          <w:szCs w:val="28"/>
        </w:rPr>
        <w:t xml:space="preserve"> статс-секретарем – заместителем Министра просвещения Российской Федерации А.А. Корнеевым. </w:t>
      </w:r>
    </w:p>
    <w:p w14:paraId="01488242" w14:textId="77777777" w:rsidR="00BD5345" w:rsidRPr="00BD5345" w:rsidRDefault="00BD5345" w:rsidP="00A21663">
      <w:pPr>
        <w:tabs>
          <w:tab w:val="left" w:pos="9781"/>
        </w:tabs>
        <w:spacing w:after="0" w:line="312" w:lineRule="auto"/>
        <w:ind w:firstLine="709"/>
        <w:jc w:val="both"/>
        <w:rPr>
          <w:rFonts w:ascii="Times New Roman" w:hAnsi="Times New Roman" w:cs="Times New Roman"/>
          <w:sz w:val="28"/>
          <w:szCs w:val="28"/>
        </w:rPr>
      </w:pPr>
      <w:r w:rsidRPr="00BD5345">
        <w:rPr>
          <w:rFonts w:ascii="Times New Roman" w:hAnsi="Times New Roman" w:cs="Times New Roman"/>
          <w:sz w:val="28"/>
          <w:szCs w:val="28"/>
        </w:rPr>
        <w:t>Концепция ПАВ является базовым компонентом общегосударственной системы предупреждения употребления психоактивных веществ в образовательной среде, дополнительным инструментом, выполняющим организационно-методическую и регламентирующую функции.</w:t>
      </w:r>
    </w:p>
    <w:p w14:paraId="55B9CA42" w14:textId="77777777" w:rsidR="00BD5345" w:rsidRPr="00BD5345" w:rsidRDefault="00BD5345" w:rsidP="00A21663">
      <w:pPr>
        <w:tabs>
          <w:tab w:val="left" w:pos="9781"/>
        </w:tabs>
        <w:spacing w:after="0" w:line="312" w:lineRule="auto"/>
        <w:ind w:firstLine="709"/>
        <w:jc w:val="both"/>
        <w:rPr>
          <w:rFonts w:ascii="Times New Roman" w:hAnsi="Times New Roman" w:cs="Times New Roman"/>
          <w:i/>
          <w:sz w:val="28"/>
          <w:szCs w:val="28"/>
        </w:rPr>
      </w:pPr>
      <w:r w:rsidRPr="00BD5345">
        <w:rPr>
          <w:rFonts w:ascii="Times New Roman" w:hAnsi="Times New Roman" w:cs="Times New Roman"/>
          <w:sz w:val="28"/>
          <w:szCs w:val="28"/>
        </w:rPr>
        <w:t xml:space="preserve">В целях реализации Концепции ПАВ предусмотрен охват профилактической работой как обучающихся, </w:t>
      </w:r>
      <w:r w:rsidR="0037242B">
        <w:rPr>
          <w:rFonts w:ascii="Times New Roman" w:hAnsi="Times New Roman" w:cs="Times New Roman"/>
          <w:sz w:val="28"/>
          <w:szCs w:val="28"/>
        </w:rPr>
        <w:t xml:space="preserve">так и их родителей, педагогов. </w:t>
      </w:r>
      <w:r w:rsidRPr="00BD5345">
        <w:rPr>
          <w:rFonts w:ascii="Times New Roman" w:hAnsi="Times New Roman" w:cs="Times New Roman"/>
          <w:sz w:val="28"/>
          <w:szCs w:val="28"/>
        </w:rPr>
        <w:t>К примеру, Минпросвещения России с 2020 г</w:t>
      </w:r>
      <w:r w:rsidR="00910103">
        <w:rPr>
          <w:rFonts w:ascii="Times New Roman" w:hAnsi="Times New Roman" w:cs="Times New Roman"/>
          <w:sz w:val="28"/>
          <w:szCs w:val="28"/>
        </w:rPr>
        <w:t>.</w:t>
      </w:r>
      <w:r w:rsidRPr="00BD5345">
        <w:rPr>
          <w:rFonts w:ascii="Times New Roman" w:hAnsi="Times New Roman" w:cs="Times New Roman"/>
          <w:sz w:val="28"/>
          <w:szCs w:val="28"/>
        </w:rPr>
        <w:t xml:space="preserve"> осуществляется онлайн-опрос, участие в котором позволяет оказывать формирующее воздействие на отношение родителей к осознанному и ответственному выбору стиля поведения для уменьшения риска н</w:t>
      </w:r>
      <w:r w:rsidR="00B55924">
        <w:rPr>
          <w:rFonts w:ascii="Times New Roman" w:hAnsi="Times New Roman" w:cs="Times New Roman"/>
          <w:sz w:val="28"/>
          <w:szCs w:val="28"/>
        </w:rPr>
        <w:t>аркотизации несовершеннолетних.</w:t>
      </w:r>
    </w:p>
    <w:p w14:paraId="53912D3A" w14:textId="77777777" w:rsidR="00BD5345" w:rsidRPr="00BD5345" w:rsidRDefault="00BD5345" w:rsidP="00A21663">
      <w:pPr>
        <w:tabs>
          <w:tab w:val="left" w:pos="9781"/>
        </w:tabs>
        <w:spacing w:after="0" w:line="312" w:lineRule="auto"/>
        <w:ind w:firstLine="709"/>
        <w:jc w:val="both"/>
        <w:rPr>
          <w:rFonts w:ascii="Times New Roman" w:hAnsi="Times New Roman" w:cs="Times New Roman"/>
          <w:sz w:val="28"/>
          <w:szCs w:val="28"/>
        </w:rPr>
      </w:pPr>
      <w:r w:rsidRPr="00BD5345">
        <w:rPr>
          <w:rFonts w:ascii="Times New Roman" w:hAnsi="Times New Roman" w:cs="Times New Roman"/>
          <w:sz w:val="28"/>
          <w:szCs w:val="28"/>
        </w:rPr>
        <w:t>Во всех субъектах Российской Федерации проведение профилактической работы организовано в рамках основного образовательного процесса и внеурочной деятельности с привлечением ресурсов профильных некоммерческих организаций с соблюдением установленных федеральными государственными образовательными стандартами требований, предусматривающими формирование у обучающихся установок на безопасный, здоровый образ жизни, потребности в физическом самосовершенствовании, занятиях спортивно-оздоровительной деятельностью, воспитание неприятия вредных привычек (курения, упот</w:t>
      </w:r>
      <w:r w:rsidR="00B55924">
        <w:rPr>
          <w:rFonts w:ascii="Times New Roman" w:hAnsi="Times New Roman" w:cs="Times New Roman"/>
          <w:sz w:val="28"/>
          <w:szCs w:val="28"/>
        </w:rPr>
        <w:t>ребления алкоголя, наркотиков).</w:t>
      </w:r>
    </w:p>
    <w:p w14:paraId="0380FAEB" w14:textId="77777777" w:rsidR="00BD5345" w:rsidRPr="00BD5345" w:rsidRDefault="00BD5345" w:rsidP="00A21663">
      <w:pPr>
        <w:tabs>
          <w:tab w:val="left" w:pos="9781"/>
        </w:tabs>
        <w:spacing w:after="0" w:line="312" w:lineRule="auto"/>
        <w:ind w:firstLine="709"/>
        <w:jc w:val="both"/>
        <w:rPr>
          <w:rFonts w:ascii="Times New Roman" w:hAnsi="Times New Roman" w:cs="Times New Roman"/>
          <w:sz w:val="28"/>
          <w:szCs w:val="28"/>
        </w:rPr>
      </w:pPr>
      <w:r w:rsidRPr="00BD5345">
        <w:rPr>
          <w:rFonts w:ascii="Times New Roman" w:hAnsi="Times New Roman" w:cs="Times New Roman"/>
          <w:sz w:val="28"/>
          <w:szCs w:val="28"/>
        </w:rPr>
        <w:t>По итогам проведения в 2021 г</w:t>
      </w:r>
      <w:r w:rsidR="00910103">
        <w:rPr>
          <w:rFonts w:ascii="Times New Roman" w:hAnsi="Times New Roman" w:cs="Times New Roman"/>
          <w:sz w:val="28"/>
          <w:szCs w:val="28"/>
        </w:rPr>
        <w:t>.</w:t>
      </w:r>
      <w:r w:rsidRPr="00BD5345">
        <w:rPr>
          <w:rFonts w:ascii="Times New Roman" w:hAnsi="Times New Roman" w:cs="Times New Roman"/>
          <w:sz w:val="28"/>
          <w:szCs w:val="28"/>
        </w:rPr>
        <w:t xml:space="preserve"> Минпросвещения России ежегодного мониторинга организации и проведения социально-психологического тестирования в субъектах Российской Федерации отмечается увеличение числа образовательных организаций и охвата </w:t>
      </w:r>
      <w:r w:rsidR="008E2DE0">
        <w:rPr>
          <w:rFonts w:ascii="Times New Roman" w:hAnsi="Times New Roman" w:cs="Times New Roman"/>
          <w:sz w:val="28"/>
          <w:szCs w:val="28"/>
        </w:rPr>
        <w:t xml:space="preserve">обучающихся, принявших участие </w:t>
      </w:r>
      <w:r w:rsidRPr="00BD5345">
        <w:rPr>
          <w:rFonts w:ascii="Times New Roman" w:hAnsi="Times New Roman" w:cs="Times New Roman"/>
          <w:sz w:val="28"/>
          <w:szCs w:val="28"/>
        </w:rPr>
        <w:t xml:space="preserve">в соответствующих мероприятиях. </w:t>
      </w:r>
    </w:p>
    <w:p w14:paraId="0626AB9E" w14:textId="77777777" w:rsidR="00BD5345" w:rsidRPr="00BD5345" w:rsidRDefault="00BD5345" w:rsidP="00A21663">
      <w:pPr>
        <w:tabs>
          <w:tab w:val="left" w:pos="9781"/>
        </w:tabs>
        <w:spacing w:after="0" w:line="312" w:lineRule="auto"/>
        <w:ind w:firstLine="709"/>
        <w:jc w:val="both"/>
        <w:rPr>
          <w:rFonts w:ascii="Times New Roman" w:hAnsi="Times New Roman" w:cs="Times New Roman"/>
          <w:sz w:val="28"/>
          <w:szCs w:val="28"/>
        </w:rPr>
      </w:pPr>
      <w:r w:rsidRPr="00BD5345">
        <w:rPr>
          <w:rFonts w:ascii="Times New Roman" w:hAnsi="Times New Roman" w:cs="Times New Roman"/>
          <w:sz w:val="28"/>
          <w:szCs w:val="28"/>
        </w:rPr>
        <w:t>Так, в 2021</w:t>
      </w:r>
      <w:r w:rsidR="007B6A5F">
        <w:rPr>
          <w:rFonts w:ascii="Times New Roman" w:hAnsi="Times New Roman" w:cs="Times New Roman"/>
          <w:sz w:val="28"/>
          <w:szCs w:val="28"/>
        </w:rPr>
        <w:t>/</w:t>
      </w:r>
      <w:r w:rsidRPr="00BD5345">
        <w:rPr>
          <w:rFonts w:ascii="Times New Roman" w:hAnsi="Times New Roman" w:cs="Times New Roman"/>
          <w:sz w:val="28"/>
          <w:szCs w:val="28"/>
        </w:rPr>
        <w:t>2022 учебн</w:t>
      </w:r>
      <w:r w:rsidR="008E2DE0">
        <w:rPr>
          <w:rFonts w:ascii="Times New Roman" w:hAnsi="Times New Roman" w:cs="Times New Roman"/>
          <w:sz w:val="28"/>
          <w:szCs w:val="28"/>
        </w:rPr>
        <w:t xml:space="preserve">ом году тестированием охвачено </w:t>
      </w:r>
      <w:r w:rsidR="00910103">
        <w:rPr>
          <w:rFonts w:ascii="Times New Roman" w:hAnsi="Times New Roman" w:cs="Times New Roman"/>
          <w:sz w:val="28"/>
          <w:szCs w:val="28"/>
        </w:rPr>
        <w:br/>
      </w:r>
      <w:r w:rsidRPr="00BD5345">
        <w:rPr>
          <w:rFonts w:ascii="Times New Roman" w:hAnsi="Times New Roman" w:cs="Times New Roman"/>
          <w:sz w:val="28"/>
          <w:szCs w:val="28"/>
        </w:rPr>
        <w:t>40</w:t>
      </w:r>
      <w:r w:rsidRPr="00BD5345">
        <w:rPr>
          <w:rFonts w:ascii="Times New Roman" w:hAnsi="Times New Roman" w:cs="Times New Roman"/>
          <w:sz w:val="28"/>
          <w:szCs w:val="28"/>
          <w:lang w:val="en-US"/>
        </w:rPr>
        <w:t> </w:t>
      </w:r>
      <w:r w:rsidRPr="00BD5345">
        <w:rPr>
          <w:rFonts w:ascii="Times New Roman" w:hAnsi="Times New Roman" w:cs="Times New Roman"/>
          <w:sz w:val="28"/>
          <w:szCs w:val="28"/>
        </w:rPr>
        <w:t>454 образовательные организации, что составило 9</w:t>
      </w:r>
      <w:r w:rsidR="008E2DE0">
        <w:rPr>
          <w:rFonts w:ascii="Times New Roman" w:hAnsi="Times New Roman" w:cs="Times New Roman"/>
          <w:sz w:val="28"/>
          <w:szCs w:val="28"/>
        </w:rPr>
        <w:t xml:space="preserve">8,99% </w:t>
      </w:r>
      <w:r w:rsidRPr="00BD5345">
        <w:rPr>
          <w:rFonts w:ascii="Times New Roman" w:hAnsi="Times New Roman" w:cs="Times New Roman"/>
          <w:sz w:val="28"/>
          <w:szCs w:val="28"/>
        </w:rPr>
        <w:t>(2020</w:t>
      </w:r>
      <w:r w:rsidR="007B6A5F">
        <w:rPr>
          <w:rFonts w:ascii="Times New Roman" w:hAnsi="Times New Roman" w:cs="Times New Roman"/>
          <w:sz w:val="28"/>
          <w:szCs w:val="28"/>
        </w:rPr>
        <w:t>/</w:t>
      </w:r>
      <w:r w:rsidRPr="00BD5345">
        <w:rPr>
          <w:rFonts w:ascii="Times New Roman" w:hAnsi="Times New Roman" w:cs="Times New Roman"/>
          <w:sz w:val="28"/>
          <w:szCs w:val="28"/>
        </w:rPr>
        <w:t>2021 учебн</w:t>
      </w:r>
      <w:r w:rsidR="00B55924">
        <w:rPr>
          <w:rFonts w:ascii="Times New Roman" w:hAnsi="Times New Roman" w:cs="Times New Roman"/>
          <w:sz w:val="28"/>
          <w:szCs w:val="28"/>
        </w:rPr>
        <w:t>ый</w:t>
      </w:r>
      <w:r w:rsidRPr="00BD5345">
        <w:rPr>
          <w:rFonts w:ascii="Times New Roman" w:hAnsi="Times New Roman" w:cs="Times New Roman"/>
          <w:sz w:val="28"/>
          <w:szCs w:val="28"/>
        </w:rPr>
        <w:t xml:space="preserve"> </w:t>
      </w:r>
      <w:r w:rsidR="00910103">
        <w:rPr>
          <w:rFonts w:ascii="Times New Roman" w:hAnsi="Times New Roman" w:cs="Times New Roman"/>
          <w:sz w:val="28"/>
          <w:szCs w:val="28"/>
        </w:rPr>
        <w:br/>
      </w:r>
      <w:r w:rsidRPr="00BD5345">
        <w:rPr>
          <w:rFonts w:ascii="Times New Roman" w:hAnsi="Times New Roman" w:cs="Times New Roman"/>
          <w:sz w:val="28"/>
          <w:szCs w:val="28"/>
        </w:rPr>
        <w:t>год – 98,93%), из них 37</w:t>
      </w:r>
      <w:r w:rsidRPr="00BD5345">
        <w:rPr>
          <w:rFonts w:ascii="Times New Roman" w:hAnsi="Times New Roman" w:cs="Times New Roman"/>
          <w:sz w:val="28"/>
          <w:szCs w:val="28"/>
          <w:lang w:val="en-US"/>
        </w:rPr>
        <w:t> </w:t>
      </w:r>
      <w:r w:rsidRPr="00BD5345">
        <w:rPr>
          <w:rFonts w:ascii="Times New Roman" w:hAnsi="Times New Roman" w:cs="Times New Roman"/>
          <w:sz w:val="28"/>
          <w:szCs w:val="28"/>
        </w:rPr>
        <w:t xml:space="preserve">287 (99,15%) общеобразовательных организаций </w:t>
      </w:r>
      <w:r w:rsidR="00910103">
        <w:rPr>
          <w:rFonts w:ascii="Times New Roman" w:hAnsi="Times New Roman" w:cs="Times New Roman"/>
          <w:sz w:val="28"/>
          <w:szCs w:val="28"/>
        </w:rPr>
        <w:br/>
      </w:r>
      <w:r w:rsidR="00B55924">
        <w:rPr>
          <w:rFonts w:ascii="Times New Roman" w:hAnsi="Times New Roman" w:cs="Times New Roman"/>
          <w:sz w:val="28"/>
          <w:szCs w:val="28"/>
        </w:rPr>
        <w:t>(</w:t>
      </w:r>
      <w:r w:rsidRPr="00BD5345">
        <w:rPr>
          <w:rFonts w:ascii="Times New Roman" w:hAnsi="Times New Roman" w:cs="Times New Roman"/>
          <w:sz w:val="28"/>
          <w:szCs w:val="28"/>
        </w:rPr>
        <w:t>20</w:t>
      </w:r>
      <w:r w:rsidR="00B55924">
        <w:rPr>
          <w:rFonts w:ascii="Times New Roman" w:hAnsi="Times New Roman" w:cs="Times New Roman"/>
          <w:sz w:val="28"/>
          <w:szCs w:val="28"/>
        </w:rPr>
        <w:t>20</w:t>
      </w:r>
      <w:r w:rsidR="007B6A5F">
        <w:rPr>
          <w:rFonts w:ascii="Times New Roman" w:hAnsi="Times New Roman" w:cs="Times New Roman"/>
          <w:sz w:val="28"/>
          <w:szCs w:val="28"/>
        </w:rPr>
        <w:t>/</w:t>
      </w:r>
      <w:r w:rsidR="00B55924">
        <w:rPr>
          <w:rFonts w:ascii="Times New Roman" w:hAnsi="Times New Roman" w:cs="Times New Roman"/>
          <w:sz w:val="28"/>
          <w:szCs w:val="28"/>
        </w:rPr>
        <w:t>2021 учебный</w:t>
      </w:r>
      <w:r w:rsidR="008E2DE0">
        <w:rPr>
          <w:rFonts w:ascii="Times New Roman" w:hAnsi="Times New Roman" w:cs="Times New Roman"/>
          <w:sz w:val="28"/>
          <w:szCs w:val="28"/>
        </w:rPr>
        <w:t xml:space="preserve"> год – 98,94%) </w:t>
      </w:r>
      <w:r w:rsidRPr="00BD5345">
        <w:rPr>
          <w:rFonts w:ascii="Times New Roman" w:hAnsi="Times New Roman" w:cs="Times New Roman"/>
          <w:sz w:val="28"/>
          <w:szCs w:val="28"/>
        </w:rPr>
        <w:t>и 3</w:t>
      </w:r>
      <w:r w:rsidRPr="00BD5345">
        <w:rPr>
          <w:rFonts w:ascii="Times New Roman" w:hAnsi="Times New Roman" w:cs="Times New Roman"/>
          <w:sz w:val="28"/>
          <w:szCs w:val="28"/>
          <w:lang w:val="en-US"/>
        </w:rPr>
        <w:t> </w:t>
      </w:r>
      <w:r w:rsidRPr="00BD5345">
        <w:rPr>
          <w:rFonts w:ascii="Times New Roman" w:hAnsi="Times New Roman" w:cs="Times New Roman"/>
          <w:sz w:val="28"/>
          <w:szCs w:val="28"/>
        </w:rPr>
        <w:t>167 (97,09%) профессиональных образовательных организаций (2020</w:t>
      </w:r>
      <w:r w:rsidR="007B6A5F">
        <w:rPr>
          <w:rFonts w:ascii="Times New Roman" w:hAnsi="Times New Roman" w:cs="Times New Roman"/>
          <w:sz w:val="28"/>
          <w:szCs w:val="28"/>
        </w:rPr>
        <w:t>/</w:t>
      </w:r>
      <w:r w:rsidRPr="00BD5345">
        <w:rPr>
          <w:rFonts w:ascii="Times New Roman" w:hAnsi="Times New Roman" w:cs="Times New Roman"/>
          <w:sz w:val="28"/>
          <w:szCs w:val="28"/>
        </w:rPr>
        <w:t>2021 учебн</w:t>
      </w:r>
      <w:r w:rsidR="00B55924">
        <w:rPr>
          <w:rFonts w:ascii="Times New Roman" w:hAnsi="Times New Roman" w:cs="Times New Roman"/>
          <w:sz w:val="28"/>
          <w:szCs w:val="28"/>
        </w:rPr>
        <w:t>ый</w:t>
      </w:r>
      <w:r w:rsidRPr="00BD5345">
        <w:rPr>
          <w:rFonts w:ascii="Times New Roman" w:hAnsi="Times New Roman" w:cs="Times New Roman"/>
          <w:sz w:val="28"/>
          <w:szCs w:val="28"/>
        </w:rPr>
        <w:t xml:space="preserve"> год – 98,77%). В тестировании приняло участие 6</w:t>
      </w:r>
      <w:r w:rsidRPr="00BD5345">
        <w:rPr>
          <w:rFonts w:ascii="Times New Roman" w:hAnsi="Times New Roman" w:cs="Times New Roman"/>
          <w:sz w:val="28"/>
          <w:szCs w:val="28"/>
          <w:lang w:val="en-US"/>
        </w:rPr>
        <w:t> </w:t>
      </w:r>
      <w:r w:rsidRPr="00BD5345">
        <w:rPr>
          <w:rFonts w:ascii="Times New Roman" w:hAnsi="Times New Roman" w:cs="Times New Roman"/>
          <w:sz w:val="28"/>
          <w:szCs w:val="28"/>
        </w:rPr>
        <w:t>854</w:t>
      </w:r>
      <w:r w:rsidRPr="00BD5345">
        <w:rPr>
          <w:rFonts w:ascii="Times New Roman" w:hAnsi="Times New Roman" w:cs="Times New Roman"/>
          <w:sz w:val="28"/>
          <w:szCs w:val="28"/>
          <w:lang w:val="en-US"/>
        </w:rPr>
        <w:t> </w:t>
      </w:r>
      <w:r w:rsidRPr="00BD5345">
        <w:rPr>
          <w:rFonts w:ascii="Times New Roman" w:hAnsi="Times New Roman" w:cs="Times New Roman"/>
          <w:sz w:val="28"/>
          <w:szCs w:val="28"/>
        </w:rPr>
        <w:t>276 обучающихся образова</w:t>
      </w:r>
      <w:r w:rsidR="008E2DE0">
        <w:rPr>
          <w:rFonts w:ascii="Times New Roman" w:hAnsi="Times New Roman" w:cs="Times New Roman"/>
          <w:sz w:val="28"/>
          <w:szCs w:val="28"/>
        </w:rPr>
        <w:t xml:space="preserve">тельных организаций в возрасте </w:t>
      </w:r>
      <w:r w:rsidRPr="00BD5345">
        <w:rPr>
          <w:rFonts w:ascii="Times New Roman" w:hAnsi="Times New Roman" w:cs="Times New Roman"/>
          <w:sz w:val="28"/>
          <w:szCs w:val="28"/>
        </w:rPr>
        <w:t>от 13 лет, что составило 91,47% (2020</w:t>
      </w:r>
      <w:r w:rsidR="007B6A5F">
        <w:rPr>
          <w:rFonts w:ascii="Times New Roman" w:hAnsi="Times New Roman" w:cs="Times New Roman"/>
          <w:sz w:val="28"/>
          <w:szCs w:val="28"/>
        </w:rPr>
        <w:t>/</w:t>
      </w:r>
      <w:r w:rsidRPr="00BD5345">
        <w:rPr>
          <w:rFonts w:ascii="Times New Roman" w:hAnsi="Times New Roman" w:cs="Times New Roman"/>
          <w:sz w:val="28"/>
          <w:szCs w:val="28"/>
        </w:rPr>
        <w:t>2021 учебн</w:t>
      </w:r>
      <w:r w:rsidR="00B55924">
        <w:rPr>
          <w:rFonts w:ascii="Times New Roman" w:hAnsi="Times New Roman" w:cs="Times New Roman"/>
          <w:sz w:val="28"/>
          <w:szCs w:val="28"/>
        </w:rPr>
        <w:t>ый</w:t>
      </w:r>
      <w:r w:rsidRPr="00BD5345">
        <w:rPr>
          <w:rFonts w:ascii="Times New Roman" w:hAnsi="Times New Roman" w:cs="Times New Roman"/>
          <w:sz w:val="28"/>
          <w:szCs w:val="28"/>
        </w:rPr>
        <w:t xml:space="preserve"> год – 88,64%), из них </w:t>
      </w:r>
      <w:r w:rsidR="00910103">
        <w:rPr>
          <w:rFonts w:ascii="Times New Roman" w:hAnsi="Times New Roman" w:cs="Times New Roman"/>
          <w:sz w:val="28"/>
          <w:szCs w:val="28"/>
        </w:rPr>
        <w:br/>
      </w:r>
      <w:r w:rsidRPr="00BD5345">
        <w:rPr>
          <w:rFonts w:ascii="Times New Roman" w:hAnsi="Times New Roman" w:cs="Times New Roman"/>
          <w:sz w:val="28"/>
          <w:szCs w:val="28"/>
        </w:rPr>
        <w:t>5</w:t>
      </w:r>
      <w:r w:rsidRPr="00BD5345">
        <w:rPr>
          <w:rFonts w:ascii="Times New Roman" w:hAnsi="Times New Roman" w:cs="Times New Roman"/>
          <w:sz w:val="28"/>
          <w:szCs w:val="28"/>
          <w:lang w:val="en-US"/>
        </w:rPr>
        <w:t> </w:t>
      </w:r>
      <w:r w:rsidRPr="00BD5345">
        <w:rPr>
          <w:rFonts w:ascii="Times New Roman" w:hAnsi="Times New Roman" w:cs="Times New Roman"/>
          <w:sz w:val="28"/>
          <w:szCs w:val="28"/>
        </w:rPr>
        <w:t>074</w:t>
      </w:r>
      <w:r w:rsidRPr="00BD5345">
        <w:rPr>
          <w:rFonts w:ascii="Times New Roman" w:hAnsi="Times New Roman" w:cs="Times New Roman"/>
          <w:sz w:val="28"/>
          <w:szCs w:val="28"/>
          <w:lang w:val="en-US"/>
        </w:rPr>
        <w:t> </w:t>
      </w:r>
      <w:r w:rsidRPr="00BD5345">
        <w:rPr>
          <w:rFonts w:ascii="Times New Roman" w:hAnsi="Times New Roman" w:cs="Times New Roman"/>
          <w:sz w:val="28"/>
          <w:szCs w:val="28"/>
        </w:rPr>
        <w:t>075 (91,47%) обучающихся о</w:t>
      </w:r>
      <w:r w:rsidR="008E2DE0">
        <w:rPr>
          <w:rFonts w:ascii="Times New Roman" w:hAnsi="Times New Roman" w:cs="Times New Roman"/>
          <w:sz w:val="28"/>
          <w:szCs w:val="28"/>
        </w:rPr>
        <w:t xml:space="preserve">бщеобразовательных организаций </w:t>
      </w:r>
      <w:r w:rsidR="00910103">
        <w:rPr>
          <w:rFonts w:ascii="Times New Roman" w:hAnsi="Times New Roman" w:cs="Times New Roman"/>
          <w:sz w:val="28"/>
          <w:szCs w:val="28"/>
        </w:rPr>
        <w:br/>
      </w:r>
      <w:r w:rsidRPr="00BD5345">
        <w:rPr>
          <w:rFonts w:ascii="Times New Roman" w:hAnsi="Times New Roman" w:cs="Times New Roman"/>
          <w:sz w:val="28"/>
          <w:szCs w:val="28"/>
        </w:rPr>
        <w:t>(2020</w:t>
      </w:r>
      <w:r w:rsidR="007B6A5F">
        <w:rPr>
          <w:rFonts w:ascii="Times New Roman" w:hAnsi="Times New Roman" w:cs="Times New Roman"/>
          <w:sz w:val="28"/>
          <w:szCs w:val="28"/>
        </w:rPr>
        <w:t>/</w:t>
      </w:r>
      <w:r w:rsidRPr="00BD5345">
        <w:rPr>
          <w:rFonts w:ascii="Times New Roman" w:hAnsi="Times New Roman" w:cs="Times New Roman"/>
          <w:sz w:val="28"/>
          <w:szCs w:val="28"/>
        </w:rPr>
        <w:t>2021 учебн</w:t>
      </w:r>
      <w:r w:rsidR="00B55924">
        <w:rPr>
          <w:rFonts w:ascii="Times New Roman" w:hAnsi="Times New Roman" w:cs="Times New Roman"/>
          <w:sz w:val="28"/>
          <w:szCs w:val="28"/>
        </w:rPr>
        <w:t>ый</w:t>
      </w:r>
      <w:r w:rsidRPr="00BD5345">
        <w:rPr>
          <w:rFonts w:ascii="Times New Roman" w:hAnsi="Times New Roman" w:cs="Times New Roman"/>
          <w:sz w:val="28"/>
          <w:szCs w:val="28"/>
        </w:rPr>
        <w:t xml:space="preserve"> год – 88,64%) и 1</w:t>
      </w:r>
      <w:r w:rsidRPr="00BD5345">
        <w:rPr>
          <w:rFonts w:ascii="Times New Roman" w:hAnsi="Times New Roman" w:cs="Times New Roman"/>
          <w:sz w:val="28"/>
          <w:szCs w:val="28"/>
          <w:lang w:val="en-US"/>
        </w:rPr>
        <w:t> </w:t>
      </w:r>
      <w:r w:rsidRPr="00BD5345">
        <w:rPr>
          <w:rFonts w:ascii="Times New Roman" w:hAnsi="Times New Roman" w:cs="Times New Roman"/>
          <w:sz w:val="28"/>
          <w:szCs w:val="28"/>
        </w:rPr>
        <w:t>780</w:t>
      </w:r>
      <w:r w:rsidRPr="00BD5345">
        <w:rPr>
          <w:rFonts w:ascii="Times New Roman" w:hAnsi="Times New Roman" w:cs="Times New Roman"/>
          <w:sz w:val="28"/>
          <w:szCs w:val="28"/>
          <w:lang w:val="en-US"/>
        </w:rPr>
        <w:t> </w:t>
      </w:r>
      <w:r w:rsidRPr="00BD5345">
        <w:rPr>
          <w:rFonts w:ascii="Times New Roman" w:hAnsi="Times New Roman" w:cs="Times New Roman"/>
          <w:sz w:val="28"/>
          <w:szCs w:val="28"/>
        </w:rPr>
        <w:t>201 (91,45%) студент профессиональных образовательных организаций (2020</w:t>
      </w:r>
      <w:r w:rsidR="007B6A5F">
        <w:rPr>
          <w:rFonts w:ascii="Times New Roman" w:hAnsi="Times New Roman" w:cs="Times New Roman"/>
          <w:sz w:val="28"/>
          <w:szCs w:val="28"/>
        </w:rPr>
        <w:t>/</w:t>
      </w:r>
      <w:r w:rsidRPr="00BD5345">
        <w:rPr>
          <w:rFonts w:ascii="Times New Roman" w:hAnsi="Times New Roman" w:cs="Times New Roman"/>
          <w:sz w:val="28"/>
          <w:szCs w:val="28"/>
        </w:rPr>
        <w:t>2021 учебн</w:t>
      </w:r>
      <w:r w:rsidR="00B55924">
        <w:rPr>
          <w:rFonts w:ascii="Times New Roman" w:hAnsi="Times New Roman" w:cs="Times New Roman"/>
          <w:sz w:val="28"/>
          <w:szCs w:val="28"/>
        </w:rPr>
        <w:t>ый</w:t>
      </w:r>
      <w:r w:rsidRPr="00BD5345">
        <w:rPr>
          <w:rFonts w:ascii="Times New Roman" w:hAnsi="Times New Roman" w:cs="Times New Roman"/>
          <w:sz w:val="28"/>
          <w:szCs w:val="28"/>
        </w:rPr>
        <w:t xml:space="preserve"> год – 90,01%).</w:t>
      </w:r>
    </w:p>
    <w:p w14:paraId="14928040" w14:textId="77777777" w:rsidR="00BD5345" w:rsidRPr="00BD5345" w:rsidRDefault="00BD5345" w:rsidP="00A21663">
      <w:pPr>
        <w:tabs>
          <w:tab w:val="left" w:pos="9781"/>
        </w:tabs>
        <w:spacing w:after="0" w:line="312" w:lineRule="auto"/>
        <w:ind w:firstLine="709"/>
        <w:jc w:val="both"/>
        <w:rPr>
          <w:rFonts w:ascii="Times New Roman" w:hAnsi="Times New Roman" w:cs="Times New Roman"/>
          <w:sz w:val="28"/>
          <w:szCs w:val="28"/>
        </w:rPr>
      </w:pPr>
      <w:r w:rsidRPr="00BD5345">
        <w:rPr>
          <w:rFonts w:ascii="Times New Roman" w:hAnsi="Times New Roman" w:cs="Times New Roman"/>
          <w:sz w:val="28"/>
          <w:szCs w:val="28"/>
        </w:rPr>
        <w:t>В целях повышения мотивации прохождения тестирования проводилась информационно-просветительская работа с обучающимися и их родителями, что благоприятно отразилось на сокращ</w:t>
      </w:r>
      <w:r w:rsidR="0037242B">
        <w:rPr>
          <w:rFonts w:ascii="Times New Roman" w:hAnsi="Times New Roman" w:cs="Times New Roman"/>
          <w:sz w:val="28"/>
          <w:szCs w:val="28"/>
        </w:rPr>
        <w:t xml:space="preserve">ении числа официальных отказов </w:t>
      </w:r>
      <w:r w:rsidRPr="00BD5345">
        <w:rPr>
          <w:rFonts w:ascii="Times New Roman" w:hAnsi="Times New Roman" w:cs="Times New Roman"/>
          <w:bCs/>
          <w:sz w:val="28"/>
          <w:szCs w:val="28"/>
        </w:rPr>
        <w:t>с 5</w:t>
      </w:r>
      <w:r w:rsidRPr="00BD5345">
        <w:rPr>
          <w:rFonts w:ascii="Times New Roman" w:hAnsi="Times New Roman" w:cs="Times New Roman"/>
          <w:sz w:val="28"/>
          <w:szCs w:val="28"/>
        </w:rPr>
        <w:t>,27% в 2020</w:t>
      </w:r>
      <w:r w:rsidR="007B6A5F">
        <w:rPr>
          <w:rFonts w:ascii="Times New Roman" w:hAnsi="Times New Roman" w:cs="Times New Roman"/>
          <w:sz w:val="28"/>
          <w:szCs w:val="28"/>
        </w:rPr>
        <w:t>/</w:t>
      </w:r>
      <w:r w:rsidRPr="00BD5345">
        <w:rPr>
          <w:rFonts w:ascii="Times New Roman" w:hAnsi="Times New Roman" w:cs="Times New Roman"/>
          <w:sz w:val="28"/>
          <w:szCs w:val="28"/>
        </w:rPr>
        <w:t>2021 учебном году</w:t>
      </w:r>
      <w:r w:rsidRPr="00BD5345">
        <w:rPr>
          <w:rFonts w:ascii="Times New Roman" w:hAnsi="Times New Roman" w:cs="Times New Roman"/>
          <w:bCs/>
          <w:sz w:val="28"/>
          <w:szCs w:val="28"/>
        </w:rPr>
        <w:t xml:space="preserve"> до 3,85% в 2021</w:t>
      </w:r>
      <w:r w:rsidR="007B6A5F">
        <w:rPr>
          <w:rFonts w:ascii="Times New Roman" w:hAnsi="Times New Roman" w:cs="Times New Roman"/>
          <w:bCs/>
          <w:sz w:val="28"/>
          <w:szCs w:val="28"/>
        </w:rPr>
        <w:t>/</w:t>
      </w:r>
      <w:r w:rsidRPr="00BD5345">
        <w:rPr>
          <w:rFonts w:ascii="Times New Roman" w:hAnsi="Times New Roman" w:cs="Times New Roman"/>
          <w:bCs/>
          <w:sz w:val="28"/>
          <w:szCs w:val="28"/>
        </w:rPr>
        <w:t>2022 учебном году</w:t>
      </w:r>
      <w:r w:rsidRPr="00BD5345">
        <w:rPr>
          <w:rFonts w:ascii="Times New Roman" w:hAnsi="Times New Roman" w:cs="Times New Roman"/>
          <w:sz w:val="28"/>
          <w:szCs w:val="28"/>
        </w:rPr>
        <w:t>.</w:t>
      </w:r>
    </w:p>
    <w:p w14:paraId="534EE566" w14:textId="77777777" w:rsidR="00BD5345" w:rsidRPr="00BD5345" w:rsidRDefault="00BD5345" w:rsidP="00A21663">
      <w:pPr>
        <w:tabs>
          <w:tab w:val="left" w:pos="9781"/>
        </w:tabs>
        <w:spacing w:after="0" w:line="312" w:lineRule="auto"/>
        <w:ind w:firstLine="709"/>
        <w:jc w:val="both"/>
        <w:rPr>
          <w:rFonts w:ascii="Times New Roman" w:hAnsi="Times New Roman" w:cs="Times New Roman"/>
          <w:sz w:val="28"/>
          <w:szCs w:val="28"/>
        </w:rPr>
      </w:pPr>
      <w:r w:rsidRPr="00BD5345">
        <w:rPr>
          <w:rFonts w:ascii="Times New Roman" w:hAnsi="Times New Roman" w:cs="Times New Roman"/>
          <w:sz w:val="28"/>
          <w:szCs w:val="28"/>
        </w:rPr>
        <w:t>В 2021 г</w:t>
      </w:r>
      <w:r w:rsidR="00910103">
        <w:rPr>
          <w:rFonts w:ascii="Times New Roman" w:hAnsi="Times New Roman" w:cs="Times New Roman"/>
          <w:sz w:val="28"/>
          <w:szCs w:val="28"/>
        </w:rPr>
        <w:t>.</w:t>
      </w:r>
      <w:r w:rsidRPr="00BD5345">
        <w:rPr>
          <w:rFonts w:ascii="Times New Roman" w:hAnsi="Times New Roman" w:cs="Times New Roman"/>
          <w:sz w:val="28"/>
          <w:szCs w:val="28"/>
        </w:rPr>
        <w:t xml:space="preserve"> существенное внимание уделялось вопросам экспертно-методического сопровождения специалистов, работающих в указанной сфере (подготовлены и направлены в регионы дополнительные методические материалы, проведены совещания и </w:t>
      </w:r>
      <w:proofErr w:type="spellStart"/>
      <w:r w:rsidRPr="00BD5345">
        <w:rPr>
          <w:rFonts w:ascii="Times New Roman" w:hAnsi="Times New Roman" w:cs="Times New Roman"/>
          <w:sz w:val="28"/>
          <w:szCs w:val="28"/>
        </w:rPr>
        <w:t>вебинары</w:t>
      </w:r>
      <w:proofErr w:type="spellEnd"/>
      <w:r w:rsidRPr="00BD5345">
        <w:rPr>
          <w:rFonts w:ascii="Times New Roman" w:hAnsi="Times New Roman" w:cs="Times New Roman"/>
          <w:sz w:val="28"/>
          <w:szCs w:val="28"/>
        </w:rPr>
        <w:t>).</w:t>
      </w:r>
    </w:p>
    <w:p w14:paraId="14C36535" w14:textId="77777777" w:rsidR="00BD5345" w:rsidRPr="00BD5345" w:rsidRDefault="00BD5345" w:rsidP="00A21663">
      <w:pPr>
        <w:tabs>
          <w:tab w:val="left" w:pos="9781"/>
        </w:tabs>
        <w:spacing w:after="0" w:line="312" w:lineRule="auto"/>
        <w:ind w:firstLine="709"/>
        <w:jc w:val="both"/>
        <w:rPr>
          <w:rFonts w:ascii="Times New Roman" w:hAnsi="Times New Roman" w:cs="Times New Roman"/>
          <w:sz w:val="28"/>
          <w:szCs w:val="28"/>
        </w:rPr>
      </w:pPr>
      <w:r w:rsidRPr="00BD5345">
        <w:rPr>
          <w:rFonts w:ascii="Times New Roman" w:hAnsi="Times New Roman" w:cs="Times New Roman"/>
          <w:sz w:val="28"/>
          <w:szCs w:val="28"/>
        </w:rPr>
        <w:t>Принимаемые в регионах меры превентивного характера направлены на повышение уровня правосознания путем доведения до несовершеннолетних антинаркотической информации.</w:t>
      </w:r>
    </w:p>
    <w:p w14:paraId="270E4BFE" w14:textId="77777777" w:rsidR="00BD5345" w:rsidRPr="00BD5345" w:rsidRDefault="00BD5345" w:rsidP="00A21663">
      <w:pPr>
        <w:tabs>
          <w:tab w:val="left" w:pos="9781"/>
        </w:tabs>
        <w:spacing w:after="0" w:line="312" w:lineRule="auto"/>
        <w:ind w:firstLine="709"/>
        <w:jc w:val="both"/>
        <w:rPr>
          <w:rFonts w:ascii="Times New Roman" w:hAnsi="Times New Roman" w:cs="Times New Roman"/>
          <w:sz w:val="28"/>
          <w:szCs w:val="28"/>
        </w:rPr>
      </w:pPr>
      <w:r w:rsidRPr="00BD5345">
        <w:rPr>
          <w:rFonts w:ascii="Times New Roman" w:hAnsi="Times New Roman" w:cs="Times New Roman"/>
          <w:sz w:val="28"/>
          <w:szCs w:val="28"/>
        </w:rPr>
        <w:t xml:space="preserve">Например, в Республике Северная Осетия – Алания более </w:t>
      </w:r>
      <w:r w:rsidR="0069505F">
        <w:rPr>
          <w:rFonts w:ascii="Times New Roman" w:hAnsi="Times New Roman" w:cs="Times New Roman"/>
          <w:sz w:val="28"/>
          <w:szCs w:val="28"/>
        </w:rPr>
        <w:t>6</w:t>
      </w:r>
      <w:r w:rsidRPr="00BD5345">
        <w:rPr>
          <w:rFonts w:ascii="Times New Roman" w:hAnsi="Times New Roman" w:cs="Times New Roman"/>
          <w:sz w:val="28"/>
          <w:szCs w:val="28"/>
        </w:rPr>
        <w:t xml:space="preserve"> лет успешно реализуется программа «Шаг навстречу», целью которой является обеспечение безопасности подростков от наркотиков, обучению их навыкам противостояния давлению сверстников, находящихся в наркотической зависимости. В рамках программы в 2021 г</w:t>
      </w:r>
      <w:r w:rsidR="00910103">
        <w:rPr>
          <w:rFonts w:ascii="Times New Roman" w:hAnsi="Times New Roman" w:cs="Times New Roman"/>
          <w:sz w:val="28"/>
          <w:szCs w:val="28"/>
        </w:rPr>
        <w:t>.</w:t>
      </w:r>
      <w:r w:rsidRPr="00BD5345">
        <w:rPr>
          <w:rFonts w:ascii="Times New Roman" w:hAnsi="Times New Roman" w:cs="Times New Roman"/>
          <w:sz w:val="28"/>
          <w:szCs w:val="28"/>
        </w:rPr>
        <w:t xml:space="preserve"> проведено антинаркотическое мероприятие «Наркомания страшный</w:t>
      </w:r>
      <w:r w:rsidR="00502459">
        <w:rPr>
          <w:rFonts w:ascii="Times New Roman" w:hAnsi="Times New Roman" w:cs="Times New Roman"/>
          <w:sz w:val="28"/>
          <w:szCs w:val="28"/>
        </w:rPr>
        <w:t xml:space="preserve"> порок» для семей, находящихся </w:t>
      </w:r>
      <w:r w:rsidRPr="00BD5345">
        <w:rPr>
          <w:rFonts w:ascii="Times New Roman" w:hAnsi="Times New Roman" w:cs="Times New Roman"/>
          <w:sz w:val="28"/>
          <w:szCs w:val="28"/>
        </w:rPr>
        <w:t xml:space="preserve">в социально опасном положении </w:t>
      </w:r>
      <w:r w:rsidR="005430C5">
        <w:rPr>
          <w:rFonts w:ascii="Times New Roman" w:hAnsi="Times New Roman" w:cs="Times New Roman"/>
          <w:sz w:val="28"/>
          <w:szCs w:val="28"/>
        </w:rPr>
        <w:br/>
      </w:r>
      <w:r w:rsidRPr="00BD5345">
        <w:rPr>
          <w:rFonts w:ascii="Times New Roman" w:hAnsi="Times New Roman" w:cs="Times New Roman"/>
          <w:sz w:val="28"/>
          <w:szCs w:val="28"/>
        </w:rPr>
        <w:t>(15 человек), с участием представителей ОО «Антинаркотический фронт Алании», направленно</w:t>
      </w:r>
      <w:r w:rsidR="00502459">
        <w:rPr>
          <w:rFonts w:ascii="Times New Roman" w:hAnsi="Times New Roman" w:cs="Times New Roman"/>
          <w:sz w:val="28"/>
          <w:szCs w:val="28"/>
        </w:rPr>
        <w:t>е</w:t>
      </w:r>
      <w:r w:rsidRPr="00BD5345">
        <w:rPr>
          <w:rFonts w:ascii="Times New Roman" w:hAnsi="Times New Roman" w:cs="Times New Roman"/>
          <w:sz w:val="28"/>
          <w:szCs w:val="28"/>
        </w:rPr>
        <w:t xml:space="preserve"> на формирование здорового образа жизни, отказ от наркотик</w:t>
      </w:r>
      <w:r w:rsidR="00502459">
        <w:rPr>
          <w:rFonts w:ascii="Times New Roman" w:hAnsi="Times New Roman" w:cs="Times New Roman"/>
          <w:sz w:val="28"/>
          <w:szCs w:val="28"/>
        </w:rPr>
        <w:t>ов</w:t>
      </w:r>
      <w:r w:rsidRPr="00BD5345">
        <w:rPr>
          <w:rFonts w:ascii="Times New Roman" w:hAnsi="Times New Roman" w:cs="Times New Roman"/>
          <w:sz w:val="28"/>
          <w:szCs w:val="28"/>
        </w:rPr>
        <w:t>, которые являются непреодолимым препятствием для полноценного развития здорового и счастливого человека.</w:t>
      </w:r>
    </w:p>
    <w:p w14:paraId="6A86096A" w14:textId="77777777" w:rsidR="00BD5345" w:rsidRPr="00BD5345" w:rsidRDefault="00BD5345" w:rsidP="00A21663">
      <w:pPr>
        <w:tabs>
          <w:tab w:val="left" w:pos="9781"/>
        </w:tabs>
        <w:spacing w:after="0" w:line="312" w:lineRule="auto"/>
        <w:ind w:firstLine="709"/>
        <w:jc w:val="both"/>
        <w:rPr>
          <w:rFonts w:ascii="Times New Roman" w:hAnsi="Times New Roman" w:cs="Times New Roman"/>
          <w:sz w:val="28"/>
          <w:szCs w:val="28"/>
        </w:rPr>
      </w:pPr>
      <w:r w:rsidRPr="00BD5345">
        <w:rPr>
          <w:rFonts w:ascii="Times New Roman" w:hAnsi="Times New Roman" w:cs="Times New Roman"/>
          <w:sz w:val="28"/>
          <w:szCs w:val="28"/>
        </w:rPr>
        <w:t xml:space="preserve">Также совместно с Северо-Осетинским республиканским благотворительным фондом «Спасательный круг» организована благотворительная акция-диалог «Молодежь за здоровый образ жизни» по профилактике </w:t>
      </w:r>
      <w:r w:rsidR="00B55924">
        <w:rPr>
          <w:rFonts w:ascii="Times New Roman" w:hAnsi="Times New Roman" w:cs="Times New Roman"/>
          <w:sz w:val="28"/>
          <w:szCs w:val="28"/>
        </w:rPr>
        <w:t xml:space="preserve">в </w:t>
      </w:r>
      <w:r w:rsidRPr="00BD5345">
        <w:rPr>
          <w:rFonts w:ascii="Times New Roman" w:hAnsi="Times New Roman" w:cs="Times New Roman"/>
          <w:sz w:val="28"/>
          <w:szCs w:val="28"/>
        </w:rPr>
        <w:t>Республик</w:t>
      </w:r>
      <w:r w:rsidR="00B55924">
        <w:rPr>
          <w:rFonts w:ascii="Times New Roman" w:hAnsi="Times New Roman" w:cs="Times New Roman"/>
          <w:sz w:val="28"/>
          <w:szCs w:val="28"/>
        </w:rPr>
        <w:t>е</w:t>
      </w:r>
      <w:r w:rsidRPr="00BD5345">
        <w:rPr>
          <w:rFonts w:ascii="Times New Roman" w:hAnsi="Times New Roman" w:cs="Times New Roman"/>
          <w:sz w:val="28"/>
          <w:szCs w:val="28"/>
        </w:rPr>
        <w:t xml:space="preserve"> Северная </w:t>
      </w:r>
      <w:r w:rsidR="00AE4850">
        <w:rPr>
          <w:rFonts w:ascii="Times New Roman" w:hAnsi="Times New Roman" w:cs="Times New Roman"/>
          <w:sz w:val="28"/>
          <w:szCs w:val="28"/>
        </w:rPr>
        <w:br/>
      </w:r>
      <w:r w:rsidRPr="00BD5345">
        <w:rPr>
          <w:rFonts w:ascii="Times New Roman" w:hAnsi="Times New Roman" w:cs="Times New Roman"/>
          <w:sz w:val="28"/>
          <w:szCs w:val="28"/>
        </w:rPr>
        <w:t xml:space="preserve">Осетия – Алания, на которую приглашены 17 несовершеннолетних детей и их родители. </w:t>
      </w:r>
      <w:r w:rsidRPr="00B55924">
        <w:rPr>
          <w:rFonts w:ascii="Times New Roman" w:hAnsi="Times New Roman" w:cs="Times New Roman"/>
          <w:sz w:val="28"/>
          <w:szCs w:val="28"/>
        </w:rPr>
        <w:t>В акции приняли участие выдающиеся спортивные деятели республики, представители Центра профилактики и борьбы со СПИД.</w:t>
      </w:r>
      <w:r w:rsidRPr="00BD5345">
        <w:rPr>
          <w:rFonts w:ascii="Times New Roman" w:hAnsi="Times New Roman" w:cs="Times New Roman"/>
          <w:sz w:val="28"/>
          <w:szCs w:val="28"/>
        </w:rPr>
        <w:t xml:space="preserve"> В завершении мероприятия для детей из малоимущих и многодетных семей переданы подарки, в том числе футболки и брошюры с антинаркотической символикой.</w:t>
      </w:r>
    </w:p>
    <w:p w14:paraId="332425EA" w14:textId="77777777" w:rsidR="00BD5345" w:rsidRPr="00BD5345" w:rsidRDefault="00BD5345" w:rsidP="00A21663">
      <w:pPr>
        <w:tabs>
          <w:tab w:val="left" w:pos="9781"/>
        </w:tabs>
        <w:spacing w:after="0" w:line="312" w:lineRule="auto"/>
        <w:ind w:firstLine="709"/>
        <w:jc w:val="both"/>
        <w:rPr>
          <w:rFonts w:ascii="Times New Roman" w:hAnsi="Times New Roman" w:cs="Times New Roman"/>
          <w:sz w:val="28"/>
          <w:szCs w:val="28"/>
        </w:rPr>
      </w:pPr>
      <w:r w:rsidRPr="00BD5345">
        <w:rPr>
          <w:rFonts w:ascii="Times New Roman" w:hAnsi="Times New Roman" w:cs="Times New Roman"/>
          <w:sz w:val="28"/>
          <w:szCs w:val="28"/>
        </w:rPr>
        <w:t>Во Владимирской области 17 июня 2021 г</w:t>
      </w:r>
      <w:r w:rsidR="00502459">
        <w:rPr>
          <w:rFonts w:ascii="Times New Roman" w:hAnsi="Times New Roman" w:cs="Times New Roman"/>
          <w:sz w:val="28"/>
          <w:szCs w:val="28"/>
        </w:rPr>
        <w:t>.</w:t>
      </w:r>
      <w:r w:rsidRPr="00BD5345">
        <w:rPr>
          <w:rFonts w:ascii="Times New Roman" w:hAnsi="Times New Roman" w:cs="Times New Roman"/>
          <w:sz w:val="28"/>
          <w:szCs w:val="28"/>
        </w:rPr>
        <w:t xml:space="preserve"> сотрудниками полиции совместно с НБУК ВО «Киноцентр» в ДК «Молодежи» г. Владимира для </w:t>
      </w:r>
      <w:r w:rsidR="00502459">
        <w:rPr>
          <w:rFonts w:ascii="Times New Roman" w:hAnsi="Times New Roman" w:cs="Times New Roman"/>
          <w:sz w:val="28"/>
          <w:szCs w:val="28"/>
        </w:rPr>
        <w:t>об</w:t>
      </w:r>
      <w:r w:rsidRPr="00BD5345">
        <w:rPr>
          <w:rFonts w:ascii="Times New Roman" w:hAnsi="Times New Roman" w:cs="Times New Roman"/>
          <w:sz w:val="28"/>
          <w:szCs w:val="28"/>
        </w:rPr>
        <w:t>уча</w:t>
      </w:r>
      <w:r w:rsidR="00502459">
        <w:rPr>
          <w:rFonts w:ascii="Times New Roman" w:hAnsi="Times New Roman" w:cs="Times New Roman"/>
          <w:sz w:val="28"/>
          <w:szCs w:val="28"/>
        </w:rPr>
        <w:t>ю</w:t>
      </w:r>
      <w:r w:rsidRPr="00BD5345">
        <w:rPr>
          <w:rFonts w:ascii="Times New Roman" w:hAnsi="Times New Roman" w:cs="Times New Roman"/>
          <w:sz w:val="28"/>
          <w:szCs w:val="28"/>
        </w:rPr>
        <w:t xml:space="preserve">щихся </w:t>
      </w:r>
      <w:r w:rsidR="00502459">
        <w:rPr>
          <w:rFonts w:ascii="Times New Roman" w:hAnsi="Times New Roman" w:cs="Times New Roman"/>
          <w:sz w:val="28"/>
          <w:szCs w:val="28"/>
        </w:rPr>
        <w:t>общеобразовательных организаций</w:t>
      </w:r>
      <w:r w:rsidRPr="00BD5345">
        <w:rPr>
          <w:rFonts w:ascii="Times New Roman" w:hAnsi="Times New Roman" w:cs="Times New Roman"/>
          <w:sz w:val="28"/>
          <w:szCs w:val="28"/>
        </w:rPr>
        <w:t xml:space="preserve"> областного центра, посещающих летние лагеря дневного пребывания, проведено мероприятие, посвященное Международному дню борьбы с наркоманией (26 июня), с демонстра</w:t>
      </w:r>
      <w:r w:rsidR="00B55924">
        <w:rPr>
          <w:rFonts w:ascii="Times New Roman" w:hAnsi="Times New Roman" w:cs="Times New Roman"/>
          <w:sz w:val="28"/>
          <w:szCs w:val="28"/>
        </w:rPr>
        <w:t>цией тематических видеороликов.</w:t>
      </w:r>
    </w:p>
    <w:p w14:paraId="0CCF45E5" w14:textId="77777777" w:rsidR="00BD5345" w:rsidRPr="00BD5345" w:rsidRDefault="00BD5345" w:rsidP="00A21663">
      <w:pPr>
        <w:tabs>
          <w:tab w:val="left" w:pos="9781"/>
        </w:tabs>
        <w:spacing w:after="0" w:line="312" w:lineRule="auto"/>
        <w:ind w:firstLine="709"/>
        <w:jc w:val="both"/>
        <w:rPr>
          <w:rFonts w:ascii="Times New Roman" w:hAnsi="Times New Roman" w:cs="Times New Roman"/>
          <w:sz w:val="28"/>
          <w:szCs w:val="28"/>
        </w:rPr>
      </w:pPr>
      <w:r w:rsidRPr="00BD5345">
        <w:rPr>
          <w:rFonts w:ascii="Times New Roman" w:hAnsi="Times New Roman" w:cs="Times New Roman"/>
          <w:sz w:val="28"/>
          <w:szCs w:val="28"/>
        </w:rPr>
        <w:t>Среди участников мероприятия р</w:t>
      </w:r>
      <w:r w:rsidR="00B55924">
        <w:rPr>
          <w:rFonts w:ascii="Times New Roman" w:hAnsi="Times New Roman" w:cs="Times New Roman"/>
          <w:sz w:val="28"/>
          <w:szCs w:val="28"/>
        </w:rPr>
        <w:t xml:space="preserve">аспространены буклеты, памятки </w:t>
      </w:r>
      <w:r w:rsidRPr="00BD5345">
        <w:rPr>
          <w:rFonts w:ascii="Times New Roman" w:hAnsi="Times New Roman" w:cs="Times New Roman"/>
          <w:sz w:val="28"/>
          <w:szCs w:val="28"/>
        </w:rPr>
        <w:t>и брошюры антинаркотического содержания, изготовленные во взаимодействии с Департаментом без</w:t>
      </w:r>
      <w:r w:rsidR="00502459">
        <w:rPr>
          <w:rFonts w:ascii="Times New Roman" w:hAnsi="Times New Roman" w:cs="Times New Roman"/>
          <w:sz w:val="28"/>
          <w:szCs w:val="28"/>
        </w:rPr>
        <w:t>опасности Владимирской области.</w:t>
      </w:r>
    </w:p>
    <w:p w14:paraId="06B92B66" w14:textId="77777777" w:rsidR="00BD5345" w:rsidRPr="00BD5345" w:rsidRDefault="00BD5345" w:rsidP="00502459">
      <w:pPr>
        <w:tabs>
          <w:tab w:val="left" w:pos="9781"/>
        </w:tabs>
        <w:spacing w:after="0" w:line="312" w:lineRule="auto"/>
        <w:ind w:firstLine="709"/>
        <w:jc w:val="both"/>
        <w:rPr>
          <w:rFonts w:ascii="Times New Roman" w:hAnsi="Times New Roman" w:cs="Times New Roman"/>
          <w:sz w:val="28"/>
          <w:szCs w:val="28"/>
        </w:rPr>
      </w:pPr>
      <w:r w:rsidRPr="00BD5345">
        <w:rPr>
          <w:rFonts w:ascii="Times New Roman" w:hAnsi="Times New Roman" w:cs="Times New Roman"/>
          <w:sz w:val="28"/>
          <w:szCs w:val="28"/>
        </w:rPr>
        <w:t>В период с 12 по 26 июня 2021 г</w:t>
      </w:r>
      <w:r w:rsidR="00502459">
        <w:rPr>
          <w:rFonts w:ascii="Times New Roman" w:hAnsi="Times New Roman" w:cs="Times New Roman"/>
          <w:sz w:val="28"/>
          <w:szCs w:val="28"/>
        </w:rPr>
        <w:t>.</w:t>
      </w:r>
      <w:r w:rsidRPr="00BD5345">
        <w:rPr>
          <w:rFonts w:ascii="Times New Roman" w:hAnsi="Times New Roman" w:cs="Times New Roman"/>
          <w:sz w:val="28"/>
          <w:szCs w:val="28"/>
        </w:rPr>
        <w:t xml:space="preserve"> состоялся традиционный детско-юношеский легкоатлетический сверхмар</w:t>
      </w:r>
      <w:r w:rsidR="005430C5">
        <w:rPr>
          <w:rFonts w:ascii="Times New Roman" w:hAnsi="Times New Roman" w:cs="Times New Roman"/>
          <w:sz w:val="28"/>
          <w:szCs w:val="28"/>
        </w:rPr>
        <w:t xml:space="preserve">афон «Дети против наркотиков – </w:t>
      </w:r>
      <w:r w:rsidRPr="00BD5345">
        <w:rPr>
          <w:rFonts w:ascii="Times New Roman" w:hAnsi="Times New Roman" w:cs="Times New Roman"/>
          <w:sz w:val="28"/>
          <w:szCs w:val="28"/>
        </w:rPr>
        <w:t>Я выбираю спорт!», посвященный памяти генерал-лейтенанта милиции А.Н. Сергеева и врача – марафонца Э.А. Яковлева, организованный московской областной общественной организацией «</w:t>
      </w:r>
      <w:proofErr w:type="spellStart"/>
      <w:r w:rsidRPr="00BD5345">
        <w:rPr>
          <w:rFonts w:ascii="Times New Roman" w:hAnsi="Times New Roman" w:cs="Times New Roman"/>
          <w:sz w:val="28"/>
          <w:szCs w:val="28"/>
        </w:rPr>
        <w:t>Сверхмарафонцы</w:t>
      </w:r>
      <w:proofErr w:type="spellEnd"/>
      <w:r w:rsidRPr="00BD5345">
        <w:rPr>
          <w:rFonts w:ascii="Times New Roman" w:hAnsi="Times New Roman" w:cs="Times New Roman"/>
          <w:sz w:val="28"/>
          <w:szCs w:val="28"/>
        </w:rPr>
        <w:t xml:space="preserve"> – за здоровый образ жизни» при поддержке Главного управления по контролю за оборотом наркотиков УМВД России по Владимирской области. На территории региона марафонцев встречали 22 июня в г. Суздал</w:t>
      </w:r>
      <w:r w:rsidR="00502459">
        <w:rPr>
          <w:rFonts w:ascii="Times New Roman" w:hAnsi="Times New Roman" w:cs="Times New Roman"/>
          <w:sz w:val="28"/>
          <w:szCs w:val="28"/>
        </w:rPr>
        <w:t>е</w:t>
      </w:r>
      <w:r w:rsidRPr="00BD5345">
        <w:rPr>
          <w:rFonts w:ascii="Times New Roman" w:hAnsi="Times New Roman" w:cs="Times New Roman"/>
          <w:sz w:val="28"/>
          <w:szCs w:val="28"/>
        </w:rPr>
        <w:t xml:space="preserve">, 23 июня – </w:t>
      </w:r>
      <w:r w:rsidR="00502459">
        <w:rPr>
          <w:rFonts w:ascii="Times New Roman" w:hAnsi="Times New Roman" w:cs="Times New Roman"/>
          <w:sz w:val="28"/>
          <w:szCs w:val="28"/>
        </w:rPr>
        <w:t xml:space="preserve">в </w:t>
      </w:r>
      <w:r w:rsidRPr="00BD5345">
        <w:rPr>
          <w:rFonts w:ascii="Times New Roman" w:hAnsi="Times New Roman" w:cs="Times New Roman"/>
          <w:sz w:val="28"/>
          <w:szCs w:val="28"/>
        </w:rPr>
        <w:t>г. Владимир</w:t>
      </w:r>
      <w:r w:rsidR="00502459">
        <w:rPr>
          <w:rFonts w:ascii="Times New Roman" w:hAnsi="Times New Roman" w:cs="Times New Roman"/>
          <w:sz w:val="28"/>
          <w:szCs w:val="28"/>
        </w:rPr>
        <w:t>е</w:t>
      </w:r>
      <w:r w:rsidRPr="00BD5345">
        <w:rPr>
          <w:rFonts w:ascii="Times New Roman" w:hAnsi="Times New Roman" w:cs="Times New Roman"/>
          <w:sz w:val="28"/>
          <w:szCs w:val="28"/>
        </w:rPr>
        <w:t xml:space="preserve">, 24 июня – </w:t>
      </w:r>
      <w:r w:rsidR="00502459">
        <w:rPr>
          <w:rFonts w:ascii="Times New Roman" w:hAnsi="Times New Roman" w:cs="Times New Roman"/>
          <w:sz w:val="28"/>
          <w:szCs w:val="28"/>
        </w:rPr>
        <w:t xml:space="preserve">в </w:t>
      </w:r>
      <w:r w:rsidRPr="00BD5345">
        <w:rPr>
          <w:rFonts w:ascii="Times New Roman" w:hAnsi="Times New Roman" w:cs="Times New Roman"/>
          <w:sz w:val="28"/>
          <w:szCs w:val="28"/>
        </w:rPr>
        <w:t>г. Кольчугино.</w:t>
      </w:r>
    </w:p>
    <w:p w14:paraId="08C2AD4B" w14:textId="77777777" w:rsidR="00BD5345" w:rsidRPr="00BD5345" w:rsidRDefault="00BD5345" w:rsidP="00A21663">
      <w:pPr>
        <w:tabs>
          <w:tab w:val="left" w:pos="9781"/>
        </w:tabs>
        <w:spacing w:after="0" w:line="312" w:lineRule="auto"/>
        <w:ind w:firstLine="709"/>
        <w:jc w:val="both"/>
        <w:rPr>
          <w:rFonts w:ascii="Times New Roman" w:hAnsi="Times New Roman" w:cs="Times New Roman"/>
          <w:sz w:val="28"/>
          <w:szCs w:val="28"/>
          <w:lang w:bidi="ru-RU"/>
        </w:rPr>
      </w:pPr>
      <w:r w:rsidRPr="00BD5345">
        <w:rPr>
          <w:rFonts w:ascii="Times New Roman" w:hAnsi="Times New Roman" w:cs="Times New Roman"/>
          <w:sz w:val="28"/>
          <w:szCs w:val="28"/>
          <w:lang w:bidi="ru-RU"/>
        </w:rPr>
        <w:t xml:space="preserve">В Иркутской области продолжено размещение в сети «Интернет» контекстной антинаркотической рекламы в системе «Яндекс. </w:t>
      </w:r>
      <w:proofErr w:type="spellStart"/>
      <w:r w:rsidRPr="00BD5345">
        <w:rPr>
          <w:rFonts w:ascii="Times New Roman" w:hAnsi="Times New Roman" w:cs="Times New Roman"/>
          <w:sz w:val="28"/>
          <w:szCs w:val="28"/>
          <w:lang w:bidi="ru-RU"/>
        </w:rPr>
        <w:t>Директ</w:t>
      </w:r>
      <w:proofErr w:type="spellEnd"/>
      <w:r w:rsidRPr="00BD5345">
        <w:rPr>
          <w:rFonts w:ascii="Times New Roman" w:hAnsi="Times New Roman" w:cs="Times New Roman"/>
          <w:sz w:val="28"/>
          <w:szCs w:val="28"/>
          <w:lang w:bidi="ru-RU"/>
        </w:rPr>
        <w:t xml:space="preserve">» («Яндекс РСЯ», «Яндекс МКБ», «Яндекс </w:t>
      </w:r>
      <w:proofErr w:type="spellStart"/>
      <w:r w:rsidRPr="00BD5345">
        <w:rPr>
          <w:rFonts w:ascii="Times New Roman" w:hAnsi="Times New Roman" w:cs="Times New Roman"/>
          <w:sz w:val="28"/>
          <w:szCs w:val="28"/>
          <w:lang w:bidi="ru-RU"/>
        </w:rPr>
        <w:t>Медийная</w:t>
      </w:r>
      <w:proofErr w:type="spellEnd"/>
      <w:r w:rsidRPr="00BD5345">
        <w:rPr>
          <w:rFonts w:ascii="Times New Roman" w:hAnsi="Times New Roman" w:cs="Times New Roman"/>
          <w:sz w:val="28"/>
          <w:szCs w:val="28"/>
          <w:lang w:bidi="ru-RU"/>
        </w:rPr>
        <w:t xml:space="preserve"> реклама»), которая перенаправляет пользователя, осуществляющего поиск наркотиков в поисковой системе «Яндекс» сети «Интернет», на интернет-страницу с баннером, на котором полиция </w:t>
      </w:r>
      <w:proofErr w:type="spellStart"/>
      <w:r w:rsidRPr="00BD5345">
        <w:rPr>
          <w:rFonts w:ascii="Times New Roman" w:hAnsi="Times New Roman" w:cs="Times New Roman"/>
          <w:sz w:val="28"/>
          <w:szCs w:val="28"/>
          <w:lang w:bidi="ru-RU"/>
        </w:rPr>
        <w:t>Приангарья</w:t>
      </w:r>
      <w:proofErr w:type="spellEnd"/>
      <w:r w:rsidRPr="00BD5345">
        <w:rPr>
          <w:rFonts w:ascii="Times New Roman" w:hAnsi="Times New Roman" w:cs="Times New Roman"/>
          <w:sz w:val="28"/>
          <w:szCs w:val="28"/>
          <w:lang w:bidi="ru-RU"/>
        </w:rPr>
        <w:t xml:space="preserve"> предупрежда</w:t>
      </w:r>
      <w:r w:rsidR="00502459">
        <w:rPr>
          <w:rFonts w:ascii="Times New Roman" w:hAnsi="Times New Roman" w:cs="Times New Roman"/>
          <w:sz w:val="28"/>
          <w:szCs w:val="28"/>
          <w:lang w:bidi="ru-RU"/>
        </w:rPr>
        <w:t xml:space="preserve">ет о последствиях употребления </w:t>
      </w:r>
      <w:r w:rsidRPr="00BD5345">
        <w:rPr>
          <w:rFonts w:ascii="Times New Roman" w:hAnsi="Times New Roman" w:cs="Times New Roman"/>
          <w:sz w:val="28"/>
          <w:szCs w:val="28"/>
          <w:lang w:bidi="ru-RU"/>
        </w:rPr>
        <w:t>и распространения наркотиков, а при нажатии на баннер осуществляется переход в антинаркотический аккаунт в социальн</w:t>
      </w:r>
      <w:r w:rsidR="00B55924">
        <w:rPr>
          <w:rFonts w:ascii="Times New Roman" w:hAnsi="Times New Roman" w:cs="Times New Roman"/>
          <w:sz w:val="28"/>
          <w:szCs w:val="28"/>
          <w:lang w:bidi="ru-RU"/>
        </w:rPr>
        <w:t>ых</w:t>
      </w:r>
      <w:r w:rsidRPr="00BD5345">
        <w:rPr>
          <w:rFonts w:ascii="Times New Roman" w:hAnsi="Times New Roman" w:cs="Times New Roman"/>
          <w:sz w:val="28"/>
          <w:szCs w:val="28"/>
          <w:lang w:bidi="ru-RU"/>
        </w:rPr>
        <w:t xml:space="preserve"> </w:t>
      </w:r>
      <w:r w:rsidR="00B55924">
        <w:rPr>
          <w:rFonts w:ascii="Times New Roman" w:hAnsi="Times New Roman" w:cs="Times New Roman"/>
          <w:sz w:val="28"/>
          <w:szCs w:val="28"/>
          <w:lang w:bidi="ru-RU"/>
        </w:rPr>
        <w:t>сетях</w:t>
      </w:r>
      <w:r w:rsidRPr="00BD5345">
        <w:rPr>
          <w:rFonts w:ascii="Times New Roman" w:hAnsi="Times New Roman" w:cs="Times New Roman"/>
          <w:sz w:val="28"/>
          <w:szCs w:val="28"/>
          <w:lang w:bidi="ru-RU"/>
        </w:rPr>
        <w:t>. Количество показов в 2021 г</w:t>
      </w:r>
      <w:r w:rsidR="009730F2">
        <w:rPr>
          <w:rFonts w:ascii="Times New Roman" w:hAnsi="Times New Roman" w:cs="Times New Roman"/>
          <w:sz w:val="28"/>
          <w:szCs w:val="28"/>
          <w:lang w:bidi="ru-RU"/>
        </w:rPr>
        <w:t>.</w:t>
      </w:r>
      <w:r w:rsidRPr="00BD5345">
        <w:rPr>
          <w:rFonts w:ascii="Times New Roman" w:hAnsi="Times New Roman" w:cs="Times New Roman"/>
          <w:sz w:val="28"/>
          <w:szCs w:val="28"/>
          <w:lang w:bidi="ru-RU"/>
        </w:rPr>
        <w:t xml:space="preserve"> составило более 102 тыс.</w:t>
      </w:r>
    </w:p>
    <w:p w14:paraId="2F7EC36E" w14:textId="77777777" w:rsidR="00BD5345" w:rsidRPr="00BD5345" w:rsidRDefault="00BD5345" w:rsidP="00A21663">
      <w:pPr>
        <w:tabs>
          <w:tab w:val="left" w:pos="9781"/>
        </w:tabs>
        <w:spacing w:after="0" w:line="312" w:lineRule="auto"/>
        <w:ind w:firstLine="709"/>
        <w:jc w:val="both"/>
        <w:rPr>
          <w:rFonts w:ascii="Times New Roman" w:hAnsi="Times New Roman" w:cs="Times New Roman"/>
          <w:sz w:val="28"/>
          <w:szCs w:val="28"/>
          <w:lang w:bidi="ru-RU"/>
        </w:rPr>
      </w:pPr>
      <w:r w:rsidRPr="00BD5345">
        <w:rPr>
          <w:rFonts w:ascii="Times New Roman" w:hAnsi="Times New Roman" w:cs="Times New Roman"/>
          <w:sz w:val="28"/>
          <w:szCs w:val="28"/>
          <w:lang w:bidi="ru-RU"/>
        </w:rPr>
        <w:t>Министерством по молодеж</w:t>
      </w:r>
      <w:r w:rsidR="005430C5">
        <w:rPr>
          <w:rFonts w:ascii="Times New Roman" w:hAnsi="Times New Roman" w:cs="Times New Roman"/>
          <w:sz w:val="28"/>
          <w:szCs w:val="28"/>
          <w:lang w:bidi="ru-RU"/>
        </w:rPr>
        <w:t xml:space="preserve">ной политике Иркутской области </w:t>
      </w:r>
      <w:r w:rsidRPr="00BD5345">
        <w:rPr>
          <w:rFonts w:ascii="Times New Roman" w:hAnsi="Times New Roman" w:cs="Times New Roman"/>
          <w:sz w:val="28"/>
          <w:szCs w:val="28"/>
          <w:lang w:bidi="ru-RU"/>
        </w:rPr>
        <w:t>в г. Иркутске при непосредственном уча</w:t>
      </w:r>
      <w:r w:rsidR="005430C5">
        <w:rPr>
          <w:rFonts w:ascii="Times New Roman" w:hAnsi="Times New Roman" w:cs="Times New Roman"/>
          <w:sz w:val="28"/>
          <w:szCs w:val="28"/>
          <w:lang w:bidi="ru-RU"/>
        </w:rPr>
        <w:t xml:space="preserve">стии сотрудников регионального </w:t>
      </w:r>
      <w:r w:rsidRPr="00BD5345">
        <w:rPr>
          <w:rFonts w:ascii="Times New Roman" w:hAnsi="Times New Roman" w:cs="Times New Roman"/>
          <w:sz w:val="28"/>
          <w:szCs w:val="28"/>
          <w:lang w:bidi="ru-RU"/>
        </w:rPr>
        <w:t>МВД России разработан и запущен проект «</w:t>
      </w:r>
      <w:proofErr w:type="spellStart"/>
      <w:r w:rsidRPr="00BD5345">
        <w:rPr>
          <w:rFonts w:ascii="Times New Roman" w:hAnsi="Times New Roman" w:cs="Times New Roman"/>
          <w:sz w:val="28"/>
          <w:szCs w:val="28"/>
          <w:lang w:bidi="ru-RU"/>
        </w:rPr>
        <w:t>Квест</w:t>
      </w:r>
      <w:proofErr w:type="spellEnd"/>
      <w:r w:rsidRPr="00BD5345">
        <w:rPr>
          <w:rFonts w:ascii="Times New Roman" w:hAnsi="Times New Roman" w:cs="Times New Roman"/>
          <w:sz w:val="28"/>
          <w:szCs w:val="28"/>
          <w:lang w:bidi="ru-RU"/>
        </w:rPr>
        <w:t xml:space="preserve">-погружение «Демоны молодости: история одной зависимости». Посещение </w:t>
      </w:r>
      <w:proofErr w:type="spellStart"/>
      <w:r w:rsidRPr="00BD5345">
        <w:rPr>
          <w:rFonts w:ascii="Times New Roman" w:hAnsi="Times New Roman" w:cs="Times New Roman"/>
          <w:sz w:val="28"/>
          <w:szCs w:val="28"/>
          <w:lang w:bidi="ru-RU"/>
        </w:rPr>
        <w:t>квест</w:t>
      </w:r>
      <w:proofErr w:type="spellEnd"/>
      <w:r w:rsidRPr="00BD5345">
        <w:rPr>
          <w:rFonts w:ascii="Times New Roman" w:hAnsi="Times New Roman" w:cs="Times New Roman"/>
          <w:sz w:val="28"/>
          <w:szCs w:val="28"/>
          <w:lang w:bidi="ru-RU"/>
        </w:rPr>
        <w:t xml:space="preserve">-комнаты выстроено с учетом результатов социально-психологического тестирования, сообщений правоохранительных органов. За время работы </w:t>
      </w:r>
      <w:proofErr w:type="spellStart"/>
      <w:r w:rsidRPr="00BD5345">
        <w:rPr>
          <w:rFonts w:ascii="Times New Roman" w:hAnsi="Times New Roman" w:cs="Times New Roman"/>
          <w:sz w:val="28"/>
          <w:szCs w:val="28"/>
          <w:lang w:bidi="ru-RU"/>
        </w:rPr>
        <w:t>квест</w:t>
      </w:r>
      <w:proofErr w:type="spellEnd"/>
      <w:r w:rsidRPr="00BD5345">
        <w:rPr>
          <w:rFonts w:ascii="Times New Roman" w:hAnsi="Times New Roman" w:cs="Times New Roman"/>
          <w:sz w:val="28"/>
          <w:szCs w:val="28"/>
          <w:lang w:bidi="ru-RU"/>
        </w:rPr>
        <w:t>-комнаты ее участниками стали 3 100 детей и молодежи</w:t>
      </w:r>
      <w:r w:rsidR="0037242B" w:rsidRPr="00BD5345">
        <w:rPr>
          <w:rFonts w:ascii="Times New Roman" w:eastAsia="Times New Roman" w:hAnsi="Times New Roman" w:cs="Times New Roman"/>
          <w:sz w:val="28"/>
          <w:szCs w:val="28"/>
        </w:rPr>
        <w:t> </w:t>
      </w:r>
      <w:r w:rsidR="00BD6A1C" w:rsidRPr="00BD5345">
        <w:rPr>
          <w:rFonts w:ascii="Times New Roman" w:hAnsi="Times New Roman" w:cs="Times New Roman"/>
          <w:sz w:val="28"/>
          <w:szCs w:val="28"/>
          <w:lang w:bidi="ru-RU"/>
        </w:rPr>
        <w:t>(</w:t>
      </w:r>
      <w:r w:rsidR="00BD6A1C">
        <w:rPr>
          <w:rFonts w:ascii="Times New Roman" w:hAnsi="Times New Roman" w:cs="Times New Roman"/>
          <w:sz w:val="28"/>
          <w:szCs w:val="28"/>
          <w:lang w:bidi="ru-RU"/>
        </w:rPr>
        <w:t xml:space="preserve">2021 г. – </w:t>
      </w:r>
      <w:r w:rsidR="00BD6A1C" w:rsidRPr="00BD5345">
        <w:rPr>
          <w:rFonts w:ascii="Times New Roman" w:hAnsi="Times New Roman" w:cs="Times New Roman"/>
          <w:sz w:val="28"/>
          <w:szCs w:val="28"/>
          <w:lang w:bidi="ru-RU"/>
        </w:rPr>
        <w:t>1</w:t>
      </w:r>
      <w:r w:rsidR="00BD6A1C">
        <w:rPr>
          <w:rFonts w:ascii="Times New Roman" w:hAnsi="Times New Roman" w:cs="Times New Roman"/>
          <w:sz w:val="28"/>
          <w:szCs w:val="28"/>
          <w:lang w:bidi="ru-RU"/>
        </w:rPr>
        <w:t> </w:t>
      </w:r>
      <w:r w:rsidR="00BD6A1C" w:rsidRPr="00BD5345">
        <w:rPr>
          <w:rFonts w:ascii="Times New Roman" w:hAnsi="Times New Roman" w:cs="Times New Roman"/>
          <w:sz w:val="28"/>
          <w:szCs w:val="28"/>
          <w:lang w:bidi="ru-RU"/>
        </w:rPr>
        <w:t>920</w:t>
      </w:r>
      <w:r w:rsidR="00BD6A1C">
        <w:rPr>
          <w:rFonts w:ascii="Times New Roman" w:hAnsi="Times New Roman" w:cs="Times New Roman"/>
          <w:sz w:val="28"/>
          <w:szCs w:val="28"/>
          <w:lang w:bidi="ru-RU"/>
        </w:rPr>
        <w:t xml:space="preserve"> человек</w:t>
      </w:r>
      <w:r w:rsidR="00BD6A1C" w:rsidRPr="00BD5345">
        <w:rPr>
          <w:rFonts w:ascii="Times New Roman" w:hAnsi="Times New Roman" w:cs="Times New Roman"/>
          <w:sz w:val="28"/>
          <w:szCs w:val="28"/>
          <w:lang w:bidi="ru-RU"/>
        </w:rPr>
        <w:t>)</w:t>
      </w:r>
      <w:r w:rsidRPr="00BD5345">
        <w:rPr>
          <w:rFonts w:ascii="Times New Roman" w:hAnsi="Times New Roman" w:cs="Times New Roman"/>
          <w:sz w:val="28"/>
          <w:szCs w:val="28"/>
          <w:lang w:bidi="ru-RU"/>
        </w:rPr>
        <w:t>, 350 из которых состоят на учете в органах внутренних дел.</w:t>
      </w:r>
    </w:p>
    <w:p w14:paraId="2D1C1ABE" w14:textId="77777777" w:rsidR="00BD5345" w:rsidRPr="00BD5345" w:rsidRDefault="00BD5345" w:rsidP="00A21663">
      <w:pPr>
        <w:widowControl w:val="0"/>
        <w:shd w:val="clear" w:color="auto" w:fill="FFFFFF"/>
        <w:tabs>
          <w:tab w:val="left" w:pos="142"/>
        </w:tabs>
        <w:spacing w:after="0" w:line="312" w:lineRule="auto"/>
        <w:ind w:firstLine="709"/>
        <w:jc w:val="both"/>
        <w:rPr>
          <w:rFonts w:ascii="Times New Roman" w:eastAsia="Times New Roman" w:hAnsi="Times New Roman" w:cs="Times New Roman"/>
          <w:sz w:val="28"/>
          <w:szCs w:val="28"/>
        </w:rPr>
      </w:pPr>
      <w:r w:rsidRPr="00B073FA">
        <w:rPr>
          <w:rFonts w:ascii="Times New Roman" w:eastAsia="Times New Roman" w:hAnsi="Times New Roman" w:cs="Times New Roman"/>
          <w:sz w:val="28"/>
          <w:szCs w:val="28"/>
        </w:rPr>
        <w:t>В целях предупреждения суицидального поведения детей распоряжением Правительства Российской Федерации от 26 апреля 2021 г. № 1058-р утвержден Комплекс мер до 2025 г</w:t>
      </w:r>
      <w:r w:rsidR="009730F2">
        <w:rPr>
          <w:rFonts w:ascii="Times New Roman" w:eastAsia="Times New Roman" w:hAnsi="Times New Roman" w:cs="Times New Roman"/>
          <w:sz w:val="28"/>
          <w:szCs w:val="28"/>
        </w:rPr>
        <w:t>.</w:t>
      </w:r>
      <w:r w:rsidRPr="00B073FA">
        <w:rPr>
          <w:rFonts w:ascii="Times New Roman" w:eastAsia="Times New Roman" w:hAnsi="Times New Roman" w:cs="Times New Roman"/>
          <w:sz w:val="28"/>
          <w:szCs w:val="28"/>
        </w:rPr>
        <w:t xml:space="preserve"> по совершенствованию системы профилактики суицида среди несовершеннолетних</w:t>
      </w:r>
      <w:r w:rsidR="00B073FA">
        <w:rPr>
          <w:rFonts w:ascii="Times New Roman" w:eastAsia="Times New Roman" w:hAnsi="Times New Roman" w:cs="Times New Roman"/>
          <w:sz w:val="28"/>
          <w:szCs w:val="28"/>
        </w:rPr>
        <w:t xml:space="preserve"> (далее по тексту подраздела – Комплекс мер)</w:t>
      </w:r>
      <w:r w:rsidRPr="00B073FA">
        <w:rPr>
          <w:rFonts w:ascii="Times New Roman" w:eastAsia="Times New Roman" w:hAnsi="Times New Roman" w:cs="Times New Roman"/>
          <w:sz w:val="28"/>
          <w:szCs w:val="28"/>
        </w:rPr>
        <w:t>.</w:t>
      </w:r>
    </w:p>
    <w:p w14:paraId="2A3AC550" w14:textId="77777777" w:rsidR="00BD5345" w:rsidRPr="00BD5345" w:rsidRDefault="00BD5345" w:rsidP="00A21663">
      <w:pPr>
        <w:shd w:val="clear" w:color="auto" w:fill="FFFFFF"/>
        <w:tabs>
          <w:tab w:val="left" w:pos="142"/>
        </w:tabs>
        <w:spacing w:after="0" w:line="312" w:lineRule="auto"/>
        <w:ind w:firstLine="709"/>
        <w:jc w:val="both"/>
        <w:rPr>
          <w:rFonts w:ascii="Times New Roman" w:eastAsia="Times New Roman" w:hAnsi="Times New Roman" w:cs="Times New Roman"/>
          <w:sz w:val="28"/>
          <w:szCs w:val="28"/>
          <w:lang w:bidi="ru-RU"/>
        </w:rPr>
      </w:pPr>
      <w:r w:rsidRPr="00BD5345">
        <w:rPr>
          <w:rFonts w:ascii="Times New Roman" w:eastAsia="Times New Roman" w:hAnsi="Times New Roman" w:cs="Times New Roman"/>
          <w:sz w:val="28"/>
          <w:szCs w:val="28"/>
          <w:lang w:bidi="ru-RU"/>
        </w:rPr>
        <w:t>Основными механизмами реализации Комплекса мер определены информационно-просветительская, разъяснительная и пропагандистская деятельность по профилактике суицидов для детей, родителей (законных представителей), педагогов, специалистов органов и учреждений системы профилактики безнадзорности и правонарушений несовершеннолетних; привлечение самих подростков к участию в волонтерских проектах, общественно-досуговой деятельности; оказание экстренной психологической помощи, в том числе анонимной, повышение доступности медико-психологической помощи для всех социальных категорий; проведение мониторинга сети «Интернет» и пресечение распространения суицидального контента; осуществление мониторинга показателей смертности от суицидов среди несовершеннолетних; организация эффективного межведомственного взаимодействия органов и учреждений системы профилактики безнадзорности и правонарушений несовершеннолетних; разработка критериев оценки эффективности принимаемых мер и организации межведомственного взаимодействия, а также проведение оценки эффективности данных мероприятий.</w:t>
      </w:r>
    </w:p>
    <w:p w14:paraId="2BB0632F" w14:textId="77777777" w:rsidR="00BD5345" w:rsidRPr="00BD5345" w:rsidRDefault="00BD5345" w:rsidP="00B55924">
      <w:pPr>
        <w:widowControl w:val="0"/>
        <w:shd w:val="clear" w:color="auto" w:fill="FFFFFF"/>
        <w:tabs>
          <w:tab w:val="left" w:pos="142"/>
        </w:tabs>
        <w:spacing w:after="0" w:line="312" w:lineRule="auto"/>
        <w:ind w:firstLine="709"/>
        <w:jc w:val="both"/>
        <w:rPr>
          <w:rFonts w:ascii="Times New Roman" w:eastAsia="Times New Roman" w:hAnsi="Times New Roman" w:cs="Times New Roman"/>
          <w:sz w:val="28"/>
          <w:szCs w:val="28"/>
          <w:lang w:bidi="ru-RU"/>
        </w:rPr>
      </w:pPr>
      <w:r w:rsidRPr="00BD5345">
        <w:rPr>
          <w:rFonts w:ascii="Times New Roman" w:eastAsia="Times New Roman" w:hAnsi="Times New Roman" w:cs="Times New Roman"/>
          <w:sz w:val="28"/>
          <w:szCs w:val="28"/>
          <w:lang w:bidi="ru-RU"/>
        </w:rPr>
        <w:t>В целях его реализации в субъектах Российской Федерации подготовлены региональные дополн</w:t>
      </w:r>
      <w:r w:rsidR="00B55924">
        <w:rPr>
          <w:rFonts w:ascii="Times New Roman" w:eastAsia="Times New Roman" w:hAnsi="Times New Roman" w:cs="Times New Roman"/>
          <w:sz w:val="28"/>
          <w:szCs w:val="28"/>
          <w:lang w:bidi="ru-RU"/>
        </w:rPr>
        <w:t xml:space="preserve">ительные комплексы мероприятий. </w:t>
      </w:r>
      <w:r w:rsidRPr="00BD5345">
        <w:rPr>
          <w:rFonts w:ascii="Times New Roman" w:eastAsia="Times New Roman" w:hAnsi="Times New Roman" w:cs="Times New Roman"/>
          <w:sz w:val="28"/>
          <w:szCs w:val="28"/>
          <w:lang w:bidi="ru-RU"/>
        </w:rPr>
        <w:t xml:space="preserve">Так, в Свердловской области разработана и утверждена распоряжением регионального Правительства от 17 июня 2021 г. № 295-РП программа по профилактике суицидального </w:t>
      </w:r>
      <w:r w:rsidR="005430C5">
        <w:rPr>
          <w:rFonts w:ascii="Times New Roman" w:eastAsia="Times New Roman" w:hAnsi="Times New Roman" w:cs="Times New Roman"/>
          <w:sz w:val="28"/>
          <w:szCs w:val="28"/>
          <w:lang w:bidi="ru-RU"/>
        </w:rPr>
        <w:t xml:space="preserve">поведения у несовершеннолетних </w:t>
      </w:r>
      <w:r w:rsidRPr="00BD5345">
        <w:rPr>
          <w:rFonts w:ascii="Times New Roman" w:eastAsia="Times New Roman" w:hAnsi="Times New Roman" w:cs="Times New Roman"/>
          <w:sz w:val="28"/>
          <w:szCs w:val="28"/>
          <w:lang w:bidi="ru-RU"/>
        </w:rPr>
        <w:t>на 2021</w:t>
      </w:r>
      <w:r w:rsidR="009730F2">
        <w:rPr>
          <w:rFonts w:ascii="Times New Roman" w:eastAsia="Times New Roman" w:hAnsi="Times New Roman" w:cs="Times New Roman"/>
          <w:sz w:val="28"/>
          <w:szCs w:val="28"/>
          <w:lang w:bidi="ru-RU"/>
        </w:rPr>
        <w:t>-</w:t>
      </w:r>
      <w:r w:rsidRPr="00BD5345">
        <w:rPr>
          <w:rFonts w:ascii="Times New Roman" w:eastAsia="Times New Roman" w:hAnsi="Times New Roman" w:cs="Times New Roman"/>
          <w:sz w:val="28"/>
          <w:szCs w:val="28"/>
          <w:lang w:bidi="ru-RU"/>
        </w:rPr>
        <w:t>2023 г</w:t>
      </w:r>
      <w:r w:rsidR="001B2E06">
        <w:rPr>
          <w:rFonts w:ascii="Times New Roman" w:eastAsia="Times New Roman" w:hAnsi="Times New Roman" w:cs="Times New Roman"/>
          <w:sz w:val="28"/>
          <w:szCs w:val="28"/>
          <w:lang w:bidi="ru-RU"/>
        </w:rPr>
        <w:t>г</w:t>
      </w:r>
      <w:r w:rsidRPr="00BD5345">
        <w:rPr>
          <w:rFonts w:ascii="Times New Roman" w:eastAsia="Times New Roman" w:hAnsi="Times New Roman" w:cs="Times New Roman"/>
          <w:sz w:val="28"/>
          <w:szCs w:val="28"/>
          <w:lang w:bidi="ru-RU"/>
        </w:rPr>
        <w:t>.</w:t>
      </w:r>
      <w:r w:rsidR="00B55924">
        <w:rPr>
          <w:rFonts w:ascii="Times New Roman" w:eastAsia="Times New Roman" w:hAnsi="Times New Roman" w:cs="Times New Roman"/>
          <w:sz w:val="28"/>
          <w:szCs w:val="28"/>
          <w:lang w:bidi="ru-RU"/>
        </w:rPr>
        <w:t xml:space="preserve"> </w:t>
      </w:r>
      <w:r w:rsidRPr="00BD5345">
        <w:rPr>
          <w:rFonts w:ascii="Times New Roman" w:eastAsia="Times New Roman" w:hAnsi="Times New Roman" w:cs="Times New Roman"/>
          <w:sz w:val="28"/>
          <w:szCs w:val="28"/>
          <w:lang w:bidi="ru-RU"/>
        </w:rPr>
        <w:t>Комплекс мер до 2025 г</w:t>
      </w:r>
      <w:r w:rsidR="009730F2">
        <w:rPr>
          <w:rFonts w:ascii="Times New Roman" w:eastAsia="Times New Roman" w:hAnsi="Times New Roman" w:cs="Times New Roman"/>
          <w:sz w:val="28"/>
          <w:szCs w:val="28"/>
          <w:lang w:bidi="ru-RU"/>
        </w:rPr>
        <w:t>.</w:t>
      </w:r>
      <w:r w:rsidRPr="00BD5345">
        <w:rPr>
          <w:rFonts w:ascii="Times New Roman" w:eastAsia="Times New Roman" w:hAnsi="Times New Roman" w:cs="Times New Roman"/>
          <w:sz w:val="28"/>
          <w:szCs w:val="28"/>
          <w:lang w:bidi="ru-RU"/>
        </w:rPr>
        <w:t xml:space="preserve"> по совершенствованию системы профилактики суицида среди несовершеннолетних на территории Волгоградской области утвержден постановлением региональной </w:t>
      </w:r>
      <w:r w:rsidR="001B2E06">
        <w:rPr>
          <w:rFonts w:ascii="Times New Roman" w:eastAsia="Times New Roman" w:hAnsi="Times New Roman" w:cs="Times New Roman"/>
          <w:sz w:val="28"/>
          <w:szCs w:val="28"/>
          <w:lang w:bidi="ru-RU"/>
        </w:rPr>
        <w:t xml:space="preserve">комиссии по делам несовершеннолетних и защите их прав </w:t>
      </w:r>
      <w:r w:rsidRPr="00BD5345">
        <w:rPr>
          <w:rFonts w:ascii="Times New Roman" w:eastAsia="Times New Roman" w:hAnsi="Times New Roman" w:cs="Times New Roman"/>
          <w:sz w:val="28"/>
          <w:szCs w:val="28"/>
          <w:lang w:bidi="ru-RU"/>
        </w:rPr>
        <w:t>от 16 декабря 2021 г. № 7/5.</w:t>
      </w:r>
    </w:p>
    <w:p w14:paraId="28D9C2BD" w14:textId="77777777" w:rsidR="00BD5345" w:rsidRPr="00BD5345" w:rsidRDefault="00B55924" w:rsidP="00A21663">
      <w:pPr>
        <w:widowControl w:val="0"/>
        <w:shd w:val="clear" w:color="auto" w:fill="FFFFFF"/>
        <w:tabs>
          <w:tab w:val="left" w:pos="142"/>
        </w:tabs>
        <w:spacing w:after="0" w:line="312" w:lineRule="auto"/>
        <w:ind w:firstLine="709"/>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Дополнительно</w:t>
      </w:r>
      <w:r w:rsidR="00BD5345" w:rsidRPr="00BD5345">
        <w:rPr>
          <w:rFonts w:ascii="Times New Roman" w:eastAsia="Times New Roman" w:hAnsi="Times New Roman" w:cs="Times New Roman"/>
          <w:sz w:val="28"/>
          <w:szCs w:val="28"/>
          <w:lang w:bidi="ru-RU"/>
        </w:rPr>
        <w:t xml:space="preserve"> с целью организации взаимодействия субъектов профилактики </w:t>
      </w:r>
      <w:r w:rsidR="004552F0">
        <w:rPr>
          <w:rFonts w:ascii="Times New Roman" w:eastAsia="Times New Roman" w:hAnsi="Times New Roman" w:cs="Times New Roman"/>
          <w:sz w:val="28"/>
          <w:szCs w:val="28"/>
          <w:lang w:bidi="ru-RU"/>
        </w:rPr>
        <w:t xml:space="preserve">безнадзорности и правонарушений несовершеннолетних </w:t>
      </w:r>
      <w:r w:rsidR="00BD5345" w:rsidRPr="00BD5345">
        <w:rPr>
          <w:rFonts w:ascii="Times New Roman" w:eastAsia="Times New Roman" w:hAnsi="Times New Roman" w:cs="Times New Roman"/>
          <w:sz w:val="28"/>
          <w:szCs w:val="28"/>
          <w:lang w:bidi="ru-RU"/>
        </w:rPr>
        <w:t>по исполнению мероприятий, направленных на профилактику суицидального поведения, создания благоп</w:t>
      </w:r>
      <w:r w:rsidR="005430C5">
        <w:rPr>
          <w:rFonts w:ascii="Times New Roman" w:eastAsia="Times New Roman" w:hAnsi="Times New Roman" w:cs="Times New Roman"/>
          <w:sz w:val="28"/>
          <w:szCs w:val="28"/>
          <w:lang w:bidi="ru-RU"/>
        </w:rPr>
        <w:t xml:space="preserve">риятных условий для сохранения </w:t>
      </w:r>
      <w:r w:rsidR="00BD5345" w:rsidRPr="00BD5345">
        <w:rPr>
          <w:rFonts w:ascii="Times New Roman" w:eastAsia="Times New Roman" w:hAnsi="Times New Roman" w:cs="Times New Roman"/>
          <w:sz w:val="28"/>
          <w:szCs w:val="28"/>
          <w:lang w:bidi="ru-RU"/>
        </w:rPr>
        <w:t>их жизни и здоровья за счет раннего выявлени</w:t>
      </w:r>
      <w:r w:rsidR="001B2E06">
        <w:rPr>
          <w:rFonts w:ascii="Times New Roman" w:eastAsia="Times New Roman" w:hAnsi="Times New Roman" w:cs="Times New Roman"/>
          <w:sz w:val="28"/>
          <w:szCs w:val="28"/>
          <w:lang w:bidi="ru-RU"/>
        </w:rPr>
        <w:t xml:space="preserve">я несовершеннолетних, склонных </w:t>
      </w:r>
      <w:r w:rsidR="00BD5345" w:rsidRPr="00BD5345">
        <w:rPr>
          <w:rFonts w:ascii="Times New Roman" w:eastAsia="Times New Roman" w:hAnsi="Times New Roman" w:cs="Times New Roman"/>
          <w:sz w:val="28"/>
          <w:szCs w:val="28"/>
          <w:lang w:bidi="ru-RU"/>
        </w:rPr>
        <w:t>к суицидальному поведению, оказания им и их родителям своевременной комплексной психолого-педагогической медицинской, социальной и иной помощи, разрабатывались межведомственные акты.</w:t>
      </w:r>
    </w:p>
    <w:p w14:paraId="45109D22" w14:textId="77777777" w:rsidR="00BD5345" w:rsidRPr="00BD5345" w:rsidRDefault="00BD5345" w:rsidP="00A21663">
      <w:pPr>
        <w:widowControl w:val="0"/>
        <w:shd w:val="clear" w:color="auto" w:fill="FFFFFF"/>
        <w:tabs>
          <w:tab w:val="left" w:pos="142"/>
        </w:tabs>
        <w:spacing w:after="0" w:line="312" w:lineRule="auto"/>
        <w:ind w:firstLine="709"/>
        <w:jc w:val="both"/>
        <w:rPr>
          <w:rFonts w:ascii="Times New Roman" w:eastAsia="Times New Roman" w:hAnsi="Times New Roman" w:cs="Times New Roman"/>
          <w:sz w:val="28"/>
          <w:szCs w:val="28"/>
          <w:lang w:bidi="ru-RU"/>
        </w:rPr>
      </w:pPr>
      <w:r w:rsidRPr="00BD5345">
        <w:rPr>
          <w:rFonts w:ascii="Times New Roman" w:eastAsia="Times New Roman" w:hAnsi="Times New Roman" w:cs="Times New Roman"/>
          <w:sz w:val="28"/>
          <w:szCs w:val="28"/>
          <w:lang w:bidi="ru-RU"/>
        </w:rPr>
        <w:t xml:space="preserve">Например, в Пермском крае постановлением краевой </w:t>
      </w:r>
      <w:r w:rsidR="004552F0">
        <w:rPr>
          <w:rFonts w:ascii="Times New Roman" w:eastAsia="Times New Roman" w:hAnsi="Times New Roman" w:cs="Times New Roman"/>
          <w:sz w:val="28"/>
          <w:szCs w:val="28"/>
          <w:lang w:bidi="ru-RU"/>
        </w:rPr>
        <w:t xml:space="preserve">комиссии по делам несовершеннолетних и защите их прав </w:t>
      </w:r>
      <w:r w:rsidRPr="00BD5345">
        <w:rPr>
          <w:rFonts w:ascii="Times New Roman" w:eastAsia="Times New Roman" w:hAnsi="Times New Roman" w:cs="Times New Roman"/>
          <w:sz w:val="28"/>
          <w:szCs w:val="28"/>
          <w:lang w:bidi="ru-RU"/>
        </w:rPr>
        <w:t xml:space="preserve">от 30 ноября 2021 г. № 22 актуализирован Порядок межведомственного взаимодействия по профилактике и предупреждению суицидальных попыток и суицидов несовершеннолетних. </w:t>
      </w:r>
    </w:p>
    <w:p w14:paraId="2968FE57" w14:textId="77777777" w:rsidR="00BD5345" w:rsidRPr="00BD5345" w:rsidRDefault="00BD5345" w:rsidP="00A21663">
      <w:pPr>
        <w:widowControl w:val="0"/>
        <w:shd w:val="clear" w:color="auto" w:fill="FFFFFF"/>
        <w:tabs>
          <w:tab w:val="left" w:pos="142"/>
        </w:tabs>
        <w:spacing w:after="0" w:line="312" w:lineRule="auto"/>
        <w:ind w:firstLine="709"/>
        <w:jc w:val="both"/>
        <w:rPr>
          <w:rFonts w:ascii="Times New Roman" w:eastAsia="Times New Roman" w:hAnsi="Times New Roman" w:cs="Times New Roman"/>
          <w:sz w:val="28"/>
          <w:szCs w:val="28"/>
          <w:lang w:bidi="ru-RU"/>
        </w:rPr>
      </w:pPr>
      <w:r w:rsidRPr="00BD5345">
        <w:rPr>
          <w:rFonts w:ascii="Times New Roman" w:eastAsia="Times New Roman" w:hAnsi="Times New Roman" w:cs="Times New Roman"/>
          <w:sz w:val="28"/>
          <w:szCs w:val="28"/>
          <w:lang w:bidi="ru-RU"/>
        </w:rPr>
        <w:t xml:space="preserve">В соответствии с решением рабочей группы Координационного совещания руководителей правоохранительных органов Иркутской области по вопросам борьбы с правонарушениями и преступлениями несовершеннолетних от 21 октября 2021 </w:t>
      </w:r>
      <w:r w:rsidR="004552F0">
        <w:rPr>
          <w:rFonts w:ascii="Times New Roman" w:eastAsia="Times New Roman" w:hAnsi="Times New Roman" w:cs="Times New Roman"/>
          <w:sz w:val="28"/>
          <w:szCs w:val="28"/>
          <w:lang w:bidi="ru-RU"/>
        </w:rPr>
        <w:t>г.</w:t>
      </w:r>
      <w:r w:rsidRPr="00BD5345">
        <w:rPr>
          <w:rFonts w:ascii="Times New Roman" w:eastAsia="Times New Roman" w:hAnsi="Times New Roman" w:cs="Times New Roman"/>
          <w:sz w:val="28"/>
          <w:szCs w:val="28"/>
          <w:lang w:bidi="ru-RU"/>
        </w:rPr>
        <w:t xml:space="preserve"> «О результатах анализа причин совершения несовершеннолетними суицидальных действий, их профилактики, мерах, принимаемых к недопущению подобного поведения среди несовершеннолетних» региональной </w:t>
      </w:r>
      <w:r w:rsidR="00AD6E1E">
        <w:rPr>
          <w:rFonts w:ascii="Times New Roman" w:eastAsia="Times New Roman" w:hAnsi="Times New Roman" w:cs="Times New Roman"/>
          <w:sz w:val="28"/>
          <w:szCs w:val="28"/>
          <w:lang w:bidi="ru-RU"/>
        </w:rPr>
        <w:t>комиссией по делам несовершеннолетних и защите их прав</w:t>
      </w:r>
      <w:r w:rsidRPr="00BD5345">
        <w:rPr>
          <w:rFonts w:ascii="Times New Roman" w:eastAsia="Times New Roman" w:hAnsi="Times New Roman" w:cs="Times New Roman"/>
          <w:sz w:val="28"/>
          <w:szCs w:val="28"/>
          <w:lang w:bidi="ru-RU"/>
        </w:rPr>
        <w:t xml:space="preserve"> сформирован «Единый реестр организаций (учреждений) социальной сферы, общественных организаций, служб доверия, оказывающих на территории Иркутской области психологическое сопровождение и реабилитационную помощь несовершеннолетним, их семьям, оказавшимся в кризисной (депрессивной) ситуации», который был направлен в </w:t>
      </w:r>
      <w:r w:rsidR="00B55924">
        <w:rPr>
          <w:rFonts w:ascii="Times New Roman" w:eastAsia="Times New Roman" w:hAnsi="Times New Roman" w:cs="Times New Roman"/>
          <w:sz w:val="28"/>
          <w:szCs w:val="28"/>
          <w:lang w:bidi="ru-RU"/>
        </w:rPr>
        <w:t xml:space="preserve">адрес </w:t>
      </w:r>
      <w:r w:rsidRPr="00BD5345">
        <w:rPr>
          <w:rFonts w:ascii="Times New Roman" w:eastAsia="Times New Roman" w:hAnsi="Times New Roman" w:cs="Times New Roman"/>
          <w:sz w:val="28"/>
          <w:szCs w:val="28"/>
          <w:lang w:bidi="ru-RU"/>
        </w:rPr>
        <w:t>правоохранительны</w:t>
      </w:r>
      <w:r w:rsidR="00B55924">
        <w:rPr>
          <w:rFonts w:ascii="Times New Roman" w:eastAsia="Times New Roman" w:hAnsi="Times New Roman" w:cs="Times New Roman"/>
          <w:sz w:val="28"/>
          <w:szCs w:val="28"/>
          <w:lang w:bidi="ru-RU"/>
        </w:rPr>
        <w:t>х</w:t>
      </w:r>
      <w:r w:rsidRPr="00BD5345">
        <w:rPr>
          <w:rFonts w:ascii="Times New Roman" w:eastAsia="Times New Roman" w:hAnsi="Times New Roman" w:cs="Times New Roman"/>
          <w:sz w:val="28"/>
          <w:szCs w:val="28"/>
          <w:lang w:bidi="ru-RU"/>
        </w:rPr>
        <w:t xml:space="preserve"> орган</w:t>
      </w:r>
      <w:r w:rsidR="00B55924">
        <w:rPr>
          <w:rFonts w:ascii="Times New Roman" w:eastAsia="Times New Roman" w:hAnsi="Times New Roman" w:cs="Times New Roman"/>
          <w:sz w:val="28"/>
          <w:szCs w:val="28"/>
          <w:lang w:bidi="ru-RU"/>
        </w:rPr>
        <w:t>ов</w:t>
      </w:r>
      <w:r w:rsidRPr="00BD5345">
        <w:rPr>
          <w:rFonts w:ascii="Times New Roman" w:eastAsia="Times New Roman" w:hAnsi="Times New Roman" w:cs="Times New Roman"/>
          <w:sz w:val="28"/>
          <w:szCs w:val="28"/>
          <w:lang w:bidi="ru-RU"/>
        </w:rPr>
        <w:t>, ины</w:t>
      </w:r>
      <w:r w:rsidR="00B55924">
        <w:rPr>
          <w:rFonts w:ascii="Times New Roman" w:eastAsia="Times New Roman" w:hAnsi="Times New Roman" w:cs="Times New Roman"/>
          <w:sz w:val="28"/>
          <w:szCs w:val="28"/>
          <w:lang w:bidi="ru-RU"/>
        </w:rPr>
        <w:t>х</w:t>
      </w:r>
      <w:r w:rsidRPr="00BD5345">
        <w:rPr>
          <w:rFonts w:ascii="Times New Roman" w:eastAsia="Times New Roman" w:hAnsi="Times New Roman" w:cs="Times New Roman"/>
          <w:sz w:val="28"/>
          <w:szCs w:val="28"/>
          <w:lang w:bidi="ru-RU"/>
        </w:rPr>
        <w:t xml:space="preserve"> субъект</w:t>
      </w:r>
      <w:r w:rsidR="00B55924">
        <w:rPr>
          <w:rFonts w:ascii="Times New Roman" w:eastAsia="Times New Roman" w:hAnsi="Times New Roman" w:cs="Times New Roman"/>
          <w:sz w:val="28"/>
          <w:szCs w:val="28"/>
          <w:lang w:bidi="ru-RU"/>
        </w:rPr>
        <w:t>ов</w:t>
      </w:r>
      <w:r w:rsidRPr="00BD5345">
        <w:rPr>
          <w:rFonts w:ascii="Times New Roman" w:eastAsia="Times New Roman" w:hAnsi="Times New Roman" w:cs="Times New Roman"/>
          <w:sz w:val="28"/>
          <w:szCs w:val="28"/>
          <w:lang w:bidi="ru-RU"/>
        </w:rPr>
        <w:t xml:space="preserve"> </w:t>
      </w:r>
      <w:r w:rsidR="00B55924">
        <w:rPr>
          <w:rFonts w:ascii="Times New Roman" w:eastAsia="Times New Roman" w:hAnsi="Times New Roman" w:cs="Times New Roman"/>
          <w:sz w:val="28"/>
          <w:szCs w:val="28"/>
          <w:lang w:bidi="ru-RU"/>
        </w:rPr>
        <w:t xml:space="preserve">системы </w:t>
      </w:r>
      <w:r w:rsidRPr="00BD5345">
        <w:rPr>
          <w:rFonts w:ascii="Times New Roman" w:eastAsia="Times New Roman" w:hAnsi="Times New Roman" w:cs="Times New Roman"/>
          <w:sz w:val="28"/>
          <w:szCs w:val="28"/>
          <w:lang w:bidi="ru-RU"/>
        </w:rPr>
        <w:t>профилактики</w:t>
      </w:r>
      <w:r w:rsidR="00B55924">
        <w:rPr>
          <w:rFonts w:ascii="Times New Roman" w:eastAsia="Times New Roman" w:hAnsi="Times New Roman" w:cs="Times New Roman"/>
          <w:sz w:val="28"/>
          <w:szCs w:val="28"/>
          <w:lang w:bidi="ru-RU"/>
        </w:rPr>
        <w:t xml:space="preserve"> безнадзорности и правонарушений несовершеннолетних</w:t>
      </w:r>
      <w:r w:rsidRPr="00BD5345">
        <w:rPr>
          <w:rFonts w:ascii="Times New Roman" w:eastAsia="Times New Roman" w:hAnsi="Times New Roman" w:cs="Times New Roman"/>
          <w:sz w:val="28"/>
          <w:szCs w:val="28"/>
          <w:lang w:bidi="ru-RU"/>
        </w:rPr>
        <w:t xml:space="preserve">, председателям </w:t>
      </w:r>
      <w:r w:rsidR="00AD6E1E">
        <w:rPr>
          <w:rFonts w:ascii="Times New Roman" w:eastAsia="Times New Roman" w:hAnsi="Times New Roman" w:cs="Times New Roman"/>
          <w:sz w:val="28"/>
          <w:szCs w:val="28"/>
          <w:lang w:bidi="ru-RU"/>
        </w:rPr>
        <w:t>комиссий по делам несовершеннолетних и защите их прав</w:t>
      </w:r>
      <w:r w:rsidRPr="00BD5345">
        <w:rPr>
          <w:rFonts w:ascii="Times New Roman" w:eastAsia="Times New Roman" w:hAnsi="Times New Roman" w:cs="Times New Roman"/>
          <w:sz w:val="28"/>
          <w:szCs w:val="28"/>
          <w:lang w:bidi="ru-RU"/>
        </w:rPr>
        <w:t xml:space="preserve"> муниципальных образований, в следственное управление Следственного комитета Российской Федерации по Иркутской области, ГУ МВД России по Иркутской области, в областные министерства (образования, здравоохранения, социального развития, опеки и попечительства, молодежной политики), а также размещен на сайте комиссии (</w:t>
      </w:r>
      <w:hyperlink r:id="rId34" w:history="1">
        <w:r w:rsidRPr="00BD5345">
          <w:rPr>
            <w:rFonts w:ascii="Times New Roman" w:eastAsia="Times New Roman" w:hAnsi="Times New Roman" w:cs="Times New Roman"/>
            <w:sz w:val="28"/>
            <w:szCs w:val="28"/>
            <w:lang w:bidi="ru-RU"/>
          </w:rPr>
          <w:t>https://irkobl.ru/sites/kdnizp/index.php</w:t>
        </w:r>
      </w:hyperlink>
      <w:r w:rsidRPr="00BD5345">
        <w:rPr>
          <w:rFonts w:ascii="Times New Roman" w:eastAsia="Times New Roman" w:hAnsi="Times New Roman" w:cs="Times New Roman"/>
          <w:sz w:val="28"/>
          <w:szCs w:val="28"/>
          <w:lang w:bidi="ru-RU"/>
        </w:rPr>
        <w:t>) в разделе «В помощь родителям... / Если возникла проблема».</w:t>
      </w:r>
    </w:p>
    <w:p w14:paraId="3BF2130B" w14:textId="77777777" w:rsidR="00BD5345" w:rsidRPr="00BD5345" w:rsidRDefault="00B55924" w:rsidP="00A21663">
      <w:pPr>
        <w:widowControl w:val="0"/>
        <w:shd w:val="clear" w:color="auto" w:fill="FFFFFF"/>
        <w:tabs>
          <w:tab w:val="left" w:pos="142"/>
        </w:tabs>
        <w:spacing w:after="0" w:line="312" w:lineRule="auto"/>
        <w:ind w:firstLine="709"/>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Помимо этого, в</w:t>
      </w:r>
      <w:r w:rsidR="00BD5345" w:rsidRPr="00BD5345">
        <w:rPr>
          <w:rFonts w:ascii="Times New Roman" w:eastAsia="Times New Roman" w:hAnsi="Times New Roman" w:cs="Times New Roman"/>
          <w:sz w:val="28"/>
          <w:szCs w:val="28"/>
          <w:lang w:bidi="ru-RU"/>
        </w:rPr>
        <w:t xml:space="preserve"> субъектах Российской Федерации функционируют </w:t>
      </w:r>
      <w:proofErr w:type="spellStart"/>
      <w:r w:rsidR="00BD5345" w:rsidRPr="00BD5345">
        <w:rPr>
          <w:rFonts w:ascii="Times New Roman" w:eastAsia="Times New Roman" w:hAnsi="Times New Roman" w:cs="Times New Roman"/>
          <w:sz w:val="28"/>
          <w:szCs w:val="28"/>
          <w:lang w:bidi="ru-RU"/>
        </w:rPr>
        <w:t>суицидологические</w:t>
      </w:r>
      <w:proofErr w:type="spellEnd"/>
      <w:r w:rsidR="00BD5345" w:rsidRPr="00BD5345">
        <w:rPr>
          <w:rFonts w:ascii="Times New Roman" w:eastAsia="Times New Roman" w:hAnsi="Times New Roman" w:cs="Times New Roman"/>
          <w:sz w:val="28"/>
          <w:szCs w:val="28"/>
          <w:lang w:bidi="ru-RU"/>
        </w:rPr>
        <w:t xml:space="preserve"> службы, оказывающие специализированную помощь лицам </w:t>
      </w:r>
      <w:r w:rsidR="007F69F2">
        <w:rPr>
          <w:rFonts w:ascii="Times New Roman" w:eastAsia="Times New Roman" w:hAnsi="Times New Roman" w:cs="Times New Roman"/>
          <w:sz w:val="28"/>
          <w:szCs w:val="28"/>
          <w:lang w:bidi="ru-RU"/>
        </w:rPr>
        <w:t>в</w:t>
      </w:r>
      <w:r w:rsidR="00BD5345" w:rsidRPr="00BD5345">
        <w:rPr>
          <w:rFonts w:ascii="Times New Roman" w:eastAsia="Times New Roman" w:hAnsi="Times New Roman" w:cs="Times New Roman"/>
          <w:sz w:val="28"/>
          <w:szCs w:val="28"/>
          <w:lang w:bidi="ru-RU"/>
        </w:rPr>
        <w:t xml:space="preserve"> кризисн</w:t>
      </w:r>
      <w:r w:rsidR="007F69F2">
        <w:rPr>
          <w:rFonts w:ascii="Times New Roman" w:eastAsia="Times New Roman" w:hAnsi="Times New Roman" w:cs="Times New Roman"/>
          <w:sz w:val="28"/>
          <w:szCs w:val="28"/>
          <w:lang w:bidi="ru-RU"/>
        </w:rPr>
        <w:t>ом</w:t>
      </w:r>
      <w:r w:rsidR="00BD5345" w:rsidRPr="00BD5345">
        <w:rPr>
          <w:rFonts w:ascii="Times New Roman" w:eastAsia="Times New Roman" w:hAnsi="Times New Roman" w:cs="Times New Roman"/>
          <w:sz w:val="28"/>
          <w:szCs w:val="28"/>
          <w:lang w:bidi="ru-RU"/>
        </w:rPr>
        <w:t xml:space="preserve"> состояни</w:t>
      </w:r>
      <w:r w:rsidR="007F69F2">
        <w:rPr>
          <w:rFonts w:ascii="Times New Roman" w:eastAsia="Times New Roman" w:hAnsi="Times New Roman" w:cs="Times New Roman"/>
          <w:sz w:val="28"/>
          <w:szCs w:val="28"/>
          <w:lang w:bidi="ru-RU"/>
        </w:rPr>
        <w:t>и</w:t>
      </w:r>
      <w:r w:rsidR="00BD5345" w:rsidRPr="00BD5345">
        <w:rPr>
          <w:rFonts w:ascii="Times New Roman" w:eastAsia="Times New Roman" w:hAnsi="Times New Roman" w:cs="Times New Roman"/>
          <w:sz w:val="28"/>
          <w:szCs w:val="28"/>
          <w:lang w:bidi="ru-RU"/>
        </w:rPr>
        <w:t xml:space="preserve"> и </w:t>
      </w:r>
      <w:r w:rsidR="007F69F2">
        <w:rPr>
          <w:rFonts w:ascii="Times New Roman" w:eastAsia="Times New Roman" w:hAnsi="Times New Roman" w:cs="Times New Roman"/>
          <w:sz w:val="28"/>
          <w:szCs w:val="28"/>
          <w:lang w:bidi="ru-RU"/>
        </w:rPr>
        <w:t xml:space="preserve">с </w:t>
      </w:r>
      <w:r w:rsidR="00BD5345" w:rsidRPr="00BD5345">
        <w:rPr>
          <w:rFonts w:ascii="Times New Roman" w:eastAsia="Times New Roman" w:hAnsi="Times New Roman" w:cs="Times New Roman"/>
          <w:sz w:val="28"/>
          <w:szCs w:val="28"/>
          <w:lang w:bidi="ru-RU"/>
        </w:rPr>
        <w:t>суицидальным поведением. Как правило, такие службы представлены отделениями телефона доверия, кабине</w:t>
      </w:r>
      <w:r w:rsidR="00AD6E1E">
        <w:rPr>
          <w:rFonts w:ascii="Times New Roman" w:eastAsia="Times New Roman" w:hAnsi="Times New Roman" w:cs="Times New Roman"/>
          <w:sz w:val="28"/>
          <w:szCs w:val="28"/>
          <w:lang w:bidi="ru-RU"/>
        </w:rPr>
        <w:t xml:space="preserve">тами суицидолога </w:t>
      </w:r>
      <w:r w:rsidR="00BD5345" w:rsidRPr="00BD5345">
        <w:rPr>
          <w:rFonts w:ascii="Times New Roman" w:eastAsia="Times New Roman" w:hAnsi="Times New Roman" w:cs="Times New Roman"/>
          <w:sz w:val="28"/>
          <w:szCs w:val="28"/>
          <w:lang w:bidi="ru-RU"/>
        </w:rPr>
        <w:t>в психоневрологических интернатах, кабинетами социально-психологической помощи при поликлиниках, отделениями кризисных состояний при психиатрических больницах, психотерап</w:t>
      </w:r>
      <w:r w:rsidR="00AD6E1E">
        <w:rPr>
          <w:rFonts w:ascii="Times New Roman" w:eastAsia="Times New Roman" w:hAnsi="Times New Roman" w:cs="Times New Roman"/>
          <w:sz w:val="28"/>
          <w:szCs w:val="28"/>
          <w:lang w:bidi="ru-RU"/>
        </w:rPr>
        <w:t xml:space="preserve">евтическими центрами по работе </w:t>
      </w:r>
      <w:r w:rsidR="00BD5345" w:rsidRPr="00BD5345">
        <w:rPr>
          <w:rFonts w:ascii="Times New Roman" w:eastAsia="Times New Roman" w:hAnsi="Times New Roman" w:cs="Times New Roman"/>
          <w:sz w:val="28"/>
          <w:szCs w:val="28"/>
          <w:lang w:bidi="ru-RU"/>
        </w:rPr>
        <w:t>с лицами, находящимися в кризисном состоянии.</w:t>
      </w:r>
    </w:p>
    <w:p w14:paraId="50D152C1" w14:textId="77777777" w:rsidR="00BD5345" w:rsidRPr="00BD5345" w:rsidRDefault="00BD5345" w:rsidP="00A21663">
      <w:pPr>
        <w:widowControl w:val="0"/>
        <w:shd w:val="clear" w:color="auto" w:fill="FFFFFF"/>
        <w:tabs>
          <w:tab w:val="left" w:pos="142"/>
        </w:tabs>
        <w:spacing w:after="0" w:line="312" w:lineRule="auto"/>
        <w:ind w:firstLine="709"/>
        <w:jc w:val="both"/>
        <w:rPr>
          <w:rFonts w:ascii="Times New Roman" w:eastAsia="Times New Roman" w:hAnsi="Times New Roman" w:cs="Times New Roman"/>
          <w:sz w:val="28"/>
          <w:szCs w:val="28"/>
          <w:lang w:bidi="ru-RU"/>
        </w:rPr>
      </w:pPr>
      <w:r w:rsidRPr="00BD5345">
        <w:rPr>
          <w:rFonts w:ascii="Times New Roman" w:eastAsia="Times New Roman" w:hAnsi="Times New Roman" w:cs="Times New Roman"/>
          <w:sz w:val="28"/>
          <w:szCs w:val="28"/>
          <w:lang w:bidi="ru-RU"/>
        </w:rPr>
        <w:t xml:space="preserve">Так, в рамках реализации комплекса мер по совершенствованию системы профилактики суицида и </w:t>
      </w:r>
      <w:proofErr w:type="spellStart"/>
      <w:r w:rsidRPr="00BD5345">
        <w:rPr>
          <w:rFonts w:ascii="Times New Roman" w:eastAsia="Times New Roman" w:hAnsi="Times New Roman" w:cs="Times New Roman"/>
          <w:sz w:val="28"/>
          <w:szCs w:val="28"/>
          <w:lang w:bidi="ru-RU"/>
        </w:rPr>
        <w:t>аутоагрессивного</w:t>
      </w:r>
      <w:proofErr w:type="spellEnd"/>
      <w:r w:rsidRPr="00BD5345">
        <w:rPr>
          <w:rFonts w:ascii="Times New Roman" w:eastAsia="Times New Roman" w:hAnsi="Times New Roman" w:cs="Times New Roman"/>
          <w:sz w:val="28"/>
          <w:szCs w:val="28"/>
          <w:lang w:bidi="ru-RU"/>
        </w:rPr>
        <w:t xml:space="preserve"> поведения среди несовершеннолетних на территории Белгородской области на 2021 г</w:t>
      </w:r>
      <w:r w:rsidR="009730F2">
        <w:rPr>
          <w:rFonts w:ascii="Times New Roman" w:eastAsia="Times New Roman" w:hAnsi="Times New Roman" w:cs="Times New Roman"/>
          <w:sz w:val="28"/>
          <w:szCs w:val="28"/>
          <w:lang w:bidi="ru-RU"/>
        </w:rPr>
        <w:t>.</w:t>
      </w:r>
      <w:r w:rsidRPr="00BD5345">
        <w:rPr>
          <w:rFonts w:ascii="Times New Roman" w:eastAsia="Times New Roman" w:hAnsi="Times New Roman" w:cs="Times New Roman"/>
          <w:sz w:val="28"/>
          <w:szCs w:val="28"/>
          <w:lang w:bidi="ru-RU"/>
        </w:rPr>
        <w:t xml:space="preserve">, утвержденного постановлением областного Правительства от 8 декабря 2020 г. № 11/П-3, по направлениям органов образования, муниципальных </w:t>
      </w:r>
      <w:r w:rsidR="005A1C8C">
        <w:rPr>
          <w:rFonts w:ascii="Times New Roman" w:eastAsia="Times New Roman" w:hAnsi="Times New Roman" w:cs="Times New Roman"/>
          <w:sz w:val="28"/>
          <w:szCs w:val="28"/>
          <w:lang w:bidi="ru-RU"/>
        </w:rPr>
        <w:t>комиссий по делам несовершеннолетних и защите их прав,</w:t>
      </w:r>
      <w:r w:rsidRPr="00BD5345">
        <w:rPr>
          <w:rFonts w:ascii="Times New Roman" w:eastAsia="Times New Roman" w:hAnsi="Times New Roman" w:cs="Times New Roman"/>
          <w:sz w:val="28"/>
          <w:szCs w:val="28"/>
          <w:lang w:bidi="ru-RU"/>
        </w:rPr>
        <w:t xml:space="preserve"> территориальных органов МВД России, а</w:t>
      </w:r>
      <w:r w:rsidR="005A1C8C">
        <w:rPr>
          <w:rFonts w:ascii="Times New Roman" w:eastAsia="Times New Roman" w:hAnsi="Times New Roman" w:cs="Times New Roman"/>
          <w:sz w:val="28"/>
          <w:szCs w:val="28"/>
          <w:lang w:bidi="ru-RU"/>
        </w:rPr>
        <w:t xml:space="preserve"> также по обращениям родителей </w:t>
      </w:r>
      <w:r w:rsidRPr="00BD5345">
        <w:rPr>
          <w:rFonts w:ascii="Times New Roman" w:eastAsia="Times New Roman" w:hAnsi="Times New Roman" w:cs="Times New Roman"/>
          <w:sz w:val="28"/>
          <w:szCs w:val="28"/>
          <w:lang w:bidi="ru-RU"/>
        </w:rPr>
        <w:t>и самих подростков, специалистами кризисной службы ОГБУ «Белгородский региональный центр психолого-медико-социального сопровождения» организована работа с несовершеннолетними, склонными к суицидальным действиям, детьми, родителями и педагогами, ставшими свидетелями гибели ребенка, включающая применение</w:t>
      </w:r>
      <w:r w:rsidR="005A1C8C">
        <w:rPr>
          <w:rFonts w:ascii="Times New Roman" w:eastAsia="Times New Roman" w:hAnsi="Times New Roman" w:cs="Times New Roman"/>
          <w:sz w:val="28"/>
          <w:szCs w:val="28"/>
          <w:lang w:bidi="ru-RU"/>
        </w:rPr>
        <w:t xml:space="preserve"> методики экспресс-диагностики </w:t>
      </w:r>
      <w:r w:rsidRPr="00BD5345">
        <w:rPr>
          <w:rFonts w:ascii="Times New Roman" w:eastAsia="Times New Roman" w:hAnsi="Times New Roman" w:cs="Times New Roman"/>
          <w:sz w:val="28"/>
          <w:szCs w:val="28"/>
          <w:lang w:bidi="ru-RU"/>
        </w:rPr>
        <w:t>и профилактики суицидального риска «Сигнал».</w:t>
      </w:r>
    </w:p>
    <w:p w14:paraId="09609414" w14:textId="77777777" w:rsidR="00BD5345" w:rsidRPr="00BD5345" w:rsidRDefault="00BD5345" w:rsidP="00A21663">
      <w:pPr>
        <w:widowControl w:val="0"/>
        <w:shd w:val="clear" w:color="auto" w:fill="FFFFFF"/>
        <w:tabs>
          <w:tab w:val="left" w:pos="142"/>
        </w:tabs>
        <w:spacing w:after="0" w:line="312" w:lineRule="auto"/>
        <w:ind w:firstLine="709"/>
        <w:jc w:val="both"/>
        <w:rPr>
          <w:rFonts w:ascii="Times New Roman" w:eastAsia="Times New Roman" w:hAnsi="Times New Roman" w:cs="Times New Roman"/>
          <w:sz w:val="28"/>
          <w:szCs w:val="28"/>
          <w:lang w:bidi="ru-RU"/>
        </w:rPr>
      </w:pPr>
      <w:r w:rsidRPr="00BD5345">
        <w:rPr>
          <w:rFonts w:ascii="Times New Roman" w:eastAsia="Times New Roman" w:hAnsi="Times New Roman" w:cs="Times New Roman"/>
          <w:sz w:val="28"/>
          <w:szCs w:val="28"/>
          <w:lang w:bidi="ru-RU"/>
        </w:rPr>
        <w:t>Кроме того, осуществляется оказание дистанционной психологической поддержки (в форме телефонного консультирования) лицу (несовершеннолетнему, родителю/законному представителю несовершеннолетнего), обратившемуся по номеру «112».</w:t>
      </w:r>
    </w:p>
    <w:p w14:paraId="591D6E33" w14:textId="77777777" w:rsidR="00BD5345" w:rsidRPr="00BD5345" w:rsidRDefault="00BD5345" w:rsidP="00A21663">
      <w:pPr>
        <w:widowControl w:val="0"/>
        <w:shd w:val="clear" w:color="auto" w:fill="FFFFFF"/>
        <w:tabs>
          <w:tab w:val="left" w:pos="142"/>
        </w:tabs>
        <w:spacing w:after="0" w:line="312" w:lineRule="auto"/>
        <w:ind w:firstLine="709"/>
        <w:jc w:val="both"/>
        <w:rPr>
          <w:rFonts w:ascii="Times New Roman" w:eastAsia="Times New Roman" w:hAnsi="Times New Roman" w:cs="Times New Roman"/>
          <w:sz w:val="28"/>
          <w:szCs w:val="28"/>
          <w:lang w:bidi="ru-RU"/>
        </w:rPr>
      </w:pPr>
      <w:r w:rsidRPr="00BD5345">
        <w:rPr>
          <w:rFonts w:ascii="Times New Roman" w:eastAsia="Times New Roman" w:hAnsi="Times New Roman" w:cs="Times New Roman"/>
          <w:sz w:val="28"/>
          <w:szCs w:val="28"/>
          <w:lang w:bidi="ru-RU"/>
        </w:rPr>
        <w:t>В Пензенской области в рамк</w:t>
      </w:r>
      <w:r w:rsidR="00B903D3">
        <w:rPr>
          <w:rFonts w:ascii="Times New Roman" w:eastAsia="Times New Roman" w:hAnsi="Times New Roman" w:cs="Times New Roman"/>
          <w:sz w:val="28"/>
          <w:szCs w:val="28"/>
          <w:lang w:bidi="ru-RU"/>
        </w:rPr>
        <w:t xml:space="preserve">ах акции «Жизнь», приуроченной </w:t>
      </w:r>
      <w:r w:rsidRPr="00BD5345">
        <w:rPr>
          <w:rFonts w:ascii="Times New Roman" w:eastAsia="Times New Roman" w:hAnsi="Times New Roman" w:cs="Times New Roman"/>
          <w:sz w:val="28"/>
          <w:szCs w:val="28"/>
          <w:lang w:bidi="ru-RU"/>
        </w:rPr>
        <w:t>к Всемирному дню предотвращения самоу</w:t>
      </w:r>
      <w:r w:rsidR="00B903D3">
        <w:rPr>
          <w:rFonts w:ascii="Times New Roman" w:eastAsia="Times New Roman" w:hAnsi="Times New Roman" w:cs="Times New Roman"/>
          <w:sz w:val="28"/>
          <w:szCs w:val="28"/>
          <w:lang w:bidi="ru-RU"/>
        </w:rPr>
        <w:t xml:space="preserve">бийств (27 августа 2021 г.), </w:t>
      </w:r>
      <w:r w:rsidRPr="00BD5345">
        <w:rPr>
          <w:rFonts w:ascii="Times New Roman" w:eastAsia="Times New Roman" w:hAnsi="Times New Roman" w:cs="Times New Roman"/>
          <w:sz w:val="28"/>
          <w:szCs w:val="28"/>
          <w:lang w:bidi="ru-RU"/>
        </w:rPr>
        <w:t xml:space="preserve">на площадках уголовно-исполнительных инспекций с несовершеннолетними, осужденными мерам наказания, не связанным с лишением свободы, проведено групповое </w:t>
      </w:r>
      <w:proofErr w:type="spellStart"/>
      <w:r w:rsidRPr="00BD5345">
        <w:rPr>
          <w:rFonts w:ascii="Times New Roman" w:eastAsia="Times New Roman" w:hAnsi="Times New Roman" w:cs="Times New Roman"/>
          <w:sz w:val="28"/>
          <w:szCs w:val="28"/>
          <w:lang w:bidi="ru-RU"/>
        </w:rPr>
        <w:t>психокоррекционное</w:t>
      </w:r>
      <w:proofErr w:type="spellEnd"/>
      <w:r w:rsidRPr="00BD5345">
        <w:rPr>
          <w:rFonts w:ascii="Times New Roman" w:eastAsia="Times New Roman" w:hAnsi="Times New Roman" w:cs="Times New Roman"/>
          <w:sz w:val="28"/>
          <w:szCs w:val="28"/>
          <w:lang w:bidi="ru-RU"/>
        </w:rPr>
        <w:t xml:space="preserve"> занятие с просмотром фильма и последующей дискуссией на тему «Смысл жизни», лекционные занятия по теме</w:t>
      </w:r>
      <w:r w:rsidR="00B903D3">
        <w:rPr>
          <w:rFonts w:ascii="Times New Roman" w:eastAsia="Times New Roman" w:hAnsi="Times New Roman" w:cs="Times New Roman"/>
          <w:sz w:val="28"/>
          <w:szCs w:val="28"/>
          <w:lang w:bidi="ru-RU"/>
        </w:rPr>
        <w:t>:</w:t>
      </w:r>
      <w:r w:rsidR="005430C5">
        <w:rPr>
          <w:rFonts w:ascii="Times New Roman" w:eastAsia="Times New Roman" w:hAnsi="Times New Roman" w:cs="Times New Roman"/>
          <w:sz w:val="28"/>
          <w:szCs w:val="28"/>
          <w:lang w:bidi="ru-RU"/>
        </w:rPr>
        <w:t xml:space="preserve"> «Суицид», </w:t>
      </w:r>
      <w:r w:rsidRPr="00BD5345">
        <w:rPr>
          <w:rFonts w:ascii="Times New Roman" w:eastAsia="Times New Roman" w:hAnsi="Times New Roman" w:cs="Times New Roman"/>
          <w:sz w:val="28"/>
          <w:szCs w:val="28"/>
          <w:lang w:bidi="ru-RU"/>
        </w:rPr>
        <w:t>а также оформлены тематические стенды.</w:t>
      </w:r>
    </w:p>
    <w:p w14:paraId="59197770" w14:textId="77777777" w:rsidR="00BD5345" w:rsidRPr="00BD5345" w:rsidRDefault="00BD5345" w:rsidP="007E1147">
      <w:pPr>
        <w:widowControl w:val="0"/>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 xml:space="preserve">В регионах </w:t>
      </w:r>
      <w:r w:rsidR="00B903D3">
        <w:rPr>
          <w:rFonts w:ascii="Times New Roman" w:eastAsia="Times New Roman" w:hAnsi="Times New Roman" w:cs="Times New Roman"/>
          <w:sz w:val="28"/>
          <w:szCs w:val="28"/>
        </w:rPr>
        <w:t xml:space="preserve">также </w:t>
      </w:r>
      <w:r w:rsidRPr="00BD5345">
        <w:rPr>
          <w:rFonts w:ascii="Times New Roman" w:eastAsia="Times New Roman" w:hAnsi="Times New Roman" w:cs="Times New Roman"/>
          <w:sz w:val="28"/>
          <w:szCs w:val="28"/>
        </w:rPr>
        <w:t>развиваются технологии создания друже</w:t>
      </w:r>
      <w:r w:rsidR="007E1147">
        <w:rPr>
          <w:rFonts w:ascii="Times New Roman" w:eastAsia="Times New Roman" w:hAnsi="Times New Roman" w:cs="Times New Roman"/>
          <w:sz w:val="28"/>
          <w:szCs w:val="28"/>
        </w:rPr>
        <w:t xml:space="preserve">ственного к ребенку правосудия. </w:t>
      </w:r>
      <w:r w:rsidRPr="00BD5345">
        <w:rPr>
          <w:rFonts w:ascii="Times New Roman" w:eastAsia="Times New Roman" w:hAnsi="Times New Roman" w:cs="Times New Roman"/>
          <w:sz w:val="28"/>
          <w:szCs w:val="28"/>
        </w:rPr>
        <w:t>Так, в Архангельской област</w:t>
      </w:r>
      <w:r w:rsidR="005430C5">
        <w:rPr>
          <w:rFonts w:ascii="Times New Roman" w:eastAsia="Times New Roman" w:hAnsi="Times New Roman" w:cs="Times New Roman"/>
          <w:sz w:val="28"/>
          <w:szCs w:val="28"/>
        </w:rPr>
        <w:t xml:space="preserve">и в соответствии с Соглашением </w:t>
      </w:r>
      <w:r w:rsidRPr="00BD5345">
        <w:rPr>
          <w:rFonts w:ascii="Times New Roman" w:eastAsia="Times New Roman" w:hAnsi="Times New Roman" w:cs="Times New Roman"/>
          <w:sz w:val="28"/>
          <w:szCs w:val="28"/>
        </w:rPr>
        <w:t>о межведомственном сотрудничестве от 21 мая 2019 г</w:t>
      </w:r>
      <w:r w:rsidR="00B903D3">
        <w:rPr>
          <w:rFonts w:ascii="Times New Roman" w:eastAsia="Times New Roman" w:hAnsi="Times New Roman" w:cs="Times New Roman"/>
          <w:sz w:val="28"/>
          <w:szCs w:val="28"/>
        </w:rPr>
        <w:t>.</w:t>
      </w:r>
      <w:r w:rsidRPr="00BD5345">
        <w:rPr>
          <w:rFonts w:ascii="Times New Roman" w:eastAsia="Times New Roman" w:hAnsi="Times New Roman" w:cs="Times New Roman"/>
          <w:sz w:val="28"/>
          <w:szCs w:val="28"/>
        </w:rPr>
        <w:t xml:space="preserve"> осуществляется взаимодействие областного суда, региональных </w:t>
      </w:r>
      <w:r w:rsidR="007E1147">
        <w:rPr>
          <w:rFonts w:ascii="Times New Roman" w:eastAsia="Times New Roman" w:hAnsi="Times New Roman" w:cs="Times New Roman"/>
          <w:sz w:val="28"/>
          <w:szCs w:val="28"/>
        </w:rPr>
        <w:t>следственных управлений</w:t>
      </w:r>
      <w:r w:rsidRPr="00BD5345">
        <w:rPr>
          <w:rFonts w:ascii="Times New Roman" w:eastAsia="Times New Roman" w:hAnsi="Times New Roman" w:cs="Times New Roman"/>
          <w:sz w:val="28"/>
          <w:szCs w:val="28"/>
        </w:rPr>
        <w:t xml:space="preserve"> С</w:t>
      </w:r>
      <w:r w:rsidR="007E1147">
        <w:rPr>
          <w:rFonts w:ascii="Times New Roman" w:eastAsia="Times New Roman" w:hAnsi="Times New Roman" w:cs="Times New Roman"/>
          <w:sz w:val="28"/>
          <w:szCs w:val="28"/>
        </w:rPr>
        <w:t xml:space="preserve">ледственного </w:t>
      </w:r>
      <w:r w:rsidRPr="00BD5345">
        <w:rPr>
          <w:rFonts w:ascii="Times New Roman" w:eastAsia="Times New Roman" w:hAnsi="Times New Roman" w:cs="Times New Roman"/>
          <w:sz w:val="28"/>
          <w:szCs w:val="28"/>
        </w:rPr>
        <w:t>К</w:t>
      </w:r>
      <w:r w:rsidR="007E1147">
        <w:rPr>
          <w:rFonts w:ascii="Times New Roman" w:eastAsia="Times New Roman" w:hAnsi="Times New Roman" w:cs="Times New Roman"/>
          <w:sz w:val="28"/>
          <w:szCs w:val="28"/>
        </w:rPr>
        <w:t>омитета Российской Федерации</w:t>
      </w:r>
      <w:r w:rsidRPr="00BD5345">
        <w:rPr>
          <w:rFonts w:ascii="Times New Roman" w:eastAsia="Times New Roman" w:hAnsi="Times New Roman" w:cs="Times New Roman"/>
          <w:sz w:val="28"/>
          <w:szCs w:val="28"/>
        </w:rPr>
        <w:t>, УМВД России и УФСИН России.</w:t>
      </w:r>
    </w:p>
    <w:p w14:paraId="4107E685" w14:textId="77777777" w:rsidR="00BD5345" w:rsidRPr="00BD5345" w:rsidRDefault="00BD5345" w:rsidP="00A21663">
      <w:pPr>
        <w:widowControl w:val="0"/>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Участники Соглашения в своей деятельности руководствуются рядом региональных нормативных актов: Порядком взаимодействия субъектов программы примирения по материалам об отказе в возбуждении уголовного дела в отношении несовершеннолетнего, совершившего общественно опасное деяние до достижения возраста, с которого наступает уголовная ответственность, Регламентом взаимодействия субъектов программы примирения обвиняемого (подозреваемого) с потерпевшим по уголовным делам в отношении несовершеннолетних.</w:t>
      </w:r>
    </w:p>
    <w:p w14:paraId="67234632" w14:textId="77777777" w:rsidR="00BD5345" w:rsidRPr="00BD5345" w:rsidRDefault="00BD5345" w:rsidP="007E1147">
      <w:pPr>
        <w:widowControl w:val="0"/>
        <w:spacing w:after="0" w:line="312" w:lineRule="auto"/>
        <w:ind w:firstLine="740"/>
        <w:jc w:val="both"/>
        <w:rPr>
          <w:rFonts w:ascii="Times New Roman" w:eastAsia="Times New Roman" w:hAnsi="Times New Roman" w:cs="Times New Roman"/>
          <w:iCs/>
          <w:sz w:val="28"/>
          <w:szCs w:val="28"/>
        </w:rPr>
      </w:pPr>
      <w:r w:rsidRPr="00BD5345">
        <w:rPr>
          <w:rFonts w:ascii="Times New Roman" w:eastAsia="Times New Roman" w:hAnsi="Times New Roman" w:cs="Times New Roman"/>
          <w:iCs/>
          <w:sz w:val="28"/>
          <w:szCs w:val="28"/>
        </w:rPr>
        <w:t>В целях предупреждения повторных преступлений несовершеннолетних, освобождаемых из мест лишения свободы, в 2021 г</w:t>
      </w:r>
      <w:r w:rsidR="009730F2">
        <w:rPr>
          <w:rFonts w:ascii="Times New Roman" w:eastAsia="Times New Roman" w:hAnsi="Times New Roman" w:cs="Times New Roman"/>
          <w:iCs/>
          <w:sz w:val="28"/>
          <w:szCs w:val="28"/>
        </w:rPr>
        <w:t>.</w:t>
      </w:r>
      <w:r w:rsidRPr="00BD5345">
        <w:rPr>
          <w:rFonts w:ascii="Times New Roman" w:eastAsia="Times New Roman" w:hAnsi="Times New Roman" w:cs="Times New Roman"/>
          <w:iCs/>
          <w:sz w:val="28"/>
          <w:szCs w:val="28"/>
        </w:rPr>
        <w:t xml:space="preserve"> для воспитанников </w:t>
      </w:r>
      <w:r w:rsidR="009730F2">
        <w:rPr>
          <w:rFonts w:ascii="Times New Roman" w:eastAsia="Times New Roman" w:hAnsi="Times New Roman" w:cs="Times New Roman"/>
          <w:iCs/>
          <w:sz w:val="28"/>
          <w:szCs w:val="28"/>
        </w:rPr>
        <w:br/>
      </w:r>
      <w:r w:rsidRPr="00BD5345">
        <w:rPr>
          <w:rFonts w:ascii="Times New Roman" w:eastAsia="Times New Roman" w:hAnsi="Times New Roman" w:cs="Times New Roman"/>
          <w:iCs/>
          <w:sz w:val="28"/>
          <w:szCs w:val="28"/>
        </w:rPr>
        <w:t>ФКУ «Архангельская воспитательная колония» УФСИН по Архангельской области проведен психологиче</w:t>
      </w:r>
      <w:r w:rsidR="007E1147">
        <w:rPr>
          <w:rFonts w:ascii="Times New Roman" w:eastAsia="Times New Roman" w:hAnsi="Times New Roman" w:cs="Times New Roman"/>
          <w:iCs/>
          <w:sz w:val="28"/>
          <w:szCs w:val="28"/>
        </w:rPr>
        <w:t xml:space="preserve">ский тренинг «Путь к свободе». </w:t>
      </w:r>
      <w:r w:rsidRPr="00BD5345">
        <w:rPr>
          <w:rFonts w:ascii="Times New Roman" w:eastAsia="Times New Roman" w:hAnsi="Times New Roman" w:cs="Times New Roman"/>
          <w:iCs/>
          <w:sz w:val="28"/>
          <w:szCs w:val="28"/>
        </w:rPr>
        <w:t>Для несовершеннолетних, отбывающих наказание, организованы 2 тренинга «Устоять, нельзя упасть» по профилактике зависимости от наркотических и других психоактивных веществ.</w:t>
      </w:r>
      <w:r w:rsidR="007E1147">
        <w:rPr>
          <w:rFonts w:ascii="Times New Roman" w:eastAsia="Times New Roman" w:hAnsi="Times New Roman" w:cs="Times New Roman"/>
          <w:iCs/>
          <w:sz w:val="28"/>
          <w:szCs w:val="28"/>
        </w:rPr>
        <w:t xml:space="preserve"> </w:t>
      </w:r>
      <w:r w:rsidRPr="00BD5345">
        <w:rPr>
          <w:rFonts w:ascii="Times New Roman" w:eastAsia="Times New Roman" w:hAnsi="Times New Roman" w:cs="Times New Roman"/>
          <w:iCs/>
          <w:sz w:val="28"/>
          <w:szCs w:val="28"/>
          <w:lang w:bidi="ru-RU"/>
        </w:rPr>
        <w:t xml:space="preserve">Кроме того, организациями социального обслуживания реализовывались комплексные социально-психолого-педагогические программы «Ориентир», «Маяк», «Путь к своему Я», направленные на </w:t>
      </w:r>
      <w:proofErr w:type="spellStart"/>
      <w:r w:rsidRPr="00BD5345">
        <w:rPr>
          <w:rFonts w:ascii="Times New Roman" w:eastAsia="Times New Roman" w:hAnsi="Times New Roman" w:cs="Times New Roman"/>
          <w:iCs/>
          <w:sz w:val="28"/>
          <w:szCs w:val="28"/>
          <w:lang w:bidi="ru-RU"/>
        </w:rPr>
        <w:t>ресоциализацию</w:t>
      </w:r>
      <w:proofErr w:type="spellEnd"/>
      <w:r w:rsidRPr="00BD5345">
        <w:rPr>
          <w:rFonts w:ascii="Times New Roman" w:eastAsia="Times New Roman" w:hAnsi="Times New Roman" w:cs="Times New Roman"/>
          <w:iCs/>
          <w:sz w:val="28"/>
          <w:szCs w:val="28"/>
          <w:lang w:bidi="ru-RU"/>
        </w:rPr>
        <w:t xml:space="preserve"> и реабилитацию подростков, преступивших закон.</w:t>
      </w:r>
    </w:p>
    <w:p w14:paraId="4F48C9C0" w14:textId="77777777" w:rsidR="00BD5345" w:rsidRPr="00BD5345" w:rsidRDefault="00BD5345" w:rsidP="00A21663">
      <w:pPr>
        <w:spacing w:after="0" w:line="312" w:lineRule="auto"/>
        <w:ind w:firstLine="743"/>
        <w:jc w:val="both"/>
        <w:rPr>
          <w:rFonts w:ascii="Times New Roman" w:eastAsia="Times New Roman" w:hAnsi="Times New Roman" w:cs="Times New Roman"/>
          <w:iCs/>
          <w:sz w:val="28"/>
          <w:szCs w:val="28"/>
        </w:rPr>
      </w:pPr>
      <w:r w:rsidRPr="00BD5345">
        <w:rPr>
          <w:rFonts w:ascii="Times New Roman" w:eastAsia="Times New Roman" w:hAnsi="Times New Roman" w:cs="Times New Roman"/>
          <w:iCs/>
          <w:sz w:val="28"/>
          <w:szCs w:val="28"/>
        </w:rPr>
        <w:t>В Свердловской области реализуется</w:t>
      </w:r>
      <w:r w:rsidR="0037242B">
        <w:rPr>
          <w:rFonts w:ascii="Times New Roman" w:eastAsia="Times New Roman" w:hAnsi="Times New Roman" w:cs="Times New Roman"/>
          <w:iCs/>
          <w:sz w:val="28"/>
          <w:szCs w:val="28"/>
        </w:rPr>
        <w:t xml:space="preserve"> программа «Шаг навстречу друг </w:t>
      </w:r>
      <w:r w:rsidRPr="00BD5345">
        <w:rPr>
          <w:rFonts w:ascii="Times New Roman" w:eastAsia="Times New Roman" w:hAnsi="Times New Roman" w:cs="Times New Roman"/>
          <w:iCs/>
          <w:sz w:val="28"/>
          <w:szCs w:val="28"/>
        </w:rPr>
        <w:t>к другу», целью которой является сохранение детско-родительских отношений в семьях, воспитывающих несовершеннолетних правонарушителей, подвергшихся наказанию, не связанному с изоляцией от общества. Для подростков указанной категории реализуется программа «Стоп агрессия!», направленная на развитие навыка самоконтроля, а также снижение выраженности агрессивных тенденций в развитии несовершеннолетних за счет обучения конструктивным формам взаимодействия с социумом.</w:t>
      </w:r>
    </w:p>
    <w:p w14:paraId="36709F92" w14:textId="77777777" w:rsidR="007E1147" w:rsidRDefault="00BD5345" w:rsidP="007E1147">
      <w:pPr>
        <w:widowControl w:val="0"/>
        <w:spacing w:after="0" w:line="312" w:lineRule="auto"/>
        <w:ind w:firstLine="740"/>
        <w:jc w:val="both"/>
        <w:rPr>
          <w:rFonts w:ascii="Times New Roman" w:eastAsia="Times New Roman" w:hAnsi="Times New Roman" w:cs="Times New Roman"/>
          <w:iCs/>
          <w:sz w:val="28"/>
          <w:szCs w:val="28"/>
        </w:rPr>
      </w:pPr>
      <w:r w:rsidRPr="00BD5345">
        <w:rPr>
          <w:rFonts w:ascii="Times New Roman" w:eastAsia="Times New Roman" w:hAnsi="Times New Roman" w:cs="Times New Roman"/>
          <w:iCs/>
          <w:sz w:val="28"/>
          <w:szCs w:val="28"/>
        </w:rPr>
        <w:t>В течение 2021 г</w:t>
      </w:r>
      <w:r w:rsidR="009730F2">
        <w:rPr>
          <w:rFonts w:ascii="Times New Roman" w:eastAsia="Times New Roman" w:hAnsi="Times New Roman" w:cs="Times New Roman"/>
          <w:iCs/>
          <w:sz w:val="28"/>
          <w:szCs w:val="28"/>
        </w:rPr>
        <w:t>.</w:t>
      </w:r>
      <w:r w:rsidRPr="00BD5345">
        <w:rPr>
          <w:rFonts w:ascii="Times New Roman" w:eastAsia="Times New Roman" w:hAnsi="Times New Roman" w:cs="Times New Roman"/>
          <w:iCs/>
          <w:sz w:val="28"/>
          <w:szCs w:val="28"/>
        </w:rPr>
        <w:t xml:space="preserve"> в Республике </w:t>
      </w:r>
      <w:r w:rsidR="00B903D3">
        <w:rPr>
          <w:rFonts w:ascii="Times New Roman" w:eastAsia="Times New Roman" w:hAnsi="Times New Roman" w:cs="Times New Roman"/>
          <w:iCs/>
          <w:sz w:val="28"/>
          <w:szCs w:val="28"/>
        </w:rPr>
        <w:t xml:space="preserve">Бурятия 1 300 детей, состоящих </w:t>
      </w:r>
      <w:r w:rsidRPr="00BD5345">
        <w:rPr>
          <w:rFonts w:ascii="Times New Roman" w:eastAsia="Times New Roman" w:hAnsi="Times New Roman" w:cs="Times New Roman"/>
          <w:iCs/>
          <w:sz w:val="28"/>
          <w:szCs w:val="28"/>
        </w:rPr>
        <w:t>на различных видах учета, приняли участие в профилактических мероприятиях в</w:t>
      </w:r>
      <w:r w:rsidR="007E1147">
        <w:rPr>
          <w:rFonts w:ascii="Times New Roman" w:eastAsia="Times New Roman" w:hAnsi="Times New Roman" w:cs="Times New Roman"/>
          <w:iCs/>
          <w:sz w:val="28"/>
          <w:szCs w:val="28"/>
        </w:rPr>
        <w:t xml:space="preserve"> рамках проекта «Верный путь». </w:t>
      </w:r>
    </w:p>
    <w:p w14:paraId="19A66F32" w14:textId="4487AE3B" w:rsidR="00BD5345" w:rsidRPr="00BD5345" w:rsidRDefault="00BD5345" w:rsidP="007E1147">
      <w:pPr>
        <w:widowControl w:val="0"/>
        <w:spacing w:after="0" w:line="312" w:lineRule="auto"/>
        <w:ind w:firstLine="740"/>
        <w:jc w:val="both"/>
        <w:rPr>
          <w:rFonts w:ascii="Times New Roman" w:eastAsia="Times New Roman" w:hAnsi="Times New Roman" w:cs="Times New Roman"/>
          <w:iCs/>
          <w:sz w:val="28"/>
          <w:szCs w:val="28"/>
        </w:rPr>
      </w:pPr>
      <w:r w:rsidRPr="00BD5345">
        <w:rPr>
          <w:rFonts w:ascii="Times New Roman" w:eastAsia="Times New Roman" w:hAnsi="Times New Roman" w:cs="Times New Roman"/>
          <w:iCs/>
          <w:sz w:val="28"/>
          <w:szCs w:val="28"/>
        </w:rPr>
        <w:t>С целью вовлечения несовершеннол</w:t>
      </w:r>
      <w:r w:rsidR="0037242B">
        <w:rPr>
          <w:rFonts w:ascii="Times New Roman" w:eastAsia="Times New Roman" w:hAnsi="Times New Roman" w:cs="Times New Roman"/>
          <w:iCs/>
          <w:sz w:val="28"/>
          <w:szCs w:val="28"/>
        </w:rPr>
        <w:t xml:space="preserve">етних, находящихся в конфликте </w:t>
      </w:r>
      <w:r w:rsidRPr="00BD5345">
        <w:rPr>
          <w:rFonts w:ascii="Times New Roman" w:eastAsia="Times New Roman" w:hAnsi="Times New Roman" w:cs="Times New Roman"/>
          <w:iCs/>
          <w:sz w:val="28"/>
          <w:szCs w:val="28"/>
        </w:rPr>
        <w:t>с законом, в занятия спортом, организации сп</w:t>
      </w:r>
      <w:r w:rsidR="0037242B">
        <w:rPr>
          <w:rFonts w:ascii="Times New Roman" w:eastAsia="Times New Roman" w:hAnsi="Times New Roman" w:cs="Times New Roman"/>
          <w:iCs/>
          <w:sz w:val="28"/>
          <w:szCs w:val="28"/>
        </w:rPr>
        <w:t xml:space="preserve">ортивного досуга, формирования </w:t>
      </w:r>
      <w:r w:rsidRPr="00BD5345">
        <w:rPr>
          <w:rFonts w:ascii="Times New Roman" w:eastAsia="Times New Roman" w:hAnsi="Times New Roman" w:cs="Times New Roman"/>
          <w:iCs/>
          <w:sz w:val="28"/>
          <w:szCs w:val="28"/>
        </w:rPr>
        <w:t>у подростков устойчивого интереса к</w:t>
      </w:r>
      <w:r w:rsidR="0037242B">
        <w:rPr>
          <w:rFonts w:ascii="Times New Roman" w:eastAsia="Times New Roman" w:hAnsi="Times New Roman" w:cs="Times New Roman"/>
          <w:iCs/>
          <w:sz w:val="28"/>
          <w:szCs w:val="28"/>
        </w:rPr>
        <w:t xml:space="preserve"> занятиям физической культурой </w:t>
      </w:r>
      <w:r w:rsidRPr="00BD5345">
        <w:rPr>
          <w:rFonts w:ascii="Times New Roman" w:eastAsia="Times New Roman" w:hAnsi="Times New Roman" w:cs="Times New Roman"/>
          <w:iCs/>
          <w:sz w:val="28"/>
          <w:szCs w:val="28"/>
        </w:rPr>
        <w:t>и спортом, здорового образа жизни в Пермском крае с 2017 г</w:t>
      </w:r>
      <w:r w:rsidR="009730F2">
        <w:rPr>
          <w:rFonts w:ascii="Times New Roman" w:eastAsia="Times New Roman" w:hAnsi="Times New Roman" w:cs="Times New Roman"/>
          <w:iCs/>
          <w:sz w:val="28"/>
          <w:szCs w:val="28"/>
        </w:rPr>
        <w:t>.</w:t>
      </w:r>
      <w:r w:rsidRPr="00BD5345">
        <w:rPr>
          <w:rFonts w:ascii="Times New Roman" w:eastAsia="Times New Roman" w:hAnsi="Times New Roman" w:cs="Times New Roman"/>
          <w:iCs/>
          <w:sz w:val="28"/>
          <w:szCs w:val="28"/>
        </w:rPr>
        <w:t xml:space="preserve"> ежегодно проводи</w:t>
      </w:r>
      <w:r w:rsidR="007E1147">
        <w:rPr>
          <w:rFonts w:ascii="Times New Roman" w:eastAsia="Times New Roman" w:hAnsi="Times New Roman" w:cs="Times New Roman"/>
          <w:iCs/>
          <w:sz w:val="28"/>
          <w:szCs w:val="28"/>
        </w:rPr>
        <w:t>тся спартакиада «Волшебный мяч», участниками которого</w:t>
      </w:r>
      <w:r w:rsidRPr="00BD5345">
        <w:rPr>
          <w:rFonts w:ascii="Times New Roman" w:eastAsia="Times New Roman" w:hAnsi="Times New Roman" w:cs="Times New Roman"/>
          <w:iCs/>
          <w:sz w:val="28"/>
          <w:szCs w:val="28"/>
        </w:rPr>
        <w:t xml:space="preserve"> </w:t>
      </w:r>
      <w:r w:rsidR="007E1147">
        <w:rPr>
          <w:rFonts w:ascii="Times New Roman" w:eastAsia="Times New Roman" w:hAnsi="Times New Roman" w:cs="Times New Roman"/>
          <w:iCs/>
          <w:sz w:val="28"/>
          <w:szCs w:val="28"/>
        </w:rPr>
        <w:t xml:space="preserve">становятся </w:t>
      </w:r>
      <w:r w:rsidRPr="00BD5345">
        <w:rPr>
          <w:rFonts w:ascii="Times New Roman" w:eastAsia="Times New Roman" w:hAnsi="Times New Roman" w:cs="Times New Roman"/>
          <w:iCs/>
          <w:sz w:val="28"/>
          <w:szCs w:val="28"/>
        </w:rPr>
        <w:t>около 3 тыс. несовершеннолетних, состоящих на учетах в муниципальных комиссиях, органах внутренних дел. Примечательно, что более 20% участников</w:t>
      </w:r>
      <w:r w:rsidR="005430C5">
        <w:rPr>
          <w:rFonts w:ascii="Times New Roman" w:eastAsia="Times New Roman" w:hAnsi="Times New Roman" w:cs="Times New Roman"/>
          <w:iCs/>
          <w:sz w:val="28"/>
          <w:szCs w:val="28"/>
        </w:rPr>
        <w:t xml:space="preserve"> спартакиады снимаются с учета </w:t>
      </w:r>
      <w:r w:rsidRPr="00BD5345">
        <w:rPr>
          <w:rFonts w:ascii="Times New Roman" w:eastAsia="Times New Roman" w:hAnsi="Times New Roman" w:cs="Times New Roman"/>
          <w:iCs/>
          <w:sz w:val="28"/>
          <w:szCs w:val="28"/>
        </w:rPr>
        <w:t>в связи с исправлением.</w:t>
      </w:r>
    </w:p>
    <w:p w14:paraId="21048BC3" w14:textId="77777777" w:rsidR="00BD5345" w:rsidRPr="00BD5345" w:rsidRDefault="00BD5345" w:rsidP="00A21663">
      <w:pPr>
        <w:spacing w:after="0" w:line="312" w:lineRule="auto"/>
        <w:ind w:firstLine="709"/>
        <w:jc w:val="both"/>
        <w:rPr>
          <w:rFonts w:ascii="Times New Roman" w:hAnsi="Times New Roman" w:cs="Times New Roman"/>
          <w:bCs/>
          <w:sz w:val="28"/>
          <w:szCs w:val="28"/>
        </w:rPr>
      </w:pPr>
      <w:r w:rsidRPr="00BD5345">
        <w:rPr>
          <w:rFonts w:ascii="Times New Roman" w:hAnsi="Times New Roman" w:cs="Times New Roman"/>
          <w:bCs/>
          <w:sz w:val="28"/>
          <w:szCs w:val="28"/>
        </w:rPr>
        <w:t>В Камчатском крае организации физкультурно-спортивной направленности участвуют в формировании жизнестойкости детей, состоящих на различных видах учета в органах и учреждениях системы профилактики.</w:t>
      </w:r>
    </w:p>
    <w:p w14:paraId="46726CF7" w14:textId="77777777" w:rsidR="00BD5345" w:rsidRPr="00BD5345" w:rsidRDefault="00BD5345" w:rsidP="00A21663">
      <w:pPr>
        <w:spacing w:after="0" w:line="312" w:lineRule="auto"/>
        <w:ind w:firstLine="709"/>
        <w:jc w:val="both"/>
        <w:rPr>
          <w:rFonts w:ascii="Times New Roman" w:hAnsi="Times New Roman" w:cs="Times New Roman"/>
          <w:bCs/>
          <w:sz w:val="28"/>
          <w:szCs w:val="28"/>
        </w:rPr>
      </w:pPr>
      <w:r w:rsidRPr="00BD5345">
        <w:rPr>
          <w:rFonts w:ascii="Times New Roman" w:hAnsi="Times New Roman" w:cs="Times New Roman"/>
          <w:bCs/>
          <w:sz w:val="28"/>
          <w:szCs w:val="28"/>
        </w:rPr>
        <w:t>На территории края в 2021 г</w:t>
      </w:r>
      <w:r w:rsidR="009730F2">
        <w:rPr>
          <w:rFonts w:ascii="Times New Roman" w:hAnsi="Times New Roman" w:cs="Times New Roman"/>
          <w:bCs/>
          <w:sz w:val="28"/>
          <w:szCs w:val="28"/>
        </w:rPr>
        <w:t>.</w:t>
      </w:r>
      <w:r w:rsidR="00B903D3">
        <w:rPr>
          <w:rFonts w:ascii="Times New Roman" w:hAnsi="Times New Roman" w:cs="Times New Roman"/>
          <w:bCs/>
          <w:sz w:val="28"/>
          <w:szCs w:val="28"/>
        </w:rPr>
        <w:t xml:space="preserve"> проводились физкультурные </w:t>
      </w:r>
      <w:r w:rsidRPr="00BD5345">
        <w:rPr>
          <w:rFonts w:ascii="Times New Roman" w:hAnsi="Times New Roman" w:cs="Times New Roman"/>
          <w:bCs/>
          <w:sz w:val="28"/>
          <w:szCs w:val="28"/>
        </w:rPr>
        <w:t>и спортивные мероприятия: антинаркотическая декада «XXI век без наркотиков», акции «Спорт против наркотиков», «За здоровый образ жизни!», «Детство без наркотиков», зарядка с Чемпионом, спортивный этап военно-спортивной игры «Победа» и другие.</w:t>
      </w:r>
    </w:p>
    <w:p w14:paraId="2ECB1141" w14:textId="77777777" w:rsidR="00BD5345" w:rsidRPr="00BD5345" w:rsidRDefault="00BD5345" w:rsidP="00A21663">
      <w:pPr>
        <w:spacing w:after="0" w:line="312" w:lineRule="auto"/>
        <w:ind w:firstLine="709"/>
        <w:jc w:val="both"/>
        <w:rPr>
          <w:rFonts w:ascii="Times New Roman" w:hAnsi="Times New Roman" w:cs="Times New Roman"/>
          <w:bCs/>
          <w:sz w:val="28"/>
          <w:szCs w:val="28"/>
        </w:rPr>
      </w:pPr>
      <w:r w:rsidRPr="00BD5345">
        <w:rPr>
          <w:rFonts w:ascii="Times New Roman" w:hAnsi="Times New Roman" w:cs="Times New Roman"/>
          <w:bCs/>
          <w:sz w:val="28"/>
          <w:szCs w:val="28"/>
        </w:rPr>
        <w:t>Во всех муниципальных образованиях для занятий физической культурой и спортом, в том числе и для несовершеннолетних, спортивные объекты предоставляются бесп</w:t>
      </w:r>
      <w:r w:rsidR="007E1147">
        <w:rPr>
          <w:rFonts w:ascii="Times New Roman" w:hAnsi="Times New Roman" w:cs="Times New Roman"/>
          <w:bCs/>
          <w:sz w:val="28"/>
          <w:szCs w:val="28"/>
        </w:rPr>
        <w:t>латно, на безвозмездной основе.</w:t>
      </w:r>
    </w:p>
    <w:p w14:paraId="3F61B611" w14:textId="77777777" w:rsidR="00BD5345" w:rsidRPr="00BD5345" w:rsidRDefault="00BD5345" w:rsidP="00A21663">
      <w:pPr>
        <w:widowControl w:val="0"/>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 xml:space="preserve">Развитие детских общественных объединений, в том числе правоохранительной направленности, с участием </w:t>
      </w:r>
      <w:r w:rsidRPr="00BD5345">
        <w:rPr>
          <w:rFonts w:ascii="Times New Roman" w:eastAsia="Times New Roman" w:hAnsi="Times New Roman" w:cs="Times New Roman"/>
          <w:sz w:val="28"/>
          <w:szCs w:val="28"/>
          <w:lang w:bidi="ru-RU"/>
        </w:rPr>
        <w:t>социально ориентированных некоммерческих организаций,</w:t>
      </w:r>
      <w:r w:rsidRPr="00BD5345">
        <w:rPr>
          <w:rFonts w:ascii="Times New Roman" w:eastAsia="Times New Roman" w:hAnsi="Times New Roman" w:cs="Times New Roman"/>
          <w:sz w:val="28"/>
          <w:szCs w:val="28"/>
        </w:rPr>
        <w:t xml:space="preserve"> является одной из перспективных форм предупреждения противоправного поведения несовершеннолетних, гражданского, патриотического и гуманитарного воспитания подрастающего поколения.</w:t>
      </w:r>
    </w:p>
    <w:p w14:paraId="229280A5" w14:textId="77777777" w:rsidR="00BD5345" w:rsidRPr="00BD5345" w:rsidRDefault="00BD5345" w:rsidP="00A21663">
      <w:pPr>
        <w:widowControl w:val="0"/>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МВД России большое внимание уделяется популяризации движения правоохранительной направленности «Юный друг полиции»</w:t>
      </w:r>
      <w:r w:rsidR="00403204">
        <w:rPr>
          <w:rFonts w:ascii="Times New Roman" w:eastAsia="Times New Roman" w:hAnsi="Times New Roman" w:cs="Times New Roman"/>
          <w:sz w:val="28"/>
          <w:szCs w:val="28"/>
        </w:rPr>
        <w:t xml:space="preserve"> (далее – ЮДП)</w:t>
      </w:r>
      <w:r w:rsidRPr="00BD5345">
        <w:rPr>
          <w:rFonts w:ascii="Times New Roman" w:eastAsia="Times New Roman" w:hAnsi="Times New Roman" w:cs="Times New Roman"/>
          <w:sz w:val="28"/>
          <w:szCs w:val="28"/>
        </w:rPr>
        <w:t>, деятельность которого нацелена на профилактику правонарушений, повышение правосознания детей и подростков, формирование у них чувства социальной ответственности, а также на раннюю профессиональную ориентацию.</w:t>
      </w:r>
    </w:p>
    <w:p w14:paraId="695E04F1" w14:textId="77777777" w:rsidR="00BD5345" w:rsidRPr="00BD5345" w:rsidRDefault="00BD5345" w:rsidP="007E1147">
      <w:pPr>
        <w:tabs>
          <w:tab w:val="left" w:pos="0"/>
        </w:tabs>
        <w:spacing w:after="0" w:line="312" w:lineRule="auto"/>
        <w:ind w:right="-1" w:firstLine="709"/>
        <w:jc w:val="both"/>
        <w:rPr>
          <w:rFonts w:ascii="Times New Roman" w:hAnsi="Times New Roman" w:cs="Times New Roman"/>
          <w:sz w:val="28"/>
          <w:szCs w:val="28"/>
        </w:rPr>
      </w:pPr>
      <w:r w:rsidRPr="00BD5345">
        <w:rPr>
          <w:rFonts w:ascii="Times New Roman" w:hAnsi="Times New Roman" w:cs="Times New Roman"/>
          <w:sz w:val="28"/>
          <w:szCs w:val="28"/>
        </w:rPr>
        <w:t>В Новгородской области организовано проведение мероприятий в рамках проекта «Молодежь и полиция: шаг в будущее», созданного по инициативе межмуниципального отдела МВД России «</w:t>
      </w:r>
      <w:proofErr w:type="spellStart"/>
      <w:r w:rsidRPr="00BD5345">
        <w:rPr>
          <w:rFonts w:ascii="Times New Roman" w:hAnsi="Times New Roman" w:cs="Times New Roman"/>
          <w:sz w:val="28"/>
          <w:szCs w:val="28"/>
        </w:rPr>
        <w:t>Боровичский</w:t>
      </w:r>
      <w:proofErr w:type="spellEnd"/>
      <w:r w:rsidRPr="00BD5345">
        <w:rPr>
          <w:rFonts w:ascii="Times New Roman" w:hAnsi="Times New Roman" w:cs="Times New Roman"/>
          <w:sz w:val="28"/>
          <w:szCs w:val="28"/>
        </w:rPr>
        <w:t>» при поддержке Общественного совета и специалистов Дома молодежи «Молодежн</w:t>
      </w:r>
      <w:r w:rsidR="007E1147">
        <w:rPr>
          <w:rFonts w:ascii="Times New Roman" w:hAnsi="Times New Roman" w:cs="Times New Roman"/>
          <w:sz w:val="28"/>
          <w:szCs w:val="28"/>
        </w:rPr>
        <w:t xml:space="preserve">ый центр» имени В.Н. </w:t>
      </w:r>
      <w:proofErr w:type="spellStart"/>
      <w:r w:rsidR="007E1147">
        <w:rPr>
          <w:rFonts w:ascii="Times New Roman" w:hAnsi="Times New Roman" w:cs="Times New Roman"/>
          <w:sz w:val="28"/>
          <w:szCs w:val="28"/>
        </w:rPr>
        <w:t>Огонькова</w:t>
      </w:r>
      <w:proofErr w:type="spellEnd"/>
      <w:r w:rsidR="007E1147">
        <w:rPr>
          <w:rFonts w:ascii="Times New Roman" w:hAnsi="Times New Roman" w:cs="Times New Roman"/>
          <w:sz w:val="28"/>
          <w:szCs w:val="28"/>
        </w:rPr>
        <w:t>. П</w:t>
      </w:r>
      <w:r w:rsidRPr="00BD5345">
        <w:rPr>
          <w:rFonts w:ascii="Times New Roman" w:hAnsi="Times New Roman" w:cs="Times New Roman"/>
          <w:sz w:val="28"/>
          <w:szCs w:val="28"/>
        </w:rPr>
        <w:t>роект направлен на профессиональную ориентацию молодежи, повышение престижа и привлекательности государственной службы, формирование кадрового резерва органов внутренних дел. В течение учебного года старшеклассники школ г. Боровичи прошли обучение по программе слушателей указанного просветительского проекта в объеме 24 часов, под руководством наставников на практике познакомились с работой органов внутренних дел, изучили специфику деятельности различных подразделений полиции.</w:t>
      </w:r>
    </w:p>
    <w:p w14:paraId="56F08AEF" w14:textId="2433E46D" w:rsidR="00BD5345" w:rsidRPr="0064191D" w:rsidRDefault="00BD5345" w:rsidP="0064191D">
      <w:pPr>
        <w:tabs>
          <w:tab w:val="left" w:pos="0"/>
        </w:tabs>
        <w:spacing w:after="0" w:line="312" w:lineRule="auto"/>
        <w:ind w:right="-1" w:firstLine="709"/>
        <w:jc w:val="both"/>
        <w:rPr>
          <w:rFonts w:ascii="Times New Roman" w:hAnsi="Times New Roman" w:cs="Times New Roman"/>
          <w:sz w:val="28"/>
          <w:szCs w:val="28"/>
        </w:rPr>
      </w:pPr>
      <w:r w:rsidRPr="00BD5345">
        <w:rPr>
          <w:rFonts w:ascii="Times New Roman" w:hAnsi="Times New Roman" w:cs="Times New Roman"/>
          <w:sz w:val="28"/>
          <w:szCs w:val="28"/>
        </w:rPr>
        <w:t xml:space="preserve">Согласно данным </w:t>
      </w:r>
      <w:r w:rsidR="00403204">
        <w:rPr>
          <w:rFonts w:ascii="Times New Roman" w:hAnsi="Times New Roman" w:cs="Times New Roman"/>
          <w:sz w:val="28"/>
          <w:szCs w:val="28"/>
        </w:rPr>
        <w:t xml:space="preserve">формы статистической отчетности «Несовершеннолетние», утвержденной приказом </w:t>
      </w:r>
      <w:r w:rsidRPr="00BD5345">
        <w:rPr>
          <w:rFonts w:ascii="Times New Roman" w:hAnsi="Times New Roman" w:cs="Times New Roman"/>
          <w:sz w:val="28"/>
          <w:szCs w:val="28"/>
        </w:rPr>
        <w:t>МВД России</w:t>
      </w:r>
      <w:r w:rsidR="00403204">
        <w:rPr>
          <w:rFonts w:ascii="Times New Roman" w:hAnsi="Times New Roman" w:cs="Times New Roman"/>
          <w:sz w:val="28"/>
          <w:szCs w:val="28"/>
        </w:rPr>
        <w:t xml:space="preserve"> от 30 января 2014 г. № 57,</w:t>
      </w:r>
      <w:r w:rsidRPr="00BD5345">
        <w:rPr>
          <w:rFonts w:ascii="Times New Roman" w:hAnsi="Times New Roman" w:cs="Times New Roman"/>
          <w:sz w:val="28"/>
          <w:szCs w:val="28"/>
        </w:rPr>
        <w:t xml:space="preserve"> в 2021 г</w:t>
      </w:r>
      <w:r w:rsidR="001B31C7">
        <w:rPr>
          <w:rFonts w:ascii="Times New Roman" w:hAnsi="Times New Roman" w:cs="Times New Roman"/>
          <w:sz w:val="28"/>
          <w:szCs w:val="28"/>
        </w:rPr>
        <w:t>.</w:t>
      </w:r>
      <w:r w:rsidRPr="00BD5345">
        <w:rPr>
          <w:rFonts w:ascii="Times New Roman" w:hAnsi="Times New Roman" w:cs="Times New Roman"/>
          <w:sz w:val="28"/>
          <w:szCs w:val="28"/>
        </w:rPr>
        <w:t xml:space="preserve"> в деятельность общественных организаций вовлечено 13 121 подростков, состоящих на пр</w:t>
      </w:r>
      <w:r w:rsidR="0064191D">
        <w:rPr>
          <w:rFonts w:ascii="Times New Roman" w:hAnsi="Times New Roman" w:cs="Times New Roman"/>
          <w:sz w:val="28"/>
          <w:szCs w:val="28"/>
        </w:rPr>
        <w:t xml:space="preserve">офилактическом учете в полиции. </w:t>
      </w:r>
      <w:r w:rsidRPr="00BD5345">
        <w:rPr>
          <w:rFonts w:ascii="Times New Roman" w:eastAsia="Times New Roman" w:hAnsi="Times New Roman" w:cs="Times New Roman"/>
          <w:sz w:val="28"/>
          <w:szCs w:val="28"/>
        </w:rPr>
        <w:t xml:space="preserve">Наиболее активно проведена работа в </w:t>
      </w:r>
      <w:r w:rsidR="00403204">
        <w:rPr>
          <w:rFonts w:ascii="Times New Roman" w:eastAsia="Times New Roman" w:hAnsi="Times New Roman" w:cs="Times New Roman"/>
          <w:sz w:val="28"/>
          <w:szCs w:val="28"/>
        </w:rPr>
        <w:t>Р</w:t>
      </w:r>
      <w:r w:rsidRPr="00BD5345">
        <w:rPr>
          <w:rFonts w:ascii="Times New Roman" w:eastAsia="Times New Roman" w:hAnsi="Times New Roman" w:cs="Times New Roman"/>
          <w:sz w:val="28"/>
          <w:szCs w:val="28"/>
        </w:rPr>
        <w:t>еспубликах Башкортостан (462</w:t>
      </w:r>
      <w:r w:rsidR="0064191D">
        <w:rPr>
          <w:rFonts w:ascii="Times New Roman" w:eastAsia="Times New Roman" w:hAnsi="Times New Roman" w:cs="Times New Roman"/>
          <w:sz w:val="28"/>
          <w:szCs w:val="28"/>
        </w:rPr>
        <w:t xml:space="preserve"> подростка</w:t>
      </w:r>
      <w:r w:rsidRPr="00BD5345">
        <w:rPr>
          <w:rFonts w:ascii="Times New Roman" w:eastAsia="Times New Roman" w:hAnsi="Times New Roman" w:cs="Times New Roman"/>
          <w:sz w:val="28"/>
          <w:szCs w:val="28"/>
        </w:rPr>
        <w:t xml:space="preserve">), Татарстан </w:t>
      </w:r>
      <w:r w:rsidRPr="00BD5345">
        <w:rPr>
          <w:rFonts w:ascii="Times New Roman" w:eastAsia="Times New Roman" w:hAnsi="Times New Roman" w:cs="Times New Roman"/>
          <w:iCs/>
          <w:sz w:val="28"/>
        </w:rPr>
        <w:t>(765</w:t>
      </w:r>
      <w:r w:rsidR="0064191D" w:rsidRPr="0064191D">
        <w:rPr>
          <w:rFonts w:ascii="Times New Roman" w:eastAsia="Times New Roman" w:hAnsi="Times New Roman" w:cs="Times New Roman"/>
          <w:sz w:val="28"/>
          <w:szCs w:val="28"/>
        </w:rPr>
        <w:t xml:space="preserve"> </w:t>
      </w:r>
      <w:r w:rsidR="0064191D">
        <w:rPr>
          <w:rFonts w:ascii="Times New Roman" w:eastAsia="Times New Roman" w:hAnsi="Times New Roman" w:cs="Times New Roman"/>
          <w:sz w:val="28"/>
          <w:szCs w:val="28"/>
        </w:rPr>
        <w:t>подростков</w:t>
      </w:r>
      <w:r w:rsidRPr="00BD5345">
        <w:rPr>
          <w:rFonts w:ascii="Times New Roman" w:eastAsia="Times New Roman" w:hAnsi="Times New Roman" w:cs="Times New Roman"/>
          <w:iCs/>
          <w:sz w:val="28"/>
        </w:rPr>
        <w:t>), Краснодарском крае (561</w:t>
      </w:r>
      <w:r w:rsidR="0064191D">
        <w:rPr>
          <w:rFonts w:ascii="Times New Roman" w:eastAsia="Times New Roman" w:hAnsi="Times New Roman" w:cs="Times New Roman"/>
          <w:iCs/>
          <w:sz w:val="28"/>
        </w:rPr>
        <w:t xml:space="preserve"> </w:t>
      </w:r>
      <w:r w:rsidR="0064191D">
        <w:rPr>
          <w:rFonts w:ascii="Times New Roman" w:eastAsia="Times New Roman" w:hAnsi="Times New Roman" w:cs="Times New Roman"/>
          <w:sz w:val="28"/>
          <w:szCs w:val="28"/>
        </w:rPr>
        <w:t>подросток</w:t>
      </w:r>
      <w:r w:rsidRPr="00BD5345">
        <w:rPr>
          <w:rFonts w:ascii="Times New Roman" w:eastAsia="Times New Roman" w:hAnsi="Times New Roman" w:cs="Times New Roman"/>
          <w:iCs/>
          <w:sz w:val="28"/>
        </w:rPr>
        <w:t xml:space="preserve">), </w:t>
      </w:r>
      <w:r w:rsidRPr="00BD5345">
        <w:rPr>
          <w:rFonts w:ascii="Times New Roman" w:eastAsia="Times New Roman" w:hAnsi="Times New Roman" w:cs="Times New Roman"/>
          <w:sz w:val="28"/>
          <w:szCs w:val="28"/>
        </w:rPr>
        <w:t xml:space="preserve">Вологодской </w:t>
      </w:r>
      <w:r w:rsidRPr="00BD5345">
        <w:rPr>
          <w:rFonts w:ascii="Times New Roman" w:eastAsia="Times New Roman" w:hAnsi="Times New Roman" w:cs="Times New Roman"/>
          <w:iCs/>
          <w:sz w:val="28"/>
        </w:rPr>
        <w:t>(369</w:t>
      </w:r>
      <w:r w:rsidR="0064191D">
        <w:rPr>
          <w:rFonts w:ascii="Times New Roman" w:eastAsia="Times New Roman" w:hAnsi="Times New Roman" w:cs="Times New Roman"/>
          <w:iCs/>
          <w:sz w:val="28"/>
        </w:rPr>
        <w:t xml:space="preserve"> </w:t>
      </w:r>
      <w:r w:rsidR="0064191D">
        <w:rPr>
          <w:rFonts w:ascii="Times New Roman" w:eastAsia="Times New Roman" w:hAnsi="Times New Roman" w:cs="Times New Roman"/>
          <w:sz w:val="28"/>
          <w:szCs w:val="28"/>
        </w:rPr>
        <w:t>подростков</w:t>
      </w:r>
      <w:r w:rsidRPr="00BD5345">
        <w:rPr>
          <w:rFonts w:ascii="Times New Roman" w:eastAsia="Times New Roman" w:hAnsi="Times New Roman" w:cs="Times New Roman"/>
          <w:iCs/>
          <w:sz w:val="28"/>
        </w:rPr>
        <w:t>),</w:t>
      </w:r>
      <w:r w:rsidRPr="00BD5345">
        <w:rPr>
          <w:rFonts w:ascii="Times New Roman" w:eastAsia="Times New Roman" w:hAnsi="Times New Roman" w:cs="Times New Roman"/>
          <w:sz w:val="28"/>
          <w:szCs w:val="28"/>
        </w:rPr>
        <w:t xml:space="preserve"> Московск</w:t>
      </w:r>
      <w:r w:rsidRPr="0064191D">
        <w:rPr>
          <w:rFonts w:ascii="Times New Roman" w:eastAsia="Times New Roman" w:hAnsi="Times New Roman" w:cs="Times New Roman"/>
          <w:sz w:val="28"/>
          <w:szCs w:val="28"/>
        </w:rPr>
        <w:t>о</w:t>
      </w:r>
      <w:r w:rsidRPr="00BD5345">
        <w:rPr>
          <w:rFonts w:ascii="Times New Roman" w:eastAsia="Times New Roman" w:hAnsi="Times New Roman" w:cs="Times New Roman"/>
          <w:sz w:val="28"/>
          <w:szCs w:val="28"/>
        </w:rPr>
        <w:t xml:space="preserve">й </w:t>
      </w:r>
      <w:r w:rsidRPr="00BD5345">
        <w:rPr>
          <w:rFonts w:ascii="Times New Roman" w:eastAsia="Times New Roman" w:hAnsi="Times New Roman" w:cs="Times New Roman"/>
          <w:iCs/>
          <w:sz w:val="28"/>
        </w:rPr>
        <w:t>(482</w:t>
      </w:r>
      <w:r w:rsidR="0064191D" w:rsidRPr="0064191D">
        <w:rPr>
          <w:rFonts w:ascii="Times New Roman" w:eastAsia="Times New Roman" w:hAnsi="Times New Roman" w:cs="Times New Roman"/>
          <w:sz w:val="28"/>
          <w:szCs w:val="28"/>
        </w:rPr>
        <w:t xml:space="preserve"> </w:t>
      </w:r>
      <w:r w:rsidR="0064191D">
        <w:rPr>
          <w:rFonts w:ascii="Times New Roman" w:eastAsia="Times New Roman" w:hAnsi="Times New Roman" w:cs="Times New Roman"/>
          <w:sz w:val="28"/>
          <w:szCs w:val="28"/>
        </w:rPr>
        <w:t>подростка</w:t>
      </w:r>
      <w:r w:rsidRPr="00BD5345">
        <w:rPr>
          <w:rFonts w:ascii="Times New Roman" w:eastAsia="Times New Roman" w:hAnsi="Times New Roman" w:cs="Times New Roman"/>
          <w:iCs/>
          <w:sz w:val="28"/>
        </w:rPr>
        <w:t>),</w:t>
      </w:r>
      <w:r w:rsidRPr="00BD5345">
        <w:rPr>
          <w:rFonts w:ascii="Times New Roman" w:eastAsia="Times New Roman" w:hAnsi="Times New Roman" w:cs="Times New Roman"/>
          <w:sz w:val="28"/>
          <w:szCs w:val="28"/>
        </w:rPr>
        <w:t xml:space="preserve"> Ростовской </w:t>
      </w:r>
      <w:r w:rsidRPr="00BD5345">
        <w:rPr>
          <w:rFonts w:ascii="Times New Roman" w:eastAsia="Times New Roman" w:hAnsi="Times New Roman" w:cs="Times New Roman"/>
          <w:iCs/>
          <w:sz w:val="28"/>
        </w:rPr>
        <w:t>(495</w:t>
      </w:r>
      <w:r w:rsidR="0064191D">
        <w:rPr>
          <w:rFonts w:ascii="Times New Roman" w:eastAsia="Times New Roman" w:hAnsi="Times New Roman" w:cs="Times New Roman"/>
          <w:iCs/>
          <w:sz w:val="28"/>
        </w:rPr>
        <w:t xml:space="preserve"> </w:t>
      </w:r>
      <w:r w:rsidR="0064191D">
        <w:rPr>
          <w:rFonts w:ascii="Times New Roman" w:eastAsia="Times New Roman" w:hAnsi="Times New Roman" w:cs="Times New Roman"/>
          <w:sz w:val="28"/>
          <w:szCs w:val="28"/>
        </w:rPr>
        <w:t>подростков</w:t>
      </w:r>
      <w:r w:rsidRPr="00BD5345">
        <w:rPr>
          <w:rFonts w:ascii="Times New Roman" w:eastAsia="Times New Roman" w:hAnsi="Times New Roman" w:cs="Times New Roman"/>
          <w:iCs/>
          <w:sz w:val="28"/>
        </w:rPr>
        <w:t xml:space="preserve">), </w:t>
      </w:r>
      <w:r w:rsidRPr="00BD5345">
        <w:rPr>
          <w:rFonts w:ascii="Times New Roman" w:eastAsia="Times New Roman" w:hAnsi="Times New Roman" w:cs="Times New Roman"/>
          <w:sz w:val="28"/>
          <w:szCs w:val="28"/>
        </w:rPr>
        <w:t>Саратовской (912</w:t>
      </w:r>
      <w:r w:rsidR="0064191D">
        <w:rPr>
          <w:rFonts w:ascii="Times New Roman" w:eastAsia="Times New Roman" w:hAnsi="Times New Roman" w:cs="Times New Roman"/>
          <w:sz w:val="28"/>
          <w:szCs w:val="28"/>
        </w:rPr>
        <w:t xml:space="preserve"> подростков</w:t>
      </w:r>
      <w:r w:rsidRPr="00BD5345">
        <w:rPr>
          <w:rFonts w:ascii="Times New Roman" w:eastAsia="Times New Roman" w:hAnsi="Times New Roman" w:cs="Times New Roman"/>
          <w:sz w:val="28"/>
          <w:szCs w:val="28"/>
        </w:rPr>
        <w:t>), Тюменской (598</w:t>
      </w:r>
      <w:r w:rsidR="0064191D">
        <w:rPr>
          <w:rFonts w:ascii="Times New Roman" w:eastAsia="Times New Roman" w:hAnsi="Times New Roman" w:cs="Times New Roman"/>
          <w:sz w:val="28"/>
          <w:szCs w:val="28"/>
        </w:rPr>
        <w:t xml:space="preserve"> подростков</w:t>
      </w:r>
      <w:r w:rsidRPr="00BD5345">
        <w:rPr>
          <w:rFonts w:ascii="Times New Roman" w:eastAsia="Times New Roman" w:hAnsi="Times New Roman" w:cs="Times New Roman"/>
          <w:sz w:val="28"/>
          <w:szCs w:val="28"/>
        </w:rPr>
        <w:t>) областях.</w:t>
      </w:r>
      <w:r w:rsidR="0064191D">
        <w:rPr>
          <w:rFonts w:ascii="Times New Roman" w:hAnsi="Times New Roman" w:cs="Times New Roman"/>
          <w:sz w:val="28"/>
          <w:szCs w:val="28"/>
        </w:rPr>
        <w:t xml:space="preserve"> </w:t>
      </w:r>
      <w:r w:rsidRPr="00BD5345">
        <w:rPr>
          <w:rFonts w:ascii="Times New Roman" w:eastAsia="Times New Roman" w:hAnsi="Times New Roman" w:cs="Times New Roman"/>
          <w:sz w:val="28"/>
          <w:szCs w:val="28"/>
          <w:lang w:eastAsia="ru-RU"/>
        </w:rPr>
        <w:t>Например, в образовательных организациях Московской области действует 696 отрядо</w:t>
      </w:r>
      <w:r w:rsidR="00403204">
        <w:rPr>
          <w:rFonts w:ascii="Times New Roman" w:eastAsia="Times New Roman" w:hAnsi="Times New Roman" w:cs="Times New Roman"/>
          <w:sz w:val="28"/>
          <w:szCs w:val="28"/>
          <w:lang w:eastAsia="ru-RU"/>
        </w:rPr>
        <w:t xml:space="preserve">в ЮДП общей численностью свыше </w:t>
      </w:r>
      <w:r w:rsidR="0027146D">
        <w:rPr>
          <w:rFonts w:ascii="Times New Roman" w:eastAsia="Times New Roman" w:hAnsi="Times New Roman" w:cs="Times New Roman"/>
          <w:sz w:val="28"/>
          <w:szCs w:val="28"/>
          <w:lang w:eastAsia="ru-RU"/>
        </w:rPr>
        <w:br/>
      </w:r>
      <w:r w:rsidRPr="00BD5345">
        <w:rPr>
          <w:rFonts w:ascii="Times New Roman" w:eastAsia="Times New Roman" w:hAnsi="Times New Roman" w:cs="Times New Roman"/>
          <w:sz w:val="28"/>
          <w:szCs w:val="28"/>
          <w:lang w:eastAsia="ru-RU"/>
        </w:rPr>
        <w:t xml:space="preserve">7 000 несовершеннолетних. </w:t>
      </w:r>
    </w:p>
    <w:p w14:paraId="650ED68D" w14:textId="77777777" w:rsidR="00BD5345" w:rsidRPr="00403204" w:rsidRDefault="00BD5345" w:rsidP="00403204">
      <w:pPr>
        <w:widowControl w:val="0"/>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 xml:space="preserve">На текущий период отряды </w:t>
      </w:r>
      <w:r w:rsidR="00403204">
        <w:rPr>
          <w:rFonts w:ascii="Times New Roman" w:eastAsia="Times New Roman" w:hAnsi="Times New Roman" w:cs="Times New Roman"/>
          <w:sz w:val="28"/>
          <w:szCs w:val="28"/>
        </w:rPr>
        <w:t>ЮДП</w:t>
      </w:r>
      <w:r w:rsidRPr="00BD5345">
        <w:rPr>
          <w:rFonts w:ascii="Times New Roman" w:eastAsia="Times New Roman" w:hAnsi="Times New Roman" w:cs="Times New Roman"/>
          <w:sz w:val="28"/>
          <w:szCs w:val="28"/>
        </w:rPr>
        <w:t xml:space="preserve"> сформированы во всех субъектах Российской Федерации.</w:t>
      </w:r>
      <w:r w:rsidR="0037242B" w:rsidRPr="00BD5345">
        <w:rPr>
          <w:rFonts w:ascii="Times New Roman" w:eastAsia="Times New Roman" w:hAnsi="Times New Roman" w:cs="Times New Roman"/>
          <w:sz w:val="28"/>
          <w:szCs w:val="28"/>
        </w:rPr>
        <w:t> </w:t>
      </w:r>
      <w:r w:rsidRPr="00BD5345">
        <w:rPr>
          <w:rFonts w:ascii="Times New Roman" w:hAnsi="Times New Roman" w:cs="Times New Roman"/>
          <w:sz w:val="28"/>
          <w:szCs w:val="28"/>
        </w:rPr>
        <w:t>Они активно участвуют в охране общественного порядка на объектах образования и при проведении массовых мероприятий.</w:t>
      </w:r>
    </w:p>
    <w:p w14:paraId="0549D65D" w14:textId="7DDCB181" w:rsidR="00BD5345" w:rsidRPr="00BD5345" w:rsidRDefault="00BD5345" w:rsidP="00403204">
      <w:pPr>
        <w:widowControl w:val="0"/>
        <w:spacing w:after="0" w:line="312" w:lineRule="auto"/>
        <w:ind w:firstLine="740"/>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В Брянской области функционируют 32 отряда правоохранительной направленности «Юный страж пор</w:t>
      </w:r>
      <w:r w:rsidR="0064191D">
        <w:rPr>
          <w:rFonts w:ascii="Times New Roman" w:eastAsia="Times New Roman" w:hAnsi="Times New Roman" w:cs="Times New Roman"/>
          <w:sz w:val="28"/>
          <w:szCs w:val="28"/>
        </w:rPr>
        <w:t xml:space="preserve">ядка», в состав которых входит </w:t>
      </w:r>
      <w:r w:rsidRPr="00BD5345">
        <w:rPr>
          <w:rFonts w:ascii="Times New Roman" w:eastAsia="Times New Roman" w:hAnsi="Times New Roman" w:cs="Times New Roman"/>
          <w:sz w:val="28"/>
          <w:szCs w:val="28"/>
        </w:rPr>
        <w:t>300 участников.</w:t>
      </w:r>
      <w:r w:rsidR="00CD067F">
        <w:rPr>
          <w:rFonts w:ascii="Times New Roman" w:eastAsia="Times New Roman" w:hAnsi="Times New Roman" w:cs="Times New Roman"/>
          <w:sz w:val="28"/>
          <w:szCs w:val="28"/>
        </w:rPr>
        <w:br/>
      </w:r>
      <w:r w:rsidRPr="00BD5345">
        <w:rPr>
          <w:rFonts w:ascii="Times New Roman" w:eastAsia="Times New Roman" w:hAnsi="Times New Roman" w:cs="Times New Roman"/>
          <w:sz w:val="28"/>
          <w:szCs w:val="28"/>
        </w:rPr>
        <w:t>В «копилке добрых дел» общественного объединения – оказание волонтерской помощи пожилым гражданам, в том числе посещение по месту жительства, доставка продуктов и товаров первой необходимости.</w:t>
      </w:r>
    </w:p>
    <w:p w14:paraId="7CB159EA" w14:textId="77777777" w:rsidR="00BD5345" w:rsidRPr="00BD5345" w:rsidRDefault="00BD5345" w:rsidP="00A21663">
      <w:pPr>
        <w:tabs>
          <w:tab w:val="left" w:pos="0"/>
        </w:tabs>
        <w:spacing w:after="0" w:line="312" w:lineRule="auto"/>
        <w:ind w:right="-1" w:firstLine="709"/>
        <w:jc w:val="both"/>
        <w:rPr>
          <w:rFonts w:ascii="Times New Roman" w:hAnsi="Times New Roman" w:cs="Times New Roman"/>
          <w:sz w:val="28"/>
          <w:szCs w:val="28"/>
          <w:lang w:bidi="ru-RU"/>
        </w:rPr>
      </w:pPr>
      <w:r w:rsidRPr="00BD5345">
        <w:rPr>
          <w:rFonts w:ascii="Times New Roman" w:hAnsi="Times New Roman" w:cs="Times New Roman"/>
          <w:sz w:val="28"/>
          <w:szCs w:val="28"/>
          <w:lang w:bidi="ru-RU"/>
        </w:rPr>
        <w:t xml:space="preserve">В </w:t>
      </w:r>
      <w:r w:rsidRPr="00BD5345">
        <w:rPr>
          <w:rFonts w:ascii="Times New Roman" w:hAnsi="Times New Roman" w:cs="Times New Roman"/>
          <w:sz w:val="28"/>
          <w:szCs w:val="28"/>
        </w:rPr>
        <w:t>целях вовлечения несовершеннолетних, склонных к противоправному поведению, в социально полезную деятельность в</w:t>
      </w:r>
      <w:r w:rsidR="00C80F7C">
        <w:rPr>
          <w:rFonts w:ascii="Times New Roman" w:eastAsia="Times New Roman" w:hAnsi="Times New Roman" w:cs="Times New Roman"/>
          <w:iCs/>
          <w:sz w:val="28"/>
          <w:szCs w:val="28"/>
        </w:rPr>
        <w:t> </w:t>
      </w:r>
      <w:r w:rsidRPr="00BD5345">
        <w:rPr>
          <w:rFonts w:ascii="Times New Roman" w:hAnsi="Times New Roman" w:cs="Times New Roman"/>
          <w:sz w:val="28"/>
          <w:szCs w:val="28"/>
          <w:lang w:bidi="ru-RU"/>
        </w:rPr>
        <w:t xml:space="preserve">Астраханской области на базе </w:t>
      </w:r>
      <w:r w:rsidR="0064191D">
        <w:rPr>
          <w:rFonts w:ascii="Times New Roman" w:hAnsi="Times New Roman" w:cs="Times New Roman"/>
          <w:sz w:val="28"/>
          <w:szCs w:val="28"/>
          <w:lang w:bidi="ru-RU"/>
        </w:rPr>
        <w:br/>
      </w:r>
      <w:r w:rsidRPr="00BD5345">
        <w:rPr>
          <w:rFonts w:ascii="Times New Roman" w:hAnsi="Times New Roman" w:cs="Times New Roman"/>
          <w:sz w:val="28"/>
          <w:szCs w:val="28"/>
          <w:lang w:bidi="ru-RU"/>
        </w:rPr>
        <w:t>36 учреждений для детей-сирот и детей, оставшихся без попечения родителей, служб сопровождения семей с детьми и центров социального обслуживания населения созданы военно-патриоти</w:t>
      </w:r>
      <w:r w:rsidR="00FE28AC">
        <w:rPr>
          <w:rFonts w:ascii="Times New Roman" w:hAnsi="Times New Roman" w:cs="Times New Roman"/>
          <w:sz w:val="28"/>
          <w:szCs w:val="28"/>
          <w:lang w:bidi="ru-RU"/>
        </w:rPr>
        <w:t xml:space="preserve">ческие отряды «Юные </w:t>
      </w:r>
      <w:proofErr w:type="spellStart"/>
      <w:r w:rsidR="00FE28AC">
        <w:rPr>
          <w:rFonts w:ascii="Times New Roman" w:hAnsi="Times New Roman" w:cs="Times New Roman"/>
          <w:sz w:val="28"/>
          <w:szCs w:val="28"/>
          <w:lang w:bidi="ru-RU"/>
        </w:rPr>
        <w:t>астраханцы</w:t>
      </w:r>
      <w:proofErr w:type="spellEnd"/>
      <w:r w:rsidR="00FE28AC">
        <w:rPr>
          <w:rFonts w:ascii="Times New Roman" w:hAnsi="Times New Roman" w:cs="Times New Roman"/>
          <w:sz w:val="28"/>
          <w:szCs w:val="28"/>
          <w:lang w:bidi="ru-RU"/>
        </w:rPr>
        <w:t xml:space="preserve">», объединяющие </w:t>
      </w:r>
      <w:r w:rsidRPr="00BD5345">
        <w:rPr>
          <w:rFonts w:ascii="Times New Roman" w:hAnsi="Times New Roman" w:cs="Times New Roman"/>
          <w:sz w:val="28"/>
          <w:szCs w:val="28"/>
          <w:lang w:bidi="ru-RU"/>
        </w:rPr>
        <w:t>подростков в возрасте от 10 до 18 лет.</w:t>
      </w:r>
    </w:p>
    <w:p w14:paraId="3AD365B0" w14:textId="15B492E5" w:rsidR="00BD5345" w:rsidRPr="00BD5345" w:rsidRDefault="00BD5345" w:rsidP="00A21663">
      <w:pPr>
        <w:tabs>
          <w:tab w:val="left" w:pos="0"/>
        </w:tabs>
        <w:spacing w:after="0" w:line="312" w:lineRule="auto"/>
        <w:ind w:right="-1" w:firstLine="709"/>
        <w:jc w:val="both"/>
        <w:rPr>
          <w:rFonts w:ascii="Times New Roman" w:hAnsi="Times New Roman" w:cs="Times New Roman"/>
          <w:sz w:val="28"/>
          <w:szCs w:val="28"/>
          <w:lang w:bidi="ru-RU"/>
        </w:rPr>
      </w:pPr>
      <w:r w:rsidRPr="00BD5345">
        <w:rPr>
          <w:rFonts w:ascii="Times New Roman" w:hAnsi="Times New Roman" w:cs="Times New Roman"/>
          <w:sz w:val="28"/>
          <w:szCs w:val="28"/>
          <w:lang w:bidi="ru-RU"/>
        </w:rPr>
        <w:t xml:space="preserve">Основными направлениями и формами работы отрядов являются занятие техническими и военно-прикладными видами спорта; проведение военно-спортивных соревнований, игр, походов, экскурсий, участие в поисковых экспедициях, установление имен погибших, сбор воспоминаний очевидцев памятных событий военной истории Отечества; оказание помощи ветеранам военной службы и правоохранительных органов, семьям погибших при исполнении обязанностей военной службы, гражданам пожилого возраста и </w:t>
      </w:r>
      <w:r w:rsidR="003B77D7">
        <w:rPr>
          <w:rFonts w:ascii="Times New Roman" w:hAnsi="Times New Roman" w:cs="Times New Roman"/>
          <w:sz w:val="28"/>
          <w:szCs w:val="28"/>
          <w:lang w:bidi="ru-RU"/>
        </w:rPr>
        <w:t xml:space="preserve">граждан </w:t>
      </w:r>
      <w:r w:rsidR="003B77D7">
        <w:rPr>
          <w:rFonts w:ascii="Times New Roman" w:eastAsia="Times New Roman" w:hAnsi="Times New Roman" w:cs="Times New Roman"/>
          <w:sz w:val="28"/>
          <w:szCs w:val="28"/>
          <w:lang w:eastAsia="ru-RU"/>
        </w:rPr>
        <w:t>с инвалидностью</w:t>
      </w:r>
      <w:r w:rsidRPr="00BD5345">
        <w:rPr>
          <w:rFonts w:ascii="Times New Roman" w:hAnsi="Times New Roman" w:cs="Times New Roman"/>
          <w:sz w:val="28"/>
          <w:szCs w:val="28"/>
          <w:lang w:bidi="ru-RU"/>
        </w:rPr>
        <w:t>; оказание содействия органам внутренних дел по проведению информационно-разъяснительной работы среди подрастающего поколения по правовому воспитанию; оказание помощи несовершеннолетним, имеющим различные формы девиантного и делинквентного поведения, в том числе, состоящим на учете в органах внутренних дел, имеющим низкую успеваемость в общеобразовательных учреждениях.</w:t>
      </w:r>
    </w:p>
    <w:p w14:paraId="5AF0D831" w14:textId="77777777" w:rsidR="00BD5345" w:rsidRPr="00BD5345" w:rsidRDefault="00BD5345" w:rsidP="00470282">
      <w:pPr>
        <w:tabs>
          <w:tab w:val="left" w:pos="0"/>
        </w:tabs>
        <w:spacing w:after="0" w:line="312" w:lineRule="auto"/>
        <w:ind w:right="-1" w:firstLine="709"/>
        <w:jc w:val="both"/>
        <w:rPr>
          <w:rFonts w:ascii="Times New Roman" w:hAnsi="Times New Roman" w:cs="Times New Roman"/>
          <w:sz w:val="28"/>
          <w:szCs w:val="28"/>
          <w:lang w:bidi="ru-RU"/>
        </w:rPr>
      </w:pPr>
      <w:r w:rsidRPr="00BD5345">
        <w:rPr>
          <w:rFonts w:ascii="Times New Roman" w:hAnsi="Times New Roman" w:cs="Times New Roman"/>
          <w:sz w:val="28"/>
          <w:szCs w:val="28"/>
          <w:lang w:bidi="ru-RU"/>
        </w:rPr>
        <w:t>В Иркутской области в 27 подведомственных региональному министерству социального развития учреждениях с 2018 г</w:t>
      </w:r>
      <w:r w:rsidR="00CD067F">
        <w:rPr>
          <w:rFonts w:ascii="Times New Roman" w:hAnsi="Times New Roman" w:cs="Times New Roman"/>
          <w:sz w:val="28"/>
          <w:szCs w:val="28"/>
          <w:lang w:bidi="ru-RU"/>
        </w:rPr>
        <w:t>.</w:t>
      </w:r>
      <w:r w:rsidRPr="00BD5345">
        <w:rPr>
          <w:rFonts w:ascii="Times New Roman" w:hAnsi="Times New Roman" w:cs="Times New Roman"/>
          <w:sz w:val="28"/>
          <w:szCs w:val="28"/>
          <w:lang w:bidi="ru-RU"/>
        </w:rPr>
        <w:t xml:space="preserve"> действуют «Отряды министра», в состав которых входят</w:t>
      </w:r>
      <w:r w:rsidR="00FE28AC">
        <w:rPr>
          <w:rFonts w:ascii="Times New Roman" w:hAnsi="Times New Roman" w:cs="Times New Roman"/>
          <w:sz w:val="28"/>
          <w:szCs w:val="28"/>
          <w:lang w:bidi="ru-RU"/>
        </w:rPr>
        <w:t>,</w:t>
      </w:r>
      <w:r w:rsidRPr="00BD5345">
        <w:rPr>
          <w:rFonts w:ascii="Times New Roman" w:hAnsi="Times New Roman" w:cs="Times New Roman"/>
          <w:sz w:val="28"/>
          <w:szCs w:val="28"/>
          <w:lang w:bidi="ru-RU"/>
        </w:rPr>
        <w:t xml:space="preserve"> в том числе состоящие на профилактических учетах воспитанники. Деятельность данных организаций состоит в проведении социально значимых мероприятий по вовлечению несовершеннолетних в волонтерскую, патриотическую и экологическую работу. В течение 2021 г</w:t>
      </w:r>
      <w:r w:rsidR="00CD067F">
        <w:rPr>
          <w:rFonts w:ascii="Times New Roman" w:hAnsi="Times New Roman" w:cs="Times New Roman"/>
          <w:sz w:val="28"/>
          <w:szCs w:val="28"/>
          <w:lang w:bidi="ru-RU"/>
        </w:rPr>
        <w:t>.</w:t>
      </w:r>
      <w:r w:rsidRPr="00BD5345">
        <w:rPr>
          <w:rFonts w:ascii="Times New Roman" w:hAnsi="Times New Roman" w:cs="Times New Roman"/>
          <w:sz w:val="28"/>
          <w:szCs w:val="28"/>
          <w:lang w:bidi="ru-RU"/>
        </w:rPr>
        <w:t xml:space="preserve"> отрядами проведено 1 808 меропр</w:t>
      </w:r>
      <w:r w:rsidR="00470282">
        <w:rPr>
          <w:rFonts w:ascii="Times New Roman" w:hAnsi="Times New Roman" w:cs="Times New Roman"/>
          <w:sz w:val="28"/>
          <w:szCs w:val="28"/>
          <w:lang w:bidi="ru-RU"/>
        </w:rPr>
        <w:t xml:space="preserve">иятий различной направленности. </w:t>
      </w:r>
      <w:r w:rsidRPr="00BD5345">
        <w:rPr>
          <w:rFonts w:ascii="Times New Roman" w:hAnsi="Times New Roman" w:cs="Times New Roman"/>
          <w:sz w:val="28"/>
          <w:szCs w:val="28"/>
          <w:lang w:bidi="ru-RU"/>
        </w:rPr>
        <w:t>В конце года состоялся II слет «О</w:t>
      </w:r>
      <w:r w:rsidR="0037242B">
        <w:rPr>
          <w:rFonts w:ascii="Times New Roman" w:hAnsi="Times New Roman" w:cs="Times New Roman"/>
          <w:sz w:val="28"/>
          <w:szCs w:val="28"/>
          <w:lang w:bidi="ru-RU"/>
        </w:rPr>
        <w:t xml:space="preserve">трядов министра», приуроченный </w:t>
      </w:r>
      <w:r w:rsidRPr="00BD5345">
        <w:rPr>
          <w:rFonts w:ascii="Times New Roman" w:hAnsi="Times New Roman" w:cs="Times New Roman"/>
          <w:sz w:val="28"/>
          <w:szCs w:val="28"/>
          <w:lang w:bidi="ru-RU"/>
        </w:rPr>
        <w:t>к тридцатилетию социальной защиты</w:t>
      </w:r>
      <w:r w:rsidR="0037242B">
        <w:rPr>
          <w:rFonts w:ascii="Times New Roman" w:hAnsi="Times New Roman" w:cs="Times New Roman"/>
          <w:sz w:val="28"/>
          <w:szCs w:val="28"/>
          <w:lang w:bidi="ru-RU"/>
        </w:rPr>
        <w:t xml:space="preserve"> Иркутской области, с участием </w:t>
      </w:r>
      <w:r w:rsidRPr="00BD5345">
        <w:rPr>
          <w:rFonts w:ascii="Times New Roman" w:hAnsi="Times New Roman" w:cs="Times New Roman"/>
          <w:sz w:val="28"/>
          <w:szCs w:val="28"/>
          <w:lang w:bidi="ru-RU"/>
        </w:rPr>
        <w:t>30 учреждений, воспитанники которых продемонстрировали достигнутые результаты,</w:t>
      </w:r>
      <w:r w:rsidR="00CE07BA">
        <w:rPr>
          <w:rFonts w:ascii="Times New Roman" w:hAnsi="Times New Roman" w:cs="Times New Roman"/>
          <w:sz w:val="28"/>
          <w:szCs w:val="28"/>
          <w:lang w:bidi="ru-RU"/>
        </w:rPr>
        <w:t xml:space="preserve"> обменялись накопленным опытом.</w:t>
      </w:r>
    </w:p>
    <w:p w14:paraId="64A2C609" w14:textId="77777777" w:rsidR="00BD5345" w:rsidRPr="00BD5345" w:rsidRDefault="00BD5345" w:rsidP="00A21663">
      <w:pPr>
        <w:spacing w:after="0" w:line="312" w:lineRule="auto"/>
        <w:ind w:firstLine="709"/>
        <w:jc w:val="both"/>
        <w:rPr>
          <w:rFonts w:ascii="Times New Roman" w:hAnsi="Times New Roman" w:cs="Times New Roman"/>
          <w:sz w:val="28"/>
          <w:szCs w:val="28"/>
        </w:rPr>
      </w:pPr>
      <w:r w:rsidRPr="00BD5345">
        <w:rPr>
          <w:rFonts w:ascii="Times New Roman" w:hAnsi="Times New Roman" w:cs="Times New Roman"/>
          <w:sz w:val="28"/>
          <w:szCs w:val="28"/>
        </w:rPr>
        <w:t>В целях</w:t>
      </w:r>
      <w:r w:rsidR="0037242B" w:rsidRPr="00BD5345">
        <w:rPr>
          <w:rFonts w:ascii="Times New Roman" w:eastAsia="Times New Roman" w:hAnsi="Times New Roman" w:cs="Times New Roman"/>
          <w:sz w:val="28"/>
          <w:szCs w:val="28"/>
        </w:rPr>
        <w:t> </w:t>
      </w:r>
      <w:r w:rsidRPr="00BD5345">
        <w:rPr>
          <w:rFonts w:ascii="Times New Roman" w:hAnsi="Times New Roman" w:cs="Times New Roman"/>
          <w:sz w:val="28"/>
          <w:szCs w:val="28"/>
        </w:rPr>
        <w:t xml:space="preserve">развития волонтерской деятельности, переориентации подростков, склонных к </w:t>
      </w:r>
      <w:proofErr w:type="spellStart"/>
      <w:r w:rsidRPr="00BD5345">
        <w:rPr>
          <w:rFonts w:ascii="Times New Roman" w:hAnsi="Times New Roman" w:cs="Times New Roman"/>
          <w:sz w:val="28"/>
          <w:szCs w:val="28"/>
        </w:rPr>
        <w:t>девиантному</w:t>
      </w:r>
      <w:proofErr w:type="spellEnd"/>
      <w:r w:rsidRPr="00BD5345">
        <w:rPr>
          <w:rFonts w:ascii="Times New Roman" w:hAnsi="Times New Roman" w:cs="Times New Roman"/>
          <w:sz w:val="28"/>
          <w:szCs w:val="28"/>
        </w:rPr>
        <w:t xml:space="preserve"> поведению, стабилизации криминогенной ситуации в среде несовершеннолетних в регионах созданы ресурсные координационные центры добровольческих инициатив.</w:t>
      </w:r>
    </w:p>
    <w:p w14:paraId="5394393C" w14:textId="77777777" w:rsidR="00BD5345" w:rsidRPr="00BD5345" w:rsidRDefault="00BD5345" w:rsidP="00470282">
      <w:pPr>
        <w:spacing w:after="0" w:line="312" w:lineRule="auto"/>
        <w:ind w:firstLine="709"/>
        <w:jc w:val="both"/>
        <w:rPr>
          <w:rFonts w:ascii="Times New Roman" w:hAnsi="Times New Roman" w:cs="Times New Roman"/>
          <w:bCs/>
          <w:sz w:val="28"/>
          <w:szCs w:val="28"/>
          <w:lang w:bidi="ru-RU"/>
        </w:rPr>
      </w:pPr>
      <w:r w:rsidRPr="00BD5345">
        <w:rPr>
          <w:rFonts w:ascii="Times New Roman" w:hAnsi="Times New Roman" w:cs="Times New Roman"/>
          <w:bCs/>
          <w:sz w:val="28"/>
          <w:szCs w:val="28"/>
          <w:lang w:bidi="ru-RU"/>
        </w:rPr>
        <w:t>В КГБУ «Камчатский детский дом для детей-сирот и детей, оставшихся без попечения родителей, с ограниченными возможностями здоровья» сформирован волонтерский отряд «Искра», который сотрудничает с АНО «Ресурсный центр доб</w:t>
      </w:r>
      <w:r w:rsidR="00470282">
        <w:rPr>
          <w:rFonts w:ascii="Times New Roman" w:hAnsi="Times New Roman" w:cs="Times New Roman"/>
          <w:bCs/>
          <w:sz w:val="28"/>
          <w:szCs w:val="28"/>
          <w:lang w:bidi="ru-RU"/>
        </w:rPr>
        <w:t xml:space="preserve">ровольчества Камчатского края». </w:t>
      </w:r>
      <w:r w:rsidRPr="00BD5345">
        <w:rPr>
          <w:rFonts w:ascii="Times New Roman" w:hAnsi="Times New Roman" w:cs="Times New Roman"/>
          <w:bCs/>
          <w:sz w:val="28"/>
          <w:szCs w:val="28"/>
          <w:lang w:bidi="ru-RU"/>
        </w:rPr>
        <w:t xml:space="preserve">На базе отделения психолого-педагогической помощи семье и детям КГАУ СЗ «Комплексный центр социального обслуживания населения </w:t>
      </w:r>
      <w:proofErr w:type="spellStart"/>
      <w:r w:rsidRPr="00BD5345">
        <w:rPr>
          <w:rFonts w:ascii="Times New Roman" w:hAnsi="Times New Roman" w:cs="Times New Roman"/>
          <w:bCs/>
          <w:sz w:val="28"/>
          <w:szCs w:val="28"/>
          <w:lang w:bidi="ru-RU"/>
        </w:rPr>
        <w:t>Елизовского</w:t>
      </w:r>
      <w:proofErr w:type="spellEnd"/>
      <w:r w:rsidRPr="00BD5345">
        <w:rPr>
          <w:rFonts w:ascii="Times New Roman" w:hAnsi="Times New Roman" w:cs="Times New Roman"/>
          <w:bCs/>
          <w:sz w:val="28"/>
          <w:szCs w:val="28"/>
          <w:lang w:bidi="ru-RU"/>
        </w:rPr>
        <w:t xml:space="preserve"> района» края функционирует волонт</w:t>
      </w:r>
      <w:r w:rsidR="00CE07BA">
        <w:rPr>
          <w:rFonts w:ascii="Times New Roman" w:hAnsi="Times New Roman" w:cs="Times New Roman"/>
          <w:bCs/>
          <w:sz w:val="28"/>
          <w:szCs w:val="28"/>
          <w:lang w:bidi="ru-RU"/>
        </w:rPr>
        <w:t>ерский клуб «Даешь, молодежь!».</w:t>
      </w:r>
      <w:r w:rsidR="00470282">
        <w:rPr>
          <w:rFonts w:ascii="Times New Roman" w:hAnsi="Times New Roman" w:cs="Times New Roman"/>
          <w:bCs/>
          <w:sz w:val="28"/>
          <w:szCs w:val="28"/>
          <w:lang w:bidi="ru-RU"/>
        </w:rPr>
        <w:t xml:space="preserve"> </w:t>
      </w:r>
      <w:r w:rsidRPr="00BD5345">
        <w:rPr>
          <w:rFonts w:ascii="Times New Roman" w:hAnsi="Times New Roman" w:cs="Times New Roman"/>
          <w:bCs/>
          <w:sz w:val="28"/>
          <w:szCs w:val="28"/>
          <w:lang w:bidi="ru-RU"/>
        </w:rPr>
        <w:t xml:space="preserve">16 подростков </w:t>
      </w:r>
      <w:proofErr w:type="spellStart"/>
      <w:r w:rsidRPr="00BD5345">
        <w:rPr>
          <w:rFonts w:ascii="Times New Roman" w:hAnsi="Times New Roman" w:cs="Times New Roman"/>
          <w:bCs/>
          <w:sz w:val="28"/>
          <w:szCs w:val="28"/>
          <w:lang w:bidi="ru-RU"/>
        </w:rPr>
        <w:t>Мильковского</w:t>
      </w:r>
      <w:proofErr w:type="spellEnd"/>
      <w:r w:rsidRPr="00BD5345">
        <w:rPr>
          <w:rFonts w:ascii="Times New Roman" w:hAnsi="Times New Roman" w:cs="Times New Roman"/>
          <w:bCs/>
          <w:sz w:val="28"/>
          <w:szCs w:val="28"/>
          <w:lang w:bidi="ru-RU"/>
        </w:rPr>
        <w:t xml:space="preserve"> муниципального района, состоящих на учете в органах внутренних дел, вовлечены в работу волонтерского движения «Наш выбор» КГАУ СЗ «Камчатский социально-реабилитационный центр для несовершеннолетних».</w:t>
      </w:r>
      <w:r w:rsidR="00470282">
        <w:rPr>
          <w:rFonts w:ascii="Times New Roman" w:hAnsi="Times New Roman" w:cs="Times New Roman"/>
          <w:bCs/>
          <w:sz w:val="28"/>
          <w:szCs w:val="28"/>
          <w:lang w:bidi="ru-RU"/>
        </w:rPr>
        <w:t xml:space="preserve"> </w:t>
      </w:r>
      <w:r w:rsidRPr="00BD5345">
        <w:rPr>
          <w:rFonts w:ascii="Times New Roman" w:hAnsi="Times New Roman" w:cs="Times New Roman"/>
          <w:bCs/>
          <w:sz w:val="28"/>
          <w:szCs w:val="28"/>
          <w:lang w:bidi="ru-RU"/>
        </w:rPr>
        <w:t>Подростки, привлекаемые к волонте</w:t>
      </w:r>
      <w:r w:rsidR="00470282">
        <w:rPr>
          <w:rFonts w:ascii="Times New Roman" w:hAnsi="Times New Roman" w:cs="Times New Roman"/>
          <w:bCs/>
          <w:sz w:val="28"/>
          <w:szCs w:val="28"/>
          <w:lang w:bidi="ru-RU"/>
        </w:rPr>
        <w:t xml:space="preserve">рской деятельности, участвовали </w:t>
      </w:r>
      <w:r w:rsidRPr="00BD5345">
        <w:rPr>
          <w:rFonts w:ascii="Times New Roman" w:hAnsi="Times New Roman" w:cs="Times New Roman"/>
          <w:bCs/>
          <w:sz w:val="28"/>
          <w:szCs w:val="28"/>
          <w:lang w:bidi="ru-RU"/>
        </w:rPr>
        <w:t>в проведении социально значимых акций «Планета добра», «Узнай о телефоне доверия», «Наши аргументы против», «Мы – за здоровый образ жизни!», «Георгиевская ленточка», «Свеча памяти», Всероссийской акции «Безопасность детства –</w:t>
      </w:r>
      <w:r w:rsidR="002070ED">
        <w:rPr>
          <w:rFonts w:ascii="Times New Roman" w:eastAsia="Times New Roman" w:hAnsi="Times New Roman" w:cs="Times New Roman"/>
          <w:iCs/>
          <w:sz w:val="28"/>
          <w:szCs w:val="28"/>
        </w:rPr>
        <w:t> </w:t>
      </w:r>
      <w:r w:rsidRPr="00BD5345">
        <w:rPr>
          <w:rFonts w:ascii="Times New Roman" w:hAnsi="Times New Roman" w:cs="Times New Roman"/>
          <w:bCs/>
          <w:sz w:val="28"/>
          <w:szCs w:val="28"/>
          <w:lang w:bidi="ru-RU"/>
        </w:rPr>
        <w:t>2021».</w:t>
      </w:r>
    </w:p>
    <w:p w14:paraId="78649733" w14:textId="77777777" w:rsidR="00BD5345" w:rsidRPr="00BD5345" w:rsidRDefault="00BD5345" w:rsidP="00A21663">
      <w:pPr>
        <w:widowControl w:val="0"/>
        <w:spacing w:after="0" w:line="312" w:lineRule="auto"/>
        <w:ind w:firstLine="740"/>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В Курской области в ОКУ «</w:t>
      </w:r>
      <w:proofErr w:type="spellStart"/>
      <w:r w:rsidRPr="00BD5345">
        <w:rPr>
          <w:rFonts w:ascii="Times New Roman" w:eastAsia="Times New Roman" w:hAnsi="Times New Roman" w:cs="Times New Roman"/>
          <w:sz w:val="28"/>
          <w:szCs w:val="28"/>
        </w:rPr>
        <w:t>Солнцевский</w:t>
      </w:r>
      <w:proofErr w:type="spellEnd"/>
      <w:r w:rsidRPr="00BD5345">
        <w:rPr>
          <w:rFonts w:ascii="Times New Roman" w:eastAsia="Times New Roman" w:hAnsi="Times New Roman" w:cs="Times New Roman"/>
          <w:sz w:val="28"/>
          <w:szCs w:val="28"/>
        </w:rPr>
        <w:t xml:space="preserve"> центр социальной помощи» создано подростковое волонтерское движение «Больше чем друг», объединяющее в своих рядах социально активных школьников, желающих помочь своим сверстникам, оказавшимся в т</w:t>
      </w:r>
      <w:r w:rsidR="00381797">
        <w:rPr>
          <w:rFonts w:ascii="Times New Roman" w:eastAsia="Times New Roman" w:hAnsi="Times New Roman" w:cs="Times New Roman"/>
          <w:sz w:val="28"/>
          <w:szCs w:val="28"/>
        </w:rPr>
        <w:t xml:space="preserve">рудной жизненной ситуации. </w:t>
      </w:r>
      <w:r w:rsidRPr="00BD5345">
        <w:rPr>
          <w:rFonts w:ascii="Times New Roman" w:eastAsia="Times New Roman" w:hAnsi="Times New Roman" w:cs="Times New Roman"/>
          <w:sz w:val="28"/>
          <w:szCs w:val="28"/>
        </w:rPr>
        <w:t>В настоящее время в движение привлечено более 100 несовершеннолетних.</w:t>
      </w:r>
    </w:p>
    <w:p w14:paraId="460968A7" w14:textId="77777777" w:rsidR="00BD5345" w:rsidRPr="00BD5345" w:rsidRDefault="00BD5345" w:rsidP="00A21663">
      <w:pPr>
        <w:spacing w:after="0" w:line="312" w:lineRule="auto"/>
        <w:ind w:firstLine="743"/>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В ОКУ «Льговский центр социальной помощи» сформировано детское волонтерское движение «Дорогою добра</w:t>
      </w:r>
      <w:r w:rsidR="00470282">
        <w:rPr>
          <w:rFonts w:ascii="Times New Roman" w:eastAsia="Times New Roman" w:hAnsi="Times New Roman" w:cs="Times New Roman"/>
          <w:sz w:val="28"/>
          <w:szCs w:val="28"/>
        </w:rPr>
        <w:t xml:space="preserve">», способствующее формированию </w:t>
      </w:r>
      <w:r w:rsidRPr="00BD5345">
        <w:rPr>
          <w:rFonts w:ascii="Times New Roman" w:eastAsia="Times New Roman" w:hAnsi="Times New Roman" w:cs="Times New Roman"/>
          <w:sz w:val="28"/>
          <w:szCs w:val="28"/>
        </w:rPr>
        <w:t>у детей культуры социальной помощи к</w:t>
      </w:r>
      <w:r w:rsidR="00470282">
        <w:rPr>
          <w:rFonts w:ascii="Times New Roman" w:eastAsia="Times New Roman" w:hAnsi="Times New Roman" w:cs="Times New Roman"/>
          <w:sz w:val="28"/>
          <w:szCs w:val="28"/>
        </w:rPr>
        <w:t xml:space="preserve">ак важнейшего фактора развития </w:t>
      </w:r>
      <w:r w:rsidRPr="00BD5345">
        <w:rPr>
          <w:rFonts w:ascii="Times New Roman" w:eastAsia="Times New Roman" w:hAnsi="Times New Roman" w:cs="Times New Roman"/>
          <w:sz w:val="28"/>
          <w:szCs w:val="28"/>
        </w:rPr>
        <w:t>в современном обществе, насчитывающее в своем составе 200 подростков. Добровольцы проводят акции, направле</w:t>
      </w:r>
      <w:r w:rsidR="00470282">
        <w:rPr>
          <w:rFonts w:ascii="Times New Roman" w:eastAsia="Times New Roman" w:hAnsi="Times New Roman" w:cs="Times New Roman"/>
          <w:sz w:val="28"/>
          <w:szCs w:val="28"/>
        </w:rPr>
        <w:t xml:space="preserve">нные на пропаганду патриотизма </w:t>
      </w:r>
      <w:r w:rsidRPr="00BD5345">
        <w:rPr>
          <w:rFonts w:ascii="Times New Roman" w:eastAsia="Times New Roman" w:hAnsi="Times New Roman" w:cs="Times New Roman"/>
          <w:sz w:val="28"/>
          <w:szCs w:val="28"/>
        </w:rPr>
        <w:t>и любви к родному краю, здорового образа жизни, организуют помощь пожилым людям, сверстникам в подготовке к школьным занятиям.</w:t>
      </w:r>
    </w:p>
    <w:p w14:paraId="7200A283" w14:textId="77777777" w:rsidR="00BD5345" w:rsidRPr="00BD5345" w:rsidRDefault="00BD5345" w:rsidP="00A21663">
      <w:pPr>
        <w:widowControl w:val="0"/>
        <w:spacing w:after="0" w:line="312" w:lineRule="auto"/>
        <w:ind w:firstLine="740"/>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В ОКУ «Курский Центр для несовершеннолетних» духовно-нравственное воспитание осуществляется через включение несовершеннолетних в работу «Школы волонтерского движения «Вместе», занятия «Школы православия», проведение познавательных мероприятий, акций. Дети участвуют в акциях «Зеленая планета», «Георгиевская ленточка», «Письма добра», «Ветеран живет рядом», «От сердца к сердцу», «Дети детям», «</w:t>
      </w:r>
      <w:proofErr w:type="spellStart"/>
      <w:r w:rsidRPr="00BD5345">
        <w:rPr>
          <w:rFonts w:ascii="Times New Roman" w:eastAsia="Times New Roman" w:hAnsi="Times New Roman" w:cs="Times New Roman"/>
          <w:sz w:val="28"/>
          <w:szCs w:val="28"/>
        </w:rPr>
        <w:t>Добропочта</w:t>
      </w:r>
      <w:proofErr w:type="spellEnd"/>
      <w:r w:rsidRPr="00BD5345">
        <w:rPr>
          <w:rFonts w:ascii="Times New Roman" w:eastAsia="Times New Roman" w:hAnsi="Times New Roman" w:cs="Times New Roman"/>
          <w:sz w:val="28"/>
          <w:szCs w:val="28"/>
        </w:rPr>
        <w:t>». Технология «Письма добра» привлекает внимание детей к вопросам милосердия, помощи ближнему, благотворительности, формируе</w:t>
      </w:r>
      <w:r w:rsidR="00F53741">
        <w:rPr>
          <w:rFonts w:ascii="Times New Roman" w:eastAsia="Times New Roman" w:hAnsi="Times New Roman" w:cs="Times New Roman"/>
          <w:sz w:val="28"/>
          <w:szCs w:val="28"/>
        </w:rPr>
        <w:t xml:space="preserve">т активную, личностную позицию </w:t>
      </w:r>
      <w:r w:rsidRPr="00BD5345">
        <w:rPr>
          <w:rFonts w:ascii="Times New Roman" w:eastAsia="Times New Roman" w:hAnsi="Times New Roman" w:cs="Times New Roman"/>
          <w:sz w:val="28"/>
          <w:szCs w:val="28"/>
        </w:rPr>
        <w:t>в системе общественных отношений, воспитывает социально-важные ценности.</w:t>
      </w:r>
    </w:p>
    <w:p w14:paraId="1D675F3F" w14:textId="77777777" w:rsidR="00BD5345" w:rsidRPr="00BD5345" w:rsidRDefault="00BD5345" w:rsidP="00A21663">
      <w:pPr>
        <w:spacing w:after="0" w:line="312" w:lineRule="auto"/>
        <w:ind w:firstLine="709"/>
        <w:jc w:val="both"/>
        <w:rPr>
          <w:rFonts w:ascii="Times New Roman" w:hAnsi="Times New Roman" w:cs="Times New Roman"/>
          <w:sz w:val="28"/>
          <w:szCs w:val="28"/>
        </w:rPr>
      </w:pPr>
      <w:r w:rsidRPr="00BD5345">
        <w:rPr>
          <w:rFonts w:ascii="Times New Roman" w:hAnsi="Times New Roman" w:cs="Times New Roman"/>
          <w:sz w:val="28"/>
          <w:szCs w:val="28"/>
        </w:rPr>
        <w:t>В волонтерской деятельност</w:t>
      </w:r>
      <w:r w:rsidR="00F53741">
        <w:rPr>
          <w:rFonts w:ascii="Times New Roman" w:hAnsi="Times New Roman" w:cs="Times New Roman"/>
          <w:sz w:val="28"/>
          <w:szCs w:val="28"/>
        </w:rPr>
        <w:t xml:space="preserve">и одним из наиболее популярных </w:t>
      </w:r>
      <w:r w:rsidRPr="00BD5345">
        <w:rPr>
          <w:rFonts w:ascii="Times New Roman" w:hAnsi="Times New Roman" w:cs="Times New Roman"/>
          <w:sz w:val="28"/>
          <w:szCs w:val="28"/>
        </w:rPr>
        <w:t>и востребованных среди подростков является военно-патриотическое направление.</w:t>
      </w:r>
    </w:p>
    <w:p w14:paraId="21BDBDD8" w14:textId="77777777" w:rsidR="00BD5345" w:rsidRPr="00BD5345" w:rsidRDefault="00BD5345" w:rsidP="00A21663">
      <w:pPr>
        <w:widowControl w:val="0"/>
        <w:autoSpaceDE w:val="0"/>
        <w:autoSpaceDN w:val="0"/>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color w:val="1A181A"/>
          <w:sz w:val="28"/>
          <w:szCs w:val="28"/>
        </w:rPr>
        <w:t>УМВД России по Псков</w:t>
      </w:r>
      <w:r w:rsidR="00CA4BA4">
        <w:rPr>
          <w:rFonts w:ascii="Times New Roman" w:eastAsia="Times New Roman" w:hAnsi="Times New Roman" w:cs="Times New Roman"/>
          <w:color w:val="1A181A"/>
          <w:sz w:val="28"/>
          <w:szCs w:val="28"/>
        </w:rPr>
        <w:t xml:space="preserve">ской области во взаимодействии </w:t>
      </w:r>
      <w:r w:rsidRPr="00BD5345">
        <w:rPr>
          <w:rFonts w:ascii="Times New Roman" w:eastAsia="Times New Roman" w:hAnsi="Times New Roman" w:cs="Times New Roman"/>
          <w:color w:val="1A181A"/>
          <w:sz w:val="28"/>
          <w:szCs w:val="28"/>
        </w:rPr>
        <w:t>с А</w:t>
      </w:r>
      <w:r w:rsidRPr="00BD5345">
        <w:rPr>
          <w:rFonts w:ascii="Times New Roman" w:eastAsia="Times New Roman" w:hAnsi="Times New Roman" w:cs="Times New Roman"/>
          <w:color w:val="333131"/>
          <w:sz w:val="28"/>
          <w:szCs w:val="28"/>
        </w:rPr>
        <w:t>дми</w:t>
      </w:r>
      <w:r w:rsidRPr="00BD5345">
        <w:rPr>
          <w:rFonts w:ascii="Times New Roman" w:eastAsia="Times New Roman" w:hAnsi="Times New Roman" w:cs="Times New Roman"/>
          <w:color w:val="1A181A"/>
          <w:sz w:val="28"/>
          <w:szCs w:val="28"/>
        </w:rPr>
        <w:t>нистрацией Псковской области с 2020 г</w:t>
      </w:r>
      <w:r w:rsidR="00CD067F">
        <w:rPr>
          <w:rFonts w:ascii="Times New Roman" w:eastAsia="Times New Roman" w:hAnsi="Times New Roman" w:cs="Times New Roman"/>
          <w:color w:val="1A181A"/>
          <w:sz w:val="28"/>
          <w:szCs w:val="28"/>
        </w:rPr>
        <w:t>.</w:t>
      </w:r>
      <w:r w:rsidRPr="00BD5345">
        <w:rPr>
          <w:rFonts w:ascii="Times New Roman" w:eastAsia="Times New Roman" w:hAnsi="Times New Roman" w:cs="Times New Roman"/>
          <w:color w:val="1A181A"/>
          <w:sz w:val="28"/>
          <w:szCs w:val="28"/>
        </w:rPr>
        <w:t xml:space="preserve"> в целях патриотического воспитания подрастающего по</w:t>
      </w:r>
      <w:r w:rsidRPr="00BD5345">
        <w:rPr>
          <w:rFonts w:ascii="Times New Roman" w:eastAsia="Times New Roman" w:hAnsi="Times New Roman" w:cs="Times New Roman"/>
          <w:color w:val="333131"/>
          <w:sz w:val="28"/>
          <w:szCs w:val="28"/>
        </w:rPr>
        <w:t>к</w:t>
      </w:r>
      <w:r w:rsidRPr="00BD5345">
        <w:rPr>
          <w:rFonts w:ascii="Times New Roman" w:eastAsia="Times New Roman" w:hAnsi="Times New Roman" w:cs="Times New Roman"/>
          <w:color w:val="1A181A"/>
          <w:sz w:val="28"/>
          <w:szCs w:val="28"/>
        </w:rPr>
        <w:t>о</w:t>
      </w:r>
      <w:r w:rsidRPr="00BD5345">
        <w:rPr>
          <w:rFonts w:ascii="Times New Roman" w:eastAsia="Times New Roman" w:hAnsi="Times New Roman" w:cs="Times New Roman"/>
          <w:color w:val="333131"/>
          <w:sz w:val="28"/>
          <w:szCs w:val="28"/>
        </w:rPr>
        <w:t>л</w:t>
      </w:r>
      <w:r w:rsidRPr="00BD5345">
        <w:rPr>
          <w:rFonts w:ascii="Times New Roman" w:eastAsia="Times New Roman" w:hAnsi="Times New Roman" w:cs="Times New Roman"/>
          <w:color w:val="1A181A"/>
          <w:sz w:val="28"/>
          <w:szCs w:val="28"/>
        </w:rPr>
        <w:t xml:space="preserve">ения организовано проведение походов, посвященных сохранению </w:t>
      </w:r>
      <w:r w:rsidRPr="00BD5345">
        <w:rPr>
          <w:rFonts w:ascii="Times New Roman" w:eastAsia="Times New Roman" w:hAnsi="Times New Roman" w:cs="Times New Roman"/>
          <w:color w:val="333131"/>
          <w:sz w:val="28"/>
          <w:szCs w:val="28"/>
        </w:rPr>
        <w:t>исто</w:t>
      </w:r>
      <w:r w:rsidRPr="00BD5345">
        <w:rPr>
          <w:rFonts w:ascii="Times New Roman" w:eastAsia="Times New Roman" w:hAnsi="Times New Roman" w:cs="Times New Roman"/>
          <w:color w:val="1A181A"/>
          <w:sz w:val="28"/>
          <w:szCs w:val="28"/>
        </w:rPr>
        <w:t xml:space="preserve">рической памяти о событиях и участниках Великой Отечественной </w:t>
      </w:r>
      <w:r w:rsidRPr="00BD5345">
        <w:rPr>
          <w:rFonts w:ascii="Times New Roman" w:eastAsia="Times New Roman" w:hAnsi="Times New Roman" w:cs="Times New Roman"/>
          <w:color w:val="333131"/>
          <w:sz w:val="28"/>
          <w:szCs w:val="28"/>
        </w:rPr>
        <w:t>в</w:t>
      </w:r>
      <w:r w:rsidRPr="00BD5345">
        <w:rPr>
          <w:rFonts w:ascii="Times New Roman" w:eastAsia="Times New Roman" w:hAnsi="Times New Roman" w:cs="Times New Roman"/>
          <w:color w:val="1A181A"/>
          <w:sz w:val="28"/>
          <w:szCs w:val="28"/>
        </w:rPr>
        <w:t>о</w:t>
      </w:r>
      <w:r w:rsidRPr="00BD5345">
        <w:rPr>
          <w:rFonts w:ascii="Times New Roman" w:eastAsia="Times New Roman" w:hAnsi="Times New Roman" w:cs="Times New Roman"/>
          <w:color w:val="333131"/>
          <w:sz w:val="28"/>
          <w:szCs w:val="28"/>
        </w:rPr>
        <w:t>й</w:t>
      </w:r>
      <w:r w:rsidRPr="00BD5345">
        <w:rPr>
          <w:rFonts w:ascii="Times New Roman" w:eastAsia="Times New Roman" w:hAnsi="Times New Roman" w:cs="Times New Roman"/>
          <w:color w:val="1A181A"/>
          <w:sz w:val="28"/>
          <w:szCs w:val="28"/>
        </w:rPr>
        <w:t>н</w:t>
      </w:r>
      <w:r w:rsidRPr="00BD5345">
        <w:rPr>
          <w:rFonts w:ascii="Times New Roman" w:eastAsia="Times New Roman" w:hAnsi="Times New Roman" w:cs="Times New Roman"/>
          <w:color w:val="333131"/>
          <w:sz w:val="28"/>
          <w:szCs w:val="28"/>
        </w:rPr>
        <w:t xml:space="preserve">ы </w:t>
      </w:r>
      <w:r w:rsidR="00A90AFC">
        <w:rPr>
          <w:rFonts w:ascii="Times New Roman" w:eastAsia="Times New Roman" w:hAnsi="Times New Roman" w:cs="Times New Roman"/>
          <w:color w:val="333131"/>
          <w:sz w:val="28"/>
          <w:szCs w:val="28"/>
        </w:rPr>
        <w:br/>
      </w:r>
      <w:r w:rsidRPr="00BD5345">
        <w:rPr>
          <w:rFonts w:ascii="Times New Roman" w:eastAsia="Times New Roman" w:hAnsi="Times New Roman" w:cs="Times New Roman"/>
          <w:color w:val="1A181A"/>
          <w:sz w:val="28"/>
          <w:szCs w:val="28"/>
        </w:rPr>
        <w:t>1941</w:t>
      </w:r>
      <w:r w:rsidR="00CD067F">
        <w:rPr>
          <w:rFonts w:ascii="Times New Roman" w:eastAsia="Times New Roman" w:hAnsi="Times New Roman" w:cs="Times New Roman"/>
          <w:color w:val="1A181A"/>
          <w:sz w:val="28"/>
          <w:szCs w:val="28"/>
        </w:rPr>
        <w:t>-</w:t>
      </w:r>
      <w:r w:rsidRPr="00BD5345">
        <w:rPr>
          <w:rFonts w:ascii="Times New Roman" w:eastAsia="Times New Roman" w:hAnsi="Times New Roman" w:cs="Times New Roman"/>
          <w:color w:val="1A181A"/>
          <w:sz w:val="28"/>
          <w:szCs w:val="28"/>
        </w:rPr>
        <w:t>1945 г</w:t>
      </w:r>
      <w:r w:rsidR="00CD067F">
        <w:rPr>
          <w:rFonts w:ascii="Times New Roman" w:eastAsia="Times New Roman" w:hAnsi="Times New Roman" w:cs="Times New Roman"/>
          <w:color w:val="1A181A"/>
          <w:sz w:val="28"/>
          <w:szCs w:val="28"/>
        </w:rPr>
        <w:t>г</w:t>
      </w:r>
      <w:r w:rsidRPr="00BD5345">
        <w:rPr>
          <w:rFonts w:ascii="Times New Roman" w:eastAsia="Times New Roman" w:hAnsi="Times New Roman" w:cs="Times New Roman"/>
          <w:color w:val="1A181A"/>
          <w:sz w:val="28"/>
          <w:szCs w:val="28"/>
        </w:rPr>
        <w:t xml:space="preserve">. Незаменимую </w:t>
      </w:r>
      <w:r w:rsidR="00CA4BA4">
        <w:rPr>
          <w:rFonts w:ascii="Times New Roman" w:eastAsia="Times New Roman" w:hAnsi="Times New Roman" w:cs="Times New Roman"/>
          <w:color w:val="1A181A"/>
          <w:sz w:val="28"/>
          <w:szCs w:val="28"/>
        </w:rPr>
        <w:t xml:space="preserve">помощь </w:t>
      </w:r>
      <w:r w:rsidRPr="00BD5345">
        <w:rPr>
          <w:rFonts w:ascii="Times New Roman" w:eastAsia="Times New Roman" w:hAnsi="Times New Roman" w:cs="Times New Roman"/>
          <w:color w:val="1A181A"/>
          <w:sz w:val="28"/>
          <w:szCs w:val="28"/>
        </w:rPr>
        <w:t>в проведении мероприятий о</w:t>
      </w:r>
      <w:r w:rsidRPr="00BD5345">
        <w:rPr>
          <w:rFonts w:ascii="Times New Roman" w:eastAsia="Times New Roman" w:hAnsi="Times New Roman" w:cs="Times New Roman"/>
          <w:color w:val="333131"/>
          <w:sz w:val="28"/>
          <w:szCs w:val="28"/>
        </w:rPr>
        <w:t>каз</w:t>
      </w:r>
      <w:r w:rsidRPr="00BD5345">
        <w:rPr>
          <w:rFonts w:ascii="Times New Roman" w:eastAsia="Times New Roman" w:hAnsi="Times New Roman" w:cs="Times New Roman"/>
          <w:color w:val="1A181A"/>
          <w:sz w:val="28"/>
          <w:szCs w:val="28"/>
        </w:rPr>
        <w:t>ывают военнослужащие 2-ой</w:t>
      </w:r>
      <w:r w:rsidR="00BD4C1D" w:rsidRPr="00BD5345">
        <w:rPr>
          <w:rFonts w:ascii="Times New Roman" w:hAnsi="Times New Roman" w:cs="Times New Roman"/>
          <w:sz w:val="28"/>
          <w:szCs w:val="28"/>
          <w:lang w:bidi="ru-RU"/>
        </w:rPr>
        <w:t> </w:t>
      </w:r>
      <w:r w:rsidRPr="00BD5345">
        <w:rPr>
          <w:rFonts w:ascii="Times New Roman" w:eastAsia="Times New Roman" w:hAnsi="Times New Roman" w:cs="Times New Roman"/>
          <w:color w:val="1A181A"/>
          <w:sz w:val="28"/>
          <w:szCs w:val="28"/>
        </w:rPr>
        <w:t>отдельной бригады специального назначения В</w:t>
      </w:r>
      <w:r w:rsidRPr="00BD5345">
        <w:rPr>
          <w:rFonts w:ascii="Times New Roman" w:eastAsia="Times New Roman" w:hAnsi="Times New Roman" w:cs="Times New Roman"/>
          <w:color w:val="333131"/>
          <w:sz w:val="28"/>
          <w:szCs w:val="28"/>
        </w:rPr>
        <w:t>оо</w:t>
      </w:r>
      <w:r w:rsidRPr="00BD5345">
        <w:rPr>
          <w:rFonts w:ascii="Times New Roman" w:eastAsia="Times New Roman" w:hAnsi="Times New Roman" w:cs="Times New Roman"/>
          <w:color w:val="1A181A"/>
          <w:sz w:val="28"/>
          <w:szCs w:val="28"/>
        </w:rPr>
        <w:t>р</w:t>
      </w:r>
      <w:r w:rsidRPr="00BD5345">
        <w:rPr>
          <w:rFonts w:ascii="Times New Roman" w:eastAsia="Times New Roman" w:hAnsi="Times New Roman" w:cs="Times New Roman"/>
          <w:color w:val="333131"/>
          <w:sz w:val="28"/>
          <w:szCs w:val="28"/>
        </w:rPr>
        <w:t>у</w:t>
      </w:r>
      <w:r w:rsidRPr="00BD5345">
        <w:rPr>
          <w:rFonts w:ascii="Times New Roman" w:eastAsia="Times New Roman" w:hAnsi="Times New Roman" w:cs="Times New Roman"/>
          <w:color w:val="1A181A"/>
          <w:sz w:val="28"/>
          <w:szCs w:val="28"/>
        </w:rPr>
        <w:t xml:space="preserve">женных Сил Российской Федерации, которые личным примером </w:t>
      </w:r>
      <w:r w:rsidRPr="00BD5345">
        <w:rPr>
          <w:rFonts w:ascii="Times New Roman" w:eastAsia="Times New Roman" w:hAnsi="Times New Roman" w:cs="Times New Roman"/>
          <w:color w:val="333131"/>
          <w:sz w:val="28"/>
          <w:szCs w:val="28"/>
        </w:rPr>
        <w:t>дем</w:t>
      </w:r>
      <w:r w:rsidRPr="00BD5345">
        <w:rPr>
          <w:rFonts w:ascii="Times New Roman" w:eastAsia="Times New Roman" w:hAnsi="Times New Roman" w:cs="Times New Roman"/>
          <w:color w:val="1A181A"/>
          <w:sz w:val="28"/>
          <w:szCs w:val="28"/>
        </w:rPr>
        <w:t xml:space="preserve">онстрируют отличную физическую подготовку, дисциплинированность и </w:t>
      </w:r>
      <w:r w:rsidRPr="00BD5345">
        <w:rPr>
          <w:rFonts w:ascii="Times New Roman" w:eastAsia="Times New Roman" w:hAnsi="Times New Roman" w:cs="Times New Roman"/>
          <w:color w:val="333131"/>
          <w:sz w:val="28"/>
          <w:szCs w:val="28"/>
        </w:rPr>
        <w:t>исп</w:t>
      </w:r>
      <w:r w:rsidRPr="00BD5345">
        <w:rPr>
          <w:rFonts w:ascii="Times New Roman" w:eastAsia="Times New Roman" w:hAnsi="Times New Roman" w:cs="Times New Roman"/>
          <w:color w:val="1A181A"/>
          <w:sz w:val="28"/>
          <w:szCs w:val="28"/>
        </w:rPr>
        <w:t>о</w:t>
      </w:r>
      <w:r w:rsidRPr="00BD5345">
        <w:rPr>
          <w:rFonts w:ascii="Times New Roman" w:eastAsia="Times New Roman" w:hAnsi="Times New Roman" w:cs="Times New Roman"/>
          <w:color w:val="333131"/>
          <w:sz w:val="28"/>
          <w:szCs w:val="28"/>
        </w:rPr>
        <w:t>л</w:t>
      </w:r>
      <w:r w:rsidRPr="00BD5345">
        <w:rPr>
          <w:rFonts w:ascii="Times New Roman" w:eastAsia="Times New Roman" w:hAnsi="Times New Roman" w:cs="Times New Roman"/>
          <w:color w:val="1A181A"/>
          <w:sz w:val="28"/>
          <w:szCs w:val="28"/>
        </w:rPr>
        <w:t>нительность.</w:t>
      </w:r>
    </w:p>
    <w:p w14:paraId="0728C5AA" w14:textId="77777777" w:rsidR="00BD5345" w:rsidRPr="00BD5345" w:rsidRDefault="00F53741" w:rsidP="00BD4C1D">
      <w:pPr>
        <w:tabs>
          <w:tab w:val="left" w:pos="0"/>
        </w:tabs>
        <w:autoSpaceDE w:val="0"/>
        <w:autoSpaceDN w:val="0"/>
        <w:spacing w:after="0" w:line="312"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1A181A"/>
          <w:sz w:val="28"/>
          <w:szCs w:val="28"/>
        </w:rPr>
        <w:t>В мае 2021 г.</w:t>
      </w:r>
      <w:r w:rsidR="00BD5345" w:rsidRPr="00BD5345">
        <w:rPr>
          <w:rFonts w:ascii="Times New Roman" w:eastAsia="Times New Roman" w:hAnsi="Times New Roman" w:cs="Times New Roman"/>
          <w:color w:val="1A181A"/>
          <w:sz w:val="28"/>
          <w:szCs w:val="28"/>
        </w:rPr>
        <w:t xml:space="preserve"> в память встречи партизанских отрядов на «Кургане Др</w:t>
      </w:r>
      <w:r w:rsidR="00BD5345" w:rsidRPr="00BD5345">
        <w:rPr>
          <w:rFonts w:ascii="Times New Roman" w:eastAsia="Times New Roman" w:hAnsi="Times New Roman" w:cs="Times New Roman"/>
          <w:color w:val="333131"/>
          <w:sz w:val="28"/>
          <w:szCs w:val="28"/>
        </w:rPr>
        <w:t>у</w:t>
      </w:r>
      <w:r w:rsidR="00BD5345" w:rsidRPr="00BD5345">
        <w:rPr>
          <w:rFonts w:ascii="Times New Roman" w:eastAsia="Times New Roman" w:hAnsi="Times New Roman" w:cs="Times New Roman"/>
          <w:color w:val="1A181A"/>
          <w:sz w:val="28"/>
          <w:szCs w:val="28"/>
        </w:rPr>
        <w:t xml:space="preserve">жбы» на территории </w:t>
      </w:r>
      <w:proofErr w:type="spellStart"/>
      <w:r w:rsidR="00BD5345" w:rsidRPr="00BD5345">
        <w:rPr>
          <w:rFonts w:ascii="Times New Roman" w:eastAsia="Times New Roman" w:hAnsi="Times New Roman" w:cs="Times New Roman"/>
          <w:color w:val="1A181A"/>
          <w:sz w:val="28"/>
          <w:szCs w:val="28"/>
        </w:rPr>
        <w:t>Себежского</w:t>
      </w:r>
      <w:proofErr w:type="spellEnd"/>
      <w:r w:rsidR="00BD5345" w:rsidRPr="00BD5345">
        <w:rPr>
          <w:rFonts w:ascii="Times New Roman" w:eastAsia="Times New Roman" w:hAnsi="Times New Roman" w:cs="Times New Roman"/>
          <w:color w:val="1A181A"/>
          <w:sz w:val="28"/>
          <w:szCs w:val="28"/>
        </w:rPr>
        <w:t xml:space="preserve"> района Псковской области состоялся </w:t>
      </w:r>
      <w:r w:rsidR="00BD5345" w:rsidRPr="00BD5345">
        <w:rPr>
          <w:rFonts w:ascii="Times New Roman" w:eastAsia="Times New Roman" w:hAnsi="Times New Roman" w:cs="Times New Roman"/>
          <w:color w:val="333131"/>
          <w:sz w:val="28"/>
          <w:szCs w:val="28"/>
        </w:rPr>
        <w:t>м</w:t>
      </w:r>
      <w:r w:rsidR="00BD5345" w:rsidRPr="00BD5345">
        <w:rPr>
          <w:rFonts w:ascii="Times New Roman" w:eastAsia="Times New Roman" w:hAnsi="Times New Roman" w:cs="Times New Roman"/>
          <w:color w:val="1A181A"/>
          <w:sz w:val="28"/>
          <w:szCs w:val="28"/>
        </w:rPr>
        <w:t>е</w:t>
      </w:r>
      <w:r w:rsidR="00BD5345" w:rsidRPr="00BD5345">
        <w:rPr>
          <w:rFonts w:ascii="Times New Roman" w:eastAsia="Times New Roman" w:hAnsi="Times New Roman" w:cs="Times New Roman"/>
          <w:color w:val="333131"/>
          <w:sz w:val="28"/>
          <w:szCs w:val="28"/>
        </w:rPr>
        <w:t>ж</w:t>
      </w:r>
      <w:r w:rsidR="00BD5345" w:rsidRPr="00BD5345">
        <w:rPr>
          <w:rFonts w:ascii="Times New Roman" w:eastAsia="Times New Roman" w:hAnsi="Times New Roman" w:cs="Times New Roman"/>
          <w:color w:val="1A181A"/>
          <w:sz w:val="28"/>
          <w:szCs w:val="28"/>
        </w:rPr>
        <w:t xml:space="preserve">дународный поход, в котором приняли участие делегации из числа </w:t>
      </w:r>
      <w:r w:rsidR="00BD5345" w:rsidRPr="00BD5345">
        <w:rPr>
          <w:rFonts w:ascii="Times New Roman" w:eastAsia="Times New Roman" w:hAnsi="Times New Roman" w:cs="Times New Roman"/>
          <w:color w:val="1A1A1A"/>
          <w:sz w:val="28"/>
          <w:szCs w:val="28"/>
        </w:rPr>
        <w:t>сотрудников органов внутренних дел и несовершеннолетних, состоящих на профилактическом учете, Псковской об</w:t>
      </w:r>
      <w:r w:rsidR="00BD5345" w:rsidRPr="00BD5345">
        <w:rPr>
          <w:rFonts w:ascii="Times New Roman" w:eastAsia="Times New Roman" w:hAnsi="Times New Roman" w:cs="Times New Roman"/>
          <w:color w:val="3F3D3F"/>
          <w:sz w:val="28"/>
          <w:szCs w:val="28"/>
        </w:rPr>
        <w:t>л</w:t>
      </w:r>
      <w:r w:rsidR="00BD5345" w:rsidRPr="00BD5345">
        <w:rPr>
          <w:rFonts w:ascii="Times New Roman" w:eastAsia="Times New Roman" w:hAnsi="Times New Roman" w:cs="Times New Roman"/>
          <w:color w:val="1A1A1A"/>
          <w:sz w:val="28"/>
          <w:szCs w:val="28"/>
        </w:rPr>
        <w:t>асти, Пермского края и Витебской области Республики Беларусь.</w:t>
      </w:r>
      <w:r w:rsidR="00BD4C1D">
        <w:rPr>
          <w:rFonts w:ascii="Times New Roman" w:eastAsia="Times New Roman" w:hAnsi="Times New Roman" w:cs="Times New Roman"/>
          <w:sz w:val="28"/>
          <w:szCs w:val="28"/>
        </w:rPr>
        <w:t xml:space="preserve"> </w:t>
      </w:r>
      <w:r w:rsidR="00BD5345" w:rsidRPr="00BD5345">
        <w:rPr>
          <w:rFonts w:ascii="Times New Roman" w:eastAsia="Times New Roman" w:hAnsi="Times New Roman" w:cs="Times New Roman"/>
          <w:color w:val="1A1A1A"/>
          <w:sz w:val="28"/>
          <w:szCs w:val="28"/>
        </w:rPr>
        <w:t xml:space="preserve">Идея мероприятия и </w:t>
      </w:r>
      <w:r w:rsidR="00BD5345" w:rsidRPr="00BD5345">
        <w:rPr>
          <w:rFonts w:ascii="Times New Roman" w:eastAsia="Times New Roman" w:hAnsi="Times New Roman" w:cs="Times New Roman"/>
          <w:color w:val="2A282A"/>
          <w:sz w:val="28"/>
          <w:szCs w:val="28"/>
        </w:rPr>
        <w:t xml:space="preserve">уровень </w:t>
      </w:r>
      <w:r w:rsidR="00BD5345" w:rsidRPr="00BD5345">
        <w:rPr>
          <w:rFonts w:ascii="Times New Roman" w:eastAsia="Times New Roman" w:hAnsi="Times New Roman" w:cs="Times New Roman"/>
          <w:color w:val="1A1A1A"/>
          <w:sz w:val="28"/>
          <w:szCs w:val="28"/>
        </w:rPr>
        <w:t xml:space="preserve">его проведения положительно оценены органами государственной власти региона, субъектами </w:t>
      </w:r>
      <w:r>
        <w:rPr>
          <w:rFonts w:ascii="Times New Roman" w:eastAsia="Times New Roman" w:hAnsi="Times New Roman" w:cs="Times New Roman"/>
          <w:color w:val="1A1A1A"/>
          <w:sz w:val="28"/>
          <w:szCs w:val="28"/>
        </w:rPr>
        <w:t xml:space="preserve">системы </w:t>
      </w:r>
      <w:r w:rsidR="00BD5345" w:rsidRPr="00BD5345">
        <w:rPr>
          <w:rFonts w:ascii="Times New Roman" w:eastAsia="Times New Roman" w:hAnsi="Times New Roman" w:cs="Times New Roman"/>
          <w:color w:val="2A282A"/>
          <w:sz w:val="28"/>
          <w:szCs w:val="28"/>
        </w:rPr>
        <w:t xml:space="preserve">профилактики </w:t>
      </w:r>
      <w:r w:rsidR="00BD5345" w:rsidRPr="00BD5345">
        <w:rPr>
          <w:rFonts w:ascii="Times New Roman" w:eastAsia="Times New Roman" w:hAnsi="Times New Roman" w:cs="Times New Roman"/>
          <w:color w:val="1A1A1A"/>
          <w:sz w:val="28"/>
          <w:szCs w:val="28"/>
        </w:rPr>
        <w:t>правонарушений несовершеннолетних, а также нашли заслуженное одобрение у участников похода. Губернатором Псковской области по</w:t>
      </w:r>
      <w:r w:rsidR="00BD5345" w:rsidRPr="00BD5345">
        <w:rPr>
          <w:rFonts w:ascii="Times New Roman" w:eastAsia="Times New Roman" w:hAnsi="Times New Roman" w:cs="Times New Roman"/>
          <w:color w:val="3F3D3F"/>
          <w:sz w:val="28"/>
          <w:szCs w:val="28"/>
        </w:rPr>
        <w:t>д</w:t>
      </w:r>
      <w:r w:rsidR="00BD5345" w:rsidRPr="00BD5345">
        <w:rPr>
          <w:rFonts w:ascii="Times New Roman" w:eastAsia="Times New Roman" w:hAnsi="Times New Roman" w:cs="Times New Roman"/>
          <w:color w:val="1A1A1A"/>
          <w:sz w:val="28"/>
          <w:szCs w:val="28"/>
        </w:rPr>
        <w:t xml:space="preserve">держана инициатива ежегодного проведения похода с участием </w:t>
      </w:r>
      <w:r w:rsidR="00BD5345" w:rsidRPr="00BD5345">
        <w:rPr>
          <w:rFonts w:ascii="Times New Roman" w:eastAsia="Times New Roman" w:hAnsi="Times New Roman" w:cs="Times New Roman"/>
          <w:color w:val="2A282A"/>
          <w:sz w:val="28"/>
          <w:szCs w:val="28"/>
        </w:rPr>
        <w:t xml:space="preserve">делегаций </w:t>
      </w:r>
      <w:r w:rsidR="00BD5345" w:rsidRPr="00BD5345">
        <w:rPr>
          <w:rFonts w:ascii="Times New Roman" w:eastAsia="Times New Roman" w:hAnsi="Times New Roman" w:cs="Times New Roman"/>
          <w:color w:val="1A1A1A"/>
          <w:sz w:val="28"/>
          <w:szCs w:val="28"/>
        </w:rPr>
        <w:t>союзного государства и других регионов России.</w:t>
      </w:r>
    </w:p>
    <w:p w14:paraId="4233B518" w14:textId="77777777" w:rsidR="00BD5345" w:rsidRPr="00BD5345" w:rsidRDefault="00BD5345" w:rsidP="00A21663">
      <w:pPr>
        <w:widowControl w:val="0"/>
        <w:autoSpaceDE w:val="0"/>
        <w:autoSpaceDN w:val="0"/>
        <w:spacing w:after="0" w:line="312" w:lineRule="auto"/>
        <w:ind w:firstLine="709"/>
        <w:jc w:val="both"/>
        <w:rPr>
          <w:rFonts w:ascii="Times New Roman" w:eastAsia="Times New Roman" w:hAnsi="Times New Roman" w:cs="Times New Roman"/>
          <w:color w:val="333131"/>
          <w:sz w:val="28"/>
          <w:szCs w:val="28"/>
        </w:rPr>
      </w:pPr>
      <w:r w:rsidRPr="00BD5345">
        <w:rPr>
          <w:rFonts w:ascii="Times New Roman" w:eastAsia="Times New Roman" w:hAnsi="Times New Roman" w:cs="Times New Roman"/>
          <w:color w:val="1A181A"/>
          <w:sz w:val="28"/>
          <w:szCs w:val="28"/>
        </w:rPr>
        <w:t xml:space="preserve">Активно реализуются проекты для </w:t>
      </w:r>
      <w:r w:rsidRPr="00BD5345">
        <w:rPr>
          <w:rFonts w:ascii="Times New Roman" w:eastAsia="Times New Roman" w:hAnsi="Times New Roman" w:cs="Times New Roman"/>
          <w:color w:val="333131"/>
          <w:sz w:val="28"/>
          <w:szCs w:val="28"/>
        </w:rPr>
        <w:t>н</w:t>
      </w:r>
      <w:r w:rsidRPr="00BD5345">
        <w:rPr>
          <w:rFonts w:ascii="Times New Roman" w:eastAsia="Times New Roman" w:hAnsi="Times New Roman" w:cs="Times New Roman"/>
          <w:color w:val="1A181A"/>
          <w:sz w:val="28"/>
          <w:szCs w:val="28"/>
        </w:rPr>
        <w:t>е</w:t>
      </w:r>
      <w:r w:rsidRPr="00BD5345">
        <w:rPr>
          <w:rFonts w:ascii="Times New Roman" w:eastAsia="Times New Roman" w:hAnsi="Times New Roman" w:cs="Times New Roman"/>
          <w:color w:val="333131"/>
          <w:sz w:val="28"/>
          <w:szCs w:val="28"/>
        </w:rPr>
        <w:t>с</w:t>
      </w:r>
      <w:r w:rsidRPr="00BD5345">
        <w:rPr>
          <w:rFonts w:ascii="Times New Roman" w:eastAsia="Times New Roman" w:hAnsi="Times New Roman" w:cs="Times New Roman"/>
          <w:color w:val="1A181A"/>
          <w:sz w:val="28"/>
          <w:szCs w:val="28"/>
        </w:rPr>
        <w:t>овершеннолетних, направленные на профилактику деструктивны</w:t>
      </w:r>
      <w:r w:rsidRPr="00BD5345">
        <w:rPr>
          <w:rFonts w:ascii="Times New Roman" w:eastAsia="Times New Roman" w:hAnsi="Times New Roman" w:cs="Times New Roman"/>
          <w:color w:val="333131"/>
          <w:sz w:val="28"/>
          <w:szCs w:val="28"/>
        </w:rPr>
        <w:t>х т</w:t>
      </w:r>
      <w:r w:rsidRPr="00BD5345">
        <w:rPr>
          <w:rFonts w:ascii="Times New Roman" w:eastAsia="Times New Roman" w:hAnsi="Times New Roman" w:cs="Times New Roman"/>
          <w:color w:val="1A181A"/>
          <w:sz w:val="28"/>
          <w:szCs w:val="28"/>
        </w:rPr>
        <w:t>е</w:t>
      </w:r>
      <w:r w:rsidRPr="00BD5345">
        <w:rPr>
          <w:rFonts w:ascii="Times New Roman" w:eastAsia="Times New Roman" w:hAnsi="Times New Roman" w:cs="Times New Roman"/>
          <w:color w:val="333131"/>
          <w:sz w:val="28"/>
          <w:szCs w:val="28"/>
        </w:rPr>
        <w:t>нд</w:t>
      </w:r>
      <w:r w:rsidRPr="00BD5345">
        <w:rPr>
          <w:rFonts w:ascii="Times New Roman" w:eastAsia="Times New Roman" w:hAnsi="Times New Roman" w:cs="Times New Roman"/>
          <w:color w:val="1A181A"/>
          <w:sz w:val="28"/>
          <w:szCs w:val="28"/>
        </w:rPr>
        <w:t>енций в молодежной среде</w:t>
      </w:r>
      <w:r w:rsidRPr="00BD5345">
        <w:rPr>
          <w:rFonts w:ascii="Times New Roman" w:eastAsia="Times New Roman" w:hAnsi="Times New Roman" w:cs="Times New Roman"/>
          <w:color w:val="333131"/>
          <w:sz w:val="28"/>
          <w:szCs w:val="28"/>
        </w:rPr>
        <w:t>.</w:t>
      </w:r>
    </w:p>
    <w:p w14:paraId="54B7253F" w14:textId="77777777" w:rsidR="00CD067F" w:rsidRPr="00BD5345" w:rsidRDefault="00BD5345" w:rsidP="00CD067F">
      <w:pPr>
        <w:spacing w:after="0" w:line="312" w:lineRule="auto"/>
        <w:ind w:firstLine="709"/>
        <w:jc w:val="both"/>
        <w:rPr>
          <w:rFonts w:ascii="Times New Roman" w:hAnsi="Times New Roman" w:cs="Times New Roman"/>
          <w:sz w:val="28"/>
          <w:szCs w:val="28"/>
        </w:rPr>
      </w:pPr>
      <w:r w:rsidRPr="00BD5345">
        <w:rPr>
          <w:rFonts w:ascii="Times New Roman" w:hAnsi="Times New Roman" w:cs="Times New Roman"/>
          <w:sz w:val="28"/>
          <w:szCs w:val="28"/>
        </w:rPr>
        <w:t>Так, в Челябинской области с 2014 г</w:t>
      </w:r>
      <w:r w:rsidR="00CD067F">
        <w:rPr>
          <w:rFonts w:ascii="Times New Roman" w:hAnsi="Times New Roman" w:cs="Times New Roman"/>
          <w:sz w:val="28"/>
          <w:szCs w:val="28"/>
        </w:rPr>
        <w:t>.</w:t>
      </w:r>
      <w:r w:rsidRPr="00BD5345">
        <w:rPr>
          <w:rFonts w:ascii="Times New Roman" w:hAnsi="Times New Roman" w:cs="Times New Roman"/>
          <w:sz w:val="28"/>
          <w:szCs w:val="28"/>
        </w:rPr>
        <w:t xml:space="preserve"> ежегодно в период </w:t>
      </w:r>
      <w:r w:rsidR="00F53741">
        <w:rPr>
          <w:rFonts w:ascii="Times New Roman" w:hAnsi="Times New Roman" w:cs="Times New Roman"/>
          <w:sz w:val="28"/>
          <w:szCs w:val="28"/>
        </w:rPr>
        <w:t>летней оздоровительной кампании</w:t>
      </w:r>
      <w:r w:rsidRPr="00BD5345">
        <w:rPr>
          <w:rFonts w:ascii="Times New Roman" w:hAnsi="Times New Roman" w:cs="Times New Roman"/>
          <w:sz w:val="28"/>
          <w:szCs w:val="28"/>
        </w:rPr>
        <w:t xml:space="preserve"> с целью популяризации службы в армии, органах внутренних дел, пропаганды здорового образа жизни, профилактики преступности и правонарушений несовершеннолетних организуется профильная смена «Патриот» для подучетных подростков. Летом 2022 г</w:t>
      </w:r>
      <w:r w:rsidR="00CD067F">
        <w:rPr>
          <w:rFonts w:ascii="Times New Roman" w:hAnsi="Times New Roman" w:cs="Times New Roman"/>
          <w:sz w:val="28"/>
          <w:szCs w:val="28"/>
        </w:rPr>
        <w:t>.</w:t>
      </w:r>
      <w:r w:rsidRPr="00BD5345">
        <w:rPr>
          <w:rFonts w:ascii="Times New Roman" w:hAnsi="Times New Roman" w:cs="Times New Roman"/>
          <w:sz w:val="28"/>
          <w:szCs w:val="28"/>
        </w:rPr>
        <w:t xml:space="preserve"> также запланировано проведение подобной профильной смены на базе детского оздоровительного комплекса «Абзаково». Кроме того, будет функционировать палаточный военно-спортивный лагерь «Бар</w:t>
      </w:r>
      <w:r w:rsidR="00CD067F">
        <w:rPr>
          <w:rFonts w:ascii="Times New Roman" w:hAnsi="Times New Roman" w:cs="Times New Roman"/>
          <w:sz w:val="28"/>
          <w:szCs w:val="28"/>
        </w:rPr>
        <w:t xml:space="preserve">с» в </w:t>
      </w:r>
      <w:proofErr w:type="spellStart"/>
      <w:r w:rsidR="00CD067F">
        <w:rPr>
          <w:rFonts w:ascii="Times New Roman" w:hAnsi="Times New Roman" w:cs="Times New Roman"/>
          <w:sz w:val="28"/>
          <w:szCs w:val="28"/>
        </w:rPr>
        <w:t>Миасском</w:t>
      </w:r>
      <w:proofErr w:type="spellEnd"/>
      <w:r w:rsidR="00CD067F">
        <w:rPr>
          <w:rFonts w:ascii="Times New Roman" w:hAnsi="Times New Roman" w:cs="Times New Roman"/>
          <w:sz w:val="28"/>
          <w:szCs w:val="28"/>
        </w:rPr>
        <w:t xml:space="preserve"> городском округе.</w:t>
      </w:r>
    </w:p>
    <w:p w14:paraId="111CBF53" w14:textId="77777777" w:rsidR="00BD5345" w:rsidRPr="00BD5345" w:rsidRDefault="00BD5345" w:rsidP="00A21663">
      <w:pPr>
        <w:spacing w:after="0" w:line="312" w:lineRule="auto"/>
        <w:ind w:right="112" w:firstLine="707"/>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 xml:space="preserve">В городских округах Магаданской области проводят работу военно-патриотические клубы «Спецназ», «Подвиг», объединения «Пограничник», «Наследники». Добровольцы занимаются </w:t>
      </w:r>
      <w:r w:rsidR="00CA4BA4">
        <w:rPr>
          <w:rFonts w:ascii="Times New Roman" w:eastAsia="Times New Roman" w:hAnsi="Times New Roman" w:cs="Times New Roman"/>
          <w:sz w:val="28"/>
          <w:szCs w:val="28"/>
          <w:lang w:eastAsia="ru-RU"/>
        </w:rPr>
        <w:t xml:space="preserve">благоустройством памятных мест </w:t>
      </w:r>
      <w:r w:rsidRPr="00BD5345">
        <w:rPr>
          <w:rFonts w:ascii="Times New Roman" w:eastAsia="Times New Roman" w:hAnsi="Times New Roman" w:cs="Times New Roman"/>
          <w:sz w:val="28"/>
          <w:szCs w:val="28"/>
          <w:lang w:eastAsia="ru-RU"/>
        </w:rPr>
        <w:t>и воинских захоронений, оказывают помощь ветеранам, осуществляют сопровождение шествия «Бессме</w:t>
      </w:r>
      <w:r w:rsidR="00CD067F">
        <w:rPr>
          <w:rFonts w:ascii="Times New Roman" w:eastAsia="Times New Roman" w:hAnsi="Times New Roman" w:cs="Times New Roman"/>
          <w:sz w:val="28"/>
          <w:szCs w:val="28"/>
          <w:lang w:eastAsia="ru-RU"/>
        </w:rPr>
        <w:t>ртного полка» и парадов Победы.</w:t>
      </w:r>
    </w:p>
    <w:p w14:paraId="16E49A0A" w14:textId="77777777" w:rsidR="00BD5345" w:rsidRPr="00BD5345" w:rsidRDefault="00BD5345" w:rsidP="00A21663">
      <w:pPr>
        <w:spacing w:after="0" w:line="312" w:lineRule="auto"/>
        <w:ind w:right="112" w:firstLine="707"/>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В областном центре функцио</w:t>
      </w:r>
      <w:r w:rsidR="00BD4C1D">
        <w:rPr>
          <w:rFonts w:ascii="Times New Roman" w:eastAsia="Times New Roman" w:hAnsi="Times New Roman" w:cs="Times New Roman"/>
          <w:sz w:val="28"/>
          <w:szCs w:val="28"/>
          <w:lang w:eastAsia="ru-RU"/>
        </w:rPr>
        <w:t xml:space="preserve">нирует профильная школа «Закон </w:t>
      </w:r>
      <w:r w:rsidRPr="00BD5345">
        <w:rPr>
          <w:rFonts w:ascii="Times New Roman" w:eastAsia="Times New Roman" w:hAnsi="Times New Roman" w:cs="Times New Roman"/>
          <w:sz w:val="28"/>
          <w:szCs w:val="28"/>
          <w:lang w:eastAsia="ru-RU"/>
        </w:rPr>
        <w:t>и подросток», целью которой является распространение волонтерского движения, связанного с формированием правовой грамотности у детей и подростков, профилактикой безнадзорности и правонарушений среди учащихся образовательных организаций.</w:t>
      </w:r>
    </w:p>
    <w:p w14:paraId="5AF61EAA" w14:textId="77777777" w:rsidR="00BD5345" w:rsidRPr="00BD5345" w:rsidRDefault="00BD5345" w:rsidP="00A21663">
      <w:pPr>
        <w:spacing w:after="0" w:line="312" w:lineRule="auto"/>
        <w:ind w:right="112" w:firstLine="707"/>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Аналогичный опыт имеется в Архангельской, Курганской, Московской, Мурманской, Новосибирской, Тверской областях.</w:t>
      </w:r>
    </w:p>
    <w:p w14:paraId="2F033FF8" w14:textId="77777777" w:rsidR="00BD5345" w:rsidRPr="00BD5345" w:rsidRDefault="00BD5345" w:rsidP="00A21663">
      <w:pPr>
        <w:spacing w:after="0" w:line="312" w:lineRule="auto"/>
        <w:ind w:firstLine="709"/>
        <w:jc w:val="both"/>
        <w:rPr>
          <w:rFonts w:ascii="Times New Roman" w:hAnsi="Times New Roman" w:cs="Times New Roman"/>
          <w:sz w:val="28"/>
          <w:szCs w:val="28"/>
        </w:rPr>
      </w:pPr>
      <w:r w:rsidRPr="00BD5345">
        <w:rPr>
          <w:rFonts w:ascii="Times New Roman" w:hAnsi="Times New Roman" w:cs="Times New Roman"/>
          <w:sz w:val="28"/>
          <w:szCs w:val="28"/>
        </w:rPr>
        <w:t>Также заслуживает внимания опыт ра</w:t>
      </w:r>
      <w:r w:rsidR="000B0622">
        <w:rPr>
          <w:rFonts w:ascii="Times New Roman" w:hAnsi="Times New Roman" w:cs="Times New Roman"/>
          <w:sz w:val="28"/>
          <w:szCs w:val="28"/>
        </w:rPr>
        <w:t xml:space="preserve">боты добровольческого движения </w:t>
      </w:r>
      <w:r w:rsidRPr="00BD5345">
        <w:rPr>
          <w:rFonts w:ascii="Times New Roman" w:hAnsi="Times New Roman" w:cs="Times New Roman"/>
          <w:sz w:val="28"/>
          <w:szCs w:val="28"/>
        </w:rPr>
        <w:t>в Тверской области, где волонтерами организованы мероприятия, направленные на сохранение традиционных ценностей и популяризацию национальной культуры в молодежной среде, такие как молодежный фольклорный фестиваль «</w:t>
      </w:r>
      <w:proofErr w:type="spellStart"/>
      <w:r w:rsidRPr="00BD5345">
        <w:rPr>
          <w:rFonts w:ascii="Times New Roman" w:hAnsi="Times New Roman" w:cs="Times New Roman"/>
          <w:sz w:val="28"/>
          <w:szCs w:val="28"/>
        </w:rPr>
        <w:t>Новолетие</w:t>
      </w:r>
      <w:proofErr w:type="spellEnd"/>
      <w:r w:rsidRPr="00BD5345">
        <w:rPr>
          <w:rFonts w:ascii="Times New Roman" w:hAnsi="Times New Roman" w:cs="Times New Roman"/>
          <w:sz w:val="28"/>
          <w:szCs w:val="28"/>
        </w:rPr>
        <w:t xml:space="preserve"> в Пречистом бору», военно-исторические фестивали «Тверская застава» и «Княжество Тверское».</w:t>
      </w:r>
    </w:p>
    <w:p w14:paraId="2AB9C943" w14:textId="77777777" w:rsidR="00BD5345" w:rsidRPr="00BD5345" w:rsidRDefault="00BD5345" w:rsidP="00A21663">
      <w:pPr>
        <w:shd w:val="clear" w:color="auto" w:fill="FFFFFF"/>
        <w:spacing w:after="0" w:line="312" w:lineRule="auto"/>
        <w:ind w:firstLine="709"/>
        <w:jc w:val="both"/>
        <w:rPr>
          <w:rFonts w:ascii="Times New Roman" w:hAnsi="Times New Roman" w:cs="Times New Roman"/>
          <w:sz w:val="28"/>
          <w:szCs w:val="28"/>
        </w:rPr>
      </w:pPr>
      <w:r w:rsidRPr="00BD5345">
        <w:rPr>
          <w:rFonts w:ascii="Times New Roman" w:hAnsi="Times New Roman" w:cs="Times New Roman"/>
          <w:sz w:val="28"/>
          <w:szCs w:val="28"/>
        </w:rPr>
        <w:t xml:space="preserve">Одной их эффективных форм профилактики повторных правонарушений и преступлений является развитие института наставничества над несовершеннолетними, </w:t>
      </w:r>
      <w:r w:rsidR="00D3373C">
        <w:rPr>
          <w:rFonts w:ascii="Times New Roman" w:hAnsi="Times New Roman" w:cs="Times New Roman"/>
          <w:sz w:val="28"/>
          <w:szCs w:val="28"/>
        </w:rPr>
        <w:t>нуждающихся в</w:t>
      </w:r>
      <w:r w:rsidRPr="00BD5345">
        <w:rPr>
          <w:rFonts w:ascii="Times New Roman" w:hAnsi="Times New Roman" w:cs="Times New Roman"/>
          <w:sz w:val="28"/>
          <w:szCs w:val="28"/>
        </w:rPr>
        <w:t xml:space="preserve"> помощи государства.</w:t>
      </w:r>
    </w:p>
    <w:p w14:paraId="346AE3B6" w14:textId="77777777" w:rsidR="00BD5345" w:rsidRPr="00BD5345" w:rsidRDefault="00BD5345" w:rsidP="00A21663">
      <w:pPr>
        <w:shd w:val="clear" w:color="auto" w:fill="FFFFFF"/>
        <w:spacing w:after="0" w:line="312" w:lineRule="auto"/>
        <w:ind w:firstLine="743"/>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Например, в Курской области 28 июня 2021 г</w:t>
      </w:r>
      <w:r w:rsidR="00CB0633">
        <w:rPr>
          <w:rFonts w:ascii="Times New Roman" w:eastAsia="Times New Roman" w:hAnsi="Times New Roman" w:cs="Times New Roman"/>
          <w:sz w:val="28"/>
          <w:szCs w:val="28"/>
        </w:rPr>
        <w:t>.</w:t>
      </w:r>
      <w:r w:rsidRPr="00BD5345">
        <w:rPr>
          <w:rFonts w:ascii="Times New Roman" w:eastAsia="Times New Roman" w:hAnsi="Times New Roman" w:cs="Times New Roman"/>
          <w:sz w:val="28"/>
          <w:szCs w:val="28"/>
        </w:rPr>
        <w:t xml:space="preserve"> принят Закон № 55-ЗКО </w:t>
      </w:r>
      <w:r w:rsidR="00CA4BA4">
        <w:rPr>
          <w:rFonts w:ascii="Times New Roman" w:eastAsia="Times New Roman" w:hAnsi="Times New Roman" w:cs="Times New Roman"/>
          <w:sz w:val="28"/>
          <w:szCs w:val="28"/>
        </w:rPr>
        <w:br/>
      </w:r>
      <w:r w:rsidRPr="00BD5345">
        <w:rPr>
          <w:rFonts w:ascii="Times New Roman" w:eastAsia="Times New Roman" w:hAnsi="Times New Roman" w:cs="Times New Roman"/>
          <w:sz w:val="28"/>
          <w:szCs w:val="28"/>
        </w:rPr>
        <w:t xml:space="preserve">«Об общественных воспитателях несовершеннолетних». Региональной </w:t>
      </w:r>
      <w:r w:rsidR="00D3373C">
        <w:rPr>
          <w:rFonts w:ascii="Times New Roman" w:eastAsia="Times New Roman" w:hAnsi="Times New Roman" w:cs="Times New Roman"/>
          <w:sz w:val="28"/>
          <w:szCs w:val="28"/>
        </w:rPr>
        <w:t xml:space="preserve">комиссией по делам несовершеннолетних и защите их прав </w:t>
      </w:r>
      <w:r w:rsidRPr="00BD5345">
        <w:rPr>
          <w:rFonts w:ascii="Times New Roman" w:eastAsia="Times New Roman" w:hAnsi="Times New Roman" w:cs="Times New Roman"/>
          <w:sz w:val="28"/>
          <w:szCs w:val="28"/>
        </w:rPr>
        <w:t>разработаны методические рекомендации для муниципальных комиссий по его реализации.</w:t>
      </w:r>
    </w:p>
    <w:p w14:paraId="03AE84D4" w14:textId="013D8857" w:rsidR="00BD5345" w:rsidRPr="00BD5345" w:rsidRDefault="00BD5345" w:rsidP="00A21663">
      <w:pPr>
        <w:widowControl w:val="0"/>
        <w:shd w:val="clear" w:color="auto" w:fill="FFFFFF"/>
        <w:spacing w:after="0" w:line="312" w:lineRule="auto"/>
        <w:ind w:firstLine="743"/>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В соответствии с Законом Респу</w:t>
      </w:r>
      <w:r w:rsidR="00CA4BA4">
        <w:rPr>
          <w:rFonts w:ascii="Times New Roman" w:eastAsia="Times New Roman" w:hAnsi="Times New Roman" w:cs="Times New Roman"/>
          <w:sz w:val="28"/>
          <w:szCs w:val="28"/>
        </w:rPr>
        <w:t xml:space="preserve">блики Бурятия от 5 мая 2011 г. </w:t>
      </w:r>
      <w:r w:rsidRPr="00BD5345">
        <w:rPr>
          <w:rFonts w:ascii="Times New Roman" w:eastAsia="Times New Roman" w:hAnsi="Times New Roman" w:cs="Times New Roman"/>
          <w:sz w:val="28"/>
          <w:szCs w:val="28"/>
        </w:rPr>
        <w:t>№ 2005-IV</w:t>
      </w:r>
      <w:r w:rsidR="00D3373C">
        <w:rPr>
          <w:rFonts w:ascii="Times New Roman" w:eastAsia="Times New Roman" w:hAnsi="Times New Roman" w:cs="Times New Roman"/>
          <w:sz w:val="28"/>
          <w:szCs w:val="28"/>
        </w:rPr>
        <w:t xml:space="preserve"> </w:t>
      </w:r>
      <w:r w:rsidR="0027146D">
        <w:rPr>
          <w:rFonts w:ascii="Times New Roman" w:eastAsia="Times New Roman" w:hAnsi="Times New Roman" w:cs="Times New Roman"/>
          <w:sz w:val="28"/>
          <w:szCs w:val="28"/>
        </w:rPr>
        <w:br/>
      </w:r>
      <w:r w:rsidR="00D3373C">
        <w:rPr>
          <w:rFonts w:ascii="Times New Roman" w:eastAsia="Times New Roman" w:hAnsi="Times New Roman" w:cs="Times New Roman"/>
          <w:sz w:val="28"/>
          <w:szCs w:val="28"/>
        </w:rPr>
        <w:t>«Об общественных воспитателях для несовершеннолетних»</w:t>
      </w:r>
      <w:r w:rsidRPr="00BD5345">
        <w:rPr>
          <w:rFonts w:ascii="Times New Roman" w:eastAsia="Times New Roman" w:hAnsi="Times New Roman" w:cs="Times New Roman"/>
          <w:sz w:val="28"/>
          <w:szCs w:val="28"/>
        </w:rPr>
        <w:t xml:space="preserve"> по состоянию на 1 января 2022 г</w:t>
      </w:r>
      <w:r w:rsidR="00D3373C">
        <w:rPr>
          <w:rFonts w:ascii="Times New Roman" w:eastAsia="Times New Roman" w:hAnsi="Times New Roman" w:cs="Times New Roman"/>
          <w:sz w:val="28"/>
          <w:szCs w:val="28"/>
        </w:rPr>
        <w:t>.</w:t>
      </w:r>
      <w:r w:rsidRPr="00BD5345">
        <w:rPr>
          <w:rFonts w:ascii="Times New Roman" w:eastAsia="Times New Roman" w:hAnsi="Times New Roman" w:cs="Times New Roman"/>
          <w:sz w:val="28"/>
          <w:szCs w:val="28"/>
        </w:rPr>
        <w:t xml:space="preserve"> общественные воспитатели закреплены за 180 несовершеннолетними, из </w:t>
      </w:r>
      <w:r w:rsidR="00D3373C">
        <w:rPr>
          <w:rFonts w:ascii="Times New Roman" w:eastAsia="Times New Roman" w:hAnsi="Times New Roman" w:cs="Times New Roman"/>
          <w:sz w:val="28"/>
          <w:szCs w:val="28"/>
        </w:rPr>
        <w:t xml:space="preserve">которых 142 – состоят на учете </w:t>
      </w:r>
      <w:r w:rsidRPr="00BD5345">
        <w:rPr>
          <w:rFonts w:ascii="Times New Roman" w:eastAsia="Times New Roman" w:hAnsi="Times New Roman" w:cs="Times New Roman"/>
          <w:sz w:val="28"/>
          <w:szCs w:val="28"/>
        </w:rPr>
        <w:t>в органах внутренних дел, 38 – из семей, находящихся в социально опасном положении.</w:t>
      </w:r>
    </w:p>
    <w:p w14:paraId="592A65F9" w14:textId="77777777" w:rsidR="00BD5345" w:rsidRPr="00BD5345" w:rsidRDefault="00BD5345" w:rsidP="00A21663">
      <w:pPr>
        <w:widowControl w:val="0"/>
        <w:spacing w:after="0" w:line="312" w:lineRule="auto"/>
        <w:ind w:right="180" w:firstLine="743"/>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Кроме того, реализация республиканского проекта «Старший брат» Министерства спорта и молодежной политики Республики Бурятия позволила дополнительно охватить наставничеством 148 подростков, в том числе 102 – состоящих на учете в органах внутренних де</w:t>
      </w:r>
      <w:r w:rsidR="00D3373C">
        <w:rPr>
          <w:rFonts w:ascii="Times New Roman" w:eastAsia="Times New Roman" w:hAnsi="Times New Roman" w:cs="Times New Roman"/>
          <w:sz w:val="28"/>
          <w:szCs w:val="28"/>
        </w:rPr>
        <w:t xml:space="preserve">л и 46 – из семей, находящихся </w:t>
      </w:r>
      <w:r w:rsidRPr="00BD5345">
        <w:rPr>
          <w:rFonts w:ascii="Times New Roman" w:eastAsia="Times New Roman" w:hAnsi="Times New Roman" w:cs="Times New Roman"/>
          <w:sz w:val="28"/>
          <w:szCs w:val="28"/>
        </w:rPr>
        <w:t>в социально опасном положении.</w:t>
      </w:r>
    </w:p>
    <w:p w14:paraId="4A96DAB2" w14:textId="77777777" w:rsidR="00BD5345" w:rsidRPr="00BD5345" w:rsidRDefault="00BD5345" w:rsidP="00A21663">
      <w:pPr>
        <w:widowControl w:val="0"/>
        <w:spacing w:after="0" w:line="312" w:lineRule="auto"/>
        <w:ind w:right="180" w:firstLine="743"/>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 xml:space="preserve">В Иркутской области организовано взаимодействие территориальных органов МВД России и </w:t>
      </w:r>
      <w:r w:rsidRPr="00BD5345">
        <w:rPr>
          <w:rFonts w:ascii="Times New Roman" w:eastAsia="Times New Roman" w:hAnsi="Times New Roman" w:cs="Times New Roman"/>
          <w:sz w:val="28"/>
          <w:szCs w:val="28"/>
          <w:lang w:bidi="ru-RU"/>
        </w:rPr>
        <w:t xml:space="preserve">подведомственных региональному министерству социального развития, опеки и попечительства </w:t>
      </w:r>
      <w:r w:rsidRPr="00BD5345">
        <w:rPr>
          <w:rFonts w:ascii="Times New Roman" w:eastAsia="Times New Roman" w:hAnsi="Times New Roman" w:cs="Times New Roman"/>
          <w:sz w:val="28"/>
          <w:szCs w:val="28"/>
        </w:rPr>
        <w:t>учрежден</w:t>
      </w:r>
      <w:r w:rsidR="00D3373C">
        <w:rPr>
          <w:rFonts w:ascii="Times New Roman" w:eastAsia="Times New Roman" w:hAnsi="Times New Roman" w:cs="Times New Roman"/>
          <w:sz w:val="28"/>
          <w:szCs w:val="28"/>
        </w:rPr>
        <w:t>ий по внедрению шефской работы.</w:t>
      </w:r>
    </w:p>
    <w:p w14:paraId="1850C552" w14:textId="25ECF442" w:rsidR="00BD5345" w:rsidRPr="00BD5345" w:rsidRDefault="00BD5345" w:rsidP="00A21663">
      <w:pPr>
        <w:widowControl w:val="0"/>
        <w:spacing w:after="0" w:line="312" w:lineRule="auto"/>
        <w:ind w:firstLine="743"/>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По итогам 2021 г</w:t>
      </w:r>
      <w:r w:rsidR="00CD067F">
        <w:rPr>
          <w:rFonts w:ascii="Times New Roman" w:eastAsia="Times New Roman" w:hAnsi="Times New Roman" w:cs="Times New Roman"/>
          <w:sz w:val="28"/>
          <w:szCs w:val="28"/>
        </w:rPr>
        <w:t>.</w:t>
      </w:r>
      <w:r w:rsidRPr="00BD5345">
        <w:rPr>
          <w:rFonts w:ascii="Times New Roman" w:eastAsia="Times New Roman" w:hAnsi="Times New Roman" w:cs="Times New Roman"/>
          <w:sz w:val="28"/>
          <w:szCs w:val="28"/>
        </w:rPr>
        <w:t xml:space="preserve"> сформированы 252 пары «наставник – воспитанник», </w:t>
      </w:r>
      <w:r w:rsidR="0027146D">
        <w:rPr>
          <w:rFonts w:ascii="Times New Roman" w:eastAsia="Times New Roman" w:hAnsi="Times New Roman" w:cs="Times New Roman"/>
          <w:sz w:val="28"/>
          <w:szCs w:val="28"/>
        </w:rPr>
        <w:br/>
      </w:r>
      <w:r w:rsidRPr="00BD5345">
        <w:rPr>
          <w:rFonts w:ascii="Times New Roman" w:eastAsia="Times New Roman" w:hAnsi="Times New Roman" w:cs="Times New Roman"/>
          <w:sz w:val="28"/>
          <w:szCs w:val="28"/>
        </w:rPr>
        <w:t xml:space="preserve">за 32 воспитанниками закреплены наставники из числа сотрудников правоохранительных органов. </w:t>
      </w:r>
    </w:p>
    <w:p w14:paraId="6DAE886B" w14:textId="77777777" w:rsidR="00BD5345" w:rsidRPr="00BD5345" w:rsidRDefault="00BD5345" w:rsidP="00A21663">
      <w:pPr>
        <w:spacing w:after="0" w:line="312" w:lineRule="auto"/>
        <w:ind w:firstLine="709"/>
        <w:jc w:val="both"/>
        <w:rPr>
          <w:rFonts w:ascii="Times New Roman" w:hAnsi="Times New Roman" w:cs="Times New Roman"/>
          <w:bCs/>
          <w:sz w:val="28"/>
          <w:szCs w:val="28"/>
        </w:rPr>
      </w:pPr>
      <w:r w:rsidRPr="00BD5345">
        <w:rPr>
          <w:rFonts w:ascii="Times New Roman" w:hAnsi="Times New Roman" w:cs="Times New Roman"/>
          <w:bCs/>
          <w:sz w:val="28"/>
          <w:szCs w:val="28"/>
        </w:rPr>
        <w:t>В Камчатском крае техноло</w:t>
      </w:r>
      <w:r w:rsidR="00CA4BA4">
        <w:rPr>
          <w:rFonts w:ascii="Times New Roman" w:hAnsi="Times New Roman" w:cs="Times New Roman"/>
          <w:bCs/>
          <w:sz w:val="28"/>
          <w:szCs w:val="28"/>
        </w:rPr>
        <w:t xml:space="preserve">гия наставничества развивается </w:t>
      </w:r>
      <w:r w:rsidRPr="00BD5345">
        <w:rPr>
          <w:rFonts w:ascii="Times New Roman" w:hAnsi="Times New Roman" w:cs="Times New Roman"/>
          <w:bCs/>
          <w:sz w:val="28"/>
          <w:szCs w:val="28"/>
        </w:rPr>
        <w:t>в соответствии с постановлением Правительства от 10 февраля 2020 г. № 52-П</w:t>
      </w:r>
      <w:r w:rsidR="00D3373C">
        <w:rPr>
          <w:rFonts w:ascii="Times New Roman" w:hAnsi="Times New Roman" w:cs="Times New Roman"/>
          <w:bCs/>
          <w:sz w:val="28"/>
          <w:szCs w:val="28"/>
        </w:rPr>
        <w:t xml:space="preserve"> «Положение об общественных воспитателях (наставниках) отдельных категорий</w:t>
      </w:r>
      <w:r w:rsidR="000B0622">
        <w:rPr>
          <w:rFonts w:ascii="Times New Roman" w:hAnsi="Times New Roman" w:cs="Times New Roman"/>
          <w:bCs/>
          <w:sz w:val="28"/>
          <w:szCs w:val="28"/>
        </w:rPr>
        <w:t xml:space="preserve"> </w:t>
      </w:r>
      <w:r w:rsidR="00D3373C">
        <w:rPr>
          <w:rFonts w:ascii="Times New Roman" w:hAnsi="Times New Roman" w:cs="Times New Roman"/>
          <w:bCs/>
          <w:sz w:val="28"/>
          <w:szCs w:val="28"/>
        </w:rPr>
        <w:t>несовершеннолетних в Камчатском крае»</w:t>
      </w:r>
      <w:r w:rsidRPr="00BD5345">
        <w:rPr>
          <w:rFonts w:ascii="Times New Roman" w:hAnsi="Times New Roman" w:cs="Times New Roman"/>
          <w:bCs/>
          <w:sz w:val="28"/>
          <w:szCs w:val="28"/>
        </w:rPr>
        <w:t>. Шефы-наставники личным примеро</w:t>
      </w:r>
      <w:r w:rsidR="00D3373C">
        <w:rPr>
          <w:rFonts w:ascii="Times New Roman" w:hAnsi="Times New Roman" w:cs="Times New Roman"/>
          <w:bCs/>
          <w:sz w:val="28"/>
          <w:szCs w:val="28"/>
        </w:rPr>
        <w:t xml:space="preserve">м приобщают несовершеннолетних </w:t>
      </w:r>
      <w:r w:rsidRPr="00BD5345">
        <w:rPr>
          <w:rFonts w:ascii="Times New Roman" w:hAnsi="Times New Roman" w:cs="Times New Roman"/>
          <w:bCs/>
          <w:sz w:val="28"/>
          <w:szCs w:val="28"/>
        </w:rPr>
        <w:t>к здоровому образу жизни, привлекают р</w:t>
      </w:r>
      <w:r w:rsidR="00D3373C">
        <w:rPr>
          <w:rFonts w:ascii="Times New Roman" w:hAnsi="Times New Roman" w:cs="Times New Roman"/>
          <w:bCs/>
          <w:sz w:val="28"/>
          <w:szCs w:val="28"/>
        </w:rPr>
        <w:t xml:space="preserve">ебят к оказанию помощи пожилым </w:t>
      </w:r>
      <w:r w:rsidRPr="00BD5345">
        <w:rPr>
          <w:rFonts w:ascii="Times New Roman" w:hAnsi="Times New Roman" w:cs="Times New Roman"/>
          <w:bCs/>
          <w:sz w:val="28"/>
          <w:szCs w:val="28"/>
        </w:rPr>
        <w:t>и одиноким гражданам, организовывают сов</w:t>
      </w:r>
      <w:r w:rsidR="00D3373C">
        <w:rPr>
          <w:rFonts w:ascii="Times New Roman" w:hAnsi="Times New Roman" w:cs="Times New Roman"/>
          <w:bCs/>
          <w:sz w:val="28"/>
          <w:szCs w:val="28"/>
        </w:rPr>
        <w:t xml:space="preserve">местные занятия спортом, выезды </w:t>
      </w:r>
      <w:r w:rsidRPr="00BD5345">
        <w:rPr>
          <w:rFonts w:ascii="Times New Roman" w:hAnsi="Times New Roman" w:cs="Times New Roman"/>
          <w:bCs/>
          <w:sz w:val="28"/>
          <w:szCs w:val="28"/>
        </w:rPr>
        <w:t xml:space="preserve">на рыбалку. </w:t>
      </w:r>
    </w:p>
    <w:p w14:paraId="5BB46276" w14:textId="77777777" w:rsidR="00BD5345" w:rsidRPr="00BD5345" w:rsidRDefault="00BD5345" w:rsidP="00A21663">
      <w:pPr>
        <w:widowControl w:val="0"/>
        <w:tabs>
          <w:tab w:val="left" w:pos="2033"/>
          <w:tab w:val="left" w:pos="4128"/>
        </w:tabs>
        <w:spacing w:after="0" w:line="312" w:lineRule="auto"/>
        <w:ind w:firstLine="740"/>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В Омской области в целях обеспечения контроля за организацией занятости и безопасным поведением подр</w:t>
      </w:r>
      <w:r w:rsidR="00CA4BA4">
        <w:rPr>
          <w:rFonts w:ascii="Times New Roman" w:eastAsia="Times New Roman" w:hAnsi="Times New Roman" w:cs="Times New Roman"/>
          <w:sz w:val="28"/>
          <w:szCs w:val="28"/>
        </w:rPr>
        <w:t xml:space="preserve">остков в период летних каникул </w:t>
      </w:r>
      <w:r w:rsidRPr="00BD5345">
        <w:rPr>
          <w:rFonts w:ascii="Times New Roman" w:eastAsia="Times New Roman" w:hAnsi="Times New Roman" w:cs="Times New Roman"/>
          <w:sz w:val="28"/>
          <w:szCs w:val="28"/>
        </w:rPr>
        <w:t>в 2021 г</w:t>
      </w:r>
      <w:r w:rsidR="00CD067F">
        <w:rPr>
          <w:rFonts w:ascii="Times New Roman" w:eastAsia="Times New Roman" w:hAnsi="Times New Roman" w:cs="Times New Roman"/>
          <w:sz w:val="28"/>
          <w:szCs w:val="28"/>
        </w:rPr>
        <w:t>.</w:t>
      </w:r>
      <w:r w:rsidRPr="00BD5345">
        <w:rPr>
          <w:rFonts w:ascii="Times New Roman" w:eastAsia="Times New Roman" w:hAnsi="Times New Roman" w:cs="Times New Roman"/>
          <w:sz w:val="28"/>
          <w:szCs w:val="28"/>
        </w:rPr>
        <w:t xml:space="preserve"> продолжена реализация проекта краткосрочного наставничества над несовершеннолетними, состоящими на различных видах профилактического учета, нуждающимися в особом контроле. В проекте приняли участие 1 897 подростков, из них </w:t>
      </w:r>
      <w:r w:rsidR="00CD067F">
        <w:rPr>
          <w:rFonts w:ascii="Times New Roman" w:eastAsia="Times New Roman" w:hAnsi="Times New Roman" w:cs="Times New Roman"/>
          <w:sz w:val="28"/>
          <w:szCs w:val="28"/>
        </w:rPr>
        <w:br/>
      </w:r>
      <w:r w:rsidRPr="00BD5345">
        <w:rPr>
          <w:rFonts w:ascii="Times New Roman" w:eastAsia="Times New Roman" w:hAnsi="Times New Roman" w:cs="Times New Roman"/>
          <w:sz w:val="28"/>
          <w:szCs w:val="28"/>
        </w:rPr>
        <w:t xml:space="preserve">246 участвовали в проекте повторно. За каждым ребенком был закреплен наставник из числа сотрудников полиции (27%), представителей органов местного самоуправления и представителей общественных объединений, депутатов представительных органов муниципального образования (4,5%), специалистов системы образования (43,5%), специалистов иных субъектов системы профилактики </w:t>
      </w:r>
      <w:r w:rsidR="00243CCE">
        <w:rPr>
          <w:rFonts w:ascii="Times New Roman" w:eastAsia="Times New Roman" w:hAnsi="Times New Roman" w:cs="Times New Roman"/>
          <w:sz w:val="28"/>
          <w:szCs w:val="28"/>
        </w:rPr>
        <w:t>безнадзорности и правонарушений несовершеннолетних (25%). 341</w:t>
      </w:r>
      <w:r w:rsidRPr="00BD5345">
        <w:rPr>
          <w:rFonts w:ascii="Times New Roman" w:eastAsia="Times New Roman" w:hAnsi="Times New Roman" w:cs="Times New Roman"/>
          <w:sz w:val="28"/>
          <w:szCs w:val="28"/>
        </w:rPr>
        <w:t xml:space="preserve"> подросток </w:t>
      </w:r>
      <w:r w:rsidR="00243CCE" w:rsidRPr="00BD5345">
        <w:rPr>
          <w:rFonts w:ascii="Times New Roman" w:eastAsia="Times New Roman" w:hAnsi="Times New Roman" w:cs="Times New Roman"/>
          <w:sz w:val="28"/>
          <w:szCs w:val="28"/>
        </w:rPr>
        <w:t>(18%)</w:t>
      </w:r>
      <w:r w:rsidR="000B0622" w:rsidRPr="00BD5345">
        <w:rPr>
          <w:rFonts w:ascii="Times New Roman" w:hAnsi="Times New Roman" w:cs="Times New Roman"/>
          <w:sz w:val="28"/>
          <w:szCs w:val="28"/>
          <w:lang w:bidi="ru-RU"/>
        </w:rPr>
        <w:t> </w:t>
      </w:r>
      <w:r w:rsidRPr="00BD5345">
        <w:rPr>
          <w:rFonts w:ascii="Times New Roman" w:eastAsia="Times New Roman" w:hAnsi="Times New Roman" w:cs="Times New Roman"/>
          <w:sz w:val="28"/>
          <w:szCs w:val="28"/>
        </w:rPr>
        <w:t>сопровождался двумя наставниками. Реализация мероприятий программы краткосрочного наставничества позволила достигнуть положительных результатов, способствующих личностному росту и развитию воспитанников.</w:t>
      </w:r>
    </w:p>
    <w:p w14:paraId="323230CB" w14:textId="0E6353EB" w:rsidR="00BD5345" w:rsidRPr="00BD5345" w:rsidRDefault="00BD5345" w:rsidP="00A21663">
      <w:pPr>
        <w:widowControl w:val="0"/>
        <w:spacing w:after="0" w:line="312" w:lineRule="auto"/>
        <w:ind w:firstLine="740"/>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 xml:space="preserve">Благодаря принятым мерам, 417 </w:t>
      </w:r>
      <w:r w:rsidR="00534539" w:rsidRPr="00BD5345">
        <w:rPr>
          <w:rFonts w:ascii="Times New Roman" w:eastAsia="Times New Roman" w:hAnsi="Times New Roman" w:cs="Times New Roman"/>
          <w:sz w:val="28"/>
          <w:szCs w:val="28"/>
        </w:rPr>
        <w:t xml:space="preserve">подростков </w:t>
      </w:r>
      <w:r w:rsidRPr="00BD5345">
        <w:rPr>
          <w:rFonts w:ascii="Times New Roman" w:eastAsia="Times New Roman" w:hAnsi="Times New Roman" w:cs="Times New Roman"/>
          <w:sz w:val="28"/>
          <w:szCs w:val="28"/>
        </w:rPr>
        <w:t xml:space="preserve">(21%) </w:t>
      </w:r>
      <w:r w:rsidR="00534539">
        <w:rPr>
          <w:rFonts w:ascii="Times New Roman" w:eastAsia="Times New Roman" w:hAnsi="Times New Roman" w:cs="Times New Roman"/>
          <w:sz w:val="28"/>
          <w:szCs w:val="28"/>
        </w:rPr>
        <w:t xml:space="preserve">сняты </w:t>
      </w:r>
      <w:r w:rsidRPr="00BD5345">
        <w:rPr>
          <w:rFonts w:ascii="Times New Roman" w:eastAsia="Times New Roman" w:hAnsi="Times New Roman" w:cs="Times New Roman"/>
          <w:sz w:val="28"/>
          <w:szCs w:val="28"/>
        </w:rPr>
        <w:t>с профилактического учета в св</w:t>
      </w:r>
      <w:r w:rsidR="00534539">
        <w:rPr>
          <w:rFonts w:ascii="Times New Roman" w:eastAsia="Times New Roman" w:hAnsi="Times New Roman" w:cs="Times New Roman"/>
          <w:sz w:val="28"/>
          <w:szCs w:val="28"/>
        </w:rPr>
        <w:t>язи с исправлением, у 735 (37%)</w:t>
      </w:r>
      <w:r w:rsidRPr="00BD5345">
        <w:rPr>
          <w:rFonts w:ascii="Times New Roman" w:eastAsia="Times New Roman" w:hAnsi="Times New Roman" w:cs="Times New Roman"/>
          <w:sz w:val="28"/>
          <w:szCs w:val="28"/>
        </w:rPr>
        <w:t xml:space="preserve"> отмечено отсутствие поведенческих отклонений, у 794 (40%)</w:t>
      </w:r>
      <w:r w:rsidR="000B0622" w:rsidRPr="00BD5345">
        <w:rPr>
          <w:rFonts w:ascii="Times New Roman" w:hAnsi="Times New Roman" w:cs="Times New Roman"/>
          <w:sz w:val="28"/>
          <w:szCs w:val="28"/>
          <w:lang w:bidi="ru-RU"/>
        </w:rPr>
        <w:t> </w:t>
      </w:r>
      <w:r w:rsidRPr="00BD5345">
        <w:rPr>
          <w:rFonts w:ascii="Times New Roman" w:eastAsia="Times New Roman" w:hAnsi="Times New Roman" w:cs="Times New Roman"/>
          <w:sz w:val="28"/>
          <w:szCs w:val="28"/>
        </w:rPr>
        <w:t xml:space="preserve">стабилизировалось эмоционально-психическое состояние посредством овладения навыками </w:t>
      </w:r>
      <w:proofErr w:type="spellStart"/>
      <w:r w:rsidRPr="00BD5345">
        <w:rPr>
          <w:rFonts w:ascii="Times New Roman" w:eastAsia="Times New Roman" w:hAnsi="Times New Roman" w:cs="Times New Roman"/>
          <w:sz w:val="28"/>
          <w:szCs w:val="28"/>
        </w:rPr>
        <w:t>саморегуляции</w:t>
      </w:r>
      <w:proofErr w:type="spellEnd"/>
      <w:r w:rsidRPr="00BD5345">
        <w:rPr>
          <w:rFonts w:ascii="Times New Roman" w:eastAsia="Times New Roman" w:hAnsi="Times New Roman" w:cs="Times New Roman"/>
          <w:sz w:val="28"/>
          <w:szCs w:val="28"/>
        </w:rPr>
        <w:t>, у 1 192 (60%) повышен уровень мотивации к социально одобряемому образу жизни, у 774 (39%)</w:t>
      </w:r>
      <w:r w:rsidR="0037242B" w:rsidRPr="00BD5345">
        <w:rPr>
          <w:rFonts w:ascii="Times New Roman" w:eastAsia="Times New Roman" w:hAnsi="Times New Roman" w:cs="Times New Roman"/>
          <w:sz w:val="28"/>
          <w:szCs w:val="28"/>
        </w:rPr>
        <w:t> </w:t>
      </w:r>
      <w:r w:rsidRPr="00BD5345">
        <w:rPr>
          <w:rFonts w:ascii="Times New Roman" w:eastAsia="Times New Roman" w:hAnsi="Times New Roman" w:cs="Times New Roman"/>
          <w:sz w:val="28"/>
          <w:szCs w:val="28"/>
        </w:rPr>
        <w:t>улучшились детско-родительские отношения, взаимоотношения со сверстниками.</w:t>
      </w:r>
    </w:p>
    <w:p w14:paraId="4A86B31D" w14:textId="77777777" w:rsidR="00BD5345" w:rsidRPr="00BD5345" w:rsidRDefault="00BD5345" w:rsidP="00A21663">
      <w:pPr>
        <w:widowControl w:val="0"/>
        <w:spacing w:after="0" w:line="312" w:lineRule="auto"/>
        <w:ind w:firstLine="740"/>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К числу приоритетных задач в сфере обеспечения прав и законных интересов несовершеннолетних в современн</w:t>
      </w:r>
      <w:r w:rsidR="00534539">
        <w:rPr>
          <w:rFonts w:ascii="Times New Roman" w:eastAsia="Times New Roman" w:hAnsi="Times New Roman" w:cs="Times New Roman"/>
          <w:sz w:val="28"/>
          <w:szCs w:val="28"/>
        </w:rPr>
        <w:t xml:space="preserve">ом мире относится защита детей </w:t>
      </w:r>
      <w:r w:rsidRPr="00BD5345">
        <w:rPr>
          <w:rFonts w:ascii="Times New Roman" w:eastAsia="Times New Roman" w:hAnsi="Times New Roman" w:cs="Times New Roman"/>
          <w:sz w:val="28"/>
          <w:szCs w:val="28"/>
        </w:rPr>
        <w:t>от информации, причиняющей вред их здоровью и развитию.</w:t>
      </w:r>
    </w:p>
    <w:p w14:paraId="2C92316F" w14:textId="77777777" w:rsidR="00BD5345" w:rsidRPr="00BD5345" w:rsidRDefault="00BD5345" w:rsidP="00A21663">
      <w:pPr>
        <w:widowControl w:val="0"/>
        <w:spacing w:after="0" w:line="312" w:lineRule="auto"/>
        <w:ind w:firstLine="740"/>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Анализ сведений, распространяемых в сети «Интернет», свидетельствует о том, что информационные площадки нередко становятся средством вовлечения несовершеннолетних в совершение противоправных деяний, побуждения действиям, представляющим угр</w:t>
      </w:r>
      <w:r w:rsidR="00A814C4">
        <w:rPr>
          <w:rFonts w:ascii="Times New Roman" w:eastAsia="Times New Roman" w:hAnsi="Times New Roman" w:cs="Times New Roman"/>
          <w:sz w:val="28"/>
          <w:szCs w:val="28"/>
        </w:rPr>
        <w:t xml:space="preserve">озу их жизни и (или) здоровью, </w:t>
      </w:r>
      <w:r w:rsidRPr="00BD5345">
        <w:rPr>
          <w:rFonts w:ascii="Times New Roman" w:eastAsia="Times New Roman" w:hAnsi="Times New Roman" w:cs="Times New Roman"/>
          <w:sz w:val="28"/>
          <w:szCs w:val="28"/>
        </w:rPr>
        <w:t>в том числе к причинению вреда своему здоровью, с</w:t>
      </w:r>
      <w:r w:rsidR="00A814C4">
        <w:rPr>
          <w:rFonts w:ascii="Times New Roman" w:eastAsia="Times New Roman" w:hAnsi="Times New Roman" w:cs="Times New Roman"/>
          <w:sz w:val="28"/>
          <w:szCs w:val="28"/>
        </w:rPr>
        <w:t xml:space="preserve">амоубийству, либо жизни </w:t>
      </w:r>
      <w:r w:rsidRPr="00BD5345">
        <w:rPr>
          <w:rFonts w:ascii="Times New Roman" w:eastAsia="Times New Roman" w:hAnsi="Times New Roman" w:cs="Times New Roman"/>
          <w:sz w:val="28"/>
          <w:szCs w:val="28"/>
        </w:rPr>
        <w:t>и (или) здоровью иных лиц, пропага</w:t>
      </w:r>
      <w:r w:rsidR="00A814C4">
        <w:rPr>
          <w:rFonts w:ascii="Times New Roman" w:eastAsia="Times New Roman" w:hAnsi="Times New Roman" w:cs="Times New Roman"/>
          <w:sz w:val="28"/>
          <w:szCs w:val="28"/>
        </w:rPr>
        <w:t xml:space="preserve">нды участия несовершеннолетних </w:t>
      </w:r>
      <w:r w:rsidRPr="00BD5345">
        <w:rPr>
          <w:rFonts w:ascii="Times New Roman" w:eastAsia="Times New Roman" w:hAnsi="Times New Roman" w:cs="Times New Roman"/>
          <w:sz w:val="28"/>
          <w:szCs w:val="28"/>
        </w:rPr>
        <w:t>в несогласованных публичных акциях, «</w:t>
      </w:r>
      <w:proofErr w:type="spellStart"/>
      <w:r w:rsidRPr="00BD5345">
        <w:rPr>
          <w:rFonts w:ascii="Times New Roman" w:eastAsia="Times New Roman" w:hAnsi="Times New Roman" w:cs="Times New Roman"/>
          <w:sz w:val="28"/>
          <w:szCs w:val="28"/>
        </w:rPr>
        <w:t>скулшутинге</w:t>
      </w:r>
      <w:proofErr w:type="spellEnd"/>
      <w:r w:rsidRPr="00BD5345">
        <w:rPr>
          <w:rFonts w:ascii="Times New Roman" w:eastAsia="Times New Roman" w:hAnsi="Times New Roman" w:cs="Times New Roman"/>
          <w:sz w:val="28"/>
          <w:szCs w:val="28"/>
        </w:rPr>
        <w:t>», а также иных действиях насильственного и экстремистского характера.</w:t>
      </w:r>
    </w:p>
    <w:p w14:paraId="7F7F3740" w14:textId="77777777" w:rsidR="00BD5345" w:rsidRPr="00BD5345" w:rsidRDefault="00BD5345" w:rsidP="00A21663">
      <w:pPr>
        <w:widowControl w:val="0"/>
        <w:spacing w:after="0" w:line="312" w:lineRule="auto"/>
        <w:ind w:firstLine="740"/>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В 2021 г</w:t>
      </w:r>
      <w:r w:rsidR="00CD067F">
        <w:rPr>
          <w:rFonts w:ascii="Times New Roman" w:eastAsia="Times New Roman" w:hAnsi="Times New Roman" w:cs="Times New Roman"/>
          <w:sz w:val="28"/>
          <w:szCs w:val="28"/>
        </w:rPr>
        <w:t>.</w:t>
      </w:r>
      <w:r w:rsidRPr="00BD5345">
        <w:rPr>
          <w:rFonts w:ascii="Times New Roman" w:eastAsia="Times New Roman" w:hAnsi="Times New Roman" w:cs="Times New Roman"/>
          <w:sz w:val="28"/>
          <w:szCs w:val="28"/>
        </w:rPr>
        <w:t xml:space="preserve"> по материалам МВД России ограничен доступ к 37 тыс. </w:t>
      </w:r>
      <w:proofErr w:type="spellStart"/>
      <w:r w:rsidRPr="00BD5345">
        <w:rPr>
          <w:rFonts w:ascii="Times New Roman" w:eastAsia="Times New Roman" w:hAnsi="Times New Roman" w:cs="Times New Roman"/>
          <w:sz w:val="28"/>
          <w:szCs w:val="28"/>
        </w:rPr>
        <w:t>интернет-ресурсам</w:t>
      </w:r>
      <w:proofErr w:type="spellEnd"/>
      <w:r w:rsidRPr="00BD5345">
        <w:rPr>
          <w:rFonts w:ascii="Times New Roman" w:eastAsia="Times New Roman" w:hAnsi="Times New Roman" w:cs="Times New Roman"/>
          <w:sz w:val="28"/>
          <w:szCs w:val="28"/>
        </w:rPr>
        <w:t xml:space="preserve"> экстремистского толка, а </w:t>
      </w:r>
      <w:r w:rsidR="00CA4BA4">
        <w:rPr>
          <w:rFonts w:ascii="Times New Roman" w:eastAsia="Times New Roman" w:hAnsi="Times New Roman" w:cs="Times New Roman"/>
          <w:sz w:val="28"/>
          <w:szCs w:val="28"/>
        </w:rPr>
        <w:t xml:space="preserve">также 7,8 тыс. – суицидального </w:t>
      </w:r>
      <w:r w:rsidRPr="00BD5345">
        <w:rPr>
          <w:rFonts w:ascii="Times New Roman" w:eastAsia="Times New Roman" w:hAnsi="Times New Roman" w:cs="Times New Roman"/>
          <w:sz w:val="28"/>
          <w:szCs w:val="28"/>
        </w:rPr>
        <w:t>и агрессивного характера.</w:t>
      </w:r>
    </w:p>
    <w:p w14:paraId="4E77A0D7" w14:textId="77777777" w:rsidR="00BD5345" w:rsidRPr="00BD5345" w:rsidRDefault="00BD5345" w:rsidP="009D1626">
      <w:pPr>
        <w:autoSpaceDE w:val="0"/>
        <w:autoSpaceDN w:val="0"/>
        <w:adjustRightInd w:val="0"/>
        <w:spacing w:after="0" w:line="312" w:lineRule="auto"/>
        <w:ind w:firstLine="709"/>
        <w:jc w:val="both"/>
        <w:rPr>
          <w:rFonts w:ascii="Times New Roman" w:hAnsi="Times New Roman" w:cs="Times New Roman"/>
          <w:sz w:val="28"/>
          <w:szCs w:val="28"/>
        </w:rPr>
      </w:pPr>
      <w:r w:rsidRPr="00BD5345">
        <w:rPr>
          <w:rFonts w:ascii="Times New Roman" w:hAnsi="Times New Roman" w:cs="Times New Roman"/>
          <w:sz w:val="28"/>
          <w:szCs w:val="28"/>
        </w:rPr>
        <w:t>Обеспечение информационной безопасности детей возможно при условии эффективного сочетания государственных и общественных усилий при опреде</w:t>
      </w:r>
      <w:r w:rsidR="009D1626">
        <w:rPr>
          <w:rFonts w:ascii="Times New Roman" w:hAnsi="Times New Roman" w:cs="Times New Roman"/>
          <w:sz w:val="28"/>
          <w:szCs w:val="28"/>
        </w:rPr>
        <w:t xml:space="preserve">ляющей роли семьи. </w:t>
      </w:r>
      <w:r w:rsidRPr="00BD5345">
        <w:rPr>
          <w:rFonts w:ascii="Times New Roman" w:hAnsi="Times New Roman" w:cs="Times New Roman"/>
          <w:sz w:val="28"/>
          <w:szCs w:val="28"/>
        </w:rPr>
        <w:t>В этой связи в 2021 г</w:t>
      </w:r>
      <w:r w:rsidR="00CD067F">
        <w:rPr>
          <w:rFonts w:ascii="Times New Roman" w:hAnsi="Times New Roman" w:cs="Times New Roman"/>
          <w:sz w:val="28"/>
          <w:szCs w:val="28"/>
        </w:rPr>
        <w:t>.</w:t>
      </w:r>
      <w:r w:rsidRPr="00BD5345">
        <w:rPr>
          <w:rFonts w:ascii="Times New Roman" w:hAnsi="Times New Roman" w:cs="Times New Roman"/>
          <w:sz w:val="28"/>
          <w:szCs w:val="28"/>
        </w:rPr>
        <w:t xml:space="preserve"> прово</w:t>
      </w:r>
      <w:r w:rsidR="00836D59">
        <w:rPr>
          <w:rFonts w:ascii="Times New Roman" w:hAnsi="Times New Roman" w:cs="Times New Roman"/>
          <w:sz w:val="28"/>
          <w:szCs w:val="28"/>
        </w:rPr>
        <w:t xml:space="preserve">дилась широкомасштабная работа </w:t>
      </w:r>
      <w:r w:rsidRPr="00BD5345">
        <w:rPr>
          <w:rFonts w:ascii="Times New Roman" w:hAnsi="Times New Roman" w:cs="Times New Roman"/>
          <w:sz w:val="28"/>
          <w:szCs w:val="28"/>
        </w:rPr>
        <w:t xml:space="preserve">с родителями и (или) иными законными представителями </w:t>
      </w:r>
      <w:r w:rsidRPr="00836D59">
        <w:rPr>
          <w:rFonts w:ascii="Times New Roman" w:hAnsi="Times New Roman" w:cs="Times New Roman"/>
          <w:bCs/>
          <w:color w:val="000000"/>
          <w:sz w:val="28"/>
          <w:szCs w:val="28"/>
          <w:lang w:eastAsia="ru-RU" w:bidi="ru-RU"/>
        </w:rPr>
        <w:t>с целью разъяснения им методов обеспечения защиты детей в сети «Интернет».</w:t>
      </w:r>
      <w:r w:rsidR="00CA4BA4" w:rsidRPr="00BD5345">
        <w:rPr>
          <w:rFonts w:ascii="Times New Roman" w:eastAsia="Times New Roman" w:hAnsi="Times New Roman" w:cs="Times New Roman"/>
          <w:sz w:val="28"/>
          <w:szCs w:val="28"/>
        </w:rPr>
        <w:t> </w:t>
      </w:r>
      <w:r w:rsidRPr="00BD5345">
        <w:rPr>
          <w:rFonts w:ascii="Times New Roman" w:hAnsi="Times New Roman" w:cs="Times New Roman"/>
          <w:sz w:val="28"/>
          <w:szCs w:val="28"/>
        </w:rPr>
        <w:t>Мероприятия в данной сфере организовываются в рамках региональных программ.</w:t>
      </w:r>
    </w:p>
    <w:p w14:paraId="5E62250E" w14:textId="77777777" w:rsidR="00BD5345" w:rsidRPr="00BD5345" w:rsidRDefault="00BD5345" w:rsidP="00A21663">
      <w:pPr>
        <w:spacing w:after="0" w:line="312" w:lineRule="auto"/>
        <w:ind w:right="-1" w:firstLine="709"/>
        <w:jc w:val="both"/>
        <w:rPr>
          <w:rFonts w:ascii="Times New Roman" w:eastAsia="Calibri" w:hAnsi="Times New Roman" w:cs="Times New Roman"/>
          <w:sz w:val="28"/>
          <w:szCs w:val="28"/>
        </w:rPr>
      </w:pPr>
      <w:r w:rsidRPr="00BD5345">
        <w:rPr>
          <w:rFonts w:ascii="Times New Roman" w:hAnsi="Times New Roman" w:cs="Times New Roman"/>
          <w:sz w:val="28"/>
          <w:szCs w:val="28"/>
        </w:rPr>
        <w:t>К примеру, в</w:t>
      </w:r>
      <w:r w:rsidRPr="00BD5345">
        <w:rPr>
          <w:rFonts w:ascii="Times New Roman" w:eastAsia="Calibri" w:hAnsi="Times New Roman" w:cs="Times New Roman"/>
          <w:sz w:val="28"/>
          <w:szCs w:val="28"/>
        </w:rPr>
        <w:t xml:space="preserve"> Республике Хакасия в рамках государственной программы «Обеспечение общественного поряд</w:t>
      </w:r>
      <w:r w:rsidR="00CA4BA4">
        <w:rPr>
          <w:rFonts w:ascii="Times New Roman" w:eastAsia="Calibri" w:hAnsi="Times New Roman" w:cs="Times New Roman"/>
          <w:sz w:val="28"/>
          <w:szCs w:val="28"/>
        </w:rPr>
        <w:t xml:space="preserve">ка и общественной безопасности </w:t>
      </w:r>
      <w:r w:rsidRPr="00BD5345">
        <w:rPr>
          <w:rFonts w:ascii="Times New Roman" w:eastAsia="Calibri" w:hAnsi="Times New Roman" w:cs="Times New Roman"/>
          <w:sz w:val="28"/>
          <w:szCs w:val="28"/>
        </w:rPr>
        <w:t>в Республике Хакасия»</w:t>
      </w:r>
      <w:r w:rsidR="00836D59">
        <w:rPr>
          <w:rFonts w:ascii="Times New Roman" w:eastAsia="Calibri" w:hAnsi="Times New Roman" w:cs="Times New Roman"/>
          <w:sz w:val="28"/>
          <w:szCs w:val="28"/>
        </w:rPr>
        <w:t xml:space="preserve">, утвержденной постановлением Правительства Республики Хакасия </w:t>
      </w:r>
      <w:r w:rsidR="00641BD7">
        <w:rPr>
          <w:rFonts w:ascii="Times New Roman" w:eastAsia="Calibri" w:hAnsi="Times New Roman" w:cs="Times New Roman"/>
          <w:sz w:val="28"/>
          <w:szCs w:val="28"/>
        </w:rPr>
        <w:br/>
      </w:r>
      <w:r w:rsidR="00836D59">
        <w:rPr>
          <w:rFonts w:ascii="Times New Roman" w:eastAsia="Calibri" w:hAnsi="Times New Roman" w:cs="Times New Roman"/>
          <w:sz w:val="28"/>
          <w:szCs w:val="28"/>
        </w:rPr>
        <w:t xml:space="preserve">от 1 ноября 2013 г. № 533, </w:t>
      </w:r>
      <w:r w:rsidRPr="00BD5345">
        <w:rPr>
          <w:rFonts w:ascii="Times New Roman" w:eastAsia="Calibri" w:hAnsi="Times New Roman" w:cs="Times New Roman"/>
          <w:sz w:val="28"/>
          <w:szCs w:val="28"/>
        </w:rPr>
        <w:t>реализован про</w:t>
      </w:r>
      <w:r w:rsidR="00836D59">
        <w:rPr>
          <w:rFonts w:ascii="Times New Roman" w:eastAsia="Calibri" w:hAnsi="Times New Roman" w:cs="Times New Roman"/>
          <w:sz w:val="28"/>
          <w:szCs w:val="28"/>
        </w:rPr>
        <w:t xml:space="preserve">ект стоимостью 100 тыс. рублей </w:t>
      </w:r>
      <w:r w:rsidRPr="00BD5345">
        <w:rPr>
          <w:rFonts w:ascii="Times New Roman" w:eastAsia="Calibri" w:hAnsi="Times New Roman" w:cs="Times New Roman"/>
          <w:sz w:val="28"/>
          <w:szCs w:val="28"/>
        </w:rPr>
        <w:t>по</w:t>
      </w:r>
      <w:r w:rsidR="00CA4BA4">
        <w:rPr>
          <w:rFonts w:ascii="Times New Roman" w:eastAsia="Calibri" w:hAnsi="Times New Roman" w:cs="Times New Roman"/>
          <w:sz w:val="28"/>
          <w:szCs w:val="28"/>
        </w:rPr>
        <w:t xml:space="preserve"> размещению в социальных сетях </w:t>
      </w:r>
      <w:r w:rsidRPr="00BD5345">
        <w:rPr>
          <w:rFonts w:ascii="Times New Roman" w:eastAsia="Calibri" w:hAnsi="Times New Roman" w:cs="Times New Roman"/>
          <w:sz w:val="28"/>
          <w:szCs w:val="28"/>
        </w:rPr>
        <w:t xml:space="preserve">рекламы, направленной на профилактику вовлечения подростков посредством сети «Интернет» в преступную деятельность. </w:t>
      </w:r>
    </w:p>
    <w:p w14:paraId="763478D4" w14:textId="77777777" w:rsidR="00BD5345" w:rsidRPr="00BD5345" w:rsidRDefault="00BD5345" w:rsidP="00A21663">
      <w:pPr>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В Чеченской Республике наполнение сети «Интернет» информацией, призывающей к толерантности, осуществляется в рамках программы «Профилактика терроризма и экстремизма на 2019</w:t>
      </w:r>
      <w:r w:rsidR="00CD067F">
        <w:rPr>
          <w:rFonts w:ascii="Times New Roman" w:eastAsia="Times New Roman" w:hAnsi="Times New Roman" w:cs="Times New Roman"/>
          <w:sz w:val="28"/>
          <w:szCs w:val="28"/>
          <w:lang w:eastAsia="ru-RU"/>
        </w:rPr>
        <w:t>-</w:t>
      </w:r>
      <w:r w:rsidRPr="00BD5345">
        <w:rPr>
          <w:rFonts w:ascii="Times New Roman" w:eastAsia="Times New Roman" w:hAnsi="Times New Roman" w:cs="Times New Roman"/>
          <w:sz w:val="28"/>
          <w:szCs w:val="28"/>
          <w:lang w:eastAsia="ru-RU"/>
        </w:rPr>
        <w:t>2025 годы».</w:t>
      </w:r>
    </w:p>
    <w:p w14:paraId="560C48B0" w14:textId="77777777" w:rsidR="00BD5345" w:rsidRPr="00BD5345" w:rsidRDefault="00BD5345" w:rsidP="00A21663">
      <w:pPr>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С целью профилактики распростр</w:t>
      </w:r>
      <w:r w:rsidR="00836D59">
        <w:rPr>
          <w:rFonts w:ascii="Times New Roman" w:eastAsia="Times New Roman" w:hAnsi="Times New Roman" w:cs="Times New Roman"/>
          <w:sz w:val="28"/>
          <w:szCs w:val="28"/>
          <w:lang w:eastAsia="ru-RU"/>
        </w:rPr>
        <w:t xml:space="preserve">анения противоправного контента </w:t>
      </w:r>
      <w:r w:rsidRPr="00BD5345">
        <w:rPr>
          <w:rFonts w:ascii="Times New Roman" w:eastAsia="Times New Roman" w:hAnsi="Times New Roman" w:cs="Times New Roman"/>
          <w:sz w:val="28"/>
          <w:szCs w:val="28"/>
          <w:lang w:eastAsia="ru-RU"/>
        </w:rPr>
        <w:t>в Пермском крае с 2019 г</w:t>
      </w:r>
      <w:r w:rsidR="00836D59">
        <w:rPr>
          <w:rFonts w:ascii="Times New Roman" w:eastAsia="Times New Roman" w:hAnsi="Times New Roman" w:cs="Times New Roman"/>
          <w:sz w:val="28"/>
          <w:szCs w:val="28"/>
          <w:lang w:eastAsia="ru-RU"/>
        </w:rPr>
        <w:t>.</w:t>
      </w:r>
      <w:r w:rsidRPr="00BD5345">
        <w:rPr>
          <w:rFonts w:ascii="Times New Roman" w:eastAsia="Times New Roman" w:hAnsi="Times New Roman" w:cs="Times New Roman"/>
          <w:sz w:val="28"/>
          <w:szCs w:val="28"/>
          <w:lang w:eastAsia="ru-RU"/>
        </w:rPr>
        <w:t xml:space="preserve"> действует ресурсный центр профилактики деструктивного влияния информации на несовершеннолетних. Поддержка ресурсного центра осуществляется посредством предоставления некоммерческим организациям субсидий из областного бюджета на проведение мероприятий по профилактике негативного влияния информации, размещенной в сети «Интернет».</w:t>
      </w:r>
    </w:p>
    <w:p w14:paraId="304D6287" w14:textId="77777777" w:rsidR="00BD5345" w:rsidRPr="00BD5345" w:rsidRDefault="00BD5345" w:rsidP="00A21663">
      <w:pPr>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 xml:space="preserve">Ресурсным центром организована работа </w:t>
      </w:r>
      <w:proofErr w:type="spellStart"/>
      <w:r w:rsidRPr="00BD5345">
        <w:rPr>
          <w:rFonts w:ascii="Times New Roman" w:eastAsia="Times New Roman" w:hAnsi="Times New Roman" w:cs="Times New Roman"/>
          <w:sz w:val="28"/>
          <w:szCs w:val="28"/>
          <w:lang w:eastAsia="ru-RU"/>
        </w:rPr>
        <w:t>киберконсультантов</w:t>
      </w:r>
      <w:proofErr w:type="spellEnd"/>
      <w:r w:rsidRPr="00BD5345">
        <w:rPr>
          <w:rFonts w:ascii="Times New Roman" w:eastAsia="Times New Roman" w:hAnsi="Times New Roman" w:cs="Times New Roman"/>
          <w:sz w:val="28"/>
          <w:szCs w:val="28"/>
          <w:lang w:eastAsia="ru-RU"/>
        </w:rPr>
        <w:t>, осуществляющих мониторинг сети «Интернет» на наличие интернет-угроз для детей, проведено обучение представителей субъе</w:t>
      </w:r>
      <w:r w:rsidR="00CA4BA4">
        <w:rPr>
          <w:rFonts w:ascii="Times New Roman" w:eastAsia="Times New Roman" w:hAnsi="Times New Roman" w:cs="Times New Roman"/>
          <w:sz w:val="28"/>
          <w:szCs w:val="28"/>
          <w:lang w:eastAsia="ru-RU"/>
        </w:rPr>
        <w:t xml:space="preserve">ктов профилактики. </w:t>
      </w:r>
      <w:r w:rsidR="000F6726">
        <w:rPr>
          <w:rFonts w:ascii="Times New Roman" w:eastAsia="Times New Roman" w:hAnsi="Times New Roman" w:cs="Times New Roman"/>
          <w:sz w:val="28"/>
          <w:szCs w:val="28"/>
          <w:lang w:eastAsia="ru-RU"/>
        </w:rPr>
        <w:t>В 2021 г</w:t>
      </w:r>
      <w:r w:rsidR="00CD067F">
        <w:rPr>
          <w:rFonts w:ascii="Times New Roman" w:eastAsia="Times New Roman" w:hAnsi="Times New Roman" w:cs="Times New Roman"/>
          <w:sz w:val="28"/>
          <w:szCs w:val="28"/>
          <w:lang w:eastAsia="ru-RU"/>
        </w:rPr>
        <w:t>.</w:t>
      </w:r>
      <w:r w:rsidRPr="00BD5345">
        <w:rPr>
          <w:rFonts w:ascii="Times New Roman" w:eastAsia="Times New Roman" w:hAnsi="Times New Roman" w:cs="Times New Roman"/>
          <w:sz w:val="28"/>
          <w:szCs w:val="28"/>
          <w:lang w:eastAsia="ru-RU"/>
        </w:rPr>
        <w:t xml:space="preserve"> специалистами центр</w:t>
      </w:r>
      <w:r w:rsidR="00CA4BA4">
        <w:rPr>
          <w:rFonts w:ascii="Times New Roman" w:eastAsia="Times New Roman" w:hAnsi="Times New Roman" w:cs="Times New Roman"/>
          <w:sz w:val="28"/>
          <w:szCs w:val="28"/>
          <w:lang w:eastAsia="ru-RU"/>
        </w:rPr>
        <w:t xml:space="preserve">а проведена работа в отношении </w:t>
      </w:r>
      <w:r w:rsidRPr="00BD5345">
        <w:rPr>
          <w:rFonts w:ascii="Times New Roman" w:eastAsia="Times New Roman" w:hAnsi="Times New Roman" w:cs="Times New Roman"/>
          <w:sz w:val="28"/>
          <w:szCs w:val="28"/>
          <w:lang w:eastAsia="ru-RU"/>
        </w:rPr>
        <w:t xml:space="preserve">1 480 несовершеннолетних, среди которых выявлено 45 пользователей, имеющих деструктивный контент, для блокировки негативного контента направлено 136 сообщений в Управление Роскомнадзора по Пермскому краю, 25 – в ГУ МВД России по Пермскому краю, </w:t>
      </w:r>
      <w:r w:rsidR="00CA4BA4">
        <w:rPr>
          <w:rFonts w:ascii="Times New Roman" w:eastAsia="Times New Roman" w:hAnsi="Times New Roman" w:cs="Times New Roman"/>
          <w:sz w:val="28"/>
          <w:szCs w:val="28"/>
          <w:lang w:eastAsia="ru-RU"/>
        </w:rPr>
        <w:br/>
      </w:r>
      <w:r w:rsidRPr="00BD5345">
        <w:rPr>
          <w:rFonts w:ascii="Times New Roman" w:eastAsia="Times New Roman" w:hAnsi="Times New Roman" w:cs="Times New Roman"/>
          <w:sz w:val="28"/>
          <w:szCs w:val="28"/>
          <w:lang w:eastAsia="ru-RU"/>
        </w:rPr>
        <w:t>51 – в УФСБ России по Пермскому краю.</w:t>
      </w:r>
    </w:p>
    <w:p w14:paraId="23C99FAC" w14:textId="77777777" w:rsidR="00BD5345" w:rsidRPr="00BD5345" w:rsidRDefault="00BD5345" w:rsidP="00857297">
      <w:pPr>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В Приморском крае в рамках реализации федерального проекта «Безопасный Интернет» с участием сотрудников специальных подразделений полиции сформирована волонтерская команда «Киберволонтеры».</w:t>
      </w:r>
      <w:r w:rsidR="00857297">
        <w:rPr>
          <w:rFonts w:ascii="Times New Roman" w:eastAsia="Times New Roman" w:hAnsi="Times New Roman" w:cs="Times New Roman"/>
          <w:sz w:val="28"/>
          <w:szCs w:val="28"/>
          <w:lang w:eastAsia="ru-RU"/>
        </w:rPr>
        <w:t xml:space="preserve"> </w:t>
      </w:r>
      <w:r w:rsidR="00CA4BA4">
        <w:rPr>
          <w:rFonts w:ascii="Times New Roman" w:eastAsia="Times New Roman" w:hAnsi="Times New Roman" w:cs="Times New Roman"/>
          <w:sz w:val="28"/>
          <w:szCs w:val="28"/>
          <w:lang w:eastAsia="ru-RU"/>
        </w:rPr>
        <w:t>В социальных сетях</w:t>
      </w:r>
      <w:r w:rsidRPr="00BD5345">
        <w:rPr>
          <w:rFonts w:ascii="Times New Roman" w:eastAsia="Times New Roman" w:hAnsi="Times New Roman" w:cs="Times New Roman"/>
          <w:sz w:val="28"/>
          <w:szCs w:val="28"/>
          <w:lang w:eastAsia="ru-RU"/>
        </w:rPr>
        <w:t xml:space="preserve"> реализуется игровая методика обучения основам информационной безопасности, «Игровой образовательный</w:t>
      </w:r>
      <w:r w:rsidR="0037242B">
        <w:rPr>
          <w:rFonts w:ascii="Times New Roman" w:eastAsia="Times New Roman" w:hAnsi="Times New Roman" w:cs="Times New Roman"/>
          <w:sz w:val="28"/>
          <w:szCs w:val="28"/>
          <w:lang w:eastAsia="ru-RU"/>
        </w:rPr>
        <w:t xml:space="preserve"> </w:t>
      </w:r>
      <w:proofErr w:type="spellStart"/>
      <w:r w:rsidR="0037242B">
        <w:rPr>
          <w:rFonts w:ascii="Times New Roman" w:eastAsia="Times New Roman" w:hAnsi="Times New Roman" w:cs="Times New Roman"/>
          <w:sz w:val="28"/>
          <w:szCs w:val="28"/>
          <w:lang w:eastAsia="ru-RU"/>
        </w:rPr>
        <w:t>квест</w:t>
      </w:r>
      <w:proofErr w:type="spellEnd"/>
      <w:r w:rsidR="0037242B">
        <w:rPr>
          <w:rFonts w:ascii="Times New Roman" w:eastAsia="Times New Roman" w:hAnsi="Times New Roman" w:cs="Times New Roman"/>
          <w:sz w:val="28"/>
          <w:szCs w:val="28"/>
          <w:lang w:eastAsia="ru-RU"/>
        </w:rPr>
        <w:t xml:space="preserve">», «Правила безопасности </w:t>
      </w:r>
      <w:r w:rsidRPr="00BD5345">
        <w:rPr>
          <w:rFonts w:ascii="Times New Roman" w:eastAsia="Times New Roman" w:hAnsi="Times New Roman" w:cs="Times New Roman"/>
          <w:sz w:val="28"/>
          <w:szCs w:val="28"/>
          <w:lang w:eastAsia="ru-RU"/>
        </w:rPr>
        <w:t>в Сети».</w:t>
      </w:r>
    </w:p>
    <w:p w14:paraId="08FF6008" w14:textId="77777777" w:rsidR="00BD5345" w:rsidRPr="00BD5345" w:rsidRDefault="00BD5345" w:rsidP="00A21663">
      <w:pPr>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В Тюменской области с участием волонтеров старше 18 лет осуществляется областной проект «</w:t>
      </w:r>
      <w:proofErr w:type="spellStart"/>
      <w:r w:rsidRPr="00BD5345">
        <w:rPr>
          <w:rFonts w:ascii="Times New Roman" w:eastAsia="Times New Roman" w:hAnsi="Times New Roman" w:cs="Times New Roman"/>
          <w:sz w:val="28"/>
          <w:szCs w:val="28"/>
          <w:lang w:eastAsia="ru-RU"/>
        </w:rPr>
        <w:t>Киберпатруль</w:t>
      </w:r>
      <w:proofErr w:type="spellEnd"/>
      <w:r w:rsidRPr="00BD5345">
        <w:rPr>
          <w:rFonts w:ascii="Times New Roman" w:eastAsia="Times New Roman" w:hAnsi="Times New Roman" w:cs="Times New Roman"/>
          <w:sz w:val="28"/>
          <w:szCs w:val="28"/>
          <w:lang w:eastAsia="ru-RU"/>
        </w:rPr>
        <w:t>». Киберволонтеры принимают участие в профилактических акциях по формированию информационной культуры, навыков безопасного использования информационной среды. В 2021 г</w:t>
      </w:r>
      <w:r w:rsidR="00CD067F">
        <w:rPr>
          <w:rFonts w:ascii="Times New Roman" w:eastAsia="Times New Roman" w:hAnsi="Times New Roman" w:cs="Times New Roman"/>
          <w:sz w:val="28"/>
          <w:szCs w:val="28"/>
          <w:lang w:eastAsia="ru-RU"/>
        </w:rPr>
        <w:t>.</w:t>
      </w:r>
      <w:r w:rsidRPr="00BD5345">
        <w:rPr>
          <w:rFonts w:ascii="Times New Roman" w:eastAsia="Times New Roman" w:hAnsi="Times New Roman" w:cs="Times New Roman"/>
          <w:sz w:val="28"/>
          <w:szCs w:val="28"/>
          <w:lang w:eastAsia="ru-RU"/>
        </w:rPr>
        <w:t xml:space="preserve"> в ходе проведения </w:t>
      </w:r>
      <w:r w:rsidR="00CD067F">
        <w:rPr>
          <w:rFonts w:ascii="Times New Roman" w:eastAsia="Times New Roman" w:hAnsi="Times New Roman" w:cs="Times New Roman"/>
          <w:sz w:val="28"/>
          <w:szCs w:val="28"/>
          <w:lang w:eastAsia="ru-RU"/>
        </w:rPr>
        <w:br/>
      </w:r>
      <w:r w:rsidRPr="00BD5345">
        <w:rPr>
          <w:rFonts w:ascii="Times New Roman" w:eastAsia="Times New Roman" w:hAnsi="Times New Roman" w:cs="Times New Roman"/>
          <w:sz w:val="28"/>
          <w:szCs w:val="28"/>
          <w:lang w:eastAsia="ru-RU"/>
        </w:rPr>
        <w:t>56 информационно-разъяснительных мероприятий охвачено более 4 тыс. обучающихся и их родителей.</w:t>
      </w:r>
    </w:p>
    <w:p w14:paraId="4813BE84" w14:textId="28FCEC41" w:rsidR="00BD5345" w:rsidRPr="00BD5345" w:rsidRDefault="00BD5345" w:rsidP="00A21663">
      <w:pPr>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Особая роль отводится поиску интернет-страниц, способных нанести вред здоровью и развитию несовершеннолетних (с признаками пропаганды наркотиков, экстремизма, суицида; дистанцион</w:t>
      </w:r>
      <w:r w:rsidR="005430C5">
        <w:rPr>
          <w:rFonts w:ascii="Times New Roman" w:eastAsia="Times New Roman" w:hAnsi="Times New Roman" w:cs="Times New Roman"/>
          <w:sz w:val="28"/>
          <w:szCs w:val="28"/>
          <w:lang w:eastAsia="ru-RU"/>
        </w:rPr>
        <w:t xml:space="preserve">ной продажи алкоголя, табака). </w:t>
      </w:r>
      <w:r w:rsidRPr="00BD5345">
        <w:rPr>
          <w:rFonts w:ascii="Times New Roman" w:eastAsia="Times New Roman" w:hAnsi="Times New Roman" w:cs="Times New Roman"/>
          <w:sz w:val="28"/>
          <w:szCs w:val="28"/>
          <w:lang w:eastAsia="ru-RU"/>
        </w:rPr>
        <w:t xml:space="preserve">В течение </w:t>
      </w:r>
      <w:r w:rsidR="0027146D">
        <w:rPr>
          <w:rFonts w:ascii="Times New Roman" w:eastAsia="Times New Roman" w:hAnsi="Times New Roman" w:cs="Times New Roman"/>
          <w:sz w:val="28"/>
          <w:szCs w:val="28"/>
          <w:lang w:eastAsia="ru-RU"/>
        </w:rPr>
        <w:br/>
      </w:r>
      <w:r w:rsidRPr="00BD5345">
        <w:rPr>
          <w:rFonts w:ascii="Times New Roman" w:eastAsia="Times New Roman" w:hAnsi="Times New Roman" w:cs="Times New Roman"/>
          <w:sz w:val="28"/>
          <w:szCs w:val="28"/>
          <w:lang w:eastAsia="ru-RU"/>
        </w:rPr>
        <w:t>2021 г</w:t>
      </w:r>
      <w:r w:rsidR="00CD067F">
        <w:rPr>
          <w:rFonts w:ascii="Times New Roman" w:eastAsia="Times New Roman" w:hAnsi="Times New Roman" w:cs="Times New Roman"/>
          <w:sz w:val="28"/>
          <w:szCs w:val="28"/>
          <w:lang w:eastAsia="ru-RU"/>
        </w:rPr>
        <w:t xml:space="preserve">. </w:t>
      </w:r>
      <w:r w:rsidR="00CA4BA4" w:rsidRPr="00BD5345">
        <w:rPr>
          <w:rFonts w:ascii="Times New Roman" w:eastAsia="Times New Roman" w:hAnsi="Times New Roman" w:cs="Times New Roman"/>
          <w:sz w:val="28"/>
          <w:szCs w:val="28"/>
        </w:rPr>
        <w:t> </w:t>
      </w:r>
      <w:proofErr w:type="spellStart"/>
      <w:r w:rsidRPr="00BD5345">
        <w:rPr>
          <w:rFonts w:ascii="Times New Roman" w:eastAsia="Times New Roman" w:hAnsi="Times New Roman" w:cs="Times New Roman"/>
          <w:sz w:val="28"/>
          <w:szCs w:val="28"/>
          <w:lang w:eastAsia="ru-RU"/>
        </w:rPr>
        <w:t>киберволонтерами</w:t>
      </w:r>
      <w:proofErr w:type="spellEnd"/>
      <w:r w:rsidRPr="00BD5345">
        <w:rPr>
          <w:rFonts w:ascii="Times New Roman" w:eastAsia="Times New Roman" w:hAnsi="Times New Roman" w:cs="Times New Roman"/>
          <w:sz w:val="28"/>
          <w:szCs w:val="28"/>
          <w:lang w:eastAsia="ru-RU"/>
        </w:rPr>
        <w:t xml:space="preserve"> выявлено и направлено в компетентные органы </w:t>
      </w:r>
      <w:r w:rsidR="0027146D">
        <w:rPr>
          <w:rFonts w:ascii="Times New Roman" w:eastAsia="Times New Roman" w:hAnsi="Times New Roman" w:cs="Times New Roman"/>
          <w:sz w:val="28"/>
          <w:szCs w:val="28"/>
          <w:lang w:eastAsia="ru-RU"/>
        </w:rPr>
        <w:br/>
      </w:r>
      <w:r w:rsidRPr="00BD5345">
        <w:rPr>
          <w:rFonts w:ascii="Times New Roman" w:eastAsia="Times New Roman" w:hAnsi="Times New Roman" w:cs="Times New Roman"/>
          <w:sz w:val="28"/>
          <w:szCs w:val="28"/>
          <w:lang w:eastAsia="ru-RU"/>
        </w:rPr>
        <w:t>855 ссылок.</w:t>
      </w:r>
    </w:p>
    <w:p w14:paraId="38809CDA" w14:textId="48E63261" w:rsidR="00BD5345" w:rsidRPr="00BD5345" w:rsidRDefault="00BD5345" w:rsidP="00A21663">
      <w:pPr>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В Республике Бурятия министерствами спорта и молодежной политики, образования и науки совместно с АНО «Центр изучения и сетевого мониторинга молодежной среды» с апреля 2021 г</w:t>
      </w:r>
      <w:r w:rsidR="00364580">
        <w:rPr>
          <w:rFonts w:ascii="Times New Roman" w:eastAsia="Times New Roman" w:hAnsi="Times New Roman" w:cs="Times New Roman"/>
          <w:sz w:val="28"/>
          <w:szCs w:val="28"/>
          <w:lang w:eastAsia="ru-RU"/>
        </w:rPr>
        <w:t>.</w:t>
      </w:r>
      <w:r w:rsidRPr="00BD5345">
        <w:rPr>
          <w:rFonts w:ascii="Times New Roman" w:eastAsia="Times New Roman" w:hAnsi="Times New Roman" w:cs="Times New Roman"/>
          <w:sz w:val="28"/>
          <w:szCs w:val="28"/>
          <w:lang w:eastAsia="ru-RU"/>
        </w:rPr>
        <w:t xml:space="preserve"> реализуется проект по ранней профилактике деструктивных проявлений в подростковой и молодежной среде. В проекте участвуют 5 общеобразовательных организаций (школы) и 1 организация специального профессионального образования (СУЗ)</w:t>
      </w:r>
      <w:r w:rsidR="006B1509">
        <w:rPr>
          <w:rFonts w:ascii="Times New Roman" w:eastAsia="Times New Roman" w:hAnsi="Times New Roman" w:cs="Times New Roman"/>
          <w:sz w:val="28"/>
          <w:szCs w:val="28"/>
          <w:lang w:eastAsia="ru-RU"/>
        </w:rPr>
        <w:t xml:space="preserve">, </w:t>
      </w:r>
      <w:r w:rsidR="00364580">
        <w:rPr>
          <w:rFonts w:ascii="Times New Roman" w:eastAsia="Times New Roman" w:hAnsi="Times New Roman" w:cs="Times New Roman"/>
          <w:sz w:val="28"/>
          <w:szCs w:val="28"/>
          <w:lang w:eastAsia="ru-RU"/>
        </w:rPr>
        <w:t>2</w:t>
      </w:r>
      <w:r w:rsidRPr="00BD5345">
        <w:rPr>
          <w:rFonts w:ascii="Times New Roman" w:eastAsia="Times New Roman" w:hAnsi="Times New Roman" w:cs="Times New Roman"/>
          <w:sz w:val="28"/>
          <w:szCs w:val="28"/>
          <w:lang w:eastAsia="ru-RU"/>
        </w:rPr>
        <w:t xml:space="preserve"> </w:t>
      </w:r>
      <w:r w:rsidR="006B1509">
        <w:rPr>
          <w:rFonts w:ascii="Times New Roman" w:eastAsia="Times New Roman" w:hAnsi="Times New Roman" w:cs="Times New Roman"/>
          <w:sz w:val="28"/>
          <w:szCs w:val="28"/>
          <w:lang w:eastAsia="ru-RU"/>
        </w:rPr>
        <w:t xml:space="preserve">из которых </w:t>
      </w:r>
      <w:r w:rsidRPr="00BD5345">
        <w:rPr>
          <w:rFonts w:ascii="Times New Roman" w:eastAsia="Times New Roman" w:hAnsi="Times New Roman" w:cs="Times New Roman"/>
          <w:sz w:val="28"/>
          <w:szCs w:val="28"/>
          <w:lang w:eastAsia="ru-RU"/>
        </w:rPr>
        <w:t xml:space="preserve">находятся в районах сельской местности и </w:t>
      </w:r>
      <w:r w:rsidR="00364580">
        <w:rPr>
          <w:rFonts w:ascii="Times New Roman" w:eastAsia="Times New Roman" w:hAnsi="Times New Roman" w:cs="Times New Roman"/>
          <w:sz w:val="28"/>
          <w:szCs w:val="28"/>
          <w:lang w:eastAsia="ru-RU"/>
        </w:rPr>
        <w:t>3</w:t>
      </w:r>
      <w:r w:rsidRPr="00BD5345">
        <w:rPr>
          <w:rFonts w:ascii="Times New Roman" w:eastAsia="Times New Roman" w:hAnsi="Times New Roman" w:cs="Times New Roman"/>
          <w:sz w:val="28"/>
          <w:szCs w:val="28"/>
          <w:lang w:eastAsia="ru-RU"/>
        </w:rPr>
        <w:t xml:space="preserve"> – в г. Улан-Удэ</w:t>
      </w:r>
      <w:r w:rsidR="006B1509">
        <w:rPr>
          <w:rFonts w:ascii="Times New Roman" w:eastAsia="Times New Roman" w:hAnsi="Times New Roman" w:cs="Times New Roman"/>
          <w:sz w:val="28"/>
          <w:szCs w:val="28"/>
          <w:lang w:eastAsia="ru-RU"/>
        </w:rPr>
        <w:t>,</w:t>
      </w:r>
      <w:r w:rsidRPr="00BD5345">
        <w:rPr>
          <w:rFonts w:ascii="Times New Roman" w:eastAsia="Times New Roman" w:hAnsi="Times New Roman" w:cs="Times New Roman"/>
          <w:sz w:val="28"/>
          <w:szCs w:val="28"/>
          <w:lang w:eastAsia="ru-RU"/>
        </w:rPr>
        <w:t xml:space="preserve"> с общим охватом </w:t>
      </w:r>
      <w:r w:rsidR="0027146D">
        <w:rPr>
          <w:rFonts w:ascii="Times New Roman" w:eastAsia="Times New Roman" w:hAnsi="Times New Roman" w:cs="Times New Roman"/>
          <w:sz w:val="28"/>
          <w:szCs w:val="28"/>
          <w:lang w:eastAsia="ru-RU"/>
        </w:rPr>
        <w:br/>
      </w:r>
      <w:r w:rsidRPr="00BD5345">
        <w:rPr>
          <w:rFonts w:ascii="Times New Roman" w:eastAsia="Times New Roman" w:hAnsi="Times New Roman" w:cs="Times New Roman"/>
          <w:sz w:val="28"/>
          <w:szCs w:val="28"/>
          <w:lang w:eastAsia="ru-RU"/>
        </w:rPr>
        <w:t>2 376 обучающихся. Посл</w:t>
      </w:r>
      <w:r w:rsidR="005430C5">
        <w:rPr>
          <w:rFonts w:ascii="Times New Roman" w:eastAsia="Times New Roman" w:hAnsi="Times New Roman" w:cs="Times New Roman"/>
          <w:sz w:val="28"/>
          <w:szCs w:val="28"/>
          <w:lang w:eastAsia="ru-RU"/>
        </w:rPr>
        <w:t xml:space="preserve">е результатов обработки данных </w:t>
      </w:r>
      <w:r w:rsidRPr="00BD5345">
        <w:rPr>
          <w:rFonts w:ascii="Times New Roman" w:eastAsia="Times New Roman" w:hAnsi="Times New Roman" w:cs="Times New Roman"/>
          <w:sz w:val="28"/>
          <w:szCs w:val="28"/>
          <w:lang w:eastAsia="ru-RU"/>
        </w:rPr>
        <w:t>по направлениям «Деструктивный конт</w:t>
      </w:r>
      <w:r w:rsidR="005430C5">
        <w:rPr>
          <w:rFonts w:ascii="Times New Roman" w:eastAsia="Times New Roman" w:hAnsi="Times New Roman" w:cs="Times New Roman"/>
          <w:sz w:val="28"/>
          <w:szCs w:val="28"/>
          <w:lang w:eastAsia="ru-RU"/>
        </w:rPr>
        <w:t xml:space="preserve">ент» и «Оппозиционный контент» </w:t>
      </w:r>
      <w:r w:rsidRPr="00BD5345">
        <w:rPr>
          <w:rFonts w:ascii="Times New Roman" w:eastAsia="Times New Roman" w:hAnsi="Times New Roman" w:cs="Times New Roman"/>
          <w:sz w:val="28"/>
          <w:szCs w:val="28"/>
          <w:lang w:eastAsia="ru-RU"/>
        </w:rPr>
        <w:t>в образовательных учреждениях организованы адресные мероприятия профилактического характера с привлечением профильных специалистов здравоохранения, сотрудников правоохранительных органов, активистов «Боевого Братства», волонтеров «</w:t>
      </w:r>
      <w:proofErr w:type="spellStart"/>
      <w:r w:rsidRPr="00BD5345">
        <w:rPr>
          <w:rFonts w:ascii="Times New Roman" w:eastAsia="Times New Roman" w:hAnsi="Times New Roman" w:cs="Times New Roman"/>
          <w:sz w:val="28"/>
          <w:szCs w:val="28"/>
          <w:lang w:eastAsia="ru-RU"/>
        </w:rPr>
        <w:t>Добродома</w:t>
      </w:r>
      <w:proofErr w:type="spellEnd"/>
      <w:r w:rsidRPr="00BD5345">
        <w:rPr>
          <w:rFonts w:ascii="Times New Roman" w:eastAsia="Times New Roman" w:hAnsi="Times New Roman" w:cs="Times New Roman"/>
          <w:sz w:val="28"/>
          <w:szCs w:val="28"/>
          <w:lang w:eastAsia="ru-RU"/>
        </w:rPr>
        <w:t>», разработаны индивидуальные маршруты социализации для обучающихся.</w:t>
      </w:r>
    </w:p>
    <w:p w14:paraId="390E3B4D" w14:textId="77777777" w:rsidR="00BD5345" w:rsidRPr="00BD5345" w:rsidRDefault="00BD5345" w:rsidP="00A21663">
      <w:pPr>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 xml:space="preserve">Кроме того, в </w:t>
      </w:r>
      <w:r w:rsidR="00364580">
        <w:rPr>
          <w:rFonts w:ascii="Times New Roman" w:eastAsia="Times New Roman" w:hAnsi="Times New Roman" w:cs="Times New Roman"/>
          <w:sz w:val="28"/>
          <w:szCs w:val="28"/>
          <w:lang w:eastAsia="ru-RU"/>
        </w:rPr>
        <w:t>Р</w:t>
      </w:r>
      <w:r w:rsidRPr="00BD5345">
        <w:rPr>
          <w:rFonts w:ascii="Times New Roman" w:eastAsia="Times New Roman" w:hAnsi="Times New Roman" w:cs="Times New Roman"/>
          <w:sz w:val="28"/>
          <w:szCs w:val="28"/>
          <w:lang w:eastAsia="ru-RU"/>
        </w:rPr>
        <w:t xml:space="preserve">еспублике </w:t>
      </w:r>
      <w:r w:rsidR="00364580">
        <w:rPr>
          <w:rFonts w:ascii="Times New Roman" w:eastAsia="Times New Roman" w:hAnsi="Times New Roman" w:cs="Times New Roman"/>
          <w:sz w:val="28"/>
          <w:szCs w:val="28"/>
          <w:lang w:eastAsia="ru-RU"/>
        </w:rPr>
        <w:t xml:space="preserve">Бурятия </w:t>
      </w:r>
      <w:r w:rsidRPr="00BD5345">
        <w:rPr>
          <w:rFonts w:ascii="Times New Roman" w:eastAsia="Times New Roman" w:hAnsi="Times New Roman" w:cs="Times New Roman"/>
          <w:sz w:val="28"/>
          <w:szCs w:val="28"/>
          <w:lang w:eastAsia="ru-RU"/>
        </w:rPr>
        <w:t>реализуется проект «</w:t>
      </w:r>
      <w:proofErr w:type="spellStart"/>
      <w:r w:rsidRPr="00BD5345">
        <w:rPr>
          <w:rFonts w:ascii="Times New Roman" w:eastAsia="Times New Roman" w:hAnsi="Times New Roman" w:cs="Times New Roman"/>
          <w:sz w:val="28"/>
          <w:szCs w:val="28"/>
          <w:lang w:eastAsia="ru-RU"/>
        </w:rPr>
        <w:t>Медиаволонтеры</w:t>
      </w:r>
      <w:proofErr w:type="spellEnd"/>
      <w:r w:rsidRPr="00BD5345">
        <w:rPr>
          <w:rFonts w:ascii="Times New Roman" w:eastAsia="Times New Roman" w:hAnsi="Times New Roman" w:cs="Times New Roman"/>
          <w:sz w:val="28"/>
          <w:szCs w:val="28"/>
          <w:lang w:eastAsia="ru-RU"/>
        </w:rPr>
        <w:t xml:space="preserve"> («Кибердружина»)», в рамках которого в 2021 г</w:t>
      </w:r>
      <w:r w:rsidR="00CD067F">
        <w:rPr>
          <w:rFonts w:ascii="Times New Roman" w:eastAsia="Times New Roman" w:hAnsi="Times New Roman" w:cs="Times New Roman"/>
          <w:sz w:val="28"/>
          <w:szCs w:val="28"/>
          <w:lang w:eastAsia="ru-RU"/>
        </w:rPr>
        <w:t>.</w:t>
      </w:r>
      <w:r w:rsidRPr="00BD5345">
        <w:rPr>
          <w:rFonts w:ascii="Times New Roman" w:eastAsia="Times New Roman" w:hAnsi="Times New Roman" w:cs="Times New Roman"/>
          <w:sz w:val="28"/>
          <w:szCs w:val="28"/>
          <w:lang w:eastAsia="ru-RU"/>
        </w:rPr>
        <w:t xml:space="preserve"> было просмотрено 13 273 постов, из них 23 направлено для проведения проверок в территориальные органы федеральной безопасности. </w:t>
      </w:r>
    </w:p>
    <w:p w14:paraId="7205C639" w14:textId="77777777" w:rsidR="00BD5345" w:rsidRPr="00BD5345" w:rsidRDefault="00BD5345" w:rsidP="00A21663">
      <w:pPr>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При поддержке комитета молодежной политики Курской области осуществляется региональный антикризисный проект «</w:t>
      </w:r>
      <w:proofErr w:type="spellStart"/>
      <w:r w:rsidRPr="00BD5345">
        <w:rPr>
          <w:rFonts w:ascii="Times New Roman" w:eastAsia="Times New Roman" w:hAnsi="Times New Roman" w:cs="Times New Roman"/>
          <w:sz w:val="28"/>
          <w:szCs w:val="28"/>
          <w:lang w:eastAsia="ru-RU"/>
        </w:rPr>
        <w:t>Киберпатруль</w:t>
      </w:r>
      <w:proofErr w:type="spellEnd"/>
      <w:r w:rsidRPr="00BD5345">
        <w:rPr>
          <w:rFonts w:ascii="Times New Roman" w:eastAsia="Times New Roman" w:hAnsi="Times New Roman" w:cs="Times New Roman"/>
          <w:sz w:val="28"/>
          <w:szCs w:val="28"/>
          <w:lang w:eastAsia="ru-RU"/>
        </w:rPr>
        <w:t xml:space="preserve">», активисты которого в образовательных организациях проводят информационно-просветительские мероприятия. В рамках проекта разработан буклет «Мы делаем Интернет безопасным!», включающий информационный материал по защите персональных данных и памятку родителям, а также «Урок безопасного поведения в сети «Интернет», направленный на профилактику негативных явлений в подростковой среде, в том числе наркомании, экстремизма и терроризма, суицидального и </w:t>
      </w:r>
      <w:proofErr w:type="spellStart"/>
      <w:r w:rsidRPr="00BD5345">
        <w:rPr>
          <w:rFonts w:ascii="Times New Roman" w:eastAsia="Times New Roman" w:hAnsi="Times New Roman" w:cs="Times New Roman"/>
          <w:sz w:val="28"/>
          <w:szCs w:val="28"/>
          <w:lang w:eastAsia="ru-RU"/>
        </w:rPr>
        <w:t>аутоагрессивного</w:t>
      </w:r>
      <w:proofErr w:type="spellEnd"/>
      <w:r w:rsidRPr="00BD5345">
        <w:rPr>
          <w:rFonts w:ascii="Times New Roman" w:eastAsia="Times New Roman" w:hAnsi="Times New Roman" w:cs="Times New Roman"/>
          <w:sz w:val="28"/>
          <w:szCs w:val="28"/>
          <w:lang w:eastAsia="ru-RU"/>
        </w:rPr>
        <w:t xml:space="preserve"> поведения. Урок проходит в формате интерактивных дискуссий, </w:t>
      </w:r>
      <w:proofErr w:type="spellStart"/>
      <w:r w:rsidRPr="00BD5345">
        <w:rPr>
          <w:rFonts w:ascii="Times New Roman" w:eastAsia="Times New Roman" w:hAnsi="Times New Roman" w:cs="Times New Roman"/>
          <w:sz w:val="28"/>
          <w:szCs w:val="28"/>
          <w:lang w:eastAsia="ru-RU"/>
        </w:rPr>
        <w:t>квестов</w:t>
      </w:r>
      <w:proofErr w:type="spellEnd"/>
      <w:r w:rsidRPr="00BD5345">
        <w:rPr>
          <w:rFonts w:ascii="Times New Roman" w:eastAsia="Times New Roman" w:hAnsi="Times New Roman" w:cs="Times New Roman"/>
          <w:sz w:val="28"/>
          <w:szCs w:val="28"/>
          <w:lang w:eastAsia="ru-RU"/>
        </w:rPr>
        <w:t xml:space="preserve"> и бесед. В 2021 г</w:t>
      </w:r>
      <w:r w:rsidR="006E6ADC">
        <w:rPr>
          <w:rFonts w:ascii="Times New Roman" w:eastAsia="Times New Roman" w:hAnsi="Times New Roman" w:cs="Times New Roman"/>
          <w:sz w:val="28"/>
          <w:szCs w:val="28"/>
          <w:lang w:eastAsia="ru-RU"/>
        </w:rPr>
        <w:t>.</w:t>
      </w:r>
      <w:r w:rsidRPr="00BD5345">
        <w:rPr>
          <w:rFonts w:ascii="Times New Roman" w:eastAsia="Times New Roman" w:hAnsi="Times New Roman" w:cs="Times New Roman"/>
          <w:sz w:val="28"/>
          <w:szCs w:val="28"/>
          <w:lang w:eastAsia="ru-RU"/>
        </w:rPr>
        <w:t xml:space="preserve"> в ходе реализации проекта осуществлено 83 профилактических мероприятия, участниками которых стали </w:t>
      </w:r>
      <w:r w:rsidR="006E6ADC">
        <w:rPr>
          <w:rFonts w:ascii="Times New Roman" w:eastAsia="Times New Roman" w:hAnsi="Times New Roman" w:cs="Times New Roman"/>
          <w:sz w:val="28"/>
          <w:szCs w:val="28"/>
          <w:lang w:eastAsia="ru-RU"/>
        </w:rPr>
        <w:br/>
      </w:r>
      <w:r w:rsidRPr="00BD5345">
        <w:rPr>
          <w:rFonts w:ascii="Times New Roman" w:eastAsia="Times New Roman" w:hAnsi="Times New Roman" w:cs="Times New Roman"/>
          <w:sz w:val="28"/>
          <w:szCs w:val="28"/>
          <w:lang w:eastAsia="ru-RU"/>
        </w:rPr>
        <w:t xml:space="preserve">4 862 человека. </w:t>
      </w:r>
    </w:p>
    <w:p w14:paraId="62925CF6" w14:textId="77777777" w:rsidR="00BD5345" w:rsidRPr="00BD5345" w:rsidRDefault="00BD5345" w:rsidP="00A21663">
      <w:pPr>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 xml:space="preserve">В прошедшем году молодежь Курской области присоединилась к акции </w:t>
      </w:r>
      <w:r w:rsidR="006E6ADC">
        <w:rPr>
          <w:rFonts w:ascii="Times New Roman" w:eastAsia="Times New Roman" w:hAnsi="Times New Roman" w:cs="Times New Roman"/>
          <w:sz w:val="28"/>
          <w:szCs w:val="28"/>
          <w:lang w:eastAsia="ru-RU"/>
        </w:rPr>
        <w:br/>
      </w:r>
      <w:r w:rsidRPr="00BD5345">
        <w:rPr>
          <w:rFonts w:ascii="Times New Roman" w:eastAsia="Times New Roman" w:hAnsi="Times New Roman" w:cs="Times New Roman"/>
          <w:sz w:val="28"/>
          <w:szCs w:val="28"/>
          <w:lang w:eastAsia="ru-RU"/>
        </w:rPr>
        <w:t>«Мы за мир!», приуроченной ко Дню солидарности в борьбе с терроризмом. Представители регионального антикризисного проекта «</w:t>
      </w:r>
      <w:proofErr w:type="spellStart"/>
      <w:r w:rsidRPr="00BD5345">
        <w:rPr>
          <w:rFonts w:ascii="Times New Roman" w:eastAsia="Times New Roman" w:hAnsi="Times New Roman" w:cs="Times New Roman"/>
          <w:sz w:val="28"/>
          <w:szCs w:val="28"/>
          <w:lang w:eastAsia="ru-RU"/>
        </w:rPr>
        <w:t>Киберпатруль</w:t>
      </w:r>
      <w:proofErr w:type="spellEnd"/>
      <w:r w:rsidRPr="00BD5345">
        <w:rPr>
          <w:rFonts w:ascii="Times New Roman" w:eastAsia="Times New Roman" w:hAnsi="Times New Roman" w:cs="Times New Roman"/>
          <w:sz w:val="28"/>
          <w:szCs w:val="28"/>
          <w:lang w:eastAsia="ru-RU"/>
        </w:rPr>
        <w:t>» совместно с Центром спортивно-патриотического воспитания «Витязь 46» приняли участие в данной акции и сняли видео, в котором выстроились в слово «МИР». В день солидарности в борьбе с терроризмом 3 сентября в формате видео-конференц-связи обучающиеся школ К</w:t>
      </w:r>
      <w:r w:rsidR="00364580">
        <w:rPr>
          <w:rFonts w:ascii="Times New Roman" w:eastAsia="Times New Roman" w:hAnsi="Times New Roman" w:cs="Times New Roman"/>
          <w:sz w:val="28"/>
          <w:szCs w:val="28"/>
          <w:lang w:eastAsia="ru-RU"/>
        </w:rPr>
        <w:t xml:space="preserve">урской области приняли участие </w:t>
      </w:r>
      <w:r w:rsidRPr="00BD5345">
        <w:rPr>
          <w:rFonts w:ascii="Times New Roman" w:eastAsia="Times New Roman" w:hAnsi="Times New Roman" w:cs="Times New Roman"/>
          <w:sz w:val="28"/>
          <w:szCs w:val="28"/>
          <w:lang w:eastAsia="ru-RU"/>
        </w:rPr>
        <w:t>в мероприятии «Урок безопасного поведения в сети Интернет» с привлечением представителей регионального антикризисного проекта «</w:t>
      </w:r>
      <w:proofErr w:type="spellStart"/>
      <w:r w:rsidRPr="00BD5345">
        <w:rPr>
          <w:rFonts w:ascii="Times New Roman" w:eastAsia="Times New Roman" w:hAnsi="Times New Roman" w:cs="Times New Roman"/>
          <w:sz w:val="28"/>
          <w:szCs w:val="28"/>
          <w:lang w:eastAsia="ru-RU"/>
        </w:rPr>
        <w:t>Киберпатруль</w:t>
      </w:r>
      <w:proofErr w:type="spellEnd"/>
      <w:r w:rsidRPr="00BD5345">
        <w:rPr>
          <w:rFonts w:ascii="Times New Roman" w:eastAsia="Times New Roman" w:hAnsi="Times New Roman" w:cs="Times New Roman"/>
          <w:sz w:val="28"/>
          <w:szCs w:val="28"/>
          <w:lang w:eastAsia="ru-RU"/>
        </w:rPr>
        <w:t xml:space="preserve">». Еженедельно активисты проекта исследуют </w:t>
      </w:r>
      <w:proofErr w:type="spellStart"/>
      <w:r w:rsidRPr="00BD5345">
        <w:rPr>
          <w:rFonts w:ascii="Times New Roman" w:eastAsia="Times New Roman" w:hAnsi="Times New Roman" w:cs="Times New Roman"/>
          <w:sz w:val="28"/>
          <w:szCs w:val="28"/>
          <w:lang w:eastAsia="ru-RU"/>
        </w:rPr>
        <w:t>интернет-ресурсы</w:t>
      </w:r>
      <w:proofErr w:type="spellEnd"/>
      <w:r w:rsidRPr="00BD5345">
        <w:rPr>
          <w:rFonts w:ascii="Times New Roman" w:eastAsia="Times New Roman" w:hAnsi="Times New Roman" w:cs="Times New Roman"/>
          <w:sz w:val="28"/>
          <w:szCs w:val="28"/>
          <w:lang w:eastAsia="ru-RU"/>
        </w:rPr>
        <w:t xml:space="preserve"> на предмет выявления запрещенной к распространению информации, в том числе причиняющей вред здоровью и развитию детей. Полученные сведения аккумулируются, классифицируются и направ</w:t>
      </w:r>
      <w:r w:rsidR="00364580">
        <w:rPr>
          <w:rFonts w:ascii="Times New Roman" w:eastAsia="Times New Roman" w:hAnsi="Times New Roman" w:cs="Times New Roman"/>
          <w:sz w:val="28"/>
          <w:szCs w:val="28"/>
          <w:lang w:eastAsia="ru-RU"/>
        </w:rPr>
        <w:t xml:space="preserve">ляются для проведения проверок </w:t>
      </w:r>
      <w:r w:rsidRPr="00BD5345">
        <w:rPr>
          <w:rFonts w:ascii="Times New Roman" w:eastAsia="Times New Roman" w:hAnsi="Times New Roman" w:cs="Times New Roman"/>
          <w:sz w:val="28"/>
          <w:szCs w:val="28"/>
          <w:lang w:eastAsia="ru-RU"/>
        </w:rPr>
        <w:t>в правоохранительные органы. В 2021 г</w:t>
      </w:r>
      <w:r w:rsidR="006E6ADC">
        <w:rPr>
          <w:rFonts w:ascii="Times New Roman" w:eastAsia="Times New Roman" w:hAnsi="Times New Roman" w:cs="Times New Roman"/>
          <w:sz w:val="28"/>
          <w:szCs w:val="28"/>
          <w:lang w:eastAsia="ru-RU"/>
        </w:rPr>
        <w:t>.</w:t>
      </w:r>
      <w:r w:rsidRPr="00BD5345">
        <w:rPr>
          <w:rFonts w:ascii="Times New Roman" w:eastAsia="Times New Roman" w:hAnsi="Times New Roman" w:cs="Times New Roman"/>
          <w:sz w:val="28"/>
          <w:szCs w:val="28"/>
          <w:lang w:eastAsia="ru-RU"/>
        </w:rPr>
        <w:t xml:space="preserve"> в ходе мониторинга интернет-ресурсов активистами проекта выявлено 192 ссылки с незак</w:t>
      </w:r>
      <w:r w:rsidR="00364580">
        <w:rPr>
          <w:rFonts w:ascii="Times New Roman" w:eastAsia="Times New Roman" w:hAnsi="Times New Roman" w:cs="Times New Roman"/>
          <w:sz w:val="28"/>
          <w:szCs w:val="28"/>
          <w:lang w:eastAsia="ru-RU"/>
        </w:rPr>
        <w:t>онным контентом</w:t>
      </w:r>
      <w:r w:rsidR="00553E31">
        <w:rPr>
          <w:rFonts w:ascii="Times New Roman" w:eastAsia="Times New Roman" w:hAnsi="Times New Roman" w:cs="Times New Roman"/>
          <w:sz w:val="28"/>
          <w:szCs w:val="28"/>
          <w:lang w:eastAsia="ru-RU"/>
        </w:rPr>
        <w:t xml:space="preserve">: </w:t>
      </w:r>
      <w:r w:rsidRPr="00BD5345">
        <w:rPr>
          <w:rFonts w:ascii="Times New Roman" w:eastAsia="Times New Roman" w:hAnsi="Times New Roman" w:cs="Times New Roman"/>
          <w:sz w:val="28"/>
          <w:szCs w:val="28"/>
          <w:lang w:eastAsia="ru-RU"/>
        </w:rPr>
        <w:t xml:space="preserve">136 – </w:t>
      </w:r>
      <w:proofErr w:type="spellStart"/>
      <w:r w:rsidRPr="00BD5345">
        <w:rPr>
          <w:rFonts w:ascii="Times New Roman" w:eastAsia="Times New Roman" w:hAnsi="Times New Roman" w:cs="Times New Roman"/>
          <w:sz w:val="28"/>
          <w:szCs w:val="28"/>
          <w:lang w:eastAsia="ru-RU"/>
        </w:rPr>
        <w:t>наркореклама</w:t>
      </w:r>
      <w:proofErr w:type="spellEnd"/>
      <w:r w:rsidRPr="00BD5345">
        <w:rPr>
          <w:rFonts w:ascii="Times New Roman" w:eastAsia="Times New Roman" w:hAnsi="Times New Roman" w:cs="Times New Roman"/>
          <w:sz w:val="28"/>
          <w:szCs w:val="28"/>
          <w:lang w:eastAsia="ru-RU"/>
        </w:rPr>
        <w:t>,</w:t>
      </w:r>
      <w:r w:rsidR="00553E31" w:rsidRPr="00BD5345">
        <w:rPr>
          <w:rFonts w:ascii="Times New Roman" w:hAnsi="Times New Roman" w:cs="Times New Roman"/>
          <w:sz w:val="28"/>
          <w:szCs w:val="28"/>
          <w:lang w:bidi="ru-RU"/>
        </w:rPr>
        <w:t> </w:t>
      </w:r>
      <w:r w:rsidRPr="00BD5345">
        <w:rPr>
          <w:rFonts w:ascii="Times New Roman" w:eastAsia="Times New Roman" w:hAnsi="Times New Roman" w:cs="Times New Roman"/>
          <w:sz w:val="28"/>
          <w:szCs w:val="28"/>
          <w:lang w:eastAsia="ru-RU"/>
        </w:rPr>
        <w:t>42 – экстремизм,</w:t>
      </w:r>
      <w:r w:rsidR="00553E31" w:rsidRPr="00BD5345">
        <w:rPr>
          <w:rFonts w:ascii="Times New Roman" w:hAnsi="Times New Roman" w:cs="Times New Roman"/>
          <w:sz w:val="28"/>
          <w:szCs w:val="28"/>
          <w:lang w:bidi="ru-RU"/>
        </w:rPr>
        <w:t> </w:t>
      </w:r>
      <w:r w:rsidRPr="00BD5345">
        <w:rPr>
          <w:rFonts w:ascii="Times New Roman" w:eastAsia="Times New Roman" w:hAnsi="Times New Roman" w:cs="Times New Roman"/>
          <w:sz w:val="28"/>
          <w:szCs w:val="28"/>
          <w:lang w:eastAsia="ru-RU"/>
        </w:rPr>
        <w:t>12 – призы</w:t>
      </w:r>
      <w:r w:rsidR="00553E31">
        <w:rPr>
          <w:rFonts w:ascii="Times New Roman" w:eastAsia="Times New Roman" w:hAnsi="Times New Roman" w:cs="Times New Roman"/>
          <w:sz w:val="28"/>
          <w:szCs w:val="28"/>
          <w:lang w:eastAsia="ru-RU"/>
        </w:rPr>
        <w:t>вы к суициду, 2 – мошенничество</w:t>
      </w:r>
      <w:r w:rsidRPr="00BD5345">
        <w:rPr>
          <w:rFonts w:ascii="Times New Roman" w:eastAsia="Times New Roman" w:hAnsi="Times New Roman" w:cs="Times New Roman"/>
          <w:sz w:val="28"/>
          <w:szCs w:val="28"/>
          <w:lang w:eastAsia="ru-RU"/>
        </w:rPr>
        <w:t>.</w:t>
      </w:r>
    </w:p>
    <w:p w14:paraId="240524B5" w14:textId="42278459" w:rsidR="00BD5345" w:rsidRPr="00BD5345" w:rsidRDefault="00BD5345" w:rsidP="00A21663">
      <w:pPr>
        <w:spacing w:after="0" w:line="312" w:lineRule="auto"/>
        <w:ind w:firstLine="709"/>
        <w:jc w:val="both"/>
        <w:rPr>
          <w:rFonts w:ascii="Times New Roman" w:eastAsia="Times New Roman" w:hAnsi="Times New Roman" w:cs="Times New Roman"/>
          <w:sz w:val="28"/>
          <w:szCs w:val="28"/>
          <w:lang w:eastAsia="ru-RU"/>
        </w:rPr>
      </w:pPr>
      <w:r w:rsidRPr="00BD5345">
        <w:rPr>
          <w:rFonts w:ascii="Times New Roman" w:eastAsia="Times New Roman" w:hAnsi="Times New Roman" w:cs="Times New Roman"/>
          <w:sz w:val="28"/>
          <w:szCs w:val="28"/>
          <w:lang w:eastAsia="ru-RU"/>
        </w:rPr>
        <w:t xml:space="preserve">В Республике Татарстан ГБУ «Республиканский центр молодежных инновационных и профилактических программ «Навигатор» при поддержке региональной </w:t>
      </w:r>
      <w:r w:rsidR="00FE7E71">
        <w:rPr>
          <w:rFonts w:ascii="Times New Roman" w:eastAsia="Times New Roman" w:hAnsi="Times New Roman" w:cs="Times New Roman"/>
          <w:sz w:val="28"/>
          <w:szCs w:val="28"/>
          <w:lang w:eastAsia="ru-RU"/>
        </w:rPr>
        <w:t>комиссии по делам несовершеннолетних и защите их прав</w:t>
      </w:r>
      <w:r w:rsidRPr="00BD5345">
        <w:rPr>
          <w:rFonts w:ascii="Times New Roman" w:eastAsia="Times New Roman" w:hAnsi="Times New Roman" w:cs="Times New Roman"/>
          <w:sz w:val="28"/>
          <w:szCs w:val="28"/>
          <w:lang w:eastAsia="ru-RU"/>
        </w:rPr>
        <w:t xml:space="preserve"> продолжена реализация проекта «Цифровая гигиена» через систему молодежных (подростковых) клубов по месту жительства и летних оздоровительных лагерей. Целью проекта является формирование модели профилактики отрицательного влияния информации на психическое, физическое и социальное благополучие подростков, предупреждения заболеваний и несчастных случаев среди подростков, связанных с негативным контентом, оздоровления окружающей информационной среды. Проект направлен на подростков в возрасте от 14 до 18 лет</w:t>
      </w:r>
      <w:r w:rsidR="007E0504">
        <w:rPr>
          <w:rFonts w:ascii="Times New Roman" w:eastAsia="Times New Roman" w:hAnsi="Times New Roman" w:cs="Times New Roman"/>
          <w:sz w:val="28"/>
          <w:szCs w:val="28"/>
          <w:lang w:eastAsia="ru-RU"/>
        </w:rPr>
        <w:t xml:space="preserve"> и</w:t>
      </w:r>
      <w:r w:rsidRPr="00BD5345">
        <w:rPr>
          <w:rFonts w:ascii="Times New Roman" w:eastAsia="Times New Roman" w:hAnsi="Times New Roman" w:cs="Times New Roman"/>
          <w:sz w:val="28"/>
          <w:szCs w:val="28"/>
          <w:lang w:eastAsia="ru-RU"/>
        </w:rPr>
        <w:t xml:space="preserve"> охватывает темы </w:t>
      </w:r>
      <w:proofErr w:type="spellStart"/>
      <w:r w:rsidRPr="00BD5345">
        <w:rPr>
          <w:rFonts w:ascii="Times New Roman" w:eastAsia="Times New Roman" w:hAnsi="Times New Roman" w:cs="Times New Roman"/>
          <w:sz w:val="28"/>
          <w:szCs w:val="28"/>
          <w:lang w:eastAsia="ru-RU"/>
        </w:rPr>
        <w:t>кибербуллинга</w:t>
      </w:r>
      <w:proofErr w:type="spellEnd"/>
      <w:r w:rsidRPr="00BD5345">
        <w:rPr>
          <w:rFonts w:ascii="Times New Roman" w:eastAsia="Times New Roman" w:hAnsi="Times New Roman" w:cs="Times New Roman"/>
          <w:sz w:val="28"/>
          <w:szCs w:val="28"/>
          <w:lang w:eastAsia="ru-RU"/>
        </w:rPr>
        <w:t xml:space="preserve">, мошенничества, опасного </w:t>
      </w:r>
      <w:proofErr w:type="spellStart"/>
      <w:r w:rsidRPr="00BD5345">
        <w:rPr>
          <w:rFonts w:ascii="Times New Roman" w:eastAsia="Times New Roman" w:hAnsi="Times New Roman" w:cs="Times New Roman"/>
          <w:sz w:val="28"/>
          <w:szCs w:val="28"/>
          <w:lang w:eastAsia="ru-RU"/>
        </w:rPr>
        <w:t>селфи</w:t>
      </w:r>
      <w:proofErr w:type="spellEnd"/>
      <w:r w:rsidRPr="00BD5345">
        <w:rPr>
          <w:rFonts w:ascii="Times New Roman" w:eastAsia="Times New Roman" w:hAnsi="Times New Roman" w:cs="Times New Roman"/>
          <w:sz w:val="28"/>
          <w:szCs w:val="28"/>
          <w:lang w:eastAsia="ru-RU"/>
        </w:rPr>
        <w:t>. Для информирования специалистов и родите</w:t>
      </w:r>
      <w:r w:rsidR="007E0504">
        <w:rPr>
          <w:rFonts w:ascii="Times New Roman" w:eastAsia="Times New Roman" w:hAnsi="Times New Roman" w:cs="Times New Roman"/>
          <w:sz w:val="28"/>
          <w:szCs w:val="28"/>
          <w:lang w:eastAsia="ru-RU"/>
        </w:rPr>
        <w:t xml:space="preserve">лей о формах и методах общения </w:t>
      </w:r>
      <w:r w:rsidRPr="00BD5345">
        <w:rPr>
          <w:rFonts w:ascii="Times New Roman" w:eastAsia="Times New Roman" w:hAnsi="Times New Roman" w:cs="Times New Roman"/>
          <w:sz w:val="28"/>
          <w:szCs w:val="28"/>
          <w:lang w:eastAsia="ru-RU"/>
        </w:rPr>
        <w:t>с несовершеннолетними в целях обеспеч</w:t>
      </w:r>
      <w:r w:rsidR="007E0504">
        <w:rPr>
          <w:rFonts w:ascii="Times New Roman" w:eastAsia="Times New Roman" w:hAnsi="Times New Roman" w:cs="Times New Roman"/>
          <w:sz w:val="28"/>
          <w:szCs w:val="28"/>
          <w:lang w:eastAsia="ru-RU"/>
        </w:rPr>
        <w:t xml:space="preserve">ения их безопасного нахождения </w:t>
      </w:r>
      <w:r w:rsidRPr="00BD5345">
        <w:rPr>
          <w:rFonts w:ascii="Times New Roman" w:eastAsia="Times New Roman" w:hAnsi="Times New Roman" w:cs="Times New Roman"/>
          <w:sz w:val="28"/>
          <w:szCs w:val="28"/>
          <w:lang w:eastAsia="ru-RU"/>
        </w:rPr>
        <w:t>в сети «Интернет» создано сообщество в социальной сети «</w:t>
      </w:r>
      <w:proofErr w:type="spellStart"/>
      <w:r w:rsidRPr="00BD5345">
        <w:rPr>
          <w:rFonts w:ascii="Times New Roman" w:eastAsia="Times New Roman" w:hAnsi="Times New Roman" w:cs="Times New Roman"/>
          <w:sz w:val="28"/>
          <w:szCs w:val="28"/>
          <w:lang w:eastAsia="ru-RU"/>
        </w:rPr>
        <w:t>ВКонтакте</w:t>
      </w:r>
      <w:proofErr w:type="spellEnd"/>
      <w:r w:rsidRPr="00BD5345">
        <w:rPr>
          <w:rFonts w:ascii="Times New Roman" w:eastAsia="Times New Roman" w:hAnsi="Times New Roman" w:cs="Times New Roman"/>
          <w:sz w:val="28"/>
          <w:szCs w:val="28"/>
          <w:lang w:eastAsia="ru-RU"/>
        </w:rPr>
        <w:t>» «Цифровая гигиена» (</w:t>
      </w:r>
      <w:hyperlink r:id="rId35" w:history="1">
        <w:r w:rsidRPr="00BD5345">
          <w:rPr>
            <w:rFonts w:ascii="Times New Roman" w:eastAsia="Times New Roman" w:hAnsi="Times New Roman" w:cs="Times New Roman"/>
            <w:sz w:val="28"/>
            <w:szCs w:val="28"/>
            <w:lang w:eastAsia="ru-RU"/>
          </w:rPr>
          <w:t>https://vk.coni/gigyena</w:t>
        </w:r>
      </w:hyperlink>
      <w:r w:rsidRPr="00BD5345">
        <w:rPr>
          <w:rFonts w:ascii="Times New Roman" w:eastAsia="Times New Roman" w:hAnsi="Times New Roman" w:cs="Times New Roman"/>
          <w:sz w:val="28"/>
          <w:szCs w:val="28"/>
          <w:lang w:eastAsia="ru-RU"/>
        </w:rPr>
        <w:t>). В сентябре 2021 г</w:t>
      </w:r>
      <w:r w:rsidR="007E0504">
        <w:rPr>
          <w:rFonts w:ascii="Times New Roman" w:eastAsia="Times New Roman" w:hAnsi="Times New Roman" w:cs="Times New Roman"/>
          <w:sz w:val="28"/>
          <w:szCs w:val="28"/>
          <w:lang w:eastAsia="ru-RU"/>
        </w:rPr>
        <w:t>.</w:t>
      </w:r>
      <w:r w:rsidRPr="00BD5345">
        <w:rPr>
          <w:rFonts w:ascii="Times New Roman" w:eastAsia="Times New Roman" w:hAnsi="Times New Roman" w:cs="Times New Roman"/>
          <w:sz w:val="28"/>
          <w:szCs w:val="28"/>
          <w:lang w:eastAsia="ru-RU"/>
        </w:rPr>
        <w:t xml:space="preserve"> проект «Цифровая гигиена» представлен </w:t>
      </w:r>
      <w:r w:rsidR="007E0504">
        <w:rPr>
          <w:rFonts w:ascii="Times New Roman" w:eastAsia="Times New Roman" w:hAnsi="Times New Roman" w:cs="Times New Roman"/>
          <w:sz w:val="28"/>
          <w:szCs w:val="28"/>
          <w:lang w:eastAsia="ru-RU"/>
        </w:rPr>
        <w:t xml:space="preserve">на выставочной онлайн-площадке </w:t>
      </w:r>
      <w:r w:rsidR="0027146D">
        <w:rPr>
          <w:rFonts w:ascii="Times New Roman" w:eastAsia="Times New Roman" w:hAnsi="Times New Roman" w:cs="Times New Roman"/>
          <w:sz w:val="28"/>
          <w:szCs w:val="28"/>
          <w:lang w:eastAsia="ru-RU"/>
        </w:rPr>
        <w:br/>
      </w:r>
      <w:r w:rsidRPr="00BD5345">
        <w:rPr>
          <w:rFonts w:ascii="Times New Roman" w:eastAsia="Times New Roman" w:hAnsi="Times New Roman" w:cs="Times New Roman"/>
          <w:sz w:val="28"/>
          <w:szCs w:val="28"/>
          <w:lang w:eastAsia="ru-RU"/>
        </w:rPr>
        <w:t>XII Всероссийского форума «Вместе – ради детей! Новые решения для благополучия детей» и признан лидером в номинации «Ценю жизнь!».</w:t>
      </w:r>
    </w:p>
    <w:p w14:paraId="745DF756" w14:textId="77777777" w:rsidR="00BD5345" w:rsidRPr="00BD5345" w:rsidRDefault="00BD5345" w:rsidP="00A21663">
      <w:pPr>
        <w:tabs>
          <w:tab w:val="left" w:pos="9781"/>
        </w:tabs>
        <w:spacing w:after="0" w:line="312" w:lineRule="auto"/>
        <w:ind w:firstLine="709"/>
        <w:jc w:val="both"/>
        <w:rPr>
          <w:rFonts w:ascii="Times New Roman" w:hAnsi="Times New Roman" w:cs="Times New Roman"/>
          <w:sz w:val="28"/>
          <w:szCs w:val="28"/>
        </w:rPr>
      </w:pPr>
      <w:r w:rsidRPr="00BD5345">
        <w:rPr>
          <w:rFonts w:ascii="Times New Roman" w:hAnsi="Times New Roman" w:cs="Times New Roman"/>
          <w:sz w:val="28"/>
          <w:szCs w:val="28"/>
        </w:rPr>
        <w:t xml:space="preserve">Вопросы обеспечения безопасности дорожного движения также находятся в зоне повышенного внимания субъектов </w:t>
      </w:r>
      <w:r w:rsidR="007E0504">
        <w:rPr>
          <w:rFonts w:ascii="Times New Roman" w:hAnsi="Times New Roman" w:cs="Times New Roman"/>
          <w:sz w:val="28"/>
          <w:szCs w:val="28"/>
        </w:rPr>
        <w:t xml:space="preserve">системы </w:t>
      </w:r>
      <w:r w:rsidRPr="00BD5345">
        <w:rPr>
          <w:rFonts w:ascii="Times New Roman" w:hAnsi="Times New Roman" w:cs="Times New Roman"/>
          <w:sz w:val="28"/>
          <w:szCs w:val="28"/>
        </w:rPr>
        <w:t>профилактики</w:t>
      </w:r>
      <w:r w:rsidR="007E0504">
        <w:rPr>
          <w:rFonts w:ascii="Times New Roman" w:hAnsi="Times New Roman" w:cs="Times New Roman"/>
          <w:sz w:val="28"/>
          <w:szCs w:val="28"/>
        </w:rPr>
        <w:t xml:space="preserve"> безнадзорности и правонарушений несовершеннолетних</w:t>
      </w:r>
      <w:r w:rsidR="00553E31">
        <w:rPr>
          <w:rFonts w:ascii="Times New Roman" w:hAnsi="Times New Roman" w:cs="Times New Roman"/>
          <w:sz w:val="28"/>
          <w:szCs w:val="28"/>
        </w:rPr>
        <w:t>.</w:t>
      </w:r>
    </w:p>
    <w:p w14:paraId="53E6984D" w14:textId="77777777" w:rsidR="00BD5345" w:rsidRPr="00BD5345" w:rsidRDefault="00BD5345" w:rsidP="00A21663">
      <w:pPr>
        <w:widowControl w:val="0"/>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Приоритетным направлением национального проекта «Безопасные качественные дороги» федерального проекта «Безопасность дорожного движения» является профилактика пра</w:t>
      </w:r>
      <w:r w:rsidR="005430C5">
        <w:rPr>
          <w:rFonts w:ascii="Times New Roman" w:eastAsia="Times New Roman" w:hAnsi="Times New Roman" w:cs="Times New Roman"/>
          <w:sz w:val="28"/>
          <w:szCs w:val="28"/>
        </w:rPr>
        <w:t xml:space="preserve">вонарушений несовершеннолетних </w:t>
      </w:r>
      <w:r w:rsidRPr="00BD5345">
        <w:rPr>
          <w:rFonts w:ascii="Times New Roman" w:eastAsia="Times New Roman" w:hAnsi="Times New Roman" w:cs="Times New Roman"/>
          <w:sz w:val="28"/>
          <w:szCs w:val="28"/>
        </w:rPr>
        <w:t>в области дорожного движения, а также детского дорожно-транспортного травматизма, формирование у детей основ современной транспортной культуры и навыков безопасного участия в дорожном движении.</w:t>
      </w:r>
    </w:p>
    <w:p w14:paraId="506D97C4" w14:textId="77777777" w:rsidR="00BD5345" w:rsidRPr="00BD5345" w:rsidRDefault="00BD5345" w:rsidP="00A21663">
      <w:pPr>
        <w:widowControl w:val="0"/>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Во исполнение поручения Президента Российской Федерации по итогам заседания Государственного Совета Российской Федерации 26 июня 2019 г</w:t>
      </w:r>
      <w:r w:rsidR="007E0504">
        <w:rPr>
          <w:rFonts w:ascii="Times New Roman" w:eastAsia="Times New Roman" w:hAnsi="Times New Roman" w:cs="Times New Roman"/>
          <w:sz w:val="28"/>
          <w:szCs w:val="28"/>
        </w:rPr>
        <w:t>.</w:t>
      </w:r>
      <w:r w:rsidRPr="00BD5345">
        <w:rPr>
          <w:rFonts w:ascii="Times New Roman" w:eastAsia="Times New Roman" w:hAnsi="Times New Roman" w:cs="Times New Roman"/>
          <w:sz w:val="28"/>
          <w:szCs w:val="28"/>
        </w:rPr>
        <w:t xml:space="preserve"> организована работа по созданию в каждом субъекте Российской Федерации ресурсных центров по профилактике </w:t>
      </w:r>
      <w:r w:rsidR="007E0504" w:rsidRPr="00BD5345">
        <w:rPr>
          <w:rFonts w:ascii="Times New Roman" w:eastAsia="Times New Roman" w:hAnsi="Times New Roman" w:cs="Times New Roman"/>
          <w:sz w:val="28"/>
          <w:szCs w:val="28"/>
        </w:rPr>
        <w:t>детского дорожно-транспортного травматизма</w:t>
      </w:r>
      <w:r w:rsidRPr="00BD5345">
        <w:rPr>
          <w:rFonts w:ascii="Times New Roman" w:eastAsia="Times New Roman" w:hAnsi="Times New Roman" w:cs="Times New Roman"/>
          <w:sz w:val="28"/>
          <w:szCs w:val="28"/>
        </w:rPr>
        <w:t>, в которых построены тренировочные площадки для детей.</w:t>
      </w:r>
    </w:p>
    <w:p w14:paraId="17641339" w14:textId="77777777" w:rsidR="00BD5345" w:rsidRPr="00BD5345" w:rsidRDefault="00BD5345" w:rsidP="00A21663">
      <w:pPr>
        <w:widowControl w:val="0"/>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В 2021 г</w:t>
      </w:r>
      <w:r w:rsidR="000C7307">
        <w:rPr>
          <w:rFonts w:ascii="Times New Roman" w:eastAsia="Times New Roman" w:hAnsi="Times New Roman" w:cs="Times New Roman"/>
          <w:sz w:val="28"/>
          <w:szCs w:val="28"/>
        </w:rPr>
        <w:t>.</w:t>
      </w:r>
      <w:r w:rsidRPr="00BD5345">
        <w:rPr>
          <w:rFonts w:ascii="Times New Roman" w:eastAsia="Times New Roman" w:hAnsi="Times New Roman" w:cs="Times New Roman"/>
          <w:sz w:val="28"/>
          <w:szCs w:val="28"/>
        </w:rPr>
        <w:t xml:space="preserve"> заверше</w:t>
      </w:r>
      <w:r w:rsidR="007E0504">
        <w:rPr>
          <w:rFonts w:ascii="Times New Roman" w:eastAsia="Times New Roman" w:hAnsi="Times New Roman" w:cs="Times New Roman"/>
          <w:sz w:val="28"/>
          <w:szCs w:val="28"/>
        </w:rPr>
        <w:t xml:space="preserve">на работа МВД России совместно </w:t>
      </w:r>
      <w:r w:rsidRPr="00BD5345">
        <w:rPr>
          <w:rFonts w:ascii="Times New Roman" w:eastAsia="Times New Roman" w:hAnsi="Times New Roman" w:cs="Times New Roman"/>
          <w:sz w:val="28"/>
          <w:szCs w:val="28"/>
        </w:rPr>
        <w:t xml:space="preserve">с Банком России и Российским союзом Автостраховщиков по оснащению </w:t>
      </w:r>
      <w:r w:rsidR="00F066A2">
        <w:rPr>
          <w:rFonts w:ascii="Times New Roman" w:eastAsia="Times New Roman" w:hAnsi="Times New Roman" w:cs="Times New Roman"/>
          <w:sz w:val="28"/>
          <w:szCs w:val="28"/>
        </w:rPr>
        <w:t>ц</w:t>
      </w:r>
      <w:r w:rsidRPr="00BD5345">
        <w:rPr>
          <w:rFonts w:ascii="Times New Roman" w:eastAsia="Times New Roman" w:hAnsi="Times New Roman" w:cs="Times New Roman"/>
          <w:sz w:val="28"/>
          <w:szCs w:val="28"/>
        </w:rPr>
        <w:t xml:space="preserve">ентров </w:t>
      </w:r>
      <w:r w:rsidR="00F066A2" w:rsidRPr="00BD5345">
        <w:rPr>
          <w:rFonts w:ascii="Times New Roman" w:eastAsia="Times New Roman" w:hAnsi="Times New Roman" w:cs="Times New Roman"/>
          <w:sz w:val="28"/>
          <w:szCs w:val="28"/>
        </w:rPr>
        <w:t xml:space="preserve">детского дорожно-транспортного травматизма </w:t>
      </w:r>
      <w:r w:rsidRPr="00BD5345">
        <w:rPr>
          <w:rFonts w:ascii="Times New Roman" w:eastAsia="Times New Roman" w:hAnsi="Times New Roman" w:cs="Times New Roman"/>
          <w:sz w:val="28"/>
          <w:szCs w:val="28"/>
        </w:rPr>
        <w:t>мобильными комплексами «Лаб</w:t>
      </w:r>
      <w:r w:rsidR="007E0504">
        <w:rPr>
          <w:rFonts w:ascii="Times New Roman" w:eastAsia="Times New Roman" w:hAnsi="Times New Roman" w:cs="Times New Roman"/>
          <w:sz w:val="28"/>
          <w:szCs w:val="28"/>
        </w:rPr>
        <w:t xml:space="preserve">оратория безопасности» во всех </w:t>
      </w:r>
      <w:r w:rsidRPr="00BD5345">
        <w:rPr>
          <w:rFonts w:ascii="Times New Roman" w:eastAsia="Times New Roman" w:hAnsi="Times New Roman" w:cs="Times New Roman"/>
          <w:sz w:val="28"/>
          <w:szCs w:val="28"/>
        </w:rPr>
        <w:t>85 субъектах Российской Федерации, кото</w:t>
      </w:r>
      <w:r w:rsidR="007E0504">
        <w:rPr>
          <w:rFonts w:ascii="Times New Roman" w:eastAsia="Times New Roman" w:hAnsi="Times New Roman" w:cs="Times New Roman"/>
          <w:sz w:val="28"/>
          <w:szCs w:val="28"/>
        </w:rPr>
        <w:t xml:space="preserve">рые стали базовыми платформами </w:t>
      </w:r>
      <w:r w:rsidRPr="00BD5345">
        <w:rPr>
          <w:rFonts w:ascii="Times New Roman" w:eastAsia="Times New Roman" w:hAnsi="Times New Roman" w:cs="Times New Roman"/>
          <w:sz w:val="28"/>
          <w:szCs w:val="28"/>
        </w:rPr>
        <w:t>по обучению детей практическим навыкам бе</w:t>
      </w:r>
      <w:r w:rsidR="00F066A2">
        <w:rPr>
          <w:rFonts w:ascii="Times New Roman" w:eastAsia="Times New Roman" w:hAnsi="Times New Roman" w:cs="Times New Roman"/>
          <w:sz w:val="28"/>
          <w:szCs w:val="28"/>
        </w:rPr>
        <w:t>зопасного поведения на дорогах.</w:t>
      </w:r>
    </w:p>
    <w:p w14:paraId="75421D16" w14:textId="77777777" w:rsidR="00BD5345" w:rsidRPr="00BD5345" w:rsidRDefault="00BD5345" w:rsidP="00A21663">
      <w:pPr>
        <w:widowControl w:val="0"/>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На территории Российской Федерации</w:t>
      </w:r>
      <w:r w:rsidR="007E0504">
        <w:rPr>
          <w:rFonts w:ascii="Times New Roman" w:eastAsia="Times New Roman" w:hAnsi="Times New Roman" w:cs="Times New Roman"/>
          <w:sz w:val="28"/>
          <w:szCs w:val="28"/>
        </w:rPr>
        <w:t xml:space="preserve"> осуществляли свою деятельность </w:t>
      </w:r>
      <w:r w:rsidR="000F6726">
        <w:rPr>
          <w:rFonts w:ascii="Times New Roman" w:eastAsia="Times New Roman" w:hAnsi="Times New Roman" w:cs="Times New Roman"/>
          <w:sz w:val="28"/>
          <w:szCs w:val="28"/>
        </w:rPr>
        <w:br/>
      </w:r>
      <w:r w:rsidR="00F066A2">
        <w:rPr>
          <w:rFonts w:ascii="Times New Roman" w:eastAsia="Times New Roman" w:hAnsi="Times New Roman" w:cs="Times New Roman"/>
          <w:sz w:val="28"/>
          <w:szCs w:val="28"/>
        </w:rPr>
        <w:t>737 ц</w:t>
      </w:r>
      <w:r w:rsidRPr="00BD5345">
        <w:rPr>
          <w:rFonts w:ascii="Times New Roman" w:eastAsia="Times New Roman" w:hAnsi="Times New Roman" w:cs="Times New Roman"/>
          <w:sz w:val="28"/>
          <w:szCs w:val="28"/>
        </w:rPr>
        <w:t xml:space="preserve">ентров </w:t>
      </w:r>
      <w:r w:rsidR="00F066A2" w:rsidRPr="00BD5345">
        <w:rPr>
          <w:rFonts w:ascii="Times New Roman" w:eastAsia="Times New Roman" w:hAnsi="Times New Roman" w:cs="Times New Roman"/>
          <w:sz w:val="28"/>
          <w:szCs w:val="28"/>
        </w:rPr>
        <w:t>детского дорожно-транспортного травматизма</w:t>
      </w:r>
      <w:r w:rsidRPr="00BD5345">
        <w:rPr>
          <w:rFonts w:ascii="Times New Roman" w:eastAsia="Times New Roman" w:hAnsi="Times New Roman" w:cs="Times New Roman"/>
          <w:sz w:val="28"/>
          <w:szCs w:val="28"/>
        </w:rPr>
        <w:t>, созданные преимущественно на базе организаций дополнительного образования (346 или 50% от общего количества), а также организаций дополнительного профессионального образования, профессиональных образовательных и об</w:t>
      </w:r>
      <w:r w:rsidR="005430C5">
        <w:rPr>
          <w:rFonts w:ascii="Times New Roman" w:eastAsia="Times New Roman" w:hAnsi="Times New Roman" w:cs="Times New Roman"/>
          <w:sz w:val="28"/>
          <w:szCs w:val="28"/>
        </w:rPr>
        <w:t xml:space="preserve">щеобразовательных организаций. </w:t>
      </w:r>
      <w:r w:rsidRPr="00BD5345">
        <w:rPr>
          <w:rFonts w:ascii="Times New Roman" w:eastAsia="Times New Roman" w:hAnsi="Times New Roman" w:cs="Times New Roman"/>
          <w:sz w:val="28"/>
          <w:szCs w:val="28"/>
        </w:rPr>
        <w:t>В указанных центрах в течение 2021 г</w:t>
      </w:r>
      <w:r w:rsidR="000C7307">
        <w:rPr>
          <w:rFonts w:ascii="Times New Roman" w:eastAsia="Times New Roman" w:hAnsi="Times New Roman" w:cs="Times New Roman"/>
          <w:sz w:val="28"/>
          <w:szCs w:val="28"/>
        </w:rPr>
        <w:t>.</w:t>
      </w:r>
      <w:r w:rsidRPr="00BD5345">
        <w:rPr>
          <w:rFonts w:ascii="Times New Roman" w:eastAsia="Times New Roman" w:hAnsi="Times New Roman" w:cs="Times New Roman"/>
          <w:sz w:val="28"/>
          <w:szCs w:val="28"/>
        </w:rPr>
        <w:t xml:space="preserve"> в рамках образовательных программ прошли обучение 454 534 ребенка. </w:t>
      </w:r>
    </w:p>
    <w:p w14:paraId="0462DBB8" w14:textId="77777777" w:rsidR="00BD5345" w:rsidRPr="00BD5345" w:rsidRDefault="00BD5345" w:rsidP="00A21663">
      <w:pPr>
        <w:widowControl w:val="0"/>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 xml:space="preserve">Одним из приоритетных направлений дополнительного образования детей является развитие детских </w:t>
      </w:r>
      <w:r w:rsidR="005430C5">
        <w:rPr>
          <w:rFonts w:ascii="Times New Roman" w:eastAsia="Times New Roman" w:hAnsi="Times New Roman" w:cs="Times New Roman"/>
          <w:sz w:val="28"/>
          <w:szCs w:val="28"/>
        </w:rPr>
        <w:t xml:space="preserve">объединений, которые участвуют </w:t>
      </w:r>
      <w:r w:rsidRPr="00BD5345">
        <w:rPr>
          <w:rFonts w:ascii="Times New Roman" w:eastAsia="Times New Roman" w:hAnsi="Times New Roman" w:cs="Times New Roman"/>
          <w:sz w:val="28"/>
          <w:szCs w:val="28"/>
        </w:rPr>
        <w:t>в деятельности по пропаганде безопасного поведения на дорогах. В 2021 г</w:t>
      </w:r>
      <w:r w:rsidR="00777D03">
        <w:rPr>
          <w:rFonts w:ascii="Times New Roman" w:eastAsia="Times New Roman" w:hAnsi="Times New Roman" w:cs="Times New Roman"/>
          <w:sz w:val="28"/>
          <w:szCs w:val="28"/>
        </w:rPr>
        <w:t>.</w:t>
      </w:r>
      <w:r w:rsidRPr="00BD5345">
        <w:rPr>
          <w:rFonts w:ascii="Times New Roman" w:eastAsia="Times New Roman" w:hAnsi="Times New Roman" w:cs="Times New Roman"/>
          <w:sz w:val="28"/>
          <w:szCs w:val="28"/>
        </w:rPr>
        <w:t xml:space="preserve"> МВД России совместно с Минпросвещения России организована деятельность отрядов юных инспекторов движения в образовательных организациях</w:t>
      </w:r>
      <w:r w:rsidR="0037242B" w:rsidRPr="00BD5345">
        <w:rPr>
          <w:rFonts w:ascii="Times New Roman" w:eastAsia="Times New Roman" w:hAnsi="Times New Roman" w:cs="Times New Roman"/>
          <w:sz w:val="28"/>
          <w:szCs w:val="28"/>
        </w:rPr>
        <w:t> </w:t>
      </w:r>
      <w:r w:rsidR="00F67AE5">
        <w:rPr>
          <w:rFonts w:ascii="Times New Roman" w:eastAsia="Times New Roman" w:hAnsi="Times New Roman" w:cs="Times New Roman"/>
          <w:sz w:val="28"/>
          <w:szCs w:val="28"/>
        </w:rPr>
        <w:t>(далее – ЮИД)</w:t>
      </w:r>
      <w:r w:rsidRPr="00BD5345">
        <w:rPr>
          <w:rFonts w:ascii="Times New Roman" w:eastAsia="Times New Roman" w:hAnsi="Times New Roman" w:cs="Times New Roman"/>
          <w:sz w:val="28"/>
          <w:szCs w:val="28"/>
        </w:rPr>
        <w:t>.</w:t>
      </w:r>
    </w:p>
    <w:p w14:paraId="5F93C5BC" w14:textId="77777777" w:rsidR="00BD5345" w:rsidRPr="00BD5345" w:rsidRDefault="00BD5345" w:rsidP="00A21663">
      <w:pPr>
        <w:widowControl w:val="0"/>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Количество отрядов ЮИД по сос</w:t>
      </w:r>
      <w:r w:rsidR="005430C5">
        <w:rPr>
          <w:rFonts w:ascii="Times New Roman" w:eastAsia="Times New Roman" w:hAnsi="Times New Roman" w:cs="Times New Roman"/>
          <w:sz w:val="28"/>
          <w:szCs w:val="28"/>
        </w:rPr>
        <w:t>тоянию на 1 сентября 2021 г</w:t>
      </w:r>
      <w:r w:rsidR="000F6726">
        <w:rPr>
          <w:rFonts w:ascii="Times New Roman" w:eastAsia="Times New Roman" w:hAnsi="Times New Roman" w:cs="Times New Roman"/>
          <w:sz w:val="28"/>
          <w:szCs w:val="28"/>
        </w:rPr>
        <w:t>.</w:t>
      </w:r>
      <w:r w:rsidR="005430C5">
        <w:rPr>
          <w:rFonts w:ascii="Times New Roman" w:eastAsia="Times New Roman" w:hAnsi="Times New Roman" w:cs="Times New Roman"/>
          <w:sz w:val="28"/>
          <w:szCs w:val="28"/>
        </w:rPr>
        <w:t xml:space="preserve"> </w:t>
      </w:r>
      <w:r w:rsidRPr="00BD5345">
        <w:rPr>
          <w:rFonts w:ascii="Times New Roman" w:eastAsia="Times New Roman" w:hAnsi="Times New Roman" w:cs="Times New Roman"/>
          <w:sz w:val="28"/>
          <w:szCs w:val="28"/>
        </w:rPr>
        <w:t xml:space="preserve">в Российской Федерации составляло 35 005 численностью 498 094 детей, </w:t>
      </w:r>
      <w:r w:rsidR="00F066A2" w:rsidRPr="00BD5345">
        <w:rPr>
          <w:rFonts w:ascii="Times New Roman" w:eastAsia="Times New Roman" w:hAnsi="Times New Roman" w:cs="Times New Roman"/>
          <w:sz w:val="28"/>
          <w:szCs w:val="28"/>
        </w:rPr>
        <w:t>45,5%</w:t>
      </w:r>
      <w:r w:rsidR="00F066A2">
        <w:rPr>
          <w:rFonts w:ascii="Times New Roman" w:eastAsia="Times New Roman" w:hAnsi="Times New Roman" w:cs="Times New Roman"/>
          <w:sz w:val="28"/>
          <w:szCs w:val="28"/>
        </w:rPr>
        <w:t xml:space="preserve"> из которых </w:t>
      </w:r>
      <w:r w:rsidRPr="00BD5345">
        <w:rPr>
          <w:rFonts w:ascii="Times New Roman" w:eastAsia="Times New Roman" w:hAnsi="Times New Roman" w:cs="Times New Roman"/>
          <w:sz w:val="28"/>
          <w:szCs w:val="28"/>
        </w:rPr>
        <w:t>– в возрасте 10</w:t>
      </w:r>
      <w:r w:rsidR="0037242B">
        <w:rPr>
          <w:rFonts w:ascii="Times New Roman" w:eastAsia="Times New Roman" w:hAnsi="Times New Roman" w:cs="Times New Roman"/>
          <w:sz w:val="28"/>
          <w:szCs w:val="28"/>
        </w:rPr>
        <w:t>-</w:t>
      </w:r>
      <w:r w:rsidRPr="00BD5345">
        <w:rPr>
          <w:rFonts w:ascii="Times New Roman" w:eastAsia="Times New Roman" w:hAnsi="Times New Roman" w:cs="Times New Roman"/>
          <w:sz w:val="28"/>
          <w:szCs w:val="28"/>
        </w:rPr>
        <w:t>12 лет, 28,7% – в возрасте 7</w:t>
      </w:r>
      <w:r w:rsidR="0037242B">
        <w:rPr>
          <w:rFonts w:ascii="Times New Roman" w:eastAsia="Times New Roman" w:hAnsi="Times New Roman" w:cs="Times New Roman"/>
          <w:sz w:val="28"/>
          <w:szCs w:val="28"/>
        </w:rPr>
        <w:t>-</w:t>
      </w:r>
      <w:r w:rsidRPr="00BD5345">
        <w:rPr>
          <w:rFonts w:ascii="Times New Roman" w:eastAsia="Times New Roman" w:hAnsi="Times New Roman" w:cs="Times New Roman"/>
          <w:sz w:val="28"/>
          <w:szCs w:val="28"/>
        </w:rPr>
        <w:t>9 лет, 24,1% – в возрасте 13</w:t>
      </w:r>
      <w:r w:rsidR="0037242B">
        <w:rPr>
          <w:rFonts w:ascii="Times New Roman" w:eastAsia="Times New Roman" w:hAnsi="Times New Roman" w:cs="Times New Roman"/>
          <w:sz w:val="28"/>
          <w:szCs w:val="28"/>
        </w:rPr>
        <w:t>-</w:t>
      </w:r>
      <w:r w:rsidRPr="00BD5345">
        <w:rPr>
          <w:rFonts w:ascii="Times New Roman" w:eastAsia="Times New Roman" w:hAnsi="Times New Roman" w:cs="Times New Roman"/>
          <w:sz w:val="28"/>
          <w:szCs w:val="28"/>
        </w:rPr>
        <w:t xml:space="preserve">15 лет. </w:t>
      </w:r>
    </w:p>
    <w:p w14:paraId="4315975C" w14:textId="77777777" w:rsidR="00BD5345" w:rsidRPr="00BD5345" w:rsidRDefault="00BD5345" w:rsidP="00A21663">
      <w:pPr>
        <w:widowControl w:val="0"/>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В целях вовлечения детей в деят</w:t>
      </w:r>
      <w:r w:rsidR="00F066A2">
        <w:rPr>
          <w:rFonts w:ascii="Times New Roman" w:eastAsia="Times New Roman" w:hAnsi="Times New Roman" w:cs="Times New Roman"/>
          <w:sz w:val="28"/>
          <w:szCs w:val="28"/>
        </w:rPr>
        <w:t xml:space="preserve">ельность отрядов ЮИД и развития </w:t>
      </w:r>
      <w:r w:rsidRPr="00BD5345">
        <w:rPr>
          <w:rFonts w:ascii="Times New Roman" w:eastAsia="Times New Roman" w:hAnsi="Times New Roman" w:cs="Times New Roman"/>
          <w:sz w:val="28"/>
          <w:szCs w:val="28"/>
        </w:rPr>
        <w:t>их деятельности в 2021 г</w:t>
      </w:r>
      <w:r w:rsidR="00777D03">
        <w:rPr>
          <w:rFonts w:ascii="Times New Roman" w:eastAsia="Times New Roman" w:hAnsi="Times New Roman" w:cs="Times New Roman"/>
          <w:sz w:val="28"/>
          <w:szCs w:val="28"/>
        </w:rPr>
        <w:t>.</w:t>
      </w:r>
      <w:r w:rsidRPr="00BD5345">
        <w:rPr>
          <w:rFonts w:ascii="Times New Roman" w:eastAsia="Times New Roman" w:hAnsi="Times New Roman" w:cs="Times New Roman"/>
          <w:sz w:val="28"/>
          <w:szCs w:val="28"/>
        </w:rPr>
        <w:t xml:space="preserve"> реализова</w:t>
      </w:r>
      <w:r w:rsidR="00F066A2">
        <w:rPr>
          <w:rFonts w:ascii="Times New Roman" w:eastAsia="Times New Roman" w:hAnsi="Times New Roman" w:cs="Times New Roman"/>
          <w:sz w:val="28"/>
          <w:szCs w:val="28"/>
        </w:rPr>
        <w:t>н</w:t>
      </w:r>
      <w:r w:rsidR="00777D03">
        <w:rPr>
          <w:rFonts w:ascii="Times New Roman" w:eastAsia="Times New Roman" w:hAnsi="Times New Roman" w:cs="Times New Roman"/>
          <w:sz w:val="28"/>
          <w:szCs w:val="28"/>
        </w:rPr>
        <w:t xml:space="preserve"> проект «Лидер ЮИД». Проведено </w:t>
      </w:r>
      <w:r w:rsidRPr="00BD5345">
        <w:rPr>
          <w:rFonts w:ascii="Times New Roman" w:eastAsia="Times New Roman" w:hAnsi="Times New Roman" w:cs="Times New Roman"/>
          <w:sz w:val="28"/>
          <w:szCs w:val="28"/>
        </w:rPr>
        <w:t>280 массовых мероприятий «Лидер ЮИ</w:t>
      </w:r>
      <w:r w:rsidR="005430C5">
        <w:rPr>
          <w:rFonts w:ascii="Times New Roman" w:eastAsia="Times New Roman" w:hAnsi="Times New Roman" w:cs="Times New Roman"/>
          <w:sz w:val="28"/>
          <w:szCs w:val="28"/>
        </w:rPr>
        <w:t>Д» с обучающимися 1</w:t>
      </w:r>
      <w:r w:rsidR="0037242B">
        <w:rPr>
          <w:rFonts w:ascii="Times New Roman" w:eastAsia="Times New Roman" w:hAnsi="Times New Roman" w:cs="Times New Roman"/>
          <w:sz w:val="28"/>
          <w:szCs w:val="28"/>
        </w:rPr>
        <w:t>-</w:t>
      </w:r>
      <w:r w:rsidR="005430C5">
        <w:rPr>
          <w:rFonts w:ascii="Times New Roman" w:eastAsia="Times New Roman" w:hAnsi="Times New Roman" w:cs="Times New Roman"/>
          <w:sz w:val="28"/>
          <w:szCs w:val="28"/>
        </w:rPr>
        <w:t xml:space="preserve">11 классов </w:t>
      </w:r>
      <w:r w:rsidRPr="00BD5345">
        <w:rPr>
          <w:rFonts w:ascii="Times New Roman" w:eastAsia="Times New Roman" w:hAnsi="Times New Roman" w:cs="Times New Roman"/>
          <w:sz w:val="28"/>
          <w:szCs w:val="28"/>
        </w:rPr>
        <w:t xml:space="preserve">в количестве </w:t>
      </w:r>
      <w:r w:rsidR="00777D03">
        <w:rPr>
          <w:rFonts w:ascii="Times New Roman" w:eastAsia="Times New Roman" w:hAnsi="Times New Roman" w:cs="Times New Roman"/>
          <w:sz w:val="28"/>
          <w:szCs w:val="28"/>
        </w:rPr>
        <w:br/>
      </w:r>
      <w:r w:rsidRPr="00BD5345">
        <w:rPr>
          <w:rFonts w:ascii="Times New Roman" w:eastAsia="Times New Roman" w:hAnsi="Times New Roman" w:cs="Times New Roman"/>
          <w:sz w:val="28"/>
          <w:szCs w:val="28"/>
        </w:rPr>
        <w:t>6 134 ребенка в Республике Дагестан, Чеченской Республике, Ставропольском крае, Волгоградской, Кемеровской, Кировской, Ленинградской, Новосибирской, Орловской, Челябинской областях. Кроме того, организовано 20 массовых информационно-пропагандистских акций для населения, в которых задействовано 4 926 человек.</w:t>
      </w:r>
    </w:p>
    <w:p w14:paraId="2E5C8B00" w14:textId="77777777" w:rsidR="00BD5345" w:rsidRPr="00BD5345" w:rsidRDefault="00BD5345" w:rsidP="00A21663">
      <w:pPr>
        <w:widowControl w:val="0"/>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В ноябре 2021 г</w:t>
      </w:r>
      <w:r w:rsidR="000F6726">
        <w:rPr>
          <w:rFonts w:ascii="Times New Roman" w:eastAsia="Times New Roman" w:hAnsi="Times New Roman" w:cs="Times New Roman"/>
          <w:sz w:val="28"/>
          <w:szCs w:val="28"/>
        </w:rPr>
        <w:t>.</w:t>
      </w:r>
      <w:r w:rsidRPr="00BD5345">
        <w:rPr>
          <w:rFonts w:ascii="Times New Roman" w:eastAsia="Times New Roman" w:hAnsi="Times New Roman" w:cs="Times New Roman"/>
          <w:sz w:val="28"/>
          <w:szCs w:val="28"/>
        </w:rPr>
        <w:t xml:space="preserve"> состоялся Всероссийский форум ЮИД, в рамках которого в онлайн-формате приняли участие 13 715 пользователей.</w:t>
      </w:r>
    </w:p>
    <w:p w14:paraId="2F4D4C07" w14:textId="77777777" w:rsidR="00BD5345" w:rsidRPr="00BD5345" w:rsidRDefault="00BD5345" w:rsidP="00A21663">
      <w:pPr>
        <w:widowControl w:val="0"/>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 xml:space="preserve">С целью популяризации движения в Российской Федерации всего проведено 129 684 тематических мероприятия. </w:t>
      </w:r>
    </w:p>
    <w:p w14:paraId="436A77E4" w14:textId="0A8859D0" w:rsidR="00BD5345" w:rsidRPr="00BD5345" w:rsidRDefault="00BD5345" w:rsidP="00A21663">
      <w:pPr>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Наряду с этим организованы профильные смены во Всероссийских детских центрах. Так, в ВДЦ «Океан» прошла профильная смена «Дороги без опасности» для 25 команд в составе 100</w:t>
      </w:r>
      <w:r w:rsidR="001B5B21">
        <w:rPr>
          <w:rFonts w:ascii="Times New Roman" w:eastAsia="Times New Roman" w:hAnsi="Times New Roman" w:cs="Times New Roman"/>
          <w:sz w:val="28"/>
          <w:szCs w:val="28"/>
        </w:rPr>
        <w:t xml:space="preserve"> несовершеннолетних в возрасте </w:t>
      </w:r>
      <w:r w:rsidRPr="00BD5345">
        <w:rPr>
          <w:rFonts w:ascii="Times New Roman" w:eastAsia="Times New Roman" w:hAnsi="Times New Roman" w:cs="Times New Roman"/>
          <w:sz w:val="28"/>
          <w:szCs w:val="28"/>
        </w:rPr>
        <w:t>14</w:t>
      </w:r>
      <w:r w:rsidR="001B5B21">
        <w:rPr>
          <w:rFonts w:ascii="Times New Roman" w:eastAsia="Times New Roman" w:hAnsi="Times New Roman" w:cs="Times New Roman"/>
          <w:sz w:val="28"/>
          <w:szCs w:val="28"/>
        </w:rPr>
        <w:t>-</w:t>
      </w:r>
      <w:r w:rsidRPr="00BD5345">
        <w:rPr>
          <w:rFonts w:ascii="Times New Roman" w:eastAsia="Times New Roman" w:hAnsi="Times New Roman" w:cs="Times New Roman"/>
          <w:sz w:val="28"/>
          <w:szCs w:val="28"/>
        </w:rPr>
        <w:t xml:space="preserve">17 лет, </w:t>
      </w:r>
      <w:r w:rsidR="0027146D">
        <w:rPr>
          <w:rFonts w:ascii="Times New Roman" w:eastAsia="Times New Roman" w:hAnsi="Times New Roman" w:cs="Times New Roman"/>
          <w:sz w:val="28"/>
          <w:szCs w:val="28"/>
        </w:rPr>
        <w:br/>
      </w:r>
      <w:r w:rsidRPr="00BD5345">
        <w:rPr>
          <w:rFonts w:ascii="Times New Roman" w:eastAsia="Times New Roman" w:hAnsi="Times New Roman" w:cs="Times New Roman"/>
          <w:sz w:val="28"/>
          <w:szCs w:val="28"/>
        </w:rPr>
        <w:t>в ВДЦ «Орленок» – «Слет</w:t>
      </w:r>
      <w:r w:rsidR="001B5B21">
        <w:rPr>
          <w:rFonts w:ascii="Times New Roman" w:eastAsia="Times New Roman" w:hAnsi="Times New Roman" w:cs="Times New Roman"/>
          <w:sz w:val="28"/>
          <w:szCs w:val="28"/>
        </w:rPr>
        <w:t xml:space="preserve"> ЮИД» для 37 команд с участием </w:t>
      </w:r>
      <w:r w:rsidRPr="00BD5345">
        <w:rPr>
          <w:rFonts w:ascii="Times New Roman" w:eastAsia="Times New Roman" w:hAnsi="Times New Roman" w:cs="Times New Roman"/>
          <w:sz w:val="28"/>
          <w:szCs w:val="28"/>
        </w:rPr>
        <w:t xml:space="preserve">148 детей в возрасте </w:t>
      </w:r>
      <w:r w:rsidR="0027146D">
        <w:rPr>
          <w:rFonts w:ascii="Times New Roman" w:eastAsia="Times New Roman" w:hAnsi="Times New Roman" w:cs="Times New Roman"/>
          <w:sz w:val="28"/>
          <w:szCs w:val="28"/>
        </w:rPr>
        <w:br/>
      </w:r>
      <w:r w:rsidRPr="00BD5345">
        <w:rPr>
          <w:rFonts w:ascii="Times New Roman" w:eastAsia="Times New Roman" w:hAnsi="Times New Roman" w:cs="Times New Roman"/>
          <w:sz w:val="28"/>
          <w:szCs w:val="28"/>
        </w:rPr>
        <w:t>10</w:t>
      </w:r>
      <w:r w:rsidR="001B5B21">
        <w:rPr>
          <w:rFonts w:ascii="Times New Roman" w:eastAsia="Times New Roman" w:hAnsi="Times New Roman" w:cs="Times New Roman"/>
          <w:sz w:val="28"/>
          <w:szCs w:val="28"/>
        </w:rPr>
        <w:t>-</w:t>
      </w:r>
      <w:r w:rsidRPr="00BD5345">
        <w:rPr>
          <w:rFonts w:ascii="Times New Roman" w:eastAsia="Times New Roman" w:hAnsi="Times New Roman" w:cs="Times New Roman"/>
          <w:sz w:val="28"/>
          <w:szCs w:val="28"/>
        </w:rPr>
        <w:t xml:space="preserve">13 лет. В Межгосударственном слете ЮИД в ВДЦ «Смена» приняли участие </w:t>
      </w:r>
      <w:r w:rsidR="0027146D">
        <w:rPr>
          <w:rFonts w:ascii="Times New Roman" w:eastAsia="Times New Roman" w:hAnsi="Times New Roman" w:cs="Times New Roman"/>
          <w:sz w:val="28"/>
          <w:szCs w:val="28"/>
        </w:rPr>
        <w:br/>
      </w:r>
      <w:r w:rsidRPr="00BD5345">
        <w:rPr>
          <w:rFonts w:ascii="Times New Roman" w:eastAsia="Times New Roman" w:hAnsi="Times New Roman" w:cs="Times New Roman"/>
          <w:sz w:val="28"/>
          <w:szCs w:val="28"/>
        </w:rPr>
        <w:t xml:space="preserve">35 команд стран </w:t>
      </w:r>
      <w:r w:rsidR="001B5B21">
        <w:rPr>
          <w:rFonts w:ascii="Times New Roman" w:eastAsia="Times New Roman" w:hAnsi="Times New Roman" w:cs="Times New Roman"/>
          <w:sz w:val="28"/>
          <w:szCs w:val="28"/>
        </w:rPr>
        <w:t>СНГ</w:t>
      </w:r>
      <w:r w:rsidRPr="00BD5345">
        <w:rPr>
          <w:rFonts w:ascii="Times New Roman" w:eastAsia="Times New Roman" w:hAnsi="Times New Roman" w:cs="Times New Roman"/>
          <w:sz w:val="28"/>
          <w:szCs w:val="28"/>
        </w:rPr>
        <w:t xml:space="preserve"> в составе 140 обучающихся в возрасте 10</w:t>
      </w:r>
      <w:r w:rsidR="001B5B21">
        <w:rPr>
          <w:rFonts w:ascii="Times New Roman" w:eastAsia="Times New Roman" w:hAnsi="Times New Roman" w:cs="Times New Roman"/>
          <w:sz w:val="28"/>
          <w:szCs w:val="28"/>
        </w:rPr>
        <w:t>-</w:t>
      </w:r>
      <w:r w:rsidRPr="00BD5345">
        <w:rPr>
          <w:rFonts w:ascii="Times New Roman" w:eastAsia="Times New Roman" w:hAnsi="Times New Roman" w:cs="Times New Roman"/>
          <w:sz w:val="28"/>
          <w:szCs w:val="28"/>
        </w:rPr>
        <w:t xml:space="preserve">13 лет. </w:t>
      </w:r>
    </w:p>
    <w:p w14:paraId="66864D61" w14:textId="77777777" w:rsidR="00BD5345" w:rsidRPr="00BD5345" w:rsidRDefault="00BD5345" w:rsidP="00A21663">
      <w:pPr>
        <w:widowControl w:val="0"/>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В 2021 г</w:t>
      </w:r>
      <w:r w:rsidR="00777D03">
        <w:rPr>
          <w:rFonts w:ascii="Times New Roman" w:eastAsia="Times New Roman" w:hAnsi="Times New Roman" w:cs="Times New Roman"/>
          <w:sz w:val="28"/>
          <w:szCs w:val="28"/>
        </w:rPr>
        <w:t>.</w:t>
      </w:r>
      <w:r w:rsidRPr="00BD5345">
        <w:rPr>
          <w:rFonts w:ascii="Times New Roman" w:eastAsia="Times New Roman" w:hAnsi="Times New Roman" w:cs="Times New Roman"/>
          <w:sz w:val="28"/>
          <w:szCs w:val="28"/>
        </w:rPr>
        <w:t xml:space="preserve"> проведено 552 412 массовых мероприятий, направленных на привлечение несовершеннолетних к изучению основ безопасного поведения на дорогах, в том числе с использованием информационно-телекоммуникационных сетей (306 095 или 55%). </w:t>
      </w:r>
    </w:p>
    <w:p w14:paraId="49535D20" w14:textId="77777777" w:rsidR="00BD5345" w:rsidRPr="00BD5345" w:rsidRDefault="00BD5345" w:rsidP="00F066A2">
      <w:pPr>
        <w:widowControl w:val="0"/>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 xml:space="preserve">Второй год подряд проводилась Всероссийская онлайн-олимпиада «Безопасные дороги» на платформе </w:t>
      </w:r>
      <w:proofErr w:type="spellStart"/>
      <w:r w:rsidRPr="00BD5345">
        <w:rPr>
          <w:rFonts w:ascii="Times New Roman" w:eastAsia="Times New Roman" w:hAnsi="Times New Roman" w:cs="Times New Roman"/>
          <w:sz w:val="28"/>
          <w:szCs w:val="28"/>
        </w:rPr>
        <w:t>Учи.ру</w:t>
      </w:r>
      <w:proofErr w:type="spellEnd"/>
      <w:r w:rsidRPr="00BD5345">
        <w:rPr>
          <w:rFonts w:ascii="Times New Roman" w:eastAsia="Times New Roman" w:hAnsi="Times New Roman" w:cs="Times New Roman"/>
          <w:sz w:val="28"/>
          <w:szCs w:val="28"/>
        </w:rPr>
        <w:t xml:space="preserve">, в которой участвовало более 2 млн детей </w:t>
      </w:r>
      <w:r w:rsidR="00F066A2">
        <w:rPr>
          <w:rFonts w:ascii="Times New Roman" w:eastAsia="Times New Roman" w:hAnsi="Times New Roman" w:cs="Times New Roman"/>
          <w:sz w:val="28"/>
          <w:szCs w:val="28"/>
        </w:rPr>
        <w:t xml:space="preserve">различных возрастных категорий. </w:t>
      </w:r>
      <w:r w:rsidRPr="00BD5345">
        <w:rPr>
          <w:rFonts w:ascii="Times New Roman" w:eastAsia="Times New Roman" w:hAnsi="Times New Roman" w:cs="Times New Roman"/>
          <w:sz w:val="28"/>
          <w:szCs w:val="28"/>
        </w:rPr>
        <w:t>В сентябре 2021 г</w:t>
      </w:r>
      <w:r w:rsidR="001B5B21">
        <w:rPr>
          <w:rFonts w:ascii="Times New Roman" w:eastAsia="Times New Roman" w:hAnsi="Times New Roman" w:cs="Times New Roman"/>
          <w:sz w:val="28"/>
          <w:szCs w:val="28"/>
        </w:rPr>
        <w:t>.</w:t>
      </w:r>
      <w:r w:rsidRPr="00BD5345">
        <w:rPr>
          <w:rFonts w:ascii="Times New Roman" w:eastAsia="Times New Roman" w:hAnsi="Times New Roman" w:cs="Times New Roman"/>
          <w:sz w:val="28"/>
          <w:szCs w:val="28"/>
        </w:rPr>
        <w:t xml:space="preserve"> в г. Уфе Республики Башкортостан состоялось Всероссийское первенство по </w:t>
      </w:r>
      <w:proofErr w:type="spellStart"/>
      <w:r w:rsidRPr="00BD5345">
        <w:rPr>
          <w:rFonts w:ascii="Times New Roman" w:eastAsia="Times New Roman" w:hAnsi="Times New Roman" w:cs="Times New Roman"/>
          <w:sz w:val="28"/>
          <w:szCs w:val="28"/>
        </w:rPr>
        <w:t>автом</w:t>
      </w:r>
      <w:r w:rsidR="001B5B21">
        <w:rPr>
          <w:rFonts w:ascii="Times New Roman" w:eastAsia="Times New Roman" w:hAnsi="Times New Roman" w:cs="Times New Roman"/>
          <w:sz w:val="28"/>
          <w:szCs w:val="28"/>
        </w:rPr>
        <w:t>ногоборью</w:t>
      </w:r>
      <w:proofErr w:type="spellEnd"/>
      <w:r w:rsidR="001B5B21">
        <w:rPr>
          <w:rFonts w:ascii="Times New Roman" w:eastAsia="Times New Roman" w:hAnsi="Times New Roman" w:cs="Times New Roman"/>
          <w:sz w:val="28"/>
          <w:szCs w:val="28"/>
        </w:rPr>
        <w:t xml:space="preserve"> с участием 33 команд </w:t>
      </w:r>
      <w:r w:rsidRPr="00BD5345">
        <w:rPr>
          <w:rFonts w:ascii="Times New Roman" w:eastAsia="Times New Roman" w:hAnsi="Times New Roman" w:cs="Times New Roman"/>
          <w:sz w:val="28"/>
          <w:szCs w:val="28"/>
        </w:rPr>
        <w:t>из 29 субъектов Российской Федерации</w:t>
      </w:r>
      <w:r w:rsidR="001B5B21">
        <w:rPr>
          <w:rFonts w:ascii="Times New Roman" w:eastAsia="Times New Roman" w:hAnsi="Times New Roman" w:cs="Times New Roman"/>
          <w:sz w:val="28"/>
          <w:szCs w:val="28"/>
        </w:rPr>
        <w:t xml:space="preserve">, в составе которых насчитывалось 140 участников </w:t>
      </w:r>
      <w:r w:rsidRPr="00BD5345">
        <w:rPr>
          <w:rFonts w:ascii="Times New Roman" w:eastAsia="Times New Roman" w:hAnsi="Times New Roman" w:cs="Times New Roman"/>
          <w:sz w:val="28"/>
          <w:szCs w:val="28"/>
        </w:rPr>
        <w:t>в возрасте 14</w:t>
      </w:r>
      <w:r w:rsidR="001B5B21">
        <w:rPr>
          <w:rFonts w:ascii="Times New Roman" w:eastAsia="Times New Roman" w:hAnsi="Times New Roman" w:cs="Times New Roman"/>
          <w:sz w:val="28"/>
          <w:szCs w:val="28"/>
        </w:rPr>
        <w:t>-</w:t>
      </w:r>
      <w:r w:rsidRPr="00BD5345">
        <w:rPr>
          <w:rFonts w:ascii="Times New Roman" w:eastAsia="Times New Roman" w:hAnsi="Times New Roman" w:cs="Times New Roman"/>
          <w:sz w:val="28"/>
          <w:szCs w:val="28"/>
        </w:rPr>
        <w:t xml:space="preserve">17 лет. </w:t>
      </w:r>
    </w:p>
    <w:p w14:paraId="1E287B21" w14:textId="77777777" w:rsidR="00BD5345" w:rsidRPr="00BD5345" w:rsidRDefault="00BD5345" w:rsidP="00A21663">
      <w:pPr>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В сентябре 2021 г</w:t>
      </w:r>
      <w:r w:rsidR="001B5B21">
        <w:rPr>
          <w:rFonts w:ascii="Times New Roman" w:eastAsia="Times New Roman" w:hAnsi="Times New Roman" w:cs="Times New Roman"/>
          <w:sz w:val="28"/>
          <w:szCs w:val="28"/>
        </w:rPr>
        <w:t>.</w:t>
      </w:r>
      <w:r w:rsidRPr="00BD5345">
        <w:rPr>
          <w:rFonts w:ascii="Times New Roman" w:eastAsia="Times New Roman" w:hAnsi="Times New Roman" w:cs="Times New Roman"/>
          <w:sz w:val="28"/>
          <w:szCs w:val="28"/>
        </w:rPr>
        <w:t xml:space="preserve"> в рамках Всероссийской недели безопасности дорожного движения территориальными органами МВД России и органами исполнительной власти субъектов Российской Федерации, осуществляющими государственное управление в сфере образования, реализован комплекс межведомственных мероприятий по совершенствованию работы по профилактике </w:t>
      </w:r>
      <w:r w:rsidR="00F066A2" w:rsidRPr="00BD5345">
        <w:rPr>
          <w:rFonts w:ascii="Times New Roman" w:eastAsia="Times New Roman" w:hAnsi="Times New Roman" w:cs="Times New Roman"/>
          <w:sz w:val="28"/>
          <w:szCs w:val="28"/>
        </w:rPr>
        <w:t>детского дорожно-транспортного травматизма</w:t>
      </w:r>
      <w:r w:rsidRPr="00BD5345">
        <w:rPr>
          <w:rFonts w:ascii="Times New Roman" w:eastAsia="Times New Roman" w:hAnsi="Times New Roman" w:cs="Times New Roman"/>
          <w:sz w:val="28"/>
          <w:szCs w:val="28"/>
        </w:rPr>
        <w:t xml:space="preserve"> с обучающимис</w:t>
      </w:r>
      <w:r w:rsidR="005430C5">
        <w:rPr>
          <w:rFonts w:ascii="Times New Roman" w:eastAsia="Times New Roman" w:hAnsi="Times New Roman" w:cs="Times New Roman"/>
          <w:sz w:val="28"/>
          <w:szCs w:val="28"/>
        </w:rPr>
        <w:t xml:space="preserve">я, педагогическими работниками </w:t>
      </w:r>
      <w:r w:rsidRPr="00BD5345">
        <w:rPr>
          <w:rFonts w:ascii="Times New Roman" w:eastAsia="Times New Roman" w:hAnsi="Times New Roman" w:cs="Times New Roman"/>
          <w:sz w:val="28"/>
          <w:szCs w:val="28"/>
        </w:rPr>
        <w:t>и родителями.</w:t>
      </w:r>
    </w:p>
    <w:p w14:paraId="1208670D" w14:textId="77777777" w:rsidR="00BD5345" w:rsidRPr="00BD5345" w:rsidRDefault="00BD5345" w:rsidP="00A21663">
      <w:pPr>
        <w:widowControl w:val="0"/>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Во всех регионах в образовательных организациях актуализирована информация в паспортах дорожной безопасности, схемах безопасных маршрутов движения детей «дом-школа-дом» и уголках по безопасности дорожного движения. Организовано проведение мероприятий по популяризации использования световозвращающих элементов и детских удерживающих устройств с привлечением родительской общественности.</w:t>
      </w:r>
    </w:p>
    <w:p w14:paraId="67660AD4" w14:textId="77777777" w:rsidR="00BD5345" w:rsidRPr="00BD5345" w:rsidRDefault="00BD5345" w:rsidP="00A21663">
      <w:pPr>
        <w:widowControl w:val="0"/>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В жилых зонах и дворовых территориях муниципальных образований организовано проведение просветительских мероприятий для детей и родителей с информированием о необходимости соблюдения правил дорожного движения</w:t>
      </w:r>
      <w:r w:rsidR="001B5B21">
        <w:rPr>
          <w:rFonts w:ascii="Times New Roman" w:eastAsia="Times New Roman" w:hAnsi="Times New Roman" w:cs="Times New Roman"/>
          <w:sz w:val="28"/>
          <w:szCs w:val="28"/>
        </w:rPr>
        <w:t xml:space="preserve"> </w:t>
      </w:r>
      <w:r w:rsidR="008F2E7F">
        <w:rPr>
          <w:rFonts w:ascii="Times New Roman" w:eastAsia="Times New Roman" w:hAnsi="Times New Roman" w:cs="Times New Roman"/>
          <w:sz w:val="28"/>
          <w:szCs w:val="28"/>
        </w:rPr>
        <w:br/>
      </w:r>
      <w:r w:rsidR="001B5B21">
        <w:rPr>
          <w:rFonts w:ascii="Times New Roman" w:eastAsia="Times New Roman" w:hAnsi="Times New Roman" w:cs="Times New Roman"/>
          <w:sz w:val="28"/>
          <w:szCs w:val="28"/>
        </w:rPr>
        <w:t>(далее</w:t>
      </w:r>
      <w:r w:rsidR="00B13B77">
        <w:rPr>
          <w:rFonts w:ascii="Times New Roman" w:eastAsia="Times New Roman" w:hAnsi="Times New Roman" w:cs="Times New Roman"/>
          <w:sz w:val="28"/>
          <w:szCs w:val="28"/>
        </w:rPr>
        <w:t xml:space="preserve"> </w:t>
      </w:r>
      <w:r w:rsidR="001B5B21">
        <w:rPr>
          <w:rFonts w:ascii="Times New Roman" w:eastAsia="Times New Roman" w:hAnsi="Times New Roman" w:cs="Times New Roman"/>
          <w:sz w:val="28"/>
          <w:szCs w:val="28"/>
        </w:rPr>
        <w:t>– ПДД)</w:t>
      </w:r>
      <w:r w:rsidRPr="00BD5345">
        <w:rPr>
          <w:rFonts w:ascii="Times New Roman" w:eastAsia="Times New Roman" w:hAnsi="Times New Roman" w:cs="Times New Roman"/>
          <w:sz w:val="28"/>
          <w:szCs w:val="28"/>
        </w:rPr>
        <w:t>, использования детских удерживающих устройств и средств пассивной защиты при управлении вело- и мототранспортом.</w:t>
      </w:r>
    </w:p>
    <w:p w14:paraId="50BA4E31" w14:textId="77777777" w:rsidR="00BD5345" w:rsidRPr="00BD5345" w:rsidRDefault="00BD5345" w:rsidP="00A21663">
      <w:pPr>
        <w:widowControl w:val="0"/>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Организовано взаимодействие с руководителями органов управления образованием, образовательных и физкультурно-спортивных организаций, организаций здравоохранения, социальной защиты, отдыха и оздоровления детей, культуры и туризма по вопросу неукоснительного соблюдения требований Правил организованной перевозки группы детей автобусами, утвержденных постановлением Прав</w:t>
      </w:r>
      <w:r w:rsidR="005430C5">
        <w:rPr>
          <w:rFonts w:ascii="Times New Roman" w:eastAsia="Times New Roman" w:hAnsi="Times New Roman" w:cs="Times New Roman"/>
          <w:sz w:val="28"/>
          <w:szCs w:val="28"/>
        </w:rPr>
        <w:t xml:space="preserve">ительства Российской Федерации </w:t>
      </w:r>
      <w:r w:rsidRPr="00BD5345">
        <w:rPr>
          <w:rFonts w:ascii="Times New Roman" w:eastAsia="Times New Roman" w:hAnsi="Times New Roman" w:cs="Times New Roman"/>
          <w:sz w:val="28"/>
          <w:szCs w:val="28"/>
        </w:rPr>
        <w:t>от 23 сентября 2020 г. № 1527.</w:t>
      </w:r>
    </w:p>
    <w:p w14:paraId="16568C37" w14:textId="2BEA2FD8" w:rsidR="00BD5345" w:rsidRPr="00BD5345" w:rsidRDefault="00BD5345" w:rsidP="00A21663">
      <w:pPr>
        <w:widowControl w:val="0"/>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 xml:space="preserve">Обучающиеся образовательных организаций приняли участие в 496 тыс. занятий (уроков) по </w:t>
      </w:r>
      <w:r w:rsidR="001B5B21" w:rsidRPr="00BD5345">
        <w:rPr>
          <w:rFonts w:ascii="Times New Roman" w:eastAsia="Times New Roman" w:hAnsi="Times New Roman" w:cs="Times New Roman"/>
          <w:sz w:val="28"/>
          <w:szCs w:val="28"/>
        </w:rPr>
        <w:t>безопасности дорожного движения</w:t>
      </w:r>
      <w:r w:rsidRPr="00BD5345">
        <w:rPr>
          <w:rFonts w:ascii="Times New Roman" w:eastAsia="Times New Roman" w:hAnsi="Times New Roman" w:cs="Times New Roman"/>
          <w:sz w:val="28"/>
          <w:szCs w:val="28"/>
        </w:rPr>
        <w:t>, 50,5 тыс. из которых прошли с участием сотрудников органов внутренних дел. В образовательны</w:t>
      </w:r>
      <w:r w:rsidR="001B5B21">
        <w:rPr>
          <w:rFonts w:ascii="Times New Roman" w:eastAsia="Times New Roman" w:hAnsi="Times New Roman" w:cs="Times New Roman"/>
          <w:sz w:val="28"/>
          <w:szCs w:val="28"/>
        </w:rPr>
        <w:t xml:space="preserve">х организациях состоялось более </w:t>
      </w:r>
      <w:r w:rsidRPr="00BD5345">
        <w:rPr>
          <w:rFonts w:ascii="Times New Roman" w:eastAsia="Times New Roman" w:hAnsi="Times New Roman" w:cs="Times New Roman"/>
          <w:sz w:val="28"/>
          <w:szCs w:val="28"/>
        </w:rPr>
        <w:t xml:space="preserve">225 тыс. тематических конкурсов, викторин, </w:t>
      </w:r>
      <w:proofErr w:type="spellStart"/>
      <w:r w:rsidRPr="00BD5345">
        <w:rPr>
          <w:rFonts w:ascii="Times New Roman" w:eastAsia="Times New Roman" w:hAnsi="Times New Roman" w:cs="Times New Roman"/>
          <w:sz w:val="28"/>
          <w:szCs w:val="28"/>
        </w:rPr>
        <w:t>флешмобов</w:t>
      </w:r>
      <w:proofErr w:type="spellEnd"/>
      <w:r w:rsidRPr="00BD5345">
        <w:rPr>
          <w:rFonts w:ascii="Times New Roman" w:eastAsia="Times New Roman" w:hAnsi="Times New Roman" w:cs="Times New Roman"/>
          <w:sz w:val="28"/>
          <w:szCs w:val="28"/>
        </w:rPr>
        <w:t xml:space="preserve"> и акций с обучающимися, в том числе с использованием материалов образовательных порталов «Дорога без опасности» и «Город дорог», сайтов </w:t>
      </w:r>
      <w:proofErr w:type="spellStart"/>
      <w:r w:rsidRPr="00BD5345">
        <w:rPr>
          <w:rFonts w:ascii="Times New Roman" w:eastAsia="Times New Roman" w:hAnsi="Times New Roman" w:cs="Times New Roman"/>
          <w:sz w:val="28"/>
          <w:szCs w:val="28"/>
        </w:rPr>
        <w:t>ЮИДРоссии.рф</w:t>
      </w:r>
      <w:proofErr w:type="spellEnd"/>
      <w:r w:rsidRPr="00BD5345">
        <w:rPr>
          <w:rFonts w:ascii="Times New Roman" w:eastAsia="Times New Roman" w:hAnsi="Times New Roman" w:cs="Times New Roman"/>
          <w:sz w:val="28"/>
          <w:szCs w:val="28"/>
        </w:rPr>
        <w:t xml:space="preserve"> и dddgazeta.ru, мобильных приложений и интерактивных образовательных программ. В более </w:t>
      </w:r>
      <w:r w:rsidR="0027146D">
        <w:rPr>
          <w:rFonts w:ascii="Times New Roman" w:eastAsia="Times New Roman" w:hAnsi="Times New Roman" w:cs="Times New Roman"/>
          <w:sz w:val="28"/>
          <w:szCs w:val="28"/>
        </w:rPr>
        <w:br/>
      </w:r>
      <w:r w:rsidRPr="00BD5345">
        <w:rPr>
          <w:rFonts w:ascii="Times New Roman" w:eastAsia="Times New Roman" w:hAnsi="Times New Roman" w:cs="Times New Roman"/>
          <w:sz w:val="28"/>
          <w:szCs w:val="28"/>
        </w:rPr>
        <w:t>15 тыс. мероприятий участвовали сотрудники органов внутренних дел.</w:t>
      </w:r>
    </w:p>
    <w:p w14:paraId="114DC85D" w14:textId="2ABA0AFC" w:rsidR="00BD5345" w:rsidRPr="00BD5345" w:rsidRDefault="00BD5345" w:rsidP="00A21663">
      <w:pPr>
        <w:widowControl w:val="0"/>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 xml:space="preserve">В субъектах Российской Федерации в рамках межведомственного взаимодействия органов исполнительной власти, осуществляющих государственное управление в сфере образования, и подразделений Госавтоинспекции территориальных органов МВД России на региональном уровне разработаны Дорожные карты и Календари мероприятий по развитию системы профилактики </w:t>
      </w:r>
      <w:r w:rsidR="00F066A2" w:rsidRPr="00BD5345">
        <w:rPr>
          <w:rFonts w:ascii="Times New Roman" w:eastAsia="Times New Roman" w:hAnsi="Times New Roman" w:cs="Times New Roman"/>
          <w:sz w:val="28"/>
          <w:szCs w:val="28"/>
        </w:rPr>
        <w:t>детского дорожно-транспортного травматизма</w:t>
      </w:r>
      <w:r w:rsidRPr="00BD5345">
        <w:rPr>
          <w:rFonts w:ascii="Times New Roman" w:eastAsia="Times New Roman" w:hAnsi="Times New Roman" w:cs="Times New Roman"/>
          <w:sz w:val="28"/>
          <w:szCs w:val="28"/>
        </w:rPr>
        <w:t>.</w:t>
      </w:r>
      <w:r w:rsidR="00F95848">
        <w:rPr>
          <w:rFonts w:ascii="Times New Roman" w:eastAsia="Times New Roman" w:hAnsi="Times New Roman" w:cs="Times New Roman"/>
          <w:sz w:val="28"/>
          <w:szCs w:val="28"/>
        </w:rPr>
        <w:t xml:space="preserve"> </w:t>
      </w:r>
      <w:r w:rsidRPr="00BD5345">
        <w:rPr>
          <w:rFonts w:ascii="Times New Roman" w:eastAsia="Times New Roman" w:hAnsi="Times New Roman" w:cs="Times New Roman"/>
          <w:sz w:val="28"/>
          <w:szCs w:val="28"/>
        </w:rPr>
        <w:t>Реализуется комплекс информационно-пропагандистских и профилактических мероприятий (конкурсы, соревнования, смотры, олимпиады, акции, профильные смены, рейды «родительских патрулей», мероприятия, приуроченные к значим</w:t>
      </w:r>
      <w:r w:rsidR="00FF1188">
        <w:rPr>
          <w:rFonts w:ascii="Times New Roman" w:eastAsia="Times New Roman" w:hAnsi="Times New Roman" w:cs="Times New Roman"/>
          <w:sz w:val="28"/>
          <w:szCs w:val="28"/>
        </w:rPr>
        <w:t>ым</w:t>
      </w:r>
      <w:r w:rsidRPr="00BD5345">
        <w:rPr>
          <w:rFonts w:ascii="Times New Roman" w:eastAsia="Times New Roman" w:hAnsi="Times New Roman" w:cs="Times New Roman"/>
          <w:sz w:val="28"/>
          <w:szCs w:val="28"/>
        </w:rPr>
        <w:t xml:space="preserve"> датам и государственным праздникам).</w:t>
      </w:r>
    </w:p>
    <w:p w14:paraId="700C5BF8" w14:textId="77777777" w:rsidR="00BD5345" w:rsidRPr="00BD5345" w:rsidRDefault="00BD5345" w:rsidP="00A21663">
      <w:pPr>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Например, в детском городе «</w:t>
      </w:r>
      <w:proofErr w:type="spellStart"/>
      <w:r w:rsidRPr="00BD5345">
        <w:rPr>
          <w:rFonts w:ascii="Times New Roman" w:eastAsia="Times New Roman" w:hAnsi="Times New Roman" w:cs="Times New Roman"/>
          <w:sz w:val="28"/>
          <w:szCs w:val="28"/>
        </w:rPr>
        <w:t>КидС</w:t>
      </w:r>
      <w:r w:rsidR="005430C5">
        <w:rPr>
          <w:rFonts w:ascii="Times New Roman" w:eastAsia="Times New Roman" w:hAnsi="Times New Roman" w:cs="Times New Roman"/>
          <w:sz w:val="28"/>
          <w:szCs w:val="28"/>
        </w:rPr>
        <w:t>пейс</w:t>
      </w:r>
      <w:proofErr w:type="spellEnd"/>
      <w:r w:rsidR="005430C5">
        <w:rPr>
          <w:rFonts w:ascii="Times New Roman" w:eastAsia="Times New Roman" w:hAnsi="Times New Roman" w:cs="Times New Roman"/>
          <w:sz w:val="28"/>
          <w:szCs w:val="28"/>
        </w:rPr>
        <w:t xml:space="preserve">» стадиона «Ак Барс Арена» </w:t>
      </w:r>
      <w:r w:rsidRPr="00BD5345">
        <w:rPr>
          <w:rFonts w:ascii="Times New Roman" w:eastAsia="Times New Roman" w:hAnsi="Times New Roman" w:cs="Times New Roman"/>
          <w:sz w:val="28"/>
          <w:szCs w:val="28"/>
        </w:rPr>
        <w:t xml:space="preserve">в Казани открылась площадка по </w:t>
      </w:r>
      <w:r w:rsidR="00B13B77">
        <w:rPr>
          <w:rFonts w:ascii="Times New Roman" w:eastAsia="Times New Roman" w:hAnsi="Times New Roman" w:cs="Times New Roman"/>
          <w:sz w:val="28"/>
          <w:szCs w:val="28"/>
        </w:rPr>
        <w:t>безопасности дорожного движения</w:t>
      </w:r>
      <w:r w:rsidRPr="00BD5345">
        <w:rPr>
          <w:rFonts w:ascii="Times New Roman" w:eastAsia="Times New Roman" w:hAnsi="Times New Roman" w:cs="Times New Roman"/>
          <w:sz w:val="28"/>
          <w:szCs w:val="28"/>
        </w:rPr>
        <w:t xml:space="preserve">. На нескольких локациях дети могут ознакомиться с профессией сотрудника Госавтоинспекции, решать интерактивные задания на знание ПДД, а также закреплять их на специальном велотренажере и в мобильном </w:t>
      </w:r>
      <w:proofErr w:type="spellStart"/>
      <w:r w:rsidRPr="00BD5345">
        <w:rPr>
          <w:rFonts w:ascii="Times New Roman" w:eastAsia="Times New Roman" w:hAnsi="Times New Roman" w:cs="Times New Roman"/>
          <w:sz w:val="28"/>
          <w:szCs w:val="28"/>
        </w:rPr>
        <w:t>автогородке</w:t>
      </w:r>
      <w:proofErr w:type="spellEnd"/>
      <w:r w:rsidRPr="00BD5345">
        <w:rPr>
          <w:rFonts w:ascii="Times New Roman" w:eastAsia="Times New Roman" w:hAnsi="Times New Roman" w:cs="Times New Roman"/>
          <w:sz w:val="28"/>
          <w:szCs w:val="28"/>
        </w:rPr>
        <w:t>. Также дети могут изучать правила оказания первой помощи пострадавшим в ДТП на специализированном манекене. Кроме того, для родителей оборудована зона с портативными компьютерами, на которых они могут проверить свои теоретические знания по ПДД.</w:t>
      </w:r>
    </w:p>
    <w:p w14:paraId="25311E2D" w14:textId="77777777" w:rsidR="00BD5345" w:rsidRPr="00BD5345" w:rsidRDefault="00BD5345" w:rsidP="00A21663">
      <w:pPr>
        <w:widowControl w:val="0"/>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Красноярский край является одним из 39 субъектов Российской Федерации, представленным на единой федеральной платформе дополнительного образования – «Навигатор</w:t>
      </w:r>
      <w:r w:rsidR="005430C5">
        <w:rPr>
          <w:rFonts w:ascii="Times New Roman" w:eastAsia="Times New Roman" w:hAnsi="Times New Roman" w:cs="Times New Roman"/>
          <w:sz w:val="28"/>
          <w:szCs w:val="28"/>
        </w:rPr>
        <w:t xml:space="preserve"> дополнительного образования». </w:t>
      </w:r>
      <w:r w:rsidRPr="00BD5345">
        <w:rPr>
          <w:rFonts w:ascii="Times New Roman" w:eastAsia="Times New Roman" w:hAnsi="Times New Roman" w:cs="Times New Roman"/>
          <w:sz w:val="28"/>
          <w:szCs w:val="28"/>
        </w:rPr>
        <w:t xml:space="preserve">На протяжении </w:t>
      </w:r>
      <w:r w:rsidR="001B5B21">
        <w:rPr>
          <w:rFonts w:ascii="Times New Roman" w:eastAsia="Times New Roman" w:hAnsi="Times New Roman" w:cs="Times New Roman"/>
          <w:sz w:val="28"/>
          <w:szCs w:val="28"/>
        </w:rPr>
        <w:t>3</w:t>
      </w:r>
      <w:r w:rsidRPr="00BD5345">
        <w:rPr>
          <w:rFonts w:ascii="Times New Roman" w:eastAsia="Times New Roman" w:hAnsi="Times New Roman" w:cs="Times New Roman"/>
          <w:sz w:val="28"/>
          <w:szCs w:val="28"/>
        </w:rPr>
        <w:t xml:space="preserve"> лет в крае проводится учебный модуль «Школа будущих лидеров отрядов ЮИД», программа которого направлена на развитие лидерских качеств у активистов отрядов ЮИД, вовлечение школьников в деятельность по пропаганде безопасного поведения на дороге. </w:t>
      </w:r>
      <w:r w:rsidR="0040379E" w:rsidRPr="00BD5345">
        <w:rPr>
          <w:rFonts w:ascii="Times New Roman" w:eastAsia="Times New Roman" w:hAnsi="Times New Roman" w:cs="Times New Roman"/>
          <w:sz w:val="28"/>
          <w:szCs w:val="28"/>
        </w:rPr>
        <w:t>Помимо этого,</w:t>
      </w:r>
      <w:r w:rsidR="008F2E7F" w:rsidRPr="00BD5345">
        <w:rPr>
          <w:rFonts w:ascii="Times New Roman" w:eastAsia="Times New Roman" w:hAnsi="Times New Roman" w:cs="Times New Roman"/>
          <w:sz w:val="28"/>
          <w:szCs w:val="28"/>
        </w:rPr>
        <w:t> </w:t>
      </w:r>
      <w:r w:rsidRPr="00BD5345">
        <w:rPr>
          <w:rFonts w:ascii="Times New Roman" w:eastAsia="Times New Roman" w:hAnsi="Times New Roman" w:cs="Times New Roman"/>
          <w:sz w:val="28"/>
          <w:szCs w:val="28"/>
        </w:rPr>
        <w:t>реализован проект «Дорожная школа первоклассника», в рамках которого сотрудниками Госавтоинспекции проведены родительские собрания посредством возможностей платформы ZOOM, очные встречи и трансляции в социальных сетях, где родители, педагоги, учащиеся начальных классов проинформированы о построении безопасного маршрута движения ребенка «дом-школа-дом» и об использовании световозвращающих элементов в целях повышения безопасности ребенка на дорогах.</w:t>
      </w:r>
    </w:p>
    <w:p w14:paraId="685F592C" w14:textId="77777777" w:rsidR="00BD5345" w:rsidRPr="00BD5345" w:rsidRDefault="00BD5345" w:rsidP="00777D03">
      <w:pPr>
        <w:widowControl w:val="0"/>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 xml:space="preserve">В Белгородской области утверждена Концепция «Белгородская область – территория </w:t>
      </w:r>
      <w:proofErr w:type="spellStart"/>
      <w:r w:rsidRPr="00BD5345">
        <w:rPr>
          <w:rFonts w:ascii="Times New Roman" w:eastAsia="Times New Roman" w:hAnsi="Times New Roman" w:cs="Times New Roman"/>
          <w:sz w:val="28"/>
          <w:szCs w:val="28"/>
        </w:rPr>
        <w:t>БЕЗопасности</w:t>
      </w:r>
      <w:proofErr w:type="spellEnd"/>
      <w:r w:rsidRPr="00BD5345">
        <w:rPr>
          <w:rFonts w:ascii="Times New Roman" w:eastAsia="Times New Roman" w:hAnsi="Times New Roman" w:cs="Times New Roman"/>
          <w:sz w:val="28"/>
          <w:szCs w:val="28"/>
        </w:rPr>
        <w:t xml:space="preserve">», являющаяся стратегическим документом, объединяющим перспективы, реалистичные оценки внешних и внутренних угроз безопасности детства, а также определяющим комплекс целей, задач, целевых показателей, мер, направленных на обеспечение безопасности несовершеннолетних до 2025 г. В числе основных инструментов реализации целевых показателей являются: увеличение времени на изучение ПДД обучающимися в рамках программы внеурочной занятости, организация работы муниципальных ресурсных (опорных) профильных учреждений, обеспечение обучающихся начальной школы </w:t>
      </w:r>
      <w:proofErr w:type="spellStart"/>
      <w:r w:rsidRPr="00BD5345">
        <w:rPr>
          <w:rFonts w:ascii="Times New Roman" w:eastAsia="Times New Roman" w:hAnsi="Times New Roman" w:cs="Times New Roman"/>
          <w:sz w:val="28"/>
          <w:szCs w:val="28"/>
        </w:rPr>
        <w:t>световозвращающими</w:t>
      </w:r>
      <w:proofErr w:type="spellEnd"/>
      <w:r w:rsidRPr="00BD5345">
        <w:rPr>
          <w:rFonts w:ascii="Times New Roman" w:eastAsia="Times New Roman" w:hAnsi="Times New Roman" w:cs="Times New Roman"/>
          <w:sz w:val="28"/>
          <w:szCs w:val="28"/>
        </w:rPr>
        <w:t xml:space="preserve"> элементами, возобновление деятельности пришкольных учебных классов по автоделу.</w:t>
      </w:r>
    </w:p>
    <w:p w14:paraId="2CECC8FF" w14:textId="77777777" w:rsidR="00BD5345" w:rsidRPr="00BD5345" w:rsidRDefault="00BD5345" w:rsidP="00A21663">
      <w:pPr>
        <w:widowControl w:val="0"/>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В Кемеровской области для повышения эффективности работы по информированию детей о БДД используются возможности автоматизированной информационной системы в сфере образовани</w:t>
      </w:r>
      <w:r w:rsidR="0086637E">
        <w:rPr>
          <w:rFonts w:ascii="Times New Roman" w:eastAsia="Times New Roman" w:hAnsi="Times New Roman" w:cs="Times New Roman"/>
          <w:sz w:val="28"/>
          <w:szCs w:val="28"/>
        </w:rPr>
        <w:t xml:space="preserve">я АИС «Электронная Школа 2.0», </w:t>
      </w:r>
      <w:r w:rsidRPr="00BD5345">
        <w:rPr>
          <w:rFonts w:ascii="Times New Roman" w:eastAsia="Times New Roman" w:hAnsi="Times New Roman" w:cs="Times New Roman"/>
          <w:sz w:val="28"/>
          <w:szCs w:val="28"/>
        </w:rPr>
        <w:t>к которой подключены 658 общеобразовательных организаций. Электронный журнал ежедневно заполняют 20 тыс</w:t>
      </w:r>
      <w:r w:rsidR="0005203A">
        <w:rPr>
          <w:rFonts w:ascii="Times New Roman" w:eastAsia="Times New Roman" w:hAnsi="Times New Roman" w:cs="Times New Roman"/>
          <w:sz w:val="28"/>
          <w:szCs w:val="28"/>
        </w:rPr>
        <w:t>.</w:t>
      </w:r>
      <w:r w:rsidRPr="00BD5345">
        <w:rPr>
          <w:rFonts w:ascii="Times New Roman" w:eastAsia="Times New Roman" w:hAnsi="Times New Roman" w:cs="Times New Roman"/>
          <w:sz w:val="28"/>
          <w:szCs w:val="28"/>
        </w:rPr>
        <w:t xml:space="preserve"> учителей, электронным дневником активно пользуются 250 ты</w:t>
      </w:r>
      <w:r w:rsidR="0005203A">
        <w:rPr>
          <w:rFonts w:ascii="Times New Roman" w:eastAsia="Times New Roman" w:hAnsi="Times New Roman" w:cs="Times New Roman"/>
          <w:sz w:val="28"/>
          <w:szCs w:val="28"/>
        </w:rPr>
        <w:t>с.</w:t>
      </w:r>
      <w:r w:rsidRPr="00BD5345">
        <w:rPr>
          <w:rFonts w:ascii="Times New Roman" w:eastAsia="Times New Roman" w:hAnsi="Times New Roman" w:cs="Times New Roman"/>
          <w:sz w:val="28"/>
          <w:szCs w:val="28"/>
        </w:rPr>
        <w:t xml:space="preserve"> учеников и 220 тыс</w:t>
      </w:r>
      <w:r w:rsidR="0005203A">
        <w:rPr>
          <w:rFonts w:ascii="Times New Roman" w:eastAsia="Times New Roman" w:hAnsi="Times New Roman" w:cs="Times New Roman"/>
          <w:sz w:val="28"/>
          <w:szCs w:val="28"/>
        </w:rPr>
        <w:t xml:space="preserve">. </w:t>
      </w:r>
      <w:r w:rsidRPr="00BD5345">
        <w:rPr>
          <w:rFonts w:ascii="Times New Roman" w:eastAsia="Times New Roman" w:hAnsi="Times New Roman" w:cs="Times New Roman"/>
          <w:sz w:val="28"/>
          <w:szCs w:val="28"/>
        </w:rPr>
        <w:t>родителей. Помимо версии для общеобразовательных организаций, существует программа для учреждений дошкольного образования и профессиональных образовательных организаций. Данные ресурсы наполняются сообщениями с напоминаниями основных требований ПДД и мер личной безопасности на дорогах с учетом сезонности.</w:t>
      </w:r>
    </w:p>
    <w:p w14:paraId="12E7BA94" w14:textId="523A3C8C" w:rsidR="00BD5345" w:rsidRPr="00BD5345" w:rsidRDefault="00BD5345" w:rsidP="00A21663">
      <w:pPr>
        <w:widowControl w:val="0"/>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В Липецкой области в рамках государственной программы «Обеспечение общественной безопасности населения и территории Липецкой области» и регионального проекта «Безопасность дорожного движения» реализуется комплекс мероприятий, направленных на стимулирование развития деятельности отрядов ЮИД. В этих целях проводится конкурс профессионального мастерства среди руководителей отрядов ЮИД «Знание – жизнь». Победители определяются отдельно в зависимости от стажа и опыта работы по следующим номинациям: «Открытие года» (до 3 лет), «Признание» (от 3 до 10 лет) и «Призвание» (свыше 10 лет). Региональной общественной детско-юношеской организации «Союз юных инспекторов движения» в рамках государственной программы «Реализация внутренней политики Липецкой области» на конкурсной основе выделены финансовые ассигнования на реализацию социально-значимого проекта «Молодежь за безопасность на дорогах».</w:t>
      </w:r>
    </w:p>
    <w:p w14:paraId="5EED6E5F" w14:textId="77777777" w:rsidR="00BD5345" w:rsidRPr="00BD5345" w:rsidRDefault="00BD5345" w:rsidP="00A21663">
      <w:pPr>
        <w:widowControl w:val="0"/>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В Республике Башкортостан в 73 образовательных организациях в рамках образовательного проекта «Взлетай!» реализуется модуль «Садись за руль», позволяющая обучающимся по достижении 18 лет получить водительские права вместе с аттестатом об образовании. Обучение осуществляется по специальной программе на основании договоров с профессиональными колледжами, автошколами или местными отделениями ДОСААФ за счет средств муниципального бюджета и родителей.</w:t>
      </w:r>
    </w:p>
    <w:p w14:paraId="55B00B9A" w14:textId="77777777" w:rsidR="00BD5345" w:rsidRPr="00BD5345" w:rsidRDefault="00BD5345" w:rsidP="008F2E7F">
      <w:pPr>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На основе межведомственног</w:t>
      </w:r>
      <w:r w:rsidR="000F7705">
        <w:rPr>
          <w:rFonts w:ascii="Times New Roman" w:eastAsia="Times New Roman" w:hAnsi="Times New Roman" w:cs="Times New Roman"/>
          <w:sz w:val="28"/>
          <w:szCs w:val="28"/>
        </w:rPr>
        <w:t>о взаимодействия осуществляются</w:t>
      </w:r>
      <w:r w:rsidRPr="00BD5345">
        <w:rPr>
          <w:rFonts w:ascii="Times New Roman" w:eastAsia="Times New Roman" w:hAnsi="Times New Roman" w:cs="Times New Roman"/>
          <w:sz w:val="28"/>
          <w:szCs w:val="28"/>
        </w:rPr>
        <w:t xml:space="preserve"> мероприятия, направленные на профила</w:t>
      </w:r>
      <w:r w:rsidR="006D73E1">
        <w:rPr>
          <w:rFonts w:ascii="Times New Roman" w:eastAsia="Times New Roman" w:hAnsi="Times New Roman" w:cs="Times New Roman"/>
          <w:sz w:val="28"/>
          <w:szCs w:val="28"/>
        </w:rPr>
        <w:t xml:space="preserve">ктику преступных посягательств </w:t>
      </w:r>
      <w:r w:rsidR="008F2E7F">
        <w:rPr>
          <w:rFonts w:ascii="Times New Roman" w:eastAsia="Times New Roman" w:hAnsi="Times New Roman" w:cs="Times New Roman"/>
          <w:sz w:val="28"/>
          <w:szCs w:val="28"/>
        </w:rPr>
        <w:t xml:space="preserve">в отношении несовершеннолетних. </w:t>
      </w:r>
      <w:r w:rsidRPr="00BD5345">
        <w:rPr>
          <w:rFonts w:ascii="Times New Roman" w:eastAsia="Times New Roman" w:hAnsi="Times New Roman" w:cs="Times New Roman"/>
          <w:sz w:val="28"/>
          <w:szCs w:val="28"/>
        </w:rPr>
        <w:t>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 жертв насилия и оказанию помощи следственным органам при расследо</w:t>
      </w:r>
      <w:r w:rsidR="005430C5">
        <w:rPr>
          <w:rFonts w:ascii="Times New Roman" w:eastAsia="Times New Roman" w:hAnsi="Times New Roman" w:cs="Times New Roman"/>
          <w:sz w:val="28"/>
          <w:szCs w:val="28"/>
        </w:rPr>
        <w:t xml:space="preserve">вании преступных посягательств </w:t>
      </w:r>
      <w:r w:rsidRPr="00BD5345">
        <w:rPr>
          <w:rFonts w:ascii="Times New Roman" w:eastAsia="Times New Roman" w:hAnsi="Times New Roman" w:cs="Times New Roman"/>
          <w:sz w:val="28"/>
          <w:szCs w:val="28"/>
        </w:rPr>
        <w:t>в отношении детей.</w:t>
      </w:r>
    </w:p>
    <w:p w14:paraId="5DB9EBA9" w14:textId="77777777" w:rsidR="00BD5345" w:rsidRPr="00BD5345" w:rsidRDefault="00BD5345" w:rsidP="00A21663">
      <w:pPr>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Например, многолетний опыт деятельности действующего с 2010 г</w:t>
      </w:r>
      <w:r w:rsidR="00777D03">
        <w:rPr>
          <w:rFonts w:ascii="Times New Roman" w:eastAsia="Times New Roman" w:hAnsi="Times New Roman" w:cs="Times New Roman"/>
          <w:sz w:val="28"/>
          <w:szCs w:val="28"/>
        </w:rPr>
        <w:t>.</w:t>
      </w:r>
      <w:r w:rsidRPr="00BD5345">
        <w:rPr>
          <w:rFonts w:ascii="Times New Roman" w:eastAsia="Times New Roman" w:hAnsi="Times New Roman" w:cs="Times New Roman"/>
          <w:sz w:val="28"/>
          <w:szCs w:val="28"/>
        </w:rPr>
        <w:t xml:space="preserve"> Экспертного совета по анализу чрезвычайных происшествий, несчастных случаев и фактов жестокого обращения с детьми, произошедших на территории Удмуртской Республики, а также по оценке своеврем</w:t>
      </w:r>
      <w:r w:rsidR="00055DD9">
        <w:rPr>
          <w:rFonts w:ascii="Times New Roman" w:eastAsia="Times New Roman" w:hAnsi="Times New Roman" w:cs="Times New Roman"/>
          <w:sz w:val="28"/>
          <w:szCs w:val="28"/>
        </w:rPr>
        <w:t xml:space="preserve">енности, качества </w:t>
      </w:r>
      <w:r w:rsidRPr="00BD5345">
        <w:rPr>
          <w:rFonts w:ascii="Times New Roman" w:eastAsia="Times New Roman" w:hAnsi="Times New Roman" w:cs="Times New Roman"/>
          <w:sz w:val="28"/>
          <w:szCs w:val="28"/>
        </w:rPr>
        <w:t>и эффективности принимаемых мер и</w:t>
      </w:r>
      <w:r w:rsidR="00055DD9">
        <w:rPr>
          <w:rFonts w:ascii="Times New Roman" w:eastAsia="Times New Roman" w:hAnsi="Times New Roman" w:cs="Times New Roman"/>
          <w:sz w:val="28"/>
          <w:szCs w:val="28"/>
        </w:rPr>
        <w:t xml:space="preserve">ндивидуальной профилактической </w:t>
      </w:r>
      <w:r w:rsidRPr="00BD5345">
        <w:rPr>
          <w:rFonts w:ascii="Times New Roman" w:eastAsia="Times New Roman" w:hAnsi="Times New Roman" w:cs="Times New Roman"/>
          <w:sz w:val="28"/>
          <w:szCs w:val="28"/>
        </w:rPr>
        <w:t>и реабилитационной работы с пострадавшими детьми, позволяет осуществлять совместно с республиканскими подразде</w:t>
      </w:r>
      <w:r w:rsidR="00055DD9">
        <w:rPr>
          <w:rFonts w:ascii="Times New Roman" w:eastAsia="Times New Roman" w:hAnsi="Times New Roman" w:cs="Times New Roman"/>
          <w:sz w:val="28"/>
          <w:szCs w:val="28"/>
        </w:rPr>
        <w:t xml:space="preserve">лениями Следственного комитета </w:t>
      </w:r>
      <w:r w:rsidRPr="00BD5345">
        <w:rPr>
          <w:rFonts w:ascii="Times New Roman" w:eastAsia="Times New Roman" w:hAnsi="Times New Roman" w:cs="Times New Roman"/>
          <w:sz w:val="28"/>
          <w:szCs w:val="28"/>
        </w:rPr>
        <w:t xml:space="preserve">и </w:t>
      </w:r>
      <w:r w:rsidR="00055DD9">
        <w:rPr>
          <w:rFonts w:ascii="Times New Roman" w:eastAsia="Times New Roman" w:hAnsi="Times New Roman" w:cs="Times New Roman"/>
          <w:sz w:val="28"/>
          <w:szCs w:val="28"/>
        </w:rPr>
        <w:t xml:space="preserve">МВД </w:t>
      </w:r>
      <w:r w:rsidRPr="00BD5345">
        <w:rPr>
          <w:rFonts w:ascii="Times New Roman" w:eastAsia="Times New Roman" w:hAnsi="Times New Roman" w:cs="Times New Roman"/>
          <w:sz w:val="28"/>
          <w:szCs w:val="28"/>
        </w:rPr>
        <w:t>оперативный обмен информацией о совершенном в отношении ребенка преступлении, незамедлительно принимать меры по оказанию помощи, организации работы с семьей.</w:t>
      </w:r>
    </w:p>
    <w:p w14:paraId="40928EA2" w14:textId="77777777" w:rsidR="00BD5345" w:rsidRPr="00BD5345" w:rsidRDefault="00BD5345" w:rsidP="00A21663">
      <w:pPr>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 xml:space="preserve">В рамках своих полномочий Экспертный совет рассматривает материалы, проводит экспертизу деятельности органов государственной власти и органов местного самоуправления Удмуртской Республики по фактам жестокого (пренебрежительного) обращения с детьми, выносит заключения в адрес руководителей органов исполнительной власти и органов местного самоуправления в отношении должностных лиц, в решениях или действиях (бездействиях) которых усматриваются нарушения прав, свобод и законных интересов ребенка. </w:t>
      </w:r>
    </w:p>
    <w:p w14:paraId="5176A754" w14:textId="77777777" w:rsidR="00BD5345" w:rsidRPr="00BD5345" w:rsidRDefault="00BD5345" w:rsidP="00A21663">
      <w:pPr>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В целях повышения качества оказа</w:t>
      </w:r>
      <w:r w:rsidR="00502B93">
        <w:rPr>
          <w:rFonts w:ascii="Times New Roman" w:eastAsia="Times New Roman" w:hAnsi="Times New Roman" w:cs="Times New Roman"/>
          <w:sz w:val="28"/>
          <w:szCs w:val="28"/>
        </w:rPr>
        <w:t xml:space="preserve">ния помощи детям, пострадавшим </w:t>
      </w:r>
      <w:r w:rsidRPr="00BD5345">
        <w:rPr>
          <w:rFonts w:ascii="Times New Roman" w:eastAsia="Times New Roman" w:hAnsi="Times New Roman" w:cs="Times New Roman"/>
          <w:sz w:val="28"/>
          <w:szCs w:val="28"/>
        </w:rPr>
        <w:t>от жестокого обращения и преступных посягательств, в том числе сексуального характера, повышения уровня профессиона</w:t>
      </w:r>
      <w:r w:rsidR="00E910AA">
        <w:rPr>
          <w:rFonts w:ascii="Times New Roman" w:eastAsia="Times New Roman" w:hAnsi="Times New Roman" w:cs="Times New Roman"/>
          <w:sz w:val="28"/>
          <w:szCs w:val="28"/>
        </w:rPr>
        <w:t xml:space="preserve">льной компетенции специалистов </w:t>
      </w:r>
      <w:r w:rsidRPr="00BD5345">
        <w:rPr>
          <w:rFonts w:ascii="Times New Roman" w:eastAsia="Times New Roman" w:hAnsi="Times New Roman" w:cs="Times New Roman"/>
          <w:sz w:val="28"/>
          <w:szCs w:val="28"/>
        </w:rPr>
        <w:t>в области раннего выявления детей, ставши</w:t>
      </w:r>
      <w:r w:rsidR="00E910AA">
        <w:rPr>
          <w:rFonts w:ascii="Times New Roman" w:eastAsia="Times New Roman" w:hAnsi="Times New Roman" w:cs="Times New Roman"/>
          <w:sz w:val="28"/>
          <w:szCs w:val="28"/>
        </w:rPr>
        <w:t xml:space="preserve">х жертвами насилия от насилия, </w:t>
      </w:r>
      <w:r w:rsidRPr="00BD5345">
        <w:rPr>
          <w:rFonts w:ascii="Times New Roman" w:eastAsia="Times New Roman" w:hAnsi="Times New Roman" w:cs="Times New Roman"/>
          <w:sz w:val="28"/>
          <w:szCs w:val="28"/>
        </w:rPr>
        <w:t>в Удмуртской Республике постановле</w:t>
      </w:r>
      <w:r w:rsidR="00E910AA">
        <w:rPr>
          <w:rFonts w:ascii="Times New Roman" w:eastAsia="Times New Roman" w:hAnsi="Times New Roman" w:cs="Times New Roman"/>
          <w:sz w:val="28"/>
          <w:szCs w:val="28"/>
        </w:rPr>
        <w:t xml:space="preserve">нием Межведомственной комиссии </w:t>
      </w:r>
      <w:r w:rsidRPr="00BD5345">
        <w:rPr>
          <w:rFonts w:ascii="Times New Roman" w:eastAsia="Times New Roman" w:hAnsi="Times New Roman" w:cs="Times New Roman"/>
          <w:sz w:val="28"/>
          <w:szCs w:val="28"/>
        </w:rPr>
        <w:t xml:space="preserve">от 16 июля 2020 г. № 2/19 утвержден «План </w:t>
      </w:r>
      <w:r w:rsidR="00E910AA">
        <w:rPr>
          <w:rFonts w:ascii="Times New Roman" w:eastAsia="Times New Roman" w:hAnsi="Times New Roman" w:cs="Times New Roman"/>
          <w:sz w:val="28"/>
          <w:szCs w:val="28"/>
        </w:rPr>
        <w:t xml:space="preserve">мероприятий («дорожная карта») </w:t>
      </w:r>
      <w:r w:rsidRPr="00BD5345">
        <w:rPr>
          <w:rFonts w:ascii="Times New Roman" w:eastAsia="Times New Roman" w:hAnsi="Times New Roman" w:cs="Times New Roman"/>
          <w:sz w:val="28"/>
          <w:szCs w:val="28"/>
        </w:rPr>
        <w:t xml:space="preserve">на период </w:t>
      </w:r>
      <w:r w:rsidR="00BD028C">
        <w:rPr>
          <w:rFonts w:ascii="Times New Roman" w:eastAsia="Times New Roman" w:hAnsi="Times New Roman" w:cs="Times New Roman"/>
          <w:sz w:val="28"/>
          <w:szCs w:val="28"/>
        </w:rPr>
        <w:br/>
      </w:r>
      <w:r w:rsidRPr="00BD5345">
        <w:rPr>
          <w:rFonts w:ascii="Times New Roman" w:eastAsia="Times New Roman" w:hAnsi="Times New Roman" w:cs="Times New Roman"/>
          <w:sz w:val="28"/>
          <w:szCs w:val="28"/>
        </w:rPr>
        <w:t>до 2022 г</w:t>
      </w:r>
      <w:r w:rsidR="00BD028C">
        <w:rPr>
          <w:rFonts w:ascii="Times New Roman" w:eastAsia="Times New Roman" w:hAnsi="Times New Roman" w:cs="Times New Roman"/>
          <w:sz w:val="28"/>
          <w:szCs w:val="28"/>
        </w:rPr>
        <w:t>.</w:t>
      </w:r>
      <w:r w:rsidRPr="00BD5345">
        <w:rPr>
          <w:rFonts w:ascii="Times New Roman" w:eastAsia="Times New Roman" w:hAnsi="Times New Roman" w:cs="Times New Roman"/>
          <w:sz w:val="28"/>
          <w:szCs w:val="28"/>
        </w:rPr>
        <w:t xml:space="preserve"> по реализации комплекса межведомственных мер, направленных на профилактику</w:t>
      </w:r>
      <w:r w:rsidR="00E910AA">
        <w:rPr>
          <w:rFonts w:ascii="Times New Roman" w:eastAsia="Times New Roman" w:hAnsi="Times New Roman" w:cs="Times New Roman"/>
          <w:sz w:val="28"/>
          <w:szCs w:val="28"/>
        </w:rPr>
        <w:t xml:space="preserve"> насилия и жестокого обращения </w:t>
      </w:r>
      <w:r w:rsidRPr="00BD5345">
        <w:rPr>
          <w:rFonts w:ascii="Times New Roman" w:eastAsia="Times New Roman" w:hAnsi="Times New Roman" w:cs="Times New Roman"/>
          <w:sz w:val="28"/>
          <w:szCs w:val="28"/>
        </w:rPr>
        <w:t>с несовершеннолетними на территории Удмуртской Республики».</w:t>
      </w:r>
    </w:p>
    <w:p w14:paraId="4FFE307C" w14:textId="77777777" w:rsidR="00BD5345" w:rsidRPr="00BD5345" w:rsidRDefault="00BD5345" w:rsidP="00A21663">
      <w:pPr>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 xml:space="preserve">В ГКУСО Республики Мордовия «Социально-реабилитационный центр для несовершеннолетних «Солнышко» открыта служба экстренного реагирования на ситуацию жестокого обращения с детьми с последующей организацией реабилитации детей, пострадавших от жестокого обращения и преступных посягательств. Педагогами-психологами разработана специальная программа «Преодоление», направленная на оказание психологической помощи детям в преодолении эмоциональных, когнитивных и поведенческих последствий травм, полученных в результате насилия </w:t>
      </w:r>
      <w:r w:rsidR="009A7DE5">
        <w:rPr>
          <w:rFonts w:ascii="Times New Roman" w:eastAsia="Times New Roman" w:hAnsi="Times New Roman" w:cs="Times New Roman"/>
          <w:sz w:val="28"/>
          <w:szCs w:val="28"/>
        </w:rPr>
        <w:t>и жестокого обращения. В 2021 г.</w:t>
      </w:r>
      <w:r w:rsidRPr="00BD5345">
        <w:rPr>
          <w:rFonts w:ascii="Times New Roman" w:eastAsia="Times New Roman" w:hAnsi="Times New Roman" w:cs="Times New Roman"/>
          <w:sz w:val="28"/>
          <w:szCs w:val="28"/>
        </w:rPr>
        <w:t xml:space="preserve"> специализированная помощь оказана 51 ребенку.</w:t>
      </w:r>
    </w:p>
    <w:p w14:paraId="6596DF42" w14:textId="77777777" w:rsidR="00BD5345" w:rsidRPr="00BD5345" w:rsidRDefault="00BD5345" w:rsidP="00A21663">
      <w:pPr>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В Удмуртской Республике на базе филиала республиканского СРЦН «СРЦН города Ижевска «Росток» с 2019 г</w:t>
      </w:r>
      <w:r w:rsidR="009A7DE5">
        <w:rPr>
          <w:rFonts w:ascii="Times New Roman" w:eastAsia="Times New Roman" w:hAnsi="Times New Roman" w:cs="Times New Roman"/>
          <w:sz w:val="28"/>
          <w:szCs w:val="28"/>
        </w:rPr>
        <w:t>.</w:t>
      </w:r>
      <w:r w:rsidRPr="00BD5345">
        <w:rPr>
          <w:rFonts w:ascii="Times New Roman" w:eastAsia="Times New Roman" w:hAnsi="Times New Roman" w:cs="Times New Roman"/>
          <w:sz w:val="28"/>
          <w:szCs w:val="28"/>
        </w:rPr>
        <w:t xml:space="preserve"> функционирует группа временного пребывания детей, ставших жертвами преступлений. За 2021 г</w:t>
      </w:r>
      <w:r w:rsidR="002373A7">
        <w:rPr>
          <w:rFonts w:ascii="Times New Roman" w:eastAsia="Times New Roman" w:hAnsi="Times New Roman" w:cs="Times New Roman"/>
          <w:sz w:val="28"/>
          <w:szCs w:val="28"/>
        </w:rPr>
        <w:t>.</w:t>
      </w:r>
      <w:r w:rsidR="000521AB">
        <w:rPr>
          <w:rFonts w:ascii="Times New Roman" w:eastAsia="Times New Roman" w:hAnsi="Times New Roman" w:cs="Times New Roman"/>
          <w:sz w:val="28"/>
          <w:szCs w:val="28"/>
        </w:rPr>
        <w:t xml:space="preserve"> </w:t>
      </w:r>
      <w:r w:rsidRPr="00BD5345">
        <w:rPr>
          <w:rFonts w:ascii="Times New Roman" w:eastAsia="Times New Roman" w:hAnsi="Times New Roman" w:cs="Times New Roman"/>
          <w:sz w:val="28"/>
          <w:szCs w:val="28"/>
        </w:rPr>
        <w:t>реабилитацию прошли 11 детей, пострад</w:t>
      </w:r>
      <w:r w:rsidR="000521AB">
        <w:rPr>
          <w:rFonts w:ascii="Times New Roman" w:eastAsia="Times New Roman" w:hAnsi="Times New Roman" w:cs="Times New Roman"/>
          <w:sz w:val="28"/>
          <w:szCs w:val="28"/>
        </w:rPr>
        <w:t xml:space="preserve">авших от сексуального насилия, </w:t>
      </w:r>
      <w:r w:rsidRPr="00BD5345">
        <w:rPr>
          <w:rFonts w:ascii="Times New Roman" w:eastAsia="Times New Roman" w:hAnsi="Times New Roman" w:cs="Times New Roman"/>
          <w:sz w:val="28"/>
          <w:szCs w:val="28"/>
        </w:rPr>
        <w:t>и 2 ребенка, пострадавших от физического насилия (побоев), средний срок</w:t>
      </w:r>
      <w:r w:rsidR="000521AB">
        <w:rPr>
          <w:rFonts w:ascii="Times New Roman" w:eastAsia="Times New Roman" w:hAnsi="Times New Roman" w:cs="Times New Roman"/>
          <w:sz w:val="28"/>
          <w:szCs w:val="28"/>
        </w:rPr>
        <w:t xml:space="preserve"> пребывания в группе 6 месяцев.</w:t>
      </w:r>
    </w:p>
    <w:p w14:paraId="67FFDB7D" w14:textId="77777777" w:rsidR="00BD5345" w:rsidRPr="00BD5345" w:rsidRDefault="00BD5345" w:rsidP="00A21663">
      <w:pPr>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В Астраханской области с 2010 г</w:t>
      </w:r>
      <w:r w:rsidR="009A7DE5">
        <w:rPr>
          <w:rFonts w:ascii="Times New Roman" w:eastAsia="Times New Roman" w:hAnsi="Times New Roman" w:cs="Times New Roman"/>
          <w:sz w:val="28"/>
          <w:szCs w:val="28"/>
        </w:rPr>
        <w:t>.</w:t>
      </w:r>
      <w:r w:rsidRPr="00BD5345">
        <w:rPr>
          <w:rFonts w:ascii="Times New Roman" w:eastAsia="Times New Roman" w:hAnsi="Times New Roman" w:cs="Times New Roman"/>
          <w:sz w:val="28"/>
          <w:szCs w:val="28"/>
        </w:rPr>
        <w:t xml:space="preserve"> в структуре областного социально-реабилитационного центра «Исток» функционирует отделение помощи детям, пострадавшим от жестокого обращен</w:t>
      </w:r>
      <w:r w:rsidR="001D6D99">
        <w:rPr>
          <w:rFonts w:ascii="Times New Roman" w:eastAsia="Times New Roman" w:hAnsi="Times New Roman" w:cs="Times New Roman"/>
          <w:sz w:val="28"/>
          <w:szCs w:val="28"/>
        </w:rPr>
        <w:t xml:space="preserve">ия «Парусник». Срок пребывания </w:t>
      </w:r>
      <w:r w:rsidRPr="00BD5345">
        <w:rPr>
          <w:rFonts w:ascii="Times New Roman" w:eastAsia="Times New Roman" w:hAnsi="Times New Roman" w:cs="Times New Roman"/>
          <w:sz w:val="28"/>
          <w:szCs w:val="28"/>
        </w:rPr>
        <w:t xml:space="preserve">в отделении зависит от индивидуальной программы реабилитации и степени социальной </w:t>
      </w:r>
      <w:proofErr w:type="spellStart"/>
      <w:r w:rsidRPr="00BD5345">
        <w:rPr>
          <w:rFonts w:ascii="Times New Roman" w:eastAsia="Times New Roman" w:hAnsi="Times New Roman" w:cs="Times New Roman"/>
          <w:sz w:val="28"/>
          <w:szCs w:val="28"/>
        </w:rPr>
        <w:t>дезадаптации</w:t>
      </w:r>
      <w:proofErr w:type="spellEnd"/>
      <w:r w:rsidRPr="00BD5345">
        <w:rPr>
          <w:rFonts w:ascii="Times New Roman" w:eastAsia="Times New Roman" w:hAnsi="Times New Roman" w:cs="Times New Roman"/>
          <w:sz w:val="28"/>
          <w:szCs w:val="28"/>
        </w:rPr>
        <w:t xml:space="preserve"> в семье ребенка.</w:t>
      </w:r>
    </w:p>
    <w:p w14:paraId="5D94358E" w14:textId="77777777" w:rsidR="00BD5345" w:rsidRPr="00BD5345" w:rsidRDefault="00BD5345" w:rsidP="001D6D99">
      <w:pPr>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Специфика деятельности отделения направлена на проведение комплексной диагностики эмоционально-волевой сферы несовершеннолетних, осуществление психолого-педагогической поддержки и коррекции саморазвития личности детей и подростков.</w:t>
      </w:r>
      <w:r w:rsidR="00D21555" w:rsidRPr="00BD5345">
        <w:rPr>
          <w:rFonts w:ascii="Times New Roman" w:eastAsia="Times New Roman" w:hAnsi="Times New Roman" w:cs="Times New Roman"/>
          <w:sz w:val="28"/>
          <w:szCs w:val="28"/>
        </w:rPr>
        <w:t> </w:t>
      </w:r>
      <w:r w:rsidRPr="00BD5345">
        <w:rPr>
          <w:rFonts w:ascii="Times New Roman" w:eastAsia="Times New Roman" w:hAnsi="Times New Roman" w:cs="Times New Roman"/>
          <w:sz w:val="28"/>
          <w:szCs w:val="28"/>
        </w:rPr>
        <w:t>В 2021 г</w:t>
      </w:r>
      <w:r w:rsidR="00D87466">
        <w:rPr>
          <w:rFonts w:ascii="Times New Roman" w:eastAsia="Times New Roman" w:hAnsi="Times New Roman" w:cs="Times New Roman"/>
          <w:sz w:val="28"/>
          <w:szCs w:val="28"/>
        </w:rPr>
        <w:t>.</w:t>
      </w:r>
      <w:r w:rsidRPr="00BD5345">
        <w:rPr>
          <w:rFonts w:ascii="Times New Roman" w:eastAsia="Times New Roman" w:hAnsi="Times New Roman" w:cs="Times New Roman"/>
          <w:sz w:val="28"/>
          <w:szCs w:val="28"/>
        </w:rPr>
        <w:t xml:space="preserve"> на базе отделения прошли реабилитацию 34 ребенка, пострадавших от жестокого обращения в семье.</w:t>
      </w:r>
    </w:p>
    <w:p w14:paraId="19D77F0D" w14:textId="77777777" w:rsidR="00BD5345" w:rsidRPr="00BD5345" w:rsidRDefault="00BD5345" w:rsidP="00A21663">
      <w:pPr>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С 2012 г</w:t>
      </w:r>
      <w:r w:rsidR="00D87466">
        <w:rPr>
          <w:rFonts w:ascii="Times New Roman" w:eastAsia="Times New Roman" w:hAnsi="Times New Roman" w:cs="Times New Roman"/>
          <w:sz w:val="28"/>
          <w:szCs w:val="28"/>
        </w:rPr>
        <w:t>.</w:t>
      </w:r>
      <w:r w:rsidRPr="00BD5345">
        <w:rPr>
          <w:rFonts w:ascii="Times New Roman" w:eastAsia="Times New Roman" w:hAnsi="Times New Roman" w:cs="Times New Roman"/>
          <w:sz w:val="28"/>
          <w:szCs w:val="28"/>
        </w:rPr>
        <w:t xml:space="preserve"> в Пермском крае на базе ГБУ ДО «Центр психолого-педагогического и медико-социального сопровождения» действует «Служба особого сопровождения», созданная в целях оказания психологической помощи семьям, в которых ребенок подвергся насилию, в том числе сексуальному.</w:t>
      </w:r>
    </w:p>
    <w:p w14:paraId="7B31CFDD" w14:textId="77777777" w:rsidR="00BD5345" w:rsidRPr="00BD5345" w:rsidRDefault="00BD5345" w:rsidP="00A21663">
      <w:pPr>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Психологи сопровождают ребенка в следственных действиях, участвуют в судебных заседаниях. Система взаимодействия отрабатывается в рамках совместных обучающих мероприятий специалистов-психологов и следователей правоохранительных органов, ведущих расследования по фактам жестокого обращения и насилия в отношении детей.</w:t>
      </w:r>
    </w:p>
    <w:p w14:paraId="41004FB0" w14:textId="77777777" w:rsidR="00BD5345" w:rsidRPr="00BD5345" w:rsidRDefault="00BD5345" w:rsidP="00A21663">
      <w:pPr>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Экстренная психологическая и реабилитацио</w:t>
      </w:r>
      <w:r w:rsidR="00D21555">
        <w:rPr>
          <w:rFonts w:ascii="Times New Roman" w:eastAsia="Times New Roman" w:hAnsi="Times New Roman" w:cs="Times New Roman"/>
          <w:sz w:val="28"/>
          <w:szCs w:val="28"/>
        </w:rPr>
        <w:t xml:space="preserve">нная помощь оказывается </w:t>
      </w:r>
      <w:r w:rsidR="00D21555">
        <w:rPr>
          <w:rFonts w:ascii="Times New Roman" w:eastAsia="Times New Roman" w:hAnsi="Times New Roman" w:cs="Times New Roman"/>
          <w:sz w:val="28"/>
          <w:szCs w:val="28"/>
        </w:rPr>
        <w:br/>
      </w:r>
      <w:r w:rsidRPr="00BD5345">
        <w:rPr>
          <w:rFonts w:ascii="Times New Roman" w:eastAsia="Times New Roman" w:hAnsi="Times New Roman" w:cs="Times New Roman"/>
          <w:sz w:val="28"/>
          <w:szCs w:val="28"/>
        </w:rPr>
        <w:t>в 12 специализированных комнатах («зеленых комнатах») для проведения психологических исследований и реабилитации несовершеннол</w:t>
      </w:r>
      <w:r w:rsidR="006254CA">
        <w:rPr>
          <w:rFonts w:ascii="Times New Roman" w:eastAsia="Times New Roman" w:hAnsi="Times New Roman" w:cs="Times New Roman"/>
          <w:sz w:val="28"/>
          <w:szCs w:val="28"/>
        </w:rPr>
        <w:t>етних, пострадавших от насилия.</w:t>
      </w:r>
    </w:p>
    <w:p w14:paraId="43FDFD43" w14:textId="77777777" w:rsidR="00BD5345" w:rsidRPr="00BD5345" w:rsidRDefault="00BD5345" w:rsidP="00A21663">
      <w:pPr>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Открытие аналогичной комнаты состоялось в сентябре 2021 г</w:t>
      </w:r>
      <w:r w:rsidR="006254CA">
        <w:rPr>
          <w:rFonts w:ascii="Times New Roman" w:eastAsia="Times New Roman" w:hAnsi="Times New Roman" w:cs="Times New Roman"/>
          <w:sz w:val="28"/>
          <w:szCs w:val="28"/>
        </w:rPr>
        <w:t>.</w:t>
      </w:r>
      <w:r w:rsidR="00D21555" w:rsidRPr="00BD5345">
        <w:rPr>
          <w:rFonts w:ascii="Times New Roman" w:eastAsia="Times New Roman" w:hAnsi="Times New Roman" w:cs="Times New Roman"/>
          <w:sz w:val="28"/>
          <w:szCs w:val="28"/>
        </w:rPr>
        <w:t> </w:t>
      </w:r>
      <w:r w:rsidRPr="00BD5345">
        <w:rPr>
          <w:rFonts w:ascii="Times New Roman" w:eastAsia="Times New Roman" w:hAnsi="Times New Roman" w:cs="Times New Roman"/>
          <w:sz w:val="28"/>
          <w:szCs w:val="28"/>
        </w:rPr>
        <w:t>в Удмуртской Республике по инициативе следственного управления СК России по Удмуртской Республике и Уполномоченного по правам ребенка на площадке филиала республиканского СРЦН «СРЦН города Ижевска «Росток». Целью данного проекта является предоставл</w:t>
      </w:r>
      <w:r w:rsidR="006254CA">
        <w:rPr>
          <w:rFonts w:ascii="Times New Roman" w:eastAsia="Times New Roman" w:hAnsi="Times New Roman" w:cs="Times New Roman"/>
          <w:sz w:val="28"/>
          <w:szCs w:val="28"/>
        </w:rPr>
        <w:t xml:space="preserve">ение психологической поддержки </w:t>
      </w:r>
      <w:r w:rsidRPr="00BD5345">
        <w:rPr>
          <w:rFonts w:ascii="Times New Roman" w:eastAsia="Times New Roman" w:hAnsi="Times New Roman" w:cs="Times New Roman"/>
          <w:sz w:val="28"/>
          <w:szCs w:val="28"/>
        </w:rPr>
        <w:t>и реабилитацию несовершеннолетних, участвующих в следственных мероприятиях, в том числе переживших насил</w:t>
      </w:r>
      <w:r w:rsidR="008F2E7F">
        <w:rPr>
          <w:rFonts w:ascii="Times New Roman" w:eastAsia="Times New Roman" w:hAnsi="Times New Roman" w:cs="Times New Roman"/>
          <w:sz w:val="28"/>
          <w:szCs w:val="28"/>
        </w:rPr>
        <w:t>ие или ставших его свидетелями.</w:t>
      </w:r>
    </w:p>
    <w:p w14:paraId="01E9C384" w14:textId="77777777" w:rsidR="00BD5345" w:rsidRPr="00BD5345" w:rsidRDefault="00BD5345" w:rsidP="00A21663">
      <w:pPr>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Активное использование «зеленых комнат» в Кировской области продолжено на базе КОГКУСО «Кировский социально-реабилитационный центр для несовершеннолетних «</w:t>
      </w:r>
      <w:proofErr w:type="spellStart"/>
      <w:r w:rsidRPr="00BD5345">
        <w:rPr>
          <w:rFonts w:ascii="Times New Roman" w:eastAsia="Times New Roman" w:hAnsi="Times New Roman" w:cs="Times New Roman"/>
          <w:sz w:val="28"/>
          <w:szCs w:val="28"/>
        </w:rPr>
        <w:t>Вятушка</w:t>
      </w:r>
      <w:proofErr w:type="spellEnd"/>
      <w:r w:rsidRPr="00BD5345">
        <w:rPr>
          <w:rFonts w:ascii="Times New Roman" w:eastAsia="Times New Roman" w:hAnsi="Times New Roman" w:cs="Times New Roman"/>
          <w:sz w:val="28"/>
          <w:szCs w:val="28"/>
        </w:rPr>
        <w:t xml:space="preserve">», КОГАУСО «Межрайонный комплексный центр социального обслуживания населения в </w:t>
      </w:r>
      <w:proofErr w:type="spellStart"/>
      <w:r w:rsidRPr="00BD5345">
        <w:rPr>
          <w:rFonts w:ascii="Times New Roman" w:eastAsia="Times New Roman" w:hAnsi="Times New Roman" w:cs="Times New Roman"/>
          <w:sz w:val="28"/>
          <w:szCs w:val="28"/>
        </w:rPr>
        <w:t>Вятскополянском</w:t>
      </w:r>
      <w:proofErr w:type="spellEnd"/>
      <w:r w:rsidRPr="00BD5345">
        <w:rPr>
          <w:rFonts w:ascii="Times New Roman" w:eastAsia="Times New Roman" w:hAnsi="Times New Roman" w:cs="Times New Roman"/>
          <w:sz w:val="28"/>
          <w:szCs w:val="28"/>
        </w:rPr>
        <w:t xml:space="preserve"> районе» и КОГАУСО «Межрайонный комплексный центр социального обслуживания населения в Омутнинском районе». В 2021 г</w:t>
      </w:r>
      <w:r w:rsidR="00D87466">
        <w:rPr>
          <w:rFonts w:ascii="Times New Roman" w:eastAsia="Times New Roman" w:hAnsi="Times New Roman" w:cs="Times New Roman"/>
          <w:sz w:val="28"/>
          <w:szCs w:val="28"/>
        </w:rPr>
        <w:t>.</w:t>
      </w:r>
      <w:r w:rsidRPr="00BD5345">
        <w:rPr>
          <w:rFonts w:ascii="Times New Roman" w:eastAsia="Times New Roman" w:hAnsi="Times New Roman" w:cs="Times New Roman"/>
          <w:sz w:val="28"/>
          <w:szCs w:val="28"/>
        </w:rPr>
        <w:t xml:space="preserve"> психологическое сопровождение получили </w:t>
      </w:r>
      <w:r w:rsidR="00D21555">
        <w:rPr>
          <w:rFonts w:ascii="Times New Roman" w:eastAsia="Times New Roman" w:hAnsi="Times New Roman" w:cs="Times New Roman"/>
          <w:sz w:val="28"/>
          <w:szCs w:val="28"/>
        </w:rPr>
        <w:br/>
      </w:r>
      <w:r w:rsidRPr="00BD5345">
        <w:rPr>
          <w:rFonts w:ascii="Times New Roman" w:eastAsia="Times New Roman" w:hAnsi="Times New Roman" w:cs="Times New Roman"/>
          <w:sz w:val="28"/>
          <w:szCs w:val="28"/>
        </w:rPr>
        <w:t>707 детей.</w:t>
      </w:r>
    </w:p>
    <w:p w14:paraId="7FFE6010" w14:textId="77777777" w:rsidR="00BD5345" w:rsidRPr="00BD5345" w:rsidRDefault="00BD5345" w:rsidP="00A21663">
      <w:pPr>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В Вологодской области проект «Зеленая комната» реализовывалс</w:t>
      </w:r>
      <w:r w:rsidR="005430C5">
        <w:rPr>
          <w:rFonts w:ascii="Times New Roman" w:eastAsia="Times New Roman" w:hAnsi="Times New Roman" w:cs="Times New Roman"/>
          <w:sz w:val="28"/>
          <w:szCs w:val="28"/>
        </w:rPr>
        <w:t xml:space="preserve">я </w:t>
      </w:r>
      <w:r w:rsidRPr="00BD5345">
        <w:rPr>
          <w:rFonts w:ascii="Times New Roman" w:eastAsia="Times New Roman" w:hAnsi="Times New Roman" w:cs="Times New Roman"/>
          <w:sz w:val="28"/>
          <w:szCs w:val="28"/>
        </w:rPr>
        <w:t>в города</w:t>
      </w:r>
      <w:r w:rsidR="0018352D">
        <w:rPr>
          <w:rFonts w:ascii="Times New Roman" w:eastAsia="Times New Roman" w:hAnsi="Times New Roman" w:cs="Times New Roman"/>
          <w:sz w:val="28"/>
          <w:szCs w:val="28"/>
        </w:rPr>
        <w:t>х Вологде и Череповце. В 2021 г</w:t>
      </w:r>
      <w:r w:rsidR="00327940">
        <w:rPr>
          <w:rFonts w:ascii="Times New Roman" w:eastAsia="Times New Roman" w:hAnsi="Times New Roman" w:cs="Times New Roman"/>
          <w:sz w:val="28"/>
          <w:szCs w:val="28"/>
        </w:rPr>
        <w:t>.</w:t>
      </w:r>
      <w:r w:rsidRPr="00BD5345">
        <w:rPr>
          <w:rFonts w:ascii="Times New Roman" w:eastAsia="Times New Roman" w:hAnsi="Times New Roman" w:cs="Times New Roman"/>
          <w:sz w:val="28"/>
          <w:szCs w:val="28"/>
        </w:rPr>
        <w:t xml:space="preserve"> социально-реабилитационные услуги получили </w:t>
      </w:r>
      <w:r w:rsidR="00327940">
        <w:rPr>
          <w:rFonts w:ascii="Times New Roman" w:eastAsia="Times New Roman" w:hAnsi="Times New Roman" w:cs="Times New Roman"/>
          <w:sz w:val="28"/>
          <w:szCs w:val="28"/>
        </w:rPr>
        <w:br/>
      </w:r>
      <w:r w:rsidRPr="00BD5345">
        <w:rPr>
          <w:rFonts w:ascii="Times New Roman" w:eastAsia="Times New Roman" w:hAnsi="Times New Roman" w:cs="Times New Roman"/>
          <w:sz w:val="28"/>
          <w:szCs w:val="28"/>
        </w:rPr>
        <w:t>217 несовершеннолетних, пострадавших от насильственных преступлений.</w:t>
      </w:r>
    </w:p>
    <w:p w14:paraId="5CB84019" w14:textId="77777777" w:rsidR="00BD5345" w:rsidRPr="00BD5345" w:rsidRDefault="00BD5345" w:rsidP="00A21663">
      <w:pPr>
        <w:widowControl w:val="0"/>
        <w:spacing w:after="0" w:line="312" w:lineRule="auto"/>
        <w:ind w:firstLine="709"/>
        <w:jc w:val="both"/>
        <w:rPr>
          <w:rFonts w:ascii="Times New Roman" w:eastAsia="Times New Roman" w:hAnsi="Times New Roman" w:cs="Times New Roman"/>
          <w:sz w:val="28"/>
          <w:szCs w:val="28"/>
        </w:rPr>
      </w:pPr>
      <w:r w:rsidRPr="00BD5345">
        <w:rPr>
          <w:rFonts w:ascii="Times New Roman" w:eastAsia="Times New Roman" w:hAnsi="Times New Roman" w:cs="Times New Roman"/>
          <w:sz w:val="28"/>
          <w:szCs w:val="28"/>
        </w:rPr>
        <w:t xml:space="preserve">Освещение в </w:t>
      </w:r>
      <w:r w:rsidRPr="003176AF">
        <w:rPr>
          <w:rFonts w:ascii="Times New Roman" w:eastAsia="Times New Roman" w:hAnsi="Times New Roman" w:cs="Times New Roman"/>
          <w:sz w:val="28"/>
          <w:szCs w:val="28"/>
        </w:rPr>
        <w:t>средствах массовой информации</w:t>
      </w:r>
      <w:r w:rsidRPr="00BD5345">
        <w:rPr>
          <w:rFonts w:ascii="Times New Roman" w:eastAsia="Times New Roman" w:hAnsi="Times New Roman" w:cs="Times New Roman"/>
          <w:sz w:val="28"/>
          <w:szCs w:val="28"/>
        </w:rPr>
        <w:t xml:space="preserve"> тематики, касающейся укрепления института семьи и защиты дет</w:t>
      </w:r>
      <w:r w:rsidR="00AE05CC">
        <w:rPr>
          <w:rFonts w:ascii="Times New Roman" w:eastAsia="Times New Roman" w:hAnsi="Times New Roman" w:cs="Times New Roman"/>
          <w:sz w:val="28"/>
          <w:szCs w:val="28"/>
        </w:rPr>
        <w:t xml:space="preserve">ства, опубликование материалов </w:t>
      </w:r>
      <w:r w:rsidRPr="00BD5345">
        <w:rPr>
          <w:rFonts w:ascii="Times New Roman" w:eastAsia="Times New Roman" w:hAnsi="Times New Roman" w:cs="Times New Roman"/>
          <w:sz w:val="28"/>
          <w:szCs w:val="28"/>
        </w:rPr>
        <w:t>о крепких благополучных семьях, об усыновлении детей-сирот, о продвижении здорового образа жизни и в целом позитивного контента также способствуют профилактике безнадзорности и пра</w:t>
      </w:r>
      <w:r w:rsidR="005C62BF">
        <w:rPr>
          <w:rFonts w:ascii="Times New Roman" w:eastAsia="Times New Roman" w:hAnsi="Times New Roman" w:cs="Times New Roman"/>
          <w:sz w:val="28"/>
          <w:szCs w:val="28"/>
        </w:rPr>
        <w:t xml:space="preserve">вонарушений несовершеннолетних </w:t>
      </w:r>
      <w:r w:rsidRPr="00BD5345">
        <w:rPr>
          <w:rFonts w:ascii="Times New Roman" w:eastAsia="Times New Roman" w:hAnsi="Times New Roman" w:cs="Times New Roman"/>
          <w:sz w:val="28"/>
          <w:szCs w:val="28"/>
        </w:rPr>
        <w:t>и в отношении несовершеннолетних.</w:t>
      </w:r>
    </w:p>
    <w:p w14:paraId="237FDA6C" w14:textId="77777777" w:rsidR="00BD5345" w:rsidRPr="00BD5345" w:rsidRDefault="00BD5345" w:rsidP="00A21663">
      <w:pPr>
        <w:widowControl w:val="0"/>
        <w:shd w:val="clear" w:color="auto" w:fill="FFFFFF"/>
        <w:spacing w:after="0" w:line="312" w:lineRule="auto"/>
        <w:ind w:firstLine="709"/>
        <w:jc w:val="both"/>
        <w:rPr>
          <w:rFonts w:ascii="Times New Roman" w:eastAsia="Times New Roman" w:hAnsi="Times New Roman" w:cs="Times New Roman"/>
          <w:sz w:val="28"/>
          <w:szCs w:val="28"/>
          <w:lang w:bidi="ru-RU"/>
        </w:rPr>
      </w:pPr>
      <w:r w:rsidRPr="00BD5345">
        <w:rPr>
          <w:rFonts w:ascii="Times New Roman" w:eastAsia="Times New Roman" w:hAnsi="Times New Roman" w:cs="Times New Roman"/>
          <w:sz w:val="28"/>
          <w:szCs w:val="28"/>
          <w:lang w:bidi="ru-RU"/>
        </w:rPr>
        <w:t xml:space="preserve">Минцифры России за счет средств федерального бюджета ежегодно на конкурсной основе оказывает государственную поддержку социально значимым проектам в печатных и электронных </w:t>
      </w:r>
      <w:r w:rsidRPr="003176AF">
        <w:rPr>
          <w:rFonts w:ascii="Times New Roman" w:eastAsia="Times New Roman" w:hAnsi="Times New Roman" w:cs="Times New Roman"/>
          <w:sz w:val="28"/>
          <w:szCs w:val="28"/>
          <w:lang w:bidi="ru-RU"/>
        </w:rPr>
        <w:t>средствах массовой информации</w:t>
      </w:r>
      <w:r w:rsidRPr="00BD5345">
        <w:rPr>
          <w:rFonts w:ascii="Times New Roman" w:eastAsia="Times New Roman" w:hAnsi="Times New Roman" w:cs="Times New Roman"/>
          <w:sz w:val="28"/>
          <w:szCs w:val="28"/>
          <w:lang w:bidi="ru-RU"/>
        </w:rPr>
        <w:t>, направленных на укрепление института семьи и защиты детства.</w:t>
      </w:r>
    </w:p>
    <w:p w14:paraId="7AEB24D1" w14:textId="77777777" w:rsidR="00BD5345" w:rsidRPr="00BD5345" w:rsidRDefault="00BD5345" w:rsidP="00A21663">
      <w:pPr>
        <w:widowControl w:val="0"/>
        <w:shd w:val="clear" w:color="auto" w:fill="FFFFFF"/>
        <w:spacing w:after="0" w:line="312" w:lineRule="auto"/>
        <w:ind w:firstLine="709"/>
        <w:jc w:val="both"/>
        <w:rPr>
          <w:rFonts w:ascii="Times New Roman" w:eastAsia="Times New Roman" w:hAnsi="Times New Roman" w:cs="Times New Roman"/>
          <w:sz w:val="28"/>
          <w:szCs w:val="28"/>
          <w:lang w:bidi="ru-RU"/>
        </w:rPr>
      </w:pPr>
      <w:r w:rsidRPr="00BD5345">
        <w:rPr>
          <w:rFonts w:ascii="Times New Roman" w:eastAsia="Times New Roman" w:hAnsi="Times New Roman" w:cs="Times New Roman"/>
          <w:sz w:val="28"/>
          <w:szCs w:val="28"/>
          <w:lang w:bidi="ru-RU"/>
        </w:rPr>
        <w:t>В 2021 г</w:t>
      </w:r>
      <w:r w:rsidR="00857A86">
        <w:rPr>
          <w:rFonts w:ascii="Times New Roman" w:eastAsia="Times New Roman" w:hAnsi="Times New Roman" w:cs="Times New Roman"/>
          <w:sz w:val="28"/>
          <w:szCs w:val="28"/>
          <w:lang w:bidi="ru-RU"/>
        </w:rPr>
        <w:t>.</w:t>
      </w:r>
      <w:r w:rsidRPr="00BD5345">
        <w:rPr>
          <w:rFonts w:ascii="Times New Roman" w:eastAsia="Times New Roman" w:hAnsi="Times New Roman" w:cs="Times New Roman"/>
          <w:sz w:val="28"/>
          <w:szCs w:val="28"/>
          <w:lang w:bidi="ru-RU"/>
        </w:rPr>
        <w:t xml:space="preserve"> государственные субсидии получили 59 периодических печатных изданий для детской аудитории на общую сумму 36,7 млн рублей, среди них:</w:t>
      </w:r>
    </w:p>
    <w:p w14:paraId="29F05FFC" w14:textId="77777777" w:rsidR="00BD5345" w:rsidRPr="00BD5345" w:rsidRDefault="00BD5345" w:rsidP="00A21663">
      <w:pPr>
        <w:widowControl w:val="0"/>
        <w:shd w:val="clear" w:color="auto" w:fill="FFFFFF"/>
        <w:spacing w:after="0" w:line="312" w:lineRule="auto"/>
        <w:ind w:firstLine="709"/>
        <w:jc w:val="both"/>
        <w:rPr>
          <w:rFonts w:ascii="Times New Roman" w:eastAsia="Times New Roman" w:hAnsi="Times New Roman" w:cs="Times New Roman"/>
          <w:sz w:val="28"/>
          <w:szCs w:val="28"/>
          <w:lang w:bidi="ru-RU"/>
        </w:rPr>
      </w:pPr>
      <w:r w:rsidRPr="00BD5345">
        <w:rPr>
          <w:rFonts w:ascii="Times New Roman" w:eastAsia="Times New Roman" w:hAnsi="Times New Roman" w:cs="Times New Roman"/>
          <w:sz w:val="28"/>
          <w:szCs w:val="28"/>
          <w:lang w:bidi="ru-RU"/>
        </w:rPr>
        <w:t>журналы «А почему?», «</w:t>
      </w:r>
      <w:proofErr w:type="spellStart"/>
      <w:r w:rsidRPr="00BD5345">
        <w:rPr>
          <w:rFonts w:ascii="Times New Roman" w:eastAsia="Times New Roman" w:hAnsi="Times New Roman" w:cs="Times New Roman"/>
          <w:sz w:val="28"/>
          <w:szCs w:val="28"/>
          <w:lang w:bidi="ru-RU"/>
        </w:rPr>
        <w:t>Мурзилка</w:t>
      </w:r>
      <w:proofErr w:type="spellEnd"/>
      <w:r w:rsidRPr="00BD5345">
        <w:rPr>
          <w:rFonts w:ascii="Times New Roman" w:eastAsia="Times New Roman" w:hAnsi="Times New Roman" w:cs="Times New Roman"/>
          <w:sz w:val="28"/>
          <w:szCs w:val="28"/>
          <w:lang w:bidi="ru-RU"/>
        </w:rPr>
        <w:t>», «Веселый затейник», «Веселые уроки», «Детская энциклопедия», «Детское чтение для сердца и разума», «Мир техники для детей», «Отчего и почему», «</w:t>
      </w:r>
      <w:proofErr w:type="spellStart"/>
      <w:r w:rsidRPr="00BD5345">
        <w:rPr>
          <w:rFonts w:ascii="Times New Roman" w:eastAsia="Times New Roman" w:hAnsi="Times New Roman" w:cs="Times New Roman"/>
          <w:sz w:val="28"/>
          <w:szCs w:val="28"/>
          <w:lang w:bidi="ru-RU"/>
        </w:rPr>
        <w:t>Читайка</w:t>
      </w:r>
      <w:proofErr w:type="spellEnd"/>
      <w:r w:rsidRPr="00BD5345">
        <w:rPr>
          <w:rFonts w:ascii="Times New Roman" w:eastAsia="Times New Roman" w:hAnsi="Times New Roman" w:cs="Times New Roman"/>
          <w:sz w:val="28"/>
          <w:szCs w:val="28"/>
          <w:lang w:bidi="ru-RU"/>
        </w:rPr>
        <w:t>», «Чудеса и приключения –</w:t>
      </w:r>
      <w:r w:rsidR="003176AF" w:rsidRPr="00BD5345">
        <w:rPr>
          <w:rFonts w:ascii="Times New Roman" w:eastAsia="Times New Roman" w:hAnsi="Times New Roman" w:cs="Times New Roman"/>
          <w:sz w:val="28"/>
          <w:szCs w:val="28"/>
          <w:lang w:bidi="ru-RU"/>
        </w:rPr>
        <w:t> </w:t>
      </w:r>
      <w:r w:rsidRPr="00BD5345">
        <w:rPr>
          <w:rFonts w:ascii="Times New Roman" w:eastAsia="Times New Roman" w:hAnsi="Times New Roman" w:cs="Times New Roman"/>
          <w:sz w:val="28"/>
          <w:szCs w:val="28"/>
          <w:lang w:bidi="ru-RU"/>
        </w:rPr>
        <w:t>детям – ЧИП», «Юный техник», «Юный эрудит» (г. Москва), «</w:t>
      </w:r>
      <w:proofErr w:type="spellStart"/>
      <w:r w:rsidRPr="00BD5345">
        <w:rPr>
          <w:rFonts w:ascii="Times New Roman" w:eastAsia="Times New Roman" w:hAnsi="Times New Roman" w:cs="Times New Roman"/>
          <w:sz w:val="28"/>
          <w:szCs w:val="28"/>
          <w:lang w:bidi="ru-RU"/>
        </w:rPr>
        <w:t>Арманчыкъ</w:t>
      </w:r>
      <w:proofErr w:type="spellEnd"/>
      <w:r w:rsidRPr="00BD5345">
        <w:rPr>
          <w:rFonts w:ascii="Times New Roman" w:eastAsia="Times New Roman" w:hAnsi="Times New Roman" w:cs="Times New Roman"/>
          <w:sz w:val="28"/>
          <w:szCs w:val="28"/>
          <w:lang w:bidi="ru-RU"/>
        </w:rPr>
        <w:t>» (Республика Крым), «</w:t>
      </w:r>
      <w:proofErr w:type="spellStart"/>
      <w:r w:rsidRPr="00BD5345">
        <w:rPr>
          <w:rFonts w:ascii="Times New Roman" w:eastAsia="Times New Roman" w:hAnsi="Times New Roman" w:cs="Times New Roman"/>
          <w:sz w:val="28"/>
          <w:szCs w:val="28"/>
          <w:lang w:bidi="ru-RU"/>
        </w:rPr>
        <w:t>Аллюки</w:t>
      </w:r>
      <w:proofErr w:type="spellEnd"/>
      <w:r w:rsidRPr="00BD5345">
        <w:rPr>
          <w:rFonts w:ascii="Times New Roman" w:eastAsia="Times New Roman" w:hAnsi="Times New Roman" w:cs="Times New Roman"/>
          <w:sz w:val="28"/>
          <w:szCs w:val="28"/>
          <w:lang w:bidi="ru-RU"/>
        </w:rPr>
        <w:t xml:space="preserve"> (Колыбель)», «Аманат/Завет», «</w:t>
      </w:r>
      <w:proofErr w:type="spellStart"/>
      <w:r w:rsidRPr="00BD5345">
        <w:rPr>
          <w:rFonts w:ascii="Times New Roman" w:eastAsia="Times New Roman" w:hAnsi="Times New Roman" w:cs="Times New Roman"/>
          <w:sz w:val="28"/>
          <w:szCs w:val="28"/>
          <w:lang w:bidi="ru-RU"/>
        </w:rPr>
        <w:t>Акбузат</w:t>
      </w:r>
      <w:proofErr w:type="spellEnd"/>
      <w:r w:rsidRPr="00BD5345">
        <w:rPr>
          <w:rFonts w:ascii="Times New Roman" w:eastAsia="Times New Roman" w:hAnsi="Times New Roman" w:cs="Times New Roman"/>
          <w:sz w:val="28"/>
          <w:szCs w:val="28"/>
          <w:lang w:bidi="ru-RU"/>
        </w:rPr>
        <w:t>/Белая лошадка» (Республика Башкортостан), «Большая переменка», «Наш Филиппок» (Белгородская область), «</w:t>
      </w:r>
      <w:proofErr w:type="spellStart"/>
      <w:r w:rsidRPr="00BD5345">
        <w:rPr>
          <w:rFonts w:ascii="Times New Roman" w:eastAsia="Times New Roman" w:hAnsi="Times New Roman" w:cs="Times New Roman"/>
          <w:sz w:val="28"/>
          <w:szCs w:val="28"/>
          <w:lang w:bidi="ru-RU"/>
        </w:rPr>
        <w:t>Лэгъупыкъу</w:t>
      </w:r>
      <w:proofErr w:type="spellEnd"/>
      <w:r w:rsidRPr="00BD5345">
        <w:rPr>
          <w:rFonts w:ascii="Times New Roman" w:eastAsia="Times New Roman" w:hAnsi="Times New Roman" w:cs="Times New Roman"/>
          <w:sz w:val="28"/>
          <w:szCs w:val="28"/>
          <w:lang w:bidi="ru-RU"/>
        </w:rPr>
        <w:t xml:space="preserve"> (Радуга)» (Карачаево-Черкесская Республика), «</w:t>
      </w:r>
      <w:proofErr w:type="spellStart"/>
      <w:r w:rsidRPr="00BD5345">
        <w:rPr>
          <w:rFonts w:ascii="Times New Roman" w:eastAsia="Times New Roman" w:hAnsi="Times New Roman" w:cs="Times New Roman"/>
          <w:sz w:val="28"/>
          <w:szCs w:val="28"/>
          <w:lang w:bidi="ru-RU"/>
        </w:rPr>
        <w:t>Мурр</w:t>
      </w:r>
      <w:proofErr w:type="spellEnd"/>
      <w:r w:rsidRPr="00BD5345">
        <w:rPr>
          <w:rFonts w:ascii="Times New Roman" w:eastAsia="Times New Roman" w:hAnsi="Times New Roman" w:cs="Times New Roman"/>
          <w:sz w:val="28"/>
          <w:szCs w:val="28"/>
          <w:lang w:bidi="ru-RU"/>
        </w:rPr>
        <w:t>+» (Калининградская область), «Православная Радуга» (Самарская область) и др.;</w:t>
      </w:r>
    </w:p>
    <w:p w14:paraId="059F1C58" w14:textId="77777777" w:rsidR="00BD5345" w:rsidRPr="00BD5345" w:rsidRDefault="00BD5345" w:rsidP="00A21663">
      <w:pPr>
        <w:widowControl w:val="0"/>
        <w:shd w:val="clear" w:color="auto" w:fill="FFFFFF"/>
        <w:spacing w:after="0" w:line="312" w:lineRule="auto"/>
        <w:ind w:firstLine="709"/>
        <w:jc w:val="both"/>
        <w:rPr>
          <w:rFonts w:ascii="Times New Roman" w:eastAsia="Times New Roman" w:hAnsi="Times New Roman" w:cs="Times New Roman"/>
          <w:sz w:val="28"/>
          <w:szCs w:val="28"/>
          <w:lang w:bidi="ru-RU"/>
        </w:rPr>
      </w:pPr>
      <w:r w:rsidRPr="00BD5345">
        <w:rPr>
          <w:rFonts w:ascii="Times New Roman" w:eastAsia="Times New Roman" w:hAnsi="Times New Roman" w:cs="Times New Roman"/>
          <w:sz w:val="28"/>
          <w:szCs w:val="28"/>
          <w:lang w:bidi="ru-RU"/>
        </w:rPr>
        <w:t>газеты «Добрая Дорога Детства», «Мир детей и подростков», «</w:t>
      </w:r>
      <w:proofErr w:type="spellStart"/>
      <w:r w:rsidRPr="00BD5345">
        <w:rPr>
          <w:rFonts w:ascii="Times New Roman" w:eastAsia="Times New Roman" w:hAnsi="Times New Roman" w:cs="Times New Roman"/>
          <w:sz w:val="28"/>
          <w:szCs w:val="28"/>
          <w:lang w:bidi="ru-RU"/>
        </w:rPr>
        <w:t>ПониМашка</w:t>
      </w:r>
      <w:proofErr w:type="spellEnd"/>
      <w:r w:rsidRPr="00BD5345">
        <w:rPr>
          <w:rFonts w:ascii="Times New Roman" w:eastAsia="Times New Roman" w:hAnsi="Times New Roman" w:cs="Times New Roman"/>
          <w:sz w:val="28"/>
          <w:szCs w:val="28"/>
          <w:lang w:bidi="ru-RU"/>
        </w:rPr>
        <w:t>» (г. Москва), «Веснушка» (Белгородская область), «</w:t>
      </w:r>
      <w:proofErr w:type="spellStart"/>
      <w:r w:rsidRPr="00BD5345">
        <w:rPr>
          <w:rFonts w:ascii="Times New Roman" w:eastAsia="Times New Roman" w:hAnsi="Times New Roman" w:cs="Times New Roman"/>
          <w:sz w:val="28"/>
          <w:szCs w:val="28"/>
          <w:lang w:bidi="ru-RU"/>
        </w:rPr>
        <w:t>Йэншишма</w:t>
      </w:r>
      <w:proofErr w:type="spellEnd"/>
      <w:r w:rsidRPr="00BD5345">
        <w:rPr>
          <w:rFonts w:ascii="Times New Roman" w:eastAsia="Times New Roman" w:hAnsi="Times New Roman" w:cs="Times New Roman"/>
          <w:sz w:val="28"/>
          <w:szCs w:val="28"/>
          <w:lang w:bidi="ru-RU"/>
        </w:rPr>
        <w:t xml:space="preserve"> (Живой родник)» (Республика Башкортостан), «Колокольчик – на радость детям» (Республика Мордовия), «Маленькая страна – Калининград» (Калининградская область), «ПЕРЕМЕНА-Пермь» (Пермский край), «</w:t>
      </w:r>
      <w:proofErr w:type="spellStart"/>
      <w:r w:rsidRPr="00BD5345">
        <w:rPr>
          <w:rFonts w:ascii="Times New Roman" w:eastAsia="Times New Roman" w:hAnsi="Times New Roman" w:cs="Times New Roman"/>
          <w:sz w:val="28"/>
          <w:szCs w:val="28"/>
          <w:lang w:bidi="ru-RU"/>
        </w:rPr>
        <w:t>Ставроша</w:t>
      </w:r>
      <w:proofErr w:type="spellEnd"/>
      <w:r w:rsidRPr="00BD5345">
        <w:rPr>
          <w:rFonts w:ascii="Times New Roman" w:eastAsia="Times New Roman" w:hAnsi="Times New Roman" w:cs="Times New Roman"/>
          <w:sz w:val="28"/>
          <w:szCs w:val="28"/>
          <w:lang w:bidi="ru-RU"/>
        </w:rPr>
        <w:t>» (Самарская область) и др.</w:t>
      </w:r>
    </w:p>
    <w:p w14:paraId="440F0E9F" w14:textId="77777777" w:rsidR="00BD5345" w:rsidRPr="00BD5345" w:rsidRDefault="00BD5345" w:rsidP="00A21663">
      <w:pPr>
        <w:widowControl w:val="0"/>
        <w:shd w:val="clear" w:color="auto" w:fill="FFFFFF"/>
        <w:spacing w:after="0" w:line="312" w:lineRule="auto"/>
        <w:ind w:firstLine="709"/>
        <w:jc w:val="both"/>
        <w:rPr>
          <w:rFonts w:ascii="Times New Roman" w:eastAsia="Times New Roman" w:hAnsi="Times New Roman" w:cs="Times New Roman"/>
          <w:sz w:val="28"/>
          <w:szCs w:val="28"/>
          <w:lang w:bidi="ru-RU"/>
        </w:rPr>
      </w:pPr>
      <w:r w:rsidRPr="00BD5345">
        <w:rPr>
          <w:rFonts w:ascii="Times New Roman" w:eastAsia="Times New Roman" w:hAnsi="Times New Roman" w:cs="Times New Roman"/>
          <w:sz w:val="28"/>
          <w:szCs w:val="28"/>
          <w:lang w:bidi="ru-RU"/>
        </w:rPr>
        <w:t xml:space="preserve">Детские </w:t>
      </w:r>
      <w:r w:rsidR="003176AF">
        <w:rPr>
          <w:rFonts w:ascii="Times New Roman" w:eastAsia="Times New Roman" w:hAnsi="Times New Roman" w:cs="Times New Roman"/>
          <w:sz w:val="28"/>
          <w:szCs w:val="28"/>
          <w:lang w:bidi="ru-RU"/>
        </w:rPr>
        <w:t>средства массовой информации</w:t>
      </w:r>
      <w:r w:rsidRPr="00BD5345">
        <w:rPr>
          <w:rFonts w:ascii="Times New Roman" w:eastAsia="Times New Roman" w:hAnsi="Times New Roman" w:cs="Times New Roman"/>
          <w:sz w:val="28"/>
          <w:szCs w:val="28"/>
          <w:lang w:bidi="ru-RU"/>
        </w:rPr>
        <w:t>, получившие государственную поддержку в 2021 г</w:t>
      </w:r>
      <w:r w:rsidR="00857A86">
        <w:rPr>
          <w:rFonts w:ascii="Times New Roman" w:eastAsia="Times New Roman" w:hAnsi="Times New Roman" w:cs="Times New Roman"/>
          <w:sz w:val="28"/>
          <w:szCs w:val="28"/>
          <w:lang w:bidi="ru-RU"/>
        </w:rPr>
        <w:t>.</w:t>
      </w:r>
      <w:r w:rsidRPr="00BD5345">
        <w:rPr>
          <w:rFonts w:ascii="Times New Roman" w:eastAsia="Times New Roman" w:hAnsi="Times New Roman" w:cs="Times New Roman"/>
          <w:sz w:val="28"/>
          <w:szCs w:val="28"/>
          <w:lang w:bidi="ru-RU"/>
        </w:rPr>
        <w:t>, реализовали 75 социально значимых проектов, направленных на освещение значимых памятных дат в отечественной исто</w:t>
      </w:r>
      <w:r w:rsidR="005430C5">
        <w:rPr>
          <w:rFonts w:ascii="Times New Roman" w:eastAsia="Times New Roman" w:hAnsi="Times New Roman" w:cs="Times New Roman"/>
          <w:sz w:val="28"/>
          <w:szCs w:val="28"/>
          <w:lang w:bidi="ru-RU"/>
        </w:rPr>
        <w:t xml:space="preserve">рии и культуре, патриотическое </w:t>
      </w:r>
      <w:r w:rsidRPr="00BD5345">
        <w:rPr>
          <w:rFonts w:ascii="Times New Roman" w:eastAsia="Times New Roman" w:hAnsi="Times New Roman" w:cs="Times New Roman"/>
          <w:sz w:val="28"/>
          <w:szCs w:val="28"/>
          <w:lang w:bidi="ru-RU"/>
        </w:rPr>
        <w:t>и духовно-нравственное, экологическое воспитание подрастающего поколения, пропаганду «читающего образа жизни», здорового образа жизни, физкультуры и спорта и др.</w:t>
      </w:r>
    </w:p>
    <w:p w14:paraId="10B0BB83" w14:textId="77777777" w:rsidR="00BD5345" w:rsidRPr="00BD5345" w:rsidRDefault="00BD5345" w:rsidP="00A21663">
      <w:pPr>
        <w:shd w:val="clear" w:color="auto" w:fill="FFFFFF"/>
        <w:spacing w:after="0" w:line="312" w:lineRule="auto"/>
        <w:ind w:firstLine="709"/>
        <w:jc w:val="both"/>
        <w:rPr>
          <w:rFonts w:ascii="Times New Roman" w:eastAsia="Times New Roman" w:hAnsi="Times New Roman" w:cs="Times New Roman"/>
          <w:sz w:val="28"/>
          <w:szCs w:val="28"/>
          <w:lang w:bidi="ru-RU"/>
        </w:rPr>
      </w:pPr>
      <w:r w:rsidRPr="00BD5345">
        <w:rPr>
          <w:rFonts w:ascii="Times New Roman" w:eastAsia="Times New Roman" w:hAnsi="Times New Roman" w:cs="Times New Roman"/>
          <w:sz w:val="28"/>
          <w:szCs w:val="28"/>
          <w:lang w:bidi="ru-RU"/>
        </w:rPr>
        <w:t>Темы «Информационное освещение мероприятий в рамках Десятилетия детства, пропаганда «читающего образа жизни», возвращение в массовое сознание культуры чтения, возрождение потребности общения с книгой, в том числе электронной» и «Укрепление института семьи, защита детства, пропаганда многодетности, опекунства, попечительства, усыновления детей-сирот, развитие различных форм детских дошкольных учреждений» включены в перечень приоритетных для оказания государственной поддержки организациям в сфере периодической печати.</w:t>
      </w:r>
    </w:p>
    <w:p w14:paraId="67164A95" w14:textId="77777777" w:rsidR="00BD5345" w:rsidRPr="00BD5345" w:rsidRDefault="00BD5345" w:rsidP="00A21663">
      <w:pPr>
        <w:widowControl w:val="0"/>
        <w:shd w:val="clear" w:color="auto" w:fill="FFFFFF"/>
        <w:spacing w:after="0" w:line="312" w:lineRule="auto"/>
        <w:ind w:firstLine="709"/>
        <w:jc w:val="both"/>
        <w:rPr>
          <w:rFonts w:ascii="Times New Roman" w:eastAsia="Times New Roman" w:hAnsi="Times New Roman" w:cs="Times New Roman"/>
          <w:sz w:val="28"/>
          <w:szCs w:val="28"/>
          <w:lang w:bidi="ru-RU"/>
        </w:rPr>
      </w:pPr>
      <w:r w:rsidRPr="00BD5345">
        <w:rPr>
          <w:rFonts w:ascii="Times New Roman" w:eastAsia="Times New Roman" w:hAnsi="Times New Roman" w:cs="Times New Roman"/>
          <w:sz w:val="28"/>
          <w:szCs w:val="28"/>
          <w:lang w:bidi="ru-RU"/>
        </w:rPr>
        <w:t xml:space="preserve">Государственную поддержку получили 115 </w:t>
      </w:r>
      <w:r w:rsidR="002E5BBE">
        <w:rPr>
          <w:rFonts w:ascii="Times New Roman" w:eastAsia="Times New Roman" w:hAnsi="Times New Roman" w:cs="Times New Roman"/>
          <w:sz w:val="28"/>
          <w:szCs w:val="28"/>
          <w:lang w:bidi="ru-RU"/>
        </w:rPr>
        <w:t>проектов по указанным тематикам</w:t>
      </w:r>
      <w:r w:rsidRPr="00BD5345">
        <w:rPr>
          <w:rFonts w:ascii="Times New Roman" w:eastAsia="Times New Roman" w:hAnsi="Times New Roman" w:cs="Times New Roman"/>
          <w:sz w:val="28"/>
          <w:szCs w:val="28"/>
          <w:lang w:bidi="ru-RU"/>
        </w:rPr>
        <w:t xml:space="preserve"> на общую сумму более 46,2 млн рублей, в их числе проекты «Семейное чтение сближает поколения» журн</w:t>
      </w:r>
      <w:r w:rsidR="005430C5">
        <w:rPr>
          <w:rFonts w:ascii="Times New Roman" w:eastAsia="Times New Roman" w:hAnsi="Times New Roman" w:cs="Times New Roman"/>
          <w:sz w:val="28"/>
          <w:szCs w:val="28"/>
          <w:lang w:bidi="ru-RU"/>
        </w:rPr>
        <w:t xml:space="preserve">ала «Детское чтение для сердца </w:t>
      </w:r>
      <w:r w:rsidRPr="00BD5345">
        <w:rPr>
          <w:rFonts w:ascii="Times New Roman" w:eastAsia="Times New Roman" w:hAnsi="Times New Roman" w:cs="Times New Roman"/>
          <w:sz w:val="28"/>
          <w:szCs w:val="28"/>
          <w:lang w:bidi="ru-RU"/>
        </w:rPr>
        <w:t xml:space="preserve">и разума» (г. Москва), «Десятилетие детства. </w:t>
      </w:r>
      <w:proofErr w:type="spellStart"/>
      <w:r w:rsidRPr="00BD5345">
        <w:rPr>
          <w:rFonts w:ascii="Times New Roman" w:eastAsia="Times New Roman" w:hAnsi="Times New Roman" w:cs="Times New Roman"/>
          <w:sz w:val="28"/>
          <w:szCs w:val="28"/>
          <w:lang w:bidi="ru-RU"/>
        </w:rPr>
        <w:t>Кашинский</w:t>
      </w:r>
      <w:proofErr w:type="spellEnd"/>
      <w:r w:rsidRPr="00BD5345">
        <w:rPr>
          <w:rFonts w:ascii="Times New Roman" w:eastAsia="Times New Roman" w:hAnsi="Times New Roman" w:cs="Times New Roman"/>
          <w:sz w:val="28"/>
          <w:szCs w:val="28"/>
          <w:lang w:bidi="ru-RU"/>
        </w:rPr>
        <w:t xml:space="preserve"> вариант» газеты «</w:t>
      </w:r>
      <w:proofErr w:type="spellStart"/>
      <w:r w:rsidRPr="00BD5345">
        <w:rPr>
          <w:rFonts w:ascii="Times New Roman" w:eastAsia="Times New Roman" w:hAnsi="Times New Roman" w:cs="Times New Roman"/>
          <w:sz w:val="28"/>
          <w:szCs w:val="28"/>
          <w:lang w:bidi="ru-RU"/>
        </w:rPr>
        <w:t>Кашинская</w:t>
      </w:r>
      <w:proofErr w:type="spellEnd"/>
      <w:r w:rsidRPr="00BD5345">
        <w:rPr>
          <w:rFonts w:ascii="Times New Roman" w:eastAsia="Times New Roman" w:hAnsi="Times New Roman" w:cs="Times New Roman"/>
          <w:sz w:val="28"/>
          <w:szCs w:val="28"/>
          <w:lang w:bidi="ru-RU"/>
        </w:rPr>
        <w:t xml:space="preserve"> газета» (Тверская область), «Маленький гражданин – интеллектуальный потенциал России» газеты «Пять плюс» (Московская область), «Семья – это мост между прошлыми и будущими поколениями» газеты «Алга» (Республика Башкортостан), «Семейные саги и реликвии. Как история рода помогает укрепить семью и страну» газеты «Аргументы и факты Юг» (Краснодарский край), «Сильная семья – сильная Россия» газеты «Возрождение» (Республика Мордовия), «Древо жизни: семейная летопись» газеты «</w:t>
      </w:r>
      <w:proofErr w:type="spellStart"/>
      <w:r w:rsidRPr="00BD5345">
        <w:rPr>
          <w:rFonts w:ascii="Times New Roman" w:eastAsia="Times New Roman" w:hAnsi="Times New Roman" w:cs="Times New Roman"/>
          <w:sz w:val="28"/>
          <w:szCs w:val="28"/>
          <w:lang w:bidi="ru-RU"/>
        </w:rPr>
        <w:t>Карталинская</w:t>
      </w:r>
      <w:proofErr w:type="spellEnd"/>
      <w:r w:rsidRPr="00BD5345">
        <w:rPr>
          <w:rFonts w:ascii="Times New Roman" w:eastAsia="Times New Roman" w:hAnsi="Times New Roman" w:cs="Times New Roman"/>
          <w:sz w:val="28"/>
          <w:szCs w:val="28"/>
          <w:lang w:bidi="ru-RU"/>
        </w:rPr>
        <w:t xml:space="preserve"> новь» (Челябинская область), «Читай! Рассуждай! Будь!» газеты «Будь готов» (</w:t>
      </w:r>
      <w:proofErr w:type="spellStart"/>
      <w:r w:rsidRPr="00BD5345">
        <w:rPr>
          <w:rFonts w:ascii="Times New Roman" w:eastAsia="Times New Roman" w:hAnsi="Times New Roman" w:cs="Times New Roman"/>
          <w:sz w:val="28"/>
          <w:szCs w:val="28"/>
          <w:lang w:bidi="ru-RU"/>
        </w:rPr>
        <w:t>Ямделий</w:t>
      </w:r>
      <w:proofErr w:type="spellEnd"/>
      <w:r w:rsidRPr="00BD5345">
        <w:rPr>
          <w:rFonts w:ascii="Times New Roman" w:eastAsia="Times New Roman" w:hAnsi="Times New Roman" w:cs="Times New Roman"/>
          <w:sz w:val="28"/>
          <w:szCs w:val="28"/>
          <w:lang w:bidi="ru-RU"/>
        </w:rPr>
        <w:t>) (Республика Марий Эл), «Растет семья – растет страна. Золотое десятилетие детства» газеты «</w:t>
      </w:r>
      <w:proofErr w:type="spellStart"/>
      <w:r w:rsidRPr="00BD5345">
        <w:rPr>
          <w:rFonts w:ascii="Times New Roman" w:eastAsia="Times New Roman" w:hAnsi="Times New Roman" w:cs="Times New Roman"/>
          <w:sz w:val="28"/>
          <w:szCs w:val="28"/>
          <w:lang w:bidi="ru-RU"/>
        </w:rPr>
        <w:t>Сандовские</w:t>
      </w:r>
      <w:proofErr w:type="spellEnd"/>
      <w:r w:rsidRPr="00BD5345">
        <w:rPr>
          <w:rFonts w:ascii="Times New Roman" w:eastAsia="Times New Roman" w:hAnsi="Times New Roman" w:cs="Times New Roman"/>
          <w:sz w:val="28"/>
          <w:szCs w:val="28"/>
          <w:lang w:bidi="ru-RU"/>
        </w:rPr>
        <w:t xml:space="preserve"> вести» (Тверская область), «Десятилетие детства: счастливые дети – счастливая страна» газеты «Степная новь» (Алтайский край); проект «Мир начинается с детства» газеты «Авангард» (Ростовская область), «Семейным ценностям – государственную значимость» газеты «</w:t>
      </w:r>
      <w:proofErr w:type="spellStart"/>
      <w:r w:rsidRPr="00BD5345">
        <w:rPr>
          <w:rFonts w:ascii="Times New Roman" w:eastAsia="Times New Roman" w:hAnsi="Times New Roman" w:cs="Times New Roman"/>
          <w:sz w:val="28"/>
          <w:szCs w:val="28"/>
          <w:lang w:bidi="ru-RU"/>
        </w:rPr>
        <w:t>Армизонский</w:t>
      </w:r>
      <w:proofErr w:type="spellEnd"/>
      <w:r w:rsidRPr="00BD5345">
        <w:rPr>
          <w:rFonts w:ascii="Times New Roman" w:eastAsia="Times New Roman" w:hAnsi="Times New Roman" w:cs="Times New Roman"/>
          <w:sz w:val="28"/>
          <w:szCs w:val="28"/>
          <w:lang w:bidi="ru-RU"/>
        </w:rPr>
        <w:t xml:space="preserve"> вестник» (Тюменская область), «Пусть мама придет» газеты «Городские новости» (Ярославская область), «Поддержка семьи, женщин, вопросы демографии» газеты «Мещерская сторона» (Рязанская область) и др.</w:t>
      </w:r>
    </w:p>
    <w:p w14:paraId="5D382698" w14:textId="77777777" w:rsidR="00BD5345" w:rsidRPr="00BD5345" w:rsidRDefault="00BD5345" w:rsidP="00A21663">
      <w:pPr>
        <w:widowControl w:val="0"/>
        <w:shd w:val="clear" w:color="auto" w:fill="FFFFFF"/>
        <w:spacing w:after="0" w:line="312" w:lineRule="auto"/>
        <w:ind w:firstLine="709"/>
        <w:jc w:val="both"/>
        <w:rPr>
          <w:rFonts w:ascii="Times New Roman" w:eastAsia="Times New Roman" w:hAnsi="Times New Roman" w:cs="Times New Roman"/>
          <w:sz w:val="28"/>
          <w:szCs w:val="28"/>
          <w:lang w:bidi="ru-RU"/>
        </w:rPr>
      </w:pPr>
      <w:r w:rsidRPr="00BD5345">
        <w:rPr>
          <w:rFonts w:ascii="Times New Roman" w:eastAsia="Times New Roman" w:hAnsi="Times New Roman" w:cs="Times New Roman"/>
          <w:sz w:val="28"/>
          <w:szCs w:val="28"/>
          <w:lang w:bidi="ru-RU"/>
        </w:rPr>
        <w:t>В 2021 г</w:t>
      </w:r>
      <w:r w:rsidR="00857A86">
        <w:rPr>
          <w:rFonts w:ascii="Times New Roman" w:eastAsia="Times New Roman" w:hAnsi="Times New Roman" w:cs="Times New Roman"/>
          <w:sz w:val="28"/>
          <w:szCs w:val="28"/>
          <w:lang w:bidi="ru-RU"/>
        </w:rPr>
        <w:t>.</w:t>
      </w:r>
      <w:r w:rsidRPr="00BD5345">
        <w:rPr>
          <w:rFonts w:ascii="Times New Roman" w:eastAsia="Times New Roman" w:hAnsi="Times New Roman" w:cs="Times New Roman"/>
          <w:sz w:val="28"/>
          <w:szCs w:val="28"/>
          <w:lang w:bidi="ru-RU"/>
        </w:rPr>
        <w:t xml:space="preserve"> Минцифры России подд</w:t>
      </w:r>
      <w:r w:rsidR="005430C5">
        <w:rPr>
          <w:rFonts w:ascii="Times New Roman" w:eastAsia="Times New Roman" w:hAnsi="Times New Roman" w:cs="Times New Roman"/>
          <w:sz w:val="28"/>
          <w:szCs w:val="28"/>
          <w:lang w:bidi="ru-RU"/>
        </w:rPr>
        <w:t xml:space="preserve">ержано 10 проектов для детской </w:t>
      </w:r>
      <w:r w:rsidRPr="00BD5345">
        <w:rPr>
          <w:rFonts w:ascii="Times New Roman" w:eastAsia="Times New Roman" w:hAnsi="Times New Roman" w:cs="Times New Roman"/>
          <w:sz w:val="28"/>
          <w:szCs w:val="28"/>
          <w:lang w:bidi="ru-RU"/>
        </w:rPr>
        <w:t>и молодежной аудитории в области электронных средств массовой информации на общую сумму 36 млн рублей, среди них гуманитарная олимпиада для старшеклассников «Умницы и умники» (АО «Первый канал»), телепрограмма «Спокойной ночи, малыши!» (ФГУП «ВГТРК»), телепрограммы региональных компаний «Великолепная пятерка» (г. Улан-Удэ); «Тин-клуб» (г. Пенза); «Давай Дружить» (г. Казань); интернет-сайты</w:t>
      </w:r>
      <w:r w:rsidR="00D21555">
        <w:rPr>
          <w:rFonts w:ascii="Times New Roman" w:eastAsia="Times New Roman" w:hAnsi="Times New Roman" w:cs="Times New Roman"/>
          <w:sz w:val="28"/>
          <w:szCs w:val="28"/>
          <w:lang w:bidi="ru-RU"/>
        </w:rPr>
        <w:t>:</w:t>
      </w:r>
      <w:r w:rsidRPr="00BD5345">
        <w:rPr>
          <w:rFonts w:ascii="Times New Roman" w:eastAsia="Times New Roman" w:hAnsi="Times New Roman" w:cs="Times New Roman"/>
          <w:sz w:val="28"/>
          <w:szCs w:val="28"/>
          <w:lang w:bidi="ru-RU"/>
        </w:rPr>
        <w:t xml:space="preserve"> </w:t>
      </w:r>
      <w:r w:rsidRPr="00241FCA">
        <w:rPr>
          <w:rFonts w:ascii="Times New Roman" w:eastAsia="Times New Roman" w:hAnsi="Times New Roman" w:cs="Times New Roman"/>
          <w:sz w:val="28"/>
          <w:szCs w:val="28"/>
          <w:lang w:bidi="ru-RU"/>
        </w:rPr>
        <w:t>ww.murzilka.org,</w:t>
      </w:r>
      <w:r w:rsidR="00D21555" w:rsidRPr="00BD5345">
        <w:rPr>
          <w:rFonts w:ascii="Times New Roman" w:eastAsia="Times New Roman" w:hAnsi="Times New Roman" w:cs="Times New Roman"/>
          <w:sz w:val="28"/>
          <w:szCs w:val="28"/>
        </w:rPr>
        <w:t> </w:t>
      </w:r>
      <w:hyperlink r:id="rId36" w:history="1">
        <w:r w:rsidRPr="00241FCA">
          <w:rPr>
            <w:rFonts w:ascii="Times New Roman" w:eastAsia="Times New Roman" w:hAnsi="Times New Roman" w:cs="Times New Roman"/>
            <w:sz w:val="28"/>
            <w:szCs w:val="28"/>
            <w:lang w:bidi="ru-RU"/>
          </w:rPr>
          <w:t>www.classmag.ru</w:t>
        </w:r>
      </w:hyperlink>
      <w:r w:rsidRPr="00BD5345">
        <w:rPr>
          <w:rFonts w:ascii="Times New Roman" w:eastAsia="Times New Roman" w:hAnsi="Times New Roman" w:cs="Times New Roman"/>
          <w:sz w:val="28"/>
          <w:szCs w:val="28"/>
          <w:lang w:bidi="ru-RU"/>
        </w:rPr>
        <w:t>.</w:t>
      </w:r>
    </w:p>
    <w:p w14:paraId="4E2D87B5" w14:textId="77777777" w:rsidR="00BD5345" w:rsidRPr="00BD5345" w:rsidRDefault="00BD5345" w:rsidP="00A21663">
      <w:pPr>
        <w:shd w:val="clear" w:color="auto" w:fill="FFFFFF"/>
        <w:spacing w:after="0" w:line="312" w:lineRule="auto"/>
        <w:ind w:firstLine="709"/>
        <w:jc w:val="both"/>
        <w:rPr>
          <w:rFonts w:ascii="Times New Roman" w:eastAsia="Times New Roman" w:hAnsi="Times New Roman" w:cs="Times New Roman"/>
          <w:sz w:val="28"/>
          <w:szCs w:val="28"/>
          <w:lang w:bidi="ru-RU"/>
        </w:rPr>
      </w:pPr>
      <w:r w:rsidRPr="00BD5345">
        <w:rPr>
          <w:rFonts w:ascii="Times New Roman" w:eastAsia="Times New Roman" w:hAnsi="Times New Roman" w:cs="Times New Roman"/>
          <w:sz w:val="28"/>
          <w:szCs w:val="28"/>
          <w:lang w:bidi="ru-RU"/>
        </w:rPr>
        <w:t xml:space="preserve">Государственная поддержка из средств федерального бюджета в размере </w:t>
      </w:r>
      <w:r w:rsidR="00D21555">
        <w:rPr>
          <w:rFonts w:ascii="Times New Roman" w:eastAsia="Times New Roman" w:hAnsi="Times New Roman" w:cs="Times New Roman"/>
          <w:sz w:val="28"/>
          <w:szCs w:val="28"/>
          <w:lang w:bidi="ru-RU"/>
        </w:rPr>
        <w:br/>
      </w:r>
      <w:r w:rsidRPr="00BD5345">
        <w:rPr>
          <w:rFonts w:ascii="Times New Roman" w:eastAsia="Times New Roman" w:hAnsi="Times New Roman" w:cs="Times New Roman"/>
          <w:sz w:val="28"/>
          <w:szCs w:val="28"/>
          <w:lang w:bidi="ru-RU"/>
        </w:rPr>
        <w:t>6,1 млн рублей выделена на производство 11 проектов, направленных на сохранение семейных ценностей, поддержку материнства и детства, в числе которых телепрограммы «Я жду тебя, мама!», «Школа родителей доктора Козловой» (г. Смоленск), «Здоровая семья: мама, папа и я» (г. Казань), радиопрограммы «Родительский вопрос» (радио «Комсомольская правда»), «Современная семья: сохраняя и преумножая», «Страна без сирот» (радио «РАДОНЕЖ»), интернет-портал «НЯНЯ.РУ» и др.</w:t>
      </w:r>
    </w:p>
    <w:p w14:paraId="43BC1993" w14:textId="77777777" w:rsidR="00BD5345" w:rsidRPr="00BD5345" w:rsidRDefault="00BD5345" w:rsidP="00A21663">
      <w:pPr>
        <w:shd w:val="clear" w:color="auto" w:fill="FFFFFF"/>
        <w:spacing w:after="0" w:line="312" w:lineRule="auto"/>
        <w:ind w:firstLine="709"/>
        <w:jc w:val="both"/>
        <w:rPr>
          <w:rFonts w:ascii="Times New Roman" w:eastAsia="Times New Roman" w:hAnsi="Times New Roman" w:cs="Times New Roman"/>
          <w:sz w:val="28"/>
          <w:szCs w:val="28"/>
          <w:lang w:bidi="ru-RU"/>
        </w:rPr>
      </w:pPr>
      <w:r w:rsidRPr="00BD5345">
        <w:rPr>
          <w:rFonts w:ascii="Times New Roman" w:eastAsia="Times New Roman" w:hAnsi="Times New Roman" w:cs="Times New Roman"/>
          <w:sz w:val="28"/>
          <w:szCs w:val="28"/>
          <w:lang w:bidi="ru-RU"/>
        </w:rPr>
        <w:t xml:space="preserve">В соответствии с распоряжением Правительства Российской Федерации </w:t>
      </w:r>
      <w:r w:rsidR="00A11D00">
        <w:rPr>
          <w:rFonts w:ascii="Times New Roman" w:eastAsia="Times New Roman" w:hAnsi="Times New Roman" w:cs="Times New Roman"/>
          <w:sz w:val="28"/>
          <w:szCs w:val="28"/>
          <w:lang w:bidi="ru-RU"/>
        </w:rPr>
        <w:br/>
      </w:r>
      <w:r w:rsidRPr="00BD5345">
        <w:rPr>
          <w:rFonts w:ascii="Times New Roman" w:eastAsia="Times New Roman" w:hAnsi="Times New Roman" w:cs="Times New Roman"/>
          <w:sz w:val="28"/>
          <w:szCs w:val="28"/>
          <w:lang w:bidi="ru-RU"/>
        </w:rPr>
        <w:t>от 17 декабря 2021 г. № 3670-р в 2021 г</w:t>
      </w:r>
      <w:r w:rsidR="0088423A">
        <w:rPr>
          <w:rFonts w:ascii="Times New Roman" w:eastAsia="Times New Roman" w:hAnsi="Times New Roman" w:cs="Times New Roman"/>
          <w:sz w:val="28"/>
          <w:szCs w:val="28"/>
          <w:lang w:bidi="ru-RU"/>
        </w:rPr>
        <w:t>.</w:t>
      </w:r>
      <w:r w:rsidRPr="00BD5345">
        <w:rPr>
          <w:rFonts w:ascii="Times New Roman" w:eastAsia="Times New Roman" w:hAnsi="Times New Roman" w:cs="Times New Roman"/>
          <w:sz w:val="28"/>
          <w:szCs w:val="28"/>
          <w:lang w:bidi="ru-RU"/>
        </w:rPr>
        <w:t xml:space="preserve"> лауреатами премий Правительства Российской Федерации в области </w:t>
      </w:r>
      <w:r w:rsidRPr="00A11D00">
        <w:rPr>
          <w:rFonts w:ascii="Times New Roman" w:eastAsia="Times New Roman" w:hAnsi="Times New Roman" w:cs="Times New Roman"/>
          <w:sz w:val="28"/>
          <w:szCs w:val="28"/>
          <w:lang w:bidi="ru-RU"/>
        </w:rPr>
        <w:t>средств массовой информации</w:t>
      </w:r>
      <w:r w:rsidRPr="00BD5345">
        <w:rPr>
          <w:rFonts w:ascii="Times New Roman" w:eastAsia="Times New Roman" w:hAnsi="Times New Roman" w:cs="Times New Roman"/>
          <w:sz w:val="28"/>
          <w:szCs w:val="28"/>
          <w:lang w:bidi="ru-RU"/>
        </w:rPr>
        <w:t xml:space="preserve"> стали главный редактор журнала для детей «</w:t>
      </w:r>
      <w:proofErr w:type="spellStart"/>
      <w:r w:rsidRPr="00BD5345">
        <w:rPr>
          <w:rFonts w:ascii="Times New Roman" w:eastAsia="Times New Roman" w:hAnsi="Times New Roman" w:cs="Times New Roman"/>
          <w:sz w:val="28"/>
          <w:szCs w:val="28"/>
          <w:lang w:bidi="ru-RU"/>
        </w:rPr>
        <w:t>Чердобряк</w:t>
      </w:r>
      <w:proofErr w:type="spellEnd"/>
      <w:r w:rsidRPr="00BD5345">
        <w:rPr>
          <w:rFonts w:ascii="Times New Roman" w:eastAsia="Times New Roman" w:hAnsi="Times New Roman" w:cs="Times New Roman"/>
          <w:sz w:val="28"/>
          <w:szCs w:val="28"/>
          <w:lang w:bidi="ru-RU"/>
        </w:rPr>
        <w:t>» М</w:t>
      </w:r>
      <w:r w:rsidR="0088423A">
        <w:rPr>
          <w:rFonts w:ascii="Times New Roman" w:eastAsia="Times New Roman" w:hAnsi="Times New Roman" w:cs="Times New Roman"/>
          <w:sz w:val="28"/>
          <w:szCs w:val="28"/>
          <w:lang w:bidi="ru-RU"/>
        </w:rPr>
        <w:t>.А. </w:t>
      </w:r>
      <w:proofErr w:type="spellStart"/>
      <w:r w:rsidR="0088423A">
        <w:rPr>
          <w:rFonts w:ascii="Times New Roman" w:eastAsia="Times New Roman" w:hAnsi="Times New Roman" w:cs="Times New Roman"/>
          <w:sz w:val="28"/>
          <w:szCs w:val="28"/>
          <w:lang w:bidi="ru-RU"/>
        </w:rPr>
        <w:t>Танцырева</w:t>
      </w:r>
      <w:proofErr w:type="spellEnd"/>
      <w:r w:rsidR="0088423A">
        <w:rPr>
          <w:rFonts w:ascii="Times New Roman" w:eastAsia="Times New Roman" w:hAnsi="Times New Roman" w:cs="Times New Roman"/>
          <w:sz w:val="28"/>
          <w:szCs w:val="28"/>
          <w:lang w:bidi="ru-RU"/>
        </w:rPr>
        <w:t xml:space="preserve"> (за формирование </w:t>
      </w:r>
      <w:r w:rsidRPr="00BD5345">
        <w:rPr>
          <w:rFonts w:ascii="Times New Roman" w:eastAsia="Times New Roman" w:hAnsi="Times New Roman" w:cs="Times New Roman"/>
          <w:sz w:val="28"/>
          <w:szCs w:val="28"/>
          <w:lang w:bidi="ru-RU"/>
        </w:rPr>
        <w:t xml:space="preserve">у детей любви к чтению и русскому языку, открытие для детей многообразия литературных и художественных форм), а также коллектив ООО «Пять углов» (за создание и развитие сайта для старшеклассников </w:t>
      </w:r>
      <w:r w:rsidRPr="00BD5345">
        <w:rPr>
          <w:rFonts w:ascii="Times New Roman" w:eastAsia="Times New Roman" w:hAnsi="Times New Roman" w:cs="Times New Roman"/>
          <w:sz w:val="28"/>
          <w:szCs w:val="28"/>
        </w:rPr>
        <w:t>5</w:t>
      </w:r>
      <w:r w:rsidRPr="00BD5345">
        <w:rPr>
          <w:rFonts w:ascii="Times New Roman" w:eastAsia="Times New Roman" w:hAnsi="Times New Roman" w:cs="Times New Roman"/>
          <w:sz w:val="28"/>
          <w:szCs w:val="28"/>
          <w:lang w:bidi="en-US"/>
        </w:rPr>
        <w:t>uglov</w:t>
      </w:r>
      <w:r w:rsidRPr="00BD5345">
        <w:rPr>
          <w:rFonts w:ascii="Times New Roman" w:eastAsia="Times New Roman" w:hAnsi="Times New Roman" w:cs="Times New Roman"/>
          <w:sz w:val="28"/>
          <w:szCs w:val="28"/>
        </w:rPr>
        <w:t>.</w:t>
      </w:r>
      <w:r w:rsidRPr="00BD5345">
        <w:rPr>
          <w:rFonts w:ascii="Times New Roman" w:eastAsia="Times New Roman" w:hAnsi="Times New Roman" w:cs="Times New Roman"/>
          <w:sz w:val="28"/>
          <w:szCs w:val="28"/>
          <w:lang w:bidi="en-US"/>
        </w:rPr>
        <w:t>ru</w:t>
      </w:r>
      <w:r w:rsidRPr="00BD5345">
        <w:rPr>
          <w:rFonts w:ascii="Times New Roman" w:eastAsia="Times New Roman" w:hAnsi="Times New Roman" w:cs="Times New Roman"/>
          <w:sz w:val="28"/>
          <w:szCs w:val="28"/>
        </w:rPr>
        <w:t xml:space="preserve">, </w:t>
      </w:r>
      <w:r w:rsidRPr="00BD5345">
        <w:rPr>
          <w:rFonts w:ascii="Times New Roman" w:eastAsia="Times New Roman" w:hAnsi="Times New Roman" w:cs="Times New Roman"/>
          <w:sz w:val="28"/>
          <w:szCs w:val="28"/>
          <w:lang w:bidi="ru-RU"/>
        </w:rPr>
        <w:t>поддержку творческой молодежи).</w:t>
      </w:r>
    </w:p>
    <w:p w14:paraId="222DE8AE" w14:textId="77777777" w:rsidR="00D03A4F" w:rsidRP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p>
    <w:p w14:paraId="5644319A" w14:textId="77777777"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rsidSect="009C0CC8">
          <w:pgSz w:w="11906" w:h="16838"/>
          <w:pgMar w:top="1134" w:right="567" w:bottom="1134" w:left="1134" w:header="708" w:footer="708" w:gutter="0"/>
          <w:cols w:space="708"/>
          <w:docGrid w:linePitch="360"/>
        </w:sectPr>
      </w:pPr>
    </w:p>
    <w:p w14:paraId="112FCB59" w14:textId="77777777" w:rsidR="00D03A4F" w:rsidRDefault="00D03A4F" w:rsidP="00D03A4F">
      <w:pPr>
        <w:spacing w:after="0" w:line="240" w:lineRule="auto"/>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 xml:space="preserve">12. ПОЛОЖЕНИЕ </w:t>
      </w:r>
      <w:r w:rsidR="00F136F9">
        <w:rPr>
          <w:rFonts w:ascii="Times New Roman" w:eastAsia="Times New Roman" w:hAnsi="Times New Roman" w:cs="Times New Roman"/>
          <w:b/>
          <w:sz w:val="28"/>
          <w:szCs w:val="28"/>
          <w:lang w:eastAsia="ru-RU"/>
        </w:rPr>
        <w:t>НЕСОВЕРШЕННОЛЕТНИХ, НАХОДЯЩИХСЯ</w:t>
      </w:r>
      <w:r w:rsidR="00F136F9">
        <w:rPr>
          <w:rFonts w:ascii="Times New Roman" w:eastAsia="Times New Roman" w:hAnsi="Times New Roman" w:cs="Times New Roman"/>
          <w:b/>
          <w:sz w:val="28"/>
          <w:szCs w:val="28"/>
          <w:lang w:eastAsia="ru-RU"/>
        </w:rPr>
        <w:br/>
      </w:r>
      <w:r w:rsidRPr="00D03A4F">
        <w:rPr>
          <w:rFonts w:ascii="Times New Roman" w:eastAsia="Times New Roman" w:hAnsi="Times New Roman" w:cs="Times New Roman"/>
          <w:b/>
          <w:sz w:val="28"/>
          <w:szCs w:val="28"/>
          <w:lang w:eastAsia="ru-RU"/>
        </w:rPr>
        <w:t>В СПЕЦИАЛЬНЫХ УЧЕБНО-ВОСПИТАТЕЛЬНЫХ УЧРЕЖДЕНИЯХ ДЛЯ ОБУЧАЮЩИХСЯ С ДЕВИАНТНЫМ (</w:t>
      </w:r>
      <w:r w:rsidRPr="0027146D">
        <w:rPr>
          <w:rFonts w:ascii="Times New Roman" w:eastAsia="Times New Roman" w:hAnsi="Times New Roman" w:cs="Times New Roman"/>
          <w:b/>
          <w:sz w:val="28"/>
          <w:szCs w:val="28"/>
          <w:lang w:eastAsia="ru-RU"/>
        </w:rPr>
        <w:t>ОБЩЕСТВЕННО ОПАСНЫМ)</w:t>
      </w:r>
      <w:r w:rsidRPr="00D03A4F">
        <w:rPr>
          <w:rFonts w:ascii="Times New Roman" w:eastAsia="Times New Roman" w:hAnsi="Times New Roman" w:cs="Times New Roman"/>
          <w:b/>
          <w:sz w:val="28"/>
          <w:szCs w:val="28"/>
          <w:lang w:eastAsia="ru-RU"/>
        </w:rPr>
        <w:t xml:space="preserve"> ПОВЕДЕНИЕМ</w:t>
      </w:r>
    </w:p>
    <w:p w14:paraId="7198C61C" w14:textId="77777777" w:rsidR="00F942C6" w:rsidRDefault="00A850F3" w:rsidP="00592ED5">
      <w:pPr>
        <w:widowControl w:val="0"/>
        <w:spacing w:before="240" w:after="0" w:line="312"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Согласно </w:t>
      </w:r>
      <w:r w:rsidR="00211945">
        <w:rPr>
          <w:rFonts w:ascii="Times New Roman" w:eastAsia="Calibri" w:hAnsi="Times New Roman" w:cs="Times New Roman"/>
          <w:sz w:val="28"/>
          <w:szCs w:val="28"/>
        </w:rPr>
        <w:t>Федеральному закону от 29 декабря 2012 г. № 273-ФЗ</w:t>
      </w:r>
      <w:r w:rsidR="00FD14A0">
        <w:rPr>
          <w:rFonts w:ascii="Times New Roman" w:eastAsia="Calibri" w:hAnsi="Times New Roman" w:cs="Times New Roman"/>
          <w:sz w:val="28"/>
          <w:szCs w:val="28"/>
        </w:rPr>
        <w:t>,</w:t>
      </w:r>
      <w:r>
        <w:rPr>
          <w:rFonts w:ascii="Times New Roman" w:eastAsia="Calibri" w:hAnsi="Times New Roman" w:cs="Times New Roman"/>
          <w:sz w:val="28"/>
          <w:szCs w:val="28"/>
        </w:rPr>
        <w:t xml:space="preserve"> для обучающихся с </w:t>
      </w:r>
      <w:proofErr w:type="spellStart"/>
      <w:r w:rsidRPr="0027146D">
        <w:rPr>
          <w:rFonts w:ascii="Times New Roman" w:eastAsia="Calibri" w:hAnsi="Times New Roman" w:cs="Times New Roman"/>
          <w:sz w:val="28"/>
          <w:szCs w:val="28"/>
        </w:rPr>
        <w:t>девиантным</w:t>
      </w:r>
      <w:proofErr w:type="spellEnd"/>
      <w:r>
        <w:rPr>
          <w:rFonts w:ascii="Times New Roman" w:eastAsia="Calibri" w:hAnsi="Times New Roman" w:cs="Times New Roman"/>
          <w:sz w:val="28"/>
          <w:szCs w:val="28"/>
        </w:rPr>
        <w:t xml:space="preserve"> </w:t>
      </w:r>
      <w:r w:rsidRPr="0027146D">
        <w:rPr>
          <w:rFonts w:ascii="Times New Roman" w:eastAsia="Calibri" w:hAnsi="Times New Roman" w:cs="Times New Roman"/>
          <w:sz w:val="28"/>
          <w:szCs w:val="28"/>
        </w:rPr>
        <w:t>(общественно опасным) поведением</w:t>
      </w:r>
      <w:r>
        <w:rPr>
          <w:rFonts w:ascii="Times New Roman" w:eastAsia="Calibri" w:hAnsi="Times New Roman" w:cs="Times New Roman"/>
          <w:sz w:val="28"/>
          <w:szCs w:val="28"/>
        </w:rPr>
        <w:t>, нуждающихся в особых условиях воспитания, обучения и требующих специального педагогического подхода, Российской Федераци</w:t>
      </w:r>
      <w:r w:rsidR="008A4D6E">
        <w:rPr>
          <w:rFonts w:ascii="Times New Roman" w:eastAsia="Calibri" w:hAnsi="Times New Roman" w:cs="Times New Roman"/>
          <w:sz w:val="28"/>
          <w:szCs w:val="28"/>
        </w:rPr>
        <w:t>ей</w:t>
      </w:r>
      <w:r>
        <w:rPr>
          <w:rFonts w:ascii="Times New Roman" w:eastAsia="Calibri" w:hAnsi="Times New Roman" w:cs="Times New Roman"/>
          <w:sz w:val="28"/>
          <w:szCs w:val="28"/>
        </w:rPr>
        <w:t xml:space="preserve"> или субъектом Российской Федерации создаются образовательные организации (специальные учебно</w:t>
      </w:r>
      <w:r w:rsidR="00F942C6">
        <w:rPr>
          <w:rFonts w:ascii="Times New Roman" w:eastAsia="Calibri" w:hAnsi="Times New Roman" w:cs="Times New Roman"/>
          <w:sz w:val="28"/>
          <w:szCs w:val="28"/>
        </w:rPr>
        <w:t>-воспитательные учреждения открытого и закрытого типа).</w:t>
      </w:r>
    </w:p>
    <w:p w14:paraId="0CF50388" w14:textId="77777777" w:rsidR="00A850F3" w:rsidRPr="00D03A4F" w:rsidRDefault="00A850F3" w:rsidP="00A850F3">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Специальные учебно-воспитательные учреждения призваны обеспечить:</w:t>
      </w:r>
    </w:p>
    <w:p w14:paraId="2E95267D" w14:textId="77777777" w:rsidR="00A850F3" w:rsidRPr="00D03A4F" w:rsidRDefault="00A850F3" w:rsidP="00A850F3">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создание условий для воспитания и обучения обучающихся в специальных учебно-воспитательных учреждениях, включая условия для получения несовершеннолетними начального общего, основного общего, среднего общего, среднего профессионального образования в соответствии с ФГОС, дополнительного образования и профессионального обучения, а также специальный педагогический подход;</w:t>
      </w:r>
    </w:p>
    <w:p w14:paraId="2AF25816" w14:textId="77777777" w:rsidR="00A850F3" w:rsidRPr="00D03A4F" w:rsidRDefault="00A850F3" w:rsidP="00A850F3">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психолого-педагогическую, ме</w:t>
      </w:r>
      <w:r w:rsidR="00FD14A0">
        <w:rPr>
          <w:rFonts w:ascii="Times New Roman" w:eastAsia="Calibri" w:hAnsi="Times New Roman" w:cs="Times New Roman"/>
          <w:sz w:val="28"/>
          <w:szCs w:val="28"/>
        </w:rPr>
        <w:t xml:space="preserve">дицинскую и социальную помощь, </w:t>
      </w:r>
      <w:r w:rsidRPr="00D03A4F">
        <w:rPr>
          <w:rFonts w:ascii="Times New Roman" w:eastAsia="Calibri" w:hAnsi="Times New Roman" w:cs="Times New Roman"/>
          <w:sz w:val="28"/>
          <w:szCs w:val="28"/>
        </w:rPr>
        <w:t>а также реабилитацию обучающих</w:t>
      </w:r>
      <w:r w:rsidR="00FD14A0">
        <w:rPr>
          <w:rFonts w:ascii="Times New Roman" w:eastAsia="Calibri" w:hAnsi="Times New Roman" w:cs="Times New Roman"/>
          <w:sz w:val="28"/>
          <w:szCs w:val="28"/>
        </w:rPr>
        <w:t xml:space="preserve">ся, включая коррекцию поведения </w:t>
      </w:r>
      <w:r w:rsidRPr="00D03A4F">
        <w:rPr>
          <w:rFonts w:ascii="Times New Roman" w:eastAsia="Calibri" w:hAnsi="Times New Roman" w:cs="Times New Roman"/>
          <w:sz w:val="28"/>
          <w:szCs w:val="28"/>
        </w:rPr>
        <w:t>и адаптацию в обществе, защиту их прав и законных интересов, создание необходимых условий для охраны и укрепления здоровья обучающихся;</w:t>
      </w:r>
    </w:p>
    <w:p w14:paraId="2E2A1331" w14:textId="77777777" w:rsidR="00A850F3" w:rsidRPr="00D03A4F" w:rsidRDefault="00A850F3" w:rsidP="00A850F3">
      <w:pPr>
        <w:widowControl w:val="0"/>
        <w:spacing w:after="0" w:line="312" w:lineRule="auto"/>
        <w:ind w:firstLine="720"/>
        <w:jc w:val="both"/>
        <w:rPr>
          <w:rFonts w:ascii="Times New Roman" w:eastAsia="Calibri" w:hAnsi="Times New Roman" w:cs="Times New Roman"/>
          <w:sz w:val="28"/>
          <w:szCs w:val="28"/>
        </w:rPr>
      </w:pPr>
      <w:r w:rsidRPr="00F136F9">
        <w:rPr>
          <w:rFonts w:ascii="Times New Roman" w:eastAsia="Calibri" w:hAnsi="Times New Roman" w:cs="Times New Roman"/>
          <w:spacing w:val="-4"/>
          <w:sz w:val="28"/>
          <w:szCs w:val="28"/>
        </w:rPr>
        <w:t>психолого-педагогическое сопровождение реализации образовательных</w:t>
      </w:r>
      <w:r w:rsidRPr="00D03A4F">
        <w:rPr>
          <w:rFonts w:ascii="Times New Roman" w:eastAsia="Calibri" w:hAnsi="Times New Roman" w:cs="Times New Roman"/>
          <w:sz w:val="28"/>
          <w:szCs w:val="28"/>
        </w:rPr>
        <w:t xml:space="preserve"> программ начального общего, основного общего, среднего общего, среднего профессионального образования, основных программ профессионального обучения, дополнительных образовательных программ, включая инклюзивное образование обучающихся с ОВЗ, испытывающих трудности в освоении основных образовательных программ, развитии и социальной адаптации;</w:t>
      </w:r>
    </w:p>
    <w:p w14:paraId="1F2F186B" w14:textId="77777777" w:rsidR="00A850F3" w:rsidRPr="00D03A4F" w:rsidRDefault="00A850F3" w:rsidP="00A850F3">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реализацию программ и методик, направленных на формирование законопослушного поведения несовершеннолетних;</w:t>
      </w:r>
    </w:p>
    <w:p w14:paraId="6CC87DA3" w14:textId="77777777" w:rsidR="00A850F3" w:rsidRPr="00D03A4F" w:rsidRDefault="00A850F3" w:rsidP="00A850F3">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организацию отдыха и проведение развивающих и оздоровительных мероприятий для обучающихся в каникулярное время.</w:t>
      </w:r>
    </w:p>
    <w:p w14:paraId="6288BBF7" w14:textId="77777777" w:rsidR="00A51FA7" w:rsidRDefault="00A850F3" w:rsidP="0050267D">
      <w:pPr>
        <w:widowControl w:val="0"/>
        <w:spacing w:after="0" w:line="312" w:lineRule="auto"/>
        <w:ind w:firstLine="720"/>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 20</w:t>
      </w:r>
      <w:r w:rsidR="001D70C1">
        <w:rPr>
          <w:rFonts w:ascii="Times New Roman" w:eastAsia="Calibri" w:hAnsi="Times New Roman" w:cs="Times New Roman"/>
          <w:sz w:val="28"/>
          <w:szCs w:val="28"/>
        </w:rPr>
        <w:t>2</w:t>
      </w:r>
      <w:r w:rsidR="0050267D">
        <w:rPr>
          <w:rFonts w:ascii="Times New Roman" w:eastAsia="Calibri" w:hAnsi="Times New Roman" w:cs="Times New Roman"/>
          <w:sz w:val="28"/>
          <w:szCs w:val="28"/>
        </w:rPr>
        <w:t>1</w:t>
      </w:r>
      <w:r w:rsidRPr="00D03A4F">
        <w:rPr>
          <w:rFonts w:ascii="Times New Roman" w:eastAsia="Calibri" w:hAnsi="Times New Roman" w:cs="Times New Roman"/>
          <w:sz w:val="28"/>
          <w:szCs w:val="28"/>
        </w:rPr>
        <w:t xml:space="preserve"> г</w:t>
      </w:r>
      <w:r w:rsidR="00857A86">
        <w:rPr>
          <w:rFonts w:ascii="Times New Roman" w:eastAsia="Calibri" w:hAnsi="Times New Roman" w:cs="Times New Roman"/>
          <w:sz w:val="28"/>
          <w:szCs w:val="28"/>
        </w:rPr>
        <w:t>.</w:t>
      </w:r>
      <w:r w:rsidRPr="00D03A4F">
        <w:rPr>
          <w:rFonts w:ascii="Times New Roman" w:eastAsia="Calibri" w:hAnsi="Times New Roman" w:cs="Times New Roman"/>
          <w:sz w:val="28"/>
          <w:szCs w:val="28"/>
        </w:rPr>
        <w:t xml:space="preserve"> в Российской Федерации функционировало </w:t>
      </w:r>
      <w:r w:rsidR="001D70C1">
        <w:rPr>
          <w:rFonts w:ascii="Times New Roman" w:eastAsia="Calibri" w:hAnsi="Times New Roman" w:cs="Times New Roman"/>
          <w:sz w:val="28"/>
          <w:szCs w:val="28"/>
        </w:rPr>
        <w:t>5</w:t>
      </w:r>
      <w:r w:rsidR="0050267D">
        <w:rPr>
          <w:rFonts w:ascii="Times New Roman" w:eastAsia="Calibri" w:hAnsi="Times New Roman" w:cs="Times New Roman"/>
          <w:sz w:val="28"/>
          <w:szCs w:val="28"/>
        </w:rPr>
        <w:t>8</w:t>
      </w:r>
      <w:r w:rsidR="0052515D" w:rsidRPr="00BD5345">
        <w:rPr>
          <w:rFonts w:ascii="Times New Roman" w:eastAsia="Times New Roman" w:hAnsi="Times New Roman" w:cs="Times New Roman"/>
          <w:sz w:val="28"/>
          <w:szCs w:val="28"/>
        </w:rPr>
        <w:t> </w:t>
      </w:r>
      <w:r w:rsidRPr="00D03A4F">
        <w:rPr>
          <w:rFonts w:ascii="Times New Roman" w:eastAsia="Calibri" w:hAnsi="Times New Roman" w:cs="Times New Roman"/>
          <w:sz w:val="28"/>
          <w:szCs w:val="28"/>
        </w:rPr>
        <w:t>специальн</w:t>
      </w:r>
      <w:r w:rsidR="001D70C1">
        <w:rPr>
          <w:rFonts w:ascii="Times New Roman" w:eastAsia="Calibri" w:hAnsi="Times New Roman" w:cs="Times New Roman"/>
          <w:sz w:val="28"/>
          <w:szCs w:val="28"/>
        </w:rPr>
        <w:t>ых</w:t>
      </w:r>
      <w:r w:rsidRPr="00D03A4F">
        <w:rPr>
          <w:rFonts w:ascii="Times New Roman" w:eastAsia="Calibri" w:hAnsi="Times New Roman" w:cs="Times New Roman"/>
          <w:sz w:val="28"/>
          <w:szCs w:val="28"/>
        </w:rPr>
        <w:t xml:space="preserve"> учебно-воспитательн</w:t>
      </w:r>
      <w:r w:rsidR="001D70C1">
        <w:rPr>
          <w:rFonts w:ascii="Times New Roman" w:eastAsia="Calibri" w:hAnsi="Times New Roman" w:cs="Times New Roman"/>
          <w:sz w:val="28"/>
          <w:szCs w:val="28"/>
        </w:rPr>
        <w:t>ых</w:t>
      </w:r>
      <w:r w:rsidRPr="00D03A4F">
        <w:rPr>
          <w:rFonts w:ascii="Times New Roman" w:eastAsia="Calibri" w:hAnsi="Times New Roman" w:cs="Times New Roman"/>
          <w:sz w:val="28"/>
          <w:szCs w:val="28"/>
        </w:rPr>
        <w:t xml:space="preserve"> учреждени</w:t>
      </w:r>
      <w:r w:rsidR="001D70C1">
        <w:rPr>
          <w:rFonts w:ascii="Times New Roman" w:eastAsia="Calibri" w:hAnsi="Times New Roman" w:cs="Times New Roman"/>
          <w:sz w:val="28"/>
          <w:szCs w:val="28"/>
        </w:rPr>
        <w:t>й</w:t>
      </w:r>
      <w:r w:rsidRPr="00D03A4F">
        <w:rPr>
          <w:rFonts w:ascii="Times New Roman" w:eastAsia="Calibri" w:hAnsi="Times New Roman" w:cs="Times New Roman"/>
          <w:sz w:val="28"/>
          <w:szCs w:val="28"/>
        </w:rPr>
        <w:t>, расположенн</w:t>
      </w:r>
      <w:r w:rsidR="001D70C1">
        <w:rPr>
          <w:rFonts w:ascii="Times New Roman" w:eastAsia="Calibri" w:hAnsi="Times New Roman" w:cs="Times New Roman"/>
          <w:sz w:val="28"/>
          <w:szCs w:val="28"/>
        </w:rPr>
        <w:t>ых</w:t>
      </w:r>
      <w:r w:rsidRPr="00D03A4F">
        <w:rPr>
          <w:rFonts w:ascii="Times New Roman" w:eastAsia="Calibri" w:hAnsi="Times New Roman" w:cs="Times New Roman"/>
          <w:sz w:val="28"/>
          <w:szCs w:val="28"/>
        </w:rPr>
        <w:t xml:space="preserve"> в 4</w:t>
      </w:r>
      <w:r w:rsidR="0050267D">
        <w:rPr>
          <w:rFonts w:ascii="Times New Roman" w:eastAsia="Calibri" w:hAnsi="Times New Roman" w:cs="Times New Roman"/>
          <w:sz w:val="28"/>
          <w:szCs w:val="28"/>
        </w:rPr>
        <w:t>3</w:t>
      </w:r>
      <w:r w:rsidRPr="00D03A4F">
        <w:rPr>
          <w:rFonts w:ascii="Times New Roman" w:eastAsia="Calibri" w:hAnsi="Times New Roman" w:cs="Times New Roman"/>
          <w:sz w:val="28"/>
          <w:szCs w:val="28"/>
        </w:rPr>
        <w:t xml:space="preserve"> субъектах Российской Федерации, численность обучающихся </w:t>
      </w:r>
      <w:r w:rsidR="00F54ABC">
        <w:rPr>
          <w:rFonts w:ascii="Times New Roman" w:eastAsia="Calibri" w:hAnsi="Times New Roman" w:cs="Times New Roman"/>
          <w:sz w:val="28"/>
          <w:szCs w:val="28"/>
        </w:rPr>
        <w:t xml:space="preserve">по итогам </w:t>
      </w:r>
      <w:r w:rsidR="0052515D">
        <w:rPr>
          <w:rFonts w:ascii="Times New Roman" w:eastAsia="Calibri" w:hAnsi="Times New Roman" w:cs="Times New Roman"/>
          <w:sz w:val="28"/>
          <w:szCs w:val="28"/>
        </w:rPr>
        <w:t xml:space="preserve">года </w:t>
      </w:r>
      <w:r w:rsidR="000A53B3">
        <w:rPr>
          <w:rFonts w:ascii="Times New Roman" w:eastAsia="Calibri" w:hAnsi="Times New Roman" w:cs="Times New Roman"/>
          <w:sz w:val="28"/>
          <w:szCs w:val="28"/>
        </w:rPr>
        <w:t>составила</w:t>
      </w:r>
      <w:r w:rsidR="00211945">
        <w:rPr>
          <w:rFonts w:ascii="Times New Roman" w:eastAsia="Calibri" w:hAnsi="Times New Roman" w:cs="Times New Roman"/>
          <w:sz w:val="28"/>
          <w:szCs w:val="28"/>
        </w:rPr>
        <w:t> </w:t>
      </w:r>
      <w:r w:rsidRPr="00D03A4F">
        <w:rPr>
          <w:rFonts w:ascii="Times New Roman" w:eastAsia="Calibri" w:hAnsi="Times New Roman" w:cs="Times New Roman"/>
          <w:sz w:val="28"/>
          <w:szCs w:val="28"/>
        </w:rPr>
        <w:t>4</w:t>
      </w:r>
      <w:r w:rsidR="001D70C1">
        <w:rPr>
          <w:rFonts w:ascii="Times New Roman" w:eastAsia="Calibri" w:hAnsi="Times New Roman" w:cs="Times New Roman"/>
          <w:sz w:val="28"/>
          <w:szCs w:val="28"/>
        </w:rPr>
        <w:t> </w:t>
      </w:r>
      <w:r w:rsidR="0050267D">
        <w:rPr>
          <w:rFonts w:ascii="Times New Roman" w:eastAsia="Calibri" w:hAnsi="Times New Roman" w:cs="Times New Roman"/>
          <w:sz w:val="28"/>
          <w:szCs w:val="28"/>
        </w:rPr>
        <w:t>048</w:t>
      </w:r>
      <w:r w:rsidRPr="00D03A4F">
        <w:rPr>
          <w:rFonts w:ascii="Times New Roman" w:eastAsia="Calibri" w:hAnsi="Times New Roman" w:cs="Times New Roman"/>
          <w:sz w:val="28"/>
          <w:szCs w:val="28"/>
        </w:rPr>
        <w:t xml:space="preserve"> человек.</w:t>
      </w:r>
    </w:p>
    <w:p w14:paraId="329FE659" w14:textId="77777777" w:rsidR="0050267D" w:rsidRPr="00D03A4F" w:rsidRDefault="0050267D" w:rsidP="0050267D">
      <w:pPr>
        <w:widowControl w:val="0"/>
        <w:spacing w:after="0" w:line="312" w:lineRule="auto"/>
        <w:ind w:firstLine="720"/>
        <w:jc w:val="both"/>
        <w:rPr>
          <w:rFonts w:ascii="Times New Roman" w:eastAsia="Calibri" w:hAnsi="Times New Roman" w:cs="Times New Roman"/>
          <w:sz w:val="28"/>
          <w:szCs w:val="28"/>
        </w:rPr>
      </w:pPr>
    </w:p>
    <w:p w14:paraId="3B54A239" w14:textId="77777777" w:rsidR="00A850F3" w:rsidRPr="00BF2703" w:rsidRDefault="00A850F3" w:rsidP="00A850F3">
      <w:pPr>
        <w:widowControl w:val="0"/>
        <w:tabs>
          <w:tab w:val="left" w:pos="3119"/>
        </w:tabs>
        <w:spacing w:after="0" w:line="240" w:lineRule="auto"/>
        <w:jc w:val="center"/>
        <w:rPr>
          <w:rFonts w:ascii="Times New Roman" w:eastAsia="Times New Roman" w:hAnsi="Times New Roman" w:cs="Times New Roman"/>
          <w:b/>
          <w:color w:val="000000"/>
          <w:sz w:val="26"/>
          <w:szCs w:val="26"/>
          <w:lang w:eastAsia="ru-RU" w:bidi="ru-RU"/>
        </w:rPr>
      </w:pPr>
      <w:r w:rsidRPr="00BF2703">
        <w:rPr>
          <w:rFonts w:ascii="Times New Roman" w:eastAsia="Times New Roman" w:hAnsi="Times New Roman" w:cs="Times New Roman"/>
          <w:b/>
          <w:color w:val="000000"/>
          <w:sz w:val="26"/>
          <w:szCs w:val="26"/>
          <w:lang w:eastAsia="ru-RU" w:bidi="ru-RU"/>
        </w:rPr>
        <w:t>Сведения о сети учебно-воспитательных учреждений</w:t>
      </w:r>
      <w:r w:rsidRPr="00BF2703">
        <w:rPr>
          <w:rFonts w:ascii="Times New Roman" w:eastAsia="Times New Roman" w:hAnsi="Times New Roman" w:cs="Times New Roman"/>
          <w:b/>
          <w:color w:val="000000"/>
          <w:sz w:val="26"/>
          <w:szCs w:val="26"/>
          <w:lang w:eastAsia="ru-RU" w:bidi="ru-RU"/>
        </w:rPr>
        <w:br/>
        <w:t>Российской Федерации</w:t>
      </w:r>
    </w:p>
    <w:p w14:paraId="38E03FE5" w14:textId="77777777" w:rsidR="00A51FA7" w:rsidRDefault="00A51FA7" w:rsidP="00A850F3">
      <w:pPr>
        <w:widowControl w:val="0"/>
        <w:tabs>
          <w:tab w:val="left" w:pos="3119"/>
        </w:tabs>
        <w:spacing w:after="0" w:line="240" w:lineRule="auto"/>
        <w:jc w:val="center"/>
        <w:rPr>
          <w:rFonts w:ascii="Times New Roman" w:eastAsia="Times New Roman" w:hAnsi="Times New Roman" w:cs="Times New Roman"/>
          <w:b/>
          <w:color w:val="000000"/>
          <w:sz w:val="28"/>
          <w:szCs w:val="26"/>
          <w:lang w:eastAsia="ru-RU" w:bidi="ru-RU"/>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1134"/>
      </w:tblGrid>
      <w:tr w:rsidR="00A850F3" w:rsidRPr="00D03A4F" w14:paraId="593D6101" w14:textId="77777777" w:rsidTr="001D70C1">
        <w:trPr>
          <w:trHeight w:val="340"/>
          <w:tblHeader/>
          <w:jc w:val="center"/>
        </w:trPr>
        <w:tc>
          <w:tcPr>
            <w:tcW w:w="5948" w:type="dxa"/>
          </w:tcPr>
          <w:p w14:paraId="0E001035" w14:textId="77777777" w:rsidR="00A850F3" w:rsidRPr="00D03A4F" w:rsidRDefault="00A850F3" w:rsidP="00A850F3">
            <w:pPr>
              <w:widowControl w:val="0"/>
              <w:tabs>
                <w:tab w:val="left" w:pos="3119"/>
              </w:tabs>
              <w:spacing w:after="0" w:line="240" w:lineRule="auto"/>
              <w:jc w:val="center"/>
              <w:rPr>
                <w:rFonts w:ascii="Times New Roman" w:eastAsia="Times New Roman" w:hAnsi="Times New Roman" w:cs="Times New Roman"/>
                <w:b/>
                <w:bCs/>
                <w:color w:val="000000"/>
                <w:shd w:val="clear" w:color="auto" w:fill="FFFFFF"/>
                <w:lang w:eastAsia="ru-RU" w:bidi="ru-RU"/>
              </w:rPr>
            </w:pPr>
            <w:r w:rsidRPr="00D03A4F">
              <w:rPr>
                <w:rFonts w:ascii="Times New Roman" w:eastAsia="Times New Roman" w:hAnsi="Times New Roman" w:cs="Times New Roman"/>
                <w:b/>
                <w:bCs/>
                <w:color w:val="000000"/>
                <w:shd w:val="clear" w:color="auto" w:fill="FFFFFF"/>
                <w:lang w:eastAsia="ru-RU" w:bidi="ru-RU"/>
              </w:rPr>
              <w:t>Структура сети специальных учебно-воспитательных учреждений Российской Федерации</w:t>
            </w:r>
          </w:p>
        </w:tc>
        <w:tc>
          <w:tcPr>
            <w:tcW w:w="1134" w:type="dxa"/>
          </w:tcPr>
          <w:p w14:paraId="337A76D4" w14:textId="77777777" w:rsidR="00A850F3" w:rsidRPr="001A368F" w:rsidRDefault="00A850F3" w:rsidP="00857A86">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201</w:t>
            </w:r>
            <w:r w:rsidR="0050267D">
              <w:rPr>
                <w:rFonts w:ascii="Times New Roman" w:eastAsia="Times New Roman" w:hAnsi="Times New Roman" w:cs="Times New Roman"/>
                <w:b/>
                <w:color w:val="000000"/>
                <w:lang w:eastAsia="ru-RU" w:bidi="ru-RU"/>
              </w:rPr>
              <w:t>9</w:t>
            </w:r>
            <w:r w:rsidR="00857A86">
              <w:rPr>
                <w:rFonts w:ascii="Times New Roman" w:eastAsia="Times New Roman" w:hAnsi="Times New Roman" w:cs="Times New Roman"/>
                <w:b/>
                <w:color w:val="000000"/>
                <w:lang w:eastAsia="ru-RU" w:bidi="ru-RU"/>
              </w:rPr>
              <w:t xml:space="preserve"> </w:t>
            </w:r>
            <w:r w:rsidRPr="001A368F">
              <w:rPr>
                <w:rFonts w:ascii="Times New Roman" w:eastAsia="Times New Roman" w:hAnsi="Times New Roman" w:cs="Times New Roman"/>
                <w:b/>
                <w:color w:val="000000"/>
                <w:lang w:eastAsia="ru-RU" w:bidi="ru-RU"/>
              </w:rPr>
              <w:t>г</w:t>
            </w:r>
            <w:r w:rsidR="00857A86">
              <w:rPr>
                <w:rFonts w:ascii="Times New Roman" w:eastAsia="Times New Roman" w:hAnsi="Times New Roman" w:cs="Times New Roman"/>
                <w:b/>
                <w:color w:val="000000"/>
                <w:lang w:eastAsia="ru-RU" w:bidi="ru-RU"/>
              </w:rPr>
              <w:t>.</w:t>
            </w:r>
          </w:p>
        </w:tc>
        <w:tc>
          <w:tcPr>
            <w:tcW w:w="1134" w:type="dxa"/>
          </w:tcPr>
          <w:p w14:paraId="7C2D77FB" w14:textId="77777777" w:rsidR="00A850F3" w:rsidRPr="001A368F" w:rsidRDefault="00A850F3" w:rsidP="00857A86">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20</w:t>
            </w:r>
            <w:r w:rsidR="0050267D">
              <w:rPr>
                <w:rFonts w:ascii="Times New Roman" w:eastAsia="Times New Roman" w:hAnsi="Times New Roman" w:cs="Times New Roman"/>
                <w:b/>
                <w:color w:val="000000"/>
                <w:lang w:eastAsia="ru-RU" w:bidi="ru-RU"/>
              </w:rPr>
              <w:t>20</w:t>
            </w:r>
            <w:r w:rsidR="00857A86">
              <w:rPr>
                <w:rFonts w:ascii="Times New Roman" w:eastAsia="Times New Roman" w:hAnsi="Times New Roman" w:cs="Times New Roman"/>
                <w:b/>
                <w:color w:val="000000"/>
                <w:lang w:eastAsia="ru-RU" w:bidi="ru-RU"/>
              </w:rPr>
              <w:t xml:space="preserve"> г.</w:t>
            </w:r>
          </w:p>
        </w:tc>
        <w:tc>
          <w:tcPr>
            <w:tcW w:w="1134" w:type="dxa"/>
          </w:tcPr>
          <w:p w14:paraId="7760D7A2" w14:textId="77777777" w:rsidR="00A850F3" w:rsidRPr="001A368F" w:rsidRDefault="00A850F3" w:rsidP="00857A86">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20</w:t>
            </w:r>
            <w:r w:rsidR="001D70C1" w:rsidRPr="001A368F">
              <w:rPr>
                <w:rFonts w:ascii="Times New Roman" w:eastAsia="Times New Roman" w:hAnsi="Times New Roman" w:cs="Times New Roman"/>
                <w:b/>
                <w:color w:val="000000"/>
                <w:lang w:eastAsia="ru-RU" w:bidi="ru-RU"/>
              </w:rPr>
              <w:t>2</w:t>
            </w:r>
            <w:r w:rsidR="0050267D">
              <w:rPr>
                <w:rFonts w:ascii="Times New Roman" w:eastAsia="Times New Roman" w:hAnsi="Times New Roman" w:cs="Times New Roman"/>
                <w:b/>
                <w:color w:val="000000"/>
                <w:lang w:eastAsia="ru-RU" w:bidi="ru-RU"/>
              </w:rPr>
              <w:t>1</w:t>
            </w:r>
            <w:r w:rsidR="00857A86">
              <w:rPr>
                <w:rFonts w:ascii="Times New Roman" w:eastAsia="Times New Roman" w:hAnsi="Times New Roman" w:cs="Times New Roman"/>
                <w:b/>
                <w:color w:val="000000"/>
                <w:lang w:eastAsia="ru-RU" w:bidi="ru-RU"/>
              </w:rPr>
              <w:t xml:space="preserve"> г.</w:t>
            </w:r>
          </w:p>
        </w:tc>
      </w:tr>
      <w:tr w:rsidR="0050267D" w:rsidRPr="00D03A4F" w14:paraId="53BF32A5" w14:textId="77777777" w:rsidTr="00A850F3">
        <w:trPr>
          <w:trHeight w:val="340"/>
          <w:jc w:val="center"/>
        </w:trPr>
        <w:tc>
          <w:tcPr>
            <w:tcW w:w="5948" w:type="dxa"/>
          </w:tcPr>
          <w:p w14:paraId="22BF46A5" w14:textId="77777777" w:rsidR="0050267D" w:rsidRPr="00D03A4F" w:rsidRDefault="0050267D" w:rsidP="0050267D">
            <w:pPr>
              <w:widowControl w:val="0"/>
              <w:tabs>
                <w:tab w:val="left" w:pos="3119"/>
              </w:tabs>
              <w:spacing w:after="0" w:line="240" w:lineRule="auto"/>
              <w:jc w:val="both"/>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1. Специальные учебно-воспитательные учреждения закрытого типа</w:t>
            </w:r>
          </w:p>
        </w:tc>
        <w:tc>
          <w:tcPr>
            <w:tcW w:w="1134" w:type="dxa"/>
          </w:tcPr>
          <w:p w14:paraId="1F05F545"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45</w:t>
            </w:r>
          </w:p>
        </w:tc>
        <w:tc>
          <w:tcPr>
            <w:tcW w:w="1134" w:type="dxa"/>
          </w:tcPr>
          <w:p w14:paraId="429F1CED"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44</w:t>
            </w:r>
          </w:p>
        </w:tc>
        <w:tc>
          <w:tcPr>
            <w:tcW w:w="1134" w:type="dxa"/>
          </w:tcPr>
          <w:p w14:paraId="6D258729"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Pr>
                <w:rFonts w:ascii="Times New Roman" w:eastAsia="Times New Roman" w:hAnsi="Times New Roman" w:cs="Times New Roman"/>
                <w:b/>
                <w:color w:val="000000"/>
                <w:lang w:eastAsia="ru-RU" w:bidi="ru-RU"/>
              </w:rPr>
              <w:t>42</w:t>
            </w:r>
          </w:p>
        </w:tc>
      </w:tr>
      <w:tr w:rsidR="0050267D" w:rsidRPr="00D03A4F" w14:paraId="7AE19255" w14:textId="77777777" w:rsidTr="00A850F3">
        <w:trPr>
          <w:trHeight w:val="340"/>
          <w:jc w:val="center"/>
        </w:trPr>
        <w:tc>
          <w:tcPr>
            <w:tcW w:w="5948" w:type="dxa"/>
          </w:tcPr>
          <w:p w14:paraId="6906BC6E" w14:textId="77777777" w:rsidR="0050267D" w:rsidRPr="00D03A4F" w:rsidRDefault="0050267D" w:rsidP="0050267D">
            <w:pPr>
              <w:widowControl w:val="0"/>
              <w:tabs>
                <w:tab w:val="left" w:pos="3119"/>
              </w:tabs>
              <w:spacing w:after="0" w:line="240" w:lineRule="auto"/>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Всего обучающихся по итогам года:</w:t>
            </w:r>
          </w:p>
        </w:tc>
        <w:tc>
          <w:tcPr>
            <w:tcW w:w="1134" w:type="dxa"/>
          </w:tcPr>
          <w:p w14:paraId="4277B5A8"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2797</w:t>
            </w:r>
          </w:p>
        </w:tc>
        <w:tc>
          <w:tcPr>
            <w:tcW w:w="1134" w:type="dxa"/>
          </w:tcPr>
          <w:p w14:paraId="0580C4E1"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2487</w:t>
            </w:r>
          </w:p>
        </w:tc>
        <w:tc>
          <w:tcPr>
            <w:tcW w:w="1134" w:type="dxa"/>
          </w:tcPr>
          <w:p w14:paraId="380D8CDB"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Pr>
                <w:rFonts w:ascii="Times New Roman" w:eastAsia="Times New Roman" w:hAnsi="Times New Roman" w:cs="Times New Roman"/>
                <w:b/>
                <w:color w:val="000000"/>
                <w:lang w:eastAsia="ru-RU" w:bidi="ru-RU"/>
              </w:rPr>
              <w:t>2258</w:t>
            </w:r>
          </w:p>
        </w:tc>
      </w:tr>
      <w:tr w:rsidR="0050267D" w:rsidRPr="00D03A4F" w14:paraId="773B5EC6" w14:textId="77777777" w:rsidTr="00A850F3">
        <w:trPr>
          <w:trHeight w:val="340"/>
          <w:jc w:val="center"/>
        </w:trPr>
        <w:tc>
          <w:tcPr>
            <w:tcW w:w="5948" w:type="dxa"/>
          </w:tcPr>
          <w:p w14:paraId="3AB7D2D8" w14:textId="77777777" w:rsidR="0050267D" w:rsidRPr="00D03A4F" w:rsidRDefault="0050267D" w:rsidP="0050267D">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1.1. Специальные профессиональные образовательные организации закрытого типа федерального подчинения, в том числе:</w:t>
            </w:r>
          </w:p>
        </w:tc>
        <w:tc>
          <w:tcPr>
            <w:tcW w:w="1134" w:type="dxa"/>
          </w:tcPr>
          <w:p w14:paraId="39208DFF"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17</w:t>
            </w:r>
          </w:p>
        </w:tc>
        <w:tc>
          <w:tcPr>
            <w:tcW w:w="1134" w:type="dxa"/>
          </w:tcPr>
          <w:p w14:paraId="30F44E33"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17</w:t>
            </w:r>
          </w:p>
        </w:tc>
        <w:tc>
          <w:tcPr>
            <w:tcW w:w="1134" w:type="dxa"/>
          </w:tcPr>
          <w:p w14:paraId="2768B6D9"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17</w:t>
            </w:r>
          </w:p>
        </w:tc>
      </w:tr>
      <w:tr w:rsidR="0050267D" w:rsidRPr="00D03A4F" w14:paraId="03CEB8C7" w14:textId="77777777" w:rsidTr="00A850F3">
        <w:trPr>
          <w:trHeight w:val="340"/>
          <w:jc w:val="center"/>
        </w:trPr>
        <w:tc>
          <w:tcPr>
            <w:tcW w:w="5948" w:type="dxa"/>
          </w:tcPr>
          <w:p w14:paraId="3BAFB7C2" w14:textId="77777777" w:rsidR="0050267D" w:rsidRPr="00D03A4F" w:rsidRDefault="0050267D" w:rsidP="0050267D">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девочек:</w:t>
            </w:r>
          </w:p>
        </w:tc>
        <w:tc>
          <w:tcPr>
            <w:tcW w:w="1134" w:type="dxa"/>
          </w:tcPr>
          <w:p w14:paraId="5F29619F"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4</w:t>
            </w:r>
          </w:p>
        </w:tc>
        <w:tc>
          <w:tcPr>
            <w:tcW w:w="1134" w:type="dxa"/>
          </w:tcPr>
          <w:p w14:paraId="5192E9ED"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w:t>
            </w:r>
          </w:p>
        </w:tc>
        <w:tc>
          <w:tcPr>
            <w:tcW w:w="1134" w:type="dxa"/>
          </w:tcPr>
          <w:p w14:paraId="0C2508C9"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2</w:t>
            </w:r>
          </w:p>
        </w:tc>
      </w:tr>
      <w:tr w:rsidR="0050267D" w:rsidRPr="00D03A4F" w14:paraId="34D5DDBB" w14:textId="77777777" w:rsidTr="00A850F3">
        <w:trPr>
          <w:trHeight w:val="340"/>
          <w:jc w:val="center"/>
        </w:trPr>
        <w:tc>
          <w:tcPr>
            <w:tcW w:w="5948" w:type="dxa"/>
          </w:tcPr>
          <w:p w14:paraId="2C934EC9" w14:textId="77777777" w:rsidR="0050267D" w:rsidRPr="00D03A4F" w:rsidRDefault="0050267D" w:rsidP="0050267D">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мальчиков:</w:t>
            </w:r>
          </w:p>
        </w:tc>
        <w:tc>
          <w:tcPr>
            <w:tcW w:w="1134" w:type="dxa"/>
          </w:tcPr>
          <w:p w14:paraId="2A423A1B"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13</w:t>
            </w:r>
          </w:p>
        </w:tc>
        <w:tc>
          <w:tcPr>
            <w:tcW w:w="1134" w:type="dxa"/>
          </w:tcPr>
          <w:p w14:paraId="49BBE36B"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15</w:t>
            </w:r>
          </w:p>
        </w:tc>
        <w:tc>
          <w:tcPr>
            <w:tcW w:w="1134" w:type="dxa"/>
          </w:tcPr>
          <w:p w14:paraId="48104FE5"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15</w:t>
            </w:r>
          </w:p>
        </w:tc>
      </w:tr>
      <w:tr w:rsidR="0050267D" w:rsidRPr="00D03A4F" w14:paraId="263F56C9" w14:textId="77777777" w:rsidTr="00A850F3">
        <w:trPr>
          <w:trHeight w:val="340"/>
          <w:jc w:val="center"/>
        </w:trPr>
        <w:tc>
          <w:tcPr>
            <w:tcW w:w="5948" w:type="dxa"/>
          </w:tcPr>
          <w:p w14:paraId="0BA82B19" w14:textId="77777777" w:rsidR="0050267D" w:rsidRPr="00D03A4F" w:rsidRDefault="0050267D" w:rsidP="0050267D">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Всего обучающихся по итогам года:</w:t>
            </w:r>
          </w:p>
        </w:tc>
        <w:tc>
          <w:tcPr>
            <w:tcW w:w="1134" w:type="dxa"/>
          </w:tcPr>
          <w:p w14:paraId="4D8A2198"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1564</w:t>
            </w:r>
          </w:p>
        </w:tc>
        <w:tc>
          <w:tcPr>
            <w:tcW w:w="1134" w:type="dxa"/>
          </w:tcPr>
          <w:p w14:paraId="473790F2"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1404</w:t>
            </w:r>
          </w:p>
        </w:tc>
        <w:tc>
          <w:tcPr>
            <w:tcW w:w="1134" w:type="dxa"/>
          </w:tcPr>
          <w:p w14:paraId="39C06DC1"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1302</w:t>
            </w:r>
          </w:p>
        </w:tc>
      </w:tr>
      <w:tr w:rsidR="0050267D" w:rsidRPr="00D03A4F" w14:paraId="7A0F9017" w14:textId="77777777" w:rsidTr="00A850F3">
        <w:trPr>
          <w:trHeight w:val="340"/>
          <w:jc w:val="center"/>
        </w:trPr>
        <w:tc>
          <w:tcPr>
            <w:tcW w:w="5948" w:type="dxa"/>
          </w:tcPr>
          <w:p w14:paraId="66F13668" w14:textId="77777777" w:rsidR="0050267D" w:rsidRPr="00D03A4F" w:rsidRDefault="0050267D" w:rsidP="0050267D">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1.2. Специальные профессиональные образовательные организации закрытого типа регионального подчинения, в том числе:</w:t>
            </w:r>
          </w:p>
        </w:tc>
        <w:tc>
          <w:tcPr>
            <w:tcW w:w="1134" w:type="dxa"/>
          </w:tcPr>
          <w:p w14:paraId="4EC1285E"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14:paraId="63369043"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14:paraId="3F494CAE"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w:t>
            </w:r>
          </w:p>
        </w:tc>
      </w:tr>
      <w:tr w:rsidR="0050267D" w:rsidRPr="00D03A4F" w14:paraId="4FC5F33F" w14:textId="77777777" w:rsidTr="00A850F3">
        <w:trPr>
          <w:trHeight w:val="340"/>
          <w:jc w:val="center"/>
        </w:trPr>
        <w:tc>
          <w:tcPr>
            <w:tcW w:w="5948" w:type="dxa"/>
          </w:tcPr>
          <w:p w14:paraId="4217BD3D" w14:textId="77777777" w:rsidR="0050267D" w:rsidRPr="00D03A4F" w:rsidRDefault="0050267D" w:rsidP="0050267D">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смешанные:</w:t>
            </w:r>
          </w:p>
        </w:tc>
        <w:tc>
          <w:tcPr>
            <w:tcW w:w="1134" w:type="dxa"/>
          </w:tcPr>
          <w:p w14:paraId="23C3A2CE"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14:paraId="234983EB"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0</w:t>
            </w:r>
          </w:p>
        </w:tc>
        <w:tc>
          <w:tcPr>
            <w:tcW w:w="1134" w:type="dxa"/>
          </w:tcPr>
          <w:p w14:paraId="565681FF"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0</w:t>
            </w:r>
          </w:p>
        </w:tc>
      </w:tr>
      <w:tr w:rsidR="0050267D" w:rsidRPr="00D03A4F" w14:paraId="18395AAE" w14:textId="77777777" w:rsidTr="00A850F3">
        <w:trPr>
          <w:trHeight w:val="340"/>
          <w:jc w:val="center"/>
        </w:trPr>
        <w:tc>
          <w:tcPr>
            <w:tcW w:w="5948" w:type="dxa"/>
          </w:tcPr>
          <w:p w14:paraId="78118908" w14:textId="77777777" w:rsidR="0050267D" w:rsidRPr="00D03A4F" w:rsidRDefault="0050267D" w:rsidP="0050267D">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мальчиков</w:t>
            </w:r>
          </w:p>
        </w:tc>
        <w:tc>
          <w:tcPr>
            <w:tcW w:w="1134" w:type="dxa"/>
          </w:tcPr>
          <w:p w14:paraId="53C2ED3E"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0</w:t>
            </w:r>
          </w:p>
        </w:tc>
        <w:tc>
          <w:tcPr>
            <w:tcW w:w="1134" w:type="dxa"/>
          </w:tcPr>
          <w:p w14:paraId="78144EBE"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14:paraId="3E1DCC74"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w:t>
            </w:r>
          </w:p>
        </w:tc>
      </w:tr>
      <w:tr w:rsidR="0050267D" w:rsidRPr="00D03A4F" w14:paraId="0B508EE7" w14:textId="77777777" w:rsidTr="00A850F3">
        <w:trPr>
          <w:trHeight w:val="340"/>
          <w:jc w:val="center"/>
        </w:trPr>
        <w:tc>
          <w:tcPr>
            <w:tcW w:w="5948" w:type="dxa"/>
          </w:tcPr>
          <w:p w14:paraId="6B588533" w14:textId="77777777" w:rsidR="0050267D" w:rsidRPr="00D03A4F" w:rsidRDefault="0050267D" w:rsidP="0050267D">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Всего обучающихся по итогам года:</w:t>
            </w:r>
          </w:p>
        </w:tc>
        <w:tc>
          <w:tcPr>
            <w:tcW w:w="1134" w:type="dxa"/>
          </w:tcPr>
          <w:p w14:paraId="3DFAD403"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50</w:t>
            </w:r>
          </w:p>
        </w:tc>
        <w:tc>
          <w:tcPr>
            <w:tcW w:w="1134" w:type="dxa"/>
          </w:tcPr>
          <w:p w14:paraId="5AA452E0"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46</w:t>
            </w:r>
          </w:p>
        </w:tc>
        <w:tc>
          <w:tcPr>
            <w:tcW w:w="1134" w:type="dxa"/>
          </w:tcPr>
          <w:p w14:paraId="6D0C48C5"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44</w:t>
            </w:r>
          </w:p>
        </w:tc>
      </w:tr>
      <w:tr w:rsidR="0050267D" w:rsidRPr="00D03A4F" w14:paraId="399CAA4D" w14:textId="77777777" w:rsidTr="00A850F3">
        <w:trPr>
          <w:trHeight w:val="340"/>
          <w:jc w:val="center"/>
        </w:trPr>
        <w:tc>
          <w:tcPr>
            <w:tcW w:w="5948" w:type="dxa"/>
          </w:tcPr>
          <w:p w14:paraId="2C86E599" w14:textId="77777777" w:rsidR="0050267D" w:rsidRPr="00D03A4F" w:rsidRDefault="0050267D" w:rsidP="0050267D">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1.3. Специальные общеобразовательные организации закрытого типа регионального подчинения, в том числе:</w:t>
            </w:r>
          </w:p>
        </w:tc>
        <w:tc>
          <w:tcPr>
            <w:tcW w:w="1134" w:type="dxa"/>
          </w:tcPr>
          <w:p w14:paraId="4E22E277"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27</w:t>
            </w:r>
          </w:p>
        </w:tc>
        <w:tc>
          <w:tcPr>
            <w:tcW w:w="1134" w:type="dxa"/>
          </w:tcPr>
          <w:p w14:paraId="2B56DECD"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26</w:t>
            </w:r>
          </w:p>
        </w:tc>
        <w:tc>
          <w:tcPr>
            <w:tcW w:w="1134" w:type="dxa"/>
          </w:tcPr>
          <w:p w14:paraId="3EAE23B5"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24</w:t>
            </w:r>
          </w:p>
        </w:tc>
      </w:tr>
      <w:tr w:rsidR="0050267D" w:rsidRPr="00D03A4F" w14:paraId="22DD1DA9" w14:textId="77777777" w:rsidTr="00A850F3">
        <w:trPr>
          <w:trHeight w:val="340"/>
          <w:jc w:val="center"/>
        </w:trPr>
        <w:tc>
          <w:tcPr>
            <w:tcW w:w="5948" w:type="dxa"/>
          </w:tcPr>
          <w:p w14:paraId="4A3E13C1" w14:textId="77777777" w:rsidR="0050267D" w:rsidRPr="00D03A4F" w:rsidRDefault="0050267D" w:rsidP="0050267D">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обучающихся с ОВЗ:</w:t>
            </w:r>
          </w:p>
        </w:tc>
        <w:tc>
          <w:tcPr>
            <w:tcW w:w="1134" w:type="dxa"/>
          </w:tcPr>
          <w:p w14:paraId="4A88AD67"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14:paraId="78711D89"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14:paraId="2686F7CC"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w:t>
            </w:r>
          </w:p>
        </w:tc>
      </w:tr>
      <w:tr w:rsidR="0050267D" w:rsidRPr="00D03A4F" w14:paraId="27550F93" w14:textId="77777777" w:rsidTr="00A850F3">
        <w:trPr>
          <w:trHeight w:val="340"/>
          <w:jc w:val="center"/>
        </w:trPr>
        <w:tc>
          <w:tcPr>
            <w:tcW w:w="5948" w:type="dxa"/>
          </w:tcPr>
          <w:p w14:paraId="17C799FD" w14:textId="77777777" w:rsidR="0050267D" w:rsidRPr="00D03A4F" w:rsidRDefault="0050267D" w:rsidP="0050267D">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девочек:</w:t>
            </w:r>
          </w:p>
        </w:tc>
        <w:tc>
          <w:tcPr>
            <w:tcW w:w="1134" w:type="dxa"/>
          </w:tcPr>
          <w:p w14:paraId="5F6B3E39"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14:paraId="303EFD34"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14:paraId="7B848E53"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w:t>
            </w:r>
          </w:p>
        </w:tc>
      </w:tr>
      <w:tr w:rsidR="0050267D" w:rsidRPr="00D03A4F" w14:paraId="7AFE5F6C" w14:textId="77777777" w:rsidTr="00A850F3">
        <w:trPr>
          <w:trHeight w:val="340"/>
          <w:jc w:val="center"/>
        </w:trPr>
        <w:tc>
          <w:tcPr>
            <w:tcW w:w="5948" w:type="dxa"/>
          </w:tcPr>
          <w:p w14:paraId="054332FA" w14:textId="77777777" w:rsidR="0050267D" w:rsidRPr="00D03A4F" w:rsidRDefault="0050267D" w:rsidP="0050267D">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мальчиков:</w:t>
            </w:r>
          </w:p>
        </w:tc>
        <w:tc>
          <w:tcPr>
            <w:tcW w:w="1134" w:type="dxa"/>
          </w:tcPr>
          <w:p w14:paraId="7E07599D"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20</w:t>
            </w:r>
          </w:p>
        </w:tc>
        <w:tc>
          <w:tcPr>
            <w:tcW w:w="1134" w:type="dxa"/>
          </w:tcPr>
          <w:p w14:paraId="7B05D019"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19</w:t>
            </w:r>
          </w:p>
        </w:tc>
        <w:tc>
          <w:tcPr>
            <w:tcW w:w="1134" w:type="dxa"/>
          </w:tcPr>
          <w:p w14:paraId="290D36DC"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16</w:t>
            </w:r>
          </w:p>
        </w:tc>
      </w:tr>
      <w:tr w:rsidR="0050267D" w:rsidRPr="00D03A4F" w14:paraId="6771A700" w14:textId="77777777" w:rsidTr="00A850F3">
        <w:trPr>
          <w:trHeight w:val="340"/>
          <w:jc w:val="center"/>
        </w:trPr>
        <w:tc>
          <w:tcPr>
            <w:tcW w:w="5948" w:type="dxa"/>
          </w:tcPr>
          <w:p w14:paraId="0B9FB9B5" w14:textId="77777777" w:rsidR="0050267D" w:rsidRPr="00D03A4F" w:rsidRDefault="0050267D" w:rsidP="0050267D">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смешанные:</w:t>
            </w:r>
          </w:p>
        </w:tc>
        <w:tc>
          <w:tcPr>
            <w:tcW w:w="1134" w:type="dxa"/>
          </w:tcPr>
          <w:p w14:paraId="09A417D2"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6</w:t>
            </w:r>
          </w:p>
        </w:tc>
        <w:tc>
          <w:tcPr>
            <w:tcW w:w="1134" w:type="dxa"/>
          </w:tcPr>
          <w:p w14:paraId="77327634"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6</w:t>
            </w:r>
          </w:p>
        </w:tc>
        <w:tc>
          <w:tcPr>
            <w:tcW w:w="1134" w:type="dxa"/>
          </w:tcPr>
          <w:p w14:paraId="65ED9B74"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6</w:t>
            </w:r>
          </w:p>
        </w:tc>
      </w:tr>
      <w:tr w:rsidR="0050267D" w:rsidRPr="00D03A4F" w14:paraId="7A89B262" w14:textId="77777777" w:rsidTr="00A850F3">
        <w:trPr>
          <w:trHeight w:val="340"/>
          <w:jc w:val="center"/>
        </w:trPr>
        <w:tc>
          <w:tcPr>
            <w:tcW w:w="5948" w:type="dxa"/>
          </w:tcPr>
          <w:p w14:paraId="0E20A07E" w14:textId="77777777" w:rsidR="0050267D" w:rsidRPr="00D03A4F" w:rsidRDefault="0050267D" w:rsidP="0050267D">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Всего обучающихся по итогам года:</w:t>
            </w:r>
          </w:p>
        </w:tc>
        <w:tc>
          <w:tcPr>
            <w:tcW w:w="1134" w:type="dxa"/>
          </w:tcPr>
          <w:p w14:paraId="14B9AE0F"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1183</w:t>
            </w:r>
          </w:p>
        </w:tc>
        <w:tc>
          <w:tcPr>
            <w:tcW w:w="1134" w:type="dxa"/>
          </w:tcPr>
          <w:p w14:paraId="32573657"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1037</w:t>
            </w:r>
          </w:p>
        </w:tc>
        <w:tc>
          <w:tcPr>
            <w:tcW w:w="1134" w:type="dxa"/>
          </w:tcPr>
          <w:p w14:paraId="56CC669E"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912</w:t>
            </w:r>
          </w:p>
        </w:tc>
      </w:tr>
      <w:tr w:rsidR="0050267D" w:rsidRPr="00D03A4F" w14:paraId="4B79E549" w14:textId="77777777" w:rsidTr="00A850F3">
        <w:trPr>
          <w:trHeight w:val="340"/>
          <w:jc w:val="center"/>
        </w:trPr>
        <w:tc>
          <w:tcPr>
            <w:tcW w:w="5948" w:type="dxa"/>
          </w:tcPr>
          <w:p w14:paraId="0F8D4487" w14:textId="77777777" w:rsidR="0050267D" w:rsidRPr="00D03A4F" w:rsidRDefault="0050267D" w:rsidP="0050267D">
            <w:pPr>
              <w:widowControl w:val="0"/>
              <w:tabs>
                <w:tab w:val="left" w:pos="3119"/>
              </w:tabs>
              <w:spacing w:after="0" w:line="240" w:lineRule="auto"/>
              <w:jc w:val="both"/>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2. Специальные учебно-воспитательные учреждения открытого типа</w:t>
            </w:r>
          </w:p>
        </w:tc>
        <w:tc>
          <w:tcPr>
            <w:tcW w:w="1134" w:type="dxa"/>
          </w:tcPr>
          <w:p w14:paraId="398AAA50"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16</w:t>
            </w:r>
          </w:p>
        </w:tc>
        <w:tc>
          <w:tcPr>
            <w:tcW w:w="1134" w:type="dxa"/>
          </w:tcPr>
          <w:p w14:paraId="17B48C8B"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14</w:t>
            </w:r>
          </w:p>
        </w:tc>
        <w:tc>
          <w:tcPr>
            <w:tcW w:w="1134" w:type="dxa"/>
          </w:tcPr>
          <w:p w14:paraId="04805CEF"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Pr>
                <w:rFonts w:ascii="Times New Roman" w:eastAsia="Times New Roman" w:hAnsi="Times New Roman" w:cs="Times New Roman"/>
                <w:b/>
                <w:color w:val="000000"/>
                <w:lang w:eastAsia="ru-RU" w:bidi="ru-RU"/>
              </w:rPr>
              <w:t>16</w:t>
            </w:r>
          </w:p>
        </w:tc>
      </w:tr>
      <w:tr w:rsidR="0050267D" w:rsidRPr="00D03A4F" w14:paraId="18558D0C" w14:textId="77777777" w:rsidTr="00A850F3">
        <w:trPr>
          <w:trHeight w:val="340"/>
          <w:jc w:val="center"/>
        </w:trPr>
        <w:tc>
          <w:tcPr>
            <w:tcW w:w="5948" w:type="dxa"/>
          </w:tcPr>
          <w:p w14:paraId="1E5DFEA8" w14:textId="77777777" w:rsidR="0050267D" w:rsidRPr="00D03A4F" w:rsidRDefault="0050267D" w:rsidP="0050267D">
            <w:pPr>
              <w:widowControl w:val="0"/>
              <w:tabs>
                <w:tab w:val="left" w:pos="3119"/>
              </w:tabs>
              <w:spacing w:after="0" w:line="240" w:lineRule="auto"/>
              <w:jc w:val="both"/>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Всего обучающихся по итогам года:</w:t>
            </w:r>
          </w:p>
        </w:tc>
        <w:tc>
          <w:tcPr>
            <w:tcW w:w="1134" w:type="dxa"/>
          </w:tcPr>
          <w:p w14:paraId="16FF4468"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2071</w:t>
            </w:r>
          </w:p>
        </w:tc>
        <w:tc>
          <w:tcPr>
            <w:tcW w:w="1134" w:type="dxa"/>
          </w:tcPr>
          <w:p w14:paraId="59F0074C"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1846</w:t>
            </w:r>
          </w:p>
        </w:tc>
        <w:tc>
          <w:tcPr>
            <w:tcW w:w="1134" w:type="dxa"/>
          </w:tcPr>
          <w:p w14:paraId="6854CD51"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Pr>
                <w:rFonts w:ascii="Times New Roman" w:eastAsia="Times New Roman" w:hAnsi="Times New Roman" w:cs="Times New Roman"/>
                <w:b/>
                <w:color w:val="000000"/>
                <w:lang w:eastAsia="ru-RU" w:bidi="ru-RU"/>
              </w:rPr>
              <w:t>1790</w:t>
            </w:r>
          </w:p>
        </w:tc>
      </w:tr>
      <w:tr w:rsidR="0050267D" w:rsidRPr="00D03A4F" w14:paraId="46FBD584" w14:textId="77777777" w:rsidTr="00A850F3">
        <w:trPr>
          <w:trHeight w:val="340"/>
          <w:jc w:val="center"/>
        </w:trPr>
        <w:tc>
          <w:tcPr>
            <w:tcW w:w="5948" w:type="dxa"/>
          </w:tcPr>
          <w:p w14:paraId="2510B910" w14:textId="77777777" w:rsidR="0050267D" w:rsidRPr="00D03A4F" w:rsidRDefault="0050267D" w:rsidP="0050267D">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2.1. Специальные профессиональные образовательные организации открытого типа федерального подчинения, в том числе:</w:t>
            </w:r>
          </w:p>
        </w:tc>
        <w:tc>
          <w:tcPr>
            <w:tcW w:w="1134" w:type="dxa"/>
          </w:tcPr>
          <w:p w14:paraId="0D985B08"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w:t>
            </w:r>
          </w:p>
        </w:tc>
        <w:tc>
          <w:tcPr>
            <w:tcW w:w="1134" w:type="dxa"/>
          </w:tcPr>
          <w:p w14:paraId="28E8E892"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w:t>
            </w:r>
          </w:p>
        </w:tc>
        <w:tc>
          <w:tcPr>
            <w:tcW w:w="1134" w:type="dxa"/>
          </w:tcPr>
          <w:p w14:paraId="0A2EF864"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0</w:t>
            </w:r>
          </w:p>
        </w:tc>
      </w:tr>
      <w:tr w:rsidR="0050267D" w:rsidRPr="00D03A4F" w14:paraId="584D0A98" w14:textId="77777777" w:rsidTr="00A850F3">
        <w:trPr>
          <w:trHeight w:val="340"/>
          <w:jc w:val="center"/>
        </w:trPr>
        <w:tc>
          <w:tcPr>
            <w:tcW w:w="5948" w:type="dxa"/>
          </w:tcPr>
          <w:p w14:paraId="463B03D7" w14:textId="77777777" w:rsidR="0050267D" w:rsidRPr="00D03A4F" w:rsidRDefault="0050267D" w:rsidP="0050267D">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мальчиков:</w:t>
            </w:r>
          </w:p>
        </w:tc>
        <w:tc>
          <w:tcPr>
            <w:tcW w:w="1134" w:type="dxa"/>
          </w:tcPr>
          <w:p w14:paraId="610F359B"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w:t>
            </w:r>
          </w:p>
        </w:tc>
        <w:tc>
          <w:tcPr>
            <w:tcW w:w="1134" w:type="dxa"/>
          </w:tcPr>
          <w:p w14:paraId="1F8867BB"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w:t>
            </w:r>
          </w:p>
        </w:tc>
        <w:tc>
          <w:tcPr>
            <w:tcW w:w="1134" w:type="dxa"/>
          </w:tcPr>
          <w:p w14:paraId="4F004467"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0</w:t>
            </w:r>
          </w:p>
        </w:tc>
      </w:tr>
      <w:tr w:rsidR="0050267D" w:rsidRPr="00D03A4F" w14:paraId="629B2831" w14:textId="77777777" w:rsidTr="00A850F3">
        <w:trPr>
          <w:trHeight w:val="340"/>
          <w:jc w:val="center"/>
        </w:trPr>
        <w:tc>
          <w:tcPr>
            <w:tcW w:w="5948" w:type="dxa"/>
          </w:tcPr>
          <w:p w14:paraId="1E9C47A1" w14:textId="77777777" w:rsidR="0050267D" w:rsidRPr="00D03A4F" w:rsidRDefault="0050267D" w:rsidP="0050267D">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Всего обучающихся по итогам года:</w:t>
            </w:r>
          </w:p>
        </w:tc>
        <w:tc>
          <w:tcPr>
            <w:tcW w:w="1134" w:type="dxa"/>
          </w:tcPr>
          <w:p w14:paraId="6C74C03B"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231</w:t>
            </w:r>
          </w:p>
        </w:tc>
        <w:tc>
          <w:tcPr>
            <w:tcW w:w="1134" w:type="dxa"/>
          </w:tcPr>
          <w:p w14:paraId="55FF81FB"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132</w:t>
            </w:r>
          </w:p>
        </w:tc>
        <w:tc>
          <w:tcPr>
            <w:tcW w:w="1134" w:type="dxa"/>
          </w:tcPr>
          <w:p w14:paraId="462A5F69"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0</w:t>
            </w:r>
          </w:p>
        </w:tc>
      </w:tr>
      <w:tr w:rsidR="0050267D" w:rsidRPr="00D03A4F" w14:paraId="6DAA3475" w14:textId="77777777" w:rsidTr="00A850F3">
        <w:trPr>
          <w:trHeight w:val="340"/>
          <w:jc w:val="center"/>
        </w:trPr>
        <w:tc>
          <w:tcPr>
            <w:tcW w:w="5948" w:type="dxa"/>
          </w:tcPr>
          <w:p w14:paraId="7561D2F6" w14:textId="77777777" w:rsidR="0050267D" w:rsidRPr="00D03A4F" w:rsidRDefault="0050267D" w:rsidP="0050267D">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2.2. Специальные профессиональные образовательные организации открытого типа регионального подчинения, в том числе:</w:t>
            </w:r>
          </w:p>
        </w:tc>
        <w:tc>
          <w:tcPr>
            <w:tcW w:w="1134" w:type="dxa"/>
          </w:tcPr>
          <w:p w14:paraId="44E72E8A"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14:paraId="73F131AE"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w:t>
            </w:r>
          </w:p>
        </w:tc>
        <w:tc>
          <w:tcPr>
            <w:tcW w:w="1134" w:type="dxa"/>
          </w:tcPr>
          <w:p w14:paraId="070BE058"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2</w:t>
            </w:r>
          </w:p>
        </w:tc>
      </w:tr>
      <w:tr w:rsidR="0050267D" w:rsidRPr="00D03A4F" w14:paraId="2DB478AA" w14:textId="77777777" w:rsidTr="00A850F3">
        <w:trPr>
          <w:trHeight w:val="340"/>
          <w:jc w:val="center"/>
        </w:trPr>
        <w:tc>
          <w:tcPr>
            <w:tcW w:w="5948" w:type="dxa"/>
          </w:tcPr>
          <w:p w14:paraId="35AB57F4" w14:textId="77777777" w:rsidR="0050267D" w:rsidRPr="00D03A4F" w:rsidRDefault="0050267D" w:rsidP="0050267D">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смешанные:</w:t>
            </w:r>
          </w:p>
        </w:tc>
        <w:tc>
          <w:tcPr>
            <w:tcW w:w="1134" w:type="dxa"/>
          </w:tcPr>
          <w:p w14:paraId="0959F167"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14:paraId="5A8EB403"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14:paraId="2F9CCEC0"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2</w:t>
            </w:r>
          </w:p>
        </w:tc>
      </w:tr>
      <w:tr w:rsidR="0050267D" w:rsidRPr="00D03A4F" w14:paraId="6C5740BE" w14:textId="77777777" w:rsidTr="00A850F3">
        <w:trPr>
          <w:trHeight w:val="340"/>
          <w:jc w:val="center"/>
        </w:trPr>
        <w:tc>
          <w:tcPr>
            <w:tcW w:w="5948" w:type="dxa"/>
          </w:tcPr>
          <w:p w14:paraId="7F85CE39" w14:textId="77777777" w:rsidR="0050267D" w:rsidRPr="00D03A4F" w:rsidRDefault="0050267D" w:rsidP="0050267D">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Всего обучающихся по итогам года:</w:t>
            </w:r>
          </w:p>
        </w:tc>
        <w:tc>
          <w:tcPr>
            <w:tcW w:w="1134" w:type="dxa"/>
          </w:tcPr>
          <w:p w14:paraId="4B4550F3"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99</w:t>
            </w:r>
          </w:p>
        </w:tc>
        <w:tc>
          <w:tcPr>
            <w:tcW w:w="1134" w:type="dxa"/>
          </w:tcPr>
          <w:p w14:paraId="3D3F5803"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116</w:t>
            </w:r>
          </w:p>
        </w:tc>
        <w:tc>
          <w:tcPr>
            <w:tcW w:w="1134" w:type="dxa"/>
          </w:tcPr>
          <w:p w14:paraId="42204DD8"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133</w:t>
            </w:r>
          </w:p>
        </w:tc>
      </w:tr>
      <w:tr w:rsidR="0050267D" w:rsidRPr="00D03A4F" w14:paraId="074675DF" w14:textId="77777777" w:rsidTr="00A850F3">
        <w:trPr>
          <w:trHeight w:val="340"/>
          <w:jc w:val="center"/>
        </w:trPr>
        <w:tc>
          <w:tcPr>
            <w:tcW w:w="5948" w:type="dxa"/>
          </w:tcPr>
          <w:p w14:paraId="6A5B9ABA" w14:textId="77777777" w:rsidR="0050267D" w:rsidRPr="00D03A4F" w:rsidRDefault="0050267D" w:rsidP="0050267D">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2.3. Специальные общеобразовательные организации открытого типа регионального подчинения, в том числе:</w:t>
            </w:r>
          </w:p>
        </w:tc>
        <w:tc>
          <w:tcPr>
            <w:tcW w:w="1134" w:type="dxa"/>
          </w:tcPr>
          <w:p w14:paraId="574BCC60"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13</w:t>
            </w:r>
          </w:p>
        </w:tc>
        <w:tc>
          <w:tcPr>
            <w:tcW w:w="1134" w:type="dxa"/>
          </w:tcPr>
          <w:p w14:paraId="11EC73EB"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12</w:t>
            </w:r>
          </w:p>
        </w:tc>
        <w:tc>
          <w:tcPr>
            <w:tcW w:w="1134" w:type="dxa"/>
          </w:tcPr>
          <w:p w14:paraId="3727A735"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14</w:t>
            </w:r>
          </w:p>
        </w:tc>
      </w:tr>
      <w:tr w:rsidR="0050267D" w:rsidRPr="00D03A4F" w14:paraId="5B6E2081" w14:textId="77777777" w:rsidTr="00A850F3">
        <w:trPr>
          <w:trHeight w:val="340"/>
          <w:jc w:val="center"/>
        </w:trPr>
        <w:tc>
          <w:tcPr>
            <w:tcW w:w="5948" w:type="dxa"/>
          </w:tcPr>
          <w:p w14:paraId="3524A8C8" w14:textId="77777777" w:rsidR="0050267D" w:rsidRPr="00D03A4F" w:rsidRDefault="0050267D" w:rsidP="0050267D">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девочек:</w:t>
            </w:r>
          </w:p>
        </w:tc>
        <w:tc>
          <w:tcPr>
            <w:tcW w:w="1134" w:type="dxa"/>
          </w:tcPr>
          <w:p w14:paraId="5A6BC00B"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14:paraId="72B35975"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w:t>
            </w:r>
          </w:p>
        </w:tc>
        <w:tc>
          <w:tcPr>
            <w:tcW w:w="1134" w:type="dxa"/>
          </w:tcPr>
          <w:p w14:paraId="657BDA2F"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w:t>
            </w:r>
          </w:p>
        </w:tc>
      </w:tr>
      <w:tr w:rsidR="0050267D" w:rsidRPr="00D03A4F" w14:paraId="0B4877AA" w14:textId="77777777" w:rsidTr="00A850F3">
        <w:trPr>
          <w:trHeight w:val="340"/>
          <w:jc w:val="center"/>
        </w:trPr>
        <w:tc>
          <w:tcPr>
            <w:tcW w:w="5948" w:type="dxa"/>
          </w:tcPr>
          <w:p w14:paraId="2AE1D021" w14:textId="77777777" w:rsidR="0050267D" w:rsidRPr="00D03A4F" w:rsidRDefault="0050267D" w:rsidP="0050267D">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для мальчиков:</w:t>
            </w:r>
          </w:p>
        </w:tc>
        <w:tc>
          <w:tcPr>
            <w:tcW w:w="1134" w:type="dxa"/>
          </w:tcPr>
          <w:p w14:paraId="33FA3E9B"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2</w:t>
            </w:r>
          </w:p>
        </w:tc>
        <w:tc>
          <w:tcPr>
            <w:tcW w:w="1134" w:type="dxa"/>
          </w:tcPr>
          <w:p w14:paraId="22409820"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3</w:t>
            </w:r>
          </w:p>
        </w:tc>
        <w:tc>
          <w:tcPr>
            <w:tcW w:w="1134" w:type="dxa"/>
          </w:tcPr>
          <w:p w14:paraId="2318D8F8"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5</w:t>
            </w:r>
          </w:p>
        </w:tc>
      </w:tr>
      <w:tr w:rsidR="0050267D" w:rsidRPr="00D03A4F" w14:paraId="57274F99" w14:textId="77777777" w:rsidTr="00A850F3">
        <w:trPr>
          <w:trHeight w:val="340"/>
          <w:jc w:val="center"/>
        </w:trPr>
        <w:tc>
          <w:tcPr>
            <w:tcW w:w="5948" w:type="dxa"/>
          </w:tcPr>
          <w:p w14:paraId="762378DD" w14:textId="77777777" w:rsidR="0050267D" w:rsidRPr="00D03A4F" w:rsidRDefault="0050267D" w:rsidP="0050267D">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смешанные:</w:t>
            </w:r>
          </w:p>
        </w:tc>
        <w:tc>
          <w:tcPr>
            <w:tcW w:w="1134" w:type="dxa"/>
          </w:tcPr>
          <w:p w14:paraId="49E0BAC2"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10</w:t>
            </w:r>
          </w:p>
        </w:tc>
        <w:tc>
          <w:tcPr>
            <w:tcW w:w="1134" w:type="dxa"/>
          </w:tcPr>
          <w:p w14:paraId="4D6983B6"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8</w:t>
            </w:r>
          </w:p>
        </w:tc>
        <w:tc>
          <w:tcPr>
            <w:tcW w:w="1134" w:type="dxa"/>
          </w:tcPr>
          <w:p w14:paraId="63EEB1C9"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8</w:t>
            </w:r>
          </w:p>
        </w:tc>
      </w:tr>
      <w:tr w:rsidR="0050267D" w:rsidRPr="00D03A4F" w14:paraId="7F7B2B83" w14:textId="77777777" w:rsidTr="00A850F3">
        <w:trPr>
          <w:trHeight w:val="340"/>
          <w:jc w:val="center"/>
        </w:trPr>
        <w:tc>
          <w:tcPr>
            <w:tcW w:w="5948" w:type="dxa"/>
          </w:tcPr>
          <w:p w14:paraId="1A2589C9" w14:textId="77777777" w:rsidR="0050267D" w:rsidRPr="00D03A4F" w:rsidRDefault="0050267D" w:rsidP="0050267D">
            <w:pPr>
              <w:widowControl w:val="0"/>
              <w:tabs>
                <w:tab w:val="left" w:pos="3119"/>
              </w:tabs>
              <w:spacing w:after="0" w:line="240" w:lineRule="auto"/>
              <w:jc w:val="both"/>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Всего обучающихся по итогам года:</w:t>
            </w:r>
          </w:p>
        </w:tc>
        <w:tc>
          <w:tcPr>
            <w:tcW w:w="1134" w:type="dxa"/>
          </w:tcPr>
          <w:p w14:paraId="2D239865"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1741</w:t>
            </w:r>
          </w:p>
        </w:tc>
        <w:tc>
          <w:tcPr>
            <w:tcW w:w="1134" w:type="dxa"/>
          </w:tcPr>
          <w:p w14:paraId="499A3342"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1A368F">
              <w:rPr>
                <w:rFonts w:ascii="Times New Roman" w:eastAsia="Times New Roman" w:hAnsi="Times New Roman" w:cs="Times New Roman"/>
                <w:color w:val="000000"/>
                <w:lang w:eastAsia="ru-RU" w:bidi="ru-RU"/>
              </w:rPr>
              <w:t>1598</w:t>
            </w:r>
          </w:p>
        </w:tc>
        <w:tc>
          <w:tcPr>
            <w:tcW w:w="1134" w:type="dxa"/>
          </w:tcPr>
          <w:p w14:paraId="3BAD3947"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1657</w:t>
            </w:r>
          </w:p>
        </w:tc>
      </w:tr>
      <w:tr w:rsidR="0050267D" w:rsidRPr="00D03A4F" w14:paraId="0D0E4913" w14:textId="77777777" w:rsidTr="00A850F3">
        <w:trPr>
          <w:trHeight w:val="340"/>
          <w:jc w:val="center"/>
        </w:trPr>
        <w:tc>
          <w:tcPr>
            <w:tcW w:w="5948" w:type="dxa"/>
          </w:tcPr>
          <w:p w14:paraId="33412ECF" w14:textId="77777777" w:rsidR="0050267D" w:rsidRPr="00D03A4F" w:rsidRDefault="0050267D" w:rsidP="0050267D">
            <w:pPr>
              <w:widowControl w:val="0"/>
              <w:tabs>
                <w:tab w:val="left" w:pos="3119"/>
              </w:tabs>
              <w:spacing w:after="0" w:line="240" w:lineRule="auto"/>
              <w:jc w:val="both"/>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Всего учреждений</w:t>
            </w:r>
          </w:p>
        </w:tc>
        <w:tc>
          <w:tcPr>
            <w:tcW w:w="1134" w:type="dxa"/>
          </w:tcPr>
          <w:p w14:paraId="66AD9C87"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61</w:t>
            </w:r>
          </w:p>
        </w:tc>
        <w:tc>
          <w:tcPr>
            <w:tcW w:w="1134" w:type="dxa"/>
          </w:tcPr>
          <w:p w14:paraId="2D5AE560"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57</w:t>
            </w:r>
          </w:p>
        </w:tc>
        <w:tc>
          <w:tcPr>
            <w:tcW w:w="1134" w:type="dxa"/>
          </w:tcPr>
          <w:p w14:paraId="131E50CB"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Pr>
                <w:rFonts w:ascii="Times New Roman" w:eastAsia="Times New Roman" w:hAnsi="Times New Roman" w:cs="Times New Roman"/>
                <w:b/>
                <w:color w:val="000000"/>
                <w:lang w:eastAsia="ru-RU" w:bidi="ru-RU"/>
              </w:rPr>
              <w:t>58</w:t>
            </w:r>
          </w:p>
        </w:tc>
      </w:tr>
      <w:tr w:rsidR="0050267D" w:rsidRPr="00D03A4F" w14:paraId="5E468747" w14:textId="77777777" w:rsidTr="00A850F3">
        <w:trPr>
          <w:trHeight w:val="340"/>
          <w:jc w:val="center"/>
        </w:trPr>
        <w:tc>
          <w:tcPr>
            <w:tcW w:w="5948" w:type="dxa"/>
          </w:tcPr>
          <w:p w14:paraId="781622C2" w14:textId="77777777" w:rsidR="0050267D" w:rsidRPr="00D03A4F" w:rsidRDefault="0050267D" w:rsidP="0050267D">
            <w:pPr>
              <w:widowControl w:val="0"/>
              <w:tabs>
                <w:tab w:val="left" w:pos="3119"/>
              </w:tabs>
              <w:spacing w:after="0" w:line="240" w:lineRule="auto"/>
              <w:jc w:val="both"/>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Всего обучающихся по итогам года</w:t>
            </w:r>
          </w:p>
        </w:tc>
        <w:tc>
          <w:tcPr>
            <w:tcW w:w="1134" w:type="dxa"/>
          </w:tcPr>
          <w:p w14:paraId="044069E9"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4868</w:t>
            </w:r>
          </w:p>
        </w:tc>
        <w:tc>
          <w:tcPr>
            <w:tcW w:w="1134" w:type="dxa"/>
          </w:tcPr>
          <w:p w14:paraId="362BC5D2"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1A368F">
              <w:rPr>
                <w:rFonts w:ascii="Times New Roman" w:eastAsia="Times New Roman" w:hAnsi="Times New Roman" w:cs="Times New Roman"/>
                <w:b/>
                <w:color w:val="000000"/>
                <w:lang w:eastAsia="ru-RU" w:bidi="ru-RU"/>
              </w:rPr>
              <w:t>4333</w:t>
            </w:r>
          </w:p>
        </w:tc>
        <w:tc>
          <w:tcPr>
            <w:tcW w:w="1134" w:type="dxa"/>
          </w:tcPr>
          <w:p w14:paraId="4850C947" w14:textId="77777777" w:rsidR="0050267D" w:rsidRPr="001A368F" w:rsidRDefault="0050267D" w:rsidP="0050267D">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Pr>
                <w:rFonts w:ascii="Times New Roman" w:eastAsia="Times New Roman" w:hAnsi="Times New Roman" w:cs="Times New Roman"/>
                <w:b/>
                <w:color w:val="000000"/>
                <w:lang w:eastAsia="ru-RU" w:bidi="ru-RU"/>
              </w:rPr>
              <w:t>4048</w:t>
            </w:r>
          </w:p>
        </w:tc>
      </w:tr>
    </w:tbl>
    <w:p w14:paraId="52C08A81" w14:textId="77777777" w:rsidR="001D70C1" w:rsidRDefault="001D70C1" w:rsidP="00A850F3">
      <w:pPr>
        <w:widowControl w:val="0"/>
        <w:spacing w:after="0" w:line="312" w:lineRule="auto"/>
        <w:ind w:firstLine="709"/>
        <w:jc w:val="both"/>
        <w:rPr>
          <w:rFonts w:ascii="Times New Roman" w:eastAsia="Calibri" w:hAnsi="Times New Roman" w:cs="Times New Roman"/>
          <w:sz w:val="28"/>
          <w:szCs w:val="28"/>
        </w:rPr>
      </w:pPr>
    </w:p>
    <w:p w14:paraId="3F8E5D4A" w14:textId="77777777" w:rsidR="001D70C1" w:rsidRDefault="001D70C1" w:rsidP="00A850F3">
      <w:pPr>
        <w:widowControl w:val="0"/>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Специальные учебно-воспитательные учреждения открытого и закрытого типа занимают особое место в системе профилактики </w:t>
      </w:r>
      <w:r w:rsidR="00625D46" w:rsidRPr="00D86A49">
        <w:rPr>
          <w:rFonts w:ascii="Times New Roman" w:hAnsi="Times New Roman" w:cs="Times New Roman"/>
          <w:sz w:val="28"/>
          <w:szCs w:val="28"/>
        </w:rPr>
        <w:t>безнадзорности и правонарушений несовершеннолетних</w:t>
      </w:r>
      <w:r w:rsidR="0052515D" w:rsidRPr="00BD5345">
        <w:rPr>
          <w:rFonts w:ascii="Times New Roman" w:eastAsia="Times New Roman" w:hAnsi="Times New Roman" w:cs="Times New Roman"/>
          <w:sz w:val="28"/>
          <w:szCs w:val="28"/>
        </w:rPr>
        <w:t> </w:t>
      </w:r>
      <w:r>
        <w:rPr>
          <w:rFonts w:ascii="Times New Roman" w:eastAsia="Calibri" w:hAnsi="Times New Roman" w:cs="Times New Roman"/>
          <w:sz w:val="28"/>
          <w:szCs w:val="28"/>
        </w:rPr>
        <w:t xml:space="preserve">и являются тем звеном инфраструктуры, которое обеспечивает ранее и непосредственное предупреждение правонарушений несовершеннолетних, исправление без лишения свободы. </w:t>
      </w:r>
      <w:r w:rsidR="001A5C98">
        <w:rPr>
          <w:rFonts w:ascii="Times New Roman" w:eastAsia="Calibri" w:hAnsi="Times New Roman" w:cs="Times New Roman"/>
          <w:sz w:val="28"/>
          <w:szCs w:val="28"/>
        </w:rPr>
        <w:t>Ограничения по режиму и ряд других требований в работе учреждений продиктованы, в первую очередь, созданием необходимых условий реабилитации, максимальной защищенности несовершеннолетних от негативного влияния, обеспечением полноценных «ритмов жизнедеятельности» каждого воспитанника.</w:t>
      </w:r>
    </w:p>
    <w:p w14:paraId="539DC556" w14:textId="77777777" w:rsidR="001A5C98" w:rsidRDefault="001A5C98" w:rsidP="00A850F3">
      <w:pPr>
        <w:widowControl w:val="0"/>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Своевременное направление несовершеннолетних в специальны</w:t>
      </w:r>
      <w:r w:rsidR="00B03FD7">
        <w:rPr>
          <w:rFonts w:ascii="Times New Roman" w:eastAsia="Calibri" w:hAnsi="Times New Roman" w:cs="Times New Roman"/>
          <w:sz w:val="28"/>
          <w:szCs w:val="28"/>
        </w:rPr>
        <w:t>е</w:t>
      </w:r>
      <w:r>
        <w:rPr>
          <w:rFonts w:ascii="Times New Roman" w:eastAsia="Calibri" w:hAnsi="Times New Roman" w:cs="Times New Roman"/>
          <w:sz w:val="28"/>
          <w:szCs w:val="28"/>
        </w:rPr>
        <w:t xml:space="preserve"> учебно-воспитательны</w:t>
      </w:r>
      <w:r w:rsidR="00B03FD7">
        <w:rPr>
          <w:rFonts w:ascii="Times New Roman" w:eastAsia="Calibri" w:hAnsi="Times New Roman" w:cs="Times New Roman"/>
          <w:sz w:val="28"/>
          <w:szCs w:val="28"/>
        </w:rPr>
        <w:t>е</w:t>
      </w:r>
      <w:r>
        <w:rPr>
          <w:rFonts w:ascii="Times New Roman" w:eastAsia="Calibri" w:hAnsi="Times New Roman" w:cs="Times New Roman"/>
          <w:sz w:val="28"/>
          <w:szCs w:val="28"/>
        </w:rPr>
        <w:t xml:space="preserve"> учреждения является одним из эффективных способов оказания несовершеннолетним комплексной помощи, предупреждения совершения ими повторных правонарушений.</w:t>
      </w:r>
    </w:p>
    <w:p w14:paraId="66A84BD5" w14:textId="77777777" w:rsidR="00A850F3" w:rsidRPr="00D03A4F" w:rsidRDefault="00A850F3" w:rsidP="00A850F3">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Специальные учебно-воспитательные учреждения закрытого типа обеспечивают реабилитацию и </w:t>
      </w:r>
      <w:proofErr w:type="spellStart"/>
      <w:r w:rsidRPr="00D03A4F">
        <w:rPr>
          <w:rFonts w:ascii="Times New Roman" w:eastAsia="Calibri" w:hAnsi="Times New Roman" w:cs="Times New Roman"/>
          <w:sz w:val="28"/>
          <w:szCs w:val="28"/>
        </w:rPr>
        <w:t>ресоциализацию</w:t>
      </w:r>
      <w:proofErr w:type="spellEnd"/>
      <w:r w:rsidRPr="00D03A4F">
        <w:rPr>
          <w:rFonts w:ascii="Times New Roman" w:eastAsia="Calibri" w:hAnsi="Times New Roman" w:cs="Times New Roman"/>
          <w:sz w:val="28"/>
          <w:szCs w:val="28"/>
        </w:rPr>
        <w:t xml:space="preserve"> несовершеннолетних в возрасте </w:t>
      </w:r>
      <w:r w:rsidR="0052515D">
        <w:rPr>
          <w:rFonts w:ascii="Times New Roman" w:eastAsia="Calibri" w:hAnsi="Times New Roman" w:cs="Times New Roman"/>
          <w:sz w:val="28"/>
          <w:szCs w:val="28"/>
        </w:rPr>
        <w:br/>
      </w:r>
      <w:r w:rsidRPr="00D03A4F">
        <w:rPr>
          <w:rFonts w:ascii="Times New Roman" w:eastAsia="Calibri" w:hAnsi="Times New Roman" w:cs="Times New Roman"/>
          <w:sz w:val="28"/>
          <w:szCs w:val="28"/>
        </w:rPr>
        <w:t xml:space="preserve">от 11 до 18 лет, совершивших общественно опасные деяния, предусмотренные </w:t>
      </w:r>
      <w:r w:rsidR="00A12DC0">
        <w:rPr>
          <w:rFonts w:ascii="Times New Roman" w:eastAsia="Calibri" w:hAnsi="Times New Roman" w:cs="Times New Roman"/>
          <w:sz w:val="28"/>
          <w:szCs w:val="28"/>
        </w:rPr>
        <w:br/>
        <w:t>УК РФ</w:t>
      </w:r>
      <w:r w:rsidRPr="00D03A4F">
        <w:rPr>
          <w:rFonts w:ascii="Times New Roman" w:eastAsia="Calibri" w:hAnsi="Times New Roman" w:cs="Times New Roman"/>
          <w:sz w:val="28"/>
          <w:szCs w:val="28"/>
        </w:rPr>
        <w:t xml:space="preserve">, но не подлежащих уголовной ответственности либо освобожденных судом в установленном порядке от наказания, а также комплексную профилактику правонарушений, совершаемых детьми и подростками </w:t>
      </w:r>
      <w:r w:rsidRPr="00295F0B">
        <w:rPr>
          <w:rFonts w:ascii="Times New Roman" w:eastAsia="Calibri" w:hAnsi="Times New Roman" w:cs="Times New Roman"/>
          <w:sz w:val="28"/>
          <w:szCs w:val="28"/>
        </w:rPr>
        <w:t xml:space="preserve">с </w:t>
      </w:r>
      <w:proofErr w:type="spellStart"/>
      <w:r w:rsidRPr="00295F0B">
        <w:rPr>
          <w:rFonts w:ascii="Times New Roman" w:eastAsia="Calibri" w:hAnsi="Times New Roman" w:cs="Times New Roman"/>
          <w:sz w:val="28"/>
          <w:szCs w:val="28"/>
        </w:rPr>
        <w:t>девиантным</w:t>
      </w:r>
      <w:proofErr w:type="spellEnd"/>
      <w:r w:rsidRPr="00295F0B">
        <w:rPr>
          <w:rFonts w:ascii="Times New Roman" w:eastAsia="Calibri" w:hAnsi="Times New Roman" w:cs="Times New Roman"/>
          <w:sz w:val="28"/>
          <w:szCs w:val="28"/>
        </w:rPr>
        <w:t xml:space="preserve"> (общественно опасным) поведением.</w:t>
      </w:r>
    </w:p>
    <w:p w14:paraId="6172112E" w14:textId="77777777" w:rsidR="00A850F3" w:rsidRPr="00D03A4F" w:rsidRDefault="00A850F3" w:rsidP="00A850F3">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Обучающиеся направляются в специальные учебно-воспитательные учреждения закрытого типа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w:t>
      </w:r>
      <w:r w:rsidR="00A12DC0">
        <w:rPr>
          <w:rFonts w:ascii="Times New Roman" w:eastAsia="Calibri" w:hAnsi="Times New Roman" w:cs="Times New Roman"/>
          <w:sz w:val="28"/>
          <w:szCs w:val="28"/>
        </w:rPr>
        <w:t>УК РФ</w:t>
      </w:r>
      <w:r w:rsidRPr="00D03A4F">
        <w:rPr>
          <w:rFonts w:ascii="Times New Roman" w:eastAsia="Calibri" w:hAnsi="Times New Roman" w:cs="Times New Roman"/>
          <w:sz w:val="28"/>
          <w:szCs w:val="28"/>
        </w:rPr>
        <w:t>, по которой квалифицировано деяние несовершеннолетнего, но он не может быть более 3 лет.</w:t>
      </w:r>
    </w:p>
    <w:p w14:paraId="7009F3A4" w14:textId="77777777" w:rsidR="00A850F3" w:rsidRPr="00D03A4F" w:rsidRDefault="00A850F3" w:rsidP="00A850F3">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 целях изоляции несовершеннолетних от криминальной среды, обеспечения их безопасности и защиты от негативного влияния все внешние контакты воспитанников специальных учебно-воспитательных учреждений закрытого типа строго контролируются и регламентируются.</w:t>
      </w:r>
    </w:p>
    <w:p w14:paraId="48D4C3ED" w14:textId="77777777" w:rsidR="00A850F3" w:rsidRPr="00AB789D" w:rsidRDefault="00A850F3" w:rsidP="00A850F3">
      <w:pPr>
        <w:widowControl w:val="0"/>
        <w:spacing w:after="0" w:line="312" w:lineRule="auto"/>
        <w:ind w:firstLine="709"/>
        <w:jc w:val="both"/>
        <w:rPr>
          <w:rFonts w:ascii="Times New Roman" w:eastAsia="Calibri" w:hAnsi="Times New Roman" w:cs="Times New Roman"/>
          <w:sz w:val="28"/>
          <w:szCs w:val="28"/>
        </w:rPr>
      </w:pPr>
      <w:r w:rsidRPr="00AB789D">
        <w:rPr>
          <w:rFonts w:ascii="Times New Roman" w:eastAsia="Calibri" w:hAnsi="Times New Roman" w:cs="Times New Roman"/>
          <w:sz w:val="28"/>
          <w:szCs w:val="28"/>
        </w:rPr>
        <w:t>В 20</w:t>
      </w:r>
      <w:r w:rsidR="00224FDF">
        <w:rPr>
          <w:rFonts w:ascii="Times New Roman" w:eastAsia="Calibri" w:hAnsi="Times New Roman" w:cs="Times New Roman"/>
          <w:sz w:val="28"/>
          <w:szCs w:val="28"/>
        </w:rPr>
        <w:t>2</w:t>
      </w:r>
      <w:r w:rsidR="00E204F8">
        <w:rPr>
          <w:rFonts w:ascii="Times New Roman" w:eastAsia="Calibri" w:hAnsi="Times New Roman" w:cs="Times New Roman"/>
          <w:sz w:val="28"/>
          <w:szCs w:val="28"/>
        </w:rPr>
        <w:t>1</w:t>
      </w:r>
      <w:r w:rsidRPr="00AB789D">
        <w:rPr>
          <w:rFonts w:ascii="Times New Roman" w:eastAsia="Calibri" w:hAnsi="Times New Roman" w:cs="Times New Roman"/>
          <w:sz w:val="28"/>
          <w:szCs w:val="28"/>
        </w:rPr>
        <w:t xml:space="preserve"> г</w:t>
      </w:r>
      <w:r w:rsidR="00857A86">
        <w:rPr>
          <w:rFonts w:ascii="Times New Roman" w:eastAsia="Calibri" w:hAnsi="Times New Roman" w:cs="Times New Roman"/>
          <w:sz w:val="28"/>
          <w:szCs w:val="28"/>
        </w:rPr>
        <w:t>.</w:t>
      </w:r>
      <w:r w:rsidRPr="00AB789D">
        <w:rPr>
          <w:rFonts w:ascii="Times New Roman" w:eastAsia="Calibri" w:hAnsi="Times New Roman" w:cs="Times New Roman"/>
          <w:sz w:val="28"/>
          <w:szCs w:val="28"/>
        </w:rPr>
        <w:t xml:space="preserve"> в Российской Федерации функционировало 4</w:t>
      </w:r>
      <w:r w:rsidR="00E204F8">
        <w:rPr>
          <w:rFonts w:ascii="Times New Roman" w:eastAsia="Calibri" w:hAnsi="Times New Roman" w:cs="Times New Roman"/>
          <w:sz w:val="28"/>
          <w:szCs w:val="28"/>
        </w:rPr>
        <w:t>2</w:t>
      </w:r>
      <w:r w:rsidRPr="00AB789D">
        <w:rPr>
          <w:rFonts w:ascii="Times New Roman" w:eastAsia="Calibri" w:hAnsi="Times New Roman" w:cs="Times New Roman"/>
          <w:sz w:val="28"/>
          <w:szCs w:val="28"/>
        </w:rPr>
        <w:t xml:space="preserve"> специальных учебно-воспитательных учреждени</w:t>
      </w:r>
      <w:r w:rsidR="00224FDF">
        <w:rPr>
          <w:rFonts w:ascii="Times New Roman" w:eastAsia="Calibri" w:hAnsi="Times New Roman" w:cs="Times New Roman"/>
          <w:sz w:val="28"/>
          <w:szCs w:val="28"/>
        </w:rPr>
        <w:t>я</w:t>
      </w:r>
      <w:r w:rsidRPr="00AB789D">
        <w:rPr>
          <w:rFonts w:ascii="Times New Roman" w:eastAsia="Calibri" w:hAnsi="Times New Roman" w:cs="Times New Roman"/>
          <w:sz w:val="28"/>
          <w:szCs w:val="28"/>
        </w:rPr>
        <w:t xml:space="preserve"> закрытого типа (</w:t>
      </w:r>
      <w:r w:rsidR="00E204F8">
        <w:rPr>
          <w:rFonts w:ascii="Times New Roman" w:eastAsia="Calibri" w:hAnsi="Times New Roman" w:cs="Times New Roman"/>
          <w:sz w:val="28"/>
          <w:szCs w:val="28"/>
        </w:rPr>
        <w:t xml:space="preserve">2020 г. – 44; </w:t>
      </w:r>
      <w:r w:rsidR="00224FDF" w:rsidRPr="00AB789D">
        <w:rPr>
          <w:rFonts w:ascii="Times New Roman" w:eastAsia="Calibri" w:hAnsi="Times New Roman" w:cs="Times New Roman"/>
          <w:sz w:val="28"/>
          <w:szCs w:val="28"/>
        </w:rPr>
        <w:t>201</w:t>
      </w:r>
      <w:r w:rsidR="00224FDF">
        <w:rPr>
          <w:rFonts w:ascii="Times New Roman" w:eastAsia="Calibri" w:hAnsi="Times New Roman" w:cs="Times New Roman"/>
          <w:sz w:val="28"/>
          <w:szCs w:val="28"/>
        </w:rPr>
        <w:t>9</w:t>
      </w:r>
      <w:r w:rsidR="00224FDF" w:rsidRPr="00AB789D">
        <w:rPr>
          <w:rFonts w:ascii="Times New Roman" w:eastAsia="Calibri" w:hAnsi="Times New Roman" w:cs="Times New Roman"/>
          <w:sz w:val="28"/>
          <w:szCs w:val="28"/>
        </w:rPr>
        <w:t xml:space="preserve"> г. – 4</w:t>
      </w:r>
      <w:r w:rsidR="00224FDF">
        <w:rPr>
          <w:rFonts w:ascii="Times New Roman" w:eastAsia="Calibri" w:hAnsi="Times New Roman" w:cs="Times New Roman"/>
          <w:sz w:val="28"/>
          <w:szCs w:val="28"/>
        </w:rPr>
        <w:t>4</w:t>
      </w:r>
      <w:r w:rsidRPr="00AB789D">
        <w:rPr>
          <w:rFonts w:ascii="Times New Roman" w:eastAsia="Calibri" w:hAnsi="Times New Roman" w:cs="Times New Roman"/>
          <w:sz w:val="28"/>
          <w:szCs w:val="28"/>
        </w:rPr>
        <w:t>), расположенных в 3</w:t>
      </w:r>
      <w:r w:rsidR="00E204F8">
        <w:rPr>
          <w:rFonts w:ascii="Times New Roman" w:eastAsia="Calibri" w:hAnsi="Times New Roman" w:cs="Times New Roman"/>
          <w:sz w:val="28"/>
          <w:szCs w:val="28"/>
        </w:rPr>
        <w:t>6</w:t>
      </w:r>
      <w:r w:rsidRPr="00AB789D">
        <w:rPr>
          <w:rFonts w:ascii="Times New Roman" w:eastAsia="Calibri" w:hAnsi="Times New Roman" w:cs="Times New Roman"/>
          <w:sz w:val="28"/>
          <w:szCs w:val="28"/>
        </w:rPr>
        <w:t xml:space="preserve"> субъектах Рос</w:t>
      </w:r>
      <w:r w:rsidR="00224FDF">
        <w:rPr>
          <w:rFonts w:ascii="Times New Roman" w:eastAsia="Calibri" w:hAnsi="Times New Roman" w:cs="Times New Roman"/>
          <w:sz w:val="28"/>
          <w:szCs w:val="28"/>
        </w:rPr>
        <w:t xml:space="preserve">сийской Федерации, в том числе </w:t>
      </w:r>
      <w:r w:rsidR="00A12DC0">
        <w:rPr>
          <w:rFonts w:ascii="Times New Roman" w:eastAsia="Calibri" w:hAnsi="Times New Roman" w:cs="Times New Roman"/>
          <w:sz w:val="28"/>
          <w:szCs w:val="28"/>
        </w:rPr>
        <w:br/>
      </w:r>
      <w:r w:rsidRPr="00AB789D">
        <w:rPr>
          <w:rFonts w:ascii="Times New Roman" w:eastAsia="Calibri" w:hAnsi="Times New Roman" w:cs="Times New Roman"/>
          <w:sz w:val="28"/>
          <w:szCs w:val="28"/>
        </w:rPr>
        <w:t>18 профессиональных образовательных организаций (из них 1</w:t>
      </w:r>
      <w:r w:rsidR="00224FDF">
        <w:rPr>
          <w:rFonts w:ascii="Times New Roman" w:eastAsia="Calibri" w:hAnsi="Times New Roman" w:cs="Times New Roman"/>
          <w:sz w:val="28"/>
          <w:szCs w:val="28"/>
        </w:rPr>
        <w:t>6</w:t>
      </w:r>
      <w:r w:rsidRPr="00AB789D">
        <w:rPr>
          <w:rFonts w:ascii="Times New Roman" w:eastAsia="Calibri" w:hAnsi="Times New Roman" w:cs="Times New Roman"/>
          <w:sz w:val="28"/>
          <w:szCs w:val="28"/>
        </w:rPr>
        <w:t xml:space="preserve"> – для мальчиков; </w:t>
      </w:r>
      <w:r w:rsidR="00A12DC0">
        <w:rPr>
          <w:rFonts w:ascii="Times New Roman" w:eastAsia="Calibri" w:hAnsi="Times New Roman" w:cs="Times New Roman"/>
          <w:sz w:val="28"/>
          <w:szCs w:val="28"/>
        </w:rPr>
        <w:br/>
      </w:r>
      <w:r w:rsidR="00224FDF">
        <w:rPr>
          <w:rFonts w:ascii="Times New Roman" w:eastAsia="Calibri" w:hAnsi="Times New Roman" w:cs="Times New Roman"/>
          <w:sz w:val="28"/>
          <w:szCs w:val="28"/>
        </w:rPr>
        <w:t>2</w:t>
      </w:r>
      <w:r w:rsidRPr="00AB789D">
        <w:rPr>
          <w:rFonts w:ascii="Times New Roman" w:eastAsia="Calibri" w:hAnsi="Times New Roman" w:cs="Times New Roman"/>
          <w:sz w:val="28"/>
          <w:szCs w:val="28"/>
        </w:rPr>
        <w:t xml:space="preserve"> – для девочек), 2</w:t>
      </w:r>
      <w:r w:rsidR="00E204F8">
        <w:rPr>
          <w:rFonts w:ascii="Times New Roman" w:eastAsia="Calibri" w:hAnsi="Times New Roman" w:cs="Times New Roman"/>
          <w:sz w:val="28"/>
          <w:szCs w:val="28"/>
        </w:rPr>
        <w:t>4</w:t>
      </w:r>
      <w:r w:rsidRPr="00AB789D">
        <w:rPr>
          <w:rFonts w:ascii="Times New Roman" w:eastAsia="Calibri" w:hAnsi="Times New Roman" w:cs="Times New Roman"/>
          <w:sz w:val="28"/>
          <w:szCs w:val="28"/>
        </w:rPr>
        <w:t xml:space="preserve"> специальных </w:t>
      </w:r>
      <w:r w:rsidR="00224FDF">
        <w:rPr>
          <w:rFonts w:ascii="Times New Roman" w:eastAsia="Calibri" w:hAnsi="Times New Roman" w:cs="Times New Roman"/>
          <w:sz w:val="28"/>
          <w:szCs w:val="28"/>
        </w:rPr>
        <w:t xml:space="preserve">общеобразовательных организаций </w:t>
      </w:r>
      <w:r w:rsidRPr="00AB789D">
        <w:rPr>
          <w:rFonts w:ascii="Times New Roman" w:eastAsia="Calibri" w:hAnsi="Times New Roman" w:cs="Times New Roman"/>
          <w:sz w:val="28"/>
          <w:szCs w:val="28"/>
        </w:rPr>
        <w:t xml:space="preserve">(из них </w:t>
      </w:r>
      <w:r w:rsidR="00224FDF">
        <w:rPr>
          <w:rFonts w:ascii="Times New Roman" w:eastAsia="Calibri" w:hAnsi="Times New Roman" w:cs="Times New Roman"/>
          <w:sz w:val="28"/>
          <w:szCs w:val="28"/>
        </w:rPr>
        <w:t>1</w:t>
      </w:r>
      <w:r w:rsidR="00E204F8">
        <w:rPr>
          <w:rFonts w:ascii="Times New Roman" w:eastAsia="Calibri" w:hAnsi="Times New Roman" w:cs="Times New Roman"/>
          <w:sz w:val="28"/>
          <w:szCs w:val="28"/>
        </w:rPr>
        <w:t>7</w:t>
      </w:r>
      <w:r w:rsidRPr="00AB789D">
        <w:rPr>
          <w:rFonts w:ascii="Times New Roman" w:eastAsia="Calibri" w:hAnsi="Times New Roman" w:cs="Times New Roman"/>
          <w:sz w:val="28"/>
          <w:szCs w:val="28"/>
        </w:rPr>
        <w:t xml:space="preserve"> – для мальчиков; 6 – смешанного типа; 1 – для девочек).</w:t>
      </w:r>
    </w:p>
    <w:p w14:paraId="256D43ED" w14:textId="77777777" w:rsidR="00A850F3" w:rsidRPr="00D03A4F" w:rsidRDefault="00A850F3" w:rsidP="00A850F3">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Из указанного количества специальных учебно-воспитательных учреждений закрытого типа 17 профессиональных образовательных организаций находятся в </w:t>
      </w:r>
      <w:r w:rsidR="00381797">
        <w:rPr>
          <w:rFonts w:ascii="Times New Roman" w:eastAsia="Calibri" w:hAnsi="Times New Roman" w:cs="Times New Roman"/>
          <w:sz w:val="28"/>
          <w:szCs w:val="28"/>
        </w:rPr>
        <w:t xml:space="preserve">ведении Минпросвещения России, </w:t>
      </w:r>
      <w:r w:rsidRPr="00D03A4F">
        <w:rPr>
          <w:rFonts w:ascii="Times New Roman" w:eastAsia="Calibri" w:hAnsi="Times New Roman" w:cs="Times New Roman"/>
          <w:sz w:val="28"/>
          <w:szCs w:val="28"/>
        </w:rPr>
        <w:t>1 профессиональная образовательная организация и 2</w:t>
      </w:r>
      <w:r w:rsidR="0070276E">
        <w:rPr>
          <w:rFonts w:ascii="Times New Roman" w:eastAsia="Calibri" w:hAnsi="Times New Roman" w:cs="Times New Roman"/>
          <w:sz w:val="28"/>
          <w:szCs w:val="28"/>
        </w:rPr>
        <w:t>4</w:t>
      </w:r>
      <w:r w:rsidR="0052515D" w:rsidRPr="00BD5345">
        <w:rPr>
          <w:rFonts w:ascii="Times New Roman" w:eastAsia="Times New Roman" w:hAnsi="Times New Roman" w:cs="Times New Roman"/>
          <w:sz w:val="28"/>
          <w:szCs w:val="28"/>
        </w:rPr>
        <w:t> </w:t>
      </w:r>
      <w:r w:rsidRPr="00D03A4F">
        <w:rPr>
          <w:rFonts w:ascii="Times New Roman" w:eastAsia="Calibri" w:hAnsi="Times New Roman" w:cs="Times New Roman"/>
          <w:sz w:val="28"/>
          <w:szCs w:val="28"/>
        </w:rPr>
        <w:t>общеобразовательных организаций – в ведении субъектов Российской Федерации.</w:t>
      </w:r>
    </w:p>
    <w:p w14:paraId="6BD392FE" w14:textId="77777777" w:rsidR="00A850F3" w:rsidRDefault="00A850F3" w:rsidP="00A850F3">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По состоянию на 31 декабря 20</w:t>
      </w:r>
      <w:r w:rsidR="00224FDF">
        <w:rPr>
          <w:rFonts w:ascii="Times New Roman" w:eastAsia="Calibri" w:hAnsi="Times New Roman" w:cs="Times New Roman"/>
          <w:sz w:val="28"/>
          <w:szCs w:val="28"/>
        </w:rPr>
        <w:t>2</w:t>
      </w:r>
      <w:r w:rsidR="0070276E">
        <w:rPr>
          <w:rFonts w:ascii="Times New Roman" w:eastAsia="Calibri" w:hAnsi="Times New Roman" w:cs="Times New Roman"/>
          <w:sz w:val="28"/>
          <w:szCs w:val="28"/>
        </w:rPr>
        <w:t>1</w:t>
      </w:r>
      <w:r w:rsidRPr="00D03A4F">
        <w:rPr>
          <w:rFonts w:ascii="Times New Roman" w:eastAsia="Calibri" w:hAnsi="Times New Roman" w:cs="Times New Roman"/>
          <w:sz w:val="28"/>
          <w:szCs w:val="28"/>
        </w:rPr>
        <w:t xml:space="preserve"> г</w:t>
      </w:r>
      <w:r w:rsidR="0086212A">
        <w:rPr>
          <w:rFonts w:ascii="Times New Roman" w:eastAsia="Calibri" w:hAnsi="Times New Roman" w:cs="Times New Roman"/>
          <w:sz w:val="28"/>
          <w:szCs w:val="28"/>
        </w:rPr>
        <w:t>.</w:t>
      </w:r>
      <w:r w:rsidRPr="00D03A4F">
        <w:rPr>
          <w:rFonts w:ascii="Times New Roman" w:eastAsia="Calibri" w:hAnsi="Times New Roman" w:cs="Times New Roman"/>
          <w:sz w:val="28"/>
          <w:szCs w:val="28"/>
        </w:rPr>
        <w:t xml:space="preserve"> в специальных учебно-воспитательных учреждений закрытого типа находил</w:t>
      </w:r>
      <w:r w:rsidR="00055DE7">
        <w:rPr>
          <w:rFonts w:ascii="Times New Roman" w:eastAsia="Calibri" w:hAnsi="Times New Roman" w:cs="Times New Roman"/>
          <w:sz w:val="28"/>
          <w:szCs w:val="28"/>
        </w:rPr>
        <w:t>ся</w:t>
      </w:r>
      <w:r w:rsidRPr="00D03A4F">
        <w:rPr>
          <w:rFonts w:ascii="Times New Roman" w:eastAsia="Calibri" w:hAnsi="Times New Roman" w:cs="Times New Roman"/>
          <w:sz w:val="28"/>
          <w:szCs w:val="28"/>
        </w:rPr>
        <w:t xml:space="preserve"> 1 </w:t>
      </w:r>
      <w:r w:rsidR="0070276E">
        <w:rPr>
          <w:rFonts w:ascii="Times New Roman" w:eastAsia="Calibri" w:hAnsi="Times New Roman" w:cs="Times New Roman"/>
          <w:sz w:val="28"/>
          <w:szCs w:val="28"/>
        </w:rPr>
        <w:t>448</w:t>
      </w:r>
      <w:r w:rsidRPr="00D03A4F">
        <w:rPr>
          <w:rFonts w:ascii="Times New Roman" w:eastAsia="Calibri" w:hAnsi="Times New Roman" w:cs="Times New Roman"/>
          <w:sz w:val="28"/>
          <w:szCs w:val="28"/>
        </w:rPr>
        <w:t xml:space="preserve"> воспитанник</w:t>
      </w:r>
      <w:r w:rsidR="0052515D">
        <w:rPr>
          <w:rFonts w:ascii="Times New Roman" w:eastAsia="Calibri" w:hAnsi="Times New Roman" w:cs="Times New Roman"/>
          <w:sz w:val="28"/>
          <w:szCs w:val="28"/>
        </w:rPr>
        <w:t>ов</w:t>
      </w:r>
      <w:r w:rsidRPr="00D03A4F">
        <w:rPr>
          <w:rFonts w:ascii="Times New Roman" w:eastAsia="Calibri" w:hAnsi="Times New Roman" w:cs="Times New Roman"/>
          <w:sz w:val="28"/>
          <w:szCs w:val="28"/>
        </w:rPr>
        <w:t xml:space="preserve"> (</w:t>
      </w:r>
      <w:r w:rsidR="0070276E">
        <w:rPr>
          <w:rFonts w:ascii="Times New Roman" w:eastAsia="Calibri" w:hAnsi="Times New Roman" w:cs="Times New Roman"/>
          <w:sz w:val="28"/>
          <w:szCs w:val="28"/>
        </w:rPr>
        <w:t xml:space="preserve">2020 г. – 1 591; </w:t>
      </w:r>
      <w:r w:rsidR="0070276E">
        <w:rPr>
          <w:rFonts w:ascii="Times New Roman" w:eastAsia="Calibri" w:hAnsi="Times New Roman" w:cs="Times New Roman"/>
          <w:sz w:val="28"/>
          <w:szCs w:val="28"/>
        </w:rPr>
        <w:br/>
      </w:r>
      <w:r w:rsidR="00224FDF" w:rsidRPr="00D03A4F">
        <w:rPr>
          <w:rFonts w:ascii="Times New Roman" w:eastAsia="Calibri" w:hAnsi="Times New Roman" w:cs="Times New Roman"/>
          <w:sz w:val="28"/>
          <w:szCs w:val="28"/>
        </w:rPr>
        <w:t>201</w:t>
      </w:r>
      <w:r w:rsidR="00224FDF">
        <w:rPr>
          <w:rFonts w:ascii="Times New Roman" w:eastAsia="Calibri" w:hAnsi="Times New Roman" w:cs="Times New Roman"/>
          <w:sz w:val="28"/>
          <w:szCs w:val="28"/>
        </w:rPr>
        <w:t>9</w:t>
      </w:r>
      <w:r w:rsidR="00224FDF" w:rsidRPr="00D03A4F">
        <w:rPr>
          <w:rFonts w:ascii="Times New Roman" w:eastAsia="Calibri" w:hAnsi="Times New Roman" w:cs="Times New Roman"/>
          <w:sz w:val="28"/>
          <w:szCs w:val="28"/>
        </w:rPr>
        <w:t xml:space="preserve"> г. – </w:t>
      </w:r>
      <w:r w:rsidR="00224FDF">
        <w:rPr>
          <w:rFonts w:ascii="Times New Roman" w:eastAsia="Calibri" w:hAnsi="Times New Roman" w:cs="Times New Roman"/>
          <w:sz w:val="28"/>
          <w:szCs w:val="28"/>
        </w:rPr>
        <w:t>1 763</w:t>
      </w:r>
      <w:r w:rsidRPr="00D03A4F">
        <w:rPr>
          <w:rFonts w:ascii="Times New Roman" w:eastAsia="Calibri" w:hAnsi="Times New Roman" w:cs="Times New Roman"/>
          <w:sz w:val="28"/>
          <w:szCs w:val="28"/>
        </w:rPr>
        <w:t xml:space="preserve">), </w:t>
      </w:r>
      <w:r w:rsidRPr="005C7A8B">
        <w:rPr>
          <w:rFonts w:ascii="Times New Roman" w:eastAsia="Calibri" w:hAnsi="Times New Roman" w:cs="Times New Roman"/>
          <w:sz w:val="28"/>
          <w:szCs w:val="28"/>
        </w:rPr>
        <w:t>из них 1</w:t>
      </w:r>
      <w:r w:rsidR="0070276E">
        <w:rPr>
          <w:rFonts w:ascii="Times New Roman" w:eastAsia="Calibri" w:hAnsi="Times New Roman" w:cs="Times New Roman"/>
          <w:sz w:val="28"/>
          <w:szCs w:val="28"/>
        </w:rPr>
        <w:t>23</w:t>
      </w:r>
      <w:r w:rsidRPr="005C7A8B">
        <w:rPr>
          <w:rFonts w:ascii="Times New Roman" w:eastAsia="Calibri" w:hAnsi="Times New Roman" w:cs="Times New Roman"/>
          <w:sz w:val="28"/>
          <w:szCs w:val="28"/>
        </w:rPr>
        <w:t xml:space="preserve"> (8,</w:t>
      </w:r>
      <w:r w:rsidR="0070276E">
        <w:rPr>
          <w:rFonts w:ascii="Times New Roman" w:eastAsia="Calibri" w:hAnsi="Times New Roman" w:cs="Times New Roman"/>
          <w:sz w:val="28"/>
          <w:szCs w:val="28"/>
        </w:rPr>
        <w:t>5</w:t>
      </w:r>
      <w:r w:rsidRPr="005C7A8B">
        <w:rPr>
          <w:rFonts w:ascii="Times New Roman" w:eastAsia="Calibri" w:hAnsi="Times New Roman" w:cs="Times New Roman"/>
          <w:sz w:val="28"/>
          <w:szCs w:val="28"/>
        </w:rPr>
        <w:t xml:space="preserve">%) – несовершеннолетние женского пола </w:t>
      </w:r>
      <w:r w:rsidR="0052515D">
        <w:rPr>
          <w:rFonts w:ascii="Times New Roman" w:eastAsia="Calibri" w:hAnsi="Times New Roman" w:cs="Times New Roman"/>
          <w:sz w:val="28"/>
          <w:szCs w:val="28"/>
        </w:rPr>
        <w:br/>
      </w:r>
      <w:r w:rsidRPr="005C7A8B">
        <w:rPr>
          <w:rFonts w:ascii="Times New Roman" w:eastAsia="Calibri" w:hAnsi="Times New Roman" w:cs="Times New Roman"/>
          <w:sz w:val="28"/>
          <w:szCs w:val="28"/>
        </w:rPr>
        <w:t>(</w:t>
      </w:r>
      <w:r w:rsidR="0070276E" w:rsidRPr="005C7A8B">
        <w:rPr>
          <w:rFonts w:ascii="Times New Roman" w:eastAsia="Calibri" w:hAnsi="Times New Roman" w:cs="Times New Roman"/>
          <w:sz w:val="28"/>
          <w:szCs w:val="28"/>
        </w:rPr>
        <w:t>20</w:t>
      </w:r>
      <w:r w:rsidR="0070276E">
        <w:rPr>
          <w:rFonts w:ascii="Times New Roman" w:eastAsia="Calibri" w:hAnsi="Times New Roman" w:cs="Times New Roman"/>
          <w:sz w:val="28"/>
          <w:szCs w:val="28"/>
        </w:rPr>
        <w:t>20</w:t>
      </w:r>
      <w:r w:rsidR="0070276E" w:rsidRPr="005C7A8B">
        <w:rPr>
          <w:rFonts w:ascii="Times New Roman" w:eastAsia="Calibri" w:hAnsi="Times New Roman" w:cs="Times New Roman"/>
          <w:sz w:val="28"/>
          <w:szCs w:val="28"/>
        </w:rPr>
        <w:t xml:space="preserve"> г. – 1</w:t>
      </w:r>
      <w:r w:rsidR="0070276E">
        <w:rPr>
          <w:rFonts w:ascii="Times New Roman" w:eastAsia="Calibri" w:hAnsi="Times New Roman" w:cs="Times New Roman"/>
          <w:sz w:val="28"/>
          <w:szCs w:val="28"/>
        </w:rPr>
        <w:t>34</w:t>
      </w:r>
      <w:r w:rsidR="0070276E" w:rsidRPr="005C7A8B">
        <w:rPr>
          <w:rFonts w:ascii="Times New Roman" w:eastAsia="Calibri" w:hAnsi="Times New Roman" w:cs="Times New Roman"/>
          <w:sz w:val="28"/>
          <w:szCs w:val="28"/>
        </w:rPr>
        <w:t xml:space="preserve"> (</w:t>
      </w:r>
      <w:r w:rsidR="0070276E">
        <w:rPr>
          <w:rFonts w:ascii="Times New Roman" w:eastAsia="Calibri" w:hAnsi="Times New Roman" w:cs="Times New Roman"/>
          <w:sz w:val="28"/>
          <w:szCs w:val="28"/>
        </w:rPr>
        <w:t>8,5</w:t>
      </w:r>
      <w:r w:rsidR="0070276E" w:rsidRPr="003D2ED7">
        <w:rPr>
          <w:rFonts w:ascii="Times New Roman" w:eastAsia="Calibri" w:hAnsi="Times New Roman" w:cs="Times New Roman"/>
          <w:sz w:val="28"/>
          <w:szCs w:val="28"/>
        </w:rPr>
        <w:t>%)</w:t>
      </w:r>
      <w:r w:rsidR="0070276E" w:rsidRPr="005C7A8B">
        <w:rPr>
          <w:rFonts w:ascii="Times New Roman" w:eastAsia="Calibri" w:hAnsi="Times New Roman" w:cs="Times New Roman"/>
          <w:sz w:val="28"/>
          <w:szCs w:val="28"/>
        </w:rPr>
        <w:t>;</w:t>
      </w:r>
      <w:r w:rsidR="0052515D" w:rsidRPr="00BD5345">
        <w:rPr>
          <w:rFonts w:ascii="Times New Roman" w:eastAsia="Times New Roman" w:hAnsi="Times New Roman" w:cs="Times New Roman"/>
          <w:sz w:val="28"/>
          <w:szCs w:val="28"/>
        </w:rPr>
        <w:t> </w:t>
      </w:r>
      <w:r w:rsidR="005C7A8B" w:rsidRPr="005C7A8B">
        <w:rPr>
          <w:rFonts w:ascii="Times New Roman" w:eastAsia="Calibri" w:hAnsi="Times New Roman" w:cs="Times New Roman"/>
          <w:sz w:val="28"/>
          <w:szCs w:val="28"/>
        </w:rPr>
        <w:t>2019 г. – 157 (8,9%)</w:t>
      </w:r>
      <w:r w:rsidRPr="003D2ED7">
        <w:rPr>
          <w:rFonts w:ascii="Times New Roman" w:eastAsia="Calibri" w:hAnsi="Times New Roman" w:cs="Times New Roman"/>
          <w:sz w:val="28"/>
          <w:szCs w:val="28"/>
        </w:rPr>
        <w:t xml:space="preserve">); </w:t>
      </w:r>
      <w:r w:rsidR="0070276E">
        <w:rPr>
          <w:rFonts w:ascii="Times New Roman" w:eastAsia="Calibri" w:hAnsi="Times New Roman" w:cs="Times New Roman"/>
          <w:sz w:val="28"/>
          <w:szCs w:val="28"/>
        </w:rPr>
        <w:t>177</w:t>
      </w:r>
      <w:r w:rsidRPr="003D2ED7">
        <w:rPr>
          <w:rFonts w:ascii="Times New Roman" w:eastAsia="Calibri" w:hAnsi="Times New Roman" w:cs="Times New Roman"/>
          <w:sz w:val="28"/>
          <w:szCs w:val="28"/>
        </w:rPr>
        <w:t xml:space="preserve"> (1</w:t>
      </w:r>
      <w:r w:rsidR="0070276E">
        <w:rPr>
          <w:rFonts w:ascii="Times New Roman" w:eastAsia="Calibri" w:hAnsi="Times New Roman" w:cs="Times New Roman"/>
          <w:sz w:val="28"/>
          <w:szCs w:val="28"/>
        </w:rPr>
        <w:t>2</w:t>
      </w:r>
      <w:r w:rsidRPr="003D2ED7">
        <w:rPr>
          <w:rFonts w:ascii="Times New Roman" w:eastAsia="Calibri" w:hAnsi="Times New Roman" w:cs="Times New Roman"/>
          <w:sz w:val="28"/>
          <w:szCs w:val="28"/>
        </w:rPr>
        <w:t>,</w:t>
      </w:r>
      <w:r w:rsidR="003D2ED7" w:rsidRPr="003D2ED7">
        <w:rPr>
          <w:rFonts w:ascii="Times New Roman" w:eastAsia="Calibri" w:hAnsi="Times New Roman" w:cs="Times New Roman"/>
          <w:sz w:val="28"/>
          <w:szCs w:val="28"/>
        </w:rPr>
        <w:t>2</w:t>
      </w:r>
      <w:r w:rsidRPr="003D2ED7">
        <w:rPr>
          <w:rFonts w:ascii="Times New Roman" w:eastAsia="Calibri" w:hAnsi="Times New Roman" w:cs="Times New Roman"/>
          <w:sz w:val="28"/>
          <w:szCs w:val="28"/>
        </w:rPr>
        <w:t>%) – дети-сироты и дети, оставшиеся без попечения родителей (</w:t>
      </w:r>
      <w:r w:rsidR="0070276E">
        <w:rPr>
          <w:rFonts w:ascii="Times New Roman" w:eastAsia="Calibri" w:hAnsi="Times New Roman" w:cs="Times New Roman"/>
          <w:sz w:val="28"/>
          <w:szCs w:val="28"/>
        </w:rPr>
        <w:t xml:space="preserve">2020 г. – 211 (13,2%); </w:t>
      </w:r>
      <w:r w:rsidR="003D2ED7" w:rsidRPr="003D2ED7">
        <w:rPr>
          <w:rFonts w:ascii="Times New Roman" w:eastAsia="Calibri" w:hAnsi="Times New Roman" w:cs="Times New Roman"/>
          <w:sz w:val="28"/>
          <w:szCs w:val="28"/>
        </w:rPr>
        <w:t>2019 г. – 246 (13,95</w:t>
      </w:r>
      <w:r w:rsidR="0070276E">
        <w:rPr>
          <w:rFonts w:ascii="Times New Roman" w:eastAsia="Calibri" w:hAnsi="Times New Roman" w:cs="Times New Roman"/>
          <w:sz w:val="28"/>
          <w:szCs w:val="28"/>
        </w:rPr>
        <w:t>%</w:t>
      </w:r>
      <w:r w:rsidR="003D2ED7" w:rsidRPr="003D2ED7">
        <w:rPr>
          <w:rFonts w:ascii="Times New Roman" w:eastAsia="Calibri" w:hAnsi="Times New Roman" w:cs="Times New Roman"/>
          <w:sz w:val="28"/>
          <w:szCs w:val="28"/>
        </w:rPr>
        <w:t>)</w:t>
      </w:r>
      <w:r w:rsidR="0070276E">
        <w:rPr>
          <w:rFonts w:ascii="Times New Roman" w:eastAsia="Calibri" w:hAnsi="Times New Roman" w:cs="Times New Roman"/>
          <w:sz w:val="28"/>
          <w:szCs w:val="28"/>
        </w:rPr>
        <w:t>)</w:t>
      </w:r>
      <w:r w:rsidRPr="003D2ED7">
        <w:rPr>
          <w:rFonts w:ascii="Times New Roman" w:eastAsia="Calibri" w:hAnsi="Times New Roman" w:cs="Times New Roman"/>
          <w:sz w:val="28"/>
          <w:szCs w:val="28"/>
        </w:rPr>
        <w:t xml:space="preserve">; </w:t>
      </w:r>
      <w:r w:rsidR="0070276E">
        <w:rPr>
          <w:rFonts w:ascii="Times New Roman" w:eastAsia="Calibri" w:hAnsi="Times New Roman" w:cs="Times New Roman"/>
          <w:sz w:val="28"/>
          <w:szCs w:val="28"/>
        </w:rPr>
        <w:t>624 (43%)</w:t>
      </w:r>
      <w:r w:rsidR="00FD14A0">
        <w:rPr>
          <w:rFonts w:ascii="Times New Roman" w:eastAsia="Calibri" w:hAnsi="Times New Roman" w:cs="Times New Roman"/>
          <w:sz w:val="28"/>
          <w:szCs w:val="28"/>
        </w:rPr>
        <w:t xml:space="preserve"> – дети в возрасте </w:t>
      </w:r>
      <w:r w:rsidRPr="003D2ED7">
        <w:rPr>
          <w:rFonts w:ascii="Times New Roman" w:eastAsia="Calibri" w:hAnsi="Times New Roman" w:cs="Times New Roman"/>
          <w:sz w:val="28"/>
          <w:szCs w:val="28"/>
        </w:rPr>
        <w:t>от 11 до 14 лет (</w:t>
      </w:r>
      <w:r w:rsidR="0070276E">
        <w:rPr>
          <w:rFonts w:ascii="Times New Roman" w:eastAsia="Calibri" w:hAnsi="Times New Roman" w:cs="Times New Roman"/>
          <w:sz w:val="28"/>
          <w:szCs w:val="28"/>
        </w:rPr>
        <w:t xml:space="preserve">2020 г. – </w:t>
      </w:r>
      <w:r w:rsidR="0070276E" w:rsidRPr="003D2ED7">
        <w:rPr>
          <w:rFonts w:ascii="Times New Roman" w:eastAsia="Calibri" w:hAnsi="Times New Roman" w:cs="Times New Roman"/>
          <w:sz w:val="28"/>
          <w:szCs w:val="28"/>
        </w:rPr>
        <w:t>669 (</w:t>
      </w:r>
      <w:r w:rsidR="0070276E">
        <w:rPr>
          <w:rFonts w:ascii="Times New Roman" w:eastAsia="Calibri" w:hAnsi="Times New Roman" w:cs="Times New Roman"/>
          <w:sz w:val="28"/>
          <w:szCs w:val="28"/>
        </w:rPr>
        <w:t>42%); 2019 г. – 723 (41,01%)</w:t>
      </w:r>
      <w:r w:rsidRPr="003D2ED7">
        <w:rPr>
          <w:rFonts w:ascii="Times New Roman" w:eastAsia="Calibri" w:hAnsi="Times New Roman" w:cs="Times New Roman"/>
          <w:sz w:val="28"/>
          <w:szCs w:val="28"/>
        </w:rPr>
        <w:t xml:space="preserve">); </w:t>
      </w:r>
      <w:r w:rsidR="0070276E">
        <w:rPr>
          <w:rFonts w:ascii="Times New Roman" w:eastAsia="Calibri" w:hAnsi="Times New Roman" w:cs="Times New Roman"/>
          <w:sz w:val="28"/>
          <w:szCs w:val="28"/>
        </w:rPr>
        <w:t>824 (57%)</w:t>
      </w:r>
      <w:r w:rsidRPr="003D2ED7">
        <w:rPr>
          <w:rFonts w:ascii="Times New Roman" w:eastAsia="Calibri" w:hAnsi="Times New Roman" w:cs="Times New Roman"/>
          <w:sz w:val="28"/>
          <w:szCs w:val="28"/>
        </w:rPr>
        <w:t xml:space="preserve"> – подростки в возрасте старше 14 лет (</w:t>
      </w:r>
      <w:r w:rsidR="0070276E">
        <w:rPr>
          <w:rFonts w:ascii="Times New Roman" w:eastAsia="Calibri" w:hAnsi="Times New Roman" w:cs="Times New Roman"/>
          <w:sz w:val="28"/>
          <w:szCs w:val="28"/>
        </w:rPr>
        <w:t xml:space="preserve">2020 г. – </w:t>
      </w:r>
      <w:r w:rsidR="0070276E" w:rsidRPr="003D2ED7">
        <w:rPr>
          <w:rFonts w:ascii="Times New Roman" w:eastAsia="Calibri" w:hAnsi="Times New Roman" w:cs="Times New Roman"/>
          <w:sz w:val="28"/>
          <w:szCs w:val="28"/>
        </w:rPr>
        <w:t>922 (58,0%)</w:t>
      </w:r>
      <w:r w:rsidR="0070276E">
        <w:rPr>
          <w:rFonts w:ascii="Times New Roman" w:eastAsia="Calibri" w:hAnsi="Times New Roman" w:cs="Times New Roman"/>
          <w:sz w:val="28"/>
          <w:szCs w:val="28"/>
        </w:rPr>
        <w:t>; 2019 г. – 1 040 (58,99%)</w:t>
      </w:r>
      <w:r w:rsidRPr="003D2ED7">
        <w:rPr>
          <w:rFonts w:ascii="Times New Roman" w:eastAsia="Calibri" w:hAnsi="Times New Roman" w:cs="Times New Roman"/>
          <w:sz w:val="28"/>
          <w:szCs w:val="28"/>
        </w:rPr>
        <w:t>).</w:t>
      </w:r>
    </w:p>
    <w:p w14:paraId="2EBB0772" w14:textId="77777777" w:rsidR="00CA4BA4" w:rsidRPr="00D03A4F" w:rsidRDefault="00CA4BA4" w:rsidP="00A850F3">
      <w:pPr>
        <w:widowControl w:val="0"/>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Самым распространенным видом общественно опасного деяния, за совершение которого несовершеннолетние помещаются в специальные учебно-воспитательные учреждения закрытого типа, является кража.</w:t>
      </w:r>
    </w:p>
    <w:p w14:paraId="58196CEA" w14:textId="78F1A26C" w:rsidR="00CA4BA4" w:rsidRDefault="008A4089" w:rsidP="00A12DC0">
      <w:pPr>
        <w:widowControl w:val="0"/>
        <w:tabs>
          <w:tab w:val="right" w:pos="7565"/>
          <w:tab w:val="center" w:pos="8381"/>
          <w:tab w:val="right" w:pos="10190"/>
        </w:tabs>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Из общего числа детей и подростков, обучающихся в специальных учебно-воспитательных учреждениях закрытого типа, в 20</w:t>
      </w:r>
      <w:r>
        <w:rPr>
          <w:rFonts w:ascii="Times New Roman" w:eastAsia="Calibri" w:hAnsi="Times New Roman" w:cs="Times New Roman"/>
          <w:sz w:val="28"/>
          <w:szCs w:val="28"/>
        </w:rPr>
        <w:t>2</w:t>
      </w:r>
      <w:r w:rsidR="00010402">
        <w:rPr>
          <w:rFonts w:ascii="Times New Roman" w:eastAsia="Calibri" w:hAnsi="Times New Roman" w:cs="Times New Roman"/>
          <w:sz w:val="28"/>
          <w:szCs w:val="28"/>
        </w:rPr>
        <w:t>1</w:t>
      </w:r>
      <w:r w:rsidRPr="00D03A4F">
        <w:rPr>
          <w:rFonts w:ascii="Times New Roman" w:eastAsia="Calibri" w:hAnsi="Times New Roman" w:cs="Times New Roman"/>
          <w:sz w:val="28"/>
          <w:szCs w:val="28"/>
        </w:rPr>
        <w:t xml:space="preserve"> г</w:t>
      </w:r>
      <w:r w:rsidR="002D7A1F">
        <w:rPr>
          <w:rFonts w:ascii="Times New Roman" w:eastAsia="Calibri" w:hAnsi="Times New Roman" w:cs="Times New Roman"/>
          <w:sz w:val="28"/>
          <w:szCs w:val="28"/>
        </w:rPr>
        <w:t>.</w:t>
      </w:r>
      <w:r w:rsidRPr="00D03A4F">
        <w:rPr>
          <w:rFonts w:ascii="Times New Roman" w:eastAsia="Calibri" w:hAnsi="Times New Roman" w:cs="Times New Roman"/>
          <w:sz w:val="28"/>
          <w:szCs w:val="28"/>
        </w:rPr>
        <w:t xml:space="preserve"> за совершение краж направлено</w:t>
      </w:r>
      <w:r w:rsidR="00010402">
        <w:rPr>
          <w:rFonts w:ascii="Times New Roman" w:eastAsia="Calibri" w:hAnsi="Times New Roman" w:cs="Times New Roman"/>
          <w:sz w:val="28"/>
          <w:szCs w:val="28"/>
        </w:rPr>
        <w:t xml:space="preserve"> 50</w:t>
      </w:r>
      <w:r w:rsidRPr="00D03A4F">
        <w:rPr>
          <w:rFonts w:ascii="Times New Roman" w:eastAsia="Calibri" w:hAnsi="Times New Roman" w:cs="Times New Roman"/>
          <w:sz w:val="28"/>
          <w:szCs w:val="28"/>
        </w:rPr>
        <w:t>,</w:t>
      </w:r>
      <w:r w:rsidR="00010402" w:rsidRPr="00D03A4F">
        <w:rPr>
          <w:rFonts w:ascii="Times New Roman" w:eastAsia="Calibri" w:hAnsi="Times New Roman" w:cs="Times New Roman"/>
          <w:sz w:val="28"/>
          <w:szCs w:val="28"/>
        </w:rPr>
        <w:t>8</w:t>
      </w:r>
      <w:r w:rsidRPr="00D03A4F">
        <w:rPr>
          <w:rFonts w:ascii="Times New Roman" w:eastAsia="Calibri" w:hAnsi="Times New Roman" w:cs="Times New Roman"/>
          <w:sz w:val="28"/>
          <w:szCs w:val="28"/>
        </w:rPr>
        <w:t xml:space="preserve">9% несовершеннолетних; за неправомерное завладение автомобилем или иным транспортным средством без цели хищения – </w:t>
      </w:r>
      <w:r>
        <w:rPr>
          <w:rFonts w:ascii="Times New Roman" w:eastAsia="Calibri" w:hAnsi="Times New Roman" w:cs="Times New Roman"/>
          <w:sz w:val="28"/>
          <w:szCs w:val="28"/>
        </w:rPr>
        <w:t>9</w:t>
      </w:r>
      <w:r w:rsidRPr="00D03A4F">
        <w:rPr>
          <w:rFonts w:ascii="Times New Roman" w:eastAsia="Calibri" w:hAnsi="Times New Roman" w:cs="Times New Roman"/>
          <w:sz w:val="28"/>
          <w:szCs w:val="28"/>
        </w:rPr>
        <w:t>,</w:t>
      </w:r>
      <w:r w:rsidR="00010402">
        <w:rPr>
          <w:rFonts w:ascii="Times New Roman" w:eastAsia="Calibri" w:hAnsi="Times New Roman" w:cs="Times New Roman"/>
          <w:sz w:val="28"/>
          <w:szCs w:val="28"/>
        </w:rPr>
        <w:t>88</w:t>
      </w:r>
      <w:r w:rsidRPr="00D03A4F">
        <w:rPr>
          <w:rFonts w:ascii="Times New Roman" w:eastAsia="Calibri" w:hAnsi="Times New Roman" w:cs="Times New Roman"/>
          <w:sz w:val="28"/>
          <w:szCs w:val="28"/>
        </w:rPr>
        <w:t xml:space="preserve">%; за умышленное причинение тяжкого или средней </w:t>
      </w:r>
      <w:r>
        <w:rPr>
          <w:rFonts w:ascii="Times New Roman" w:eastAsia="Calibri" w:hAnsi="Times New Roman" w:cs="Times New Roman"/>
          <w:sz w:val="28"/>
          <w:szCs w:val="28"/>
        </w:rPr>
        <w:t xml:space="preserve">тяжести вреда здоровью – </w:t>
      </w:r>
      <w:r w:rsidR="00010402">
        <w:rPr>
          <w:rFonts w:ascii="Times New Roman" w:eastAsia="Calibri" w:hAnsi="Times New Roman" w:cs="Times New Roman"/>
          <w:sz w:val="28"/>
          <w:szCs w:val="28"/>
        </w:rPr>
        <w:t>2</w:t>
      </w:r>
      <w:r>
        <w:rPr>
          <w:rFonts w:ascii="Times New Roman" w:eastAsia="Calibri" w:hAnsi="Times New Roman" w:cs="Times New Roman"/>
          <w:sz w:val="28"/>
          <w:szCs w:val="28"/>
        </w:rPr>
        <w:t>,</w:t>
      </w:r>
      <w:r w:rsidR="00010402">
        <w:rPr>
          <w:rFonts w:ascii="Times New Roman" w:eastAsia="Calibri" w:hAnsi="Times New Roman" w:cs="Times New Roman"/>
          <w:sz w:val="28"/>
          <w:szCs w:val="28"/>
        </w:rPr>
        <w:t>84</w:t>
      </w:r>
      <w:r>
        <w:rPr>
          <w:rFonts w:ascii="Times New Roman" w:eastAsia="Calibri" w:hAnsi="Times New Roman" w:cs="Times New Roman"/>
          <w:sz w:val="28"/>
          <w:szCs w:val="28"/>
        </w:rPr>
        <w:t xml:space="preserve">%; </w:t>
      </w:r>
      <w:r w:rsidRPr="00D03A4F">
        <w:rPr>
          <w:rFonts w:ascii="Times New Roman" w:eastAsia="Calibri" w:hAnsi="Times New Roman" w:cs="Times New Roman"/>
          <w:sz w:val="28"/>
          <w:szCs w:val="28"/>
        </w:rPr>
        <w:t xml:space="preserve">за совершение грабежа – </w:t>
      </w:r>
      <w:r w:rsidR="00010402">
        <w:rPr>
          <w:rFonts w:ascii="Times New Roman" w:eastAsia="Calibri" w:hAnsi="Times New Roman" w:cs="Times New Roman"/>
          <w:sz w:val="28"/>
          <w:szCs w:val="28"/>
        </w:rPr>
        <w:t>8</w:t>
      </w:r>
      <w:r w:rsidRPr="00D03A4F">
        <w:rPr>
          <w:rFonts w:ascii="Times New Roman" w:eastAsia="Calibri" w:hAnsi="Times New Roman" w:cs="Times New Roman"/>
          <w:sz w:val="28"/>
          <w:szCs w:val="28"/>
        </w:rPr>
        <w:t>,</w:t>
      </w:r>
      <w:r w:rsidR="00010402">
        <w:rPr>
          <w:rFonts w:ascii="Times New Roman" w:eastAsia="Calibri" w:hAnsi="Times New Roman" w:cs="Times New Roman"/>
          <w:sz w:val="28"/>
          <w:szCs w:val="28"/>
        </w:rPr>
        <w:t>23</w:t>
      </w:r>
      <w:r w:rsidRPr="00D03A4F">
        <w:rPr>
          <w:rFonts w:ascii="Times New Roman" w:eastAsia="Calibri" w:hAnsi="Times New Roman" w:cs="Times New Roman"/>
          <w:sz w:val="28"/>
          <w:szCs w:val="28"/>
        </w:rPr>
        <w:t xml:space="preserve">%; </w:t>
      </w:r>
      <w:r w:rsidR="00251831">
        <w:rPr>
          <w:rFonts w:ascii="Times New Roman" w:eastAsia="Calibri" w:hAnsi="Times New Roman" w:cs="Times New Roman"/>
          <w:sz w:val="28"/>
          <w:szCs w:val="28"/>
        </w:rPr>
        <w:t xml:space="preserve">за умышленное уничтожение или повреждение имущества </w:t>
      </w:r>
      <w:r>
        <w:rPr>
          <w:rFonts w:ascii="Times New Roman" w:eastAsia="Calibri" w:hAnsi="Times New Roman" w:cs="Times New Roman"/>
          <w:sz w:val="28"/>
          <w:szCs w:val="28"/>
        </w:rPr>
        <w:t xml:space="preserve">– </w:t>
      </w:r>
      <w:r w:rsidR="00010402">
        <w:rPr>
          <w:rFonts w:ascii="Times New Roman" w:eastAsia="Calibri" w:hAnsi="Times New Roman" w:cs="Times New Roman"/>
          <w:sz w:val="28"/>
          <w:szCs w:val="28"/>
        </w:rPr>
        <w:t>7</w:t>
      </w:r>
      <w:r>
        <w:rPr>
          <w:rFonts w:ascii="Times New Roman" w:eastAsia="Calibri" w:hAnsi="Times New Roman" w:cs="Times New Roman"/>
          <w:sz w:val="28"/>
          <w:szCs w:val="28"/>
        </w:rPr>
        <w:t>,4</w:t>
      </w:r>
      <w:r w:rsidR="00010402">
        <w:rPr>
          <w:rFonts w:ascii="Times New Roman" w:eastAsia="Calibri" w:hAnsi="Times New Roman" w:cs="Times New Roman"/>
          <w:sz w:val="28"/>
          <w:szCs w:val="28"/>
        </w:rPr>
        <w:t>8</w:t>
      </w:r>
      <w:r>
        <w:rPr>
          <w:rFonts w:ascii="Times New Roman" w:eastAsia="Calibri" w:hAnsi="Times New Roman" w:cs="Times New Roman"/>
          <w:sz w:val="28"/>
          <w:szCs w:val="28"/>
        </w:rPr>
        <w:t xml:space="preserve">%; </w:t>
      </w:r>
      <w:r w:rsidRPr="00D03A4F">
        <w:rPr>
          <w:rFonts w:ascii="Times New Roman" w:eastAsia="Calibri" w:hAnsi="Times New Roman" w:cs="Times New Roman"/>
          <w:sz w:val="28"/>
          <w:szCs w:val="28"/>
        </w:rPr>
        <w:t xml:space="preserve">за незаконные изготовление, приобретение, хранение, перевозку, пересылку либо сбыт наркотических средств или психотропных веществ – </w:t>
      </w:r>
      <w:r>
        <w:rPr>
          <w:rFonts w:ascii="Times New Roman" w:eastAsia="Calibri" w:hAnsi="Times New Roman" w:cs="Times New Roman"/>
          <w:sz w:val="28"/>
          <w:szCs w:val="28"/>
        </w:rPr>
        <w:t>2,</w:t>
      </w:r>
      <w:r w:rsidR="00010402">
        <w:rPr>
          <w:rFonts w:ascii="Times New Roman" w:eastAsia="Calibri" w:hAnsi="Times New Roman" w:cs="Times New Roman"/>
          <w:sz w:val="28"/>
          <w:szCs w:val="28"/>
        </w:rPr>
        <w:t>84</w:t>
      </w:r>
      <w:r w:rsidRPr="00D03A4F">
        <w:rPr>
          <w:rFonts w:ascii="Times New Roman" w:eastAsia="Calibri" w:hAnsi="Times New Roman" w:cs="Times New Roman"/>
          <w:sz w:val="28"/>
          <w:szCs w:val="28"/>
        </w:rPr>
        <w:t xml:space="preserve">%; за насильственные действия сексуального характера – </w:t>
      </w:r>
      <w:r w:rsidR="00010402">
        <w:rPr>
          <w:rFonts w:ascii="Times New Roman" w:eastAsia="Calibri" w:hAnsi="Times New Roman" w:cs="Times New Roman"/>
          <w:sz w:val="28"/>
          <w:szCs w:val="28"/>
        </w:rPr>
        <w:t>2</w:t>
      </w:r>
      <w:r w:rsidRPr="00D03A4F">
        <w:rPr>
          <w:rFonts w:ascii="Times New Roman" w:eastAsia="Calibri" w:hAnsi="Times New Roman" w:cs="Times New Roman"/>
          <w:sz w:val="28"/>
          <w:szCs w:val="28"/>
        </w:rPr>
        <w:t>,</w:t>
      </w:r>
      <w:r w:rsidR="00010402">
        <w:rPr>
          <w:rFonts w:ascii="Times New Roman" w:eastAsia="Calibri" w:hAnsi="Times New Roman" w:cs="Times New Roman"/>
          <w:sz w:val="28"/>
          <w:szCs w:val="28"/>
        </w:rPr>
        <w:t>84</w:t>
      </w:r>
      <w:r w:rsidRPr="00D03A4F">
        <w:rPr>
          <w:rFonts w:ascii="Times New Roman" w:eastAsia="Calibri" w:hAnsi="Times New Roman" w:cs="Times New Roman"/>
          <w:sz w:val="28"/>
          <w:szCs w:val="28"/>
        </w:rPr>
        <w:t xml:space="preserve">%; за хулиганство – </w:t>
      </w:r>
      <w:r>
        <w:rPr>
          <w:rFonts w:ascii="Times New Roman" w:eastAsia="Calibri" w:hAnsi="Times New Roman" w:cs="Times New Roman"/>
          <w:sz w:val="28"/>
          <w:szCs w:val="28"/>
        </w:rPr>
        <w:t>1</w:t>
      </w:r>
      <w:r w:rsidRPr="00D03A4F">
        <w:rPr>
          <w:rFonts w:ascii="Times New Roman" w:eastAsia="Calibri" w:hAnsi="Times New Roman" w:cs="Times New Roman"/>
          <w:sz w:val="28"/>
          <w:szCs w:val="28"/>
        </w:rPr>
        <w:t>,</w:t>
      </w:r>
      <w:r w:rsidR="00010402">
        <w:rPr>
          <w:rFonts w:ascii="Times New Roman" w:eastAsia="Calibri" w:hAnsi="Times New Roman" w:cs="Times New Roman"/>
          <w:sz w:val="28"/>
          <w:szCs w:val="28"/>
        </w:rPr>
        <w:t>49</w:t>
      </w:r>
      <w:r w:rsidRPr="00D03A4F">
        <w:rPr>
          <w:rFonts w:ascii="Times New Roman" w:eastAsia="Calibri" w:hAnsi="Times New Roman" w:cs="Times New Roman"/>
          <w:sz w:val="28"/>
          <w:szCs w:val="28"/>
        </w:rPr>
        <w:t xml:space="preserve">%; </w:t>
      </w:r>
      <w:r w:rsidR="0027146D">
        <w:rPr>
          <w:rFonts w:ascii="Times New Roman" w:eastAsia="Calibri" w:hAnsi="Times New Roman" w:cs="Times New Roman"/>
          <w:sz w:val="28"/>
          <w:szCs w:val="28"/>
        </w:rPr>
        <w:br/>
      </w:r>
      <w:r w:rsidRPr="00D03A4F">
        <w:rPr>
          <w:rFonts w:ascii="Times New Roman" w:eastAsia="Calibri" w:hAnsi="Times New Roman" w:cs="Times New Roman"/>
          <w:sz w:val="28"/>
          <w:szCs w:val="28"/>
        </w:rPr>
        <w:t>за вымогательство – 1,</w:t>
      </w:r>
      <w:r w:rsidR="00010402">
        <w:rPr>
          <w:rFonts w:ascii="Times New Roman" w:eastAsia="Calibri" w:hAnsi="Times New Roman" w:cs="Times New Roman"/>
          <w:sz w:val="28"/>
          <w:szCs w:val="28"/>
        </w:rPr>
        <w:t>49</w:t>
      </w:r>
      <w:r w:rsidRPr="00D03A4F">
        <w:rPr>
          <w:rFonts w:ascii="Times New Roman" w:eastAsia="Calibri" w:hAnsi="Times New Roman" w:cs="Times New Roman"/>
          <w:sz w:val="28"/>
          <w:szCs w:val="28"/>
        </w:rPr>
        <w:t xml:space="preserve">%; за разбой – </w:t>
      </w:r>
      <w:r w:rsidR="00010402">
        <w:rPr>
          <w:rFonts w:ascii="Times New Roman" w:eastAsia="Calibri" w:hAnsi="Times New Roman" w:cs="Times New Roman"/>
          <w:sz w:val="28"/>
          <w:szCs w:val="28"/>
        </w:rPr>
        <w:t>1</w:t>
      </w:r>
      <w:r w:rsidRPr="00D03A4F">
        <w:rPr>
          <w:rFonts w:ascii="Times New Roman" w:eastAsia="Calibri" w:hAnsi="Times New Roman" w:cs="Times New Roman"/>
          <w:sz w:val="28"/>
          <w:szCs w:val="28"/>
        </w:rPr>
        <w:t>,</w:t>
      </w:r>
      <w:r w:rsidR="00010402">
        <w:rPr>
          <w:rFonts w:ascii="Times New Roman" w:eastAsia="Calibri" w:hAnsi="Times New Roman" w:cs="Times New Roman"/>
          <w:sz w:val="28"/>
          <w:szCs w:val="28"/>
        </w:rPr>
        <w:t>34</w:t>
      </w:r>
      <w:r w:rsidRPr="00D03A4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за изнасилование – </w:t>
      </w:r>
      <w:r w:rsidR="00010402">
        <w:rPr>
          <w:rFonts w:ascii="Times New Roman" w:eastAsia="Calibri" w:hAnsi="Times New Roman" w:cs="Times New Roman"/>
          <w:sz w:val="28"/>
          <w:szCs w:val="28"/>
        </w:rPr>
        <w:t>1</w:t>
      </w:r>
      <w:r>
        <w:rPr>
          <w:rFonts w:ascii="Times New Roman" w:eastAsia="Calibri" w:hAnsi="Times New Roman" w:cs="Times New Roman"/>
          <w:sz w:val="28"/>
          <w:szCs w:val="28"/>
        </w:rPr>
        <w:t>,</w:t>
      </w:r>
      <w:r w:rsidR="00010402">
        <w:rPr>
          <w:rFonts w:ascii="Times New Roman" w:eastAsia="Calibri" w:hAnsi="Times New Roman" w:cs="Times New Roman"/>
          <w:sz w:val="28"/>
          <w:szCs w:val="28"/>
        </w:rPr>
        <w:t>04</w:t>
      </w:r>
      <w:r>
        <w:rPr>
          <w:rFonts w:ascii="Times New Roman" w:eastAsia="Calibri" w:hAnsi="Times New Roman" w:cs="Times New Roman"/>
          <w:sz w:val="28"/>
          <w:szCs w:val="28"/>
        </w:rPr>
        <w:t xml:space="preserve">%; </w:t>
      </w:r>
      <w:r w:rsidR="0027146D">
        <w:rPr>
          <w:rFonts w:ascii="Times New Roman" w:eastAsia="Calibri" w:hAnsi="Times New Roman" w:cs="Times New Roman"/>
          <w:sz w:val="28"/>
          <w:szCs w:val="28"/>
        </w:rPr>
        <w:br/>
      </w:r>
      <w:r w:rsidRPr="00D03A4F">
        <w:rPr>
          <w:rFonts w:ascii="Times New Roman" w:eastAsia="Calibri" w:hAnsi="Times New Roman" w:cs="Times New Roman"/>
          <w:sz w:val="28"/>
          <w:szCs w:val="28"/>
        </w:rPr>
        <w:t xml:space="preserve">за убийство – </w:t>
      </w:r>
      <w:r w:rsidR="00010402">
        <w:rPr>
          <w:rFonts w:ascii="Times New Roman" w:eastAsia="Calibri" w:hAnsi="Times New Roman" w:cs="Times New Roman"/>
          <w:sz w:val="28"/>
          <w:szCs w:val="28"/>
        </w:rPr>
        <w:t>1</w:t>
      </w:r>
      <w:r w:rsidRPr="00D03A4F">
        <w:rPr>
          <w:rFonts w:ascii="Times New Roman" w:eastAsia="Calibri" w:hAnsi="Times New Roman" w:cs="Times New Roman"/>
          <w:sz w:val="28"/>
          <w:szCs w:val="28"/>
        </w:rPr>
        <w:t>,</w:t>
      </w:r>
      <w:r w:rsidR="00010402">
        <w:rPr>
          <w:rFonts w:ascii="Times New Roman" w:eastAsia="Calibri" w:hAnsi="Times New Roman" w:cs="Times New Roman"/>
          <w:sz w:val="28"/>
          <w:szCs w:val="28"/>
        </w:rPr>
        <w:t>19</w:t>
      </w:r>
      <w:r w:rsidRPr="00D03A4F">
        <w:rPr>
          <w:rFonts w:ascii="Times New Roman" w:eastAsia="Calibri" w:hAnsi="Times New Roman" w:cs="Times New Roman"/>
          <w:sz w:val="28"/>
          <w:szCs w:val="28"/>
        </w:rPr>
        <w:t>%;</w:t>
      </w:r>
      <w:r w:rsidR="00FD14A0">
        <w:rPr>
          <w:rFonts w:ascii="Times New Roman" w:eastAsia="Times New Roman" w:hAnsi="Times New Roman" w:cs="Times New Roman"/>
          <w:color w:val="000000"/>
          <w:sz w:val="28"/>
          <w:szCs w:val="28"/>
          <w:lang w:eastAsia="ru-RU" w:bidi="ru-RU"/>
        </w:rPr>
        <w:t> </w:t>
      </w:r>
      <w:r w:rsidRPr="00D03A4F">
        <w:rPr>
          <w:rFonts w:ascii="Times New Roman" w:eastAsia="Calibri" w:hAnsi="Times New Roman" w:cs="Times New Roman"/>
          <w:sz w:val="28"/>
          <w:szCs w:val="28"/>
        </w:rPr>
        <w:t xml:space="preserve">за развратные действия – </w:t>
      </w:r>
      <w:r w:rsidR="00010402">
        <w:rPr>
          <w:rFonts w:ascii="Times New Roman" w:eastAsia="Calibri" w:hAnsi="Times New Roman" w:cs="Times New Roman"/>
          <w:sz w:val="28"/>
          <w:szCs w:val="28"/>
        </w:rPr>
        <w:t>1</w:t>
      </w:r>
      <w:r w:rsidRPr="00D03A4F">
        <w:rPr>
          <w:rFonts w:ascii="Times New Roman" w:eastAsia="Calibri" w:hAnsi="Times New Roman" w:cs="Times New Roman"/>
          <w:sz w:val="28"/>
          <w:szCs w:val="28"/>
        </w:rPr>
        <w:t>,</w:t>
      </w:r>
      <w:r w:rsidR="00010402">
        <w:rPr>
          <w:rFonts w:ascii="Times New Roman" w:eastAsia="Calibri" w:hAnsi="Times New Roman" w:cs="Times New Roman"/>
          <w:sz w:val="28"/>
          <w:szCs w:val="28"/>
        </w:rPr>
        <w:t>49</w:t>
      </w:r>
      <w:r w:rsidRPr="00D03A4F">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03A4F">
        <w:rPr>
          <w:rFonts w:ascii="Times New Roman" w:eastAsia="Calibri" w:hAnsi="Times New Roman" w:cs="Times New Roman"/>
          <w:sz w:val="28"/>
          <w:szCs w:val="28"/>
        </w:rPr>
        <w:t>за совершение иных видов обще</w:t>
      </w:r>
      <w:r>
        <w:rPr>
          <w:rFonts w:ascii="Times New Roman" w:eastAsia="Calibri" w:hAnsi="Times New Roman" w:cs="Times New Roman"/>
          <w:sz w:val="28"/>
          <w:szCs w:val="28"/>
        </w:rPr>
        <w:t xml:space="preserve">ственно опасных деяний – </w:t>
      </w:r>
      <w:r w:rsidR="00010402">
        <w:rPr>
          <w:rFonts w:ascii="Times New Roman" w:eastAsia="Calibri" w:hAnsi="Times New Roman" w:cs="Times New Roman"/>
          <w:sz w:val="28"/>
          <w:szCs w:val="28"/>
        </w:rPr>
        <w:t>6</w:t>
      </w:r>
      <w:r>
        <w:rPr>
          <w:rFonts w:ascii="Times New Roman" w:eastAsia="Calibri" w:hAnsi="Times New Roman" w:cs="Times New Roman"/>
          <w:sz w:val="28"/>
          <w:szCs w:val="28"/>
        </w:rPr>
        <w:t>,</w:t>
      </w:r>
      <w:r w:rsidR="00010402">
        <w:rPr>
          <w:rFonts w:ascii="Times New Roman" w:eastAsia="Calibri" w:hAnsi="Times New Roman" w:cs="Times New Roman"/>
          <w:sz w:val="28"/>
          <w:szCs w:val="28"/>
        </w:rPr>
        <w:t>88</w:t>
      </w:r>
      <w:r>
        <w:rPr>
          <w:rFonts w:ascii="Times New Roman" w:eastAsia="Calibri" w:hAnsi="Times New Roman" w:cs="Times New Roman"/>
          <w:sz w:val="28"/>
          <w:szCs w:val="28"/>
        </w:rPr>
        <w:t>%</w:t>
      </w:r>
      <w:r w:rsidR="00A12DC0">
        <w:rPr>
          <w:rFonts w:ascii="Times New Roman" w:eastAsia="Calibri" w:hAnsi="Times New Roman" w:cs="Times New Roman"/>
          <w:sz w:val="28"/>
          <w:szCs w:val="28"/>
        </w:rPr>
        <w:t>.</w:t>
      </w:r>
    </w:p>
    <w:p w14:paraId="6274384E" w14:textId="77777777" w:rsidR="00A12DC0" w:rsidRDefault="00A12DC0" w:rsidP="00A12DC0">
      <w:pPr>
        <w:widowControl w:val="0"/>
        <w:tabs>
          <w:tab w:val="right" w:pos="7565"/>
          <w:tab w:val="center" w:pos="8381"/>
          <w:tab w:val="right" w:pos="10190"/>
        </w:tabs>
        <w:spacing w:after="0" w:line="312" w:lineRule="auto"/>
        <w:ind w:firstLine="709"/>
        <w:jc w:val="both"/>
        <w:rPr>
          <w:rFonts w:ascii="Times New Roman" w:eastAsia="Calibri" w:hAnsi="Times New Roman" w:cs="Times New Roman"/>
          <w:sz w:val="28"/>
          <w:szCs w:val="28"/>
        </w:rPr>
      </w:pPr>
    </w:p>
    <w:p w14:paraId="1FA0E660" w14:textId="77777777" w:rsidR="00A12DC0" w:rsidRDefault="00A12DC0" w:rsidP="00A12DC0">
      <w:pPr>
        <w:widowControl w:val="0"/>
        <w:tabs>
          <w:tab w:val="right" w:pos="7565"/>
          <w:tab w:val="center" w:pos="8381"/>
          <w:tab w:val="right" w:pos="10190"/>
        </w:tabs>
        <w:spacing w:after="0" w:line="312" w:lineRule="auto"/>
        <w:ind w:firstLine="709"/>
        <w:jc w:val="both"/>
        <w:rPr>
          <w:rFonts w:ascii="Times New Roman" w:eastAsia="Calibri" w:hAnsi="Times New Roman" w:cs="Times New Roman"/>
          <w:sz w:val="28"/>
          <w:szCs w:val="28"/>
        </w:rPr>
      </w:pPr>
    </w:p>
    <w:p w14:paraId="7AB2A2C6" w14:textId="77777777" w:rsidR="00A12DC0" w:rsidRPr="00D03A4F" w:rsidRDefault="00A12DC0" w:rsidP="00A12DC0">
      <w:pPr>
        <w:widowControl w:val="0"/>
        <w:tabs>
          <w:tab w:val="right" w:pos="7565"/>
          <w:tab w:val="center" w:pos="8381"/>
          <w:tab w:val="right" w:pos="10190"/>
        </w:tabs>
        <w:spacing w:after="0" w:line="312" w:lineRule="auto"/>
        <w:ind w:firstLine="709"/>
        <w:jc w:val="both"/>
        <w:rPr>
          <w:rFonts w:ascii="Times New Roman" w:eastAsia="Calibri" w:hAnsi="Times New Roman" w:cs="Times New Roman"/>
          <w:sz w:val="28"/>
          <w:szCs w:val="28"/>
        </w:rPr>
      </w:pPr>
    </w:p>
    <w:p w14:paraId="321B8516" w14:textId="77777777" w:rsidR="00A850F3" w:rsidRPr="00D03A4F" w:rsidRDefault="00A850F3" w:rsidP="00A850F3">
      <w:pPr>
        <w:widowControl w:val="0"/>
        <w:tabs>
          <w:tab w:val="left" w:pos="3119"/>
        </w:tabs>
        <w:spacing w:after="0" w:line="240" w:lineRule="auto"/>
        <w:ind w:firstLine="720"/>
        <w:jc w:val="center"/>
        <w:rPr>
          <w:rFonts w:ascii="Times New Roman" w:eastAsia="Times New Roman" w:hAnsi="Times New Roman" w:cs="Times New Roman"/>
          <w:b/>
          <w:color w:val="000000"/>
          <w:sz w:val="26"/>
          <w:szCs w:val="26"/>
          <w:lang w:eastAsia="ru-RU" w:bidi="ru-RU"/>
        </w:rPr>
      </w:pPr>
      <w:r w:rsidRPr="00D03A4F">
        <w:rPr>
          <w:rFonts w:ascii="Times New Roman" w:eastAsia="Times New Roman" w:hAnsi="Times New Roman" w:cs="Times New Roman"/>
          <w:b/>
          <w:color w:val="000000"/>
          <w:sz w:val="26"/>
          <w:szCs w:val="26"/>
          <w:lang w:eastAsia="ru-RU" w:bidi="ru-RU"/>
        </w:rPr>
        <w:t>Сведения о причинах направления несовершеннолетних в специальные учебно-воспитательные учреждения закрытого типа</w:t>
      </w:r>
    </w:p>
    <w:p w14:paraId="64CD59E8" w14:textId="77777777" w:rsidR="00A850F3" w:rsidRPr="00D03A4F" w:rsidRDefault="00A850F3" w:rsidP="00A850F3">
      <w:pPr>
        <w:widowControl w:val="0"/>
        <w:tabs>
          <w:tab w:val="left" w:pos="3119"/>
        </w:tabs>
        <w:spacing w:after="0" w:line="312" w:lineRule="auto"/>
        <w:ind w:firstLine="720"/>
        <w:jc w:val="center"/>
        <w:rPr>
          <w:rFonts w:ascii="Times New Roman" w:eastAsia="Times New Roman" w:hAnsi="Times New Roman" w:cs="Times New Roman"/>
          <w:b/>
          <w:color w:val="000000"/>
          <w:sz w:val="26"/>
          <w:szCs w:val="26"/>
          <w:lang w:eastAsia="ru-RU" w:bidi="ru-RU"/>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1714"/>
        <w:gridCol w:w="1546"/>
        <w:gridCol w:w="1418"/>
      </w:tblGrid>
      <w:tr w:rsidR="00A850F3" w:rsidRPr="00D03A4F" w14:paraId="4785077E" w14:textId="77777777" w:rsidTr="00010402">
        <w:trPr>
          <w:trHeight w:val="557"/>
          <w:tblHeader/>
          <w:jc w:val="center"/>
        </w:trPr>
        <w:tc>
          <w:tcPr>
            <w:tcW w:w="5807" w:type="dxa"/>
            <w:vMerge w:val="restart"/>
          </w:tcPr>
          <w:p w14:paraId="34FF0CF9" w14:textId="77777777" w:rsidR="00A850F3" w:rsidRPr="00D03A4F" w:rsidRDefault="00A850F3"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b/>
                <w:bCs/>
                <w:color w:val="000000"/>
                <w:shd w:val="clear" w:color="auto" w:fill="FFFFFF"/>
                <w:lang w:eastAsia="ru-RU" w:bidi="ru-RU"/>
              </w:rPr>
              <w:t>Причины направления несовершеннолетних в специальные учебно-воспитательные учреждения закрытого типа</w:t>
            </w:r>
          </w:p>
        </w:tc>
        <w:tc>
          <w:tcPr>
            <w:tcW w:w="4678" w:type="dxa"/>
            <w:gridSpan w:val="3"/>
          </w:tcPr>
          <w:p w14:paraId="37A17151" w14:textId="77777777" w:rsidR="00A850F3" w:rsidRPr="00D03A4F" w:rsidRDefault="00A850F3" w:rsidP="00A850F3">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Доля несовершеннолетних из общего числа направленных в специальные учебно-воспитательные учреждения закрытого типа, %</w:t>
            </w:r>
          </w:p>
        </w:tc>
      </w:tr>
      <w:tr w:rsidR="00A850F3" w:rsidRPr="00D03A4F" w14:paraId="0E80BA6C" w14:textId="77777777" w:rsidTr="00010402">
        <w:trPr>
          <w:tblHeader/>
          <w:jc w:val="center"/>
        </w:trPr>
        <w:tc>
          <w:tcPr>
            <w:tcW w:w="5807" w:type="dxa"/>
            <w:vMerge/>
          </w:tcPr>
          <w:p w14:paraId="557D4929" w14:textId="77777777" w:rsidR="00A850F3" w:rsidRPr="00D03A4F" w:rsidRDefault="00A850F3" w:rsidP="00A850F3">
            <w:pPr>
              <w:widowControl w:val="0"/>
              <w:tabs>
                <w:tab w:val="left" w:pos="3119"/>
              </w:tabs>
              <w:spacing w:after="0" w:line="240" w:lineRule="auto"/>
              <w:jc w:val="both"/>
              <w:rPr>
                <w:rFonts w:ascii="Times New Roman" w:eastAsia="Times New Roman" w:hAnsi="Times New Roman" w:cs="Times New Roman"/>
                <w:b/>
                <w:color w:val="000000"/>
                <w:lang w:eastAsia="ru-RU" w:bidi="ru-RU"/>
              </w:rPr>
            </w:pPr>
          </w:p>
        </w:tc>
        <w:tc>
          <w:tcPr>
            <w:tcW w:w="1714" w:type="dxa"/>
          </w:tcPr>
          <w:p w14:paraId="426C824F" w14:textId="77777777" w:rsidR="00A850F3" w:rsidRPr="00D03A4F" w:rsidRDefault="00A850F3" w:rsidP="00BC05B4">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201</w:t>
            </w:r>
            <w:r w:rsidR="00010402">
              <w:rPr>
                <w:rFonts w:ascii="Times New Roman" w:eastAsia="Times New Roman" w:hAnsi="Times New Roman" w:cs="Times New Roman"/>
                <w:b/>
                <w:color w:val="000000"/>
                <w:lang w:eastAsia="ru-RU" w:bidi="ru-RU"/>
              </w:rPr>
              <w:t xml:space="preserve">9 </w:t>
            </w:r>
            <w:r w:rsidRPr="00D03A4F">
              <w:rPr>
                <w:rFonts w:ascii="Times New Roman" w:eastAsia="Times New Roman" w:hAnsi="Times New Roman" w:cs="Times New Roman"/>
                <w:b/>
                <w:color w:val="000000"/>
                <w:lang w:eastAsia="ru-RU" w:bidi="ru-RU"/>
              </w:rPr>
              <w:t>г</w:t>
            </w:r>
            <w:r w:rsidR="00BC05B4">
              <w:rPr>
                <w:rFonts w:ascii="Times New Roman" w:eastAsia="Times New Roman" w:hAnsi="Times New Roman" w:cs="Times New Roman"/>
                <w:b/>
                <w:color w:val="000000"/>
                <w:lang w:eastAsia="ru-RU" w:bidi="ru-RU"/>
              </w:rPr>
              <w:t>.</w:t>
            </w:r>
          </w:p>
        </w:tc>
        <w:tc>
          <w:tcPr>
            <w:tcW w:w="1546" w:type="dxa"/>
          </w:tcPr>
          <w:p w14:paraId="57CFF76D" w14:textId="77777777" w:rsidR="00A850F3" w:rsidRPr="00D03A4F" w:rsidRDefault="00A850F3" w:rsidP="00BC05B4">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20</w:t>
            </w:r>
            <w:r w:rsidR="00010402">
              <w:rPr>
                <w:rFonts w:ascii="Times New Roman" w:eastAsia="Times New Roman" w:hAnsi="Times New Roman" w:cs="Times New Roman"/>
                <w:b/>
                <w:color w:val="000000"/>
                <w:lang w:eastAsia="ru-RU" w:bidi="ru-RU"/>
              </w:rPr>
              <w:t>20</w:t>
            </w:r>
            <w:r w:rsidRPr="00D03A4F">
              <w:rPr>
                <w:rFonts w:ascii="Times New Roman" w:eastAsia="Times New Roman" w:hAnsi="Times New Roman" w:cs="Times New Roman"/>
                <w:b/>
                <w:color w:val="000000"/>
                <w:lang w:eastAsia="ru-RU" w:bidi="ru-RU"/>
              </w:rPr>
              <w:t xml:space="preserve"> г</w:t>
            </w:r>
            <w:r w:rsidR="00BC05B4">
              <w:rPr>
                <w:rFonts w:ascii="Times New Roman" w:eastAsia="Times New Roman" w:hAnsi="Times New Roman" w:cs="Times New Roman"/>
                <w:b/>
                <w:color w:val="000000"/>
                <w:lang w:eastAsia="ru-RU" w:bidi="ru-RU"/>
              </w:rPr>
              <w:t>.</w:t>
            </w:r>
          </w:p>
        </w:tc>
        <w:tc>
          <w:tcPr>
            <w:tcW w:w="1418" w:type="dxa"/>
          </w:tcPr>
          <w:p w14:paraId="6053EB8F" w14:textId="77777777" w:rsidR="00A850F3" w:rsidRPr="00D03A4F" w:rsidRDefault="00A850F3" w:rsidP="00BC05B4">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20</w:t>
            </w:r>
            <w:r w:rsidR="008A4089">
              <w:rPr>
                <w:rFonts w:ascii="Times New Roman" w:eastAsia="Times New Roman" w:hAnsi="Times New Roman" w:cs="Times New Roman"/>
                <w:b/>
                <w:color w:val="000000"/>
                <w:lang w:eastAsia="ru-RU" w:bidi="ru-RU"/>
              </w:rPr>
              <w:t>2</w:t>
            </w:r>
            <w:r w:rsidR="00010402">
              <w:rPr>
                <w:rFonts w:ascii="Times New Roman" w:eastAsia="Times New Roman" w:hAnsi="Times New Roman" w:cs="Times New Roman"/>
                <w:b/>
                <w:color w:val="000000"/>
                <w:lang w:eastAsia="ru-RU" w:bidi="ru-RU"/>
              </w:rPr>
              <w:t>1</w:t>
            </w:r>
            <w:r w:rsidRPr="00D03A4F">
              <w:rPr>
                <w:rFonts w:ascii="Times New Roman" w:eastAsia="Times New Roman" w:hAnsi="Times New Roman" w:cs="Times New Roman"/>
                <w:b/>
                <w:color w:val="000000"/>
                <w:lang w:eastAsia="ru-RU" w:bidi="ru-RU"/>
              </w:rPr>
              <w:t xml:space="preserve"> г</w:t>
            </w:r>
            <w:r w:rsidR="00BC05B4">
              <w:rPr>
                <w:rFonts w:ascii="Times New Roman" w:eastAsia="Times New Roman" w:hAnsi="Times New Roman" w:cs="Times New Roman"/>
                <w:b/>
                <w:color w:val="000000"/>
                <w:lang w:eastAsia="ru-RU" w:bidi="ru-RU"/>
              </w:rPr>
              <w:t>.</w:t>
            </w:r>
          </w:p>
        </w:tc>
      </w:tr>
      <w:tr w:rsidR="00010402" w:rsidRPr="00D03A4F" w14:paraId="73307955" w14:textId="77777777" w:rsidTr="00010402">
        <w:trPr>
          <w:trHeight w:val="340"/>
          <w:jc w:val="center"/>
        </w:trPr>
        <w:tc>
          <w:tcPr>
            <w:tcW w:w="5807" w:type="dxa"/>
            <w:vAlign w:val="center"/>
          </w:tcPr>
          <w:p w14:paraId="7B7C832B" w14:textId="77777777" w:rsidR="00010402" w:rsidRPr="00D03A4F" w:rsidRDefault="00010402" w:rsidP="00010402">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Кража</w:t>
            </w:r>
          </w:p>
        </w:tc>
        <w:tc>
          <w:tcPr>
            <w:tcW w:w="1714" w:type="dxa"/>
            <w:vAlign w:val="center"/>
          </w:tcPr>
          <w:p w14:paraId="72C102D4" w14:textId="77777777" w:rsidR="00010402" w:rsidRPr="00D03A4F" w:rsidRDefault="00010402" w:rsidP="0001040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61,89</w:t>
            </w:r>
          </w:p>
        </w:tc>
        <w:tc>
          <w:tcPr>
            <w:tcW w:w="1546" w:type="dxa"/>
            <w:vAlign w:val="center"/>
          </w:tcPr>
          <w:p w14:paraId="719662BE" w14:textId="77777777" w:rsidR="00010402" w:rsidRPr="00D03A4F" w:rsidRDefault="00010402" w:rsidP="0001040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57,98</w:t>
            </w:r>
          </w:p>
        </w:tc>
        <w:tc>
          <w:tcPr>
            <w:tcW w:w="1418" w:type="dxa"/>
            <w:vAlign w:val="center"/>
          </w:tcPr>
          <w:p w14:paraId="31570A3C" w14:textId="77777777" w:rsidR="00010402" w:rsidRPr="00D03A4F" w:rsidRDefault="00010402" w:rsidP="0001040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50,89</w:t>
            </w:r>
          </w:p>
        </w:tc>
      </w:tr>
      <w:tr w:rsidR="00010402" w:rsidRPr="00D03A4F" w14:paraId="0F59D9B1" w14:textId="77777777" w:rsidTr="00010402">
        <w:trPr>
          <w:trHeight w:val="340"/>
          <w:jc w:val="center"/>
        </w:trPr>
        <w:tc>
          <w:tcPr>
            <w:tcW w:w="5807" w:type="dxa"/>
            <w:vAlign w:val="center"/>
          </w:tcPr>
          <w:p w14:paraId="25ABB468" w14:textId="77777777" w:rsidR="00010402" w:rsidRPr="00D03A4F" w:rsidRDefault="00010402" w:rsidP="00010402">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Хулиганство</w:t>
            </w:r>
          </w:p>
        </w:tc>
        <w:tc>
          <w:tcPr>
            <w:tcW w:w="1714" w:type="dxa"/>
            <w:vAlign w:val="center"/>
          </w:tcPr>
          <w:p w14:paraId="4734BD71" w14:textId="77777777" w:rsidR="00010402" w:rsidRPr="00D03A4F" w:rsidRDefault="00010402" w:rsidP="0001040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4,09</w:t>
            </w:r>
          </w:p>
        </w:tc>
        <w:tc>
          <w:tcPr>
            <w:tcW w:w="1546" w:type="dxa"/>
            <w:vAlign w:val="center"/>
          </w:tcPr>
          <w:p w14:paraId="4D5472B7" w14:textId="77777777" w:rsidR="00010402" w:rsidRPr="00D03A4F" w:rsidRDefault="00010402" w:rsidP="0001040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1,37</w:t>
            </w:r>
          </w:p>
        </w:tc>
        <w:tc>
          <w:tcPr>
            <w:tcW w:w="1418" w:type="dxa"/>
            <w:vAlign w:val="center"/>
          </w:tcPr>
          <w:p w14:paraId="3BC1A814" w14:textId="77777777" w:rsidR="00010402" w:rsidRPr="00D03A4F" w:rsidRDefault="00010402" w:rsidP="0001040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1,49</w:t>
            </w:r>
          </w:p>
        </w:tc>
      </w:tr>
      <w:tr w:rsidR="00010402" w:rsidRPr="00D03A4F" w14:paraId="70AF4F43" w14:textId="77777777" w:rsidTr="00010402">
        <w:trPr>
          <w:trHeight w:val="340"/>
          <w:jc w:val="center"/>
        </w:trPr>
        <w:tc>
          <w:tcPr>
            <w:tcW w:w="5807" w:type="dxa"/>
            <w:vAlign w:val="center"/>
          </w:tcPr>
          <w:p w14:paraId="0501074A" w14:textId="77777777" w:rsidR="00010402" w:rsidRPr="00D03A4F" w:rsidRDefault="00010402" w:rsidP="00010402">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Грабеж</w:t>
            </w:r>
          </w:p>
        </w:tc>
        <w:tc>
          <w:tcPr>
            <w:tcW w:w="1714" w:type="dxa"/>
            <w:vAlign w:val="center"/>
          </w:tcPr>
          <w:p w14:paraId="138146E7" w14:textId="77777777" w:rsidR="00010402" w:rsidRPr="00D03A4F" w:rsidRDefault="00010402" w:rsidP="0001040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10,93</w:t>
            </w:r>
          </w:p>
        </w:tc>
        <w:tc>
          <w:tcPr>
            <w:tcW w:w="1546" w:type="dxa"/>
            <w:vAlign w:val="center"/>
          </w:tcPr>
          <w:p w14:paraId="6189B50D" w14:textId="77777777" w:rsidR="00010402" w:rsidRPr="00D03A4F" w:rsidRDefault="00010402" w:rsidP="0001040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7,16</w:t>
            </w:r>
          </w:p>
        </w:tc>
        <w:tc>
          <w:tcPr>
            <w:tcW w:w="1418" w:type="dxa"/>
            <w:vAlign w:val="center"/>
          </w:tcPr>
          <w:p w14:paraId="7AF3A935" w14:textId="77777777" w:rsidR="00010402" w:rsidRPr="00D03A4F" w:rsidRDefault="00A766BC" w:rsidP="0001040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8,23</w:t>
            </w:r>
          </w:p>
        </w:tc>
      </w:tr>
      <w:tr w:rsidR="00010402" w:rsidRPr="00D03A4F" w14:paraId="4F46FBF3" w14:textId="77777777" w:rsidTr="00010402">
        <w:trPr>
          <w:trHeight w:val="340"/>
          <w:jc w:val="center"/>
        </w:trPr>
        <w:tc>
          <w:tcPr>
            <w:tcW w:w="5807" w:type="dxa"/>
            <w:vAlign w:val="center"/>
          </w:tcPr>
          <w:p w14:paraId="1080A4AB" w14:textId="77777777" w:rsidR="00010402" w:rsidRPr="00D03A4F" w:rsidRDefault="00010402" w:rsidP="00010402">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Вымогательство</w:t>
            </w:r>
          </w:p>
        </w:tc>
        <w:tc>
          <w:tcPr>
            <w:tcW w:w="1714" w:type="dxa"/>
            <w:vAlign w:val="center"/>
          </w:tcPr>
          <w:p w14:paraId="3239FA2E" w14:textId="77777777" w:rsidR="00010402" w:rsidRPr="00D03A4F" w:rsidRDefault="00010402" w:rsidP="0001040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1,92</w:t>
            </w:r>
          </w:p>
        </w:tc>
        <w:tc>
          <w:tcPr>
            <w:tcW w:w="1546" w:type="dxa"/>
            <w:vAlign w:val="center"/>
          </w:tcPr>
          <w:p w14:paraId="753F8A2E" w14:textId="77777777" w:rsidR="00010402" w:rsidRPr="00D03A4F" w:rsidRDefault="00010402" w:rsidP="0001040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1,23</w:t>
            </w:r>
          </w:p>
        </w:tc>
        <w:tc>
          <w:tcPr>
            <w:tcW w:w="1418" w:type="dxa"/>
            <w:vAlign w:val="center"/>
          </w:tcPr>
          <w:p w14:paraId="21A4EDE4" w14:textId="77777777" w:rsidR="00010402" w:rsidRPr="00D03A4F" w:rsidRDefault="00A766BC" w:rsidP="0001040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1,49</w:t>
            </w:r>
          </w:p>
        </w:tc>
      </w:tr>
      <w:tr w:rsidR="00010402" w:rsidRPr="00D03A4F" w14:paraId="3BBACE4E" w14:textId="77777777" w:rsidTr="00010402">
        <w:trPr>
          <w:trHeight w:val="340"/>
          <w:jc w:val="center"/>
        </w:trPr>
        <w:tc>
          <w:tcPr>
            <w:tcW w:w="5807" w:type="dxa"/>
            <w:vAlign w:val="center"/>
          </w:tcPr>
          <w:p w14:paraId="713C74FD" w14:textId="77777777" w:rsidR="00010402" w:rsidRPr="00D03A4F" w:rsidRDefault="00010402" w:rsidP="00010402">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Убийство</w:t>
            </w:r>
          </w:p>
        </w:tc>
        <w:tc>
          <w:tcPr>
            <w:tcW w:w="1714" w:type="dxa"/>
            <w:vAlign w:val="center"/>
          </w:tcPr>
          <w:p w14:paraId="3760F457" w14:textId="77777777" w:rsidR="00010402" w:rsidRPr="00D03A4F" w:rsidRDefault="00010402" w:rsidP="0001040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0,34</w:t>
            </w:r>
          </w:p>
        </w:tc>
        <w:tc>
          <w:tcPr>
            <w:tcW w:w="1546" w:type="dxa"/>
            <w:vAlign w:val="center"/>
          </w:tcPr>
          <w:p w14:paraId="1D8A6CC6" w14:textId="77777777" w:rsidR="00010402" w:rsidRPr="00D03A4F" w:rsidRDefault="00010402" w:rsidP="0001040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0,27</w:t>
            </w:r>
          </w:p>
        </w:tc>
        <w:tc>
          <w:tcPr>
            <w:tcW w:w="1418" w:type="dxa"/>
            <w:vAlign w:val="center"/>
          </w:tcPr>
          <w:p w14:paraId="627BA020" w14:textId="77777777" w:rsidR="00010402" w:rsidRPr="00D03A4F" w:rsidRDefault="00A766BC" w:rsidP="0001040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1,19</w:t>
            </w:r>
          </w:p>
        </w:tc>
      </w:tr>
      <w:tr w:rsidR="00010402" w:rsidRPr="00D03A4F" w14:paraId="1F4CFF23" w14:textId="77777777" w:rsidTr="00010402">
        <w:trPr>
          <w:trHeight w:val="340"/>
          <w:jc w:val="center"/>
        </w:trPr>
        <w:tc>
          <w:tcPr>
            <w:tcW w:w="5807" w:type="dxa"/>
            <w:vAlign w:val="center"/>
          </w:tcPr>
          <w:p w14:paraId="088968A5" w14:textId="77777777" w:rsidR="00010402" w:rsidRPr="00D03A4F" w:rsidRDefault="00010402" w:rsidP="00010402">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Разбой</w:t>
            </w:r>
          </w:p>
        </w:tc>
        <w:tc>
          <w:tcPr>
            <w:tcW w:w="1714" w:type="dxa"/>
            <w:vAlign w:val="center"/>
          </w:tcPr>
          <w:p w14:paraId="1A804169" w14:textId="77777777" w:rsidR="00010402" w:rsidRPr="00D03A4F" w:rsidRDefault="00010402" w:rsidP="0001040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1,24</w:t>
            </w:r>
          </w:p>
        </w:tc>
        <w:tc>
          <w:tcPr>
            <w:tcW w:w="1546" w:type="dxa"/>
            <w:vAlign w:val="center"/>
          </w:tcPr>
          <w:p w14:paraId="455A06DA" w14:textId="77777777" w:rsidR="00010402" w:rsidRPr="00D03A4F" w:rsidRDefault="00010402" w:rsidP="0001040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0,82</w:t>
            </w:r>
          </w:p>
        </w:tc>
        <w:tc>
          <w:tcPr>
            <w:tcW w:w="1418" w:type="dxa"/>
            <w:vAlign w:val="center"/>
          </w:tcPr>
          <w:p w14:paraId="29C5AB65" w14:textId="77777777" w:rsidR="00010402" w:rsidRPr="00D03A4F" w:rsidRDefault="00A766BC" w:rsidP="0001040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1,34</w:t>
            </w:r>
          </w:p>
        </w:tc>
      </w:tr>
      <w:tr w:rsidR="00010402" w:rsidRPr="00D03A4F" w14:paraId="07014460" w14:textId="77777777" w:rsidTr="00010402">
        <w:trPr>
          <w:trHeight w:val="340"/>
          <w:jc w:val="center"/>
        </w:trPr>
        <w:tc>
          <w:tcPr>
            <w:tcW w:w="5807" w:type="dxa"/>
            <w:vAlign w:val="center"/>
          </w:tcPr>
          <w:p w14:paraId="67E49317" w14:textId="77777777" w:rsidR="00010402" w:rsidRPr="00D03A4F" w:rsidRDefault="00010402" w:rsidP="00010402">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Умышленное причинение тяжкого или средней тяжести вреда здоровью</w:t>
            </w:r>
          </w:p>
        </w:tc>
        <w:tc>
          <w:tcPr>
            <w:tcW w:w="1714" w:type="dxa"/>
            <w:vAlign w:val="center"/>
          </w:tcPr>
          <w:p w14:paraId="46EBCE18" w14:textId="77777777" w:rsidR="00010402" w:rsidRPr="00D03A4F" w:rsidRDefault="00010402" w:rsidP="0001040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4,17</w:t>
            </w:r>
          </w:p>
        </w:tc>
        <w:tc>
          <w:tcPr>
            <w:tcW w:w="1546" w:type="dxa"/>
            <w:vAlign w:val="center"/>
          </w:tcPr>
          <w:p w14:paraId="5F4E4868" w14:textId="77777777" w:rsidR="00010402" w:rsidRPr="00D03A4F" w:rsidRDefault="00010402" w:rsidP="0001040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4,4</w:t>
            </w:r>
          </w:p>
        </w:tc>
        <w:tc>
          <w:tcPr>
            <w:tcW w:w="1418" w:type="dxa"/>
            <w:vAlign w:val="center"/>
          </w:tcPr>
          <w:p w14:paraId="593CA7E1" w14:textId="77777777" w:rsidR="00010402" w:rsidRPr="00D03A4F" w:rsidRDefault="00A766BC" w:rsidP="0001040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2,84</w:t>
            </w:r>
          </w:p>
        </w:tc>
      </w:tr>
      <w:tr w:rsidR="00010402" w:rsidRPr="00D03A4F" w14:paraId="6C20E84A" w14:textId="77777777" w:rsidTr="00010402">
        <w:trPr>
          <w:trHeight w:val="340"/>
          <w:jc w:val="center"/>
        </w:trPr>
        <w:tc>
          <w:tcPr>
            <w:tcW w:w="5807" w:type="dxa"/>
            <w:vAlign w:val="center"/>
          </w:tcPr>
          <w:p w14:paraId="56A8BDFD" w14:textId="77777777" w:rsidR="00010402" w:rsidRPr="00D03A4F" w:rsidRDefault="00010402" w:rsidP="00010402">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Умышленное уничтожение или повреждение имущества</w:t>
            </w:r>
          </w:p>
        </w:tc>
        <w:tc>
          <w:tcPr>
            <w:tcW w:w="1714" w:type="dxa"/>
            <w:vAlign w:val="center"/>
          </w:tcPr>
          <w:p w14:paraId="228D65B5" w14:textId="77777777" w:rsidR="00010402" w:rsidRPr="00D03A4F" w:rsidRDefault="00010402" w:rsidP="0001040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6,54</w:t>
            </w:r>
          </w:p>
        </w:tc>
        <w:tc>
          <w:tcPr>
            <w:tcW w:w="1546" w:type="dxa"/>
            <w:vAlign w:val="center"/>
          </w:tcPr>
          <w:p w14:paraId="25839F95" w14:textId="77777777" w:rsidR="00010402" w:rsidRPr="00D03A4F" w:rsidRDefault="00010402" w:rsidP="0001040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7,43</w:t>
            </w:r>
          </w:p>
        </w:tc>
        <w:tc>
          <w:tcPr>
            <w:tcW w:w="1418" w:type="dxa"/>
            <w:vAlign w:val="center"/>
          </w:tcPr>
          <w:p w14:paraId="458DCDE7" w14:textId="77777777" w:rsidR="00010402" w:rsidRPr="00D03A4F" w:rsidRDefault="00A766BC" w:rsidP="0001040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7,48</w:t>
            </w:r>
          </w:p>
        </w:tc>
      </w:tr>
      <w:tr w:rsidR="00010402" w:rsidRPr="00D03A4F" w14:paraId="1CAE1862" w14:textId="77777777" w:rsidTr="00010402">
        <w:trPr>
          <w:trHeight w:val="340"/>
          <w:jc w:val="center"/>
        </w:trPr>
        <w:tc>
          <w:tcPr>
            <w:tcW w:w="5807" w:type="dxa"/>
            <w:vAlign w:val="center"/>
          </w:tcPr>
          <w:p w14:paraId="457C42C3" w14:textId="77777777" w:rsidR="00010402" w:rsidRPr="00D03A4F" w:rsidRDefault="00010402" w:rsidP="00010402">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Неправомерное завладение автомобилем или иным транспортным средством без цели хищения</w:t>
            </w:r>
          </w:p>
        </w:tc>
        <w:tc>
          <w:tcPr>
            <w:tcW w:w="1714" w:type="dxa"/>
            <w:vAlign w:val="center"/>
          </w:tcPr>
          <w:p w14:paraId="4B1A11A0" w14:textId="77777777" w:rsidR="00010402" w:rsidRPr="00D03A4F" w:rsidRDefault="00010402" w:rsidP="0001040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8,1</w:t>
            </w:r>
          </w:p>
        </w:tc>
        <w:tc>
          <w:tcPr>
            <w:tcW w:w="1546" w:type="dxa"/>
            <w:vAlign w:val="center"/>
          </w:tcPr>
          <w:p w14:paraId="4222F859" w14:textId="77777777" w:rsidR="00010402" w:rsidRPr="00D03A4F" w:rsidRDefault="00010402" w:rsidP="0001040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9,64</w:t>
            </w:r>
          </w:p>
        </w:tc>
        <w:tc>
          <w:tcPr>
            <w:tcW w:w="1418" w:type="dxa"/>
            <w:vAlign w:val="center"/>
          </w:tcPr>
          <w:p w14:paraId="529E4446" w14:textId="77777777" w:rsidR="00010402" w:rsidRPr="00D03A4F" w:rsidRDefault="00A766BC" w:rsidP="0001040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9,88</w:t>
            </w:r>
          </w:p>
        </w:tc>
      </w:tr>
      <w:tr w:rsidR="00010402" w:rsidRPr="00D03A4F" w14:paraId="6693AC61" w14:textId="77777777" w:rsidTr="00010402">
        <w:trPr>
          <w:trHeight w:val="340"/>
          <w:jc w:val="center"/>
        </w:trPr>
        <w:tc>
          <w:tcPr>
            <w:tcW w:w="5807" w:type="dxa"/>
            <w:vAlign w:val="center"/>
          </w:tcPr>
          <w:p w14:paraId="5DEA311B" w14:textId="77777777" w:rsidR="00010402" w:rsidRPr="00D03A4F" w:rsidRDefault="00010402" w:rsidP="00010402">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Изнасилование</w:t>
            </w:r>
          </w:p>
        </w:tc>
        <w:tc>
          <w:tcPr>
            <w:tcW w:w="1714" w:type="dxa"/>
            <w:vAlign w:val="center"/>
          </w:tcPr>
          <w:p w14:paraId="7C6AB9EA" w14:textId="77777777" w:rsidR="00010402" w:rsidRPr="00D03A4F" w:rsidRDefault="00010402" w:rsidP="0001040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0,79</w:t>
            </w:r>
          </w:p>
        </w:tc>
        <w:tc>
          <w:tcPr>
            <w:tcW w:w="1546" w:type="dxa"/>
            <w:vAlign w:val="center"/>
          </w:tcPr>
          <w:p w14:paraId="256B2F6F" w14:textId="77777777" w:rsidR="00010402" w:rsidRPr="00D03A4F" w:rsidRDefault="00010402" w:rsidP="0001040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0,27</w:t>
            </w:r>
          </w:p>
        </w:tc>
        <w:tc>
          <w:tcPr>
            <w:tcW w:w="1418" w:type="dxa"/>
            <w:vAlign w:val="center"/>
          </w:tcPr>
          <w:p w14:paraId="1C077EAE" w14:textId="77777777" w:rsidR="00010402" w:rsidRPr="00D03A4F" w:rsidRDefault="00A766BC" w:rsidP="0001040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1,04</w:t>
            </w:r>
          </w:p>
        </w:tc>
      </w:tr>
      <w:tr w:rsidR="00010402" w:rsidRPr="00D03A4F" w14:paraId="1FE1E13D" w14:textId="77777777" w:rsidTr="00010402">
        <w:trPr>
          <w:trHeight w:val="340"/>
          <w:jc w:val="center"/>
        </w:trPr>
        <w:tc>
          <w:tcPr>
            <w:tcW w:w="5807" w:type="dxa"/>
            <w:vAlign w:val="center"/>
          </w:tcPr>
          <w:p w14:paraId="4A48F6E7" w14:textId="77777777" w:rsidR="00010402" w:rsidRPr="00D03A4F" w:rsidRDefault="00010402" w:rsidP="00010402">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 xml:space="preserve">Насильственные действия сексуального характера </w:t>
            </w:r>
          </w:p>
        </w:tc>
        <w:tc>
          <w:tcPr>
            <w:tcW w:w="1714" w:type="dxa"/>
            <w:vAlign w:val="center"/>
          </w:tcPr>
          <w:p w14:paraId="6C34EACF" w14:textId="77777777" w:rsidR="00010402" w:rsidRPr="00D03A4F" w:rsidRDefault="00010402" w:rsidP="0001040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3,04</w:t>
            </w:r>
          </w:p>
        </w:tc>
        <w:tc>
          <w:tcPr>
            <w:tcW w:w="1546" w:type="dxa"/>
            <w:vAlign w:val="center"/>
          </w:tcPr>
          <w:p w14:paraId="452100CF" w14:textId="77777777" w:rsidR="00010402" w:rsidRPr="00D03A4F" w:rsidRDefault="00010402" w:rsidP="0001040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1,51</w:t>
            </w:r>
          </w:p>
        </w:tc>
        <w:tc>
          <w:tcPr>
            <w:tcW w:w="1418" w:type="dxa"/>
            <w:vAlign w:val="center"/>
          </w:tcPr>
          <w:p w14:paraId="1E28D78C" w14:textId="77777777" w:rsidR="00010402" w:rsidRPr="00D03A4F" w:rsidRDefault="00A766BC" w:rsidP="0001040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2,84</w:t>
            </w:r>
          </w:p>
        </w:tc>
      </w:tr>
      <w:tr w:rsidR="00010402" w:rsidRPr="00D03A4F" w14:paraId="171FE0EE" w14:textId="77777777" w:rsidTr="00010402">
        <w:trPr>
          <w:trHeight w:val="340"/>
          <w:jc w:val="center"/>
        </w:trPr>
        <w:tc>
          <w:tcPr>
            <w:tcW w:w="5807" w:type="dxa"/>
            <w:vAlign w:val="center"/>
          </w:tcPr>
          <w:p w14:paraId="378AB0A9" w14:textId="77777777" w:rsidR="00010402" w:rsidRPr="00D03A4F" w:rsidRDefault="00010402" w:rsidP="00010402">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Развратные действия</w:t>
            </w:r>
          </w:p>
        </w:tc>
        <w:tc>
          <w:tcPr>
            <w:tcW w:w="1714" w:type="dxa"/>
            <w:vAlign w:val="center"/>
          </w:tcPr>
          <w:p w14:paraId="5EA81284" w14:textId="77777777" w:rsidR="00010402" w:rsidRPr="00D03A4F" w:rsidRDefault="00010402" w:rsidP="0001040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0,67</w:t>
            </w:r>
          </w:p>
        </w:tc>
        <w:tc>
          <w:tcPr>
            <w:tcW w:w="1546" w:type="dxa"/>
            <w:vAlign w:val="center"/>
          </w:tcPr>
          <w:p w14:paraId="70DB4AF6" w14:textId="77777777" w:rsidR="00010402" w:rsidRPr="00D03A4F" w:rsidRDefault="00010402" w:rsidP="0001040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0,27</w:t>
            </w:r>
          </w:p>
        </w:tc>
        <w:tc>
          <w:tcPr>
            <w:tcW w:w="1418" w:type="dxa"/>
            <w:vAlign w:val="center"/>
          </w:tcPr>
          <w:p w14:paraId="27D7A69F" w14:textId="77777777" w:rsidR="00010402" w:rsidRPr="00D03A4F" w:rsidRDefault="00A766BC" w:rsidP="0001040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1,49</w:t>
            </w:r>
          </w:p>
        </w:tc>
      </w:tr>
      <w:tr w:rsidR="00010402" w:rsidRPr="00D03A4F" w14:paraId="3133EFE2" w14:textId="77777777" w:rsidTr="00010402">
        <w:trPr>
          <w:trHeight w:val="340"/>
          <w:jc w:val="center"/>
        </w:trPr>
        <w:tc>
          <w:tcPr>
            <w:tcW w:w="5807" w:type="dxa"/>
            <w:vAlign w:val="center"/>
          </w:tcPr>
          <w:p w14:paraId="3D04C2A8" w14:textId="77777777" w:rsidR="00010402" w:rsidRPr="00D03A4F" w:rsidRDefault="00010402" w:rsidP="00010402">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Преступления, связанные с наркотическими средствами</w:t>
            </w:r>
          </w:p>
        </w:tc>
        <w:tc>
          <w:tcPr>
            <w:tcW w:w="1714" w:type="dxa"/>
            <w:vAlign w:val="center"/>
          </w:tcPr>
          <w:p w14:paraId="7AAC89B5" w14:textId="77777777" w:rsidR="00010402" w:rsidRPr="00D03A4F" w:rsidRDefault="00010402" w:rsidP="0001040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1,8</w:t>
            </w:r>
          </w:p>
        </w:tc>
        <w:tc>
          <w:tcPr>
            <w:tcW w:w="1546" w:type="dxa"/>
            <w:vAlign w:val="center"/>
          </w:tcPr>
          <w:p w14:paraId="482BED6C" w14:textId="77777777" w:rsidR="00010402" w:rsidRPr="00D03A4F" w:rsidRDefault="00010402" w:rsidP="0001040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2,2</w:t>
            </w:r>
          </w:p>
        </w:tc>
        <w:tc>
          <w:tcPr>
            <w:tcW w:w="1418" w:type="dxa"/>
            <w:vAlign w:val="center"/>
          </w:tcPr>
          <w:p w14:paraId="58402E10" w14:textId="77777777" w:rsidR="00010402" w:rsidRPr="00D03A4F" w:rsidRDefault="00A766BC" w:rsidP="0001040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2,84</w:t>
            </w:r>
          </w:p>
        </w:tc>
      </w:tr>
      <w:tr w:rsidR="00010402" w:rsidRPr="00D03A4F" w14:paraId="2A9CE4D1" w14:textId="77777777" w:rsidTr="00010402">
        <w:trPr>
          <w:trHeight w:val="340"/>
          <w:jc w:val="center"/>
        </w:trPr>
        <w:tc>
          <w:tcPr>
            <w:tcW w:w="5807" w:type="dxa"/>
            <w:vAlign w:val="center"/>
          </w:tcPr>
          <w:p w14:paraId="3086834D" w14:textId="77777777" w:rsidR="00010402" w:rsidRPr="00D03A4F" w:rsidRDefault="00010402" w:rsidP="00010402">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Иные виды общественно опасных деяний</w:t>
            </w:r>
          </w:p>
        </w:tc>
        <w:tc>
          <w:tcPr>
            <w:tcW w:w="1714" w:type="dxa"/>
            <w:vAlign w:val="center"/>
          </w:tcPr>
          <w:p w14:paraId="3367DE6A" w14:textId="77777777" w:rsidR="00010402" w:rsidRPr="00D03A4F" w:rsidRDefault="00010402" w:rsidP="0001040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8,34</w:t>
            </w:r>
          </w:p>
        </w:tc>
        <w:tc>
          <w:tcPr>
            <w:tcW w:w="1546" w:type="dxa"/>
            <w:vAlign w:val="center"/>
          </w:tcPr>
          <w:p w14:paraId="32CC6040" w14:textId="77777777" w:rsidR="00010402" w:rsidRPr="00D03A4F" w:rsidRDefault="00010402" w:rsidP="0001040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5,45</w:t>
            </w:r>
          </w:p>
        </w:tc>
        <w:tc>
          <w:tcPr>
            <w:tcW w:w="1418" w:type="dxa"/>
            <w:vAlign w:val="center"/>
          </w:tcPr>
          <w:p w14:paraId="6595459F" w14:textId="77777777" w:rsidR="00010402" w:rsidRPr="00D03A4F" w:rsidRDefault="00A766BC" w:rsidP="00010402">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6,88</w:t>
            </w:r>
          </w:p>
        </w:tc>
      </w:tr>
    </w:tbl>
    <w:p w14:paraId="6002E9A9" w14:textId="77777777" w:rsidR="00A850F3" w:rsidRPr="00D03A4F" w:rsidRDefault="00A850F3" w:rsidP="00A850F3">
      <w:pPr>
        <w:widowControl w:val="0"/>
        <w:spacing w:after="0" w:line="312" w:lineRule="auto"/>
        <w:ind w:firstLine="720"/>
        <w:jc w:val="both"/>
        <w:rPr>
          <w:rFonts w:ascii="Times New Roman" w:eastAsia="Calibri" w:hAnsi="Times New Roman" w:cs="Times New Roman"/>
          <w:sz w:val="28"/>
          <w:szCs w:val="28"/>
        </w:rPr>
      </w:pPr>
    </w:p>
    <w:p w14:paraId="6ACADA06" w14:textId="77777777" w:rsidR="00A850F3" w:rsidRPr="00D03A4F" w:rsidRDefault="00A850F3" w:rsidP="00A850F3">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Специальные учебно-воспитательные учреждения открытого типа принимают для содержания, воспи</w:t>
      </w:r>
      <w:r w:rsidR="0052515D">
        <w:rPr>
          <w:rFonts w:ascii="Times New Roman" w:eastAsia="Calibri" w:hAnsi="Times New Roman" w:cs="Times New Roman"/>
          <w:sz w:val="28"/>
          <w:szCs w:val="28"/>
        </w:rPr>
        <w:t>тания и обучения лиц в возрасте</w:t>
      </w:r>
      <w:r w:rsidR="0052515D" w:rsidRPr="00BD5345">
        <w:rPr>
          <w:rFonts w:ascii="Times New Roman" w:eastAsia="Times New Roman" w:hAnsi="Times New Roman" w:cs="Times New Roman"/>
          <w:sz w:val="28"/>
          <w:szCs w:val="28"/>
        </w:rPr>
        <w:t> </w:t>
      </w:r>
      <w:r w:rsidRPr="00D03A4F">
        <w:rPr>
          <w:rFonts w:ascii="Times New Roman" w:eastAsia="Calibri" w:hAnsi="Times New Roman" w:cs="Times New Roman"/>
          <w:sz w:val="28"/>
          <w:szCs w:val="28"/>
        </w:rPr>
        <w:t>от 8 до 18 лет, требующих специального педагогического подхода. Учреждения организуют психолого-медико-педагогическую реабилитацию, индивидуальную профилактическую работу несовершеннолетних, получение ими образования в соответствии с ФГОС.</w:t>
      </w:r>
    </w:p>
    <w:p w14:paraId="031B0C06" w14:textId="77777777" w:rsidR="00A850F3" w:rsidRPr="008A4089" w:rsidRDefault="00A850F3" w:rsidP="00A850F3">
      <w:pPr>
        <w:widowControl w:val="0"/>
        <w:spacing w:after="0" w:line="312" w:lineRule="auto"/>
        <w:ind w:firstLine="709"/>
        <w:jc w:val="both"/>
        <w:rPr>
          <w:rFonts w:ascii="Times New Roman" w:eastAsia="Calibri" w:hAnsi="Times New Roman" w:cs="Times New Roman"/>
          <w:sz w:val="28"/>
          <w:szCs w:val="28"/>
        </w:rPr>
      </w:pPr>
      <w:r w:rsidRPr="008A4089">
        <w:rPr>
          <w:rFonts w:ascii="Times New Roman" w:eastAsia="Calibri" w:hAnsi="Times New Roman" w:cs="Times New Roman"/>
          <w:sz w:val="28"/>
          <w:szCs w:val="28"/>
        </w:rPr>
        <w:t>Специальные учебно-воспитательные учреждения открытого типа расположены в 1</w:t>
      </w:r>
      <w:r w:rsidR="00C73CEA">
        <w:rPr>
          <w:rFonts w:ascii="Times New Roman" w:eastAsia="Calibri" w:hAnsi="Times New Roman" w:cs="Times New Roman"/>
          <w:sz w:val="28"/>
          <w:szCs w:val="28"/>
        </w:rPr>
        <w:t>4</w:t>
      </w:r>
      <w:r w:rsidRPr="008A4089">
        <w:rPr>
          <w:rFonts w:ascii="Times New Roman" w:eastAsia="Calibri" w:hAnsi="Times New Roman" w:cs="Times New Roman"/>
          <w:sz w:val="28"/>
          <w:szCs w:val="28"/>
        </w:rPr>
        <w:t xml:space="preserve"> субъектах Российской Федерации. Всего в 20</w:t>
      </w:r>
      <w:r w:rsidR="00C5664C">
        <w:rPr>
          <w:rFonts w:ascii="Times New Roman" w:eastAsia="Calibri" w:hAnsi="Times New Roman" w:cs="Times New Roman"/>
          <w:sz w:val="28"/>
          <w:szCs w:val="28"/>
        </w:rPr>
        <w:t>2</w:t>
      </w:r>
      <w:r w:rsidR="00C73CEA">
        <w:rPr>
          <w:rFonts w:ascii="Times New Roman" w:eastAsia="Calibri" w:hAnsi="Times New Roman" w:cs="Times New Roman"/>
          <w:sz w:val="28"/>
          <w:szCs w:val="28"/>
        </w:rPr>
        <w:t>1</w:t>
      </w:r>
      <w:r w:rsidRPr="008A4089">
        <w:rPr>
          <w:rFonts w:ascii="Times New Roman" w:eastAsia="Calibri" w:hAnsi="Times New Roman" w:cs="Times New Roman"/>
          <w:sz w:val="28"/>
          <w:szCs w:val="28"/>
        </w:rPr>
        <w:t xml:space="preserve"> г</w:t>
      </w:r>
      <w:r w:rsidR="001B1483">
        <w:rPr>
          <w:rFonts w:ascii="Times New Roman" w:eastAsia="Calibri" w:hAnsi="Times New Roman" w:cs="Times New Roman"/>
          <w:sz w:val="28"/>
          <w:szCs w:val="28"/>
        </w:rPr>
        <w:t>.</w:t>
      </w:r>
      <w:r w:rsidRPr="008A4089">
        <w:rPr>
          <w:rFonts w:ascii="Times New Roman" w:eastAsia="Calibri" w:hAnsi="Times New Roman" w:cs="Times New Roman"/>
          <w:sz w:val="28"/>
          <w:szCs w:val="28"/>
        </w:rPr>
        <w:t xml:space="preserve"> функционировало 1</w:t>
      </w:r>
      <w:r w:rsidR="00C73CEA">
        <w:rPr>
          <w:rFonts w:ascii="Times New Roman" w:eastAsia="Calibri" w:hAnsi="Times New Roman" w:cs="Times New Roman"/>
          <w:sz w:val="28"/>
          <w:szCs w:val="28"/>
        </w:rPr>
        <w:t>6</w:t>
      </w:r>
      <w:r w:rsidRPr="008A4089">
        <w:rPr>
          <w:rFonts w:ascii="Times New Roman" w:eastAsia="Calibri" w:hAnsi="Times New Roman" w:cs="Times New Roman"/>
          <w:sz w:val="28"/>
          <w:szCs w:val="28"/>
        </w:rPr>
        <w:t xml:space="preserve"> учреждений данной категории (</w:t>
      </w:r>
      <w:r w:rsidR="00C73CEA" w:rsidRPr="008A4089">
        <w:rPr>
          <w:rFonts w:ascii="Times New Roman" w:eastAsia="Calibri" w:hAnsi="Times New Roman" w:cs="Times New Roman"/>
          <w:sz w:val="28"/>
          <w:szCs w:val="28"/>
        </w:rPr>
        <w:t>20</w:t>
      </w:r>
      <w:r w:rsidR="00C73CEA">
        <w:rPr>
          <w:rFonts w:ascii="Times New Roman" w:eastAsia="Calibri" w:hAnsi="Times New Roman" w:cs="Times New Roman"/>
          <w:sz w:val="28"/>
          <w:szCs w:val="28"/>
        </w:rPr>
        <w:t xml:space="preserve">20 </w:t>
      </w:r>
      <w:r w:rsidR="00C73CEA" w:rsidRPr="008A4089">
        <w:rPr>
          <w:rFonts w:ascii="Times New Roman" w:eastAsia="Calibri" w:hAnsi="Times New Roman" w:cs="Times New Roman"/>
          <w:sz w:val="28"/>
          <w:szCs w:val="28"/>
        </w:rPr>
        <w:t xml:space="preserve">г. – </w:t>
      </w:r>
      <w:r w:rsidR="00C73CEA">
        <w:rPr>
          <w:rFonts w:ascii="Times New Roman" w:eastAsia="Calibri" w:hAnsi="Times New Roman" w:cs="Times New Roman"/>
          <w:sz w:val="28"/>
          <w:szCs w:val="28"/>
        </w:rPr>
        <w:t xml:space="preserve">14; </w:t>
      </w:r>
      <w:r w:rsidR="00C5664C" w:rsidRPr="008A4089">
        <w:rPr>
          <w:rFonts w:ascii="Times New Roman" w:eastAsia="Calibri" w:hAnsi="Times New Roman" w:cs="Times New Roman"/>
          <w:sz w:val="28"/>
          <w:szCs w:val="28"/>
        </w:rPr>
        <w:t>201</w:t>
      </w:r>
      <w:r w:rsidR="00C5664C">
        <w:rPr>
          <w:rFonts w:ascii="Times New Roman" w:eastAsia="Calibri" w:hAnsi="Times New Roman" w:cs="Times New Roman"/>
          <w:sz w:val="28"/>
          <w:szCs w:val="28"/>
        </w:rPr>
        <w:t>9</w:t>
      </w:r>
      <w:r w:rsidR="00C5664C" w:rsidRPr="008A4089">
        <w:rPr>
          <w:rFonts w:ascii="Times New Roman" w:eastAsia="Calibri" w:hAnsi="Times New Roman" w:cs="Times New Roman"/>
          <w:sz w:val="28"/>
          <w:szCs w:val="28"/>
        </w:rPr>
        <w:t xml:space="preserve"> г. – 1</w:t>
      </w:r>
      <w:r w:rsidR="00C5664C">
        <w:rPr>
          <w:rFonts w:ascii="Times New Roman" w:eastAsia="Calibri" w:hAnsi="Times New Roman" w:cs="Times New Roman"/>
          <w:sz w:val="28"/>
          <w:szCs w:val="28"/>
        </w:rPr>
        <w:t>6</w:t>
      </w:r>
      <w:r w:rsidRPr="008A4089">
        <w:rPr>
          <w:rFonts w:ascii="Times New Roman" w:eastAsia="Calibri" w:hAnsi="Times New Roman" w:cs="Times New Roman"/>
          <w:sz w:val="28"/>
          <w:szCs w:val="28"/>
        </w:rPr>
        <w:t>), из них 1</w:t>
      </w:r>
      <w:r w:rsidR="00C73CEA">
        <w:rPr>
          <w:rFonts w:ascii="Times New Roman" w:eastAsia="Calibri" w:hAnsi="Times New Roman" w:cs="Times New Roman"/>
          <w:sz w:val="28"/>
          <w:szCs w:val="28"/>
        </w:rPr>
        <w:t>4</w:t>
      </w:r>
      <w:r w:rsidRPr="008A4089">
        <w:rPr>
          <w:rFonts w:ascii="Times New Roman" w:eastAsia="Calibri" w:hAnsi="Times New Roman" w:cs="Times New Roman"/>
          <w:sz w:val="28"/>
          <w:szCs w:val="28"/>
        </w:rPr>
        <w:t xml:space="preserve"> общеобразовательных организаций (1 – для девочек; </w:t>
      </w:r>
      <w:r w:rsidR="00C73CEA">
        <w:rPr>
          <w:rFonts w:ascii="Times New Roman" w:eastAsia="Calibri" w:hAnsi="Times New Roman" w:cs="Times New Roman"/>
          <w:sz w:val="28"/>
          <w:szCs w:val="28"/>
        </w:rPr>
        <w:t>4</w:t>
      </w:r>
      <w:r w:rsidRPr="008A4089">
        <w:rPr>
          <w:rFonts w:ascii="Times New Roman" w:eastAsia="Calibri" w:hAnsi="Times New Roman" w:cs="Times New Roman"/>
          <w:sz w:val="28"/>
          <w:szCs w:val="28"/>
        </w:rPr>
        <w:t xml:space="preserve"> – для мальчиков; </w:t>
      </w:r>
      <w:r w:rsidR="0052515D">
        <w:rPr>
          <w:rFonts w:ascii="Times New Roman" w:eastAsia="Calibri" w:hAnsi="Times New Roman" w:cs="Times New Roman"/>
          <w:sz w:val="28"/>
          <w:szCs w:val="28"/>
        </w:rPr>
        <w:br/>
      </w:r>
      <w:r w:rsidR="00C73CEA">
        <w:rPr>
          <w:rFonts w:ascii="Times New Roman" w:eastAsia="Calibri" w:hAnsi="Times New Roman" w:cs="Times New Roman"/>
          <w:sz w:val="28"/>
          <w:szCs w:val="28"/>
        </w:rPr>
        <w:t>9</w:t>
      </w:r>
      <w:r w:rsidRPr="008A4089">
        <w:rPr>
          <w:rFonts w:ascii="Times New Roman" w:eastAsia="Calibri" w:hAnsi="Times New Roman" w:cs="Times New Roman"/>
          <w:sz w:val="28"/>
          <w:szCs w:val="28"/>
        </w:rPr>
        <w:t xml:space="preserve"> – смешанного типа) и </w:t>
      </w:r>
      <w:r w:rsidR="00C5664C">
        <w:rPr>
          <w:rFonts w:ascii="Times New Roman" w:eastAsia="Calibri" w:hAnsi="Times New Roman" w:cs="Times New Roman"/>
          <w:sz w:val="28"/>
          <w:szCs w:val="28"/>
        </w:rPr>
        <w:t>2</w:t>
      </w:r>
      <w:r w:rsidRPr="008A4089">
        <w:rPr>
          <w:rFonts w:ascii="Times New Roman" w:eastAsia="Calibri" w:hAnsi="Times New Roman" w:cs="Times New Roman"/>
          <w:sz w:val="28"/>
          <w:szCs w:val="28"/>
        </w:rPr>
        <w:t xml:space="preserve"> профессиональных образовательных организации (</w:t>
      </w:r>
      <w:r w:rsidR="00C5664C">
        <w:rPr>
          <w:rFonts w:ascii="Times New Roman" w:eastAsia="Calibri" w:hAnsi="Times New Roman" w:cs="Times New Roman"/>
          <w:sz w:val="28"/>
          <w:szCs w:val="28"/>
        </w:rPr>
        <w:t>1</w:t>
      </w:r>
      <w:r w:rsidRPr="008A4089">
        <w:rPr>
          <w:rFonts w:ascii="Times New Roman" w:eastAsia="Calibri" w:hAnsi="Times New Roman" w:cs="Times New Roman"/>
          <w:sz w:val="28"/>
          <w:szCs w:val="28"/>
        </w:rPr>
        <w:t xml:space="preserve"> – для мальчиков; 1 – смешанного типа). </w:t>
      </w:r>
      <w:r w:rsidR="00C5664C">
        <w:rPr>
          <w:rFonts w:ascii="Times New Roman" w:eastAsia="Calibri" w:hAnsi="Times New Roman" w:cs="Times New Roman"/>
          <w:sz w:val="28"/>
          <w:szCs w:val="28"/>
        </w:rPr>
        <w:t>Все</w:t>
      </w:r>
      <w:r w:rsidRPr="008A4089">
        <w:rPr>
          <w:rFonts w:ascii="Times New Roman" w:eastAsia="Calibri" w:hAnsi="Times New Roman" w:cs="Times New Roman"/>
          <w:sz w:val="28"/>
          <w:szCs w:val="28"/>
        </w:rPr>
        <w:t xml:space="preserve"> специальные учебно-воспитательные учреждения открытого типа </w:t>
      </w:r>
      <w:r w:rsidR="00C5664C">
        <w:rPr>
          <w:rFonts w:ascii="Times New Roman" w:eastAsia="Calibri" w:hAnsi="Times New Roman" w:cs="Times New Roman"/>
          <w:sz w:val="28"/>
          <w:szCs w:val="28"/>
        </w:rPr>
        <w:t>находятся</w:t>
      </w:r>
      <w:r w:rsidRPr="008A4089">
        <w:rPr>
          <w:rFonts w:ascii="Times New Roman" w:eastAsia="Calibri" w:hAnsi="Times New Roman" w:cs="Times New Roman"/>
          <w:sz w:val="28"/>
          <w:szCs w:val="28"/>
        </w:rPr>
        <w:t xml:space="preserve"> в ведении субъектов Российской Федерации.</w:t>
      </w:r>
    </w:p>
    <w:p w14:paraId="3FA8EEC3" w14:textId="77777777" w:rsidR="00A850F3" w:rsidRPr="00D03A4F" w:rsidRDefault="00A850F3" w:rsidP="00A850F3">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В специальных учебно-воспитательных учреждениях открытого типа по состоянию на 31 декабря 20</w:t>
      </w:r>
      <w:r w:rsidR="00C5664C">
        <w:rPr>
          <w:rFonts w:ascii="Times New Roman" w:eastAsia="Calibri" w:hAnsi="Times New Roman" w:cs="Times New Roman"/>
          <w:sz w:val="28"/>
          <w:szCs w:val="28"/>
        </w:rPr>
        <w:t>2</w:t>
      </w:r>
      <w:r w:rsidR="00C73CEA">
        <w:rPr>
          <w:rFonts w:ascii="Times New Roman" w:eastAsia="Calibri" w:hAnsi="Times New Roman" w:cs="Times New Roman"/>
          <w:sz w:val="28"/>
          <w:szCs w:val="28"/>
        </w:rPr>
        <w:t>1</w:t>
      </w:r>
      <w:r w:rsidRPr="00D03A4F">
        <w:rPr>
          <w:rFonts w:ascii="Times New Roman" w:eastAsia="Calibri" w:hAnsi="Times New Roman" w:cs="Times New Roman"/>
          <w:sz w:val="28"/>
          <w:szCs w:val="28"/>
        </w:rPr>
        <w:t xml:space="preserve"> г</w:t>
      </w:r>
      <w:r w:rsidR="0086212A">
        <w:rPr>
          <w:rFonts w:ascii="Times New Roman" w:eastAsia="Calibri" w:hAnsi="Times New Roman" w:cs="Times New Roman"/>
          <w:sz w:val="28"/>
          <w:szCs w:val="28"/>
        </w:rPr>
        <w:t>.</w:t>
      </w:r>
      <w:r w:rsidRPr="00D03A4F">
        <w:rPr>
          <w:rFonts w:ascii="Times New Roman" w:eastAsia="Calibri" w:hAnsi="Times New Roman" w:cs="Times New Roman"/>
          <w:sz w:val="28"/>
          <w:szCs w:val="28"/>
        </w:rPr>
        <w:t xml:space="preserve"> обучалось 1 </w:t>
      </w:r>
      <w:r w:rsidR="00C73CEA">
        <w:rPr>
          <w:rFonts w:ascii="Times New Roman" w:eastAsia="Calibri" w:hAnsi="Times New Roman" w:cs="Times New Roman"/>
          <w:sz w:val="28"/>
          <w:szCs w:val="28"/>
        </w:rPr>
        <w:t>232</w:t>
      </w:r>
      <w:r w:rsidRPr="00D03A4F">
        <w:rPr>
          <w:rFonts w:ascii="Times New Roman" w:eastAsia="Calibri" w:hAnsi="Times New Roman" w:cs="Times New Roman"/>
          <w:sz w:val="28"/>
          <w:szCs w:val="28"/>
        </w:rPr>
        <w:t xml:space="preserve"> несовершеннолетних в возрасте </w:t>
      </w:r>
      <w:r w:rsidR="001B1483">
        <w:rPr>
          <w:rFonts w:ascii="Times New Roman" w:eastAsia="Calibri" w:hAnsi="Times New Roman" w:cs="Times New Roman"/>
          <w:sz w:val="28"/>
          <w:szCs w:val="28"/>
        </w:rPr>
        <w:br/>
      </w:r>
      <w:r w:rsidRPr="00D03A4F">
        <w:rPr>
          <w:rFonts w:ascii="Times New Roman" w:eastAsia="Calibri" w:hAnsi="Times New Roman" w:cs="Times New Roman"/>
          <w:sz w:val="28"/>
          <w:szCs w:val="28"/>
        </w:rPr>
        <w:t>от 8 до 18 лет (</w:t>
      </w:r>
      <w:r w:rsidR="00C73CEA">
        <w:rPr>
          <w:rFonts w:ascii="Times New Roman" w:eastAsia="Calibri" w:hAnsi="Times New Roman" w:cs="Times New Roman"/>
          <w:sz w:val="28"/>
          <w:szCs w:val="28"/>
        </w:rPr>
        <w:t xml:space="preserve">2020 г. – 1 177; </w:t>
      </w:r>
      <w:r w:rsidR="00C5664C" w:rsidRPr="00D03A4F">
        <w:rPr>
          <w:rFonts w:ascii="Times New Roman" w:eastAsia="Calibri" w:hAnsi="Times New Roman" w:cs="Times New Roman"/>
          <w:sz w:val="28"/>
          <w:szCs w:val="28"/>
        </w:rPr>
        <w:t>201</w:t>
      </w:r>
      <w:r w:rsidR="004A0554">
        <w:rPr>
          <w:rFonts w:ascii="Times New Roman" w:eastAsia="Calibri" w:hAnsi="Times New Roman" w:cs="Times New Roman"/>
          <w:sz w:val="28"/>
          <w:szCs w:val="28"/>
        </w:rPr>
        <w:t>9</w:t>
      </w:r>
      <w:r w:rsidR="00C5664C" w:rsidRPr="00D03A4F">
        <w:rPr>
          <w:rFonts w:ascii="Times New Roman" w:eastAsia="Calibri" w:hAnsi="Times New Roman" w:cs="Times New Roman"/>
          <w:sz w:val="28"/>
          <w:szCs w:val="28"/>
        </w:rPr>
        <w:t xml:space="preserve"> г. – 1 3</w:t>
      </w:r>
      <w:r w:rsidR="00C5664C">
        <w:rPr>
          <w:rFonts w:ascii="Times New Roman" w:eastAsia="Calibri" w:hAnsi="Times New Roman" w:cs="Times New Roman"/>
          <w:sz w:val="28"/>
          <w:szCs w:val="28"/>
        </w:rPr>
        <w:t>77</w:t>
      </w:r>
      <w:r w:rsidRPr="00D03A4F">
        <w:rPr>
          <w:rFonts w:ascii="Times New Roman" w:eastAsia="Calibri" w:hAnsi="Times New Roman" w:cs="Times New Roman"/>
          <w:sz w:val="28"/>
          <w:szCs w:val="28"/>
        </w:rPr>
        <w:t>), из них 3</w:t>
      </w:r>
      <w:r w:rsidR="00C73CEA">
        <w:rPr>
          <w:rFonts w:ascii="Times New Roman" w:eastAsia="Calibri" w:hAnsi="Times New Roman" w:cs="Times New Roman"/>
          <w:sz w:val="28"/>
          <w:szCs w:val="28"/>
        </w:rPr>
        <w:t>18</w:t>
      </w:r>
      <w:r w:rsidR="00CA4BA4" w:rsidRPr="00BD5345">
        <w:rPr>
          <w:rFonts w:ascii="Times New Roman" w:eastAsia="Times New Roman" w:hAnsi="Times New Roman" w:cs="Times New Roman"/>
          <w:sz w:val="28"/>
          <w:szCs w:val="28"/>
        </w:rPr>
        <w:t> </w:t>
      </w:r>
      <w:r w:rsidRPr="00D03A4F">
        <w:rPr>
          <w:rFonts w:ascii="Times New Roman" w:eastAsia="Calibri" w:hAnsi="Times New Roman" w:cs="Times New Roman"/>
          <w:sz w:val="28"/>
          <w:szCs w:val="28"/>
        </w:rPr>
        <w:t>(2</w:t>
      </w:r>
      <w:r w:rsidR="00C73CEA">
        <w:rPr>
          <w:rFonts w:ascii="Times New Roman" w:eastAsia="Calibri" w:hAnsi="Times New Roman" w:cs="Times New Roman"/>
          <w:sz w:val="28"/>
          <w:szCs w:val="28"/>
        </w:rPr>
        <w:t>5</w:t>
      </w:r>
      <w:r w:rsidRPr="00D03A4F">
        <w:rPr>
          <w:rFonts w:ascii="Times New Roman" w:eastAsia="Calibri" w:hAnsi="Times New Roman" w:cs="Times New Roman"/>
          <w:sz w:val="28"/>
          <w:szCs w:val="28"/>
        </w:rPr>
        <w:t>,</w:t>
      </w:r>
      <w:r w:rsidR="00C73CEA">
        <w:rPr>
          <w:rFonts w:ascii="Times New Roman" w:eastAsia="Calibri" w:hAnsi="Times New Roman" w:cs="Times New Roman"/>
          <w:sz w:val="28"/>
          <w:szCs w:val="28"/>
        </w:rPr>
        <w:t>81</w:t>
      </w:r>
      <w:r w:rsidR="00D4561C">
        <w:rPr>
          <w:rFonts w:ascii="Times New Roman" w:eastAsia="Calibri" w:hAnsi="Times New Roman" w:cs="Times New Roman"/>
          <w:sz w:val="28"/>
          <w:szCs w:val="28"/>
        </w:rPr>
        <w:t>%) – несовершеннолетних</w:t>
      </w:r>
      <w:r w:rsidRPr="00D03A4F">
        <w:rPr>
          <w:rFonts w:ascii="Times New Roman" w:eastAsia="Calibri" w:hAnsi="Times New Roman" w:cs="Times New Roman"/>
          <w:sz w:val="28"/>
          <w:szCs w:val="28"/>
        </w:rPr>
        <w:t xml:space="preserve"> женского пола (</w:t>
      </w:r>
      <w:r w:rsidR="00C73CEA">
        <w:rPr>
          <w:rFonts w:ascii="Times New Roman" w:eastAsia="Calibri" w:hAnsi="Times New Roman" w:cs="Times New Roman"/>
          <w:sz w:val="28"/>
          <w:szCs w:val="28"/>
        </w:rPr>
        <w:t xml:space="preserve">2020 г. – 349 (29,65%); </w:t>
      </w:r>
      <w:r w:rsidR="00C5664C">
        <w:rPr>
          <w:rFonts w:ascii="Times New Roman" w:eastAsia="Calibri" w:hAnsi="Times New Roman" w:cs="Times New Roman"/>
          <w:sz w:val="28"/>
          <w:szCs w:val="28"/>
        </w:rPr>
        <w:t>2019 г. – 373 (27,08%)</w:t>
      </w:r>
      <w:r w:rsidRPr="00D03A4F">
        <w:rPr>
          <w:rFonts w:ascii="Times New Roman" w:eastAsia="Calibri" w:hAnsi="Times New Roman" w:cs="Times New Roman"/>
          <w:sz w:val="28"/>
          <w:szCs w:val="28"/>
        </w:rPr>
        <w:t>).</w:t>
      </w:r>
    </w:p>
    <w:p w14:paraId="4EDC8B9A" w14:textId="77777777" w:rsidR="00A850F3" w:rsidRDefault="00A850F3" w:rsidP="00A850F3">
      <w:pPr>
        <w:widowControl w:val="0"/>
        <w:spacing w:after="0" w:line="312" w:lineRule="auto"/>
        <w:ind w:firstLine="709"/>
        <w:jc w:val="both"/>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Из общего числа воспитанников названных образовательных организаций </w:t>
      </w:r>
      <w:r w:rsidR="001B1483">
        <w:rPr>
          <w:rFonts w:ascii="Times New Roman" w:eastAsia="Calibri" w:hAnsi="Times New Roman" w:cs="Times New Roman"/>
          <w:sz w:val="28"/>
          <w:szCs w:val="28"/>
        </w:rPr>
        <w:br/>
      </w:r>
      <w:r w:rsidR="006958B5">
        <w:rPr>
          <w:rFonts w:ascii="Times New Roman" w:eastAsia="Calibri" w:hAnsi="Times New Roman" w:cs="Times New Roman"/>
          <w:sz w:val="28"/>
          <w:szCs w:val="28"/>
        </w:rPr>
        <w:t xml:space="preserve">129 (10,1%) </w:t>
      </w:r>
      <w:r w:rsidRPr="00D03A4F">
        <w:rPr>
          <w:rFonts w:ascii="Times New Roman" w:eastAsia="Calibri" w:hAnsi="Times New Roman" w:cs="Times New Roman"/>
          <w:sz w:val="28"/>
          <w:szCs w:val="28"/>
        </w:rPr>
        <w:t>– дети-сироты и дети, оставшиеся без попечения родителей (</w:t>
      </w:r>
      <w:r w:rsidR="00AC5BAE">
        <w:rPr>
          <w:rFonts w:ascii="Times New Roman" w:eastAsia="Calibri" w:hAnsi="Times New Roman" w:cs="Times New Roman"/>
          <w:sz w:val="28"/>
          <w:szCs w:val="28"/>
        </w:rPr>
        <w:t xml:space="preserve">2020 г. </w:t>
      </w:r>
      <w:r w:rsidR="006958B5">
        <w:rPr>
          <w:rFonts w:ascii="Times New Roman" w:eastAsia="Calibri" w:hAnsi="Times New Roman" w:cs="Times New Roman"/>
          <w:sz w:val="28"/>
          <w:szCs w:val="28"/>
        </w:rPr>
        <w:t>–</w:t>
      </w:r>
      <w:r w:rsidR="0052515D" w:rsidRPr="00BD5345">
        <w:rPr>
          <w:rFonts w:ascii="Times New Roman" w:eastAsia="Times New Roman" w:hAnsi="Times New Roman" w:cs="Times New Roman"/>
          <w:sz w:val="28"/>
          <w:szCs w:val="28"/>
        </w:rPr>
        <w:t> </w:t>
      </w:r>
      <w:r w:rsidR="006958B5">
        <w:rPr>
          <w:rFonts w:ascii="Times New Roman" w:eastAsia="Calibri" w:hAnsi="Times New Roman" w:cs="Times New Roman"/>
          <w:sz w:val="28"/>
          <w:szCs w:val="28"/>
        </w:rPr>
        <w:t xml:space="preserve">106 (9%); </w:t>
      </w:r>
      <w:r w:rsidR="00D77262">
        <w:rPr>
          <w:rFonts w:ascii="Times New Roman" w:eastAsia="Calibri" w:hAnsi="Times New Roman" w:cs="Times New Roman"/>
          <w:sz w:val="28"/>
          <w:szCs w:val="28"/>
        </w:rPr>
        <w:t xml:space="preserve">2019 г. – </w:t>
      </w:r>
      <w:r w:rsidR="00D77262" w:rsidRPr="00D03A4F">
        <w:rPr>
          <w:rFonts w:ascii="Times New Roman" w:eastAsia="Calibri" w:hAnsi="Times New Roman" w:cs="Times New Roman"/>
          <w:sz w:val="28"/>
          <w:szCs w:val="28"/>
        </w:rPr>
        <w:t>127 (9,22%)</w:t>
      </w:r>
      <w:r w:rsidR="00D77262">
        <w:rPr>
          <w:rFonts w:ascii="Times New Roman" w:eastAsia="Calibri" w:hAnsi="Times New Roman" w:cs="Times New Roman"/>
          <w:sz w:val="28"/>
          <w:szCs w:val="28"/>
        </w:rPr>
        <w:t>)</w:t>
      </w:r>
      <w:r w:rsidRPr="00D03A4F">
        <w:rPr>
          <w:rFonts w:ascii="Times New Roman" w:eastAsia="Calibri" w:hAnsi="Times New Roman" w:cs="Times New Roman"/>
          <w:sz w:val="28"/>
          <w:szCs w:val="28"/>
        </w:rPr>
        <w:t>;</w:t>
      </w:r>
      <w:r w:rsidR="0052515D" w:rsidRPr="00BD5345">
        <w:rPr>
          <w:rFonts w:ascii="Times New Roman" w:eastAsia="Times New Roman" w:hAnsi="Times New Roman" w:cs="Times New Roman"/>
          <w:sz w:val="28"/>
          <w:szCs w:val="28"/>
        </w:rPr>
        <w:t> </w:t>
      </w:r>
      <w:r w:rsidR="0080182D">
        <w:rPr>
          <w:rFonts w:ascii="Times New Roman" w:eastAsia="Calibri" w:hAnsi="Times New Roman" w:cs="Times New Roman"/>
          <w:sz w:val="28"/>
          <w:szCs w:val="28"/>
        </w:rPr>
        <w:t>390 (31,65%)</w:t>
      </w:r>
      <w:r w:rsidRPr="00D03A4F">
        <w:rPr>
          <w:rFonts w:ascii="Times New Roman" w:eastAsia="Calibri" w:hAnsi="Times New Roman" w:cs="Times New Roman"/>
          <w:sz w:val="28"/>
          <w:szCs w:val="28"/>
        </w:rPr>
        <w:t xml:space="preserve">– дети в возрасте от 8 до 14 лет </w:t>
      </w:r>
      <w:r w:rsidR="0080182D">
        <w:rPr>
          <w:rFonts w:ascii="Times New Roman" w:eastAsia="Calibri" w:hAnsi="Times New Roman" w:cs="Times New Roman"/>
          <w:sz w:val="28"/>
          <w:szCs w:val="28"/>
        </w:rPr>
        <w:br/>
      </w:r>
      <w:r w:rsidRPr="00D03A4F">
        <w:rPr>
          <w:rFonts w:ascii="Times New Roman" w:eastAsia="Calibri" w:hAnsi="Times New Roman" w:cs="Times New Roman"/>
          <w:sz w:val="28"/>
          <w:szCs w:val="28"/>
        </w:rPr>
        <w:t>(</w:t>
      </w:r>
      <w:r w:rsidR="0080182D">
        <w:rPr>
          <w:rFonts w:ascii="Times New Roman" w:eastAsia="Calibri" w:hAnsi="Times New Roman" w:cs="Times New Roman"/>
          <w:sz w:val="28"/>
          <w:szCs w:val="28"/>
        </w:rPr>
        <w:t>2020 г. – 355 (30,16%); 2019 г. – 479 (34,78%)</w:t>
      </w:r>
      <w:r w:rsidRPr="00D03A4F">
        <w:rPr>
          <w:rFonts w:ascii="Times New Roman" w:eastAsia="Calibri" w:hAnsi="Times New Roman" w:cs="Times New Roman"/>
          <w:sz w:val="28"/>
          <w:szCs w:val="28"/>
        </w:rPr>
        <w:t xml:space="preserve">); </w:t>
      </w:r>
      <w:r w:rsidR="0080182D">
        <w:rPr>
          <w:rFonts w:ascii="Times New Roman" w:eastAsia="Calibri" w:hAnsi="Times New Roman" w:cs="Times New Roman"/>
          <w:sz w:val="28"/>
          <w:szCs w:val="28"/>
        </w:rPr>
        <w:t>842 (68,35%)</w:t>
      </w:r>
      <w:r w:rsidRPr="00D03A4F">
        <w:rPr>
          <w:rFonts w:ascii="Times New Roman" w:eastAsia="Calibri" w:hAnsi="Times New Roman" w:cs="Times New Roman"/>
          <w:sz w:val="28"/>
          <w:szCs w:val="28"/>
        </w:rPr>
        <w:t xml:space="preserve"> – подростки старше 14 лет (</w:t>
      </w:r>
      <w:r w:rsidR="0080182D">
        <w:rPr>
          <w:rFonts w:ascii="Times New Roman" w:eastAsia="Calibri" w:hAnsi="Times New Roman" w:cs="Times New Roman"/>
          <w:sz w:val="28"/>
          <w:szCs w:val="28"/>
        </w:rPr>
        <w:t xml:space="preserve">2020 г. – 822 (69,84%); </w:t>
      </w:r>
      <w:r w:rsidR="00D77262">
        <w:rPr>
          <w:rFonts w:ascii="Times New Roman" w:eastAsia="Calibri" w:hAnsi="Times New Roman" w:cs="Times New Roman"/>
          <w:sz w:val="28"/>
          <w:szCs w:val="28"/>
        </w:rPr>
        <w:t xml:space="preserve">2019 г. – </w:t>
      </w:r>
      <w:r w:rsidR="00D77262" w:rsidRPr="00D03A4F">
        <w:rPr>
          <w:rFonts w:ascii="Times New Roman" w:eastAsia="Calibri" w:hAnsi="Times New Roman" w:cs="Times New Roman"/>
          <w:sz w:val="28"/>
          <w:szCs w:val="28"/>
        </w:rPr>
        <w:t>898 (65,22%)</w:t>
      </w:r>
      <w:r w:rsidR="00D77262">
        <w:rPr>
          <w:rFonts w:ascii="Times New Roman" w:eastAsia="Calibri" w:hAnsi="Times New Roman" w:cs="Times New Roman"/>
          <w:sz w:val="28"/>
          <w:szCs w:val="28"/>
        </w:rPr>
        <w:t>)</w:t>
      </w:r>
      <w:r w:rsidRPr="00D03A4F">
        <w:rPr>
          <w:rFonts w:ascii="Times New Roman" w:eastAsia="Calibri" w:hAnsi="Times New Roman" w:cs="Times New Roman"/>
          <w:sz w:val="28"/>
          <w:szCs w:val="28"/>
        </w:rPr>
        <w:t>.</w:t>
      </w:r>
    </w:p>
    <w:p w14:paraId="7DE47ED7" w14:textId="68F0FC52" w:rsidR="009417CC" w:rsidRPr="005430C5" w:rsidRDefault="00D77262" w:rsidP="005430C5">
      <w:pPr>
        <w:widowControl w:val="0"/>
        <w:spacing w:after="0" w:line="31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Самые распространенные причины направления несовершеннолетних в специальные учебно-воспитательные учреждения открытого типа – склонность к бродяжничеству, уходам из дома, </w:t>
      </w:r>
      <w:proofErr w:type="spellStart"/>
      <w:r>
        <w:rPr>
          <w:rFonts w:ascii="Times New Roman" w:eastAsia="Calibri" w:hAnsi="Times New Roman" w:cs="Times New Roman"/>
          <w:sz w:val="28"/>
          <w:szCs w:val="28"/>
        </w:rPr>
        <w:t>интернатных</w:t>
      </w:r>
      <w:proofErr w:type="spellEnd"/>
      <w:r>
        <w:rPr>
          <w:rFonts w:ascii="Times New Roman" w:eastAsia="Calibri" w:hAnsi="Times New Roman" w:cs="Times New Roman"/>
          <w:sz w:val="28"/>
          <w:szCs w:val="28"/>
        </w:rPr>
        <w:t xml:space="preserve"> учреждений – </w:t>
      </w:r>
      <w:r w:rsidR="00E467F6">
        <w:rPr>
          <w:rFonts w:ascii="Times New Roman" w:eastAsia="Calibri" w:hAnsi="Times New Roman" w:cs="Times New Roman"/>
          <w:sz w:val="28"/>
          <w:szCs w:val="28"/>
        </w:rPr>
        <w:t>8</w:t>
      </w:r>
      <w:r>
        <w:rPr>
          <w:rFonts w:ascii="Times New Roman" w:eastAsia="Calibri" w:hAnsi="Times New Roman" w:cs="Times New Roman"/>
          <w:sz w:val="28"/>
          <w:szCs w:val="28"/>
        </w:rPr>
        <w:t>,</w:t>
      </w:r>
      <w:r w:rsidR="00E467F6">
        <w:rPr>
          <w:rFonts w:ascii="Times New Roman" w:eastAsia="Calibri" w:hAnsi="Times New Roman" w:cs="Times New Roman"/>
          <w:sz w:val="28"/>
          <w:szCs w:val="28"/>
        </w:rPr>
        <w:t>01</w:t>
      </w:r>
      <w:r>
        <w:rPr>
          <w:rFonts w:ascii="Times New Roman" w:eastAsia="Calibri" w:hAnsi="Times New Roman" w:cs="Times New Roman"/>
          <w:sz w:val="28"/>
          <w:szCs w:val="28"/>
        </w:rPr>
        <w:t>% от общего числа обучающихся; употребление психоактивных веществ – 1</w:t>
      </w:r>
      <w:r w:rsidR="00E467F6">
        <w:rPr>
          <w:rFonts w:ascii="Times New Roman" w:eastAsia="Calibri" w:hAnsi="Times New Roman" w:cs="Times New Roman"/>
          <w:sz w:val="28"/>
          <w:szCs w:val="28"/>
        </w:rPr>
        <w:t>0</w:t>
      </w:r>
      <w:r>
        <w:rPr>
          <w:rFonts w:ascii="Times New Roman" w:eastAsia="Calibri" w:hAnsi="Times New Roman" w:cs="Times New Roman"/>
          <w:sz w:val="28"/>
          <w:szCs w:val="28"/>
        </w:rPr>
        <w:t>,</w:t>
      </w:r>
      <w:r w:rsidR="00E467F6">
        <w:rPr>
          <w:rFonts w:ascii="Times New Roman" w:eastAsia="Calibri" w:hAnsi="Times New Roman" w:cs="Times New Roman"/>
          <w:sz w:val="28"/>
          <w:szCs w:val="28"/>
        </w:rPr>
        <w:t>35</w:t>
      </w:r>
      <w:r>
        <w:rPr>
          <w:rFonts w:ascii="Times New Roman" w:eastAsia="Calibri" w:hAnsi="Times New Roman" w:cs="Times New Roman"/>
          <w:sz w:val="28"/>
          <w:szCs w:val="28"/>
        </w:rPr>
        <w:t xml:space="preserve">% (в том числе спиртных напитков – </w:t>
      </w:r>
      <w:r w:rsidR="00E467F6">
        <w:rPr>
          <w:rFonts w:ascii="Times New Roman" w:eastAsia="Calibri" w:hAnsi="Times New Roman" w:cs="Times New Roman"/>
          <w:sz w:val="28"/>
          <w:szCs w:val="28"/>
        </w:rPr>
        <w:t>8</w:t>
      </w:r>
      <w:r>
        <w:rPr>
          <w:rFonts w:ascii="Times New Roman" w:eastAsia="Calibri" w:hAnsi="Times New Roman" w:cs="Times New Roman"/>
          <w:sz w:val="28"/>
          <w:szCs w:val="28"/>
        </w:rPr>
        <w:t>,</w:t>
      </w:r>
      <w:r w:rsidR="00E467F6">
        <w:rPr>
          <w:rFonts w:ascii="Times New Roman" w:eastAsia="Calibri" w:hAnsi="Times New Roman" w:cs="Times New Roman"/>
          <w:sz w:val="28"/>
          <w:szCs w:val="28"/>
        </w:rPr>
        <w:t>01</w:t>
      </w:r>
      <w:r>
        <w:rPr>
          <w:rFonts w:ascii="Times New Roman" w:eastAsia="Calibri" w:hAnsi="Times New Roman" w:cs="Times New Roman"/>
          <w:sz w:val="28"/>
          <w:szCs w:val="28"/>
        </w:rPr>
        <w:t xml:space="preserve">%, наркотических средств и психотропных веществ – </w:t>
      </w:r>
      <w:r w:rsidR="00E467F6">
        <w:rPr>
          <w:rFonts w:ascii="Times New Roman" w:eastAsia="Calibri" w:hAnsi="Times New Roman" w:cs="Times New Roman"/>
          <w:sz w:val="28"/>
          <w:szCs w:val="28"/>
        </w:rPr>
        <w:t>2</w:t>
      </w:r>
      <w:r>
        <w:rPr>
          <w:rFonts w:ascii="Times New Roman" w:eastAsia="Calibri" w:hAnsi="Times New Roman" w:cs="Times New Roman"/>
          <w:sz w:val="28"/>
          <w:szCs w:val="28"/>
        </w:rPr>
        <w:t>,</w:t>
      </w:r>
      <w:r w:rsidR="00E467F6">
        <w:rPr>
          <w:rFonts w:ascii="Times New Roman" w:eastAsia="Calibri" w:hAnsi="Times New Roman" w:cs="Times New Roman"/>
          <w:sz w:val="28"/>
          <w:szCs w:val="28"/>
        </w:rPr>
        <w:t>0</w:t>
      </w:r>
      <w:r>
        <w:rPr>
          <w:rFonts w:ascii="Times New Roman" w:eastAsia="Calibri" w:hAnsi="Times New Roman" w:cs="Times New Roman"/>
          <w:sz w:val="28"/>
          <w:szCs w:val="28"/>
        </w:rPr>
        <w:t xml:space="preserve">%, токсических и иных сильнодействующих одурманивающих веществ – </w:t>
      </w:r>
      <w:r w:rsidR="00E467F6">
        <w:rPr>
          <w:rFonts w:ascii="Times New Roman" w:eastAsia="Calibri" w:hAnsi="Times New Roman" w:cs="Times New Roman"/>
          <w:sz w:val="28"/>
          <w:szCs w:val="28"/>
        </w:rPr>
        <w:t>0</w:t>
      </w:r>
      <w:r>
        <w:rPr>
          <w:rFonts w:ascii="Times New Roman" w:eastAsia="Calibri" w:hAnsi="Times New Roman" w:cs="Times New Roman"/>
          <w:sz w:val="28"/>
          <w:szCs w:val="28"/>
        </w:rPr>
        <w:t>,</w:t>
      </w:r>
      <w:r w:rsidR="00E467F6">
        <w:rPr>
          <w:rFonts w:ascii="Times New Roman" w:eastAsia="Calibri" w:hAnsi="Times New Roman" w:cs="Times New Roman"/>
          <w:sz w:val="28"/>
          <w:szCs w:val="28"/>
        </w:rPr>
        <w:t>66</w:t>
      </w:r>
      <w:r>
        <w:rPr>
          <w:rFonts w:ascii="Times New Roman" w:eastAsia="Calibri" w:hAnsi="Times New Roman" w:cs="Times New Roman"/>
          <w:sz w:val="28"/>
          <w:szCs w:val="28"/>
        </w:rPr>
        <w:t xml:space="preserve">%). Также до поступления в специальные учебно-воспитательные учреждения открытого типа несовершеннолетние совершали общественно опасные деяния, предусмотренные </w:t>
      </w:r>
      <w:r w:rsidR="0027146D">
        <w:rPr>
          <w:rFonts w:ascii="Times New Roman" w:eastAsia="Calibri" w:hAnsi="Times New Roman" w:cs="Times New Roman"/>
          <w:sz w:val="28"/>
          <w:szCs w:val="28"/>
        </w:rPr>
        <w:br/>
      </w:r>
      <w:r w:rsidR="00A12DC0">
        <w:rPr>
          <w:rFonts w:ascii="Times New Roman" w:eastAsia="Calibri" w:hAnsi="Times New Roman" w:cs="Times New Roman"/>
          <w:sz w:val="28"/>
          <w:szCs w:val="28"/>
        </w:rPr>
        <w:t>УК РФ</w:t>
      </w:r>
      <w:r>
        <w:rPr>
          <w:rFonts w:ascii="Times New Roman" w:eastAsia="Calibri" w:hAnsi="Times New Roman" w:cs="Times New Roman"/>
          <w:sz w:val="28"/>
          <w:szCs w:val="28"/>
        </w:rPr>
        <w:t>, – 3,</w:t>
      </w:r>
      <w:r w:rsidR="00E467F6">
        <w:rPr>
          <w:rFonts w:ascii="Times New Roman" w:eastAsia="Calibri" w:hAnsi="Times New Roman" w:cs="Times New Roman"/>
          <w:sz w:val="28"/>
          <w:szCs w:val="28"/>
        </w:rPr>
        <w:t>67</w:t>
      </w:r>
      <w:r>
        <w:rPr>
          <w:rFonts w:ascii="Times New Roman" w:eastAsia="Calibri" w:hAnsi="Times New Roman" w:cs="Times New Roman"/>
          <w:sz w:val="28"/>
          <w:szCs w:val="28"/>
        </w:rPr>
        <w:t xml:space="preserve">%; привлекались к уголовной ответственности – </w:t>
      </w:r>
      <w:r w:rsidR="00E467F6">
        <w:rPr>
          <w:rFonts w:ascii="Times New Roman" w:eastAsia="Calibri" w:hAnsi="Times New Roman" w:cs="Times New Roman"/>
          <w:sz w:val="28"/>
          <w:szCs w:val="28"/>
        </w:rPr>
        <w:t>2</w:t>
      </w:r>
      <w:r>
        <w:rPr>
          <w:rFonts w:ascii="Times New Roman" w:eastAsia="Calibri" w:hAnsi="Times New Roman" w:cs="Times New Roman"/>
          <w:sz w:val="28"/>
          <w:szCs w:val="28"/>
        </w:rPr>
        <w:t>,</w:t>
      </w:r>
      <w:r w:rsidR="00E467F6">
        <w:rPr>
          <w:rFonts w:ascii="Times New Roman" w:eastAsia="Calibri" w:hAnsi="Times New Roman" w:cs="Times New Roman"/>
          <w:sz w:val="28"/>
          <w:szCs w:val="28"/>
        </w:rPr>
        <w:t>0</w:t>
      </w:r>
      <w:r>
        <w:rPr>
          <w:rFonts w:ascii="Times New Roman" w:eastAsia="Calibri" w:hAnsi="Times New Roman" w:cs="Times New Roman"/>
          <w:sz w:val="28"/>
          <w:szCs w:val="28"/>
        </w:rPr>
        <w:t>%; не обучались – 1,</w:t>
      </w:r>
      <w:r w:rsidR="00E467F6">
        <w:rPr>
          <w:rFonts w:ascii="Times New Roman" w:eastAsia="Calibri" w:hAnsi="Times New Roman" w:cs="Times New Roman"/>
          <w:sz w:val="28"/>
          <w:szCs w:val="28"/>
        </w:rPr>
        <w:t>66</w:t>
      </w:r>
      <w:r>
        <w:rPr>
          <w:rFonts w:ascii="Times New Roman" w:eastAsia="Calibri" w:hAnsi="Times New Roman" w:cs="Times New Roman"/>
          <w:sz w:val="28"/>
          <w:szCs w:val="28"/>
        </w:rPr>
        <w:t>%; не обучались год и более – 0,</w:t>
      </w:r>
      <w:r w:rsidR="00E467F6">
        <w:rPr>
          <w:rFonts w:ascii="Times New Roman" w:eastAsia="Calibri" w:hAnsi="Times New Roman" w:cs="Times New Roman"/>
          <w:sz w:val="28"/>
          <w:szCs w:val="28"/>
        </w:rPr>
        <w:t>5</w:t>
      </w:r>
      <w:r>
        <w:rPr>
          <w:rFonts w:ascii="Times New Roman" w:eastAsia="Calibri" w:hAnsi="Times New Roman" w:cs="Times New Roman"/>
          <w:sz w:val="28"/>
          <w:szCs w:val="28"/>
        </w:rPr>
        <w:t>%.</w:t>
      </w:r>
    </w:p>
    <w:p w14:paraId="41E2ED86" w14:textId="77777777" w:rsidR="009417CC" w:rsidRDefault="009417CC" w:rsidP="00E72FA6">
      <w:pPr>
        <w:widowControl w:val="0"/>
        <w:tabs>
          <w:tab w:val="left" w:pos="3119"/>
        </w:tabs>
        <w:spacing w:after="0" w:line="240" w:lineRule="auto"/>
        <w:rPr>
          <w:rFonts w:ascii="Times New Roman" w:eastAsia="Times New Roman" w:hAnsi="Times New Roman" w:cs="Times New Roman"/>
          <w:b/>
          <w:color w:val="000000"/>
          <w:sz w:val="28"/>
          <w:szCs w:val="26"/>
          <w:lang w:eastAsia="ru-RU" w:bidi="ru-RU"/>
        </w:rPr>
      </w:pPr>
    </w:p>
    <w:p w14:paraId="39BF0B6A" w14:textId="77777777" w:rsidR="00A850F3" w:rsidRPr="004B020C" w:rsidRDefault="00A850F3" w:rsidP="00A850F3">
      <w:pPr>
        <w:widowControl w:val="0"/>
        <w:tabs>
          <w:tab w:val="left" w:pos="3119"/>
        </w:tabs>
        <w:spacing w:after="0" w:line="240" w:lineRule="auto"/>
        <w:jc w:val="center"/>
        <w:rPr>
          <w:rFonts w:ascii="Times New Roman" w:eastAsia="Times New Roman" w:hAnsi="Times New Roman" w:cs="Times New Roman"/>
          <w:b/>
          <w:color w:val="000000"/>
          <w:sz w:val="28"/>
          <w:szCs w:val="26"/>
          <w:lang w:eastAsia="ru-RU" w:bidi="ru-RU"/>
        </w:rPr>
      </w:pPr>
      <w:r w:rsidRPr="004B020C">
        <w:rPr>
          <w:rFonts w:ascii="Times New Roman" w:eastAsia="Times New Roman" w:hAnsi="Times New Roman" w:cs="Times New Roman"/>
          <w:b/>
          <w:color w:val="000000"/>
          <w:sz w:val="28"/>
          <w:szCs w:val="26"/>
          <w:lang w:eastAsia="ru-RU" w:bidi="ru-RU"/>
        </w:rPr>
        <w:t>Сведения о причинах направления несовершеннолетних в специальные учебно-воспитательные учреждения открытого типа</w:t>
      </w:r>
    </w:p>
    <w:p w14:paraId="7125C443" w14:textId="77777777" w:rsidR="00A850F3" w:rsidRPr="004B020C" w:rsidRDefault="00A850F3" w:rsidP="00A850F3">
      <w:pPr>
        <w:widowControl w:val="0"/>
        <w:tabs>
          <w:tab w:val="left" w:pos="3119"/>
        </w:tabs>
        <w:spacing w:after="0" w:line="312" w:lineRule="auto"/>
        <w:ind w:firstLine="720"/>
        <w:jc w:val="center"/>
        <w:rPr>
          <w:rFonts w:ascii="Times New Roman" w:eastAsia="Times New Roman" w:hAnsi="Times New Roman" w:cs="Times New Roman"/>
          <w:b/>
          <w:color w:val="000000"/>
          <w:szCs w:val="26"/>
          <w:lang w:eastAsia="ru-RU" w:bidi="ru-RU"/>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A850F3" w:rsidRPr="00D03A4F" w14:paraId="251E9457" w14:textId="77777777" w:rsidTr="00A850F3">
        <w:trPr>
          <w:trHeight w:val="454"/>
          <w:tblHeader/>
          <w:jc w:val="center"/>
        </w:trPr>
        <w:tc>
          <w:tcPr>
            <w:tcW w:w="5948" w:type="dxa"/>
            <w:vMerge w:val="restart"/>
          </w:tcPr>
          <w:p w14:paraId="50E7279D" w14:textId="77777777" w:rsidR="00A850F3" w:rsidRPr="00D03A4F" w:rsidRDefault="00A850F3" w:rsidP="00A850F3">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b/>
                <w:bCs/>
                <w:color w:val="000000"/>
                <w:shd w:val="clear" w:color="auto" w:fill="FFFFFF"/>
                <w:lang w:eastAsia="ru-RU" w:bidi="ru-RU"/>
              </w:rPr>
              <w:t>Причины направления несовершеннолетних в специальные учебно-воспитательные учреждения открытого типа</w:t>
            </w:r>
          </w:p>
        </w:tc>
        <w:tc>
          <w:tcPr>
            <w:tcW w:w="3262" w:type="dxa"/>
            <w:gridSpan w:val="3"/>
          </w:tcPr>
          <w:p w14:paraId="4EE793D1" w14:textId="77777777" w:rsidR="00A850F3" w:rsidRPr="00D03A4F" w:rsidRDefault="00A850F3" w:rsidP="00A850F3">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Доля несовершеннолетних из общего числа направленных в специальные учебно-воспитательные учреждения открытого типа, %</w:t>
            </w:r>
          </w:p>
        </w:tc>
      </w:tr>
      <w:tr w:rsidR="00A850F3" w:rsidRPr="00D03A4F" w14:paraId="2410215E" w14:textId="77777777" w:rsidTr="00A850F3">
        <w:trPr>
          <w:trHeight w:val="454"/>
          <w:tblHeader/>
          <w:jc w:val="center"/>
        </w:trPr>
        <w:tc>
          <w:tcPr>
            <w:tcW w:w="5948" w:type="dxa"/>
            <w:vMerge/>
          </w:tcPr>
          <w:p w14:paraId="212D9829" w14:textId="77777777" w:rsidR="00A850F3" w:rsidRPr="00D03A4F" w:rsidRDefault="00A850F3" w:rsidP="00A850F3">
            <w:pPr>
              <w:widowControl w:val="0"/>
              <w:tabs>
                <w:tab w:val="left" w:pos="3119"/>
              </w:tabs>
              <w:spacing w:after="0" w:line="240" w:lineRule="auto"/>
              <w:jc w:val="both"/>
              <w:rPr>
                <w:rFonts w:ascii="Times New Roman" w:eastAsia="Times New Roman" w:hAnsi="Times New Roman" w:cs="Times New Roman"/>
                <w:b/>
                <w:color w:val="000000"/>
                <w:lang w:eastAsia="ru-RU" w:bidi="ru-RU"/>
              </w:rPr>
            </w:pPr>
          </w:p>
        </w:tc>
        <w:tc>
          <w:tcPr>
            <w:tcW w:w="1134" w:type="dxa"/>
          </w:tcPr>
          <w:p w14:paraId="6D332C77" w14:textId="77777777" w:rsidR="00A850F3" w:rsidRPr="00D03A4F" w:rsidRDefault="00A850F3" w:rsidP="00A94C86">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sidRPr="00D03A4F">
              <w:rPr>
                <w:rFonts w:ascii="Times New Roman" w:eastAsia="Times New Roman" w:hAnsi="Times New Roman" w:cs="Times New Roman"/>
                <w:b/>
                <w:color w:val="000000"/>
                <w:lang w:eastAsia="ru-RU" w:bidi="ru-RU"/>
              </w:rPr>
              <w:t>201</w:t>
            </w:r>
            <w:r w:rsidR="005664B1">
              <w:rPr>
                <w:rFonts w:ascii="Times New Roman" w:eastAsia="Times New Roman" w:hAnsi="Times New Roman" w:cs="Times New Roman"/>
                <w:b/>
                <w:color w:val="000000"/>
                <w:lang w:eastAsia="ru-RU" w:bidi="ru-RU"/>
              </w:rPr>
              <w:t>9</w:t>
            </w:r>
            <w:r w:rsidR="00A94C86">
              <w:rPr>
                <w:rFonts w:ascii="Times New Roman" w:eastAsia="Times New Roman" w:hAnsi="Times New Roman" w:cs="Times New Roman"/>
                <w:b/>
                <w:color w:val="000000"/>
                <w:lang w:eastAsia="ru-RU" w:bidi="ru-RU"/>
              </w:rPr>
              <w:t xml:space="preserve"> г.</w:t>
            </w:r>
          </w:p>
        </w:tc>
        <w:tc>
          <w:tcPr>
            <w:tcW w:w="1134" w:type="dxa"/>
          </w:tcPr>
          <w:p w14:paraId="5F3DCDAF" w14:textId="77777777" w:rsidR="00A850F3" w:rsidRPr="00D03A4F" w:rsidRDefault="00D77262" w:rsidP="00A94C86">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Pr>
                <w:rFonts w:ascii="Times New Roman" w:eastAsia="Times New Roman" w:hAnsi="Times New Roman" w:cs="Times New Roman"/>
                <w:b/>
                <w:color w:val="000000"/>
                <w:lang w:eastAsia="ru-RU" w:bidi="ru-RU"/>
              </w:rPr>
              <w:t>20</w:t>
            </w:r>
            <w:r w:rsidR="005664B1">
              <w:rPr>
                <w:rFonts w:ascii="Times New Roman" w:eastAsia="Times New Roman" w:hAnsi="Times New Roman" w:cs="Times New Roman"/>
                <w:b/>
                <w:color w:val="000000"/>
                <w:lang w:eastAsia="ru-RU" w:bidi="ru-RU"/>
              </w:rPr>
              <w:t>20</w:t>
            </w:r>
            <w:r w:rsidR="00A850F3" w:rsidRPr="00D03A4F">
              <w:rPr>
                <w:rFonts w:ascii="Times New Roman" w:eastAsia="Times New Roman" w:hAnsi="Times New Roman" w:cs="Times New Roman"/>
                <w:b/>
                <w:color w:val="000000"/>
                <w:lang w:eastAsia="ru-RU" w:bidi="ru-RU"/>
              </w:rPr>
              <w:t xml:space="preserve"> г</w:t>
            </w:r>
            <w:r w:rsidR="00A94C86">
              <w:rPr>
                <w:rFonts w:ascii="Times New Roman" w:eastAsia="Times New Roman" w:hAnsi="Times New Roman" w:cs="Times New Roman"/>
                <w:b/>
                <w:color w:val="000000"/>
                <w:lang w:eastAsia="ru-RU" w:bidi="ru-RU"/>
              </w:rPr>
              <w:t>.</w:t>
            </w:r>
          </w:p>
        </w:tc>
        <w:tc>
          <w:tcPr>
            <w:tcW w:w="994" w:type="dxa"/>
          </w:tcPr>
          <w:p w14:paraId="6108A789" w14:textId="77777777" w:rsidR="00A850F3" w:rsidRPr="00D03A4F" w:rsidRDefault="00A94C86" w:rsidP="005664B1">
            <w:pPr>
              <w:widowControl w:val="0"/>
              <w:tabs>
                <w:tab w:val="left" w:pos="3119"/>
              </w:tabs>
              <w:spacing w:after="0" w:line="240" w:lineRule="auto"/>
              <w:jc w:val="center"/>
              <w:rPr>
                <w:rFonts w:ascii="Times New Roman" w:eastAsia="Times New Roman" w:hAnsi="Times New Roman" w:cs="Times New Roman"/>
                <w:b/>
                <w:color w:val="000000"/>
                <w:lang w:eastAsia="ru-RU" w:bidi="ru-RU"/>
              </w:rPr>
            </w:pPr>
            <w:r>
              <w:rPr>
                <w:rFonts w:ascii="Times New Roman" w:eastAsia="Times New Roman" w:hAnsi="Times New Roman" w:cs="Times New Roman"/>
                <w:b/>
                <w:color w:val="000000"/>
                <w:lang w:eastAsia="ru-RU" w:bidi="ru-RU"/>
              </w:rPr>
              <w:t>2021 г.</w:t>
            </w:r>
          </w:p>
        </w:tc>
      </w:tr>
      <w:tr w:rsidR="005664B1" w:rsidRPr="00D03A4F" w14:paraId="0E289684" w14:textId="77777777" w:rsidTr="00A850F3">
        <w:trPr>
          <w:trHeight w:val="454"/>
          <w:jc w:val="center"/>
        </w:trPr>
        <w:tc>
          <w:tcPr>
            <w:tcW w:w="5948" w:type="dxa"/>
            <w:vAlign w:val="center"/>
          </w:tcPr>
          <w:p w14:paraId="19DCCA86" w14:textId="77777777" w:rsidR="005664B1" w:rsidRPr="00D03A4F" w:rsidRDefault="005664B1" w:rsidP="005664B1">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Не обучавшихся, не работавших</w:t>
            </w:r>
          </w:p>
        </w:tc>
        <w:tc>
          <w:tcPr>
            <w:tcW w:w="1134" w:type="dxa"/>
            <w:vAlign w:val="center"/>
          </w:tcPr>
          <w:p w14:paraId="46523312" w14:textId="77777777" w:rsidR="005664B1" w:rsidRPr="00D03A4F" w:rsidRDefault="005664B1" w:rsidP="005664B1">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0,74</w:t>
            </w:r>
          </w:p>
        </w:tc>
        <w:tc>
          <w:tcPr>
            <w:tcW w:w="1134" w:type="dxa"/>
            <w:vAlign w:val="center"/>
          </w:tcPr>
          <w:p w14:paraId="5A7E22D0" w14:textId="77777777" w:rsidR="005664B1" w:rsidRPr="00D03A4F" w:rsidRDefault="005664B1" w:rsidP="005664B1">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1,00</w:t>
            </w:r>
          </w:p>
        </w:tc>
        <w:tc>
          <w:tcPr>
            <w:tcW w:w="994" w:type="dxa"/>
            <w:vAlign w:val="center"/>
          </w:tcPr>
          <w:p w14:paraId="340A6745" w14:textId="77777777" w:rsidR="005664B1" w:rsidRPr="00D03A4F" w:rsidRDefault="005E12A9" w:rsidP="005664B1">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1,66</w:t>
            </w:r>
          </w:p>
        </w:tc>
      </w:tr>
      <w:tr w:rsidR="005664B1" w:rsidRPr="00D03A4F" w14:paraId="4E5FD986" w14:textId="77777777" w:rsidTr="00A850F3">
        <w:trPr>
          <w:trHeight w:val="454"/>
          <w:jc w:val="center"/>
        </w:trPr>
        <w:tc>
          <w:tcPr>
            <w:tcW w:w="5948" w:type="dxa"/>
            <w:vAlign w:val="center"/>
          </w:tcPr>
          <w:p w14:paraId="4622EE44" w14:textId="77777777" w:rsidR="005664B1" w:rsidRPr="00D03A4F" w:rsidRDefault="005664B1" w:rsidP="005664B1">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в том числе не обучавшихся год и более</w:t>
            </w:r>
          </w:p>
        </w:tc>
        <w:tc>
          <w:tcPr>
            <w:tcW w:w="1134" w:type="dxa"/>
            <w:vAlign w:val="center"/>
          </w:tcPr>
          <w:p w14:paraId="451B75E7" w14:textId="77777777" w:rsidR="005664B1" w:rsidRPr="00D03A4F" w:rsidRDefault="005664B1" w:rsidP="005664B1">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0,59</w:t>
            </w:r>
          </w:p>
        </w:tc>
        <w:tc>
          <w:tcPr>
            <w:tcW w:w="1134" w:type="dxa"/>
            <w:vAlign w:val="center"/>
          </w:tcPr>
          <w:p w14:paraId="4986F888" w14:textId="77777777" w:rsidR="005664B1" w:rsidRPr="00D03A4F" w:rsidRDefault="005664B1" w:rsidP="005664B1">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0,6</w:t>
            </w:r>
          </w:p>
        </w:tc>
        <w:tc>
          <w:tcPr>
            <w:tcW w:w="994" w:type="dxa"/>
            <w:vAlign w:val="center"/>
          </w:tcPr>
          <w:p w14:paraId="59F95C89" w14:textId="77777777" w:rsidR="005664B1" w:rsidRPr="00D03A4F" w:rsidRDefault="005E12A9" w:rsidP="005664B1">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0,5</w:t>
            </w:r>
          </w:p>
        </w:tc>
      </w:tr>
      <w:tr w:rsidR="005664B1" w:rsidRPr="00D03A4F" w14:paraId="1A976C8E" w14:textId="77777777" w:rsidTr="00A850F3">
        <w:trPr>
          <w:trHeight w:val="454"/>
          <w:jc w:val="center"/>
        </w:trPr>
        <w:tc>
          <w:tcPr>
            <w:tcW w:w="5948" w:type="dxa"/>
            <w:vAlign w:val="center"/>
          </w:tcPr>
          <w:p w14:paraId="4E28B6C8" w14:textId="77777777" w:rsidR="005664B1" w:rsidRPr="00D03A4F" w:rsidRDefault="005664B1" w:rsidP="005664B1">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 xml:space="preserve">Число воспитанников, склонных до поступления в учреждение к бродяжничеству, уходам из дома, </w:t>
            </w:r>
            <w:proofErr w:type="spellStart"/>
            <w:r w:rsidRPr="00D03A4F">
              <w:rPr>
                <w:rFonts w:ascii="Times New Roman" w:eastAsia="Times New Roman" w:hAnsi="Times New Roman" w:cs="Times New Roman"/>
                <w:color w:val="000000"/>
                <w:lang w:eastAsia="ru-RU" w:bidi="ru-RU"/>
              </w:rPr>
              <w:t>интернатных</w:t>
            </w:r>
            <w:proofErr w:type="spellEnd"/>
            <w:r w:rsidRPr="00D03A4F">
              <w:rPr>
                <w:rFonts w:ascii="Times New Roman" w:eastAsia="Times New Roman" w:hAnsi="Times New Roman" w:cs="Times New Roman"/>
                <w:color w:val="000000"/>
                <w:lang w:eastAsia="ru-RU" w:bidi="ru-RU"/>
              </w:rPr>
              <w:t xml:space="preserve"> учреждений</w:t>
            </w:r>
          </w:p>
        </w:tc>
        <w:tc>
          <w:tcPr>
            <w:tcW w:w="1134" w:type="dxa"/>
            <w:vAlign w:val="center"/>
          </w:tcPr>
          <w:p w14:paraId="0AF8ECFA" w14:textId="77777777" w:rsidR="005664B1" w:rsidRPr="00D03A4F" w:rsidRDefault="005664B1" w:rsidP="005664B1">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15,25</w:t>
            </w:r>
          </w:p>
        </w:tc>
        <w:tc>
          <w:tcPr>
            <w:tcW w:w="1134" w:type="dxa"/>
            <w:vAlign w:val="center"/>
          </w:tcPr>
          <w:p w14:paraId="0AA7EFE4" w14:textId="77777777" w:rsidR="005664B1" w:rsidRPr="00D03A4F" w:rsidRDefault="005664B1" w:rsidP="005664B1">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10,22</w:t>
            </w:r>
          </w:p>
        </w:tc>
        <w:tc>
          <w:tcPr>
            <w:tcW w:w="994" w:type="dxa"/>
            <w:vAlign w:val="center"/>
          </w:tcPr>
          <w:p w14:paraId="67AAB2BA" w14:textId="77777777" w:rsidR="005664B1" w:rsidRPr="00D03A4F" w:rsidRDefault="005E12A9" w:rsidP="005664B1">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8,01</w:t>
            </w:r>
          </w:p>
        </w:tc>
      </w:tr>
      <w:tr w:rsidR="005664B1" w:rsidRPr="00D03A4F" w14:paraId="639DFBCC" w14:textId="77777777" w:rsidTr="00A850F3">
        <w:trPr>
          <w:trHeight w:val="454"/>
          <w:jc w:val="center"/>
        </w:trPr>
        <w:tc>
          <w:tcPr>
            <w:tcW w:w="5948" w:type="dxa"/>
            <w:vAlign w:val="center"/>
          </w:tcPr>
          <w:p w14:paraId="3E2C350A" w14:textId="77777777" w:rsidR="005664B1" w:rsidRPr="00D03A4F" w:rsidRDefault="005664B1" w:rsidP="005664B1">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vAlign w:val="center"/>
          </w:tcPr>
          <w:p w14:paraId="40FB95FA" w14:textId="77777777" w:rsidR="005664B1" w:rsidRPr="00D03A4F" w:rsidRDefault="005664B1" w:rsidP="005664B1">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9,18</w:t>
            </w:r>
          </w:p>
        </w:tc>
        <w:tc>
          <w:tcPr>
            <w:tcW w:w="1134" w:type="dxa"/>
            <w:vAlign w:val="center"/>
          </w:tcPr>
          <w:p w14:paraId="0EB56D64" w14:textId="77777777" w:rsidR="005664B1" w:rsidRPr="00D03A4F" w:rsidRDefault="005664B1" w:rsidP="005664B1">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3,4</w:t>
            </w:r>
          </w:p>
        </w:tc>
        <w:tc>
          <w:tcPr>
            <w:tcW w:w="994" w:type="dxa"/>
            <w:vAlign w:val="center"/>
          </w:tcPr>
          <w:p w14:paraId="61325970" w14:textId="77777777" w:rsidR="005664B1" w:rsidRPr="00D03A4F" w:rsidRDefault="005E12A9" w:rsidP="005664B1">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3,67</w:t>
            </w:r>
          </w:p>
        </w:tc>
      </w:tr>
      <w:tr w:rsidR="005664B1" w:rsidRPr="00D03A4F" w14:paraId="3BE826A7" w14:textId="77777777" w:rsidTr="00A850F3">
        <w:trPr>
          <w:trHeight w:val="454"/>
          <w:jc w:val="center"/>
        </w:trPr>
        <w:tc>
          <w:tcPr>
            <w:tcW w:w="5948" w:type="dxa"/>
            <w:vAlign w:val="center"/>
          </w:tcPr>
          <w:p w14:paraId="3ED1A058" w14:textId="77777777" w:rsidR="005664B1" w:rsidRPr="00D03A4F" w:rsidRDefault="005664B1" w:rsidP="005664B1">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 xml:space="preserve">Число воспитанников, до поступления в учреждение </w:t>
            </w:r>
            <w:proofErr w:type="spellStart"/>
            <w:r w:rsidRPr="00D03A4F">
              <w:rPr>
                <w:rFonts w:ascii="Times New Roman" w:eastAsia="Times New Roman" w:hAnsi="Times New Roman" w:cs="Times New Roman"/>
                <w:color w:val="000000"/>
                <w:lang w:eastAsia="ru-RU" w:bidi="ru-RU"/>
              </w:rPr>
              <w:t>привлекавшихся</w:t>
            </w:r>
            <w:proofErr w:type="spellEnd"/>
            <w:r w:rsidRPr="00D03A4F">
              <w:rPr>
                <w:rFonts w:ascii="Times New Roman" w:eastAsia="Times New Roman" w:hAnsi="Times New Roman" w:cs="Times New Roman"/>
                <w:color w:val="000000"/>
                <w:lang w:eastAsia="ru-RU" w:bidi="ru-RU"/>
              </w:rPr>
              <w:t xml:space="preserve"> к уголовной ответственности</w:t>
            </w:r>
          </w:p>
        </w:tc>
        <w:tc>
          <w:tcPr>
            <w:tcW w:w="1134" w:type="dxa"/>
            <w:vAlign w:val="center"/>
          </w:tcPr>
          <w:p w14:paraId="0B0124A4" w14:textId="77777777" w:rsidR="005664B1" w:rsidRPr="00D03A4F" w:rsidRDefault="005664B1" w:rsidP="005664B1">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2,81</w:t>
            </w:r>
          </w:p>
        </w:tc>
        <w:tc>
          <w:tcPr>
            <w:tcW w:w="1134" w:type="dxa"/>
            <w:vAlign w:val="center"/>
          </w:tcPr>
          <w:p w14:paraId="45E764CB" w14:textId="77777777" w:rsidR="005664B1" w:rsidRPr="00D03A4F" w:rsidRDefault="005664B1" w:rsidP="005664B1">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1,6</w:t>
            </w:r>
          </w:p>
        </w:tc>
        <w:tc>
          <w:tcPr>
            <w:tcW w:w="994" w:type="dxa"/>
            <w:vAlign w:val="center"/>
          </w:tcPr>
          <w:p w14:paraId="5912A8F2" w14:textId="77777777" w:rsidR="005664B1" w:rsidRPr="00D03A4F" w:rsidRDefault="005E12A9" w:rsidP="005664B1">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2,0</w:t>
            </w:r>
          </w:p>
        </w:tc>
      </w:tr>
      <w:tr w:rsidR="005664B1" w:rsidRPr="00D03A4F" w14:paraId="5DF9C78E" w14:textId="77777777" w:rsidTr="00A850F3">
        <w:trPr>
          <w:trHeight w:val="454"/>
          <w:jc w:val="center"/>
        </w:trPr>
        <w:tc>
          <w:tcPr>
            <w:tcW w:w="5948" w:type="dxa"/>
            <w:vAlign w:val="center"/>
          </w:tcPr>
          <w:p w14:paraId="541FAD3B" w14:textId="77777777" w:rsidR="005664B1" w:rsidRPr="00D03A4F" w:rsidRDefault="005664B1" w:rsidP="005664B1">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 xml:space="preserve">Число воспитанников, употреблявших до поступления в учреждение </w:t>
            </w:r>
            <w:proofErr w:type="spellStart"/>
            <w:r w:rsidRPr="00D03A4F">
              <w:rPr>
                <w:rFonts w:ascii="Times New Roman" w:eastAsia="Times New Roman" w:hAnsi="Times New Roman" w:cs="Times New Roman"/>
                <w:color w:val="000000"/>
                <w:lang w:eastAsia="ru-RU" w:bidi="ru-RU"/>
              </w:rPr>
              <w:t>психоактивные</w:t>
            </w:r>
            <w:proofErr w:type="spellEnd"/>
            <w:r w:rsidRPr="00D03A4F">
              <w:rPr>
                <w:rFonts w:ascii="Times New Roman" w:eastAsia="Times New Roman" w:hAnsi="Times New Roman" w:cs="Times New Roman"/>
                <w:color w:val="000000"/>
                <w:lang w:eastAsia="ru-RU" w:bidi="ru-RU"/>
              </w:rPr>
              <w:t xml:space="preserve"> вещества, в том числе:</w:t>
            </w:r>
          </w:p>
        </w:tc>
        <w:tc>
          <w:tcPr>
            <w:tcW w:w="1134" w:type="dxa"/>
            <w:vAlign w:val="center"/>
          </w:tcPr>
          <w:p w14:paraId="5E45A518" w14:textId="77777777" w:rsidR="005664B1" w:rsidRPr="00D03A4F" w:rsidRDefault="005664B1" w:rsidP="005664B1">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22,8</w:t>
            </w:r>
          </w:p>
        </w:tc>
        <w:tc>
          <w:tcPr>
            <w:tcW w:w="1134" w:type="dxa"/>
            <w:vAlign w:val="center"/>
          </w:tcPr>
          <w:p w14:paraId="30DB82CE" w14:textId="77777777" w:rsidR="005664B1" w:rsidRPr="00D03A4F" w:rsidRDefault="005664B1" w:rsidP="005664B1">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16,63</w:t>
            </w:r>
          </w:p>
        </w:tc>
        <w:tc>
          <w:tcPr>
            <w:tcW w:w="994" w:type="dxa"/>
            <w:vAlign w:val="center"/>
          </w:tcPr>
          <w:p w14:paraId="7035E0B1" w14:textId="77777777" w:rsidR="005664B1" w:rsidRPr="00D03A4F" w:rsidRDefault="005E12A9" w:rsidP="005664B1">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10,35</w:t>
            </w:r>
          </w:p>
        </w:tc>
      </w:tr>
      <w:tr w:rsidR="005664B1" w:rsidRPr="00D03A4F" w14:paraId="0FF2D4D0" w14:textId="77777777" w:rsidTr="00A850F3">
        <w:trPr>
          <w:trHeight w:val="454"/>
          <w:jc w:val="center"/>
        </w:trPr>
        <w:tc>
          <w:tcPr>
            <w:tcW w:w="5948" w:type="dxa"/>
            <w:vAlign w:val="center"/>
          </w:tcPr>
          <w:p w14:paraId="52698A19" w14:textId="77777777" w:rsidR="005664B1" w:rsidRPr="00D03A4F" w:rsidRDefault="005664B1" w:rsidP="005664B1">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алкогольная (спиртосодержащая) продукция</w:t>
            </w:r>
          </w:p>
        </w:tc>
        <w:tc>
          <w:tcPr>
            <w:tcW w:w="1134" w:type="dxa"/>
            <w:vAlign w:val="center"/>
          </w:tcPr>
          <w:p w14:paraId="35E3B00F" w14:textId="77777777" w:rsidR="005664B1" w:rsidRPr="00D03A4F" w:rsidRDefault="005664B1" w:rsidP="005664B1">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15,7</w:t>
            </w:r>
          </w:p>
        </w:tc>
        <w:tc>
          <w:tcPr>
            <w:tcW w:w="1134" w:type="dxa"/>
            <w:vAlign w:val="center"/>
          </w:tcPr>
          <w:p w14:paraId="7AE5F428" w14:textId="77777777" w:rsidR="005664B1" w:rsidRPr="00D03A4F" w:rsidRDefault="005664B1" w:rsidP="005664B1">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12,22</w:t>
            </w:r>
          </w:p>
        </w:tc>
        <w:tc>
          <w:tcPr>
            <w:tcW w:w="994" w:type="dxa"/>
            <w:vAlign w:val="center"/>
          </w:tcPr>
          <w:p w14:paraId="62D49206" w14:textId="77777777" w:rsidR="005664B1" w:rsidRPr="00D03A4F" w:rsidRDefault="005E12A9" w:rsidP="005664B1">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8,01</w:t>
            </w:r>
          </w:p>
        </w:tc>
      </w:tr>
      <w:tr w:rsidR="005664B1" w:rsidRPr="00D03A4F" w14:paraId="29B19400" w14:textId="77777777" w:rsidTr="00A850F3">
        <w:trPr>
          <w:trHeight w:val="454"/>
          <w:jc w:val="center"/>
        </w:trPr>
        <w:tc>
          <w:tcPr>
            <w:tcW w:w="5948" w:type="dxa"/>
            <w:vAlign w:val="center"/>
          </w:tcPr>
          <w:p w14:paraId="71DAE0DD" w14:textId="77777777" w:rsidR="005664B1" w:rsidRPr="00D03A4F" w:rsidRDefault="005664B1" w:rsidP="005664B1">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токсические и иные сильнодействующие вещества</w:t>
            </w:r>
          </w:p>
        </w:tc>
        <w:tc>
          <w:tcPr>
            <w:tcW w:w="1134" w:type="dxa"/>
            <w:vAlign w:val="center"/>
          </w:tcPr>
          <w:p w14:paraId="74F16C0D" w14:textId="77777777" w:rsidR="005664B1" w:rsidRPr="00D03A4F" w:rsidRDefault="005664B1" w:rsidP="005664B1">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4,74</w:t>
            </w:r>
          </w:p>
        </w:tc>
        <w:tc>
          <w:tcPr>
            <w:tcW w:w="1134" w:type="dxa"/>
            <w:vAlign w:val="center"/>
          </w:tcPr>
          <w:p w14:paraId="6CCB32F8" w14:textId="77777777" w:rsidR="005664B1" w:rsidRPr="00D03A4F" w:rsidRDefault="005664B1" w:rsidP="005664B1">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1,4</w:t>
            </w:r>
          </w:p>
        </w:tc>
        <w:tc>
          <w:tcPr>
            <w:tcW w:w="994" w:type="dxa"/>
            <w:vAlign w:val="center"/>
          </w:tcPr>
          <w:p w14:paraId="4A6F44DC" w14:textId="77777777" w:rsidR="005664B1" w:rsidRPr="00D03A4F" w:rsidRDefault="005E12A9" w:rsidP="005664B1">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0,66</w:t>
            </w:r>
          </w:p>
        </w:tc>
      </w:tr>
      <w:tr w:rsidR="005664B1" w:rsidRPr="00D03A4F" w14:paraId="7E5FA6C1" w14:textId="77777777" w:rsidTr="00A850F3">
        <w:trPr>
          <w:trHeight w:val="454"/>
          <w:jc w:val="center"/>
        </w:trPr>
        <w:tc>
          <w:tcPr>
            <w:tcW w:w="5948" w:type="dxa"/>
            <w:vAlign w:val="center"/>
          </w:tcPr>
          <w:p w14:paraId="1C8782F1" w14:textId="77777777" w:rsidR="005664B1" w:rsidRPr="00D03A4F" w:rsidRDefault="005664B1" w:rsidP="005664B1">
            <w:pPr>
              <w:widowControl w:val="0"/>
              <w:tabs>
                <w:tab w:val="left" w:pos="3119"/>
              </w:tabs>
              <w:spacing w:after="0" w:line="240" w:lineRule="auto"/>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 xml:space="preserve">наркотические средства и </w:t>
            </w:r>
            <w:proofErr w:type="spellStart"/>
            <w:r w:rsidRPr="00D03A4F">
              <w:rPr>
                <w:rFonts w:ascii="Times New Roman" w:eastAsia="Times New Roman" w:hAnsi="Times New Roman" w:cs="Times New Roman"/>
                <w:color w:val="000000"/>
                <w:lang w:eastAsia="ru-RU" w:bidi="ru-RU"/>
              </w:rPr>
              <w:t>психоактивные</w:t>
            </w:r>
            <w:proofErr w:type="spellEnd"/>
            <w:r w:rsidRPr="00D03A4F">
              <w:rPr>
                <w:rFonts w:ascii="Times New Roman" w:eastAsia="Times New Roman" w:hAnsi="Times New Roman" w:cs="Times New Roman"/>
                <w:color w:val="000000"/>
                <w:lang w:eastAsia="ru-RU" w:bidi="ru-RU"/>
              </w:rPr>
              <w:t xml:space="preserve"> вещества</w:t>
            </w:r>
          </w:p>
        </w:tc>
        <w:tc>
          <w:tcPr>
            <w:tcW w:w="1134" w:type="dxa"/>
            <w:vAlign w:val="center"/>
          </w:tcPr>
          <w:p w14:paraId="15B72135" w14:textId="77777777" w:rsidR="005664B1" w:rsidRPr="00D03A4F" w:rsidRDefault="005664B1" w:rsidP="005664B1">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sidRPr="00D03A4F">
              <w:rPr>
                <w:rFonts w:ascii="Times New Roman" w:eastAsia="Times New Roman" w:hAnsi="Times New Roman" w:cs="Times New Roman"/>
                <w:color w:val="000000"/>
                <w:lang w:eastAsia="ru-RU" w:bidi="ru-RU"/>
              </w:rPr>
              <w:t>2,66</w:t>
            </w:r>
          </w:p>
        </w:tc>
        <w:tc>
          <w:tcPr>
            <w:tcW w:w="1134" w:type="dxa"/>
            <w:vAlign w:val="center"/>
          </w:tcPr>
          <w:p w14:paraId="2D81B6F0" w14:textId="77777777" w:rsidR="005664B1" w:rsidRPr="00D03A4F" w:rsidRDefault="005664B1" w:rsidP="005664B1">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4,6</w:t>
            </w:r>
          </w:p>
        </w:tc>
        <w:tc>
          <w:tcPr>
            <w:tcW w:w="994" w:type="dxa"/>
            <w:vAlign w:val="center"/>
          </w:tcPr>
          <w:p w14:paraId="6453D001" w14:textId="77777777" w:rsidR="005664B1" w:rsidRPr="00D03A4F" w:rsidRDefault="005E12A9" w:rsidP="005664B1">
            <w:pPr>
              <w:widowControl w:val="0"/>
              <w:tabs>
                <w:tab w:val="left" w:pos="3119"/>
              </w:tabs>
              <w:spacing w:after="0" w:line="240" w:lineRule="auto"/>
              <w:jc w:val="center"/>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2,0</w:t>
            </w:r>
          </w:p>
        </w:tc>
      </w:tr>
    </w:tbl>
    <w:p w14:paraId="368D25A3" w14:textId="77777777" w:rsidR="00A850F3" w:rsidRPr="004B020C" w:rsidRDefault="00A850F3" w:rsidP="00A850F3">
      <w:pPr>
        <w:widowControl w:val="0"/>
        <w:spacing w:after="0" w:line="312" w:lineRule="auto"/>
        <w:ind w:firstLine="720"/>
        <w:jc w:val="both"/>
        <w:rPr>
          <w:rFonts w:ascii="Times New Roman" w:eastAsia="Calibri" w:hAnsi="Times New Roman" w:cs="Times New Roman"/>
          <w:sz w:val="16"/>
          <w:szCs w:val="28"/>
        </w:rPr>
      </w:pPr>
    </w:p>
    <w:p w14:paraId="5FE9AADD" w14:textId="77777777" w:rsidR="0038740B" w:rsidRDefault="0038740B" w:rsidP="00A850F3">
      <w:pPr>
        <w:widowControl w:val="0"/>
        <w:spacing w:after="0" w:line="30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Деятельность специальных учебно-воспитательных учреждений направлена на преодоление последствий школьной и социальной </w:t>
      </w:r>
      <w:proofErr w:type="spellStart"/>
      <w:r>
        <w:rPr>
          <w:rFonts w:ascii="Times New Roman" w:eastAsia="Calibri" w:hAnsi="Times New Roman" w:cs="Times New Roman"/>
          <w:sz w:val="28"/>
          <w:szCs w:val="28"/>
        </w:rPr>
        <w:t>дезаптации</w:t>
      </w:r>
      <w:proofErr w:type="spellEnd"/>
      <w:r>
        <w:rPr>
          <w:rFonts w:ascii="Times New Roman" w:eastAsia="Calibri" w:hAnsi="Times New Roman" w:cs="Times New Roman"/>
          <w:sz w:val="28"/>
          <w:szCs w:val="28"/>
        </w:rPr>
        <w:t xml:space="preserve"> детей и подростков с </w:t>
      </w:r>
      <w:proofErr w:type="spellStart"/>
      <w:r>
        <w:rPr>
          <w:rFonts w:ascii="Times New Roman" w:eastAsia="Calibri" w:hAnsi="Times New Roman" w:cs="Times New Roman"/>
          <w:sz w:val="28"/>
          <w:szCs w:val="28"/>
        </w:rPr>
        <w:t>девиантным</w:t>
      </w:r>
      <w:proofErr w:type="spellEnd"/>
      <w:r>
        <w:rPr>
          <w:rFonts w:ascii="Times New Roman" w:eastAsia="Calibri" w:hAnsi="Times New Roman" w:cs="Times New Roman"/>
          <w:sz w:val="28"/>
          <w:szCs w:val="28"/>
        </w:rPr>
        <w:t xml:space="preserve"> поведением, формирование у них осознанной потребности в получении образования, профессии, способности к самооценке, самоконтролю, осмыслению собственных возможностей и перспектив.</w:t>
      </w:r>
    </w:p>
    <w:p w14:paraId="224CD985" w14:textId="77777777" w:rsidR="0038740B" w:rsidRPr="0038740B" w:rsidRDefault="0038740B" w:rsidP="0038740B">
      <w:pPr>
        <w:spacing w:after="0" w:line="312" w:lineRule="auto"/>
        <w:ind w:firstLine="709"/>
        <w:jc w:val="both"/>
        <w:rPr>
          <w:rFonts w:ascii="Times New Roman" w:hAnsi="Times New Roman" w:cs="Times New Roman"/>
          <w:sz w:val="28"/>
          <w:szCs w:val="28"/>
        </w:rPr>
      </w:pPr>
      <w:r w:rsidRPr="0038740B">
        <w:rPr>
          <w:rFonts w:ascii="Times New Roman" w:hAnsi="Times New Roman" w:cs="Times New Roman"/>
          <w:sz w:val="28"/>
          <w:szCs w:val="28"/>
        </w:rPr>
        <w:t>Обучающиеся</w:t>
      </w:r>
      <w:r w:rsidR="008E095B" w:rsidRPr="0038740B">
        <w:rPr>
          <w:rFonts w:ascii="Times New Roman" w:hAnsi="Times New Roman" w:cs="Times New Roman"/>
          <w:sz w:val="28"/>
          <w:szCs w:val="28"/>
        </w:rPr>
        <w:t> </w:t>
      </w:r>
      <w:r w:rsidRPr="0038740B">
        <w:rPr>
          <w:rFonts w:ascii="Times New Roman" w:hAnsi="Times New Roman" w:cs="Times New Roman"/>
          <w:sz w:val="28"/>
          <w:szCs w:val="28"/>
        </w:rPr>
        <w:t xml:space="preserve">специальных учебно-воспитательных учреждений получают образование по программам начального общего, основного общего, среднего общего, среднего профессионального образования в соответствии с </w:t>
      </w:r>
      <w:r w:rsidR="005F7E01">
        <w:rPr>
          <w:rFonts w:ascii="Times New Roman" w:hAnsi="Times New Roman" w:cs="Times New Roman"/>
          <w:sz w:val="28"/>
          <w:szCs w:val="28"/>
        </w:rPr>
        <w:t>ФГОС</w:t>
      </w:r>
      <w:r w:rsidRPr="0038740B">
        <w:rPr>
          <w:rFonts w:ascii="Times New Roman" w:hAnsi="Times New Roman" w:cs="Times New Roman"/>
          <w:sz w:val="28"/>
          <w:szCs w:val="28"/>
        </w:rPr>
        <w:t>. В работе специальных учебно-воспитательных учреждениях</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 xml:space="preserve">используются социально значимые для региона программы профессионального обучения, позволяющие обеспечить профессиональную ориентацию и социально-трудовую адаптацию несовершеннолетних, их подготовку к самостоятельной жизни в обществе. </w:t>
      </w:r>
    </w:p>
    <w:p w14:paraId="7941991B" w14:textId="77777777" w:rsidR="0038740B" w:rsidRPr="0038740B" w:rsidRDefault="0038740B" w:rsidP="0038740B">
      <w:pPr>
        <w:pStyle w:val="aff8"/>
        <w:spacing w:line="312" w:lineRule="auto"/>
        <w:ind w:firstLine="709"/>
        <w:jc w:val="both"/>
        <w:rPr>
          <w:sz w:val="28"/>
          <w:szCs w:val="28"/>
        </w:rPr>
      </w:pPr>
      <w:r w:rsidRPr="0038740B">
        <w:rPr>
          <w:sz w:val="28"/>
          <w:szCs w:val="28"/>
        </w:rPr>
        <w:t>Специальные учебно-воспитательные учреждения</w:t>
      </w:r>
      <w:r w:rsidR="00044BED" w:rsidRPr="0038740B">
        <w:rPr>
          <w:sz w:val="28"/>
          <w:szCs w:val="28"/>
        </w:rPr>
        <w:t> </w:t>
      </w:r>
      <w:r w:rsidRPr="0038740B">
        <w:rPr>
          <w:bCs/>
          <w:sz w:val="28"/>
          <w:szCs w:val="28"/>
        </w:rPr>
        <w:t xml:space="preserve">объединяют образовательные и реабилитационные </w:t>
      </w:r>
      <w:r w:rsidRPr="0038740B">
        <w:rPr>
          <w:sz w:val="28"/>
          <w:szCs w:val="28"/>
        </w:rPr>
        <w:t>ресурсы, позволяющие обеспечить интеграционный подход</w:t>
      </w:r>
      <w:r w:rsidR="00044BED" w:rsidRPr="0038740B">
        <w:rPr>
          <w:sz w:val="28"/>
          <w:szCs w:val="28"/>
        </w:rPr>
        <w:t> </w:t>
      </w:r>
      <w:r w:rsidRPr="0038740B">
        <w:rPr>
          <w:sz w:val="28"/>
          <w:szCs w:val="28"/>
        </w:rPr>
        <w:t>в восстановлении социальной и личностной продуктивности несовершеннолетних.</w:t>
      </w:r>
      <w:r w:rsidR="00044BED" w:rsidRPr="0038740B">
        <w:rPr>
          <w:sz w:val="28"/>
          <w:szCs w:val="28"/>
        </w:rPr>
        <w:t> </w:t>
      </w:r>
      <w:r w:rsidRPr="0038740B">
        <w:rPr>
          <w:sz w:val="28"/>
          <w:szCs w:val="28"/>
        </w:rPr>
        <w:t>Ин</w:t>
      </w:r>
      <w:r w:rsidR="0053761C">
        <w:rPr>
          <w:sz w:val="28"/>
          <w:szCs w:val="28"/>
        </w:rPr>
        <w:t xml:space="preserve">дивидуальная работа проводится </w:t>
      </w:r>
      <w:r w:rsidRPr="0038740B">
        <w:rPr>
          <w:sz w:val="28"/>
          <w:szCs w:val="28"/>
        </w:rPr>
        <w:t>на основе комплексного обследования, ин</w:t>
      </w:r>
      <w:r w:rsidR="0053761C">
        <w:rPr>
          <w:sz w:val="28"/>
          <w:szCs w:val="28"/>
        </w:rPr>
        <w:t xml:space="preserve">дивидуальных программ развития </w:t>
      </w:r>
      <w:r w:rsidR="00702765">
        <w:rPr>
          <w:sz w:val="28"/>
          <w:szCs w:val="28"/>
        </w:rPr>
        <w:t>и реабилитации обучающихся.</w:t>
      </w:r>
    </w:p>
    <w:p w14:paraId="649BA02F" w14:textId="77777777" w:rsidR="0038740B" w:rsidRPr="0038740B" w:rsidRDefault="0038740B" w:rsidP="0038740B">
      <w:pPr>
        <w:spacing w:after="0" w:line="312" w:lineRule="auto"/>
        <w:ind w:firstLine="709"/>
        <w:jc w:val="both"/>
        <w:rPr>
          <w:rFonts w:ascii="Times New Roman" w:hAnsi="Times New Roman" w:cs="Times New Roman"/>
          <w:sz w:val="28"/>
          <w:szCs w:val="28"/>
        </w:rPr>
      </w:pPr>
      <w:r w:rsidRPr="0038740B">
        <w:rPr>
          <w:rFonts w:ascii="Times New Roman" w:hAnsi="Times New Roman" w:cs="Times New Roman"/>
          <w:sz w:val="28"/>
          <w:szCs w:val="28"/>
        </w:rPr>
        <w:t>Значительное место в организации воспитательной и реабилитационной работы с несовершеннолетними занимает внеурочная деятельность, обеспечивающая условия для содержательного досуга. Большое внимание уделяется реализации дополнительных общеразвивающих п</w:t>
      </w:r>
      <w:r w:rsidR="00435F2A">
        <w:rPr>
          <w:rFonts w:ascii="Times New Roman" w:hAnsi="Times New Roman" w:cs="Times New Roman"/>
          <w:sz w:val="28"/>
          <w:szCs w:val="28"/>
        </w:rPr>
        <w:t>рограмм разных направленностей.</w:t>
      </w:r>
    </w:p>
    <w:p w14:paraId="415D232F" w14:textId="77777777" w:rsidR="0038740B" w:rsidRPr="0038740B" w:rsidRDefault="0038740B" w:rsidP="0038740B">
      <w:pPr>
        <w:spacing w:after="0" w:line="312" w:lineRule="auto"/>
        <w:ind w:firstLine="709"/>
        <w:jc w:val="both"/>
        <w:rPr>
          <w:rFonts w:ascii="Times New Roman" w:hAnsi="Times New Roman" w:cs="Times New Roman"/>
          <w:sz w:val="28"/>
          <w:szCs w:val="28"/>
        </w:rPr>
      </w:pPr>
      <w:r w:rsidRPr="0038740B">
        <w:rPr>
          <w:rFonts w:ascii="Times New Roman" w:hAnsi="Times New Roman" w:cs="Times New Roman"/>
          <w:sz w:val="28"/>
          <w:szCs w:val="28"/>
        </w:rPr>
        <w:t>Ежегодно для воспитанников специальных учебно-воспитательных учреждений проводятся всероссийские общественно значимые мероприятия, которые являются практической реализацией комплексной реабилитации, адаптации и интеграции в общество детей и подростков с </w:t>
      </w:r>
      <w:proofErr w:type="spellStart"/>
      <w:r w:rsidRPr="0038740B">
        <w:rPr>
          <w:rFonts w:ascii="Times New Roman" w:hAnsi="Times New Roman" w:cs="Times New Roman"/>
          <w:sz w:val="28"/>
          <w:szCs w:val="28"/>
        </w:rPr>
        <w:t>девиантным</w:t>
      </w:r>
      <w:proofErr w:type="spellEnd"/>
      <w:r w:rsidRPr="0038740B">
        <w:rPr>
          <w:rFonts w:ascii="Times New Roman" w:hAnsi="Times New Roman" w:cs="Times New Roman"/>
          <w:sz w:val="28"/>
          <w:szCs w:val="28"/>
        </w:rPr>
        <w:t xml:space="preserve"> поведением</w:t>
      </w:r>
      <w:r w:rsidR="0052515D" w:rsidRPr="00BD5345">
        <w:rPr>
          <w:rFonts w:ascii="Times New Roman" w:eastAsia="Times New Roman" w:hAnsi="Times New Roman" w:cs="Times New Roman"/>
          <w:sz w:val="28"/>
          <w:szCs w:val="28"/>
        </w:rPr>
        <w:t> </w:t>
      </w:r>
      <w:r w:rsidRPr="0038740B">
        <w:rPr>
          <w:rFonts w:ascii="Times New Roman" w:hAnsi="Times New Roman" w:cs="Times New Roman"/>
          <w:sz w:val="28"/>
          <w:szCs w:val="28"/>
        </w:rPr>
        <w:t xml:space="preserve">и обеспечивают выполнение педагогических задач по мотивации участия воспитанников в различных сферах жизни. </w:t>
      </w:r>
    </w:p>
    <w:p w14:paraId="2D1BA26F" w14:textId="77777777" w:rsidR="0038740B" w:rsidRPr="0038740B" w:rsidRDefault="0038740B" w:rsidP="0038740B">
      <w:pPr>
        <w:spacing w:after="0" w:line="312" w:lineRule="auto"/>
        <w:ind w:firstLine="709"/>
        <w:jc w:val="both"/>
        <w:rPr>
          <w:rFonts w:ascii="Times New Roman" w:hAnsi="Times New Roman" w:cs="Times New Roman"/>
          <w:sz w:val="28"/>
          <w:szCs w:val="28"/>
        </w:rPr>
      </w:pPr>
      <w:r w:rsidRPr="0038740B">
        <w:rPr>
          <w:rFonts w:ascii="Times New Roman" w:hAnsi="Times New Roman" w:cs="Times New Roman"/>
          <w:sz w:val="28"/>
          <w:szCs w:val="28"/>
        </w:rPr>
        <w:t>В 202</w:t>
      </w:r>
      <w:r w:rsidR="0093328D">
        <w:rPr>
          <w:rFonts w:ascii="Times New Roman" w:hAnsi="Times New Roman" w:cs="Times New Roman"/>
          <w:sz w:val="28"/>
          <w:szCs w:val="28"/>
        </w:rPr>
        <w:t>1</w:t>
      </w:r>
      <w:r w:rsidRPr="0038740B">
        <w:rPr>
          <w:rFonts w:ascii="Times New Roman" w:hAnsi="Times New Roman" w:cs="Times New Roman"/>
          <w:sz w:val="28"/>
          <w:szCs w:val="28"/>
        </w:rPr>
        <w:t xml:space="preserve"> г</w:t>
      </w:r>
      <w:r w:rsidR="00A94C86">
        <w:rPr>
          <w:rFonts w:ascii="Times New Roman" w:hAnsi="Times New Roman" w:cs="Times New Roman"/>
          <w:sz w:val="28"/>
          <w:szCs w:val="28"/>
        </w:rPr>
        <w:t>.</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 xml:space="preserve">проведены </w:t>
      </w:r>
      <w:r w:rsidR="0093328D">
        <w:rPr>
          <w:rFonts w:ascii="Times New Roman" w:hAnsi="Times New Roman" w:cs="Times New Roman"/>
          <w:sz w:val="28"/>
          <w:szCs w:val="28"/>
        </w:rPr>
        <w:t>два</w:t>
      </w:r>
      <w:r w:rsidRPr="0038740B">
        <w:rPr>
          <w:rFonts w:ascii="Times New Roman" w:hAnsi="Times New Roman" w:cs="Times New Roman"/>
          <w:sz w:val="28"/>
          <w:szCs w:val="28"/>
        </w:rPr>
        <w:t xml:space="preserve"> мероприятия</w:t>
      </w:r>
      <w:r w:rsidR="00044BED" w:rsidRPr="0038740B">
        <w:rPr>
          <w:rFonts w:ascii="Times New Roman" w:hAnsi="Times New Roman" w:cs="Times New Roman"/>
          <w:sz w:val="28"/>
          <w:szCs w:val="28"/>
        </w:rPr>
        <w:t> </w:t>
      </w:r>
      <w:r w:rsidRPr="0038740B">
        <w:rPr>
          <w:rFonts w:ascii="Times New Roman" w:hAnsi="Times New Roman" w:cs="Times New Roman"/>
          <w:sz w:val="28"/>
          <w:szCs w:val="28"/>
        </w:rPr>
        <w:t xml:space="preserve">в онлайн-формате: Всероссийская олимпиада по общеобразовательным предметам (организатор – федеральное государственное бюджетное профессиональное образовательное учреждение «Майкопское специальное учебно-воспитательное учреждение закрытого типа», Республика Адыгея), </w:t>
      </w:r>
      <w:r w:rsidR="0093328D">
        <w:rPr>
          <w:rFonts w:ascii="Times New Roman" w:hAnsi="Times New Roman" w:cs="Times New Roman"/>
          <w:sz w:val="28"/>
          <w:szCs w:val="28"/>
        </w:rPr>
        <w:t xml:space="preserve">Всероссийская Ассамблея инициатив юношества </w:t>
      </w:r>
      <w:r w:rsidR="0093328D">
        <w:rPr>
          <w:rFonts w:ascii="Times New Roman" w:hAnsi="Times New Roman" w:cs="Times New Roman"/>
          <w:sz w:val="28"/>
          <w:szCs w:val="28"/>
        </w:rPr>
        <w:br/>
        <w:t xml:space="preserve">(организатор </w:t>
      </w:r>
      <w:r w:rsidR="0093328D" w:rsidRPr="0038740B">
        <w:rPr>
          <w:rFonts w:ascii="Times New Roman" w:hAnsi="Times New Roman" w:cs="Times New Roman"/>
          <w:sz w:val="28"/>
          <w:szCs w:val="28"/>
        </w:rPr>
        <w:t>–</w:t>
      </w:r>
      <w:r w:rsidR="0093328D">
        <w:rPr>
          <w:rFonts w:ascii="Times New Roman" w:hAnsi="Times New Roman" w:cs="Times New Roman"/>
          <w:sz w:val="28"/>
          <w:szCs w:val="28"/>
        </w:rPr>
        <w:t xml:space="preserve"> федеральное государственное бюджетное профессиональное образовательное учреждение </w:t>
      </w:r>
      <w:r w:rsidR="0093328D" w:rsidRPr="0093328D">
        <w:rPr>
          <w:rFonts w:ascii="Times New Roman" w:hAnsi="Times New Roman" w:cs="Times New Roman"/>
          <w:sz w:val="28"/>
          <w:szCs w:val="28"/>
        </w:rPr>
        <w:t>«</w:t>
      </w:r>
      <w:proofErr w:type="spellStart"/>
      <w:r w:rsidR="0093328D" w:rsidRPr="0093328D">
        <w:rPr>
          <w:rFonts w:ascii="Times New Roman" w:hAnsi="Times New Roman" w:cs="Times New Roman"/>
          <w:sz w:val="28"/>
          <w:szCs w:val="28"/>
        </w:rPr>
        <w:t>Ишимбайское</w:t>
      </w:r>
      <w:proofErr w:type="spellEnd"/>
      <w:r w:rsidR="0093328D" w:rsidRPr="0093328D">
        <w:rPr>
          <w:rFonts w:ascii="Times New Roman" w:hAnsi="Times New Roman" w:cs="Times New Roman"/>
          <w:sz w:val="28"/>
          <w:szCs w:val="28"/>
        </w:rPr>
        <w:t xml:space="preserve"> специальное учебно-воспитательное учреждение закрытого типа», Республика Башкортостан</w:t>
      </w:r>
      <w:r w:rsidR="0093328D">
        <w:rPr>
          <w:sz w:val="28"/>
          <w:szCs w:val="28"/>
        </w:rPr>
        <w:t>)</w:t>
      </w:r>
      <w:r w:rsidRPr="0038740B">
        <w:rPr>
          <w:rFonts w:ascii="Times New Roman" w:hAnsi="Times New Roman" w:cs="Times New Roman"/>
          <w:sz w:val="28"/>
          <w:szCs w:val="28"/>
        </w:rPr>
        <w:t>.</w:t>
      </w:r>
    </w:p>
    <w:p w14:paraId="1833466E" w14:textId="77777777" w:rsidR="0093328D" w:rsidRPr="0093328D" w:rsidRDefault="0093328D" w:rsidP="0093328D">
      <w:pPr>
        <w:widowControl w:val="0"/>
        <w:pBdr>
          <w:bottom w:val="single" w:sz="6" w:space="30" w:color="FFFFFF"/>
        </w:pBdr>
        <w:shd w:val="clear" w:color="auto" w:fill="FFFFFF"/>
        <w:spacing w:after="0" w:line="312" w:lineRule="auto"/>
        <w:ind w:firstLine="709"/>
        <w:jc w:val="both"/>
        <w:rPr>
          <w:rFonts w:ascii="Times New Roman" w:hAnsi="Times New Roman" w:cs="Times New Roman"/>
          <w:sz w:val="28"/>
          <w:szCs w:val="28"/>
        </w:rPr>
      </w:pPr>
      <w:r w:rsidRPr="0093328D">
        <w:rPr>
          <w:rFonts w:ascii="Times New Roman" w:hAnsi="Times New Roman" w:cs="Times New Roman"/>
          <w:sz w:val="28"/>
          <w:szCs w:val="28"/>
        </w:rPr>
        <w:t>Тесное взаимодействие в воспитательной, профилактической работе выстраивается с органами и учреждениями системы профилактики и безнадзорности несовершеннолетних. Органами внутренних дел ра</w:t>
      </w:r>
      <w:r w:rsidR="00244016">
        <w:rPr>
          <w:rFonts w:ascii="Times New Roman" w:hAnsi="Times New Roman" w:cs="Times New Roman"/>
          <w:sz w:val="28"/>
          <w:szCs w:val="28"/>
        </w:rPr>
        <w:t xml:space="preserve">зрабатываются совместные планы </w:t>
      </w:r>
      <w:r w:rsidRPr="0093328D">
        <w:rPr>
          <w:rFonts w:ascii="Times New Roman" w:hAnsi="Times New Roman" w:cs="Times New Roman"/>
          <w:sz w:val="28"/>
          <w:szCs w:val="28"/>
        </w:rPr>
        <w:t>на учебный год территориального органа МВД России и администрации специального учебно-воспитательного учреждения по профилактике правонарушений и предупреждению чрезвычайных происшествий, групповых нарушений общественного порядка.</w:t>
      </w:r>
    </w:p>
    <w:p w14:paraId="0221B618" w14:textId="77777777" w:rsidR="0093328D" w:rsidRPr="0093328D" w:rsidRDefault="0093328D" w:rsidP="00BC6793">
      <w:pPr>
        <w:widowControl w:val="0"/>
        <w:pBdr>
          <w:bottom w:val="single" w:sz="6" w:space="30" w:color="FFFFFF"/>
        </w:pBdr>
        <w:shd w:val="clear" w:color="auto" w:fill="FFFFFF"/>
        <w:spacing w:after="0" w:line="312" w:lineRule="auto"/>
        <w:ind w:firstLine="709"/>
        <w:jc w:val="both"/>
        <w:rPr>
          <w:rFonts w:ascii="Times New Roman" w:hAnsi="Times New Roman" w:cs="Times New Roman"/>
          <w:sz w:val="28"/>
          <w:szCs w:val="28"/>
        </w:rPr>
      </w:pPr>
      <w:r w:rsidRPr="0093328D">
        <w:rPr>
          <w:rFonts w:ascii="Times New Roman" w:hAnsi="Times New Roman" w:cs="Times New Roman"/>
          <w:sz w:val="28"/>
          <w:szCs w:val="28"/>
        </w:rPr>
        <w:t>Особое внимание сотрудниками полиции уделяется правовой, информационно-просветительской работе.</w:t>
      </w:r>
      <w:r w:rsidR="00A9053B" w:rsidRPr="00BD5345">
        <w:rPr>
          <w:rFonts w:ascii="Times New Roman" w:eastAsia="Times New Roman" w:hAnsi="Times New Roman" w:cs="Times New Roman"/>
          <w:sz w:val="28"/>
          <w:szCs w:val="28"/>
        </w:rPr>
        <w:t> </w:t>
      </w:r>
      <w:r w:rsidRPr="0093328D">
        <w:rPr>
          <w:rFonts w:ascii="Times New Roman" w:hAnsi="Times New Roman" w:cs="Times New Roman"/>
          <w:sz w:val="28"/>
          <w:szCs w:val="28"/>
        </w:rPr>
        <w:t>Так, в федеральном государственном бюджетном профессиональном образовательном учреждении «</w:t>
      </w:r>
      <w:proofErr w:type="spellStart"/>
      <w:r w:rsidRPr="0093328D">
        <w:rPr>
          <w:rFonts w:ascii="Times New Roman" w:hAnsi="Times New Roman" w:cs="Times New Roman"/>
          <w:sz w:val="28"/>
          <w:szCs w:val="28"/>
        </w:rPr>
        <w:t>Неманское</w:t>
      </w:r>
      <w:proofErr w:type="spellEnd"/>
      <w:r w:rsidRPr="0093328D">
        <w:rPr>
          <w:rFonts w:ascii="Times New Roman" w:hAnsi="Times New Roman" w:cs="Times New Roman"/>
          <w:sz w:val="28"/>
          <w:szCs w:val="28"/>
        </w:rPr>
        <w:t xml:space="preserve"> специальное учебно-воспитательное учреждение закрытого типа» Калининградск</w:t>
      </w:r>
      <w:r w:rsidR="00BC6793">
        <w:rPr>
          <w:rFonts w:ascii="Times New Roman" w:hAnsi="Times New Roman" w:cs="Times New Roman"/>
          <w:sz w:val="28"/>
          <w:szCs w:val="28"/>
        </w:rPr>
        <w:t>ой</w:t>
      </w:r>
      <w:r w:rsidRPr="0093328D">
        <w:rPr>
          <w:rFonts w:ascii="Times New Roman" w:hAnsi="Times New Roman" w:cs="Times New Roman"/>
          <w:sz w:val="28"/>
          <w:szCs w:val="28"/>
        </w:rPr>
        <w:t xml:space="preserve"> област</w:t>
      </w:r>
      <w:r w:rsidR="00BC6793">
        <w:rPr>
          <w:rFonts w:ascii="Times New Roman" w:hAnsi="Times New Roman" w:cs="Times New Roman"/>
          <w:sz w:val="28"/>
          <w:szCs w:val="28"/>
        </w:rPr>
        <w:t>и</w:t>
      </w:r>
      <w:r w:rsidRPr="0093328D">
        <w:rPr>
          <w:rFonts w:ascii="Times New Roman" w:hAnsi="Times New Roman" w:cs="Times New Roman"/>
          <w:sz w:val="28"/>
          <w:szCs w:val="28"/>
        </w:rPr>
        <w:t xml:space="preserve"> стало ежегодной традицией проведение </w:t>
      </w:r>
      <w:r w:rsidR="00A61287" w:rsidRPr="0093328D">
        <w:rPr>
          <w:rFonts w:ascii="Times New Roman" w:hAnsi="Times New Roman" w:cs="Times New Roman"/>
          <w:sz w:val="28"/>
          <w:szCs w:val="28"/>
        </w:rPr>
        <w:t>совместных мероприятий,</w:t>
      </w:r>
      <w:r w:rsidRPr="0093328D">
        <w:rPr>
          <w:rFonts w:ascii="Times New Roman" w:hAnsi="Times New Roman" w:cs="Times New Roman"/>
          <w:sz w:val="28"/>
          <w:szCs w:val="28"/>
        </w:rPr>
        <w:t xml:space="preserve"> посвященных Всероссийскому Дню правовой помощи детям, в рамках которых орг</w:t>
      </w:r>
      <w:r w:rsidR="00F02F1D">
        <w:rPr>
          <w:rFonts w:ascii="Times New Roman" w:hAnsi="Times New Roman" w:cs="Times New Roman"/>
          <w:sz w:val="28"/>
          <w:szCs w:val="28"/>
        </w:rPr>
        <w:t xml:space="preserve">анизуются тематические встречи </w:t>
      </w:r>
      <w:r w:rsidRPr="0093328D">
        <w:rPr>
          <w:rFonts w:ascii="Times New Roman" w:hAnsi="Times New Roman" w:cs="Times New Roman"/>
          <w:sz w:val="28"/>
          <w:szCs w:val="28"/>
        </w:rPr>
        <w:t>с сотрудниками служб участковых уполном</w:t>
      </w:r>
      <w:r w:rsidR="00F02F1D">
        <w:rPr>
          <w:rFonts w:ascii="Times New Roman" w:hAnsi="Times New Roman" w:cs="Times New Roman"/>
          <w:sz w:val="28"/>
          <w:szCs w:val="28"/>
        </w:rPr>
        <w:t xml:space="preserve">оченных полиции, подразделений </w:t>
      </w:r>
      <w:r w:rsidRPr="0093328D">
        <w:rPr>
          <w:rFonts w:ascii="Times New Roman" w:hAnsi="Times New Roman" w:cs="Times New Roman"/>
          <w:sz w:val="28"/>
          <w:szCs w:val="28"/>
        </w:rPr>
        <w:t>по делам несовершеннолетних.</w:t>
      </w:r>
      <w:r w:rsidR="00A9053B" w:rsidRPr="00BD5345">
        <w:rPr>
          <w:rFonts w:ascii="Times New Roman" w:eastAsia="Times New Roman" w:hAnsi="Times New Roman" w:cs="Times New Roman"/>
          <w:sz w:val="28"/>
          <w:szCs w:val="28"/>
        </w:rPr>
        <w:t> </w:t>
      </w:r>
      <w:r w:rsidRPr="0093328D">
        <w:rPr>
          <w:rFonts w:ascii="Times New Roman" w:hAnsi="Times New Roman" w:cs="Times New Roman"/>
          <w:sz w:val="28"/>
          <w:szCs w:val="28"/>
        </w:rPr>
        <w:t>В День солидарности в борьбе с терроризмом для воспитанников специальных учебно-воспитательных учреждений закрытого типа сотрудниками полиции проведен «Урок памяти», основной целью которого является формирование представления о понятии «терроризм» и его негативных последствиях.</w:t>
      </w:r>
    </w:p>
    <w:p w14:paraId="625358CF" w14:textId="77777777" w:rsidR="0093328D" w:rsidRPr="0093328D" w:rsidRDefault="0093328D" w:rsidP="0093328D">
      <w:pPr>
        <w:widowControl w:val="0"/>
        <w:pBdr>
          <w:bottom w:val="single" w:sz="6" w:space="30" w:color="FFFFFF"/>
        </w:pBdr>
        <w:shd w:val="clear" w:color="auto" w:fill="FFFFFF"/>
        <w:spacing w:after="0" w:line="312" w:lineRule="auto"/>
        <w:ind w:firstLine="709"/>
        <w:jc w:val="both"/>
        <w:rPr>
          <w:rFonts w:ascii="Times New Roman" w:hAnsi="Times New Roman" w:cs="Times New Roman"/>
          <w:sz w:val="28"/>
          <w:szCs w:val="28"/>
        </w:rPr>
      </w:pPr>
      <w:r w:rsidRPr="0093328D">
        <w:rPr>
          <w:rFonts w:ascii="Times New Roman" w:hAnsi="Times New Roman" w:cs="Times New Roman"/>
          <w:sz w:val="28"/>
          <w:szCs w:val="28"/>
        </w:rPr>
        <w:t xml:space="preserve">В день правового информирования в </w:t>
      </w:r>
      <w:r w:rsidR="00251831">
        <w:rPr>
          <w:rFonts w:ascii="Times New Roman" w:hAnsi="Times New Roman" w:cs="Times New Roman"/>
          <w:sz w:val="28"/>
          <w:szCs w:val="28"/>
        </w:rPr>
        <w:t>г</w:t>
      </w:r>
      <w:r w:rsidRPr="0093328D">
        <w:rPr>
          <w:rFonts w:ascii="Times New Roman" w:hAnsi="Times New Roman" w:cs="Times New Roman"/>
          <w:sz w:val="28"/>
          <w:szCs w:val="28"/>
        </w:rPr>
        <w:t xml:space="preserve">осударственном казенном </w:t>
      </w:r>
      <w:r w:rsidR="00251831">
        <w:rPr>
          <w:rFonts w:ascii="Times New Roman" w:hAnsi="Times New Roman" w:cs="Times New Roman"/>
          <w:sz w:val="28"/>
          <w:szCs w:val="28"/>
        </w:rPr>
        <w:t xml:space="preserve">специальном </w:t>
      </w:r>
      <w:r w:rsidRPr="0093328D">
        <w:rPr>
          <w:rFonts w:ascii="Times New Roman" w:hAnsi="Times New Roman" w:cs="Times New Roman"/>
          <w:sz w:val="28"/>
          <w:szCs w:val="28"/>
        </w:rPr>
        <w:t>учебно-воспитательном общеобразовательном учреждении «Челябинская областная специальная общеобразовательная школа закрытого типа» организована игра «Поймай мошенника!», разработанная сотрудниками ГУ МВД России по Челябинской области.</w:t>
      </w:r>
    </w:p>
    <w:p w14:paraId="3282EFD8" w14:textId="77777777" w:rsidR="0093328D" w:rsidRPr="0093328D" w:rsidRDefault="0093328D" w:rsidP="00006DF3">
      <w:pPr>
        <w:widowControl w:val="0"/>
        <w:pBdr>
          <w:bottom w:val="single" w:sz="6" w:space="30" w:color="FFFFFF"/>
        </w:pBdr>
        <w:shd w:val="clear" w:color="auto" w:fill="FFFFFF"/>
        <w:spacing w:after="0" w:line="312" w:lineRule="auto"/>
        <w:ind w:firstLine="709"/>
        <w:jc w:val="both"/>
        <w:rPr>
          <w:rFonts w:ascii="Times New Roman" w:hAnsi="Times New Roman" w:cs="Times New Roman"/>
          <w:sz w:val="28"/>
          <w:szCs w:val="28"/>
        </w:rPr>
      </w:pPr>
      <w:r w:rsidRPr="0093328D">
        <w:rPr>
          <w:rFonts w:ascii="Times New Roman" w:hAnsi="Times New Roman" w:cs="Times New Roman"/>
          <w:sz w:val="28"/>
          <w:szCs w:val="28"/>
        </w:rPr>
        <w:t>В Архангельской области в государственном бюджетном профессиональном образовательном учреждении «</w:t>
      </w:r>
      <w:proofErr w:type="spellStart"/>
      <w:r w:rsidRPr="0093328D">
        <w:rPr>
          <w:rFonts w:ascii="Times New Roman" w:hAnsi="Times New Roman" w:cs="Times New Roman"/>
          <w:sz w:val="28"/>
          <w:szCs w:val="28"/>
        </w:rPr>
        <w:t>Североонежское</w:t>
      </w:r>
      <w:proofErr w:type="spellEnd"/>
      <w:r w:rsidRPr="0093328D">
        <w:rPr>
          <w:rFonts w:ascii="Times New Roman" w:hAnsi="Times New Roman" w:cs="Times New Roman"/>
          <w:sz w:val="28"/>
          <w:szCs w:val="28"/>
        </w:rPr>
        <w:t xml:space="preserve"> специальное учебно-воспитательное учреждение» и государственном бюджетном общеобразовательном учреждении «</w:t>
      </w:r>
      <w:proofErr w:type="spellStart"/>
      <w:r w:rsidRPr="0093328D">
        <w:rPr>
          <w:rFonts w:ascii="Times New Roman" w:hAnsi="Times New Roman" w:cs="Times New Roman"/>
          <w:sz w:val="28"/>
          <w:szCs w:val="28"/>
        </w:rPr>
        <w:t>Няндомское</w:t>
      </w:r>
      <w:proofErr w:type="spellEnd"/>
      <w:r w:rsidRPr="0093328D">
        <w:rPr>
          <w:rFonts w:ascii="Times New Roman" w:hAnsi="Times New Roman" w:cs="Times New Roman"/>
          <w:sz w:val="28"/>
          <w:szCs w:val="28"/>
        </w:rPr>
        <w:t xml:space="preserve"> специальное учебно-воспитательное учреждение» в 2021 г</w:t>
      </w:r>
      <w:r w:rsidR="00754B07">
        <w:rPr>
          <w:rFonts w:ascii="Times New Roman" w:hAnsi="Times New Roman" w:cs="Times New Roman"/>
          <w:sz w:val="28"/>
          <w:szCs w:val="28"/>
        </w:rPr>
        <w:t>.</w:t>
      </w:r>
      <w:r w:rsidRPr="0093328D">
        <w:rPr>
          <w:rFonts w:ascii="Times New Roman" w:hAnsi="Times New Roman" w:cs="Times New Roman"/>
          <w:sz w:val="28"/>
          <w:szCs w:val="28"/>
        </w:rPr>
        <w:t xml:space="preserve"> реализован комплекс профилактических бесед, классных часов на темы</w:t>
      </w:r>
      <w:r w:rsidR="00006DF3">
        <w:rPr>
          <w:rFonts w:ascii="Times New Roman" w:hAnsi="Times New Roman" w:cs="Times New Roman"/>
          <w:sz w:val="28"/>
          <w:szCs w:val="28"/>
        </w:rPr>
        <w:t>:</w:t>
      </w:r>
      <w:r w:rsidRPr="0093328D">
        <w:rPr>
          <w:rFonts w:ascii="Times New Roman" w:hAnsi="Times New Roman" w:cs="Times New Roman"/>
          <w:sz w:val="28"/>
          <w:szCs w:val="28"/>
        </w:rPr>
        <w:t xml:space="preserve"> «Наркотические вещества. Нарком</w:t>
      </w:r>
      <w:r w:rsidR="00006DF3">
        <w:rPr>
          <w:rFonts w:ascii="Times New Roman" w:hAnsi="Times New Roman" w:cs="Times New Roman"/>
          <w:sz w:val="28"/>
          <w:szCs w:val="28"/>
        </w:rPr>
        <w:t xml:space="preserve">ания, социальные последствия», </w:t>
      </w:r>
      <w:r w:rsidRPr="0093328D">
        <w:rPr>
          <w:rFonts w:ascii="Times New Roman" w:hAnsi="Times New Roman" w:cs="Times New Roman"/>
          <w:sz w:val="28"/>
          <w:szCs w:val="28"/>
        </w:rPr>
        <w:t>«Как увлекательно провести время без гаджетов и интернета»</w:t>
      </w:r>
      <w:r w:rsidR="00006DF3">
        <w:rPr>
          <w:rFonts w:ascii="Times New Roman" w:hAnsi="Times New Roman" w:cs="Times New Roman"/>
          <w:sz w:val="28"/>
          <w:szCs w:val="28"/>
        </w:rPr>
        <w:t xml:space="preserve">, «Безопасность </w:t>
      </w:r>
      <w:r w:rsidRPr="0093328D">
        <w:rPr>
          <w:rFonts w:ascii="Times New Roman" w:hAnsi="Times New Roman" w:cs="Times New Roman"/>
          <w:sz w:val="28"/>
          <w:szCs w:val="28"/>
        </w:rPr>
        <w:t>в сети Интернет», «Экстремизм – антисоциальное явление, культура поведения в общественных местах».</w:t>
      </w:r>
    </w:p>
    <w:p w14:paraId="524527D5" w14:textId="77777777" w:rsidR="0093328D" w:rsidRPr="0093328D" w:rsidRDefault="0093328D" w:rsidP="0093328D">
      <w:pPr>
        <w:widowControl w:val="0"/>
        <w:pBdr>
          <w:bottom w:val="single" w:sz="6" w:space="30" w:color="FFFFFF"/>
        </w:pBdr>
        <w:shd w:val="clear" w:color="auto" w:fill="FFFFFF"/>
        <w:spacing w:after="0" w:line="312" w:lineRule="auto"/>
        <w:ind w:firstLine="709"/>
        <w:jc w:val="both"/>
        <w:rPr>
          <w:rFonts w:ascii="Times New Roman" w:hAnsi="Times New Roman" w:cs="Times New Roman"/>
          <w:sz w:val="28"/>
          <w:szCs w:val="28"/>
        </w:rPr>
      </w:pPr>
      <w:r w:rsidRPr="0093328D">
        <w:rPr>
          <w:rFonts w:ascii="Times New Roman" w:hAnsi="Times New Roman" w:cs="Times New Roman"/>
          <w:sz w:val="28"/>
          <w:szCs w:val="28"/>
        </w:rPr>
        <w:t>Широко использовались IT-технологии для привлечения несовершеннолетних воспитанников специальных учебно-воспитательных учреждений к проектам профилактической направленности. В период проведения оперативно-профилактического мероприятия «Твой выбор» в ноябре 2021 г</w:t>
      </w:r>
      <w:r w:rsidR="004514EF">
        <w:rPr>
          <w:rFonts w:ascii="Times New Roman" w:hAnsi="Times New Roman" w:cs="Times New Roman"/>
          <w:sz w:val="28"/>
          <w:szCs w:val="28"/>
        </w:rPr>
        <w:t>.</w:t>
      </w:r>
      <w:r w:rsidRPr="0093328D">
        <w:rPr>
          <w:rFonts w:ascii="Times New Roman" w:hAnsi="Times New Roman" w:cs="Times New Roman"/>
          <w:sz w:val="28"/>
          <w:szCs w:val="28"/>
        </w:rPr>
        <w:t xml:space="preserve"> подростки, обучающиеся в федеральном государственном бюджетном профессиональном образовательном учреждении «Майкопское специальное учебно-воспитательное учреждение закрытого типа» Республик</w:t>
      </w:r>
      <w:r w:rsidR="00581EC4">
        <w:rPr>
          <w:rFonts w:ascii="Times New Roman" w:hAnsi="Times New Roman" w:cs="Times New Roman"/>
          <w:sz w:val="28"/>
          <w:szCs w:val="28"/>
        </w:rPr>
        <w:t xml:space="preserve">и Адыгея приняли участие </w:t>
      </w:r>
      <w:r w:rsidRPr="0093328D">
        <w:rPr>
          <w:rFonts w:ascii="Times New Roman" w:hAnsi="Times New Roman" w:cs="Times New Roman"/>
          <w:sz w:val="28"/>
          <w:szCs w:val="28"/>
        </w:rPr>
        <w:t xml:space="preserve">в информационной акции в сети «Интернет» в формате </w:t>
      </w:r>
      <w:proofErr w:type="spellStart"/>
      <w:r w:rsidRPr="0093328D">
        <w:rPr>
          <w:rFonts w:ascii="Times New Roman" w:hAnsi="Times New Roman" w:cs="Times New Roman"/>
          <w:sz w:val="28"/>
          <w:szCs w:val="28"/>
        </w:rPr>
        <w:t>флешмоба</w:t>
      </w:r>
      <w:proofErr w:type="spellEnd"/>
      <w:r w:rsidRPr="0093328D">
        <w:rPr>
          <w:rFonts w:ascii="Times New Roman" w:hAnsi="Times New Roman" w:cs="Times New Roman"/>
          <w:sz w:val="28"/>
          <w:szCs w:val="28"/>
        </w:rPr>
        <w:t xml:space="preserve"> с </w:t>
      </w:r>
      <w:proofErr w:type="spellStart"/>
      <w:r w:rsidRPr="0093328D">
        <w:rPr>
          <w:rFonts w:ascii="Times New Roman" w:hAnsi="Times New Roman" w:cs="Times New Roman"/>
          <w:sz w:val="28"/>
          <w:szCs w:val="28"/>
        </w:rPr>
        <w:t>хештегами</w:t>
      </w:r>
      <w:proofErr w:type="spellEnd"/>
      <w:r w:rsidRPr="0093328D">
        <w:rPr>
          <w:rFonts w:ascii="Times New Roman" w:hAnsi="Times New Roman" w:cs="Times New Roman"/>
          <w:sz w:val="28"/>
          <w:szCs w:val="28"/>
        </w:rPr>
        <w:t xml:space="preserve"> #</w:t>
      </w:r>
      <w:proofErr w:type="spellStart"/>
      <w:r w:rsidRPr="0093328D">
        <w:rPr>
          <w:rFonts w:ascii="Times New Roman" w:hAnsi="Times New Roman" w:cs="Times New Roman"/>
          <w:sz w:val="28"/>
          <w:szCs w:val="28"/>
        </w:rPr>
        <w:t>Твойвыбор</w:t>
      </w:r>
      <w:proofErr w:type="spellEnd"/>
      <w:r w:rsidRPr="0093328D">
        <w:rPr>
          <w:rFonts w:ascii="Times New Roman" w:hAnsi="Times New Roman" w:cs="Times New Roman"/>
          <w:sz w:val="28"/>
          <w:szCs w:val="28"/>
        </w:rPr>
        <w:t>, #</w:t>
      </w:r>
      <w:proofErr w:type="spellStart"/>
      <w:r w:rsidRPr="0093328D">
        <w:rPr>
          <w:rFonts w:ascii="Times New Roman" w:hAnsi="Times New Roman" w:cs="Times New Roman"/>
          <w:sz w:val="28"/>
          <w:szCs w:val="28"/>
        </w:rPr>
        <w:t>Мойвыбор</w:t>
      </w:r>
      <w:proofErr w:type="spellEnd"/>
      <w:r w:rsidRPr="0093328D">
        <w:rPr>
          <w:rFonts w:ascii="Times New Roman" w:hAnsi="Times New Roman" w:cs="Times New Roman"/>
          <w:sz w:val="28"/>
          <w:szCs w:val="28"/>
        </w:rPr>
        <w:t>, #</w:t>
      </w:r>
      <w:proofErr w:type="spellStart"/>
      <w:r w:rsidRPr="0093328D">
        <w:rPr>
          <w:rFonts w:ascii="Times New Roman" w:hAnsi="Times New Roman" w:cs="Times New Roman"/>
          <w:sz w:val="28"/>
          <w:szCs w:val="28"/>
        </w:rPr>
        <w:t>Выбормолодежи</w:t>
      </w:r>
      <w:proofErr w:type="spellEnd"/>
      <w:r w:rsidRPr="0093328D">
        <w:rPr>
          <w:rFonts w:ascii="Times New Roman" w:hAnsi="Times New Roman" w:cs="Times New Roman"/>
          <w:sz w:val="28"/>
          <w:szCs w:val="28"/>
        </w:rPr>
        <w:t>. В ходе операции среди воспитанников проведен конкурс рисунков «Скажем НЕТ насилию», по итогам которого лучшие работы размещены в социальных сетях.</w:t>
      </w:r>
    </w:p>
    <w:p w14:paraId="4215EE58" w14:textId="77777777" w:rsidR="0093328D" w:rsidRPr="0093328D" w:rsidRDefault="0093328D" w:rsidP="0093328D">
      <w:pPr>
        <w:widowControl w:val="0"/>
        <w:pBdr>
          <w:bottom w:val="single" w:sz="6" w:space="30" w:color="FFFFFF"/>
        </w:pBdr>
        <w:shd w:val="clear" w:color="auto" w:fill="FFFFFF"/>
        <w:spacing w:after="0" w:line="312" w:lineRule="auto"/>
        <w:ind w:firstLine="709"/>
        <w:jc w:val="both"/>
        <w:rPr>
          <w:rFonts w:ascii="Times New Roman" w:hAnsi="Times New Roman" w:cs="Times New Roman"/>
          <w:sz w:val="28"/>
          <w:szCs w:val="28"/>
        </w:rPr>
      </w:pPr>
      <w:r w:rsidRPr="0093328D">
        <w:rPr>
          <w:rFonts w:ascii="Times New Roman" w:hAnsi="Times New Roman" w:cs="Times New Roman"/>
          <w:sz w:val="28"/>
          <w:szCs w:val="28"/>
        </w:rPr>
        <w:t>Адресный подход, внимание к интересам обучающихся, комплексное сопровождение, воспитание успехом, вовлечение в учебную, внеурочную, проектную деятельность, работа с семьей, социальным окружением – все это позволяет не только выровнять ситуацию, но и</w:t>
      </w:r>
      <w:r w:rsidR="008343BE">
        <w:rPr>
          <w:rFonts w:ascii="Times New Roman" w:hAnsi="Times New Roman" w:cs="Times New Roman"/>
          <w:sz w:val="28"/>
          <w:szCs w:val="28"/>
        </w:rPr>
        <w:t xml:space="preserve"> добиться значимых результатов </w:t>
      </w:r>
      <w:r w:rsidRPr="0093328D">
        <w:rPr>
          <w:rFonts w:ascii="Times New Roman" w:hAnsi="Times New Roman" w:cs="Times New Roman"/>
          <w:sz w:val="28"/>
          <w:szCs w:val="28"/>
        </w:rPr>
        <w:t>в ресоциализации выпускников.</w:t>
      </w:r>
    </w:p>
    <w:p w14:paraId="5E65893F" w14:textId="77777777" w:rsidR="0093328D" w:rsidRPr="0093328D" w:rsidRDefault="0093328D" w:rsidP="0093328D">
      <w:pPr>
        <w:widowControl w:val="0"/>
        <w:pBdr>
          <w:bottom w:val="single" w:sz="6" w:space="30" w:color="FFFFFF"/>
        </w:pBdr>
        <w:shd w:val="clear" w:color="auto" w:fill="FFFFFF"/>
        <w:spacing w:after="0" w:line="312" w:lineRule="auto"/>
        <w:ind w:firstLine="709"/>
        <w:jc w:val="both"/>
        <w:rPr>
          <w:rFonts w:ascii="Times New Roman" w:hAnsi="Times New Roman" w:cs="Times New Roman"/>
          <w:sz w:val="28"/>
          <w:szCs w:val="28"/>
        </w:rPr>
      </w:pPr>
      <w:r w:rsidRPr="0093328D">
        <w:rPr>
          <w:rFonts w:ascii="Times New Roman" w:hAnsi="Times New Roman" w:cs="Times New Roman"/>
          <w:sz w:val="28"/>
          <w:szCs w:val="28"/>
        </w:rPr>
        <w:t>По данным за 2021 г</w:t>
      </w:r>
      <w:r w:rsidR="004514EF">
        <w:rPr>
          <w:rFonts w:ascii="Times New Roman" w:hAnsi="Times New Roman" w:cs="Times New Roman"/>
          <w:sz w:val="28"/>
          <w:szCs w:val="28"/>
        </w:rPr>
        <w:t>.</w:t>
      </w:r>
      <w:r w:rsidRPr="0093328D">
        <w:rPr>
          <w:rFonts w:ascii="Times New Roman" w:hAnsi="Times New Roman" w:cs="Times New Roman"/>
          <w:sz w:val="28"/>
          <w:szCs w:val="28"/>
        </w:rPr>
        <w:t xml:space="preserve"> боль</w:t>
      </w:r>
      <w:r w:rsidR="00003695">
        <w:rPr>
          <w:rFonts w:ascii="Times New Roman" w:hAnsi="Times New Roman" w:cs="Times New Roman"/>
          <w:sz w:val="28"/>
          <w:szCs w:val="28"/>
        </w:rPr>
        <w:t xml:space="preserve">шинство выпускников специальных </w:t>
      </w:r>
      <w:r w:rsidRPr="0093328D">
        <w:rPr>
          <w:rFonts w:ascii="Times New Roman" w:hAnsi="Times New Roman" w:cs="Times New Roman"/>
          <w:sz w:val="28"/>
          <w:szCs w:val="28"/>
        </w:rPr>
        <w:t>учебно-воспитательных учреждениях закрытого типа (47,44%) продолжают свое обучение в образовательных организациях, в том числе в общеобразовательных организациях</w:t>
      </w:r>
      <w:r w:rsidR="00A9053B" w:rsidRPr="00BD5345">
        <w:rPr>
          <w:rFonts w:ascii="Times New Roman" w:eastAsia="Times New Roman" w:hAnsi="Times New Roman" w:cs="Times New Roman"/>
          <w:sz w:val="28"/>
          <w:szCs w:val="28"/>
        </w:rPr>
        <w:t> </w:t>
      </w:r>
      <w:r w:rsidRPr="0093328D">
        <w:rPr>
          <w:rFonts w:ascii="Times New Roman" w:hAnsi="Times New Roman" w:cs="Times New Roman"/>
          <w:sz w:val="28"/>
          <w:szCs w:val="28"/>
        </w:rPr>
        <w:t>–25,11%, в профессиональных образовательных организациях</w:t>
      </w:r>
      <w:r w:rsidR="0052515D" w:rsidRPr="00BD5345">
        <w:rPr>
          <w:rFonts w:ascii="Times New Roman" w:eastAsia="Times New Roman" w:hAnsi="Times New Roman" w:cs="Times New Roman"/>
          <w:sz w:val="28"/>
          <w:szCs w:val="28"/>
        </w:rPr>
        <w:t> </w:t>
      </w:r>
      <w:r w:rsidRPr="0093328D">
        <w:rPr>
          <w:rFonts w:ascii="Times New Roman" w:hAnsi="Times New Roman" w:cs="Times New Roman"/>
          <w:sz w:val="28"/>
          <w:szCs w:val="28"/>
        </w:rPr>
        <w:t>–</w:t>
      </w:r>
      <w:r w:rsidR="0052515D" w:rsidRPr="00BD5345">
        <w:rPr>
          <w:rFonts w:ascii="Times New Roman" w:eastAsia="Times New Roman" w:hAnsi="Times New Roman" w:cs="Times New Roman"/>
          <w:sz w:val="28"/>
          <w:szCs w:val="28"/>
        </w:rPr>
        <w:t> </w:t>
      </w:r>
      <w:r w:rsidRPr="0093328D">
        <w:rPr>
          <w:rFonts w:ascii="Times New Roman" w:hAnsi="Times New Roman" w:cs="Times New Roman"/>
          <w:sz w:val="28"/>
          <w:szCs w:val="28"/>
        </w:rPr>
        <w:t>22,33%, в иных образовательных организациях</w:t>
      </w:r>
      <w:r w:rsidR="00A9053B" w:rsidRPr="00BD5345">
        <w:rPr>
          <w:rFonts w:ascii="Times New Roman" w:eastAsia="Times New Roman" w:hAnsi="Times New Roman" w:cs="Times New Roman"/>
          <w:sz w:val="28"/>
          <w:szCs w:val="28"/>
        </w:rPr>
        <w:t> </w:t>
      </w:r>
      <w:r w:rsidRPr="0093328D">
        <w:rPr>
          <w:rFonts w:ascii="Times New Roman" w:hAnsi="Times New Roman" w:cs="Times New Roman"/>
          <w:sz w:val="28"/>
          <w:szCs w:val="28"/>
        </w:rPr>
        <w:t>–</w:t>
      </w:r>
      <w:r w:rsidR="00A9053B" w:rsidRPr="00BD5345">
        <w:rPr>
          <w:rFonts w:ascii="Times New Roman" w:eastAsia="Times New Roman" w:hAnsi="Times New Roman" w:cs="Times New Roman"/>
          <w:sz w:val="28"/>
          <w:szCs w:val="28"/>
        </w:rPr>
        <w:t> </w:t>
      </w:r>
      <w:r w:rsidRPr="0093328D">
        <w:rPr>
          <w:rFonts w:ascii="Times New Roman" w:hAnsi="Times New Roman" w:cs="Times New Roman"/>
          <w:sz w:val="28"/>
          <w:szCs w:val="28"/>
        </w:rPr>
        <w:t>1,22%, работают –</w:t>
      </w:r>
      <w:r w:rsidR="00A9053B" w:rsidRPr="00BD5345">
        <w:rPr>
          <w:rFonts w:ascii="Times New Roman" w:eastAsia="Times New Roman" w:hAnsi="Times New Roman" w:cs="Times New Roman"/>
          <w:sz w:val="28"/>
          <w:szCs w:val="28"/>
        </w:rPr>
        <w:t> </w:t>
      </w:r>
      <w:r w:rsidRPr="0093328D">
        <w:rPr>
          <w:rFonts w:ascii="Times New Roman" w:hAnsi="Times New Roman" w:cs="Times New Roman"/>
          <w:sz w:val="28"/>
          <w:szCs w:val="28"/>
        </w:rPr>
        <w:t>21,77%, служат в армии – 3,55%.</w:t>
      </w:r>
    </w:p>
    <w:p w14:paraId="784F2993" w14:textId="77777777" w:rsidR="0093328D" w:rsidRPr="0093328D" w:rsidRDefault="0093328D" w:rsidP="0093328D">
      <w:pPr>
        <w:widowControl w:val="0"/>
        <w:pBdr>
          <w:bottom w:val="single" w:sz="6" w:space="30" w:color="FFFFFF"/>
        </w:pBdr>
        <w:shd w:val="clear" w:color="auto" w:fill="FFFFFF"/>
        <w:spacing w:after="0" w:line="312" w:lineRule="auto"/>
        <w:ind w:firstLine="709"/>
        <w:jc w:val="both"/>
        <w:rPr>
          <w:rFonts w:ascii="Times New Roman" w:hAnsi="Times New Roman" w:cs="Times New Roman"/>
          <w:sz w:val="28"/>
          <w:szCs w:val="28"/>
        </w:rPr>
      </w:pPr>
      <w:r w:rsidRPr="0093328D">
        <w:rPr>
          <w:rFonts w:ascii="Times New Roman" w:hAnsi="Times New Roman" w:cs="Times New Roman"/>
          <w:sz w:val="28"/>
          <w:szCs w:val="28"/>
        </w:rPr>
        <w:t>Выпускники специальных учебно-воспитательных учреждениях открытого типа также преимущественно продолжают свое обучение в образовательных организациях (52,7%), в том числе в общеобразовательных организациях</w:t>
      </w:r>
      <w:r w:rsidR="00A9053B" w:rsidRPr="00BD5345">
        <w:rPr>
          <w:rFonts w:ascii="Times New Roman" w:eastAsia="Times New Roman" w:hAnsi="Times New Roman" w:cs="Times New Roman"/>
          <w:sz w:val="28"/>
          <w:szCs w:val="28"/>
        </w:rPr>
        <w:t> </w:t>
      </w:r>
      <w:r w:rsidRPr="0093328D">
        <w:rPr>
          <w:rFonts w:ascii="Times New Roman" w:hAnsi="Times New Roman" w:cs="Times New Roman"/>
          <w:sz w:val="28"/>
          <w:szCs w:val="28"/>
        </w:rPr>
        <w:t>–</w:t>
      </w:r>
      <w:r w:rsidR="00A9053B">
        <w:rPr>
          <w:rFonts w:ascii="Times New Roman" w:hAnsi="Times New Roman" w:cs="Times New Roman"/>
          <w:sz w:val="28"/>
          <w:szCs w:val="28"/>
        </w:rPr>
        <w:t xml:space="preserve"> 12,29%, </w:t>
      </w:r>
      <w:r w:rsidRPr="0093328D">
        <w:rPr>
          <w:rFonts w:ascii="Times New Roman" w:hAnsi="Times New Roman" w:cs="Times New Roman"/>
          <w:sz w:val="28"/>
          <w:szCs w:val="28"/>
        </w:rPr>
        <w:t>в профессиональных образовательных организациях – 39,47%, в иных образовательных организациях –</w:t>
      </w:r>
      <w:r w:rsidR="00A9053B" w:rsidRPr="00BD5345">
        <w:rPr>
          <w:rFonts w:ascii="Times New Roman" w:eastAsia="Times New Roman" w:hAnsi="Times New Roman" w:cs="Times New Roman"/>
          <w:sz w:val="28"/>
          <w:szCs w:val="28"/>
        </w:rPr>
        <w:t> </w:t>
      </w:r>
      <w:r w:rsidRPr="0093328D">
        <w:rPr>
          <w:rFonts w:ascii="Times New Roman" w:hAnsi="Times New Roman" w:cs="Times New Roman"/>
          <w:sz w:val="28"/>
          <w:szCs w:val="28"/>
        </w:rPr>
        <w:t>0,9%, работают – 25,88%, служат</w:t>
      </w:r>
      <w:r w:rsidR="00003695">
        <w:rPr>
          <w:rFonts w:ascii="Times New Roman" w:hAnsi="Times New Roman" w:cs="Times New Roman"/>
          <w:sz w:val="28"/>
          <w:szCs w:val="28"/>
        </w:rPr>
        <w:t xml:space="preserve"> в армии – </w:t>
      </w:r>
      <w:r w:rsidRPr="0093328D">
        <w:rPr>
          <w:rFonts w:ascii="Times New Roman" w:hAnsi="Times New Roman" w:cs="Times New Roman"/>
          <w:sz w:val="28"/>
          <w:szCs w:val="28"/>
        </w:rPr>
        <w:t>2,79%.</w:t>
      </w:r>
    </w:p>
    <w:p w14:paraId="0FFAD7A1" w14:textId="77777777" w:rsidR="0093328D" w:rsidRPr="0093328D" w:rsidRDefault="0093328D" w:rsidP="0093328D">
      <w:pPr>
        <w:widowControl w:val="0"/>
        <w:pBdr>
          <w:bottom w:val="single" w:sz="6" w:space="30" w:color="FFFFFF"/>
        </w:pBdr>
        <w:shd w:val="clear" w:color="auto" w:fill="FFFFFF"/>
        <w:spacing w:after="0" w:line="312" w:lineRule="auto"/>
        <w:ind w:firstLine="709"/>
        <w:jc w:val="both"/>
        <w:rPr>
          <w:rFonts w:ascii="Times New Roman" w:hAnsi="Times New Roman" w:cs="Times New Roman"/>
          <w:sz w:val="28"/>
          <w:szCs w:val="28"/>
        </w:rPr>
      </w:pPr>
      <w:r w:rsidRPr="0093328D">
        <w:rPr>
          <w:rFonts w:ascii="Times New Roman" w:hAnsi="Times New Roman" w:cs="Times New Roman"/>
          <w:sz w:val="28"/>
          <w:szCs w:val="28"/>
        </w:rPr>
        <w:t>Развитию эффективных практик педагогической работы способствует проведение Всероссийского конкурса профессионального мастерства «Педагог года» для педагогических работников специальных учебно-воспитательных учреждений. Традиционно организатором указанного конкурса в 2021 г</w:t>
      </w:r>
      <w:r w:rsidR="00CF12CE">
        <w:rPr>
          <w:rFonts w:ascii="Times New Roman" w:hAnsi="Times New Roman" w:cs="Times New Roman"/>
          <w:sz w:val="28"/>
          <w:szCs w:val="28"/>
        </w:rPr>
        <w:t>.</w:t>
      </w:r>
      <w:r w:rsidRPr="0093328D">
        <w:rPr>
          <w:rFonts w:ascii="Times New Roman" w:hAnsi="Times New Roman" w:cs="Times New Roman"/>
          <w:sz w:val="28"/>
          <w:szCs w:val="28"/>
        </w:rPr>
        <w:t xml:space="preserve"> стало федеральное государственное бюджетное профессиональное образовательное учреждение «Орловское специальное уч</w:t>
      </w:r>
      <w:r w:rsidR="00003695">
        <w:rPr>
          <w:rFonts w:ascii="Times New Roman" w:hAnsi="Times New Roman" w:cs="Times New Roman"/>
          <w:sz w:val="28"/>
          <w:szCs w:val="28"/>
        </w:rPr>
        <w:t xml:space="preserve">ебно-воспитательное учреждение </w:t>
      </w:r>
      <w:r w:rsidRPr="0093328D">
        <w:rPr>
          <w:rFonts w:ascii="Times New Roman" w:hAnsi="Times New Roman" w:cs="Times New Roman"/>
          <w:sz w:val="28"/>
          <w:szCs w:val="28"/>
        </w:rPr>
        <w:t>закрытого типа» Кировск</w:t>
      </w:r>
      <w:r w:rsidR="00B803B4">
        <w:rPr>
          <w:rFonts w:ascii="Times New Roman" w:hAnsi="Times New Roman" w:cs="Times New Roman"/>
          <w:sz w:val="28"/>
          <w:szCs w:val="28"/>
        </w:rPr>
        <w:t>ой</w:t>
      </w:r>
      <w:r w:rsidRPr="0093328D">
        <w:rPr>
          <w:rFonts w:ascii="Times New Roman" w:hAnsi="Times New Roman" w:cs="Times New Roman"/>
          <w:sz w:val="28"/>
          <w:szCs w:val="28"/>
        </w:rPr>
        <w:t xml:space="preserve"> област</w:t>
      </w:r>
      <w:r w:rsidR="00B803B4">
        <w:rPr>
          <w:rFonts w:ascii="Times New Roman" w:hAnsi="Times New Roman" w:cs="Times New Roman"/>
          <w:sz w:val="28"/>
          <w:szCs w:val="28"/>
        </w:rPr>
        <w:t>и</w:t>
      </w:r>
      <w:r w:rsidRPr="0093328D">
        <w:rPr>
          <w:rFonts w:ascii="Times New Roman" w:hAnsi="Times New Roman" w:cs="Times New Roman"/>
          <w:sz w:val="28"/>
          <w:szCs w:val="28"/>
        </w:rPr>
        <w:t>.</w:t>
      </w:r>
    </w:p>
    <w:p w14:paraId="252EEC45" w14:textId="77777777" w:rsidR="0093328D" w:rsidRPr="0093328D" w:rsidRDefault="0093328D" w:rsidP="0093328D">
      <w:pPr>
        <w:widowControl w:val="0"/>
        <w:pBdr>
          <w:bottom w:val="single" w:sz="6" w:space="30" w:color="FFFFFF"/>
        </w:pBdr>
        <w:shd w:val="clear" w:color="auto" w:fill="FFFFFF"/>
        <w:spacing w:after="0" w:line="312" w:lineRule="auto"/>
        <w:ind w:firstLine="709"/>
        <w:jc w:val="both"/>
        <w:rPr>
          <w:rFonts w:ascii="Times New Roman" w:hAnsi="Times New Roman" w:cs="Times New Roman"/>
          <w:sz w:val="28"/>
          <w:szCs w:val="28"/>
        </w:rPr>
      </w:pPr>
      <w:r w:rsidRPr="0093328D">
        <w:rPr>
          <w:rFonts w:ascii="Times New Roman" w:hAnsi="Times New Roman" w:cs="Times New Roman"/>
          <w:sz w:val="28"/>
          <w:szCs w:val="28"/>
        </w:rPr>
        <w:t>В целях создания комфортной среды в специальных учебно-воспитательных учреждениях, формирования у участников образовательных отношений навыков конструктивных отношений в рамках испол</w:t>
      </w:r>
      <w:r w:rsidR="00B803B4">
        <w:rPr>
          <w:rFonts w:ascii="Times New Roman" w:hAnsi="Times New Roman" w:cs="Times New Roman"/>
          <w:sz w:val="28"/>
          <w:szCs w:val="28"/>
        </w:rPr>
        <w:t xml:space="preserve">нения государственного задания </w:t>
      </w:r>
      <w:r w:rsidRPr="0093328D">
        <w:rPr>
          <w:rFonts w:ascii="Times New Roman" w:hAnsi="Times New Roman" w:cs="Times New Roman"/>
          <w:sz w:val="28"/>
          <w:szCs w:val="28"/>
        </w:rPr>
        <w:t>на оказание государственных услуг (выполнение работ) на 2021 г</w:t>
      </w:r>
      <w:r w:rsidR="00CF12CE">
        <w:rPr>
          <w:rFonts w:ascii="Times New Roman" w:hAnsi="Times New Roman" w:cs="Times New Roman"/>
          <w:sz w:val="28"/>
          <w:szCs w:val="28"/>
        </w:rPr>
        <w:t>.</w:t>
      </w:r>
      <w:r w:rsidRPr="0093328D">
        <w:rPr>
          <w:rFonts w:ascii="Times New Roman" w:hAnsi="Times New Roman" w:cs="Times New Roman"/>
          <w:sz w:val="28"/>
          <w:szCs w:val="28"/>
        </w:rPr>
        <w:t xml:space="preserve"> и плановый период 2022</w:t>
      </w:r>
      <w:r w:rsidR="00CF12CE">
        <w:rPr>
          <w:rFonts w:ascii="Times New Roman" w:hAnsi="Times New Roman" w:cs="Times New Roman"/>
          <w:sz w:val="28"/>
          <w:szCs w:val="28"/>
        </w:rPr>
        <w:t>-</w:t>
      </w:r>
      <w:r w:rsidRPr="0093328D">
        <w:rPr>
          <w:rFonts w:ascii="Times New Roman" w:hAnsi="Times New Roman" w:cs="Times New Roman"/>
          <w:sz w:val="28"/>
          <w:szCs w:val="28"/>
        </w:rPr>
        <w:t>2023 г</w:t>
      </w:r>
      <w:r w:rsidR="00CF12CE">
        <w:rPr>
          <w:rFonts w:ascii="Times New Roman" w:hAnsi="Times New Roman" w:cs="Times New Roman"/>
          <w:sz w:val="28"/>
          <w:szCs w:val="28"/>
        </w:rPr>
        <w:t>г.</w:t>
      </w:r>
      <w:r w:rsidRPr="0093328D">
        <w:rPr>
          <w:rFonts w:ascii="Times New Roman" w:hAnsi="Times New Roman" w:cs="Times New Roman"/>
          <w:sz w:val="28"/>
          <w:szCs w:val="28"/>
        </w:rPr>
        <w:t xml:space="preserve"> </w:t>
      </w:r>
      <w:r w:rsidR="005231B9">
        <w:rPr>
          <w:rFonts w:ascii="Times New Roman" w:hAnsi="Times New Roman" w:cs="Times New Roman"/>
          <w:sz w:val="28"/>
          <w:szCs w:val="28"/>
        </w:rPr>
        <w:t>ФБГУ</w:t>
      </w:r>
      <w:r w:rsidRPr="0093328D">
        <w:rPr>
          <w:rFonts w:ascii="Times New Roman" w:hAnsi="Times New Roman" w:cs="Times New Roman"/>
          <w:sz w:val="28"/>
          <w:szCs w:val="28"/>
        </w:rPr>
        <w:t xml:space="preserve"> «Центр защиты прав и интересов детей»</w:t>
      </w:r>
      <w:r w:rsidR="00AC5A82">
        <w:rPr>
          <w:rFonts w:ascii="Times New Roman" w:hAnsi="Times New Roman" w:cs="Times New Roman"/>
          <w:sz w:val="28"/>
          <w:szCs w:val="28"/>
        </w:rPr>
        <w:t xml:space="preserve"> </w:t>
      </w:r>
      <w:r w:rsidRPr="0093328D">
        <w:rPr>
          <w:rFonts w:ascii="Times New Roman" w:hAnsi="Times New Roman" w:cs="Times New Roman"/>
          <w:sz w:val="28"/>
          <w:szCs w:val="28"/>
        </w:rPr>
        <w:t>осуществлялся ряд образовательных, консультационных, методических мероприятий по развитию практики работы служб медиации. Проводились лекции, семинары, деловые игры, интерактивные занятия для обучающихся по формированию бесконфликтной среды, практикоориентированный семинар дл</w:t>
      </w:r>
      <w:r w:rsidR="00B803B4">
        <w:rPr>
          <w:rFonts w:ascii="Times New Roman" w:hAnsi="Times New Roman" w:cs="Times New Roman"/>
          <w:sz w:val="28"/>
          <w:szCs w:val="28"/>
        </w:rPr>
        <w:t xml:space="preserve">я руководителей, </w:t>
      </w:r>
      <w:proofErr w:type="spellStart"/>
      <w:r w:rsidR="00B803B4">
        <w:rPr>
          <w:rFonts w:ascii="Times New Roman" w:hAnsi="Times New Roman" w:cs="Times New Roman"/>
          <w:sz w:val="28"/>
          <w:szCs w:val="28"/>
        </w:rPr>
        <w:t>форсайт</w:t>
      </w:r>
      <w:proofErr w:type="spellEnd"/>
      <w:r w:rsidR="00B803B4">
        <w:rPr>
          <w:rFonts w:ascii="Times New Roman" w:hAnsi="Times New Roman" w:cs="Times New Roman"/>
          <w:sz w:val="28"/>
          <w:szCs w:val="28"/>
        </w:rPr>
        <w:t xml:space="preserve">-сессии </w:t>
      </w:r>
      <w:r w:rsidRPr="0093328D">
        <w:rPr>
          <w:rFonts w:ascii="Times New Roman" w:hAnsi="Times New Roman" w:cs="Times New Roman"/>
          <w:sz w:val="28"/>
          <w:szCs w:val="28"/>
        </w:rPr>
        <w:t>для руководителей структурных подразделений.</w:t>
      </w:r>
    </w:p>
    <w:p w14:paraId="142AD010" w14:textId="77777777" w:rsidR="0093328D" w:rsidRPr="0093328D" w:rsidRDefault="0093328D" w:rsidP="0093328D">
      <w:pPr>
        <w:widowControl w:val="0"/>
        <w:pBdr>
          <w:bottom w:val="single" w:sz="6" w:space="30" w:color="FFFFFF"/>
        </w:pBdr>
        <w:shd w:val="clear" w:color="auto" w:fill="FFFFFF"/>
        <w:spacing w:after="0" w:line="312" w:lineRule="auto"/>
        <w:ind w:firstLine="709"/>
        <w:jc w:val="both"/>
        <w:rPr>
          <w:rFonts w:ascii="Times New Roman" w:hAnsi="Times New Roman" w:cs="Times New Roman"/>
          <w:sz w:val="28"/>
          <w:szCs w:val="28"/>
        </w:rPr>
      </w:pPr>
      <w:r w:rsidRPr="0093328D">
        <w:rPr>
          <w:rFonts w:ascii="Times New Roman" w:hAnsi="Times New Roman" w:cs="Times New Roman"/>
          <w:sz w:val="28"/>
          <w:szCs w:val="28"/>
        </w:rPr>
        <w:t xml:space="preserve">Также в рамках исполнения государственного задания Центром </w:t>
      </w:r>
      <w:r w:rsidR="005231B9" w:rsidRPr="0093328D">
        <w:rPr>
          <w:rFonts w:ascii="Times New Roman" w:hAnsi="Times New Roman" w:cs="Times New Roman"/>
          <w:sz w:val="28"/>
          <w:szCs w:val="28"/>
        </w:rPr>
        <w:t xml:space="preserve">защиты прав и интересов детей </w:t>
      </w:r>
      <w:r w:rsidRPr="0093328D">
        <w:rPr>
          <w:rFonts w:ascii="Times New Roman" w:hAnsi="Times New Roman" w:cs="Times New Roman"/>
          <w:sz w:val="28"/>
          <w:szCs w:val="28"/>
        </w:rPr>
        <w:t>проведен анализ работы учреждений и разработаны методические рекомендации по созданию безопасных условий содержания несовершеннолетних в специальных учебно-воспитательных учреждениях.</w:t>
      </w:r>
    </w:p>
    <w:p w14:paraId="497CA3BE" w14:textId="77777777" w:rsidR="0093328D" w:rsidRPr="0093328D" w:rsidRDefault="0093328D" w:rsidP="0093328D">
      <w:pPr>
        <w:widowControl w:val="0"/>
        <w:pBdr>
          <w:bottom w:val="single" w:sz="6" w:space="30" w:color="FFFFFF"/>
        </w:pBdr>
        <w:shd w:val="clear" w:color="auto" w:fill="FFFFFF"/>
        <w:spacing w:after="0" w:line="312" w:lineRule="auto"/>
        <w:ind w:firstLine="709"/>
        <w:jc w:val="both"/>
        <w:rPr>
          <w:rFonts w:ascii="Times New Roman" w:hAnsi="Times New Roman" w:cs="Times New Roman"/>
          <w:sz w:val="28"/>
          <w:szCs w:val="28"/>
        </w:rPr>
      </w:pPr>
      <w:r w:rsidRPr="0093328D">
        <w:rPr>
          <w:rFonts w:ascii="Times New Roman" w:hAnsi="Times New Roman" w:cs="Times New Roman"/>
          <w:sz w:val="28"/>
          <w:szCs w:val="28"/>
        </w:rPr>
        <w:t>Решению задач успешной ресоциализации обучающихся был посвящен проект по апробации модели реализации образовательных программ среднего профессионального образования в сетевой форме, реализованный в рамках государственного задания федеральным государственным бюджетным профессиональным образовательным учреждением «Астраханское специальное учебно-воспитательное учреждение закрыт</w:t>
      </w:r>
      <w:r w:rsidR="00AC5A82">
        <w:rPr>
          <w:rFonts w:ascii="Times New Roman" w:hAnsi="Times New Roman" w:cs="Times New Roman"/>
          <w:sz w:val="28"/>
          <w:szCs w:val="28"/>
        </w:rPr>
        <w:t xml:space="preserve">ого типа». География проекта </w:t>
      </w:r>
      <w:r w:rsidR="005231B9">
        <w:rPr>
          <w:rFonts w:ascii="Times New Roman" w:hAnsi="Times New Roman" w:cs="Times New Roman"/>
          <w:sz w:val="28"/>
          <w:szCs w:val="28"/>
        </w:rPr>
        <w:t xml:space="preserve">охватила </w:t>
      </w:r>
      <w:r w:rsidR="005231B9">
        <w:rPr>
          <w:rFonts w:ascii="Times New Roman" w:hAnsi="Times New Roman" w:cs="Times New Roman"/>
          <w:sz w:val="28"/>
          <w:szCs w:val="28"/>
        </w:rPr>
        <w:br/>
      </w:r>
      <w:r w:rsidR="00AC5A82">
        <w:rPr>
          <w:rFonts w:ascii="Times New Roman" w:hAnsi="Times New Roman" w:cs="Times New Roman"/>
          <w:sz w:val="28"/>
          <w:szCs w:val="28"/>
        </w:rPr>
        <w:t>7</w:t>
      </w:r>
      <w:r w:rsidRPr="0093328D">
        <w:rPr>
          <w:rFonts w:ascii="Times New Roman" w:hAnsi="Times New Roman" w:cs="Times New Roman"/>
          <w:sz w:val="28"/>
          <w:szCs w:val="28"/>
        </w:rPr>
        <w:t xml:space="preserve"> субъектов Российской Федерации: Республики Удмуртия, Крым, Красноярский край, Астраханская, Волгоградская, Кировская, Челябинская области.</w:t>
      </w:r>
    </w:p>
    <w:p w14:paraId="4DA29720" w14:textId="77777777" w:rsidR="0093328D" w:rsidRPr="0093328D" w:rsidRDefault="0093328D" w:rsidP="0093328D">
      <w:pPr>
        <w:widowControl w:val="0"/>
        <w:pBdr>
          <w:bottom w:val="single" w:sz="6" w:space="30" w:color="FFFFFF"/>
        </w:pBdr>
        <w:shd w:val="clear" w:color="auto" w:fill="FFFFFF"/>
        <w:spacing w:after="0" w:line="312" w:lineRule="auto"/>
        <w:ind w:firstLine="709"/>
        <w:jc w:val="both"/>
        <w:rPr>
          <w:rFonts w:ascii="Times New Roman" w:hAnsi="Times New Roman" w:cs="Times New Roman"/>
          <w:sz w:val="28"/>
          <w:szCs w:val="28"/>
        </w:rPr>
      </w:pPr>
      <w:r w:rsidRPr="0093328D">
        <w:rPr>
          <w:rFonts w:ascii="Times New Roman" w:hAnsi="Times New Roman" w:cs="Times New Roman"/>
          <w:sz w:val="28"/>
          <w:szCs w:val="28"/>
        </w:rPr>
        <w:t>Обучающиеся специального учебно-воспит</w:t>
      </w:r>
      <w:r w:rsidR="00AC5A82">
        <w:rPr>
          <w:rFonts w:ascii="Times New Roman" w:hAnsi="Times New Roman" w:cs="Times New Roman"/>
          <w:sz w:val="28"/>
          <w:szCs w:val="28"/>
        </w:rPr>
        <w:t xml:space="preserve">ательного учреждения поступают </w:t>
      </w:r>
      <w:r w:rsidRPr="0093328D">
        <w:rPr>
          <w:rFonts w:ascii="Times New Roman" w:hAnsi="Times New Roman" w:cs="Times New Roman"/>
          <w:sz w:val="28"/>
          <w:szCs w:val="28"/>
        </w:rPr>
        <w:t xml:space="preserve">в профессиональные образовательные организации по месту постоянного проживания и обучаются дистанционно. Специальное учебно-воспитательное учреждение предоставляет обучающемуся рабочее место, обеспечивает необходимые консультации, академическую мобильность. </w:t>
      </w:r>
    </w:p>
    <w:p w14:paraId="718C7E10" w14:textId="77777777" w:rsidR="0093328D" w:rsidRPr="0093328D" w:rsidRDefault="0093328D" w:rsidP="0093328D">
      <w:pPr>
        <w:widowControl w:val="0"/>
        <w:pBdr>
          <w:bottom w:val="single" w:sz="6" w:space="30" w:color="FFFFFF"/>
        </w:pBdr>
        <w:shd w:val="clear" w:color="auto" w:fill="FFFFFF"/>
        <w:spacing w:after="0" w:line="312" w:lineRule="auto"/>
        <w:ind w:firstLine="709"/>
        <w:jc w:val="both"/>
        <w:rPr>
          <w:rFonts w:ascii="Times New Roman" w:hAnsi="Times New Roman" w:cs="Times New Roman"/>
          <w:sz w:val="28"/>
          <w:szCs w:val="28"/>
        </w:rPr>
      </w:pPr>
      <w:r w:rsidRPr="0093328D">
        <w:rPr>
          <w:rFonts w:ascii="Times New Roman" w:hAnsi="Times New Roman" w:cs="Times New Roman"/>
          <w:sz w:val="28"/>
          <w:szCs w:val="28"/>
        </w:rPr>
        <w:t>Площадкой обсуждения актуальных вопросов трудового воспитания, профессионального образования и обучения</w:t>
      </w:r>
      <w:r w:rsidR="00AC5A82">
        <w:rPr>
          <w:rFonts w:ascii="Times New Roman" w:hAnsi="Times New Roman" w:cs="Times New Roman"/>
          <w:sz w:val="28"/>
          <w:szCs w:val="28"/>
        </w:rPr>
        <w:t xml:space="preserve"> стало Всероссийское совещание </w:t>
      </w:r>
      <w:r w:rsidRPr="0093328D">
        <w:rPr>
          <w:rFonts w:ascii="Times New Roman" w:hAnsi="Times New Roman" w:cs="Times New Roman"/>
          <w:sz w:val="28"/>
          <w:szCs w:val="28"/>
        </w:rPr>
        <w:t xml:space="preserve">по вопросам организации деятельности специальных учебно-воспитательных учреждений «Ресурсы профессионального образования в ресоциализации детей с </w:t>
      </w:r>
      <w:proofErr w:type="spellStart"/>
      <w:r w:rsidRPr="0093328D">
        <w:rPr>
          <w:rFonts w:ascii="Times New Roman" w:hAnsi="Times New Roman" w:cs="Times New Roman"/>
          <w:sz w:val="28"/>
          <w:szCs w:val="28"/>
        </w:rPr>
        <w:t>девиантным</w:t>
      </w:r>
      <w:proofErr w:type="spellEnd"/>
      <w:r w:rsidRPr="0093328D">
        <w:rPr>
          <w:rFonts w:ascii="Times New Roman" w:hAnsi="Times New Roman" w:cs="Times New Roman"/>
          <w:sz w:val="28"/>
          <w:szCs w:val="28"/>
        </w:rPr>
        <w:t xml:space="preserve"> поведением», проведенное 16 апреля 2021 г. Минпросвещения России совместно с Ро</w:t>
      </w:r>
      <w:r w:rsidR="00AC5A82">
        <w:rPr>
          <w:rFonts w:ascii="Times New Roman" w:hAnsi="Times New Roman" w:cs="Times New Roman"/>
          <w:sz w:val="28"/>
          <w:szCs w:val="28"/>
        </w:rPr>
        <w:t>ссийской академией образования.</w:t>
      </w:r>
    </w:p>
    <w:p w14:paraId="35CD2B0B" w14:textId="77777777" w:rsidR="0093328D" w:rsidRPr="0093328D" w:rsidRDefault="0093328D" w:rsidP="0093328D">
      <w:pPr>
        <w:widowControl w:val="0"/>
        <w:pBdr>
          <w:bottom w:val="single" w:sz="6" w:space="30" w:color="FFFFFF"/>
        </w:pBdr>
        <w:shd w:val="clear" w:color="auto" w:fill="FFFFFF"/>
        <w:spacing w:after="0" w:line="312" w:lineRule="auto"/>
        <w:ind w:firstLine="709"/>
        <w:jc w:val="both"/>
        <w:rPr>
          <w:rFonts w:ascii="Times New Roman" w:hAnsi="Times New Roman" w:cs="Times New Roman"/>
          <w:sz w:val="28"/>
          <w:szCs w:val="28"/>
        </w:rPr>
      </w:pPr>
      <w:r w:rsidRPr="0093328D">
        <w:rPr>
          <w:rFonts w:ascii="Times New Roman" w:hAnsi="Times New Roman" w:cs="Times New Roman"/>
          <w:sz w:val="28"/>
          <w:szCs w:val="28"/>
        </w:rPr>
        <w:t>В совещании приняли участие представители Управления Президента Российской Федерации по обществе</w:t>
      </w:r>
      <w:r w:rsidR="00A9053B">
        <w:rPr>
          <w:rFonts w:ascii="Times New Roman" w:hAnsi="Times New Roman" w:cs="Times New Roman"/>
          <w:sz w:val="28"/>
          <w:szCs w:val="28"/>
        </w:rPr>
        <w:t xml:space="preserve">нным проектам, Уполномоченного </w:t>
      </w:r>
      <w:r w:rsidRPr="0093328D">
        <w:rPr>
          <w:rFonts w:ascii="Times New Roman" w:hAnsi="Times New Roman" w:cs="Times New Roman"/>
          <w:sz w:val="28"/>
          <w:szCs w:val="28"/>
        </w:rPr>
        <w:t xml:space="preserve">при Президенте Российской Федерации по правам ребенка, Генеральной прокуратуры Российской Федерации, МВД России, Следственного комитета Российской Федерации, Фонда поддержки детей, </w:t>
      </w:r>
      <w:r w:rsidR="00AC5A82">
        <w:rPr>
          <w:rFonts w:ascii="Times New Roman" w:hAnsi="Times New Roman" w:cs="Times New Roman"/>
          <w:sz w:val="28"/>
          <w:szCs w:val="28"/>
        </w:rPr>
        <w:t>АНО</w:t>
      </w:r>
      <w:r w:rsidRPr="0093328D">
        <w:rPr>
          <w:rFonts w:ascii="Times New Roman" w:hAnsi="Times New Roman" w:cs="Times New Roman"/>
          <w:sz w:val="28"/>
          <w:szCs w:val="28"/>
        </w:rPr>
        <w:t xml:space="preserve"> «Агентство стратегических инициатив по продвижению новых про</w:t>
      </w:r>
      <w:r w:rsidR="00AC5A82">
        <w:rPr>
          <w:rFonts w:ascii="Times New Roman" w:hAnsi="Times New Roman" w:cs="Times New Roman"/>
          <w:sz w:val="28"/>
          <w:szCs w:val="28"/>
        </w:rPr>
        <w:t xml:space="preserve">ектов», органов исполнительной </w:t>
      </w:r>
      <w:r w:rsidRPr="0093328D">
        <w:rPr>
          <w:rFonts w:ascii="Times New Roman" w:hAnsi="Times New Roman" w:cs="Times New Roman"/>
          <w:sz w:val="28"/>
          <w:szCs w:val="28"/>
        </w:rPr>
        <w:t>власти субъектов Российской Федерации, осуществляющих государственное управление в сфере образования, руководи</w:t>
      </w:r>
      <w:r w:rsidR="00AC5A82">
        <w:rPr>
          <w:rFonts w:ascii="Times New Roman" w:hAnsi="Times New Roman" w:cs="Times New Roman"/>
          <w:sz w:val="28"/>
          <w:szCs w:val="28"/>
        </w:rPr>
        <w:t xml:space="preserve">тели и специалисты специальных </w:t>
      </w:r>
      <w:r w:rsidRPr="0093328D">
        <w:rPr>
          <w:rFonts w:ascii="Times New Roman" w:hAnsi="Times New Roman" w:cs="Times New Roman"/>
          <w:sz w:val="28"/>
          <w:szCs w:val="28"/>
        </w:rPr>
        <w:t>учебно-воспитательных учреждений, представители науки и общественности.</w:t>
      </w:r>
    </w:p>
    <w:p w14:paraId="1AF908F5" w14:textId="77777777" w:rsidR="0093328D" w:rsidRPr="0093328D" w:rsidRDefault="0093328D" w:rsidP="0093328D">
      <w:pPr>
        <w:widowControl w:val="0"/>
        <w:pBdr>
          <w:bottom w:val="single" w:sz="6" w:space="30" w:color="FFFFFF"/>
        </w:pBdr>
        <w:shd w:val="clear" w:color="auto" w:fill="FFFFFF"/>
        <w:spacing w:after="0" w:line="312" w:lineRule="auto"/>
        <w:ind w:firstLine="709"/>
        <w:jc w:val="both"/>
        <w:rPr>
          <w:rFonts w:ascii="Times New Roman" w:hAnsi="Times New Roman" w:cs="Times New Roman"/>
          <w:sz w:val="28"/>
          <w:szCs w:val="28"/>
        </w:rPr>
      </w:pPr>
      <w:r w:rsidRPr="0093328D">
        <w:rPr>
          <w:rFonts w:ascii="Times New Roman" w:hAnsi="Times New Roman" w:cs="Times New Roman"/>
          <w:sz w:val="28"/>
          <w:szCs w:val="28"/>
        </w:rPr>
        <w:t>На совещании рассмотрены ключевые задачи деятельности специальных учебно-воспитательных учреждений в рамках тематики совещания, результаты инновационных социальных проектов развития эффективных практик профессиональной ориентации и ресоциализации несовершеннолетних, реализованных при участии Фонда поддержки детей, федерального государственного бюджетного профессионального образовательного учреждения «</w:t>
      </w:r>
      <w:proofErr w:type="spellStart"/>
      <w:r w:rsidRPr="0093328D">
        <w:rPr>
          <w:rFonts w:ascii="Times New Roman" w:hAnsi="Times New Roman" w:cs="Times New Roman"/>
          <w:sz w:val="28"/>
          <w:szCs w:val="28"/>
        </w:rPr>
        <w:t>Куртамышское</w:t>
      </w:r>
      <w:proofErr w:type="spellEnd"/>
      <w:r w:rsidRPr="0093328D">
        <w:rPr>
          <w:rFonts w:ascii="Times New Roman" w:hAnsi="Times New Roman" w:cs="Times New Roman"/>
          <w:sz w:val="28"/>
          <w:szCs w:val="28"/>
        </w:rPr>
        <w:t xml:space="preserve"> специальное учебно-воспитательное учреждение закрытого типа» Курганс</w:t>
      </w:r>
      <w:r w:rsidR="00AC5A82">
        <w:rPr>
          <w:rFonts w:ascii="Times New Roman" w:hAnsi="Times New Roman" w:cs="Times New Roman"/>
          <w:sz w:val="28"/>
          <w:szCs w:val="28"/>
        </w:rPr>
        <w:t>кой</w:t>
      </w:r>
      <w:r w:rsidRPr="0093328D">
        <w:rPr>
          <w:rFonts w:ascii="Times New Roman" w:hAnsi="Times New Roman" w:cs="Times New Roman"/>
          <w:sz w:val="28"/>
          <w:szCs w:val="28"/>
        </w:rPr>
        <w:t xml:space="preserve"> област</w:t>
      </w:r>
      <w:r w:rsidR="00AC5A82">
        <w:rPr>
          <w:rFonts w:ascii="Times New Roman" w:hAnsi="Times New Roman" w:cs="Times New Roman"/>
          <w:sz w:val="28"/>
          <w:szCs w:val="28"/>
        </w:rPr>
        <w:t>и</w:t>
      </w:r>
      <w:r w:rsidRPr="0093328D">
        <w:rPr>
          <w:rFonts w:ascii="Times New Roman" w:hAnsi="Times New Roman" w:cs="Times New Roman"/>
          <w:sz w:val="28"/>
          <w:szCs w:val="28"/>
        </w:rPr>
        <w:t>, государственного казенного общеобразовательного специального учебно-воспитательного учреждения «Октябрьская школа закрытого типа» Волгоградск</w:t>
      </w:r>
      <w:r w:rsidR="00AC5A82">
        <w:rPr>
          <w:rFonts w:ascii="Times New Roman" w:hAnsi="Times New Roman" w:cs="Times New Roman"/>
          <w:sz w:val="28"/>
          <w:szCs w:val="28"/>
        </w:rPr>
        <w:t>ой</w:t>
      </w:r>
      <w:r w:rsidRPr="0093328D">
        <w:rPr>
          <w:rFonts w:ascii="Times New Roman" w:hAnsi="Times New Roman" w:cs="Times New Roman"/>
          <w:sz w:val="28"/>
          <w:szCs w:val="28"/>
        </w:rPr>
        <w:t xml:space="preserve"> област</w:t>
      </w:r>
      <w:r w:rsidR="00AC5A82">
        <w:rPr>
          <w:rFonts w:ascii="Times New Roman" w:hAnsi="Times New Roman" w:cs="Times New Roman"/>
          <w:sz w:val="28"/>
          <w:szCs w:val="28"/>
        </w:rPr>
        <w:t>и</w:t>
      </w:r>
      <w:r w:rsidRPr="0093328D">
        <w:rPr>
          <w:rFonts w:ascii="Times New Roman" w:hAnsi="Times New Roman" w:cs="Times New Roman"/>
          <w:sz w:val="28"/>
          <w:szCs w:val="28"/>
        </w:rPr>
        <w:t>, краевого государственного бюджетного общеобразовательного учреждения «Специальное учебно-воспитательное учреждени</w:t>
      </w:r>
      <w:r w:rsidR="007747B6">
        <w:rPr>
          <w:rFonts w:ascii="Times New Roman" w:hAnsi="Times New Roman" w:cs="Times New Roman"/>
          <w:sz w:val="28"/>
          <w:szCs w:val="28"/>
        </w:rPr>
        <w:t>е</w:t>
      </w:r>
      <w:r w:rsidRPr="0093328D">
        <w:rPr>
          <w:rFonts w:ascii="Times New Roman" w:hAnsi="Times New Roman" w:cs="Times New Roman"/>
          <w:sz w:val="28"/>
          <w:szCs w:val="28"/>
        </w:rPr>
        <w:t xml:space="preserve"> «Уральское подворье» Пермск</w:t>
      </w:r>
      <w:r w:rsidR="00AC5A82">
        <w:rPr>
          <w:rFonts w:ascii="Times New Roman" w:hAnsi="Times New Roman" w:cs="Times New Roman"/>
          <w:sz w:val="28"/>
          <w:szCs w:val="28"/>
        </w:rPr>
        <w:t>ого</w:t>
      </w:r>
      <w:r w:rsidRPr="0093328D">
        <w:rPr>
          <w:rFonts w:ascii="Times New Roman" w:hAnsi="Times New Roman" w:cs="Times New Roman"/>
          <w:sz w:val="28"/>
          <w:szCs w:val="28"/>
        </w:rPr>
        <w:t xml:space="preserve"> кра</w:t>
      </w:r>
      <w:r w:rsidR="00AC5A82">
        <w:rPr>
          <w:rFonts w:ascii="Times New Roman" w:hAnsi="Times New Roman" w:cs="Times New Roman"/>
          <w:sz w:val="28"/>
          <w:szCs w:val="28"/>
        </w:rPr>
        <w:t>я</w:t>
      </w:r>
      <w:r w:rsidRPr="0093328D">
        <w:rPr>
          <w:rFonts w:ascii="Times New Roman" w:hAnsi="Times New Roman" w:cs="Times New Roman"/>
          <w:sz w:val="28"/>
          <w:szCs w:val="28"/>
        </w:rPr>
        <w:t>.</w:t>
      </w:r>
    </w:p>
    <w:p w14:paraId="5ED96F2D" w14:textId="77777777" w:rsidR="0093328D" w:rsidRPr="0093328D" w:rsidRDefault="0093328D" w:rsidP="0093328D">
      <w:pPr>
        <w:widowControl w:val="0"/>
        <w:pBdr>
          <w:bottom w:val="single" w:sz="6" w:space="30" w:color="FFFFFF"/>
        </w:pBdr>
        <w:shd w:val="clear" w:color="auto" w:fill="FFFFFF"/>
        <w:spacing w:after="0" w:line="312" w:lineRule="auto"/>
        <w:ind w:firstLine="709"/>
        <w:jc w:val="both"/>
        <w:rPr>
          <w:rFonts w:ascii="Times New Roman" w:hAnsi="Times New Roman" w:cs="Times New Roman"/>
          <w:sz w:val="28"/>
          <w:szCs w:val="28"/>
        </w:rPr>
      </w:pPr>
      <w:r w:rsidRPr="0093328D">
        <w:rPr>
          <w:rFonts w:ascii="Times New Roman" w:hAnsi="Times New Roman" w:cs="Times New Roman"/>
          <w:sz w:val="28"/>
          <w:szCs w:val="28"/>
        </w:rPr>
        <w:t xml:space="preserve">Представлен практический опыт в обеспечении права детей с </w:t>
      </w:r>
      <w:proofErr w:type="spellStart"/>
      <w:r w:rsidRPr="0093328D">
        <w:rPr>
          <w:rFonts w:ascii="Times New Roman" w:hAnsi="Times New Roman" w:cs="Times New Roman"/>
          <w:sz w:val="28"/>
          <w:szCs w:val="28"/>
        </w:rPr>
        <w:t>девиантным</w:t>
      </w:r>
      <w:proofErr w:type="spellEnd"/>
      <w:r w:rsidRPr="0093328D">
        <w:rPr>
          <w:rFonts w:ascii="Times New Roman" w:hAnsi="Times New Roman" w:cs="Times New Roman"/>
          <w:sz w:val="28"/>
          <w:szCs w:val="28"/>
        </w:rPr>
        <w:t xml:space="preserve"> поведением на профессиональное образование средствами сетевой формы реализации образовательной программы федерального государственного бюджетного профессионального образовательного учреждения «Астраханское специальное учебно-воспитательное учреждение закрытого типа</w:t>
      </w:r>
      <w:r w:rsidR="00AC5A82">
        <w:rPr>
          <w:rFonts w:ascii="Times New Roman" w:hAnsi="Times New Roman" w:cs="Times New Roman"/>
          <w:sz w:val="28"/>
          <w:szCs w:val="28"/>
        </w:rPr>
        <w:t>»</w:t>
      </w:r>
      <w:r w:rsidRPr="0093328D">
        <w:rPr>
          <w:rFonts w:ascii="Times New Roman" w:hAnsi="Times New Roman" w:cs="Times New Roman"/>
          <w:sz w:val="28"/>
          <w:szCs w:val="28"/>
        </w:rPr>
        <w:t>; построения системы профессионального обучения федерального государственного бюджетного профессионального образовательного учреждения «Орловское специальное учебно-воспитательное учреждение закрытого типа» Кировск</w:t>
      </w:r>
      <w:r w:rsidR="00AC5A82">
        <w:rPr>
          <w:rFonts w:ascii="Times New Roman" w:hAnsi="Times New Roman" w:cs="Times New Roman"/>
          <w:sz w:val="28"/>
          <w:szCs w:val="28"/>
        </w:rPr>
        <w:t>ой</w:t>
      </w:r>
      <w:r w:rsidRPr="0093328D">
        <w:rPr>
          <w:rFonts w:ascii="Times New Roman" w:hAnsi="Times New Roman" w:cs="Times New Roman"/>
          <w:sz w:val="28"/>
          <w:szCs w:val="28"/>
        </w:rPr>
        <w:t xml:space="preserve"> област</w:t>
      </w:r>
      <w:r w:rsidR="00AC5A82">
        <w:rPr>
          <w:rFonts w:ascii="Times New Roman" w:hAnsi="Times New Roman" w:cs="Times New Roman"/>
          <w:sz w:val="28"/>
          <w:szCs w:val="28"/>
        </w:rPr>
        <w:t>и</w:t>
      </w:r>
      <w:r w:rsidRPr="0093328D">
        <w:rPr>
          <w:rFonts w:ascii="Times New Roman" w:hAnsi="Times New Roman" w:cs="Times New Roman"/>
          <w:sz w:val="28"/>
          <w:szCs w:val="28"/>
        </w:rPr>
        <w:t>; организации пространства профессионального развития обучающихся федерального государственного бюджетного профессионального образовательного учреждения «</w:t>
      </w:r>
      <w:proofErr w:type="spellStart"/>
      <w:r w:rsidRPr="0093328D">
        <w:rPr>
          <w:rFonts w:ascii="Times New Roman" w:hAnsi="Times New Roman" w:cs="Times New Roman"/>
          <w:sz w:val="28"/>
          <w:szCs w:val="28"/>
        </w:rPr>
        <w:t>Щекинское</w:t>
      </w:r>
      <w:proofErr w:type="spellEnd"/>
      <w:r w:rsidRPr="0093328D">
        <w:rPr>
          <w:rFonts w:ascii="Times New Roman" w:hAnsi="Times New Roman" w:cs="Times New Roman"/>
          <w:sz w:val="28"/>
          <w:szCs w:val="28"/>
        </w:rPr>
        <w:t xml:space="preserve"> специальное учебно-воспитательное учреждение закрытого типа».</w:t>
      </w:r>
    </w:p>
    <w:p w14:paraId="568AF8D3" w14:textId="77777777" w:rsidR="0093328D" w:rsidRPr="0093328D" w:rsidRDefault="0093328D" w:rsidP="0093328D">
      <w:pPr>
        <w:widowControl w:val="0"/>
        <w:pBdr>
          <w:bottom w:val="single" w:sz="6" w:space="30" w:color="FFFFFF"/>
        </w:pBdr>
        <w:shd w:val="clear" w:color="auto" w:fill="FFFFFF"/>
        <w:spacing w:after="0" w:line="312" w:lineRule="auto"/>
        <w:ind w:firstLine="709"/>
        <w:jc w:val="both"/>
        <w:rPr>
          <w:rFonts w:ascii="Times New Roman" w:hAnsi="Times New Roman" w:cs="Times New Roman"/>
          <w:sz w:val="28"/>
          <w:szCs w:val="28"/>
        </w:rPr>
      </w:pPr>
      <w:r w:rsidRPr="0093328D">
        <w:rPr>
          <w:rFonts w:ascii="Times New Roman" w:hAnsi="Times New Roman" w:cs="Times New Roman"/>
          <w:sz w:val="28"/>
          <w:szCs w:val="28"/>
        </w:rPr>
        <w:t xml:space="preserve">Вопросы разработки и внедрения воспитательной программы, использования технологии воспитательно-реабилитационных ситуаций раскрыли представители научных организаций и практики: федерального государственного бюджетного научного учреждения «Институт изучения детства, семьи и воспитания </w:t>
      </w:r>
      <w:r w:rsidRPr="0093328D">
        <w:rPr>
          <w:rFonts w:ascii="Times New Roman" w:hAnsi="Times New Roman" w:cs="Times New Roman"/>
          <w:sz w:val="28"/>
          <w:szCs w:val="28"/>
        </w:rPr>
        <w:br/>
        <w:t>Российской академии образования» г. Москв</w:t>
      </w:r>
      <w:r w:rsidR="00AC5A82">
        <w:rPr>
          <w:rFonts w:ascii="Times New Roman" w:hAnsi="Times New Roman" w:cs="Times New Roman"/>
          <w:sz w:val="28"/>
          <w:szCs w:val="28"/>
        </w:rPr>
        <w:t>ы</w:t>
      </w:r>
      <w:r w:rsidRPr="0093328D">
        <w:rPr>
          <w:rFonts w:ascii="Times New Roman" w:hAnsi="Times New Roman" w:cs="Times New Roman"/>
          <w:sz w:val="28"/>
          <w:szCs w:val="28"/>
        </w:rPr>
        <w:t>, Адыгейского государственного университета, федерального государственного бюджетного профессионального образовательного учреждения «Майкопское специальное учебно-воспитательное учреждение закрытого типа».</w:t>
      </w:r>
    </w:p>
    <w:p w14:paraId="2C788A93" w14:textId="77777777" w:rsidR="0093328D" w:rsidRDefault="0093328D" w:rsidP="0093328D">
      <w:pPr>
        <w:widowControl w:val="0"/>
        <w:pBdr>
          <w:bottom w:val="single" w:sz="6" w:space="30" w:color="FFFFFF"/>
        </w:pBdr>
        <w:shd w:val="clear" w:color="auto" w:fill="FFFFFF"/>
        <w:spacing w:after="0" w:line="312" w:lineRule="auto"/>
        <w:ind w:firstLine="709"/>
        <w:jc w:val="both"/>
        <w:rPr>
          <w:rFonts w:ascii="Times New Roman" w:hAnsi="Times New Roman" w:cs="Times New Roman"/>
          <w:sz w:val="28"/>
          <w:szCs w:val="28"/>
        </w:rPr>
      </w:pPr>
      <w:r w:rsidRPr="0093328D">
        <w:rPr>
          <w:rFonts w:ascii="Times New Roman" w:hAnsi="Times New Roman" w:cs="Times New Roman"/>
          <w:sz w:val="28"/>
          <w:szCs w:val="28"/>
        </w:rPr>
        <w:t>На Всероссийском «августовском» педагогическом совещании «Практика «специального» воспитания: задачи, методика, результат», проведенном Минпросвещения России 31 августа 2021 г.</w:t>
      </w:r>
      <w:r w:rsidR="00AC5A82">
        <w:rPr>
          <w:rFonts w:ascii="Times New Roman" w:hAnsi="Times New Roman" w:cs="Times New Roman"/>
          <w:sz w:val="28"/>
          <w:szCs w:val="28"/>
        </w:rPr>
        <w:t>,</w:t>
      </w:r>
      <w:r w:rsidRPr="0093328D">
        <w:rPr>
          <w:rFonts w:ascii="Times New Roman" w:hAnsi="Times New Roman" w:cs="Times New Roman"/>
          <w:sz w:val="28"/>
          <w:szCs w:val="28"/>
        </w:rPr>
        <w:t xml:space="preserve"> продолжен профессионально-экспертный разговор о ключевых вопросах создания воспитательной </w:t>
      </w:r>
      <w:r w:rsidR="00AC5A82">
        <w:rPr>
          <w:rFonts w:ascii="Times New Roman" w:hAnsi="Times New Roman" w:cs="Times New Roman"/>
          <w:sz w:val="28"/>
          <w:szCs w:val="28"/>
        </w:rPr>
        <w:t xml:space="preserve">системы </w:t>
      </w:r>
      <w:r w:rsidRPr="0093328D">
        <w:rPr>
          <w:rFonts w:ascii="Times New Roman" w:hAnsi="Times New Roman" w:cs="Times New Roman"/>
          <w:sz w:val="28"/>
          <w:szCs w:val="28"/>
        </w:rPr>
        <w:t>в специальном учебно-воспитательном учреждении, формирования уклада образовательной организации, пространства воспитательной и коррекционной работы средствами художественного образования и культурологии.</w:t>
      </w:r>
    </w:p>
    <w:p w14:paraId="2768EDAA" w14:textId="77777777" w:rsidR="00D03A4F" w:rsidRPr="0093328D" w:rsidRDefault="00AC5A82" w:rsidP="0093328D">
      <w:pPr>
        <w:widowControl w:val="0"/>
        <w:pBdr>
          <w:bottom w:val="single" w:sz="6" w:space="30" w:color="FFFFFF"/>
        </w:pBdr>
        <w:shd w:val="clear" w:color="auto" w:fill="FFFFFF"/>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Ключевые вопросы совершенствования деятельности специальных учебно-воспитательных учреждений, их результативной работы, а также их методического, кадрового обеспечения с учетом </w:t>
      </w:r>
      <w:r w:rsidR="00C66D27">
        <w:rPr>
          <w:rFonts w:ascii="Times New Roman" w:hAnsi="Times New Roman" w:cs="Times New Roman"/>
          <w:sz w:val="28"/>
          <w:szCs w:val="28"/>
        </w:rPr>
        <w:t xml:space="preserve">современных требований обсуждались на совещаниях с руководителями специальных учебно-воспитательных учреждений под председательством Министра просвещения Российской Федерации </w:t>
      </w:r>
      <w:r w:rsidR="002F4ED1">
        <w:rPr>
          <w:rFonts w:ascii="Times New Roman" w:hAnsi="Times New Roman" w:cs="Times New Roman"/>
          <w:sz w:val="28"/>
          <w:szCs w:val="28"/>
        </w:rPr>
        <w:br/>
      </w:r>
      <w:r w:rsidR="00C66D27">
        <w:rPr>
          <w:rFonts w:ascii="Times New Roman" w:hAnsi="Times New Roman" w:cs="Times New Roman"/>
          <w:sz w:val="28"/>
          <w:szCs w:val="28"/>
        </w:rPr>
        <w:t>С.С. Кравцова</w:t>
      </w:r>
      <w:r w:rsidR="0038740B" w:rsidRPr="0038740B">
        <w:rPr>
          <w:rFonts w:ascii="Times New Roman" w:hAnsi="Times New Roman" w:cs="Times New Roman"/>
          <w:sz w:val="28"/>
          <w:szCs w:val="28"/>
        </w:rPr>
        <w:t>.</w:t>
      </w:r>
      <w:r w:rsidR="00C66D27">
        <w:rPr>
          <w:rFonts w:ascii="Times New Roman" w:hAnsi="Times New Roman" w:cs="Times New Roman"/>
          <w:sz w:val="28"/>
          <w:szCs w:val="28"/>
        </w:rPr>
        <w:t xml:space="preserve"> Отдельно обсуждалась необходимость использования ресурсов специальных учебно-воспитательных учреждений в описании успешной практики</w:t>
      </w:r>
      <w:r w:rsidR="002F4ED1" w:rsidRPr="00BD5345">
        <w:rPr>
          <w:rFonts w:ascii="Times New Roman" w:eastAsia="Times New Roman" w:hAnsi="Times New Roman" w:cs="Times New Roman"/>
          <w:sz w:val="28"/>
          <w:szCs w:val="28"/>
        </w:rPr>
        <w:t> </w:t>
      </w:r>
      <w:r w:rsidR="00C66D27">
        <w:rPr>
          <w:rFonts w:ascii="Times New Roman" w:hAnsi="Times New Roman" w:cs="Times New Roman"/>
          <w:sz w:val="28"/>
          <w:szCs w:val="28"/>
        </w:rPr>
        <w:t xml:space="preserve">организации работы с несовершеннолетними с </w:t>
      </w:r>
      <w:proofErr w:type="spellStart"/>
      <w:r w:rsidR="00C66D27">
        <w:rPr>
          <w:rFonts w:ascii="Times New Roman" w:hAnsi="Times New Roman" w:cs="Times New Roman"/>
          <w:sz w:val="28"/>
          <w:szCs w:val="28"/>
        </w:rPr>
        <w:t>девиантным</w:t>
      </w:r>
      <w:proofErr w:type="spellEnd"/>
      <w:r w:rsidR="00C66D27">
        <w:rPr>
          <w:rFonts w:ascii="Times New Roman" w:hAnsi="Times New Roman" w:cs="Times New Roman"/>
          <w:sz w:val="28"/>
          <w:szCs w:val="28"/>
        </w:rPr>
        <w:t xml:space="preserve"> поведением и возможности распространения уникального опыта учреждений на всю систему общего и среднего профессионального образования.</w:t>
      </w:r>
    </w:p>
    <w:p w14:paraId="7F725870" w14:textId="77777777"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rsidSect="005430C5">
          <w:pgSz w:w="11906" w:h="16838"/>
          <w:pgMar w:top="1134" w:right="567" w:bottom="1134" w:left="1134" w:header="708" w:footer="708" w:gutter="0"/>
          <w:cols w:space="708"/>
          <w:docGrid w:linePitch="360"/>
        </w:sectPr>
      </w:pPr>
    </w:p>
    <w:p w14:paraId="60B7BE0A" w14:textId="77777777" w:rsidR="00D03A4F" w:rsidRPr="00D03A4F" w:rsidRDefault="00D03A4F" w:rsidP="00D03A4F">
      <w:pPr>
        <w:spacing w:after="240" w:line="240" w:lineRule="auto"/>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13. ПОЛОЖЕНИЕ НЕСОВЕРШЕННОЛЕТНИХ, ОТБЫВАЮЩИХ НАКАЗАНИЕ В ВОСПИТАТЕЛЬНЫХ КОЛОНИЯХ</w:t>
      </w:r>
    </w:p>
    <w:p w14:paraId="0402817E" w14:textId="77777777" w:rsidR="00D03A4F" w:rsidRPr="00D6226F" w:rsidRDefault="00D03A4F" w:rsidP="00592ED5">
      <w:pPr>
        <w:widowControl w:val="0"/>
        <w:spacing w:before="240"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 xml:space="preserve">В структуре ФСИН России функционируют </w:t>
      </w:r>
      <w:r w:rsidR="004A5205" w:rsidRPr="00D6226F">
        <w:rPr>
          <w:rFonts w:ascii="Times New Roman" w:eastAsia="Times New Roman" w:hAnsi="Times New Roman" w:cs="Times New Roman"/>
          <w:sz w:val="28"/>
          <w:szCs w:val="28"/>
        </w:rPr>
        <w:t>18</w:t>
      </w:r>
      <w:r w:rsidRPr="00D6226F">
        <w:rPr>
          <w:rFonts w:ascii="Times New Roman" w:eastAsia="Times New Roman" w:hAnsi="Times New Roman" w:cs="Times New Roman"/>
          <w:sz w:val="28"/>
          <w:szCs w:val="28"/>
        </w:rPr>
        <w:t xml:space="preserve"> воспитательны</w:t>
      </w:r>
      <w:r w:rsidR="00D95223">
        <w:rPr>
          <w:rFonts w:ascii="Times New Roman" w:eastAsia="Times New Roman" w:hAnsi="Times New Roman" w:cs="Times New Roman"/>
          <w:sz w:val="28"/>
          <w:szCs w:val="28"/>
        </w:rPr>
        <w:t>х</w:t>
      </w:r>
      <w:r w:rsidRPr="00D6226F">
        <w:rPr>
          <w:rFonts w:ascii="Times New Roman" w:eastAsia="Times New Roman" w:hAnsi="Times New Roman" w:cs="Times New Roman"/>
          <w:sz w:val="28"/>
          <w:szCs w:val="28"/>
        </w:rPr>
        <w:t xml:space="preserve"> колони</w:t>
      </w:r>
      <w:r w:rsidR="00D95223">
        <w:rPr>
          <w:rFonts w:ascii="Times New Roman" w:eastAsia="Times New Roman" w:hAnsi="Times New Roman" w:cs="Times New Roman"/>
          <w:sz w:val="28"/>
          <w:szCs w:val="28"/>
        </w:rPr>
        <w:t>й</w:t>
      </w:r>
      <w:r w:rsidR="00C64F30">
        <w:rPr>
          <w:rFonts w:ascii="Times New Roman" w:eastAsia="Times New Roman" w:hAnsi="Times New Roman" w:cs="Times New Roman"/>
          <w:sz w:val="28"/>
          <w:szCs w:val="28"/>
        </w:rPr>
        <w:br/>
      </w:r>
      <w:r w:rsidRPr="00D6226F">
        <w:rPr>
          <w:rFonts w:ascii="Times New Roman" w:eastAsia="Times New Roman" w:hAnsi="Times New Roman" w:cs="Times New Roman"/>
          <w:sz w:val="28"/>
          <w:szCs w:val="28"/>
        </w:rPr>
        <w:t xml:space="preserve">(далее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ВК). Из них </w:t>
      </w:r>
      <w:r w:rsidR="004A5205" w:rsidRPr="00D6226F">
        <w:rPr>
          <w:rFonts w:ascii="Times New Roman" w:eastAsia="Times New Roman" w:hAnsi="Times New Roman" w:cs="Times New Roman"/>
          <w:sz w:val="28"/>
          <w:szCs w:val="28"/>
        </w:rPr>
        <w:t>16</w:t>
      </w:r>
      <w:r w:rsidRPr="00D6226F">
        <w:rPr>
          <w:rFonts w:ascii="Times New Roman" w:eastAsia="Times New Roman" w:hAnsi="Times New Roman" w:cs="Times New Roman"/>
          <w:sz w:val="28"/>
          <w:szCs w:val="28"/>
        </w:rPr>
        <w:t xml:space="preserve"> ВК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для содержания несовершеннолетних осужденных мужского пола и 2 ВК (в Белгородской и Томской областях)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xml:space="preserve"> для содержания несовершеннолетних осужденных женского пола.</w:t>
      </w:r>
    </w:p>
    <w:p w14:paraId="6F2E7BEA" w14:textId="77777777"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Среднесписочная численность осужденных в ВК в 20</w:t>
      </w:r>
      <w:r w:rsidR="004A5205" w:rsidRPr="00D6226F">
        <w:rPr>
          <w:rFonts w:ascii="Times New Roman" w:eastAsia="Times New Roman" w:hAnsi="Times New Roman" w:cs="Times New Roman"/>
          <w:sz w:val="28"/>
          <w:szCs w:val="28"/>
        </w:rPr>
        <w:t>2</w:t>
      </w:r>
      <w:r w:rsidR="00963B20">
        <w:rPr>
          <w:rFonts w:ascii="Times New Roman" w:eastAsia="Times New Roman" w:hAnsi="Times New Roman" w:cs="Times New Roman"/>
          <w:sz w:val="28"/>
          <w:szCs w:val="28"/>
        </w:rPr>
        <w:t>1</w:t>
      </w:r>
      <w:r w:rsidR="005430C5">
        <w:rPr>
          <w:rFonts w:ascii="Times New Roman" w:eastAsia="Times New Roman" w:hAnsi="Times New Roman" w:cs="Times New Roman"/>
          <w:sz w:val="28"/>
          <w:szCs w:val="28"/>
        </w:rPr>
        <w:t xml:space="preserve"> г</w:t>
      </w:r>
      <w:r w:rsidR="00CF12CE">
        <w:rPr>
          <w:rFonts w:ascii="Times New Roman" w:eastAsia="Times New Roman" w:hAnsi="Times New Roman" w:cs="Times New Roman"/>
          <w:sz w:val="28"/>
          <w:szCs w:val="28"/>
        </w:rPr>
        <w:t>.</w:t>
      </w:r>
      <w:r w:rsidR="005430C5">
        <w:rPr>
          <w:rFonts w:ascii="Times New Roman" w:eastAsia="Times New Roman" w:hAnsi="Times New Roman" w:cs="Times New Roman"/>
          <w:sz w:val="28"/>
          <w:szCs w:val="28"/>
        </w:rPr>
        <w:t xml:space="preserve"> составила </w:t>
      </w:r>
      <w:r w:rsidR="00CF12CE">
        <w:rPr>
          <w:rFonts w:ascii="Times New Roman" w:eastAsia="Times New Roman" w:hAnsi="Times New Roman" w:cs="Times New Roman"/>
          <w:sz w:val="28"/>
          <w:szCs w:val="28"/>
        </w:rPr>
        <w:br/>
      </w:r>
      <w:r w:rsidR="00963B20">
        <w:rPr>
          <w:rFonts w:ascii="Times New Roman" w:eastAsia="Times New Roman" w:hAnsi="Times New Roman" w:cs="Times New Roman"/>
          <w:sz w:val="28"/>
          <w:szCs w:val="28"/>
        </w:rPr>
        <w:t>883</w:t>
      </w:r>
      <w:r w:rsidRPr="00D6226F">
        <w:rPr>
          <w:rFonts w:ascii="Times New Roman" w:eastAsia="Times New Roman" w:hAnsi="Times New Roman" w:cs="Times New Roman"/>
          <w:sz w:val="28"/>
          <w:szCs w:val="28"/>
        </w:rPr>
        <w:t xml:space="preserve"> человек</w:t>
      </w:r>
      <w:r w:rsidR="00963B20">
        <w:rPr>
          <w:rFonts w:ascii="Times New Roman" w:eastAsia="Times New Roman" w:hAnsi="Times New Roman" w:cs="Times New Roman"/>
          <w:sz w:val="28"/>
          <w:szCs w:val="28"/>
        </w:rPr>
        <w:t>а</w:t>
      </w:r>
      <w:r w:rsidRPr="00D6226F">
        <w:rPr>
          <w:rFonts w:ascii="Times New Roman" w:eastAsia="Times New Roman" w:hAnsi="Times New Roman" w:cs="Times New Roman"/>
          <w:sz w:val="28"/>
          <w:szCs w:val="28"/>
        </w:rPr>
        <w:t xml:space="preserve"> (</w:t>
      </w:r>
      <w:r w:rsidR="00963B20">
        <w:rPr>
          <w:rFonts w:ascii="Times New Roman" w:eastAsia="Times New Roman" w:hAnsi="Times New Roman" w:cs="Times New Roman"/>
          <w:sz w:val="28"/>
          <w:szCs w:val="28"/>
        </w:rPr>
        <w:t xml:space="preserve">2020 г. – 1 017 человек; </w:t>
      </w:r>
      <w:r w:rsidR="004A5205" w:rsidRPr="00D6226F">
        <w:rPr>
          <w:rFonts w:ascii="Times New Roman" w:eastAsia="Times New Roman" w:hAnsi="Times New Roman" w:cs="Times New Roman"/>
          <w:sz w:val="28"/>
          <w:szCs w:val="28"/>
        </w:rPr>
        <w:t xml:space="preserve">2019 г. – 1 251 человек; </w:t>
      </w:r>
      <w:r w:rsidRPr="00D6226F">
        <w:rPr>
          <w:rFonts w:ascii="Times New Roman" w:eastAsia="Times New Roman" w:hAnsi="Times New Roman" w:cs="Times New Roman"/>
          <w:sz w:val="28"/>
          <w:szCs w:val="28"/>
        </w:rPr>
        <w:t>2018 г. </w:t>
      </w:r>
      <w:r w:rsidRPr="00D6226F">
        <w:rPr>
          <w:rFonts w:ascii="Times New Roman" w:eastAsia="Times New Roman" w:hAnsi="Times New Roman" w:cs="Times New Roman"/>
          <w:color w:val="000000"/>
          <w:sz w:val="28"/>
          <w:szCs w:val="28"/>
        </w:rPr>
        <w:t>–</w:t>
      </w:r>
      <w:r w:rsidR="00963B20">
        <w:rPr>
          <w:rFonts w:ascii="Times New Roman" w:eastAsia="Times New Roman" w:hAnsi="Times New Roman" w:cs="Times New Roman"/>
          <w:sz w:val="28"/>
          <w:szCs w:val="28"/>
        </w:rPr>
        <w:t> 1 354 человека</w:t>
      </w:r>
      <w:r w:rsidRPr="00D6226F">
        <w:rPr>
          <w:rFonts w:ascii="Times New Roman" w:eastAsia="Times New Roman" w:hAnsi="Times New Roman" w:cs="Times New Roman"/>
          <w:sz w:val="28"/>
          <w:szCs w:val="28"/>
        </w:rPr>
        <w:t>).</w:t>
      </w:r>
    </w:p>
    <w:p w14:paraId="6554A23D" w14:textId="77777777"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В 20</w:t>
      </w:r>
      <w:r w:rsidR="00FF22E6" w:rsidRPr="00D6226F">
        <w:rPr>
          <w:rFonts w:ascii="Times New Roman" w:eastAsia="Times New Roman" w:hAnsi="Times New Roman" w:cs="Times New Roman"/>
          <w:sz w:val="28"/>
          <w:szCs w:val="28"/>
        </w:rPr>
        <w:t>2</w:t>
      </w:r>
      <w:r w:rsidR="00963B20">
        <w:rPr>
          <w:rFonts w:ascii="Times New Roman" w:eastAsia="Times New Roman" w:hAnsi="Times New Roman" w:cs="Times New Roman"/>
          <w:sz w:val="28"/>
          <w:szCs w:val="28"/>
        </w:rPr>
        <w:t>1</w:t>
      </w:r>
      <w:r w:rsidRPr="00D6226F">
        <w:rPr>
          <w:rFonts w:ascii="Times New Roman" w:eastAsia="Times New Roman" w:hAnsi="Times New Roman" w:cs="Times New Roman"/>
          <w:sz w:val="28"/>
          <w:szCs w:val="28"/>
        </w:rPr>
        <w:t xml:space="preserve"> г</w:t>
      </w:r>
      <w:r w:rsidR="00CF12CE">
        <w:rPr>
          <w:rFonts w:ascii="Times New Roman" w:eastAsia="Times New Roman" w:hAnsi="Times New Roman" w:cs="Times New Roman"/>
          <w:sz w:val="28"/>
          <w:szCs w:val="28"/>
        </w:rPr>
        <w:t>.</w:t>
      </w:r>
      <w:r w:rsidRPr="00D6226F">
        <w:rPr>
          <w:rFonts w:ascii="Times New Roman" w:eastAsia="Times New Roman" w:hAnsi="Times New Roman" w:cs="Times New Roman"/>
          <w:sz w:val="28"/>
          <w:szCs w:val="28"/>
        </w:rPr>
        <w:t xml:space="preserve"> доля осужденных, отбывающих наказание в ВК, по видам преступлений составила: </w:t>
      </w:r>
    </w:p>
    <w:p w14:paraId="7AE0DD17" w14:textId="77777777"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 xml:space="preserve">кража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w:t>
      </w:r>
      <w:r w:rsidR="00963B20">
        <w:rPr>
          <w:rFonts w:ascii="Times New Roman" w:eastAsia="Times New Roman" w:hAnsi="Times New Roman" w:cs="Times New Roman"/>
          <w:sz w:val="28"/>
          <w:szCs w:val="28"/>
        </w:rPr>
        <w:t xml:space="preserve">9,9% </w:t>
      </w:r>
      <w:r w:rsidRPr="00D6226F">
        <w:rPr>
          <w:rFonts w:ascii="Times New Roman" w:eastAsia="Times New Roman" w:hAnsi="Times New Roman" w:cs="Times New Roman"/>
          <w:sz w:val="28"/>
          <w:szCs w:val="28"/>
        </w:rPr>
        <w:t>(</w:t>
      </w:r>
      <w:r w:rsidR="00963B20">
        <w:rPr>
          <w:rFonts w:ascii="Times New Roman" w:eastAsia="Times New Roman" w:hAnsi="Times New Roman" w:cs="Times New Roman"/>
          <w:sz w:val="28"/>
          <w:szCs w:val="28"/>
        </w:rPr>
        <w:t xml:space="preserve">2020 г. – </w:t>
      </w:r>
      <w:r w:rsidR="00963B20" w:rsidRPr="00D6226F">
        <w:rPr>
          <w:rFonts w:ascii="Times New Roman" w:eastAsia="Times New Roman" w:hAnsi="Times New Roman" w:cs="Times New Roman"/>
          <w:sz w:val="28"/>
          <w:szCs w:val="28"/>
        </w:rPr>
        <w:t>9,7%</w:t>
      </w:r>
      <w:r w:rsidR="00963B20">
        <w:rPr>
          <w:rFonts w:ascii="Times New Roman" w:eastAsia="Times New Roman" w:hAnsi="Times New Roman" w:cs="Times New Roman"/>
          <w:sz w:val="28"/>
          <w:szCs w:val="28"/>
        </w:rPr>
        <w:t>; 2019 г. – 13,5%</w:t>
      </w:r>
      <w:r w:rsidRPr="00D6226F">
        <w:rPr>
          <w:rFonts w:ascii="Times New Roman" w:eastAsia="Times New Roman" w:hAnsi="Times New Roman" w:cs="Times New Roman"/>
          <w:sz w:val="28"/>
          <w:szCs w:val="28"/>
        </w:rPr>
        <w:t xml:space="preserve">); </w:t>
      </w:r>
    </w:p>
    <w:p w14:paraId="1F8EC0E1" w14:textId="77777777"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 xml:space="preserve">грабеж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w:t>
      </w:r>
      <w:r w:rsidR="00963B20">
        <w:rPr>
          <w:rFonts w:ascii="Times New Roman" w:eastAsia="Times New Roman" w:hAnsi="Times New Roman" w:cs="Times New Roman"/>
          <w:sz w:val="28"/>
          <w:szCs w:val="28"/>
        </w:rPr>
        <w:t xml:space="preserve">9% </w:t>
      </w:r>
      <w:r w:rsidR="00FF22E6" w:rsidRPr="00D6226F">
        <w:rPr>
          <w:rFonts w:ascii="Times New Roman" w:eastAsia="Times New Roman" w:hAnsi="Times New Roman" w:cs="Times New Roman"/>
          <w:sz w:val="28"/>
          <w:szCs w:val="28"/>
        </w:rPr>
        <w:t>(</w:t>
      </w:r>
      <w:r w:rsidR="00963B20">
        <w:rPr>
          <w:rFonts w:ascii="Times New Roman" w:eastAsia="Times New Roman" w:hAnsi="Times New Roman" w:cs="Times New Roman"/>
          <w:sz w:val="28"/>
          <w:szCs w:val="28"/>
        </w:rPr>
        <w:t xml:space="preserve">2020 г. – 11,1%; </w:t>
      </w:r>
      <w:r w:rsidR="00FF22E6" w:rsidRPr="00D6226F">
        <w:rPr>
          <w:rFonts w:ascii="Times New Roman" w:eastAsia="Times New Roman" w:hAnsi="Times New Roman" w:cs="Times New Roman"/>
          <w:sz w:val="28"/>
          <w:szCs w:val="28"/>
        </w:rPr>
        <w:t xml:space="preserve">2019 г. – </w:t>
      </w:r>
      <w:r w:rsidRPr="00D6226F">
        <w:rPr>
          <w:rFonts w:ascii="Times New Roman" w:eastAsia="Times New Roman" w:hAnsi="Times New Roman" w:cs="Times New Roman"/>
          <w:sz w:val="28"/>
          <w:szCs w:val="28"/>
        </w:rPr>
        <w:t xml:space="preserve">11,7%); </w:t>
      </w:r>
    </w:p>
    <w:p w14:paraId="428A4597" w14:textId="77777777"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 xml:space="preserve">разбой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w:t>
      </w:r>
      <w:r w:rsidR="00963B20">
        <w:rPr>
          <w:rFonts w:ascii="Times New Roman" w:eastAsia="Times New Roman" w:hAnsi="Times New Roman" w:cs="Times New Roman"/>
          <w:sz w:val="28"/>
          <w:szCs w:val="28"/>
        </w:rPr>
        <w:t>10</w:t>
      </w:r>
      <w:r w:rsidR="00807F90" w:rsidRPr="00D6226F">
        <w:rPr>
          <w:rFonts w:ascii="Times New Roman" w:eastAsia="Times New Roman" w:hAnsi="Times New Roman" w:cs="Times New Roman"/>
          <w:sz w:val="28"/>
          <w:szCs w:val="28"/>
        </w:rPr>
        <w:t>,</w:t>
      </w:r>
      <w:r w:rsidR="00963B20">
        <w:rPr>
          <w:rFonts w:ascii="Times New Roman" w:eastAsia="Times New Roman" w:hAnsi="Times New Roman" w:cs="Times New Roman"/>
          <w:sz w:val="28"/>
          <w:szCs w:val="28"/>
        </w:rPr>
        <w:t>7</w:t>
      </w:r>
      <w:r w:rsidR="00807F90" w:rsidRPr="00D6226F">
        <w:rPr>
          <w:rFonts w:ascii="Times New Roman" w:eastAsia="Times New Roman" w:hAnsi="Times New Roman" w:cs="Times New Roman"/>
          <w:sz w:val="28"/>
          <w:szCs w:val="28"/>
        </w:rPr>
        <w:t>% (</w:t>
      </w:r>
      <w:r w:rsidR="00963B20" w:rsidRPr="00D6226F">
        <w:rPr>
          <w:rFonts w:ascii="Times New Roman" w:eastAsia="Times New Roman" w:hAnsi="Times New Roman" w:cs="Times New Roman"/>
          <w:sz w:val="28"/>
          <w:szCs w:val="28"/>
        </w:rPr>
        <w:t>20</w:t>
      </w:r>
      <w:r w:rsidR="00963B20">
        <w:rPr>
          <w:rFonts w:ascii="Times New Roman" w:eastAsia="Times New Roman" w:hAnsi="Times New Roman" w:cs="Times New Roman"/>
          <w:sz w:val="28"/>
          <w:szCs w:val="28"/>
        </w:rPr>
        <w:t>20</w:t>
      </w:r>
      <w:r w:rsidR="00963B20" w:rsidRPr="00D6226F">
        <w:rPr>
          <w:rFonts w:ascii="Times New Roman" w:eastAsia="Times New Roman" w:hAnsi="Times New Roman" w:cs="Times New Roman"/>
          <w:sz w:val="28"/>
          <w:szCs w:val="28"/>
        </w:rPr>
        <w:t xml:space="preserve"> г. </w:t>
      </w:r>
      <w:r w:rsidR="00963B20" w:rsidRPr="00D6226F">
        <w:rPr>
          <w:rFonts w:ascii="Times New Roman" w:eastAsia="Times New Roman" w:hAnsi="Times New Roman" w:cs="Times New Roman"/>
          <w:color w:val="000000"/>
          <w:sz w:val="28"/>
          <w:szCs w:val="28"/>
        </w:rPr>
        <w:t>–</w:t>
      </w:r>
      <w:r w:rsidR="00A9053B" w:rsidRPr="00BD5345">
        <w:rPr>
          <w:rFonts w:ascii="Times New Roman" w:eastAsia="Times New Roman" w:hAnsi="Times New Roman" w:cs="Times New Roman"/>
          <w:sz w:val="28"/>
          <w:szCs w:val="28"/>
        </w:rPr>
        <w:t> </w:t>
      </w:r>
      <w:r w:rsidR="00963B20">
        <w:rPr>
          <w:rFonts w:ascii="Times New Roman" w:eastAsia="Times New Roman" w:hAnsi="Times New Roman" w:cs="Times New Roman"/>
          <w:sz w:val="28"/>
          <w:szCs w:val="28"/>
        </w:rPr>
        <w:t>9</w:t>
      </w:r>
      <w:r w:rsidR="00963B20" w:rsidRPr="00D6226F">
        <w:rPr>
          <w:rFonts w:ascii="Times New Roman" w:eastAsia="Times New Roman" w:hAnsi="Times New Roman" w:cs="Times New Roman"/>
          <w:sz w:val="28"/>
          <w:szCs w:val="28"/>
        </w:rPr>
        <w:t>,</w:t>
      </w:r>
      <w:r w:rsidR="00963B20">
        <w:rPr>
          <w:rFonts w:ascii="Times New Roman" w:eastAsia="Times New Roman" w:hAnsi="Times New Roman" w:cs="Times New Roman"/>
          <w:sz w:val="28"/>
          <w:szCs w:val="28"/>
        </w:rPr>
        <w:t>5</w:t>
      </w:r>
      <w:r w:rsidR="00963B20" w:rsidRPr="00D6226F">
        <w:rPr>
          <w:rFonts w:ascii="Times New Roman" w:eastAsia="Times New Roman" w:hAnsi="Times New Roman" w:cs="Times New Roman"/>
          <w:sz w:val="28"/>
          <w:szCs w:val="28"/>
        </w:rPr>
        <w:t xml:space="preserve">%; </w:t>
      </w:r>
      <w:r w:rsidR="00807F90" w:rsidRPr="00D6226F">
        <w:rPr>
          <w:rFonts w:ascii="Times New Roman" w:eastAsia="Times New Roman" w:hAnsi="Times New Roman" w:cs="Times New Roman"/>
          <w:sz w:val="28"/>
          <w:szCs w:val="28"/>
        </w:rPr>
        <w:t xml:space="preserve">2019 г. – </w:t>
      </w:r>
      <w:r w:rsidRPr="00D6226F">
        <w:rPr>
          <w:rFonts w:ascii="Times New Roman" w:eastAsia="Times New Roman" w:hAnsi="Times New Roman" w:cs="Times New Roman"/>
          <w:sz w:val="28"/>
          <w:szCs w:val="28"/>
        </w:rPr>
        <w:t xml:space="preserve">11%); </w:t>
      </w:r>
    </w:p>
    <w:p w14:paraId="4D9C8121" w14:textId="77777777"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 xml:space="preserve">умышленное причинение тяжкого вреда здоровью </w:t>
      </w:r>
      <w:r w:rsidRPr="00D6226F">
        <w:rPr>
          <w:rFonts w:ascii="Times New Roman" w:eastAsia="Times New Roman" w:hAnsi="Times New Roman" w:cs="Times New Roman"/>
          <w:color w:val="000000"/>
          <w:sz w:val="28"/>
          <w:szCs w:val="28"/>
        </w:rPr>
        <w:t>–</w:t>
      </w:r>
      <w:r w:rsidR="00DA248B" w:rsidRPr="00D6226F">
        <w:rPr>
          <w:rFonts w:ascii="Times New Roman" w:eastAsia="Times New Roman" w:hAnsi="Times New Roman" w:cs="Times New Roman"/>
          <w:color w:val="000000"/>
          <w:sz w:val="28"/>
          <w:szCs w:val="28"/>
          <w:lang w:eastAsia="ru-RU" w:bidi="ru-RU"/>
        </w:rPr>
        <w:t> </w:t>
      </w:r>
      <w:r w:rsidR="00963B20">
        <w:rPr>
          <w:rFonts w:ascii="Times New Roman" w:eastAsia="Times New Roman" w:hAnsi="Times New Roman" w:cs="Times New Roman"/>
          <w:color w:val="000000"/>
          <w:sz w:val="28"/>
          <w:szCs w:val="28"/>
        </w:rPr>
        <w:t>9</w:t>
      </w:r>
      <w:r w:rsidR="00807F90" w:rsidRPr="00D6226F">
        <w:rPr>
          <w:rFonts w:ascii="Times New Roman" w:eastAsia="Times New Roman" w:hAnsi="Times New Roman" w:cs="Times New Roman"/>
          <w:color w:val="000000"/>
          <w:sz w:val="28"/>
          <w:szCs w:val="28"/>
        </w:rPr>
        <w:t>,</w:t>
      </w:r>
      <w:r w:rsidR="00963B20">
        <w:rPr>
          <w:rFonts w:ascii="Times New Roman" w:eastAsia="Times New Roman" w:hAnsi="Times New Roman" w:cs="Times New Roman"/>
          <w:color w:val="000000"/>
          <w:sz w:val="28"/>
          <w:szCs w:val="28"/>
        </w:rPr>
        <w:t>9</w:t>
      </w:r>
      <w:r w:rsidR="00807F90" w:rsidRPr="00D6226F">
        <w:rPr>
          <w:rFonts w:ascii="Times New Roman" w:eastAsia="Times New Roman" w:hAnsi="Times New Roman" w:cs="Times New Roman"/>
          <w:color w:val="000000"/>
          <w:sz w:val="28"/>
          <w:szCs w:val="28"/>
        </w:rPr>
        <w:t>% (</w:t>
      </w:r>
      <w:r w:rsidR="00963B20" w:rsidRPr="00D6226F">
        <w:rPr>
          <w:rFonts w:ascii="Times New Roman" w:eastAsia="Times New Roman" w:hAnsi="Times New Roman" w:cs="Times New Roman"/>
          <w:sz w:val="28"/>
          <w:szCs w:val="28"/>
        </w:rPr>
        <w:t>20</w:t>
      </w:r>
      <w:r w:rsidR="00963B20">
        <w:rPr>
          <w:rFonts w:ascii="Times New Roman" w:eastAsia="Times New Roman" w:hAnsi="Times New Roman" w:cs="Times New Roman"/>
          <w:sz w:val="28"/>
          <w:szCs w:val="28"/>
        </w:rPr>
        <w:t>20</w:t>
      </w:r>
      <w:r w:rsidR="00963B20" w:rsidRPr="00D6226F">
        <w:rPr>
          <w:rFonts w:ascii="Times New Roman" w:eastAsia="Times New Roman" w:hAnsi="Times New Roman" w:cs="Times New Roman"/>
          <w:sz w:val="28"/>
          <w:szCs w:val="28"/>
        </w:rPr>
        <w:t xml:space="preserve"> г. </w:t>
      </w:r>
      <w:r w:rsidR="00963B20" w:rsidRPr="00D6226F">
        <w:rPr>
          <w:rFonts w:ascii="Times New Roman" w:eastAsia="Times New Roman" w:hAnsi="Times New Roman" w:cs="Times New Roman"/>
          <w:color w:val="000000"/>
          <w:sz w:val="28"/>
          <w:szCs w:val="28"/>
        </w:rPr>
        <w:t>–</w:t>
      </w:r>
      <w:r w:rsidR="00963B20" w:rsidRPr="00D6226F">
        <w:rPr>
          <w:rFonts w:ascii="Times New Roman" w:eastAsia="Times New Roman" w:hAnsi="Times New Roman" w:cs="Times New Roman"/>
          <w:color w:val="000000"/>
          <w:sz w:val="28"/>
          <w:szCs w:val="28"/>
          <w:lang w:eastAsia="ru-RU" w:bidi="ru-RU"/>
        </w:rPr>
        <w:t> </w:t>
      </w:r>
      <w:r w:rsidR="00963B20">
        <w:rPr>
          <w:rFonts w:ascii="Times New Roman" w:eastAsia="Times New Roman" w:hAnsi="Times New Roman" w:cs="Times New Roman"/>
          <w:sz w:val="28"/>
          <w:szCs w:val="28"/>
        </w:rPr>
        <w:t>10,1%</w:t>
      </w:r>
      <w:r w:rsidR="00963B20" w:rsidRPr="00D6226F">
        <w:rPr>
          <w:rFonts w:ascii="Times New Roman" w:eastAsia="Times New Roman" w:hAnsi="Times New Roman" w:cs="Times New Roman"/>
          <w:sz w:val="28"/>
          <w:szCs w:val="28"/>
        </w:rPr>
        <w:t>;</w:t>
      </w:r>
      <w:r w:rsidR="00C64F30">
        <w:rPr>
          <w:rFonts w:ascii="Times New Roman" w:eastAsia="Times New Roman" w:hAnsi="Times New Roman" w:cs="Times New Roman"/>
          <w:sz w:val="28"/>
          <w:szCs w:val="28"/>
        </w:rPr>
        <w:br/>
      </w:r>
      <w:r w:rsidR="00807F90" w:rsidRPr="00D6226F">
        <w:rPr>
          <w:rFonts w:ascii="Times New Roman" w:eastAsia="Times New Roman" w:hAnsi="Times New Roman" w:cs="Times New Roman"/>
          <w:color w:val="000000"/>
          <w:sz w:val="28"/>
          <w:szCs w:val="28"/>
        </w:rPr>
        <w:t xml:space="preserve">2019 г. – </w:t>
      </w:r>
      <w:r w:rsidR="00807F90" w:rsidRPr="00D6226F">
        <w:rPr>
          <w:rFonts w:ascii="Times New Roman" w:eastAsia="Times New Roman" w:hAnsi="Times New Roman" w:cs="Times New Roman"/>
          <w:sz w:val="28"/>
          <w:szCs w:val="28"/>
        </w:rPr>
        <w:t>8,6%);</w:t>
      </w:r>
    </w:p>
    <w:p w14:paraId="0812AF93" w14:textId="77777777"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 xml:space="preserve">изнасилование </w:t>
      </w:r>
      <w:r w:rsidRPr="00D6226F">
        <w:rPr>
          <w:rFonts w:ascii="Times New Roman" w:eastAsia="Times New Roman" w:hAnsi="Times New Roman" w:cs="Times New Roman"/>
          <w:color w:val="000000"/>
          <w:sz w:val="28"/>
          <w:szCs w:val="28"/>
        </w:rPr>
        <w:t>–</w:t>
      </w:r>
      <w:r w:rsidR="00D95223">
        <w:rPr>
          <w:rFonts w:ascii="Times New Roman" w:eastAsia="Times New Roman" w:hAnsi="Times New Roman" w:cs="Times New Roman"/>
          <w:color w:val="000000"/>
          <w:sz w:val="28"/>
          <w:szCs w:val="28"/>
          <w:lang w:eastAsia="ru-RU" w:bidi="ru-RU"/>
        </w:rPr>
        <w:t> </w:t>
      </w:r>
      <w:r w:rsidR="00EF6640" w:rsidRPr="00D6226F">
        <w:rPr>
          <w:rFonts w:ascii="Times New Roman" w:eastAsia="Times New Roman" w:hAnsi="Times New Roman" w:cs="Times New Roman"/>
          <w:sz w:val="28"/>
          <w:szCs w:val="28"/>
        </w:rPr>
        <w:t>13,</w:t>
      </w:r>
      <w:r w:rsidR="00942EAC">
        <w:rPr>
          <w:rFonts w:ascii="Times New Roman" w:eastAsia="Times New Roman" w:hAnsi="Times New Roman" w:cs="Times New Roman"/>
          <w:sz w:val="28"/>
          <w:szCs w:val="28"/>
        </w:rPr>
        <w:t>8</w:t>
      </w:r>
      <w:r w:rsidR="00EF6640" w:rsidRPr="00D6226F">
        <w:rPr>
          <w:rFonts w:ascii="Times New Roman" w:eastAsia="Times New Roman" w:hAnsi="Times New Roman" w:cs="Times New Roman"/>
          <w:sz w:val="28"/>
          <w:szCs w:val="28"/>
        </w:rPr>
        <w:t>% (</w:t>
      </w:r>
      <w:r w:rsidR="00942EAC" w:rsidRPr="00D6226F">
        <w:rPr>
          <w:rFonts w:ascii="Times New Roman" w:eastAsia="Times New Roman" w:hAnsi="Times New Roman" w:cs="Times New Roman"/>
          <w:sz w:val="28"/>
          <w:szCs w:val="28"/>
        </w:rPr>
        <w:t>20</w:t>
      </w:r>
      <w:r w:rsidR="00942EAC">
        <w:rPr>
          <w:rFonts w:ascii="Times New Roman" w:eastAsia="Times New Roman" w:hAnsi="Times New Roman" w:cs="Times New Roman"/>
          <w:sz w:val="28"/>
          <w:szCs w:val="28"/>
        </w:rPr>
        <w:t>20</w:t>
      </w:r>
      <w:r w:rsidR="00942EAC" w:rsidRPr="00D6226F">
        <w:rPr>
          <w:rFonts w:ascii="Times New Roman" w:eastAsia="Times New Roman" w:hAnsi="Times New Roman" w:cs="Times New Roman"/>
          <w:sz w:val="28"/>
          <w:szCs w:val="28"/>
        </w:rPr>
        <w:t xml:space="preserve"> г. </w:t>
      </w:r>
      <w:r w:rsidR="00942EAC" w:rsidRPr="00D6226F">
        <w:rPr>
          <w:rFonts w:ascii="Times New Roman" w:eastAsia="Times New Roman" w:hAnsi="Times New Roman" w:cs="Times New Roman"/>
          <w:color w:val="000000"/>
          <w:sz w:val="28"/>
          <w:szCs w:val="28"/>
        </w:rPr>
        <w:t>–</w:t>
      </w:r>
      <w:r w:rsidR="00942EAC" w:rsidRPr="00D6226F">
        <w:rPr>
          <w:rFonts w:ascii="Times New Roman" w:eastAsia="Times New Roman" w:hAnsi="Times New Roman" w:cs="Times New Roman"/>
          <w:sz w:val="28"/>
          <w:szCs w:val="28"/>
        </w:rPr>
        <w:t xml:space="preserve"> 1</w:t>
      </w:r>
      <w:r w:rsidR="00942EAC">
        <w:rPr>
          <w:rFonts w:ascii="Times New Roman" w:eastAsia="Times New Roman" w:hAnsi="Times New Roman" w:cs="Times New Roman"/>
          <w:sz w:val="28"/>
          <w:szCs w:val="28"/>
        </w:rPr>
        <w:t>3</w:t>
      </w:r>
      <w:r w:rsidR="00942EAC" w:rsidRPr="00D6226F">
        <w:rPr>
          <w:rFonts w:ascii="Times New Roman" w:eastAsia="Times New Roman" w:hAnsi="Times New Roman" w:cs="Times New Roman"/>
          <w:sz w:val="28"/>
          <w:szCs w:val="28"/>
        </w:rPr>
        <w:t>,</w:t>
      </w:r>
      <w:r w:rsidR="00942EAC">
        <w:rPr>
          <w:rFonts w:ascii="Times New Roman" w:eastAsia="Times New Roman" w:hAnsi="Times New Roman" w:cs="Times New Roman"/>
          <w:sz w:val="28"/>
          <w:szCs w:val="28"/>
        </w:rPr>
        <w:t>4</w:t>
      </w:r>
      <w:r w:rsidR="00942EAC" w:rsidRPr="00D6226F">
        <w:rPr>
          <w:rFonts w:ascii="Times New Roman" w:eastAsia="Times New Roman" w:hAnsi="Times New Roman" w:cs="Times New Roman"/>
          <w:sz w:val="28"/>
          <w:szCs w:val="28"/>
        </w:rPr>
        <w:t>%;</w:t>
      </w:r>
      <w:r w:rsidR="00A9053B" w:rsidRPr="00BD5345">
        <w:rPr>
          <w:rFonts w:ascii="Times New Roman" w:eastAsia="Times New Roman" w:hAnsi="Times New Roman" w:cs="Times New Roman"/>
          <w:sz w:val="28"/>
          <w:szCs w:val="28"/>
        </w:rPr>
        <w:t> </w:t>
      </w:r>
      <w:r w:rsidR="00EF6640" w:rsidRPr="00D6226F">
        <w:rPr>
          <w:rFonts w:ascii="Times New Roman" w:eastAsia="Times New Roman" w:hAnsi="Times New Roman" w:cs="Times New Roman"/>
          <w:sz w:val="28"/>
          <w:szCs w:val="28"/>
        </w:rPr>
        <w:t xml:space="preserve">2019 г. – </w:t>
      </w:r>
      <w:r w:rsidRPr="00D6226F">
        <w:rPr>
          <w:rFonts w:ascii="Times New Roman" w:eastAsia="Times New Roman" w:hAnsi="Times New Roman" w:cs="Times New Roman"/>
          <w:sz w:val="28"/>
          <w:szCs w:val="28"/>
        </w:rPr>
        <w:t xml:space="preserve">14,9%); </w:t>
      </w:r>
    </w:p>
    <w:p w14:paraId="4FE6530C" w14:textId="77777777"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 xml:space="preserve">убийство </w:t>
      </w:r>
      <w:r w:rsidRPr="00D6226F">
        <w:rPr>
          <w:rFonts w:ascii="Times New Roman" w:eastAsia="Times New Roman" w:hAnsi="Times New Roman" w:cs="Times New Roman"/>
          <w:color w:val="000000"/>
          <w:sz w:val="28"/>
          <w:szCs w:val="28"/>
        </w:rPr>
        <w:t>–</w:t>
      </w:r>
      <w:r w:rsidR="00380A03" w:rsidRPr="00D6226F">
        <w:rPr>
          <w:rFonts w:ascii="Times New Roman" w:eastAsia="Times New Roman" w:hAnsi="Times New Roman" w:cs="Times New Roman"/>
          <w:color w:val="000000"/>
          <w:sz w:val="28"/>
          <w:szCs w:val="28"/>
        </w:rPr>
        <w:t xml:space="preserve"> 7,7% (</w:t>
      </w:r>
      <w:r w:rsidR="00942EAC" w:rsidRPr="00D6226F">
        <w:rPr>
          <w:rFonts w:ascii="Times New Roman" w:eastAsia="Times New Roman" w:hAnsi="Times New Roman" w:cs="Times New Roman"/>
          <w:sz w:val="28"/>
          <w:szCs w:val="28"/>
        </w:rPr>
        <w:t>20</w:t>
      </w:r>
      <w:r w:rsidR="00942EAC">
        <w:rPr>
          <w:rFonts w:ascii="Times New Roman" w:eastAsia="Times New Roman" w:hAnsi="Times New Roman" w:cs="Times New Roman"/>
          <w:sz w:val="28"/>
          <w:szCs w:val="28"/>
        </w:rPr>
        <w:t>20</w:t>
      </w:r>
      <w:r w:rsidR="00942EAC" w:rsidRPr="00D6226F">
        <w:rPr>
          <w:rFonts w:ascii="Times New Roman" w:eastAsia="Times New Roman" w:hAnsi="Times New Roman" w:cs="Times New Roman"/>
          <w:sz w:val="28"/>
          <w:szCs w:val="28"/>
        </w:rPr>
        <w:t xml:space="preserve"> г. </w:t>
      </w:r>
      <w:r w:rsidR="00942EAC" w:rsidRPr="00D6226F">
        <w:rPr>
          <w:rFonts w:ascii="Times New Roman" w:eastAsia="Times New Roman" w:hAnsi="Times New Roman" w:cs="Times New Roman"/>
          <w:color w:val="000000"/>
          <w:sz w:val="28"/>
          <w:szCs w:val="28"/>
        </w:rPr>
        <w:t>–</w:t>
      </w:r>
      <w:r w:rsidR="00942EAC" w:rsidRPr="00D6226F">
        <w:rPr>
          <w:rFonts w:ascii="Times New Roman" w:eastAsia="Times New Roman" w:hAnsi="Times New Roman" w:cs="Times New Roman"/>
          <w:sz w:val="28"/>
          <w:szCs w:val="28"/>
        </w:rPr>
        <w:t> </w:t>
      </w:r>
      <w:r w:rsidR="00942EAC">
        <w:rPr>
          <w:rFonts w:ascii="Times New Roman" w:eastAsia="Times New Roman" w:hAnsi="Times New Roman" w:cs="Times New Roman"/>
          <w:sz w:val="28"/>
          <w:szCs w:val="28"/>
        </w:rPr>
        <w:t>7</w:t>
      </w:r>
      <w:r w:rsidR="00942EAC" w:rsidRPr="00D6226F">
        <w:rPr>
          <w:rFonts w:ascii="Times New Roman" w:eastAsia="Times New Roman" w:hAnsi="Times New Roman" w:cs="Times New Roman"/>
          <w:sz w:val="28"/>
          <w:szCs w:val="28"/>
        </w:rPr>
        <w:t>,</w:t>
      </w:r>
      <w:r w:rsidR="00942EAC">
        <w:rPr>
          <w:rFonts w:ascii="Times New Roman" w:eastAsia="Times New Roman" w:hAnsi="Times New Roman" w:cs="Times New Roman"/>
          <w:sz w:val="28"/>
          <w:szCs w:val="28"/>
        </w:rPr>
        <w:t>7</w:t>
      </w:r>
      <w:r w:rsidR="00942EAC" w:rsidRPr="00D6226F">
        <w:rPr>
          <w:rFonts w:ascii="Times New Roman" w:eastAsia="Times New Roman" w:hAnsi="Times New Roman" w:cs="Times New Roman"/>
          <w:sz w:val="28"/>
          <w:szCs w:val="28"/>
        </w:rPr>
        <w:t>%;</w:t>
      </w:r>
      <w:r w:rsidR="00A9053B" w:rsidRPr="00BD5345">
        <w:rPr>
          <w:rFonts w:ascii="Times New Roman" w:eastAsia="Times New Roman" w:hAnsi="Times New Roman" w:cs="Times New Roman"/>
          <w:sz w:val="28"/>
          <w:szCs w:val="28"/>
        </w:rPr>
        <w:t> </w:t>
      </w:r>
      <w:r w:rsidR="00380A03" w:rsidRPr="00D6226F">
        <w:rPr>
          <w:rFonts w:ascii="Times New Roman" w:eastAsia="Times New Roman" w:hAnsi="Times New Roman" w:cs="Times New Roman"/>
          <w:color w:val="000000"/>
          <w:sz w:val="28"/>
          <w:szCs w:val="28"/>
        </w:rPr>
        <w:t>2019 г. –</w:t>
      </w:r>
      <w:r w:rsidRPr="00D6226F">
        <w:rPr>
          <w:rFonts w:ascii="Times New Roman" w:eastAsia="Times New Roman" w:hAnsi="Times New Roman" w:cs="Times New Roman"/>
          <w:sz w:val="28"/>
          <w:szCs w:val="28"/>
        </w:rPr>
        <w:t xml:space="preserve"> 8,7%); </w:t>
      </w:r>
    </w:p>
    <w:p w14:paraId="520CD97C" w14:textId="77777777"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 xml:space="preserve">неправомерное завладение автомобилем или иным транспортным средством без цели хищения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color w:val="000000"/>
          <w:sz w:val="28"/>
          <w:szCs w:val="28"/>
          <w:lang w:eastAsia="ru-RU" w:bidi="ru-RU"/>
        </w:rPr>
        <w:t> </w:t>
      </w:r>
      <w:r w:rsidR="00380A03" w:rsidRPr="00D6226F">
        <w:rPr>
          <w:rFonts w:ascii="Times New Roman" w:eastAsia="Times New Roman" w:hAnsi="Times New Roman" w:cs="Times New Roman"/>
          <w:color w:val="000000"/>
          <w:sz w:val="28"/>
          <w:szCs w:val="28"/>
          <w:lang w:eastAsia="ru-RU" w:bidi="ru-RU"/>
        </w:rPr>
        <w:t>6,</w:t>
      </w:r>
      <w:r w:rsidR="00942EAC">
        <w:rPr>
          <w:rFonts w:ascii="Times New Roman" w:eastAsia="Times New Roman" w:hAnsi="Times New Roman" w:cs="Times New Roman"/>
          <w:color w:val="000000"/>
          <w:sz w:val="28"/>
          <w:szCs w:val="28"/>
          <w:lang w:eastAsia="ru-RU" w:bidi="ru-RU"/>
        </w:rPr>
        <w:t>9</w:t>
      </w:r>
      <w:r w:rsidR="00380A03" w:rsidRPr="00D6226F">
        <w:rPr>
          <w:rFonts w:ascii="Times New Roman" w:eastAsia="Times New Roman" w:hAnsi="Times New Roman" w:cs="Times New Roman"/>
          <w:color w:val="000000"/>
          <w:sz w:val="28"/>
          <w:szCs w:val="28"/>
          <w:lang w:eastAsia="ru-RU" w:bidi="ru-RU"/>
        </w:rPr>
        <w:t>% (</w:t>
      </w:r>
      <w:r w:rsidR="00942EAC" w:rsidRPr="00D6226F">
        <w:rPr>
          <w:rFonts w:ascii="Times New Roman" w:eastAsia="Times New Roman" w:hAnsi="Times New Roman" w:cs="Times New Roman"/>
          <w:sz w:val="28"/>
          <w:szCs w:val="28"/>
        </w:rPr>
        <w:t>20</w:t>
      </w:r>
      <w:r w:rsidR="00942EAC">
        <w:rPr>
          <w:rFonts w:ascii="Times New Roman" w:eastAsia="Times New Roman" w:hAnsi="Times New Roman" w:cs="Times New Roman"/>
          <w:sz w:val="28"/>
          <w:szCs w:val="28"/>
        </w:rPr>
        <w:t>20</w:t>
      </w:r>
      <w:r w:rsidR="00942EAC" w:rsidRPr="00D6226F">
        <w:rPr>
          <w:rFonts w:ascii="Times New Roman" w:eastAsia="Times New Roman" w:hAnsi="Times New Roman" w:cs="Times New Roman"/>
          <w:sz w:val="28"/>
          <w:szCs w:val="28"/>
        </w:rPr>
        <w:t xml:space="preserve"> г. – 6,</w:t>
      </w:r>
      <w:r w:rsidR="00942EAC">
        <w:rPr>
          <w:rFonts w:ascii="Times New Roman" w:eastAsia="Times New Roman" w:hAnsi="Times New Roman" w:cs="Times New Roman"/>
          <w:sz w:val="28"/>
          <w:szCs w:val="28"/>
        </w:rPr>
        <w:t>7</w:t>
      </w:r>
      <w:r w:rsidR="00942EAC" w:rsidRPr="00D6226F">
        <w:rPr>
          <w:rFonts w:ascii="Times New Roman" w:eastAsia="Times New Roman" w:hAnsi="Times New Roman" w:cs="Times New Roman"/>
          <w:sz w:val="28"/>
          <w:szCs w:val="28"/>
        </w:rPr>
        <w:t>%;</w:t>
      </w:r>
      <w:r w:rsidR="00A9053B" w:rsidRPr="00BD5345">
        <w:rPr>
          <w:rFonts w:ascii="Times New Roman" w:eastAsia="Times New Roman" w:hAnsi="Times New Roman" w:cs="Times New Roman"/>
          <w:sz w:val="28"/>
          <w:szCs w:val="28"/>
        </w:rPr>
        <w:t> </w:t>
      </w:r>
      <w:r w:rsidR="00380A03" w:rsidRPr="00D6226F">
        <w:rPr>
          <w:rFonts w:ascii="Times New Roman" w:eastAsia="Times New Roman" w:hAnsi="Times New Roman" w:cs="Times New Roman"/>
          <w:color w:val="000000"/>
          <w:sz w:val="28"/>
          <w:szCs w:val="28"/>
          <w:lang w:eastAsia="ru-RU" w:bidi="ru-RU"/>
        </w:rPr>
        <w:t xml:space="preserve">2019 г. – </w:t>
      </w:r>
      <w:r w:rsidRPr="00D6226F">
        <w:rPr>
          <w:rFonts w:ascii="Times New Roman" w:eastAsia="Times New Roman" w:hAnsi="Times New Roman" w:cs="Times New Roman"/>
          <w:sz w:val="28"/>
          <w:szCs w:val="28"/>
        </w:rPr>
        <w:t xml:space="preserve">7,1%); </w:t>
      </w:r>
    </w:p>
    <w:p w14:paraId="520059FD" w14:textId="77777777"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 xml:space="preserve">прочие преступления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color w:val="000000"/>
          <w:sz w:val="28"/>
          <w:szCs w:val="28"/>
          <w:lang w:eastAsia="ru-RU" w:bidi="ru-RU"/>
        </w:rPr>
        <w:t> </w:t>
      </w:r>
      <w:r w:rsidR="005A0C98" w:rsidRPr="00D6226F">
        <w:rPr>
          <w:rFonts w:ascii="Times New Roman" w:eastAsia="Times New Roman" w:hAnsi="Times New Roman" w:cs="Times New Roman"/>
          <w:color w:val="000000"/>
          <w:sz w:val="28"/>
          <w:szCs w:val="28"/>
          <w:lang w:eastAsia="ru-RU" w:bidi="ru-RU"/>
        </w:rPr>
        <w:t>3</w:t>
      </w:r>
      <w:r w:rsidR="00942EAC">
        <w:rPr>
          <w:rFonts w:ascii="Times New Roman" w:eastAsia="Times New Roman" w:hAnsi="Times New Roman" w:cs="Times New Roman"/>
          <w:color w:val="000000"/>
          <w:sz w:val="28"/>
          <w:szCs w:val="28"/>
          <w:lang w:eastAsia="ru-RU" w:bidi="ru-RU"/>
        </w:rPr>
        <w:t>3</w:t>
      </w:r>
      <w:r w:rsidR="005A0C98" w:rsidRPr="00D6226F">
        <w:rPr>
          <w:rFonts w:ascii="Times New Roman" w:eastAsia="Times New Roman" w:hAnsi="Times New Roman" w:cs="Times New Roman"/>
          <w:color w:val="000000"/>
          <w:sz w:val="28"/>
          <w:szCs w:val="28"/>
          <w:lang w:eastAsia="ru-RU" w:bidi="ru-RU"/>
        </w:rPr>
        <w:t>,</w:t>
      </w:r>
      <w:r w:rsidR="00942EAC">
        <w:rPr>
          <w:rFonts w:ascii="Times New Roman" w:eastAsia="Times New Roman" w:hAnsi="Times New Roman" w:cs="Times New Roman"/>
          <w:color w:val="000000"/>
          <w:sz w:val="28"/>
          <w:szCs w:val="28"/>
          <w:lang w:eastAsia="ru-RU" w:bidi="ru-RU"/>
        </w:rPr>
        <w:t>3</w:t>
      </w:r>
      <w:r w:rsidR="005A0C98" w:rsidRPr="00D6226F">
        <w:rPr>
          <w:rFonts w:ascii="Times New Roman" w:eastAsia="Times New Roman" w:hAnsi="Times New Roman" w:cs="Times New Roman"/>
          <w:color w:val="000000"/>
          <w:sz w:val="28"/>
          <w:szCs w:val="28"/>
          <w:lang w:eastAsia="ru-RU" w:bidi="ru-RU"/>
        </w:rPr>
        <w:t>% (</w:t>
      </w:r>
      <w:r w:rsidR="00942EAC" w:rsidRPr="00D6226F">
        <w:rPr>
          <w:rFonts w:ascii="Times New Roman" w:eastAsia="Times New Roman" w:hAnsi="Times New Roman" w:cs="Times New Roman"/>
          <w:sz w:val="28"/>
          <w:szCs w:val="28"/>
        </w:rPr>
        <w:t>20</w:t>
      </w:r>
      <w:r w:rsidR="00942EAC">
        <w:rPr>
          <w:rFonts w:ascii="Times New Roman" w:eastAsia="Times New Roman" w:hAnsi="Times New Roman" w:cs="Times New Roman"/>
          <w:sz w:val="28"/>
          <w:szCs w:val="28"/>
        </w:rPr>
        <w:t>20</w:t>
      </w:r>
      <w:r w:rsidR="00942EAC" w:rsidRPr="00D6226F">
        <w:rPr>
          <w:rFonts w:ascii="Times New Roman" w:eastAsia="Times New Roman" w:hAnsi="Times New Roman" w:cs="Times New Roman"/>
          <w:sz w:val="28"/>
          <w:szCs w:val="28"/>
        </w:rPr>
        <w:t xml:space="preserve"> г. – </w:t>
      </w:r>
      <w:r w:rsidR="00942EAC">
        <w:rPr>
          <w:rFonts w:ascii="Times New Roman" w:eastAsia="Times New Roman" w:hAnsi="Times New Roman" w:cs="Times New Roman"/>
          <w:sz w:val="28"/>
          <w:szCs w:val="28"/>
        </w:rPr>
        <w:t>30</w:t>
      </w:r>
      <w:r w:rsidR="00942EAC" w:rsidRPr="00D6226F">
        <w:rPr>
          <w:rFonts w:ascii="Times New Roman" w:eastAsia="Times New Roman" w:hAnsi="Times New Roman" w:cs="Times New Roman"/>
          <w:sz w:val="28"/>
          <w:szCs w:val="28"/>
        </w:rPr>
        <w:t>,</w:t>
      </w:r>
      <w:r w:rsidR="00942EAC">
        <w:rPr>
          <w:rFonts w:ascii="Times New Roman" w:eastAsia="Times New Roman" w:hAnsi="Times New Roman" w:cs="Times New Roman"/>
          <w:sz w:val="28"/>
          <w:szCs w:val="28"/>
        </w:rPr>
        <w:t>6</w:t>
      </w:r>
      <w:r w:rsidR="00942EAC" w:rsidRPr="00D6226F">
        <w:rPr>
          <w:rFonts w:ascii="Times New Roman" w:eastAsia="Times New Roman" w:hAnsi="Times New Roman" w:cs="Times New Roman"/>
          <w:sz w:val="28"/>
          <w:szCs w:val="28"/>
        </w:rPr>
        <w:t>%;</w:t>
      </w:r>
      <w:r w:rsidR="00A9053B" w:rsidRPr="00BD5345">
        <w:rPr>
          <w:rFonts w:ascii="Times New Roman" w:eastAsia="Times New Roman" w:hAnsi="Times New Roman" w:cs="Times New Roman"/>
          <w:sz w:val="28"/>
          <w:szCs w:val="28"/>
        </w:rPr>
        <w:t> </w:t>
      </w:r>
      <w:r w:rsidR="005A0C98" w:rsidRPr="00D6226F">
        <w:rPr>
          <w:rFonts w:ascii="Times New Roman" w:eastAsia="Times New Roman" w:hAnsi="Times New Roman" w:cs="Times New Roman"/>
          <w:color w:val="000000"/>
          <w:sz w:val="28"/>
          <w:szCs w:val="28"/>
          <w:lang w:eastAsia="ru-RU" w:bidi="ru-RU"/>
        </w:rPr>
        <w:t xml:space="preserve">2019 г. – </w:t>
      </w:r>
      <w:r w:rsidRPr="00D6226F">
        <w:rPr>
          <w:rFonts w:ascii="Times New Roman" w:eastAsia="Times New Roman" w:hAnsi="Times New Roman" w:cs="Times New Roman"/>
          <w:sz w:val="28"/>
          <w:szCs w:val="28"/>
        </w:rPr>
        <w:t>24,5%).</w:t>
      </w:r>
    </w:p>
    <w:p w14:paraId="728926FC" w14:textId="77777777"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 xml:space="preserve">Впервые отбывали наказание в виде лишения свободы </w:t>
      </w:r>
      <w:r w:rsidRPr="00D6226F">
        <w:rPr>
          <w:rFonts w:ascii="Times New Roman" w:eastAsia="Times New Roman" w:hAnsi="Times New Roman" w:cs="Times New Roman"/>
          <w:color w:val="000000"/>
          <w:sz w:val="28"/>
          <w:szCs w:val="28"/>
        </w:rPr>
        <w:t>–</w:t>
      </w:r>
      <w:r w:rsidR="00D95223">
        <w:rPr>
          <w:rFonts w:ascii="Times New Roman" w:eastAsia="Times New Roman" w:hAnsi="Times New Roman" w:cs="Times New Roman"/>
          <w:color w:val="000000"/>
          <w:sz w:val="28"/>
          <w:szCs w:val="28"/>
          <w:lang w:eastAsia="ru-RU" w:bidi="ru-RU"/>
        </w:rPr>
        <w:t> </w:t>
      </w:r>
      <w:r w:rsidR="00942EAC">
        <w:rPr>
          <w:rFonts w:ascii="Times New Roman" w:eastAsia="Times New Roman" w:hAnsi="Times New Roman" w:cs="Times New Roman"/>
          <w:sz w:val="28"/>
          <w:szCs w:val="28"/>
        </w:rPr>
        <w:t>97</w:t>
      </w:r>
      <w:r w:rsidR="005A0C98" w:rsidRPr="00D6226F">
        <w:rPr>
          <w:rFonts w:ascii="Times New Roman" w:eastAsia="Times New Roman" w:hAnsi="Times New Roman" w:cs="Times New Roman"/>
          <w:sz w:val="28"/>
          <w:szCs w:val="28"/>
        </w:rPr>
        <w:t>,5% осужденных (</w:t>
      </w:r>
      <w:r w:rsidR="00942EAC" w:rsidRPr="00D6226F">
        <w:rPr>
          <w:rFonts w:ascii="Times New Roman" w:eastAsia="Times New Roman" w:hAnsi="Times New Roman" w:cs="Times New Roman"/>
          <w:sz w:val="28"/>
          <w:szCs w:val="28"/>
        </w:rPr>
        <w:t>20</w:t>
      </w:r>
      <w:r w:rsidR="00942EAC">
        <w:rPr>
          <w:rFonts w:ascii="Times New Roman" w:eastAsia="Times New Roman" w:hAnsi="Times New Roman" w:cs="Times New Roman"/>
          <w:sz w:val="28"/>
          <w:szCs w:val="28"/>
        </w:rPr>
        <w:t>20</w:t>
      </w:r>
      <w:r w:rsidR="00942EAC" w:rsidRPr="00D6226F">
        <w:rPr>
          <w:rFonts w:ascii="Times New Roman" w:eastAsia="Times New Roman" w:hAnsi="Times New Roman" w:cs="Times New Roman"/>
          <w:sz w:val="28"/>
          <w:szCs w:val="28"/>
        </w:rPr>
        <w:t xml:space="preserve"> г. – 98,5%; </w:t>
      </w:r>
      <w:r w:rsidR="005A0C98" w:rsidRPr="00D6226F">
        <w:rPr>
          <w:rFonts w:ascii="Times New Roman" w:eastAsia="Times New Roman" w:hAnsi="Times New Roman" w:cs="Times New Roman"/>
          <w:sz w:val="28"/>
          <w:szCs w:val="28"/>
        </w:rPr>
        <w:t xml:space="preserve">2019 г. – </w:t>
      </w:r>
      <w:r w:rsidRPr="00D6226F">
        <w:rPr>
          <w:rFonts w:ascii="Times New Roman" w:eastAsia="Times New Roman" w:hAnsi="Times New Roman" w:cs="Times New Roman"/>
          <w:sz w:val="28"/>
          <w:szCs w:val="28"/>
        </w:rPr>
        <w:t>97,7%).</w:t>
      </w:r>
    </w:p>
    <w:p w14:paraId="12A976DA" w14:textId="77777777" w:rsidR="00D03A4F" w:rsidRPr="00D6226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Количество несовершеннолетних, которые до осуждения нигде не работали и не учились, в 20</w:t>
      </w:r>
      <w:r w:rsidR="005A0C98" w:rsidRPr="00D6226F">
        <w:rPr>
          <w:rFonts w:ascii="Times New Roman" w:eastAsia="Times New Roman" w:hAnsi="Times New Roman" w:cs="Times New Roman"/>
          <w:sz w:val="28"/>
          <w:szCs w:val="28"/>
        </w:rPr>
        <w:t>2</w:t>
      </w:r>
      <w:r w:rsidR="00942EAC">
        <w:rPr>
          <w:rFonts w:ascii="Times New Roman" w:eastAsia="Times New Roman" w:hAnsi="Times New Roman" w:cs="Times New Roman"/>
          <w:sz w:val="28"/>
          <w:szCs w:val="28"/>
        </w:rPr>
        <w:t>1</w:t>
      </w:r>
      <w:r w:rsidRPr="00D6226F">
        <w:rPr>
          <w:rFonts w:ascii="Times New Roman" w:eastAsia="Times New Roman" w:hAnsi="Times New Roman" w:cs="Times New Roman"/>
          <w:sz w:val="28"/>
          <w:szCs w:val="28"/>
        </w:rPr>
        <w:t xml:space="preserve"> </w:t>
      </w:r>
      <w:r w:rsidR="00C66965">
        <w:rPr>
          <w:rFonts w:ascii="Times New Roman" w:eastAsia="Times New Roman" w:hAnsi="Times New Roman" w:cs="Times New Roman"/>
          <w:sz w:val="28"/>
          <w:szCs w:val="28"/>
        </w:rPr>
        <w:t>г.</w:t>
      </w:r>
      <w:r w:rsidRPr="00D6226F">
        <w:rPr>
          <w:rFonts w:ascii="Times New Roman" w:eastAsia="Times New Roman" w:hAnsi="Times New Roman" w:cs="Times New Roman"/>
          <w:sz w:val="28"/>
          <w:szCs w:val="28"/>
        </w:rPr>
        <w:t xml:space="preserve"> составило </w:t>
      </w:r>
      <w:r w:rsidR="005A0C98" w:rsidRPr="00D6226F">
        <w:rPr>
          <w:rFonts w:ascii="Times New Roman" w:eastAsia="Times New Roman" w:hAnsi="Times New Roman" w:cs="Times New Roman"/>
          <w:sz w:val="28"/>
          <w:szCs w:val="28"/>
        </w:rPr>
        <w:t>8,</w:t>
      </w:r>
      <w:r w:rsidR="00942EAC">
        <w:rPr>
          <w:rFonts w:ascii="Times New Roman" w:eastAsia="Times New Roman" w:hAnsi="Times New Roman" w:cs="Times New Roman"/>
          <w:sz w:val="28"/>
          <w:szCs w:val="28"/>
        </w:rPr>
        <w:t>5</w:t>
      </w:r>
      <w:r w:rsidR="005A0C98" w:rsidRPr="00D6226F">
        <w:rPr>
          <w:rFonts w:ascii="Times New Roman" w:eastAsia="Times New Roman" w:hAnsi="Times New Roman" w:cs="Times New Roman"/>
          <w:sz w:val="28"/>
          <w:szCs w:val="28"/>
        </w:rPr>
        <w:t>% (</w:t>
      </w:r>
      <w:r w:rsidR="00942EAC" w:rsidRPr="00D6226F">
        <w:rPr>
          <w:rFonts w:ascii="Times New Roman" w:eastAsia="Times New Roman" w:hAnsi="Times New Roman" w:cs="Times New Roman"/>
          <w:sz w:val="28"/>
          <w:szCs w:val="28"/>
        </w:rPr>
        <w:t>20</w:t>
      </w:r>
      <w:r w:rsidR="00942EAC">
        <w:rPr>
          <w:rFonts w:ascii="Times New Roman" w:eastAsia="Times New Roman" w:hAnsi="Times New Roman" w:cs="Times New Roman"/>
          <w:sz w:val="28"/>
          <w:szCs w:val="28"/>
        </w:rPr>
        <w:t>20 г. – 8,7</w:t>
      </w:r>
      <w:r w:rsidR="00942EAC" w:rsidRPr="00D6226F">
        <w:rPr>
          <w:rFonts w:ascii="Times New Roman" w:eastAsia="Times New Roman" w:hAnsi="Times New Roman" w:cs="Times New Roman"/>
          <w:sz w:val="28"/>
          <w:szCs w:val="28"/>
        </w:rPr>
        <w:t xml:space="preserve">%; </w:t>
      </w:r>
      <w:r w:rsidR="005A0C98" w:rsidRPr="00D6226F">
        <w:rPr>
          <w:rFonts w:ascii="Times New Roman" w:eastAsia="Times New Roman" w:hAnsi="Times New Roman" w:cs="Times New Roman"/>
          <w:sz w:val="28"/>
          <w:szCs w:val="28"/>
        </w:rPr>
        <w:t xml:space="preserve">2019 г. – </w:t>
      </w:r>
      <w:r w:rsidRPr="00D6226F">
        <w:rPr>
          <w:rFonts w:ascii="Times New Roman" w:eastAsia="Times New Roman" w:hAnsi="Times New Roman" w:cs="Times New Roman"/>
          <w:sz w:val="28"/>
          <w:szCs w:val="28"/>
        </w:rPr>
        <w:t>9,6%</w:t>
      </w:r>
      <w:r w:rsidR="005A0C98" w:rsidRPr="00D6226F">
        <w:rPr>
          <w:rFonts w:ascii="Times New Roman" w:eastAsia="Times New Roman" w:hAnsi="Times New Roman" w:cs="Times New Roman"/>
          <w:sz w:val="28"/>
          <w:szCs w:val="28"/>
        </w:rPr>
        <w:t>)</w:t>
      </w:r>
      <w:r w:rsidRPr="00D6226F">
        <w:rPr>
          <w:rFonts w:ascii="Times New Roman" w:eastAsia="Times New Roman" w:hAnsi="Times New Roman" w:cs="Times New Roman"/>
          <w:sz w:val="28"/>
          <w:szCs w:val="28"/>
        </w:rPr>
        <w:t>.</w:t>
      </w:r>
    </w:p>
    <w:p w14:paraId="0A4152DA" w14:textId="77777777" w:rsidR="00D03A4F" w:rsidRPr="00D6226F" w:rsidRDefault="00D03A4F" w:rsidP="00D03A4F">
      <w:pPr>
        <w:widowControl w:val="0"/>
        <w:tabs>
          <w:tab w:val="right" w:pos="9351"/>
        </w:tabs>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 xml:space="preserve">Количество несовершеннолетних осужденных, являвшихся сиротами или лицами, лишенными родительского попечения, составило </w:t>
      </w:r>
      <w:r w:rsidR="00C334F0">
        <w:rPr>
          <w:rFonts w:ascii="Times New Roman" w:eastAsia="Times New Roman" w:hAnsi="Times New Roman" w:cs="Times New Roman"/>
          <w:sz w:val="28"/>
          <w:szCs w:val="28"/>
        </w:rPr>
        <w:t>12</w:t>
      </w:r>
      <w:r w:rsidR="00687D2F" w:rsidRPr="00D6226F">
        <w:rPr>
          <w:rFonts w:ascii="Times New Roman" w:eastAsia="Times New Roman" w:hAnsi="Times New Roman" w:cs="Times New Roman"/>
          <w:sz w:val="28"/>
          <w:szCs w:val="28"/>
        </w:rPr>
        <w:t>,</w:t>
      </w:r>
      <w:r w:rsidR="00C334F0">
        <w:rPr>
          <w:rFonts w:ascii="Times New Roman" w:eastAsia="Times New Roman" w:hAnsi="Times New Roman" w:cs="Times New Roman"/>
          <w:sz w:val="28"/>
          <w:szCs w:val="28"/>
        </w:rPr>
        <w:t>5</w:t>
      </w:r>
      <w:r w:rsidR="00687D2F" w:rsidRPr="00D6226F">
        <w:rPr>
          <w:rFonts w:ascii="Times New Roman" w:eastAsia="Times New Roman" w:hAnsi="Times New Roman" w:cs="Times New Roman"/>
          <w:sz w:val="28"/>
          <w:szCs w:val="28"/>
        </w:rPr>
        <w:t>% (</w:t>
      </w:r>
      <w:r w:rsidR="00FC7B6E" w:rsidRPr="00D6226F">
        <w:rPr>
          <w:rFonts w:ascii="Times New Roman" w:eastAsia="Times New Roman" w:hAnsi="Times New Roman" w:cs="Times New Roman"/>
          <w:sz w:val="28"/>
          <w:szCs w:val="28"/>
        </w:rPr>
        <w:t>20</w:t>
      </w:r>
      <w:r w:rsidR="00FC7B6E">
        <w:rPr>
          <w:rFonts w:ascii="Times New Roman" w:eastAsia="Times New Roman" w:hAnsi="Times New Roman" w:cs="Times New Roman"/>
          <w:sz w:val="28"/>
          <w:szCs w:val="28"/>
        </w:rPr>
        <w:t>20</w:t>
      </w:r>
      <w:r w:rsidR="00FC7B6E" w:rsidRPr="00D6226F">
        <w:rPr>
          <w:rFonts w:ascii="Times New Roman" w:eastAsia="Times New Roman" w:hAnsi="Times New Roman" w:cs="Times New Roman"/>
          <w:sz w:val="28"/>
          <w:szCs w:val="28"/>
        </w:rPr>
        <w:t xml:space="preserve"> г. </w:t>
      </w:r>
      <w:r w:rsidR="00FC7B6E" w:rsidRPr="00D6226F">
        <w:rPr>
          <w:rFonts w:ascii="Times New Roman" w:eastAsia="Times New Roman" w:hAnsi="Times New Roman" w:cs="Times New Roman"/>
          <w:color w:val="000000"/>
          <w:sz w:val="28"/>
          <w:szCs w:val="28"/>
        </w:rPr>
        <w:t>–</w:t>
      </w:r>
      <w:r w:rsidR="00FC7B6E">
        <w:rPr>
          <w:rFonts w:ascii="Times New Roman" w:eastAsia="Times New Roman" w:hAnsi="Times New Roman" w:cs="Times New Roman"/>
          <w:sz w:val="28"/>
          <w:szCs w:val="28"/>
        </w:rPr>
        <w:t>20</w:t>
      </w:r>
      <w:r w:rsidR="00FC7B6E" w:rsidRPr="00D6226F">
        <w:rPr>
          <w:rFonts w:ascii="Times New Roman" w:eastAsia="Times New Roman" w:hAnsi="Times New Roman" w:cs="Times New Roman"/>
          <w:sz w:val="28"/>
          <w:szCs w:val="28"/>
        </w:rPr>
        <w:t>,</w:t>
      </w:r>
      <w:r w:rsidR="00FC7B6E">
        <w:rPr>
          <w:rFonts w:ascii="Times New Roman" w:eastAsia="Times New Roman" w:hAnsi="Times New Roman" w:cs="Times New Roman"/>
          <w:sz w:val="28"/>
          <w:szCs w:val="28"/>
        </w:rPr>
        <w:t>2</w:t>
      </w:r>
      <w:r w:rsidR="00FC7B6E" w:rsidRPr="00D6226F">
        <w:rPr>
          <w:rFonts w:ascii="Times New Roman" w:eastAsia="Times New Roman" w:hAnsi="Times New Roman" w:cs="Times New Roman"/>
          <w:sz w:val="28"/>
          <w:szCs w:val="28"/>
        </w:rPr>
        <w:t>%;</w:t>
      </w:r>
      <w:r w:rsidR="00A9053B" w:rsidRPr="00BD5345">
        <w:rPr>
          <w:rFonts w:ascii="Times New Roman" w:eastAsia="Times New Roman" w:hAnsi="Times New Roman" w:cs="Times New Roman"/>
          <w:sz w:val="28"/>
          <w:szCs w:val="28"/>
        </w:rPr>
        <w:t> </w:t>
      </w:r>
      <w:r w:rsidR="00687D2F" w:rsidRPr="00D6226F">
        <w:rPr>
          <w:rFonts w:ascii="Times New Roman" w:eastAsia="Times New Roman" w:hAnsi="Times New Roman" w:cs="Times New Roman"/>
          <w:sz w:val="28"/>
          <w:szCs w:val="28"/>
        </w:rPr>
        <w:t xml:space="preserve">2019 г. – </w:t>
      </w:r>
      <w:r w:rsidRPr="00D6226F">
        <w:rPr>
          <w:rFonts w:ascii="Times New Roman" w:eastAsia="Times New Roman" w:hAnsi="Times New Roman" w:cs="Times New Roman"/>
          <w:sz w:val="28"/>
          <w:szCs w:val="28"/>
        </w:rPr>
        <w:t>1</w:t>
      </w:r>
      <w:r w:rsidR="00FC7B6E">
        <w:rPr>
          <w:rFonts w:ascii="Times New Roman" w:eastAsia="Times New Roman" w:hAnsi="Times New Roman" w:cs="Times New Roman"/>
          <w:sz w:val="28"/>
          <w:szCs w:val="28"/>
        </w:rPr>
        <w:t>1,8%</w:t>
      </w:r>
      <w:r w:rsidRPr="00D6226F">
        <w:rPr>
          <w:rFonts w:ascii="Times New Roman" w:eastAsia="Times New Roman" w:hAnsi="Times New Roman" w:cs="Times New Roman"/>
          <w:sz w:val="28"/>
          <w:szCs w:val="28"/>
        </w:rPr>
        <w:t>).</w:t>
      </w:r>
    </w:p>
    <w:p w14:paraId="07143DE1" w14:textId="77777777" w:rsidR="00D03A4F" w:rsidRDefault="00D03A4F" w:rsidP="00D03A4F">
      <w:pPr>
        <w:widowControl w:val="0"/>
        <w:spacing w:after="0" w:line="312" w:lineRule="auto"/>
        <w:ind w:firstLine="709"/>
        <w:jc w:val="both"/>
        <w:rPr>
          <w:rFonts w:ascii="Times New Roman" w:eastAsia="Times New Roman" w:hAnsi="Times New Roman" w:cs="Times New Roman"/>
          <w:sz w:val="28"/>
          <w:szCs w:val="28"/>
        </w:rPr>
      </w:pPr>
      <w:r w:rsidRPr="00D6226F">
        <w:rPr>
          <w:rFonts w:ascii="Times New Roman" w:eastAsia="Times New Roman" w:hAnsi="Times New Roman" w:cs="Times New Roman"/>
          <w:sz w:val="28"/>
          <w:szCs w:val="28"/>
        </w:rPr>
        <w:t xml:space="preserve">По возрасту осужденных, отбывающих наказание в ВК: 14-15 лет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sz w:val="28"/>
          <w:szCs w:val="28"/>
        </w:rPr>
        <w:t> </w:t>
      </w:r>
      <w:r w:rsidR="00687D2F" w:rsidRPr="00D6226F">
        <w:rPr>
          <w:rFonts w:ascii="Times New Roman" w:eastAsia="Times New Roman" w:hAnsi="Times New Roman" w:cs="Times New Roman"/>
          <w:sz w:val="28"/>
          <w:szCs w:val="28"/>
        </w:rPr>
        <w:t>3,</w:t>
      </w:r>
      <w:r w:rsidR="005E137C">
        <w:rPr>
          <w:rFonts w:ascii="Times New Roman" w:eastAsia="Times New Roman" w:hAnsi="Times New Roman" w:cs="Times New Roman"/>
          <w:sz w:val="28"/>
          <w:szCs w:val="28"/>
        </w:rPr>
        <w:t>2</w:t>
      </w:r>
      <w:r w:rsidR="00687D2F" w:rsidRPr="00D6226F">
        <w:rPr>
          <w:rFonts w:ascii="Times New Roman" w:eastAsia="Times New Roman" w:hAnsi="Times New Roman" w:cs="Times New Roman"/>
          <w:sz w:val="28"/>
          <w:szCs w:val="28"/>
        </w:rPr>
        <w:t xml:space="preserve">% </w:t>
      </w:r>
      <w:r w:rsidR="00C64F30">
        <w:rPr>
          <w:rFonts w:ascii="Times New Roman" w:eastAsia="Times New Roman" w:hAnsi="Times New Roman" w:cs="Times New Roman"/>
          <w:sz w:val="28"/>
          <w:szCs w:val="28"/>
        </w:rPr>
        <w:br/>
      </w:r>
      <w:r w:rsidR="00687D2F" w:rsidRPr="00D6226F">
        <w:rPr>
          <w:rFonts w:ascii="Times New Roman" w:eastAsia="Times New Roman" w:hAnsi="Times New Roman" w:cs="Times New Roman"/>
          <w:sz w:val="28"/>
          <w:szCs w:val="28"/>
        </w:rPr>
        <w:t>(</w:t>
      </w:r>
      <w:r w:rsidR="005E137C" w:rsidRPr="00D6226F">
        <w:rPr>
          <w:rFonts w:ascii="Times New Roman" w:eastAsia="Times New Roman" w:hAnsi="Times New Roman" w:cs="Times New Roman"/>
          <w:sz w:val="28"/>
          <w:szCs w:val="28"/>
        </w:rPr>
        <w:t>20</w:t>
      </w:r>
      <w:r w:rsidR="005E137C">
        <w:rPr>
          <w:rFonts w:ascii="Times New Roman" w:eastAsia="Times New Roman" w:hAnsi="Times New Roman" w:cs="Times New Roman"/>
          <w:sz w:val="28"/>
          <w:szCs w:val="28"/>
        </w:rPr>
        <w:t>20</w:t>
      </w:r>
      <w:r w:rsidR="005E137C" w:rsidRPr="00D6226F">
        <w:rPr>
          <w:rFonts w:ascii="Times New Roman" w:eastAsia="Times New Roman" w:hAnsi="Times New Roman" w:cs="Times New Roman"/>
          <w:sz w:val="28"/>
          <w:szCs w:val="28"/>
        </w:rPr>
        <w:t xml:space="preserve"> г. – 3,</w:t>
      </w:r>
      <w:r w:rsidR="005E137C">
        <w:rPr>
          <w:rFonts w:ascii="Times New Roman" w:eastAsia="Times New Roman" w:hAnsi="Times New Roman" w:cs="Times New Roman"/>
          <w:sz w:val="28"/>
          <w:szCs w:val="28"/>
        </w:rPr>
        <w:t>9</w:t>
      </w:r>
      <w:r w:rsidR="005E137C" w:rsidRPr="00D6226F">
        <w:rPr>
          <w:rFonts w:ascii="Times New Roman" w:eastAsia="Times New Roman" w:hAnsi="Times New Roman" w:cs="Times New Roman"/>
          <w:sz w:val="28"/>
          <w:szCs w:val="28"/>
        </w:rPr>
        <w:t>%;</w:t>
      </w:r>
      <w:r w:rsidR="00A9053B" w:rsidRPr="00BD5345">
        <w:rPr>
          <w:rFonts w:ascii="Times New Roman" w:eastAsia="Times New Roman" w:hAnsi="Times New Roman" w:cs="Times New Roman"/>
          <w:sz w:val="28"/>
          <w:szCs w:val="28"/>
        </w:rPr>
        <w:t> </w:t>
      </w:r>
      <w:r w:rsidR="00687D2F" w:rsidRPr="00D6226F">
        <w:rPr>
          <w:rFonts w:ascii="Times New Roman" w:eastAsia="Times New Roman" w:hAnsi="Times New Roman" w:cs="Times New Roman"/>
          <w:sz w:val="28"/>
          <w:szCs w:val="28"/>
        </w:rPr>
        <w:t xml:space="preserve">2019 г. – </w:t>
      </w:r>
      <w:r w:rsidRPr="00D6226F">
        <w:rPr>
          <w:rFonts w:ascii="Times New Roman" w:eastAsia="Times New Roman" w:hAnsi="Times New Roman" w:cs="Times New Roman"/>
          <w:sz w:val="28"/>
          <w:szCs w:val="28"/>
        </w:rPr>
        <w:t xml:space="preserve">4,5%); 16-17 лет </w:t>
      </w:r>
      <w:r w:rsidRPr="00D6226F">
        <w:rPr>
          <w:rFonts w:ascii="Times New Roman" w:eastAsia="Times New Roman" w:hAnsi="Times New Roman" w:cs="Times New Roman"/>
          <w:color w:val="000000"/>
          <w:sz w:val="28"/>
          <w:szCs w:val="28"/>
        </w:rPr>
        <w:t>–</w:t>
      </w:r>
      <w:r w:rsidRPr="00D6226F">
        <w:rPr>
          <w:rFonts w:ascii="Times New Roman" w:eastAsia="Times New Roman" w:hAnsi="Times New Roman" w:cs="Times New Roman"/>
          <w:color w:val="000000"/>
          <w:sz w:val="28"/>
          <w:szCs w:val="28"/>
          <w:lang w:eastAsia="ru-RU" w:bidi="ru-RU"/>
        </w:rPr>
        <w:t> </w:t>
      </w:r>
      <w:r w:rsidR="00687D2F" w:rsidRPr="00D6226F">
        <w:rPr>
          <w:rFonts w:ascii="Times New Roman" w:eastAsia="Times New Roman" w:hAnsi="Times New Roman" w:cs="Times New Roman"/>
          <w:color w:val="000000"/>
          <w:sz w:val="28"/>
          <w:szCs w:val="28"/>
          <w:lang w:eastAsia="ru-RU" w:bidi="ru-RU"/>
        </w:rPr>
        <w:t>6</w:t>
      </w:r>
      <w:r w:rsidR="005E137C">
        <w:rPr>
          <w:rFonts w:ascii="Times New Roman" w:eastAsia="Times New Roman" w:hAnsi="Times New Roman" w:cs="Times New Roman"/>
          <w:color w:val="000000"/>
          <w:sz w:val="28"/>
          <w:szCs w:val="28"/>
          <w:lang w:eastAsia="ru-RU" w:bidi="ru-RU"/>
        </w:rPr>
        <w:t>5</w:t>
      </w:r>
      <w:r w:rsidR="00687D2F" w:rsidRPr="00D6226F">
        <w:rPr>
          <w:rFonts w:ascii="Times New Roman" w:eastAsia="Times New Roman" w:hAnsi="Times New Roman" w:cs="Times New Roman"/>
          <w:color w:val="000000"/>
          <w:sz w:val="28"/>
          <w:szCs w:val="28"/>
          <w:lang w:eastAsia="ru-RU" w:bidi="ru-RU"/>
        </w:rPr>
        <w:t>,</w:t>
      </w:r>
      <w:r w:rsidR="005E137C">
        <w:rPr>
          <w:rFonts w:ascii="Times New Roman" w:eastAsia="Times New Roman" w:hAnsi="Times New Roman" w:cs="Times New Roman"/>
          <w:color w:val="000000"/>
          <w:sz w:val="28"/>
          <w:szCs w:val="28"/>
          <w:lang w:eastAsia="ru-RU" w:bidi="ru-RU"/>
        </w:rPr>
        <w:t>4</w:t>
      </w:r>
      <w:r w:rsidR="00687D2F" w:rsidRPr="00D6226F">
        <w:rPr>
          <w:rFonts w:ascii="Times New Roman" w:eastAsia="Times New Roman" w:hAnsi="Times New Roman" w:cs="Times New Roman"/>
          <w:color w:val="000000"/>
          <w:sz w:val="28"/>
          <w:szCs w:val="28"/>
          <w:lang w:eastAsia="ru-RU" w:bidi="ru-RU"/>
        </w:rPr>
        <w:t>% (</w:t>
      </w:r>
      <w:r w:rsidR="005E137C" w:rsidRPr="00D6226F">
        <w:rPr>
          <w:rFonts w:ascii="Times New Roman" w:eastAsia="Times New Roman" w:hAnsi="Times New Roman" w:cs="Times New Roman"/>
          <w:sz w:val="28"/>
          <w:szCs w:val="28"/>
        </w:rPr>
        <w:t>20</w:t>
      </w:r>
      <w:r w:rsidR="005E137C">
        <w:rPr>
          <w:rFonts w:ascii="Times New Roman" w:eastAsia="Times New Roman" w:hAnsi="Times New Roman" w:cs="Times New Roman"/>
          <w:sz w:val="28"/>
          <w:szCs w:val="28"/>
        </w:rPr>
        <w:t>20</w:t>
      </w:r>
      <w:r w:rsidR="005E137C" w:rsidRPr="00D6226F">
        <w:rPr>
          <w:rFonts w:ascii="Times New Roman" w:eastAsia="Times New Roman" w:hAnsi="Times New Roman" w:cs="Times New Roman"/>
          <w:sz w:val="28"/>
          <w:szCs w:val="28"/>
        </w:rPr>
        <w:t xml:space="preserve"> г. – </w:t>
      </w:r>
      <w:r w:rsidR="005E137C">
        <w:rPr>
          <w:rFonts w:ascii="Times New Roman" w:eastAsia="Times New Roman" w:hAnsi="Times New Roman" w:cs="Times New Roman"/>
          <w:sz w:val="28"/>
          <w:szCs w:val="28"/>
        </w:rPr>
        <w:t>67</w:t>
      </w:r>
      <w:r w:rsidR="005E137C" w:rsidRPr="00D6226F">
        <w:rPr>
          <w:rFonts w:ascii="Times New Roman" w:eastAsia="Times New Roman" w:hAnsi="Times New Roman" w:cs="Times New Roman"/>
          <w:sz w:val="28"/>
          <w:szCs w:val="28"/>
        </w:rPr>
        <w:t>,</w:t>
      </w:r>
      <w:r w:rsidR="005E137C">
        <w:rPr>
          <w:rFonts w:ascii="Times New Roman" w:eastAsia="Times New Roman" w:hAnsi="Times New Roman" w:cs="Times New Roman"/>
          <w:sz w:val="28"/>
          <w:szCs w:val="28"/>
        </w:rPr>
        <w:t>2</w:t>
      </w:r>
      <w:r w:rsidR="005E137C" w:rsidRPr="00D6226F">
        <w:rPr>
          <w:rFonts w:ascii="Times New Roman" w:eastAsia="Times New Roman" w:hAnsi="Times New Roman" w:cs="Times New Roman"/>
          <w:sz w:val="28"/>
          <w:szCs w:val="28"/>
        </w:rPr>
        <w:t>%;</w:t>
      </w:r>
      <w:r w:rsidR="00A9053B" w:rsidRPr="00BD5345">
        <w:rPr>
          <w:rFonts w:ascii="Times New Roman" w:eastAsia="Times New Roman" w:hAnsi="Times New Roman" w:cs="Times New Roman"/>
          <w:sz w:val="28"/>
          <w:szCs w:val="28"/>
        </w:rPr>
        <w:t> </w:t>
      </w:r>
      <w:r w:rsidR="00687D2F" w:rsidRPr="00D6226F">
        <w:rPr>
          <w:rFonts w:ascii="Times New Roman" w:eastAsia="Times New Roman" w:hAnsi="Times New Roman" w:cs="Times New Roman"/>
          <w:color w:val="000000"/>
          <w:sz w:val="28"/>
          <w:szCs w:val="28"/>
          <w:lang w:eastAsia="ru-RU" w:bidi="ru-RU"/>
        </w:rPr>
        <w:t xml:space="preserve">2019 г. – </w:t>
      </w:r>
      <w:r w:rsidRPr="00D6226F">
        <w:rPr>
          <w:rFonts w:ascii="Times New Roman" w:eastAsia="Times New Roman" w:hAnsi="Times New Roman" w:cs="Times New Roman"/>
          <w:sz w:val="28"/>
          <w:szCs w:val="28"/>
        </w:rPr>
        <w:t xml:space="preserve">69,6%); 18-19 лет </w:t>
      </w:r>
      <w:r w:rsidRPr="00D6226F">
        <w:rPr>
          <w:rFonts w:ascii="Times New Roman" w:eastAsia="Times New Roman" w:hAnsi="Times New Roman" w:cs="Times New Roman"/>
          <w:color w:val="000000"/>
          <w:sz w:val="28"/>
          <w:szCs w:val="28"/>
        </w:rPr>
        <w:t>–</w:t>
      </w:r>
      <w:r w:rsidR="00E72FA6" w:rsidRPr="00D6226F">
        <w:rPr>
          <w:rFonts w:ascii="Times New Roman" w:eastAsia="Times New Roman" w:hAnsi="Times New Roman" w:cs="Times New Roman"/>
          <w:sz w:val="28"/>
          <w:szCs w:val="28"/>
        </w:rPr>
        <w:t> </w:t>
      </w:r>
      <w:r w:rsidR="005E137C">
        <w:rPr>
          <w:rFonts w:ascii="Times New Roman" w:eastAsia="Times New Roman" w:hAnsi="Times New Roman" w:cs="Times New Roman"/>
          <w:sz w:val="28"/>
          <w:szCs w:val="28"/>
        </w:rPr>
        <w:t>31</w:t>
      </w:r>
      <w:r w:rsidR="00687D2F" w:rsidRPr="00D6226F">
        <w:rPr>
          <w:rFonts w:ascii="Times New Roman" w:eastAsia="Times New Roman" w:hAnsi="Times New Roman" w:cs="Times New Roman"/>
          <w:sz w:val="28"/>
          <w:szCs w:val="28"/>
        </w:rPr>
        <w:t>,</w:t>
      </w:r>
      <w:r w:rsidR="005E137C">
        <w:rPr>
          <w:rFonts w:ascii="Times New Roman" w:eastAsia="Times New Roman" w:hAnsi="Times New Roman" w:cs="Times New Roman"/>
          <w:sz w:val="28"/>
          <w:szCs w:val="28"/>
        </w:rPr>
        <w:t>4</w:t>
      </w:r>
      <w:r w:rsidR="00687D2F" w:rsidRPr="00D6226F">
        <w:rPr>
          <w:rFonts w:ascii="Times New Roman" w:eastAsia="Times New Roman" w:hAnsi="Times New Roman" w:cs="Times New Roman"/>
          <w:sz w:val="28"/>
          <w:szCs w:val="28"/>
        </w:rPr>
        <w:t>% (</w:t>
      </w:r>
      <w:r w:rsidR="005E137C" w:rsidRPr="00D6226F">
        <w:rPr>
          <w:rFonts w:ascii="Times New Roman" w:eastAsia="Times New Roman" w:hAnsi="Times New Roman" w:cs="Times New Roman"/>
          <w:sz w:val="28"/>
          <w:szCs w:val="28"/>
        </w:rPr>
        <w:t>20</w:t>
      </w:r>
      <w:r w:rsidR="005E137C">
        <w:rPr>
          <w:rFonts w:ascii="Times New Roman" w:eastAsia="Times New Roman" w:hAnsi="Times New Roman" w:cs="Times New Roman"/>
          <w:sz w:val="28"/>
          <w:szCs w:val="28"/>
        </w:rPr>
        <w:t>20</w:t>
      </w:r>
      <w:r w:rsidR="005E137C" w:rsidRPr="00D6226F">
        <w:rPr>
          <w:rFonts w:ascii="Times New Roman" w:eastAsia="Times New Roman" w:hAnsi="Times New Roman" w:cs="Times New Roman"/>
          <w:sz w:val="28"/>
          <w:szCs w:val="28"/>
        </w:rPr>
        <w:t xml:space="preserve"> г. – 2</w:t>
      </w:r>
      <w:r w:rsidR="005E137C">
        <w:rPr>
          <w:rFonts w:ascii="Times New Roman" w:eastAsia="Times New Roman" w:hAnsi="Times New Roman" w:cs="Times New Roman"/>
          <w:sz w:val="28"/>
          <w:szCs w:val="28"/>
        </w:rPr>
        <w:t>8</w:t>
      </w:r>
      <w:r w:rsidR="005E137C" w:rsidRPr="00D6226F">
        <w:rPr>
          <w:rFonts w:ascii="Times New Roman" w:eastAsia="Times New Roman" w:hAnsi="Times New Roman" w:cs="Times New Roman"/>
          <w:sz w:val="28"/>
          <w:szCs w:val="28"/>
        </w:rPr>
        <w:t xml:space="preserve">,9%; </w:t>
      </w:r>
      <w:r w:rsidR="00687D2F" w:rsidRPr="00D6226F">
        <w:rPr>
          <w:rFonts w:ascii="Times New Roman" w:eastAsia="Times New Roman" w:hAnsi="Times New Roman" w:cs="Times New Roman"/>
          <w:sz w:val="28"/>
          <w:szCs w:val="28"/>
        </w:rPr>
        <w:t xml:space="preserve">2019 г. – </w:t>
      </w:r>
      <w:r w:rsidRPr="00D6226F">
        <w:rPr>
          <w:rFonts w:ascii="Times New Roman" w:eastAsia="Times New Roman" w:hAnsi="Times New Roman" w:cs="Times New Roman"/>
          <w:sz w:val="28"/>
          <w:szCs w:val="28"/>
        </w:rPr>
        <w:t>25,9%).</w:t>
      </w:r>
    </w:p>
    <w:p w14:paraId="2E969B8F" w14:textId="77777777" w:rsidR="00FE6F4C" w:rsidRPr="00D6226F" w:rsidRDefault="00FE6F4C" w:rsidP="00D03A4F">
      <w:pPr>
        <w:widowControl w:val="0"/>
        <w:spacing w:after="0" w:line="312"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исполнения пункта 120 </w:t>
      </w:r>
      <w:r w:rsidRPr="00D62333">
        <w:rPr>
          <w:rStyle w:val="FontStyle21"/>
          <w:b w:val="0"/>
          <w:sz w:val="28"/>
          <w:szCs w:val="28"/>
        </w:rPr>
        <w:t>плана основных мероприятий, проводимых в рамках Десятилетия детства, на период до 2027 г</w:t>
      </w:r>
      <w:r w:rsidR="00C66965">
        <w:rPr>
          <w:rStyle w:val="FontStyle21"/>
          <w:b w:val="0"/>
          <w:sz w:val="28"/>
          <w:szCs w:val="28"/>
        </w:rPr>
        <w:t>.</w:t>
      </w:r>
      <w:r>
        <w:rPr>
          <w:rStyle w:val="FontStyle21"/>
          <w:b w:val="0"/>
          <w:sz w:val="28"/>
          <w:szCs w:val="28"/>
        </w:rPr>
        <w:t xml:space="preserve"> организован</w:t>
      </w:r>
      <w:r w:rsidR="00DA248B">
        <w:rPr>
          <w:rStyle w:val="FontStyle21"/>
          <w:b w:val="0"/>
          <w:sz w:val="28"/>
          <w:szCs w:val="28"/>
        </w:rPr>
        <w:t>а</w:t>
      </w:r>
      <w:r>
        <w:rPr>
          <w:rStyle w:val="FontStyle21"/>
          <w:b w:val="0"/>
          <w:sz w:val="28"/>
          <w:szCs w:val="28"/>
        </w:rPr>
        <w:t xml:space="preserve"> работа по оказанию содействия осужденным несовершеннолетним в восстановлении и поддержании социально полезных связей. По состоянию на 31 декабря 2021 г. </w:t>
      </w:r>
      <w:r w:rsidR="00C66965">
        <w:rPr>
          <w:rStyle w:val="FontStyle21"/>
          <w:b w:val="0"/>
          <w:sz w:val="28"/>
          <w:szCs w:val="28"/>
        </w:rPr>
        <w:br/>
      </w:r>
      <w:r>
        <w:rPr>
          <w:rStyle w:val="FontStyle21"/>
          <w:b w:val="0"/>
          <w:sz w:val="28"/>
          <w:szCs w:val="28"/>
        </w:rPr>
        <w:t>из 883 несовершеннолетних осужденных, отбывающих наказание в ВК, 66 утратили социально полезные связи, а 64 восстановили их. Таким образом, доля несовершеннолетних осужденных, отбывающих наказание в ВК, восстановивших социально полезные связи</w:t>
      </w:r>
      <w:r w:rsidR="00F4081C">
        <w:rPr>
          <w:rStyle w:val="FontStyle21"/>
          <w:b w:val="0"/>
          <w:sz w:val="28"/>
          <w:szCs w:val="28"/>
        </w:rPr>
        <w:t>, составила 96,9%. В целях укрепления социально полезных связей осужденных с их родственниками социальными работниками организовано взаимодействие с органами местного самоуправления, органами опеки и попечительства в отношении несовершеннолетних граждан.</w:t>
      </w:r>
    </w:p>
    <w:p w14:paraId="62DA86FA" w14:textId="77777777" w:rsidR="00D03A4F" w:rsidRPr="00D6226F" w:rsidRDefault="00D03A4F" w:rsidP="00D03A4F">
      <w:pPr>
        <w:spacing w:after="0" w:line="312" w:lineRule="auto"/>
        <w:ind w:firstLine="709"/>
        <w:jc w:val="both"/>
        <w:rPr>
          <w:rFonts w:ascii="Times New Roman" w:eastAsia="Times New Roman" w:hAnsi="Times New Roman" w:cs="Times New Roman"/>
          <w:sz w:val="28"/>
          <w:szCs w:val="28"/>
          <w:lang w:eastAsia="ru-RU"/>
        </w:rPr>
      </w:pPr>
      <w:r w:rsidRPr="00D6226F">
        <w:rPr>
          <w:rFonts w:ascii="Times New Roman" w:eastAsia="Times New Roman" w:hAnsi="Times New Roman" w:cs="Times New Roman"/>
          <w:sz w:val="28"/>
          <w:szCs w:val="28"/>
          <w:lang w:eastAsia="ru-RU"/>
        </w:rPr>
        <w:t>Обучение несовершеннолетних осужденных осуществляется в общеобразовательных организациях. В 20</w:t>
      </w:r>
      <w:r w:rsidR="005E137C">
        <w:rPr>
          <w:rFonts w:ascii="Times New Roman" w:eastAsia="Times New Roman" w:hAnsi="Times New Roman" w:cs="Times New Roman"/>
          <w:sz w:val="28"/>
          <w:szCs w:val="28"/>
          <w:lang w:eastAsia="ru-RU"/>
        </w:rPr>
        <w:t>20</w:t>
      </w:r>
      <w:r w:rsidRPr="00D6226F">
        <w:rPr>
          <w:rFonts w:ascii="Times New Roman" w:eastAsia="Times New Roman" w:hAnsi="Times New Roman" w:cs="Times New Roman"/>
          <w:sz w:val="28"/>
          <w:szCs w:val="28"/>
          <w:lang w:eastAsia="ru-RU"/>
        </w:rPr>
        <w:t>/20</w:t>
      </w:r>
      <w:r w:rsidR="008B4D06" w:rsidRPr="00D6226F">
        <w:rPr>
          <w:rFonts w:ascii="Times New Roman" w:eastAsia="Times New Roman" w:hAnsi="Times New Roman" w:cs="Times New Roman"/>
          <w:sz w:val="28"/>
          <w:szCs w:val="28"/>
          <w:lang w:eastAsia="ru-RU"/>
        </w:rPr>
        <w:t>2</w:t>
      </w:r>
      <w:r w:rsidR="005E137C">
        <w:rPr>
          <w:rFonts w:ascii="Times New Roman" w:eastAsia="Times New Roman" w:hAnsi="Times New Roman" w:cs="Times New Roman"/>
          <w:sz w:val="28"/>
          <w:szCs w:val="28"/>
          <w:lang w:eastAsia="ru-RU"/>
        </w:rPr>
        <w:t>1</w:t>
      </w:r>
      <w:r w:rsidRPr="00D6226F">
        <w:rPr>
          <w:rFonts w:ascii="Times New Roman" w:eastAsia="Times New Roman" w:hAnsi="Times New Roman" w:cs="Times New Roman"/>
          <w:sz w:val="28"/>
          <w:szCs w:val="28"/>
          <w:lang w:eastAsia="ru-RU"/>
        </w:rPr>
        <w:t xml:space="preserve"> учебном году по программам общего образования прошли обучение </w:t>
      </w:r>
      <w:r w:rsidR="005E137C">
        <w:rPr>
          <w:rFonts w:ascii="Times New Roman" w:eastAsia="Times New Roman" w:hAnsi="Times New Roman" w:cs="Times New Roman"/>
          <w:sz w:val="28"/>
          <w:szCs w:val="28"/>
          <w:lang w:eastAsia="ru-RU"/>
        </w:rPr>
        <w:t>794</w:t>
      </w:r>
      <w:r w:rsidRPr="00D6226F">
        <w:rPr>
          <w:rFonts w:ascii="Times New Roman" w:eastAsia="Times New Roman" w:hAnsi="Times New Roman" w:cs="Times New Roman"/>
          <w:sz w:val="28"/>
          <w:szCs w:val="28"/>
          <w:lang w:eastAsia="ru-RU"/>
        </w:rPr>
        <w:t xml:space="preserve"> осужденны</w:t>
      </w:r>
      <w:r w:rsidR="008B4D06" w:rsidRPr="00D6226F">
        <w:rPr>
          <w:rFonts w:ascii="Times New Roman" w:eastAsia="Times New Roman" w:hAnsi="Times New Roman" w:cs="Times New Roman"/>
          <w:sz w:val="28"/>
          <w:szCs w:val="28"/>
          <w:lang w:eastAsia="ru-RU"/>
        </w:rPr>
        <w:t>х</w:t>
      </w:r>
      <w:r w:rsidRPr="00D6226F">
        <w:rPr>
          <w:rFonts w:ascii="Times New Roman" w:eastAsia="Times New Roman" w:hAnsi="Times New Roman" w:cs="Times New Roman"/>
          <w:sz w:val="28"/>
          <w:szCs w:val="28"/>
          <w:lang w:eastAsia="ru-RU"/>
        </w:rPr>
        <w:t xml:space="preserve"> (</w:t>
      </w:r>
      <w:r w:rsidR="005E137C" w:rsidRPr="00D6226F">
        <w:rPr>
          <w:rFonts w:ascii="Times New Roman" w:eastAsia="Times New Roman" w:hAnsi="Times New Roman" w:cs="Times New Roman"/>
          <w:sz w:val="28"/>
          <w:szCs w:val="28"/>
          <w:lang w:eastAsia="ru-RU"/>
        </w:rPr>
        <w:t>20</w:t>
      </w:r>
      <w:r w:rsidR="005E137C">
        <w:rPr>
          <w:rFonts w:ascii="Times New Roman" w:eastAsia="Times New Roman" w:hAnsi="Times New Roman" w:cs="Times New Roman"/>
          <w:sz w:val="28"/>
          <w:szCs w:val="28"/>
          <w:lang w:eastAsia="ru-RU"/>
        </w:rPr>
        <w:t>19</w:t>
      </w:r>
      <w:r w:rsidR="005E137C" w:rsidRPr="00D6226F">
        <w:rPr>
          <w:rFonts w:ascii="Times New Roman" w:eastAsia="Times New Roman" w:hAnsi="Times New Roman" w:cs="Times New Roman"/>
          <w:sz w:val="28"/>
          <w:szCs w:val="28"/>
          <w:lang w:eastAsia="ru-RU"/>
        </w:rPr>
        <w:t>/20</w:t>
      </w:r>
      <w:r w:rsidR="005E137C">
        <w:rPr>
          <w:rFonts w:ascii="Times New Roman" w:eastAsia="Times New Roman" w:hAnsi="Times New Roman" w:cs="Times New Roman"/>
          <w:sz w:val="28"/>
          <w:szCs w:val="28"/>
          <w:lang w:eastAsia="ru-RU"/>
        </w:rPr>
        <w:t>20</w:t>
      </w:r>
      <w:r w:rsidR="005E137C" w:rsidRPr="00D6226F">
        <w:rPr>
          <w:rFonts w:ascii="Times New Roman" w:eastAsia="Times New Roman" w:hAnsi="Times New Roman" w:cs="Times New Roman"/>
          <w:sz w:val="28"/>
          <w:szCs w:val="28"/>
          <w:lang w:eastAsia="ru-RU"/>
        </w:rPr>
        <w:t xml:space="preserve"> учебн</w:t>
      </w:r>
      <w:r w:rsidR="00A9053B">
        <w:rPr>
          <w:rFonts w:ascii="Times New Roman" w:eastAsia="Times New Roman" w:hAnsi="Times New Roman" w:cs="Times New Roman"/>
          <w:sz w:val="28"/>
          <w:szCs w:val="28"/>
          <w:lang w:eastAsia="ru-RU"/>
        </w:rPr>
        <w:t>ый</w:t>
      </w:r>
      <w:r w:rsidR="005E137C" w:rsidRPr="00D6226F">
        <w:rPr>
          <w:rFonts w:ascii="Times New Roman" w:eastAsia="Times New Roman" w:hAnsi="Times New Roman" w:cs="Times New Roman"/>
          <w:sz w:val="28"/>
          <w:szCs w:val="28"/>
          <w:lang w:eastAsia="ru-RU"/>
        </w:rPr>
        <w:t xml:space="preserve"> год</w:t>
      </w:r>
      <w:r w:rsidR="00A9053B">
        <w:rPr>
          <w:rFonts w:ascii="Times New Roman" w:eastAsia="Times New Roman" w:hAnsi="Times New Roman" w:cs="Times New Roman"/>
          <w:sz w:val="28"/>
          <w:szCs w:val="28"/>
          <w:lang w:eastAsia="ru-RU"/>
        </w:rPr>
        <w:t xml:space="preserve"> </w:t>
      </w:r>
      <w:r w:rsidR="005E137C" w:rsidRPr="00D6226F">
        <w:rPr>
          <w:rFonts w:ascii="Times New Roman" w:eastAsia="Times New Roman" w:hAnsi="Times New Roman" w:cs="Times New Roman"/>
          <w:color w:val="000000"/>
          <w:sz w:val="28"/>
          <w:szCs w:val="28"/>
          <w:lang w:eastAsia="ru-RU"/>
        </w:rPr>
        <w:t>–</w:t>
      </w:r>
      <w:r w:rsidR="00A9053B">
        <w:rPr>
          <w:rFonts w:ascii="Times New Roman" w:eastAsia="Times New Roman" w:hAnsi="Times New Roman" w:cs="Times New Roman"/>
          <w:color w:val="000000"/>
          <w:sz w:val="28"/>
          <w:szCs w:val="28"/>
          <w:lang w:eastAsia="ru-RU"/>
        </w:rPr>
        <w:t xml:space="preserve"> </w:t>
      </w:r>
      <w:r w:rsidR="005E137C">
        <w:rPr>
          <w:rFonts w:ascii="Times New Roman" w:eastAsia="Times New Roman" w:hAnsi="Times New Roman" w:cs="Times New Roman"/>
          <w:sz w:val="28"/>
          <w:szCs w:val="28"/>
          <w:lang w:eastAsia="ru-RU"/>
        </w:rPr>
        <w:t>974</w:t>
      </w:r>
      <w:r w:rsidR="005E137C" w:rsidRPr="00D6226F">
        <w:rPr>
          <w:rFonts w:ascii="Times New Roman" w:eastAsia="Times New Roman" w:hAnsi="Times New Roman" w:cs="Times New Roman"/>
          <w:sz w:val="28"/>
          <w:szCs w:val="28"/>
          <w:lang w:eastAsia="ru-RU"/>
        </w:rPr>
        <w:t xml:space="preserve"> осужденных;</w:t>
      </w:r>
      <w:r w:rsidR="00A9053B" w:rsidRPr="00BD5345">
        <w:rPr>
          <w:rFonts w:ascii="Times New Roman" w:eastAsia="Times New Roman" w:hAnsi="Times New Roman" w:cs="Times New Roman"/>
          <w:sz w:val="28"/>
          <w:szCs w:val="28"/>
        </w:rPr>
        <w:t> </w:t>
      </w:r>
      <w:r w:rsidR="008B4D06" w:rsidRPr="00D6226F">
        <w:rPr>
          <w:rFonts w:ascii="Times New Roman" w:eastAsia="Times New Roman" w:hAnsi="Times New Roman" w:cs="Times New Roman"/>
          <w:sz w:val="28"/>
          <w:szCs w:val="28"/>
          <w:lang w:eastAsia="ru-RU"/>
        </w:rPr>
        <w:t>2018/2019 учебн</w:t>
      </w:r>
      <w:r w:rsidR="00A9053B">
        <w:rPr>
          <w:rFonts w:ascii="Times New Roman" w:eastAsia="Times New Roman" w:hAnsi="Times New Roman" w:cs="Times New Roman"/>
          <w:sz w:val="28"/>
          <w:szCs w:val="28"/>
          <w:lang w:eastAsia="ru-RU"/>
        </w:rPr>
        <w:t>ый</w:t>
      </w:r>
      <w:r w:rsidR="008B4D06" w:rsidRPr="00D6226F">
        <w:rPr>
          <w:rFonts w:ascii="Times New Roman" w:eastAsia="Times New Roman" w:hAnsi="Times New Roman" w:cs="Times New Roman"/>
          <w:sz w:val="28"/>
          <w:szCs w:val="28"/>
          <w:lang w:eastAsia="ru-RU"/>
        </w:rPr>
        <w:t xml:space="preserve"> год – 1 141 осужденный</w:t>
      </w:r>
      <w:r w:rsidR="005E137C">
        <w:rPr>
          <w:rFonts w:ascii="Times New Roman" w:eastAsia="Times New Roman" w:hAnsi="Times New Roman" w:cs="Times New Roman"/>
          <w:sz w:val="28"/>
          <w:szCs w:val="28"/>
          <w:lang w:eastAsia="ru-RU"/>
        </w:rPr>
        <w:t>).</w:t>
      </w:r>
    </w:p>
    <w:p w14:paraId="74791057" w14:textId="77777777" w:rsidR="001E7374" w:rsidRPr="00D6226F" w:rsidRDefault="001E7374" w:rsidP="001E7374">
      <w:pPr>
        <w:autoSpaceDE w:val="0"/>
        <w:autoSpaceDN w:val="0"/>
        <w:adjustRightInd w:val="0"/>
        <w:spacing w:after="0" w:line="312" w:lineRule="auto"/>
        <w:ind w:firstLine="709"/>
        <w:jc w:val="both"/>
        <w:rPr>
          <w:rFonts w:ascii="Times New Roman" w:eastAsiaTheme="minorEastAsia" w:hAnsi="Times New Roman" w:cs="Times New Roman"/>
          <w:sz w:val="28"/>
          <w:szCs w:val="28"/>
          <w:lang w:eastAsia="ru-RU"/>
        </w:rPr>
      </w:pPr>
      <w:r w:rsidRPr="00D6226F">
        <w:rPr>
          <w:rFonts w:ascii="Times New Roman" w:eastAsiaTheme="minorEastAsia" w:hAnsi="Times New Roman" w:cs="Times New Roman"/>
          <w:sz w:val="28"/>
          <w:szCs w:val="28"/>
          <w:lang w:eastAsia="ru-RU"/>
        </w:rPr>
        <w:t>В профессиональных образоват</w:t>
      </w:r>
      <w:r w:rsidR="00C64F30">
        <w:rPr>
          <w:rFonts w:ascii="Times New Roman" w:eastAsiaTheme="minorEastAsia" w:hAnsi="Times New Roman" w:cs="Times New Roman"/>
          <w:sz w:val="28"/>
          <w:szCs w:val="28"/>
          <w:lang w:eastAsia="ru-RU"/>
        </w:rPr>
        <w:t xml:space="preserve">ельных учреждениях ФСИН России </w:t>
      </w:r>
      <w:r w:rsidRPr="00D6226F">
        <w:rPr>
          <w:rFonts w:ascii="Times New Roman" w:eastAsiaTheme="minorEastAsia" w:hAnsi="Times New Roman" w:cs="Times New Roman"/>
          <w:sz w:val="28"/>
          <w:szCs w:val="28"/>
          <w:lang w:eastAsia="ru-RU"/>
        </w:rPr>
        <w:t>и их структурных подразделениях организовано среднее профессиональное образование по программам подгот</w:t>
      </w:r>
      <w:r w:rsidR="00C64F30">
        <w:rPr>
          <w:rFonts w:ascii="Times New Roman" w:eastAsiaTheme="minorEastAsia" w:hAnsi="Times New Roman" w:cs="Times New Roman"/>
          <w:sz w:val="28"/>
          <w:szCs w:val="28"/>
          <w:lang w:eastAsia="ru-RU"/>
        </w:rPr>
        <w:t xml:space="preserve">овки квалифицированных рабочих </w:t>
      </w:r>
      <w:r w:rsidRPr="00D6226F">
        <w:rPr>
          <w:rFonts w:ascii="Times New Roman" w:eastAsiaTheme="minorEastAsia" w:hAnsi="Times New Roman" w:cs="Times New Roman"/>
          <w:sz w:val="28"/>
          <w:szCs w:val="28"/>
          <w:lang w:eastAsia="ru-RU"/>
        </w:rPr>
        <w:t>и профессиональное обучение более чем по 20 профессиям, востребованным как на производстве учреждений, так и на рынках труда субъектов Российской Федерации (швея, портной, сборщик обуви, повар, пекарь, бетонщик, парикмахер, плотник, рамщик, станочник, штукатур и др.)</w:t>
      </w:r>
    </w:p>
    <w:p w14:paraId="768C504F" w14:textId="7FF1D750" w:rsidR="00F95848" w:rsidRPr="00F95848" w:rsidRDefault="001E7374" w:rsidP="00F95848">
      <w:pPr>
        <w:tabs>
          <w:tab w:val="left" w:pos="8978"/>
        </w:tabs>
        <w:autoSpaceDE w:val="0"/>
        <w:autoSpaceDN w:val="0"/>
        <w:adjustRightInd w:val="0"/>
        <w:spacing w:after="0" w:line="312" w:lineRule="auto"/>
        <w:ind w:firstLine="709"/>
        <w:jc w:val="both"/>
        <w:rPr>
          <w:rStyle w:val="afffff0"/>
          <w:rFonts w:ascii="Times New Roman" w:hAnsi="Times New Roman" w:cs="Times New Roman"/>
          <w:i w:val="0"/>
          <w:iCs w:val="0"/>
          <w:sz w:val="28"/>
          <w:szCs w:val="28"/>
        </w:rPr>
      </w:pPr>
      <w:r w:rsidRPr="00F95848">
        <w:rPr>
          <w:rStyle w:val="afffff0"/>
          <w:rFonts w:ascii="Times New Roman" w:hAnsi="Times New Roman" w:cs="Times New Roman"/>
          <w:i w:val="0"/>
          <w:iCs w:val="0"/>
          <w:sz w:val="28"/>
          <w:szCs w:val="28"/>
        </w:rPr>
        <w:t>За 20</w:t>
      </w:r>
      <w:r w:rsidR="005845C5" w:rsidRPr="00F95848">
        <w:rPr>
          <w:rStyle w:val="afffff0"/>
          <w:rFonts w:ascii="Times New Roman" w:hAnsi="Times New Roman" w:cs="Times New Roman"/>
          <w:i w:val="0"/>
          <w:iCs w:val="0"/>
          <w:sz w:val="28"/>
          <w:szCs w:val="28"/>
        </w:rPr>
        <w:t>20</w:t>
      </w:r>
      <w:r w:rsidRPr="00F95848">
        <w:rPr>
          <w:rStyle w:val="afffff0"/>
          <w:rFonts w:ascii="Times New Roman" w:hAnsi="Times New Roman" w:cs="Times New Roman"/>
          <w:i w:val="0"/>
          <w:iCs w:val="0"/>
          <w:sz w:val="28"/>
          <w:szCs w:val="28"/>
        </w:rPr>
        <w:t>/202</w:t>
      </w:r>
      <w:r w:rsidR="005845C5" w:rsidRPr="00F95848">
        <w:rPr>
          <w:rStyle w:val="afffff0"/>
          <w:rFonts w:ascii="Times New Roman" w:hAnsi="Times New Roman" w:cs="Times New Roman"/>
          <w:i w:val="0"/>
          <w:iCs w:val="0"/>
          <w:sz w:val="28"/>
          <w:szCs w:val="28"/>
        </w:rPr>
        <w:t>1</w:t>
      </w:r>
      <w:r w:rsidRPr="00F95848">
        <w:rPr>
          <w:rStyle w:val="afffff0"/>
          <w:rFonts w:ascii="Times New Roman" w:hAnsi="Times New Roman" w:cs="Times New Roman"/>
          <w:i w:val="0"/>
          <w:iCs w:val="0"/>
          <w:sz w:val="28"/>
          <w:szCs w:val="28"/>
        </w:rPr>
        <w:t xml:space="preserve"> учебный</w:t>
      </w:r>
      <w:r w:rsidR="00C64F30" w:rsidRPr="00F95848">
        <w:rPr>
          <w:rStyle w:val="afffff0"/>
          <w:rFonts w:ascii="Times New Roman" w:hAnsi="Times New Roman" w:cs="Times New Roman"/>
          <w:i w:val="0"/>
          <w:iCs w:val="0"/>
          <w:sz w:val="28"/>
          <w:szCs w:val="28"/>
        </w:rPr>
        <w:t xml:space="preserve"> год обучено</w:t>
      </w:r>
      <w:r w:rsidR="00F95848" w:rsidRPr="00F95848">
        <w:rPr>
          <w:rStyle w:val="afffff0"/>
          <w:rFonts w:ascii="Times New Roman" w:hAnsi="Times New Roman" w:cs="Times New Roman"/>
          <w:i w:val="0"/>
          <w:iCs w:val="0"/>
          <w:sz w:val="28"/>
          <w:szCs w:val="28"/>
        </w:rPr>
        <w:t xml:space="preserve"> </w:t>
      </w:r>
      <w:r w:rsidR="00C64F30" w:rsidRPr="00F95848">
        <w:rPr>
          <w:rStyle w:val="afffff0"/>
          <w:rFonts w:ascii="Times New Roman" w:hAnsi="Times New Roman" w:cs="Times New Roman"/>
          <w:i w:val="0"/>
          <w:iCs w:val="0"/>
          <w:sz w:val="28"/>
          <w:szCs w:val="28"/>
        </w:rPr>
        <w:t xml:space="preserve">рабочей профессии </w:t>
      </w:r>
      <w:r w:rsidRPr="00F95848">
        <w:rPr>
          <w:rStyle w:val="afffff0"/>
          <w:rFonts w:ascii="Times New Roman" w:hAnsi="Times New Roman" w:cs="Times New Roman"/>
          <w:i w:val="0"/>
          <w:iCs w:val="0"/>
          <w:sz w:val="28"/>
          <w:szCs w:val="28"/>
        </w:rPr>
        <w:t>1</w:t>
      </w:r>
      <w:r w:rsidR="00F95848" w:rsidRPr="00F95848">
        <w:rPr>
          <w:rStyle w:val="afffff0"/>
          <w:rFonts w:ascii="Times New Roman" w:hAnsi="Times New Roman" w:cs="Times New Roman"/>
          <w:i w:val="0"/>
          <w:iCs w:val="0"/>
          <w:sz w:val="28"/>
          <w:szCs w:val="28"/>
        </w:rPr>
        <w:t> </w:t>
      </w:r>
      <w:r w:rsidR="005845C5" w:rsidRPr="00F95848">
        <w:rPr>
          <w:rStyle w:val="afffff0"/>
          <w:rFonts w:ascii="Times New Roman" w:hAnsi="Times New Roman" w:cs="Times New Roman"/>
          <w:i w:val="0"/>
          <w:iCs w:val="0"/>
          <w:sz w:val="28"/>
          <w:szCs w:val="28"/>
        </w:rPr>
        <w:t>573</w:t>
      </w:r>
      <w:r w:rsidR="00F95848" w:rsidRPr="00F95848">
        <w:rPr>
          <w:rStyle w:val="afffff0"/>
          <w:rFonts w:ascii="Times New Roman" w:hAnsi="Times New Roman" w:cs="Times New Roman"/>
          <w:i w:val="0"/>
          <w:iCs w:val="0"/>
          <w:sz w:val="28"/>
          <w:szCs w:val="28"/>
        </w:rPr>
        <w:t xml:space="preserve"> </w:t>
      </w:r>
      <w:r w:rsidRPr="00F95848">
        <w:rPr>
          <w:rStyle w:val="afffff0"/>
          <w:rFonts w:ascii="Times New Roman" w:hAnsi="Times New Roman" w:cs="Times New Roman"/>
          <w:i w:val="0"/>
          <w:iCs w:val="0"/>
          <w:sz w:val="28"/>
          <w:szCs w:val="28"/>
        </w:rPr>
        <w:t>несовершеннолетних осужденных (</w:t>
      </w:r>
      <w:r w:rsidR="00D7544F" w:rsidRPr="00F95848">
        <w:rPr>
          <w:rStyle w:val="afffff0"/>
          <w:rFonts w:ascii="Times New Roman" w:hAnsi="Times New Roman" w:cs="Times New Roman"/>
          <w:i w:val="0"/>
          <w:iCs w:val="0"/>
          <w:sz w:val="28"/>
          <w:szCs w:val="28"/>
        </w:rPr>
        <w:t>2019/2020 учебный год – 1 765 осужденных;</w:t>
      </w:r>
      <w:r w:rsidR="00A9053B" w:rsidRPr="00F95848">
        <w:rPr>
          <w:rStyle w:val="afffff0"/>
          <w:rFonts w:ascii="Times New Roman" w:hAnsi="Times New Roman" w:cs="Times New Roman"/>
          <w:i w:val="0"/>
          <w:iCs w:val="0"/>
          <w:sz w:val="28"/>
          <w:szCs w:val="28"/>
        </w:rPr>
        <w:t> </w:t>
      </w:r>
      <w:r w:rsidRPr="00F95848">
        <w:rPr>
          <w:rStyle w:val="afffff0"/>
          <w:rFonts w:ascii="Times New Roman" w:hAnsi="Times New Roman" w:cs="Times New Roman"/>
          <w:i w:val="0"/>
          <w:iCs w:val="0"/>
          <w:sz w:val="28"/>
          <w:szCs w:val="28"/>
        </w:rPr>
        <w:t>2018/2019 учебный год –</w:t>
      </w:r>
      <w:r w:rsidR="00A9053B" w:rsidRPr="00F95848">
        <w:rPr>
          <w:rStyle w:val="afffff0"/>
          <w:rFonts w:ascii="Times New Roman" w:hAnsi="Times New Roman" w:cs="Times New Roman"/>
          <w:i w:val="0"/>
          <w:iCs w:val="0"/>
          <w:sz w:val="28"/>
          <w:szCs w:val="28"/>
        </w:rPr>
        <w:t> </w:t>
      </w:r>
      <w:r w:rsidRPr="00F95848">
        <w:rPr>
          <w:rStyle w:val="afffff0"/>
          <w:rFonts w:ascii="Times New Roman" w:hAnsi="Times New Roman" w:cs="Times New Roman"/>
          <w:i w:val="0"/>
          <w:iCs w:val="0"/>
          <w:sz w:val="28"/>
          <w:szCs w:val="28"/>
        </w:rPr>
        <w:t>2 205 осужденных).</w:t>
      </w:r>
    </w:p>
    <w:p w14:paraId="12D7E2EA" w14:textId="000CD5FF" w:rsidR="001E7374" w:rsidRPr="00D6226F" w:rsidRDefault="001E7374" w:rsidP="001E7374">
      <w:pPr>
        <w:autoSpaceDE w:val="0"/>
        <w:autoSpaceDN w:val="0"/>
        <w:adjustRightInd w:val="0"/>
        <w:spacing w:after="0" w:line="312" w:lineRule="auto"/>
        <w:ind w:firstLine="709"/>
        <w:jc w:val="both"/>
        <w:rPr>
          <w:rFonts w:ascii="Times New Roman" w:eastAsiaTheme="minorEastAsia" w:hAnsi="Times New Roman" w:cs="Times New Roman"/>
          <w:sz w:val="28"/>
          <w:szCs w:val="28"/>
          <w:lang w:eastAsia="ru-RU"/>
        </w:rPr>
      </w:pPr>
      <w:r w:rsidRPr="00D6226F">
        <w:rPr>
          <w:rFonts w:ascii="Times New Roman" w:eastAsiaTheme="minorEastAsia" w:hAnsi="Times New Roman" w:cs="Times New Roman"/>
          <w:sz w:val="28"/>
          <w:szCs w:val="28"/>
          <w:lang w:eastAsia="ru-RU"/>
        </w:rPr>
        <w:t>Среднесписочная численность несовершеннолетних осужденных, привлеченных к оплачиваемому труду, по итогам 202</w:t>
      </w:r>
      <w:r w:rsidR="00296CFA">
        <w:rPr>
          <w:rFonts w:ascii="Times New Roman" w:eastAsiaTheme="minorEastAsia" w:hAnsi="Times New Roman" w:cs="Times New Roman"/>
          <w:sz w:val="28"/>
          <w:szCs w:val="28"/>
          <w:lang w:eastAsia="ru-RU"/>
        </w:rPr>
        <w:t>1</w:t>
      </w:r>
      <w:r w:rsidR="00C66965">
        <w:rPr>
          <w:rFonts w:ascii="Times New Roman" w:eastAsiaTheme="minorEastAsia" w:hAnsi="Times New Roman" w:cs="Times New Roman"/>
          <w:sz w:val="28"/>
          <w:szCs w:val="28"/>
          <w:lang w:eastAsia="ru-RU"/>
        </w:rPr>
        <w:t xml:space="preserve"> г.</w:t>
      </w:r>
      <w:r w:rsidR="00C64F30">
        <w:rPr>
          <w:rFonts w:ascii="Times New Roman" w:eastAsiaTheme="minorEastAsia" w:hAnsi="Times New Roman" w:cs="Times New Roman"/>
          <w:sz w:val="28"/>
          <w:szCs w:val="28"/>
          <w:lang w:eastAsia="ru-RU"/>
        </w:rPr>
        <w:t xml:space="preserve"> составила </w:t>
      </w:r>
      <w:r w:rsidR="00296CFA">
        <w:rPr>
          <w:rFonts w:ascii="Times New Roman" w:eastAsiaTheme="minorEastAsia" w:hAnsi="Times New Roman" w:cs="Times New Roman"/>
          <w:sz w:val="28"/>
          <w:szCs w:val="28"/>
          <w:lang w:eastAsia="ru-RU"/>
        </w:rPr>
        <w:t>456</w:t>
      </w:r>
      <w:r w:rsidRPr="00D6226F">
        <w:rPr>
          <w:rFonts w:ascii="Times New Roman" w:eastAsiaTheme="minorEastAsia" w:hAnsi="Times New Roman" w:cs="Times New Roman"/>
          <w:sz w:val="28"/>
          <w:szCs w:val="28"/>
          <w:lang w:eastAsia="ru-RU"/>
        </w:rPr>
        <w:t xml:space="preserve"> человек </w:t>
      </w:r>
      <w:r w:rsidR="0027146D">
        <w:rPr>
          <w:rFonts w:ascii="Times New Roman" w:eastAsiaTheme="minorEastAsia" w:hAnsi="Times New Roman" w:cs="Times New Roman"/>
          <w:sz w:val="28"/>
          <w:szCs w:val="28"/>
          <w:lang w:eastAsia="ru-RU"/>
        </w:rPr>
        <w:br/>
      </w:r>
      <w:r w:rsidRPr="00D6226F">
        <w:rPr>
          <w:rFonts w:ascii="Times New Roman" w:eastAsiaTheme="minorEastAsia" w:hAnsi="Times New Roman" w:cs="Times New Roman"/>
          <w:sz w:val="28"/>
          <w:szCs w:val="28"/>
          <w:lang w:eastAsia="ru-RU"/>
        </w:rPr>
        <w:t>(</w:t>
      </w:r>
      <w:r w:rsidR="00296CFA" w:rsidRPr="00D6226F">
        <w:rPr>
          <w:rFonts w:ascii="Times New Roman" w:eastAsiaTheme="minorEastAsia" w:hAnsi="Times New Roman" w:cs="Times New Roman"/>
          <w:sz w:val="28"/>
          <w:szCs w:val="28"/>
          <w:lang w:eastAsia="ru-RU"/>
        </w:rPr>
        <w:t>20</w:t>
      </w:r>
      <w:r w:rsidR="00296CFA">
        <w:rPr>
          <w:rFonts w:ascii="Times New Roman" w:eastAsiaTheme="minorEastAsia" w:hAnsi="Times New Roman" w:cs="Times New Roman"/>
          <w:sz w:val="28"/>
          <w:szCs w:val="28"/>
          <w:lang w:eastAsia="ru-RU"/>
        </w:rPr>
        <w:t>20</w:t>
      </w:r>
      <w:r w:rsidR="00296CFA" w:rsidRPr="00D6226F">
        <w:rPr>
          <w:rFonts w:ascii="Times New Roman" w:eastAsiaTheme="minorEastAsia" w:hAnsi="Times New Roman" w:cs="Times New Roman"/>
          <w:sz w:val="28"/>
          <w:szCs w:val="28"/>
          <w:lang w:eastAsia="ru-RU"/>
        </w:rPr>
        <w:t xml:space="preserve"> г.</w:t>
      </w:r>
      <w:r w:rsidR="00296CFA">
        <w:rPr>
          <w:rFonts w:ascii="Times New Roman" w:eastAsia="Times New Roman" w:hAnsi="Times New Roman" w:cs="Times New Roman"/>
          <w:color w:val="000000"/>
          <w:sz w:val="28"/>
          <w:szCs w:val="28"/>
          <w:lang w:eastAsia="ru-RU" w:bidi="ru-RU"/>
        </w:rPr>
        <w:t> </w:t>
      </w:r>
      <w:r w:rsidR="00296CFA" w:rsidRPr="00D6226F">
        <w:rPr>
          <w:rFonts w:ascii="Times New Roman" w:hAnsi="Times New Roman" w:cs="Times New Roman"/>
          <w:sz w:val="28"/>
          <w:szCs w:val="28"/>
        </w:rPr>
        <w:t>–</w:t>
      </w:r>
      <w:r w:rsidR="00296CFA" w:rsidRPr="00D6226F">
        <w:rPr>
          <w:rFonts w:ascii="Times New Roman" w:eastAsiaTheme="minorEastAsia" w:hAnsi="Times New Roman" w:cs="Times New Roman"/>
          <w:sz w:val="28"/>
          <w:szCs w:val="28"/>
          <w:lang w:eastAsia="ru-RU"/>
        </w:rPr>
        <w:t xml:space="preserve"> 5</w:t>
      </w:r>
      <w:r w:rsidR="00296CFA">
        <w:rPr>
          <w:rFonts w:ascii="Times New Roman" w:eastAsiaTheme="minorEastAsia" w:hAnsi="Times New Roman" w:cs="Times New Roman"/>
          <w:sz w:val="28"/>
          <w:szCs w:val="28"/>
          <w:lang w:eastAsia="ru-RU"/>
        </w:rPr>
        <w:t>40</w:t>
      </w:r>
      <w:r w:rsidR="00296CFA" w:rsidRPr="00D6226F">
        <w:rPr>
          <w:rFonts w:ascii="Times New Roman" w:eastAsiaTheme="minorEastAsia" w:hAnsi="Times New Roman" w:cs="Times New Roman"/>
          <w:sz w:val="28"/>
          <w:szCs w:val="28"/>
          <w:lang w:eastAsia="ru-RU"/>
        </w:rPr>
        <w:t xml:space="preserve"> человек; </w:t>
      </w:r>
      <w:r w:rsidRPr="00D6226F">
        <w:rPr>
          <w:rFonts w:ascii="Times New Roman" w:eastAsiaTheme="minorEastAsia" w:hAnsi="Times New Roman" w:cs="Times New Roman"/>
          <w:sz w:val="28"/>
          <w:szCs w:val="28"/>
          <w:lang w:eastAsia="ru-RU"/>
        </w:rPr>
        <w:t xml:space="preserve">2019 </w:t>
      </w:r>
      <w:r w:rsidR="00A9040A" w:rsidRPr="00D6226F">
        <w:rPr>
          <w:rFonts w:ascii="Times New Roman" w:eastAsiaTheme="minorEastAsia" w:hAnsi="Times New Roman" w:cs="Times New Roman"/>
          <w:sz w:val="28"/>
          <w:szCs w:val="28"/>
          <w:lang w:eastAsia="ru-RU"/>
        </w:rPr>
        <w:t>г.</w:t>
      </w:r>
      <w:r w:rsidR="000D1778">
        <w:rPr>
          <w:rFonts w:ascii="Times New Roman" w:eastAsia="Times New Roman" w:hAnsi="Times New Roman" w:cs="Times New Roman"/>
          <w:color w:val="000000"/>
          <w:sz w:val="28"/>
          <w:szCs w:val="28"/>
          <w:lang w:eastAsia="ru-RU" w:bidi="ru-RU"/>
        </w:rPr>
        <w:t> </w:t>
      </w:r>
      <w:r w:rsidRPr="00D6226F">
        <w:rPr>
          <w:rFonts w:ascii="Times New Roman" w:hAnsi="Times New Roman" w:cs="Times New Roman"/>
          <w:sz w:val="28"/>
          <w:szCs w:val="28"/>
        </w:rPr>
        <w:t>–</w:t>
      </w:r>
      <w:r w:rsidRPr="00D6226F">
        <w:rPr>
          <w:rFonts w:ascii="Times New Roman" w:eastAsiaTheme="minorEastAsia" w:hAnsi="Times New Roman" w:cs="Times New Roman"/>
          <w:sz w:val="28"/>
          <w:szCs w:val="28"/>
          <w:lang w:eastAsia="ru-RU"/>
        </w:rPr>
        <w:t xml:space="preserve"> 544 человека).</w:t>
      </w:r>
    </w:p>
    <w:p w14:paraId="7F28EC7E" w14:textId="77777777" w:rsidR="001E7374" w:rsidRDefault="001E7374" w:rsidP="001E7374">
      <w:pPr>
        <w:pStyle w:val="14"/>
        <w:shd w:val="clear" w:color="auto" w:fill="auto"/>
        <w:spacing w:line="312" w:lineRule="auto"/>
        <w:ind w:firstLine="709"/>
        <w:jc w:val="both"/>
        <w:rPr>
          <w:szCs w:val="28"/>
        </w:rPr>
      </w:pPr>
      <w:r w:rsidRPr="00D6226F">
        <w:rPr>
          <w:szCs w:val="28"/>
        </w:rPr>
        <w:t xml:space="preserve">В </w:t>
      </w:r>
      <w:r w:rsidR="00296CFA">
        <w:rPr>
          <w:szCs w:val="28"/>
        </w:rPr>
        <w:t xml:space="preserve">2020/2021, </w:t>
      </w:r>
      <w:r w:rsidRPr="00D6226F">
        <w:rPr>
          <w:szCs w:val="28"/>
        </w:rPr>
        <w:t>2019/2020 и 2018/2019 учебных годах случаев освобождения несовершеннолетних осужденных из мест лишения с</w:t>
      </w:r>
      <w:r w:rsidR="00296CFA">
        <w:rPr>
          <w:szCs w:val="28"/>
        </w:rPr>
        <w:t>вободы без профессии не допущено</w:t>
      </w:r>
      <w:r w:rsidRPr="00D6226F">
        <w:rPr>
          <w:szCs w:val="28"/>
        </w:rPr>
        <w:t>.</w:t>
      </w:r>
    </w:p>
    <w:p w14:paraId="60059488" w14:textId="77777777" w:rsidR="00D16DB0" w:rsidRDefault="00D16DB0" w:rsidP="001E7374">
      <w:pPr>
        <w:pStyle w:val="14"/>
        <w:shd w:val="clear" w:color="auto" w:fill="auto"/>
        <w:spacing w:line="312" w:lineRule="auto"/>
        <w:ind w:firstLine="709"/>
        <w:jc w:val="both"/>
        <w:rPr>
          <w:szCs w:val="28"/>
        </w:rPr>
      </w:pPr>
      <w:r>
        <w:rPr>
          <w:szCs w:val="28"/>
        </w:rPr>
        <w:t xml:space="preserve">Ведется работа по обеспечению возможности участия несовершеннолетних осужденных, отбывающих наказание в ВК, во всероссийских и региональных конкурсах, конференциях, олимпиадах, </w:t>
      </w:r>
      <w:r w:rsidR="00E66180">
        <w:rPr>
          <w:szCs w:val="28"/>
        </w:rPr>
        <w:t>организуемых органами исполнительной власти Российской Федерации, органами государственной власти субъектов Российской Федерации, с учетом требований уголовно-исполнительного законодательства.</w:t>
      </w:r>
    </w:p>
    <w:p w14:paraId="512021DD" w14:textId="77777777" w:rsidR="00E66180" w:rsidRDefault="00E66180" w:rsidP="001E7374">
      <w:pPr>
        <w:pStyle w:val="14"/>
        <w:shd w:val="clear" w:color="auto" w:fill="auto"/>
        <w:spacing w:line="312" w:lineRule="auto"/>
        <w:ind w:firstLine="709"/>
        <w:jc w:val="both"/>
        <w:rPr>
          <w:szCs w:val="28"/>
        </w:rPr>
      </w:pPr>
      <w:r>
        <w:rPr>
          <w:szCs w:val="28"/>
        </w:rPr>
        <w:t xml:space="preserve">По информации территориальных органов ФСИН России, по состоянию </w:t>
      </w:r>
      <w:r w:rsidR="00A9053B">
        <w:rPr>
          <w:szCs w:val="28"/>
        </w:rPr>
        <w:br/>
      </w:r>
      <w:r>
        <w:rPr>
          <w:szCs w:val="28"/>
        </w:rPr>
        <w:t>на 31 декабря 2021 г. доля несовершеннолетних осужденных, принявших участие в таких мероприятиях, составила 71,9% от общей численности осужденных, содержащихся в ВК.</w:t>
      </w:r>
    </w:p>
    <w:p w14:paraId="58BFE9CF" w14:textId="77777777" w:rsidR="00E66180" w:rsidRPr="00D6226F" w:rsidRDefault="00E66180" w:rsidP="00E66180">
      <w:pPr>
        <w:pStyle w:val="14"/>
        <w:spacing w:line="312" w:lineRule="auto"/>
        <w:ind w:firstLine="709"/>
        <w:jc w:val="both"/>
        <w:rPr>
          <w:szCs w:val="28"/>
        </w:rPr>
      </w:pPr>
      <w:r>
        <w:rPr>
          <w:szCs w:val="28"/>
        </w:rPr>
        <w:t>В 2021 г</w:t>
      </w:r>
      <w:r w:rsidR="00C66965">
        <w:rPr>
          <w:szCs w:val="28"/>
        </w:rPr>
        <w:t>.</w:t>
      </w:r>
      <w:r>
        <w:rPr>
          <w:szCs w:val="28"/>
        </w:rPr>
        <w:t xml:space="preserve"> </w:t>
      </w:r>
      <w:r w:rsidRPr="00E66180">
        <w:rPr>
          <w:szCs w:val="28"/>
        </w:rPr>
        <w:t xml:space="preserve">осужденные приняли участие </w:t>
      </w:r>
      <w:r>
        <w:rPr>
          <w:szCs w:val="28"/>
        </w:rPr>
        <w:t xml:space="preserve">в Международном конкурсе </w:t>
      </w:r>
      <w:r w:rsidRPr="00E66180">
        <w:rPr>
          <w:szCs w:val="28"/>
        </w:rPr>
        <w:t>по литературе «Пегас», Всероссийском фестивале искусств «Амнистия души», проекте ФГБОУ ВО МГУ им. М.В. Ломоносова «Путевка в жизнь», Международном математическом конкурсе «КЕНГУРУ», Всероссийском творческом конкурсе «Этот удивительный космос», Всероссийской познавательной игре «</w:t>
      </w:r>
      <w:proofErr w:type="spellStart"/>
      <w:r w:rsidRPr="00E66180">
        <w:rPr>
          <w:szCs w:val="28"/>
        </w:rPr>
        <w:t>Космо-квест</w:t>
      </w:r>
      <w:proofErr w:type="spellEnd"/>
      <w:r w:rsidRPr="00E66180">
        <w:rPr>
          <w:szCs w:val="28"/>
        </w:rPr>
        <w:t>», Всероссийской дистанционной олимпиаде по английскому языку «I’MATALENT», Всероссийской интернет-олимпиаде «Солнечный свет», Фестивале иностранных языков «Вокруг света»</w:t>
      </w:r>
      <w:r>
        <w:rPr>
          <w:szCs w:val="28"/>
        </w:rPr>
        <w:t>,</w:t>
      </w:r>
      <w:r w:rsidRPr="00E66180">
        <w:rPr>
          <w:szCs w:val="28"/>
        </w:rPr>
        <w:t xml:space="preserve"> Всероссийском конкурсе чтецов «Одно стихотворение Пушкина», Всероссийском конкурсе картин «Сохрани надежду», Всероссийском литературно-музыкальном конкурсе «Любовь – волшебная страна», Конкурсе молодых профессионалов «</w:t>
      </w:r>
      <w:proofErr w:type="spellStart"/>
      <w:r w:rsidRPr="00E66180">
        <w:rPr>
          <w:szCs w:val="28"/>
        </w:rPr>
        <w:t>WorldSkills</w:t>
      </w:r>
      <w:proofErr w:type="spellEnd"/>
      <w:r w:rsidRPr="00E66180">
        <w:rPr>
          <w:szCs w:val="28"/>
        </w:rPr>
        <w:t>» и многих других.</w:t>
      </w:r>
    </w:p>
    <w:p w14:paraId="557991D3" w14:textId="77777777" w:rsidR="00E21D90" w:rsidRPr="00CB2BF8" w:rsidRDefault="00E21D90" w:rsidP="00E21D90">
      <w:pPr>
        <w:pBdr>
          <w:bottom w:val="single" w:sz="4" w:space="31" w:color="FFFFFF"/>
        </w:pBdr>
        <w:tabs>
          <w:tab w:val="left" w:pos="9781"/>
        </w:tabs>
        <w:spacing w:after="0" w:line="312" w:lineRule="auto"/>
        <w:ind w:firstLine="709"/>
        <w:jc w:val="both"/>
        <w:rPr>
          <w:rFonts w:ascii="Times New Roman" w:hAnsi="Times New Roman"/>
          <w:sz w:val="28"/>
          <w:szCs w:val="28"/>
        </w:rPr>
      </w:pPr>
      <w:r w:rsidRPr="00CB2BF8">
        <w:rPr>
          <w:rFonts w:ascii="Times New Roman" w:hAnsi="Times New Roman"/>
          <w:sz w:val="28"/>
          <w:szCs w:val="28"/>
        </w:rPr>
        <w:t>В</w:t>
      </w:r>
      <w:r>
        <w:rPr>
          <w:rFonts w:ascii="Times New Roman" w:hAnsi="Times New Roman"/>
          <w:sz w:val="28"/>
          <w:szCs w:val="28"/>
        </w:rPr>
        <w:t xml:space="preserve"> рамках исполнения пункта 112 </w:t>
      </w:r>
      <w:r w:rsidRPr="00D62333">
        <w:rPr>
          <w:rStyle w:val="FontStyle21"/>
          <w:b w:val="0"/>
          <w:sz w:val="28"/>
          <w:szCs w:val="28"/>
        </w:rPr>
        <w:t>плана основных мероприятий, проводимых в рамках Десятилетия детства, на период до 2027 г</w:t>
      </w:r>
      <w:r w:rsidR="00C66965">
        <w:rPr>
          <w:rStyle w:val="FontStyle21"/>
          <w:b w:val="0"/>
          <w:sz w:val="28"/>
          <w:szCs w:val="28"/>
        </w:rPr>
        <w:t>.</w:t>
      </w:r>
      <w:r>
        <w:rPr>
          <w:rStyle w:val="FontStyle21"/>
          <w:b w:val="0"/>
          <w:sz w:val="28"/>
          <w:szCs w:val="28"/>
        </w:rPr>
        <w:t xml:space="preserve"> в</w:t>
      </w:r>
      <w:r w:rsidRPr="00CB2BF8">
        <w:rPr>
          <w:rFonts w:ascii="Times New Roman" w:hAnsi="Times New Roman"/>
          <w:sz w:val="28"/>
          <w:szCs w:val="28"/>
        </w:rPr>
        <w:t xml:space="preserve"> образовательных учреждениях ФСИН России обеспечено повышение доступности качества оказания психологической помощи участникам образовательных отношений. В штатном расписании образовательных организаций ФСИН России введены 3 должности </w:t>
      </w:r>
      <w:r w:rsidRPr="00A9053B">
        <w:rPr>
          <w:rFonts w:ascii="Times New Roman" w:hAnsi="Times New Roman"/>
          <w:sz w:val="28"/>
          <w:szCs w:val="28"/>
        </w:rPr>
        <w:t>педагог</w:t>
      </w:r>
      <w:r w:rsidR="00A9053B" w:rsidRPr="00A9053B">
        <w:rPr>
          <w:rFonts w:ascii="Times New Roman" w:hAnsi="Times New Roman"/>
          <w:sz w:val="28"/>
          <w:szCs w:val="28"/>
        </w:rPr>
        <w:t>ов</w:t>
      </w:r>
      <w:r w:rsidRPr="00A9053B">
        <w:rPr>
          <w:rFonts w:ascii="Times New Roman" w:hAnsi="Times New Roman"/>
          <w:sz w:val="28"/>
          <w:szCs w:val="28"/>
        </w:rPr>
        <w:t>-психолог</w:t>
      </w:r>
      <w:r w:rsidR="00A9053B" w:rsidRPr="00A9053B">
        <w:rPr>
          <w:rFonts w:ascii="Times New Roman" w:hAnsi="Times New Roman"/>
          <w:sz w:val="28"/>
          <w:szCs w:val="28"/>
        </w:rPr>
        <w:t>ов</w:t>
      </w:r>
      <w:r w:rsidRPr="00CB2BF8">
        <w:rPr>
          <w:rFonts w:ascii="Times New Roman" w:hAnsi="Times New Roman"/>
          <w:sz w:val="28"/>
          <w:szCs w:val="28"/>
        </w:rPr>
        <w:t xml:space="preserve">. Обеспечено ежегодное повышение их квалификации. </w:t>
      </w:r>
    </w:p>
    <w:p w14:paraId="33DC2D82" w14:textId="77777777" w:rsidR="00E21D90" w:rsidRPr="00CB2BF8" w:rsidRDefault="00E21D90" w:rsidP="00E21D90">
      <w:pPr>
        <w:pBdr>
          <w:bottom w:val="single" w:sz="4" w:space="31" w:color="FFFFFF"/>
        </w:pBdr>
        <w:tabs>
          <w:tab w:val="left" w:pos="9781"/>
        </w:tabs>
        <w:spacing w:after="0" w:line="312" w:lineRule="auto"/>
        <w:ind w:firstLine="709"/>
        <w:jc w:val="both"/>
        <w:rPr>
          <w:rFonts w:ascii="Times New Roman" w:hAnsi="Times New Roman"/>
          <w:sz w:val="28"/>
          <w:szCs w:val="28"/>
        </w:rPr>
      </w:pPr>
      <w:r>
        <w:rPr>
          <w:rFonts w:ascii="Times New Roman" w:hAnsi="Times New Roman"/>
          <w:sz w:val="28"/>
          <w:szCs w:val="28"/>
        </w:rPr>
        <w:t>Так, п</w:t>
      </w:r>
      <w:r w:rsidRPr="00CB2BF8">
        <w:rPr>
          <w:rFonts w:ascii="Times New Roman" w:hAnsi="Times New Roman"/>
          <w:sz w:val="28"/>
          <w:szCs w:val="28"/>
        </w:rPr>
        <w:t>едагог-психолог ФКОУ СОШ УФСИН России по Волгоградской области в сентябре</w:t>
      </w:r>
      <w:r w:rsidR="00C66965">
        <w:rPr>
          <w:rFonts w:ascii="Times New Roman" w:hAnsi="Times New Roman"/>
          <w:sz w:val="28"/>
          <w:szCs w:val="28"/>
        </w:rPr>
        <w:t>-</w:t>
      </w:r>
      <w:r w:rsidR="00702765">
        <w:rPr>
          <w:rFonts w:ascii="Times New Roman" w:hAnsi="Times New Roman"/>
          <w:sz w:val="28"/>
          <w:szCs w:val="28"/>
        </w:rPr>
        <w:t>де</w:t>
      </w:r>
      <w:r w:rsidRPr="00CB2BF8">
        <w:rPr>
          <w:rFonts w:ascii="Times New Roman" w:hAnsi="Times New Roman"/>
          <w:sz w:val="28"/>
          <w:szCs w:val="28"/>
        </w:rPr>
        <w:t>к</w:t>
      </w:r>
      <w:r>
        <w:rPr>
          <w:rFonts w:ascii="Times New Roman" w:hAnsi="Times New Roman"/>
          <w:sz w:val="28"/>
          <w:szCs w:val="28"/>
        </w:rPr>
        <w:t>абре 2021 г</w:t>
      </w:r>
      <w:r w:rsidR="00702765">
        <w:rPr>
          <w:rFonts w:ascii="Times New Roman" w:hAnsi="Times New Roman"/>
          <w:sz w:val="28"/>
          <w:szCs w:val="28"/>
        </w:rPr>
        <w:t>.</w:t>
      </w:r>
      <w:r>
        <w:rPr>
          <w:rFonts w:ascii="Times New Roman" w:hAnsi="Times New Roman"/>
          <w:sz w:val="28"/>
          <w:szCs w:val="28"/>
        </w:rPr>
        <w:t xml:space="preserve"> прошла обучение </w:t>
      </w:r>
      <w:r w:rsidRPr="00CB2BF8">
        <w:rPr>
          <w:rFonts w:ascii="Times New Roman" w:hAnsi="Times New Roman"/>
          <w:sz w:val="28"/>
          <w:szCs w:val="28"/>
        </w:rPr>
        <w:t xml:space="preserve">в АНО ДПО «Дальневосточный институт дополнительного профессионального образования» на курсах </w:t>
      </w:r>
      <w:r w:rsidR="004455A6">
        <w:rPr>
          <w:rFonts w:ascii="Times New Roman" w:hAnsi="Times New Roman" w:cs="Times New Roman"/>
          <w:sz w:val="28"/>
          <w:szCs w:val="28"/>
        </w:rPr>
        <w:t>профессиональной</w:t>
      </w:r>
      <w:r w:rsidR="004455A6" w:rsidRPr="00CB2BF8">
        <w:rPr>
          <w:rFonts w:ascii="Times New Roman" w:hAnsi="Times New Roman"/>
          <w:sz w:val="28"/>
          <w:szCs w:val="28"/>
        </w:rPr>
        <w:t xml:space="preserve"> </w:t>
      </w:r>
      <w:r w:rsidRPr="00CB2BF8">
        <w:rPr>
          <w:rFonts w:ascii="Times New Roman" w:hAnsi="Times New Roman"/>
          <w:sz w:val="28"/>
          <w:szCs w:val="28"/>
        </w:rPr>
        <w:t>переподготовки по теме</w:t>
      </w:r>
      <w:r>
        <w:rPr>
          <w:rFonts w:ascii="Times New Roman" w:hAnsi="Times New Roman"/>
          <w:sz w:val="28"/>
          <w:szCs w:val="28"/>
        </w:rPr>
        <w:t>:</w:t>
      </w:r>
      <w:r w:rsidRPr="00CB2BF8">
        <w:rPr>
          <w:rFonts w:ascii="Times New Roman" w:hAnsi="Times New Roman"/>
          <w:sz w:val="28"/>
          <w:szCs w:val="28"/>
        </w:rPr>
        <w:t xml:space="preserve"> «Организация деятельности педагога-психолога в образовательной организации».</w:t>
      </w:r>
    </w:p>
    <w:p w14:paraId="20CAB69C" w14:textId="77777777" w:rsidR="00E21D90" w:rsidRPr="00CB2BF8" w:rsidRDefault="00E21D90" w:rsidP="00E21D90">
      <w:pPr>
        <w:pBdr>
          <w:bottom w:val="single" w:sz="4" w:space="31" w:color="FFFFFF"/>
        </w:pBdr>
        <w:tabs>
          <w:tab w:val="left" w:pos="9781"/>
        </w:tabs>
        <w:spacing w:after="0" w:line="312" w:lineRule="auto"/>
        <w:ind w:firstLine="709"/>
        <w:jc w:val="both"/>
        <w:rPr>
          <w:rFonts w:ascii="Times New Roman" w:hAnsi="Times New Roman"/>
          <w:sz w:val="28"/>
          <w:szCs w:val="28"/>
        </w:rPr>
      </w:pPr>
      <w:r w:rsidRPr="00CB2BF8">
        <w:rPr>
          <w:rFonts w:ascii="Times New Roman" w:hAnsi="Times New Roman"/>
          <w:sz w:val="28"/>
          <w:szCs w:val="28"/>
        </w:rPr>
        <w:t>Педагог-психолог ФКОУ СОШ ГУФСИН России по Кемеровской области – Кузбасс</w:t>
      </w:r>
      <w:r>
        <w:rPr>
          <w:rFonts w:ascii="Times New Roman" w:hAnsi="Times New Roman"/>
          <w:sz w:val="28"/>
          <w:szCs w:val="28"/>
        </w:rPr>
        <w:t>у в марте 2021</w:t>
      </w:r>
      <w:r w:rsidR="00702765">
        <w:rPr>
          <w:rFonts w:ascii="Times New Roman" w:hAnsi="Times New Roman"/>
          <w:sz w:val="28"/>
          <w:szCs w:val="28"/>
        </w:rPr>
        <w:t xml:space="preserve"> г.</w:t>
      </w:r>
      <w:r>
        <w:rPr>
          <w:rFonts w:ascii="Times New Roman" w:hAnsi="Times New Roman"/>
          <w:sz w:val="28"/>
          <w:szCs w:val="28"/>
        </w:rPr>
        <w:t xml:space="preserve"> прошла обучение </w:t>
      </w:r>
      <w:r w:rsidRPr="00CB2BF8">
        <w:rPr>
          <w:rFonts w:ascii="Times New Roman" w:hAnsi="Times New Roman"/>
          <w:sz w:val="28"/>
          <w:szCs w:val="28"/>
        </w:rPr>
        <w:t>в АНО ДПО «Дальневосточный институт дополнительного профессионального образования» по программе повышения квалификации по теме</w:t>
      </w:r>
      <w:r>
        <w:rPr>
          <w:rFonts w:ascii="Times New Roman" w:hAnsi="Times New Roman"/>
          <w:sz w:val="28"/>
          <w:szCs w:val="28"/>
        </w:rPr>
        <w:t>:</w:t>
      </w:r>
      <w:r w:rsidRPr="00CB2BF8">
        <w:rPr>
          <w:rFonts w:ascii="Times New Roman" w:hAnsi="Times New Roman"/>
          <w:sz w:val="28"/>
          <w:szCs w:val="28"/>
        </w:rPr>
        <w:t xml:space="preserve"> «Психолого-педагогические аспекты сопровождения личностного развития детей в школе в соответствии с ФГОС».</w:t>
      </w:r>
    </w:p>
    <w:p w14:paraId="1BCC451B" w14:textId="77777777" w:rsidR="00E21D90" w:rsidRDefault="00E21D90" w:rsidP="0027146D">
      <w:pPr>
        <w:keepNext/>
        <w:pBdr>
          <w:bottom w:val="single" w:sz="4" w:space="31" w:color="FFFFFF"/>
        </w:pBdr>
        <w:tabs>
          <w:tab w:val="left" w:pos="9781"/>
        </w:tabs>
        <w:spacing w:after="0" w:line="312" w:lineRule="auto"/>
        <w:ind w:firstLine="709"/>
        <w:jc w:val="both"/>
        <w:rPr>
          <w:rFonts w:ascii="Times New Roman" w:hAnsi="Times New Roman"/>
          <w:sz w:val="28"/>
          <w:szCs w:val="28"/>
        </w:rPr>
      </w:pPr>
      <w:r w:rsidRPr="00CB2BF8">
        <w:rPr>
          <w:rFonts w:ascii="Times New Roman" w:hAnsi="Times New Roman"/>
          <w:sz w:val="28"/>
          <w:szCs w:val="28"/>
        </w:rPr>
        <w:t>Педагог-психолог ФКОУ СОШ УФСИН России по Московской области в сентябре 2021 г</w:t>
      </w:r>
      <w:r w:rsidR="00584849">
        <w:rPr>
          <w:rFonts w:ascii="Times New Roman" w:hAnsi="Times New Roman"/>
          <w:sz w:val="28"/>
          <w:szCs w:val="28"/>
        </w:rPr>
        <w:t>.</w:t>
      </w:r>
      <w:r w:rsidRPr="00CB2BF8">
        <w:rPr>
          <w:rFonts w:ascii="Times New Roman" w:hAnsi="Times New Roman"/>
          <w:sz w:val="28"/>
          <w:szCs w:val="28"/>
        </w:rPr>
        <w:t xml:space="preserve"> прошла обучение по программе повышения квалификации </w:t>
      </w:r>
      <w:r w:rsidR="00584849">
        <w:rPr>
          <w:rFonts w:ascii="Times New Roman" w:hAnsi="Times New Roman"/>
          <w:sz w:val="28"/>
          <w:szCs w:val="28"/>
        </w:rPr>
        <w:br/>
      </w:r>
      <w:r w:rsidRPr="00CB2BF8">
        <w:rPr>
          <w:rFonts w:ascii="Times New Roman" w:hAnsi="Times New Roman"/>
          <w:sz w:val="28"/>
          <w:szCs w:val="28"/>
        </w:rPr>
        <w:t>в АНО ДПО «Институт современного образования» по теме</w:t>
      </w:r>
      <w:r>
        <w:rPr>
          <w:rFonts w:ascii="Times New Roman" w:hAnsi="Times New Roman"/>
          <w:sz w:val="28"/>
          <w:szCs w:val="28"/>
        </w:rPr>
        <w:t>:</w:t>
      </w:r>
      <w:r w:rsidRPr="00CB2BF8">
        <w:rPr>
          <w:rFonts w:ascii="Times New Roman" w:hAnsi="Times New Roman"/>
          <w:sz w:val="28"/>
          <w:szCs w:val="28"/>
        </w:rPr>
        <w:t xml:space="preserve"> «Особенности работы педагога-психолога с обучающимися с </w:t>
      </w:r>
      <w:proofErr w:type="spellStart"/>
      <w:r w:rsidRPr="00CB2BF8">
        <w:rPr>
          <w:rFonts w:ascii="Times New Roman" w:hAnsi="Times New Roman"/>
          <w:sz w:val="28"/>
          <w:szCs w:val="28"/>
        </w:rPr>
        <w:t>девиантным</w:t>
      </w:r>
      <w:proofErr w:type="spellEnd"/>
      <w:r w:rsidRPr="00CB2BF8">
        <w:rPr>
          <w:rFonts w:ascii="Times New Roman" w:hAnsi="Times New Roman"/>
          <w:sz w:val="28"/>
          <w:szCs w:val="28"/>
        </w:rPr>
        <w:t xml:space="preserve"> поведением в образовательной организации согласно ФГОС».</w:t>
      </w:r>
    </w:p>
    <w:p w14:paraId="0683ECC3" w14:textId="7BB1366B" w:rsidR="00871BB6" w:rsidRPr="00871BB6" w:rsidRDefault="00B802B0" w:rsidP="0027146D">
      <w:pPr>
        <w:keepNext/>
        <w:pBdr>
          <w:bottom w:val="single" w:sz="4" w:space="31" w:color="FFFFFF"/>
        </w:pBdr>
        <w:tabs>
          <w:tab w:val="left" w:pos="9781"/>
        </w:tabs>
        <w:spacing w:after="0" w:line="312" w:lineRule="auto"/>
        <w:ind w:firstLine="709"/>
        <w:jc w:val="both"/>
        <w:rPr>
          <w:rStyle w:val="FontStyle21"/>
          <w:b w:val="0"/>
          <w:sz w:val="28"/>
          <w:szCs w:val="28"/>
        </w:rPr>
      </w:pPr>
      <w:r>
        <w:rPr>
          <w:rFonts w:ascii="Times New Roman" w:hAnsi="Times New Roman"/>
          <w:sz w:val="28"/>
          <w:szCs w:val="28"/>
        </w:rPr>
        <w:t xml:space="preserve">В целях предупреждения и профилактики суицидов </w:t>
      </w:r>
      <w:r w:rsidR="00B6479B">
        <w:rPr>
          <w:rFonts w:ascii="Times New Roman" w:hAnsi="Times New Roman"/>
          <w:sz w:val="28"/>
          <w:szCs w:val="28"/>
        </w:rPr>
        <w:t xml:space="preserve">подозреваемых, обвиняемых и осужденных </w:t>
      </w:r>
      <w:r>
        <w:rPr>
          <w:rFonts w:ascii="Times New Roman" w:hAnsi="Times New Roman"/>
          <w:sz w:val="28"/>
          <w:szCs w:val="28"/>
        </w:rPr>
        <w:t xml:space="preserve">несовершеннолетних </w:t>
      </w:r>
      <w:r w:rsidR="00871BB6">
        <w:rPr>
          <w:rFonts w:ascii="Times New Roman" w:hAnsi="Times New Roman"/>
          <w:sz w:val="28"/>
          <w:szCs w:val="28"/>
        </w:rPr>
        <w:t xml:space="preserve">в рамках исполнения пункта 119 </w:t>
      </w:r>
      <w:r w:rsidR="00871BB6" w:rsidRPr="00D62333">
        <w:rPr>
          <w:rStyle w:val="FontStyle21"/>
          <w:b w:val="0"/>
          <w:sz w:val="28"/>
          <w:szCs w:val="28"/>
        </w:rPr>
        <w:t>плана основных мероприятий, проводимых в рамках Десятилетия детства, на период до 2027 г</w:t>
      </w:r>
      <w:r w:rsidR="00C66965">
        <w:rPr>
          <w:rStyle w:val="FontStyle21"/>
          <w:b w:val="0"/>
          <w:sz w:val="28"/>
          <w:szCs w:val="28"/>
        </w:rPr>
        <w:t>.</w:t>
      </w:r>
      <w:r w:rsidR="00871BB6">
        <w:rPr>
          <w:rStyle w:val="FontStyle21"/>
          <w:b w:val="0"/>
          <w:sz w:val="28"/>
          <w:szCs w:val="28"/>
        </w:rPr>
        <w:t xml:space="preserve"> в</w:t>
      </w:r>
      <w:r w:rsidR="00871BB6" w:rsidRPr="00871BB6">
        <w:rPr>
          <w:rStyle w:val="FontStyle21"/>
          <w:b w:val="0"/>
          <w:sz w:val="28"/>
          <w:szCs w:val="28"/>
        </w:rPr>
        <w:t xml:space="preserve"> 2021 г</w:t>
      </w:r>
      <w:r w:rsidR="00C66965">
        <w:rPr>
          <w:rStyle w:val="FontStyle21"/>
          <w:b w:val="0"/>
          <w:sz w:val="28"/>
          <w:szCs w:val="28"/>
        </w:rPr>
        <w:t>.</w:t>
      </w:r>
      <w:r w:rsidR="00871BB6" w:rsidRPr="00871BB6">
        <w:rPr>
          <w:rStyle w:val="FontStyle21"/>
          <w:b w:val="0"/>
          <w:sz w:val="28"/>
          <w:szCs w:val="28"/>
        </w:rPr>
        <w:t xml:space="preserve"> пенитенциарными психологами обеспечен 100% (</w:t>
      </w:r>
      <w:r w:rsidR="00871BB6">
        <w:rPr>
          <w:rStyle w:val="FontStyle21"/>
          <w:b w:val="0"/>
          <w:sz w:val="28"/>
          <w:szCs w:val="28"/>
        </w:rPr>
        <w:t>2020 г.</w:t>
      </w:r>
      <w:r w:rsidR="00871BB6" w:rsidRPr="00871BB6">
        <w:rPr>
          <w:rStyle w:val="FontStyle21"/>
          <w:b w:val="0"/>
          <w:sz w:val="28"/>
          <w:szCs w:val="28"/>
        </w:rPr>
        <w:t xml:space="preserve"> – 100%) охват вновь прибывших в учреждения </w:t>
      </w:r>
      <w:r w:rsidR="00871BB6">
        <w:rPr>
          <w:rStyle w:val="FontStyle21"/>
          <w:b w:val="0"/>
          <w:sz w:val="28"/>
          <w:szCs w:val="28"/>
        </w:rPr>
        <w:t>уголовно-исполнительной системы</w:t>
      </w:r>
      <w:r w:rsidR="00871BB6" w:rsidRPr="00871BB6">
        <w:rPr>
          <w:rStyle w:val="FontStyle21"/>
          <w:b w:val="0"/>
          <w:sz w:val="28"/>
          <w:szCs w:val="28"/>
        </w:rPr>
        <w:t xml:space="preserve"> несовершеннолетних подозре</w:t>
      </w:r>
      <w:r w:rsidR="00871BB6">
        <w:rPr>
          <w:rStyle w:val="FontStyle21"/>
          <w:b w:val="0"/>
          <w:sz w:val="28"/>
          <w:szCs w:val="28"/>
        </w:rPr>
        <w:t>ваемых, обвиняемых и осужденных</w:t>
      </w:r>
      <w:r w:rsidR="00871BB6" w:rsidRPr="00871BB6">
        <w:rPr>
          <w:rStyle w:val="FontStyle21"/>
          <w:b w:val="0"/>
          <w:sz w:val="28"/>
          <w:szCs w:val="28"/>
        </w:rPr>
        <w:t xml:space="preserve"> углубленным психодиагностическим обследованием. Так, в 2021 г</w:t>
      </w:r>
      <w:r w:rsidR="00C66965">
        <w:rPr>
          <w:rStyle w:val="FontStyle21"/>
          <w:b w:val="0"/>
          <w:sz w:val="28"/>
          <w:szCs w:val="28"/>
        </w:rPr>
        <w:t>.</w:t>
      </w:r>
      <w:r w:rsidR="00871BB6" w:rsidRPr="00871BB6">
        <w:rPr>
          <w:rStyle w:val="FontStyle21"/>
          <w:b w:val="0"/>
          <w:sz w:val="28"/>
          <w:szCs w:val="28"/>
        </w:rPr>
        <w:t xml:space="preserve"> в ВК обследовано 1 265 вновь прибывших </w:t>
      </w:r>
      <w:r w:rsidR="008F627A">
        <w:rPr>
          <w:rStyle w:val="FontStyle21"/>
          <w:b w:val="0"/>
          <w:sz w:val="28"/>
          <w:szCs w:val="28"/>
        </w:rPr>
        <w:t xml:space="preserve">подозреваемых, обвиняемых и осужденных </w:t>
      </w:r>
      <w:r w:rsidR="00871BB6" w:rsidRPr="00871BB6">
        <w:rPr>
          <w:rStyle w:val="FontStyle21"/>
          <w:b w:val="0"/>
          <w:sz w:val="28"/>
          <w:szCs w:val="28"/>
        </w:rPr>
        <w:t xml:space="preserve">несовершеннолетних </w:t>
      </w:r>
      <w:r w:rsidR="0027146D">
        <w:rPr>
          <w:rStyle w:val="FontStyle21"/>
          <w:b w:val="0"/>
          <w:sz w:val="28"/>
          <w:szCs w:val="28"/>
        </w:rPr>
        <w:br/>
      </w:r>
      <w:r w:rsidR="00871BB6" w:rsidRPr="00871BB6">
        <w:rPr>
          <w:rStyle w:val="FontStyle21"/>
          <w:b w:val="0"/>
          <w:sz w:val="28"/>
          <w:szCs w:val="28"/>
        </w:rPr>
        <w:t>(</w:t>
      </w:r>
      <w:r w:rsidR="00871BB6">
        <w:rPr>
          <w:rStyle w:val="FontStyle21"/>
          <w:b w:val="0"/>
          <w:sz w:val="28"/>
          <w:szCs w:val="28"/>
        </w:rPr>
        <w:t>2020 г.</w:t>
      </w:r>
      <w:r w:rsidR="00871BB6" w:rsidRPr="00871BB6">
        <w:rPr>
          <w:rStyle w:val="FontStyle21"/>
          <w:b w:val="0"/>
          <w:sz w:val="28"/>
          <w:szCs w:val="28"/>
        </w:rPr>
        <w:t xml:space="preserve"> – 1</w:t>
      </w:r>
      <w:r w:rsidR="00871BB6">
        <w:rPr>
          <w:rStyle w:val="FontStyle21"/>
          <w:b w:val="0"/>
          <w:sz w:val="28"/>
          <w:szCs w:val="28"/>
        </w:rPr>
        <w:t> </w:t>
      </w:r>
      <w:r w:rsidR="00871BB6" w:rsidRPr="00871BB6">
        <w:rPr>
          <w:rStyle w:val="FontStyle21"/>
          <w:b w:val="0"/>
          <w:sz w:val="28"/>
          <w:szCs w:val="28"/>
        </w:rPr>
        <w:t>230</w:t>
      </w:r>
      <w:r w:rsidR="00871BB6">
        <w:rPr>
          <w:rStyle w:val="FontStyle21"/>
          <w:b w:val="0"/>
          <w:sz w:val="28"/>
          <w:szCs w:val="28"/>
        </w:rPr>
        <w:t xml:space="preserve"> человек</w:t>
      </w:r>
      <w:r w:rsidR="00871BB6" w:rsidRPr="00871BB6">
        <w:rPr>
          <w:rStyle w:val="FontStyle21"/>
          <w:b w:val="0"/>
          <w:sz w:val="28"/>
          <w:szCs w:val="28"/>
        </w:rPr>
        <w:t>). Кроме этого, согласно информации, поступившей из территориальных органов ФСИН России, в следственных изоляторах (далее – СИЗО) обследовано 2 391 вновь прибывших подозреваемых и обвиняемых</w:t>
      </w:r>
      <w:r w:rsidR="007219E9" w:rsidRPr="00BD5345">
        <w:rPr>
          <w:rFonts w:ascii="Times New Roman" w:eastAsia="Times New Roman" w:hAnsi="Times New Roman" w:cs="Times New Roman"/>
          <w:sz w:val="28"/>
          <w:szCs w:val="28"/>
        </w:rPr>
        <w:t> </w:t>
      </w:r>
      <w:r w:rsidR="008F627A" w:rsidRPr="00871BB6">
        <w:rPr>
          <w:rStyle w:val="FontStyle21"/>
          <w:b w:val="0"/>
          <w:sz w:val="28"/>
          <w:szCs w:val="28"/>
        </w:rPr>
        <w:t xml:space="preserve">несовершеннолетних </w:t>
      </w:r>
      <w:r w:rsidR="00871BB6" w:rsidRPr="00871BB6">
        <w:rPr>
          <w:rStyle w:val="FontStyle21"/>
          <w:b w:val="0"/>
          <w:sz w:val="28"/>
          <w:szCs w:val="28"/>
        </w:rPr>
        <w:t>(</w:t>
      </w:r>
      <w:r w:rsidR="00871BB6">
        <w:rPr>
          <w:rStyle w:val="FontStyle21"/>
          <w:b w:val="0"/>
          <w:sz w:val="28"/>
          <w:szCs w:val="28"/>
        </w:rPr>
        <w:t>2020 г.</w:t>
      </w:r>
      <w:r w:rsidR="00871BB6" w:rsidRPr="00871BB6">
        <w:rPr>
          <w:rStyle w:val="FontStyle21"/>
          <w:b w:val="0"/>
          <w:sz w:val="28"/>
          <w:szCs w:val="28"/>
        </w:rPr>
        <w:t xml:space="preserve"> – 1</w:t>
      </w:r>
      <w:r w:rsidR="00871BB6">
        <w:rPr>
          <w:rStyle w:val="FontStyle21"/>
          <w:b w:val="0"/>
          <w:sz w:val="28"/>
          <w:szCs w:val="28"/>
        </w:rPr>
        <w:t> </w:t>
      </w:r>
      <w:r w:rsidR="00871BB6" w:rsidRPr="00871BB6">
        <w:rPr>
          <w:rStyle w:val="FontStyle21"/>
          <w:b w:val="0"/>
          <w:sz w:val="28"/>
          <w:szCs w:val="28"/>
        </w:rPr>
        <w:t>839</w:t>
      </w:r>
      <w:r w:rsidR="00871BB6">
        <w:rPr>
          <w:rStyle w:val="FontStyle21"/>
          <w:b w:val="0"/>
          <w:sz w:val="28"/>
          <w:szCs w:val="28"/>
        </w:rPr>
        <w:t xml:space="preserve"> человек</w:t>
      </w:r>
      <w:r w:rsidR="00871BB6" w:rsidRPr="00871BB6">
        <w:rPr>
          <w:rStyle w:val="FontStyle21"/>
          <w:b w:val="0"/>
          <w:sz w:val="28"/>
          <w:szCs w:val="28"/>
        </w:rPr>
        <w:t xml:space="preserve">). </w:t>
      </w:r>
    </w:p>
    <w:p w14:paraId="0E1EA10D" w14:textId="77777777" w:rsidR="00871BB6" w:rsidRPr="00871BB6" w:rsidRDefault="00871BB6" w:rsidP="00871BB6">
      <w:pPr>
        <w:pBdr>
          <w:bottom w:val="single" w:sz="4" w:space="31" w:color="FFFFFF"/>
        </w:pBdr>
        <w:tabs>
          <w:tab w:val="left" w:pos="9781"/>
        </w:tabs>
        <w:spacing w:after="0" w:line="312" w:lineRule="auto"/>
        <w:ind w:firstLine="709"/>
        <w:jc w:val="both"/>
        <w:rPr>
          <w:rStyle w:val="FontStyle21"/>
          <w:b w:val="0"/>
          <w:sz w:val="28"/>
          <w:szCs w:val="28"/>
        </w:rPr>
      </w:pPr>
      <w:r w:rsidRPr="00871BB6">
        <w:rPr>
          <w:rStyle w:val="FontStyle21"/>
          <w:b w:val="0"/>
          <w:sz w:val="28"/>
          <w:szCs w:val="28"/>
        </w:rPr>
        <w:t xml:space="preserve">В течение 2021 </w:t>
      </w:r>
      <w:r w:rsidR="00136161">
        <w:rPr>
          <w:rStyle w:val="FontStyle21"/>
          <w:b w:val="0"/>
          <w:sz w:val="28"/>
          <w:szCs w:val="28"/>
        </w:rPr>
        <w:t>г.</w:t>
      </w:r>
      <w:r w:rsidRPr="00871BB6">
        <w:rPr>
          <w:rStyle w:val="FontStyle21"/>
          <w:b w:val="0"/>
          <w:sz w:val="28"/>
          <w:szCs w:val="28"/>
        </w:rPr>
        <w:t xml:space="preserve"> у несовершеннолетних </w:t>
      </w:r>
      <w:r>
        <w:rPr>
          <w:rStyle w:val="FontStyle21"/>
          <w:b w:val="0"/>
          <w:sz w:val="28"/>
          <w:szCs w:val="28"/>
        </w:rPr>
        <w:t>подозреваемых, обвиняемых и осужденных</w:t>
      </w:r>
      <w:r w:rsidRPr="00871BB6">
        <w:rPr>
          <w:rStyle w:val="FontStyle21"/>
          <w:b w:val="0"/>
          <w:sz w:val="28"/>
          <w:szCs w:val="28"/>
        </w:rPr>
        <w:t xml:space="preserve">, отбывавших наказание и содержавшихся в учреждениях </w:t>
      </w:r>
      <w:r>
        <w:rPr>
          <w:rStyle w:val="FontStyle21"/>
          <w:b w:val="0"/>
          <w:sz w:val="28"/>
          <w:szCs w:val="28"/>
        </w:rPr>
        <w:t>территориальных органов</w:t>
      </w:r>
      <w:r w:rsidRPr="00871BB6">
        <w:rPr>
          <w:rStyle w:val="FontStyle21"/>
          <w:b w:val="0"/>
          <w:sz w:val="28"/>
          <w:szCs w:val="28"/>
        </w:rPr>
        <w:t xml:space="preserve"> ФСИН России выявлено 24 случая острых кризис</w:t>
      </w:r>
      <w:r>
        <w:rPr>
          <w:rStyle w:val="FontStyle21"/>
          <w:b w:val="0"/>
          <w:sz w:val="28"/>
          <w:szCs w:val="28"/>
        </w:rPr>
        <w:t xml:space="preserve">ных состояний, из них 1 случай </w:t>
      </w:r>
      <w:r w:rsidRPr="00871BB6">
        <w:rPr>
          <w:rStyle w:val="FontStyle21"/>
          <w:b w:val="0"/>
          <w:sz w:val="28"/>
          <w:szCs w:val="28"/>
        </w:rPr>
        <w:t xml:space="preserve">у несовершеннолетнего в ВК, остальные </w:t>
      </w:r>
      <w:r>
        <w:rPr>
          <w:rStyle w:val="FontStyle21"/>
          <w:b w:val="0"/>
          <w:sz w:val="28"/>
          <w:szCs w:val="28"/>
        </w:rPr>
        <w:t xml:space="preserve">– </w:t>
      </w:r>
      <w:r w:rsidRPr="00871BB6">
        <w:rPr>
          <w:rStyle w:val="FontStyle21"/>
          <w:b w:val="0"/>
          <w:sz w:val="28"/>
          <w:szCs w:val="28"/>
        </w:rPr>
        <w:t xml:space="preserve">в СИЗО. Психологическое сопровождение указанных несовершеннолетних </w:t>
      </w:r>
      <w:r>
        <w:rPr>
          <w:rStyle w:val="FontStyle21"/>
          <w:b w:val="0"/>
          <w:sz w:val="28"/>
          <w:szCs w:val="28"/>
        </w:rPr>
        <w:t>подозреваемых, обвиняемых и осужденных</w:t>
      </w:r>
      <w:r w:rsidRPr="00871BB6">
        <w:rPr>
          <w:rStyle w:val="FontStyle21"/>
          <w:b w:val="0"/>
          <w:sz w:val="28"/>
          <w:szCs w:val="28"/>
        </w:rPr>
        <w:t xml:space="preserve"> осуществляется ежедневно, до полной стабилизации состояния. Проводимые мероприятия направлены на снятие острого кризисного состояния и при необходимости организацию тесного взаимодействия с сотрудниками заинтересованных служб, в том числе с сотрудниками медико-санитарных частей.</w:t>
      </w:r>
    </w:p>
    <w:p w14:paraId="481529A4" w14:textId="77777777" w:rsidR="00871BB6" w:rsidRPr="00871BB6" w:rsidRDefault="00871BB6" w:rsidP="00F93510">
      <w:pPr>
        <w:pBdr>
          <w:bottom w:val="single" w:sz="4" w:space="31" w:color="FFFFFF"/>
        </w:pBdr>
        <w:tabs>
          <w:tab w:val="left" w:pos="9781"/>
        </w:tabs>
        <w:spacing w:after="0" w:line="312" w:lineRule="auto"/>
        <w:ind w:firstLine="709"/>
        <w:jc w:val="both"/>
        <w:rPr>
          <w:rStyle w:val="FontStyle21"/>
          <w:b w:val="0"/>
          <w:sz w:val="28"/>
          <w:szCs w:val="28"/>
        </w:rPr>
      </w:pPr>
      <w:r w:rsidRPr="00871BB6">
        <w:rPr>
          <w:rStyle w:val="FontStyle21"/>
          <w:b w:val="0"/>
          <w:sz w:val="28"/>
          <w:szCs w:val="28"/>
        </w:rPr>
        <w:t xml:space="preserve">Согласно информации, поступившей из </w:t>
      </w:r>
      <w:r w:rsidR="00F93510">
        <w:rPr>
          <w:rStyle w:val="FontStyle21"/>
          <w:b w:val="0"/>
          <w:sz w:val="28"/>
          <w:szCs w:val="28"/>
        </w:rPr>
        <w:t>территориальных органов</w:t>
      </w:r>
      <w:r w:rsidRPr="00871BB6">
        <w:rPr>
          <w:rStyle w:val="FontStyle21"/>
          <w:b w:val="0"/>
          <w:sz w:val="28"/>
          <w:szCs w:val="28"/>
        </w:rPr>
        <w:t xml:space="preserve"> ФСИН России, в 2021 г</w:t>
      </w:r>
      <w:r w:rsidR="00136161">
        <w:rPr>
          <w:rStyle w:val="FontStyle21"/>
          <w:b w:val="0"/>
          <w:sz w:val="28"/>
          <w:szCs w:val="28"/>
        </w:rPr>
        <w:t>.</w:t>
      </w:r>
      <w:r w:rsidRPr="00871BB6">
        <w:rPr>
          <w:rStyle w:val="FontStyle21"/>
          <w:b w:val="0"/>
          <w:sz w:val="28"/>
          <w:szCs w:val="28"/>
        </w:rPr>
        <w:t xml:space="preserve"> в рамках психологического мониторинга, направленного на выявление негативных состояний у нес</w:t>
      </w:r>
      <w:r w:rsidR="00F93510">
        <w:rPr>
          <w:rStyle w:val="FontStyle21"/>
          <w:b w:val="0"/>
          <w:sz w:val="28"/>
          <w:szCs w:val="28"/>
        </w:rPr>
        <w:t xml:space="preserve">овершеннолетних подозреваемых, обвиняемых и осужденных, проведено </w:t>
      </w:r>
      <w:r w:rsidRPr="00871BB6">
        <w:rPr>
          <w:rStyle w:val="FontStyle21"/>
          <w:b w:val="0"/>
          <w:sz w:val="28"/>
          <w:szCs w:val="28"/>
        </w:rPr>
        <w:t xml:space="preserve">13 369 психодиагностических мероприятий, из них 5 600 мероприятий </w:t>
      </w:r>
      <w:r w:rsidR="00F93510">
        <w:rPr>
          <w:rStyle w:val="FontStyle21"/>
          <w:b w:val="0"/>
          <w:sz w:val="28"/>
          <w:szCs w:val="28"/>
        </w:rPr>
        <w:t xml:space="preserve">составляет </w:t>
      </w:r>
      <w:r w:rsidRPr="00871BB6">
        <w:rPr>
          <w:rStyle w:val="FontStyle21"/>
          <w:b w:val="0"/>
          <w:sz w:val="28"/>
          <w:szCs w:val="28"/>
        </w:rPr>
        <w:t>углубленная психодиагностика.</w:t>
      </w:r>
    </w:p>
    <w:p w14:paraId="18973C54" w14:textId="77777777" w:rsidR="00295F0B" w:rsidRDefault="00871BB6" w:rsidP="00295F0B">
      <w:pPr>
        <w:pBdr>
          <w:bottom w:val="single" w:sz="4" w:space="31" w:color="FFFFFF"/>
        </w:pBdr>
        <w:tabs>
          <w:tab w:val="left" w:pos="9781"/>
        </w:tabs>
        <w:spacing w:after="0" w:line="312" w:lineRule="auto"/>
        <w:ind w:firstLine="709"/>
        <w:jc w:val="both"/>
        <w:rPr>
          <w:rFonts w:ascii="Times New Roman" w:hAnsi="Times New Roman"/>
          <w:sz w:val="28"/>
          <w:szCs w:val="28"/>
        </w:rPr>
      </w:pPr>
      <w:r w:rsidRPr="00871BB6">
        <w:rPr>
          <w:rStyle w:val="FontStyle21"/>
          <w:b w:val="0"/>
          <w:sz w:val="28"/>
          <w:szCs w:val="28"/>
        </w:rPr>
        <w:t xml:space="preserve">Меры, предпринимаемые сотрудниками учреждений территориальных органов ФСИН России, обеспечивают профилактику суицидального поведения </w:t>
      </w:r>
      <w:r w:rsidR="008F627A">
        <w:rPr>
          <w:rFonts w:ascii="Times New Roman" w:hAnsi="Times New Roman"/>
          <w:sz w:val="28"/>
          <w:szCs w:val="28"/>
        </w:rPr>
        <w:t>подозреваемых, обвиняемых и осужденных</w:t>
      </w:r>
      <w:r w:rsidR="008F627A" w:rsidRPr="00871BB6">
        <w:rPr>
          <w:rStyle w:val="FontStyle21"/>
          <w:b w:val="0"/>
          <w:sz w:val="28"/>
          <w:szCs w:val="28"/>
        </w:rPr>
        <w:t xml:space="preserve"> </w:t>
      </w:r>
      <w:r w:rsidRPr="00871BB6">
        <w:rPr>
          <w:rStyle w:val="FontStyle21"/>
          <w:b w:val="0"/>
          <w:sz w:val="28"/>
          <w:szCs w:val="28"/>
        </w:rPr>
        <w:t>несовершеннолетних. В 2021 г</w:t>
      </w:r>
      <w:r w:rsidR="00136161">
        <w:rPr>
          <w:rStyle w:val="FontStyle21"/>
          <w:b w:val="0"/>
          <w:sz w:val="28"/>
          <w:szCs w:val="28"/>
        </w:rPr>
        <w:t>.</w:t>
      </w:r>
      <w:r w:rsidRPr="00871BB6">
        <w:rPr>
          <w:rStyle w:val="FontStyle21"/>
          <w:b w:val="0"/>
          <w:sz w:val="28"/>
          <w:szCs w:val="28"/>
        </w:rPr>
        <w:t xml:space="preserve"> суицидов среди </w:t>
      </w:r>
      <w:r w:rsidR="008F627A">
        <w:rPr>
          <w:rStyle w:val="FontStyle21"/>
          <w:b w:val="0"/>
          <w:sz w:val="28"/>
          <w:szCs w:val="28"/>
        </w:rPr>
        <w:t xml:space="preserve">данной категории </w:t>
      </w:r>
      <w:r w:rsidRPr="00871BB6">
        <w:rPr>
          <w:rStyle w:val="FontStyle21"/>
          <w:b w:val="0"/>
          <w:sz w:val="28"/>
          <w:szCs w:val="28"/>
        </w:rPr>
        <w:t>несовершеннолетних не допущено.</w:t>
      </w:r>
    </w:p>
    <w:p w14:paraId="571E6983" w14:textId="7CF21E88" w:rsidR="004979B4" w:rsidRPr="00295F0B" w:rsidRDefault="001E7374" w:rsidP="00295F0B">
      <w:pPr>
        <w:pBdr>
          <w:bottom w:val="single" w:sz="4" w:space="31" w:color="FFFFFF"/>
        </w:pBdr>
        <w:tabs>
          <w:tab w:val="left" w:pos="9781"/>
        </w:tabs>
        <w:spacing w:after="0" w:line="312" w:lineRule="auto"/>
        <w:ind w:firstLine="709"/>
        <w:jc w:val="both"/>
        <w:rPr>
          <w:rStyle w:val="FontStyle12"/>
          <w:rFonts w:cstheme="minorBidi"/>
          <w:sz w:val="28"/>
          <w:szCs w:val="28"/>
        </w:rPr>
      </w:pPr>
      <w:r w:rsidRPr="00D6226F">
        <w:rPr>
          <w:rStyle w:val="FontStyle12"/>
          <w:rFonts w:eastAsia="Calibri"/>
          <w:sz w:val="28"/>
          <w:szCs w:val="28"/>
        </w:rPr>
        <w:t xml:space="preserve">Медицинское обеспечение </w:t>
      </w:r>
      <w:r w:rsidR="008F627A" w:rsidRPr="00D6226F">
        <w:rPr>
          <w:rStyle w:val="FontStyle12"/>
          <w:rFonts w:eastAsia="Calibri"/>
          <w:sz w:val="28"/>
          <w:szCs w:val="28"/>
        </w:rPr>
        <w:t xml:space="preserve">подозреваемых, обвиняемых и осужденных </w:t>
      </w:r>
      <w:r w:rsidRPr="00D6226F">
        <w:rPr>
          <w:rStyle w:val="FontStyle12"/>
          <w:rFonts w:eastAsia="Calibri"/>
          <w:sz w:val="28"/>
          <w:szCs w:val="28"/>
        </w:rPr>
        <w:t>несовершеннолетних в учреждениях уголовно-исполнительной системы Российской Федерац</w:t>
      </w:r>
      <w:r w:rsidR="00FE01F0">
        <w:rPr>
          <w:rStyle w:val="FontStyle12"/>
          <w:rFonts w:eastAsia="Calibri"/>
          <w:sz w:val="28"/>
          <w:szCs w:val="28"/>
        </w:rPr>
        <w:t xml:space="preserve">ии организовано в соответствии </w:t>
      </w:r>
      <w:r w:rsidRPr="00D6226F">
        <w:rPr>
          <w:rStyle w:val="FontStyle12"/>
          <w:rFonts w:eastAsia="Calibri"/>
          <w:sz w:val="28"/>
          <w:szCs w:val="28"/>
        </w:rPr>
        <w:t>с требованиями Федерального закона Российской Федерации от 21</w:t>
      </w:r>
      <w:r w:rsidR="00A9040A" w:rsidRPr="00D6226F">
        <w:rPr>
          <w:rStyle w:val="FontStyle12"/>
          <w:rFonts w:eastAsia="Calibri"/>
          <w:sz w:val="28"/>
          <w:szCs w:val="28"/>
        </w:rPr>
        <w:t xml:space="preserve"> ноября 2011 г. </w:t>
      </w:r>
      <w:r w:rsidRPr="00D6226F">
        <w:rPr>
          <w:rStyle w:val="FontStyle12"/>
          <w:rFonts w:eastAsia="Calibri"/>
          <w:sz w:val="28"/>
          <w:szCs w:val="28"/>
        </w:rPr>
        <w:t>№ 323-ФЗ и приказа Миню</w:t>
      </w:r>
      <w:r w:rsidR="00A9040A" w:rsidRPr="00D6226F">
        <w:rPr>
          <w:rStyle w:val="FontStyle12"/>
          <w:rFonts w:eastAsia="Calibri"/>
          <w:sz w:val="28"/>
          <w:szCs w:val="28"/>
        </w:rPr>
        <w:t xml:space="preserve">ста России от 28 декабря 2017 г. № 285 </w:t>
      </w:r>
      <w:r w:rsidRPr="00D6226F">
        <w:rPr>
          <w:rStyle w:val="FontStyle12"/>
          <w:rFonts w:eastAsia="Calibri"/>
          <w:sz w:val="28"/>
          <w:szCs w:val="28"/>
        </w:rPr>
        <w:t>«Об утверждении Порядка организации оказания медицинской помощи лицам, заключенным под стражу или отбывающим наказание в виде лишения свободы».</w:t>
      </w:r>
    </w:p>
    <w:p w14:paraId="44C2B51C" w14:textId="77777777" w:rsidR="004979B4" w:rsidRPr="00D6226F" w:rsidRDefault="001E7374" w:rsidP="004979B4">
      <w:pPr>
        <w:pBdr>
          <w:bottom w:val="single" w:sz="4" w:space="31" w:color="FFFFFF"/>
        </w:pBdr>
        <w:tabs>
          <w:tab w:val="left" w:pos="9781"/>
        </w:tabs>
        <w:spacing w:after="0" w:line="312" w:lineRule="auto"/>
        <w:ind w:firstLine="709"/>
        <w:jc w:val="both"/>
        <w:rPr>
          <w:rStyle w:val="FontStyle12"/>
          <w:rFonts w:eastAsia="Calibri"/>
          <w:sz w:val="28"/>
          <w:szCs w:val="28"/>
        </w:rPr>
      </w:pPr>
      <w:r w:rsidRPr="00D6226F">
        <w:rPr>
          <w:rStyle w:val="FontStyle12"/>
          <w:rFonts w:eastAsia="Calibri"/>
          <w:sz w:val="28"/>
          <w:szCs w:val="28"/>
        </w:rPr>
        <w:t>Медико-санитарное обеспечение</w:t>
      </w:r>
      <w:r w:rsidR="00C64F30">
        <w:rPr>
          <w:rStyle w:val="FontStyle12"/>
          <w:rFonts w:eastAsia="Calibri"/>
          <w:sz w:val="28"/>
          <w:szCs w:val="28"/>
        </w:rPr>
        <w:t xml:space="preserve"> несовершеннолетних осужденных </w:t>
      </w:r>
      <w:r w:rsidRPr="00D6226F">
        <w:rPr>
          <w:rStyle w:val="FontStyle12"/>
          <w:rFonts w:eastAsia="Calibri"/>
          <w:sz w:val="28"/>
          <w:szCs w:val="28"/>
        </w:rPr>
        <w:t>в ВК осуществляется медико-санитарными частями ФСИН России. Во всех ВК имеются медицинские части, функционирующие в амбулаторно-поликлиническом режиме, в штатной структуре которых имеются должности врачей-специалистов. Медицинская деятельность медицинских частей осуществляется в соответствии с лицензионными требованиями.</w:t>
      </w:r>
    </w:p>
    <w:p w14:paraId="7CAAC9EF" w14:textId="77777777" w:rsidR="004979B4" w:rsidRDefault="001E7374" w:rsidP="004979B4">
      <w:pPr>
        <w:pBdr>
          <w:bottom w:val="single" w:sz="4" w:space="31" w:color="FFFFFF"/>
        </w:pBdr>
        <w:tabs>
          <w:tab w:val="left" w:pos="9781"/>
        </w:tabs>
        <w:spacing w:after="0" w:line="312" w:lineRule="auto"/>
        <w:ind w:firstLine="709"/>
        <w:jc w:val="both"/>
        <w:rPr>
          <w:rStyle w:val="FontStyle12"/>
          <w:rFonts w:eastAsia="Calibri"/>
          <w:sz w:val="28"/>
          <w:szCs w:val="28"/>
        </w:rPr>
      </w:pPr>
      <w:r w:rsidRPr="00D6226F">
        <w:rPr>
          <w:rStyle w:val="FontStyle12"/>
          <w:rFonts w:eastAsia="Calibri"/>
          <w:sz w:val="28"/>
          <w:szCs w:val="28"/>
        </w:rPr>
        <w:t>Всем осужденным, содержащимся в ВК, обеспечено оказание медицинской помощи в объеме, предусмотренном Программой государственных гарантий оказания гражданам бесплатной медицинской помощи, утверждаемой ежегодно постановлением Правительства Российской Федерации, как в амбулаторных,</w:t>
      </w:r>
      <w:r w:rsidR="00C64F30">
        <w:rPr>
          <w:rStyle w:val="FontStyle12"/>
          <w:rFonts w:eastAsia="Calibri"/>
          <w:sz w:val="28"/>
          <w:szCs w:val="28"/>
        </w:rPr>
        <w:t xml:space="preserve"> так и в стационарных условиях </w:t>
      </w:r>
      <w:r w:rsidRPr="00D6226F">
        <w:rPr>
          <w:rStyle w:val="FontStyle12"/>
          <w:rFonts w:eastAsia="Calibri"/>
          <w:sz w:val="28"/>
          <w:szCs w:val="28"/>
        </w:rPr>
        <w:t>в учреждениях государственной и муници</w:t>
      </w:r>
      <w:r w:rsidR="00C64F30">
        <w:rPr>
          <w:rStyle w:val="FontStyle12"/>
          <w:rFonts w:eastAsia="Calibri"/>
          <w:sz w:val="28"/>
          <w:szCs w:val="28"/>
        </w:rPr>
        <w:t xml:space="preserve">пальной систем здравоохранения </w:t>
      </w:r>
      <w:r w:rsidRPr="00D6226F">
        <w:rPr>
          <w:rStyle w:val="FontStyle12"/>
          <w:rFonts w:eastAsia="Calibri"/>
          <w:sz w:val="28"/>
          <w:szCs w:val="28"/>
        </w:rPr>
        <w:t>в рамках исполнения постановления Правительства Р</w:t>
      </w:r>
      <w:r w:rsidR="007219E9">
        <w:rPr>
          <w:rStyle w:val="FontStyle12"/>
          <w:rFonts w:eastAsia="Calibri"/>
          <w:sz w:val="28"/>
          <w:szCs w:val="28"/>
        </w:rPr>
        <w:t xml:space="preserve">оссийской </w:t>
      </w:r>
      <w:r w:rsidRPr="00D6226F">
        <w:rPr>
          <w:rStyle w:val="FontStyle12"/>
          <w:rFonts w:eastAsia="Calibri"/>
          <w:sz w:val="28"/>
          <w:szCs w:val="28"/>
        </w:rPr>
        <w:t>Ф</w:t>
      </w:r>
      <w:r w:rsidR="007219E9">
        <w:rPr>
          <w:rStyle w:val="FontStyle12"/>
          <w:rFonts w:eastAsia="Calibri"/>
          <w:sz w:val="28"/>
          <w:szCs w:val="28"/>
        </w:rPr>
        <w:t>едерации</w:t>
      </w:r>
      <w:r w:rsidRPr="00D6226F">
        <w:rPr>
          <w:rStyle w:val="FontStyle12"/>
          <w:rFonts w:eastAsia="Calibri"/>
          <w:sz w:val="28"/>
          <w:szCs w:val="28"/>
        </w:rPr>
        <w:t xml:space="preserve"> от 28</w:t>
      </w:r>
      <w:r w:rsidR="00A9040A" w:rsidRPr="00D6226F">
        <w:rPr>
          <w:rStyle w:val="FontStyle12"/>
          <w:rFonts w:eastAsia="Calibri"/>
          <w:sz w:val="28"/>
          <w:szCs w:val="28"/>
        </w:rPr>
        <w:t xml:space="preserve"> декабря </w:t>
      </w:r>
      <w:r w:rsidRPr="00D6226F">
        <w:rPr>
          <w:rStyle w:val="FontStyle12"/>
          <w:rFonts w:eastAsia="Calibri"/>
          <w:sz w:val="28"/>
          <w:szCs w:val="28"/>
        </w:rPr>
        <w:t>2012</w:t>
      </w:r>
      <w:r w:rsidR="00A9040A" w:rsidRPr="00D6226F">
        <w:rPr>
          <w:rStyle w:val="FontStyle12"/>
          <w:rFonts w:eastAsia="Calibri"/>
          <w:sz w:val="28"/>
          <w:szCs w:val="28"/>
        </w:rPr>
        <w:t xml:space="preserve"> г.</w:t>
      </w:r>
      <w:r w:rsidRPr="00D6226F">
        <w:rPr>
          <w:rStyle w:val="FontStyle12"/>
          <w:rFonts w:eastAsia="Calibri"/>
          <w:sz w:val="28"/>
          <w:szCs w:val="28"/>
        </w:rPr>
        <w:t xml:space="preserve"> № 1466 «Об утверждении Правил оказания лицам, заключенным под стражу или отбывающим наказание в виде лишен</w:t>
      </w:r>
      <w:r w:rsidR="00C64F30">
        <w:rPr>
          <w:rStyle w:val="FontStyle12"/>
          <w:rFonts w:eastAsia="Calibri"/>
          <w:sz w:val="28"/>
          <w:szCs w:val="28"/>
        </w:rPr>
        <w:t xml:space="preserve">ия свободы, медицинской помощи </w:t>
      </w:r>
      <w:r w:rsidRPr="00D6226F">
        <w:rPr>
          <w:rStyle w:val="FontStyle12"/>
          <w:rFonts w:eastAsia="Calibri"/>
          <w:sz w:val="28"/>
          <w:szCs w:val="28"/>
        </w:rPr>
        <w:t>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w:t>
      </w:r>
      <w:r w:rsidR="003465A8">
        <w:rPr>
          <w:rStyle w:val="FontStyle12"/>
          <w:rFonts w:eastAsia="Calibri"/>
          <w:sz w:val="28"/>
          <w:szCs w:val="28"/>
        </w:rPr>
        <w:t xml:space="preserve">занных медицинских организаций </w:t>
      </w:r>
      <w:r w:rsidRPr="00D6226F">
        <w:rPr>
          <w:rStyle w:val="FontStyle12"/>
          <w:rFonts w:eastAsia="Calibri"/>
          <w:sz w:val="28"/>
          <w:szCs w:val="28"/>
        </w:rPr>
        <w:t>при невозможности оказания медицинской помощи в учреждениях уголовно-исполнительной системы».</w:t>
      </w:r>
    </w:p>
    <w:p w14:paraId="3F11E310" w14:textId="77777777" w:rsidR="008B1B1F" w:rsidRDefault="008B1B1F" w:rsidP="008B1B1F">
      <w:pPr>
        <w:pBdr>
          <w:bottom w:val="single" w:sz="4" w:space="31" w:color="FFFFFF"/>
        </w:pBdr>
        <w:tabs>
          <w:tab w:val="left" w:pos="9781"/>
        </w:tabs>
        <w:spacing w:after="0" w:line="312" w:lineRule="auto"/>
        <w:ind w:firstLine="709"/>
        <w:jc w:val="both"/>
        <w:rPr>
          <w:rStyle w:val="FontStyle12"/>
          <w:rFonts w:eastAsia="Calibri"/>
          <w:sz w:val="28"/>
          <w:szCs w:val="28"/>
        </w:rPr>
      </w:pPr>
      <w:r w:rsidRPr="008B1B1F">
        <w:rPr>
          <w:rStyle w:val="FontStyle12"/>
          <w:rFonts w:eastAsia="Calibri"/>
          <w:sz w:val="28"/>
          <w:szCs w:val="28"/>
        </w:rPr>
        <w:t>В 2021 г</w:t>
      </w:r>
      <w:r w:rsidR="00136161">
        <w:rPr>
          <w:rStyle w:val="FontStyle12"/>
          <w:rFonts w:eastAsia="Calibri"/>
          <w:sz w:val="28"/>
          <w:szCs w:val="28"/>
        </w:rPr>
        <w:t>.</w:t>
      </w:r>
      <w:r w:rsidRPr="008B1B1F">
        <w:rPr>
          <w:rStyle w:val="FontStyle12"/>
          <w:rFonts w:eastAsia="Calibri"/>
          <w:sz w:val="28"/>
          <w:szCs w:val="28"/>
        </w:rPr>
        <w:t xml:space="preserve"> на оказание амбулато</w:t>
      </w:r>
      <w:r>
        <w:rPr>
          <w:rStyle w:val="FontStyle12"/>
          <w:rFonts w:eastAsia="Calibri"/>
          <w:sz w:val="28"/>
          <w:szCs w:val="28"/>
        </w:rPr>
        <w:t xml:space="preserve">рной помощи несовершеннолетним </w:t>
      </w:r>
      <w:r w:rsidRPr="008B1B1F">
        <w:rPr>
          <w:rStyle w:val="FontStyle12"/>
          <w:rFonts w:eastAsia="Calibri"/>
          <w:sz w:val="28"/>
          <w:szCs w:val="28"/>
        </w:rPr>
        <w:t>в медицинских организациях муниципального (государственного) здравоохранения израсходова</w:t>
      </w:r>
      <w:r w:rsidR="007219E9">
        <w:rPr>
          <w:rStyle w:val="FontStyle12"/>
          <w:rFonts w:eastAsia="Calibri"/>
          <w:sz w:val="28"/>
          <w:szCs w:val="28"/>
        </w:rPr>
        <w:t>но 2 347,</w:t>
      </w:r>
      <w:r w:rsidRPr="008B1B1F">
        <w:rPr>
          <w:rStyle w:val="FontStyle12"/>
          <w:rFonts w:eastAsia="Calibri"/>
          <w:sz w:val="28"/>
          <w:szCs w:val="28"/>
        </w:rPr>
        <w:t>1</w:t>
      </w:r>
      <w:r w:rsidR="007219E9">
        <w:rPr>
          <w:rStyle w:val="FontStyle12"/>
          <w:rFonts w:eastAsia="Calibri"/>
          <w:sz w:val="28"/>
          <w:szCs w:val="28"/>
        </w:rPr>
        <w:t>7 тыс. рублей (2020 г. – 1 752,</w:t>
      </w:r>
      <w:r w:rsidRPr="008B1B1F">
        <w:rPr>
          <w:rStyle w:val="FontStyle12"/>
          <w:rFonts w:eastAsia="Calibri"/>
          <w:sz w:val="28"/>
          <w:szCs w:val="28"/>
        </w:rPr>
        <w:t xml:space="preserve">43 тыс. рублей; 2019 г. – </w:t>
      </w:r>
      <w:r w:rsidR="007219E9">
        <w:rPr>
          <w:rStyle w:val="FontStyle12"/>
          <w:rFonts w:eastAsia="Calibri"/>
          <w:sz w:val="28"/>
          <w:szCs w:val="28"/>
        </w:rPr>
        <w:br/>
      </w:r>
      <w:r w:rsidRPr="008B1B1F">
        <w:rPr>
          <w:rStyle w:val="FontStyle12"/>
          <w:rFonts w:eastAsia="Calibri"/>
          <w:sz w:val="28"/>
          <w:szCs w:val="28"/>
        </w:rPr>
        <w:t xml:space="preserve">2 769,221 тыс. рублей), в том числе: на лабораторные исследования – 486,05 тыс. рублей (2020 г. – 616,580 тыс. рублей; 2019 г. – 491,649 тыс. рублей); на инструментальные исследования – 150,31 тыс. рублей (2020 г. – 133,590 тыс. рублей; 2019 г. – 177,540 </w:t>
      </w:r>
      <w:r>
        <w:rPr>
          <w:rStyle w:val="FontStyle12"/>
          <w:rFonts w:eastAsia="Calibri"/>
          <w:sz w:val="28"/>
          <w:szCs w:val="28"/>
        </w:rPr>
        <w:t xml:space="preserve">тыс. рублей); </w:t>
      </w:r>
      <w:r w:rsidRPr="008B1B1F">
        <w:rPr>
          <w:rStyle w:val="FontStyle12"/>
          <w:rFonts w:eastAsia="Calibri"/>
          <w:sz w:val="28"/>
          <w:szCs w:val="28"/>
        </w:rPr>
        <w:t xml:space="preserve">на оказание консультативной помощи – </w:t>
      </w:r>
      <w:r w:rsidR="007219E9">
        <w:rPr>
          <w:rStyle w:val="FontStyle12"/>
          <w:rFonts w:eastAsia="Calibri"/>
          <w:sz w:val="28"/>
          <w:szCs w:val="28"/>
        </w:rPr>
        <w:br/>
      </w:r>
      <w:r w:rsidRPr="008B1B1F">
        <w:rPr>
          <w:rStyle w:val="FontStyle12"/>
          <w:rFonts w:eastAsia="Calibri"/>
          <w:sz w:val="28"/>
          <w:szCs w:val="28"/>
        </w:rPr>
        <w:t>1</w:t>
      </w:r>
      <w:r>
        <w:rPr>
          <w:rStyle w:val="FontStyle12"/>
          <w:rFonts w:eastAsia="Calibri"/>
          <w:sz w:val="28"/>
          <w:szCs w:val="28"/>
        </w:rPr>
        <w:t xml:space="preserve"> 700,79 тыс. рублей (2020 г. – </w:t>
      </w:r>
      <w:r w:rsidRPr="008B1B1F">
        <w:rPr>
          <w:rStyle w:val="FontStyle12"/>
          <w:rFonts w:eastAsia="Calibri"/>
          <w:sz w:val="28"/>
          <w:szCs w:val="28"/>
        </w:rPr>
        <w:t>1 002,26 тыс. рублей; 2019 г. – 2 070,332 тыс. рублей).</w:t>
      </w:r>
    </w:p>
    <w:p w14:paraId="2C40C5CA" w14:textId="77777777" w:rsidR="00D62333" w:rsidRPr="00F245F8" w:rsidRDefault="00D62333" w:rsidP="00140101">
      <w:pPr>
        <w:pBdr>
          <w:bottom w:val="single" w:sz="4" w:space="31" w:color="FFFFFF"/>
        </w:pBdr>
        <w:tabs>
          <w:tab w:val="left" w:pos="9781"/>
        </w:tabs>
        <w:spacing w:after="0" w:line="312" w:lineRule="auto"/>
        <w:ind w:firstLine="709"/>
        <w:jc w:val="both"/>
        <w:rPr>
          <w:rStyle w:val="FontStyle21"/>
          <w:b w:val="0"/>
          <w:sz w:val="28"/>
          <w:szCs w:val="28"/>
        </w:rPr>
      </w:pPr>
      <w:r>
        <w:rPr>
          <w:rStyle w:val="FontStyle21"/>
          <w:b w:val="0"/>
          <w:sz w:val="28"/>
          <w:szCs w:val="28"/>
        </w:rPr>
        <w:t xml:space="preserve">Во исполнение пункта 111 </w:t>
      </w:r>
      <w:r w:rsidRPr="00D62333">
        <w:rPr>
          <w:rStyle w:val="FontStyle21"/>
          <w:b w:val="0"/>
          <w:sz w:val="28"/>
          <w:szCs w:val="28"/>
        </w:rPr>
        <w:t>плана основных мероприятий, проводимых в рамках Десятилетия детства, на период до 2027 г</w:t>
      </w:r>
      <w:r w:rsidR="00136161">
        <w:rPr>
          <w:rStyle w:val="FontStyle21"/>
          <w:b w:val="0"/>
          <w:sz w:val="28"/>
          <w:szCs w:val="28"/>
        </w:rPr>
        <w:t>.</w:t>
      </w:r>
      <w:r w:rsidR="007219E9" w:rsidRPr="00BD5345">
        <w:rPr>
          <w:rFonts w:ascii="Times New Roman" w:eastAsia="Times New Roman" w:hAnsi="Times New Roman" w:cs="Times New Roman"/>
          <w:sz w:val="28"/>
          <w:szCs w:val="28"/>
        </w:rPr>
        <w:t> </w:t>
      </w:r>
      <w:r w:rsidR="00513A7E">
        <w:rPr>
          <w:rStyle w:val="FontStyle21"/>
          <w:b w:val="0"/>
          <w:sz w:val="28"/>
          <w:szCs w:val="28"/>
        </w:rPr>
        <w:t>продолжалась работа по совершенствованию механизмов профилактики безнадзорности и правонарушений несовершеннолетних, включая мероприятия по противодействию криминализации подростковой среды.</w:t>
      </w:r>
    </w:p>
    <w:p w14:paraId="4BF09C37" w14:textId="01BF6C8C" w:rsidR="00D16DB0" w:rsidRDefault="001E7374" w:rsidP="00D16DB0">
      <w:pPr>
        <w:pBdr>
          <w:bottom w:val="single" w:sz="4" w:space="31" w:color="FFFFFF"/>
        </w:pBdr>
        <w:tabs>
          <w:tab w:val="left" w:pos="9781"/>
        </w:tabs>
        <w:spacing w:after="0" w:line="312" w:lineRule="auto"/>
        <w:ind w:firstLine="709"/>
        <w:jc w:val="both"/>
        <w:rPr>
          <w:rFonts w:ascii="Times New Roman" w:hAnsi="Times New Roman"/>
          <w:sz w:val="28"/>
          <w:szCs w:val="28"/>
        </w:rPr>
      </w:pPr>
      <w:r w:rsidRPr="00D6226F">
        <w:rPr>
          <w:rStyle w:val="FontStyle21"/>
          <w:b w:val="0"/>
          <w:sz w:val="28"/>
          <w:szCs w:val="28"/>
        </w:rPr>
        <w:t>П</w:t>
      </w:r>
      <w:r w:rsidRPr="00D6226F">
        <w:rPr>
          <w:rFonts w:ascii="Times New Roman" w:hAnsi="Times New Roman"/>
          <w:sz w:val="28"/>
          <w:szCs w:val="28"/>
        </w:rPr>
        <w:t>ри содействии уголовно-исполнит</w:t>
      </w:r>
      <w:r w:rsidR="00075CBE">
        <w:rPr>
          <w:rFonts w:ascii="Times New Roman" w:hAnsi="Times New Roman"/>
          <w:sz w:val="28"/>
          <w:szCs w:val="28"/>
        </w:rPr>
        <w:t xml:space="preserve">ельных инспекций (далее – УИИ) </w:t>
      </w:r>
      <w:r w:rsidR="00140101">
        <w:rPr>
          <w:rFonts w:ascii="Times New Roman" w:hAnsi="Times New Roman"/>
          <w:sz w:val="28"/>
          <w:szCs w:val="28"/>
        </w:rPr>
        <w:t>по итогам 2021</w:t>
      </w:r>
      <w:r w:rsidRPr="00D6226F">
        <w:rPr>
          <w:rFonts w:ascii="Times New Roman" w:hAnsi="Times New Roman"/>
          <w:sz w:val="28"/>
          <w:szCs w:val="28"/>
        </w:rPr>
        <w:t xml:space="preserve"> г</w:t>
      </w:r>
      <w:r w:rsidR="00136161">
        <w:rPr>
          <w:rFonts w:ascii="Times New Roman" w:hAnsi="Times New Roman"/>
          <w:sz w:val="28"/>
          <w:szCs w:val="28"/>
        </w:rPr>
        <w:t>.</w:t>
      </w:r>
      <w:r w:rsidR="007219E9" w:rsidRPr="00BD5345">
        <w:rPr>
          <w:rFonts w:ascii="Times New Roman" w:eastAsia="Times New Roman" w:hAnsi="Times New Roman" w:cs="Times New Roman"/>
          <w:sz w:val="28"/>
          <w:szCs w:val="28"/>
        </w:rPr>
        <w:t> </w:t>
      </w:r>
      <w:r w:rsidR="00140101" w:rsidRPr="00140101">
        <w:rPr>
          <w:rFonts w:ascii="Times New Roman" w:hAnsi="Times New Roman"/>
          <w:sz w:val="28"/>
          <w:szCs w:val="28"/>
        </w:rPr>
        <w:t>помощь</w:t>
      </w:r>
      <w:r w:rsidR="007219E9">
        <w:rPr>
          <w:rFonts w:ascii="Times New Roman" w:hAnsi="Times New Roman"/>
          <w:sz w:val="28"/>
          <w:szCs w:val="28"/>
        </w:rPr>
        <w:t xml:space="preserve"> в трудоустройстве оказана 423 </w:t>
      </w:r>
      <w:r w:rsidR="00140101" w:rsidRPr="00140101">
        <w:rPr>
          <w:rFonts w:ascii="Times New Roman" w:hAnsi="Times New Roman"/>
          <w:sz w:val="28"/>
          <w:szCs w:val="28"/>
        </w:rPr>
        <w:t>несовершеннолетним осужденным</w:t>
      </w:r>
      <w:r w:rsidR="007219E9" w:rsidRPr="00BD5345">
        <w:rPr>
          <w:rFonts w:ascii="Times New Roman" w:eastAsia="Times New Roman" w:hAnsi="Times New Roman" w:cs="Times New Roman"/>
          <w:sz w:val="28"/>
          <w:szCs w:val="28"/>
        </w:rPr>
        <w:t> </w:t>
      </w:r>
      <w:r w:rsidR="00D16DB0" w:rsidRPr="00140101">
        <w:rPr>
          <w:rFonts w:ascii="Times New Roman" w:hAnsi="Times New Roman"/>
          <w:sz w:val="28"/>
          <w:szCs w:val="28"/>
        </w:rPr>
        <w:t>(</w:t>
      </w:r>
      <w:r w:rsidR="00D16DB0">
        <w:rPr>
          <w:rFonts w:ascii="Times New Roman" w:hAnsi="Times New Roman"/>
          <w:sz w:val="28"/>
          <w:szCs w:val="28"/>
        </w:rPr>
        <w:t>2020 г.</w:t>
      </w:r>
      <w:r w:rsidR="00D16DB0" w:rsidRPr="00140101">
        <w:rPr>
          <w:rFonts w:ascii="Times New Roman" w:hAnsi="Times New Roman"/>
          <w:sz w:val="28"/>
          <w:szCs w:val="28"/>
        </w:rPr>
        <w:t xml:space="preserve"> – 389</w:t>
      </w:r>
      <w:r w:rsidR="00D16DB0">
        <w:rPr>
          <w:rFonts w:ascii="Times New Roman" w:hAnsi="Times New Roman"/>
          <w:sz w:val="28"/>
          <w:szCs w:val="28"/>
        </w:rPr>
        <w:t xml:space="preserve"> человек</w:t>
      </w:r>
      <w:r w:rsidR="00D16DB0" w:rsidRPr="00140101">
        <w:rPr>
          <w:rFonts w:ascii="Times New Roman" w:hAnsi="Times New Roman"/>
          <w:sz w:val="28"/>
          <w:szCs w:val="28"/>
        </w:rPr>
        <w:t>)</w:t>
      </w:r>
      <w:r w:rsidR="00D62333">
        <w:rPr>
          <w:rFonts w:ascii="Times New Roman" w:hAnsi="Times New Roman"/>
          <w:sz w:val="28"/>
          <w:szCs w:val="28"/>
        </w:rPr>
        <w:t xml:space="preserve">, материальную помощь получили </w:t>
      </w:r>
      <w:r w:rsidR="00140101" w:rsidRPr="00140101">
        <w:rPr>
          <w:rFonts w:ascii="Times New Roman" w:hAnsi="Times New Roman"/>
          <w:sz w:val="28"/>
          <w:szCs w:val="28"/>
        </w:rPr>
        <w:t xml:space="preserve">93 </w:t>
      </w:r>
      <w:r w:rsidR="000B2D65" w:rsidRPr="00140101">
        <w:rPr>
          <w:rFonts w:ascii="Times New Roman" w:hAnsi="Times New Roman"/>
          <w:sz w:val="28"/>
          <w:szCs w:val="28"/>
        </w:rPr>
        <w:t xml:space="preserve">человека </w:t>
      </w:r>
      <w:r w:rsidR="00140101" w:rsidRPr="00140101">
        <w:rPr>
          <w:rFonts w:ascii="Times New Roman" w:hAnsi="Times New Roman"/>
          <w:sz w:val="28"/>
          <w:szCs w:val="28"/>
        </w:rPr>
        <w:t>(</w:t>
      </w:r>
      <w:r w:rsidR="00140101">
        <w:rPr>
          <w:rFonts w:ascii="Times New Roman" w:hAnsi="Times New Roman"/>
          <w:sz w:val="28"/>
          <w:szCs w:val="28"/>
        </w:rPr>
        <w:t>2020 г.</w:t>
      </w:r>
      <w:r w:rsidR="00140101" w:rsidRPr="00140101">
        <w:rPr>
          <w:rFonts w:ascii="Times New Roman" w:hAnsi="Times New Roman"/>
          <w:sz w:val="28"/>
          <w:szCs w:val="28"/>
        </w:rPr>
        <w:t xml:space="preserve"> – 116</w:t>
      </w:r>
      <w:r w:rsidR="00D16DB0">
        <w:rPr>
          <w:rFonts w:ascii="Times New Roman" w:hAnsi="Times New Roman"/>
          <w:sz w:val="28"/>
          <w:szCs w:val="28"/>
        </w:rPr>
        <w:t xml:space="preserve"> человек</w:t>
      </w:r>
      <w:r w:rsidR="00140101" w:rsidRPr="00140101">
        <w:rPr>
          <w:rFonts w:ascii="Times New Roman" w:hAnsi="Times New Roman"/>
          <w:sz w:val="28"/>
          <w:szCs w:val="28"/>
        </w:rPr>
        <w:t xml:space="preserve">), медицинскую – 106 </w:t>
      </w:r>
      <w:r w:rsidR="000B2D65" w:rsidRPr="00140101">
        <w:rPr>
          <w:rFonts w:ascii="Times New Roman" w:hAnsi="Times New Roman"/>
          <w:sz w:val="28"/>
          <w:szCs w:val="28"/>
        </w:rPr>
        <w:t xml:space="preserve">человек </w:t>
      </w:r>
      <w:r w:rsidR="00140101" w:rsidRPr="00140101">
        <w:rPr>
          <w:rFonts w:ascii="Times New Roman" w:hAnsi="Times New Roman"/>
          <w:sz w:val="28"/>
          <w:szCs w:val="28"/>
        </w:rPr>
        <w:t>(</w:t>
      </w:r>
      <w:r w:rsidR="00140101">
        <w:rPr>
          <w:rFonts w:ascii="Times New Roman" w:hAnsi="Times New Roman"/>
          <w:sz w:val="28"/>
          <w:szCs w:val="28"/>
        </w:rPr>
        <w:t>2020 г.</w:t>
      </w:r>
      <w:r w:rsidR="00140101" w:rsidRPr="00140101">
        <w:rPr>
          <w:rFonts w:ascii="Times New Roman" w:hAnsi="Times New Roman"/>
          <w:sz w:val="28"/>
          <w:szCs w:val="28"/>
        </w:rPr>
        <w:t xml:space="preserve"> – 114</w:t>
      </w:r>
      <w:r w:rsidR="00D16DB0">
        <w:rPr>
          <w:rFonts w:ascii="Times New Roman" w:hAnsi="Times New Roman"/>
          <w:sz w:val="28"/>
          <w:szCs w:val="28"/>
        </w:rPr>
        <w:t xml:space="preserve"> человек</w:t>
      </w:r>
      <w:r w:rsidR="00140101" w:rsidRPr="00140101">
        <w:rPr>
          <w:rFonts w:ascii="Times New Roman" w:hAnsi="Times New Roman"/>
          <w:sz w:val="28"/>
          <w:szCs w:val="28"/>
        </w:rPr>
        <w:t xml:space="preserve">), </w:t>
      </w:r>
      <w:r w:rsidR="00140101" w:rsidRPr="000B2D65">
        <w:rPr>
          <w:rFonts w:ascii="Times New Roman" w:hAnsi="Times New Roman"/>
          <w:sz w:val="28"/>
          <w:szCs w:val="28"/>
        </w:rPr>
        <w:t>психологическую – 6</w:t>
      </w:r>
      <w:r w:rsidR="000B2D65">
        <w:rPr>
          <w:rFonts w:ascii="Times New Roman" w:hAnsi="Times New Roman"/>
          <w:sz w:val="28"/>
          <w:szCs w:val="28"/>
        </w:rPr>
        <w:t> </w:t>
      </w:r>
      <w:r w:rsidR="00140101" w:rsidRPr="000B2D65">
        <w:rPr>
          <w:rFonts w:ascii="Times New Roman" w:hAnsi="Times New Roman"/>
          <w:sz w:val="28"/>
          <w:szCs w:val="28"/>
        </w:rPr>
        <w:t xml:space="preserve">310 </w:t>
      </w:r>
      <w:r w:rsidR="000B2D65" w:rsidRPr="000B2D65">
        <w:rPr>
          <w:rFonts w:ascii="Times New Roman" w:hAnsi="Times New Roman"/>
          <w:sz w:val="28"/>
          <w:szCs w:val="28"/>
        </w:rPr>
        <w:t xml:space="preserve">человек </w:t>
      </w:r>
      <w:r w:rsidR="00140101" w:rsidRPr="000B2D65">
        <w:rPr>
          <w:rFonts w:ascii="Times New Roman" w:hAnsi="Times New Roman"/>
          <w:sz w:val="28"/>
          <w:szCs w:val="28"/>
        </w:rPr>
        <w:t>(</w:t>
      </w:r>
      <w:r w:rsidR="00AB774A" w:rsidRPr="000B2D65">
        <w:rPr>
          <w:rFonts w:ascii="Times New Roman" w:hAnsi="Times New Roman"/>
          <w:sz w:val="28"/>
          <w:szCs w:val="28"/>
        </w:rPr>
        <w:t>2020 г.</w:t>
      </w:r>
      <w:r w:rsidR="00140101" w:rsidRPr="000B2D65">
        <w:rPr>
          <w:rFonts w:ascii="Times New Roman" w:hAnsi="Times New Roman"/>
          <w:sz w:val="28"/>
          <w:szCs w:val="28"/>
        </w:rPr>
        <w:t xml:space="preserve"> – 7</w:t>
      </w:r>
      <w:r w:rsidR="00D16DB0">
        <w:rPr>
          <w:rFonts w:ascii="Times New Roman" w:hAnsi="Times New Roman"/>
          <w:sz w:val="28"/>
          <w:szCs w:val="28"/>
        </w:rPr>
        <w:t> </w:t>
      </w:r>
      <w:r w:rsidR="00140101" w:rsidRPr="000B2D65">
        <w:rPr>
          <w:rFonts w:ascii="Times New Roman" w:hAnsi="Times New Roman"/>
          <w:sz w:val="28"/>
          <w:szCs w:val="28"/>
        </w:rPr>
        <w:t>719</w:t>
      </w:r>
      <w:r w:rsidR="00D16DB0">
        <w:rPr>
          <w:rFonts w:ascii="Times New Roman" w:hAnsi="Times New Roman"/>
          <w:sz w:val="28"/>
          <w:szCs w:val="28"/>
        </w:rPr>
        <w:t xml:space="preserve"> человек</w:t>
      </w:r>
      <w:r w:rsidR="00140101" w:rsidRPr="000B2D65">
        <w:rPr>
          <w:rFonts w:ascii="Times New Roman" w:hAnsi="Times New Roman"/>
          <w:sz w:val="28"/>
          <w:szCs w:val="28"/>
        </w:rPr>
        <w:t xml:space="preserve">), помощь в оформлении документов – 41 </w:t>
      </w:r>
      <w:r w:rsidR="000B2D65" w:rsidRPr="000B2D65">
        <w:rPr>
          <w:rFonts w:ascii="Times New Roman" w:hAnsi="Times New Roman"/>
          <w:sz w:val="28"/>
          <w:szCs w:val="28"/>
        </w:rPr>
        <w:t xml:space="preserve">человек </w:t>
      </w:r>
      <w:r w:rsidR="00140101" w:rsidRPr="000B2D65">
        <w:rPr>
          <w:rFonts w:ascii="Times New Roman" w:hAnsi="Times New Roman"/>
          <w:sz w:val="28"/>
          <w:szCs w:val="28"/>
        </w:rPr>
        <w:t>(</w:t>
      </w:r>
      <w:r w:rsidR="00AB774A" w:rsidRPr="000B2D65">
        <w:rPr>
          <w:rFonts w:ascii="Times New Roman" w:hAnsi="Times New Roman"/>
          <w:sz w:val="28"/>
          <w:szCs w:val="28"/>
        </w:rPr>
        <w:t>2020 г.</w:t>
      </w:r>
      <w:r w:rsidR="00140101" w:rsidRPr="000B2D65">
        <w:rPr>
          <w:rFonts w:ascii="Times New Roman" w:hAnsi="Times New Roman"/>
          <w:sz w:val="28"/>
          <w:szCs w:val="28"/>
        </w:rPr>
        <w:t xml:space="preserve"> – 53</w:t>
      </w:r>
      <w:r w:rsidR="00D16DB0">
        <w:rPr>
          <w:rFonts w:ascii="Times New Roman" w:hAnsi="Times New Roman"/>
          <w:sz w:val="28"/>
          <w:szCs w:val="28"/>
        </w:rPr>
        <w:t xml:space="preserve"> человека</w:t>
      </w:r>
      <w:r w:rsidR="00140101" w:rsidRPr="000B2D65">
        <w:rPr>
          <w:rFonts w:ascii="Times New Roman" w:hAnsi="Times New Roman"/>
          <w:sz w:val="28"/>
          <w:szCs w:val="28"/>
        </w:rPr>
        <w:t xml:space="preserve">), в приобретении профессии – </w:t>
      </w:r>
      <w:r w:rsidR="0027146D">
        <w:rPr>
          <w:rFonts w:ascii="Times New Roman" w:hAnsi="Times New Roman"/>
          <w:sz w:val="28"/>
          <w:szCs w:val="28"/>
        </w:rPr>
        <w:br/>
      </w:r>
      <w:r w:rsidR="00140101" w:rsidRPr="000B2D65">
        <w:rPr>
          <w:rFonts w:ascii="Times New Roman" w:hAnsi="Times New Roman"/>
          <w:sz w:val="28"/>
          <w:szCs w:val="28"/>
        </w:rPr>
        <w:t xml:space="preserve">37 </w:t>
      </w:r>
      <w:r w:rsidR="000B2D65" w:rsidRPr="000B2D65">
        <w:rPr>
          <w:rFonts w:ascii="Times New Roman" w:hAnsi="Times New Roman"/>
          <w:sz w:val="28"/>
          <w:szCs w:val="28"/>
        </w:rPr>
        <w:t>человек</w:t>
      </w:r>
      <w:r w:rsidR="007219E9" w:rsidRPr="00BD5345">
        <w:rPr>
          <w:rFonts w:ascii="Times New Roman" w:eastAsia="Times New Roman" w:hAnsi="Times New Roman" w:cs="Times New Roman"/>
          <w:sz w:val="28"/>
          <w:szCs w:val="28"/>
        </w:rPr>
        <w:t> </w:t>
      </w:r>
      <w:r w:rsidR="00140101" w:rsidRPr="000B2D65">
        <w:rPr>
          <w:rFonts w:ascii="Times New Roman" w:hAnsi="Times New Roman"/>
          <w:sz w:val="28"/>
          <w:szCs w:val="28"/>
        </w:rPr>
        <w:t>(</w:t>
      </w:r>
      <w:r w:rsidR="00AB774A" w:rsidRPr="000B2D65">
        <w:rPr>
          <w:rFonts w:ascii="Times New Roman" w:hAnsi="Times New Roman"/>
          <w:sz w:val="28"/>
          <w:szCs w:val="28"/>
        </w:rPr>
        <w:t>2020 г.</w:t>
      </w:r>
      <w:r w:rsidR="00140101" w:rsidRPr="000B2D65">
        <w:rPr>
          <w:rFonts w:ascii="Times New Roman" w:hAnsi="Times New Roman"/>
          <w:sz w:val="28"/>
          <w:szCs w:val="28"/>
        </w:rPr>
        <w:t xml:space="preserve"> – 37</w:t>
      </w:r>
      <w:r w:rsidR="00D16DB0">
        <w:rPr>
          <w:rFonts w:ascii="Times New Roman" w:hAnsi="Times New Roman"/>
          <w:sz w:val="28"/>
          <w:szCs w:val="28"/>
        </w:rPr>
        <w:t xml:space="preserve"> человек</w:t>
      </w:r>
      <w:r w:rsidR="00140101" w:rsidRPr="000B2D65">
        <w:rPr>
          <w:rFonts w:ascii="Times New Roman" w:hAnsi="Times New Roman"/>
          <w:sz w:val="28"/>
          <w:szCs w:val="28"/>
        </w:rPr>
        <w:t xml:space="preserve">), организации летнего отдыха – 257 </w:t>
      </w:r>
      <w:r w:rsidR="000B2D65" w:rsidRPr="000B2D65">
        <w:rPr>
          <w:rFonts w:ascii="Times New Roman" w:hAnsi="Times New Roman"/>
          <w:sz w:val="28"/>
          <w:szCs w:val="28"/>
        </w:rPr>
        <w:t xml:space="preserve">человек </w:t>
      </w:r>
      <w:r w:rsidR="00136161">
        <w:rPr>
          <w:rFonts w:ascii="Times New Roman" w:hAnsi="Times New Roman"/>
          <w:sz w:val="28"/>
          <w:szCs w:val="28"/>
        </w:rPr>
        <w:br/>
      </w:r>
      <w:r w:rsidR="00140101" w:rsidRPr="000B2D65">
        <w:rPr>
          <w:rFonts w:ascii="Times New Roman" w:hAnsi="Times New Roman"/>
          <w:sz w:val="28"/>
          <w:szCs w:val="28"/>
        </w:rPr>
        <w:t>(</w:t>
      </w:r>
      <w:r w:rsidR="00AB774A" w:rsidRPr="000B2D65">
        <w:rPr>
          <w:rFonts w:ascii="Times New Roman" w:hAnsi="Times New Roman"/>
          <w:sz w:val="28"/>
          <w:szCs w:val="28"/>
        </w:rPr>
        <w:t>2020 г.</w:t>
      </w:r>
      <w:r w:rsidR="00140101" w:rsidRPr="000B2D65">
        <w:rPr>
          <w:rFonts w:ascii="Times New Roman" w:hAnsi="Times New Roman"/>
          <w:sz w:val="28"/>
          <w:szCs w:val="28"/>
        </w:rPr>
        <w:t xml:space="preserve"> – 150</w:t>
      </w:r>
      <w:r w:rsidR="00D16DB0">
        <w:rPr>
          <w:rFonts w:ascii="Times New Roman" w:hAnsi="Times New Roman"/>
          <w:sz w:val="28"/>
          <w:szCs w:val="28"/>
        </w:rPr>
        <w:t xml:space="preserve"> человек</w:t>
      </w:r>
      <w:r w:rsidR="00140101" w:rsidRPr="000B2D65">
        <w:rPr>
          <w:rFonts w:ascii="Times New Roman" w:hAnsi="Times New Roman"/>
          <w:sz w:val="28"/>
          <w:szCs w:val="28"/>
        </w:rPr>
        <w:t>), в организации досуга – 2</w:t>
      </w:r>
      <w:r w:rsidR="000B2D65">
        <w:rPr>
          <w:rFonts w:ascii="Times New Roman" w:hAnsi="Times New Roman"/>
          <w:sz w:val="28"/>
          <w:szCs w:val="28"/>
        </w:rPr>
        <w:t> </w:t>
      </w:r>
      <w:r w:rsidR="00140101" w:rsidRPr="000B2D65">
        <w:rPr>
          <w:rFonts w:ascii="Times New Roman" w:hAnsi="Times New Roman"/>
          <w:sz w:val="28"/>
          <w:szCs w:val="28"/>
        </w:rPr>
        <w:t xml:space="preserve">236 </w:t>
      </w:r>
      <w:r w:rsidR="000B2D65" w:rsidRPr="000B2D65">
        <w:rPr>
          <w:rFonts w:ascii="Times New Roman" w:hAnsi="Times New Roman"/>
          <w:sz w:val="28"/>
          <w:szCs w:val="28"/>
        </w:rPr>
        <w:t xml:space="preserve">человек </w:t>
      </w:r>
      <w:r w:rsidR="00140101" w:rsidRPr="000B2D65">
        <w:rPr>
          <w:rFonts w:ascii="Times New Roman" w:hAnsi="Times New Roman"/>
          <w:sz w:val="28"/>
          <w:szCs w:val="28"/>
        </w:rPr>
        <w:t>(</w:t>
      </w:r>
      <w:r w:rsidR="00AB774A" w:rsidRPr="000B2D65">
        <w:rPr>
          <w:rFonts w:ascii="Times New Roman" w:hAnsi="Times New Roman"/>
          <w:sz w:val="28"/>
          <w:szCs w:val="28"/>
        </w:rPr>
        <w:t>2020 г.</w:t>
      </w:r>
      <w:r w:rsidR="00140101" w:rsidRPr="000B2D65">
        <w:rPr>
          <w:rFonts w:ascii="Times New Roman" w:hAnsi="Times New Roman"/>
          <w:sz w:val="28"/>
          <w:szCs w:val="28"/>
        </w:rPr>
        <w:t xml:space="preserve"> – 1</w:t>
      </w:r>
      <w:r w:rsidR="00D16DB0">
        <w:rPr>
          <w:rFonts w:ascii="Times New Roman" w:hAnsi="Times New Roman"/>
          <w:sz w:val="28"/>
          <w:szCs w:val="28"/>
        </w:rPr>
        <w:t> </w:t>
      </w:r>
      <w:r w:rsidR="00140101" w:rsidRPr="000B2D65">
        <w:rPr>
          <w:rFonts w:ascii="Times New Roman" w:hAnsi="Times New Roman"/>
          <w:sz w:val="28"/>
          <w:szCs w:val="28"/>
        </w:rPr>
        <w:t>751</w:t>
      </w:r>
      <w:r w:rsidR="00D16DB0">
        <w:rPr>
          <w:rFonts w:ascii="Times New Roman" w:hAnsi="Times New Roman"/>
          <w:sz w:val="28"/>
          <w:szCs w:val="28"/>
        </w:rPr>
        <w:t xml:space="preserve"> человек</w:t>
      </w:r>
      <w:r w:rsidR="00140101" w:rsidRPr="000B2D65">
        <w:rPr>
          <w:rFonts w:ascii="Times New Roman" w:hAnsi="Times New Roman"/>
          <w:sz w:val="28"/>
          <w:szCs w:val="28"/>
        </w:rPr>
        <w:t>), иная помощь оказана 1</w:t>
      </w:r>
      <w:r w:rsidR="000B2D65">
        <w:rPr>
          <w:rFonts w:ascii="Times New Roman" w:hAnsi="Times New Roman"/>
          <w:sz w:val="28"/>
          <w:szCs w:val="28"/>
        </w:rPr>
        <w:t> </w:t>
      </w:r>
      <w:r w:rsidR="00140101" w:rsidRPr="000B2D65">
        <w:rPr>
          <w:rFonts w:ascii="Times New Roman" w:hAnsi="Times New Roman"/>
          <w:sz w:val="28"/>
          <w:szCs w:val="28"/>
        </w:rPr>
        <w:t xml:space="preserve">279 </w:t>
      </w:r>
      <w:r w:rsidR="000B2D65" w:rsidRPr="000B2D65">
        <w:rPr>
          <w:rFonts w:ascii="Times New Roman" w:hAnsi="Times New Roman"/>
          <w:sz w:val="28"/>
          <w:szCs w:val="28"/>
        </w:rPr>
        <w:t xml:space="preserve">несовершеннолетним осужденным </w:t>
      </w:r>
      <w:r w:rsidR="00140101" w:rsidRPr="000B2D65">
        <w:rPr>
          <w:rFonts w:ascii="Times New Roman" w:hAnsi="Times New Roman"/>
          <w:sz w:val="28"/>
          <w:szCs w:val="28"/>
        </w:rPr>
        <w:t>(</w:t>
      </w:r>
      <w:r w:rsidR="000B2D65" w:rsidRPr="000B2D65">
        <w:rPr>
          <w:rFonts w:ascii="Times New Roman" w:hAnsi="Times New Roman"/>
          <w:sz w:val="28"/>
          <w:szCs w:val="28"/>
        </w:rPr>
        <w:t>2020 г.</w:t>
      </w:r>
      <w:r w:rsidR="00140101" w:rsidRPr="000B2D65">
        <w:rPr>
          <w:rFonts w:ascii="Times New Roman" w:hAnsi="Times New Roman"/>
          <w:sz w:val="28"/>
          <w:szCs w:val="28"/>
        </w:rPr>
        <w:t xml:space="preserve"> – 1</w:t>
      </w:r>
      <w:r w:rsidR="00D16DB0">
        <w:rPr>
          <w:rFonts w:ascii="Times New Roman" w:hAnsi="Times New Roman"/>
          <w:sz w:val="28"/>
          <w:szCs w:val="28"/>
        </w:rPr>
        <w:t> </w:t>
      </w:r>
      <w:r w:rsidR="00140101" w:rsidRPr="000B2D65">
        <w:rPr>
          <w:rFonts w:ascii="Times New Roman" w:hAnsi="Times New Roman"/>
          <w:sz w:val="28"/>
          <w:szCs w:val="28"/>
        </w:rPr>
        <w:t>198</w:t>
      </w:r>
      <w:r w:rsidR="00D16DB0">
        <w:rPr>
          <w:rFonts w:ascii="Times New Roman" w:hAnsi="Times New Roman"/>
          <w:sz w:val="28"/>
          <w:szCs w:val="28"/>
        </w:rPr>
        <w:t xml:space="preserve"> человек</w:t>
      </w:r>
      <w:r w:rsidR="00140101" w:rsidRPr="000B2D65">
        <w:rPr>
          <w:rFonts w:ascii="Times New Roman" w:hAnsi="Times New Roman"/>
          <w:sz w:val="28"/>
          <w:szCs w:val="28"/>
        </w:rPr>
        <w:t>).</w:t>
      </w:r>
    </w:p>
    <w:p w14:paraId="68A5CEE8" w14:textId="77777777" w:rsidR="003C42D5" w:rsidRDefault="00140101" w:rsidP="003C42D5">
      <w:pPr>
        <w:pBdr>
          <w:bottom w:val="single" w:sz="4" w:space="31" w:color="FFFFFF"/>
        </w:pBdr>
        <w:tabs>
          <w:tab w:val="left" w:pos="9781"/>
        </w:tabs>
        <w:spacing w:after="0" w:line="312" w:lineRule="auto"/>
        <w:ind w:firstLine="709"/>
        <w:jc w:val="both"/>
        <w:rPr>
          <w:rFonts w:ascii="Times New Roman" w:hAnsi="Times New Roman"/>
          <w:sz w:val="28"/>
          <w:szCs w:val="28"/>
        </w:rPr>
      </w:pPr>
      <w:r w:rsidRPr="000B2D65">
        <w:rPr>
          <w:rFonts w:ascii="Times New Roman" w:hAnsi="Times New Roman"/>
          <w:sz w:val="28"/>
          <w:szCs w:val="28"/>
        </w:rPr>
        <w:t xml:space="preserve">Всего при содействии УИИ социально-психологическую помощь получили </w:t>
      </w:r>
      <w:r w:rsidR="007219E9">
        <w:rPr>
          <w:rFonts w:ascii="Times New Roman" w:hAnsi="Times New Roman"/>
          <w:sz w:val="28"/>
          <w:szCs w:val="28"/>
        </w:rPr>
        <w:br/>
      </w:r>
      <w:r w:rsidRPr="000B2D65">
        <w:rPr>
          <w:rFonts w:ascii="Times New Roman" w:hAnsi="Times New Roman"/>
          <w:sz w:val="28"/>
          <w:szCs w:val="28"/>
        </w:rPr>
        <w:t>7 35</w:t>
      </w:r>
      <w:r w:rsidR="000B2D65">
        <w:rPr>
          <w:rFonts w:ascii="Times New Roman" w:hAnsi="Times New Roman"/>
          <w:sz w:val="28"/>
          <w:szCs w:val="28"/>
        </w:rPr>
        <w:t>4 несовершеннолетних осужденных</w:t>
      </w:r>
      <w:r w:rsidRPr="000B2D65">
        <w:rPr>
          <w:rFonts w:ascii="Times New Roman" w:hAnsi="Times New Roman"/>
          <w:sz w:val="28"/>
          <w:szCs w:val="28"/>
        </w:rPr>
        <w:t xml:space="preserve"> или 100% от числа нуждавшихся в ее получении (</w:t>
      </w:r>
      <w:r w:rsidR="000B2D65" w:rsidRPr="000B2D65">
        <w:rPr>
          <w:rFonts w:ascii="Times New Roman" w:hAnsi="Times New Roman"/>
          <w:sz w:val="28"/>
          <w:szCs w:val="28"/>
        </w:rPr>
        <w:t>2020 г.</w:t>
      </w:r>
      <w:r w:rsidR="000B2D65">
        <w:rPr>
          <w:rFonts w:ascii="Times New Roman" w:hAnsi="Times New Roman"/>
          <w:sz w:val="28"/>
          <w:szCs w:val="28"/>
        </w:rPr>
        <w:t xml:space="preserve"> – 8 157 человек</w:t>
      </w:r>
      <w:r w:rsidRPr="000B2D65">
        <w:rPr>
          <w:rFonts w:ascii="Times New Roman" w:hAnsi="Times New Roman"/>
          <w:sz w:val="28"/>
          <w:szCs w:val="28"/>
        </w:rPr>
        <w:t xml:space="preserve"> или 100%).</w:t>
      </w:r>
    </w:p>
    <w:p w14:paraId="3BFF8DD2" w14:textId="77777777" w:rsidR="000F5EA3" w:rsidRPr="003C42D5" w:rsidRDefault="00E51ACB" w:rsidP="003C42D5">
      <w:pPr>
        <w:pBdr>
          <w:bottom w:val="single" w:sz="4" w:space="31" w:color="FFFFFF"/>
        </w:pBdr>
        <w:tabs>
          <w:tab w:val="left" w:pos="9781"/>
        </w:tabs>
        <w:spacing w:after="0" w:line="312" w:lineRule="auto"/>
        <w:ind w:firstLine="709"/>
        <w:jc w:val="both"/>
        <w:rPr>
          <w:rFonts w:ascii="Times New Roman" w:hAnsi="Times New Roman"/>
          <w:sz w:val="28"/>
          <w:szCs w:val="28"/>
        </w:rPr>
      </w:pPr>
      <w:r w:rsidRPr="003C42D5">
        <w:rPr>
          <w:rFonts w:ascii="Times New Roman" w:hAnsi="Times New Roman"/>
          <w:sz w:val="28"/>
          <w:szCs w:val="28"/>
        </w:rPr>
        <w:t>В рамках профилактической работы с родителями, имеющими детей – несовершеннолетних правонарушителей</w:t>
      </w:r>
      <w:r w:rsidR="00F4475D" w:rsidRPr="003C42D5">
        <w:rPr>
          <w:rFonts w:ascii="Times New Roman" w:hAnsi="Times New Roman"/>
          <w:sz w:val="28"/>
          <w:szCs w:val="28"/>
        </w:rPr>
        <w:t>, подвергшихся наказанию, не связанному с изоляцией от общества, о</w:t>
      </w:r>
      <w:r w:rsidR="000F5EA3" w:rsidRPr="003C42D5">
        <w:rPr>
          <w:rFonts w:ascii="Times New Roman" w:hAnsi="Times New Roman"/>
          <w:sz w:val="28"/>
          <w:szCs w:val="28"/>
        </w:rPr>
        <w:t xml:space="preserve">рганизовано взаимодействие УИИ с представителями молодежных движений, волонтерских организаций, в том числе региональных отделений «Ассоциации волонтерских центров», региональных отделений Общероссийской общественной организации «Национальная родительская ассоциация социальной поддержки семьи и защиты семейных ценностей» </w:t>
      </w:r>
      <w:r w:rsidR="00136161">
        <w:rPr>
          <w:rFonts w:ascii="Times New Roman" w:hAnsi="Times New Roman"/>
          <w:sz w:val="28"/>
          <w:szCs w:val="28"/>
        </w:rPr>
        <w:br/>
      </w:r>
      <w:r w:rsidR="000F5EA3" w:rsidRPr="003C42D5">
        <w:rPr>
          <w:rFonts w:ascii="Times New Roman" w:hAnsi="Times New Roman"/>
          <w:sz w:val="28"/>
          <w:szCs w:val="28"/>
        </w:rPr>
        <w:t>(далее – НРА).</w:t>
      </w:r>
    </w:p>
    <w:p w14:paraId="07A5BEE8" w14:textId="27B3DFC6" w:rsidR="00295F0B" w:rsidRDefault="00F4475D" w:rsidP="00295F0B">
      <w:pPr>
        <w:pBdr>
          <w:bottom w:val="single" w:sz="4" w:space="31" w:color="FFFFFF"/>
        </w:pBdr>
        <w:tabs>
          <w:tab w:val="left" w:pos="9781"/>
        </w:tabs>
        <w:spacing w:after="0" w:line="312" w:lineRule="auto"/>
        <w:ind w:firstLine="709"/>
        <w:jc w:val="both"/>
        <w:rPr>
          <w:rFonts w:ascii="Times New Roman" w:hAnsi="Times New Roman"/>
          <w:sz w:val="28"/>
          <w:szCs w:val="28"/>
        </w:rPr>
      </w:pPr>
      <w:r w:rsidRPr="003C42D5">
        <w:rPr>
          <w:rFonts w:ascii="Times New Roman" w:hAnsi="Times New Roman"/>
          <w:sz w:val="28"/>
          <w:szCs w:val="28"/>
        </w:rPr>
        <w:t>В</w:t>
      </w:r>
      <w:r w:rsidR="000F5EA3" w:rsidRPr="003C42D5">
        <w:rPr>
          <w:rFonts w:ascii="Times New Roman" w:hAnsi="Times New Roman"/>
          <w:sz w:val="28"/>
          <w:szCs w:val="28"/>
        </w:rPr>
        <w:t xml:space="preserve"> течение 2021 г</w:t>
      </w:r>
      <w:r w:rsidR="00136161">
        <w:rPr>
          <w:rFonts w:ascii="Times New Roman" w:hAnsi="Times New Roman"/>
          <w:sz w:val="28"/>
          <w:szCs w:val="28"/>
        </w:rPr>
        <w:t>.</w:t>
      </w:r>
      <w:r w:rsidR="000F5EA3" w:rsidRPr="003C42D5">
        <w:rPr>
          <w:rFonts w:ascii="Times New Roman" w:hAnsi="Times New Roman"/>
          <w:sz w:val="28"/>
          <w:szCs w:val="28"/>
        </w:rPr>
        <w:t xml:space="preserve"> сотрудниками УИИ совместно с родительскими общественными ор</w:t>
      </w:r>
      <w:r w:rsidRPr="003C42D5">
        <w:rPr>
          <w:rFonts w:ascii="Times New Roman" w:hAnsi="Times New Roman"/>
          <w:sz w:val="28"/>
          <w:szCs w:val="28"/>
        </w:rPr>
        <w:t>ганизациями проведено более 700</w:t>
      </w:r>
      <w:r w:rsidR="000F5EA3" w:rsidRPr="003C42D5">
        <w:rPr>
          <w:rFonts w:ascii="Times New Roman" w:hAnsi="Times New Roman"/>
          <w:sz w:val="28"/>
          <w:szCs w:val="28"/>
        </w:rPr>
        <w:t xml:space="preserve"> мероприяти</w:t>
      </w:r>
      <w:r w:rsidRPr="003C42D5">
        <w:rPr>
          <w:rFonts w:ascii="Times New Roman" w:hAnsi="Times New Roman"/>
          <w:sz w:val="28"/>
          <w:szCs w:val="28"/>
        </w:rPr>
        <w:t xml:space="preserve">й (2020 г. – </w:t>
      </w:r>
      <w:r w:rsidR="0027146D">
        <w:rPr>
          <w:rFonts w:ascii="Times New Roman" w:hAnsi="Times New Roman"/>
          <w:sz w:val="28"/>
          <w:szCs w:val="28"/>
        </w:rPr>
        <w:br/>
      </w:r>
      <w:r w:rsidRPr="003C42D5">
        <w:rPr>
          <w:rFonts w:ascii="Times New Roman" w:hAnsi="Times New Roman"/>
          <w:sz w:val="28"/>
          <w:szCs w:val="28"/>
        </w:rPr>
        <w:t>60 мероприятий)</w:t>
      </w:r>
      <w:r w:rsidR="00BE47EB" w:rsidRPr="003C42D5">
        <w:rPr>
          <w:rFonts w:ascii="Times New Roman" w:hAnsi="Times New Roman"/>
          <w:sz w:val="28"/>
          <w:szCs w:val="28"/>
        </w:rPr>
        <w:t>, которыми охвачено более 2 400</w:t>
      </w:r>
      <w:r w:rsidR="000F5EA3" w:rsidRPr="003C42D5">
        <w:rPr>
          <w:rFonts w:ascii="Times New Roman" w:hAnsi="Times New Roman"/>
          <w:sz w:val="28"/>
          <w:szCs w:val="28"/>
        </w:rPr>
        <w:t xml:space="preserve"> несовершеннолетних осужденных и их родителей</w:t>
      </w:r>
      <w:r w:rsidR="00BE47EB" w:rsidRPr="003C42D5">
        <w:rPr>
          <w:rFonts w:ascii="Times New Roman" w:hAnsi="Times New Roman"/>
          <w:sz w:val="28"/>
          <w:szCs w:val="28"/>
        </w:rPr>
        <w:t xml:space="preserve"> (2020 г. – 841 человек)</w:t>
      </w:r>
      <w:r w:rsidR="00295F0B">
        <w:rPr>
          <w:rFonts w:ascii="Times New Roman" w:hAnsi="Times New Roman"/>
          <w:sz w:val="28"/>
          <w:szCs w:val="28"/>
        </w:rPr>
        <w:t>.</w:t>
      </w:r>
    </w:p>
    <w:p w14:paraId="089A7CB7" w14:textId="7C998911" w:rsidR="000F5EA3" w:rsidRPr="003C42D5" w:rsidRDefault="000F5EA3" w:rsidP="00295F0B">
      <w:pPr>
        <w:pBdr>
          <w:bottom w:val="single" w:sz="4" w:space="31" w:color="FFFFFF"/>
        </w:pBdr>
        <w:tabs>
          <w:tab w:val="left" w:pos="9781"/>
        </w:tabs>
        <w:spacing w:after="0" w:line="312" w:lineRule="auto"/>
        <w:ind w:firstLine="709"/>
        <w:jc w:val="both"/>
        <w:rPr>
          <w:rFonts w:ascii="Times New Roman" w:hAnsi="Times New Roman"/>
          <w:sz w:val="28"/>
          <w:szCs w:val="28"/>
        </w:rPr>
      </w:pPr>
      <w:r w:rsidRPr="003C42D5">
        <w:rPr>
          <w:rFonts w:ascii="Times New Roman" w:hAnsi="Times New Roman"/>
          <w:sz w:val="28"/>
          <w:szCs w:val="28"/>
        </w:rPr>
        <w:t xml:space="preserve">Доля несовершеннолетних осужденных, состоящих на учете в УИИ, и их родителей, участвующих в мероприятиях, проводимых НРА, </w:t>
      </w:r>
      <w:r w:rsidR="00BE47EB" w:rsidRPr="003C42D5">
        <w:rPr>
          <w:rFonts w:ascii="Times New Roman" w:hAnsi="Times New Roman"/>
          <w:sz w:val="28"/>
          <w:szCs w:val="28"/>
        </w:rPr>
        <w:t>в 2021 г</w:t>
      </w:r>
      <w:r w:rsidR="0072592D">
        <w:rPr>
          <w:rFonts w:ascii="Times New Roman" w:hAnsi="Times New Roman"/>
          <w:sz w:val="28"/>
          <w:szCs w:val="28"/>
        </w:rPr>
        <w:t>.</w:t>
      </w:r>
      <w:r w:rsidR="00BE47EB" w:rsidRPr="003C42D5">
        <w:rPr>
          <w:rFonts w:ascii="Times New Roman" w:hAnsi="Times New Roman"/>
          <w:sz w:val="28"/>
          <w:szCs w:val="28"/>
        </w:rPr>
        <w:t xml:space="preserve"> составила 93,2% </w:t>
      </w:r>
      <w:r w:rsidRPr="003C42D5">
        <w:rPr>
          <w:rFonts w:ascii="Times New Roman" w:hAnsi="Times New Roman"/>
          <w:sz w:val="28"/>
          <w:szCs w:val="28"/>
        </w:rPr>
        <w:t>от числа лиц, изъявивши</w:t>
      </w:r>
      <w:r w:rsidR="00BE47EB" w:rsidRPr="003C42D5">
        <w:rPr>
          <w:rFonts w:ascii="Times New Roman" w:hAnsi="Times New Roman"/>
          <w:sz w:val="28"/>
          <w:szCs w:val="28"/>
        </w:rPr>
        <w:t>х желание принять участие в них</w:t>
      </w:r>
      <w:r w:rsidRPr="003C42D5">
        <w:rPr>
          <w:rFonts w:ascii="Times New Roman" w:hAnsi="Times New Roman"/>
          <w:sz w:val="28"/>
          <w:szCs w:val="28"/>
        </w:rPr>
        <w:t>.</w:t>
      </w:r>
    </w:p>
    <w:p w14:paraId="29AF2DC2" w14:textId="77777777" w:rsidR="000F5EA3" w:rsidRPr="003C42D5" w:rsidRDefault="000F5EA3" w:rsidP="000F5EA3">
      <w:pPr>
        <w:pBdr>
          <w:bottom w:val="single" w:sz="4" w:space="31" w:color="FFFFFF"/>
        </w:pBdr>
        <w:tabs>
          <w:tab w:val="left" w:pos="9781"/>
        </w:tabs>
        <w:spacing w:after="0" w:line="312" w:lineRule="auto"/>
        <w:ind w:firstLine="709"/>
        <w:jc w:val="both"/>
        <w:rPr>
          <w:rFonts w:ascii="Times New Roman" w:hAnsi="Times New Roman"/>
          <w:sz w:val="28"/>
          <w:szCs w:val="28"/>
        </w:rPr>
      </w:pPr>
      <w:r w:rsidRPr="003C42D5">
        <w:rPr>
          <w:rFonts w:ascii="Times New Roman" w:hAnsi="Times New Roman"/>
          <w:sz w:val="28"/>
          <w:szCs w:val="28"/>
        </w:rPr>
        <w:t>Так, 18</w:t>
      </w:r>
      <w:r w:rsidR="00BE47EB" w:rsidRPr="003C42D5">
        <w:rPr>
          <w:rFonts w:ascii="Times New Roman" w:hAnsi="Times New Roman"/>
          <w:sz w:val="28"/>
          <w:szCs w:val="28"/>
        </w:rPr>
        <w:t xml:space="preserve"> ноября </w:t>
      </w:r>
      <w:r w:rsidRPr="003C42D5">
        <w:rPr>
          <w:rFonts w:ascii="Times New Roman" w:hAnsi="Times New Roman"/>
          <w:sz w:val="28"/>
          <w:szCs w:val="28"/>
        </w:rPr>
        <w:t>2021</w:t>
      </w:r>
      <w:r w:rsidR="00BE47EB" w:rsidRPr="003C42D5">
        <w:rPr>
          <w:rFonts w:ascii="Times New Roman" w:hAnsi="Times New Roman"/>
          <w:sz w:val="28"/>
          <w:szCs w:val="28"/>
        </w:rPr>
        <w:t xml:space="preserve"> г.</w:t>
      </w:r>
      <w:r w:rsidRPr="003C42D5">
        <w:rPr>
          <w:rFonts w:ascii="Times New Roman" w:hAnsi="Times New Roman"/>
          <w:sz w:val="28"/>
          <w:szCs w:val="28"/>
        </w:rPr>
        <w:t xml:space="preserve"> в ФКУ УИИ УФСИН России по Курской области в рамках Всероссийского дня правовой помощи детям, проведено лекционно-дискуссионное занятие на тему: «Правовое регулирование воспитательной работы с несовершеннолетними и получение ими консультативной помощи», в ходе которого несовершеннолетним осужденным разъяснена ответственность, наступающая в случае нарушения порядка и условий отбывания наказаний, не связанных с лишением свободы, а также оказана консультативна</w:t>
      </w:r>
      <w:r w:rsidR="00BE47EB" w:rsidRPr="003C42D5">
        <w:rPr>
          <w:rFonts w:ascii="Times New Roman" w:hAnsi="Times New Roman"/>
          <w:sz w:val="28"/>
          <w:szCs w:val="28"/>
        </w:rPr>
        <w:t>я помощь по возникшим вопросам.</w:t>
      </w:r>
    </w:p>
    <w:p w14:paraId="407B2492" w14:textId="77777777" w:rsidR="000F5EA3" w:rsidRPr="003C42D5" w:rsidRDefault="000F5EA3" w:rsidP="008F627A">
      <w:pPr>
        <w:pBdr>
          <w:bottom w:val="single" w:sz="4" w:space="31" w:color="FFFFFF"/>
        </w:pBdr>
        <w:tabs>
          <w:tab w:val="left" w:pos="9781"/>
        </w:tabs>
        <w:spacing w:after="0" w:line="312" w:lineRule="auto"/>
        <w:ind w:firstLine="709"/>
        <w:jc w:val="both"/>
        <w:rPr>
          <w:rFonts w:ascii="Times New Roman" w:hAnsi="Times New Roman"/>
          <w:sz w:val="28"/>
          <w:szCs w:val="28"/>
        </w:rPr>
      </w:pPr>
      <w:r w:rsidRPr="003C42D5">
        <w:rPr>
          <w:rFonts w:ascii="Times New Roman" w:hAnsi="Times New Roman"/>
          <w:sz w:val="28"/>
          <w:szCs w:val="28"/>
        </w:rPr>
        <w:t xml:space="preserve">В рамках указанного мероприятия организован круглый стол, на котором состоялась встреча с ответственным секретарем Курского регионального отделения НРА, </w:t>
      </w:r>
      <w:r w:rsidR="00A96E87" w:rsidRPr="003C42D5">
        <w:rPr>
          <w:rFonts w:ascii="Times New Roman" w:hAnsi="Times New Roman"/>
          <w:sz w:val="28"/>
          <w:szCs w:val="28"/>
        </w:rPr>
        <w:t>а также</w:t>
      </w:r>
      <w:r w:rsidRPr="003C42D5">
        <w:rPr>
          <w:rFonts w:ascii="Times New Roman" w:hAnsi="Times New Roman"/>
          <w:sz w:val="28"/>
          <w:szCs w:val="28"/>
        </w:rPr>
        <w:t xml:space="preserve"> рассмотрен вопрос по проблемам получения среднего профессионального и высшего образования среди несовершеннолетних </w:t>
      </w:r>
      <w:r w:rsidR="00A96E87" w:rsidRPr="003C42D5">
        <w:rPr>
          <w:rFonts w:ascii="Times New Roman" w:hAnsi="Times New Roman"/>
          <w:sz w:val="28"/>
          <w:szCs w:val="28"/>
        </w:rPr>
        <w:t>осужденных, состоящих на учете.</w:t>
      </w:r>
      <w:r w:rsidR="008F627A" w:rsidRPr="003C42D5">
        <w:rPr>
          <w:rFonts w:ascii="Times New Roman" w:hAnsi="Times New Roman"/>
          <w:sz w:val="28"/>
          <w:szCs w:val="28"/>
        </w:rPr>
        <w:t xml:space="preserve"> </w:t>
      </w:r>
      <w:r w:rsidRPr="003C42D5">
        <w:rPr>
          <w:rFonts w:ascii="Times New Roman" w:hAnsi="Times New Roman"/>
          <w:sz w:val="28"/>
          <w:szCs w:val="28"/>
        </w:rPr>
        <w:t>С целью установления партнерских отношений и развития долгосрочного и эффективного сотрудничества 24</w:t>
      </w:r>
      <w:r w:rsidR="00A96E87" w:rsidRPr="003C42D5">
        <w:rPr>
          <w:rFonts w:ascii="Times New Roman" w:hAnsi="Times New Roman"/>
          <w:sz w:val="28"/>
          <w:szCs w:val="28"/>
        </w:rPr>
        <w:t xml:space="preserve"> декабря </w:t>
      </w:r>
      <w:r w:rsidRPr="003C42D5">
        <w:rPr>
          <w:rFonts w:ascii="Times New Roman" w:hAnsi="Times New Roman"/>
          <w:sz w:val="28"/>
          <w:szCs w:val="28"/>
        </w:rPr>
        <w:t>2021</w:t>
      </w:r>
      <w:r w:rsidR="00A96E87" w:rsidRPr="003C42D5">
        <w:rPr>
          <w:rFonts w:ascii="Times New Roman" w:hAnsi="Times New Roman"/>
          <w:sz w:val="28"/>
          <w:szCs w:val="28"/>
        </w:rPr>
        <w:t xml:space="preserve"> г.</w:t>
      </w:r>
      <w:r w:rsidRPr="003C42D5">
        <w:rPr>
          <w:rFonts w:ascii="Times New Roman" w:hAnsi="Times New Roman"/>
          <w:sz w:val="28"/>
          <w:szCs w:val="28"/>
        </w:rPr>
        <w:t xml:space="preserve"> заключено соглашение о взаимодействии между ФКУ УИИ УФСИН России по Курской области и Курским региональным отделением НРА.</w:t>
      </w:r>
    </w:p>
    <w:p w14:paraId="4F36DE9D" w14:textId="77777777" w:rsidR="000F5EA3" w:rsidRPr="003C42D5" w:rsidRDefault="000F5EA3" w:rsidP="008F627A">
      <w:pPr>
        <w:pBdr>
          <w:bottom w:val="single" w:sz="4" w:space="31" w:color="FFFFFF"/>
        </w:pBdr>
        <w:tabs>
          <w:tab w:val="left" w:pos="9781"/>
        </w:tabs>
        <w:spacing w:after="0" w:line="312" w:lineRule="auto"/>
        <w:ind w:firstLine="709"/>
        <w:jc w:val="both"/>
        <w:rPr>
          <w:rFonts w:ascii="Times New Roman" w:hAnsi="Times New Roman"/>
          <w:sz w:val="28"/>
          <w:szCs w:val="28"/>
        </w:rPr>
      </w:pPr>
      <w:r w:rsidRPr="003C42D5">
        <w:rPr>
          <w:rFonts w:ascii="Times New Roman" w:hAnsi="Times New Roman"/>
          <w:sz w:val="28"/>
          <w:szCs w:val="28"/>
        </w:rPr>
        <w:t xml:space="preserve">ФКУ УИИ УФСИН России по Республике Татарстан </w:t>
      </w:r>
      <w:r w:rsidR="00A96E87" w:rsidRPr="003C42D5">
        <w:rPr>
          <w:rFonts w:ascii="Times New Roman" w:hAnsi="Times New Roman"/>
          <w:sz w:val="28"/>
          <w:szCs w:val="28"/>
        </w:rPr>
        <w:t xml:space="preserve">также </w:t>
      </w:r>
      <w:r w:rsidRPr="003C42D5">
        <w:rPr>
          <w:rFonts w:ascii="Times New Roman" w:hAnsi="Times New Roman"/>
          <w:sz w:val="28"/>
          <w:szCs w:val="28"/>
        </w:rPr>
        <w:t>организовано взаимодействие с региональным отделением НРА по вопросам оказания социальной поддержки несовершеннолетним лицам, осужденным к наказаниям без изо</w:t>
      </w:r>
      <w:r w:rsidR="008F627A" w:rsidRPr="003C42D5">
        <w:rPr>
          <w:rFonts w:ascii="Times New Roman" w:hAnsi="Times New Roman"/>
          <w:sz w:val="28"/>
          <w:szCs w:val="28"/>
        </w:rPr>
        <w:t xml:space="preserve">ляции от общества. </w:t>
      </w:r>
      <w:r w:rsidRPr="003C42D5">
        <w:rPr>
          <w:rFonts w:ascii="Times New Roman" w:hAnsi="Times New Roman"/>
          <w:sz w:val="28"/>
          <w:szCs w:val="28"/>
        </w:rPr>
        <w:t>Сотрудники НРА принимают участие в «</w:t>
      </w:r>
      <w:r w:rsidR="00A96E87" w:rsidRPr="003C42D5">
        <w:rPr>
          <w:rFonts w:ascii="Times New Roman" w:hAnsi="Times New Roman"/>
          <w:sz w:val="28"/>
          <w:szCs w:val="28"/>
        </w:rPr>
        <w:t>р</w:t>
      </w:r>
      <w:r w:rsidRPr="003C42D5">
        <w:rPr>
          <w:rFonts w:ascii="Times New Roman" w:hAnsi="Times New Roman"/>
          <w:sz w:val="28"/>
          <w:szCs w:val="28"/>
        </w:rPr>
        <w:t>одительских собраниях», для родителей, законных представителей несовершеннолетних осужденных, состоящих на учете в филиалах УИИ.</w:t>
      </w:r>
      <w:r w:rsidR="008F627A" w:rsidRPr="003C42D5">
        <w:rPr>
          <w:rFonts w:ascii="Times New Roman" w:hAnsi="Times New Roman"/>
          <w:sz w:val="28"/>
          <w:szCs w:val="28"/>
        </w:rPr>
        <w:t xml:space="preserve"> </w:t>
      </w:r>
      <w:r w:rsidRPr="003C42D5">
        <w:rPr>
          <w:rFonts w:ascii="Times New Roman" w:hAnsi="Times New Roman"/>
          <w:sz w:val="28"/>
          <w:szCs w:val="28"/>
        </w:rPr>
        <w:t>В рамках мероприятий доводится информация по предоставляемой правовой и социальной помощи, профилактике вовлечения несовершеннолетних в организованные преступные группировки, профилактике распространения криминальной субкультуры «АУЕ» среди несовершеннолетних.</w:t>
      </w:r>
    </w:p>
    <w:p w14:paraId="07070441" w14:textId="77777777" w:rsidR="000F5EA3" w:rsidRPr="003C42D5" w:rsidRDefault="000F5EA3" w:rsidP="000F5EA3">
      <w:pPr>
        <w:pBdr>
          <w:bottom w:val="single" w:sz="4" w:space="31" w:color="FFFFFF"/>
        </w:pBdr>
        <w:tabs>
          <w:tab w:val="left" w:pos="9781"/>
        </w:tabs>
        <w:spacing w:after="0" w:line="312" w:lineRule="auto"/>
        <w:ind w:firstLine="709"/>
        <w:jc w:val="both"/>
        <w:rPr>
          <w:rFonts w:ascii="Times New Roman" w:hAnsi="Times New Roman"/>
          <w:sz w:val="28"/>
          <w:szCs w:val="28"/>
        </w:rPr>
      </w:pPr>
      <w:r w:rsidRPr="003C42D5">
        <w:rPr>
          <w:rFonts w:ascii="Times New Roman" w:hAnsi="Times New Roman"/>
          <w:sz w:val="28"/>
          <w:szCs w:val="28"/>
        </w:rPr>
        <w:t>20</w:t>
      </w:r>
      <w:r w:rsidR="00A96E87" w:rsidRPr="003C42D5">
        <w:rPr>
          <w:rFonts w:ascii="Times New Roman" w:hAnsi="Times New Roman"/>
          <w:sz w:val="28"/>
          <w:szCs w:val="28"/>
        </w:rPr>
        <w:t xml:space="preserve"> июня </w:t>
      </w:r>
      <w:r w:rsidRPr="003C42D5">
        <w:rPr>
          <w:rFonts w:ascii="Times New Roman" w:hAnsi="Times New Roman"/>
          <w:sz w:val="28"/>
          <w:szCs w:val="28"/>
        </w:rPr>
        <w:t>2021</w:t>
      </w:r>
      <w:r w:rsidR="00A96E87" w:rsidRPr="003C42D5">
        <w:rPr>
          <w:rFonts w:ascii="Times New Roman" w:hAnsi="Times New Roman"/>
          <w:sz w:val="28"/>
          <w:szCs w:val="28"/>
        </w:rPr>
        <w:t xml:space="preserve"> г.</w:t>
      </w:r>
      <w:r w:rsidRPr="003C42D5">
        <w:rPr>
          <w:rFonts w:ascii="Times New Roman" w:hAnsi="Times New Roman"/>
          <w:sz w:val="28"/>
          <w:szCs w:val="28"/>
        </w:rPr>
        <w:t xml:space="preserve"> «Союзом Отцов» совместно с НРА, региональным отделением Общероссийской организации народного фронта, благотворительным фондом «Лига Добрых людей»</w:t>
      </w:r>
      <w:r w:rsidR="00A96E87" w:rsidRPr="003C42D5">
        <w:rPr>
          <w:rFonts w:ascii="Times New Roman" w:hAnsi="Times New Roman"/>
          <w:sz w:val="28"/>
          <w:szCs w:val="28"/>
        </w:rPr>
        <w:t>, АНО «Рожденный быть мужчиной»</w:t>
      </w:r>
      <w:r w:rsidRPr="003C42D5">
        <w:rPr>
          <w:rFonts w:ascii="Times New Roman" w:hAnsi="Times New Roman"/>
          <w:sz w:val="28"/>
          <w:szCs w:val="28"/>
        </w:rPr>
        <w:t xml:space="preserve"> при участии УФСИН</w:t>
      </w:r>
      <w:r w:rsidR="008F1C42" w:rsidRPr="003C42D5">
        <w:rPr>
          <w:rFonts w:ascii="Times New Roman" w:hAnsi="Times New Roman"/>
          <w:sz w:val="28"/>
          <w:szCs w:val="28"/>
        </w:rPr>
        <w:t xml:space="preserve"> России</w:t>
      </w:r>
      <w:r w:rsidRPr="003C42D5">
        <w:rPr>
          <w:rFonts w:ascii="Times New Roman" w:hAnsi="Times New Roman"/>
          <w:sz w:val="28"/>
          <w:szCs w:val="28"/>
        </w:rPr>
        <w:t>, МЧС</w:t>
      </w:r>
      <w:r w:rsidR="008F1C42" w:rsidRPr="003C42D5">
        <w:rPr>
          <w:rFonts w:ascii="Times New Roman" w:hAnsi="Times New Roman"/>
          <w:sz w:val="28"/>
          <w:szCs w:val="28"/>
        </w:rPr>
        <w:t xml:space="preserve"> России</w:t>
      </w:r>
      <w:r w:rsidRPr="003C42D5">
        <w:rPr>
          <w:rFonts w:ascii="Times New Roman" w:hAnsi="Times New Roman"/>
          <w:sz w:val="28"/>
          <w:szCs w:val="28"/>
        </w:rPr>
        <w:t xml:space="preserve">, МВД России по Республике Татарстан организовано мероприятие, посвященное Международному дню отца. В рамках мероприятия несовершеннолетние осужденные приняли участие в соревнованиях по бегу, изучали оснащение пожарного автомобиля, посетили мастер-класс по актерскому мастерству, показательные выступления спецназа и кинологической службы УФСИН России по Республике Татарстан. </w:t>
      </w:r>
    </w:p>
    <w:p w14:paraId="333AF593" w14:textId="77777777" w:rsidR="000F5EA3" w:rsidRPr="003C42D5" w:rsidRDefault="000F5EA3" w:rsidP="000F5EA3">
      <w:pPr>
        <w:pBdr>
          <w:bottom w:val="single" w:sz="4" w:space="31" w:color="FFFFFF"/>
        </w:pBdr>
        <w:tabs>
          <w:tab w:val="left" w:pos="9781"/>
        </w:tabs>
        <w:spacing w:after="0" w:line="312" w:lineRule="auto"/>
        <w:ind w:firstLine="709"/>
        <w:jc w:val="both"/>
        <w:rPr>
          <w:rFonts w:ascii="Times New Roman" w:hAnsi="Times New Roman"/>
          <w:sz w:val="28"/>
          <w:szCs w:val="28"/>
        </w:rPr>
      </w:pPr>
      <w:r w:rsidRPr="003C42D5">
        <w:rPr>
          <w:rFonts w:ascii="Times New Roman" w:hAnsi="Times New Roman"/>
          <w:sz w:val="28"/>
          <w:szCs w:val="28"/>
        </w:rPr>
        <w:t>19</w:t>
      </w:r>
      <w:r w:rsidR="008F1C42" w:rsidRPr="003C42D5">
        <w:rPr>
          <w:rFonts w:ascii="Times New Roman" w:hAnsi="Times New Roman"/>
          <w:sz w:val="28"/>
          <w:szCs w:val="28"/>
        </w:rPr>
        <w:t xml:space="preserve"> ноября </w:t>
      </w:r>
      <w:r w:rsidRPr="003C42D5">
        <w:rPr>
          <w:rFonts w:ascii="Times New Roman" w:hAnsi="Times New Roman"/>
          <w:sz w:val="28"/>
          <w:szCs w:val="28"/>
        </w:rPr>
        <w:t>2021</w:t>
      </w:r>
      <w:r w:rsidR="008F1C42" w:rsidRPr="003C42D5">
        <w:rPr>
          <w:rFonts w:ascii="Times New Roman" w:hAnsi="Times New Roman"/>
          <w:sz w:val="28"/>
          <w:szCs w:val="28"/>
        </w:rPr>
        <w:t xml:space="preserve"> г.</w:t>
      </w:r>
      <w:r w:rsidRPr="003C42D5">
        <w:rPr>
          <w:rFonts w:ascii="Times New Roman" w:hAnsi="Times New Roman"/>
          <w:sz w:val="28"/>
          <w:szCs w:val="28"/>
        </w:rPr>
        <w:t xml:space="preserve"> на базе ФКУ УИИ УФСИН России по Республике Татарстан </w:t>
      </w:r>
      <w:r w:rsidR="008F1C42" w:rsidRPr="003C42D5">
        <w:rPr>
          <w:rFonts w:ascii="Times New Roman" w:hAnsi="Times New Roman"/>
          <w:sz w:val="28"/>
          <w:szCs w:val="28"/>
        </w:rPr>
        <w:t>проведен</w:t>
      </w:r>
      <w:r w:rsidRPr="003C42D5">
        <w:rPr>
          <w:rFonts w:ascii="Times New Roman" w:hAnsi="Times New Roman"/>
          <w:sz w:val="28"/>
          <w:szCs w:val="28"/>
        </w:rPr>
        <w:t xml:space="preserve"> круглый стол с участием ответственного секретаря НРА. В ходе встречи рассмотрены вопросы взаимодействия вовлечения подростков в проводимые НРА мероприятия патриотического и культурно-просветительского характера, обсу</w:t>
      </w:r>
      <w:r w:rsidR="008F1C42" w:rsidRPr="003C42D5">
        <w:rPr>
          <w:rFonts w:ascii="Times New Roman" w:hAnsi="Times New Roman"/>
          <w:sz w:val="28"/>
          <w:szCs w:val="28"/>
        </w:rPr>
        <w:t>ждались</w:t>
      </w:r>
      <w:r w:rsidRPr="003C42D5">
        <w:rPr>
          <w:rFonts w:ascii="Times New Roman" w:hAnsi="Times New Roman"/>
          <w:sz w:val="28"/>
          <w:szCs w:val="28"/>
        </w:rPr>
        <w:t xml:space="preserve"> лучшие практики профилактической работы.</w:t>
      </w:r>
    </w:p>
    <w:p w14:paraId="77EBD893" w14:textId="77777777" w:rsidR="000F5EA3" w:rsidRPr="003C42D5" w:rsidRDefault="000F5EA3" w:rsidP="000F5EA3">
      <w:pPr>
        <w:pBdr>
          <w:bottom w:val="single" w:sz="4" w:space="31" w:color="FFFFFF"/>
        </w:pBdr>
        <w:tabs>
          <w:tab w:val="left" w:pos="9781"/>
        </w:tabs>
        <w:spacing w:after="0" w:line="312" w:lineRule="auto"/>
        <w:ind w:firstLine="709"/>
        <w:jc w:val="both"/>
        <w:rPr>
          <w:rFonts w:ascii="Times New Roman" w:hAnsi="Times New Roman"/>
          <w:sz w:val="28"/>
          <w:szCs w:val="28"/>
        </w:rPr>
      </w:pPr>
      <w:r w:rsidRPr="003C42D5">
        <w:rPr>
          <w:rFonts w:ascii="Times New Roman" w:hAnsi="Times New Roman"/>
          <w:sz w:val="28"/>
          <w:szCs w:val="28"/>
        </w:rPr>
        <w:t xml:space="preserve">В рамках заключенного соглашения о сотрудничестве между ФКУ УИИ УФСИН России по Республике Бурятия и региональным отделением НРА осуществляются рейды, </w:t>
      </w:r>
      <w:r w:rsidR="003C42D5" w:rsidRPr="003C42D5">
        <w:rPr>
          <w:rFonts w:ascii="Times New Roman" w:hAnsi="Times New Roman"/>
          <w:sz w:val="28"/>
          <w:szCs w:val="28"/>
        </w:rPr>
        <w:t>проверки</w:t>
      </w:r>
      <w:r w:rsidRPr="003C42D5">
        <w:rPr>
          <w:rFonts w:ascii="Times New Roman" w:hAnsi="Times New Roman"/>
          <w:sz w:val="28"/>
          <w:szCs w:val="28"/>
        </w:rPr>
        <w:t xml:space="preserve"> по месту жительства несовершеннолетних осужденных без изоляции от общества, а также осужденных с отсрочкой отбывания наказания, в ходе которых проверяются условия проживания и воспитания несовершеннолетних детей, с законными представителями подростков проводятся профилактические беседы о недопущении злоупотребления алкогольными напитками и уклонения от исполнения родительских обязанностей, о необходимости ведения здорового образа жизни, а также об укреплении семейных традиций и ценностей. </w:t>
      </w:r>
    </w:p>
    <w:p w14:paraId="2DE066E1" w14:textId="77777777" w:rsidR="008D393E" w:rsidRDefault="000F5EA3" w:rsidP="000F5EA3">
      <w:pPr>
        <w:pBdr>
          <w:bottom w:val="single" w:sz="4" w:space="31" w:color="FFFFFF"/>
        </w:pBdr>
        <w:tabs>
          <w:tab w:val="left" w:pos="9781"/>
        </w:tabs>
        <w:spacing w:after="0" w:line="312" w:lineRule="auto"/>
        <w:ind w:firstLine="709"/>
        <w:jc w:val="both"/>
        <w:rPr>
          <w:rFonts w:ascii="Times New Roman" w:hAnsi="Times New Roman"/>
          <w:sz w:val="28"/>
          <w:szCs w:val="28"/>
        </w:rPr>
      </w:pPr>
      <w:r w:rsidRPr="003C42D5">
        <w:rPr>
          <w:rFonts w:ascii="Times New Roman" w:hAnsi="Times New Roman"/>
          <w:sz w:val="28"/>
          <w:szCs w:val="28"/>
        </w:rPr>
        <w:t>В текущем году продолжена реализация программы профилактической работы с родителями, имеющими детей – несовершеннолетних правонарушителей, подвергшихся наказанию, не свя</w:t>
      </w:r>
      <w:r w:rsidR="003C42D5" w:rsidRPr="003C42D5">
        <w:rPr>
          <w:rFonts w:ascii="Times New Roman" w:hAnsi="Times New Roman"/>
          <w:sz w:val="28"/>
          <w:szCs w:val="28"/>
        </w:rPr>
        <w:t>занному с изоляцией от общества, ц</w:t>
      </w:r>
      <w:r w:rsidRPr="003C42D5">
        <w:rPr>
          <w:rFonts w:ascii="Times New Roman" w:hAnsi="Times New Roman"/>
          <w:sz w:val="28"/>
          <w:szCs w:val="28"/>
        </w:rPr>
        <w:t xml:space="preserve">елью </w:t>
      </w:r>
      <w:r w:rsidR="003C42D5" w:rsidRPr="003C42D5">
        <w:rPr>
          <w:rFonts w:ascii="Times New Roman" w:hAnsi="Times New Roman"/>
          <w:sz w:val="28"/>
          <w:szCs w:val="28"/>
        </w:rPr>
        <w:t>которой</w:t>
      </w:r>
      <w:r w:rsidRPr="003C42D5">
        <w:rPr>
          <w:rFonts w:ascii="Times New Roman" w:hAnsi="Times New Roman"/>
          <w:sz w:val="28"/>
          <w:szCs w:val="28"/>
        </w:rPr>
        <w:t xml:space="preserve"> является разработка практических рекомендаций по проведению профилактической работы с родителями осужденных подростков, способствующей предупреждению совершения ими повторных преступлений через создание условий для развития личности подростка, развитие ценностно-смысловой сферы и принятия на себя ответственности за свою жизнь.</w:t>
      </w:r>
    </w:p>
    <w:p w14:paraId="14D799BC" w14:textId="77777777" w:rsidR="001E7374" w:rsidRPr="001E7374" w:rsidRDefault="001E7374" w:rsidP="001E7374">
      <w:pPr>
        <w:pBdr>
          <w:bottom w:val="single" w:sz="4" w:space="31" w:color="FFFFFF"/>
        </w:pBdr>
        <w:tabs>
          <w:tab w:val="left" w:pos="9781"/>
        </w:tabs>
        <w:spacing w:after="0" w:line="312" w:lineRule="auto"/>
        <w:ind w:firstLine="709"/>
        <w:jc w:val="both"/>
        <w:rPr>
          <w:rFonts w:ascii="Times New Roman" w:hAnsi="Times New Roman"/>
          <w:sz w:val="28"/>
          <w:szCs w:val="28"/>
          <w:highlight w:val="yellow"/>
        </w:rPr>
      </w:pPr>
    </w:p>
    <w:p w14:paraId="2E318C87" w14:textId="77777777" w:rsidR="00D03A4F" w:rsidRPr="00D03A4F" w:rsidRDefault="00D03A4F" w:rsidP="00D03A4F">
      <w:pPr>
        <w:spacing w:after="0"/>
        <w:ind w:firstLine="709"/>
        <w:jc w:val="both"/>
        <w:rPr>
          <w:rFonts w:ascii="Times New Roman" w:eastAsia="Times New Roman" w:hAnsi="Times New Roman" w:cs="Times New Roman"/>
          <w:b/>
          <w:sz w:val="28"/>
          <w:szCs w:val="28"/>
          <w:lang w:eastAsia="ru-RU"/>
        </w:rPr>
        <w:sectPr w:rsidR="00D03A4F" w:rsidRPr="00D03A4F" w:rsidSect="005430C5">
          <w:pgSz w:w="11906" w:h="16838"/>
          <w:pgMar w:top="1134" w:right="567" w:bottom="1134" w:left="1134" w:header="708" w:footer="708" w:gutter="0"/>
          <w:cols w:space="708"/>
          <w:docGrid w:linePitch="360"/>
        </w:sectPr>
      </w:pPr>
    </w:p>
    <w:p w14:paraId="3DE8D89B" w14:textId="77777777" w:rsidR="00D03A4F" w:rsidRPr="00D03A4F" w:rsidRDefault="00D03A4F" w:rsidP="00D03A4F">
      <w:pPr>
        <w:tabs>
          <w:tab w:val="left" w:pos="7740"/>
        </w:tabs>
        <w:spacing w:after="240" w:line="312" w:lineRule="auto"/>
        <w:ind w:firstLine="709"/>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14. КОНСОЛИДИРОВАННЫЙ БЮДЖЕТ В ИНТЕРЕСАХ ДЕТЕЙ</w:t>
      </w:r>
    </w:p>
    <w:p w14:paraId="28CA89AD" w14:textId="77777777" w:rsidR="00D03A4F" w:rsidRPr="00B87CDB" w:rsidRDefault="00D03A4F" w:rsidP="007219E9">
      <w:pPr>
        <w:spacing w:after="0" w:line="312" w:lineRule="auto"/>
        <w:ind w:firstLine="709"/>
        <w:jc w:val="both"/>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Информация о расходах за счет средств консолидированного бюджета Российской Федерации и бюджетов государственных внебюджетных фондов Российской Федерации на государс</w:t>
      </w:r>
      <w:r w:rsidR="00832765">
        <w:rPr>
          <w:rFonts w:ascii="Times New Roman" w:eastAsia="Times New Roman" w:hAnsi="Times New Roman" w:cs="Times New Roman"/>
          <w:sz w:val="28"/>
          <w:szCs w:val="28"/>
          <w:lang w:eastAsia="ru-RU"/>
        </w:rPr>
        <w:t xml:space="preserve">твенную поддержку семьи и детей </w:t>
      </w:r>
      <w:r w:rsidRPr="00B87CDB">
        <w:rPr>
          <w:rFonts w:ascii="Times New Roman" w:eastAsia="Times New Roman" w:hAnsi="Times New Roman" w:cs="Times New Roman"/>
          <w:sz w:val="28"/>
          <w:szCs w:val="28"/>
          <w:lang w:eastAsia="ru-RU"/>
        </w:rPr>
        <w:t>в 20</w:t>
      </w:r>
      <w:r w:rsidR="00B87CDB" w:rsidRPr="00B87CDB">
        <w:rPr>
          <w:rFonts w:ascii="Times New Roman" w:eastAsia="Times New Roman" w:hAnsi="Times New Roman" w:cs="Times New Roman"/>
          <w:sz w:val="28"/>
          <w:szCs w:val="28"/>
          <w:lang w:eastAsia="ru-RU"/>
        </w:rPr>
        <w:t>2</w:t>
      </w:r>
      <w:r w:rsidR="00911C21">
        <w:rPr>
          <w:rFonts w:ascii="Times New Roman" w:eastAsia="Times New Roman" w:hAnsi="Times New Roman" w:cs="Times New Roman"/>
          <w:sz w:val="28"/>
          <w:szCs w:val="28"/>
          <w:lang w:eastAsia="ru-RU"/>
        </w:rPr>
        <w:t>1</w:t>
      </w:r>
      <w:r w:rsidRPr="00B87CDB">
        <w:rPr>
          <w:rFonts w:ascii="Times New Roman" w:eastAsia="Times New Roman" w:hAnsi="Times New Roman" w:cs="Times New Roman"/>
          <w:sz w:val="28"/>
          <w:szCs w:val="28"/>
          <w:lang w:eastAsia="ru-RU"/>
        </w:rPr>
        <w:t xml:space="preserve"> г</w:t>
      </w:r>
      <w:r w:rsidR="0072592D">
        <w:rPr>
          <w:rFonts w:ascii="Times New Roman" w:eastAsia="Times New Roman" w:hAnsi="Times New Roman" w:cs="Times New Roman"/>
          <w:sz w:val="28"/>
          <w:szCs w:val="28"/>
          <w:lang w:eastAsia="ru-RU"/>
        </w:rPr>
        <w:t>.</w:t>
      </w:r>
      <w:r w:rsidRPr="00B87CDB">
        <w:rPr>
          <w:rFonts w:ascii="Times New Roman" w:eastAsia="Times New Roman" w:hAnsi="Times New Roman" w:cs="Times New Roman"/>
          <w:sz w:val="28"/>
          <w:szCs w:val="28"/>
          <w:lang w:eastAsia="ru-RU"/>
        </w:rPr>
        <w:t xml:space="preserve"> представлена в таблице.</w:t>
      </w:r>
    </w:p>
    <w:p w14:paraId="7D1083BE" w14:textId="77777777" w:rsidR="00D03A4F" w:rsidRPr="00B87CDB" w:rsidRDefault="00D03A4F" w:rsidP="00D03A4F">
      <w:pPr>
        <w:spacing w:after="0" w:line="240" w:lineRule="auto"/>
        <w:ind w:firstLine="709"/>
        <w:jc w:val="both"/>
        <w:rPr>
          <w:rFonts w:ascii="Times New Roman" w:eastAsia="Times New Roman" w:hAnsi="Times New Roman" w:cs="Times New Roman"/>
          <w:sz w:val="28"/>
          <w:szCs w:val="28"/>
          <w:lang w:eastAsia="ru-RU"/>
        </w:rPr>
      </w:pPr>
    </w:p>
    <w:tbl>
      <w:tblPr>
        <w:tblW w:w="9865" w:type="dxa"/>
        <w:tblInd w:w="93" w:type="dxa"/>
        <w:tblLook w:val="04A0" w:firstRow="1" w:lastRow="0" w:firstColumn="1" w:lastColumn="0" w:noHBand="0" w:noVBand="1"/>
      </w:tblPr>
      <w:tblGrid>
        <w:gridCol w:w="594"/>
        <w:gridCol w:w="7672"/>
        <w:gridCol w:w="1599"/>
      </w:tblGrid>
      <w:tr w:rsidR="00D03A4F" w:rsidRPr="00B87CDB" w14:paraId="7273DC24" w14:textId="77777777" w:rsidTr="006D094E">
        <w:trPr>
          <w:trHeight w:val="900"/>
        </w:trPr>
        <w:tc>
          <w:tcPr>
            <w:tcW w:w="594" w:type="dxa"/>
            <w:tcBorders>
              <w:top w:val="single" w:sz="4" w:space="0" w:color="auto"/>
              <w:left w:val="single" w:sz="4" w:space="0" w:color="auto"/>
              <w:bottom w:val="single" w:sz="4" w:space="0" w:color="auto"/>
              <w:right w:val="single" w:sz="4" w:space="0" w:color="auto"/>
            </w:tcBorders>
            <w:vAlign w:val="center"/>
            <w:hideMark/>
          </w:tcPr>
          <w:p w14:paraId="7D9AFE50" w14:textId="77777777" w:rsidR="00D03A4F" w:rsidRPr="00B87CDB" w:rsidRDefault="00D03A4F" w:rsidP="00D03A4F">
            <w:pPr>
              <w:spacing w:after="0" w:line="240" w:lineRule="auto"/>
              <w:jc w:val="center"/>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 п/п</w:t>
            </w:r>
          </w:p>
        </w:tc>
        <w:tc>
          <w:tcPr>
            <w:tcW w:w="7672" w:type="dxa"/>
            <w:tcBorders>
              <w:top w:val="single" w:sz="4" w:space="0" w:color="auto"/>
              <w:left w:val="nil"/>
              <w:bottom w:val="single" w:sz="4" w:space="0" w:color="auto"/>
              <w:right w:val="single" w:sz="4" w:space="0" w:color="auto"/>
            </w:tcBorders>
            <w:vAlign w:val="center"/>
            <w:hideMark/>
          </w:tcPr>
          <w:p w14:paraId="3E1B51A7" w14:textId="77777777" w:rsidR="00D03A4F" w:rsidRPr="00B87CDB" w:rsidRDefault="00D03A4F" w:rsidP="00D03A4F">
            <w:pPr>
              <w:spacing w:after="0" w:line="240" w:lineRule="auto"/>
              <w:jc w:val="center"/>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Наименование</w:t>
            </w:r>
          </w:p>
        </w:tc>
        <w:tc>
          <w:tcPr>
            <w:tcW w:w="1599" w:type="dxa"/>
            <w:tcBorders>
              <w:top w:val="single" w:sz="4" w:space="0" w:color="auto"/>
              <w:left w:val="nil"/>
              <w:bottom w:val="single" w:sz="4" w:space="0" w:color="auto"/>
              <w:right w:val="single" w:sz="4" w:space="0" w:color="auto"/>
            </w:tcBorders>
            <w:vAlign w:val="center"/>
            <w:hideMark/>
          </w:tcPr>
          <w:p w14:paraId="3918409F" w14:textId="77777777" w:rsidR="00D03A4F" w:rsidRPr="00B87CDB" w:rsidRDefault="00D03A4F" w:rsidP="00911C21">
            <w:pPr>
              <w:spacing w:after="0" w:line="240" w:lineRule="auto"/>
              <w:jc w:val="center"/>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Сумма в 20</w:t>
            </w:r>
            <w:r w:rsidR="00B87CDB" w:rsidRPr="00B87CDB">
              <w:rPr>
                <w:rFonts w:ascii="Times New Roman" w:eastAsia="Times New Roman" w:hAnsi="Times New Roman" w:cs="Times New Roman"/>
                <w:sz w:val="28"/>
                <w:szCs w:val="28"/>
                <w:lang w:eastAsia="ru-RU"/>
              </w:rPr>
              <w:t>2</w:t>
            </w:r>
            <w:r w:rsidR="00911C21">
              <w:rPr>
                <w:rFonts w:ascii="Times New Roman" w:eastAsia="Times New Roman" w:hAnsi="Times New Roman" w:cs="Times New Roman"/>
                <w:sz w:val="28"/>
                <w:szCs w:val="28"/>
                <w:lang w:eastAsia="ru-RU"/>
              </w:rPr>
              <w:t>1</w:t>
            </w:r>
            <w:r w:rsidR="0030103D">
              <w:rPr>
                <w:rFonts w:ascii="Times New Roman" w:eastAsia="Times New Roman" w:hAnsi="Times New Roman" w:cs="Times New Roman"/>
                <w:sz w:val="28"/>
                <w:szCs w:val="28"/>
                <w:lang w:eastAsia="ru-RU"/>
              </w:rPr>
              <w:t xml:space="preserve"> г</w:t>
            </w:r>
            <w:r w:rsidR="00911C21">
              <w:rPr>
                <w:rFonts w:ascii="Times New Roman" w:eastAsia="Times New Roman" w:hAnsi="Times New Roman" w:cs="Times New Roman"/>
                <w:sz w:val="28"/>
                <w:szCs w:val="28"/>
                <w:lang w:eastAsia="ru-RU"/>
              </w:rPr>
              <w:t>.</w:t>
            </w:r>
            <w:r w:rsidR="0030103D">
              <w:rPr>
                <w:rFonts w:ascii="Times New Roman" w:eastAsia="Times New Roman" w:hAnsi="Times New Roman" w:cs="Times New Roman"/>
                <w:sz w:val="28"/>
                <w:szCs w:val="28"/>
                <w:lang w:eastAsia="ru-RU"/>
              </w:rPr>
              <w:t xml:space="preserve">, </w:t>
            </w:r>
            <w:r w:rsidR="0030103D">
              <w:rPr>
                <w:rFonts w:ascii="Times New Roman" w:eastAsia="Times New Roman" w:hAnsi="Times New Roman" w:cs="Times New Roman"/>
                <w:sz w:val="28"/>
                <w:szCs w:val="28"/>
                <w:lang w:eastAsia="ru-RU"/>
              </w:rPr>
              <w:br/>
              <w:t>млн</w:t>
            </w:r>
            <w:r w:rsidRPr="00B87CDB">
              <w:rPr>
                <w:rFonts w:ascii="Times New Roman" w:eastAsia="Times New Roman" w:hAnsi="Times New Roman" w:cs="Times New Roman"/>
                <w:sz w:val="28"/>
                <w:szCs w:val="28"/>
                <w:lang w:eastAsia="ru-RU"/>
              </w:rPr>
              <w:t xml:space="preserve"> рублей</w:t>
            </w:r>
          </w:p>
        </w:tc>
      </w:tr>
      <w:tr w:rsidR="00D03A4F" w:rsidRPr="00B87CDB" w14:paraId="0BB4A458" w14:textId="77777777" w:rsidTr="006D094E">
        <w:trPr>
          <w:trHeight w:val="240"/>
        </w:trPr>
        <w:tc>
          <w:tcPr>
            <w:tcW w:w="594" w:type="dxa"/>
            <w:tcBorders>
              <w:top w:val="nil"/>
              <w:left w:val="single" w:sz="4" w:space="0" w:color="auto"/>
              <w:bottom w:val="single" w:sz="4" w:space="0" w:color="auto"/>
              <w:right w:val="single" w:sz="4" w:space="0" w:color="auto"/>
            </w:tcBorders>
            <w:vAlign w:val="center"/>
            <w:hideMark/>
          </w:tcPr>
          <w:p w14:paraId="61D13CC0" w14:textId="77777777" w:rsidR="00D03A4F" w:rsidRPr="00B87CDB" w:rsidRDefault="00D03A4F" w:rsidP="00D03A4F">
            <w:pPr>
              <w:spacing w:after="0" w:line="240" w:lineRule="auto"/>
              <w:jc w:val="center"/>
              <w:rPr>
                <w:rFonts w:ascii="Times New Roman" w:eastAsia="Times New Roman" w:hAnsi="Times New Roman" w:cs="Times New Roman"/>
                <w:sz w:val="18"/>
                <w:szCs w:val="18"/>
                <w:lang w:eastAsia="ru-RU"/>
              </w:rPr>
            </w:pPr>
            <w:r w:rsidRPr="00B87CDB">
              <w:rPr>
                <w:rFonts w:ascii="Times New Roman" w:eastAsia="Times New Roman" w:hAnsi="Times New Roman" w:cs="Times New Roman"/>
                <w:sz w:val="18"/>
                <w:szCs w:val="18"/>
                <w:lang w:eastAsia="ru-RU"/>
              </w:rPr>
              <w:t> </w:t>
            </w:r>
          </w:p>
        </w:tc>
        <w:tc>
          <w:tcPr>
            <w:tcW w:w="7672" w:type="dxa"/>
            <w:tcBorders>
              <w:top w:val="nil"/>
              <w:left w:val="nil"/>
              <w:bottom w:val="single" w:sz="4" w:space="0" w:color="auto"/>
              <w:right w:val="single" w:sz="4" w:space="0" w:color="auto"/>
            </w:tcBorders>
            <w:vAlign w:val="center"/>
            <w:hideMark/>
          </w:tcPr>
          <w:p w14:paraId="33146C57" w14:textId="77777777" w:rsidR="00D03A4F" w:rsidRPr="00B87CDB" w:rsidRDefault="00D03A4F" w:rsidP="00D03A4F">
            <w:pPr>
              <w:spacing w:after="0" w:line="240" w:lineRule="auto"/>
              <w:jc w:val="center"/>
              <w:rPr>
                <w:rFonts w:ascii="Times New Roman" w:eastAsia="Times New Roman" w:hAnsi="Times New Roman" w:cs="Times New Roman"/>
                <w:sz w:val="18"/>
                <w:szCs w:val="18"/>
                <w:lang w:eastAsia="ru-RU"/>
              </w:rPr>
            </w:pPr>
            <w:r w:rsidRPr="00B87CDB">
              <w:rPr>
                <w:rFonts w:ascii="Times New Roman" w:eastAsia="Times New Roman" w:hAnsi="Times New Roman" w:cs="Times New Roman"/>
                <w:sz w:val="18"/>
                <w:szCs w:val="18"/>
                <w:lang w:eastAsia="ru-RU"/>
              </w:rPr>
              <w:t>1</w:t>
            </w:r>
          </w:p>
        </w:tc>
        <w:tc>
          <w:tcPr>
            <w:tcW w:w="1599" w:type="dxa"/>
            <w:tcBorders>
              <w:top w:val="nil"/>
              <w:left w:val="nil"/>
              <w:bottom w:val="single" w:sz="4" w:space="0" w:color="auto"/>
              <w:right w:val="single" w:sz="4" w:space="0" w:color="auto"/>
            </w:tcBorders>
            <w:vAlign w:val="center"/>
            <w:hideMark/>
          </w:tcPr>
          <w:p w14:paraId="318D103C" w14:textId="77777777" w:rsidR="00D03A4F" w:rsidRPr="00B87CDB" w:rsidRDefault="00D03A4F" w:rsidP="00D03A4F">
            <w:pPr>
              <w:spacing w:after="0" w:line="240" w:lineRule="auto"/>
              <w:jc w:val="center"/>
              <w:rPr>
                <w:rFonts w:ascii="Times New Roman" w:eastAsia="Times New Roman" w:hAnsi="Times New Roman" w:cs="Times New Roman"/>
                <w:sz w:val="18"/>
                <w:szCs w:val="18"/>
                <w:lang w:eastAsia="ru-RU"/>
              </w:rPr>
            </w:pPr>
            <w:r w:rsidRPr="00B87CDB">
              <w:rPr>
                <w:rFonts w:ascii="Times New Roman" w:eastAsia="Times New Roman" w:hAnsi="Times New Roman" w:cs="Times New Roman"/>
                <w:sz w:val="18"/>
                <w:szCs w:val="18"/>
                <w:lang w:eastAsia="ru-RU"/>
              </w:rPr>
              <w:t>2</w:t>
            </w:r>
          </w:p>
        </w:tc>
      </w:tr>
      <w:tr w:rsidR="00D03A4F" w:rsidRPr="00B87CDB" w14:paraId="487EBB89" w14:textId="77777777" w:rsidTr="006D094E">
        <w:trPr>
          <w:trHeight w:val="285"/>
        </w:trPr>
        <w:tc>
          <w:tcPr>
            <w:tcW w:w="594" w:type="dxa"/>
            <w:tcBorders>
              <w:top w:val="nil"/>
              <w:left w:val="single" w:sz="4" w:space="0" w:color="auto"/>
              <w:bottom w:val="single" w:sz="4" w:space="0" w:color="auto"/>
              <w:right w:val="single" w:sz="4" w:space="0" w:color="auto"/>
            </w:tcBorders>
            <w:noWrap/>
            <w:vAlign w:val="bottom"/>
            <w:hideMark/>
          </w:tcPr>
          <w:p w14:paraId="2C116F94" w14:textId="77777777" w:rsidR="00D03A4F" w:rsidRPr="00B87CDB" w:rsidRDefault="00D03A4F" w:rsidP="00D03A4F">
            <w:pPr>
              <w:spacing w:after="0" w:line="240" w:lineRule="auto"/>
              <w:jc w:val="center"/>
              <w:rPr>
                <w:rFonts w:ascii="Times New Roman" w:eastAsia="Times New Roman" w:hAnsi="Times New Roman" w:cs="Times New Roman"/>
                <w:b/>
                <w:bCs/>
                <w:sz w:val="28"/>
                <w:szCs w:val="28"/>
                <w:lang w:eastAsia="ru-RU"/>
              </w:rPr>
            </w:pPr>
          </w:p>
        </w:tc>
        <w:tc>
          <w:tcPr>
            <w:tcW w:w="7672" w:type="dxa"/>
            <w:tcBorders>
              <w:top w:val="nil"/>
              <w:left w:val="nil"/>
              <w:bottom w:val="single" w:sz="4" w:space="0" w:color="auto"/>
              <w:right w:val="single" w:sz="4" w:space="0" w:color="auto"/>
            </w:tcBorders>
            <w:vAlign w:val="bottom"/>
            <w:hideMark/>
          </w:tcPr>
          <w:p w14:paraId="33F24FAB" w14:textId="77777777" w:rsidR="00D03A4F" w:rsidRPr="00B87CDB" w:rsidRDefault="00D03A4F" w:rsidP="00D03A4F">
            <w:pPr>
              <w:spacing w:after="0" w:line="240" w:lineRule="auto"/>
              <w:rPr>
                <w:rFonts w:ascii="Times New Roman" w:eastAsia="Times New Roman" w:hAnsi="Times New Roman" w:cs="Times New Roman"/>
                <w:b/>
                <w:bCs/>
                <w:sz w:val="28"/>
                <w:szCs w:val="28"/>
                <w:lang w:eastAsia="ru-RU"/>
              </w:rPr>
            </w:pPr>
            <w:r w:rsidRPr="00B87CDB">
              <w:rPr>
                <w:rFonts w:ascii="Times New Roman" w:eastAsia="Times New Roman" w:hAnsi="Times New Roman" w:cs="Times New Roman"/>
                <w:b/>
                <w:bCs/>
                <w:sz w:val="28"/>
                <w:szCs w:val="28"/>
                <w:lang w:eastAsia="ru-RU"/>
              </w:rPr>
              <w:t>Всего</w:t>
            </w:r>
          </w:p>
        </w:tc>
        <w:tc>
          <w:tcPr>
            <w:tcW w:w="1599" w:type="dxa"/>
            <w:tcBorders>
              <w:top w:val="nil"/>
              <w:left w:val="nil"/>
              <w:bottom w:val="single" w:sz="4" w:space="0" w:color="auto"/>
              <w:right w:val="single" w:sz="4" w:space="0" w:color="auto"/>
            </w:tcBorders>
            <w:noWrap/>
            <w:vAlign w:val="bottom"/>
            <w:hideMark/>
          </w:tcPr>
          <w:p w14:paraId="71E710DC" w14:textId="77777777" w:rsidR="00D03A4F" w:rsidRPr="00B87CDB" w:rsidRDefault="00B87CDB" w:rsidP="00911C21">
            <w:pPr>
              <w:spacing w:after="0" w:line="240" w:lineRule="auto"/>
              <w:jc w:val="right"/>
              <w:rPr>
                <w:rFonts w:ascii="Times New Roman" w:eastAsia="Times New Roman" w:hAnsi="Times New Roman" w:cs="Times New Roman"/>
                <w:b/>
                <w:bCs/>
                <w:sz w:val="28"/>
                <w:szCs w:val="24"/>
                <w:lang w:eastAsia="ru-RU"/>
              </w:rPr>
            </w:pPr>
            <w:r w:rsidRPr="00B87CDB">
              <w:rPr>
                <w:rFonts w:ascii="Times New Roman" w:eastAsia="Times New Roman" w:hAnsi="Times New Roman" w:cs="Times New Roman"/>
                <w:b/>
                <w:bCs/>
                <w:sz w:val="28"/>
                <w:lang w:eastAsia="ru-RU"/>
              </w:rPr>
              <w:t>6</w:t>
            </w:r>
            <w:r w:rsidR="00D03A4F" w:rsidRPr="00B87CDB">
              <w:rPr>
                <w:rFonts w:ascii="Times New Roman" w:eastAsia="Times New Roman" w:hAnsi="Times New Roman" w:cs="Times New Roman"/>
                <w:b/>
                <w:bCs/>
                <w:sz w:val="28"/>
                <w:lang w:eastAsia="ru-RU"/>
              </w:rPr>
              <w:t> </w:t>
            </w:r>
            <w:r w:rsidR="00911C21">
              <w:rPr>
                <w:rFonts w:ascii="Times New Roman" w:eastAsia="Times New Roman" w:hAnsi="Times New Roman" w:cs="Times New Roman"/>
                <w:b/>
                <w:bCs/>
                <w:sz w:val="28"/>
                <w:lang w:eastAsia="ru-RU"/>
              </w:rPr>
              <w:t>303</w:t>
            </w:r>
            <w:r w:rsidR="00D03A4F" w:rsidRPr="00B87CDB">
              <w:rPr>
                <w:rFonts w:ascii="Times New Roman" w:eastAsia="Times New Roman" w:hAnsi="Times New Roman" w:cs="Times New Roman"/>
                <w:b/>
                <w:bCs/>
                <w:sz w:val="28"/>
                <w:lang w:eastAsia="ru-RU"/>
              </w:rPr>
              <w:t> </w:t>
            </w:r>
            <w:r w:rsidR="00911C21">
              <w:rPr>
                <w:rFonts w:ascii="Times New Roman" w:eastAsia="Times New Roman" w:hAnsi="Times New Roman" w:cs="Times New Roman"/>
                <w:b/>
                <w:bCs/>
                <w:sz w:val="28"/>
                <w:lang w:eastAsia="ru-RU"/>
              </w:rPr>
              <w:t>141</w:t>
            </w:r>
            <w:r w:rsidR="00D03A4F" w:rsidRPr="00B87CDB">
              <w:rPr>
                <w:rFonts w:ascii="Times New Roman" w:eastAsia="Times New Roman" w:hAnsi="Times New Roman" w:cs="Times New Roman"/>
                <w:b/>
                <w:bCs/>
                <w:sz w:val="28"/>
                <w:lang w:eastAsia="ru-RU"/>
              </w:rPr>
              <w:t>,</w:t>
            </w:r>
            <w:r w:rsidR="00911C21">
              <w:rPr>
                <w:rFonts w:ascii="Times New Roman" w:eastAsia="Times New Roman" w:hAnsi="Times New Roman" w:cs="Times New Roman"/>
                <w:b/>
                <w:bCs/>
                <w:sz w:val="28"/>
                <w:lang w:eastAsia="ru-RU"/>
              </w:rPr>
              <w:t>9</w:t>
            </w:r>
          </w:p>
        </w:tc>
      </w:tr>
      <w:tr w:rsidR="00D03A4F" w:rsidRPr="00B87CDB" w14:paraId="10198B1D" w14:textId="77777777" w:rsidTr="006D094E">
        <w:trPr>
          <w:trHeight w:val="300"/>
        </w:trPr>
        <w:tc>
          <w:tcPr>
            <w:tcW w:w="594" w:type="dxa"/>
            <w:tcBorders>
              <w:top w:val="nil"/>
              <w:left w:val="single" w:sz="4" w:space="0" w:color="auto"/>
              <w:bottom w:val="single" w:sz="4" w:space="0" w:color="auto"/>
              <w:right w:val="single" w:sz="4" w:space="0" w:color="auto"/>
            </w:tcBorders>
            <w:noWrap/>
            <w:vAlign w:val="bottom"/>
            <w:hideMark/>
          </w:tcPr>
          <w:p w14:paraId="40ED5B19" w14:textId="77777777" w:rsidR="00D03A4F" w:rsidRPr="00B87CDB" w:rsidRDefault="00D03A4F" w:rsidP="00D03A4F">
            <w:pPr>
              <w:spacing w:after="0" w:line="240" w:lineRule="auto"/>
              <w:jc w:val="center"/>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1.</w:t>
            </w:r>
          </w:p>
        </w:tc>
        <w:tc>
          <w:tcPr>
            <w:tcW w:w="7672" w:type="dxa"/>
            <w:tcBorders>
              <w:top w:val="nil"/>
              <w:left w:val="nil"/>
              <w:bottom w:val="single" w:sz="4" w:space="0" w:color="auto"/>
              <w:right w:val="single" w:sz="4" w:space="0" w:color="auto"/>
            </w:tcBorders>
            <w:vAlign w:val="bottom"/>
            <w:hideMark/>
          </w:tcPr>
          <w:p w14:paraId="6CCCB03C" w14:textId="77777777" w:rsidR="00D03A4F" w:rsidRPr="00B87CDB" w:rsidRDefault="00D03A4F" w:rsidP="00D03A4F">
            <w:pPr>
              <w:spacing w:after="0" w:line="240" w:lineRule="auto"/>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 xml:space="preserve">Расходы федерального бюджета </w:t>
            </w:r>
          </w:p>
        </w:tc>
        <w:tc>
          <w:tcPr>
            <w:tcW w:w="1599" w:type="dxa"/>
            <w:tcBorders>
              <w:top w:val="nil"/>
              <w:left w:val="nil"/>
              <w:bottom w:val="single" w:sz="4" w:space="0" w:color="auto"/>
              <w:right w:val="single" w:sz="4" w:space="0" w:color="auto"/>
            </w:tcBorders>
            <w:noWrap/>
            <w:vAlign w:val="bottom"/>
            <w:hideMark/>
          </w:tcPr>
          <w:p w14:paraId="0391EC0E" w14:textId="77777777" w:rsidR="00D03A4F" w:rsidRPr="00B87CDB" w:rsidRDefault="00B87CDB" w:rsidP="00911C21">
            <w:pPr>
              <w:spacing w:after="0" w:line="240" w:lineRule="auto"/>
              <w:jc w:val="right"/>
              <w:rPr>
                <w:rFonts w:ascii="Times New Roman" w:eastAsia="Times New Roman" w:hAnsi="Times New Roman" w:cs="Times New Roman"/>
                <w:sz w:val="28"/>
                <w:szCs w:val="24"/>
                <w:lang w:eastAsia="ru-RU"/>
              </w:rPr>
            </w:pPr>
            <w:r w:rsidRPr="00B87CDB">
              <w:rPr>
                <w:rFonts w:ascii="Times New Roman" w:eastAsia="Times New Roman" w:hAnsi="Times New Roman" w:cs="Times New Roman"/>
                <w:sz w:val="28"/>
                <w:szCs w:val="24"/>
                <w:lang w:eastAsia="ru-RU"/>
              </w:rPr>
              <w:t xml:space="preserve">1 </w:t>
            </w:r>
            <w:r w:rsidR="00911C21">
              <w:rPr>
                <w:rFonts w:ascii="Times New Roman" w:eastAsia="Times New Roman" w:hAnsi="Times New Roman" w:cs="Times New Roman"/>
                <w:sz w:val="28"/>
                <w:szCs w:val="24"/>
                <w:lang w:eastAsia="ru-RU"/>
              </w:rPr>
              <w:t>692</w:t>
            </w:r>
            <w:r w:rsidR="00D03A4F" w:rsidRPr="00B87CDB">
              <w:rPr>
                <w:rFonts w:ascii="Times New Roman" w:eastAsia="Times New Roman" w:hAnsi="Times New Roman" w:cs="Times New Roman"/>
                <w:sz w:val="28"/>
                <w:szCs w:val="24"/>
                <w:lang w:eastAsia="ru-RU"/>
              </w:rPr>
              <w:t> </w:t>
            </w:r>
            <w:r w:rsidR="00911C21">
              <w:rPr>
                <w:rFonts w:ascii="Times New Roman" w:eastAsia="Times New Roman" w:hAnsi="Times New Roman" w:cs="Times New Roman"/>
                <w:sz w:val="28"/>
                <w:szCs w:val="24"/>
                <w:lang w:eastAsia="ru-RU"/>
              </w:rPr>
              <w:t>226</w:t>
            </w:r>
            <w:r w:rsidR="00D03A4F" w:rsidRPr="00B87CDB">
              <w:rPr>
                <w:rFonts w:ascii="Times New Roman" w:eastAsia="Times New Roman" w:hAnsi="Times New Roman" w:cs="Times New Roman"/>
                <w:sz w:val="28"/>
                <w:szCs w:val="24"/>
                <w:lang w:eastAsia="ru-RU"/>
              </w:rPr>
              <w:t>,</w:t>
            </w:r>
            <w:r w:rsidR="00911C21">
              <w:rPr>
                <w:rFonts w:ascii="Times New Roman" w:eastAsia="Times New Roman" w:hAnsi="Times New Roman" w:cs="Times New Roman"/>
                <w:sz w:val="28"/>
                <w:szCs w:val="24"/>
                <w:lang w:eastAsia="ru-RU"/>
              </w:rPr>
              <w:t>6</w:t>
            </w:r>
          </w:p>
        </w:tc>
      </w:tr>
      <w:tr w:rsidR="00D03A4F" w:rsidRPr="00B87CDB" w14:paraId="467B56CE" w14:textId="77777777" w:rsidTr="006D094E">
        <w:trPr>
          <w:trHeight w:val="300"/>
        </w:trPr>
        <w:tc>
          <w:tcPr>
            <w:tcW w:w="594" w:type="dxa"/>
            <w:tcBorders>
              <w:top w:val="nil"/>
              <w:left w:val="single" w:sz="4" w:space="0" w:color="auto"/>
              <w:bottom w:val="single" w:sz="4" w:space="0" w:color="auto"/>
              <w:right w:val="single" w:sz="4" w:space="0" w:color="auto"/>
            </w:tcBorders>
            <w:noWrap/>
            <w:vAlign w:val="bottom"/>
            <w:hideMark/>
          </w:tcPr>
          <w:p w14:paraId="3EFA8996" w14:textId="77777777" w:rsidR="00D03A4F" w:rsidRPr="00B87CDB" w:rsidRDefault="00D03A4F" w:rsidP="00D03A4F">
            <w:pPr>
              <w:spacing w:after="0" w:line="240" w:lineRule="auto"/>
              <w:jc w:val="center"/>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2.</w:t>
            </w:r>
          </w:p>
        </w:tc>
        <w:tc>
          <w:tcPr>
            <w:tcW w:w="7672" w:type="dxa"/>
            <w:tcBorders>
              <w:top w:val="nil"/>
              <w:left w:val="nil"/>
              <w:bottom w:val="single" w:sz="4" w:space="0" w:color="auto"/>
              <w:right w:val="single" w:sz="4" w:space="0" w:color="auto"/>
            </w:tcBorders>
            <w:vAlign w:val="bottom"/>
            <w:hideMark/>
          </w:tcPr>
          <w:p w14:paraId="2C7D2638" w14:textId="77777777" w:rsidR="00D03A4F" w:rsidRPr="00B87CDB" w:rsidRDefault="00D03A4F" w:rsidP="00D03A4F">
            <w:pPr>
              <w:spacing w:after="0" w:line="240" w:lineRule="auto"/>
              <w:jc w:val="both"/>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Расходы бюджетов субъектов Российской Федерации*</w:t>
            </w:r>
          </w:p>
        </w:tc>
        <w:tc>
          <w:tcPr>
            <w:tcW w:w="1599" w:type="dxa"/>
            <w:tcBorders>
              <w:top w:val="nil"/>
              <w:left w:val="nil"/>
              <w:bottom w:val="single" w:sz="4" w:space="0" w:color="auto"/>
              <w:right w:val="single" w:sz="4" w:space="0" w:color="auto"/>
            </w:tcBorders>
            <w:noWrap/>
            <w:vAlign w:val="bottom"/>
            <w:hideMark/>
          </w:tcPr>
          <w:p w14:paraId="58300D4E" w14:textId="77777777" w:rsidR="00D03A4F" w:rsidRPr="00B87CDB" w:rsidRDefault="00911C21" w:rsidP="00911C21">
            <w:pPr>
              <w:spacing w:after="0"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lang w:eastAsia="ru-RU"/>
              </w:rPr>
              <w:t>4</w:t>
            </w:r>
            <w:r w:rsidR="00D03A4F" w:rsidRPr="00B87CDB">
              <w:rPr>
                <w:rFonts w:ascii="Times New Roman" w:eastAsia="Times New Roman" w:hAnsi="Times New Roman" w:cs="Times New Roman"/>
                <w:sz w:val="28"/>
                <w:lang w:eastAsia="ru-RU"/>
              </w:rPr>
              <w:t> </w:t>
            </w:r>
            <w:r>
              <w:rPr>
                <w:rFonts w:ascii="Times New Roman" w:eastAsia="Times New Roman" w:hAnsi="Times New Roman" w:cs="Times New Roman"/>
                <w:sz w:val="28"/>
                <w:lang w:eastAsia="ru-RU"/>
              </w:rPr>
              <w:t>289</w:t>
            </w:r>
            <w:r w:rsidR="00B87CDB" w:rsidRPr="00B87CDB">
              <w:rPr>
                <w:rFonts w:ascii="Times New Roman" w:eastAsia="Times New Roman" w:hAnsi="Times New Roman" w:cs="Times New Roman"/>
                <w:sz w:val="28"/>
                <w:lang w:eastAsia="ru-RU"/>
              </w:rPr>
              <w:t> 9</w:t>
            </w:r>
            <w:r>
              <w:rPr>
                <w:rFonts w:ascii="Times New Roman" w:eastAsia="Times New Roman" w:hAnsi="Times New Roman" w:cs="Times New Roman"/>
                <w:sz w:val="28"/>
                <w:lang w:eastAsia="ru-RU"/>
              </w:rPr>
              <w:t>06</w:t>
            </w:r>
            <w:r w:rsidR="00D03A4F" w:rsidRPr="00B87CDB">
              <w:rPr>
                <w:rFonts w:ascii="Times New Roman" w:eastAsia="Times New Roman" w:hAnsi="Times New Roman" w:cs="Times New Roman"/>
                <w:sz w:val="28"/>
                <w:lang w:eastAsia="ru-RU"/>
              </w:rPr>
              <w:t>,</w:t>
            </w:r>
            <w:r>
              <w:rPr>
                <w:rFonts w:ascii="Times New Roman" w:eastAsia="Times New Roman" w:hAnsi="Times New Roman" w:cs="Times New Roman"/>
                <w:sz w:val="28"/>
                <w:lang w:eastAsia="ru-RU"/>
              </w:rPr>
              <w:t>1</w:t>
            </w:r>
          </w:p>
        </w:tc>
      </w:tr>
      <w:tr w:rsidR="00D03A4F" w:rsidRPr="00B87CDB" w14:paraId="3FB9AC1D" w14:textId="77777777" w:rsidTr="006D094E">
        <w:trPr>
          <w:trHeight w:val="300"/>
        </w:trPr>
        <w:tc>
          <w:tcPr>
            <w:tcW w:w="594" w:type="dxa"/>
            <w:tcBorders>
              <w:top w:val="nil"/>
              <w:left w:val="single" w:sz="4" w:space="0" w:color="auto"/>
              <w:bottom w:val="single" w:sz="4" w:space="0" w:color="auto"/>
              <w:right w:val="single" w:sz="4" w:space="0" w:color="auto"/>
            </w:tcBorders>
            <w:noWrap/>
            <w:vAlign w:val="bottom"/>
            <w:hideMark/>
          </w:tcPr>
          <w:p w14:paraId="04BE0524" w14:textId="77777777" w:rsidR="00D03A4F" w:rsidRPr="00B87CDB" w:rsidRDefault="00D03A4F" w:rsidP="00D03A4F">
            <w:pPr>
              <w:spacing w:after="0" w:line="240" w:lineRule="auto"/>
              <w:jc w:val="center"/>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3.</w:t>
            </w:r>
          </w:p>
        </w:tc>
        <w:tc>
          <w:tcPr>
            <w:tcW w:w="7672" w:type="dxa"/>
            <w:tcBorders>
              <w:top w:val="nil"/>
              <w:left w:val="nil"/>
              <w:bottom w:val="single" w:sz="4" w:space="0" w:color="auto"/>
              <w:right w:val="single" w:sz="4" w:space="0" w:color="auto"/>
            </w:tcBorders>
            <w:vAlign w:val="bottom"/>
            <w:hideMark/>
          </w:tcPr>
          <w:p w14:paraId="08D7E390" w14:textId="77777777" w:rsidR="00D03A4F" w:rsidRPr="00B87CDB" w:rsidRDefault="00D03A4F" w:rsidP="00D03A4F">
            <w:pPr>
              <w:spacing w:after="0" w:line="240" w:lineRule="auto"/>
              <w:jc w:val="both"/>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Расходы бюджетов государственных внебюджетных фондов Российской Федерации</w:t>
            </w:r>
          </w:p>
        </w:tc>
        <w:tc>
          <w:tcPr>
            <w:tcW w:w="1599" w:type="dxa"/>
            <w:tcBorders>
              <w:top w:val="nil"/>
              <w:left w:val="nil"/>
              <w:bottom w:val="single" w:sz="4" w:space="0" w:color="auto"/>
              <w:right w:val="single" w:sz="4" w:space="0" w:color="auto"/>
            </w:tcBorders>
            <w:noWrap/>
            <w:vAlign w:val="bottom"/>
            <w:hideMark/>
          </w:tcPr>
          <w:p w14:paraId="5D41C89A" w14:textId="77777777" w:rsidR="00D03A4F" w:rsidRPr="00B87CDB" w:rsidRDefault="00D03A4F" w:rsidP="00911C21">
            <w:pPr>
              <w:spacing w:after="0" w:line="240" w:lineRule="auto"/>
              <w:jc w:val="right"/>
              <w:rPr>
                <w:rFonts w:ascii="Times New Roman" w:eastAsia="Times New Roman" w:hAnsi="Times New Roman" w:cs="Times New Roman"/>
                <w:sz w:val="28"/>
                <w:szCs w:val="24"/>
                <w:lang w:eastAsia="ru-RU"/>
              </w:rPr>
            </w:pPr>
            <w:r w:rsidRPr="00B87CDB">
              <w:rPr>
                <w:rFonts w:ascii="Times New Roman" w:eastAsia="Times New Roman" w:hAnsi="Times New Roman" w:cs="Times New Roman"/>
                <w:sz w:val="28"/>
                <w:szCs w:val="24"/>
                <w:lang w:eastAsia="ru-RU"/>
              </w:rPr>
              <w:t>3</w:t>
            </w:r>
            <w:r w:rsidR="00911C21">
              <w:rPr>
                <w:rFonts w:ascii="Times New Roman" w:eastAsia="Times New Roman" w:hAnsi="Times New Roman" w:cs="Times New Roman"/>
                <w:sz w:val="28"/>
                <w:szCs w:val="24"/>
                <w:lang w:eastAsia="ru-RU"/>
              </w:rPr>
              <w:t>21</w:t>
            </w:r>
            <w:r w:rsidRPr="00B87CDB">
              <w:rPr>
                <w:rFonts w:ascii="Times New Roman" w:eastAsia="Times New Roman" w:hAnsi="Times New Roman" w:cs="Times New Roman"/>
                <w:sz w:val="28"/>
                <w:szCs w:val="24"/>
                <w:lang w:eastAsia="ru-RU"/>
              </w:rPr>
              <w:t> </w:t>
            </w:r>
            <w:r w:rsidR="00911C21">
              <w:rPr>
                <w:rFonts w:ascii="Times New Roman" w:eastAsia="Times New Roman" w:hAnsi="Times New Roman" w:cs="Times New Roman"/>
                <w:sz w:val="28"/>
                <w:szCs w:val="24"/>
                <w:lang w:eastAsia="ru-RU"/>
              </w:rPr>
              <w:t>009</w:t>
            </w:r>
            <w:r w:rsidRPr="00B87CDB">
              <w:rPr>
                <w:rFonts w:ascii="Times New Roman" w:eastAsia="Times New Roman" w:hAnsi="Times New Roman" w:cs="Times New Roman"/>
                <w:sz w:val="28"/>
                <w:szCs w:val="24"/>
                <w:lang w:eastAsia="ru-RU"/>
              </w:rPr>
              <w:t>,</w:t>
            </w:r>
            <w:r w:rsidR="00911C21">
              <w:rPr>
                <w:rFonts w:ascii="Times New Roman" w:eastAsia="Times New Roman" w:hAnsi="Times New Roman" w:cs="Times New Roman"/>
                <w:sz w:val="28"/>
                <w:szCs w:val="24"/>
                <w:lang w:eastAsia="ru-RU"/>
              </w:rPr>
              <w:t>2</w:t>
            </w:r>
          </w:p>
        </w:tc>
      </w:tr>
      <w:tr w:rsidR="00D03A4F" w:rsidRPr="00B87CDB" w14:paraId="6E0ED01B" w14:textId="77777777" w:rsidTr="006D094E">
        <w:trPr>
          <w:trHeight w:val="915"/>
        </w:trPr>
        <w:tc>
          <w:tcPr>
            <w:tcW w:w="9865" w:type="dxa"/>
            <w:gridSpan w:val="3"/>
            <w:tcBorders>
              <w:top w:val="single" w:sz="4" w:space="0" w:color="auto"/>
              <w:left w:val="nil"/>
              <w:bottom w:val="nil"/>
              <w:right w:val="nil"/>
            </w:tcBorders>
            <w:vAlign w:val="bottom"/>
            <w:hideMark/>
          </w:tcPr>
          <w:p w14:paraId="510CAB27" w14:textId="77777777" w:rsidR="00D03A4F" w:rsidRPr="00B87CDB" w:rsidRDefault="00D03A4F" w:rsidP="00911C21">
            <w:pPr>
              <w:spacing w:after="0" w:line="240" w:lineRule="auto"/>
              <w:ind w:firstLine="709"/>
              <w:jc w:val="both"/>
              <w:rPr>
                <w:rFonts w:ascii="Times New Roman" w:eastAsia="Times New Roman" w:hAnsi="Times New Roman" w:cs="Times New Roman"/>
                <w:sz w:val="20"/>
                <w:szCs w:val="20"/>
                <w:lang w:eastAsia="ru-RU"/>
              </w:rPr>
            </w:pPr>
            <w:r w:rsidRPr="00B87CDB">
              <w:rPr>
                <w:rFonts w:ascii="Times New Roman" w:eastAsia="Times New Roman" w:hAnsi="Times New Roman" w:cs="Times New Roman"/>
                <w:sz w:val="20"/>
                <w:szCs w:val="20"/>
                <w:lang w:eastAsia="ru-RU"/>
              </w:rPr>
              <w:t xml:space="preserve">* по информации субъектов Российской Федерации, подготовленной в соответствии с запросом Минфина России от </w:t>
            </w:r>
            <w:r w:rsidR="00911C21">
              <w:rPr>
                <w:rFonts w:ascii="Times New Roman" w:eastAsia="Times New Roman" w:hAnsi="Times New Roman" w:cs="Times New Roman"/>
                <w:sz w:val="20"/>
                <w:szCs w:val="20"/>
                <w:lang w:eastAsia="ru-RU"/>
              </w:rPr>
              <w:t>5</w:t>
            </w:r>
            <w:r w:rsidRPr="00B87CDB">
              <w:rPr>
                <w:rFonts w:ascii="Times New Roman" w:eastAsia="Times New Roman" w:hAnsi="Times New Roman" w:cs="Times New Roman"/>
                <w:sz w:val="20"/>
                <w:szCs w:val="20"/>
                <w:lang w:eastAsia="ru-RU"/>
              </w:rPr>
              <w:t xml:space="preserve"> апреля 202</w:t>
            </w:r>
            <w:r w:rsidR="00911C21">
              <w:rPr>
                <w:rFonts w:ascii="Times New Roman" w:eastAsia="Times New Roman" w:hAnsi="Times New Roman" w:cs="Times New Roman"/>
                <w:sz w:val="20"/>
                <w:szCs w:val="20"/>
                <w:lang w:eastAsia="ru-RU"/>
              </w:rPr>
              <w:t>2</w:t>
            </w:r>
            <w:r w:rsidRPr="00B87CDB">
              <w:rPr>
                <w:rFonts w:ascii="Times New Roman" w:eastAsia="Times New Roman" w:hAnsi="Times New Roman" w:cs="Times New Roman"/>
                <w:sz w:val="20"/>
                <w:szCs w:val="20"/>
                <w:lang w:eastAsia="ru-RU"/>
              </w:rPr>
              <w:t xml:space="preserve"> г. № 13-04-07/1/</w:t>
            </w:r>
            <w:r w:rsidR="005C119B">
              <w:rPr>
                <w:rFonts w:ascii="Times New Roman" w:eastAsia="Times New Roman" w:hAnsi="Times New Roman" w:cs="Times New Roman"/>
                <w:sz w:val="20"/>
                <w:szCs w:val="20"/>
                <w:lang w:eastAsia="ru-RU"/>
              </w:rPr>
              <w:t>2</w:t>
            </w:r>
            <w:r w:rsidR="00911C21">
              <w:rPr>
                <w:rFonts w:ascii="Times New Roman" w:eastAsia="Times New Roman" w:hAnsi="Times New Roman" w:cs="Times New Roman"/>
                <w:sz w:val="20"/>
                <w:szCs w:val="20"/>
                <w:lang w:eastAsia="ru-RU"/>
              </w:rPr>
              <w:t>8265</w:t>
            </w:r>
            <w:r w:rsidRPr="00B87CDB">
              <w:rPr>
                <w:rFonts w:ascii="Times New Roman" w:eastAsia="Times New Roman" w:hAnsi="Times New Roman" w:cs="Times New Roman"/>
                <w:sz w:val="20"/>
                <w:szCs w:val="20"/>
                <w:lang w:eastAsia="ru-RU"/>
              </w:rPr>
              <w:t>.</w:t>
            </w:r>
          </w:p>
        </w:tc>
      </w:tr>
    </w:tbl>
    <w:p w14:paraId="49528CF3" w14:textId="77777777" w:rsidR="00D03A4F" w:rsidRPr="00B87CDB" w:rsidRDefault="00D03A4F" w:rsidP="00D03A4F">
      <w:pPr>
        <w:spacing w:after="0" w:line="240" w:lineRule="auto"/>
        <w:ind w:firstLine="709"/>
        <w:jc w:val="both"/>
        <w:rPr>
          <w:rFonts w:ascii="Times New Roman" w:eastAsia="Times New Roman" w:hAnsi="Times New Roman" w:cs="Times New Roman"/>
          <w:sz w:val="28"/>
          <w:szCs w:val="28"/>
          <w:lang w:eastAsia="ru-RU"/>
        </w:rPr>
      </w:pPr>
    </w:p>
    <w:p w14:paraId="7EF62AE7" w14:textId="77777777" w:rsidR="00D03A4F" w:rsidRPr="00B87CDB" w:rsidRDefault="00D03A4F" w:rsidP="007219E9">
      <w:pPr>
        <w:spacing w:after="0" w:line="312" w:lineRule="auto"/>
        <w:ind w:firstLine="709"/>
        <w:jc w:val="both"/>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w:t>
      </w:r>
      <w:r w:rsidR="00B87CDB" w:rsidRPr="00B87CDB">
        <w:rPr>
          <w:rFonts w:ascii="Times New Roman" w:eastAsia="Times New Roman" w:hAnsi="Times New Roman" w:cs="Times New Roman"/>
          <w:sz w:val="28"/>
          <w:szCs w:val="28"/>
          <w:lang w:eastAsia="ru-RU"/>
        </w:rPr>
        <w:t>2</w:t>
      </w:r>
      <w:r w:rsidR="00FB6205">
        <w:rPr>
          <w:rFonts w:ascii="Times New Roman" w:eastAsia="Times New Roman" w:hAnsi="Times New Roman" w:cs="Times New Roman"/>
          <w:sz w:val="28"/>
          <w:szCs w:val="28"/>
          <w:lang w:eastAsia="ru-RU"/>
        </w:rPr>
        <w:t>1</w:t>
      </w:r>
      <w:r w:rsidRPr="00B87CDB">
        <w:rPr>
          <w:rFonts w:ascii="Times New Roman" w:eastAsia="Times New Roman" w:hAnsi="Times New Roman" w:cs="Times New Roman"/>
          <w:sz w:val="28"/>
          <w:szCs w:val="28"/>
          <w:lang w:eastAsia="ru-RU"/>
        </w:rPr>
        <w:t xml:space="preserve"> г</w:t>
      </w:r>
      <w:r w:rsidR="0072592D">
        <w:rPr>
          <w:rFonts w:ascii="Times New Roman" w:eastAsia="Times New Roman" w:hAnsi="Times New Roman" w:cs="Times New Roman"/>
          <w:sz w:val="28"/>
          <w:szCs w:val="28"/>
          <w:lang w:eastAsia="ru-RU"/>
        </w:rPr>
        <w:t>.</w:t>
      </w:r>
      <w:r w:rsidR="006D094E">
        <w:rPr>
          <w:rFonts w:ascii="Times New Roman" w:eastAsia="Times New Roman" w:hAnsi="Times New Roman" w:cs="Times New Roman"/>
          <w:sz w:val="28"/>
          <w:szCs w:val="28"/>
          <w:lang w:eastAsia="ru-RU"/>
        </w:rPr>
        <w:t xml:space="preserve"> составили </w:t>
      </w:r>
      <w:r w:rsidR="00B87CDB" w:rsidRPr="00B87CDB">
        <w:rPr>
          <w:rFonts w:ascii="Times New Roman" w:eastAsia="Times New Roman" w:hAnsi="Times New Roman" w:cs="Times New Roman"/>
          <w:sz w:val="28"/>
          <w:szCs w:val="28"/>
          <w:lang w:eastAsia="ru-RU"/>
        </w:rPr>
        <w:t>6 </w:t>
      </w:r>
      <w:r w:rsidR="00FB6205">
        <w:rPr>
          <w:rFonts w:ascii="Times New Roman" w:eastAsia="Times New Roman" w:hAnsi="Times New Roman" w:cs="Times New Roman"/>
          <w:sz w:val="28"/>
          <w:szCs w:val="28"/>
          <w:lang w:eastAsia="ru-RU"/>
        </w:rPr>
        <w:t>303</w:t>
      </w:r>
      <w:r w:rsidR="00B87CDB" w:rsidRPr="00B87CDB">
        <w:rPr>
          <w:rFonts w:ascii="Times New Roman" w:eastAsia="Times New Roman" w:hAnsi="Times New Roman" w:cs="Times New Roman"/>
          <w:sz w:val="28"/>
          <w:szCs w:val="28"/>
          <w:lang w:eastAsia="ru-RU"/>
        </w:rPr>
        <w:t> </w:t>
      </w:r>
      <w:r w:rsidR="00FB6205">
        <w:rPr>
          <w:rFonts w:ascii="Times New Roman" w:eastAsia="Times New Roman" w:hAnsi="Times New Roman" w:cs="Times New Roman"/>
          <w:sz w:val="28"/>
          <w:szCs w:val="28"/>
          <w:lang w:eastAsia="ru-RU"/>
        </w:rPr>
        <w:t>141</w:t>
      </w:r>
      <w:r w:rsidR="00B87CDB" w:rsidRPr="00B87CDB">
        <w:rPr>
          <w:rFonts w:ascii="Times New Roman" w:eastAsia="Times New Roman" w:hAnsi="Times New Roman" w:cs="Times New Roman"/>
          <w:sz w:val="28"/>
          <w:szCs w:val="28"/>
          <w:lang w:eastAsia="ru-RU"/>
        </w:rPr>
        <w:t>,</w:t>
      </w:r>
      <w:r w:rsidR="00FB6205">
        <w:rPr>
          <w:rFonts w:ascii="Times New Roman" w:eastAsia="Times New Roman" w:hAnsi="Times New Roman" w:cs="Times New Roman"/>
          <w:sz w:val="28"/>
          <w:szCs w:val="28"/>
          <w:lang w:eastAsia="ru-RU"/>
        </w:rPr>
        <w:t>9</w:t>
      </w:r>
      <w:r w:rsidRPr="00B87CDB">
        <w:rPr>
          <w:rFonts w:ascii="Times New Roman" w:eastAsia="Times New Roman" w:hAnsi="Times New Roman" w:cs="Times New Roman"/>
          <w:sz w:val="28"/>
          <w:szCs w:val="28"/>
          <w:lang w:eastAsia="ru-RU"/>
        </w:rPr>
        <w:t xml:space="preserve"> млн рублей.</w:t>
      </w:r>
    </w:p>
    <w:p w14:paraId="44D8DDF3" w14:textId="3A9C6927" w:rsidR="00D03A4F" w:rsidRPr="00B87CDB" w:rsidRDefault="00D03A4F" w:rsidP="007219E9">
      <w:pPr>
        <w:spacing w:after="0" w:line="312" w:lineRule="auto"/>
        <w:ind w:firstLine="709"/>
        <w:jc w:val="both"/>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За счет средств федерального бюджета на государственную поддержку семьи и детей в 20</w:t>
      </w:r>
      <w:r w:rsidR="00B87CDB" w:rsidRPr="00B87CDB">
        <w:rPr>
          <w:rFonts w:ascii="Times New Roman" w:eastAsia="Times New Roman" w:hAnsi="Times New Roman" w:cs="Times New Roman"/>
          <w:sz w:val="28"/>
          <w:szCs w:val="28"/>
          <w:lang w:eastAsia="ru-RU"/>
        </w:rPr>
        <w:t>2</w:t>
      </w:r>
      <w:r w:rsidR="00FB6205">
        <w:rPr>
          <w:rFonts w:ascii="Times New Roman" w:eastAsia="Times New Roman" w:hAnsi="Times New Roman" w:cs="Times New Roman"/>
          <w:sz w:val="28"/>
          <w:szCs w:val="28"/>
          <w:lang w:eastAsia="ru-RU"/>
        </w:rPr>
        <w:t>1</w:t>
      </w:r>
      <w:r w:rsidRPr="00B87CDB">
        <w:rPr>
          <w:rFonts w:ascii="Times New Roman" w:eastAsia="Times New Roman" w:hAnsi="Times New Roman" w:cs="Times New Roman"/>
          <w:sz w:val="28"/>
          <w:szCs w:val="28"/>
          <w:lang w:eastAsia="ru-RU"/>
        </w:rPr>
        <w:t xml:space="preserve"> г</w:t>
      </w:r>
      <w:r w:rsidR="0072592D">
        <w:rPr>
          <w:rFonts w:ascii="Times New Roman" w:eastAsia="Times New Roman" w:hAnsi="Times New Roman" w:cs="Times New Roman"/>
          <w:sz w:val="28"/>
          <w:szCs w:val="28"/>
          <w:lang w:eastAsia="ru-RU"/>
        </w:rPr>
        <w:t>.</w:t>
      </w:r>
      <w:r w:rsidRPr="00B87CDB">
        <w:rPr>
          <w:rFonts w:ascii="Times New Roman" w:eastAsia="Times New Roman" w:hAnsi="Times New Roman" w:cs="Times New Roman"/>
          <w:sz w:val="28"/>
          <w:szCs w:val="28"/>
          <w:lang w:eastAsia="ru-RU"/>
        </w:rPr>
        <w:t xml:space="preserve"> было направлено </w:t>
      </w:r>
      <w:r w:rsidR="00B87CDB" w:rsidRPr="00B87CDB">
        <w:rPr>
          <w:rFonts w:ascii="Times New Roman" w:eastAsia="Times New Roman" w:hAnsi="Times New Roman" w:cs="Times New Roman"/>
          <w:sz w:val="28"/>
          <w:szCs w:val="28"/>
          <w:lang w:eastAsia="ru-RU"/>
        </w:rPr>
        <w:t>1 </w:t>
      </w:r>
      <w:r w:rsidR="00FB6205">
        <w:rPr>
          <w:rFonts w:ascii="Times New Roman" w:eastAsia="Times New Roman" w:hAnsi="Times New Roman" w:cs="Times New Roman"/>
          <w:sz w:val="28"/>
          <w:szCs w:val="28"/>
          <w:lang w:eastAsia="ru-RU"/>
        </w:rPr>
        <w:t>692</w:t>
      </w:r>
      <w:r w:rsidR="00B87CDB" w:rsidRPr="00B87CDB">
        <w:rPr>
          <w:rFonts w:ascii="Times New Roman" w:eastAsia="Times New Roman" w:hAnsi="Times New Roman" w:cs="Times New Roman"/>
          <w:sz w:val="28"/>
          <w:szCs w:val="28"/>
          <w:lang w:eastAsia="ru-RU"/>
        </w:rPr>
        <w:t> </w:t>
      </w:r>
      <w:r w:rsidR="00FB6205">
        <w:rPr>
          <w:rFonts w:ascii="Times New Roman" w:eastAsia="Times New Roman" w:hAnsi="Times New Roman" w:cs="Times New Roman"/>
          <w:sz w:val="28"/>
          <w:szCs w:val="28"/>
          <w:lang w:eastAsia="ru-RU"/>
        </w:rPr>
        <w:t>226</w:t>
      </w:r>
      <w:r w:rsidR="00B87CDB" w:rsidRPr="00B87CDB">
        <w:rPr>
          <w:rFonts w:ascii="Times New Roman" w:eastAsia="Times New Roman" w:hAnsi="Times New Roman" w:cs="Times New Roman"/>
          <w:sz w:val="28"/>
          <w:szCs w:val="28"/>
          <w:lang w:eastAsia="ru-RU"/>
        </w:rPr>
        <w:t>,</w:t>
      </w:r>
      <w:r w:rsidR="00FB6205">
        <w:rPr>
          <w:rFonts w:ascii="Times New Roman" w:eastAsia="Times New Roman" w:hAnsi="Times New Roman" w:cs="Times New Roman"/>
          <w:sz w:val="28"/>
          <w:szCs w:val="28"/>
          <w:lang w:eastAsia="ru-RU"/>
        </w:rPr>
        <w:t>6</w:t>
      </w:r>
      <w:r w:rsidR="0030103D">
        <w:rPr>
          <w:rFonts w:ascii="Times New Roman" w:eastAsia="Times New Roman" w:hAnsi="Times New Roman" w:cs="Times New Roman"/>
          <w:sz w:val="28"/>
          <w:szCs w:val="28"/>
          <w:lang w:eastAsia="ru-RU"/>
        </w:rPr>
        <w:t xml:space="preserve"> млн</w:t>
      </w:r>
      <w:r w:rsidRPr="00B87CDB">
        <w:rPr>
          <w:rFonts w:ascii="Times New Roman" w:eastAsia="Times New Roman" w:hAnsi="Times New Roman" w:cs="Times New Roman"/>
          <w:sz w:val="28"/>
          <w:szCs w:val="28"/>
          <w:lang w:eastAsia="ru-RU"/>
        </w:rPr>
        <w:t xml:space="preserve"> рублей, из них </w:t>
      </w:r>
      <w:r w:rsidR="00FB6205">
        <w:rPr>
          <w:rFonts w:ascii="Times New Roman" w:eastAsia="Times New Roman" w:hAnsi="Times New Roman" w:cs="Times New Roman"/>
          <w:iCs/>
          <w:sz w:val="28"/>
          <w:szCs w:val="28"/>
          <w:lang w:eastAsia="ru-RU"/>
        </w:rPr>
        <w:t>819</w:t>
      </w:r>
      <w:r w:rsidR="00B87CDB" w:rsidRPr="00B87CDB">
        <w:rPr>
          <w:rFonts w:ascii="Times New Roman" w:eastAsia="Times New Roman" w:hAnsi="Times New Roman" w:cs="Times New Roman"/>
          <w:iCs/>
          <w:sz w:val="28"/>
          <w:szCs w:val="28"/>
          <w:lang w:eastAsia="ru-RU"/>
        </w:rPr>
        <w:t> 5</w:t>
      </w:r>
      <w:r w:rsidR="00B94EAC">
        <w:rPr>
          <w:rFonts w:ascii="Times New Roman" w:eastAsia="Times New Roman" w:hAnsi="Times New Roman" w:cs="Times New Roman"/>
          <w:iCs/>
          <w:sz w:val="28"/>
          <w:szCs w:val="28"/>
          <w:lang w:eastAsia="ru-RU"/>
        </w:rPr>
        <w:t>53</w:t>
      </w:r>
      <w:r w:rsidR="00B87CDB" w:rsidRPr="00B87CDB">
        <w:rPr>
          <w:rFonts w:ascii="Times New Roman" w:eastAsia="Times New Roman" w:hAnsi="Times New Roman" w:cs="Times New Roman"/>
          <w:iCs/>
          <w:sz w:val="28"/>
          <w:szCs w:val="28"/>
          <w:lang w:eastAsia="ru-RU"/>
        </w:rPr>
        <w:t>,7</w:t>
      </w:r>
      <w:r w:rsidR="0030103D">
        <w:rPr>
          <w:rFonts w:ascii="Times New Roman" w:eastAsia="Times New Roman" w:hAnsi="Times New Roman" w:cs="Times New Roman"/>
          <w:sz w:val="28"/>
          <w:szCs w:val="28"/>
          <w:lang w:eastAsia="ru-RU"/>
        </w:rPr>
        <w:t xml:space="preserve"> млн</w:t>
      </w:r>
      <w:r w:rsidRPr="00B87CDB">
        <w:rPr>
          <w:rFonts w:ascii="Times New Roman" w:eastAsia="Times New Roman" w:hAnsi="Times New Roman" w:cs="Times New Roman"/>
          <w:sz w:val="28"/>
          <w:szCs w:val="28"/>
          <w:lang w:eastAsia="ru-RU"/>
        </w:rPr>
        <w:t xml:space="preserve"> </w:t>
      </w:r>
      <w:r w:rsidR="0027146D">
        <w:rPr>
          <w:rFonts w:ascii="Times New Roman" w:eastAsia="Times New Roman" w:hAnsi="Times New Roman" w:cs="Times New Roman"/>
          <w:sz w:val="28"/>
          <w:szCs w:val="28"/>
          <w:lang w:eastAsia="ru-RU"/>
        </w:rPr>
        <w:br/>
      </w:r>
      <w:r w:rsidRPr="00B87CDB">
        <w:rPr>
          <w:rFonts w:ascii="Times New Roman" w:eastAsia="Times New Roman" w:hAnsi="Times New Roman" w:cs="Times New Roman"/>
          <w:sz w:val="28"/>
          <w:szCs w:val="28"/>
          <w:lang w:eastAsia="ru-RU"/>
        </w:rPr>
        <w:t xml:space="preserve">рублей – на предоставление межбюджетных трансфертов бюджетам субъектов Российской Федерации, </w:t>
      </w:r>
      <w:r w:rsidR="00B94EAC">
        <w:rPr>
          <w:rFonts w:ascii="Times New Roman" w:eastAsia="Times New Roman" w:hAnsi="Times New Roman" w:cs="Times New Roman"/>
          <w:sz w:val="28"/>
          <w:szCs w:val="28"/>
          <w:lang w:eastAsia="ru-RU"/>
        </w:rPr>
        <w:t>682 504,7</w:t>
      </w:r>
      <w:r w:rsidR="0030103D">
        <w:rPr>
          <w:rFonts w:ascii="Times New Roman" w:eastAsia="Times New Roman" w:hAnsi="Times New Roman" w:cs="Times New Roman"/>
          <w:sz w:val="28"/>
          <w:szCs w:val="28"/>
          <w:lang w:eastAsia="ru-RU"/>
        </w:rPr>
        <w:t xml:space="preserve"> млн</w:t>
      </w:r>
      <w:r w:rsidRPr="00B87CDB">
        <w:rPr>
          <w:rFonts w:ascii="Times New Roman" w:eastAsia="Times New Roman" w:hAnsi="Times New Roman" w:cs="Times New Roman"/>
          <w:sz w:val="28"/>
          <w:szCs w:val="28"/>
          <w:lang w:eastAsia="ru-RU"/>
        </w:rPr>
        <w:t xml:space="preserve"> рублей – на предоставление межбюджетных трансфертов бюджетам государственных внебюджетных фондов Российской Федерации.</w:t>
      </w:r>
    </w:p>
    <w:p w14:paraId="4EC77AD5" w14:textId="77777777" w:rsidR="00D03A4F" w:rsidRPr="00B87CDB" w:rsidRDefault="00D03A4F" w:rsidP="007219E9">
      <w:pPr>
        <w:spacing w:after="0" w:line="312" w:lineRule="auto"/>
        <w:ind w:firstLine="709"/>
        <w:jc w:val="both"/>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За счет средств консолидированных бюджетов субъектов Российской Федерации на государственную поддержку семьи и детей (без учета межбюджетных трансфертов бюджетам субъектов Российской Федерации из федерального бюджета) в 20</w:t>
      </w:r>
      <w:r w:rsidR="00B87CDB" w:rsidRPr="00B87CDB">
        <w:rPr>
          <w:rFonts w:ascii="Times New Roman" w:eastAsia="Times New Roman" w:hAnsi="Times New Roman" w:cs="Times New Roman"/>
          <w:sz w:val="28"/>
          <w:szCs w:val="28"/>
          <w:lang w:eastAsia="ru-RU"/>
        </w:rPr>
        <w:t>2</w:t>
      </w:r>
      <w:r w:rsidR="00080238">
        <w:rPr>
          <w:rFonts w:ascii="Times New Roman" w:eastAsia="Times New Roman" w:hAnsi="Times New Roman" w:cs="Times New Roman"/>
          <w:sz w:val="28"/>
          <w:szCs w:val="28"/>
          <w:lang w:eastAsia="ru-RU"/>
        </w:rPr>
        <w:t>1</w:t>
      </w:r>
      <w:r w:rsidRPr="00B87CDB">
        <w:rPr>
          <w:rFonts w:ascii="Times New Roman" w:eastAsia="Times New Roman" w:hAnsi="Times New Roman" w:cs="Times New Roman"/>
          <w:sz w:val="28"/>
          <w:szCs w:val="28"/>
          <w:lang w:eastAsia="ru-RU"/>
        </w:rPr>
        <w:t xml:space="preserve"> г</w:t>
      </w:r>
      <w:r w:rsidR="0072592D">
        <w:rPr>
          <w:rFonts w:ascii="Times New Roman" w:eastAsia="Times New Roman" w:hAnsi="Times New Roman" w:cs="Times New Roman"/>
          <w:sz w:val="28"/>
          <w:szCs w:val="28"/>
          <w:lang w:eastAsia="ru-RU"/>
        </w:rPr>
        <w:t>.</w:t>
      </w:r>
      <w:r w:rsidRPr="00B87CDB">
        <w:rPr>
          <w:rFonts w:ascii="Times New Roman" w:eastAsia="Times New Roman" w:hAnsi="Times New Roman" w:cs="Times New Roman"/>
          <w:sz w:val="28"/>
          <w:szCs w:val="28"/>
          <w:lang w:eastAsia="ru-RU"/>
        </w:rPr>
        <w:t xml:space="preserve"> было направлено </w:t>
      </w:r>
      <w:r w:rsidR="00080238">
        <w:rPr>
          <w:rFonts w:ascii="Times New Roman" w:eastAsia="Times New Roman" w:hAnsi="Times New Roman" w:cs="Times New Roman"/>
          <w:sz w:val="28"/>
          <w:szCs w:val="28"/>
          <w:lang w:eastAsia="ru-RU"/>
        </w:rPr>
        <w:t>4</w:t>
      </w:r>
      <w:r w:rsidR="00B87CDB" w:rsidRPr="00B87CDB">
        <w:rPr>
          <w:rFonts w:ascii="Times New Roman" w:eastAsia="Times New Roman" w:hAnsi="Times New Roman" w:cs="Times New Roman"/>
          <w:sz w:val="28"/>
          <w:szCs w:val="28"/>
          <w:lang w:eastAsia="ru-RU"/>
        </w:rPr>
        <w:t> </w:t>
      </w:r>
      <w:r w:rsidR="00080238">
        <w:rPr>
          <w:rFonts w:ascii="Times New Roman" w:eastAsia="Times New Roman" w:hAnsi="Times New Roman" w:cs="Times New Roman"/>
          <w:sz w:val="28"/>
          <w:szCs w:val="28"/>
          <w:lang w:eastAsia="ru-RU"/>
        </w:rPr>
        <w:t>289</w:t>
      </w:r>
      <w:r w:rsidR="00B87CDB" w:rsidRPr="00B87CDB">
        <w:rPr>
          <w:rFonts w:ascii="Times New Roman" w:eastAsia="Times New Roman" w:hAnsi="Times New Roman" w:cs="Times New Roman"/>
          <w:sz w:val="28"/>
          <w:szCs w:val="28"/>
          <w:lang w:eastAsia="ru-RU"/>
        </w:rPr>
        <w:t> 9</w:t>
      </w:r>
      <w:r w:rsidR="00080238">
        <w:rPr>
          <w:rFonts w:ascii="Times New Roman" w:eastAsia="Times New Roman" w:hAnsi="Times New Roman" w:cs="Times New Roman"/>
          <w:sz w:val="28"/>
          <w:szCs w:val="28"/>
          <w:lang w:eastAsia="ru-RU"/>
        </w:rPr>
        <w:t>06</w:t>
      </w:r>
      <w:r w:rsidR="00B87CDB" w:rsidRPr="00B87CDB">
        <w:rPr>
          <w:rFonts w:ascii="Times New Roman" w:eastAsia="Times New Roman" w:hAnsi="Times New Roman" w:cs="Times New Roman"/>
          <w:sz w:val="28"/>
          <w:szCs w:val="28"/>
          <w:lang w:eastAsia="ru-RU"/>
        </w:rPr>
        <w:t>,</w:t>
      </w:r>
      <w:r w:rsidR="00080238">
        <w:rPr>
          <w:rFonts w:ascii="Times New Roman" w:eastAsia="Times New Roman" w:hAnsi="Times New Roman" w:cs="Times New Roman"/>
          <w:sz w:val="28"/>
          <w:szCs w:val="28"/>
          <w:lang w:eastAsia="ru-RU"/>
        </w:rPr>
        <w:t>1</w:t>
      </w:r>
      <w:r w:rsidRPr="00B87CDB">
        <w:rPr>
          <w:rFonts w:ascii="Times New Roman" w:eastAsia="Times New Roman" w:hAnsi="Times New Roman" w:cs="Times New Roman"/>
          <w:color w:val="000000"/>
          <w:sz w:val="28"/>
          <w:szCs w:val="28"/>
          <w:lang w:eastAsia="ru-RU" w:bidi="ru-RU"/>
        </w:rPr>
        <w:t> </w:t>
      </w:r>
      <w:r w:rsidR="0030103D">
        <w:rPr>
          <w:rFonts w:ascii="Times New Roman" w:eastAsia="Times New Roman" w:hAnsi="Times New Roman" w:cs="Times New Roman"/>
          <w:sz w:val="28"/>
          <w:szCs w:val="28"/>
          <w:lang w:eastAsia="ru-RU"/>
        </w:rPr>
        <w:t>млн</w:t>
      </w:r>
      <w:r w:rsidRPr="00B87CDB">
        <w:rPr>
          <w:rFonts w:ascii="Times New Roman" w:eastAsia="Times New Roman" w:hAnsi="Times New Roman" w:cs="Times New Roman"/>
          <w:sz w:val="28"/>
          <w:szCs w:val="28"/>
          <w:lang w:eastAsia="ru-RU"/>
        </w:rPr>
        <w:t xml:space="preserve"> рублей. </w:t>
      </w:r>
    </w:p>
    <w:p w14:paraId="55C02920" w14:textId="77777777" w:rsidR="00D03A4F" w:rsidRPr="00B87CDB" w:rsidRDefault="00D03A4F" w:rsidP="007219E9">
      <w:pPr>
        <w:spacing w:after="0" w:line="312" w:lineRule="auto"/>
        <w:ind w:firstLine="709"/>
        <w:jc w:val="both"/>
        <w:rPr>
          <w:rFonts w:ascii="Times New Roman" w:eastAsia="Times New Roman" w:hAnsi="Times New Roman" w:cs="Times New Roman"/>
          <w:sz w:val="28"/>
          <w:szCs w:val="28"/>
          <w:lang w:eastAsia="ru-RU"/>
        </w:rPr>
      </w:pPr>
      <w:r w:rsidRPr="00B87CDB">
        <w:rPr>
          <w:rFonts w:ascii="Times New Roman" w:eastAsia="Times New Roman" w:hAnsi="Times New Roman" w:cs="Times New Roman"/>
          <w:sz w:val="28"/>
          <w:szCs w:val="28"/>
          <w:lang w:eastAsia="ru-RU"/>
        </w:rPr>
        <w:t>Расходы на государственную поддержку семей и детей в 20</w:t>
      </w:r>
      <w:r w:rsidR="00080238">
        <w:rPr>
          <w:rFonts w:ascii="Times New Roman" w:eastAsia="Times New Roman" w:hAnsi="Times New Roman" w:cs="Times New Roman"/>
          <w:sz w:val="28"/>
          <w:szCs w:val="28"/>
          <w:lang w:eastAsia="ru-RU"/>
        </w:rPr>
        <w:t>21</w:t>
      </w:r>
      <w:r w:rsidRPr="00B87CDB">
        <w:rPr>
          <w:rFonts w:ascii="Times New Roman" w:eastAsia="Times New Roman" w:hAnsi="Times New Roman" w:cs="Times New Roman"/>
          <w:sz w:val="28"/>
          <w:szCs w:val="28"/>
          <w:lang w:eastAsia="ru-RU"/>
        </w:rPr>
        <w:t xml:space="preserve"> </w:t>
      </w:r>
      <w:r w:rsidR="00761C2D">
        <w:rPr>
          <w:rFonts w:ascii="Times New Roman" w:eastAsia="Times New Roman" w:hAnsi="Times New Roman" w:cs="Times New Roman"/>
          <w:sz w:val="28"/>
          <w:szCs w:val="28"/>
          <w:lang w:eastAsia="ru-RU"/>
        </w:rPr>
        <w:t>г</w:t>
      </w:r>
      <w:r w:rsidR="0072592D">
        <w:rPr>
          <w:rFonts w:ascii="Times New Roman" w:eastAsia="Times New Roman" w:hAnsi="Times New Roman" w:cs="Times New Roman"/>
          <w:sz w:val="28"/>
          <w:szCs w:val="28"/>
          <w:lang w:eastAsia="ru-RU"/>
        </w:rPr>
        <w:t>.</w:t>
      </w:r>
      <w:r w:rsidRPr="00B87CDB">
        <w:rPr>
          <w:rFonts w:ascii="Times New Roman" w:eastAsia="Times New Roman" w:hAnsi="Times New Roman" w:cs="Times New Roman"/>
          <w:sz w:val="28"/>
          <w:szCs w:val="28"/>
          <w:lang w:eastAsia="ru-RU"/>
        </w:rPr>
        <w:t xml:space="preserve"> из бюджета ФСС составили 3</w:t>
      </w:r>
      <w:r w:rsidR="00C60603">
        <w:rPr>
          <w:rFonts w:ascii="Times New Roman" w:eastAsia="Times New Roman" w:hAnsi="Times New Roman" w:cs="Times New Roman"/>
          <w:sz w:val="28"/>
          <w:szCs w:val="28"/>
          <w:lang w:eastAsia="ru-RU"/>
        </w:rPr>
        <w:t>28</w:t>
      </w:r>
      <w:r w:rsidR="00B87CDB" w:rsidRPr="00B87CDB">
        <w:rPr>
          <w:rFonts w:ascii="Times New Roman" w:eastAsia="Times New Roman" w:hAnsi="Times New Roman" w:cs="Times New Roman"/>
          <w:sz w:val="28"/>
          <w:szCs w:val="28"/>
          <w:lang w:eastAsia="ru-RU"/>
        </w:rPr>
        <w:t> </w:t>
      </w:r>
      <w:r w:rsidR="00C60603">
        <w:rPr>
          <w:rFonts w:ascii="Times New Roman" w:eastAsia="Times New Roman" w:hAnsi="Times New Roman" w:cs="Times New Roman"/>
          <w:sz w:val="28"/>
          <w:szCs w:val="28"/>
          <w:lang w:eastAsia="ru-RU"/>
        </w:rPr>
        <w:t>127</w:t>
      </w:r>
      <w:r w:rsidR="00B87CDB" w:rsidRPr="00B87CDB">
        <w:rPr>
          <w:rFonts w:ascii="Times New Roman" w:eastAsia="Times New Roman" w:hAnsi="Times New Roman" w:cs="Times New Roman"/>
          <w:sz w:val="28"/>
          <w:szCs w:val="28"/>
          <w:lang w:eastAsia="ru-RU"/>
        </w:rPr>
        <w:t>,</w:t>
      </w:r>
      <w:r w:rsidR="00C60603">
        <w:rPr>
          <w:rFonts w:ascii="Times New Roman" w:eastAsia="Times New Roman" w:hAnsi="Times New Roman" w:cs="Times New Roman"/>
          <w:sz w:val="28"/>
          <w:szCs w:val="28"/>
          <w:lang w:eastAsia="ru-RU"/>
        </w:rPr>
        <w:t>4</w:t>
      </w:r>
      <w:r w:rsidRPr="00B87CDB">
        <w:rPr>
          <w:rFonts w:ascii="Times New Roman" w:eastAsia="Times New Roman" w:hAnsi="Times New Roman" w:cs="Times New Roman"/>
          <w:sz w:val="28"/>
          <w:szCs w:val="28"/>
          <w:lang w:eastAsia="ru-RU"/>
        </w:rPr>
        <w:t xml:space="preserve"> млн рублей, из них за счет межбюджетных трансфертов из федерального бюджета – </w:t>
      </w:r>
      <w:r w:rsidR="00C60603">
        <w:rPr>
          <w:rFonts w:ascii="Times New Roman" w:eastAsia="Times New Roman" w:hAnsi="Times New Roman" w:cs="Times New Roman"/>
          <w:sz w:val="28"/>
          <w:szCs w:val="28"/>
          <w:lang w:eastAsia="ru-RU"/>
        </w:rPr>
        <w:t>7</w:t>
      </w:r>
      <w:r w:rsidRPr="00B87CDB">
        <w:rPr>
          <w:rFonts w:ascii="Times New Roman" w:eastAsia="Times New Roman" w:hAnsi="Times New Roman" w:cs="Times New Roman"/>
          <w:sz w:val="28"/>
          <w:szCs w:val="28"/>
          <w:lang w:eastAsia="ru-RU"/>
        </w:rPr>
        <w:t> </w:t>
      </w:r>
      <w:r w:rsidR="00C60603">
        <w:rPr>
          <w:rFonts w:ascii="Times New Roman" w:eastAsia="Times New Roman" w:hAnsi="Times New Roman" w:cs="Times New Roman"/>
          <w:sz w:val="28"/>
          <w:szCs w:val="28"/>
          <w:lang w:eastAsia="ru-RU"/>
        </w:rPr>
        <w:t>118</w:t>
      </w:r>
      <w:r w:rsidRPr="00B87CDB">
        <w:rPr>
          <w:rFonts w:ascii="Times New Roman" w:eastAsia="Times New Roman" w:hAnsi="Times New Roman" w:cs="Times New Roman"/>
          <w:sz w:val="28"/>
          <w:szCs w:val="28"/>
          <w:lang w:eastAsia="ru-RU"/>
        </w:rPr>
        <w:t>,</w:t>
      </w:r>
      <w:r w:rsidR="00C60603">
        <w:rPr>
          <w:rFonts w:ascii="Times New Roman" w:eastAsia="Times New Roman" w:hAnsi="Times New Roman" w:cs="Times New Roman"/>
          <w:sz w:val="28"/>
          <w:szCs w:val="28"/>
          <w:lang w:eastAsia="ru-RU"/>
        </w:rPr>
        <w:t>2</w:t>
      </w:r>
      <w:r w:rsidR="0030103D">
        <w:rPr>
          <w:rFonts w:ascii="Times New Roman" w:eastAsia="Times New Roman" w:hAnsi="Times New Roman" w:cs="Times New Roman"/>
          <w:sz w:val="28"/>
          <w:szCs w:val="28"/>
          <w:lang w:eastAsia="ru-RU"/>
        </w:rPr>
        <w:t xml:space="preserve"> млн</w:t>
      </w:r>
      <w:r w:rsidRPr="00B87CDB">
        <w:rPr>
          <w:rFonts w:ascii="Times New Roman" w:eastAsia="Times New Roman" w:hAnsi="Times New Roman" w:cs="Times New Roman"/>
          <w:sz w:val="28"/>
          <w:szCs w:val="28"/>
          <w:lang w:eastAsia="ru-RU"/>
        </w:rPr>
        <w:t xml:space="preserve"> рублей и бюджета ФОМС – </w:t>
      </w:r>
      <w:r w:rsidR="007219E9">
        <w:rPr>
          <w:rFonts w:ascii="Times New Roman" w:eastAsia="Times New Roman" w:hAnsi="Times New Roman" w:cs="Times New Roman"/>
          <w:sz w:val="28"/>
          <w:szCs w:val="28"/>
          <w:lang w:eastAsia="ru-RU"/>
        </w:rPr>
        <w:br/>
      </w:r>
      <w:r w:rsidRPr="00B87CDB">
        <w:rPr>
          <w:rFonts w:ascii="Times New Roman" w:eastAsia="Times New Roman" w:hAnsi="Times New Roman" w:cs="Times New Roman"/>
          <w:sz w:val="28"/>
          <w:szCs w:val="28"/>
          <w:lang w:eastAsia="ru-RU"/>
        </w:rPr>
        <w:t xml:space="preserve">13 </w:t>
      </w:r>
      <w:r w:rsidR="00C60603">
        <w:rPr>
          <w:rFonts w:ascii="Times New Roman" w:eastAsia="Times New Roman" w:hAnsi="Times New Roman" w:cs="Times New Roman"/>
          <w:sz w:val="28"/>
          <w:szCs w:val="28"/>
          <w:lang w:eastAsia="ru-RU"/>
        </w:rPr>
        <w:t>16</w:t>
      </w:r>
      <w:r w:rsidR="00B87CDB" w:rsidRPr="00B87CDB">
        <w:rPr>
          <w:rFonts w:ascii="Times New Roman" w:eastAsia="Times New Roman" w:hAnsi="Times New Roman" w:cs="Times New Roman"/>
          <w:sz w:val="28"/>
          <w:szCs w:val="28"/>
          <w:lang w:eastAsia="ru-RU"/>
        </w:rPr>
        <w:t>4</w:t>
      </w:r>
      <w:r w:rsidRPr="00B87CDB">
        <w:rPr>
          <w:rFonts w:ascii="Times New Roman" w:eastAsia="Times New Roman" w:hAnsi="Times New Roman" w:cs="Times New Roman"/>
          <w:sz w:val="28"/>
          <w:szCs w:val="28"/>
          <w:lang w:eastAsia="ru-RU"/>
        </w:rPr>
        <w:t>,</w:t>
      </w:r>
      <w:r w:rsidR="00C60603">
        <w:rPr>
          <w:rFonts w:ascii="Times New Roman" w:eastAsia="Times New Roman" w:hAnsi="Times New Roman" w:cs="Times New Roman"/>
          <w:sz w:val="28"/>
          <w:szCs w:val="28"/>
          <w:lang w:eastAsia="ru-RU"/>
        </w:rPr>
        <w:t>4</w:t>
      </w:r>
      <w:r w:rsidRPr="00B87CDB">
        <w:rPr>
          <w:rFonts w:ascii="Times New Roman" w:eastAsia="Times New Roman" w:hAnsi="Times New Roman" w:cs="Times New Roman"/>
          <w:sz w:val="28"/>
          <w:szCs w:val="28"/>
          <w:lang w:eastAsia="ru-RU"/>
        </w:rPr>
        <w:t xml:space="preserve"> млн рублей.</w:t>
      </w:r>
    </w:p>
    <w:p w14:paraId="47F6921B" w14:textId="77777777" w:rsidR="00C60603" w:rsidRDefault="00C60603" w:rsidP="007219E9">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Гражданам, подлежащим обязательному социальному страхованию на случай</w:t>
      </w:r>
      <w:r w:rsidR="00692407">
        <w:rPr>
          <w:rFonts w:ascii="Times New Roman" w:eastAsia="Times New Roman" w:hAnsi="Times New Roman" w:cs="Times New Roman"/>
          <w:sz w:val="28"/>
          <w:szCs w:val="28"/>
          <w:lang w:eastAsia="ru-RU"/>
        </w:rPr>
        <w:t xml:space="preserve"> временной нетрудоспособной и в связи с материнством, были предусмотрены </w:t>
      </w:r>
      <w:r w:rsidR="0072592D">
        <w:rPr>
          <w:rFonts w:ascii="Times New Roman" w:eastAsia="Times New Roman" w:hAnsi="Times New Roman" w:cs="Times New Roman"/>
          <w:sz w:val="28"/>
          <w:szCs w:val="28"/>
          <w:lang w:eastAsia="ru-RU"/>
        </w:rPr>
        <w:br/>
      </w:r>
      <w:r w:rsidR="00692407">
        <w:rPr>
          <w:rFonts w:ascii="Times New Roman" w:eastAsia="Times New Roman" w:hAnsi="Times New Roman" w:cs="Times New Roman"/>
          <w:sz w:val="28"/>
          <w:szCs w:val="28"/>
          <w:lang w:eastAsia="ru-RU"/>
        </w:rPr>
        <w:t>в 2021 г</w:t>
      </w:r>
      <w:r w:rsidR="0072592D">
        <w:rPr>
          <w:rFonts w:ascii="Times New Roman" w:eastAsia="Times New Roman" w:hAnsi="Times New Roman" w:cs="Times New Roman"/>
          <w:sz w:val="28"/>
          <w:szCs w:val="28"/>
          <w:lang w:eastAsia="ru-RU"/>
        </w:rPr>
        <w:t>.</w:t>
      </w:r>
      <w:r w:rsidR="00692407">
        <w:rPr>
          <w:rFonts w:ascii="Times New Roman" w:eastAsia="Times New Roman" w:hAnsi="Times New Roman" w:cs="Times New Roman"/>
          <w:sz w:val="28"/>
          <w:szCs w:val="28"/>
          <w:lang w:eastAsia="ru-RU"/>
        </w:rPr>
        <w:t xml:space="preserve"> выплаты следующих пособий:</w:t>
      </w:r>
    </w:p>
    <w:p w14:paraId="594FFBB6" w14:textId="77777777" w:rsidR="00692407" w:rsidRDefault="0011187A" w:rsidP="007219E9">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пособия по беременности и родам (объем расходов – 123 404,4 млн рублей);</w:t>
      </w:r>
    </w:p>
    <w:p w14:paraId="6C785027" w14:textId="77777777" w:rsidR="0011187A" w:rsidRDefault="0011187A" w:rsidP="007219E9">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единовременного пособия женщинам, вставшим на учет в медицинских организациях в ранние сроки беременности (объем расходов </w:t>
      </w:r>
      <w:r w:rsidR="004E14D9">
        <w:rPr>
          <w:rFonts w:ascii="Times New Roman" w:eastAsia="Times New Roman" w:hAnsi="Times New Roman" w:cs="Times New Roman"/>
          <w:sz w:val="28"/>
          <w:szCs w:val="28"/>
          <w:lang w:eastAsia="ru-RU"/>
        </w:rPr>
        <w:t>–</w:t>
      </w:r>
      <w:r w:rsidR="007219E9" w:rsidRPr="00BD5345">
        <w:rPr>
          <w:rFonts w:ascii="Times New Roman" w:eastAsia="Times New Roman" w:hAnsi="Times New Roman" w:cs="Times New Roman"/>
          <w:sz w:val="28"/>
          <w:szCs w:val="28"/>
        </w:rPr>
        <w:t> </w:t>
      </w:r>
      <w:r w:rsidR="004E14D9">
        <w:rPr>
          <w:rFonts w:ascii="Times New Roman" w:eastAsia="Times New Roman" w:hAnsi="Times New Roman" w:cs="Times New Roman"/>
          <w:sz w:val="28"/>
          <w:szCs w:val="28"/>
          <w:lang w:eastAsia="ru-RU"/>
        </w:rPr>
        <w:t>434,8 млн рублей);</w:t>
      </w:r>
    </w:p>
    <w:p w14:paraId="5EA7DC9B" w14:textId="77777777" w:rsidR="004E14D9" w:rsidRDefault="004E14D9" w:rsidP="007219E9">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единовременного пособия при рождении ребенка (объем расходов – 19 263,4 млн рублей);</w:t>
      </w:r>
    </w:p>
    <w:p w14:paraId="68C70AA3" w14:textId="77777777" w:rsidR="004E14D9" w:rsidRDefault="004E14D9" w:rsidP="007219E9">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ежемесячного пособия по уходу за ребенком до достижения ребенком возраста 1,5 лет (объем расходов – 164 742,2 млн рублей).</w:t>
      </w:r>
    </w:p>
    <w:p w14:paraId="36EFF15F" w14:textId="2576F9C3" w:rsidR="004E14D9" w:rsidRDefault="004E14D9" w:rsidP="007219E9">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целью оплаты </w:t>
      </w:r>
      <w:r w:rsidRPr="00FE4852">
        <w:rPr>
          <w:rFonts w:ascii="Times New Roman" w:eastAsia="Times New Roman" w:hAnsi="Times New Roman" w:cs="Times New Roman"/>
          <w:sz w:val="28"/>
          <w:szCs w:val="28"/>
          <w:lang w:eastAsia="ru-RU"/>
        </w:rPr>
        <w:t>четырех дополнительных выходных дней работающим родителям (опекунам, попечителям) для ухода за детьми</w:t>
      </w:r>
      <w:r w:rsidR="003B77D7" w:rsidRPr="003B77D7">
        <w:rPr>
          <w:rFonts w:ascii="Times New Roman" w:eastAsia="Times New Roman" w:hAnsi="Times New Roman" w:cs="Times New Roman"/>
          <w:sz w:val="28"/>
          <w:szCs w:val="28"/>
          <w:lang w:eastAsia="ru-RU"/>
        </w:rPr>
        <w:t xml:space="preserve"> </w:t>
      </w:r>
      <w:r w:rsidR="003B77D7">
        <w:rPr>
          <w:rFonts w:ascii="Times New Roman" w:eastAsia="Times New Roman" w:hAnsi="Times New Roman" w:cs="Times New Roman"/>
          <w:sz w:val="28"/>
          <w:szCs w:val="28"/>
          <w:lang w:eastAsia="ru-RU"/>
        </w:rPr>
        <w:t>с инвалидностью</w:t>
      </w:r>
      <w:r w:rsidR="003B77D7" w:rsidRPr="00FE4852" w:rsidDel="003B77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из федерального бюджета бюджету ФСС в 2021 г</w:t>
      </w:r>
      <w:r w:rsidR="00DC506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перечислено</w:t>
      </w:r>
      <w:r w:rsidR="007219E9" w:rsidRPr="00BD5345">
        <w:rPr>
          <w:rFonts w:ascii="Times New Roman" w:eastAsia="Times New Roman" w:hAnsi="Times New Roman" w:cs="Times New Roman"/>
          <w:sz w:val="28"/>
          <w:szCs w:val="28"/>
        </w:rPr>
        <w:t> </w:t>
      </w:r>
      <w:r>
        <w:rPr>
          <w:rFonts w:ascii="Times New Roman" w:eastAsia="Times New Roman" w:hAnsi="Times New Roman" w:cs="Times New Roman"/>
          <w:sz w:val="28"/>
          <w:szCs w:val="28"/>
          <w:lang w:eastAsia="ru-RU"/>
        </w:rPr>
        <w:t>6</w:t>
      </w:r>
      <w:r w:rsidR="007219E9" w:rsidRPr="00BD5345">
        <w:rPr>
          <w:rFonts w:ascii="Times New Roman" w:eastAsia="Times New Roman" w:hAnsi="Times New Roman" w:cs="Times New Roman"/>
          <w:sz w:val="28"/>
          <w:szCs w:val="28"/>
        </w:rPr>
        <w:t> </w:t>
      </w:r>
      <w:r>
        <w:rPr>
          <w:rFonts w:ascii="Times New Roman" w:eastAsia="Times New Roman" w:hAnsi="Times New Roman" w:cs="Times New Roman"/>
          <w:sz w:val="28"/>
          <w:szCs w:val="28"/>
          <w:lang w:eastAsia="ru-RU"/>
        </w:rPr>
        <w:t>188</w:t>
      </w:r>
      <w:r w:rsidRPr="00FE485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 млн</w:t>
      </w:r>
      <w:r w:rsidRPr="00FE4852">
        <w:rPr>
          <w:rFonts w:ascii="Times New Roman" w:eastAsia="Times New Roman" w:hAnsi="Times New Roman" w:cs="Times New Roman"/>
          <w:sz w:val="28"/>
          <w:szCs w:val="28"/>
          <w:lang w:eastAsia="ru-RU"/>
        </w:rPr>
        <w:t xml:space="preserve"> рублей.</w:t>
      </w:r>
    </w:p>
    <w:p w14:paraId="2E0BA167" w14:textId="77777777" w:rsidR="00D03A4F" w:rsidRDefault="00D03A4F" w:rsidP="007219E9">
      <w:pPr>
        <w:spacing w:after="0" w:line="312" w:lineRule="auto"/>
        <w:ind w:firstLine="709"/>
        <w:jc w:val="both"/>
        <w:rPr>
          <w:rFonts w:ascii="Times New Roman" w:eastAsia="Times New Roman" w:hAnsi="Times New Roman" w:cs="Times New Roman"/>
          <w:sz w:val="28"/>
          <w:szCs w:val="28"/>
          <w:lang w:eastAsia="ru-RU"/>
        </w:rPr>
      </w:pPr>
      <w:r w:rsidRPr="00FE4852">
        <w:rPr>
          <w:rFonts w:ascii="Times New Roman" w:eastAsia="Times New Roman" w:hAnsi="Times New Roman" w:cs="Times New Roman"/>
          <w:sz w:val="28"/>
          <w:szCs w:val="28"/>
          <w:lang w:eastAsia="ru-RU"/>
        </w:rPr>
        <w:t xml:space="preserve">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ФОМС составили 13 </w:t>
      </w:r>
      <w:r w:rsidR="009F1EFB">
        <w:rPr>
          <w:rFonts w:ascii="Times New Roman" w:eastAsia="Times New Roman" w:hAnsi="Times New Roman" w:cs="Times New Roman"/>
          <w:sz w:val="28"/>
          <w:szCs w:val="28"/>
          <w:lang w:eastAsia="ru-RU"/>
        </w:rPr>
        <w:t>16</w:t>
      </w:r>
      <w:r w:rsidR="00FE4852" w:rsidRPr="00FE4852">
        <w:rPr>
          <w:rFonts w:ascii="Times New Roman" w:eastAsia="Times New Roman" w:hAnsi="Times New Roman" w:cs="Times New Roman"/>
          <w:sz w:val="28"/>
          <w:szCs w:val="28"/>
          <w:lang w:eastAsia="ru-RU"/>
        </w:rPr>
        <w:t>4</w:t>
      </w:r>
      <w:r w:rsidRPr="00FE4852">
        <w:rPr>
          <w:rFonts w:ascii="Times New Roman" w:eastAsia="Times New Roman" w:hAnsi="Times New Roman" w:cs="Times New Roman"/>
          <w:sz w:val="28"/>
          <w:szCs w:val="28"/>
          <w:lang w:eastAsia="ru-RU"/>
        </w:rPr>
        <w:t>,</w:t>
      </w:r>
      <w:r w:rsidR="009F1EFB">
        <w:rPr>
          <w:rFonts w:ascii="Times New Roman" w:eastAsia="Times New Roman" w:hAnsi="Times New Roman" w:cs="Times New Roman"/>
          <w:sz w:val="28"/>
          <w:szCs w:val="28"/>
          <w:lang w:eastAsia="ru-RU"/>
        </w:rPr>
        <w:t>5</w:t>
      </w:r>
      <w:r w:rsidR="0030103D">
        <w:rPr>
          <w:rFonts w:ascii="Times New Roman" w:eastAsia="Times New Roman" w:hAnsi="Times New Roman" w:cs="Times New Roman"/>
          <w:sz w:val="28"/>
          <w:szCs w:val="28"/>
          <w:lang w:eastAsia="ru-RU"/>
        </w:rPr>
        <w:t xml:space="preserve"> млн</w:t>
      </w:r>
      <w:r w:rsidRPr="00FE4852">
        <w:rPr>
          <w:rFonts w:ascii="Times New Roman" w:eastAsia="Times New Roman" w:hAnsi="Times New Roman" w:cs="Times New Roman"/>
          <w:sz w:val="28"/>
          <w:szCs w:val="28"/>
          <w:lang w:eastAsia="ru-RU"/>
        </w:rPr>
        <w:t xml:space="preserve"> рублей.</w:t>
      </w:r>
    </w:p>
    <w:p w14:paraId="0F3BC8BC" w14:textId="77777777" w:rsidR="009F1EFB" w:rsidRPr="00FE4852" w:rsidRDefault="009F1EFB" w:rsidP="007219E9">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сравне</w:t>
      </w:r>
      <w:r w:rsidR="0072592D">
        <w:rPr>
          <w:rFonts w:ascii="Times New Roman" w:eastAsia="Times New Roman" w:hAnsi="Times New Roman" w:cs="Times New Roman"/>
          <w:sz w:val="28"/>
          <w:szCs w:val="28"/>
          <w:lang w:eastAsia="ru-RU"/>
        </w:rPr>
        <w:t>нию с 2020 г.</w:t>
      </w:r>
      <w:r>
        <w:rPr>
          <w:rFonts w:ascii="Times New Roman" w:eastAsia="Times New Roman" w:hAnsi="Times New Roman" w:cs="Times New Roman"/>
          <w:sz w:val="28"/>
          <w:szCs w:val="28"/>
          <w:lang w:eastAsia="ru-RU"/>
        </w:rPr>
        <w:t xml:space="preserve"> 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увеличились </w:t>
      </w:r>
      <w:r w:rsidR="0072592D">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на 112 473,9 млн рублей.</w:t>
      </w:r>
    </w:p>
    <w:p w14:paraId="03907F62" w14:textId="77777777" w:rsidR="00D03A4F" w:rsidRPr="00FE4852" w:rsidRDefault="00D03A4F" w:rsidP="004B020C">
      <w:pPr>
        <w:spacing w:after="0" w:line="300" w:lineRule="auto"/>
        <w:ind w:firstLine="709"/>
        <w:jc w:val="both"/>
        <w:rPr>
          <w:rFonts w:ascii="Times New Roman" w:eastAsia="Times New Roman" w:hAnsi="Times New Roman" w:cs="Times New Roman"/>
          <w:b/>
          <w:sz w:val="28"/>
          <w:szCs w:val="28"/>
          <w:lang w:eastAsia="ru-RU"/>
        </w:rPr>
      </w:pPr>
    </w:p>
    <w:p w14:paraId="59739716" w14:textId="77777777" w:rsidR="00E56849" w:rsidRDefault="00E56849" w:rsidP="00D03A4F">
      <w:pPr>
        <w:spacing w:after="0"/>
        <w:ind w:firstLine="709"/>
        <w:jc w:val="both"/>
        <w:rPr>
          <w:rFonts w:ascii="Times New Roman" w:eastAsia="Times New Roman" w:hAnsi="Times New Roman" w:cs="Times New Roman"/>
          <w:b/>
          <w:sz w:val="28"/>
          <w:szCs w:val="28"/>
          <w:lang w:eastAsia="ru-RU"/>
        </w:rPr>
        <w:sectPr w:rsidR="00E56849" w:rsidSect="006D094E">
          <w:pgSz w:w="11906" w:h="16838"/>
          <w:pgMar w:top="1134" w:right="567" w:bottom="1134" w:left="1134" w:header="708" w:footer="708" w:gutter="0"/>
          <w:cols w:space="708"/>
          <w:docGrid w:linePitch="360"/>
        </w:sectPr>
      </w:pPr>
    </w:p>
    <w:p w14:paraId="42780195" w14:textId="77777777" w:rsidR="00D03A4F" w:rsidRDefault="00E56849" w:rsidP="00D03A4F">
      <w:pPr>
        <w:spacing w:after="0"/>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ЗАКЛЮЧЕНИЕ</w:t>
      </w:r>
    </w:p>
    <w:p w14:paraId="10E17BC3" w14:textId="77777777" w:rsidR="00E56849" w:rsidRDefault="00E56849" w:rsidP="00D03A4F">
      <w:pPr>
        <w:spacing w:after="0"/>
        <w:ind w:firstLine="709"/>
        <w:jc w:val="both"/>
        <w:rPr>
          <w:rFonts w:ascii="Times New Roman" w:eastAsia="Times New Roman" w:hAnsi="Times New Roman" w:cs="Times New Roman"/>
          <w:b/>
          <w:sz w:val="28"/>
          <w:szCs w:val="28"/>
          <w:lang w:eastAsia="ru-RU"/>
        </w:rPr>
      </w:pPr>
    </w:p>
    <w:p w14:paraId="35559805" w14:textId="77777777" w:rsidR="00B620BC" w:rsidRDefault="00B620BC" w:rsidP="00827E2F">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2021 г</w:t>
      </w:r>
      <w:r w:rsidR="00496F9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продолжена реализация документов стратегического планирования, а также приняты планы мероприятий по их реализации на новые периоды.</w:t>
      </w:r>
    </w:p>
    <w:p w14:paraId="2FB5C9CA" w14:textId="77777777" w:rsidR="00B620BC" w:rsidRDefault="00B50A09" w:rsidP="00827E2F">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Продолжено развитие системы мер поддержки семей с детьми в целях повышения их благосостояния. Главным показателем </w:t>
      </w:r>
      <w:r w:rsidR="006A54CA">
        <w:rPr>
          <w:rFonts w:ascii="Times New Roman" w:eastAsia="Times New Roman" w:hAnsi="Times New Roman" w:cs="Times New Roman"/>
          <w:sz w:val="28"/>
          <w:szCs w:val="28"/>
          <w:lang w:eastAsia="ru-RU"/>
        </w:rPr>
        <w:t>эффективности данной системы является снижения уровня бедности до 12,1% в 2020 г</w:t>
      </w:r>
      <w:r w:rsidR="00496F9B">
        <w:rPr>
          <w:rFonts w:ascii="Times New Roman" w:eastAsia="Times New Roman" w:hAnsi="Times New Roman" w:cs="Times New Roman"/>
          <w:sz w:val="28"/>
          <w:szCs w:val="28"/>
          <w:lang w:eastAsia="ru-RU"/>
        </w:rPr>
        <w:t>.</w:t>
      </w:r>
      <w:r w:rsidR="006A54CA">
        <w:rPr>
          <w:rFonts w:ascii="Times New Roman" w:eastAsia="Times New Roman" w:hAnsi="Times New Roman" w:cs="Times New Roman"/>
          <w:sz w:val="28"/>
          <w:szCs w:val="28"/>
          <w:lang w:eastAsia="ru-RU"/>
        </w:rPr>
        <w:t xml:space="preserve"> до 11% в 2021 г.</w:t>
      </w:r>
    </w:p>
    <w:p w14:paraId="6C0B1948" w14:textId="77777777" w:rsidR="00E039F3" w:rsidRDefault="00E039F3" w:rsidP="00827E2F">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2021 г</w:t>
      </w:r>
      <w:r w:rsidR="00496F9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продолжена работа по достижению и сохранению в субъектах Российской Федерации 100% доступности дошкольного образования, в том числе путем создания дополнительных мест в образовательных организациях, реализующих образовательные программы дошкольного образования, за счет всех форм ввода. Постепенно увеличивается в среднем по Российской Федерации показатель доступности дошкольного образования для детей в возрасте до 3 лет: с 87,4% в 2019 г</w:t>
      </w:r>
      <w:r w:rsidR="00496F9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до 96,13% в 2021 г. Вместе с тем в 22 субъектах Российской Федерации вопрос обеспечения доступности дошкольного образования </w:t>
      </w:r>
      <w:r w:rsidR="0000640B">
        <w:rPr>
          <w:rFonts w:ascii="Times New Roman" w:eastAsia="Times New Roman" w:hAnsi="Times New Roman" w:cs="Times New Roman"/>
          <w:sz w:val="28"/>
          <w:szCs w:val="28"/>
          <w:lang w:eastAsia="ru-RU"/>
        </w:rPr>
        <w:t>для данной возрастной группы по-прежнему остается актуальным.</w:t>
      </w:r>
    </w:p>
    <w:p w14:paraId="00D5C344" w14:textId="77777777" w:rsidR="0000640B" w:rsidRDefault="0000640B" w:rsidP="00827E2F">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Благодаря развитию инфраструктуры дополнительного образования детей, доступной, в том числе для детей с особыми образовательными потребностями, позволило охватить в 2021 г</w:t>
      </w:r>
      <w:r w:rsidR="00496F9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81,78% </w:t>
      </w:r>
      <w:r w:rsidR="005F3553">
        <w:rPr>
          <w:rFonts w:ascii="Times New Roman" w:eastAsia="Times New Roman" w:hAnsi="Times New Roman" w:cs="Times New Roman"/>
          <w:sz w:val="28"/>
          <w:szCs w:val="28"/>
          <w:lang w:eastAsia="ru-RU"/>
        </w:rPr>
        <w:t xml:space="preserve">(2020 г. – 75%). Этому способствует развитие инфраструктуры дополнительного образования детей, доступного в том числе для детей с особыми образовательными потребностями. Созданы и функционируют </w:t>
      </w:r>
      <w:r w:rsidR="00496F9B">
        <w:rPr>
          <w:rFonts w:ascii="Times New Roman" w:eastAsia="Times New Roman" w:hAnsi="Times New Roman" w:cs="Times New Roman"/>
          <w:sz w:val="28"/>
          <w:szCs w:val="28"/>
          <w:lang w:eastAsia="ru-RU"/>
        </w:rPr>
        <w:br/>
      </w:r>
      <w:r w:rsidR="005F3553">
        <w:rPr>
          <w:rFonts w:ascii="Times New Roman" w:eastAsia="Times New Roman" w:hAnsi="Times New Roman" w:cs="Times New Roman"/>
          <w:sz w:val="28"/>
          <w:szCs w:val="28"/>
          <w:lang w:eastAsia="ru-RU"/>
        </w:rPr>
        <w:t>183 детских технопарков «</w:t>
      </w:r>
      <w:proofErr w:type="spellStart"/>
      <w:r w:rsidR="005F3553">
        <w:rPr>
          <w:rFonts w:ascii="Times New Roman" w:eastAsia="Times New Roman" w:hAnsi="Times New Roman" w:cs="Times New Roman"/>
          <w:sz w:val="28"/>
          <w:szCs w:val="28"/>
          <w:lang w:eastAsia="ru-RU"/>
        </w:rPr>
        <w:t>Кванториум</w:t>
      </w:r>
      <w:proofErr w:type="spellEnd"/>
      <w:r w:rsidR="005F3553">
        <w:rPr>
          <w:rFonts w:ascii="Times New Roman" w:eastAsia="Times New Roman" w:hAnsi="Times New Roman" w:cs="Times New Roman"/>
          <w:sz w:val="28"/>
          <w:szCs w:val="28"/>
          <w:lang w:eastAsia="ru-RU"/>
        </w:rPr>
        <w:t>» и 9,5 тыс. центров образования естественнонаучной и технологической направленностей «Точка роста», расположенных в сельской местности и малых городах.</w:t>
      </w:r>
    </w:p>
    <w:p w14:paraId="23B0AE98" w14:textId="77777777" w:rsidR="005F3553" w:rsidRDefault="00827E2F" w:rsidP="00827E2F">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условиях </w:t>
      </w:r>
      <w:proofErr w:type="spellStart"/>
      <w:r>
        <w:rPr>
          <w:rFonts w:ascii="Times New Roman" w:eastAsia="Times New Roman" w:hAnsi="Times New Roman" w:cs="Times New Roman"/>
          <w:sz w:val="28"/>
          <w:szCs w:val="28"/>
          <w:lang w:eastAsia="ru-RU"/>
        </w:rPr>
        <w:t>импортозамещания</w:t>
      </w:r>
      <w:proofErr w:type="spellEnd"/>
      <w:r>
        <w:rPr>
          <w:rFonts w:ascii="Times New Roman" w:eastAsia="Times New Roman" w:hAnsi="Times New Roman" w:cs="Times New Roman"/>
          <w:sz w:val="28"/>
          <w:szCs w:val="28"/>
          <w:lang w:eastAsia="ru-RU"/>
        </w:rPr>
        <w:t xml:space="preserve"> оперативно и гибко перестраивается под запросы новой экономики система среднего профессионального образования. Новый отраслевой подход к подготовке современных профессионалов, формируемый в рамках федерального проекта «</w:t>
      </w:r>
      <w:proofErr w:type="spellStart"/>
      <w:r>
        <w:rPr>
          <w:rFonts w:ascii="Times New Roman" w:eastAsia="Times New Roman" w:hAnsi="Times New Roman" w:cs="Times New Roman"/>
          <w:sz w:val="28"/>
          <w:szCs w:val="28"/>
          <w:lang w:eastAsia="ru-RU"/>
        </w:rPr>
        <w:t>Профессионалитет</w:t>
      </w:r>
      <w:proofErr w:type="spellEnd"/>
      <w:r>
        <w:rPr>
          <w:rFonts w:ascii="Times New Roman" w:eastAsia="Times New Roman" w:hAnsi="Times New Roman" w:cs="Times New Roman"/>
          <w:sz w:val="28"/>
          <w:szCs w:val="28"/>
          <w:lang w:eastAsia="ru-RU"/>
        </w:rPr>
        <w:t>» национального проекта «Образование», позволит решать вопросы адресной подготовки кадров для приоритетных отраслей развития российской экономики.</w:t>
      </w:r>
    </w:p>
    <w:p w14:paraId="4C26BB1C" w14:textId="77777777" w:rsidR="00827E2F" w:rsidRDefault="00827E2F" w:rsidP="00827E2F">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Возрождается престижность и популярность среднего профессионального образования</w:t>
      </w:r>
      <w:r w:rsidR="00B620BC">
        <w:rPr>
          <w:rFonts w:ascii="Times New Roman" w:eastAsia="Times New Roman" w:hAnsi="Times New Roman" w:cs="Times New Roman"/>
          <w:sz w:val="28"/>
          <w:szCs w:val="28"/>
          <w:lang w:eastAsia="ru-RU"/>
        </w:rPr>
        <w:t>. Современная молодежь все активнее делает выбор в пользу получения профессии в колледжах: численность студентов в системе среднего профессионального образования продолжает стабильно расти (прирост 97,5 тыс. человек по сравнению с 2020 г</w:t>
      </w:r>
      <w:r w:rsidR="00496F9B">
        <w:rPr>
          <w:rFonts w:ascii="Times New Roman" w:eastAsia="Times New Roman" w:hAnsi="Times New Roman" w:cs="Times New Roman"/>
          <w:sz w:val="28"/>
          <w:szCs w:val="28"/>
          <w:lang w:eastAsia="ru-RU"/>
        </w:rPr>
        <w:t>.</w:t>
      </w:r>
      <w:r w:rsidR="00B620BC">
        <w:rPr>
          <w:rFonts w:ascii="Times New Roman" w:eastAsia="Times New Roman" w:hAnsi="Times New Roman" w:cs="Times New Roman"/>
          <w:sz w:val="28"/>
          <w:szCs w:val="28"/>
          <w:lang w:eastAsia="ru-RU"/>
        </w:rPr>
        <w:t>) и на конец 2021 г</w:t>
      </w:r>
      <w:r w:rsidR="00496F9B">
        <w:rPr>
          <w:rFonts w:ascii="Times New Roman" w:eastAsia="Times New Roman" w:hAnsi="Times New Roman" w:cs="Times New Roman"/>
          <w:sz w:val="28"/>
          <w:szCs w:val="28"/>
          <w:lang w:eastAsia="ru-RU"/>
        </w:rPr>
        <w:t>.</w:t>
      </w:r>
      <w:r w:rsidR="00B620BC">
        <w:rPr>
          <w:rFonts w:ascii="Times New Roman" w:eastAsia="Times New Roman" w:hAnsi="Times New Roman" w:cs="Times New Roman"/>
          <w:sz w:val="28"/>
          <w:szCs w:val="28"/>
          <w:lang w:eastAsia="ru-RU"/>
        </w:rPr>
        <w:t xml:space="preserve"> составила 3,4 млн обучающихся.</w:t>
      </w:r>
    </w:p>
    <w:p w14:paraId="04E507DD" w14:textId="77777777" w:rsidR="00B620BC" w:rsidRDefault="00B620BC" w:rsidP="00827E2F">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Такие результаты стали возможными благодаря масштабной и </w:t>
      </w:r>
      <w:proofErr w:type="spellStart"/>
      <w:r>
        <w:rPr>
          <w:rFonts w:ascii="Times New Roman" w:eastAsia="Times New Roman" w:hAnsi="Times New Roman" w:cs="Times New Roman"/>
          <w:sz w:val="28"/>
          <w:szCs w:val="28"/>
          <w:lang w:eastAsia="ru-RU"/>
        </w:rPr>
        <w:t>многовекторной</w:t>
      </w:r>
      <w:proofErr w:type="spellEnd"/>
      <w:r>
        <w:rPr>
          <w:rFonts w:ascii="Times New Roman" w:eastAsia="Times New Roman" w:hAnsi="Times New Roman" w:cs="Times New Roman"/>
          <w:sz w:val="28"/>
          <w:szCs w:val="28"/>
          <w:lang w:eastAsia="ru-RU"/>
        </w:rPr>
        <w:t xml:space="preserve"> работе по развитию системы среднего профессионального образования.</w:t>
      </w:r>
    </w:p>
    <w:p w14:paraId="616B6D9E" w14:textId="77777777" w:rsidR="009250B2" w:rsidRDefault="009250B2" w:rsidP="00827E2F">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ФССП России обеспечено сохранение положительной тенденции по снижению остатка неоконченных исполнительных производств о взыскании алиментных платежей с 791,7 тыс. в 2020 г</w:t>
      </w:r>
      <w:r w:rsidR="00496F9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до 782,5 тыс. в 2021 г.</w:t>
      </w:r>
      <w:r w:rsidR="00960DC4">
        <w:rPr>
          <w:rFonts w:ascii="Times New Roman" w:eastAsia="Times New Roman" w:hAnsi="Times New Roman" w:cs="Times New Roman"/>
          <w:sz w:val="28"/>
          <w:szCs w:val="28"/>
          <w:lang w:eastAsia="ru-RU"/>
        </w:rPr>
        <w:t xml:space="preserve"> Доля исполнительных производств, в рамках которых реализуются права детей на получение алиментов, в 2021 г</w:t>
      </w:r>
      <w:r w:rsidR="00496F9B">
        <w:rPr>
          <w:rFonts w:ascii="Times New Roman" w:eastAsia="Times New Roman" w:hAnsi="Times New Roman" w:cs="Times New Roman"/>
          <w:sz w:val="28"/>
          <w:szCs w:val="28"/>
          <w:lang w:eastAsia="ru-RU"/>
        </w:rPr>
        <w:t>.</w:t>
      </w:r>
      <w:r w:rsidR="00960DC4">
        <w:rPr>
          <w:rFonts w:ascii="Times New Roman" w:eastAsia="Times New Roman" w:hAnsi="Times New Roman" w:cs="Times New Roman"/>
          <w:sz w:val="28"/>
          <w:szCs w:val="28"/>
          <w:lang w:eastAsia="ru-RU"/>
        </w:rPr>
        <w:t xml:space="preserve"> составила 80,2%. В пользу детей взыскано 32,9 млрд рублей, что на 13,9 млрд рублей больше, чем в 2020 г.</w:t>
      </w:r>
    </w:p>
    <w:p w14:paraId="71593969" w14:textId="77777777" w:rsidR="00960DC4" w:rsidRDefault="00960DC4" w:rsidP="00827E2F">
      <w:pPr>
        <w:spacing w:after="0" w:line="312"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2021 г</w:t>
      </w:r>
      <w:r w:rsidR="00496F9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результате принятых судебными приставами-исполнителями мер в рамках 8,1 тыс. исполнительных производств о предоставлении жилья детям-сиротам и детям, оставшимся без попечения родителей, предоставлены жилые помещения.</w:t>
      </w:r>
    </w:p>
    <w:p w14:paraId="06FC6A62" w14:textId="77777777" w:rsidR="00960DC4" w:rsidRPr="009250B2" w:rsidRDefault="00B620BC" w:rsidP="00960DC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по созданию условий для благоприятного и гармоничного развития детей, обеспечения их прав и законных интересов будет продолжена в 2022 г.</w:t>
      </w:r>
    </w:p>
    <w:p w14:paraId="1C89E12F" w14:textId="77777777" w:rsidR="004E13F4" w:rsidRDefault="004E13F4" w:rsidP="00D03A4F">
      <w:pPr>
        <w:spacing w:after="0"/>
        <w:ind w:firstLine="709"/>
        <w:jc w:val="both"/>
        <w:rPr>
          <w:rFonts w:ascii="Times New Roman" w:eastAsia="Times New Roman" w:hAnsi="Times New Roman" w:cs="Times New Roman"/>
          <w:b/>
          <w:sz w:val="28"/>
          <w:szCs w:val="28"/>
          <w:lang w:eastAsia="ru-RU"/>
        </w:rPr>
      </w:pPr>
    </w:p>
    <w:p w14:paraId="709088A9" w14:textId="77777777" w:rsidR="00240C9C" w:rsidRDefault="00240C9C" w:rsidP="00D03A4F">
      <w:pPr>
        <w:spacing w:after="0"/>
        <w:ind w:firstLine="709"/>
        <w:jc w:val="both"/>
        <w:rPr>
          <w:rFonts w:ascii="Times New Roman" w:eastAsia="Times New Roman" w:hAnsi="Times New Roman" w:cs="Times New Roman"/>
          <w:b/>
          <w:sz w:val="28"/>
          <w:szCs w:val="28"/>
          <w:lang w:eastAsia="ru-RU"/>
        </w:rPr>
        <w:sectPr w:rsidR="00240C9C" w:rsidSect="00121269">
          <w:pgSz w:w="11906" w:h="16838"/>
          <w:pgMar w:top="1134" w:right="567" w:bottom="1134" w:left="1134" w:header="708" w:footer="708" w:gutter="0"/>
          <w:cols w:space="708"/>
          <w:docGrid w:linePitch="360"/>
        </w:sectPr>
      </w:pPr>
    </w:p>
    <w:p w14:paraId="73D7AB42" w14:textId="77777777" w:rsidR="00240C9C" w:rsidRPr="00D03A4F" w:rsidRDefault="00240C9C" w:rsidP="00240C9C">
      <w:pPr>
        <w:keepNext/>
        <w:spacing w:before="120" w:after="120" w:line="240" w:lineRule="auto"/>
        <w:ind w:left="6096"/>
        <w:jc w:val="center"/>
        <w:outlineLvl w:val="0"/>
        <w:rPr>
          <w:rFonts w:ascii="Times New Roman" w:eastAsia="Times New Roman" w:hAnsi="Times New Roman" w:cs="Times New Roman"/>
          <w:bCs/>
          <w:spacing w:val="6"/>
          <w:kern w:val="32"/>
          <w:sz w:val="28"/>
          <w:szCs w:val="28"/>
          <w:lang w:eastAsia="ru-RU"/>
        </w:rPr>
      </w:pPr>
      <w:r w:rsidRPr="00D03A4F">
        <w:rPr>
          <w:rFonts w:ascii="Times New Roman" w:eastAsia="Times New Roman" w:hAnsi="Times New Roman" w:cs="Times New Roman"/>
          <w:bCs/>
          <w:spacing w:val="6"/>
          <w:kern w:val="32"/>
          <w:sz w:val="28"/>
          <w:szCs w:val="28"/>
          <w:lang w:eastAsia="ru-RU"/>
        </w:rPr>
        <w:t>Приложение 1</w:t>
      </w:r>
    </w:p>
    <w:tbl>
      <w:tblPr>
        <w:tblW w:w="9639" w:type="dxa"/>
        <w:tblLook w:val="04A0" w:firstRow="1" w:lastRow="0" w:firstColumn="1" w:lastColumn="0" w:noHBand="0" w:noVBand="1"/>
      </w:tblPr>
      <w:tblGrid>
        <w:gridCol w:w="5949"/>
        <w:gridCol w:w="3690"/>
      </w:tblGrid>
      <w:tr w:rsidR="00240C9C" w:rsidRPr="00D03A4F" w14:paraId="47AF2B9E" w14:textId="77777777" w:rsidTr="001860D1">
        <w:tc>
          <w:tcPr>
            <w:tcW w:w="5949" w:type="dxa"/>
          </w:tcPr>
          <w:p w14:paraId="33D20A86" w14:textId="77777777" w:rsidR="00240C9C" w:rsidRPr="00D03A4F" w:rsidRDefault="00240C9C" w:rsidP="001860D1">
            <w:pPr>
              <w:keepNext/>
              <w:spacing w:before="120" w:after="120" w:line="240" w:lineRule="auto"/>
              <w:jc w:val="center"/>
              <w:outlineLvl w:val="0"/>
              <w:rPr>
                <w:rFonts w:ascii="Times New Roman" w:eastAsia="Times New Roman" w:hAnsi="Times New Roman" w:cs="Times New Roman"/>
                <w:bCs/>
                <w:spacing w:val="6"/>
                <w:kern w:val="32"/>
                <w:sz w:val="28"/>
                <w:szCs w:val="28"/>
                <w:lang w:eastAsia="ru-RU"/>
              </w:rPr>
            </w:pPr>
          </w:p>
        </w:tc>
        <w:tc>
          <w:tcPr>
            <w:tcW w:w="3690" w:type="dxa"/>
          </w:tcPr>
          <w:p w14:paraId="1BEA80C9" w14:textId="77777777" w:rsidR="00240C9C" w:rsidRPr="00D03A4F" w:rsidRDefault="00240C9C" w:rsidP="001860D1">
            <w:pPr>
              <w:keepNext/>
              <w:spacing w:after="0" w:line="240" w:lineRule="auto"/>
              <w:jc w:val="center"/>
              <w:outlineLvl w:val="0"/>
              <w:rPr>
                <w:rFonts w:ascii="Times New Roman" w:eastAsia="Calibri" w:hAnsi="Times New Roman" w:cs="Times New Roman"/>
                <w:bCs/>
                <w:spacing w:val="6"/>
                <w:kern w:val="32"/>
                <w:sz w:val="28"/>
                <w:szCs w:val="28"/>
                <w:lang w:eastAsia="ru-RU"/>
              </w:rPr>
            </w:pPr>
            <w:r w:rsidRPr="00D03A4F">
              <w:rPr>
                <w:rFonts w:ascii="Times New Roman" w:eastAsia="Times New Roman" w:hAnsi="Times New Roman" w:cs="Times New Roman"/>
                <w:bCs/>
                <w:spacing w:val="6"/>
                <w:kern w:val="32"/>
                <w:sz w:val="28"/>
                <w:szCs w:val="28"/>
                <w:lang w:eastAsia="ru-RU"/>
              </w:rPr>
              <w:t xml:space="preserve">к государственному докладу </w:t>
            </w:r>
            <w:r w:rsidRPr="00D03A4F">
              <w:rPr>
                <w:rFonts w:ascii="Times New Roman" w:eastAsia="Calibri" w:hAnsi="Times New Roman" w:cs="Times New Roman"/>
                <w:bCs/>
                <w:spacing w:val="6"/>
                <w:kern w:val="32"/>
                <w:sz w:val="28"/>
                <w:szCs w:val="28"/>
                <w:lang w:eastAsia="ru-RU"/>
              </w:rPr>
              <w:t>«О положении детей и семей,</w:t>
            </w:r>
          </w:p>
          <w:p w14:paraId="0E5B6B26" w14:textId="77777777" w:rsidR="00240C9C" w:rsidRPr="00D03A4F" w:rsidRDefault="00240C9C" w:rsidP="001860D1">
            <w:pPr>
              <w:keepNext/>
              <w:spacing w:after="0" w:line="240" w:lineRule="auto"/>
              <w:jc w:val="center"/>
              <w:outlineLvl w:val="0"/>
              <w:rPr>
                <w:rFonts w:ascii="Times New Roman" w:eastAsia="Calibri" w:hAnsi="Times New Roman" w:cs="Times New Roman"/>
                <w:bCs/>
                <w:spacing w:val="6"/>
                <w:kern w:val="32"/>
                <w:sz w:val="28"/>
                <w:szCs w:val="28"/>
                <w:lang w:eastAsia="ru-RU"/>
              </w:rPr>
            </w:pPr>
            <w:r w:rsidRPr="00D03A4F">
              <w:rPr>
                <w:rFonts w:ascii="Times New Roman" w:eastAsia="Calibri" w:hAnsi="Times New Roman" w:cs="Times New Roman"/>
                <w:bCs/>
                <w:spacing w:val="6"/>
                <w:kern w:val="32"/>
                <w:sz w:val="28"/>
                <w:szCs w:val="28"/>
                <w:lang w:eastAsia="ru-RU"/>
              </w:rPr>
              <w:t>имеющих детей,</w:t>
            </w:r>
          </w:p>
          <w:p w14:paraId="642A5942" w14:textId="77777777" w:rsidR="00240C9C" w:rsidRPr="00D03A4F" w:rsidRDefault="00240C9C" w:rsidP="001860D1">
            <w:pPr>
              <w:keepNext/>
              <w:spacing w:after="0" w:line="240" w:lineRule="auto"/>
              <w:jc w:val="center"/>
              <w:outlineLvl w:val="0"/>
              <w:rPr>
                <w:rFonts w:ascii="Times New Roman" w:eastAsia="Times New Roman" w:hAnsi="Times New Roman" w:cs="Times New Roman"/>
                <w:bCs/>
                <w:spacing w:val="6"/>
                <w:kern w:val="32"/>
                <w:sz w:val="28"/>
                <w:szCs w:val="28"/>
                <w:lang w:eastAsia="ru-RU"/>
              </w:rPr>
            </w:pPr>
            <w:r w:rsidRPr="00D03A4F">
              <w:rPr>
                <w:rFonts w:ascii="Times New Roman" w:eastAsia="Calibri" w:hAnsi="Times New Roman" w:cs="Times New Roman"/>
                <w:bCs/>
                <w:spacing w:val="6"/>
                <w:kern w:val="32"/>
                <w:sz w:val="28"/>
                <w:szCs w:val="28"/>
                <w:lang w:eastAsia="ru-RU"/>
              </w:rPr>
              <w:t>в Российской Федерации»</w:t>
            </w:r>
          </w:p>
        </w:tc>
      </w:tr>
    </w:tbl>
    <w:p w14:paraId="262922CB" w14:textId="77777777" w:rsidR="00240C9C" w:rsidRPr="00D03A4F" w:rsidRDefault="00240C9C" w:rsidP="00240C9C">
      <w:pPr>
        <w:keepNext/>
        <w:spacing w:before="120" w:after="120" w:line="240" w:lineRule="auto"/>
        <w:jc w:val="right"/>
        <w:outlineLvl w:val="0"/>
        <w:rPr>
          <w:rFonts w:ascii="Times New Roman" w:eastAsia="Times New Roman" w:hAnsi="Times New Roman" w:cs="Times New Roman"/>
          <w:bCs/>
          <w:spacing w:val="6"/>
          <w:kern w:val="32"/>
          <w:sz w:val="28"/>
          <w:szCs w:val="28"/>
          <w:lang w:eastAsia="ru-RU"/>
        </w:rPr>
      </w:pPr>
    </w:p>
    <w:p w14:paraId="132889C9" w14:textId="77777777" w:rsidR="00240C9C" w:rsidRPr="00D03A4F" w:rsidRDefault="00240C9C" w:rsidP="00240C9C">
      <w:pPr>
        <w:keepNext/>
        <w:spacing w:after="0" w:line="240" w:lineRule="auto"/>
        <w:jc w:val="right"/>
        <w:outlineLvl w:val="0"/>
        <w:rPr>
          <w:rFonts w:ascii="Times New Roman" w:eastAsia="Times New Roman" w:hAnsi="Times New Roman" w:cs="Times New Roman"/>
          <w:bCs/>
          <w:kern w:val="32"/>
          <w:sz w:val="28"/>
          <w:szCs w:val="28"/>
          <w:lang w:eastAsia="ru-RU"/>
        </w:rPr>
      </w:pPr>
    </w:p>
    <w:p w14:paraId="153A94CD" w14:textId="77777777" w:rsidR="00240C9C" w:rsidRPr="00D03A4F" w:rsidRDefault="00240C9C" w:rsidP="00240C9C">
      <w:pPr>
        <w:spacing w:before="60" w:after="60" w:line="312" w:lineRule="auto"/>
        <w:jc w:val="center"/>
        <w:rPr>
          <w:rFonts w:ascii="Times New Roman" w:eastAsia="Calibri" w:hAnsi="Times New Roman" w:cs="Times New Roman"/>
          <w:sz w:val="28"/>
          <w:szCs w:val="28"/>
        </w:rPr>
      </w:pPr>
      <w:r w:rsidRPr="00D03A4F">
        <w:rPr>
          <w:rFonts w:ascii="Times New Roman" w:eastAsia="Calibri" w:hAnsi="Times New Roman" w:cs="Times New Roman"/>
          <w:sz w:val="28"/>
          <w:szCs w:val="28"/>
        </w:rPr>
        <w:t>ПЕРЕЧЕНЬ</w:t>
      </w:r>
    </w:p>
    <w:p w14:paraId="036B3978" w14:textId="77777777" w:rsidR="00240C9C" w:rsidRPr="00D03A4F" w:rsidRDefault="00240C9C" w:rsidP="00240C9C">
      <w:pPr>
        <w:spacing w:before="60" w:after="60" w:line="312" w:lineRule="auto"/>
        <w:jc w:val="center"/>
        <w:rPr>
          <w:rFonts w:ascii="Times New Roman" w:eastAsia="Calibri" w:hAnsi="Times New Roman" w:cs="Times New Roman"/>
          <w:sz w:val="28"/>
          <w:szCs w:val="28"/>
        </w:rPr>
      </w:pPr>
      <w:r w:rsidRPr="00D03A4F">
        <w:rPr>
          <w:rFonts w:ascii="Times New Roman" w:eastAsia="Calibri" w:hAnsi="Times New Roman" w:cs="Times New Roman"/>
          <w:sz w:val="28"/>
          <w:szCs w:val="28"/>
        </w:rPr>
        <w:t xml:space="preserve">ОСНОВНЫХ НОРМАТИВНЫХ ПРАВОВЫХ АКТОВ </w:t>
      </w:r>
    </w:p>
    <w:p w14:paraId="43885E86" w14:textId="77777777" w:rsidR="00240C9C" w:rsidRPr="00D03A4F" w:rsidRDefault="00240C9C" w:rsidP="00240C9C">
      <w:pPr>
        <w:spacing w:before="60" w:after="60" w:line="312" w:lineRule="auto"/>
        <w:jc w:val="center"/>
        <w:rPr>
          <w:rFonts w:ascii="Times New Roman" w:eastAsia="Calibri" w:hAnsi="Times New Roman" w:cs="Times New Roman"/>
          <w:sz w:val="28"/>
          <w:szCs w:val="28"/>
        </w:rPr>
      </w:pPr>
      <w:r w:rsidRPr="00D03A4F">
        <w:rPr>
          <w:rFonts w:ascii="Times New Roman" w:eastAsia="Calibri" w:hAnsi="Times New Roman" w:cs="Times New Roman"/>
          <w:sz w:val="28"/>
          <w:szCs w:val="28"/>
        </w:rPr>
        <w:t>ПО ВОПРОСАМ СЕМЬИ И ДЕТСТВА, ПРИНЯТЫХ В 20</w:t>
      </w:r>
      <w:r>
        <w:rPr>
          <w:rFonts w:ascii="Times New Roman" w:eastAsia="Calibri" w:hAnsi="Times New Roman" w:cs="Times New Roman"/>
          <w:sz w:val="28"/>
          <w:szCs w:val="28"/>
        </w:rPr>
        <w:t>2</w:t>
      </w:r>
      <w:r w:rsidR="00750798">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Pr="00D03A4F">
        <w:rPr>
          <w:rFonts w:ascii="Times New Roman" w:eastAsia="Calibri" w:hAnsi="Times New Roman" w:cs="Times New Roman"/>
          <w:sz w:val="28"/>
          <w:szCs w:val="28"/>
        </w:rPr>
        <w:t>ГОДУ</w:t>
      </w:r>
    </w:p>
    <w:p w14:paraId="619F21C7" w14:textId="77777777" w:rsidR="00240C9C" w:rsidRDefault="00240C9C" w:rsidP="00D03A4F">
      <w:pPr>
        <w:spacing w:after="0"/>
        <w:ind w:firstLine="709"/>
        <w:jc w:val="both"/>
        <w:rPr>
          <w:rFonts w:ascii="Times New Roman" w:eastAsia="Times New Roman" w:hAnsi="Times New Roman" w:cs="Times New Roman"/>
          <w:b/>
          <w:sz w:val="28"/>
          <w:szCs w:val="28"/>
          <w:lang w:eastAsia="ru-RU"/>
        </w:rPr>
      </w:pPr>
    </w:p>
    <w:p w14:paraId="30DFCD19" w14:textId="77777777" w:rsidR="00240C9C" w:rsidRPr="00D03A4F" w:rsidRDefault="00240C9C" w:rsidP="00240C9C">
      <w:pPr>
        <w:spacing w:before="120" w:after="120" w:line="312" w:lineRule="auto"/>
        <w:ind w:firstLine="709"/>
        <w:rPr>
          <w:rFonts w:ascii="Times New Roman" w:eastAsia="Calibri" w:hAnsi="Times New Roman" w:cs="Times New Roman"/>
          <w:b/>
          <w:sz w:val="28"/>
          <w:szCs w:val="28"/>
        </w:rPr>
      </w:pPr>
      <w:r w:rsidRPr="00D03A4F">
        <w:rPr>
          <w:rFonts w:ascii="Times New Roman" w:eastAsia="Calibri" w:hAnsi="Times New Roman" w:cs="Times New Roman"/>
          <w:b/>
          <w:sz w:val="28"/>
          <w:szCs w:val="28"/>
        </w:rPr>
        <w:t>Федеральные законы:</w:t>
      </w:r>
    </w:p>
    <w:p w14:paraId="14CC10F3" w14:textId="77777777" w:rsidR="00A9205D" w:rsidRDefault="00A9205D" w:rsidP="00BD5345">
      <w:pPr>
        <w:pStyle w:val="af6"/>
        <w:numPr>
          <w:ilvl w:val="0"/>
          <w:numId w:val="2"/>
        </w:numPr>
        <w:spacing w:line="312" w:lineRule="auto"/>
        <w:ind w:left="567" w:hanging="295"/>
        <w:jc w:val="both"/>
        <w:rPr>
          <w:sz w:val="28"/>
          <w:szCs w:val="28"/>
        </w:rPr>
      </w:pPr>
      <w:r>
        <w:rPr>
          <w:sz w:val="28"/>
          <w:szCs w:val="28"/>
        </w:rPr>
        <w:t>Федеральный закон от 4 февраля 2021 г. № 4-ФЗ «О внесении изменений в Кодекс Российской Федерации об административных правонарушениях»;</w:t>
      </w:r>
    </w:p>
    <w:p w14:paraId="73B2FE16" w14:textId="77777777" w:rsidR="006D7615" w:rsidRDefault="006D7615" w:rsidP="00BD5345">
      <w:pPr>
        <w:pStyle w:val="af6"/>
        <w:numPr>
          <w:ilvl w:val="0"/>
          <w:numId w:val="2"/>
        </w:numPr>
        <w:spacing w:line="312" w:lineRule="auto"/>
        <w:ind w:left="567" w:hanging="295"/>
        <w:jc w:val="both"/>
        <w:rPr>
          <w:sz w:val="28"/>
          <w:szCs w:val="28"/>
        </w:rPr>
      </w:pPr>
      <w:r>
        <w:rPr>
          <w:sz w:val="28"/>
          <w:szCs w:val="28"/>
        </w:rPr>
        <w:t>Федеральный закон от 5 апреля 2021 г. № 77-ФЗ «О внесении изменений в статью 13 Федерального закона «Об основных гарантиях прав ребенка в Российской Федерации»;</w:t>
      </w:r>
    </w:p>
    <w:p w14:paraId="34CA7A98" w14:textId="77777777" w:rsidR="00D16589" w:rsidRDefault="00D16589" w:rsidP="00BD5345">
      <w:pPr>
        <w:pStyle w:val="af6"/>
        <w:numPr>
          <w:ilvl w:val="0"/>
          <w:numId w:val="2"/>
        </w:numPr>
        <w:spacing w:line="312" w:lineRule="auto"/>
        <w:ind w:left="567" w:hanging="295"/>
        <w:jc w:val="both"/>
        <w:rPr>
          <w:sz w:val="28"/>
          <w:szCs w:val="28"/>
        </w:rPr>
      </w:pPr>
      <w:r>
        <w:rPr>
          <w:sz w:val="28"/>
          <w:szCs w:val="28"/>
        </w:rPr>
        <w:t>Федеральный закон от 30 апреля 2021 г. № 118-ФЗ «О внесении изменений в отдельные законодательные акты Российской Федерации»;</w:t>
      </w:r>
    </w:p>
    <w:p w14:paraId="56CDE293" w14:textId="77777777" w:rsidR="0053724F" w:rsidRDefault="0053724F" w:rsidP="0053724F">
      <w:pPr>
        <w:pStyle w:val="af6"/>
        <w:numPr>
          <w:ilvl w:val="0"/>
          <w:numId w:val="2"/>
        </w:numPr>
        <w:spacing w:line="312" w:lineRule="auto"/>
        <w:ind w:left="567"/>
        <w:jc w:val="both"/>
        <w:rPr>
          <w:sz w:val="28"/>
          <w:szCs w:val="28"/>
        </w:rPr>
      </w:pPr>
      <w:r w:rsidRPr="0053724F">
        <w:rPr>
          <w:sz w:val="28"/>
          <w:szCs w:val="28"/>
        </w:rPr>
        <w:t>Федеральный закон от 30 апреля 2021 г. № 126-ФЗ «О внесении изменений в отдельные законодательные акты Российской Федерации по вопросам обязательного социального страхования</w:t>
      </w:r>
      <w:r>
        <w:rPr>
          <w:sz w:val="28"/>
          <w:szCs w:val="28"/>
        </w:rPr>
        <w:t>;</w:t>
      </w:r>
    </w:p>
    <w:p w14:paraId="3379F493" w14:textId="77777777" w:rsidR="008152A2" w:rsidRDefault="008152A2" w:rsidP="00BD5345">
      <w:pPr>
        <w:pStyle w:val="af6"/>
        <w:numPr>
          <w:ilvl w:val="0"/>
          <w:numId w:val="2"/>
        </w:numPr>
        <w:spacing w:line="312" w:lineRule="auto"/>
        <w:ind w:left="567" w:hanging="295"/>
        <w:jc w:val="both"/>
        <w:rPr>
          <w:sz w:val="28"/>
          <w:szCs w:val="28"/>
        </w:rPr>
      </w:pPr>
      <w:r>
        <w:rPr>
          <w:sz w:val="28"/>
          <w:szCs w:val="28"/>
        </w:rPr>
        <w:t xml:space="preserve">Федеральный закон от 30 апреля 2021 г. № 134-ФЗ </w:t>
      </w:r>
      <w:r w:rsidR="009027CB">
        <w:rPr>
          <w:sz w:val="28"/>
          <w:szCs w:val="28"/>
        </w:rPr>
        <w:t>«О внесении изменений в Федеральный закон «О государственной социальной помощи»;</w:t>
      </w:r>
    </w:p>
    <w:p w14:paraId="68A876B4" w14:textId="77777777" w:rsidR="001503DB" w:rsidRDefault="00F06677" w:rsidP="00BD5345">
      <w:pPr>
        <w:pStyle w:val="af6"/>
        <w:numPr>
          <w:ilvl w:val="0"/>
          <w:numId w:val="2"/>
        </w:numPr>
        <w:spacing w:line="312" w:lineRule="auto"/>
        <w:ind w:left="567" w:hanging="295"/>
        <w:jc w:val="both"/>
        <w:rPr>
          <w:sz w:val="28"/>
          <w:szCs w:val="28"/>
        </w:rPr>
      </w:pPr>
      <w:r>
        <w:rPr>
          <w:sz w:val="28"/>
          <w:szCs w:val="28"/>
        </w:rPr>
        <w:t>Федеральный закон от 26 мая 2021 г. № 151-ФЗ «О внесении изменений в отдельные законодательные акты Российской Федерации»;</w:t>
      </w:r>
    </w:p>
    <w:p w14:paraId="21DEC649" w14:textId="77777777" w:rsidR="009027CB" w:rsidRDefault="009027CB" w:rsidP="00BD5345">
      <w:pPr>
        <w:pStyle w:val="af6"/>
        <w:numPr>
          <w:ilvl w:val="0"/>
          <w:numId w:val="2"/>
        </w:numPr>
        <w:spacing w:line="312" w:lineRule="auto"/>
        <w:ind w:left="567" w:hanging="295"/>
        <w:jc w:val="both"/>
        <w:rPr>
          <w:sz w:val="28"/>
          <w:szCs w:val="28"/>
        </w:rPr>
      </w:pPr>
      <w:r>
        <w:rPr>
          <w:sz w:val="28"/>
          <w:szCs w:val="28"/>
        </w:rPr>
        <w:t>Федеральный закон от 26 мая 2021 г. № 153-ФЗ «О внесении изменений в отдельные законодательные акты Российской Федерации»;</w:t>
      </w:r>
    </w:p>
    <w:p w14:paraId="7A69B1C3" w14:textId="77777777" w:rsidR="00646D3B" w:rsidRDefault="00646D3B" w:rsidP="00BD5345">
      <w:pPr>
        <w:pStyle w:val="af6"/>
        <w:numPr>
          <w:ilvl w:val="0"/>
          <w:numId w:val="2"/>
        </w:numPr>
        <w:spacing w:line="312" w:lineRule="auto"/>
        <w:ind w:left="567" w:hanging="295"/>
        <w:jc w:val="both"/>
        <w:rPr>
          <w:sz w:val="28"/>
          <w:szCs w:val="28"/>
        </w:rPr>
      </w:pPr>
      <w:r>
        <w:rPr>
          <w:sz w:val="28"/>
          <w:szCs w:val="28"/>
        </w:rPr>
        <w:t>Федеральный закон от 29 июня 2021 г. № 234-ФЗ «О внесении изменений в статью 446 Гражданского процессуального кодекса Российской Федерации и Федеральный закон «Об исполнительном производстве»;</w:t>
      </w:r>
    </w:p>
    <w:p w14:paraId="43D57E79" w14:textId="77777777" w:rsidR="00A9205D" w:rsidRDefault="00A9205D" w:rsidP="00BD5345">
      <w:pPr>
        <w:pStyle w:val="af6"/>
        <w:numPr>
          <w:ilvl w:val="0"/>
          <w:numId w:val="2"/>
        </w:numPr>
        <w:spacing w:line="312" w:lineRule="auto"/>
        <w:ind w:left="567" w:hanging="295"/>
        <w:jc w:val="both"/>
        <w:rPr>
          <w:sz w:val="28"/>
          <w:szCs w:val="28"/>
        </w:rPr>
      </w:pPr>
      <w:r>
        <w:rPr>
          <w:sz w:val="28"/>
          <w:szCs w:val="28"/>
        </w:rPr>
        <w:t>Федеральный закон от 1 июля 2021 г. № 252-ФЗ «О внесении изменения в статью 8 Федерального закона «Об оперативно-розыскной деятельности»;</w:t>
      </w:r>
    </w:p>
    <w:p w14:paraId="7061D2E1" w14:textId="77777777" w:rsidR="0053724F" w:rsidRDefault="0053724F" w:rsidP="0053724F">
      <w:pPr>
        <w:pStyle w:val="af6"/>
        <w:numPr>
          <w:ilvl w:val="0"/>
          <w:numId w:val="2"/>
        </w:numPr>
        <w:spacing w:line="312" w:lineRule="auto"/>
        <w:ind w:left="567"/>
        <w:jc w:val="both"/>
        <w:rPr>
          <w:sz w:val="28"/>
          <w:szCs w:val="28"/>
        </w:rPr>
      </w:pPr>
      <w:r w:rsidRPr="0053724F">
        <w:rPr>
          <w:sz w:val="28"/>
          <w:szCs w:val="28"/>
        </w:rPr>
        <w:t>Федеральный закон от 1 июля 2021 г. № 264-ФЗ «О внесении изменений в статью 4 Федерального закона «О защите детей от информации, причиняющей вред их здоровью и развитию»</w:t>
      </w:r>
      <w:r>
        <w:rPr>
          <w:sz w:val="28"/>
          <w:szCs w:val="28"/>
        </w:rPr>
        <w:t>;</w:t>
      </w:r>
    </w:p>
    <w:p w14:paraId="73E3E34B" w14:textId="77777777" w:rsidR="00A9205D" w:rsidRDefault="00A9205D" w:rsidP="0053724F">
      <w:pPr>
        <w:pStyle w:val="af6"/>
        <w:numPr>
          <w:ilvl w:val="0"/>
          <w:numId w:val="2"/>
        </w:numPr>
        <w:spacing w:line="312" w:lineRule="auto"/>
        <w:ind w:left="567"/>
        <w:jc w:val="both"/>
        <w:rPr>
          <w:sz w:val="28"/>
          <w:szCs w:val="28"/>
        </w:rPr>
      </w:pPr>
      <w:r>
        <w:rPr>
          <w:sz w:val="28"/>
          <w:szCs w:val="28"/>
        </w:rPr>
        <w:t>Федеральный закон от 1 июля 2021 г. № 268-ФЗ «О внесении изменений в Федеральный закон «О порядке выезда из Российской Федерации и въезда в Российскую Федерацию»;</w:t>
      </w:r>
    </w:p>
    <w:p w14:paraId="0893A145" w14:textId="77777777" w:rsidR="00A9205D" w:rsidRDefault="00A9205D" w:rsidP="0053724F">
      <w:pPr>
        <w:pStyle w:val="af6"/>
        <w:numPr>
          <w:ilvl w:val="0"/>
          <w:numId w:val="2"/>
        </w:numPr>
        <w:spacing w:line="312" w:lineRule="auto"/>
        <w:ind w:left="567"/>
        <w:jc w:val="both"/>
        <w:rPr>
          <w:sz w:val="28"/>
          <w:szCs w:val="28"/>
        </w:rPr>
      </w:pPr>
      <w:r>
        <w:rPr>
          <w:sz w:val="28"/>
          <w:szCs w:val="28"/>
        </w:rPr>
        <w:t>Федеральный закон от 1 июля 2021 г. № 285-ФЗ «О внесении изменения в статью 151 Уголовно-процессуального кодекса Российской Федерации»;</w:t>
      </w:r>
    </w:p>
    <w:p w14:paraId="229E92A2" w14:textId="77777777" w:rsidR="00A8292D" w:rsidRDefault="00A8292D" w:rsidP="00BD5345">
      <w:pPr>
        <w:pStyle w:val="af6"/>
        <w:numPr>
          <w:ilvl w:val="0"/>
          <w:numId w:val="2"/>
        </w:numPr>
        <w:spacing w:line="312" w:lineRule="auto"/>
        <w:ind w:left="567" w:hanging="295"/>
        <w:jc w:val="both"/>
        <w:rPr>
          <w:sz w:val="28"/>
          <w:szCs w:val="28"/>
        </w:rPr>
      </w:pPr>
      <w:r>
        <w:rPr>
          <w:sz w:val="28"/>
          <w:szCs w:val="28"/>
        </w:rPr>
        <w:t>Федеральный закон от 2 июля 2021 г. № 310-ФЗ «О внесении изменений в статью 54 Семейного кодекса Российской Федерации и статьи 36 и 67 Федерального закона «Об образовании в Российской Федерации»;</w:t>
      </w:r>
    </w:p>
    <w:p w14:paraId="386C1E07" w14:textId="77777777" w:rsidR="00F06677" w:rsidRDefault="00F06677" w:rsidP="00BD5345">
      <w:pPr>
        <w:pStyle w:val="af6"/>
        <w:numPr>
          <w:ilvl w:val="0"/>
          <w:numId w:val="2"/>
        </w:numPr>
        <w:spacing w:line="312" w:lineRule="auto"/>
        <w:ind w:left="567" w:hanging="295"/>
        <w:jc w:val="both"/>
        <w:rPr>
          <w:sz w:val="28"/>
          <w:szCs w:val="28"/>
        </w:rPr>
      </w:pPr>
      <w:r>
        <w:rPr>
          <w:sz w:val="28"/>
          <w:szCs w:val="28"/>
        </w:rPr>
        <w:t>Федеральный закон от 6 декабря 2021 г. № 409-ФЗ «О внесении изменений в отдельные законодательные акты Российской Федерации и о приостановлении действия отдельных положений статьи 4 Федерального закона «О прожиточном минимуме в Российской Федерации»;</w:t>
      </w:r>
    </w:p>
    <w:p w14:paraId="26C8CFD5" w14:textId="77777777" w:rsidR="00F06677" w:rsidRDefault="00F06677" w:rsidP="00BD5345">
      <w:pPr>
        <w:pStyle w:val="af6"/>
        <w:numPr>
          <w:ilvl w:val="0"/>
          <w:numId w:val="2"/>
        </w:numPr>
        <w:spacing w:line="312" w:lineRule="auto"/>
        <w:ind w:left="567" w:hanging="295"/>
        <w:jc w:val="both"/>
        <w:rPr>
          <w:sz w:val="28"/>
          <w:szCs w:val="28"/>
        </w:rPr>
      </w:pPr>
      <w:r>
        <w:rPr>
          <w:sz w:val="28"/>
          <w:szCs w:val="28"/>
        </w:rPr>
        <w:t>Федеральный закон от 21 декабря 2021 г. № 415-ФЗ «О внесении изменений в отдельные законодательные акты Российской Федерации»;</w:t>
      </w:r>
    </w:p>
    <w:p w14:paraId="00D9D754" w14:textId="77777777" w:rsidR="00F06677" w:rsidRDefault="00F06677" w:rsidP="00BD5345">
      <w:pPr>
        <w:pStyle w:val="af6"/>
        <w:numPr>
          <w:ilvl w:val="0"/>
          <w:numId w:val="2"/>
        </w:numPr>
        <w:spacing w:line="312" w:lineRule="auto"/>
        <w:ind w:left="567" w:hanging="295"/>
        <w:jc w:val="both"/>
        <w:rPr>
          <w:sz w:val="28"/>
          <w:szCs w:val="28"/>
        </w:rPr>
      </w:pPr>
      <w:r>
        <w:rPr>
          <w:sz w:val="28"/>
          <w:szCs w:val="28"/>
        </w:rPr>
        <w:t xml:space="preserve">Федеральный закон от </w:t>
      </w:r>
      <w:r w:rsidR="000546D7">
        <w:rPr>
          <w:sz w:val="28"/>
          <w:szCs w:val="28"/>
        </w:rPr>
        <w:t>30 декабря 2021 г. № 436-ФЗ «О внесении изменений в Федеральный закон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и отдельные законодател</w:t>
      </w:r>
      <w:r w:rsidR="0053724F">
        <w:rPr>
          <w:sz w:val="28"/>
          <w:szCs w:val="28"/>
        </w:rPr>
        <w:t>ьные акты Российской Федерации»;</w:t>
      </w:r>
    </w:p>
    <w:p w14:paraId="402666CA" w14:textId="77777777" w:rsidR="0053724F" w:rsidRDefault="0053724F" w:rsidP="00BD5345">
      <w:pPr>
        <w:pStyle w:val="af6"/>
        <w:numPr>
          <w:ilvl w:val="0"/>
          <w:numId w:val="2"/>
        </w:numPr>
        <w:spacing w:line="312" w:lineRule="auto"/>
        <w:ind w:left="567" w:hanging="295"/>
        <w:jc w:val="both"/>
        <w:rPr>
          <w:sz w:val="28"/>
          <w:szCs w:val="28"/>
        </w:rPr>
      </w:pPr>
      <w:r w:rsidRPr="0053724F">
        <w:rPr>
          <w:sz w:val="28"/>
          <w:szCs w:val="28"/>
        </w:rPr>
        <w:t>Федеральны</w:t>
      </w:r>
      <w:r>
        <w:rPr>
          <w:sz w:val="28"/>
          <w:szCs w:val="28"/>
        </w:rPr>
        <w:t>й</w:t>
      </w:r>
      <w:r w:rsidRPr="0053724F">
        <w:rPr>
          <w:sz w:val="28"/>
          <w:szCs w:val="28"/>
        </w:rPr>
        <w:t xml:space="preserve"> закон от 30 декабря 2021 г. № 479-ФЗ «О внесении изменений в статью 5.35.1 Кодекса Российской Федерации об административных правонарушениях»</w:t>
      </w:r>
      <w:r>
        <w:rPr>
          <w:sz w:val="28"/>
          <w:szCs w:val="28"/>
        </w:rPr>
        <w:t>;</w:t>
      </w:r>
    </w:p>
    <w:p w14:paraId="1C4232D8" w14:textId="77777777" w:rsidR="0053724F" w:rsidRDefault="0053724F" w:rsidP="00BD5345">
      <w:pPr>
        <w:pStyle w:val="af6"/>
        <w:numPr>
          <w:ilvl w:val="0"/>
          <w:numId w:val="2"/>
        </w:numPr>
        <w:spacing w:line="312" w:lineRule="auto"/>
        <w:ind w:left="567" w:hanging="295"/>
        <w:jc w:val="both"/>
        <w:rPr>
          <w:sz w:val="28"/>
          <w:szCs w:val="28"/>
        </w:rPr>
      </w:pPr>
      <w:r w:rsidRPr="0053724F">
        <w:rPr>
          <w:sz w:val="28"/>
          <w:szCs w:val="28"/>
        </w:rPr>
        <w:t>Федеральный закон от 30 декабря 2021 г. № 4</w:t>
      </w:r>
      <w:r>
        <w:rPr>
          <w:sz w:val="28"/>
          <w:szCs w:val="28"/>
        </w:rPr>
        <w:t>9</w:t>
      </w:r>
      <w:r w:rsidRPr="0053724F">
        <w:rPr>
          <w:sz w:val="28"/>
          <w:szCs w:val="28"/>
        </w:rPr>
        <w:t>9-ФЗ</w:t>
      </w:r>
      <w:r>
        <w:rPr>
          <w:sz w:val="28"/>
          <w:szCs w:val="28"/>
        </w:rPr>
        <w:t xml:space="preserve"> </w:t>
      </w:r>
      <w:r w:rsidRPr="0053724F">
        <w:rPr>
          <w:sz w:val="28"/>
          <w:szCs w:val="28"/>
        </w:rPr>
        <w:t>«О внесении изменений в статью 157 Уголовного кодекса Российской Федерации»</w:t>
      </w:r>
      <w:r>
        <w:rPr>
          <w:sz w:val="28"/>
          <w:szCs w:val="28"/>
        </w:rPr>
        <w:t>.</w:t>
      </w:r>
    </w:p>
    <w:p w14:paraId="32A55725" w14:textId="77777777" w:rsidR="00240C9C" w:rsidRDefault="00240C9C" w:rsidP="00240C9C">
      <w:pPr>
        <w:spacing w:before="240" w:after="240" w:line="312" w:lineRule="auto"/>
        <w:ind w:firstLine="709"/>
        <w:rPr>
          <w:rFonts w:ascii="Times New Roman" w:eastAsia="Calibri" w:hAnsi="Times New Roman" w:cs="Times New Roman"/>
          <w:b/>
          <w:sz w:val="28"/>
          <w:szCs w:val="28"/>
        </w:rPr>
      </w:pPr>
      <w:r w:rsidRPr="00D03A4F">
        <w:rPr>
          <w:rFonts w:ascii="Times New Roman" w:eastAsia="Calibri" w:hAnsi="Times New Roman" w:cs="Times New Roman"/>
          <w:b/>
          <w:sz w:val="28"/>
          <w:szCs w:val="28"/>
        </w:rPr>
        <w:t>Указы Президента Российской Федерации:</w:t>
      </w:r>
    </w:p>
    <w:p w14:paraId="0C0CF5A5" w14:textId="77777777" w:rsidR="0053724F" w:rsidRPr="0053724F" w:rsidRDefault="0053724F" w:rsidP="0053724F">
      <w:pPr>
        <w:pStyle w:val="af6"/>
        <w:numPr>
          <w:ilvl w:val="0"/>
          <w:numId w:val="3"/>
        </w:numPr>
        <w:spacing w:before="240" w:after="240" w:line="312" w:lineRule="auto"/>
        <w:ind w:left="567"/>
        <w:jc w:val="both"/>
        <w:rPr>
          <w:rFonts w:eastAsia="Calibri"/>
          <w:sz w:val="28"/>
          <w:szCs w:val="28"/>
        </w:rPr>
      </w:pPr>
      <w:r w:rsidRPr="0053724F">
        <w:rPr>
          <w:rFonts w:eastAsia="Calibri"/>
          <w:sz w:val="28"/>
          <w:szCs w:val="28"/>
        </w:rPr>
        <w:t>Указ Президента Р</w:t>
      </w:r>
      <w:r>
        <w:rPr>
          <w:rFonts w:eastAsia="Calibri"/>
          <w:sz w:val="28"/>
          <w:szCs w:val="28"/>
        </w:rPr>
        <w:t xml:space="preserve">оссийской </w:t>
      </w:r>
      <w:r w:rsidRPr="0053724F">
        <w:rPr>
          <w:rFonts w:eastAsia="Calibri"/>
          <w:sz w:val="28"/>
          <w:szCs w:val="28"/>
        </w:rPr>
        <w:t>Ф</w:t>
      </w:r>
      <w:r>
        <w:rPr>
          <w:rFonts w:eastAsia="Calibri"/>
          <w:sz w:val="28"/>
          <w:szCs w:val="28"/>
        </w:rPr>
        <w:t xml:space="preserve">едерации от </w:t>
      </w:r>
      <w:r w:rsidRPr="0053724F">
        <w:rPr>
          <w:rFonts w:eastAsia="Calibri"/>
          <w:sz w:val="28"/>
          <w:szCs w:val="28"/>
        </w:rPr>
        <w:t>5</w:t>
      </w:r>
      <w:r>
        <w:rPr>
          <w:rFonts w:eastAsia="Calibri"/>
          <w:sz w:val="28"/>
          <w:szCs w:val="28"/>
        </w:rPr>
        <w:t xml:space="preserve"> января </w:t>
      </w:r>
      <w:r w:rsidRPr="0053724F">
        <w:rPr>
          <w:rFonts w:eastAsia="Calibri"/>
          <w:sz w:val="28"/>
          <w:szCs w:val="28"/>
        </w:rPr>
        <w:t>2021</w:t>
      </w:r>
      <w:r>
        <w:rPr>
          <w:rFonts w:eastAsia="Calibri"/>
          <w:sz w:val="28"/>
          <w:szCs w:val="28"/>
        </w:rPr>
        <w:t xml:space="preserve"> г.</w:t>
      </w:r>
      <w:r w:rsidRPr="0053724F">
        <w:rPr>
          <w:rFonts w:eastAsia="Calibri"/>
          <w:sz w:val="28"/>
          <w:szCs w:val="28"/>
        </w:rPr>
        <w:t xml:space="preserve"> </w:t>
      </w:r>
      <w:r>
        <w:rPr>
          <w:rFonts w:eastAsia="Calibri"/>
          <w:sz w:val="28"/>
          <w:szCs w:val="28"/>
        </w:rPr>
        <w:t>№</w:t>
      </w:r>
      <w:r w:rsidRPr="0053724F">
        <w:rPr>
          <w:rFonts w:eastAsia="Calibri"/>
          <w:sz w:val="28"/>
          <w:szCs w:val="28"/>
        </w:rPr>
        <w:t xml:space="preserve"> 16 </w:t>
      </w:r>
      <w:r>
        <w:rPr>
          <w:rFonts w:eastAsia="Calibri"/>
          <w:sz w:val="28"/>
          <w:szCs w:val="28"/>
        </w:rPr>
        <w:t>«</w:t>
      </w:r>
      <w:r w:rsidRPr="0053724F">
        <w:rPr>
          <w:rFonts w:eastAsia="Calibri"/>
          <w:sz w:val="28"/>
          <w:szCs w:val="28"/>
        </w:rPr>
        <w:t xml:space="preserve">О создании Фонда поддержки детей с тяжелыми жизнеугрожающими и хроническими заболеваниями, в том числе редкими (орфанными) заболеваниями, </w:t>
      </w:r>
      <w:r>
        <w:rPr>
          <w:rFonts w:eastAsia="Calibri"/>
          <w:sz w:val="28"/>
          <w:szCs w:val="28"/>
        </w:rPr>
        <w:t>«</w:t>
      </w:r>
      <w:r w:rsidRPr="0053724F">
        <w:rPr>
          <w:rFonts w:eastAsia="Calibri"/>
          <w:sz w:val="28"/>
          <w:szCs w:val="28"/>
        </w:rPr>
        <w:t>Круг добра</w:t>
      </w:r>
      <w:r>
        <w:rPr>
          <w:rFonts w:eastAsia="Calibri"/>
          <w:sz w:val="28"/>
          <w:szCs w:val="28"/>
        </w:rPr>
        <w:t>»;</w:t>
      </w:r>
    </w:p>
    <w:p w14:paraId="68386E31" w14:textId="77777777" w:rsidR="00FF1123" w:rsidRDefault="00FF1123" w:rsidP="00BD5345">
      <w:pPr>
        <w:pStyle w:val="af6"/>
        <w:numPr>
          <w:ilvl w:val="0"/>
          <w:numId w:val="3"/>
        </w:numPr>
        <w:spacing w:before="240" w:after="240" w:line="312" w:lineRule="auto"/>
        <w:ind w:left="567"/>
        <w:jc w:val="both"/>
        <w:rPr>
          <w:rFonts w:eastAsia="Calibri"/>
          <w:sz w:val="28"/>
          <w:szCs w:val="28"/>
        </w:rPr>
      </w:pPr>
      <w:r w:rsidRPr="00FF1123">
        <w:rPr>
          <w:rFonts w:eastAsia="Calibri"/>
          <w:sz w:val="28"/>
          <w:szCs w:val="28"/>
        </w:rPr>
        <w:t>Ука</w:t>
      </w:r>
      <w:r>
        <w:rPr>
          <w:rFonts w:eastAsia="Calibri"/>
          <w:sz w:val="28"/>
          <w:szCs w:val="28"/>
        </w:rPr>
        <w:t xml:space="preserve">з Президента Российской Федерации от 10 марта 2021 г. № 140 </w:t>
      </w:r>
      <w:r>
        <w:rPr>
          <w:rFonts w:eastAsia="Calibri"/>
          <w:sz w:val="28"/>
          <w:szCs w:val="28"/>
        </w:rPr>
        <w:br/>
        <w:t xml:space="preserve">«О некоторых вопросах, связанных с осуществлением ежемесячной денежной выплаты, предусмотренной Указом Президента Российской Федерации </w:t>
      </w:r>
      <w:r w:rsidR="00DF57BB">
        <w:rPr>
          <w:rFonts w:eastAsia="Calibri"/>
          <w:sz w:val="28"/>
          <w:szCs w:val="28"/>
        </w:rPr>
        <w:br/>
      </w:r>
      <w:r>
        <w:rPr>
          <w:rFonts w:eastAsia="Calibri"/>
          <w:sz w:val="28"/>
          <w:szCs w:val="28"/>
        </w:rPr>
        <w:t>от 20 марта 2020 г. № 199 «О дополнительных мерах государственной поддержки семей, имеющих детей»;</w:t>
      </w:r>
    </w:p>
    <w:p w14:paraId="57E830EE" w14:textId="77777777" w:rsidR="00DF7B93" w:rsidRDefault="00FF1123" w:rsidP="00BD5345">
      <w:pPr>
        <w:pStyle w:val="af6"/>
        <w:numPr>
          <w:ilvl w:val="0"/>
          <w:numId w:val="3"/>
        </w:numPr>
        <w:spacing w:before="240" w:after="240" w:line="312" w:lineRule="auto"/>
        <w:ind w:left="567"/>
        <w:jc w:val="both"/>
        <w:rPr>
          <w:rFonts w:eastAsia="Calibri"/>
          <w:sz w:val="28"/>
          <w:szCs w:val="28"/>
        </w:rPr>
      </w:pPr>
      <w:r w:rsidRPr="00FF1123">
        <w:rPr>
          <w:rFonts w:eastAsia="Calibri"/>
          <w:sz w:val="28"/>
          <w:szCs w:val="28"/>
        </w:rPr>
        <w:t>Ука</w:t>
      </w:r>
      <w:r>
        <w:rPr>
          <w:rFonts w:eastAsia="Calibri"/>
          <w:sz w:val="28"/>
          <w:szCs w:val="28"/>
        </w:rPr>
        <w:t xml:space="preserve">з Президента Российской Федерации от 15 июня 2021 г. </w:t>
      </w:r>
      <w:r w:rsidR="00121269">
        <w:rPr>
          <w:rFonts w:eastAsia="Calibri"/>
          <w:sz w:val="28"/>
          <w:szCs w:val="28"/>
        </w:rPr>
        <w:t xml:space="preserve">№ 364 </w:t>
      </w:r>
      <w:r w:rsidR="0053724F">
        <w:rPr>
          <w:rFonts w:eastAsia="Calibri"/>
          <w:sz w:val="28"/>
          <w:szCs w:val="28"/>
        </w:rPr>
        <w:br/>
      </w:r>
      <w:r>
        <w:rPr>
          <w:rFonts w:eastAsia="Calibri"/>
          <w:sz w:val="28"/>
          <w:szCs w:val="28"/>
        </w:rPr>
        <w:t>«О временных мерах по урегулированию правового положения иностранных граждан и лиц без гражданства в Российской Федерации в период преодоления последствий распространения новой коронавирусной инфекции (</w:t>
      </w:r>
      <w:r>
        <w:rPr>
          <w:rFonts w:eastAsia="Calibri"/>
          <w:sz w:val="28"/>
          <w:szCs w:val="28"/>
          <w:lang w:val="en-US"/>
        </w:rPr>
        <w:t>COVID</w:t>
      </w:r>
      <w:r w:rsidRPr="00FF1123">
        <w:rPr>
          <w:rFonts w:eastAsia="Calibri"/>
          <w:sz w:val="28"/>
          <w:szCs w:val="28"/>
        </w:rPr>
        <w:t>-19)</w:t>
      </w:r>
      <w:r>
        <w:rPr>
          <w:rFonts w:eastAsia="Calibri"/>
          <w:sz w:val="28"/>
          <w:szCs w:val="28"/>
        </w:rPr>
        <w:t>»;</w:t>
      </w:r>
    </w:p>
    <w:p w14:paraId="01AA0038" w14:textId="77777777" w:rsidR="00615CFC" w:rsidRDefault="00615CFC" w:rsidP="00BD5345">
      <w:pPr>
        <w:pStyle w:val="af6"/>
        <w:numPr>
          <w:ilvl w:val="0"/>
          <w:numId w:val="3"/>
        </w:numPr>
        <w:spacing w:before="240" w:after="240" w:line="312" w:lineRule="auto"/>
        <w:ind w:left="567"/>
        <w:jc w:val="both"/>
        <w:rPr>
          <w:rFonts w:eastAsia="Calibri"/>
          <w:sz w:val="28"/>
          <w:szCs w:val="28"/>
        </w:rPr>
      </w:pPr>
      <w:r>
        <w:rPr>
          <w:rFonts w:eastAsia="Calibri"/>
          <w:sz w:val="28"/>
          <w:szCs w:val="28"/>
        </w:rPr>
        <w:t xml:space="preserve">Указ Президента Российской Федерации от 2 июля 2021 г. № 396 </w:t>
      </w:r>
      <w:r>
        <w:rPr>
          <w:rFonts w:eastAsia="Calibri"/>
          <w:sz w:val="28"/>
          <w:szCs w:val="28"/>
        </w:rPr>
        <w:br/>
        <w:t>«О единовременной выплате семьям, имеющим детей»;</w:t>
      </w:r>
    </w:p>
    <w:p w14:paraId="71D70B14" w14:textId="77777777" w:rsidR="00FF1123" w:rsidRDefault="00FF1123" w:rsidP="00BD5345">
      <w:pPr>
        <w:pStyle w:val="af6"/>
        <w:numPr>
          <w:ilvl w:val="0"/>
          <w:numId w:val="3"/>
        </w:numPr>
        <w:spacing w:before="240" w:after="240" w:line="312" w:lineRule="auto"/>
        <w:ind w:left="567"/>
        <w:jc w:val="both"/>
        <w:rPr>
          <w:rFonts w:eastAsia="Calibri"/>
          <w:sz w:val="28"/>
          <w:szCs w:val="28"/>
        </w:rPr>
      </w:pPr>
      <w:r>
        <w:rPr>
          <w:rFonts w:eastAsia="Calibri"/>
          <w:sz w:val="28"/>
          <w:szCs w:val="28"/>
        </w:rPr>
        <w:t>Указ Президента Российской Федера</w:t>
      </w:r>
      <w:r w:rsidR="00121269">
        <w:rPr>
          <w:rFonts w:eastAsia="Calibri"/>
          <w:sz w:val="28"/>
          <w:szCs w:val="28"/>
        </w:rPr>
        <w:t xml:space="preserve">ции от 4 октября 2021 г. № 573 </w:t>
      </w:r>
      <w:r>
        <w:rPr>
          <w:rFonts w:eastAsia="Calibri"/>
          <w:sz w:val="28"/>
          <w:szCs w:val="28"/>
        </w:rPr>
        <w:t>«О Дне отца»</w:t>
      </w:r>
      <w:r w:rsidR="00F06677">
        <w:rPr>
          <w:rFonts w:eastAsia="Calibri"/>
          <w:sz w:val="28"/>
          <w:szCs w:val="28"/>
        </w:rPr>
        <w:t>;</w:t>
      </w:r>
    </w:p>
    <w:p w14:paraId="61D0FAF2" w14:textId="77777777" w:rsidR="00F06677" w:rsidRPr="00FF1123" w:rsidRDefault="00F06677" w:rsidP="00BD5345">
      <w:pPr>
        <w:pStyle w:val="af6"/>
        <w:numPr>
          <w:ilvl w:val="0"/>
          <w:numId w:val="3"/>
        </w:numPr>
        <w:spacing w:before="240" w:after="240" w:line="312" w:lineRule="auto"/>
        <w:ind w:left="567"/>
        <w:jc w:val="both"/>
        <w:rPr>
          <w:rFonts w:eastAsia="Calibri"/>
          <w:sz w:val="28"/>
          <w:szCs w:val="28"/>
        </w:rPr>
      </w:pPr>
      <w:r>
        <w:rPr>
          <w:rFonts w:eastAsia="Calibri"/>
          <w:sz w:val="28"/>
          <w:szCs w:val="28"/>
        </w:rPr>
        <w:t>Указ Президента Российской Федера</w:t>
      </w:r>
      <w:r w:rsidR="00121269">
        <w:rPr>
          <w:rFonts w:eastAsia="Calibri"/>
          <w:sz w:val="28"/>
          <w:szCs w:val="28"/>
        </w:rPr>
        <w:t xml:space="preserve">ции от 12 ноября 2021 г. № 649 </w:t>
      </w:r>
      <w:r w:rsidR="0053724F">
        <w:rPr>
          <w:rFonts w:eastAsia="Calibri"/>
          <w:sz w:val="28"/>
          <w:szCs w:val="28"/>
        </w:rPr>
        <w:br/>
      </w:r>
      <w:r>
        <w:rPr>
          <w:rFonts w:eastAsia="Calibri"/>
          <w:sz w:val="28"/>
          <w:szCs w:val="28"/>
        </w:rPr>
        <w:t>«О внесении изменения в Указ П</w:t>
      </w:r>
      <w:r w:rsidR="00121269">
        <w:rPr>
          <w:rFonts w:eastAsia="Calibri"/>
          <w:sz w:val="28"/>
          <w:szCs w:val="28"/>
        </w:rPr>
        <w:t xml:space="preserve">резидента Российской Федерации </w:t>
      </w:r>
      <w:r>
        <w:rPr>
          <w:rFonts w:eastAsia="Calibri"/>
          <w:sz w:val="28"/>
          <w:szCs w:val="28"/>
        </w:rPr>
        <w:t>от 26 марта 2008 г. № 404 «О создании Фонда поддержки детей, находящихся в трудной жизненной ситуации».</w:t>
      </w:r>
    </w:p>
    <w:p w14:paraId="293804E2" w14:textId="77777777" w:rsidR="00240C9C" w:rsidRDefault="00240C9C" w:rsidP="00DF7B93">
      <w:pPr>
        <w:spacing w:before="240" w:after="240" w:line="312" w:lineRule="auto"/>
        <w:ind w:firstLine="709"/>
        <w:jc w:val="both"/>
        <w:rPr>
          <w:rFonts w:ascii="Times New Roman" w:eastAsia="Calibri" w:hAnsi="Times New Roman" w:cs="Times New Roman"/>
          <w:b/>
          <w:sz w:val="28"/>
          <w:szCs w:val="28"/>
        </w:rPr>
      </w:pPr>
      <w:r w:rsidRPr="00D03A4F">
        <w:rPr>
          <w:rFonts w:ascii="Times New Roman" w:eastAsia="Calibri" w:hAnsi="Times New Roman" w:cs="Times New Roman"/>
          <w:b/>
          <w:sz w:val="28"/>
          <w:szCs w:val="28"/>
        </w:rPr>
        <w:t>Нормативно-правовые акты Правительства Российской Федерации:</w:t>
      </w:r>
    </w:p>
    <w:p w14:paraId="65202C50" w14:textId="77777777" w:rsidR="00A8292D" w:rsidRDefault="00A8292D" w:rsidP="00BD5345">
      <w:pPr>
        <w:pStyle w:val="af6"/>
        <w:numPr>
          <w:ilvl w:val="0"/>
          <w:numId w:val="4"/>
        </w:numPr>
        <w:spacing w:before="240" w:after="240" w:line="312" w:lineRule="auto"/>
        <w:ind w:left="709" w:hanging="425"/>
        <w:jc w:val="both"/>
        <w:rPr>
          <w:rFonts w:eastAsia="Calibri"/>
          <w:sz w:val="28"/>
          <w:szCs w:val="28"/>
        </w:rPr>
      </w:pPr>
      <w:r>
        <w:rPr>
          <w:rFonts w:eastAsia="Calibri"/>
          <w:sz w:val="28"/>
          <w:szCs w:val="28"/>
        </w:rPr>
        <w:t>Постановление Правительства Рос</w:t>
      </w:r>
      <w:r w:rsidR="00121269">
        <w:rPr>
          <w:rFonts w:eastAsia="Calibri"/>
          <w:sz w:val="28"/>
          <w:szCs w:val="28"/>
        </w:rPr>
        <w:t xml:space="preserve">сийской Федерации от 28 января </w:t>
      </w:r>
      <w:r>
        <w:rPr>
          <w:rFonts w:eastAsia="Calibri"/>
          <w:sz w:val="28"/>
          <w:szCs w:val="28"/>
        </w:rPr>
        <w:t xml:space="preserve">2021 г. </w:t>
      </w:r>
      <w:r w:rsidR="00121269">
        <w:rPr>
          <w:rFonts w:eastAsia="Calibri"/>
          <w:sz w:val="28"/>
          <w:szCs w:val="28"/>
        </w:rPr>
        <w:br/>
      </w:r>
      <w:r>
        <w:rPr>
          <w:rFonts w:eastAsia="Calibri"/>
          <w:sz w:val="28"/>
          <w:szCs w:val="28"/>
        </w:rPr>
        <w:t>№ 73 «Об утверждении коэффициента индексации выплат, пособий и компенсаций в 2021 году»;</w:t>
      </w:r>
    </w:p>
    <w:p w14:paraId="1E50ED94" w14:textId="77777777" w:rsidR="0053724F" w:rsidRDefault="0053724F" w:rsidP="0053724F">
      <w:pPr>
        <w:pStyle w:val="af6"/>
        <w:numPr>
          <w:ilvl w:val="0"/>
          <w:numId w:val="4"/>
        </w:numPr>
        <w:spacing w:before="240" w:after="240" w:line="312" w:lineRule="auto"/>
        <w:ind w:left="709"/>
        <w:jc w:val="both"/>
        <w:rPr>
          <w:rFonts w:eastAsia="Calibri"/>
          <w:sz w:val="28"/>
          <w:szCs w:val="28"/>
        </w:rPr>
      </w:pPr>
      <w:r>
        <w:rPr>
          <w:rFonts w:eastAsia="Calibri"/>
          <w:sz w:val="28"/>
          <w:szCs w:val="28"/>
        </w:rPr>
        <w:t>П</w:t>
      </w:r>
      <w:r w:rsidRPr="0053724F">
        <w:rPr>
          <w:rFonts w:eastAsia="Calibri"/>
          <w:sz w:val="28"/>
          <w:szCs w:val="28"/>
        </w:rPr>
        <w:t xml:space="preserve">остановление Правительства Российской Федерации от 18 февраля 2021 г. </w:t>
      </w:r>
      <w:r>
        <w:rPr>
          <w:rFonts w:eastAsia="Calibri"/>
          <w:sz w:val="28"/>
          <w:szCs w:val="28"/>
        </w:rPr>
        <w:br/>
      </w:r>
      <w:r w:rsidRPr="0053724F">
        <w:rPr>
          <w:rFonts w:eastAsia="Calibri"/>
          <w:sz w:val="28"/>
          <w:szCs w:val="28"/>
        </w:rPr>
        <w:t>№ 207 «О внесении изменений в некоторые акты Правительства Российской Федерации»</w:t>
      </w:r>
      <w:r>
        <w:rPr>
          <w:rFonts w:eastAsia="Calibri"/>
          <w:sz w:val="28"/>
          <w:szCs w:val="28"/>
        </w:rPr>
        <w:t>;</w:t>
      </w:r>
    </w:p>
    <w:p w14:paraId="21B70B8D" w14:textId="77777777" w:rsidR="0053724F" w:rsidRPr="00ED2F8A" w:rsidRDefault="0053724F" w:rsidP="00ED2F8A">
      <w:pPr>
        <w:pStyle w:val="af6"/>
        <w:numPr>
          <w:ilvl w:val="0"/>
          <w:numId w:val="4"/>
        </w:numPr>
        <w:spacing w:before="240" w:after="240" w:line="312" w:lineRule="auto"/>
        <w:ind w:left="709"/>
        <w:jc w:val="both"/>
        <w:rPr>
          <w:rFonts w:eastAsia="Calibri"/>
          <w:sz w:val="28"/>
          <w:szCs w:val="28"/>
        </w:rPr>
      </w:pPr>
      <w:r w:rsidRPr="0053724F">
        <w:rPr>
          <w:rFonts w:eastAsia="Calibri"/>
          <w:sz w:val="28"/>
          <w:szCs w:val="28"/>
        </w:rPr>
        <w:t xml:space="preserve">Постановление Правительства Российской Федерации от 26 февраля 2021 г. </w:t>
      </w:r>
      <w:r w:rsidR="00ED2F8A">
        <w:rPr>
          <w:rFonts w:eastAsia="Calibri"/>
          <w:sz w:val="28"/>
          <w:szCs w:val="28"/>
        </w:rPr>
        <w:br/>
      </w:r>
      <w:r w:rsidRPr="0053724F">
        <w:rPr>
          <w:rFonts w:eastAsia="Calibri"/>
          <w:sz w:val="28"/>
          <w:szCs w:val="28"/>
        </w:rPr>
        <w:t>№ 256 «Об особенностях проведения государственной итоговой аттестации по образовательным программам основного общего и среднего о</w:t>
      </w:r>
      <w:r w:rsidR="00ED2F8A">
        <w:rPr>
          <w:rFonts w:eastAsia="Calibri"/>
          <w:sz w:val="28"/>
          <w:szCs w:val="28"/>
        </w:rPr>
        <w:t>бщего образования в 2021 году»;</w:t>
      </w:r>
    </w:p>
    <w:p w14:paraId="0642F053" w14:textId="77777777" w:rsidR="002C3C90" w:rsidRDefault="002C3C90" w:rsidP="00BD5345">
      <w:pPr>
        <w:pStyle w:val="af6"/>
        <w:numPr>
          <w:ilvl w:val="0"/>
          <w:numId w:val="4"/>
        </w:numPr>
        <w:spacing w:before="240" w:after="240" w:line="312" w:lineRule="auto"/>
        <w:ind w:left="709" w:hanging="425"/>
        <w:jc w:val="both"/>
        <w:rPr>
          <w:rFonts w:eastAsia="Calibri"/>
          <w:sz w:val="28"/>
          <w:szCs w:val="28"/>
        </w:rPr>
      </w:pPr>
      <w:r>
        <w:rPr>
          <w:rFonts w:eastAsia="Calibri"/>
          <w:sz w:val="28"/>
          <w:szCs w:val="28"/>
        </w:rPr>
        <w:t xml:space="preserve">Постановление Правительства Российской Федерации от 27 февраля 2021 г. </w:t>
      </w:r>
      <w:r w:rsidR="00121269">
        <w:rPr>
          <w:rFonts w:eastAsia="Calibri"/>
          <w:sz w:val="28"/>
          <w:szCs w:val="28"/>
        </w:rPr>
        <w:br/>
      </w:r>
      <w:r>
        <w:rPr>
          <w:rFonts w:eastAsia="Calibri"/>
          <w:sz w:val="28"/>
          <w:szCs w:val="28"/>
        </w:rPr>
        <w:t>№ 280 «О внесении изменения в пункт 10(4) Правил направления средств (части средств) материнского (семейного) капитала на улучшение жилищных условий»;</w:t>
      </w:r>
    </w:p>
    <w:p w14:paraId="510A5A4C" w14:textId="77777777" w:rsidR="002C3C90" w:rsidRDefault="002C3C90" w:rsidP="00BD5345">
      <w:pPr>
        <w:pStyle w:val="af6"/>
        <w:numPr>
          <w:ilvl w:val="0"/>
          <w:numId w:val="4"/>
        </w:numPr>
        <w:spacing w:before="240" w:after="240" w:line="312" w:lineRule="auto"/>
        <w:ind w:left="709" w:hanging="425"/>
        <w:jc w:val="both"/>
        <w:rPr>
          <w:rFonts w:eastAsia="Calibri"/>
          <w:sz w:val="28"/>
          <w:szCs w:val="28"/>
        </w:rPr>
      </w:pPr>
      <w:r>
        <w:rPr>
          <w:rFonts w:eastAsia="Calibri"/>
          <w:sz w:val="28"/>
          <w:szCs w:val="28"/>
        </w:rPr>
        <w:t>Постановление Правительства Ро</w:t>
      </w:r>
      <w:r w:rsidR="00121269">
        <w:rPr>
          <w:rFonts w:eastAsia="Calibri"/>
          <w:sz w:val="28"/>
          <w:szCs w:val="28"/>
        </w:rPr>
        <w:t xml:space="preserve">ссийской Федерации от 13 марта </w:t>
      </w:r>
      <w:r>
        <w:rPr>
          <w:rFonts w:eastAsia="Calibri"/>
          <w:sz w:val="28"/>
          <w:szCs w:val="28"/>
        </w:rPr>
        <w:t xml:space="preserve">2021 г. </w:t>
      </w:r>
      <w:r w:rsidR="00121269">
        <w:rPr>
          <w:rFonts w:eastAsia="Calibri"/>
          <w:sz w:val="28"/>
          <w:szCs w:val="28"/>
        </w:rPr>
        <w:br/>
      </w:r>
      <w:r>
        <w:rPr>
          <w:rFonts w:eastAsia="Calibri"/>
          <w:sz w:val="28"/>
          <w:szCs w:val="28"/>
        </w:rPr>
        <w:t>№ 368 «О внесении изменения в пункт 3(1) Правил направления средств (части средств) материнского (семейного) капитала на улучшение жилищных условий»;</w:t>
      </w:r>
    </w:p>
    <w:p w14:paraId="1536EDA7" w14:textId="77777777" w:rsidR="0053724F" w:rsidRDefault="0053724F" w:rsidP="0053724F">
      <w:pPr>
        <w:pStyle w:val="af6"/>
        <w:numPr>
          <w:ilvl w:val="0"/>
          <w:numId w:val="4"/>
        </w:numPr>
        <w:spacing w:before="240" w:after="240" w:line="312" w:lineRule="auto"/>
        <w:ind w:left="709"/>
        <w:jc w:val="both"/>
        <w:rPr>
          <w:rFonts w:eastAsia="Calibri"/>
          <w:sz w:val="28"/>
          <w:szCs w:val="28"/>
        </w:rPr>
      </w:pPr>
      <w:r>
        <w:rPr>
          <w:rFonts w:eastAsia="Calibri"/>
          <w:sz w:val="28"/>
          <w:szCs w:val="28"/>
        </w:rPr>
        <w:t>П</w:t>
      </w:r>
      <w:r w:rsidRPr="0053724F">
        <w:rPr>
          <w:rFonts w:eastAsia="Calibri"/>
          <w:sz w:val="28"/>
          <w:szCs w:val="28"/>
        </w:rPr>
        <w:t xml:space="preserve">остановление Правительства Российской Федерации от 23 марта 2021 г. </w:t>
      </w:r>
      <w:r>
        <w:rPr>
          <w:rFonts w:eastAsia="Calibri"/>
          <w:sz w:val="28"/>
          <w:szCs w:val="28"/>
        </w:rPr>
        <w:br/>
      </w:r>
      <w:r w:rsidRPr="0053724F">
        <w:rPr>
          <w:rFonts w:eastAsia="Calibri"/>
          <w:sz w:val="28"/>
          <w:szCs w:val="28"/>
        </w:rPr>
        <w:t>№ 443 «Об утверждении коэффициента индексации с 1 апреля 2021 г. социальных пенсий»</w:t>
      </w:r>
      <w:r>
        <w:rPr>
          <w:rFonts w:eastAsia="Calibri"/>
          <w:sz w:val="28"/>
          <w:szCs w:val="28"/>
        </w:rPr>
        <w:t>;</w:t>
      </w:r>
    </w:p>
    <w:p w14:paraId="7747E38D" w14:textId="77777777" w:rsidR="00D06326" w:rsidRDefault="00D06326" w:rsidP="0053724F">
      <w:pPr>
        <w:pStyle w:val="af6"/>
        <w:numPr>
          <w:ilvl w:val="0"/>
          <w:numId w:val="4"/>
        </w:numPr>
        <w:spacing w:before="240" w:after="240" w:line="312" w:lineRule="auto"/>
        <w:ind w:left="709"/>
        <w:jc w:val="both"/>
        <w:rPr>
          <w:rFonts w:eastAsia="Calibri"/>
          <w:sz w:val="28"/>
          <w:szCs w:val="28"/>
        </w:rPr>
      </w:pPr>
      <w:r>
        <w:rPr>
          <w:rFonts w:eastAsia="Calibri"/>
          <w:sz w:val="28"/>
          <w:szCs w:val="28"/>
        </w:rPr>
        <w:t xml:space="preserve">Постановление Правительства Российской Федерации от 29 марта 2021 г. </w:t>
      </w:r>
      <w:r>
        <w:rPr>
          <w:rFonts w:eastAsia="Calibri"/>
          <w:sz w:val="28"/>
          <w:szCs w:val="28"/>
        </w:rPr>
        <w:br/>
        <w:t>№ 473 «О внесении изменений в некоторые акты Правительства Российской Федерации и признании утратившим силу распоряжения Правительства Российской Федерации от 15 июня 2018 г. № 1188-р»;</w:t>
      </w:r>
    </w:p>
    <w:p w14:paraId="1BF187CB" w14:textId="77777777" w:rsidR="00DF7B93" w:rsidRDefault="00FF1123" w:rsidP="00BD5345">
      <w:pPr>
        <w:pStyle w:val="af6"/>
        <w:numPr>
          <w:ilvl w:val="0"/>
          <w:numId w:val="4"/>
        </w:numPr>
        <w:spacing w:before="240" w:after="240" w:line="312" w:lineRule="auto"/>
        <w:ind w:left="709" w:hanging="425"/>
        <w:jc w:val="both"/>
        <w:rPr>
          <w:rFonts w:eastAsia="Calibri"/>
          <w:sz w:val="28"/>
          <w:szCs w:val="28"/>
        </w:rPr>
      </w:pPr>
      <w:r w:rsidRPr="00FF1123">
        <w:rPr>
          <w:rFonts w:eastAsia="Calibri"/>
          <w:sz w:val="28"/>
          <w:szCs w:val="28"/>
        </w:rPr>
        <w:t>Постановление</w:t>
      </w:r>
      <w:r>
        <w:rPr>
          <w:rFonts w:eastAsia="Calibri"/>
          <w:sz w:val="28"/>
          <w:szCs w:val="28"/>
        </w:rPr>
        <w:t xml:space="preserve"> Правительства Ро</w:t>
      </w:r>
      <w:r w:rsidR="00121269">
        <w:rPr>
          <w:rFonts w:eastAsia="Calibri"/>
          <w:sz w:val="28"/>
          <w:szCs w:val="28"/>
        </w:rPr>
        <w:t xml:space="preserve">ссийской Федерации от 31 марта </w:t>
      </w:r>
      <w:r>
        <w:rPr>
          <w:rFonts w:eastAsia="Calibri"/>
          <w:sz w:val="28"/>
          <w:szCs w:val="28"/>
        </w:rPr>
        <w:t xml:space="preserve">2021 г. </w:t>
      </w:r>
      <w:r w:rsidR="00121269">
        <w:rPr>
          <w:rFonts w:eastAsia="Calibri"/>
          <w:sz w:val="28"/>
          <w:szCs w:val="28"/>
        </w:rPr>
        <w:br/>
      </w:r>
      <w:r>
        <w:rPr>
          <w:rFonts w:eastAsia="Calibri"/>
          <w:sz w:val="28"/>
          <w:szCs w:val="28"/>
        </w:rPr>
        <w:t>№ 489 «О внесении изменений в постановление Правительства Российской Федерации от 31 марта 2020 г. № 384»;</w:t>
      </w:r>
    </w:p>
    <w:p w14:paraId="1BF33C0F" w14:textId="77777777" w:rsidR="00E24F1C" w:rsidRDefault="00E24F1C" w:rsidP="00BD5345">
      <w:pPr>
        <w:pStyle w:val="af6"/>
        <w:numPr>
          <w:ilvl w:val="0"/>
          <w:numId w:val="4"/>
        </w:numPr>
        <w:spacing w:before="240" w:after="240" w:line="312" w:lineRule="auto"/>
        <w:ind w:left="709" w:hanging="425"/>
        <w:jc w:val="both"/>
        <w:rPr>
          <w:rFonts w:eastAsia="Calibri"/>
          <w:sz w:val="28"/>
          <w:szCs w:val="28"/>
        </w:rPr>
      </w:pPr>
      <w:r>
        <w:rPr>
          <w:rFonts w:eastAsia="Calibri"/>
          <w:sz w:val="28"/>
          <w:szCs w:val="28"/>
        </w:rPr>
        <w:t>Постановление Правительства Рос</w:t>
      </w:r>
      <w:r w:rsidR="00121269">
        <w:rPr>
          <w:rFonts w:eastAsia="Calibri"/>
          <w:sz w:val="28"/>
          <w:szCs w:val="28"/>
        </w:rPr>
        <w:t xml:space="preserve">сийской Федерации от 14 апреля </w:t>
      </w:r>
      <w:r>
        <w:rPr>
          <w:rFonts w:eastAsia="Calibri"/>
          <w:sz w:val="28"/>
          <w:szCs w:val="28"/>
        </w:rPr>
        <w:t xml:space="preserve">2021 г. </w:t>
      </w:r>
      <w:r w:rsidR="00121269">
        <w:rPr>
          <w:rFonts w:eastAsia="Calibri"/>
          <w:sz w:val="28"/>
          <w:szCs w:val="28"/>
        </w:rPr>
        <w:br/>
      </w:r>
      <w:r>
        <w:rPr>
          <w:rFonts w:eastAsia="Calibri"/>
          <w:sz w:val="28"/>
          <w:szCs w:val="28"/>
        </w:rPr>
        <w:t>№ 587 «О внесении изменений в Правила возмещения Российским кредитным организациям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p>
    <w:p w14:paraId="5D53BF99" w14:textId="77777777" w:rsidR="00166DB5" w:rsidRDefault="00166DB5" w:rsidP="00BD5345">
      <w:pPr>
        <w:pStyle w:val="af6"/>
        <w:numPr>
          <w:ilvl w:val="0"/>
          <w:numId w:val="4"/>
        </w:numPr>
        <w:spacing w:before="240" w:after="240" w:line="312" w:lineRule="auto"/>
        <w:ind w:left="709" w:hanging="425"/>
        <w:jc w:val="both"/>
        <w:rPr>
          <w:rFonts w:eastAsia="Calibri"/>
          <w:sz w:val="28"/>
          <w:szCs w:val="28"/>
        </w:rPr>
      </w:pPr>
      <w:r>
        <w:rPr>
          <w:rFonts w:eastAsia="Calibri"/>
          <w:sz w:val="28"/>
          <w:szCs w:val="28"/>
        </w:rPr>
        <w:t>Постановление Правительства Рос</w:t>
      </w:r>
      <w:r w:rsidR="00121269">
        <w:rPr>
          <w:rFonts w:eastAsia="Calibri"/>
          <w:sz w:val="28"/>
          <w:szCs w:val="28"/>
        </w:rPr>
        <w:t xml:space="preserve">сийской Федерации от 16 апреля </w:t>
      </w:r>
      <w:r>
        <w:rPr>
          <w:rFonts w:eastAsia="Calibri"/>
          <w:sz w:val="28"/>
          <w:szCs w:val="28"/>
        </w:rPr>
        <w:t xml:space="preserve">2021 г. </w:t>
      </w:r>
      <w:r w:rsidR="00121269">
        <w:rPr>
          <w:rFonts w:eastAsia="Calibri"/>
          <w:sz w:val="28"/>
          <w:szCs w:val="28"/>
        </w:rPr>
        <w:br/>
      </w:r>
      <w:r>
        <w:rPr>
          <w:rFonts w:eastAsia="Calibri"/>
          <w:sz w:val="28"/>
          <w:szCs w:val="28"/>
        </w:rPr>
        <w:t>№ 603 «О признании утратившими силу подпункта «г» пункта 15(1) Правил направления средств (части средств) материнского (семейного) капитала на улучшение жилищных условий»;</w:t>
      </w:r>
    </w:p>
    <w:p w14:paraId="70EA3A9A" w14:textId="7C7E27C8" w:rsidR="00ED2F8A" w:rsidRDefault="00FF1188" w:rsidP="00FF1188">
      <w:pPr>
        <w:pStyle w:val="af6"/>
        <w:numPr>
          <w:ilvl w:val="0"/>
          <w:numId w:val="4"/>
        </w:numPr>
        <w:spacing w:before="240" w:after="240" w:line="312" w:lineRule="auto"/>
        <w:ind w:left="567"/>
        <w:jc w:val="both"/>
        <w:rPr>
          <w:rFonts w:eastAsia="Calibri"/>
          <w:sz w:val="28"/>
          <w:szCs w:val="28"/>
        </w:rPr>
      </w:pPr>
      <w:r>
        <w:rPr>
          <w:rFonts w:eastAsia="Calibri"/>
          <w:sz w:val="28"/>
          <w:szCs w:val="28"/>
        </w:rPr>
        <w:t xml:space="preserve"> </w:t>
      </w:r>
      <w:r w:rsidR="00ED2F8A" w:rsidRPr="00ED2F8A">
        <w:rPr>
          <w:rFonts w:eastAsia="Calibri"/>
          <w:sz w:val="28"/>
          <w:szCs w:val="28"/>
        </w:rPr>
        <w:t xml:space="preserve">Постановление Правительства Российской Федерации от 29 апреля 2021 г. </w:t>
      </w:r>
      <w:r w:rsidR="00ED2F8A">
        <w:rPr>
          <w:rFonts w:eastAsia="Calibri"/>
          <w:sz w:val="28"/>
          <w:szCs w:val="28"/>
        </w:rPr>
        <w:br/>
      </w:r>
      <w:r w:rsidR="00ED2F8A" w:rsidRPr="00ED2F8A">
        <w:rPr>
          <w:rFonts w:eastAsia="Calibri"/>
          <w:sz w:val="28"/>
          <w:szCs w:val="28"/>
        </w:rPr>
        <w:t>№ 672 «О внесении изменений в государственную программу Российской Федерации «Социальная поддержка граждан» и государственную программу Российской Федерации «Обеспечение доступным и комфортным жильем и коммунальными услугами граждан Российской Федерации» и признании утратившим силу некоторых актов Правительства Российской Федерации»</w:t>
      </w:r>
      <w:r w:rsidR="00ED2F8A">
        <w:rPr>
          <w:rFonts w:eastAsia="Calibri"/>
          <w:sz w:val="28"/>
          <w:szCs w:val="28"/>
        </w:rPr>
        <w:t>;</w:t>
      </w:r>
    </w:p>
    <w:p w14:paraId="64D726F8" w14:textId="77777777" w:rsidR="0053724F" w:rsidRDefault="0053724F" w:rsidP="0053724F">
      <w:pPr>
        <w:pStyle w:val="af6"/>
        <w:numPr>
          <w:ilvl w:val="0"/>
          <w:numId w:val="4"/>
        </w:numPr>
        <w:spacing w:before="240" w:after="240" w:line="312" w:lineRule="auto"/>
        <w:ind w:left="709" w:hanging="425"/>
        <w:jc w:val="both"/>
        <w:rPr>
          <w:rFonts w:eastAsia="Calibri"/>
          <w:sz w:val="28"/>
          <w:szCs w:val="28"/>
        </w:rPr>
      </w:pPr>
      <w:r w:rsidRPr="0053724F">
        <w:rPr>
          <w:rFonts w:eastAsia="Calibri"/>
          <w:sz w:val="28"/>
          <w:szCs w:val="28"/>
        </w:rPr>
        <w:t>Постановление Правительства Р</w:t>
      </w:r>
      <w:r>
        <w:rPr>
          <w:rFonts w:eastAsia="Calibri"/>
          <w:sz w:val="28"/>
          <w:szCs w:val="28"/>
        </w:rPr>
        <w:t xml:space="preserve">оссийской </w:t>
      </w:r>
      <w:r w:rsidRPr="0053724F">
        <w:rPr>
          <w:rFonts w:eastAsia="Calibri"/>
          <w:sz w:val="28"/>
          <w:szCs w:val="28"/>
        </w:rPr>
        <w:t>Ф</w:t>
      </w:r>
      <w:r>
        <w:rPr>
          <w:rFonts w:eastAsia="Calibri"/>
          <w:sz w:val="28"/>
          <w:szCs w:val="28"/>
        </w:rPr>
        <w:t>едерации</w:t>
      </w:r>
      <w:r w:rsidRPr="0053724F">
        <w:rPr>
          <w:rFonts w:eastAsia="Calibri"/>
          <w:sz w:val="28"/>
          <w:szCs w:val="28"/>
        </w:rPr>
        <w:t xml:space="preserve"> от 14</w:t>
      </w:r>
      <w:r>
        <w:rPr>
          <w:rFonts w:eastAsia="Calibri"/>
          <w:sz w:val="28"/>
          <w:szCs w:val="28"/>
        </w:rPr>
        <w:t xml:space="preserve"> мая </w:t>
      </w:r>
      <w:r w:rsidRPr="0053724F">
        <w:rPr>
          <w:rFonts w:eastAsia="Calibri"/>
          <w:sz w:val="28"/>
          <w:szCs w:val="28"/>
        </w:rPr>
        <w:t>2021</w:t>
      </w:r>
      <w:r>
        <w:rPr>
          <w:rFonts w:eastAsia="Calibri"/>
          <w:sz w:val="28"/>
          <w:szCs w:val="28"/>
        </w:rPr>
        <w:t xml:space="preserve"> г.</w:t>
      </w:r>
      <w:r w:rsidRPr="0053724F">
        <w:rPr>
          <w:rFonts w:eastAsia="Calibri"/>
          <w:sz w:val="28"/>
          <w:szCs w:val="28"/>
        </w:rPr>
        <w:t xml:space="preserve"> </w:t>
      </w:r>
      <w:r>
        <w:rPr>
          <w:rFonts w:eastAsia="Calibri"/>
          <w:sz w:val="28"/>
          <w:szCs w:val="28"/>
        </w:rPr>
        <w:t>№</w:t>
      </w:r>
      <w:r w:rsidRPr="0053724F">
        <w:rPr>
          <w:rFonts w:eastAsia="Calibri"/>
          <w:sz w:val="28"/>
          <w:szCs w:val="28"/>
        </w:rPr>
        <w:t xml:space="preserve"> 732 </w:t>
      </w:r>
      <w:r>
        <w:rPr>
          <w:rFonts w:eastAsia="Calibri"/>
          <w:sz w:val="28"/>
          <w:szCs w:val="28"/>
        </w:rPr>
        <w:t>«</w:t>
      </w:r>
      <w:r w:rsidRPr="0053724F">
        <w:rPr>
          <w:rFonts w:eastAsia="Calibri"/>
          <w:sz w:val="28"/>
          <w:szCs w:val="28"/>
        </w:rPr>
        <w:t>Об утверждении требований к антитеррористической защищенности объектов (территорий), предназначенных для организации отдыха детей и их оздоровления, и формы паспорта безопасности объектов (территорий) стационарного типа, предназначенных для организации</w:t>
      </w:r>
      <w:r>
        <w:rPr>
          <w:rFonts w:eastAsia="Calibri"/>
          <w:sz w:val="28"/>
          <w:szCs w:val="28"/>
        </w:rPr>
        <w:t xml:space="preserve"> отдыха детей и их оздоровления»;</w:t>
      </w:r>
    </w:p>
    <w:p w14:paraId="2CFEF035" w14:textId="066F723C" w:rsidR="00ED2F8A" w:rsidRPr="0053724F" w:rsidRDefault="00FF1188" w:rsidP="00ED2F8A">
      <w:pPr>
        <w:pStyle w:val="af6"/>
        <w:numPr>
          <w:ilvl w:val="0"/>
          <w:numId w:val="4"/>
        </w:numPr>
        <w:spacing w:before="240" w:after="240" w:line="312" w:lineRule="auto"/>
        <w:ind w:left="709"/>
        <w:jc w:val="both"/>
        <w:rPr>
          <w:rFonts w:eastAsia="Calibri"/>
          <w:sz w:val="28"/>
          <w:szCs w:val="28"/>
        </w:rPr>
      </w:pPr>
      <w:r>
        <w:rPr>
          <w:rFonts w:eastAsia="Calibri"/>
          <w:sz w:val="28"/>
          <w:szCs w:val="28"/>
        </w:rPr>
        <w:t xml:space="preserve"> </w:t>
      </w:r>
      <w:r w:rsidR="00ED2F8A" w:rsidRPr="00ED2F8A">
        <w:rPr>
          <w:rFonts w:eastAsia="Calibri"/>
          <w:sz w:val="28"/>
          <w:szCs w:val="28"/>
        </w:rPr>
        <w:t>Постановление Правительства Российской Федерации от 19 мая 2021 г. № 760 «О внесении изменения в пункт 51 Положения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r w:rsidR="00ED2F8A">
        <w:rPr>
          <w:rFonts w:eastAsia="Calibri"/>
          <w:sz w:val="28"/>
          <w:szCs w:val="28"/>
        </w:rPr>
        <w:t>;</w:t>
      </w:r>
    </w:p>
    <w:p w14:paraId="4B51DB3F" w14:textId="2E858112" w:rsidR="0053724F" w:rsidRDefault="00FF1188" w:rsidP="0053724F">
      <w:pPr>
        <w:pStyle w:val="af6"/>
        <w:numPr>
          <w:ilvl w:val="0"/>
          <w:numId w:val="4"/>
        </w:numPr>
        <w:spacing w:before="240" w:after="240" w:line="312" w:lineRule="auto"/>
        <w:ind w:left="709"/>
        <w:jc w:val="both"/>
        <w:rPr>
          <w:rFonts w:eastAsia="Calibri"/>
          <w:sz w:val="28"/>
          <w:szCs w:val="28"/>
        </w:rPr>
      </w:pPr>
      <w:r>
        <w:rPr>
          <w:rFonts w:eastAsia="Calibri"/>
          <w:sz w:val="28"/>
          <w:szCs w:val="28"/>
        </w:rPr>
        <w:t xml:space="preserve"> </w:t>
      </w:r>
      <w:r w:rsidR="0053724F" w:rsidRPr="0053724F">
        <w:rPr>
          <w:rFonts w:eastAsia="Calibri"/>
          <w:sz w:val="28"/>
          <w:szCs w:val="28"/>
        </w:rPr>
        <w:t>Постановление Правительства Р</w:t>
      </w:r>
      <w:r w:rsidR="0053724F">
        <w:rPr>
          <w:rFonts w:eastAsia="Calibri"/>
          <w:sz w:val="28"/>
          <w:szCs w:val="28"/>
        </w:rPr>
        <w:t xml:space="preserve">оссийской </w:t>
      </w:r>
      <w:r w:rsidR="0053724F" w:rsidRPr="0053724F">
        <w:rPr>
          <w:rFonts w:eastAsia="Calibri"/>
          <w:sz w:val="28"/>
          <w:szCs w:val="28"/>
        </w:rPr>
        <w:t>Ф</w:t>
      </w:r>
      <w:r w:rsidR="0053724F">
        <w:rPr>
          <w:rFonts w:eastAsia="Calibri"/>
          <w:sz w:val="28"/>
          <w:szCs w:val="28"/>
        </w:rPr>
        <w:t>едерации</w:t>
      </w:r>
      <w:r w:rsidR="0053724F" w:rsidRPr="0053724F">
        <w:rPr>
          <w:rFonts w:eastAsia="Calibri"/>
          <w:sz w:val="28"/>
          <w:szCs w:val="28"/>
        </w:rPr>
        <w:t xml:space="preserve"> от 25</w:t>
      </w:r>
      <w:r w:rsidR="0053724F">
        <w:rPr>
          <w:rFonts w:eastAsia="Calibri"/>
          <w:sz w:val="28"/>
          <w:szCs w:val="28"/>
        </w:rPr>
        <w:t xml:space="preserve"> июня </w:t>
      </w:r>
      <w:r w:rsidR="0053724F" w:rsidRPr="0053724F">
        <w:rPr>
          <w:rFonts w:eastAsia="Calibri"/>
          <w:sz w:val="28"/>
          <w:szCs w:val="28"/>
        </w:rPr>
        <w:t>2021</w:t>
      </w:r>
      <w:r w:rsidR="0053724F">
        <w:rPr>
          <w:rFonts w:eastAsia="Calibri"/>
          <w:sz w:val="28"/>
          <w:szCs w:val="28"/>
        </w:rPr>
        <w:t xml:space="preserve"> г.</w:t>
      </w:r>
      <w:r w:rsidR="0053724F" w:rsidRPr="0053724F">
        <w:rPr>
          <w:rFonts w:eastAsia="Calibri"/>
          <w:sz w:val="28"/>
          <w:szCs w:val="28"/>
        </w:rPr>
        <w:t xml:space="preserve"> </w:t>
      </w:r>
      <w:r w:rsidR="0053724F">
        <w:rPr>
          <w:rFonts w:eastAsia="Calibri"/>
          <w:sz w:val="28"/>
          <w:szCs w:val="28"/>
        </w:rPr>
        <w:br/>
        <w:t>№</w:t>
      </w:r>
      <w:r w:rsidR="0053724F" w:rsidRPr="0053724F">
        <w:rPr>
          <w:rFonts w:eastAsia="Calibri"/>
          <w:sz w:val="28"/>
          <w:szCs w:val="28"/>
        </w:rPr>
        <w:t xml:space="preserve"> 1019 </w:t>
      </w:r>
      <w:r w:rsidR="0053724F">
        <w:rPr>
          <w:rFonts w:eastAsia="Calibri"/>
          <w:sz w:val="28"/>
          <w:szCs w:val="28"/>
        </w:rPr>
        <w:t>«</w:t>
      </w:r>
      <w:r w:rsidR="0053724F" w:rsidRPr="0053724F">
        <w:rPr>
          <w:rFonts w:eastAsia="Calibri"/>
          <w:sz w:val="28"/>
          <w:szCs w:val="28"/>
        </w:rPr>
        <w:t>Об утверждении Положения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w:t>
      </w:r>
      <w:r w:rsidR="0053724F">
        <w:rPr>
          <w:rFonts w:eastAsia="Calibri"/>
          <w:sz w:val="28"/>
          <w:szCs w:val="28"/>
        </w:rPr>
        <w:t>»</w:t>
      </w:r>
      <w:r w:rsidR="0053724F" w:rsidRPr="0053724F">
        <w:rPr>
          <w:rFonts w:eastAsia="Calibri"/>
          <w:sz w:val="28"/>
          <w:szCs w:val="28"/>
        </w:rPr>
        <w:t xml:space="preserve"> (вместе с </w:t>
      </w:r>
      <w:r w:rsidR="0053724F">
        <w:rPr>
          <w:rFonts w:eastAsia="Calibri"/>
          <w:sz w:val="28"/>
          <w:szCs w:val="28"/>
        </w:rPr>
        <w:t>«</w:t>
      </w:r>
      <w:r w:rsidR="0053724F" w:rsidRPr="0053724F">
        <w:rPr>
          <w:rFonts w:eastAsia="Calibri"/>
          <w:sz w:val="28"/>
          <w:szCs w:val="28"/>
        </w:rPr>
        <w:t>Положением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w:t>
      </w:r>
      <w:r w:rsidR="0053724F">
        <w:rPr>
          <w:rFonts w:eastAsia="Calibri"/>
          <w:sz w:val="28"/>
          <w:szCs w:val="28"/>
        </w:rPr>
        <w:t>»</w:t>
      </w:r>
      <w:r w:rsidR="0053724F" w:rsidRPr="0053724F">
        <w:rPr>
          <w:rFonts w:eastAsia="Calibri"/>
          <w:sz w:val="28"/>
          <w:szCs w:val="28"/>
        </w:rPr>
        <w:t>)</w:t>
      </w:r>
      <w:r w:rsidR="0053724F">
        <w:rPr>
          <w:rFonts w:eastAsia="Calibri"/>
          <w:sz w:val="28"/>
          <w:szCs w:val="28"/>
        </w:rPr>
        <w:t>;</w:t>
      </w:r>
    </w:p>
    <w:p w14:paraId="1E54F05B" w14:textId="77777777" w:rsidR="00905899" w:rsidRDefault="00905899" w:rsidP="00BD5345">
      <w:pPr>
        <w:pStyle w:val="af6"/>
        <w:numPr>
          <w:ilvl w:val="0"/>
          <w:numId w:val="4"/>
        </w:numPr>
        <w:spacing w:before="240" w:after="240" w:line="312" w:lineRule="auto"/>
        <w:ind w:left="709" w:hanging="425"/>
        <w:jc w:val="both"/>
        <w:rPr>
          <w:rFonts w:eastAsia="Calibri"/>
          <w:sz w:val="28"/>
          <w:szCs w:val="28"/>
        </w:rPr>
      </w:pPr>
      <w:r>
        <w:rPr>
          <w:rFonts w:eastAsia="Calibri"/>
          <w:sz w:val="28"/>
          <w:szCs w:val="28"/>
        </w:rPr>
        <w:t>Постановление Правительства Р</w:t>
      </w:r>
      <w:r w:rsidR="00121269">
        <w:rPr>
          <w:rFonts w:eastAsia="Calibri"/>
          <w:sz w:val="28"/>
          <w:szCs w:val="28"/>
        </w:rPr>
        <w:t xml:space="preserve">оссийской Федерации от 28 июня </w:t>
      </w:r>
      <w:r>
        <w:rPr>
          <w:rFonts w:eastAsia="Calibri"/>
          <w:sz w:val="28"/>
          <w:szCs w:val="28"/>
        </w:rPr>
        <w:t xml:space="preserve">2021 г. </w:t>
      </w:r>
      <w:r w:rsidR="00121269">
        <w:rPr>
          <w:rFonts w:eastAsia="Calibri"/>
          <w:sz w:val="28"/>
          <w:szCs w:val="28"/>
        </w:rPr>
        <w:br/>
      </w:r>
      <w:r>
        <w:rPr>
          <w:rFonts w:eastAsia="Calibri"/>
          <w:sz w:val="28"/>
          <w:szCs w:val="28"/>
        </w:rPr>
        <w:t>№ 1037 «Об утверждении Правил назначения и выплаты ежемесячного пособия женщине, вставшей на учет в медицинской организации в ранние сроки беременности, и ежемесячного пособия на ребенка в возрасте от 8 до 17 лет в части, не определенной Федеральным законом «О государственных пособиях гражданам, имеющим детей», а также перечня документов (копий документов, сведений), необходимых для назначения указанных пособий, и форм заявлений об их назначении»;</w:t>
      </w:r>
    </w:p>
    <w:p w14:paraId="3B959F30" w14:textId="77777777" w:rsidR="00726CE6" w:rsidRDefault="00726CE6" w:rsidP="00BD5345">
      <w:pPr>
        <w:pStyle w:val="af6"/>
        <w:numPr>
          <w:ilvl w:val="0"/>
          <w:numId w:val="4"/>
        </w:numPr>
        <w:spacing w:before="240" w:after="240" w:line="312" w:lineRule="auto"/>
        <w:ind w:left="709" w:hanging="425"/>
        <w:jc w:val="both"/>
        <w:rPr>
          <w:rFonts w:eastAsia="Calibri"/>
          <w:sz w:val="28"/>
          <w:szCs w:val="28"/>
        </w:rPr>
      </w:pPr>
      <w:r>
        <w:rPr>
          <w:rFonts w:eastAsia="Calibri"/>
          <w:sz w:val="28"/>
          <w:szCs w:val="28"/>
        </w:rPr>
        <w:t>Постановление Правительства Р</w:t>
      </w:r>
      <w:r w:rsidR="00121269">
        <w:rPr>
          <w:rFonts w:eastAsia="Calibri"/>
          <w:sz w:val="28"/>
          <w:szCs w:val="28"/>
        </w:rPr>
        <w:t xml:space="preserve">оссийской Федерации от 30 июня </w:t>
      </w:r>
      <w:r>
        <w:rPr>
          <w:rFonts w:eastAsia="Calibri"/>
          <w:sz w:val="28"/>
          <w:szCs w:val="28"/>
        </w:rPr>
        <w:t xml:space="preserve">2021 г. </w:t>
      </w:r>
      <w:r w:rsidR="00121269">
        <w:rPr>
          <w:rFonts w:eastAsia="Calibri"/>
          <w:sz w:val="28"/>
          <w:szCs w:val="28"/>
        </w:rPr>
        <w:br/>
      </w:r>
      <w:r>
        <w:rPr>
          <w:rFonts w:eastAsia="Calibri"/>
          <w:sz w:val="28"/>
          <w:szCs w:val="28"/>
        </w:rPr>
        <w:t xml:space="preserve">№ 1060 </w:t>
      </w:r>
      <w:r w:rsidR="003B44EC">
        <w:rPr>
          <w:rFonts w:eastAsia="Calibri"/>
          <w:sz w:val="28"/>
          <w:szCs w:val="28"/>
        </w:rPr>
        <w:t>«Об отдельных вопросах возмещения кредитным и иным организациям недополученных доходов по жилищным (ипотечным) кредитам (займам), выданным гражданам Российской Федерации, и о внесении изменений в некоторые акты Правительства Российской Федерации»;</w:t>
      </w:r>
    </w:p>
    <w:p w14:paraId="7608BCE4" w14:textId="77777777" w:rsidR="00615CFC" w:rsidRDefault="00615CFC" w:rsidP="00BD5345">
      <w:pPr>
        <w:pStyle w:val="af6"/>
        <w:numPr>
          <w:ilvl w:val="0"/>
          <w:numId w:val="4"/>
        </w:numPr>
        <w:spacing w:before="240" w:after="240" w:line="312" w:lineRule="auto"/>
        <w:ind w:left="709" w:hanging="425"/>
        <w:jc w:val="both"/>
        <w:rPr>
          <w:rFonts w:eastAsia="Calibri"/>
          <w:sz w:val="28"/>
          <w:szCs w:val="28"/>
        </w:rPr>
      </w:pPr>
      <w:r>
        <w:rPr>
          <w:rFonts w:eastAsia="Calibri"/>
          <w:sz w:val="28"/>
          <w:szCs w:val="28"/>
        </w:rPr>
        <w:t>Постановление Правительства Р</w:t>
      </w:r>
      <w:r w:rsidR="00121269">
        <w:rPr>
          <w:rFonts w:eastAsia="Calibri"/>
          <w:sz w:val="28"/>
          <w:szCs w:val="28"/>
        </w:rPr>
        <w:t xml:space="preserve">оссийской Федерации от 12 июля </w:t>
      </w:r>
      <w:r>
        <w:rPr>
          <w:rFonts w:eastAsia="Calibri"/>
          <w:sz w:val="28"/>
          <w:szCs w:val="28"/>
        </w:rPr>
        <w:t xml:space="preserve">2021 г. </w:t>
      </w:r>
      <w:r w:rsidR="00121269">
        <w:rPr>
          <w:rFonts w:eastAsia="Calibri"/>
          <w:sz w:val="28"/>
          <w:szCs w:val="28"/>
        </w:rPr>
        <w:br/>
      </w:r>
      <w:r>
        <w:rPr>
          <w:rFonts w:eastAsia="Calibri"/>
          <w:sz w:val="28"/>
          <w:szCs w:val="28"/>
        </w:rPr>
        <w:t xml:space="preserve">№ 1158 «Об утверждении Правил осуществления выплаты, предусмотренной Указом Президента Российской Федерации от 2 июля 2021 г. № 396 </w:t>
      </w:r>
      <w:r w:rsidR="00121269">
        <w:rPr>
          <w:rFonts w:eastAsia="Calibri"/>
          <w:sz w:val="28"/>
          <w:szCs w:val="28"/>
        </w:rPr>
        <w:br/>
      </w:r>
      <w:r>
        <w:rPr>
          <w:rFonts w:eastAsia="Calibri"/>
          <w:sz w:val="28"/>
          <w:szCs w:val="28"/>
        </w:rPr>
        <w:t>«О единовременной выплате семьям, имеющим детей»;</w:t>
      </w:r>
    </w:p>
    <w:p w14:paraId="48436978" w14:textId="77777777" w:rsidR="00D06326" w:rsidRDefault="00D06326" w:rsidP="00BD5345">
      <w:pPr>
        <w:pStyle w:val="af6"/>
        <w:numPr>
          <w:ilvl w:val="0"/>
          <w:numId w:val="4"/>
        </w:numPr>
        <w:spacing w:before="240" w:after="240" w:line="312" w:lineRule="auto"/>
        <w:ind w:left="709" w:hanging="425"/>
        <w:jc w:val="both"/>
        <w:rPr>
          <w:rFonts w:eastAsia="Calibri"/>
          <w:sz w:val="28"/>
          <w:szCs w:val="28"/>
        </w:rPr>
      </w:pPr>
      <w:r>
        <w:rPr>
          <w:rFonts w:eastAsia="Calibri"/>
          <w:sz w:val="28"/>
          <w:szCs w:val="28"/>
        </w:rPr>
        <w:t xml:space="preserve">Постановление Правительства Российской Федерации от 15 июля 2021 г. </w:t>
      </w:r>
      <w:r>
        <w:rPr>
          <w:rFonts w:eastAsia="Calibri"/>
          <w:sz w:val="28"/>
          <w:szCs w:val="28"/>
        </w:rPr>
        <w:br/>
        <w:t>№ 1191 «Об утверждении Правил и сроков рассмотрения обращений пользователей</w:t>
      </w:r>
      <w:r w:rsidR="00776DB6">
        <w:rPr>
          <w:rFonts w:eastAsia="Calibri"/>
          <w:sz w:val="28"/>
          <w:szCs w:val="28"/>
        </w:rPr>
        <w:t xml:space="preserve"> социальной сети об отмене мер по ограничению доступа к информации, выявленной в процессе осуществления мониторинга социальной сети или по результатам рассмотрения обращения о распространяемой с нарушением закона информации, а также Правил вынесения требования владельцу социальной сети об отмене мер по ограничению доступа к информации пользователя»;</w:t>
      </w:r>
    </w:p>
    <w:p w14:paraId="5D31F722" w14:textId="77777777" w:rsidR="00776DB6" w:rsidRDefault="00776DB6" w:rsidP="00BD5345">
      <w:pPr>
        <w:pStyle w:val="af6"/>
        <w:numPr>
          <w:ilvl w:val="0"/>
          <w:numId w:val="4"/>
        </w:numPr>
        <w:spacing w:before="240" w:after="240" w:line="312" w:lineRule="auto"/>
        <w:ind w:left="709" w:hanging="425"/>
        <w:jc w:val="both"/>
        <w:rPr>
          <w:rFonts w:eastAsia="Calibri"/>
          <w:sz w:val="28"/>
          <w:szCs w:val="28"/>
        </w:rPr>
      </w:pPr>
      <w:r>
        <w:rPr>
          <w:rFonts w:eastAsia="Calibri"/>
          <w:sz w:val="28"/>
          <w:szCs w:val="28"/>
        </w:rPr>
        <w:t xml:space="preserve">Постановление Правительства Российской Федерации от 15 июля 2021 г. </w:t>
      </w:r>
      <w:r>
        <w:rPr>
          <w:rFonts w:eastAsia="Calibri"/>
          <w:sz w:val="28"/>
          <w:szCs w:val="28"/>
        </w:rPr>
        <w:br/>
        <w:t>№ 1192 «Об утверждении Правил рассмотрения Федеральной службой</w:t>
      </w:r>
      <w:r w:rsidR="001C7370">
        <w:rPr>
          <w:rFonts w:eastAsia="Calibri"/>
          <w:sz w:val="28"/>
          <w:szCs w:val="28"/>
        </w:rPr>
        <w:t xml:space="preserve"> по надзору в сфере связи, информационных технологий и массовых коммуникаций информации, указанной в пункте 1 части 5 статьи 10.6 Федерального закона «Об информации, информационных технологиях и о защите информации», а также Правил взаимодействия с уполномоченными государственными органами»;</w:t>
      </w:r>
    </w:p>
    <w:p w14:paraId="60E2CBAF" w14:textId="77777777" w:rsidR="0053724F" w:rsidRDefault="0053724F" w:rsidP="0053724F">
      <w:pPr>
        <w:pStyle w:val="af6"/>
        <w:numPr>
          <w:ilvl w:val="0"/>
          <w:numId w:val="4"/>
        </w:numPr>
        <w:spacing w:before="240" w:after="240" w:line="312" w:lineRule="auto"/>
        <w:ind w:left="709" w:hanging="425"/>
        <w:jc w:val="both"/>
        <w:rPr>
          <w:rFonts w:eastAsia="Calibri"/>
          <w:sz w:val="28"/>
          <w:szCs w:val="28"/>
        </w:rPr>
      </w:pPr>
      <w:r w:rsidRPr="0053724F">
        <w:rPr>
          <w:rFonts w:eastAsia="Calibri"/>
          <w:sz w:val="28"/>
          <w:szCs w:val="28"/>
        </w:rPr>
        <w:t>Постановление Правительства Р</w:t>
      </w:r>
      <w:r>
        <w:rPr>
          <w:rFonts w:eastAsia="Calibri"/>
          <w:sz w:val="28"/>
          <w:szCs w:val="28"/>
        </w:rPr>
        <w:t xml:space="preserve">оссийской </w:t>
      </w:r>
      <w:r w:rsidRPr="0053724F">
        <w:rPr>
          <w:rFonts w:eastAsia="Calibri"/>
          <w:sz w:val="28"/>
          <w:szCs w:val="28"/>
        </w:rPr>
        <w:t>Ф</w:t>
      </w:r>
      <w:r>
        <w:rPr>
          <w:rFonts w:eastAsia="Calibri"/>
          <w:sz w:val="28"/>
          <w:szCs w:val="28"/>
        </w:rPr>
        <w:t>едерации</w:t>
      </w:r>
      <w:r w:rsidRPr="0053724F">
        <w:rPr>
          <w:rFonts w:eastAsia="Calibri"/>
          <w:sz w:val="28"/>
          <w:szCs w:val="28"/>
        </w:rPr>
        <w:t xml:space="preserve"> от 24</w:t>
      </w:r>
      <w:r>
        <w:rPr>
          <w:rFonts w:eastAsia="Calibri"/>
          <w:sz w:val="28"/>
          <w:szCs w:val="28"/>
        </w:rPr>
        <w:t xml:space="preserve"> июля </w:t>
      </w:r>
      <w:r w:rsidRPr="0053724F">
        <w:rPr>
          <w:rFonts w:eastAsia="Calibri"/>
          <w:sz w:val="28"/>
          <w:szCs w:val="28"/>
        </w:rPr>
        <w:t>2021</w:t>
      </w:r>
      <w:r>
        <w:rPr>
          <w:rFonts w:eastAsia="Calibri"/>
          <w:sz w:val="28"/>
          <w:szCs w:val="28"/>
        </w:rPr>
        <w:t xml:space="preserve"> г.</w:t>
      </w:r>
      <w:r w:rsidRPr="0053724F">
        <w:rPr>
          <w:rFonts w:eastAsia="Calibri"/>
          <w:sz w:val="28"/>
          <w:szCs w:val="28"/>
        </w:rPr>
        <w:t xml:space="preserve"> </w:t>
      </w:r>
      <w:r>
        <w:rPr>
          <w:rFonts w:eastAsia="Calibri"/>
          <w:sz w:val="28"/>
          <w:szCs w:val="28"/>
        </w:rPr>
        <w:br/>
        <w:t xml:space="preserve">№ </w:t>
      </w:r>
      <w:r w:rsidRPr="0053724F">
        <w:rPr>
          <w:rFonts w:eastAsia="Calibri"/>
          <w:sz w:val="28"/>
          <w:szCs w:val="28"/>
        </w:rPr>
        <w:t xml:space="preserve">1259 </w:t>
      </w:r>
      <w:r>
        <w:rPr>
          <w:rFonts w:eastAsia="Calibri"/>
          <w:sz w:val="28"/>
          <w:szCs w:val="28"/>
        </w:rPr>
        <w:t>«</w:t>
      </w:r>
      <w:r w:rsidRPr="0053724F">
        <w:rPr>
          <w:rFonts w:eastAsia="Calibri"/>
          <w:sz w:val="28"/>
          <w:szCs w:val="28"/>
        </w:rPr>
        <w:t>Об утверждении перечня одурманивающих веществ</w:t>
      </w:r>
      <w:r>
        <w:rPr>
          <w:rFonts w:eastAsia="Calibri"/>
          <w:sz w:val="28"/>
          <w:szCs w:val="28"/>
        </w:rPr>
        <w:t>»;</w:t>
      </w:r>
    </w:p>
    <w:p w14:paraId="77ACEDD5" w14:textId="77777777" w:rsidR="008B195F" w:rsidRDefault="008B195F" w:rsidP="0053724F">
      <w:pPr>
        <w:pStyle w:val="af6"/>
        <w:numPr>
          <w:ilvl w:val="0"/>
          <w:numId w:val="4"/>
        </w:numPr>
        <w:spacing w:before="240" w:after="240" w:line="312" w:lineRule="auto"/>
        <w:ind w:left="709" w:hanging="425"/>
        <w:jc w:val="both"/>
        <w:rPr>
          <w:rFonts w:eastAsia="Calibri"/>
          <w:sz w:val="28"/>
          <w:szCs w:val="28"/>
        </w:rPr>
      </w:pPr>
      <w:r>
        <w:rPr>
          <w:rFonts w:eastAsia="Calibri"/>
          <w:sz w:val="28"/>
          <w:szCs w:val="28"/>
        </w:rPr>
        <w:t xml:space="preserve">Постановление Правительства Российской Федерации от 9 августа 2021 г. </w:t>
      </w:r>
      <w:r>
        <w:rPr>
          <w:rFonts w:eastAsia="Calibri"/>
          <w:sz w:val="28"/>
          <w:szCs w:val="28"/>
        </w:rPr>
        <w:br/>
        <w:t>№ 1320 «О порядке возмещения территориальным органом Фонда социального страхования Российской Федерации страхователю расходов на оплату дополнительных выходных дней, предоставляемых для ухода за детьми-инвалидами одному из родителей (опекуну, попечителю)»;</w:t>
      </w:r>
    </w:p>
    <w:p w14:paraId="402D0ED9" w14:textId="77777777" w:rsidR="00E5029F" w:rsidRDefault="00E5029F" w:rsidP="00BD5345">
      <w:pPr>
        <w:pStyle w:val="af6"/>
        <w:numPr>
          <w:ilvl w:val="0"/>
          <w:numId w:val="4"/>
        </w:numPr>
        <w:spacing w:before="240" w:after="240" w:line="312" w:lineRule="auto"/>
        <w:ind w:left="709" w:hanging="425"/>
        <w:jc w:val="both"/>
        <w:rPr>
          <w:rFonts w:eastAsia="Calibri"/>
          <w:sz w:val="28"/>
          <w:szCs w:val="28"/>
        </w:rPr>
      </w:pPr>
      <w:r>
        <w:rPr>
          <w:rFonts w:eastAsia="Calibri"/>
          <w:sz w:val="28"/>
          <w:szCs w:val="28"/>
        </w:rPr>
        <w:t xml:space="preserve">Постановление Правительства Российской Федерации от 11 августа 2021 г. </w:t>
      </w:r>
      <w:r w:rsidR="00121269">
        <w:rPr>
          <w:rFonts w:eastAsia="Calibri"/>
          <w:sz w:val="28"/>
          <w:szCs w:val="28"/>
        </w:rPr>
        <w:br/>
      </w:r>
      <w:r>
        <w:rPr>
          <w:rFonts w:eastAsia="Calibri"/>
          <w:sz w:val="28"/>
          <w:szCs w:val="28"/>
        </w:rPr>
        <w:t>№ 1330 «О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w:t>
      </w:r>
    </w:p>
    <w:p w14:paraId="1B9F6816" w14:textId="77777777" w:rsidR="00B340B1" w:rsidRDefault="00B340B1" w:rsidP="00BD5345">
      <w:pPr>
        <w:pStyle w:val="af6"/>
        <w:numPr>
          <w:ilvl w:val="0"/>
          <w:numId w:val="4"/>
        </w:numPr>
        <w:spacing w:before="240" w:after="240" w:line="312" w:lineRule="auto"/>
        <w:ind w:left="709" w:hanging="425"/>
        <w:jc w:val="both"/>
        <w:rPr>
          <w:rFonts w:eastAsia="Calibri"/>
          <w:sz w:val="28"/>
          <w:szCs w:val="28"/>
        </w:rPr>
      </w:pPr>
      <w:r>
        <w:rPr>
          <w:rFonts w:eastAsia="Calibri"/>
          <w:sz w:val="28"/>
          <w:szCs w:val="28"/>
        </w:rPr>
        <w:t xml:space="preserve">Постановление Правительства Российской Федерации от 16 августа 2021 г. </w:t>
      </w:r>
      <w:r w:rsidR="00121269">
        <w:rPr>
          <w:rFonts w:eastAsia="Calibri"/>
          <w:sz w:val="28"/>
          <w:szCs w:val="28"/>
        </w:rPr>
        <w:br/>
      </w:r>
      <w:r>
        <w:rPr>
          <w:rFonts w:eastAsia="Calibri"/>
          <w:sz w:val="28"/>
          <w:szCs w:val="28"/>
        </w:rPr>
        <w:t>№ 1342 «О Единой государственной информационной системе социального обеспечения»;</w:t>
      </w:r>
    </w:p>
    <w:p w14:paraId="4D68D1E2" w14:textId="77777777" w:rsidR="008B195F" w:rsidRDefault="008B195F" w:rsidP="00BD5345">
      <w:pPr>
        <w:pStyle w:val="af6"/>
        <w:numPr>
          <w:ilvl w:val="0"/>
          <w:numId w:val="4"/>
        </w:numPr>
        <w:spacing w:before="240" w:after="240" w:line="312" w:lineRule="auto"/>
        <w:ind w:left="709" w:hanging="425"/>
        <w:jc w:val="both"/>
        <w:rPr>
          <w:rFonts w:eastAsia="Calibri"/>
          <w:sz w:val="28"/>
          <w:szCs w:val="28"/>
        </w:rPr>
      </w:pPr>
      <w:r>
        <w:rPr>
          <w:rFonts w:eastAsia="Calibri"/>
          <w:sz w:val="28"/>
          <w:szCs w:val="28"/>
        </w:rPr>
        <w:t xml:space="preserve">Постановление Правительства Российской Федерации от 18 августа 2021 г. </w:t>
      </w:r>
      <w:r>
        <w:rPr>
          <w:rFonts w:eastAsia="Calibri"/>
          <w:sz w:val="28"/>
          <w:szCs w:val="28"/>
        </w:rPr>
        <w:br/>
        <w:t>№ 1368 «О внесении изменений в некоторые акты Правительства Российской Федерации»;</w:t>
      </w:r>
    </w:p>
    <w:p w14:paraId="4948A64A" w14:textId="77777777" w:rsidR="008B195F" w:rsidRDefault="008B195F" w:rsidP="00BD5345">
      <w:pPr>
        <w:pStyle w:val="af6"/>
        <w:numPr>
          <w:ilvl w:val="0"/>
          <w:numId w:val="4"/>
        </w:numPr>
        <w:spacing w:before="240" w:after="240" w:line="312" w:lineRule="auto"/>
        <w:ind w:left="709" w:hanging="425"/>
        <w:jc w:val="both"/>
        <w:rPr>
          <w:rFonts w:eastAsia="Calibri"/>
          <w:sz w:val="28"/>
          <w:szCs w:val="28"/>
        </w:rPr>
      </w:pPr>
      <w:r>
        <w:rPr>
          <w:rFonts w:eastAsia="Calibri"/>
          <w:sz w:val="28"/>
          <w:szCs w:val="28"/>
        </w:rPr>
        <w:t xml:space="preserve">Постановление Правительства Российской Федерации от 23 августа 2021 г. </w:t>
      </w:r>
      <w:r>
        <w:rPr>
          <w:rFonts w:eastAsia="Calibri"/>
          <w:sz w:val="28"/>
          <w:szCs w:val="28"/>
        </w:rPr>
        <w:br/>
        <w:t>№ 1381 «О внесении изменений в постановление Правительства Российской Федерации от 16 декабря 2017 г. № 1567»;</w:t>
      </w:r>
    </w:p>
    <w:p w14:paraId="032040E6" w14:textId="77777777" w:rsidR="00D40FDA" w:rsidRPr="00B340B1" w:rsidRDefault="00D40FDA" w:rsidP="00BD5345">
      <w:pPr>
        <w:pStyle w:val="af6"/>
        <w:numPr>
          <w:ilvl w:val="0"/>
          <w:numId w:val="4"/>
        </w:numPr>
        <w:spacing w:before="240" w:after="240" w:line="312" w:lineRule="auto"/>
        <w:ind w:left="709" w:hanging="425"/>
        <w:jc w:val="both"/>
        <w:rPr>
          <w:rFonts w:eastAsia="Calibri"/>
          <w:sz w:val="28"/>
          <w:szCs w:val="28"/>
        </w:rPr>
      </w:pPr>
      <w:r>
        <w:rPr>
          <w:rFonts w:eastAsia="Calibri"/>
          <w:sz w:val="28"/>
          <w:szCs w:val="28"/>
        </w:rPr>
        <w:t xml:space="preserve">Постановление Правительства Российской Федерации от 23 августа 2021 г. </w:t>
      </w:r>
      <w:r w:rsidR="00121269">
        <w:rPr>
          <w:rFonts w:eastAsia="Calibri"/>
          <w:sz w:val="28"/>
          <w:szCs w:val="28"/>
        </w:rPr>
        <w:br/>
      </w:r>
      <w:r>
        <w:rPr>
          <w:rFonts w:eastAsia="Calibri"/>
          <w:sz w:val="28"/>
          <w:szCs w:val="28"/>
        </w:rPr>
        <w:t>№ 1392 «О внесении изменений в Правила возмещения российским кредитным организациям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p>
    <w:p w14:paraId="07666D22" w14:textId="77777777" w:rsidR="00F06677" w:rsidRDefault="00F06677" w:rsidP="00BD5345">
      <w:pPr>
        <w:pStyle w:val="af6"/>
        <w:numPr>
          <w:ilvl w:val="0"/>
          <w:numId w:val="4"/>
        </w:numPr>
        <w:spacing w:before="240" w:after="240" w:line="312" w:lineRule="auto"/>
        <w:ind w:left="709" w:hanging="425"/>
        <w:jc w:val="both"/>
        <w:rPr>
          <w:rFonts w:eastAsia="Calibri"/>
          <w:sz w:val="28"/>
          <w:szCs w:val="28"/>
        </w:rPr>
      </w:pPr>
      <w:r>
        <w:rPr>
          <w:rFonts w:eastAsia="Calibri"/>
          <w:sz w:val="28"/>
          <w:szCs w:val="28"/>
        </w:rPr>
        <w:t xml:space="preserve">Постановление Правительства Российской Федерации от 11 сентября 2021 г. </w:t>
      </w:r>
      <w:r w:rsidR="00121269">
        <w:rPr>
          <w:rFonts w:eastAsia="Calibri"/>
          <w:sz w:val="28"/>
          <w:szCs w:val="28"/>
        </w:rPr>
        <w:br/>
      </w:r>
      <w:r>
        <w:rPr>
          <w:rFonts w:eastAsia="Calibri"/>
          <w:sz w:val="28"/>
          <w:szCs w:val="28"/>
        </w:rPr>
        <w:t>№ 1539 «О внесении изменений в некоторые акты Правительства Российской Федерации»;</w:t>
      </w:r>
    </w:p>
    <w:p w14:paraId="7F755FF5" w14:textId="58974949" w:rsidR="00ED2F8A" w:rsidRDefault="00FF1188" w:rsidP="00ED2F8A">
      <w:pPr>
        <w:pStyle w:val="af6"/>
        <w:numPr>
          <w:ilvl w:val="0"/>
          <w:numId w:val="4"/>
        </w:numPr>
        <w:spacing w:before="240" w:after="240" w:line="312" w:lineRule="auto"/>
        <w:ind w:left="709"/>
        <w:jc w:val="both"/>
        <w:rPr>
          <w:rFonts w:eastAsia="Calibri"/>
          <w:sz w:val="28"/>
          <w:szCs w:val="28"/>
        </w:rPr>
      </w:pPr>
      <w:r>
        <w:rPr>
          <w:rFonts w:eastAsia="Calibri"/>
          <w:sz w:val="28"/>
          <w:szCs w:val="28"/>
        </w:rPr>
        <w:t xml:space="preserve"> </w:t>
      </w:r>
      <w:r w:rsidR="00ED2F8A" w:rsidRPr="00ED2F8A">
        <w:rPr>
          <w:rFonts w:eastAsia="Calibri"/>
          <w:sz w:val="28"/>
          <w:szCs w:val="28"/>
        </w:rPr>
        <w:t>Постановление Правительства Российской Федерации от 18 сентября 2021 г. № 1573 «О внесении изменений в Правила выявления детей, проявивших выдающиеся способности, и сопровождения их дальнейшего развития»</w:t>
      </w:r>
      <w:r w:rsidR="00ED2F8A">
        <w:rPr>
          <w:rFonts w:eastAsia="Calibri"/>
          <w:sz w:val="28"/>
          <w:szCs w:val="28"/>
        </w:rPr>
        <w:t>;</w:t>
      </w:r>
    </w:p>
    <w:p w14:paraId="54EF2A16" w14:textId="77777777" w:rsidR="0002489A" w:rsidRDefault="0002489A" w:rsidP="00BD5345">
      <w:pPr>
        <w:pStyle w:val="af6"/>
        <w:numPr>
          <w:ilvl w:val="0"/>
          <w:numId w:val="4"/>
        </w:numPr>
        <w:spacing w:before="240" w:after="240" w:line="312" w:lineRule="auto"/>
        <w:ind w:left="709" w:hanging="425"/>
        <w:jc w:val="both"/>
        <w:rPr>
          <w:rFonts w:eastAsia="Calibri"/>
          <w:sz w:val="28"/>
          <w:szCs w:val="28"/>
        </w:rPr>
      </w:pPr>
      <w:r>
        <w:rPr>
          <w:rFonts w:eastAsia="Calibri"/>
          <w:sz w:val="28"/>
          <w:szCs w:val="28"/>
        </w:rPr>
        <w:t xml:space="preserve">Постановление Правительства Российской Федерации от 11 сентября 2021 г. </w:t>
      </w:r>
      <w:r w:rsidR="00121269">
        <w:rPr>
          <w:rFonts w:eastAsia="Calibri"/>
          <w:sz w:val="28"/>
          <w:szCs w:val="28"/>
        </w:rPr>
        <w:br/>
      </w:r>
      <w:r>
        <w:rPr>
          <w:rFonts w:eastAsia="Calibri"/>
          <w:sz w:val="28"/>
          <w:szCs w:val="28"/>
        </w:rPr>
        <w:t>№ 1540 «Об 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w:t>
      </w:r>
    </w:p>
    <w:p w14:paraId="762E74DE" w14:textId="33FA907B" w:rsidR="00ED2F8A" w:rsidRDefault="00FF1188" w:rsidP="00ED2F8A">
      <w:pPr>
        <w:pStyle w:val="af6"/>
        <w:numPr>
          <w:ilvl w:val="0"/>
          <w:numId w:val="4"/>
        </w:numPr>
        <w:spacing w:before="240" w:after="240" w:line="312" w:lineRule="auto"/>
        <w:ind w:left="709"/>
        <w:jc w:val="both"/>
        <w:rPr>
          <w:rFonts w:eastAsia="Calibri"/>
          <w:sz w:val="28"/>
          <w:szCs w:val="28"/>
        </w:rPr>
      </w:pPr>
      <w:r>
        <w:rPr>
          <w:rFonts w:eastAsia="Calibri"/>
          <w:sz w:val="28"/>
          <w:szCs w:val="28"/>
        </w:rPr>
        <w:t xml:space="preserve"> </w:t>
      </w:r>
      <w:r w:rsidR="00ED2F8A" w:rsidRPr="00ED2F8A">
        <w:rPr>
          <w:rFonts w:eastAsia="Calibri"/>
          <w:sz w:val="28"/>
          <w:szCs w:val="28"/>
        </w:rPr>
        <w:t>Постановление Правительства Российской Федерации от 27 сентября 2021 г. № 1627 «О внесении изменений в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w:t>
      </w:r>
      <w:r>
        <w:rPr>
          <w:rFonts w:eastAsia="Calibri"/>
          <w:sz w:val="28"/>
          <w:szCs w:val="28"/>
        </w:rPr>
        <w:t>;</w:t>
      </w:r>
    </w:p>
    <w:p w14:paraId="6F46518C" w14:textId="77777777" w:rsidR="00E5029F" w:rsidRDefault="00E5029F" w:rsidP="00BD5345">
      <w:pPr>
        <w:pStyle w:val="af6"/>
        <w:numPr>
          <w:ilvl w:val="0"/>
          <w:numId w:val="4"/>
        </w:numPr>
        <w:spacing w:before="240" w:after="240" w:line="312" w:lineRule="auto"/>
        <w:ind w:left="709" w:hanging="425"/>
        <w:jc w:val="both"/>
        <w:rPr>
          <w:rFonts w:eastAsia="Calibri"/>
          <w:sz w:val="28"/>
          <w:szCs w:val="28"/>
        </w:rPr>
      </w:pPr>
      <w:r>
        <w:rPr>
          <w:rFonts w:eastAsia="Calibri"/>
          <w:sz w:val="28"/>
          <w:szCs w:val="28"/>
        </w:rPr>
        <w:t>Постановление Правительства Ро</w:t>
      </w:r>
      <w:r w:rsidR="00121269">
        <w:rPr>
          <w:rFonts w:eastAsia="Calibri"/>
          <w:sz w:val="28"/>
          <w:szCs w:val="28"/>
        </w:rPr>
        <w:t xml:space="preserve">ссийской Федерации от 2 ноября </w:t>
      </w:r>
      <w:r>
        <w:rPr>
          <w:rFonts w:eastAsia="Calibri"/>
          <w:sz w:val="28"/>
          <w:szCs w:val="28"/>
        </w:rPr>
        <w:t xml:space="preserve">2021 г. </w:t>
      </w:r>
      <w:r w:rsidR="00121269">
        <w:rPr>
          <w:rFonts w:eastAsia="Calibri"/>
          <w:sz w:val="28"/>
          <w:szCs w:val="28"/>
        </w:rPr>
        <w:br/>
      </w:r>
      <w:r>
        <w:rPr>
          <w:rFonts w:eastAsia="Calibri"/>
          <w:sz w:val="28"/>
          <w:szCs w:val="28"/>
        </w:rPr>
        <w:t>№ 1908 «О перечне видов заработной платы и иного дохода, из которых производится удержание алиментов на несовершеннолетних детей, и признании утратившими силу некоторых актов и отдельных положений некоторых актов Правительства Российской Федерации»;</w:t>
      </w:r>
    </w:p>
    <w:p w14:paraId="77B34D16" w14:textId="77777777" w:rsidR="00C90EB1" w:rsidRDefault="00C90EB1" w:rsidP="00BD5345">
      <w:pPr>
        <w:pStyle w:val="af6"/>
        <w:numPr>
          <w:ilvl w:val="0"/>
          <w:numId w:val="4"/>
        </w:numPr>
        <w:spacing w:before="240" w:after="240" w:line="312" w:lineRule="auto"/>
        <w:ind w:left="709" w:hanging="425"/>
        <w:jc w:val="both"/>
        <w:rPr>
          <w:rFonts w:eastAsia="Calibri"/>
          <w:sz w:val="28"/>
          <w:szCs w:val="28"/>
        </w:rPr>
      </w:pPr>
      <w:r>
        <w:rPr>
          <w:rFonts w:eastAsia="Calibri"/>
          <w:sz w:val="28"/>
          <w:szCs w:val="28"/>
        </w:rPr>
        <w:t>Постановление Правительства Российс</w:t>
      </w:r>
      <w:r w:rsidR="00121269">
        <w:rPr>
          <w:rFonts w:eastAsia="Calibri"/>
          <w:sz w:val="28"/>
          <w:szCs w:val="28"/>
        </w:rPr>
        <w:t xml:space="preserve">кой Федерации от 23 ноября </w:t>
      </w:r>
      <w:r>
        <w:rPr>
          <w:rFonts w:eastAsia="Calibri"/>
          <w:sz w:val="28"/>
          <w:szCs w:val="28"/>
        </w:rPr>
        <w:t xml:space="preserve">2021 г. </w:t>
      </w:r>
      <w:r w:rsidR="00121269">
        <w:rPr>
          <w:rFonts w:eastAsia="Calibri"/>
          <w:sz w:val="28"/>
          <w:szCs w:val="28"/>
        </w:rPr>
        <w:br/>
      </w:r>
      <w:r>
        <w:rPr>
          <w:rFonts w:eastAsia="Calibri"/>
          <w:sz w:val="28"/>
          <w:szCs w:val="28"/>
        </w:rPr>
        <w:t>№ 2010 «Об утверждении Правил получения Фондом социального страхования Российской Федерации сведений и документов, необходимых для назначения и выплаты пособий по временной нетрудоспособности, по беременности и родам, единовременного пособия при рождении ребенка, ежемесячного пособия по уходу за ребенком»;</w:t>
      </w:r>
    </w:p>
    <w:p w14:paraId="34A12E1E" w14:textId="77777777" w:rsidR="00114215" w:rsidRDefault="00114215" w:rsidP="00BD5345">
      <w:pPr>
        <w:pStyle w:val="af6"/>
        <w:numPr>
          <w:ilvl w:val="0"/>
          <w:numId w:val="4"/>
        </w:numPr>
        <w:spacing w:before="240" w:after="240" w:line="312" w:lineRule="auto"/>
        <w:ind w:left="709" w:hanging="425"/>
        <w:jc w:val="both"/>
        <w:rPr>
          <w:rFonts w:eastAsia="Calibri"/>
          <w:sz w:val="28"/>
          <w:szCs w:val="28"/>
        </w:rPr>
      </w:pPr>
      <w:r>
        <w:rPr>
          <w:rFonts w:eastAsia="Calibri"/>
          <w:sz w:val="28"/>
          <w:szCs w:val="28"/>
        </w:rPr>
        <w:t>Распоряжение Правительства Рос</w:t>
      </w:r>
      <w:r w:rsidR="00121269">
        <w:rPr>
          <w:rFonts w:eastAsia="Calibri"/>
          <w:sz w:val="28"/>
          <w:szCs w:val="28"/>
        </w:rPr>
        <w:t xml:space="preserve">сийской Федерации от 23 января </w:t>
      </w:r>
      <w:r>
        <w:rPr>
          <w:rFonts w:eastAsia="Calibri"/>
          <w:sz w:val="28"/>
          <w:szCs w:val="28"/>
        </w:rPr>
        <w:t xml:space="preserve">2021 г. </w:t>
      </w:r>
      <w:r w:rsidR="00121269">
        <w:rPr>
          <w:rFonts w:eastAsia="Calibri"/>
          <w:sz w:val="28"/>
          <w:szCs w:val="28"/>
        </w:rPr>
        <w:br/>
      </w:r>
      <w:r>
        <w:rPr>
          <w:rFonts w:eastAsia="Calibri"/>
          <w:sz w:val="28"/>
          <w:szCs w:val="28"/>
        </w:rPr>
        <w:t>№ 122-р «Об утверждении плана основных мероприятий, проводимых в рамках Десятилетия детства, на период до 2027 года»;</w:t>
      </w:r>
    </w:p>
    <w:p w14:paraId="267308BF" w14:textId="77777777" w:rsidR="00382933" w:rsidRDefault="00382933" w:rsidP="00BD5345">
      <w:pPr>
        <w:pStyle w:val="af6"/>
        <w:numPr>
          <w:ilvl w:val="0"/>
          <w:numId w:val="4"/>
        </w:numPr>
        <w:spacing w:before="240" w:after="240" w:line="312" w:lineRule="auto"/>
        <w:ind w:left="709" w:hanging="425"/>
        <w:jc w:val="both"/>
        <w:rPr>
          <w:rFonts w:eastAsia="Calibri"/>
          <w:sz w:val="28"/>
          <w:szCs w:val="28"/>
        </w:rPr>
      </w:pPr>
      <w:r>
        <w:rPr>
          <w:rFonts w:eastAsia="Calibri"/>
          <w:sz w:val="28"/>
          <w:szCs w:val="28"/>
        </w:rPr>
        <w:t xml:space="preserve">Распоряжение Правительства Российской Федерации от 18 марта 2021 г. </w:t>
      </w:r>
      <w:r w:rsidR="00121269">
        <w:rPr>
          <w:rFonts w:eastAsia="Calibri"/>
          <w:sz w:val="28"/>
          <w:szCs w:val="28"/>
        </w:rPr>
        <w:br/>
      </w:r>
      <w:r>
        <w:rPr>
          <w:rFonts w:eastAsia="Calibri"/>
          <w:sz w:val="28"/>
          <w:szCs w:val="28"/>
        </w:rPr>
        <w:t>№ 656-р «О внесении изменений в Распоряжение Правительства Российской Федерации от 22.03.2017 № 520-р»;</w:t>
      </w:r>
    </w:p>
    <w:p w14:paraId="262344AE" w14:textId="77777777" w:rsidR="001C7370" w:rsidRDefault="001C7370" w:rsidP="00BD5345">
      <w:pPr>
        <w:pStyle w:val="af6"/>
        <w:numPr>
          <w:ilvl w:val="0"/>
          <w:numId w:val="4"/>
        </w:numPr>
        <w:spacing w:before="240" w:after="240" w:line="312" w:lineRule="auto"/>
        <w:ind w:left="709" w:hanging="425"/>
        <w:jc w:val="both"/>
        <w:rPr>
          <w:rFonts w:eastAsia="Calibri"/>
          <w:sz w:val="28"/>
          <w:szCs w:val="28"/>
        </w:rPr>
      </w:pPr>
      <w:r>
        <w:rPr>
          <w:rFonts w:eastAsia="Calibri"/>
          <w:sz w:val="28"/>
          <w:szCs w:val="28"/>
        </w:rPr>
        <w:t xml:space="preserve">Распоряжение Правительства Российской Федерации </w:t>
      </w:r>
      <w:r w:rsidR="008B195F">
        <w:rPr>
          <w:rFonts w:eastAsia="Calibri"/>
          <w:sz w:val="28"/>
          <w:szCs w:val="28"/>
        </w:rPr>
        <w:t xml:space="preserve">от 26 апреля 2021 г. </w:t>
      </w:r>
      <w:r w:rsidR="008B195F">
        <w:rPr>
          <w:rFonts w:eastAsia="Calibri"/>
          <w:sz w:val="28"/>
          <w:szCs w:val="28"/>
        </w:rPr>
        <w:br/>
      </w:r>
      <w:r>
        <w:rPr>
          <w:rFonts w:eastAsia="Calibri"/>
          <w:sz w:val="28"/>
          <w:szCs w:val="28"/>
        </w:rPr>
        <w:t>№ 1058-р «Об утверждении комплекса мер до 2025 года по совершенствованию системы профилактики суицида среди несовершеннолетних»;</w:t>
      </w:r>
    </w:p>
    <w:p w14:paraId="320E9104" w14:textId="77777777" w:rsidR="00905899" w:rsidRDefault="00905899" w:rsidP="00BD5345">
      <w:pPr>
        <w:pStyle w:val="af6"/>
        <w:numPr>
          <w:ilvl w:val="0"/>
          <w:numId w:val="4"/>
        </w:numPr>
        <w:spacing w:before="240" w:after="240" w:line="312" w:lineRule="auto"/>
        <w:ind w:left="709" w:hanging="425"/>
        <w:jc w:val="both"/>
        <w:rPr>
          <w:rFonts w:eastAsia="Calibri"/>
          <w:sz w:val="28"/>
          <w:szCs w:val="28"/>
        </w:rPr>
      </w:pPr>
      <w:r>
        <w:rPr>
          <w:rFonts w:eastAsia="Calibri"/>
          <w:sz w:val="28"/>
          <w:szCs w:val="28"/>
        </w:rPr>
        <w:t xml:space="preserve">Распоряжение Правительства Российской Федерации от 26 июня 2021 г. </w:t>
      </w:r>
      <w:r w:rsidR="00121269">
        <w:rPr>
          <w:rFonts w:eastAsia="Calibri"/>
          <w:sz w:val="28"/>
          <w:szCs w:val="28"/>
        </w:rPr>
        <w:br/>
      </w:r>
      <w:r>
        <w:rPr>
          <w:rFonts w:eastAsia="Calibri"/>
          <w:sz w:val="28"/>
          <w:szCs w:val="28"/>
        </w:rPr>
        <w:t xml:space="preserve">№ 1731-р «О выделении в 2021 году бюджетных ассигнований </w:t>
      </w:r>
      <w:r w:rsidR="00A8292D" w:rsidRPr="00905899">
        <w:rPr>
          <w:rFonts w:eastAsia="Calibri"/>
          <w:sz w:val="28"/>
          <w:szCs w:val="28"/>
        </w:rPr>
        <w:t>для предоставления межбюджетных трансфертов бюджету Пенсионного фонда Российской Федерации на осуществление выплаты ежемесячного пособия женщинам, вставшим на учет в медицинской организации в ранние сроки беременности, и на осуществление выплаты ежемесячного пособия на ребенка в возрасте от 8 до 17 лет</w:t>
      </w:r>
      <w:r w:rsidR="00A8292D">
        <w:rPr>
          <w:rFonts w:eastAsia="Calibri"/>
          <w:sz w:val="28"/>
          <w:szCs w:val="28"/>
        </w:rPr>
        <w:t>»;</w:t>
      </w:r>
    </w:p>
    <w:p w14:paraId="73DE1D11" w14:textId="77777777" w:rsidR="003A56D4" w:rsidRDefault="003A56D4" w:rsidP="00BD5345">
      <w:pPr>
        <w:pStyle w:val="af6"/>
        <w:numPr>
          <w:ilvl w:val="0"/>
          <w:numId w:val="4"/>
        </w:numPr>
        <w:spacing w:before="240" w:after="240" w:line="312" w:lineRule="auto"/>
        <w:ind w:left="709" w:hanging="425"/>
        <w:jc w:val="both"/>
        <w:rPr>
          <w:rFonts w:eastAsia="Calibri"/>
          <w:sz w:val="28"/>
          <w:szCs w:val="28"/>
        </w:rPr>
      </w:pPr>
      <w:r>
        <w:rPr>
          <w:rFonts w:eastAsia="Calibri"/>
          <w:sz w:val="28"/>
          <w:szCs w:val="28"/>
        </w:rPr>
        <w:t>Распоряжение Правительства Росс</w:t>
      </w:r>
      <w:r w:rsidR="00121269">
        <w:rPr>
          <w:rFonts w:eastAsia="Calibri"/>
          <w:sz w:val="28"/>
          <w:szCs w:val="28"/>
        </w:rPr>
        <w:t xml:space="preserve">ийской Федерации от 11 августа </w:t>
      </w:r>
      <w:r>
        <w:rPr>
          <w:rFonts w:eastAsia="Calibri"/>
          <w:sz w:val="28"/>
          <w:szCs w:val="28"/>
        </w:rPr>
        <w:t xml:space="preserve">2021 г. </w:t>
      </w:r>
      <w:r w:rsidR="00121269">
        <w:rPr>
          <w:rFonts w:eastAsia="Calibri"/>
          <w:sz w:val="28"/>
          <w:szCs w:val="28"/>
        </w:rPr>
        <w:br/>
      </w:r>
      <w:r>
        <w:rPr>
          <w:rFonts w:eastAsia="Calibri"/>
          <w:sz w:val="28"/>
          <w:szCs w:val="28"/>
        </w:rPr>
        <w:t xml:space="preserve">№ 2218-р «Об утверждении перечня субъектов Российской Федерации, в отношении которых в 2022 году за счет бюджетных ассигнований федерального бюджета будет осуществляться </w:t>
      </w:r>
      <w:proofErr w:type="spellStart"/>
      <w:r>
        <w:rPr>
          <w:rFonts w:eastAsia="Calibri"/>
          <w:sz w:val="28"/>
          <w:szCs w:val="28"/>
        </w:rPr>
        <w:t>софинансирование</w:t>
      </w:r>
      <w:proofErr w:type="spellEnd"/>
      <w:r>
        <w:rPr>
          <w:rFonts w:eastAsia="Calibri"/>
          <w:sz w:val="28"/>
          <w:szCs w:val="28"/>
        </w:rPr>
        <w:t xml:space="preserve">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w:t>
      </w:r>
      <w:r w:rsidR="00121269">
        <w:rPr>
          <w:rFonts w:eastAsia="Calibri"/>
          <w:sz w:val="28"/>
          <w:szCs w:val="28"/>
        </w:rPr>
        <w:t xml:space="preserve">дерации от 7 мая 2012 г. № 606 </w:t>
      </w:r>
      <w:r>
        <w:rPr>
          <w:rFonts w:eastAsia="Calibri"/>
          <w:sz w:val="28"/>
          <w:szCs w:val="28"/>
        </w:rPr>
        <w:t>«О мерах по реализации демографической политики Российской Федерации»</w:t>
      </w:r>
      <w:r w:rsidR="00A1226D">
        <w:rPr>
          <w:rFonts w:eastAsia="Calibri"/>
          <w:sz w:val="28"/>
          <w:szCs w:val="28"/>
        </w:rPr>
        <w:t>;</w:t>
      </w:r>
    </w:p>
    <w:p w14:paraId="2B0E147B" w14:textId="6F67E0D8" w:rsidR="00B340B1" w:rsidRDefault="00B340B1" w:rsidP="00BD5345">
      <w:pPr>
        <w:pStyle w:val="af6"/>
        <w:numPr>
          <w:ilvl w:val="0"/>
          <w:numId w:val="4"/>
        </w:numPr>
        <w:spacing w:before="240" w:after="240" w:line="312" w:lineRule="auto"/>
        <w:ind w:left="709" w:hanging="425"/>
        <w:jc w:val="both"/>
        <w:rPr>
          <w:rFonts w:eastAsia="Calibri"/>
          <w:sz w:val="28"/>
          <w:szCs w:val="28"/>
        </w:rPr>
      </w:pPr>
      <w:r>
        <w:rPr>
          <w:rFonts w:eastAsia="Calibri"/>
          <w:sz w:val="28"/>
          <w:szCs w:val="28"/>
        </w:rPr>
        <w:t xml:space="preserve">Распоряжение Правительства Российской Федерации от 16 сентября 2021 г. </w:t>
      </w:r>
      <w:r w:rsidR="00121269">
        <w:rPr>
          <w:rFonts w:eastAsia="Calibri"/>
          <w:sz w:val="28"/>
          <w:szCs w:val="28"/>
        </w:rPr>
        <w:br/>
      </w:r>
      <w:r>
        <w:rPr>
          <w:rFonts w:eastAsia="Calibri"/>
          <w:sz w:val="28"/>
          <w:szCs w:val="28"/>
        </w:rPr>
        <w:t>№ 2580-р «Об утверждении плана мероприятий по реализации в 2021-2025 годах Концепции демографической политики Российской Федерации на период до 2025 года</w:t>
      </w:r>
      <w:r w:rsidR="00591409">
        <w:rPr>
          <w:rFonts w:eastAsia="Calibri"/>
          <w:sz w:val="28"/>
          <w:szCs w:val="28"/>
        </w:rPr>
        <w:t>».</w:t>
      </w:r>
    </w:p>
    <w:p w14:paraId="56347D89" w14:textId="77777777" w:rsidR="00240C9C" w:rsidRPr="00D03A4F" w:rsidRDefault="00240C9C" w:rsidP="00240C9C">
      <w:pPr>
        <w:spacing w:before="200" w:line="312" w:lineRule="auto"/>
        <w:contextualSpacing/>
        <w:jc w:val="center"/>
        <w:rPr>
          <w:rFonts w:ascii="Times New Roman" w:eastAsia="Calibri" w:hAnsi="Times New Roman" w:cs="Times New Roman"/>
          <w:b/>
          <w:sz w:val="28"/>
          <w:szCs w:val="28"/>
        </w:rPr>
      </w:pPr>
      <w:r w:rsidRPr="00D03A4F">
        <w:rPr>
          <w:rFonts w:ascii="Times New Roman" w:eastAsia="Calibri" w:hAnsi="Times New Roman" w:cs="Times New Roman"/>
          <w:b/>
          <w:sz w:val="28"/>
          <w:szCs w:val="28"/>
        </w:rPr>
        <w:t>НОРМАТИВНЫЕ ПРАВОВЫЕ АКТЫ ФЕДЕРАЛЬНЫХ ОРГАНОВ ИСПОЛНИТЕЛЬНОЙ ВЛАСТИ</w:t>
      </w:r>
    </w:p>
    <w:p w14:paraId="36C0DC38" w14:textId="77777777" w:rsidR="0003786E" w:rsidRDefault="0053724F" w:rsidP="002F5754">
      <w:pPr>
        <w:spacing w:before="120" w:after="120" w:line="312" w:lineRule="auto"/>
        <w:ind w:firstLine="709"/>
        <w:rPr>
          <w:rFonts w:ascii="Times New Roman" w:eastAsia="Calibri" w:hAnsi="Times New Roman" w:cs="Times New Roman"/>
          <w:b/>
          <w:sz w:val="28"/>
          <w:szCs w:val="28"/>
        </w:rPr>
      </w:pPr>
      <w:r>
        <w:rPr>
          <w:rFonts w:ascii="Times New Roman" w:eastAsia="Calibri" w:hAnsi="Times New Roman" w:cs="Times New Roman"/>
          <w:b/>
          <w:sz w:val="28"/>
          <w:szCs w:val="28"/>
        </w:rPr>
        <w:t>1</w:t>
      </w:r>
      <w:r w:rsidR="002F5754" w:rsidRPr="002F5754">
        <w:rPr>
          <w:rFonts w:ascii="Times New Roman" w:eastAsia="Calibri" w:hAnsi="Times New Roman" w:cs="Times New Roman"/>
          <w:b/>
          <w:sz w:val="28"/>
          <w:szCs w:val="28"/>
        </w:rPr>
        <w:t xml:space="preserve">) </w:t>
      </w:r>
      <w:r w:rsidR="0003786E">
        <w:rPr>
          <w:rFonts w:ascii="Times New Roman" w:eastAsia="Calibri" w:hAnsi="Times New Roman" w:cs="Times New Roman"/>
          <w:b/>
          <w:sz w:val="28"/>
          <w:szCs w:val="28"/>
        </w:rPr>
        <w:t>Министерства внутренних дел Российской Федерации:</w:t>
      </w:r>
    </w:p>
    <w:p w14:paraId="1FCD15F4" w14:textId="77777777" w:rsidR="0003786E" w:rsidRPr="00650326" w:rsidRDefault="0003786E" w:rsidP="0003786E">
      <w:pPr>
        <w:pStyle w:val="af6"/>
        <w:numPr>
          <w:ilvl w:val="0"/>
          <w:numId w:val="5"/>
        </w:numPr>
        <w:spacing w:line="312" w:lineRule="auto"/>
        <w:ind w:left="709"/>
        <w:jc w:val="both"/>
        <w:rPr>
          <w:rFonts w:eastAsia="Calibri"/>
          <w:b/>
          <w:sz w:val="28"/>
          <w:szCs w:val="28"/>
        </w:rPr>
      </w:pPr>
      <w:r>
        <w:rPr>
          <w:rFonts w:eastAsia="Calibri"/>
          <w:sz w:val="28"/>
          <w:szCs w:val="28"/>
        </w:rPr>
        <w:t xml:space="preserve"> Приказ МВД России от 1 февраля 2021 г. № 45 «О некоторых вопросах центров временного содержания для несовершеннолетних </w:t>
      </w:r>
      <w:r w:rsidR="00650326">
        <w:rPr>
          <w:rFonts w:eastAsia="Calibri"/>
          <w:sz w:val="28"/>
          <w:szCs w:val="28"/>
        </w:rPr>
        <w:t>правонарушителей территориальных органов МВД России на региональном и районном уровнях»;</w:t>
      </w:r>
    </w:p>
    <w:p w14:paraId="19D001AB" w14:textId="77777777" w:rsidR="00650326" w:rsidRPr="00650326" w:rsidRDefault="00650326" w:rsidP="0003786E">
      <w:pPr>
        <w:pStyle w:val="af6"/>
        <w:numPr>
          <w:ilvl w:val="0"/>
          <w:numId w:val="5"/>
        </w:numPr>
        <w:spacing w:line="312" w:lineRule="auto"/>
        <w:ind w:left="709"/>
        <w:jc w:val="both"/>
        <w:rPr>
          <w:rFonts w:eastAsia="Calibri"/>
          <w:b/>
          <w:sz w:val="28"/>
          <w:szCs w:val="28"/>
        </w:rPr>
      </w:pPr>
      <w:r>
        <w:rPr>
          <w:rFonts w:eastAsia="Calibri"/>
          <w:sz w:val="28"/>
          <w:szCs w:val="28"/>
        </w:rPr>
        <w:t>Приказ МВД России от 23 июня 2021 г. № 469 «Об утверждении формы уведомления об организованной перевозке группы детей автобусами»;</w:t>
      </w:r>
    </w:p>
    <w:p w14:paraId="5BDCB04C" w14:textId="77777777" w:rsidR="00650326" w:rsidRPr="00650326" w:rsidRDefault="00650326" w:rsidP="0003786E">
      <w:pPr>
        <w:pStyle w:val="af6"/>
        <w:numPr>
          <w:ilvl w:val="0"/>
          <w:numId w:val="5"/>
        </w:numPr>
        <w:spacing w:line="312" w:lineRule="auto"/>
        <w:ind w:left="709"/>
        <w:jc w:val="both"/>
        <w:rPr>
          <w:rFonts w:eastAsia="Calibri"/>
          <w:b/>
          <w:sz w:val="28"/>
          <w:szCs w:val="28"/>
        </w:rPr>
      </w:pPr>
      <w:r>
        <w:rPr>
          <w:rFonts w:eastAsia="Calibri"/>
          <w:sz w:val="28"/>
          <w:szCs w:val="28"/>
        </w:rPr>
        <w:t>Приказ МВД России от 7 июля 2021 г. № 519 «О внесении изменений в приказ МВД России от 1 августа 2018 г. № 492 «Об охране общественного порядка и обеспечении общественной безопасности при проведении мероприятий, посвященных началу нового учебного года»;</w:t>
      </w:r>
    </w:p>
    <w:p w14:paraId="3C642FC6" w14:textId="77777777" w:rsidR="00650326" w:rsidRDefault="00650326" w:rsidP="0003786E">
      <w:pPr>
        <w:pStyle w:val="af6"/>
        <w:numPr>
          <w:ilvl w:val="0"/>
          <w:numId w:val="5"/>
        </w:numPr>
        <w:spacing w:line="312" w:lineRule="auto"/>
        <w:ind w:left="709"/>
        <w:jc w:val="both"/>
        <w:rPr>
          <w:rFonts w:eastAsia="Calibri"/>
          <w:b/>
          <w:sz w:val="28"/>
          <w:szCs w:val="28"/>
        </w:rPr>
      </w:pPr>
      <w:r>
        <w:rPr>
          <w:rFonts w:eastAsia="Calibri"/>
          <w:sz w:val="28"/>
          <w:szCs w:val="28"/>
        </w:rPr>
        <w:t>Приказ МВД России от 31 августа 2021 г. № 651 «Об утверждении Порядка подачи, отзыва, приема и учета заявлений о несогласии на выезд из Российской Федерации несовершеннолетнего гражданина Российской Федерации».</w:t>
      </w:r>
    </w:p>
    <w:p w14:paraId="6A898270" w14:textId="77777777" w:rsidR="008A48E8" w:rsidRDefault="008A48E8" w:rsidP="002F5754">
      <w:pPr>
        <w:spacing w:before="120" w:after="120" w:line="312" w:lineRule="auto"/>
        <w:ind w:firstLine="709"/>
        <w:rPr>
          <w:rFonts w:ascii="Times New Roman" w:eastAsia="Calibri" w:hAnsi="Times New Roman" w:cs="Times New Roman"/>
          <w:b/>
          <w:sz w:val="28"/>
          <w:szCs w:val="28"/>
        </w:rPr>
      </w:pPr>
      <w:r w:rsidRPr="008A48E8">
        <w:rPr>
          <w:rFonts w:ascii="Times New Roman" w:eastAsia="Calibri" w:hAnsi="Times New Roman" w:cs="Times New Roman"/>
          <w:b/>
          <w:sz w:val="28"/>
          <w:szCs w:val="28"/>
        </w:rPr>
        <w:t xml:space="preserve">2) Министерства </w:t>
      </w:r>
      <w:r>
        <w:rPr>
          <w:rFonts w:ascii="Times New Roman" w:eastAsia="Calibri" w:hAnsi="Times New Roman" w:cs="Times New Roman"/>
          <w:b/>
          <w:sz w:val="28"/>
          <w:szCs w:val="28"/>
        </w:rPr>
        <w:t>здравоохранения</w:t>
      </w:r>
      <w:r w:rsidRPr="008A48E8">
        <w:rPr>
          <w:rFonts w:ascii="Times New Roman" w:eastAsia="Calibri" w:hAnsi="Times New Roman" w:cs="Times New Roman"/>
          <w:b/>
          <w:sz w:val="28"/>
          <w:szCs w:val="28"/>
        </w:rPr>
        <w:t xml:space="preserve"> Российской Федерации:</w:t>
      </w:r>
    </w:p>
    <w:p w14:paraId="385DF5C7" w14:textId="77777777" w:rsidR="008A48E8" w:rsidRPr="00F660EC" w:rsidRDefault="008A48E8" w:rsidP="008A48E8">
      <w:pPr>
        <w:pStyle w:val="af6"/>
        <w:numPr>
          <w:ilvl w:val="0"/>
          <w:numId w:val="32"/>
        </w:numPr>
        <w:spacing w:line="312" w:lineRule="auto"/>
        <w:ind w:left="709"/>
        <w:jc w:val="both"/>
        <w:rPr>
          <w:rFonts w:eastAsia="Calibri"/>
          <w:b/>
          <w:sz w:val="28"/>
          <w:szCs w:val="28"/>
        </w:rPr>
      </w:pPr>
      <w:r>
        <w:rPr>
          <w:rFonts w:eastAsia="Calibri"/>
          <w:sz w:val="28"/>
          <w:szCs w:val="28"/>
        </w:rPr>
        <w:t>Приказ Минздрава России от 23 ноября 2021 г. № 1089н «Об утверждении Условий и порядка формирования листков нетрудоспособности в форме электронного документа</w:t>
      </w:r>
      <w:r w:rsidR="00F660EC">
        <w:rPr>
          <w:rFonts w:eastAsia="Calibri"/>
          <w:sz w:val="28"/>
          <w:szCs w:val="28"/>
        </w:rPr>
        <w:t xml:space="preserve"> и выдачи листков нетрудоспособности в форме документа на бумажном носителе в случаях, установленных законодательством Российской Федерации»;</w:t>
      </w:r>
    </w:p>
    <w:p w14:paraId="07AAAD23" w14:textId="77777777" w:rsidR="00F660EC" w:rsidRDefault="00F660EC" w:rsidP="008A48E8">
      <w:pPr>
        <w:pStyle w:val="af6"/>
        <w:numPr>
          <w:ilvl w:val="0"/>
          <w:numId w:val="32"/>
        </w:numPr>
        <w:spacing w:line="312" w:lineRule="auto"/>
        <w:ind w:left="709"/>
        <w:jc w:val="both"/>
        <w:rPr>
          <w:rFonts w:eastAsia="Calibri"/>
          <w:b/>
          <w:sz w:val="28"/>
          <w:szCs w:val="28"/>
        </w:rPr>
      </w:pPr>
      <w:r>
        <w:rPr>
          <w:rFonts w:eastAsia="Calibri"/>
          <w:sz w:val="28"/>
          <w:szCs w:val="28"/>
        </w:rPr>
        <w:t>Приказ Минздрава России от 23 ноября 2021 г. № 1090н «Об утверждении Порядка осуществления Фондом социального страхования Российской Федерации проверки соблюдения порядка выдачи, продления и оформления листков нетрудоспособности».</w:t>
      </w:r>
    </w:p>
    <w:p w14:paraId="39C0C306" w14:textId="77777777" w:rsidR="002F5754" w:rsidRDefault="0003786E" w:rsidP="002F5754">
      <w:pPr>
        <w:spacing w:before="120" w:after="120" w:line="312" w:lineRule="auto"/>
        <w:ind w:firstLine="709"/>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w:t>
      </w:r>
      <w:r w:rsidR="002F5754" w:rsidRPr="002F5754">
        <w:rPr>
          <w:rFonts w:ascii="Times New Roman" w:eastAsia="Calibri" w:hAnsi="Times New Roman" w:cs="Times New Roman"/>
          <w:b/>
          <w:sz w:val="28"/>
          <w:szCs w:val="28"/>
        </w:rPr>
        <w:t>Министерства просвещения Российской Федерации:</w:t>
      </w:r>
    </w:p>
    <w:p w14:paraId="33069692" w14:textId="77777777" w:rsidR="00B96DF7" w:rsidRPr="00B96DF7" w:rsidRDefault="00B96DF7" w:rsidP="008A48E8">
      <w:pPr>
        <w:pStyle w:val="af6"/>
        <w:numPr>
          <w:ilvl w:val="0"/>
          <w:numId w:val="34"/>
        </w:numPr>
        <w:spacing w:line="312" w:lineRule="auto"/>
        <w:ind w:left="709"/>
        <w:jc w:val="both"/>
        <w:rPr>
          <w:rFonts w:eastAsia="Calibri"/>
          <w:sz w:val="28"/>
          <w:szCs w:val="28"/>
        </w:rPr>
      </w:pPr>
      <w:r w:rsidRPr="00B96DF7">
        <w:rPr>
          <w:rFonts w:eastAsia="Calibri"/>
          <w:sz w:val="28"/>
          <w:szCs w:val="28"/>
        </w:rPr>
        <w:t>Приказ Минпросвещения России от 15 января 2021 г. № 14 «Об определении детализированного состава платформы цифровой образовательной среды»</w:t>
      </w:r>
      <w:r>
        <w:rPr>
          <w:rFonts w:eastAsia="Calibri"/>
          <w:sz w:val="28"/>
          <w:szCs w:val="28"/>
        </w:rPr>
        <w:t>;</w:t>
      </w:r>
    </w:p>
    <w:p w14:paraId="1ECB2D44" w14:textId="77777777" w:rsidR="00B96DF7" w:rsidRPr="00B96DF7" w:rsidRDefault="00B96DF7" w:rsidP="008A48E8">
      <w:pPr>
        <w:pStyle w:val="af6"/>
        <w:numPr>
          <w:ilvl w:val="0"/>
          <w:numId w:val="34"/>
        </w:numPr>
        <w:spacing w:line="312" w:lineRule="auto"/>
        <w:ind w:left="709"/>
        <w:jc w:val="both"/>
        <w:rPr>
          <w:rFonts w:eastAsia="Calibri"/>
          <w:sz w:val="28"/>
          <w:szCs w:val="28"/>
        </w:rPr>
      </w:pPr>
      <w:r w:rsidRPr="00B96DF7">
        <w:rPr>
          <w:rFonts w:eastAsia="Calibri"/>
          <w:sz w:val="28"/>
          <w:szCs w:val="28"/>
        </w:rPr>
        <w:t>Приказ Минпросвещения России от 22 марта 2021 г. № 113 «Об особенностях заполнения и выдачи аттестатов о среднем общем образовании в 2021 году»</w:t>
      </w:r>
      <w:r>
        <w:rPr>
          <w:rFonts w:eastAsia="Calibri"/>
          <w:sz w:val="28"/>
          <w:szCs w:val="28"/>
        </w:rPr>
        <w:t>;</w:t>
      </w:r>
    </w:p>
    <w:p w14:paraId="73945574" w14:textId="77777777" w:rsidR="00B96DF7" w:rsidRPr="00B96DF7" w:rsidRDefault="00B96DF7" w:rsidP="008A48E8">
      <w:pPr>
        <w:pStyle w:val="af6"/>
        <w:numPr>
          <w:ilvl w:val="0"/>
          <w:numId w:val="34"/>
        </w:numPr>
        <w:spacing w:line="312" w:lineRule="auto"/>
        <w:ind w:left="709"/>
        <w:jc w:val="both"/>
        <w:rPr>
          <w:rFonts w:eastAsia="Calibri"/>
          <w:sz w:val="28"/>
          <w:szCs w:val="28"/>
        </w:rPr>
      </w:pPr>
      <w:r w:rsidRPr="00B96DF7">
        <w:rPr>
          <w:rFonts w:eastAsia="Calibri"/>
          <w:sz w:val="28"/>
          <w:szCs w:val="28"/>
        </w:rPr>
        <w:t>Приказ Минпросвещения России от 22 марта 2021 г. № 114 «Об особенностях выдачи медали «За особы</w:t>
      </w:r>
      <w:r>
        <w:rPr>
          <w:rFonts w:eastAsia="Calibri"/>
          <w:sz w:val="28"/>
          <w:szCs w:val="28"/>
        </w:rPr>
        <w:t>е успехи в учении» в 2021 году»;</w:t>
      </w:r>
    </w:p>
    <w:p w14:paraId="1C9F357C" w14:textId="77777777" w:rsidR="00B96DF7" w:rsidRPr="00B96DF7" w:rsidRDefault="00B96DF7" w:rsidP="008A48E8">
      <w:pPr>
        <w:pStyle w:val="af6"/>
        <w:numPr>
          <w:ilvl w:val="0"/>
          <w:numId w:val="34"/>
        </w:numPr>
        <w:spacing w:line="312" w:lineRule="auto"/>
        <w:ind w:left="709"/>
        <w:jc w:val="both"/>
        <w:rPr>
          <w:rFonts w:eastAsia="Calibri"/>
          <w:sz w:val="28"/>
          <w:szCs w:val="28"/>
        </w:rPr>
      </w:pPr>
      <w:r w:rsidRPr="00B96DF7">
        <w:rPr>
          <w:rFonts w:eastAsia="Calibri"/>
          <w:sz w:val="28"/>
          <w:szCs w:val="28"/>
        </w:rPr>
        <w:t>Приказ Минпросвещения России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w:t>
      </w:r>
      <w:r>
        <w:rPr>
          <w:rFonts w:eastAsia="Calibri"/>
          <w:sz w:val="28"/>
          <w:szCs w:val="28"/>
        </w:rPr>
        <w:t xml:space="preserve"> и среднего общего образования»;</w:t>
      </w:r>
    </w:p>
    <w:p w14:paraId="22D390B8" w14:textId="77777777" w:rsidR="00B96DF7" w:rsidRPr="00B96DF7" w:rsidRDefault="00B96DF7" w:rsidP="008A48E8">
      <w:pPr>
        <w:pStyle w:val="af6"/>
        <w:numPr>
          <w:ilvl w:val="0"/>
          <w:numId w:val="34"/>
        </w:numPr>
        <w:spacing w:line="312" w:lineRule="auto"/>
        <w:ind w:left="709"/>
        <w:jc w:val="both"/>
        <w:rPr>
          <w:rFonts w:eastAsia="Calibri"/>
          <w:sz w:val="28"/>
          <w:szCs w:val="28"/>
        </w:rPr>
      </w:pPr>
      <w:r w:rsidRPr="00B96DF7">
        <w:rPr>
          <w:rFonts w:eastAsia="Calibri"/>
          <w:sz w:val="28"/>
          <w:szCs w:val="28"/>
        </w:rPr>
        <w:t xml:space="preserve">Приказ Минпросвещения России от 23 апреля 2021 г. № 207 «Об утверждении требований к информационно-коммуникационной </w:t>
      </w:r>
      <w:r>
        <w:rPr>
          <w:rFonts w:eastAsia="Calibri"/>
          <w:sz w:val="28"/>
          <w:szCs w:val="28"/>
        </w:rPr>
        <w:t>образовательной платформе»;</w:t>
      </w:r>
    </w:p>
    <w:p w14:paraId="29639EF0" w14:textId="77777777" w:rsidR="00B96DF7" w:rsidRPr="00B96DF7" w:rsidRDefault="00B96DF7" w:rsidP="008A48E8">
      <w:pPr>
        <w:pStyle w:val="af6"/>
        <w:numPr>
          <w:ilvl w:val="0"/>
          <w:numId w:val="34"/>
        </w:numPr>
        <w:spacing w:line="312" w:lineRule="auto"/>
        <w:ind w:left="709"/>
        <w:jc w:val="both"/>
        <w:rPr>
          <w:rFonts w:eastAsia="Calibri"/>
          <w:sz w:val="28"/>
          <w:szCs w:val="28"/>
        </w:rPr>
      </w:pPr>
      <w:r w:rsidRPr="00B96DF7">
        <w:rPr>
          <w:rFonts w:eastAsia="Calibri"/>
          <w:sz w:val="28"/>
          <w:szCs w:val="28"/>
        </w:rPr>
        <w:t>Приказ Минпросвещения России от 12 мая 2021 г. № 241 «Об утверждении Порядка разработки примерных основных общеобразовательных программ, проведения их экспертизы и ведения реестра примерных основны</w:t>
      </w:r>
      <w:r>
        <w:rPr>
          <w:rFonts w:eastAsia="Calibri"/>
          <w:sz w:val="28"/>
          <w:szCs w:val="28"/>
        </w:rPr>
        <w:t>х общеобразовательных программ»;</w:t>
      </w:r>
    </w:p>
    <w:p w14:paraId="6DD52A96" w14:textId="77777777" w:rsidR="00B96DF7" w:rsidRPr="00B96DF7" w:rsidRDefault="00B96DF7" w:rsidP="008A48E8">
      <w:pPr>
        <w:pStyle w:val="af6"/>
        <w:numPr>
          <w:ilvl w:val="0"/>
          <w:numId w:val="34"/>
        </w:numPr>
        <w:spacing w:line="312" w:lineRule="auto"/>
        <w:ind w:left="709"/>
        <w:jc w:val="both"/>
        <w:rPr>
          <w:rFonts w:eastAsia="Calibri"/>
          <w:sz w:val="28"/>
          <w:szCs w:val="28"/>
        </w:rPr>
      </w:pPr>
      <w:r w:rsidRPr="00B96DF7">
        <w:rPr>
          <w:rFonts w:eastAsia="Calibri"/>
          <w:sz w:val="28"/>
          <w:szCs w:val="28"/>
        </w:rPr>
        <w:t>Приказ Минпросвещения России от 27 мая 2021 г. № 278 «Об утверждении методики расчета целевого показателя «Среднее время ожидания места для получения дошкольного образования детьми в возрасте от 1,5 до 3 лет» федерального проекта «Содействие занятости» нац</w:t>
      </w:r>
      <w:r>
        <w:rPr>
          <w:rFonts w:eastAsia="Calibri"/>
          <w:sz w:val="28"/>
          <w:szCs w:val="28"/>
        </w:rPr>
        <w:t>ионального проекта «Демография»;</w:t>
      </w:r>
    </w:p>
    <w:p w14:paraId="25CFAEAF" w14:textId="77777777" w:rsidR="00B96DF7" w:rsidRPr="00B96DF7" w:rsidRDefault="00B96DF7" w:rsidP="008A48E8">
      <w:pPr>
        <w:pStyle w:val="af6"/>
        <w:numPr>
          <w:ilvl w:val="0"/>
          <w:numId w:val="34"/>
        </w:numPr>
        <w:spacing w:line="312" w:lineRule="auto"/>
        <w:ind w:left="709"/>
        <w:jc w:val="both"/>
        <w:rPr>
          <w:rFonts w:eastAsia="Calibri"/>
          <w:sz w:val="28"/>
          <w:szCs w:val="28"/>
        </w:rPr>
      </w:pPr>
      <w:r w:rsidRPr="00B96DF7">
        <w:rPr>
          <w:rFonts w:eastAsia="Calibri"/>
          <w:sz w:val="28"/>
          <w:szCs w:val="28"/>
        </w:rPr>
        <w:t>Приказ Минпросвещения России от 31 мая 2021 г. № 286 «Об утверждении федерального государственного образовательного стандарта</w:t>
      </w:r>
      <w:r>
        <w:rPr>
          <w:rFonts w:eastAsia="Calibri"/>
          <w:sz w:val="28"/>
          <w:szCs w:val="28"/>
        </w:rPr>
        <w:t xml:space="preserve"> </w:t>
      </w:r>
      <w:r w:rsidRPr="00B96DF7">
        <w:rPr>
          <w:rFonts w:eastAsia="Calibri"/>
          <w:sz w:val="28"/>
          <w:szCs w:val="28"/>
        </w:rPr>
        <w:t>начального общего образования»</w:t>
      </w:r>
      <w:r>
        <w:rPr>
          <w:rFonts w:eastAsia="Calibri"/>
          <w:sz w:val="28"/>
          <w:szCs w:val="28"/>
        </w:rPr>
        <w:t>;</w:t>
      </w:r>
    </w:p>
    <w:p w14:paraId="2B6D4285" w14:textId="77777777" w:rsidR="00B96DF7" w:rsidRPr="00B96DF7" w:rsidRDefault="00B96DF7" w:rsidP="008A48E8">
      <w:pPr>
        <w:pStyle w:val="af6"/>
        <w:numPr>
          <w:ilvl w:val="0"/>
          <w:numId w:val="34"/>
        </w:numPr>
        <w:spacing w:line="312" w:lineRule="auto"/>
        <w:ind w:left="709"/>
        <w:jc w:val="both"/>
        <w:rPr>
          <w:rFonts w:eastAsia="Calibri"/>
          <w:sz w:val="28"/>
          <w:szCs w:val="28"/>
        </w:rPr>
      </w:pPr>
      <w:r w:rsidRPr="00B96DF7">
        <w:rPr>
          <w:rFonts w:eastAsia="Calibri"/>
          <w:sz w:val="28"/>
          <w:szCs w:val="28"/>
        </w:rPr>
        <w:t>Приказ Минпросвещения России от 31 мая 2021 г. № 287 «Об утверждении федерального государственного образовательного стандарта основного общего образ</w:t>
      </w:r>
      <w:r>
        <w:rPr>
          <w:rFonts w:eastAsia="Calibri"/>
          <w:sz w:val="28"/>
          <w:szCs w:val="28"/>
        </w:rPr>
        <w:t>ования»;</w:t>
      </w:r>
    </w:p>
    <w:p w14:paraId="199DC515" w14:textId="77777777" w:rsidR="00B96DF7" w:rsidRPr="00B96DF7" w:rsidRDefault="00B96DF7" w:rsidP="008A48E8">
      <w:pPr>
        <w:pStyle w:val="af6"/>
        <w:numPr>
          <w:ilvl w:val="0"/>
          <w:numId w:val="34"/>
        </w:numPr>
        <w:spacing w:line="312" w:lineRule="auto"/>
        <w:ind w:left="709"/>
        <w:jc w:val="both"/>
        <w:rPr>
          <w:rFonts w:eastAsia="Calibri"/>
          <w:sz w:val="28"/>
          <w:szCs w:val="28"/>
        </w:rPr>
      </w:pPr>
      <w:r>
        <w:rPr>
          <w:rFonts w:eastAsia="Calibri"/>
          <w:sz w:val="28"/>
          <w:szCs w:val="28"/>
        </w:rPr>
        <w:t xml:space="preserve"> </w:t>
      </w:r>
      <w:r w:rsidRPr="00B96DF7">
        <w:rPr>
          <w:rFonts w:eastAsia="Calibri"/>
          <w:sz w:val="28"/>
          <w:szCs w:val="28"/>
        </w:rPr>
        <w:t>Приказ Минпросвещения России от 30 июня 2021 г. № 396 «Об утверждении Концепции создания федеральной государственной информационной системы Минпросвещения России «Моя школа»</w:t>
      </w:r>
      <w:r>
        <w:rPr>
          <w:rFonts w:eastAsia="Calibri"/>
          <w:sz w:val="28"/>
          <w:szCs w:val="28"/>
        </w:rPr>
        <w:t>;</w:t>
      </w:r>
    </w:p>
    <w:p w14:paraId="549E6529" w14:textId="77777777" w:rsidR="00B96DF7" w:rsidRPr="00B96DF7" w:rsidRDefault="00B96DF7" w:rsidP="008A48E8">
      <w:pPr>
        <w:pStyle w:val="af6"/>
        <w:numPr>
          <w:ilvl w:val="0"/>
          <w:numId w:val="34"/>
        </w:numPr>
        <w:spacing w:line="312" w:lineRule="auto"/>
        <w:ind w:left="709"/>
        <w:jc w:val="both"/>
        <w:rPr>
          <w:rFonts w:eastAsia="Calibri"/>
          <w:sz w:val="28"/>
          <w:szCs w:val="28"/>
        </w:rPr>
      </w:pPr>
      <w:r>
        <w:rPr>
          <w:rFonts w:eastAsia="Calibri"/>
          <w:sz w:val="28"/>
          <w:szCs w:val="28"/>
        </w:rPr>
        <w:t xml:space="preserve"> </w:t>
      </w:r>
      <w:r w:rsidRPr="00B96DF7">
        <w:rPr>
          <w:rFonts w:eastAsia="Calibri"/>
          <w:sz w:val="28"/>
          <w:szCs w:val="28"/>
        </w:rPr>
        <w:t>Приказ Минпросвещения России от 26 июля 2021 г. № 492 «Об утверждении форм и условий информационно-технологического взаимодействия участников эксперимента по внедрению цифровой образовательной среды при апробации платформы цифровой образовательной среды и информационно-коммуникационной образовательной платформы»</w:t>
      </w:r>
      <w:r>
        <w:rPr>
          <w:rFonts w:eastAsia="Calibri"/>
          <w:sz w:val="28"/>
          <w:szCs w:val="28"/>
        </w:rPr>
        <w:t>;</w:t>
      </w:r>
    </w:p>
    <w:p w14:paraId="5B9BA804" w14:textId="77777777" w:rsidR="00B96DF7" w:rsidRPr="00B96DF7" w:rsidRDefault="00B96DF7" w:rsidP="008A48E8">
      <w:pPr>
        <w:pStyle w:val="af6"/>
        <w:numPr>
          <w:ilvl w:val="0"/>
          <w:numId w:val="34"/>
        </w:numPr>
        <w:spacing w:line="312" w:lineRule="auto"/>
        <w:ind w:left="709"/>
        <w:jc w:val="both"/>
        <w:rPr>
          <w:rFonts w:eastAsia="Calibri"/>
          <w:sz w:val="28"/>
          <w:szCs w:val="28"/>
        </w:rPr>
      </w:pPr>
      <w:r>
        <w:rPr>
          <w:rFonts w:eastAsia="Calibri"/>
          <w:sz w:val="28"/>
          <w:szCs w:val="28"/>
        </w:rPr>
        <w:t xml:space="preserve"> </w:t>
      </w:r>
      <w:r w:rsidRPr="00B96DF7">
        <w:rPr>
          <w:rFonts w:eastAsia="Calibri"/>
          <w:sz w:val="28"/>
          <w:szCs w:val="28"/>
        </w:rPr>
        <w:t xml:space="preserve">Приказ Минпросвещения России от 16 августа 2021 г. № 565 «О внесении изменения в приказ Министерства просвещения Российской Федерации </w:t>
      </w:r>
      <w:r>
        <w:rPr>
          <w:rFonts w:eastAsia="Calibri"/>
          <w:sz w:val="28"/>
          <w:szCs w:val="28"/>
        </w:rPr>
        <w:br/>
      </w:r>
      <w:r w:rsidRPr="00B96DF7">
        <w:rPr>
          <w:rFonts w:eastAsia="Calibri"/>
          <w:sz w:val="28"/>
          <w:szCs w:val="28"/>
        </w:rPr>
        <w:t>от 27 ноября 2020 г. № 678 «Об утверждении Порядка проведения всеро</w:t>
      </w:r>
      <w:r>
        <w:rPr>
          <w:rFonts w:eastAsia="Calibri"/>
          <w:sz w:val="28"/>
          <w:szCs w:val="28"/>
        </w:rPr>
        <w:t>ссийской олимпиады школьников»»;</w:t>
      </w:r>
    </w:p>
    <w:p w14:paraId="7D897E49" w14:textId="77777777" w:rsidR="00B96DF7" w:rsidRPr="00B96DF7" w:rsidRDefault="00B96DF7" w:rsidP="008A48E8">
      <w:pPr>
        <w:pStyle w:val="af6"/>
        <w:numPr>
          <w:ilvl w:val="0"/>
          <w:numId w:val="34"/>
        </w:numPr>
        <w:spacing w:line="312" w:lineRule="auto"/>
        <w:ind w:left="709"/>
        <w:jc w:val="both"/>
        <w:rPr>
          <w:rFonts w:eastAsia="Calibri"/>
          <w:sz w:val="28"/>
          <w:szCs w:val="28"/>
        </w:rPr>
      </w:pPr>
      <w:r>
        <w:rPr>
          <w:rFonts w:eastAsia="Calibri"/>
          <w:sz w:val="28"/>
          <w:szCs w:val="28"/>
        </w:rPr>
        <w:t xml:space="preserve"> </w:t>
      </w:r>
      <w:r w:rsidRPr="00B96DF7">
        <w:rPr>
          <w:rFonts w:eastAsia="Calibri"/>
          <w:sz w:val="28"/>
          <w:szCs w:val="28"/>
        </w:rPr>
        <w:t xml:space="preserve">Приказ Минпросвещения России от 4 октября 2021 г. № 686 «О внесении изменений в приказы Министерства просвещения Российской Федерации </w:t>
      </w:r>
      <w:r>
        <w:rPr>
          <w:rFonts w:eastAsia="Calibri"/>
          <w:sz w:val="28"/>
          <w:szCs w:val="28"/>
        </w:rPr>
        <w:br/>
      </w:r>
      <w:r w:rsidRPr="00B96DF7">
        <w:rPr>
          <w:rFonts w:eastAsia="Calibri"/>
          <w:sz w:val="28"/>
          <w:szCs w:val="28"/>
        </w:rPr>
        <w:t xml:space="preserve">от 15 мая 2020 г. № 236 «Об утверждении Порядка приема на обучение по образовательным программам дошкольного образования» и от 8 сентября </w:t>
      </w:r>
      <w:r>
        <w:rPr>
          <w:rFonts w:eastAsia="Calibri"/>
          <w:sz w:val="28"/>
          <w:szCs w:val="28"/>
        </w:rPr>
        <w:br/>
      </w:r>
      <w:r w:rsidRPr="00B96DF7">
        <w:rPr>
          <w:rFonts w:eastAsia="Calibri"/>
          <w:sz w:val="28"/>
          <w:szCs w:val="28"/>
        </w:rPr>
        <w:t>2020 г. № 471</w:t>
      </w:r>
      <w:r>
        <w:rPr>
          <w:rFonts w:eastAsia="Calibri"/>
          <w:sz w:val="28"/>
          <w:szCs w:val="28"/>
        </w:rPr>
        <w:t xml:space="preserve"> </w:t>
      </w:r>
      <w:r w:rsidRPr="00B96DF7">
        <w:rPr>
          <w:rFonts w:eastAsia="Calibri"/>
          <w:sz w:val="28"/>
          <w:szCs w:val="28"/>
        </w:rPr>
        <w:t xml:space="preserve">«О внесении изменений в Порядок приема на обучение по образовательным программам дошкольного образования, утвержденный приказом Министерства просвещения Российской Федерации от 15 мая </w:t>
      </w:r>
      <w:r>
        <w:rPr>
          <w:rFonts w:eastAsia="Calibri"/>
          <w:sz w:val="28"/>
          <w:szCs w:val="28"/>
        </w:rPr>
        <w:br/>
      </w:r>
      <w:r w:rsidRPr="00B96DF7">
        <w:rPr>
          <w:rFonts w:eastAsia="Calibri"/>
          <w:sz w:val="28"/>
          <w:szCs w:val="28"/>
        </w:rPr>
        <w:t>2020 г.</w:t>
      </w:r>
      <w:r>
        <w:rPr>
          <w:rFonts w:eastAsia="Calibri"/>
          <w:sz w:val="28"/>
          <w:szCs w:val="28"/>
        </w:rPr>
        <w:t xml:space="preserve"> </w:t>
      </w:r>
      <w:r w:rsidRPr="00B96DF7">
        <w:rPr>
          <w:rFonts w:eastAsia="Calibri"/>
          <w:sz w:val="28"/>
          <w:szCs w:val="28"/>
        </w:rPr>
        <w:t>№ 236</w:t>
      </w:r>
      <w:r>
        <w:rPr>
          <w:rFonts w:eastAsia="Calibri"/>
          <w:sz w:val="28"/>
          <w:szCs w:val="28"/>
        </w:rPr>
        <w:t>»;</w:t>
      </w:r>
    </w:p>
    <w:p w14:paraId="1EBEB8BF" w14:textId="77777777" w:rsidR="00B96DF7" w:rsidRPr="00B96DF7" w:rsidRDefault="00B96DF7" w:rsidP="008A48E8">
      <w:pPr>
        <w:pStyle w:val="af6"/>
        <w:numPr>
          <w:ilvl w:val="0"/>
          <w:numId w:val="34"/>
        </w:numPr>
        <w:spacing w:line="312" w:lineRule="auto"/>
        <w:ind w:left="709"/>
        <w:jc w:val="both"/>
        <w:rPr>
          <w:rFonts w:eastAsia="Calibri"/>
          <w:sz w:val="28"/>
          <w:szCs w:val="28"/>
        </w:rPr>
      </w:pPr>
      <w:r>
        <w:rPr>
          <w:rFonts w:eastAsia="Calibri"/>
          <w:sz w:val="28"/>
          <w:szCs w:val="28"/>
        </w:rPr>
        <w:t xml:space="preserve"> </w:t>
      </w:r>
      <w:r w:rsidRPr="00B96DF7">
        <w:rPr>
          <w:rFonts w:eastAsia="Calibri"/>
          <w:sz w:val="28"/>
          <w:szCs w:val="28"/>
        </w:rPr>
        <w:t>Приказ Минпросвещения России от 4 октября 2021 г. № 687 «О внесении изменений в форму заявления гражданина, выразившего желание стать опекуном или попечителем несовершеннолетнего гражданина либо принять детей,</w:t>
      </w:r>
      <w:r>
        <w:rPr>
          <w:rFonts w:eastAsia="Calibri"/>
          <w:sz w:val="28"/>
          <w:szCs w:val="28"/>
        </w:rPr>
        <w:t xml:space="preserve"> </w:t>
      </w:r>
      <w:r w:rsidRPr="00B96DF7">
        <w:rPr>
          <w:rFonts w:eastAsia="Calibri"/>
          <w:sz w:val="28"/>
          <w:szCs w:val="28"/>
        </w:rPr>
        <w:t>оставшихся без попечения родителей, в семью на воспитание в иных установленных семейным законодательством Российской Федерации формах, утвержденную приказом Министерства просвещения Российской Феде</w:t>
      </w:r>
      <w:r>
        <w:rPr>
          <w:rFonts w:eastAsia="Calibri"/>
          <w:sz w:val="28"/>
          <w:szCs w:val="28"/>
        </w:rPr>
        <w:t>рации от 10 января 2019 г. № 4»;</w:t>
      </w:r>
    </w:p>
    <w:p w14:paraId="15C2458A" w14:textId="77777777" w:rsidR="00B96DF7" w:rsidRPr="00B96DF7" w:rsidRDefault="00B96DF7" w:rsidP="008A48E8">
      <w:pPr>
        <w:pStyle w:val="af6"/>
        <w:numPr>
          <w:ilvl w:val="0"/>
          <w:numId w:val="34"/>
        </w:numPr>
        <w:spacing w:line="312" w:lineRule="auto"/>
        <w:ind w:left="709"/>
        <w:jc w:val="both"/>
        <w:rPr>
          <w:rFonts w:eastAsia="Calibri"/>
          <w:sz w:val="28"/>
          <w:szCs w:val="28"/>
        </w:rPr>
      </w:pPr>
      <w:r>
        <w:rPr>
          <w:rFonts w:eastAsia="Calibri"/>
          <w:sz w:val="28"/>
          <w:szCs w:val="28"/>
        </w:rPr>
        <w:t xml:space="preserve"> </w:t>
      </w:r>
      <w:r w:rsidRPr="00B96DF7">
        <w:rPr>
          <w:rFonts w:eastAsia="Calibri"/>
          <w:sz w:val="28"/>
          <w:szCs w:val="28"/>
        </w:rPr>
        <w:t xml:space="preserve">Приказ Минпросвещения России от 8 октября 2021 г. № 707 «О внесении изменений в приказ Министерства просвещения Российской Федерации </w:t>
      </w:r>
      <w:r>
        <w:rPr>
          <w:rFonts w:eastAsia="Calibri"/>
          <w:sz w:val="28"/>
          <w:szCs w:val="28"/>
        </w:rPr>
        <w:br/>
      </w:r>
      <w:r w:rsidRPr="00B96DF7">
        <w:rPr>
          <w:rFonts w:eastAsia="Calibri"/>
          <w:sz w:val="28"/>
          <w:szCs w:val="28"/>
        </w:rPr>
        <w:t>от 2 сентября 2020 г. № 458 «Об утверждении Порядка приема на обучение по образовательным программам начального общего, основного общего</w:t>
      </w:r>
      <w:r>
        <w:rPr>
          <w:rFonts w:eastAsia="Calibri"/>
          <w:sz w:val="28"/>
          <w:szCs w:val="28"/>
        </w:rPr>
        <w:t xml:space="preserve"> и среднего общего образования»;</w:t>
      </w:r>
    </w:p>
    <w:p w14:paraId="58F283EA" w14:textId="77777777" w:rsidR="00B96DF7" w:rsidRPr="00B96DF7" w:rsidRDefault="00B96DF7" w:rsidP="008A48E8">
      <w:pPr>
        <w:pStyle w:val="af6"/>
        <w:numPr>
          <w:ilvl w:val="0"/>
          <w:numId w:val="34"/>
        </w:numPr>
        <w:spacing w:line="312" w:lineRule="auto"/>
        <w:ind w:left="709"/>
        <w:jc w:val="both"/>
        <w:rPr>
          <w:rFonts w:eastAsia="Calibri"/>
          <w:sz w:val="28"/>
          <w:szCs w:val="28"/>
        </w:rPr>
      </w:pPr>
      <w:r>
        <w:rPr>
          <w:rFonts w:eastAsia="Calibri"/>
          <w:sz w:val="28"/>
          <w:szCs w:val="28"/>
        </w:rPr>
        <w:t xml:space="preserve"> </w:t>
      </w:r>
      <w:r w:rsidRPr="00B96DF7">
        <w:rPr>
          <w:rFonts w:eastAsia="Calibri"/>
          <w:sz w:val="28"/>
          <w:szCs w:val="28"/>
        </w:rPr>
        <w:t xml:space="preserve">Приказ Минпросвещения России от 25 октября 2021 г. № 732 </w:t>
      </w:r>
      <w:r>
        <w:rPr>
          <w:rFonts w:eastAsia="Calibri"/>
          <w:sz w:val="28"/>
          <w:szCs w:val="28"/>
        </w:rPr>
        <w:br/>
      </w:r>
      <w:r w:rsidRPr="00B96DF7">
        <w:rPr>
          <w:rFonts w:eastAsia="Calibri"/>
          <w:sz w:val="28"/>
          <w:szCs w:val="28"/>
        </w:rPr>
        <w:t xml:space="preserve">«Об утверждении Порядка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w:t>
      </w:r>
      <w:r>
        <w:rPr>
          <w:rFonts w:eastAsia="Calibri"/>
          <w:sz w:val="28"/>
          <w:szCs w:val="28"/>
        </w:rPr>
        <w:t>стандартами общего образования»;</w:t>
      </w:r>
    </w:p>
    <w:p w14:paraId="6ABB9E78" w14:textId="77777777" w:rsidR="00B96DF7" w:rsidRPr="00B96DF7" w:rsidRDefault="00B96DF7" w:rsidP="008A48E8">
      <w:pPr>
        <w:pStyle w:val="af6"/>
        <w:numPr>
          <w:ilvl w:val="0"/>
          <w:numId w:val="34"/>
        </w:numPr>
        <w:spacing w:line="312" w:lineRule="auto"/>
        <w:ind w:left="709"/>
        <w:jc w:val="both"/>
        <w:rPr>
          <w:rFonts w:eastAsia="Calibri"/>
          <w:sz w:val="28"/>
          <w:szCs w:val="28"/>
        </w:rPr>
      </w:pPr>
      <w:r>
        <w:rPr>
          <w:rFonts w:eastAsia="Calibri"/>
          <w:sz w:val="28"/>
          <w:szCs w:val="28"/>
        </w:rPr>
        <w:t xml:space="preserve"> </w:t>
      </w:r>
      <w:r w:rsidRPr="00B96DF7">
        <w:rPr>
          <w:rFonts w:eastAsia="Calibri"/>
          <w:sz w:val="28"/>
          <w:szCs w:val="28"/>
        </w:rPr>
        <w:t>Приказ Минпросвещения России от 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w:t>
      </w:r>
      <w:r>
        <w:rPr>
          <w:rFonts w:eastAsia="Calibri"/>
          <w:sz w:val="28"/>
          <w:szCs w:val="28"/>
        </w:rPr>
        <w:t>;</w:t>
      </w:r>
    </w:p>
    <w:p w14:paraId="3ABB421A" w14:textId="77777777" w:rsidR="00B96DF7" w:rsidRPr="00B96DF7" w:rsidRDefault="00B96DF7" w:rsidP="008A48E8">
      <w:pPr>
        <w:pStyle w:val="af6"/>
        <w:numPr>
          <w:ilvl w:val="0"/>
          <w:numId w:val="34"/>
        </w:numPr>
        <w:spacing w:line="312" w:lineRule="auto"/>
        <w:ind w:left="709"/>
        <w:jc w:val="both"/>
        <w:rPr>
          <w:rFonts w:eastAsia="Calibri"/>
          <w:sz w:val="28"/>
          <w:szCs w:val="28"/>
        </w:rPr>
      </w:pPr>
      <w:r>
        <w:rPr>
          <w:rFonts w:eastAsia="Calibri"/>
          <w:sz w:val="28"/>
          <w:szCs w:val="28"/>
        </w:rPr>
        <w:t xml:space="preserve"> </w:t>
      </w:r>
      <w:r w:rsidRPr="00B96DF7">
        <w:rPr>
          <w:rFonts w:eastAsia="Calibri"/>
          <w:sz w:val="28"/>
          <w:szCs w:val="28"/>
        </w:rPr>
        <w:t xml:space="preserve">Приказ Минпросвещения России от 10 ноября 2021 г. № 812 «О внесении изменения в примерную форму договора об образовании по образовательным программам дошкольного образования, утвержденную приказом Министерства образования и науки Российской Федерации от 13 января </w:t>
      </w:r>
      <w:r>
        <w:rPr>
          <w:rFonts w:eastAsia="Calibri"/>
          <w:sz w:val="28"/>
          <w:szCs w:val="28"/>
        </w:rPr>
        <w:br/>
        <w:t>2014 г. № 8»;</w:t>
      </w:r>
    </w:p>
    <w:p w14:paraId="3CE3B77D" w14:textId="77777777" w:rsidR="00B96DF7" w:rsidRPr="00B96DF7" w:rsidRDefault="00B96DF7" w:rsidP="008A48E8">
      <w:pPr>
        <w:pStyle w:val="af6"/>
        <w:numPr>
          <w:ilvl w:val="0"/>
          <w:numId w:val="34"/>
        </w:numPr>
        <w:spacing w:line="312" w:lineRule="auto"/>
        <w:ind w:left="709"/>
        <w:jc w:val="both"/>
        <w:rPr>
          <w:rFonts w:eastAsia="Calibri"/>
          <w:sz w:val="28"/>
          <w:szCs w:val="28"/>
        </w:rPr>
      </w:pPr>
      <w:r>
        <w:rPr>
          <w:rFonts w:eastAsia="Calibri"/>
          <w:sz w:val="28"/>
          <w:szCs w:val="28"/>
        </w:rPr>
        <w:t xml:space="preserve"> </w:t>
      </w:r>
      <w:r w:rsidRPr="00B96DF7">
        <w:rPr>
          <w:rFonts w:eastAsia="Calibri"/>
          <w:sz w:val="28"/>
          <w:szCs w:val="28"/>
        </w:rPr>
        <w:t xml:space="preserve">Приказ Минпросвещения России от 12 ноября 2021 г. № 819 </w:t>
      </w:r>
      <w:r>
        <w:rPr>
          <w:rFonts w:eastAsia="Calibri"/>
          <w:sz w:val="28"/>
          <w:szCs w:val="28"/>
        </w:rPr>
        <w:br/>
      </w:r>
      <w:r w:rsidRPr="00B96DF7">
        <w:rPr>
          <w:rFonts w:eastAsia="Calibri"/>
          <w:sz w:val="28"/>
          <w:szCs w:val="28"/>
        </w:rPr>
        <w:t>«Об утверждении Порядка формирования федерального перечня учебников, допущенных к использованию при реализации имеющих государственную</w:t>
      </w:r>
      <w:r>
        <w:rPr>
          <w:rFonts w:eastAsia="Calibri"/>
          <w:sz w:val="28"/>
          <w:szCs w:val="28"/>
        </w:rPr>
        <w:t xml:space="preserve"> </w:t>
      </w:r>
      <w:r w:rsidRPr="00B96DF7">
        <w:rPr>
          <w:rFonts w:eastAsia="Calibri"/>
          <w:sz w:val="28"/>
          <w:szCs w:val="28"/>
        </w:rPr>
        <w:t>аккредитацию образовательных программ начального общего, основного общего, среднего общего образования»</w:t>
      </w:r>
      <w:r>
        <w:rPr>
          <w:rFonts w:eastAsia="Calibri"/>
          <w:sz w:val="28"/>
          <w:szCs w:val="28"/>
        </w:rPr>
        <w:t>;</w:t>
      </w:r>
    </w:p>
    <w:p w14:paraId="0702FA4D" w14:textId="77777777" w:rsidR="00B96DF7" w:rsidRPr="00B96DF7" w:rsidRDefault="00B96DF7" w:rsidP="008A48E8">
      <w:pPr>
        <w:pStyle w:val="af6"/>
        <w:numPr>
          <w:ilvl w:val="0"/>
          <w:numId w:val="34"/>
        </w:numPr>
        <w:spacing w:line="312" w:lineRule="auto"/>
        <w:ind w:left="709"/>
        <w:jc w:val="both"/>
        <w:rPr>
          <w:rFonts w:eastAsia="Calibri"/>
          <w:sz w:val="28"/>
          <w:szCs w:val="28"/>
        </w:rPr>
      </w:pPr>
      <w:r>
        <w:rPr>
          <w:rFonts w:eastAsia="Calibri"/>
          <w:sz w:val="28"/>
          <w:szCs w:val="28"/>
        </w:rPr>
        <w:t xml:space="preserve"> </w:t>
      </w:r>
      <w:r w:rsidRPr="00B96DF7">
        <w:rPr>
          <w:rFonts w:eastAsia="Calibri"/>
          <w:sz w:val="28"/>
          <w:szCs w:val="28"/>
        </w:rPr>
        <w:t xml:space="preserve">Приказ Минпросвещения России от 29 ноября 2021 г. № 868 </w:t>
      </w:r>
      <w:r>
        <w:rPr>
          <w:rFonts w:eastAsia="Calibri"/>
          <w:sz w:val="28"/>
          <w:szCs w:val="28"/>
        </w:rPr>
        <w:br/>
      </w:r>
      <w:r w:rsidRPr="00B96DF7">
        <w:rPr>
          <w:rFonts w:eastAsia="Calibri"/>
          <w:sz w:val="28"/>
          <w:szCs w:val="28"/>
        </w:rPr>
        <w:t xml:space="preserve">«Об утверждении </w:t>
      </w:r>
      <w:proofErr w:type="spellStart"/>
      <w:r w:rsidRPr="00B96DF7">
        <w:rPr>
          <w:rFonts w:eastAsia="Calibri"/>
          <w:sz w:val="28"/>
          <w:szCs w:val="28"/>
        </w:rPr>
        <w:t>аккредитационных</w:t>
      </w:r>
      <w:proofErr w:type="spellEnd"/>
      <w:r w:rsidRPr="00B96DF7">
        <w:rPr>
          <w:rFonts w:eastAsia="Calibri"/>
          <w:sz w:val="28"/>
          <w:szCs w:val="28"/>
        </w:rPr>
        <w:t xml:space="preserve"> показателей по основным общеобразовательным программам – образовательным программам начального общего, основного общего</w:t>
      </w:r>
      <w:r>
        <w:rPr>
          <w:rFonts w:eastAsia="Calibri"/>
          <w:sz w:val="28"/>
          <w:szCs w:val="28"/>
        </w:rPr>
        <w:t xml:space="preserve"> и среднего общего образования»;</w:t>
      </w:r>
    </w:p>
    <w:p w14:paraId="1848FED1" w14:textId="77777777" w:rsidR="00B96DF7" w:rsidRPr="00B96DF7" w:rsidRDefault="00B96DF7" w:rsidP="008A48E8">
      <w:pPr>
        <w:pStyle w:val="af6"/>
        <w:numPr>
          <w:ilvl w:val="0"/>
          <w:numId w:val="34"/>
        </w:numPr>
        <w:spacing w:line="312" w:lineRule="auto"/>
        <w:ind w:left="709"/>
        <w:jc w:val="both"/>
        <w:rPr>
          <w:rFonts w:eastAsia="Calibri"/>
          <w:sz w:val="28"/>
          <w:szCs w:val="28"/>
        </w:rPr>
      </w:pPr>
      <w:r>
        <w:rPr>
          <w:rFonts w:eastAsia="Calibri"/>
          <w:sz w:val="28"/>
          <w:szCs w:val="28"/>
        </w:rPr>
        <w:t xml:space="preserve"> </w:t>
      </w:r>
      <w:r w:rsidRPr="00B96DF7">
        <w:rPr>
          <w:rFonts w:eastAsia="Calibri"/>
          <w:sz w:val="28"/>
          <w:szCs w:val="28"/>
        </w:rPr>
        <w:t xml:space="preserve">Приказ Минпросвещения России от 29 ноября 2021 г. № 869 </w:t>
      </w:r>
      <w:r>
        <w:rPr>
          <w:rFonts w:eastAsia="Calibri"/>
          <w:sz w:val="28"/>
          <w:szCs w:val="28"/>
        </w:rPr>
        <w:br/>
      </w:r>
      <w:r w:rsidRPr="00B96DF7">
        <w:rPr>
          <w:rFonts w:eastAsia="Calibri"/>
          <w:sz w:val="28"/>
          <w:szCs w:val="28"/>
        </w:rPr>
        <w:t xml:space="preserve">«Об утверждении </w:t>
      </w:r>
      <w:proofErr w:type="spellStart"/>
      <w:r w:rsidRPr="00B96DF7">
        <w:rPr>
          <w:rFonts w:eastAsia="Calibri"/>
          <w:sz w:val="28"/>
          <w:szCs w:val="28"/>
        </w:rPr>
        <w:t>аккредитационных</w:t>
      </w:r>
      <w:proofErr w:type="spellEnd"/>
      <w:r w:rsidRPr="00B96DF7">
        <w:rPr>
          <w:rFonts w:eastAsia="Calibri"/>
          <w:sz w:val="28"/>
          <w:szCs w:val="28"/>
        </w:rPr>
        <w:t xml:space="preserve"> показателей по образовательным программам среднего профессионального образования»</w:t>
      </w:r>
      <w:r>
        <w:rPr>
          <w:rFonts w:eastAsia="Calibri"/>
          <w:sz w:val="28"/>
          <w:szCs w:val="28"/>
        </w:rPr>
        <w:t>;</w:t>
      </w:r>
    </w:p>
    <w:p w14:paraId="43645D29" w14:textId="77777777" w:rsidR="00B96DF7" w:rsidRPr="00B96DF7" w:rsidRDefault="00B96DF7" w:rsidP="008A48E8">
      <w:pPr>
        <w:pStyle w:val="af6"/>
        <w:numPr>
          <w:ilvl w:val="0"/>
          <w:numId w:val="34"/>
        </w:numPr>
        <w:spacing w:line="312" w:lineRule="auto"/>
        <w:ind w:left="709"/>
        <w:jc w:val="both"/>
        <w:rPr>
          <w:rFonts w:eastAsia="Calibri"/>
          <w:sz w:val="28"/>
          <w:szCs w:val="28"/>
        </w:rPr>
      </w:pPr>
      <w:r>
        <w:rPr>
          <w:rFonts w:eastAsia="Calibri"/>
          <w:sz w:val="28"/>
          <w:szCs w:val="28"/>
        </w:rPr>
        <w:t xml:space="preserve"> </w:t>
      </w:r>
      <w:r w:rsidRPr="00B96DF7">
        <w:rPr>
          <w:rFonts w:eastAsia="Calibri"/>
          <w:sz w:val="28"/>
          <w:szCs w:val="28"/>
        </w:rPr>
        <w:t xml:space="preserve">Приказ Минпросвещения России от 7 декабря 2021 г. № 900 </w:t>
      </w:r>
      <w:r>
        <w:rPr>
          <w:rFonts w:eastAsia="Calibri"/>
          <w:sz w:val="28"/>
          <w:szCs w:val="28"/>
        </w:rPr>
        <w:br/>
      </w:r>
      <w:r w:rsidRPr="00B96DF7">
        <w:rPr>
          <w:rFonts w:eastAsia="Calibri"/>
          <w:sz w:val="28"/>
          <w:szCs w:val="28"/>
        </w:rPr>
        <w:t>«Об утверждении Порядка взаимодействия Министерства просвещения Российской Федерации, подведомственных ему государственных учреждений с организаторами добровольческой (волонтерской) деятельности, добровольческими (волонтерскими) организациями в сфере содействия в оказании социальных услуг в организациях для детей-сирот и детей, оставшихся без попечения родителей»</w:t>
      </w:r>
      <w:r>
        <w:rPr>
          <w:rFonts w:eastAsia="Calibri"/>
          <w:sz w:val="28"/>
          <w:szCs w:val="28"/>
        </w:rPr>
        <w:t>;</w:t>
      </w:r>
    </w:p>
    <w:p w14:paraId="7C56C170" w14:textId="77777777" w:rsidR="00B96DF7" w:rsidRPr="00B96DF7" w:rsidRDefault="00B96DF7" w:rsidP="008A48E8">
      <w:pPr>
        <w:pStyle w:val="af6"/>
        <w:numPr>
          <w:ilvl w:val="0"/>
          <w:numId w:val="34"/>
        </w:numPr>
        <w:spacing w:line="312" w:lineRule="auto"/>
        <w:ind w:left="709"/>
        <w:jc w:val="both"/>
        <w:rPr>
          <w:rFonts w:eastAsia="Calibri"/>
          <w:sz w:val="28"/>
          <w:szCs w:val="28"/>
        </w:rPr>
      </w:pPr>
      <w:r>
        <w:rPr>
          <w:rFonts w:eastAsia="Calibri"/>
          <w:sz w:val="28"/>
          <w:szCs w:val="28"/>
        </w:rPr>
        <w:t xml:space="preserve"> </w:t>
      </w:r>
      <w:r w:rsidRPr="00B96DF7">
        <w:rPr>
          <w:rFonts w:eastAsia="Calibri"/>
          <w:sz w:val="28"/>
          <w:szCs w:val="28"/>
        </w:rPr>
        <w:t xml:space="preserve">Приказ Минпросвещения России от 9 декабря 2021 г. № 909 </w:t>
      </w:r>
      <w:r>
        <w:rPr>
          <w:rFonts w:eastAsia="Calibri"/>
          <w:sz w:val="28"/>
          <w:szCs w:val="28"/>
        </w:rPr>
        <w:br/>
      </w:r>
      <w:r w:rsidRPr="00B96DF7">
        <w:rPr>
          <w:rFonts w:eastAsia="Calibri"/>
          <w:sz w:val="28"/>
          <w:szCs w:val="28"/>
        </w:rPr>
        <w:t>«О Межведомственной комиссии по языкам коренных малочисленны</w:t>
      </w:r>
      <w:r>
        <w:rPr>
          <w:rFonts w:eastAsia="Calibri"/>
          <w:sz w:val="28"/>
          <w:szCs w:val="28"/>
        </w:rPr>
        <w:t>х народов Российской Федерации»;</w:t>
      </w:r>
    </w:p>
    <w:p w14:paraId="2747D3D5" w14:textId="77777777" w:rsidR="00B96DF7" w:rsidRPr="00B96DF7" w:rsidRDefault="00B96DF7" w:rsidP="008A48E8">
      <w:pPr>
        <w:pStyle w:val="af6"/>
        <w:numPr>
          <w:ilvl w:val="0"/>
          <w:numId w:val="34"/>
        </w:numPr>
        <w:spacing w:line="312" w:lineRule="auto"/>
        <w:ind w:left="709"/>
        <w:jc w:val="both"/>
        <w:rPr>
          <w:rFonts w:eastAsia="Calibri"/>
          <w:sz w:val="28"/>
          <w:szCs w:val="28"/>
        </w:rPr>
      </w:pPr>
      <w:r>
        <w:rPr>
          <w:rFonts w:eastAsia="Calibri"/>
          <w:sz w:val="28"/>
          <w:szCs w:val="28"/>
        </w:rPr>
        <w:t xml:space="preserve"> </w:t>
      </w:r>
      <w:r w:rsidRPr="00B96DF7">
        <w:rPr>
          <w:rFonts w:eastAsia="Calibri"/>
          <w:sz w:val="28"/>
          <w:szCs w:val="28"/>
        </w:rPr>
        <w:t xml:space="preserve">Приказ Минпросвещения России от 28 декабря 2021 г. № 1030 </w:t>
      </w:r>
      <w:r>
        <w:rPr>
          <w:rFonts w:eastAsia="Calibri"/>
          <w:sz w:val="28"/>
          <w:szCs w:val="28"/>
        </w:rPr>
        <w:br/>
      </w:r>
      <w:r w:rsidRPr="00B96DF7">
        <w:rPr>
          <w:rFonts w:eastAsia="Calibri"/>
          <w:sz w:val="28"/>
          <w:szCs w:val="28"/>
        </w:rPr>
        <w:t>«Об утверждении I этапа комплекса мер на 2022</w:t>
      </w:r>
      <w:r>
        <w:rPr>
          <w:rFonts w:eastAsia="Calibri"/>
          <w:sz w:val="28"/>
          <w:szCs w:val="28"/>
        </w:rPr>
        <w:t>-</w:t>
      </w:r>
      <w:r w:rsidRPr="00B96DF7">
        <w:rPr>
          <w:rFonts w:eastAsia="Calibri"/>
          <w:sz w:val="28"/>
          <w:szCs w:val="28"/>
        </w:rPr>
        <w:t>2023 годы по достижению 100-процентной доступности дошкольного образования для детей в возрасте от 3 до 7 лет к концу 2024 года в Республике Бурятия, Республике Ингушетия, Забайкальском крае»</w:t>
      </w:r>
      <w:r>
        <w:rPr>
          <w:rFonts w:eastAsia="Calibri"/>
          <w:sz w:val="28"/>
          <w:szCs w:val="28"/>
        </w:rPr>
        <w:t>;</w:t>
      </w:r>
    </w:p>
    <w:p w14:paraId="09966CD2" w14:textId="77777777" w:rsidR="00B96DF7" w:rsidRPr="00B96DF7" w:rsidRDefault="00B96DF7" w:rsidP="008A48E8">
      <w:pPr>
        <w:pStyle w:val="af6"/>
        <w:numPr>
          <w:ilvl w:val="0"/>
          <w:numId w:val="34"/>
        </w:numPr>
        <w:spacing w:line="312" w:lineRule="auto"/>
        <w:ind w:left="709"/>
        <w:jc w:val="both"/>
        <w:rPr>
          <w:rFonts w:eastAsia="Calibri"/>
          <w:sz w:val="28"/>
          <w:szCs w:val="28"/>
        </w:rPr>
      </w:pPr>
      <w:r>
        <w:rPr>
          <w:rFonts w:eastAsia="Calibri"/>
          <w:sz w:val="28"/>
          <w:szCs w:val="28"/>
        </w:rPr>
        <w:t xml:space="preserve"> </w:t>
      </w:r>
      <w:r w:rsidRPr="00B96DF7">
        <w:rPr>
          <w:rFonts w:eastAsia="Calibri"/>
          <w:sz w:val="28"/>
          <w:szCs w:val="28"/>
        </w:rPr>
        <w:t xml:space="preserve">Совместный приказ Минпросвещения России и </w:t>
      </w:r>
      <w:proofErr w:type="spellStart"/>
      <w:r w:rsidRPr="00B96DF7">
        <w:rPr>
          <w:rFonts w:eastAsia="Calibri"/>
          <w:sz w:val="28"/>
          <w:szCs w:val="28"/>
        </w:rPr>
        <w:t>Рособорнадзора</w:t>
      </w:r>
      <w:proofErr w:type="spellEnd"/>
      <w:r w:rsidRPr="00B96DF7">
        <w:rPr>
          <w:rFonts w:eastAsia="Calibri"/>
          <w:sz w:val="28"/>
          <w:szCs w:val="28"/>
        </w:rPr>
        <w:t xml:space="preserve"> от 5 марта 2021 г. № 88/245 «О внесении изменений в пункт 1 приказа Министерства просвещения Российской Федерации и Федеральной службы по надзору в сфере образования и науки от 24 ноября 2020 г. № 665/1156 «Об особенностях проведения государственной итоговой аттестации по образовательным программам среднего общего образования в 2020/21 учебном году в части проведения и</w:t>
      </w:r>
      <w:r>
        <w:rPr>
          <w:rFonts w:eastAsia="Calibri"/>
          <w:sz w:val="28"/>
          <w:szCs w:val="28"/>
        </w:rPr>
        <w:t>тогового сочинения (изложения)»;</w:t>
      </w:r>
    </w:p>
    <w:p w14:paraId="6AD970FB" w14:textId="7F29A7D0" w:rsidR="00B96DF7" w:rsidRPr="00B96DF7" w:rsidRDefault="00B96DF7" w:rsidP="008A48E8">
      <w:pPr>
        <w:pStyle w:val="af6"/>
        <w:numPr>
          <w:ilvl w:val="0"/>
          <w:numId w:val="34"/>
        </w:numPr>
        <w:spacing w:line="312" w:lineRule="auto"/>
        <w:ind w:left="709"/>
        <w:jc w:val="both"/>
        <w:rPr>
          <w:rFonts w:eastAsia="Calibri"/>
          <w:sz w:val="28"/>
          <w:szCs w:val="28"/>
        </w:rPr>
      </w:pPr>
      <w:r>
        <w:rPr>
          <w:rFonts w:eastAsia="Calibri"/>
          <w:sz w:val="28"/>
          <w:szCs w:val="28"/>
        </w:rPr>
        <w:t xml:space="preserve"> </w:t>
      </w:r>
      <w:r w:rsidRPr="00B96DF7">
        <w:rPr>
          <w:rFonts w:eastAsia="Calibri"/>
          <w:sz w:val="28"/>
          <w:szCs w:val="28"/>
        </w:rPr>
        <w:t xml:space="preserve">Совместный приказ Минпросвещения России и </w:t>
      </w:r>
      <w:proofErr w:type="spellStart"/>
      <w:r w:rsidRPr="00B96DF7">
        <w:rPr>
          <w:rFonts w:eastAsia="Calibri"/>
          <w:sz w:val="28"/>
          <w:szCs w:val="28"/>
        </w:rPr>
        <w:t>Рособорнадзора</w:t>
      </w:r>
      <w:proofErr w:type="spellEnd"/>
      <w:r w:rsidRPr="00B96DF7">
        <w:rPr>
          <w:rFonts w:eastAsia="Calibri"/>
          <w:sz w:val="28"/>
          <w:szCs w:val="28"/>
        </w:rPr>
        <w:t xml:space="preserve"> от 16 марта 2021 г. № 104/306 «Об особенностях проведения государственной итоговой аттестации по образовательным программа</w:t>
      </w:r>
      <w:r w:rsidR="00591409">
        <w:rPr>
          <w:rFonts w:eastAsia="Calibri"/>
          <w:sz w:val="28"/>
          <w:szCs w:val="28"/>
        </w:rPr>
        <w:t>м</w:t>
      </w:r>
      <w:r w:rsidRPr="00B96DF7">
        <w:rPr>
          <w:rFonts w:eastAsia="Calibri"/>
          <w:sz w:val="28"/>
          <w:szCs w:val="28"/>
        </w:rPr>
        <w:t xml:space="preserve"> основного </w:t>
      </w:r>
      <w:r>
        <w:rPr>
          <w:rFonts w:eastAsia="Calibri"/>
          <w:sz w:val="28"/>
          <w:szCs w:val="28"/>
        </w:rPr>
        <w:t>общего образования в 2021 году»;</w:t>
      </w:r>
    </w:p>
    <w:p w14:paraId="32D02BF8" w14:textId="77777777" w:rsidR="00B96DF7" w:rsidRPr="00B96DF7" w:rsidRDefault="00B96DF7" w:rsidP="008A48E8">
      <w:pPr>
        <w:pStyle w:val="af6"/>
        <w:numPr>
          <w:ilvl w:val="0"/>
          <w:numId w:val="34"/>
        </w:numPr>
        <w:spacing w:line="312" w:lineRule="auto"/>
        <w:ind w:left="709"/>
        <w:jc w:val="both"/>
        <w:rPr>
          <w:rFonts w:eastAsia="Calibri"/>
          <w:sz w:val="28"/>
          <w:szCs w:val="28"/>
        </w:rPr>
      </w:pPr>
      <w:r>
        <w:rPr>
          <w:rFonts w:eastAsia="Calibri"/>
          <w:sz w:val="28"/>
          <w:szCs w:val="28"/>
        </w:rPr>
        <w:t xml:space="preserve"> </w:t>
      </w:r>
      <w:r w:rsidRPr="00B96DF7">
        <w:rPr>
          <w:rFonts w:eastAsia="Calibri"/>
          <w:sz w:val="28"/>
          <w:szCs w:val="28"/>
        </w:rPr>
        <w:t xml:space="preserve">Совместный приказ Минпросвещения России и </w:t>
      </w:r>
      <w:proofErr w:type="spellStart"/>
      <w:r w:rsidRPr="00B96DF7">
        <w:rPr>
          <w:rFonts w:eastAsia="Calibri"/>
          <w:sz w:val="28"/>
          <w:szCs w:val="28"/>
        </w:rPr>
        <w:t>Рособорнадзора</w:t>
      </w:r>
      <w:proofErr w:type="spellEnd"/>
      <w:r w:rsidRPr="00B96DF7">
        <w:rPr>
          <w:rFonts w:eastAsia="Calibri"/>
          <w:sz w:val="28"/>
          <w:szCs w:val="28"/>
        </w:rPr>
        <w:t xml:space="preserve"> от 16 марта 2021 г. № 105/307 «Об особенностях проведения государственной итоговой аттестации по образовательным программам среднего </w:t>
      </w:r>
      <w:r>
        <w:rPr>
          <w:rFonts w:eastAsia="Calibri"/>
          <w:sz w:val="28"/>
          <w:szCs w:val="28"/>
        </w:rPr>
        <w:t>общего образования в 2021 году»;</w:t>
      </w:r>
    </w:p>
    <w:p w14:paraId="77339A63" w14:textId="77777777" w:rsidR="00B96DF7" w:rsidRPr="00B96DF7" w:rsidRDefault="00B96DF7" w:rsidP="008A48E8">
      <w:pPr>
        <w:pStyle w:val="af6"/>
        <w:numPr>
          <w:ilvl w:val="0"/>
          <w:numId w:val="34"/>
        </w:numPr>
        <w:spacing w:line="312" w:lineRule="auto"/>
        <w:ind w:left="709"/>
        <w:jc w:val="both"/>
        <w:rPr>
          <w:rFonts w:eastAsia="Calibri"/>
          <w:sz w:val="28"/>
          <w:szCs w:val="28"/>
        </w:rPr>
      </w:pPr>
      <w:r>
        <w:rPr>
          <w:rFonts w:eastAsia="Calibri"/>
          <w:sz w:val="28"/>
          <w:szCs w:val="28"/>
        </w:rPr>
        <w:t xml:space="preserve"> </w:t>
      </w:r>
      <w:r w:rsidRPr="00B96DF7">
        <w:rPr>
          <w:rFonts w:eastAsia="Calibri"/>
          <w:sz w:val="28"/>
          <w:szCs w:val="28"/>
        </w:rPr>
        <w:t xml:space="preserve">Совместный приказ Минпросвещения России и </w:t>
      </w:r>
      <w:proofErr w:type="spellStart"/>
      <w:r w:rsidRPr="00B96DF7">
        <w:rPr>
          <w:rFonts w:eastAsia="Calibri"/>
          <w:sz w:val="28"/>
          <w:szCs w:val="28"/>
        </w:rPr>
        <w:t>Рособорнадзора</w:t>
      </w:r>
      <w:proofErr w:type="spellEnd"/>
      <w:r w:rsidRPr="00B96DF7">
        <w:rPr>
          <w:rFonts w:eastAsia="Calibri"/>
          <w:sz w:val="28"/>
          <w:szCs w:val="28"/>
        </w:rPr>
        <w:t xml:space="preserve"> от 12 апреля 2021 г. № 161/470 «Об утверждении единого расписания и продолжительности проведения единого государственного экзамена по каждому учебному предмету, требований к использованию средств обучения и воспитания </w:t>
      </w:r>
      <w:r>
        <w:rPr>
          <w:rFonts w:eastAsia="Calibri"/>
          <w:sz w:val="28"/>
          <w:szCs w:val="28"/>
        </w:rPr>
        <w:t>при его проведении в 2021 году»;</w:t>
      </w:r>
    </w:p>
    <w:p w14:paraId="11B6CB3E" w14:textId="77777777" w:rsidR="00B96DF7" w:rsidRPr="00B96DF7" w:rsidRDefault="00B96DF7" w:rsidP="008A48E8">
      <w:pPr>
        <w:pStyle w:val="af6"/>
        <w:numPr>
          <w:ilvl w:val="0"/>
          <w:numId w:val="34"/>
        </w:numPr>
        <w:spacing w:line="312" w:lineRule="auto"/>
        <w:ind w:left="709"/>
        <w:jc w:val="both"/>
        <w:rPr>
          <w:rFonts w:eastAsia="Calibri"/>
          <w:sz w:val="28"/>
          <w:szCs w:val="28"/>
        </w:rPr>
      </w:pPr>
      <w:r>
        <w:rPr>
          <w:rFonts w:eastAsia="Calibri"/>
          <w:sz w:val="28"/>
          <w:szCs w:val="28"/>
        </w:rPr>
        <w:t xml:space="preserve"> </w:t>
      </w:r>
      <w:r w:rsidRPr="00B96DF7">
        <w:rPr>
          <w:rFonts w:eastAsia="Calibri"/>
          <w:sz w:val="28"/>
          <w:szCs w:val="28"/>
        </w:rPr>
        <w:t xml:space="preserve">Совместный приказ Минпросвещения России и </w:t>
      </w:r>
      <w:proofErr w:type="spellStart"/>
      <w:r w:rsidRPr="00B96DF7">
        <w:rPr>
          <w:rFonts w:eastAsia="Calibri"/>
          <w:sz w:val="28"/>
          <w:szCs w:val="28"/>
        </w:rPr>
        <w:t>Рособорнадзора</w:t>
      </w:r>
      <w:proofErr w:type="spellEnd"/>
      <w:r w:rsidRPr="00B96DF7">
        <w:rPr>
          <w:rFonts w:eastAsia="Calibri"/>
          <w:sz w:val="28"/>
          <w:szCs w:val="28"/>
        </w:rPr>
        <w:t xml:space="preserve"> </w:t>
      </w:r>
      <w:r>
        <w:rPr>
          <w:rFonts w:eastAsia="Calibri"/>
          <w:sz w:val="28"/>
          <w:szCs w:val="28"/>
        </w:rPr>
        <w:br/>
      </w:r>
      <w:r w:rsidRPr="00B96DF7">
        <w:rPr>
          <w:rFonts w:eastAsia="Calibri"/>
          <w:sz w:val="28"/>
          <w:szCs w:val="28"/>
        </w:rPr>
        <w:t xml:space="preserve">от 12 апреля 2021 г. № 162/471 «Об утверждении единого расписания и продолжительности проведения основного государственного экзамена по каждому учебному предмету, требований к использованию средств обучения и воспитания </w:t>
      </w:r>
      <w:r>
        <w:rPr>
          <w:rFonts w:eastAsia="Calibri"/>
          <w:sz w:val="28"/>
          <w:szCs w:val="28"/>
        </w:rPr>
        <w:t>при его проведении в 2021 году»;</w:t>
      </w:r>
    </w:p>
    <w:p w14:paraId="2C9FC5FE" w14:textId="77777777" w:rsidR="00B96DF7" w:rsidRPr="00B96DF7" w:rsidRDefault="00B96DF7" w:rsidP="008A48E8">
      <w:pPr>
        <w:pStyle w:val="af6"/>
        <w:numPr>
          <w:ilvl w:val="0"/>
          <w:numId w:val="34"/>
        </w:numPr>
        <w:spacing w:line="312" w:lineRule="auto"/>
        <w:ind w:left="709"/>
        <w:jc w:val="both"/>
        <w:rPr>
          <w:rFonts w:eastAsia="Calibri"/>
          <w:sz w:val="28"/>
          <w:szCs w:val="28"/>
        </w:rPr>
      </w:pPr>
      <w:r>
        <w:rPr>
          <w:rFonts w:eastAsia="Calibri"/>
          <w:sz w:val="28"/>
          <w:szCs w:val="28"/>
        </w:rPr>
        <w:t xml:space="preserve"> </w:t>
      </w:r>
      <w:r w:rsidRPr="00B96DF7">
        <w:rPr>
          <w:rFonts w:eastAsia="Calibri"/>
          <w:sz w:val="28"/>
          <w:szCs w:val="28"/>
        </w:rPr>
        <w:t xml:space="preserve">Совместный приказ Минпросвещения России и Минобрнауки России </w:t>
      </w:r>
      <w:r>
        <w:rPr>
          <w:rFonts w:eastAsia="Calibri"/>
          <w:sz w:val="28"/>
          <w:szCs w:val="28"/>
        </w:rPr>
        <w:br/>
      </w:r>
      <w:r w:rsidRPr="00B96DF7">
        <w:rPr>
          <w:rFonts w:eastAsia="Calibri"/>
          <w:sz w:val="28"/>
          <w:szCs w:val="28"/>
        </w:rPr>
        <w:t>от 17 июня 2021 г. № 336/496 «О признании утратившими силу некоторых приказов Министерства образования и науки Российской Федерации по вопросу о разработке примерных основных образовательных программ, проведения</w:t>
      </w:r>
      <w:r>
        <w:rPr>
          <w:rFonts w:eastAsia="Calibri"/>
          <w:sz w:val="28"/>
          <w:szCs w:val="28"/>
        </w:rPr>
        <w:t xml:space="preserve"> </w:t>
      </w:r>
      <w:r w:rsidRPr="00B96DF7">
        <w:rPr>
          <w:rFonts w:eastAsia="Calibri"/>
          <w:sz w:val="28"/>
          <w:szCs w:val="28"/>
        </w:rPr>
        <w:t>их экспертизы и ведения реестра примерных осн</w:t>
      </w:r>
      <w:r>
        <w:rPr>
          <w:rFonts w:eastAsia="Calibri"/>
          <w:sz w:val="28"/>
          <w:szCs w:val="28"/>
        </w:rPr>
        <w:t>овных образовательных программ»;</w:t>
      </w:r>
    </w:p>
    <w:p w14:paraId="087B6B28" w14:textId="77777777" w:rsidR="00B96DF7" w:rsidRDefault="00B96DF7" w:rsidP="008A48E8">
      <w:pPr>
        <w:pStyle w:val="af6"/>
        <w:numPr>
          <w:ilvl w:val="0"/>
          <w:numId w:val="34"/>
        </w:numPr>
        <w:spacing w:line="312" w:lineRule="auto"/>
        <w:ind w:left="709"/>
        <w:jc w:val="both"/>
        <w:rPr>
          <w:rFonts w:eastAsia="Calibri"/>
          <w:sz w:val="28"/>
          <w:szCs w:val="28"/>
        </w:rPr>
      </w:pPr>
      <w:r w:rsidRPr="00B96DF7">
        <w:rPr>
          <w:rFonts w:eastAsia="Calibri"/>
          <w:sz w:val="28"/>
          <w:szCs w:val="28"/>
        </w:rPr>
        <w:t xml:space="preserve"> Совместный приказ Минпросвещения России и Минцифры России </w:t>
      </w:r>
      <w:r w:rsidRPr="00B96DF7">
        <w:rPr>
          <w:rFonts w:eastAsia="Calibri"/>
          <w:sz w:val="28"/>
          <w:szCs w:val="28"/>
        </w:rPr>
        <w:br/>
        <w:t>от 8 сентября 2021 г. № 634/925 «Об утверждении стандарта оснащения государственных и муниципальных общеобразовательных организаций, осуществляющих образовательную деятельность в субъектах Российской Федерации, на территории которых проводится эксперимент по внедрению цифровой образовательной среды, компьютерным, мультимедийным, презентационным оборудованием и программным о</w:t>
      </w:r>
      <w:r>
        <w:rPr>
          <w:rFonts w:eastAsia="Calibri"/>
          <w:sz w:val="28"/>
          <w:szCs w:val="28"/>
        </w:rPr>
        <w:t>беспечением»;</w:t>
      </w:r>
    </w:p>
    <w:p w14:paraId="01CA94C2" w14:textId="77777777" w:rsidR="00B96DF7" w:rsidRPr="00B96DF7" w:rsidRDefault="00B96DF7" w:rsidP="008A48E8">
      <w:pPr>
        <w:pStyle w:val="af6"/>
        <w:numPr>
          <w:ilvl w:val="0"/>
          <w:numId w:val="34"/>
        </w:numPr>
        <w:spacing w:line="312" w:lineRule="auto"/>
        <w:ind w:left="709"/>
        <w:jc w:val="both"/>
        <w:rPr>
          <w:rFonts w:eastAsia="Calibri"/>
          <w:sz w:val="28"/>
          <w:szCs w:val="28"/>
        </w:rPr>
      </w:pPr>
      <w:r>
        <w:rPr>
          <w:rFonts w:eastAsia="Calibri"/>
          <w:sz w:val="28"/>
          <w:szCs w:val="28"/>
        </w:rPr>
        <w:t xml:space="preserve"> </w:t>
      </w:r>
      <w:r w:rsidRPr="00B96DF7">
        <w:rPr>
          <w:rFonts w:eastAsia="Calibri"/>
          <w:sz w:val="28"/>
          <w:szCs w:val="28"/>
        </w:rPr>
        <w:t xml:space="preserve">Совместный приказ Минпросвещения России и Минобрнауки России </w:t>
      </w:r>
      <w:r>
        <w:rPr>
          <w:rFonts w:eastAsia="Calibri"/>
          <w:sz w:val="28"/>
          <w:szCs w:val="28"/>
        </w:rPr>
        <w:br/>
      </w:r>
      <w:r w:rsidRPr="00B96DF7">
        <w:rPr>
          <w:rFonts w:eastAsia="Calibri"/>
          <w:sz w:val="28"/>
          <w:szCs w:val="28"/>
        </w:rPr>
        <w:t>от 10 ноября 2021 г. № 814/1008 «Об утверждении Порядка проведения экспертизы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w:t>
      </w:r>
      <w:r>
        <w:rPr>
          <w:rFonts w:eastAsia="Calibri"/>
          <w:sz w:val="28"/>
          <w:szCs w:val="28"/>
        </w:rPr>
        <w:t>;</w:t>
      </w:r>
    </w:p>
    <w:p w14:paraId="53B984EE" w14:textId="77777777" w:rsidR="00B96DF7" w:rsidRPr="00B96DF7" w:rsidRDefault="00B96DF7" w:rsidP="008A48E8">
      <w:pPr>
        <w:pStyle w:val="af6"/>
        <w:numPr>
          <w:ilvl w:val="0"/>
          <w:numId w:val="34"/>
        </w:numPr>
        <w:spacing w:line="312" w:lineRule="auto"/>
        <w:ind w:left="709"/>
        <w:jc w:val="both"/>
        <w:rPr>
          <w:rFonts w:eastAsia="Calibri"/>
          <w:sz w:val="28"/>
          <w:szCs w:val="28"/>
        </w:rPr>
      </w:pPr>
      <w:r>
        <w:rPr>
          <w:rFonts w:eastAsia="Calibri"/>
          <w:sz w:val="28"/>
          <w:szCs w:val="28"/>
        </w:rPr>
        <w:t xml:space="preserve"> </w:t>
      </w:r>
      <w:r w:rsidRPr="00B96DF7">
        <w:rPr>
          <w:rFonts w:eastAsia="Calibri"/>
          <w:sz w:val="28"/>
          <w:szCs w:val="28"/>
        </w:rPr>
        <w:t xml:space="preserve">Совместный приказ Минпросвещения России и </w:t>
      </w:r>
      <w:proofErr w:type="spellStart"/>
      <w:r w:rsidRPr="00B96DF7">
        <w:rPr>
          <w:rFonts w:eastAsia="Calibri"/>
          <w:sz w:val="28"/>
          <w:szCs w:val="28"/>
        </w:rPr>
        <w:t>Рособорнадзора</w:t>
      </w:r>
      <w:proofErr w:type="spellEnd"/>
      <w:r w:rsidRPr="00B96DF7">
        <w:rPr>
          <w:rFonts w:eastAsia="Calibri"/>
          <w:sz w:val="28"/>
          <w:szCs w:val="28"/>
        </w:rPr>
        <w:t xml:space="preserve"> от 17 ноября 2021 г. № 834/1479 «Об утверждении единого расписания и продолжительности проведения единого государственного экзамена по каждому учебному предмету, требований к использованию средств обучения и воспитания </w:t>
      </w:r>
      <w:r w:rsidR="00EE7950">
        <w:rPr>
          <w:rFonts w:eastAsia="Calibri"/>
          <w:sz w:val="28"/>
          <w:szCs w:val="28"/>
        </w:rPr>
        <w:t>при его проведении в 2022 году»;</w:t>
      </w:r>
    </w:p>
    <w:p w14:paraId="0F2D8FFC" w14:textId="77777777" w:rsidR="00B96DF7" w:rsidRPr="00EE7950" w:rsidRDefault="00EE7950" w:rsidP="008A48E8">
      <w:pPr>
        <w:pStyle w:val="af6"/>
        <w:numPr>
          <w:ilvl w:val="0"/>
          <w:numId w:val="34"/>
        </w:numPr>
        <w:spacing w:line="312" w:lineRule="auto"/>
        <w:ind w:left="709"/>
        <w:jc w:val="both"/>
        <w:rPr>
          <w:rFonts w:eastAsia="Calibri"/>
          <w:sz w:val="28"/>
          <w:szCs w:val="28"/>
        </w:rPr>
      </w:pPr>
      <w:r>
        <w:rPr>
          <w:rFonts w:eastAsia="Calibri"/>
          <w:sz w:val="28"/>
          <w:szCs w:val="28"/>
        </w:rPr>
        <w:t xml:space="preserve"> </w:t>
      </w:r>
      <w:r w:rsidR="00B96DF7" w:rsidRPr="00B96DF7">
        <w:rPr>
          <w:rFonts w:eastAsia="Calibri"/>
          <w:sz w:val="28"/>
          <w:szCs w:val="28"/>
        </w:rPr>
        <w:t xml:space="preserve">Совместный приказ Минпросвещения России и </w:t>
      </w:r>
      <w:proofErr w:type="spellStart"/>
      <w:r w:rsidR="00B96DF7" w:rsidRPr="00B96DF7">
        <w:rPr>
          <w:rFonts w:eastAsia="Calibri"/>
          <w:sz w:val="28"/>
          <w:szCs w:val="28"/>
        </w:rPr>
        <w:t>Рособорнадзора</w:t>
      </w:r>
      <w:proofErr w:type="spellEnd"/>
      <w:r w:rsidR="00B96DF7" w:rsidRPr="00B96DF7">
        <w:rPr>
          <w:rFonts w:eastAsia="Calibri"/>
          <w:sz w:val="28"/>
          <w:szCs w:val="28"/>
        </w:rPr>
        <w:t xml:space="preserve"> от 17 ноября 2021 г. № 835/1480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требований к использованию средств обучения</w:t>
      </w:r>
      <w:r>
        <w:rPr>
          <w:rFonts w:eastAsia="Calibri"/>
          <w:sz w:val="28"/>
          <w:szCs w:val="28"/>
        </w:rPr>
        <w:t xml:space="preserve"> </w:t>
      </w:r>
      <w:r w:rsidR="00B96DF7" w:rsidRPr="00EE7950">
        <w:rPr>
          <w:rFonts w:eastAsia="Calibri"/>
          <w:sz w:val="28"/>
          <w:szCs w:val="28"/>
        </w:rPr>
        <w:t xml:space="preserve">и воспитания </w:t>
      </w:r>
      <w:r>
        <w:rPr>
          <w:rFonts w:eastAsia="Calibri"/>
          <w:sz w:val="28"/>
          <w:szCs w:val="28"/>
        </w:rPr>
        <w:t>при его проведении в 2022 году»;</w:t>
      </w:r>
    </w:p>
    <w:p w14:paraId="61F961C7" w14:textId="77777777" w:rsidR="00DF7B93" w:rsidRDefault="00EE7950" w:rsidP="008A48E8">
      <w:pPr>
        <w:pStyle w:val="af6"/>
        <w:numPr>
          <w:ilvl w:val="0"/>
          <w:numId w:val="34"/>
        </w:numPr>
        <w:spacing w:line="312" w:lineRule="auto"/>
        <w:ind w:left="709"/>
        <w:jc w:val="both"/>
        <w:rPr>
          <w:rFonts w:eastAsia="Calibri"/>
          <w:sz w:val="28"/>
          <w:szCs w:val="28"/>
        </w:rPr>
      </w:pPr>
      <w:r>
        <w:rPr>
          <w:rFonts w:eastAsia="Calibri"/>
          <w:sz w:val="28"/>
          <w:szCs w:val="28"/>
        </w:rPr>
        <w:t xml:space="preserve"> </w:t>
      </w:r>
      <w:r w:rsidR="00B96DF7" w:rsidRPr="00B96DF7">
        <w:rPr>
          <w:rFonts w:eastAsia="Calibri"/>
          <w:sz w:val="28"/>
          <w:szCs w:val="28"/>
        </w:rPr>
        <w:t xml:space="preserve">Совместный приказ Минпросвещения России и </w:t>
      </w:r>
      <w:proofErr w:type="spellStart"/>
      <w:r w:rsidR="00B96DF7" w:rsidRPr="00B96DF7">
        <w:rPr>
          <w:rFonts w:eastAsia="Calibri"/>
          <w:sz w:val="28"/>
          <w:szCs w:val="28"/>
        </w:rPr>
        <w:t>Рособорнадзора</w:t>
      </w:r>
      <w:proofErr w:type="spellEnd"/>
      <w:r w:rsidR="00B96DF7" w:rsidRPr="00B96DF7">
        <w:rPr>
          <w:rFonts w:eastAsia="Calibri"/>
          <w:sz w:val="28"/>
          <w:szCs w:val="28"/>
        </w:rPr>
        <w:t xml:space="preserve"> от 17 ноября 2021 г. № 836/1481 «Об утверждении единого расписания и продолжительности проведения основного государственного экзамена по каждому учебному предмету, требований к использованию средств обучения и воспитания </w:t>
      </w:r>
      <w:r>
        <w:rPr>
          <w:rFonts w:eastAsia="Calibri"/>
          <w:sz w:val="28"/>
          <w:szCs w:val="28"/>
        </w:rPr>
        <w:t>при его проведении в 2022 году».</w:t>
      </w:r>
    </w:p>
    <w:p w14:paraId="37290814" w14:textId="77777777" w:rsidR="00594276" w:rsidRPr="00594276" w:rsidRDefault="00594276" w:rsidP="008B195F">
      <w:pPr>
        <w:spacing w:before="200" w:line="312" w:lineRule="auto"/>
        <w:ind w:firstLine="709"/>
        <w:jc w:val="both"/>
        <w:rPr>
          <w:rFonts w:ascii="Times New Roman" w:eastAsia="Calibri" w:hAnsi="Times New Roman" w:cs="Times New Roman"/>
          <w:b/>
          <w:sz w:val="28"/>
          <w:szCs w:val="28"/>
        </w:rPr>
      </w:pPr>
      <w:r w:rsidRPr="00594276">
        <w:rPr>
          <w:rFonts w:ascii="Times New Roman" w:eastAsia="Calibri" w:hAnsi="Times New Roman" w:cs="Times New Roman"/>
          <w:b/>
          <w:sz w:val="28"/>
          <w:szCs w:val="28"/>
        </w:rPr>
        <w:t xml:space="preserve">3) Министерства </w:t>
      </w:r>
      <w:r>
        <w:rPr>
          <w:rFonts w:ascii="Times New Roman" w:eastAsia="Calibri" w:hAnsi="Times New Roman" w:cs="Times New Roman"/>
          <w:b/>
          <w:sz w:val="28"/>
          <w:szCs w:val="28"/>
        </w:rPr>
        <w:t>науки и высшего образования</w:t>
      </w:r>
      <w:r w:rsidRPr="00594276">
        <w:rPr>
          <w:rFonts w:ascii="Times New Roman" w:eastAsia="Calibri" w:hAnsi="Times New Roman" w:cs="Times New Roman"/>
          <w:b/>
          <w:sz w:val="28"/>
          <w:szCs w:val="28"/>
        </w:rPr>
        <w:t xml:space="preserve"> Российской Федерации:</w:t>
      </w:r>
    </w:p>
    <w:p w14:paraId="3C27B99D" w14:textId="77777777" w:rsidR="008E7583" w:rsidRDefault="008E7583" w:rsidP="00594276">
      <w:pPr>
        <w:pStyle w:val="af6"/>
        <w:numPr>
          <w:ilvl w:val="0"/>
          <w:numId w:val="33"/>
        </w:numPr>
        <w:spacing w:line="312" w:lineRule="auto"/>
        <w:ind w:left="709"/>
        <w:jc w:val="both"/>
        <w:rPr>
          <w:rFonts w:eastAsia="Calibri"/>
          <w:sz w:val="28"/>
          <w:szCs w:val="28"/>
        </w:rPr>
      </w:pPr>
      <w:r>
        <w:rPr>
          <w:rFonts w:eastAsia="Calibri"/>
          <w:sz w:val="28"/>
          <w:szCs w:val="28"/>
        </w:rPr>
        <w:t xml:space="preserve">Приказ Минобрнауки России от 12 июля 2021 г. № 606 «Об утверждении порядка и условий осуществления перевода лиц, обучающихся по образовательным программам высшего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образовательным программам высшего образования, аннулирования лицензии на осуществление образовательной деятельности, лишения </w:t>
      </w:r>
      <w:r w:rsidR="00EB49DB">
        <w:rPr>
          <w:rFonts w:eastAsia="Calibri"/>
          <w:sz w:val="28"/>
          <w:szCs w:val="28"/>
        </w:rPr>
        <w:t>организации, осуществляющей образовательную деятельность, государственной аккредитации по соответствующей образовательной программе или истечения срока действия свидетельства о государственной аккредитации по образовательной программе высшего образования»;</w:t>
      </w:r>
    </w:p>
    <w:p w14:paraId="5B088769" w14:textId="77777777" w:rsidR="00EB49DB" w:rsidRDefault="00F55750" w:rsidP="00594276">
      <w:pPr>
        <w:pStyle w:val="af6"/>
        <w:numPr>
          <w:ilvl w:val="0"/>
          <w:numId w:val="33"/>
        </w:numPr>
        <w:spacing w:line="312" w:lineRule="auto"/>
        <w:ind w:left="709"/>
        <w:jc w:val="both"/>
        <w:rPr>
          <w:rFonts w:eastAsia="Calibri"/>
          <w:sz w:val="28"/>
          <w:szCs w:val="28"/>
        </w:rPr>
      </w:pPr>
      <w:r>
        <w:rPr>
          <w:rFonts w:eastAsia="Calibri"/>
          <w:sz w:val="28"/>
          <w:szCs w:val="28"/>
        </w:rPr>
        <w:t>Приказ Минобрнауки России от 12 июля 2021 г. № 607 «Об утверждении порядка перевода обучающегося в другую образовательную организацию, реализующую образовательную программу высшего образования соответствующего уровня»;</w:t>
      </w:r>
    </w:p>
    <w:p w14:paraId="713FBD01" w14:textId="77777777" w:rsidR="00DE51DE" w:rsidRDefault="00DE51DE" w:rsidP="00594276">
      <w:pPr>
        <w:pStyle w:val="af6"/>
        <w:numPr>
          <w:ilvl w:val="0"/>
          <w:numId w:val="33"/>
        </w:numPr>
        <w:spacing w:line="312" w:lineRule="auto"/>
        <w:ind w:left="709"/>
        <w:jc w:val="both"/>
        <w:rPr>
          <w:rFonts w:eastAsia="Calibri"/>
          <w:sz w:val="28"/>
          <w:szCs w:val="28"/>
        </w:rPr>
      </w:pPr>
      <w:r>
        <w:rPr>
          <w:rFonts w:eastAsia="Calibri"/>
          <w:sz w:val="28"/>
          <w:szCs w:val="28"/>
        </w:rPr>
        <w:t xml:space="preserve">Приказ Минобрнауки России от 22 июля 2021 г. № 645 </w:t>
      </w:r>
      <w:r w:rsidR="00CA110C">
        <w:rPr>
          <w:rFonts w:eastAsia="Calibri"/>
          <w:sz w:val="28"/>
          <w:szCs w:val="28"/>
        </w:rPr>
        <w:t>«</w:t>
      </w:r>
      <w:r>
        <w:rPr>
          <w:rFonts w:eastAsia="Calibri"/>
          <w:sz w:val="28"/>
          <w:szCs w:val="28"/>
        </w:rPr>
        <w:t xml:space="preserve">Об утверждении образцов и описания документов о высшем образовании и о </w:t>
      </w:r>
      <w:r w:rsidR="00CA110C">
        <w:rPr>
          <w:rFonts w:eastAsia="Calibri"/>
          <w:sz w:val="28"/>
          <w:szCs w:val="28"/>
        </w:rPr>
        <w:t>квалификации и приложений к ним»;</w:t>
      </w:r>
    </w:p>
    <w:p w14:paraId="3542C4DA" w14:textId="77777777" w:rsidR="00CA110C" w:rsidRDefault="00CA110C" w:rsidP="00594276">
      <w:pPr>
        <w:pStyle w:val="af6"/>
        <w:numPr>
          <w:ilvl w:val="0"/>
          <w:numId w:val="33"/>
        </w:numPr>
        <w:spacing w:line="312" w:lineRule="auto"/>
        <w:ind w:left="709"/>
        <w:jc w:val="both"/>
        <w:rPr>
          <w:rFonts w:eastAsia="Calibri"/>
          <w:sz w:val="28"/>
          <w:szCs w:val="28"/>
        </w:rPr>
      </w:pPr>
      <w:r>
        <w:rPr>
          <w:rFonts w:eastAsia="Calibri"/>
          <w:sz w:val="28"/>
          <w:szCs w:val="28"/>
        </w:rPr>
        <w:t>Приказ Минобрнауки России от 27 июля 2021 г. № 670 «Об утверждении порядка заполнения, учета и выдачи документов о высшем образовании и о квалификации, приложений к ним и их дубликатов»;</w:t>
      </w:r>
    </w:p>
    <w:p w14:paraId="5D86B1D7" w14:textId="77777777" w:rsidR="00594276" w:rsidRDefault="00594276" w:rsidP="00594276">
      <w:pPr>
        <w:pStyle w:val="af6"/>
        <w:numPr>
          <w:ilvl w:val="0"/>
          <w:numId w:val="33"/>
        </w:numPr>
        <w:spacing w:line="312" w:lineRule="auto"/>
        <w:ind w:left="709"/>
        <w:jc w:val="both"/>
        <w:rPr>
          <w:rFonts w:eastAsia="Calibri"/>
          <w:sz w:val="28"/>
          <w:szCs w:val="28"/>
        </w:rPr>
      </w:pPr>
      <w:r>
        <w:rPr>
          <w:rFonts w:eastAsia="Calibri"/>
          <w:sz w:val="28"/>
          <w:szCs w:val="28"/>
        </w:rPr>
        <w:t xml:space="preserve">Совместный приказ Минобрнауки России и Минпросвещения России </w:t>
      </w:r>
      <w:r>
        <w:rPr>
          <w:rFonts w:eastAsia="Calibri"/>
          <w:sz w:val="28"/>
          <w:szCs w:val="28"/>
        </w:rPr>
        <w:br/>
        <w:t xml:space="preserve">от 12 июля 2021 г. № 605/441 «О признании утратившими силу приказов </w:t>
      </w:r>
      <w:r w:rsidR="008E7583">
        <w:rPr>
          <w:rFonts w:eastAsia="Calibri"/>
          <w:sz w:val="28"/>
          <w:szCs w:val="28"/>
        </w:rPr>
        <w:t>Министерства образования и науки Российской Федерации по вопросам перевода лиц, обучающихся по образовательным программам среднего профессионального и высшего образования, в другие организации, осуществляющие образовательную деятельность».</w:t>
      </w:r>
    </w:p>
    <w:p w14:paraId="13616C5C" w14:textId="77777777" w:rsidR="00D14A8F" w:rsidRDefault="00594276" w:rsidP="000C4B84">
      <w:pPr>
        <w:spacing w:before="120" w:after="120" w:line="312"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4</w:t>
      </w:r>
      <w:r w:rsidR="00D14A8F" w:rsidRPr="00D14A8F">
        <w:rPr>
          <w:rFonts w:ascii="Times New Roman" w:eastAsia="Calibri" w:hAnsi="Times New Roman" w:cs="Times New Roman"/>
          <w:b/>
          <w:sz w:val="28"/>
          <w:szCs w:val="28"/>
        </w:rPr>
        <w:t>) Министерства труда и социальной защиты Российской Федерации:</w:t>
      </w:r>
    </w:p>
    <w:p w14:paraId="1B86C470" w14:textId="77777777" w:rsidR="00364AA7" w:rsidRPr="00512CE8" w:rsidRDefault="00364AA7" w:rsidP="0053724F">
      <w:pPr>
        <w:pStyle w:val="af6"/>
        <w:numPr>
          <w:ilvl w:val="0"/>
          <w:numId w:val="12"/>
        </w:numPr>
        <w:spacing w:line="312" w:lineRule="auto"/>
        <w:ind w:left="709" w:hanging="425"/>
        <w:jc w:val="both"/>
        <w:rPr>
          <w:rFonts w:eastAsia="Calibri"/>
          <w:sz w:val="28"/>
          <w:szCs w:val="28"/>
        </w:rPr>
      </w:pPr>
      <w:r w:rsidRPr="00512CE8">
        <w:rPr>
          <w:rFonts w:eastAsia="Calibri"/>
          <w:sz w:val="28"/>
          <w:szCs w:val="28"/>
        </w:rPr>
        <w:t xml:space="preserve">Приказ </w:t>
      </w:r>
      <w:r w:rsidR="009132B9">
        <w:rPr>
          <w:rFonts w:eastAsia="Calibri"/>
          <w:sz w:val="28"/>
          <w:szCs w:val="28"/>
        </w:rPr>
        <w:t xml:space="preserve">Минтруда России </w:t>
      </w:r>
      <w:r w:rsidRPr="00512CE8">
        <w:rPr>
          <w:rFonts w:eastAsia="Calibri"/>
          <w:sz w:val="28"/>
          <w:szCs w:val="28"/>
        </w:rPr>
        <w:t xml:space="preserve">от 15 февраля 2021 г. № 72н «О внесении изменения в пункт 28 Порядка и условий </w:t>
      </w:r>
      <w:r w:rsidR="00905899" w:rsidRPr="00512CE8">
        <w:rPr>
          <w:rFonts w:eastAsia="Calibri"/>
          <w:sz w:val="28"/>
          <w:szCs w:val="28"/>
        </w:rPr>
        <w:t xml:space="preserve">назначения и выплаты государственных пособий гражданам, имеющим детей, утвержденных приказом Министерства труда и социальной защиты Российской Федерации от 29 сентября 2020 г. </w:t>
      </w:r>
      <w:r w:rsidR="009132B9">
        <w:rPr>
          <w:rFonts w:eastAsia="Calibri"/>
          <w:sz w:val="28"/>
          <w:szCs w:val="28"/>
        </w:rPr>
        <w:br/>
      </w:r>
      <w:r w:rsidR="00905899" w:rsidRPr="00512CE8">
        <w:rPr>
          <w:rFonts w:eastAsia="Calibri"/>
          <w:sz w:val="28"/>
          <w:szCs w:val="28"/>
        </w:rPr>
        <w:t>№ 668н;</w:t>
      </w:r>
    </w:p>
    <w:p w14:paraId="1C2ACD50" w14:textId="77777777" w:rsidR="00615CFC" w:rsidRDefault="00615CFC" w:rsidP="0053724F">
      <w:pPr>
        <w:pStyle w:val="af6"/>
        <w:numPr>
          <w:ilvl w:val="0"/>
          <w:numId w:val="12"/>
        </w:numPr>
        <w:spacing w:line="312" w:lineRule="auto"/>
        <w:ind w:left="709" w:hanging="425"/>
        <w:jc w:val="both"/>
        <w:rPr>
          <w:rFonts w:eastAsia="Calibri"/>
          <w:sz w:val="28"/>
          <w:szCs w:val="28"/>
        </w:rPr>
      </w:pPr>
      <w:r w:rsidRPr="00512CE8">
        <w:rPr>
          <w:rFonts w:eastAsia="Calibri"/>
          <w:sz w:val="28"/>
          <w:szCs w:val="28"/>
        </w:rPr>
        <w:t xml:space="preserve">Приказ </w:t>
      </w:r>
      <w:r w:rsidR="009132B9">
        <w:rPr>
          <w:rFonts w:eastAsia="Calibri"/>
          <w:sz w:val="28"/>
          <w:szCs w:val="28"/>
        </w:rPr>
        <w:t xml:space="preserve">Минтруда России </w:t>
      </w:r>
      <w:r w:rsidRPr="00512CE8">
        <w:rPr>
          <w:rFonts w:eastAsia="Calibri"/>
          <w:sz w:val="28"/>
          <w:szCs w:val="28"/>
        </w:rPr>
        <w:t>от 26 февраля 2021 г. № 92н «Об утверждении Правил направления неиспользованных средств (части средств) материнского (семейного) капитала на формирование накопительной пенсии»;</w:t>
      </w:r>
    </w:p>
    <w:p w14:paraId="31133AA0" w14:textId="77777777" w:rsidR="00E122CC" w:rsidRDefault="00E122CC" w:rsidP="009132B9">
      <w:pPr>
        <w:pStyle w:val="af6"/>
        <w:numPr>
          <w:ilvl w:val="0"/>
          <w:numId w:val="12"/>
        </w:numPr>
        <w:spacing w:line="312" w:lineRule="auto"/>
        <w:ind w:left="709" w:hanging="425"/>
        <w:jc w:val="both"/>
        <w:rPr>
          <w:rFonts w:eastAsia="Calibri"/>
          <w:sz w:val="28"/>
          <w:szCs w:val="28"/>
        </w:rPr>
      </w:pPr>
      <w:r>
        <w:rPr>
          <w:rFonts w:eastAsia="Calibri"/>
          <w:sz w:val="28"/>
          <w:szCs w:val="28"/>
        </w:rPr>
        <w:t xml:space="preserve">Приказ </w:t>
      </w:r>
      <w:r w:rsidR="009132B9">
        <w:rPr>
          <w:rFonts w:eastAsia="Calibri"/>
          <w:sz w:val="28"/>
          <w:szCs w:val="28"/>
        </w:rPr>
        <w:t xml:space="preserve">Минтруда России </w:t>
      </w:r>
      <w:r w:rsidRPr="009132B9">
        <w:rPr>
          <w:rFonts w:eastAsia="Calibri"/>
          <w:sz w:val="28"/>
          <w:szCs w:val="28"/>
        </w:rPr>
        <w:t>от 26 февраля 2021 г. № 93н «О внесении изменений в некоторые приказы Министерства труда и социальной защиты Российской Федерации по вопросам распоряжения средствами (частью средств) материнского (семейного) капитала;</w:t>
      </w:r>
    </w:p>
    <w:p w14:paraId="49BCC751" w14:textId="77777777" w:rsidR="009132B9" w:rsidRDefault="009132B9" w:rsidP="009132B9">
      <w:pPr>
        <w:pStyle w:val="af6"/>
        <w:numPr>
          <w:ilvl w:val="0"/>
          <w:numId w:val="12"/>
        </w:numPr>
        <w:spacing w:line="312" w:lineRule="auto"/>
        <w:ind w:left="709" w:hanging="425"/>
        <w:jc w:val="both"/>
        <w:rPr>
          <w:rFonts w:eastAsia="Calibri"/>
          <w:sz w:val="28"/>
          <w:szCs w:val="28"/>
        </w:rPr>
      </w:pPr>
      <w:r>
        <w:rPr>
          <w:rFonts w:eastAsia="Calibri"/>
          <w:sz w:val="28"/>
          <w:szCs w:val="28"/>
        </w:rPr>
        <w:t xml:space="preserve">Приказ Минтруда России от 16 марта 2021 г. № 124н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w:t>
      </w:r>
      <w:r>
        <w:rPr>
          <w:rFonts w:eastAsia="Calibri"/>
          <w:sz w:val="28"/>
          <w:szCs w:val="28"/>
          <w:lang w:val="en-US"/>
        </w:rPr>
        <w:t>IV</w:t>
      </w:r>
      <w:r w:rsidRPr="009132B9">
        <w:rPr>
          <w:rFonts w:eastAsia="Calibri"/>
          <w:sz w:val="28"/>
          <w:szCs w:val="28"/>
        </w:rPr>
        <w:t xml:space="preserve"> </w:t>
      </w:r>
      <w:r>
        <w:rPr>
          <w:rFonts w:eastAsia="Calibri"/>
          <w:sz w:val="28"/>
          <w:szCs w:val="28"/>
        </w:rPr>
        <w:t>квартал 2020 года»;</w:t>
      </w:r>
    </w:p>
    <w:p w14:paraId="6A375B4B" w14:textId="77777777" w:rsidR="009132B9" w:rsidRDefault="009132B9" w:rsidP="009132B9">
      <w:pPr>
        <w:pStyle w:val="af6"/>
        <w:numPr>
          <w:ilvl w:val="0"/>
          <w:numId w:val="12"/>
        </w:numPr>
        <w:spacing w:line="312" w:lineRule="auto"/>
        <w:ind w:left="709" w:hanging="425"/>
        <w:jc w:val="both"/>
        <w:rPr>
          <w:rFonts w:eastAsia="Calibri"/>
          <w:sz w:val="28"/>
          <w:szCs w:val="28"/>
        </w:rPr>
      </w:pPr>
      <w:r>
        <w:rPr>
          <w:rFonts w:eastAsia="Calibri"/>
          <w:sz w:val="28"/>
          <w:szCs w:val="28"/>
        </w:rPr>
        <w:t xml:space="preserve">Приказ Минтруда России от 13 мая 2021 г. № 313н «О внесении изменений в приказ Министерства труда и социальной защиты Российской Федерации от 18 июля 2019 г. № 512н </w:t>
      </w:r>
      <w:r w:rsidR="00C60DAC">
        <w:rPr>
          <w:rFonts w:eastAsia="Calibri"/>
          <w:sz w:val="28"/>
          <w:szCs w:val="28"/>
        </w:rPr>
        <w:t>«Об утверждении перечня производств, работ и должностей с вредными и (или) опасными условиями труда, на которых ограничивается применение труда женщин»;</w:t>
      </w:r>
    </w:p>
    <w:p w14:paraId="68B64986" w14:textId="77777777" w:rsidR="00EB54EC" w:rsidRDefault="00EB54EC" w:rsidP="009132B9">
      <w:pPr>
        <w:pStyle w:val="af6"/>
        <w:numPr>
          <w:ilvl w:val="0"/>
          <w:numId w:val="12"/>
        </w:numPr>
        <w:spacing w:line="312" w:lineRule="auto"/>
        <w:ind w:left="709" w:hanging="425"/>
        <w:jc w:val="both"/>
        <w:rPr>
          <w:rFonts w:eastAsia="Calibri"/>
          <w:sz w:val="28"/>
          <w:szCs w:val="28"/>
        </w:rPr>
      </w:pPr>
      <w:r>
        <w:rPr>
          <w:rFonts w:eastAsia="Calibri"/>
          <w:sz w:val="28"/>
          <w:szCs w:val="28"/>
        </w:rPr>
        <w:t>Приказ Минтруда России от 9 июня 2021 г. № 388н «О внесении изменений в Правила подсчета и подтверждения страхового стажа для определения размеров пособий по временной нетрудоспособности, по беременности и родам, утвержденные приказом Министерства труда и социальной защиты Российской Федерации от 9 сентября 2020 г. № 585н»;</w:t>
      </w:r>
    </w:p>
    <w:p w14:paraId="342F8E7E" w14:textId="77777777" w:rsidR="00FB1635" w:rsidRDefault="00FB1635" w:rsidP="009132B9">
      <w:pPr>
        <w:pStyle w:val="af6"/>
        <w:numPr>
          <w:ilvl w:val="0"/>
          <w:numId w:val="12"/>
        </w:numPr>
        <w:spacing w:line="312" w:lineRule="auto"/>
        <w:ind w:left="709" w:hanging="425"/>
        <w:jc w:val="both"/>
        <w:rPr>
          <w:rFonts w:eastAsia="Calibri"/>
          <w:sz w:val="28"/>
          <w:szCs w:val="28"/>
        </w:rPr>
      </w:pPr>
      <w:r>
        <w:rPr>
          <w:rFonts w:eastAsia="Calibri"/>
          <w:sz w:val="28"/>
          <w:szCs w:val="28"/>
        </w:rPr>
        <w:t xml:space="preserve">Приказ Минтруда России от 18 июня 2021 г. № 412н «О внесении изменений в некоторые нормативные правовые акты Министерства труда и социальной защиты Российской Федерации в связи с принятием Федерального закона </w:t>
      </w:r>
      <w:r>
        <w:rPr>
          <w:rFonts w:eastAsia="Calibri"/>
          <w:sz w:val="28"/>
          <w:szCs w:val="28"/>
        </w:rPr>
        <w:br/>
        <w:t>от 29 декабря 2020 г. № 473-ФЗ «О внесении изменений в отдельные акты Российской Федерации»;</w:t>
      </w:r>
    </w:p>
    <w:p w14:paraId="1F7A586F" w14:textId="77777777" w:rsidR="00EB54EC" w:rsidRPr="009132B9" w:rsidRDefault="00EB54EC" w:rsidP="009132B9">
      <w:pPr>
        <w:pStyle w:val="af6"/>
        <w:numPr>
          <w:ilvl w:val="0"/>
          <w:numId w:val="12"/>
        </w:numPr>
        <w:spacing w:line="312" w:lineRule="auto"/>
        <w:ind w:left="709" w:hanging="425"/>
        <w:jc w:val="both"/>
        <w:rPr>
          <w:rFonts w:eastAsia="Calibri"/>
          <w:sz w:val="28"/>
          <w:szCs w:val="28"/>
        </w:rPr>
      </w:pPr>
      <w:r>
        <w:rPr>
          <w:rFonts w:eastAsia="Calibri"/>
          <w:sz w:val="28"/>
          <w:szCs w:val="28"/>
        </w:rPr>
        <w:t>Приказ Минтруда России от 7 июля 2021 г. № 458н «О признании утратившими силу некоторых приказов Министерства здравоохранения и социального развития Российской Федерации и Министерства труда и социальной защиты Российской Федерации по вопросам обязательного социального страхования»;</w:t>
      </w:r>
    </w:p>
    <w:p w14:paraId="339F59F0" w14:textId="77777777" w:rsidR="00905899" w:rsidRDefault="00905899" w:rsidP="0053724F">
      <w:pPr>
        <w:pStyle w:val="af6"/>
        <w:numPr>
          <w:ilvl w:val="0"/>
          <w:numId w:val="12"/>
        </w:numPr>
        <w:spacing w:line="312" w:lineRule="auto"/>
        <w:ind w:left="709" w:hanging="425"/>
        <w:jc w:val="both"/>
        <w:rPr>
          <w:rFonts w:eastAsia="Calibri"/>
          <w:sz w:val="28"/>
          <w:szCs w:val="28"/>
        </w:rPr>
      </w:pPr>
      <w:r w:rsidRPr="00512CE8">
        <w:rPr>
          <w:rFonts w:eastAsia="Calibri"/>
          <w:sz w:val="28"/>
          <w:szCs w:val="28"/>
        </w:rPr>
        <w:t xml:space="preserve">Приказ </w:t>
      </w:r>
      <w:r w:rsidR="009132B9">
        <w:rPr>
          <w:rFonts w:eastAsia="Calibri"/>
          <w:sz w:val="28"/>
          <w:szCs w:val="28"/>
        </w:rPr>
        <w:t xml:space="preserve">Минтруда России </w:t>
      </w:r>
      <w:r w:rsidRPr="00512CE8">
        <w:rPr>
          <w:rFonts w:eastAsia="Calibri"/>
          <w:sz w:val="28"/>
          <w:szCs w:val="28"/>
        </w:rPr>
        <w:t>от 29 июля 2021 г. № 522н «О внесении изменений в некоторые нормативные правовые акты Министерства труда и социальной защиты Российской Федерации по вопросам, связанным с предоставлением государственных пособий гражданам, имеющим детей»;</w:t>
      </w:r>
    </w:p>
    <w:p w14:paraId="034A2E33" w14:textId="77777777" w:rsidR="00CC09D5" w:rsidRDefault="00CC09D5" w:rsidP="0053724F">
      <w:pPr>
        <w:pStyle w:val="af6"/>
        <w:numPr>
          <w:ilvl w:val="0"/>
          <w:numId w:val="12"/>
        </w:numPr>
        <w:spacing w:line="312" w:lineRule="auto"/>
        <w:ind w:left="709" w:hanging="425"/>
        <w:jc w:val="both"/>
        <w:rPr>
          <w:rFonts w:eastAsia="Calibri"/>
          <w:sz w:val="28"/>
          <w:szCs w:val="28"/>
        </w:rPr>
      </w:pPr>
      <w:r>
        <w:rPr>
          <w:rFonts w:eastAsia="Calibri"/>
          <w:sz w:val="28"/>
          <w:szCs w:val="28"/>
        </w:rPr>
        <w:t>Приказ Минтруда России от 4 октября 2021 г. № 670н «О внесении изменений в некоторые приказы Министерства труда и социальной защиты Российской Федерации по вопросам обеспечения инвалидов техническими средствами реабилитации»;</w:t>
      </w:r>
    </w:p>
    <w:p w14:paraId="4FDAFE1E" w14:textId="77777777" w:rsidR="00CC09D5" w:rsidRDefault="00CC09D5" w:rsidP="0053724F">
      <w:pPr>
        <w:pStyle w:val="af6"/>
        <w:numPr>
          <w:ilvl w:val="0"/>
          <w:numId w:val="12"/>
        </w:numPr>
        <w:spacing w:line="312" w:lineRule="auto"/>
        <w:ind w:left="709" w:hanging="425"/>
        <w:jc w:val="both"/>
        <w:rPr>
          <w:rFonts w:eastAsia="Calibri"/>
          <w:sz w:val="28"/>
          <w:szCs w:val="28"/>
        </w:rPr>
      </w:pPr>
      <w:r>
        <w:rPr>
          <w:rFonts w:eastAsia="Calibri"/>
          <w:sz w:val="28"/>
          <w:szCs w:val="28"/>
        </w:rPr>
        <w:t>Приказ Минтруда России от 8 октября 2021 г. № 693н «О внесении изменений в порядок выплаты компенсации за самостоятельно приобретенное инвалидом техническое средство реабилитации и (или) оказанную услугу, включая порядок определения ее размера и порядок информирования граждан о размере указанной компенсации, утвержденный приказом Министерства здравоохранения и социального развития Российской Федерации от 31 января 2011 г. № 57н»;</w:t>
      </w:r>
    </w:p>
    <w:p w14:paraId="1F53A975" w14:textId="77777777" w:rsidR="008A48E8" w:rsidRPr="00512CE8" w:rsidRDefault="008A48E8" w:rsidP="0053724F">
      <w:pPr>
        <w:pStyle w:val="af6"/>
        <w:numPr>
          <w:ilvl w:val="0"/>
          <w:numId w:val="12"/>
        </w:numPr>
        <w:spacing w:line="312" w:lineRule="auto"/>
        <w:ind w:left="709" w:hanging="425"/>
        <w:jc w:val="both"/>
        <w:rPr>
          <w:rFonts w:eastAsia="Calibri"/>
          <w:sz w:val="28"/>
          <w:szCs w:val="28"/>
        </w:rPr>
      </w:pPr>
      <w:r>
        <w:rPr>
          <w:rFonts w:eastAsia="Calibri"/>
          <w:sz w:val="28"/>
          <w:szCs w:val="28"/>
        </w:rPr>
        <w:t xml:space="preserve">Приказ Минтруда России от 18 октября 2021 г. № 726н «Об утверждении Порядка оказания Фондом социального страхования Российской Федерации бесплатной помощи застрахованному лицу или лицу, имеющему право на получение страхового обеспечения, и признании утратившими силу приказа Министерства труда и социальной защиты Российской Федерации </w:t>
      </w:r>
      <w:r>
        <w:rPr>
          <w:rFonts w:eastAsia="Calibri"/>
          <w:sz w:val="28"/>
          <w:szCs w:val="28"/>
        </w:rPr>
        <w:br/>
        <w:t>от 31 октября 2014 г. № 848н и внесенных в него изменений»;</w:t>
      </w:r>
    </w:p>
    <w:p w14:paraId="6798AED7" w14:textId="77777777" w:rsidR="00200DF3" w:rsidRDefault="00200DF3" w:rsidP="0053724F">
      <w:pPr>
        <w:pStyle w:val="af6"/>
        <w:numPr>
          <w:ilvl w:val="0"/>
          <w:numId w:val="12"/>
        </w:numPr>
        <w:spacing w:line="312" w:lineRule="auto"/>
        <w:ind w:left="709" w:hanging="425"/>
        <w:jc w:val="both"/>
        <w:rPr>
          <w:rFonts w:eastAsia="Calibri"/>
          <w:sz w:val="28"/>
          <w:szCs w:val="28"/>
        </w:rPr>
      </w:pPr>
      <w:r w:rsidRPr="00512CE8">
        <w:rPr>
          <w:rFonts w:eastAsia="Calibri"/>
          <w:sz w:val="28"/>
          <w:szCs w:val="28"/>
        </w:rPr>
        <w:t xml:space="preserve">Приказ </w:t>
      </w:r>
      <w:r w:rsidR="009132B9">
        <w:rPr>
          <w:rFonts w:eastAsia="Calibri"/>
          <w:sz w:val="28"/>
          <w:szCs w:val="28"/>
        </w:rPr>
        <w:t xml:space="preserve">Минтруда России </w:t>
      </w:r>
      <w:r w:rsidRPr="00512CE8">
        <w:rPr>
          <w:rFonts w:eastAsia="Calibri"/>
          <w:sz w:val="28"/>
          <w:szCs w:val="28"/>
        </w:rPr>
        <w:t>от 15 декабря 2021 г. № 889н «Об утверждении типовой формы соглашения об информационном взаимодействии между органом исполнительной власти субъекта Российской Федерации и территориальным органом Пенсионного фонда Российской Федерации при передаче Пенсионному фонду Российской Федерации сведений о получателях мер социальной поддержки, о суммах соответствующих выплат, а также первичных документов, подтверждающих обоснованность предоставления соответствующих мер социальной поддержки»</w:t>
      </w:r>
      <w:r w:rsidR="00905899" w:rsidRPr="00512CE8">
        <w:rPr>
          <w:rFonts w:eastAsia="Calibri"/>
          <w:sz w:val="28"/>
          <w:szCs w:val="28"/>
        </w:rPr>
        <w:t>;</w:t>
      </w:r>
    </w:p>
    <w:p w14:paraId="677856EE" w14:textId="77777777" w:rsidR="008A48E8" w:rsidRPr="00512CE8" w:rsidRDefault="008A48E8" w:rsidP="0053724F">
      <w:pPr>
        <w:pStyle w:val="af6"/>
        <w:numPr>
          <w:ilvl w:val="0"/>
          <w:numId w:val="12"/>
        </w:numPr>
        <w:spacing w:line="312" w:lineRule="auto"/>
        <w:ind w:left="709" w:hanging="425"/>
        <w:jc w:val="both"/>
        <w:rPr>
          <w:rFonts w:eastAsia="Calibri"/>
          <w:sz w:val="28"/>
          <w:szCs w:val="28"/>
        </w:rPr>
      </w:pPr>
      <w:r>
        <w:rPr>
          <w:rFonts w:eastAsia="Calibri"/>
          <w:sz w:val="28"/>
          <w:szCs w:val="28"/>
        </w:rPr>
        <w:t>Приказ Минтруда России от 29 октября 2021 г. № 777н «Об утверждении особенностей порядка назначения и выплаты страхового обеспечения отдельным категориям застрахованных лиц»;</w:t>
      </w:r>
    </w:p>
    <w:p w14:paraId="0EABC6B9" w14:textId="77777777" w:rsidR="00905899" w:rsidRDefault="00905899" w:rsidP="0053724F">
      <w:pPr>
        <w:pStyle w:val="af6"/>
        <w:numPr>
          <w:ilvl w:val="0"/>
          <w:numId w:val="12"/>
        </w:numPr>
        <w:spacing w:line="312" w:lineRule="auto"/>
        <w:ind w:left="709" w:hanging="425"/>
        <w:jc w:val="both"/>
        <w:rPr>
          <w:rFonts w:eastAsia="Calibri"/>
          <w:sz w:val="28"/>
          <w:szCs w:val="28"/>
        </w:rPr>
      </w:pPr>
      <w:r w:rsidRPr="00512CE8">
        <w:rPr>
          <w:rFonts w:eastAsia="Calibri"/>
          <w:sz w:val="28"/>
          <w:szCs w:val="28"/>
        </w:rPr>
        <w:t xml:space="preserve">Приказ </w:t>
      </w:r>
      <w:r w:rsidR="009132B9">
        <w:rPr>
          <w:rFonts w:eastAsia="Calibri"/>
          <w:sz w:val="28"/>
          <w:szCs w:val="28"/>
        </w:rPr>
        <w:t xml:space="preserve">Минтруда России </w:t>
      </w:r>
      <w:r w:rsidRPr="00512CE8">
        <w:rPr>
          <w:rFonts w:eastAsia="Calibri"/>
          <w:sz w:val="28"/>
          <w:szCs w:val="28"/>
        </w:rPr>
        <w:t xml:space="preserve">от 20 декабря 2021 г. № 896н «О внесении изменений в Порядок и условия назначения и выплаты государственных пособий гражданам, имеющим детей, утвержденные приказом Министерства труда и социальной защиты Российской Федерации от 29 сентября 2020 г. </w:t>
      </w:r>
      <w:r w:rsidR="009132B9">
        <w:rPr>
          <w:rFonts w:eastAsia="Calibri"/>
          <w:sz w:val="28"/>
          <w:szCs w:val="28"/>
        </w:rPr>
        <w:br/>
      </w:r>
      <w:r w:rsidRPr="00512CE8">
        <w:rPr>
          <w:rFonts w:eastAsia="Calibri"/>
          <w:sz w:val="28"/>
          <w:szCs w:val="28"/>
        </w:rPr>
        <w:t>№ 668н»</w:t>
      </w:r>
      <w:r w:rsidR="00E122CC">
        <w:rPr>
          <w:rFonts w:eastAsia="Calibri"/>
          <w:sz w:val="28"/>
          <w:szCs w:val="28"/>
        </w:rPr>
        <w:t>;</w:t>
      </w:r>
    </w:p>
    <w:p w14:paraId="6EF36E03" w14:textId="77777777" w:rsidR="00E122CC" w:rsidRDefault="00E122CC" w:rsidP="0053724F">
      <w:pPr>
        <w:pStyle w:val="af6"/>
        <w:numPr>
          <w:ilvl w:val="0"/>
          <w:numId w:val="12"/>
        </w:numPr>
        <w:spacing w:line="312" w:lineRule="auto"/>
        <w:ind w:left="709" w:hanging="425"/>
        <w:jc w:val="both"/>
        <w:rPr>
          <w:rFonts w:eastAsia="Calibri"/>
          <w:sz w:val="28"/>
          <w:szCs w:val="28"/>
        </w:rPr>
      </w:pPr>
      <w:r>
        <w:rPr>
          <w:rFonts w:eastAsia="Calibri"/>
          <w:sz w:val="28"/>
          <w:szCs w:val="28"/>
        </w:rPr>
        <w:t xml:space="preserve">Приказ </w:t>
      </w:r>
      <w:r w:rsidR="009132B9">
        <w:rPr>
          <w:rFonts w:eastAsia="Calibri"/>
          <w:sz w:val="28"/>
          <w:szCs w:val="28"/>
        </w:rPr>
        <w:t xml:space="preserve">Минтруда России </w:t>
      </w:r>
      <w:r>
        <w:rPr>
          <w:rFonts w:eastAsia="Calibri"/>
          <w:sz w:val="28"/>
          <w:szCs w:val="28"/>
        </w:rPr>
        <w:t xml:space="preserve">от 22 декабря 2021 г. № 909н «О внесении изменений в некоторые нормативные правовые акты Министерства труда и социальной защиты Российской Федерации по вопросам предоставления и реализации права на дополнительные </w:t>
      </w:r>
      <w:r w:rsidR="00F21FA1">
        <w:rPr>
          <w:rFonts w:eastAsia="Calibri"/>
          <w:sz w:val="28"/>
          <w:szCs w:val="28"/>
        </w:rPr>
        <w:t>меры государственной поддержки»;</w:t>
      </w:r>
    </w:p>
    <w:p w14:paraId="0BD05BE2" w14:textId="77777777" w:rsidR="00F21FA1" w:rsidRPr="00512CE8" w:rsidRDefault="00F21FA1" w:rsidP="0053724F">
      <w:pPr>
        <w:pStyle w:val="af6"/>
        <w:numPr>
          <w:ilvl w:val="0"/>
          <w:numId w:val="12"/>
        </w:numPr>
        <w:spacing w:line="312" w:lineRule="auto"/>
        <w:ind w:left="709" w:hanging="425"/>
        <w:jc w:val="both"/>
        <w:rPr>
          <w:rFonts w:eastAsia="Calibri"/>
          <w:sz w:val="28"/>
          <w:szCs w:val="28"/>
        </w:rPr>
      </w:pPr>
      <w:r>
        <w:rPr>
          <w:rFonts w:eastAsia="Calibri"/>
          <w:sz w:val="28"/>
          <w:szCs w:val="28"/>
        </w:rPr>
        <w:t>Приказ Минтруда России от 23 декабря 2021 г. № 912н «О внесении изменений в Перечень документов (сведений), необходимых для назначения ежемесячных выплат в связи с рождением (усыновлением) первого ребенка и (или) второго ребенка, утвержденный приказом Министерства труда и социальной защиты Российской Федерации от 29 декабря 2017 г. № 889н».</w:t>
      </w:r>
    </w:p>
    <w:p w14:paraId="5361AB11" w14:textId="77777777" w:rsidR="00240C9C" w:rsidRDefault="00240C9C" w:rsidP="00D03A4F">
      <w:pPr>
        <w:spacing w:after="0"/>
        <w:ind w:firstLine="709"/>
        <w:jc w:val="both"/>
        <w:rPr>
          <w:rFonts w:ascii="Times New Roman" w:eastAsia="Times New Roman" w:hAnsi="Times New Roman" w:cs="Times New Roman"/>
          <w:b/>
          <w:sz w:val="28"/>
          <w:szCs w:val="28"/>
          <w:lang w:eastAsia="ru-RU"/>
        </w:rPr>
      </w:pPr>
    </w:p>
    <w:p w14:paraId="64EC8D54" w14:textId="77777777" w:rsidR="002F5754" w:rsidRPr="00D03A4F" w:rsidRDefault="002F5754" w:rsidP="00D03A4F">
      <w:pPr>
        <w:spacing w:after="0"/>
        <w:ind w:firstLine="709"/>
        <w:jc w:val="both"/>
        <w:rPr>
          <w:rFonts w:ascii="Times New Roman" w:eastAsia="Times New Roman" w:hAnsi="Times New Roman" w:cs="Times New Roman"/>
          <w:b/>
          <w:sz w:val="28"/>
          <w:szCs w:val="28"/>
          <w:lang w:eastAsia="ru-RU"/>
        </w:rPr>
        <w:sectPr w:rsidR="002F5754" w:rsidRPr="00D03A4F" w:rsidSect="00121269">
          <w:pgSz w:w="11906" w:h="16838"/>
          <w:pgMar w:top="1134" w:right="567" w:bottom="1134" w:left="1134" w:header="708" w:footer="708" w:gutter="0"/>
          <w:cols w:space="708"/>
          <w:docGrid w:linePitch="360"/>
        </w:sectPr>
      </w:pPr>
    </w:p>
    <w:p w14:paraId="61F6CDC5" w14:textId="77777777" w:rsidR="00D03A4F" w:rsidRPr="00D03A4F" w:rsidRDefault="00D03A4F" w:rsidP="00EE5CB1">
      <w:pPr>
        <w:spacing w:after="0" w:line="240" w:lineRule="auto"/>
        <w:ind w:left="6237"/>
        <w:jc w:val="center"/>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Приложение 2</w:t>
      </w:r>
    </w:p>
    <w:tbl>
      <w:tblPr>
        <w:tblW w:w="10031" w:type="dxa"/>
        <w:tblLook w:val="00A0" w:firstRow="1" w:lastRow="0" w:firstColumn="1" w:lastColumn="0" w:noHBand="0" w:noVBand="0"/>
      </w:tblPr>
      <w:tblGrid>
        <w:gridCol w:w="6204"/>
        <w:gridCol w:w="3827"/>
      </w:tblGrid>
      <w:tr w:rsidR="00D03A4F" w:rsidRPr="00D03A4F" w14:paraId="502F4D33" w14:textId="77777777" w:rsidTr="00944CB1">
        <w:tc>
          <w:tcPr>
            <w:tcW w:w="6204" w:type="dxa"/>
          </w:tcPr>
          <w:p w14:paraId="5440DAE1" w14:textId="77777777"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tc>
        <w:tc>
          <w:tcPr>
            <w:tcW w:w="3827" w:type="dxa"/>
          </w:tcPr>
          <w:p w14:paraId="5719BB2F" w14:textId="77777777" w:rsidR="00D03A4F" w:rsidRPr="00D03A4F" w:rsidRDefault="00D03A4F" w:rsidP="00EE5CB1">
            <w:pPr>
              <w:spacing w:after="0" w:line="240" w:lineRule="auto"/>
              <w:jc w:val="center"/>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к государственному докладу</w:t>
            </w:r>
          </w:p>
          <w:p w14:paraId="112EE4ED" w14:textId="77777777" w:rsidR="00D03A4F" w:rsidRPr="00D03A4F" w:rsidRDefault="00D03A4F" w:rsidP="00EE5CB1">
            <w:pPr>
              <w:spacing w:after="0" w:line="240" w:lineRule="auto"/>
              <w:jc w:val="center"/>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«О положении детей и семей,</w:t>
            </w:r>
          </w:p>
          <w:p w14:paraId="4F110C52" w14:textId="77777777" w:rsidR="00D03A4F" w:rsidRPr="00D03A4F" w:rsidRDefault="00D03A4F" w:rsidP="00EE5CB1">
            <w:pPr>
              <w:spacing w:after="0" w:line="240" w:lineRule="auto"/>
              <w:jc w:val="center"/>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имеющих детей,</w:t>
            </w:r>
          </w:p>
          <w:p w14:paraId="5C1296C8" w14:textId="77777777" w:rsidR="00D03A4F" w:rsidRPr="00D03A4F" w:rsidRDefault="00D03A4F" w:rsidP="00EE5CB1">
            <w:pPr>
              <w:spacing w:after="0" w:line="240" w:lineRule="auto"/>
              <w:jc w:val="center"/>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в Российской Федерации»</w:t>
            </w:r>
          </w:p>
        </w:tc>
      </w:tr>
    </w:tbl>
    <w:p w14:paraId="41B16F80" w14:textId="77777777"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14:paraId="4F0F5066" w14:textId="77777777"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p>
    <w:p w14:paraId="198C3D29" w14:textId="77777777" w:rsidR="00D03A4F" w:rsidRPr="00D03A4F" w:rsidRDefault="00D03A4F" w:rsidP="00D03A4F">
      <w:pPr>
        <w:spacing w:after="0" w:line="240" w:lineRule="auto"/>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 xml:space="preserve">СТАТИСТИЧЕСКИЕ ДАННЫЕ, ХАРАКТЕРИЗУЮЩИЕ </w:t>
      </w:r>
    </w:p>
    <w:p w14:paraId="34131B26" w14:textId="77777777" w:rsidR="00D03A4F" w:rsidRPr="00D03A4F" w:rsidRDefault="00D03A4F" w:rsidP="00D03A4F">
      <w:pPr>
        <w:spacing w:after="0" w:line="240" w:lineRule="auto"/>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 xml:space="preserve">ПОЛОЖЕНИЕ ДЕТЕЙ И СЕМЕЙ, ИМЕЮЩИХ ДЕТЕЙ, </w:t>
      </w:r>
    </w:p>
    <w:p w14:paraId="5C053EB2" w14:textId="77777777" w:rsidR="00D03A4F" w:rsidRPr="00D03A4F" w:rsidRDefault="00D03A4F" w:rsidP="00D03A4F">
      <w:pPr>
        <w:spacing w:after="0" w:line="240" w:lineRule="auto"/>
        <w:jc w:val="center"/>
        <w:rPr>
          <w:rFonts w:ascii="Times New Roman" w:eastAsia="Times New Roman" w:hAnsi="Times New Roman" w:cs="Times New Roman"/>
          <w:b/>
          <w:sz w:val="28"/>
          <w:szCs w:val="28"/>
          <w:lang w:eastAsia="ru-RU"/>
        </w:rPr>
      </w:pPr>
      <w:r w:rsidRPr="00D03A4F">
        <w:rPr>
          <w:rFonts w:ascii="Times New Roman" w:eastAsia="Times New Roman" w:hAnsi="Times New Roman" w:cs="Times New Roman"/>
          <w:b/>
          <w:sz w:val="28"/>
          <w:szCs w:val="28"/>
          <w:lang w:eastAsia="ru-RU"/>
        </w:rPr>
        <w:t>В РОССИЙСКОЙ ФЕДЕРАЦИИ В 20</w:t>
      </w:r>
      <w:r w:rsidR="00DF7B93">
        <w:rPr>
          <w:rFonts w:ascii="Times New Roman" w:eastAsia="Times New Roman" w:hAnsi="Times New Roman" w:cs="Times New Roman"/>
          <w:b/>
          <w:sz w:val="28"/>
          <w:szCs w:val="28"/>
          <w:lang w:eastAsia="ru-RU"/>
        </w:rPr>
        <w:t>21</w:t>
      </w:r>
      <w:r w:rsidRPr="00D03A4F">
        <w:rPr>
          <w:rFonts w:ascii="Times New Roman" w:eastAsia="Times New Roman" w:hAnsi="Times New Roman" w:cs="Times New Roman"/>
          <w:b/>
          <w:sz w:val="28"/>
          <w:szCs w:val="28"/>
          <w:lang w:eastAsia="ru-RU"/>
        </w:rPr>
        <w:t xml:space="preserve"> ГОДУ</w:t>
      </w:r>
    </w:p>
    <w:p w14:paraId="50430DDA" w14:textId="77777777" w:rsidR="00D03A4F" w:rsidRPr="00D03A4F" w:rsidRDefault="00D03A4F" w:rsidP="00D03A4F">
      <w:pPr>
        <w:spacing w:after="0" w:line="240" w:lineRule="auto"/>
        <w:jc w:val="center"/>
        <w:rPr>
          <w:rFonts w:ascii="Times New Roman" w:eastAsia="Times New Roman" w:hAnsi="Times New Roman" w:cs="Times New Roman"/>
          <w:b/>
          <w:sz w:val="26"/>
          <w:szCs w:val="26"/>
          <w:lang w:eastAsia="ru-RU"/>
        </w:rPr>
      </w:pPr>
    </w:p>
    <w:p w14:paraId="37774035" w14:textId="77777777" w:rsidR="00D03A4F" w:rsidRPr="00D03A4F" w:rsidRDefault="00D03A4F" w:rsidP="00D03A4F">
      <w:pPr>
        <w:spacing w:after="0" w:line="240" w:lineRule="auto"/>
        <w:jc w:val="center"/>
        <w:rPr>
          <w:rFonts w:ascii="Times New Roman" w:eastAsia="Times New Roman" w:hAnsi="Times New Roman" w:cs="Times New Roman"/>
          <w:b/>
          <w:sz w:val="26"/>
          <w:szCs w:val="26"/>
          <w:lang w:eastAsia="ru-RU"/>
        </w:rPr>
      </w:pPr>
    </w:p>
    <w:p w14:paraId="74E70D30" w14:textId="77777777" w:rsidR="00D03A4F" w:rsidRPr="00D03A4F" w:rsidRDefault="00D03A4F" w:rsidP="00D03A4F">
      <w:pPr>
        <w:spacing w:after="0" w:line="240" w:lineRule="auto"/>
        <w:jc w:val="right"/>
        <w:rPr>
          <w:rFonts w:ascii="Times New Roman" w:eastAsia="Times New Roman" w:hAnsi="Times New Roman" w:cs="Times New Roman"/>
          <w:sz w:val="26"/>
          <w:szCs w:val="26"/>
          <w:lang w:eastAsia="ru-RU"/>
        </w:rPr>
      </w:pPr>
      <w:r w:rsidRPr="00D03A4F">
        <w:rPr>
          <w:rFonts w:ascii="Times New Roman" w:eastAsia="Times New Roman" w:hAnsi="Times New Roman" w:cs="Times New Roman"/>
          <w:sz w:val="26"/>
          <w:szCs w:val="26"/>
          <w:lang w:eastAsia="ru-RU"/>
        </w:rPr>
        <w:t>Таблица</w:t>
      </w:r>
      <w:r w:rsidRPr="00D03A4F">
        <w:rPr>
          <w:rFonts w:ascii="Times New Roman" w:eastAsia="Times New Roman" w:hAnsi="Times New Roman" w:cs="Times New Roman"/>
          <w:sz w:val="28"/>
          <w:szCs w:val="28"/>
          <w:lang w:eastAsia="ru-RU"/>
        </w:rPr>
        <w:t> </w:t>
      </w:r>
      <w:r w:rsidRPr="00D03A4F">
        <w:rPr>
          <w:rFonts w:ascii="Times New Roman" w:eastAsia="Times New Roman" w:hAnsi="Times New Roman" w:cs="Times New Roman"/>
          <w:sz w:val="26"/>
          <w:szCs w:val="26"/>
          <w:lang w:eastAsia="ru-RU"/>
        </w:rPr>
        <w:t>1</w:t>
      </w:r>
    </w:p>
    <w:p w14:paraId="5EF1E5C5" w14:textId="77777777" w:rsidR="00D03A4F" w:rsidRPr="00FD0D14"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2336E8">
        <w:rPr>
          <w:rFonts w:ascii="Times New Roman" w:eastAsia="Times New Roman" w:hAnsi="Times New Roman" w:cs="Times New Roman"/>
          <w:b/>
          <w:bCs/>
          <w:color w:val="000000"/>
          <w:sz w:val="26"/>
          <w:szCs w:val="26"/>
          <w:lang w:eastAsia="ru-RU"/>
        </w:rPr>
        <w:t>Численность населения в Российской Федерации</w:t>
      </w:r>
      <w:r w:rsidRPr="002336E8">
        <w:rPr>
          <w:rFonts w:ascii="Times New Roman" w:eastAsia="Times New Roman" w:hAnsi="Times New Roman" w:cs="Times New Roman"/>
          <w:b/>
          <w:bCs/>
          <w:color w:val="000000"/>
          <w:sz w:val="26"/>
          <w:szCs w:val="26"/>
          <w:lang w:eastAsia="ru-RU"/>
        </w:rPr>
        <w:br/>
        <w:t>на начало года</w:t>
      </w:r>
    </w:p>
    <w:p w14:paraId="01088FCF" w14:textId="77777777" w:rsidR="00D03A4F" w:rsidRPr="00FD0D14"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p>
    <w:tbl>
      <w:tblPr>
        <w:tblW w:w="0" w:type="auto"/>
        <w:tblInd w:w="108" w:type="dxa"/>
        <w:tblLayout w:type="fixed"/>
        <w:tblLook w:val="00A0" w:firstRow="1" w:lastRow="0" w:firstColumn="1" w:lastColumn="0" w:noHBand="0" w:noVBand="0"/>
      </w:tblPr>
      <w:tblGrid>
        <w:gridCol w:w="1140"/>
        <w:gridCol w:w="1628"/>
        <w:gridCol w:w="1509"/>
        <w:gridCol w:w="1395"/>
        <w:gridCol w:w="1395"/>
        <w:gridCol w:w="1395"/>
        <w:gridCol w:w="1391"/>
      </w:tblGrid>
      <w:tr w:rsidR="00D03A4F" w:rsidRPr="00FD0D14" w14:paraId="381D1CDE" w14:textId="77777777" w:rsidTr="00944CB1">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14:paraId="4081B87D" w14:textId="77777777" w:rsidR="00D03A4F" w:rsidRPr="00FD0D14"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FD0D14">
              <w:rPr>
                <w:rFonts w:ascii="Times New Roman" w:eastAsia="Times New Roman" w:hAnsi="Times New Roman" w:cs="Times New Roman"/>
                <w:color w:val="000000"/>
                <w:sz w:val="24"/>
                <w:szCs w:val="24"/>
                <w:lang w:eastAsia="ru-RU"/>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14:paraId="4B8F6768" w14:textId="77777777" w:rsidR="00D03A4F" w:rsidRPr="00FD0D14"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FD0D14">
              <w:rPr>
                <w:rFonts w:ascii="Times New Roman" w:eastAsia="Times New Roman" w:hAnsi="Times New Roman" w:cs="Times New Roman"/>
                <w:color w:val="000000"/>
                <w:sz w:val="24"/>
                <w:szCs w:val="24"/>
                <w:lang w:eastAsia="ru-RU"/>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14:paraId="577ED779" w14:textId="77777777" w:rsidR="00D03A4F" w:rsidRPr="00FD0D14"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FD0D14">
              <w:rPr>
                <w:rFonts w:ascii="Times New Roman" w:eastAsia="Times New Roman" w:hAnsi="Times New Roman" w:cs="Times New Roman"/>
                <w:color w:val="000000"/>
                <w:sz w:val="24"/>
                <w:szCs w:val="24"/>
                <w:lang w:eastAsia="ru-RU"/>
              </w:rPr>
              <w:t>из них в возрасте, лет:</w:t>
            </w:r>
          </w:p>
        </w:tc>
      </w:tr>
      <w:tr w:rsidR="00D03A4F" w:rsidRPr="00FD0D14" w14:paraId="600B0B49" w14:textId="77777777" w:rsidTr="00944CB1">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14:paraId="4FE9374E" w14:textId="77777777" w:rsidR="00D03A4F" w:rsidRPr="00FD0D14"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628" w:type="dxa"/>
            <w:vMerge/>
            <w:tcBorders>
              <w:top w:val="single" w:sz="4" w:space="0" w:color="auto"/>
              <w:left w:val="single" w:sz="4" w:space="0" w:color="auto"/>
              <w:bottom w:val="single" w:sz="4" w:space="0" w:color="000000"/>
              <w:right w:val="single" w:sz="4" w:space="0" w:color="auto"/>
            </w:tcBorders>
            <w:vAlign w:val="center"/>
          </w:tcPr>
          <w:p w14:paraId="40FB9031" w14:textId="77777777" w:rsidR="00D03A4F" w:rsidRPr="00FD0D14"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509" w:type="dxa"/>
            <w:vMerge w:val="restart"/>
            <w:tcBorders>
              <w:top w:val="nil"/>
              <w:left w:val="single" w:sz="4" w:space="0" w:color="auto"/>
              <w:bottom w:val="single" w:sz="4" w:space="0" w:color="000000"/>
              <w:right w:val="nil"/>
            </w:tcBorders>
            <w:vAlign w:val="center"/>
          </w:tcPr>
          <w:p w14:paraId="0DD76E03" w14:textId="77777777" w:rsidR="00D03A4F" w:rsidRPr="00FD0D14"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FD0D14">
              <w:rPr>
                <w:rFonts w:ascii="Times New Roman" w:eastAsia="Times New Roman" w:hAnsi="Times New Roman" w:cs="Times New Roman"/>
                <w:color w:val="000000"/>
                <w:sz w:val="24"/>
                <w:szCs w:val="24"/>
                <w:lang w:eastAsia="ru-RU"/>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14:paraId="1CA42423" w14:textId="77777777" w:rsidR="00D03A4F" w:rsidRPr="00FD0D14"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FD0D14">
              <w:rPr>
                <w:rFonts w:ascii="Times New Roman" w:eastAsia="Times New Roman" w:hAnsi="Times New Roman" w:cs="Times New Roman"/>
                <w:color w:val="000000"/>
                <w:sz w:val="24"/>
                <w:szCs w:val="24"/>
                <w:lang w:eastAsia="ru-RU"/>
              </w:rPr>
              <w:t>в том числе:</w:t>
            </w:r>
          </w:p>
        </w:tc>
      </w:tr>
      <w:tr w:rsidR="00D03A4F" w:rsidRPr="00FD0D14" w14:paraId="30E90B7F" w14:textId="77777777" w:rsidTr="00944CB1">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14:paraId="22BCCEAE" w14:textId="77777777" w:rsidR="00D03A4F" w:rsidRPr="00FD0D14"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628" w:type="dxa"/>
            <w:vMerge/>
            <w:tcBorders>
              <w:top w:val="single" w:sz="4" w:space="0" w:color="auto"/>
              <w:left w:val="single" w:sz="4" w:space="0" w:color="auto"/>
              <w:bottom w:val="single" w:sz="4" w:space="0" w:color="000000"/>
              <w:right w:val="single" w:sz="4" w:space="0" w:color="auto"/>
            </w:tcBorders>
            <w:vAlign w:val="center"/>
          </w:tcPr>
          <w:p w14:paraId="4051B6E9" w14:textId="77777777" w:rsidR="00D03A4F" w:rsidRPr="00FD0D14"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509" w:type="dxa"/>
            <w:vMerge/>
            <w:tcBorders>
              <w:top w:val="nil"/>
              <w:left w:val="single" w:sz="4" w:space="0" w:color="auto"/>
              <w:bottom w:val="single" w:sz="4" w:space="0" w:color="000000"/>
              <w:right w:val="nil"/>
            </w:tcBorders>
            <w:vAlign w:val="center"/>
          </w:tcPr>
          <w:p w14:paraId="19E2F059" w14:textId="77777777" w:rsidR="00D03A4F" w:rsidRPr="00FD0D14"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395" w:type="dxa"/>
            <w:tcBorders>
              <w:top w:val="nil"/>
              <w:left w:val="single" w:sz="4" w:space="0" w:color="auto"/>
              <w:bottom w:val="single" w:sz="4" w:space="0" w:color="auto"/>
              <w:right w:val="single" w:sz="4" w:space="0" w:color="auto"/>
            </w:tcBorders>
            <w:vAlign w:val="center"/>
          </w:tcPr>
          <w:p w14:paraId="322B48CB" w14:textId="77777777" w:rsidR="00D03A4F" w:rsidRPr="00FD0D14"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FD0D14">
              <w:rPr>
                <w:rFonts w:ascii="Times New Roman" w:eastAsia="Times New Roman" w:hAnsi="Times New Roman" w:cs="Times New Roman"/>
                <w:color w:val="000000"/>
                <w:sz w:val="24"/>
                <w:szCs w:val="24"/>
                <w:lang w:eastAsia="ru-RU"/>
              </w:rPr>
              <w:t>0-4</w:t>
            </w:r>
          </w:p>
        </w:tc>
        <w:tc>
          <w:tcPr>
            <w:tcW w:w="1395" w:type="dxa"/>
            <w:tcBorders>
              <w:top w:val="nil"/>
              <w:left w:val="nil"/>
              <w:bottom w:val="single" w:sz="4" w:space="0" w:color="auto"/>
              <w:right w:val="single" w:sz="4" w:space="0" w:color="auto"/>
            </w:tcBorders>
            <w:vAlign w:val="center"/>
          </w:tcPr>
          <w:p w14:paraId="41947202" w14:textId="77777777" w:rsidR="00D03A4F" w:rsidRPr="00FD0D14"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FD0D14">
              <w:rPr>
                <w:rFonts w:ascii="Times New Roman" w:eastAsia="Times New Roman" w:hAnsi="Times New Roman" w:cs="Times New Roman"/>
                <w:color w:val="000000"/>
                <w:sz w:val="24"/>
                <w:szCs w:val="24"/>
                <w:lang w:eastAsia="ru-RU"/>
              </w:rPr>
              <w:t>5-6</w:t>
            </w:r>
          </w:p>
        </w:tc>
        <w:tc>
          <w:tcPr>
            <w:tcW w:w="1395" w:type="dxa"/>
            <w:tcBorders>
              <w:top w:val="nil"/>
              <w:left w:val="nil"/>
              <w:bottom w:val="single" w:sz="4" w:space="0" w:color="auto"/>
              <w:right w:val="single" w:sz="4" w:space="0" w:color="auto"/>
            </w:tcBorders>
            <w:vAlign w:val="center"/>
          </w:tcPr>
          <w:p w14:paraId="76E67D88" w14:textId="77777777" w:rsidR="00D03A4F" w:rsidRPr="00FD0D14"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FD0D14">
              <w:rPr>
                <w:rFonts w:ascii="Times New Roman" w:eastAsia="Times New Roman" w:hAnsi="Times New Roman" w:cs="Times New Roman"/>
                <w:color w:val="000000"/>
                <w:sz w:val="24"/>
                <w:szCs w:val="24"/>
                <w:lang w:eastAsia="ru-RU"/>
              </w:rPr>
              <w:t>7-15</w:t>
            </w:r>
          </w:p>
        </w:tc>
        <w:tc>
          <w:tcPr>
            <w:tcW w:w="1391" w:type="dxa"/>
            <w:tcBorders>
              <w:top w:val="nil"/>
              <w:left w:val="nil"/>
              <w:bottom w:val="single" w:sz="4" w:space="0" w:color="auto"/>
              <w:right w:val="single" w:sz="4" w:space="0" w:color="auto"/>
            </w:tcBorders>
            <w:vAlign w:val="center"/>
          </w:tcPr>
          <w:p w14:paraId="036ABD33" w14:textId="77777777" w:rsidR="00D03A4F" w:rsidRPr="00FD0D14"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FD0D14">
              <w:rPr>
                <w:rFonts w:ascii="Times New Roman" w:eastAsia="Times New Roman" w:hAnsi="Times New Roman" w:cs="Times New Roman"/>
                <w:color w:val="000000"/>
                <w:sz w:val="24"/>
                <w:szCs w:val="24"/>
                <w:lang w:eastAsia="ru-RU"/>
              </w:rPr>
              <w:t>16-17</w:t>
            </w:r>
          </w:p>
        </w:tc>
      </w:tr>
      <w:tr w:rsidR="007B49F7" w:rsidRPr="00FD0D14" w14:paraId="7C313AEF" w14:textId="77777777" w:rsidTr="00944CB1">
        <w:trPr>
          <w:trHeight w:val="300"/>
        </w:trPr>
        <w:tc>
          <w:tcPr>
            <w:tcW w:w="1140" w:type="dxa"/>
            <w:tcBorders>
              <w:top w:val="single" w:sz="4" w:space="0" w:color="auto"/>
              <w:left w:val="single" w:sz="4" w:space="0" w:color="auto"/>
              <w:bottom w:val="single" w:sz="4" w:space="0" w:color="auto"/>
              <w:right w:val="single" w:sz="4" w:space="0" w:color="auto"/>
            </w:tcBorders>
            <w:vAlign w:val="center"/>
          </w:tcPr>
          <w:p w14:paraId="776AC2ED" w14:textId="77777777" w:rsidR="007B49F7" w:rsidRPr="00FD0D14" w:rsidRDefault="007B49F7" w:rsidP="002856C4">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2018</w:t>
            </w:r>
          </w:p>
        </w:tc>
        <w:tc>
          <w:tcPr>
            <w:tcW w:w="1628" w:type="dxa"/>
            <w:tcBorders>
              <w:top w:val="single" w:sz="4" w:space="0" w:color="auto"/>
              <w:left w:val="nil"/>
              <w:bottom w:val="single" w:sz="4" w:space="0" w:color="auto"/>
              <w:right w:val="single" w:sz="4" w:space="0" w:color="auto"/>
            </w:tcBorders>
            <w:noWrap/>
            <w:vAlign w:val="center"/>
          </w:tcPr>
          <w:p w14:paraId="55C4FC5A" w14:textId="77777777" w:rsidR="007B49F7" w:rsidRPr="00FD0D14" w:rsidRDefault="007B49F7" w:rsidP="002856C4">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146</w:t>
            </w:r>
            <w:r w:rsidRPr="00FD0D14">
              <w:rPr>
                <w:rFonts w:ascii="Times New Roman" w:eastAsia="Times New Roman" w:hAnsi="Times New Roman" w:cs="Times New Roman"/>
                <w:sz w:val="24"/>
                <w:szCs w:val="24"/>
                <w:lang w:val="en-US" w:eastAsia="ru-RU"/>
              </w:rPr>
              <w:t> </w:t>
            </w:r>
            <w:r w:rsidRPr="00FD0D14">
              <w:rPr>
                <w:rFonts w:ascii="Times New Roman" w:eastAsia="Times New Roman" w:hAnsi="Times New Roman" w:cs="Times New Roman"/>
                <w:sz w:val="24"/>
                <w:szCs w:val="24"/>
                <w:lang w:eastAsia="ru-RU"/>
              </w:rPr>
              <w:t>880 432</w:t>
            </w:r>
          </w:p>
        </w:tc>
        <w:tc>
          <w:tcPr>
            <w:tcW w:w="1509" w:type="dxa"/>
            <w:tcBorders>
              <w:top w:val="single" w:sz="4" w:space="0" w:color="auto"/>
              <w:left w:val="nil"/>
              <w:bottom w:val="single" w:sz="4" w:space="0" w:color="auto"/>
              <w:right w:val="single" w:sz="4" w:space="0" w:color="auto"/>
            </w:tcBorders>
            <w:noWrap/>
            <w:vAlign w:val="center"/>
          </w:tcPr>
          <w:p w14:paraId="0111E516" w14:textId="77777777" w:rsidR="007B49F7" w:rsidRPr="00FD0D14" w:rsidRDefault="007B49F7" w:rsidP="002856C4">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29</w:t>
            </w:r>
            <w:r w:rsidRPr="00FD0D14">
              <w:rPr>
                <w:rFonts w:ascii="Times New Roman" w:eastAsia="Times New Roman" w:hAnsi="Times New Roman" w:cs="Times New Roman"/>
                <w:sz w:val="24"/>
                <w:szCs w:val="24"/>
                <w:lang w:val="en-US" w:eastAsia="ru-RU"/>
              </w:rPr>
              <w:t> </w:t>
            </w:r>
            <w:r w:rsidRPr="00FD0D14">
              <w:rPr>
                <w:rFonts w:ascii="Times New Roman" w:eastAsia="Times New Roman" w:hAnsi="Times New Roman" w:cs="Times New Roman"/>
                <w:sz w:val="24"/>
                <w:szCs w:val="24"/>
                <w:lang w:eastAsia="ru-RU"/>
              </w:rPr>
              <w:t>980 68</w:t>
            </w:r>
            <w:r>
              <w:rPr>
                <w:rFonts w:ascii="Times New Roman" w:eastAsia="Times New Roman" w:hAnsi="Times New Roman" w:cs="Times New Roman"/>
                <w:sz w:val="24"/>
                <w:szCs w:val="24"/>
                <w:lang w:eastAsia="ru-RU"/>
              </w:rPr>
              <w:t>6</w:t>
            </w:r>
          </w:p>
        </w:tc>
        <w:tc>
          <w:tcPr>
            <w:tcW w:w="1395" w:type="dxa"/>
            <w:tcBorders>
              <w:top w:val="single" w:sz="4" w:space="0" w:color="auto"/>
              <w:left w:val="nil"/>
              <w:bottom w:val="single" w:sz="4" w:space="0" w:color="auto"/>
              <w:right w:val="single" w:sz="4" w:space="0" w:color="auto"/>
            </w:tcBorders>
            <w:noWrap/>
            <w:vAlign w:val="center"/>
          </w:tcPr>
          <w:p w14:paraId="268E2F0C" w14:textId="77777777" w:rsidR="007B49F7" w:rsidRPr="00FD0D14" w:rsidRDefault="007B49F7" w:rsidP="002856C4">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9</w:t>
            </w:r>
            <w:r w:rsidRPr="00FD0D14">
              <w:rPr>
                <w:rFonts w:ascii="Times New Roman" w:eastAsia="Times New Roman" w:hAnsi="Times New Roman" w:cs="Times New Roman"/>
                <w:sz w:val="24"/>
                <w:szCs w:val="24"/>
                <w:lang w:val="en-US" w:eastAsia="ru-RU"/>
              </w:rPr>
              <w:t> </w:t>
            </w:r>
            <w:r w:rsidRPr="00FD0D14">
              <w:rPr>
                <w:rFonts w:ascii="Times New Roman" w:eastAsia="Times New Roman" w:hAnsi="Times New Roman" w:cs="Times New Roman"/>
                <w:sz w:val="24"/>
                <w:szCs w:val="24"/>
                <w:lang w:eastAsia="ru-RU"/>
              </w:rPr>
              <w:t>347 0</w:t>
            </w:r>
            <w:r>
              <w:rPr>
                <w:rFonts w:ascii="Times New Roman" w:eastAsia="Times New Roman" w:hAnsi="Times New Roman" w:cs="Times New Roman"/>
                <w:sz w:val="24"/>
                <w:szCs w:val="24"/>
                <w:lang w:eastAsia="ru-RU"/>
              </w:rPr>
              <w:t>32</w:t>
            </w:r>
          </w:p>
        </w:tc>
        <w:tc>
          <w:tcPr>
            <w:tcW w:w="1395" w:type="dxa"/>
            <w:tcBorders>
              <w:top w:val="single" w:sz="4" w:space="0" w:color="auto"/>
              <w:left w:val="nil"/>
              <w:bottom w:val="single" w:sz="4" w:space="0" w:color="auto"/>
              <w:right w:val="single" w:sz="4" w:space="0" w:color="auto"/>
            </w:tcBorders>
            <w:noWrap/>
            <w:vAlign w:val="center"/>
          </w:tcPr>
          <w:p w14:paraId="37AF9FBA" w14:textId="77777777" w:rsidR="007B49F7" w:rsidRPr="00FD0D14" w:rsidRDefault="007B49F7" w:rsidP="002856C4">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3</w:t>
            </w:r>
            <w:r w:rsidRPr="00FD0D14">
              <w:rPr>
                <w:rFonts w:ascii="Times New Roman" w:eastAsia="Times New Roman" w:hAnsi="Times New Roman" w:cs="Times New Roman"/>
                <w:sz w:val="24"/>
                <w:szCs w:val="24"/>
                <w:lang w:val="en-US" w:eastAsia="ru-RU"/>
              </w:rPr>
              <w:t> </w:t>
            </w:r>
            <w:r w:rsidRPr="00FD0D14">
              <w:rPr>
                <w:rFonts w:ascii="Times New Roman" w:eastAsia="Times New Roman" w:hAnsi="Times New Roman" w:cs="Times New Roman"/>
                <w:sz w:val="24"/>
                <w:szCs w:val="24"/>
                <w:lang w:eastAsia="ru-RU"/>
              </w:rPr>
              <w:t>745 86</w:t>
            </w:r>
            <w:r>
              <w:rPr>
                <w:rFonts w:ascii="Times New Roman" w:eastAsia="Times New Roman" w:hAnsi="Times New Roman" w:cs="Times New Roman"/>
                <w:sz w:val="24"/>
                <w:szCs w:val="24"/>
                <w:lang w:eastAsia="ru-RU"/>
              </w:rPr>
              <w:t>4</w:t>
            </w:r>
          </w:p>
        </w:tc>
        <w:tc>
          <w:tcPr>
            <w:tcW w:w="1395" w:type="dxa"/>
            <w:tcBorders>
              <w:top w:val="single" w:sz="4" w:space="0" w:color="auto"/>
              <w:left w:val="nil"/>
              <w:bottom w:val="single" w:sz="4" w:space="0" w:color="auto"/>
              <w:right w:val="single" w:sz="4" w:space="0" w:color="auto"/>
            </w:tcBorders>
            <w:noWrap/>
            <w:vAlign w:val="center"/>
          </w:tcPr>
          <w:p w14:paraId="678F62AB" w14:textId="77777777" w:rsidR="007B49F7" w:rsidRPr="00FD0D14" w:rsidRDefault="007B49F7" w:rsidP="002856C4">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14</w:t>
            </w:r>
            <w:r w:rsidRPr="00FD0D14">
              <w:rPr>
                <w:rFonts w:ascii="Times New Roman" w:eastAsia="Times New Roman" w:hAnsi="Times New Roman" w:cs="Times New Roman"/>
                <w:sz w:val="24"/>
                <w:szCs w:val="24"/>
                <w:lang w:val="en-US" w:eastAsia="ru-RU"/>
              </w:rPr>
              <w:t> </w:t>
            </w:r>
            <w:r w:rsidRPr="00FD0D14">
              <w:rPr>
                <w:rFonts w:ascii="Times New Roman" w:eastAsia="Times New Roman" w:hAnsi="Times New Roman" w:cs="Times New Roman"/>
                <w:sz w:val="24"/>
                <w:szCs w:val="24"/>
                <w:lang w:eastAsia="ru-RU"/>
              </w:rPr>
              <w:t>160 855</w:t>
            </w:r>
          </w:p>
        </w:tc>
        <w:tc>
          <w:tcPr>
            <w:tcW w:w="1391" w:type="dxa"/>
            <w:tcBorders>
              <w:top w:val="single" w:sz="4" w:space="0" w:color="auto"/>
              <w:left w:val="nil"/>
              <w:bottom w:val="single" w:sz="4" w:space="0" w:color="auto"/>
              <w:right w:val="single" w:sz="4" w:space="0" w:color="auto"/>
            </w:tcBorders>
            <w:noWrap/>
            <w:vAlign w:val="center"/>
          </w:tcPr>
          <w:p w14:paraId="02C93635" w14:textId="77777777" w:rsidR="007B49F7" w:rsidRPr="00FD0D14" w:rsidRDefault="007B49F7" w:rsidP="002856C4">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w:t>
            </w:r>
            <w:r w:rsidRPr="00FD0D14">
              <w:rPr>
                <w:rFonts w:ascii="Times New Roman" w:eastAsia="Times New Roman" w:hAnsi="Times New Roman" w:cs="Times New Roman"/>
                <w:sz w:val="24"/>
                <w:szCs w:val="24"/>
                <w:lang w:val="en-US" w:eastAsia="ru-RU"/>
              </w:rPr>
              <w:t> </w:t>
            </w:r>
            <w:r w:rsidRPr="00FD0D14">
              <w:rPr>
                <w:rFonts w:ascii="Times New Roman" w:eastAsia="Times New Roman" w:hAnsi="Times New Roman" w:cs="Times New Roman"/>
                <w:sz w:val="24"/>
                <w:szCs w:val="24"/>
                <w:lang w:eastAsia="ru-RU"/>
              </w:rPr>
              <w:t>726 936</w:t>
            </w:r>
          </w:p>
        </w:tc>
      </w:tr>
      <w:tr w:rsidR="007B49F7" w:rsidRPr="00FD0D14" w14:paraId="209058A1" w14:textId="77777777" w:rsidTr="00944CB1">
        <w:trPr>
          <w:trHeight w:val="300"/>
        </w:trPr>
        <w:tc>
          <w:tcPr>
            <w:tcW w:w="1140" w:type="dxa"/>
            <w:tcBorders>
              <w:top w:val="single" w:sz="4" w:space="0" w:color="auto"/>
              <w:left w:val="single" w:sz="4" w:space="0" w:color="auto"/>
              <w:bottom w:val="single" w:sz="4" w:space="0" w:color="auto"/>
              <w:right w:val="single" w:sz="4" w:space="0" w:color="auto"/>
            </w:tcBorders>
            <w:vAlign w:val="center"/>
          </w:tcPr>
          <w:p w14:paraId="07AEDF10" w14:textId="77777777" w:rsidR="007B49F7" w:rsidRPr="00FD0D14" w:rsidRDefault="007B49F7" w:rsidP="002856C4">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2019</w:t>
            </w:r>
          </w:p>
        </w:tc>
        <w:tc>
          <w:tcPr>
            <w:tcW w:w="1628" w:type="dxa"/>
            <w:tcBorders>
              <w:top w:val="single" w:sz="4" w:space="0" w:color="auto"/>
              <w:left w:val="nil"/>
              <w:bottom w:val="single" w:sz="4" w:space="0" w:color="auto"/>
              <w:right w:val="single" w:sz="4" w:space="0" w:color="auto"/>
            </w:tcBorders>
            <w:noWrap/>
            <w:vAlign w:val="center"/>
          </w:tcPr>
          <w:p w14:paraId="5AB01325" w14:textId="77777777" w:rsidR="007B49F7" w:rsidRPr="00FD0D14" w:rsidRDefault="007B49F7" w:rsidP="002856C4">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146 780 720</w:t>
            </w:r>
          </w:p>
        </w:tc>
        <w:tc>
          <w:tcPr>
            <w:tcW w:w="1509" w:type="dxa"/>
            <w:tcBorders>
              <w:top w:val="single" w:sz="4" w:space="0" w:color="auto"/>
              <w:left w:val="nil"/>
              <w:bottom w:val="single" w:sz="4" w:space="0" w:color="auto"/>
              <w:right w:val="single" w:sz="4" w:space="0" w:color="auto"/>
            </w:tcBorders>
            <w:noWrap/>
            <w:vAlign w:val="center"/>
          </w:tcPr>
          <w:p w14:paraId="2FDB6455" w14:textId="77777777" w:rsidR="007B49F7" w:rsidRPr="00FD0D14" w:rsidRDefault="007B49F7" w:rsidP="002856C4">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30 215 423</w:t>
            </w:r>
          </w:p>
        </w:tc>
        <w:tc>
          <w:tcPr>
            <w:tcW w:w="1395" w:type="dxa"/>
            <w:tcBorders>
              <w:top w:val="single" w:sz="4" w:space="0" w:color="auto"/>
              <w:left w:val="nil"/>
              <w:bottom w:val="single" w:sz="4" w:space="0" w:color="auto"/>
              <w:right w:val="single" w:sz="4" w:space="0" w:color="auto"/>
            </w:tcBorders>
            <w:noWrap/>
            <w:vAlign w:val="center"/>
          </w:tcPr>
          <w:p w14:paraId="0EA4EE51" w14:textId="77777777" w:rsidR="007B49F7" w:rsidRPr="00FD0D14" w:rsidRDefault="007B49F7" w:rsidP="002856C4">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9 032 433</w:t>
            </w:r>
          </w:p>
        </w:tc>
        <w:tc>
          <w:tcPr>
            <w:tcW w:w="1395" w:type="dxa"/>
            <w:tcBorders>
              <w:top w:val="single" w:sz="4" w:space="0" w:color="auto"/>
              <w:left w:val="nil"/>
              <w:bottom w:val="single" w:sz="4" w:space="0" w:color="auto"/>
              <w:right w:val="single" w:sz="4" w:space="0" w:color="auto"/>
            </w:tcBorders>
            <w:noWrap/>
            <w:vAlign w:val="center"/>
          </w:tcPr>
          <w:p w14:paraId="6857604E" w14:textId="77777777" w:rsidR="007B49F7" w:rsidRPr="00FD0D14" w:rsidRDefault="007B49F7" w:rsidP="002856C4">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3 843 995</w:t>
            </w:r>
          </w:p>
        </w:tc>
        <w:tc>
          <w:tcPr>
            <w:tcW w:w="1395" w:type="dxa"/>
            <w:tcBorders>
              <w:top w:val="single" w:sz="4" w:space="0" w:color="auto"/>
              <w:left w:val="nil"/>
              <w:bottom w:val="single" w:sz="4" w:space="0" w:color="auto"/>
              <w:right w:val="single" w:sz="4" w:space="0" w:color="auto"/>
            </w:tcBorders>
            <w:noWrap/>
            <w:vAlign w:val="center"/>
          </w:tcPr>
          <w:p w14:paraId="7B168A17" w14:textId="77777777" w:rsidR="007B49F7" w:rsidRPr="00FD0D14" w:rsidRDefault="007B49F7" w:rsidP="002856C4">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14 553 575</w:t>
            </w:r>
          </w:p>
        </w:tc>
        <w:tc>
          <w:tcPr>
            <w:tcW w:w="1391" w:type="dxa"/>
            <w:tcBorders>
              <w:top w:val="single" w:sz="4" w:space="0" w:color="auto"/>
              <w:left w:val="nil"/>
              <w:bottom w:val="single" w:sz="4" w:space="0" w:color="auto"/>
              <w:right w:val="single" w:sz="4" w:space="0" w:color="auto"/>
            </w:tcBorders>
            <w:noWrap/>
            <w:vAlign w:val="center"/>
          </w:tcPr>
          <w:p w14:paraId="2ABC9AEE" w14:textId="77777777" w:rsidR="007B49F7" w:rsidRPr="00FD0D14" w:rsidRDefault="007B49F7" w:rsidP="002856C4">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2 785 420</w:t>
            </w:r>
          </w:p>
        </w:tc>
      </w:tr>
      <w:tr w:rsidR="007B49F7" w:rsidRPr="00FD0D14" w14:paraId="10C7AAEA" w14:textId="77777777" w:rsidTr="00944CB1">
        <w:trPr>
          <w:trHeight w:val="300"/>
        </w:trPr>
        <w:tc>
          <w:tcPr>
            <w:tcW w:w="1140" w:type="dxa"/>
            <w:tcBorders>
              <w:top w:val="single" w:sz="4" w:space="0" w:color="auto"/>
              <w:left w:val="single" w:sz="4" w:space="0" w:color="auto"/>
              <w:bottom w:val="single" w:sz="4" w:space="0" w:color="auto"/>
              <w:right w:val="single" w:sz="4" w:space="0" w:color="auto"/>
            </w:tcBorders>
            <w:vAlign w:val="center"/>
          </w:tcPr>
          <w:p w14:paraId="5CA4ECDB" w14:textId="77777777" w:rsidR="007B49F7" w:rsidRPr="00FD0D14" w:rsidRDefault="007B49F7" w:rsidP="002856C4">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2020</w:t>
            </w:r>
          </w:p>
        </w:tc>
        <w:tc>
          <w:tcPr>
            <w:tcW w:w="1628" w:type="dxa"/>
            <w:tcBorders>
              <w:top w:val="single" w:sz="4" w:space="0" w:color="auto"/>
              <w:left w:val="nil"/>
              <w:bottom w:val="single" w:sz="4" w:space="0" w:color="auto"/>
              <w:right w:val="single" w:sz="4" w:space="0" w:color="auto"/>
            </w:tcBorders>
            <w:noWrap/>
            <w:vAlign w:val="center"/>
          </w:tcPr>
          <w:p w14:paraId="3E1F7BA1" w14:textId="77777777" w:rsidR="007B49F7" w:rsidRPr="00FD0D14" w:rsidRDefault="007B49F7" w:rsidP="002856C4">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146 748 590</w:t>
            </w:r>
          </w:p>
        </w:tc>
        <w:tc>
          <w:tcPr>
            <w:tcW w:w="1509" w:type="dxa"/>
            <w:tcBorders>
              <w:top w:val="single" w:sz="4" w:space="0" w:color="auto"/>
              <w:left w:val="nil"/>
              <w:bottom w:val="single" w:sz="4" w:space="0" w:color="auto"/>
              <w:right w:val="single" w:sz="4" w:space="0" w:color="auto"/>
            </w:tcBorders>
            <w:noWrap/>
            <w:vAlign w:val="center"/>
          </w:tcPr>
          <w:p w14:paraId="58D6A2CF" w14:textId="77777777" w:rsidR="007B49F7" w:rsidRPr="00FD0D14" w:rsidRDefault="007B49F7" w:rsidP="002856C4">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30 370 372</w:t>
            </w:r>
          </w:p>
        </w:tc>
        <w:tc>
          <w:tcPr>
            <w:tcW w:w="1395" w:type="dxa"/>
            <w:tcBorders>
              <w:top w:val="single" w:sz="4" w:space="0" w:color="auto"/>
              <w:left w:val="nil"/>
              <w:bottom w:val="single" w:sz="4" w:space="0" w:color="auto"/>
              <w:right w:val="single" w:sz="4" w:space="0" w:color="auto"/>
            </w:tcBorders>
            <w:noWrap/>
            <w:vAlign w:val="center"/>
          </w:tcPr>
          <w:p w14:paraId="3D30B870" w14:textId="77777777" w:rsidR="007B49F7" w:rsidRPr="00FD0D14" w:rsidRDefault="007B49F7" w:rsidP="002856C4">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8 579 112</w:t>
            </w:r>
          </w:p>
        </w:tc>
        <w:tc>
          <w:tcPr>
            <w:tcW w:w="1395" w:type="dxa"/>
            <w:tcBorders>
              <w:top w:val="single" w:sz="4" w:space="0" w:color="auto"/>
              <w:left w:val="nil"/>
              <w:bottom w:val="single" w:sz="4" w:space="0" w:color="auto"/>
              <w:right w:val="single" w:sz="4" w:space="0" w:color="auto"/>
            </w:tcBorders>
            <w:noWrap/>
            <w:vAlign w:val="center"/>
          </w:tcPr>
          <w:p w14:paraId="11208758" w14:textId="77777777" w:rsidR="007B49F7" w:rsidRPr="00FD0D14" w:rsidRDefault="007B49F7" w:rsidP="002856C4">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3 857 342</w:t>
            </w:r>
          </w:p>
        </w:tc>
        <w:tc>
          <w:tcPr>
            <w:tcW w:w="1395" w:type="dxa"/>
            <w:tcBorders>
              <w:top w:val="single" w:sz="4" w:space="0" w:color="auto"/>
              <w:left w:val="nil"/>
              <w:bottom w:val="single" w:sz="4" w:space="0" w:color="auto"/>
              <w:right w:val="single" w:sz="4" w:space="0" w:color="auto"/>
            </w:tcBorders>
            <w:noWrap/>
            <w:vAlign w:val="center"/>
          </w:tcPr>
          <w:p w14:paraId="27F4E89A" w14:textId="77777777" w:rsidR="007B49F7" w:rsidRPr="00FD0D14" w:rsidRDefault="007B49F7" w:rsidP="002856C4">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15 005 917</w:t>
            </w:r>
          </w:p>
        </w:tc>
        <w:tc>
          <w:tcPr>
            <w:tcW w:w="1391" w:type="dxa"/>
            <w:tcBorders>
              <w:top w:val="single" w:sz="4" w:space="0" w:color="auto"/>
              <w:left w:val="nil"/>
              <w:bottom w:val="single" w:sz="4" w:space="0" w:color="auto"/>
              <w:right w:val="single" w:sz="4" w:space="0" w:color="auto"/>
            </w:tcBorders>
            <w:noWrap/>
            <w:vAlign w:val="center"/>
          </w:tcPr>
          <w:p w14:paraId="798C272C" w14:textId="77777777" w:rsidR="007B49F7" w:rsidRPr="00FD0D14" w:rsidRDefault="007B49F7" w:rsidP="002856C4">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2 928 001</w:t>
            </w:r>
          </w:p>
        </w:tc>
      </w:tr>
      <w:tr w:rsidR="007B49F7" w:rsidRPr="00FD0D14" w14:paraId="302AB369" w14:textId="77777777" w:rsidTr="00944CB1">
        <w:trPr>
          <w:trHeight w:val="469"/>
        </w:trPr>
        <w:tc>
          <w:tcPr>
            <w:tcW w:w="1140" w:type="dxa"/>
            <w:tcBorders>
              <w:top w:val="single" w:sz="4" w:space="0" w:color="auto"/>
              <w:left w:val="single" w:sz="4" w:space="0" w:color="auto"/>
              <w:bottom w:val="single" w:sz="4" w:space="0" w:color="auto"/>
              <w:right w:val="single" w:sz="4" w:space="0" w:color="auto"/>
            </w:tcBorders>
            <w:vAlign w:val="center"/>
          </w:tcPr>
          <w:p w14:paraId="56F48416" w14:textId="77777777" w:rsidR="007B49F7" w:rsidRPr="00FD0D14" w:rsidRDefault="007B49F7" w:rsidP="002856C4">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2021</w:t>
            </w:r>
          </w:p>
        </w:tc>
        <w:tc>
          <w:tcPr>
            <w:tcW w:w="1628" w:type="dxa"/>
            <w:tcBorders>
              <w:top w:val="single" w:sz="4" w:space="0" w:color="auto"/>
              <w:left w:val="nil"/>
              <w:bottom w:val="single" w:sz="4" w:space="0" w:color="auto"/>
              <w:right w:val="single" w:sz="4" w:space="0" w:color="auto"/>
            </w:tcBorders>
            <w:noWrap/>
            <w:vAlign w:val="center"/>
          </w:tcPr>
          <w:p w14:paraId="7D7C18DB" w14:textId="77777777" w:rsidR="007B49F7" w:rsidRPr="00FD0D14" w:rsidRDefault="007B49F7" w:rsidP="002856C4">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146 171 015</w:t>
            </w:r>
          </w:p>
        </w:tc>
        <w:tc>
          <w:tcPr>
            <w:tcW w:w="1509" w:type="dxa"/>
            <w:tcBorders>
              <w:top w:val="single" w:sz="4" w:space="0" w:color="auto"/>
              <w:left w:val="nil"/>
              <w:bottom w:val="single" w:sz="4" w:space="0" w:color="auto"/>
              <w:right w:val="single" w:sz="4" w:space="0" w:color="auto"/>
            </w:tcBorders>
            <w:noWrap/>
            <w:vAlign w:val="center"/>
          </w:tcPr>
          <w:p w14:paraId="1CD273BC" w14:textId="77777777" w:rsidR="007B49F7" w:rsidRPr="00FD0D14" w:rsidRDefault="007B49F7" w:rsidP="002856C4">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30 383 341</w:t>
            </w:r>
          </w:p>
        </w:tc>
        <w:tc>
          <w:tcPr>
            <w:tcW w:w="1395" w:type="dxa"/>
            <w:tcBorders>
              <w:top w:val="single" w:sz="4" w:space="0" w:color="auto"/>
              <w:left w:val="nil"/>
              <w:bottom w:val="single" w:sz="4" w:space="0" w:color="auto"/>
              <w:right w:val="single" w:sz="4" w:space="0" w:color="auto"/>
            </w:tcBorders>
            <w:noWrap/>
            <w:vAlign w:val="center"/>
          </w:tcPr>
          <w:p w14:paraId="50AEB59C" w14:textId="77777777" w:rsidR="007B49F7" w:rsidRPr="00FD0D14" w:rsidRDefault="007B49F7" w:rsidP="002856C4">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8 079 561</w:t>
            </w:r>
          </w:p>
        </w:tc>
        <w:tc>
          <w:tcPr>
            <w:tcW w:w="1395" w:type="dxa"/>
            <w:tcBorders>
              <w:top w:val="single" w:sz="4" w:space="0" w:color="auto"/>
              <w:left w:val="nil"/>
              <w:bottom w:val="single" w:sz="4" w:space="0" w:color="auto"/>
              <w:right w:val="single" w:sz="4" w:space="0" w:color="auto"/>
            </w:tcBorders>
            <w:noWrap/>
            <w:vAlign w:val="center"/>
          </w:tcPr>
          <w:p w14:paraId="5979F1FE" w14:textId="77777777" w:rsidR="007B49F7" w:rsidRPr="00FD0D14" w:rsidRDefault="007B49F7" w:rsidP="002856C4">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3 875 282</w:t>
            </w:r>
          </w:p>
        </w:tc>
        <w:tc>
          <w:tcPr>
            <w:tcW w:w="1395" w:type="dxa"/>
            <w:tcBorders>
              <w:top w:val="single" w:sz="4" w:space="0" w:color="auto"/>
              <w:left w:val="nil"/>
              <w:bottom w:val="single" w:sz="4" w:space="0" w:color="auto"/>
              <w:right w:val="single" w:sz="4" w:space="0" w:color="auto"/>
            </w:tcBorders>
            <w:noWrap/>
            <w:vAlign w:val="center"/>
          </w:tcPr>
          <w:p w14:paraId="364592B0" w14:textId="77777777" w:rsidR="007B49F7" w:rsidRPr="00FD0D14" w:rsidRDefault="007B49F7" w:rsidP="002856C4">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15 432 287</w:t>
            </w:r>
          </w:p>
        </w:tc>
        <w:tc>
          <w:tcPr>
            <w:tcW w:w="1391" w:type="dxa"/>
            <w:tcBorders>
              <w:top w:val="single" w:sz="4" w:space="0" w:color="auto"/>
              <w:left w:val="nil"/>
              <w:bottom w:val="single" w:sz="4" w:space="0" w:color="auto"/>
              <w:right w:val="single" w:sz="4" w:space="0" w:color="auto"/>
            </w:tcBorders>
            <w:noWrap/>
            <w:vAlign w:val="center"/>
          </w:tcPr>
          <w:p w14:paraId="2619359E" w14:textId="77777777" w:rsidR="007B49F7" w:rsidRPr="00FD0D14" w:rsidRDefault="007B49F7" w:rsidP="002856C4">
            <w:pPr>
              <w:spacing w:before="60" w:after="0" w:line="312" w:lineRule="auto"/>
              <w:jc w:val="center"/>
              <w:rPr>
                <w:rFonts w:ascii="Times New Roman" w:eastAsia="Times New Roman" w:hAnsi="Times New Roman" w:cs="Times New Roman"/>
                <w:sz w:val="24"/>
                <w:szCs w:val="24"/>
                <w:lang w:eastAsia="ru-RU"/>
              </w:rPr>
            </w:pPr>
            <w:r w:rsidRPr="00FD0D14">
              <w:rPr>
                <w:rFonts w:ascii="Times New Roman" w:eastAsia="Times New Roman" w:hAnsi="Times New Roman" w:cs="Times New Roman"/>
                <w:sz w:val="24"/>
                <w:szCs w:val="24"/>
                <w:lang w:eastAsia="ru-RU"/>
              </w:rPr>
              <w:t>2 996 211</w:t>
            </w:r>
          </w:p>
        </w:tc>
      </w:tr>
      <w:tr w:rsidR="007B49F7" w:rsidRPr="00BD5A90" w14:paraId="259FE1E6" w14:textId="77777777" w:rsidTr="00944CB1">
        <w:trPr>
          <w:trHeight w:val="469"/>
        </w:trPr>
        <w:tc>
          <w:tcPr>
            <w:tcW w:w="1140" w:type="dxa"/>
            <w:tcBorders>
              <w:top w:val="single" w:sz="4" w:space="0" w:color="auto"/>
              <w:left w:val="single" w:sz="4" w:space="0" w:color="auto"/>
              <w:bottom w:val="single" w:sz="4" w:space="0" w:color="auto"/>
              <w:right w:val="single" w:sz="4" w:space="0" w:color="auto"/>
            </w:tcBorders>
            <w:vAlign w:val="center"/>
          </w:tcPr>
          <w:p w14:paraId="713181C8" w14:textId="77777777" w:rsidR="007B49F7" w:rsidRPr="00FD0D14" w:rsidRDefault="007B49F7" w:rsidP="00D03A4F">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p>
        </w:tc>
        <w:tc>
          <w:tcPr>
            <w:tcW w:w="1628" w:type="dxa"/>
            <w:tcBorders>
              <w:left w:val="nil"/>
              <w:bottom w:val="single" w:sz="4" w:space="0" w:color="auto"/>
              <w:right w:val="single" w:sz="4" w:space="0" w:color="auto"/>
            </w:tcBorders>
            <w:noWrap/>
            <w:vAlign w:val="center"/>
          </w:tcPr>
          <w:p w14:paraId="134CD02B" w14:textId="77777777" w:rsidR="007B49F7" w:rsidRPr="00017AC5" w:rsidRDefault="007B49F7" w:rsidP="002856C4">
            <w:pPr>
              <w:spacing w:before="60" w:after="0" w:line="312" w:lineRule="auto"/>
              <w:jc w:val="center"/>
              <w:rPr>
                <w:rFonts w:ascii="Times New Roman" w:eastAsia="Times New Roman" w:hAnsi="Times New Roman" w:cs="Times New Roman"/>
                <w:sz w:val="24"/>
                <w:szCs w:val="24"/>
                <w:lang w:eastAsia="ru-RU"/>
              </w:rPr>
            </w:pPr>
            <w:r w:rsidRPr="00017AC5">
              <w:rPr>
                <w:rFonts w:ascii="Times New Roman" w:eastAsia="Times New Roman" w:hAnsi="Times New Roman" w:cs="Times New Roman"/>
                <w:sz w:val="24"/>
                <w:szCs w:val="24"/>
                <w:lang w:eastAsia="ru-RU"/>
              </w:rPr>
              <w:t>145</w:t>
            </w:r>
            <w:r>
              <w:rPr>
                <w:rFonts w:ascii="Times New Roman" w:eastAsia="Times New Roman" w:hAnsi="Times New Roman" w:cs="Times New Roman"/>
                <w:sz w:val="24"/>
                <w:szCs w:val="24"/>
                <w:lang w:eastAsia="ru-RU"/>
              </w:rPr>
              <w:t> </w:t>
            </w:r>
            <w:r w:rsidRPr="00017AC5">
              <w:rPr>
                <w:rFonts w:ascii="Times New Roman" w:eastAsia="Times New Roman" w:hAnsi="Times New Roman" w:cs="Times New Roman"/>
                <w:sz w:val="24"/>
                <w:szCs w:val="24"/>
                <w:lang w:eastAsia="ru-RU"/>
              </w:rPr>
              <w:t>557</w:t>
            </w:r>
            <w:r>
              <w:rPr>
                <w:rFonts w:ascii="Times New Roman" w:eastAsia="Times New Roman" w:hAnsi="Times New Roman" w:cs="Times New Roman"/>
                <w:sz w:val="24"/>
                <w:szCs w:val="24"/>
                <w:lang w:eastAsia="ru-RU"/>
              </w:rPr>
              <w:t xml:space="preserve"> </w:t>
            </w:r>
            <w:r w:rsidRPr="00017AC5">
              <w:rPr>
                <w:rFonts w:ascii="Times New Roman" w:eastAsia="Times New Roman" w:hAnsi="Times New Roman" w:cs="Times New Roman"/>
                <w:sz w:val="24"/>
                <w:szCs w:val="24"/>
                <w:lang w:eastAsia="ru-RU"/>
              </w:rPr>
              <w:t>576</w:t>
            </w:r>
          </w:p>
        </w:tc>
        <w:tc>
          <w:tcPr>
            <w:tcW w:w="1509" w:type="dxa"/>
            <w:tcBorders>
              <w:left w:val="nil"/>
              <w:bottom w:val="single" w:sz="4" w:space="0" w:color="auto"/>
              <w:right w:val="single" w:sz="4" w:space="0" w:color="auto"/>
            </w:tcBorders>
            <w:noWrap/>
            <w:vAlign w:val="center"/>
          </w:tcPr>
          <w:p w14:paraId="04DAB480" w14:textId="77777777" w:rsidR="007B49F7" w:rsidRPr="00017AC5" w:rsidRDefault="007B49F7" w:rsidP="002856C4">
            <w:pPr>
              <w:spacing w:before="60" w:after="0" w:line="312" w:lineRule="auto"/>
              <w:jc w:val="center"/>
              <w:rPr>
                <w:rFonts w:ascii="Times New Roman" w:eastAsia="Times New Roman" w:hAnsi="Times New Roman" w:cs="Times New Roman"/>
                <w:sz w:val="24"/>
                <w:szCs w:val="24"/>
                <w:lang w:val="en-US" w:eastAsia="ru-RU"/>
              </w:rPr>
            </w:pPr>
            <w:r w:rsidRPr="00017AC5">
              <w:rPr>
                <w:rFonts w:ascii="Times New Roman" w:eastAsia="Times New Roman" w:hAnsi="Times New Roman" w:cs="Times New Roman"/>
                <w:sz w:val="24"/>
                <w:szCs w:val="24"/>
                <w:lang w:val="en-US" w:eastAsia="ru-RU"/>
              </w:rPr>
              <w:t>30 328 283</w:t>
            </w:r>
          </w:p>
        </w:tc>
        <w:tc>
          <w:tcPr>
            <w:tcW w:w="1395" w:type="dxa"/>
            <w:tcBorders>
              <w:left w:val="nil"/>
              <w:bottom w:val="single" w:sz="4" w:space="0" w:color="auto"/>
              <w:right w:val="single" w:sz="4" w:space="0" w:color="auto"/>
            </w:tcBorders>
            <w:noWrap/>
            <w:vAlign w:val="center"/>
          </w:tcPr>
          <w:p w14:paraId="554B52CA" w14:textId="77777777" w:rsidR="007B49F7" w:rsidRPr="00017AC5" w:rsidRDefault="007B49F7" w:rsidP="002856C4">
            <w:pPr>
              <w:spacing w:before="60" w:after="0" w:line="312" w:lineRule="auto"/>
              <w:jc w:val="center"/>
              <w:rPr>
                <w:rFonts w:ascii="Times New Roman" w:eastAsia="Times New Roman" w:hAnsi="Times New Roman" w:cs="Times New Roman"/>
                <w:sz w:val="24"/>
                <w:szCs w:val="24"/>
                <w:lang w:val="en-US" w:eastAsia="ru-RU"/>
              </w:rPr>
            </w:pPr>
            <w:r w:rsidRPr="00017AC5">
              <w:rPr>
                <w:rFonts w:ascii="Times New Roman" w:eastAsia="Times New Roman" w:hAnsi="Times New Roman" w:cs="Times New Roman"/>
                <w:sz w:val="24"/>
                <w:szCs w:val="24"/>
                <w:lang w:val="en-US" w:eastAsia="ru-RU"/>
              </w:rPr>
              <w:t>7 597 669</w:t>
            </w:r>
          </w:p>
        </w:tc>
        <w:tc>
          <w:tcPr>
            <w:tcW w:w="1395" w:type="dxa"/>
            <w:tcBorders>
              <w:left w:val="nil"/>
              <w:bottom w:val="single" w:sz="4" w:space="0" w:color="auto"/>
              <w:right w:val="single" w:sz="4" w:space="0" w:color="auto"/>
            </w:tcBorders>
            <w:noWrap/>
            <w:vAlign w:val="center"/>
          </w:tcPr>
          <w:p w14:paraId="45B3E361" w14:textId="77777777" w:rsidR="007B49F7" w:rsidRPr="00017AC5" w:rsidRDefault="007B49F7" w:rsidP="002856C4">
            <w:pPr>
              <w:spacing w:before="60" w:after="0" w:line="312" w:lineRule="auto"/>
              <w:jc w:val="center"/>
              <w:rPr>
                <w:rFonts w:ascii="Times New Roman" w:eastAsia="Times New Roman" w:hAnsi="Times New Roman" w:cs="Times New Roman"/>
                <w:sz w:val="24"/>
                <w:szCs w:val="24"/>
                <w:lang w:val="en-US" w:eastAsia="ru-RU"/>
              </w:rPr>
            </w:pPr>
            <w:r w:rsidRPr="00017AC5">
              <w:rPr>
                <w:rFonts w:ascii="Times New Roman" w:eastAsia="Times New Roman" w:hAnsi="Times New Roman" w:cs="Times New Roman"/>
                <w:sz w:val="24"/>
                <w:szCs w:val="24"/>
                <w:lang w:val="en-US" w:eastAsia="ru-RU"/>
              </w:rPr>
              <w:t>3 826 092</w:t>
            </w:r>
          </w:p>
        </w:tc>
        <w:tc>
          <w:tcPr>
            <w:tcW w:w="1395" w:type="dxa"/>
            <w:tcBorders>
              <w:left w:val="nil"/>
              <w:bottom w:val="single" w:sz="4" w:space="0" w:color="auto"/>
              <w:right w:val="single" w:sz="4" w:space="0" w:color="auto"/>
            </w:tcBorders>
            <w:noWrap/>
            <w:vAlign w:val="center"/>
          </w:tcPr>
          <w:p w14:paraId="2126CB78" w14:textId="77777777" w:rsidR="007B49F7" w:rsidRPr="00017AC5" w:rsidRDefault="007B49F7" w:rsidP="002856C4">
            <w:pPr>
              <w:spacing w:before="60" w:after="0" w:line="312" w:lineRule="auto"/>
              <w:jc w:val="center"/>
              <w:rPr>
                <w:rFonts w:ascii="Times New Roman" w:eastAsia="Times New Roman" w:hAnsi="Times New Roman" w:cs="Times New Roman"/>
                <w:sz w:val="24"/>
                <w:szCs w:val="24"/>
                <w:lang w:val="en-US" w:eastAsia="ru-RU"/>
              </w:rPr>
            </w:pPr>
            <w:r w:rsidRPr="00017AC5">
              <w:rPr>
                <w:rFonts w:ascii="Times New Roman" w:eastAsia="Times New Roman" w:hAnsi="Times New Roman" w:cs="Times New Roman"/>
                <w:sz w:val="24"/>
                <w:szCs w:val="24"/>
                <w:lang w:val="en-US" w:eastAsia="ru-RU"/>
              </w:rPr>
              <w:t>15 893 786</w:t>
            </w:r>
          </w:p>
        </w:tc>
        <w:tc>
          <w:tcPr>
            <w:tcW w:w="1391" w:type="dxa"/>
            <w:tcBorders>
              <w:left w:val="nil"/>
              <w:bottom w:val="single" w:sz="4" w:space="0" w:color="auto"/>
              <w:right w:val="single" w:sz="4" w:space="0" w:color="auto"/>
            </w:tcBorders>
            <w:noWrap/>
            <w:vAlign w:val="center"/>
          </w:tcPr>
          <w:p w14:paraId="68587C27" w14:textId="77777777" w:rsidR="007B49F7" w:rsidRPr="00017AC5" w:rsidRDefault="007B49F7" w:rsidP="002856C4">
            <w:pPr>
              <w:spacing w:before="60" w:after="0" w:line="312" w:lineRule="auto"/>
              <w:jc w:val="center"/>
              <w:rPr>
                <w:rFonts w:ascii="Times New Roman" w:eastAsia="Times New Roman" w:hAnsi="Times New Roman" w:cs="Times New Roman"/>
                <w:sz w:val="24"/>
                <w:szCs w:val="24"/>
                <w:lang w:val="en-US" w:eastAsia="ru-RU"/>
              </w:rPr>
            </w:pPr>
            <w:r w:rsidRPr="00017AC5">
              <w:rPr>
                <w:rFonts w:ascii="Times New Roman" w:eastAsia="Times New Roman" w:hAnsi="Times New Roman" w:cs="Times New Roman"/>
                <w:sz w:val="24"/>
                <w:szCs w:val="24"/>
                <w:lang w:val="en-US" w:eastAsia="ru-RU"/>
              </w:rPr>
              <w:t>3 010 736</w:t>
            </w:r>
          </w:p>
        </w:tc>
      </w:tr>
    </w:tbl>
    <w:p w14:paraId="01AA0675" w14:textId="77777777" w:rsidR="00D03A4F" w:rsidRPr="00BD5A90" w:rsidRDefault="00D03A4F" w:rsidP="00D03A4F">
      <w:pPr>
        <w:spacing w:after="0" w:line="240" w:lineRule="auto"/>
        <w:rPr>
          <w:rFonts w:ascii="Times New Roman" w:eastAsia="Times New Roman" w:hAnsi="Times New Roman" w:cs="Times New Roman"/>
          <w:sz w:val="28"/>
          <w:szCs w:val="28"/>
          <w:highlight w:val="yellow"/>
          <w:lang w:eastAsia="ru-RU"/>
        </w:rPr>
      </w:pPr>
    </w:p>
    <w:p w14:paraId="72C65812" w14:textId="77777777" w:rsidR="00D03A4F" w:rsidRPr="00BD5A90" w:rsidRDefault="00D03A4F" w:rsidP="00D03A4F">
      <w:pPr>
        <w:spacing w:after="0" w:line="240" w:lineRule="auto"/>
        <w:rPr>
          <w:rFonts w:ascii="Times New Roman" w:eastAsia="Times New Roman" w:hAnsi="Times New Roman" w:cs="Times New Roman"/>
          <w:sz w:val="28"/>
          <w:szCs w:val="28"/>
          <w:highlight w:val="yellow"/>
          <w:lang w:eastAsia="ru-RU"/>
        </w:rPr>
      </w:pPr>
    </w:p>
    <w:p w14:paraId="3E2D92C4" w14:textId="77777777" w:rsidR="00D03A4F" w:rsidRPr="009106B6" w:rsidRDefault="00D03A4F" w:rsidP="00D03A4F">
      <w:pPr>
        <w:spacing w:after="0" w:line="240" w:lineRule="auto"/>
        <w:jc w:val="right"/>
        <w:rPr>
          <w:rFonts w:ascii="Times New Roman" w:eastAsia="Times New Roman" w:hAnsi="Times New Roman" w:cs="Times New Roman"/>
          <w:sz w:val="26"/>
          <w:szCs w:val="26"/>
          <w:lang w:eastAsia="ru-RU"/>
        </w:rPr>
      </w:pPr>
      <w:r w:rsidRPr="009106B6">
        <w:rPr>
          <w:rFonts w:ascii="Times New Roman" w:eastAsia="Times New Roman" w:hAnsi="Times New Roman" w:cs="Times New Roman"/>
          <w:sz w:val="26"/>
          <w:szCs w:val="26"/>
          <w:lang w:eastAsia="ru-RU"/>
        </w:rPr>
        <w:t>Таблица</w:t>
      </w:r>
      <w:r w:rsidRPr="009106B6">
        <w:rPr>
          <w:rFonts w:ascii="Times New Roman" w:eastAsia="Times New Roman" w:hAnsi="Times New Roman" w:cs="Times New Roman"/>
          <w:sz w:val="28"/>
          <w:szCs w:val="28"/>
          <w:lang w:eastAsia="ru-RU"/>
        </w:rPr>
        <w:t> </w:t>
      </w:r>
      <w:r w:rsidRPr="009106B6">
        <w:rPr>
          <w:rFonts w:ascii="Times New Roman" w:eastAsia="Times New Roman" w:hAnsi="Times New Roman" w:cs="Times New Roman"/>
          <w:sz w:val="26"/>
          <w:szCs w:val="26"/>
          <w:lang w:eastAsia="ru-RU"/>
        </w:rPr>
        <w:t>2</w:t>
      </w:r>
    </w:p>
    <w:p w14:paraId="756441B1" w14:textId="77777777" w:rsidR="00FD0D14" w:rsidRPr="009106B6" w:rsidRDefault="00FD0D14" w:rsidP="00D03A4F">
      <w:pPr>
        <w:spacing w:after="0" w:line="240" w:lineRule="auto"/>
        <w:jc w:val="right"/>
        <w:rPr>
          <w:rFonts w:ascii="Times New Roman" w:eastAsia="Times New Roman" w:hAnsi="Times New Roman" w:cs="Times New Roman"/>
          <w:sz w:val="26"/>
          <w:szCs w:val="26"/>
          <w:lang w:eastAsia="ru-RU"/>
        </w:rPr>
      </w:pPr>
    </w:p>
    <w:p w14:paraId="223910FF" w14:textId="77777777" w:rsidR="00D03A4F" w:rsidRPr="009106B6"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6A3AB8">
        <w:rPr>
          <w:rFonts w:ascii="Times New Roman" w:eastAsia="Times New Roman" w:hAnsi="Times New Roman" w:cs="Times New Roman"/>
          <w:b/>
          <w:bCs/>
          <w:color w:val="000000"/>
          <w:sz w:val="26"/>
          <w:szCs w:val="26"/>
          <w:lang w:eastAsia="ru-RU"/>
        </w:rPr>
        <w:t>Численность населения по районам Крайнего Севера и приравненным к ним местностям на начало года</w:t>
      </w:r>
    </w:p>
    <w:p w14:paraId="024DDD7C" w14:textId="77777777" w:rsidR="00D03A4F" w:rsidRPr="009106B6"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p>
    <w:tbl>
      <w:tblPr>
        <w:tblW w:w="0" w:type="auto"/>
        <w:tblInd w:w="108" w:type="dxa"/>
        <w:tblLayout w:type="fixed"/>
        <w:tblLook w:val="00A0" w:firstRow="1" w:lastRow="0" w:firstColumn="1" w:lastColumn="0" w:noHBand="0" w:noVBand="0"/>
      </w:tblPr>
      <w:tblGrid>
        <w:gridCol w:w="1140"/>
        <w:gridCol w:w="1628"/>
        <w:gridCol w:w="1509"/>
        <w:gridCol w:w="1395"/>
        <w:gridCol w:w="1395"/>
        <w:gridCol w:w="1395"/>
        <w:gridCol w:w="1391"/>
      </w:tblGrid>
      <w:tr w:rsidR="00D03A4F" w:rsidRPr="009106B6" w14:paraId="0DCA4338" w14:textId="77777777" w:rsidTr="00944CB1">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14:paraId="00367F2B" w14:textId="77777777"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14:paraId="45B9530A" w14:textId="77777777"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14:paraId="71B37CDE" w14:textId="77777777"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из них в возрасте, лет:</w:t>
            </w:r>
          </w:p>
        </w:tc>
      </w:tr>
      <w:tr w:rsidR="00D03A4F" w:rsidRPr="009106B6" w14:paraId="11222D3A" w14:textId="77777777" w:rsidTr="00944CB1">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14:paraId="2381647B" w14:textId="77777777" w:rsidR="00D03A4F" w:rsidRPr="009106B6"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628" w:type="dxa"/>
            <w:vMerge/>
            <w:tcBorders>
              <w:top w:val="single" w:sz="4" w:space="0" w:color="auto"/>
              <w:left w:val="single" w:sz="4" w:space="0" w:color="auto"/>
              <w:bottom w:val="single" w:sz="4" w:space="0" w:color="000000"/>
              <w:right w:val="single" w:sz="4" w:space="0" w:color="auto"/>
            </w:tcBorders>
            <w:vAlign w:val="center"/>
          </w:tcPr>
          <w:p w14:paraId="35F891CF" w14:textId="77777777" w:rsidR="00D03A4F" w:rsidRPr="009106B6"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509" w:type="dxa"/>
            <w:vMerge w:val="restart"/>
            <w:tcBorders>
              <w:top w:val="nil"/>
              <w:left w:val="single" w:sz="4" w:space="0" w:color="auto"/>
              <w:bottom w:val="single" w:sz="4" w:space="0" w:color="000000"/>
              <w:right w:val="nil"/>
            </w:tcBorders>
            <w:vAlign w:val="center"/>
          </w:tcPr>
          <w:p w14:paraId="1BFE84D9" w14:textId="77777777"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14:paraId="0E3B39B9" w14:textId="77777777"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в том числе:</w:t>
            </w:r>
          </w:p>
        </w:tc>
      </w:tr>
      <w:tr w:rsidR="00D03A4F" w:rsidRPr="009106B6" w14:paraId="0FA6D85A" w14:textId="77777777" w:rsidTr="00944CB1">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14:paraId="672DB454" w14:textId="77777777" w:rsidR="00D03A4F" w:rsidRPr="009106B6"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628" w:type="dxa"/>
            <w:vMerge/>
            <w:tcBorders>
              <w:top w:val="single" w:sz="4" w:space="0" w:color="auto"/>
              <w:left w:val="single" w:sz="4" w:space="0" w:color="auto"/>
              <w:bottom w:val="single" w:sz="4" w:space="0" w:color="000000"/>
              <w:right w:val="single" w:sz="4" w:space="0" w:color="auto"/>
            </w:tcBorders>
            <w:vAlign w:val="center"/>
          </w:tcPr>
          <w:p w14:paraId="5F6BE570" w14:textId="77777777" w:rsidR="00D03A4F" w:rsidRPr="009106B6"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509" w:type="dxa"/>
            <w:vMerge/>
            <w:tcBorders>
              <w:top w:val="nil"/>
              <w:left w:val="single" w:sz="4" w:space="0" w:color="auto"/>
              <w:bottom w:val="single" w:sz="4" w:space="0" w:color="000000"/>
              <w:right w:val="nil"/>
            </w:tcBorders>
            <w:vAlign w:val="center"/>
          </w:tcPr>
          <w:p w14:paraId="494DDB3E" w14:textId="77777777" w:rsidR="00D03A4F" w:rsidRPr="009106B6"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395" w:type="dxa"/>
            <w:tcBorders>
              <w:top w:val="nil"/>
              <w:left w:val="single" w:sz="4" w:space="0" w:color="auto"/>
              <w:bottom w:val="single" w:sz="4" w:space="0" w:color="auto"/>
              <w:right w:val="single" w:sz="4" w:space="0" w:color="auto"/>
            </w:tcBorders>
            <w:vAlign w:val="center"/>
          </w:tcPr>
          <w:p w14:paraId="4AE0C665" w14:textId="77777777"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0-4</w:t>
            </w:r>
          </w:p>
        </w:tc>
        <w:tc>
          <w:tcPr>
            <w:tcW w:w="1395" w:type="dxa"/>
            <w:tcBorders>
              <w:top w:val="nil"/>
              <w:left w:val="nil"/>
              <w:bottom w:val="single" w:sz="4" w:space="0" w:color="auto"/>
              <w:right w:val="single" w:sz="4" w:space="0" w:color="auto"/>
            </w:tcBorders>
            <w:vAlign w:val="center"/>
          </w:tcPr>
          <w:p w14:paraId="2C27E79C" w14:textId="77777777"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5-6</w:t>
            </w:r>
          </w:p>
        </w:tc>
        <w:tc>
          <w:tcPr>
            <w:tcW w:w="1395" w:type="dxa"/>
            <w:tcBorders>
              <w:top w:val="nil"/>
              <w:left w:val="nil"/>
              <w:bottom w:val="single" w:sz="4" w:space="0" w:color="auto"/>
              <w:right w:val="single" w:sz="4" w:space="0" w:color="auto"/>
            </w:tcBorders>
            <w:vAlign w:val="center"/>
          </w:tcPr>
          <w:p w14:paraId="11ED1A20" w14:textId="77777777"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7-15</w:t>
            </w:r>
          </w:p>
        </w:tc>
        <w:tc>
          <w:tcPr>
            <w:tcW w:w="1391" w:type="dxa"/>
            <w:tcBorders>
              <w:top w:val="nil"/>
              <w:left w:val="nil"/>
              <w:bottom w:val="single" w:sz="4" w:space="0" w:color="auto"/>
              <w:right w:val="single" w:sz="4" w:space="0" w:color="auto"/>
            </w:tcBorders>
            <w:vAlign w:val="center"/>
          </w:tcPr>
          <w:p w14:paraId="500FF7EB" w14:textId="77777777"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16-17</w:t>
            </w:r>
          </w:p>
        </w:tc>
      </w:tr>
      <w:tr w:rsidR="003521F6" w:rsidRPr="009106B6" w14:paraId="030FDC60" w14:textId="77777777" w:rsidTr="00944CB1">
        <w:trPr>
          <w:trHeight w:val="300"/>
        </w:trPr>
        <w:tc>
          <w:tcPr>
            <w:tcW w:w="1140" w:type="dxa"/>
            <w:tcBorders>
              <w:top w:val="single" w:sz="4" w:space="0" w:color="auto"/>
              <w:left w:val="single" w:sz="4" w:space="0" w:color="auto"/>
              <w:bottom w:val="single" w:sz="4" w:space="0" w:color="auto"/>
              <w:right w:val="single" w:sz="4" w:space="0" w:color="auto"/>
            </w:tcBorders>
            <w:vAlign w:val="center"/>
          </w:tcPr>
          <w:p w14:paraId="0EC6B057" w14:textId="77777777" w:rsidR="003521F6" w:rsidRPr="009106B6" w:rsidRDefault="003521F6" w:rsidP="003521F6">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2018</w:t>
            </w:r>
          </w:p>
        </w:tc>
        <w:tc>
          <w:tcPr>
            <w:tcW w:w="1628" w:type="dxa"/>
            <w:tcBorders>
              <w:top w:val="single" w:sz="4" w:space="0" w:color="auto"/>
              <w:left w:val="nil"/>
              <w:bottom w:val="single" w:sz="4" w:space="0" w:color="auto"/>
              <w:right w:val="single" w:sz="4" w:space="0" w:color="auto"/>
            </w:tcBorders>
            <w:noWrap/>
            <w:vAlign w:val="center"/>
          </w:tcPr>
          <w:p w14:paraId="7767C38E" w14:textId="77777777" w:rsidR="003521F6" w:rsidRPr="009106B6" w:rsidRDefault="003521F6" w:rsidP="003521F6">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9 920 891</w:t>
            </w:r>
          </w:p>
        </w:tc>
        <w:tc>
          <w:tcPr>
            <w:tcW w:w="1509" w:type="dxa"/>
            <w:tcBorders>
              <w:top w:val="single" w:sz="4" w:space="0" w:color="auto"/>
              <w:left w:val="nil"/>
              <w:bottom w:val="single" w:sz="4" w:space="0" w:color="auto"/>
              <w:right w:val="single" w:sz="4" w:space="0" w:color="auto"/>
            </w:tcBorders>
            <w:noWrap/>
            <w:vAlign w:val="center"/>
          </w:tcPr>
          <w:p w14:paraId="62C62980" w14:textId="77777777" w:rsidR="003521F6" w:rsidRPr="009106B6" w:rsidRDefault="003521F6" w:rsidP="003521F6">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2 357 361</w:t>
            </w:r>
          </w:p>
        </w:tc>
        <w:tc>
          <w:tcPr>
            <w:tcW w:w="1395" w:type="dxa"/>
            <w:tcBorders>
              <w:top w:val="single" w:sz="4" w:space="0" w:color="auto"/>
              <w:left w:val="nil"/>
              <w:bottom w:val="single" w:sz="4" w:space="0" w:color="auto"/>
              <w:right w:val="single" w:sz="4" w:space="0" w:color="auto"/>
            </w:tcBorders>
            <w:noWrap/>
            <w:vAlign w:val="center"/>
          </w:tcPr>
          <w:p w14:paraId="67330AB5" w14:textId="77777777" w:rsidR="003521F6" w:rsidRPr="009106B6" w:rsidRDefault="003521F6" w:rsidP="003521F6">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706 678</w:t>
            </w:r>
          </w:p>
        </w:tc>
        <w:tc>
          <w:tcPr>
            <w:tcW w:w="1395" w:type="dxa"/>
            <w:tcBorders>
              <w:top w:val="single" w:sz="4" w:space="0" w:color="auto"/>
              <w:left w:val="nil"/>
              <w:bottom w:val="single" w:sz="4" w:space="0" w:color="auto"/>
              <w:right w:val="single" w:sz="4" w:space="0" w:color="auto"/>
            </w:tcBorders>
            <w:noWrap/>
            <w:vAlign w:val="center"/>
          </w:tcPr>
          <w:p w14:paraId="2C2EC195" w14:textId="77777777" w:rsidR="003521F6" w:rsidRPr="009106B6" w:rsidRDefault="003521F6" w:rsidP="003521F6">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293 173</w:t>
            </w:r>
          </w:p>
        </w:tc>
        <w:tc>
          <w:tcPr>
            <w:tcW w:w="1395" w:type="dxa"/>
            <w:tcBorders>
              <w:top w:val="single" w:sz="4" w:space="0" w:color="auto"/>
              <w:left w:val="nil"/>
              <w:bottom w:val="single" w:sz="4" w:space="0" w:color="auto"/>
              <w:right w:val="single" w:sz="4" w:space="0" w:color="auto"/>
            </w:tcBorders>
            <w:noWrap/>
            <w:vAlign w:val="center"/>
          </w:tcPr>
          <w:p w14:paraId="18C54653" w14:textId="77777777" w:rsidR="003521F6" w:rsidRPr="009106B6" w:rsidRDefault="003521F6" w:rsidP="003521F6">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1 146 154</w:t>
            </w:r>
          </w:p>
        </w:tc>
        <w:tc>
          <w:tcPr>
            <w:tcW w:w="1391" w:type="dxa"/>
            <w:tcBorders>
              <w:top w:val="single" w:sz="4" w:space="0" w:color="auto"/>
              <w:left w:val="nil"/>
              <w:bottom w:val="single" w:sz="4" w:space="0" w:color="auto"/>
              <w:right w:val="single" w:sz="4" w:space="0" w:color="auto"/>
            </w:tcBorders>
            <w:noWrap/>
            <w:vAlign w:val="center"/>
          </w:tcPr>
          <w:p w14:paraId="6327A5C8" w14:textId="77777777" w:rsidR="003521F6" w:rsidRPr="009106B6" w:rsidRDefault="003521F6" w:rsidP="003521F6">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211 356</w:t>
            </w:r>
          </w:p>
        </w:tc>
      </w:tr>
      <w:tr w:rsidR="003521F6" w:rsidRPr="009106B6" w14:paraId="6B2B2073" w14:textId="77777777" w:rsidTr="00944CB1">
        <w:trPr>
          <w:trHeight w:val="300"/>
        </w:trPr>
        <w:tc>
          <w:tcPr>
            <w:tcW w:w="1140" w:type="dxa"/>
            <w:tcBorders>
              <w:top w:val="single" w:sz="4" w:space="0" w:color="auto"/>
              <w:left w:val="single" w:sz="4" w:space="0" w:color="auto"/>
              <w:bottom w:val="single" w:sz="4" w:space="0" w:color="auto"/>
              <w:right w:val="single" w:sz="4" w:space="0" w:color="auto"/>
            </w:tcBorders>
            <w:vAlign w:val="center"/>
          </w:tcPr>
          <w:p w14:paraId="128605E0" w14:textId="77777777" w:rsidR="003521F6" w:rsidRPr="009106B6" w:rsidRDefault="003521F6" w:rsidP="003521F6">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2019</w:t>
            </w:r>
          </w:p>
        </w:tc>
        <w:tc>
          <w:tcPr>
            <w:tcW w:w="1628" w:type="dxa"/>
            <w:tcBorders>
              <w:top w:val="single" w:sz="4" w:space="0" w:color="auto"/>
              <w:left w:val="nil"/>
              <w:bottom w:val="single" w:sz="4" w:space="0" w:color="auto"/>
              <w:right w:val="single" w:sz="4" w:space="0" w:color="auto"/>
            </w:tcBorders>
            <w:noWrap/>
            <w:vAlign w:val="center"/>
          </w:tcPr>
          <w:p w14:paraId="3A9C224B" w14:textId="77777777" w:rsidR="003521F6" w:rsidRPr="009106B6" w:rsidRDefault="003521F6" w:rsidP="003521F6">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9 882 950</w:t>
            </w:r>
          </w:p>
        </w:tc>
        <w:tc>
          <w:tcPr>
            <w:tcW w:w="1509" w:type="dxa"/>
            <w:tcBorders>
              <w:top w:val="single" w:sz="4" w:space="0" w:color="auto"/>
              <w:left w:val="nil"/>
              <w:bottom w:val="single" w:sz="4" w:space="0" w:color="auto"/>
              <w:right w:val="single" w:sz="4" w:space="0" w:color="auto"/>
            </w:tcBorders>
            <w:noWrap/>
            <w:vAlign w:val="center"/>
          </w:tcPr>
          <w:p w14:paraId="12DC5F68" w14:textId="77777777" w:rsidR="003521F6" w:rsidRPr="009106B6" w:rsidRDefault="003521F6" w:rsidP="003521F6">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2 360 097</w:t>
            </w:r>
          </w:p>
        </w:tc>
        <w:tc>
          <w:tcPr>
            <w:tcW w:w="1395" w:type="dxa"/>
            <w:tcBorders>
              <w:top w:val="single" w:sz="4" w:space="0" w:color="auto"/>
              <w:left w:val="nil"/>
              <w:bottom w:val="single" w:sz="4" w:space="0" w:color="auto"/>
              <w:right w:val="single" w:sz="4" w:space="0" w:color="auto"/>
            </w:tcBorders>
            <w:noWrap/>
            <w:vAlign w:val="center"/>
          </w:tcPr>
          <w:p w14:paraId="2B44C930" w14:textId="77777777" w:rsidR="003521F6" w:rsidRPr="009106B6" w:rsidRDefault="003521F6" w:rsidP="003521F6">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674 595</w:t>
            </w:r>
          </w:p>
        </w:tc>
        <w:tc>
          <w:tcPr>
            <w:tcW w:w="1395" w:type="dxa"/>
            <w:tcBorders>
              <w:top w:val="single" w:sz="4" w:space="0" w:color="auto"/>
              <w:left w:val="nil"/>
              <w:bottom w:val="single" w:sz="4" w:space="0" w:color="auto"/>
              <w:right w:val="single" w:sz="4" w:space="0" w:color="auto"/>
            </w:tcBorders>
            <w:noWrap/>
            <w:vAlign w:val="center"/>
          </w:tcPr>
          <w:p w14:paraId="08E6F6F4" w14:textId="77777777" w:rsidR="003521F6" w:rsidRPr="009106B6" w:rsidRDefault="003521F6" w:rsidP="003521F6">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298 047</w:t>
            </w:r>
          </w:p>
        </w:tc>
        <w:tc>
          <w:tcPr>
            <w:tcW w:w="1395" w:type="dxa"/>
            <w:tcBorders>
              <w:top w:val="single" w:sz="4" w:space="0" w:color="auto"/>
              <w:left w:val="nil"/>
              <w:bottom w:val="single" w:sz="4" w:space="0" w:color="auto"/>
              <w:right w:val="single" w:sz="4" w:space="0" w:color="auto"/>
            </w:tcBorders>
            <w:noWrap/>
            <w:vAlign w:val="center"/>
          </w:tcPr>
          <w:p w14:paraId="1F9CB12E" w14:textId="77777777" w:rsidR="003521F6" w:rsidRPr="009106B6" w:rsidRDefault="003521F6" w:rsidP="003521F6">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1 167 065</w:t>
            </w:r>
          </w:p>
        </w:tc>
        <w:tc>
          <w:tcPr>
            <w:tcW w:w="1391" w:type="dxa"/>
            <w:tcBorders>
              <w:top w:val="single" w:sz="4" w:space="0" w:color="auto"/>
              <w:left w:val="nil"/>
              <w:bottom w:val="single" w:sz="4" w:space="0" w:color="auto"/>
              <w:right w:val="single" w:sz="4" w:space="0" w:color="auto"/>
            </w:tcBorders>
            <w:noWrap/>
            <w:vAlign w:val="center"/>
          </w:tcPr>
          <w:p w14:paraId="5945F093" w14:textId="77777777" w:rsidR="003521F6" w:rsidRPr="009106B6" w:rsidRDefault="003521F6" w:rsidP="003521F6">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220 390</w:t>
            </w:r>
          </w:p>
        </w:tc>
      </w:tr>
      <w:tr w:rsidR="003521F6" w:rsidRPr="009106B6" w14:paraId="40602870" w14:textId="77777777" w:rsidTr="00944CB1">
        <w:trPr>
          <w:trHeight w:val="300"/>
        </w:trPr>
        <w:tc>
          <w:tcPr>
            <w:tcW w:w="1140" w:type="dxa"/>
            <w:tcBorders>
              <w:top w:val="single" w:sz="4" w:space="0" w:color="auto"/>
              <w:left w:val="single" w:sz="4" w:space="0" w:color="auto"/>
              <w:bottom w:val="single" w:sz="4" w:space="0" w:color="auto"/>
              <w:right w:val="single" w:sz="4" w:space="0" w:color="auto"/>
            </w:tcBorders>
            <w:vAlign w:val="center"/>
          </w:tcPr>
          <w:p w14:paraId="7088CEF1" w14:textId="77777777" w:rsidR="003521F6" w:rsidRPr="009106B6" w:rsidRDefault="003521F6" w:rsidP="003521F6">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2020</w:t>
            </w:r>
          </w:p>
        </w:tc>
        <w:tc>
          <w:tcPr>
            <w:tcW w:w="1628" w:type="dxa"/>
            <w:tcBorders>
              <w:top w:val="single" w:sz="4" w:space="0" w:color="auto"/>
              <w:left w:val="nil"/>
              <w:bottom w:val="single" w:sz="4" w:space="0" w:color="auto"/>
              <w:right w:val="single" w:sz="4" w:space="0" w:color="auto"/>
            </w:tcBorders>
            <w:noWrap/>
            <w:vAlign w:val="center"/>
          </w:tcPr>
          <w:p w14:paraId="4B77D46F" w14:textId="77777777" w:rsidR="003521F6" w:rsidRPr="009106B6" w:rsidRDefault="003521F6" w:rsidP="003521F6">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9 858 531</w:t>
            </w:r>
          </w:p>
        </w:tc>
        <w:tc>
          <w:tcPr>
            <w:tcW w:w="1509" w:type="dxa"/>
            <w:tcBorders>
              <w:top w:val="single" w:sz="4" w:space="0" w:color="auto"/>
              <w:left w:val="nil"/>
              <w:bottom w:val="single" w:sz="4" w:space="0" w:color="auto"/>
              <w:right w:val="single" w:sz="4" w:space="0" w:color="auto"/>
            </w:tcBorders>
            <w:noWrap/>
            <w:vAlign w:val="center"/>
          </w:tcPr>
          <w:p w14:paraId="4F1D7AEB" w14:textId="77777777" w:rsidR="003521F6" w:rsidRPr="009106B6" w:rsidRDefault="003521F6" w:rsidP="003521F6">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2 357 026</w:t>
            </w:r>
          </w:p>
        </w:tc>
        <w:tc>
          <w:tcPr>
            <w:tcW w:w="1395" w:type="dxa"/>
            <w:tcBorders>
              <w:top w:val="single" w:sz="4" w:space="0" w:color="auto"/>
              <w:left w:val="nil"/>
              <w:bottom w:val="single" w:sz="4" w:space="0" w:color="auto"/>
              <w:right w:val="single" w:sz="4" w:space="0" w:color="auto"/>
            </w:tcBorders>
            <w:noWrap/>
            <w:vAlign w:val="center"/>
          </w:tcPr>
          <w:p w14:paraId="390165FC" w14:textId="77777777" w:rsidR="003521F6" w:rsidRPr="009106B6" w:rsidRDefault="003521F6" w:rsidP="003521F6">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634 962</w:t>
            </w:r>
          </w:p>
        </w:tc>
        <w:tc>
          <w:tcPr>
            <w:tcW w:w="1395" w:type="dxa"/>
            <w:tcBorders>
              <w:top w:val="single" w:sz="4" w:space="0" w:color="auto"/>
              <w:left w:val="nil"/>
              <w:bottom w:val="single" w:sz="4" w:space="0" w:color="auto"/>
              <w:right w:val="single" w:sz="4" w:space="0" w:color="auto"/>
            </w:tcBorders>
            <w:noWrap/>
            <w:vAlign w:val="center"/>
          </w:tcPr>
          <w:p w14:paraId="05B23B82" w14:textId="77777777" w:rsidR="003521F6" w:rsidRPr="009106B6" w:rsidRDefault="003521F6" w:rsidP="003521F6">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296 506</w:t>
            </w:r>
          </w:p>
        </w:tc>
        <w:tc>
          <w:tcPr>
            <w:tcW w:w="1395" w:type="dxa"/>
            <w:tcBorders>
              <w:top w:val="single" w:sz="4" w:space="0" w:color="auto"/>
              <w:left w:val="nil"/>
              <w:bottom w:val="single" w:sz="4" w:space="0" w:color="auto"/>
              <w:right w:val="single" w:sz="4" w:space="0" w:color="auto"/>
            </w:tcBorders>
            <w:noWrap/>
            <w:vAlign w:val="center"/>
          </w:tcPr>
          <w:p w14:paraId="21A19E3B" w14:textId="77777777" w:rsidR="003521F6" w:rsidRPr="009106B6" w:rsidRDefault="003521F6" w:rsidP="003521F6">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1 193 856</w:t>
            </w:r>
          </w:p>
        </w:tc>
        <w:tc>
          <w:tcPr>
            <w:tcW w:w="1391" w:type="dxa"/>
            <w:tcBorders>
              <w:top w:val="single" w:sz="4" w:space="0" w:color="auto"/>
              <w:left w:val="nil"/>
              <w:bottom w:val="single" w:sz="4" w:space="0" w:color="auto"/>
              <w:right w:val="single" w:sz="4" w:space="0" w:color="auto"/>
            </w:tcBorders>
            <w:noWrap/>
            <w:vAlign w:val="center"/>
          </w:tcPr>
          <w:p w14:paraId="503FF328" w14:textId="77777777" w:rsidR="003521F6" w:rsidRPr="009106B6" w:rsidRDefault="003521F6" w:rsidP="003521F6">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231 702</w:t>
            </w:r>
          </w:p>
        </w:tc>
      </w:tr>
      <w:tr w:rsidR="003521F6" w:rsidRPr="009106B6" w14:paraId="739E10EB" w14:textId="77777777" w:rsidTr="00944CB1">
        <w:trPr>
          <w:trHeight w:val="469"/>
        </w:trPr>
        <w:tc>
          <w:tcPr>
            <w:tcW w:w="1140" w:type="dxa"/>
            <w:tcBorders>
              <w:top w:val="single" w:sz="4" w:space="0" w:color="auto"/>
              <w:left w:val="single" w:sz="4" w:space="0" w:color="auto"/>
              <w:bottom w:val="single" w:sz="4" w:space="0" w:color="auto"/>
              <w:right w:val="single" w:sz="4" w:space="0" w:color="auto"/>
            </w:tcBorders>
            <w:vAlign w:val="center"/>
          </w:tcPr>
          <w:p w14:paraId="43FC2189" w14:textId="77777777" w:rsidR="003521F6" w:rsidRPr="009106B6" w:rsidRDefault="003521F6" w:rsidP="003521F6">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2021</w:t>
            </w:r>
          </w:p>
        </w:tc>
        <w:tc>
          <w:tcPr>
            <w:tcW w:w="1628" w:type="dxa"/>
            <w:tcBorders>
              <w:top w:val="single" w:sz="4" w:space="0" w:color="auto"/>
              <w:left w:val="nil"/>
              <w:bottom w:val="single" w:sz="4" w:space="0" w:color="auto"/>
              <w:right w:val="single" w:sz="4" w:space="0" w:color="auto"/>
            </w:tcBorders>
            <w:noWrap/>
            <w:vAlign w:val="center"/>
          </w:tcPr>
          <w:p w14:paraId="3A9F5E3C" w14:textId="77777777" w:rsidR="003521F6" w:rsidRPr="009106B6" w:rsidRDefault="003521F6" w:rsidP="003521F6">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9 833 560</w:t>
            </w:r>
          </w:p>
        </w:tc>
        <w:tc>
          <w:tcPr>
            <w:tcW w:w="1509" w:type="dxa"/>
            <w:tcBorders>
              <w:top w:val="single" w:sz="4" w:space="0" w:color="auto"/>
              <w:left w:val="nil"/>
              <w:bottom w:val="single" w:sz="4" w:space="0" w:color="auto"/>
              <w:right w:val="single" w:sz="4" w:space="0" w:color="auto"/>
            </w:tcBorders>
            <w:noWrap/>
            <w:vAlign w:val="center"/>
          </w:tcPr>
          <w:p w14:paraId="0EEEF8FE" w14:textId="77777777" w:rsidR="003521F6" w:rsidRPr="009106B6" w:rsidRDefault="003521F6" w:rsidP="003521F6">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2 347 006</w:t>
            </w:r>
          </w:p>
        </w:tc>
        <w:tc>
          <w:tcPr>
            <w:tcW w:w="1395" w:type="dxa"/>
            <w:tcBorders>
              <w:top w:val="single" w:sz="4" w:space="0" w:color="auto"/>
              <w:left w:val="nil"/>
              <w:bottom w:val="single" w:sz="4" w:space="0" w:color="auto"/>
              <w:right w:val="single" w:sz="4" w:space="0" w:color="auto"/>
            </w:tcBorders>
            <w:noWrap/>
            <w:vAlign w:val="center"/>
          </w:tcPr>
          <w:p w14:paraId="00D2EFE9" w14:textId="77777777" w:rsidR="003521F6" w:rsidRPr="009106B6" w:rsidRDefault="003521F6" w:rsidP="003521F6">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597 521</w:t>
            </w:r>
          </w:p>
        </w:tc>
        <w:tc>
          <w:tcPr>
            <w:tcW w:w="1395" w:type="dxa"/>
            <w:tcBorders>
              <w:top w:val="single" w:sz="4" w:space="0" w:color="auto"/>
              <w:left w:val="nil"/>
              <w:bottom w:val="single" w:sz="4" w:space="0" w:color="auto"/>
              <w:right w:val="single" w:sz="4" w:space="0" w:color="auto"/>
            </w:tcBorders>
            <w:noWrap/>
            <w:vAlign w:val="center"/>
          </w:tcPr>
          <w:p w14:paraId="374A63A2" w14:textId="77777777" w:rsidR="003521F6" w:rsidRPr="009106B6" w:rsidRDefault="003521F6" w:rsidP="003521F6">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293 092</w:t>
            </w:r>
          </w:p>
        </w:tc>
        <w:tc>
          <w:tcPr>
            <w:tcW w:w="1395" w:type="dxa"/>
            <w:tcBorders>
              <w:top w:val="single" w:sz="4" w:space="0" w:color="auto"/>
              <w:left w:val="nil"/>
              <w:bottom w:val="single" w:sz="4" w:space="0" w:color="auto"/>
              <w:right w:val="single" w:sz="4" w:space="0" w:color="auto"/>
            </w:tcBorders>
            <w:noWrap/>
            <w:vAlign w:val="center"/>
          </w:tcPr>
          <w:p w14:paraId="3BDD1B37" w14:textId="77777777" w:rsidR="003521F6" w:rsidRPr="009106B6" w:rsidRDefault="003521F6" w:rsidP="003521F6">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1 218 904</w:t>
            </w:r>
          </w:p>
        </w:tc>
        <w:tc>
          <w:tcPr>
            <w:tcW w:w="1391" w:type="dxa"/>
            <w:tcBorders>
              <w:top w:val="single" w:sz="4" w:space="0" w:color="auto"/>
              <w:left w:val="nil"/>
              <w:bottom w:val="single" w:sz="4" w:space="0" w:color="auto"/>
              <w:right w:val="single" w:sz="4" w:space="0" w:color="auto"/>
            </w:tcBorders>
            <w:noWrap/>
            <w:vAlign w:val="center"/>
          </w:tcPr>
          <w:p w14:paraId="2C69D85C" w14:textId="77777777" w:rsidR="003521F6" w:rsidRPr="009106B6" w:rsidRDefault="003521F6" w:rsidP="003521F6">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237 489</w:t>
            </w:r>
          </w:p>
        </w:tc>
      </w:tr>
      <w:tr w:rsidR="003521F6" w:rsidRPr="00BD5A90" w14:paraId="03FDE1AB" w14:textId="77777777" w:rsidTr="00944CB1">
        <w:trPr>
          <w:trHeight w:val="469"/>
        </w:trPr>
        <w:tc>
          <w:tcPr>
            <w:tcW w:w="1140" w:type="dxa"/>
            <w:tcBorders>
              <w:top w:val="single" w:sz="4" w:space="0" w:color="auto"/>
              <w:left w:val="single" w:sz="4" w:space="0" w:color="auto"/>
              <w:bottom w:val="single" w:sz="4" w:space="0" w:color="auto"/>
              <w:right w:val="single" w:sz="4" w:space="0" w:color="auto"/>
            </w:tcBorders>
            <w:vAlign w:val="center"/>
          </w:tcPr>
          <w:p w14:paraId="11FBFCDD" w14:textId="77777777" w:rsidR="003521F6" w:rsidRPr="009106B6" w:rsidRDefault="003521F6" w:rsidP="003521F6">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p>
        </w:tc>
        <w:tc>
          <w:tcPr>
            <w:tcW w:w="1628" w:type="dxa"/>
            <w:tcBorders>
              <w:left w:val="nil"/>
              <w:bottom w:val="single" w:sz="4" w:space="0" w:color="auto"/>
              <w:right w:val="single" w:sz="4" w:space="0" w:color="auto"/>
            </w:tcBorders>
            <w:noWrap/>
            <w:vAlign w:val="center"/>
          </w:tcPr>
          <w:p w14:paraId="0B205692" w14:textId="77777777" w:rsidR="003521F6" w:rsidRPr="009106B6" w:rsidRDefault="005E2FDC" w:rsidP="003521F6">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9 805 795</w:t>
            </w:r>
          </w:p>
        </w:tc>
        <w:tc>
          <w:tcPr>
            <w:tcW w:w="1509" w:type="dxa"/>
            <w:tcBorders>
              <w:left w:val="nil"/>
              <w:bottom w:val="single" w:sz="4" w:space="0" w:color="auto"/>
              <w:right w:val="single" w:sz="4" w:space="0" w:color="auto"/>
            </w:tcBorders>
            <w:noWrap/>
            <w:vAlign w:val="center"/>
          </w:tcPr>
          <w:p w14:paraId="72A5DFED" w14:textId="77777777" w:rsidR="003521F6" w:rsidRPr="009106B6" w:rsidRDefault="005E2FDC" w:rsidP="003521F6">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2 327 409</w:t>
            </w:r>
          </w:p>
        </w:tc>
        <w:tc>
          <w:tcPr>
            <w:tcW w:w="1395" w:type="dxa"/>
            <w:tcBorders>
              <w:left w:val="nil"/>
              <w:bottom w:val="single" w:sz="4" w:space="0" w:color="auto"/>
              <w:right w:val="single" w:sz="4" w:space="0" w:color="auto"/>
            </w:tcBorders>
            <w:noWrap/>
            <w:vAlign w:val="center"/>
          </w:tcPr>
          <w:p w14:paraId="608C6C79" w14:textId="77777777" w:rsidR="003521F6" w:rsidRPr="009106B6" w:rsidRDefault="005E2FDC" w:rsidP="003521F6">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562 144</w:t>
            </w:r>
          </w:p>
        </w:tc>
        <w:tc>
          <w:tcPr>
            <w:tcW w:w="1395" w:type="dxa"/>
            <w:tcBorders>
              <w:left w:val="nil"/>
              <w:bottom w:val="single" w:sz="4" w:space="0" w:color="auto"/>
              <w:right w:val="single" w:sz="4" w:space="0" w:color="auto"/>
            </w:tcBorders>
            <w:noWrap/>
            <w:vAlign w:val="center"/>
          </w:tcPr>
          <w:p w14:paraId="062A5506" w14:textId="77777777" w:rsidR="003521F6" w:rsidRPr="009106B6" w:rsidRDefault="005E2FDC" w:rsidP="003521F6">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282 827</w:t>
            </w:r>
          </w:p>
        </w:tc>
        <w:tc>
          <w:tcPr>
            <w:tcW w:w="1395" w:type="dxa"/>
            <w:tcBorders>
              <w:left w:val="nil"/>
              <w:bottom w:val="single" w:sz="4" w:space="0" w:color="auto"/>
              <w:right w:val="single" w:sz="4" w:space="0" w:color="auto"/>
            </w:tcBorders>
            <w:noWrap/>
            <w:vAlign w:val="center"/>
          </w:tcPr>
          <w:p w14:paraId="210C6C59" w14:textId="77777777" w:rsidR="003521F6" w:rsidRPr="009106B6" w:rsidRDefault="005E2FDC" w:rsidP="003521F6">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1 246 328</w:t>
            </w:r>
          </w:p>
        </w:tc>
        <w:tc>
          <w:tcPr>
            <w:tcW w:w="1391" w:type="dxa"/>
            <w:tcBorders>
              <w:left w:val="nil"/>
              <w:bottom w:val="single" w:sz="4" w:space="0" w:color="auto"/>
              <w:right w:val="single" w:sz="4" w:space="0" w:color="auto"/>
            </w:tcBorders>
            <w:noWrap/>
            <w:vAlign w:val="center"/>
          </w:tcPr>
          <w:p w14:paraId="74A54967" w14:textId="77777777" w:rsidR="003521F6" w:rsidRPr="009106B6" w:rsidRDefault="005E2FDC" w:rsidP="003521F6">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236 110</w:t>
            </w:r>
          </w:p>
        </w:tc>
      </w:tr>
    </w:tbl>
    <w:p w14:paraId="3DC70A4E" w14:textId="77777777" w:rsidR="00D03A4F" w:rsidRPr="00BD5A90" w:rsidRDefault="00D03A4F" w:rsidP="00D03A4F">
      <w:pPr>
        <w:spacing w:after="0" w:line="240" w:lineRule="auto"/>
        <w:rPr>
          <w:rFonts w:ascii="Times New Roman" w:eastAsia="Times New Roman" w:hAnsi="Times New Roman" w:cs="Times New Roman"/>
          <w:sz w:val="28"/>
          <w:szCs w:val="28"/>
          <w:highlight w:val="yellow"/>
          <w:lang w:eastAsia="ru-RU"/>
        </w:rPr>
      </w:pPr>
    </w:p>
    <w:p w14:paraId="17E31A1F" w14:textId="77777777" w:rsidR="00D03A4F" w:rsidRPr="00BD5A90" w:rsidRDefault="00D03A4F" w:rsidP="00D03A4F">
      <w:pPr>
        <w:spacing w:after="0" w:line="240" w:lineRule="auto"/>
        <w:rPr>
          <w:rFonts w:ascii="Times New Roman" w:eastAsia="Times New Roman" w:hAnsi="Times New Roman" w:cs="Times New Roman"/>
          <w:sz w:val="28"/>
          <w:szCs w:val="28"/>
          <w:highlight w:val="yellow"/>
          <w:lang w:eastAsia="ru-RU"/>
        </w:rPr>
      </w:pPr>
    </w:p>
    <w:p w14:paraId="7E6DCB2F" w14:textId="77777777" w:rsidR="00D03A4F" w:rsidRPr="009106B6" w:rsidRDefault="00D03A4F" w:rsidP="00D03A4F">
      <w:pPr>
        <w:spacing w:after="0" w:line="240" w:lineRule="auto"/>
        <w:jc w:val="right"/>
        <w:rPr>
          <w:rFonts w:ascii="Times New Roman" w:eastAsia="Times New Roman" w:hAnsi="Times New Roman" w:cs="Times New Roman"/>
          <w:bCs/>
          <w:color w:val="000000"/>
          <w:sz w:val="26"/>
          <w:szCs w:val="26"/>
          <w:lang w:eastAsia="ru-RU"/>
        </w:rPr>
      </w:pPr>
      <w:r w:rsidRPr="009106B6">
        <w:rPr>
          <w:rFonts w:ascii="Times New Roman" w:eastAsia="Times New Roman" w:hAnsi="Times New Roman" w:cs="Times New Roman"/>
          <w:bCs/>
          <w:color w:val="000000"/>
          <w:sz w:val="26"/>
          <w:szCs w:val="26"/>
          <w:lang w:eastAsia="ru-RU"/>
        </w:rPr>
        <w:t>Таблица</w:t>
      </w:r>
      <w:r w:rsidRPr="009106B6">
        <w:rPr>
          <w:rFonts w:ascii="Times New Roman" w:eastAsia="Times New Roman" w:hAnsi="Times New Roman" w:cs="Times New Roman"/>
          <w:sz w:val="28"/>
          <w:szCs w:val="28"/>
          <w:lang w:eastAsia="ru-RU"/>
        </w:rPr>
        <w:t> </w:t>
      </w:r>
      <w:r w:rsidRPr="009106B6">
        <w:rPr>
          <w:rFonts w:ascii="Times New Roman" w:eastAsia="Times New Roman" w:hAnsi="Times New Roman" w:cs="Times New Roman"/>
          <w:bCs/>
          <w:color w:val="000000"/>
          <w:sz w:val="26"/>
          <w:szCs w:val="26"/>
          <w:lang w:eastAsia="ru-RU"/>
        </w:rPr>
        <w:t>3</w:t>
      </w:r>
    </w:p>
    <w:p w14:paraId="5518C58E" w14:textId="77777777" w:rsidR="00FD0D14" w:rsidRPr="009106B6" w:rsidRDefault="00FD0D14" w:rsidP="00D03A4F">
      <w:pPr>
        <w:spacing w:after="0" w:line="240" w:lineRule="auto"/>
        <w:jc w:val="right"/>
        <w:rPr>
          <w:rFonts w:ascii="Times New Roman" w:eastAsia="Times New Roman" w:hAnsi="Times New Roman" w:cs="Times New Roman"/>
          <w:bCs/>
          <w:color w:val="000000"/>
          <w:sz w:val="26"/>
          <w:szCs w:val="26"/>
          <w:lang w:eastAsia="ru-RU"/>
        </w:rPr>
      </w:pPr>
    </w:p>
    <w:p w14:paraId="325FBF9D" w14:textId="77777777" w:rsidR="00D03A4F" w:rsidRPr="009106B6"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6A3AB8">
        <w:rPr>
          <w:rFonts w:ascii="Times New Roman" w:eastAsia="Times New Roman" w:hAnsi="Times New Roman" w:cs="Times New Roman"/>
          <w:b/>
          <w:bCs/>
          <w:color w:val="000000"/>
          <w:sz w:val="26"/>
          <w:szCs w:val="26"/>
          <w:lang w:eastAsia="ru-RU"/>
        </w:rPr>
        <w:t>Численность женщин репродуктивного возраста по районам Крайнего Севера и приравненным к ним местностям на начало года</w:t>
      </w:r>
    </w:p>
    <w:p w14:paraId="1E46BA83" w14:textId="77777777" w:rsidR="00614FA8" w:rsidRPr="009106B6" w:rsidRDefault="00614FA8" w:rsidP="00D03A4F">
      <w:pPr>
        <w:spacing w:after="0" w:line="240" w:lineRule="auto"/>
        <w:jc w:val="center"/>
        <w:rPr>
          <w:rFonts w:ascii="Times New Roman" w:eastAsia="Times New Roman" w:hAnsi="Times New Roman" w:cs="Times New Roman"/>
          <w:sz w:val="28"/>
          <w:szCs w:val="28"/>
          <w:lang w:eastAsia="ru-RU"/>
        </w:rPr>
      </w:pPr>
    </w:p>
    <w:tbl>
      <w:tblPr>
        <w:tblW w:w="10474" w:type="dxa"/>
        <w:tblInd w:w="-34" w:type="dxa"/>
        <w:tblLook w:val="00A0" w:firstRow="1" w:lastRow="0" w:firstColumn="1" w:lastColumn="0" w:noHBand="0" w:noVBand="0"/>
      </w:tblPr>
      <w:tblGrid>
        <w:gridCol w:w="822"/>
        <w:gridCol w:w="1408"/>
        <w:gridCol w:w="1177"/>
        <w:gridCol w:w="1177"/>
        <w:gridCol w:w="1178"/>
        <w:gridCol w:w="1178"/>
        <w:gridCol w:w="1178"/>
        <w:gridCol w:w="1178"/>
        <w:gridCol w:w="1178"/>
      </w:tblGrid>
      <w:tr w:rsidR="00D03A4F" w:rsidRPr="009106B6" w14:paraId="05092014" w14:textId="77777777" w:rsidTr="00944CB1">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1A6DEA37" w14:textId="77777777"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14:paraId="05BF036B" w14:textId="77777777"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Число женщин в возрасте</w:t>
            </w:r>
          </w:p>
          <w:p w14:paraId="0BF2E5A2" w14:textId="77777777"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14:paraId="00602F74" w14:textId="77777777"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в том числе в возрасте, лет:</w:t>
            </w:r>
          </w:p>
        </w:tc>
      </w:tr>
      <w:tr w:rsidR="00D03A4F" w:rsidRPr="009106B6" w14:paraId="33D714B1" w14:textId="77777777" w:rsidTr="00944CB1">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14:paraId="4A2055D1" w14:textId="77777777"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p>
        </w:tc>
        <w:tc>
          <w:tcPr>
            <w:tcW w:w="1408" w:type="dxa"/>
            <w:vMerge/>
            <w:tcBorders>
              <w:top w:val="single" w:sz="4" w:space="0" w:color="auto"/>
              <w:left w:val="single" w:sz="4" w:space="0" w:color="auto"/>
              <w:bottom w:val="single" w:sz="4" w:space="0" w:color="000000"/>
              <w:right w:val="single" w:sz="4" w:space="0" w:color="auto"/>
            </w:tcBorders>
            <w:vAlign w:val="center"/>
          </w:tcPr>
          <w:p w14:paraId="5588FDC4" w14:textId="77777777"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vAlign w:val="center"/>
          </w:tcPr>
          <w:p w14:paraId="037C1CCD" w14:textId="77777777"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15-19</w:t>
            </w:r>
          </w:p>
        </w:tc>
        <w:tc>
          <w:tcPr>
            <w:tcW w:w="0" w:type="auto"/>
            <w:tcBorders>
              <w:top w:val="nil"/>
              <w:left w:val="nil"/>
              <w:bottom w:val="single" w:sz="4" w:space="0" w:color="auto"/>
              <w:right w:val="single" w:sz="4" w:space="0" w:color="auto"/>
            </w:tcBorders>
            <w:vAlign w:val="center"/>
          </w:tcPr>
          <w:p w14:paraId="4B699AB8" w14:textId="77777777"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20-24</w:t>
            </w:r>
          </w:p>
        </w:tc>
        <w:tc>
          <w:tcPr>
            <w:tcW w:w="0" w:type="auto"/>
            <w:tcBorders>
              <w:top w:val="nil"/>
              <w:left w:val="nil"/>
              <w:bottom w:val="single" w:sz="4" w:space="0" w:color="auto"/>
              <w:right w:val="single" w:sz="4" w:space="0" w:color="auto"/>
            </w:tcBorders>
            <w:vAlign w:val="center"/>
          </w:tcPr>
          <w:p w14:paraId="2D61722A" w14:textId="77777777"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25-29</w:t>
            </w:r>
          </w:p>
        </w:tc>
        <w:tc>
          <w:tcPr>
            <w:tcW w:w="0" w:type="auto"/>
            <w:tcBorders>
              <w:top w:val="nil"/>
              <w:left w:val="nil"/>
              <w:bottom w:val="single" w:sz="4" w:space="0" w:color="auto"/>
              <w:right w:val="single" w:sz="4" w:space="0" w:color="auto"/>
            </w:tcBorders>
            <w:vAlign w:val="center"/>
          </w:tcPr>
          <w:p w14:paraId="0E658FA0" w14:textId="77777777"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30-34</w:t>
            </w:r>
          </w:p>
        </w:tc>
        <w:tc>
          <w:tcPr>
            <w:tcW w:w="0" w:type="auto"/>
            <w:tcBorders>
              <w:top w:val="nil"/>
              <w:left w:val="nil"/>
              <w:bottom w:val="single" w:sz="4" w:space="0" w:color="auto"/>
              <w:right w:val="single" w:sz="4" w:space="0" w:color="auto"/>
            </w:tcBorders>
            <w:vAlign w:val="center"/>
          </w:tcPr>
          <w:p w14:paraId="6943A2D9" w14:textId="77777777"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35-39</w:t>
            </w:r>
          </w:p>
        </w:tc>
        <w:tc>
          <w:tcPr>
            <w:tcW w:w="0" w:type="auto"/>
            <w:tcBorders>
              <w:top w:val="nil"/>
              <w:left w:val="nil"/>
              <w:bottom w:val="single" w:sz="4" w:space="0" w:color="auto"/>
              <w:right w:val="single" w:sz="4" w:space="0" w:color="auto"/>
            </w:tcBorders>
            <w:vAlign w:val="center"/>
          </w:tcPr>
          <w:p w14:paraId="62CB41BC" w14:textId="77777777"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40-44</w:t>
            </w:r>
          </w:p>
        </w:tc>
        <w:tc>
          <w:tcPr>
            <w:tcW w:w="0" w:type="auto"/>
            <w:tcBorders>
              <w:top w:val="nil"/>
              <w:left w:val="nil"/>
              <w:bottom w:val="single" w:sz="4" w:space="0" w:color="auto"/>
              <w:right w:val="single" w:sz="4" w:space="0" w:color="auto"/>
            </w:tcBorders>
            <w:vAlign w:val="center"/>
          </w:tcPr>
          <w:p w14:paraId="2AA5C082" w14:textId="77777777" w:rsidR="00D03A4F" w:rsidRPr="009106B6"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45-49</w:t>
            </w:r>
          </w:p>
        </w:tc>
      </w:tr>
      <w:tr w:rsidR="003521F6" w:rsidRPr="009106B6" w14:paraId="3EBDDAAB" w14:textId="77777777"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14:paraId="5D419F7E" w14:textId="77777777" w:rsidR="003521F6" w:rsidRPr="009106B6" w:rsidRDefault="003521F6" w:rsidP="003521F6">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2018</w:t>
            </w:r>
          </w:p>
        </w:tc>
        <w:tc>
          <w:tcPr>
            <w:tcW w:w="1408" w:type="dxa"/>
            <w:tcBorders>
              <w:top w:val="single" w:sz="4" w:space="0" w:color="auto"/>
              <w:left w:val="nil"/>
              <w:bottom w:val="single" w:sz="4" w:space="0" w:color="auto"/>
              <w:right w:val="single" w:sz="4" w:space="0" w:color="auto"/>
            </w:tcBorders>
            <w:noWrap/>
            <w:vAlign w:val="center"/>
          </w:tcPr>
          <w:p w14:paraId="399092C5" w14:textId="77777777" w:rsidR="003521F6" w:rsidRPr="009106B6" w:rsidRDefault="003521F6" w:rsidP="003521F6">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2 372 607</w:t>
            </w:r>
          </w:p>
        </w:tc>
        <w:tc>
          <w:tcPr>
            <w:tcW w:w="0" w:type="auto"/>
            <w:tcBorders>
              <w:top w:val="single" w:sz="4" w:space="0" w:color="auto"/>
              <w:left w:val="nil"/>
              <w:bottom w:val="single" w:sz="4" w:space="0" w:color="auto"/>
              <w:right w:val="single" w:sz="4" w:space="0" w:color="auto"/>
            </w:tcBorders>
            <w:noWrap/>
            <w:vAlign w:val="center"/>
          </w:tcPr>
          <w:p w14:paraId="7A5B5BEA" w14:textId="77777777" w:rsidR="003521F6" w:rsidRPr="009106B6" w:rsidRDefault="003521F6" w:rsidP="003521F6">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249 771</w:t>
            </w:r>
          </w:p>
        </w:tc>
        <w:tc>
          <w:tcPr>
            <w:tcW w:w="0" w:type="auto"/>
            <w:tcBorders>
              <w:top w:val="single" w:sz="4" w:space="0" w:color="auto"/>
              <w:left w:val="nil"/>
              <w:bottom w:val="single" w:sz="4" w:space="0" w:color="auto"/>
              <w:right w:val="single" w:sz="4" w:space="0" w:color="auto"/>
            </w:tcBorders>
            <w:noWrap/>
            <w:vAlign w:val="center"/>
          </w:tcPr>
          <w:p w14:paraId="1DE223BC" w14:textId="77777777" w:rsidR="003521F6" w:rsidRPr="009106B6" w:rsidRDefault="003521F6" w:rsidP="003521F6">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249 771</w:t>
            </w:r>
          </w:p>
        </w:tc>
        <w:tc>
          <w:tcPr>
            <w:tcW w:w="0" w:type="auto"/>
            <w:tcBorders>
              <w:top w:val="single" w:sz="4" w:space="0" w:color="auto"/>
              <w:left w:val="nil"/>
              <w:bottom w:val="single" w:sz="4" w:space="0" w:color="auto"/>
              <w:right w:val="single" w:sz="4" w:space="0" w:color="auto"/>
            </w:tcBorders>
            <w:noWrap/>
            <w:vAlign w:val="center"/>
          </w:tcPr>
          <w:p w14:paraId="0781A35D" w14:textId="77777777" w:rsidR="003521F6" w:rsidRPr="009106B6" w:rsidRDefault="003521F6" w:rsidP="003521F6">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312 043</w:t>
            </w:r>
          </w:p>
        </w:tc>
        <w:tc>
          <w:tcPr>
            <w:tcW w:w="0" w:type="auto"/>
            <w:tcBorders>
              <w:top w:val="single" w:sz="4" w:space="0" w:color="auto"/>
              <w:left w:val="nil"/>
              <w:bottom w:val="single" w:sz="4" w:space="0" w:color="auto"/>
              <w:right w:val="single" w:sz="4" w:space="0" w:color="auto"/>
            </w:tcBorders>
            <w:noWrap/>
            <w:vAlign w:val="center"/>
          </w:tcPr>
          <w:p w14:paraId="1364E5E1" w14:textId="77777777" w:rsidR="003521F6" w:rsidRPr="009106B6" w:rsidRDefault="003521F6" w:rsidP="003521F6">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420 921</w:t>
            </w:r>
          </w:p>
        </w:tc>
        <w:tc>
          <w:tcPr>
            <w:tcW w:w="0" w:type="auto"/>
            <w:tcBorders>
              <w:top w:val="single" w:sz="4" w:space="0" w:color="auto"/>
              <w:left w:val="nil"/>
              <w:bottom w:val="single" w:sz="4" w:space="0" w:color="auto"/>
              <w:right w:val="single" w:sz="4" w:space="0" w:color="auto"/>
            </w:tcBorders>
            <w:noWrap/>
            <w:vAlign w:val="center"/>
          </w:tcPr>
          <w:p w14:paraId="20D399F8" w14:textId="77777777" w:rsidR="003521F6" w:rsidRPr="009106B6" w:rsidRDefault="003521F6" w:rsidP="003521F6">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409 061</w:t>
            </w:r>
          </w:p>
        </w:tc>
        <w:tc>
          <w:tcPr>
            <w:tcW w:w="0" w:type="auto"/>
            <w:tcBorders>
              <w:top w:val="single" w:sz="4" w:space="0" w:color="auto"/>
              <w:left w:val="nil"/>
              <w:bottom w:val="single" w:sz="4" w:space="0" w:color="auto"/>
              <w:right w:val="single" w:sz="4" w:space="0" w:color="auto"/>
            </w:tcBorders>
            <w:noWrap/>
            <w:vAlign w:val="center"/>
          </w:tcPr>
          <w:p w14:paraId="70C67F88" w14:textId="77777777" w:rsidR="003521F6" w:rsidRPr="009106B6" w:rsidRDefault="003521F6" w:rsidP="003521F6">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392 435</w:t>
            </w:r>
          </w:p>
        </w:tc>
        <w:tc>
          <w:tcPr>
            <w:tcW w:w="0" w:type="auto"/>
            <w:tcBorders>
              <w:top w:val="single" w:sz="4" w:space="0" w:color="auto"/>
              <w:left w:val="nil"/>
              <w:bottom w:val="single" w:sz="4" w:space="0" w:color="auto"/>
              <w:right w:val="single" w:sz="4" w:space="0" w:color="auto"/>
            </w:tcBorders>
            <w:noWrap/>
            <w:vAlign w:val="center"/>
          </w:tcPr>
          <w:p w14:paraId="0A176657" w14:textId="77777777" w:rsidR="003521F6" w:rsidRPr="009106B6" w:rsidRDefault="003521F6" w:rsidP="003521F6">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348 193</w:t>
            </w:r>
          </w:p>
        </w:tc>
      </w:tr>
      <w:tr w:rsidR="003521F6" w:rsidRPr="009106B6" w14:paraId="3EB56556" w14:textId="77777777"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14:paraId="147A9B67" w14:textId="77777777" w:rsidR="003521F6" w:rsidRPr="009106B6" w:rsidRDefault="003521F6" w:rsidP="003521F6">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2019</w:t>
            </w:r>
          </w:p>
        </w:tc>
        <w:tc>
          <w:tcPr>
            <w:tcW w:w="1408" w:type="dxa"/>
            <w:tcBorders>
              <w:top w:val="single" w:sz="4" w:space="0" w:color="auto"/>
              <w:left w:val="nil"/>
              <w:bottom w:val="single" w:sz="4" w:space="0" w:color="auto"/>
              <w:right w:val="single" w:sz="4" w:space="0" w:color="auto"/>
            </w:tcBorders>
            <w:noWrap/>
            <w:vAlign w:val="center"/>
          </w:tcPr>
          <w:p w14:paraId="3EA88A9F" w14:textId="77777777" w:rsidR="003521F6" w:rsidRPr="009106B6" w:rsidRDefault="003521F6" w:rsidP="003521F6">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2 349 838</w:t>
            </w:r>
          </w:p>
        </w:tc>
        <w:tc>
          <w:tcPr>
            <w:tcW w:w="0" w:type="auto"/>
            <w:tcBorders>
              <w:top w:val="single" w:sz="4" w:space="0" w:color="auto"/>
              <w:left w:val="nil"/>
              <w:bottom w:val="single" w:sz="4" w:space="0" w:color="auto"/>
              <w:right w:val="single" w:sz="4" w:space="0" w:color="auto"/>
            </w:tcBorders>
            <w:noWrap/>
            <w:vAlign w:val="center"/>
          </w:tcPr>
          <w:p w14:paraId="62DAC52F" w14:textId="77777777" w:rsidR="003521F6" w:rsidRPr="009106B6" w:rsidRDefault="003521F6" w:rsidP="003521F6">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256 076</w:t>
            </w:r>
          </w:p>
        </w:tc>
        <w:tc>
          <w:tcPr>
            <w:tcW w:w="0" w:type="auto"/>
            <w:tcBorders>
              <w:top w:val="single" w:sz="4" w:space="0" w:color="auto"/>
              <w:left w:val="nil"/>
              <w:bottom w:val="single" w:sz="4" w:space="0" w:color="auto"/>
              <w:right w:val="single" w:sz="4" w:space="0" w:color="auto"/>
            </w:tcBorders>
            <w:noWrap/>
            <w:vAlign w:val="center"/>
          </w:tcPr>
          <w:p w14:paraId="7DCB8A97" w14:textId="77777777" w:rsidR="003521F6" w:rsidRPr="009106B6" w:rsidRDefault="003521F6" w:rsidP="003521F6">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256 076</w:t>
            </w:r>
          </w:p>
        </w:tc>
        <w:tc>
          <w:tcPr>
            <w:tcW w:w="0" w:type="auto"/>
            <w:tcBorders>
              <w:top w:val="single" w:sz="4" w:space="0" w:color="auto"/>
              <w:left w:val="nil"/>
              <w:bottom w:val="single" w:sz="4" w:space="0" w:color="auto"/>
              <w:right w:val="single" w:sz="4" w:space="0" w:color="auto"/>
            </w:tcBorders>
            <w:noWrap/>
            <w:vAlign w:val="center"/>
          </w:tcPr>
          <w:p w14:paraId="0490BFFD" w14:textId="77777777" w:rsidR="003521F6" w:rsidRPr="009106B6" w:rsidRDefault="003521F6" w:rsidP="003521F6">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283 421</w:t>
            </w:r>
          </w:p>
        </w:tc>
        <w:tc>
          <w:tcPr>
            <w:tcW w:w="0" w:type="auto"/>
            <w:tcBorders>
              <w:top w:val="single" w:sz="4" w:space="0" w:color="auto"/>
              <w:left w:val="nil"/>
              <w:bottom w:val="single" w:sz="4" w:space="0" w:color="auto"/>
              <w:right w:val="single" w:sz="4" w:space="0" w:color="auto"/>
            </w:tcBorders>
            <w:noWrap/>
            <w:vAlign w:val="center"/>
          </w:tcPr>
          <w:p w14:paraId="40220D93" w14:textId="77777777" w:rsidR="003521F6" w:rsidRPr="009106B6" w:rsidRDefault="003521F6" w:rsidP="003521F6">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407 850</w:t>
            </w:r>
          </w:p>
        </w:tc>
        <w:tc>
          <w:tcPr>
            <w:tcW w:w="0" w:type="auto"/>
            <w:tcBorders>
              <w:top w:val="single" w:sz="4" w:space="0" w:color="auto"/>
              <w:left w:val="nil"/>
              <w:bottom w:val="single" w:sz="4" w:space="0" w:color="auto"/>
              <w:right w:val="single" w:sz="4" w:space="0" w:color="auto"/>
            </w:tcBorders>
            <w:noWrap/>
            <w:vAlign w:val="center"/>
          </w:tcPr>
          <w:p w14:paraId="756F90DF" w14:textId="77777777" w:rsidR="003521F6" w:rsidRPr="009106B6" w:rsidRDefault="003521F6" w:rsidP="003521F6">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410 610</w:t>
            </w:r>
          </w:p>
        </w:tc>
        <w:tc>
          <w:tcPr>
            <w:tcW w:w="0" w:type="auto"/>
            <w:tcBorders>
              <w:top w:val="single" w:sz="4" w:space="0" w:color="auto"/>
              <w:left w:val="nil"/>
              <w:bottom w:val="single" w:sz="4" w:space="0" w:color="auto"/>
              <w:right w:val="single" w:sz="4" w:space="0" w:color="auto"/>
            </w:tcBorders>
            <w:noWrap/>
            <w:vAlign w:val="center"/>
          </w:tcPr>
          <w:p w14:paraId="5415BE5C" w14:textId="77777777" w:rsidR="003521F6" w:rsidRPr="009106B6" w:rsidRDefault="003521F6" w:rsidP="003521F6">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394 953</w:t>
            </w:r>
          </w:p>
        </w:tc>
        <w:tc>
          <w:tcPr>
            <w:tcW w:w="0" w:type="auto"/>
            <w:tcBorders>
              <w:top w:val="single" w:sz="4" w:space="0" w:color="auto"/>
              <w:left w:val="nil"/>
              <w:bottom w:val="single" w:sz="4" w:space="0" w:color="auto"/>
              <w:right w:val="single" w:sz="4" w:space="0" w:color="auto"/>
            </w:tcBorders>
            <w:noWrap/>
            <w:vAlign w:val="center"/>
          </w:tcPr>
          <w:p w14:paraId="6134B94B" w14:textId="77777777" w:rsidR="003521F6" w:rsidRPr="009106B6" w:rsidRDefault="003521F6" w:rsidP="003521F6">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355 057</w:t>
            </w:r>
          </w:p>
        </w:tc>
      </w:tr>
      <w:tr w:rsidR="003521F6" w:rsidRPr="009106B6" w14:paraId="2DE08CEE" w14:textId="77777777"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14:paraId="4FFD6E15" w14:textId="77777777" w:rsidR="003521F6" w:rsidRPr="009106B6" w:rsidRDefault="003521F6" w:rsidP="003521F6">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2020</w:t>
            </w:r>
          </w:p>
        </w:tc>
        <w:tc>
          <w:tcPr>
            <w:tcW w:w="1408" w:type="dxa"/>
            <w:tcBorders>
              <w:top w:val="single" w:sz="4" w:space="0" w:color="auto"/>
              <w:left w:val="nil"/>
              <w:bottom w:val="single" w:sz="4" w:space="0" w:color="auto"/>
              <w:right w:val="single" w:sz="4" w:space="0" w:color="auto"/>
            </w:tcBorders>
            <w:noWrap/>
            <w:vAlign w:val="center"/>
          </w:tcPr>
          <w:p w14:paraId="4874ED4D" w14:textId="77777777" w:rsidR="003521F6" w:rsidRPr="009106B6" w:rsidRDefault="003521F6" w:rsidP="003521F6">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2 335 496</w:t>
            </w:r>
          </w:p>
        </w:tc>
        <w:tc>
          <w:tcPr>
            <w:tcW w:w="0" w:type="auto"/>
            <w:tcBorders>
              <w:top w:val="single" w:sz="4" w:space="0" w:color="auto"/>
              <w:left w:val="nil"/>
              <w:bottom w:val="single" w:sz="4" w:space="0" w:color="auto"/>
              <w:right w:val="single" w:sz="4" w:space="0" w:color="auto"/>
            </w:tcBorders>
            <w:noWrap/>
            <w:vAlign w:val="center"/>
          </w:tcPr>
          <w:p w14:paraId="48C07C5D" w14:textId="77777777" w:rsidR="003521F6" w:rsidRPr="009106B6" w:rsidRDefault="003521F6" w:rsidP="003521F6">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266 673</w:t>
            </w:r>
          </w:p>
        </w:tc>
        <w:tc>
          <w:tcPr>
            <w:tcW w:w="0" w:type="auto"/>
            <w:tcBorders>
              <w:top w:val="single" w:sz="4" w:space="0" w:color="auto"/>
              <w:left w:val="nil"/>
              <w:bottom w:val="single" w:sz="4" w:space="0" w:color="auto"/>
              <w:right w:val="single" w:sz="4" w:space="0" w:color="auto"/>
            </w:tcBorders>
            <w:noWrap/>
            <w:vAlign w:val="center"/>
          </w:tcPr>
          <w:p w14:paraId="1B6FCA03" w14:textId="77777777" w:rsidR="003521F6" w:rsidRPr="009106B6" w:rsidRDefault="003521F6" w:rsidP="003521F6">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266 673</w:t>
            </w:r>
          </w:p>
        </w:tc>
        <w:tc>
          <w:tcPr>
            <w:tcW w:w="0" w:type="auto"/>
            <w:tcBorders>
              <w:top w:val="single" w:sz="4" w:space="0" w:color="auto"/>
              <w:left w:val="nil"/>
              <w:bottom w:val="single" w:sz="4" w:space="0" w:color="auto"/>
              <w:right w:val="single" w:sz="4" w:space="0" w:color="auto"/>
            </w:tcBorders>
            <w:noWrap/>
            <w:vAlign w:val="center"/>
          </w:tcPr>
          <w:p w14:paraId="2AA5A0D8" w14:textId="77777777" w:rsidR="003521F6" w:rsidRPr="009106B6" w:rsidRDefault="003521F6" w:rsidP="003521F6">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268 245</w:t>
            </w:r>
          </w:p>
        </w:tc>
        <w:tc>
          <w:tcPr>
            <w:tcW w:w="0" w:type="auto"/>
            <w:tcBorders>
              <w:top w:val="single" w:sz="4" w:space="0" w:color="auto"/>
              <w:left w:val="nil"/>
              <w:bottom w:val="single" w:sz="4" w:space="0" w:color="auto"/>
              <w:right w:val="single" w:sz="4" w:space="0" w:color="auto"/>
            </w:tcBorders>
            <w:noWrap/>
            <w:vAlign w:val="center"/>
          </w:tcPr>
          <w:p w14:paraId="2F184A73" w14:textId="77777777" w:rsidR="003521F6" w:rsidRPr="009106B6" w:rsidRDefault="003521F6" w:rsidP="003521F6">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391 067</w:t>
            </w:r>
          </w:p>
        </w:tc>
        <w:tc>
          <w:tcPr>
            <w:tcW w:w="0" w:type="auto"/>
            <w:tcBorders>
              <w:top w:val="single" w:sz="4" w:space="0" w:color="auto"/>
              <w:left w:val="nil"/>
              <w:bottom w:val="single" w:sz="4" w:space="0" w:color="auto"/>
              <w:right w:val="single" w:sz="4" w:space="0" w:color="auto"/>
            </w:tcBorders>
            <w:noWrap/>
            <w:vAlign w:val="center"/>
          </w:tcPr>
          <w:p w14:paraId="51ECD84C" w14:textId="77777777" w:rsidR="003521F6" w:rsidRPr="009106B6" w:rsidRDefault="003521F6" w:rsidP="003521F6">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412 514</w:t>
            </w:r>
          </w:p>
        </w:tc>
        <w:tc>
          <w:tcPr>
            <w:tcW w:w="0" w:type="auto"/>
            <w:tcBorders>
              <w:top w:val="single" w:sz="4" w:space="0" w:color="auto"/>
              <w:left w:val="nil"/>
              <w:bottom w:val="single" w:sz="4" w:space="0" w:color="auto"/>
              <w:right w:val="single" w:sz="4" w:space="0" w:color="auto"/>
            </w:tcBorders>
            <w:noWrap/>
            <w:vAlign w:val="center"/>
          </w:tcPr>
          <w:p w14:paraId="0632B022" w14:textId="77777777" w:rsidR="003521F6" w:rsidRPr="009106B6" w:rsidRDefault="003521F6" w:rsidP="003521F6">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394 483</w:t>
            </w:r>
          </w:p>
        </w:tc>
        <w:tc>
          <w:tcPr>
            <w:tcW w:w="0" w:type="auto"/>
            <w:tcBorders>
              <w:top w:val="single" w:sz="4" w:space="0" w:color="auto"/>
              <w:left w:val="nil"/>
              <w:bottom w:val="single" w:sz="4" w:space="0" w:color="auto"/>
              <w:right w:val="single" w:sz="4" w:space="0" w:color="auto"/>
            </w:tcBorders>
            <w:noWrap/>
            <w:vAlign w:val="center"/>
          </w:tcPr>
          <w:p w14:paraId="619BB7A1" w14:textId="77777777" w:rsidR="003521F6" w:rsidRPr="009106B6" w:rsidRDefault="003521F6" w:rsidP="003521F6">
            <w:pPr>
              <w:spacing w:before="60" w:after="0" w:line="312" w:lineRule="auto"/>
              <w:jc w:val="center"/>
              <w:rPr>
                <w:rFonts w:ascii="Times New Roman" w:eastAsia="Times New Roman" w:hAnsi="Times New Roman" w:cs="Times New Roman"/>
                <w:color w:val="000000"/>
                <w:sz w:val="24"/>
                <w:szCs w:val="24"/>
                <w:lang w:eastAsia="ru-RU"/>
              </w:rPr>
            </w:pPr>
            <w:r w:rsidRPr="009106B6">
              <w:rPr>
                <w:rFonts w:ascii="Times New Roman" w:eastAsia="Times New Roman" w:hAnsi="Times New Roman" w:cs="Times New Roman"/>
                <w:color w:val="000000"/>
                <w:sz w:val="24"/>
                <w:szCs w:val="24"/>
                <w:lang w:eastAsia="ru-RU"/>
              </w:rPr>
              <w:t>364 456</w:t>
            </w:r>
          </w:p>
        </w:tc>
      </w:tr>
      <w:tr w:rsidR="003521F6" w:rsidRPr="009106B6" w14:paraId="2A356B61" w14:textId="77777777"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14:paraId="1A8B6074" w14:textId="77777777" w:rsidR="003521F6" w:rsidRPr="009106B6" w:rsidRDefault="003521F6" w:rsidP="003521F6">
            <w:pPr>
              <w:spacing w:before="60" w:after="0" w:line="312" w:lineRule="auto"/>
              <w:jc w:val="center"/>
              <w:rPr>
                <w:rFonts w:ascii="Times New Roman" w:eastAsia="Times New Roman" w:hAnsi="Times New Roman" w:cs="Times New Roman"/>
                <w:sz w:val="24"/>
                <w:szCs w:val="24"/>
                <w:lang w:eastAsia="ru-RU"/>
              </w:rPr>
            </w:pPr>
            <w:r w:rsidRPr="009106B6">
              <w:rPr>
                <w:rFonts w:ascii="Times New Roman" w:eastAsia="Times New Roman" w:hAnsi="Times New Roman" w:cs="Times New Roman"/>
                <w:sz w:val="24"/>
                <w:szCs w:val="24"/>
                <w:lang w:eastAsia="ru-RU"/>
              </w:rPr>
              <w:t>2021</w:t>
            </w:r>
          </w:p>
        </w:tc>
        <w:tc>
          <w:tcPr>
            <w:tcW w:w="1408" w:type="dxa"/>
            <w:tcBorders>
              <w:top w:val="single" w:sz="4" w:space="0" w:color="auto"/>
              <w:left w:val="nil"/>
              <w:bottom w:val="single" w:sz="4" w:space="0" w:color="auto"/>
              <w:right w:val="single" w:sz="4" w:space="0" w:color="auto"/>
            </w:tcBorders>
            <w:noWrap/>
            <w:vAlign w:val="center"/>
          </w:tcPr>
          <w:p w14:paraId="6FFFFB62" w14:textId="77777777" w:rsidR="003521F6" w:rsidRPr="009106B6" w:rsidRDefault="003521F6" w:rsidP="003521F6">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2 321 818</w:t>
            </w:r>
          </w:p>
        </w:tc>
        <w:tc>
          <w:tcPr>
            <w:tcW w:w="0" w:type="auto"/>
            <w:tcBorders>
              <w:top w:val="single" w:sz="4" w:space="0" w:color="auto"/>
              <w:left w:val="nil"/>
              <w:bottom w:val="single" w:sz="4" w:space="0" w:color="auto"/>
              <w:right w:val="single" w:sz="4" w:space="0" w:color="auto"/>
            </w:tcBorders>
            <w:noWrap/>
            <w:vAlign w:val="center"/>
          </w:tcPr>
          <w:p w14:paraId="4A5BD61D" w14:textId="77777777" w:rsidR="003521F6" w:rsidRPr="009106B6" w:rsidRDefault="003521F6" w:rsidP="003521F6">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274 613</w:t>
            </w:r>
          </w:p>
        </w:tc>
        <w:tc>
          <w:tcPr>
            <w:tcW w:w="0" w:type="auto"/>
            <w:tcBorders>
              <w:top w:val="single" w:sz="4" w:space="0" w:color="auto"/>
              <w:left w:val="nil"/>
              <w:bottom w:val="single" w:sz="4" w:space="0" w:color="auto"/>
              <w:right w:val="single" w:sz="4" w:space="0" w:color="auto"/>
            </w:tcBorders>
            <w:noWrap/>
            <w:vAlign w:val="center"/>
          </w:tcPr>
          <w:p w14:paraId="4031E596" w14:textId="77777777" w:rsidR="003521F6" w:rsidRPr="009106B6" w:rsidRDefault="003521F6" w:rsidP="003521F6">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238 980</w:t>
            </w:r>
          </w:p>
        </w:tc>
        <w:tc>
          <w:tcPr>
            <w:tcW w:w="0" w:type="auto"/>
            <w:tcBorders>
              <w:top w:val="single" w:sz="4" w:space="0" w:color="auto"/>
              <w:left w:val="nil"/>
              <w:bottom w:val="single" w:sz="4" w:space="0" w:color="auto"/>
              <w:right w:val="single" w:sz="4" w:space="0" w:color="auto"/>
            </w:tcBorders>
            <w:noWrap/>
            <w:vAlign w:val="center"/>
          </w:tcPr>
          <w:p w14:paraId="5541772B" w14:textId="77777777" w:rsidR="003521F6" w:rsidRPr="009106B6" w:rsidRDefault="003521F6" w:rsidP="003521F6">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258 415</w:t>
            </w:r>
          </w:p>
        </w:tc>
        <w:tc>
          <w:tcPr>
            <w:tcW w:w="0" w:type="auto"/>
            <w:tcBorders>
              <w:top w:val="single" w:sz="4" w:space="0" w:color="auto"/>
              <w:left w:val="nil"/>
              <w:bottom w:val="single" w:sz="4" w:space="0" w:color="auto"/>
              <w:right w:val="single" w:sz="4" w:space="0" w:color="auto"/>
            </w:tcBorders>
            <w:noWrap/>
            <w:vAlign w:val="center"/>
          </w:tcPr>
          <w:p w14:paraId="4B8597FE" w14:textId="77777777" w:rsidR="003521F6" w:rsidRPr="009106B6" w:rsidRDefault="003521F6" w:rsidP="003521F6">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372 134</w:t>
            </w:r>
          </w:p>
        </w:tc>
        <w:tc>
          <w:tcPr>
            <w:tcW w:w="0" w:type="auto"/>
            <w:tcBorders>
              <w:top w:val="single" w:sz="4" w:space="0" w:color="auto"/>
              <w:left w:val="nil"/>
              <w:bottom w:val="single" w:sz="4" w:space="0" w:color="auto"/>
              <w:right w:val="single" w:sz="4" w:space="0" w:color="auto"/>
            </w:tcBorders>
            <w:noWrap/>
            <w:vAlign w:val="center"/>
          </w:tcPr>
          <w:p w14:paraId="5F24D046" w14:textId="77777777" w:rsidR="003521F6" w:rsidRPr="009106B6" w:rsidRDefault="003521F6" w:rsidP="003521F6">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410 635</w:t>
            </w:r>
          </w:p>
        </w:tc>
        <w:tc>
          <w:tcPr>
            <w:tcW w:w="0" w:type="auto"/>
            <w:tcBorders>
              <w:top w:val="single" w:sz="4" w:space="0" w:color="auto"/>
              <w:left w:val="nil"/>
              <w:bottom w:val="single" w:sz="4" w:space="0" w:color="auto"/>
              <w:right w:val="single" w:sz="4" w:space="0" w:color="auto"/>
            </w:tcBorders>
            <w:noWrap/>
            <w:vAlign w:val="center"/>
          </w:tcPr>
          <w:p w14:paraId="225707F1" w14:textId="77777777" w:rsidR="003521F6" w:rsidRPr="009106B6" w:rsidRDefault="003521F6" w:rsidP="003521F6">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395 859</w:t>
            </w:r>
          </w:p>
        </w:tc>
        <w:tc>
          <w:tcPr>
            <w:tcW w:w="0" w:type="auto"/>
            <w:tcBorders>
              <w:top w:val="single" w:sz="4" w:space="0" w:color="auto"/>
              <w:left w:val="nil"/>
              <w:bottom w:val="single" w:sz="4" w:space="0" w:color="auto"/>
              <w:right w:val="single" w:sz="4" w:space="0" w:color="auto"/>
            </w:tcBorders>
            <w:noWrap/>
            <w:vAlign w:val="center"/>
          </w:tcPr>
          <w:p w14:paraId="7FD85B59" w14:textId="77777777" w:rsidR="003521F6" w:rsidRPr="009106B6" w:rsidRDefault="003521F6" w:rsidP="003521F6">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371 182</w:t>
            </w:r>
          </w:p>
        </w:tc>
      </w:tr>
      <w:tr w:rsidR="003521F6" w:rsidRPr="00BD5A90" w14:paraId="6D3EE90A" w14:textId="77777777"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14:paraId="5E65406D" w14:textId="77777777" w:rsidR="003521F6" w:rsidRPr="009106B6" w:rsidRDefault="003521F6" w:rsidP="003521F6">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p>
        </w:tc>
        <w:tc>
          <w:tcPr>
            <w:tcW w:w="1408" w:type="dxa"/>
            <w:tcBorders>
              <w:left w:val="nil"/>
              <w:bottom w:val="single" w:sz="4" w:space="0" w:color="auto"/>
              <w:right w:val="single" w:sz="4" w:space="0" w:color="auto"/>
            </w:tcBorders>
            <w:noWrap/>
            <w:vAlign w:val="center"/>
          </w:tcPr>
          <w:p w14:paraId="6D658DC8" w14:textId="77777777" w:rsidR="003521F6" w:rsidRPr="009106B6" w:rsidRDefault="005E2FDC" w:rsidP="003521F6">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2 307 276</w:t>
            </w:r>
          </w:p>
        </w:tc>
        <w:tc>
          <w:tcPr>
            <w:tcW w:w="0" w:type="auto"/>
            <w:tcBorders>
              <w:left w:val="nil"/>
              <w:bottom w:val="single" w:sz="4" w:space="0" w:color="auto"/>
              <w:right w:val="single" w:sz="4" w:space="0" w:color="auto"/>
            </w:tcBorders>
            <w:noWrap/>
            <w:vAlign w:val="center"/>
          </w:tcPr>
          <w:p w14:paraId="6BFD18FB" w14:textId="77777777" w:rsidR="003521F6" w:rsidRPr="009106B6" w:rsidRDefault="005E2FDC" w:rsidP="003521F6">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279 269</w:t>
            </w:r>
          </w:p>
        </w:tc>
        <w:tc>
          <w:tcPr>
            <w:tcW w:w="0" w:type="auto"/>
            <w:tcBorders>
              <w:left w:val="nil"/>
              <w:bottom w:val="single" w:sz="4" w:space="0" w:color="auto"/>
              <w:right w:val="single" w:sz="4" w:space="0" w:color="auto"/>
            </w:tcBorders>
            <w:noWrap/>
            <w:vAlign w:val="center"/>
          </w:tcPr>
          <w:p w14:paraId="67B4419A" w14:textId="77777777" w:rsidR="003521F6" w:rsidRPr="009106B6" w:rsidRDefault="005E2FDC" w:rsidP="003521F6">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242 287</w:t>
            </w:r>
          </w:p>
        </w:tc>
        <w:tc>
          <w:tcPr>
            <w:tcW w:w="0" w:type="auto"/>
            <w:tcBorders>
              <w:left w:val="nil"/>
              <w:bottom w:val="single" w:sz="4" w:space="0" w:color="auto"/>
              <w:right w:val="single" w:sz="4" w:space="0" w:color="auto"/>
            </w:tcBorders>
            <w:noWrap/>
            <w:vAlign w:val="center"/>
          </w:tcPr>
          <w:p w14:paraId="0945AADB" w14:textId="77777777" w:rsidR="003521F6" w:rsidRPr="009106B6" w:rsidRDefault="005E2FDC" w:rsidP="003521F6">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257 257</w:t>
            </w:r>
          </w:p>
        </w:tc>
        <w:tc>
          <w:tcPr>
            <w:tcW w:w="0" w:type="auto"/>
            <w:tcBorders>
              <w:left w:val="nil"/>
              <w:bottom w:val="single" w:sz="4" w:space="0" w:color="auto"/>
              <w:right w:val="single" w:sz="4" w:space="0" w:color="auto"/>
            </w:tcBorders>
            <w:noWrap/>
            <w:vAlign w:val="center"/>
          </w:tcPr>
          <w:p w14:paraId="50B85B57" w14:textId="77777777" w:rsidR="003521F6" w:rsidRPr="009106B6" w:rsidRDefault="003521F6" w:rsidP="003521F6">
            <w:pPr>
              <w:spacing w:before="60" w:after="0" w:line="312" w:lineRule="auto"/>
              <w:jc w:val="center"/>
              <w:rPr>
                <w:rFonts w:ascii="Times New Roman" w:eastAsia="Times New Roman" w:hAnsi="Times New Roman" w:cs="Times New Roman"/>
                <w:color w:val="000000"/>
                <w:sz w:val="24"/>
                <w:szCs w:val="24"/>
                <w:lang w:eastAsia="ru-RU"/>
              </w:rPr>
            </w:pPr>
          </w:p>
        </w:tc>
        <w:tc>
          <w:tcPr>
            <w:tcW w:w="0" w:type="auto"/>
            <w:tcBorders>
              <w:left w:val="nil"/>
              <w:bottom w:val="single" w:sz="4" w:space="0" w:color="auto"/>
              <w:right w:val="single" w:sz="4" w:space="0" w:color="auto"/>
            </w:tcBorders>
            <w:noWrap/>
            <w:vAlign w:val="center"/>
          </w:tcPr>
          <w:p w14:paraId="4B94F2E5" w14:textId="77777777" w:rsidR="003521F6" w:rsidRPr="009106B6" w:rsidRDefault="003521F6" w:rsidP="003521F6">
            <w:pPr>
              <w:spacing w:before="60" w:after="0" w:line="312" w:lineRule="auto"/>
              <w:jc w:val="center"/>
              <w:rPr>
                <w:rFonts w:ascii="Times New Roman" w:eastAsia="Times New Roman" w:hAnsi="Times New Roman" w:cs="Times New Roman"/>
                <w:color w:val="000000"/>
                <w:sz w:val="24"/>
                <w:szCs w:val="24"/>
                <w:lang w:eastAsia="ru-RU"/>
              </w:rPr>
            </w:pPr>
          </w:p>
        </w:tc>
        <w:tc>
          <w:tcPr>
            <w:tcW w:w="0" w:type="auto"/>
            <w:tcBorders>
              <w:left w:val="nil"/>
              <w:bottom w:val="single" w:sz="4" w:space="0" w:color="auto"/>
              <w:right w:val="single" w:sz="4" w:space="0" w:color="auto"/>
            </w:tcBorders>
            <w:noWrap/>
            <w:vAlign w:val="center"/>
          </w:tcPr>
          <w:p w14:paraId="2C371050" w14:textId="77777777" w:rsidR="003521F6" w:rsidRPr="009106B6" w:rsidRDefault="003521F6" w:rsidP="003521F6">
            <w:pPr>
              <w:spacing w:before="60" w:after="0" w:line="312" w:lineRule="auto"/>
              <w:jc w:val="center"/>
              <w:rPr>
                <w:rFonts w:ascii="Times New Roman" w:eastAsia="Times New Roman" w:hAnsi="Times New Roman" w:cs="Times New Roman"/>
                <w:color w:val="000000"/>
                <w:sz w:val="24"/>
                <w:szCs w:val="24"/>
                <w:lang w:eastAsia="ru-RU"/>
              </w:rPr>
            </w:pPr>
          </w:p>
        </w:tc>
        <w:tc>
          <w:tcPr>
            <w:tcW w:w="0" w:type="auto"/>
            <w:tcBorders>
              <w:left w:val="nil"/>
              <w:bottom w:val="single" w:sz="4" w:space="0" w:color="auto"/>
              <w:right w:val="single" w:sz="4" w:space="0" w:color="auto"/>
            </w:tcBorders>
            <w:noWrap/>
            <w:vAlign w:val="center"/>
          </w:tcPr>
          <w:p w14:paraId="57798DB9" w14:textId="77777777" w:rsidR="003521F6" w:rsidRPr="009106B6" w:rsidRDefault="003521F6" w:rsidP="003521F6">
            <w:pPr>
              <w:spacing w:before="60" w:after="0" w:line="312" w:lineRule="auto"/>
              <w:jc w:val="center"/>
              <w:rPr>
                <w:rFonts w:ascii="Times New Roman" w:eastAsia="Times New Roman" w:hAnsi="Times New Roman" w:cs="Times New Roman"/>
                <w:color w:val="000000"/>
                <w:sz w:val="24"/>
                <w:szCs w:val="24"/>
                <w:lang w:eastAsia="ru-RU"/>
              </w:rPr>
            </w:pPr>
          </w:p>
        </w:tc>
      </w:tr>
    </w:tbl>
    <w:p w14:paraId="217F27FC" w14:textId="77777777" w:rsidR="00D03A4F" w:rsidRPr="00BD5A90" w:rsidRDefault="00D03A4F" w:rsidP="00D03A4F">
      <w:pPr>
        <w:spacing w:after="0" w:line="240" w:lineRule="auto"/>
        <w:rPr>
          <w:rFonts w:ascii="Times New Roman" w:eastAsia="Times New Roman" w:hAnsi="Times New Roman" w:cs="Times New Roman"/>
          <w:color w:val="000000"/>
          <w:sz w:val="26"/>
          <w:szCs w:val="26"/>
          <w:highlight w:val="yellow"/>
          <w:lang w:eastAsia="ru-RU"/>
        </w:rPr>
      </w:pPr>
    </w:p>
    <w:p w14:paraId="262DB20F" w14:textId="77777777" w:rsidR="00D03A4F" w:rsidRPr="00BD5A90" w:rsidRDefault="00D03A4F" w:rsidP="00D03A4F">
      <w:pPr>
        <w:spacing w:after="0" w:line="240" w:lineRule="auto"/>
        <w:rPr>
          <w:rFonts w:ascii="Times New Roman" w:eastAsia="Times New Roman" w:hAnsi="Times New Roman" w:cs="Times New Roman"/>
          <w:color w:val="000000"/>
          <w:sz w:val="26"/>
          <w:szCs w:val="26"/>
          <w:highlight w:val="yellow"/>
          <w:lang w:eastAsia="ru-RU"/>
        </w:rPr>
      </w:pPr>
    </w:p>
    <w:p w14:paraId="4214B62D" w14:textId="77777777" w:rsidR="00D03A4F" w:rsidRDefault="00D03A4F" w:rsidP="00D03A4F">
      <w:pPr>
        <w:spacing w:after="0" w:line="240" w:lineRule="auto"/>
        <w:jc w:val="right"/>
        <w:rPr>
          <w:rFonts w:ascii="Times New Roman" w:eastAsia="Times New Roman" w:hAnsi="Times New Roman" w:cs="Times New Roman"/>
          <w:bCs/>
          <w:color w:val="000000"/>
          <w:sz w:val="26"/>
          <w:szCs w:val="26"/>
          <w:lang w:eastAsia="ru-RU"/>
        </w:rPr>
      </w:pPr>
      <w:r w:rsidRPr="00614FA8">
        <w:rPr>
          <w:rFonts w:ascii="Times New Roman" w:eastAsia="Times New Roman" w:hAnsi="Times New Roman" w:cs="Times New Roman"/>
          <w:bCs/>
          <w:color w:val="000000"/>
          <w:sz w:val="26"/>
          <w:szCs w:val="26"/>
          <w:lang w:eastAsia="ru-RU"/>
        </w:rPr>
        <w:t>Таблица</w:t>
      </w:r>
      <w:r w:rsidRPr="00614FA8">
        <w:rPr>
          <w:rFonts w:ascii="Times New Roman" w:eastAsia="Times New Roman" w:hAnsi="Times New Roman" w:cs="Times New Roman"/>
          <w:sz w:val="28"/>
          <w:szCs w:val="28"/>
          <w:lang w:eastAsia="ru-RU"/>
        </w:rPr>
        <w:t> </w:t>
      </w:r>
      <w:r w:rsidRPr="00614FA8">
        <w:rPr>
          <w:rFonts w:ascii="Times New Roman" w:eastAsia="Times New Roman" w:hAnsi="Times New Roman" w:cs="Times New Roman"/>
          <w:bCs/>
          <w:color w:val="000000"/>
          <w:sz w:val="26"/>
          <w:szCs w:val="26"/>
          <w:lang w:eastAsia="ru-RU"/>
        </w:rPr>
        <w:t>4</w:t>
      </w:r>
    </w:p>
    <w:p w14:paraId="2F9DB630" w14:textId="77777777" w:rsidR="00614FA8" w:rsidRPr="00614FA8" w:rsidRDefault="00614FA8" w:rsidP="00D03A4F">
      <w:pPr>
        <w:spacing w:after="0" w:line="240" w:lineRule="auto"/>
        <w:jc w:val="right"/>
        <w:rPr>
          <w:rFonts w:ascii="Times New Roman" w:eastAsia="Times New Roman" w:hAnsi="Times New Roman" w:cs="Times New Roman"/>
          <w:bCs/>
          <w:color w:val="000000"/>
          <w:sz w:val="26"/>
          <w:szCs w:val="26"/>
          <w:lang w:eastAsia="ru-RU"/>
        </w:rPr>
      </w:pPr>
    </w:p>
    <w:p w14:paraId="5063211C" w14:textId="77777777" w:rsidR="00D03A4F" w:rsidRPr="00614FA8"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614FA8">
        <w:rPr>
          <w:rFonts w:ascii="Times New Roman" w:eastAsia="Times New Roman" w:hAnsi="Times New Roman" w:cs="Times New Roman"/>
          <w:b/>
          <w:bCs/>
          <w:color w:val="000000"/>
          <w:sz w:val="26"/>
          <w:szCs w:val="26"/>
          <w:lang w:eastAsia="ru-RU"/>
        </w:rPr>
        <w:t xml:space="preserve">Численность женщин репродуктивного возраста в Российской Федерации </w:t>
      </w:r>
      <w:r w:rsidRPr="00614FA8">
        <w:rPr>
          <w:rFonts w:ascii="Times New Roman" w:eastAsia="Times New Roman" w:hAnsi="Times New Roman" w:cs="Times New Roman"/>
          <w:b/>
          <w:bCs/>
          <w:color w:val="000000"/>
          <w:sz w:val="26"/>
          <w:szCs w:val="26"/>
          <w:lang w:eastAsia="ru-RU"/>
        </w:rPr>
        <w:br/>
        <w:t>на начало года</w:t>
      </w:r>
    </w:p>
    <w:p w14:paraId="05FA0891" w14:textId="77777777" w:rsidR="00614FA8" w:rsidRPr="00614FA8" w:rsidRDefault="00614FA8" w:rsidP="00D03A4F">
      <w:pPr>
        <w:spacing w:after="0" w:line="240" w:lineRule="auto"/>
        <w:jc w:val="center"/>
        <w:rPr>
          <w:rFonts w:ascii="Times New Roman" w:eastAsia="Times New Roman" w:hAnsi="Times New Roman" w:cs="Times New Roman"/>
          <w:sz w:val="28"/>
          <w:szCs w:val="28"/>
          <w:lang w:eastAsia="ru-RU"/>
        </w:rPr>
      </w:pPr>
    </w:p>
    <w:tbl>
      <w:tblPr>
        <w:tblW w:w="10474" w:type="dxa"/>
        <w:tblInd w:w="-34" w:type="dxa"/>
        <w:tblLook w:val="00A0" w:firstRow="1" w:lastRow="0" w:firstColumn="1" w:lastColumn="0" w:noHBand="0" w:noVBand="0"/>
      </w:tblPr>
      <w:tblGrid>
        <w:gridCol w:w="708"/>
        <w:gridCol w:w="1408"/>
        <w:gridCol w:w="1194"/>
        <w:gridCol w:w="1194"/>
        <w:gridCol w:w="1194"/>
        <w:gridCol w:w="1194"/>
        <w:gridCol w:w="1194"/>
        <w:gridCol w:w="1194"/>
        <w:gridCol w:w="1194"/>
      </w:tblGrid>
      <w:tr w:rsidR="00D03A4F" w:rsidRPr="00614FA8" w14:paraId="3518EF58" w14:textId="77777777" w:rsidTr="00944CB1">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64274A89" w14:textId="77777777"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14:paraId="52635BE2" w14:textId="77777777"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Число женщин в возрасте</w:t>
            </w:r>
          </w:p>
          <w:p w14:paraId="48C8DF71" w14:textId="77777777"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14:paraId="5D30D2EE" w14:textId="77777777"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в том числе в возрасте, лет:</w:t>
            </w:r>
          </w:p>
        </w:tc>
      </w:tr>
      <w:tr w:rsidR="00D03A4F" w:rsidRPr="00614FA8" w14:paraId="3FCF5321" w14:textId="77777777" w:rsidTr="00944CB1">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14:paraId="18A2D89D" w14:textId="77777777"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p>
        </w:tc>
        <w:tc>
          <w:tcPr>
            <w:tcW w:w="1408" w:type="dxa"/>
            <w:vMerge/>
            <w:tcBorders>
              <w:top w:val="single" w:sz="4" w:space="0" w:color="auto"/>
              <w:left w:val="single" w:sz="4" w:space="0" w:color="auto"/>
              <w:bottom w:val="single" w:sz="4" w:space="0" w:color="000000"/>
              <w:right w:val="single" w:sz="4" w:space="0" w:color="auto"/>
            </w:tcBorders>
            <w:vAlign w:val="center"/>
          </w:tcPr>
          <w:p w14:paraId="3A5CCA1D" w14:textId="77777777"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p>
        </w:tc>
        <w:tc>
          <w:tcPr>
            <w:tcW w:w="0" w:type="auto"/>
            <w:tcBorders>
              <w:top w:val="nil"/>
              <w:left w:val="nil"/>
              <w:bottom w:val="single" w:sz="4" w:space="0" w:color="auto"/>
              <w:right w:val="single" w:sz="4" w:space="0" w:color="auto"/>
            </w:tcBorders>
            <w:vAlign w:val="center"/>
          </w:tcPr>
          <w:p w14:paraId="14C29487" w14:textId="77777777"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15-19</w:t>
            </w:r>
          </w:p>
        </w:tc>
        <w:tc>
          <w:tcPr>
            <w:tcW w:w="0" w:type="auto"/>
            <w:tcBorders>
              <w:top w:val="nil"/>
              <w:left w:val="nil"/>
              <w:bottom w:val="single" w:sz="4" w:space="0" w:color="auto"/>
              <w:right w:val="single" w:sz="4" w:space="0" w:color="auto"/>
            </w:tcBorders>
            <w:vAlign w:val="center"/>
          </w:tcPr>
          <w:p w14:paraId="07C8B84B" w14:textId="77777777"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20-24</w:t>
            </w:r>
          </w:p>
        </w:tc>
        <w:tc>
          <w:tcPr>
            <w:tcW w:w="0" w:type="auto"/>
            <w:tcBorders>
              <w:top w:val="nil"/>
              <w:left w:val="nil"/>
              <w:bottom w:val="single" w:sz="4" w:space="0" w:color="auto"/>
              <w:right w:val="single" w:sz="4" w:space="0" w:color="auto"/>
            </w:tcBorders>
            <w:vAlign w:val="center"/>
          </w:tcPr>
          <w:p w14:paraId="3A52C008" w14:textId="77777777"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25-29</w:t>
            </w:r>
          </w:p>
        </w:tc>
        <w:tc>
          <w:tcPr>
            <w:tcW w:w="0" w:type="auto"/>
            <w:tcBorders>
              <w:top w:val="nil"/>
              <w:left w:val="nil"/>
              <w:bottom w:val="single" w:sz="4" w:space="0" w:color="auto"/>
              <w:right w:val="single" w:sz="4" w:space="0" w:color="auto"/>
            </w:tcBorders>
            <w:vAlign w:val="center"/>
          </w:tcPr>
          <w:p w14:paraId="139DC1E2" w14:textId="77777777"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30-34</w:t>
            </w:r>
          </w:p>
        </w:tc>
        <w:tc>
          <w:tcPr>
            <w:tcW w:w="0" w:type="auto"/>
            <w:tcBorders>
              <w:top w:val="nil"/>
              <w:left w:val="nil"/>
              <w:bottom w:val="single" w:sz="4" w:space="0" w:color="auto"/>
              <w:right w:val="single" w:sz="4" w:space="0" w:color="auto"/>
            </w:tcBorders>
            <w:vAlign w:val="center"/>
          </w:tcPr>
          <w:p w14:paraId="2623BFD0" w14:textId="77777777"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35-39</w:t>
            </w:r>
          </w:p>
        </w:tc>
        <w:tc>
          <w:tcPr>
            <w:tcW w:w="0" w:type="auto"/>
            <w:tcBorders>
              <w:top w:val="nil"/>
              <w:left w:val="nil"/>
              <w:bottom w:val="single" w:sz="4" w:space="0" w:color="auto"/>
              <w:right w:val="single" w:sz="4" w:space="0" w:color="auto"/>
            </w:tcBorders>
            <w:vAlign w:val="center"/>
          </w:tcPr>
          <w:p w14:paraId="448257B1" w14:textId="77777777"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40-44</w:t>
            </w:r>
          </w:p>
        </w:tc>
        <w:tc>
          <w:tcPr>
            <w:tcW w:w="0" w:type="auto"/>
            <w:tcBorders>
              <w:top w:val="nil"/>
              <w:left w:val="nil"/>
              <w:bottom w:val="single" w:sz="4" w:space="0" w:color="auto"/>
              <w:right w:val="single" w:sz="4" w:space="0" w:color="auto"/>
            </w:tcBorders>
            <w:vAlign w:val="center"/>
          </w:tcPr>
          <w:p w14:paraId="576B05EE" w14:textId="77777777"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45-49</w:t>
            </w:r>
          </w:p>
        </w:tc>
      </w:tr>
      <w:tr w:rsidR="002336E8" w:rsidRPr="00614FA8" w14:paraId="1D2D209D" w14:textId="77777777"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14:paraId="0FB4E066" w14:textId="77777777" w:rsidR="002336E8" w:rsidRPr="00614FA8" w:rsidRDefault="002336E8" w:rsidP="002856C4">
            <w:pPr>
              <w:spacing w:before="60" w:after="0" w:line="312" w:lineRule="auto"/>
              <w:jc w:val="center"/>
              <w:rPr>
                <w:rFonts w:ascii="Times New Roman" w:eastAsia="Times New Roman" w:hAnsi="Times New Roman" w:cs="Times New Roman"/>
                <w:sz w:val="24"/>
                <w:szCs w:val="24"/>
                <w:lang w:eastAsia="ru-RU"/>
              </w:rPr>
            </w:pPr>
            <w:r w:rsidRPr="00614FA8">
              <w:rPr>
                <w:rFonts w:ascii="Times New Roman" w:eastAsia="Times New Roman" w:hAnsi="Times New Roman" w:cs="Times New Roman"/>
                <w:sz w:val="24"/>
                <w:szCs w:val="24"/>
                <w:lang w:eastAsia="ru-RU"/>
              </w:rPr>
              <w:t>2018</w:t>
            </w:r>
          </w:p>
        </w:tc>
        <w:tc>
          <w:tcPr>
            <w:tcW w:w="1408" w:type="dxa"/>
            <w:tcBorders>
              <w:top w:val="single" w:sz="4" w:space="0" w:color="auto"/>
              <w:left w:val="nil"/>
              <w:bottom w:val="single" w:sz="4" w:space="0" w:color="auto"/>
              <w:right w:val="single" w:sz="4" w:space="0" w:color="auto"/>
            </w:tcBorders>
            <w:noWrap/>
            <w:vAlign w:val="center"/>
          </w:tcPr>
          <w:p w14:paraId="29116081" w14:textId="77777777" w:rsidR="002336E8" w:rsidRPr="00614FA8" w:rsidRDefault="002336E8" w:rsidP="002856C4">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34 905 29</w:t>
            </w:r>
            <w:r>
              <w:rPr>
                <w:rFonts w:ascii="Times New Roman" w:eastAsia="Times New Roman" w:hAnsi="Times New Roman" w:cs="Times New Roman"/>
                <w:color w:val="000000"/>
                <w:sz w:val="24"/>
                <w:szCs w:val="24"/>
                <w:lang w:eastAsia="ru-RU"/>
              </w:rPr>
              <w:t>8</w:t>
            </w:r>
          </w:p>
        </w:tc>
        <w:tc>
          <w:tcPr>
            <w:tcW w:w="0" w:type="auto"/>
            <w:tcBorders>
              <w:top w:val="single" w:sz="4" w:space="0" w:color="auto"/>
              <w:left w:val="nil"/>
              <w:bottom w:val="single" w:sz="4" w:space="0" w:color="auto"/>
              <w:right w:val="single" w:sz="4" w:space="0" w:color="auto"/>
            </w:tcBorders>
            <w:noWrap/>
            <w:vAlign w:val="center"/>
          </w:tcPr>
          <w:p w14:paraId="1AAFF83A" w14:textId="77777777" w:rsidR="002336E8" w:rsidRPr="00614FA8" w:rsidRDefault="002336E8" w:rsidP="002856C4">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3 331 456</w:t>
            </w:r>
          </w:p>
        </w:tc>
        <w:tc>
          <w:tcPr>
            <w:tcW w:w="0" w:type="auto"/>
            <w:tcBorders>
              <w:top w:val="single" w:sz="4" w:space="0" w:color="auto"/>
              <w:left w:val="nil"/>
              <w:bottom w:val="single" w:sz="4" w:space="0" w:color="auto"/>
              <w:right w:val="single" w:sz="4" w:space="0" w:color="auto"/>
            </w:tcBorders>
            <w:noWrap/>
            <w:vAlign w:val="center"/>
          </w:tcPr>
          <w:p w14:paraId="6BD287DC" w14:textId="77777777" w:rsidR="002336E8" w:rsidRPr="00614FA8" w:rsidRDefault="002336E8" w:rsidP="002856C4">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3 591 695</w:t>
            </w:r>
          </w:p>
        </w:tc>
        <w:tc>
          <w:tcPr>
            <w:tcW w:w="0" w:type="auto"/>
            <w:tcBorders>
              <w:top w:val="single" w:sz="4" w:space="0" w:color="auto"/>
              <w:left w:val="nil"/>
              <w:bottom w:val="single" w:sz="4" w:space="0" w:color="auto"/>
              <w:right w:val="single" w:sz="4" w:space="0" w:color="auto"/>
            </w:tcBorders>
            <w:noWrap/>
            <w:vAlign w:val="center"/>
          </w:tcPr>
          <w:p w14:paraId="06B2E502" w14:textId="77777777" w:rsidR="002336E8" w:rsidRPr="00614FA8" w:rsidRDefault="002336E8" w:rsidP="002856C4">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5 462 382</w:t>
            </w:r>
          </w:p>
        </w:tc>
        <w:tc>
          <w:tcPr>
            <w:tcW w:w="0" w:type="auto"/>
            <w:tcBorders>
              <w:top w:val="single" w:sz="4" w:space="0" w:color="auto"/>
              <w:left w:val="nil"/>
              <w:bottom w:val="single" w:sz="4" w:space="0" w:color="auto"/>
              <w:right w:val="single" w:sz="4" w:space="0" w:color="auto"/>
            </w:tcBorders>
            <w:noWrap/>
            <w:vAlign w:val="center"/>
          </w:tcPr>
          <w:p w14:paraId="1808285D" w14:textId="77777777" w:rsidR="002336E8" w:rsidRPr="00614FA8" w:rsidRDefault="002336E8" w:rsidP="002856C4">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6 365 136</w:t>
            </w:r>
          </w:p>
        </w:tc>
        <w:tc>
          <w:tcPr>
            <w:tcW w:w="0" w:type="auto"/>
            <w:tcBorders>
              <w:top w:val="single" w:sz="4" w:space="0" w:color="auto"/>
              <w:left w:val="nil"/>
              <w:bottom w:val="single" w:sz="4" w:space="0" w:color="auto"/>
              <w:right w:val="single" w:sz="4" w:space="0" w:color="auto"/>
            </w:tcBorders>
            <w:noWrap/>
            <w:vAlign w:val="center"/>
          </w:tcPr>
          <w:p w14:paraId="0C0138D4" w14:textId="77777777" w:rsidR="002336E8" w:rsidRPr="00614FA8" w:rsidRDefault="002336E8" w:rsidP="002856C4">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5 789 158</w:t>
            </w:r>
          </w:p>
        </w:tc>
        <w:tc>
          <w:tcPr>
            <w:tcW w:w="0" w:type="auto"/>
            <w:tcBorders>
              <w:top w:val="single" w:sz="4" w:space="0" w:color="auto"/>
              <w:left w:val="nil"/>
              <w:bottom w:val="single" w:sz="4" w:space="0" w:color="auto"/>
              <w:right w:val="single" w:sz="4" w:space="0" w:color="auto"/>
            </w:tcBorders>
            <w:noWrap/>
            <w:vAlign w:val="center"/>
          </w:tcPr>
          <w:p w14:paraId="25EDC39B" w14:textId="77777777" w:rsidR="002336E8" w:rsidRPr="00614FA8" w:rsidRDefault="002336E8" w:rsidP="002856C4">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5 412 298</w:t>
            </w:r>
          </w:p>
        </w:tc>
        <w:tc>
          <w:tcPr>
            <w:tcW w:w="0" w:type="auto"/>
            <w:tcBorders>
              <w:top w:val="single" w:sz="4" w:space="0" w:color="auto"/>
              <w:left w:val="nil"/>
              <w:bottom w:val="single" w:sz="4" w:space="0" w:color="auto"/>
              <w:right w:val="single" w:sz="4" w:space="0" w:color="auto"/>
            </w:tcBorders>
            <w:noWrap/>
            <w:vAlign w:val="center"/>
          </w:tcPr>
          <w:p w14:paraId="2D75D9B1" w14:textId="77777777" w:rsidR="002336E8" w:rsidRPr="00614FA8" w:rsidRDefault="002336E8" w:rsidP="002856C4">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4 953 174</w:t>
            </w:r>
          </w:p>
        </w:tc>
      </w:tr>
      <w:tr w:rsidR="002336E8" w:rsidRPr="00614FA8" w14:paraId="08337F3B" w14:textId="77777777"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14:paraId="6748DB2F" w14:textId="77777777" w:rsidR="002336E8" w:rsidRPr="00614FA8" w:rsidRDefault="002336E8" w:rsidP="002856C4">
            <w:pPr>
              <w:spacing w:before="60" w:after="0" w:line="312" w:lineRule="auto"/>
              <w:jc w:val="center"/>
              <w:rPr>
                <w:rFonts w:ascii="Times New Roman" w:eastAsia="Times New Roman" w:hAnsi="Times New Roman" w:cs="Times New Roman"/>
                <w:sz w:val="24"/>
                <w:szCs w:val="24"/>
                <w:lang w:eastAsia="ru-RU"/>
              </w:rPr>
            </w:pPr>
            <w:r w:rsidRPr="00614FA8">
              <w:rPr>
                <w:rFonts w:ascii="Times New Roman" w:eastAsia="Times New Roman" w:hAnsi="Times New Roman" w:cs="Times New Roman"/>
                <w:sz w:val="24"/>
                <w:szCs w:val="24"/>
                <w:lang w:eastAsia="ru-RU"/>
              </w:rPr>
              <w:t>2019</w:t>
            </w:r>
          </w:p>
        </w:tc>
        <w:tc>
          <w:tcPr>
            <w:tcW w:w="1408" w:type="dxa"/>
            <w:tcBorders>
              <w:top w:val="single" w:sz="4" w:space="0" w:color="auto"/>
              <w:left w:val="nil"/>
              <w:bottom w:val="single" w:sz="4" w:space="0" w:color="auto"/>
              <w:right w:val="single" w:sz="4" w:space="0" w:color="auto"/>
            </w:tcBorders>
            <w:noWrap/>
            <w:vAlign w:val="center"/>
          </w:tcPr>
          <w:p w14:paraId="710D8418" w14:textId="77777777" w:rsidR="002336E8" w:rsidRPr="00614FA8" w:rsidRDefault="002336E8" w:rsidP="002856C4">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34 683 401</w:t>
            </w:r>
          </w:p>
        </w:tc>
        <w:tc>
          <w:tcPr>
            <w:tcW w:w="0" w:type="auto"/>
            <w:tcBorders>
              <w:top w:val="single" w:sz="4" w:space="0" w:color="auto"/>
              <w:left w:val="nil"/>
              <w:bottom w:val="single" w:sz="4" w:space="0" w:color="auto"/>
              <w:right w:val="single" w:sz="4" w:space="0" w:color="auto"/>
            </w:tcBorders>
            <w:noWrap/>
            <w:vAlign w:val="center"/>
          </w:tcPr>
          <w:p w14:paraId="2E918DBF" w14:textId="77777777" w:rsidR="002336E8" w:rsidRPr="00614FA8" w:rsidRDefault="002336E8" w:rsidP="002856C4">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3 395 273</w:t>
            </w:r>
          </w:p>
        </w:tc>
        <w:tc>
          <w:tcPr>
            <w:tcW w:w="0" w:type="auto"/>
            <w:tcBorders>
              <w:top w:val="single" w:sz="4" w:space="0" w:color="auto"/>
              <w:left w:val="nil"/>
              <w:bottom w:val="single" w:sz="4" w:space="0" w:color="auto"/>
              <w:right w:val="single" w:sz="4" w:space="0" w:color="auto"/>
            </w:tcBorders>
            <w:noWrap/>
            <w:vAlign w:val="center"/>
          </w:tcPr>
          <w:p w14:paraId="20F7AA23" w14:textId="77777777" w:rsidR="002336E8" w:rsidRPr="00614FA8" w:rsidRDefault="002336E8" w:rsidP="002856C4">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3 486 971</w:t>
            </w:r>
          </w:p>
        </w:tc>
        <w:tc>
          <w:tcPr>
            <w:tcW w:w="0" w:type="auto"/>
            <w:tcBorders>
              <w:top w:val="single" w:sz="4" w:space="0" w:color="auto"/>
              <w:left w:val="nil"/>
              <w:bottom w:val="single" w:sz="4" w:space="0" w:color="auto"/>
              <w:right w:val="single" w:sz="4" w:space="0" w:color="auto"/>
            </w:tcBorders>
            <w:noWrap/>
            <w:vAlign w:val="center"/>
          </w:tcPr>
          <w:p w14:paraId="5846BAB5" w14:textId="77777777" w:rsidR="002336E8" w:rsidRPr="00614FA8" w:rsidRDefault="002336E8" w:rsidP="002856C4">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5 007 956</w:t>
            </w:r>
          </w:p>
        </w:tc>
        <w:tc>
          <w:tcPr>
            <w:tcW w:w="0" w:type="auto"/>
            <w:tcBorders>
              <w:top w:val="single" w:sz="4" w:space="0" w:color="auto"/>
              <w:left w:val="nil"/>
              <w:bottom w:val="single" w:sz="4" w:space="0" w:color="auto"/>
              <w:right w:val="single" w:sz="4" w:space="0" w:color="auto"/>
            </w:tcBorders>
            <w:noWrap/>
            <w:vAlign w:val="center"/>
          </w:tcPr>
          <w:p w14:paraId="2C75A239" w14:textId="77777777" w:rsidR="002336E8" w:rsidRPr="00614FA8" w:rsidRDefault="002336E8" w:rsidP="002856C4">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6 332 379</w:t>
            </w:r>
          </w:p>
        </w:tc>
        <w:tc>
          <w:tcPr>
            <w:tcW w:w="0" w:type="auto"/>
            <w:tcBorders>
              <w:top w:val="single" w:sz="4" w:space="0" w:color="auto"/>
              <w:left w:val="nil"/>
              <w:bottom w:val="single" w:sz="4" w:space="0" w:color="auto"/>
              <w:right w:val="single" w:sz="4" w:space="0" w:color="auto"/>
            </w:tcBorders>
            <w:noWrap/>
            <w:vAlign w:val="center"/>
          </w:tcPr>
          <w:p w14:paraId="37DD30D6" w14:textId="77777777" w:rsidR="002336E8" w:rsidRPr="00614FA8" w:rsidRDefault="002336E8" w:rsidP="002856C4">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5 929 435</w:t>
            </w:r>
          </w:p>
        </w:tc>
        <w:tc>
          <w:tcPr>
            <w:tcW w:w="0" w:type="auto"/>
            <w:tcBorders>
              <w:top w:val="single" w:sz="4" w:space="0" w:color="auto"/>
              <w:left w:val="nil"/>
              <w:bottom w:val="single" w:sz="4" w:space="0" w:color="auto"/>
              <w:right w:val="single" w:sz="4" w:space="0" w:color="auto"/>
            </w:tcBorders>
            <w:noWrap/>
            <w:vAlign w:val="center"/>
          </w:tcPr>
          <w:p w14:paraId="3BA74A33" w14:textId="77777777" w:rsidR="002336E8" w:rsidRPr="00614FA8" w:rsidRDefault="002336E8" w:rsidP="002856C4">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5 483 955</w:t>
            </w:r>
          </w:p>
        </w:tc>
        <w:tc>
          <w:tcPr>
            <w:tcW w:w="0" w:type="auto"/>
            <w:tcBorders>
              <w:top w:val="single" w:sz="4" w:space="0" w:color="auto"/>
              <w:left w:val="nil"/>
              <w:bottom w:val="single" w:sz="4" w:space="0" w:color="auto"/>
              <w:right w:val="single" w:sz="4" w:space="0" w:color="auto"/>
            </w:tcBorders>
            <w:noWrap/>
            <w:vAlign w:val="center"/>
          </w:tcPr>
          <w:p w14:paraId="1BD652CF" w14:textId="77777777" w:rsidR="002336E8" w:rsidRPr="00614FA8" w:rsidRDefault="002336E8" w:rsidP="002856C4">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5 047 432</w:t>
            </w:r>
          </w:p>
        </w:tc>
      </w:tr>
      <w:tr w:rsidR="002336E8" w:rsidRPr="00614FA8" w14:paraId="0BF8C950" w14:textId="77777777"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14:paraId="3AA4BE78" w14:textId="77777777" w:rsidR="002336E8" w:rsidRPr="00614FA8" w:rsidRDefault="002336E8" w:rsidP="002856C4">
            <w:pPr>
              <w:spacing w:before="60" w:after="0" w:line="312" w:lineRule="auto"/>
              <w:jc w:val="center"/>
              <w:rPr>
                <w:rFonts w:ascii="Times New Roman" w:eastAsia="Times New Roman" w:hAnsi="Times New Roman" w:cs="Times New Roman"/>
                <w:sz w:val="24"/>
                <w:szCs w:val="24"/>
                <w:lang w:eastAsia="ru-RU"/>
              </w:rPr>
            </w:pPr>
            <w:r w:rsidRPr="00614FA8">
              <w:rPr>
                <w:rFonts w:ascii="Times New Roman" w:eastAsia="Times New Roman" w:hAnsi="Times New Roman" w:cs="Times New Roman"/>
                <w:sz w:val="24"/>
                <w:szCs w:val="24"/>
                <w:lang w:eastAsia="ru-RU"/>
              </w:rPr>
              <w:t>2020</w:t>
            </w:r>
          </w:p>
        </w:tc>
        <w:tc>
          <w:tcPr>
            <w:tcW w:w="1408" w:type="dxa"/>
            <w:tcBorders>
              <w:top w:val="single" w:sz="4" w:space="0" w:color="auto"/>
              <w:left w:val="nil"/>
              <w:bottom w:val="single" w:sz="4" w:space="0" w:color="auto"/>
              <w:right w:val="single" w:sz="4" w:space="0" w:color="auto"/>
            </w:tcBorders>
            <w:noWrap/>
            <w:vAlign w:val="center"/>
          </w:tcPr>
          <w:p w14:paraId="5D2BD8BC" w14:textId="77777777" w:rsidR="002336E8" w:rsidRPr="00614FA8" w:rsidRDefault="002336E8" w:rsidP="002856C4">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34 502 030</w:t>
            </w:r>
          </w:p>
        </w:tc>
        <w:tc>
          <w:tcPr>
            <w:tcW w:w="0" w:type="auto"/>
            <w:tcBorders>
              <w:top w:val="single" w:sz="4" w:space="0" w:color="auto"/>
              <w:left w:val="nil"/>
              <w:bottom w:val="single" w:sz="4" w:space="0" w:color="auto"/>
              <w:right w:val="single" w:sz="4" w:space="0" w:color="auto"/>
            </w:tcBorders>
            <w:noWrap/>
            <w:vAlign w:val="center"/>
          </w:tcPr>
          <w:p w14:paraId="762687A6" w14:textId="77777777" w:rsidR="002336E8" w:rsidRPr="00614FA8" w:rsidRDefault="002336E8" w:rsidP="002856C4">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3 499 813</w:t>
            </w:r>
          </w:p>
        </w:tc>
        <w:tc>
          <w:tcPr>
            <w:tcW w:w="0" w:type="auto"/>
            <w:tcBorders>
              <w:top w:val="single" w:sz="4" w:space="0" w:color="auto"/>
              <w:left w:val="nil"/>
              <w:bottom w:val="single" w:sz="4" w:space="0" w:color="auto"/>
              <w:right w:val="single" w:sz="4" w:space="0" w:color="auto"/>
            </w:tcBorders>
            <w:noWrap/>
            <w:vAlign w:val="center"/>
          </w:tcPr>
          <w:p w14:paraId="3F2EE5F6" w14:textId="77777777" w:rsidR="002336E8" w:rsidRPr="00614FA8" w:rsidRDefault="002336E8" w:rsidP="002856C4">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3 380 456</w:t>
            </w:r>
          </w:p>
        </w:tc>
        <w:tc>
          <w:tcPr>
            <w:tcW w:w="0" w:type="auto"/>
            <w:tcBorders>
              <w:top w:val="single" w:sz="4" w:space="0" w:color="auto"/>
              <w:left w:val="nil"/>
              <w:bottom w:val="single" w:sz="4" w:space="0" w:color="auto"/>
              <w:right w:val="single" w:sz="4" w:space="0" w:color="auto"/>
            </w:tcBorders>
            <w:noWrap/>
            <w:vAlign w:val="center"/>
          </w:tcPr>
          <w:p w14:paraId="0538F58C" w14:textId="77777777" w:rsidR="002336E8" w:rsidRPr="00614FA8" w:rsidRDefault="002336E8" w:rsidP="002856C4">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4 598 561</w:t>
            </w:r>
          </w:p>
        </w:tc>
        <w:tc>
          <w:tcPr>
            <w:tcW w:w="0" w:type="auto"/>
            <w:tcBorders>
              <w:top w:val="single" w:sz="4" w:space="0" w:color="auto"/>
              <w:left w:val="nil"/>
              <w:bottom w:val="single" w:sz="4" w:space="0" w:color="auto"/>
              <w:right w:val="single" w:sz="4" w:space="0" w:color="auto"/>
            </w:tcBorders>
            <w:noWrap/>
            <w:vAlign w:val="center"/>
          </w:tcPr>
          <w:p w14:paraId="7530B3E7" w14:textId="77777777" w:rsidR="002336E8" w:rsidRPr="00614FA8" w:rsidRDefault="002336E8" w:rsidP="002856C4">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6 276 114</w:t>
            </w:r>
          </w:p>
        </w:tc>
        <w:tc>
          <w:tcPr>
            <w:tcW w:w="0" w:type="auto"/>
            <w:tcBorders>
              <w:top w:val="single" w:sz="4" w:space="0" w:color="auto"/>
              <w:left w:val="nil"/>
              <w:bottom w:val="single" w:sz="4" w:space="0" w:color="auto"/>
              <w:right w:val="single" w:sz="4" w:space="0" w:color="auto"/>
            </w:tcBorders>
            <w:noWrap/>
            <w:vAlign w:val="center"/>
          </w:tcPr>
          <w:p w14:paraId="6872A006" w14:textId="77777777" w:rsidR="002336E8" w:rsidRPr="00614FA8" w:rsidRDefault="002336E8" w:rsidP="002856C4">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6 051 215</w:t>
            </w:r>
          </w:p>
        </w:tc>
        <w:tc>
          <w:tcPr>
            <w:tcW w:w="0" w:type="auto"/>
            <w:tcBorders>
              <w:top w:val="single" w:sz="4" w:space="0" w:color="auto"/>
              <w:left w:val="nil"/>
              <w:bottom w:val="single" w:sz="4" w:space="0" w:color="auto"/>
              <w:right w:val="single" w:sz="4" w:space="0" w:color="auto"/>
            </w:tcBorders>
            <w:noWrap/>
            <w:vAlign w:val="center"/>
          </w:tcPr>
          <w:p w14:paraId="1071F0CE" w14:textId="77777777" w:rsidR="002336E8" w:rsidRPr="00614FA8" w:rsidRDefault="002336E8" w:rsidP="002856C4">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5 529 797</w:t>
            </w:r>
          </w:p>
        </w:tc>
        <w:tc>
          <w:tcPr>
            <w:tcW w:w="0" w:type="auto"/>
            <w:tcBorders>
              <w:top w:val="single" w:sz="4" w:space="0" w:color="auto"/>
              <w:left w:val="nil"/>
              <w:bottom w:val="single" w:sz="4" w:space="0" w:color="auto"/>
              <w:right w:val="single" w:sz="4" w:space="0" w:color="auto"/>
            </w:tcBorders>
            <w:noWrap/>
            <w:vAlign w:val="center"/>
          </w:tcPr>
          <w:p w14:paraId="7E2FD484" w14:textId="77777777" w:rsidR="002336E8" w:rsidRPr="00614FA8" w:rsidRDefault="002336E8" w:rsidP="002856C4">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5 166 074</w:t>
            </w:r>
          </w:p>
        </w:tc>
      </w:tr>
      <w:tr w:rsidR="002336E8" w:rsidRPr="00614FA8" w14:paraId="7FBEDF3E" w14:textId="77777777"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14:paraId="624FB131" w14:textId="77777777" w:rsidR="002336E8" w:rsidRPr="00614FA8" w:rsidRDefault="002336E8" w:rsidP="002856C4">
            <w:pPr>
              <w:spacing w:before="60" w:after="0" w:line="312" w:lineRule="auto"/>
              <w:jc w:val="center"/>
              <w:rPr>
                <w:rFonts w:ascii="Times New Roman" w:eastAsia="Times New Roman" w:hAnsi="Times New Roman" w:cs="Times New Roman"/>
                <w:sz w:val="24"/>
                <w:szCs w:val="24"/>
                <w:lang w:eastAsia="ru-RU"/>
              </w:rPr>
            </w:pPr>
            <w:r w:rsidRPr="00614FA8">
              <w:rPr>
                <w:rFonts w:ascii="Times New Roman" w:eastAsia="Times New Roman" w:hAnsi="Times New Roman" w:cs="Times New Roman"/>
                <w:sz w:val="24"/>
                <w:szCs w:val="24"/>
                <w:lang w:eastAsia="ru-RU"/>
              </w:rPr>
              <w:t>2021</w:t>
            </w:r>
          </w:p>
        </w:tc>
        <w:tc>
          <w:tcPr>
            <w:tcW w:w="1408" w:type="dxa"/>
            <w:tcBorders>
              <w:top w:val="single" w:sz="4" w:space="0" w:color="auto"/>
              <w:left w:val="nil"/>
              <w:bottom w:val="single" w:sz="4" w:space="0" w:color="auto"/>
              <w:right w:val="single" w:sz="4" w:space="0" w:color="auto"/>
            </w:tcBorders>
            <w:noWrap/>
            <w:vAlign w:val="center"/>
          </w:tcPr>
          <w:p w14:paraId="264D884F" w14:textId="77777777" w:rsidR="002336E8" w:rsidRPr="00614FA8" w:rsidRDefault="002336E8" w:rsidP="002856C4">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34 182 566</w:t>
            </w:r>
          </w:p>
        </w:tc>
        <w:tc>
          <w:tcPr>
            <w:tcW w:w="0" w:type="auto"/>
            <w:tcBorders>
              <w:top w:val="single" w:sz="4" w:space="0" w:color="auto"/>
              <w:left w:val="nil"/>
              <w:bottom w:val="single" w:sz="4" w:space="0" w:color="auto"/>
              <w:right w:val="single" w:sz="4" w:space="0" w:color="auto"/>
            </w:tcBorders>
            <w:noWrap/>
            <w:vAlign w:val="center"/>
          </w:tcPr>
          <w:p w14:paraId="0772FA92" w14:textId="77777777" w:rsidR="002336E8" w:rsidRPr="00614FA8" w:rsidRDefault="002336E8" w:rsidP="002856C4">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3 559 667</w:t>
            </w:r>
          </w:p>
        </w:tc>
        <w:tc>
          <w:tcPr>
            <w:tcW w:w="0" w:type="auto"/>
            <w:tcBorders>
              <w:top w:val="single" w:sz="4" w:space="0" w:color="auto"/>
              <w:left w:val="nil"/>
              <w:bottom w:val="single" w:sz="4" w:space="0" w:color="auto"/>
              <w:right w:val="single" w:sz="4" w:space="0" w:color="auto"/>
            </w:tcBorders>
            <w:noWrap/>
            <w:vAlign w:val="center"/>
          </w:tcPr>
          <w:p w14:paraId="61036B89" w14:textId="77777777" w:rsidR="002336E8" w:rsidRPr="00614FA8" w:rsidRDefault="002336E8" w:rsidP="002856C4">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3 329 784</w:t>
            </w:r>
          </w:p>
        </w:tc>
        <w:tc>
          <w:tcPr>
            <w:tcW w:w="0" w:type="auto"/>
            <w:tcBorders>
              <w:top w:val="single" w:sz="4" w:space="0" w:color="auto"/>
              <w:left w:val="nil"/>
              <w:bottom w:val="single" w:sz="4" w:space="0" w:color="auto"/>
              <w:right w:val="single" w:sz="4" w:space="0" w:color="auto"/>
            </w:tcBorders>
            <w:noWrap/>
            <w:vAlign w:val="center"/>
          </w:tcPr>
          <w:p w14:paraId="5B413EF5" w14:textId="77777777" w:rsidR="002336E8" w:rsidRPr="00614FA8" w:rsidRDefault="002336E8" w:rsidP="002856C4">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4 181 285</w:t>
            </w:r>
          </w:p>
        </w:tc>
        <w:tc>
          <w:tcPr>
            <w:tcW w:w="0" w:type="auto"/>
            <w:tcBorders>
              <w:top w:val="single" w:sz="4" w:space="0" w:color="auto"/>
              <w:left w:val="nil"/>
              <w:bottom w:val="single" w:sz="4" w:space="0" w:color="auto"/>
              <w:right w:val="single" w:sz="4" w:space="0" w:color="auto"/>
            </w:tcBorders>
            <w:noWrap/>
            <w:vAlign w:val="center"/>
          </w:tcPr>
          <w:p w14:paraId="71193530" w14:textId="77777777" w:rsidR="002336E8" w:rsidRPr="00614FA8" w:rsidRDefault="002336E8" w:rsidP="002856C4">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6 151 363</w:t>
            </w:r>
          </w:p>
        </w:tc>
        <w:tc>
          <w:tcPr>
            <w:tcW w:w="0" w:type="auto"/>
            <w:tcBorders>
              <w:top w:val="single" w:sz="4" w:space="0" w:color="auto"/>
              <w:left w:val="nil"/>
              <w:bottom w:val="single" w:sz="4" w:space="0" w:color="auto"/>
              <w:right w:val="single" w:sz="4" w:space="0" w:color="auto"/>
            </w:tcBorders>
            <w:noWrap/>
            <w:vAlign w:val="center"/>
          </w:tcPr>
          <w:p w14:paraId="6F1A59C3" w14:textId="77777777" w:rsidR="002336E8" w:rsidRPr="00614FA8" w:rsidRDefault="002336E8" w:rsidP="002856C4">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6 113 885</w:t>
            </w:r>
          </w:p>
        </w:tc>
        <w:tc>
          <w:tcPr>
            <w:tcW w:w="0" w:type="auto"/>
            <w:tcBorders>
              <w:top w:val="single" w:sz="4" w:space="0" w:color="auto"/>
              <w:left w:val="nil"/>
              <w:bottom w:val="single" w:sz="4" w:space="0" w:color="auto"/>
              <w:right w:val="single" w:sz="4" w:space="0" w:color="auto"/>
            </w:tcBorders>
            <w:noWrap/>
            <w:vAlign w:val="center"/>
          </w:tcPr>
          <w:p w14:paraId="60F27A42" w14:textId="77777777" w:rsidR="002336E8" w:rsidRPr="00614FA8" w:rsidRDefault="002336E8" w:rsidP="002856C4">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5 619 054</w:t>
            </w:r>
          </w:p>
        </w:tc>
        <w:tc>
          <w:tcPr>
            <w:tcW w:w="0" w:type="auto"/>
            <w:tcBorders>
              <w:top w:val="single" w:sz="4" w:space="0" w:color="auto"/>
              <w:left w:val="nil"/>
              <w:bottom w:val="single" w:sz="4" w:space="0" w:color="auto"/>
              <w:right w:val="single" w:sz="4" w:space="0" w:color="auto"/>
            </w:tcBorders>
            <w:noWrap/>
            <w:vAlign w:val="center"/>
          </w:tcPr>
          <w:p w14:paraId="51492FE2" w14:textId="77777777" w:rsidR="002336E8" w:rsidRPr="00614FA8" w:rsidRDefault="002336E8" w:rsidP="002856C4">
            <w:pPr>
              <w:spacing w:before="60" w:after="0" w:line="312"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5 227 528</w:t>
            </w:r>
          </w:p>
        </w:tc>
      </w:tr>
      <w:tr w:rsidR="002336E8" w:rsidRPr="00614FA8" w14:paraId="7106F5D0" w14:textId="77777777" w:rsidTr="00944CB1">
        <w:trPr>
          <w:trHeight w:val="300"/>
        </w:trPr>
        <w:tc>
          <w:tcPr>
            <w:tcW w:w="0" w:type="auto"/>
            <w:tcBorders>
              <w:top w:val="single" w:sz="4" w:space="0" w:color="auto"/>
              <w:left w:val="single" w:sz="4" w:space="0" w:color="auto"/>
              <w:bottom w:val="single" w:sz="4" w:space="0" w:color="auto"/>
              <w:right w:val="single" w:sz="4" w:space="0" w:color="auto"/>
            </w:tcBorders>
            <w:vAlign w:val="center"/>
          </w:tcPr>
          <w:p w14:paraId="58874E2D" w14:textId="77777777" w:rsidR="002336E8" w:rsidRPr="00614FA8" w:rsidRDefault="002336E8" w:rsidP="00D03A4F">
            <w:pPr>
              <w:spacing w:before="60" w:after="0" w:line="31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p>
        </w:tc>
        <w:tc>
          <w:tcPr>
            <w:tcW w:w="1408" w:type="dxa"/>
            <w:tcBorders>
              <w:left w:val="nil"/>
              <w:bottom w:val="single" w:sz="4" w:space="0" w:color="auto"/>
              <w:right w:val="single" w:sz="4" w:space="0" w:color="auto"/>
            </w:tcBorders>
            <w:noWrap/>
            <w:vAlign w:val="center"/>
          </w:tcPr>
          <w:p w14:paraId="59CEE98A" w14:textId="77777777" w:rsidR="002336E8" w:rsidRPr="00017AC5" w:rsidRDefault="002336E8" w:rsidP="002856C4">
            <w:pPr>
              <w:spacing w:before="60" w:after="0" w:line="312" w:lineRule="auto"/>
              <w:jc w:val="center"/>
              <w:rPr>
                <w:rFonts w:ascii="Times New Roman" w:eastAsia="Times New Roman" w:hAnsi="Times New Roman" w:cs="Times New Roman"/>
                <w:sz w:val="24"/>
                <w:szCs w:val="24"/>
                <w:lang w:val="en-US" w:eastAsia="ru-RU"/>
              </w:rPr>
            </w:pPr>
            <w:r w:rsidRPr="00017AC5">
              <w:rPr>
                <w:rFonts w:ascii="Times New Roman" w:eastAsia="Times New Roman" w:hAnsi="Times New Roman" w:cs="Times New Roman"/>
                <w:sz w:val="24"/>
                <w:szCs w:val="24"/>
                <w:lang w:val="en-US" w:eastAsia="ru-RU"/>
              </w:rPr>
              <w:t>33 967 610</w:t>
            </w:r>
          </w:p>
        </w:tc>
        <w:tc>
          <w:tcPr>
            <w:tcW w:w="0" w:type="auto"/>
            <w:tcBorders>
              <w:left w:val="nil"/>
              <w:bottom w:val="single" w:sz="4" w:space="0" w:color="auto"/>
              <w:right w:val="single" w:sz="4" w:space="0" w:color="auto"/>
            </w:tcBorders>
            <w:noWrap/>
            <w:vAlign w:val="center"/>
          </w:tcPr>
          <w:p w14:paraId="71E24120" w14:textId="77777777" w:rsidR="002336E8" w:rsidRPr="00017AC5" w:rsidRDefault="002336E8" w:rsidP="002856C4">
            <w:pPr>
              <w:spacing w:before="60" w:after="0" w:line="312" w:lineRule="auto"/>
              <w:jc w:val="center"/>
              <w:rPr>
                <w:rFonts w:ascii="Times New Roman" w:eastAsia="Times New Roman" w:hAnsi="Times New Roman" w:cs="Times New Roman"/>
                <w:sz w:val="24"/>
                <w:szCs w:val="24"/>
                <w:lang w:val="en-US" w:eastAsia="ru-RU"/>
              </w:rPr>
            </w:pPr>
            <w:r w:rsidRPr="00017AC5">
              <w:rPr>
                <w:rFonts w:ascii="Times New Roman" w:eastAsia="Times New Roman" w:hAnsi="Times New Roman" w:cs="Times New Roman"/>
                <w:sz w:val="24"/>
                <w:szCs w:val="24"/>
                <w:lang w:val="en-US" w:eastAsia="ru-RU"/>
              </w:rPr>
              <w:t>3</w:t>
            </w:r>
            <w:r>
              <w:rPr>
                <w:rFonts w:ascii="Times New Roman" w:eastAsia="Times New Roman" w:hAnsi="Times New Roman" w:cs="Times New Roman"/>
                <w:sz w:val="24"/>
                <w:szCs w:val="24"/>
                <w:lang w:val="en-US" w:eastAsia="ru-RU"/>
              </w:rPr>
              <w:t> </w:t>
            </w:r>
            <w:r w:rsidRPr="00017AC5">
              <w:rPr>
                <w:rFonts w:ascii="Times New Roman" w:eastAsia="Times New Roman" w:hAnsi="Times New Roman" w:cs="Times New Roman"/>
                <w:sz w:val="24"/>
                <w:szCs w:val="24"/>
                <w:lang w:val="en-US" w:eastAsia="ru-RU"/>
              </w:rPr>
              <w:t>637</w:t>
            </w:r>
            <w:r>
              <w:rPr>
                <w:rFonts w:ascii="Times New Roman" w:eastAsia="Times New Roman" w:hAnsi="Times New Roman" w:cs="Times New Roman"/>
                <w:sz w:val="24"/>
                <w:szCs w:val="24"/>
                <w:lang w:eastAsia="ru-RU"/>
              </w:rPr>
              <w:t xml:space="preserve"> </w:t>
            </w:r>
            <w:r w:rsidRPr="00017AC5">
              <w:rPr>
                <w:rFonts w:ascii="Times New Roman" w:eastAsia="Times New Roman" w:hAnsi="Times New Roman" w:cs="Times New Roman"/>
                <w:sz w:val="24"/>
                <w:szCs w:val="24"/>
                <w:lang w:val="en-US" w:eastAsia="ru-RU"/>
              </w:rPr>
              <w:t>446</w:t>
            </w:r>
          </w:p>
        </w:tc>
        <w:tc>
          <w:tcPr>
            <w:tcW w:w="0" w:type="auto"/>
            <w:tcBorders>
              <w:left w:val="nil"/>
              <w:bottom w:val="single" w:sz="4" w:space="0" w:color="auto"/>
              <w:right w:val="single" w:sz="4" w:space="0" w:color="auto"/>
            </w:tcBorders>
            <w:noWrap/>
            <w:vAlign w:val="center"/>
          </w:tcPr>
          <w:p w14:paraId="0FE95B58" w14:textId="77777777" w:rsidR="002336E8" w:rsidRPr="00017AC5" w:rsidRDefault="002336E8" w:rsidP="002856C4">
            <w:pPr>
              <w:spacing w:before="60" w:after="0" w:line="312" w:lineRule="auto"/>
              <w:jc w:val="center"/>
              <w:rPr>
                <w:rFonts w:ascii="Times New Roman" w:eastAsia="Times New Roman" w:hAnsi="Times New Roman" w:cs="Times New Roman"/>
                <w:sz w:val="24"/>
                <w:szCs w:val="24"/>
                <w:lang w:val="en-US" w:eastAsia="ru-RU"/>
              </w:rPr>
            </w:pPr>
            <w:r w:rsidRPr="00017AC5">
              <w:rPr>
                <w:rFonts w:ascii="Times New Roman" w:eastAsia="Times New Roman" w:hAnsi="Times New Roman" w:cs="Times New Roman"/>
                <w:sz w:val="24"/>
                <w:szCs w:val="24"/>
                <w:lang w:val="en-US" w:eastAsia="ru-RU"/>
              </w:rPr>
              <w:t>3 323 725</w:t>
            </w:r>
          </w:p>
        </w:tc>
        <w:tc>
          <w:tcPr>
            <w:tcW w:w="0" w:type="auto"/>
            <w:tcBorders>
              <w:left w:val="nil"/>
              <w:bottom w:val="single" w:sz="4" w:space="0" w:color="auto"/>
              <w:right w:val="single" w:sz="4" w:space="0" w:color="auto"/>
            </w:tcBorders>
            <w:noWrap/>
            <w:vAlign w:val="center"/>
          </w:tcPr>
          <w:p w14:paraId="0661F60B" w14:textId="77777777" w:rsidR="002336E8" w:rsidRPr="00017AC5" w:rsidRDefault="002336E8" w:rsidP="002856C4">
            <w:pPr>
              <w:spacing w:before="60" w:after="0" w:line="312" w:lineRule="auto"/>
              <w:jc w:val="center"/>
              <w:rPr>
                <w:rFonts w:ascii="Times New Roman" w:eastAsia="Times New Roman" w:hAnsi="Times New Roman" w:cs="Times New Roman"/>
                <w:sz w:val="24"/>
                <w:szCs w:val="24"/>
                <w:lang w:val="en-US" w:eastAsia="ru-RU"/>
              </w:rPr>
            </w:pPr>
            <w:r w:rsidRPr="00017AC5">
              <w:rPr>
                <w:rFonts w:ascii="Times New Roman" w:eastAsia="Times New Roman" w:hAnsi="Times New Roman" w:cs="Times New Roman"/>
                <w:sz w:val="24"/>
                <w:szCs w:val="24"/>
                <w:lang w:val="en-US" w:eastAsia="ru-RU"/>
              </w:rPr>
              <w:t>3 885 152</w:t>
            </w:r>
          </w:p>
        </w:tc>
        <w:tc>
          <w:tcPr>
            <w:tcW w:w="0" w:type="auto"/>
            <w:tcBorders>
              <w:left w:val="nil"/>
              <w:bottom w:val="single" w:sz="4" w:space="0" w:color="auto"/>
              <w:right w:val="single" w:sz="4" w:space="0" w:color="auto"/>
            </w:tcBorders>
            <w:noWrap/>
            <w:vAlign w:val="center"/>
          </w:tcPr>
          <w:p w14:paraId="7728CAE0" w14:textId="77777777" w:rsidR="002336E8" w:rsidRPr="00017AC5" w:rsidRDefault="002336E8" w:rsidP="002856C4">
            <w:pPr>
              <w:spacing w:before="60" w:after="0" w:line="312" w:lineRule="auto"/>
              <w:jc w:val="center"/>
              <w:rPr>
                <w:rFonts w:ascii="Times New Roman" w:eastAsia="Times New Roman" w:hAnsi="Times New Roman" w:cs="Times New Roman"/>
                <w:sz w:val="24"/>
                <w:szCs w:val="24"/>
                <w:lang w:val="en-US" w:eastAsia="ru-RU"/>
              </w:rPr>
            </w:pPr>
            <w:r w:rsidRPr="00017AC5">
              <w:rPr>
                <w:rFonts w:ascii="Times New Roman" w:eastAsia="Times New Roman" w:hAnsi="Times New Roman" w:cs="Times New Roman"/>
                <w:sz w:val="24"/>
                <w:szCs w:val="24"/>
                <w:lang w:val="en-US" w:eastAsia="ru-RU"/>
              </w:rPr>
              <w:t>5 878 621</w:t>
            </w:r>
          </w:p>
        </w:tc>
        <w:tc>
          <w:tcPr>
            <w:tcW w:w="0" w:type="auto"/>
            <w:tcBorders>
              <w:left w:val="nil"/>
              <w:bottom w:val="single" w:sz="4" w:space="0" w:color="auto"/>
              <w:right w:val="single" w:sz="4" w:space="0" w:color="auto"/>
            </w:tcBorders>
            <w:noWrap/>
            <w:vAlign w:val="center"/>
          </w:tcPr>
          <w:p w14:paraId="72FBED21" w14:textId="77777777" w:rsidR="002336E8" w:rsidRPr="00017AC5" w:rsidRDefault="002336E8" w:rsidP="002856C4">
            <w:pPr>
              <w:spacing w:before="60" w:after="0" w:line="312" w:lineRule="auto"/>
              <w:jc w:val="center"/>
              <w:rPr>
                <w:rFonts w:ascii="Times New Roman" w:eastAsia="Times New Roman" w:hAnsi="Times New Roman" w:cs="Times New Roman"/>
                <w:sz w:val="24"/>
                <w:szCs w:val="24"/>
                <w:lang w:val="en-US" w:eastAsia="ru-RU"/>
              </w:rPr>
            </w:pPr>
            <w:r w:rsidRPr="00017AC5">
              <w:rPr>
                <w:rFonts w:ascii="Times New Roman" w:eastAsia="Times New Roman" w:hAnsi="Times New Roman" w:cs="Times New Roman"/>
                <w:sz w:val="24"/>
                <w:szCs w:val="24"/>
                <w:lang w:val="en-US" w:eastAsia="ru-RU"/>
              </w:rPr>
              <w:t>6</w:t>
            </w:r>
            <w:r>
              <w:rPr>
                <w:rFonts w:ascii="Times New Roman" w:eastAsia="Times New Roman" w:hAnsi="Times New Roman" w:cs="Times New Roman"/>
                <w:sz w:val="24"/>
                <w:szCs w:val="24"/>
                <w:lang w:eastAsia="ru-RU"/>
              </w:rPr>
              <w:t> </w:t>
            </w:r>
            <w:r w:rsidRPr="00017AC5">
              <w:rPr>
                <w:rFonts w:ascii="Times New Roman" w:eastAsia="Times New Roman" w:hAnsi="Times New Roman" w:cs="Times New Roman"/>
                <w:sz w:val="24"/>
                <w:szCs w:val="24"/>
                <w:lang w:val="en-US" w:eastAsia="ru-RU"/>
              </w:rPr>
              <w:t>269</w:t>
            </w:r>
            <w:r>
              <w:rPr>
                <w:rFonts w:ascii="Times New Roman" w:eastAsia="Times New Roman" w:hAnsi="Times New Roman" w:cs="Times New Roman"/>
                <w:sz w:val="24"/>
                <w:szCs w:val="24"/>
                <w:lang w:eastAsia="ru-RU"/>
              </w:rPr>
              <w:t xml:space="preserve"> </w:t>
            </w:r>
            <w:r w:rsidRPr="00017AC5">
              <w:rPr>
                <w:rFonts w:ascii="Times New Roman" w:eastAsia="Times New Roman" w:hAnsi="Times New Roman" w:cs="Times New Roman"/>
                <w:sz w:val="24"/>
                <w:szCs w:val="24"/>
                <w:lang w:val="en-US" w:eastAsia="ru-RU"/>
              </w:rPr>
              <w:t>412</w:t>
            </w:r>
          </w:p>
        </w:tc>
        <w:tc>
          <w:tcPr>
            <w:tcW w:w="0" w:type="auto"/>
            <w:tcBorders>
              <w:left w:val="nil"/>
              <w:bottom w:val="single" w:sz="4" w:space="0" w:color="auto"/>
              <w:right w:val="single" w:sz="4" w:space="0" w:color="auto"/>
            </w:tcBorders>
            <w:noWrap/>
            <w:vAlign w:val="center"/>
          </w:tcPr>
          <w:p w14:paraId="45C511A2" w14:textId="77777777" w:rsidR="002336E8" w:rsidRPr="00017AC5" w:rsidRDefault="002336E8" w:rsidP="002856C4">
            <w:pPr>
              <w:spacing w:before="60" w:after="0" w:line="312" w:lineRule="auto"/>
              <w:jc w:val="center"/>
              <w:rPr>
                <w:rFonts w:ascii="Times New Roman" w:eastAsia="Times New Roman" w:hAnsi="Times New Roman" w:cs="Times New Roman"/>
                <w:sz w:val="24"/>
                <w:szCs w:val="24"/>
                <w:lang w:val="en-US" w:eastAsia="ru-RU"/>
              </w:rPr>
            </w:pPr>
            <w:r w:rsidRPr="00017AC5">
              <w:rPr>
                <w:rFonts w:ascii="Times New Roman" w:eastAsia="Times New Roman" w:hAnsi="Times New Roman" w:cs="Times New Roman"/>
                <w:sz w:val="24"/>
                <w:szCs w:val="24"/>
                <w:lang w:val="en-US" w:eastAsia="ru-RU"/>
              </w:rPr>
              <w:t>5 655 936</w:t>
            </w:r>
          </w:p>
        </w:tc>
        <w:tc>
          <w:tcPr>
            <w:tcW w:w="0" w:type="auto"/>
            <w:tcBorders>
              <w:left w:val="nil"/>
              <w:bottom w:val="single" w:sz="4" w:space="0" w:color="auto"/>
              <w:right w:val="single" w:sz="4" w:space="0" w:color="auto"/>
            </w:tcBorders>
            <w:noWrap/>
            <w:vAlign w:val="center"/>
          </w:tcPr>
          <w:p w14:paraId="34425D6D" w14:textId="77777777" w:rsidR="002336E8" w:rsidRPr="00017AC5" w:rsidRDefault="002336E8" w:rsidP="002856C4">
            <w:pPr>
              <w:spacing w:before="60" w:after="0" w:line="312" w:lineRule="auto"/>
              <w:jc w:val="center"/>
              <w:rPr>
                <w:rFonts w:ascii="Times New Roman" w:eastAsia="Times New Roman" w:hAnsi="Times New Roman" w:cs="Times New Roman"/>
                <w:sz w:val="24"/>
                <w:szCs w:val="24"/>
                <w:lang w:val="en-US" w:eastAsia="ru-RU"/>
              </w:rPr>
            </w:pPr>
            <w:r w:rsidRPr="00017AC5">
              <w:rPr>
                <w:rFonts w:ascii="Times New Roman" w:eastAsia="Times New Roman" w:hAnsi="Times New Roman" w:cs="Times New Roman"/>
                <w:sz w:val="24"/>
                <w:szCs w:val="24"/>
                <w:lang w:val="en-US" w:eastAsia="ru-RU"/>
              </w:rPr>
              <w:t>5 317 318</w:t>
            </w:r>
          </w:p>
        </w:tc>
      </w:tr>
    </w:tbl>
    <w:p w14:paraId="331116E3" w14:textId="77777777" w:rsidR="00D03A4F" w:rsidRPr="00BD5A90" w:rsidRDefault="00D03A4F" w:rsidP="00D03A4F">
      <w:pPr>
        <w:spacing w:after="0" w:line="240" w:lineRule="auto"/>
        <w:rPr>
          <w:rFonts w:ascii="Times New Roman" w:eastAsia="Times New Roman" w:hAnsi="Times New Roman" w:cs="Times New Roman"/>
          <w:color w:val="000000"/>
          <w:sz w:val="26"/>
          <w:szCs w:val="26"/>
          <w:highlight w:val="yellow"/>
          <w:lang w:eastAsia="ru-RU"/>
        </w:rPr>
      </w:pPr>
    </w:p>
    <w:p w14:paraId="31A7D2B7" w14:textId="77777777" w:rsidR="00D03A4F" w:rsidRPr="00614FA8" w:rsidRDefault="00D03A4F" w:rsidP="00D03A4F">
      <w:pPr>
        <w:spacing w:after="0" w:line="240" w:lineRule="auto"/>
        <w:jc w:val="right"/>
        <w:rPr>
          <w:rFonts w:ascii="Times New Roman" w:eastAsia="Times New Roman" w:hAnsi="Times New Roman" w:cs="Times New Roman"/>
          <w:color w:val="000000"/>
          <w:sz w:val="26"/>
          <w:szCs w:val="26"/>
          <w:lang w:eastAsia="ru-RU"/>
        </w:rPr>
      </w:pPr>
      <w:r w:rsidRPr="00614FA8">
        <w:rPr>
          <w:rFonts w:ascii="Times New Roman" w:eastAsia="Times New Roman" w:hAnsi="Times New Roman" w:cs="Times New Roman"/>
          <w:color w:val="000000"/>
          <w:sz w:val="26"/>
          <w:szCs w:val="26"/>
          <w:lang w:eastAsia="ru-RU"/>
        </w:rPr>
        <w:t>Таблица 5</w:t>
      </w:r>
    </w:p>
    <w:p w14:paraId="0E4B7E91" w14:textId="77777777" w:rsidR="00D03A4F" w:rsidRPr="00614FA8"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614FA8">
        <w:rPr>
          <w:rFonts w:ascii="Times New Roman" w:eastAsia="Times New Roman" w:hAnsi="Times New Roman" w:cs="Times New Roman"/>
          <w:b/>
          <w:bCs/>
          <w:color w:val="000000"/>
          <w:sz w:val="26"/>
          <w:szCs w:val="26"/>
          <w:lang w:eastAsia="ru-RU"/>
        </w:rPr>
        <w:t>Родившиеся, умершие и естественный прирост населения</w:t>
      </w:r>
    </w:p>
    <w:p w14:paraId="01432A1E" w14:textId="77777777" w:rsidR="00D03A4F" w:rsidRPr="00614FA8" w:rsidRDefault="00D03A4F" w:rsidP="00D03A4F">
      <w:pPr>
        <w:spacing w:after="0" w:line="240" w:lineRule="auto"/>
        <w:jc w:val="center"/>
        <w:rPr>
          <w:rFonts w:ascii="Times New Roman" w:eastAsia="Times New Roman" w:hAnsi="Times New Roman" w:cs="Times New Roman"/>
          <w:bCs/>
          <w:color w:val="000000"/>
          <w:sz w:val="24"/>
          <w:szCs w:val="24"/>
          <w:lang w:eastAsia="ru-RU"/>
        </w:rPr>
      </w:pPr>
      <w:r w:rsidRPr="00614FA8">
        <w:rPr>
          <w:rFonts w:ascii="Times New Roman" w:eastAsia="Times New Roman" w:hAnsi="Times New Roman" w:cs="Times New Roman"/>
          <w:bCs/>
          <w:color w:val="000000"/>
          <w:sz w:val="24"/>
          <w:szCs w:val="24"/>
          <w:lang w:eastAsia="ru-RU"/>
        </w:rPr>
        <w:t>(человек)</w:t>
      </w:r>
    </w:p>
    <w:p w14:paraId="08B35F2C" w14:textId="77777777" w:rsidR="00D03A4F" w:rsidRPr="00614FA8" w:rsidRDefault="00D03A4F" w:rsidP="00D03A4F">
      <w:pPr>
        <w:spacing w:after="0" w:line="240" w:lineRule="auto"/>
        <w:jc w:val="right"/>
        <w:rPr>
          <w:rFonts w:ascii="Times New Roman" w:eastAsia="Times New Roman" w:hAnsi="Times New Roman" w:cs="Times New Roman"/>
          <w:color w:val="000000"/>
          <w:sz w:val="24"/>
          <w:szCs w:val="24"/>
          <w:lang w:eastAsia="ru-RU"/>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D03A4F" w:rsidRPr="00614FA8" w14:paraId="28481D9D" w14:textId="77777777" w:rsidTr="00944CB1">
        <w:trPr>
          <w:trHeight w:val="570"/>
        </w:trPr>
        <w:tc>
          <w:tcPr>
            <w:tcW w:w="2711" w:type="dxa"/>
            <w:tcBorders>
              <w:top w:val="single" w:sz="4" w:space="0" w:color="auto"/>
              <w:left w:val="single" w:sz="4" w:space="0" w:color="auto"/>
              <w:bottom w:val="single" w:sz="4" w:space="0" w:color="auto"/>
              <w:right w:val="single" w:sz="4" w:space="0" w:color="auto"/>
            </w:tcBorders>
            <w:noWrap/>
            <w:vAlign w:val="center"/>
          </w:tcPr>
          <w:p w14:paraId="6456DD25" w14:textId="77777777" w:rsidR="00D03A4F" w:rsidRPr="00614FA8" w:rsidRDefault="00D03A4F" w:rsidP="00D03A4F">
            <w:pPr>
              <w:spacing w:after="0" w:line="240" w:lineRule="auto"/>
              <w:ind w:hanging="567"/>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Год</w:t>
            </w:r>
          </w:p>
        </w:tc>
        <w:tc>
          <w:tcPr>
            <w:tcW w:w="2711" w:type="dxa"/>
            <w:tcBorders>
              <w:top w:val="single" w:sz="4" w:space="0" w:color="auto"/>
              <w:left w:val="nil"/>
              <w:bottom w:val="single" w:sz="4" w:space="0" w:color="auto"/>
              <w:right w:val="single" w:sz="4" w:space="0" w:color="auto"/>
            </w:tcBorders>
            <w:noWrap/>
            <w:vAlign w:val="center"/>
          </w:tcPr>
          <w:p w14:paraId="736EC8B1" w14:textId="77777777" w:rsidR="00D03A4F" w:rsidRPr="00614FA8" w:rsidRDefault="00D03A4F" w:rsidP="00D03A4F">
            <w:pPr>
              <w:spacing w:after="0" w:line="240" w:lineRule="auto"/>
              <w:ind w:hanging="567"/>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Родившихся</w:t>
            </w:r>
          </w:p>
        </w:tc>
        <w:tc>
          <w:tcPr>
            <w:tcW w:w="2712" w:type="dxa"/>
            <w:tcBorders>
              <w:top w:val="single" w:sz="4" w:space="0" w:color="auto"/>
              <w:left w:val="nil"/>
              <w:bottom w:val="single" w:sz="4" w:space="0" w:color="auto"/>
              <w:right w:val="single" w:sz="4" w:space="0" w:color="auto"/>
            </w:tcBorders>
            <w:noWrap/>
            <w:vAlign w:val="center"/>
          </w:tcPr>
          <w:p w14:paraId="7C161433" w14:textId="77777777" w:rsidR="00D03A4F" w:rsidRPr="00614FA8" w:rsidRDefault="00D03A4F" w:rsidP="00D03A4F">
            <w:pPr>
              <w:spacing w:after="0" w:line="240" w:lineRule="auto"/>
              <w:ind w:hanging="567"/>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Умерших</w:t>
            </w:r>
          </w:p>
        </w:tc>
        <w:tc>
          <w:tcPr>
            <w:tcW w:w="2215" w:type="dxa"/>
            <w:tcBorders>
              <w:top w:val="single" w:sz="4" w:space="0" w:color="auto"/>
              <w:left w:val="nil"/>
              <w:bottom w:val="single" w:sz="4" w:space="0" w:color="auto"/>
              <w:right w:val="single" w:sz="4" w:space="0" w:color="auto"/>
            </w:tcBorders>
            <w:vAlign w:val="center"/>
          </w:tcPr>
          <w:p w14:paraId="7611E9ED" w14:textId="77777777" w:rsidR="00D03A4F" w:rsidRPr="00614FA8"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Естественный прирост, убыль (-)</w:t>
            </w:r>
          </w:p>
        </w:tc>
      </w:tr>
      <w:tr w:rsidR="00614FA8" w:rsidRPr="00614FA8" w14:paraId="0AB1A30A" w14:textId="77777777" w:rsidTr="00944CB1">
        <w:trPr>
          <w:trHeight w:val="285"/>
        </w:trPr>
        <w:tc>
          <w:tcPr>
            <w:tcW w:w="2711" w:type="dxa"/>
            <w:tcBorders>
              <w:top w:val="single" w:sz="4" w:space="0" w:color="auto"/>
              <w:left w:val="single" w:sz="4" w:space="0" w:color="auto"/>
              <w:bottom w:val="single" w:sz="4" w:space="0" w:color="auto"/>
              <w:right w:val="nil"/>
            </w:tcBorders>
            <w:noWrap/>
            <w:vAlign w:val="center"/>
          </w:tcPr>
          <w:p w14:paraId="71A4D4E4" w14:textId="77777777" w:rsidR="00614FA8" w:rsidRPr="00614FA8"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14:paraId="5B882C42" w14:textId="77777777" w:rsidR="00614FA8" w:rsidRPr="00614FA8"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1 604 344</w:t>
            </w:r>
          </w:p>
        </w:tc>
        <w:tc>
          <w:tcPr>
            <w:tcW w:w="2712" w:type="dxa"/>
            <w:tcBorders>
              <w:top w:val="single" w:sz="4" w:space="0" w:color="auto"/>
              <w:left w:val="nil"/>
              <w:bottom w:val="single" w:sz="4" w:space="0" w:color="auto"/>
              <w:right w:val="nil"/>
            </w:tcBorders>
            <w:noWrap/>
            <w:vAlign w:val="center"/>
          </w:tcPr>
          <w:p w14:paraId="1216BC84" w14:textId="77777777" w:rsidR="00614FA8" w:rsidRPr="00614FA8"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1 828 910</w:t>
            </w:r>
          </w:p>
        </w:tc>
        <w:tc>
          <w:tcPr>
            <w:tcW w:w="2215" w:type="dxa"/>
            <w:tcBorders>
              <w:top w:val="single" w:sz="4" w:space="0" w:color="auto"/>
              <w:left w:val="single" w:sz="4" w:space="0" w:color="auto"/>
              <w:bottom w:val="single" w:sz="4" w:space="0" w:color="auto"/>
              <w:right w:val="single" w:sz="4" w:space="0" w:color="auto"/>
            </w:tcBorders>
            <w:noWrap/>
            <w:vAlign w:val="center"/>
          </w:tcPr>
          <w:p w14:paraId="0D4AD3F2" w14:textId="77777777" w:rsidR="00614FA8" w:rsidRPr="00614FA8"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-224 566</w:t>
            </w:r>
          </w:p>
        </w:tc>
      </w:tr>
      <w:tr w:rsidR="00614FA8" w:rsidRPr="00614FA8" w14:paraId="48D93BC8" w14:textId="77777777" w:rsidTr="004967A3">
        <w:trPr>
          <w:trHeight w:val="285"/>
        </w:trPr>
        <w:tc>
          <w:tcPr>
            <w:tcW w:w="2711" w:type="dxa"/>
            <w:tcBorders>
              <w:top w:val="single" w:sz="4" w:space="0" w:color="auto"/>
              <w:left w:val="single" w:sz="4" w:space="0" w:color="auto"/>
              <w:bottom w:val="single" w:sz="4" w:space="0" w:color="auto"/>
              <w:right w:val="nil"/>
            </w:tcBorders>
            <w:noWrap/>
            <w:vAlign w:val="center"/>
          </w:tcPr>
          <w:p w14:paraId="5BC86BFB" w14:textId="77777777" w:rsidR="00614FA8" w:rsidRPr="00614FA8"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2019</w:t>
            </w:r>
          </w:p>
        </w:tc>
        <w:tc>
          <w:tcPr>
            <w:tcW w:w="2711" w:type="dxa"/>
            <w:tcBorders>
              <w:top w:val="single" w:sz="4" w:space="0" w:color="auto"/>
              <w:left w:val="single" w:sz="4" w:space="0" w:color="auto"/>
              <w:bottom w:val="single" w:sz="4" w:space="0" w:color="auto"/>
              <w:right w:val="single" w:sz="4" w:space="0" w:color="auto"/>
            </w:tcBorders>
            <w:noWrap/>
            <w:vAlign w:val="bottom"/>
          </w:tcPr>
          <w:p w14:paraId="32E3629D" w14:textId="77777777" w:rsidR="00614FA8" w:rsidRPr="00614FA8"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1 481 074</w:t>
            </w:r>
          </w:p>
        </w:tc>
        <w:tc>
          <w:tcPr>
            <w:tcW w:w="2712" w:type="dxa"/>
            <w:tcBorders>
              <w:top w:val="single" w:sz="4" w:space="0" w:color="auto"/>
              <w:left w:val="nil"/>
              <w:bottom w:val="single" w:sz="4" w:space="0" w:color="auto"/>
              <w:right w:val="nil"/>
            </w:tcBorders>
            <w:noWrap/>
            <w:vAlign w:val="bottom"/>
          </w:tcPr>
          <w:p w14:paraId="584AE020" w14:textId="77777777" w:rsidR="00614FA8" w:rsidRPr="00614FA8"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1 798 307</w:t>
            </w:r>
          </w:p>
        </w:tc>
        <w:tc>
          <w:tcPr>
            <w:tcW w:w="2215" w:type="dxa"/>
            <w:tcBorders>
              <w:top w:val="single" w:sz="4" w:space="0" w:color="auto"/>
              <w:left w:val="single" w:sz="4" w:space="0" w:color="auto"/>
              <w:bottom w:val="single" w:sz="4" w:space="0" w:color="auto"/>
              <w:right w:val="single" w:sz="4" w:space="0" w:color="auto"/>
            </w:tcBorders>
            <w:noWrap/>
            <w:vAlign w:val="bottom"/>
          </w:tcPr>
          <w:p w14:paraId="4B850337" w14:textId="77777777" w:rsidR="00614FA8" w:rsidRPr="00614FA8" w:rsidRDefault="00614FA8" w:rsidP="009018E0">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sz w:val="24"/>
                <w:szCs w:val="24"/>
                <w:lang w:eastAsia="ru-RU"/>
              </w:rPr>
              <w:t>-317 233</w:t>
            </w:r>
          </w:p>
        </w:tc>
      </w:tr>
      <w:tr w:rsidR="00614FA8" w:rsidRPr="00BD5A90" w14:paraId="5EA89C1A" w14:textId="77777777" w:rsidTr="004967A3">
        <w:trPr>
          <w:trHeight w:val="285"/>
        </w:trPr>
        <w:tc>
          <w:tcPr>
            <w:tcW w:w="2711" w:type="dxa"/>
            <w:tcBorders>
              <w:top w:val="single" w:sz="4" w:space="0" w:color="auto"/>
              <w:left w:val="single" w:sz="4" w:space="0" w:color="auto"/>
              <w:bottom w:val="single" w:sz="4" w:space="0" w:color="auto"/>
              <w:right w:val="nil"/>
            </w:tcBorders>
            <w:noWrap/>
            <w:vAlign w:val="center"/>
          </w:tcPr>
          <w:p w14:paraId="50D74996" w14:textId="77777777" w:rsidR="00614FA8" w:rsidRPr="00614FA8" w:rsidRDefault="00614FA8" w:rsidP="00D03A4F">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2020</w:t>
            </w:r>
          </w:p>
        </w:tc>
        <w:tc>
          <w:tcPr>
            <w:tcW w:w="27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EE8D7" w14:textId="77777777" w:rsidR="00614FA8" w:rsidRPr="00614FA8" w:rsidRDefault="00614FA8" w:rsidP="00D03A4F">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1 436 514</w:t>
            </w:r>
          </w:p>
        </w:tc>
        <w:tc>
          <w:tcPr>
            <w:tcW w:w="2712" w:type="dxa"/>
            <w:tcBorders>
              <w:top w:val="single" w:sz="4" w:space="0" w:color="auto"/>
              <w:left w:val="nil"/>
              <w:bottom w:val="single" w:sz="4" w:space="0" w:color="auto"/>
              <w:right w:val="nil"/>
            </w:tcBorders>
            <w:shd w:val="clear" w:color="auto" w:fill="auto"/>
            <w:noWrap/>
            <w:vAlign w:val="bottom"/>
          </w:tcPr>
          <w:p w14:paraId="18A768C8" w14:textId="77777777" w:rsidR="00614FA8" w:rsidRPr="00614FA8" w:rsidRDefault="00614FA8" w:rsidP="00D03A4F">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2 138 586</w:t>
            </w:r>
          </w:p>
        </w:tc>
        <w:tc>
          <w:tcPr>
            <w:tcW w:w="22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6B910D" w14:textId="77777777" w:rsidR="00614FA8" w:rsidRPr="00614FA8" w:rsidRDefault="00614FA8" w:rsidP="00D03A4F">
            <w:pPr>
              <w:spacing w:before="60" w:after="0" w:line="240" w:lineRule="auto"/>
              <w:jc w:val="center"/>
              <w:rPr>
                <w:rFonts w:ascii="Times New Roman" w:eastAsia="Times New Roman" w:hAnsi="Times New Roman" w:cs="Times New Roman"/>
                <w:color w:val="000000"/>
                <w:sz w:val="24"/>
                <w:szCs w:val="24"/>
                <w:lang w:eastAsia="ru-RU"/>
              </w:rPr>
            </w:pPr>
            <w:r w:rsidRPr="00614FA8">
              <w:rPr>
                <w:rFonts w:ascii="Times New Roman" w:eastAsia="Times New Roman" w:hAnsi="Times New Roman" w:cs="Times New Roman"/>
                <w:color w:val="000000"/>
                <w:sz w:val="24"/>
                <w:szCs w:val="24"/>
                <w:lang w:eastAsia="ru-RU"/>
              </w:rPr>
              <w:t>-702 072</w:t>
            </w:r>
          </w:p>
        </w:tc>
      </w:tr>
      <w:tr w:rsidR="002336E8" w:rsidRPr="00BD5A90" w14:paraId="48A0BB30" w14:textId="77777777" w:rsidTr="004967A3">
        <w:trPr>
          <w:trHeight w:val="285"/>
        </w:trPr>
        <w:tc>
          <w:tcPr>
            <w:tcW w:w="2711" w:type="dxa"/>
            <w:tcBorders>
              <w:top w:val="single" w:sz="4" w:space="0" w:color="auto"/>
              <w:left w:val="single" w:sz="4" w:space="0" w:color="auto"/>
              <w:bottom w:val="single" w:sz="4" w:space="0" w:color="auto"/>
              <w:right w:val="nil"/>
            </w:tcBorders>
            <w:noWrap/>
            <w:vAlign w:val="center"/>
          </w:tcPr>
          <w:p w14:paraId="05797F5E" w14:textId="77777777" w:rsidR="002336E8" w:rsidRPr="00614FA8" w:rsidRDefault="002336E8" w:rsidP="00D03A4F">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p>
        </w:tc>
        <w:tc>
          <w:tcPr>
            <w:tcW w:w="27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17FE89" w14:textId="77777777" w:rsidR="002336E8" w:rsidRPr="00614FA8" w:rsidRDefault="002336E8" w:rsidP="00D03A4F">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1 398 253</w:t>
            </w:r>
          </w:p>
        </w:tc>
        <w:tc>
          <w:tcPr>
            <w:tcW w:w="2712" w:type="dxa"/>
            <w:tcBorders>
              <w:top w:val="single" w:sz="4" w:space="0" w:color="auto"/>
              <w:left w:val="nil"/>
              <w:bottom w:val="single" w:sz="4" w:space="0" w:color="auto"/>
              <w:right w:val="nil"/>
            </w:tcBorders>
            <w:shd w:val="clear" w:color="auto" w:fill="auto"/>
            <w:noWrap/>
            <w:vAlign w:val="bottom"/>
          </w:tcPr>
          <w:p w14:paraId="308C88E4" w14:textId="77777777" w:rsidR="002336E8" w:rsidRPr="00614FA8" w:rsidRDefault="002336E8" w:rsidP="00D03A4F">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2 441 594</w:t>
            </w:r>
          </w:p>
        </w:tc>
        <w:tc>
          <w:tcPr>
            <w:tcW w:w="22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6C525F" w14:textId="77777777" w:rsidR="002336E8" w:rsidRPr="00614FA8" w:rsidRDefault="002336E8" w:rsidP="00D03A4F">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-1 043 341</w:t>
            </w:r>
          </w:p>
        </w:tc>
      </w:tr>
    </w:tbl>
    <w:p w14:paraId="5939EE83" w14:textId="77777777" w:rsidR="00D03A4F" w:rsidRPr="00F20A60" w:rsidRDefault="00D03A4F" w:rsidP="00D03A4F">
      <w:pPr>
        <w:spacing w:after="0" w:line="240" w:lineRule="auto"/>
        <w:ind w:hanging="567"/>
        <w:jc w:val="right"/>
        <w:rPr>
          <w:rFonts w:ascii="Times New Roman" w:eastAsia="Times New Roman" w:hAnsi="Times New Roman" w:cs="Times New Roman"/>
          <w:color w:val="000000"/>
          <w:sz w:val="26"/>
          <w:szCs w:val="26"/>
          <w:lang w:eastAsia="ru-RU"/>
        </w:rPr>
      </w:pPr>
      <w:r w:rsidRPr="00F20A60">
        <w:rPr>
          <w:rFonts w:ascii="Times New Roman" w:eastAsia="Times New Roman" w:hAnsi="Times New Roman" w:cs="Times New Roman"/>
          <w:color w:val="000000"/>
          <w:sz w:val="26"/>
          <w:szCs w:val="26"/>
          <w:lang w:eastAsia="ru-RU"/>
        </w:rPr>
        <w:t>Таблица 6</w:t>
      </w:r>
    </w:p>
    <w:p w14:paraId="1E7FFBC5" w14:textId="77777777" w:rsidR="00D03A4F" w:rsidRPr="00F20A60" w:rsidRDefault="00D03A4F" w:rsidP="00D03A4F">
      <w:pPr>
        <w:spacing w:after="0" w:line="240" w:lineRule="auto"/>
        <w:ind w:hanging="567"/>
        <w:jc w:val="right"/>
        <w:rPr>
          <w:rFonts w:ascii="Times New Roman" w:eastAsia="Times New Roman" w:hAnsi="Times New Roman" w:cs="Times New Roman"/>
          <w:color w:val="000000"/>
          <w:sz w:val="26"/>
          <w:szCs w:val="26"/>
          <w:lang w:eastAsia="ru-RU"/>
        </w:rPr>
      </w:pPr>
    </w:p>
    <w:p w14:paraId="2EEA88CA" w14:textId="77777777" w:rsidR="00D03A4F" w:rsidRPr="00F20A60" w:rsidRDefault="00D03A4F" w:rsidP="00D03A4F">
      <w:pPr>
        <w:spacing w:after="0" w:line="240" w:lineRule="auto"/>
        <w:ind w:hanging="567"/>
        <w:jc w:val="center"/>
        <w:rPr>
          <w:rFonts w:ascii="Times New Roman" w:eastAsia="Times New Roman" w:hAnsi="Times New Roman" w:cs="Times New Roman"/>
          <w:sz w:val="26"/>
          <w:szCs w:val="26"/>
          <w:lang w:eastAsia="ru-RU"/>
        </w:rPr>
      </w:pPr>
      <w:r w:rsidRPr="00F20A60">
        <w:rPr>
          <w:rFonts w:ascii="Times New Roman" w:eastAsia="Times New Roman" w:hAnsi="Times New Roman" w:cs="Times New Roman"/>
          <w:b/>
          <w:bCs/>
          <w:color w:val="000000"/>
          <w:sz w:val="26"/>
          <w:szCs w:val="26"/>
          <w:lang w:eastAsia="ru-RU"/>
        </w:rPr>
        <w:t>Коэффициенты рождаемости, смертности и естественного прироста населения</w:t>
      </w:r>
    </w:p>
    <w:p w14:paraId="768E6726" w14:textId="77777777" w:rsidR="00D03A4F" w:rsidRPr="00F20A60" w:rsidRDefault="00D03A4F" w:rsidP="00D03A4F">
      <w:pPr>
        <w:spacing w:after="0" w:line="240" w:lineRule="auto"/>
        <w:ind w:hanging="567"/>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(на 1000 человек населения)</w:t>
      </w:r>
    </w:p>
    <w:p w14:paraId="50181EBB" w14:textId="77777777" w:rsidR="00D03A4F" w:rsidRPr="00F20A60" w:rsidRDefault="00D03A4F" w:rsidP="00D03A4F">
      <w:pPr>
        <w:spacing w:after="0" w:line="240" w:lineRule="auto"/>
        <w:ind w:hanging="567"/>
        <w:jc w:val="center"/>
        <w:rPr>
          <w:rFonts w:ascii="Times New Roman" w:eastAsia="Times New Roman" w:hAnsi="Times New Roman" w:cs="Times New Roman"/>
          <w:color w:val="000000"/>
          <w:sz w:val="24"/>
          <w:szCs w:val="24"/>
          <w:lang w:eastAsia="ru-RU"/>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D03A4F" w:rsidRPr="00F20A60" w14:paraId="00C9F972" w14:textId="77777777" w:rsidTr="00944CB1">
        <w:trPr>
          <w:trHeight w:val="459"/>
        </w:trPr>
        <w:tc>
          <w:tcPr>
            <w:tcW w:w="2711" w:type="dxa"/>
            <w:tcBorders>
              <w:top w:val="single" w:sz="4" w:space="0" w:color="auto"/>
              <w:left w:val="single" w:sz="4" w:space="0" w:color="auto"/>
              <w:bottom w:val="single" w:sz="4" w:space="0" w:color="auto"/>
              <w:right w:val="single" w:sz="4" w:space="0" w:color="auto"/>
            </w:tcBorders>
            <w:noWrap/>
            <w:vAlign w:val="center"/>
          </w:tcPr>
          <w:p w14:paraId="485FC493" w14:textId="77777777" w:rsidR="00D03A4F" w:rsidRPr="00F20A60" w:rsidRDefault="00D03A4F" w:rsidP="00DF57BB">
            <w:pPr>
              <w:spacing w:before="60" w:after="0" w:line="240" w:lineRule="auto"/>
              <w:ind w:left="-108"/>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Год</w:t>
            </w:r>
          </w:p>
        </w:tc>
        <w:tc>
          <w:tcPr>
            <w:tcW w:w="2711" w:type="dxa"/>
            <w:tcBorders>
              <w:top w:val="single" w:sz="4" w:space="0" w:color="auto"/>
              <w:left w:val="nil"/>
              <w:bottom w:val="single" w:sz="4" w:space="0" w:color="auto"/>
              <w:right w:val="single" w:sz="4" w:space="0" w:color="auto"/>
            </w:tcBorders>
            <w:noWrap/>
            <w:vAlign w:val="center"/>
          </w:tcPr>
          <w:p w14:paraId="1D0510AC" w14:textId="77777777" w:rsidR="00D03A4F" w:rsidRPr="00F20A60" w:rsidRDefault="00D03A4F" w:rsidP="00DF57BB">
            <w:pPr>
              <w:spacing w:before="60" w:after="0" w:line="240" w:lineRule="auto"/>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Родившихся</w:t>
            </w:r>
          </w:p>
        </w:tc>
        <w:tc>
          <w:tcPr>
            <w:tcW w:w="2712" w:type="dxa"/>
            <w:tcBorders>
              <w:top w:val="single" w:sz="4" w:space="0" w:color="auto"/>
              <w:left w:val="nil"/>
              <w:bottom w:val="single" w:sz="4" w:space="0" w:color="auto"/>
              <w:right w:val="single" w:sz="4" w:space="0" w:color="auto"/>
            </w:tcBorders>
            <w:noWrap/>
            <w:vAlign w:val="center"/>
          </w:tcPr>
          <w:p w14:paraId="665D6515" w14:textId="77777777" w:rsidR="00D03A4F" w:rsidRPr="00F20A60" w:rsidRDefault="00D03A4F" w:rsidP="00DF57BB">
            <w:pPr>
              <w:spacing w:before="60" w:after="0" w:line="240" w:lineRule="auto"/>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Умерших</w:t>
            </w:r>
          </w:p>
        </w:tc>
        <w:tc>
          <w:tcPr>
            <w:tcW w:w="2215" w:type="dxa"/>
            <w:tcBorders>
              <w:top w:val="single" w:sz="4" w:space="0" w:color="auto"/>
              <w:left w:val="nil"/>
              <w:bottom w:val="single" w:sz="4" w:space="0" w:color="auto"/>
              <w:right w:val="single" w:sz="4" w:space="0" w:color="auto"/>
            </w:tcBorders>
            <w:vAlign w:val="center"/>
          </w:tcPr>
          <w:p w14:paraId="27FBC53A" w14:textId="77777777" w:rsidR="00D03A4F" w:rsidRPr="00F20A60"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Естественный прирост, убыль (-)</w:t>
            </w:r>
          </w:p>
        </w:tc>
      </w:tr>
      <w:tr w:rsidR="002336E8" w:rsidRPr="00F20A60" w14:paraId="76A9F804" w14:textId="77777777" w:rsidTr="002856C4">
        <w:trPr>
          <w:trHeight w:val="285"/>
        </w:trPr>
        <w:tc>
          <w:tcPr>
            <w:tcW w:w="2711" w:type="dxa"/>
            <w:tcBorders>
              <w:top w:val="single" w:sz="4" w:space="0" w:color="auto"/>
              <w:left w:val="single" w:sz="4" w:space="0" w:color="auto"/>
              <w:bottom w:val="single" w:sz="4" w:space="0" w:color="auto"/>
              <w:right w:val="nil"/>
            </w:tcBorders>
            <w:noWrap/>
            <w:vAlign w:val="center"/>
          </w:tcPr>
          <w:p w14:paraId="5F7346CE" w14:textId="77777777" w:rsidR="002336E8" w:rsidRPr="00F20A60" w:rsidRDefault="002336E8" w:rsidP="002856C4">
            <w:pPr>
              <w:spacing w:before="60" w:after="0" w:line="240" w:lineRule="auto"/>
              <w:ind w:left="-108"/>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2019</w:t>
            </w:r>
          </w:p>
        </w:tc>
        <w:tc>
          <w:tcPr>
            <w:tcW w:w="2711" w:type="dxa"/>
            <w:tcBorders>
              <w:top w:val="single" w:sz="4" w:space="0" w:color="auto"/>
              <w:left w:val="single" w:sz="4" w:space="0" w:color="auto"/>
              <w:bottom w:val="single" w:sz="4" w:space="0" w:color="auto"/>
              <w:right w:val="single" w:sz="4" w:space="0" w:color="auto"/>
            </w:tcBorders>
            <w:noWrap/>
          </w:tcPr>
          <w:p w14:paraId="6470361C" w14:textId="77777777" w:rsidR="002336E8" w:rsidRPr="00F20A60" w:rsidRDefault="002336E8" w:rsidP="002856C4">
            <w:pPr>
              <w:spacing w:before="60" w:after="0" w:line="240" w:lineRule="auto"/>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sz w:val="24"/>
                <w:szCs w:val="24"/>
                <w:lang w:eastAsia="ru-RU"/>
              </w:rPr>
              <w:t>10,1</w:t>
            </w:r>
          </w:p>
        </w:tc>
        <w:tc>
          <w:tcPr>
            <w:tcW w:w="2712" w:type="dxa"/>
            <w:tcBorders>
              <w:top w:val="single" w:sz="4" w:space="0" w:color="auto"/>
              <w:left w:val="nil"/>
              <w:bottom w:val="single" w:sz="4" w:space="0" w:color="auto"/>
              <w:right w:val="nil"/>
            </w:tcBorders>
            <w:noWrap/>
          </w:tcPr>
          <w:p w14:paraId="3FD8BD58" w14:textId="77777777" w:rsidR="002336E8" w:rsidRPr="00F20A60" w:rsidRDefault="002336E8" w:rsidP="002856C4">
            <w:pPr>
              <w:spacing w:before="60" w:after="0" w:line="240" w:lineRule="auto"/>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sz w:val="24"/>
                <w:szCs w:val="24"/>
                <w:lang w:eastAsia="ru-RU"/>
              </w:rPr>
              <w:t>12,3</w:t>
            </w:r>
          </w:p>
        </w:tc>
        <w:tc>
          <w:tcPr>
            <w:tcW w:w="2215" w:type="dxa"/>
            <w:tcBorders>
              <w:top w:val="single" w:sz="4" w:space="0" w:color="auto"/>
              <w:left w:val="single" w:sz="4" w:space="0" w:color="auto"/>
              <w:bottom w:val="single" w:sz="4" w:space="0" w:color="auto"/>
              <w:right w:val="single" w:sz="4" w:space="0" w:color="auto"/>
            </w:tcBorders>
            <w:noWrap/>
          </w:tcPr>
          <w:p w14:paraId="78E4A564" w14:textId="77777777" w:rsidR="002336E8" w:rsidRPr="00F20A60" w:rsidRDefault="002336E8" w:rsidP="002856C4">
            <w:pPr>
              <w:spacing w:before="60" w:after="0" w:line="240" w:lineRule="auto"/>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sz w:val="24"/>
                <w:szCs w:val="24"/>
                <w:lang w:eastAsia="ru-RU"/>
              </w:rPr>
              <w:t>-2,2</w:t>
            </w:r>
          </w:p>
        </w:tc>
      </w:tr>
      <w:tr w:rsidR="002336E8" w:rsidRPr="00F20A60" w14:paraId="0DACE447" w14:textId="77777777" w:rsidTr="009018E0">
        <w:trPr>
          <w:trHeight w:val="285"/>
        </w:trPr>
        <w:tc>
          <w:tcPr>
            <w:tcW w:w="2711" w:type="dxa"/>
            <w:tcBorders>
              <w:top w:val="single" w:sz="4" w:space="0" w:color="auto"/>
              <w:left w:val="single" w:sz="4" w:space="0" w:color="auto"/>
              <w:bottom w:val="single" w:sz="4" w:space="0" w:color="auto"/>
              <w:right w:val="nil"/>
            </w:tcBorders>
            <w:noWrap/>
            <w:vAlign w:val="center"/>
          </w:tcPr>
          <w:p w14:paraId="719CBA0B" w14:textId="77777777" w:rsidR="002336E8" w:rsidRPr="00F20A60" w:rsidRDefault="002336E8" w:rsidP="002856C4">
            <w:pPr>
              <w:spacing w:before="60" w:after="0" w:line="240" w:lineRule="auto"/>
              <w:ind w:left="-108"/>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2020</w:t>
            </w:r>
          </w:p>
        </w:tc>
        <w:tc>
          <w:tcPr>
            <w:tcW w:w="2711" w:type="dxa"/>
            <w:tcBorders>
              <w:top w:val="single" w:sz="4" w:space="0" w:color="auto"/>
              <w:left w:val="single" w:sz="4" w:space="0" w:color="auto"/>
              <w:bottom w:val="single" w:sz="4" w:space="0" w:color="auto"/>
              <w:right w:val="single" w:sz="4" w:space="0" w:color="auto"/>
            </w:tcBorders>
            <w:noWrap/>
          </w:tcPr>
          <w:p w14:paraId="249A3D4C" w14:textId="77777777" w:rsidR="002336E8" w:rsidRPr="00F20A60" w:rsidRDefault="002336E8" w:rsidP="002856C4">
            <w:pPr>
              <w:spacing w:before="60" w:after="0" w:line="240" w:lineRule="auto"/>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9,8</w:t>
            </w:r>
          </w:p>
        </w:tc>
        <w:tc>
          <w:tcPr>
            <w:tcW w:w="2712" w:type="dxa"/>
            <w:tcBorders>
              <w:top w:val="single" w:sz="4" w:space="0" w:color="auto"/>
              <w:left w:val="nil"/>
              <w:bottom w:val="single" w:sz="4" w:space="0" w:color="auto"/>
              <w:right w:val="nil"/>
            </w:tcBorders>
            <w:noWrap/>
          </w:tcPr>
          <w:p w14:paraId="4C2E457B" w14:textId="77777777" w:rsidR="002336E8" w:rsidRPr="00F20A60" w:rsidRDefault="002336E8" w:rsidP="002856C4">
            <w:pPr>
              <w:spacing w:before="60" w:after="0" w:line="240" w:lineRule="auto"/>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14,6</w:t>
            </w:r>
          </w:p>
        </w:tc>
        <w:tc>
          <w:tcPr>
            <w:tcW w:w="2215" w:type="dxa"/>
            <w:tcBorders>
              <w:top w:val="single" w:sz="4" w:space="0" w:color="auto"/>
              <w:left w:val="single" w:sz="4" w:space="0" w:color="auto"/>
              <w:bottom w:val="single" w:sz="4" w:space="0" w:color="auto"/>
              <w:right w:val="single" w:sz="4" w:space="0" w:color="auto"/>
            </w:tcBorders>
            <w:noWrap/>
          </w:tcPr>
          <w:p w14:paraId="262C545B" w14:textId="77777777" w:rsidR="002336E8" w:rsidRPr="00F20A60" w:rsidRDefault="002336E8" w:rsidP="002856C4">
            <w:pPr>
              <w:spacing w:before="60" w:after="0" w:line="240" w:lineRule="auto"/>
              <w:jc w:val="center"/>
              <w:rPr>
                <w:rFonts w:ascii="Times New Roman" w:eastAsia="Times New Roman" w:hAnsi="Times New Roman" w:cs="Times New Roman"/>
                <w:color w:val="000000"/>
                <w:sz w:val="24"/>
                <w:szCs w:val="24"/>
                <w:lang w:eastAsia="ru-RU"/>
              </w:rPr>
            </w:pPr>
            <w:r w:rsidRPr="00F20A60">
              <w:rPr>
                <w:rFonts w:ascii="Times New Roman" w:eastAsia="Times New Roman" w:hAnsi="Times New Roman" w:cs="Times New Roman"/>
                <w:color w:val="000000"/>
                <w:sz w:val="24"/>
                <w:szCs w:val="24"/>
                <w:lang w:eastAsia="ru-RU"/>
              </w:rPr>
              <w:t>-4,8</w:t>
            </w:r>
          </w:p>
        </w:tc>
      </w:tr>
      <w:tr w:rsidR="002336E8" w:rsidRPr="00BD5A90" w14:paraId="0CEADBAD" w14:textId="77777777" w:rsidTr="00944CB1">
        <w:trPr>
          <w:trHeight w:val="285"/>
        </w:trPr>
        <w:tc>
          <w:tcPr>
            <w:tcW w:w="2711" w:type="dxa"/>
            <w:tcBorders>
              <w:top w:val="single" w:sz="4" w:space="0" w:color="auto"/>
              <w:left w:val="single" w:sz="4" w:space="0" w:color="auto"/>
              <w:bottom w:val="single" w:sz="4" w:space="0" w:color="auto"/>
              <w:right w:val="nil"/>
            </w:tcBorders>
            <w:noWrap/>
            <w:vAlign w:val="center"/>
          </w:tcPr>
          <w:p w14:paraId="3CBE3AA1" w14:textId="77777777" w:rsidR="002336E8" w:rsidRPr="00F20A60" w:rsidRDefault="002336E8" w:rsidP="00D03A4F">
            <w:pPr>
              <w:spacing w:before="60" w:after="0" w:line="240" w:lineRule="auto"/>
              <w:ind w:lef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p>
        </w:tc>
        <w:tc>
          <w:tcPr>
            <w:tcW w:w="2711" w:type="dxa"/>
            <w:tcBorders>
              <w:left w:val="single" w:sz="4" w:space="0" w:color="auto"/>
              <w:bottom w:val="single" w:sz="4" w:space="0" w:color="auto"/>
              <w:right w:val="single" w:sz="4" w:space="0" w:color="auto"/>
            </w:tcBorders>
            <w:shd w:val="clear" w:color="auto" w:fill="auto"/>
            <w:noWrap/>
          </w:tcPr>
          <w:p w14:paraId="68DC0D39" w14:textId="77777777" w:rsidR="002336E8" w:rsidRPr="00F20A60" w:rsidRDefault="002336E8" w:rsidP="00D03A4F">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9,6</w:t>
            </w:r>
          </w:p>
        </w:tc>
        <w:tc>
          <w:tcPr>
            <w:tcW w:w="2712" w:type="dxa"/>
            <w:tcBorders>
              <w:left w:val="nil"/>
              <w:bottom w:val="single" w:sz="4" w:space="0" w:color="auto"/>
              <w:right w:val="single" w:sz="4" w:space="0" w:color="auto"/>
            </w:tcBorders>
            <w:shd w:val="clear" w:color="auto" w:fill="auto"/>
            <w:noWrap/>
          </w:tcPr>
          <w:p w14:paraId="5CF442A2" w14:textId="77777777" w:rsidR="002336E8" w:rsidRPr="00F20A60" w:rsidRDefault="002336E8" w:rsidP="00D03A4F">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16,7</w:t>
            </w:r>
          </w:p>
        </w:tc>
        <w:tc>
          <w:tcPr>
            <w:tcW w:w="2215" w:type="dxa"/>
            <w:tcBorders>
              <w:left w:val="nil"/>
              <w:bottom w:val="single" w:sz="4" w:space="0" w:color="auto"/>
              <w:right w:val="single" w:sz="4" w:space="0" w:color="auto"/>
            </w:tcBorders>
            <w:shd w:val="clear" w:color="auto" w:fill="auto"/>
            <w:noWrap/>
          </w:tcPr>
          <w:p w14:paraId="21AD3584" w14:textId="77777777" w:rsidR="002336E8" w:rsidRPr="00F20A60" w:rsidRDefault="002336E8" w:rsidP="00D03A4F">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w:t>
            </w:r>
          </w:p>
        </w:tc>
      </w:tr>
    </w:tbl>
    <w:p w14:paraId="28FA43B5" w14:textId="77777777" w:rsidR="00D03A4F" w:rsidRDefault="00D03A4F" w:rsidP="00D03A4F">
      <w:pPr>
        <w:spacing w:after="0" w:line="240" w:lineRule="auto"/>
        <w:ind w:hanging="567"/>
        <w:jc w:val="right"/>
        <w:rPr>
          <w:rFonts w:ascii="Times New Roman" w:eastAsia="Times New Roman" w:hAnsi="Times New Roman" w:cs="Times New Roman"/>
          <w:color w:val="000000"/>
          <w:sz w:val="24"/>
          <w:szCs w:val="24"/>
          <w:highlight w:val="yellow"/>
          <w:lang w:eastAsia="ru-RU"/>
        </w:rPr>
      </w:pPr>
    </w:p>
    <w:p w14:paraId="240431A6" w14:textId="77777777" w:rsidR="00B7448B" w:rsidRPr="00BD5A90" w:rsidRDefault="00B7448B" w:rsidP="00D03A4F">
      <w:pPr>
        <w:spacing w:after="0" w:line="240" w:lineRule="auto"/>
        <w:ind w:hanging="567"/>
        <w:jc w:val="right"/>
        <w:rPr>
          <w:rFonts w:ascii="Times New Roman" w:eastAsia="Times New Roman" w:hAnsi="Times New Roman" w:cs="Times New Roman"/>
          <w:color w:val="000000"/>
          <w:sz w:val="24"/>
          <w:szCs w:val="24"/>
          <w:highlight w:val="yellow"/>
          <w:lang w:eastAsia="ru-RU"/>
        </w:rPr>
      </w:pPr>
    </w:p>
    <w:p w14:paraId="4FF17E4D" w14:textId="77777777" w:rsidR="00B7448B" w:rsidRPr="0090183F" w:rsidRDefault="00B7448B" w:rsidP="00B7448B">
      <w:pPr>
        <w:spacing w:after="0" w:line="240" w:lineRule="auto"/>
        <w:jc w:val="right"/>
        <w:rPr>
          <w:rFonts w:ascii="Times New Roman" w:eastAsia="Times New Roman" w:hAnsi="Times New Roman" w:cs="Times New Roman"/>
          <w:sz w:val="26"/>
          <w:szCs w:val="26"/>
          <w:lang w:eastAsia="ru-RU"/>
        </w:rPr>
      </w:pPr>
      <w:r w:rsidRPr="0090183F">
        <w:rPr>
          <w:rFonts w:ascii="Times New Roman" w:eastAsia="Times New Roman" w:hAnsi="Times New Roman" w:cs="Times New Roman"/>
          <w:color w:val="000000"/>
          <w:sz w:val="26"/>
          <w:szCs w:val="26"/>
          <w:lang w:eastAsia="ru-RU"/>
        </w:rPr>
        <w:t xml:space="preserve">Таблица </w:t>
      </w:r>
      <w:r>
        <w:rPr>
          <w:rFonts w:ascii="Times New Roman" w:eastAsia="Times New Roman" w:hAnsi="Times New Roman" w:cs="Times New Roman"/>
          <w:color w:val="000000"/>
          <w:sz w:val="26"/>
          <w:szCs w:val="26"/>
          <w:lang w:eastAsia="ru-RU"/>
        </w:rPr>
        <w:t>7</w:t>
      </w:r>
    </w:p>
    <w:p w14:paraId="7E87375F" w14:textId="77777777" w:rsidR="00B7448B" w:rsidRPr="0090183F" w:rsidRDefault="00B7448B" w:rsidP="00B7448B">
      <w:pPr>
        <w:spacing w:after="0" w:line="240" w:lineRule="auto"/>
        <w:jc w:val="center"/>
        <w:rPr>
          <w:rFonts w:ascii="Times New Roman" w:eastAsia="Times New Roman" w:hAnsi="Times New Roman" w:cs="Times New Roman"/>
          <w:sz w:val="26"/>
          <w:szCs w:val="26"/>
          <w:lang w:eastAsia="ru-RU"/>
        </w:rPr>
      </w:pPr>
      <w:r w:rsidRPr="0090183F">
        <w:rPr>
          <w:rFonts w:ascii="Times New Roman" w:eastAsia="Times New Roman" w:hAnsi="Times New Roman" w:cs="Times New Roman"/>
          <w:b/>
          <w:bCs/>
          <w:color w:val="000000"/>
          <w:sz w:val="26"/>
          <w:szCs w:val="26"/>
          <w:lang w:eastAsia="ru-RU"/>
        </w:rPr>
        <w:t>Суммарный коэффициент рождаемости</w:t>
      </w:r>
    </w:p>
    <w:p w14:paraId="24642AD4" w14:textId="77777777" w:rsidR="00B7448B" w:rsidRPr="0090183F" w:rsidRDefault="00B7448B" w:rsidP="00B7448B">
      <w:pPr>
        <w:spacing w:after="0" w:line="240" w:lineRule="auto"/>
        <w:jc w:val="center"/>
        <w:rPr>
          <w:rFonts w:ascii="Times New Roman" w:eastAsia="Times New Roman" w:hAnsi="Times New Roman" w:cs="Times New Roman"/>
          <w:color w:val="000000"/>
          <w:sz w:val="24"/>
          <w:szCs w:val="24"/>
          <w:lang w:eastAsia="ru-RU"/>
        </w:rPr>
      </w:pPr>
      <w:r w:rsidRPr="0090183F">
        <w:rPr>
          <w:rFonts w:ascii="Times New Roman" w:eastAsia="Times New Roman" w:hAnsi="Times New Roman" w:cs="Times New Roman"/>
          <w:color w:val="000000"/>
          <w:sz w:val="24"/>
          <w:szCs w:val="24"/>
          <w:lang w:eastAsia="ru-RU"/>
        </w:rPr>
        <w:t>(среднее число детей, которое родила бы одна женщина в течение жизни)</w:t>
      </w:r>
    </w:p>
    <w:p w14:paraId="31CBCF79" w14:textId="77777777" w:rsidR="00B7448B" w:rsidRPr="0090183F" w:rsidRDefault="00B7448B" w:rsidP="00B7448B">
      <w:pPr>
        <w:spacing w:after="0" w:line="240" w:lineRule="auto"/>
        <w:jc w:val="center"/>
        <w:rPr>
          <w:rFonts w:ascii="Times New Roman" w:eastAsia="Times New Roman" w:hAnsi="Times New Roman" w:cs="Times New Roman"/>
          <w:sz w:val="20"/>
          <w:szCs w:val="20"/>
          <w:lang w:eastAsia="ru-RU"/>
        </w:rPr>
      </w:pPr>
    </w:p>
    <w:tbl>
      <w:tblPr>
        <w:tblW w:w="0" w:type="auto"/>
        <w:tblInd w:w="-34" w:type="dxa"/>
        <w:tblLook w:val="00A0" w:firstRow="1" w:lastRow="0" w:firstColumn="1" w:lastColumn="0" w:noHBand="0" w:noVBand="0"/>
      </w:tblPr>
      <w:tblGrid>
        <w:gridCol w:w="2411"/>
        <w:gridCol w:w="2551"/>
        <w:gridCol w:w="2757"/>
        <w:gridCol w:w="2452"/>
      </w:tblGrid>
      <w:tr w:rsidR="00B7448B" w:rsidRPr="0090183F" w14:paraId="71AFBB58" w14:textId="77777777" w:rsidTr="002856C4">
        <w:trPr>
          <w:trHeight w:val="415"/>
        </w:trPr>
        <w:tc>
          <w:tcPr>
            <w:tcW w:w="2411" w:type="dxa"/>
            <w:tcBorders>
              <w:top w:val="single" w:sz="4" w:space="0" w:color="auto"/>
              <w:left w:val="single" w:sz="4" w:space="0" w:color="auto"/>
              <w:bottom w:val="single" w:sz="4" w:space="0" w:color="auto"/>
              <w:right w:val="single" w:sz="4" w:space="0" w:color="auto"/>
            </w:tcBorders>
            <w:noWrap/>
            <w:vAlign w:val="center"/>
          </w:tcPr>
          <w:p w14:paraId="72E3213B" w14:textId="77777777" w:rsidR="00B7448B" w:rsidRPr="0090183F" w:rsidRDefault="00B7448B" w:rsidP="002856C4">
            <w:pPr>
              <w:spacing w:after="0" w:line="240" w:lineRule="auto"/>
              <w:jc w:val="center"/>
              <w:rPr>
                <w:rFonts w:ascii="Times New Roman" w:eastAsia="Times New Roman" w:hAnsi="Times New Roman" w:cs="Times New Roman"/>
                <w:color w:val="000000"/>
                <w:sz w:val="24"/>
                <w:szCs w:val="24"/>
                <w:lang w:eastAsia="ru-RU"/>
              </w:rPr>
            </w:pPr>
            <w:r w:rsidRPr="0090183F">
              <w:rPr>
                <w:rFonts w:ascii="Times New Roman" w:eastAsia="Times New Roman" w:hAnsi="Times New Roman" w:cs="Times New Roman"/>
                <w:color w:val="000000"/>
                <w:sz w:val="24"/>
                <w:szCs w:val="24"/>
                <w:lang w:eastAsia="ru-RU"/>
              </w:rPr>
              <w:t>Год</w:t>
            </w:r>
          </w:p>
        </w:tc>
        <w:tc>
          <w:tcPr>
            <w:tcW w:w="2551" w:type="dxa"/>
            <w:tcBorders>
              <w:top w:val="single" w:sz="4" w:space="0" w:color="auto"/>
              <w:left w:val="nil"/>
              <w:bottom w:val="single" w:sz="4" w:space="0" w:color="auto"/>
              <w:right w:val="single" w:sz="4" w:space="0" w:color="auto"/>
            </w:tcBorders>
            <w:vAlign w:val="center"/>
          </w:tcPr>
          <w:p w14:paraId="0E7ED131" w14:textId="77777777" w:rsidR="00B7448B" w:rsidRPr="0090183F" w:rsidRDefault="00B7448B" w:rsidP="002856C4">
            <w:pPr>
              <w:spacing w:after="0" w:line="240" w:lineRule="auto"/>
              <w:jc w:val="center"/>
              <w:rPr>
                <w:rFonts w:ascii="Times New Roman" w:eastAsia="Times New Roman" w:hAnsi="Times New Roman" w:cs="Times New Roman"/>
                <w:color w:val="000000"/>
                <w:sz w:val="24"/>
                <w:szCs w:val="24"/>
                <w:lang w:eastAsia="ru-RU"/>
              </w:rPr>
            </w:pPr>
            <w:r w:rsidRPr="0090183F">
              <w:rPr>
                <w:rFonts w:ascii="Times New Roman" w:eastAsia="Times New Roman" w:hAnsi="Times New Roman" w:cs="Times New Roman"/>
                <w:color w:val="000000"/>
                <w:sz w:val="24"/>
                <w:szCs w:val="24"/>
                <w:lang w:eastAsia="ru-RU"/>
              </w:rPr>
              <w:t>Все население</w:t>
            </w:r>
          </w:p>
        </w:tc>
        <w:tc>
          <w:tcPr>
            <w:tcW w:w="2757" w:type="dxa"/>
            <w:tcBorders>
              <w:top w:val="single" w:sz="4" w:space="0" w:color="auto"/>
              <w:left w:val="nil"/>
              <w:bottom w:val="single" w:sz="4" w:space="0" w:color="auto"/>
              <w:right w:val="single" w:sz="4" w:space="0" w:color="auto"/>
            </w:tcBorders>
            <w:vAlign w:val="center"/>
          </w:tcPr>
          <w:p w14:paraId="322C08E9" w14:textId="77777777" w:rsidR="00B7448B" w:rsidRPr="0090183F" w:rsidRDefault="00B7448B" w:rsidP="002856C4">
            <w:pPr>
              <w:spacing w:after="0" w:line="240" w:lineRule="auto"/>
              <w:jc w:val="center"/>
              <w:rPr>
                <w:rFonts w:ascii="Times New Roman" w:eastAsia="Times New Roman" w:hAnsi="Times New Roman" w:cs="Times New Roman"/>
                <w:color w:val="000000"/>
                <w:sz w:val="24"/>
                <w:szCs w:val="24"/>
                <w:lang w:eastAsia="ru-RU"/>
              </w:rPr>
            </w:pPr>
            <w:r w:rsidRPr="0090183F">
              <w:rPr>
                <w:rFonts w:ascii="Times New Roman" w:eastAsia="Times New Roman" w:hAnsi="Times New Roman" w:cs="Times New Roman"/>
                <w:color w:val="000000"/>
                <w:sz w:val="24"/>
                <w:szCs w:val="24"/>
                <w:lang w:eastAsia="ru-RU"/>
              </w:rPr>
              <w:t>Городское население</w:t>
            </w:r>
          </w:p>
        </w:tc>
        <w:tc>
          <w:tcPr>
            <w:tcW w:w="2452" w:type="dxa"/>
            <w:tcBorders>
              <w:top w:val="single" w:sz="4" w:space="0" w:color="auto"/>
              <w:left w:val="nil"/>
              <w:bottom w:val="single" w:sz="4" w:space="0" w:color="auto"/>
              <w:right w:val="single" w:sz="4" w:space="0" w:color="auto"/>
            </w:tcBorders>
            <w:vAlign w:val="center"/>
          </w:tcPr>
          <w:p w14:paraId="5E5EB0C1" w14:textId="77777777" w:rsidR="00B7448B" w:rsidRPr="0090183F" w:rsidRDefault="00B7448B" w:rsidP="002856C4">
            <w:pPr>
              <w:spacing w:after="0" w:line="240" w:lineRule="auto"/>
              <w:jc w:val="center"/>
              <w:rPr>
                <w:rFonts w:ascii="Times New Roman" w:eastAsia="Times New Roman" w:hAnsi="Times New Roman" w:cs="Times New Roman"/>
                <w:color w:val="000000"/>
                <w:sz w:val="24"/>
                <w:szCs w:val="24"/>
                <w:lang w:eastAsia="ru-RU"/>
              </w:rPr>
            </w:pPr>
            <w:r w:rsidRPr="0090183F">
              <w:rPr>
                <w:rFonts w:ascii="Times New Roman" w:eastAsia="Times New Roman" w:hAnsi="Times New Roman" w:cs="Times New Roman"/>
                <w:color w:val="000000"/>
                <w:sz w:val="24"/>
                <w:szCs w:val="24"/>
                <w:lang w:eastAsia="ru-RU"/>
              </w:rPr>
              <w:t>Сельское население</w:t>
            </w:r>
          </w:p>
        </w:tc>
      </w:tr>
      <w:tr w:rsidR="00301E33" w:rsidRPr="0090183F" w14:paraId="18207375" w14:textId="77777777" w:rsidTr="002856C4">
        <w:trPr>
          <w:trHeight w:val="285"/>
        </w:trPr>
        <w:tc>
          <w:tcPr>
            <w:tcW w:w="2411" w:type="dxa"/>
            <w:tcBorders>
              <w:top w:val="single" w:sz="4" w:space="0" w:color="auto"/>
              <w:left w:val="single" w:sz="4" w:space="0" w:color="auto"/>
              <w:bottom w:val="single" w:sz="4" w:space="0" w:color="auto"/>
              <w:right w:val="nil"/>
            </w:tcBorders>
            <w:noWrap/>
            <w:vAlign w:val="center"/>
          </w:tcPr>
          <w:p w14:paraId="7DB319FF" w14:textId="77777777" w:rsidR="00301E33" w:rsidRPr="0090183F" w:rsidRDefault="00301E33" w:rsidP="002856C4">
            <w:pPr>
              <w:spacing w:before="60" w:after="0" w:line="240" w:lineRule="auto"/>
              <w:jc w:val="center"/>
              <w:rPr>
                <w:rFonts w:ascii="Times New Roman" w:eastAsia="Times New Roman" w:hAnsi="Times New Roman" w:cs="Times New Roman"/>
                <w:sz w:val="24"/>
                <w:szCs w:val="24"/>
                <w:lang w:eastAsia="ru-RU"/>
              </w:rPr>
            </w:pPr>
            <w:r w:rsidRPr="0090183F">
              <w:rPr>
                <w:rFonts w:ascii="Times New Roman" w:eastAsia="Times New Roman" w:hAnsi="Times New Roman" w:cs="Times New Roman"/>
                <w:sz w:val="24"/>
                <w:szCs w:val="24"/>
                <w:lang w:eastAsia="ru-RU"/>
              </w:rPr>
              <w:t>2019</w:t>
            </w:r>
          </w:p>
        </w:tc>
        <w:tc>
          <w:tcPr>
            <w:tcW w:w="2551" w:type="dxa"/>
            <w:tcBorders>
              <w:top w:val="single" w:sz="4" w:space="0" w:color="auto"/>
              <w:left w:val="single" w:sz="4" w:space="0" w:color="auto"/>
              <w:bottom w:val="single" w:sz="4" w:space="0" w:color="auto"/>
              <w:right w:val="single" w:sz="4" w:space="0" w:color="auto"/>
            </w:tcBorders>
            <w:noWrap/>
            <w:vAlign w:val="center"/>
          </w:tcPr>
          <w:p w14:paraId="5AF955BA" w14:textId="77777777" w:rsidR="00301E33" w:rsidRPr="0090183F" w:rsidRDefault="00301E33" w:rsidP="002856C4">
            <w:pPr>
              <w:spacing w:before="60" w:after="0" w:line="240" w:lineRule="auto"/>
              <w:jc w:val="center"/>
              <w:rPr>
                <w:rFonts w:ascii="Times New Roman" w:eastAsia="Times New Roman" w:hAnsi="Times New Roman" w:cs="Times New Roman"/>
                <w:sz w:val="24"/>
                <w:szCs w:val="24"/>
                <w:lang w:eastAsia="ru-RU"/>
              </w:rPr>
            </w:pPr>
            <w:r w:rsidRPr="0090183F">
              <w:rPr>
                <w:rFonts w:ascii="Times New Roman" w:eastAsia="Times New Roman" w:hAnsi="Times New Roman" w:cs="Times New Roman"/>
                <w:sz w:val="24"/>
                <w:szCs w:val="24"/>
                <w:lang w:eastAsia="ru-RU"/>
              </w:rPr>
              <w:t>1,504</w:t>
            </w:r>
          </w:p>
        </w:tc>
        <w:tc>
          <w:tcPr>
            <w:tcW w:w="2757" w:type="dxa"/>
            <w:tcBorders>
              <w:top w:val="single" w:sz="4" w:space="0" w:color="auto"/>
              <w:left w:val="nil"/>
              <w:bottom w:val="single" w:sz="4" w:space="0" w:color="auto"/>
              <w:right w:val="single" w:sz="4" w:space="0" w:color="auto"/>
            </w:tcBorders>
            <w:noWrap/>
            <w:vAlign w:val="bottom"/>
          </w:tcPr>
          <w:p w14:paraId="2A5AB7C8" w14:textId="77777777" w:rsidR="00301E33" w:rsidRPr="0090183F" w:rsidRDefault="00301E33" w:rsidP="002856C4">
            <w:pPr>
              <w:spacing w:before="60" w:after="0" w:line="240" w:lineRule="auto"/>
              <w:jc w:val="center"/>
              <w:rPr>
                <w:rFonts w:ascii="Times New Roman" w:eastAsia="Times New Roman" w:hAnsi="Times New Roman" w:cs="Times New Roman"/>
                <w:sz w:val="24"/>
                <w:szCs w:val="24"/>
                <w:lang w:eastAsia="ru-RU"/>
              </w:rPr>
            </w:pPr>
            <w:r w:rsidRPr="0090183F">
              <w:rPr>
                <w:rFonts w:ascii="Times New Roman" w:eastAsia="Times New Roman" w:hAnsi="Times New Roman" w:cs="Times New Roman"/>
                <w:sz w:val="24"/>
                <w:szCs w:val="24"/>
                <w:lang w:eastAsia="ru-RU"/>
              </w:rPr>
              <w:t>1,427</w:t>
            </w:r>
          </w:p>
        </w:tc>
        <w:tc>
          <w:tcPr>
            <w:tcW w:w="2452" w:type="dxa"/>
            <w:tcBorders>
              <w:top w:val="single" w:sz="4" w:space="0" w:color="auto"/>
              <w:left w:val="nil"/>
              <w:bottom w:val="single" w:sz="4" w:space="0" w:color="auto"/>
              <w:right w:val="single" w:sz="4" w:space="0" w:color="auto"/>
            </w:tcBorders>
            <w:noWrap/>
            <w:vAlign w:val="center"/>
          </w:tcPr>
          <w:p w14:paraId="75494D1E" w14:textId="77777777" w:rsidR="00301E33" w:rsidRPr="0090183F" w:rsidRDefault="00301E33" w:rsidP="002856C4">
            <w:pPr>
              <w:spacing w:before="60" w:after="0" w:line="240" w:lineRule="auto"/>
              <w:jc w:val="center"/>
              <w:rPr>
                <w:rFonts w:ascii="Times New Roman" w:eastAsia="Times New Roman" w:hAnsi="Times New Roman" w:cs="Times New Roman"/>
                <w:sz w:val="24"/>
                <w:szCs w:val="24"/>
                <w:lang w:eastAsia="ru-RU"/>
              </w:rPr>
            </w:pPr>
            <w:r w:rsidRPr="0090183F">
              <w:rPr>
                <w:rFonts w:ascii="Times New Roman" w:eastAsia="Times New Roman" w:hAnsi="Times New Roman" w:cs="Times New Roman"/>
                <w:sz w:val="24"/>
                <w:szCs w:val="24"/>
                <w:lang w:eastAsia="ru-RU"/>
              </w:rPr>
              <w:t>1,754</w:t>
            </w:r>
          </w:p>
        </w:tc>
      </w:tr>
      <w:tr w:rsidR="00301E33" w:rsidRPr="0090183F" w14:paraId="4526E03F" w14:textId="77777777" w:rsidTr="002856C4">
        <w:trPr>
          <w:trHeight w:val="285"/>
        </w:trPr>
        <w:tc>
          <w:tcPr>
            <w:tcW w:w="2411" w:type="dxa"/>
            <w:tcBorders>
              <w:top w:val="single" w:sz="4" w:space="0" w:color="auto"/>
              <w:left w:val="single" w:sz="4" w:space="0" w:color="auto"/>
              <w:bottom w:val="single" w:sz="4" w:space="0" w:color="auto"/>
              <w:right w:val="nil"/>
            </w:tcBorders>
            <w:noWrap/>
            <w:vAlign w:val="center"/>
          </w:tcPr>
          <w:p w14:paraId="2FFA1736" w14:textId="77777777" w:rsidR="00301E33" w:rsidRPr="0090183F" w:rsidRDefault="00301E33" w:rsidP="002856C4">
            <w:pPr>
              <w:spacing w:before="60" w:after="0" w:line="240" w:lineRule="auto"/>
              <w:jc w:val="center"/>
              <w:rPr>
                <w:rFonts w:ascii="Times New Roman" w:eastAsia="Times New Roman" w:hAnsi="Times New Roman" w:cs="Times New Roman"/>
                <w:sz w:val="24"/>
                <w:szCs w:val="24"/>
                <w:lang w:eastAsia="ru-RU"/>
              </w:rPr>
            </w:pPr>
            <w:r w:rsidRPr="0090183F">
              <w:rPr>
                <w:rFonts w:ascii="Times New Roman" w:eastAsia="Times New Roman" w:hAnsi="Times New Roman" w:cs="Times New Roman"/>
                <w:sz w:val="24"/>
                <w:szCs w:val="24"/>
                <w:lang w:eastAsia="ru-RU"/>
              </w:rPr>
              <w:t>2020</w:t>
            </w:r>
          </w:p>
        </w:tc>
        <w:tc>
          <w:tcPr>
            <w:tcW w:w="2551" w:type="dxa"/>
            <w:tcBorders>
              <w:top w:val="single" w:sz="4" w:space="0" w:color="auto"/>
              <w:left w:val="single" w:sz="4" w:space="0" w:color="auto"/>
              <w:bottom w:val="single" w:sz="4" w:space="0" w:color="auto"/>
              <w:right w:val="single" w:sz="4" w:space="0" w:color="auto"/>
            </w:tcBorders>
            <w:noWrap/>
            <w:vAlign w:val="center"/>
          </w:tcPr>
          <w:p w14:paraId="285945F0" w14:textId="77777777" w:rsidR="00301E33" w:rsidRPr="0090183F" w:rsidRDefault="00301E33" w:rsidP="002856C4">
            <w:pPr>
              <w:spacing w:before="60" w:after="0" w:line="240" w:lineRule="auto"/>
              <w:jc w:val="center"/>
              <w:rPr>
                <w:rFonts w:ascii="Times New Roman" w:eastAsia="Times New Roman" w:hAnsi="Times New Roman" w:cs="Times New Roman"/>
                <w:sz w:val="24"/>
                <w:szCs w:val="24"/>
                <w:lang w:eastAsia="ru-RU"/>
              </w:rPr>
            </w:pPr>
            <w:r w:rsidRPr="0090183F">
              <w:rPr>
                <w:rFonts w:ascii="Times New Roman" w:eastAsia="Times New Roman" w:hAnsi="Times New Roman" w:cs="Times New Roman"/>
                <w:sz w:val="24"/>
                <w:szCs w:val="24"/>
                <w:lang w:eastAsia="ru-RU"/>
              </w:rPr>
              <w:t>1,505</w:t>
            </w:r>
          </w:p>
        </w:tc>
        <w:tc>
          <w:tcPr>
            <w:tcW w:w="2757" w:type="dxa"/>
            <w:tcBorders>
              <w:top w:val="single" w:sz="4" w:space="0" w:color="auto"/>
              <w:left w:val="nil"/>
              <w:bottom w:val="single" w:sz="4" w:space="0" w:color="auto"/>
              <w:right w:val="single" w:sz="4" w:space="0" w:color="auto"/>
            </w:tcBorders>
            <w:noWrap/>
            <w:vAlign w:val="bottom"/>
          </w:tcPr>
          <w:p w14:paraId="03DCE16E" w14:textId="77777777" w:rsidR="00301E33" w:rsidRPr="0090183F" w:rsidRDefault="00301E33" w:rsidP="002856C4">
            <w:pPr>
              <w:spacing w:before="60" w:after="0" w:line="240" w:lineRule="auto"/>
              <w:jc w:val="center"/>
              <w:rPr>
                <w:rFonts w:ascii="Times New Roman" w:eastAsia="Times New Roman" w:hAnsi="Times New Roman" w:cs="Times New Roman"/>
                <w:sz w:val="24"/>
                <w:szCs w:val="24"/>
                <w:lang w:eastAsia="ru-RU"/>
              </w:rPr>
            </w:pPr>
            <w:r w:rsidRPr="0090183F">
              <w:rPr>
                <w:rFonts w:ascii="Times New Roman" w:eastAsia="Times New Roman" w:hAnsi="Times New Roman" w:cs="Times New Roman"/>
                <w:sz w:val="24"/>
                <w:szCs w:val="24"/>
                <w:lang w:eastAsia="ru-RU"/>
              </w:rPr>
              <w:t>1,434</w:t>
            </w:r>
          </w:p>
        </w:tc>
        <w:tc>
          <w:tcPr>
            <w:tcW w:w="2452" w:type="dxa"/>
            <w:tcBorders>
              <w:top w:val="single" w:sz="4" w:space="0" w:color="auto"/>
              <w:left w:val="nil"/>
              <w:bottom w:val="single" w:sz="4" w:space="0" w:color="auto"/>
              <w:right w:val="single" w:sz="4" w:space="0" w:color="auto"/>
            </w:tcBorders>
            <w:noWrap/>
            <w:vAlign w:val="center"/>
          </w:tcPr>
          <w:p w14:paraId="4BC0F940" w14:textId="77777777" w:rsidR="00301E33" w:rsidRPr="0090183F" w:rsidRDefault="00301E33" w:rsidP="002856C4">
            <w:pPr>
              <w:spacing w:before="60" w:after="0" w:line="240" w:lineRule="auto"/>
              <w:jc w:val="center"/>
              <w:rPr>
                <w:rFonts w:ascii="Times New Roman" w:eastAsia="Times New Roman" w:hAnsi="Times New Roman" w:cs="Times New Roman"/>
                <w:sz w:val="24"/>
                <w:szCs w:val="24"/>
                <w:lang w:eastAsia="ru-RU"/>
              </w:rPr>
            </w:pPr>
            <w:r w:rsidRPr="0090183F">
              <w:rPr>
                <w:rFonts w:ascii="Times New Roman" w:eastAsia="Times New Roman" w:hAnsi="Times New Roman" w:cs="Times New Roman"/>
                <w:sz w:val="24"/>
                <w:szCs w:val="24"/>
                <w:lang w:eastAsia="ru-RU"/>
              </w:rPr>
              <w:t>1,739</w:t>
            </w:r>
          </w:p>
        </w:tc>
      </w:tr>
      <w:tr w:rsidR="00301E33" w:rsidRPr="00BD5A90" w14:paraId="0D17E37D" w14:textId="77777777" w:rsidTr="002856C4">
        <w:trPr>
          <w:trHeight w:val="285"/>
        </w:trPr>
        <w:tc>
          <w:tcPr>
            <w:tcW w:w="2411" w:type="dxa"/>
            <w:tcBorders>
              <w:top w:val="single" w:sz="4" w:space="0" w:color="auto"/>
              <w:left w:val="single" w:sz="4" w:space="0" w:color="auto"/>
              <w:bottom w:val="single" w:sz="4" w:space="0" w:color="auto"/>
              <w:right w:val="nil"/>
            </w:tcBorders>
            <w:noWrap/>
            <w:vAlign w:val="center"/>
          </w:tcPr>
          <w:p w14:paraId="7F759C1C" w14:textId="77777777" w:rsidR="00301E33" w:rsidRPr="0090183F" w:rsidRDefault="00301E33" w:rsidP="002856C4">
            <w:pPr>
              <w:spacing w:before="6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p>
        </w:tc>
        <w:tc>
          <w:tcPr>
            <w:tcW w:w="2551" w:type="dxa"/>
            <w:tcBorders>
              <w:left w:val="single" w:sz="4" w:space="0" w:color="auto"/>
              <w:bottom w:val="single" w:sz="4" w:space="0" w:color="auto"/>
              <w:right w:val="single" w:sz="4" w:space="0" w:color="auto"/>
            </w:tcBorders>
            <w:shd w:val="clear" w:color="auto" w:fill="auto"/>
            <w:noWrap/>
            <w:vAlign w:val="center"/>
          </w:tcPr>
          <w:p w14:paraId="5DF2EC76" w14:textId="77777777" w:rsidR="00301E33" w:rsidRPr="0090183F" w:rsidRDefault="00301E33" w:rsidP="002856C4">
            <w:pPr>
              <w:spacing w:before="60" w:after="0" w:line="240" w:lineRule="auto"/>
              <w:jc w:val="center"/>
              <w:rPr>
                <w:rFonts w:ascii="Times New Roman" w:eastAsia="Times New Roman" w:hAnsi="Times New Roman" w:cs="Times New Roman"/>
                <w:sz w:val="24"/>
                <w:szCs w:val="24"/>
                <w:lang w:eastAsia="ru-RU"/>
              </w:rPr>
            </w:pPr>
            <w:r w:rsidRPr="0090183F">
              <w:rPr>
                <w:rFonts w:ascii="Times New Roman" w:eastAsia="Times New Roman" w:hAnsi="Times New Roman" w:cs="Times New Roman"/>
                <w:sz w:val="24"/>
                <w:szCs w:val="24"/>
                <w:lang w:eastAsia="ru-RU"/>
              </w:rPr>
              <w:t>1,505</w:t>
            </w:r>
          </w:p>
        </w:tc>
        <w:tc>
          <w:tcPr>
            <w:tcW w:w="2757" w:type="dxa"/>
            <w:tcBorders>
              <w:left w:val="nil"/>
              <w:bottom w:val="single" w:sz="4" w:space="0" w:color="auto"/>
              <w:right w:val="single" w:sz="4" w:space="0" w:color="auto"/>
            </w:tcBorders>
            <w:shd w:val="clear" w:color="auto" w:fill="auto"/>
            <w:noWrap/>
            <w:vAlign w:val="bottom"/>
          </w:tcPr>
          <w:p w14:paraId="4B66424F" w14:textId="77777777" w:rsidR="00301E33" w:rsidRPr="0090183F" w:rsidRDefault="00301E33" w:rsidP="002856C4">
            <w:pPr>
              <w:spacing w:before="6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1,436</w:t>
            </w:r>
          </w:p>
        </w:tc>
        <w:tc>
          <w:tcPr>
            <w:tcW w:w="2452" w:type="dxa"/>
            <w:tcBorders>
              <w:left w:val="nil"/>
              <w:bottom w:val="single" w:sz="4" w:space="0" w:color="auto"/>
              <w:right w:val="single" w:sz="4" w:space="0" w:color="auto"/>
            </w:tcBorders>
            <w:shd w:val="clear" w:color="auto" w:fill="auto"/>
            <w:noWrap/>
            <w:vAlign w:val="center"/>
          </w:tcPr>
          <w:p w14:paraId="2D0AA991" w14:textId="77777777" w:rsidR="00301E33" w:rsidRPr="0090183F" w:rsidRDefault="00301E33" w:rsidP="002856C4">
            <w:pPr>
              <w:spacing w:before="6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1,734</w:t>
            </w:r>
          </w:p>
        </w:tc>
      </w:tr>
    </w:tbl>
    <w:p w14:paraId="687EF4A5" w14:textId="77777777" w:rsidR="00D03A4F" w:rsidRPr="00BD5A90" w:rsidRDefault="00D03A4F" w:rsidP="00D03A4F">
      <w:pPr>
        <w:spacing w:after="0" w:line="240" w:lineRule="auto"/>
        <w:ind w:hanging="567"/>
        <w:jc w:val="right"/>
        <w:rPr>
          <w:rFonts w:ascii="Times New Roman" w:eastAsia="Times New Roman" w:hAnsi="Times New Roman" w:cs="Times New Roman"/>
          <w:color w:val="000000"/>
          <w:sz w:val="24"/>
          <w:szCs w:val="24"/>
          <w:highlight w:val="yellow"/>
          <w:lang w:eastAsia="ru-RU"/>
        </w:rPr>
      </w:pPr>
    </w:p>
    <w:p w14:paraId="697C4DA8" w14:textId="77777777" w:rsidR="00B7448B" w:rsidRDefault="00B7448B" w:rsidP="00D03A4F">
      <w:pPr>
        <w:spacing w:after="0" w:line="240" w:lineRule="auto"/>
        <w:ind w:hanging="567"/>
        <w:jc w:val="right"/>
        <w:rPr>
          <w:rFonts w:ascii="Times New Roman" w:eastAsia="Times New Roman" w:hAnsi="Times New Roman" w:cs="Times New Roman"/>
          <w:color w:val="000000"/>
          <w:sz w:val="26"/>
          <w:szCs w:val="26"/>
          <w:lang w:eastAsia="ru-RU"/>
        </w:rPr>
      </w:pPr>
    </w:p>
    <w:p w14:paraId="60BC1F90" w14:textId="77777777" w:rsidR="00B7448B" w:rsidRDefault="00B7448B" w:rsidP="00D03A4F">
      <w:pPr>
        <w:spacing w:after="0" w:line="240" w:lineRule="auto"/>
        <w:ind w:hanging="567"/>
        <w:jc w:val="right"/>
        <w:rPr>
          <w:rFonts w:ascii="Times New Roman" w:eastAsia="Times New Roman" w:hAnsi="Times New Roman" w:cs="Times New Roman"/>
          <w:color w:val="000000"/>
          <w:sz w:val="26"/>
          <w:szCs w:val="26"/>
          <w:lang w:eastAsia="ru-RU"/>
        </w:rPr>
      </w:pPr>
    </w:p>
    <w:p w14:paraId="2C13C8FB" w14:textId="77777777" w:rsidR="00D03A4F" w:rsidRPr="000E5880" w:rsidRDefault="00D03A4F" w:rsidP="00D03A4F">
      <w:pPr>
        <w:spacing w:after="0" w:line="240" w:lineRule="auto"/>
        <w:ind w:hanging="567"/>
        <w:jc w:val="right"/>
        <w:rPr>
          <w:rFonts w:ascii="Times New Roman" w:eastAsia="Times New Roman" w:hAnsi="Times New Roman" w:cs="Times New Roman"/>
          <w:color w:val="000000"/>
          <w:sz w:val="26"/>
          <w:szCs w:val="26"/>
          <w:lang w:eastAsia="ru-RU"/>
        </w:rPr>
      </w:pPr>
      <w:r w:rsidRPr="000E5880">
        <w:rPr>
          <w:rFonts w:ascii="Times New Roman" w:eastAsia="Times New Roman" w:hAnsi="Times New Roman" w:cs="Times New Roman"/>
          <w:color w:val="000000"/>
          <w:sz w:val="26"/>
          <w:szCs w:val="26"/>
          <w:lang w:eastAsia="ru-RU"/>
        </w:rPr>
        <w:t xml:space="preserve">Таблица </w:t>
      </w:r>
      <w:r w:rsidR="00F63EB8">
        <w:rPr>
          <w:rFonts w:ascii="Times New Roman" w:eastAsia="Times New Roman" w:hAnsi="Times New Roman" w:cs="Times New Roman"/>
          <w:color w:val="000000"/>
          <w:sz w:val="26"/>
          <w:szCs w:val="26"/>
          <w:lang w:eastAsia="ru-RU"/>
        </w:rPr>
        <w:t>8</w:t>
      </w:r>
    </w:p>
    <w:p w14:paraId="0E120DB8" w14:textId="77777777" w:rsidR="00D03A4F" w:rsidRPr="000E5880" w:rsidRDefault="00D03A4F" w:rsidP="00D03A4F">
      <w:pPr>
        <w:spacing w:after="0" w:line="240" w:lineRule="auto"/>
        <w:ind w:hanging="567"/>
        <w:jc w:val="center"/>
        <w:rPr>
          <w:rFonts w:ascii="Times New Roman" w:eastAsia="Times New Roman" w:hAnsi="Times New Roman" w:cs="Times New Roman"/>
          <w:b/>
          <w:bCs/>
          <w:color w:val="000000"/>
          <w:sz w:val="26"/>
          <w:szCs w:val="26"/>
          <w:lang w:eastAsia="ru-RU"/>
        </w:rPr>
      </w:pPr>
      <w:r w:rsidRPr="000E5880">
        <w:rPr>
          <w:rFonts w:ascii="Times New Roman" w:eastAsia="Times New Roman" w:hAnsi="Times New Roman" w:cs="Times New Roman"/>
          <w:b/>
          <w:bCs/>
          <w:color w:val="000000"/>
          <w:sz w:val="26"/>
          <w:szCs w:val="26"/>
          <w:lang w:eastAsia="ru-RU"/>
        </w:rPr>
        <w:t>Браки и разводы</w:t>
      </w:r>
    </w:p>
    <w:p w14:paraId="65A4F8B9" w14:textId="77777777" w:rsidR="00D03A4F" w:rsidRPr="000E5880" w:rsidRDefault="00D03A4F" w:rsidP="00D03A4F">
      <w:pPr>
        <w:spacing w:after="0" w:line="240" w:lineRule="auto"/>
        <w:ind w:hanging="567"/>
        <w:jc w:val="center"/>
        <w:rPr>
          <w:rFonts w:ascii="Times New Roman" w:eastAsia="Times New Roman" w:hAnsi="Times New Roman" w:cs="Times New Roman"/>
          <w:sz w:val="24"/>
          <w:szCs w:val="24"/>
          <w:lang w:eastAsia="ru-RU"/>
        </w:rPr>
      </w:pPr>
    </w:p>
    <w:tbl>
      <w:tblPr>
        <w:tblW w:w="10349" w:type="dxa"/>
        <w:tblInd w:w="-176" w:type="dxa"/>
        <w:tblLayout w:type="fixed"/>
        <w:tblLook w:val="00A0" w:firstRow="1" w:lastRow="0" w:firstColumn="1" w:lastColumn="0" w:noHBand="0" w:noVBand="0"/>
      </w:tblPr>
      <w:tblGrid>
        <w:gridCol w:w="2127"/>
        <w:gridCol w:w="2410"/>
        <w:gridCol w:w="2126"/>
        <w:gridCol w:w="2127"/>
        <w:gridCol w:w="1559"/>
      </w:tblGrid>
      <w:tr w:rsidR="00D03A4F" w:rsidRPr="000E5880" w14:paraId="7AB8B62B" w14:textId="77777777" w:rsidTr="00944CB1">
        <w:trPr>
          <w:trHeight w:val="300"/>
        </w:trPr>
        <w:tc>
          <w:tcPr>
            <w:tcW w:w="2127" w:type="dxa"/>
            <w:vMerge w:val="restart"/>
            <w:tcBorders>
              <w:top w:val="single" w:sz="4" w:space="0" w:color="auto"/>
              <w:left w:val="single" w:sz="4" w:space="0" w:color="auto"/>
              <w:bottom w:val="single" w:sz="4" w:space="0" w:color="auto"/>
              <w:right w:val="single" w:sz="4" w:space="0" w:color="auto"/>
            </w:tcBorders>
            <w:noWrap/>
            <w:vAlign w:val="center"/>
          </w:tcPr>
          <w:p w14:paraId="04E6C9D8" w14:textId="77777777" w:rsidR="00D03A4F" w:rsidRPr="000E5880" w:rsidRDefault="00D03A4F" w:rsidP="00DF57BB">
            <w:pPr>
              <w:spacing w:before="60" w:after="0" w:line="240" w:lineRule="auto"/>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Год</w:t>
            </w:r>
          </w:p>
        </w:tc>
        <w:tc>
          <w:tcPr>
            <w:tcW w:w="4536" w:type="dxa"/>
            <w:gridSpan w:val="2"/>
            <w:tcBorders>
              <w:top w:val="single" w:sz="4" w:space="0" w:color="auto"/>
              <w:left w:val="nil"/>
              <w:bottom w:val="single" w:sz="4" w:space="0" w:color="auto"/>
              <w:right w:val="single" w:sz="4" w:space="0" w:color="auto"/>
            </w:tcBorders>
            <w:noWrap/>
            <w:vAlign w:val="bottom"/>
          </w:tcPr>
          <w:p w14:paraId="24DA27E1" w14:textId="77777777" w:rsidR="00D03A4F" w:rsidRPr="000E5880" w:rsidRDefault="00D03A4F" w:rsidP="00D03A4F">
            <w:pPr>
              <w:spacing w:before="60" w:after="0" w:line="240" w:lineRule="auto"/>
              <w:ind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число, тысяч</w:t>
            </w:r>
          </w:p>
        </w:tc>
        <w:tc>
          <w:tcPr>
            <w:tcW w:w="3686" w:type="dxa"/>
            <w:gridSpan w:val="2"/>
            <w:tcBorders>
              <w:top w:val="single" w:sz="4" w:space="0" w:color="auto"/>
              <w:left w:val="nil"/>
              <w:bottom w:val="single" w:sz="4" w:space="0" w:color="auto"/>
              <w:right w:val="single" w:sz="4" w:space="0" w:color="auto"/>
            </w:tcBorders>
            <w:noWrap/>
            <w:vAlign w:val="bottom"/>
          </w:tcPr>
          <w:p w14:paraId="6038B65B" w14:textId="77777777" w:rsidR="00D03A4F" w:rsidRPr="000E5880" w:rsidRDefault="00D03A4F" w:rsidP="00D03A4F">
            <w:pPr>
              <w:spacing w:before="60" w:after="0" w:line="240" w:lineRule="auto"/>
              <w:ind w:firstLine="201"/>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на 1000 человек населения</w:t>
            </w:r>
          </w:p>
        </w:tc>
      </w:tr>
      <w:tr w:rsidR="00D03A4F" w:rsidRPr="000E5880" w14:paraId="75F5EFAA" w14:textId="77777777" w:rsidTr="00944CB1">
        <w:trPr>
          <w:trHeight w:val="285"/>
        </w:trPr>
        <w:tc>
          <w:tcPr>
            <w:tcW w:w="2127" w:type="dxa"/>
            <w:vMerge/>
            <w:tcBorders>
              <w:top w:val="single" w:sz="4" w:space="0" w:color="auto"/>
              <w:left w:val="single" w:sz="4" w:space="0" w:color="auto"/>
              <w:bottom w:val="single" w:sz="4" w:space="0" w:color="auto"/>
              <w:right w:val="single" w:sz="4" w:space="0" w:color="auto"/>
            </w:tcBorders>
            <w:vAlign w:val="center"/>
          </w:tcPr>
          <w:p w14:paraId="1B318C28" w14:textId="77777777" w:rsidR="00D03A4F" w:rsidRPr="000E5880" w:rsidRDefault="00D03A4F" w:rsidP="00D03A4F">
            <w:pPr>
              <w:spacing w:before="60" w:after="0" w:line="240" w:lineRule="auto"/>
              <w:ind w:hanging="567"/>
              <w:jc w:val="center"/>
              <w:rPr>
                <w:rFonts w:ascii="Times New Roman" w:eastAsia="Times New Roman" w:hAnsi="Times New Roman" w:cs="Times New Roman"/>
                <w:color w:val="000000"/>
                <w:sz w:val="24"/>
                <w:szCs w:val="24"/>
                <w:lang w:eastAsia="ru-RU"/>
              </w:rPr>
            </w:pPr>
          </w:p>
        </w:tc>
        <w:tc>
          <w:tcPr>
            <w:tcW w:w="2410" w:type="dxa"/>
            <w:tcBorders>
              <w:top w:val="nil"/>
              <w:left w:val="nil"/>
              <w:bottom w:val="single" w:sz="4" w:space="0" w:color="auto"/>
              <w:right w:val="single" w:sz="4" w:space="0" w:color="auto"/>
            </w:tcBorders>
            <w:noWrap/>
            <w:vAlign w:val="center"/>
          </w:tcPr>
          <w:p w14:paraId="56DA89CF" w14:textId="77777777" w:rsidR="00D03A4F" w:rsidRPr="000E5880" w:rsidRDefault="00D03A4F" w:rsidP="00D03A4F">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Браков</w:t>
            </w:r>
          </w:p>
        </w:tc>
        <w:tc>
          <w:tcPr>
            <w:tcW w:w="2126" w:type="dxa"/>
            <w:tcBorders>
              <w:top w:val="nil"/>
              <w:left w:val="nil"/>
              <w:bottom w:val="single" w:sz="4" w:space="0" w:color="auto"/>
              <w:right w:val="single" w:sz="4" w:space="0" w:color="auto"/>
            </w:tcBorders>
            <w:noWrap/>
            <w:vAlign w:val="center"/>
          </w:tcPr>
          <w:p w14:paraId="18E5BBA5" w14:textId="77777777" w:rsidR="00D03A4F" w:rsidRPr="000E5880" w:rsidRDefault="00D03A4F" w:rsidP="00D03A4F">
            <w:pPr>
              <w:spacing w:before="60" w:after="0" w:line="240" w:lineRule="auto"/>
              <w:ind w:hanging="155"/>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Разводов</w:t>
            </w:r>
          </w:p>
        </w:tc>
        <w:tc>
          <w:tcPr>
            <w:tcW w:w="2127" w:type="dxa"/>
            <w:tcBorders>
              <w:top w:val="nil"/>
              <w:left w:val="nil"/>
              <w:bottom w:val="single" w:sz="4" w:space="0" w:color="auto"/>
              <w:right w:val="single" w:sz="4" w:space="0" w:color="auto"/>
            </w:tcBorders>
            <w:noWrap/>
            <w:vAlign w:val="center"/>
          </w:tcPr>
          <w:p w14:paraId="405C5C91" w14:textId="77777777" w:rsidR="00D03A4F" w:rsidRPr="000E5880" w:rsidRDefault="00D03A4F" w:rsidP="00D03A4F">
            <w:pPr>
              <w:spacing w:before="60" w:after="0" w:line="240" w:lineRule="auto"/>
              <w:ind w:hanging="82"/>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Браков</w:t>
            </w:r>
          </w:p>
        </w:tc>
        <w:tc>
          <w:tcPr>
            <w:tcW w:w="1559" w:type="dxa"/>
            <w:tcBorders>
              <w:top w:val="nil"/>
              <w:left w:val="nil"/>
              <w:bottom w:val="single" w:sz="4" w:space="0" w:color="auto"/>
              <w:right w:val="single" w:sz="4" w:space="0" w:color="auto"/>
            </w:tcBorders>
            <w:noWrap/>
            <w:vAlign w:val="center"/>
          </w:tcPr>
          <w:p w14:paraId="32580649" w14:textId="77777777" w:rsidR="00D03A4F" w:rsidRPr="000E5880" w:rsidRDefault="00D03A4F" w:rsidP="00D03A4F">
            <w:pPr>
              <w:spacing w:before="60" w:after="0" w:line="240" w:lineRule="auto"/>
              <w:ind w:left="274" w:right="-108" w:hanging="283"/>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Разводов</w:t>
            </w:r>
          </w:p>
        </w:tc>
      </w:tr>
      <w:tr w:rsidR="00A76652" w:rsidRPr="000E5880" w14:paraId="2D95F641" w14:textId="77777777" w:rsidTr="00DF57BB">
        <w:trPr>
          <w:trHeight w:val="285"/>
        </w:trPr>
        <w:tc>
          <w:tcPr>
            <w:tcW w:w="2127" w:type="dxa"/>
            <w:tcBorders>
              <w:top w:val="single" w:sz="4" w:space="0" w:color="auto"/>
              <w:left w:val="single" w:sz="4" w:space="0" w:color="auto"/>
              <w:bottom w:val="single" w:sz="4" w:space="0" w:color="auto"/>
              <w:right w:val="nil"/>
            </w:tcBorders>
            <w:noWrap/>
            <w:vAlign w:val="center"/>
          </w:tcPr>
          <w:p w14:paraId="76F84218" w14:textId="77777777" w:rsidR="00A76652" w:rsidRPr="000E5880" w:rsidRDefault="00A76652" w:rsidP="00DF57BB">
            <w:pPr>
              <w:spacing w:before="60" w:after="0" w:line="240" w:lineRule="auto"/>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2019</w:t>
            </w:r>
          </w:p>
        </w:tc>
        <w:tc>
          <w:tcPr>
            <w:tcW w:w="2410" w:type="dxa"/>
            <w:tcBorders>
              <w:top w:val="single" w:sz="4" w:space="0" w:color="auto"/>
              <w:left w:val="single" w:sz="4" w:space="0" w:color="auto"/>
              <w:bottom w:val="single" w:sz="4" w:space="0" w:color="auto"/>
              <w:right w:val="single" w:sz="4" w:space="0" w:color="auto"/>
            </w:tcBorders>
            <w:noWrap/>
          </w:tcPr>
          <w:p w14:paraId="2D0C7DF1" w14:textId="77777777" w:rsidR="00A76652" w:rsidRPr="000E5880" w:rsidRDefault="00A76652" w:rsidP="002856C4">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sz w:val="24"/>
                <w:szCs w:val="24"/>
                <w:lang w:eastAsia="ru-RU"/>
              </w:rPr>
              <w:t>950</w:t>
            </w:r>
            <w:r w:rsidRPr="000E5880">
              <w:rPr>
                <w:rFonts w:ascii="Times New Roman" w:eastAsia="Times New Roman" w:hAnsi="Times New Roman" w:cs="Times New Roman"/>
                <w:sz w:val="24"/>
                <w:szCs w:val="24"/>
                <w:lang w:val="en-US" w:eastAsia="ru-RU"/>
              </w:rPr>
              <w:t>,2</w:t>
            </w:r>
          </w:p>
        </w:tc>
        <w:tc>
          <w:tcPr>
            <w:tcW w:w="2126" w:type="dxa"/>
            <w:tcBorders>
              <w:top w:val="single" w:sz="4" w:space="0" w:color="auto"/>
              <w:left w:val="nil"/>
              <w:bottom w:val="single" w:sz="4" w:space="0" w:color="auto"/>
              <w:right w:val="nil"/>
            </w:tcBorders>
            <w:noWrap/>
          </w:tcPr>
          <w:p w14:paraId="53485DB1" w14:textId="77777777" w:rsidR="00A76652" w:rsidRPr="000E5880" w:rsidRDefault="00A76652" w:rsidP="002856C4">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sz w:val="24"/>
                <w:szCs w:val="24"/>
                <w:lang w:eastAsia="ru-RU"/>
              </w:rPr>
              <w:t>620,7</w:t>
            </w:r>
          </w:p>
        </w:tc>
        <w:tc>
          <w:tcPr>
            <w:tcW w:w="2127" w:type="dxa"/>
            <w:tcBorders>
              <w:top w:val="single" w:sz="4" w:space="0" w:color="auto"/>
              <w:left w:val="single" w:sz="4" w:space="0" w:color="auto"/>
              <w:bottom w:val="single" w:sz="4" w:space="0" w:color="auto"/>
              <w:right w:val="single" w:sz="4" w:space="0" w:color="auto"/>
            </w:tcBorders>
            <w:noWrap/>
          </w:tcPr>
          <w:p w14:paraId="1A3F32A9" w14:textId="77777777" w:rsidR="00A76652" w:rsidRPr="000E5880" w:rsidRDefault="00A76652" w:rsidP="002856C4">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sz w:val="24"/>
                <w:szCs w:val="24"/>
                <w:lang w:eastAsia="ru-RU"/>
              </w:rPr>
              <w:t>6,5</w:t>
            </w:r>
          </w:p>
        </w:tc>
        <w:tc>
          <w:tcPr>
            <w:tcW w:w="1559" w:type="dxa"/>
            <w:tcBorders>
              <w:top w:val="single" w:sz="4" w:space="0" w:color="auto"/>
              <w:left w:val="nil"/>
              <w:bottom w:val="single" w:sz="4" w:space="0" w:color="auto"/>
              <w:right w:val="single" w:sz="4" w:space="0" w:color="auto"/>
            </w:tcBorders>
            <w:noWrap/>
          </w:tcPr>
          <w:p w14:paraId="05872B54" w14:textId="77777777" w:rsidR="00A76652" w:rsidRPr="000E5880" w:rsidRDefault="00A76652" w:rsidP="002856C4">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sz w:val="24"/>
                <w:szCs w:val="24"/>
                <w:lang w:eastAsia="ru-RU"/>
              </w:rPr>
              <w:t>4,2</w:t>
            </w:r>
          </w:p>
        </w:tc>
      </w:tr>
      <w:tr w:rsidR="00A76652" w:rsidRPr="000E5880" w14:paraId="00ACA4CD" w14:textId="77777777" w:rsidTr="00DF57BB">
        <w:trPr>
          <w:trHeight w:val="285"/>
        </w:trPr>
        <w:tc>
          <w:tcPr>
            <w:tcW w:w="2127" w:type="dxa"/>
            <w:tcBorders>
              <w:top w:val="single" w:sz="4" w:space="0" w:color="auto"/>
              <w:left w:val="single" w:sz="4" w:space="0" w:color="auto"/>
              <w:bottom w:val="single" w:sz="4" w:space="0" w:color="auto"/>
              <w:right w:val="nil"/>
            </w:tcBorders>
            <w:noWrap/>
            <w:vAlign w:val="center"/>
          </w:tcPr>
          <w:p w14:paraId="6D14F30D" w14:textId="77777777" w:rsidR="00A76652" w:rsidRPr="000E5880" w:rsidRDefault="00A76652" w:rsidP="00DF57BB">
            <w:pPr>
              <w:spacing w:before="60" w:after="0" w:line="240" w:lineRule="auto"/>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2020</w:t>
            </w:r>
          </w:p>
        </w:tc>
        <w:tc>
          <w:tcPr>
            <w:tcW w:w="2410" w:type="dxa"/>
            <w:tcBorders>
              <w:top w:val="single" w:sz="4" w:space="0" w:color="auto"/>
              <w:left w:val="single" w:sz="4" w:space="0" w:color="auto"/>
              <w:bottom w:val="single" w:sz="4" w:space="0" w:color="auto"/>
              <w:right w:val="single" w:sz="4" w:space="0" w:color="auto"/>
            </w:tcBorders>
            <w:noWrap/>
          </w:tcPr>
          <w:p w14:paraId="57BD38F3" w14:textId="77777777" w:rsidR="00A76652" w:rsidRPr="000E5880" w:rsidRDefault="00A76652" w:rsidP="002856C4">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770,9</w:t>
            </w:r>
          </w:p>
        </w:tc>
        <w:tc>
          <w:tcPr>
            <w:tcW w:w="2126" w:type="dxa"/>
            <w:tcBorders>
              <w:top w:val="single" w:sz="4" w:space="0" w:color="auto"/>
              <w:left w:val="nil"/>
              <w:bottom w:val="single" w:sz="4" w:space="0" w:color="auto"/>
              <w:right w:val="nil"/>
            </w:tcBorders>
            <w:noWrap/>
          </w:tcPr>
          <w:p w14:paraId="113EAC9B" w14:textId="77777777" w:rsidR="00A76652" w:rsidRPr="000E5880" w:rsidRDefault="00A76652" w:rsidP="002856C4">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564,7</w:t>
            </w:r>
          </w:p>
        </w:tc>
        <w:tc>
          <w:tcPr>
            <w:tcW w:w="2127" w:type="dxa"/>
            <w:tcBorders>
              <w:top w:val="single" w:sz="4" w:space="0" w:color="auto"/>
              <w:left w:val="single" w:sz="4" w:space="0" w:color="auto"/>
              <w:bottom w:val="single" w:sz="4" w:space="0" w:color="auto"/>
              <w:right w:val="single" w:sz="4" w:space="0" w:color="auto"/>
            </w:tcBorders>
            <w:noWrap/>
          </w:tcPr>
          <w:p w14:paraId="2C70601F" w14:textId="77777777" w:rsidR="00A76652" w:rsidRPr="000E5880" w:rsidRDefault="00A76652" w:rsidP="002856C4">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5,3</w:t>
            </w:r>
          </w:p>
        </w:tc>
        <w:tc>
          <w:tcPr>
            <w:tcW w:w="1559" w:type="dxa"/>
            <w:tcBorders>
              <w:top w:val="single" w:sz="4" w:space="0" w:color="auto"/>
              <w:left w:val="nil"/>
              <w:bottom w:val="single" w:sz="4" w:space="0" w:color="auto"/>
              <w:right w:val="single" w:sz="4" w:space="0" w:color="auto"/>
            </w:tcBorders>
            <w:noWrap/>
          </w:tcPr>
          <w:p w14:paraId="6E24465F" w14:textId="77777777" w:rsidR="00A76652" w:rsidRPr="000E5880" w:rsidRDefault="00A76652" w:rsidP="002856C4">
            <w:pPr>
              <w:spacing w:before="60" w:after="0" w:line="240" w:lineRule="auto"/>
              <w:ind w:left="339" w:hanging="567"/>
              <w:jc w:val="center"/>
              <w:rPr>
                <w:rFonts w:ascii="Times New Roman" w:eastAsia="Times New Roman" w:hAnsi="Times New Roman" w:cs="Times New Roman"/>
                <w:color w:val="000000"/>
                <w:sz w:val="24"/>
                <w:szCs w:val="24"/>
                <w:lang w:eastAsia="ru-RU"/>
              </w:rPr>
            </w:pPr>
            <w:r w:rsidRPr="000E5880">
              <w:rPr>
                <w:rFonts w:ascii="Times New Roman" w:eastAsia="Times New Roman" w:hAnsi="Times New Roman" w:cs="Times New Roman"/>
                <w:color w:val="000000"/>
                <w:sz w:val="24"/>
                <w:szCs w:val="24"/>
                <w:lang w:eastAsia="ru-RU"/>
              </w:rPr>
              <w:t>3,9</w:t>
            </w:r>
          </w:p>
        </w:tc>
      </w:tr>
      <w:tr w:rsidR="00A76652" w:rsidRPr="00BD5A90" w14:paraId="0CF86E26" w14:textId="77777777" w:rsidTr="00DF57BB">
        <w:trPr>
          <w:trHeight w:val="285"/>
        </w:trPr>
        <w:tc>
          <w:tcPr>
            <w:tcW w:w="2127" w:type="dxa"/>
            <w:tcBorders>
              <w:top w:val="single" w:sz="4" w:space="0" w:color="auto"/>
              <w:left w:val="single" w:sz="4" w:space="0" w:color="auto"/>
              <w:bottom w:val="single" w:sz="4" w:space="0" w:color="auto"/>
              <w:right w:val="nil"/>
            </w:tcBorders>
            <w:noWrap/>
            <w:vAlign w:val="center"/>
          </w:tcPr>
          <w:p w14:paraId="7A3AEA5E" w14:textId="77777777" w:rsidR="00A76652" w:rsidRPr="000E5880" w:rsidRDefault="00A76652" w:rsidP="00DF57BB">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p>
        </w:tc>
        <w:tc>
          <w:tcPr>
            <w:tcW w:w="2410" w:type="dxa"/>
            <w:tcBorders>
              <w:left w:val="single" w:sz="4" w:space="0" w:color="auto"/>
              <w:bottom w:val="single" w:sz="4" w:space="0" w:color="auto"/>
              <w:right w:val="single" w:sz="4" w:space="0" w:color="auto"/>
            </w:tcBorders>
            <w:shd w:val="clear" w:color="auto" w:fill="auto"/>
            <w:noWrap/>
          </w:tcPr>
          <w:p w14:paraId="413E0432" w14:textId="77777777" w:rsidR="00A76652" w:rsidRPr="000E5880" w:rsidRDefault="00A76652" w:rsidP="00D03A4F">
            <w:pPr>
              <w:spacing w:before="60" w:after="0" w:line="240" w:lineRule="auto"/>
              <w:ind w:left="339" w:hanging="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923,6</w:t>
            </w:r>
          </w:p>
        </w:tc>
        <w:tc>
          <w:tcPr>
            <w:tcW w:w="2126" w:type="dxa"/>
            <w:tcBorders>
              <w:left w:val="single" w:sz="4" w:space="0" w:color="auto"/>
              <w:bottom w:val="single" w:sz="4" w:space="0" w:color="auto"/>
              <w:right w:val="single" w:sz="4" w:space="0" w:color="auto"/>
            </w:tcBorders>
            <w:shd w:val="clear" w:color="auto" w:fill="auto"/>
            <w:noWrap/>
          </w:tcPr>
          <w:p w14:paraId="0333D4B3" w14:textId="77777777" w:rsidR="00A76652" w:rsidRPr="000E5880" w:rsidRDefault="00A76652" w:rsidP="00D03A4F">
            <w:pPr>
              <w:spacing w:before="60" w:after="0" w:line="240" w:lineRule="auto"/>
              <w:ind w:left="339" w:hanging="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644,2</w:t>
            </w:r>
          </w:p>
        </w:tc>
        <w:tc>
          <w:tcPr>
            <w:tcW w:w="2127" w:type="dxa"/>
            <w:tcBorders>
              <w:left w:val="single" w:sz="4" w:space="0" w:color="auto"/>
              <w:bottom w:val="single" w:sz="4" w:space="0" w:color="auto"/>
              <w:right w:val="single" w:sz="4" w:space="0" w:color="auto"/>
            </w:tcBorders>
            <w:shd w:val="clear" w:color="auto" w:fill="auto"/>
            <w:noWrap/>
          </w:tcPr>
          <w:p w14:paraId="76738508" w14:textId="77777777" w:rsidR="00A76652" w:rsidRPr="000E5880" w:rsidRDefault="00A76652" w:rsidP="00D03A4F">
            <w:pPr>
              <w:spacing w:before="60" w:after="0" w:line="240" w:lineRule="auto"/>
              <w:ind w:left="339" w:hanging="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w:t>
            </w:r>
          </w:p>
        </w:tc>
        <w:tc>
          <w:tcPr>
            <w:tcW w:w="1559" w:type="dxa"/>
            <w:tcBorders>
              <w:left w:val="single" w:sz="4" w:space="0" w:color="auto"/>
              <w:bottom w:val="single" w:sz="4" w:space="0" w:color="auto"/>
              <w:right w:val="single" w:sz="4" w:space="0" w:color="auto"/>
            </w:tcBorders>
            <w:shd w:val="clear" w:color="auto" w:fill="auto"/>
            <w:noWrap/>
          </w:tcPr>
          <w:p w14:paraId="48C371FA" w14:textId="77777777" w:rsidR="00A76652" w:rsidRPr="000E5880" w:rsidRDefault="00A76652" w:rsidP="00D03A4F">
            <w:pPr>
              <w:spacing w:before="60" w:after="0" w:line="240" w:lineRule="auto"/>
              <w:ind w:left="339" w:hanging="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tc>
      </w:tr>
    </w:tbl>
    <w:p w14:paraId="31A6519E" w14:textId="77777777"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14:paraId="5495DB83" w14:textId="77777777" w:rsidR="00D03A4F" w:rsidRPr="004E52DF" w:rsidRDefault="00D03A4F" w:rsidP="00D03A4F">
      <w:pPr>
        <w:spacing w:after="0" w:line="240" w:lineRule="auto"/>
        <w:rPr>
          <w:rFonts w:ascii="Times New Roman" w:eastAsia="Times New Roman" w:hAnsi="Times New Roman" w:cs="Times New Roman"/>
          <w:sz w:val="26"/>
          <w:szCs w:val="26"/>
          <w:lang w:eastAsia="ru-RU"/>
        </w:rPr>
      </w:pPr>
    </w:p>
    <w:p w14:paraId="14130483" w14:textId="77777777" w:rsidR="00D03A4F" w:rsidRPr="004E52DF" w:rsidRDefault="00D03A4F" w:rsidP="00D03A4F">
      <w:pPr>
        <w:spacing w:after="0" w:line="240" w:lineRule="auto"/>
        <w:jc w:val="right"/>
        <w:rPr>
          <w:rFonts w:ascii="Times New Roman" w:eastAsia="Times New Roman" w:hAnsi="Times New Roman" w:cs="Times New Roman"/>
          <w:sz w:val="26"/>
          <w:szCs w:val="26"/>
          <w:lang w:eastAsia="ru-RU"/>
        </w:rPr>
      </w:pPr>
      <w:r w:rsidRPr="004E52DF">
        <w:rPr>
          <w:rFonts w:ascii="Times New Roman" w:eastAsia="Times New Roman" w:hAnsi="Times New Roman" w:cs="Times New Roman"/>
          <w:sz w:val="26"/>
          <w:szCs w:val="26"/>
          <w:lang w:eastAsia="ru-RU"/>
        </w:rPr>
        <w:t xml:space="preserve">Таблица </w:t>
      </w:r>
      <w:r w:rsidR="00F63EB8">
        <w:rPr>
          <w:rFonts w:ascii="Times New Roman" w:eastAsia="Times New Roman" w:hAnsi="Times New Roman" w:cs="Times New Roman"/>
          <w:sz w:val="26"/>
          <w:szCs w:val="26"/>
          <w:lang w:eastAsia="ru-RU"/>
        </w:rPr>
        <w:t>9</w:t>
      </w:r>
    </w:p>
    <w:p w14:paraId="38A0D9DA" w14:textId="77777777" w:rsidR="00D03A4F" w:rsidRPr="004E52DF"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4E52DF">
        <w:rPr>
          <w:rFonts w:ascii="Times New Roman" w:eastAsia="Times New Roman" w:hAnsi="Times New Roman" w:cs="Times New Roman"/>
          <w:b/>
          <w:bCs/>
          <w:color w:val="000000"/>
          <w:sz w:val="26"/>
          <w:szCs w:val="26"/>
          <w:lang w:eastAsia="ru-RU"/>
        </w:rPr>
        <w:t xml:space="preserve">Дети, родившиеся живыми у женщин, </w:t>
      </w:r>
    </w:p>
    <w:p w14:paraId="0DD245E2" w14:textId="77777777" w:rsidR="00D03A4F" w:rsidRPr="004E52DF" w:rsidRDefault="00D03A4F" w:rsidP="00D03A4F">
      <w:pPr>
        <w:spacing w:after="0" w:line="240" w:lineRule="auto"/>
        <w:jc w:val="center"/>
        <w:rPr>
          <w:rFonts w:ascii="Times New Roman" w:eastAsia="Times New Roman" w:hAnsi="Times New Roman" w:cs="Times New Roman"/>
          <w:sz w:val="26"/>
          <w:szCs w:val="26"/>
          <w:lang w:eastAsia="ru-RU"/>
        </w:rPr>
      </w:pPr>
      <w:r w:rsidRPr="004E52DF">
        <w:rPr>
          <w:rFonts w:ascii="Times New Roman" w:eastAsia="Times New Roman" w:hAnsi="Times New Roman" w:cs="Times New Roman"/>
          <w:b/>
          <w:bCs/>
          <w:color w:val="000000"/>
          <w:sz w:val="26"/>
          <w:szCs w:val="26"/>
          <w:lang w:eastAsia="ru-RU"/>
        </w:rPr>
        <w:t>не состоявших в зарегистрированном браке</w:t>
      </w:r>
    </w:p>
    <w:p w14:paraId="56CF9FBB" w14:textId="77777777" w:rsidR="00D03A4F" w:rsidRPr="004E52DF" w:rsidRDefault="00D03A4F" w:rsidP="00D03A4F">
      <w:pPr>
        <w:spacing w:after="0" w:line="240" w:lineRule="auto"/>
        <w:jc w:val="right"/>
        <w:rPr>
          <w:rFonts w:ascii="Times New Roman" w:eastAsia="Times New Roman" w:hAnsi="Times New Roman" w:cs="Times New Roman"/>
          <w:sz w:val="24"/>
          <w:szCs w:val="24"/>
          <w:lang w:eastAsia="ru-RU"/>
        </w:rPr>
      </w:pPr>
    </w:p>
    <w:tbl>
      <w:tblPr>
        <w:tblW w:w="10207" w:type="dxa"/>
        <w:tblInd w:w="-34" w:type="dxa"/>
        <w:tblLayout w:type="fixed"/>
        <w:tblLook w:val="00A0" w:firstRow="1" w:lastRow="0" w:firstColumn="1" w:lastColumn="0" w:noHBand="0" w:noVBand="0"/>
      </w:tblPr>
      <w:tblGrid>
        <w:gridCol w:w="2411"/>
        <w:gridCol w:w="2551"/>
        <w:gridCol w:w="2759"/>
        <w:gridCol w:w="2486"/>
      </w:tblGrid>
      <w:tr w:rsidR="00D03A4F" w:rsidRPr="004E52DF" w14:paraId="7AAAA377" w14:textId="77777777" w:rsidTr="00944CB1">
        <w:trPr>
          <w:trHeight w:val="1100"/>
        </w:trPr>
        <w:tc>
          <w:tcPr>
            <w:tcW w:w="2411" w:type="dxa"/>
            <w:tcBorders>
              <w:top w:val="single" w:sz="4" w:space="0" w:color="auto"/>
              <w:left w:val="single" w:sz="4" w:space="0" w:color="auto"/>
              <w:bottom w:val="single" w:sz="4" w:space="0" w:color="auto"/>
              <w:right w:val="single" w:sz="4" w:space="0" w:color="auto"/>
            </w:tcBorders>
            <w:noWrap/>
            <w:vAlign w:val="center"/>
          </w:tcPr>
          <w:p w14:paraId="762F9E59" w14:textId="77777777" w:rsidR="00D03A4F" w:rsidRPr="004E52D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Год</w:t>
            </w:r>
          </w:p>
        </w:tc>
        <w:tc>
          <w:tcPr>
            <w:tcW w:w="2551" w:type="dxa"/>
            <w:tcBorders>
              <w:top w:val="single" w:sz="4" w:space="0" w:color="auto"/>
              <w:left w:val="nil"/>
              <w:bottom w:val="single" w:sz="4" w:space="0" w:color="auto"/>
              <w:right w:val="single" w:sz="4" w:space="0" w:color="auto"/>
            </w:tcBorders>
            <w:vAlign w:val="center"/>
          </w:tcPr>
          <w:p w14:paraId="1BDABF3C" w14:textId="77777777" w:rsidR="00D03A4F" w:rsidRPr="004E52D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Родившиеся вне брака, человек</w:t>
            </w:r>
          </w:p>
        </w:tc>
        <w:tc>
          <w:tcPr>
            <w:tcW w:w="2759" w:type="dxa"/>
            <w:tcBorders>
              <w:top w:val="single" w:sz="4" w:space="0" w:color="auto"/>
              <w:left w:val="nil"/>
              <w:bottom w:val="single" w:sz="4" w:space="0" w:color="auto"/>
              <w:right w:val="single" w:sz="4" w:space="0" w:color="auto"/>
            </w:tcBorders>
            <w:vAlign w:val="center"/>
          </w:tcPr>
          <w:p w14:paraId="31E720DD" w14:textId="77777777" w:rsidR="00D03A4F" w:rsidRPr="004E52D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В том числе зарегистрированных по совместному заявлению родителей, человек</w:t>
            </w:r>
          </w:p>
        </w:tc>
        <w:tc>
          <w:tcPr>
            <w:tcW w:w="2486" w:type="dxa"/>
            <w:tcBorders>
              <w:top w:val="single" w:sz="4" w:space="0" w:color="auto"/>
              <w:left w:val="nil"/>
              <w:bottom w:val="single" w:sz="4" w:space="0" w:color="auto"/>
              <w:right w:val="single" w:sz="4" w:space="0" w:color="auto"/>
            </w:tcBorders>
            <w:vAlign w:val="center"/>
          </w:tcPr>
          <w:p w14:paraId="0AE47D61" w14:textId="77777777" w:rsidR="00D03A4F" w:rsidRPr="004E52DF"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Доля в общем</w:t>
            </w:r>
            <w:r w:rsidR="00DF57BB" w:rsidRPr="00614FA8">
              <w:rPr>
                <w:rFonts w:ascii="Times New Roman" w:eastAsia="Times New Roman" w:hAnsi="Times New Roman" w:cs="Times New Roman"/>
                <w:color w:val="000000"/>
                <w:sz w:val="24"/>
                <w:szCs w:val="24"/>
                <w:lang w:eastAsia="ru-RU"/>
              </w:rPr>
              <w:t> </w:t>
            </w:r>
            <w:r w:rsidRPr="004E52DF">
              <w:rPr>
                <w:rFonts w:ascii="Times New Roman" w:eastAsia="Times New Roman" w:hAnsi="Times New Roman" w:cs="Times New Roman"/>
                <w:color w:val="000000"/>
                <w:sz w:val="24"/>
                <w:szCs w:val="24"/>
                <w:lang w:eastAsia="ru-RU"/>
              </w:rPr>
              <w:t>числе родившихся, (%)</w:t>
            </w:r>
          </w:p>
        </w:tc>
      </w:tr>
      <w:tr w:rsidR="00405C8C" w:rsidRPr="004E52DF" w14:paraId="4AB935FE" w14:textId="77777777" w:rsidTr="002856C4">
        <w:trPr>
          <w:trHeight w:val="285"/>
        </w:trPr>
        <w:tc>
          <w:tcPr>
            <w:tcW w:w="2411" w:type="dxa"/>
            <w:tcBorders>
              <w:top w:val="single" w:sz="4" w:space="0" w:color="auto"/>
              <w:left w:val="single" w:sz="4" w:space="0" w:color="auto"/>
              <w:bottom w:val="single" w:sz="4" w:space="0" w:color="auto"/>
              <w:right w:val="nil"/>
            </w:tcBorders>
            <w:noWrap/>
            <w:vAlign w:val="center"/>
          </w:tcPr>
          <w:p w14:paraId="7F4DF307" w14:textId="77777777" w:rsidR="00405C8C" w:rsidRPr="004E52DF" w:rsidRDefault="00405C8C" w:rsidP="002856C4">
            <w:pPr>
              <w:spacing w:before="60" w:after="0" w:line="312"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2019</w:t>
            </w:r>
          </w:p>
        </w:tc>
        <w:tc>
          <w:tcPr>
            <w:tcW w:w="2551" w:type="dxa"/>
            <w:tcBorders>
              <w:top w:val="single" w:sz="4" w:space="0" w:color="auto"/>
              <w:left w:val="single" w:sz="4" w:space="0" w:color="auto"/>
              <w:bottom w:val="single" w:sz="4" w:space="0" w:color="auto"/>
              <w:right w:val="single" w:sz="4" w:space="0" w:color="auto"/>
            </w:tcBorders>
            <w:noWrap/>
          </w:tcPr>
          <w:p w14:paraId="6C715BD6" w14:textId="77777777" w:rsidR="00405C8C" w:rsidRPr="004E52DF" w:rsidRDefault="00405C8C" w:rsidP="002856C4">
            <w:pPr>
              <w:spacing w:before="60" w:after="0" w:line="312"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sz w:val="24"/>
                <w:szCs w:val="24"/>
                <w:lang w:eastAsia="ru-RU"/>
              </w:rPr>
              <w:t>309230</w:t>
            </w:r>
          </w:p>
        </w:tc>
        <w:tc>
          <w:tcPr>
            <w:tcW w:w="2759" w:type="dxa"/>
            <w:tcBorders>
              <w:top w:val="single" w:sz="4" w:space="0" w:color="auto"/>
              <w:left w:val="nil"/>
              <w:bottom w:val="single" w:sz="4" w:space="0" w:color="auto"/>
              <w:right w:val="nil"/>
            </w:tcBorders>
            <w:noWrap/>
          </w:tcPr>
          <w:p w14:paraId="53DD0A2A" w14:textId="77777777" w:rsidR="00405C8C" w:rsidRPr="004E52DF" w:rsidRDefault="00405C8C" w:rsidP="002856C4">
            <w:pPr>
              <w:spacing w:before="60" w:after="0" w:line="312"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sz w:val="24"/>
                <w:szCs w:val="24"/>
                <w:lang w:eastAsia="ru-RU"/>
              </w:rPr>
              <w:t>160374</w:t>
            </w:r>
          </w:p>
        </w:tc>
        <w:tc>
          <w:tcPr>
            <w:tcW w:w="2486" w:type="dxa"/>
            <w:tcBorders>
              <w:top w:val="single" w:sz="4" w:space="0" w:color="auto"/>
              <w:left w:val="single" w:sz="4" w:space="0" w:color="auto"/>
              <w:bottom w:val="single" w:sz="4" w:space="0" w:color="auto"/>
              <w:right w:val="single" w:sz="4" w:space="0" w:color="auto"/>
            </w:tcBorders>
            <w:noWrap/>
          </w:tcPr>
          <w:p w14:paraId="61DBDCF9" w14:textId="77777777" w:rsidR="00405C8C" w:rsidRPr="004E52DF" w:rsidRDefault="00405C8C" w:rsidP="002856C4">
            <w:pPr>
              <w:spacing w:before="60" w:after="0" w:line="312"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sz w:val="24"/>
                <w:szCs w:val="24"/>
                <w:lang w:eastAsia="ru-RU"/>
              </w:rPr>
              <w:t>20,9</w:t>
            </w:r>
          </w:p>
        </w:tc>
      </w:tr>
      <w:tr w:rsidR="00405C8C" w:rsidRPr="004E52DF" w14:paraId="0BB8D6AA" w14:textId="77777777" w:rsidTr="009018E0">
        <w:trPr>
          <w:trHeight w:val="285"/>
        </w:trPr>
        <w:tc>
          <w:tcPr>
            <w:tcW w:w="2411" w:type="dxa"/>
            <w:tcBorders>
              <w:top w:val="single" w:sz="4" w:space="0" w:color="auto"/>
              <w:left w:val="single" w:sz="4" w:space="0" w:color="auto"/>
              <w:bottom w:val="single" w:sz="4" w:space="0" w:color="auto"/>
              <w:right w:val="nil"/>
            </w:tcBorders>
            <w:noWrap/>
            <w:vAlign w:val="center"/>
          </w:tcPr>
          <w:p w14:paraId="3E591C94" w14:textId="77777777" w:rsidR="00405C8C" w:rsidRPr="004E52DF" w:rsidRDefault="00405C8C" w:rsidP="002856C4">
            <w:pPr>
              <w:spacing w:before="60" w:after="0" w:line="312"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2020</w:t>
            </w:r>
          </w:p>
        </w:tc>
        <w:tc>
          <w:tcPr>
            <w:tcW w:w="2551" w:type="dxa"/>
            <w:tcBorders>
              <w:top w:val="single" w:sz="4" w:space="0" w:color="auto"/>
              <w:left w:val="single" w:sz="4" w:space="0" w:color="auto"/>
              <w:bottom w:val="single" w:sz="4" w:space="0" w:color="auto"/>
              <w:right w:val="single" w:sz="4" w:space="0" w:color="auto"/>
            </w:tcBorders>
            <w:noWrap/>
          </w:tcPr>
          <w:p w14:paraId="7BAA224B" w14:textId="77777777" w:rsidR="00405C8C" w:rsidRPr="004E52DF" w:rsidRDefault="00405C8C" w:rsidP="002856C4">
            <w:pPr>
              <w:spacing w:before="60" w:after="0" w:line="312"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311 174</w:t>
            </w:r>
          </w:p>
        </w:tc>
        <w:tc>
          <w:tcPr>
            <w:tcW w:w="2759" w:type="dxa"/>
            <w:tcBorders>
              <w:top w:val="single" w:sz="4" w:space="0" w:color="auto"/>
              <w:left w:val="nil"/>
              <w:bottom w:val="single" w:sz="4" w:space="0" w:color="auto"/>
              <w:right w:val="nil"/>
            </w:tcBorders>
            <w:noWrap/>
          </w:tcPr>
          <w:p w14:paraId="48F290DB" w14:textId="77777777" w:rsidR="00405C8C" w:rsidRPr="004E52DF" w:rsidRDefault="00405C8C" w:rsidP="002856C4">
            <w:pPr>
              <w:spacing w:before="60" w:after="0" w:line="312"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162 404</w:t>
            </w:r>
          </w:p>
        </w:tc>
        <w:tc>
          <w:tcPr>
            <w:tcW w:w="2486" w:type="dxa"/>
            <w:tcBorders>
              <w:top w:val="single" w:sz="4" w:space="0" w:color="auto"/>
              <w:left w:val="single" w:sz="4" w:space="0" w:color="auto"/>
              <w:bottom w:val="single" w:sz="4" w:space="0" w:color="auto"/>
              <w:right w:val="single" w:sz="4" w:space="0" w:color="auto"/>
            </w:tcBorders>
            <w:noWrap/>
          </w:tcPr>
          <w:p w14:paraId="1CABF3E8" w14:textId="77777777" w:rsidR="00405C8C" w:rsidRPr="004E52DF" w:rsidRDefault="00405C8C" w:rsidP="002856C4">
            <w:pPr>
              <w:spacing w:before="60" w:after="0" w:line="312" w:lineRule="auto"/>
              <w:jc w:val="center"/>
              <w:rPr>
                <w:rFonts w:ascii="Times New Roman" w:eastAsia="Times New Roman" w:hAnsi="Times New Roman" w:cs="Times New Roman"/>
                <w:color w:val="000000"/>
                <w:sz w:val="24"/>
                <w:szCs w:val="24"/>
                <w:lang w:eastAsia="ru-RU"/>
              </w:rPr>
            </w:pPr>
            <w:r w:rsidRPr="004E52DF">
              <w:rPr>
                <w:rFonts w:ascii="Times New Roman" w:eastAsia="Times New Roman" w:hAnsi="Times New Roman" w:cs="Times New Roman"/>
                <w:color w:val="000000"/>
                <w:sz w:val="24"/>
                <w:szCs w:val="24"/>
                <w:lang w:eastAsia="ru-RU"/>
              </w:rPr>
              <w:t>21,7</w:t>
            </w:r>
          </w:p>
        </w:tc>
      </w:tr>
      <w:tr w:rsidR="00405C8C" w:rsidRPr="00BD5A90" w14:paraId="04C745A3" w14:textId="77777777" w:rsidTr="00944CB1">
        <w:trPr>
          <w:trHeight w:val="285"/>
        </w:trPr>
        <w:tc>
          <w:tcPr>
            <w:tcW w:w="2411" w:type="dxa"/>
            <w:tcBorders>
              <w:top w:val="single" w:sz="4" w:space="0" w:color="auto"/>
              <w:left w:val="single" w:sz="4" w:space="0" w:color="auto"/>
              <w:bottom w:val="single" w:sz="4" w:space="0" w:color="auto"/>
              <w:right w:val="nil"/>
            </w:tcBorders>
            <w:noWrap/>
            <w:vAlign w:val="center"/>
          </w:tcPr>
          <w:p w14:paraId="4D0FE0E5" w14:textId="77777777" w:rsidR="00405C8C" w:rsidRPr="004E52DF" w:rsidRDefault="00405C8C" w:rsidP="00D03A4F">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p>
        </w:tc>
        <w:tc>
          <w:tcPr>
            <w:tcW w:w="2551" w:type="dxa"/>
            <w:tcBorders>
              <w:left w:val="single" w:sz="4" w:space="0" w:color="auto"/>
              <w:bottom w:val="single" w:sz="4" w:space="0" w:color="auto"/>
              <w:right w:val="single" w:sz="4" w:space="0" w:color="auto"/>
            </w:tcBorders>
            <w:shd w:val="clear" w:color="auto" w:fill="auto"/>
            <w:noWrap/>
          </w:tcPr>
          <w:p w14:paraId="75338050" w14:textId="77777777" w:rsidR="00405C8C" w:rsidRPr="004E52DF" w:rsidRDefault="00405C8C" w:rsidP="00D03A4F">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307 312</w:t>
            </w:r>
          </w:p>
        </w:tc>
        <w:tc>
          <w:tcPr>
            <w:tcW w:w="2759" w:type="dxa"/>
            <w:tcBorders>
              <w:left w:val="nil"/>
              <w:bottom w:val="single" w:sz="4" w:space="0" w:color="auto"/>
              <w:right w:val="single" w:sz="4" w:space="0" w:color="auto"/>
            </w:tcBorders>
            <w:shd w:val="clear" w:color="auto" w:fill="auto"/>
            <w:noWrap/>
          </w:tcPr>
          <w:p w14:paraId="53CE7612" w14:textId="77777777" w:rsidR="00405C8C" w:rsidRPr="004E52DF" w:rsidRDefault="00405C8C" w:rsidP="00D03A4F">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161 416</w:t>
            </w:r>
          </w:p>
        </w:tc>
        <w:tc>
          <w:tcPr>
            <w:tcW w:w="2486" w:type="dxa"/>
            <w:tcBorders>
              <w:left w:val="nil"/>
              <w:bottom w:val="single" w:sz="4" w:space="0" w:color="auto"/>
              <w:right w:val="single" w:sz="4" w:space="0" w:color="auto"/>
            </w:tcBorders>
            <w:shd w:val="clear" w:color="auto" w:fill="auto"/>
            <w:noWrap/>
          </w:tcPr>
          <w:p w14:paraId="329477DE" w14:textId="77777777" w:rsidR="00405C8C" w:rsidRPr="004E52DF" w:rsidRDefault="00405C8C" w:rsidP="00D03A4F">
            <w:pPr>
              <w:spacing w:before="60" w:after="0" w:line="312"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w:t>
            </w:r>
          </w:p>
        </w:tc>
      </w:tr>
    </w:tbl>
    <w:p w14:paraId="6BC7245A" w14:textId="77777777" w:rsidR="00D03A4F" w:rsidRPr="00BD5A90" w:rsidRDefault="00D03A4F" w:rsidP="00F63EB8">
      <w:pPr>
        <w:spacing w:after="0" w:line="240" w:lineRule="auto"/>
        <w:rPr>
          <w:rFonts w:ascii="Times New Roman" w:eastAsia="Times New Roman" w:hAnsi="Times New Roman" w:cs="Times New Roman"/>
          <w:color w:val="000000"/>
          <w:sz w:val="26"/>
          <w:szCs w:val="26"/>
          <w:highlight w:val="yellow"/>
          <w:lang w:eastAsia="ru-RU"/>
        </w:rPr>
      </w:pPr>
    </w:p>
    <w:p w14:paraId="51CA7BFE" w14:textId="77777777" w:rsidR="00D03A4F" w:rsidRPr="00BD5A90" w:rsidRDefault="00D03A4F" w:rsidP="00D03A4F">
      <w:pPr>
        <w:spacing w:after="0" w:line="240" w:lineRule="auto"/>
        <w:rPr>
          <w:rFonts w:ascii="Times New Roman" w:eastAsia="Times New Roman" w:hAnsi="Times New Roman" w:cs="Times New Roman"/>
          <w:bCs/>
          <w:color w:val="000000"/>
          <w:sz w:val="26"/>
          <w:szCs w:val="26"/>
          <w:highlight w:val="yellow"/>
          <w:lang w:eastAsia="ru-RU"/>
        </w:rPr>
      </w:pPr>
    </w:p>
    <w:p w14:paraId="60039D4F" w14:textId="77777777" w:rsidR="00D03A4F" w:rsidRPr="00D13C4B" w:rsidRDefault="00D03A4F" w:rsidP="00D03A4F">
      <w:pPr>
        <w:spacing w:after="0" w:line="240" w:lineRule="auto"/>
        <w:jc w:val="right"/>
        <w:rPr>
          <w:rFonts w:ascii="Times New Roman" w:eastAsia="Times New Roman" w:hAnsi="Times New Roman" w:cs="Times New Roman"/>
          <w:bCs/>
          <w:color w:val="000000"/>
          <w:sz w:val="26"/>
          <w:szCs w:val="26"/>
          <w:lang w:eastAsia="ru-RU"/>
        </w:rPr>
      </w:pPr>
      <w:r w:rsidRPr="00D13C4B">
        <w:rPr>
          <w:rFonts w:ascii="Times New Roman" w:eastAsia="Times New Roman" w:hAnsi="Times New Roman" w:cs="Times New Roman"/>
          <w:bCs/>
          <w:color w:val="000000"/>
          <w:sz w:val="26"/>
          <w:szCs w:val="26"/>
          <w:lang w:eastAsia="ru-RU"/>
        </w:rPr>
        <w:t>Таблица 10</w:t>
      </w:r>
    </w:p>
    <w:p w14:paraId="05B6B7F8" w14:textId="77777777" w:rsidR="00D03A4F" w:rsidRPr="00D13C4B"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D13C4B">
        <w:rPr>
          <w:rFonts w:ascii="Times New Roman" w:eastAsia="Times New Roman" w:hAnsi="Times New Roman" w:cs="Times New Roman"/>
          <w:b/>
          <w:bCs/>
          <w:color w:val="000000"/>
          <w:sz w:val="26"/>
          <w:szCs w:val="26"/>
          <w:lang w:eastAsia="ru-RU"/>
        </w:rPr>
        <w:t>Дети, родившиеся у несовершеннолетних матерей</w:t>
      </w:r>
    </w:p>
    <w:p w14:paraId="4DBC5785" w14:textId="77777777" w:rsidR="00D03A4F" w:rsidRPr="00D13C4B"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p>
    <w:tbl>
      <w:tblPr>
        <w:tblW w:w="9923" w:type="dxa"/>
        <w:tblInd w:w="-34" w:type="dxa"/>
        <w:tblLayout w:type="fixed"/>
        <w:tblLook w:val="00A0" w:firstRow="1" w:lastRow="0" w:firstColumn="1" w:lastColumn="0" w:noHBand="0" w:noVBand="0"/>
      </w:tblPr>
      <w:tblGrid>
        <w:gridCol w:w="1702"/>
        <w:gridCol w:w="1559"/>
        <w:gridCol w:w="1134"/>
        <w:gridCol w:w="1134"/>
        <w:gridCol w:w="992"/>
        <w:gridCol w:w="1134"/>
        <w:gridCol w:w="1134"/>
        <w:gridCol w:w="1134"/>
      </w:tblGrid>
      <w:tr w:rsidR="00D03A4F" w:rsidRPr="00D13C4B" w14:paraId="7569837A" w14:textId="77777777" w:rsidTr="00944CB1">
        <w:trPr>
          <w:trHeight w:val="20"/>
        </w:trPr>
        <w:tc>
          <w:tcPr>
            <w:tcW w:w="1702" w:type="dxa"/>
            <w:vMerge w:val="restart"/>
            <w:tcBorders>
              <w:top w:val="single" w:sz="4" w:space="0" w:color="auto"/>
              <w:left w:val="single" w:sz="4" w:space="0" w:color="auto"/>
              <w:bottom w:val="single" w:sz="4" w:space="0" w:color="auto"/>
              <w:right w:val="single" w:sz="4" w:space="0" w:color="auto"/>
            </w:tcBorders>
          </w:tcPr>
          <w:p w14:paraId="4D766C85" w14:textId="77777777" w:rsidR="00D03A4F" w:rsidRPr="00D13C4B" w:rsidRDefault="00D03A4F" w:rsidP="00D03A4F">
            <w:pPr>
              <w:spacing w:after="0" w:line="240" w:lineRule="auto"/>
              <w:jc w:val="center"/>
              <w:rPr>
                <w:rFonts w:ascii="Times New Roman" w:eastAsia="Times New Roman" w:hAnsi="Times New Roman" w:cs="Times New Roman"/>
                <w:sz w:val="24"/>
                <w:szCs w:val="24"/>
                <w:lang w:eastAsia="ru-RU"/>
              </w:rPr>
            </w:pPr>
          </w:p>
          <w:p w14:paraId="532E1709" w14:textId="77777777" w:rsidR="00D03A4F" w:rsidRPr="00D13C4B" w:rsidRDefault="00D03A4F" w:rsidP="00D03A4F">
            <w:pPr>
              <w:spacing w:after="0" w:line="240" w:lineRule="auto"/>
              <w:jc w:val="center"/>
              <w:rPr>
                <w:rFonts w:ascii="Times New Roman" w:eastAsia="Times New Roman" w:hAnsi="Times New Roman" w:cs="Times New Roman"/>
                <w:sz w:val="24"/>
                <w:szCs w:val="24"/>
                <w:lang w:eastAsia="ru-RU"/>
              </w:rPr>
            </w:pPr>
            <w:r w:rsidRPr="00D13C4B">
              <w:rPr>
                <w:rFonts w:ascii="Times New Roman" w:eastAsia="Times New Roman" w:hAnsi="Times New Roman" w:cs="Times New Roman"/>
                <w:sz w:val="24"/>
                <w:szCs w:val="24"/>
                <w:lang w:eastAsia="ru-RU"/>
              </w:rPr>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2A36A39D" w14:textId="77777777" w:rsidR="00D03A4F" w:rsidRPr="00D13C4B" w:rsidRDefault="00D03A4F" w:rsidP="00D03A4F">
            <w:pPr>
              <w:spacing w:after="0" w:line="240" w:lineRule="auto"/>
              <w:jc w:val="center"/>
              <w:rPr>
                <w:rFonts w:ascii="Times New Roman" w:eastAsia="Times New Roman" w:hAnsi="Times New Roman" w:cs="Times New Roman"/>
                <w:sz w:val="24"/>
                <w:szCs w:val="24"/>
                <w:lang w:eastAsia="ru-RU"/>
              </w:rPr>
            </w:pPr>
            <w:r w:rsidRPr="00D13C4B">
              <w:rPr>
                <w:rFonts w:ascii="Times New Roman" w:eastAsia="Times New Roman" w:hAnsi="Times New Roman" w:cs="Times New Roman"/>
                <w:color w:val="000000"/>
                <w:sz w:val="24"/>
                <w:szCs w:val="24"/>
                <w:lang w:eastAsia="ru-RU"/>
              </w:rPr>
              <w:t>Всего</w:t>
            </w:r>
          </w:p>
        </w:tc>
        <w:tc>
          <w:tcPr>
            <w:tcW w:w="6662" w:type="dxa"/>
            <w:gridSpan w:val="6"/>
            <w:tcBorders>
              <w:top w:val="single" w:sz="4" w:space="0" w:color="auto"/>
              <w:left w:val="single" w:sz="4" w:space="0" w:color="auto"/>
              <w:bottom w:val="single" w:sz="4" w:space="0" w:color="auto"/>
              <w:right w:val="single" w:sz="4" w:space="0" w:color="auto"/>
            </w:tcBorders>
            <w:vAlign w:val="center"/>
          </w:tcPr>
          <w:p w14:paraId="0D2F94BB" w14:textId="77777777"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из них в возрасте:</w:t>
            </w:r>
          </w:p>
        </w:tc>
      </w:tr>
      <w:tr w:rsidR="00D03A4F" w:rsidRPr="00D13C4B" w14:paraId="170A0889" w14:textId="77777777" w:rsidTr="00944CB1">
        <w:trPr>
          <w:trHeight w:val="361"/>
        </w:trPr>
        <w:tc>
          <w:tcPr>
            <w:tcW w:w="1702" w:type="dxa"/>
            <w:vMerge/>
            <w:tcBorders>
              <w:top w:val="single" w:sz="4" w:space="0" w:color="auto"/>
              <w:left w:val="single" w:sz="4" w:space="0" w:color="auto"/>
              <w:bottom w:val="single" w:sz="4" w:space="0" w:color="auto"/>
              <w:right w:val="single" w:sz="4" w:space="0" w:color="auto"/>
            </w:tcBorders>
          </w:tcPr>
          <w:p w14:paraId="6BE5CC57" w14:textId="77777777" w:rsidR="00D03A4F" w:rsidRPr="00D13C4B" w:rsidRDefault="00D03A4F" w:rsidP="00D03A4F">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14:paraId="69DD0A88" w14:textId="77777777" w:rsidR="00D03A4F" w:rsidRPr="00D13C4B" w:rsidRDefault="00D03A4F" w:rsidP="00D03A4F">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5FE9F705" w14:textId="77777777" w:rsidR="00D03A4F" w:rsidRPr="00D13C4B" w:rsidRDefault="00D03A4F" w:rsidP="00D03A4F">
            <w:pPr>
              <w:spacing w:after="0" w:line="240" w:lineRule="auto"/>
              <w:jc w:val="center"/>
              <w:rPr>
                <w:rFonts w:ascii="Times New Roman" w:eastAsia="Times New Roman" w:hAnsi="Times New Roman" w:cs="Times New Roman"/>
                <w:sz w:val="24"/>
                <w:szCs w:val="24"/>
                <w:lang w:eastAsia="ru-RU"/>
              </w:rPr>
            </w:pPr>
            <w:r w:rsidRPr="00D13C4B">
              <w:rPr>
                <w:rFonts w:ascii="Times New Roman" w:eastAsia="Times New Roman" w:hAnsi="Times New Roman" w:cs="Times New Roman"/>
                <w:sz w:val="24"/>
                <w:szCs w:val="24"/>
                <w:lang w:eastAsia="ru-RU"/>
              </w:rPr>
              <w:t>12 лет</w:t>
            </w:r>
          </w:p>
        </w:tc>
        <w:tc>
          <w:tcPr>
            <w:tcW w:w="1134" w:type="dxa"/>
            <w:tcBorders>
              <w:top w:val="single" w:sz="4" w:space="0" w:color="auto"/>
              <w:left w:val="single" w:sz="4" w:space="0" w:color="auto"/>
              <w:bottom w:val="single" w:sz="4" w:space="0" w:color="auto"/>
              <w:right w:val="single" w:sz="4" w:space="0" w:color="auto"/>
            </w:tcBorders>
          </w:tcPr>
          <w:p w14:paraId="2DB65F12" w14:textId="77777777" w:rsidR="00D03A4F" w:rsidRPr="00D13C4B" w:rsidRDefault="00D03A4F" w:rsidP="00D03A4F">
            <w:pPr>
              <w:spacing w:after="0" w:line="240" w:lineRule="auto"/>
              <w:jc w:val="center"/>
              <w:rPr>
                <w:rFonts w:ascii="Times New Roman" w:eastAsia="Times New Roman" w:hAnsi="Times New Roman" w:cs="Times New Roman"/>
                <w:sz w:val="24"/>
                <w:szCs w:val="24"/>
                <w:lang w:eastAsia="ru-RU"/>
              </w:rPr>
            </w:pPr>
            <w:r w:rsidRPr="00D13C4B">
              <w:rPr>
                <w:rFonts w:ascii="Times New Roman" w:eastAsia="Times New Roman" w:hAnsi="Times New Roman" w:cs="Times New Roman"/>
                <w:sz w:val="24"/>
                <w:szCs w:val="24"/>
                <w:lang w:eastAsia="ru-RU"/>
              </w:rPr>
              <w:t>13 лет</w:t>
            </w:r>
          </w:p>
        </w:tc>
        <w:tc>
          <w:tcPr>
            <w:tcW w:w="992" w:type="dxa"/>
            <w:tcBorders>
              <w:top w:val="single" w:sz="4" w:space="0" w:color="auto"/>
              <w:left w:val="single" w:sz="4" w:space="0" w:color="auto"/>
              <w:bottom w:val="single" w:sz="4" w:space="0" w:color="auto"/>
              <w:right w:val="single" w:sz="4" w:space="0" w:color="auto"/>
            </w:tcBorders>
          </w:tcPr>
          <w:p w14:paraId="486A10BA" w14:textId="77777777" w:rsidR="00D03A4F" w:rsidRPr="00D13C4B" w:rsidRDefault="00D03A4F" w:rsidP="00D03A4F">
            <w:pPr>
              <w:spacing w:after="0" w:line="240" w:lineRule="auto"/>
              <w:jc w:val="center"/>
              <w:rPr>
                <w:rFonts w:ascii="Times New Roman" w:eastAsia="Times New Roman" w:hAnsi="Times New Roman" w:cs="Times New Roman"/>
                <w:sz w:val="24"/>
                <w:szCs w:val="24"/>
                <w:lang w:eastAsia="ru-RU"/>
              </w:rPr>
            </w:pPr>
            <w:r w:rsidRPr="00D13C4B">
              <w:rPr>
                <w:rFonts w:ascii="Times New Roman" w:eastAsia="Times New Roman" w:hAnsi="Times New Roman" w:cs="Times New Roman"/>
                <w:sz w:val="24"/>
                <w:szCs w:val="24"/>
                <w:lang w:eastAsia="ru-RU"/>
              </w:rPr>
              <w:t>14 лет</w:t>
            </w:r>
          </w:p>
        </w:tc>
        <w:tc>
          <w:tcPr>
            <w:tcW w:w="1134" w:type="dxa"/>
            <w:tcBorders>
              <w:top w:val="single" w:sz="4" w:space="0" w:color="auto"/>
              <w:left w:val="single" w:sz="4" w:space="0" w:color="auto"/>
              <w:bottom w:val="single" w:sz="4" w:space="0" w:color="auto"/>
              <w:right w:val="single" w:sz="4" w:space="0" w:color="auto"/>
            </w:tcBorders>
          </w:tcPr>
          <w:p w14:paraId="28108B96" w14:textId="77777777" w:rsidR="00D03A4F" w:rsidRPr="00D13C4B" w:rsidRDefault="00D03A4F" w:rsidP="00D03A4F">
            <w:pPr>
              <w:spacing w:after="0" w:line="240" w:lineRule="auto"/>
              <w:jc w:val="center"/>
              <w:rPr>
                <w:rFonts w:ascii="Times New Roman" w:eastAsia="Times New Roman" w:hAnsi="Times New Roman" w:cs="Times New Roman"/>
                <w:sz w:val="24"/>
                <w:szCs w:val="24"/>
                <w:lang w:eastAsia="ru-RU"/>
              </w:rPr>
            </w:pPr>
            <w:r w:rsidRPr="00D13C4B">
              <w:rPr>
                <w:rFonts w:ascii="Times New Roman" w:eastAsia="Times New Roman" w:hAnsi="Times New Roman" w:cs="Times New Roman"/>
                <w:sz w:val="24"/>
                <w:szCs w:val="24"/>
                <w:lang w:eastAsia="ru-RU"/>
              </w:rPr>
              <w:t>15 лет</w:t>
            </w:r>
          </w:p>
        </w:tc>
        <w:tc>
          <w:tcPr>
            <w:tcW w:w="1134" w:type="dxa"/>
            <w:tcBorders>
              <w:top w:val="single" w:sz="4" w:space="0" w:color="auto"/>
              <w:left w:val="single" w:sz="4" w:space="0" w:color="auto"/>
              <w:bottom w:val="single" w:sz="4" w:space="0" w:color="auto"/>
              <w:right w:val="single" w:sz="4" w:space="0" w:color="auto"/>
            </w:tcBorders>
          </w:tcPr>
          <w:p w14:paraId="1DC7AF11" w14:textId="77777777" w:rsidR="00D03A4F" w:rsidRPr="00D13C4B" w:rsidRDefault="00D03A4F" w:rsidP="00D03A4F">
            <w:pPr>
              <w:spacing w:after="0" w:line="240" w:lineRule="auto"/>
              <w:jc w:val="center"/>
              <w:rPr>
                <w:rFonts w:ascii="Times New Roman" w:eastAsia="Times New Roman" w:hAnsi="Times New Roman" w:cs="Times New Roman"/>
                <w:sz w:val="24"/>
                <w:szCs w:val="24"/>
                <w:lang w:eastAsia="ru-RU"/>
              </w:rPr>
            </w:pPr>
            <w:r w:rsidRPr="00D13C4B">
              <w:rPr>
                <w:rFonts w:ascii="Times New Roman" w:eastAsia="Times New Roman" w:hAnsi="Times New Roman" w:cs="Times New Roman"/>
                <w:sz w:val="24"/>
                <w:szCs w:val="24"/>
                <w:lang w:eastAsia="ru-RU"/>
              </w:rPr>
              <w:t>16 лет</w:t>
            </w:r>
          </w:p>
        </w:tc>
        <w:tc>
          <w:tcPr>
            <w:tcW w:w="1134" w:type="dxa"/>
            <w:tcBorders>
              <w:top w:val="single" w:sz="4" w:space="0" w:color="auto"/>
              <w:left w:val="single" w:sz="4" w:space="0" w:color="auto"/>
              <w:bottom w:val="single" w:sz="4" w:space="0" w:color="auto"/>
              <w:right w:val="single" w:sz="4" w:space="0" w:color="auto"/>
            </w:tcBorders>
          </w:tcPr>
          <w:p w14:paraId="1093F426" w14:textId="77777777" w:rsidR="00D03A4F" w:rsidRPr="00D13C4B" w:rsidRDefault="00D03A4F" w:rsidP="00D03A4F">
            <w:pPr>
              <w:spacing w:after="0" w:line="240" w:lineRule="auto"/>
              <w:jc w:val="center"/>
              <w:rPr>
                <w:rFonts w:ascii="Times New Roman" w:eastAsia="Times New Roman" w:hAnsi="Times New Roman" w:cs="Times New Roman"/>
                <w:sz w:val="24"/>
                <w:szCs w:val="24"/>
                <w:lang w:eastAsia="ru-RU"/>
              </w:rPr>
            </w:pPr>
            <w:r w:rsidRPr="00D13C4B">
              <w:rPr>
                <w:rFonts w:ascii="Times New Roman" w:eastAsia="Times New Roman" w:hAnsi="Times New Roman" w:cs="Times New Roman"/>
                <w:sz w:val="24"/>
                <w:szCs w:val="24"/>
                <w:lang w:eastAsia="ru-RU"/>
              </w:rPr>
              <w:t>17 лет</w:t>
            </w:r>
          </w:p>
        </w:tc>
      </w:tr>
      <w:tr w:rsidR="002856C4" w:rsidRPr="00D13C4B" w14:paraId="5C21401A" w14:textId="77777777" w:rsidTr="00944CB1">
        <w:trPr>
          <w:trHeight w:val="284"/>
        </w:trPr>
        <w:tc>
          <w:tcPr>
            <w:tcW w:w="1702" w:type="dxa"/>
            <w:tcBorders>
              <w:top w:val="single" w:sz="4" w:space="0" w:color="auto"/>
              <w:left w:val="single" w:sz="4" w:space="0" w:color="auto"/>
              <w:bottom w:val="single" w:sz="4" w:space="0" w:color="auto"/>
              <w:right w:val="single" w:sz="4" w:space="0" w:color="auto"/>
            </w:tcBorders>
            <w:vAlign w:val="center"/>
          </w:tcPr>
          <w:p w14:paraId="76F6221E" w14:textId="77777777" w:rsidR="002856C4" w:rsidRPr="00D13C4B" w:rsidRDefault="002856C4" w:rsidP="002856C4">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2019</w:t>
            </w:r>
          </w:p>
        </w:tc>
        <w:tc>
          <w:tcPr>
            <w:tcW w:w="1559" w:type="dxa"/>
            <w:tcBorders>
              <w:top w:val="single" w:sz="4" w:space="0" w:color="auto"/>
              <w:left w:val="single" w:sz="4" w:space="0" w:color="auto"/>
              <w:bottom w:val="single" w:sz="4" w:space="0" w:color="auto"/>
              <w:right w:val="single" w:sz="4" w:space="0" w:color="auto"/>
            </w:tcBorders>
            <w:vAlign w:val="center"/>
          </w:tcPr>
          <w:p w14:paraId="5B87DB7F" w14:textId="77777777" w:rsidR="002856C4" w:rsidRPr="00D13C4B" w:rsidRDefault="002856C4" w:rsidP="002856C4">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11 247</w:t>
            </w:r>
          </w:p>
        </w:tc>
        <w:tc>
          <w:tcPr>
            <w:tcW w:w="1134" w:type="dxa"/>
            <w:tcBorders>
              <w:top w:val="single" w:sz="4" w:space="0" w:color="auto"/>
              <w:left w:val="single" w:sz="4" w:space="0" w:color="auto"/>
              <w:bottom w:val="single" w:sz="4" w:space="0" w:color="auto"/>
              <w:right w:val="single" w:sz="4" w:space="0" w:color="auto"/>
            </w:tcBorders>
            <w:vAlign w:val="center"/>
          </w:tcPr>
          <w:p w14:paraId="05FC880F" w14:textId="77777777" w:rsidR="002856C4" w:rsidRPr="00D13C4B" w:rsidRDefault="002856C4" w:rsidP="002856C4">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14:paraId="43FC50A9" w14:textId="77777777" w:rsidR="002856C4" w:rsidRPr="00D13C4B" w:rsidRDefault="002856C4" w:rsidP="002856C4">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24</w:t>
            </w:r>
          </w:p>
        </w:tc>
        <w:tc>
          <w:tcPr>
            <w:tcW w:w="992" w:type="dxa"/>
            <w:tcBorders>
              <w:top w:val="single" w:sz="4" w:space="0" w:color="auto"/>
              <w:left w:val="single" w:sz="4" w:space="0" w:color="auto"/>
              <w:bottom w:val="single" w:sz="4" w:space="0" w:color="auto"/>
              <w:right w:val="single" w:sz="4" w:space="0" w:color="auto"/>
            </w:tcBorders>
            <w:vAlign w:val="center"/>
          </w:tcPr>
          <w:p w14:paraId="41AF397D" w14:textId="77777777" w:rsidR="002856C4" w:rsidRPr="00D13C4B" w:rsidRDefault="002856C4" w:rsidP="002856C4">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189</w:t>
            </w:r>
          </w:p>
        </w:tc>
        <w:tc>
          <w:tcPr>
            <w:tcW w:w="1134" w:type="dxa"/>
            <w:tcBorders>
              <w:top w:val="single" w:sz="4" w:space="0" w:color="auto"/>
              <w:left w:val="single" w:sz="4" w:space="0" w:color="auto"/>
              <w:bottom w:val="single" w:sz="4" w:space="0" w:color="auto"/>
              <w:right w:val="single" w:sz="4" w:space="0" w:color="auto"/>
            </w:tcBorders>
            <w:vAlign w:val="center"/>
          </w:tcPr>
          <w:p w14:paraId="7A3D3EEF" w14:textId="77777777" w:rsidR="002856C4" w:rsidRPr="00D13C4B" w:rsidRDefault="002856C4" w:rsidP="002856C4">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927</w:t>
            </w:r>
          </w:p>
        </w:tc>
        <w:tc>
          <w:tcPr>
            <w:tcW w:w="1134" w:type="dxa"/>
            <w:tcBorders>
              <w:top w:val="single" w:sz="4" w:space="0" w:color="auto"/>
              <w:left w:val="single" w:sz="4" w:space="0" w:color="auto"/>
              <w:bottom w:val="single" w:sz="4" w:space="0" w:color="auto"/>
              <w:right w:val="single" w:sz="4" w:space="0" w:color="auto"/>
            </w:tcBorders>
            <w:vAlign w:val="center"/>
          </w:tcPr>
          <w:p w14:paraId="1AA43E74" w14:textId="77777777" w:rsidR="002856C4" w:rsidRPr="00D13C4B" w:rsidRDefault="002856C4" w:rsidP="002856C4">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3 036</w:t>
            </w:r>
          </w:p>
        </w:tc>
        <w:tc>
          <w:tcPr>
            <w:tcW w:w="1134" w:type="dxa"/>
            <w:tcBorders>
              <w:top w:val="single" w:sz="4" w:space="0" w:color="auto"/>
              <w:left w:val="single" w:sz="4" w:space="0" w:color="auto"/>
              <w:bottom w:val="single" w:sz="4" w:space="0" w:color="auto"/>
              <w:right w:val="single" w:sz="4" w:space="0" w:color="auto"/>
            </w:tcBorders>
            <w:vAlign w:val="center"/>
          </w:tcPr>
          <w:p w14:paraId="29FCA3B6" w14:textId="77777777" w:rsidR="002856C4" w:rsidRPr="00D13C4B" w:rsidRDefault="002856C4" w:rsidP="002856C4">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7 068</w:t>
            </w:r>
          </w:p>
        </w:tc>
      </w:tr>
      <w:tr w:rsidR="002856C4" w:rsidRPr="00D13C4B" w14:paraId="1111E1A9" w14:textId="77777777" w:rsidTr="00944CB1">
        <w:trPr>
          <w:trHeight w:val="284"/>
        </w:trPr>
        <w:tc>
          <w:tcPr>
            <w:tcW w:w="1702" w:type="dxa"/>
            <w:tcBorders>
              <w:top w:val="single" w:sz="4" w:space="0" w:color="auto"/>
              <w:left w:val="single" w:sz="4" w:space="0" w:color="auto"/>
              <w:bottom w:val="single" w:sz="4" w:space="0" w:color="auto"/>
              <w:right w:val="single" w:sz="4" w:space="0" w:color="auto"/>
            </w:tcBorders>
            <w:vAlign w:val="center"/>
          </w:tcPr>
          <w:p w14:paraId="02A50E20" w14:textId="77777777" w:rsidR="002856C4" w:rsidRPr="00D13C4B" w:rsidRDefault="002856C4" w:rsidP="002856C4">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2020</w:t>
            </w:r>
          </w:p>
        </w:tc>
        <w:tc>
          <w:tcPr>
            <w:tcW w:w="1559" w:type="dxa"/>
            <w:tcBorders>
              <w:top w:val="single" w:sz="4" w:space="0" w:color="auto"/>
              <w:left w:val="single" w:sz="4" w:space="0" w:color="auto"/>
              <w:bottom w:val="single" w:sz="4" w:space="0" w:color="auto"/>
              <w:right w:val="single" w:sz="4" w:space="0" w:color="auto"/>
            </w:tcBorders>
            <w:vAlign w:val="center"/>
          </w:tcPr>
          <w:p w14:paraId="111B8B97" w14:textId="77777777" w:rsidR="002856C4" w:rsidRPr="00D13C4B" w:rsidRDefault="002856C4" w:rsidP="002856C4">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11 190</w:t>
            </w:r>
          </w:p>
        </w:tc>
        <w:tc>
          <w:tcPr>
            <w:tcW w:w="1134" w:type="dxa"/>
            <w:tcBorders>
              <w:top w:val="single" w:sz="4" w:space="0" w:color="auto"/>
              <w:left w:val="single" w:sz="4" w:space="0" w:color="auto"/>
              <w:bottom w:val="single" w:sz="4" w:space="0" w:color="auto"/>
              <w:right w:val="single" w:sz="4" w:space="0" w:color="auto"/>
            </w:tcBorders>
            <w:vAlign w:val="center"/>
          </w:tcPr>
          <w:p w14:paraId="68C6C88B" w14:textId="77777777" w:rsidR="002856C4" w:rsidRPr="00D13C4B" w:rsidRDefault="002856C4" w:rsidP="002856C4">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14:paraId="2D085F2E" w14:textId="77777777" w:rsidR="002856C4" w:rsidRPr="00D13C4B" w:rsidRDefault="002856C4" w:rsidP="002856C4">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34</w:t>
            </w:r>
          </w:p>
        </w:tc>
        <w:tc>
          <w:tcPr>
            <w:tcW w:w="992" w:type="dxa"/>
            <w:tcBorders>
              <w:top w:val="single" w:sz="4" w:space="0" w:color="auto"/>
              <w:left w:val="single" w:sz="4" w:space="0" w:color="auto"/>
              <w:bottom w:val="single" w:sz="4" w:space="0" w:color="auto"/>
              <w:right w:val="single" w:sz="4" w:space="0" w:color="auto"/>
            </w:tcBorders>
            <w:vAlign w:val="center"/>
          </w:tcPr>
          <w:p w14:paraId="353823A8" w14:textId="77777777" w:rsidR="002856C4" w:rsidRPr="00D13C4B" w:rsidRDefault="002856C4" w:rsidP="002856C4">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203</w:t>
            </w:r>
          </w:p>
        </w:tc>
        <w:tc>
          <w:tcPr>
            <w:tcW w:w="1134" w:type="dxa"/>
            <w:tcBorders>
              <w:top w:val="single" w:sz="4" w:space="0" w:color="auto"/>
              <w:left w:val="single" w:sz="4" w:space="0" w:color="auto"/>
              <w:bottom w:val="single" w:sz="4" w:space="0" w:color="auto"/>
              <w:right w:val="single" w:sz="4" w:space="0" w:color="auto"/>
            </w:tcBorders>
            <w:vAlign w:val="center"/>
          </w:tcPr>
          <w:p w14:paraId="45BCA37F" w14:textId="77777777" w:rsidR="002856C4" w:rsidRPr="00D13C4B" w:rsidRDefault="002856C4" w:rsidP="002856C4">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842</w:t>
            </w:r>
          </w:p>
        </w:tc>
        <w:tc>
          <w:tcPr>
            <w:tcW w:w="1134" w:type="dxa"/>
            <w:tcBorders>
              <w:top w:val="single" w:sz="4" w:space="0" w:color="auto"/>
              <w:left w:val="single" w:sz="4" w:space="0" w:color="auto"/>
              <w:bottom w:val="single" w:sz="4" w:space="0" w:color="auto"/>
              <w:right w:val="single" w:sz="4" w:space="0" w:color="auto"/>
            </w:tcBorders>
            <w:vAlign w:val="center"/>
          </w:tcPr>
          <w:p w14:paraId="70D91334" w14:textId="77777777" w:rsidR="002856C4" w:rsidRPr="00D13C4B" w:rsidRDefault="002856C4" w:rsidP="002856C4">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2 878</w:t>
            </w:r>
          </w:p>
        </w:tc>
        <w:tc>
          <w:tcPr>
            <w:tcW w:w="1134" w:type="dxa"/>
            <w:tcBorders>
              <w:top w:val="single" w:sz="4" w:space="0" w:color="auto"/>
              <w:left w:val="single" w:sz="4" w:space="0" w:color="auto"/>
              <w:bottom w:val="single" w:sz="4" w:space="0" w:color="auto"/>
              <w:right w:val="single" w:sz="4" w:space="0" w:color="auto"/>
            </w:tcBorders>
            <w:vAlign w:val="center"/>
          </w:tcPr>
          <w:p w14:paraId="52C2AA73" w14:textId="77777777" w:rsidR="002856C4" w:rsidRPr="00D13C4B" w:rsidRDefault="002856C4" w:rsidP="002856C4">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7 230</w:t>
            </w:r>
          </w:p>
        </w:tc>
      </w:tr>
      <w:tr w:rsidR="002856C4" w:rsidRPr="00BD5A90" w14:paraId="1187E36D" w14:textId="77777777" w:rsidTr="00944CB1">
        <w:trPr>
          <w:trHeight w:val="284"/>
        </w:trPr>
        <w:tc>
          <w:tcPr>
            <w:tcW w:w="1702" w:type="dxa"/>
            <w:tcBorders>
              <w:top w:val="single" w:sz="4" w:space="0" w:color="auto"/>
              <w:left w:val="single" w:sz="4" w:space="0" w:color="auto"/>
              <w:bottom w:val="single" w:sz="4" w:space="0" w:color="auto"/>
              <w:right w:val="single" w:sz="4" w:space="0" w:color="auto"/>
            </w:tcBorders>
            <w:vAlign w:val="center"/>
          </w:tcPr>
          <w:p w14:paraId="760AC8BD" w14:textId="77777777" w:rsidR="002856C4" w:rsidRPr="00D13C4B" w:rsidRDefault="002856C4" w:rsidP="00D03A4F">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p>
        </w:tc>
        <w:tc>
          <w:tcPr>
            <w:tcW w:w="1559" w:type="dxa"/>
            <w:tcBorders>
              <w:top w:val="single" w:sz="4" w:space="0" w:color="auto"/>
              <w:left w:val="single" w:sz="4" w:space="0" w:color="auto"/>
              <w:bottom w:val="single" w:sz="4" w:space="0" w:color="auto"/>
              <w:right w:val="single" w:sz="4" w:space="0" w:color="auto"/>
            </w:tcBorders>
            <w:vAlign w:val="center"/>
          </w:tcPr>
          <w:p w14:paraId="16C3EB48" w14:textId="77777777" w:rsidR="002856C4" w:rsidRPr="00D13C4B" w:rsidRDefault="00076519" w:rsidP="00D03A4F">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10 554</w:t>
            </w:r>
          </w:p>
        </w:tc>
        <w:tc>
          <w:tcPr>
            <w:tcW w:w="1134" w:type="dxa"/>
            <w:tcBorders>
              <w:top w:val="single" w:sz="4" w:space="0" w:color="auto"/>
              <w:left w:val="single" w:sz="4" w:space="0" w:color="auto"/>
              <w:bottom w:val="single" w:sz="4" w:space="0" w:color="auto"/>
              <w:right w:val="single" w:sz="4" w:space="0" w:color="auto"/>
            </w:tcBorders>
            <w:vAlign w:val="center"/>
          </w:tcPr>
          <w:p w14:paraId="7525DCEE" w14:textId="77777777" w:rsidR="002856C4" w:rsidRPr="00D13C4B" w:rsidRDefault="00076519" w:rsidP="00D03A4F">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14:paraId="48998402" w14:textId="77777777" w:rsidR="002856C4" w:rsidRPr="00D13C4B" w:rsidRDefault="00076519" w:rsidP="00D03A4F">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992" w:type="dxa"/>
            <w:tcBorders>
              <w:top w:val="single" w:sz="4" w:space="0" w:color="auto"/>
              <w:left w:val="single" w:sz="4" w:space="0" w:color="auto"/>
              <w:bottom w:val="single" w:sz="4" w:space="0" w:color="auto"/>
              <w:right w:val="single" w:sz="4" w:space="0" w:color="auto"/>
            </w:tcBorders>
            <w:vAlign w:val="center"/>
          </w:tcPr>
          <w:p w14:paraId="446A09C8" w14:textId="77777777" w:rsidR="002856C4" w:rsidRPr="00D13C4B" w:rsidRDefault="00076519" w:rsidP="00D03A4F">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226</w:t>
            </w:r>
          </w:p>
        </w:tc>
        <w:tc>
          <w:tcPr>
            <w:tcW w:w="1134" w:type="dxa"/>
            <w:tcBorders>
              <w:top w:val="single" w:sz="4" w:space="0" w:color="auto"/>
              <w:left w:val="single" w:sz="4" w:space="0" w:color="auto"/>
              <w:bottom w:val="single" w:sz="4" w:space="0" w:color="auto"/>
              <w:right w:val="single" w:sz="4" w:space="0" w:color="auto"/>
            </w:tcBorders>
            <w:vAlign w:val="center"/>
          </w:tcPr>
          <w:p w14:paraId="33061B51" w14:textId="77777777" w:rsidR="002856C4" w:rsidRPr="00D13C4B" w:rsidRDefault="00076519" w:rsidP="00D03A4F">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796</w:t>
            </w:r>
          </w:p>
        </w:tc>
        <w:tc>
          <w:tcPr>
            <w:tcW w:w="1134" w:type="dxa"/>
            <w:tcBorders>
              <w:top w:val="single" w:sz="4" w:space="0" w:color="auto"/>
              <w:left w:val="single" w:sz="4" w:space="0" w:color="auto"/>
              <w:bottom w:val="single" w:sz="4" w:space="0" w:color="auto"/>
              <w:right w:val="single" w:sz="4" w:space="0" w:color="auto"/>
            </w:tcBorders>
            <w:vAlign w:val="center"/>
          </w:tcPr>
          <w:p w14:paraId="0C52CE37" w14:textId="77777777" w:rsidR="002856C4" w:rsidRPr="00D13C4B" w:rsidRDefault="00076519" w:rsidP="00D03A4F">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2 630</w:t>
            </w:r>
          </w:p>
        </w:tc>
        <w:tc>
          <w:tcPr>
            <w:tcW w:w="1134" w:type="dxa"/>
            <w:tcBorders>
              <w:top w:val="single" w:sz="4" w:space="0" w:color="auto"/>
              <w:left w:val="single" w:sz="4" w:space="0" w:color="auto"/>
              <w:bottom w:val="single" w:sz="4" w:space="0" w:color="auto"/>
              <w:right w:val="single" w:sz="4" w:space="0" w:color="auto"/>
            </w:tcBorders>
            <w:vAlign w:val="center"/>
          </w:tcPr>
          <w:p w14:paraId="5FBDDB03" w14:textId="77777777" w:rsidR="002856C4" w:rsidRPr="00D13C4B" w:rsidRDefault="00076519" w:rsidP="00D03A4F">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6 865</w:t>
            </w:r>
          </w:p>
        </w:tc>
      </w:tr>
    </w:tbl>
    <w:p w14:paraId="252C7E34" w14:textId="77777777" w:rsidR="00D03A4F" w:rsidRPr="00BD5A90" w:rsidRDefault="00D03A4F" w:rsidP="00D03A4F">
      <w:pPr>
        <w:spacing w:after="0" w:line="240" w:lineRule="auto"/>
        <w:jc w:val="right"/>
        <w:rPr>
          <w:rFonts w:ascii="Times New Roman" w:eastAsia="Times New Roman" w:hAnsi="Times New Roman" w:cs="Times New Roman"/>
          <w:sz w:val="24"/>
          <w:szCs w:val="24"/>
          <w:highlight w:val="yellow"/>
          <w:lang w:eastAsia="ru-RU"/>
        </w:rPr>
      </w:pPr>
    </w:p>
    <w:p w14:paraId="36F24DCF" w14:textId="77777777" w:rsidR="00D03A4F" w:rsidRPr="00BD5A90" w:rsidRDefault="00D03A4F" w:rsidP="00D03A4F">
      <w:pPr>
        <w:spacing w:after="0" w:line="240" w:lineRule="auto"/>
        <w:jc w:val="right"/>
        <w:rPr>
          <w:rFonts w:ascii="Times New Roman" w:eastAsia="Times New Roman" w:hAnsi="Times New Roman" w:cs="Times New Roman"/>
          <w:sz w:val="24"/>
          <w:szCs w:val="24"/>
          <w:highlight w:val="yellow"/>
          <w:lang w:eastAsia="ru-RU"/>
        </w:rPr>
      </w:pPr>
    </w:p>
    <w:p w14:paraId="089FCB87" w14:textId="77777777" w:rsidR="00D03A4F" w:rsidRPr="00D13C4B" w:rsidRDefault="00D03A4F" w:rsidP="00D03A4F">
      <w:pPr>
        <w:spacing w:after="0" w:line="240" w:lineRule="auto"/>
        <w:jc w:val="right"/>
        <w:rPr>
          <w:rFonts w:ascii="Times New Roman" w:eastAsia="Times New Roman" w:hAnsi="Times New Roman" w:cs="Times New Roman"/>
          <w:color w:val="000000"/>
          <w:sz w:val="26"/>
          <w:szCs w:val="26"/>
          <w:lang w:eastAsia="ru-RU"/>
        </w:rPr>
      </w:pPr>
      <w:r w:rsidRPr="00D13C4B">
        <w:rPr>
          <w:rFonts w:ascii="Times New Roman" w:eastAsia="Times New Roman" w:hAnsi="Times New Roman" w:cs="Times New Roman"/>
          <w:color w:val="000000"/>
          <w:sz w:val="26"/>
          <w:szCs w:val="26"/>
          <w:lang w:eastAsia="ru-RU"/>
        </w:rPr>
        <w:t>Таблица 11</w:t>
      </w:r>
    </w:p>
    <w:p w14:paraId="754FBEE6" w14:textId="77777777" w:rsidR="00D03A4F" w:rsidRPr="00D13C4B" w:rsidRDefault="00D03A4F" w:rsidP="00D03A4F">
      <w:pPr>
        <w:spacing w:after="0" w:line="240" w:lineRule="auto"/>
        <w:jc w:val="center"/>
        <w:rPr>
          <w:rFonts w:ascii="Times New Roman" w:eastAsia="Times New Roman" w:hAnsi="Times New Roman" w:cs="Times New Roman"/>
          <w:color w:val="000000"/>
          <w:sz w:val="26"/>
          <w:szCs w:val="26"/>
          <w:lang w:eastAsia="ru-RU"/>
        </w:rPr>
      </w:pPr>
      <w:r w:rsidRPr="00D13C4B">
        <w:rPr>
          <w:rFonts w:ascii="Times New Roman" w:eastAsia="Times New Roman" w:hAnsi="Times New Roman" w:cs="Times New Roman"/>
          <w:b/>
          <w:bCs/>
          <w:color w:val="000000"/>
          <w:sz w:val="26"/>
          <w:szCs w:val="26"/>
          <w:lang w:eastAsia="ru-RU"/>
        </w:rPr>
        <w:t>Перинатальная смертность</w:t>
      </w:r>
    </w:p>
    <w:p w14:paraId="0F5B7AFD" w14:textId="77777777" w:rsidR="00D03A4F" w:rsidRPr="00D13C4B"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p>
    <w:tbl>
      <w:tblPr>
        <w:tblW w:w="10632" w:type="dxa"/>
        <w:tblInd w:w="-176" w:type="dxa"/>
        <w:tblLayout w:type="fixed"/>
        <w:tblLook w:val="00A0" w:firstRow="1" w:lastRow="0" w:firstColumn="1" w:lastColumn="0" w:noHBand="0" w:noVBand="0"/>
      </w:tblPr>
      <w:tblGrid>
        <w:gridCol w:w="993"/>
        <w:gridCol w:w="1574"/>
        <w:gridCol w:w="1559"/>
        <w:gridCol w:w="1418"/>
        <w:gridCol w:w="1796"/>
        <w:gridCol w:w="1381"/>
        <w:gridCol w:w="1911"/>
      </w:tblGrid>
      <w:tr w:rsidR="00D03A4F" w:rsidRPr="00D13C4B" w14:paraId="3686B04A" w14:textId="77777777" w:rsidTr="00944CB1">
        <w:trPr>
          <w:trHeight w:val="30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14:paraId="4389F215" w14:textId="77777777"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Год</w:t>
            </w:r>
          </w:p>
        </w:tc>
        <w:tc>
          <w:tcPr>
            <w:tcW w:w="1574" w:type="dxa"/>
            <w:vMerge w:val="restart"/>
            <w:tcBorders>
              <w:top w:val="single" w:sz="4" w:space="0" w:color="auto"/>
              <w:left w:val="single" w:sz="4" w:space="0" w:color="auto"/>
              <w:bottom w:val="single" w:sz="4" w:space="0" w:color="000000"/>
              <w:right w:val="single" w:sz="4" w:space="0" w:color="auto"/>
            </w:tcBorders>
            <w:vAlign w:val="center"/>
          </w:tcPr>
          <w:p w14:paraId="1E18F5FC" w14:textId="77777777"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Умерло в пе</w:t>
            </w:r>
            <w:r w:rsidRPr="00D13C4B">
              <w:rPr>
                <w:rFonts w:ascii="Times New Roman" w:eastAsia="Times New Roman" w:hAnsi="Times New Roman" w:cs="Times New Roman"/>
                <w:color w:val="000000"/>
                <w:sz w:val="24"/>
                <w:szCs w:val="24"/>
                <w:lang w:eastAsia="ru-RU"/>
              </w:rPr>
              <w:softHyphen/>
              <w:t>ринатальный период</w:t>
            </w:r>
          </w:p>
        </w:tc>
        <w:tc>
          <w:tcPr>
            <w:tcW w:w="2977" w:type="dxa"/>
            <w:gridSpan w:val="2"/>
            <w:tcBorders>
              <w:top w:val="single" w:sz="4" w:space="0" w:color="auto"/>
              <w:left w:val="nil"/>
              <w:bottom w:val="single" w:sz="4" w:space="0" w:color="auto"/>
              <w:right w:val="single" w:sz="4" w:space="0" w:color="000000"/>
            </w:tcBorders>
            <w:noWrap/>
            <w:vAlign w:val="bottom"/>
          </w:tcPr>
          <w:p w14:paraId="3EA17CAB" w14:textId="77777777"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в том числе:</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14:paraId="543887D5" w14:textId="77777777"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Умерло в пе</w:t>
            </w:r>
            <w:r w:rsidRPr="00D13C4B">
              <w:rPr>
                <w:rFonts w:ascii="Times New Roman" w:eastAsia="Times New Roman" w:hAnsi="Times New Roman" w:cs="Times New Roman"/>
                <w:color w:val="000000"/>
                <w:sz w:val="24"/>
                <w:szCs w:val="24"/>
                <w:lang w:eastAsia="ru-RU"/>
              </w:rPr>
              <w:softHyphen/>
              <w:t>ринатальный период</w:t>
            </w:r>
          </w:p>
        </w:tc>
        <w:tc>
          <w:tcPr>
            <w:tcW w:w="3292" w:type="dxa"/>
            <w:gridSpan w:val="2"/>
            <w:tcBorders>
              <w:top w:val="single" w:sz="4" w:space="0" w:color="auto"/>
              <w:left w:val="nil"/>
              <w:bottom w:val="single" w:sz="4" w:space="0" w:color="auto"/>
              <w:right w:val="single" w:sz="4" w:space="0" w:color="auto"/>
            </w:tcBorders>
            <w:noWrap/>
            <w:vAlign w:val="bottom"/>
          </w:tcPr>
          <w:p w14:paraId="17BFDCCF" w14:textId="77777777"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в том числе:</w:t>
            </w:r>
          </w:p>
        </w:tc>
      </w:tr>
      <w:tr w:rsidR="00D03A4F" w:rsidRPr="00D13C4B" w14:paraId="4D694DED" w14:textId="77777777" w:rsidTr="00944CB1">
        <w:trPr>
          <w:trHeight w:val="855"/>
        </w:trPr>
        <w:tc>
          <w:tcPr>
            <w:tcW w:w="993" w:type="dxa"/>
            <w:vMerge/>
            <w:tcBorders>
              <w:top w:val="single" w:sz="4" w:space="0" w:color="000000"/>
              <w:left w:val="single" w:sz="4" w:space="0" w:color="auto"/>
              <w:bottom w:val="single" w:sz="4" w:space="0" w:color="auto"/>
              <w:right w:val="single" w:sz="4" w:space="0" w:color="auto"/>
            </w:tcBorders>
            <w:vAlign w:val="center"/>
          </w:tcPr>
          <w:p w14:paraId="6825DE79" w14:textId="77777777" w:rsidR="00D03A4F" w:rsidRPr="00D13C4B"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574" w:type="dxa"/>
            <w:vMerge/>
            <w:tcBorders>
              <w:top w:val="nil"/>
              <w:left w:val="single" w:sz="4" w:space="0" w:color="auto"/>
              <w:bottom w:val="single" w:sz="4" w:space="0" w:color="auto"/>
              <w:right w:val="single" w:sz="4" w:space="0" w:color="auto"/>
            </w:tcBorders>
            <w:vAlign w:val="center"/>
          </w:tcPr>
          <w:p w14:paraId="0FD4AEC3" w14:textId="77777777" w:rsidR="00D03A4F" w:rsidRPr="00D13C4B"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vAlign w:val="center"/>
          </w:tcPr>
          <w:p w14:paraId="6D412A68" w14:textId="77777777"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proofErr w:type="spellStart"/>
            <w:r w:rsidRPr="00D13C4B">
              <w:rPr>
                <w:rFonts w:ascii="Times New Roman" w:eastAsia="Times New Roman" w:hAnsi="Times New Roman" w:cs="Times New Roman"/>
                <w:color w:val="000000"/>
                <w:sz w:val="24"/>
                <w:szCs w:val="24"/>
                <w:lang w:eastAsia="ru-RU"/>
              </w:rPr>
              <w:t>Мертворож</w:t>
            </w:r>
            <w:proofErr w:type="spellEnd"/>
            <w:r w:rsidRPr="00D13C4B">
              <w:rPr>
                <w:rFonts w:ascii="Times New Roman" w:eastAsia="Times New Roman" w:hAnsi="Times New Roman" w:cs="Times New Roman"/>
                <w:color w:val="000000"/>
                <w:sz w:val="24"/>
                <w:szCs w:val="24"/>
                <w:lang w:eastAsia="ru-RU"/>
              </w:rPr>
              <w:t>-денные</w:t>
            </w:r>
          </w:p>
        </w:tc>
        <w:tc>
          <w:tcPr>
            <w:tcW w:w="1418" w:type="dxa"/>
            <w:tcBorders>
              <w:top w:val="nil"/>
              <w:left w:val="nil"/>
              <w:bottom w:val="single" w:sz="4" w:space="0" w:color="auto"/>
              <w:right w:val="single" w:sz="4" w:space="0" w:color="auto"/>
            </w:tcBorders>
            <w:vAlign w:val="center"/>
          </w:tcPr>
          <w:p w14:paraId="7804C121" w14:textId="77777777"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 xml:space="preserve">Умершие в возрасте </w:t>
            </w:r>
          </w:p>
          <w:p w14:paraId="6971F7D0" w14:textId="77777777"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 xml:space="preserve"> 0-6 дней</w:t>
            </w:r>
          </w:p>
        </w:tc>
        <w:tc>
          <w:tcPr>
            <w:tcW w:w="1796" w:type="dxa"/>
            <w:vMerge/>
            <w:tcBorders>
              <w:top w:val="nil"/>
              <w:left w:val="single" w:sz="4" w:space="0" w:color="auto"/>
              <w:bottom w:val="single" w:sz="4" w:space="0" w:color="auto"/>
              <w:right w:val="single" w:sz="4" w:space="0" w:color="auto"/>
            </w:tcBorders>
            <w:vAlign w:val="center"/>
          </w:tcPr>
          <w:p w14:paraId="543CC4E5" w14:textId="77777777" w:rsidR="00D03A4F" w:rsidRPr="00D13C4B"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1381" w:type="dxa"/>
            <w:tcBorders>
              <w:top w:val="nil"/>
              <w:left w:val="nil"/>
              <w:bottom w:val="single" w:sz="4" w:space="0" w:color="auto"/>
              <w:right w:val="single" w:sz="4" w:space="0" w:color="auto"/>
            </w:tcBorders>
            <w:vAlign w:val="center"/>
          </w:tcPr>
          <w:p w14:paraId="3A5A7955" w14:textId="77777777"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proofErr w:type="spellStart"/>
            <w:r w:rsidRPr="00D13C4B">
              <w:rPr>
                <w:rFonts w:ascii="Times New Roman" w:eastAsia="Times New Roman" w:hAnsi="Times New Roman" w:cs="Times New Roman"/>
                <w:color w:val="000000"/>
                <w:sz w:val="24"/>
                <w:szCs w:val="24"/>
                <w:lang w:eastAsia="ru-RU"/>
              </w:rPr>
              <w:t>Мертво</w:t>
            </w:r>
            <w:r w:rsidRPr="00D13C4B">
              <w:rPr>
                <w:rFonts w:ascii="Times New Roman" w:eastAsia="Times New Roman" w:hAnsi="Times New Roman" w:cs="Times New Roman"/>
                <w:color w:val="000000"/>
                <w:sz w:val="24"/>
                <w:szCs w:val="24"/>
                <w:lang w:eastAsia="ru-RU"/>
              </w:rPr>
              <w:softHyphen/>
              <w:t>рожден-ные</w:t>
            </w:r>
            <w:proofErr w:type="spellEnd"/>
          </w:p>
        </w:tc>
        <w:tc>
          <w:tcPr>
            <w:tcW w:w="1911" w:type="dxa"/>
            <w:tcBorders>
              <w:top w:val="nil"/>
              <w:left w:val="nil"/>
              <w:bottom w:val="single" w:sz="4" w:space="0" w:color="auto"/>
              <w:right w:val="single" w:sz="4" w:space="0" w:color="auto"/>
            </w:tcBorders>
            <w:vAlign w:val="center"/>
          </w:tcPr>
          <w:p w14:paraId="3BED7A2F" w14:textId="77777777"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Умершие в воз</w:t>
            </w:r>
            <w:r w:rsidRPr="00D13C4B">
              <w:rPr>
                <w:rFonts w:ascii="Times New Roman" w:eastAsia="Times New Roman" w:hAnsi="Times New Roman" w:cs="Times New Roman"/>
                <w:color w:val="000000"/>
                <w:sz w:val="24"/>
                <w:szCs w:val="24"/>
                <w:lang w:eastAsia="ru-RU"/>
              </w:rPr>
              <w:softHyphen/>
              <w:t xml:space="preserve">расте </w:t>
            </w:r>
          </w:p>
          <w:p w14:paraId="207541C8" w14:textId="77777777"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0-6 дней</w:t>
            </w:r>
          </w:p>
        </w:tc>
      </w:tr>
      <w:tr w:rsidR="00D03A4F" w:rsidRPr="00D13C4B" w14:paraId="2260D674" w14:textId="77777777" w:rsidTr="00944CB1">
        <w:trPr>
          <w:trHeight w:val="710"/>
        </w:trPr>
        <w:tc>
          <w:tcPr>
            <w:tcW w:w="993" w:type="dxa"/>
            <w:vMerge/>
            <w:tcBorders>
              <w:top w:val="single" w:sz="4" w:space="0" w:color="000000"/>
              <w:left w:val="single" w:sz="4" w:space="0" w:color="auto"/>
              <w:bottom w:val="single" w:sz="4" w:space="0" w:color="auto"/>
              <w:right w:val="single" w:sz="4" w:space="0" w:color="auto"/>
            </w:tcBorders>
            <w:vAlign w:val="center"/>
          </w:tcPr>
          <w:p w14:paraId="5BDF66BF" w14:textId="77777777" w:rsidR="00D03A4F" w:rsidRPr="00D13C4B" w:rsidRDefault="00D03A4F" w:rsidP="00D03A4F">
            <w:pPr>
              <w:spacing w:after="0" w:line="240" w:lineRule="auto"/>
              <w:rPr>
                <w:rFonts w:ascii="Times New Roman" w:eastAsia="Times New Roman" w:hAnsi="Times New Roman" w:cs="Times New Roman"/>
                <w:color w:val="000000"/>
                <w:sz w:val="24"/>
                <w:szCs w:val="24"/>
                <w:lang w:eastAsia="ru-RU"/>
              </w:rPr>
            </w:pPr>
          </w:p>
        </w:tc>
        <w:tc>
          <w:tcPr>
            <w:tcW w:w="4551" w:type="dxa"/>
            <w:gridSpan w:val="3"/>
            <w:tcBorders>
              <w:top w:val="single" w:sz="4" w:space="0" w:color="auto"/>
              <w:left w:val="nil"/>
              <w:bottom w:val="single" w:sz="4" w:space="0" w:color="auto"/>
              <w:right w:val="single" w:sz="4" w:space="0" w:color="000000"/>
            </w:tcBorders>
            <w:vAlign w:val="center"/>
          </w:tcPr>
          <w:p w14:paraId="24758B93" w14:textId="77777777"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человек</w:t>
            </w:r>
          </w:p>
        </w:tc>
        <w:tc>
          <w:tcPr>
            <w:tcW w:w="3177" w:type="dxa"/>
            <w:gridSpan w:val="2"/>
            <w:tcBorders>
              <w:top w:val="single" w:sz="4" w:space="0" w:color="auto"/>
              <w:left w:val="nil"/>
              <w:bottom w:val="single" w:sz="4" w:space="0" w:color="auto"/>
              <w:right w:val="single" w:sz="4" w:space="0" w:color="auto"/>
            </w:tcBorders>
            <w:vAlign w:val="center"/>
          </w:tcPr>
          <w:p w14:paraId="4C78463E" w14:textId="77777777"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 xml:space="preserve">на 1000 родившихся </w:t>
            </w:r>
          </w:p>
          <w:p w14:paraId="3D2B8912" w14:textId="77777777"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живыми и мертвыми</w:t>
            </w:r>
          </w:p>
        </w:tc>
        <w:tc>
          <w:tcPr>
            <w:tcW w:w="1911" w:type="dxa"/>
            <w:tcBorders>
              <w:top w:val="single" w:sz="4" w:space="0" w:color="auto"/>
              <w:left w:val="single" w:sz="4" w:space="0" w:color="auto"/>
              <w:bottom w:val="single" w:sz="4" w:space="0" w:color="auto"/>
              <w:right w:val="single" w:sz="4" w:space="0" w:color="auto"/>
            </w:tcBorders>
            <w:vAlign w:val="center"/>
          </w:tcPr>
          <w:p w14:paraId="4A365B7E" w14:textId="77777777" w:rsidR="00D03A4F" w:rsidRPr="00D13C4B"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на 1000 родив-</w:t>
            </w:r>
            <w:proofErr w:type="spellStart"/>
            <w:r w:rsidRPr="00D13C4B">
              <w:rPr>
                <w:rFonts w:ascii="Times New Roman" w:eastAsia="Times New Roman" w:hAnsi="Times New Roman" w:cs="Times New Roman"/>
                <w:color w:val="000000"/>
                <w:sz w:val="24"/>
                <w:szCs w:val="24"/>
                <w:lang w:eastAsia="ru-RU"/>
              </w:rPr>
              <w:t>шихся</w:t>
            </w:r>
            <w:proofErr w:type="spellEnd"/>
            <w:r w:rsidRPr="00D13C4B">
              <w:rPr>
                <w:rFonts w:ascii="Times New Roman" w:eastAsia="Times New Roman" w:hAnsi="Times New Roman" w:cs="Times New Roman"/>
                <w:color w:val="000000"/>
                <w:sz w:val="24"/>
                <w:szCs w:val="24"/>
                <w:lang w:eastAsia="ru-RU"/>
              </w:rPr>
              <w:t xml:space="preserve"> живыми</w:t>
            </w:r>
          </w:p>
        </w:tc>
      </w:tr>
      <w:tr w:rsidR="0013494A" w:rsidRPr="00D13C4B" w14:paraId="7D2FC01F" w14:textId="77777777" w:rsidTr="00D81182">
        <w:trPr>
          <w:trHeight w:val="300"/>
        </w:trPr>
        <w:tc>
          <w:tcPr>
            <w:tcW w:w="993" w:type="dxa"/>
            <w:tcBorders>
              <w:top w:val="single" w:sz="4" w:space="0" w:color="auto"/>
              <w:left w:val="single" w:sz="4" w:space="0" w:color="auto"/>
              <w:bottom w:val="single" w:sz="4" w:space="0" w:color="auto"/>
              <w:right w:val="nil"/>
            </w:tcBorders>
            <w:noWrap/>
            <w:vAlign w:val="center"/>
          </w:tcPr>
          <w:p w14:paraId="780FE645" w14:textId="77777777" w:rsidR="0013494A" w:rsidRPr="00D13C4B"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2019</w:t>
            </w:r>
          </w:p>
        </w:tc>
        <w:tc>
          <w:tcPr>
            <w:tcW w:w="1574" w:type="dxa"/>
            <w:tcBorders>
              <w:top w:val="single" w:sz="4" w:space="0" w:color="auto"/>
              <w:left w:val="single" w:sz="4" w:space="0" w:color="auto"/>
              <w:bottom w:val="single" w:sz="4" w:space="0" w:color="auto"/>
              <w:right w:val="single" w:sz="4" w:space="0" w:color="auto"/>
            </w:tcBorders>
            <w:noWrap/>
          </w:tcPr>
          <w:p w14:paraId="1501E5DF" w14:textId="77777777" w:rsidR="0013494A" w:rsidRPr="00D13C4B"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sz w:val="24"/>
                <w:szCs w:val="24"/>
                <w:lang w:eastAsia="ru-RU"/>
              </w:rPr>
              <w:t>10 576</w:t>
            </w:r>
          </w:p>
        </w:tc>
        <w:tc>
          <w:tcPr>
            <w:tcW w:w="1559" w:type="dxa"/>
            <w:tcBorders>
              <w:top w:val="single" w:sz="4" w:space="0" w:color="auto"/>
              <w:left w:val="nil"/>
              <w:bottom w:val="single" w:sz="4" w:space="0" w:color="auto"/>
              <w:right w:val="nil"/>
            </w:tcBorders>
            <w:noWrap/>
          </w:tcPr>
          <w:p w14:paraId="04DC58C8" w14:textId="77777777" w:rsidR="0013494A" w:rsidRPr="00D13C4B"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sz w:val="24"/>
                <w:szCs w:val="24"/>
                <w:lang w:eastAsia="ru-RU"/>
              </w:rPr>
              <w:t>8 101</w:t>
            </w:r>
          </w:p>
        </w:tc>
        <w:tc>
          <w:tcPr>
            <w:tcW w:w="1418" w:type="dxa"/>
            <w:tcBorders>
              <w:top w:val="single" w:sz="4" w:space="0" w:color="auto"/>
              <w:left w:val="single" w:sz="4" w:space="0" w:color="auto"/>
              <w:bottom w:val="single" w:sz="4" w:space="0" w:color="auto"/>
              <w:right w:val="single" w:sz="4" w:space="0" w:color="auto"/>
            </w:tcBorders>
            <w:noWrap/>
          </w:tcPr>
          <w:p w14:paraId="1446B00C" w14:textId="77777777" w:rsidR="0013494A" w:rsidRPr="00D13C4B"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sz w:val="24"/>
                <w:szCs w:val="24"/>
                <w:lang w:eastAsia="ru-RU"/>
              </w:rPr>
              <w:t>2 475</w:t>
            </w:r>
          </w:p>
        </w:tc>
        <w:tc>
          <w:tcPr>
            <w:tcW w:w="1796" w:type="dxa"/>
            <w:tcBorders>
              <w:top w:val="single" w:sz="4" w:space="0" w:color="auto"/>
              <w:left w:val="nil"/>
              <w:bottom w:val="single" w:sz="4" w:space="0" w:color="auto"/>
              <w:right w:val="single" w:sz="4" w:space="0" w:color="auto"/>
            </w:tcBorders>
            <w:noWrap/>
          </w:tcPr>
          <w:p w14:paraId="76DC8975" w14:textId="77777777" w:rsidR="0013494A" w:rsidRPr="00D13C4B"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sz w:val="24"/>
                <w:szCs w:val="24"/>
                <w:lang w:eastAsia="ru-RU"/>
              </w:rPr>
              <w:t>7,1</w:t>
            </w:r>
          </w:p>
        </w:tc>
        <w:tc>
          <w:tcPr>
            <w:tcW w:w="1381" w:type="dxa"/>
            <w:tcBorders>
              <w:top w:val="single" w:sz="4" w:space="0" w:color="auto"/>
              <w:left w:val="nil"/>
              <w:bottom w:val="single" w:sz="4" w:space="0" w:color="auto"/>
              <w:right w:val="single" w:sz="4" w:space="0" w:color="auto"/>
            </w:tcBorders>
            <w:noWrap/>
          </w:tcPr>
          <w:p w14:paraId="05924A30" w14:textId="77777777" w:rsidR="0013494A" w:rsidRPr="00D13C4B"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sz w:val="24"/>
                <w:szCs w:val="24"/>
                <w:lang w:eastAsia="ru-RU"/>
              </w:rPr>
              <w:t>5,44</w:t>
            </w:r>
          </w:p>
        </w:tc>
        <w:tc>
          <w:tcPr>
            <w:tcW w:w="1911" w:type="dxa"/>
            <w:tcBorders>
              <w:top w:val="single" w:sz="4" w:space="0" w:color="auto"/>
              <w:left w:val="nil"/>
              <w:bottom w:val="single" w:sz="4" w:space="0" w:color="auto"/>
              <w:right w:val="single" w:sz="4" w:space="0" w:color="auto"/>
            </w:tcBorders>
            <w:noWrap/>
          </w:tcPr>
          <w:p w14:paraId="5834D081" w14:textId="77777777" w:rsidR="0013494A" w:rsidRPr="00D13C4B"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sz w:val="24"/>
                <w:szCs w:val="24"/>
                <w:lang w:eastAsia="ru-RU"/>
              </w:rPr>
              <w:t>1,67</w:t>
            </w:r>
          </w:p>
        </w:tc>
      </w:tr>
      <w:tr w:rsidR="0013494A" w:rsidRPr="00D13C4B" w14:paraId="57D3B224" w14:textId="77777777" w:rsidTr="009018E0">
        <w:trPr>
          <w:trHeight w:val="300"/>
        </w:trPr>
        <w:tc>
          <w:tcPr>
            <w:tcW w:w="993" w:type="dxa"/>
            <w:tcBorders>
              <w:top w:val="single" w:sz="4" w:space="0" w:color="auto"/>
              <w:left w:val="single" w:sz="4" w:space="0" w:color="auto"/>
              <w:bottom w:val="single" w:sz="4" w:space="0" w:color="auto"/>
              <w:right w:val="nil"/>
            </w:tcBorders>
            <w:noWrap/>
            <w:vAlign w:val="center"/>
          </w:tcPr>
          <w:p w14:paraId="2BEA6E9B" w14:textId="77777777" w:rsidR="0013494A" w:rsidRPr="00D13C4B"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2020</w:t>
            </w:r>
          </w:p>
        </w:tc>
        <w:tc>
          <w:tcPr>
            <w:tcW w:w="1574" w:type="dxa"/>
            <w:tcBorders>
              <w:top w:val="single" w:sz="4" w:space="0" w:color="auto"/>
              <w:left w:val="single" w:sz="4" w:space="0" w:color="auto"/>
              <w:bottom w:val="single" w:sz="4" w:space="0" w:color="auto"/>
              <w:right w:val="single" w:sz="4" w:space="0" w:color="auto"/>
            </w:tcBorders>
            <w:noWrap/>
          </w:tcPr>
          <w:p w14:paraId="5BA20833" w14:textId="77777777" w:rsidR="0013494A" w:rsidRPr="00D13C4B"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10 480</w:t>
            </w:r>
          </w:p>
        </w:tc>
        <w:tc>
          <w:tcPr>
            <w:tcW w:w="1559" w:type="dxa"/>
            <w:tcBorders>
              <w:top w:val="single" w:sz="4" w:space="0" w:color="auto"/>
              <w:left w:val="nil"/>
              <w:bottom w:val="single" w:sz="4" w:space="0" w:color="auto"/>
              <w:right w:val="nil"/>
            </w:tcBorders>
            <w:noWrap/>
          </w:tcPr>
          <w:p w14:paraId="722168D6" w14:textId="77777777" w:rsidR="0013494A" w:rsidRPr="00D13C4B"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8 192</w:t>
            </w:r>
          </w:p>
        </w:tc>
        <w:tc>
          <w:tcPr>
            <w:tcW w:w="1418" w:type="dxa"/>
            <w:tcBorders>
              <w:top w:val="single" w:sz="4" w:space="0" w:color="auto"/>
              <w:left w:val="single" w:sz="4" w:space="0" w:color="auto"/>
              <w:bottom w:val="single" w:sz="4" w:space="0" w:color="auto"/>
              <w:right w:val="single" w:sz="4" w:space="0" w:color="auto"/>
            </w:tcBorders>
            <w:noWrap/>
          </w:tcPr>
          <w:p w14:paraId="06BFD18E" w14:textId="77777777" w:rsidR="0013494A" w:rsidRPr="00D13C4B"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2 288</w:t>
            </w:r>
          </w:p>
        </w:tc>
        <w:tc>
          <w:tcPr>
            <w:tcW w:w="1796" w:type="dxa"/>
            <w:tcBorders>
              <w:top w:val="single" w:sz="4" w:space="0" w:color="auto"/>
              <w:left w:val="nil"/>
              <w:bottom w:val="single" w:sz="4" w:space="0" w:color="auto"/>
              <w:right w:val="single" w:sz="4" w:space="0" w:color="auto"/>
            </w:tcBorders>
            <w:noWrap/>
          </w:tcPr>
          <w:p w14:paraId="07D6F926" w14:textId="77777777" w:rsidR="0013494A" w:rsidRPr="00D13C4B"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7,25</w:t>
            </w:r>
          </w:p>
        </w:tc>
        <w:tc>
          <w:tcPr>
            <w:tcW w:w="1381" w:type="dxa"/>
            <w:tcBorders>
              <w:top w:val="single" w:sz="4" w:space="0" w:color="auto"/>
              <w:left w:val="nil"/>
              <w:bottom w:val="single" w:sz="4" w:space="0" w:color="auto"/>
              <w:right w:val="single" w:sz="4" w:space="0" w:color="auto"/>
            </w:tcBorders>
            <w:noWrap/>
          </w:tcPr>
          <w:p w14:paraId="5D20E1FF" w14:textId="77777777" w:rsidR="0013494A" w:rsidRPr="00D13C4B"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5,67</w:t>
            </w:r>
          </w:p>
        </w:tc>
        <w:tc>
          <w:tcPr>
            <w:tcW w:w="1911" w:type="dxa"/>
            <w:tcBorders>
              <w:top w:val="single" w:sz="4" w:space="0" w:color="auto"/>
              <w:left w:val="nil"/>
              <w:bottom w:val="single" w:sz="4" w:space="0" w:color="auto"/>
              <w:right w:val="single" w:sz="4" w:space="0" w:color="auto"/>
            </w:tcBorders>
            <w:noWrap/>
          </w:tcPr>
          <w:p w14:paraId="518AE082" w14:textId="77777777" w:rsidR="0013494A" w:rsidRPr="00D13C4B"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D13C4B">
              <w:rPr>
                <w:rFonts w:ascii="Times New Roman" w:eastAsia="Times New Roman" w:hAnsi="Times New Roman" w:cs="Times New Roman"/>
                <w:color w:val="000000"/>
                <w:sz w:val="24"/>
                <w:szCs w:val="24"/>
                <w:lang w:eastAsia="ru-RU"/>
              </w:rPr>
              <w:t>1,59</w:t>
            </w:r>
          </w:p>
        </w:tc>
      </w:tr>
      <w:tr w:rsidR="0013494A" w:rsidRPr="00BD5A90" w14:paraId="2E1D2038" w14:textId="77777777" w:rsidTr="00944CB1">
        <w:trPr>
          <w:trHeight w:val="300"/>
        </w:trPr>
        <w:tc>
          <w:tcPr>
            <w:tcW w:w="993" w:type="dxa"/>
            <w:tcBorders>
              <w:top w:val="single" w:sz="4" w:space="0" w:color="auto"/>
              <w:left w:val="single" w:sz="4" w:space="0" w:color="auto"/>
              <w:bottom w:val="single" w:sz="4" w:space="0" w:color="auto"/>
              <w:right w:val="nil"/>
            </w:tcBorders>
            <w:noWrap/>
            <w:vAlign w:val="center"/>
          </w:tcPr>
          <w:p w14:paraId="6F6603E4" w14:textId="77777777" w:rsidR="0013494A" w:rsidRPr="00D13C4B" w:rsidRDefault="0013494A" w:rsidP="00D03A4F">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p>
        </w:tc>
        <w:tc>
          <w:tcPr>
            <w:tcW w:w="1574" w:type="dxa"/>
            <w:tcBorders>
              <w:top w:val="nil"/>
              <w:left w:val="single" w:sz="4" w:space="0" w:color="auto"/>
              <w:bottom w:val="single" w:sz="4" w:space="0" w:color="auto"/>
              <w:right w:val="single" w:sz="4" w:space="0" w:color="auto"/>
            </w:tcBorders>
            <w:shd w:val="clear" w:color="auto" w:fill="auto"/>
            <w:noWrap/>
          </w:tcPr>
          <w:p w14:paraId="37B0227D" w14:textId="77777777" w:rsidR="0013494A" w:rsidRPr="00D13C4B" w:rsidRDefault="0013494A" w:rsidP="00D03A4F">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10 298</w:t>
            </w:r>
          </w:p>
        </w:tc>
        <w:tc>
          <w:tcPr>
            <w:tcW w:w="1559" w:type="dxa"/>
            <w:tcBorders>
              <w:top w:val="nil"/>
              <w:left w:val="nil"/>
              <w:bottom w:val="single" w:sz="4" w:space="0" w:color="auto"/>
              <w:right w:val="single" w:sz="4" w:space="0" w:color="auto"/>
            </w:tcBorders>
            <w:shd w:val="clear" w:color="auto" w:fill="auto"/>
            <w:noWrap/>
          </w:tcPr>
          <w:p w14:paraId="7B27D52C" w14:textId="77777777" w:rsidR="0013494A" w:rsidRPr="00D13C4B" w:rsidRDefault="0013494A" w:rsidP="00D03A4F">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8 119</w:t>
            </w:r>
          </w:p>
        </w:tc>
        <w:tc>
          <w:tcPr>
            <w:tcW w:w="1418" w:type="dxa"/>
            <w:tcBorders>
              <w:top w:val="nil"/>
              <w:left w:val="nil"/>
              <w:bottom w:val="single" w:sz="4" w:space="0" w:color="auto"/>
              <w:right w:val="single" w:sz="4" w:space="0" w:color="auto"/>
            </w:tcBorders>
            <w:shd w:val="clear" w:color="auto" w:fill="auto"/>
            <w:noWrap/>
          </w:tcPr>
          <w:p w14:paraId="4229E8ED" w14:textId="77777777" w:rsidR="0013494A" w:rsidRPr="00D13C4B" w:rsidRDefault="0013494A" w:rsidP="00D03A4F">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2 179</w:t>
            </w:r>
          </w:p>
        </w:tc>
        <w:tc>
          <w:tcPr>
            <w:tcW w:w="1796" w:type="dxa"/>
            <w:tcBorders>
              <w:top w:val="nil"/>
              <w:left w:val="nil"/>
              <w:bottom w:val="single" w:sz="4" w:space="0" w:color="auto"/>
              <w:right w:val="single" w:sz="4" w:space="0" w:color="auto"/>
            </w:tcBorders>
            <w:shd w:val="clear" w:color="auto" w:fill="auto"/>
            <w:noWrap/>
          </w:tcPr>
          <w:p w14:paraId="5CD9B452" w14:textId="77777777" w:rsidR="0013494A" w:rsidRPr="00D13C4B" w:rsidRDefault="0013494A" w:rsidP="00D03A4F">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7,32</w:t>
            </w:r>
          </w:p>
        </w:tc>
        <w:tc>
          <w:tcPr>
            <w:tcW w:w="1381" w:type="dxa"/>
            <w:tcBorders>
              <w:top w:val="nil"/>
              <w:left w:val="nil"/>
              <w:bottom w:val="single" w:sz="4" w:space="0" w:color="auto"/>
              <w:right w:val="single" w:sz="4" w:space="0" w:color="auto"/>
            </w:tcBorders>
            <w:shd w:val="clear" w:color="auto" w:fill="auto"/>
            <w:noWrap/>
          </w:tcPr>
          <w:p w14:paraId="26E7A108" w14:textId="77777777" w:rsidR="0013494A" w:rsidRPr="00D13C4B" w:rsidRDefault="0013494A" w:rsidP="00D03A4F">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5,77</w:t>
            </w:r>
          </w:p>
        </w:tc>
        <w:tc>
          <w:tcPr>
            <w:tcW w:w="1911" w:type="dxa"/>
            <w:tcBorders>
              <w:top w:val="nil"/>
              <w:left w:val="nil"/>
              <w:bottom w:val="single" w:sz="4" w:space="0" w:color="auto"/>
              <w:right w:val="single" w:sz="4" w:space="0" w:color="auto"/>
            </w:tcBorders>
            <w:shd w:val="clear" w:color="auto" w:fill="auto"/>
            <w:noWrap/>
          </w:tcPr>
          <w:p w14:paraId="1F197152" w14:textId="77777777" w:rsidR="0013494A" w:rsidRPr="00D13C4B" w:rsidRDefault="0013494A" w:rsidP="00D03A4F">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1,56</w:t>
            </w:r>
          </w:p>
        </w:tc>
      </w:tr>
    </w:tbl>
    <w:p w14:paraId="2E69DE7C" w14:textId="77777777" w:rsidR="00D03A4F" w:rsidRPr="00BD5A90" w:rsidRDefault="00D03A4F" w:rsidP="00D03A4F">
      <w:pPr>
        <w:spacing w:after="0" w:line="240" w:lineRule="auto"/>
        <w:jc w:val="right"/>
        <w:rPr>
          <w:rFonts w:ascii="Times New Roman" w:eastAsia="Times New Roman" w:hAnsi="Times New Roman" w:cs="Times New Roman"/>
          <w:bCs/>
          <w:color w:val="000000"/>
          <w:sz w:val="26"/>
          <w:szCs w:val="26"/>
          <w:highlight w:val="yellow"/>
          <w:lang w:eastAsia="ru-RU"/>
        </w:rPr>
      </w:pPr>
    </w:p>
    <w:p w14:paraId="2E89023B" w14:textId="77777777" w:rsidR="00D03A4F" w:rsidRPr="00BD5A90" w:rsidRDefault="00D03A4F" w:rsidP="00D03A4F">
      <w:pPr>
        <w:spacing w:after="0" w:line="240" w:lineRule="auto"/>
        <w:jc w:val="right"/>
        <w:rPr>
          <w:rFonts w:ascii="Times New Roman" w:eastAsia="Times New Roman" w:hAnsi="Times New Roman" w:cs="Times New Roman"/>
          <w:bCs/>
          <w:color w:val="000000"/>
          <w:sz w:val="26"/>
          <w:szCs w:val="26"/>
          <w:highlight w:val="yellow"/>
          <w:lang w:eastAsia="ru-RU"/>
        </w:rPr>
      </w:pPr>
    </w:p>
    <w:p w14:paraId="59275A56" w14:textId="77777777" w:rsidR="00D03A4F" w:rsidRPr="005E5D33" w:rsidRDefault="00D03A4F" w:rsidP="00D03A4F">
      <w:pPr>
        <w:spacing w:after="0" w:line="240" w:lineRule="auto"/>
        <w:jc w:val="right"/>
        <w:rPr>
          <w:rFonts w:ascii="Times New Roman" w:eastAsia="Times New Roman" w:hAnsi="Times New Roman" w:cs="Times New Roman"/>
          <w:bCs/>
          <w:color w:val="000000"/>
          <w:sz w:val="26"/>
          <w:szCs w:val="26"/>
          <w:lang w:eastAsia="ru-RU"/>
        </w:rPr>
      </w:pPr>
      <w:r w:rsidRPr="005E5D33">
        <w:rPr>
          <w:rFonts w:ascii="Times New Roman" w:eastAsia="Times New Roman" w:hAnsi="Times New Roman" w:cs="Times New Roman"/>
          <w:bCs/>
          <w:color w:val="000000"/>
          <w:sz w:val="26"/>
          <w:szCs w:val="26"/>
          <w:lang w:eastAsia="ru-RU"/>
        </w:rPr>
        <w:t>Таблица 12</w:t>
      </w:r>
    </w:p>
    <w:p w14:paraId="55C18B54" w14:textId="77777777" w:rsidR="00D03A4F" w:rsidRPr="005E5D33"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5E5D33">
        <w:rPr>
          <w:rFonts w:ascii="Times New Roman" w:eastAsia="Times New Roman" w:hAnsi="Times New Roman" w:cs="Times New Roman"/>
          <w:b/>
          <w:bCs/>
          <w:color w:val="000000"/>
          <w:sz w:val="26"/>
          <w:szCs w:val="26"/>
          <w:lang w:eastAsia="ru-RU"/>
        </w:rPr>
        <w:t>Младенческая смертность с распределением по полу</w:t>
      </w:r>
    </w:p>
    <w:p w14:paraId="7D0AF98B" w14:textId="77777777" w:rsidR="00D03A4F" w:rsidRPr="005E5D33"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p>
    <w:tbl>
      <w:tblPr>
        <w:tblW w:w="4728" w:type="pct"/>
        <w:tblInd w:w="108" w:type="dxa"/>
        <w:tblLayout w:type="fixed"/>
        <w:tblLook w:val="04A0" w:firstRow="1" w:lastRow="0" w:firstColumn="1" w:lastColumn="0" w:noHBand="0" w:noVBand="1"/>
      </w:tblPr>
      <w:tblGrid>
        <w:gridCol w:w="1250"/>
        <w:gridCol w:w="1444"/>
        <w:gridCol w:w="1523"/>
        <w:gridCol w:w="1390"/>
        <w:gridCol w:w="1390"/>
        <w:gridCol w:w="1384"/>
        <w:gridCol w:w="1259"/>
      </w:tblGrid>
      <w:tr w:rsidR="00D03A4F" w:rsidRPr="005E5D33" w14:paraId="1EF45BB3" w14:textId="77777777" w:rsidTr="00944CB1">
        <w:trPr>
          <w:trHeight w:val="300"/>
          <w:tblHeader/>
        </w:trPr>
        <w:tc>
          <w:tcPr>
            <w:tcW w:w="6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43625" w14:textId="77777777"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Год</w:t>
            </w:r>
          </w:p>
        </w:tc>
        <w:tc>
          <w:tcPr>
            <w:tcW w:w="4352" w:type="pct"/>
            <w:gridSpan w:val="6"/>
            <w:tcBorders>
              <w:top w:val="single" w:sz="4" w:space="0" w:color="auto"/>
              <w:left w:val="nil"/>
              <w:bottom w:val="single" w:sz="4" w:space="0" w:color="auto"/>
              <w:right w:val="single" w:sz="4" w:space="0" w:color="000000"/>
            </w:tcBorders>
            <w:shd w:val="clear" w:color="auto" w:fill="auto"/>
            <w:noWrap/>
            <w:vAlign w:val="center"/>
            <w:hideMark/>
          </w:tcPr>
          <w:p w14:paraId="076DEB9B" w14:textId="77777777"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Число умерших в возрасте до 1 года</w:t>
            </w:r>
          </w:p>
        </w:tc>
      </w:tr>
      <w:tr w:rsidR="00D03A4F" w:rsidRPr="005E5D33" w14:paraId="2D53484D" w14:textId="77777777" w:rsidTr="00944CB1">
        <w:trPr>
          <w:trHeight w:val="633"/>
          <w:tblHeader/>
        </w:trPr>
        <w:tc>
          <w:tcPr>
            <w:tcW w:w="648" w:type="pct"/>
            <w:vMerge/>
            <w:tcBorders>
              <w:top w:val="nil"/>
              <w:left w:val="single" w:sz="4" w:space="0" w:color="auto"/>
              <w:bottom w:val="single" w:sz="4" w:space="0" w:color="auto"/>
              <w:right w:val="single" w:sz="4" w:space="0" w:color="auto"/>
            </w:tcBorders>
            <w:vAlign w:val="center"/>
            <w:hideMark/>
          </w:tcPr>
          <w:p w14:paraId="1F6E92F5" w14:textId="77777777"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p>
        </w:tc>
        <w:tc>
          <w:tcPr>
            <w:tcW w:w="2260" w:type="pct"/>
            <w:gridSpan w:val="3"/>
            <w:tcBorders>
              <w:top w:val="single" w:sz="4" w:space="0" w:color="auto"/>
              <w:left w:val="nil"/>
              <w:bottom w:val="single" w:sz="4" w:space="0" w:color="auto"/>
              <w:right w:val="single" w:sz="4" w:space="0" w:color="000000"/>
            </w:tcBorders>
            <w:shd w:val="clear" w:color="auto" w:fill="auto"/>
            <w:vAlign w:val="center"/>
            <w:hideMark/>
          </w:tcPr>
          <w:p w14:paraId="70088BEE" w14:textId="77777777"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человек</w:t>
            </w:r>
          </w:p>
        </w:tc>
        <w:tc>
          <w:tcPr>
            <w:tcW w:w="2092" w:type="pct"/>
            <w:gridSpan w:val="3"/>
            <w:tcBorders>
              <w:top w:val="single" w:sz="4" w:space="0" w:color="auto"/>
              <w:left w:val="nil"/>
              <w:bottom w:val="single" w:sz="4" w:space="0" w:color="auto"/>
              <w:right w:val="single" w:sz="4" w:space="0" w:color="000000"/>
            </w:tcBorders>
            <w:shd w:val="clear" w:color="auto" w:fill="auto"/>
            <w:vAlign w:val="center"/>
            <w:hideMark/>
          </w:tcPr>
          <w:p w14:paraId="12ED1BE1" w14:textId="77777777"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на 1000 родившихся живыми соответствующего пола</w:t>
            </w:r>
          </w:p>
        </w:tc>
      </w:tr>
      <w:tr w:rsidR="00D03A4F" w:rsidRPr="005E5D33" w14:paraId="3B3ECDEA" w14:textId="77777777" w:rsidTr="00944CB1">
        <w:trPr>
          <w:trHeight w:val="300"/>
          <w:tblHeader/>
        </w:trPr>
        <w:tc>
          <w:tcPr>
            <w:tcW w:w="648" w:type="pct"/>
            <w:vMerge/>
            <w:tcBorders>
              <w:top w:val="nil"/>
              <w:left w:val="single" w:sz="4" w:space="0" w:color="auto"/>
              <w:bottom w:val="single" w:sz="4" w:space="0" w:color="auto"/>
              <w:right w:val="single" w:sz="4" w:space="0" w:color="auto"/>
            </w:tcBorders>
            <w:vAlign w:val="center"/>
            <w:hideMark/>
          </w:tcPr>
          <w:p w14:paraId="6F098956" w14:textId="77777777"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p>
        </w:tc>
        <w:tc>
          <w:tcPr>
            <w:tcW w:w="749" w:type="pct"/>
            <w:tcBorders>
              <w:top w:val="nil"/>
              <w:left w:val="nil"/>
              <w:bottom w:val="single" w:sz="4" w:space="0" w:color="auto"/>
              <w:right w:val="single" w:sz="4" w:space="0" w:color="auto"/>
            </w:tcBorders>
            <w:shd w:val="clear" w:color="auto" w:fill="auto"/>
            <w:vAlign w:val="center"/>
            <w:hideMark/>
          </w:tcPr>
          <w:p w14:paraId="5BE6A080" w14:textId="77777777"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Всего</w:t>
            </w:r>
          </w:p>
        </w:tc>
        <w:tc>
          <w:tcPr>
            <w:tcW w:w="790" w:type="pct"/>
            <w:tcBorders>
              <w:top w:val="nil"/>
              <w:left w:val="nil"/>
              <w:bottom w:val="single" w:sz="4" w:space="0" w:color="auto"/>
              <w:right w:val="single" w:sz="4" w:space="0" w:color="auto"/>
            </w:tcBorders>
            <w:shd w:val="clear" w:color="auto" w:fill="auto"/>
            <w:noWrap/>
            <w:vAlign w:val="center"/>
            <w:hideMark/>
          </w:tcPr>
          <w:p w14:paraId="39A83CDF" w14:textId="77777777"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Мальчиков</w:t>
            </w:r>
          </w:p>
        </w:tc>
        <w:tc>
          <w:tcPr>
            <w:tcW w:w="721" w:type="pct"/>
            <w:tcBorders>
              <w:top w:val="nil"/>
              <w:left w:val="nil"/>
              <w:bottom w:val="single" w:sz="4" w:space="0" w:color="auto"/>
              <w:right w:val="single" w:sz="4" w:space="0" w:color="auto"/>
            </w:tcBorders>
            <w:shd w:val="clear" w:color="auto" w:fill="auto"/>
            <w:vAlign w:val="center"/>
            <w:hideMark/>
          </w:tcPr>
          <w:p w14:paraId="0633FFD9" w14:textId="77777777"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Девочек</w:t>
            </w:r>
          </w:p>
        </w:tc>
        <w:tc>
          <w:tcPr>
            <w:tcW w:w="721" w:type="pct"/>
            <w:tcBorders>
              <w:top w:val="nil"/>
              <w:left w:val="nil"/>
              <w:bottom w:val="single" w:sz="4" w:space="0" w:color="auto"/>
              <w:right w:val="single" w:sz="4" w:space="0" w:color="auto"/>
            </w:tcBorders>
            <w:shd w:val="clear" w:color="auto" w:fill="auto"/>
            <w:vAlign w:val="center"/>
            <w:hideMark/>
          </w:tcPr>
          <w:p w14:paraId="13EACA3A" w14:textId="77777777"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Всего</w:t>
            </w:r>
          </w:p>
        </w:tc>
        <w:tc>
          <w:tcPr>
            <w:tcW w:w="718" w:type="pct"/>
            <w:tcBorders>
              <w:top w:val="nil"/>
              <w:left w:val="nil"/>
              <w:bottom w:val="single" w:sz="4" w:space="0" w:color="auto"/>
              <w:right w:val="single" w:sz="4" w:space="0" w:color="auto"/>
            </w:tcBorders>
            <w:shd w:val="clear" w:color="auto" w:fill="auto"/>
            <w:noWrap/>
            <w:vAlign w:val="center"/>
            <w:hideMark/>
          </w:tcPr>
          <w:p w14:paraId="315CD4DC" w14:textId="77777777"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Мальчиков</w:t>
            </w:r>
          </w:p>
        </w:tc>
        <w:tc>
          <w:tcPr>
            <w:tcW w:w="653" w:type="pct"/>
            <w:tcBorders>
              <w:top w:val="nil"/>
              <w:left w:val="nil"/>
              <w:bottom w:val="single" w:sz="4" w:space="0" w:color="auto"/>
              <w:right w:val="single" w:sz="4" w:space="0" w:color="auto"/>
            </w:tcBorders>
            <w:shd w:val="clear" w:color="auto" w:fill="auto"/>
            <w:vAlign w:val="center"/>
            <w:hideMark/>
          </w:tcPr>
          <w:p w14:paraId="515EC1D4" w14:textId="77777777"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Девочек</w:t>
            </w:r>
          </w:p>
        </w:tc>
      </w:tr>
      <w:tr w:rsidR="00D03A4F" w:rsidRPr="005E5D33" w14:paraId="6A756A78" w14:textId="77777777" w:rsidTr="00944CB1">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36E530F" w14:textId="77777777" w:rsidR="00D03A4F" w:rsidRPr="005E5D33" w:rsidRDefault="00D03A4F"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Все население</w:t>
            </w:r>
          </w:p>
        </w:tc>
      </w:tr>
      <w:tr w:rsidR="0013494A" w:rsidRPr="005E5D33" w14:paraId="3873C707" w14:textId="77777777"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827FE5"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2019</w:t>
            </w:r>
          </w:p>
        </w:tc>
        <w:tc>
          <w:tcPr>
            <w:tcW w:w="749" w:type="pct"/>
            <w:tcBorders>
              <w:top w:val="single" w:sz="4" w:space="0" w:color="auto"/>
              <w:left w:val="nil"/>
              <w:bottom w:val="single" w:sz="4" w:space="0" w:color="auto"/>
              <w:right w:val="single" w:sz="4" w:space="0" w:color="auto"/>
            </w:tcBorders>
            <w:shd w:val="clear" w:color="auto" w:fill="auto"/>
            <w:noWrap/>
            <w:vAlign w:val="center"/>
          </w:tcPr>
          <w:p w14:paraId="6A714928"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7 328</w:t>
            </w:r>
          </w:p>
        </w:tc>
        <w:tc>
          <w:tcPr>
            <w:tcW w:w="790" w:type="pct"/>
            <w:tcBorders>
              <w:top w:val="single" w:sz="4" w:space="0" w:color="auto"/>
              <w:left w:val="nil"/>
              <w:bottom w:val="single" w:sz="4" w:space="0" w:color="auto"/>
              <w:right w:val="single" w:sz="4" w:space="0" w:color="auto"/>
            </w:tcBorders>
            <w:shd w:val="clear" w:color="auto" w:fill="auto"/>
            <w:noWrap/>
          </w:tcPr>
          <w:p w14:paraId="171082FD"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4 087</w:t>
            </w:r>
          </w:p>
        </w:tc>
        <w:tc>
          <w:tcPr>
            <w:tcW w:w="721" w:type="pct"/>
            <w:tcBorders>
              <w:top w:val="single" w:sz="4" w:space="0" w:color="auto"/>
              <w:left w:val="nil"/>
              <w:bottom w:val="single" w:sz="4" w:space="0" w:color="auto"/>
              <w:right w:val="nil"/>
            </w:tcBorders>
            <w:shd w:val="clear" w:color="auto" w:fill="auto"/>
            <w:noWrap/>
          </w:tcPr>
          <w:p w14:paraId="6F7DD642"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3 241</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91A494"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4,9</w:t>
            </w:r>
          </w:p>
        </w:tc>
        <w:tc>
          <w:tcPr>
            <w:tcW w:w="718" w:type="pct"/>
            <w:tcBorders>
              <w:top w:val="single" w:sz="4" w:space="0" w:color="auto"/>
              <w:left w:val="nil"/>
              <w:bottom w:val="single" w:sz="4" w:space="0" w:color="auto"/>
              <w:right w:val="single" w:sz="4" w:space="0" w:color="auto"/>
            </w:tcBorders>
            <w:shd w:val="clear" w:color="auto" w:fill="auto"/>
            <w:noWrap/>
            <w:vAlign w:val="center"/>
          </w:tcPr>
          <w:p w14:paraId="73638C51"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5,3</w:t>
            </w:r>
          </w:p>
        </w:tc>
        <w:tc>
          <w:tcPr>
            <w:tcW w:w="653" w:type="pct"/>
            <w:tcBorders>
              <w:top w:val="single" w:sz="4" w:space="0" w:color="auto"/>
              <w:left w:val="nil"/>
              <w:bottom w:val="single" w:sz="4" w:space="0" w:color="auto"/>
              <w:right w:val="single" w:sz="4" w:space="0" w:color="auto"/>
            </w:tcBorders>
            <w:shd w:val="clear" w:color="auto" w:fill="auto"/>
            <w:noWrap/>
            <w:vAlign w:val="center"/>
          </w:tcPr>
          <w:p w14:paraId="4D0AF55D"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4,4</w:t>
            </w:r>
          </w:p>
        </w:tc>
      </w:tr>
      <w:tr w:rsidR="0013494A" w:rsidRPr="005E5D33" w14:paraId="620BFCB3" w14:textId="77777777"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A73401"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2020</w:t>
            </w:r>
          </w:p>
        </w:tc>
        <w:tc>
          <w:tcPr>
            <w:tcW w:w="749" w:type="pct"/>
            <w:tcBorders>
              <w:top w:val="single" w:sz="4" w:space="0" w:color="auto"/>
              <w:left w:val="nil"/>
              <w:bottom w:val="single" w:sz="4" w:space="0" w:color="auto"/>
              <w:right w:val="single" w:sz="4" w:space="0" w:color="auto"/>
            </w:tcBorders>
            <w:shd w:val="clear" w:color="auto" w:fill="auto"/>
            <w:noWrap/>
            <w:vAlign w:val="center"/>
          </w:tcPr>
          <w:p w14:paraId="4582E9BF"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6 489</w:t>
            </w:r>
          </w:p>
        </w:tc>
        <w:tc>
          <w:tcPr>
            <w:tcW w:w="790" w:type="pct"/>
            <w:tcBorders>
              <w:top w:val="single" w:sz="4" w:space="0" w:color="auto"/>
              <w:left w:val="nil"/>
              <w:bottom w:val="single" w:sz="4" w:space="0" w:color="auto"/>
              <w:right w:val="single" w:sz="4" w:space="0" w:color="auto"/>
            </w:tcBorders>
            <w:shd w:val="clear" w:color="auto" w:fill="auto"/>
            <w:noWrap/>
          </w:tcPr>
          <w:p w14:paraId="4A4E26FE"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3 718</w:t>
            </w:r>
          </w:p>
        </w:tc>
        <w:tc>
          <w:tcPr>
            <w:tcW w:w="721" w:type="pct"/>
            <w:tcBorders>
              <w:top w:val="single" w:sz="4" w:space="0" w:color="auto"/>
              <w:left w:val="nil"/>
              <w:bottom w:val="single" w:sz="4" w:space="0" w:color="auto"/>
              <w:right w:val="nil"/>
            </w:tcBorders>
            <w:shd w:val="clear" w:color="auto" w:fill="auto"/>
            <w:noWrap/>
          </w:tcPr>
          <w:p w14:paraId="333AB99D"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2 771</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EF7F9E"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4,5</w:t>
            </w:r>
          </w:p>
        </w:tc>
        <w:tc>
          <w:tcPr>
            <w:tcW w:w="718" w:type="pct"/>
            <w:tcBorders>
              <w:top w:val="single" w:sz="4" w:space="0" w:color="auto"/>
              <w:left w:val="nil"/>
              <w:bottom w:val="single" w:sz="4" w:space="0" w:color="auto"/>
              <w:right w:val="single" w:sz="4" w:space="0" w:color="auto"/>
            </w:tcBorders>
            <w:shd w:val="clear" w:color="auto" w:fill="auto"/>
            <w:noWrap/>
            <w:vAlign w:val="center"/>
          </w:tcPr>
          <w:p w14:paraId="74FFCA74"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5,0</w:t>
            </w:r>
          </w:p>
        </w:tc>
        <w:tc>
          <w:tcPr>
            <w:tcW w:w="653" w:type="pct"/>
            <w:tcBorders>
              <w:top w:val="single" w:sz="4" w:space="0" w:color="auto"/>
              <w:left w:val="nil"/>
              <w:bottom w:val="single" w:sz="4" w:space="0" w:color="auto"/>
              <w:right w:val="single" w:sz="4" w:space="0" w:color="auto"/>
            </w:tcBorders>
            <w:shd w:val="clear" w:color="auto" w:fill="auto"/>
            <w:noWrap/>
            <w:vAlign w:val="center"/>
          </w:tcPr>
          <w:p w14:paraId="1406C04D"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3,9</w:t>
            </w:r>
          </w:p>
        </w:tc>
      </w:tr>
      <w:tr w:rsidR="0013494A" w:rsidRPr="005E5D33" w14:paraId="06DF8304" w14:textId="77777777"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EA37BF" w14:textId="77777777" w:rsidR="0013494A" w:rsidRPr="005E5D33" w:rsidRDefault="0013494A" w:rsidP="00D03A4F">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p>
        </w:tc>
        <w:tc>
          <w:tcPr>
            <w:tcW w:w="749" w:type="pct"/>
            <w:tcBorders>
              <w:top w:val="single" w:sz="4" w:space="0" w:color="auto"/>
              <w:left w:val="nil"/>
              <w:bottom w:val="single" w:sz="4" w:space="0" w:color="auto"/>
              <w:right w:val="single" w:sz="4" w:space="0" w:color="auto"/>
            </w:tcBorders>
            <w:shd w:val="clear" w:color="auto" w:fill="auto"/>
            <w:noWrap/>
            <w:vAlign w:val="center"/>
          </w:tcPr>
          <w:p w14:paraId="34695043" w14:textId="77777777" w:rsidR="0013494A" w:rsidRPr="005E5D33" w:rsidRDefault="0013494A" w:rsidP="00D03A4F">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6 516</w:t>
            </w:r>
          </w:p>
        </w:tc>
        <w:tc>
          <w:tcPr>
            <w:tcW w:w="790" w:type="pct"/>
            <w:tcBorders>
              <w:top w:val="single" w:sz="4" w:space="0" w:color="auto"/>
              <w:left w:val="nil"/>
              <w:bottom w:val="single" w:sz="4" w:space="0" w:color="auto"/>
              <w:right w:val="single" w:sz="4" w:space="0" w:color="auto"/>
            </w:tcBorders>
            <w:shd w:val="clear" w:color="auto" w:fill="auto"/>
            <w:noWrap/>
          </w:tcPr>
          <w:p w14:paraId="4738E4D2" w14:textId="77777777" w:rsidR="0013494A" w:rsidRPr="005E5D33" w:rsidRDefault="0013494A" w:rsidP="00D03A4F">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3 798</w:t>
            </w:r>
          </w:p>
        </w:tc>
        <w:tc>
          <w:tcPr>
            <w:tcW w:w="721" w:type="pct"/>
            <w:tcBorders>
              <w:top w:val="single" w:sz="4" w:space="0" w:color="auto"/>
              <w:left w:val="nil"/>
              <w:bottom w:val="single" w:sz="4" w:space="0" w:color="auto"/>
              <w:right w:val="nil"/>
            </w:tcBorders>
            <w:shd w:val="clear" w:color="auto" w:fill="auto"/>
            <w:noWrap/>
          </w:tcPr>
          <w:p w14:paraId="6CAF2065" w14:textId="77777777" w:rsidR="0013494A" w:rsidRPr="005E5D33" w:rsidRDefault="0013494A" w:rsidP="00D03A4F">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2 718</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7AAB98" w14:textId="77777777" w:rsidR="0013494A" w:rsidRPr="005E5D33" w:rsidRDefault="0013494A" w:rsidP="00D03A4F">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tc>
        <w:tc>
          <w:tcPr>
            <w:tcW w:w="718" w:type="pct"/>
            <w:tcBorders>
              <w:top w:val="single" w:sz="4" w:space="0" w:color="auto"/>
              <w:left w:val="nil"/>
              <w:bottom w:val="single" w:sz="4" w:space="0" w:color="auto"/>
              <w:right w:val="single" w:sz="4" w:space="0" w:color="auto"/>
            </w:tcBorders>
            <w:shd w:val="clear" w:color="auto" w:fill="auto"/>
            <w:noWrap/>
            <w:vAlign w:val="center"/>
          </w:tcPr>
          <w:p w14:paraId="1E15A516" w14:textId="77777777" w:rsidR="0013494A" w:rsidRPr="005E5D33" w:rsidRDefault="0013494A" w:rsidP="00D03A4F">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p>
        </w:tc>
        <w:tc>
          <w:tcPr>
            <w:tcW w:w="653" w:type="pct"/>
            <w:tcBorders>
              <w:top w:val="single" w:sz="4" w:space="0" w:color="auto"/>
              <w:left w:val="nil"/>
              <w:bottom w:val="single" w:sz="4" w:space="0" w:color="auto"/>
              <w:right w:val="single" w:sz="4" w:space="0" w:color="auto"/>
            </w:tcBorders>
            <w:shd w:val="clear" w:color="auto" w:fill="auto"/>
            <w:noWrap/>
            <w:vAlign w:val="center"/>
          </w:tcPr>
          <w:p w14:paraId="3F6AFFAE" w14:textId="77777777" w:rsidR="0013494A" w:rsidRPr="005E5D33" w:rsidRDefault="0013494A" w:rsidP="00D03A4F">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13494A" w:rsidRPr="005E5D33" w14:paraId="0F8D471C" w14:textId="77777777" w:rsidTr="00944CB1">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B1EAE6" w14:textId="77777777" w:rsidR="0013494A" w:rsidRPr="005E5D33" w:rsidRDefault="0013494A"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Городское население</w:t>
            </w:r>
          </w:p>
        </w:tc>
      </w:tr>
      <w:tr w:rsidR="0013494A" w:rsidRPr="005E5D33" w14:paraId="11E6180C" w14:textId="77777777"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EDB093"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2019</w:t>
            </w:r>
          </w:p>
        </w:tc>
        <w:tc>
          <w:tcPr>
            <w:tcW w:w="749" w:type="pct"/>
            <w:tcBorders>
              <w:top w:val="single" w:sz="4" w:space="0" w:color="auto"/>
              <w:left w:val="nil"/>
              <w:bottom w:val="single" w:sz="4" w:space="0" w:color="auto"/>
              <w:right w:val="single" w:sz="4" w:space="0" w:color="auto"/>
            </w:tcBorders>
            <w:shd w:val="clear" w:color="auto" w:fill="auto"/>
            <w:noWrap/>
            <w:vAlign w:val="center"/>
          </w:tcPr>
          <w:p w14:paraId="6E9BC21A"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5 206</w:t>
            </w:r>
          </w:p>
        </w:tc>
        <w:tc>
          <w:tcPr>
            <w:tcW w:w="790" w:type="pct"/>
            <w:tcBorders>
              <w:top w:val="single" w:sz="4" w:space="0" w:color="auto"/>
              <w:left w:val="nil"/>
              <w:bottom w:val="single" w:sz="4" w:space="0" w:color="auto"/>
              <w:right w:val="single" w:sz="4" w:space="0" w:color="auto"/>
            </w:tcBorders>
            <w:shd w:val="clear" w:color="auto" w:fill="auto"/>
            <w:noWrap/>
            <w:vAlign w:val="bottom"/>
          </w:tcPr>
          <w:p w14:paraId="68726351"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2 896</w:t>
            </w:r>
          </w:p>
        </w:tc>
        <w:tc>
          <w:tcPr>
            <w:tcW w:w="721" w:type="pct"/>
            <w:tcBorders>
              <w:top w:val="single" w:sz="4" w:space="0" w:color="auto"/>
              <w:left w:val="nil"/>
              <w:bottom w:val="single" w:sz="4" w:space="0" w:color="auto"/>
              <w:right w:val="nil"/>
            </w:tcBorders>
            <w:shd w:val="clear" w:color="auto" w:fill="auto"/>
            <w:noWrap/>
            <w:vAlign w:val="bottom"/>
          </w:tcPr>
          <w:p w14:paraId="07590EA5"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2 310</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9378D9"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4,6</w:t>
            </w:r>
          </w:p>
        </w:tc>
        <w:tc>
          <w:tcPr>
            <w:tcW w:w="718" w:type="pct"/>
            <w:tcBorders>
              <w:top w:val="single" w:sz="4" w:space="0" w:color="auto"/>
              <w:left w:val="nil"/>
              <w:bottom w:val="single" w:sz="4" w:space="0" w:color="auto"/>
              <w:right w:val="single" w:sz="4" w:space="0" w:color="auto"/>
            </w:tcBorders>
            <w:shd w:val="clear" w:color="auto" w:fill="auto"/>
            <w:noWrap/>
            <w:vAlign w:val="center"/>
          </w:tcPr>
          <w:p w14:paraId="7A9023C6"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5,0</w:t>
            </w:r>
          </w:p>
        </w:tc>
        <w:tc>
          <w:tcPr>
            <w:tcW w:w="653" w:type="pct"/>
            <w:tcBorders>
              <w:top w:val="single" w:sz="4" w:space="0" w:color="auto"/>
              <w:left w:val="nil"/>
              <w:bottom w:val="single" w:sz="4" w:space="0" w:color="auto"/>
              <w:right w:val="single" w:sz="4" w:space="0" w:color="auto"/>
            </w:tcBorders>
            <w:shd w:val="clear" w:color="auto" w:fill="auto"/>
            <w:noWrap/>
            <w:vAlign w:val="center"/>
          </w:tcPr>
          <w:p w14:paraId="06B96861"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4,2</w:t>
            </w:r>
          </w:p>
        </w:tc>
      </w:tr>
      <w:tr w:rsidR="0013494A" w:rsidRPr="005E5D33" w14:paraId="2B314A0A" w14:textId="77777777"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3550C9"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2020</w:t>
            </w:r>
          </w:p>
        </w:tc>
        <w:tc>
          <w:tcPr>
            <w:tcW w:w="749" w:type="pct"/>
            <w:tcBorders>
              <w:top w:val="single" w:sz="4" w:space="0" w:color="auto"/>
              <w:left w:val="nil"/>
              <w:bottom w:val="single" w:sz="4" w:space="0" w:color="auto"/>
              <w:right w:val="single" w:sz="4" w:space="0" w:color="auto"/>
            </w:tcBorders>
            <w:shd w:val="clear" w:color="auto" w:fill="auto"/>
            <w:noWrap/>
            <w:vAlign w:val="center"/>
          </w:tcPr>
          <w:p w14:paraId="6F691359"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4 573</w:t>
            </w:r>
          </w:p>
        </w:tc>
        <w:tc>
          <w:tcPr>
            <w:tcW w:w="790" w:type="pct"/>
            <w:tcBorders>
              <w:top w:val="single" w:sz="4" w:space="0" w:color="auto"/>
              <w:left w:val="nil"/>
              <w:bottom w:val="single" w:sz="4" w:space="0" w:color="auto"/>
              <w:right w:val="single" w:sz="4" w:space="0" w:color="auto"/>
            </w:tcBorders>
            <w:shd w:val="clear" w:color="auto" w:fill="auto"/>
            <w:noWrap/>
            <w:vAlign w:val="bottom"/>
          </w:tcPr>
          <w:p w14:paraId="2D181F7D"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2 615</w:t>
            </w:r>
          </w:p>
        </w:tc>
        <w:tc>
          <w:tcPr>
            <w:tcW w:w="721" w:type="pct"/>
            <w:tcBorders>
              <w:top w:val="single" w:sz="4" w:space="0" w:color="auto"/>
              <w:left w:val="nil"/>
              <w:bottom w:val="single" w:sz="4" w:space="0" w:color="auto"/>
              <w:right w:val="nil"/>
            </w:tcBorders>
            <w:shd w:val="clear" w:color="auto" w:fill="auto"/>
            <w:noWrap/>
            <w:vAlign w:val="bottom"/>
          </w:tcPr>
          <w:p w14:paraId="117CD674"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1 958</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3BE406"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4,2</w:t>
            </w:r>
          </w:p>
        </w:tc>
        <w:tc>
          <w:tcPr>
            <w:tcW w:w="718" w:type="pct"/>
            <w:tcBorders>
              <w:top w:val="single" w:sz="4" w:space="0" w:color="auto"/>
              <w:left w:val="nil"/>
              <w:bottom w:val="single" w:sz="4" w:space="0" w:color="auto"/>
              <w:right w:val="single" w:sz="4" w:space="0" w:color="auto"/>
            </w:tcBorders>
            <w:shd w:val="clear" w:color="auto" w:fill="auto"/>
            <w:noWrap/>
            <w:vAlign w:val="center"/>
          </w:tcPr>
          <w:p w14:paraId="7DA7A9BF"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4,7</w:t>
            </w:r>
          </w:p>
        </w:tc>
        <w:tc>
          <w:tcPr>
            <w:tcW w:w="653" w:type="pct"/>
            <w:tcBorders>
              <w:top w:val="single" w:sz="4" w:space="0" w:color="auto"/>
              <w:left w:val="nil"/>
              <w:bottom w:val="single" w:sz="4" w:space="0" w:color="auto"/>
              <w:right w:val="single" w:sz="4" w:space="0" w:color="auto"/>
            </w:tcBorders>
            <w:shd w:val="clear" w:color="auto" w:fill="auto"/>
            <w:noWrap/>
            <w:vAlign w:val="center"/>
          </w:tcPr>
          <w:p w14:paraId="2427F010"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3,7</w:t>
            </w:r>
          </w:p>
        </w:tc>
      </w:tr>
      <w:tr w:rsidR="0013494A" w:rsidRPr="005E5D33" w14:paraId="123E25D1" w14:textId="77777777"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F22C44" w14:textId="77777777" w:rsidR="0013494A" w:rsidRPr="005E5D33" w:rsidRDefault="0013494A" w:rsidP="00D03A4F">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p>
        </w:tc>
        <w:tc>
          <w:tcPr>
            <w:tcW w:w="749" w:type="pct"/>
            <w:tcBorders>
              <w:top w:val="single" w:sz="4" w:space="0" w:color="auto"/>
              <w:bottom w:val="single" w:sz="4" w:space="0" w:color="auto"/>
              <w:right w:val="single" w:sz="4" w:space="0" w:color="auto"/>
            </w:tcBorders>
            <w:shd w:val="clear" w:color="auto" w:fill="auto"/>
            <w:noWrap/>
            <w:vAlign w:val="center"/>
          </w:tcPr>
          <w:p w14:paraId="1198DCE3" w14:textId="77777777" w:rsidR="0013494A" w:rsidRPr="005E5D33" w:rsidRDefault="0013494A" w:rsidP="00D03A4F">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4 664</w:t>
            </w:r>
          </w:p>
        </w:tc>
        <w:tc>
          <w:tcPr>
            <w:tcW w:w="79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5E9C13" w14:textId="77777777" w:rsidR="0013494A" w:rsidRPr="005E5D33" w:rsidRDefault="0013494A" w:rsidP="00D03A4F">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2 690</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9653CD" w14:textId="77777777" w:rsidR="0013494A" w:rsidRPr="005E5D33" w:rsidRDefault="0013494A" w:rsidP="00D03A4F">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1 974</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19C393" w14:textId="77777777" w:rsidR="0013494A" w:rsidRPr="005E5D33" w:rsidRDefault="0013494A" w:rsidP="00D03A4F">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70D204" w14:textId="77777777" w:rsidR="0013494A" w:rsidRPr="005E5D33" w:rsidRDefault="0013494A" w:rsidP="00D03A4F">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35C7C9" w14:textId="77777777" w:rsidR="0013494A" w:rsidRPr="005E5D33" w:rsidRDefault="0013494A" w:rsidP="00D03A4F">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r>
      <w:tr w:rsidR="0013494A" w:rsidRPr="005E5D33" w14:paraId="51A96274" w14:textId="77777777" w:rsidTr="00944CB1">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53D7473" w14:textId="77777777" w:rsidR="0013494A" w:rsidRPr="005E5D33" w:rsidRDefault="0013494A" w:rsidP="00D03A4F">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Сельское население</w:t>
            </w:r>
          </w:p>
        </w:tc>
      </w:tr>
      <w:tr w:rsidR="0013494A" w:rsidRPr="005E5D33" w14:paraId="19C8889D" w14:textId="77777777"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14:paraId="6A32CD96"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2019</w:t>
            </w:r>
          </w:p>
        </w:tc>
        <w:tc>
          <w:tcPr>
            <w:tcW w:w="749" w:type="pct"/>
            <w:tcBorders>
              <w:top w:val="single" w:sz="4" w:space="0" w:color="auto"/>
              <w:left w:val="nil"/>
              <w:bottom w:val="single" w:sz="4" w:space="0" w:color="auto"/>
              <w:right w:val="single" w:sz="4" w:space="0" w:color="auto"/>
            </w:tcBorders>
            <w:shd w:val="clear" w:color="auto" w:fill="auto"/>
            <w:noWrap/>
          </w:tcPr>
          <w:p w14:paraId="3A05DE57"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2 122</w:t>
            </w:r>
          </w:p>
        </w:tc>
        <w:tc>
          <w:tcPr>
            <w:tcW w:w="790" w:type="pct"/>
            <w:tcBorders>
              <w:top w:val="single" w:sz="4" w:space="0" w:color="auto"/>
              <w:left w:val="nil"/>
              <w:bottom w:val="single" w:sz="4" w:space="0" w:color="auto"/>
              <w:right w:val="single" w:sz="4" w:space="0" w:color="auto"/>
            </w:tcBorders>
            <w:shd w:val="clear" w:color="auto" w:fill="auto"/>
            <w:noWrap/>
          </w:tcPr>
          <w:p w14:paraId="0E2F8A32"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1 191</w:t>
            </w:r>
          </w:p>
        </w:tc>
        <w:tc>
          <w:tcPr>
            <w:tcW w:w="721" w:type="pct"/>
            <w:tcBorders>
              <w:top w:val="single" w:sz="4" w:space="0" w:color="auto"/>
              <w:left w:val="nil"/>
              <w:bottom w:val="single" w:sz="4" w:space="0" w:color="auto"/>
              <w:right w:val="nil"/>
            </w:tcBorders>
            <w:shd w:val="clear" w:color="auto" w:fill="auto"/>
            <w:noWrap/>
          </w:tcPr>
          <w:p w14:paraId="50D56ACB"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931</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6EC44A"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5,7</w:t>
            </w:r>
          </w:p>
        </w:tc>
        <w:tc>
          <w:tcPr>
            <w:tcW w:w="718" w:type="pct"/>
            <w:tcBorders>
              <w:top w:val="single" w:sz="4" w:space="0" w:color="auto"/>
              <w:left w:val="nil"/>
              <w:bottom w:val="single" w:sz="4" w:space="0" w:color="auto"/>
              <w:right w:val="single" w:sz="4" w:space="0" w:color="auto"/>
            </w:tcBorders>
            <w:shd w:val="clear" w:color="auto" w:fill="auto"/>
            <w:noWrap/>
            <w:vAlign w:val="center"/>
          </w:tcPr>
          <w:p w14:paraId="026D1CDC"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6,2</w:t>
            </w:r>
          </w:p>
        </w:tc>
        <w:tc>
          <w:tcPr>
            <w:tcW w:w="653" w:type="pct"/>
            <w:tcBorders>
              <w:top w:val="single" w:sz="4" w:space="0" w:color="auto"/>
              <w:left w:val="nil"/>
              <w:bottom w:val="single" w:sz="4" w:space="0" w:color="auto"/>
              <w:right w:val="single" w:sz="4" w:space="0" w:color="auto"/>
            </w:tcBorders>
            <w:shd w:val="clear" w:color="auto" w:fill="auto"/>
            <w:noWrap/>
            <w:vAlign w:val="center"/>
          </w:tcPr>
          <w:p w14:paraId="2EF8CC76"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5,2</w:t>
            </w:r>
          </w:p>
        </w:tc>
      </w:tr>
      <w:tr w:rsidR="0013494A" w:rsidRPr="005E5D33" w14:paraId="71D7D376" w14:textId="77777777"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14:paraId="3D2DACED"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2020</w:t>
            </w:r>
          </w:p>
        </w:tc>
        <w:tc>
          <w:tcPr>
            <w:tcW w:w="749" w:type="pct"/>
            <w:tcBorders>
              <w:top w:val="single" w:sz="4" w:space="0" w:color="auto"/>
              <w:left w:val="nil"/>
              <w:bottom w:val="single" w:sz="4" w:space="0" w:color="auto"/>
              <w:right w:val="single" w:sz="4" w:space="0" w:color="auto"/>
            </w:tcBorders>
            <w:shd w:val="clear" w:color="auto" w:fill="auto"/>
            <w:noWrap/>
          </w:tcPr>
          <w:p w14:paraId="1C4FDB4A"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1 916</w:t>
            </w:r>
          </w:p>
        </w:tc>
        <w:tc>
          <w:tcPr>
            <w:tcW w:w="790" w:type="pct"/>
            <w:tcBorders>
              <w:top w:val="single" w:sz="4" w:space="0" w:color="auto"/>
              <w:left w:val="nil"/>
              <w:bottom w:val="single" w:sz="4" w:space="0" w:color="auto"/>
              <w:right w:val="single" w:sz="4" w:space="0" w:color="auto"/>
            </w:tcBorders>
            <w:shd w:val="clear" w:color="auto" w:fill="auto"/>
            <w:noWrap/>
          </w:tcPr>
          <w:p w14:paraId="3E9C5B88"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1 103</w:t>
            </w:r>
          </w:p>
        </w:tc>
        <w:tc>
          <w:tcPr>
            <w:tcW w:w="721" w:type="pct"/>
            <w:tcBorders>
              <w:top w:val="single" w:sz="4" w:space="0" w:color="auto"/>
              <w:left w:val="nil"/>
              <w:bottom w:val="single" w:sz="4" w:space="0" w:color="auto"/>
              <w:right w:val="nil"/>
            </w:tcBorders>
            <w:shd w:val="clear" w:color="auto" w:fill="auto"/>
            <w:noWrap/>
          </w:tcPr>
          <w:p w14:paraId="0F704C59"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813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2DA0F0"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5,3</w:t>
            </w:r>
          </w:p>
        </w:tc>
        <w:tc>
          <w:tcPr>
            <w:tcW w:w="718" w:type="pct"/>
            <w:tcBorders>
              <w:top w:val="single" w:sz="4" w:space="0" w:color="auto"/>
              <w:left w:val="nil"/>
              <w:bottom w:val="single" w:sz="4" w:space="0" w:color="auto"/>
              <w:right w:val="single" w:sz="4" w:space="0" w:color="auto"/>
            </w:tcBorders>
            <w:shd w:val="clear" w:color="auto" w:fill="auto"/>
            <w:noWrap/>
            <w:vAlign w:val="center"/>
          </w:tcPr>
          <w:p w14:paraId="0B83F048"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6,0</w:t>
            </w:r>
          </w:p>
        </w:tc>
        <w:tc>
          <w:tcPr>
            <w:tcW w:w="653" w:type="pct"/>
            <w:tcBorders>
              <w:top w:val="single" w:sz="4" w:space="0" w:color="auto"/>
              <w:left w:val="nil"/>
              <w:bottom w:val="single" w:sz="4" w:space="0" w:color="auto"/>
              <w:right w:val="single" w:sz="4" w:space="0" w:color="auto"/>
            </w:tcBorders>
            <w:shd w:val="clear" w:color="auto" w:fill="auto"/>
            <w:noWrap/>
            <w:vAlign w:val="center"/>
          </w:tcPr>
          <w:p w14:paraId="5FA5AC82"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4,7</w:t>
            </w:r>
          </w:p>
        </w:tc>
      </w:tr>
      <w:tr w:rsidR="0013494A" w:rsidRPr="00BD5A90" w14:paraId="274114DD" w14:textId="77777777" w:rsidTr="00944CB1">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14:paraId="7FD846B5" w14:textId="77777777" w:rsidR="0013494A" w:rsidRPr="005E5D33" w:rsidRDefault="0013494A" w:rsidP="00D03A4F">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p>
        </w:tc>
        <w:tc>
          <w:tcPr>
            <w:tcW w:w="749" w:type="pct"/>
            <w:tcBorders>
              <w:top w:val="single" w:sz="4" w:space="0" w:color="auto"/>
              <w:bottom w:val="single" w:sz="4" w:space="0" w:color="auto"/>
              <w:right w:val="single" w:sz="4" w:space="0" w:color="auto"/>
            </w:tcBorders>
            <w:shd w:val="clear" w:color="auto" w:fill="auto"/>
            <w:noWrap/>
          </w:tcPr>
          <w:p w14:paraId="271D7CE0" w14:textId="77777777" w:rsidR="0013494A" w:rsidRPr="005E5D33" w:rsidRDefault="0013494A" w:rsidP="00D03A4F">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1 852</w:t>
            </w:r>
          </w:p>
        </w:tc>
        <w:tc>
          <w:tcPr>
            <w:tcW w:w="790" w:type="pct"/>
            <w:tcBorders>
              <w:top w:val="single" w:sz="4" w:space="0" w:color="auto"/>
              <w:left w:val="single" w:sz="4" w:space="0" w:color="auto"/>
              <w:bottom w:val="single" w:sz="4" w:space="0" w:color="auto"/>
              <w:right w:val="single" w:sz="4" w:space="0" w:color="auto"/>
            </w:tcBorders>
            <w:shd w:val="clear" w:color="auto" w:fill="auto"/>
            <w:noWrap/>
          </w:tcPr>
          <w:p w14:paraId="314C5F3D" w14:textId="77777777" w:rsidR="0013494A" w:rsidRPr="005E5D33" w:rsidRDefault="0013494A" w:rsidP="00D03A4F">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1 108</w:t>
            </w:r>
          </w:p>
        </w:tc>
        <w:tc>
          <w:tcPr>
            <w:tcW w:w="721" w:type="pct"/>
            <w:tcBorders>
              <w:top w:val="single" w:sz="4" w:space="0" w:color="auto"/>
              <w:left w:val="single" w:sz="4" w:space="0" w:color="auto"/>
              <w:bottom w:val="single" w:sz="4" w:space="0" w:color="auto"/>
              <w:right w:val="single" w:sz="4" w:space="0" w:color="auto"/>
            </w:tcBorders>
            <w:shd w:val="clear" w:color="auto" w:fill="auto"/>
            <w:noWrap/>
          </w:tcPr>
          <w:p w14:paraId="59EE7409" w14:textId="77777777" w:rsidR="0013494A" w:rsidRPr="005E5D33" w:rsidRDefault="0013494A" w:rsidP="00D03A4F">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744</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E6650C" w14:textId="77777777" w:rsidR="0013494A" w:rsidRPr="005E5D33" w:rsidRDefault="0013494A" w:rsidP="00D03A4F">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BF46CA" w14:textId="77777777" w:rsidR="0013494A" w:rsidRPr="005E5D33" w:rsidRDefault="0013494A" w:rsidP="00D03A4F">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w:t>
            </w: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0B8D87" w14:textId="77777777" w:rsidR="0013494A" w:rsidRPr="005E5D33" w:rsidRDefault="0013494A" w:rsidP="00D03A4F">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r>
    </w:tbl>
    <w:p w14:paraId="06CA2B32" w14:textId="77777777" w:rsidR="00D03A4F" w:rsidRPr="00BD5A90" w:rsidRDefault="00D03A4F" w:rsidP="00D03A4F">
      <w:pPr>
        <w:spacing w:after="0" w:line="240" w:lineRule="auto"/>
        <w:jc w:val="right"/>
        <w:rPr>
          <w:rFonts w:ascii="Times New Roman" w:eastAsia="Times New Roman" w:hAnsi="Times New Roman" w:cs="Times New Roman"/>
          <w:sz w:val="24"/>
          <w:szCs w:val="24"/>
          <w:highlight w:val="yellow"/>
          <w:lang w:eastAsia="ru-RU"/>
        </w:rPr>
      </w:pPr>
    </w:p>
    <w:p w14:paraId="14E7C687" w14:textId="77777777" w:rsidR="00D03A4F" w:rsidRPr="005E5D33" w:rsidRDefault="00D03A4F" w:rsidP="00D03A4F">
      <w:pPr>
        <w:spacing w:after="0" w:line="240" w:lineRule="auto"/>
        <w:jc w:val="right"/>
        <w:rPr>
          <w:rFonts w:ascii="Times New Roman" w:eastAsia="Times New Roman" w:hAnsi="Times New Roman" w:cs="Times New Roman"/>
          <w:bCs/>
          <w:color w:val="000000"/>
          <w:sz w:val="26"/>
          <w:szCs w:val="26"/>
          <w:lang w:eastAsia="ru-RU"/>
        </w:rPr>
      </w:pPr>
      <w:r w:rsidRPr="005E5D33">
        <w:rPr>
          <w:rFonts w:ascii="Times New Roman" w:eastAsia="Times New Roman" w:hAnsi="Times New Roman" w:cs="Times New Roman"/>
          <w:color w:val="000000"/>
          <w:sz w:val="26"/>
          <w:szCs w:val="26"/>
          <w:lang w:eastAsia="ru-RU"/>
        </w:rPr>
        <w:t>Таблица 13</w:t>
      </w:r>
    </w:p>
    <w:p w14:paraId="1AB7E6B6" w14:textId="77777777" w:rsidR="00D03A4F" w:rsidRPr="005E5D33" w:rsidRDefault="00D03A4F" w:rsidP="00D03A4F">
      <w:pPr>
        <w:spacing w:after="0" w:line="240" w:lineRule="auto"/>
        <w:jc w:val="center"/>
        <w:rPr>
          <w:rFonts w:ascii="Times New Roman" w:eastAsia="Times New Roman" w:hAnsi="Times New Roman" w:cs="Times New Roman"/>
          <w:sz w:val="26"/>
          <w:szCs w:val="26"/>
          <w:lang w:eastAsia="ru-RU"/>
        </w:rPr>
      </w:pPr>
      <w:r w:rsidRPr="005E5D33">
        <w:rPr>
          <w:rFonts w:ascii="Times New Roman" w:eastAsia="Times New Roman" w:hAnsi="Times New Roman" w:cs="Times New Roman"/>
          <w:b/>
          <w:bCs/>
          <w:color w:val="000000"/>
          <w:sz w:val="26"/>
          <w:szCs w:val="26"/>
          <w:lang w:eastAsia="ru-RU"/>
        </w:rPr>
        <w:t>Смертность детей в возрасте 0-4 года</w:t>
      </w:r>
    </w:p>
    <w:tbl>
      <w:tblPr>
        <w:tblW w:w="10092" w:type="dxa"/>
        <w:jc w:val="center"/>
        <w:tblLayout w:type="fixed"/>
        <w:tblLook w:val="00A0" w:firstRow="1" w:lastRow="0" w:firstColumn="1" w:lastColumn="0" w:noHBand="0" w:noVBand="0"/>
      </w:tblPr>
      <w:tblGrid>
        <w:gridCol w:w="3364"/>
        <w:gridCol w:w="3364"/>
        <w:gridCol w:w="3364"/>
      </w:tblGrid>
      <w:tr w:rsidR="00D03A4F" w:rsidRPr="005E5D33" w14:paraId="3ABB4477" w14:textId="77777777" w:rsidTr="00944CB1">
        <w:trPr>
          <w:trHeight w:val="710"/>
          <w:jc w:val="center"/>
        </w:trPr>
        <w:tc>
          <w:tcPr>
            <w:tcW w:w="3364" w:type="dxa"/>
            <w:tcBorders>
              <w:top w:val="single" w:sz="4" w:space="0" w:color="auto"/>
              <w:left w:val="single" w:sz="4" w:space="0" w:color="auto"/>
              <w:bottom w:val="single" w:sz="4" w:space="0" w:color="auto"/>
              <w:right w:val="single" w:sz="4" w:space="0" w:color="auto"/>
            </w:tcBorders>
            <w:noWrap/>
            <w:vAlign w:val="center"/>
          </w:tcPr>
          <w:p w14:paraId="1C1A9A67" w14:textId="77777777" w:rsidR="00D03A4F" w:rsidRPr="005E5D33"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Год</w:t>
            </w:r>
          </w:p>
        </w:tc>
        <w:tc>
          <w:tcPr>
            <w:tcW w:w="3364" w:type="dxa"/>
            <w:tcBorders>
              <w:top w:val="single" w:sz="4" w:space="0" w:color="auto"/>
              <w:left w:val="nil"/>
              <w:bottom w:val="single" w:sz="4" w:space="0" w:color="auto"/>
              <w:right w:val="single" w:sz="4" w:space="0" w:color="auto"/>
            </w:tcBorders>
            <w:vAlign w:val="center"/>
          </w:tcPr>
          <w:p w14:paraId="43A2236E" w14:textId="77777777" w:rsidR="00D03A4F" w:rsidRPr="005E5D33"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Число умерших детей в возрасте до 5 лет</w:t>
            </w:r>
          </w:p>
        </w:tc>
        <w:tc>
          <w:tcPr>
            <w:tcW w:w="3364" w:type="dxa"/>
            <w:tcBorders>
              <w:top w:val="single" w:sz="4" w:space="0" w:color="auto"/>
              <w:left w:val="nil"/>
              <w:bottom w:val="single" w:sz="4" w:space="0" w:color="auto"/>
              <w:right w:val="single" w:sz="4" w:space="0" w:color="auto"/>
            </w:tcBorders>
            <w:vAlign w:val="center"/>
          </w:tcPr>
          <w:p w14:paraId="3E360DC6" w14:textId="77777777" w:rsidR="00D03A4F" w:rsidRPr="005E5D33"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Вероятность смерти от момента рождения до 5 лет</w:t>
            </w:r>
          </w:p>
        </w:tc>
      </w:tr>
      <w:tr w:rsidR="0013494A" w:rsidRPr="005E5D33" w14:paraId="1453C094" w14:textId="77777777" w:rsidTr="00944CB1">
        <w:trPr>
          <w:trHeight w:val="285"/>
          <w:jc w:val="center"/>
        </w:trPr>
        <w:tc>
          <w:tcPr>
            <w:tcW w:w="3364" w:type="dxa"/>
            <w:tcBorders>
              <w:top w:val="single" w:sz="4" w:space="0" w:color="auto"/>
              <w:left w:val="single" w:sz="4" w:space="0" w:color="auto"/>
              <w:bottom w:val="single" w:sz="4" w:space="0" w:color="auto"/>
              <w:right w:val="nil"/>
            </w:tcBorders>
            <w:noWrap/>
          </w:tcPr>
          <w:p w14:paraId="3D3E5369"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2019</w:t>
            </w:r>
          </w:p>
        </w:tc>
        <w:tc>
          <w:tcPr>
            <w:tcW w:w="3364" w:type="dxa"/>
            <w:tcBorders>
              <w:top w:val="single" w:sz="4" w:space="0" w:color="auto"/>
              <w:left w:val="single" w:sz="4" w:space="0" w:color="auto"/>
              <w:bottom w:val="single" w:sz="4" w:space="0" w:color="auto"/>
              <w:right w:val="single" w:sz="4" w:space="0" w:color="auto"/>
            </w:tcBorders>
            <w:noWrap/>
            <w:vAlign w:val="center"/>
          </w:tcPr>
          <w:p w14:paraId="1B12B63E"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9 383</w:t>
            </w:r>
          </w:p>
        </w:tc>
        <w:tc>
          <w:tcPr>
            <w:tcW w:w="3364" w:type="dxa"/>
            <w:tcBorders>
              <w:top w:val="single" w:sz="4" w:space="0" w:color="auto"/>
              <w:left w:val="nil"/>
              <w:bottom w:val="single" w:sz="4" w:space="0" w:color="auto"/>
              <w:right w:val="single" w:sz="4" w:space="0" w:color="auto"/>
            </w:tcBorders>
            <w:noWrap/>
            <w:vAlign w:val="bottom"/>
          </w:tcPr>
          <w:p w14:paraId="37E62CDC"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sz w:val="24"/>
                <w:szCs w:val="24"/>
                <w:lang w:eastAsia="ru-RU"/>
              </w:rPr>
              <w:t>6,0</w:t>
            </w:r>
          </w:p>
        </w:tc>
      </w:tr>
      <w:tr w:rsidR="0013494A" w:rsidRPr="005E5D33" w14:paraId="43D78ED3" w14:textId="77777777" w:rsidTr="00944CB1">
        <w:trPr>
          <w:trHeight w:val="285"/>
          <w:jc w:val="center"/>
        </w:trPr>
        <w:tc>
          <w:tcPr>
            <w:tcW w:w="3364" w:type="dxa"/>
            <w:tcBorders>
              <w:top w:val="single" w:sz="4" w:space="0" w:color="auto"/>
              <w:left w:val="single" w:sz="4" w:space="0" w:color="auto"/>
              <w:bottom w:val="single" w:sz="4" w:space="0" w:color="auto"/>
              <w:right w:val="nil"/>
            </w:tcBorders>
            <w:noWrap/>
          </w:tcPr>
          <w:p w14:paraId="6C0F9A45"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2020</w:t>
            </w:r>
          </w:p>
        </w:tc>
        <w:tc>
          <w:tcPr>
            <w:tcW w:w="3364" w:type="dxa"/>
            <w:tcBorders>
              <w:top w:val="single" w:sz="4" w:space="0" w:color="auto"/>
              <w:left w:val="single" w:sz="4" w:space="0" w:color="auto"/>
              <w:bottom w:val="single" w:sz="4" w:space="0" w:color="auto"/>
              <w:right w:val="single" w:sz="4" w:space="0" w:color="auto"/>
            </w:tcBorders>
            <w:noWrap/>
            <w:vAlign w:val="center"/>
          </w:tcPr>
          <w:p w14:paraId="2D9E4539"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8 248</w:t>
            </w:r>
          </w:p>
        </w:tc>
        <w:tc>
          <w:tcPr>
            <w:tcW w:w="3364" w:type="dxa"/>
            <w:tcBorders>
              <w:top w:val="single" w:sz="4" w:space="0" w:color="auto"/>
              <w:left w:val="nil"/>
              <w:bottom w:val="single" w:sz="4" w:space="0" w:color="auto"/>
              <w:right w:val="single" w:sz="4" w:space="0" w:color="auto"/>
            </w:tcBorders>
            <w:noWrap/>
            <w:vAlign w:val="bottom"/>
          </w:tcPr>
          <w:p w14:paraId="2BD274CC"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5,5</w:t>
            </w:r>
          </w:p>
        </w:tc>
      </w:tr>
      <w:tr w:rsidR="0013494A" w:rsidRPr="00BD5A90" w14:paraId="1AAEFAA1" w14:textId="77777777" w:rsidTr="00944CB1">
        <w:trPr>
          <w:trHeight w:val="285"/>
          <w:jc w:val="center"/>
        </w:trPr>
        <w:tc>
          <w:tcPr>
            <w:tcW w:w="3364" w:type="dxa"/>
            <w:tcBorders>
              <w:top w:val="single" w:sz="4" w:space="0" w:color="auto"/>
              <w:left w:val="single" w:sz="4" w:space="0" w:color="auto"/>
              <w:bottom w:val="single" w:sz="4" w:space="0" w:color="auto"/>
              <w:right w:val="nil"/>
            </w:tcBorders>
            <w:noWrap/>
          </w:tcPr>
          <w:p w14:paraId="3F8F10E4" w14:textId="77777777" w:rsidR="0013494A" w:rsidRPr="005E5D33" w:rsidRDefault="0013494A" w:rsidP="00D03A4F">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p>
        </w:tc>
        <w:tc>
          <w:tcPr>
            <w:tcW w:w="3364" w:type="dxa"/>
            <w:tcBorders>
              <w:top w:val="nil"/>
              <w:left w:val="single" w:sz="4" w:space="0" w:color="auto"/>
              <w:bottom w:val="single" w:sz="4" w:space="0" w:color="auto"/>
              <w:right w:val="single" w:sz="4" w:space="0" w:color="auto"/>
            </w:tcBorders>
            <w:shd w:val="clear" w:color="auto" w:fill="auto"/>
            <w:noWrap/>
            <w:vAlign w:val="center"/>
          </w:tcPr>
          <w:p w14:paraId="6E87C54E" w14:textId="77777777" w:rsidR="0013494A" w:rsidRPr="005E5D33" w:rsidRDefault="005E2FDC" w:rsidP="00D03A4F">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8 401</w:t>
            </w:r>
          </w:p>
        </w:tc>
        <w:tc>
          <w:tcPr>
            <w:tcW w:w="3364" w:type="dxa"/>
            <w:tcBorders>
              <w:top w:val="nil"/>
              <w:left w:val="nil"/>
              <w:bottom w:val="single" w:sz="4" w:space="0" w:color="auto"/>
              <w:right w:val="single" w:sz="4" w:space="0" w:color="auto"/>
            </w:tcBorders>
            <w:shd w:val="clear" w:color="auto" w:fill="auto"/>
            <w:vAlign w:val="bottom"/>
          </w:tcPr>
          <w:p w14:paraId="69A9304D" w14:textId="77777777" w:rsidR="0013494A" w:rsidRPr="005E5D33" w:rsidRDefault="005E2FDC" w:rsidP="00D03A4F">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w:t>
            </w:r>
          </w:p>
        </w:tc>
      </w:tr>
    </w:tbl>
    <w:p w14:paraId="45D1A13E" w14:textId="77777777" w:rsidR="00D03A4F" w:rsidRPr="00BD5A90" w:rsidRDefault="00D03A4F" w:rsidP="00D03A4F">
      <w:pPr>
        <w:spacing w:after="0" w:line="240" w:lineRule="auto"/>
        <w:jc w:val="right"/>
        <w:rPr>
          <w:rFonts w:ascii="Times New Roman" w:eastAsia="Times New Roman" w:hAnsi="Times New Roman" w:cs="Times New Roman"/>
          <w:color w:val="000000"/>
          <w:sz w:val="26"/>
          <w:szCs w:val="26"/>
          <w:highlight w:val="yellow"/>
          <w:lang w:eastAsia="ru-RU"/>
        </w:rPr>
      </w:pPr>
    </w:p>
    <w:p w14:paraId="1623AE8D" w14:textId="77777777" w:rsidR="00D03A4F" w:rsidRPr="00BD5A90" w:rsidRDefault="00D03A4F" w:rsidP="00D03A4F">
      <w:pPr>
        <w:spacing w:after="0" w:line="240" w:lineRule="auto"/>
        <w:jc w:val="right"/>
        <w:rPr>
          <w:rFonts w:ascii="Times New Roman" w:eastAsia="Times New Roman" w:hAnsi="Times New Roman" w:cs="Times New Roman"/>
          <w:color w:val="000000"/>
          <w:sz w:val="26"/>
          <w:szCs w:val="26"/>
          <w:highlight w:val="yellow"/>
          <w:lang w:eastAsia="ru-RU"/>
        </w:rPr>
      </w:pPr>
    </w:p>
    <w:p w14:paraId="71EC27B1" w14:textId="77777777" w:rsidR="00D03A4F" w:rsidRPr="005E5D33" w:rsidRDefault="00D03A4F" w:rsidP="00D03A4F">
      <w:pPr>
        <w:spacing w:after="0" w:line="312" w:lineRule="auto"/>
        <w:jc w:val="right"/>
        <w:rPr>
          <w:rFonts w:ascii="Times New Roman" w:eastAsia="Times New Roman" w:hAnsi="Times New Roman" w:cs="Times New Roman"/>
          <w:color w:val="000000"/>
          <w:sz w:val="26"/>
          <w:szCs w:val="26"/>
          <w:lang w:eastAsia="ru-RU"/>
        </w:rPr>
      </w:pPr>
      <w:r w:rsidRPr="005E5D33">
        <w:rPr>
          <w:rFonts w:ascii="Times New Roman" w:eastAsia="Times New Roman" w:hAnsi="Times New Roman" w:cs="Times New Roman"/>
          <w:color w:val="000000"/>
          <w:sz w:val="26"/>
          <w:szCs w:val="26"/>
          <w:lang w:eastAsia="ru-RU"/>
        </w:rPr>
        <w:t>Таблица 14</w:t>
      </w:r>
    </w:p>
    <w:p w14:paraId="0BBBB4A7" w14:textId="77777777" w:rsidR="00D03A4F" w:rsidRPr="005E5D33" w:rsidRDefault="00D03A4F" w:rsidP="00D03A4F">
      <w:pPr>
        <w:spacing w:after="0" w:line="240" w:lineRule="auto"/>
        <w:jc w:val="center"/>
        <w:rPr>
          <w:rFonts w:ascii="Times New Roman" w:eastAsia="Times New Roman" w:hAnsi="Times New Roman" w:cs="Times New Roman"/>
          <w:sz w:val="26"/>
          <w:szCs w:val="26"/>
          <w:lang w:eastAsia="ru-RU"/>
        </w:rPr>
      </w:pPr>
      <w:r w:rsidRPr="005E5D33">
        <w:rPr>
          <w:rFonts w:ascii="Times New Roman" w:eastAsia="Times New Roman" w:hAnsi="Times New Roman" w:cs="Times New Roman"/>
          <w:b/>
          <w:bCs/>
          <w:color w:val="000000"/>
          <w:sz w:val="26"/>
          <w:szCs w:val="26"/>
          <w:lang w:eastAsia="ru-RU"/>
        </w:rPr>
        <w:t>Число умерших детей в возрасте 0-14 лет по отдельным классам причин смерти</w:t>
      </w:r>
    </w:p>
    <w:p w14:paraId="3B0E2E2E" w14:textId="77777777" w:rsidR="00D03A4F" w:rsidRPr="005E5D33"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(человек)</w:t>
      </w:r>
    </w:p>
    <w:p w14:paraId="2A0E6770" w14:textId="77777777" w:rsidR="00D03A4F" w:rsidRPr="005E5D33" w:rsidRDefault="00D03A4F" w:rsidP="00D03A4F">
      <w:pPr>
        <w:spacing w:after="0" w:line="240" w:lineRule="auto"/>
        <w:ind w:right="282"/>
        <w:jc w:val="center"/>
        <w:rPr>
          <w:rFonts w:ascii="Times New Roman" w:eastAsia="Times New Roman" w:hAnsi="Times New Roman" w:cs="Times New Roman"/>
          <w:sz w:val="24"/>
          <w:szCs w:val="24"/>
          <w:lang w:eastAsia="ru-RU"/>
        </w:rPr>
      </w:pPr>
    </w:p>
    <w:tbl>
      <w:tblPr>
        <w:tblW w:w="10206" w:type="dxa"/>
        <w:tblInd w:w="108" w:type="dxa"/>
        <w:tblLayout w:type="fixed"/>
        <w:tblLook w:val="00A0" w:firstRow="1" w:lastRow="0" w:firstColumn="1" w:lastColumn="0" w:noHBand="0" w:noVBand="0"/>
      </w:tblPr>
      <w:tblGrid>
        <w:gridCol w:w="5529"/>
        <w:gridCol w:w="1559"/>
        <w:gridCol w:w="1559"/>
        <w:gridCol w:w="1559"/>
      </w:tblGrid>
      <w:tr w:rsidR="0013494A" w:rsidRPr="005E5D33" w14:paraId="7143AAE9" w14:textId="77777777" w:rsidTr="00B72A4C">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14:paraId="05A30D88" w14:textId="77777777" w:rsidR="0013494A" w:rsidRPr="005E5D33" w:rsidRDefault="0013494A" w:rsidP="00D03A4F">
            <w:pPr>
              <w:spacing w:before="60" w:after="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 </w:t>
            </w:r>
          </w:p>
        </w:tc>
        <w:tc>
          <w:tcPr>
            <w:tcW w:w="1559" w:type="dxa"/>
            <w:tcBorders>
              <w:top w:val="single" w:sz="4" w:space="0" w:color="auto"/>
              <w:left w:val="nil"/>
              <w:bottom w:val="single" w:sz="4" w:space="0" w:color="auto"/>
              <w:right w:val="single" w:sz="4" w:space="0" w:color="auto"/>
            </w:tcBorders>
            <w:vAlign w:val="center"/>
          </w:tcPr>
          <w:p w14:paraId="5B4AC5B7"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2019 г.</w:t>
            </w:r>
          </w:p>
        </w:tc>
        <w:tc>
          <w:tcPr>
            <w:tcW w:w="1559" w:type="dxa"/>
            <w:tcBorders>
              <w:top w:val="single" w:sz="4" w:space="0" w:color="auto"/>
              <w:left w:val="single" w:sz="4" w:space="0" w:color="auto"/>
              <w:bottom w:val="single" w:sz="4" w:space="0" w:color="auto"/>
              <w:right w:val="single" w:sz="4" w:space="0" w:color="auto"/>
            </w:tcBorders>
            <w:vAlign w:val="center"/>
          </w:tcPr>
          <w:p w14:paraId="5E8FD6DE"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2020 г.</w:t>
            </w:r>
          </w:p>
        </w:tc>
        <w:tc>
          <w:tcPr>
            <w:tcW w:w="1559" w:type="dxa"/>
            <w:tcBorders>
              <w:top w:val="single" w:sz="4" w:space="0" w:color="auto"/>
              <w:left w:val="single" w:sz="4" w:space="0" w:color="auto"/>
              <w:bottom w:val="single" w:sz="4" w:space="0" w:color="auto"/>
              <w:right w:val="single" w:sz="4" w:space="0" w:color="auto"/>
            </w:tcBorders>
            <w:vAlign w:val="center"/>
          </w:tcPr>
          <w:p w14:paraId="4F32F73C" w14:textId="77777777" w:rsidR="0013494A" w:rsidRPr="005E5D33" w:rsidRDefault="0013494A" w:rsidP="009018E0">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 г.</w:t>
            </w:r>
          </w:p>
        </w:tc>
      </w:tr>
      <w:tr w:rsidR="0013494A" w:rsidRPr="005E5D33" w14:paraId="0E69B801" w14:textId="77777777" w:rsidTr="00D81182">
        <w:trPr>
          <w:trHeight w:val="519"/>
        </w:trPr>
        <w:tc>
          <w:tcPr>
            <w:tcW w:w="5529" w:type="dxa"/>
            <w:tcBorders>
              <w:top w:val="single" w:sz="4" w:space="0" w:color="auto"/>
              <w:left w:val="single" w:sz="4" w:space="0" w:color="auto"/>
              <w:bottom w:val="single" w:sz="4" w:space="0" w:color="auto"/>
              <w:right w:val="single" w:sz="4" w:space="0" w:color="auto"/>
            </w:tcBorders>
            <w:vAlign w:val="bottom"/>
          </w:tcPr>
          <w:p w14:paraId="4C009EFC" w14:textId="77777777" w:rsidR="0013494A" w:rsidRPr="005E5D33" w:rsidRDefault="0013494A"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Всего умерших в возрасте 0-14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bottom"/>
          </w:tcPr>
          <w:p w14:paraId="4EE00A94"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12 617</w:t>
            </w:r>
          </w:p>
        </w:tc>
        <w:tc>
          <w:tcPr>
            <w:tcW w:w="1559" w:type="dxa"/>
            <w:tcBorders>
              <w:top w:val="single" w:sz="4" w:space="0" w:color="auto"/>
              <w:left w:val="single" w:sz="4" w:space="0" w:color="auto"/>
              <w:bottom w:val="single" w:sz="4" w:space="0" w:color="auto"/>
              <w:right w:val="single" w:sz="4" w:space="0" w:color="auto"/>
            </w:tcBorders>
            <w:vAlign w:val="bottom"/>
          </w:tcPr>
          <w:p w14:paraId="0402B23A"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11 543</w:t>
            </w:r>
          </w:p>
        </w:tc>
        <w:tc>
          <w:tcPr>
            <w:tcW w:w="1559" w:type="dxa"/>
            <w:tcBorders>
              <w:top w:val="single" w:sz="4" w:space="0" w:color="auto"/>
              <w:left w:val="single" w:sz="4" w:space="0" w:color="auto"/>
              <w:bottom w:val="single" w:sz="4" w:space="0" w:color="auto"/>
              <w:right w:val="single" w:sz="4" w:space="0" w:color="auto"/>
            </w:tcBorders>
            <w:vAlign w:val="bottom"/>
          </w:tcPr>
          <w:p w14:paraId="767C021B" w14:textId="77777777" w:rsidR="0013494A" w:rsidRPr="005E5D33" w:rsidRDefault="0013494A" w:rsidP="009018E0">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12 053</w:t>
            </w:r>
          </w:p>
        </w:tc>
      </w:tr>
      <w:tr w:rsidR="0013494A" w:rsidRPr="005E5D33" w14:paraId="590C7A26" w14:textId="77777777" w:rsidTr="00D81182">
        <w:trPr>
          <w:trHeight w:val="290"/>
        </w:trPr>
        <w:tc>
          <w:tcPr>
            <w:tcW w:w="5529" w:type="dxa"/>
            <w:tcBorders>
              <w:top w:val="single" w:sz="4" w:space="0" w:color="auto"/>
              <w:left w:val="single" w:sz="4" w:space="0" w:color="auto"/>
              <w:right w:val="single" w:sz="4" w:space="0" w:color="auto"/>
            </w:tcBorders>
            <w:noWrap/>
            <w:vAlign w:val="center"/>
          </w:tcPr>
          <w:p w14:paraId="08C4AAF3" w14:textId="77777777" w:rsidR="0013494A" w:rsidRPr="005E5D33" w:rsidRDefault="0013494A" w:rsidP="00D03A4F">
            <w:pPr>
              <w:spacing w:before="60" w:after="60" w:line="240" w:lineRule="auto"/>
              <w:ind w:firstLine="170"/>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 том числе от:</w:t>
            </w:r>
          </w:p>
        </w:tc>
        <w:tc>
          <w:tcPr>
            <w:tcW w:w="1559" w:type="dxa"/>
            <w:tcBorders>
              <w:top w:val="single" w:sz="4" w:space="0" w:color="auto"/>
              <w:left w:val="single" w:sz="4" w:space="0" w:color="auto"/>
              <w:right w:val="single" w:sz="4" w:space="0" w:color="auto"/>
            </w:tcBorders>
            <w:vAlign w:val="bottom"/>
          </w:tcPr>
          <w:p w14:paraId="7BDEE2AC"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right w:val="single" w:sz="4" w:space="0" w:color="auto"/>
            </w:tcBorders>
            <w:vAlign w:val="bottom"/>
          </w:tcPr>
          <w:p w14:paraId="30AADBBE"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right w:val="single" w:sz="4" w:space="0" w:color="auto"/>
            </w:tcBorders>
            <w:vAlign w:val="bottom"/>
          </w:tcPr>
          <w:p w14:paraId="25BCDA39" w14:textId="77777777" w:rsidR="0013494A" w:rsidRPr="005E5D33" w:rsidRDefault="0013494A" w:rsidP="009018E0">
            <w:pPr>
              <w:spacing w:before="60" w:after="0" w:line="240" w:lineRule="auto"/>
              <w:jc w:val="center"/>
              <w:rPr>
                <w:rFonts w:ascii="Times New Roman" w:eastAsia="Times New Roman" w:hAnsi="Times New Roman" w:cs="Times New Roman"/>
                <w:color w:val="000000"/>
                <w:sz w:val="24"/>
                <w:szCs w:val="24"/>
                <w:lang w:eastAsia="ru-RU"/>
              </w:rPr>
            </w:pPr>
          </w:p>
        </w:tc>
      </w:tr>
      <w:tr w:rsidR="0013494A" w:rsidRPr="005E5D33" w14:paraId="3C551713" w14:textId="77777777" w:rsidTr="0013494A">
        <w:trPr>
          <w:trHeight w:val="344"/>
        </w:trPr>
        <w:tc>
          <w:tcPr>
            <w:tcW w:w="5529" w:type="dxa"/>
            <w:tcBorders>
              <w:top w:val="nil"/>
              <w:left w:val="single" w:sz="4" w:space="0" w:color="auto"/>
              <w:bottom w:val="single" w:sz="4" w:space="0" w:color="auto"/>
              <w:right w:val="single" w:sz="4" w:space="0" w:color="auto"/>
            </w:tcBorders>
          </w:tcPr>
          <w:p w14:paraId="4EB6DB8C" w14:textId="77777777" w:rsidR="0013494A" w:rsidRPr="005E5D33" w:rsidRDefault="0013494A"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tcPr>
          <w:p w14:paraId="5811583C"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508</w:t>
            </w:r>
          </w:p>
        </w:tc>
        <w:tc>
          <w:tcPr>
            <w:tcW w:w="1559" w:type="dxa"/>
            <w:tcBorders>
              <w:top w:val="nil"/>
              <w:left w:val="single" w:sz="4" w:space="0" w:color="auto"/>
              <w:bottom w:val="single" w:sz="4" w:space="0" w:color="auto"/>
              <w:right w:val="single" w:sz="4" w:space="0" w:color="auto"/>
            </w:tcBorders>
          </w:tcPr>
          <w:p w14:paraId="2C72CF7D"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398</w:t>
            </w:r>
          </w:p>
        </w:tc>
        <w:tc>
          <w:tcPr>
            <w:tcW w:w="1559" w:type="dxa"/>
            <w:tcBorders>
              <w:top w:val="nil"/>
              <w:left w:val="single" w:sz="4" w:space="0" w:color="auto"/>
              <w:bottom w:val="single" w:sz="4" w:space="0" w:color="auto"/>
              <w:right w:val="single" w:sz="4" w:space="0" w:color="auto"/>
            </w:tcBorders>
          </w:tcPr>
          <w:p w14:paraId="4B8EB225" w14:textId="77777777" w:rsidR="0013494A" w:rsidRPr="005E5D33" w:rsidRDefault="0013494A" w:rsidP="009018E0">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425</w:t>
            </w:r>
          </w:p>
        </w:tc>
      </w:tr>
      <w:tr w:rsidR="0013494A" w:rsidRPr="005E5D33" w14:paraId="43CF28EE" w14:textId="77777777" w:rsidTr="0013494A">
        <w:trPr>
          <w:trHeight w:val="290"/>
        </w:trPr>
        <w:tc>
          <w:tcPr>
            <w:tcW w:w="5529" w:type="dxa"/>
            <w:tcBorders>
              <w:top w:val="single" w:sz="4" w:space="0" w:color="auto"/>
              <w:left w:val="single" w:sz="4" w:space="0" w:color="auto"/>
              <w:bottom w:val="single" w:sz="4" w:space="0" w:color="auto"/>
              <w:right w:val="single" w:sz="4" w:space="0" w:color="auto"/>
            </w:tcBorders>
          </w:tcPr>
          <w:p w14:paraId="27630161" w14:textId="77777777" w:rsidR="0013494A" w:rsidRPr="005E5D33" w:rsidRDefault="0013494A"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новообразований</w:t>
            </w:r>
          </w:p>
        </w:tc>
        <w:tc>
          <w:tcPr>
            <w:tcW w:w="1559" w:type="dxa"/>
            <w:tcBorders>
              <w:top w:val="single" w:sz="4" w:space="0" w:color="auto"/>
              <w:left w:val="single" w:sz="4" w:space="0" w:color="auto"/>
              <w:bottom w:val="single" w:sz="4" w:space="0" w:color="auto"/>
              <w:right w:val="single" w:sz="4" w:space="0" w:color="auto"/>
            </w:tcBorders>
          </w:tcPr>
          <w:p w14:paraId="1C38B909"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747</w:t>
            </w:r>
          </w:p>
        </w:tc>
        <w:tc>
          <w:tcPr>
            <w:tcW w:w="1559" w:type="dxa"/>
            <w:tcBorders>
              <w:top w:val="single" w:sz="4" w:space="0" w:color="auto"/>
              <w:left w:val="single" w:sz="4" w:space="0" w:color="auto"/>
              <w:bottom w:val="single" w:sz="4" w:space="0" w:color="auto"/>
              <w:right w:val="single" w:sz="4" w:space="0" w:color="auto"/>
            </w:tcBorders>
          </w:tcPr>
          <w:p w14:paraId="471F5D18"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732</w:t>
            </w:r>
          </w:p>
        </w:tc>
        <w:tc>
          <w:tcPr>
            <w:tcW w:w="1559" w:type="dxa"/>
            <w:tcBorders>
              <w:top w:val="single" w:sz="4" w:space="0" w:color="auto"/>
              <w:left w:val="single" w:sz="4" w:space="0" w:color="auto"/>
              <w:bottom w:val="single" w:sz="4" w:space="0" w:color="auto"/>
              <w:right w:val="single" w:sz="4" w:space="0" w:color="auto"/>
            </w:tcBorders>
          </w:tcPr>
          <w:p w14:paraId="19433EDB" w14:textId="77777777" w:rsidR="0013494A" w:rsidRPr="005E5D33" w:rsidRDefault="0013494A" w:rsidP="009018E0">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785</w:t>
            </w:r>
          </w:p>
        </w:tc>
      </w:tr>
      <w:tr w:rsidR="0013494A" w:rsidRPr="005E5D33" w14:paraId="50A41001" w14:textId="77777777" w:rsidTr="0013494A">
        <w:trPr>
          <w:trHeight w:val="290"/>
        </w:trPr>
        <w:tc>
          <w:tcPr>
            <w:tcW w:w="5529" w:type="dxa"/>
            <w:tcBorders>
              <w:top w:val="single" w:sz="4" w:space="0" w:color="auto"/>
              <w:left w:val="single" w:sz="4" w:space="0" w:color="auto"/>
              <w:bottom w:val="single" w:sz="4" w:space="0" w:color="auto"/>
              <w:right w:val="single" w:sz="4" w:space="0" w:color="auto"/>
            </w:tcBorders>
          </w:tcPr>
          <w:p w14:paraId="7D621656" w14:textId="77777777" w:rsidR="0013494A" w:rsidRPr="005E5D33" w:rsidRDefault="0013494A"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tcPr>
          <w:p w14:paraId="36FFE651"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641</w:t>
            </w:r>
          </w:p>
        </w:tc>
        <w:tc>
          <w:tcPr>
            <w:tcW w:w="1559" w:type="dxa"/>
            <w:tcBorders>
              <w:top w:val="single" w:sz="4" w:space="0" w:color="auto"/>
              <w:left w:val="single" w:sz="4" w:space="0" w:color="auto"/>
              <w:bottom w:val="single" w:sz="4" w:space="0" w:color="auto"/>
              <w:right w:val="single" w:sz="4" w:space="0" w:color="auto"/>
            </w:tcBorders>
          </w:tcPr>
          <w:p w14:paraId="12337BAF"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515</w:t>
            </w:r>
          </w:p>
        </w:tc>
        <w:tc>
          <w:tcPr>
            <w:tcW w:w="1559" w:type="dxa"/>
            <w:tcBorders>
              <w:top w:val="single" w:sz="4" w:space="0" w:color="auto"/>
              <w:left w:val="single" w:sz="4" w:space="0" w:color="auto"/>
              <w:bottom w:val="single" w:sz="4" w:space="0" w:color="auto"/>
              <w:right w:val="single" w:sz="4" w:space="0" w:color="auto"/>
            </w:tcBorders>
          </w:tcPr>
          <w:p w14:paraId="5C1C9C46" w14:textId="77777777" w:rsidR="0013494A" w:rsidRPr="005E5D33" w:rsidRDefault="0013494A" w:rsidP="009018E0">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616</w:t>
            </w:r>
          </w:p>
        </w:tc>
      </w:tr>
      <w:tr w:rsidR="0013494A" w:rsidRPr="005E5D33" w14:paraId="496815FA" w14:textId="77777777" w:rsidTr="0013494A">
        <w:trPr>
          <w:trHeight w:val="290"/>
        </w:trPr>
        <w:tc>
          <w:tcPr>
            <w:tcW w:w="5529" w:type="dxa"/>
            <w:tcBorders>
              <w:top w:val="single" w:sz="4" w:space="0" w:color="auto"/>
              <w:left w:val="single" w:sz="4" w:space="0" w:color="auto"/>
              <w:bottom w:val="single" w:sz="4" w:space="0" w:color="auto"/>
              <w:right w:val="single" w:sz="4" w:space="0" w:color="auto"/>
            </w:tcBorders>
          </w:tcPr>
          <w:p w14:paraId="4106E9C1" w14:textId="77777777" w:rsidR="0013494A" w:rsidRPr="005E5D33" w:rsidRDefault="0013494A"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tcPr>
          <w:p w14:paraId="41426076"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99</w:t>
            </w:r>
          </w:p>
        </w:tc>
        <w:tc>
          <w:tcPr>
            <w:tcW w:w="1559" w:type="dxa"/>
            <w:tcBorders>
              <w:top w:val="single" w:sz="4" w:space="0" w:color="auto"/>
              <w:left w:val="single" w:sz="4" w:space="0" w:color="auto"/>
              <w:bottom w:val="single" w:sz="4" w:space="0" w:color="auto"/>
              <w:right w:val="single" w:sz="4" w:space="0" w:color="auto"/>
            </w:tcBorders>
          </w:tcPr>
          <w:p w14:paraId="2A7B766B"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124</w:t>
            </w:r>
          </w:p>
        </w:tc>
        <w:tc>
          <w:tcPr>
            <w:tcW w:w="1559" w:type="dxa"/>
            <w:tcBorders>
              <w:top w:val="single" w:sz="4" w:space="0" w:color="auto"/>
              <w:left w:val="single" w:sz="4" w:space="0" w:color="auto"/>
              <w:bottom w:val="single" w:sz="4" w:space="0" w:color="auto"/>
              <w:right w:val="single" w:sz="4" w:space="0" w:color="auto"/>
            </w:tcBorders>
          </w:tcPr>
          <w:p w14:paraId="5D7AC1C2" w14:textId="77777777" w:rsidR="0013494A" w:rsidRPr="005E5D33" w:rsidRDefault="0013494A" w:rsidP="009018E0">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116</w:t>
            </w:r>
          </w:p>
        </w:tc>
      </w:tr>
      <w:tr w:rsidR="0013494A" w:rsidRPr="005E5D33" w14:paraId="02559B43" w14:textId="77777777" w:rsidTr="00D81182">
        <w:trPr>
          <w:trHeight w:val="519"/>
        </w:trPr>
        <w:tc>
          <w:tcPr>
            <w:tcW w:w="5529" w:type="dxa"/>
            <w:tcBorders>
              <w:top w:val="single" w:sz="4" w:space="0" w:color="auto"/>
              <w:left w:val="single" w:sz="4" w:space="0" w:color="auto"/>
              <w:bottom w:val="single" w:sz="4" w:space="0" w:color="auto"/>
              <w:right w:val="single" w:sz="4" w:space="0" w:color="auto"/>
            </w:tcBorders>
          </w:tcPr>
          <w:p w14:paraId="3920043E" w14:textId="77777777" w:rsidR="0013494A" w:rsidRPr="005E5D33" w:rsidRDefault="0013494A"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врожденных аномалий (пороков развития),</w:t>
            </w:r>
          </w:p>
          <w:p w14:paraId="1C4F91FF" w14:textId="77777777" w:rsidR="0013494A" w:rsidRPr="005E5D33" w:rsidRDefault="0013494A"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14:paraId="33A0A473"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1 976</w:t>
            </w:r>
          </w:p>
        </w:tc>
        <w:tc>
          <w:tcPr>
            <w:tcW w:w="1559" w:type="dxa"/>
            <w:tcBorders>
              <w:top w:val="single" w:sz="4" w:space="0" w:color="auto"/>
              <w:left w:val="single" w:sz="4" w:space="0" w:color="auto"/>
              <w:bottom w:val="single" w:sz="4" w:space="0" w:color="auto"/>
              <w:right w:val="single" w:sz="4" w:space="0" w:color="auto"/>
            </w:tcBorders>
            <w:vAlign w:val="center"/>
          </w:tcPr>
          <w:p w14:paraId="34D1AE30"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1 758</w:t>
            </w:r>
          </w:p>
        </w:tc>
        <w:tc>
          <w:tcPr>
            <w:tcW w:w="1559" w:type="dxa"/>
            <w:tcBorders>
              <w:top w:val="single" w:sz="4" w:space="0" w:color="auto"/>
              <w:left w:val="single" w:sz="4" w:space="0" w:color="auto"/>
              <w:bottom w:val="single" w:sz="4" w:space="0" w:color="auto"/>
              <w:right w:val="single" w:sz="4" w:space="0" w:color="auto"/>
            </w:tcBorders>
            <w:vAlign w:val="center"/>
          </w:tcPr>
          <w:p w14:paraId="6B143C2E" w14:textId="77777777" w:rsidR="0013494A" w:rsidRPr="005E5D33" w:rsidRDefault="0013494A" w:rsidP="009018E0">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1 772</w:t>
            </w:r>
          </w:p>
        </w:tc>
      </w:tr>
      <w:tr w:rsidR="0013494A" w:rsidRPr="005E5D33" w14:paraId="2DE9CFDA" w14:textId="77777777" w:rsidTr="0013494A">
        <w:trPr>
          <w:trHeight w:val="290"/>
        </w:trPr>
        <w:tc>
          <w:tcPr>
            <w:tcW w:w="5529" w:type="dxa"/>
            <w:tcBorders>
              <w:top w:val="single" w:sz="4" w:space="0" w:color="auto"/>
              <w:left w:val="single" w:sz="4" w:space="0" w:color="auto"/>
              <w:bottom w:val="single" w:sz="4" w:space="0" w:color="auto"/>
              <w:right w:val="single" w:sz="4" w:space="0" w:color="auto"/>
            </w:tcBorders>
          </w:tcPr>
          <w:p w14:paraId="29321835" w14:textId="77777777" w:rsidR="0013494A" w:rsidRPr="005E5D33" w:rsidRDefault="0013494A"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tcPr>
          <w:p w14:paraId="01D76BF2"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1 066</w:t>
            </w:r>
          </w:p>
        </w:tc>
        <w:tc>
          <w:tcPr>
            <w:tcW w:w="1559" w:type="dxa"/>
            <w:tcBorders>
              <w:top w:val="single" w:sz="4" w:space="0" w:color="auto"/>
              <w:left w:val="single" w:sz="4" w:space="0" w:color="auto"/>
              <w:bottom w:val="single" w:sz="4" w:space="0" w:color="auto"/>
              <w:right w:val="single" w:sz="4" w:space="0" w:color="auto"/>
            </w:tcBorders>
          </w:tcPr>
          <w:p w14:paraId="4054E05B"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998</w:t>
            </w:r>
          </w:p>
        </w:tc>
        <w:tc>
          <w:tcPr>
            <w:tcW w:w="1559" w:type="dxa"/>
            <w:tcBorders>
              <w:top w:val="single" w:sz="4" w:space="0" w:color="auto"/>
              <w:left w:val="single" w:sz="4" w:space="0" w:color="auto"/>
              <w:bottom w:val="single" w:sz="4" w:space="0" w:color="auto"/>
              <w:right w:val="single" w:sz="4" w:space="0" w:color="auto"/>
            </w:tcBorders>
          </w:tcPr>
          <w:p w14:paraId="132FDACE" w14:textId="77777777" w:rsidR="0013494A" w:rsidRPr="005E5D33" w:rsidRDefault="0013494A" w:rsidP="009018E0">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1 017</w:t>
            </w:r>
          </w:p>
        </w:tc>
      </w:tr>
      <w:tr w:rsidR="0013494A" w:rsidRPr="005E5D33" w14:paraId="451C1C8D" w14:textId="77777777" w:rsidTr="00D81182">
        <w:trPr>
          <w:trHeight w:val="290"/>
        </w:trPr>
        <w:tc>
          <w:tcPr>
            <w:tcW w:w="5529" w:type="dxa"/>
            <w:tcBorders>
              <w:top w:val="single" w:sz="4" w:space="0" w:color="auto"/>
              <w:left w:val="single" w:sz="4" w:space="0" w:color="auto"/>
              <w:bottom w:val="single" w:sz="4" w:space="0" w:color="auto"/>
              <w:right w:val="single" w:sz="4" w:space="0" w:color="auto"/>
            </w:tcBorders>
          </w:tcPr>
          <w:p w14:paraId="7DD7AED1" w14:textId="77777777" w:rsidR="0013494A" w:rsidRPr="005E5D33" w:rsidRDefault="0013494A"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vAlign w:val="center"/>
          </w:tcPr>
          <w:p w14:paraId="565A72D9" w14:textId="77777777" w:rsidR="0013494A" w:rsidRPr="005E5D33" w:rsidRDefault="0013494A" w:rsidP="00D81182">
            <w:pPr>
              <w:spacing w:after="0" w:line="240" w:lineRule="auto"/>
              <w:jc w:val="center"/>
              <w:rPr>
                <w:rFonts w:ascii="Times New Roman" w:eastAsia="Times New Roman" w:hAnsi="Times New Roman" w:cs="Times New Roman"/>
                <w:sz w:val="24"/>
                <w:szCs w:val="24"/>
                <w:lang w:eastAsia="ru-RU"/>
              </w:rPr>
            </w:pPr>
            <w:r w:rsidRPr="005E5D33">
              <w:rPr>
                <w:rFonts w:ascii="Times New Roman" w:eastAsia="Times New Roman" w:hAnsi="Times New Roman" w:cs="Times New Roman"/>
                <w:sz w:val="24"/>
                <w:szCs w:val="24"/>
                <w:lang w:eastAsia="ru-RU"/>
              </w:rPr>
              <w:t>2587</w:t>
            </w:r>
          </w:p>
        </w:tc>
        <w:tc>
          <w:tcPr>
            <w:tcW w:w="1559" w:type="dxa"/>
            <w:tcBorders>
              <w:top w:val="single" w:sz="4" w:space="0" w:color="auto"/>
              <w:left w:val="single" w:sz="4" w:space="0" w:color="auto"/>
              <w:bottom w:val="single" w:sz="4" w:space="0" w:color="auto"/>
              <w:right w:val="single" w:sz="4" w:space="0" w:color="auto"/>
            </w:tcBorders>
          </w:tcPr>
          <w:p w14:paraId="66F4D076"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2 530</w:t>
            </w:r>
          </w:p>
        </w:tc>
        <w:tc>
          <w:tcPr>
            <w:tcW w:w="1559" w:type="dxa"/>
            <w:tcBorders>
              <w:top w:val="single" w:sz="4" w:space="0" w:color="auto"/>
              <w:left w:val="single" w:sz="4" w:space="0" w:color="auto"/>
              <w:bottom w:val="single" w:sz="4" w:space="0" w:color="auto"/>
              <w:right w:val="single" w:sz="4" w:space="0" w:color="auto"/>
            </w:tcBorders>
          </w:tcPr>
          <w:p w14:paraId="58EE32B5" w14:textId="77777777" w:rsidR="0013494A" w:rsidRPr="005E5D33" w:rsidRDefault="0013494A" w:rsidP="009018E0">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2 745</w:t>
            </w:r>
          </w:p>
        </w:tc>
      </w:tr>
      <w:tr w:rsidR="0013494A" w:rsidRPr="005E5D33" w14:paraId="364FF798" w14:textId="77777777" w:rsidTr="00D81182">
        <w:trPr>
          <w:trHeight w:val="305"/>
        </w:trPr>
        <w:tc>
          <w:tcPr>
            <w:tcW w:w="5529" w:type="dxa"/>
            <w:tcBorders>
              <w:top w:val="single" w:sz="4" w:space="0" w:color="auto"/>
              <w:left w:val="single" w:sz="4" w:space="0" w:color="auto"/>
              <w:right w:val="single" w:sz="4" w:space="0" w:color="auto"/>
            </w:tcBorders>
          </w:tcPr>
          <w:p w14:paraId="62801C0C" w14:textId="77777777" w:rsidR="0013494A" w:rsidRPr="005E5D33" w:rsidRDefault="0013494A" w:rsidP="00D03A4F">
            <w:pPr>
              <w:spacing w:before="60" w:after="60" w:line="240" w:lineRule="auto"/>
              <w:ind w:firstLine="170"/>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из них погибло:</w:t>
            </w:r>
          </w:p>
        </w:tc>
        <w:tc>
          <w:tcPr>
            <w:tcW w:w="1559" w:type="dxa"/>
            <w:tcBorders>
              <w:top w:val="single" w:sz="4" w:space="0" w:color="auto"/>
              <w:left w:val="single" w:sz="4" w:space="0" w:color="auto"/>
              <w:right w:val="single" w:sz="4" w:space="0" w:color="auto"/>
            </w:tcBorders>
            <w:vAlign w:val="center"/>
          </w:tcPr>
          <w:p w14:paraId="67C0D57E" w14:textId="77777777" w:rsidR="0013494A" w:rsidRPr="005E5D33" w:rsidRDefault="0013494A" w:rsidP="00D81182">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right w:val="single" w:sz="4" w:space="0" w:color="auto"/>
            </w:tcBorders>
          </w:tcPr>
          <w:p w14:paraId="6BCB3A82"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right w:val="single" w:sz="4" w:space="0" w:color="auto"/>
            </w:tcBorders>
          </w:tcPr>
          <w:p w14:paraId="6E90711A" w14:textId="77777777" w:rsidR="0013494A" w:rsidRPr="005E5D33" w:rsidRDefault="0013494A" w:rsidP="009018E0">
            <w:pPr>
              <w:spacing w:before="60" w:after="0" w:line="240" w:lineRule="auto"/>
              <w:jc w:val="center"/>
              <w:rPr>
                <w:rFonts w:ascii="Times New Roman" w:eastAsia="Times New Roman" w:hAnsi="Times New Roman" w:cs="Times New Roman"/>
                <w:color w:val="000000"/>
                <w:sz w:val="24"/>
                <w:szCs w:val="24"/>
                <w:lang w:eastAsia="ru-RU"/>
              </w:rPr>
            </w:pPr>
          </w:p>
        </w:tc>
      </w:tr>
      <w:tr w:rsidR="0013494A" w:rsidRPr="005E5D33" w14:paraId="1F6397E1" w14:textId="77777777" w:rsidTr="00E27C78">
        <w:trPr>
          <w:trHeight w:val="305"/>
        </w:trPr>
        <w:tc>
          <w:tcPr>
            <w:tcW w:w="5529" w:type="dxa"/>
            <w:tcBorders>
              <w:top w:val="nil"/>
              <w:left w:val="single" w:sz="4" w:space="0" w:color="auto"/>
              <w:bottom w:val="single" w:sz="4" w:space="0" w:color="auto"/>
              <w:right w:val="single" w:sz="4" w:space="0" w:color="auto"/>
            </w:tcBorders>
          </w:tcPr>
          <w:p w14:paraId="34DA5384" w14:textId="77777777" w:rsidR="0013494A" w:rsidRPr="005E5D33" w:rsidRDefault="0013494A" w:rsidP="00E27C78">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 xml:space="preserve">в результате </w:t>
            </w:r>
            <w:r w:rsidR="00E27C78">
              <w:rPr>
                <w:rFonts w:ascii="Times New Roman" w:eastAsia="Times New Roman" w:hAnsi="Times New Roman" w:cs="Times New Roman"/>
                <w:color w:val="000000"/>
                <w:sz w:val="24"/>
                <w:szCs w:val="24"/>
                <w:lang w:eastAsia="ru-RU"/>
              </w:rPr>
              <w:t>всех видов транспортных несчастных случаев</w:t>
            </w:r>
          </w:p>
        </w:tc>
        <w:tc>
          <w:tcPr>
            <w:tcW w:w="1559" w:type="dxa"/>
            <w:tcBorders>
              <w:top w:val="nil"/>
              <w:left w:val="single" w:sz="4" w:space="0" w:color="auto"/>
              <w:bottom w:val="single" w:sz="4" w:space="0" w:color="auto"/>
              <w:right w:val="single" w:sz="4" w:space="0" w:color="auto"/>
            </w:tcBorders>
            <w:vAlign w:val="center"/>
          </w:tcPr>
          <w:p w14:paraId="36C2CBDD" w14:textId="77777777" w:rsidR="0013494A" w:rsidRPr="005E5D33" w:rsidRDefault="0013494A" w:rsidP="00E27C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528</w:t>
            </w:r>
          </w:p>
        </w:tc>
        <w:tc>
          <w:tcPr>
            <w:tcW w:w="1559" w:type="dxa"/>
            <w:tcBorders>
              <w:top w:val="nil"/>
              <w:left w:val="single" w:sz="4" w:space="0" w:color="auto"/>
              <w:bottom w:val="single" w:sz="4" w:space="0" w:color="auto"/>
              <w:right w:val="single" w:sz="4" w:space="0" w:color="auto"/>
            </w:tcBorders>
            <w:vAlign w:val="center"/>
          </w:tcPr>
          <w:p w14:paraId="6A13C01D" w14:textId="77777777" w:rsidR="0013494A" w:rsidRPr="005E5D33" w:rsidRDefault="0013494A" w:rsidP="00E27C78">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75</w:t>
            </w:r>
          </w:p>
        </w:tc>
        <w:tc>
          <w:tcPr>
            <w:tcW w:w="1559" w:type="dxa"/>
            <w:tcBorders>
              <w:top w:val="nil"/>
              <w:left w:val="single" w:sz="4" w:space="0" w:color="auto"/>
              <w:bottom w:val="single" w:sz="4" w:space="0" w:color="auto"/>
              <w:right w:val="single" w:sz="4" w:space="0" w:color="auto"/>
            </w:tcBorders>
            <w:vAlign w:val="center"/>
          </w:tcPr>
          <w:p w14:paraId="12BE08C8" w14:textId="77777777" w:rsidR="0013494A" w:rsidRPr="005E5D33" w:rsidRDefault="0013494A" w:rsidP="00E27C78">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532</w:t>
            </w:r>
          </w:p>
        </w:tc>
      </w:tr>
      <w:tr w:rsidR="0013494A" w:rsidRPr="00BD5A90" w14:paraId="026A21CF" w14:textId="77777777" w:rsidTr="00D81182">
        <w:trPr>
          <w:trHeight w:val="290"/>
        </w:trPr>
        <w:tc>
          <w:tcPr>
            <w:tcW w:w="5529" w:type="dxa"/>
            <w:tcBorders>
              <w:top w:val="single" w:sz="4" w:space="0" w:color="auto"/>
              <w:left w:val="single" w:sz="4" w:space="0" w:color="auto"/>
              <w:bottom w:val="single" w:sz="4" w:space="0" w:color="auto"/>
              <w:right w:val="single" w:sz="4" w:space="0" w:color="auto"/>
            </w:tcBorders>
          </w:tcPr>
          <w:p w14:paraId="4AC6678F" w14:textId="77777777" w:rsidR="0013494A" w:rsidRPr="005E5D33" w:rsidRDefault="0013494A"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vAlign w:val="center"/>
          </w:tcPr>
          <w:p w14:paraId="387FA41A" w14:textId="77777777" w:rsidR="0013494A" w:rsidRPr="005E5D33" w:rsidRDefault="0013494A" w:rsidP="00D81182">
            <w:pPr>
              <w:spacing w:after="0" w:line="240" w:lineRule="auto"/>
              <w:jc w:val="center"/>
              <w:rPr>
                <w:rFonts w:ascii="Times New Roman" w:eastAsia="Times New Roman" w:hAnsi="Times New Roman" w:cs="Times New Roman"/>
                <w:sz w:val="24"/>
                <w:szCs w:val="24"/>
                <w:lang w:eastAsia="ru-RU"/>
              </w:rPr>
            </w:pPr>
            <w:r w:rsidRPr="005E5D33">
              <w:rPr>
                <w:rFonts w:ascii="Times New Roman" w:eastAsia="Times New Roman" w:hAnsi="Times New Roman" w:cs="Times New Roman"/>
                <w:sz w:val="24"/>
                <w:szCs w:val="24"/>
                <w:lang w:eastAsia="ru-RU"/>
              </w:rPr>
              <w:t>373</w:t>
            </w:r>
          </w:p>
        </w:tc>
        <w:tc>
          <w:tcPr>
            <w:tcW w:w="1559" w:type="dxa"/>
            <w:tcBorders>
              <w:top w:val="single" w:sz="4" w:space="0" w:color="auto"/>
              <w:left w:val="single" w:sz="4" w:space="0" w:color="auto"/>
              <w:bottom w:val="single" w:sz="4" w:space="0" w:color="auto"/>
              <w:right w:val="single" w:sz="4" w:space="0" w:color="auto"/>
            </w:tcBorders>
          </w:tcPr>
          <w:p w14:paraId="13C75A68"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391</w:t>
            </w:r>
          </w:p>
        </w:tc>
        <w:tc>
          <w:tcPr>
            <w:tcW w:w="1559" w:type="dxa"/>
            <w:tcBorders>
              <w:top w:val="single" w:sz="4" w:space="0" w:color="auto"/>
              <w:left w:val="single" w:sz="4" w:space="0" w:color="auto"/>
              <w:bottom w:val="single" w:sz="4" w:space="0" w:color="auto"/>
              <w:right w:val="single" w:sz="4" w:space="0" w:color="auto"/>
            </w:tcBorders>
          </w:tcPr>
          <w:p w14:paraId="61E3FCE7" w14:textId="77777777" w:rsidR="0013494A" w:rsidRPr="005E5D33" w:rsidRDefault="0013494A" w:rsidP="009018E0">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384</w:t>
            </w:r>
          </w:p>
        </w:tc>
      </w:tr>
      <w:tr w:rsidR="0013494A" w:rsidRPr="00BD5A90" w14:paraId="6ABFB185" w14:textId="77777777" w:rsidTr="00D81182">
        <w:trPr>
          <w:trHeight w:val="290"/>
        </w:trPr>
        <w:tc>
          <w:tcPr>
            <w:tcW w:w="5529" w:type="dxa"/>
            <w:tcBorders>
              <w:top w:val="single" w:sz="4" w:space="0" w:color="auto"/>
              <w:left w:val="single" w:sz="4" w:space="0" w:color="auto"/>
              <w:bottom w:val="single" w:sz="4" w:space="0" w:color="auto"/>
              <w:right w:val="single" w:sz="4" w:space="0" w:color="auto"/>
            </w:tcBorders>
          </w:tcPr>
          <w:p w14:paraId="3C9FA74A" w14:textId="77777777" w:rsidR="0013494A" w:rsidRPr="0013494A" w:rsidRDefault="0013494A" w:rsidP="00D03A4F">
            <w:pPr>
              <w:spacing w:before="60" w:after="6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новой коронавирусной инфекции </w:t>
            </w:r>
            <w:r>
              <w:rPr>
                <w:rFonts w:ascii="Times New Roman" w:eastAsia="Times New Roman" w:hAnsi="Times New Roman" w:cs="Times New Roman"/>
                <w:color w:val="000000"/>
                <w:sz w:val="24"/>
                <w:szCs w:val="24"/>
                <w:lang w:val="en-US" w:eastAsia="ru-RU"/>
              </w:rPr>
              <w:t>COVID-</w:t>
            </w:r>
            <w:r>
              <w:rPr>
                <w:rFonts w:ascii="Times New Roman" w:eastAsia="Times New Roman" w:hAnsi="Times New Roman" w:cs="Times New Roman"/>
                <w:color w:val="000000"/>
                <w:sz w:val="24"/>
                <w:szCs w:val="24"/>
                <w:lang w:eastAsia="ru-RU"/>
              </w:rPr>
              <w:t>19</w:t>
            </w:r>
          </w:p>
        </w:tc>
        <w:tc>
          <w:tcPr>
            <w:tcW w:w="1559" w:type="dxa"/>
            <w:tcBorders>
              <w:top w:val="single" w:sz="4" w:space="0" w:color="auto"/>
              <w:left w:val="single" w:sz="4" w:space="0" w:color="auto"/>
              <w:bottom w:val="single" w:sz="4" w:space="0" w:color="auto"/>
              <w:right w:val="single" w:sz="4" w:space="0" w:color="auto"/>
            </w:tcBorders>
            <w:vAlign w:val="center"/>
          </w:tcPr>
          <w:p w14:paraId="53E1985A" w14:textId="77777777" w:rsidR="0013494A" w:rsidRPr="005E5D33" w:rsidRDefault="0013494A" w:rsidP="00D81182">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109E96B4" w14:textId="77777777" w:rsidR="0013494A" w:rsidRPr="005E5D33" w:rsidRDefault="0013494A" w:rsidP="00D81182">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tc>
        <w:tc>
          <w:tcPr>
            <w:tcW w:w="1559" w:type="dxa"/>
            <w:tcBorders>
              <w:top w:val="single" w:sz="4" w:space="0" w:color="auto"/>
              <w:left w:val="single" w:sz="4" w:space="0" w:color="auto"/>
              <w:bottom w:val="single" w:sz="4" w:space="0" w:color="auto"/>
              <w:right w:val="single" w:sz="4" w:space="0" w:color="auto"/>
            </w:tcBorders>
          </w:tcPr>
          <w:p w14:paraId="2F084159" w14:textId="77777777" w:rsidR="0013494A" w:rsidRPr="005E5D33" w:rsidRDefault="0013494A" w:rsidP="009018E0">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167</w:t>
            </w:r>
          </w:p>
        </w:tc>
      </w:tr>
    </w:tbl>
    <w:p w14:paraId="570A3260" w14:textId="77777777" w:rsidR="00D03A4F" w:rsidRPr="00BD5A90" w:rsidRDefault="00D03A4F" w:rsidP="00D03A4F">
      <w:pPr>
        <w:spacing w:after="0" w:line="312" w:lineRule="auto"/>
        <w:jc w:val="right"/>
        <w:rPr>
          <w:rFonts w:ascii="Times New Roman" w:eastAsia="Times New Roman" w:hAnsi="Times New Roman" w:cs="Times New Roman"/>
          <w:color w:val="000000"/>
          <w:sz w:val="26"/>
          <w:szCs w:val="26"/>
          <w:highlight w:val="yellow"/>
          <w:lang w:eastAsia="ru-RU"/>
        </w:rPr>
      </w:pPr>
    </w:p>
    <w:p w14:paraId="3D3B7EC4" w14:textId="77777777" w:rsidR="00D03A4F" w:rsidRPr="005E5D33" w:rsidRDefault="00D03A4F" w:rsidP="00D03A4F">
      <w:pPr>
        <w:spacing w:after="0" w:line="312" w:lineRule="auto"/>
        <w:jc w:val="right"/>
        <w:rPr>
          <w:rFonts w:ascii="Times New Roman" w:eastAsia="Times New Roman" w:hAnsi="Times New Roman" w:cs="Times New Roman"/>
          <w:color w:val="000000"/>
          <w:sz w:val="26"/>
          <w:szCs w:val="26"/>
          <w:lang w:eastAsia="ru-RU"/>
        </w:rPr>
      </w:pPr>
      <w:r w:rsidRPr="005E5D33">
        <w:rPr>
          <w:rFonts w:ascii="Times New Roman" w:eastAsia="Times New Roman" w:hAnsi="Times New Roman" w:cs="Times New Roman"/>
          <w:color w:val="000000"/>
          <w:sz w:val="26"/>
          <w:szCs w:val="26"/>
          <w:lang w:eastAsia="ru-RU"/>
        </w:rPr>
        <w:t>Таблица 15</w:t>
      </w:r>
    </w:p>
    <w:p w14:paraId="2E7B02A4" w14:textId="77777777" w:rsidR="00D03A4F" w:rsidRPr="005E5D33" w:rsidRDefault="00D03A4F" w:rsidP="00D03A4F">
      <w:pPr>
        <w:spacing w:after="0" w:line="240" w:lineRule="auto"/>
        <w:jc w:val="center"/>
        <w:rPr>
          <w:rFonts w:ascii="Times New Roman" w:eastAsia="Times New Roman" w:hAnsi="Times New Roman" w:cs="Times New Roman"/>
          <w:sz w:val="26"/>
          <w:szCs w:val="26"/>
          <w:lang w:eastAsia="ru-RU"/>
        </w:rPr>
      </w:pPr>
      <w:r w:rsidRPr="005E5D33">
        <w:rPr>
          <w:rFonts w:ascii="Times New Roman" w:eastAsia="Times New Roman" w:hAnsi="Times New Roman" w:cs="Times New Roman"/>
          <w:b/>
          <w:bCs/>
          <w:color w:val="000000"/>
          <w:sz w:val="26"/>
          <w:szCs w:val="26"/>
          <w:lang w:eastAsia="ru-RU"/>
        </w:rPr>
        <w:t>Число умерших детей в возрасте 1-14 лет по отдельным классам причин смерти</w:t>
      </w:r>
    </w:p>
    <w:p w14:paraId="40211476" w14:textId="77777777" w:rsidR="00D03A4F" w:rsidRPr="005E5D33"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(человек)</w:t>
      </w:r>
    </w:p>
    <w:p w14:paraId="501AC643" w14:textId="77777777" w:rsidR="00D03A4F" w:rsidRPr="005E5D33" w:rsidRDefault="00D03A4F" w:rsidP="00D03A4F">
      <w:pPr>
        <w:spacing w:after="0" w:line="240" w:lineRule="auto"/>
        <w:ind w:right="282"/>
        <w:jc w:val="center"/>
        <w:rPr>
          <w:rFonts w:ascii="Times New Roman" w:eastAsia="Times New Roman" w:hAnsi="Times New Roman" w:cs="Times New Roman"/>
          <w:sz w:val="24"/>
          <w:szCs w:val="24"/>
          <w:lang w:eastAsia="ru-RU"/>
        </w:rPr>
      </w:pPr>
    </w:p>
    <w:tbl>
      <w:tblPr>
        <w:tblW w:w="10206" w:type="dxa"/>
        <w:tblInd w:w="108" w:type="dxa"/>
        <w:tblLayout w:type="fixed"/>
        <w:tblLook w:val="00A0" w:firstRow="1" w:lastRow="0" w:firstColumn="1" w:lastColumn="0" w:noHBand="0" w:noVBand="0"/>
      </w:tblPr>
      <w:tblGrid>
        <w:gridCol w:w="5529"/>
        <w:gridCol w:w="1559"/>
        <w:gridCol w:w="1559"/>
        <w:gridCol w:w="1559"/>
      </w:tblGrid>
      <w:tr w:rsidR="000F2621" w:rsidRPr="005E5D33" w14:paraId="7A2BEAB0" w14:textId="77777777" w:rsidTr="00586DA8">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14:paraId="2E34D88D" w14:textId="77777777" w:rsidR="000F2621" w:rsidRPr="005E5D33" w:rsidRDefault="000F2621" w:rsidP="00D03A4F">
            <w:pPr>
              <w:spacing w:before="60" w:after="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 </w:t>
            </w:r>
          </w:p>
        </w:tc>
        <w:tc>
          <w:tcPr>
            <w:tcW w:w="1559" w:type="dxa"/>
            <w:tcBorders>
              <w:top w:val="single" w:sz="4" w:space="0" w:color="auto"/>
              <w:left w:val="nil"/>
              <w:bottom w:val="single" w:sz="4" w:space="0" w:color="auto"/>
              <w:right w:val="single" w:sz="4" w:space="0" w:color="auto"/>
            </w:tcBorders>
            <w:vAlign w:val="center"/>
          </w:tcPr>
          <w:p w14:paraId="3C645564" w14:textId="77777777" w:rsidR="000F2621" w:rsidRPr="005E5D33" w:rsidRDefault="000F2621"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2019 г.</w:t>
            </w:r>
          </w:p>
        </w:tc>
        <w:tc>
          <w:tcPr>
            <w:tcW w:w="1559" w:type="dxa"/>
            <w:tcBorders>
              <w:top w:val="single" w:sz="4" w:space="0" w:color="auto"/>
              <w:left w:val="single" w:sz="4" w:space="0" w:color="auto"/>
              <w:bottom w:val="single" w:sz="4" w:space="0" w:color="auto"/>
              <w:right w:val="single" w:sz="4" w:space="0" w:color="auto"/>
            </w:tcBorders>
            <w:vAlign w:val="center"/>
          </w:tcPr>
          <w:p w14:paraId="702CB1B2" w14:textId="77777777" w:rsidR="000F2621" w:rsidRPr="005E5D33" w:rsidRDefault="000F2621"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2020 г.</w:t>
            </w:r>
          </w:p>
        </w:tc>
        <w:tc>
          <w:tcPr>
            <w:tcW w:w="1559" w:type="dxa"/>
            <w:tcBorders>
              <w:top w:val="single" w:sz="4" w:space="0" w:color="auto"/>
              <w:left w:val="single" w:sz="4" w:space="0" w:color="auto"/>
              <w:bottom w:val="single" w:sz="4" w:space="0" w:color="auto"/>
              <w:right w:val="single" w:sz="4" w:space="0" w:color="auto"/>
            </w:tcBorders>
            <w:vAlign w:val="center"/>
          </w:tcPr>
          <w:p w14:paraId="7DA9E7BB" w14:textId="77777777" w:rsidR="000F2621" w:rsidRPr="005E5D33" w:rsidRDefault="000F2621" w:rsidP="009018E0">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 г.</w:t>
            </w:r>
          </w:p>
        </w:tc>
      </w:tr>
      <w:tr w:rsidR="000F2621" w:rsidRPr="005E5D33" w14:paraId="40EF0C52" w14:textId="77777777" w:rsidTr="00D81182">
        <w:trPr>
          <w:trHeight w:val="519"/>
        </w:trPr>
        <w:tc>
          <w:tcPr>
            <w:tcW w:w="5529" w:type="dxa"/>
            <w:tcBorders>
              <w:top w:val="single" w:sz="4" w:space="0" w:color="auto"/>
              <w:left w:val="single" w:sz="4" w:space="0" w:color="auto"/>
              <w:bottom w:val="single" w:sz="4" w:space="0" w:color="auto"/>
              <w:right w:val="single" w:sz="4" w:space="0" w:color="auto"/>
            </w:tcBorders>
            <w:vAlign w:val="bottom"/>
          </w:tcPr>
          <w:p w14:paraId="01D76896" w14:textId="77777777" w:rsidR="000F2621" w:rsidRPr="005E5D33" w:rsidRDefault="000F2621"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Всего умерших в возрасте 1-14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center"/>
          </w:tcPr>
          <w:p w14:paraId="3FD405B4" w14:textId="77777777" w:rsidR="000F2621" w:rsidRPr="005E5D33" w:rsidRDefault="000F2621"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5 289</w:t>
            </w:r>
          </w:p>
        </w:tc>
        <w:tc>
          <w:tcPr>
            <w:tcW w:w="1559" w:type="dxa"/>
            <w:tcBorders>
              <w:top w:val="single" w:sz="4" w:space="0" w:color="auto"/>
              <w:left w:val="single" w:sz="4" w:space="0" w:color="auto"/>
              <w:bottom w:val="single" w:sz="4" w:space="0" w:color="auto"/>
              <w:right w:val="single" w:sz="4" w:space="0" w:color="auto"/>
            </w:tcBorders>
            <w:vAlign w:val="center"/>
          </w:tcPr>
          <w:p w14:paraId="43EBA19C" w14:textId="77777777" w:rsidR="000F2621" w:rsidRPr="005E5D33" w:rsidRDefault="000F2621"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5 054</w:t>
            </w:r>
          </w:p>
        </w:tc>
        <w:tc>
          <w:tcPr>
            <w:tcW w:w="1559" w:type="dxa"/>
            <w:tcBorders>
              <w:top w:val="single" w:sz="4" w:space="0" w:color="auto"/>
              <w:left w:val="single" w:sz="4" w:space="0" w:color="auto"/>
              <w:bottom w:val="single" w:sz="4" w:space="0" w:color="auto"/>
              <w:right w:val="single" w:sz="4" w:space="0" w:color="auto"/>
            </w:tcBorders>
            <w:vAlign w:val="center"/>
          </w:tcPr>
          <w:p w14:paraId="41A3B8A3" w14:textId="77777777" w:rsidR="000F2621" w:rsidRPr="005E5D33" w:rsidRDefault="000F2621" w:rsidP="009018E0">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5 537</w:t>
            </w:r>
          </w:p>
        </w:tc>
      </w:tr>
      <w:tr w:rsidR="000F2621" w:rsidRPr="005E5D33" w14:paraId="0B30A66F" w14:textId="77777777" w:rsidTr="00D81182">
        <w:trPr>
          <w:trHeight w:val="290"/>
        </w:trPr>
        <w:tc>
          <w:tcPr>
            <w:tcW w:w="5529" w:type="dxa"/>
            <w:tcBorders>
              <w:top w:val="single" w:sz="4" w:space="0" w:color="auto"/>
              <w:left w:val="single" w:sz="4" w:space="0" w:color="auto"/>
              <w:right w:val="single" w:sz="4" w:space="0" w:color="auto"/>
            </w:tcBorders>
            <w:noWrap/>
            <w:vAlign w:val="center"/>
          </w:tcPr>
          <w:p w14:paraId="2DB88E17" w14:textId="77777777" w:rsidR="000F2621" w:rsidRPr="005E5D33" w:rsidRDefault="000F2621" w:rsidP="00995FB6">
            <w:pPr>
              <w:spacing w:after="0" w:line="240" w:lineRule="auto"/>
              <w:ind w:firstLine="170"/>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 том числе от:</w:t>
            </w:r>
          </w:p>
        </w:tc>
        <w:tc>
          <w:tcPr>
            <w:tcW w:w="1559" w:type="dxa"/>
            <w:tcBorders>
              <w:top w:val="single" w:sz="4" w:space="0" w:color="auto"/>
              <w:left w:val="single" w:sz="4" w:space="0" w:color="auto"/>
              <w:right w:val="single" w:sz="4" w:space="0" w:color="auto"/>
            </w:tcBorders>
            <w:vAlign w:val="center"/>
          </w:tcPr>
          <w:p w14:paraId="1C2FDC34" w14:textId="77777777" w:rsidR="000F2621" w:rsidRPr="005E5D33" w:rsidRDefault="000F2621" w:rsidP="00D81182">
            <w:pPr>
              <w:spacing w:before="60"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right w:val="single" w:sz="4" w:space="0" w:color="auto"/>
            </w:tcBorders>
            <w:vAlign w:val="center"/>
          </w:tcPr>
          <w:p w14:paraId="731F742E" w14:textId="77777777" w:rsidR="000F2621" w:rsidRPr="005E5D33" w:rsidRDefault="000F2621" w:rsidP="00D81182">
            <w:pPr>
              <w:spacing w:before="60"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right w:val="single" w:sz="4" w:space="0" w:color="auto"/>
            </w:tcBorders>
            <w:vAlign w:val="center"/>
          </w:tcPr>
          <w:p w14:paraId="18B8F8E2" w14:textId="77777777" w:rsidR="000F2621" w:rsidRPr="005E5D33" w:rsidRDefault="000F2621" w:rsidP="009018E0">
            <w:pPr>
              <w:spacing w:before="60" w:after="0" w:line="240" w:lineRule="auto"/>
              <w:jc w:val="center"/>
              <w:rPr>
                <w:rFonts w:ascii="Times New Roman" w:eastAsia="Times New Roman" w:hAnsi="Times New Roman" w:cs="Times New Roman"/>
                <w:color w:val="000000"/>
                <w:sz w:val="24"/>
                <w:szCs w:val="24"/>
                <w:lang w:eastAsia="ru-RU"/>
              </w:rPr>
            </w:pPr>
          </w:p>
        </w:tc>
      </w:tr>
      <w:tr w:rsidR="000F2621" w:rsidRPr="005E5D33" w14:paraId="6BC2A8F3" w14:textId="77777777" w:rsidTr="00D81182">
        <w:trPr>
          <w:trHeight w:val="344"/>
        </w:trPr>
        <w:tc>
          <w:tcPr>
            <w:tcW w:w="5529" w:type="dxa"/>
            <w:tcBorders>
              <w:top w:val="nil"/>
              <w:left w:val="single" w:sz="4" w:space="0" w:color="auto"/>
              <w:bottom w:val="single" w:sz="4" w:space="0" w:color="auto"/>
              <w:right w:val="single" w:sz="4" w:space="0" w:color="auto"/>
            </w:tcBorders>
          </w:tcPr>
          <w:p w14:paraId="646DA9DE" w14:textId="77777777" w:rsidR="000F2621" w:rsidRPr="005E5D33" w:rsidRDefault="000F2621" w:rsidP="00995FB6">
            <w:pPr>
              <w:spacing w:after="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vAlign w:val="center"/>
          </w:tcPr>
          <w:p w14:paraId="5E1A96AB" w14:textId="77777777" w:rsidR="000F2621" w:rsidRPr="005E5D33" w:rsidRDefault="000F2621"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221</w:t>
            </w:r>
          </w:p>
        </w:tc>
        <w:tc>
          <w:tcPr>
            <w:tcW w:w="1559" w:type="dxa"/>
            <w:tcBorders>
              <w:top w:val="nil"/>
              <w:left w:val="single" w:sz="4" w:space="0" w:color="auto"/>
              <w:bottom w:val="single" w:sz="4" w:space="0" w:color="auto"/>
              <w:right w:val="single" w:sz="4" w:space="0" w:color="auto"/>
            </w:tcBorders>
            <w:vAlign w:val="center"/>
          </w:tcPr>
          <w:p w14:paraId="3D1302FA" w14:textId="77777777" w:rsidR="000F2621" w:rsidRPr="005E5D33" w:rsidRDefault="000F2621"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167</w:t>
            </w:r>
          </w:p>
        </w:tc>
        <w:tc>
          <w:tcPr>
            <w:tcW w:w="1559" w:type="dxa"/>
            <w:tcBorders>
              <w:top w:val="nil"/>
              <w:left w:val="single" w:sz="4" w:space="0" w:color="auto"/>
              <w:bottom w:val="single" w:sz="4" w:space="0" w:color="auto"/>
              <w:right w:val="single" w:sz="4" w:space="0" w:color="auto"/>
            </w:tcBorders>
            <w:vAlign w:val="center"/>
          </w:tcPr>
          <w:p w14:paraId="1D65F708" w14:textId="77777777" w:rsidR="000F2621" w:rsidRPr="005E5D33" w:rsidRDefault="000F2621" w:rsidP="009018E0">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178</w:t>
            </w:r>
          </w:p>
        </w:tc>
      </w:tr>
      <w:tr w:rsidR="000F2621" w:rsidRPr="005E5D33" w14:paraId="3555CA3A" w14:textId="77777777" w:rsidTr="00D81182">
        <w:trPr>
          <w:trHeight w:val="290"/>
        </w:trPr>
        <w:tc>
          <w:tcPr>
            <w:tcW w:w="5529" w:type="dxa"/>
            <w:tcBorders>
              <w:top w:val="single" w:sz="4" w:space="0" w:color="auto"/>
              <w:left w:val="single" w:sz="4" w:space="0" w:color="auto"/>
              <w:bottom w:val="single" w:sz="4" w:space="0" w:color="auto"/>
              <w:right w:val="single" w:sz="4" w:space="0" w:color="auto"/>
            </w:tcBorders>
          </w:tcPr>
          <w:p w14:paraId="25D85137" w14:textId="77777777" w:rsidR="000F2621" w:rsidRPr="005E5D33" w:rsidRDefault="000F2621"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новообразований</w:t>
            </w:r>
          </w:p>
        </w:tc>
        <w:tc>
          <w:tcPr>
            <w:tcW w:w="1559" w:type="dxa"/>
            <w:tcBorders>
              <w:top w:val="single" w:sz="4" w:space="0" w:color="auto"/>
              <w:left w:val="single" w:sz="4" w:space="0" w:color="auto"/>
              <w:bottom w:val="single" w:sz="4" w:space="0" w:color="auto"/>
              <w:right w:val="single" w:sz="4" w:space="0" w:color="auto"/>
            </w:tcBorders>
            <w:vAlign w:val="center"/>
          </w:tcPr>
          <w:p w14:paraId="76B063D9" w14:textId="77777777" w:rsidR="000F2621" w:rsidRPr="005E5D33" w:rsidRDefault="000F2621"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686</w:t>
            </w:r>
          </w:p>
        </w:tc>
        <w:tc>
          <w:tcPr>
            <w:tcW w:w="1559" w:type="dxa"/>
            <w:tcBorders>
              <w:top w:val="single" w:sz="4" w:space="0" w:color="auto"/>
              <w:left w:val="single" w:sz="4" w:space="0" w:color="auto"/>
              <w:bottom w:val="single" w:sz="4" w:space="0" w:color="auto"/>
              <w:right w:val="single" w:sz="4" w:space="0" w:color="auto"/>
            </w:tcBorders>
            <w:vAlign w:val="center"/>
          </w:tcPr>
          <w:p w14:paraId="67F376DD" w14:textId="77777777" w:rsidR="000F2621" w:rsidRPr="005E5D33" w:rsidRDefault="000F2621"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674</w:t>
            </w:r>
          </w:p>
        </w:tc>
        <w:tc>
          <w:tcPr>
            <w:tcW w:w="1559" w:type="dxa"/>
            <w:tcBorders>
              <w:top w:val="single" w:sz="4" w:space="0" w:color="auto"/>
              <w:left w:val="single" w:sz="4" w:space="0" w:color="auto"/>
              <w:bottom w:val="single" w:sz="4" w:space="0" w:color="auto"/>
              <w:right w:val="single" w:sz="4" w:space="0" w:color="auto"/>
            </w:tcBorders>
            <w:vAlign w:val="center"/>
          </w:tcPr>
          <w:p w14:paraId="0223E005" w14:textId="77777777" w:rsidR="000F2621" w:rsidRPr="005E5D33" w:rsidRDefault="000F2621" w:rsidP="009018E0">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732</w:t>
            </w:r>
          </w:p>
        </w:tc>
      </w:tr>
      <w:tr w:rsidR="000F2621" w:rsidRPr="005E5D33" w14:paraId="29243403" w14:textId="77777777" w:rsidTr="00D81182">
        <w:trPr>
          <w:trHeight w:val="290"/>
        </w:trPr>
        <w:tc>
          <w:tcPr>
            <w:tcW w:w="5529" w:type="dxa"/>
            <w:tcBorders>
              <w:top w:val="single" w:sz="4" w:space="0" w:color="auto"/>
              <w:left w:val="single" w:sz="4" w:space="0" w:color="auto"/>
              <w:bottom w:val="single" w:sz="4" w:space="0" w:color="auto"/>
              <w:right w:val="single" w:sz="4" w:space="0" w:color="auto"/>
            </w:tcBorders>
          </w:tcPr>
          <w:p w14:paraId="373BE592" w14:textId="77777777" w:rsidR="000F2621" w:rsidRPr="005E5D33" w:rsidRDefault="000F2621"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vAlign w:val="center"/>
          </w:tcPr>
          <w:p w14:paraId="0FE2DBFF" w14:textId="77777777" w:rsidR="000F2621" w:rsidRPr="005E5D33" w:rsidRDefault="000F2621"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297</w:t>
            </w:r>
          </w:p>
        </w:tc>
        <w:tc>
          <w:tcPr>
            <w:tcW w:w="1559" w:type="dxa"/>
            <w:tcBorders>
              <w:top w:val="single" w:sz="4" w:space="0" w:color="auto"/>
              <w:left w:val="single" w:sz="4" w:space="0" w:color="auto"/>
              <w:bottom w:val="single" w:sz="4" w:space="0" w:color="auto"/>
              <w:right w:val="single" w:sz="4" w:space="0" w:color="auto"/>
            </w:tcBorders>
            <w:vAlign w:val="center"/>
          </w:tcPr>
          <w:p w14:paraId="0D1E83D5" w14:textId="77777777" w:rsidR="000F2621" w:rsidRPr="005E5D33" w:rsidRDefault="000F2621"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240</w:t>
            </w:r>
          </w:p>
        </w:tc>
        <w:tc>
          <w:tcPr>
            <w:tcW w:w="1559" w:type="dxa"/>
            <w:tcBorders>
              <w:top w:val="single" w:sz="4" w:space="0" w:color="auto"/>
              <w:left w:val="single" w:sz="4" w:space="0" w:color="auto"/>
              <w:bottom w:val="single" w:sz="4" w:space="0" w:color="auto"/>
              <w:right w:val="single" w:sz="4" w:space="0" w:color="auto"/>
            </w:tcBorders>
            <w:vAlign w:val="center"/>
          </w:tcPr>
          <w:p w14:paraId="66B42CB6" w14:textId="77777777" w:rsidR="000F2621" w:rsidRPr="005E5D33" w:rsidRDefault="000F2621" w:rsidP="009018E0">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272</w:t>
            </w:r>
          </w:p>
        </w:tc>
      </w:tr>
      <w:tr w:rsidR="000F2621" w:rsidRPr="005E5D33" w14:paraId="529E7B92" w14:textId="77777777" w:rsidTr="00D81182">
        <w:trPr>
          <w:trHeight w:val="290"/>
        </w:trPr>
        <w:tc>
          <w:tcPr>
            <w:tcW w:w="5529" w:type="dxa"/>
            <w:tcBorders>
              <w:top w:val="single" w:sz="4" w:space="0" w:color="auto"/>
              <w:left w:val="single" w:sz="4" w:space="0" w:color="auto"/>
              <w:bottom w:val="single" w:sz="4" w:space="0" w:color="auto"/>
              <w:right w:val="single" w:sz="4" w:space="0" w:color="auto"/>
            </w:tcBorders>
          </w:tcPr>
          <w:p w14:paraId="6CEC0E29" w14:textId="77777777" w:rsidR="000F2621" w:rsidRPr="005E5D33" w:rsidRDefault="000F2621"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vAlign w:val="center"/>
          </w:tcPr>
          <w:p w14:paraId="36E82824" w14:textId="77777777" w:rsidR="000F2621" w:rsidRPr="005E5D33" w:rsidRDefault="000F2621"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58</w:t>
            </w:r>
          </w:p>
        </w:tc>
        <w:tc>
          <w:tcPr>
            <w:tcW w:w="1559" w:type="dxa"/>
            <w:tcBorders>
              <w:top w:val="single" w:sz="4" w:space="0" w:color="auto"/>
              <w:left w:val="single" w:sz="4" w:space="0" w:color="auto"/>
              <w:bottom w:val="single" w:sz="4" w:space="0" w:color="auto"/>
              <w:right w:val="single" w:sz="4" w:space="0" w:color="auto"/>
            </w:tcBorders>
            <w:vAlign w:val="center"/>
          </w:tcPr>
          <w:p w14:paraId="0358C0A1" w14:textId="77777777" w:rsidR="000F2621" w:rsidRPr="005E5D33" w:rsidRDefault="000F2621"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85</w:t>
            </w:r>
          </w:p>
        </w:tc>
        <w:tc>
          <w:tcPr>
            <w:tcW w:w="1559" w:type="dxa"/>
            <w:tcBorders>
              <w:top w:val="single" w:sz="4" w:space="0" w:color="auto"/>
              <w:left w:val="single" w:sz="4" w:space="0" w:color="auto"/>
              <w:bottom w:val="single" w:sz="4" w:space="0" w:color="auto"/>
              <w:right w:val="single" w:sz="4" w:space="0" w:color="auto"/>
            </w:tcBorders>
            <w:vAlign w:val="center"/>
          </w:tcPr>
          <w:p w14:paraId="7EE281E7" w14:textId="77777777" w:rsidR="000F2621" w:rsidRPr="005E5D33" w:rsidRDefault="007937F0" w:rsidP="009018E0">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w:t>
            </w:r>
          </w:p>
        </w:tc>
      </w:tr>
      <w:tr w:rsidR="000F2621" w:rsidRPr="005E5D33" w14:paraId="5754021B" w14:textId="77777777" w:rsidTr="00D81182">
        <w:trPr>
          <w:trHeight w:val="519"/>
        </w:trPr>
        <w:tc>
          <w:tcPr>
            <w:tcW w:w="5529" w:type="dxa"/>
            <w:tcBorders>
              <w:top w:val="single" w:sz="4" w:space="0" w:color="auto"/>
              <w:left w:val="single" w:sz="4" w:space="0" w:color="auto"/>
              <w:bottom w:val="single" w:sz="4" w:space="0" w:color="auto"/>
              <w:right w:val="single" w:sz="4" w:space="0" w:color="auto"/>
            </w:tcBorders>
          </w:tcPr>
          <w:p w14:paraId="24F7653C" w14:textId="77777777" w:rsidR="000F2621" w:rsidRPr="005E5D33" w:rsidRDefault="000F2621" w:rsidP="006C18F9">
            <w:pPr>
              <w:spacing w:before="60" w:after="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врожденных аномалий (пороков развития),</w:t>
            </w:r>
          </w:p>
          <w:p w14:paraId="41F3766E" w14:textId="77777777" w:rsidR="000F2621" w:rsidRPr="005E5D33" w:rsidRDefault="000F2621" w:rsidP="006C18F9">
            <w:pPr>
              <w:spacing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14:paraId="34132650" w14:textId="77777777" w:rsidR="000F2621" w:rsidRPr="005E5D33" w:rsidRDefault="000F2621"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425</w:t>
            </w:r>
          </w:p>
        </w:tc>
        <w:tc>
          <w:tcPr>
            <w:tcW w:w="1559" w:type="dxa"/>
            <w:tcBorders>
              <w:top w:val="single" w:sz="4" w:space="0" w:color="auto"/>
              <w:left w:val="single" w:sz="4" w:space="0" w:color="auto"/>
              <w:bottom w:val="single" w:sz="4" w:space="0" w:color="auto"/>
              <w:right w:val="single" w:sz="4" w:space="0" w:color="auto"/>
            </w:tcBorders>
            <w:vAlign w:val="center"/>
          </w:tcPr>
          <w:p w14:paraId="5DB1A86C" w14:textId="77777777" w:rsidR="000F2621" w:rsidRPr="005E5D33" w:rsidRDefault="000F2621"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373</w:t>
            </w:r>
          </w:p>
        </w:tc>
        <w:tc>
          <w:tcPr>
            <w:tcW w:w="1559" w:type="dxa"/>
            <w:tcBorders>
              <w:top w:val="single" w:sz="4" w:space="0" w:color="auto"/>
              <w:left w:val="single" w:sz="4" w:space="0" w:color="auto"/>
              <w:bottom w:val="single" w:sz="4" w:space="0" w:color="auto"/>
              <w:right w:val="single" w:sz="4" w:space="0" w:color="auto"/>
            </w:tcBorders>
            <w:vAlign w:val="center"/>
          </w:tcPr>
          <w:p w14:paraId="03971D84" w14:textId="77777777" w:rsidR="000F2621" w:rsidRPr="005E5D33" w:rsidRDefault="007937F0" w:rsidP="009018E0">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411</w:t>
            </w:r>
          </w:p>
        </w:tc>
      </w:tr>
      <w:tr w:rsidR="000F2621" w:rsidRPr="005E5D33" w14:paraId="15C6BCBE" w14:textId="77777777" w:rsidTr="00D81182">
        <w:trPr>
          <w:trHeight w:val="290"/>
        </w:trPr>
        <w:tc>
          <w:tcPr>
            <w:tcW w:w="5529" w:type="dxa"/>
            <w:tcBorders>
              <w:top w:val="single" w:sz="4" w:space="0" w:color="auto"/>
              <w:left w:val="single" w:sz="4" w:space="0" w:color="auto"/>
              <w:bottom w:val="single" w:sz="4" w:space="0" w:color="auto"/>
              <w:right w:val="single" w:sz="4" w:space="0" w:color="auto"/>
            </w:tcBorders>
          </w:tcPr>
          <w:p w14:paraId="4CE1A5A4" w14:textId="77777777" w:rsidR="000F2621" w:rsidRPr="005E5D33" w:rsidRDefault="000F2621"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vAlign w:val="center"/>
          </w:tcPr>
          <w:p w14:paraId="079C6AA2" w14:textId="77777777" w:rsidR="000F2621" w:rsidRPr="005E5D33" w:rsidRDefault="000F2621"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818</w:t>
            </w:r>
          </w:p>
        </w:tc>
        <w:tc>
          <w:tcPr>
            <w:tcW w:w="1559" w:type="dxa"/>
            <w:tcBorders>
              <w:top w:val="single" w:sz="4" w:space="0" w:color="auto"/>
              <w:left w:val="single" w:sz="4" w:space="0" w:color="auto"/>
              <w:bottom w:val="single" w:sz="4" w:space="0" w:color="auto"/>
              <w:right w:val="single" w:sz="4" w:space="0" w:color="auto"/>
            </w:tcBorders>
            <w:vAlign w:val="center"/>
          </w:tcPr>
          <w:p w14:paraId="16B38B77" w14:textId="77777777" w:rsidR="000F2621" w:rsidRPr="005E5D33" w:rsidRDefault="000F2621"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765</w:t>
            </w:r>
          </w:p>
        </w:tc>
        <w:tc>
          <w:tcPr>
            <w:tcW w:w="1559" w:type="dxa"/>
            <w:tcBorders>
              <w:top w:val="single" w:sz="4" w:space="0" w:color="auto"/>
              <w:left w:val="single" w:sz="4" w:space="0" w:color="auto"/>
              <w:bottom w:val="single" w:sz="4" w:space="0" w:color="auto"/>
              <w:right w:val="single" w:sz="4" w:space="0" w:color="auto"/>
            </w:tcBorders>
            <w:vAlign w:val="center"/>
          </w:tcPr>
          <w:p w14:paraId="00FA1A11" w14:textId="77777777" w:rsidR="000F2621" w:rsidRPr="005E5D33" w:rsidRDefault="007937F0" w:rsidP="009018E0">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794</w:t>
            </w:r>
          </w:p>
        </w:tc>
      </w:tr>
      <w:tr w:rsidR="000F2621" w:rsidRPr="005E5D33" w14:paraId="2CA7D5E4" w14:textId="77777777" w:rsidTr="00D81182">
        <w:trPr>
          <w:trHeight w:val="290"/>
        </w:trPr>
        <w:tc>
          <w:tcPr>
            <w:tcW w:w="5529" w:type="dxa"/>
            <w:tcBorders>
              <w:top w:val="single" w:sz="4" w:space="0" w:color="auto"/>
              <w:left w:val="single" w:sz="4" w:space="0" w:color="auto"/>
              <w:bottom w:val="single" w:sz="4" w:space="0" w:color="auto"/>
              <w:right w:val="single" w:sz="4" w:space="0" w:color="auto"/>
            </w:tcBorders>
          </w:tcPr>
          <w:p w14:paraId="04439234" w14:textId="77777777" w:rsidR="000F2621" w:rsidRPr="005E5D33" w:rsidRDefault="000F2621"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vAlign w:val="center"/>
          </w:tcPr>
          <w:p w14:paraId="2F4C9751" w14:textId="77777777" w:rsidR="000F2621" w:rsidRPr="005E5D33" w:rsidRDefault="000F2621"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2 174</w:t>
            </w:r>
          </w:p>
        </w:tc>
        <w:tc>
          <w:tcPr>
            <w:tcW w:w="1559" w:type="dxa"/>
            <w:tcBorders>
              <w:top w:val="single" w:sz="4" w:space="0" w:color="auto"/>
              <w:left w:val="single" w:sz="4" w:space="0" w:color="auto"/>
              <w:bottom w:val="single" w:sz="4" w:space="0" w:color="auto"/>
              <w:right w:val="single" w:sz="4" w:space="0" w:color="auto"/>
            </w:tcBorders>
            <w:vAlign w:val="center"/>
          </w:tcPr>
          <w:p w14:paraId="2855C606" w14:textId="77777777" w:rsidR="000F2621" w:rsidRPr="005E5D33" w:rsidRDefault="000F2621"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2 174</w:t>
            </w:r>
          </w:p>
        </w:tc>
        <w:tc>
          <w:tcPr>
            <w:tcW w:w="1559" w:type="dxa"/>
            <w:tcBorders>
              <w:top w:val="single" w:sz="4" w:space="0" w:color="auto"/>
              <w:left w:val="single" w:sz="4" w:space="0" w:color="auto"/>
              <w:bottom w:val="single" w:sz="4" w:space="0" w:color="auto"/>
              <w:right w:val="single" w:sz="4" w:space="0" w:color="auto"/>
            </w:tcBorders>
            <w:vAlign w:val="center"/>
          </w:tcPr>
          <w:p w14:paraId="7D9A89DD" w14:textId="77777777" w:rsidR="000F2621" w:rsidRPr="005E5D33" w:rsidRDefault="007937F0" w:rsidP="009018E0">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2 359</w:t>
            </w:r>
          </w:p>
        </w:tc>
      </w:tr>
      <w:tr w:rsidR="000F2621" w:rsidRPr="005E5D33" w14:paraId="0A9F57E5" w14:textId="77777777" w:rsidTr="00D81182">
        <w:trPr>
          <w:trHeight w:val="305"/>
        </w:trPr>
        <w:tc>
          <w:tcPr>
            <w:tcW w:w="5529" w:type="dxa"/>
            <w:tcBorders>
              <w:top w:val="single" w:sz="4" w:space="0" w:color="auto"/>
              <w:left w:val="single" w:sz="4" w:space="0" w:color="auto"/>
              <w:right w:val="single" w:sz="4" w:space="0" w:color="auto"/>
            </w:tcBorders>
          </w:tcPr>
          <w:p w14:paraId="3DC54B98" w14:textId="77777777" w:rsidR="000F2621" w:rsidRPr="005E5D33" w:rsidRDefault="000F2621" w:rsidP="006C18F9">
            <w:pPr>
              <w:spacing w:before="60" w:after="0" w:line="240" w:lineRule="auto"/>
              <w:ind w:firstLine="170"/>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из них погибло:</w:t>
            </w:r>
          </w:p>
        </w:tc>
        <w:tc>
          <w:tcPr>
            <w:tcW w:w="1559" w:type="dxa"/>
            <w:tcBorders>
              <w:top w:val="single" w:sz="4" w:space="0" w:color="auto"/>
              <w:left w:val="single" w:sz="4" w:space="0" w:color="auto"/>
              <w:right w:val="single" w:sz="4" w:space="0" w:color="auto"/>
            </w:tcBorders>
            <w:vAlign w:val="center"/>
          </w:tcPr>
          <w:p w14:paraId="54F1CFCC" w14:textId="77777777" w:rsidR="000F2621" w:rsidRPr="005E5D33" w:rsidRDefault="000F2621" w:rsidP="00D81182">
            <w:pPr>
              <w:spacing w:before="60"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right w:val="single" w:sz="4" w:space="0" w:color="auto"/>
            </w:tcBorders>
            <w:vAlign w:val="center"/>
          </w:tcPr>
          <w:p w14:paraId="5BBDAD2F" w14:textId="77777777" w:rsidR="000F2621" w:rsidRPr="005E5D33" w:rsidRDefault="000F2621" w:rsidP="00D81182">
            <w:pPr>
              <w:spacing w:before="60"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right w:val="single" w:sz="4" w:space="0" w:color="auto"/>
            </w:tcBorders>
            <w:vAlign w:val="center"/>
          </w:tcPr>
          <w:p w14:paraId="16A9C961" w14:textId="77777777" w:rsidR="000F2621" w:rsidRPr="005E5D33" w:rsidRDefault="000F2621" w:rsidP="009018E0">
            <w:pPr>
              <w:spacing w:before="60" w:after="0" w:line="240" w:lineRule="auto"/>
              <w:jc w:val="center"/>
              <w:rPr>
                <w:rFonts w:ascii="Times New Roman" w:eastAsia="Times New Roman" w:hAnsi="Times New Roman" w:cs="Times New Roman"/>
                <w:color w:val="000000"/>
                <w:sz w:val="24"/>
                <w:szCs w:val="24"/>
                <w:lang w:eastAsia="ru-RU"/>
              </w:rPr>
            </w:pPr>
          </w:p>
        </w:tc>
      </w:tr>
      <w:tr w:rsidR="000F2621" w:rsidRPr="005E5D33" w14:paraId="7EAD8BBA" w14:textId="77777777" w:rsidTr="00D81182">
        <w:trPr>
          <w:trHeight w:val="305"/>
        </w:trPr>
        <w:tc>
          <w:tcPr>
            <w:tcW w:w="5529" w:type="dxa"/>
            <w:tcBorders>
              <w:top w:val="nil"/>
              <w:left w:val="single" w:sz="4" w:space="0" w:color="auto"/>
              <w:bottom w:val="single" w:sz="4" w:space="0" w:color="auto"/>
              <w:right w:val="single" w:sz="4" w:space="0" w:color="auto"/>
            </w:tcBorders>
          </w:tcPr>
          <w:p w14:paraId="1DFBB4E0" w14:textId="77777777" w:rsidR="000F2621" w:rsidRPr="005E5D33" w:rsidRDefault="000F2621" w:rsidP="00E27C78">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 xml:space="preserve">в результате </w:t>
            </w:r>
            <w:r w:rsidR="00E27C78">
              <w:rPr>
                <w:rFonts w:ascii="Times New Roman" w:eastAsia="Times New Roman" w:hAnsi="Times New Roman" w:cs="Times New Roman"/>
                <w:color w:val="000000"/>
                <w:sz w:val="24"/>
                <w:szCs w:val="24"/>
                <w:lang w:eastAsia="ru-RU"/>
              </w:rPr>
              <w:t>всех видов транспортных несчастных случаев</w:t>
            </w:r>
          </w:p>
        </w:tc>
        <w:tc>
          <w:tcPr>
            <w:tcW w:w="1559" w:type="dxa"/>
            <w:tcBorders>
              <w:top w:val="nil"/>
              <w:left w:val="single" w:sz="4" w:space="0" w:color="auto"/>
              <w:bottom w:val="single" w:sz="4" w:space="0" w:color="auto"/>
              <w:right w:val="single" w:sz="4" w:space="0" w:color="auto"/>
            </w:tcBorders>
            <w:vAlign w:val="center"/>
          </w:tcPr>
          <w:p w14:paraId="5C56B031" w14:textId="77777777" w:rsidR="000F2621" w:rsidRPr="005E5D33" w:rsidRDefault="007937F0" w:rsidP="00D81182">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491</w:t>
            </w:r>
          </w:p>
        </w:tc>
        <w:tc>
          <w:tcPr>
            <w:tcW w:w="1559" w:type="dxa"/>
            <w:tcBorders>
              <w:top w:val="nil"/>
              <w:left w:val="single" w:sz="4" w:space="0" w:color="auto"/>
              <w:bottom w:val="single" w:sz="4" w:space="0" w:color="auto"/>
              <w:right w:val="single" w:sz="4" w:space="0" w:color="auto"/>
            </w:tcBorders>
            <w:vAlign w:val="center"/>
          </w:tcPr>
          <w:p w14:paraId="04B23832" w14:textId="77777777" w:rsidR="000F2621" w:rsidRPr="005E5D33" w:rsidRDefault="007937F0" w:rsidP="00D81182">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452</w:t>
            </w:r>
          </w:p>
        </w:tc>
        <w:tc>
          <w:tcPr>
            <w:tcW w:w="1559" w:type="dxa"/>
            <w:tcBorders>
              <w:top w:val="nil"/>
              <w:left w:val="single" w:sz="4" w:space="0" w:color="auto"/>
              <w:bottom w:val="single" w:sz="4" w:space="0" w:color="auto"/>
              <w:right w:val="single" w:sz="4" w:space="0" w:color="auto"/>
            </w:tcBorders>
            <w:vAlign w:val="center"/>
          </w:tcPr>
          <w:p w14:paraId="44229B53" w14:textId="77777777" w:rsidR="000F2621" w:rsidRPr="005E5D33" w:rsidRDefault="007937F0" w:rsidP="009018E0">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500</w:t>
            </w:r>
          </w:p>
        </w:tc>
      </w:tr>
      <w:tr w:rsidR="000F2621" w:rsidRPr="00BD5A90" w14:paraId="0FA92DEB" w14:textId="77777777" w:rsidTr="00D81182">
        <w:trPr>
          <w:trHeight w:val="290"/>
        </w:trPr>
        <w:tc>
          <w:tcPr>
            <w:tcW w:w="5529" w:type="dxa"/>
            <w:tcBorders>
              <w:top w:val="single" w:sz="4" w:space="0" w:color="auto"/>
              <w:left w:val="single" w:sz="4" w:space="0" w:color="auto"/>
              <w:bottom w:val="single" w:sz="4" w:space="0" w:color="auto"/>
              <w:right w:val="single" w:sz="4" w:space="0" w:color="auto"/>
            </w:tcBorders>
          </w:tcPr>
          <w:p w14:paraId="62D650D6" w14:textId="77777777" w:rsidR="000F2621" w:rsidRPr="005E5D33" w:rsidRDefault="000F2621" w:rsidP="00D03A4F">
            <w:pPr>
              <w:spacing w:before="60" w:after="60" w:line="240" w:lineRule="auto"/>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vAlign w:val="center"/>
          </w:tcPr>
          <w:p w14:paraId="52E7FBBB" w14:textId="77777777" w:rsidR="000F2621" w:rsidRPr="005E5D33" w:rsidRDefault="000F2621"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364</w:t>
            </w:r>
          </w:p>
        </w:tc>
        <w:tc>
          <w:tcPr>
            <w:tcW w:w="1559" w:type="dxa"/>
            <w:tcBorders>
              <w:top w:val="single" w:sz="4" w:space="0" w:color="auto"/>
              <w:left w:val="single" w:sz="4" w:space="0" w:color="auto"/>
              <w:bottom w:val="single" w:sz="4" w:space="0" w:color="auto"/>
              <w:right w:val="single" w:sz="4" w:space="0" w:color="auto"/>
            </w:tcBorders>
            <w:vAlign w:val="center"/>
          </w:tcPr>
          <w:p w14:paraId="28B1148B" w14:textId="77777777" w:rsidR="000F2621" w:rsidRPr="005E5D33" w:rsidRDefault="000F2621"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377</w:t>
            </w:r>
          </w:p>
        </w:tc>
        <w:tc>
          <w:tcPr>
            <w:tcW w:w="1559" w:type="dxa"/>
            <w:tcBorders>
              <w:top w:val="single" w:sz="4" w:space="0" w:color="auto"/>
              <w:left w:val="single" w:sz="4" w:space="0" w:color="auto"/>
              <w:bottom w:val="single" w:sz="4" w:space="0" w:color="auto"/>
              <w:right w:val="single" w:sz="4" w:space="0" w:color="auto"/>
            </w:tcBorders>
            <w:vAlign w:val="center"/>
          </w:tcPr>
          <w:p w14:paraId="2C6DE9A5" w14:textId="77777777" w:rsidR="000F2621" w:rsidRPr="005E5D33" w:rsidRDefault="007937F0" w:rsidP="009018E0">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368</w:t>
            </w:r>
          </w:p>
        </w:tc>
      </w:tr>
      <w:tr w:rsidR="000F2621" w:rsidRPr="00BD5A90" w14:paraId="00BC80BB" w14:textId="77777777" w:rsidTr="00D81182">
        <w:trPr>
          <w:trHeight w:val="290"/>
        </w:trPr>
        <w:tc>
          <w:tcPr>
            <w:tcW w:w="5529" w:type="dxa"/>
            <w:tcBorders>
              <w:top w:val="single" w:sz="4" w:space="0" w:color="auto"/>
              <w:left w:val="single" w:sz="4" w:space="0" w:color="auto"/>
              <w:bottom w:val="single" w:sz="4" w:space="0" w:color="auto"/>
              <w:right w:val="single" w:sz="4" w:space="0" w:color="auto"/>
            </w:tcBorders>
          </w:tcPr>
          <w:p w14:paraId="68535514" w14:textId="77777777" w:rsidR="000F2621" w:rsidRPr="005E5D33" w:rsidRDefault="000F2621" w:rsidP="00D03A4F">
            <w:pPr>
              <w:spacing w:before="60" w:after="6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новой коронавирусной инфекции </w:t>
            </w:r>
            <w:r>
              <w:rPr>
                <w:rFonts w:ascii="Times New Roman" w:eastAsia="Times New Roman" w:hAnsi="Times New Roman" w:cs="Times New Roman"/>
                <w:color w:val="000000"/>
                <w:sz w:val="24"/>
                <w:szCs w:val="24"/>
                <w:lang w:val="en-US" w:eastAsia="ru-RU"/>
              </w:rPr>
              <w:t>COVID-</w:t>
            </w:r>
            <w:r>
              <w:rPr>
                <w:rFonts w:ascii="Times New Roman" w:eastAsia="Times New Roman" w:hAnsi="Times New Roman" w:cs="Times New Roman"/>
                <w:color w:val="000000"/>
                <w:sz w:val="24"/>
                <w:szCs w:val="24"/>
                <w:lang w:eastAsia="ru-RU"/>
              </w:rPr>
              <w:t>19</w:t>
            </w:r>
          </w:p>
        </w:tc>
        <w:tc>
          <w:tcPr>
            <w:tcW w:w="1559" w:type="dxa"/>
            <w:tcBorders>
              <w:top w:val="single" w:sz="4" w:space="0" w:color="auto"/>
              <w:left w:val="single" w:sz="4" w:space="0" w:color="auto"/>
              <w:bottom w:val="single" w:sz="4" w:space="0" w:color="auto"/>
              <w:right w:val="single" w:sz="4" w:space="0" w:color="auto"/>
            </w:tcBorders>
            <w:vAlign w:val="center"/>
          </w:tcPr>
          <w:p w14:paraId="5FF3CFC2" w14:textId="77777777" w:rsidR="000F2621" w:rsidRPr="005E5D33" w:rsidRDefault="000F2621" w:rsidP="00D81182">
            <w:pPr>
              <w:spacing w:before="60"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14:paraId="27762A1B" w14:textId="77777777" w:rsidR="000F2621" w:rsidRPr="005E5D33" w:rsidRDefault="007937F0" w:rsidP="00D81182">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1559" w:type="dxa"/>
            <w:tcBorders>
              <w:top w:val="single" w:sz="4" w:space="0" w:color="auto"/>
              <w:left w:val="single" w:sz="4" w:space="0" w:color="auto"/>
              <w:bottom w:val="single" w:sz="4" w:space="0" w:color="auto"/>
              <w:right w:val="single" w:sz="4" w:space="0" w:color="auto"/>
            </w:tcBorders>
            <w:vAlign w:val="center"/>
          </w:tcPr>
          <w:p w14:paraId="7B3A2579" w14:textId="77777777" w:rsidR="000F2621" w:rsidRPr="005E5D33" w:rsidRDefault="007937F0" w:rsidP="009018E0">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w:t>
            </w:r>
          </w:p>
        </w:tc>
      </w:tr>
    </w:tbl>
    <w:p w14:paraId="5AA33D74" w14:textId="77777777" w:rsidR="00D03A4F" w:rsidRPr="00BD5A90" w:rsidRDefault="00D03A4F" w:rsidP="00D03A4F">
      <w:pPr>
        <w:spacing w:after="0" w:line="240" w:lineRule="auto"/>
        <w:jc w:val="right"/>
        <w:rPr>
          <w:rFonts w:ascii="Times New Roman" w:eastAsia="Times New Roman" w:hAnsi="Times New Roman" w:cs="Times New Roman"/>
          <w:color w:val="000000"/>
          <w:sz w:val="26"/>
          <w:szCs w:val="26"/>
          <w:highlight w:val="yellow"/>
          <w:lang w:eastAsia="ru-RU"/>
        </w:rPr>
      </w:pPr>
    </w:p>
    <w:p w14:paraId="43797BD6" w14:textId="77777777" w:rsidR="00D03A4F" w:rsidRPr="00BD5A90" w:rsidRDefault="00D03A4F" w:rsidP="00D03A4F">
      <w:pPr>
        <w:spacing w:after="0" w:line="240" w:lineRule="auto"/>
        <w:jc w:val="right"/>
        <w:rPr>
          <w:rFonts w:ascii="Times New Roman" w:eastAsia="Times New Roman" w:hAnsi="Times New Roman" w:cs="Times New Roman"/>
          <w:color w:val="000000"/>
          <w:sz w:val="26"/>
          <w:szCs w:val="26"/>
          <w:highlight w:val="yellow"/>
          <w:lang w:eastAsia="ru-RU"/>
        </w:rPr>
      </w:pPr>
    </w:p>
    <w:p w14:paraId="269086E0" w14:textId="77777777" w:rsidR="00D03A4F" w:rsidRPr="00BD5A90" w:rsidRDefault="00D03A4F" w:rsidP="00D03A4F">
      <w:pPr>
        <w:spacing w:after="0" w:line="240" w:lineRule="auto"/>
        <w:rPr>
          <w:rFonts w:ascii="Times New Roman" w:eastAsia="Times New Roman" w:hAnsi="Times New Roman" w:cs="Times New Roman"/>
          <w:color w:val="000000"/>
          <w:sz w:val="26"/>
          <w:szCs w:val="26"/>
          <w:highlight w:val="yellow"/>
          <w:lang w:eastAsia="ru-RU"/>
        </w:rPr>
      </w:pPr>
    </w:p>
    <w:p w14:paraId="119319D1" w14:textId="77777777" w:rsidR="00D03A4F" w:rsidRPr="005E5D33" w:rsidRDefault="00D03A4F" w:rsidP="00D03A4F">
      <w:pPr>
        <w:spacing w:after="0" w:line="240" w:lineRule="auto"/>
        <w:jc w:val="right"/>
        <w:rPr>
          <w:rFonts w:ascii="Times New Roman" w:eastAsia="Times New Roman" w:hAnsi="Times New Roman" w:cs="Times New Roman"/>
          <w:color w:val="000000"/>
          <w:sz w:val="26"/>
          <w:szCs w:val="26"/>
          <w:lang w:eastAsia="ru-RU"/>
        </w:rPr>
      </w:pPr>
      <w:r w:rsidRPr="005E5D33">
        <w:rPr>
          <w:rFonts w:ascii="Times New Roman" w:eastAsia="Times New Roman" w:hAnsi="Times New Roman" w:cs="Times New Roman"/>
          <w:color w:val="000000"/>
          <w:sz w:val="26"/>
          <w:szCs w:val="26"/>
          <w:lang w:eastAsia="ru-RU"/>
        </w:rPr>
        <w:t>Таблица 16</w:t>
      </w:r>
    </w:p>
    <w:p w14:paraId="5352239E" w14:textId="77777777" w:rsidR="00D03A4F" w:rsidRPr="005E5D33" w:rsidRDefault="00D03A4F" w:rsidP="00D03A4F">
      <w:pPr>
        <w:spacing w:after="0" w:line="240" w:lineRule="auto"/>
        <w:jc w:val="center"/>
        <w:rPr>
          <w:rFonts w:ascii="Times New Roman" w:eastAsia="Times New Roman" w:hAnsi="Times New Roman" w:cs="Times New Roman"/>
          <w:b/>
          <w:bCs/>
          <w:color w:val="000000"/>
          <w:sz w:val="26"/>
          <w:szCs w:val="26"/>
          <w:lang w:eastAsia="ru-RU"/>
        </w:rPr>
      </w:pPr>
      <w:r w:rsidRPr="005E5D33">
        <w:rPr>
          <w:rFonts w:ascii="Times New Roman" w:eastAsia="Times New Roman" w:hAnsi="Times New Roman" w:cs="Times New Roman"/>
          <w:b/>
          <w:bCs/>
          <w:color w:val="000000"/>
          <w:sz w:val="26"/>
          <w:szCs w:val="26"/>
          <w:lang w:eastAsia="ru-RU"/>
        </w:rPr>
        <w:t>Материнская смертность</w:t>
      </w:r>
    </w:p>
    <w:p w14:paraId="112D4330" w14:textId="77777777" w:rsidR="00D03A4F" w:rsidRPr="005E5D33"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 xml:space="preserve">(число женщин, умерших в результате осложнений беременности, </w:t>
      </w:r>
    </w:p>
    <w:p w14:paraId="1077334D" w14:textId="77777777" w:rsidR="00D03A4F" w:rsidRPr="005E5D33"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родов и послеродового периода)</w:t>
      </w:r>
    </w:p>
    <w:p w14:paraId="47F7C08D" w14:textId="77777777" w:rsidR="00D03A4F" w:rsidRPr="005E5D33" w:rsidRDefault="00D03A4F" w:rsidP="00D03A4F">
      <w:pPr>
        <w:spacing w:after="0" w:line="240" w:lineRule="auto"/>
        <w:jc w:val="center"/>
        <w:rPr>
          <w:rFonts w:ascii="Times New Roman" w:eastAsia="Times New Roman" w:hAnsi="Times New Roman" w:cs="Times New Roman"/>
          <w:color w:val="000000"/>
          <w:sz w:val="24"/>
          <w:szCs w:val="24"/>
          <w:lang w:eastAsia="ru-RU"/>
        </w:rPr>
      </w:pPr>
    </w:p>
    <w:tbl>
      <w:tblPr>
        <w:tblW w:w="0" w:type="auto"/>
        <w:tblInd w:w="108" w:type="dxa"/>
        <w:tblLook w:val="00A0" w:firstRow="1" w:lastRow="0" w:firstColumn="1" w:lastColumn="0" w:noHBand="0" w:noVBand="0"/>
      </w:tblPr>
      <w:tblGrid>
        <w:gridCol w:w="3357"/>
        <w:gridCol w:w="3362"/>
        <w:gridCol w:w="3368"/>
      </w:tblGrid>
      <w:tr w:rsidR="00D03A4F" w:rsidRPr="005E5D33" w14:paraId="48DA3666" w14:textId="77777777" w:rsidTr="00944CB1">
        <w:tc>
          <w:tcPr>
            <w:tcW w:w="3390" w:type="dxa"/>
            <w:tcBorders>
              <w:top w:val="single" w:sz="4" w:space="0" w:color="auto"/>
              <w:left w:val="single" w:sz="4" w:space="0" w:color="auto"/>
              <w:bottom w:val="single" w:sz="4" w:space="0" w:color="auto"/>
              <w:right w:val="single" w:sz="4" w:space="0" w:color="auto"/>
            </w:tcBorders>
          </w:tcPr>
          <w:p w14:paraId="06A2C82E" w14:textId="77777777" w:rsidR="00D03A4F" w:rsidRPr="005E5D33" w:rsidRDefault="00D03A4F" w:rsidP="00D03A4F">
            <w:pPr>
              <w:spacing w:before="60" w:after="60" w:line="240" w:lineRule="auto"/>
              <w:jc w:val="center"/>
              <w:rPr>
                <w:rFonts w:ascii="Times New Roman" w:eastAsia="Times New Roman" w:hAnsi="Times New Roman" w:cs="Times New Roman"/>
                <w:sz w:val="24"/>
                <w:szCs w:val="24"/>
                <w:lang w:eastAsia="ru-RU"/>
              </w:rPr>
            </w:pPr>
            <w:r w:rsidRPr="005E5D33">
              <w:rPr>
                <w:rFonts w:ascii="Times New Roman" w:eastAsia="Times New Roman" w:hAnsi="Times New Roman" w:cs="Times New Roman"/>
                <w:sz w:val="24"/>
                <w:szCs w:val="24"/>
                <w:lang w:eastAsia="ru-RU"/>
              </w:rPr>
              <w:t>Год</w:t>
            </w:r>
          </w:p>
        </w:tc>
        <w:tc>
          <w:tcPr>
            <w:tcW w:w="3390" w:type="dxa"/>
            <w:tcBorders>
              <w:top w:val="single" w:sz="4" w:space="0" w:color="auto"/>
              <w:left w:val="single" w:sz="4" w:space="0" w:color="auto"/>
              <w:bottom w:val="single" w:sz="4" w:space="0" w:color="auto"/>
              <w:right w:val="single" w:sz="4" w:space="0" w:color="auto"/>
            </w:tcBorders>
          </w:tcPr>
          <w:p w14:paraId="2DE62FDB" w14:textId="77777777"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Человек</w:t>
            </w:r>
          </w:p>
        </w:tc>
        <w:tc>
          <w:tcPr>
            <w:tcW w:w="3391" w:type="dxa"/>
            <w:tcBorders>
              <w:top w:val="single" w:sz="4" w:space="0" w:color="auto"/>
              <w:left w:val="single" w:sz="4" w:space="0" w:color="auto"/>
              <w:bottom w:val="single" w:sz="4" w:space="0" w:color="auto"/>
              <w:right w:val="single" w:sz="4" w:space="0" w:color="auto"/>
            </w:tcBorders>
          </w:tcPr>
          <w:p w14:paraId="72C69F4D" w14:textId="77777777" w:rsidR="00D03A4F" w:rsidRPr="005E5D33" w:rsidRDefault="00D03A4F" w:rsidP="00D03A4F">
            <w:pPr>
              <w:spacing w:before="60" w:after="6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На 100 000 родившихся детей</w:t>
            </w:r>
          </w:p>
        </w:tc>
      </w:tr>
      <w:tr w:rsidR="00B20309" w:rsidRPr="005E5D33" w14:paraId="080CBB36" w14:textId="77777777" w:rsidTr="00944CB1">
        <w:tc>
          <w:tcPr>
            <w:tcW w:w="3390" w:type="dxa"/>
            <w:tcBorders>
              <w:top w:val="single" w:sz="4" w:space="0" w:color="auto"/>
              <w:left w:val="single" w:sz="4" w:space="0" w:color="auto"/>
              <w:bottom w:val="single" w:sz="4" w:space="0" w:color="auto"/>
              <w:right w:val="single" w:sz="4" w:space="0" w:color="auto"/>
            </w:tcBorders>
            <w:vAlign w:val="center"/>
          </w:tcPr>
          <w:p w14:paraId="7665B068" w14:textId="77777777" w:rsidR="00B20309" w:rsidRPr="005E5D33" w:rsidRDefault="00B20309"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2019</w:t>
            </w:r>
          </w:p>
        </w:tc>
        <w:tc>
          <w:tcPr>
            <w:tcW w:w="3390" w:type="dxa"/>
            <w:tcBorders>
              <w:top w:val="single" w:sz="4" w:space="0" w:color="auto"/>
              <w:left w:val="single" w:sz="4" w:space="0" w:color="auto"/>
              <w:bottom w:val="single" w:sz="4" w:space="0" w:color="auto"/>
              <w:right w:val="single" w:sz="4" w:space="0" w:color="auto"/>
            </w:tcBorders>
            <w:vAlign w:val="center"/>
          </w:tcPr>
          <w:p w14:paraId="362D7F51" w14:textId="77777777" w:rsidR="00B20309" w:rsidRPr="005E5D33" w:rsidRDefault="00B20309"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134</w:t>
            </w:r>
          </w:p>
        </w:tc>
        <w:tc>
          <w:tcPr>
            <w:tcW w:w="3391" w:type="dxa"/>
            <w:tcBorders>
              <w:top w:val="single" w:sz="4" w:space="0" w:color="auto"/>
              <w:left w:val="single" w:sz="4" w:space="0" w:color="auto"/>
              <w:bottom w:val="single" w:sz="4" w:space="0" w:color="auto"/>
              <w:right w:val="single" w:sz="4" w:space="0" w:color="auto"/>
            </w:tcBorders>
            <w:vAlign w:val="center"/>
          </w:tcPr>
          <w:p w14:paraId="0A7A11E2" w14:textId="77777777" w:rsidR="00B20309" w:rsidRPr="005E5D33" w:rsidRDefault="00B20309"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9,0</w:t>
            </w:r>
          </w:p>
        </w:tc>
      </w:tr>
      <w:tr w:rsidR="00B20309" w:rsidRPr="005E5D33" w14:paraId="25A395EC" w14:textId="77777777" w:rsidTr="00944CB1">
        <w:tc>
          <w:tcPr>
            <w:tcW w:w="3390" w:type="dxa"/>
            <w:tcBorders>
              <w:top w:val="single" w:sz="4" w:space="0" w:color="auto"/>
              <w:left w:val="single" w:sz="4" w:space="0" w:color="auto"/>
              <w:bottom w:val="single" w:sz="4" w:space="0" w:color="auto"/>
              <w:right w:val="single" w:sz="4" w:space="0" w:color="auto"/>
            </w:tcBorders>
            <w:vAlign w:val="center"/>
          </w:tcPr>
          <w:p w14:paraId="6B76AB41" w14:textId="77777777" w:rsidR="00B20309" w:rsidRPr="005E5D33" w:rsidRDefault="00B20309"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2020</w:t>
            </w:r>
          </w:p>
        </w:tc>
        <w:tc>
          <w:tcPr>
            <w:tcW w:w="3390" w:type="dxa"/>
            <w:tcBorders>
              <w:top w:val="single" w:sz="4" w:space="0" w:color="auto"/>
              <w:left w:val="single" w:sz="4" w:space="0" w:color="auto"/>
              <w:bottom w:val="single" w:sz="4" w:space="0" w:color="auto"/>
              <w:right w:val="single" w:sz="4" w:space="0" w:color="auto"/>
            </w:tcBorders>
            <w:vAlign w:val="center"/>
          </w:tcPr>
          <w:p w14:paraId="4294D5FF" w14:textId="77777777" w:rsidR="00B20309" w:rsidRPr="005E5D33" w:rsidRDefault="00B20309"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161</w:t>
            </w:r>
          </w:p>
        </w:tc>
        <w:tc>
          <w:tcPr>
            <w:tcW w:w="3391" w:type="dxa"/>
            <w:tcBorders>
              <w:top w:val="single" w:sz="4" w:space="0" w:color="auto"/>
              <w:left w:val="single" w:sz="4" w:space="0" w:color="auto"/>
              <w:bottom w:val="single" w:sz="4" w:space="0" w:color="auto"/>
              <w:right w:val="single" w:sz="4" w:space="0" w:color="auto"/>
            </w:tcBorders>
            <w:vAlign w:val="center"/>
          </w:tcPr>
          <w:p w14:paraId="62E27B5D" w14:textId="77777777" w:rsidR="00B20309" w:rsidRPr="005E5D33" w:rsidRDefault="00B20309" w:rsidP="00D81182">
            <w:pPr>
              <w:spacing w:before="60" w:after="0" w:line="240" w:lineRule="auto"/>
              <w:jc w:val="center"/>
              <w:rPr>
                <w:rFonts w:ascii="Times New Roman" w:eastAsia="Times New Roman" w:hAnsi="Times New Roman" w:cs="Times New Roman"/>
                <w:color w:val="000000"/>
                <w:sz w:val="24"/>
                <w:szCs w:val="24"/>
                <w:lang w:eastAsia="ru-RU"/>
              </w:rPr>
            </w:pPr>
            <w:r w:rsidRPr="005E5D33">
              <w:rPr>
                <w:rFonts w:ascii="Times New Roman" w:eastAsia="Times New Roman" w:hAnsi="Times New Roman" w:cs="Times New Roman"/>
                <w:color w:val="000000"/>
                <w:sz w:val="24"/>
                <w:szCs w:val="24"/>
                <w:lang w:eastAsia="ru-RU"/>
              </w:rPr>
              <w:t>11,2</w:t>
            </w:r>
          </w:p>
        </w:tc>
      </w:tr>
      <w:tr w:rsidR="00B20309" w:rsidRPr="00BD5A90" w14:paraId="23FB1A9A" w14:textId="77777777" w:rsidTr="00944CB1">
        <w:tc>
          <w:tcPr>
            <w:tcW w:w="3390" w:type="dxa"/>
            <w:tcBorders>
              <w:top w:val="single" w:sz="4" w:space="0" w:color="auto"/>
              <w:left w:val="single" w:sz="4" w:space="0" w:color="auto"/>
              <w:bottom w:val="single" w:sz="4" w:space="0" w:color="auto"/>
              <w:right w:val="single" w:sz="4" w:space="0" w:color="auto"/>
            </w:tcBorders>
            <w:vAlign w:val="center"/>
          </w:tcPr>
          <w:p w14:paraId="0FBB513C" w14:textId="77777777" w:rsidR="00B20309" w:rsidRPr="005E5D33" w:rsidRDefault="00B20309" w:rsidP="00D03A4F">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p>
        </w:tc>
        <w:tc>
          <w:tcPr>
            <w:tcW w:w="3390" w:type="dxa"/>
            <w:tcBorders>
              <w:top w:val="single" w:sz="4" w:space="0" w:color="auto"/>
              <w:left w:val="single" w:sz="4" w:space="0" w:color="auto"/>
              <w:bottom w:val="single" w:sz="4" w:space="0" w:color="auto"/>
              <w:right w:val="single" w:sz="4" w:space="0" w:color="auto"/>
            </w:tcBorders>
            <w:vAlign w:val="center"/>
          </w:tcPr>
          <w:p w14:paraId="20281DC0" w14:textId="77777777" w:rsidR="00B20309" w:rsidRPr="005E5D33" w:rsidRDefault="00B20309" w:rsidP="00D03A4F">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482</w:t>
            </w:r>
          </w:p>
        </w:tc>
        <w:tc>
          <w:tcPr>
            <w:tcW w:w="3391" w:type="dxa"/>
            <w:tcBorders>
              <w:top w:val="single" w:sz="4" w:space="0" w:color="auto"/>
              <w:left w:val="single" w:sz="4" w:space="0" w:color="auto"/>
              <w:bottom w:val="single" w:sz="4" w:space="0" w:color="auto"/>
              <w:right w:val="single" w:sz="4" w:space="0" w:color="auto"/>
            </w:tcBorders>
            <w:vAlign w:val="center"/>
          </w:tcPr>
          <w:p w14:paraId="3E0A1602" w14:textId="77777777" w:rsidR="00B20309" w:rsidRPr="005E5D33" w:rsidRDefault="00B20309" w:rsidP="00D03A4F">
            <w:pPr>
              <w:spacing w:before="60"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34,5</w:t>
            </w:r>
          </w:p>
        </w:tc>
      </w:tr>
    </w:tbl>
    <w:p w14:paraId="7338518C" w14:textId="77777777"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14:paraId="529D4C43" w14:textId="77777777" w:rsidR="00D03A4F" w:rsidRPr="00C766C2" w:rsidRDefault="00D03A4F" w:rsidP="00D03A4F">
      <w:pPr>
        <w:spacing w:after="0" w:line="240" w:lineRule="auto"/>
        <w:rPr>
          <w:rFonts w:ascii="Times New Roman" w:eastAsia="Times New Roman" w:hAnsi="Times New Roman" w:cs="Times New Roman"/>
          <w:bCs/>
          <w:color w:val="000000"/>
          <w:sz w:val="26"/>
          <w:szCs w:val="26"/>
          <w:lang w:eastAsia="ru-RU"/>
        </w:rPr>
      </w:pPr>
    </w:p>
    <w:p w14:paraId="77838F76" w14:textId="77777777" w:rsidR="00D03A4F" w:rsidRPr="00C766C2" w:rsidRDefault="00D03A4F" w:rsidP="00D03A4F">
      <w:pPr>
        <w:spacing w:after="0" w:line="240" w:lineRule="auto"/>
        <w:jc w:val="right"/>
        <w:rPr>
          <w:rFonts w:ascii="Times New Roman" w:eastAsia="Times New Roman" w:hAnsi="Times New Roman" w:cs="Times New Roman"/>
          <w:bCs/>
          <w:color w:val="000000"/>
          <w:sz w:val="26"/>
          <w:szCs w:val="26"/>
          <w:lang w:eastAsia="ru-RU"/>
        </w:rPr>
      </w:pPr>
      <w:r w:rsidRPr="00C766C2">
        <w:rPr>
          <w:rFonts w:ascii="Times New Roman" w:eastAsia="Times New Roman" w:hAnsi="Times New Roman" w:cs="Times New Roman"/>
          <w:bCs/>
          <w:color w:val="000000"/>
          <w:sz w:val="26"/>
          <w:szCs w:val="26"/>
          <w:lang w:eastAsia="ru-RU"/>
        </w:rPr>
        <w:t>Таблица 17</w:t>
      </w:r>
    </w:p>
    <w:p w14:paraId="0D239C01" w14:textId="77777777" w:rsidR="00D03A4F" w:rsidRPr="00C766C2" w:rsidRDefault="00D03A4F" w:rsidP="00D03A4F">
      <w:pPr>
        <w:spacing w:after="0" w:line="240" w:lineRule="auto"/>
        <w:jc w:val="right"/>
        <w:rPr>
          <w:rFonts w:ascii="Times New Roman" w:eastAsia="Times New Roman" w:hAnsi="Times New Roman" w:cs="Times New Roman"/>
          <w:bCs/>
          <w:color w:val="000000"/>
          <w:sz w:val="26"/>
          <w:szCs w:val="26"/>
          <w:lang w:eastAsia="ru-RU"/>
        </w:rPr>
      </w:pPr>
    </w:p>
    <w:p w14:paraId="2A2488D6" w14:textId="77777777" w:rsidR="00D03A4F" w:rsidRPr="006A3AB8" w:rsidRDefault="00D03A4F" w:rsidP="00D03A4F">
      <w:pPr>
        <w:spacing w:after="0" w:line="240" w:lineRule="auto"/>
        <w:jc w:val="center"/>
        <w:rPr>
          <w:rFonts w:ascii="Times New Roman" w:eastAsia="Times New Roman" w:hAnsi="Times New Roman" w:cs="Times New Roman"/>
          <w:sz w:val="26"/>
          <w:szCs w:val="26"/>
          <w:lang w:eastAsia="ru-RU"/>
        </w:rPr>
      </w:pPr>
      <w:r w:rsidRPr="006A3AB8">
        <w:rPr>
          <w:rFonts w:ascii="Times New Roman" w:eastAsia="Times New Roman" w:hAnsi="Times New Roman" w:cs="Times New Roman"/>
          <w:b/>
          <w:bCs/>
          <w:color w:val="000000"/>
          <w:sz w:val="26"/>
          <w:szCs w:val="26"/>
          <w:lang w:eastAsia="ru-RU"/>
        </w:rPr>
        <w:t>Младенческая смертность по субъектам Российской Федерации в 20</w:t>
      </w:r>
      <w:r w:rsidR="00746764" w:rsidRPr="006A3AB8">
        <w:rPr>
          <w:rFonts w:ascii="Times New Roman" w:eastAsia="Times New Roman" w:hAnsi="Times New Roman" w:cs="Times New Roman"/>
          <w:b/>
          <w:bCs/>
          <w:color w:val="000000"/>
          <w:sz w:val="26"/>
          <w:szCs w:val="26"/>
          <w:lang w:eastAsia="ru-RU"/>
        </w:rPr>
        <w:t>2</w:t>
      </w:r>
      <w:r w:rsidR="0080431B" w:rsidRPr="006A3AB8">
        <w:rPr>
          <w:rFonts w:ascii="Times New Roman" w:eastAsia="Times New Roman" w:hAnsi="Times New Roman" w:cs="Times New Roman"/>
          <w:b/>
          <w:bCs/>
          <w:color w:val="000000"/>
          <w:sz w:val="26"/>
          <w:szCs w:val="26"/>
          <w:lang w:eastAsia="ru-RU"/>
        </w:rPr>
        <w:t>1</w:t>
      </w:r>
      <w:r w:rsidRPr="006A3AB8">
        <w:rPr>
          <w:rFonts w:ascii="Times New Roman" w:eastAsia="Times New Roman" w:hAnsi="Times New Roman" w:cs="Times New Roman"/>
          <w:b/>
          <w:bCs/>
          <w:color w:val="000000"/>
          <w:sz w:val="26"/>
          <w:szCs w:val="26"/>
          <w:lang w:eastAsia="ru-RU"/>
        </w:rPr>
        <w:t xml:space="preserve"> году</w:t>
      </w:r>
    </w:p>
    <w:p w14:paraId="56A2559A" w14:textId="77777777" w:rsidR="00D03A4F" w:rsidRPr="00C766C2"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6A3AB8">
        <w:rPr>
          <w:rFonts w:ascii="Times New Roman" w:eastAsia="Times New Roman" w:hAnsi="Times New Roman" w:cs="Times New Roman"/>
          <w:color w:val="000000"/>
          <w:sz w:val="24"/>
          <w:szCs w:val="24"/>
          <w:lang w:eastAsia="ru-RU"/>
        </w:rPr>
        <w:t>(на 1000 родившихся живыми)</w:t>
      </w:r>
    </w:p>
    <w:p w14:paraId="2CBAE94F" w14:textId="77777777" w:rsidR="00D03A4F" w:rsidRPr="00C766C2" w:rsidRDefault="00D03A4F" w:rsidP="00D03A4F">
      <w:pPr>
        <w:spacing w:after="0" w:line="240" w:lineRule="auto"/>
        <w:jc w:val="right"/>
        <w:rPr>
          <w:rFonts w:ascii="Times New Roman" w:eastAsia="Times New Roman" w:hAnsi="Times New Roman" w:cs="Times New Roman"/>
          <w:bCs/>
          <w:color w:val="000000"/>
          <w:sz w:val="26"/>
          <w:szCs w:val="26"/>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D03A4F" w:rsidRPr="00C766C2" w14:paraId="1292354F" w14:textId="77777777" w:rsidTr="00944CB1">
        <w:trPr>
          <w:tblHeader/>
        </w:trPr>
        <w:tc>
          <w:tcPr>
            <w:tcW w:w="4785" w:type="dxa"/>
          </w:tcPr>
          <w:p w14:paraId="199558EA" w14:textId="77777777" w:rsidR="00D03A4F" w:rsidRPr="00C766C2" w:rsidRDefault="00D03A4F" w:rsidP="00D03A4F">
            <w:pPr>
              <w:spacing w:after="0" w:line="240" w:lineRule="auto"/>
              <w:jc w:val="center"/>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Территория</w:t>
            </w:r>
          </w:p>
        </w:tc>
        <w:tc>
          <w:tcPr>
            <w:tcW w:w="4786" w:type="dxa"/>
          </w:tcPr>
          <w:p w14:paraId="1180BAFD"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p>
        </w:tc>
      </w:tr>
      <w:tr w:rsidR="00D03A4F" w:rsidRPr="00C766C2" w14:paraId="1F33408E" w14:textId="77777777" w:rsidTr="00944CB1">
        <w:tc>
          <w:tcPr>
            <w:tcW w:w="4785" w:type="dxa"/>
          </w:tcPr>
          <w:p w14:paraId="0E13D06C" w14:textId="77777777" w:rsidR="00D03A4F" w:rsidRPr="00C766C2" w:rsidRDefault="00D03A4F"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Российская Федерация</w:t>
            </w:r>
          </w:p>
        </w:tc>
        <w:tc>
          <w:tcPr>
            <w:tcW w:w="4786" w:type="dxa"/>
            <w:vAlign w:val="bottom"/>
          </w:tcPr>
          <w:p w14:paraId="292F85F8" w14:textId="77777777" w:rsidR="00D03A4F" w:rsidRPr="00C766C2" w:rsidRDefault="00F12830" w:rsidP="0074676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4,6</w:t>
            </w:r>
          </w:p>
        </w:tc>
      </w:tr>
      <w:tr w:rsidR="00D03A4F" w:rsidRPr="00C766C2" w14:paraId="4070651E" w14:textId="77777777" w:rsidTr="00944CB1">
        <w:tc>
          <w:tcPr>
            <w:tcW w:w="4785" w:type="dxa"/>
          </w:tcPr>
          <w:p w14:paraId="0C4049AD" w14:textId="77777777" w:rsidR="00D03A4F" w:rsidRPr="00C766C2" w:rsidRDefault="00D03A4F"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Центральный федеральный округ</w:t>
            </w:r>
          </w:p>
        </w:tc>
        <w:tc>
          <w:tcPr>
            <w:tcW w:w="4786" w:type="dxa"/>
            <w:vAlign w:val="bottom"/>
          </w:tcPr>
          <w:p w14:paraId="19572D45" w14:textId="77777777" w:rsidR="00D03A4F" w:rsidRPr="00C766C2" w:rsidRDefault="0005691B" w:rsidP="00D03A4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w:t>
            </w:r>
          </w:p>
        </w:tc>
      </w:tr>
      <w:tr w:rsidR="00D03A4F" w:rsidRPr="00C766C2" w14:paraId="3AF75993" w14:textId="77777777" w:rsidTr="00944CB1">
        <w:tc>
          <w:tcPr>
            <w:tcW w:w="4785" w:type="dxa"/>
          </w:tcPr>
          <w:p w14:paraId="32E3FA74"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Белгородская область</w:t>
            </w:r>
          </w:p>
        </w:tc>
        <w:tc>
          <w:tcPr>
            <w:tcW w:w="4786" w:type="dxa"/>
            <w:vAlign w:val="bottom"/>
          </w:tcPr>
          <w:p w14:paraId="6F0C03B6"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r>
      <w:tr w:rsidR="00D03A4F" w:rsidRPr="00C766C2" w14:paraId="49DEDDF4" w14:textId="77777777" w:rsidTr="00944CB1">
        <w:tc>
          <w:tcPr>
            <w:tcW w:w="4785" w:type="dxa"/>
          </w:tcPr>
          <w:p w14:paraId="3E342B01"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Брянская область</w:t>
            </w:r>
          </w:p>
        </w:tc>
        <w:tc>
          <w:tcPr>
            <w:tcW w:w="4786" w:type="dxa"/>
            <w:vAlign w:val="bottom"/>
          </w:tcPr>
          <w:p w14:paraId="72628D97"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D03A4F" w:rsidRPr="00C766C2" w14:paraId="6A06EA53" w14:textId="77777777" w:rsidTr="00944CB1">
        <w:tc>
          <w:tcPr>
            <w:tcW w:w="4785" w:type="dxa"/>
          </w:tcPr>
          <w:p w14:paraId="05F5BC7A"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Владимирская область</w:t>
            </w:r>
          </w:p>
        </w:tc>
        <w:tc>
          <w:tcPr>
            <w:tcW w:w="4786" w:type="dxa"/>
            <w:vAlign w:val="bottom"/>
          </w:tcPr>
          <w:p w14:paraId="3F4C37D6"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r>
      <w:tr w:rsidR="00D03A4F" w:rsidRPr="00C766C2" w14:paraId="7A2ACEA5" w14:textId="77777777" w:rsidTr="00944CB1">
        <w:tc>
          <w:tcPr>
            <w:tcW w:w="4785" w:type="dxa"/>
          </w:tcPr>
          <w:p w14:paraId="26586D56"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Воронежская область</w:t>
            </w:r>
          </w:p>
        </w:tc>
        <w:tc>
          <w:tcPr>
            <w:tcW w:w="4786" w:type="dxa"/>
            <w:vAlign w:val="bottom"/>
          </w:tcPr>
          <w:p w14:paraId="29674766"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r>
      <w:tr w:rsidR="00D03A4F" w:rsidRPr="00C766C2" w14:paraId="33520464" w14:textId="77777777" w:rsidTr="00944CB1">
        <w:tc>
          <w:tcPr>
            <w:tcW w:w="4785" w:type="dxa"/>
          </w:tcPr>
          <w:p w14:paraId="574691CB"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Ивановская область</w:t>
            </w:r>
          </w:p>
        </w:tc>
        <w:tc>
          <w:tcPr>
            <w:tcW w:w="4786" w:type="dxa"/>
            <w:vAlign w:val="bottom"/>
          </w:tcPr>
          <w:p w14:paraId="4953EA58"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D03A4F" w:rsidRPr="00C766C2" w14:paraId="191B2AB9" w14:textId="77777777" w:rsidTr="00944CB1">
        <w:tc>
          <w:tcPr>
            <w:tcW w:w="4785" w:type="dxa"/>
          </w:tcPr>
          <w:p w14:paraId="6C7F42AC"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Калужская область</w:t>
            </w:r>
          </w:p>
        </w:tc>
        <w:tc>
          <w:tcPr>
            <w:tcW w:w="4786" w:type="dxa"/>
            <w:vAlign w:val="bottom"/>
          </w:tcPr>
          <w:p w14:paraId="692DB239"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D03A4F" w:rsidRPr="00C766C2" w14:paraId="5C8BB093" w14:textId="77777777" w:rsidTr="00944CB1">
        <w:tc>
          <w:tcPr>
            <w:tcW w:w="4785" w:type="dxa"/>
          </w:tcPr>
          <w:p w14:paraId="4242B1E8"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Костромская область</w:t>
            </w:r>
          </w:p>
        </w:tc>
        <w:tc>
          <w:tcPr>
            <w:tcW w:w="4786" w:type="dxa"/>
            <w:vAlign w:val="bottom"/>
          </w:tcPr>
          <w:p w14:paraId="13AFDBB0"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r>
      <w:tr w:rsidR="00D03A4F" w:rsidRPr="00C766C2" w14:paraId="007F6E26" w14:textId="77777777" w:rsidTr="00944CB1">
        <w:tc>
          <w:tcPr>
            <w:tcW w:w="4785" w:type="dxa"/>
          </w:tcPr>
          <w:p w14:paraId="7601D5BC"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Курская область</w:t>
            </w:r>
          </w:p>
        </w:tc>
        <w:tc>
          <w:tcPr>
            <w:tcW w:w="4786" w:type="dxa"/>
            <w:vAlign w:val="bottom"/>
          </w:tcPr>
          <w:p w14:paraId="3F718170"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r>
      <w:tr w:rsidR="00D03A4F" w:rsidRPr="00C766C2" w14:paraId="67688DB2" w14:textId="77777777" w:rsidTr="00944CB1">
        <w:tc>
          <w:tcPr>
            <w:tcW w:w="4785" w:type="dxa"/>
          </w:tcPr>
          <w:p w14:paraId="33B14DB8"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Липецкая область</w:t>
            </w:r>
          </w:p>
        </w:tc>
        <w:tc>
          <w:tcPr>
            <w:tcW w:w="4786" w:type="dxa"/>
            <w:vAlign w:val="bottom"/>
          </w:tcPr>
          <w:p w14:paraId="33FF623D"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r>
      <w:tr w:rsidR="00D03A4F" w:rsidRPr="00C766C2" w14:paraId="547C8FA7" w14:textId="77777777" w:rsidTr="00944CB1">
        <w:tc>
          <w:tcPr>
            <w:tcW w:w="4785" w:type="dxa"/>
          </w:tcPr>
          <w:p w14:paraId="3110CB75"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Московская область</w:t>
            </w:r>
          </w:p>
        </w:tc>
        <w:tc>
          <w:tcPr>
            <w:tcW w:w="4786" w:type="dxa"/>
            <w:vAlign w:val="bottom"/>
          </w:tcPr>
          <w:p w14:paraId="6C5A04F1"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r>
      <w:tr w:rsidR="00D03A4F" w:rsidRPr="00C766C2" w14:paraId="0E7B8096" w14:textId="77777777" w:rsidTr="00944CB1">
        <w:tc>
          <w:tcPr>
            <w:tcW w:w="4785" w:type="dxa"/>
          </w:tcPr>
          <w:p w14:paraId="499FEE7B"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Орловская область</w:t>
            </w:r>
          </w:p>
        </w:tc>
        <w:tc>
          <w:tcPr>
            <w:tcW w:w="4786" w:type="dxa"/>
            <w:vAlign w:val="bottom"/>
          </w:tcPr>
          <w:p w14:paraId="178CC558"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r>
      <w:tr w:rsidR="00D03A4F" w:rsidRPr="00C766C2" w14:paraId="79D052AC" w14:textId="77777777" w:rsidTr="00944CB1">
        <w:tc>
          <w:tcPr>
            <w:tcW w:w="4785" w:type="dxa"/>
          </w:tcPr>
          <w:p w14:paraId="3300B623"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Рязанская область</w:t>
            </w:r>
          </w:p>
        </w:tc>
        <w:tc>
          <w:tcPr>
            <w:tcW w:w="4786" w:type="dxa"/>
            <w:vAlign w:val="bottom"/>
          </w:tcPr>
          <w:p w14:paraId="3D5826AB"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r>
      <w:tr w:rsidR="00D03A4F" w:rsidRPr="00C766C2" w14:paraId="1EDC8046" w14:textId="77777777" w:rsidTr="00944CB1">
        <w:tc>
          <w:tcPr>
            <w:tcW w:w="4785" w:type="dxa"/>
          </w:tcPr>
          <w:p w14:paraId="4800878C"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Смоленская область</w:t>
            </w:r>
          </w:p>
        </w:tc>
        <w:tc>
          <w:tcPr>
            <w:tcW w:w="4786" w:type="dxa"/>
            <w:vAlign w:val="bottom"/>
          </w:tcPr>
          <w:p w14:paraId="575CD176"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r>
      <w:tr w:rsidR="00D03A4F" w:rsidRPr="00C766C2" w14:paraId="7DA81CB9" w14:textId="77777777" w:rsidTr="00944CB1">
        <w:tc>
          <w:tcPr>
            <w:tcW w:w="4785" w:type="dxa"/>
          </w:tcPr>
          <w:p w14:paraId="0C31C032"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Тамбовская область</w:t>
            </w:r>
          </w:p>
        </w:tc>
        <w:tc>
          <w:tcPr>
            <w:tcW w:w="4786" w:type="dxa"/>
            <w:vAlign w:val="bottom"/>
          </w:tcPr>
          <w:p w14:paraId="6BA6EB91"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D03A4F" w:rsidRPr="00C766C2" w14:paraId="6ABDB675" w14:textId="77777777" w:rsidTr="00944CB1">
        <w:tc>
          <w:tcPr>
            <w:tcW w:w="4785" w:type="dxa"/>
          </w:tcPr>
          <w:p w14:paraId="3562D992"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Тверская область</w:t>
            </w:r>
          </w:p>
        </w:tc>
        <w:tc>
          <w:tcPr>
            <w:tcW w:w="4786" w:type="dxa"/>
            <w:vAlign w:val="bottom"/>
          </w:tcPr>
          <w:p w14:paraId="2C419354"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r>
      <w:tr w:rsidR="00D03A4F" w:rsidRPr="00C766C2" w14:paraId="5844FF5D" w14:textId="77777777" w:rsidTr="00944CB1">
        <w:tc>
          <w:tcPr>
            <w:tcW w:w="4785" w:type="dxa"/>
          </w:tcPr>
          <w:p w14:paraId="0B0DA882"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Тульская область</w:t>
            </w:r>
          </w:p>
        </w:tc>
        <w:tc>
          <w:tcPr>
            <w:tcW w:w="4786" w:type="dxa"/>
            <w:vAlign w:val="bottom"/>
          </w:tcPr>
          <w:p w14:paraId="26063C53"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r>
      <w:tr w:rsidR="00D03A4F" w:rsidRPr="00C766C2" w14:paraId="2D087C54" w14:textId="77777777" w:rsidTr="00944CB1">
        <w:tc>
          <w:tcPr>
            <w:tcW w:w="4785" w:type="dxa"/>
          </w:tcPr>
          <w:p w14:paraId="6A056A00"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Ярославская область</w:t>
            </w:r>
          </w:p>
        </w:tc>
        <w:tc>
          <w:tcPr>
            <w:tcW w:w="4786" w:type="dxa"/>
            <w:vAlign w:val="bottom"/>
          </w:tcPr>
          <w:p w14:paraId="6CC06C52"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r>
      <w:tr w:rsidR="00D03A4F" w:rsidRPr="00C766C2" w14:paraId="6B78B32F" w14:textId="77777777" w:rsidTr="00944CB1">
        <w:tc>
          <w:tcPr>
            <w:tcW w:w="4785" w:type="dxa"/>
          </w:tcPr>
          <w:p w14:paraId="399663C7"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г. Москва</w:t>
            </w:r>
          </w:p>
        </w:tc>
        <w:tc>
          <w:tcPr>
            <w:tcW w:w="4786" w:type="dxa"/>
            <w:vAlign w:val="bottom"/>
          </w:tcPr>
          <w:p w14:paraId="597EAB26"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D03A4F" w:rsidRPr="00C766C2" w14:paraId="0ED42FF1" w14:textId="77777777" w:rsidTr="00944CB1">
        <w:tc>
          <w:tcPr>
            <w:tcW w:w="4785" w:type="dxa"/>
          </w:tcPr>
          <w:p w14:paraId="107EFEE0" w14:textId="77777777" w:rsidR="00D03A4F" w:rsidRPr="00C766C2" w:rsidRDefault="00D03A4F"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Северо-Западный федеральный округ</w:t>
            </w:r>
          </w:p>
        </w:tc>
        <w:tc>
          <w:tcPr>
            <w:tcW w:w="4786" w:type="dxa"/>
            <w:vAlign w:val="bottom"/>
          </w:tcPr>
          <w:p w14:paraId="730480F5" w14:textId="77777777" w:rsidR="00D03A4F" w:rsidRPr="00C766C2" w:rsidRDefault="0005691B" w:rsidP="00D03A4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4,2</w:t>
            </w:r>
          </w:p>
        </w:tc>
      </w:tr>
      <w:tr w:rsidR="00D03A4F" w:rsidRPr="00C766C2" w14:paraId="04C527E7" w14:textId="77777777" w:rsidTr="00944CB1">
        <w:tc>
          <w:tcPr>
            <w:tcW w:w="4785" w:type="dxa"/>
          </w:tcPr>
          <w:p w14:paraId="7D3FEA9E"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Карелия</w:t>
            </w:r>
          </w:p>
        </w:tc>
        <w:tc>
          <w:tcPr>
            <w:tcW w:w="4786" w:type="dxa"/>
            <w:vAlign w:val="bottom"/>
          </w:tcPr>
          <w:p w14:paraId="1818A6D6"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r>
      <w:tr w:rsidR="00D03A4F" w:rsidRPr="00C766C2" w14:paraId="6A78D3A8" w14:textId="77777777" w:rsidTr="00944CB1">
        <w:tc>
          <w:tcPr>
            <w:tcW w:w="4785" w:type="dxa"/>
          </w:tcPr>
          <w:p w14:paraId="1A987953"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Коми</w:t>
            </w:r>
          </w:p>
        </w:tc>
        <w:tc>
          <w:tcPr>
            <w:tcW w:w="4786" w:type="dxa"/>
            <w:vAlign w:val="bottom"/>
          </w:tcPr>
          <w:p w14:paraId="667325AA"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r>
      <w:tr w:rsidR="00D03A4F" w:rsidRPr="00C766C2" w14:paraId="11269359" w14:textId="77777777" w:rsidTr="00944CB1">
        <w:tc>
          <w:tcPr>
            <w:tcW w:w="4785" w:type="dxa"/>
          </w:tcPr>
          <w:p w14:paraId="385CB943"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Архангельская область</w:t>
            </w:r>
          </w:p>
        </w:tc>
        <w:tc>
          <w:tcPr>
            <w:tcW w:w="4786" w:type="dxa"/>
            <w:vAlign w:val="bottom"/>
          </w:tcPr>
          <w:p w14:paraId="583C0206"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r>
      <w:tr w:rsidR="00D03A4F" w:rsidRPr="00C766C2" w14:paraId="64226A3B" w14:textId="77777777" w:rsidTr="00944CB1">
        <w:tc>
          <w:tcPr>
            <w:tcW w:w="4785" w:type="dxa"/>
          </w:tcPr>
          <w:p w14:paraId="0FEF77C8"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 xml:space="preserve">Ненецкий авт. округ </w:t>
            </w:r>
          </w:p>
        </w:tc>
        <w:tc>
          <w:tcPr>
            <w:tcW w:w="4786" w:type="dxa"/>
            <w:vAlign w:val="bottom"/>
          </w:tcPr>
          <w:p w14:paraId="70D2DAD7"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r>
      <w:tr w:rsidR="00D03A4F" w:rsidRPr="00C766C2" w14:paraId="5A448AB8" w14:textId="77777777" w:rsidTr="00944CB1">
        <w:tc>
          <w:tcPr>
            <w:tcW w:w="4785" w:type="dxa"/>
          </w:tcPr>
          <w:p w14:paraId="17524AA7"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Архангельская область без автономии</w:t>
            </w:r>
          </w:p>
        </w:tc>
        <w:tc>
          <w:tcPr>
            <w:tcW w:w="4786" w:type="dxa"/>
            <w:vAlign w:val="bottom"/>
          </w:tcPr>
          <w:p w14:paraId="4B06ADC0"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r>
      <w:tr w:rsidR="00D03A4F" w:rsidRPr="00C766C2" w14:paraId="2E525F9F" w14:textId="77777777" w:rsidTr="00944CB1">
        <w:tc>
          <w:tcPr>
            <w:tcW w:w="4785" w:type="dxa"/>
          </w:tcPr>
          <w:p w14:paraId="128AAB3C"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Вологодская область</w:t>
            </w:r>
          </w:p>
        </w:tc>
        <w:tc>
          <w:tcPr>
            <w:tcW w:w="4786" w:type="dxa"/>
            <w:vAlign w:val="bottom"/>
          </w:tcPr>
          <w:p w14:paraId="6CD7CFF8"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r>
      <w:tr w:rsidR="00D03A4F" w:rsidRPr="00C766C2" w14:paraId="4F1AF827" w14:textId="77777777" w:rsidTr="00944CB1">
        <w:tc>
          <w:tcPr>
            <w:tcW w:w="4785" w:type="dxa"/>
          </w:tcPr>
          <w:p w14:paraId="292B1A6C"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Калининградская область</w:t>
            </w:r>
          </w:p>
        </w:tc>
        <w:tc>
          <w:tcPr>
            <w:tcW w:w="4786" w:type="dxa"/>
            <w:vAlign w:val="bottom"/>
          </w:tcPr>
          <w:p w14:paraId="75A17BE5"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r>
      <w:tr w:rsidR="00D03A4F" w:rsidRPr="00C766C2" w14:paraId="0CBE192A" w14:textId="77777777" w:rsidTr="00944CB1">
        <w:tc>
          <w:tcPr>
            <w:tcW w:w="4785" w:type="dxa"/>
          </w:tcPr>
          <w:p w14:paraId="58AEC2AA"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Ленинградская область</w:t>
            </w:r>
          </w:p>
        </w:tc>
        <w:tc>
          <w:tcPr>
            <w:tcW w:w="4786" w:type="dxa"/>
            <w:vAlign w:val="bottom"/>
          </w:tcPr>
          <w:p w14:paraId="436ECD13"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D03A4F" w:rsidRPr="00C766C2" w14:paraId="6BBCD419" w14:textId="77777777" w:rsidTr="00944CB1">
        <w:tc>
          <w:tcPr>
            <w:tcW w:w="4785" w:type="dxa"/>
          </w:tcPr>
          <w:p w14:paraId="73D809C4"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Мурманская область</w:t>
            </w:r>
          </w:p>
        </w:tc>
        <w:tc>
          <w:tcPr>
            <w:tcW w:w="4786" w:type="dxa"/>
            <w:vAlign w:val="bottom"/>
          </w:tcPr>
          <w:p w14:paraId="41FB962B"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r>
      <w:tr w:rsidR="00D03A4F" w:rsidRPr="00C766C2" w14:paraId="56D7D7B2" w14:textId="77777777" w:rsidTr="00944CB1">
        <w:tc>
          <w:tcPr>
            <w:tcW w:w="4785" w:type="dxa"/>
          </w:tcPr>
          <w:p w14:paraId="4621B32D"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Новгородская область</w:t>
            </w:r>
          </w:p>
        </w:tc>
        <w:tc>
          <w:tcPr>
            <w:tcW w:w="4786" w:type="dxa"/>
            <w:vAlign w:val="bottom"/>
          </w:tcPr>
          <w:p w14:paraId="15E39500"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r>
      <w:tr w:rsidR="00D03A4F" w:rsidRPr="00C766C2" w14:paraId="0CC32AB5" w14:textId="77777777" w:rsidTr="00944CB1">
        <w:tc>
          <w:tcPr>
            <w:tcW w:w="4785" w:type="dxa"/>
          </w:tcPr>
          <w:p w14:paraId="317AB86F"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Псковская область</w:t>
            </w:r>
          </w:p>
        </w:tc>
        <w:tc>
          <w:tcPr>
            <w:tcW w:w="4786" w:type="dxa"/>
            <w:vAlign w:val="bottom"/>
          </w:tcPr>
          <w:p w14:paraId="4C023BF6"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r>
      <w:tr w:rsidR="00D03A4F" w:rsidRPr="00C766C2" w14:paraId="4B682ECD" w14:textId="77777777" w:rsidTr="00944CB1">
        <w:tc>
          <w:tcPr>
            <w:tcW w:w="4785" w:type="dxa"/>
          </w:tcPr>
          <w:p w14:paraId="364A092B"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г. Санкт-Петербург</w:t>
            </w:r>
          </w:p>
        </w:tc>
        <w:tc>
          <w:tcPr>
            <w:tcW w:w="4786" w:type="dxa"/>
            <w:vAlign w:val="bottom"/>
          </w:tcPr>
          <w:p w14:paraId="514E7EED"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r>
      <w:tr w:rsidR="00D03A4F" w:rsidRPr="00C766C2" w14:paraId="6852DCD6" w14:textId="77777777" w:rsidTr="00944CB1">
        <w:tc>
          <w:tcPr>
            <w:tcW w:w="4785" w:type="dxa"/>
          </w:tcPr>
          <w:p w14:paraId="76D84D1B" w14:textId="77777777" w:rsidR="00D03A4F" w:rsidRPr="00C766C2" w:rsidRDefault="00D03A4F"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Южный федеральный округ</w:t>
            </w:r>
          </w:p>
        </w:tc>
        <w:tc>
          <w:tcPr>
            <w:tcW w:w="4786" w:type="dxa"/>
            <w:vAlign w:val="bottom"/>
          </w:tcPr>
          <w:p w14:paraId="6312EE75" w14:textId="77777777" w:rsidR="00D03A4F" w:rsidRPr="00C766C2" w:rsidRDefault="0005691B" w:rsidP="00D03A4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5,1</w:t>
            </w:r>
          </w:p>
        </w:tc>
      </w:tr>
      <w:tr w:rsidR="00D03A4F" w:rsidRPr="00C766C2" w14:paraId="4F3B017C" w14:textId="77777777" w:rsidTr="00944CB1">
        <w:tc>
          <w:tcPr>
            <w:tcW w:w="4785" w:type="dxa"/>
          </w:tcPr>
          <w:p w14:paraId="4DEEF1E1"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Адыгея</w:t>
            </w:r>
          </w:p>
        </w:tc>
        <w:tc>
          <w:tcPr>
            <w:tcW w:w="4786" w:type="dxa"/>
            <w:vAlign w:val="bottom"/>
          </w:tcPr>
          <w:p w14:paraId="62C23368"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r>
      <w:tr w:rsidR="00D03A4F" w:rsidRPr="00C766C2" w14:paraId="0A46B21C" w14:textId="77777777" w:rsidTr="00944CB1">
        <w:tc>
          <w:tcPr>
            <w:tcW w:w="4785" w:type="dxa"/>
          </w:tcPr>
          <w:p w14:paraId="25B4D0AF"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Калмыкия</w:t>
            </w:r>
          </w:p>
        </w:tc>
        <w:tc>
          <w:tcPr>
            <w:tcW w:w="4786" w:type="dxa"/>
            <w:vAlign w:val="bottom"/>
          </w:tcPr>
          <w:p w14:paraId="24B68CDD"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r>
      <w:tr w:rsidR="00D03A4F" w:rsidRPr="00C766C2" w14:paraId="5C52242B" w14:textId="77777777" w:rsidTr="00944CB1">
        <w:tc>
          <w:tcPr>
            <w:tcW w:w="4785" w:type="dxa"/>
          </w:tcPr>
          <w:p w14:paraId="552B9C03"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Крым</w:t>
            </w:r>
          </w:p>
        </w:tc>
        <w:tc>
          <w:tcPr>
            <w:tcW w:w="4786" w:type="dxa"/>
            <w:vAlign w:val="bottom"/>
          </w:tcPr>
          <w:p w14:paraId="050CEFA4"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r>
      <w:tr w:rsidR="00D03A4F" w:rsidRPr="00C766C2" w14:paraId="26EAF940" w14:textId="77777777" w:rsidTr="00944CB1">
        <w:tc>
          <w:tcPr>
            <w:tcW w:w="4785" w:type="dxa"/>
          </w:tcPr>
          <w:p w14:paraId="56426B4C"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Краснодарский край</w:t>
            </w:r>
          </w:p>
        </w:tc>
        <w:tc>
          <w:tcPr>
            <w:tcW w:w="4786" w:type="dxa"/>
            <w:vAlign w:val="bottom"/>
          </w:tcPr>
          <w:p w14:paraId="4D1B2F1B"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r>
      <w:tr w:rsidR="00D03A4F" w:rsidRPr="00C766C2" w14:paraId="7E3A4876" w14:textId="77777777" w:rsidTr="00944CB1">
        <w:tc>
          <w:tcPr>
            <w:tcW w:w="4785" w:type="dxa"/>
          </w:tcPr>
          <w:p w14:paraId="1F68C8F2"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Астраханская область</w:t>
            </w:r>
          </w:p>
        </w:tc>
        <w:tc>
          <w:tcPr>
            <w:tcW w:w="4786" w:type="dxa"/>
            <w:vAlign w:val="bottom"/>
          </w:tcPr>
          <w:p w14:paraId="11F1A457"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r>
      <w:tr w:rsidR="00D03A4F" w:rsidRPr="00C766C2" w14:paraId="31B31190" w14:textId="77777777" w:rsidTr="00944CB1">
        <w:tc>
          <w:tcPr>
            <w:tcW w:w="4785" w:type="dxa"/>
          </w:tcPr>
          <w:p w14:paraId="1CFAD32D"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Волгоградская область</w:t>
            </w:r>
          </w:p>
        </w:tc>
        <w:tc>
          <w:tcPr>
            <w:tcW w:w="4786" w:type="dxa"/>
            <w:vAlign w:val="bottom"/>
          </w:tcPr>
          <w:p w14:paraId="5D842602"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r>
      <w:tr w:rsidR="00D03A4F" w:rsidRPr="00C766C2" w14:paraId="799D88E6" w14:textId="77777777" w:rsidTr="00944CB1">
        <w:tc>
          <w:tcPr>
            <w:tcW w:w="4785" w:type="dxa"/>
          </w:tcPr>
          <w:p w14:paraId="3DB59E4D"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Ростовская область</w:t>
            </w:r>
          </w:p>
        </w:tc>
        <w:tc>
          <w:tcPr>
            <w:tcW w:w="4786" w:type="dxa"/>
            <w:vAlign w:val="bottom"/>
          </w:tcPr>
          <w:p w14:paraId="7B86B368"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r>
      <w:tr w:rsidR="00D03A4F" w:rsidRPr="00C766C2" w14:paraId="06FF7FF2" w14:textId="77777777" w:rsidTr="00944CB1">
        <w:tc>
          <w:tcPr>
            <w:tcW w:w="4785" w:type="dxa"/>
          </w:tcPr>
          <w:p w14:paraId="2B99E3F4"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г. Севастополь</w:t>
            </w:r>
          </w:p>
        </w:tc>
        <w:tc>
          <w:tcPr>
            <w:tcW w:w="4786" w:type="dxa"/>
            <w:vAlign w:val="bottom"/>
          </w:tcPr>
          <w:p w14:paraId="49CADFFB"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r>
      <w:tr w:rsidR="00D03A4F" w:rsidRPr="00C766C2" w14:paraId="6FFE0DBC" w14:textId="77777777" w:rsidTr="00944CB1">
        <w:tc>
          <w:tcPr>
            <w:tcW w:w="4785" w:type="dxa"/>
          </w:tcPr>
          <w:p w14:paraId="12DC1FA3" w14:textId="77777777" w:rsidR="00D03A4F" w:rsidRPr="00C766C2" w:rsidRDefault="00D03A4F"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Северо-Кавказский федеральный округ</w:t>
            </w:r>
          </w:p>
        </w:tc>
        <w:tc>
          <w:tcPr>
            <w:tcW w:w="4786" w:type="dxa"/>
            <w:vAlign w:val="bottom"/>
          </w:tcPr>
          <w:p w14:paraId="21B676F3" w14:textId="77777777" w:rsidR="00D03A4F" w:rsidRPr="00C766C2" w:rsidRDefault="0005691B" w:rsidP="00D03A4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6,4</w:t>
            </w:r>
          </w:p>
        </w:tc>
      </w:tr>
      <w:tr w:rsidR="00D03A4F" w:rsidRPr="00C766C2" w14:paraId="1675DEC7" w14:textId="77777777" w:rsidTr="00944CB1">
        <w:tc>
          <w:tcPr>
            <w:tcW w:w="4785" w:type="dxa"/>
          </w:tcPr>
          <w:p w14:paraId="0061CDC0"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Дагестан</w:t>
            </w:r>
          </w:p>
        </w:tc>
        <w:tc>
          <w:tcPr>
            <w:tcW w:w="4786" w:type="dxa"/>
            <w:vAlign w:val="bottom"/>
          </w:tcPr>
          <w:p w14:paraId="431EFA51"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r>
      <w:tr w:rsidR="00D03A4F" w:rsidRPr="00C766C2" w14:paraId="34F7ACE9" w14:textId="77777777" w:rsidTr="00944CB1">
        <w:tc>
          <w:tcPr>
            <w:tcW w:w="4785" w:type="dxa"/>
          </w:tcPr>
          <w:p w14:paraId="42F048FE"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Ингушетия</w:t>
            </w:r>
          </w:p>
        </w:tc>
        <w:tc>
          <w:tcPr>
            <w:tcW w:w="4786" w:type="dxa"/>
            <w:vAlign w:val="bottom"/>
          </w:tcPr>
          <w:p w14:paraId="172D03CE"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r>
      <w:tr w:rsidR="00D03A4F" w:rsidRPr="00C766C2" w14:paraId="468913E5" w14:textId="77777777" w:rsidTr="00944CB1">
        <w:tc>
          <w:tcPr>
            <w:tcW w:w="4785" w:type="dxa"/>
          </w:tcPr>
          <w:p w14:paraId="1CB12D87"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Кабардино-Балкарская Республика</w:t>
            </w:r>
          </w:p>
        </w:tc>
        <w:tc>
          <w:tcPr>
            <w:tcW w:w="4786" w:type="dxa"/>
            <w:vAlign w:val="bottom"/>
          </w:tcPr>
          <w:p w14:paraId="542C6770"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r>
      <w:tr w:rsidR="00D03A4F" w:rsidRPr="00C766C2" w14:paraId="5C079878" w14:textId="77777777" w:rsidTr="00944CB1">
        <w:tc>
          <w:tcPr>
            <w:tcW w:w="4785" w:type="dxa"/>
          </w:tcPr>
          <w:p w14:paraId="13CD1ABA"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Карачаево-Черкесская Республика</w:t>
            </w:r>
          </w:p>
        </w:tc>
        <w:tc>
          <w:tcPr>
            <w:tcW w:w="4786" w:type="dxa"/>
            <w:vAlign w:val="bottom"/>
          </w:tcPr>
          <w:p w14:paraId="3E86FF94"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r>
      <w:tr w:rsidR="00D03A4F" w:rsidRPr="00C766C2" w14:paraId="6339D78E" w14:textId="77777777" w:rsidTr="00944CB1">
        <w:tc>
          <w:tcPr>
            <w:tcW w:w="4785" w:type="dxa"/>
          </w:tcPr>
          <w:p w14:paraId="2A712D47"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Северная Осетия-Алания</w:t>
            </w:r>
          </w:p>
        </w:tc>
        <w:tc>
          <w:tcPr>
            <w:tcW w:w="4786" w:type="dxa"/>
            <w:vAlign w:val="bottom"/>
          </w:tcPr>
          <w:p w14:paraId="52E2D608"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r>
      <w:tr w:rsidR="00D03A4F" w:rsidRPr="00C766C2" w14:paraId="3019FC01" w14:textId="77777777" w:rsidTr="00944CB1">
        <w:tc>
          <w:tcPr>
            <w:tcW w:w="4785" w:type="dxa"/>
          </w:tcPr>
          <w:p w14:paraId="3D0F5CF2"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Чеченская Республика</w:t>
            </w:r>
          </w:p>
        </w:tc>
        <w:tc>
          <w:tcPr>
            <w:tcW w:w="4786" w:type="dxa"/>
            <w:vAlign w:val="bottom"/>
          </w:tcPr>
          <w:p w14:paraId="116D7B25"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r>
      <w:tr w:rsidR="00D03A4F" w:rsidRPr="00C766C2" w14:paraId="114A5F63" w14:textId="77777777" w:rsidTr="00944CB1">
        <w:tc>
          <w:tcPr>
            <w:tcW w:w="4785" w:type="dxa"/>
          </w:tcPr>
          <w:p w14:paraId="6FE589BA"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Ставропольский край</w:t>
            </w:r>
          </w:p>
        </w:tc>
        <w:tc>
          <w:tcPr>
            <w:tcW w:w="4786" w:type="dxa"/>
            <w:vAlign w:val="bottom"/>
          </w:tcPr>
          <w:p w14:paraId="53E19CD4"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r>
      <w:tr w:rsidR="00D03A4F" w:rsidRPr="00C766C2" w14:paraId="354AA183" w14:textId="77777777" w:rsidTr="00944CB1">
        <w:tc>
          <w:tcPr>
            <w:tcW w:w="4785" w:type="dxa"/>
          </w:tcPr>
          <w:p w14:paraId="6D3A21CB" w14:textId="77777777" w:rsidR="00D03A4F" w:rsidRPr="00C766C2" w:rsidRDefault="00D03A4F"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Приволжский федеральный округ</w:t>
            </w:r>
          </w:p>
        </w:tc>
        <w:tc>
          <w:tcPr>
            <w:tcW w:w="4786" w:type="dxa"/>
            <w:vAlign w:val="bottom"/>
          </w:tcPr>
          <w:p w14:paraId="6A2F57DD" w14:textId="77777777" w:rsidR="00D03A4F" w:rsidRPr="00C766C2" w:rsidRDefault="0005691B" w:rsidP="00D03A4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4,4</w:t>
            </w:r>
          </w:p>
        </w:tc>
      </w:tr>
      <w:tr w:rsidR="00D03A4F" w:rsidRPr="00C766C2" w14:paraId="602F4228" w14:textId="77777777" w:rsidTr="00944CB1">
        <w:tc>
          <w:tcPr>
            <w:tcW w:w="4785" w:type="dxa"/>
          </w:tcPr>
          <w:p w14:paraId="0B22EB78"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Башкортостан</w:t>
            </w:r>
          </w:p>
        </w:tc>
        <w:tc>
          <w:tcPr>
            <w:tcW w:w="4786" w:type="dxa"/>
            <w:vAlign w:val="bottom"/>
          </w:tcPr>
          <w:p w14:paraId="55B01C01"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r>
      <w:tr w:rsidR="00D03A4F" w:rsidRPr="00C766C2" w14:paraId="36D58407" w14:textId="77777777" w:rsidTr="00944CB1">
        <w:tc>
          <w:tcPr>
            <w:tcW w:w="4785" w:type="dxa"/>
          </w:tcPr>
          <w:p w14:paraId="1009D2AC"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Марий Эл</w:t>
            </w:r>
          </w:p>
        </w:tc>
        <w:tc>
          <w:tcPr>
            <w:tcW w:w="4786" w:type="dxa"/>
            <w:vAlign w:val="bottom"/>
          </w:tcPr>
          <w:p w14:paraId="63E3D7AA"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r>
      <w:tr w:rsidR="00D03A4F" w:rsidRPr="00C766C2" w14:paraId="2A1C8695" w14:textId="77777777" w:rsidTr="00944CB1">
        <w:tc>
          <w:tcPr>
            <w:tcW w:w="4785" w:type="dxa"/>
          </w:tcPr>
          <w:p w14:paraId="3836D044"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Мордовия</w:t>
            </w:r>
          </w:p>
        </w:tc>
        <w:tc>
          <w:tcPr>
            <w:tcW w:w="4786" w:type="dxa"/>
            <w:vAlign w:val="bottom"/>
          </w:tcPr>
          <w:p w14:paraId="29E0A4BC"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r>
      <w:tr w:rsidR="00D03A4F" w:rsidRPr="00C766C2" w14:paraId="5332D15C" w14:textId="77777777" w:rsidTr="00944CB1">
        <w:tc>
          <w:tcPr>
            <w:tcW w:w="4785" w:type="dxa"/>
          </w:tcPr>
          <w:p w14:paraId="2363C425"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Татарстан</w:t>
            </w:r>
          </w:p>
        </w:tc>
        <w:tc>
          <w:tcPr>
            <w:tcW w:w="4786" w:type="dxa"/>
            <w:vAlign w:val="bottom"/>
          </w:tcPr>
          <w:p w14:paraId="456873E4"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D03A4F" w:rsidRPr="00C766C2" w14:paraId="01E19D5B" w14:textId="77777777" w:rsidTr="00944CB1">
        <w:tc>
          <w:tcPr>
            <w:tcW w:w="4785" w:type="dxa"/>
          </w:tcPr>
          <w:p w14:paraId="5F96A6F6"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Удмуртская Республика</w:t>
            </w:r>
          </w:p>
        </w:tc>
        <w:tc>
          <w:tcPr>
            <w:tcW w:w="4786" w:type="dxa"/>
            <w:vAlign w:val="bottom"/>
          </w:tcPr>
          <w:p w14:paraId="319024D4"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r>
      <w:tr w:rsidR="00D03A4F" w:rsidRPr="00C766C2" w14:paraId="2F43FEB0" w14:textId="77777777" w:rsidTr="00944CB1">
        <w:tc>
          <w:tcPr>
            <w:tcW w:w="4785" w:type="dxa"/>
          </w:tcPr>
          <w:p w14:paraId="475E5259"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Чувашская Республика</w:t>
            </w:r>
          </w:p>
        </w:tc>
        <w:tc>
          <w:tcPr>
            <w:tcW w:w="4786" w:type="dxa"/>
            <w:vAlign w:val="bottom"/>
          </w:tcPr>
          <w:p w14:paraId="0889F335"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r>
      <w:tr w:rsidR="00D03A4F" w:rsidRPr="00C766C2" w14:paraId="2437318E" w14:textId="77777777" w:rsidTr="00944CB1">
        <w:tc>
          <w:tcPr>
            <w:tcW w:w="4785" w:type="dxa"/>
          </w:tcPr>
          <w:p w14:paraId="5E8E75E2"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Пермский край</w:t>
            </w:r>
          </w:p>
        </w:tc>
        <w:tc>
          <w:tcPr>
            <w:tcW w:w="4786" w:type="dxa"/>
            <w:vAlign w:val="bottom"/>
          </w:tcPr>
          <w:p w14:paraId="1A4D580A"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D03A4F" w:rsidRPr="00C766C2" w14:paraId="18A5E4AA" w14:textId="77777777" w:rsidTr="00944CB1">
        <w:tc>
          <w:tcPr>
            <w:tcW w:w="4785" w:type="dxa"/>
          </w:tcPr>
          <w:p w14:paraId="7474D7B8"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Кировская область</w:t>
            </w:r>
          </w:p>
        </w:tc>
        <w:tc>
          <w:tcPr>
            <w:tcW w:w="4786" w:type="dxa"/>
            <w:vAlign w:val="bottom"/>
          </w:tcPr>
          <w:p w14:paraId="4184A475"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r>
      <w:tr w:rsidR="00D03A4F" w:rsidRPr="00C766C2" w14:paraId="1A0DDB78" w14:textId="77777777" w:rsidTr="00944CB1">
        <w:tc>
          <w:tcPr>
            <w:tcW w:w="4785" w:type="dxa"/>
          </w:tcPr>
          <w:p w14:paraId="2F41FE2A"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Нижегородская область</w:t>
            </w:r>
          </w:p>
        </w:tc>
        <w:tc>
          <w:tcPr>
            <w:tcW w:w="4786" w:type="dxa"/>
            <w:vAlign w:val="bottom"/>
          </w:tcPr>
          <w:p w14:paraId="11C051C6"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r>
      <w:tr w:rsidR="00D03A4F" w:rsidRPr="00C766C2" w14:paraId="10C67264" w14:textId="77777777" w:rsidTr="00944CB1">
        <w:tc>
          <w:tcPr>
            <w:tcW w:w="4785" w:type="dxa"/>
          </w:tcPr>
          <w:p w14:paraId="20A94976"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Оренбургская область</w:t>
            </w:r>
          </w:p>
        </w:tc>
        <w:tc>
          <w:tcPr>
            <w:tcW w:w="4786" w:type="dxa"/>
            <w:vAlign w:val="bottom"/>
          </w:tcPr>
          <w:p w14:paraId="1973F68E"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r>
      <w:tr w:rsidR="00D03A4F" w:rsidRPr="00C766C2" w14:paraId="22935D73" w14:textId="77777777" w:rsidTr="00944CB1">
        <w:tc>
          <w:tcPr>
            <w:tcW w:w="4785" w:type="dxa"/>
          </w:tcPr>
          <w:p w14:paraId="281F20C6"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Пензенская область</w:t>
            </w:r>
          </w:p>
        </w:tc>
        <w:tc>
          <w:tcPr>
            <w:tcW w:w="4786" w:type="dxa"/>
            <w:vAlign w:val="bottom"/>
          </w:tcPr>
          <w:p w14:paraId="4D39197B"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r>
      <w:tr w:rsidR="00D03A4F" w:rsidRPr="00C766C2" w14:paraId="7E446F03" w14:textId="77777777" w:rsidTr="00944CB1">
        <w:tc>
          <w:tcPr>
            <w:tcW w:w="4785" w:type="dxa"/>
          </w:tcPr>
          <w:p w14:paraId="0A74CF7C"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Самарская область</w:t>
            </w:r>
          </w:p>
        </w:tc>
        <w:tc>
          <w:tcPr>
            <w:tcW w:w="4786" w:type="dxa"/>
            <w:vAlign w:val="bottom"/>
          </w:tcPr>
          <w:p w14:paraId="3E487F32"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r>
      <w:tr w:rsidR="00D03A4F" w:rsidRPr="00C766C2" w14:paraId="2BC309EC" w14:textId="77777777" w:rsidTr="00944CB1">
        <w:tc>
          <w:tcPr>
            <w:tcW w:w="4785" w:type="dxa"/>
          </w:tcPr>
          <w:p w14:paraId="2263BBBB"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Саратовская область</w:t>
            </w:r>
          </w:p>
        </w:tc>
        <w:tc>
          <w:tcPr>
            <w:tcW w:w="4786" w:type="dxa"/>
            <w:vAlign w:val="bottom"/>
          </w:tcPr>
          <w:p w14:paraId="6725AF4D"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r>
      <w:tr w:rsidR="00D03A4F" w:rsidRPr="00C766C2" w14:paraId="7842715D" w14:textId="77777777" w:rsidTr="00944CB1">
        <w:tc>
          <w:tcPr>
            <w:tcW w:w="4785" w:type="dxa"/>
          </w:tcPr>
          <w:p w14:paraId="74605A41"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Ульяновская область</w:t>
            </w:r>
          </w:p>
        </w:tc>
        <w:tc>
          <w:tcPr>
            <w:tcW w:w="4786" w:type="dxa"/>
            <w:vAlign w:val="bottom"/>
          </w:tcPr>
          <w:p w14:paraId="2F73604F"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r>
      <w:tr w:rsidR="00D03A4F" w:rsidRPr="00C766C2" w14:paraId="6E2749AF" w14:textId="77777777" w:rsidTr="00944CB1">
        <w:tc>
          <w:tcPr>
            <w:tcW w:w="4785" w:type="dxa"/>
          </w:tcPr>
          <w:p w14:paraId="2804059B" w14:textId="77777777" w:rsidR="00D03A4F" w:rsidRPr="00C766C2" w:rsidRDefault="00D03A4F"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Уральский федеральный округ</w:t>
            </w:r>
          </w:p>
        </w:tc>
        <w:tc>
          <w:tcPr>
            <w:tcW w:w="4786" w:type="dxa"/>
            <w:vAlign w:val="bottom"/>
          </w:tcPr>
          <w:p w14:paraId="3D57D8DC" w14:textId="77777777" w:rsidR="00D03A4F" w:rsidRPr="00C766C2" w:rsidRDefault="0005691B" w:rsidP="00D03A4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w:t>
            </w:r>
          </w:p>
        </w:tc>
      </w:tr>
      <w:tr w:rsidR="00D03A4F" w:rsidRPr="00C766C2" w14:paraId="1B019427" w14:textId="77777777" w:rsidTr="00944CB1">
        <w:tc>
          <w:tcPr>
            <w:tcW w:w="4785" w:type="dxa"/>
          </w:tcPr>
          <w:p w14:paraId="7442AFA3"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Курганская область</w:t>
            </w:r>
          </w:p>
        </w:tc>
        <w:tc>
          <w:tcPr>
            <w:tcW w:w="4786" w:type="dxa"/>
            <w:vAlign w:val="bottom"/>
          </w:tcPr>
          <w:p w14:paraId="3D59042A"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r>
      <w:tr w:rsidR="00D03A4F" w:rsidRPr="00C766C2" w14:paraId="1EBF13B5" w14:textId="77777777" w:rsidTr="00944CB1">
        <w:tc>
          <w:tcPr>
            <w:tcW w:w="4785" w:type="dxa"/>
          </w:tcPr>
          <w:p w14:paraId="269D6E4B"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Свердловская область</w:t>
            </w:r>
          </w:p>
        </w:tc>
        <w:tc>
          <w:tcPr>
            <w:tcW w:w="4786" w:type="dxa"/>
            <w:vAlign w:val="bottom"/>
          </w:tcPr>
          <w:p w14:paraId="009CE9B9"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D03A4F" w:rsidRPr="00C766C2" w14:paraId="57BBFDA4" w14:textId="77777777" w:rsidTr="00944CB1">
        <w:tc>
          <w:tcPr>
            <w:tcW w:w="4785" w:type="dxa"/>
          </w:tcPr>
          <w:p w14:paraId="2363D4C2"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Тюменская область</w:t>
            </w:r>
          </w:p>
        </w:tc>
        <w:tc>
          <w:tcPr>
            <w:tcW w:w="4786" w:type="dxa"/>
            <w:vAlign w:val="bottom"/>
          </w:tcPr>
          <w:p w14:paraId="47E5D8D3"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D03A4F" w:rsidRPr="00C766C2" w14:paraId="3A898E98" w14:textId="77777777" w:rsidTr="00944CB1">
        <w:tc>
          <w:tcPr>
            <w:tcW w:w="4785" w:type="dxa"/>
          </w:tcPr>
          <w:p w14:paraId="61FE5CC9"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Ханты-Мансийский авт. округ-Югра</w:t>
            </w:r>
          </w:p>
        </w:tc>
        <w:tc>
          <w:tcPr>
            <w:tcW w:w="4786" w:type="dxa"/>
            <w:vAlign w:val="bottom"/>
          </w:tcPr>
          <w:p w14:paraId="763A6D8C"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r>
      <w:tr w:rsidR="00D03A4F" w:rsidRPr="00C766C2" w14:paraId="2B8394E5" w14:textId="77777777" w:rsidTr="00944CB1">
        <w:tc>
          <w:tcPr>
            <w:tcW w:w="4785" w:type="dxa"/>
          </w:tcPr>
          <w:p w14:paraId="4A302513"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Ямало-Ненецкий авт. округ</w:t>
            </w:r>
          </w:p>
        </w:tc>
        <w:tc>
          <w:tcPr>
            <w:tcW w:w="4786" w:type="dxa"/>
            <w:vAlign w:val="bottom"/>
          </w:tcPr>
          <w:p w14:paraId="340B2B29"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r>
      <w:tr w:rsidR="00D03A4F" w:rsidRPr="00C766C2" w14:paraId="4FC1386B" w14:textId="77777777" w:rsidTr="00944CB1">
        <w:tc>
          <w:tcPr>
            <w:tcW w:w="4785" w:type="dxa"/>
          </w:tcPr>
          <w:p w14:paraId="71F3D63A"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Тюменская область без автономии</w:t>
            </w:r>
          </w:p>
        </w:tc>
        <w:tc>
          <w:tcPr>
            <w:tcW w:w="4786" w:type="dxa"/>
            <w:vAlign w:val="bottom"/>
          </w:tcPr>
          <w:p w14:paraId="326E6263" w14:textId="77777777" w:rsidR="00D03A4F" w:rsidRPr="00C766C2" w:rsidRDefault="0005691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D03A4F" w:rsidRPr="00C766C2" w14:paraId="663DED94" w14:textId="77777777" w:rsidTr="00944CB1">
        <w:tc>
          <w:tcPr>
            <w:tcW w:w="4785" w:type="dxa"/>
          </w:tcPr>
          <w:p w14:paraId="429E5383"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Челябинская область</w:t>
            </w:r>
          </w:p>
        </w:tc>
        <w:tc>
          <w:tcPr>
            <w:tcW w:w="4786" w:type="dxa"/>
            <w:vAlign w:val="bottom"/>
          </w:tcPr>
          <w:p w14:paraId="4EF69EFB" w14:textId="77777777" w:rsidR="00D03A4F" w:rsidRPr="00C766C2" w:rsidRDefault="00A92F17"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r>
      <w:tr w:rsidR="00D03A4F" w:rsidRPr="00C766C2" w14:paraId="76E279AD" w14:textId="77777777" w:rsidTr="00944CB1">
        <w:tc>
          <w:tcPr>
            <w:tcW w:w="4785" w:type="dxa"/>
          </w:tcPr>
          <w:p w14:paraId="70D04445" w14:textId="77777777" w:rsidR="00D03A4F" w:rsidRPr="00C766C2" w:rsidRDefault="00D03A4F"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Сибирский федеральный округ</w:t>
            </w:r>
          </w:p>
        </w:tc>
        <w:tc>
          <w:tcPr>
            <w:tcW w:w="4786" w:type="dxa"/>
            <w:vAlign w:val="bottom"/>
          </w:tcPr>
          <w:p w14:paraId="00D7EE6D" w14:textId="77777777" w:rsidR="00D03A4F" w:rsidRPr="00C766C2" w:rsidRDefault="00A92F17" w:rsidP="00D03A4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5,1</w:t>
            </w:r>
          </w:p>
        </w:tc>
      </w:tr>
      <w:tr w:rsidR="00D03A4F" w:rsidRPr="00C766C2" w14:paraId="50CDAC75" w14:textId="77777777" w:rsidTr="00944CB1">
        <w:tc>
          <w:tcPr>
            <w:tcW w:w="4785" w:type="dxa"/>
          </w:tcPr>
          <w:p w14:paraId="6962D6E2"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Алтай</w:t>
            </w:r>
          </w:p>
        </w:tc>
        <w:tc>
          <w:tcPr>
            <w:tcW w:w="4786" w:type="dxa"/>
            <w:vAlign w:val="bottom"/>
          </w:tcPr>
          <w:p w14:paraId="0FDA9D35" w14:textId="77777777" w:rsidR="00D03A4F" w:rsidRPr="00C766C2" w:rsidRDefault="00A92F17"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r>
      <w:tr w:rsidR="00D03A4F" w:rsidRPr="00C766C2" w14:paraId="56FB64CE" w14:textId="77777777" w:rsidTr="00944CB1">
        <w:tc>
          <w:tcPr>
            <w:tcW w:w="4785" w:type="dxa"/>
          </w:tcPr>
          <w:p w14:paraId="7D5DD2CD"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Тыва</w:t>
            </w:r>
          </w:p>
        </w:tc>
        <w:tc>
          <w:tcPr>
            <w:tcW w:w="4786" w:type="dxa"/>
            <w:vAlign w:val="bottom"/>
          </w:tcPr>
          <w:p w14:paraId="136CFB8F" w14:textId="77777777" w:rsidR="00D03A4F" w:rsidRPr="00C766C2" w:rsidRDefault="00A92F17"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r>
      <w:tr w:rsidR="00D03A4F" w:rsidRPr="00C766C2" w14:paraId="46D72CE2" w14:textId="77777777" w:rsidTr="00944CB1">
        <w:tc>
          <w:tcPr>
            <w:tcW w:w="4785" w:type="dxa"/>
          </w:tcPr>
          <w:p w14:paraId="05571419"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Хакасия</w:t>
            </w:r>
          </w:p>
        </w:tc>
        <w:tc>
          <w:tcPr>
            <w:tcW w:w="4786" w:type="dxa"/>
            <w:vAlign w:val="bottom"/>
          </w:tcPr>
          <w:p w14:paraId="78AAADB7" w14:textId="77777777" w:rsidR="00D03A4F" w:rsidRPr="00C766C2" w:rsidRDefault="00A92F17"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r>
      <w:tr w:rsidR="00D03A4F" w:rsidRPr="00C766C2" w14:paraId="46639CE7" w14:textId="77777777" w:rsidTr="00944CB1">
        <w:tc>
          <w:tcPr>
            <w:tcW w:w="4785" w:type="dxa"/>
          </w:tcPr>
          <w:p w14:paraId="47E1A70E"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Алтайский край</w:t>
            </w:r>
          </w:p>
        </w:tc>
        <w:tc>
          <w:tcPr>
            <w:tcW w:w="4786" w:type="dxa"/>
            <w:vAlign w:val="bottom"/>
          </w:tcPr>
          <w:p w14:paraId="36D28C78" w14:textId="77777777" w:rsidR="00D03A4F" w:rsidRPr="00C766C2" w:rsidRDefault="00A92F17"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r>
      <w:tr w:rsidR="00D03A4F" w:rsidRPr="00C766C2" w14:paraId="038D934A" w14:textId="77777777" w:rsidTr="00944CB1">
        <w:tc>
          <w:tcPr>
            <w:tcW w:w="4785" w:type="dxa"/>
          </w:tcPr>
          <w:p w14:paraId="7687246E"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Красноярский край</w:t>
            </w:r>
          </w:p>
        </w:tc>
        <w:tc>
          <w:tcPr>
            <w:tcW w:w="4786" w:type="dxa"/>
            <w:vAlign w:val="bottom"/>
          </w:tcPr>
          <w:p w14:paraId="398D79FC" w14:textId="77777777" w:rsidR="00D03A4F" w:rsidRPr="00C766C2" w:rsidRDefault="00A92F17"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r>
      <w:tr w:rsidR="00D03A4F" w:rsidRPr="00C766C2" w14:paraId="757B31F7" w14:textId="77777777" w:rsidTr="00944CB1">
        <w:tc>
          <w:tcPr>
            <w:tcW w:w="4785" w:type="dxa"/>
          </w:tcPr>
          <w:p w14:paraId="69583015"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Иркутская область</w:t>
            </w:r>
          </w:p>
        </w:tc>
        <w:tc>
          <w:tcPr>
            <w:tcW w:w="4786" w:type="dxa"/>
            <w:vAlign w:val="bottom"/>
          </w:tcPr>
          <w:p w14:paraId="77398A4A" w14:textId="77777777" w:rsidR="00D03A4F" w:rsidRPr="00C766C2" w:rsidRDefault="00A92F17"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r>
      <w:tr w:rsidR="00D03A4F" w:rsidRPr="00C766C2" w14:paraId="4201A5A3" w14:textId="77777777" w:rsidTr="00944CB1">
        <w:tc>
          <w:tcPr>
            <w:tcW w:w="4785" w:type="dxa"/>
          </w:tcPr>
          <w:p w14:paraId="1238BEF4"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Кемеровская область</w:t>
            </w:r>
          </w:p>
        </w:tc>
        <w:tc>
          <w:tcPr>
            <w:tcW w:w="4786" w:type="dxa"/>
            <w:vAlign w:val="bottom"/>
          </w:tcPr>
          <w:p w14:paraId="2602519C" w14:textId="77777777" w:rsidR="00D03A4F" w:rsidRPr="00C766C2" w:rsidRDefault="00A92F17"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r>
      <w:tr w:rsidR="00D03A4F" w:rsidRPr="00C766C2" w14:paraId="4D990417" w14:textId="77777777" w:rsidTr="00944CB1">
        <w:tc>
          <w:tcPr>
            <w:tcW w:w="4785" w:type="dxa"/>
          </w:tcPr>
          <w:p w14:paraId="543C417E"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Новосибирская область</w:t>
            </w:r>
          </w:p>
        </w:tc>
        <w:tc>
          <w:tcPr>
            <w:tcW w:w="4786" w:type="dxa"/>
            <w:vAlign w:val="bottom"/>
          </w:tcPr>
          <w:p w14:paraId="26A97277" w14:textId="77777777" w:rsidR="00D03A4F" w:rsidRPr="00C766C2" w:rsidRDefault="00A92F17"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r>
      <w:tr w:rsidR="00D03A4F" w:rsidRPr="00C766C2" w14:paraId="5C1F102E" w14:textId="77777777" w:rsidTr="00944CB1">
        <w:tc>
          <w:tcPr>
            <w:tcW w:w="4785" w:type="dxa"/>
          </w:tcPr>
          <w:p w14:paraId="023EBD6D"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Омская область</w:t>
            </w:r>
          </w:p>
        </w:tc>
        <w:tc>
          <w:tcPr>
            <w:tcW w:w="4786" w:type="dxa"/>
            <w:vAlign w:val="bottom"/>
          </w:tcPr>
          <w:p w14:paraId="3BF5B49F" w14:textId="77777777" w:rsidR="00D03A4F" w:rsidRPr="00C766C2" w:rsidRDefault="00A92F17"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r>
      <w:tr w:rsidR="00D03A4F" w:rsidRPr="00C766C2" w14:paraId="223DEC31" w14:textId="77777777" w:rsidTr="00944CB1">
        <w:tc>
          <w:tcPr>
            <w:tcW w:w="4785" w:type="dxa"/>
          </w:tcPr>
          <w:p w14:paraId="2EBC8C14"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Томская область</w:t>
            </w:r>
          </w:p>
        </w:tc>
        <w:tc>
          <w:tcPr>
            <w:tcW w:w="4786" w:type="dxa"/>
            <w:vAlign w:val="bottom"/>
          </w:tcPr>
          <w:p w14:paraId="1256AD2A" w14:textId="77777777" w:rsidR="00D03A4F" w:rsidRPr="00C766C2" w:rsidRDefault="00A92F17"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r>
      <w:tr w:rsidR="00D03A4F" w:rsidRPr="00C766C2" w14:paraId="7642D9A0" w14:textId="77777777" w:rsidTr="00944CB1">
        <w:tc>
          <w:tcPr>
            <w:tcW w:w="4785" w:type="dxa"/>
          </w:tcPr>
          <w:p w14:paraId="3C9AD5AA" w14:textId="77777777" w:rsidR="00D03A4F" w:rsidRPr="00C766C2" w:rsidRDefault="00D03A4F" w:rsidP="00D03A4F">
            <w:pPr>
              <w:spacing w:after="0" w:line="240" w:lineRule="auto"/>
              <w:jc w:val="center"/>
              <w:rPr>
                <w:rFonts w:ascii="Times New Roman" w:eastAsia="Times New Roman" w:hAnsi="Times New Roman" w:cs="Times New Roman"/>
                <w:b/>
                <w:sz w:val="24"/>
                <w:szCs w:val="24"/>
                <w:lang w:eastAsia="ru-RU"/>
              </w:rPr>
            </w:pPr>
            <w:r w:rsidRPr="00C766C2">
              <w:rPr>
                <w:rFonts w:ascii="Times New Roman" w:eastAsia="Times New Roman" w:hAnsi="Times New Roman" w:cs="Times New Roman"/>
                <w:b/>
                <w:sz w:val="24"/>
                <w:szCs w:val="24"/>
                <w:lang w:eastAsia="ru-RU"/>
              </w:rPr>
              <w:t>Дальневосточный федеральный округ</w:t>
            </w:r>
          </w:p>
        </w:tc>
        <w:tc>
          <w:tcPr>
            <w:tcW w:w="4786" w:type="dxa"/>
            <w:vAlign w:val="bottom"/>
          </w:tcPr>
          <w:p w14:paraId="1B03A7A3" w14:textId="77777777" w:rsidR="00D03A4F" w:rsidRPr="00C766C2" w:rsidRDefault="00A92F17" w:rsidP="00D03A4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w:t>
            </w:r>
          </w:p>
        </w:tc>
      </w:tr>
      <w:tr w:rsidR="00D03A4F" w:rsidRPr="00C766C2" w14:paraId="68F2C3D8" w14:textId="77777777" w:rsidTr="00944CB1">
        <w:tc>
          <w:tcPr>
            <w:tcW w:w="4785" w:type="dxa"/>
          </w:tcPr>
          <w:p w14:paraId="7DA3BEEA"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Бурятия</w:t>
            </w:r>
          </w:p>
        </w:tc>
        <w:tc>
          <w:tcPr>
            <w:tcW w:w="4786" w:type="dxa"/>
            <w:vAlign w:val="bottom"/>
          </w:tcPr>
          <w:p w14:paraId="0DE01783" w14:textId="77777777" w:rsidR="00D03A4F" w:rsidRPr="00C766C2" w:rsidRDefault="00A92F17"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r>
      <w:tr w:rsidR="00D03A4F" w:rsidRPr="00C766C2" w14:paraId="4D2DA976" w14:textId="77777777" w:rsidTr="00944CB1">
        <w:tc>
          <w:tcPr>
            <w:tcW w:w="4785" w:type="dxa"/>
          </w:tcPr>
          <w:p w14:paraId="44502BB5"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Республика Саха (Якутия)</w:t>
            </w:r>
          </w:p>
        </w:tc>
        <w:tc>
          <w:tcPr>
            <w:tcW w:w="4786" w:type="dxa"/>
            <w:vAlign w:val="bottom"/>
          </w:tcPr>
          <w:p w14:paraId="52A98A5B" w14:textId="77777777" w:rsidR="00D03A4F" w:rsidRPr="00C766C2" w:rsidRDefault="00A92F17"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r>
      <w:tr w:rsidR="00D03A4F" w:rsidRPr="00C766C2" w14:paraId="0CCF32D6" w14:textId="77777777" w:rsidTr="00944CB1">
        <w:tc>
          <w:tcPr>
            <w:tcW w:w="4785" w:type="dxa"/>
          </w:tcPr>
          <w:p w14:paraId="6BCAFCFD"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Забайкальский край</w:t>
            </w:r>
          </w:p>
        </w:tc>
        <w:tc>
          <w:tcPr>
            <w:tcW w:w="4786" w:type="dxa"/>
            <w:vAlign w:val="bottom"/>
          </w:tcPr>
          <w:p w14:paraId="6558700B" w14:textId="77777777" w:rsidR="00D03A4F" w:rsidRPr="00C766C2" w:rsidRDefault="00A92F17"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r>
      <w:tr w:rsidR="00D03A4F" w:rsidRPr="00C766C2" w14:paraId="6CE6E2E3" w14:textId="77777777" w:rsidTr="00944CB1">
        <w:tc>
          <w:tcPr>
            <w:tcW w:w="4785" w:type="dxa"/>
          </w:tcPr>
          <w:p w14:paraId="03DDF13F"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Камчатский край</w:t>
            </w:r>
          </w:p>
        </w:tc>
        <w:tc>
          <w:tcPr>
            <w:tcW w:w="4786" w:type="dxa"/>
            <w:vAlign w:val="bottom"/>
          </w:tcPr>
          <w:p w14:paraId="747CA585" w14:textId="77777777" w:rsidR="00D03A4F" w:rsidRPr="00C766C2" w:rsidRDefault="00A92F17"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r>
      <w:tr w:rsidR="00D03A4F" w:rsidRPr="00C766C2" w14:paraId="605B7A44" w14:textId="77777777" w:rsidTr="00944CB1">
        <w:tc>
          <w:tcPr>
            <w:tcW w:w="4785" w:type="dxa"/>
          </w:tcPr>
          <w:p w14:paraId="709B1D2A"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Приморский край</w:t>
            </w:r>
          </w:p>
        </w:tc>
        <w:tc>
          <w:tcPr>
            <w:tcW w:w="4786" w:type="dxa"/>
            <w:vAlign w:val="bottom"/>
          </w:tcPr>
          <w:p w14:paraId="09BADA75" w14:textId="77777777" w:rsidR="00D03A4F" w:rsidRPr="00C766C2" w:rsidRDefault="00A92F17"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r>
      <w:tr w:rsidR="00D03A4F" w:rsidRPr="00C766C2" w14:paraId="2CA6DAC2" w14:textId="77777777" w:rsidTr="00944CB1">
        <w:tc>
          <w:tcPr>
            <w:tcW w:w="4785" w:type="dxa"/>
          </w:tcPr>
          <w:p w14:paraId="306E72A6"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Хабаровский край</w:t>
            </w:r>
          </w:p>
        </w:tc>
        <w:tc>
          <w:tcPr>
            <w:tcW w:w="4786" w:type="dxa"/>
            <w:vAlign w:val="bottom"/>
          </w:tcPr>
          <w:p w14:paraId="18310C05" w14:textId="77777777" w:rsidR="00D03A4F" w:rsidRPr="00C766C2" w:rsidRDefault="00A92F17"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r>
      <w:tr w:rsidR="00D03A4F" w:rsidRPr="00C766C2" w14:paraId="5ECECF16" w14:textId="77777777" w:rsidTr="00944CB1">
        <w:tc>
          <w:tcPr>
            <w:tcW w:w="4785" w:type="dxa"/>
          </w:tcPr>
          <w:p w14:paraId="18230E22"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Амурская область</w:t>
            </w:r>
          </w:p>
        </w:tc>
        <w:tc>
          <w:tcPr>
            <w:tcW w:w="4786" w:type="dxa"/>
            <w:vAlign w:val="bottom"/>
          </w:tcPr>
          <w:p w14:paraId="13E1F709" w14:textId="77777777" w:rsidR="00D03A4F" w:rsidRPr="00C766C2" w:rsidRDefault="00A92F17"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r>
      <w:tr w:rsidR="00D03A4F" w:rsidRPr="00C766C2" w14:paraId="15E80E34" w14:textId="77777777" w:rsidTr="00944CB1">
        <w:tc>
          <w:tcPr>
            <w:tcW w:w="4785" w:type="dxa"/>
          </w:tcPr>
          <w:p w14:paraId="3EEB6F63"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Магаданская область</w:t>
            </w:r>
          </w:p>
        </w:tc>
        <w:tc>
          <w:tcPr>
            <w:tcW w:w="4786" w:type="dxa"/>
            <w:vAlign w:val="bottom"/>
          </w:tcPr>
          <w:p w14:paraId="691CEE1F" w14:textId="77777777" w:rsidR="00D03A4F" w:rsidRPr="00C766C2" w:rsidRDefault="00A92F17"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r>
      <w:tr w:rsidR="00D03A4F" w:rsidRPr="00C766C2" w14:paraId="087C490A" w14:textId="77777777" w:rsidTr="00944CB1">
        <w:tc>
          <w:tcPr>
            <w:tcW w:w="4785" w:type="dxa"/>
          </w:tcPr>
          <w:p w14:paraId="0275ACCC"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Сахалинская область</w:t>
            </w:r>
          </w:p>
        </w:tc>
        <w:tc>
          <w:tcPr>
            <w:tcW w:w="4786" w:type="dxa"/>
            <w:vAlign w:val="bottom"/>
          </w:tcPr>
          <w:p w14:paraId="7772C1A8" w14:textId="77777777" w:rsidR="00D03A4F" w:rsidRPr="00C766C2" w:rsidRDefault="00A92F17"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D03A4F" w:rsidRPr="00C766C2" w14:paraId="23B987F7" w14:textId="77777777" w:rsidTr="00944CB1">
        <w:tc>
          <w:tcPr>
            <w:tcW w:w="4785" w:type="dxa"/>
          </w:tcPr>
          <w:p w14:paraId="230ACA8B" w14:textId="77777777" w:rsidR="00D03A4F" w:rsidRPr="00C766C2" w:rsidRDefault="00D03A4F"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Еврейская автономная область</w:t>
            </w:r>
          </w:p>
        </w:tc>
        <w:tc>
          <w:tcPr>
            <w:tcW w:w="4786" w:type="dxa"/>
            <w:vAlign w:val="bottom"/>
          </w:tcPr>
          <w:p w14:paraId="7008FC07" w14:textId="77777777" w:rsidR="00D03A4F" w:rsidRPr="00C766C2" w:rsidRDefault="00A92F17"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r>
      <w:tr w:rsidR="00D03A4F" w:rsidRPr="00BD5A90" w14:paraId="6D0FABCD" w14:textId="77777777" w:rsidTr="00944CB1">
        <w:tc>
          <w:tcPr>
            <w:tcW w:w="4785" w:type="dxa"/>
          </w:tcPr>
          <w:p w14:paraId="1FA1C61B" w14:textId="77777777" w:rsidR="00D03A4F" w:rsidRPr="00C766C2" w:rsidRDefault="00675542" w:rsidP="00D03A4F">
            <w:pPr>
              <w:spacing w:after="0" w:line="240" w:lineRule="auto"/>
              <w:rPr>
                <w:rFonts w:ascii="Times New Roman" w:eastAsia="Times New Roman" w:hAnsi="Times New Roman" w:cs="Times New Roman"/>
                <w:sz w:val="24"/>
                <w:szCs w:val="24"/>
                <w:lang w:eastAsia="ru-RU"/>
              </w:rPr>
            </w:pPr>
            <w:r w:rsidRPr="00C766C2">
              <w:rPr>
                <w:rFonts w:ascii="Times New Roman" w:eastAsia="Times New Roman" w:hAnsi="Times New Roman" w:cs="Times New Roman"/>
                <w:sz w:val="24"/>
                <w:szCs w:val="24"/>
                <w:lang w:eastAsia="ru-RU"/>
              </w:rPr>
              <w:t xml:space="preserve">Чукотский автономный </w:t>
            </w:r>
            <w:r w:rsidR="00D03A4F" w:rsidRPr="00C766C2">
              <w:rPr>
                <w:rFonts w:ascii="Times New Roman" w:eastAsia="Times New Roman" w:hAnsi="Times New Roman" w:cs="Times New Roman"/>
                <w:sz w:val="24"/>
                <w:szCs w:val="24"/>
                <w:lang w:eastAsia="ru-RU"/>
              </w:rPr>
              <w:t>округ</w:t>
            </w:r>
          </w:p>
        </w:tc>
        <w:tc>
          <w:tcPr>
            <w:tcW w:w="4786" w:type="dxa"/>
            <w:vAlign w:val="bottom"/>
          </w:tcPr>
          <w:p w14:paraId="1C39B634" w14:textId="77777777" w:rsidR="00D03A4F" w:rsidRPr="00C766C2" w:rsidRDefault="00A92F17"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15,8</w:t>
            </w:r>
          </w:p>
        </w:tc>
      </w:tr>
    </w:tbl>
    <w:p w14:paraId="0D3EB92F" w14:textId="77777777"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14:paraId="3A52EE28" w14:textId="77777777"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14:paraId="1A874335" w14:textId="77777777" w:rsidR="00D03A4F" w:rsidRPr="00CD4696" w:rsidRDefault="00D03A4F" w:rsidP="00D03A4F">
      <w:pPr>
        <w:spacing w:after="0" w:line="240" w:lineRule="auto"/>
        <w:jc w:val="right"/>
        <w:rPr>
          <w:rFonts w:ascii="Times New Roman" w:eastAsia="Times New Roman" w:hAnsi="Times New Roman" w:cs="Times New Roman"/>
          <w:sz w:val="26"/>
          <w:szCs w:val="26"/>
          <w:lang w:eastAsia="ru-RU"/>
        </w:rPr>
      </w:pPr>
      <w:r w:rsidRPr="00CD4696">
        <w:rPr>
          <w:rFonts w:ascii="Times New Roman" w:eastAsia="Times New Roman" w:hAnsi="Times New Roman" w:cs="Times New Roman"/>
          <w:sz w:val="26"/>
          <w:szCs w:val="26"/>
          <w:lang w:eastAsia="ru-RU"/>
        </w:rPr>
        <w:t>Таблица 18</w:t>
      </w:r>
    </w:p>
    <w:p w14:paraId="522A1774" w14:textId="77777777" w:rsidR="00D03A4F" w:rsidRPr="00CD4696" w:rsidRDefault="00D03A4F" w:rsidP="00D03A4F">
      <w:pPr>
        <w:spacing w:after="0" w:line="240" w:lineRule="auto"/>
        <w:jc w:val="right"/>
        <w:rPr>
          <w:rFonts w:ascii="Times New Roman" w:eastAsia="Times New Roman" w:hAnsi="Times New Roman" w:cs="Times New Roman"/>
          <w:sz w:val="26"/>
          <w:szCs w:val="26"/>
          <w:lang w:eastAsia="ru-RU"/>
        </w:rPr>
      </w:pPr>
    </w:p>
    <w:p w14:paraId="33D296C2" w14:textId="77777777" w:rsidR="00D03A4F" w:rsidRPr="006A3AB8" w:rsidRDefault="00D03A4F" w:rsidP="00D03A4F">
      <w:pPr>
        <w:spacing w:after="0" w:line="240" w:lineRule="auto"/>
        <w:jc w:val="center"/>
        <w:rPr>
          <w:rFonts w:ascii="Times New Roman" w:eastAsia="Times New Roman" w:hAnsi="Times New Roman" w:cs="Times New Roman"/>
          <w:b/>
          <w:sz w:val="26"/>
          <w:szCs w:val="26"/>
          <w:lang w:eastAsia="ru-RU"/>
        </w:rPr>
      </w:pPr>
      <w:r w:rsidRPr="006A3AB8">
        <w:rPr>
          <w:rFonts w:ascii="Times New Roman" w:eastAsia="Times New Roman" w:hAnsi="Times New Roman" w:cs="Times New Roman"/>
          <w:b/>
          <w:sz w:val="26"/>
          <w:szCs w:val="26"/>
          <w:lang w:eastAsia="ru-RU"/>
        </w:rPr>
        <w:t xml:space="preserve">Численность вынужденных мигрантов на 1 января </w:t>
      </w:r>
    </w:p>
    <w:p w14:paraId="30EE4D3F" w14:textId="77777777" w:rsidR="00D03A4F" w:rsidRPr="00CD4696" w:rsidRDefault="00D03A4F" w:rsidP="00D03A4F">
      <w:pPr>
        <w:spacing w:after="0" w:line="240" w:lineRule="auto"/>
        <w:jc w:val="center"/>
        <w:rPr>
          <w:rFonts w:ascii="Times New Roman" w:eastAsia="Times New Roman" w:hAnsi="Times New Roman" w:cs="Times New Roman"/>
          <w:sz w:val="24"/>
          <w:szCs w:val="24"/>
          <w:lang w:eastAsia="ru-RU"/>
        </w:rPr>
      </w:pPr>
      <w:r w:rsidRPr="006A3AB8">
        <w:rPr>
          <w:rFonts w:ascii="Times New Roman" w:eastAsia="Times New Roman" w:hAnsi="Times New Roman" w:cs="Times New Roman"/>
          <w:sz w:val="24"/>
          <w:szCs w:val="24"/>
          <w:lang w:eastAsia="ru-RU"/>
        </w:rPr>
        <w:t>(по данным ГУВМ МВД России; человек)</w:t>
      </w:r>
    </w:p>
    <w:p w14:paraId="41162947" w14:textId="77777777" w:rsidR="00D03A4F" w:rsidRPr="00CD4696" w:rsidRDefault="00D03A4F" w:rsidP="00D03A4F">
      <w:pPr>
        <w:spacing w:after="0" w:line="240" w:lineRule="auto"/>
        <w:jc w:val="center"/>
        <w:rPr>
          <w:rFonts w:ascii="Times New Roman" w:eastAsia="Times New Roman" w:hAnsi="Times New Roman" w:cs="Times New Roman"/>
          <w:sz w:val="24"/>
          <w:szCs w:val="24"/>
          <w:lang w:eastAsia="ru-RU"/>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551"/>
        <w:gridCol w:w="2410"/>
        <w:gridCol w:w="2092"/>
      </w:tblGrid>
      <w:tr w:rsidR="00D81182" w:rsidRPr="00CD4696" w14:paraId="6621DE2C" w14:textId="77777777" w:rsidTr="00D81182">
        <w:trPr>
          <w:trHeight w:val="421"/>
          <w:tblHeader/>
        </w:trPr>
        <w:tc>
          <w:tcPr>
            <w:tcW w:w="3369" w:type="dxa"/>
          </w:tcPr>
          <w:p w14:paraId="0A3A55E6" w14:textId="77777777" w:rsidR="00D81182" w:rsidRPr="00CD4696" w:rsidRDefault="00D81182" w:rsidP="00D03A4F">
            <w:pPr>
              <w:spacing w:after="0" w:line="240" w:lineRule="auto"/>
              <w:jc w:val="center"/>
              <w:rPr>
                <w:rFonts w:ascii="Times New Roman" w:eastAsia="Times New Roman" w:hAnsi="Times New Roman" w:cs="Times New Roman"/>
                <w:sz w:val="24"/>
                <w:szCs w:val="24"/>
                <w:lang w:eastAsia="ru-RU"/>
              </w:rPr>
            </w:pPr>
          </w:p>
        </w:tc>
        <w:tc>
          <w:tcPr>
            <w:tcW w:w="2551" w:type="dxa"/>
            <w:vAlign w:val="center"/>
          </w:tcPr>
          <w:p w14:paraId="7AFE0881" w14:textId="77777777" w:rsidR="00D81182" w:rsidRPr="00CD4696" w:rsidRDefault="00D81182" w:rsidP="006820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6820CF">
              <w:rPr>
                <w:rFonts w:ascii="Times New Roman" w:eastAsia="Times New Roman" w:hAnsi="Times New Roman" w:cs="Times New Roman"/>
                <w:sz w:val="24"/>
                <w:szCs w:val="24"/>
                <w:lang w:eastAsia="ru-RU"/>
              </w:rPr>
              <w:t>19</w:t>
            </w:r>
            <w:r w:rsidRPr="00CD4696">
              <w:rPr>
                <w:rFonts w:ascii="Times New Roman" w:eastAsia="Times New Roman" w:hAnsi="Times New Roman" w:cs="Times New Roman"/>
                <w:sz w:val="24"/>
                <w:szCs w:val="24"/>
                <w:lang w:eastAsia="ru-RU"/>
              </w:rPr>
              <w:t xml:space="preserve"> г.</w:t>
            </w:r>
          </w:p>
        </w:tc>
        <w:tc>
          <w:tcPr>
            <w:tcW w:w="2410" w:type="dxa"/>
            <w:vAlign w:val="center"/>
          </w:tcPr>
          <w:p w14:paraId="7E9946A7" w14:textId="77777777" w:rsidR="00D81182" w:rsidRPr="00CD4696" w:rsidRDefault="00D81182" w:rsidP="006820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6820CF">
              <w:rPr>
                <w:rFonts w:ascii="Times New Roman" w:eastAsia="Times New Roman" w:hAnsi="Times New Roman" w:cs="Times New Roman"/>
                <w:sz w:val="24"/>
                <w:szCs w:val="24"/>
                <w:lang w:eastAsia="ru-RU"/>
              </w:rPr>
              <w:t>0</w:t>
            </w:r>
            <w:r w:rsidRPr="00CD4696">
              <w:rPr>
                <w:rFonts w:ascii="Times New Roman" w:eastAsia="Times New Roman" w:hAnsi="Times New Roman" w:cs="Times New Roman"/>
                <w:sz w:val="24"/>
                <w:szCs w:val="24"/>
                <w:lang w:eastAsia="ru-RU"/>
              </w:rPr>
              <w:t xml:space="preserve"> г.</w:t>
            </w:r>
          </w:p>
        </w:tc>
        <w:tc>
          <w:tcPr>
            <w:tcW w:w="2092" w:type="dxa"/>
            <w:vAlign w:val="center"/>
          </w:tcPr>
          <w:p w14:paraId="5938765E" w14:textId="77777777" w:rsidR="00D81182" w:rsidRPr="00CD4696" w:rsidRDefault="00D81182"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w:t>
            </w:r>
          </w:p>
        </w:tc>
      </w:tr>
      <w:tr w:rsidR="00D81182" w:rsidRPr="00CD4696" w14:paraId="279F69E7" w14:textId="77777777" w:rsidTr="00D81182">
        <w:trPr>
          <w:trHeight w:val="426"/>
        </w:trPr>
        <w:tc>
          <w:tcPr>
            <w:tcW w:w="10422" w:type="dxa"/>
            <w:gridSpan w:val="4"/>
            <w:vAlign w:val="center"/>
          </w:tcPr>
          <w:p w14:paraId="3C5518A6" w14:textId="77777777" w:rsidR="00D81182" w:rsidRPr="00CD4696" w:rsidRDefault="00D81182"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Вынужденные переселенцы</w:t>
            </w:r>
          </w:p>
        </w:tc>
      </w:tr>
      <w:tr w:rsidR="00D81182" w:rsidRPr="00CD4696" w14:paraId="02010D8E" w14:textId="77777777" w:rsidTr="00D81182">
        <w:trPr>
          <w:trHeight w:val="406"/>
        </w:trPr>
        <w:tc>
          <w:tcPr>
            <w:tcW w:w="3369" w:type="dxa"/>
            <w:vAlign w:val="center"/>
          </w:tcPr>
          <w:p w14:paraId="29AE9557" w14:textId="77777777" w:rsidR="00D81182" w:rsidRPr="00CD4696" w:rsidRDefault="00D81182" w:rsidP="00D03A4F">
            <w:pPr>
              <w:spacing w:after="0" w:line="240" w:lineRule="auto"/>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Всего семей</w:t>
            </w:r>
          </w:p>
        </w:tc>
        <w:tc>
          <w:tcPr>
            <w:tcW w:w="2551" w:type="dxa"/>
            <w:vAlign w:val="center"/>
          </w:tcPr>
          <w:p w14:paraId="29A3FCF4" w14:textId="77777777" w:rsidR="00D81182" w:rsidRPr="00CD4696" w:rsidRDefault="00D81182" w:rsidP="00D81182">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eastAsia="ru-RU"/>
              </w:rPr>
              <w:t xml:space="preserve"> </w:t>
            </w:r>
            <w:r w:rsidRPr="00CD4696">
              <w:rPr>
                <w:rFonts w:ascii="Times New Roman" w:eastAsia="Times New Roman" w:hAnsi="Times New Roman" w:cs="Times New Roman"/>
                <w:sz w:val="24"/>
                <w:szCs w:val="24"/>
                <w:lang w:val="en-US" w:eastAsia="ru-RU"/>
              </w:rPr>
              <w:t>419</w:t>
            </w:r>
          </w:p>
        </w:tc>
        <w:tc>
          <w:tcPr>
            <w:tcW w:w="2410" w:type="dxa"/>
            <w:vAlign w:val="center"/>
          </w:tcPr>
          <w:p w14:paraId="132BE806" w14:textId="77777777" w:rsidR="00D81182" w:rsidRPr="00CD4696" w:rsidRDefault="00D81182" w:rsidP="00D81182">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1 194</w:t>
            </w:r>
          </w:p>
        </w:tc>
        <w:tc>
          <w:tcPr>
            <w:tcW w:w="2092" w:type="dxa"/>
            <w:vAlign w:val="center"/>
          </w:tcPr>
          <w:p w14:paraId="1670D751" w14:textId="77777777" w:rsidR="00D81182" w:rsidRPr="00CD4696" w:rsidRDefault="006E7CE8"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463</w:t>
            </w:r>
          </w:p>
        </w:tc>
      </w:tr>
      <w:tr w:rsidR="00D81182" w:rsidRPr="00CD4696" w14:paraId="040162AA" w14:textId="77777777" w:rsidTr="00D81182">
        <w:trPr>
          <w:trHeight w:val="412"/>
        </w:trPr>
        <w:tc>
          <w:tcPr>
            <w:tcW w:w="3369" w:type="dxa"/>
            <w:vAlign w:val="center"/>
          </w:tcPr>
          <w:p w14:paraId="7D71ACDD" w14:textId="77777777" w:rsidR="00D81182" w:rsidRPr="00CD4696" w:rsidRDefault="00D81182"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в них человек</w:t>
            </w:r>
          </w:p>
        </w:tc>
        <w:tc>
          <w:tcPr>
            <w:tcW w:w="2551" w:type="dxa"/>
            <w:vAlign w:val="center"/>
          </w:tcPr>
          <w:p w14:paraId="0D01A7E8" w14:textId="77777777" w:rsidR="00D81182" w:rsidRPr="00CD4696" w:rsidRDefault="00D81182" w:rsidP="00D81182">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5 323</w:t>
            </w:r>
          </w:p>
        </w:tc>
        <w:tc>
          <w:tcPr>
            <w:tcW w:w="2410" w:type="dxa"/>
            <w:vAlign w:val="center"/>
          </w:tcPr>
          <w:p w14:paraId="13931F03" w14:textId="77777777" w:rsidR="00D81182" w:rsidRPr="00CD4696" w:rsidRDefault="00D81182" w:rsidP="00D81182">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2 512</w:t>
            </w:r>
          </w:p>
        </w:tc>
        <w:tc>
          <w:tcPr>
            <w:tcW w:w="2092" w:type="dxa"/>
            <w:vAlign w:val="center"/>
          </w:tcPr>
          <w:p w14:paraId="0E19849E" w14:textId="77777777" w:rsidR="00D81182" w:rsidRPr="00CD4696" w:rsidRDefault="006E7CE8"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700</w:t>
            </w:r>
          </w:p>
        </w:tc>
      </w:tr>
      <w:tr w:rsidR="00D81182" w:rsidRPr="00CD4696" w14:paraId="26AC1F2B" w14:textId="77777777" w:rsidTr="00D81182">
        <w:trPr>
          <w:trHeight w:val="417"/>
        </w:trPr>
        <w:tc>
          <w:tcPr>
            <w:tcW w:w="3369" w:type="dxa"/>
            <w:vAlign w:val="center"/>
          </w:tcPr>
          <w:p w14:paraId="4432CF40" w14:textId="77777777" w:rsidR="00D81182" w:rsidRPr="00CD4696" w:rsidRDefault="00D81182"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в том числе в возрасте, лет:</w:t>
            </w:r>
          </w:p>
        </w:tc>
        <w:tc>
          <w:tcPr>
            <w:tcW w:w="2551" w:type="dxa"/>
            <w:vAlign w:val="center"/>
          </w:tcPr>
          <w:p w14:paraId="6C45ACA1" w14:textId="77777777" w:rsidR="00D81182" w:rsidRPr="00CD4696" w:rsidRDefault="00D81182" w:rsidP="00D81182">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14:paraId="47FC8949" w14:textId="77777777" w:rsidR="00D81182" w:rsidRPr="00CD4696" w:rsidRDefault="00D81182" w:rsidP="00D81182">
            <w:pPr>
              <w:spacing w:after="0" w:line="240" w:lineRule="auto"/>
              <w:jc w:val="center"/>
              <w:rPr>
                <w:rFonts w:ascii="Times New Roman" w:eastAsia="Times New Roman" w:hAnsi="Times New Roman" w:cs="Times New Roman"/>
                <w:sz w:val="24"/>
                <w:szCs w:val="24"/>
                <w:lang w:eastAsia="ru-RU"/>
              </w:rPr>
            </w:pPr>
          </w:p>
        </w:tc>
        <w:tc>
          <w:tcPr>
            <w:tcW w:w="2092" w:type="dxa"/>
            <w:vAlign w:val="center"/>
          </w:tcPr>
          <w:p w14:paraId="3E2B8578" w14:textId="77777777" w:rsidR="00D81182" w:rsidRPr="00CD4696" w:rsidRDefault="00D81182" w:rsidP="00D03A4F">
            <w:pPr>
              <w:spacing w:after="0" w:line="240" w:lineRule="auto"/>
              <w:jc w:val="center"/>
              <w:rPr>
                <w:rFonts w:ascii="Times New Roman" w:eastAsia="Times New Roman" w:hAnsi="Times New Roman" w:cs="Times New Roman"/>
                <w:sz w:val="24"/>
                <w:szCs w:val="24"/>
                <w:lang w:eastAsia="ru-RU"/>
              </w:rPr>
            </w:pPr>
          </w:p>
        </w:tc>
      </w:tr>
      <w:tr w:rsidR="00D81182" w:rsidRPr="00CD4696" w14:paraId="76A7B3D7" w14:textId="77777777" w:rsidTr="00D81182">
        <w:trPr>
          <w:trHeight w:val="409"/>
        </w:trPr>
        <w:tc>
          <w:tcPr>
            <w:tcW w:w="3369" w:type="dxa"/>
            <w:vAlign w:val="center"/>
          </w:tcPr>
          <w:p w14:paraId="34346E8B" w14:textId="77777777" w:rsidR="00D81182" w:rsidRPr="00CD4696" w:rsidRDefault="00D81182"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0-5</w:t>
            </w:r>
          </w:p>
        </w:tc>
        <w:tc>
          <w:tcPr>
            <w:tcW w:w="2551" w:type="dxa"/>
            <w:vAlign w:val="center"/>
          </w:tcPr>
          <w:p w14:paraId="5A818DA1" w14:textId="77777777" w:rsidR="00D81182" w:rsidRPr="00CD4696" w:rsidRDefault="00D81182" w:rsidP="00D81182">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w:t>
            </w:r>
          </w:p>
        </w:tc>
        <w:tc>
          <w:tcPr>
            <w:tcW w:w="2410" w:type="dxa"/>
            <w:vAlign w:val="center"/>
          </w:tcPr>
          <w:p w14:paraId="3723501A" w14:textId="77777777" w:rsidR="00D81182" w:rsidRPr="00CD4696" w:rsidRDefault="00D81182" w:rsidP="00D81182">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w:t>
            </w:r>
          </w:p>
        </w:tc>
        <w:tc>
          <w:tcPr>
            <w:tcW w:w="2092" w:type="dxa"/>
            <w:vAlign w:val="center"/>
          </w:tcPr>
          <w:p w14:paraId="60C4BD86" w14:textId="77777777" w:rsidR="00D81182" w:rsidRPr="00CD4696" w:rsidRDefault="006E7CE8"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D81182" w:rsidRPr="00CD4696" w14:paraId="722DB1C4" w14:textId="77777777" w:rsidTr="00D81182">
        <w:trPr>
          <w:trHeight w:val="430"/>
        </w:trPr>
        <w:tc>
          <w:tcPr>
            <w:tcW w:w="3369" w:type="dxa"/>
            <w:vAlign w:val="center"/>
          </w:tcPr>
          <w:p w14:paraId="1AAB2A1B" w14:textId="77777777" w:rsidR="00D81182" w:rsidRPr="00CD4696" w:rsidRDefault="00D81182"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6-15</w:t>
            </w:r>
          </w:p>
        </w:tc>
        <w:tc>
          <w:tcPr>
            <w:tcW w:w="2551" w:type="dxa"/>
            <w:vAlign w:val="center"/>
          </w:tcPr>
          <w:p w14:paraId="337B0FF9" w14:textId="77777777" w:rsidR="00D81182" w:rsidRPr="00CD4696" w:rsidRDefault="00D81182" w:rsidP="00D81182">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18</w:t>
            </w:r>
          </w:p>
        </w:tc>
        <w:tc>
          <w:tcPr>
            <w:tcW w:w="2410" w:type="dxa"/>
            <w:vAlign w:val="center"/>
          </w:tcPr>
          <w:p w14:paraId="132085D9" w14:textId="77777777" w:rsidR="00D81182" w:rsidRPr="00CD4696" w:rsidRDefault="00D81182" w:rsidP="00D81182">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9</w:t>
            </w:r>
          </w:p>
        </w:tc>
        <w:tc>
          <w:tcPr>
            <w:tcW w:w="2092" w:type="dxa"/>
            <w:vAlign w:val="center"/>
          </w:tcPr>
          <w:p w14:paraId="61BB86C2" w14:textId="77777777" w:rsidR="00D81182" w:rsidRPr="00CD4696" w:rsidRDefault="006E7CE8"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81182" w:rsidRPr="00CD4696" w14:paraId="0B496BEA" w14:textId="77777777" w:rsidTr="00D81182">
        <w:trPr>
          <w:trHeight w:val="408"/>
        </w:trPr>
        <w:tc>
          <w:tcPr>
            <w:tcW w:w="3369" w:type="dxa"/>
            <w:vAlign w:val="center"/>
          </w:tcPr>
          <w:p w14:paraId="5E099E9E" w14:textId="77777777" w:rsidR="00D81182" w:rsidRPr="00CD4696" w:rsidRDefault="00D81182"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16-17</w:t>
            </w:r>
          </w:p>
        </w:tc>
        <w:tc>
          <w:tcPr>
            <w:tcW w:w="2551" w:type="dxa"/>
            <w:vAlign w:val="center"/>
          </w:tcPr>
          <w:p w14:paraId="3216FB53" w14:textId="77777777" w:rsidR="00D81182" w:rsidRPr="00CD4696" w:rsidRDefault="00D81182" w:rsidP="00D81182">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49</w:t>
            </w:r>
          </w:p>
        </w:tc>
        <w:tc>
          <w:tcPr>
            <w:tcW w:w="2410" w:type="dxa"/>
            <w:vAlign w:val="center"/>
          </w:tcPr>
          <w:p w14:paraId="36B47685" w14:textId="77777777" w:rsidR="00D81182" w:rsidRPr="00CD4696" w:rsidRDefault="00D81182" w:rsidP="00D81182">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20</w:t>
            </w:r>
          </w:p>
        </w:tc>
        <w:tc>
          <w:tcPr>
            <w:tcW w:w="2092" w:type="dxa"/>
            <w:vAlign w:val="center"/>
          </w:tcPr>
          <w:p w14:paraId="44339E37" w14:textId="77777777" w:rsidR="00D81182" w:rsidRPr="00CD4696" w:rsidRDefault="006E7CE8"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D81182" w:rsidRPr="00CD4696" w14:paraId="081211BB" w14:textId="77777777" w:rsidTr="00D81182">
        <w:trPr>
          <w:trHeight w:val="413"/>
        </w:trPr>
        <w:tc>
          <w:tcPr>
            <w:tcW w:w="3369" w:type="dxa"/>
            <w:vAlign w:val="center"/>
          </w:tcPr>
          <w:p w14:paraId="1ABDB1DF" w14:textId="77777777" w:rsidR="00D81182" w:rsidRPr="00CD4696" w:rsidRDefault="00D81182"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0-15</w:t>
            </w:r>
          </w:p>
        </w:tc>
        <w:tc>
          <w:tcPr>
            <w:tcW w:w="2551" w:type="dxa"/>
            <w:vAlign w:val="center"/>
          </w:tcPr>
          <w:p w14:paraId="7A5D84E3" w14:textId="77777777" w:rsidR="00D81182" w:rsidRPr="00CD4696" w:rsidRDefault="00D81182" w:rsidP="00D81182">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19</w:t>
            </w:r>
          </w:p>
        </w:tc>
        <w:tc>
          <w:tcPr>
            <w:tcW w:w="2410" w:type="dxa"/>
            <w:vAlign w:val="center"/>
          </w:tcPr>
          <w:p w14:paraId="70BFE03D" w14:textId="77777777" w:rsidR="00D81182" w:rsidRPr="00CD4696" w:rsidRDefault="00D81182" w:rsidP="00D81182">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9</w:t>
            </w:r>
          </w:p>
        </w:tc>
        <w:tc>
          <w:tcPr>
            <w:tcW w:w="2092" w:type="dxa"/>
            <w:vAlign w:val="center"/>
          </w:tcPr>
          <w:p w14:paraId="0C0A7408" w14:textId="77777777" w:rsidR="00D81182" w:rsidRPr="00CD4696" w:rsidRDefault="006E7CE8"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81182" w:rsidRPr="00CD4696" w14:paraId="3D712690" w14:textId="77777777" w:rsidTr="00D81182">
        <w:trPr>
          <w:trHeight w:val="419"/>
        </w:trPr>
        <w:tc>
          <w:tcPr>
            <w:tcW w:w="3369" w:type="dxa"/>
            <w:vAlign w:val="center"/>
          </w:tcPr>
          <w:p w14:paraId="383ED69A" w14:textId="77777777" w:rsidR="00D81182" w:rsidRPr="00CD4696" w:rsidRDefault="00D81182"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0-17</w:t>
            </w:r>
          </w:p>
        </w:tc>
        <w:tc>
          <w:tcPr>
            <w:tcW w:w="2551" w:type="dxa"/>
            <w:vAlign w:val="center"/>
          </w:tcPr>
          <w:p w14:paraId="5DBB971A" w14:textId="77777777" w:rsidR="00D81182" w:rsidRPr="00CD4696" w:rsidRDefault="00D81182" w:rsidP="00D81182">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68</w:t>
            </w:r>
          </w:p>
        </w:tc>
        <w:tc>
          <w:tcPr>
            <w:tcW w:w="2410" w:type="dxa"/>
            <w:vAlign w:val="center"/>
          </w:tcPr>
          <w:p w14:paraId="00A0B364" w14:textId="77777777" w:rsidR="00D81182" w:rsidRPr="00CD4696" w:rsidRDefault="00D81182" w:rsidP="00D81182">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29</w:t>
            </w:r>
          </w:p>
        </w:tc>
        <w:tc>
          <w:tcPr>
            <w:tcW w:w="2092" w:type="dxa"/>
            <w:vAlign w:val="center"/>
          </w:tcPr>
          <w:p w14:paraId="300EA8DE" w14:textId="77777777" w:rsidR="00D81182" w:rsidRPr="00CD4696" w:rsidRDefault="006E7CE8"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D81182" w:rsidRPr="00CD4696" w14:paraId="40D3F0E0" w14:textId="77777777" w:rsidTr="00D81182">
        <w:tc>
          <w:tcPr>
            <w:tcW w:w="3369" w:type="dxa"/>
            <w:vAlign w:val="center"/>
          </w:tcPr>
          <w:p w14:paraId="38E14674" w14:textId="77777777" w:rsidR="00D81182" w:rsidRPr="00CD4696" w:rsidRDefault="00D81182" w:rsidP="00D03A4F">
            <w:pPr>
              <w:spacing w:after="0" w:line="240" w:lineRule="auto"/>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Удельный вес в общей численности вынужденных мигрантов детей и подростков в возрасте:</w:t>
            </w:r>
          </w:p>
        </w:tc>
        <w:tc>
          <w:tcPr>
            <w:tcW w:w="2551" w:type="dxa"/>
            <w:vAlign w:val="center"/>
          </w:tcPr>
          <w:p w14:paraId="3558B419" w14:textId="77777777" w:rsidR="00D81182" w:rsidRPr="00CD4696" w:rsidRDefault="00D81182" w:rsidP="00D81182">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14:paraId="2701E266" w14:textId="77777777" w:rsidR="00D81182" w:rsidRPr="00CD4696" w:rsidRDefault="00D81182" w:rsidP="00D81182">
            <w:pPr>
              <w:spacing w:after="0" w:line="240" w:lineRule="auto"/>
              <w:jc w:val="center"/>
              <w:rPr>
                <w:rFonts w:ascii="Times New Roman" w:eastAsia="Times New Roman" w:hAnsi="Times New Roman" w:cs="Times New Roman"/>
                <w:sz w:val="24"/>
                <w:szCs w:val="24"/>
                <w:lang w:eastAsia="ru-RU"/>
              </w:rPr>
            </w:pPr>
          </w:p>
        </w:tc>
        <w:tc>
          <w:tcPr>
            <w:tcW w:w="2092" w:type="dxa"/>
            <w:vAlign w:val="center"/>
          </w:tcPr>
          <w:p w14:paraId="0E572931" w14:textId="77777777" w:rsidR="00D81182" w:rsidRPr="00CD4696" w:rsidRDefault="00D81182" w:rsidP="00D03A4F">
            <w:pPr>
              <w:spacing w:after="0" w:line="240" w:lineRule="auto"/>
              <w:jc w:val="center"/>
              <w:rPr>
                <w:rFonts w:ascii="Times New Roman" w:eastAsia="Times New Roman" w:hAnsi="Times New Roman" w:cs="Times New Roman"/>
                <w:sz w:val="24"/>
                <w:szCs w:val="24"/>
                <w:lang w:eastAsia="ru-RU"/>
              </w:rPr>
            </w:pPr>
          </w:p>
        </w:tc>
      </w:tr>
      <w:tr w:rsidR="00D81182" w:rsidRPr="00CD4696" w14:paraId="2079A1FD" w14:textId="77777777" w:rsidTr="00D81182">
        <w:trPr>
          <w:trHeight w:val="422"/>
        </w:trPr>
        <w:tc>
          <w:tcPr>
            <w:tcW w:w="3369" w:type="dxa"/>
            <w:vAlign w:val="center"/>
          </w:tcPr>
          <w:p w14:paraId="1DCCA46F" w14:textId="77777777" w:rsidR="00D81182" w:rsidRPr="00CD4696" w:rsidRDefault="00D81182"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0-15 лет</w:t>
            </w:r>
          </w:p>
        </w:tc>
        <w:tc>
          <w:tcPr>
            <w:tcW w:w="2551" w:type="dxa"/>
            <w:vAlign w:val="center"/>
          </w:tcPr>
          <w:p w14:paraId="4ECCEEBF" w14:textId="77777777" w:rsidR="00D81182" w:rsidRPr="00CD4696" w:rsidRDefault="00D81182" w:rsidP="00D81182">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0,4</w:t>
            </w:r>
          </w:p>
        </w:tc>
        <w:tc>
          <w:tcPr>
            <w:tcW w:w="2410" w:type="dxa"/>
            <w:vAlign w:val="center"/>
          </w:tcPr>
          <w:p w14:paraId="26EFE69C" w14:textId="77777777" w:rsidR="00D81182" w:rsidRPr="00CD4696" w:rsidRDefault="00D81182" w:rsidP="00D81182">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0,4</w:t>
            </w:r>
          </w:p>
        </w:tc>
        <w:tc>
          <w:tcPr>
            <w:tcW w:w="2092" w:type="dxa"/>
            <w:vAlign w:val="center"/>
          </w:tcPr>
          <w:p w14:paraId="5C6EC49D" w14:textId="77777777" w:rsidR="00D81182" w:rsidRPr="00CD4696" w:rsidRDefault="006E7CE8"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r>
      <w:tr w:rsidR="00D81182" w:rsidRPr="00CD4696" w14:paraId="4569E4E1" w14:textId="77777777" w:rsidTr="00D81182">
        <w:trPr>
          <w:trHeight w:val="414"/>
        </w:trPr>
        <w:tc>
          <w:tcPr>
            <w:tcW w:w="3369" w:type="dxa"/>
            <w:vAlign w:val="center"/>
          </w:tcPr>
          <w:p w14:paraId="75483069" w14:textId="77777777" w:rsidR="00D81182" w:rsidRPr="00CD4696" w:rsidRDefault="00D81182"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0-17 лет</w:t>
            </w:r>
          </w:p>
        </w:tc>
        <w:tc>
          <w:tcPr>
            <w:tcW w:w="2551" w:type="dxa"/>
            <w:vAlign w:val="center"/>
          </w:tcPr>
          <w:p w14:paraId="6D76339D" w14:textId="77777777" w:rsidR="00D81182" w:rsidRPr="00CD4696" w:rsidRDefault="00D81182" w:rsidP="00D81182">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1,3</w:t>
            </w:r>
          </w:p>
        </w:tc>
        <w:tc>
          <w:tcPr>
            <w:tcW w:w="2410" w:type="dxa"/>
            <w:vAlign w:val="center"/>
          </w:tcPr>
          <w:p w14:paraId="6AA6F775" w14:textId="77777777" w:rsidR="00D81182" w:rsidRPr="00CD4696" w:rsidRDefault="00D81182" w:rsidP="00D81182">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1,2</w:t>
            </w:r>
          </w:p>
        </w:tc>
        <w:tc>
          <w:tcPr>
            <w:tcW w:w="2092" w:type="dxa"/>
            <w:vAlign w:val="center"/>
          </w:tcPr>
          <w:p w14:paraId="22703339" w14:textId="77777777" w:rsidR="00D81182" w:rsidRPr="00CD4696" w:rsidRDefault="006E7CE8"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r>
      <w:tr w:rsidR="00D81182" w:rsidRPr="00CD4696" w14:paraId="2BDE0987" w14:textId="77777777" w:rsidTr="00D81182">
        <w:trPr>
          <w:trHeight w:val="415"/>
        </w:trPr>
        <w:tc>
          <w:tcPr>
            <w:tcW w:w="10422" w:type="dxa"/>
            <w:gridSpan w:val="4"/>
            <w:vAlign w:val="center"/>
          </w:tcPr>
          <w:p w14:paraId="0A7E570B" w14:textId="77777777" w:rsidR="00D81182" w:rsidRPr="00CD4696" w:rsidRDefault="00D81182"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Лица, получившие временное убежище</w:t>
            </w:r>
          </w:p>
        </w:tc>
      </w:tr>
      <w:tr w:rsidR="00D81182" w:rsidRPr="00CD4696" w14:paraId="57085CC6" w14:textId="77777777" w:rsidTr="00D81182">
        <w:trPr>
          <w:trHeight w:val="425"/>
        </w:trPr>
        <w:tc>
          <w:tcPr>
            <w:tcW w:w="3369" w:type="dxa"/>
            <w:vAlign w:val="center"/>
          </w:tcPr>
          <w:p w14:paraId="0020534B" w14:textId="77777777" w:rsidR="00D81182" w:rsidRPr="00CD4696" w:rsidRDefault="00D81182" w:rsidP="00D03A4F">
            <w:pPr>
              <w:spacing w:after="0" w:line="240" w:lineRule="auto"/>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Всего семей</w:t>
            </w:r>
          </w:p>
        </w:tc>
        <w:tc>
          <w:tcPr>
            <w:tcW w:w="2551" w:type="dxa"/>
            <w:vAlign w:val="center"/>
          </w:tcPr>
          <w:p w14:paraId="73281027" w14:textId="77777777" w:rsidR="00D81182" w:rsidRPr="00CD4696" w:rsidRDefault="00D81182" w:rsidP="00D03A4F">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14:paraId="630092F1" w14:textId="77777777" w:rsidR="00D81182" w:rsidRPr="00CD4696" w:rsidRDefault="00D81182" w:rsidP="00D03A4F">
            <w:pPr>
              <w:spacing w:after="0" w:line="240" w:lineRule="auto"/>
              <w:jc w:val="center"/>
              <w:rPr>
                <w:rFonts w:ascii="Times New Roman" w:eastAsia="Times New Roman" w:hAnsi="Times New Roman" w:cs="Times New Roman"/>
                <w:sz w:val="24"/>
                <w:szCs w:val="24"/>
                <w:lang w:eastAsia="ru-RU"/>
              </w:rPr>
            </w:pPr>
          </w:p>
        </w:tc>
        <w:tc>
          <w:tcPr>
            <w:tcW w:w="2092" w:type="dxa"/>
            <w:vAlign w:val="center"/>
          </w:tcPr>
          <w:p w14:paraId="281209A2" w14:textId="77777777" w:rsidR="00D81182" w:rsidRPr="00CD4696" w:rsidRDefault="00D81182" w:rsidP="00D03A4F">
            <w:pPr>
              <w:spacing w:after="0" w:line="240" w:lineRule="auto"/>
              <w:jc w:val="center"/>
              <w:rPr>
                <w:rFonts w:ascii="Times New Roman" w:eastAsia="Times New Roman" w:hAnsi="Times New Roman" w:cs="Times New Roman"/>
                <w:sz w:val="24"/>
                <w:szCs w:val="24"/>
                <w:lang w:eastAsia="ru-RU"/>
              </w:rPr>
            </w:pPr>
          </w:p>
        </w:tc>
      </w:tr>
      <w:tr w:rsidR="00D81182" w:rsidRPr="00CD4696" w14:paraId="5F24AFA7" w14:textId="77777777" w:rsidTr="00D81182">
        <w:trPr>
          <w:trHeight w:val="418"/>
        </w:trPr>
        <w:tc>
          <w:tcPr>
            <w:tcW w:w="3369" w:type="dxa"/>
            <w:vAlign w:val="center"/>
          </w:tcPr>
          <w:p w14:paraId="76DBF85C" w14:textId="77777777" w:rsidR="00D81182" w:rsidRPr="00CD4696" w:rsidRDefault="00D81182"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в них человек</w:t>
            </w:r>
          </w:p>
        </w:tc>
        <w:tc>
          <w:tcPr>
            <w:tcW w:w="2551" w:type="dxa"/>
            <w:vAlign w:val="center"/>
          </w:tcPr>
          <w:p w14:paraId="6FD3D8DB" w14:textId="77777777" w:rsidR="00D81182" w:rsidRPr="00CD4696" w:rsidRDefault="00D81182" w:rsidP="00D81182">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41 946</w:t>
            </w:r>
          </w:p>
        </w:tc>
        <w:tc>
          <w:tcPr>
            <w:tcW w:w="2410" w:type="dxa"/>
            <w:vAlign w:val="center"/>
          </w:tcPr>
          <w:p w14:paraId="2D333814" w14:textId="77777777" w:rsidR="00D81182" w:rsidRPr="00CD4696" w:rsidRDefault="00D81182" w:rsidP="00D81182">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19 817</w:t>
            </w:r>
          </w:p>
        </w:tc>
        <w:tc>
          <w:tcPr>
            <w:tcW w:w="2092" w:type="dxa"/>
            <w:vAlign w:val="center"/>
          </w:tcPr>
          <w:p w14:paraId="20FB2E1C" w14:textId="77777777" w:rsidR="00D81182" w:rsidRPr="00CD4696" w:rsidRDefault="006E7CE8"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10 581</w:t>
            </w:r>
          </w:p>
        </w:tc>
      </w:tr>
      <w:tr w:rsidR="00D81182" w:rsidRPr="00CD4696" w14:paraId="480C9D93" w14:textId="77777777" w:rsidTr="00D81182">
        <w:trPr>
          <w:trHeight w:val="409"/>
        </w:trPr>
        <w:tc>
          <w:tcPr>
            <w:tcW w:w="3369" w:type="dxa"/>
            <w:vAlign w:val="center"/>
          </w:tcPr>
          <w:p w14:paraId="1D737E73" w14:textId="77777777" w:rsidR="00D81182" w:rsidRPr="00CD4696" w:rsidRDefault="00D81182"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в том числе в возрасте, лет:</w:t>
            </w:r>
          </w:p>
        </w:tc>
        <w:tc>
          <w:tcPr>
            <w:tcW w:w="2551" w:type="dxa"/>
            <w:vAlign w:val="center"/>
          </w:tcPr>
          <w:p w14:paraId="72C6C104" w14:textId="77777777" w:rsidR="00D81182" w:rsidRPr="00CD4696" w:rsidRDefault="00D81182" w:rsidP="00D81182">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14:paraId="4DE79BFB" w14:textId="77777777" w:rsidR="00D81182" w:rsidRPr="00CD4696" w:rsidRDefault="00D81182" w:rsidP="00D81182">
            <w:pPr>
              <w:spacing w:after="0" w:line="240" w:lineRule="auto"/>
              <w:jc w:val="center"/>
              <w:rPr>
                <w:rFonts w:ascii="Times New Roman" w:eastAsia="Times New Roman" w:hAnsi="Times New Roman" w:cs="Times New Roman"/>
                <w:sz w:val="24"/>
                <w:szCs w:val="24"/>
                <w:lang w:eastAsia="ru-RU"/>
              </w:rPr>
            </w:pPr>
          </w:p>
        </w:tc>
        <w:tc>
          <w:tcPr>
            <w:tcW w:w="2092" w:type="dxa"/>
            <w:vAlign w:val="center"/>
          </w:tcPr>
          <w:p w14:paraId="4957CAD1" w14:textId="77777777" w:rsidR="00D81182" w:rsidRPr="00CD4696" w:rsidRDefault="00D81182" w:rsidP="00D03A4F">
            <w:pPr>
              <w:spacing w:after="0" w:line="240" w:lineRule="auto"/>
              <w:jc w:val="center"/>
              <w:rPr>
                <w:rFonts w:ascii="Times New Roman" w:eastAsia="Times New Roman" w:hAnsi="Times New Roman" w:cs="Times New Roman"/>
                <w:sz w:val="24"/>
                <w:szCs w:val="24"/>
                <w:lang w:eastAsia="ru-RU"/>
              </w:rPr>
            </w:pPr>
          </w:p>
        </w:tc>
      </w:tr>
      <w:tr w:rsidR="00D81182" w:rsidRPr="00CD4696" w14:paraId="149848B8" w14:textId="77777777" w:rsidTr="00D81182">
        <w:trPr>
          <w:trHeight w:val="401"/>
        </w:trPr>
        <w:tc>
          <w:tcPr>
            <w:tcW w:w="3369" w:type="dxa"/>
            <w:vAlign w:val="center"/>
          </w:tcPr>
          <w:p w14:paraId="2705EE97" w14:textId="77777777" w:rsidR="00D81182" w:rsidRPr="00CD4696" w:rsidRDefault="00D81182"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0-5</w:t>
            </w:r>
          </w:p>
        </w:tc>
        <w:tc>
          <w:tcPr>
            <w:tcW w:w="2551" w:type="dxa"/>
            <w:vAlign w:val="center"/>
          </w:tcPr>
          <w:p w14:paraId="299ED6B2" w14:textId="77777777" w:rsidR="00D81182" w:rsidRPr="00CD4696" w:rsidRDefault="00D81182" w:rsidP="00D81182">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2 818</w:t>
            </w:r>
          </w:p>
        </w:tc>
        <w:tc>
          <w:tcPr>
            <w:tcW w:w="2410" w:type="dxa"/>
            <w:vAlign w:val="center"/>
          </w:tcPr>
          <w:p w14:paraId="4D9F3B36" w14:textId="77777777" w:rsidR="00D81182" w:rsidRPr="00CD4696" w:rsidRDefault="00D81182" w:rsidP="00D81182">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1 022</w:t>
            </w:r>
          </w:p>
        </w:tc>
        <w:tc>
          <w:tcPr>
            <w:tcW w:w="2092" w:type="dxa"/>
            <w:vAlign w:val="center"/>
          </w:tcPr>
          <w:p w14:paraId="70AF6A92" w14:textId="77777777" w:rsidR="00D81182" w:rsidRPr="00CD4696" w:rsidRDefault="006E7CE8"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454</w:t>
            </w:r>
          </w:p>
        </w:tc>
      </w:tr>
      <w:tr w:rsidR="00D81182" w:rsidRPr="00CD4696" w14:paraId="72ADAFE4" w14:textId="77777777" w:rsidTr="00D81182">
        <w:trPr>
          <w:trHeight w:val="422"/>
        </w:trPr>
        <w:tc>
          <w:tcPr>
            <w:tcW w:w="3369" w:type="dxa"/>
            <w:vAlign w:val="center"/>
          </w:tcPr>
          <w:p w14:paraId="312A810E" w14:textId="77777777" w:rsidR="00D81182" w:rsidRPr="00CD4696" w:rsidRDefault="00D81182"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6-15</w:t>
            </w:r>
          </w:p>
        </w:tc>
        <w:tc>
          <w:tcPr>
            <w:tcW w:w="2551" w:type="dxa"/>
            <w:vAlign w:val="center"/>
          </w:tcPr>
          <w:p w14:paraId="46A5B121" w14:textId="77777777" w:rsidR="00D81182" w:rsidRPr="00CD4696" w:rsidRDefault="00D81182" w:rsidP="00D81182">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6 438</w:t>
            </w:r>
          </w:p>
        </w:tc>
        <w:tc>
          <w:tcPr>
            <w:tcW w:w="2410" w:type="dxa"/>
            <w:vAlign w:val="center"/>
          </w:tcPr>
          <w:p w14:paraId="5D891DEC" w14:textId="77777777" w:rsidR="00D81182" w:rsidRPr="00CD4696" w:rsidRDefault="00D81182" w:rsidP="00D81182">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2 816</w:t>
            </w:r>
          </w:p>
        </w:tc>
        <w:tc>
          <w:tcPr>
            <w:tcW w:w="2092" w:type="dxa"/>
            <w:vAlign w:val="center"/>
          </w:tcPr>
          <w:p w14:paraId="704DC5E4" w14:textId="77777777" w:rsidR="00D81182" w:rsidRPr="00CD4696" w:rsidRDefault="006E7CE8"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1 446</w:t>
            </w:r>
          </w:p>
        </w:tc>
      </w:tr>
      <w:tr w:rsidR="00D81182" w:rsidRPr="00CD4696" w14:paraId="2CEFB924" w14:textId="77777777" w:rsidTr="00D81182">
        <w:trPr>
          <w:trHeight w:val="413"/>
        </w:trPr>
        <w:tc>
          <w:tcPr>
            <w:tcW w:w="3369" w:type="dxa"/>
            <w:vAlign w:val="center"/>
          </w:tcPr>
          <w:p w14:paraId="0C41A59B" w14:textId="77777777" w:rsidR="00D81182" w:rsidRPr="00CD4696" w:rsidRDefault="00D81182"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16-17</w:t>
            </w:r>
          </w:p>
        </w:tc>
        <w:tc>
          <w:tcPr>
            <w:tcW w:w="2551" w:type="dxa"/>
            <w:vAlign w:val="center"/>
          </w:tcPr>
          <w:p w14:paraId="4D7AF4D0" w14:textId="77777777" w:rsidR="00D81182" w:rsidRPr="00CD4696" w:rsidRDefault="00D81182" w:rsidP="00D81182">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954</w:t>
            </w:r>
          </w:p>
        </w:tc>
        <w:tc>
          <w:tcPr>
            <w:tcW w:w="2410" w:type="dxa"/>
            <w:vAlign w:val="center"/>
          </w:tcPr>
          <w:p w14:paraId="010EB0AC" w14:textId="77777777" w:rsidR="00D81182" w:rsidRPr="00CD4696" w:rsidRDefault="00D81182" w:rsidP="00D81182">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498</w:t>
            </w:r>
          </w:p>
        </w:tc>
        <w:tc>
          <w:tcPr>
            <w:tcW w:w="2092" w:type="dxa"/>
            <w:vAlign w:val="center"/>
          </w:tcPr>
          <w:p w14:paraId="2B9C798C" w14:textId="77777777" w:rsidR="00D81182" w:rsidRPr="00CD4696" w:rsidRDefault="006E7CE8"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336</w:t>
            </w:r>
          </w:p>
        </w:tc>
      </w:tr>
      <w:tr w:rsidR="00D81182" w:rsidRPr="00CD4696" w14:paraId="1350D46C" w14:textId="77777777" w:rsidTr="00D81182">
        <w:trPr>
          <w:trHeight w:val="419"/>
        </w:trPr>
        <w:tc>
          <w:tcPr>
            <w:tcW w:w="3369" w:type="dxa"/>
            <w:vAlign w:val="center"/>
          </w:tcPr>
          <w:p w14:paraId="039E71C9" w14:textId="77777777" w:rsidR="00D81182" w:rsidRPr="00CD4696" w:rsidRDefault="00D81182"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0-15</w:t>
            </w:r>
          </w:p>
        </w:tc>
        <w:tc>
          <w:tcPr>
            <w:tcW w:w="2551" w:type="dxa"/>
            <w:vAlign w:val="center"/>
          </w:tcPr>
          <w:p w14:paraId="707FE3BA" w14:textId="77777777" w:rsidR="00D81182" w:rsidRPr="00CD4696" w:rsidRDefault="00D81182" w:rsidP="00D81182">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9 256</w:t>
            </w:r>
          </w:p>
        </w:tc>
        <w:tc>
          <w:tcPr>
            <w:tcW w:w="2410" w:type="dxa"/>
            <w:vAlign w:val="center"/>
          </w:tcPr>
          <w:p w14:paraId="75504580" w14:textId="77777777" w:rsidR="00D81182" w:rsidRPr="00CD4696" w:rsidRDefault="00D81182" w:rsidP="00D81182">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3 838</w:t>
            </w:r>
          </w:p>
        </w:tc>
        <w:tc>
          <w:tcPr>
            <w:tcW w:w="2092" w:type="dxa"/>
            <w:vAlign w:val="center"/>
          </w:tcPr>
          <w:p w14:paraId="23872987" w14:textId="77777777" w:rsidR="00D81182" w:rsidRPr="00CD4696" w:rsidRDefault="006E7CE8"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1 900</w:t>
            </w:r>
          </w:p>
        </w:tc>
      </w:tr>
      <w:tr w:rsidR="00D81182" w:rsidRPr="00CD4696" w14:paraId="08B69604" w14:textId="77777777" w:rsidTr="00D81182">
        <w:trPr>
          <w:trHeight w:val="411"/>
        </w:trPr>
        <w:tc>
          <w:tcPr>
            <w:tcW w:w="3369" w:type="dxa"/>
            <w:vAlign w:val="center"/>
          </w:tcPr>
          <w:p w14:paraId="1EF1E570" w14:textId="77777777" w:rsidR="00D81182" w:rsidRPr="00CD4696" w:rsidRDefault="00D81182"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0-17</w:t>
            </w:r>
          </w:p>
        </w:tc>
        <w:tc>
          <w:tcPr>
            <w:tcW w:w="2551" w:type="dxa"/>
            <w:vAlign w:val="center"/>
          </w:tcPr>
          <w:p w14:paraId="40FBC7FD" w14:textId="77777777" w:rsidR="00D81182" w:rsidRPr="00CD4696" w:rsidRDefault="00D81182" w:rsidP="00D81182">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10 210</w:t>
            </w:r>
          </w:p>
        </w:tc>
        <w:tc>
          <w:tcPr>
            <w:tcW w:w="2410" w:type="dxa"/>
            <w:vAlign w:val="center"/>
          </w:tcPr>
          <w:p w14:paraId="163407A2" w14:textId="77777777" w:rsidR="00D81182" w:rsidRPr="00CD4696" w:rsidRDefault="00D81182" w:rsidP="00D81182">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4 336</w:t>
            </w:r>
          </w:p>
        </w:tc>
        <w:tc>
          <w:tcPr>
            <w:tcW w:w="2092" w:type="dxa"/>
            <w:vAlign w:val="center"/>
          </w:tcPr>
          <w:p w14:paraId="651599B5" w14:textId="77777777" w:rsidR="00D81182" w:rsidRPr="00CD4696" w:rsidRDefault="006E7CE8"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2 236</w:t>
            </w:r>
          </w:p>
        </w:tc>
      </w:tr>
      <w:tr w:rsidR="00D81182" w:rsidRPr="00CD4696" w14:paraId="01F45756" w14:textId="77777777" w:rsidTr="00D81182">
        <w:tc>
          <w:tcPr>
            <w:tcW w:w="3369" w:type="dxa"/>
            <w:vAlign w:val="center"/>
          </w:tcPr>
          <w:p w14:paraId="5FA5C216" w14:textId="77777777" w:rsidR="00D81182" w:rsidRPr="00CD4696" w:rsidRDefault="00D81182" w:rsidP="00D03A4F">
            <w:pPr>
              <w:spacing w:after="0" w:line="240" w:lineRule="auto"/>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Удельный вес в общей численности вынужденных мигрантов детей и подростков в возрасте:</w:t>
            </w:r>
          </w:p>
        </w:tc>
        <w:tc>
          <w:tcPr>
            <w:tcW w:w="2551" w:type="dxa"/>
            <w:vAlign w:val="center"/>
          </w:tcPr>
          <w:p w14:paraId="7513AD64" w14:textId="77777777" w:rsidR="00D81182" w:rsidRPr="00CD4696" w:rsidRDefault="00D81182" w:rsidP="00D81182">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14:paraId="0EEFC8A5" w14:textId="77777777" w:rsidR="00D81182" w:rsidRPr="00CD4696" w:rsidRDefault="00D81182" w:rsidP="00D81182">
            <w:pPr>
              <w:spacing w:after="0" w:line="240" w:lineRule="auto"/>
              <w:jc w:val="center"/>
              <w:rPr>
                <w:rFonts w:ascii="Times New Roman" w:eastAsia="Times New Roman" w:hAnsi="Times New Roman" w:cs="Times New Roman"/>
                <w:sz w:val="24"/>
                <w:szCs w:val="24"/>
                <w:lang w:eastAsia="ru-RU"/>
              </w:rPr>
            </w:pPr>
          </w:p>
        </w:tc>
        <w:tc>
          <w:tcPr>
            <w:tcW w:w="2092" w:type="dxa"/>
            <w:vAlign w:val="center"/>
          </w:tcPr>
          <w:p w14:paraId="1FF12A66" w14:textId="77777777" w:rsidR="00D81182" w:rsidRPr="00CD4696" w:rsidRDefault="00D81182" w:rsidP="00D03A4F">
            <w:pPr>
              <w:spacing w:after="0" w:line="240" w:lineRule="auto"/>
              <w:jc w:val="center"/>
              <w:rPr>
                <w:rFonts w:ascii="Times New Roman" w:eastAsia="Times New Roman" w:hAnsi="Times New Roman" w:cs="Times New Roman"/>
                <w:sz w:val="24"/>
                <w:szCs w:val="24"/>
                <w:lang w:eastAsia="ru-RU"/>
              </w:rPr>
            </w:pPr>
          </w:p>
        </w:tc>
      </w:tr>
      <w:tr w:rsidR="00D81182" w:rsidRPr="00CD4696" w14:paraId="6D7F3760" w14:textId="77777777" w:rsidTr="00D81182">
        <w:trPr>
          <w:trHeight w:val="439"/>
        </w:trPr>
        <w:tc>
          <w:tcPr>
            <w:tcW w:w="3369" w:type="dxa"/>
            <w:vAlign w:val="center"/>
          </w:tcPr>
          <w:p w14:paraId="15C72E46" w14:textId="77777777" w:rsidR="00D81182" w:rsidRPr="00CD4696" w:rsidRDefault="00D81182"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0-15 лет</w:t>
            </w:r>
          </w:p>
        </w:tc>
        <w:tc>
          <w:tcPr>
            <w:tcW w:w="2551" w:type="dxa"/>
            <w:vAlign w:val="center"/>
          </w:tcPr>
          <w:p w14:paraId="1546F778" w14:textId="77777777" w:rsidR="00D81182" w:rsidRPr="00CD4696" w:rsidRDefault="00D81182" w:rsidP="00D81182">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22,1</w:t>
            </w:r>
          </w:p>
        </w:tc>
        <w:tc>
          <w:tcPr>
            <w:tcW w:w="2410" w:type="dxa"/>
            <w:vAlign w:val="center"/>
          </w:tcPr>
          <w:p w14:paraId="5E907E60" w14:textId="77777777" w:rsidR="00D81182" w:rsidRPr="00CD4696" w:rsidRDefault="00D81182" w:rsidP="00D81182">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19,4</w:t>
            </w:r>
          </w:p>
        </w:tc>
        <w:tc>
          <w:tcPr>
            <w:tcW w:w="2092" w:type="dxa"/>
            <w:vAlign w:val="center"/>
          </w:tcPr>
          <w:p w14:paraId="684D0329" w14:textId="77777777" w:rsidR="00D81182" w:rsidRPr="00CD4696" w:rsidRDefault="006E7CE8"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D81182" w:rsidRPr="00CD4696" w14:paraId="106E8CFE" w14:textId="77777777" w:rsidTr="00D81182">
        <w:trPr>
          <w:trHeight w:val="403"/>
        </w:trPr>
        <w:tc>
          <w:tcPr>
            <w:tcW w:w="3369" w:type="dxa"/>
            <w:vAlign w:val="center"/>
          </w:tcPr>
          <w:p w14:paraId="447C44E7" w14:textId="77777777" w:rsidR="00D81182" w:rsidRPr="00CD4696" w:rsidRDefault="00D81182"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0-17 лет</w:t>
            </w:r>
          </w:p>
        </w:tc>
        <w:tc>
          <w:tcPr>
            <w:tcW w:w="2551" w:type="dxa"/>
            <w:vAlign w:val="center"/>
          </w:tcPr>
          <w:p w14:paraId="6E6C2277" w14:textId="77777777" w:rsidR="00D81182" w:rsidRPr="00CD4696" w:rsidRDefault="00D81182" w:rsidP="00D81182">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24,3</w:t>
            </w:r>
          </w:p>
        </w:tc>
        <w:tc>
          <w:tcPr>
            <w:tcW w:w="2410" w:type="dxa"/>
            <w:vAlign w:val="center"/>
          </w:tcPr>
          <w:p w14:paraId="4573132F" w14:textId="77777777" w:rsidR="00D81182" w:rsidRPr="00CD4696" w:rsidRDefault="00D81182" w:rsidP="00D81182">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21,9</w:t>
            </w:r>
          </w:p>
        </w:tc>
        <w:tc>
          <w:tcPr>
            <w:tcW w:w="2092" w:type="dxa"/>
            <w:vAlign w:val="center"/>
          </w:tcPr>
          <w:p w14:paraId="6AB3D7E6" w14:textId="77777777" w:rsidR="00D81182" w:rsidRPr="00CD4696" w:rsidRDefault="006E7CE8"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p>
        </w:tc>
      </w:tr>
      <w:tr w:rsidR="00D81182" w:rsidRPr="00CD4696" w14:paraId="7C8F279C" w14:textId="77777777" w:rsidTr="00D81182">
        <w:trPr>
          <w:trHeight w:val="403"/>
        </w:trPr>
        <w:tc>
          <w:tcPr>
            <w:tcW w:w="10422" w:type="dxa"/>
            <w:gridSpan w:val="4"/>
            <w:vAlign w:val="center"/>
          </w:tcPr>
          <w:p w14:paraId="7C23981A" w14:textId="77777777" w:rsidR="00D81182" w:rsidRPr="00CD4696" w:rsidRDefault="00D81182" w:rsidP="00D03A4F">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Беженцы</w:t>
            </w:r>
          </w:p>
        </w:tc>
      </w:tr>
      <w:tr w:rsidR="00D81182" w:rsidRPr="00CD4696" w14:paraId="34E72230" w14:textId="77777777" w:rsidTr="00D81182">
        <w:trPr>
          <w:trHeight w:val="430"/>
        </w:trPr>
        <w:tc>
          <w:tcPr>
            <w:tcW w:w="3369" w:type="dxa"/>
            <w:vAlign w:val="center"/>
          </w:tcPr>
          <w:p w14:paraId="1AEF89C7" w14:textId="77777777" w:rsidR="00D81182" w:rsidRPr="00CD4696" w:rsidRDefault="00D81182" w:rsidP="00D03A4F">
            <w:pPr>
              <w:spacing w:after="0" w:line="240" w:lineRule="auto"/>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Всего семей</w:t>
            </w:r>
          </w:p>
        </w:tc>
        <w:tc>
          <w:tcPr>
            <w:tcW w:w="2551" w:type="dxa"/>
            <w:vAlign w:val="center"/>
          </w:tcPr>
          <w:p w14:paraId="728565BD" w14:textId="77777777" w:rsidR="00D81182" w:rsidRPr="00CD4696" w:rsidRDefault="00D81182" w:rsidP="00D03A4F">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14:paraId="029D0AAF" w14:textId="77777777" w:rsidR="00D81182" w:rsidRPr="00CD4696" w:rsidRDefault="00D81182" w:rsidP="00D03A4F">
            <w:pPr>
              <w:spacing w:after="0" w:line="240" w:lineRule="auto"/>
              <w:jc w:val="center"/>
              <w:rPr>
                <w:rFonts w:ascii="Times New Roman" w:eastAsia="Times New Roman" w:hAnsi="Times New Roman" w:cs="Times New Roman"/>
                <w:sz w:val="24"/>
                <w:szCs w:val="24"/>
                <w:lang w:eastAsia="ru-RU"/>
              </w:rPr>
            </w:pPr>
          </w:p>
        </w:tc>
        <w:tc>
          <w:tcPr>
            <w:tcW w:w="2092" w:type="dxa"/>
            <w:vAlign w:val="center"/>
          </w:tcPr>
          <w:p w14:paraId="5DAF9B56" w14:textId="77777777" w:rsidR="00D81182" w:rsidRPr="00CD4696" w:rsidRDefault="00D81182" w:rsidP="00D03A4F">
            <w:pPr>
              <w:spacing w:after="0" w:line="240" w:lineRule="auto"/>
              <w:jc w:val="center"/>
              <w:rPr>
                <w:rFonts w:ascii="Times New Roman" w:eastAsia="Times New Roman" w:hAnsi="Times New Roman" w:cs="Times New Roman"/>
                <w:sz w:val="24"/>
                <w:szCs w:val="24"/>
                <w:lang w:eastAsia="ru-RU"/>
              </w:rPr>
            </w:pPr>
          </w:p>
        </w:tc>
      </w:tr>
      <w:tr w:rsidR="00D81182" w:rsidRPr="00CD4696" w14:paraId="7026AFDE" w14:textId="77777777" w:rsidTr="00D81182">
        <w:trPr>
          <w:trHeight w:val="421"/>
        </w:trPr>
        <w:tc>
          <w:tcPr>
            <w:tcW w:w="3369" w:type="dxa"/>
            <w:vAlign w:val="center"/>
          </w:tcPr>
          <w:p w14:paraId="22176428" w14:textId="77777777" w:rsidR="00D81182" w:rsidRPr="00CD4696" w:rsidRDefault="00D81182"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в них человек</w:t>
            </w:r>
          </w:p>
        </w:tc>
        <w:tc>
          <w:tcPr>
            <w:tcW w:w="2551" w:type="dxa"/>
            <w:vAlign w:val="center"/>
          </w:tcPr>
          <w:p w14:paraId="766A0867" w14:textId="77777777" w:rsidR="00D81182" w:rsidRPr="00CD4696" w:rsidRDefault="00D81182" w:rsidP="00D81182">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487</w:t>
            </w:r>
          </w:p>
        </w:tc>
        <w:tc>
          <w:tcPr>
            <w:tcW w:w="2410" w:type="dxa"/>
            <w:vAlign w:val="center"/>
          </w:tcPr>
          <w:p w14:paraId="5CD14842" w14:textId="77777777" w:rsidR="00D81182" w:rsidRPr="00CD4696" w:rsidRDefault="00D81182" w:rsidP="00D81182">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455</w:t>
            </w:r>
          </w:p>
        </w:tc>
        <w:tc>
          <w:tcPr>
            <w:tcW w:w="2092" w:type="dxa"/>
            <w:vAlign w:val="center"/>
          </w:tcPr>
          <w:p w14:paraId="63CDFB18" w14:textId="77777777" w:rsidR="00D81182" w:rsidRPr="00CD4696" w:rsidRDefault="006E7CE8"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w:t>
            </w:r>
          </w:p>
        </w:tc>
      </w:tr>
      <w:tr w:rsidR="00D81182" w:rsidRPr="00CD4696" w14:paraId="358EC5BA" w14:textId="77777777" w:rsidTr="00D81182">
        <w:trPr>
          <w:trHeight w:val="413"/>
        </w:trPr>
        <w:tc>
          <w:tcPr>
            <w:tcW w:w="3369" w:type="dxa"/>
            <w:vAlign w:val="center"/>
          </w:tcPr>
          <w:p w14:paraId="1735C3EC" w14:textId="77777777" w:rsidR="00D81182" w:rsidRPr="00CD4696" w:rsidRDefault="00D81182"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в том числе в возрасте, лет:</w:t>
            </w:r>
          </w:p>
        </w:tc>
        <w:tc>
          <w:tcPr>
            <w:tcW w:w="2551" w:type="dxa"/>
            <w:vAlign w:val="center"/>
          </w:tcPr>
          <w:p w14:paraId="04A9FA59" w14:textId="77777777" w:rsidR="00D81182" w:rsidRPr="00CD4696" w:rsidRDefault="00D81182" w:rsidP="00D81182">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14:paraId="07F5D1FF" w14:textId="77777777" w:rsidR="00D81182" w:rsidRPr="00CD4696" w:rsidRDefault="00D81182" w:rsidP="00D81182">
            <w:pPr>
              <w:spacing w:after="0" w:line="240" w:lineRule="auto"/>
              <w:jc w:val="center"/>
              <w:rPr>
                <w:rFonts w:ascii="Times New Roman" w:eastAsia="Times New Roman" w:hAnsi="Times New Roman" w:cs="Times New Roman"/>
                <w:sz w:val="24"/>
                <w:szCs w:val="24"/>
                <w:lang w:eastAsia="ru-RU"/>
              </w:rPr>
            </w:pPr>
          </w:p>
        </w:tc>
        <w:tc>
          <w:tcPr>
            <w:tcW w:w="2092" w:type="dxa"/>
            <w:vAlign w:val="center"/>
          </w:tcPr>
          <w:p w14:paraId="7C85D6CF" w14:textId="77777777" w:rsidR="00D81182" w:rsidRPr="00CD4696" w:rsidRDefault="00D81182" w:rsidP="00D03A4F">
            <w:pPr>
              <w:spacing w:after="0" w:line="240" w:lineRule="auto"/>
              <w:jc w:val="center"/>
              <w:rPr>
                <w:rFonts w:ascii="Times New Roman" w:eastAsia="Times New Roman" w:hAnsi="Times New Roman" w:cs="Times New Roman"/>
                <w:sz w:val="24"/>
                <w:szCs w:val="24"/>
                <w:lang w:eastAsia="ru-RU"/>
              </w:rPr>
            </w:pPr>
          </w:p>
        </w:tc>
      </w:tr>
      <w:tr w:rsidR="00D81182" w:rsidRPr="00CD4696" w14:paraId="12AF2812" w14:textId="77777777" w:rsidTr="00D81182">
        <w:trPr>
          <w:trHeight w:val="419"/>
        </w:trPr>
        <w:tc>
          <w:tcPr>
            <w:tcW w:w="3369" w:type="dxa"/>
            <w:vAlign w:val="center"/>
          </w:tcPr>
          <w:p w14:paraId="4144343B" w14:textId="77777777" w:rsidR="00D81182" w:rsidRPr="00CD4696" w:rsidRDefault="00D81182"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0-5</w:t>
            </w:r>
          </w:p>
        </w:tc>
        <w:tc>
          <w:tcPr>
            <w:tcW w:w="2551" w:type="dxa"/>
            <w:vAlign w:val="center"/>
          </w:tcPr>
          <w:p w14:paraId="70949618" w14:textId="77777777" w:rsidR="00D81182" w:rsidRPr="00CD4696" w:rsidRDefault="00D81182" w:rsidP="00D81182">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31</w:t>
            </w:r>
          </w:p>
        </w:tc>
        <w:tc>
          <w:tcPr>
            <w:tcW w:w="2410" w:type="dxa"/>
            <w:vAlign w:val="center"/>
          </w:tcPr>
          <w:p w14:paraId="0F4F0EAF" w14:textId="77777777" w:rsidR="00D81182" w:rsidRPr="00CD4696" w:rsidRDefault="00D81182" w:rsidP="00D81182">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33</w:t>
            </w:r>
          </w:p>
        </w:tc>
        <w:tc>
          <w:tcPr>
            <w:tcW w:w="2092" w:type="dxa"/>
            <w:vAlign w:val="center"/>
          </w:tcPr>
          <w:p w14:paraId="66F2FBB4" w14:textId="77777777" w:rsidR="00D81182" w:rsidRPr="00CD4696" w:rsidRDefault="006E7CE8"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D81182" w:rsidRPr="00CD4696" w14:paraId="7FD85560" w14:textId="77777777" w:rsidTr="00D81182">
        <w:trPr>
          <w:trHeight w:val="412"/>
        </w:trPr>
        <w:tc>
          <w:tcPr>
            <w:tcW w:w="3369" w:type="dxa"/>
            <w:vAlign w:val="center"/>
          </w:tcPr>
          <w:p w14:paraId="64A101CB" w14:textId="77777777" w:rsidR="00D81182" w:rsidRPr="00CD4696" w:rsidRDefault="00D81182"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6-15</w:t>
            </w:r>
          </w:p>
        </w:tc>
        <w:tc>
          <w:tcPr>
            <w:tcW w:w="2551" w:type="dxa"/>
            <w:vAlign w:val="center"/>
          </w:tcPr>
          <w:p w14:paraId="0FCEBEFC" w14:textId="77777777" w:rsidR="00D81182" w:rsidRPr="00CD4696" w:rsidRDefault="00D81182" w:rsidP="00D81182">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79</w:t>
            </w:r>
          </w:p>
        </w:tc>
        <w:tc>
          <w:tcPr>
            <w:tcW w:w="2410" w:type="dxa"/>
            <w:vAlign w:val="center"/>
          </w:tcPr>
          <w:p w14:paraId="09819527" w14:textId="77777777" w:rsidR="00D81182" w:rsidRPr="00CD4696" w:rsidRDefault="00D81182" w:rsidP="00D81182">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71</w:t>
            </w:r>
          </w:p>
        </w:tc>
        <w:tc>
          <w:tcPr>
            <w:tcW w:w="2092" w:type="dxa"/>
            <w:vAlign w:val="center"/>
          </w:tcPr>
          <w:p w14:paraId="4B43B735" w14:textId="77777777" w:rsidR="00D81182" w:rsidRPr="00CD4696" w:rsidRDefault="006E7CE8"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r>
      <w:tr w:rsidR="00D81182" w:rsidRPr="00CD4696" w14:paraId="00746A8C" w14:textId="77777777" w:rsidTr="00D81182">
        <w:trPr>
          <w:trHeight w:val="418"/>
        </w:trPr>
        <w:tc>
          <w:tcPr>
            <w:tcW w:w="3369" w:type="dxa"/>
            <w:vAlign w:val="center"/>
          </w:tcPr>
          <w:p w14:paraId="29503E03" w14:textId="77777777" w:rsidR="00D81182" w:rsidRPr="00CD4696" w:rsidRDefault="00D81182"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16-17</w:t>
            </w:r>
          </w:p>
        </w:tc>
        <w:tc>
          <w:tcPr>
            <w:tcW w:w="2551" w:type="dxa"/>
            <w:vAlign w:val="center"/>
          </w:tcPr>
          <w:p w14:paraId="0667AF91" w14:textId="77777777" w:rsidR="00D81182" w:rsidRPr="00CD4696" w:rsidRDefault="00D81182" w:rsidP="00D81182">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w:t>
            </w:r>
          </w:p>
        </w:tc>
        <w:tc>
          <w:tcPr>
            <w:tcW w:w="2410" w:type="dxa"/>
            <w:vAlign w:val="center"/>
          </w:tcPr>
          <w:p w14:paraId="52C7032C" w14:textId="77777777" w:rsidR="00D81182" w:rsidRPr="00CD4696" w:rsidRDefault="00D81182" w:rsidP="00D81182">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w:t>
            </w:r>
          </w:p>
        </w:tc>
        <w:tc>
          <w:tcPr>
            <w:tcW w:w="2092" w:type="dxa"/>
            <w:vAlign w:val="center"/>
          </w:tcPr>
          <w:p w14:paraId="37D1A359" w14:textId="77777777" w:rsidR="00D81182" w:rsidRPr="00CD4696" w:rsidRDefault="006E7CE8"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D81182" w:rsidRPr="00CD4696" w14:paraId="69FF79AE" w14:textId="77777777" w:rsidTr="00D81182">
        <w:trPr>
          <w:trHeight w:val="409"/>
        </w:trPr>
        <w:tc>
          <w:tcPr>
            <w:tcW w:w="3369" w:type="dxa"/>
            <w:vAlign w:val="center"/>
          </w:tcPr>
          <w:p w14:paraId="0D282ED7" w14:textId="77777777" w:rsidR="00D81182" w:rsidRPr="00CD4696" w:rsidRDefault="00D81182"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0-15</w:t>
            </w:r>
          </w:p>
        </w:tc>
        <w:tc>
          <w:tcPr>
            <w:tcW w:w="2551" w:type="dxa"/>
            <w:vAlign w:val="center"/>
          </w:tcPr>
          <w:p w14:paraId="5999A780" w14:textId="77777777" w:rsidR="00D81182" w:rsidRPr="00CD4696" w:rsidRDefault="00D81182" w:rsidP="00D81182">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110</w:t>
            </w:r>
          </w:p>
        </w:tc>
        <w:tc>
          <w:tcPr>
            <w:tcW w:w="2410" w:type="dxa"/>
            <w:vAlign w:val="center"/>
          </w:tcPr>
          <w:p w14:paraId="76BBC415" w14:textId="77777777" w:rsidR="00D81182" w:rsidRPr="00CD4696" w:rsidRDefault="00D81182" w:rsidP="00D81182">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104</w:t>
            </w:r>
          </w:p>
        </w:tc>
        <w:tc>
          <w:tcPr>
            <w:tcW w:w="2092" w:type="dxa"/>
            <w:vAlign w:val="center"/>
          </w:tcPr>
          <w:p w14:paraId="1C5E556A" w14:textId="77777777" w:rsidR="00D81182" w:rsidRPr="00CD4696" w:rsidRDefault="006E7CE8"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r>
      <w:tr w:rsidR="00D81182" w:rsidRPr="00CD4696" w14:paraId="23E794EF" w14:textId="77777777" w:rsidTr="00D81182">
        <w:trPr>
          <w:trHeight w:val="429"/>
        </w:trPr>
        <w:tc>
          <w:tcPr>
            <w:tcW w:w="3369" w:type="dxa"/>
            <w:vAlign w:val="center"/>
          </w:tcPr>
          <w:p w14:paraId="08EBEE91" w14:textId="77777777" w:rsidR="00D81182" w:rsidRPr="00CD4696" w:rsidRDefault="00D81182"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0-17</w:t>
            </w:r>
          </w:p>
        </w:tc>
        <w:tc>
          <w:tcPr>
            <w:tcW w:w="2551" w:type="dxa"/>
            <w:vAlign w:val="center"/>
          </w:tcPr>
          <w:p w14:paraId="5E2BE8CC" w14:textId="77777777" w:rsidR="00D81182" w:rsidRPr="00CD4696" w:rsidRDefault="00D81182" w:rsidP="00D81182">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111</w:t>
            </w:r>
          </w:p>
        </w:tc>
        <w:tc>
          <w:tcPr>
            <w:tcW w:w="2410" w:type="dxa"/>
            <w:vAlign w:val="center"/>
          </w:tcPr>
          <w:p w14:paraId="558EB5D2" w14:textId="77777777" w:rsidR="00D81182" w:rsidRPr="00CD4696" w:rsidRDefault="00D81182" w:rsidP="00D81182">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106</w:t>
            </w:r>
          </w:p>
        </w:tc>
        <w:tc>
          <w:tcPr>
            <w:tcW w:w="2092" w:type="dxa"/>
            <w:vAlign w:val="center"/>
          </w:tcPr>
          <w:p w14:paraId="5EE21FB7" w14:textId="77777777" w:rsidR="00D81182" w:rsidRPr="00CD4696" w:rsidRDefault="006E7CE8"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r>
      <w:tr w:rsidR="00D81182" w:rsidRPr="00CD4696" w14:paraId="2134D092" w14:textId="77777777" w:rsidTr="00D81182">
        <w:tc>
          <w:tcPr>
            <w:tcW w:w="3369" w:type="dxa"/>
            <w:vAlign w:val="center"/>
          </w:tcPr>
          <w:p w14:paraId="06496C6B" w14:textId="77777777" w:rsidR="00D81182" w:rsidRPr="00CD4696" w:rsidRDefault="00D81182" w:rsidP="00D03A4F">
            <w:pPr>
              <w:spacing w:after="0" w:line="240" w:lineRule="auto"/>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Удельный вес в общей численности вынужденных мигрантов детей и подростков в возрасте:</w:t>
            </w:r>
          </w:p>
        </w:tc>
        <w:tc>
          <w:tcPr>
            <w:tcW w:w="2551" w:type="dxa"/>
            <w:vAlign w:val="center"/>
          </w:tcPr>
          <w:p w14:paraId="49D1054F" w14:textId="77777777" w:rsidR="00D81182" w:rsidRPr="00CD4696" w:rsidRDefault="00D81182" w:rsidP="00D81182">
            <w:pPr>
              <w:spacing w:after="0" w:line="240" w:lineRule="auto"/>
              <w:jc w:val="center"/>
              <w:rPr>
                <w:rFonts w:ascii="Times New Roman" w:eastAsia="Times New Roman" w:hAnsi="Times New Roman" w:cs="Times New Roman"/>
                <w:sz w:val="24"/>
                <w:szCs w:val="24"/>
                <w:lang w:eastAsia="ru-RU"/>
              </w:rPr>
            </w:pPr>
          </w:p>
        </w:tc>
        <w:tc>
          <w:tcPr>
            <w:tcW w:w="2410" w:type="dxa"/>
            <w:vAlign w:val="center"/>
          </w:tcPr>
          <w:p w14:paraId="72C589A1" w14:textId="77777777" w:rsidR="00D81182" w:rsidRPr="00CD4696" w:rsidRDefault="00D81182" w:rsidP="00D81182">
            <w:pPr>
              <w:spacing w:after="0" w:line="240" w:lineRule="auto"/>
              <w:jc w:val="center"/>
              <w:rPr>
                <w:rFonts w:ascii="Times New Roman" w:eastAsia="Times New Roman" w:hAnsi="Times New Roman" w:cs="Times New Roman"/>
                <w:sz w:val="24"/>
                <w:szCs w:val="24"/>
                <w:lang w:eastAsia="ru-RU"/>
              </w:rPr>
            </w:pPr>
          </w:p>
        </w:tc>
        <w:tc>
          <w:tcPr>
            <w:tcW w:w="2092" w:type="dxa"/>
            <w:vAlign w:val="center"/>
          </w:tcPr>
          <w:p w14:paraId="1F3DCED7" w14:textId="77777777" w:rsidR="00D81182" w:rsidRPr="00CD4696" w:rsidRDefault="00D81182" w:rsidP="00D03A4F">
            <w:pPr>
              <w:spacing w:after="0" w:line="240" w:lineRule="auto"/>
              <w:jc w:val="center"/>
              <w:rPr>
                <w:rFonts w:ascii="Times New Roman" w:eastAsia="Times New Roman" w:hAnsi="Times New Roman" w:cs="Times New Roman"/>
                <w:sz w:val="24"/>
                <w:szCs w:val="24"/>
                <w:lang w:eastAsia="ru-RU"/>
              </w:rPr>
            </w:pPr>
          </w:p>
        </w:tc>
      </w:tr>
      <w:tr w:rsidR="00D81182" w:rsidRPr="00CD4696" w14:paraId="54F95588" w14:textId="77777777" w:rsidTr="00D81182">
        <w:trPr>
          <w:trHeight w:val="424"/>
        </w:trPr>
        <w:tc>
          <w:tcPr>
            <w:tcW w:w="3369" w:type="dxa"/>
            <w:vAlign w:val="center"/>
          </w:tcPr>
          <w:p w14:paraId="023228F1" w14:textId="77777777" w:rsidR="00D81182" w:rsidRPr="00CD4696" w:rsidRDefault="00D81182"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0-15 лет</w:t>
            </w:r>
          </w:p>
        </w:tc>
        <w:tc>
          <w:tcPr>
            <w:tcW w:w="2551" w:type="dxa"/>
            <w:vAlign w:val="center"/>
          </w:tcPr>
          <w:p w14:paraId="595945FE" w14:textId="77777777" w:rsidR="00D81182" w:rsidRPr="00CD4696" w:rsidRDefault="00D81182" w:rsidP="00D81182">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22,6</w:t>
            </w:r>
          </w:p>
        </w:tc>
        <w:tc>
          <w:tcPr>
            <w:tcW w:w="2410" w:type="dxa"/>
            <w:vAlign w:val="center"/>
          </w:tcPr>
          <w:p w14:paraId="50DF1411" w14:textId="77777777" w:rsidR="00D81182" w:rsidRPr="00CD4696" w:rsidRDefault="00D81182" w:rsidP="00D81182">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22,9</w:t>
            </w:r>
          </w:p>
        </w:tc>
        <w:tc>
          <w:tcPr>
            <w:tcW w:w="2092" w:type="dxa"/>
            <w:vAlign w:val="center"/>
          </w:tcPr>
          <w:p w14:paraId="1911A526" w14:textId="77777777" w:rsidR="00D81182" w:rsidRPr="00CD4696" w:rsidRDefault="006E7CE8"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22,4</w:t>
            </w:r>
          </w:p>
        </w:tc>
      </w:tr>
      <w:tr w:rsidR="00D81182" w:rsidRPr="00BD5A90" w14:paraId="2AC5827D" w14:textId="77777777" w:rsidTr="00D81182">
        <w:trPr>
          <w:trHeight w:val="416"/>
        </w:trPr>
        <w:tc>
          <w:tcPr>
            <w:tcW w:w="3369" w:type="dxa"/>
            <w:vAlign w:val="center"/>
          </w:tcPr>
          <w:p w14:paraId="7C531B1E" w14:textId="77777777" w:rsidR="00D81182" w:rsidRPr="00CD4696" w:rsidRDefault="00D81182" w:rsidP="00D03A4F">
            <w:pPr>
              <w:spacing w:after="0" w:line="240" w:lineRule="auto"/>
              <w:ind w:left="170"/>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0-17 лет</w:t>
            </w:r>
          </w:p>
        </w:tc>
        <w:tc>
          <w:tcPr>
            <w:tcW w:w="2551" w:type="dxa"/>
            <w:vAlign w:val="center"/>
          </w:tcPr>
          <w:p w14:paraId="1B445080" w14:textId="77777777" w:rsidR="00D81182" w:rsidRPr="00CD4696" w:rsidRDefault="00D81182" w:rsidP="00D81182">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22,8</w:t>
            </w:r>
          </w:p>
        </w:tc>
        <w:tc>
          <w:tcPr>
            <w:tcW w:w="2410" w:type="dxa"/>
            <w:vAlign w:val="center"/>
          </w:tcPr>
          <w:p w14:paraId="26D1090E" w14:textId="77777777" w:rsidR="00D81182" w:rsidRPr="00CD4696" w:rsidRDefault="00D81182" w:rsidP="00D81182">
            <w:pPr>
              <w:spacing w:after="0" w:line="240" w:lineRule="auto"/>
              <w:jc w:val="center"/>
              <w:rPr>
                <w:rFonts w:ascii="Times New Roman" w:eastAsia="Times New Roman" w:hAnsi="Times New Roman" w:cs="Times New Roman"/>
                <w:sz w:val="24"/>
                <w:szCs w:val="24"/>
                <w:lang w:eastAsia="ru-RU"/>
              </w:rPr>
            </w:pPr>
            <w:r w:rsidRPr="00CD4696">
              <w:rPr>
                <w:rFonts w:ascii="Times New Roman" w:eastAsia="Times New Roman" w:hAnsi="Times New Roman" w:cs="Times New Roman"/>
                <w:sz w:val="24"/>
                <w:szCs w:val="24"/>
                <w:lang w:eastAsia="ru-RU"/>
              </w:rPr>
              <w:t>23,3</w:t>
            </w:r>
          </w:p>
        </w:tc>
        <w:tc>
          <w:tcPr>
            <w:tcW w:w="2092" w:type="dxa"/>
            <w:vAlign w:val="center"/>
          </w:tcPr>
          <w:p w14:paraId="3C552DA9" w14:textId="77777777" w:rsidR="00D81182" w:rsidRPr="00CD4696" w:rsidRDefault="006E7CE8"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22,7</w:t>
            </w:r>
          </w:p>
        </w:tc>
      </w:tr>
    </w:tbl>
    <w:p w14:paraId="762BC3EF" w14:textId="77777777" w:rsidR="00D03A4F" w:rsidRPr="00BD5A90" w:rsidRDefault="00D03A4F" w:rsidP="00D03A4F">
      <w:pPr>
        <w:spacing w:after="0" w:line="240" w:lineRule="auto"/>
        <w:jc w:val="center"/>
        <w:rPr>
          <w:rFonts w:ascii="Times New Roman" w:eastAsia="Times New Roman" w:hAnsi="Times New Roman" w:cs="Times New Roman"/>
          <w:sz w:val="24"/>
          <w:szCs w:val="24"/>
          <w:highlight w:val="yellow"/>
          <w:lang w:eastAsia="ru-RU"/>
        </w:rPr>
      </w:pPr>
    </w:p>
    <w:p w14:paraId="08088F74" w14:textId="77777777"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14:paraId="4B7410B5" w14:textId="77777777" w:rsidR="00D03A4F" w:rsidRPr="00D42042" w:rsidRDefault="00D03A4F" w:rsidP="00D03A4F">
      <w:pPr>
        <w:spacing w:after="0" w:line="240" w:lineRule="auto"/>
        <w:jc w:val="right"/>
        <w:rPr>
          <w:rFonts w:ascii="Times New Roman" w:eastAsia="Times New Roman" w:hAnsi="Times New Roman" w:cs="Times New Roman"/>
          <w:sz w:val="26"/>
          <w:szCs w:val="26"/>
          <w:lang w:eastAsia="ru-RU"/>
        </w:rPr>
      </w:pPr>
      <w:r w:rsidRPr="00D42042">
        <w:rPr>
          <w:rFonts w:ascii="Times New Roman" w:eastAsia="Times New Roman" w:hAnsi="Times New Roman" w:cs="Times New Roman"/>
          <w:sz w:val="26"/>
          <w:szCs w:val="26"/>
          <w:lang w:eastAsia="ru-RU"/>
        </w:rPr>
        <w:t>Таблица 19</w:t>
      </w:r>
    </w:p>
    <w:p w14:paraId="3EB1D91A" w14:textId="77777777" w:rsidR="00D03A4F" w:rsidRPr="00D42042" w:rsidRDefault="00D03A4F" w:rsidP="00D03A4F">
      <w:pPr>
        <w:spacing w:after="0" w:line="240" w:lineRule="auto"/>
        <w:jc w:val="right"/>
        <w:rPr>
          <w:rFonts w:ascii="Times New Roman" w:eastAsia="Times New Roman" w:hAnsi="Times New Roman" w:cs="Times New Roman"/>
          <w:sz w:val="26"/>
          <w:szCs w:val="26"/>
          <w:lang w:eastAsia="ru-RU"/>
        </w:rPr>
      </w:pPr>
    </w:p>
    <w:p w14:paraId="47E2A31F" w14:textId="77777777" w:rsidR="00D03A4F" w:rsidRPr="006A3AB8" w:rsidRDefault="00D03A4F" w:rsidP="00D03A4F">
      <w:pPr>
        <w:spacing w:after="0" w:line="240" w:lineRule="auto"/>
        <w:jc w:val="center"/>
        <w:rPr>
          <w:rFonts w:ascii="Times New Roman" w:eastAsia="Times New Roman" w:hAnsi="Times New Roman" w:cs="Times New Roman"/>
          <w:b/>
          <w:sz w:val="26"/>
          <w:szCs w:val="26"/>
          <w:lang w:eastAsia="ru-RU"/>
        </w:rPr>
      </w:pPr>
      <w:r w:rsidRPr="006A3AB8">
        <w:rPr>
          <w:rFonts w:ascii="Times New Roman" w:eastAsia="Times New Roman" w:hAnsi="Times New Roman" w:cs="Times New Roman"/>
          <w:b/>
          <w:sz w:val="26"/>
          <w:szCs w:val="26"/>
          <w:lang w:eastAsia="ru-RU"/>
        </w:rPr>
        <w:t>Внутрироссийская миграция</w:t>
      </w:r>
    </w:p>
    <w:p w14:paraId="5C98AC95" w14:textId="77777777" w:rsidR="00D03A4F" w:rsidRPr="00D42042" w:rsidRDefault="00D03A4F" w:rsidP="00D03A4F">
      <w:pPr>
        <w:spacing w:after="0" w:line="240" w:lineRule="auto"/>
        <w:jc w:val="center"/>
        <w:rPr>
          <w:rFonts w:ascii="Times New Roman" w:eastAsia="Times New Roman" w:hAnsi="Times New Roman" w:cs="Times New Roman"/>
          <w:sz w:val="24"/>
          <w:szCs w:val="24"/>
          <w:lang w:eastAsia="ru-RU"/>
        </w:rPr>
      </w:pPr>
      <w:r w:rsidRPr="006A3AB8">
        <w:rPr>
          <w:rFonts w:ascii="Times New Roman" w:eastAsia="Times New Roman" w:hAnsi="Times New Roman" w:cs="Times New Roman"/>
          <w:sz w:val="24"/>
          <w:szCs w:val="24"/>
          <w:lang w:eastAsia="ru-RU"/>
        </w:rPr>
        <w:t>(человек)</w:t>
      </w:r>
    </w:p>
    <w:p w14:paraId="6821C58A" w14:textId="77777777" w:rsidR="00D03A4F" w:rsidRPr="00D42042" w:rsidRDefault="00D03A4F" w:rsidP="00D03A4F">
      <w:pPr>
        <w:spacing w:after="0" w:line="240" w:lineRule="auto"/>
        <w:jc w:val="right"/>
        <w:rPr>
          <w:rFonts w:ascii="Times New Roman" w:eastAsia="Times New Roman" w:hAnsi="Times New Roman" w:cs="Times New Roman"/>
          <w:sz w:val="26"/>
          <w:szCs w:val="26"/>
          <w:lang w:eastAsia="ru-RU"/>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6"/>
        <w:gridCol w:w="2126"/>
        <w:gridCol w:w="2126"/>
      </w:tblGrid>
      <w:tr w:rsidR="00D81182" w:rsidRPr="00D42042" w14:paraId="7D2F070E" w14:textId="77777777" w:rsidTr="00D81182">
        <w:tc>
          <w:tcPr>
            <w:tcW w:w="4077" w:type="dxa"/>
          </w:tcPr>
          <w:p w14:paraId="72A4312C" w14:textId="77777777" w:rsidR="00D81182" w:rsidRPr="00D42042" w:rsidRDefault="00D81182" w:rsidP="00D03A4F">
            <w:pPr>
              <w:spacing w:after="0" w:line="240" w:lineRule="auto"/>
              <w:jc w:val="center"/>
              <w:rPr>
                <w:rFonts w:ascii="Times New Roman" w:eastAsia="Times New Roman" w:hAnsi="Times New Roman" w:cs="Times New Roman"/>
                <w:sz w:val="26"/>
                <w:szCs w:val="26"/>
                <w:lang w:eastAsia="ru-RU"/>
              </w:rPr>
            </w:pPr>
          </w:p>
        </w:tc>
        <w:tc>
          <w:tcPr>
            <w:tcW w:w="2126" w:type="dxa"/>
          </w:tcPr>
          <w:p w14:paraId="1FFF505C" w14:textId="77777777" w:rsidR="00D81182" w:rsidRPr="00D42042" w:rsidRDefault="00D81182" w:rsidP="00D81182">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2019 г.</w:t>
            </w:r>
          </w:p>
        </w:tc>
        <w:tc>
          <w:tcPr>
            <w:tcW w:w="2126" w:type="dxa"/>
          </w:tcPr>
          <w:p w14:paraId="20BA9824" w14:textId="77777777" w:rsidR="00D81182" w:rsidRPr="00D42042" w:rsidRDefault="00D81182" w:rsidP="00D81182">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2020 г.</w:t>
            </w:r>
          </w:p>
        </w:tc>
        <w:tc>
          <w:tcPr>
            <w:tcW w:w="2126" w:type="dxa"/>
          </w:tcPr>
          <w:p w14:paraId="316B51D4" w14:textId="77777777" w:rsidR="00D81182" w:rsidRPr="00D42042" w:rsidRDefault="00D81182" w:rsidP="003552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w:t>
            </w:r>
          </w:p>
        </w:tc>
      </w:tr>
      <w:tr w:rsidR="00D81182" w:rsidRPr="00D42042" w14:paraId="6580A924" w14:textId="77777777" w:rsidTr="00D81182">
        <w:tc>
          <w:tcPr>
            <w:tcW w:w="4077" w:type="dxa"/>
          </w:tcPr>
          <w:p w14:paraId="102EAA83" w14:textId="77777777" w:rsidR="00D81182" w:rsidRPr="00D42042" w:rsidRDefault="00D81182" w:rsidP="00D03A4F">
            <w:pPr>
              <w:spacing w:after="0" w:line="240" w:lineRule="auto"/>
              <w:rPr>
                <w:rFonts w:ascii="Times New Roman" w:eastAsia="Times New Roman" w:hAnsi="Times New Roman" w:cs="Times New Roman"/>
                <w:b/>
                <w:sz w:val="24"/>
                <w:szCs w:val="24"/>
                <w:lang w:eastAsia="ru-RU"/>
              </w:rPr>
            </w:pPr>
            <w:r w:rsidRPr="00D42042">
              <w:rPr>
                <w:rFonts w:ascii="Times New Roman" w:eastAsia="Times New Roman" w:hAnsi="Times New Roman" w:cs="Times New Roman"/>
                <w:b/>
                <w:sz w:val="24"/>
                <w:szCs w:val="24"/>
                <w:lang w:eastAsia="ru-RU"/>
              </w:rPr>
              <w:t>Миграция в пределах России - всего</w:t>
            </w:r>
          </w:p>
        </w:tc>
        <w:tc>
          <w:tcPr>
            <w:tcW w:w="2126" w:type="dxa"/>
            <w:vAlign w:val="center"/>
          </w:tcPr>
          <w:p w14:paraId="695011F8" w14:textId="77777777" w:rsidR="00D81182" w:rsidRPr="00D42042" w:rsidRDefault="00D81182" w:rsidP="00D81182">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4 048 535</w:t>
            </w:r>
          </w:p>
        </w:tc>
        <w:tc>
          <w:tcPr>
            <w:tcW w:w="2126" w:type="dxa"/>
            <w:vAlign w:val="center"/>
          </w:tcPr>
          <w:p w14:paraId="3FCE41A4" w14:textId="77777777" w:rsidR="00D81182" w:rsidRPr="00D42042" w:rsidRDefault="00D81182" w:rsidP="00D81182">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3 526 597</w:t>
            </w:r>
          </w:p>
        </w:tc>
        <w:tc>
          <w:tcPr>
            <w:tcW w:w="2126" w:type="dxa"/>
            <w:vAlign w:val="center"/>
          </w:tcPr>
          <w:p w14:paraId="66B915A8" w14:textId="77777777" w:rsidR="00D81182" w:rsidRPr="00D42042" w:rsidRDefault="00244A06" w:rsidP="003552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3 609 520</w:t>
            </w:r>
          </w:p>
        </w:tc>
      </w:tr>
      <w:tr w:rsidR="00D81182" w:rsidRPr="00D42042" w14:paraId="581E73BC" w14:textId="77777777" w:rsidTr="00D81182">
        <w:trPr>
          <w:trHeight w:val="617"/>
        </w:trPr>
        <w:tc>
          <w:tcPr>
            <w:tcW w:w="4077" w:type="dxa"/>
          </w:tcPr>
          <w:p w14:paraId="13E5C57D" w14:textId="77777777" w:rsidR="00D81182" w:rsidRPr="00D42042" w:rsidRDefault="00D81182" w:rsidP="00D03A4F">
            <w:pPr>
              <w:spacing w:after="0" w:line="240" w:lineRule="auto"/>
              <w:ind w:left="170"/>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14:paraId="70D6061A" w14:textId="77777777" w:rsidR="00D81182" w:rsidRPr="00D42042" w:rsidRDefault="00D81182" w:rsidP="00D81182">
            <w:pPr>
              <w:spacing w:after="0" w:line="240" w:lineRule="auto"/>
              <w:jc w:val="center"/>
              <w:rPr>
                <w:rFonts w:ascii="Times New Roman" w:eastAsia="Times New Roman" w:hAnsi="Times New Roman" w:cs="Times New Roman"/>
                <w:sz w:val="24"/>
                <w:szCs w:val="24"/>
                <w:lang w:eastAsia="ru-RU"/>
              </w:rPr>
            </w:pPr>
          </w:p>
        </w:tc>
        <w:tc>
          <w:tcPr>
            <w:tcW w:w="2126" w:type="dxa"/>
            <w:vAlign w:val="center"/>
          </w:tcPr>
          <w:p w14:paraId="5DB50E67" w14:textId="77777777" w:rsidR="00D81182" w:rsidRPr="00D42042" w:rsidRDefault="00D81182" w:rsidP="00D81182">
            <w:pPr>
              <w:spacing w:after="0" w:line="240" w:lineRule="auto"/>
              <w:jc w:val="center"/>
              <w:rPr>
                <w:rFonts w:ascii="Times New Roman" w:eastAsia="Times New Roman" w:hAnsi="Times New Roman" w:cs="Times New Roman"/>
                <w:sz w:val="24"/>
                <w:szCs w:val="24"/>
                <w:lang w:eastAsia="ru-RU"/>
              </w:rPr>
            </w:pPr>
          </w:p>
        </w:tc>
        <w:tc>
          <w:tcPr>
            <w:tcW w:w="2126" w:type="dxa"/>
            <w:vAlign w:val="center"/>
          </w:tcPr>
          <w:p w14:paraId="05F6621C" w14:textId="77777777" w:rsidR="00D81182" w:rsidRPr="00D42042" w:rsidRDefault="00D81182" w:rsidP="003552C1">
            <w:pPr>
              <w:spacing w:after="0" w:line="240" w:lineRule="auto"/>
              <w:jc w:val="center"/>
              <w:rPr>
                <w:rFonts w:ascii="Times New Roman" w:eastAsia="Times New Roman" w:hAnsi="Times New Roman" w:cs="Times New Roman"/>
                <w:sz w:val="24"/>
                <w:szCs w:val="24"/>
                <w:lang w:eastAsia="ru-RU"/>
              </w:rPr>
            </w:pPr>
          </w:p>
        </w:tc>
      </w:tr>
      <w:tr w:rsidR="00D81182" w:rsidRPr="00D42042" w14:paraId="48A67B8F" w14:textId="77777777" w:rsidTr="00D81182">
        <w:trPr>
          <w:trHeight w:val="356"/>
        </w:trPr>
        <w:tc>
          <w:tcPr>
            <w:tcW w:w="4077" w:type="dxa"/>
            <w:vAlign w:val="center"/>
          </w:tcPr>
          <w:p w14:paraId="234AC98B" w14:textId="77777777" w:rsidR="00D81182" w:rsidRPr="00D42042" w:rsidRDefault="00D81182" w:rsidP="000E4DBF">
            <w:pPr>
              <w:spacing w:after="0" w:line="240" w:lineRule="auto"/>
              <w:ind w:left="340"/>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0-5</w:t>
            </w:r>
          </w:p>
        </w:tc>
        <w:tc>
          <w:tcPr>
            <w:tcW w:w="2126" w:type="dxa"/>
            <w:vAlign w:val="center"/>
          </w:tcPr>
          <w:p w14:paraId="07228F99" w14:textId="77777777" w:rsidR="00D81182" w:rsidRPr="00D42042" w:rsidRDefault="00D81182" w:rsidP="00D81182">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346 816</w:t>
            </w:r>
          </w:p>
        </w:tc>
        <w:tc>
          <w:tcPr>
            <w:tcW w:w="2126" w:type="dxa"/>
            <w:vAlign w:val="center"/>
          </w:tcPr>
          <w:p w14:paraId="53EB999A" w14:textId="77777777" w:rsidR="00D81182" w:rsidRPr="00D42042" w:rsidRDefault="00D81182" w:rsidP="00D81182">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287 063</w:t>
            </w:r>
          </w:p>
        </w:tc>
        <w:tc>
          <w:tcPr>
            <w:tcW w:w="2126" w:type="dxa"/>
            <w:vAlign w:val="center"/>
          </w:tcPr>
          <w:p w14:paraId="10708B8E" w14:textId="77777777" w:rsidR="00D81182" w:rsidRPr="00D42042" w:rsidRDefault="00C13A09" w:rsidP="003552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290 546</w:t>
            </w:r>
          </w:p>
        </w:tc>
      </w:tr>
      <w:tr w:rsidR="00D81182" w:rsidRPr="00D42042" w14:paraId="0FFBF006" w14:textId="77777777" w:rsidTr="00D81182">
        <w:trPr>
          <w:trHeight w:val="333"/>
        </w:trPr>
        <w:tc>
          <w:tcPr>
            <w:tcW w:w="4077" w:type="dxa"/>
            <w:vAlign w:val="center"/>
          </w:tcPr>
          <w:p w14:paraId="35DF06E6" w14:textId="77777777" w:rsidR="00D81182" w:rsidRPr="00D42042" w:rsidRDefault="00D81182" w:rsidP="000E4DBF">
            <w:pPr>
              <w:spacing w:after="0" w:line="240" w:lineRule="auto"/>
              <w:ind w:left="340"/>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6-13</w:t>
            </w:r>
          </w:p>
        </w:tc>
        <w:tc>
          <w:tcPr>
            <w:tcW w:w="2126" w:type="dxa"/>
            <w:vAlign w:val="center"/>
          </w:tcPr>
          <w:p w14:paraId="48187940" w14:textId="77777777" w:rsidR="00D81182" w:rsidRPr="00D42042" w:rsidRDefault="00D81182" w:rsidP="00D81182">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399 244</w:t>
            </w:r>
          </w:p>
        </w:tc>
        <w:tc>
          <w:tcPr>
            <w:tcW w:w="2126" w:type="dxa"/>
            <w:vAlign w:val="center"/>
          </w:tcPr>
          <w:p w14:paraId="6DF061F7" w14:textId="77777777" w:rsidR="00D81182" w:rsidRPr="00D42042" w:rsidRDefault="00D81182" w:rsidP="00D81182">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366 393</w:t>
            </w:r>
          </w:p>
        </w:tc>
        <w:tc>
          <w:tcPr>
            <w:tcW w:w="2126" w:type="dxa"/>
            <w:vAlign w:val="center"/>
          </w:tcPr>
          <w:p w14:paraId="39EB3924" w14:textId="77777777" w:rsidR="00D81182" w:rsidRPr="00D42042" w:rsidRDefault="00C13A09" w:rsidP="003552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387 534</w:t>
            </w:r>
          </w:p>
        </w:tc>
      </w:tr>
      <w:tr w:rsidR="00D81182" w:rsidRPr="00D42042" w14:paraId="70B1C26D" w14:textId="77777777" w:rsidTr="00D81182">
        <w:trPr>
          <w:trHeight w:val="423"/>
        </w:trPr>
        <w:tc>
          <w:tcPr>
            <w:tcW w:w="4077" w:type="dxa"/>
            <w:vAlign w:val="center"/>
          </w:tcPr>
          <w:p w14:paraId="4F33D6C4" w14:textId="77777777" w:rsidR="00D81182" w:rsidRPr="00D42042" w:rsidRDefault="00D81182" w:rsidP="000E4DBF">
            <w:pPr>
              <w:spacing w:after="0" w:line="240" w:lineRule="auto"/>
              <w:ind w:left="340"/>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14-17</w:t>
            </w:r>
          </w:p>
        </w:tc>
        <w:tc>
          <w:tcPr>
            <w:tcW w:w="2126" w:type="dxa"/>
            <w:vAlign w:val="center"/>
          </w:tcPr>
          <w:p w14:paraId="12C30D13" w14:textId="77777777" w:rsidR="00D81182" w:rsidRPr="00D42042" w:rsidRDefault="00D81182" w:rsidP="00D81182">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226 845</w:t>
            </w:r>
          </w:p>
        </w:tc>
        <w:tc>
          <w:tcPr>
            <w:tcW w:w="2126" w:type="dxa"/>
            <w:vAlign w:val="center"/>
          </w:tcPr>
          <w:p w14:paraId="5FD94CA5" w14:textId="77777777" w:rsidR="00D81182" w:rsidRPr="00D42042" w:rsidRDefault="00D81182" w:rsidP="00D81182">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195 745</w:t>
            </w:r>
          </w:p>
        </w:tc>
        <w:tc>
          <w:tcPr>
            <w:tcW w:w="2126" w:type="dxa"/>
            <w:vAlign w:val="center"/>
          </w:tcPr>
          <w:p w14:paraId="2E5E3F5E" w14:textId="77777777" w:rsidR="00D81182" w:rsidRPr="00D42042" w:rsidRDefault="00C13A09" w:rsidP="003552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209 056</w:t>
            </w:r>
          </w:p>
        </w:tc>
      </w:tr>
      <w:tr w:rsidR="00D81182" w:rsidRPr="00D42042" w14:paraId="5F2F0CFF" w14:textId="77777777" w:rsidTr="00D81182">
        <w:trPr>
          <w:trHeight w:val="416"/>
        </w:trPr>
        <w:tc>
          <w:tcPr>
            <w:tcW w:w="4077" w:type="dxa"/>
            <w:vAlign w:val="center"/>
          </w:tcPr>
          <w:p w14:paraId="6E7CC229" w14:textId="77777777" w:rsidR="00D81182" w:rsidRPr="00D42042" w:rsidRDefault="00D81182" w:rsidP="000E4DBF">
            <w:pPr>
              <w:spacing w:after="0" w:line="240" w:lineRule="auto"/>
              <w:ind w:left="340"/>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0-17</w:t>
            </w:r>
          </w:p>
        </w:tc>
        <w:tc>
          <w:tcPr>
            <w:tcW w:w="2126" w:type="dxa"/>
            <w:vAlign w:val="center"/>
          </w:tcPr>
          <w:p w14:paraId="433194C2" w14:textId="77777777" w:rsidR="00D81182" w:rsidRPr="00D42042" w:rsidRDefault="00D81182" w:rsidP="00D81182">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972 905</w:t>
            </w:r>
          </w:p>
        </w:tc>
        <w:tc>
          <w:tcPr>
            <w:tcW w:w="2126" w:type="dxa"/>
            <w:vAlign w:val="center"/>
          </w:tcPr>
          <w:p w14:paraId="6024A5AD" w14:textId="77777777" w:rsidR="00D81182" w:rsidRPr="00D42042" w:rsidRDefault="00C13A09" w:rsidP="00D811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849 </w:t>
            </w:r>
            <w:r w:rsidR="00D81182" w:rsidRPr="00D42042">
              <w:rPr>
                <w:rFonts w:ascii="Times New Roman" w:eastAsia="Times New Roman" w:hAnsi="Times New Roman" w:cs="Times New Roman"/>
                <w:sz w:val="24"/>
                <w:szCs w:val="24"/>
                <w:lang w:eastAsia="ru-RU"/>
              </w:rPr>
              <w:t>201</w:t>
            </w:r>
          </w:p>
        </w:tc>
        <w:tc>
          <w:tcPr>
            <w:tcW w:w="2126" w:type="dxa"/>
            <w:vAlign w:val="center"/>
          </w:tcPr>
          <w:p w14:paraId="78F4B775" w14:textId="77777777" w:rsidR="00D81182" w:rsidRPr="00D42042" w:rsidRDefault="00C13A09" w:rsidP="003552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887 136</w:t>
            </w:r>
          </w:p>
        </w:tc>
      </w:tr>
      <w:tr w:rsidR="00D81182" w:rsidRPr="00BD5A90" w14:paraId="14CD6F4A" w14:textId="77777777" w:rsidTr="00D81182">
        <w:tc>
          <w:tcPr>
            <w:tcW w:w="4077" w:type="dxa"/>
          </w:tcPr>
          <w:p w14:paraId="2B127877" w14:textId="77777777" w:rsidR="00D81182" w:rsidRPr="00D42042" w:rsidRDefault="00D81182" w:rsidP="00D03A4F">
            <w:pPr>
              <w:spacing w:after="0" w:line="240" w:lineRule="auto"/>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Доля детей и подростков в возрасте 0-17 лет в общей численности сменивших место жительства на территории России, %</w:t>
            </w:r>
          </w:p>
        </w:tc>
        <w:tc>
          <w:tcPr>
            <w:tcW w:w="2126" w:type="dxa"/>
            <w:vAlign w:val="center"/>
          </w:tcPr>
          <w:p w14:paraId="7EA4414C" w14:textId="77777777" w:rsidR="00D81182" w:rsidRPr="00D42042" w:rsidRDefault="00D81182" w:rsidP="00D81182">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24,0</w:t>
            </w:r>
          </w:p>
        </w:tc>
        <w:tc>
          <w:tcPr>
            <w:tcW w:w="2126" w:type="dxa"/>
            <w:vAlign w:val="center"/>
          </w:tcPr>
          <w:p w14:paraId="7E69F92A" w14:textId="77777777" w:rsidR="00D81182" w:rsidRPr="00D42042" w:rsidRDefault="00D81182" w:rsidP="00D81182">
            <w:pPr>
              <w:spacing w:after="0" w:line="240" w:lineRule="auto"/>
              <w:jc w:val="center"/>
              <w:rPr>
                <w:rFonts w:ascii="Times New Roman" w:eastAsia="Times New Roman" w:hAnsi="Times New Roman" w:cs="Times New Roman"/>
                <w:sz w:val="24"/>
                <w:szCs w:val="24"/>
                <w:lang w:eastAsia="ru-RU"/>
              </w:rPr>
            </w:pPr>
            <w:r w:rsidRPr="00D42042">
              <w:rPr>
                <w:rFonts w:ascii="Times New Roman" w:eastAsia="Times New Roman" w:hAnsi="Times New Roman" w:cs="Times New Roman"/>
                <w:sz w:val="24"/>
                <w:szCs w:val="24"/>
                <w:lang w:eastAsia="ru-RU"/>
              </w:rPr>
              <w:t>24,1</w:t>
            </w:r>
          </w:p>
        </w:tc>
        <w:tc>
          <w:tcPr>
            <w:tcW w:w="2126" w:type="dxa"/>
            <w:vAlign w:val="center"/>
          </w:tcPr>
          <w:p w14:paraId="4288CA80" w14:textId="77777777" w:rsidR="00D81182" w:rsidRPr="00D42042" w:rsidRDefault="00C13A09" w:rsidP="003552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24,6</w:t>
            </w:r>
          </w:p>
        </w:tc>
      </w:tr>
    </w:tbl>
    <w:p w14:paraId="283314BE" w14:textId="77777777"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14:paraId="4AAF92F7" w14:textId="77777777"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14:paraId="4CA5F4AE" w14:textId="77777777" w:rsidR="00D03A4F" w:rsidRPr="00663B7C" w:rsidRDefault="00D03A4F" w:rsidP="00D03A4F">
      <w:pPr>
        <w:spacing w:after="0" w:line="240" w:lineRule="auto"/>
        <w:jc w:val="right"/>
        <w:rPr>
          <w:rFonts w:ascii="Times New Roman" w:eastAsia="Times New Roman" w:hAnsi="Times New Roman" w:cs="Times New Roman"/>
          <w:sz w:val="26"/>
          <w:szCs w:val="26"/>
          <w:lang w:eastAsia="ru-RU"/>
        </w:rPr>
      </w:pPr>
      <w:r w:rsidRPr="00663B7C">
        <w:rPr>
          <w:rFonts w:ascii="Times New Roman" w:eastAsia="Times New Roman" w:hAnsi="Times New Roman" w:cs="Times New Roman"/>
          <w:sz w:val="26"/>
          <w:szCs w:val="26"/>
          <w:lang w:eastAsia="ru-RU"/>
        </w:rPr>
        <w:t>Таблица 20</w:t>
      </w:r>
    </w:p>
    <w:p w14:paraId="15A8A715" w14:textId="77777777" w:rsidR="00D03A4F" w:rsidRPr="00663B7C" w:rsidRDefault="00D03A4F" w:rsidP="00D03A4F">
      <w:pPr>
        <w:spacing w:after="0" w:line="240" w:lineRule="auto"/>
        <w:jc w:val="right"/>
        <w:rPr>
          <w:rFonts w:ascii="Times New Roman" w:eastAsia="Times New Roman" w:hAnsi="Times New Roman" w:cs="Times New Roman"/>
          <w:sz w:val="26"/>
          <w:szCs w:val="26"/>
          <w:lang w:eastAsia="ru-RU"/>
        </w:rPr>
      </w:pPr>
    </w:p>
    <w:p w14:paraId="021E8B60" w14:textId="77777777" w:rsidR="00D03A4F" w:rsidRPr="00663B7C" w:rsidRDefault="00D03A4F" w:rsidP="00D03A4F">
      <w:pPr>
        <w:spacing w:after="0" w:line="240" w:lineRule="auto"/>
        <w:jc w:val="center"/>
        <w:rPr>
          <w:rFonts w:ascii="Times New Roman" w:eastAsia="Times New Roman" w:hAnsi="Times New Roman" w:cs="Times New Roman"/>
          <w:b/>
          <w:sz w:val="26"/>
          <w:szCs w:val="26"/>
          <w:lang w:eastAsia="ru-RU"/>
        </w:rPr>
      </w:pPr>
      <w:r w:rsidRPr="00663B7C">
        <w:rPr>
          <w:rFonts w:ascii="Times New Roman" w:eastAsia="Times New Roman" w:hAnsi="Times New Roman" w:cs="Times New Roman"/>
          <w:b/>
          <w:sz w:val="26"/>
          <w:szCs w:val="26"/>
          <w:lang w:eastAsia="ru-RU"/>
        </w:rPr>
        <w:t>Распределение международных мигрантов по отдельным возрастным группам и потокам передвижения</w:t>
      </w:r>
    </w:p>
    <w:p w14:paraId="68D5A4EF" w14:textId="77777777" w:rsidR="00D03A4F" w:rsidRPr="00663B7C" w:rsidRDefault="00D03A4F"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(человек)</w:t>
      </w:r>
    </w:p>
    <w:p w14:paraId="67255478" w14:textId="77777777" w:rsidR="00D03A4F" w:rsidRPr="00663B7C" w:rsidRDefault="00D03A4F" w:rsidP="00D03A4F">
      <w:pPr>
        <w:spacing w:after="0" w:line="240" w:lineRule="auto"/>
        <w:jc w:val="center"/>
        <w:rPr>
          <w:rFonts w:ascii="Times New Roman" w:eastAsia="Times New Roman" w:hAnsi="Times New Roman" w:cs="Times New Roman"/>
          <w:sz w:val="24"/>
          <w:szCs w:val="24"/>
          <w:lang w:eastAsia="ru-RU"/>
        </w:rP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1931"/>
        <w:gridCol w:w="1593"/>
      </w:tblGrid>
      <w:tr w:rsidR="00D81182" w:rsidRPr="00663B7C" w14:paraId="35882472" w14:textId="77777777" w:rsidTr="00944CB1">
        <w:trPr>
          <w:trHeight w:val="475"/>
          <w:tblHeader/>
        </w:trPr>
        <w:tc>
          <w:tcPr>
            <w:tcW w:w="4503" w:type="dxa"/>
          </w:tcPr>
          <w:p w14:paraId="1E2662CD" w14:textId="77777777" w:rsidR="00D81182" w:rsidRPr="00663B7C" w:rsidRDefault="00D81182" w:rsidP="00D03A4F">
            <w:pPr>
              <w:spacing w:after="0" w:line="240" w:lineRule="auto"/>
              <w:jc w:val="center"/>
              <w:rPr>
                <w:rFonts w:ascii="Times New Roman" w:eastAsia="Times New Roman" w:hAnsi="Times New Roman" w:cs="Times New Roman"/>
                <w:sz w:val="26"/>
                <w:szCs w:val="26"/>
                <w:lang w:eastAsia="ru-RU"/>
              </w:rPr>
            </w:pPr>
          </w:p>
        </w:tc>
        <w:tc>
          <w:tcPr>
            <w:tcW w:w="2126" w:type="dxa"/>
            <w:vAlign w:val="center"/>
          </w:tcPr>
          <w:p w14:paraId="41A918D5"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2019 г.</w:t>
            </w:r>
          </w:p>
        </w:tc>
        <w:tc>
          <w:tcPr>
            <w:tcW w:w="1931" w:type="dxa"/>
            <w:vAlign w:val="center"/>
          </w:tcPr>
          <w:p w14:paraId="0F2A6C5D"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2020 г.</w:t>
            </w:r>
          </w:p>
        </w:tc>
        <w:tc>
          <w:tcPr>
            <w:tcW w:w="1593" w:type="dxa"/>
            <w:vAlign w:val="center"/>
          </w:tcPr>
          <w:p w14:paraId="698BDC1D" w14:textId="77777777" w:rsidR="00D81182" w:rsidRPr="00663B7C" w:rsidRDefault="00D81182"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w:t>
            </w:r>
          </w:p>
        </w:tc>
      </w:tr>
      <w:tr w:rsidR="00D81182" w:rsidRPr="00663B7C" w14:paraId="4A08C764" w14:textId="77777777" w:rsidTr="00944CB1">
        <w:trPr>
          <w:trHeight w:val="451"/>
        </w:trPr>
        <w:tc>
          <w:tcPr>
            <w:tcW w:w="10153" w:type="dxa"/>
            <w:gridSpan w:val="4"/>
            <w:vAlign w:val="center"/>
          </w:tcPr>
          <w:p w14:paraId="42EAF012" w14:textId="77777777" w:rsidR="00D81182" w:rsidRPr="00663B7C" w:rsidRDefault="00D8118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Прибывшие</w:t>
            </w:r>
          </w:p>
        </w:tc>
      </w:tr>
      <w:tr w:rsidR="00D81182" w:rsidRPr="00663B7C" w14:paraId="0F70020E" w14:textId="77777777" w:rsidTr="00944CB1">
        <w:tc>
          <w:tcPr>
            <w:tcW w:w="4503" w:type="dxa"/>
            <w:vAlign w:val="center"/>
          </w:tcPr>
          <w:p w14:paraId="4DD633E6" w14:textId="77777777" w:rsidR="00D81182" w:rsidRPr="00663B7C" w:rsidRDefault="00D81182" w:rsidP="00D03A4F">
            <w:pPr>
              <w:spacing w:after="0" w:line="240" w:lineRule="auto"/>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Число прибывших из-за пределов России - всего</w:t>
            </w:r>
          </w:p>
        </w:tc>
        <w:tc>
          <w:tcPr>
            <w:tcW w:w="2126" w:type="dxa"/>
            <w:vAlign w:val="center"/>
          </w:tcPr>
          <w:p w14:paraId="2D91DFF7" w14:textId="77777777" w:rsidR="00D81182" w:rsidRPr="00663B7C" w:rsidRDefault="00D81182" w:rsidP="00D81182">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701 234</w:t>
            </w:r>
          </w:p>
        </w:tc>
        <w:tc>
          <w:tcPr>
            <w:tcW w:w="1931" w:type="dxa"/>
            <w:vAlign w:val="center"/>
          </w:tcPr>
          <w:p w14:paraId="5049BF4D" w14:textId="77777777" w:rsidR="00D81182" w:rsidRPr="00663B7C" w:rsidRDefault="00D81182" w:rsidP="00D81182">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594 146</w:t>
            </w:r>
          </w:p>
        </w:tc>
        <w:tc>
          <w:tcPr>
            <w:tcW w:w="1593" w:type="dxa"/>
            <w:vAlign w:val="center"/>
          </w:tcPr>
          <w:p w14:paraId="383CCC22" w14:textId="77777777" w:rsidR="00D81182" w:rsidRPr="00663B7C" w:rsidRDefault="00F91566" w:rsidP="00D03A4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667 922</w:t>
            </w:r>
          </w:p>
        </w:tc>
      </w:tr>
      <w:tr w:rsidR="00D81182" w:rsidRPr="00663B7C" w14:paraId="38227D44" w14:textId="77777777" w:rsidTr="00944CB1">
        <w:trPr>
          <w:trHeight w:val="383"/>
        </w:trPr>
        <w:tc>
          <w:tcPr>
            <w:tcW w:w="4503" w:type="dxa"/>
            <w:vAlign w:val="center"/>
          </w:tcPr>
          <w:p w14:paraId="570B946C" w14:textId="77777777" w:rsidR="00D81182" w:rsidRPr="00663B7C" w:rsidRDefault="00D8118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14:paraId="7249DC0E"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14:paraId="168C09B6"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14:paraId="155D5214" w14:textId="77777777" w:rsidR="00D81182" w:rsidRPr="00663B7C" w:rsidRDefault="00D81182" w:rsidP="00D03A4F">
            <w:pPr>
              <w:spacing w:after="0" w:line="240" w:lineRule="auto"/>
              <w:jc w:val="center"/>
              <w:rPr>
                <w:rFonts w:ascii="Times New Roman" w:eastAsia="Times New Roman" w:hAnsi="Times New Roman" w:cs="Times New Roman"/>
                <w:sz w:val="24"/>
                <w:szCs w:val="24"/>
                <w:lang w:eastAsia="ru-RU"/>
              </w:rPr>
            </w:pPr>
          </w:p>
        </w:tc>
      </w:tr>
      <w:tr w:rsidR="00D81182" w:rsidRPr="00663B7C" w14:paraId="2AD4CD40" w14:textId="77777777" w:rsidTr="00944CB1">
        <w:trPr>
          <w:trHeight w:val="418"/>
        </w:trPr>
        <w:tc>
          <w:tcPr>
            <w:tcW w:w="4503" w:type="dxa"/>
            <w:vAlign w:val="center"/>
          </w:tcPr>
          <w:p w14:paraId="1E2C75CB" w14:textId="77777777" w:rsidR="00D81182" w:rsidRPr="00663B7C" w:rsidRDefault="00D8118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0-5</w:t>
            </w:r>
          </w:p>
        </w:tc>
        <w:tc>
          <w:tcPr>
            <w:tcW w:w="2126" w:type="dxa"/>
            <w:vAlign w:val="center"/>
          </w:tcPr>
          <w:p w14:paraId="2AAFA94A"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21 2</w:t>
            </w:r>
            <w:r w:rsidR="00F91566">
              <w:rPr>
                <w:rFonts w:ascii="Times New Roman" w:eastAsia="Times New Roman" w:hAnsi="Times New Roman" w:cs="Times New Roman"/>
                <w:sz w:val="24"/>
                <w:szCs w:val="24"/>
                <w:lang w:eastAsia="ru-RU"/>
              </w:rPr>
              <w:t>42</w:t>
            </w:r>
          </w:p>
        </w:tc>
        <w:tc>
          <w:tcPr>
            <w:tcW w:w="1931" w:type="dxa"/>
            <w:vAlign w:val="center"/>
          </w:tcPr>
          <w:p w14:paraId="2FFE4CBB"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17 487</w:t>
            </w:r>
          </w:p>
        </w:tc>
        <w:tc>
          <w:tcPr>
            <w:tcW w:w="1593" w:type="dxa"/>
            <w:vAlign w:val="center"/>
          </w:tcPr>
          <w:p w14:paraId="49D27B66" w14:textId="77777777" w:rsidR="00D81182" w:rsidRPr="00663B7C" w:rsidRDefault="00F91566"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20 576</w:t>
            </w:r>
          </w:p>
        </w:tc>
      </w:tr>
      <w:tr w:rsidR="00D81182" w:rsidRPr="00663B7C" w14:paraId="146DFD8E" w14:textId="77777777" w:rsidTr="00944CB1">
        <w:trPr>
          <w:trHeight w:val="409"/>
        </w:trPr>
        <w:tc>
          <w:tcPr>
            <w:tcW w:w="4503" w:type="dxa"/>
            <w:vAlign w:val="center"/>
          </w:tcPr>
          <w:p w14:paraId="40D2D7E2" w14:textId="77777777" w:rsidR="00D81182" w:rsidRPr="00663B7C" w:rsidRDefault="00D8118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6-13</w:t>
            </w:r>
          </w:p>
        </w:tc>
        <w:tc>
          <w:tcPr>
            <w:tcW w:w="2126" w:type="dxa"/>
            <w:vAlign w:val="center"/>
          </w:tcPr>
          <w:p w14:paraId="73B0C573"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37 631</w:t>
            </w:r>
          </w:p>
        </w:tc>
        <w:tc>
          <w:tcPr>
            <w:tcW w:w="1931" w:type="dxa"/>
            <w:vAlign w:val="center"/>
          </w:tcPr>
          <w:p w14:paraId="5F93D080"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33 367</w:t>
            </w:r>
          </w:p>
        </w:tc>
        <w:tc>
          <w:tcPr>
            <w:tcW w:w="1593" w:type="dxa"/>
            <w:vAlign w:val="center"/>
          </w:tcPr>
          <w:p w14:paraId="44B2A4ED" w14:textId="77777777" w:rsidR="00D81182" w:rsidRPr="00663B7C" w:rsidRDefault="00F91566"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35 558</w:t>
            </w:r>
          </w:p>
        </w:tc>
      </w:tr>
      <w:tr w:rsidR="00D81182" w:rsidRPr="00663B7C" w14:paraId="3BDBC9B2" w14:textId="77777777" w:rsidTr="00944CB1">
        <w:trPr>
          <w:trHeight w:val="415"/>
        </w:trPr>
        <w:tc>
          <w:tcPr>
            <w:tcW w:w="4503" w:type="dxa"/>
            <w:vAlign w:val="center"/>
          </w:tcPr>
          <w:p w14:paraId="5AA4E1D0" w14:textId="77777777" w:rsidR="00D81182" w:rsidRPr="00663B7C" w:rsidRDefault="00D8118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14-17</w:t>
            </w:r>
          </w:p>
        </w:tc>
        <w:tc>
          <w:tcPr>
            <w:tcW w:w="2126" w:type="dxa"/>
            <w:vAlign w:val="center"/>
          </w:tcPr>
          <w:p w14:paraId="0277CF5E"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19 103</w:t>
            </w:r>
          </w:p>
        </w:tc>
        <w:tc>
          <w:tcPr>
            <w:tcW w:w="1931" w:type="dxa"/>
            <w:vAlign w:val="center"/>
          </w:tcPr>
          <w:p w14:paraId="495B04B7"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15 283</w:t>
            </w:r>
          </w:p>
        </w:tc>
        <w:tc>
          <w:tcPr>
            <w:tcW w:w="1593" w:type="dxa"/>
            <w:vAlign w:val="center"/>
          </w:tcPr>
          <w:p w14:paraId="43D0C9D5" w14:textId="77777777" w:rsidR="00D81182" w:rsidRPr="00663B7C" w:rsidRDefault="00F91566"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18 119</w:t>
            </w:r>
          </w:p>
        </w:tc>
      </w:tr>
      <w:tr w:rsidR="00D81182" w:rsidRPr="00663B7C" w14:paraId="3C284A6F" w14:textId="77777777" w:rsidTr="00944CB1">
        <w:trPr>
          <w:trHeight w:val="421"/>
        </w:trPr>
        <w:tc>
          <w:tcPr>
            <w:tcW w:w="4503" w:type="dxa"/>
            <w:vAlign w:val="center"/>
          </w:tcPr>
          <w:p w14:paraId="79D578EB" w14:textId="77777777" w:rsidR="00D81182" w:rsidRPr="00663B7C" w:rsidRDefault="00D8118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0-17</w:t>
            </w:r>
          </w:p>
        </w:tc>
        <w:tc>
          <w:tcPr>
            <w:tcW w:w="2126" w:type="dxa"/>
            <w:vAlign w:val="center"/>
          </w:tcPr>
          <w:p w14:paraId="0D8CC59D"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77 976</w:t>
            </w:r>
          </w:p>
        </w:tc>
        <w:tc>
          <w:tcPr>
            <w:tcW w:w="1931" w:type="dxa"/>
            <w:vAlign w:val="center"/>
          </w:tcPr>
          <w:p w14:paraId="6C85BD6C"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66 137</w:t>
            </w:r>
          </w:p>
        </w:tc>
        <w:tc>
          <w:tcPr>
            <w:tcW w:w="1593" w:type="dxa"/>
            <w:vAlign w:val="center"/>
          </w:tcPr>
          <w:p w14:paraId="61C0CA93" w14:textId="77777777" w:rsidR="00D81182" w:rsidRPr="00663B7C" w:rsidRDefault="00F91566"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74 253</w:t>
            </w:r>
          </w:p>
        </w:tc>
      </w:tr>
      <w:tr w:rsidR="00D81182" w:rsidRPr="00663B7C" w14:paraId="26C73E50" w14:textId="77777777" w:rsidTr="00944CB1">
        <w:trPr>
          <w:trHeight w:val="967"/>
        </w:trPr>
        <w:tc>
          <w:tcPr>
            <w:tcW w:w="4503" w:type="dxa"/>
            <w:vAlign w:val="center"/>
          </w:tcPr>
          <w:p w14:paraId="70BC66C7" w14:textId="77777777" w:rsidR="00D81182" w:rsidRPr="00663B7C" w:rsidRDefault="00D8118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Доля детей и подростков в возрасте 0-17 лет в общем числе международных мигрантов, %</w:t>
            </w:r>
          </w:p>
        </w:tc>
        <w:tc>
          <w:tcPr>
            <w:tcW w:w="2126" w:type="dxa"/>
            <w:vAlign w:val="center"/>
          </w:tcPr>
          <w:p w14:paraId="06BFD410"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11,1</w:t>
            </w:r>
          </w:p>
        </w:tc>
        <w:tc>
          <w:tcPr>
            <w:tcW w:w="1931" w:type="dxa"/>
            <w:vAlign w:val="center"/>
          </w:tcPr>
          <w:p w14:paraId="08370F5B"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11,1</w:t>
            </w:r>
          </w:p>
        </w:tc>
        <w:tc>
          <w:tcPr>
            <w:tcW w:w="1593" w:type="dxa"/>
            <w:vAlign w:val="center"/>
          </w:tcPr>
          <w:p w14:paraId="4354C99C" w14:textId="77777777" w:rsidR="00D81182" w:rsidRPr="00663B7C" w:rsidRDefault="00F91566"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r>
      <w:tr w:rsidR="00D81182" w:rsidRPr="00663B7C" w14:paraId="7E1BC6C7" w14:textId="77777777" w:rsidTr="00944CB1">
        <w:tc>
          <w:tcPr>
            <w:tcW w:w="4503" w:type="dxa"/>
            <w:vAlign w:val="center"/>
          </w:tcPr>
          <w:p w14:paraId="44AE5855" w14:textId="77777777" w:rsidR="00D81182" w:rsidRPr="00663B7C" w:rsidRDefault="00D81182" w:rsidP="00D03A4F">
            <w:pPr>
              <w:spacing w:after="0" w:line="240" w:lineRule="auto"/>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Число прибывших из стран СНГ - всего</w:t>
            </w:r>
          </w:p>
        </w:tc>
        <w:tc>
          <w:tcPr>
            <w:tcW w:w="2126" w:type="dxa"/>
            <w:vAlign w:val="center"/>
          </w:tcPr>
          <w:p w14:paraId="6F7F837A" w14:textId="77777777" w:rsidR="00D81182" w:rsidRPr="00663B7C" w:rsidRDefault="00D81182" w:rsidP="00D81182">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617 997</w:t>
            </w:r>
          </w:p>
        </w:tc>
        <w:tc>
          <w:tcPr>
            <w:tcW w:w="1931" w:type="dxa"/>
            <w:vAlign w:val="center"/>
          </w:tcPr>
          <w:p w14:paraId="09E3CDEB" w14:textId="77777777" w:rsidR="00D81182" w:rsidRPr="00663B7C" w:rsidRDefault="00D81182" w:rsidP="00D81182">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535 923</w:t>
            </w:r>
          </w:p>
        </w:tc>
        <w:tc>
          <w:tcPr>
            <w:tcW w:w="1593" w:type="dxa"/>
            <w:vAlign w:val="center"/>
          </w:tcPr>
          <w:p w14:paraId="035F67BF" w14:textId="77777777" w:rsidR="00D81182" w:rsidRPr="00663B7C" w:rsidRDefault="00F91566" w:rsidP="00D03A4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606 190</w:t>
            </w:r>
          </w:p>
        </w:tc>
      </w:tr>
      <w:tr w:rsidR="00D81182" w:rsidRPr="00663B7C" w14:paraId="508470AC" w14:textId="77777777" w:rsidTr="00944CB1">
        <w:trPr>
          <w:trHeight w:val="435"/>
        </w:trPr>
        <w:tc>
          <w:tcPr>
            <w:tcW w:w="4503" w:type="dxa"/>
            <w:vAlign w:val="center"/>
          </w:tcPr>
          <w:p w14:paraId="0AA5A992" w14:textId="77777777" w:rsidR="00D81182" w:rsidRPr="00663B7C" w:rsidRDefault="00D8118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14:paraId="10670176"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14:paraId="5AAFC0EA"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14:paraId="2388C1ED" w14:textId="77777777" w:rsidR="00D81182" w:rsidRPr="00663B7C" w:rsidRDefault="00D81182" w:rsidP="00D03A4F">
            <w:pPr>
              <w:spacing w:after="0" w:line="240" w:lineRule="auto"/>
              <w:jc w:val="center"/>
              <w:rPr>
                <w:rFonts w:ascii="Times New Roman" w:eastAsia="Times New Roman" w:hAnsi="Times New Roman" w:cs="Times New Roman"/>
                <w:sz w:val="24"/>
                <w:szCs w:val="24"/>
                <w:lang w:eastAsia="ru-RU"/>
              </w:rPr>
            </w:pPr>
          </w:p>
        </w:tc>
      </w:tr>
      <w:tr w:rsidR="00D81182" w:rsidRPr="00663B7C" w14:paraId="72B03702" w14:textId="77777777" w:rsidTr="00944CB1">
        <w:trPr>
          <w:trHeight w:val="440"/>
        </w:trPr>
        <w:tc>
          <w:tcPr>
            <w:tcW w:w="4503" w:type="dxa"/>
            <w:vAlign w:val="center"/>
          </w:tcPr>
          <w:p w14:paraId="03E34C95" w14:textId="77777777" w:rsidR="00D81182" w:rsidRPr="00663B7C" w:rsidRDefault="00D8118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0-5</w:t>
            </w:r>
          </w:p>
        </w:tc>
        <w:tc>
          <w:tcPr>
            <w:tcW w:w="2126" w:type="dxa"/>
            <w:vAlign w:val="center"/>
          </w:tcPr>
          <w:p w14:paraId="41FD984A"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19 243</w:t>
            </w:r>
          </w:p>
        </w:tc>
        <w:tc>
          <w:tcPr>
            <w:tcW w:w="1931" w:type="dxa"/>
            <w:vAlign w:val="center"/>
          </w:tcPr>
          <w:p w14:paraId="38C83682"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16 113</w:t>
            </w:r>
          </w:p>
        </w:tc>
        <w:tc>
          <w:tcPr>
            <w:tcW w:w="1593" w:type="dxa"/>
            <w:vAlign w:val="center"/>
          </w:tcPr>
          <w:p w14:paraId="73DFFB14" w14:textId="77777777" w:rsidR="00D81182" w:rsidRPr="00663B7C" w:rsidRDefault="00F91566"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18 807</w:t>
            </w:r>
          </w:p>
        </w:tc>
      </w:tr>
      <w:tr w:rsidR="00D81182" w:rsidRPr="00663B7C" w14:paraId="2FE476E5" w14:textId="77777777" w:rsidTr="00944CB1">
        <w:trPr>
          <w:trHeight w:val="415"/>
        </w:trPr>
        <w:tc>
          <w:tcPr>
            <w:tcW w:w="4503" w:type="dxa"/>
            <w:vAlign w:val="center"/>
          </w:tcPr>
          <w:p w14:paraId="6D3B3498" w14:textId="77777777" w:rsidR="00D81182" w:rsidRPr="00663B7C" w:rsidRDefault="00D8118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6-13</w:t>
            </w:r>
          </w:p>
        </w:tc>
        <w:tc>
          <w:tcPr>
            <w:tcW w:w="2126" w:type="dxa"/>
            <w:vAlign w:val="center"/>
          </w:tcPr>
          <w:p w14:paraId="135DA894"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36 058</w:t>
            </w:r>
          </w:p>
        </w:tc>
        <w:tc>
          <w:tcPr>
            <w:tcW w:w="1931" w:type="dxa"/>
            <w:vAlign w:val="center"/>
          </w:tcPr>
          <w:p w14:paraId="0B18E4E6"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32 049</w:t>
            </w:r>
          </w:p>
        </w:tc>
        <w:tc>
          <w:tcPr>
            <w:tcW w:w="1593" w:type="dxa"/>
            <w:vAlign w:val="center"/>
          </w:tcPr>
          <w:p w14:paraId="551208B2" w14:textId="77777777" w:rsidR="00D81182" w:rsidRPr="00663B7C" w:rsidRDefault="00F91566"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33 952</w:t>
            </w:r>
          </w:p>
        </w:tc>
      </w:tr>
      <w:tr w:rsidR="00D81182" w:rsidRPr="00663B7C" w14:paraId="7E6843F3" w14:textId="77777777" w:rsidTr="00944CB1">
        <w:trPr>
          <w:trHeight w:val="420"/>
        </w:trPr>
        <w:tc>
          <w:tcPr>
            <w:tcW w:w="4503" w:type="dxa"/>
            <w:vAlign w:val="center"/>
          </w:tcPr>
          <w:p w14:paraId="6AB20E0C" w14:textId="77777777" w:rsidR="00D81182" w:rsidRPr="00663B7C" w:rsidRDefault="00D8118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14-17</w:t>
            </w:r>
          </w:p>
        </w:tc>
        <w:tc>
          <w:tcPr>
            <w:tcW w:w="2126" w:type="dxa"/>
            <w:vAlign w:val="center"/>
          </w:tcPr>
          <w:p w14:paraId="4BD1E0EA"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17 764</w:t>
            </w:r>
          </w:p>
        </w:tc>
        <w:tc>
          <w:tcPr>
            <w:tcW w:w="1931" w:type="dxa"/>
            <w:vAlign w:val="center"/>
          </w:tcPr>
          <w:p w14:paraId="4DAE42D4"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14 517</w:t>
            </w:r>
          </w:p>
        </w:tc>
        <w:tc>
          <w:tcPr>
            <w:tcW w:w="1593" w:type="dxa"/>
            <w:vAlign w:val="center"/>
          </w:tcPr>
          <w:p w14:paraId="3146A658" w14:textId="77777777" w:rsidR="00D81182" w:rsidRPr="00663B7C" w:rsidRDefault="00F91566"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17 305</w:t>
            </w:r>
          </w:p>
        </w:tc>
      </w:tr>
      <w:tr w:rsidR="00D81182" w:rsidRPr="00663B7C" w14:paraId="554D5FE4" w14:textId="77777777" w:rsidTr="00944CB1">
        <w:trPr>
          <w:trHeight w:val="412"/>
        </w:trPr>
        <w:tc>
          <w:tcPr>
            <w:tcW w:w="4503" w:type="dxa"/>
            <w:vAlign w:val="center"/>
          </w:tcPr>
          <w:p w14:paraId="0103B426" w14:textId="77777777" w:rsidR="00D81182" w:rsidRPr="00663B7C" w:rsidRDefault="00D8118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0-17</w:t>
            </w:r>
          </w:p>
        </w:tc>
        <w:tc>
          <w:tcPr>
            <w:tcW w:w="2126" w:type="dxa"/>
            <w:vAlign w:val="center"/>
          </w:tcPr>
          <w:p w14:paraId="0622B474"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73 065</w:t>
            </w:r>
          </w:p>
        </w:tc>
        <w:tc>
          <w:tcPr>
            <w:tcW w:w="1931" w:type="dxa"/>
            <w:vAlign w:val="center"/>
          </w:tcPr>
          <w:p w14:paraId="7C7184C7"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62 679</w:t>
            </w:r>
          </w:p>
        </w:tc>
        <w:tc>
          <w:tcPr>
            <w:tcW w:w="1593" w:type="dxa"/>
            <w:vAlign w:val="center"/>
          </w:tcPr>
          <w:p w14:paraId="29FFCC4D" w14:textId="77777777" w:rsidR="00D81182" w:rsidRPr="00663B7C" w:rsidRDefault="00F91566"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70 064</w:t>
            </w:r>
          </w:p>
        </w:tc>
      </w:tr>
      <w:tr w:rsidR="00D81182" w:rsidRPr="00663B7C" w14:paraId="75327229" w14:textId="77777777" w:rsidTr="00944CB1">
        <w:tc>
          <w:tcPr>
            <w:tcW w:w="4503" w:type="dxa"/>
            <w:vAlign w:val="center"/>
          </w:tcPr>
          <w:p w14:paraId="14649755" w14:textId="77777777" w:rsidR="00D81182" w:rsidRPr="00663B7C" w:rsidRDefault="00D8118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Доля детей и подростков в возрасте 0-17 лет в общем числе международных мигрантов, %</w:t>
            </w:r>
          </w:p>
        </w:tc>
        <w:tc>
          <w:tcPr>
            <w:tcW w:w="2126" w:type="dxa"/>
            <w:vAlign w:val="center"/>
          </w:tcPr>
          <w:p w14:paraId="720E41C3"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11,8</w:t>
            </w:r>
          </w:p>
        </w:tc>
        <w:tc>
          <w:tcPr>
            <w:tcW w:w="1931" w:type="dxa"/>
            <w:vAlign w:val="center"/>
          </w:tcPr>
          <w:p w14:paraId="27FDC449"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11,7</w:t>
            </w:r>
          </w:p>
        </w:tc>
        <w:tc>
          <w:tcPr>
            <w:tcW w:w="1593" w:type="dxa"/>
            <w:vAlign w:val="center"/>
          </w:tcPr>
          <w:p w14:paraId="4D5FF478" w14:textId="77777777" w:rsidR="00D81182" w:rsidRPr="00663B7C" w:rsidRDefault="00F91566"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r>
      <w:tr w:rsidR="00D81182" w:rsidRPr="00663B7C" w14:paraId="3B42DB0C" w14:textId="77777777" w:rsidTr="00944CB1">
        <w:tc>
          <w:tcPr>
            <w:tcW w:w="4503" w:type="dxa"/>
            <w:vAlign w:val="center"/>
          </w:tcPr>
          <w:p w14:paraId="2B52958B" w14:textId="77777777" w:rsidR="00D81182" w:rsidRPr="00663B7C" w:rsidRDefault="00D81182" w:rsidP="00D03A4F">
            <w:pPr>
              <w:spacing w:after="0" w:line="240" w:lineRule="auto"/>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Число прибывших из других стран - всего</w:t>
            </w:r>
          </w:p>
        </w:tc>
        <w:tc>
          <w:tcPr>
            <w:tcW w:w="2126" w:type="dxa"/>
            <w:vAlign w:val="center"/>
          </w:tcPr>
          <w:p w14:paraId="1A3FB8B6" w14:textId="77777777" w:rsidR="00D81182" w:rsidRPr="00663B7C" w:rsidRDefault="00D81182" w:rsidP="00D81182">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83 237</w:t>
            </w:r>
          </w:p>
        </w:tc>
        <w:tc>
          <w:tcPr>
            <w:tcW w:w="1931" w:type="dxa"/>
            <w:vAlign w:val="center"/>
          </w:tcPr>
          <w:p w14:paraId="199DCEF9" w14:textId="77777777" w:rsidR="00D81182" w:rsidRPr="00663B7C" w:rsidRDefault="00D81182" w:rsidP="00D81182">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58 223</w:t>
            </w:r>
          </w:p>
        </w:tc>
        <w:tc>
          <w:tcPr>
            <w:tcW w:w="1593" w:type="dxa"/>
            <w:vAlign w:val="center"/>
          </w:tcPr>
          <w:p w14:paraId="5619EA6A" w14:textId="77777777" w:rsidR="00D81182" w:rsidRPr="00663B7C" w:rsidRDefault="00F91566" w:rsidP="00D03A4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61 732</w:t>
            </w:r>
          </w:p>
        </w:tc>
      </w:tr>
      <w:tr w:rsidR="00D81182" w:rsidRPr="00663B7C" w14:paraId="086BA292" w14:textId="77777777" w:rsidTr="00944CB1">
        <w:trPr>
          <w:trHeight w:val="427"/>
        </w:trPr>
        <w:tc>
          <w:tcPr>
            <w:tcW w:w="4503" w:type="dxa"/>
            <w:vAlign w:val="center"/>
          </w:tcPr>
          <w:p w14:paraId="0EDA1C7A" w14:textId="77777777" w:rsidR="00D81182" w:rsidRPr="00663B7C" w:rsidRDefault="00D8118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14:paraId="608321E0"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14:paraId="21B77900"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14:paraId="16A9BAB0" w14:textId="77777777" w:rsidR="00D81182" w:rsidRPr="00663B7C" w:rsidRDefault="00D81182" w:rsidP="00D03A4F">
            <w:pPr>
              <w:spacing w:after="0" w:line="240" w:lineRule="auto"/>
              <w:jc w:val="center"/>
              <w:rPr>
                <w:rFonts w:ascii="Times New Roman" w:eastAsia="Times New Roman" w:hAnsi="Times New Roman" w:cs="Times New Roman"/>
                <w:sz w:val="24"/>
                <w:szCs w:val="24"/>
                <w:lang w:eastAsia="ru-RU"/>
              </w:rPr>
            </w:pPr>
          </w:p>
        </w:tc>
      </w:tr>
      <w:tr w:rsidR="00D81182" w:rsidRPr="00663B7C" w14:paraId="4F5C01B1" w14:textId="77777777" w:rsidTr="00944CB1">
        <w:tc>
          <w:tcPr>
            <w:tcW w:w="4503" w:type="dxa"/>
            <w:vAlign w:val="center"/>
          </w:tcPr>
          <w:p w14:paraId="24486A19" w14:textId="77777777" w:rsidR="00D81182" w:rsidRPr="00663B7C" w:rsidRDefault="00D8118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0-5</w:t>
            </w:r>
          </w:p>
        </w:tc>
        <w:tc>
          <w:tcPr>
            <w:tcW w:w="2126" w:type="dxa"/>
            <w:vAlign w:val="center"/>
          </w:tcPr>
          <w:p w14:paraId="091AF742"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1 999</w:t>
            </w:r>
          </w:p>
        </w:tc>
        <w:tc>
          <w:tcPr>
            <w:tcW w:w="1931" w:type="dxa"/>
            <w:vAlign w:val="center"/>
          </w:tcPr>
          <w:p w14:paraId="6A8C5EF7"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1 374</w:t>
            </w:r>
          </w:p>
        </w:tc>
        <w:tc>
          <w:tcPr>
            <w:tcW w:w="1593" w:type="dxa"/>
            <w:vAlign w:val="center"/>
          </w:tcPr>
          <w:p w14:paraId="26240838" w14:textId="77777777" w:rsidR="00D81182" w:rsidRPr="00663B7C" w:rsidRDefault="00F91566"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1 769</w:t>
            </w:r>
          </w:p>
        </w:tc>
      </w:tr>
      <w:tr w:rsidR="00D81182" w:rsidRPr="00663B7C" w14:paraId="2A1E8B15" w14:textId="77777777" w:rsidTr="00944CB1">
        <w:trPr>
          <w:trHeight w:val="423"/>
        </w:trPr>
        <w:tc>
          <w:tcPr>
            <w:tcW w:w="4503" w:type="dxa"/>
            <w:vAlign w:val="center"/>
          </w:tcPr>
          <w:p w14:paraId="17B9C9BB" w14:textId="77777777" w:rsidR="00D81182" w:rsidRPr="00663B7C" w:rsidRDefault="00D8118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6-13</w:t>
            </w:r>
          </w:p>
        </w:tc>
        <w:tc>
          <w:tcPr>
            <w:tcW w:w="2126" w:type="dxa"/>
            <w:vAlign w:val="center"/>
          </w:tcPr>
          <w:p w14:paraId="4D7CCA06"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1 573</w:t>
            </w:r>
          </w:p>
        </w:tc>
        <w:tc>
          <w:tcPr>
            <w:tcW w:w="1931" w:type="dxa"/>
            <w:vAlign w:val="center"/>
          </w:tcPr>
          <w:p w14:paraId="475F1FC5"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1 318</w:t>
            </w:r>
          </w:p>
        </w:tc>
        <w:tc>
          <w:tcPr>
            <w:tcW w:w="1593" w:type="dxa"/>
            <w:vAlign w:val="center"/>
          </w:tcPr>
          <w:p w14:paraId="2752AF5F" w14:textId="77777777" w:rsidR="00D81182" w:rsidRPr="00663B7C" w:rsidRDefault="00F91566"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1 606</w:t>
            </w:r>
          </w:p>
        </w:tc>
      </w:tr>
      <w:tr w:rsidR="00D81182" w:rsidRPr="00663B7C" w14:paraId="022DA905" w14:textId="77777777" w:rsidTr="00944CB1">
        <w:trPr>
          <w:trHeight w:val="401"/>
        </w:trPr>
        <w:tc>
          <w:tcPr>
            <w:tcW w:w="4503" w:type="dxa"/>
            <w:vAlign w:val="center"/>
          </w:tcPr>
          <w:p w14:paraId="70CA679D" w14:textId="77777777" w:rsidR="00D81182" w:rsidRPr="00663B7C" w:rsidRDefault="00D8118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14-17</w:t>
            </w:r>
          </w:p>
        </w:tc>
        <w:tc>
          <w:tcPr>
            <w:tcW w:w="2126" w:type="dxa"/>
            <w:vAlign w:val="center"/>
          </w:tcPr>
          <w:p w14:paraId="1FF5DAB6"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1 339</w:t>
            </w:r>
          </w:p>
        </w:tc>
        <w:tc>
          <w:tcPr>
            <w:tcW w:w="1931" w:type="dxa"/>
            <w:vAlign w:val="center"/>
          </w:tcPr>
          <w:p w14:paraId="35D44884"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766</w:t>
            </w:r>
          </w:p>
        </w:tc>
        <w:tc>
          <w:tcPr>
            <w:tcW w:w="1593" w:type="dxa"/>
            <w:vAlign w:val="center"/>
          </w:tcPr>
          <w:p w14:paraId="2BEEC5F9" w14:textId="77777777" w:rsidR="00D81182" w:rsidRPr="00663B7C" w:rsidRDefault="00F91566"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814</w:t>
            </w:r>
          </w:p>
        </w:tc>
      </w:tr>
      <w:tr w:rsidR="00D81182" w:rsidRPr="00663B7C" w14:paraId="4DE2417F" w14:textId="77777777" w:rsidTr="00944CB1">
        <w:tc>
          <w:tcPr>
            <w:tcW w:w="4503" w:type="dxa"/>
            <w:vAlign w:val="center"/>
          </w:tcPr>
          <w:p w14:paraId="2CB9C3D7" w14:textId="77777777" w:rsidR="00D81182" w:rsidRPr="00663B7C" w:rsidRDefault="00D8118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0-17</w:t>
            </w:r>
          </w:p>
        </w:tc>
        <w:tc>
          <w:tcPr>
            <w:tcW w:w="2126" w:type="dxa"/>
            <w:vAlign w:val="center"/>
          </w:tcPr>
          <w:p w14:paraId="6D9ACA39"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4 911</w:t>
            </w:r>
          </w:p>
        </w:tc>
        <w:tc>
          <w:tcPr>
            <w:tcW w:w="1931" w:type="dxa"/>
            <w:vAlign w:val="center"/>
          </w:tcPr>
          <w:p w14:paraId="664CE99C"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3 458</w:t>
            </w:r>
          </w:p>
        </w:tc>
        <w:tc>
          <w:tcPr>
            <w:tcW w:w="1593" w:type="dxa"/>
            <w:vAlign w:val="center"/>
          </w:tcPr>
          <w:p w14:paraId="2FAAFE15" w14:textId="77777777" w:rsidR="00D81182" w:rsidRPr="00663B7C" w:rsidRDefault="00F91566"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4 189</w:t>
            </w:r>
          </w:p>
        </w:tc>
      </w:tr>
      <w:tr w:rsidR="00D81182" w:rsidRPr="00663B7C" w14:paraId="553E8B0E" w14:textId="77777777" w:rsidTr="00944CB1">
        <w:tc>
          <w:tcPr>
            <w:tcW w:w="4503" w:type="dxa"/>
            <w:vAlign w:val="center"/>
          </w:tcPr>
          <w:p w14:paraId="7BF7851E" w14:textId="77777777" w:rsidR="00D81182" w:rsidRPr="00663B7C" w:rsidRDefault="00D8118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Доля детей и подростков в возрасте 0-17 лет в общем числе международных мигрантов, %</w:t>
            </w:r>
          </w:p>
        </w:tc>
        <w:tc>
          <w:tcPr>
            <w:tcW w:w="2126" w:type="dxa"/>
            <w:vAlign w:val="center"/>
          </w:tcPr>
          <w:p w14:paraId="61BAC3E3"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5,9</w:t>
            </w:r>
          </w:p>
        </w:tc>
        <w:tc>
          <w:tcPr>
            <w:tcW w:w="1931" w:type="dxa"/>
            <w:vAlign w:val="center"/>
          </w:tcPr>
          <w:p w14:paraId="54F9BC32"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5,9</w:t>
            </w:r>
          </w:p>
        </w:tc>
        <w:tc>
          <w:tcPr>
            <w:tcW w:w="1593" w:type="dxa"/>
            <w:vAlign w:val="center"/>
          </w:tcPr>
          <w:p w14:paraId="0BB5B71D" w14:textId="77777777" w:rsidR="00D81182" w:rsidRPr="00663B7C" w:rsidRDefault="00F91566"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r>
      <w:tr w:rsidR="00D81182" w:rsidRPr="00663B7C" w14:paraId="7AB11B52" w14:textId="77777777" w:rsidTr="00944CB1">
        <w:trPr>
          <w:trHeight w:val="447"/>
        </w:trPr>
        <w:tc>
          <w:tcPr>
            <w:tcW w:w="10153" w:type="dxa"/>
            <w:gridSpan w:val="4"/>
            <w:vAlign w:val="center"/>
          </w:tcPr>
          <w:p w14:paraId="5B6988C7" w14:textId="77777777" w:rsidR="00D81182" w:rsidRPr="00663B7C" w:rsidRDefault="00D8118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Выбывшие</w:t>
            </w:r>
          </w:p>
        </w:tc>
      </w:tr>
      <w:tr w:rsidR="00D81182" w:rsidRPr="00663B7C" w14:paraId="6A6B91AA" w14:textId="77777777" w:rsidTr="00944CB1">
        <w:tc>
          <w:tcPr>
            <w:tcW w:w="4503" w:type="dxa"/>
            <w:vAlign w:val="center"/>
          </w:tcPr>
          <w:p w14:paraId="7772219B" w14:textId="77777777" w:rsidR="00D81182" w:rsidRPr="00663B7C" w:rsidRDefault="00D81182" w:rsidP="00D03A4F">
            <w:pPr>
              <w:spacing w:after="0" w:line="240" w:lineRule="auto"/>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Число выбывших за пределы России - всего</w:t>
            </w:r>
          </w:p>
        </w:tc>
        <w:tc>
          <w:tcPr>
            <w:tcW w:w="2126" w:type="dxa"/>
            <w:vAlign w:val="center"/>
          </w:tcPr>
          <w:p w14:paraId="70802B38" w14:textId="77777777" w:rsidR="00D81182" w:rsidRPr="00663B7C" w:rsidRDefault="00D81182" w:rsidP="00D81182">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416 131</w:t>
            </w:r>
          </w:p>
        </w:tc>
        <w:tc>
          <w:tcPr>
            <w:tcW w:w="1931" w:type="dxa"/>
            <w:vAlign w:val="center"/>
          </w:tcPr>
          <w:p w14:paraId="0007038D" w14:textId="77777777" w:rsidR="00D81182" w:rsidRPr="00663B7C" w:rsidRDefault="00D81182" w:rsidP="00D81182">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487 672</w:t>
            </w:r>
          </w:p>
        </w:tc>
        <w:tc>
          <w:tcPr>
            <w:tcW w:w="1593" w:type="dxa"/>
            <w:vAlign w:val="center"/>
          </w:tcPr>
          <w:p w14:paraId="281FE39C" w14:textId="77777777" w:rsidR="00D81182" w:rsidRPr="00663B7C" w:rsidRDefault="00F66D95" w:rsidP="00D03A4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238 020</w:t>
            </w:r>
          </w:p>
        </w:tc>
      </w:tr>
      <w:tr w:rsidR="00D81182" w:rsidRPr="00663B7C" w14:paraId="68098933" w14:textId="77777777" w:rsidTr="00944CB1">
        <w:tc>
          <w:tcPr>
            <w:tcW w:w="4503" w:type="dxa"/>
            <w:vAlign w:val="center"/>
          </w:tcPr>
          <w:p w14:paraId="3BC024DD" w14:textId="77777777" w:rsidR="00D81182" w:rsidRPr="00663B7C" w:rsidRDefault="00D8118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14:paraId="555300A9"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14:paraId="6C4D2D15"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14:paraId="67C768BA" w14:textId="77777777" w:rsidR="00D81182" w:rsidRPr="00663B7C" w:rsidRDefault="00D81182" w:rsidP="00D03A4F">
            <w:pPr>
              <w:spacing w:after="0" w:line="240" w:lineRule="auto"/>
              <w:jc w:val="center"/>
              <w:rPr>
                <w:rFonts w:ascii="Times New Roman" w:eastAsia="Times New Roman" w:hAnsi="Times New Roman" w:cs="Times New Roman"/>
                <w:sz w:val="24"/>
                <w:szCs w:val="24"/>
                <w:lang w:eastAsia="ru-RU"/>
              </w:rPr>
            </w:pPr>
          </w:p>
        </w:tc>
      </w:tr>
      <w:tr w:rsidR="00D81182" w:rsidRPr="00663B7C" w14:paraId="311B0D7C" w14:textId="77777777" w:rsidTr="00944CB1">
        <w:trPr>
          <w:trHeight w:val="409"/>
        </w:trPr>
        <w:tc>
          <w:tcPr>
            <w:tcW w:w="4503" w:type="dxa"/>
            <w:vAlign w:val="center"/>
          </w:tcPr>
          <w:p w14:paraId="50E15D5E" w14:textId="77777777" w:rsidR="00D81182" w:rsidRPr="00663B7C" w:rsidRDefault="00D8118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0-5</w:t>
            </w:r>
          </w:p>
        </w:tc>
        <w:tc>
          <w:tcPr>
            <w:tcW w:w="2126" w:type="dxa"/>
            <w:vAlign w:val="center"/>
          </w:tcPr>
          <w:p w14:paraId="70C7B1F1"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9 121</w:t>
            </w:r>
          </w:p>
        </w:tc>
        <w:tc>
          <w:tcPr>
            <w:tcW w:w="1931" w:type="dxa"/>
            <w:vAlign w:val="center"/>
          </w:tcPr>
          <w:p w14:paraId="38025FBD"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9 381</w:t>
            </w:r>
          </w:p>
        </w:tc>
        <w:tc>
          <w:tcPr>
            <w:tcW w:w="1593" w:type="dxa"/>
            <w:vAlign w:val="center"/>
          </w:tcPr>
          <w:p w14:paraId="4E1FB2CC" w14:textId="77777777" w:rsidR="00D81182" w:rsidRPr="00663B7C" w:rsidRDefault="00F66D95"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4 655</w:t>
            </w:r>
          </w:p>
        </w:tc>
      </w:tr>
      <w:tr w:rsidR="00D81182" w:rsidRPr="00663B7C" w14:paraId="609432B1" w14:textId="77777777" w:rsidTr="00944CB1">
        <w:trPr>
          <w:trHeight w:val="415"/>
        </w:trPr>
        <w:tc>
          <w:tcPr>
            <w:tcW w:w="4503" w:type="dxa"/>
            <w:vAlign w:val="center"/>
          </w:tcPr>
          <w:p w14:paraId="75E10B8F" w14:textId="77777777" w:rsidR="00D81182" w:rsidRPr="00663B7C" w:rsidRDefault="00D8118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6-13</w:t>
            </w:r>
          </w:p>
        </w:tc>
        <w:tc>
          <w:tcPr>
            <w:tcW w:w="2126" w:type="dxa"/>
            <w:vAlign w:val="center"/>
          </w:tcPr>
          <w:p w14:paraId="55857205"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22 408</w:t>
            </w:r>
          </w:p>
        </w:tc>
        <w:tc>
          <w:tcPr>
            <w:tcW w:w="1931" w:type="dxa"/>
            <w:vAlign w:val="center"/>
          </w:tcPr>
          <w:p w14:paraId="7B741A6E"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23 027</w:t>
            </w:r>
          </w:p>
        </w:tc>
        <w:tc>
          <w:tcPr>
            <w:tcW w:w="1593" w:type="dxa"/>
            <w:vAlign w:val="center"/>
          </w:tcPr>
          <w:p w14:paraId="3026EE64" w14:textId="77777777" w:rsidR="00D81182" w:rsidRPr="00663B7C" w:rsidRDefault="00F66D95"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12 719</w:t>
            </w:r>
          </w:p>
        </w:tc>
      </w:tr>
      <w:tr w:rsidR="00D81182" w:rsidRPr="00663B7C" w14:paraId="36FF30B3" w14:textId="77777777" w:rsidTr="00944CB1">
        <w:trPr>
          <w:trHeight w:val="407"/>
        </w:trPr>
        <w:tc>
          <w:tcPr>
            <w:tcW w:w="4503" w:type="dxa"/>
            <w:vAlign w:val="center"/>
          </w:tcPr>
          <w:p w14:paraId="30698B44" w14:textId="77777777" w:rsidR="00D81182" w:rsidRPr="00663B7C" w:rsidRDefault="00D8118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14-17</w:t>
            </w:r>
          </w:p>
        </w:tc>
        <w:tc>
          <w:tcPr>
            <w:tcW w:w="2126" w:type="dxa"/>
            <w:vAlign w:val="center"/>
          </w:tcPr>
          <w:p w14:paraId="5C1076CF"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9 846</w:t>
            </w:r>
          </w:p>
        </w:tc>
        <w:tc>
          <w:tcPr>
            <w:tcW w:w="1931" w:type="dxa"/>
            <w:vAlign w:val="center"/>
          </w:tcPr>
          <w:p w14:paraId="7EAACB7F"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10 699</w:t>
            </w:r>
          </w:p>
        </w:tc>
        <w:tc>
          <w:tcPr>
            <w:tcW w:w="1593" w:type="dxa"/>
            <w:vAlign w:val="center"/>
          </w:tcPr>
          <w:p w14:paraId="794DC157" w14:textId="77777777" w:rsidR="00D81182" w:rsidRPr="00663B7C" w:rsidRDefault="00F66D95"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5 414</w:t>
            </w:r>
          </w:p>
        </w:tc>
      </w:tr>
      <w:tr w:rsidR="00D81182" w:rsidRPr="00663B7C" w14:paraId="4FAD1171" w14:textId="77777777" w:rsidTr="00944CB1">
        <w:tc>
          <w:tcPr>
            <w:tcW w:w="4503" w:type="dxa"/>
            <w:vAlign w:val="center"/>
          </w:tcPr>
          <w:p w14:paraId="76FC13DF" w14:textId="77777777" w:rsidR="00D81182" w:rsidRPr="00663B7C" w:rsidRDefault="00D8118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0-17</w:t>
            </w:r>
          </w:p>
        </w:tc>
        <w:tc>
          <w:tcPr>
            <w:tcW w:w="2126" w:type="dxa"/>
            <w:vAlign w:val="center"/>
          </w:tcPr>
          <w:p w14:paraId="3F9351D7"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41 375</w:t>
            </w:r>
          </w:p>
        </w:tc>
        <w:tc>
          <w:tcPr>
            <w:tcW w:w="1931" w:type="dxa"/>
            <w:vAlign w:val="center"/>
          </w:tcPr>
          <w:p w14:paraId="11B77A74"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43 107</w:t>
            </w:r>
          </w:p>
        </w:tc>
        <w:tc>
          <w:tcPr>
            <w:tcW w:w="1593" w:type="dxa"/>
            <w:vAlign w:val="center"/>
          </w:tcPr>
          <w:p w14:paraId="46E16358" w14:textId="77777777" w:rsidR="00D81182" w:rsidRPr="00663B7C" w:rsidRDefault="00F66D95"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22 788</w:t>
            </w:r>
          </w:p>
        </w:tc>
      </w:tr>
      <w:tr w:rsidR="00D81182" w:rsidRPr="00663B7C" w14:paraId="117DBDE0" w14:textId="77777777" w:rsidTr="00944CB1">
        <w:tc>
          <w:tcPr>
            <w:tcW w:w="4503" w:type="dxa"/>
            <w:vAlign w:val="center"/>
          </w:tcPr>
          <w:p w14:paraId="3D82FA29" w14:textId="77777777" w:rsidR="00D81182" w:rsidRPr="00663B7C" w:rsidRDefault="00D8118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Доля детей и подростков в возрасте 0-17 лет в общем числе международных мигрантов, %</w:t>
            </w:r>
          </w:p>
        </w:tc>
        <w:tc>
          <w:tcPr>
            <w:tcW w:w="2126" w:type="dxa"/>
            <w:vAlign w:val="center"/>
          </w:tcPr>
          <w:p w14:paraId="64C3D620"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9,9</w:t>
            </w:r>
          </w:p>
        </w:tc>
        <w:tc>
          <w:tcPr>
            <w:tcW w:w="1931" w:type="dxa"/>
            <w:vAlign w:val="center"/>
          </w:tcPr>
          <w:p w14:paraId="47FA84A8"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8,8</w:t>
            </w:r>
          </w:p>
        </w:tc>
        <w:tc>
          <w:tcPr>
            <w:tcW w:w="1593" w:type="dxa"/>
            <w:vAlign w:val="center"/>
          </w:tcPr>
          <w:p w14:paraId="70C0049C" w14:textId="77777777" w:rsidR="00D81182" w:rsidRPr="00663B7C" w:rsidRDefault="00F66D95"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r>
      <w:tr w:rsidR="00D81182" w:rsidRPr="00663B7C" w14:paraId="34CF2C0D" w14:textId="77777777" w:rsidTr="00944CB1">
        <w:tc>
          <w:tcPr>
            <w:tcW w:w="4503" w:type="dxa"/>
            <w:vAlign w:val="center"/>
          </w:tcPr>
          <w:p w14:paraId="1FE9EEC1" w14:textId="77777777" w:rsidR="00D81182" w:rsidRPr="00663B7C" w:rsidRDefault="00D81182" w:rsidP="00D03A4F">
            <w:pPr>
              <w:spacing w:after="0" w:line="240" w:lineRule="auto"/>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Число выбывших в страны СНГ - всего</w:t>
            </w:r>
          </w:p>
        </w:tc>
        <w:tc>
          <w:tcPr>
            <w:tcW w:w="2126" w:type="dxa"/>
            <w:vAlign w:val="center"/>
          </w:tcPr>
          <w:p w14:paraId="6C791450" w14:textId="77777777" w:rsidR="00D81182" w:rsidRPr="00663B7C" w:rsidRDefault="00D81182" w:rsidP="00D81182">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361 997</w:t>
            </w:r>
          </w:p>
        </w:tc>
        <w:tc>
          <w:tcPr>
            <w:tcW w:w="1931" w:type="dxa"/>
            <w:vAlign w:val="center"/>
          </w:tcPr>
          <w:p w14:paraId="7C0D35B9" w14:textId="77777777" w:rsidR="00D81182" w:rsidRPr="00663B7C" w:rsidRDefault="00D81182" w:rsidP="00D81182">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417 059</w:t>
            </w:r>
          </w:p>
        </w:tc>
        <w:tc>
          <w:tcPr>
            <w:tcW w:w="1593" w:type="dxa"/>
            <w:vAlign w:val="center"/>
          </w:tcPr>
          <w:p w14:paraId="21D2F35E" w14:textId="77777777" w:rsidR="00D81182" w:rsidRPr="00663B7C" w:rsidRDefault="00F66D95" w:rsidP="00D03A4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210 345</w:t>
            </w:r>
          </w:p>
        </w:tc>
      </w:tr>
      <w:tr w:rsidR="00D81182" w:rsidRPr="00663B7C" w14:paraId="403780E3" w14:textId="77777777" w:rsidTr="00944CB1">
        <w:trPr>
          <w:trHeight w:val="417"/>
        </w:trPr>
        <w:tc>
          <w:tcPr>
            <w:tcW w:w="4503" w:type="dxa"/>
            <w:vAlign w:val="center"/>
          </w:tcPr>
          <w:p w14:paraId="0AD9AC78" w14:textId="77777777" w:rsidR="00D81182" w:rsidRPr="00663B7C" w:rsidRDefault="00D8118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14:paraId="5BBA1E7B"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14:paraId="0E3038F1"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14:paraId="6B052A5F" w14:textId="77777777" w:rsidR="00D81182" w:rsidRPr="00663B7C" w:rsidRDefault="00D81182" w:rsidP="00D03A4F">
            <w:pPr>
              <w:spacing w:after="0" w:line="240" w:lineRule="auto"/>
              <w:jc w:val="center"/>
              <w:rPr>
                <w:rFonts w:ascii="Times New Roman" w:eastAsia="Times New Roman" w:hAnsi="Times New Roman" w:cs="Times New Roman"/>
                <w:sz w:val="24"/>
                <w:szCs w:val="24"/>
                <w:lang w:eastAsia="ru-RU"/>
              </w:rPr>
            </w:pPr>
          </w:p>
        </w:tc>
      </w:tr>
      <w:tr w:rsidR="00D81182" w:rsidRPr="00663B7C" w14:paraId="5CC23CB5" w14:textId="77777777" w:rsidTr="00944CB1">
        <w:trPr>
          <w:trHeight w:val="407"/>
        </w:trPr>
        <w:tc>
          <w:tcPr>
            <w:tcW w:w="4503" w:type="dxa"/>
            <w:vAlign w:val="center"/>
          </w:tcPr>
          <w:p w14:paraId="2C586067" w14:textId="77777777" w:rsidR="00D81182" w:rsidRPr="00663B7C" w:rsidRDefault="00D8118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0-5</w:t>
            </w:r>
          </w:p>
        </w:tc>
        <w:tc>
          <w:tcPr>
            <w:tcW w:w="2126" w:type="dxa"/>
            <w:vAlign w:val="center"/>
          </w:tcPr>
          <w:p w14:paraId="55772463"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8 140</w:t>
            </w:r>
          </w:p>
        </w:tc>
        <w:tc>
          <w:tcPr>
            <w:tcW w:w="1931" w:type="dxa"/>
            <w:vAlign w:val="center"/>
          </w:tcPr>
          <w:p w14:paraId="56BBC30E"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8 458</w:t>
            </w:r>
          </w:p>
        </w:tc>
        <w:tc>
          <w:tcPr>
            <w:tcW w:w="1593" w:type="dxa"/>
            <w:vAlign w:val="center"/>
          </w:tcPr>
          <w:p w14:paraId="7C36C8CC" w14:textId="77777777" w:rsidR="00D81182" w:rsidRPr="00663B7C" w:rsidRDefault="00F66D95"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4 082</w:t>
            </w:r>
          </w:p>
        </w:tc>
      </w:tr>
      <w:tr w:rsidR="00D81182" w:rsidRPr="00663B7C" w14:paraId="65C7E571" w14:textId="77777777" w:rsidTr="00944CB1">
        <w:tc>
          <w:tcPr>
            <w:tcW w:w="4503" w:type="dxa"/>
            <w:vAlign w:val="center"/>
          </w:tcPr>
          <w:p w14:paraId="229FDCAC" w14:textId="77777777" w:rsidR="00D81182" w:rsidRPr="00663B7C" w:rsidRDefault="00D8118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6-13</w:t>
            </w:r>
          </w:p>
        </w:tc>
        <w:tc>
          <w:tcPr>
            <w:tcW w:w="2126" w:type="dxa"/>
            <w:vAlign w:val="center"/>
          </w:tcPr>
          <w:p w14:paraId="69E1820E"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20 804</w:t>
            </w:r>
          </w:p>
        </w:tc>
        <w:tc>
          <w:tcPr>
            <w:tcW w:w="1931" w:type="dxa"/>
            <w:vAlign w:val="center"/>
          </w:tcPr>
          <w:p w14:paraId="0B474F8C"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21 601</w:t>
            </w:r>
          </w:p>
        </w:tc>
        <w:tc>
          <w:tcPr>
            <w:tcW w:w="1593" w:type="dxa"/>
            <w:vAlign w:val="center"/>
          </w:tcPr>
          <w:p w14:paraId="49C35605" w14:textId="77777777" w:rsidR="00D81182" w:rsidRPr="00663B7C" w:rsidRDefault="00F66D95"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11 660</w:t>
            </w:r>
          </w:p>
        </w:tc>
      </w:tr>
      <w:tr w:rsidR="00D81182" w:rsidRPr="00663B7C" w14:paraId="1F6E1266" w14:textId="77777777" w:rsidTr="00944CB1">
        <w:tc>
          <w:tcPr>
            <w:tcW w:w="4503" w:type="dxa"/>
            <w:vAlign w:val="center"/>
          </w:tcPr>
          <w:p w14:paraId="40BA01E8" w14:textId="77777777" w:rsidR="00D81182" w:rsidRPr="00663B7C" w:rsidRDefault="00D8118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14-17</w:t>
            </w:r>
          </w:p>
        </w:tc>
        <w:tc>
          <w:tcPr>
            <w:tcW w:w="2126" w:type="dxa"/>
            <w:vAlign w:val="center"/>
          </w:tcPr>
          <w:p w14:paraId="3AE803AA"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8 871</w:t>
            </w:r>
          </w:p>
        </w:tc>
        <w:tc>
          <w:tcPr>
            <w:tcW w:w="1931" w:type="dxa"/>
            <w:vAlign w:val="center"/>
          </w:tcPr>
          <w:p w14:paraId="71E15730"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9 775</w:t>
            </w:r>
          </w:p>
        </w:tc>
        <w:tc>
          <w:tcPr>
            <w:tcW w:w="1593" w:type="dxa"/>
            <w:vAlign w:val="center"/>
          </w:tcPr>
          <w:p w14:paraId="6CDAC2BF" w14:textId="77777777" w:rsidR="00D81182" w:rsidRPr="00663B7C" w:rsidRDefault="00F66D95"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4 939</w:t>
            </w:r>
          </w:p>
        </w:tc>
      </w:tr>
      <w:tr w:rsidR="00D81182" w:rsidRPr="00663B7C" w14:paraId="6D012A04" w14:textId="77777777" w:rsidTr="00944CB1">
        <w:tc>
          <w:tcPr>
            <w:tcW w:w="4503" w:type="dxa"/>
            <w:vAlign w:val="center"/>
          </w:tcPr>
          <w:p w14:paraId="5CC49404" w14:textId="77777777" w:rsidR="00D81182" w:rsidRPr="00663B7C" w:rsidRDefault="00D8118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0-17</w:t>
            </w:r>
          </w:p>
        </w:tc>
        <w:tc>
          <w:tcPr>
            <w:tcW w:w="2126" w:type="dxa"/>
            <w:vAlign w:val="center"/>
          </w:tcPr>
          <w:p w14:paraId="7C6F49CC"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37 815</w:t>
            </w:r>
          </w:p>
        </w:tc>
        <w:tc>
          <w:tcPr>
            <w:tcW w:w="1931" w:type="dxa"/>
            <w:vAlign w:val="center"/>
          </w:tcPr>
          <w:p w14:paraId="546F09F9"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39 834</w:t>
            </w:r>
          </w:p>
        </w:tc>
        <w:tc>
          <w:tcPr>
            <w:tcW w:w="1593" w:type="dxa"/>
            <w:vAlign w:val="center"/>
          </w:tcPr>
          <w:p w14:paraId="42DE80D4" w14:textId="77777777" w:rsidR="00D81182" w:rsidRPr="00663B7C" w:rsidRDefault="00F66D95"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20 681</w:t>
            </w:r>
          </w:p>
        </w:tc>
      </w:tr>
      <w:tr w:rsidR="00D81182" w:rsidRPr="00663B7C" w14:paraId="54B99B16" w14:textId="77777777" w:rsidTr="00944CB1">
        <w:tc>
          <w:tcPr>
            <w:tcW w:w="4503" w:type="dxa"/>
            <w:vAlign w:val="center"/>
          </w:tcPr>
          <w:p w14:paraId="60B5D5F6" w14:textId="77777777" w:rsidR="00D81182" w:rsidRPr="00663B7C" w:rsidRDefault="00D8118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Доля детей и подростков в возрасте 0-17 лет в общем числе международных мигрантов, %</w:t>
            </w:r>
          </w:p>
        </w:tc>
        <w:tc>
          <w:tcPr>
            <w:tcW w:w="2126" w:type="dxa"/>
            <w:vAlign w:val="center"/>
          </w:tcPr>
          <w:p w14:paraId="3ADE179C"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10,4</w:t>
            </w:r>
          </w:p>
        </w:tc>
        <w:tc>
          <w:tcPr>
            <w:tcW w:w="1931" w:type="dxa"/>
            <w:vAlign w:val="center"/>
          </w:tcPr>
          <w:p w14:paraId="753C7BF5"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9,6</w:t>
            </w:r>
          </w:p>
        </w:tc>
        <w:tc>
          <w:tcPr>
            <w:tcW w:w="1593" w:type="dxa"/>
            <w:vAlign w:val="center"/>
          </w:tcPr>
          <w:p w14:paraId="2C6C605D" w14:textId="77777777" w:rsidR="00D81182" w:rsidRPr="00663B7C" w:rsidRDefault="00F66D95"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r>
      <w:tr w:rsidR="00D81182" w:rsidRPr="00663B7C" w14:paraId="2157342C" w14:textId="77777777" w:rsidTr="00944CB1">
        <w:trPr>
          <w:trHeight w:val="729"/>
        </w:trPr>
        <w:tc>
          <w:tcPr>
            <w:tcW w:w="4503" w:type="dxa"/>
            <w:vAlign w:val="center"/>
          </w:tcPr>
          <w:p w14:paraId="6F7F89E2" w14:textId="182F2552" w:rsidR="00D81182" w:rsidRPr="00663B7C" w:rsidRDefault="00D81182" w:rsidP="00D03A4F">
            <w:pPr>
              <w:spacing w:after="0" w:line="240" w:lineRule="auto"/>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Число выбывши</w:t>
            </w:r>
            <w:r w:rsidR="00591409">
              <w:rPr>
                <w:rFonts w:ascii="Times New Roman" w:eastAsia="Times New Roman" w:hAnsi="Times New Roman" w:cs="Times New Roman"/>
                <w:b/>
                <w:sz w:val="24"/>
                <w:szCs w:val="24"/>
                <w:lang w:eastAsia="ru-RU"/>
              </w:rPr>
              <w:t>х</w:t>
            </w:r>
            <w:r w:rsidRPr="00663B7C">
              <w:rPr>
                <w:rFonts w:ascii="Times New Roman" w:eastAsia="Times New Roman" w:hAnsi="Times New Roman" w:cs="Times New Roman"/>
                <w:b/>
                <w:sz w:val="24"/>
                <w:szCs w:val="24"/>
                <w:lang w:eastAsia="ru-RU"/>
              </w:rPr>
              <w:t xml:space="preserve"> в другие стран</w:t>
            </w:r>
            <w:r w:rsidR="00591409">
              <w:rPr>
                <w:rFonts w:ascii="Times New Roman" w:eastAsia="Times New Roman" w:hAnsi="Times New Roman" w:cs="Times New Roman"/>
                <w:b/>
                <w:sz w:val="24"/>
                <w:szCs w:val="24"/>
                <w:lang w:eastAsia="ru-RU"/>
              </w:rPr>
              <w:t>ы</w:t>
            </w:r>
            <w:r w:rsidRPr="00663B7C">
              <w:rPr>
                <w:rFonts w:ascii="Times New Roman" w:eastAsia="Times New Roman" w:hAnsi="Times New Roman" w:cs="Times New Roman"/>
                <w:b/>
                <w:sz w:val="24"/>
                <w:szCs w:val="24"/>
                <w:lang w:eastAsia="ru-RU"/>
              </w:rPr>
              <w:t xml:space="preserve"> </w:t>
            </w:r>
            <w:r w:rsidR="00591409">
              <w:rPr>
                <w:rFonts w:ascii="Times New Roman" w:eastAsia="Times New Roman" w:hAnsi="Times New Roman" w:cs="Times New Roman"/>
                <w:b/>
                <w:sz w:val="24"/>
                <w:szCs w:val="24"/>
                <w:lang w:eastAsia="ru-RU"/>
              </w:rPr>
              <w:t>–</w:t>
            </w:r>
            <w:r w:rsidRPr="00663B7C">
              <w:rPr>
                <w:rFonts w:ascii="Times New Roman" w:eastAsia="Times New Roman" w:hAnsi="Times New Roman" w:cs="Times New Roman"/>
                <w:b/>
                <w:sz w:val="24"/>
                <w:szCs w:val="24"/>
                <w:lang w:eastAsia="ru-RU"/>
              </w:rPr>
              <w:t xml:space="preserve"> всего</w:t>
            </w:r>
          </w:p>
        </w:tc>
        <w:tc>
          <w:tcPr>
            <w:tcW w:w="2126" w:type="dxa"/>
            <w:vAlign w:val="center"/>
          </w:tcPr>
          <w:p w14:paraId="0AD99CB7" w14:textId="77777777" w:rsidR="00D81182" w:rsidRPr="00663B7C" w:rsidRDefault="00D81182" w:rsidP="00D81182">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54 134</w:t>
            </w:r>
          </w:p>
        </w:tc>
        <w:tc>
          <w:tcPr>
            <w:tcW w:w="1931" w:type="dxa"/>
            <w:vAlign w:val="center"/>
          </w:tcPr>
          <w:p w14:paraId="595DC476" w14:textId="77777777" w:rsidR="00D81182" w:rsidRPr="00663B7C" w:rsidRDefault="00D81182" w:rsidP="00D81182">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70 613</w:t>
            </w:r>
          </w:p>
        </w:tc>
        <w:tc>
          <w:tcPr>
            <w:tcW w:w="1593" w:type="dxa"/>
            <w:vAlign w:val="center"/>
          </w:tcPr>
          <w:p w14:paraId="7D46D49B" w14:textId="77777777" w:rsidR="00D81182" w:rsidRPr="00663B7C" w:rsidRDefault="00F66D95" w:rsidP="00D03A4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27 675</w:t>
            </w:r>
          </w:p>
        </w:tc>
      </w:tr>
      <w:tr w:rsidR="00D81182" w:rsidRPr="00663B7C" w14:paraId="0C93CEB7" w14:textId="77777777" w:rsidTr="00944CB1">
        <w:trPr>
          <w:trHeight w:val="453"/>
        </w:trPr>
        <w:tc>
          <w:tcPr>
            <w:tcW w:w="4503" w:type="dxa"/>
            <w:vAlign w:val="center"/>
          </w:tcPr>
          <w:p w14:paraId="29794B2F" w14:textId="77777777" w:rsidR="00D81182" w:rsidRPr="00663B7C" w:rsidRDefault="00D8118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14:paraId="2D4623B1"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14:paraId="76D3FA11"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14:paraId="3D2D43EE" w14:textId="77777777" w:rsidR="00D81182" w:rsidRPr="00663B7C" w:rsidRDefault="00D81182" w:rsidP="00D42042">
            <w:pPr>
              <w:spacing w:after="0" w:line="240" w:lineRule="auto"/>
              <w:jc w:val="center"/>
              <w:rPr>
                <w:rFonts w:ascii="Times New Roman" w:eastAsia="Times New Roman" w:hAnsi="Times New Roman" w:cs="Times New Roman"/>
                <w:sz w:val="24"/>
                <w:szCs w:val="24"/>
                <w:lang w:eastAsia="ru-RU"/>
              </w:rPr>
            </w:pPr>
          </w:p>
        </w:tc>
      </w:tr>
      <w:tr w:rsidR="00D81182" w:rsidRPr="00663B7C" w14:paraId="2F849F02" w14:textId="77777777" w:rsidTr="00944CB1">
        <w:trPr>
          <w:trHeight w:val="443"/>
        </w:trPr>
        <w:tc>
          <w:tcPr>
            <w:tcW w:w="4503" w:type="dxa"/>
            <w:vAlign w:val="center"/>
          </w:tcPr>
          <w:p w14:paraId="1D6E0060" w14:textId="77777777" w:rsidR="00D81182" w:rsidRPr="00663B7C" w:rsidRDefault="00D8118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0-5</w:t>
            </w:r>
          </w:p>
        </w:tc>
        <w:tc>
          <w:tcPr>
            <w:tcW w:w="2126" w:type="dxa"/>
            <w:vAlign w:val="center"/>
          </w:tcPr>
          <w:p w14:paraId="201117B4"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981</w:t>
            </w:r>
          </w:p>
        </w:tc>
        <w:tc>
          <w:tcPr>
            <w:tcW w:w="1931" w:type="dxa"/>
            <w:vAlign w:val="center"/>
          </w:tcPr>
          <w:p w14:paraId="4AC70A0A"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923</w:t>
            </w:r>
          </w:p>
        </w:tc>
        <w:tc>
          <w:tcPr>
            <w:tcW w:w="1593" w:type="dxa"/>
            <w:vAlign w:val="center"/>
          </w:tcPr>
          <w:p w14:paraId="50D8FD92" w14:textId="77777777" w:rsidR="00D81182" w:rsidRPr="00663B7C" w:rsidRDefault="00F66D95"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573</w:t>
            </w:r>
          </w:p>
        </w:tc>
      </w:tr>
      <w:tr w:rsidR="00D81182" w:rsidRPr="00663B7C" w14:paraId="6577EB63" w14:textId="77777777" w:rsidTr="00944CB1">
        <w:trPr>
          <w:trHeight w:val="341"/>
        </w:trPr>
        <w:tc>
          <w:tcPr>
            <w:tcW w:w="4503" w:type="dxa"/>
            <w:vAlign w:val="center"/>
          </w:tcPr>
          <w:p w14:paraId="0DD4E8D2" w14:textId="77777777" w:rsidR="00D81182" w:rsidRPr="00663B7C" w:rsidRDefault="00D8118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6-13</w:t>
            </w:r>
          </w:p>
        </w:tc>
        <w:tc>
          <w:tcPr>
            <w:tcW w:w="2126" w:type="dxa"/>
            <w:vAlign w:val="center"/>
          </w:tcPr>
          <w:p w14:paraId="3BF472A4"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w:t>
            </w:r>
            <w:r w:rsidR="00F66D95">
              <w:rPr>
                <w:rFonts w:ascii="Times New Roman" w:eastAsia="Times New Roman" w:hAnsi="Times New Roman" w:cs="Times New Roman"/>
                <w:sz w:val="24"/>
                <w:szCs w:val="24"/>
                <w:lang w:eastAsia="ru-RU"/>
              </w:rPr>
              <w:t xml:space="preserve"> </w:t>
            </w:r>
            <w:r w:rsidRPr="00663B7C">
              <w:rPr>
                <w:rFonts w:ascii="Times New Roman" w:eastAsia="Times New Roman" w:hAnsi="Times New Roman" w:cs="Times New Roman"/>
                <w:sz w:val="24"/>
                <w:szCs w:val="24"/>
                <w:lang w:eastAsia="ru-RU"/>
              </w:rPr>
              <w:t>604</w:t>
            </w:r>
          </w:p>
        </w:tc>
        <w:tc>
          <w:tcPr>
            <w:tcW w:w="1931" w:type="dxa"/>
            <w:vAlign w:val="center"/>
          </w:tcPr>
          <w:p w14:paraId="2BDED9D1"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1 426</w:t>
            </w:r>
          </w:p>
        </w:tc>
        <w:tc>
          <w:tcPr>
            <w:tcW w:w="1593" w:type="dxa"/>
            <w:vAlign w:val="center"/>
          </w:tcPr>
          <w:p w14:paraId="1F56F168" w14:textId="77777777" w:rsidR="00D81182" w:rsidRPr="00663B7C" w:rsidRDefault="00F66D95"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1 059</w:t>
            </w:r>
          </w:p>
        </w:tc>
      </w:tr>
      <w:tr w:rsidR="00D81182" w:rsidRPr="00663B7C" w14:paraId="72277BB8" w14:textId="77777777" w:rsidTr="00944CB1">
        <w:trPr>
          <w:trHeight w:val="415"/>
        </w:trPr>
        <w:tc>
          <w:tcPr>
            <w:tcW w:w="4503" w:type="dxa"/>
            <w:vAlign w:val="center"/>
          </w:tcPr>
          <w:p w14:paraId="448E0F2E" w14:textId="77777777" w:rsidR="00D81182" w:rsidRPr="00663B7C" w:rsidRDefault="00D8118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14-17</w:t>
            </w:r>
          </w:p>
        </w:tc>
        <w:tc>
          <w:tcPr>
            <w:tcW w:w="2126" w:type="dxa"/>
            <w:vAlign w:val="center"/>
          </w:tcPr>
          <w:p w14:paraId="18E925DD"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975</w:t>
            </w:r>
          </w:p>
        </w:tc>
        <w:tc>
          <w:tcPr>
            <w:tcW w:w="1931" w:type="dxa"/>
            <w:vAlign w:val="center"/>
          </w:tcPr>
          <w:p w14:paraId="435E5412"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924</w:t>
            </w:r>
          </w:p>
        </w:tc>
        <w:tc>
          <w:tcPr>
            <w:tcW w:w="1593" w:type="dxa"/>
            <w:vAlign w:val="center"/>
          </w:tcPr>
          <w:p w14:paraId="14CC06A4" w14:textId="77777777" w:rsidR="00D81182" w:rsidRPr="00663B7C" w:rsidRDefault="00F66D95"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475</w:t>
            </w:r>
          </w:p>
        </w:tc>
      </w:tr>
      <w:tr w:rsidR="00D81182" w:rsidRPr="00663B7C" w14:paraId="407D97BC" w14:textId="77777777" w:rsidTr="00944CB1">
        <w:trPr>
          <w:trHeight w:val="420"/>
        </w:trPr>
        <w:tc>
          <w:tcPr>
            <w:tcW w:w="4503" w:type="dxa"/>
            <w:vAlign w:val="center"/>
          </w:tcPr>
          <w:p w14:paraId="6FC2403F" w14:textId="77777777" w:rsidR="00D81182" w:rsidRPr="00663B7C" w:rsidRDefault="00D8118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0-17</w:t>
            </w:r>
          </w:p>
        </w:tc>
        <w:tc>
          <w:tcPr>
            <w:tcW w:w="2126" w:type="dxa"/>
            <w:vAlign w:val="center"/>
          </w:tcPr>
          <w:p w14:paraId="0A279B37"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3560</w:t>
            </w:r>
          </w:p>
        </w:tc>
        <w:tc>
          <w:tcPr>
            <w:tcW w:w="1931" w:type="dxa"/>
            <w:vAlign w:val="center"/>
          </w:tcPr>
          <w:p w14:paraId="2C7A36DE"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3 273</w:t>
            </w:r>
          </w:p>
        </w:tc>
        <w:tc>
          <w:tcPr>
            <w:tcW w:w="1593" w:type="dxa"/>
            <w:vAlign w:val="center"/>
          </w:tcPr>
          <w:p w14:paraId="6797AABA" w14:textId="77777777" w:rsidR="00D81182" w:rsidRPr="00663B7C" w:rsidRDefault="00F66D95"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2 107</w:t>
            </w:r>
          </w:p>
        </w:tc>
      </w:tr>
      <w:tr w:rsidR="00D81182" w:rsidRPr="00663B7C" w14:paraId="29851BD9" w14:textId="77777777" w:rsidTr="00944CB1">
        <w:tc>
          <w:tcPr>
            <w:tcW w:w="4503" w:type="dxa"/>
            <w:vAlign w:val="center"/>
          </w:tcPr>
          <w:p w14:paraId="2D32CBEF" w14:textId="77777777" w:rsidR="00D81182" w:rsidRPr="00663B7C" w:rsidRDefault="00D8118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Доля детей и подростков в возрасте 0-17 лет в общем числе международных мигрантов, %</w:t>
            </w:r>
          </w:p>
        </w:tc>
        <w:tc>
          <w:tcPr>
            <w:tcW w:w="2126" w:type="dxa"/>
            <w:vAlign w:val="center"/>
          </w:tcPr>
          <w:p w14:paraId="10C651FD"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6,6</w:t>
            </w:r>
          </w:p>
        </w:tc>
        <w:tc>
          <w:tcPr>
            <w:tcW w:w="1931" w:type="dxa"/>
            <w:vAlign w:val="center"/>
          </w:tcPr>
          <w:p w14:paraId="2344194C"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4,6</w:t>
            </w:r>
          </w:p>
        </w:tc>
        <w:tc>
          <w:tcPr>
            <w:tcW w:w="1593" w:type="dxa"/>
            <w:vAlign w:val="center"/>
          </w:tcPr>
          <w:p w14:paraId="068B4FE8" w14:textId="77777777" w:rsidR="00D81182" w:rsidRPr="00663B7C" w:rsidRDefault="00F66D95"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r>
      <w:tr w:rsidR="00D81182" w:rsidRPr="00663B7C" w14:paraId="37F608F4" w14:textId="77777777" w:rsidTr="00944CB1">
        <w:trPr>
          <w:trHeight w:val="437"/>
        </w:trPr>
        <w:tc>
          <w:tcPr>
            <w:tcW w:w="10153" w:type="dxa"/>
            <w:gridSpan w:val="4"/>
            <w:vAlign w:val="center"/>
          </w:tcPr>
          <w:p w14:paraId="728A1FE2" w14:textId="77777777" w:rsidR="00D81182" w:rsidRPr="00663B7C" w:rsidRDefault="00D81182" w:rsidP="00D03A4F">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Миграционный прирост</w:t>
            </w:r>
          </w:p>
        </w:tc>
      </w:tr>
      <w:tr w:rsidR="00D81182" w:rsidRPr="00663B7C" w14:paraId="5DADA44A" w14:textId="77777777" w:rsidTr="00944CB1">
        <w:tc>
          <w:tcPr>
            <w:tcW w:w="4503" w:type="dxa"/>
            <w:vAlign w:val="center"/>
          </w:tcPr>
          <w:p w14:paraId="74C24930" w14:textId="10E5632B" w:rsidR="00D81182" w:rsidRPr="00663B7C" w:rsidRDefault="00D81182" w:rsidP="00D03A4F">
            <w:pPr>
              <w:spacing w:after="0" w:line="240" w:lineRule="auto"/>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 xml:space="preserve">Миграционный прирост населения России </w:t>
            </w:r>
            <w:r w:rsidR="00591409">
              <w:rPr>
                <w:rFonts w:ascii="Times New Roman" w:eastAsia="Times New Roman" w:hAnsi="Times New Roman" w:cs="Times New Roman"/>
                <w:b/>
                <w:sz w:val="24"/>
                <w:szCs w:val="24"/>
                <w:lang w:eastAsia="ru-RU"/>
              </w:rPr>
              <w:t>–</w:t>
            </w:r>
            <w:r w:rsidRPr="00663B7C">
              <w:rPr>
                <w:rFonts w:ascii="Times New Roman" w:eastAsia="Times New Roman" w:hAnsi="Times New Roman" w:cs="Times New Roman"/>
                <w:b/>
                <w:sz w:val="24"/>
                <w:szCs w:val="24"/>
                <w:lang w:eastAsia="ru-RU"/>
              </w:rPr>
              <w:t xml:space="preserve"> всего</w:t>
            </w:r>
          </w:p>
        </w:tc>
        <w:tc>
          <w:tcPr>
            <w:tcW w:w="2126" w:type="dxa"/>
            <w:vAlign w:val="center"/>
          </w:tcPr>
          <w:p w14:paraId="5C7E9A64" w14:textId="77777777" w:rsidR="00D81182" w:rsidRPr="00663B7C" w:rsidRDefault="00D81182" w:rsidP="00D81182">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285 103</w:t>
            </w:r>
          </w:p>
        </w:tc>
        <w:tc>
          <w:tcPr>
            <w:tcW w:w="1931" w:type="dxa"/>
            <w:vAlign w:val="center"/>
          </w:tcPr>
          <w:p w14:paraId="7FF5D427" w14:textId="77777777" w:rsidR="00D81182" w:rsidRPr="00663B7C" w:rsidRDefault="00D81182" w:rsidP="00D81182">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106 474</w:t>
            </w:r>
          </w:p>
        </w:tc>
        <w:tc>
          <w:tcPr>
            <w:tcW w:w="1593" w:type="dxa"/>
            <w:vAlign w:val="center"/>
          </w:tcPr>
          <w:p w14:paraId="14D8D69B" w14:textId="77777777" w:rsidR="00D81182" w:rsidRPr="00663B7C" w:rsidRDefault="00F66D95" w:rsidP="00D03A4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429 902</w:t>
            </w:r>
          </w:p>
        </w:tc>
      </w:tr>
      <w:tr w:rsidR="00D81182" w:rsidRPr="00663B7C" w14:paraId="24F77772" w14:textId="77777777" w:rsidTr="00944CB1">
        <w:tc>
          <w:tcPr>
            <w:tcW w:w="4503" w:type="dxa"/>
            <w:vAlign w:val="center"/>
          </w:tcPr>
          <w:p w14:paraId="69849C9F" w14:textId="77777777" w:rsidR="00D81182" w:rsidRPr="00663B7C" w:rsidRDefault="00D8118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14:paraId="1F7975A0"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14:paraId="11A24A41"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14:paraId="1A074BE6" w14:textId="77777777" w:rsidR="00D81182" w:rsidRPr="00663B7C" w:rsidRDefault="00D81182" w:rsidP="00D03A4F">
            <w:pPr>
              <w:spacing w:after="0" w:line="240" w:lineRule="auto"/>
              <w:jc w:val="center"/>
              <w:rPr>
                <w:rFonts w:ascii="Times New Roman" w:eastAsia="Times New Roman" w:hAnsi="Times New Roman" w:cs="Times New Roman"/>
                <w:sz w:val="24"/>
                <w:szCs w:val="24"/>
                <w:lang w:eastAsia="ru-RU"/>
              </w:rPr>
            </w:pPr>
          </w:p>
        </w:tc>
      </w:tr>
      <w:tr w:rsidR="00D81182" w:rsidRPr="00663B7C" w14:paraId="0137C6D1" w14:textId="77777777" w:rsidTr="00944CB1">
        <w:trPr>
          <w:trHeight w:val="400"/>
        </w:trPr>
        <w:tc>
          <w:tcPr>
            <w:tcW w:w="4503" w:type="dxa"/>
            <w:vAlign w:val="center"/>
          </w:tcPr>
          <w:p w14:paraId="44AE0F6E" w14:textId="77777777" w:rsidR="00D81182" w:rsidRPr="00663B7C" w:rsidRDefault="00D8118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0-5</w:t>
            </w:r>
          </w:p>
        </w:tc>
        <w:tc>
          <w:tcPr>
            <w:tcW w:w="2126" w:type="dxa"/>
            <w:vAlign w:val="center"/>
          </w:tcPr>
          <w:p w14:paraId="6492BF95"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12</w:t>
            </w:r>
            <w:r w:rsidR="00F66D95">
              <w:rPr>
                <w:rFonts w:ascii="Times New Roman" w:eastAsia="Times New Roman" w:hAnsi="Times New Roman" w:cs="Times New Roman"/>
                <w:sz w:val="24"/>
                <w:szCs w:val="24"/>
                <w:lang w:eastAsia="ru-RU"/>
              </w:rPr>
              <w:t xml:space="preserve"> </w:t>
            </w:r>
            <w:r w:rsidRPr="00663B7C">
              <w:rPr>
                <w:rFonts w:ascii="Times New Roman" w:eastAsia="Times New Roman" w:hAnsi="Times New Roman" w:cs="Times New Roman"/>
                <w:sz w:val="24"/>
                <w:szCs w:val="24"/>
                <w:lang w:eastAsia="ru-RU"/>
              </w:rPr>
              <w:t>121</w:t>
            </w:r>
          </w:p>
        </w:tc>
        <w:tc>
          <w:tcPr>
            <w:tcW w:w="1931" w:type="dxa"/>
            <w:vAlign w:val="center"/>
          </w:tcPr>
          <w:p w14:paraId="6CCCA20D"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8</w:t>
            </w:r>
            <w:r w:rsidR="00F66D95">
              <w:rPr>
                <w:rFonts w:ascii="Times New Roman" w:eastAsia="Times New Roman" w:hAnsi="Times New Roman" w:cs="Times New Roman"/>
                <w:sz w:val="24"/>
                <w:szCs w:val="24"/>
                <w:lang w:eastAsia="ru-RU"/>
              </w:rPr>
              <w:t> </w:t>
            </w:r>
            <w:r w:rsidRPr="00663B7C">
              <w:rPr>
                <w:rFonts w:ascii="Times New Roman" w:eastAsia="Times New Roman" w:hAnsi="Times New Roman" w:cs="Times New Roman"/>
                <w:sz w:val="24"/>
                <w:szCs w:val="24"/>
                <w:lang w:eastAsia="ru-RU"/>
              </w:rPr>
              <w:t>106</w:t>
            </w:r>
          </w:p>
        </w:tc>
        <w:tc>
          <w:tcPr>
            <w:tcW w:w="1593" w:type="dxa"/>
            <w:vAlign w:val="center"/>
          </w:tcPr>
          <w:p w14:paraId="0171AE49" w14:textId="77777777" w:rsidR="00D81182" w:rsidRPr="00663B7C" w:rsidRDefault="00F66D95"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15 921</w:t>
            </w:r>
          </w:p>
        </w:tc>
      </w:tr>
      <w:tr w:rsidR="00D81182" w:rsidRPr="00663B7C" w14:paraId="392B71AB" w14:textId="77777777" w:rsidTr="00944CB1">
        <w:trPr>
          <w:trHeight w:val="419"/>
        </w:trPr>
        <w:tc>
          <w:tcPr>
            <w:tcW w:w="4503" w:type="dxa"/>
            <w:vAlign w:val="center"/>
          </w:tcPr>
          <w:p w14:paraId="53D2FE6B" w14:textId="77777777" w:rsidR="00D81182" w:rsidRPr="00663B7C" w:rsidRDefault="00D8118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6-13</w:t>
            </w:r>
          </w:p>
        </w:tc>
        <w:tc>
          <w:tcPr>
            <w:tcW w:w="2126" w:type="dxa"/>
            <w:vAlign w:val="center"/>
          </w:tcPr>
          <w:p w14:paraId="60772094"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15</w:t>
            </w:r>
            <w:r w:rsidR="00F66D95">
              <w:rPr>
                <w:rFonts w:ascii="Times New Roman" w:eastAsia="Times New Roman" w:hAnsi="Times New Roman" w:cs="Times New Roman"/>
                <w:sz w:val="24"/>
                <w:szCs w:val="24"/>
                <w:lang w:eastAsia="ru-RU"/>
              </w:rPr>
              <w:t xml:space="preserve"> </w:t>
            </w:r>
            <w:r w:rsidRPr="00663B7C">
              <w:rPr>
                <w:rFonts w:ascii="Times New Roman" w:eastAsia="Times New Roman" w:hAnsi="Times New Roman" w:cs="Times New Roman"/>
                <w:sz w:val="24"/>
                <w:szCs w:val="24"/>
                <w:lang w:eastAsia="ru-RU"/>
              </w:rPr>
              <w:t>223</w:t>
            </w:r>
          </w:p>
        </w:tc>
        <w:tc>
          <w:tcPr>
            <w:tcW w:w="1931" w:type="dxa"/>
            <w:vAlign w:val="center"/>
          </w:tcPr>
          <w:p w14:paraId="5529A6DB"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10 340</w:t>
            </w:r>
          </w:p>
        </w:tc>
        <w:tc>
          <w:tcPr>
            <w:tcW w:w="1593" w:type="dxa"/>
            <w:vAlign w:val="center"/>
          </w:tcPr>
          <w:p w14:paraId="39F2F846" w14:textId="77777777" w:rsidR="00D81182" w:rsidRPr="00663B7C" w:rsidRDefault="00F66D95"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22 839</w:t>
            </w:r>
          </w:p>
        </w:tc>
      </w:tr>
      <w:tr w:rsidR="00D81182" w:rsidRPr="00663B7C" w14:paraId="62F700E3" w14:textId="77777777" w:rsidTr="00944CB1">
        <w:trPr>
          <w:trHeight w:val="411"/>
        </w:trPr>
        <w:tc>
          <w:tcPr>
            <w:tcW w:w="4503" w:type="dxa"/>
            <w:vAlign w:val="center"/>
          </w:tcPr>
          <w:p w14:paraId="52B47799" w14:textId="77777777" w:rsidR="00D81182" w:rsidRPr="00663B7C" w:rsidRDefault="00D8118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14-17</w:t>
            </w:r>
          </w:p>
        </w:tc>
        <w:tc>
          <w:tcPr>
            <w:tcW w:w="2126" w:type="dxa"/>
            <w:vAlign w:val="center"/>
          </w:tcPr>
          <w:p w14:paraId="705D178C"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9</w:t>
            </w:r>
            <w:r w:rsidR="00F66D95">
              <w:rPr>
                <w:rFonts w:ascii="Times New Roman" w:eastAsia="Times New Roman" w:hAnsi="Times New Roman" w:cs="Times New Roman"/>
                <w:sz w:val="24"/>
                <w:szCs w:val="24"/>
                <w:lang w:eastAsia="ru-RU"/>
              </w:rPr>
              <w:t xml:space="preserve"> </w:t>
            </w:r>
            <w:r w:rsidRPr="00663B7C">
              <w:rPr>
                <w:rFonts w:ascii="Times New Roman" w:eastAsia="Times New Roman" w:hAnsi="Times New Roman" w:cs="Times New Roman"/>
                <w:sz w:val="24"/>
                <w:szCs w:val="24"/>
                <w:lang w:eastAsia="ru-RU"/>
              </w:rPr>
              <w:t>257</w:t>
            </w:r>
          </w:p>
        </w:tc>
        <w:tc>
          <w:tcPr>
            <w:tcW w:w="1931" w:type="dxa"/>
            <w:vAlign w:val="center"/>
          </w:tcPr>
          <w:p w14:paraId="3E5D5670"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4 584</w:t>
            </w:r>
          </w:p>
        </w:tc>
        <w:tc>
          <w:tcPr>
            <w:tcW w:w="1593" w:type="dxa"/>
            <w:vAlign w:val="center"/>
          </w:tcPr>
          <w:p w14:paraId="1DC9D4D7" w14:textId="77777777" w:rsidR="00D81182" w:rsidRPr="00663B7C" w:rsidRDefault="00F66D95"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12 705</w:t>
            </w:r>
          </w:p>
        </w:tc>
      </w:tr>
      <w:tr w:rsidR="00D81182" w:rsidRPr="00663B7C" w14:paraId="5475A456" w14:textId="77777777" w:rsidTr="00944CB1">
        <w:trPr>
          <w:trHeight w:val="417"/>
        </w:trPr>
        <w:tc>
          <w:tcPr>
            <w:tcW w:w="4503" w:type="dxa"/>
            <w:vAlign w:val="center"/>
          </w:tcPr>
          <w:p w14:paraId="38E9FAED" w14:textId="77777777" w:rsidR="00D81182" w:rsidRPr="00663B7C" w:rsidRDefault="00D8118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0-17</w:t>
            </w:r>
          </w:p>
        </w:tc>
        <w:tc>
          <w:tcPr>
            <w:tcW w:w="2126" w:type="dxa"/>
            <w:vAlign w:val="center"/>
          </w:tcPr>
          <w:p w14:paraId="034C369C"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36</w:t>
            </w:r>
            <w:r w:rsidR="00F66D95">
              <w:rPr>
                <w:rFonts w:ascii="Times New Roman" w:eastAsia="Times New Roman" w:hAnsi="Times New Roman" w:cs="Times New Roman"/>
                <w:sz w:val="24"/>
                <w:szCs w:val="24"/>
                <w:lang w:eastAsia="ru-RU"/>
              </w:rPr>
              <w:t xml:space="preserve"> </w:t>
            </w:r>
            <w:r w:rsidRPr="00663B7C">
              <w:rPr>
                <w:rFonts w:ascii="Times New Roman" w:eastAsia="Times New Roman" w:hAnsi="Times New Roman" w:cs="Times New Roman"/>
                <w:sz w:val="24"/>
                <w:szCs w:val="24"/>
                <w:lang w:eastAsia="ru-RU"/>
              </w:rPr>
              <w:t>601</w:t>
            </w:r>
          </w:p>
        </w:tc>
        <w:tc>
          <w:tcPr>
            <w:tcW w:w="1931" w:type="dxa"/>
            <w:vAlign w:val="center"/>
          </w:tcPr>
          <w:p w14:paraId="1DD7B05A"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23 030</w:t>
            </w:r>
          </w:p>
        </w:tc>
        <w:tc>
          <w:tcPr>
            <w:tcW w:w="1593" w:type="dxa"/>
            <w:vAlign w:val="center"/>
          </w:tcPr>
          <w:p w14:paraId="76953094" w14:textId="77777777" w:rsidR="00D81182" w:rsidRPr="00663B7C" w:rsidRDefault="00F66D95"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51 465</w:t>
            </w:r>
          </w:p>
        </w:tc>
      </w:tr>
      <w:tr w:rsidR="00F66D95" w:rsidRPr="00663B7C" w14:paraId="4EC58AA5" w14:textId="77777777" w:rsidTr="00944CB1">
        <w:tc>
          <w:tcPr>
            <w:tcW w:w="4503" w:type="dxa"/>
            <w:vAlign w:val="center"/>
          </w:tcPr>
          <w:p w14:paraId="402E59C6" w14:textId="77777777" w:rsidR="00F66D95" w:rsidRPr="00F66D95" w:rsidRDefault="00F66D95" w:rsidP="00D03A4F">
            <w:pPr>
              <w:spacing w:after="0" w:line="240" w:lineRule="auto"/>
              <w:rPr>
                <w:rFonts w:ascii="Times New Roman" w:eastAsia="Times New Roman" w:hAnsi="Times New Roman" w:cs="Times New Roman"/>
                <w:sz w:val="24"/>
                <w:szCs w:val="24"/>
                <w:lang w:eastAsia="ru-RU"/>
              </w:rPr>
            </w:pPr>
            <w:r w:rsidRPr="00F66D95">
              <w:rPr>
                <w:rFonts w:ascii="Times New Roman" w:eastAsia="Times New Roman" w:hAnsi="Times New Roman" w:cs="Times New Roman"/>
                <w:sz w:val="24"/>
                <w:szCs w:val="24"/>
                <w:lang w:eastAsia="ru-RU"/>
              </w:rPr>
              <w:t>Доля детей и подростков в возрасте 0-17 лет в общем числе международных мигрантов, %</w:t>
            </w:r>
          </w:p>
        </w:tc>
        <w:tc>
          <w:tcPr>
            <w:tcW w:w="2126" w:type="dxa"/>
            <w:vAlign w:val="center"/>
          </w:tcPr>
          <w:p w14:paraId="4D36D54C" w14:textId="77777777" w:rsidR="00F66D95" w:rsidRPr="00F66D95" w:rsidRDefault="00F66D95" w:rsidP="00F66D95">
            <w:pPr>
              <w:spacing w:after="0" w:line="240" w:lineRule="auto"/>
              <w:jc w:val="center"/>
              <w:rPr>
                <w:rFonts w:ascii="Times New Roman" w:eastAsia="Times New Roman" w:hAnsi="Times New Roman" w:cs="Times New Roman"/>
                <w:sz w:val="24"/>
                <w:szCs w:val="24"/>
                <w:lang w:eastAsia="ru-RU"/>
              </w:rPr>
            </w:pPr>
            <w:r w:rsidRPr="00F66D95">
              <w:rPr>
                <w:rFonts w:ascii="Times New Roman" w:eastAsia="Times New Roman" w:hAnsi="Times New Roman" w:cs="Times New Roman"/>
                <w:sz w:val="24"/>
                <w:szCs w:val="24"/>
                <w:lang w:eastAsia="ru-RU"/>
              </w:rPr>
              <w:t>12,8</w:t>
            </w:r>
          </w:p>
        </w:tc>
        <w:tc>
          <w:tcPr>
            <w:tcW w:w="1931" w:type="dxa"/>
            <w:vAlign w:val="center"/>
          </w:tcPr>
          <w:p w14:paraId="4BA1B2AE" w14:textId="77777777" w:rsidR="00F66D95" w:rsidRPr="00F66D95" w:rsidRDefault="00F66D95" w:rsidP="00D81182">
            <w:pPr>
              <w:spacing w:after="0" w:line="240" w:lineRule="auto"/>
              <w:jc w:val="center"/>
              <w:rPr>
                <w:rFonts w:ascii="Times New Roman" w:eastAsia="Times New Roman" w:hAnsi="Times New Roman" w:cs="Times New Roman"/>
                <w:sz w:val="24"/>
                <w:szCs w:val="24"/>
                <w:lang w:eastAsia="ru-RU"/>
              </w:rPr>
            </w:pPr>
            <w:r w:rsidRPr="00F66D95">
              <w:rPr>
                <w:rFonts w:ascii="Times New Roman" w:eastAsia="Times New Roman" w:hAnsi="Times New Roman" w:cs="Times New Roman"/>
                <w:sz w:val="24"/>
                <w:szCs w:val="24"/>
                <w:lang w:eastAsia="ru-RU"/>
              </w:rPr>
              <w:t>21,6</w:t>
            </w:r>
          </w:p>
        </w:tc>
        <w:tc>
          <w:tcPr>
            <w:tcW w:w="1593" w:type="dxa"/>
            <w:vAlign w:val="center"/>
          </w:tcPr>
          <w:p w14:paraId="15509089" w14:textId="77777777" w:rsidR="00F66D95" w:rsidRPr="00F66D95" w:rsidRDefault="00F66D95" w:rsidP="00D03A4F">
            <w:pPr>
              <w:spacing w:after="0" w:line="240" w:lineRule="auto"/>
              <w:jc w:val="center"/>
              <w:rPr>
                <w:rFonts w:ascii="Times New Roman" w:eastAsia="Times New Roman" w:hAnsi="Times New Roman" w:cs="Times New Roman"/>
                <w:sz w:val="24"/>
                <w:szCs w:val="24"/>
                <w:lang w:eastAsia="ru-RU"/>
              </w:rPr>
            </w:pPr>
            <w:r w:rsidRPr="00F66D95">
              <w:rPr>
                <w:rFonts w:ascii="Times New Roman" w:eastAsia="Times New Roman" w:hAnsi="Times New Roman" w:cs="Times New Roman"/>
                <w:sz w:val="24"/>
                <w:szCs w:val="24"/>
                <w:lang w:eastAsia="ru-RU"/>
              </w:rPr>
              <w:t>12,0</w:t>
            </w:r>
          </w:p>
        </w:tc>
      </w:tr>
      <w:tr w:rsidR="00D81182" w:rsidRPr="00663B7C" w14:paraId="3D200B14" w14:textId="77777777" w:rsidTr="00944CB1">
        <w:tc>
          <w:tcPr>
            <w:tcW w:w="4503" w:type="dxa"/>
            <w:vAlign w:val="center"/>
          </w:tcPr>
          <w:p w14:paraId="0B64C299" w14:textId="45D6E42F" w:rsidR="00D81182" w:rsidRPr="00663B7C" w:rsidRDefault="00D81182" w:rsidP="00D03A4F">
            <w:pPr>
              <w:spacing w:after="0" w:line="240" w:lineRule="auto"/>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 xml:space="preserve">Миграционный прирост за счет миграционного обмена со странами СНГ </w:t>
            </w:r>
            <w:r w:rsidR="00591409">
              <w:rPr>
                <w:rFonts w:ascii="Times New Roman" w:eastAsia="Times New Roman" w:hAnsi="Times New Roman" w:cs="Times New Roman"/>
                <w:b/>
                <w:sz w:val="24"/>
                <w:szCs w:val="24"/>
                <w:lang w:eastAsia="ru-RU"/>
              </w:rPr>
              <w:t>–</w:t>
            </w:r>
            <w:r w:rsidRPr="00663B7C">
              <w:rPr>
                <w:rFonts w:ascii="Times New Roman" w:eastAsia="Times New Roman" w:hAnsi="Times New Roman" w:cs="Times New Roman"/>
                <w:b/>
                <w:sz w:val="24"/>
                <w:szCs w:val="24"/>
                <w:lang w:eastAsia="ru-RU"/>
              </w:rPr>
              <w:t xml:space="preserve"> всего</w:t>
            </w:r>
          </w:p>
        </w:tc>
        <w:tc>
          <w:tcPr>
            <w:tcW w:w="2126" w:type="dxa"/>
            <w:vAlign w:val="center"/>
          </w:tcPr>
          <w:p w14:paraId="338A1537" w14:textId="77777777" w:rsidR="00D81182" w:rsidRPr="00663B7C" w:rsidRDefault="00D81182" w:rsidP="00D81182">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256 000</w:t>
            </w:r>
          </w:p>
        </w:tc>
        <w:tc>
          <w:tcPr>
            <w:tcW w:w="1931" w:type="dxa"/>
            <w:vAlign w:val="center"/>
          </w:tcPr>
          <w:p w14:paraId="535CAA35" w14:textId="77777777" w:rsidR="00D81182" w:rsidRPr="00663B7C" w:rsidRDefault="00D81182" w:rsidP="00D81182">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118 864</w:t>
            </w:r>
          </w:p>
        </w:tc>
        <w:tc>
          <w:tcPr>
            <w:tcW w:w="1593" w:type="dxa"/>
            <w:vAlign w:val="center"/>
          </w:tcPr>
          <w:p w14:paraId="24FA9B2E" w14:textId="77777777" w:rsidR="00D81182" w:rsidRPr="00663B7C" w:rsidRDefault="00F66D95" w:rsidP="00D03A4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395 845</w:t>
            </w:r>
          </w:p>
        </w:tc>
      </w:tr>
      <w:tr w:rsidR="00D81182" w:rsidRPr="00663B7C" w14:paraId="2BA36CC7" w14:textId="77777777" w:rsidTr="00944CB1">
        <w:trPr>
          <w:trHeight w:val="435"/>
        </w:trPr>
        <w:tc>
          <w:tcPr>
            <w:tcW w:w="4503" w:type="dxa"/>
            <w:vAlign w:val="center"/>
          </w:tcPr>
          <w:p w14:paraId="1155D02A" w14:textId="77777777" w:rsidR="00D81182" w:rsidRPr="00663B7C" w:rsidRDefault="00D8118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14:paraId="241FA331"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14:paraId="6CC450A9"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14:paraId="425756A2" w14:textId="77777777" w:rsidR="00D81182" w:rsidRPr="00663B7C" w:rsidRDefault="00D81182" w:rsidP="00D03A4F">
            <w:pPr>
              <w:spacing w:after="0" w:line="240" w:lineRule="auto"/>
              <w:jc w:val="center"/>
              <w:rPr>
                <w:rFonts w:ascii="Times New Roman" w:eastAsia="Times New Roman" w:hAnsi="Times New Roman" w:cs="Times New Roman"/>
                <w:sz w:val="24"/>
                <w:szCs w:val="24"/>
                <w:lang w:eastAsia="ru-RU"/>
              </w:rPr>
            </w:pPr>
          </w:p>
        </w:tc>
      </w:tr>
      <w:tr w:rsidR="00D81182" w:rsidRPr="00663B7C" w14:paraId="358BBD48" w14:textId="77777777" w:rsidTr="00944CB1">
        <w:trPr>
          <w:trHeight w:val="426"/>
        </w:trPr>
        <w:tc>
          <w:tcPr>
            <w:tcW w:w="4503" w:type="dxa"/>
            <w:vAlign w:val="center"/>
          </w:tcPr>
          <w:p w14:paraId="3790E5A9" w14:textId="77777777" w:rsidR="00D81182" w:rsidRPr="00663B7C" w:rsidRDefault="00D8118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0-5</w:t>
            </w:r>
          </w:p>
        </w:tc>
        <w:tc>
          <w:tcPr>
            <w:tcW w:w="2126" w:type="dxa"/>
            <w:vAlign w:val="center"/>
          </w:tcPr>
          <w:p w14:paraId="4CC7564A"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11</w:t>
            </w:r>
            <w:r w:rsidR="00F66D95">
              <w:rPr>
                <w:rFonts w:ascii="Times New Roman" w:eastAsia="Times New Roman" w:hAnsi="Times New Roman" w:cs="Times New Roman"/>
                <w:sz w:val="24"/>
                <w:szCs w:val="24"/>
                <w:lang w:eastAsia="ru-RU"/>
              </w:rPr>
              <w:t xml:space="preserve"> </w:t>
            </w:r>
            <w:r w:rsidRPr="00663B7C">
              <w:rPr>
                <w:rFonts w:ascii="Times New Roman" w:eastAsia="Times New Roman" w:hAnsi="Times New Roman" w:cs="Times New Roman"/>
                <w:sz w:val="24"/>
                <w:szCs w:val="24"/>
                <w:lang w:eastAsia="ru-RU"/>
              </w:rPr>
              <w:t>103</w:t>
            </w:r>
          </w:p>
        </w:tc>
        <w:tc>
          <w:tcPr>
            <w:tcW w:w="1931" w:type="dxa"/>
            <w:vAlign w:val="center"/>
          </w:tcPr>
          <w:p w14:paraId="1646432E"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7 655</w:t>
            </w:r>
          </w:p>
        </w:tc>
        <w:tc>
          <w:tcPr>
            <w:tcW w:w="1593" w:type="dxa"/>
            <w:vAlign w:val="center"/>
          </w:tcPr>
          <w:p w14:paraId="208BFD93" w14:textId="77777777" w:rsidR="00D81182" w:rsidRPr="00663B7C" w:rsidRDefault="00F66D95"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14 725</w:t>
            </w:r>
          </w:p>
        </w:tc>
      </w:tr>
      <w:tr w:rsidR="00D81182" w:rsidRPr="00663B7C" w14:paraId="5F5481BD" w14:textId="77777777" w:rsidTr="00944CB1">
        <w:trPr>
          <w:trHeight w:val="392"/>
        </w:trPr>
        <w:tc>
          <w:tcPr>
            <w:tcW w:w="4503" w:type="dxa"/>
            <w:vAlign w:val="center"/>
          </w:tcPr>
          <w:p w14:paraId="4CE93491" w14:textId="77777777" w:rsidR="00D81182" w:rsidRPr="00663B7C" w:rsidRDefault="00D8118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6-13</w:t>
            </w:r>
          </w:p>
        </w:tc>
        <w:tc>
          <w:tcPr>
            <w:tcW w:w="2126" w:type="dxa"/>
            <w:vAlign w:val="center"/>
          </w:tcPr>
          <w:p w14:paraId="29928E78"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15</w:t>
            </w:r>
            <w:r w:rsidR="00F66D95">
              <w:rPr>
                <w:rFonts w:ascii="Times New Roman" w:eastAsia="Times New Roman" w:hAnsi="Times New Roman" w:cs="Times New Roman"/>
                <w:sz w:val="24"/>
                <w:szCs w:val="24"/>
                <w:lang w:eastAsia="ru-RU"/>
              </w:rPr>
              <w:t xml:space="preserve"> </w:t>
            </w:r>
            <w:r w:rsidRPr="00663B7C">
              <w:rPr>
                <w:rFonts w:ascii="Times New Roman" w:eastAsia="Times New Roman" w:hAnsi="Times New Roman" w:cs="Times New Roman"/>
                <w:sz w:val="24"/>
                <w:szCs w:val="24"/>
                <w:lang w:eastAsia="ru-RU"/>
              </w:rPr>
              <w:t>254</w:t>
            </w:r>
          </w:p>
        </w:tc>
        <w:tc>
          <w:tcPr>
            <w:tcW w:w="1931" w:type="dxa"/>
            <w:vAlign w:val="center"/>
          </w:tcPr>
          <w:p w14:paraId="76706BBB"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10 448</w:t>
            </w:r>
          </w:p>
        </w:tc>
        <w:tc>
          <w:tcPr>
            <w:tcW w:w="1593" w:type="dxa"/>
            <w:vAlign w:val="center"/>
          </w:tcPr>
          <w:p w14:paraId="51E1D27A" w14:textId="77777777" w:rsidR="00D81182" w:rsidRPr="00663B7C" w:rsidRDefault="00F66D95"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22 292</w:t>
            </w:r>
          </w:p>
        </w:tc>
      </w:tr>
      <w:tr w:rsidR="00D81182" w:rsidRPr="00663B7C" w14:paraId="7DDB7817" w14:textId="77777777" w:rsidTr="00944CB1">
        <w:trPr>
          <w:trHeight w:val="425"/>
        </w:trPr>
        <w:tc>
          <w:tcPr>
            <w:tcW w:w="4503" w:type="dxa"/>
            <w:vAlign w:val="center"/>
          </w:tcPr>
          <w:p w14:paraId="48020D52" w14:textId="77777777" w:rsidR="00D81182" w:rsidRPr="00663B7C" w:rsidRDefault="00D8118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14-17</w:t>
            </w:r>
          </w:p>
        </w:tc>
        <w:tc>
          <w:tcPr>
            <w:tcW w:w="2126" w:type="dxa"/>
            <w:vAlign w:val="center"/>
          </w:tcPr>
          <w:p w14:paraId="11C5DE94"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8</w:t>
            </w:r>
            <w:r w:rsidR="00F66D95">
              <w:rPr>
                <w:rFonts w:ascii="Times New Roman" w:eastAsia="Times New Roman" w:hAnsi="Times New Roman" w:cs="Times New Roman"/>
                <w:sz w:val="24"/>
                <w:szCs w:val="24"/>
                <w:lang w:eastAsia="ru-RU"/>
              </w:rPr>
              <w:t xml:space="preserve"> </w:t>
            </w:r>
            <w:r w:rsidRPr="00663B7C">
              <w:rPr>
                <w:rFonts w:ascii="Times New Roman" w:eastAsia="Times New Roman" w:hAnsi="Times New Roman" w:cs="Times New Roman"/>
                <w:sz w:val="24"/>
                <w:szCs w:val="24"/>
                <w:lang w:eastAsia="ru-RU"/>
              </w:rPr>
              <w:t>893</w:t>
            </w:r>
          </w:p>
        </w:tc>
        <w:tc>
          <w:tcPr>
            <w:tcW w:w="1931" w:type="dxa"/>
            <w:vAlign w:val="center"/>
          </w:tcPr>
          <w:p w14:paraId="6EF89ACC"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4 742</w:t>
            </w:r>
          </w:p>
        </w:tc>
        <w:tc>
          <w:tcPr>
            <w:tcW w:w="1593" w:type="dxa"/>
            <w:vAlign w:val="center"/>
          </w:tcPr>
          <w:p w14:paraId="52576571" w14:textId="77777777" w:rsidR="00D81182" w:rsidRPr="00663B7C" w:rsidRDefault="00F66D95"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12 366</w:t>
            </w:r>
          </w:p>
        </w:tc>
      </w:tr>
      <w:tr w:rsidR="00D81182" w:rsidRPr="00663B7C" w14:paraId="090997BD" w14:textId="77777777" w:rsidTr="00944CB1">
        <w:trPr>
          <w:trHeight w:val="403"/>
        </w:trPr>
        <w:tc>
          <w:tcPr>
            <w:tcW w:w="4503" w:type="dxa"/>
            <w:vAlign w:val="center"/>
          </w:tcPr>
          <w:p w14:paraId="679AF49A" w14:textId="77777777" w:rsidR="00D81182" w:rsidRPr="00663B7C" w:rsidRDefault="00D8118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0-17</w:t>
            </w:r>
          </w:p>
        </w:tc>
        <w:tc>
          <w:tcPr>
            <w:tcW w:w="2126" w:type="dxa"/>
            <w:vAlign w:val="center"/>
          </w:tcPr>
          <w:p w14:paraId="3EA6A7AA"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35 250</w:t>
            </w:r>
          </w:p>
        </w:tc>
        <w:tc>
          <w:tcPr>
            <w:tcW w:w="1931" w:type="dxa"/>
            <w:vAlign w:val="center"/>
          </w:tcPr>
          <w:p w14:paraId="1A7AF7EE"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22 845</w:t>
            </w:r>
          </w:p>
        </w:tc>
        <w:tc>
          <w:tcPr>
            <w:tcW w:w="1593" w:type="dxa"/>
            <w:vAlign w:val="center"/>
          </w:tcPr>
          <w:p w14:paraId="7A8630C3" w14:textId="77777777" w:rsidR="00D81182" w:rsidRPr="00663B7C" w:rsidRDefault="00F66D95"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49 383</w:t>
            </w:r>
          </w:p>
        </w:tc>
      </w:tr>
      <w:tr w:rsidR="00F66D95" w:rsidRPr="00663B7C" w14:paraId="2FA528CD" w14:textId="77777777" w:rsidTr="00944CB1">
        <w:tc>
          <w:tcPr>
            <w:tcW w:w="4503" w:type="dxa"/>
            <w:vAlign w:val="center"/>
          </w:tcPr>
          <w:p w14:paraId="500EDA8B" w14:textId="77777777" w:rsidR="00F66D95" w:rsidRPr="00F66D95" w:rsidRDefault="00F66D95" w:rsidP="00D03A4F">
            <w:pPr>
              <w:spacing w:after="0" w:line="240" w:lineRule="auto"/>
              <w:rPr>
                <w:rFonts w:ascii="Times New Roman" w:eastAsia="Times New Roman" w:hAnsi="Times New Roman" w:cs="Times New Roman"/>
                <w:sz w:val="24"/>
                <w:szCs w:val="24"/>
                <w:lang w:eastAsia="ru-RU"/>
              </w:rPr>
            </w:pPr>
            <w:r w:rsidRPr="00F66D95">
              <w:rPr>
                <w:rFonts w:ascii="Times New Roman" w:eastAsia="Times New Roman" w:hAnsi="Times New Roman" w:cs="Times New Roman"/>
                <w:sz w:val="24"/>
                <w:szCs w:val="24"/>
                <w:lang w:eastAsia="ru-RU"/>
              </w:rPr>
              <w:t>Доля детей и подростков в возрасте 0-17 лет в общем числе международных мигрантов, %</w:t>
            </w:r>
          </w:p>
        </w:tc>
        <w:tc>
          <w:tcPr>
            <w:tcW w:w="2126" w:type="dxa"/>
            <w:vAlign w:val="center"/>
          </w:tcPr>
          <w:p w14:paraId="64E2D8C4" w14:textId="77777777" w:rsidR="00F66D95" w:rsidRPr="00F66D95" w:rsidRDefault="00F66D95" w:rsidP="00F66D95">
            <w:pPr>
              <w:spacing w:after="0" w:line="240" w:lineRule="auto"/>
              <w:jc w:val="center"/>
              <w:rPr>
                <w:rFonts w:ascii="Times New Roman" w:eastAsia="Times New Roman" w:hAnsi="Times New Roman" w:cs="Times New Roman"/>
                <w:sz w:val="24"/>
                <w:szCs w:val="24"/>
                <w:lang w:eastAsia="ru-RU"/>
              </w:rPr>
            </w:pPr>
            <w:r w:rsidRPr="00F66D95">
              <w:rPr>
                <w:rFonts w:ascii="Times New Roman" w:eastAsia="Times New Roman" w:hAnsi="Times New Roman" w:cs="Times New Roman"/>
                <w:sz w:val="24"/>
                <w:szCs w:val="24"/>
                <w:lang w:eastAsia="ru-RU"/>
              </w:rPr>
              <w:t>13,8</w:t>
            </w:r>
          </w:p>
        </w:tc>
        <w:tc>
          <w:tcPr>
            <w:tcW w:w="1931" w:type="dxa"/>
            <w:vAlign w:val="center"/>
          </w:tcPr>
          <w:p w14:paraId="6DA2C1F9" w14:textId="77777777" w:rsidR="00F66D95" w:rsidRPr="00F66D95" w:rsidRDefault="00F66D95" w:rsidP="00D81182">
            <w:pPr>
              <w:spacing w:after="0" w:line="240" w:lineRule="auto"/>
              <w:jc w:val="center"/>
              <w:rPr>
                <w:rFonts w:ascii="Times New Roman" w:eastAsia="Times New Roman" w:hAnsi="Times New Roman" w:cs="Times New Roman"/>
                <w:sz w:val="24"/>
                <w:szCs w:val="24"/>
                <w:lang w:eastAsia="ru-RU"/>
              </w:rPr>
            </w:pPr>
            <w:r w:rsidRPr="00F66D95">
              <w:rPr>
                <w:rFonts w:ascii="Times New Roman" w:eastAsia="Times New Roman" w:hAnsi="Times New Roman" w:cs="Times New Roman"/>
                <w:sz w:val="24"/>
                <w:szCs w:val="24"/>
                <w:lang w:eastAsia="ru-RU"/>
              </w:rPr>
              <w:t>19,2</w:t>
            </w:r>
          </w:p>
        </w:tc>
        <w:tc>
          <w:tcPr>
            <w:tcW w:w="1593" w:type="dxa"/>
            <w:vAlign w:val="center"/>
          </w:tcPr>
          <w:p w14:paraId="17F86771" w14:textId="77777777" w:rsidR="00F66D95" w:rsidRPr="00F66D95" w:rsidRDefault="00F66D95" w:rsidP="00D03A4F">
            <w:pPr>
              <w:spacing w:after="0" w:line="240" w:lineRule="auto"/>
              <w:jc w:val="center"/>
              <w:rPr>
                <w:rFonts w:ascii="Times New Roman" w:eastAsia="Times New Roman" w:hAnsi="Times New Roman" w:cs="Times New Roman"/>
                <w:sz w:val="24"/>
                <w:szCs w:val="24"/>
                <w:lang w:eastAsia="ru-RU"/>
              </w:rPr>
            </w:pPr>
            <w:r w:rsidRPr="00F66D95">
              <w:rPr>
                <w:rFonts w:ascii="Times New Roman" w:eastAsia="Times New Roman" w:hAnsi="Times New Roman" w:cs="Times New Roman"/>
                <w:sz w:val="24"/>
                <w:szCs w:val="24"/>
                <w:lang w:eastAsia="ru-RU"/>
              </w:rPr>
              <w:t>12,5</w:t>
            </w:r>
          </w:p>
        </w:tc>
      </w:tr>
      <w:tr w:rsidR="00D81182" w:rsidRPr="00663B7C" w14:paraId="07882AD3" w14:textId="77777777" w:rsidTr="00944CB1">
        <w:tc>
          <w:tcPr>
            <w:tcW w:w="4503" w:type="dxa"/>
            <w:vAlign w:val="center"/>
          </w:tcPr>
          <w:p w14:paraId="6E1B16A3" w14:textId="7AE1D69C" w:rsidR="00D81182" w:rsidRPr="00663B7C" w:rsidRDefault="00D81182" w:rsidP="00D03A4F">
            <w:pPr>
              <w:spacing w:after="0" w:line="240" w:lineRule="auto"/>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 xml:space="preserve">Миграционный прирост за счет миграционного обмена с другими странами </w:t>
            </w:r>
            <w:r w:rsidR="00591409">
              <w:rPr>
                <w:rFonts w:ascii="Times New Roman" w:eastAsia="Times New Roman" w:hAnsi="Times New Roman" w:cs="Times New Roman"/>
                <w:b/>
                <w:sz w:val="24"/>
                <w:szCs w:val="24"/>
                <w:lang w:eastAsia="ru-RU"/>
              </w:rPr>
              <w:t>–</w:t>
            </w:r>
            <w:r w:rsidRPr="00663B7C">
              <w:rPr>
                <w:rFonts w:ascii="Times New Roman" w:eastAsia="Times New Roman" w:hAnsi="Times New Roman" w:cs="Times New Roman"/>
                <w:b/>
                <w:sz w:val="24"/>
                <w:szCs w:val="24"/>
                <w:lang w:eastAsia="ru-RU"/>
              </w:rPr>
              <w:t xml:space="preserve"> всего</w:t>
            </w:r>
          </w:p>
        </w:tc>
        <w:tc>
          <w:tcPr>
            <w:tcW w:w="2126" w:type="dxa"/>
            <w:vAlign w:val="center"/>
          </w:tcPr>
          <w:p w14:paraId="20406713" w14:textId="77777777" w:rsidR="00D81182" w:rsidRPr="00663B7C" w:rsidRDefault="00D81182" w:rsidP="00D81182">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29 103</w:t>
            </w:r>
          </w:p>
        </w:tc>
        <w:tc>
          <w:tcPr>
            <w:tcW w:w="1931" w:type="dxa"/>
            <w:vAlign w:val="center"/>
          </w:tcPr>
          <w:p w14:paraId="61BF011E" w14:textId="77777777" w:rsidR="00D81182" w:rsidRPr="00663B7C" w:rsidRDefault="00D81182" w:rsidP="00D81182">
            <w:pPr>
              <w:spacing w:after="0" w:line="240" w:lineRule="auto"/>
              <w:jc w:val="center"/>
              <w:rPr>
                <w:rFonts w:ascii="Times New Roman" w:eastAsia="Times New Roman" w:hAnsi="Times New Roman" w:cs="Times New Roman"/>
                <w:b/>
                <w:sz w:val="24"/>
                <w:szCs w:val="24"/>
                <w:lang w:eastAsia="ru-RU"/>
              </w:rPr>
            </w:pPr>
            <w:r w:rsidRPr="00663B7C">
              <w:rPr>
                <w:rFonts w:ascii="Times New Roman" w:eastAsia="Times New Roman" w:hAnsi="Times New Roman" w:cs="Times New Roman"/>
                <w:b/>
                <w:sz w:val="24"/>
                <w:szCs w:val="24"/>
                <w:lang w:eastAsia="ru-RU"/>
              </w:rPr>
              <w:t>-12 390</w:t>
            </w:r>
          </w:p>
        </w:tc>
        <w:tc>
          <w:tcPr>
            <w:tcW w:w="1593" w:type="dxa"/>
            <w:vAlign w:val="center"/>
          </w:tcPr>
          <w:p w14:paraId="779AC518" w14:textId="77777777" w:rsidR="00D81182" w:rsidRPr="00663B7C" w:rsidRDefault="00F66D95" w:rsidP="00D03A4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34 057</w:t>
            </w:r>
          </w:p>
        </w:tc>
      </w:tr>
      <w:tr w:rsidR="00D81182" w:rsidRPr="00663B7C" w14:paraId="2B080EBD" w14:textId="77777777" w:rsidTr="00944CB1">
        <w:trPr>
          <w:trHeight w:val="435"/>
        </w:trPr>
        <w:tc>
          <w:tcPr>
            <w:tcW w:w="4503" w:type="dxa"/>
            <w:vAlign w:val="center"/>
          </w:tcPr>
          <w:p w14:paraId="0DDF92EF" w14:textId="77777777" w:rsidR="00D81182" w:rsidRPr="00663B7C" w:rsidRDefault="00D81182" w:rsidP="00D03A4F">
            <w:pPr>
              <w:spacing w:after="0" w:line="240" w:lineRule="auto"/>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в том числе мигранты в возрасте, лет:</w:t>
            </w:r>
          </w:p>
        </w:tc>
        <w:tc>
          <w:tcPr>
            <w:tcW w:w="2126" w:type="dxa"/>
            <w:vAlign w:val="center"/>
          </w:tcPr>
          <w:p w14:paraId="551489BA"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p>
        </w:tc>
        <w:tc>
          <w:tcPr>
            <w:tcW w:w="1931" w:type="dxa"/>
            <w:vAlign w:val="center"/>
          </w:tcPr>
          <w:p w14:paraId="0FF49989"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p>
        </w:tc>
        <w:tc>
          <w:tcPr>
            <w:tcW w:w="1593" w:type="dxa"/>
            <w:vAlign w:val="center"/>
          </w:tcPr>
          <w:p w14:paraId="35B2E500" w14:textId="77777777" w:rsidR="00D81182" w:rsidRPr="00663B7C" w:rsidRDefault="00D81182" w:rsidP="00D03A4F">
            <w:pPr>
              <w:spacing w:after="0" w:line="240" w:lineRule="auto"/>
              <w:jc w:val="center"/>
              <w:rPr>
                <w:rFonts w:ascii="Times New Roman" w:eastAsia="Times New Roman" w:hAnsi="Times New Roman" w:cs="Times New Roman"/>
                <w:sz w:val="24"/>
                <w:szCs w:val="24"/>
                <w:lang w:eastAsia="ru-RU"/>
              </w:rPr>
            </w:pPr>
          </w:p>
        </w:tc>
      </w:tr>
      <w:tr w:rsidR="00D81182" w:rsidRPr="00663B7C" w14:paraId="33F1E313" w14:textId="77777777" w:rsidTr="00944CB1">
        <w:trPr>
          <w:trHeight w:val="413"/>
        </w:trPr>
        <w:tc>
          <w:tcPr>
            <w:tcW w:w="4503" w:type="dxa"/>
            <w:vAlign w:val="center"/>
          </w:tcPr>
          <w:p w14:paraId="6F2A250D" w14:textId="77777777" w:rsidR="00D81182" w:rsidRPr="00663B7C" w:rsidRDefault="00D8118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0-5</w:t>
            </w:r>
          </w:p>
        </w:tc>
        <w:tc>
          <w:tcPr>
            <w:tcW w:w="2126" w:type="dxa"/>
            <w:vAlign w:val="center"/>
          </w:tcPr>
          <w:p w14:paraId="3EDC4CFF"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1 018</w:t>
            </w:r>
          </w:p>
        </w:tc>
        <w:tc>
          <w:tcPr>
            <w:tcW w:w="1931" w:type="dxa"/>
            <w:vAlign w:val="center"/>
          </w:tcPr>
          <w:p w14:paraId="2482B46C"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451</w:t>
            </w:r>
          </w:p>
        </w:tc>
        <w:tc>
          <w:tcPr>
            <w:tcW w:w="1593" w:type="dxa"/>
            <w:vAlign w:val="center"/>
          </w:tcPr>
          <w:p w14:paraId="45504849" w14:textId="77777777" w:rsidR="00D81182" w:rsidRPr="00663B7C" w:rsidRDefault="00F66D95"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1 196</w:t>
            </w:r>
          </w:p>
        </w:tc>
      </w:tr>
      <w:tr w:rsidR="00D81182" w:rsidRPr="00663B7C" w14:paraId="075F9344" w14:textId="77777777" w:rsidTr="00944CB1">
        <w:trPr>
          <w:trHeight w:val="419"/>
        </w:trPr>
        <w:tc>
          <w:tcPr>
            <w:tcW w:w="4503" w:type="dxa"/>
            <w:vAlign w:val="center"/>
          </w:tcPr>
          <w:p w14:paraId="61A11F79" w14:textId="77777777" w:rsidR="00D81182" w:rsidRPr="00663B7C" w:rsidRDefault="00D8118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6-13</w:t>
            </w:r>
          </w:p>
        </w:tc>
        <w:tc>
          <w:tcPr>
            <w:tcW w:w="2126" w:type="dxa"/>
            <w:vAlign w:val="center"/>
          </w:tcPr>
          <w:p w14:paraId="7D416169"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-31</w:t>
            </w:r>
          </w:p>
        </w:tc>
        <w:tc>
          <w:tcPr>
            <w:tcW w:w="1931" w:type="dxa"/>
            <w:vAlign w:val="center"/>
          </w:tcPr>
          <w:p w14:paraId="5042EE08"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-108</w:t>
            </w:r>
          </w:p>
        </w:tc>
        <w:tc>
          <w:tcPr>
            <w:tcW w:w="1593" w:type="dxa"/>
            <w:vAlign w:val="center"/>
          </w:tcPr>
          <w:p w14:paraId="32B29089" w14:textId="77777777" w:rsidR="00D81182" w:rsidRPr="00663B7C" w:rsidRDefault="00F66D95"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547</w:t>
            </w:r>
          </w:p>
        </w:tc>
      </w:tr>
      <w:tr w:rsidR="00D81182" w:rsidRPr="00663B7C" w14:paraId="41A21951" w14:textId="77777777" w:rsidTr="00944CB1">
        <w:trPr>
          <w:trHeight w:val="412"/>
        </w:trPr>
        <w:tc>
          <w:tcPr>
            <w:tcW w:w="4503" w:type="dxa"/>
            <w:vAlign w:val="center"/>
          </w:tcPr>
          <w:p w14:paraId="78A153B8" w14:textId="77777777" w:rsidR="00D81182" w:rsidRPr="00663B7C" w:rsidRDefault="00D8118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14-17</w:t>
            </w:r>
          </w:p>
        </w:tc>
        <w:tc>
          <w:tcPr>
            <w:tcW w:w="2126" w:type="dxa"/>
            <w:vAlign w:val="center"/>
          </w:tcPr>
          <w:p w14:paraId="6015A6A3"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364</w:t>
            </w:r>
          </w:p>
        </w:tc>
        <w:tc>
          <w:tcPr>
            <w:tcW w:w="1931" w:type="dxa"/>
            <w:vAlign w:val="center"/>
          </w:tcPr>
          <w:p w14:paraId="39A6B187"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-158</w:t>
            </w:r>
          </w:p>
        </w:tc>
        <w:tc>
          <w:tcPr>
            <w:tcW w:w="1593" w:type="dxa"/>
            <w:vAlign w:val="center"/>
          </w:tcPr>
          <w:p w14:paraId="4AF55A9D" w14:textId="77777777" w:rsidR="00D81182" w:rsidRPr="00663B7C" w:rsidRDefault="00F66D95"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339</w:t>
            </w:r>
          </w:p>
        </w:tc>
      </w:tr>
      <w:tr w:rsidR="00D81182" w:rsidRPr="00BD5A90" w14:paraId="3050849F" w14:textId="77777777" w:rsidTr="00944CB1">
        <w:trPr>
          <w:trHeight w:val="418"/>
        </w:trPr>
        <w:tc>
          <w:tcPr>
            <w:tcW w:w="4503" w:type="dxa"/>
            <w:vAlign w:val="center"/>
          </w:tcPr>
          <w:p w14:paraId="02B221EE" w14:textId="77777777" w:rsidR="00D81182" w:rsidRPr="00663B7C" w:rsidRDefault="00D81182" w:rsidP="00D03A4F">
            <w:pPr>
              <w:spacing w:after="0" w:line="240" w:lineRule="auto"/>
              <w:ind w:left="340"/>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0-17</w:t>
            </w:r>
          </w:p>
        </w:tc>
        <w:tc>
          <w:tcPr>
            <w:tcW w:w="2126" w:type="dxa"/>
            <w:vAlign w:val="center"/>
          </w:tcPr>
          <w:p w14:paraId="06CC515A"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w:t>
            </w:r>
            <w:r w:rsidR="00F86638">
              <w:rPr>
                <w:rFonts w:ascii="Times New Roman" w:eastAsia="Times New Roman" w:hAnsi="Times New Roman" w:cs="Times New Roman"/>
                <w:sz w:val="24"/>
                <w:szCs w:val="24"/>
                <w:lang w:val="en-US" w:eastAsia="ru-RU"/>
              </w:rPr>
              <w:t xml:space="preserve"> </w:t>
            </w:r>
            <w:r w:rsidRPr="00663B7C">
              <w:rPr>
                <w:rFonts w:ascii="Times New Roman" w:eastAsia="Times New Roman" w:hAnsi="Times New Roman" w:cs="Times New Roman"/>
                <w:sz w:val="24"/>
                <w:szCs w:val="24"/>
                <w:lang w:eastAsia="ru-RU"/>
              </w:rPr>
              <w:t>351</w:t>
            </w:r>
          </w:p>
        </w:tc>
        <w:tc>
          <w:tcPr>
            <w:tcW w:w="1931" w:type="dxa"/>
            <w:vAlign w:val="center"/>
          </w:tcPr>
          <w:p w14:paraId="67598B6A" w14:textId="77777777" w:rsidR="00D81182" w:rsidRPr="00663B7C" w:rsidRDefault="00D81182" w:rsidP="00D81182">
            <w:pPr>
              <w:spacing w:after="0" w:line="240" w:lineRule="auto"/>
              <w:jc w:val="center"/>
              <w:rPr>
                <w:rFonts w:ascii="Times New Roman" w:eastAsia="Times New Roman" w:hAnsi="Times New Roman" w:cs="Times New Roman"/>
                <w:sz w:val="24"/>
                <w:szCs w:val="24"/>
                <w:lang w:eastAsia="ru-RU"/>
              </w:rPr>
            </w:pPr>
            <w:r w:rsidRPr="00663B7C">
              <w:rPr>
                <w:rFonts w:ascii="Times New Roman" w:eastAsia="Times New Roman" w:hAnsi="Times New Roman" w:cs="Times New Roman"/>
                <w:sz w:val="24"/>
                <w:szCs w:val="24"/>
                <w:lang w:eastAsia="ru-RU"/>
              </w:rPr>
              <w:t>185</w:t>
            </w:r>
          </w:p>
        </w:tc>
        <w:tc>
          <w:tcPr>
            <w:tcW w:w="1593" w:type="dxa"/>
            <w:vAlign w:val="center"/>
          </w:tcPr>
          <w:p w14:paraId="7146484C" w14:textId="77777777" w:rsidR="00D81182" w:rsidRPr="00663B7C" w:rsidRDefault="00F66D95"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2 082</w:t>
            </w:r>
          </w:p>
        </w:tc>
      </w:tr>
      <w:tr w:rsidR="00F86638" w:rsidRPr="00BD5A90" w14:paraId="7641E4EA" w14:textId="77777777" w:rsidTr="00F86638">
        <w:trPr>
          <w:trHeight w:val="418"/>
        </w:trPr>
        <w:tc>
          <w:tcPr>
            <w:tcW w:w="4503" w:type="dxa"/>
            <w:vAlign w:val="center"/>
          </w:tcPr>
          <w:p w14:paraId="1BFC88BA" w14:textId="77777777" w:rsidR="00F86638" w:rsidRPr="00663B7C" w:rsidRDefault="00F86638" w:rsidP="00F86638">
            <w:pPr>
              <w:spacing w:after="0" w:line="240" w:lineRule="auto"/>
              <w:ind w:left="142"/>
              <w:rPr>
                <w:rFonts w:ascii="Times New Roman" w:eastAsia="Times New Roman" w:hAnsi="Times New Roman" w:cs="Times New Roman"/>
                <w:sz w:val="24"/>
                <w:szCs w:val="24"/>
                <w:lang w:eastAsia="ru-RU"/>
              </w:rPr>
            </w:pPr>
            <w:r w:rsidRPr="00F66D95">
              <w:rPr>
                <w:rFonts w:ascii="Times New Roman" w:eastAsia="Times New Roman" w:hAnsi="Times New Roman" w:cs="Times New Roman"/>
                <w:sz w:val="24"/>
                <w:szCs w:val="24"/>
                <w:lang w:eastAsia="ru-RU"/>
              </w:rPr>
              <w:t>Доля детей и подростков в возрасте 0-17 лет в общем числе международных мигрантов,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2160D8E" w14:textId="77777777" w:rsidR="00F86638" w:rsidRPr="00F86638" w:rsidRDefault="00F86638" w:rsidP="00F86638">
            <w:pPr>
              <w:spacing w:after="0" w:line="240" w:lineRule="auto"/>
              <w:jc w:val="center"/>
              <w:rPr>
                <w:rFonts w:ascii="Times New Roman" w:eastAsia="Times New Roman" w:hAnsi="Times New Roman" w:cs="Times New Roman"/>
                <w:sz w:val="24"/>
                <w:szCs w:val="24"/>
                <w:lang w:eastAsia="ru-RU"/>
              </w:rPr>
            </w:pPr>
            <w:r w:rsidRPr="00F86638">
              <w:rPr>
                <w:rFonts w:ascii="Times New Roman" w:eastAsia="Times New Roman" w:hAnsi="Times New Roman" w:cs="Times New Roman"/>
                <w:sz w:val="24"/>
                <w:szCs w:val="24"/>
                <w:lang w:eastAsia="ru-RU"/>
              </w:rPr>
              <w:t>4,6</w:t>
            </w:r>
          </w:p>
        </w:tc>
        <w:tc>
          <w:tcPr>
            <w:tcW w:w="1931" w:type="dxa"/>
            <w:tcBorders>
              <w:top w:val="single" w:sz="4" w:space="0" w:color="auto"/>
              <w:left w:val="nil"/>
              <w:bottom w:val="single" w:sz="4" w:space="0" w:color="auto"/>
              <w:right w:val="single" w:sz="4" w:space="0" w:color="auto"/>
            </w:tcBorders>
            <w:shd w:val="clear" w:color="auto" w:fill="auto"/>
            <w:vAlign w:val="center"/>
          </w:tcPr>
          <w:p w14:paraId="6312CD16" w14:textId="77777777" w:rsidR="00F86638" w:rsidRPr="00F86638" w:rsidRDefault="00F86638" w:rsidP="00F86638">
            <w:pPr>
              <w:spacing w:after="0" w:line="240" w:lineRule="auto"/>
              <w:jc w:val="center"/>
              <w:rPr>
                <w:rFonts w:ascii="Times New Roman" w:eastAsia="Times New Roman" w:hAnsi="Times New Roman" w:cs="Times New Roman"/>
                <w:sz w:val="24"/>
                <w:szCs w:val="24"/>
                <w:lang w:eastAsia="ru-RU"/>
              </w:rPr>
            </w:pPr>
            <w:r w:rsidRPr="00F86638">
              <w:rPr>
                <w:rFonts w:ascii="Times New Roman" w:eastAsia="Times New Roman" w:hAnsi="Times New Roman" w:cs="Times New Roman"/>
                <w:sz w:val="24"/>
                <w:szCs w:val="24"/>
                <w:lang w:eastAsia="ru-RU"/>
              </w:rPr>
              <w:t>-1,5</w:t>
            </w:r>
          </w:p>
        </w:tc>
        <w:tc>
          <w:tcPr>
            <w:tcW w:w="1593" w:type="dxa"/>
            <w:tcBorders>
              <w:top w:val="nil"/>
              <w:left w:val="nil"/>
              <w:bottom w:val="single" w:sz="4" w:space="0" w:color="auto"/>
              <w:right w:val="single" w:sz="4" w:space="0" w:color="auto"/>
            </w:tcBorders>
            <w:shd w:val="clear" w:color="auto" w:fill="auto"/>
            <w:vAlign w:val="center"/>
          </w:tcPr>
          <w:p w14:paraId="6352B04A" w14:textId="77777777" w:rsidR="00F86638" w:rsidRPr="00F86638" w:rsidRDefault="00F86638" w:rsidP="00F86638">
            <w:pPr>
              <w:spacing w:after="0" w:line="240" w:lineRule="auto"/>
              <w:jc w:val="center"/>
              <w:rPr>
                <w:rFonts w:ascii="Times New Roman" w:eastAsia="Times New Roman" w:hAnsi="Times New Roman" w:cs="Times New Roman"/>
                <w:sz w:val="24"/>
                <w:szCs w:val="24"/>
                <w:lang w:eastAsia="ru-RU"/>
              </w:rPr>
            </w:pPr>
            <w:r w:rsidRPr="00F86638">
              <w:rPr>
                <w:rFonts w:ascii="Times New Roman" w:eastAsia="Times New Roman" w:hAnsi="Times New Roman" w:cs="Times New Roman"/>
                <w:sz w:val="24"/>
                <w:szCs w:val="24"/>
                <w:lang w:eastAsia="ru-RU"/>
              </w:rPr>
              <w:t>6,1</w:t>
            </w:r>
          </w:p>
        </w:tc>
      </w:tr>
    </w:tbl>
    <w:p w14:paraId="58F7E3A3" w14:textId="77777777"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14:paraId="38E4BD28" w14:textId="77777777"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14:paraId="3A39724F" w14:textId="77777777" w:rsidR="00D03A4F" w:rsidRPr="00DA09E2" w:rsidRDefault="00D03A4F" w:rsidP="00D03A4F">
      <w:pPr>
        <w:spacing w:after="0" w:line="240" w:lineRule="auto"/>
        <w:jc w:val="right"/>
        <w:rPr>
          <w:rFonts w:ascii="Times New Roman" w:eastAsia="Times New Roman" w:hAnsi="Times New Roman" w:cs="Times New Roman"/>
          <w:sz w:val="26"/>
          <w:szCs w:val="26"/>
          <w:lang w:eastAsia="ru-RU"/>
        </w:rPr>
      </w:pPr>
      <w:r w:rsidRPr="00DA09E2">
        <w:rPr>
          <w:rFonts w:ascii="Times New Roman" w:eastAsia="Times New Roman" w:hAnsi="Times New Roman" w:cs="Times New Roman"/>
          <w:sz w:val="26"/>
          <w:szCs w:val="26"/>
          <w:lang w:eastAsia="ru-RU"/>
        </w:rPr>
        <w:t>Таблица 21</w:t>
      </w:r>
    </w:p>
    <w:p w14:paraId="48E3252E" w14:textId="77777777" w:rsidR="00D03A4F" w:rsidRPr="00DA09E2" w:rsidRDefault="00D03A4F" w:rsidP="00D03A4F">
      <w:pPr>
        <w:spacing w:after="0" w:line="240" w:lineRule="auto"/>
        <w:jc w:val="right"/>
        <w:rPr>
          <w:rFonts w:ascii="Times New Roman" w:eastAsia="Times New Roman" w:hAnsi="Times New Roman" w:cs="Times New Roman"/>
          <w:sz w:val="26"/>
          <w:szCs w:val="26"/>
          <w:lang w:eastAsia="ru-RU"/>
        </w:rPr>
      </w:pPr>
    </w:p>
    <w:p w14:paraId="4D161F71" w14:textId="77777777" w:rsidR="00D03A4F" w:rsidRPr="00117CDF" w:rsidRDefault="00D03A4F" w:rsidP="00D03A4F">
      <w:pPr>
        <w:spacing w:after="0" w:line="240" w:lineRule="auto"/>
        <w:jc w:val="center"/>
        <w:rPr>
          <w:rFonts w:ascii="Times New Roman" w:eastAsia="Times New Roman" w:hAnsi="Times New Roman" w:cs="Times New Roman"/>
          <w:b/>
          <w:sz w:val="26"/>
          <w:szCs w:val="26"/>
          <w:lang w:eastAsia="ru-RU"/>
        </w:rPr>
      </w:pPr>
      <w:r w:rsidRPr="00117CDF">
        <w:rPr>
          <w:rFonts w:ascii="Times New Roman" w:eastAsia="Times New Roman" w:hAnsi="Times New Roman" w:cs="Times New Roman"/>
          <w:b/>
          <w:sz w:val="26"/>
          <w:szCs w:val="26"/>
          <w:lang w:eastAsia="ru-RU"/>
        </w:rPr>
        <w:t>Распределение международных мигрантов в Российской Федерации по гражданству и отдельным возрастным группам</w:t>
      </w:r>
    </w:p>
    <w:p w14:paraId="64C101B3" w14:textId="77777777" w:rsidR="00D03A4F" w:rsidRPr="00DA09E2" w:rsidRDefault="00D03A4F" w:rsidP="00D03A4F">
      <w:pPr>
        <w:spacing w:after="0" w:line="240" w:lineRule="auto"/>
        <w:jc w:val="center"/>
        <w:rPr>
          <w:rFonts w:ascii="Times New Roman" w:eastAsia="Times New Roman" w:hAnsi="Times New Roman" w:cs="Times New Roman"/>
          <w:sz w:val="24"/>
          <w:szCs w:val="24"/>
          <w:lang w:eastAsia="ru-RU"/>
        </w:rPr>
      </w:pPr>
      <w:r w:rsidRPr="00117CDF">
        <w:rPr>
          <w:rFonts w:ascii="Times New Roman" w:eastAsia="Times New Roman" w:hAnsi="Times New Roman" w:cs="Times New Roman"/>
          <w:sz w:val="24"/>
          <w:szCs w:val="24"/>
          <w:lang w:eastAsia="ru-RU"/>
        </w:rPr>
        <w:t>(человек)</w:t>
      </w:r>
    </w:p>
    <w:p w14:paraId="5B6B0D16" w14:textId="77777777" w:rsidR="00D03A4F" w:rsidRPr="00DA09E2" w:rsidRDefault="00D03A4F" w:rsidP="00D03A4F">
      <w:pPr>
        <w:spacing w:after="0" w:line="240" w:lineRule="auto"/>
        <w:jc w:val="right"/>
        <w:rPr>
          <w:rFonts w:ascii="Times New Roman" w:eastAsia="Times New Roman" w:hAnsi="Times New Roman" w:cs="Times New Roman"/>
          <w:sz w:val="26"/>
          <w:szCs w:val="26"/>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985"/>
        <w:gridCol w:w="1984"/>
        <w:gridCol w:w="1701"/>
      </w:tblGrid>
      <w:tr w:rsidR="00D81182" w:rsidRPr="00DA09E2" w14:paraId="56C45C81" w14:textId="77777777" w:rsidTr="00944CB1">
        <w:trPr>
          <w:tblHeader/>
        </w:trPr>
        <w:tc>
          <w:tcPr>
            <w:tcW w:w="4361" w:type="dxa"/>
            <w:vAlign w:val="center"/>
          </w:tcPr>
          <w:p w14:paraId="34E1F5C3" w14:textId="77777777" w:rsidR="00D81182" w:rsidRPr="00DA09E2" w:rsidRDefault="00D81182" w:rsidP="00D03A4F">
            <w:pPr>
              <w:spacing w:after="0" w:line="240" w:lineRule="auto"/>
              <w:rPr>
                <w:rFonts w:ascii="Times New Roman" w:eastAsia="Times New Roman" w:hAnsi="Times New Roman" w:cs="Times New Roman"/>
                <w:sz w:val="24"/>
                <w:szCs w:val="24"/>
                <w:lang w:eastAsia="ru-RU"/>
              </w:rPr>
            </w:pPr>
          </w:p>
        </w:tc>
        <w:tc>
          <w:tcPr>
            <w:tcW w:w="1985" w:type="dxa"/>
            <w:vAlign w:val="center"/>
          </w:tcPr>
          <w:p w14:paraId="5B9DFB7A"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2019 г.</w:t>
            </w:r>
          </w:p>
        </w:tc>
        <w:tc>
          <w:tcPr>
            <w:tcW w:w="1984" w:type="dxa"/>
            <w:vAlign w:val="center"/>
          </w:tcPr>
          <w:p w14:paraId="56C555A7"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2020 г.</w:t>
            </w:r>
          </w:p>
        </w:tc>
        <w:tc>
          <w:tcPr>
            <w:tcW w:w="1701" w:type="dxa"/>
            <w:vAlign w:val="center"/>
          </w:tcPr>
          <w:p w14:paraId="6B73DBCE" w14:textId="77777777" w:rsidR="00D81182" w:rsidRPr="00DA09E2" w:rsidRDefault="00D81182"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w:t>
            </w:r>
          </w:p>
        </w:tc>
      </w:tr>
      <w:tr w:rsidR="00D81182" w:rsidRPr="00DA09E2" w14:paraId="7A686A2D" w14:textId="77777777" w:rsidTr="00944CB1">
        <w:tc>
          <w:tcPr>
            <w:tcW w:w="10031" w:type="dxa"/>
            <w:gridSpan w:val="4"/>
            <w:vAlign w:val="center"/>
          </w:tcPr>
          <w:p w14:paraId="461DA5A4" w14:textId="77777777" w:rsidR="00D81182" w:rsidRPr="00DA09E2" w:rsidRDefault="00D8118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Прибывшие</w:t>
            </w:r>
          </w:p>
        </w:tc>
      </w:tr>
      <w:tr w:rsidR="00D81182" w:rsidRPr="00DA09E2" w14:paraId="170F4A94" w14:textId="77777777" w:rsidTr="00944CB1">
        <w:tc>
          <w:tcPr>
            <w:tcW w:w="4361" w:type="dxa"/>
            <w:vAlign w:val="center"/>
          </w:tcPr>
          <w:p w14:paraId="12BE4C3E" w14:textId="77777777" w:rsidR="00D81182" w:rsidRPr="00DA09E2" w:rsidRDefault="00D81182"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Число прибывших из-за пределов России – всего</w:t>
            </w:r>
          </w:p>
        </w:tc>
        <w:tc>
          <w:tcPr>
            <w:tcW w:w="1985" w:type="dxa"/>
            <w:vAlign w:val="center"/>
          </w:tcPr>
          <w:p w14:paraId="297F9ECC" w14:textId="77777777" w:rsidR="00D81182" w:rsidRPr="00DA09E2" w:rsidRDefault="00D81182" w:rsidP="00D81182">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701 234</w:t>
            </w:r>
          </w:p>
        </w:tc>
        <w:tc>
          <w:tcPr>
            <w:tcW w:w="1984" w:type="dxa"/>
            <w:vAlign w:val="center"/>
          </w:tcPr>
          <w:p w14:paraId="1FFBBB66" w14:textId="77777777" w:rsidR="00D81182" w:rsidRPr="00DA09E2" w:rsidRDefault="00D81182" w:rsidP="00D81182">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594 146</w:t>
            </w:r>
          </w:p>
        </w:tc>
        <w:tc>
          <w:tcPr>
            <w:tcW w:w="1701" w:type="dxa"/>
            <w:vAlign w:val="center"/>
          </w:tcPr>
          <w:p w14:paraId="1750EFE1" w14:textId="77777777" w:rsidR="00D81182" w:rsidRPr="00A501D6" w:rsidRDefault="00A501D6" w:rsidP="00D03A4F">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667 922</w:t>
            </w:r>
          </w:p>
        </w:tc>
      </w:tr>
      <w:tr w:rsidR="00D81182" w:rsidRPr="00DA09E2" w14:paraId="5274117C" w14:textId="77777777" w:rsidTr="00944CB1">
        <w:trPr>
          <w:trHeight w:val="422"/>
        </w:trPr>
        <w:tc>
          <w:tcPr>
            <w:tcW w:w="4361" w:type="dxa"/>
            <w:vAlign w:val="center"/>
          </w:tcPr>
          <w:p w14:paraId="40ACE050" w14:textId="77777777" w:rsidR="00D81182" w:rsidRPr="00DA09E2" w:rsidRDefault="00D81182"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14:paraId="43264104"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14:paraId="2D991C22"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14:paraId="65D90A7C" w14:textId="77777777" w:rsidR="00D81182" w:rsidRPr="00DA09E2" w:rsidRDefault="00D81182" w:rsidP="00D03A4F">
            <w:pPr>
              <w:spacing w:after="0" w:line="240" w:lineRule="auto"/>
              <w:jc w:val="center"/>
              <w:rPr>
                <w:rFonts w:ascii="Times New Roman" w:eastAsia="Times New Roman" w:hAnsi="Times New Roman" w:cs="Times New Roman"/>
                <w:sz w:val="24"/>
                <w:szCs w:val="24"/>
                <w:lang w:eastAsia="ru-RU"/>
              </w:rPr>
            </w:pPr>
          </w:p>
        </w:tc>
      </w:tr>
      <w:tr w:rsidR="00D81182" w:rsidRPr="00DA09E2" w14:paraId="4FB26268" w14:textId="77777777" w:rsidTr="00944CB1">
        <w:trPr>
          <w:trHeight w:val="414"/>
        </w:trPr>
        <w:tc>
          <w:tcPr>
            <w:tcW w:w="4361" w:type="dxa"/>
            <w:vAlign w:val="center"/>
          </w:tcPr>
          <w:p w14:paraId="49CFA51A" w14:textId="77777777" w:rsidR="00D81182" w:rsidRPr="00DA09E2" w:rsidRDefault="00D81182"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14:paraId="3DFDB53B"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16 577</w:t>
            </w:r>
          </w:p>
        </w:tc>
        <w:tc>
          <w:tcPr>
            <w:tcW w:w="1984" w:type="dxa"/>
            <w:vAlign w:val="center"/>
          </w:tcPr>
          <w:p w14:paraId="491E69A8"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13 631</w:t>
            </w:r>
          </w:p>
        </w:tc>
        <w:tc>
          <w:tcPr>
            <w:tcW w:w="1701" w:type="dxa"/>
            <w:vAlign w:val="center"/>
          </w:tcPr>
          <w:p w14:paraId="2EC827FA" w14:textId="77777777" w:rsidR="00D81182" w:rsidRPr="00A501D6" w:rsidRDefault="00A501D6" w:rsidP="00D03A4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16 406</w:t>
            </w:r>
          </w:p>
        </w:tc>
      </w:tr>
      <w:tr w:rsidR="00D81182" w:rsidRPr="00DA09E2" w14:paraId="5FA878FD" w14:textId="77777777" w:rsidTr="00944CB1">
        <w:trPr>
          <w:trHeight w:val="419"/>
        </w:trPr>
        <w:tc>
          <w:tcPr>
            <w:tcW w:w="4361" w:type="dxa"/>
            <w:vAlign w:val="center"/>
          </w:tcPr>
          <w:p w14:paraId="09761FA7" w14:textId="77777777" w:rsidR="00D81182" w:rsidRPr="00DA09E2" w:rsidRDefault="00D81182"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14:paraId="13A9046A"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24 494</w:t>
            </w:r>
          </w:p>
        </w:tc>
        <w:tc>
          <w:tcPr>
            <w:tcW w:w="1984" w:type="dxa"/>
            <w:vAlign w:val="center"/>
          </w:tcPr>
          <w:p w14:paraId="561B1991"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21 146</w:t>
            </w:r>
          </w:p>
        </w:tc>
        <w:tc>
          <w:tcPr>
            <w:tcW w:w="1701" w:type="dxa"/>
            <w:vAlign w:val="center"/>
          </w:tcPr>
          <w:p w14:paraId="68B0BF51" w14:textId="77777777" w:rsidR="00D81182" w:rsidRPr="00A501D6" w:rsidRDefault="00A501D6" w:rsidP="00D03A4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22 498</w:t>
            </w:r>
          </w:p>
        </w:tc>
      </w:tr>
      <w:tr w:rsidR="00D81182" w:rsidRPr="00DA09E2" w14:paraId="18F94316" w14:textId="77777777" w:rsidTr="00944CB1">
        <w:trPr>
          <w:trHeight w:val="412"/>
        </w:trPr>
        <w:tc>
          <w:tcPr>
            <w:tcW w:w="4361" w:type="dxa"/>
            <w:vAlign w:val="center"/>
          </w:tcPr>
          <w:p w14:paraId="5D3677B2" w14:textId="77777777" w:rsidR="00D81182" w:rsidRPr="00DA09E2" w:rsidRDefault="00D81182"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14:paraId="0D9AD630"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22 323</w:t>
            </w:r>
          </w:p>
        </w:tc>
        <w:tc>
          <w:tcPr>
            <w:tcW w:w="1984" w:type="dxa"/>
            <w:vAlign w:val="center"/>
          </w:tcPr>
          <w:p w14:paraId="08179FD8"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19 947</w:t>
            </w:r>
          </w:p>
        </w:tc>
        <w:tc>
          <w:tcPr>
            <w:tcW w:w="1701" w:type="dxa"/>
            <w:vAlign w:val="center"/>
          </w:tcPr>
          <w:p w14:paraId="0D5BE1FC" w14:textId="77777777" w:rsidR="00D81182" w:rsidRPr="00A501D6" w:rsidRDefault="00A501D6" w:rsidP="00D03A4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21 577</w:t>
            </w:r>
          </w:p>
        </w:tc>
      </w:tr>
      <w:tr w:rsidR="00D81182" w:rsidRPr="00DA09E2" w14:paraId="38A6EEA0" w14:textId="77777777" w:rsidTr="00944CB1">
        <w:tc>
          <w:tcPr>
            <w:tcW w:w="4361" w:type="dxa"/>
            <w:vAlign w:val="center"/>
          </w:tcPr>
          <w:p w14:paraId="2D8F61DC" w14:textId="77777777" w:rsidR="00D81182" w:rsidRPr="00DA09E2" w:rsidRDefault="00D81182"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Число прибывших из-за пределов России граждан Российской Федерации – всего</w:t>
            </w:r>
          </w:p>
        </w:tc>
        <w:tc>
          <w:tcPr>
            <w:tcW w:w="1985" w:type="dxa"/>
            <w:vAlign w:val="center"/>
          </w:tcPr>
          <w:p w14:paraId="70A9F79B" w14:textId="77777777" w:rsidR="00D81182" w:rsidRPr="00DA09E2" w:rsidRDefault="00D81182" w:rsidP="00D81182">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200 185</w:t>
            </w:r>
          </w:p>
        </w:tc>
        <w:tc>
          <w:tcPr>
            <w:tcW w:w="1984" w:type="dxa"/>
            <w:vAlign w:val="center"/>
          </w:tcPr>
          <w:p w14:paraId="438CE879" w14:textId="77777777" w:rsidR="00D81182" w:rsidRPr="00DA09E2" w:rsidRDefault="00D81182" w:rsidP="00D81182">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214 939</w:t>
            </w:r>
          </w:p>
        </w:tc>
        <w:tc>
          <w:tcPr>
            <w:tcW w:w="1701" w:type="dxa"/>
            <w:vAlign w:val="center"/>
          </w:tcPr>
          <w:p w14:paraId="0FBF4AD8" w14:textId="77777777" w:rsidR="00D81182" w:rsidRPr="00A501D6" w:rsidRDefault="00A501D6" w:rsidP="00D03A4F">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277 372</w:t>
            </w:r>
          </w:p>
        </w:tc>
      </w:tr>
      <w:tr w:rsidR="00D81182" w:rsidRPr="00DA09E2" w14:paraId="73BDC977" w14:textId="77777777" w:rsidTr="00944CB1">
        <w:trPr>
          <w:trHeight w:val="429"/>
        </w:trPr>
        <w:tc>
          <w:tcPr>
            <w:tcW w:w="4361" w:type="dxa"/>
            <w:vAlign w:val="center"/>
          </w:tcPr>
          <w:p w14:paraId="771D45C4" w14:textId="77777777" w:rsidR="00D81182" w:rsidRPr="00DA09E2" w:rsidRDefault="00D81182"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14:paraId="390A61A5"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14:paraId="5E50D114"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14:paraId="5D71D9CF" w14:textId="77777777" w:rsidR="00D81182" w:rsidRPr="00DA09E2" w:rsidRDefault="00D81182" w:rsidP="00D03A4F">
            <w:pPr>
              <w:spacing w:after="0" w:line="240" w:lineRule="auto"/>
              <w:jc w:val="center"/>
              <w:rPr>
                <w:rFonts w:ascii="Times New Roman" w:eastAsia="Times New Roman" w:hAnsi="Times New Roman" w:cs="Times New Roman"/>
                <w:sz w:val="24"/>
                <w:szCs w:val="24"/>
                <w:lang w:eastAsia="ru-RU"/>
              </w:rPr>
            </w:pPr>
          </w:p>
        </w:tc>
      </w:tr>
      <w:tr w:rsidR="00D81182" w:rsidRPr="00DA09E2" w14:paraId="1F437940" w14:textId="77777777" w:rsidTr="00944CB1">
        <w:trPr>
          <w:trHeight w:val="408"/>
        </w:trPr>
        <w:tc>
          <w:tcPr>
            <w:tcW w:w="4361" w:type="dxa"/>
            <w:vAlign w:val="center"/>
          </w:tcPr>
          <w:p w14:paraId="52E6D051" w14:textId="77777777" w:rsidR="00D81182" w:rsidRPr="00DA09E2" w:rsidRDefault="00D81182"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14:paraId="7BD29774"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7 120</w:t>
            </w:r>
          </w:p>
        </w:tc>
        <w:tc>
          <w:tcPr>
            <w:tcW w:w="1984" w:type="dxa"/>
            <w:vAlign w:val="center"/>
          </w:tcPr>
          <w:p w14:paraId="590929C9"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6 948</w:t>
            </w:r>
          </w:p>
        </w:tc>
        <w:tc>
          <w:tcPr>
            <w:tcW w:w="1701" w:type="dxa"/>
            <w:vAlign w:val="center"/>
          </w:tcPr>
          <w:p w14:paraId="4F94EC8B" w14:textId="77777777" w:rsidR="00D81182" w:rsidRPr="00A501D6" w:rsidRDefault="00A501D6" w:rsidP="00D03A4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10 123</w:t>
            </w:r>
          </w:p>
        </w:tc>
      </w:tr>
      <w:tr w:rsidR="00D81182" w:rsidRPr="00DA09E2" w14:paraId="34CE9101" w14:textId="77777777" w:rsidTr="00944CB1">
        <w:trPr>
          <w:trHeight w:val="413"/>
        </w:trPr>
        <w:tc>
          <w:tcPr>
            <w:tcW w:w="4361" w:type="dxa"/>
            <w:vAlign w:val="center"/>
          </w:tcPr>
          <w:p w14:paraId="7A8F3D2D" w14:textId="77777777" w:rsidR="00D81182" w:rsidRPr="00DA09E2" w:rsidRDefault="00D81182"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14:paraId="642AD8A3"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12 544</w:t>
            </w:r>
          </w:p>
        </w:tc>
        <w:tc>
          <w:tcPr>
            <w:tcW w:w="1984" w:type="dxa"/>
            <w:vAlign w:val="center"/>
          </w:tcPr>
          <w:p w14:paraId="5AC5D7A1"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13 027</w:t>
            </w:r>
          </w:p>
        </w:tc>
        <w:tc>
          <w:tcPr>
            <w:tcW w:w="1701" w:type="dxa"/>
            <w:vAlign w:val="center"/>
          </w:tcPr>
          <w:p w14:paraId="72EE2356" w14:textId="77777777" w:rsidR="00D81182" w:rsidRPr="00A501D6" w:rsidRDefault="00A501D6" w:rsidP="00D03A4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15 296</w:t>
            </w:r>
          </w:p>
        </w:tc>
      </w:tr>
      <w:tr w:rsidR="00D81182" w:rsidRPr="00DA09E2" w14:paraId="49D4A8B4" w14:textId="77777777" w:rsidTr="00944CB1">
        <w:trPr>
          <w:trHeight w:val="419"/>
        </w:trPr>
        <w:tc>
          <w:tcPr>
            <w:tcW w:w="4361" w:type="dxa"/>
            <w:vAlign w:val="center"/>
          </w:tcPr>
          <w:p w14:paraId="739DA974" w14:textId="77777777" w:rsidR="00D81182" w:rsidRPr="00DA09E2" w:rsidRDefault="00D81182"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14:paraId="027ABC08"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11 993</w:t>
            </w:r>
          </w:p>
        </w:tc>
        <w:tc>
          <w:tcPr>
            <w:tcW w:w="1984" w:type="dxa"/>
            <w:vAlign w:val="center"/>
          </w:tcPr>
          <w:p w14:paraId="398C402B"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12 529</w:t>
            </w:r>
          </w:p>
        </w:tc>
        <w:tc>
          <w:tcPr>
            <w:tcW w:w="1701" w:type="dxa"/>
            <w:vAlign w:val="center"/>
          </w:tcPr>
          <w:p w14:paraId="5486937B" w14:textId="77777777" w:rsidR="00D81182" w:rsidRPr="00A501D6" w:rsidRDefault="00A501D6" w:rsidP="00D03A4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15 285</w:t>
            </w:r>
          </w:p>
        </w:tc>
      </w:tr>
      <w:tr w:rsidR="00D81182" w:rsidRPr="00DA09E2" w14:paraId="5B6FE75A" w14:textId="77777777" w:rsidTr="00944CB1">
        <w:tc>
          <w:tcPr>
            <w:tcW w:w="4361" w:type="dxa"/>
            <w:vAlign w:val="center"/>
          </w:tcPr>
          <w:p w14:paraId="7E58E51E" w14:textId="77777777" w:rsidR="00D81182" w:rsidRPr="00DA09E2" w:rsidRDefault="00D81182"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Число прибывших из-за пределов России иностранных граждан – всего</w:t>
            </w:r>
          </w:p>
        </w:tc>
        <w:tc>
          <w:tcPr>
            <w:tcW w:w="1985" w:type="dxa"/>
            <w:vAlign w:val="center"/>
          </w:tcPr>
          <w:p w14:paraId="335AA709" w14:textId="77777777" w:rsidR="00D81182" w:rsidRPr="00DA09E2" w:rsidRDefault="00D81182" w:rsidP="00D81182">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500 119</w:t>
            </w:r>
          </w:p>
        </w:tc>
        <w:tc>
          <w:tcPr>
            <w:tcW w:w="1984" w:type="dxa"/>
            <w:vAlign w:val="center"/>
          </w:tcPr>
          <w:p w14:paraId="37C6D6EB" w14:textId="77777777" w:rsidR="00D81182" w:rsidRPr="00DA09E2" w:rsidRDefault="00D81182" w:rsidP="00D81182">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378 634</w:t>
            </w:r>
          </w:p>
        </w:tc>
        <w:tc>
          <w:tcPr>
            <w:tcW w:w="1701" w:type="dxa"/>
            <w:vAlign w:val="center"/>
          </w:tcPr>
          <w:p w14:paraId="622FB642" w14:textId="77777777" w:rsidR="00D81182" w:rsidRPr="00A501D6" w:rsidRDefault="00A501D6" w:rsidP="00D03A4F">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389 988</w:t>
            </w:r>
          </w:p>
        </w:tc>
      </w:tr>
      <w:tr w:rsidR="00D81182" w:rsidRPr="00DA09E2" w14:paraId="1E309B21" w14:textId="77777777" w:rsidTr="00944CB1">
        <w:trPr>
          <w:trHeight w:val="419"/>
        </w:trPr>
        <w:tc>
          <w:tcPr>
            <w:tcW w:w="4361" w:type="dxa"/>
            <w:vAlign w:val="center"/>
          </w:tcPr>
          <w:p w14:paraId="6F0B5EAE" w14:textId="77777777" w:rsidR="00D81182" w:rsidRPr="00DA09E2" w:rsidRDefault="00D81182"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14:paraId="223C2423"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14:paraId="78430DFB"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14:paraId="3F7C4A06" w14:textId="77777777" w:rsidR="00D81182" w:rsidRPr="00DA09E2" w:rsidRDefault="00D81182" w:rsidP="00D03A4F">
            <w:pPr>
              <w:spacing w:after="0" w:line="240" w:lineRule="auto"/>
              <w:jc w:val="center"/>
              <w:rPr>
                <w:rFonts w:ascii="Times New Roman" w:eastAsia="Times New Roman" w:hAnsi="Times New Roman" w:cs="Times New Roman"/>
                <w:sz w:val="24"/>
                <w:szCs w:val="24"/>
                <w:lang w:eastAsia="ru-RU"/>
              </w:rPr>
            </w:pPr>
          </w:p>
        </w:tc>
      </w:tr>
      <w:tr w:rsidR="00D81182" w:rsidRPr="00DA09E2" w14:paraId="6703943E" w14:textId="77777777" w:rsidTr="00944CB1">
        <w:trPr>
          <w:trHeight w:val="412"/>
        </w:trPr>
        <w:tc>
          <w:tcPr>
            <w:tcW w:w="4361" w:type="dxa"/>
            <w:vAlign w:val="center"/>
          </w:tcPr>
          <w:p w14:paraId="49BBF763" w14:textId="77777777" w:rsidR="00D81182" w:rsidRPr="00DA09E2" w:rsidRDefault="00D81182"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14:paraId="4B0E65DC"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9 448</w:t>
            </w:r>
          </w:p>
        </w:tc>
        <w:tc>
          <w:tcPr>
            <w:tcW w:w="1984" w:type="dxa"/>
            <w:vAlign w:val="center"/>
          </w:tcPr>
          <w:p w14:paraId="02667B0C"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6 677</w:t>
            </w:r>
          </w:p>
        </w:tc>
        <w:tc>
          <w:tcPr>
            <w:tcW w:w="1701" w:type="dxa"/>
            <w:vAlign w:val="center"/>
          </w:tcPr>
          <w:p w14:paraId="308B31D5" w14:textId="77777777" w:rsidR="00D81182" w:rsidRPr="00A501D6" w:rsidRDefault="00A501D6" w:rsidP="00D03A4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6 277</w:t>
            </w:r>
          </w:p>
        </w:tc>
      </w:tr>
      <w:tr w:rsidR="00D81182" w:rsidRPr="00DA09E2" w14:paraId="0AC6C79C" w14:textId="77777777" w:rsidTr="00944CB1">
        <w:trPr>
          <w:trHeight w:val="417"/>
        </w:trPr>
        <w:tc>
          <w:tcPr>
            <w:tcW w:w="4361" w:type="dxa"/>
            <w:vAlign w:val="center"/>
          </w:tcPr>
          <w:p w14:paraId="0F5AF388" w14:textId="77777777" w:rsidR="00D81182" w:rsidRPr="00DA09E2" w:rsidRDefault="00D81182"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14:paraId="2F3D5630"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11 945</w:t>
            </w:r>
          </w:p>
        </w:tc>
        <w:tc>
          <w:tcPr>
            <w:tcW w:w="1984" w:type="dxa"/>
            <w:vAlign w:val="center"/>
          </w:tcPr>
          <w:p w14:paraId="5F20489A"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8 118</w:t>
            </w:r>
          </w:p>
        </w:tc>
        <w:tc>
          <w:tcPr>
            <w:tcW w:w="1701" w:type="dxa"/>
            <w:vAlign w:val="center"/>
          </w:tcPr>
          <w:p w14:paraId="748E1BA0" w14:textId="77777777" w:rsidR="00D81182" w:rsidRPr="00A501D6" w:rsidRDefault="00A501D6" w:rsidP="00D03A4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7 195</w:t>
            </w:r>
          </w:p>
        </w:tc>
      </w:tr>
      <w:tr w:rsidR="00D81182" w:rsidRPr="00DA09E2" w14:paraId="7D28E4DD" w14:textId="77777777" w:rsidTr="00944CB1">
        <w:trPr>
          <w:trHeight w:val="423"/>
        </w:trPr>
        <w:tc>
          <w:tcPr>
            <w:tcW w:w="4361" w:type="dxa"/>
            <w:vAlign w:val="center"/>
          </w:tcPr>
          <w:p w14:paraId="06E4502A" w14:textId="77777777" w:rsidR="00D81182" w:rsidRPr="00DA09E2" w:rsidRDefault="00D81182"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14:paraId="7FE42057"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10 320</w:t>
            </w:r>
          </w:p>
        </w:tc>
        <w:tc>
          <w:tcPr>
            <w:tcW w:w="1984" w:type="dxa"/>
            <w:vAlign w:val="center"/>
          </w:tcPr>
          <w:p w14:paraId="6DB99593"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7 414</w:t>
            </w:r>
          </w:p>
        </w:tc>
        <w:tc>
          <w:tcPr>
            <w:tcW w:w="1701" w:type="dxa"/>
            <w:vAlign w:val="center"/>
          </w:tcPr>
          <w:p w14:paraId="03AC1EDE" w14:textId="77777777" w:rsidR="00D81182" w:rsidRPr="007D5559" w:rsidRDefault="007D5559" w:rsidP="00D03A4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6 285</w:t>
            </w:r>
          </w:p>
        </w:tc>
      </w:tr>
      <w:tr w:rsidR="00D81182" w:rsidRPr="00DA09E2" w14:paraId="4D049E49" w14:textId="77777777" w:rsidTr="00944CB1">
        <w:tc>
          <w:tcPr>
            <w:tcW w:w="4361" w:type="dxa"/>
            <w:vAlign w:val="center"/>
          </w:tcPr>
          <w:p w14:paraId="24E0F7A9" w14:textId="77777777" w:rsidR="00D81182" w:rsidRPr="00DA09E2" w:rsidRDefault="00D81182"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Число прибывших из-за пределов России лиц без гражданства и не указавших гражданство – всего</w:t>
            </w:r>
          </w:p>
        </w:tc>
        <w:tc>
          <w:tcPr>
            <w:tcW w:w="1985" w:type="dxa"/>
            <w:vAlign w:val="center"/>
          </w:tcPr>
          <w:p w14:paraId="6589CE28" w14:textId="77777777" w:rsidR="00D81182" w:rsidRPr="00DA09E2" w:rsidRDefault="00D81182" w:rsidP="00D81182">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930</w:t>
            </w:r>
          </w:p>
        </w:tc>
        <w:tc>
          <w:tcPr>
            <w:tcW w:w="1984" w:type="dxa"/>
            <w:vAlign w:val="center"/>
          </w:tcPr>
          <w:p w14:paraId="72B6C479" w14:textId="77777777" w:rsidR="00D81182" w:rsidRPr="00DA09E2" w:rsidRDefault="00D81182" w:rsidP="00D81182">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573</w:t>
            </w:r>
          </w:p>
        </w:tc>
        <w:tc>
          <w:tcPr>
            <w:tcW w:w="1701" w:type="dxa"/>
            <w:vAlign w:val="center"/>
          </w:tcPr>
          <w:p w14:paraId="689C3E08" w14:textId="77777777" w:rsidR="00D81182" w:rsidRPr="007D5559" w:rsidRDefault="007D5559" w:rsidP="00D03A4F">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562</w:t>
            </w:r>
          </w:p>
        </w:tc>
      </w:tr>
      <w:tr w:rsidR="00D81182" w:rsidRPr="00DA09E2" w14:paraId="50B2536C" w14:textId="77777777" w:rsidTr="00944CB1">
        <w:trPr>
          <w:trHeight w:val="427"/>
        </w:trPr>
        <w:tc>
          <w:tcPr>
            <w:tcW w:w="4361" w:type="dxa"/>
            <w:vAlign w:val="center"/>
          </w:tcPr>
          <w:p w14:paraId="45392724" w14:textId="77777777" w:rsidR="00D81182" w:rsidRPr="00DA09E2" w:rsidRDefault="00D81182"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14:paraId="3C9F7B00"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14:paraId="4D3E908E"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14:paraId="743C8474" w14:textId="77777777" w:rsidR="00D81182" w:rsidRPr="00DA09E2" w:rsidRDefault="00D81182" w:rsidP="00D03A4F">
            <w:pPr>
              <w:spacing w:after="0" w:line="240" w:lineRule="auto"/>
              <w:jc w:val="center"/>
              <w:rPr>
                <w:rFonts w:ascii="Times New Roman" w:eastAsia="Times New Roman" w:hAnsi="Times New Roman" w:cs="Times New Roman"/>
                <w:sz w:val="24"/>
                <w:szCs w:val="24"/>
                <w:lang w:eastAsia="ru-RU"/>
              </w:rPr>
            </w:pPr>
          </w:p>
        </w:tc>
      </w:tr>
      <w:tr w:rsidR="00D81182" w:rsidRPr="00DA09E2" w14:paraId="0A1A5320" w14:textId="77777777" w:rsidTr="00944CB1">
        <w:trPr>
          <w:trHeight w:val="419"/>
        </w:trPr>
        <w:tc>
          <w:tcPr>
            <w:tcW w:w="4361" w:type="dxa"/>
            <w:vAlign w:val="center"/>
          </w:tcPr>
          <w:p w14:paraId="643724AF" w14:textId="77777777" w:rsidR="00D81182" w:rsidRPr="00DA09E2" w:rsidRDefault="00D81182"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14:paraId="32872E3C"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9</w:t>
            </w:r>
          </w:p>
        </w:tc>
        <w:tc>
          <w:tcPr>
            <w:tcW w:w="1984" w:type="dxa"/>
            <w:vAlign w:val="center"/>
          </w:tcPr>
          <w:p w14:paraId="0705736A"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w:t>
            </w:r>
          </w:p>
        </w:tc>
        <w:tc>
          <w:tcPr>
            <w:tcW w:w="1701" w:type="dxa"/>
            <w:vAlign w:val="center"/>
          </w:tcPr>
          <w:p w14:paraId="77296526" w14:textId="77777777" w:rsidR="00D81182" w:rsidRPr="007D5559" w:rsidRDefault="007D5559" w:rsidP="00D03A4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p>
        </w:tc>
      </w:tr>
      <w:tr w:rsidR="00D81182" w:rsidRPr="00DA09E2" w14:paraId="77CC850F" w14:textId="77777777" w:rsidTr="00944CB1">
        <w:trPr>
          <w:trHeight w:val="411"/>
        </w:trPr>
        <w:tc>
          <w:tcPr>
            <w:tcW w:w="4361" w:type="dxa"/>
            <w:vAlign w:val="center"/>
          </w:tcPr>
          <w:p w14:paraId="2EF3B0E4" w14:textId="77777777" w:rsidR="00D81182" w:rsidRPr="00DA09E2" w:rsidRDefault="00D81182"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14:paraId="55D5F27E"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w:t>
            </w:r>
          </w:p>
        </w:tc>
        <w:tc>
          <w:tcPr>
            <w:tcW w:w="1984" w:type="dxa"/>
            <w:vAlign w:val="center"/>
          </w:tcPr>
          <w:p w14:paraId="0BC4B98C"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w:t>
            </w:r>
          </w:p>
        </w:tc>
        <w:tc>
          <w:tcPr>
            <w:tcW w:w="1701" w:type="dxa"/>
            <w:vAlign w:val="center"/>
          </w:tcPr>
          <w:p w14:paraId="150EE74F" w14:textId="77777777" w:rsidR="00D81182" w:rsidRPr="007D5559" w:rsidRDefault="007D5559" w:rsidP="00D03A4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w:t>
            </w:r>
          </w:p>
        </w:tc>
      </w:tr>
      <w:tr w:rsidR="00D81182" w:rsidRPr="00DA09E2" w14:paraId="66D8CDFF" w14:textId="77777777" w:rsidTr="00944CB1">
        <w:trPr>
          <w:trHeight w:val="417"/>
        </w:trPr>
        <w:tc>
          <w:tcPr>
            <w:tcW w:w="4361" w:type="dxa"/>
            <w:vAlign w:val="center"/>
          </w:tcPr>
          <w:p w14:paraId="7C197599" w14:textId="77777777" w:rsidR="00D81182" w:rsidRPr="00DA09E2" w:rsidRDefault="00D81182"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14:paraId="77C1772C"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w:t>
            </w:r>
          </w:p>
        </w:tc>
        <w:tc>
          <w:tcPr>
            <w:tcW w:w="1984" w:type="dxa"/>
            <w:vAlign w:val="center"/>
          </w:tcPr>
          <w:p w14:paraId="5405D848"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4</w:t>
            </w:r>
          </w:p>
        </w:tc>
        <w:tc>
          <w:tcPr>
            <w:tcW w:w="1701" w:type="dxa"/>
            <w:vAlign w:val="center"/>
          </w:tcPr>
          <w:p w14:paraId="7F472163" w14:textId="77777777" w:rsidR="00D81182" w:rsidRPr="007D5559" w:rsidRDefault="007D5559" w:rsidP="00D03A4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w:t>
            </w:r>
          </w:p>
        </w:tc>
      </w:tr>
      <w:tr w:rsidR="00D81182" w:rsidRPr="00DA09E2" w14:paraId="55194DEC" w14:textId="77777777" w:rsidTr="00944CB1">
        <w:trPr>
          <w:trHeight w:val="420"/>
        </w:trPr>
        <w:tc>
          <w:tcPr>
            <w:tcW w:w="10031" w:type="dxa"/>
            <w:gridSpan w:val="4"/>
            <w:vAlign w:val="center"/>
          </w:tcPr>
          <w:p w14:paraId="2663935E" w14:textId="77777777" w:rsidR="00D81182" w:rsidRPr="00DA09E2" w:rsidRDefault="00D8118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Выбывшие</w:t>
            </w:r>
          </w:p>
        </w:tc>
      </w:tr>
      <w:tr w:rsidR="00D81182" w:rsidRPr="00DA09E2" w14:paraId="6653A98C" w14:textId="77777777" w:rsidTr="00944CB1">
        <w:tc>
          <w:tcPr>
            <w:tcW w:w="4361" w:type="dxa"/>
            <w:vAlign w:val="center"/>
          </w:tcPr>
          <w:p w14:paraId="46CF293B" w14:textId="77777777" w:rsidR="00D81182" w:rsidRPr="00DA09E2" w:rsidRDefault="00D81182"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 xml:space="preserve">Число выбывших за пределы </w:t>
            </w:r>
            <w:r w:rsidR="000E4DBF">
              <w:rPr>
                <w:rFonts w:ascii="Times New Roman" w:eastAsia="Times New Roman" w:hAnsi="Times New Roman" w:cs="Times New Roman"/>
                <w:b/>
                <w:sz w:val="24"/>
                <w:szCs w:val="24"/>
                <w:lang w:eastAsia="ru-RU"/>
              </w:rPr>
              <w:br/>
            </w:r>
            <w:r w:rsidRPr="00DA09E2">
              <w:rPr>
                <w:rFonts w:ascii="Times New Roman" w:eastAsia="Times New Roman" w:hAnsi="Times New Roman" w:cs="Times New Roman"/>
                <w:b/>
                <w:sz w:val="24"/>
                <w:szCs w:val="24"/>
                <w:lang w:eastAsia="ru-RU"/>
              </w:rPr>
              <w:t>России – всего</w:t>
            </w:r>
          </w:p>
        </w:tc>
        <w:tc>
          <w:tcPr>
            <w:tcW w:w="1985" w:type="dxa"/>
            <w:vAlign w:val="center"/>
          </w:tcPr>
          <w:p w14:paraId="146D95C0"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b/>
                <w:sz w:val="24"/>
                <w:szCs w:val="24"/>
                <w:lang w:eastAsia="ru-RU"/>
              </w:rPr>
              <w:t>416</w:t>
            </w:r>
            <w:r>
              <w:rPr>
                <w:rFonts w:ascii="Times New Roman" w:eastAsia="Times New Roman" w:hAnsi="Times New Roman" w:cs="Times New Roman"/>
                <w:b/>
                <w:sz w:val="24"/>
                <w:szCs w:val="24"/>
                <w:lang w:eastAsia="ru-RU"/>
              </w:rPr>
              <w:t xml:space="preserve"> </w:t>
            </w:r>
            <w:r w:rsidRPr="00DA09E2">
              <w:rPr>
                <w:rFonts w:ascii="Times New Roman" w:eastAsia="Times New Roman" w:hAnsi="Times New Roman" w:cs="Times New Roman"/>
                <w:b/>
                <w:sz w:val="24"/>
                <w:szCs w:val="24"/>
                <w:lang w:eastAsia="ru-RU"/>
              </w:rPr>
              <w:t>131</w:t>
            </w:r>
          </w:p>
        </w:tc>
        <w:tc>
          <w:tcPr>
            <w:tcW w:w="1984" w:type="dxa"/>
            <w:vAlign w:val="center"/>
          </w:tcPr>
          <w:p w14:paraId="4B16AE02" w14:textId="77777777" w:rsidR="00D81182" w:rsidRPr="00DA09E2" w:rsidRDefault="00D81182" w:rsidP="00D81182">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487 672</w:t>
            </w:r>
          </w:p>
        </w:tc>
        <w:tc>
          <w:tcPr>
            <w:tcW w:w="1701" w:type="dxa"/>
            <w:vAlign w:val="center"/>
          </w:tcPr>
          <w:p w14:paraId="401E529A" w14:textId="77777777" w:rsidR="00D81182" w:rsidRPr="000E4DBF" w:rsidRDefault="007D5559" w:rsidP="00D03A4F">
            <w:pPr>
              <w:spacing w:after="0" w:line="240" w:lineRule="auto"/>
              <w:jc w:val="center"/>
              <w:rPr>
                <w:rFonts w:ascii="Times New Roman" w:eastAsia="Times New Roman" w:hAnsi="Times New Roman" w:cs="Times New Roman"/>
                <w:b/>
                <w:sz w:val="24"/>
                <w:szCs w:val="24"/>
                <w:lang w:eastAsia="ru-RU"/>
              </w:rPr>
            </w:pPr>
            <w:r w:rsidRPr="000E4DBF">
              <w:rPr>
                <w:rFonts w:ascii="Times New Roman" w:eastAsia="Times New Roman" w:hAnsi="Times New Roman" w:cs="Times New Roman"/>
                <w:b/>
                <w:sz w:val="24"/>
                <w:szCs w:val="24"/>
                <w:lang w:eastAsia="ru-RU"/>
              </w:rPr>
              <w:t>238 020</w:t>
            </w:r>
          </w:p>
        </w:tc>
      </w:tr>
      <w:tr w:rsidR="00D81182" w:rsidRPr="00DA09E2" w14:paraId="4B8D0DDD" w14:textId="77777777" w:rsidTr="00D81182">
        <w:trPr>
          <w:trHeight w:val="423"/>
        </w:trPr>
        <w:tc>
          <w:tcPr>
            <w:tcW w:w="4361" w:type="dxa"/>
            <w:vAlign w:val="center"/>
          </w:tcPr>
          <w:p w14:paraId="329C4444" w14:textId="77777777" w:rsidR="00D81182" w:rsidRPr="00DA09E2" w:rsidRDefault="00D81182"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tcPr>
          <w:p w14:paraId="2FF3A777"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p>
        </w:tc>
        <w:tc>
          <w:tcPr>
            <w:tcW w:w="1984" w:type="dxa"/>
          </w:tcPr>
          <w:p w14:paraId="316C5400"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p>
        </w:tc>
        <w:tc>
          <w:tcPr>
            <w:tcW w:w="1701" w:type="dxa"/>
          </w:tcPr>
          <w:p w14:paraId="23DF60B0" w14:textId="77777777" w:rsidR="00D81182" w:rsidRPr="00DA09E2" w:rsidRDefault="00D81182" w:rsidP="00D03A4F">
            <w:pPr>
              <w:spacing w:after="0" w:line="240" w:lineRule="auto"/>
              <w:jc w:val="center"/>
              <w:rPr>
                <w:rFonts w:ascii="Times New Roman" w:eastAsia="Times New Roman" w:hAnsi="Times New Roman" w:cs="Times New Roman"/>
                <w:sz w:val="24"/>
                <w:szCs w:val="24"/>
                <w:lang w:eastAsia="ru-RU"/>
              </w:rPr>
            </w:pPr>
          </w:p>
        </w:tc>
      </w:tr>
      <w:tr w:rsidR="00D81182" w:rsidRPr="00DA09E2" w14:paraId="5F391BC3" w14:textId="77777777" w:rsidTr="00944CB1">
        <w:trPr>
          <w:trHeight w:val="415"/>
        </w:trPr>
        <w:tc>
          <w:tcPr>
            <w:tcW w:w="4361" w:type="dxa"/>
            <w:vAlign w:val="center"/>
          </w:tcPr>
          <w:p w14:paraId="7D59AD86" w14:textId="77777777" w:rsidR="00D81182" w:rsidRPr="00DA09E2" w:rsidRDefault="00D81182"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14:paraId="7462F080"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6296</w:t>
            </w:r>
          </w:p>
        </w:tc>
        <w:tc>
          <w:tcPr>
            <w:tcW w:w="1984" w:type="dxa"/>
            <w:vAlign w:val="center"/>
          </w:tcPr>
          <w:p w14:paraId="12B16466"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6 898</w:t>
            </w:r>
          </w:p>
        </w:tc>
        <w:tc>
          <w:tcPr>
            <w:tcW w:w="1701" w:type="dxa"/>
            <w:vAlign w:val="center"/>
          </w:tcPr>
          <w:p w14:paraId="3A65674F" w14:textId="77777777" w:rsidR="00D81182" w:rsidRPr="000E4DBF" w:rsidRDefault="007D5559" w:rsidP="00D03A4F">
            <w:pPr>
              <w:spacing w:after="0" w:line="240" w:lineRule="auto"/>
              <w:jc w:val="center"/>
              <w:rPr>
                <w:rFonts w:ascii="Times New Roman" w:eastAsia="Times New Roman" w:hAnsi="Times New Roman" w:cs="Times New Roman"/>
                <w:sz w:val="24"/>
                <w:szCs w:val="24"/>
                <w:lang w:eastAsia="ru-RU"/>
              </w:rPr>
            </w:pPr>
            <w:r w:rsidRPr="000E4DBF">
              <w:rPr>
                <w:rFonts w:ascii="Times New Roman" w:eastAsia="Times New Roman" w:hAnsi="Times New Roman" w:cs="Times New Roman"/>
                <w:sz w:val="24"/>
                <w:szCs w:val="24"/>
                <w:lang w:eastAsia="ru-RU"/>
              </w:rPr>
              <w:t>3 400</w:t>
            </w:r>
          </w:p>
        </w:tc>
      </w:tr>
      <w:tr w:rsidR="00D81182" w:rsidRPr="00DA09E2" w14:paraId="1072947C" w14:textId="77777777" w:rsidTr="00944CB1">
        <w:trPr>
          <w:trHeight w:val="408"/>
        </w:trPr>
        <w:tc>
          <w:tcPr>
            <w:tcW w:w="4361" w:type="dxa"/>
            <w:vAlign w:val="center"/>
          </w:tcPr>
          <w:p w14:paraId="2CEAEE6B" w14:textId="77777777" w:rsidR="00D81182" w:rsidRPr="00DA09E2" w:rsidRDefault="00D81182"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14:paraId="4BC94BE6"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14792</w:t>
            </w:r>
          </w:p>
        </w:tc>
        <w:tc>
          <w:tcPr>
            <w:tcW w:w="1984" w:type="dxa"/>
            <w:vAlign w:val="center"/>
          </w:tcPr>
          <w:p w14:paraId="047185E8"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14 463</w:t>
            </w:r>
          </w:p>
        </w:tc>
        <w:tc>
          <w:tcPr>
            <w:tcW w:w="1701" w:type="dxa"/>
            <w:vAlign w:val="center"/>
          </w:tcPr>
          <w:p w14:paraId="122AD679" w14:textId="77777777" w:rsidR="00D81182" w:rsidRPr="000E4DBF" w:rsidRDefault="007D5559" w:rsidP="00D03A4F">
            <w:pPr>
              <w:spacing w:after="0" w:line="240" w:lineRule="auto"/>
              <w:jc w:val="center"/>
              <w:rPr>
                <w:rFonts w:ascii="Times New Roman" w:eastAsia="Times New Roman" w:hAnsi="Times New Roman" w:cs="Times New Roman"/>
                <w:sz w:val="24"/>
                <w:szCs w:val="24"/>
                <w:lang w:eastAsia="ru-RU"/>
              </w:rPr>
            </w:pPr>
            <w:r w:rsidRPr="000E4DBF">
              <w:rPr>
                <w:rFonts w:ascii="Times New Roman" w:eastAsia="Times New Roman" w:hAnsi="Times New Roman" w:cs="Times New Roman"/>
                <w:sz w:val="24"/>
                <w:szCs w:val="24"/>
                <w:lang w:eastAsia="ru-RU"/>
              </w:rPr>
              <w:t>7 659</w:t>
            </w:r>
          </w:p>
        </w:tc>
      </w:tr>
      <w:tr w:rsidR="00D81182" w:rsidRPr="00DA09E2" w14:paraId="15BD9F76" w14:textId="77777777" w:rsidTr="00944CB1">
        <w:trPr>
          <w:trHeight w:val="400"/>
        </w:trPr>
        <w:tc>
          <w:tcPr>
            <w:tcW w:w="4361" w:type="dxa"/>
            <w:vAlign w:val="center"/>
          </w:tcPr>
          <w:p w14:paraId="16B71930" w14:textId="77777777" w:rsidR="00D81182" w:rsidRPr="00DA09E2" w:rsidRDefault="00D81182"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14:paraId="094E0C80"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12723</w:t>
            </w:r>
          </w:p>
        </w:tc>
        <w:tc>
          <w:tcPr>
            <w:tcW w:w="1984" w:type="dxa"/>
            <w:vAlign w:val="center"/>
          </w:tcPr>
          <w:p w14:paraId="1242379C"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13 339</w:t>
            </w:r>
          </w:p>
        </w:tc>
        <w:tc>
          <w:tcPr>
            <w:tcW w:w="1701" w:type="dxa"/>
            <w:vAlign w:val="center"/>
          </w:tcPr>
          <w:p w14:paraId="115C1C7D" w14:textId="77777777" w:rsidR="00D81182" w:rsidRPr="007D5559" w:rsidRDefault="007D5559" w:rsidP="00D03A4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7 642</w:t>
            </w:r>
          </w:p>
        </w:tc>
      </w:tr>
      <w:tr w:rsidR="00D81182" w:rsidRPr="00DA09E2" w14:paraId="654AFE73" w14:textId="77777777" w:rsidTr="00944CB1">
        <w:tc>
          <w:tcPr>
            <w:tcW w:w="4361" w:type="dxa"/>
            <w:vAlign w:val="center"/>
          </w:tcPr>
          <w:p w14:paraId="269B2040" w14:textId="77777777" w:rsidR="00D81182" w:rsidRPr="00DA09E2" w:rsidRDefault="00D81182"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Число выбывших за пределы России граждан Российской Федерации – всего</w:t>
            </w:r>
          </w:p>
        </w:tc>
        <w:tc>
          <w:tcPr>
            <w:tcW w:w="1985" w:type="dxa"/>
            <w:vAlign w:val="center"/>
          </w:tcPr>
          <w:p w14:paraId="2830FB70" w14:textId="77777777" w:rsidR="00D81182" w:rsidRPr="00DA09E2" w:rsidRDefault="00D81182" w:rsidP="00D81182">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73 382</w:t>
            </w:r>
          </w:p>
        </w:tc>
        <w:tc>
          <w:tcPr>
            <w:tcW w:w="1984" w:type="dxa"/>
            <w:vAlign w:val="center"/>
          </w:tcPr>
          <w:p w14:paraId="7A2AB666" w14:textId="77777777" w:rsidR="00D81182" w:rsidRPr="00DA09E2" w:rsidRDefault="00D81182" w:rsidP="00D81182">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65 470</w:t>
            </w:r>
          </w:p>
        </w:tc>
        <w:tc>
          <w:tcPr>
            <w:tcW w:w="1701" w:type="dxa"/>
            <w:vAlign w:val="center"/>
          </w:tcPr>
          <w:p w14:paraId="53A46888" w14:textId="77777777" w:rsidR="00D81182" w:rsidRPr="007D5559" w:rsidRDefault="007D5559" w:rsidP="00D03A4F">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63 915</w:t>
            </w:r>
          </w:p>
        </w:tc>
      </w:tr>
      <w:tr w:rsidR="00D81182" w:rsidRPr="00DA09E2" w14:paraId="54718051" w14:textId="77777777" w:rsidTr="00944CB1">
        <w:trPr>
          <w:trHeight w:val="432"/>
        </w:trPr>
        <w:tc>
          <w:tcPr>
            <w:tcW w:w="4361" w:type="dxa"/>
            <w:vAlign w:val="center"/>
          </w:tcPr>
          <w:p w14:paraId="091061D7" w14:textId="77777777" w:rsidR="00D81182" w:rsidRPr="00DA09E2" w:rsidRDefault="00D81182"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14:paraId="54862356"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14:paraId="390676DB"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14:paraId="480A7684" w14:textId="77777777" w:rsidR="00D81182" w:rsidRPr="00DA09E2" w:rsidRDefault="00D81182" w:rsidP="00D03A4F">
            <w:pPr>
              <w:spacing w:after="0" w:line="240" w:lineRule="auto"/>
              <w:jc w:val="center"/>
              <w:rPr>
                <w:rFonts w:ascii="Times New Roman" w:eastAsia="Times New Roman" w:hAnsi="Times New Roman" w:cs="Times New Roman"/>
                <w:sz w:val="24"/>
                <w:szCs w:val="24"/>
                <w:lang w:eastAsia="ru-RU"/>
              </w:rPr>
            </w:pPr>
          </w:p>
        </w:tc>
      </w:tr>
      <w:tr w:rsidR="00D81182" w:rsidRPr="00DA09E2" w14:paraId="460E2C49" w14:textId="77777777" w:rsidTr="00944CB1">
        <w:trPr>
          <w:trHeight w:val="423"/>
        </w:trPr>
        <w:tc>
          <w:tcPr>
            <w:tcW w:w="4361" w:type="dxa"/>
            <w:vAlign w:val="center"/>
          </w:tcPr>
          <w:p w14:paraId="21547F84" w14:textId="77777777" w:rsidR="00D81182" w:rsidRPr="00DA09E2" w:rsidRDefault="00D81182"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14:paraId="41ACA77F"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1 739</w:t>
            </w:r>
          </w:p>
        </w:tc>
        <w:tc>
          <w:tcPr>
            <w:tcW w:w="1984" w:type="dxa"/>
            <w:vAlign w:val="center"/>
          </w:tcPr>
          <w:p w14:paraId="17A283FD"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1 306</w:t>
            </w:r>
          </w:p>
        </w:tc>
        <w:tc>
          <w:tcPr>
            <w:tcW w:w="1701" w:type="dxa"/>
            <w:vAlign w:val="center"/>
          </w:tcPr>
          <w:p w14:paraId="50AE3403" w14:textId="77777777" w:rsidR="00D81182" w:rsidRPr="007D5559" w:rsidRDefault="007D5559" w:rsidP="00D03A4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1 212</w:t>
            </w:r>
          </w:p>
        </w:tc>
      </w:tr>
      <w:tr w:rsidR="00D81182" w:rsidRPr="00DA09E2" w14:paraId="4B6DD537" w14:textId="77777777" w:rsidTr="00944CB1">
        <w:trPr>
          <w:trHeight w:val="415"/>
        </w:trPr>
        <w:tc>
          <w:tcPr>
            <w:tcW w:w="4361" w:type="dxa"/>
            <w:vAlign w:val="center"/>
          </w:tcPr>
          <w:p w14:paraId="28C5B427" w14:textId="77777777" w:rsidR="00D81182" w:rsidRPr="00DA09E2" w:rsidRDefault="00D81182"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14:paraId="439D0885"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4455</w:t>
            </w:r>
          </w:p>
        </w:tc>
        <w:tc>
          <w:tcPr>
            <w:tcW w:w="1984" w:type="dxa"/>
            <w:vAlign w:val="center"/>
          </w:tcPr>
          <w:p w14:paraId="7A5CB3AC"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3 743</w:t>
            </w:r>
          </w:p>
        </w:tc>
        <w:tc>
          <w:tcPr>
            <w:tcW w:w="1701" w:type="dxa"/>
            <w:vAlign w:val="center"/>
          </w:tcPr>
          <w:p w14:paraId="5165DA20" w14:textId="77777777" w:rsidR="00D81182" w:rsidRPr="007D5559" w:rsidRDefault="007D5559" w:rsidP="00D03A4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3 457</w:t>
            </w:r>
          </w:p>
        </w:tc>
      </w:tr>
      <w:tr w:rsidR="00D81182" w:rsidRPr="00DA09E2" w14:paraId="0A2DFAFC" w14:textId="77777777" w:rsidTr="00944CB1">
        <w:trPr>
          <w:trHeight w:val="420"/>
        </w:trPr>
        <w:tc>
          <w:tcPr>
            <w:tcW w:w="4361" w:type="dxa"/>
            <w:vAlign w:val="center"/>
          </w:tcPr>
          <w:p w14:paraId="4F9985C8" w14:textId="77777777" w:rsidR="00D81182" w:rsidRPr="00DA09E2" w:rsidRDefault="00D81182"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14:paraId="4FAE2B96"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3750</w:t>
            </w:r>
          </w:p>
        </w:tc>
        <w:tc>
          <w:tcPr>
            <w:tcW w:w="1984" w:type="dxa"/>
            <w:vAlign w:val="center"/>
          </w:tcPr>
          <w:p w14:paraId="67CB02D7"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3 589</w:t>
            </w:r>
          </w:p>
        </w:tc>
        <w:tc>
          <w:tcPr>
            <w:tcW w:w="1701" w:type="dxa"/>
            <w:vAlign w:val="center"/>
          </w:tcPr>
          <w:p w14:paraId="7238DAC7" w14:textId="77777777" w:rsidR="00D81182" w:rsidRPr="007D5559" w:rsidRDefault="007D5559" w:rsidP="00D03A4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3 571</w:t>
            </w:r>
          </w:p>
        </w:tc>
      </w:tr>
      <w:tr w:rsidR="00D81182" w:rsidRPr="00DA09E2" w14:paraId="77DD1155" w14:textId="77777777" w:rsidTr="00944CB1">
        <w:trPr>
          <w:trHeight w:val="696"/>
        </w:trPr>
        <w:tc>
          <w:tcPr>
            <w:tcW w:w="4361" w:type="dxa"/>
            <w:vAlign w:val="center"/>
          </w:tcPr>
          <w:p w14:paraId="21023E3C" w14:textId="77777777" w:rsidR="00D81182" w:rsidRPr="00DA09E2" w:rsidRDefault="00D81182"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Число выбывших за пределы России иностранных граждан – всего</w:t>
            </w:r>
          </w:p>
        </w:tc>
        <w:tc>
          <w:tcPr>
            <w:tcW w:w="1985" w:type="dxa"/>
            <w:vAlign w:val="center"/>
          </w:tcPr>
          <w:p w14:paraId="6E1A4F79" w14:textId="77777777" w:rsidR="00D81182" w:rsidRPr="00DA09E2" w:rsidRDefault="00D81182" w:rsidP="00D81182">
            <w:pPr>
              <w:tabs>
                <w:tab w:val="left" w:pos="790"/>
              </w:tabs>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340 517</w:t>
            </w:r>
          </w:p>
        </w:tc>
        <w:tc>
          <w:tcPr>
            <w:tcW w:w="1984" w:type="dxa"/>
            <w:vAlign w:val="center"/>
          </w:tcPr>
          <w:p w14:paraId="0267C055" w14:textId="77777777" w:rsidR="00D81182" w:rsidRPr="00DA09E2" w:rsidRDefault="00D81182" w:rsidP="00D81182">
            <w:pPr>
              <w:tabs>
                <w:tab w:val="left" w:pos="790"/>
              </w:tabs>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421 459</w:t>
            </w:r>
          </w:p>
        </w:tc>
        <w:tc>
          <w:tcPr>
            <w:tcW w:w="1701" w:type="dxa"/>
            <w:vAlign w:val="center"/>
          </w:tcPr>
          <w:p w14:paraId="614A3B98" w14:textId="77777777" w:rsidR="00D81182" w:rsidRPr="007D5559" w:rsidRDefault="007D5559" w:rsidP="00D03A4F">
            <w:pPr>
              <w:tabs>
                <w:tab w:val="left" w:pos="790"/>
              </w:tabs>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173 765</w:t>
            </w:r>
          </w:p>
        </w:tc>
      </w:tr>
      <w:tr w:rsidR="00D81182" w:rsidRPr="00DA09E2" w14:paraId="1C8C98E2" w14:textId="77777777" w:rsidTr="00944CB1">
        <w:trPr>
          <w:trHeight w:val="419"/>
        </w:trPr>
        <w:tc>
          <w:tcPr>
            <w:tcW w:w="4361" w:type="dxa"/>
            <w:vAlign w:val="center"/>
          </w:tcPr>
          <w:p w14:paraId="76EED5EC" w14:textId="77777777" w:rsidR="00D81182" w:rsidRPr="00DA09E2" w:rsidRDefault="00D81182"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14:paraId="4391BC3D"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14:paraId="48EF5397"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14:paraId="2066A31F" w14:textId="77777777" w:rsidR="00D81182" w:rsidRPr="00DA09E2" w:rsidRDefault="00D81182" w:rsidP="00D03A4F">
            <w:pPr>
              <w:spacing w:after="0" w:line="240" w:lineRule="auto"/>
              <w:jc w:val="center"/>
              <w:rPr>
                <w:rFonts w:ascii="Times New Roman" w:eastAsia="Times New Roman" w:hAnsi="Times New Roman" w:cs="Times New Roman"/>
                <w:sz w:val="24"/>
                <w:szCs w:val="24"/>
                <w:lang w:eastAsia="ru-RU"/>
              </w:rPr>
            </w:pPr>
          </w:p>
        </w:tc>
      </w:tr>
      <w:tr w:rsidR="00D81182" w:rsidRPr="00DA09E2" w14:paraId="353DCC91" w14:textId="77777777" w:rsidTr="00944CB1">
        <w:trPr>
          <w:trHeight w:val="413"/>
        </w:trPr>
        <w:tc>
          <w:tcPr>
            <w:tcW w:w="4361" w:type="dxa"/>
            <w:vAlign w:val="center"/>
          </w:tcPr>
          <w:p w14:paraId="58D1C78E" w14:textId="77777777" w:rsidR="00D81182" w:rsidRPr="00DA09E2" w:rsidRDefault="00D81182"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14:paraId="02E167EF"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4542</w:t>
            </w:r>
          </w:p>
        </w:tc>
        <w:tc>
          <w:tcPr>
            <w:tcW w:w="1984" w:type="dxa"/>
            <w:vAlign w:val="center"/>
          </w:tcPr>
          <w:p w14:paraId="1C5CEB08"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5 589</w:t>
            </w:r>
          </w:p>
        </w:tc>
        <w:tc>
          <w:tcPr>
            <w:tcW w:w="1701" w:type="dxa"/>
            <w:vAlign w:val="center"/>
          </w:tcPr>
          <w:p w14:paraId="33B15605" w14:textId="77777777" w:rsidR="00D81182" w:rsidRPr="007D5559" w:rsidRDefault="007D5559" w:rsidP="00D03A4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2 184</w:t>
            </w:r>
          </w:p>
        </w:tc>
      </w:tr>
      <w:tr w:rsidR="00D81182" w:rsidRPr="00DA09E2" w14:paraId="730D4D61" w14:textId="77777777" w:rsidTr="00944CB1">
        <w:trPr>
          <w:trHeight w:val="419"/>
        </w:trPr>
        <w:tc>
          <w:tcPr>
            <w:tcW w:w="4361" w:type="dxa"/>
            <w:vAlign w:val="center"/>
          </w:tcPr>
          <w:p w14:paraId="1EDDACD8" w14:textId="77777777" w:rsidR="00D81182" w:rsidRPr="00DA09E2" w:rsidRDefault="00D81182"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14:paraId="393CAFF6"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10276</w:t>
            </w:r>
          </w:p>
        </w:tc>
        <w:tc>
          <w:tcPr>
            <w:tcW w:w="1984" w:type="dxa"/>
            <w:vAlign w:val="center"/>
          </w:tcPr>
          <w:p w14:paraId="683753DF"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10 713</w:t>
            </w:r>
          </w:p>
        </w:tc>
        <w:tc>
          <w:tcPr>
            <w:tcW w:w="1701" w:type="dxa"/>
            <w:vAlign w:val="center"/>
          </w:tcPr>
          <w:p w14:paraId="2D99743F" w14:textId="77777777" w:rsidR="00D81182" w:rsidRPr="007D5559" w:rsidRDefault="007D5559" w:rsidP="00D03A4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4 197</w:t>
            </w:r>
          </w:p>
        </w:tc>
      </w:tr>
      <w:tr w:rsidR="00D81182" w:rsidRPr="00DA09E2" w14:paraId="64121209" w14:textId="77777777" w:rsidTr="00944CB1">
        <w:trPr>
          <w:trHeight w:val="412"/>
        </w:trPr>
        <w:tc>
          <w:tcPr>
            <w:tcW w:w="4361" w:type="dxa"/>
            <w:vAlign w:val="center"/>
          </w:tcPr>
          <w:p w14:paraId="605E80CA" w14:textId="77777777" w:rsidR="00D81182" w:rsidRPr="00DA09E2" w:rsidRDefault="00D81182"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14:paraId="247FBDA5" w14:textId="77777777" w:rsidR="00D81182" w:rsidRPr="00DA09E2" w:rsidRDefault="00D81182" w:rsidP="00D81182">
            <w:pPr>
              <w:tabs>
                <w:tab w:val="left" w:pos="160"/>
              </w:tabs>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8920</w:t>
            </w:r>
          </w:p>
        </w:tc>
        <w:tc>
          <w:tcPr>
            <w:tcW w:w="1984" w:type="dxa"/>
            <w:vAlign w:val="center"/>
          </w:tcPr>
          <w:p w14:paraId="539B2ADF" w14:textId="77777777" w:rsidR="00D81182" w:rsidRPr="00DA09E2" w:rsidRDefault="00D81182" w:rsidP="00D81182">
            <w:pPr>
              <w:tabs>
                <w:tab w:val="left" w:pos="160"/>
              </w:tabs>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9 740</w:t>
            </w:r>
          </w:p>
        </w:tc>
        <w:tc>
          <w:tcPr>
            <w:tcW w:w="1701" w:type="dxa"/>
            <w:vAlign w:val="center"/>
          </w:tcPr>
          <w:p w14:paraId="02C8953E" w14:textId="77777777" w:rsidR="00D81182" w:rsidRPr="007D5559" w:rsidRDefault="007D5559" w:rsidP="00D03A4F">
            <w:pPr>
              <w:tabs>
                <w:tab w:val="left" w:pos="160"/>
              </w:tabs>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4 068</w:t>
            </w:r>
          </w:p>
        </w:tc>
      </w:tr>
      <w:tr w:rsidR="00D81182" w:rsidRPr="00DA09E2" w14:paraId="6A4F9F70" w14:textId="77777777" w:rsidTr="00944CB1">
        <w:trPr>
          <w:trHeight w:val="984"/>
        </w:trPr>
        <w:tc>
          <w:tcPr>
            <w:tcW w:w="4361" w:type="dxa"/>
            <w:vAlign w:val="center"/>
          </w:tcPr>
          <w:p w14:paraId="244ACB0D" w14:textId="77777777" w:rsidR="00D81182" w:rsidRPr="00DA09E2" w:rsidRDefault="00D81182"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Число выбывших за пределы России лиц без гражданства и не указавших гражданство – всего</w:t>
            </w:r>
          </w:p>
        </w:tc>
        <w:tc>
          <w:tcPr>
            <w:tcW w:w="1985" w:type="dxa"/>
            <w:vAlign w:val="center"/>
          </w:tcPr>
          <w:p w14:paraId="645C6BCA" w14:textId="77777777" w:rsidR="00D81182" w:rsidRPr="00DA09E2" w:rsidRDefault="00D81182" w:rsidP="00D81182">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2 232</w:t>
            </w:r>
          </w:p>
        </w:tc>
        <w:tc>
          <w:tcPr>
            <w:tcW w:w="1984" w:type="dxa"/>
            <w:vAlign w:val="center"/>
          </w:tcPr>
          <w:p w14:paraId="48A01BD1" w14:textId="77777777" w:rsidR="00D81182" w:rsidRPr="00DA09E2" w:rsidRDefault="00D81182" w:rsidP="00D81182">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743</w:t>
            </w:r>
          </w:p>
        </w:tc>
        <w:tc>
          <w:tcPr>
            <w:tcW w:w="1701" w:type="dxa"/>
            <w:vAlign w:val="center"/>
          </w:tcPr>
          <w:p w14:paraId="41580F4C" w14:textId="77777777" w:rsidR="00D81182" w:rsidRPr="007D5559" w:rsidRDefault="007D5559" w:rsidP="00D03A4F">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340</w:t>
            </w:r>
          </w:p>
        </w:tc>
      </w:tr>
      <w:tr w:rsidR="00D81182" w:rsidRPr="00DA09E2" w14:paraId="3D336FB5" w14:textId="77777777" w:rsidTr="00944CB1">
        <w:trPr>
          <w:trHeight w:val="417"/>
        </w:trPr>
        <w:tc>
          <w:tcPr>
            <w:tcW w:w="4361" w:type="dxa"/>
            <w:vAlign w:val="center"/>
          </w:tcPr>
          <w:p w14:paraId="0BA47ACF" w14:textId="77777777" w:rsidR="00D81182" w:rsidRPr="00DA09E2" w:rsidRDefault="00D81182"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14:paraId="400818FD"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14:paraId="11B367D2"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14:paraId="2AA2A8D3" w14:textId="77777777" w:rsidR="00D81182" w:rsidRPr="00DA09E2" w:rsidRDefault="00D81182" w:rsidP="00D03A4F">
            <w:pPr>
              <w:spacing w:after="0" w:line="240" w:lineRule="auto"/>
              <w:jc w:val="center"/>
              <w:rPr>
                <w:rFonts w:ascii="Times New Roman" w:eastAsia="Times New Roman" w:hAnsi="Times New Roman" w:cs="Times New Roman"/>
                <w:sz w:val="24"/>
                <w:szCs w:val="24"/>
                <w:lang w:eastAsia="ru-RU"/>
              </w:rPr>
            </w:pPr>
          </w:p>
        </w:tc>
      </w:tr>
      <w:tr w:rsidR="00D81182" w:rsidRPr="00DA09E2" w14:paraId="40D65080" w14:textId="77777777" w:rsidTr="00944CB1">
        <w:trPr>
          <w:trHeight w:val="409"/>
        </w:trPr>
        <w:tc>
          <w:tcPr>
            <w:tcW w:w="4361" w:type="dxa"/>
            <w:vAlign w:val="center"/>
          </w:tcPr>
          <w:p w14:paraId="79515069" w14:textId="77777777" w:rsidR="00D81182" w:rsidRPr="00DA09E2" w:rsidRDefault="00D81182"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14:paraId="3F86CE4C"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15</w:t>
            </w:r>
          </w:p>
        </w:tc>
        <w:tc>
          <w:tcPr>
            <w:tcW w:w="1984" w:type="dxa"/>
            <w:vAlign w:val="center"/>
          </w:tcPr>
          <w:p w14:paraId="31A500B8"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3</w:t>
            </w:r>
          </w:p>
        </w:tc>
        <w:tc>
          <w:tcPr>
            <w:tcW w:w="1701" w:type="dxa"/>
            <w:vAlign w:val="center"/>
          </w:tcPr>
          <w:p w14:paraId="221954C8" w14:textId="77777777" w:rsidR="00D81182" w:rsidRPr="007D5559" w:rsidRDefault="007D5559" w:rsidP="00D03A4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r>
      <w:tr w:rsidR="00D81182" w:rsidRPr="00DA09E2" w14:paraId="22F2CDF5" w14:textId="77777777" w:rsidTr="00944CB1">
        <w:trPr>
          <w:trHeight w:val="416"/>
        </w:trPr>
        <w:tc>
          <w:tcPr>
            <w:tcW w:w="4361" w:type="dxa"/>
            <w:vAlign w:val="center"/>
          </w:tcPr>
          <w:p w14:paraId="78DB2227" w14:textId="77777777" w:rsidR="00D81182" w:rsidRPr="00DA09E2" w:rsidRDefault="00D81182"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14:paraId="09BA2257"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61</w:t>
            </w:r>
          </w:p>
        </w:tc>
        <w:tc>
          <w:tcPr>
            <w:tcW w:w="1984" w:type="dxa"/>
            <w:vAlign w:val="center"/>
          </w:tcPr>
          <w:p w14:paraId="44C413EF"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7</w:t>
            </w:r>
          </w:p>
        </w:tc>
        <w:tc>
          <w:tcPr>
            <w:tcW w:w="1701" w:type="dxa"/>
            <w:vAlign w:val="center"/>
          </w:tcPr>
          <w:p w14:paraId="313D97BC" w14:textId="77777777" w:rsidR="00D81182" w:rsidRPr="007D5559" w:rsidRDefault="007D5559" w:rsidP="00D03A4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p>
        </w:tc>
      </w:tr>
      <w:tr w:rsidR="00D81182" w:rsidRPr="00DA09E2" w14:paraId="18132E5C" w14:textId="77777777" w:rsidTr="00944CB1">
        <w:trPr>
          <w:trHeight w:val="421"/>
        </w:trPr>
        <w:tc>
          <w:tcPr>
            <w:tcW w:w="4361" w:type="dxa"/>
            <w:vAlign w:val="center"/>
          </w:tcPr>
          <w:p w14:paraId="57D3EE7E" w14:textId="77777777" w:rsidR="00D81182" w:rsidRPr="00DA09E2" w:rsidRDefault="00D81182"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14:paraId="78714457"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53</w:t>
            </w:r>
          </w:p>
        </w:tc>
        <w:tc>
          <w:tcPr>
            <w:tcW w:w="1984" w:type="dxa"/>
            <w:vAlign w:val="center"/>
          </w:tcPr>
          <w:p w14:paraId="2C57C561"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w:t>
            </w:r>
          </w:p>
        </w:tc>
        <w:tc>
          <w:tcPr>
            <w:tcW w:w="1701" w:type="dxa"/>
            <w:vAlign w:val="center"/>
          </w:tcPr>
          <w:p w14:paraId="3E3BD2CF" w14:textId="77777777" w:rsidR="00D81182" w:rsidRPr="007D5559" w:rsidRDefault="007D5559" w:rsidP="00D03A4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r>
      <w:tr w:rsidR="00D81182" w:rsidRPr="00DA09E2" w14:paraId="482985F6" w14:textId="77777777" w:rsidTr="00944CB1">
        <w:trPr>
          <w:trHeight w:val="412"/>
        </w:trPr>
        <w:tc>
          <w:tcPr>
            <w:tcW w:w="10031" w:type="dxa"/>
            <w:gridSpan w:val="4"/>
            <w:vAlign w:val="center"/>
          </w:tcPr>
          <w:p w14:paraId="32E64D20" w14:textId="77777777" w:rsidR="00D81182" w:rsidRPr="00DA09E2" w:rsidRDefault="00D81182" w:rsidP="00D03A4F">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Миграционный прирост</w:t>
            </w:r>
          </w:p>
        </w:tc>
      </w:tr>
      <w:tr w:rsidR="00D81182" w:rsidRPr="00DA09E2" w14:paraId="0A126A8D" w14:textId="77777777" w:rsidTr="00944CB1">
        <w:trPr>
          <w:trHeight w:val="703"/>
        </w:trPr>
        <w:tc>
          <w:tcPr>
            <w:tcW w:w="4361" w:type="dxa"/>
            <w:vAlign w:val="center"/>
          </w:tcPr>
          <w:p w14:paraId="7C051730" w14:textId="77777777" w:rsidR="00D81182" w:rsidRPr="00DA09E2" w:rsidRDefault="00D81182"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Миграционный прирост населения – всего</w:t>
            </w:r>
          </w:p>
        </w:tc>
        <w:tc>
          <w:tcPr>
            <w:tcW w:w="1985" w:type="dxa"/>
            <w:vAlign w:val="center"/>
          </w:tcPr>
          <w:p w14:paraId="6A57910F" w14:textId="77777777" w:rsidR="00D81182" w:rsidRPr="00DA09E2" w:rsidRDefault="00D81182" w:rsidP="00D81182">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285 103</w:t>
            </w:r>
          </w:p>
        </w:tc>
        <w:tc>
          <w:tcPr>
            <w:tcW w:w="1984" w:type="dxa"/>
            <w:vAlign w:val="center"/>
          </w:tcPr>
          <w:p w14:paraId="3C64D9C5" w14:textId="77777777" w:rsidR="00D81182" w:rsidRPr="00DA09E2" w:rsidRDefault="00D81182" w:rsidP="00D81182">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106 474</w:t>
            </w:r>
          </w:p>
        </w:tc>
        <w:tc>
          <w:tcPr>
            <w:tcW w:w="1701" w:type="dxa"/>
            <w:vAlign w:val="center"/>
          </w:tcPr>
          <w:p w14:paraId="040334EF" w14:textId="77777777" w:rsidR="00D81182" w:rsidRPr="007D5559" w:rsidRDefault="007D5559" w:rsidP="00D03A4F">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429 902</w:t>
            </w:r>
          </w:p>
        </w:tc>
      </w:tr>
      <w:tr w:rsidR="00D81182" w:rsidRPr="00DA09E2" w14:paraId="10975160" w14:textId="77777777" w:rsidTr="00944CB1">
        <w:trPr>
          <w:trHeight w:val="414"/>
        </w:trPr>
        <w:tc>
          <w:tcPr>
            <w:tcW w:w="4361" w:type="dxa"/>
            <w:vAlign w:val="center"/>
          </w:tcPr>
          <w:p w14:paraId="7F8E5FC3" w14:textId="77777777" w:rsidR="00D81182" w:rsidRPr="00DA09E2" w:rsidRDefault="00D81182"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14:paraId="13FCB30E"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14:paraId="606DD343"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14:paraId="704E8D80" w14:textId="77777777" w:rsidR="00D81182" w:rsidRPr="00DA09E2" w:rsidRDefault="00D81182" w:rsidP="00D03A4F">
            <w:pPr>
              <w:spacing w:after="0" w:line="240" w:lineRule="auto"/>
              <w:jc w:val="center"/>
              <w:rPr>
                <w:rFonts w:ascii="Times New Roman" w:eastAsia="Times New Roman" w:hAnsi="Times New Roman" w:cs="Times New Roman"/>
                <w:sz w:val="24"/>
                <w:szCs w:val="24"/>
                <w:lang w:eastAsia="ru-RU"/>
              </w:rPr>
            </w:pPr>
          </w:p>
        </w:tc>
      </w:tr>
      <w:tr w:rsidR="00D81182" w:rsidRPr="00DA09E2" w14:paraId="599E1C0B" w14:textId="77777777" w:rsidTr="00944CB1">
        <w:trPr>
          <w:trHeight w:val="408"/>
        </w:trPr>
        <w:tc>
          <w:tcPr>
            <w:tcW w:w="4361" w:type="dxa"/>
            <w:vAlign w:val="center"/>
          </w:tcPr>
          <w:p w14:paraId="18199CAE" w14:textId="77777777" w:rsidR="00D81182" w:rsidRPr="00DA09E2" w:rsidRDefault="00D81182"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14:paraId="299C79A8"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10281</w:t>
            </w:r>
          </w:p>
        </w:tc>
        <w:tc>
          <w:tcPr>
            <w:tcW w:w="1984" w:type="dxa"/>
            <w:vAlign w:val="center"/>
          </w:tcPr>
          <w:p w14:paraId="72F3EF94"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6 733</w:t>
            </w:r>
          </w:p>
        </w:tc>
        <w:tc>
          <w:tcPr>
            <w:tcW w:w="1701" w:type="dxa"/>
            <w:vAlign w:val="center"/>
          </w:tcPr>
          <w:p w14:paraId="133B00E5" w14:textId="77777777" w:rsidR="00D81182" w:rsidRPr="007D5559" w:rsidRDefault="007D5559" w:rsidP="00D03A4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13 006</w:t>
            </w:r>
          </w:p>
        </w:tc>
      </w:tr>
      <w:tr w:rsidR="00D81182" w:rsidRPr="00DA09E2" w14:paraId="33EF6633" w14:textId="77777777" w:rsidTr="00944CB1">
        <w:trPr>
          <w:trHeight w:val="414"/>
        </w:trPr>
        <w:tc>
          <w:tcPr>
            <w:tcW w:w="4361" w:type="dxa"/>
            <w:vAlign w:val="center"/>
          </w:tcPr>
          <w:p w14:paraId="21A6BD72" w14:textId="77777777" w:rsidR="00D81182" w:rsidRPr="00DA09E2" w:rsidRDefault="00D81182"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14:paraId="14BE8407"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9702</w:t>
            </w:r>
          </w:p>
        </w:tc>
        <w:tc>
          <w:tcPr>
            <w:tcW w:w="1984" w:type="dxa"/>
            <w:vAlign w:val="center"/>
          </w:tcPr>
          <w:p w14:paraId="6BDBAA33"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6 683</w:t>
            </w:r>
          </w:p>
        </w:tc>
        <w:tc>
          <w:tcPr>
            <w:tcW w:w="1701" w:type="dxa"/>
            <w:vAlign w:val="center"/>
          </w:tcPr>
          <w:p w14:paraId="651D666E" w14:textId="77777777" w:rsidR="00D81182" w:rsidRPr="007D5559" w:rsidRDefault="007D5559" w:rsidP="00D03A4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14 839</w:t>
            </w:r>
          </w:p>
        </w:tc>
      </w:tr>
      <w:tr w:rsidR="00D81182" w:rsidRPr="00DA09E2" w14:paraId="31D6BB18" w14:textId="77777777" w:rsidTr="00944CB1">
        <w:trPr>
          <w:trHeight w:val="419"/>
        </w:trPr>
        <w:tc>
          <w:tcPr>
            <w:tcW w:w="4361" w:type="dxa"/>
            <w:vAlign w:val="center"/>
          </w:tcPr>
          <w:p w14:paraId="02307D03" w14:textId="77777777" w:rsidR="00D81182" w:rsidRPr="00DA09E2" w:rsidRDefault="00D81182"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14:paraId="19387E56"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9600</w:t>
            </w:r>
          </w:p>
        </w:tc>
        <w:tc>
          <w:tcPr>
            <w:tcW w:w="1984" w:type="dxa"/>
            <w:vAlign w:val="center"/>
          </w:tcPr>
          <w:p w14:paraId="27535D19"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6 608</w:t>
            </w:r>
          </w:p>
        </w:tc>
        <w:tc>
          <w:tcPr>
            <w:tcW w:w="1701" w:type="dxa"/>
            <w:vAlign w:val="center"/>
          </w:tcPr>
          <w:p w14:paraId="442746DF" w14:textId="77777777" w:rsidR="00D81182" w:rsidRPr="007D5559" w:rsidRDefault="007D5559" w:rsidP="00D03A4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13 935</w:t>
            </w:r>
          </w:p>
        </w:tc>
      </w:tr>
      <w:tr w:rsidR="00D81182" w:rsidRPr="00DA09E2" w14:paraId="32946089" w14:textId="77777777" w:rsidTr="00944CB1">
        <w:trPr>
          <w:trHeight w:val="978"/>
        </w:trPr>
        <w:tc>
          <w:tcPr>
            <w:tcW w:w="4361" w:type="dxa"/>
            <w:vAlign w:val="center"/>
          </w:tcPr>
          <w:p w14:paraId="15D458A5" w14:textId="3F0DFC73" w:rsidR="00D81182" w:rsidRPr="00DA09E2" w:rsidRDefault="00D81182"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Миграционный прирост в результате передвижений</w:t>
            </w:r>
            <w:r w:rsidR="00591409">
              <w:rPr>
                <w:rFonts w:ascii="Times New Roman" w:eastAsia="Times New Roman" w:hAnsi="Times New Roman" w:cs="Times New Roman"/>
                <w:b/>
                <w:sz w:val="24"/>
                <w:szCs w:val="24"/>
                <w:lang w:eastAsia="ru-RU"/>
              </w:rPr>
              <w:t xml:space="preserve"> </w:t>
            </w:r>
            <w:r w:rsidRPr="00DA09E2">
              <w:rPr>
                <w:rFonts w:ascii="Times New Roman" w:eastAsia="Times New Roman" w:hAnsi="Times New Roman" w:cs="Times New Roman"/>
                <w:b/>
                <w:sz w:val="24"/>
                <w:szCs w:val="24"/>
                <w:lang w:eastAsia="ru-RU"/>
              </w:rPr>
              <w:t>граждан Российской Федерации – всего</w:t>
            </w:r>
          </w:p>
        </w:tc>
        <w:tc>
          <w:tcPr>
            <w:tcW w:w="1985" w:type="dxa"/>
            <w:vAlign w:val="center"/>
          </w:tcPr>
          <w:p w14:paraId="0E596C04" w14:textId="77777777" w:rsidR="00D81182" w:rsidRPr="00DA09E2" w:rsidRDefault="00D81182" w:rsidP="00D81182">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126 803</w:t>
            </w:r>
          </w:p>
        </w:tc>
        <w:tc>
          <w:tcPr>
            <w:tcW w:w="1984" w:type="dxa"/>
            <w:vAlign w:val="center"/>
          </w:tcPr>
          <w:p w14:paraId="1791802A" w14:textId="77777777" w:rsidR="00D81182" w:rsidRPr="00DA09E2" w:rsidRDefault="00D81182" w:rsidP="00D81182">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149 469</w:t>
            </w:r>
          </w:p>
        </w:tc>
        <w:tc>
          <w:tcPr>
            <w:tcW w:w="1701" w:type="dxa"/>
            <w:vAlign w:val="center"/>
          </w:tcPr>
          <w:p w14:paraId="43EE9344" w14:textId="77777777" w:rsidR="00D81182" w:rsidRPr="007D5559" w:rsidRDefault="007D5559" w:rsidP="00D03A4F">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213 457</w:t>
            </w:r>
          </w:p>
        </w:tc>
      </w:tr>
      <w:tr w:rsidR="00D81182" w:rsidRPr="00DA09E2" w14:paraId="7AAF9F36" w14:textId="77777777" w:rsidTr="00944CB1">
        <w:trPr>
          <w:trHeight w:val="423"/>
        </w:trPr>
        <w:tc>
          <w:tcPr>
            <w:tcW w:w="4361" w:type="dxa"/>
            <w:vAlign w:val="center"/>
          </w:tcPr>
          <w:p w14:paraId="01483087" w14:textId="77777777" w:rsidR="00D81182" w:rsidRPr="00DA09E2" w:rsidRDefault="00D81182"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14:paraId="497A6CD4"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14:paraId="78ADED49"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14:paraId="437500E1" w14:textId="77777777" w:rsidR="00D81182" w:rsidRPr="00DA09E2" w:rsidRDefault="00D81182" w:rsidP="00D03A4F">
            <w:pPr>
              <w:spacing w:after="0" w:line="240" w:lineRule="auto"/>
              <w:jc w:val="center"/>
              <w:rPr>
                <w:rFonts w:ascii="Times New Roman" w:eastAsia="Times New Roman" w:hAnsi="Times New Roman" w:cs="Times New Roman"/>
                <w:sz w:val="24"/>
                <w:szCs w:val="24"/>
                <w:lang w:eastAsia="ru-RU"/>
              </w:rPr>
            </w:pPr>
          </w:p>
        </w:tc>
      </w:tr>
      <w:tr w:rsidR="00D81182" w:rsidRPr="00DA09E2" w14:paraId="6019FBFE" w14:textId="77777777" w:rsidTr="00944CB1">
        <w:trPr>
          <w:trHeight w:val="418"/>
        </w:trPr>
        <w:tc>
          <w:tcPr>
            <w:tcW w:w="4361" w:type="dxa"/>
            <w:vAlign w:val="center"/>
          </w:tcPr>
          <w:p w14:paraId="3E7BD4E7" w14:textId="77777777" w:rsidR="00D81182" w:rsidRPr="00DA09E2" w:rsidRDefault="00D81182"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14:paraId="2FA3662E"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5381</w:t>
            </w:r>
          </w:p>
        </w:tc>
        <w:tc>
          <w:tcPr>
            <w:tcW w:w="1984" w:type="dxa"/>
            <w:vAlign w:val="center"/>
          </w:tcPr>
          <w:p w14:paraId="2A93B865"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5 642</w:t>
            </w:r>
          </w:p>
        </w:tc>
        <w:tc>
          <w:tcPr>
            <w:tcW w:w="1701" w:type="dxa"/>
            <w:vAlign w:val="center"/>
          </w:tcPr>
          <w:p w14:paraId="0015D1B0" w14:textId="77777777" w:rsidR="00D81182" w:rsidRPr="007D5559" w:rsidRDefault="007D5559" w:rsidP="00D03A4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8 911</w:t>
            </w:r>
          </w:p>
        </w:tc>
      </w:tr>
      <w:tr w:rsidR="00D81182" w:rsidRPr="00DA09E2" w14:paraId="487AA86E" w14:textId="77777777" w:rsidTr="00944CB1">
        <w:trPr>
          <w:trHeight w:val="409"/>
        </w:trPr>
        <w:tc>
          <w:tcPr>
            <w:tcW w:w="4361" w:type="dxa"/>
            <w:vAlign w:val="center"/>
          </w:tcPr>
          <w:p w14:paraId="5FE51BCF" w14:textId="77777777" w:rsidR="00D81182" w:rsidRPr="00DA09E2" w:rsidRDefault="00D81182"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14:paraId="7368C82F"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8089</w:t>
            </w:r>
          </w:p>
        </w:tc>
        <w:tc>
          <w:tcPr>
            <w:tcW w:w="1984" w:type="dxa"/>
            <w:vAlign w:val="center"/>
          </w:tcPr>
          <w:p w14:paraId="15D4BA2C"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9 284</w:t>
            </w:r>
          </w:p>
        </w:tc>
        <w:tc>
          <w:tcPr>
            <w:tcW w:w="1701" w:type="dxa"/>
            <w:vAlign w:val="center"/>
          </w:tcPr>
          <w:p w14:paraId="1CF6F0A5" w14:textId="77777777" w:rsidR="00D81182" w:rsidRPr="007D5559" w:rsidRDefault="007D5559" w:rsidP="00D03A4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11 839</w:t>
            </w:r>
          </w:p>
        </w:tc>
      </w:tr>
      <w:tr w:rsidR="00D81182" w:rsidRPr="00DA09E2" w14:paraId="3EECB04F" w14:textId="77777777" w:rsidTr="00944CB1">
        <w:trPr>
          <w:trHeight w:val="415"/>
        </w:trPr>
        <w:tc>
          <w:tcPr>
            <w:tcW w:w="4361" w:type="dxa"/>
            <w:vAlign w:val="center"/>
          </w:tcPr>
          <w:p w14:paraId="249C7089" w14:textId="77777777" w:rsidR="00D81182" w:rsidRPr="00DA09E2" w:rsidRDefault="00D81182"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14:paraId="2095F2D1"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8243</w:t>
            </w:r>
          </w:p>
        </w:tc>
        <w:tc>
          <w:tcPr>
            <w:tcW w:w="1984" w:type="dxa"/>
            <w:vAlign w:val="center"/>
          </w:tcPr>
          <w:p w14:paraId="3390F47F"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8 940</w:t>
            </w:r>
          </w:p>
        </w:tc>
        <w:tc>
          <w:tcPr>
            <w:tcW w:w="1701" w:type="dxa"/>
            <w:vAlign w:val="center"/>
          </w:tcPr>
          <w:p w14:paraId="5B008B4B" w14:textId="77777777" w:rsidR="00D81182" w:rsidRPr="007D5559" w:rsidRDefault="007D5559" w:rsidP="00D03A4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11 714</w:t>
            </w:r>
          </w:p>
        </w:tc>
      </w:tr>
      <w:tr w:rsidR="00D81182" w:rsidRPr="00DA09E2" w14:paraId="715E88A0" w14:textId="77777777" w:rsidTr="00944CB1">
        <w:trPr>
          <w:trHeight w:val="988"/>
        </w:trPr>
        <w:tc>
          <w:tcPr>
            <w:tcW w:w="4361" w:type="dxa"/>
            <w:vAlign w:val="center"/>
          </w:tcPr>
          <w:p w14:paraId="1934AE67" w14:textId="17E17FBF" w:rsidR="00D81182" w:rsidRPr="00DA09E2" w:rsidRDefault="00D81182"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Миграционный прирост в результате передвижений</w:t>
            </w:r>
            <w:r w:rsidR="00591409">
              <w:rPr>
                <w:rFonts w:ascii="Times New Roman" w:eastAsia="Times New Roman" w:hAnsi="Times New Roman" w:cs="Times New Roman"/>
                <w:b/>
                <w:sz w:val="24"/>
                <w:szCs w:val="24"/>
                <w:lang w:eastAsia="ru-RU"/>
              </w:rPr>
              <w:t xml:space="preserve"> </w:t>
            </w:r>
            <w:r w:rsidRPr="00DA09E2">
              <w:rPr>
                <w:rFonts w:ascii="Times New Roman" w:eastAsia="Times New Roman" w:hAnsi="Times New Roman" w:cs="Times New Roman"/>
                <w:b/>
                <w:sz w:val="24"/>
                <w:szCs w:val="24"/>
                <w:lang w:eastAsia="ru-RU"/>
              </w:rPr>
              <w:t>иностранных граждан – всего</w:t>
            </w:r>
          </w:p>
        </w:tc>
        <w:tc>
          <w:tcPr>
            <w:tcW w:w="1985" w:type="dxa"/>
            <w:vAlign w:val="center"/>
          </w:tcPr>
          <w:p w14:paraId="151367E2" w14:textId="77777777" w:rsidR="00D81182" w:rsidRPr="00DA09E2" w:rsidRDefault="00D81182" w:rsidP="00D81182">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159602</w:t>
            </w:r>
          </w:p>
        </w:tc>
        <w:tc>
          <w:tcPr>
            <w:tcW w:w="1984" w:type="dxa"/>
            <w:vAlign w:val="center"/>
          </w:tcPr>
          <w:p w14:paraId="24850100" w14:textId="77777777" w:rsidR="00D81182" w:rsidRPr="00DA09E2" w:rsidRDefault="00D81182" w:rsidP="00D81182">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-42 825</w:t>
            </w:r>
          </w:p>
        </w:tc>
        <w:tc>
          <w:tcPr>
            <w:tcW w:w="1701" w:type="dxa"/>
            <w:vAlign w:val="center"/>
          </w:tcPr>
          <w:p w14:paraId="1D8423CF" w14:textId="77777777" w:rsidR="00D81182" w:rsidRPr="00714591" w:rsidRDefault="00714591" w:rsidP="00D03A4F">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216 223</w:t>
            </w:r>
          </w:p>
        </w:tc>
      </w:tr>
      <w:tr w:rsidR="00D81182" w:rsidRPr="00DA09E2" w14:paraId="30B3BC37" w14:textId="77777777" w:rsidTr="00944CB1">
        <w:trPr>
          <w:trHeight w:val="408"/>
        </w:trPr>
        <w:tc>
          <w:tcPr>
            <w:tcW w:w="4361" w:type="dxa"/>
            <w:vAlign w:val="center"/>
          </w:tcPr>
          <w:p w14:paraId="52AC4674" w14:textId="77777777" w:rsidR="00D81182" w:rsidRPr="00DA09E2" w:rsidRDefault="00D81182"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14:paraId="3617B25F"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14:paraId="4622C55F"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14:paraId="3EFAA5B4" w14:textId="77777777" w:rsidR="00D81182" w:rsidRPr="00DA09E2" w:rsidRDefault="00D81182" w:rsidP="00D03A4F">
            <w:pPr>
              <w:spacing w:after="0" w:line="240" w:lineRule="auto"/>
              <w:jc w:val="center"/>
              <w:rPr>
                <w:rFonts w:ascii="Times New Roman" w:eastAsia="Times New Roman" w:hAnsi="Times New Roman" w:cs="Times New Roman"/>
                <w:sz w:val="24"/>
                <w:szCs w:val="24"/>
                <w:lang w:eastAsia="ru-RU"/>
              </w:rPr>
            </w:pPr>
          </w:p>
        </w:tc>
      </w:tr>
      <w:tr w:rsidR="00D81182" w:rsidRPr="00DA09E2" w14:paraId="6CCCD06A" w14:textId="77777777" w:rsidTr="00944CB1">
        <w:trPr>
          <w:trHeight w:val="413"/>
        </w:trPr>
        <w:tc>
          <w:tcPr>
            <w:tcW w:w="4361" w:type="dxa"/>
            <w:vAlign w:val="center"/>
          </w:tcPr>
          <w:p w14:paraId="7A484AF1" w14:textId="77777777" w:rsidR="00D81182" w:rsidRPr="00DA09E2" w:rsidRDefault="00D81182"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14:paraId="426FEBE6"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4 906</w:t>
            </w:r>
          </w:p>
        </w:tc>
        <w:tc>
          <w:tcPr>
            <w:tcW w:w="1984" w:type="dxa"/>
            <w:vAlign w:val="center"/>
          </w:tcPr>
          <w:p w14:paraId="5AB9A334"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1 088</w:t>
            </w:r>
          </w:p>
        </w:tc>
        <w:tc>
          <w:tcPr>
            <w:tcW w:w="1701" w:type="dxa"/>
            <w:vAlign w:val="center"/>
          </w:tcPr>
          <w:p w14:paraId="1EB6FB21" w14:textId="77777777" w:rsidR="00D81182" w:rsidRPr="00714591" w:rsidRDefault="00714591" w:rsidP="00D03A4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4 093</w:t>
            </w:r>
          </w:p>
        </w:tc>
      </w:tr>
      <w:tr w:rsidR="00D81182" w:rsidRPr="00DA09E2" w14:paraId="5D53EE4C" w14:textId="77777777" w:rsidTr="00944CB1">
        <w:trPr>
          <w:trHeight w:val="419"/>
        </w:trPr>
        <w:tc>
          <w:tcPr>
            <w:tcW w:w="4361" w:type="dxa"/>
            <w:vAlign w:val="center"/>
          </w:tcPr>
          <w:p w14:paraId="086471E4" w14:textId="77777777" w:rsidR="00D81182" w:rsidRPr="00DA09E2" w:rsidRDefault="00D81182"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14:paraId="1071E337"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1669</w:t>
            </w:r>
          </w:p>
        </w:tc>
        <w:tc>
          <w:tcPr>
            <w:tcW w:w="1984" w:type="dxa"/>
            <w:vAlign w:val="center"/>
          </w:tcPr>
          <w:p w14:paraId="7C266EF9"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-2 595</w:t>
            </w:r>
          </w:p>
        </w:tc>
        <w:tc>
          <w:tcPr>
            <w:tcW w:w="1701" w:type="dxa"/>
            <w:vAlign w:val="center"/>
          </w:tcPr>
          <w:p w14:paraId="697C36EC" w14:textId="77777777" w:rsidR="00D81182" w:rsidRPr="00714591" w:rsidRDefault="00714591" w:rsidP="00D03A4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2 998</w:t>
            </w:r>
          </w:p>
        </w:tc>
      </w:tr>
      <w:tr w:rsidR="00D81182" w:rsidRPr="00DA09E2" w14:paraId="13D34B1D" w14:textId="77777777" w:rsidTr="00944CB1">
        <w:tc>
          <w:tcPr>
            <w:tcW w:w="4361" w:type="dxa"/>
            <w:vAlign w:val="center"/>
          </w:tcPr>
          <w:p w14:paraId="77E9CF65" w14:textId="77777777" w:rsidR="00D81182" w:rsidRPr="00DA09E2" w:rsidRDefault="00D81182"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14:paraId="5FC64436"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1400</w:t>
            </w:r>
          </w:p>
        </w:tc>
        <w:tc>
          <w:tcPr>
            <w:tcW w:w="1984" w:type="dxa"/>
            <w:vAlign w:val="center"/>
          </w:tcPr>
          <w:p w14:paraId="5433A275"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-2 326</w:t>
            </w:r>
          </w:p>
        </w:tc>
        <w:tc>
          <w:tcPr>
            <w:tcW w:w="1701" w:type="dxa"/>
            <w:vAlign w:val="center"/>
          </w:tcPr>
          <w:p w14:paraId="5BEC5059" w14:textId="77777777" w:rsidR="00D81182" w:rsidRPr="00714591" w:rsidRDefault="00714591" w:rsidP="00D03A4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2 217</w:t>
            </w:r>
          </w:p>
        </w:tc>
      </w:tr>
      <w:tr w:rsidR="00D81182" w:rsidRPr="00DA09E2" w14:paraId="6F4E95D1" w14:textId="77777777" w:rsidTr="00944CB1">
        <w:tc>
          <w:tcPr>
            <w:tcW w:w="4361" w:type="dxa"/>
            <w:vAlign w:val="center"/>
          </w:tcPr>
          <w:p w14:paraId="2BF556C7" w14:textId="44F32638" w:rsidR="00D81182" w:rsidRPr="00DA09E2" w:rsidRDefault="00D81182" w:rsidP="00D03A4F">
            <w:pPr>
              <w:spacing w:after="0" w:line="240" w:lineRule="auto"/>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Миграционный прирост в результате передвижений</w:t>
            </w:r>
            <w:r w:rsidR="00591409">
              <w:rPr>
                <w:rFonts w:ascii="Times New Roman" w:eastAsia="Times New Roman" w:hAnsi="Times New Roman" w:cs="Times New Roman"/>
                <w:b/>
                <w:sz w:val="24"/>
                <w:szCs w:val="24"/>
                <w:lang w:eastAsia="ru-RU"/>
              </w:rPr>
              <w:t xml:space="preserve"> </w:t>
            </w:r>
            <w:r w:rsidRPr="00DA09E2">
              <w:rPr>
                <w:rFonts w:ascii="Times New Roman" w:eastAsia="Times New Roman" w:hAnsi="Times New Roman" w:cs="Times New Roman"/>
                <w:b/>
                <w:sz w:val="24"/>
                <w:szCs w:val="24"/>
                <w:lang w:eastAsia="ru-RU"/>
              </w:rPr>
              <w:t>лиц без гражданства и не указавших гражданство – всего</w:t>
            </w:r>
          </w:p>
        </w:tc>
        <w:tc>
          <w:tcPr>
            <w:tcW w:w="1985" w:type="dxa"/>
            <w:vAlign w:val="center"/>
          </w:tcPr>
          <w:p w14:paraId="7E0ECF74" w14:textId="77777777" w:rsidR="00D81182" w:rsidRPr="00DA09E2" w:rsidRDefault="00D81182" w:rsidP="00D81182">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-1 302</w:t>
            </w:r>
          </w:p>
        </w:tc>
        <w:tc>
          <w:tcPr>
            <w:tcW w:w="1984" w:type="dxa"/>
            <w:vAlign w:val="center"/>
          </w:tcPr>
          <w:p w14:paraId="19399A11" w14:textId="77777777" w:rsidR="00D81182" w:rsidRPr="00DA09E2" w:rsidRDefault="00D81182" w:rsidP="00D81182">
            <w:pPr>
              <w:spacing w:after="0" w:line="240" w:lineRule="auto"/>
              <w:jc w:val="center"/>
              <w:rPr>
                <w:rFonts w:ascii="Times New Roman" w:eastAsia="Times New Roman" w:hAnsi="Times New Roman" w:cs="Times New Roman"/>
                <w:b/>
                <w:sz w:val="24"/>
                <w:szCs w:val="24"/>
                <w:lang w:eastAsia="ru-RU"/>
              </w:rPr>
            </w:pPr>
            <w:r w:rsidRPr="00DA09E2">
              <w:rPr>
                <w:rFonts w:ascii="Times New Roman" w:eastAsia="Times New Roman" w:hAnsi="Times New Roman" w:cs="Times New Roman"/>
                <w:b/>
                <w:sz w:val="24"/>
                <w:szCs w:val="24"/>
                <w:lang w:eastAsia="ru-RU"/>
              </w:rPr>
              <w:t>-170</w:t>
            </w:r>
          </w:p>
        </w:tc>
        <w:tc>
          <w:tcPr>
            <w:tcW w:w="1701" w:type="dxa"/>
            <w:vAlign w:val="center"/>
          </w:tcPr>
          <w:p w14:paraId="51D83AA4" w14:textId="77777777" w:rsidR="00D81182" w:rsidRPr="00714591" w:rsidRDefault="00714591" w:rsidP="00D03A4F">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222</w:t>
            </w:r>
          </w:p>
        </w:tc>
      </w:tr>
      <w:tr w:rsidR="00D81182" w:rsidRPr="00DA09E2" w14:paraId="6710F44A" w14:textId="77777777" w:rsidTr="00944CB1">
        <w:trPr>
          <w:trHeight w:val="422"/>
        </w:trPr>
        <w:tc>
          <w:tcPr>
            <w:tcW w:w="4361" w:type="dxa"/>
            <w:vAlign w:val="center"/>
          </w:tcPr>
          <w:p w14:paraId="34D676E0" w14:textId="77777777" w:rsidR="00D81182" w:rsidRPr="00DA09E2" w:rsidRDefault="00D81182" w:rsidP="00D03A4F">
            <w:pPr>
              <w:spacing w:after="0" w:line="240" w:lineRule="auto"/>
              <w:ind w:left="17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в том числе мигранты в возрасте, лет:</w:t>
            </w:r>
          </w:p>
        </w:tc>
        <w:tc>
          <w:tcPr>
            <w:tcW w:w="1985" w:type="dxa"/>
            <w:vAlign w:val="center"/>
          </w:tcPr>
          <w:p w14:paraId="229B4445"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p>
        </w:tc>
        <w:tc>
          <w:tcPr>
            <w:tcW w:w="1984" w:type="dxa"/>
            <w:vAlign w:val="center"/>
          </w:tcPr>
          <w:p w14:paraId="3996DD30"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p>
        </w:tc>
        <w:tc>
          <w:tcPr>
            <w:tcW w:w="1701" w:type="dxa"/>
            <w:vAlign w:val="center"/>
          </w:tcPr>
          <w:p w14:paraId="6BB05745" w14:textId="77777777" w:rsidR="00D81182" w:rsidRPr="00DA09E2" w:rsidRDefault="00D81182" w:rsidP="00D03A4F">
            <w:pPr>
              <w:spacing w:after="0" w:line="240" w:lineRule="auto"/>
              <w:jc w:val="center"/>
              <w:rPr>
                <w:rFonts w:ascii="Times New Roman" w:eastAsia="Times New Roman" w:hAnsi="Times New Roman" w:cs="Times New Roman"/>
                <w:sz w:val="24"/>
                <w:szCs w:val="24"/>
                <w:lang w:eastAsia="ru-RU"/>
              </w:rPr>
            </w:pPr>
          </w:p>
        </w:tc>
      </w:tr>
      <w:tr w:rsidR="00D81182" w:rsidRPr="00DA09E2" w14:paraId="19E7B390" w14:textId="77777777" w:rsidTr="00944CB1">
        <w:trPr>
          <w:trHeight w:val="414"/>
        </w:trPr>
        <w:tc>
          <w:tcPr>
            <w:tcW w:w="4361" w:type="dxa"/>
            <w:vAlign w:val="center"/>
          </w:tcPr>
          <w:p w14:paraId="1078AF66" w14:textId="77777777" w:rsidR="00D81182" w:rsidRPr="00DA09E2" w:rsidRDefault="00D81182"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0-4</w:t>
            </w:r>
          </w:p>
        </w:tc>
        <w:tc>
          <w:tcPr>
            <w:tcW w:w="1985" w:type="dxa"/>
            <w:vAlign w:val="center"/>
          </w:tcPr>
          <w:p w14:paraId="00EDA0D8"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w:t>
            </w:r>
          </w:p>
        </w:tc>
        <w:tc>
          <w:tcPr>
            <w:tcW w:w="1984" w:type="dxa"/>
            <w:vAlign w:val="center"/>
          </w:tcPr>
          <w:p w14:paraId="37402834"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3</w:t>
            </w:r>
          </w:p>
        </w:tc>
        <w:tc>
          <w:tcPr>
            <w:tcW w:w="1701" w:type="dxa"/>
            <w:vAlign w:val="center"/>
          </w:tcPr>
          <w:p w14:paraId="33533367" w14:textId="77777777" w:rsidR="00D81182" w:rsidRPr="00714591" w:rsidRDefault="00714591" w:rsidP="00D03A4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r>
      <w:tr w:rsidR="00D81182" w:rsidRPr="00DA09E2" w14:paraId="13C62C68" w14:textId="77777777" w:rsidTr="00944CB1">
        <w:trPr>
          <w:trHeight w:val="419"/>
        </w:trPr>
        <w:tc>
          <w:tcPr>
            <w:tcW w:w="4361" w:type="dxa"/>
            <w:vAlign w:val="center"/>
          </w:tcPr>
          <w:p w14:paraId="68E0572E" w14:textId="77777777" w:rsidR="00D81182" w:rsidRPr="00DA09E2" w:rsidRDefault="00D81182"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5-9</w:t>
            </w:r>
          </w:p>
        </w:tc>
        <w:tc>
          <w:tcPr>
            <w:tcW w:w="1985" w:type="dxa"/>
            <w:vAlign w:val="center"/>
          </w:tcPr>
          <w:p w14:paraId="017D5E93"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-56</w:t>
            </w:r>
          </w:p>
        </w:tc>
        <w:tc>
          <w:tcPr>
            <w:tcW w:w="1984" w:type="dxa"/>
            <w:vAlign w:val="center"/>
          </w:tcPr>
          <w:p w14:paraId="41A1DF3B"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w:t>
            </w:r>
          </w:p>
        </w:tc>
        <w:tc>
          <w:tcPr>
            <w:tcW w:w="1701" w:type="dxa"/>
            <w:vAlign w:val="center"/>
          </w:tcPr>
          <w:p w14:paraId="79FDAC41" w14:textId="77777777" w:rsidR="00D81182" w:rsidRPr="00714591" w:rsidRDefault="00714591" w:rsidP="00D03A4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r>
      <w:tr w:rsidR="00D81182" w:rsidRPr="00BD5A90" w14:paraId="7BE22F3D" w14:textId="77777777" w:rsidTr="00944CB1">
        <w:trPr>
          <w:trHeight w:val="409"/>
        </w:trPr>
        <w:tc>
          <w:tcPr>
            <w:tcW w:w="4361" w:type="dxa"/>
            <w:vAlign w:val="center"/>
          </w:tcPr>
          <w:p w14:paraId="34A24FBF" w14:textId="77777777" w:rsidR="00D81182" w:rsidRPr="00DA09E2" w:rsidRDefault="00D81182" w:rsidP="00D03A4F">
            <w:pPr>
              <w:spacing w:after="0" w:line="240" w:lineRule="auto"/>
              <w:ind w:left="340"/>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10-14</w:t>
            </w:r>
          </w:p>
        </w:tc>
        <w:tc>
          <w:tcPr>
            <w:tcW w:w="1985" w:type="dxa"/>
            <w:vAlign w:val="center"/>
          </w:tcPr>
          <w:p w14:paraId="51DA348B"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-43</w:t>
            </w:r>
          </w:p>
        </w:tc>
        <w:tc>
          <w:tcPr>
            <w:tcW w:w="1984" w:type="dxa"/>
            <w:vAlign w:val="center"/>
          </w:tcPr>
          <w:p w14:paraId="3B1E9063" w14:textId="77777777" w:rsidR="00D81182" w:rsidRPr="00DA09E2" w:rsidRDefault="00D81182" w:rsidP="00D81182">
            <w:pPr>
              <w:spacing w:after="0" w:line="240" w:lineRule="auto"/>
              <w:jc w:val="center"/>
              <w:rPr>
                <w:rFonts w:ascii="Times New Roman" w:eastAsia="Times New Roman" w:hAnsi="Times New Roman" w:cs="Times New Roman"/>
                <w:sz w:val="24"/>
                <w:szCs w:val="24"/>
                <w:lang w:eastAsia="ru-RU"/>
              </w:rPr>
            </w:pPr>
            <w:r w:rsidRPr="00DA09E2">
              <w:rPr>
                <w:rFonts w:ascii="Times New Roman" w:eastAsia="Times New Roman" w:hAnsi="Times New Roman" w:cs="Times New Roman"/>
                <w:sz w:val="24"/>
                <w:szCs w:val="24"/>
                <w:lang w:eastAsia="ru-RU"/>
              </w:rPr>
              <w:t>-6</w:t>
            </w:r>
          </w:p>
        </w:tc>
        <w:tc>
          <w:tcPr>
            <w:tcW w:w="1701" w:type="dxa"/>
            <w:vAlign w:val="center"/>
          </w:tcPr>
          <w:p w14:paraId="1E960247" w14:textId="77777777" w:rsidR="00D81182" w:rsidRPr="00714591" w:rsidRDefault="00714591" w:rsidP="00D03A4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w:t>
            </w:r>
          </w:p>
        </w:tc>
      </w:tr>
    </w:tbl>
    <w:p w14:paraId="2F3B2202" w14:textId="77777777"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14:paraId="0A948178" w14:textId="77777777" w:rsidR="00FF62DF" w:rsidRDefault="00FF62DF" w:rsidP="00D03A4F">
      <w:pPr>
        <w:spacing w:after="0" w:line="240" w:lineRule="auto"/>
        <w:jc w:val="right"/>
        <w:rPr>
          <w:rFonts w:ascii="Times New Roman" w:eastAsia="Times New Roman" w:hAnsi="Times New Roman" w:cs="Times New Roman"/>
          <w:sz w:val="26"/>
          <w:szCs w:val="26"/>
          <w:lang w:eastAsia="ru-RU"/>
        </w:rPr>
      </w:pPr>
    </w:p>
    <w:p w14:paraId="7E378ACB" w14:textId="77777777" w:rsidR="00D03A4F" w:rsidRPr="00226F37" w:rsidRDefault="00D03A4F" w:rsidP="00D03A4F">
      <w:pPr>
        <w:spacing w:after="0" w:line="240" w:lineRule="auto"/>
        <w:jc w:val="right"/>
        <w:rPr>
          <w:rFonts w:ascii="Times New Roman" w:eastAsia="Times New Roman" w:hAnsi="Times New Roman" w:cs="Times New Roman"/>
          <w:sz w:val="26"/>
          <w:szCs w:val="26"/>
          <w:lang w:eastAsia="ru-RU"/>
        </w:rPr>
      </w:pPr>
      <w:r w:rsidRPr="00226F37">
        <w:rPr>
          <w:rFonts w:ascii="Times New Roman" w:eastAsia="Times New Roman" w:hAnsi="Times New Roman" w:cs="Times New Roman"/>
          <w:sz w:val="26"/>
          <w:szCs w:val="26"/>
          <w:lang w:eastAsia="ru-RU"/>
        </w:rPr>
        <w:t>Таблица 22</w:t>
      </w:r>
    </w:p>
    <w:p w14:paraId="33D48269" w14:textId="77777777" w:rsidR="00D03A4F" w:rsidRPr="00226F37" w:rsidRDefault="00D03A4F" w:rsidP="00D03A4F">
      <w:pPr>
        <w:spacing w:after="0" w:line="240" w:lineRule="auto"/>
        <w:jc w:val="right"/>
        <w:rPr>
          <w:rFonts w:ascii="Times New Roman" w:eastAsia="Times New Roman" w:hAnsi="Times New Roman" w:cs="Times New Roman"/>
          <w:sz w:val="26"/>
          <w:szCs w:val="26"/>
          <w:lang w:eastAsia="ru-RU"/>
        </w:rPr>
      </w:pPr>
    </w:p>
    <w:p w14:paraId="7A9BC8F0" w14:textId="77777777" w:rsidR="00D03A4F" w:rsidRPr="00226F37" w:rsidRDefault="00D03A4F" w:rsidP="00D03A4F">
      <w:pPr>
        <w:spacing w:after="0" w:line="240" w:lineRule="auto"/>
        <w:jc w:val="center"/>
        <w:rPr>
          <w:rFonts w:ascii="Times New Roman" w:eastAsia="Times New Roman" w:hAnsi="Times New Roman" w:cs="Times New Roman"/>
          <w:sz w:val="26"/>
          <w:szCs w:val="26"/>
          <w:lang w:eastAsia="ru-RU"/>
        </w:rPr>
      </w:pPr>
      <w:r w:rsidRPr="00117CDF">
        <w:rPr>
          <w:rFonts w:ascii="Times New Roman" w:eastAsia="Times New Roman" w:hAnsi="Times New Roman" w:cs="Times New Roman"/>
          <w:b/>
          <w:bCs/>
          <w:sz w:val="26"/>
          <w:szCs w:val="26"/>
          <w:lang w:eastAsia="ru-RU"/>
        </w:rPr>
        <w:t>Сведения о прерывании беременности по Российской Федерации</w:t>
      </w:r>
    </w:p>
    <w:p w14:paraId="45789460" w14:textId="77777777" w:rsidR="00D03A4F" w:rsidRPr="00226F37" w:rsidRDefault="00D03A4F" w:rsidP="00D03A4F">
      <w:pPr>
        <w:spacing w:after="0" w:line="240" w:lineRule="auto"/>
        <w:jc w:val="center"/>
        <w:rPr>
          <w:rFonts w:ascii="Times New Roman" w:eastAsia="Times New Roman" w:hAnsi="Times New Roman" w:cs="Times New Roman"/>
          <w:sz w:val="24"/>
          <w:szCs w:val="24"/>
          <w:lang w:eastAsia="ru-RU"/>
        </w:rPr>
      </w:pPr>
    </w:p>
    <w:tbl>
      <w:tblPr>
        <w:tblW w:w="4833" w:type="pct"/>
        <w:tblInd w:w="108" w:type="dxa"/>
        <w:tblLook w:val="00A0" w:firstRow="1" w:lastRow="0" w:firstColumn="1" w:lastColumn="0" w:noHBand="0" w:noVBand="0"/>
      </w:tblPr>
      <w:tblGrid>
        <w:gridCol w:w="1387"/>
        <w:gridCol w:w="2387"/>
        <w:gridCol w:w="2061"/>
        <w:gridCol w:w="1920"/>
        <w:gridCol w:w="2099"/>
      </w:tblGrid>
      <w:tr w:rsidR="00D03A4F" w:rsidRPr="00226F37" w14:paraId="18A86AC0" w14:textId="77777777" w:rsidTr="00944CB1">
        <w:trPr>
          <w:trHeight w:val="315"/>
          <w:tblHeader/>
        </w:trPr>
        <w:tc>
          <w:tcPr>
            <w:tcW w:w="704" w:type="pct"/>
            <w:vMerge w:val="restart"/>
            <w:tcBorders>
              <w:top w:val="single" w:sz="4" w:space="0" w:color="auto"/>
              <w:left w:val="single" w:sz="4" w:space="0" w:color="auto"/>
              <w:bottom w:val="single" w:sz="4" w:space="0" w:color="auto"/>
              <w:right w:val="single" w:sz="4" w:space="0" w:color="auto"/>
            </w:tcBorders>
            <w:noWrap/>
            <w:vAlign w:val="center"/>
          </w:tcPr>
          <w:p w14:paraId="3DE10403" w14:textId="77777777" w:rsidR="00D03A4F" w:rsidRPr="00226F37" w:rsidRDefault="00D03A4F" w:rsidP="00D03A4F">
            <w:pPr>
              <w:spacing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Год</w:t>
            </w:r>
          </w:p>
        </w:tc>
        <w:tc>
          <w:tcPr>
            <w:tcW w:w="4296" w:type="pct"/>
            <w:gridSpan w:val="4"/>
            <w:tcBorders>
              <w:top w:val="single" w:sz="4" w:space="0" w:color="auto"/>
              <w:left w:val="nil"/>
              <w:bottom w:val="single" w:sz="4" w:space="0" w:color="auto"/>
              <w:right w:val="single" w:sz="4" w:space="0" w:color="auto"/>
            </w:tcBorders>
            <w:noWrap/>
            <w:vAlign w:val="center"/>
          </w:tcPr>
          <w:p w14:paraId="7C63B875" w14:textId="77777777" w:rsidR="00D03A4F" w:rsidRPr="00226F37" w:rsidRDefault="00D03A4F" w:rsidP="00D03A4F">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Число абортов, единиц</w:t>
            </w:r>
          </w:p>
        </w:tc>
      </w:tr>
      <w:tr w:rsidR="00D03A4F" w:rsidRPr="00226F37" w14:paraId="12236187" w14:textId="77777777" w:rsidTr="00944CB1">
        <w:trPr>
          <w:trHeight w:val="1110"/>
          <w:tblHeader/>
        </w:trPr>
        <w:tc>
          <w:tcPr>
            <w:tcW w:w="704" w:type="pct"/>
            <w:vMerge/>
            <w:tcBorders>
              <w:top w:val="single" w:sz="4" w:space="0" w:color="auto"/>
              <w:left w:val="single" w:sz="4" w:space="0" w:color="auto"/>
              <w:bottom w:val="single" w:sz="4" w:space="0" w:color="auto"/>
              <w:right w:val="single" w:sz="4" w:space="0" w:color="auto"/>
            </w:tcBorders>
            <w:vAlign w:val="center"/>
          </w:tcPr>
          <w:p w14:paraId="1014002D" w14:textId="77777777" w:rsidR="00D03A4F" w:rsidRPr="00226F37" w:rsidRDefault="00D03A4F" w:rsidP="00D03A4F">
            <w:pPr>
              <w:spacing w:after="0" w:line="240" w:lineRule="auto"/>
              <w:jc w:val="center"/>
              <w:rPr>
                <w:rFonts w:ascii="Times New Roman" w:eastAsia="Times New Roman" w:hAnsi="Times New Roman" w:cs="Times New Roman"/>
                <w:b/>
                <w:bCs/>
                <w:sz w:val="24"/>
                <w:szCs w:val="24"/>
                <w:lang w:eastAsia="ru-RU"/>
              </w:rPr>
            </w:pPr>
          </w:p>
        </w:tc>
        <w:tc>
          <w:tcPr>
            <w:tcW w:w="1211" w:type="pct"/>
            <w:tcBorders>
              <w:top w:val="nil"/>
              <w:left w:val="nil"/>
              <w:bottom w:val="single" w:sz="4" w:space="0" w:color="auto"/>
              <w:right w:val="single" w:sz="4" w:space="0" w:color="auto"/>
            </w:tcBorders>
            <w:vAlign w:val="center"/>
          </w:tcPr>
          <w:p w14:paraId="6A576934" w14:textId="77777777" w:rsidR="00D03A4F" w:rsidRPr="00226F37" w:rsidRDefault="00D03A4F" w:rsidP="00D03A4F">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 xml:space="preserve">у </w:t>
            </w:r>
            <w:proofErr w:type="spellStart"/>
            <w:r w:rsidRPr="00226F37">
              <w:rPr>
                <w:rFonts w:ascii="Times New Roman" w:eastAsia="Times New Roman" w:hAnsi="Times New Roman" w:cs="Times New Roman"/>
                <w:sz w:val="24"/>
                <w:szCs w:val="24"/>
                <w:lang w:eastAsia="ru-RU"/>
              </w:rPr>
              <w:t>первобеременных</w:t>
            </w:r>
            <w:proofErr w:type="spellEnd"/>
          </w:p>
        </w:tc>
        <w:tc>
          <w:tcPr>
            <w:tcW w:w="1046" w:type="pct"/>
            <w:tcBorders>
              <w:top w:val="nil"/>
              <w:left w:val="nil"/>
              <w:bottom w:val="single" w:sz="4" w:space="0" w:color="auto"/>
              <w:right w:val="single" w:sz="4" w:space="0" w:color="auto"/>
            </w:tcBorders>
            <w:vAlign w:val="center"/>
          </w:tcPr>
          <w:p w14:paraId="366BEC33" w14:textId="77777777" w:rsidR="00D03A4F" w:rsidRPr="00226F37"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226F37">
              <w:rPr>
                <w:rFonts w:ascii="Times New Roman" w:eastAsia="Times New Roman" w:hAnsi="Times New Roman" w:cs="Times New Roman"/>
                <w:color w:val="000000"/>
                <w:sz w:val="24"/>
                <w:szCs w:val="24"/>
                <w:lang w:eastAsia="ru-RU"/>
              </w:rPr>
              <w:t>по социальным показаниям</w:t>
            </w:r>
          </w:p>
        </w:tc>
        <w:tc>
          <w:tcPr>
            <w:tcW w:w="974" w:type="pct"/>
            <w:tcBorders>
              <w:top w:val="nil"/>
              <w:left w:val="nil"/>
              <w:bottom w:val="single" w:sz="4" w:space="0" w:color="auto"/>
              <w:right w:val="single" w:sz="4" w:space="0" w:color="auto"/>
            </w:tcBorders>
            <w:vAlign w:val="center"/>
          </w:tcPr>
          <w:p w14:paraId="6551211D" w14:textId="77777777" w:rsidR="00D03A4F" w:rsidRPr="00226F37"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226F37">
              <w:rPr>
                <w:rFonts w:ascii="Times New Roman" w:eastAsia="Times New Roman" w:hAnsi="Times New Roman" w:cs="Times New Roman"/>
                <w:color w:val="000000"/>
                <w:sz w:val="24"/>
                <w:szCs w:val="24"/>
                <w:lang w:eastAsia="ru-RU"/>
              </w:rPr>
              <w:t>по медицинским показаниям</w:t>
            </w:r>
          </w:p>
        </w:tc>
        <w:tc>
          <w:tcPr>
            <w:tcW w:w="1065" w:type="pct"/>
            <w:tcBorders>
              <w:top w:val="nil"/>
              <w:left w:val="nil"/>
              <w:bottom w:val="single" w:sz="4" w:space="0" w:color="auto"/>
              <w:right w:val="single" w:sz="4" w:space="0" w:color="auto"/>
            </w:tcBorders>
            <w:vAlign w:val="center"/>
          </w:tcPr>
          <w:p w14:paraId="74704566" w14:textId="77777777" w:rsidR="00D03A4F" w:rsidRPr="00226F37" w:rsidRDefault="00D03A4F" w:rsidP="00D03A4F">
            <w:pPr>
              <w:spacing w:after="0" w:line="240" w:lineRule="auto"/>
              <w:jc w:val="center"/>
              <w:rPr>
                <w:rFonts w:ascii="Times New Roman" w:eastAsia="Times New Roman" w:hAnsi="Times New Roman" w:cs="Times New Roman"/>
                <w:color w:val="000000"/>
                <w:sz w:val="24"/>
                <w:szCs w:val="24"/>
                <w:lang w:eastAsia="ru-RU"/>
              </w:rPr>
            </w:pPr>
            <w:r w:rsidRPr="00226F37">
              <w:rPr>
                <w:rFonts w:ascii="Times New Roman" w:eastAsia="Times New Roman" w:hAnsi="Times New Roman" w:cs="Times New Roman"/>
                <w:color w:val="000000"/>
                <w:sz w:val="24"/>
                <w:szCs w:val="24"/>
                <w:lang w:eastAsia="ru-RU"/>
              </w:rPr>
              <w:t>медикаментозным методом</w:t>
            </w:r>
          </w:p>
        </w:tc>
      </w:tr>
      <w:tr w:rsidR="00832765" w:rsidRPr="00226F37" w14:paraId="505BE814" w14:textId="77777777" w:rsidTr="00944CB1">
        <w:trPr>
          <w:trHeight w:val="300"/>
        </w:trPr>
        <w:tc>
          <w:tcPr>
            <w:tcW w:w="704" w:type="pct"/>
            <w:tcBorders>
              <w:left w:val="single" w:sz="4" w:space="0" w:color="auto"/>
              <w:bottom w:val="single" w:sz="4" w:space="0" w:color="auto"/>
              <w:right w:val="single" w:sz="4" w:space="0" w:color="auto"/>
            </w:tcBorders>
            <w:noWrap/>
            <w:vAlign w:val="center"/>
          </w:tcPr>
          <w:p w14:paraId="72613B1A" w14:textId="77777777" w:rsidR="00832765" w:rsidRPr="00226F37" w:rsidRDefault="00832765" w:rsidP="00832765">
            <w:pPr>
              <w:spacing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2017</w:t>
            </w:r>
          </w:p>
        </w:tc>
        <w:tc>
          <w:tcPr>
            <w:tcW w:w="1211" w:type="pct"/>
            <w:tcBorders>
              <w:left w:val="single" w:sz="4" w:space="0" w:color="auto"/>
              <w:bottom w:val="single" w:sz="4" w:space="0" w:color="auto"/>
              <w:right w:val="single" w:sz="4" w:space="0" w:color="auto"/>
            </w:tcBorders>
            <w:vAlign w:val="center"/>
          </w:tcPr>
          <w:p w14:paraId="17254417" w14:textId="77777777" w:rsidR="00832765" w:rsidRPr="00226F37" w:rsidRDefault="00832765" w:rsidP="00832765">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57 602</w:t>
            </w:r>
          </w:p>
        </w:tc>
        <w:tc>
          <w:tcPr>
            <w:tcW w:w="1046" w:type="pct"/>
            <w:tcBorders>
              <w:left w:val="single" w:sz="4" w:space="0" w:color="auto"/>
              <w:bottom w:val="single" w:sz="4" w:space="0" w:color="auto"/>
              <w:right w:val="single" w:sz="4" w:space="0" w:color="auto"/>
            </w:tcBorders>
            <w:noWrap/>
            <w:vAlign w:val="center"/>
          </w:tcPr>
          <w:p w14:paraId="0BB1F2B6" w14:textId="77777777" w:rsidR="00832765" w:rsidRPr="00226F37" w:rsidRDefault="00832765" w:rsidP="00832765">
            <w:pPr>
              <w:spacing w:after="0" w:line="240" w:lineRule="auto"/>
              <w:jc w:val="center"/>
              <w:rPr>
                <w:rFonts w:ascii="Times New Roman" w:eastAsia="Times New Roman" w:hAnsi="Times New Roman" w:cs="Times New Roman"/>
                <w:color w:val="000000"/>
                <w:sz w:val="24"/>
                <w:szCs w:val="24"/>
                <w:lang w:eastAsia="ru-RU"/>
              </w:rPr>
            </w:pPr>
            <w:r w:rsidRPr="00226F37">
              <w:rPr>
                <w:rFonts w:ascii="Times New Roman" w:eastAsia="Times New Roman" w:hAnsi="Times New Roman" w:cs="Times New Roman"/>
                <w:color w:val="000000"/>
                <w:sz w:val="24"/>
                <w:szCs w:val="24"/>
                <w:lang w:eastAsia="ru-RU"/>
              </w:rPr>
              <w:t>27</w:t>
            </w:r>
          </w:p>
        </w:tc>
        <w:tc>
          <w:tcPr>
            <w:tcW w:w="974" w:type="pct"/>
            <w:tcBorders>
              <w:left w:val="single" w:sz="4" w:space="0" w:color="auto"/>
              <w:bottom w:val="single" w:sz="4" w:space="0" w:color="auto"/>
              <w:right w:val="single" w:sz="4" w:space="0" w:color="auto"/>
            </w:tcBorders>
            <w:noWrap/>
            <w:vAlign w:val="center"/>
          </w:tcPr>
          <w:p w14:paraId="44B8E71D" w14:textId="77777777" w:rsidR="00832765" w:rsidRPr="00226F37" w:rsidRDefault="00832765" w:rsidP="00832765">
            <w:pPr>
              <w:spacing w:after="0" w:line="240" w:lineRule="auto"/>
              <w:jc w:val="center"/>
              <w:rPr>
                <w:rFonts w:ascii="Times New Roman" w:eastAsia="Times New Roman" w:hAnsi="Times New Roman" w:cs="Times New Roman"/>
                <w:color w:val="000000"/>
                <w:sz w:val="24"/>
                <w:szCs w:val="24"/>
                <w:lang w:eastAsia="ru-RU"/>
              </w:rPr>
            </w:pPr>
            <w:r w:rsidRPr="00226F37">
              <w:rPr>
                <w:rFonts w:ascii="Times New Roman" w:eastAsia="Times New Roman" w:hAnsi="Times New Roman" w:cs="Times New Roman"/>
                <w:color w:val="000000"/>
                <w:sz w:val="24"/>
                <w:szCs w:val="24"/>
                <w:lang w:eastAsia="ru-RU"/>
              </w:rPr>
              <w:t>59 594</w:t>
            </w:r>
          </w:p>
        </w:tc>
        <w:tc>
          <w:tcPr>
            <w:tcW w:w="1065" w:type="pct"/>
            <w:tcBorders>
              <w:left w:val="single" w:sz="4" w:space="0" w:color="auto"/>
              <w:bottom w:val="single" w:sz="4" w:space="0" w:color="auto"/>
              <w:right w:val="single" w:sz="4" w:space="0" w:color="auto"/>
            </w:tcBorders>
            <w:noWrap/>
            <w:vAlign w:val="center"/>
          </w:tcPr>
          <w:p w14:paraId="048729D1" w14:textId="77777777" w:rsidR="00832765" w:rsidRPr="00226F37" w:rsidRDefault="00832765" w:rsidP="00832765">
            <w:pPr>
              <w:spacing w:after="0" w:line="240" w:lineRule="auto"/>
              <w:jc w:val="center"/>
              <w:rPr>
                <w:rFonts w:ascii="Times New Roman" w:eastAsia="Times New Roman" w:hAnsi="Times New Roman" w:cs="Times New Roman"/>
                <w:color w:val="000000"/>
                <w:sz w:val="24"/>
                <w:szCs w:val="24"/>
                <w:lang w:eastAsia="ru-RU"/>
              </w:rPr>
            </w:pPr>
            <w:r w:rsidRPr="00226F37">
              <w:rPr>
                <w:rFonts w:ascii="Times New Roman" w:eastAsia="Times New Roman" w:hAnsi="Times New Roman" w:cs="Times New Roman"/>
                <w:color w:val="000000"/>
                <w:sz w:val="24"/>
                <w:szCs w:val="24"/>
                <w:lang w:eastAsia="ru-RU"/>
              </w:rPr>
              <w:t>42 792</w:t>
            </w:r>
          </w:p>
        </w:tc>
      </w:tr>
      <w:tr w:rsidR="00832765" w:rsidRPr="00226F37" w14:paraId="2DD8F7EC" w14:textId="77777777" w:rsidTr="00944CB1">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14:paraId="70E32719" w14:textId="77777777" w:rsidR="00832765" w:rsidRPr="00226F37" w:rsidRDefault="00832765" w:rsidP="00832765">
            <w:pPr>
              <w:spacing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2018</w:t>
            </w:r>
          </w:p>
        </w:tc>
        <w:tc>
          <w:tcPr>
            <w:tcW w:w="1211" w:type="pct"/>
            <w:tcBorders>
              <w:top w:val="single" w:sz="4" w:space="0" w:color="auto"/>
              <w:left w:val="single" w:sz="4" w:space="0" w:color="auto"/>
              <w:bottom w:val="single" w:sz="4" w:space="0" w:color="auto"/>
              <w:right w:val="single" w:sz="4" w:space="0" w:color="auto"/>
            </w:tcBorders>
            <w:noWrap/>
            <w:vAlign w:val="center"/>
          </w:tcPr>
          <w:p w14:paraId="555FD022" w14:textId="77777777" w:rsidR="00832765" w:rsidRPr="00226F37" w:rsidRDefault="00832765" w:rsidP="00832765">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51 465</w:t>
            </w:r>
          </w:p>
        </w:tc>
        <w:tc>
          <w:tcPr>
            <w:tcW w:w="1046" w:type="pct"/>
            <w:tcBorders>
              <w:top w:val="single" w:sz="4" w:space="0" w:color="auto"/>
              <w:left w:val="single" w:sz="4" w:space="0" w:color="auto"/>
              <w:bottom w:val="single" w:sz="4" w:space="0" w:color="auto"/>
              <w:right w:val="single" w:sz="4" w:space="0" w:color="auto"/>
            </w:tcBorders>
            <w:noWrap/>
            <w:vAlign w:val="center"/>
          </w:tcPr>
          <w:p w14:paraId="57C0917A" w14:textId="77777777" w:rsidR="00832765" w:rsidRPr="00226F37" w:rsidRDefault="00832765" w:rsidP="00832765">
            <w:pPr>
              <w:spacing w:after="0" w:line="240" w:lineRule="auto"/>
              <w:jc w:val="center"/>
              <w:rPr>
                <w:rFonts w:ascii="Times New Roman" w:eastAsia="Times New Roman" w:hAnsi="Times New Roman" w:cs="Times New Roman"/>
                <w:color w:val="000000"/>
                <w:sz w:val="24"/>
                <w:szCs w:val="24"/>
                <w:lang w:eastAsia="ru-RU"/>
              </w:rPr>
            </w:pPr>
            <w:r w:rsidRPr="00226F37">
              <w:rPr>
                <w:rFonts w:ascii="Times New Roman" w:eastAsia="Times New Roman" w:hAnsi="Times New Roman" w:cs="Times New Roman"/>
                <w:color w:val="000000"/>
                <w:sz w:val="24"/>
                <w:szCs w:val="24"/>
                <w:lang w:eastAsia="ru-RU"/>
              </w:rPr>
              <w:t>20</w:t>
            </w:r>
          </w:p>
        </w:tc>
        <w:tc>
          <w:tcPr>
            <w:tcW w:w="974" w:type="pct"/>
            <w:tcBorders>
              <w:top w:val="single" w:sz="4" w:space="0" w:color="auto"/>
              <w:left w:val="single" w:sz="4" w:space="0" w:color="auto"/>
              <w:bottom w:val="single" w:sz="4" w:space="0" w:color="auto"/>
              <w:right w:val="single" w:sz="4" w:space="0" w:color="auto"/>
            </w:tcBorders>
            <w:noWrap/>
            <w:vAlign w:val="center"/>
          </w:tcPr>
          <w:p w14:paraId="1199C918" w14:textId="77777777" w:rsidR="00832765" w:rsidRPr="00226F37" w:rsidRDefault="00832765" w:rsidP="00832765">
            <w:pPr>
              <w:spacing w:after="0" w:line="240" w:lineRule="auto"/>
              <w:jc w:val="center"/>
              <w:rPr>
                <w:rFonts w:ascii="Times New Roman" w:eastAsia="Times New Roman" w:hAnsi="Times New Roman" w:cs="Times New Roman"/>
                <w:color w:val="000000"/>
                <w:sz w:val="24"/>
                <w:szCs w:val="24"/>
                <w:lang w:eastAsia="ru-RU"/>
              </w:rPr>
            </w:pPr>
            <w:r w:rsidRPr="00226F37">
              <w:rPr>
                <w:rFonts w:ascii="Times New Roman" w:eastAsia="Times New Roman" w:hAnsi="Times New Roman" w:cs="Times New Roman"/>
                <w:color w:val="000000"/>
                <w:sz w:val="24"/>
                <w:szCs w:val="24"/>
                <w:lang w:eastAsia="ru-RU"/>
              </w:rPr>
              <w:t>20 381</w:t>
            </w:r>
          </w:p>
        </w:tc>
        <w:tc>
          <w:tcPr>
            <w:tcW w:w="1065" w:type="pct"/>
            <w:tcBorders>
              <w:top w:val="single" w:sz="4" w:space="0" w:color="auto"/>
              <w:left w:val="single" w:sz="4" w:space="0" w:color="auto"/>
              <w:bottom w:val="single" w:sz="4" w:space="0" w:color="auto"/>
              <w:right w:val="single" w:sz="4" w:space="0" w:color="auto"/>
            </w:tcBorders>
            <w:noWrap/>
            <w:vAlign w:val="center"/>
          </w:tcPr>
          <w:p w14:paraId="53C4540A" w14:textId="77777777" w:rsidR="00832765" w:rsidRPr="00226F37" w:rsidRDefault="00832765" w:rsidP="00832765">
            <w:pPr>
              <w:spacing w:after="0" w:line="240" w:lineRule="auto"/>
              <w:jc w:val="center"/>
              <w:rPr>
                <w:rFonts w:ascii="Times New Roman" w:eastAsia="Times New Roman" w:hAnsi="Times New Roman" w:cs="Times New Roman"/>
                <w:color w:val="000000"/>
                <w:sz w:val="24"/>
                <w:szCs w:val="24"/>
                <w:lang w:eastAsia="ru-RU"/>
              </w:rPr>
            </w:pPr>
            <w:r w:rsidRPr="00226F37">
              <w:rPr>
                <w:rFonts w:ascii="Times New Roman" w:eastAsia="Times New Roman" w:hAnsi="Times New Roman" w:cs="Times New Roman"/>
                <w:color w:val="000000"/>
                <w:sz w:val="24"/>
                <w:szCs w:val="24"/>
                <w:lang w:eastAsia="ru-RU"/>
              </w:rPr>
              <w:t>11 531</w:t>
            </w:r>
          </w:p>
        </w:tc>
      </w:tr>
      <w:tr w:rsidR="00832765" w:rsidRPr="00226F37" w14:paraId="140B4FBC" w14:textId="77777777" w:rsidTr="00944CB1">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14:paraId="77ABEEF9" w14:textId="77777777" w:rsidR="00832765" w:rsidRPr="00226F37" w:rsidRDefault="00832765" w:rsidP="00832765">
            <w:pPr>
              <w:spacing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2019</w:t>
            </w:r>
          </w:p>
        </w:tc>
        <w:tc>
          <w:tcPr>
            <w:tcW w:w="1211" w:type="pct"/>
            <w:tcBorders>
              <w:top w:val="single" w:sz="4" w:space="0" w:color="auto"/>
              <w:left w:val="single" w:sz="4" w:space="0" w:color="auto"/>
              <w:bottom w:val="single" w:sz="4" w:space="0" w:color="auto"/>
              <w:right w:val="single" w:sz="4" w:space="0" w:color="auto"/>
            </w:tcBorders>
            <w:noWrap/>
            <w:vAlign w:val="center"/>
          </w:tcPr>
          <w:p w14:paraId="19FBC949" w14:textId="77777777" w:rsidR="00832765" w:rsidRPr="00226F37" w:rsidRDefault="00832765" w:rsidP="00832765">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52150</w:t>
            </w:r>
          </w:p>
        </w:tc>
        <w:tc>
          <w:tcPr>
            <w:tcW w:w="1046" w:type="pct"/>
            <w:tcBorders>
              <w:top w:val="single" w:sz="4" w:space="0" w:color="auto"/>
              <w:left w:val="single" w:sz="4" w:space="0" w:color="auto"/>
              <w:bottom w:val="single" w:sz="4" w:space="0" w:color="auto"/>
              <w:right w:val="single" w:sz="4" w:space="0" w:color="auto"/>
            </w:tcBorders>
            <w:noWrap/>
            <w:vAlign w:val="center"/>
          </w:tcPr>
          <w:p w14:paraId="6B65AEB0" w14:textId="77777777" w:rsidR="00832765" w:rsidRPr="00226F37" w:rsidRDefault="00832765" w:rsidP="00832765">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16</w:t>
            </w:r>
          </w:p>
        </w:tc>
        <w:tc>
          <w:tcPr>
            <w:tcW w:w="974" w:type="pct"/>
            <w:tcBorders>
              <w:top w:val="single" w:sz="4" w:space="0" w:color="auto"/>
              <w:left w:val="single" w:sz="4" w:space="0" w:color="auto"/>
              <w:bottom w:val="single" w:sz="4" w:space="0" w:color="auto"/>
              <w:right w:val="single" w:sz="4" w:space="0" w:color="auto"/>
            </w:tcBorders>
            <w:noWrap/>
            <w:vAlign w:val="center"/>
          </w:tcPr>
          <w:p w14:paraId="36EB867B" w14:textId="77777777" w:rsidR="00832765" w:rsidRPr="00226F37" w:rsidRDefault="00832765" w:rsidP="00832765">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20914</w:t>
            </w:r>
          </w:p>
        </w:tc>
        <w:tc>
          <w:tcPr>
            <w:tcW w:w="1065" w:type="pct"/>
            <w:tcBorders>
              <w:top w:val="single" w:sz="4" w:space="0" w:color="auto"/>
              <w:left w:val="single" w:sz="4" w:space="0" w:color="auto"/>
              <w:bottom w:val="single" w:sz="4" w:space="0" w:color="auto"/>
              <w:right w:val="single" w:sz="4" w:space="0" w:color="auto"/>
            </w:tcBorders>
            <w:noWrap/>
            <w:vAlign w:val="center"/>
          </w:tcPr>
          <w:p w14:paraId="0492EFEF" w14:textId="77777777" w:rsidR="00832765" w:rsidRPr="00226F37" w:rsidRDefault="00832765" w:rsidP="00832765">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11578</w:t>
            </w:r>
          </w:p>
        </w:tc>
      </w:tr>
      <w:tr w:rsidR="00832765" w:rsidRPr="00226F37" w14:paraId="7FAE4F29" w14:textId="77777777" w:rsidTr="00942B04">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14:paraId="10FEA3B6" w14:textId="77777777" w:rsidR="00832765" w:rsidRPr="00226F37" w:rsidRDefault="00832765" w:rsidP="00832765">
            <w:pPr>
              <w:spacing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2020</w:t>
            </w:r>
          </w:p>
        </w:tc>
        <w:tc>
          <w:tcPr>
            <w:tcW w:w="1211" w:type="pct"/>
            <w:tcBorders>
              <w:left w:val="single" w:sz="4" w:space="0" w:color="auto"/>
              <w:bottom w:val="single" w:sz="4" w:space="0" w:color="auto"/>
              <w:right w:val="single" w:sz="4" w:space="0" w:color="auto"/>
            </w:tcBorders>
            <w:noWrap/>
            <w:vAlign w:val="center"/>
          </w:tcPr>
          <w:p w14:paraId="13DB2A60" w14:textId="77777777" w:rsidR="00832765" w:rsidRPr="00226F37" w:rsidRDefault="00832765" w:rsidP="00832765">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 xml:space="preserve">50 </w:t>
            </w:r>
            <w:r>
              <w:rPr>
                <w:rFonts w:ascii="Times New Roman" w:eastAsia="Times New Roman" w:hAnsi="Times New Roman" w:cs="Times New Roman"/>
                <w:sz w:val="24"/>
                <w:szCs w:val="24"/>
                <w:lang w:eastAsia="ru-RU"/>
              </w:rPr>
              <w:t>581</w:t>
            </w:r>
          </w:p>
        </w:tc>
        <w:tc>
          <w:tcPr>
            <w:tcW w:w="1046" w:type="pct"/>
            <w:tcBorders>
              <w:left w:val="single" w:sz="4" w:space="0" w:color="auto"/>
              <w:bottom w:val="single" w:sz="4" w:space="0" w:color="auto"/>
              <w:right w:val="single" w:sz="4" w:space="0" w:color="auto"/>
            </w:tcBorders>
            <w:noWrap/>
            <w:vAlign w:val="center"/>
          </w:tcPr>
          <w:p w14:paraId="59F573A0" w14:textId="77777777" w:rsidR="00832765" w:rsidRPr="00226F37" w:rsidRDefault="00832765" w:rsidP="0083276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74" w:type="pct"/>
            <w:tcBorders>
              <w:left w:val="single" w:sz="4" w:space="0" w:color="auto"/>
              <w:bottom w:val="single" w:sz="4" w:space="0" w:color="auto"/>
              <w:right w:val="single" w:sz="4" w:space="0" w:color="auto"/>
            </w:tcBorders>
            <w:noWrap/>
            <w:vAlign w:val="center"/>
          </w:tcPr>
          <w:p w14:paraId="3861974B" w14:textId="77777777" w:rsidR="00832765" w:rsidRPr="00226F37" w:rsidRDefault="00832765" w:rsidP="00832765">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 xml:space="preserve">18 </w:t>
            </w:r>
            <w:r>
              <w:rPr>
                <w:rFonts w:ascii="Times New Roman" w:eastAsia="Times New Roman" w:hAnsi="Times New Roman" w:cs="Times New Roman"/>
                <w:sz w:val="24"/>
                <w:szCs w:val="24"/>
                <w:lang w:eastAsia="ru-RU"/>
              </w:rPr>
              <w:t>353</w:t>
            </w:r>
          </w:p>
        </w:tc>
        <w:tc>
          <w:tcPr>
            <w:tcW w:w="1065" w:type="pct"/>
            <w:tcBorders>
              <w:left w:val="single" w:sz="4" w:space="0" w:color="auto"/>
              <w:bottom w:val="single" w:sz="4" w:space="0" w:color="auto"/>
              <w:right w:val="single" w:sz="4" w:space="0" w:color="auto"/>
            </w:tcBorders>
            <w:noWrap/>
            <w:vAlign w:val="center"/>
          </w:tcPr>
          <w:p w14:paraId="12F5EDBE" w14:textId="77777777" w:rsidR="00832765" w:rsidRPr="00226F37" w:rsidRDefault="00832765" w:rsidP="00832765">
            <w:pPr>
              <w:spacing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 xml:space="preserve">11 </w:t>
            </w:r>
            <w:r>
              <w:rPr>
                <w:rFonts w:ascii="Times New Roman" w:eastAsia="Times New Roman" w:hAnsi="Times New Roman" w:cs="Times New Roman"/>
                <w:sz w:val="24"/>
                <w:szCs w:val="24"/>
                <w:lang w:eastAsia="ru-RU"/>
              </w:rPr>
              <w:t>167</w:t>
            </w:r>
          </w:p>
        </w:tc>
      </w:tr>
      <w:tr w:rsidR="00832765" w:rsidRPr="00226F37" w14:paraId="63E85CE9" w14:textId="77777777" w:rsidTr="00942B04">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14:paraId="5D1FE07D" w14:textId="77777777" w:rsidR="00832765" w:rsidRPr="00226F37" w:rsidRDefault="00832765" w:rsidP="00832765">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2021</w:t>
            </w:r>
          </w:p>
        </w:tc>
        <w:tc>
          <w:tcPr>
            <w:tcW w:w="1211" w:type="pct"/>
            <w:tcBorders>
              <w:top w:val="single" w:sz="4" w:space="0" w:color="auto"/>
              <w:left w:val="single" w:sz="4" w:space="0" w:color="auto"/>
              <w:bottom w:val="single" w:sz="4" w:space="0" w:color="auto"/>
              <w:right w:val="single" w:sz="4" w:space="0" w:color="auto"/>
            </w:tcBorders>
            <w:noWrap/>
            <w:vAlign w:val="center"/>
          </w:tcPr>
          <w:p w14:paraId="2AF3FA59" w14:textId="77777777" w:rsidR="00832765" w:rsidRPr="00714591" w:rsidRDefault="00714591" w:rsidP="0083276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48 901</w:t>
            </w:r>
          </w:p>
        </w:tc>
        <w:tc>
          <w:tcPr>
            <w:tcW w:w="1046" w:type="pct"/>
            <w:tcBorders>
              <w:top w:val="single" w:sz="4" w:space="0" w:color="auto"/>
              <w:left w:val="single" w:sz="4" w:space="0" w:color="auto"/>
              <w:bottom w:val="single" w:sz="4" w:space="0" w:color="auto"/>
              <w:right w:val="single" w:sz="4" w:space="0" w:color="auto"/>
            </w:tcBorders>
            <w:noWrap/>
            <w:vAlign w:val="center"/>
          </w:tcPr>
          <w:p w14:paraId="6CD7E120" w14:textId="77777777" w:rsidR="00832765" w:rsidRPr="00714591" w:rsidRDefault="00714591" w:rsidP="0083276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25</w:t>
            </w:r>
          </w:p>
        </w:tc>
        <w:tc>
          <w:tcPr>
            <w:tcW w:w="974" w:type="pct"/>
            <w:tcBorders>
              <w:top w:val="single" w:sz="4" w:space="0" w:color="auto"/>
              <w:left w:val="single" w:sz="4" w:space="0" w:color="auto"/>
              <w:bottom w:val="single" w:sz="4" w:space="0" w:color="auto"/>
              <w:right w:val="single" w:sz="4" w:space="0" w:color="auto"/>
            </w:tcBorders>
            <w:noWrap/>
            <w:vAlign w:val="center"/>
          </w:tcPr>
          <w:p w14:paraId="30E47CB1" w14:textId="77777777" w:rsidR="00832765" w:rsidRPr="00714591" w:rsidRDefault="00714591" w:rsidP="0083276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19 611</w:t>
            </w:r>
          </w:p>
        </w:tc>
        <w:tc>
          <w:tcPr>
            <w:tcW w:w="1065" w:type="pct"/>
            <w:tcBorders>
              <w:top w:val="single" w:sz="4" w:space="0" w:color="auto"/>
              <w:left w:val="single" w:sz="4" w:space="0" w:color="auto"/>
              <w:bottom w:val="single" w:sz="4" w:space="0" w:color="auto"/>
              <w:right w:val="single" w:sz="4" w:space="0" w:color="auto"/>
            </w:tcBorders>
            <w:noWrap/>
            <w:vAlign w:val="center"/>
          </w:tcPr>
          <w:p w14:paraId="489053B7" w14:textId="77777777" w:rsidR="00832765" w:rsidRPr="0033681C" w:rsidRDefault="00714591" w:rsidP="003368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12 02</w:t>
            </w:r>
            <w:r w:rsidR="0033681C">
              <w:rPr>
                <w:rFonts w:ascii="Times New Roman" w:eastAsia="Times New Roman" w:hAnsi="Times New Roman" w:cs="Times New Roman"/>
                <w:sz w:val="24"/>
                <w:szCs w:val="24"/>
                <w:lang w:eastAsia="ru-RU"/>
              </w:rPr>
              <w:t>7</w:t>
            </w:r>
          </w:p>
        </w:tc>
      </w:tr>
    </w:tbl>
    <w:p w14:paraId="644130C8" w14:textId="77777777" w:rsidR="00D03A4F" w:rsidRPr="00BD5A90" w:rsidRDefault="00D03A4F" w:rsidP="00D03A4F">
      <w:pPr>
        <w:spacing w:after="0" w:line="240" w:lineRule="auto"/>
        <w:rPr>
          <w:rFonts w:ascii="Times New Roman" w:eastAsia="Times New Roman" w:hAnsi="Times New Roman" w:cs="Times New Roman"/>
          <w:bCs/>
          <w:sz w:val="26"/>
          <w:szCs w:val="26"/>
          <w:highlight w:val="yellow"/>
          <w:lang w:eastAsia="ru-RU"/>
        </w:rPr>
      </w:pPr>
    </w:p>
    <w:p w14:paraId="33F95634" w14:textId="77777777" w:rsidR="00117CDF" w:rsidRDefault="00117CDF" w:rsidP="00D03A4F">
      <w:pPr>
        <w:spacing w:after="0" w:line="240" w:lineRule="auto"/>
        <w:jc w:val="right"/>
        <w:rPr>
          <w:rFonts w:ascii="Times New Roman" w:eastAsia="Times New Roman" w:hAnsi="Times New Roman" w:cs="Times New Roman"/>
          <w:bCs/>
          <w:sz w:val="26"/>
          <w:szCs w:val="26"/>
          <w:lang w:eastAsia="ru-RU"/>
        </w:rPr>
      </w:pPr>
    </w:p>
    <w:p w14:paraId="7F6CD1CB" w14:textId="77777777" w:rsidR="00D03A4F" w:rsidRPr="00226F37" w:rsidRDefault="00D03A4F" w:rsidP="00D03A4F">
      <w:pPr>
        <w:spacing w:after="0" w:line="240" w:lineRule="auto"/>
        <w:jc w:val="right"/>
        <w:rPr>
          <w:rFonts w:ascii="Times New Roman" w:eastAsia="Times New Roman" w:hAnsi="Times New Roman" w:cs="Times New Roman"/>
          <w:bCs/>
          <w:sz w:val="26"/>
          <w:szCs w:val="26"/>
          <w:lang w:eastAsia="ru-RU"/>
        </w:rPr>
      </w:pPr>
      <w:r w:rsidRPr="00226F37">
        <w:rPr>
          <w:rFonts w:ascii="Times New Roman" w:eastAsia="Times New Roman" w:hAnsi="Times New Roman" w:cs="Times New Roman"/>
          <w:bCs/>
          <w:sz w:val="26"/>
          <w:szCs w:val="26"/>
          <w:lang w:eastAsia="ru-RU"/>
        </w:rPr>
        <w:t>Таблица 23</w:t>
      </w:r>
    </w:p>
    <w:p w14:paraId="0CB94ED6" w14:textId="77777777" w:rsidR="00D03A4F" w:rsidRPr="00226F37" w:rsidRDefault="00D03A4F" w:rsidP="00D03A4F">
      <w:pPr>
        <w:spacing w:after="0" w:line="240" w:lineRule="auto"/>
        <w:jc w:val="right"/>
        <w:rPr>
          <w:rFonts w:ascii="Times New Roman" w:eastAsia="Times New Roman" w:hAnsi="Times New Roman" w:cs="Times New Roman"/>
          <w:sz w:val="26"/>
          <w:szCs w:val="26"/>
          <w:lang w:eastAsia="ru-RU"/>
        </w:rPr>
      </w:pPr>
    </w:p>
    <w:p w14:paraId="3C122569" w14:textId="77777777" w:rsidR="00D03A4F" w:rsidRPr="00226F37" w:rsidRDefault="00D03A4F" w:rsidP="00D03A4F">
      <w:pPr>
        <w:spacing w:after="0" w:line="240" w:lineRule="auto"/>
        <w:jc w:val="center"/>
        <w:rPr>
          <w:rFonts w:ascii="Times New Roman" w:eastAsia="Times New Roman" w:hAnsi="Times New Roman" w:cs="Times New Roman"/>
          <w:b/>
          <w:bCs/>
          <w:sz w:val="26"/>
          <w:szCs w:val="26"/>
          <w:lang w:eastAsia="ru-RU"/>
        </w:rPr>
      </w:pPr>
      <w:r w:rsidRPr="00117CDF">
        <w:rPr>
          <w:rFonts w:ascii="Times New Roman" w:eastAsia="Times New Roman" w:hAnsi="Times New Roman" w:cs="Times New Roman"/>
          <w:b/>
          <w:bCs/>
          <w:sz w:val="26"/>
          <w:szCs w:val="26"/>
          <w:lang w:eastAsia="ru-RU"/>
        </w:rPr>
        <w:t>Сведения о прерывании беременности по Российской Федерации</w:t>
      </w:r>
    </w:p>
    <w:p w14:paraId="1F31F36E" w14:textId="77777777" w:rsidR="00D03A4F" w:rsidRPr="00226F37" w:rsidRDefault="00D03A4F" w:rsidP="00D03A4F">
      <w:pPr>
        <w:spacing w:after="0" w:line="240" w:lineRule="auto"/>
        <w:jc w:val="center"/>
        <w:rPr>
          <w:rFonts w:ascii="Times New Roman" w:eastAsia="Times New Roman" w:hAnsi="Times New Roman" w:cs="Times New Roman"/>
          <w:sz w:val="24"/>
          <w:szCs w:val="24"/>
          <w:lang w:eastAsia="ru-RU"/>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134"/>
        <w:gridCol w:w="850"/>
        <w:gridCol w:w="851"/>
        <w:gridCol w:w="850"/>
        <w:gridCol w:w="993"/>
        <w:gridCol w:w="992"/>
        <w:gridCol w:w="992"/>
        <w:gridCol w:w="992"/>
        <w:gridCol w:w="851"/>
        <w:gridCol w:w="992"/>
        <w:gridCol w:w="851"/>
      </w:tblGrid>
      <w:tr w:rsidR="00D03A4F" w:rsidRPr="00226F37" w14:paraId="66D62597" w14:textId="77777777" w:rsidTr="00944CB1">
        <w:trPr>
          <w:trHeight w:val="405"/>
        </w:trPr>
        <w:tc>
          <w:tcPr>
            <w:tcW w:w="710" w:type="dxa"/>
            <w:vMerge w:val="restart"/>
            <w:noWrap/>
            <w:vAlign w:val="center"/>
          </w:tcPr>
          <w:p w14:paraId="5A5484F9" w14:textId="77777777" w:rsidR="00D03A4F" w:rsidRPr="00226F37" w:rsidRDefault="00D03A4F" w:rsidP="00D03A4F">
            <w:pPr>
              <w:spacing w:before="60"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Год</w:t>
            </w:r>
          </w:p>
        </w:tc>
        <w:tc>
          <w:tcPr>
            <w:tcW w:w="1134" w:type="dxa"/>
            <w:vMerge w:val="restart"/>
            <w:vAlign w:val="center"/>
          </w:tcPr>
          <w:p w14:paraId="777E1F44" w14:textId="77777777"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 xml:space="preserve">Всего </w:t>
            </w:r>
            <w:proofErr w:type="spellStart"/>
            <w:r w:rsidRPr="00226F37">
              <w:rPr>
                <w:rFonts w:ascii="Times New Roman" w:eastAsia="Times New Roman" w:hAnsi="Times New Roman" w:cs="Times New Roman"/>
                <w:sz w:val="24"/>
                <w:szCs w:val="24"/>
                <w:lang w:eastAsia="ru-RU"/>
              </w:rPr>
              <w:t>прерыва-ний</w:t>
            </w:r>
            <w:proofErr w:type="spellEnd"/>
            <w:r w:rsidRPr="00226F37">
              <w:rPr>
                <w:rFonts w:ascii="Times New Roman" w:eastAsia="Times New Roman" w:hAnsi="Times New Roman" w:cs="Times New Roman"/>
                <w:sz w:val="24"/>
                <w:szCs w:val="24"/>
                <w:lang w:eastAsia="ru-RU"/>
              </w:rPr>
              <w:br/>
              <w:t>беремен-</w:t>
            </w:r>
            <w:proofErr w:type="spellStart"/>
            <w:r w:rsidRPr="00226F37">
              <w:rPr>
                <w:rFonts w:ascii="Times New Roman" w:eastAsia="Times New Roman" w:hAnsi="Times New Roman" w:cs="Times New Roman"/>
                <w:sz w:val="24"/>
                <w:szCs w:val="24"/>
                <w:lang w:eastAsia="ru-RU"/>
              </w:rPr>
              <w:t>ности</w:t>
            </w:r>
            <w:proofErr w:type="spellEnd"/>
            <w:r w:rsidRPr="00226F37">
              <w:rPr>
                <w:rFonts w:ascii="Times New Roman" w:eastAsia="Times New Roman" w:hAnsi="Times New Roman" w:cs="Times New Roman"/>
                <w:sz w:val="24"/>
                <w:szCs w:val="24"/>
                <w:lang w:eastAsia="ru-RU"/>
              </w:rPr>
              <w:t>,</w:t>
            </w:r>
          </w:p>
          <w:p w14:paraId="3C82799A" w14:textId="77777777"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единиц</w:t>
            </w:r>
          </w:p>
        </w:tc>
        <w:tc>
          <w:tcPr>
            <w:tcW w:w="9214" w:type="dxa"/>
            <w:gridSpan w:val="10"/>
            <w:noWrap/>
            <w:vAlign w:val="center"/>
          </w:tcPr>
          <w:p w14:paraId="747FD332" w14:textId="77777777"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в том числе у женщин в возрасте:</w:t>
            </w:r>
          </w:p>
        </w:tc>
      </w:tr>
      <w:tr w:rsidR="00D03A4F" w:rsidRPr="00226F37" w14:paraId="64FD6ADE" w14:textId="77777777" w:rsidTr="00944CB1">
        <w:trPr>
          <w:trHeight w:val="1215"/>
        </w:trPr>
        <w:tc>
          <w:tcPr>
            <w:tcW w:w="710" w:type="dxa"/>
            <w:vMerge/>
            <w:vAlign w:val="center"/>
          </w:tcPr>
          <w:p w14:paraId="406CF895" w14:textId="77777777" w:rsidR="00D03A4F" w:rsidRPr="00226F37" w:rsidRDefault="00D03A4F" w:rsidP="00D03A4F">
            <w:pPr>
              <w:spacing w:before="60" w:after="0" w:line="240" w:lineRule="auto"/>
              <w:jc w:val="center"/>
              <w:rPr>
                <w:rFonts w:ascii="Times New Roman" w:eastAsia="Times New Roman" w:hAnsi="Times New Roman" w:cs="Times New Roman"/>
                <w:b/>
                <w:bCs/>
                <w:sz w:val="24"/>
                <w:szCs w:val="24"/>
                <w:lang w:eastAsia="ru-RU"/>
              </w:rPr>
            </w:pPr>
          </w:p>
        </w:tc>
        <w:tc>
          <w:tcPr>
            <w:tcW w:w="1134" w:type="dxa"/>
            <w:vMerge/>
            <w:vAlign w:val="center"/>
          </w:tcPr>
          <w:p w14:paraId="2F894718" w14:textId="77777777"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p>
        </w:tc>
        <w:tc>
          <w:tcPr>
            <w:tcW w:w="850" w:type="dxa"/>
            <w:vAlign w:val="center"/>
          </w:tcPr>
          <w:p w14:paraId="40792AD3" w14:textId="77777777"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 xml:space="preserve">до 14 лет </w:t>
            </w:r>
            <w:proofErr w:type="spellStart"/>
            <w:r w:rsidRPr="00226F37">
              <w:rPr>
                <w:rFonts w:ascii="Times New Roman" w:eastAsia="Times New Roman" w:hAnsi="Times New Roman" w:cs="Times New Roman"/>
                <w:sz w:val="24"/>
                <w:szCs w:val="24"/>
                <w:lang w:eastAsia="ru-RU"/>
              </w:rPr>
              <w:t>вклю-чи-тельно</w:t>
            </w:r>
            <w:proofErr w:type="spellEnd"/>
          </w:p>
        </w:tc>
        <w:tc>
          <w:tcPr>
            <w:tcW w:w="851" w:type="dxa"/>
            <w:vAlign w:val="center"/>
          </w:tcPr>
          <w:p w14:paraId="036CC8F5" w14:textId="77777777"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 xml:space="preserve">15-17 </w:t>
            </w:r>
            <w:r w:rsidRPr="00226F37">
              <w:rPr>
                <w:rFonts w:ascii="Times New Roman" w:eastAsia="Times New Roman" w:hAnsi="Times New Roman" w:cs="Times New Roman"/>
                <w:sz w:val="24"/>
                <w:szCs w:val="24"/>
                <w:lang w:eastAsia="ru-RU"/>
              </w:rPr>
              <w:br/>
              <w:t>лет</w:t>
            </w:r>
          </w:p>
        </w:tc>
        <w:tc>
          <w:tcPr>
            <w:tcW w:w="850" w:type="dxa"/>
            <w:vAlign w:val="center"/>
          </w:tcPr>
          <w:p w14:paraId="7F660C7B" w14:textId="77777777"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 xml:space="preserve">18-19 </w:t>
            </w:r>
            <w:r w:rsidRPr="00226F37">
              <w:rPr>
                <w:rFonts w:ascii="Times New Roman" w:eastAsia="Times New Roman" w:hAnsi="Times New Roman" w:cs="Times New Roman"/>
                <w:sz w:val="24"/>
                <w:szCs w:val="24"/>
                <w:lang w:eastAsia="ru-RU"/>
              </w:rPr>
              <w:br/>
              <w:t>лет</w:t>
            </w:r>
          </w:p>
        </w:tc>
        <w:tc>
          <w:tcPr>
            <w:tcW w:w="993" w:type="dxa"/>
            <w:vAlign w:val="center"/>
          </w:tcPr>
          <w:p w14:paraId="08F9D4B5" w14:textId="77777777"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20-24 года</w:t>
            </w:r>
          </w:p>
        </w:tc>
        <w:tc>
          <w:tcPr>
            <w:tcW w:w="992" w:type="dxa"/>
            <w:vAlign w:val="center"/>
          </w:tcPr>
          <w:p w14:paraId="7361C758" w14:textId="77777777"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25-29 лет</w:t>
            </w:r>
          </w:p>
        </w:tc>
        <w:tc>
          <w:tcPr>
            <w:tcW w:w="992" w:type="dxa"/>
            <w:vAlign w:val="center"/>
          </w:tcPr>
          <w:p w14:paraId="09295F87" w14:textId="77777777"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30-34 года</w:t>
            </w:r>
          </w:p>
        </w:tc>
        <w:tc>
          <w:tcPr>
            <w:tcW w:w="992" w:type="dxa"/>
            <w:vAlign w:val="center"/>
          </w:tcPr>
          <w:p w14:paraId="13426888" w14:textId="77777777"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35-39 лет</w:t>
            </w:r>
          </w:p>
        </w:tc>
        <w:tc>
          <w:tcPr>
            <w:tcW w:w="851" w:type="dxa"/>
            <w:vAlign w:val="center"/>
          </w:tcPr>
          <w:p w14:paraId="75B0DC81" w14:textId="77777777"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40-44 года</w:t>
            </w:r>
          </w:p>
        </w:tc>
        <w:tc>
          <w:tcPr>
            <w:tcW w:w="992" w:type="dxa"/>
            <w:vAlign w:val="center"/>
          </w:tcPr>
          <w:p w14:paraId="1D083C6C" w14:textId="77777777" w:rsidR="00D03A4F" w:rsidRPr="00226F37" w:rsidRDefault="00D03A4F" w:rsidP="00D03A4F">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45-49 лет</w:t>
            </w:r>
          </w:p>
        </w:tc>
        <w:tc>
          <w:tcPr>
            <w:tcW w:w="851" w:type="dxa"/>
            <w:vAlign w:val="center"/>
          </w:tcPr>
          <w:p w14:paraId="6002C2F0" w14:textId="77777777" w:rsidR="00D03A4F" w:rsidRPr="00226F37" w:rsidRDefault="00D03A4F" w:rsidP="00D03A4F">
            <w:pPr>
              <w:spacing w:before="60" w:after="0" w:line="240" w:lineRule="auto"/>
              <w:ind w:hanging="33"/>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50 лет и стар-</w:t>
            </w:r>
            <w:proofErr w:type="spellStart"/>
            <w:r w:rsidRPr="00226F37">
              <w:rPr>
                <w:rFonts w:ascii="Times New Roman" w:eastAsia="Times New Roman" w:hAnsi="Times New Roman" w:cs="Times New Roman"/>
                <w:sz w:val="24"/>
                <w:szCs w:val="24"/>
                <w:lang w:eastAsia="ru-RU"/>
              </w:rPr>
              <w:t>ше</w:t>
            </w:r>
            <w:proofErr w:type="spellEnd"/>
          </w:p>
        </w:tc>
      </w:tr>
      <w:tr w:rsidR="003521F6" w:rsidRPr="00226F37" w14:paraId="094D5BE8" w14:textId="77777777" w:rsidTr="00944CB1">
        <w:trPr>
          <w:trHeight w:val="300"/>
        </w:trPr>
        <w:tc>
          <w:tcPr>
            <w:tcW w:w="710" w:type="dxa"/>
            <w:noWrap/>
            <w:vAlign w:val="center"/>
          </w:tcPr>
          <w:p w14:paraId="68F9C640" w14:textId="77777777" w:rsidR="003521F6" w:rsidRPr="00226F37" w:rsidRDefault="003521F6" w:rsidP="003521F6">
            <w:pPr>
              <w:spacing w:before="60"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2017</w:t>
            </w:r>
          </w:p>
        </w:tc>
        <w:tc>
          <w:tcPr>
            <w:tcW w:w="1134" w:type="dxa"/>
            <w:vAlign w:val="center"/>
          </w:tcPr>
          <w:p w14:paraId="51376BE7" w14:textId="77777777" w:rsidR="003521F6" w:rsidRPr="00226F37" w:rsidRDefault="003521F6" w:rsidP="003521F6">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779 848</w:t>
            </w:r>
          </w:p>
        </w:tc>
        <w:tc>
          <w:tcPr>
            <w:tcW w:w="850" w:type="dxa"/>
            <w:vAlign w:val="center"/>
          </w:tcPr>
          <w:p w14:paraId="563350E9" w14:textId="77777777" w:rsidR="003521F6" w:rsidRPr="00226F37" w:rsidRDefault="003521F6" w:rsidP="003521F6">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350</w:t>
            </w:r>
          </w:p>
        </w:tc>
        <w:tc>
          <w:tcPr>
            <w:tcW w:w="851" w:type="dxa"/>
            <w:vAlign w:val="center"/>
          </w:tcPr>
          <w:p w14:paraId="09B3EC3D" w14:textId="77777777" w:rsidR="003521F6" w:rsidRPr="00226F37" w:rsidRDefault="003521F6" w:rsidP="003521F6">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5 530</w:t>
            </w:r>
          </w:p>
        </w:tc>
        <w:tc>
          <w:tcPr>
            <w:tcW w:w="5670" w:type="dxa"/>
            <w:gridSpan w:val="6"/>
            <w:vAlign w:val="center"/>
          </w:tcPr>
          <w:p w14:paraId="567AA1B9" w14:textId="77777777" w:rsidR="003521F6" w:rsidRPr="00226F37" w:rsidRDefault="003521F6" w:rsidP="003521F6">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765 776</w:t>
            </w:r>
          </w:p>
        </w:tc>
        <w:tc>
          <w:tcPr>
            <w:tcW w:w="992" w:type="dxa"/>
            <w:vAlign w:val="center"/>
          </w:tcPr>
          <w:p w14:paraId="399B0D93" w14:textId="77777777" w:rsidR="003521F6" w:rsidRPr="00226F37" w:rsidRDefault="003521F6" w:rsidP="003521F6">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8 087</w:t>
            </w:r>
          </w:p>
        </w:tc>
        <w:tc>
          <w:tcPr>
            <w:tcW w:w="851" w:type="dxa"/>
            <w:vAlign w:val="center"/>
          </w:tcPr>
          <w:p w14:paraId="0C64924D" w14:textId="77777777" w:rsidR="003521F6" w:rsidRPr="00226F37" w:rsidRDefault="003521F6" w:rsidP="003521F6">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105</w:t>
            </w:r>
          </w:p>
        </w:tc>
      </w:tr>
      <w:tr w:rsidR="003521F6" w:rsidRPr="00226F37" w14:paraId="4BC6505E" w14:textId="77777777" w:rsidTr="00944CB1">
        <w:trPr>
          <w:trHeight w:val="300"/>
        </w:trPr>
        <w:tc>
          <w:tcPr>
            <w:tcW w:w="710" w:type="dxa"/>
            <w:noWrap/>
            <w:vAlign w:val="center"/>
          </w:tcPr>
          <w:p w14:paraId="77CB9524" w14:textId="77777777" w:rsidR="003521F6" w:rsidRPr="00226F37" w:rsidRDefault="003521F6" w:rsidP="003521F6">
            <w:pPr>
              <w:spacing w:before="60"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2018</w:t>
            </w:r>
          </w:p>
        </w:tc>
        <w:tc>
          <w:tcPr>
            <w:tcW w:w="1134" w:type="dxa"/>
            <w:noWrap/>
            <w:vAlign w:val="center"/>
          </w:tcPr>
          <w:p w14:paraId="58257951" w14:textId="77777777" w:rsidR="003521F6" w:rsidRPr="00226F37" w:rsidRDefault="003521F6" w:rsidP="003521F6">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661 045</w:t>
            </w:r>
          </w:p>
        </w:tc>
        <w:tc>
          <w:tcPr>
            <w:tcW w:w="850" w:type="dxa"/>
            <w:noWrap/>
            <w:vAlign w:val="center"/>
          </w:tcPr>
          <w:p w14:paraId="30AC005A" w14:textId="77777777" w:rsidR="003521F6" w:rsidRPr="00226F37" w:rsidRDefault="003521F6" w:rsidP="003521F6">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300</w:t>
            </w:r>
          </w:p>
        </w:tc>
        <w:tc>
          <w:tcPr>
            <w:tcW w:w="851" w:type="dxa"/>
            <w:noWrap/>
            <w:vAlign w:val="center"/>
          </w:tcPr>
          <w:p w14:paraId="51965410" w14:textId="77777777" w:rsidR="003521F6" w:rsidRPr="00226F37" w:rsidRDefault="003521F6" w:rsidP="003521F6">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4 968</w:t>
            </w:r>
          </w:p>
        </w:tc>
        <w:tc>
          <w:tcPr>
            <w:tcW w:w="5670" w:type="dxa"/>
            <w:gridSpan w:val="6"/>
            <w:noWrap/>
            <w:vAlign w:val="center"/>
          </w:tcPr>
          <w:p w14:paraId="0F23BBB6" w14:textId="77777777" w:rsidR="003521F6" w:rsidRPr="00226F37" w:rsidRDefault="003521F6" w:rsidP="003521F6">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648 191</w:t>
            </w:r>
          </w:p>
        </w:tc>
        <w:tc>
          <w:tcPr>
            <w:tcW w:w="992" w:type="dxa"/>
            <w:noWrap/>
            <w:vAlign w:val="center"/>
          </w:tcPr>
          <w:p w14:paraId="68E4FD0C" w14:textId="77777777" w:rsidR="003521F6" w:rsidRPr="00226F37" w:rsidRDefault="003521F6" w:rsidP="003521F6">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7 450</w:t>
            </w:r>
          </w:p>
        </w:tc>
        <w:tc>
          <w:tcPr>
            <w:tcW w:w="851" w:type="dxa"/>
            <w:noWrap/>
            <w:vAlign w:val="center"/>
          </w:tcPr>
          <w:p w14:paraId="33CC9D96" w14:textId="77777777" w:rsidR="003521F6" w:rsidRPr="00226F37" w:rsidRDefault="003521F6" w:rsidP="003521F6">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136</w:t>
            </w:r>
          </w:p>
        </w:tc>
      </w:tr>
      <w:tr w:rsidR="003521F6" w:rsidRPr="00226F37" w14:paraId="41E98443" w14:textId="77777777" w:rsidTr="00944CB1">
        <w:trPr>
          <w:trHeight w:val="300"/>
        </w:trPr>
        <w:tc>
          <w:tcPr>
            <w:tcW w:w="710" w:type="dxa"/>
            <w:noWrap/>
            <w:vAlign w:val="center"/>
          </w:tcPr>
          <w:p w14:paraId="12060DED" w14:textId="77777777" w:rsidR="003521F6" w:rsidRPr="00226F37" w:rsidRDefault="003521F6" w:rsidP="003521F6">
            <w:pPr>
              <w:spacing w:before="60"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2019</w:t>
            </w:r>
          </w:p>
        </w:tc>
        <w:tc>
          <w:tcPr>
            <w:tcW w:w="1134" w:type="dxa"/>
            <w:noWrap/>
            <w:vAlign w:val="center"/>
          </w:tcPr>
          <w:p w14:paraId="0D510688" w14:textId="77777777" w:rsidR="003521F6" w:rsidRPr="00226F37" w:rsidRDefault="003521F6" w:rsidP="003521F6">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621 652</w:t>
            </w:r>
          </w:p>
        </w:tc>
        <w:tc>
          <w:tcPr>
            <w:tcW w:w="850" w:type="dxa"/>
            <w:noWrap/>
            <w:vAlign w:val="center"/>
          </w:tcPr>
          <w:p w14:paraId="7874432E" w14:textId="77777777" w:rsidR="003521F6" w:rsidRPr="00226F37" w:rsidRDefault="003521F6" w:rsidP="003521F6">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445</w:t>
            </w:r>
          </w:p>
        </w:tc>
        <w:tc>
          <w:tcPr>
            <w:tcW w:w="851" w:type="dxa"/>
            <w:noWrap/>
            <w:vAlign w:val="center"/>
          </w:tcPr>
          <w:p w14:paraId="1F422942" w14:textId="77777777" w:rsidR="003521F6" w:rsidRPr="00226F37" w:rsidRDefault="003521F6" w:rsidP="003521F6">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5 141</w:t>
            </w:r>
          </w:p>
        </w:tc>
        <w:tc>
          <w:tcPr>
            <w:tcW w:w="5670" w:type="dxa"/>
            <w:gridSpan w:val="6"/>
            <w:noWrap/>
            <w:vAlign w:val="center"/>
          </w:tcPr>
          <w:p w14:paraId="48359208" w14:textId="77777777" w:rsidR="003521F6" w:rsidRPr="00226F37" w:rsidRDefault="003521F6" w:rsidP="003521F6">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609 617</w:t>
            </w:r>
          </w:p>
        </w:tc>
        <w:tc>
          <w:tcPr>
            <w:tcW w:w="992" w:type="dxa"/>
            <w:noWrap/>
            <w:vAlign w:val="center"/>
          </w:tcPr>
          <w:p w14:paraId="4A301A91" w14:textId="77777777" w:rsidR="003521F6" w:rsidRPr="00226F37" w:rsidRDefault="003521F6" w:rsidP="003521F6">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6 359</w:t>
            </w:r>
          </w:p>
        </w:tc>
        <w:tc>
          <w:tcPr>
            <w:tcW w:w="851" w:type="dxa"/>
            <w:noWrap/>
            <w:vAlign w:val="center"/>
          </w:tcPr>
          <w:p w14:paraId="32780877" w14:textId="77777777" w:rsidR="003521F6" w:rsidRPr="00226F37" w:rsidRDefault="003521F6" w:rsidP="003521F6">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90</w:t>
            </w:r>
          </w:p>
        </w:tc>
      </w:tr>
      <w:tr w:rsidR="003521F6" w:rsidRPr="00226F37" w14:paraId="50377F02" w14:textId="77777777" w:rsidTr="00944CB1">
        <w:trPr>
          <w:trHeight w:val="300"/>
        </w:trPr>
        <w:tc>
          <w:tcPr>
            <w:tcW w:w="710" w:type="dxa"/>
            <w:noWrap/>
            <w:vAlign w:val="center"/>
          </w:tcPr>
          <w:p w14:paraId="3683DFAC" w14:textId="77777777" w:rsidR="003521F6" w:rsidRPr="00226F37" w:rsidRDefault="003521F6" w:rsidP="003521F6">
            <w:pPr>
              <w:spacing w:before="60" w:after="0" w:line="240" w:lineRule="auto"/>
              <w:jc w:val="center"/>
              <w:rPr>
                <w:rFonts w:ascii="Times New Roman" w:eastAsia="Times New Roman" w:hAnsi="Times New Roman" w:cs="Times New Roman"/>
                <w:bCs/>
                <w:sz w:val="24"/>
                <w:szCs w:val="24"/>
                <w:lang w:eastAsia="ru-RU"/>
              </w:rPr>
            </w:pPr>
            <w:r w:rsidRPr="00226F37">
              <w:rPr>
                <w:rFonts w:ascii="Times New Roman" w:eastAsia="Times New Roman" w:hAnsi="Times New Roman" w:cs="Times New Roman"/>
                <w:bCs/>
                <w:sz w:val="24"/>
                <w:szCs w:val="24"/>
                <w:lang w:eastAsia="ru-RU"/>
              </w:rPr>
              <w:t>2020</w:t>
            </w:r>
          </w:p>
        </w:tc>
        <w:tc>
          <w:tcPr>
            <w:tcW w:w="1134" w:type="dxa"/>
            <w:noWrap/>
            <w:vAlign w:val="center"/>
          </w:tcPr>
          <w:p w14:paraId="7C28A172" w14:textId="77777777" w:rsidR="003521F6" w:rsidRPr="00226F37" w:rsidRDefault="003521F6" w:rsidP="003521F6">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55</w:t>
            </w:r>
            <w:r>
              <w:rPr>
                <w:rFonts w:ascii="Times New Roman" w:eastAsia="Times New Roman" w:hAnsi="Times New Roman" w:cs="Times New Roman"/>
                <w:sz w:val="24"/>
                <w:szCs w:val="24"/>
                <w:lang w:eastAsia="ru-RU"/>
              </w:rPr>
              <w:t>3</w:t>
            </w:r>
            <w:r w:rsidR="00714591">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495</w:t>
            </w:r>
          </w:p>
        </w:tc>
        <w:tc>
          <w:tcPr>
            <w:tcW w:w="850" w:type="dxa"/>
            <w:noWrap/>
            <w:vAlign w:val="center"/>
          </w:tcPr>
          <w:p w14:paraId="3DC69C0F" w14:textId="77777777" w:rsidR="003521F6" w:rsidRPr="00226F37" w:rsidRDefault="003521F6" w:rsidP="003521F6">
            <w:pPr>
              <w:spacing w:before="6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Pr="00226F37">
              <w:rPr>
                <w:rFonts w:ascii="Times New Roman" w:eastAsia="Times New Roman" w:hAnsi="Times New Roman" w:cs="Times New Roman"/>
                <w:sz w:val="24"/>
                <w:szCs w:val="24"/>
                <w:lang w:eastAsia="ru-RU"/>
              </w:rPr>
              <w:t>7</w:t>
            </w:r>
          </w:p>
        </w:tc>
        <w:tc>
          <w:tcPr>
            <w:tcW w:w="851" w:type="dxa"/>
            <w:noWrap/>
            <w:vAlign w:val="center"/>
          </w:tcPr>
          <w:p w14:paraId="075DB8DB" w14:textId="77777777" w:rsidR="003521F6" w:rsidRPr="00226F37" w:rsidRDefault="003521F6" w:rsidP="003521F6">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3 8</w:t>
            </w:r>
            <w:r>
              <w:rPr>
                <w:rFonts w:ascii="Times New Roman" w:eastAsia="Times New Roman" w:hAnsi="Times New Roman" w:cs="Times New Roman"/>
                <w:sz w:val="24"/>
                <w:szCs w:val="24"/>
                <w:lang w:eastAsia="ru-RU"/>
              </w:rPr>
              <w:t>62</w:t>
            </w:r>
          </w:p>
        </w:tc>
        <w:tc>
          <w:tcPr>
            <w:tcW w:w="5670" w:type="dxa"/>
            <w:gridSpan w:val="6"/>
            <w:noWrap/>
            <w:vAlign w:val="center"/>
          </w:tcPr>
          <w:p w14:paraId="31894F06" w14:textId="77777777" w:rsidR="003521F6" w:rsidRPr="00226F37" w:rsidRDefault="003521F6" w:rsidP="003521F6">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 xml:space="preserve">542 </w:t>
            </w:r>
            <w:r>
              <w:rPr>
                <w:rFonts w:ascii="Times New Roman" w:eastAsia="Times New Roman" w:hAnsi="Times New Roman" w:cs="Times New Roman"/>
                <w:sz w:val="24"/>
                <w:szCs w:val="24"/>
                <w:lang w:eastAsia="ru-RU"/>
              </w:rPr>
              <w:t>40</w:t>
            </w:r>
            <w:r w:rsidRPr="00226F37">
              <w:rPr>
                <w:rFonts w:ascii="Times New Roman" w:eastAsia="Times New Roman" w:hAnsi="Times New Roman" w:cs="Times New Roman"/>
                <w:sz w:val="24"/>
                <w:szCs w:val="24"/>
                <w:lang w:eastAsia="ru-RU"/>
              </w:rPr>
              <w:t>9</w:t>
            </w:r>
          </w:p>
        </w:tc>
        <w:tc>
          <w:tcPr>
            <w:tcW w:w="992" w:type="dxa"/>
            <w:noWrap/>
            <w:vAlign w:val="center"/>
          </w:tcPr>
          <w:p w14:paraId="7BA96C1F" w14:textId="77777777" w:rsidR="003521F6" w:rsidRPr="00226F37" w:rsidRDefault="003521F6" w:rsidP="003521F6">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 xml:space="preserve">6 </w:t>
            </w:r>
            <w:r>
              <w:rPr>
                <w:rFonts w:ascii="Times New Roman" w:eastAsia="Times New Roman" w:hAnsi="Times New Roman" w:cs="Times New Roman"/>
                <w:sz w:val="24"/>
                <w:szCs w:val="24"/>
                <w:lang w:eastAsia="ru-RU"/>
              </w:rPr>
              <w:t>673</w:t>
            </w:r>
          </w:p>
        </w:tc>
        <w:tc>
          <w:tcPr>
            <w:tcW w:w="851" w:type="dxa"/>
            <w:noWrap/>
            <w:vAlign w:val="center"/>
          </w:tcPr>
          <w:p w14:paraId="2DA5E463" w14:textId="77777777" w:rsidR="003521F6" w:rsidRPr="00226F37" w:rsidRDefault="003521F6" w:rsidP="003521F6">
            <w:pPr>
              <w:spacing w:before="60" w:after="0" w:line="240" w:lineRule="auto"/>
              <w:jc w:val="center"/>
              <w:rPr>
                <w:rFonts w:ascii="Times New Roman" w:eastAsia="Times New Roman" w:hAnsi="Times New Roman" w:cs="Times New Roman"/>
                <w:sz w:val="24"/>
                <w:szCs w:val="24"/>
                <w:lang w:eastAsia="ru-RU"/>
              </w:rPr>
            </w:pPr>
            <w:r w:rsidRPr="00226F37">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4</w:t>
            </w:r>
          </w:p>
        </w:tc>
      </w:tr>
      <w:tr w:rsidR="003521F6" w:rsidRPr="00BD5A90" w14:paraId="1C3BB2DE" w14:textId="77777777" w:rsidTr="00944CB1">
        <w:trPr>
          <w:trHeight w:val="300"/>
        </w:trPr>
        <w:tc>
          <w:tcPr>
            <w:tcW w:w="710" w:type="dxa"/>
            <w:noWrap/>
            <w:vAlign w:val="center"/>
          </w:tcPr>
          <w:p w14:paraId="7C104FC8" w14:textId="77777777" w:rsidR="003521F6" w:rsidRPr="00226F37" w:rsidRDefault="003521F6" w:rsidP="003521F6">
            <w:pPr>
              <w:spacing w:before="60"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2021</w:t>
            </w:r>
          </w:p>
        </w:tc>
        <w:tc>
          <w:tcPr>
            <w:tcW w:w="1134" w:type="dxa"/>
            <w:noWrap/>
            <w:vAlign w:val="center"/>
          </w:tcPr>
          <w:p w14:paraId="18D1A69E" w14:textId="77777777" w:rsidR="003521F6" w:rsidRPr="00714591" w:rsidRDefault="00714591" w:rsidP="003521F6">
            <w:pPr>
              <w:spacing w:before="60"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517 737</w:t>
            </w:r>
          </w:p>
        </w:tc>
        <w:tc>
          <w:tcPr>
            <w:tcW w:w="850" w:type="dxa"/>
            <w:noWrap/>
            <w:vAlign w:val="center"/>
          </w:tcPr>
          <w:p w14:paraId="3DF1B1B9" w14:textId="77777777" w:rsidR="003521F6" w:rsidRPr="00714591" w:rsidRDefault="00714591" w:rsidP="003521F6">
            <w:pPr>
              <w:spacing w:before="60"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356</w:t>
            </w:r>
          </w:p>
        </w:tc>
        <w:tc>
          <w:tcPr>
            <w:tcW w:w="851" w:type="dxa"/>
            <w:noWrap/>
            <w:vAlign w:val="center"/>
          </w:tcPr>
          <w:p w14:paraId="7C3BD421" w14:textId="77777777" w:rsidR="003521F6" w:rsidRPr="00714591" w:rsidRDefault="00714591" w:rsidP="003521F6">
            <w:pPr>
              <w:spacing w:before="60"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4 165</w:t>
            </w:r>
          </w:p>
        </w:tc>
        <w:tc>
          <w:tcPr>
            <w:tcW w:w="5670" w:type="dxa"/>
            <w:gridSpan w:val="6"/>
            <w:noWrap/>
            <w:vAlign w:val="center"/>
          </w:tcPr>
          <w:p w14:paraId="1E45F299" w14:textId="77777777" w:rsidR="003521F6" w:rsidRPr="00714591" w:rsidRDefault="00714591" w:rsidP="003521F6">
            <w:pPr>
              <w:spacing w:before="60"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505 899</w:t>
            </w:r>
          </w:p>
        </w:tc>
        <w:tc>
          <w:tcPr>
            <w:tcW w:w="992" w:type="dxa"/>
            <w:noWrap/>
            <w:vAlign w:val="center"/>
          </w:tcPr>
          <w:p w14:paraId="7C788DC0" w14:textId="77777777" w:rsidR="003521F6" w:rsidRPr="00714591" w:rsidRDefault="00714591" w:rsidP="003521F6">
            <w:pPr>
              <w:spacing w:before="60"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7 226</w:t>
            </w:r>
          </w:p>
        </w:tc>
        <w:tc>
          <w:tcPr>
            <w:tcW w:w="851" w:type="dxa"/>
            <w:noWrap/>
            <w:vAlign w:val="center"/>
          </w:tcPr>
          <w:p w14:paraId="37E30B77" w14:textId="77777777" w:rsidR="003521F6" w:rsidRPr="00714591" w:rsidRDefault="00714591" w:rsidP="003521F6">
            <w:pPr>
              <w:spacing w:before="60"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91</w:t>
            </w:r>
          </w:p>
        </w:tc>
      </w:tr>
    </w:tbl>
    <w:p w14:paraId="3949B1EF" w14:textId="77777777"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14:paraId="5B3BFC02" w14:textId="77777777"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14:paraId="273FBEEE" w14:textId="77777777" w:rsidR="00D03A4F" w:rsidRPr="00B3156B" w:rsidRDefault="00D03A4F" w:rsidP="00D03A4F">
      <w:pPr>
        <w:spacing w:after="0" w:line="240" w:lineRule="auto"/>
        <w:jc w:val="right"/>
        <w:rPr>
          <w:rFonts w:ascii="Times New Roman" w:eastAsia="Times New Roman" w:hAnsi="Times New Roman" w:cs="Times New Roman"/>
          <w:sz w:val="26"/>
          <w:szCs w:val="26"/>
          <w:lang w:eastAsia="ru-RU"/>
        </w:rPr>
      </w:pPr>
    </w:p>
    <w:p w14:paraId="538C8102" w14:textId="77777777" w:rsidR="00D03A4F" w:rsidRPr="00B3156B" w:rsidRDefault="00D03A4F" w:rsidP="00D03A4F">
      <w:pPr>
        <w:spacing w:after="0" w:line="240" w:lineRule="auto"/>
        <w:jc w:val="right"/>
        <w:rPr>
          <w:rFonts w:ascii="Times New Roman" w:eastAsia="Times New Roman" w:hAnsi="Times New Roman" w:cs="Times New Roman"/>
          <w:sz w:val="26"/>
          <w:szCs w:val="26"/>
          <w:lang w:eastAsia="ru-RU"/>
        </w:rPr>
      </w:pPr>
      <w:r w:rsidRPr="00B3156B">
        <w:rPr>
          <w:rFonts w:ascii="Times New Roman" w:eastAsia="Times New Roman" w:hAnsi="Times New Roman" w:cs="Times New Roman"/>
          <w:sz w:val="26"/>
          <w:szCs w:val="26"/>
          <w:lang w:eastAsia="ru-RU"/>
        </w:rPr>
        <w:t>Таблица 24</w:t>
      </w:r>
    </w:p>
    <w:p w14:paraId="503E0DAE" w14:textId="77777777" w:rsidR="00D03A4F" w:rsidRPr="00B3156B" w:rsidRDefault="00D03A4F" w:rsidP="00D03A4F">
      <w:pPr>
        <w:spacing w:after="0" w:line="240" w:lineRule="auto"/>
        <w:jc w:val="right"/>
        <w:rPr>
          <w:rFonts w:ascii="Times New Roman" w:eastAsia="Times New Roman" w:hAnsi="Times New Roman" w:cs="Times New Roman"/>
          <w:sz w:val="26"/>
          <w:szCs w:val="26"/>
          <w:lang w:eastAsia="ru-RU"/>
        </w:rPr>
      </w:pPr>
    </w:p>
    <w:p w14:paraId="779FB1E3" w14:textId="77777777" w:rsidR="00D03A4F" w:rsidRPr="00B3156B" w:rsidRDefault="00D03A4F" w:rsidP="00D03A4F">
      <w:pPr>
        <w:spacing w:after="0" w:line="240" w:lineRule="auto"/>
        <w:jc w:val="center"/>
        <w:rPr>
          <w:rFonts w:ascii="Times New Roman" w:eastAsia="Times New Roman" w:hAnsi="Times New Roman" w:cs="Times New Roman"/>
          <w:b/>
          <w:sz w:val="26"/>
          <w:szCs w:val="26"/>
          <w:lang w:eastAsia="ru-RU"/>
        </w:rPr>
      </w:pPr>
      <w:r w:rsidRPr="00B3156B">
        <w:rPr>
          <w:rFonts w:ascii="Times New Roman" w:eastAsia="Times New Roman" w:hAnsi="Times New Roman" w:cs="Times New Roman"/>
          <w:b/>
          <w:sz w:val="26"/>
          <w:szCs w:val="26"/>
          <w:lang w:eastAsia="ru-RU"/>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14:paraId="44783DF6" w14:textId="77777777" w:rsidR="00D03A4F" w:rsidRPr="00B3156B" w:rsidRDefault="00D03A4F" w:rsidP="00D03A4F">
      <w:pPr>
        <w:spacing w:after="0" w:line="240" w:lineRule="auto"/>
        <w:jc w:val="center"/>
        <w:rPr>
          <w:rFonts w:ascii="Times New Roman" w:eastAsia="Times New Roman" w:hAnsi="Times New Roman" w:cs="Times New Roman"/>
          <w:b/>
          <w:sz w:val="26"/>
          <w:szCs w:val="26"/>
          <w:vertAlign w:val="superscript"/>
          <w:lang w:eastAsia="ru-RU"/>
        </w:rPr>
      </w:pPr>
      <w:r w:rsidRPr="00B3156B">
        <w:rPr>
          <w:rFonts w:ascii="Times New Roman" w:eastAsia="Times New Roman" w:hAnsi="Times New Roman" w:cs="Times New Roman"/>
          <w:b/>
          <w:sz w:val="26"/>
          <w:szCs w:val="26"/>
          <w:lang w:eastAsia="ru-RU"/>
        </w:rPr>
        <w:t>присмотр и уход за детьми</w:t>
      </w:r>
    </w:p>
    <w:p w14:paraId="53EDE0CE" w14:textId="77777777" w:rsidR="00D03A4F" w:rsidRPr="00B3156B" w:rsidRDefault="00D03A4F" w:rsidP="00D03A4F">
      <w:pPr>
        <w:spacing w:after="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(без учета субъектов малого предпринимательства)</w:t>
      </w:r>
    </w:p>
    <w:p w14:paraId="67D621E4" w14:textId="77777777" w:rsidR="00D03A4F" w:rsidRPr="00B3156B" w:rsidRDefault="00D03A4F" w:rsidP="00D03A4F">
      <w:pPr>
        <w:spacing w:after="0" w:line="240" w:lineRule="auto"/>
        <w:jc w:val="center"/>
        <w:rPr>
          <w:rFonts w:ascii="Times New Roman" w:eastAsia="Times New Roman" w:hAnsi="Times New Roman" w:cs="Times New Roman"/>
          <w:sz w:val="20"/>
          <w:szCs w:val="20"/>
          <w:lang w:eastAsia="ru-RU"/>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7"/>
        <w:gridCol w:w="1129"/>
        <w:gridCol w:w="1276"/>
      </w:tblGrid>
      <w:tr w:rsidR="005D5573" w:rsidRPr="00B3156B" w14:paraId="5D738952" w14:textId="77777777" w:rsidTr="005D5573">
        <w:trPr>
          <w:tblHeader/>
        </w:trPr>
        <w:tc>
          <w:tcPr>
            <w:tcW w:w="6667" w:type="dxa"/>
            <w:vAlign w:val="center"/>
          </w:tcPr>
          <w:p w14:paraId="1CDF069D" w14:textId="77777777" w:rsidR="005D5573" w:rsidRPr="00B3156B" w:rsidRDefault="005D5573" w:rsidP="00D03A4F">
            <w:pPr>
              <w:spacing w:after="0" w:line="240" w:lineRule="auto"/>
              <w:jc w:val="center"/>
              <w:rPr>
                <w:rFonts w:ascii="Times New Roman" w:eastAsia="Times New Roman" w:hAnsi="Times New Roman" w:cs="Times New Roman"/>
                <w:sz w:val="24"/>
                <w:szCs w:val="24"/>
                <w:lang w:eastAsia="ru-RU"/>
              </w:rPr>
            </w:pPr>
          </w:p>
        </w:tc>
        <w:tc>
          <w:tcPr>
            <w:tcW w:w="1129" w:type="dxa"/>
          </w:tcPr>
          <w:p w14:paraId="330D8642" w14:textId="77777777" w:rsidR="005D5573" w:rsidRPr="00B3156B" w:rsidRDefault="005D5573" w:rsidP="0048250F">
            <w:pPr>
              <w:spacing w:after="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2020 г.</w:t>
            </w:r>
          </w:p>
        </w:tc>
        <w:tc>
          <w:tcPr>
            <w:tcW w:w="1276" w:type="dxa"/>
          </w:tcPr>
          <w:p w14:paraId="28E467EC" w14:textId="77777777" w:rsidR="005D5573" w:rsidRPr="00B3156B" w:rsidRDefault="005D5573" w:rsidP="003552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w:t>
            </w:r>
            <w:r w:rsidR="00D97E05" w:rsidRPr="00D97E05">
              <w:rPr>
                <w:rFonts w:ascii="Times New Roman" w:eastAsia="Times New Roman" w:hAnsi="Times New Roman" w:cs="Times New Roman"/>
                <w:sz w:val="24"/>
                <w:szCs w:val="24"/>
                <w:vertAlign w:val="superscript"/>
                <w:lang w:eastAsia="ru-RU"/>
              </w:rPr>
              <w:t>1)</w:t>
            </w:r>
          </w:p>
        </w:tc>
      </w:tr>
      <w:tr w:rsidR="005D5573" w:rsidRPr="00B3156B" w14:paraId="1C49AA5C" w14:textId="77777777" w:rsidTr="005D5573">
        <w:tc>
          <w:tcPr>
            <w:tcW w:w="6667" w:type="dxa"/>
            <w:vAlign w:val="center"/>
          </w:tcPr>
          <w:p w14:paraId="3467FEA8" w14:textId="77777777" w:rsidR="005D5573" w:rsidRPr="00B3156B" w:rsidRDefault="00D97E05" w:rsidP="00D03A4F">
            <w:pPr>
              <w:spacing w:after="0" w:line="240" w:lineRule="auto"/>
              <w:ind w:left="57"/>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 xml:space="preserve">Численность воспитанников </w:t>
            </w:r>
            <w:r w:rsidR="005D5573" w:rsidRPr="00B3156B">
              <w:rPr>
                <w:rFonts w:ascii="Times New Roman" w:eastAsia="Times New Roman" w:hAnsi="Times New Roman" w:cs="Times New Roman"/>
                <w:sz w:val="24"/>
                <w:szCs w:val="24"/>
                <w:lang w:eastAsia="ru-RU"/>
              </w:rPr>
              <w:t>в организациях, осуществляющих образовательную деятельность по образовательным программам дошкольного образования, присмотр и уход за детьми – всего, тыс. человек</w:t>
            </w:r>
          </w:p>
        </w:tc>
        <w:tc>
          <w:tcPr>
            <w:tcW w:w="1129" w:type="dxa"/>
            <w:vAlign w:val="center"/>
          </w:tcPr>
          <w:p w14:paraId="14A15424" w14:textId="77777777" w:rsidR="005D5573" w:rsidRPr="00B3156B" w:rsidRDefault="005D5573" w:rsidP="0048250F">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7 442,</w:t>
            </w:r>
            <w:r>
              <w:rPr>
                <w:rFonts w:ascii="Times New Roman" w:eastAsia="Times New Roman" w:hAnsi="Times New Roman" w:cs="Times New Roman"/>
                <w:sz w:val="24"/>
                <w:szCs w:val="24"/>
                <w:lang w:eastAsia="ru-RU"/>
              </w:rPr>
              <w:t>9</w:t>
            </w:r>
          </w:p>
        </w:tc>
        <w:tc>
          <w:tcPr>
            <w:tcW w:w="1276" w:type="dxa"/>
            <w:vAlign w:val="center"/>
          </w:tcPr>
          <w:p w14:paraId="0C25AC24" w14:textId="77777777" w:rsidR="005D5573" w:rsidRPr="00B3156B" w:rsidRDefault="005D5573" w:rsidP="003552C1">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7 340,6</w:t>
            </w:r>
          </w:p>
        </w:tc>
      </w:tr>
      <w:tr w:rsidR="005D5573" w:rsidRPr="00B3156B" w14:paraId="6954D23D" w14:textId="77777777" w:rsidTr="005D5573">
        <w:tc>
          <w:tcPr>
            <w:tcW w:w="6667" w:type="dxa"/>
            <w:tcBorders>
              <w:top w:val="nil"/>
            </w:tcBorders>
            <w:vAlign w:val="center"/>
          </w:tcPr>
          <w:p w14:paraId="511957A0" w14:textId="77777777" w:rsidR="005D5573" w:rsidRPr="00B3156B" w:rsidRDefault="005D5573"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том числе:</w:t>
            </w:r>
          </w:p>
          <w:p w14:paraId="5443648C" w14:textId="77777777" w:rsidR="005D5573" w:rsidRPr="00B3156B" w:rsidRDefault="005D5573"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городах и поселках городского типа</w:t>
            </w:r>
          </w:p>
        </w:tc>
        <w:tc>
          <w:tcPr>
            <w:tcW w:w="1129" w:type="dxa"/>
            <w:tcBorders>
              <w:top w:val="nil"/>
            </w:tcBorders>
            <w:vAlign w:val="bottom"/>
          </w:tcPr>
          <w:p w14:paraId="38753D61" w14:textId="77777777" w:rsidR="005D5573" w:rsidRPr="00B3156B" w:rsidRDefault="005D5573" w:rsidP="0048250F">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6 01</w:t>
            </w:r>
            <w:r>
              <w:rPr>
                <w:rFonts w:ascii="Times New Roman" w:eastAsia="Times New Roman" w:hAnsi="Times New Roman" w:cs="Times New Roman"/>
                <w:sz w:val="24"/>
                <w:szCs w:val="24"/>
                <w:lang w:eastAsia="ru-RU"/>
              </w:rPr>
              <w:t>9</w:t>
            </w:r>
            <w:r w:rsidRPr="00B3156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p>
        </w:tc>
        <w:tc>
          <w:tcPr>
            <w:tcW w:w="1276" w:type="dxa"/>
            <w:tcBorders>
              <w:top w:val="nil"/>
            </w:tcBorders>
            <w:vAlign w:val="bottom"/>
          </w:tcPr>
          <w:p w14:paraId="04C08902" w14:textId="77777777" w:rsidR="005D5573" w:rsidRPr="00B3156B" w:rsidRDefault="00D97E05" w:rsidP="003552C1">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5 937,1</w:t>
            </w:r>
          </w:p>
        </w:tc>
      </w:tr>
      <w:tr w:rsidR="005D5573" w:rsidRPr="00B3156B" w14:paraId="5BB67C3A" w14:textId="77777777" w:rsidTr="005D5573">
        <w:tc>
          <w:tcPr>
            <w:tcW w:w="6667" w:type="dxa"/>
            <w:vAlign w:val="center"/>
          </w:tcPr>
          <w:p w14:paraId="7612570F" w14:textId="77777777" w:rsidR="005D5573" w:rsidRPr="00B3156B" w:rsidRDefault="005D5573"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сельской местности</w:t>
            </w:r>
          </w:p>
        </w:tc>
        <w:tc>
          <w:tcPr>
            <w:tcW w:w="1129" w:type="dxa"/>
          </w:tcPr>
          <w:p w14:paraId="38A2BFAE" w14:textId="77777777" w:rsidR="005D5573" w:rsidRPr="00B3156B" w:rsidRDefault="005D5573" w:rsidP="0048250F">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1 423,</w:t>
            </w:r>
            <w:r>
              <w:rPr>
                <w:rFonts w:ascii="Times New Roman" w:eastAsia="Times New Roman" w:hAnsi="Times New Roman" w:cs="Times New Roman"/>
                <w:sz w:val="24"/>
                <w:szCs w:val="24"/>
                <w:lang w:eastAsia="ru-RU"/>
              </w:rPr>
              <w:t>4</w:t>
            </w:r>
          </w:p>
        </w:tc>
        <w:tc>
          <w:tcPr>
            <w:tcW w:w="1276" w:type="dxa"/>
            <w:vAlign w:val="bottom"/>
          </w:tcPr>
          <w:p w14:paraId="56A038F9" w14:textId="77777777" w:rsidR="005D5573" w:rsidRPr="00B3156B" w:rsidRDefault="00D97E05" w:rsidP="003552C1">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1 403,5</w:t>
            </w:r>
          </w:p>
        </w:tc>
      </w:tr>
      <w:tr w:rsidR="00D97E05" w:rsidRPr="00B3156B" w14:paraId="43C1B23D" w14:textId="77777777" w:rsidTr="005D5573">
        <w:tc>
          <w:tcPr>
            <w:tcW w:w="6667" w:type="dxa"/>
            <w:tcBorders>
              <w:top w:val="nil"/>
            </w:tcBorders>
            <w:vAlign w:val="center"/>
          </w:tcPr>
          <w:p w14:paraId="02C899C3" w14:textId="77777777" w:rsidR="00D97E05" w:rsidRDefault="00D97E05" w:rsidP="00D03A4F">
            <w:pPr>
              <w:spacing w:after="0" w:line="240" w:lineRule="auto"/>
              <w:ind w:left="57"/>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Численность воспитанников</w:t>
            </w:r>
            <w:r>
              <w:rPr>
                <w:rFonts w:ascii="Times New Roman" w:eastAsia="Times New Roman" w:hAnsi="Times New Roman" w:cs="Times New Roman"/>
                <w:sz w:val="24"/>
                <w:szCs w:val="24"/>
                <w:lang w:eastAsia="ru-RU"/>
              </w:rPr>
              <w:t>, тыс. человек:</w:t>
            </w:r>
          </w:p>
          <w:p w14:paraId="64BF7566" w14:textId="77777777" w:rsidR="00D97E05" w:rsidRPr="00B3156B" w:rsidRDefault="00D97E05" w:rsidP="00D03A4F">
            <w:pPr>
              <w:spacing w:after="0"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ограниченными возможностями здоровья</w:t>
            </w:r>
          </w:p>
        </w:tc>
        <w:tc>
          <w:tcPr>
            <w:tcW w:w="1129" w:type="dxa"/>
            <w:tcBorders>
              <w:top w:val="nil"/>
            </w:tcBorders>
            <w:vAlign w:val="center"/>
          </w:tcPr>
          <w:p w14:paraId="2007C6AA" w14:textId="77777777" w:rsidR="00D97E05" w:rsidRPr="00B3156B" w:rsidRDefault="00D97E05" w:rsidP="0048250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548,8</w:t>
            </w:r>
          </w:p>
        </w:tc>
        <w:tc>
          <w:tcPr>
            <w:tcW w:w="1276" w:type="dxa"/>
            <w:tcBorders>
              <w:top w:val="nil"/>
            </w:tcBorders>
            <w:vAlign w:val="center"/>
          </w:tcPr>
          <w:p w14:paraId="655D34DB" w14:textId="77777777" w:rsidR="00D97E05" w:rsidRDefault="00D97E05" w:rsidP="003552C1">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562,3</w:t>
            </w:r>
          </w:p>
        </w:tc>
      </w:tr>
      <w:tr w:rsidR="00D97E05" w:rsidRPr="00B3156B" w14:paraId="0BF95D4D" w14:textId="77777777" w:rsidTr="005D5573">
        <w:tc>
          <w:tcPr>
            <w:tcW w:w="6667" w:type="dxa"/>
            <w:tcBorders>
              <w:top w:val="nil"/>
            </w:tcBorders>
            <w:vAlign w:val="center"/>
          </w:tcPr>
          <w:p w14:paraId="78DFB196" w14:textId="60586EE0" w:rsidR="00D97E05" w:rsidRPr="00B3156B" w:rsidRDefault="00D97E05" w:rsidP="00D97E05">
            <w:pPr>
              <w:spacing w:after="0" w:line="240" w:lineRule="auto"/>
              <w:ind w:left="1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детей</w:t>
            </w:r>
            <w:r w:rsidR="003B77D7">
              <w:rPr>
                <w:rFonts w:ascii="Times New Roman" w:eastAsia="Times New Roman" w:hAnsi="Times New Roman" w:cs="Times New Roman"/>
                <w:sz w:val="28"/>
                <w:szCs w:val="28"/>
                <w:lang w:eastAsia="ru-RU"/>
              </w:rPr>
              <w:t xml:space="preserve"> </w:t>
            </w:r>
            <w:r w:rsidR="003B77D7" w:rsidRPr="00295F0B">
              <w:rPr>
                <w:rFonts w:ascii="Times New Roman" w:eastAsia="Times New Roman" w:hAnsi="Times New Roman" w:cs="Times New Roman"/>
                <w:sz w:val="24"/>
                <w:szCs w:val="24"/>
                <w:lang w:eastAsia="ru-RU"/>
              </w:rPr>
              <w:t>с инвалидностью</w:t>
            </w:r>
          </w:p>
        </w:tc>
        <w:tc>
          <w:tcPr>
            <w:tcW w:w="1129" w:type="dxa"/>
            <w:tcBorders>
              <w:top w:val="nil"/>
            </w:tcBorders>
            <w:vAlign w:val="center"/>
          </w:tcPr>
          <w:p w14:paraId="38ACC91E" w14:textId="77777777" w:rsidR="00D97E05" w:rsidRPr="00B3156B" w:rsidRDefault="00D97E05" w:rsidP="0048250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83,4</w:t>
            </w:r>
          </w:p>
        </w:tc>
        <w:tc>
          <w:tcPr>
            <w:tcW w:w="1276" w:type="dxa"/>
            <w:tcBorders>
              <w:top w:val="nil"/>
            </w:tcBorders>
            <w:vAlign w:val="center"/>
          </w:tcPr>
          <w:p w14:paraId="57AC6707" w14:textId="77777777" w:rsidR="00D97E05" w:rsidRDefault="00D97E05" w:rsidP="003552C1">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84,8</w:t>
            </w:r>
          </w:p>
        </w:tc>
      </w:tr>
      <w:tr w:rsidR="005D5573" w:rsidRPr="00B3156B" w14:paraId="61C3F173" w14:textId="77777777" w:rsidTr="005D5573">
        <w:tc>
          <w:tcPr>
            <w:tcW w:w="6667" w:type="dxa"/>
            <w:tcBorders>
              <w:top w:val="nil"/>
            </w:tcBorders>
            <w:vAlign w:val="center"/>
          </w:tcPr>
          <w:p w14:paraId="787CF9B5" w14:textId="77777777" w:rsidR="005D5573" w:rsidRPr="00B3156B" w:rsidRDefault="005D5573" w:rsidP="00D03A4F">
            <w:pPr>
              <w:spacing w:after="0" w:line="240" w:lineRule="auto"/>
              <w:ind w:left="57"/>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Из них численность воспитанников</w:t>
            </w:r>
            <w:r w:rsidRPr="00B3156B">
              <w:rPr>
                <w:rFonts w:ascii="Times New Roman" w:eastAsia="Times New Roman" w:hAnsi="Times New Roman" w:cs="Times New Roman"/>
                <w:color w:val="000000"/>
                <w:sz w:val="28"/>
                <w:szCs w:val="28"/>
                <w:lang w:eastAsia="ru-RU" w:bidi="ru-RU"/>
              </w:rPr>
              <w:t> </w:t>
            </w:r>
            <w:r w:rsidRPr="00B3156B">
              <w:rPr>
                <w:rFonts w:ascii="Times New Roman" w:eastAsia="Times New Roman" w:hAnsi="Times New Roman" w:cs="Times New Roman"/>
                <w:sz w:val="24"/>
                <w:szCs w:val="24"/>
                <w:lang w:eastAsia="ru-RU"/>
              </w:rPr>
              <w:t>дошкольных образовательных организаций</w:t>
            </w:r>
          </w:p>
        </w:tc>
        <w:tc>
          <w:tcPr>
            <w:tcW w:w="1129" w:type="dxa"/>
            <w:tcBorders>
              <w:top w:val="nil"/>
            </w:tcBorders>
            <w:vAlign w:val="center"/>
          </w:tcPr>
          <w:p w14:paraId="6D84916F" w14:textId="77777777" w:rsidR="005D5573" w:rsidRPr="00B3156B" w:rsidRDefault="005D5573" w:rsidP="0048250F">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6 518,</w:t>
            </w:r>
            <w:r>
              <w:rPr>
                <w:rFonts w:ascii="Times New Roman" w:eastAsia="Times New Roman" w:hAnsi="Times New Roman" w:cs="Times New Roman"/>
                <w:sz w:val="24"/>
                <w:szCs w:val="24"/>
                <w:lang w:eastAsia="ru-RU"/>
              </w:rPr>
              <w:t>9</w:t>
            </w:r>
          </w:p>
        </w:tc>
        <w:tc>
          <w:tcPr>
            <w:tcW w:w="1276" w:type="dxa"/>
            <w:tcBorders>
              <w:top w:val="nil"/>
            </w:tcBorders>
            <w:vAlign w:val="center"/>
          </w:tcPr>
          <w:p w14:paraId="11CC32C2" w14:textId="77777777" w:rsidR="005D5573" w:rsidRPr="00292AD1" w:rsidRDefault="00D97E05" w:rsidP="00292AD1">
            <w:pPr>
              <w:spacing w:before="60" w:after="6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6 243,</w:t>
            </w:r>
            <w:r w:rsidR="00292AD1">
              <w:rPr>
                <w:rFonts w:ascii="Times New Roman" w:eastAsia="Times New Roman" w:hAnsi="Times New Roman" w:cs="Times New Roman"/>
                <w:sz w:val="24"/>
                <w:szCs w:val="24"/>
                <w:lang w:val="en-US" w:eastAsia="ru-RU"/>
              </w:rPr>
              <w:t>8</w:t>
            </w:r>
          </w:p>
        </w:tc>
      </w:tr>
      <w:tr w:rsidR="005D5573" w:rsidRPr="00B3156B" w14:paraId="77CD8405" w14:textId="77777777" w:rsidTr="005D5573">
        <w:tc>
          <w:tcPr>
            <w:tcW w:w="6667" w:type="dxa"/>
            <w:tcBorders>
              <w:top w:val="nil"/>
            </w:tcBorders>
            <w:vAlign w:val="center"/>
          </w:tcPr>
          <w:p w14:paraId="3512B2BA" w14:textId="77777777" w:rsidR="005D5573" w:rsidRPr="00B3156B" w:rsidRDefault="005D5573"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том числе:</w:t>
            </w:r>
          </w:p>
          <w:p w14:paraId="295F5D44" w14:textId="77777777" w:rsidR="005D5573" w:rsidRPr="00B3156B" w:rsidRDefault="005D5573"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городах и поселках городского типа</w:t>
            </w:r>
          </w:p>
        </w:tc>
        <w:tc>
          <w:tcPr>
            <w:tcW w:w="1129" w:type="dxa"/>
            <w:tcBorders>
              <w:top w:val="nil"/>
            </w:tcBorders>
            <w:vAlign w:val="bottom"/>
          </w:tcPr>
          <w:p w14:paraId="4A89CF6C" w14:textId="77777777" w:rsidR="005D5573" w:rsidRPr="00B3156B" w:rsidRDefault="005D5573" w:rsidP="0048250F">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5 347,</w:t>
            </w:r>
            <w:r>
              <w:rPr>
                <w:rFonts w:ascii="Times New Roman" w:eastAsia="Times New Roman" w:hAnsi="Times New Roman" w:cs="Times New Roman"/>
                <w:sz w:val="24"/>
                <w:szCs w:val="24"/>
                <w:lang w:eastAsia="ru-RU"/>
              </w:rPr>
              <w:t>7</w:t>
            </w:r>
          </w:p>
        </w:tc>
        <w:tc>
          <w:tcPr>
            <w:tcW w:w="1276" w:type="dxa"/>
            <w:tcBorders>
              <w:top w:val="nil"/>
            </w:tcBorders>
            <w:vAlign w:val="bottom"/>
          </w:tcPr>
          <w:p w14:paraId="23E73448" w14:textId="77777777" w:rsidR="005D5573" w:rsidRPr="00B3156B" w:rsidRDefault="00D97E05" w:rsidP="003552C1">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5 118,8</w:t>
            </w:r>
          </w:p>
        </w:tc>
      </w:tr>
      <w:tr w:rsidR="005D5573" w:rsidRPr="00B3156B" w14:paraId="1731C238" w14:textId="77777777" w:rsidTr="005D5573">
        <w:tc>
          <w:tcPr>
            <w:tcW w:w="6667" w:type="dxa"/>
            <w:vAlign w:val="center"/>
          </w:tcPr>
          <w:p w14:paraId="224EBA2A" w14:textId="77777777" w:rsidR="005D5573" w:rsidRPr="00B3156B" w:rsidRDefault="005D5573"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сельской местности</w:t>
            </w:r>
          </w:p>
        </w:tc>
        <w:tc>
          <w:tcPr>
            <w:tcW w:w="1129" w:type="dxa"/>
          </w:tcPr>
          <w:p w14:paraId="4148AAF5" w14:textId="77777777" w:rsidR="005D5573" w:rsidRPr="00B3156B" w:rsidRDefault="005D5573" w:rsidP="0048250F">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1 171,2</w:t>
            </w:r>
          </w:p>
        </w:tc>
        <w:tc>
          <w:tcPr>
            <w:tcW w:w="1276" w:type="dxa"/>
            <w:vAlign w:val="bottom"/>
          </w:tcPr>
          <w:p w14:paraId="1BD360B5" w14:textId="77777777" w:rsidR="005D5573" w:rsidRPr="00292AD1" w:rsidRDefault="00D97E05" w:rsidP="00292AD1">
            <w:pPr>
              <w:spacing w:before="60" w:after="6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1 12</w:t>
            </w:r>
            <w:r w:rsidR="00292AD1">
              <w:rPr>
                <w:rFonts w:ascii="Times New Roman" w:eastAsia="Times New Roman" w:hAnsi="Times New Roman" w:cs="Times New Roman"/>
                <w:sz w:val="24"/>
                <w:szCs w:val="24"/>
                <w:lang w:val="en-US" w:eastAsia="ru-RU"/>
              </w:rPr>
              <w:t>5</w:t>
            </w:r>
            <w:r>
              <w:rPr>
                <w:rFonts w:ascii="Times New Roman" w:eastAsia="Times New Roman" w:hAnsi="Times New Roman" w:cs="Times New Roman"/>
                <w:sz w:val="24"/>
                <w:szCs w:val="24"/>
                <w:lang w:eastAsia="ru-RU"/>
              </w:rPr>
              <w:t>,</w:t>
            </w:r>
            <w:r w:rsidR="00292AD1">
              <w:rPr>
                <w:rFonts w:ascii="Times New Roman" w:eastAsia="Times New Roman" w:hAnsi="Times New Roman" w:cs="Times New Roman"/>
                <w:sz w:val="24"/>
                <w:szCs w:val="24"/>
                <w:lang w:val="en-US" w:eastAsia="ru-RU"/>
              </w:rPr>
              <w:t>0</w:t>
            </w:r>
          </w:p>
        </w:tc>
      </w:tr>
      <w:tr w:rsidR="005D5573" w:rsidRPr="00B3156B" w14:paraId="498F8089" w14:textId="77777777" w:rsidTr="005D5573">
        <w:tc>
          <w:tcPr>
            <w:tcW w:w="6667" w:type="dxa"/>
            <w:vAlign w:val="center"/>
          </w:tcPr>
          <w:p w14:paraId="6AF4963D" w14:textId="77777777" w:rsidR="005D5573" w:rsidRPr="00B3156B" w:rsidRDefault="005D5573" w:rsidP="00D03A4F">
            <w:pPr>
              <w:spacing w:after="0" w:line="240" w:lineRule="auto"/>
              <w:ind w:left="57"/>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Обеспеченность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приходится мест на 1</w:t>
            </w:r>
            <w:r w:rsidR="006C18F9">
              <w:rPr>
                <w:rFonts w:ascii="Times New Roman" w:eastAsia="Times New Roman" w:hAnsi="Times New Roman" w:cs="Times New Roman"/>
                <w:sz w:val="24"/>
                <w:szCs w:val="24"/>
                <w:lang w:eastAsia="ru-RU"/>
              </w:rPr>
              <w:t xml:space="preserve"> </w:t>
            </w:r>
            <w:r w:rsidRPr="00B3156B">
              <w:rPr>
                <w:rFonts w:ascii="Times New Roman" w:eastAsia="Times New Roman" w:hAnsi="Times New Roman" w:cs="Times New Roman"/>
                <w:sz w:val="24"/>
                <w:szCs w:val="24"/>
                <w:lang w:eastAsia="ru-RU"/>
              </w:rPr>
              <w:t>000 детей</w:t>
            </w:r>
          </w:p>
        </w:tc>
        <w:tc>
          <w:tcPr>
            <w:tcW w:w="1129" w:type="dxa"/>
            <w:vAlign w:val="center"/>
          </w:tcPr>
          <w:p w14:paraId="44348F55" w14:textId="77777777" w:rsidR="005D5573" w:rsidRPr="00B3156B" w:rsidRDefault="005D5573" w:rsidP="0048250F">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696</w:t>
            </w:r>
          </w:p>
        </w:tc>
        <w:tc>
          <w:tcPr>
            <w:tcW w:w="1276" w:type="dxa"/>
            <w:vAlign w:val="center"/>
          </w:tcPr>
          <w:p w14:paraId="2F6B7C62" w14:textId="77777777" w:rsidR="005D5573" w:rsidRPr="00B3156B" w:rsidRDefault="00D97E05" w:rsidP="003552C1">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740</w:t>
            </w:r>
          </w:p>
        </w:tc>
      </w:tr>
      <w:tr w:rsidR="005D5573" w:rsidRPr="00B3156B" w14:paraId="45635FB9" w14:textId="77777777" w:rsidTr="005D5573">
        <w:tc>
          <w:tcPr>
            <w:tcW w:w="6667" w:type="dxa"/>
            <w:tcBorders>
              <w:top w:val="nil"/>
            </w:tcBorders>
            <w:vAlign w:val="center"/>
          </w:tcPr>
          <w:p w14:paraId="2142E5CF" w14:textId="77777777" w:rsidR="005D5573" w:rsidRPr="00B3156B" w:rsidRDefault="005D5573"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том числе:</w:t>
            </w:r>
          </w:p>
          <w:p w14:paraId="1E76E81B" w14:textId="77777777" w:rsidR="005D5573" w:rsidRPr="00B3156B" w:rsidRDefault="005D5573"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городах и поселках городского типа</w:t>
            </w:r>
          </w:p>
        </w:tc>
        <w:tc>
          <w:tcPr>
            <w:tcW w:w="1129" w:type="dxa"/>
            <w:tcBorders>
              <w:top w:val="nil"/>
            </w:tcBorders>
            <w:vAlign w:val="bottom"/>
          </w:tcPr>
          <w:p w14:paraId="52B3063C" w14:textId="77777777" w:rsidR="005D5573" w:rsidRPr="00B3156B" w:rsidRDefault="005D5573" w:rsidP="0048250F">
            <w:pPr>
              <w:spacing w:before="60" w:after="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719</w:t>
            </w:r>
          </w:p>
        </w:tc>
        <w:tc>
          <w:tcPr>
            <w:tcW w:w="1276" w:type="dxa"/>
            <w:tcBorders>
              <w:top w:val="nil"/>
            </w:tcBorders>
            <w:vAlign w:val="bottom"/>
          </w:tcPr>
          <w:p w14:paraId="39030F01" w14:textId="77777777" w:rsidR="005D5573" w:rsidRPr="00B3156B" w:rsidRDefault="00D97E05" w:rsidP="003552C1">
            <w:pPr>
              <w:spacing w:before="6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761</w:t>
            </w:r>
          </w:p>
        </w:tc>
      </w:tr>
      <w:tr w:rsidR="005D5573" w:rsidRPr="00B3156B" w14:paraId="6F048C36" w14:textId="77777777" w:rsidTr="005D5573">
        <w:tc>
          <w:tcPr>
            <w:tcW w:w="6667" w:type="dxa"/>
            <w:vAlign w:val="center"/>
          </w:tcPr>
          <w:p w14:paraId="105C0531" w14:textId="77777777" w:rsidR="005D5573" w:rsidRPr="00B3156B" w:rsidRDefault="005D5573"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сельской местности</w:t>
            </w:r>
          </w:p>
        </w:tc>
        <w:tc>
          <w:tcPr>
            <w:tcW w:w="1129" w:type="dxa"/>
            <w:vAlign w:val="center"/>
          </w:tcPr>
          <w:p w14:paraId="353FD921" w14:textId="77777777" w:rsidR="005D5573" w:rsidRPr="00B3156B" w:rsidRDefault="005D5573" w:rsidP="0048250F">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624</w:t>
            </w:r>
          </w:p>
        </w:tc>
        <w:tc>
          <w:tcPr>
            <w:tcW w:w="1276" w:type="dxa"/>
            <w:vAlign w:val="center"/>
          </w:tcPr>
          <w:p w14:paraId="6D79A6E5" w14:textId="77777777" w:rsidR="005D5573" w:rsidRPr="00B3156B" w:rsidRDefault="00D97E05" w:rsidP="003552C1">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676</w:t>
            </w:r>
          </w:p>
        </w:tc>
      </w:tr>
      <w:tr w:rsidR="005D5573" w:rsidRPr="00B3156B" w14:paraId="07176ECA" w14:textId="77777777" w:rsidTr="005D5573">
        <w:tc>
          <w:tcPr>
            <w:tcW w:w="6667" w:type="dxa"/>
            <w:vAlign w:val="center"/>
          </w:tcPr>
          <w:p w14:paraId="1C83D88C" w14:textId="77777777" w:rsidR="005D5573" w:rsidRPr="00B3156B" w:rsidRDefault="005D5573" w:rsidP="00D03A4F">
            <w:pPr>
              <w:spacing w:after="0" w:line="240" w:lineRule="auto"/>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Валовой коэффициент охвата дошкольным образованием, в процентах от численности детей в возрасте 1-6 лет</w:t>
            </w:r>
          </w:p>
        </w:tc>
        <w:tc>
          <w:tcPr>
            <w:tcW w:w="1129" w:type="dxa"/>
            <w:vAlign w:val="center"/>
          </w:tcPr>
          <w:p w14:paraId="0917401D" w14:textId="77777777" w:rsidR="005D5573" w:rsidRPr="00B3156B" w:rsidRDefault="005D5573" w:rsidP="0048250F">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70,7</w:t>
            </w:r>
          </w:p>
        </w:tc>
        <w:tc>
          <w:tcPr>
            <w:tcW w:w="1276" w:type="dxa"/>
            <w:vAlign w:val="center"/>
          </w:tcPr>
          <w:p w14:paraId="5C03566D" w14:textId="77777777" w:rsidR="005D5573" w:rsidRPr="00B3156B" w:rsidRDefault="00D97E05" w:rsidP="00B3156B">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73,2</w:t>
            </w:r>
          </w:p>
        </w:tc>
      </w:tr>
      <w:tr w:rsidR="005D5573" w:rsidRPr="00B3156B" w14:paraId="0BBB3A16" w14:textId="77777777" w:rsidTr="005D5573">
        <w:tc>
          <w:tcPr>
            <w:tcW w:w="6667" w:type="dxa"/>
            <w:tcBorders>
              <w:top w:val="nil"/>
            </w:tcBorders>
            <w:vAlign w:val="center"/>
          </w:tcPr>
          <w:p w14:paraId="2901F108" w14:textId="77777777" w:rsidR="005D5573" w:rsidRPr="00B3156B" w:rsidRDefault="005D5573"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том числе:</w:t>
            </w:r>
          </w:p>
          <w:p w14:paraId="4A889BD8" w14:textId="77777777" w:rsidR="005D5573" w:rsidRPr="00B3156B" w:rsidRDefault="005D5573"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городах и поселках городского типа</w:t>
            </w:r>
          </w:p>
        </w:tc>
        <w:tc>
          <w:tcPr>
            <w:tcW w:w="1129" w:type="dxa"/>
            <w:tcBorders>
              <w:top w:val="nil"/>
            </w:tcBorders>
            <w:vAlign w:val="bottom"/>
          </w:tcPr>
          <w:p w14:paraId="75CF826F" w14:textId="77777777" w:rsidR="005D5573" w:rsidRPr="00B3156B" w:rsidRDefault="005D5573" w:rsidP="0048250F">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76,1</w:t>
            </w:r>
          </w:p>
        </w:tc>
        <w:tc>
          <w:tcPr>
            <w:tcW w:w="1276" w:type="dxa"/>
            <w:tcBorders>
              <w:top w:val="nil"/>
            </w:tcBorders>
            <w:vAlign w:val="bottom"/>
          </w:tcPr>
          <w:p w14:paraId="34CBDBC7" w14:textId="77777777" w:rsidR="005D5573" w:rsidRPr="00B3156B" w:rsidRDefault="00D97E05" w:rsidP="003552C1">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78,1</w:t>
            </w:r>
          </w:p>
        </w:tc>
      </w:tr>
      <w:tr w:rsidR="005D5573" w:rsidRPr="00B3156B" w14:paraId="516E7C4A" w14:textId="77777777" w:rsidTr="005D5573">
        <w:tc>
          <w:tcPr>
            <w:tcW w:w="6667" w:type="dxa"/>
            <w:vAlign w:val="center"/>
          </w:tcPr>
          <w:p w14:paraId="28B01AD6" w14:textId="77777777" w:rsidR="005D5573" w:rsidRPr="00B3156B" w:rsidRDefault="005D5573" w:rsidP="00D03A4F">
            <w:pPr>
              <w:spacing w:after="0" w:line="240" w:lineRule="auto"/>
              <w:ind w:left="170"/>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в сельской местности</w:t>
            </w:r>
          </w:p>
        </w:tc>
        <w:tc>
          <w:tcPr>
            <w:tcW w:w="1129" w:type="dxa"/>
            <w:vAlign w:val="center"/>
          </w:tcPr>
          <w:p w14:paraId="07024A1B" w14:textId="77777777" w:rsidR="005D5573" w:rsidRPr="00B3156B" w:rsidRDefault="005D5573" w:rsidP="0048250F">
            <w:pPr>
              <w:spacing w:before="60" w:after="60" w:line="240" w:lineRule="auto"/>
              <w:jc w:val="center"/>
              <w:rPr>
                <w:rFonts w:ascii="Times New Roman" w:eastAsia="Times New Roman" w:hAnsi="Times New Roman" w:cs="Times New Roman"/>
                <w:sz w:val="24"/>
                <w:szCs w:val="24"/>
                <w:lang w:eastAsia="ru-RU"/>
              </w:rPr>
            </w:pPr>
            <w:r w:rsidRPr="00B3156B">
              <w:rPr>
                <w:rFonts w:ascii="Times New Roman" w:eastAsia="Times New Roman" w:hAnsi="Times New Roman" w:cs="Times New Roman"/>
                <w:sz w:val="24"/>
                <w:szCs w:val="24"/>
                <w:lang w:eastAsia="ru-RU"/>
              </w:rPr>
              <w:t>54,5</w:t>
            </w:r>
          </w:p>
        </w:tc>
        <w:tc>
          <w:tcPr>
            <w:tcW w:w="1276" w:type="dxa"/>
            <w:vAlign w:val="bottom"/>
          </w:tcPr>
          <w:p w14:paraId="7DE1906C" w14:textId="77777777" w:rsidR="005D5573" w:rsidRPr="00B3156B" w:rsidRDefault="00D97E05" w:rsidP="003552C1">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57,7</w:t>
            </w:r>
          </w:p>
        </w:tc>
      </w:tr>
    </w:tbl>
    <w:p w14:paraId="16A302DE" w14:textId="77777777" w:rsidR="00D03A4F" w:rsidRPr="00D97E05" w:rsidRDefault="00D97E05" w:rsidP="00D97E05">
      <w:pPr>
        <w:spacing w:before="200" w:after="0" w:line="240" w:lineRule="auto"/>
        <w:ind w:firstLine="284"/>
        <w:rPr>
          <w:rFonts w:ascii="Times New Roman" w:eastAsia="Times New Roman" w:hAnsi="Times New Roman" w:cs="Times New Roman"/>
          <w:lang w:eastAsia="ru-RU"/>
        </w:rPr>
      </w:pPr>
      <w:r w:rsidRPr="00D97E05">
        <w:rPr>
          <w:rFonts w:ascii="Times New Roman" w:eastAsia="Times New Roman" w:hAnsi="Times New Roman" w:cs="Times New Roman"/>
          <w:lang w:eastAsia="ru-RU"/>
        </w:rPr>
        <w:t>1)</w:t>
      </w:r>
      <w:r w:rsidRPr="00D97E05">
        <w:rPr>
          <w:rFonts w:ascii="Times New Roman" w:eastAsia="Times New Roman" w:hAnsi="Times New Roman" w:cs="Times New Roman"/>
          <w:vertAlign w:val="superscript"/>
          <w:lang w:eastAsia="ru-RU"/>
        </w:rPr>
        <w:t xml:space="preserve"> </w:t>
      </w:r>
      <w:r w:rsidRPr="00D97E05">
        <w:rPr>
          <w:rFonts w:ascii="Times New Roman" w:eastAsia="Times New Roman" w:hAnsi="Times New Roman" w:cs="Times New Roman"/>
          <w:lang w:eastAsia="ru-RU"/>
        </w:rPr>
        <w:t>Информация приведена с учетом индивидуальных предпринимателей</w:t>
      </w:r>
    </w:p>
    <w:p w14:paraId="06B1CC47" w14:textId="77777777" w:rsidR="00D03A4F" w:rsidRDefault="00D03A4F" w:rsidP="00D03A4F">
      <w:pPr>
        <w:spacing w:after="0" w:line="240" w:lineRule="auto"/>
        <w:rPr>
          <w:rFonts w:ascii="Times New Roman" w:eastAsia="Times New Roman" w:hAnsi="Times New Roman" w:cs="Times New Roman"/>
          <w:sz w:val="26"/>
          <w:szCs w:val="26"/>
          <w:highlight w:val="yellow"/>
          <w:lang w:eastAsia="ru-RU"/>
        </w:rPr>
      </w:pPr>
    </w:p>
    <w:p w14:paraId="6DF67A29" w14:textId="77777777" w:rsidR="00E018C3" w:rsidRDefault="00E018C3" w:rsidP="00D03A4F">
      <w:pPr>
        <w:spacing w:after="0" w:line="240" w:lineRule="auto"/>
        <w:rPr>
          <w:rFonts w:ascii="Times New Roman" w:eastAsia="Times New Roman" w:hAnsi="Times New Roman" w:cs="Times New Roman"/>
          <w:sz w:val="26"/>
          <w:szCs w:val="26"/>
          <w:highlight w:val="yellow"/>
          <w:lang w:eastAsia="ru-RU"/>
        </w:rPr>
      </w:pPr>
    </w:p>
    <w:p w14:paraId="23B963D8" w14:textId="77777777" w:rsidR="00E018C3" w:rsidRPr="00BD5A90" w:rsidRDefault="00E018C3" w:rsidP="00D03A4F">
      <w:pPr>
        <w:spacing w:after="0" w:line="240" w:lineRule="auto"/>
        <w:rPr>
          <w:rFonts w:ascii="Times New Roman" w:eastAsia="Times New Roman" w:hAnsi="Times New Roman" w:cs="Times New Roman"/>
          <w:sz w:val="26"/>
          <w:szCs w:val="26"/>
          <w:highlight w:val="yellow"/>
          <w:lang w:eastAsia="ru-RU"/>
        </w:rPr>
      </w:pPr>
    </w:p>
    <w:p w14:paraId="1A380D25" w14:textId="77777777" w:rsidR="00D03A4F" w:rsidRPr="009965F2" w:rsidRDefault="00D03A4F" w:rsidP="00D03A4F">
      <w:pPr>
        <w:spacing w:after="0" w:line="240" w:lineRule="auto"/>
        <w:jc w:val="right"/>
        <w:rPr>
          <w:rFonts w:ascii="Times New Roman" w:eastAsia="Times New Roman" w:hAnsi="Times New Roman" w:cs="Times New Roman"/>
          <w:sz w:val="26"/>
          <w:szCs w:val="26"/>
          <w:lang w:eastAsia="ru-RU"/>
        </w:rPr>
      </w:pPr>
      <w:r w:rsidRPr="009965F2">
        <w:rPr>
          <w:rFonts w:ascii="Times New Roman" w:eastAsia="Times New Roman" w:hAnsi="Times New Roman" w:cs="Times New Roman"/>
          <w:sz w:val="26"/>
          <w:szCs w:val="26"/>
          <w:lang w:eastAsia="ru-RU"/>
        </w:rPr>
        <w:t>Таблица 25</w:t>
      </w:r>
    </w:p>
    <w:p w14:paraId="735CF657" w14:textId="77777777" w:rsidR="00D03A4F" w:rsidRPr="009965F2" w:rsidRDefault="00D03A4F" w:rsidP="00D03A4F">
      <w:pPr>
        <w:spacing w:after="0" w:line="240" w:lineRule="auto"/>
        <w:jc w:val="right"/>
        <w:rPr>
          <w:rFonts w:ascii="Times New Roman" w:eastAsia="Times New Roman" w:hAnsi="Times New Roman" w:cs="Times New Roman"/>
          <w:sz w:val="26"/>
          <w:szCs w:val="26"/>
          <w:lang w:eastAsia="ru-RU"/>
        </w:rPr>
      </w:pPr>
    </w:p>
    <w:p w14:paraId="506366C2" w14:textId="77777777" w:rsidR="00D03A4F" w:rsidRPr="00117CDF" w:rsidRDefault="00D03A4F" w:rsidP="00D03A4F">
      <w:pPr>
        <w:spacing w:after="0" w:line="240" w:lineRule="auto"/>
        <w:jc w:val="center"/>
        <w:rPr>
          <w:rFonts w:ascii="Times New Roman" w:eastAsia="Times New Roman" w:hAnsi="Times New Roman" w:cs="Times New Roman"/>
          <w:b/>
          <w:sz w:val="26"/>
          <w:szCs w:val="26"/>
          <w:lang w:eastAsia="ru-RU"/>
        </w:rPr>
      </w:pPr>
      <w:r w:rsidRPr="00117CDF">
        <w:rPr>
          <w:rFonts w:ascii="Times New Roman" w:eastAsia="Times New Roman" w:hAnsi="Times New Roman" w:cs="Times New Roman"/>
          <w:b/>
          <w:sz w:val="26"/>
          <w:szCs w:val="26"/>
          <w:lang w:eastAsia="ru-RU"/>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14:paraId="106A03C3" w14:textId="77777777" w:rsidR="00D03A4F" w:rsidRPr="009965F2" w:rsidRDefault="00D03A4F" w:rsidP="00D03A4F">
      <w:pPr>
        <w:spacing w:after="0" w:line="240" w:lineRule="auto"/>
        <w:jc w:val="center"/>
        <w:rPr>
          <w:rFonts w:ascii="Times New Roman" w:eastAsia="Times New Roman" w:hAnsi="Times New Roman" w:cs="Times New Roman"/>
          <w:b/>
          <w:sz w:val="26"/>
          <w:szCs w:val="26"/>
          <w:lang w:eastAsia="ru-RU"/>
        </w:rPr>
      </w:pPr>
      <w:r w:rsidRPr="00117CDF">
        <w:rPr>
          <w:rFonts w:ascii="Times New Roman" w:eastAsia="Times New Roman" w:hAnsi="Times New Roman" w:cs="Times New Roman"/>
          <w:b/>
          <w:sz w:val="26"/>
          <w:szCs w:val="26"/>
          <w:lang w:eastAsia="ru-RU"/>
        </w:rPr>
        <w:t>присмотр и уход за детьми по районам Крайнего Севера и приравненным к ним местностям</w:t>
      </w:r>
    </w:p>
    <w:p w14:paraId="4E1EF6CD" w14:textId="77777777" w:rsidR="00D03A4F" w:rsidRPr="009965F2" w:rsidRDefault="00D03A4F" w:rsidP="00D03A4F">
      <w:pPr>
        <w:spacing w:after="0" w:line="240" w:lineRule="auto"/>
        <w:jc w:val="center"/>
        <w:rPr>
          <w:rFonts w:ascii="Times New Roman" w:eastAsia="Times New Roman" w:hAnsi="Times New Roman" w:cs="Times New Roman"/>
          <w:sz w:val="20"/>
          <w:szCs w:val="20"/>
          <w:lang w:eastAsia="ru-RU"/>
        </w:rPr>
      </w:pPr>
    </w:p>
    <w:tbl>
      <w:tblPr>
        <w:tblW w:w="1054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8"/>
        <w:gridCol w:w="1199"/>
        <w:gridCol w:w="1199"/>
        <w:gridCol w:w="1199"/>
        <w:gridCol w:w="1199"/>
      </w:tblGrid>
      <w:tr w:rsidR="00D97E05" w:rsidRPr="009965F2" w14:paraId="7A17D15C" w14:textId="77777777" w:rsidTr="00D97E05">
        <w:trPr>
          <w:tblHeader/>
        </w:trPr>
        <w:tc>
          <w:tcPr>
            <w:tcW w:w="5748" w:type="dxa"/>
            <w:vAlign w:val="center"/>
          </w:tcPr>
          <w:p w14:paraId="14EF01B3" w14:textId="77777777" w:rsidR="00D97E05" w:rsidRPr="009965F2" w:rsidRDefault="00D97E05" w:rsidP="00D03A4F">
            <w:pPr>
              <w:spacing w:after="0" w:line="240" w:lineRule="auto"/>
              <w:jc w:val="center"/>
              <w:rPr>
                <w:rFonts w:ascii="Times New Roman" w:eastAsia="Times New Roman" w:hAnsi="Times New Roman" w:cs="Times New Roman"/>
                <w:sz w:val="24"/>
                <w:szCs w:val="24"/>
                <w:lang w:eastAsia="ru-RU"/>
              </w:rPr>
            </w:pPr>
          </w:p>
        </w:tc>
        <w:tc>
          <w:tcPr>
            <w:tcW w:w="1199" w:type="dxa"/>
          </w:tcPr>
          <w:p w14:paraId="3020E0BB" w14:textId="77777777" w:rsidR="00D97E05" w:rsidRPr="009965F2" w:rsidRDefault="00D97E05" w:rsidP="0048250F">
            <w:pPr>
              <w:spacing w:after="0" w:line="240" w:lineRule="auto"/>
              <w:jc w:val="center"/>
              <w:rPr>
                <w:rFonts w:ascii="Times New Roman" w:eastAsia="Times New Roman" w:hAnsi="Times New Roman" w:cs="Times New Roman"/>
                <w:sz w:val="24"/>
                <w:szCs w:val="24"/>
                <w:lang w:eastAsia="ru-RU"/>
              </w:rPr>
            </w:pPr>
            <w:r w:rsidRPr="009965F2">
              <w:rPr>
                <w:rFonts w:ascii="Times New Roman" w:eastAsia="Times New Roman" w:hAnsi="Times New Roman" w:cs="Times New Roman"/>
                <w:sz w:val="24"/>
                <w:szCs w:val="24"/>
                <w:lang w:eastAsia="ru-RU"/>
              </w:rPr>
              <w:t>2018 г.</w:t>
            </w:r>
          </w:p>
        </w:tc>
        <w:tc>
          <w:tcPr>
            <w:tcW w:w="1199" w:type="dxa"/>
          </w:tcPr>
          <w:p w14:paraId="785A4251" w14:textId="77777777" w:rsidR="00D97E05" w:rsidRPr="009965F2" w:rsidRDefault="00D97E05" w:rsidP="0048250F">
            <w:pPr>
              <w:spacing w:after="0" w:line="240" w:lineRule="auto"/>
              <w:jc w:val="center"/>
              <w:rPr>
                <w:rFonts w:ascii="Times New Roman" w:eastAsia="Times New Roman" w:hAnsi="Times New Roman" w:cs="Times New Roman"/>
                <w:sz w:val="24"/>
                <w:szCs w:val="24"/>
                <w:lang w:eastAsia="ru-RU"/>
              </w:rPr>
            </w:pPr>
            <w:r w:rsidRPr="009965F2">
              <w:rPr>
                <w:rFonts w:ascii="Times New Roman" w:eastAsia="Times New Roman" w:hAnsi="Times New Roman" w:cs="Times New Roman"/>
                <w:sz w:val="24"/>
                <w:szCs w:val="24"/>
                <w:lang w:eastAsia="ru-RU"/>
              </w:rPr>
              <w:t>2019 г.</w:t>
            </w:r>
          </w:p>
        </w:tc>
        <w:tc>
          <w:tcPr>
            <w:tcW w:w="1199" w:type="dxa"/>
          </w:tcPr>
          <w:p w14:paraId="39AF1C35" w14:textId="77777777" w:rsidR="00D97E05" w:rsidRPr="009965F2" w:rsidRDefault="00D97E05" w:rsidP="004825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w:t>
            </w:r>
          </w:p>
        </w:tc>
        <w:tc>
          <w:tcPr>
            <w:tcW w:w="1199" w:type="dxa"/>
            <w:vAlign w:val="center"/>
          </w:tcPr>
          <w:p w14:paraId="0DD9DD9F" w14:textId="77777777" w:rsidR="00D97E05" w:rsidRPr="009965F2" w:rsidRDefault="00D97E05" w:rsidP="001010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w:t>
            </w:r>
          </w:p>
        </w:tc>
      </w:tr>
      <w:tr w:rsidR="00D97E05" w:rsidRPr="009965F2" w14:paraId="7D2D6F17" w14:textId="77777777" w:rsidTr="0048250F">
        <w:tc>
          <w:tcPr>
            <w:tcW w:w="5748" w:type="dxa"/>
            <w:vAlign w:val="center"/>
          </w:tcPr>
          <w:p w14:paraId="7EC7A3E3" w14:textId="77777777" w:rsidR="00D97E05" w:rsidRPr="009965F2" w:rsidRDefault="00D97E05" w:rsidP="00D03A4F">
            <w:pPr>
              <w:spacing w:after="0" w:line="240" w:lineRule="auto"/>
              <w:ind w:left="57"/>
              <w:rPr>
                <w:rFonts w:ascii="Times New Roman" w:eastAsia="Times New Roman" w:hAnsi="Times New Roman" w:cs="Times New Roman"/>
                <w:sz w:val="24"/>
                <w:szCs w:val="24"/>
                <w:lang w:eastAsia="ru-RU"/>
              </w:rPr>
            </w:pPr>
            <w:r w:rsidRPr="009965F2">
              <w:rPr>
                <w:rFonts w:ascii="Times New Roman" w:eastAsia="Times New Roman" w:hAnsi="Times New Roman" w:cs="Times New Roman"/>
                <w:sz w:val="24"/>
                <w:szCs w:val="24"/>
                <w:lang w:eastAsia="ru-RU"/>
              </w:rPr>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человек</w:t>
            </w:r>
          </w:p>
        </w:tc>
        <w:tc>
          <w:tcPr>
            <w:tcW w:w="1199" w:type="dxa"/>
            <w:vAlign w:val="center"/>
          </w:tcPr>
          <w:p w14:paraId="4BE74A34" w14:textId="77777777" w:rsidR="00D97E05" w:rsidRPr="009965F2" w:rsidRDefault="00D97E05" w:rsidP="0048250F">
            <w:pPr>
              <w:spacing w:before="60" w:after="60" w:line="240" w:lineRule="auto"/>
              <w:jc w:val="center"/>
              <w:rPr>
                <w:rFonts w:ascii="Times New Roman" w:eastAsia="Times New Roman" w:hAnsi="Times New Roman" w:cs="Times New Roman"/>
                <w:sz w:val="24"/>
                <w:szCs w:val="24"/>
                <w:lang w:eastAsia="ru-RU"/>
              </w:rPr>
            </w:pPr>
            <w:r w:rsidRPr="009965F2">
              <w:rPr>
                <w:rFonts w:ascii="Times New Roman" w:eastAsia="Times New Roman" w:hAnsi="Times New Roman" w:cs="Times New Roman"/>
                <w:sz w:val="24"/>
                <w:szCs w:val="24"/>
                <w:lang w:eastAsia="ru-RU"/>
              </w:rPr>
              <w:t>654 713</w:t>
            </w:r>
          </w:p>
        </w:tc>
        <w:tc>
          <w:tcPr>
            <w:tcW w:w="1199" w:type="dxa"/>
            <w:vAlign w:val="center"/>
          </w:tcPr>
          <w:p w14:paraId="031687C8" w14:textId="77777777" w:rsidR="00D97E05" w:rsidRPr="009965F2" w:rsidRDefault="00D97E05" w:rsidP="0048250F">
            <w:pPr>
              <w:spacing w:before="60" w:after="60" w:line="240" w:lineRule="auto"/>
              <w:jc w:val="center"/>
              <w:rPr>
                <w:rFonts w:ascii="Times New Roman" w:eastAsia="Times New Roman" w:hAnsi="Times New Roman" w:cs="Times New Roman"/>
                <w:sz w:val="24"/>
                <w:szCs w:val="24"/>
                <w:lang w:eastAsia="ru-RU"/>
              </w:rPr>
            </w:pPr>
            <w:r w:rsidRPr="009965F2">
              <w:rPr>
                <w:rFonts w:ascii="Times New Roman" w:eastAsia="Times New Roman" w:hAnsi="Times New Roman" w:cs="Times New Roman"/>
                <w:sz w:val="24"/>
                <w:szCs w:val="24"/>
                <w:lang w:eastAsia="ru-RU"/>
              </w:rPr>
              <w:t>642 192</w:t>
            </w:r>
          </w:p>
        </w:tc>
        <w:tc>
          <w:tcPr>
            <w:tcW w:w="1199" w:type="dxa"/>
            <w:vAlign w:val="center"/>
          </w:tcPr>
          <w:p w14:paraId="1263C3CC" w14:textId="77777777" w:rsidR="00D97E05" w:rsidRPr="009965F2" w:rsidRDefault="00D97E05" w:rsidP="0048250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622 712</w:t>
            </w:r>
          </w:p>
        </w:tc>
        <w:tc>
          <w:tcPr>
            <w:tcW w:w="1199" w:type="dxa"/>
            <w:vAlign w:val="center"/>
          </w:tcPr>
          <w:p w14:paraId="185B2F2C" w14:textId="77777777" w:rsidR="00D97E05" w:rsidRPr="00292AD1" w:rsidRDefault="00292AD1" w:rsidP="0010107D">
            <w:pPr>
              <w:spacing w:before="60" w:after="6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603 029</w:t>
            </w:r>
          </w:p>
        </w:tc>
      </w:tr>
      <w:tr w:rsidR="00D97E05" w:rsidRPr="00BD5A90" w14:paraId="1950A402" w14:textId="77777777" w:rsidTr="0048250F">
        <w:tc>
          <w:tcPr>
            <w:tcW w:w="5748" w:type="dxa"/>
            <w:tcBorders>
              <w:top w:val="nil"/>
            </w:tcBorders>
            <w:vAlign w:val="center"/>
          </w:tcPr>
          <w:p w14:paraId="530BC9D4" w14:textId="77777777" w:rsidR="00D97E05" w:rsidRPr="009965F2" w:rsidRDefault="00D97E05" w:rsidP="00D03A4F">
            <w:pPr>
              <w:spacing w:after="0" w:line="240" w:lineRule="auto"/>
              <w:ind w:left="57"/>
              <w:rPr>
                <w:rFonts w:ascii="Times New Roman" w:eastAsia="Times New Roman" w:hAnsi="Times New Roman" w:cs="Times New Roman"/>
                <w:sz w:val="24"/>
                <w:szCs w:val="24"/>
                <w:lang w:eastAsia="ru-RU"/>
              </w:rPr>
            </w:pPr>
            <w:r w:rsidRPr="009965F2">
              <w:rPr>
                <w:rFonts w:ascii="Times New Roman" w:eastAsia="Times New Roman" w:hAnsi="Times New Roman" w:cs="Times New Roman"/>
                <w:sz w:val="24"/>
                <w:szCs w:val="24"/>
                <w:lang w:eastAsia="ru-RU"/>
              </w:rPr>
              <w:t>Из них численность воспитанников</w:t>
            </w:r>
            <w:r w:rsidRPr="009965F2">
              <w:rPr>
                <w:rFonts w:ascii="Times New Roman" w:eastAsia="Times New Roman" w:hAnsi="Times New Roman" w:cs="Times New Roman"/>
                <w:color w:val="000000"/>
                <w:sz w:val="28"/>
                <w:szCs w:val="28"/>
                <w:lang w:eastAsia="ru-RU" w:bidi="ru-RU"/>
              </w:rPr>
              <w:t> </w:t>
            </w:r>
            <w:r w:rsidRPr="009965F2">
              <w:rPr>
                <w:rFonts w:ascii="Times New Roman" w:eastAsia="Times New Roman" w:hAnsi="Times New Roman" w:cs="Times New Roman"/>
                <w:sz w:val="24"/>
                <w:szCs w:val="24"/>
                <w:lang w:eastAsia="ru-RU"/>
              </w:rPr>
              <w:t>дошкольных образовательных организаций</w:t>
            </w:r>
          </w:p>
        </w:tc>
        <w:tc>
          <w:tcPr>
            <w:tcW w:w="1199" w:type="dxa"/>
            <w:tcBorders>
              <w:top w:val="nil"/>
            </w:tcBorders>
            <w:vAlign w:val="center"/>
          </w:tcPr>
          <w:p w14:paraId="064AA941" w14:textId="77777777" w:rsidR="00D97E05" w:rsidRPr="009965F2" w:rsidRDefault="00D97E05" w:rsidP="0048250F">
            <w:pPr>
              <w:spacing w:before="60" w:after="60" w:line="240" w:lineRule="auto"/>
              <w:jc w:val="center"/>
              <w:rPr>
                <w:rFonts w:ascii="Times New Roman" w:eastAsia="Times New Roman" w:hAnsi="Times New Roman" w:cs="Times New Roman"/>
                <w:sz w:val="24"/>
                <w:szCs w:val="24"/>
                <w:lang w:eastAsia="ru-RU"/>
              </w:rPr>
            </w:pPr>
            <w:r w:rsidRPr="009965F2">
              <w:rPr>
                <w:rFonts w:ascii="Times New Roman" w:eastAsia="Times New Roman" w:hAnsi="Times New Roman" w:cs="Times New Roman"/>
                <w:sz w:val="24"/>
                <w:szCs w:val="24"/>
                <w:lang w:eastAsia="ru-RU"/>
              </w:rPr>
              <w:t>613 384</w:t>
            </w:r>
          </w:p>
        </w:tc>
        <w:tc>
          <w:tcPr>
            <w:tcW w:w="1199" w:type="dxa"/>
            <w:tcBorders>
              <w:top w:val="nil"/>
            </w:tcBorders>
            <w:vAlign w:val="center"/>
          </w:tcPr>
          <w:p w14:paraId="794BD0EA" w14:textId="77777777" w:rsidR="00D97E05" w:rsidRPr="009965F2" w:rsidRDefault="00D97E05" w:rsidP="0048250F">
            <w:pPr>
              <w:spacing w:before="60" w:after="60" w:line="240" w:lineRule="auto"/>
              <w:jc w:val="center"/>
              <w:rPr>
                <w:rFonts w:ascii="Times New Roman" w:eastAsia="Times New Roman" w:hAnsi="Times New Roman" w:cs="Times New Roman"/>
                <w:sz w:val="24"/>
                <w:szCs w:val="24"/>
                <w:lang w:eastAsia="ru-RU"/>
              </w:rPr>
            </w:pPr>
            <w:r w:rsidRPr="009965F2">
              <w:rPr>
                <w:rFonts w:ascii="Times New Roman" w:eastAsia="Times New Roman" w:hAnsi="Times New Roman" w:cs="Times New Roman"/>
                <w:sz w:val="24"/>
                <w:szCs w:val="24"/>
                <w:lang w:eastAsia="ru-RU"/>
              </w:rPr>
              <w:t>598 545</w:t>
            </w:r>
          </w:p>
        </w:tc>
        <w:tc>
          <w:tcPr>
            <w:tcW w:w="1199" w:type="dxa"/>
            <w:tcBorders>
              <w:top w:val="nil"/>
            </w:tcBorders>
            <w:vAlign w:val="center"/>
          </w:tcPr>
          <w:p w14:paraId="6C9AAAF3" w14:textId="77777777" w:rsidR="00D97E05" w:rsidRPr="009965F2" w:rsidRDefault="00D97E05" w:rsidP="0048250F">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579 401</w:t>
            </w:r>
          </w:p>
        </w:tc>
        <w:tc>
          <w:tcPr>
            <w:tcW w:w="1199" w:type="dxa"/>
            <w:tcBorders>
              <w:top w:val="nil"/>
            </w:tcBorders>
            <w:vAlign w:val="center"/>
          </w:tcPr>
          <w:p w14:paraId="049D158E" w14:textId="77777777" w:rsidR="00D97E05" w:rsidRPr="00E018C3" w:rsidRDefault="00292AD1" w:rsidP="0010107D">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552 759</w:t>
            </w:r>
          </w:p>
        </w:tc>
      </w:tr>
    </w:tbl>
    <w:p w14:paraId="45B095C7" w14:textId="77777777"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14:paraId="226EBDD9" w14:textId="77777777" w:rsidR="00D03A4F" w:rsidRDefault="00D03A4F" w:rsidP="00D03A4F">
      <w:pPr>
        <w:spacing w:after="0" w:line="240" w:lineRule="auto"/>
        <w:rPr>
          <w:rFonts w:ascii="Times New Roman" w:eastAsia="Times New Roman" w:hAnsi="Times New Roman" w:cs="Times New Roman"/>
          <w:sz w:val="26"/>
          <w:szCs w:val="26"/>
          <w:highlight w:val="yellow"/>
          <w:lang w:eastAsia="ru-RU"/>
        </w:rPr>
      </w:pPr>
    </w:p>
    <w:p w14:paraId="0D75FD69" w14:textId="77777777" w:rsidR="00E018C3" w:rsidRPr="00BD5A90" w:rsidRDefault="00E018C3" w:rsidP="00D03A4F">
      <w:pPr>
        <w:spacing w:after="0" w:line="240" w:lineRule="auto"/>
        <w:rPr>
          <w:rFonts w:ascii="Times New Roman" w:eastAsia="Times New Roman" w:hAnsi="Times New Roman" w:cs="Times New Roman"/>
          <w:sz w:val="26"/>
          <w:szCs w:val="26"/>
          <w:highlight w:val="yellow"/>
          <w:lang w:eastAsia="ru-RU"/>
        </w:rPr>
      </w:pPr>
    </w:p>
    <w:p w14:paraId="028754E1" w14:textId="77777777" w:rsidR="00D03A4F" w:rsidRPr="00853476" w:rsidRDefault="00D03A4F" w:rsidP="00D03A4F">
      <w:pPr>
        <w:spacing w:after="0" w:line="240" w:lineRule="auto"/>
        <w:jc w:val="right"/>
        <w:rPr>
          <w:rFonts w:ascii="Times New Roman" w:eastAsia="Times New Roman" w:hAnsi="Times New Roman" w:cs="Times New Roman"/>
          <w:sz w:val="26"/>
          <w:szCs w:val="26"/>
          <w:lang w:eastAsia="ru-RU"/>
        </w:rPr>
      </w:pPr>
      <w:r w:rsidRPr="00853476">
        <w:rPr>
          <w:rFonts w:ascii="Times New Roman" w:eastAsia="Times New Roman" w:hAnsi="Times New Roman" w:cs="Times New Roman"/>
          <w:sz w:val="26"/>
          <w:szCs w:val="26"/>
          <w:lang w:eastAsia="ru-RU"/>
        </w:rPr>
        <w:t>Таблица 26</w:t>
      </w:r>
    </w:p>
    <w:p w14:paraId="1CCFE3E7" w14:textId="77777777" w:rsidR="00D03A4F" w:rsidRPr="00853476" w:rsidRDefault="00D03A4F" w:rsidP="00D03A4F">
      <w:pPr>
        <w:spacing w:after="0" w:line="240" w:lineRule="auto"/>
        <w:jc w:val="right"/>
        <w:rPr>
          <w:rFonts w:ascii="Times New Roman" w:eastAsia="Times New Roman" w:hAnsi="Times New Roman" w:cs="Times New Roman"/>
          <w:sz w:val="26"/>
          <w:szCs w:val="26"/>
          <w:lang w:eastAsia="ru-RU"/>
        </w:rPr>
      </w:pPr>
    </w:p>
    <w:p w14:paraId="6E66D62E" w14:textId="77777777" w:rsidR="00D03A4F" w:rsidRPr="00853476" w:rsidRDefault="00D03A4F" w:rsidP="00D03A4F">
      <w:pPr>
        <w:tabs>
          <w:tab w:val="center" w:pos="6634"/>
        </w:tabs>
        <w:spacing w:after="0" w:line="240" w:lineRule="auto"/>
        <w:jc w:val="center"/>
        <w:rPr>
          <w:rFonts w:ascii="Times New Roman" w:eastAsia="Times New Roman" w:hAnsi="Times New Roman" w:cs="Times New Roman"/>
          <w:b/>
          <w:sz w:val="26"/>
          <w:szCs w:val="26"/>
          <w:lang w:eastAsia="ru-RU"/>
        </w:rPr>
      </w:pPr>
      <w:r w:rsidRPr="00853476">
        <w:rPr>
          <w:rFonts w:ascii="Times New Roman" w:eastAsia="Times New Roman" w:hAnsi="Times New Roman" w:cs="Times New Roman"/>
          <w:b/>
          <w:sz w:val="26"/>
          <w:szCs w:val="26"/>
          <w:lang w:eastAsia="ru-RU"/>
        </w:rPr>
        <w:t>Распределение численности обучающихся по направлениям дополнительных общеобразовательных программ для детей</w:t>
      </w:r>
    </w:p>
    <w:p w14:paraId="7A339B91" w14:textId="77777777" w:rsidR="00D03A4F" w:rsidRPr="00853476"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w:t>
      </w:r>
      <w:r w:rsidR="0024761D">
        <w:rPr>
          <w:rFonts w:ascii="Times New Roman" w:eastAsia="Times New Roman" w:hAnsi="Times New Roman" w:cs="Times New Roman"/>
          <w:sz w:val="24"/>
          <w:szCs w:val="24"/>
          <w:lang w:eastAsia="ru-RU"/>
        </w:rPr>
        <w:t xml:space="preserve">по данным Росстата; </w:t>
      </w:r>
      <w:r w:rsidRPr="00853476">
        <w:rPr>
          <w:rFonts w:ascii="Times New Roman" w:eastAsia="Times New Roman" w:hAnsi="Times New Roman" w:cs="Times New Roman"/>
          <w:sz w:val="24"/>
          <w:szCs w:val="24"/>
          <w:lang w:eastAsia="ru-RU"/>
        </w:rPr>
        <w:t>без учета субъектов малого предпринимательства)</w:t>
      </w:r>
    </w:p>
    <w:p w14:paraId="28E4096E" w14:textId="77777777" w:rsidR="00D03A4F" w:rsidRPr="00853476"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7"/>
        <w:gridCol w:w="2126"/>
        <w:gridCol w:w="2126"/>
      </w:tblGrid>
      <w:tr w:rsidR="00D03A4F" w:rsidRPr="00853476" w14:paraId="62A12A73" w14:textId="77777777" w:rsidTr="00944CB1">
        <w:trPr>
          <w:tblHeader/>
        </w:trPr>
        <w:tc>
          <w:tcPr>
            <w:tcW w:w="4077" w:type="dxa"/>
            <w:vMerge w:val="restart"/>
          </w:tcPr>
          <w:p w14:paraId="4F4A8F43" w14:textId="77777777" w:rsidR="00D03A4F" w:rsidRPr="00853476"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7" w:type="dxa"/>
            <w:vMerge w:val="restart"/>
          </w:tcPr>
          <w:p w14:paraId="7A66D00F" w14:textId="77777777" w:rsidR="00D03A4F" w:rsidRPr="00853476"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Численность обучающихся – всего, тыс. человек</w:t>
            </w:r>
          </w:p>
        </w:tc>
        <w:tc>
          <w:tcPr>
            <w:tcW w:w="4252" w:type="dxa"/>
            <w:gridSpan w:val="2"/>
          </w:tcPr>
          <w:p w14:paraId="5548BDAB" w14:textId="77777777" w:rsidR="00D03A4F" w:rsidRPr="00853476"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из них:</w:t>
            </w:r>
          </w:p>
        </w:tc>
      </w:tr>
      <w:tr w:rsidR="00D03A4F" w:rsidRPr="00295F0B" w14:paraId="035C1D65" w14:textId="77777777" w:rsidTr="00944CB1">
        <w:trPr>
          <w:tblHeader/>
        </w:trPr>
        <w:tc>
          <w:tcPr>
            <w:tcW w:w="4077" w:type="dxa"/>
            <w:vMerge/>
          </w:tcPr>
          <w:p w14:paraId="5BE67C1B" w14:textId="77777777" w:rsidR="00D03A4F" w:rsidRPr="00853476"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7" w:type="dxa"/>
            <w:vMerge/>
          </w:tcPr>
          <w:p w14:paraId="3433FB17" w14:textId="77777777" w:rsidR="00D03A4F" w:rsidRPr="00853476"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6" w:type="dxa"/>
          </w:tcPr>
          <w:p w14:paraId="49346EAE" w14:textId="77777777" w:rsidR="00D03A4F" w:rsidRPr="00853476"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дети с ограниченными возможностями здоровья</w:t>
            </w:r>
          </w:p>
        </w:tc>
        <w:tc>
          <w:tcPr>
            <w:tcW w:w="2126" w:type="dxa"/>
          </w:tcPr>
          <w:p w14:paraId="7B86F46E" w14:textId="1AA61EE3" w:rsidR="00D03A4F" w:rsidRPr="00853476" w:rsidRDefault="00D03A4F" w:rsidP="00D03A4F">
            <w:pPr>
              <w:tabs>
                <w:tab w:val="center" w:pos="6634"/>
              </w:tabs>
              <w:spacing w:after="0" w:line="240" w:lineRule="auto"/>
              <w:jc w:val="center"/>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дети</w:t>
            </w:r>
            <w:r w:rsidR="003B77D7" w:rsidRPr="00295F0B">
              <w:rPr>
                <w:rFonts w:ascii="Times New Roman" w:eastAsia="Times New Roman" w:hAnsi="Times New Roman" w:cs="Times New Roman"/>
                <w:sz w:val="24"/>
                <w:szCs w:val="24"/>
                <w:lang w:eastAsia="ru-RU"/>
              </w:rPr>
              <w:t xml:space="preserve"> с инвалидностью</w:t>
            </w:r>
          </w:p>
        </w:tc>
      </w:tr>
      <w:tr w:rsidR="00400CC9" w:rsidRPr="00853476" w14:paraId="5E1741A3" w14:textId="77777777" w:rsidTr="009965F2">
        <w:trPr>
          <w:trHeight w:val="411"/>
        </w:trPr>
        <w:tc>
          <w:tcPr>
            <w:tcW w:w="10456" w:type="dxa"/>
            <w:gridSpan w:val="4"/>
            <w:vAlign w:val="center"/>
          </w:tcPr>
          <w:p w14:paraId="7FE061DC" w14:textId="77777777" w:rsidR="00400CC9" w:rsidRPr="00853476" w:rsidRDefault="00400CC9" w:rsidP="00D03A4F">
            <w:pPr>
              <w:tabs>
                <w:tab w:val="center" w:pos="6634"/>
              </w:tabs>
              <w:spacing w:after="0" w:line="240" w:lineRule="auto"/>
              <w:jc w:val="center"/>
              <w:rPr>
                <w:rFonts w:ascii="Times New Roman" w:eastAsia="Times New Roman" w:hAnsi="Times New Roman" w:cs="Times New Roman"/>
                <w:b/>
                <w:sz w:val="24"/>
                <w:szCs w:val="24"/>
                <w:lang w:eastAsia="ru-RU"/>
              </w:rPr>
            </w:pPr>
            <w:r w:rsidRPr="00853476">
              <w:rPr>
                <w:rFonts w:ascii="Times New Roman" w:eastAsia="Times New Roman" w:hAnsi="Times New Roman" w:cs="Times New Roman"/>
                <w:b/>
                <w:sz w:val="24"/>
                <w:szCs w:val="24"/>
                <w:lang w:eastAsia="ru-RU"/>
              </w:rPr>
              <w:t>2020 г.</w:t>
            </w:r>
          </w:p>
        </w:tc>
      </w:tr>
      <w:tr w:rsidR="00400CC9" w:rsidRPr="00853476" w14:paraId="0792F7BF" w14:textId="77777777" w:rsidTr="00944CB1">
        <w:tc>
          <w:tcPr>
            <w:tcW w:w="4077" w:type="dxa"/>
          </w:tcPr>
          <w:p w14:paraId="3D3DE8DA" w14:textId="77777777"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Численность обучающихся по направлениям дополнительных общеобразовательных программ:</w:t>
            </w:r>
          </w:p>
        </w:tc>
        <w:tc>
          <w:tcPr>
            <w:tcW w:w="2127" w:type="dxa"/>
          </w:tcPr>
          <w:p w14:paraId="0B1AB67C" w14:textId="77777777" w:rsidR="00400CC9" w:rsidRPr="00853476" w:rsidRDefault="00400CC9" w:rsidP="00D03A4F">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6" w:type="dxa"/>
          </w:tcPr>
          <w:p w14:paraId="1AD76ADF" w14:textId="77777777" w:rsidR="00400CC9" w:rsidRPr="00853476" w:rsidRDefault="00400CC9" w:rsidP="00D03A4F">
            <w:pPr>
              <w:tabs>
                <w:tab w:val="center" w:pos="6634"/>
              </w:tabs>
              <w:spacing w:after="0" w:line="240" w:lineRule="auto"/>
              <w:jc w:val="center"/>
              <w:rPr>
                <w:rFonts w:ascii="Times New Roman" w:eastAsia="Times New Roman" w:hAnsi="Times New Roman" w:cs="Times New Roman"/>
                <w:sz w:val="24"/>
                <w:szCs w:val="24"/>
                <w:lang w:eastAsia="ru-RU"/>
              </w:rPr>
            </w:pPr>
          </w:p>
        </w:tc>
        <w:tc>
          <w:tcPr>
            <w:tcW w:w="2126" w:type="dxa"/>
          </w:tcPr>
          <w:p w14:paraId="552BACDA" w14:textId="77777777" w:rsidR="00400CC9" w:rsidRPr="00853476" w:rsidRDefault="00400CC9" w:rsidP="00D03A4F">
            <w:pPr>
              <w:tabs>
                <w:tab w:val="center" w:pos="6634"/>
              </w:tabs>
              <w:spacing w:after="0" w:line="240" w:lineRule="auto"/>
              <w:jc w:val="center"/>
              <w:rPr>
                <w:rFonts w:ascii="Times New Roman" w:eastAsia="Times New Roman" w:hAnsi="Times New Roman" w:cs="Times New Roman"/>
                <w:sz w:val="24"/>
                <w:szCs w:val="24"/>
                <w:lang w:eastAsia="ru-RU"/>
              </w:rPr>
            </w:pPr>
          </w:p>
        </w:tc>
      </w:tr>
      <w:tr w:rsidR="00400CC9" w:rsidRPr="00853476" w14:paraId="40CC1DF1" w14:textId="77777777" w:rsidTr="00400CC9">
        <w:tc>
          <w:tcPr>
            <w:tcW w:w="4077" w:type="dxa"/>
          </w:tcPr>
          <w:p w14:paraId="2C3717FB" w14:textId="77777777"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техническое</w:t>
            </w:r>
          </w:p>
        </w:tc>
        <w:tc>
          <w:tcPr>
            <w:tcW w:w="2127" w:type="dxa"/>
            <w:tcBorders>
              <w:top w:val="nil"/>
              <w:left w:val="single" w:sz="4" w:space="0" w:color="auto"/>
              <w:bottom w:val="single" w:sz="4" w:space="0" w:color="auto"/>
              <w:right w:val="single" w:sz="4" w:space="0" w:color="auto"/>
            </w:tcBorders>
            <w:shd w:val="clear" w:color="auto" w:fill="auto"/>
            <w:vAlign w:val="center"/>
          </w:tcPr>
          <w:p w14:paraId="589FB77F" w14:textId="77777777" w:rsidR="00400CC9" w:rsidRPr="00853476" w:rsidRDefault="00400CC9" w:rsidP="00400CC9">
            <w:pPr>
              <w:tabs>
                <w:tab w:val="center" w:pos="6634"/>
              </w:tabs>
              <w:spacing w:after="0" w:line="240" w:lineRule="auto"/>
              <w:ind w:right="113"/>
              <w:jc w:val="center"/>
              <w:rPr>
                <w:rFonts w:ascii="Times New Roman" w:hAnsi="Times New Roman"/>
                <w:sz w:val="24"/>
                <w:szCs w:val="24"/>
              </w:rPr>
            </w:pPr>
            <w:r w:rsidRPr="00853476">
              <w:rPr>
                <w:rFonts w:ascii="Times New Roman" w:hAnsi="Times New Roman"/>
                <w:sz w:val="24"/>
                <w:szCs w:val="24"/>
              </w:rPr>
              <w:t>2 823,4</w:t>
            </w:r>
          </w:p>
        </w:tc>
        <w:tc>
          <w:tcPr>
            <w:tcW w:w="2126" w:type="dxa"/>
            <w:tcBorders>
              <w:top w:val="nil"/>
              <w:left w:val="single" w:sz="4" w:space="0" w:color="auto"/>
              <w:bottom w:val="single" w:sz="4" w:space="0" w:color="auto"/>
              <w:right w:val="single" w:sz="4" w:space="0" w:color="auto"/>
            </w:tcBorders>
            <w:shd w:val="clear" w:color="auto" w:fill="auto"/>
            <w:vAlign w:val="center"/>
          </w:tcPr>
          <w:p w14:paraId="024F6FA3" w14:textId="77777777" w:rsidR="00400CC9" w:rsidRPr="00853476" w:rsidRDefault="00400CC9" w:rsidP="00400CC9">
            <w:pPr>
              <w:tabs>
                <w:tab w:val="center" w:pos="6634"/>
              </w:tabs>
              <w:spacing w:after="0" w:line="240" w:lineRule="auto"/>
              <w:ind w:right="113"/>
              <w:jc w:val="center"/>
              <w:rPr>
                <w:rFonts w:ascii="Times New Roman" w:hAnsi="Times New Roman"/>
                <w:sz w:val="24"/>
                <w:szCs w:val="24"/>
              </w:rPr>
            </w:pPr>
            <w:r w:rsidRPr="00853476">
              <w:rPr>
                <w:rFonts w:ascii="Times New Roman" w:hAnsi="Times New Roman"/>
                <w:sz w:val="24"/>
                <w:szCs w:val="24"/>
              </w:rPr>
              <w:t>87,1</w:t>
            </w:r>
          </w:p>
        </w:tc>
        <w:tc>
          <w:tcPr>
            <w:tcW w:w="2126" w:type="dxa"/>
            <w:tcBorders>
              <w:top w:val="nil"/>
              <w:left w:val="single" w:sz="4" w:space="0" w:color="auto"/>
              <w:bottom w:val="single" w:sz="4" w:space="0" w:color="auto"/>
              <w:right w:val="single" w:sz="4" w:space="0" w:color="auto"/>
            </w:tcBorders>
            <w:shd w:val="clear" w:color="auto" w:fill="auto"/>
            <w:vAlign w:val="center"/>
          </w:tcPr>
          <w:p w14:paraId="3C7A744A" w14:textId="77777777" w:rsidR="00400CC9" w:rsidRPr="00853476" w:rsidRDefault="00400CC9" w:rsidP="00400CC9">
            <w:pPr>
              <w:tabs>
                <w:tab w:val="center" w:pos="6634"/>
              </w:tabs>
              <w:spacing w:after="0" w:line="240" w:lineRule="auto"/>
              <w:ind w:right="113"/>
              <w:jc w:val="center"/>
              <w:rPr>
                <w:rFonts w:ascii="Times New Roman" w:hAnsi="Times New Roman"/>
                <w:sz w:val="24"/>
                <w:szCs w:val="24"/>
              </w:rPr>
            </w:pPr>
            <w:r w:rsidRPr="00853476">
              <w:rPr>
                <w:rFonts w:ascii="Times New Roman" w:hAnsi="Times New Roman"/>
                <w:sz w:val="24"/>
                <w:szCs w:val="24"/>
              </w:rPr>
              <w:t>25,7</w:t>
            </w:r>
          </w:p>
        </w:tc>
      </w:tr>
      <w:tr w:rsidR="00400CC9" w:rsidRPr="00853476" w14:paraId="728EB5CE" w14:textId="77777777" w:rsidTr="00400CC9">
        <w:tc>
          <w:tcPr>
            <w:tcW w:w="4077" w:type="dxa"/>
          </w:tcPr>
          <w:p w14:paraId="71A575F9" w14:textId="1B13BA5D" w:rsidR="00400CC9" w:rsidRPr="00853476" w:rsidRDefault="00A11BFE" w:rsidP="00D03A4F">
            <w:pPr>
              <w:tabs>
                <w:tab w:val="center" w:pos="663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400CC9" w:rsidRPr="00853476">
              <w:rPr>
                <w:rFonts w:ascii="Times New Roman" w:eastAsia="Times New Roman" w:hAnsi="Times New Roman" w:cs="Times New Roman"/>
                <w:sz w:val="24"/>
                <w:szCs w:val="24"/>
                <w:lang w:eastAsia="ru-RU"/>
              </w:rPr>
              <w:t>стественно</w:t>
            </w:r>
            <w:r w:rsidR="00591409">
              <w:rPr>
                <w:rFonts w:ascii="Times New Roman" w:eastAsia="Times New Roman" w:hAnsi="Times New Roman" w:cs="Times New Roman"/>
                <w:sz w:val="24"/>
                <w:szCs w:val="24"/>
                <w:lang w:eastAsia="ru-RU"/>
              </w:rPr>
              <w:t>-</w:t>
            </w:r>
            <w:r w:rsidR="00400CC9" w:rsidRPr="00853476">
              <w:rPr>
                <w:rFonts w:ascii="Times New Roman" w:eastAsia="Times New Roman" w:hAnsi="Times New Roman" w:cs="Times New Roman"/>
                <w:sz w:val="24"/>
                <w:szCs w:val="24"/>
                <w:lang w:eastAsia="ru-RU"/>
              </w:rPr>
              <w:t>научное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3ABBFF9" w14:textId="77777777"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2 917,9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EF0B0AA" w14:textId="77777777"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71,2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2B63151" w14:textId="77777777"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22,9</w:t>
            </w:r>
          </w:p>
        </w:tc>
      </w:tr>
      <w:tr w:rsidR="00400CC9" w:rsidRPr="00853476" w14:paraId="548E1CB4" w14:textId="77777777" w:rsidTr="00400CC9">
        <w:tc>
          <w:tcPr>
            <w:tcW w:w="4077" w:type="dxa"/>
          </w:tcPr>
          <w:p w14:paraId="67E1A7AE" w14:textId="77777777"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туристско-краеведческое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6EAA430" w14:textId="77777777"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1 044,9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2A9A773" w14:textId="77777777"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24,1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1898A5E" w14:textId="77777777"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7,1</w:t>
            </w:r>
          </w:p>
        </w:tc>
      </w:tr>
      <w:tr w:rsidR="00400CC9" w:rsidRPr="00853476" w14:paraId="43567805" w14:textId="77777777" w:rsidTr="00400CC9">
        <w:tc>
          <w:tcPr>
            <w:tcW w:w="4077" w:type="dxa"/>
          </w:tcPr>
          <w:p w14:paraId="6AF00D17" w14:textId="77777777"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социально-педагогическое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633142F" w14:textId="77777777"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6 189,6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09A070C" w14:textId="77777777"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272,8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00D2522" w14:textId="77777777"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100,4</w:t>
            </w:r>
          </w:p>
        </w:tc>
      </w:tr>
      <w:tr w:rsidR="00400CC9" w:rsidRPr="00853476" w14:paraId="272944BB" w14:textId="77777777" w:rsidTr="00400CC9">
        <w:tc>
          <w:tcPr>
            <w:tcW w:w="4077" w:type="dxa"/>
          </w:tcPr>
          <w:p w14:paraId="67473C98" w14:textId="77777777"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в области искусств:</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2EC78D3" w14:textId="77777777" w:rsidR="00400CC9" w:rsidRPr="00853476" w:rsidRDefault="00400CC9" w:rsidP="00400CC9">
            <w:pPr>
              <w:spacing w:after="0" w:line="240" w:lineRule="auto"/>
              <w:ind w:right="113"/>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4E3F5D1" w14:textId="77777777" w:rsidR="00400CC9" w:rsidRPr="00853476" w:rsidRDefault="00400CC9" w:rsidP="00400CC9">
            <w:pPr>
              <w:spacing w:after="0" w:line="240" w:lineRule="auto"/>
              <w:ind w:right="113"/>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85A317D" w14:textId="77777777" w:rsidR="00400CC9" w:rsidRPr="00853476" w:rsidRDefault="00400CC9" w:rsidP="00400CC9">
            <w:pPr>
              <w:spacing w:after="0" w:line="240" w:lineRule="auto"/>
              <w:ind w:right="113"/>
              <w:jc w:val="center"/>
              <w:rPr>
                <w:rFonts w:ascii="Times New Roman" w:hAnsi="Times New Roman"/>
                <w:sz w:val="24"/>
                <w:szCs w:val="24"/>
              </w:rPr>
            </w:pPr>
          </w:p>
        </w:tc>
      </w:tr>
      <w:tr w:rsidR="00400CC9" w:rsidRPr="00853476" w14:paraId="0B393AE2" w14:textId="77777777" w:rsidTr="00400CC9">
        <w:tc>
          <w:tcPr>
            <w:tcW w:w="4077" w:type="dxa"/>
          </w:tcPr>
          <w:p w14:paraId="753E75E0" w14:textId="77777777" w:rsidR="00400CC9" w:rsidRPr="00853476" w:rsidRDefault="00400CC9"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по общеразвивающим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83CF833" w14:textId="77777777"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6 699,5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60AB709" w14:textId="77777777"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223,4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41CAD82" w14:textId="77777777"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72,8</w:t>
            </w:r>
          </w:p>
        </w:tc>
      </w:tr>
      <w:tr w:rsidR="00400CC9" w:rsidRPr="00853476" w14:paraId="493E767B" w14:textId="77777777" w:rsidTr="00400CC9">
        <w:tc>
          <w:tcPr>
            <w:tcW w:w="4077" w:type="dxa"/>
          </w:tcPr>
          <w:p w14:paraId="2D949DE2" w14:textId="77777777" w:rsidR="00400CC9" w:rsidRPr="00853476" w:rsidRDefault="00400CC9"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по предпрофессиональным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979C044" w14:textId="77777777"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926,9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ED1D064" w14:textId="77777777"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3,6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2343E15" w14:textId="77777777"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3,9</w:t>
            </w:r>
          </w:p>
        </w:tc>
      </w:tr>
      <w:tr w:rsidR="00400CC9" w:rsidRPr="00853476" w14:paraId="2433C9B4" w14:textId="77777777" w:rsidTr="00400CC9">
        <w:tc>
          <w:tcPr>
            <w:tcW w:w="4077" w:type="dxa"/>
          </w:tcPr>
          <w:p w14:paraId="7C543821" w14:textId="77777777" w:rsidR="00400CC9" w:rsidRPr="00853476" w:rsidRDefault="00400CC9" w:rsidP="00D03A4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в области физической культуры и спорта: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5FA35F6" w14:textId="77777777" w:rsidR="00400CC9" w:rsidRPr="00853476" w:rsidRDefault="00400CC9" w:rsidP="00400CC9">
            <w:pPr>
              <w:tabs>
                <w:tab w:val="center" w:pos="6634"/>
              </w:tabs>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AF4EE78" w14:textId="77777777" w:rsidR="00400CC9" w:rsidRPr="00853476" w:rsidRDefault="00400CC9" w:rsidP="00400CC9">
            <w:pPr>
              <w:tabs>
                <w:tab w:val="center" w:pos="6634"/>
              </w:tabs>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16D2BBE" w14:textId="77777777" w:rsidR="00400CC9" w:rsidRPr="00853476" w:rsidRDefault="00400CC9" w:rsidP="00400CC9">
            <w:pPr>
              <w:tabs>
                <w:tab w:val="center" w:pos="6634"/>
              </w:tabs>
              <w:spacing w:after="0" w:line="240" w:lineRule="auto"/>
              <w:jc w:val="center"/>
              <w:rPr>
                <w:rFonts w:ascii="Times New Roman" w:hAnsi="Times New Roman"/>
                <w:sz w:val="24"/>
                <w:szCs w:val="24"/>
              </w:rPr>
            </w:pPr>
          </w:p>
        </w:tc>
      </w:tr>
      <w:tr w:rsidR="00400CC9" w:rsidRPr="00853476" w14:paraId="60745E96" w14:textId="77777777" w:rsidTr="00400CC9">
        <w:tc>
          <w:tcPr>
            <w:tcW w:w="4077" w:type="dxa"/>
          </w:tcPr>
          <w:p w14:paraId="71CDC246" w14:textId="77777777" w:rsidR="00400CC9" w:rsidRPr="00853476" w:rsidRDefault="00400CC9"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по общеразвивающим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DA2E6FF" w14:textId="77777777"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4 748,5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D84B04E" w14:textId="77777777"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153,6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66CA14A" w14:textId="77777777"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39,9</w:t>
            </w:r>
          </w:p>
        </w:tc>
      </w:tr>
      <w:tr w:rsidR="00400CC9" w:rsidRPr="00BD5A90" w14:paraId="040FE3F0" w14:textId="77777777" w:rsidTr="00400CC9">
        <w:tc>
          <w:tcPr>
            <w:tcW w:w="4077" w:type="dxa"/>
          </w:tcPr>
          <w:p w14:paraId="6B5D7E00" w14:textId="77777777" w:rsidR="00400CC9" w:rsidRPr="00853476" w:rsidRDefault="00400CC9" w:rsidP="00D03A4F">
            <w:pPr>
              <w:tabs>
                <w:tab w:val="center" w:pos="6634"/>
              </w:tabs>
              <w:spacing w:after="0" w:line="240" w:lineRule="auto"/>
              <w:ind w:left="170"/>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по предпрофессиональным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CB7BA36" w14:textId="77777777"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618,2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F6F9F55" w14:textId="77777777" w:rsidR="00400CC9" w:rsidRPr="00853476"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2,4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8404124" w14:textId="77777777" w:rsidR="00400CC9" w:rsidRPr="00400CC9" w:rsidRDefault="00400CC9" w:rsidP="00400CC9">
            <w:pPr>
              <w:spacing w:after="0" w:line="240" w:lineRule="auto"/>
              <w:ind w:right="113"/>
              <w:jc w:val="center"/>
              <w:rPr>
                <w:rFonts w:ascii="Times New Roman" w:hAnsi="Times New Roman"/>
                <w:sz w:val="24"/>
                <w:szCs w:val="24"/>
              </w:rPr>
            </w:pPr>
            <w:r w:rsidRPr="00853476">
              <w:rPr>
                <w:rFonts w:ascii="Times New Roman" w:hAnsi="Times New Roman"/>
                <w:sz w:val="24"/>
                <w:szCs w:val="24"/>
              </w:rPr>
              <w:t>1,1</w:t>
            </w:r>
          </w:p>
        </w:tc>
      </w:tr>
      <w:tr w:rsidR="001A472B" w:rsidRPr="00BD5A90" w14:paraId="7E67F9AF" w14:textId="77777777" w:rsidTr="000E4DBF">
        <w:trPr>
          <w:trHeight w:val="435"/>
        </w:trPr>
        <w:tc>
          <w:tcPr>
            <w:tcW w:w="10456" w:type="dxa"/>
            <w:gridSpan w:val="4"/>
            <w:tcBorders>
              <w:right w:val="single" w:sz="4" w:space="0" w:color="auto"/>
            </w:tcBorders>
            <w:vAlign w:val="center"/>
          </w:tcPr>
          <w:p w14:paraId="70A82A34" w14:textId="77777777" w:rsidR="001A472B" w:rsidRPr="001A472B" w:rsidRDefault="001A472B" w:rsidP="000E4DBF">
            <w:pPr>
              <w:spacing w:after="0" w:line="240" w:lineRule="auto"/>
              <w:ind w:right="113"/>
              <w:jc w:val="center"/>
              <w:rPr>
                <w:rFonts w:ascii="Times New Roman" w:hAnsi="Times New Roman"/>
                <w:b/>
                <w:sz w:val="24"/>
                <w:szCs w:val="24"/>
              </w:rPr>
            </w:pPr>
            <w:r w:rsidRPr="001A472B">
              <w:rPr>
                <w:rFonts w:ascii="Times New Roman" w:hAnsi="Times New Roman"/>
                <w:b/>
                <w:sz w:val="24"/>
                <w:szCs w:val="24"/>
              </w:rPr>
              <w:t>2021 г.</w:t>
            </w:r>
          </w:p>
        </w:tc>
      </w:tr>
      <w:tr w:rsidR="001A472B" w:rsidRPr="00BD5A90" w14:paraId="7DBABD8C" w14:textId="77777777" w:rsidTr="00400CC9">
        <w:tc>
          <w:tcPr>
            <w:tcW w:w="4077" w:type="dxa"/>
          </w:tcPr>
          <w:p w14:paraId="75E2A4E2" w14:textId="77777777" w:rsidR="001A472B" w:rsidRPr="00853476" w:rsidRDefault="001A472B" w:rsidP="0048250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Численность обучающихся по направлениям дополнительных общеобразовательных программ: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2DC6B1D" w14:textId="77777777" w:rsidR="001A472B" w:rsidRPr="00853476" w:rsidRDefault="001A472B" w:rsidP="00400CC9">
            <w:pPr>
              <w:spacing w:after="0" w:line="240" w:lineRule="auto"/>
              <w:ind w:right="113"/>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D05F880" w14:textId="77777777" w:rsidR="001A472B" w:rsidRPr="00853476" w:rsidRDefault="001A472B" w:rsidP="00400CC9">
            <w:pPr>
              <w:spacing w:after="0" w:line="240" w:lineRule="auto"/>
              <w:ind w:right="113"/>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91B0C7B" w14:textId="77777777" w:rsidR="001A472B" w:rsidRPr="00853476" w:rsidRDefault="001A472B" w:rsidP="00400CC9">
            <w:pPr>
              <w:spacing w:after="0" w:line="240" w:lineRule="auto"/>
              <w:ind w:right="113"/>
              <w:jc w:val="center"/>
              <w:rPr>
                <w:rFonts w:ascii="Times New Roman" w:hAnsi="Times New Roman"/>
                <w:sz w:val="24"/>
                <w:szCs w:val="24"/>
              </w:rPr>
            </w:pPr>
          </w:p>
        </w:tc>
      </w:tr>
      <w:tr w:rsidR="001A472B" w:rsidRPr="00BD5A90" w14:paraId="2483D839" w14:textId="77777777" w:rsidTr="00400CC9">
        <w:tc>
          <w:tcPr>
            <w:tcW w:w="4077" w:type="dxa"/>
          </w:tcPr>
          <w:p w14:paraId="00068F29" w14:textId="77777777" w:rsidR="001A472B" w:rsidRPr="00853476" w:rsidRDefault="001A472B" w:rsidP="0048250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техническое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6AECF92" w14:textId="77777777" w:rsidR="001A472B" w:rsidRPr="00853476" w:rsidRDefault="001A472B" w:rsidP="00400CC9">
            <w:pPr>
              <w:spacing w:after="0" w:line="240" w:lineRule="auto"/>
              <w:ind w:right="113"/>
              <w:jc w:val="center"/>
              <w:rPr>
                <w:rFonts w:ascii="Times New Roman" w:hAnsi="Times New Roman"/>
                <w:sz w:val="24"/>
                <w:szCs w:val="24"/>
              </w:rPr>
            </w:pPr>
            <w:r>
              <w:rPr>
                <w:rFonts w:ascii="Times New Roman" w:hAnsi="Times New Roman"/>
                <w:sz w:val="24"/>
                <w:szCs w:val="24"/>
              </w:rPr>
              <w:t>3 217,5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B5DC5F1" w14:textId="77777777" w:rsidR="001A472B" w:rsidRPr="00853476" w:rsidRDefault="001A472B" w:rsidP="00400CC9">
            <w:pPr>
              <w:spacing w:after="0" w:line="240" w:lineRule="auto"/>
              <w:ind w:right="113"/>
              <w:jc w:val="center"/>
              <w:rPr>
                <w:rFonts w:ascii="Times New Roman" w:hAnsi="Times New Roman"/>
                <w:sz w:val="24"/>
                <w:szCs w:val="24"/>
              </w:rPr>
            </w:pPr>
            <w:r>
              <w:rPr>
                <w:rFonts w:ascii="Times New Roman" w:hAnsi="Times New Roman"/>
                <w:sz w:val="24"/>
                <w:szCs w:val="24"/>
              </w:rPr>
              <w:t>93,6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77F94FF" w14:textId="77777777" w:rsidR="001A472B" w:rsidRPr="00853476" w:rsidRDefault="001A472B" w:rsidP="00400CC9">
            <w:pPr>
              <w:spacing w:after="0" w:line="240" w:lineRule="auto"/>
              <w:ind w:right="113"/>
              <w:jc w:val="center"/>
              <w:rPr>
                <w:rFonts w:ascii="Times New Roman" w:hAnsi="Times New Roman"/>
                <w:sz w:val="24"/>
                <w:szCs w:val="24"/>
              </w:rPr>
            </w:pPr>
            <w:r>
              <w:rPr>
                <w:rFonts w:ascii="Times New Roman" w:hAnsi="Times New Roman"/>
                <w:sz w:val="24"/>
                <w:szCs w:val="24"/>
              </w:rPr>
              <w:t>28,6</w:t>
            </w:r>
          </w:p>
        </w:tc>
      </w:tr>
      <w:tr w:rsidR="001A472B" w:rsidRPr="00BD5A90" w14:paraId="729CBD29" w14:textId="77777777" w:rsidTr="00400CC9">
        <w:tc>
          <w:tcPr>
            <w:tcW w:w="4077" w:type="dxa"/>
          </w:tcPr>
          <w:p w14:paraId="710AD786" w14:textId="020CCE46" w:rsidR="001A472B" w:rsidRPr="00853476" w:rsidRDefault="00A11BFE" w:rsidP="0048250F">
            <w:pPr>
              <w:tabs>
                <w:tab w:val="center" w:pos="663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1A472B" w:rsidRPr="00853476">
              <w:rPr>
                <w:rFonts w:ascii="Times New Roman" w:eastAsia="Times New Roman" w:hAnsi="Times New Roman" w:cs="Times New Roman"/>
                <w:sz w:val="24"/>
                <w:szCs w:val="24"/>
                <w:lang w:eastAsia="ru-RU"/>
              </w:rPr>
              <w:t>стественно</w:t>
            </w:r>
            <w:r w:rsidR="00591409">
              <w:rPr>
                <w:rFonts w:ascii="Times New Roman" w:eastAsia="Times New Roman" w:hAnsi="Times New Roman" w:cs="Times New Roman"/>
                <w:sz w:val="24"/>
                <w:szCs w:val="24"/>
                <w:lang w:eastAsia="ru-RU"/>
              </w:rPr>
              <w:t>-</w:t>
            </w:r>
            <w:r w:rsidR="001A472B" w:rsidRPr="00853476">
              <w:rPr>
                <w:rFonts w:ascii="Times New Roman" w:eastAsia="Times New Roman" w:hAnsi="Times New Roman" w:cs="Times New Roman"/>
                <w:sz w:val="24"/>
                <w:szCs w:val="24"/>
                <w:lang w:eastAsia="ru-RU"/>
              </w:rPr>
              <w:t>научное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7FB2132" w14:textId="77777777" w:rsidR="001A472B" w:rsidRPr="00853476" w:rsidRDefault="001A472B" w:rsidP="00400CC9">
            <w:pPr>
              <w:spacing w:after="0" w:line="240" w:lineRule="auto"/>
              <w:ind w:right="113"/>
              <w:jc w:val="center"/>
              <w:rPr>
                <w:rFonts w:ascii="Times New Roman" w:hAnsi="Times New Roman"/>
                <w:sz w:val="24"/>
                <w:szCs w:val="24"/>
              </w:rPr>
            </w:pPr>
            <w:r>
              <w:rPr>
                <w:rFonts w:ascii="Times New Roman" w:hAnsi="Times New Roman"/>
                <w:sz w:val="24"/>
                <w:szCs w:val="24"/>
              </w:rPr>
              <w:t>3 198,2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8355C33" w14:textId="77777777" w:rsidR="001A472B" w:rsidRPr="00853476" w:rsidRDefault="00391CEA" w:rsidP="00400CC9">
            <w:pPr>
              <w:spacing w:after="0" w:line="240" w:lineRule="auto"/>
              <w:ind w:right="113"/>
              <w:jc w:val="center"/>
              <w:rPr>
                <w:rFonts w:ascii="Times New Roman" w:hAnsi="Times New Roman"/>
                <w:sz w:val="24"/>
                <w:szCs w:val="24"/>
              </w:rPr>
            </w:pPr>
            <w:r>
              <w:rPr>
                <w:rFonts w:ascii="Times New Roman" w:hAnsi="Times New Roman"/>
                <w:sz w:val="24"/>
                <w:szCs w:val="24"/>
              </w:rPr>
              <w:t>80,1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21ECCA0" w14:textId="77777777" w:rsidR="001A472B" w:rsidRPr="00853476" w:rsidRDefault="00391CEA" w:rsidP="00400CC9">
            <w:pPr>
              <w:spacing w:after="0" w:line="240" w:lineRule="auto"/>
              <w:ind w:right="113"/>
              <w:jc w:val="center"/>
              <w:rPr>
                <w:rFonts w:ascii="Times New Roman" w:hAnsi="Times New Roman"/>
                <w:sz w:val="24"/>
                <w:szCs w:val="24"/>
              </w:rPr>
            </w:pPr>
            <w:r>
              <w:rPr>
                <w:rFonts w:ascii="Times New Roman" w:hAnsi="Times New Roman"/>
                <w:sz w:val="24"/>
                <w:szCs w:val="24"/>
              </w:rPr>
              <w:t>25,4</w:t>
            </w:r>
          </w:p>
        </w:tc>
      </w:tr>
      <w:tr w:rsidR="001A472B" w:rsidRPr="00BD5A90" w14:paraId="463224BA" w14:textId="77777777" w:rsidTr="00400CC9">
        <w:tc>
          <w:tcPr>
            <w:tcW w:w="4077" w:type="dxa"/>
          </w:tcPr>
          <w:p w14:paraId="0211C017" w14:textId="77777777" w:rsidR="001A472B" w:rsidRPr="00853476" w:rsidRDefault="001A472B" w:rsidP="0048250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туристско-краеведческое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E02F603" w14:textId="77777777" w:rsidR="001A472B" w:rsidRPr="00853476" w:rsidRDefault="001A472B" w:rsidP="00400CC9">
            <w:pPr>
              <w:spacing w:after="0" w:line="240" w:lineRule="auto"/>
              <w:ind w:right="113"/>
              <w:jc w:val="center"/>
              <w:rPr>
                <w:rFonts w:ascii="Times New Roman" w:hAnsi="Times New Roman"/>
                <w:sz w:val="24"/>
                <w:szCs w:val="24"/>
              </w:rPr>
            </w:pPr>
            <w:r>
              <w:rPr>
                <w:rFonts w:ascii="Times New Roman" w:hAnsi="Times New Roman"/>
                <w:sz w:val="24"/>
                <w:szCs w:val="24"/>
              </w:rPr>
              <w:t>1 063,4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A4D21E" w14:textId="77777777" w:rsidR="001A472B" w:rsidRPr="00853476" w:rsidRDefault="00391CEA" w:rsidP="00400CC9">
            <w:pPr>
              <w:spacing w:after="0" w:line="240" w:lineRule="auto"/>
              <w:ind w:right="113"/>
              <w:jc w:val="center"/>
              <w:rPr>
                <w:rFonts w:ascii="Times New Roman" w:hAnsi="Times New Roman"/>
                <w:sz w:val="24"/>
                <w:szCs w:val="24"/>
              </w:rPr>
            </w:pPr>
            <w:r>
              <w:rPr>
                <w:rFonts w:ascii="Times New Roman" w:hAnsi="Times New Roman"/>
                <w:sz w:val="24"/>
                <w:szCs w:val="24"/>
              </w:rPr>
              <w:t>25,4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81DB193" w14:textId="77777777" w:rsidR="001A472B" w:rsidRPr="00853476" w:rsidRDefault="00391CEA" w:rsidP="00400CC9">
            <w:pPr>
              <w:spacing w:after="0" w:line="240" w:lineRule="auto"/>
              <w:ind w:right="113"/>
              <w:jc w:val="center"/>
              <w:rPr>
                <w:rFonts w:ascii="Times New Roman" w:hAnsi="Times New Roman"/>
                <w:sz w:val="24"/>
                <w:szCs w:val="24"/>
              </w:rPr>
            </w:pPr>
            <w:r>
              <w:rPr>
                <w:rFonts w:ascii="Times New Roman" w:hAnsi="Times New Roman"/>
                <w:sz w:val="24"/>
                <w:szCs w:val="24"/>
              </w:rPr>
              <w:t>8,4</w:t>
            </w:r>
          </w:p>
        </w:tc>
      </w:tr>
      <w:tr w:rsidR="001A472B" w:rsidRPr="00BD5A90" w14:paraId="752F26BF" w14:textId="77777777" w:rsidTr="00400CC9">
        <w:tc>
          <w:tcPr>
            <w:tcW w:w="4077" w:type="dxa"/>
          </w:tcPr>
          <w:p w14:paraId="0CB7C2A0" w14:textId="77777777" w:rsidR="001A472B" w:rsidRPr="00853476" w:rsidRDefault="001A472B" w:rsidP="0048250F">
            <w:pPr>
              <w:tabs>
                <w:tab w:val="center" w:pos="6634"/>
              </w:tabs>
              <w:spacing w:after="0" w:line="240" w:lineRule="auto"/>
              <w:rPr>
                <w:rFonts w:ascii="Times New Roman" w:eastAsia="Times New Roman" w:hAnsi="Times New Roman" w:cs="Times New Roman"/>
                <w:sz w:val="24"/>
                <w:szCs w:val="24"/>
                <w:lang w:eastAsia="ru-RU"/>
              </w:rPr>
            </w:pPr>
            <w:r w:rsidRPr="00853476">
              <w:rPr>
                <w:rFonts w:ascii="Times New Roman" w:eastAsia="Times New Roman" w:hAnsi="Times New Roman" w:cs="Times New Roman"/>
                <w:sz w:val="24"/>
                <w:szCs w:val="24"/>
                <w:lang w:eastAsia="ru-RU"/>
              </w:rPr>
              <w:t>социально-педагогическое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0B21972" w14:textId="77777777" w:rsidR="001A472B" w:rsidRPr="00853476" w:rsidRDefault="001A472B" w:rsidP="00400CC9">
            <w:pPr>
              <w:spacing w:after="0" w:line="240" w:lineRule="auto"/>
              <w:ind w:right="113"/>
              <w:jc w:val="center"/>
              <w:rPr>
                <w:rFonts w:ascii="Times New Roman" w:hAnsi="Times New Roman"/>
                <w:sz w:val="24"/>
                <w:szCs w:val="24"/>
              </w:rPr>
            </w:pPr>
            <w:r>
              <w:rPr>
                <w:rFonts w:ascii="Times New Roman" w:hAnsi="Times New Roman"/>
                <w:sz w:val="24"/>
                <w:szCs w:val="24"/>
              </w:rPr>
              <w:t>6 789,4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B86C90F" w14:textId="77777777" w:rsidR="001A472B" w:rsidRPr="00853476" w:rsidRDefault="00391CEA" w:rsidP="00400CC9">
            <w:pPr>
              <w:spacing w:after="0" w:line="240" w:lineRule="auto"/>
              <w:ind w:right="113"/>
              <w:jc w:val="center"/>
              <w:rPr>
                <w:rFonts w:ascii="Times New Roman" w:hAnsi="Times New Roman"/>
                <w:sz w:val="24"/>
                <w:szCs w:val="24"/>
              </w:rPr>
            </w:pPr>
            <w:r>
              <w:rPr>
                <w:rFonts w:ascii="Times New Roman" w:hAnsi="Times New Roman"/>
                <w:sz w:val="24"/>
                <w:szCs w:val="24"/>
              </w:rPr>
              <w:t>284,6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CDC2975" w14:textId="77777777" w:rsidR="001A472B" w:rsidRPr="00853476" w:rsidRDefault="00391CEA" w:rsidP="00400CC9">
            <w:pPr>
              <w:spacing w:after="0" w:line="240" w:lineRule="auto"/>
              <w:ind w:right="113"/>
              <w:jc w:val="center"/>
              <w:rPr>
                <w:rFonts w:ascii="Times New Roman" w:hAnsi="Times New Roman"/>
                <w:sz w:val="24"/>
                <w:szCs w:val="24"/>
              </w:rPr>
            </w:pPr>
            <w:r>
              <w:rPr>
                <w:rFonts w:ascii="Times New Roman" w:hAnsi="Times New Roman"/>
                <w:sz w:val="24"/>
                <w:szCs w:val="24"/>
              </w:rPr>
              <w:t>93,5</w:t>
            </w:r>
          </w:p>
        </w:tc>
      </w:tr>
      <w:tr w:rsidR="001A472B" w:rsidRPr="00BD5A90" w14:paraId="65DE415F" w14:textId="77777777" w:rsidTr="00400CC9">
        <w:tc>
          <w:tcPr>
            <w:tcW w:w="4077" w:type="dxa"/>
          </w:tcPr>
          <w:p w14:paraId="2CEE64E6" w14:textId="77777777" w:rsidR="001A472B" w:rsidRPr="00853476" w:rsidRDefault="00391CEA" w:rsidP="0048250F">
            <w:pPr>
              <w:tabs>
                <w:tab w:val="center" w:pos="663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Общеразвивающие программы художественной направленности</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0A19A9A" w14:textId="77777777" w:rsidR="001A472B" w:rsidRPr="00853476" w:rsidRDefault="001A472B" w:rsidP="00400CC9">
            <w:pPr>
              <w:spacing w:after="0" w:line="240" w:lineRule="auto"/>
              <w:ind w:right="113"/>
              <w:jc w:val="center"/>
              <w:rPr>
                <w:rFonts w:ascii="Times New Roman" w:hAnsi="Times New Roman"/>
                <w:sz w:val="24"/>
                <w:szCs w:val="24"/>
              </w:rPr>
            </w:pPr>
            <w:r>
              <w:rPr>
                <w:rFonts w:ascii="Times New Roman" w:hAnsi="Times New Roman"/>
                <w:sz w:val="24"/>
                <w:szCs w:val="24"/>
              </w:rPr>
              <w:t>7 008,2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2B4F7FC" w14:textId="77777777" w:rsidR="001A472B" w:rsidRPr="00853476" w:rsidRDefault="00391CEA" w:rsidP="00400CC9">
            <w:pPr>
              <w:spacing w:after="0" w:line="240" w:lineRule="auto"/>
              <w:ind w:right="113"/>
              <w:jc w:val="center"/>
              <w:rPr>
                <w:rFonts w:ascii="Times New Roman" w:hAnsi="Times New Roman"/>
                <w:sz w:val="24"/>
                <w:szCs w:val="24"/>
              </w:rPr>
            </w:pPr>
            <w:r>
              <w:rPr>
                <w:rFonts w:ascii="Times New Roman" w:hAnsi="Times New Roman"/>
                <w:sz w:val="24"/>
                <w:szCs w:val="24"/>
              </w:rPr>
              <w:t>251,9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39A69EB" w14:textId="77777777" w:rsidR="001A472B" w:rsidRPr="00853476" w:rsidRDefault="00391CEA" w:rsidP="00400CC9">
            <w:pPr>
              <w:spacing w:after="0" w:line="240" w:lineRule="auto"/>
              <w:ind w:right="113"/>
              <w:jc w:val="center"/>
              <w:rPr>
                <w:rFonts w:ascii="Times New Roman" w:hAnsi="Times New Roman"/>
                <w:sz w:val="24"/>
                <w:szCs w:val="24"/>
              </w:rPr>
            </w:pPr>
            <w:r>
              <w:rPr>
                <w:rFonts w:ascii="Times New Roman" w:hAnsi="Times New Roman"/>
                <w:sz w:val="24"/>
                <w:szCs w:val="24"/>
              </w:rPr>
              <w:t>86,7</w:t>
            </w:r>
          </w:p>
        </w:tc>
      </w:tr>
      <w:tr w:rsidR="001A472B" w:rsidRPr="00BD5A90" w14:paraId="0E1CBE0F" w14:textId="77777777" w:rsidTr="00400CC9">
        <w:tc>
          <w:tcPr>
            <w:tcW w:w="4077" w:type="dxa"/>
          </w:tcPr>
          <w:p w14:paraId="1A7ED406" w14:textId="77777777" w:rsidR="001A472B" w:rsidRPr="00853476" w:rsidRDefault="00391CEA" w:rsidP="00391CEA">
            <w:pPr>
              <w:tabs>
                <w:tab w:val="center" w:pos="663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Предпрофессиональные программы в области искусств</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E989CFC" w14:textId="77777777" w:rsidR="001A472B" w:rsidRPr="00853476" w:rsidRDefault="001A472B" w:rsidP="00400CC9">
            <w:pPr>
              <w:spacing w:after="0" w:line="240" w:lineRule="auto"/>
              <w:ind w:right="113"/>
              <w:jc w:val="center"/>
              <w:rPr>
                <w:rFonts w:ascii="Times New Roman" w:hAnsi="Times New Roman"/>
                <w:sz w:val="24"/>
                <w:szCs w:val="24"/>
              </w:rPr>
            </w:pPr>
            <w:r>
              <w:rPr>
                <w:rFonts w:ascii="Times New Roman" w:hAnsi="Times New Roman"/>
                <w:sz w:val="24"/>
                <w:szCs w:val="24"/>
              </w:rPr>
              <w:t>1 014,5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FCB28DF" w14:textId="77777777" w:rsidR="001A472B" w:rsidRPr="00853476" w:rsidRDefault="00391CEA" w:rsidP="00400CC9">
            <w:pPr>
              <w:spacing w:after="0" w:line="240" w:lineRule="auto"/>
              <w:ind w:right="113"/>
              <w:jc w:val="center"/>
              <w:rPr>
                <w:rFonts w:ascii="Times New Roman" w:hAnsi="Times New Roman"/>
                <w:sz w:val="24"/>
                <w:szCs w:val="24"/>
              </w:rPr>
            </w:pPr>
            <w:r>
              <w:rPr>
                <w:rFonts w:ascii="Times New Roman" w:hAnsi="Times New Roman"/>
                <w:sz w:val="24"/>
                <w:szCs w:val="24"/>
              </w:rPr>
              <w:t>4,1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FEBA4C3" w14:textId="77777777" w:rsidR="001A472B" w:rsidRPr="00853476" w:rsidRDefault="00391CEA" w:rsidP="00400CC9">
            <w:pPr>
              <w:spacing w:after="0" w:line="240" w:lineRule="auto"/>
              <w:ind w:right="113"/>
              <w:jc w:val="center"/>
              <w:rPr>
                <w:rFonts w:ascii="Times New Roman" w:hAnsi="Times New Roman"/>
                <w:sz w:val="24"/>
                <w:szCs w:val="24"/>
              </w:rPr>
            </w:pPr>
            <w:r>
              <w:rPr>
                <w:rFonts w:ascii="Times New Roman" w:hAnsi="Times New Roman"/>
                <w:sz w:val="24"/>
                <w:szCs w:val="24"/>
              </w:rPr>
              <w:t>4,4</w:t>
            </w:r>
          </w:p>
        </w:tc>
      </w:tr>
      <w:tr w:rsidR="001A472B" w:rsidRPr="00BD5A90" w14:paraId="105D4234" w14:textId="77777777" w:rsidTr="00400CC9">
        <w:tc>
          <w:tcPr>
            <w:tcW w:w="4077" w:type="dxa"/>
          </w:tcPr>
          <w:p w14:paraId="7FB40A9B" w14:textId="77777777" w:rsidR="001A472B" w:rsidRPr="00853476" w:rsidRDefault="00391CEA" w:rsidP="00391CEA">
            <w:pPr>
              <w:tabs>
                <w:tab w:val="center" w:pos="663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Общеразвивающие программы физкультурно-спортивной направленности</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907CF40" w14:textId="77777777" w:rsidR="001A472B" w:rsidRPr="00853476" w:rsidRDefault="00391CEA" w:rsidP="00400CC9">
            <w:pPr>
              <w:spacing w:after="0" w:line="240" w:lineRule="auto"/>
              <w:ind w:right="113"/>
              <w:jc w:val="center"/>
              <w:rPr>
                <w:rFonts w:ascii="Times New Roman" w:hAnsi="Times New Roman"/>
                <w:sz w:val="24"/>
                <w:szCs w:val="24"/>
              </w:rPr>
            </w:pPr>
            <w:r>
              <w:rPr>
                <w:rFonts w:ascii="Times New Roman" w:hAnsi="Times New Roman"/>
                <w:sz w:val="24"/>
                <w:szCs w:val="24"/>
              </w:rPr>
              <w:t>4 979,4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BA6964D" w14:textId="77777777" w:rsidR="001A472B" w:rsidRPr="00853476" w:rsidRDefault="00391CEA" w:rsidP="00400CC9">
            <w:pPr>
              <w:spacing w:after="0" w:line="240" w:lineRule="auto"/>
              <w:ind w:right="113"/>
              <w:jc w:val="center"/>
              <w:rPr>
                <w:rFonts w:ascii="Times New Roman" w:hAnsi="Times New Roman"/>
                <w:sz w:val="24"/>
                <w:szCs w:val="24"/>
              </w:rPr>
            </w:pPr>
            <w:r>
              <w:rPr>
                <w:rFonts w:ascii="Times New Roman" w:hAnsi="Times New Roman"/>
                <w:sz w:val="24"/>
                <w:szCs w:val="24"/>
              </w:rPr>
              <w:t>163,1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0E0EFD3" w14:textId="77777777" w:rsidR="001A472B" w:rsidRPr="00853476" w:rsidRDefault="00391CEA" w:rsidP="00400CC9">
            <w:pPr>
              <w:spacing w:after="0" w:line="240" w:lineRule="auto"/>
              <w:ind w:right="113"/>
              <w:jc w:val="center"/>
              <w:rPr>
                <w:rFonts w:ascii="Times New Roman" w:hAnsi="Times New Roman"/>
                <w:sz w:val="24"/>
                <w:szCs w:val="24"/>
              </w:rPr>
            </w:pPr>
            <w:r>
              <w:rPr>
                <w:rFonts w:ascii="Times New Roman" w:hAnsi="Times New Roman"/>
                <w:sz w:val="24"/>
                <w:szCs w:val="24"/>
              </w:rPr>
              <w:t>44,0</w:t>
            </w:r>
          </w:p>
        </w:tc>
      </w:tr>
      <w:tr w:rsidR="001A472B" w:rsidRPr="00BD5A90" w14:paraId="4346F841" w14:textId="77777777" w:rsidTr="00400CC9">
        <w:tc>
          <w:tcPr>
            <w:tcW w:w="4077" w:type="dxa"/>
          </w:tcPr>
          <w:p w14:paraId="64C1827B" w14:textId="77777777" w:rsidR="001A472B" w:rsidRPr="00853476" w:rsidRDefault="00391CEA" w:rsidP="0048250F">
            <w:pPr>
              <w:tabs>
                <w:tab w:val="center" w:pos="663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Предпрофессиональные программы в области физической культуры и спорта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EB78E5C" w14:textId="77777777" w:rsidR="001A472B" w:rsidRPr="00853476" w:rsidRDefault="00391CEA" w:rsidP="00400CC9">
            <w:pPr>
              <w:spacing w:after="0" w:line="240" w:lineRule="auto"/>
              <w:ind w:right="113"/>
              <w:jc w:val="center"/>
              <w:rPr>
                <w:rFonts w:ascii="Times New Roman" w:hAnsi="Times New Roman"/>
                <w:sz w:val="24"/>
                <w:szCs w:val="24"/>
              </w:rPr>
            </w:pPr>
            <w:r>
              <w:rPr>
                <w:rFonts w:ascii="Times New Roman" w:hAnsi="Times New Roman"/>
                <w:sz w:val="24"/>
                <w:szCs w:val="24"/>
              </w:rPr>
              <w:t>759,4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2DD4BEC" w14:textId="77777777" w:rsidR="001A472B" w:rsidRPr="00853476" w:rsidRDefault="00391CEA" w:rsidP="00400CC9">
            <w:pPr>
              <w:spacing w:after="0" w:line="240" w:lineRule="auto"/>
              <w:ind w:right="113"/>
              <w:jc w:val="center"/>
              <w:rPr>
                <w:rFonts w:ascii="Times New Roman" w:hAnsi="Times New Roman"/>
                <w:sz w:val="24"/>
                <w:szCs w:val="24"/>
              </w:rPr>
            </w:pPr>
            <w:r>
              <w:rPr>
                <w:rFonts w:ascii="Times New Roman" w:hAnsi="Times New Roman"/>
                <w:sz w:val="24"/>
                <w:szCs w:val="24"/>
              </w:rPr>
              <w:t>6,5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EB650CF" w14:textId="77777777" w:rsidR="001A472B" w:rsidRPr="00853476" w:rsidRDefault="00391CEA" w:rsidP="00400CC9">
            <w:pPr>
              <w:spacing w:after="0" w:line="240" w:lineRule="auto"/>
              <w:ind w:right="113"/>
              <w:jc w:val="center"/>
              <w:rPr>
                <w:rFonts w:ascii="Times New Roman" w:hAnsi="Times New Roman"/>
                <w:sz w:val="24"/>
                <w:szCs w:val="24"/>
              </w:rPr>
            </w:pPr>
            <w:r>
              <w:rPr>
                <w:rFonts w:ascii="Times New Roman" w:hAnsi="Times New Roman"/>
                <w:sz w:val="24"/>
                <w:szCs w:val="24"/>
              </w:rPr>
              <w:t>2,3</w:t>
            </w:r>
          </w:p>
        </w:tc>
      </w:tr>
    </w:tbl>
    <w:p w14:paraId="14AEB467" w14:textId="77777777"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sectPr w:rsidR="00D03A4F" w:rsidRPr="00BD5A90" w:rsidSect="00081376">
          <w:headerReference w:type="even" r:id="rId37"/>
          <w:headerReference w:type="default" r:id="rId38"/>
          <w:footerReference w:type="even" r:id="rId39"/>
          <w:footerReference w:type="default" r:id="rId40"/>
          <w:headerReference w:type="first" r:id="rId41"/>
          <w:footerReference w:type="first" r:id="rId42"/>
          <w:pgSz w:w="11906" w:h="16838"/>
          <w:pgMar w:top="1134" w:right="567" w:bottom="1134" w:left="1134" w:header="709" w:footer="709" w:gutter="0"/>
          <w:cols w:space="708"/>
          <w:docGrid w:linePitch="360"/>
        </w:sectPr>
      </w:pPr>
    </w:p>
    <w:p w14:paraId="0D4B7E48" w14:textId="77777777" w:rsidR="00D03A4F" w:rsidRPr="006B2FD2" w:rsidRDefault="00D03A4F" w:rsidP="00D03A4F">
      <w:pPr>
        <w:spacing w:after="0" w:line="240" w:lineRule="auto"/>
        <w:jc w:val="right"/>
        <w:rPr>
          <w:rFonts w:ascii="Times New Roman" w:eastAsia="Times New Roman" w:hAnsi="Times New Roman" w:cs="Times New Roman"/>
          <w:sz w:val="26"/>
          <w:szCs w:val="26"/>
          <w:lang w:eastAsia="ru-RU"/>
        </w:rPr>
      </w:pPr>
      <w:r w:rsidRPr="006B2FD2">
        <w:rPr>
          <w:rFonts w:ascii="Times New Roman" w:eastAsia="Times New Roman" w:hAnsi="Times New Roman" w:cs="Times New Roman"/>
          <w:sz w:val="26"/>
          <w:szCs w:val="26"/>
          <w:lang w:eastAsia="ru-RU"/>
        </w:rPr>
        <w:t>Таблица 2</w:t>
      </w:r>
      <w:r w:rsidR="008737BB">
        <w:rPr>
          <w:rFonts w:ascii="Times New Roman" w:eastAsia="Times New Roman" w:hAnsi="Times New Roman" w:cs="Times New Roman"/>
          <w:sz w:val="26"/>
          <w:szCs w:val="26"/>
          <w:lang w:eastAsia="ru-RU"/>
        </w:rPr>
        <w:t>7</w:t>
      </w:r>
    </w:p>
    <w:p w14:paraId="24383FBD" w14:textId="77777777" w:rsidR="00D03A4F" w:rsidRPr="006B2FD2" w:rsidRDefault="00D03A4F" w:rsidP="00D03A4F">
      <w:pPr>
        <w:spacing w:after="0" w:line="240" w:lineRule="auto"/>
        <w:jc w:val="right"/>
        <w:rPr>
          <w:rFonts w:ascii="Times New Roman" w:eastAsia="Times New Roman" w:hAnsi="Times New Roman" w:cs="Times New Roman"/>
          <w:sz w:val="26"/>
          <w:szCs w:val="26"/>
          <w:lang w:eastAsia="ru-RU"/>
        </w:rPr>
      </w:pPr>
    </w:p>
    <w:p w14:paraId="1CF1F640" w14:textId="77777777" w:rsidR="00D03A4F" w:rsidRPr="006B2FD2" w:rsidRDefault="00D03A4F" w:rsidP="00D03A4F">
      <w:pPr>
        <w:spacing w:after="0" w:line="240" w:lineRule="auto"/>
        <w:jc w:val="center"/>
        <w:rPr>
          <w:rFonts w:ascii="Times New Roman" w:eastAsia="Times New Roman" w:hAnsi="Times New Roman" w:cs="Times New Roman"/>
          <w:b/>
          <w:sz w:val="26"/>
          <w:szCs w:val="26"/>
          <w:lang w:eastAsia="ru-RU"/>
        </w:rPr>
      </w:pPr>
      <w:r w:rsidRPr="006B2FD2">
        <w:rPr>
          <w:rFonts w:ascii="Times New Roman" w:eastAsia="Times New Roman" w:hAnsi="Times New Roman" w:cs="Times New Roman"/>
          <w:b/>
          <w:sz w:val="26"/>
          <w:szCs w:val="26"/>
          <w:lang w:eastAsia="ru-RU"/>
        </w:rPr>
        <w:t xml:space="preserve">Численность детей, отдохнувших в организациях отдыха детей и их оздоровления </w:t>
      </w:r>
    </w:p>
    <w:p w14:paraId="0980BEC2" w14:textId="77777777"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w:t>
      </w:r>
      <w:r w:rsidR="00180DCA">
        <w:rPr>
          <w:rFonts w:ascii="Times New Roman" w:eastAsia="Times New Roman" w:hAnsi="Times New Roman" w:cs="Times New Roman"/>
          <w:sz w:val="24"/>
          <w:szCs w:val="24"/>
          <w:lang w:eastAsia="ru-RU"/>
        </w:rPr>
        <w:t xml:space="preserve">по данным Росстата; </w:t>
      </w:r>
      <w:r w:rsidRPr="006B2FD2">
        <w:rPr>
          <w:rFonts w:ascii="Times New Roman" w:eastAsia="Times New Roman" w:hAnsi="Times New Roman" w:cs="Times New Roman"/>
          <w:sz w:val="24"/>
          <w:szCs w:val="24"/>
          <w:lang w:eastAsia="ru-RU"/>
        </w:rPr>
        <w:t>без учета субъектов малого предпринимательства; тыс. человек)</w:t>
      </w:r>
    </w:p>
    <w:p w14:paraId="2B22D339" w14:textId="77777777"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701"/>
        <w:gridCol w:w="1701"/>
        <w:gridCol w:w="1701"/>
      </w:tblGrid>
      <w:tr w:rsidR="00D03A4F" w:rsidRPr="006B2FD2" w14:paraId="33435770" w14:textId="77777777" w:rsidTr="00944CB1">
        <w:tc>
          <w:tcPr>
            <w:tcW w:w="5211" w:type="dxa"/>
            <w:vMerge w:val="restart"/>
          </w:tcPr>
          <w:p w14:paraId="720DF4C4" w14:textId="77777777"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p>
        </w:tc>
        <w:tc>
          <w:tcPr>
            <w:tcW w:w="1701" w:type="dxa"/>
            <w:vMerge w:val="restart"/>
          </w:tcPr>
          <w:p w14:paraId="1C73F2D9" w14:textId="77777777"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Всего</w:t>
            </w:r>
          </w:p>
        </w:tc>
        <w:tc>
          <w:tcPr>
            <w:tcW w:w="3402" w:type="dxa"/>
            <w:gridSpan w:val="2"/>
          </w:tcPr>
          <w:p w14:paraId="27383B30" w14:textId="77777777"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в том числе:</w:t>
            </w:r>
          </w:p>
        </w:tc>
      </w:tr>
      <w:tr w:rsidR="00D03A4F" w:rsidRPr="006B2FD2" w14:paraId="0222C53F" w14:textId="77777777" w:rsidTr="00944CB1">
        <w:tc>
          <w:tcPr>
            <w:tcW w:w="5211" w:type="dxa"/>
            <w:vMerge/>
          </w:tcPr>
          <w:p w14:paraId="397E239A" w14:textId="77777777"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p>
        </w:tc>
        <w:tc>
          <w:tcPr>
            <w:tcW w:w="1701" w:type="dxa"/>
            <w:vMerge/>
          </w:tcPr>
          <w:p w14:paraId="3728A276" w14:textId="77777777"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p>
        </w:tc>
        <w:tc>
          <w:tcPr>
            <w:tcW w:w="1701" w:type="dxa"/>
          </w:tcPr>
          <w:p w14:paraId="2CED68B4" w14:textId="77777777"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в городах и поселках городского типа</w:t>
            </w:r>
          </w:p>
        </w:tc>
        <w:tc>
          <w:tcPr>
            <w:tcW w:w="1701" w:type="dxa"/>
          </w:tcPr>
          <w:p w14:paraId="2AD68115" w14:textId="77777777" w:rsidR="00D03A4F" w:rsidRPr="006B2FD2" w:rsidRDefault="00D03A4F" w:rsidP="00D03A4F">
            <w:pPr>
              <w:spacing w:after="0" w:line="240" w:lineRule="auto"/>
              <w:jc w:val="center"/>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в сельской местности</w:t>
            </w:r>
          </w:p>
        </w:tc>
      </w:tr>
      <w:tr w:rsidR="00F637A6" w:rsidRPr="006B2FD2" w14:paraId="0C3C04FE" w14:textId="77777777" w:rsidTr="009965F2">
        <w:trPr>
          <w:trHeight w:val="545"/>
        </w:trPr>
        <w:tc>
          <w:tcPr>
            <w:tcW w:w="10314" w:type="dxa"/>
            <w:gridSpan w:val="4"/>
            <w:vAlign w:val="center"/>
          </w:tcPr>
          <w:p w14:paraId="0AF5A15C" w14:textId="77777777" w:rsidR="00F637A6" w:rsidRPr="006B2FD2" w:rsidRDefault="00F637A6" w:rsidP="00F637A6">
            <w:pPr>
              <w:spacing w:after="0" w:line="240" w:lineRule="auto"/>
              <w:ind w:right="113"/>
              <w:jc w:val="center"/>
              <w:rPr>
                <w:rFonts w:ascii="Times New Roman" w:eastAsia="Times New Roman" w:hAnsi="Times New Roman" w:cs="Times New Roman"/>
                <w:spacing w:val="-4"/>
                <w:sz w:val="24"/>
                <w:szCs w:val="24"/>
                <w:lang w:eastAsia="ru-RU"/>
              </w:rPr>
            </w:pPr>
            <w:r w:rsidRPr="006B2FD2">
              <w:rPr>
                <w:rFonts w:ascii="Times New Roman" w:eastAsia="Times New Roman" w:hAnsi="Times New Roman" w:cs="Times New Roman"/>
                <w:sz w:val="24"/>
                <w:szCs w:val="24"/>
                <w:lang w:eastAsia="ru-RU"/>
              </w:rPr>
              <w:t>2020 г.</w:t>
            </w:r>
            <w:r w:rsidRPr="006B2FD2">
              <w:rPr>
                <w:rFonts w:ascii="Times New Roman" w:eastAsia="Times New Roman" w:hAnsi="Times New Roman" w:cs="Times New Roman"/>
                <w:sz w:val="24"/>
                <w:szCs w:val="24"/>
                <w:vertAlign w:val="superscript"/>
                <w:lang w:eastAsia="ru-RU"/>
              </w:rPr>
              <w:t>1)</w:t>
            </w:r>
          </w:p>
        </w:tc>
      </w:tr>
      <w:tr w:rsidR="00F637A6" w:rsidRPr="006B2FD2" w14:paraId="65FA2772" w14:textId="77777777" w:rsidTr="00944CB1">
        <w:tc>
          <w:tcPr>
            <w:tcW w:w="5211" w:type="dxa"/>
            <w:vAlign w:val="center"/>
          </w:tcPr>
          <w:p w14:paraId="75984214" w14:textId="77777777" w:rsidR="00F637A6" w:rsidRPr="006B2FD2" w:rsidRDefault="00F637A6" w:rsidP="009860C9">
            <w:pPr>
              <w:spacing w:after="0" w:line="240" w:lineRule="auto"/>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Численность отдохнувших детей - всего</w:t>
            </w:r>
          </w:p>
        </w:tc>
        <w:tc>
          <w:tcPr>
            <w:tcW w:w="1701" w:type="dxa"/>
            <w:shd w:val="clear" w:color="auto" w:fill="auto"/>
            <w:vAlign w:val="bottom"/>
          </w:tcPr>
          <w:p w14:paraId="6D2BE497" w14:textId="77777777"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707,1</w:t>
            </w:r>
          </w:p>
        </w:tc>
        <w:tc>
          <w:tcPr>
            <w:tcW w:w="1701" w:type="dxa"/>
            <w:shd w:val="clear" w:color="auto" w:fill="auto"/>
            <w:vAlign w:val="bottom"/>
          </w:tcPr>
          <w:p w14:paraId="47ED5A62" w14:textId="77777777"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363,4</w:t>
            </w:r>
          </w:p>
        </w:tc>
        <w:tc>
          <w:tcPr>
            <w:tcW w:w="1701" w:type="dxa"/>
            <w:shd w:val="clear" w:color="auto" w:fill="auto"/>
            <w:vAlign w:val="bottom"/>
          </w:tcPr>
          <w:p w14:paraId="77B1403C" w14:textId="77777777"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343,7</w:t>
            </w:r>
          </w:p>
        </w:tc>
      </w:tr>
      <w:tr w:rsidR="00F637A6" w:rsidRPr="006B2FD2" w14:paraId="1C945EE8" w14:textId="77777777" w:rsidTr="00944CB1">
        <w:tc>
          <w:tcPr>
            <w:tcW w:w="5211" w:type="dxa"/>
            <w:vAlign w:val="center"/>
          </w:tcPr>
          <w:p w14:paraId="48C81EC0" w14:textId="77777777" w:rsidR="00F637A6" w:rsidRPr="006B2FD2" w:rsidRDefault="00F637A6" w:rsidP="009860C9">
            <w:pPr>
              <w:spacing w:after="0" w:line="240" w:lineRule="auto"/>
              <w:ind w:left="170"/>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общей численности отдохнувших детей – девочки</w:t>
            </w:r>
          </w:p>
        </w:tc>
        <w:tc>
          <w:tcPr>
            <w:tcW w:w="1701" w:type="dxa"/>
            <w:shd w:val="clear" w:color="auto" w:fill="auto"/>
            <w:vAlign w:val="bottom"/>
          </w:tcPr>
          <w:p w14:paraId="40507987" w14:textId="77777777"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366,4</w:t>
            </w:r>
          </w:p>
        </w:tc>
        <w:tc>
          <w:tcPr>
            <w:tcW w:w="1701" w:type="dxa"/>
            <w:shd w:val="clear" w:color="auto" w:fill="auto"/>
            <w:vAlign w:val="bottom"/>
          </w:tcPr>
          <w:p w14:paraId="6A52F859" w14:textId="77777777"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188,9</w:t>
            </w:r>
          </w:p>
        </w:tc>
        <w:tc>
          <w:tcPr>
            <w:tcW w:w="1701" w:type="dxa"/>
            <w:shd w:val="clear" w:color="auto" w:fill="auto"/>
            <w:vAlign w:val="bottom"/>
          </w:tcPr>
          <w:p w14:paraId="0C0E530A" w14:textId="77777777"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177,4</w:t>
            </w:r>
          </w:p>
        </w:tc>
      </w:tr>
      <w:tr w:rsidR="00F637A6" w:rsidRPr="006B2FD2" w14:paraId="3CEB233C" w14:textId="77777777" w:rsidTr="00944CB1">
        <w:tc>
          <w:tcPr>
            <w:tcW w:w="5211" w:type="dxa"/>
            <w:vAlign w:val="center"/>
          </w:tcPr>
          <w:p w14:paraId="0309AD92" w14:textId="77777777" w:rsidR="00F637A6" w:rsidRPr="006B2FD2" w:rsidRDefault="00F637A6" w:rsidP="009860C9">
            <w:pPr>
              <w:spacing w:after="0" w:line="240" w:lineRule="auto"/>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общей численности отдохнувших детей – дети с ограниченными возможностями здоровья</w:t>
            </w:r>
          </w:p>
        </w:tc>
        <w:tc>
          <w:tcPr>
            <w:tcW w:w="1701" w:type="dxa"/>
            <w:shd w:val="clear" w:color="auto" w:fill="auto"/>
            <w:vAlign w:val="bottom"/>
          </w:tcPr>
          <w:p w14:paraId="255471DD" w14:textId="77777777"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15,7</w:t>
            </w:r>
          </w:p>
        </w:tc>
        <w:tc>
          <w:tcPr>
            <w:tcW w:w="1701" w:type="dxa"/>
            <w:shd w:val="clear" w:color="auto" w:fill="auto"/>
            <w:vAlign w:val="bottom"/>
          </w:tcPr>
          <w:p w14:paraId="33A0EB21" w14:textId="77777777"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7,1</w:t>
            </w:r>
          </w:p>
        </w:tc>
        <w:tc>
          <w:tcPr>
            <w:tcW w:w="1701" w:type="dxa"/>
            <w:shd w:val="clear" w:color="auto" w:fill="auto"/>
            <w:vAlign w:val="bottom"/>
          </w:tcPr>
          <w:p w14:paraId="3F69122D" w14:textId="77777777"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8,5</w:t>
            </w:r>
          </w:p>
        </w:tc>
      </w:tr>
      <w:tr w:rsidR="00F637A6" w:rsidRPr="006B2FD2" w14:paraId="525D8422" w14:textId="77777777" w:rsidTr="00295F0B">
        <w:trPr>
          <w:trHeight w:val="283"/>
        </w:trPr>
        <w:tc>
          <w:tcPr>
            <w:tcW w:w="5211" w:type="dxa"/>
            <w:vAlign w:val="center"/>
          </w:tcPr>
          <w:p w14:paraId="23B39B4D" w14:textId="77777777" w:rsidR="00F637A6" w:rsidRPr="006B2FD2" w:rsidRDefault="00F637A6" w:rsidP="009860C9">
            <w:pPr>
              <w:spacing w:after="0" w:line="240" w:lineRule="auto"/>
              <w:ind w:left="397"/>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них девочки</w:t>
            </w:r>
          </w:p>
        </w:tc>
        <w:tc>
          <w:tcPr>
            <w:tcW w:w="1701" w:type="dxa"/>
            <w:shd w:val="clear" w:color="auto" w:fill="auto"/>
            <w:vAlign w:val="bottom"/>
          </w:tcPr>
          <w:p w14:paraId="3C599F08" w14:textId="77777777"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6,1</w:t>
            </w:r>
          </w:p>
        </w:tc>
        <w:tc>
          <w:tcPr>
            <w:tcW w:w="1701" w:type="dxa"/>
            <w:shd w:val="clear" w:color="auto" w:fill="auto"/>
            <w:vAlign w:val="bottom"/>
          </w:tcPr>
          <w:p w14:paraId="5536C960" w14:textId="77777777"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2,8</w:t>
            </w:r>
          </w:p>
        </w:tc>
        <w:tc>
          <w:tcPr>
            <w:tcW w:w="1701" w:type="dxa"/>
            <w:shd w:val="clear" w:color="auto" w:fill="auto"/>
            <w:vAlign w:val="bottom"/>
          </w:tcPr>
          <w:p w14:paraId="31D84F0D" w14:textId="77777777"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3,3</w:t>
            </w:r>
          </w:p>
        </w:tc>
      </w:tr>
      <w:tr w:rsidR="00F637A6" w:rsidRPr="006B2FD2" w14:paraId="4BD6BE9C" w14:textId="77777777" w:rsidTr="009860C9">
        <w:tc>
          <w:tcPr>
            <w:tcW w:w="5211" w:type="dxa"/>
            <w:vAlign w:val="bottom"/>
          </w:tcPr>
          <w:p w14:paraId="68A2E118" w14:textId="7B05DC89" w:rsidR="00F637A6" w:rsidRPr="006B2FD2" w:rsidRDefault="00F637A6" w:rsidP="009860C9">
            <w:pPr>
              <w:spacing w:after="0" w:line="240" w:lineRule="auto"/>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общей численности отдохнувших детей – дети</w:t>
            </w:r>
            <w:r w:rsidR="003B77D7">
              <w:rPr>
                <w:rFonts w:ascii="Times New Roman" w:eastAsia="Times New Roman" w:hAnsi="Times New Roman" w:cs="Times New Roman"/>
                <w:sz w:val="28"/>
                <w:szCs w:val="28"/>
                <w:lang w:eastAsia="ru-RU"/>
              </w:rPr>
              <w:t xml:space="preserve"> </w:t>
            </w:r>
            <w:r w:rsidR="003B77D7" w:rsidRPr="00295F0B">
              <w:rPr>
                <w:rFonts w:ascii="Times New Roman" w:eastAsia="Times New Roman" w:hAnsi="Times New Roman" w:cs="Times New Roman"/>
                <w:sz w:val="24"/>
                <w:szCs w:val="24"/>
                <w:lang w:eastAsia="ru-RU"/>
              </w:rPr>
              <w:t>с инвалидностью</w:t>
            </w:r>
          </w:p>
        </w:tc>
        <w:tc>
          <w:tcPr>
            <w:tcW w:w="1701" w:type="dxa"/>
            <w:shd w:val="clear" w:color="auto" w:fill="auto"/>
            <w:vAlign w:val="bottom"/>
          </w:tcPr>
          <w:p w14:paraId="4BA24044" w14:textId="77777777"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4,9</w:t>
            </w:r>
          </w:p>
        </w:tc>
        <w:tc>
          <w:tcPr>
            <w:tcW w:w="1701" w:type="dxa"/>
            <w:shd w:val="clear" w:color="auto" w:fill="auto"/>
            <w:vAlign w:val="bottom"/>
          </w:tcPr>
          <w:p w14:paraId="2A8855C8" w14:textId="77777777"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2,3</w:t>
            </w:r>
          </w:p>
        </w:tc>
        <w:tc>
          <w:tcPr>
            <w:tcW w:w="1701" w:type="dxa"/>
            <w:shd w:val="clear" w:color="auto" w:fill="auto"/>
            <w:vAlign w:val="bottom"/>
          </w:tcPr>
          <w:p w14:paraId="4B4FB4C5" w14:textId="77777777"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2,6</w:t>
            </w:r>
          </w:p>
        </w:tc>
      </w:tr>
      <w:tr w:rsidR="00F637A6" w:rsidRPr="00BD5A90" w14:paraId="69CE8245" w14:textId="77777777" w:rsidTr="00944CB1">
        <w:tc>
          <w:tcPr>
            <w:tcW w:w="5211" w:type="dxa"/>
            <w:vAlign w:val="center"/>
          </w:tcPr>
          <w:p w14:paraId="085B46BC" w14:textId="77777777" w:rsidR="00F637A6" w:rsidRPr="006B2FD2" w:rsidRDefault="00F637A6" w:rsidP="009860C9">
            <w:pPr>
              <w:spacing w:after="0" w:line="240" w:lineRule="auto"/>
              <w:ind w:left="397"/>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них девочки</w:t>
            </w:r>
          </w:p>
        </w:tc>
        <w:tc>
          <w:tcPr>
            <w:tcW w:w="1701" w:type="dxa"/>
            <w:shd w:val="clear" w:color="auto" w:fill="auto"/>
            <w:vAlign w:val="bottom"/>
          </w:tcPr>
          <w:p w14:paraId="30B54887" w14:textId="77777777"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2,0</w:t>
            </w:r>
          </w:p>
        </w:tc>
        <w:tc>
          <w:tcPr>
            <w:tcW w:w="1701" w:type="dxa"/>
            <w:shd w:val="clear" w:color="auto" w:fill="auto"/>
            <w:vAlign w:val="bottom"/>
          </w:tcPr>
          <w:p w14:paraId="35AC3FA8" w14:textId="77777777" w:rsidR="00F637A6" w:rsidRPr="006B2FD2"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1,0</w:t>
            </w:r>
          </w:p>
        </w:tc>
        <w:tc>
          <w:tcPr>
            <w:tcW w:w="1701" w:type="dxa"/>
            <w:shd w:val="clear" w:color="auto" w:fill="auto"/>
            <w:vAlign w:val="bottom"/>
          </w:tcPr>
          <w:p w14:paraId="2C12D6FD" w14:textId="77777777" w:rsidR="00F637A6" w:rsidRPr="002C5CBC" w:rsidRDefault="00F637A6" w:rsidP="00F637A6">
            <w:pPr>
              <w:spacing w:after="0" w:line="240" w:lineRule="auto"/>
              <w:ind w:right="113"/>
              <w:jc w:val="center"/>
              <w:rPr>
                <w:rFonts w:ascii="Times New Roman" w:hAnsi="Times New Roman"/>
                <w:spacing w:val="-4"/>
                <w:sz w:val="24"/>
                <w:szCs w:val="24"/>
              </w:rPr>
            </w:pPr>
            <w:r w:rsidRPr="006B2FD2">
              <w:rPr>
                <w:rFonts w:ascii="Times New Roman" w:hAnsi="Times New Roman"/>
                <w:spacing w:val="-4"/>
                <w:sz w:val="24"/>
                <w:szCs w:val="24"/>
              </w:rPr>
              <w:t>1,1</w:t>
            </w:r>
          </w:p>
        </w:tc>
      </w:tr>
      <w:tr w:rsidR="00B00779" w:rsidRPr="00BD5A90" w14:paraId="70F011DB" w14:textId="77777777" w:rsidTr="0048250F">
        <w:tc>
          <w:tcPr>
            <w:tcW w:w="10314" w:type="dxa"/>
            <w:gridSpan w:val="4"/>
            <w:vAlign w:val="center"/>
          </w:tcPr>
          <w:p w14:paraId="32689385" w14:textId="77777777" w:rsidR="00B00779" w:rsidRPr="006B2FD2" w:rsidRDefault="00B00779" w:rsidP="00B00779">
            <w:pPr>
              <w:spacing w:before="120" w:after="120" w:line="240" w:lineRule="auto"/>
              <w:ind w:right="113"/>
              <w:jc w:val="center"/>
              <w:rPr>
                <w:rFonts w:ascii="Times New Roman" w:hAnsi="Times New Roman"/>
                <w:spacing w:val="-4"/>
                <w:sz w:val="24"/>
                <w:szCs w:val="24"/>
              </w:rPr>
            </w:pPr>
            <w:r>
              <w:rPr>
                <w:rFonts w:ascii="Times New Roman" w:hAnsi="Times New Roman"/>
                <w:spacing w:val="-4"/>
                <w:sz w:val="24"/>
                <w:szCs w:val="24"/>
              </w:rPr>
              <w:t xml:space="preserve">2021 г. </w:t>
            </w:r>
          </w:p>
        </w:tc>
      </w:tr>
      <w:tr w:rsidR="00B00779" w:rsidRPr="00BD5A90" w14:paraId="72A51CD1" w14:textId="77777777" w:rsidTr="00944CB1">
        <w:tc>
          <w:tcPr>
            <w:tcW w:w="5211" w:type="dxa"/>
            <w:vAlign w:val="center"/>
          </w:tcPr>
          <w:p w14:paraId="44E9F5C5" w14:textId="77777777" w:rsidR="00B00779" w:rsidRPr="006B2FD2" w:rsidRDefault="00B00779" w:rsidP="0048250F">
            <w:pPr>
              <w:spacing w:after="0" w:line="240" w:lineRule="auto"/>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Численность отдохнувших детей - всего</w:t>
            </w:r>
          </w:p>
        </w:tc>
        <w:tc>
          <w:tcPr>
            <w:tcW w:w="1701" w:type="dxa"/>
            <w:shd w:val="clear" w:color="auto" w:fill="auto"/>
            <w:vAlign w:val="bottom"/>
          </w:tcPr>
          <w:p w14:paraId="5E86601B" w14:textId="77777777" w:rsidR="00B00779" w:rsidRPr="006B2FD2" w:rsidRDefault="00C17589" w:rsidP="00F637A6">
            <w:pPr>
              <w:spacing w:after="0" w:line="240" w:lineRule="auto"/>
              <w:ind w:right="113"/>
              <w:jc w:val="center"/>
              <w:rPr>
                <w:rFonts w:ascii="Times New Roman" w:hAnsi="Times New Roman"/>
                <w:spacing w:val="-4"/>
                <w:sz w:val="24"/>
                <w:szCs w:val="24"/>
              </w:rPr>
            </w:pPr>
            <w:r>
              <w:rPr>
                <w:rFonts w:ascii="Times New Roman" w:hAnsi="Times New Roman"/>
                <w:spacing w:val="-4"/>
                <w:sz w:val="24"/>
                <w:szCs w:val="24"/>
              </w:rPr>
              <w:t>3 597,5</w:t>
            </w:r>
          </w:p>
        </w:tc>
        <w:tc>
          <w:tcPr>
            <w:tcW w:w="1701" w:type="dxa"/>
            <w:shd w:val="clear" w:color="auto" w:fill="auto"/>
            <w:vAlign w:val="bottom"/>
          </w:tcPr>
          <w:p w14:paraId="6421C7F8" w14:textId="77777777" w:rsidR="00B00779" w:rsidRPr="006B2FD2" w:rsidRDefault="00C17589" w:rsidP="00F637A6">
            <w:pPr>
              <w:spacing w:after="0" w:line="240" w:lineRule="auto"/>
              <w:ind w:right="113"/>
              <w:jc w:val="center"/>
              <w:rPr>
                <w:rFonts w:ascii="Times New Roman" w:hAnsi="Times New Roman"/>
                <w:spacing w:val="-4"/>
                <w:sz w:val="24"/>
                <w:szCs w:val="24"/>
              </w:rPr>
            </w:pPr>
            <w:r>
              <w:rPr>
                <w:rFonts w:ascii="Times New Roman" w:hAnsi="Times New Roman"/>
                <w:spacing w:val="-4"/>
                <w:sz w:val="24"/>
                <w:szCs w:val="24"/>
              </w:rPr>
              <w:t>1 999,4</w:t>
            </w:r>
          </w:p>
        </w:tc>
        <w:tc>
          <w:tcPr>
            <w:tcW w:w="1701" w:type="dxa"/>
            <w:shd w:val="clear" w:color="auto" w:fill="auto"/>
            <w:vAlign w:val="bottom"/>
          </w:tcPr>
          <w:p w14:paraId="7F015EF7" w14:textId="77777777" w:rsidR="00B00779" w:rsidRPr="006B2FD2" w:rsidRDefault="00C17589" w:rsidP="00F637A6">
            <w:pPr>
              <w:spacing w:after="0" w:line="240" w:lineRule="auto"/>
              <w:ind w:right="113"/>
              <w:jc w:val="center"/>
              <w:rPr>
                <w:rFonts w:ascii="Times New Roman" w:hAnsi="Times New Roman"/>
                <w:spacing w:val="-4"/>
                <w:sz w:val="24"/>
                <w:szCs w:val="24"/>
              </w:rPr>
            </w:pPr>
            <w:r>
              <w:rPr>
                <w:rFonts w:ascii="Times New Roman" w:hAnsi="Times New Roman"/>
                <w:spacing w:val="-4"/>
                <w:sz w:val="24"/>
                <w:szCs w:val="24"/>
              </w:rPr>
              <w:t>1 598,2</w:t>
            </w:r>
          </w:p>
        </w:tc>
      </w:tr>
      <w:tr w:rsidR="00B00779" w:rsidRPr="00BD5A90" w14:paraId="7FE5DED7" w14:textId="77777777" w:rsidTr="00944CB1">
        <w:tc>
          <w:tcPr>
            <w:tcW w:w="5211" w:type="dxa"/>
            <w:vAlign w:val="center"/>
          </w:tcPr>
          <w:p w14:paraId="434F7E21" w14:textId="77777777" w:rsidR="00B00779" w:rsidRPr="006B2FD2" w:rsidRDefault="00B00779" w:rsidP="0048250F">
            <w:pPr>
              <w:spacing w:after="0" w:line="240" w:lineRule="auto"/>
              <w:ind w:left="170"/>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общей численности отдохнувших детей – девочки</w:t>
            </w:r>
          </w:p>
        </w:tc>
        <w:tc>
          <w:tcPr>
            <w:tcW w:w="1701" w:type="dxa"/>
            <w:shd w:val="clear" w:color="auto" w:fill="auto"/>
            <w:vAlign w:val="bottom"/>
          </w:tcPr>
          <w:p w14:paraId="5BA689BC" w14:textId="77777777" w:rsidR="00B00779" w:rsidRPr="006B2FD2" w:rsidRDefault="00197524" w:rsidP="00F637A6">
            <w:pPr>
              <w:spacing w:after="0" w:line="240" w:lineRule="auto"/>
              <w:ind w:right="113"/>
              <w:jc w:val="center"/>
              <w:rPr>
                <w:rFonts w:ascii="Times New Roman" w:hAnsi="Times New Roman"/>
                <w:spacing w:val="-4"/>
                <w:sz w:val="24"/>
                <w:szCs w:val="24"/>
              </w:rPr>
            </w:pPr>
            <w:r>
              <w:rPr>
                <w:rFonts w:ascii="Times New Roman" w:hAnsi="Times New Roman"/>
                <w:spacing w:val="-4"/>
                <w:sz w:val="24"/>
                <w:szCs w:val="24"/>
              </w:rPr>
              <w:t>1 846,4</w:t>
            </w:r>
          </w:p>
        </w:tc>
        <w:tc>
          <w:tcPr>
            <w:tcW w:w="1701" w:type="dxa"/>
            <w:shd w:val="clear" w:color="auto" w:fill="auto"/>
            <w:vAlign w:val="bottom"/>
          </w:tcPr>
          <w:p w14:paraId="1EFED1A8" w14:textId="77777777" w:rsidR="00B00779" w:rsidRPr="006B2FD2" w:rsidRDefault="00197524" w:rsidP="00F637A6">
            <w:pPr>
              <w:spacing w:after="0" w:line="240" w:lineRule="auto"/>
              <w:ind w:right="113"/>
              <w:jc w:val="center"/>
              <w:rPr>
                <w:rFonts w:ascii="Times New Roman" w:hAnsi="Times New Roman"/>
                <w:spacing w:val="-4"/>
                <w:sz w:val="24"/>
                <w:szCs w:val="24"/>
              </w:rPr>
            </w:pPr>
            <w:r>
              <w:rPr>
                <w:rFonts w:ascii="Times New Roman" w:hAnsi="Times New Roman"/>
                <w:spacing w:val="-4"/>
                <w:sz w:val="24"/>
                <w:szCs w:val="24"/>
              </w:rPr>
              <w:t>1 024,9</w:t>
            </w:r>
          </w:p>
        </w:tc>
        <w:tc>
          <w:tcPr>
            <w:tcW w:w="1701" w:type="dxa"/>
            <w:shd w:val="clear" w:color="auto" w:fill="auto"/>
            <w:vAlign w:val="bottom"/>
          </w:tcPr>
          <w:p w14:paraId="30BDE423" w14:textId="77777777" w:rsidR="00B00779" w:rsidRPr="006B2FD2" w:rsidRDefault="00197524" w:rsidP="00F637A6">
            <w:pPr>
              <w:spacing w:after="0" w:line="240" w:lineRule="auto"/>
              <w:ind w:right="113"/>
              <w:jc w:val="center"/>
              <w:rPr>
                <w:rFonts w:ascii="Times New Roman" w:hAnsi="Times New Roman"/>
                <w:spacing w:val="-4"/>
                <w:sz w:val="24"/>
                <w:szCs w:val="24"/>
              </w:rPr>
            </w:pPr>
            <w:r>
              <w:rPr>
                <w:rFonts w:ascii="Times New Roman" w:hAnsi="Times New Roman"/>
                <w:spacing w:val="-4"/>
                <w:sz w:val="24"/>
                <w:szCs w:val="24"/>
              </w:rPr>
              <w:t>821,5</w:t>
            </w:r>
          </w:p>
        </w:tc>
      </w:tr>
      <w:tr w:rsidR="00B00779" w:rsidRPr="00BD5A90" w14:paraId="37AC7888" w14:textId="77777777" w:rsidTr="00944CB1">
        <w:tc>
          <w:tcPr>
            <w:tcW w:w="5211" w:type="dxa"/>
            <w:vAlign w:val="center"/>
          </w:tcPr>
          <w:p w14:paraId="30A2CCED" w14:textId="77777777" w:rsidR="00B00779" w:rsidRPr="006B2FD2" w:rsidRDefault="00B00779" w:rsidP="0048250F">
            <w:pPr>
              <w:spacing w:after="0" w:line="240" w:lineRule="auto"/>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общей численности отдохнувших детей – дети с ограниченными возможностями здоровья</w:t>
            </w:r>
          </w:p>
        </w:tc>
        <w:tc>
          <w:tcPr>
            <w:tcW w:w="1701" w:type="dxa"/>
            <w:shd w:val="clear" w:color="auto" w:fill="auto"/>
            <w:vAlign w:val="bottom"/>
          </w:tcPr>
          <w:p w14:paraId="709C6C72" w14:textId="77777777" w:rsidR="00B00779" w:rsidRPr="006B2FD2" w:rsidRDefault="00197524" w:rsidP="00F637A6">
            <w:pPr>
              <w:spacing w:after="0" w:line="240" w:lineRule="auto"/>
              <w:ind w:right="113"/>
              <w:jc w:val="center"/>
              <w:rPr>
                <w:rFonts w:ascii="Times New Roman" w:hAnsi="Times New Roman"/>
                <w:spacing w:val="-4"/>
                <w:sz w:val="24"/>
                <w:szCs w:val="24"/>
              </w:rPr>
            </w:pPr>
            <w:r>
              <w:rPr>
                <w:rFonts w:ascii="Times New Roman" w:hAnsi="Times New Roman"/>
                <w:spacing w:val="-4"/>
                <w:sz w:val="24"/>
                <w:szCs w:val="24"/>
              </w:rPr>
              <w:t>88,5</w:t>
            </w:r>
          </w:p>
        </w:tc>
        <w:tc>
          <w:tcPr>
            <w:tcW w:w="1701" w:type="dxa"/>
            <w:shd w:val="clear" w:color="auto" w:fill="auto"/>
            <w:vAlign w:val="bottom"/>
          </w:tcPr>
          <w:p w14:paraId="3BF95523" w14:textId="77777777" w:rsidR="00B00779" w:rsidRPr="006B2FD2" w:rsidRDefault="00197524" w:rsidP="00F637A6">
            <w:pPr>
              <w:spacing w:after="0" w:line="240" w:lineRule="auto"/>
              <w:ind w:right="113"/>
              <w:jc w:val="center"/>
              <w:rPr>
                <w:rFonts w:ascii="Times New Roman" w:hAnsi="Times New Roman"/>
                <w:spacing w:val="-4"/>
                <w:sz w:val="24"/>
                <w:szCs w:val="24"/>
              </w:rPr>
            </w:pPr>
            <w:r>
              <w:rPr>
                <w:rFonts w:ascii="Times New Roman" w:hAnsi="Times New Roman"/>
                <w:spacing w:val="-4"/>
                <w:sz w:val="24"/>
                <w:szCs w:val="24"/>
              </w:rPr>
              <w:t>45,5</w:t>
            </w:r>
          </w:p>
        </w:tc>
        <w:tc>
          <w:tcPr>
            <w:tcW w:w="1701" w:type="dxa"/>
            <w:shd w:val="clear" w:color="auto" w:fill="auto"/>
            <w:vAlign w:val="bottom"/>
          </w:tcPr>
          <w:p w14:paraId="67440624" w14:textId="77777777" w:rsidR="00B00779" w:rsidRPr="006B2FD2" w:rsidRDefault="00197524" w:rsidP="00F637A6">
            <w:pPr>
              <w:spacing w:after="0" w:line="240" w:lineRule="auto"/>
              <w:ind w:right="113"/>
              <w:jc w:val="center"/>
              <w:rPr>
                <w:rFonts w:ascii="Times New Roman" w:hAnsi="Times New Roman"/>
                <w:spacing w:val="-4"/>
                <w:sz w:val="24"/>
                <w:szCs w:val="24"/>
              </w:rPr>
            </w:pPr>
            <w:r>
              <w:rPr>
                <w:rFonts w:ascii="Times New Roman" w:hAnsi="Times New Roman"/>
                <w:spacing w:val="-4"/>
                <w:sz w:val="24"/>
                <w:szCs w:val="24"/>
              </w:rPr>
              <w:t>43,0</w:t>
            </w:r>
          </w:p>
        </w:tc>
      </w:tr>
      <w:tr w:rsidR="00B00779" w:rsidRPr="00BD5A90" w14:paraId="10A0C0EF" w14:textId="77777777" w:rsidTr="00944CB1">
        <w:tc>
          <w:tcPr>
            <w:tcW w:w="5211" w:type="dxa"/>
            <w:vAlign w:val="center"/>
          </w:tcPr>
          <w:p w14:paraId="6E98D0FF" w14:textId="77777777" w:rsidR="00B00779" w:rsidRPr="006B2FD2" w:rsidRDefault="00B00779" w:rsidP="0048250F">
            <w:pPr>
              <w:spacing w:after="0" w:line="240" w:lineRule="auto"/>
              <w:ind w:left="397"/>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них девочки</w:t>
            </w:r>
          </w:p>
        </w:tc>
        <w:tc>
          <w:tcPr>
            <w:tcW w:w="1701" w:type="dxa"/>
            <w:shd w:val="clear" w:color="auto" w:fill="auto"/>
            <w:vAlign w:val="bottom"/>
          </w:tcPr>
          <w:p w14:paraId="7796AD6F" w14:textId="77777777" w:rsidR="00B00779" w:rsidRPr="006B2FD2" w:rsidRDefault="00197524" w:rsidP="00F637A6">
            <w:pPr>
              <w:spacing w:after="0" w:line="240" w:lineRule="auto"/>
              <w:ind w:right="113"/>
              <w:jc w:val="center"/>
              <w:rPr>
                <w:rFonts w:ascii="Times New Roman" w:hAnsi="Times New Roman"/>
                <w:spacing w:val="-4"/>
                <w:sz w:val="24"/>
                <w:szCs w:val="24"/>
              </w:rPr>
            </w:pPr>
            <w:r>
              <w:rPr>
                <w:rFonts w:ascii="Times New Roman" w:hAnsi="Times New Roman"/>
                <w:spacing w:val="-4"/>
                <w:sz w:val="24"/>
                <w:szCs w:val="24"/>
              </w:rPr>
              <w:t>33,8</w:t>
            </w:r>
          </w:p>
        </w:tc>
        <w:tc>
          <w:tcPr>
            <w:tcW w:w="1701" w:type="dxa"/>
            <w:shd w:val="clear" w:color="auto" w:fill="auto"/>
            <w:vAlign w:val="bottom"/>
          </w:tcPr>
          <w:p w14:paraId="6A88839E" w14:textId="77777777" w:rsidR="00B00779" w:rsidRPr="006B2FD2" w:rsidRDefault="00197524" w:rsidP="00F637A6">
            <w:pPr>
              <w:spacing w:after="0" w:line="240" w:lineRule="auto"/>
              <w:ind w:right="113"/>
              <w:jc w:val="center"/>
              <w:rPr>
                <w:rFonts w:ascii="Times New Roman" w:hAnsi="Times New Roman"/>
                <w:spacing w:val="-4"/>
                <w:sz w:val="24"/>
                <w:szCs w:val="24"/>
              </w:rPr>
            </w:pPr>
            <w:r>
              <w:rPr>
                <w:rFonts w:ascii="Times New Roman" w:hAnsi="Times New Roman"/>
                <w:spacing w:val="-4"/>
                <w:sz w:val="24"/>
                <w:szCs w:val="24"/>
              </w:rPr>
              <w:t>17,1</w:t>
            </w:r>
          </w:p>
        </w:tc>
        <w:tc>
          <w:tcPr>
            <w:tcW w:w="1701" w:type="dxa"/>
            <w:shd w:val="clear" w:color="auto" w:fill="auto"/>
            <w:vAlign w:val="bottom"/>
          </w:tcPr>
          <w:p w14:paraId="122E2DD3" w14:textId="77777777" w:rsidR="00B00779" w:rsidRPr="006B2FD2" w:rsidRDefault="00197524" w:rsidP="00F637A6">
            <w:pPr>
              <w:spacing w:after="0" w:line="240" w:lineRule="auto"/>
              <w:ind w:right="113"/>
              <w:jc w:val="center"/>
              <w:rPr>
                <w:rFonts w:ascii="Times New Roman" w:hAnsi="Times New Roman"/>
                <w:spacing w:val="-4"/>
                <w:sz w:val="24"/>
                <w:szCs w:val="24"/>
              </w:rPr>
            </w:pPr>
            <w:r>
              <w:rPr>
                <w:rFonts w:ascii="Times New Roman" w:hAnsi="Times New Roman"/>
                <w:spacing w:val="-4"/>
                <w:sz w:val="24"/>
                <w:szCs w:val="24"/>
              </w:rPr>
              <w:t>16,7</w:t>
            </w:r>
          </w:p>
        </w:tc>
      </w:tr>
      <w:tr w:rsidR="00B00779" w:rsidRPr="00BD5A90" w14:paraId="40E524A0" w14:textId="77777777" w:rsidTr="0048250F">
        <w:tc>
          <w:tcPr>
            <w:tcW w:w="5211" w:type="dxa"/>
            <w:vAlign w:val="bottom"/>
          </w:tcPr>
          <w:p w14:paraId="02165D08" w14:textId="253ECF99" w:rsidR="00B00779" w:rsidRPr="006B2FD2" w:rsidRDefault="00B00779" w:rsidP="0048250F">
            <w:pPr>
              <w:spacing w:after="0" w:line="240" w:lineRule="auto"/>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общей численности отдохнувших детей – дети</w:t>
            </w:r>
            <w:r w:rsidR="003B77D7" w:rsidRPr="00295F0B">
              <w:rPr>
                <w:rFonts w:ascii="Times New Roman" w:eastAsia="Times New Roman" w:hAnsi="Times New Roman" w:cs="Times New Roman"/>
                <w:sz w:val="24"/>
                <w:szCs w:val="24"/>
                <w:lang w:eastAsia="ru-RU"/>
              </w:rPr>
              <w:t xml:space="preserve"> с инвалидностью</w:t>
            </w:r>
          </w:p>
        </w:tc>
        <w:tc>
          <w:tcPr>
            <w:tcW w:w="1701" w:type="dxa"/>
            <w:shd w:val="clear" w:color="auto" w:fill="auto"/>
            <w:vAlign w:val="bottom"/>
          </w:tcPr>
          <w:p w14:paraId="2EFBA4F8" w14:textId="77777777" w:rsidR="00B00779" w:rsidRPr="006B2FD2" w:rsidRDefault="00197524" w:rsidP="00F637A6">
            <w:pPr>
              <w:spacing w:after="0" w:line="240" w:lineRule="auto"/>
              <w:ind w:right="113"/>
              <w:jc w:val="center"/>
              <w:rPr>
                <w:rFonts w:ascii="Times New Roman" w:hAnsi="Times New Roman"/>
                <w:spacing w:val="-4"/>
                <w:sz w:val="24"/>
                <w:szCs w:val="24"/>
              </w:rPr>
            </w:pPr>
            <w:r>
              <w:rPr>
                <w:rFonts w:ascii="Times New Roman" w:hAnsi="Times New Roman"/>
                <w:spacing w:val="-4"/>
                <w:sz w:val="24"/>
                <w:szCs w:val="24"/>
              </w:rPr>
              <w:t>25,6</w:t>
            </w:r>
          </w:p>
        </w:tc>
        <w:tc>
          <w:tcPr>
            <w:tcW w:w="1701" w:type="dxa"/>
            <w:shd w:val="clear" w:color="auto" w:fill="auto"/>
            <w:vAlign w:val="bottom"/>
          </w:tcPr>
          <w:p w14:paraId="06F48641" w14:textId="77777777" w:rsidR="00B00779" w:rsidRPr="006B2FD2" w:rsidRDefault="00197524" w:rsidP="00F637A6">
            <w:pPr>
              <w:spacing w:after="0" w:line="240" w:lineRule="auto"/>
              <w:ind w:right="113"/>
              <w:jc w:val="center"/>
              <w:rPr>
                <w:rFonts w:ascii="Times New Roman" w:hAnsi="Times New Roman"/>
                <w:spacing w:val="-4"/>
                <w:sz w:val="24"/>
                <w:szCs w:val="24"/>
              </w:rPr>
            </w:pPr>
            <w:r>
              <w:rPr>
                <w:rFonts w:ascii="Times New Roman" w:hAnsi="Times New Roman"/>
                <w:spacing w:val="-4"/>
                <w:sz w:val="24"/>
                <w:szCs w:val="24"/>
              </w:rPr>
              <w:t>14,4</w:t>
            </w:r>
          </w:p>
        </w:tc>
        <w:tc>
          <w:tcPr>
            <w:tcW w:w="1701" w:type="dxa"/>
            <w:shd w:val="clear" w:color="auto" w:fill="auto"/>
            <w:vAlign w:val="bottom"/>
          </w:tcPr>
          <w:p w14:paraId="6DCF3304" w14:textId="77777777" w:rsidR="00B00779" w:rsidRPr="006B2FD2" w:rsidRDefault="00197524" w:rsidP="00F637A6">
            <w:pPr>
              <w:spacing w:after="0" w:line="240" w:lineRule="auto"/>
              <w:ind w:right="113"/>
              <w:jc w:val="center"/>
              <w:rPr>
                <w:rFonts w:ascii="Times New Roman" w:hAnsi="Times New Roman"/>
                <w:spacing w:val="-4"/>
                <w:sz w:val="24"/>
                <w:szCs w:val="24"/>
              </w:rPr>
            </w:pPr>
            <w:r>
              <w:rPr>
                <w:rFonts w:ascii="Times New Roman" w:hAnsi="Times New Roman"/>
                <w:spacing w:val="-4"/>
                <w:sz w:val="24"/>
                <w:szCs w:val="24"/>
              </w:rPr>
              <w:t>11,2</w:t>
            </w:r>
          </w:p>
        </w:tc>
      </w:tr>
      <w:tr w:rsidR="00B00779" w:rsidRPr="00BD5A90" w14:paraId="0CD54A74" w14:textId="77777777" w:rsidTr="00944CB1">
        <w:tc>
          <w:tcPr>
            <w:tcW w:w="5211" w:type="dxa"/>
            <w:vAlign w:val="center"/>
          </w:tcPr>
          <w:p w14:paraId="31BAF7DA" w14:textId="77777777" w:rsidR="00B00779" w:rsidRPr="006B2FD2" w:rsidRDefault="00B00779" w:rsidP="0048250F">
            <w:pPr>
              <w:spacing w:after="0" w:line="240" w:lineRule="auto"/>
              <w:ind w:left="397"/>
              <w:rPr>
                <w:rFonts w:ascii="Times New Roman" w:eastAsia="Times New Roman" w:hAnsi="Times New Roman" w:cs="Times New Roman"/>
                <w:sz w:val="24"/>
                <w:szCs w:val="24"/>
                <w:lang w:eastAsia="ru-RU"/>
              </w:rPr>
            </w:pPr>
            <w:r w:rsidRPr="006B2FD2">
              <w:rPr>
                <w:rFonts w:ascii="Times New Roman" w:eastAsia="Times New Roman" w:hAnsi="Times New Roman" w:cs="Times New Roman"/>
                <w:sz w:val="24"/>
                <w:szCs w:val="24"/>
                <w:lang w:eastAsia="ru-RU"/>
              </w:rPr>
              <w:t>из них девочки</w:t>
            </w:r>
          </w:p>
        </w:tc>
        <w:tc>
          <w:tcPr>
            <w:tcW w:w="1701" w:type="dxa"/>
            <w:shd w:val="clear" w:color="auto" w:fill="auto"/>
            <w:vAlign w:val="bottom"/>
          </w:tcPr>
          <w:p w14:paraId="6CC324FC" w14:textId="77777777" w:rsidR="00B00779" w:rsidRPr="006B2FD2" w:rsidRDefault="00197524" w:rsidP="00F637A6">
            <w:pPr>
              <w:spacing w:after="0" w:line="240" w:lineRule="auto"/>
              <w:ind w:right="113"/>
              <w:jc w:val="center"/>
              <w:rPr>
                <w:rFonts w:ascii="Times New Roman" w:hAnsi="Times New Roman"/>
                <w:spacing w:val="-4"/>
                <w:sz w:val="24"/>
                <w:szCs w:val="24"/>
              </w:rPr>
            </w:pPr>
            <w:r>
              <w:rPr>
                <w:rFonts w:ascii="Times New Roman" w:hAnsi="Times New Roman"/>
                <w:spacing w:val="-4"/>
                <w:sz w:val="24"/>
                <w:szCs w:val="24"/>
              </w:rPr>
              <w:t>10,7</w:t>
            </w:r>
          </w:p>
        </w:tc>
        <w:tc>
          <w:tcPr>
            <w:tcW w:w="1701" w:type="dxa"/>
            <w:shd w:val="clear" w:color="auto" w:fill="auto"/>
            <w:vAlign w:val="bottom"/>
          </w:tcPr>
          <w:p w14:paraId="156EB9A2" w14:textId="77777777" w:rsidR="00B00779" w:rsidRPr="006B2FD2" w:rsidRDefault="00197524" w:rsidP="00F637A6">
            <w:pPr>
              <w:spacing w:after="0" w:line="240" w:lineRule="auto"/>
              <w:ind w:right="113"/>
              <w:jc w:val="center"/>
              <w:rPr>
                <w:rFonts w:ascii="Times New Roman" w:hAnsi="Times New Roman"/>
                <w:spacing w:val="-4"/>
                <w:sz w:val="24"/>
                <w:szCs w:val="24"/>
              </w:rPr>
            </w:pPr>
            <w:r>
              <w:rPr>
                <w:rFonts w:ascii="Times New Roman" w:hAnsi="Times New Roman"/>
                <w:spacing w:val="-4"/>
                <w:sz w:val="24"/>
                <w:szCs w:val="24"/>
              </w:rPr>
              <w:t>6,0</w:t>
            </w:r>
          </w:p>
        </w:tc>
        <w:tc>
          <w:tcPr>
            <w:tcW w:w="1701" w:type="dxa"/>
            <w:shd w:val="clear" w:color="auto" w:fill="auto"/>
            <w:vAlign w:val="bottom"/>
          </w:tcPr>
          <w:p w14:paraId="53D4267C" w14:textId="77777777" w:rsidR="00B00779" w:rsidRPr="006B2FD2" w:rsidRDefault="00197524" w:rsidP="00F637A6">
            <w:pPr>
              <w:spacing w:after="0" w:line="240" w:lineRule="auto"/>
              <w:ind w:right="113"/>
              <w:jc w:val="center"/>
              <w:rPr>
                <w:rFonts w:ascii="Times New Roman" w:hAnsi="Times New Roman"/>
                <w:spacing w:val="-4"/>
                <w:sz w:val="24"/>
                <w:szCs w:val="24"/>
              </w:rPr>
            </w:pPr>
            <w:r>
              <w:rPr>
                <w:rFonts w:ascii="Times New Roman" w:hAnsi="Times New Roman"/>
                <w:spacing w:val="-4"/>
                <w:sz w:val="24"/>
                <w:szCs w:val="24"/>
              </w:rPr>
              <w:t>4,7</w:t>
            </w:r>
          </w:p>
        </w:tc>
      </w:tr>
    </w:tbl>
    <w:p w14:paraId="6D95EABA" w14:textId="77777777" w:rsidR="00F637A6" w:rsidRDefault="00F637A6" w:rsidP="00F637A6">
      <w:pPr>
        <w:spacing w:after="0" w:line="240" w:lineRule="auto"/>
        <w:ind w:firstLine="709"/>
        <w:jc w:val="both"/>
        <w:rPr>
          <w:rFonts w:ascii="Times New Roman" w:hAnsi="Times New Roman"/>
          <w:vertAlign w:val="superscript"/>
        </w:rPr>
      </w:pPr>
    </w:p>
    <w:p w14:paraId="2B5AD051" w14:textId="77777777" w:rsidR="00D03A4F" w:rsidRPr="00F637A6" w:rsidRDefault="00F637A6" w:rsidP="00F637A6">
      <w:pPr>
        <w:spacing w:after="0" w:line="240" w:lineRule="auto"/>
        <w:ind w:firstLine="709"/>
        <w:jc w:val="both"/>
        <w:rPr>
          <w:rFonts w:ascii="Times New Roman" w:hAnsi="Times New Roman"/>
        </w:rPr>
      </w:pPr>
      <w:r w:rsidRPr="00F637A6">
        <w:rPr>
          <w:rFonts w:ascii="Times New Roman" w:hAnsi="Times New Roman"/>
        </w:rPr>
        <w:t>1)</w:t>
      </w:r>
      <w:r w:rsidR="00197524">
        <w:rPr>
          <w:rFonts w:ascii="Times New Roman" w:hAnsi="Times New Roman"/>
        </w:rPr>
        <w:t xml:space="preserve"> </w:t>
      </w:r>
      <w:r w:rsidRPr="00F637A6">
        <w:rPr>
          <w:rFonts w:ascii="Times New Roman" w:hAnsi="Times New Roman"/>
        </w:rPr>
        <w:t>С 2020 г. за период летней оздоровительной кампании за июнь - август (включ</w:t>
      </w:r>
      <w:r>
        <w:rPr>
          <w:rFonts w:ascii="Times New Roman" w:hAnsi="Times New Roman"/>
        </w:rPr>
        <w:t xml:space="preserve">ая смены, начавшие свою работу </w:t>
      </w:r>
      <w:r w:rsidRPr="00F637A6">
        <w:rPr>
          <w:rFonts w:ascii="Times New Roman" w:hAnsi="Times New Roman"/>
        </w:rPr>
        <w:t>в конце мая или закончившие работу в начале сентября).В соответствии с методическими рекомендациями Роспотребнадзора по организации работы организаций отдыха детей и их оздоровления от 25 мая 2020 г. МР 3.1/2.4.0185-20 «Рекомендации по организации работы организаций отдыха детей и их оздоровления в условиях сохранения рисков распространения COVID-19» решение об открытии и функционировании организаций отдыха и оздоровления детей (далее - оздоровительные организации) принимал Штаб по борьбе с распространением новой коронавирусной инфекции (COVID-19) на территории субъекта Российской Федерации с учетом сложившейся эпидемической ситуации в регионе.</w:t>
      </w:r>
    </w:p>
    <w:p w14:paraId="55F678E2" w14:textId="77777777" w:rsidR="00D03A4F" w:rsidRPr="00BD5A90" w:rsidRDefault="00D03A4F" w:rsidP="00D03A4F">
      <w:pPr>
        <w:spacing w:after="0" w:line="240" w:lineRule="auto"/>
        <w:jc w:val="center"/>
        <w:rPr>
          <w:rFonts w:ascii="Times New Roman" w:eastAsia="Times New Roman" w:hAnsi="Times New Roman" w:cs="Times New Roman"/>
          <w:sz w:val="24"/>
          <w:szCs w:val="24"/>
          <w:highlight w:val="yellow"/>
          <w:lang w:eastAsia="ru-RU"/>
        </w:rPr>
      </w:pPr>
    </w:p>
    <w:p w14:paraId="6B885E8D" w14:textId="77777777" w:rsidR="00D03A4F" w:rsidRPr="00CD51FC" w:rsidRDefault="00D03A4F" w:rsidP="00D03A4F">
      <w:pPr>
        <w:spacing w:after="0" w:line="240" w:lineRule="auto"/>
        <w:jc w:val="right"/>
        <w:rPr>
          <w:rFonts w:ascii="Times New Roman" w:eastAsia="Times New Roman" w:hAnsi="Times New Roman" w:cs="Times New Roman"/>
          <w:sz w:val="26"/>
          <w:szCs w:val="26"/>
          <w:lang w:eastAsia="ru-RU"/>
        </w:rPr>
      </w:pPr>
      <w:r w:rsidRPr="00CD51FC">
        <w:rPr>
          <w:rFonts w:ascii="Times New Roman" w:eastAsia="Times New Roman" w:hAnsi="Times New Roman" w:cs="Times New Roman"/>
          <w:sz w:val="26"/>
          <w:szCs w:val="26"/>
          <w:lang w:eastAsia="ru-RU"/>
        </w:rPr>
        <w:t xml:space="preserve">Таблица </w:t>
      </w:r>
      <w:r w:rsidR="00BF045B">
        <w:rPr>
          <w:rFonts w:ascii="Times New Roman" w:eastAsia="Times New Roman" w:hAnsi="Times New Roman" w:cs="Times New Roman"/>
          <w:sz w:val="26"/>
          <w:szCs w:val="26"/>
          <w:lang w:eastAsia="ru-RU"/>
        </w:rPr>
        <w:t>2</w:t>
      </w:r>
      <w:r w:rsidR="008737BB">
        <w:rPr>
          <w:rFonts w:ascii="Times New Roman" w:eastAsia="Times New Roman" w:hAnsi="Times New Roman" w:cs="Times New Roman"/>
          <w:sz w:val="26"/>
          <w:szCs w:val="26"/>
          <w:lang w:eastAsia="ru-RU"/>
        </w:rPr>
        <w:t>8</w:t>
      </w:r>
    </w:p>
    <w:p w14:paraId="69A02900" w14:textId="77777777" w:rsidR="00D03A4F" w:rsidRPr="00CD51FC" w:rsidRDefault="00D03A4F" w:rsidP="00D03A4F">
      <w:pPr>
        <w:spacing w:after="0" w:line="240" w:lineRule="auto"/>
        <w:jc w:val="right"/>
        <w:rPr>
          <w:rFonts w:ascii="Times New Roman" w:eastAsia="Times New Roman" w:hAnsi="Times New Roman" w:cs="Times New Roman"/>
          <w:sz w:val="26"/>
          <w:szCs w:val="26"/>
          <w:lang w:eastAsia="ru-RU"/>
        </w:rPr>
      </w:pPr>
    </w:p>
    <w:p w14:paraId="4051E6DA" w14:textId="77777777" w:rsidR="00D03A4F" w:rsidRPr="00CD51FC" w:rsidRDefault="00D03A4F" w:rsidP="00D03A4F">
      <w:pPr>
        <w:spacing w:after="0" w:line="240" w:lineRule="auto"/>
        <w:jc w:val="center"/>
        <w:rPr>
          <w:rFonts w:ascii="Times New Roman" w:eastAsia="Times New Roman" w:hAnsi="Times New Roman" w:cs="Times New Roman"/>
          <w:b/>
          <w:bCs/>
          <w:sz w:val="26"/>
          <w:szCs w:val="26"/>
          <w:lang w:eastAsia="ru-RU"/>
        </w:rPr>
      </w:pPr>
      <w:r w:rsidRPr="00CD51FC">
        <w:rPr>
          <w:rFonts w:ascii="Times New Roman" w:eastAsia="Times New Roman" w:hAnsi="Times New Roman" w:cs="Times New Roman"/>
          <w:b/>
          <w:bCs/>
          <w:sz w:val="26"/>
          <w:szCs w:val="26"/>
          <w:lang w:eastAsia="ru-RU"/>
        </w:rPr>
        <w:t>Численность рабочей силы, занятых</w:t>
      </w:r>
    </w:p>
    <w:p w14:paraId="21120AB8" w14:textId="77777777" w:rsidR="00D03A4F" w:rsidRPr="00CD51FC" w:rsidRDefault="00D03A4F" w:rsidP="00D03A4F">
      <w:pPr>
        <w:spacing w:after="0" w:line="240" w:lineRule="auto"/>
        <w:jc w:val="center"/>
        <w:rPr>
          <w:rFonts w:ascii="Times New Roman" w:eastAsia="Times New Roman" w:hAnsi="Times New Roman" w:cs="Times New Roman"/>
          <w:b/>
          <w:bCs/>
          <w:sz w:val="26"/>
          <w:szCs w:val="26"/>
          <w:lang w:eastAsia="ru-RU"/>
        </w:rPr>
      </w:pPr>
      <w:r w:rsidRPr="00CD51FC">
        <w:rPr>
          <w:rFonts w:ascii="Times New Roman" w:eastAsia="Times New Roman" w:hAnsi="Times New Roman" w:cs="Times New Roman"/>
          <w:b/>
          <w:bCs/>
          <w:sz w:val="26"/>
          <w:szCs w:val="26"/>
          <w:lang w:eastAsia="ru-RU"/>
        </w:rPr>
        <w:t>и безработных среди населения в возрасте 15-17 лет</w:t>
      </w:r>
    </w:p>
    <w:p w14:paraId="4C32004C" w14:textId="77777777" w:rsidR="00D03A4F" w:rsidRPr="00CD51FC" w:rsidRDefault="00D03A4F" w:rsidP="00D03A4F">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(по данным выборочного обследования рабочей силы, тыс. человек)</w:t>
      </w:r>
    </w:p>
    <w:p w14:paraId="35423A14" w14:textId="77777777" w:rsidR="00D03A4F" w:rsidRPr="00CD51FC" w:rsidRDefault="00D03A4F" w:rsidP="00D03A4F">
      <w:pPr>
        <w:spacing w:after="0" w:line="240" w:lineRule="auto"/>
        <w:jc w:val="center"/>
        <w:rPr>
          <w:rFonts w:ascii="Times New Roman" w:eastAsia="Times New Roman" w:hAnsi="Times New Roman" w:cs="Times New Roman"/>
          <w:sz w:val="24"/>
          <w:szCs w:val="24"/>
          <w:lang w:eastAsia="ru-RU"/>
        </w:rPr>
      </w:pPr>
    </w:p>
    <w:tbl>
      <w:tblPr>
        <w:tblW w:w="10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4"/>
        <w:gridCol w:w="2054"/>
        <w:gridCol w:w="2054"/>
        <w:gridCol w:w="2054"/>
      </w:tblGrid>
      <w:tr w:rsidR="003839D9" w:rsidRPr="00CD51FC" w14:paraId="0DFF89AF" w14:textId="77777777" w:rsidTr="0048250F">
        <w:trPr>
          <w:tblHeader/>
        </w:trPr>
        <w:tc>
          <w:tcPr>
            <w:tcW w:w="4294" w:type="dxa"/>
            <w:vAlign w:val="center"/>
          </w:tcPr>
          <w:p w14:paraId="48BADC45" w14:textId="77777777" w:rsidR="003839D9" w:rsidRPr="00CD51FC" w:rsidRDefault="003839D9" w:rsidP="00D03A4F">
            <w:pPr>
              <w:spacing w:after="0"/>
              <w:rPr>
                <w:rFonts w:ascii="Times New Roman" w:eastAsia="Times New Roman" w:hAnsi="Times New Roman" w:cs="Times New Roman"/>
                <w:b/>
                <w:sz w:val="24"/>
                <w:szCs w:val="24"/>
                <w:lang w:eastAsia="ru-RU"/>
              </w:rPr>
            </w:pPr>
          </w:p>
        </w:tc>
        <w:tc>
          <w:tcPr>
            <w:tcW w:w="2054" w:type="dxa"/>
            <w:vAlign w:val="center"/>
          </w:tcPr>
          <w:p w14:paraId="43A11616" w14:textId="77777777" w:rsidR="003839D9" w:rsidRPr="00CD51FC" w:rsidRDefault="003839D9" w:rsidP="0048250F">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2019 г.</w:t>
            </w:r>
          </w:p>
        </w:tc>
        <w:tc>
          <w:tcPr>
            <w:tcW w:w="2054" w:type="dxa"/>
            <w:vAlign w:val="center"/>
          </w:tcPr>
          <w:p w14:paraId="15D92DBA" w14:textId="77777777" w:rsidR="003839D9" w:rsidRPr="00CD51FC" w:rsidRDefault="003839D9" w:rsidP="0048250F">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2020 г.</w:t>
            </w:r>
          </w:p>
        </w:tc>
        <w:tc>
          <w:tcPr>
            <w:tcW w:w="2054" w:type="dxa"/>
          </w:tcPr>
          <w:p w14:paraId="47BBE2FB" w14:textId="77777777" w:rsidR="003839D9" w:rsidRPr="00CD51FC" w:rsidRDefault="003839D9" w:rsidP="009860C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w:t>
            </w:r>
          </w:p>
        </w:tc>
      </w:tr>
      <w:tr w:rsidR="003839D9" w:rsidRPr="00CD51FC" w14:paraId="626402BA" w14:textId="77777777" w:rsidTr="0048250F">
        <w:tc>
          <w:tcPr>
            <w:tcW w:w="4294" w:type="dxa"/>
            <w:vAlign w:val="center"/>
          </w:tcPr>
          <w:p w14:paraId="1F51B187" w14:textId="77777777" w:rsidR="003839D9" w:rsidRPr="00CD51FC" w:rsidRDefault="003839D9" w:rsidP="00D03A4F">
            <w:pPr>
              <w:spacing w:after="0"/>
              <w:rPr>
                <w:rFonts w:ascii="Times New Roman" w:eastAsia="Times New Roman" w:hAnsi="Times New Roman" w:cs="Times New Roman"/>
                <w:b/>
                <w:sz w:val="24"/>
                <w:szCs w:val="24"/>
                <w:lang w:eastAsia="ru-RU"/>
              </w:rPr>
            </w:pPr>
            <w:r w:rsidRPr="00CD51FC">
              <w:rPr>
                <w:rFonts w:ascii="Times New Roman" w:eastAsia="Times New Roman" w:hAnsi="Times New Roman" w:cs="Times New Roman"/>
                <w:b/>
                <w:sz w:val="24"/>
                <w:szCs w:val="24"/>
                <w:lang w:eastAsia="ru-RU"/>
              </w:rPr>
              <w:t>Численность рабочей силы - всего</w:t>
            </w:r>
          </w:p>
        </w:tc>
        <w:tc>
          <w:tcPr>
            <w:tcW w:w="2054" w:type="dxa"/>
            <w:vAlign w:val="center"/>
          </w:tcPr>
          <w:p w14:paraId="1C144F4D" w14:textId="77777777" w:rsidR="003839D9" w:rsidRPr="00CD51FC" w:rsidRDefault="003839D9" w:rsidP="0048250F">
            <w:pPr>
              <w:spacing w:after="0" w:line="240" w:lineRule="auto"/>
              <w:jc w:val="center"/>
              <w:rPr>
                <w:rFonts w:ascii="Times New Roman" w:eastAsia="Times New Roman" w:hAnsi="Times New Roman" w:cs="Times New Roman"/>
                <w:b/>
                <w:bCs/>
                <w:sz w:val="24"/>
                <w:szCs w:val="24"/>
                <w:lang w:eastAsia="ru-RU"/>
              </w:rPr>
            </w:pPr>
            <w:r w:rsidRPr="00CD51FC">
              <w:rPr>
                <w:rFonts w:ascii="Times New Roman" w:eastAsia="Times New Roman" w:hAnsi="Times New Roman" w:cs="Times New Roman"/>
                <w:b/>
                <w:bCs/>
                <w:sz w:val="24"/>
                <w:szCs w:val="24"/>
                <w:lang w:eastAsia="ru-RU"/>
              </w:rPr>
              <w:t>102,5</w:t>
            </w:r>
          </w:p>
        </w:tc>
        <w:tc>
          <w:tcPr>
            <w:tcW w:w="2054" w:type="dxa"/>
            <w:vAlign w:val="center"/>
          </w:tcPr>
          <w:p w14:paraId="52330CD8" w14:textId="77777777" w:rsidR="003839D9" w:rsidRPr="00CD51FC" w:rsidRDefault="003839D9" w:rsidP="0048250F">
            <w:pPr>
              <w:spacing w:after="0" w:line="240" w:lineRule="auto"/>
              <w:jc w:val="center"/>
              <w:rPr>
                <w:rFonts w:ascii="Times New Roman" w:eastAsia="Times New Roman" w:hAnsi="Times New Roman" w:cs="Times New Roman"/>
                <w:b/>
                <w:bCs/>
                <w:sz w:val="24"/>
                <w:szCs w:val="24"/>
                <w:lang w:eastAsia="ru-RU"/>
              </w:rPr>
            </w:pPr>
            <w:r w:rsidRPr="00CD51FC">
              <w:rPr>
                <w:rFonts w:ascii="Times New Roman" w:eastAsia="Times New Roman" w:hAnsi="Times New Roman" w:cs="Times New Roman"/>
                <w:b/>
                <w:bCs/>
                <w:sz w:val="24"/>
                <w:szCs w:val="24"/>
                <w:lang w:eastAsia="ru-RU"/>
              </w:rPr>
              <w:t>108,2</w:t>
            </w:r>
          </w:p>
        </w:tc>
        <w:tc>
          <w:tcPr>
            <w:tcW w:w="2054" w:type="dxa"/>
            <w:vAlign w:val="center"/>
          </w:tcPr>
          <w:p w14:paraId="0B80AC70" w14:textId="77777777" w:rsidR="003839D9" w:rsidRPr="00CD51FC" w:rsidRDefault="003839D9" w:rsidP="009860C9">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88,5</w:t>
            </w:r>
          </w:p>
        </w:tc>
      </w:tr>
      <w:tr w:rsidR="003839D9" w:rsidRPr="00CD51FC" w14:paraId="150665B3" w14:textId="77777777" w:rsidTr="0048250F">
        <w:tc>
          <w:tcPr>
            <w:tcW w:w="4294" w:type="dxa"/>
            <w:vAlign w:val="center"/>
          </w:tcPr>
          <w:p w14:paraId="31C982B2" w14:textId="77777777" w:rsidR="003839D9" w:rsidRPr="00CD51FC" w:rsidRDefault="003839D9"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Мужчины</w:t>
            </w:r>
          </w:p>
        </w:tc>
        <w:tc>
          <w:tcPr>
            <w:tcW w:w="2054" w:type="dxa"/>
            <w:vAlign w:val="center"/>
          </w:tcPr>
          <w:p w14:paraId="1AA7BA70" w14:textId="77777777" w:rsidR="003839D9" w:rsidRPr="00CD51FC" w:rsidRDefault="003839D9" w:rsidP="0048250F">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58,1</w:t>
            </w:r>
          </w:p>
        </w:tc>
        <w:tc>
          <w:tcPr>
            <w:tcW w:w="2054" w:type="dxa"/>
            <w:vAlign w:val="center"/>
          </w:tcPr>
          <w:p w14:paraId="2FA81103" w14:textId="77777777" w:rsidR="003839D9" w:rsidRPr="00CD51FC" w:rsidRDefault="003839D9" w:rsidP="0048250F">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64,2</w:t>
            </w:r>
          </w:p>
        </w:tc>
        <w:tc>
          <w:tcPr>
            <w:tcW w:w="2054" w:type="dxa"/>
            <w:vAlign w:val="center"/>
          </w:tcPr>
          <w:p w14:paraId="5DA16E04" w14:textId="77777777" w:rsidR="003839D9" w:rsidRPr="00CD51FC" w:rsidRDefault="003839D9" w:rsidP="009860C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50,3</w:t>
            </w:r>
          </w:p>
        </w:tc>
      </w:tr>
      <w:tr w:rsidR="003839D9" w:rsidRPr="00CD51FC" w14:paraId="126BF802" w14:textId="77777777" w:rsidTr="0048250F">
        <w:tc>
          <w:tcPr>
            <w:tcW w:w="4294" w:type="dxa"/>
            <w:vAlign w:val="center"/>
          </w:tcPr>
          <w:p w14:paraId="31783A20" w14:textId="77777777" w:rsidR="003839D9" w:rsidRPr="00CD51FC" w:rsidRDefault="003839D9"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Женщины</w:t>
            </w:r>
          </w:p>
        </w:tc>
        <w:tc>
          <w:tcPr>
            <w:tcW w:w="2054" w:type="dxa"/>
            <w:vAlign w:val="center"/>
          </w:tcPr>
          <w:p w14:paraId="6C5ABD02" w14:textId="77777777" w:rsidR="003839D9" w:rsidRPr="00CD51FC" w:rsidRDefault="003839D9" w:rsidP="0048250F">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44,4</w:t>
            </w:r>
          </w:p>
        </w:tc>
        <w:tc>
          <w:tcPr>
            <w:tcW w:w="2054" w:type="dxa"/>
            <w:vAlign w:val="center"/>
          </w:tcPr>
          <w:p w14:paraId="7011D854" w14:textId="77777777" w:rsidR="003839D9" w:rsidRPr="00CD51FC" w:rsidRDefault="003839D9" w:rsidP="0048250F">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43,9</w:t>
            </w:r>
          </w:p>
        </w:tc>
        <w:tc>
          <w:tcPr>
            <w:tcW w:w="2054" w:type="dxa"/>
            <w:vAlign w:val="center"/>
          </w:tcPr>
          <w:p w14:paraId="77A51037" w14:textId="77777777" w:rsidR="003839D9" w:rsidRPr="00CD51FC" w:rsidRDefault="003839D9" w:rsidP="009860C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38,2</w:t>
            </w:r>
          </w:p>
        </w:tc>
      </w:tr>
      <w:tr w:rsidR="003839D9" w:rsidRPr="00CD51FC" w14:paraId="29251595" w14:textId="77777777" w:rsidTr="0048250F">
        <w:tc>
          <w:tcPr>
            <w:tcW w:w="4294" w:type="dxa"/>
            <w:vAlign w:val="center"/>
          </w:tcPr>
          <w:p w14:paraId="5316191A" w14:textId="77777777" w:rsidR="003839D9" w:rsidRPr="00CD51FC" w:rsidRDefault="003839D9"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Городское население</w:t>
            </w:r>
          </w:p>
        </w:tc>
        <w:tc>
          <w:tcPr>
            <w:tcW w:w="2054" w:type="dxa"/>
            <w:vAlign w:val="center"/>
          </w:tcPr>
          <w:p w14:paraId="11CDD304" w14:textId="77777777" w:rsidR="003839D9" w:rsidRPr="00CD51FC" w:rsidRDefault="003839D9" w:rsidP="0048250F">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51,7</w:t>
            </w:r>
          </w:p>
        </w:tc>
        <w:tc>
          <w:tcPr>
            <w:tcW w:w="2054" w:type="dxa"/>
            <w:vAlign w:val="center"/>
          </w:tcPr>
          <w:p w14:paraId="2024E864" w14:textId="77777777" w:rsidR="003839D9" w:rsidRPr="00CD51FC" w:rsidRDefault="003839D9" w:rsidP="0048250F">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49,6</w:t>
            </w:r>
          </w:p>
        </w:tc>
        <w:tc>
          <w:tcPr>
            <w:tcW w:w="2054" w:type="dxa"/>
            <w:tcBorders>
              <w:top w:val="nil"/>
              <w:left w:val="single" w:sz="4" w:space="0" w:color="auto"/>
              <w:bottom w:val="single" w:sz="4" w:space="0" w:color="auto"/>
              <w:right w:val="single" w:sz="4" w:space="0" w:color="auto"/>
            </w:tcBorders>
            <w:vAlign w:val="center"/>
          </w:tcPr>
          <w:p w14:paraId="42F4170D" w14:textId="77777777" w:rsidR="003839D9" w:rsidRPr="00CD51FC" w:rsidRDefault="003839D9" w:rsidP="009860C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47,2</w:t>
            </w:r>
          </w:p>
        </w:tc>
      </w:tr>
      <w:tr w:rsidR="003839D9" w:rsidRPr="00CD51FC" w14:paraId="51D09BD8" w14:textId="77777777" w:rsidTr="0048250F">
        <w:tc>
          <w:tcPr>
            <w:tcW w:w="4294" w:type="dxa"/>
            <w:vAlign w:val="center"/>
          </w:tcPr>
          <w:p w14:paraId="0EB9B007" w14:textId="614A9470" w:rsidR="003839D9" w:rsidRPr="00CD51FC" w:rsidRDefault="003839D9"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Сельское населени</w:t>
            </w:r>
            <w:r w:rsidR="00591409">
              <w:rPr>
                <w:rFonts w:ascii="Times New Roman" w:eastAsia="Times New Roman" w:hAnsi="Times New Roman" w:cs="Times New Roman"/>
                <w:sz w:val="24"/>
                <w:szCs w:val="24"/>
                <w:lang w:eastAsia="ru-RU"/>
              </w:rPr>
              <w:t>е</w:t>
            </w:r>
          </w:p>
        </w:tc>
        <w:tc>
          <w:tcPr>
            <w:tcW w:w="2054" w:type="dxa"/>
            <w:vAlign w:val="center"/>
          </w:tcPr>
          <w:p w14:paraId="04A2A72E" w14:textId="77777777" w:rsidR="003839D9" w:rsidRPr="00CD51FC" w:rsidRDefault="003839D9" w:rsidP="0048250F">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50,9</w:t>
            </w:r>
          </w:p>
        </w:tc>
        <w:tc>
          <w:tcPr>
            <w:tcW w:w="2054" w:type="dxa"/>
            <w:vAlign w:val="center"/>
          </w:tcPr>
          <w:p w14:paraId="6EF450BF" w14:textId="77777777" w:rsidR="003839D9" w:rsidRPr="00CD51FC" w:rsidRDefault="003839D9" w:rsidP="0048250F">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58,6</w:t>
            </w:r>
          </w:p>
        </w:tc>
        <w:tc>
          <w:tcPr>
            <w:tcW w:w="2054" w:type="dxa"/>
            <w:tcBorders>
              <w:top w:val="single" w:sz="4" w:space="0" w:color="auto"/>
              <w:left w:val="single" w:sz="4" w:space="0" w:color="auto"/>
              <w:bottom w:val="nil"/>
              <w:right w:val="single" w:sz="4" w:space="0" w:color="auto"/>
            </w:tcBorders>
            <w:vAlign w:val="center"/>
          </w:tcPr>
          <w:p w14:paraId="2DCAA2B4" w14:textId="77777777" w:rsidR="003839D9" w:rsidRPr="00CD51FC" w:rsidRDefault="003839D9" w:rsidP="009860C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41,3</w:t>
            </w:r>
          </w:p>
        </w:tc>
      </w:tr>
      <w:tr w:rsidR="003839D9" w:rsidRPr="00CD51FC" w14:paraId="77310654" w14:textId="77777777" w:rsidTr="0048250F">
        <w:tc>
          <w:tcPr>
            <w:tcW w:w="4294" w:type="dxa"/>
            <w:vAlign w:val="center"/>
          </w:tcPr>
          <w:p w14:paraId="4AF7A01C" w14:textId="77777777" w:rsidR="003839D9" w:rsidRPr="00CD51FC" w:rsidRDefault="003839D9" w:rsidP="00D03A4F">
            <w:pPr>
              <w:spacing w:after="0"/>
              <w:rPr>
                <w:rFonts w:ascii="Times New Roman" w:eastAsia="Times New Roman" w:hAnsi="Times New Roman" w:cs="Times New Roman"/>
                <w:b/>
                <w:sz w:val="24"/>
                <w:szCs w:val="24"/>
                <w:lang w:eastAsia="ru-RU"/>
              </w:rPr>
            </w:pPr>
            <w:r w:rsidRPr="00CD51FC">
              <w:rPr>
                <w:rFonts w:ascii="Times New Roman" w:eastAsia="Times New Roman" w:hAnsi="Times New Roman" w:cs="Times New Roman"/>
                <w:b/>
                <w:sz w:val="24"/>
                <w:szCs w:val="24"/>
                <w:lang w:eastAsia="ru-RU"/>
              </w:rPr>
              <w:t>Численность занятого населения - всего</w:t>
            </w:r>
          </w:p>
        </w:tc>
        <w:tc>
          <w:tcPr>
            <w:tcW w:w="2054" w:type="dxa"/>
            <w:vAlign w:val="center"/>
          </w:tcPr>
          <w:p w14:paraId="18C62891" w14:textId="77777777" w:rsidR="003839D9" w:rsidRPr="00CD51FC" w:rsidRDefault="003839D9" w:rsidP="0048250F">
            <w:pPr>
              <w:spacing w:after="0"/>
              <w:jc w:val="center"/>
              <w:rPr>
                <w:rFonts w:ascii="Times New Roman" w:eastAsia="Times New Roman" w:hAnsi="Times New Roman" w:cs="Times New Roman"/>
                <w:b/>
                <w:sz w:val="24"/>
                <w:szCs w:val="24"/>
                <w:lang w:eastAsia="ru-RU"/>
              </w:rPr>
            </w:pPr>
            <w:r w:rsidRPr="00CD51FC">
              <w:rPr>
                <w:rFonts w:ascii="Times New Roman" w:eastAsia="Times New Roman" w:hAnsi="Times New Roman" w:cs="Times New Roman"/>
                <w:b/>
                <w:sz w:val="24"/>
                <w:szCs w:val="24"/>
                <w:lang w:eastAsia="ru-RU"/>
              </w:rPr>
              <w:t>78,2</w:t>
            </w:r>
          </w:p>
        </w:tc>
        <w:tc>
          <w:tcPr>
            <w:tcW w:w="2054" w:type="dxa"/>
            <w:vAlign w:val="center"/>
          </w:tcPr>
          <w:p w14:paraId="050F06B7" w14:textId="77777777" w:rsidR="003839D9" w:rsidRPr="00CD51FC" w:rsidRDefault="003839D9" w:rsidP="0048250F">
            <w:pPr>
              <w:spacing w:after="0"/>
              <w:jc w:val="center"/>
              <w:rPr>
                <w:rFonts w:ascii="Times New Roman" w:eastAsia="Times New Roman" w:hAnsi="Times New Roman" w:cs="Times New Roman"/>
                <w:b/>
                <w:sz w:val="24"/>
                <w:szCs w:val="24"/>
                <w:lang w:eastAsia="ru-RU"/>
              </w:rPr>
            </w:pPr>
            <w:r w:rsidRPr="00CD51FC">
              <w:rPr>
                <w:rFonts w:ascii="Times New Roman" w:eastAsia="Times New Roman" w:hAnsi="Times New Roman" w:cs="Times New Roman"/>
                <w:b/>
                <w:sz w:val="24"/>
                <w:szCs w:val="24"/>
                <w:lang w:eastAsia="ru-RU"/>
              </w:rPr>
              <w:t>78,5</w:t>
            </w:r>
          </w:p>
        </w:tc>
        <w:tc>
          <w:tcPr>
            <w:tcW w:w="2054" w:type="dxa"/>
            <w:vAlign w:val="center"/>
          </w:tcPr>
          <w:p w14:paraId="2C814B43" w14:textId="77777777" w:rsidR="003839D9" w:rsidRPr="00CD51FC" w:rsidRDefault="003839D9" w:rsidP="009860C9">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62,0</w:t>
            </w:r>
          </w:p>
        </w:tc>
      </w:tr>
      <w:tr w:rsidR="003839D9" w:rsidRPr="00CD51FC" w14:paraId="0474FFD1" w14:textId="77777777" w:rsidTr="0048250F">
        <w:tc>
          <w:tcPr>
            <w:tcW w:w="4294" w:type="dxa"/>
            <w:vAlign w:val="center"/>
          </w:tcPr>
          <w:p w14:paraId="2ECCBF2D" w14:textId="77777777" w:rsidR="003839D9" w:rsidRPr="00CD51FC" w:rsidRDefault="003839D9"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Мужчины</w:t>
            </w:r>
          </w:p>
        </w:tc>
        <w:tc>
          <w:tcPr>
            <w:tcW w:w="2054" w:type="dxa"/>
            <w:vAlign w:val="center"/>
          </w:tcPr>
          <w:p w14:paraId="7FCEE228" w14:textId="77777777" w:rsidR="003839D9" w:rsidRPr="00CD51FC" w:rsidRDefault="003839D9" w:rsidP="0048250F">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44,3</w:t>
            </w:r>
          </w:p>
        </w:tc>
        <w:tc>
          <w:tcPr>
            <w:tcW w:w="2054" w:type="dxa"/>
            <w:vAlign w:val="center"/>
          </w:tcPr>
          <w:p w14:paraId="3EC71D4E" w14:textId="77777777" w:rsidR="003839D9" w:rsidRPr="00CD51FC" w:rsidRDefault="003839D9" w:rsidP="0048250F">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45,9</w:t>
            </w:r>
          </w:p>
        </w:tc>
        <w:tc>
          <w:tcPr>
            <w:tcW w:w="2054" w:type="dxa"/>
            <w:vAlign w:val="center"/>
          </w:tcPr>
          <w:p w14:paraId="77BC0E14" w14:textId="77777777" w:rsidR="003839D9" w:rsidRPr="00CD51FC" w:rsidRDefault="003839D9" w:rsidP="009860C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r>
      <w:tr w:rsidR="003839D9" w:rsidRPr="00CD51FC" w14:paraId="5AE51BE0" w14:textId="77777777" w:rsidTr="0048250F">
        <w:tc>
          <w:tcPr>
            <w:tcW w:w="4294" w:type="dxa"/>
            <w:vAlign w:val="center"/>
          </w:tcPr>
          <w:p w14:paraId="1786B3CB" w14:textId="77777777" w:rsidR="003839D9" w:rsidRPr="00CD51FC" w:rsidRDefault="003839D9"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Женщины</w:t>
            </w:r>
          </w:p>
        </w:tc>
        <w:tc>
          <w:tcPr>
            <w:tcW w:w="2054" w:type="dxa"/>
            <w:vAlign w:val="center"/>
          </w:tcPr>
          <w:p w14:paraId="25AC356F" w14:textId="77777777" w:rsidR="003839D9" w:rsidRPr="00CD51FC" w:rsidRDefault="003839D9" w:rsidP="0048250F">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33,9</w:t>
            </w:r>
          </w:p>
        </w:tc>
        <w:tc>
          <w:tcPr>
            <w:tcW w:w="2054" w:type="dxa"/>
            <w:vAlign w:val="center"/>
          </w:tcPr>
          <w:p w14:paraId="5A8AB020" w14:textId="77777777" w:rsidR="003839D9" w:rsidRPr="00CD51FC" w:rsidRDefault="003839D9" w:rsidP="0048250F">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32,5</w:t>
            </w:r>
          </w:p>
        </w:tc>
        <w:tc>
          <w:tcPr>
            <w:tcW w:w="2054" w:type="dxa"/>
            <w:vAlign w:val="center"/>
          </w:tcPr>
          <w:p w14:paraId="15939C6F" w14:textId="77777777" w:rsidR="003839D9" w:rsidRPr="00CD51FC" w:rsidRDefault="003839D9" w:rsidP="009860C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w:t>
            </w:r>
          </w:p>
        </w:tc>
      </w:tr>
      <w:tr w:rsidR="003839D9" w:rsidRPr="00CD51FC" w14:paraId="620A1F3B" w14:textId="77777777" w:rsidTr="0048250F">
        <w:tc>
          <w:tcPr>
            <w:tcW w:w="4294" w:type="dxa"/>
            <w:vAlign w:val="center"/>
          </w:tcPr>
          <w:p w14:paraId="226B3A24" w14:textId="77777777" w:rsidR="003839D9" w:rsidRPr="00CD51FC" w:rsidRDefault="003839D9"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Городское население</w:t>
            </w:r>
          </w:p>
        </w:tc>
        <w:tc>
          <w:tcPr>
            <w:tcW w:w="2054" w:type="dxa"/>
            <w:vAlign w:val="center"/>
          </w:tcPr>
          <w:p w14:paraId="06A241C9" w14:textId="77777777" w:rsidR="003839D9" w:rsidRPr="00CD51FC" w:rsidRDefault="003839D9" w:rsidP="0048250F">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35,1</w:t>
            </w:r>
          </w:p>
        </w:tc>
        <w:tc>
          <w:tcPr>
            <w:tcW w:w="2054" w:type="dxa"/>
            <w:vAlign w:val="center"/>
          </w:tcPr>
          <w:p w14:paraId="19C2732B" w14:textId="77777777" w:rsidR="003839D9" w:rsidRPr="00CD51FC" w:rsidRDefault="003839D9" w:rsidP="0048250F">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32,6</w:t>
            </w:r>
          </w:p>
        </w:tc>
        <w:tc>
          <w:tcPr>
            <w:tcW w:w="2054" w:type="dxa"/>
            <w:tcBorders>
              <w:top w:val="nil"/>
              <w:left w:val="single" w:sz="4" w:space="0" w:color="auto"/>
              <w:bottom w:val="single" w:sz="4" w:space="0" w:color="auto"/>
              <w:right w:val="single" w:sz="4" w:space="0" w:color="auto"/>
            </w:tcBorders>
            <w:vAlign w:val="center"/>
          </w:tcPr>
          <w:p w14:paraId="53C90679" w14:textId="77777777" w:rsidR="003839D9" w:rsidRPr="00CD51FC" w:rsidRDefault="003839D9" w:rsidP="009860C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30,1</w:t>
            </w:r>
          </w:p>
        </w:tc>
      </w:tr>
      <w:tr w:rsidR="003839D9" w:rsidRPr="00CD51FC" w14:paraId="6BCB9D0E" w14:textId="77777777" w:rsidTr="0048250F">
        <w:tc>
          <w:tcPr>
            <w:tcW w:w="4294" w:type="dxa"/>
            <w:vAlign w:val="center"/>
          </w:tcPr>
          <w:p w14:paraId="395CFB04" w14:textId="3BBFE3D3" w:rsidR="003839D9" w:rsidRPr="00CD51FC" w:rsidRDefault="003839D9"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Сельское населени</w:t>
            </w:r>
            <w:r w:rsidR="00591409">
              <w:rPr>
                <w:rFonts w:ascii="Times New Roman" w:eastAsia="Times New Roman" w:hAnsi="Times New Roman" w:cs="Times New Roman"/>
                <w:sz w:val="24"/>
                <w:szCs w:val="24"/>
                <w:lang w:eastAsia="ru-RU"/>
              </w:rPr>
              <w:t>е</w:t>
            </w:r>
          </w:p>
        </w:tc>
        <w:tc>
          <w:tcPr>
            <w:tcW w:w="2054" w:type="dxa"/>
            <w:vAlign w:val="center"/>
          </w:tcPr>
          <w:p w14:paraId="3F16A776" w14:textId="77777777" w:rsidR="003839D9" w:rsidRPr="00CD51FC" w:rsidRDefault="003839D9" w:rsidP="0048250F">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43,1</w:t>
            </w:r>
          </w:p>
        </w:tc>
        <w:tc>
          <w:tcPr>
            <w:tcW w:w="2054" w:type="dxa"/>
            <w:vAlign w:val="center"/>
          </w:tcPr>
          <w:p w14:paraId="63233FFE" w14:textId="77777777" w:rsidR="003839D9" w:rsidRPr="00CD51FC" w:rsidRDefault="003839D9" w:rsidP="0048250F">
            <w:pPr>
              <w:spacing w:after="0"/>
              <w:jc w:val="center"/>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45,9</w:t>
            </w:r>
          </w:p>
        </w:tc>
        <w:tc>
          <w:tcPr>
            <w:tcW w:w="2054" w:type="dxa"/>
            <w:tcBorders>
              <w:top w:val="single" w:sz="4" w:space="0" w:color="auto"/>
              <w:left w:val="single" w:sz="4" w:space="0" w:color="auto"/>
              <w:bottom w:val="single" w:sz="4" w:space="0" w:color="auto"/>
              <w:right w:val="single" w:sz="4" w:space="0" w:color="auto"/>
            </w:tcBorders>
            <w:vAlign w:val="center"/>
          </w:tcPr>
          <w:p w14:paraId="5A5AE337" w14:textId="77777777" w:rsidR="003839D9" w:rsidRPr="00CD51FC" w:rsidRDefault="003839D9" w:rsidP="009860C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32,0</w:t>
            </w:r>
          </w:p>
        </w:tc>
      </w:tr>
      <w:tr w:rsidR="003839D9" w:rsidRPr="00CD51FC" w14:paraId="349977AF" w14:textId="77777777" w:rsidTr="0048250F">
        <w:tc>
          <w:tcPr>
            <w:tcW w:w="4294" w:type="dxa"/>
            <w:vAlign w:val="center"/>
          </w:tcPr>
          <w:p w14:paraId="7D550763" w14:textId="77777777" w:rsidR="003839D9" w:rsidRPr="00CD51FC" w:rsidRDefault="003839D9" w:rsidP="00D03A4F">
            <w:pPr>
              <w:spacing w:after="0"/>
              <w:rPr>
                <w:rFonts w:ascii="Times New Roman" w:eastAsia="Times New Roman" w:hAnsi="Times New Roman" w:cs="Times New Roman"/>
                <w:b/>
                <w:sz w:val="24"/>
                <w:szCs w:val="24"/>
                <w:lang w:eastAsia="ru-RU"/>
              </w:rPr>
            </w:pPr>
            <w:r w:rsidRPr="00CD51FC">
              <w:rPr>
                <w:rFonts w:ascii="Times New Roman" w:eastAsia="Times New Roman" w:hAnsi="Times New Roman" w:cs="Times New Roman"/>
                <w:b/>
                <w:sz w:val="24"/>
                <w:szCs w:val="24"/>
                <w:lang w:eastAsia="ru-RU"/>
              </w:rPr>
              <w:t>Численность безработных* - всего</w:t>
            </w:r>
          </w:p>
        </w:tc>
        <w:tc>
          <w:tcPr>
            <w:tcW w:w="2054" w:type="dxa"/>
            <w:vAlign w:val="center"/>
          </w:tcPr>
          <w:p w14:paraId="420950FC" w14:textId="77777777" w:rsidR="003839D9" w:rsidRPr="00CD51FC" w:rsidRDefault="003839D9" w:rsidP="0048250F">
            <w:pPr>
              <w:spacing w:after="0" w:line="240" w:lineRule="auto"/>
              <w:jc w:val="center"/>
              <w:rPr>
                <w:rFonts w:ascii="Times New Roman" w:eastAsia="Times New Roman" w:hAnsi="Times New Roman" w:cs="Times New Roman"/>
                <w:b/>
                <w:bCs/>
                <w:sz w:val="24"/>
                <w:szCs w:val="24"/>
                <w:lang w:eastAsia="ru-RU"/>
              </w:rPr>
            </w:pPr>
            <w:r w:rsidRPr="00CD51FC">
              <w:rPr>
                <w:rFonts w:ascii="Times New Roman" w:eastAsia="Times New Roman" w:hAnsi="Times New Roman" w:cs="Times New Roman"/>
                <w:b/>
                <w:bCs/>
                <w:sz w:val="24"/>
                <w:szCs w:val="24"/>
                <w:lang w:eastAsia="ru-RU"/>
              </w:rPr>
              <w:t>24,3</w:t>
            </w:r>
          </w:p>
        </w:tc>
        <w:tc>
          <w:tcPr>
            <w:tcW w:w="2054" w:type="dxa"/>
            <w:vAlign w:val="center"/>
          </w:tcPr>
          <w:p w14:paraId="7A749C4D" w14:textId="77777777" w:rsidR="003839D9" w:rsidRPr="00CD51FC" w:rsidRDefault="003839D9" w:rsidP="0048250F">
            <w:pPr>
              <w:spacing w:after="0" w:line="240" w:lineRule="auto"/>
              <w:jc w:val="center"/>
              <w:rPr>
                <w:rFonts w:ascii="Times New Roman" w:eastAsia="Times New Roman" w:hAnsi="Times New Roman" w:cs="Times New Roman"/>
                <w:b/>
                <w:bCs/>
                <w:sz w:val="24"/>
                <w:szCs w:val="24"/>
                <w:lang w:eastAsia="ru-RU"/>
              </w:rPr>
            </w:pPr>
            <w:r w:rsidRPr="00CD51FC">
              <w:rPr>
                <w:rFonts w:ascii="Times New Roman" w:eastAsia="Times New Roman" w:hAnsi="Times New Roman" w:cs="Times New Roman"/>
                <w:b/>
                <w:bCs/>
                <w:sz w:val="24"/>
                <w:szCs w:val="24"/>
                <w:lang w:eastAsia="ru-RU"/>
              </w:rPr>
              <w:t>29,7</w:t>
            </w:r>
          </w:p>
        </w:tc>
        <w:tc>
          <w:tcPr>
            <w:tcW w:w="2054" w:type="dxa"/>
            <w:vAlign w:val="center"/>
          </w:tcPr>
          <w:p w14:paraId="669D1E1F" w14:textId="77777777" w:rsidR="003839D9" w:rsidRPr="00CD51FC" w:rsidRDefault="003839D9" w:rsidP="009860C9">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26,4</w:t>
            </w:r>
          </w:p>
        </w:tc>
      </w:tr>
      <w:tr w:rsidR="003839D9" w:rsidRPr="00CD51FC" w14:paraId="18A0E0C4" w14:textId="77777777" w:rsidTr="0048250F">
        <w:tc>
          <w:tcPr>
            <w:tcW w:w="4294" w:type="dxa"/>
            <w:vAlign w:val="center"/>
          </w:tcPr>
          <w:p w14:paraId="7E91480A" w14:textId="77777777" w:rsidR="003839D9" w:rsidRPr="00CD51FC" w:rsidRDefault="003839D9"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Мужчины</w:t>
            </w:r>
          </w:p>
        </w:tc>
        <w:tc>
          <w:tcPr>
            <w:tcW w:w="2054" w:type="dxa"/>
            <w:vAlign w:val="center"/>
          </w:tcPr>
          <w:p w14:paraId="2685B52D" w14:textId="77777777" w:rsidR="003839D9" w:rsidRPr="00CD51FC" w:rsidRDefault="003839D9" w:rsidP="0048250F">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13,8</w:t>
            </w:r>
          </w:p>
        </w:tc>
        <w:tc>
          <w:tcPr>
            <w:tcW w:w="2054" w:type="dxa"/>
            <w:vAlign w:val="center"/>
          </w:tcPr>
          <w:p w14:paraId="72843777" w14:textId="77777777" w:rsidR="003839D9" w:rsidRPr="00CD51FC" w:rsidRDefault="003839D9" w:rsidP="0048250F">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18,3</w:t>
            </w:r>
          </w:p>
        </w:tc>
        <w:tc>
          <w:tcPr>
            <w:tcW w:w="2054" w:type="dxa"/>
            <w:vAlign w:val="center"/>
          </w:tcPr>
          <w:p w14:paraId="5550D24E" w14:textId="77777777" w:rsidR="003839D9" w:rsidRPr="00CD51FC" w:rsidRDefault="003839D9" w:rsidP="009860C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w:t>
            </w:r>
          </w:p>
        </w:tc>
      </w:tr>
      <w:tr w:rsidR="003839D9" w:rsidRPr="00CD51FC" w14:paraId="5B0CA0B5" w14:textId="77777777" w:rsidTr="0048250F">
        <w:tc>
          <w:tcPr>
            <w:tcW w:w="4294" w:type="dxa"/>
            <w:vAlign w:val="center"/>
          </w:tcPr>
          <w:p w14:paraId="6EDB7E4A" w14:textId="77777777" w:rsidR="003839D9" w:rsidRPr="00CD51FC" w:rsidRDefault="003839D9"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Женщины</w:t>
            </w:r>
          </w:p>
        </w:tc>
        <w:tc>
          <w:tcPr>
            <w:tcW w:w="2054" w:type="dxa"/>
            <w:vAlign w:val="center"/>
          </w:tcPr>
          <w:p w14:paraId="7588DAD6" w14:textId="77777777" w:rsidR="003839D9" w:rsidRPr="00CD51FC" w:rsidRDefault="003839D9" w:rsidP="0048250F">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10,5</w:t>
            </w:r>
          </w:p>
        </w:tc>
        <w:tc>
          <w:tcPr>
            <w:tcW w:w="2054" w:type="dxa"/>
            <w:vAlign w:val="center"/>
          </w:tcPr>
          <w:p w14:paraId="1E402A9F" w14:textId="77777777" w:rsidR="003839D9" w:rsidRPr="00CD51FC" w:rsidRDefault="003839D9" w:rsidP="0048250F">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11,4</w:t>
            </w:r>
          </w:p>
        </w:tc>
        <w:tc>
          <w:tcPr>
            <w:tcW w:w="2054" w:type="dxa"/>
            <w:vAlign w:val="center"/>
          </w:tcPr>
          <w:p w14:paraId="1EAFD860" w14:textId="77777777" w:rsidR="003839D9" w:rsidRPr="00CD51FC" w:rsidRDefault="003839D9" w:rsidP="009860C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r>
      <w:tr w:rsidR="003839D9" w:rsidRPr="00CD51FC" w14:paraId="458FDE67" w14:textId="77777777" w:rsidTr="0048250F">
        <w:tc>
          <w:tcPr>
            <w:tcW w:w="4294" w:type="dxa"/>
            <w:vAlign w:val="center"/>
          </w:tcPr>
          <w:p w14:paraId="0E7E24B0" w14:textId="77777777" w:rsidR="003839D9" w:rsidRPr="00CD51FC" w:rsidRDefault="003839D9"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Городское население</w:t>
            </w:r>
          </w:p>
        </w:tc>
        <w:tc>
          <w:tcPr>
            <w:tcW w:w="2054" w:type="dxa"/>
            <w:vAlign w:val="center"/>
          </w:tcPr>
          <w:p w14:paraId="18521AC1" w14:textId="77777777" w:rsidR="003839D9" w:rsidRPr="00CD51FC" w:rsidRDefault="003839D9" w:rsidP="0048250F">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16,6</w:t>
            </w:r>
          </w:p>
        </w:tc>
        <w:tc>
          <w:tcPr>
            <w:tcW w:w="2054" w:type="dxa"/>
            <w:vAlign w:val="center"/>
          </w:tcPr>
          <w:p w14:paraId="20D9150A" w14:textId="77777777" w:rsidR="003839D9" w:rsidRPr="00CD51FC" w:rsidRDefault="003839D9" w:rsidP="0048250F">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17,0</w:t>
            </w:r>
          </w:p>
        </w:tc>
        <w:tc>
          <w:tcPr>
            <w:tcW w:w="2054" w:type="dxa"/>
            <w:tcBorders>
              <w:top w:val="nil"/>
              <w:left w:val="single" w:sz="4" w:space="0" w:color="auto"/>
              <w:bottom w:val="single" w:sz="4" w:space="0" w:color="auto"/>
              <w:right w:val="single" w:sz="4" w:space="0" w:color="auto"/>
            </w:tcBorders>
            <w:vAlign w:val="center"/>
          </w:tcPr>
          <w:p w14:paraId="4308D994" w14:textId="77777777" w:rsidR="003839D9" w:rsidRPr="00CD51FC" w:rsidRDefault="003839D9" w:rsidP="009860C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17,1</w:t>
            </w:r>
          </w:p>
        </w:tc>
      </w:tr>
      <w:tr w:rsidR="003839D9" w:rsidRPr="00CD51FC" w14:paraId="7F7D4A54" w14:textId="77777777" w:rsidTr="0048250F">
        <w:tc>
          <w:tcPr>
            <w:tcW w:w="4294" w:type="dxa"/>
            <w:vAlign w:val="center"/>
          </w:tcPr>
          <w:p w14:paraId="3B53F4E1" w14:textId="05322821" w:rsidR="003839D9" w:rsidRPr="00CD51FC" w:rsidRDefault="003839D9" w:rsidP="00D03A4F">
            <w:pPr>
              <w:spacing w:after="0"/>
              <w:rPr>
                <w:rFonts w:ascii="Times New Roman" w:eastAsia="Times New Roman" w:hAnsi="Times New Roman" w:cs="Times New Roman"/>
                <w:sz w:val="24"/>
                <w:szCs w:val="24"/>
                <w:lang w:eastAsia="ru-RU"/>
              </w:rPr>
            </w:pPr>
            <w:r w:rsidRPr="00CD51FC">
              <w:rPr>
                <w:rFonts w:ascii="Times New Roman" w:eastAsia="Times New Roman" w:hAnsi="Times New Roman" w:cs="Times New Roman"/>
                <w:sz w:val="24"/>
                <w:szCs w:val="24"/>
                <w:lang w:eastAsia="ru-RU"/>
              </w:rPr>
              <w:t>Сельское населени</w:t>
            </w:r>
            <w:r w:rsidR="00591409">
              <w:rPr>
                <w:rFonts w:ascii="Times New Roman" w:eastAsia="Times New Roman" w:hAnsi="Times New Roman" w:cs="Times New Roman"/>
                <w:sz w:val="24"/>
                <w:szCs w:val="24"/>
                <w:lang w:eastAsia="ru-RU"/>
              </w:rPr>
              <w:t>е</w:t>
            </w:r>
          </w:p>
        </w:tc>
        <w:tc>
          <w:tcPr>
            <w:tcW w:w="2054" w:type="dxa"/>
            <w:vAlign w:val="center"/>
          </w:tcPr>
          <w:p w14:paraId="1EE61EF4" w14:textId="77777777" w:rsidR="003839D9" w:rsidRPr="00CD51FC" w:rsidRDefault="003839D9" w:rsidP="0048250F">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7,7</w:t>
            </w:r>
          </w:p>
        </w:tc>
        <w:tc>
          <w:tcPr>
            <w:tcW w:w="2054" w:type="dxa"/>
            <w:vAlign w:val="center"/>
          </w:tcPr>
          <w:p w14:paraId="7D3E277E" w14:textId="77777777" w:rsidR="003839D9" w:rsidRPr="00CD51FC" w:rsidRDefault="003839D9" w:rsidP="0048250F">
            <w:pPr>
              <w:spacing w:after="0" w:line="240" w:lineRule="auto"/>
              <w:jc w:val="center"/>
              <w:rPr>
                <w:rFonts w:ascii="Times New Roman" w:eastAsia="Times New Roman" w:hAnsi="Times New Roman" w:cs="Times New Roman"/>
                <w:bCs/>
                <w:sz w:val="24"/>
                <w:szCs w:val="24"/>
                <w:lang w:eastAsia="ru-RU"/>
              </w:rPr>
            </w:pPr>
            <w:r w:rsidRPr="00CD51FC">
              <w:rPr>
                <w:rFonts w:ascii="Times New Roman" w:eastAsia="Times New Roman" w:hAnsi="Times New Roman" w:cs="Times New Roman"/>
                <w:bCs/>
                <w:sz w:val="24"/>
                <w:szCs w:val="24"/>
                <w:lang w:eastAsia="ru-RU"/>
              </w:rPr>
              <w:t>12,7</w:t>
            </w:r>
          </w:p>
        </w:tc>
        <w:tc>
          <w:tcPr>
            <w:tcW w:w="2054" w:type="dxa"/>
            <w:tcBorders>
              <w:top w:val="single" w:sz="4" w:space="0" w:color="auto"/>
              <w:left w:val="single" w:sz="4" w:space="0" w:color="auto"/>
              <w:bottom w:val="single" w:sz="4" w:space="0" w:color="auto"/>
              <w:right w:val="single" w:sz="4" w:space="0" w:color="auto"/>
            </w:tcBorders>
            <w:vAlign w:val="center"/>
          </w:tcPr>
          <w:p w14:paraId="547DF719" w14:textId="77777777" w:rsidR="003839D9" w:rsidRPr="00CD51FC" w:rsidRDefault="003839D9" w:rsidP="009860C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9,3</w:t>
            </w:r>
          </w:p>
        </w:tc>
      </w:tr>
    </w:tbl>
    <w:p w14:paraId="049966F7" w14:textId="77777777" w:rsidR="00D03A4F" w:rsidRPr="00CD51FC" w:rsidRDefault="00D03A4F" w:rsidP="00D03A4F">
      <w:pPr>
        <w:spacing w:after="0" w:line="240" w:lineRule="auto"/>
        <w:jc w:val="center"/>
        <w:rPr>
          <w:rFonts w:ascii="Times New Roman" w:eastAsia="Times New Roman" w:hAnsi="Times New Roman" w:cs="Times New Roman"/>
          <w:sz w:val="24"/>
          <w:szCs w:val="24"/>
          <w:lang w:eastAsia="ru-RU"/>
        </w:rPr>
      </w:pPr>
    </w:p>
    <w:p w14:paraId="0C0FBB52" w14:textId="77777777" w:rsidR="00D03A4F" w:rsidRPr="00CD51FC" w:rsidRDefault="00D03A4F" w:rsidP="00D03A4F">
      <w:pPr>
        <w:spacing w:after="0" w:line="240" w:lineRule="auto"/>
        <w:ind w:firstLine="284"/>
        <w:jc w:val="both"/>
        <w:rPr>
          <w:rFonts w:ascii="Times New Roman" w:eastAsia="Times New Roman" w:hAnsi="Times New Roman" w:cs="Times New Roman"/>
          <w:lang w:eastAsia="ru-RU"/>
        </w:rPr>
      </w:pPr>
      <w:r w:rsidRPr="00CD51FC">
        <w:rPr>
          <w:rFonts w:ascii="Times New Roman" w:eastAsia="Times New Roman" w:hAnsi="Times New Roman" w:cs="Times New Roman"/>
          <w:lang w:eastAsia="ru-RU"/>
        </w:rPr>
        <w:t xml:space="preserve">* </w:t>
      </w:r>
      <w:r w:rsidR="00F637A6" w:rsidRPr="00CD51FC">
        <w:rPr>
          <w:rFonts w:ascii="Times New Roman" w:eastAsia="Times New Roman" w:hAnsi="Times New Roman" w:cs="Times New Roman"/>
          <w:lang w:eastAsia="ru-RU"/>
        </w:rPr>
        <w:t>Здесь и далее к</w:t>
      </w:r>
      <w:r w:rsidRPr="00CD51FC">
        <w:rPr>
          <w:rFonts w:ascii="Times New Roman" w:eastAsia="Times New Roman" w:hAnsi="Times New Roman" w:cs="Times New Roman"/>
          <w:lang w:eastAsia="ru-RU"/>
        </w:rPr>
        <w:t xml:space="preserve"> безработным относятся лица, которые в соответствии с определениями МОТ удовлетворяли одновременно следующим критериям: не имели работы (доходного занятия), занимались поиском работы</w:t>
      </w:r>
      <w:r w:rsidR="00F637A6" w:rsidRPr="00CD51FC">
        <w:rPr>
          <w:rFonts w:ascii="Times New Roman" w:eastAsia="Times New Roman" w:hAnsi="Times New Roman" w:cs="Times New Roman"/>
          <w:lang w:eastAsia="ru-RU"/>
        </w:rPr>
        <w:t xml:space="preserve"> в течение последних четырех недель, используя при этом любые способы</w:t>
      </w:r>
      <w:r w:rsidRPr="00CD51FC">
        <w:rPr>
          <w:rFonts w:ascii="Times New Roman" w:eastAsia="Times New Roman" w:hAnsi="Times New Roman" w:cs="Times New Roman"/>
          <w:lang w:eastAsia="ru-RU"/>
        </w:rPr>
        <w:t>, были готовы приступить к работе в течение обследуемой недели.</w:t>
      </w:r>
    </w:p>
    <w:p w14:paraId="5291E4FF" w14:textId="77777777"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14:paraId="420AEAEB" w14:textId="77777777"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14:paraId="37E322DF" w14:textId="77777777" w:rsidR="00D03A4F" w:rsidRPr="00FD260B" w:rsidRDefault="00D03A4F" w:rsidP="00D03A4F">
      <w:pPr>
        <w:spacing w:after="0" w:line="240" w:lineRule="auto"/>
        <w:jc w:val="right"/>
        <w:rPr>
          <w:rFonts w:ascii="Times New Roman" w:eastAsia="Times New Roman" w:hAnsi="Times New Roman" w:cs="Times New Roman"/>
          <w:sz w:val="26"/>
          <w:szCs w:val="26"/>
          <w:lang w:eastAsia="ru-RU"/>
        </w:rPr>
      </w:pPr>
      <w:r w:rsidRPr="00FD260B">
        <w:rPr>
          <w:rFonts w:ascii="Times New Roman" w:eastAsia="Times New Roman" w:hAnsi="Times New Roman" w:cs="Times New Roman"/>
          <w:sz w:val="26"/>
          <w:szCs w:val="26"/>
          <w:lang w:eastAsia="ru-RU"/>
        </w:rPr>
        <w:t>Таблица</w:t>
      </w:r>
      <w:r w:rsidR="008737BB">
        <w:rPr>
          <w:rFonts w:ascii="Times New Roman" w:eastAsia="Times New Roman" w:hAnsi="Times New Roman" w:cs="Times New Roman"/>
          <w:sz w:val="26"/>
          <w:szCs w:val="26"/>
          <w:lang w:eastAsia="ru-RU"/>
        </w:rPr>
        <w:t xml:space="preserve"> 29</w:t>
      </w:r>
    </w:p>
    <w:p w14:paraId="1FBD9543" w14:textId="77777777" w:rsidR="00D03A4F" w:rsidRPr="00FD260B" w:rsidRDefault="00D03A4F" w:rsidP="00D03A4F">
      <w:pPr>
        <w:spacing w:after="0" w:line="240" w:lineRule="auto"/>
        <w:jc w:val="right"/>
        <w:rPr>
          <w:rFonts w:ascii="Times New Roman" w:eastAsia="Times New Roman" w:hAnsi="Times New Roman" w:cs="Times New Roman"/>
          <w:sz w:val="26"/>
          <w:szCs w:val="26"/>
          <w:lang w:eastAsia="ru-RU"/>
        </w:rPr>
      </w:pPr>
    </w:p>
    <w:p w14:paraId="4713F36C" w14:textId="77777777" w:rsidR="00D03A4F" w:rsidRPr="00FD260B" w:rsidRDefault="00D03A4F" w:rsidP="00D03A4F">
      <w:pPr>
        <w:spacing w:after="0" w:line="240" w:lineRule="auto"/>
        <w:jc w:val="center"/>
        <w:rPr>
          <w:rFonts w:ascii="Times New Roman" w:eastAsia="Times New Roman" w:hAnsi="Times New Roman" w:cs="Times New Roman"/>
          <w:b/>
          <w:bCs/>
          <w:sz w:val="26"/>
          <w:szCs w:val="26"/>
          <w:lang w:eastAsia="ru-RU"/>
        </w:rPr>
      </w:pPr>
      <w:r w:rsidRPr="00FD260B">
        <w:rPr>
          <w:rFonts w:ascii="Times New Roman" w:eastAsia="Times New Roman" w:hAnsi="Times New Roman" w:cs="Times New Roman"/>
          <w:b/>
          <w:bCs/>
          <w:sz w:val="26"/>
          <w:szCs w:val="26"/>
          <w:lang w:eastAsia="ru-RU"/>
        </w:rPr>
        <w:t>Уровень участия в рабочей силе, уровень занятости и безработицы населения в возрасте 15-17 лет</w:t>
      </w:r>
    </w:p>
    <w:p w14:paraId="636E4608" w14:textId="77777777" w:rsidR="00D03A4F" w:rsidRPr="00FD260B" w:rsidRDefault="00D03A4F" w:rsidP="00D03A4F">
      <w:pPr>
        <w:spacing w:after="0" w:line="240" w:lineRule="auto"/>
        <w:jc w:val="center"/>
        <w:rPr>
          <w:rFonts w:ascii="Times New Roman" w:eastAsia="Times New Roman" w:hAnsi="Times New Roman" w:cs="Times New Roman"/>
          <w:bCs/>
          <w:sz w:val="24"/>
          <w:szCs w:val="24"/>
          <w:lang w:eastAsia="ru-RU"/>
        </w:rPr>
      </w:pPr>
      <w:r w:rsidRPr="00FD260B">
        <w:rPr>
          <w:rFonts w:ascii="Times New Roman" w:eastAsia="Times New Roman" w:hAnsi="Times New Roman" w:cs="Times New Roman"/>
          <w:bCs/>
          <w:sz w:val="24"/>
          <w:szCs w:val="24"/>
          <w:lang w:eastAsia="ru-RU"/>
        </w:rPr>
        <w:t>(по данным выборочного обследования рабочей силы, в процентах)</w:t>
      </w:r>
    </w:p>
    <w:p w14:paraId="18818BE8" w14:textId="77777777" w:rsidR="00D03A4F" w:rsidRPr="00FD260B" w:rsidRDefault="00D03A4F" w:rsidP="00D03A4F">
      <w:pPr>
        <w:spacing w:after="0" w:line="240" w:lineRule="auto"/>
        <w:jc w:val="center"/>
        <w:rPr>
          <w:rFonts w:ascii="Times New Roman" w:eastAsia="Times New Roman" w:hAnsi="Times New Roman" w:cs="Times New Roman"/>
          <w:sz w:val="24"/>
          <w:szCs w:val="24"/>
          <w:lang w:eastAsia="ru-RU"/>
        </w:rPr>
      </w:pPr>
    </w:p>
    <w:tbl>
      <w:tblPr>
        <w:tblW w:w="10951" w:type="dxa"/>
        <w:tblLook w:val="04A0" w:firstRow="1" w:lastRow="0" w:firstColumn="1" w:lastColumn="0" w:noHBand="0" w:noVBand="1"/>
      </w:tblPr>
      <w:tblGrid>
        <w:gridCol w:w="4786"/>
        <w:gridCol w:w="2055"/>
        <w:gridCol w:w="2055"/>
        <w:gridCol w:w="2055"/>
      </w:tblGrid>
      <w:tr w:rsidR="003839D9" w:rsidRPr="00FD260B" w14:paraId="53AAB567" w14:textId="77777777" w:rsidTr="0048250F">
        <w:tc>
          <w:tcPr>
            <w:tcW w:w="4786" w:type="dxa"/>
            <w:tcBorders>
              <w:top w:val="single" w:sz="4" w:space="0" w:color="auto"/>
              <w:left w:val="single" w:sz="4" w:space="0" w:color="auto"/>
              <w:bottom w:val="single" w:sz="4" w:space="0" w:color="auto"/>
              <w:right w:val="single" w:sz="4" w:space="0" w:color="auto"/>
            </w:tcBorders>
            <w:vAlign w:val="center"/>
          </w:tcPr>
          <w:p w14:paraId="3CE10572" w14:textId="77777777" w:rsidR="003839D9" w:rsidRPr="00FD260B" w:rsidRDefault="003839D9" w:rsidP="00D03A4F">
            <w:pPr>
              <w:spacing w:after="0" w:line="240" w:lineRule="auto"/>
              <w:rPr>
                <w:rFonts w:ascii="Times New Roman" w:eastAsia="Times New Roman" w:hAnsi="Times New Roman" w:cs="Times New Roman"/>
                <w:b/>
                <w:sz w:val="24"/>
                <w:szCs w:val="24"/>
                <w:lang w:eastAsia="ru-RU"/>
              </w:rPr>
            </w:pPr>
          </w:p>
        </w:tc>
        <w:tc>
          <w:tcPr>
            <w:tcW w:w="2055" w:type="dxa"/>
            <w:tcBorders>
              <w:top w:val="single" w:sz="4" w:space="0" w:color="auto"/>
              <w:left w:val="single" w:sz="4" w:space="0" w:color="auto"/>
              <w:bottom w:val="single" w:sz="4" w:space="0" w:color="auto"/>
              <w:right w:val="single" w:sz="4" w:space="0" w:color="auto"/>
            </w:tcBorders>
          </w:tcPr>
          <w:p w14:paraId="1F9AA8CE" w14:textId="77777777" w:rsidR="003839D9" w:rsidRPr="00FD260B" w:rsidRDefault="003839D9" w:rsidP="0048250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2019 г.</w:t>
            </w:r>
          </w:p>
        </w:tc>
        <w:tc>
          <w:tcPr>
            <w:tcW w:w="2055" w:type="dxa"/>
            <w:tcBorders>
              <w:top w:val="single" w:sz="4" w:space="0" w:color="auto"/>
              <w:left w:val="single" w:sz="4" w:space="0" w:color="auto"/>
              <w:bottom w:val="single" w:sz="4" w:space="0" w:color="auto"/>
              <w:right w:val="single" w:sz="4" w:space="0" w:color="auto"/>
            </w:tcBorders>
            <w:vAlign w:val="center"/>
          </w:tcPr>
          <w:p w14:paraId="0B4A97C5" w14:textId="77777777" w:rsidR="003839D9" w:rsidRPr="00FD260B" w:rsidRDefault="003839D9" w:rsidP="0048250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2020 г.</w:t>
            </w:r>
          </w:p>
        </w:tc>
        <w:tc>
          <w:tcPr>
            <w:tcW w:w="2055" w:type="dxa"/>
            <w:tcBorders>
              <w:top w:val="single" w:sz="4" w:space="0" w:color="auto"/>
              <w:left w:val="single" w:sz="4" w:space="0" w:color="auto"/>
              <w:bottom w:val="single" w:sz="4" w:space="0" w:color="auto"/>
              <w:right w:val="single" w:sz="4" w:space="0" w:color="auto"/>
            </w:tcBorders>
          </w:tcPr>
          <w:p w14:paraId="47AD0522" w14:textId="77777777" w:rsidR="003839D9" w:rsidRPr="00FD260B" w:rsidRDefault="003839D9" w:rsidP="009860C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w:t>
            </w:r>
          </w:p>
        </w:tc>
      </w:tr>
      <w:tr w:rsidR="003839D9" w:rsidRPr="00FD260B" w14:paraId="4C988E95" w14:textId="77777777" w:rsidTr="0048250F">
        <w:tc>
          <w:tcPr>
            <w:tcW w:w="4786" w:type="dxa"/>
            <w:tcBorders>
              <w:top w:val="single" w:sz="4" w:space="0" w:color="auto"/>
              <w:left w:val="single" w:sz="4" w:space="0" w:color="auto"/>
              <w:bottom w:val="single" w:sz="4" w:space="0" w:color="auto"/>
              <w:right w:val="single" w:sz="4" w:space="0" w:color="auto"/>
            </w:tcBorders>
            <w:vAlign w:val="center"/>
          </w:tcPr>
          <w:p w14:paraId="56FE1844" w14:textId="77777777" w:rsidR="003839D9" w:rsidRPr="00FD260B" w:rsidRDefault="003839D9" w:rsidP="00D03A4F">
            <w:pPr>
              <w:spacing w:after="0" w:line="240" w:lineRule="auto"/>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Уровень участия в рабочей силе (уровень экономической активности)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14:paraId="6CF5DF76" w14:textId="77777777" w:rsidR="003839D9" w:rsidRPr="00FD260B" w:rsidRDefault="003839D9" w:rsidP="0048250F">
            <w:pPr>
              <w:spacing w:after="0"/>
              <w:jc w:val="center"/>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2,2</w:t>
            </w:r>
          </w:p>
        </w:tc>
        <w:tc>
          <w:tcPr>
            <w:tcW w:w="2055" w:type="dxa"/>
            <w:tcBorders>
              <w:top w:val="single" w:sz="4" w:space="0" w:color="auto"/>
              <w:left w:val="single" w:sz="4" w:space="0" w:color="auto"/>
              <w:bottom w:val="single" w:sz="4" w:space="0" w:color="auto"/>
              <w:right w:val="single" w:sz="4" w:space="0" w:color="auto"/>
            </w:tcBorders>
            <w:vAlign w:val="center"/>
          </w:tcPr>
          <w:p w14:paraId="2F8AAE40" w14:textId="77777777" w:rsidR="003839D9" w:rsidRPr="00FD260B" w:rsidRDefault="003839D9" w:rsidP="0048250F">
            <w:pPr>
              <w:spacing w:after="0"/>
              <w:jc w:val="center"/>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2,3</w:t>
            </w:r>
          </w:p>
        </w:tc>
        <w:tc>
          <w:tcPr>
            <w:tcW w:w="2055" w:type="dxa"/>
            <w:tcBorders>
              <w:top w:val="single" w:sz="4" w:space="0" w:color="auto"/>
              <w:left w:val="single" w:sz="4" w:space="0" w:color="auto"/>
              <w:bottom w:val="single" w:sz="4" w:space="0" w:color="auto"/>
              <w:right w:val="single" w:sz="4" w:space="0" w:color="auto"/>
            </w:tcBorders>
            <w:vAlign w:val="center"/>
          </w:tcPr>
          <w:p w14:paraId="764B94CE" w14:textId="77777777" w:rsidR="003839D9" w:rsidRPr="00FD260B" w:rsidRDefault="003839D9" w:rsidP="009860C9">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w:t>
            </w:r>
          </w:p>
        </w:tc>
      </w:tr>
      <w:tr w:rsidR="003839D9" w:rsidRPr="00FD260B" w14:paraId="1166928C" w14:textId="77777777" w:rsidTr="0048250F">
        <w:tc>
          <w:tcPr>
            <w:tcW w:w="4786" w:type="dxa"/>
            <w:tcBorders>
              <w:top w:val="single" w:sz="4" w:space="0" w:color="auto"/>
              <w:left w:val="single" w:sz="4" w:space="0" w:color="auto"/>
              <w:bottom w:val="single" w:sz="4" w:space="0" w:color="auto"/>
              <w:right w:val="single" w:sz="4" w:space="0" w:color="auto"/>
            </w:tcBorders>
            <w:vAlign w:val="center"/>
          </w:tcPr>
          <w:p w14:paraId="13A2CBC3" w14:textId="77777777" w:rsidR="003839D9" w:rsidRPr="00FD260B" w:rsidRDefault="003839D9"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14:paraId="676FC550" w14:textId="77777777" w:rsidR="003839D9" w:rsidRPr="00FD260B" w:rsidRDefault="003839D9" w:rsidP="0048250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2,4</w:t>
            </w:r>
          </w:p>
        </w:tc>
        <w:tc>
          <w:tcPr>
            <w:tcW w:w="2055" w:type="dxa"/>
            <w:tcBorders>
              <w:top w:val="single" w:sz="4" w:space="0" w:color="auto"/>
              <w:left w:val="single" w:sz="4" w:space="0" w:color="auto"/>
              <w:bottom w:val="single" w:sz="4" w:space="0" w:color="auto"/>
              <w:right w:val="single" w:sz="4" w:space="0" w:color="auto"/>
            </w:tcBorders>
            <w:vAlign w:val="center"/>
          </w:tcPr>
          <w:p w14:paraId="45F18739" w14:textId="77777777" w:rsidR="003839D9" w:rsidRPr="00FD260B" w:rsidRDefault="003839D9" w:rsidP="0048250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2,6</w:t>
            </w:r>
          </w:p>
        </w:tc>
        <w:tc>
          <w:tcPr>
            <w:tcW w:w="2055" w:type="dxa"/>
            <w:tcBorders>
              <w:top w:val="single" w:sz="4" w:space="0" w:color="auto"/>
              <w:left w:val="single" w:sz="4" w:space="0" w:color="auto"/>
              <w:bottom w:val="single" w:sz="4" w:space="0" w:color="auto"/>
              <w:right w:val="single" w:sz="4" w:space="0" w:color="auto"/>
            </w:tcBorders>
            <w:vAlign w:val="center"/>
          </w:tcPr>
          <w:p w14:paraId="5DDD6488" w14:textId="77777777" w:rsidR="003839D9" w:rsidRPr="00FD260B" w:rsidRDefault="003839D9" w:rsidP="009860C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r>
      <w:tr w:rsidR="003839D9" w:rsidRPr="00FD260B" w14:paraId="17E65637" w14:textId="77777777" w:rsidTr="0048250F">
        <w:tc>
          <w:tcPr>
            <w:tcW w:w="4786" w:type="dxa"/>
            <w:tcBorders>
              <w:top w:val="single" w:sz="4" w:space="0" w:color="auto"/>
              <w:left w:val="single" w:sz="4" w:space="0" w:color="auto"/>
              <w:bottom w:val="single" w:sz="4" w:space="0" w:color="auto"/>
              <w:right w:val="single" w:sz="4" w:space="0" w:color="auto"/>
            </w:tcBorders>
            <w:vAlign w:val="center"/>
          </w:tcPr>
          <w:p w14:paraId="2710AFDF" w14:textId="77777777" w:rsidR="003839D9" w:rsidRPr="00FD260B" w:rsidRDefault="003839D9"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14:paraId="4637BB87" w14:textId="77777777" w:rsidR="003839D9" w:rsidRPr="00FD260B" w:rsidRDefault="003839D9" w:rsidP="0048250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1,9</w:t>
            </w:r>
          </w:p>
        </w:tc>
        <w:tc>
          <w:tcPr>
            <w:tcW w:w="2055" w:type="dxa"/>
            <w:tcBorders>
              <w:top w:val="single" w:sz="4" w:space="0" w:color="auto"/>
              <w:left w:val="single" w:sz="4" w:space="0" w:color="auto"/>
              <w:bottom w:val="single" w:sz="4" w:space="0" w:color="auto"/>
              <w:right w:val="single" w:sz="4" w:space="0" w:color="auto"/>
            </w:tcBorders>
            <w:vAlign w:val="center"/>
          </w:tcPr>
          <w:p w14:paraId="632208C0" w14:textId="77777777" w:rsidR="003839D9" w:rsidRPr="00FD260B" w:rsidRDefault="003839D9" w:rsidP="0048250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1,9</w:t>
            </w:r>
          </w:p>
        </w:tc>
        <w:tc>
          <w:tcPr>
            <w:tcW w:w="2055" w:type="dxa"/>
            <w:tcBorders>
              <w:top w:val="single" w:sz="4" w:space="0" w:color="auto"/>
              <w:left w:val="single" w:sz="4" w:space="0" w:color="auto"/>
              <w:bottom w:val="single" w:sz="4" w:space="0" w:color="auto"/>
              <w:right w:val="single" w:sz="4" w:space="0" w:color="auto"/>
            </w:tcBorders>
            <w:vAlign w:val="center"/>
          </w:tcPr>
          <w:p w14:paraId="2BB69E5E" w14:textId="77777777" w:rsidR="003839D9" w:rsidRPr="00FD260B" w:rsidRDefault="003839D9" w:rsidP="009860C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3839D9" w:rsidRPr="00FD260B" w14:paraId="2CE824F3" w14:textId="77777777" w:rsidTr="0048250F">
        <w:tc>
          <w:tcPr>
            <w:tcW w:w="4786" w:type="dxa"/>
            <w:tcBorders>
              <w:top w:val="single" w:sz="4" w:space="0" w:color="auto"/>
              <w:left w:val="single" w:sz="4" w:space="0" w:color="auto"/>
              <w:bottom w:val="single" w:sz="4" w:space="0" w:color="auto"/>
              <w:right w:val="single" w:sz="4" w:space="0" w:color="auto"/>
            </w:tcBorders>
            <w:vAlign w:val="center"/>
          </w:tcPr>
          <w:p w14:paraId="7A863C31" w14:textId="77777777" w:rsidR="003839D9" w:rsidRPr="00FD260B" w:rsidRDefault="003839D9"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14:paraId="0AC01732" w14:textId="77777777" w:rsidR="003839D9" w:rsidRPr="00FD260B" w:rsidRDefault="003839D9" w:rsidP="0048250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1,5</w:t>
            </w:r>
          </w:p>
        </w:tc>
        <w:tc>
          <w:tcPr>
            <w:tcW w:w="2055" w:type="dxa"/>
            <w:tcBorders>
              <w:top w:val="single" w:sz="4" w:space="0" w:color="auto"/>
              <w:left w:val="single" w:sz="4" w:space="0" w:color="auto"/>
              <w:bottom w:val="single" w:sz="4" w:space="0" w:color="auto"/>
              <w:right w:val="single" w:sz="4" w:space="0" w:color="auto"/>
            </w:tcBorders>
            <w:vAlign w:val="center"/>
          </w:tcPr>
          <w:p w14:paraId="06468227" w14:textId="77777777" w:rsidR="003839D9" w:rsidRPr="00FD260B" w:rsidRDefault="003839D9" w:rsidP="0048250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1,4</w:t>
            </w:r>
          </w:p>
        </w:tc>
        <w:tc>
          <w:tcPr>
            <w:tcW w:w="2055" w:type="dxa"/>
            <w:tcBorders>
              <w:top w:val="single" w:sz="4" w:space="0" w:color="auto"/>
              <w:left w:val="single" w:sz="4" w:space="0" w:color="auto"/>
              <w:bottom w:val="single" w:sz="4" w:space="0" w:color="auto"/>
              <w:right w:val="single" w:sz="4" w:space="0" w:color="auto"/>
            </w:tcBorders>
            <w:vAlign w:val="center"/>
          </w:tcPr>
          <w:p w14:paraId="59FBD35B" w14:textId="77777777" w:rsidR="003839D9" w:rsidRPr="00FD260B" w:rsidRDefault="003839D9" w:rsidP="009860C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3839D9" w:rsidRPr="00FD260B" w14:paraId="2C8DC1A0" w14:textId="77777777" w:rsidTr="0048250F">
        <w:tc>
          <w:tcPr>
            <w:tcW w:w="4786" w:type="dxa"/>
            <w:tcBorders>
              <w:top w:val="single" w:sz="4" w:space="0" w:color="auto"/>
              <w:left w:val="single" w:sz="4" w:space="0" w:color="auto"/>
              <w:bottom w:val="single" w:sz="4" w:space="0" w:color="auto"/>
              <w:right w:val="single" w:sz="4" w:space="0" w:color="auto"/>
            </w:tcBorders>
            <w:vAlign w:val="center"/>
          </w:tcPr>
          <w:p w14:paraId="60DE3E6A" w14:textId="77777777" w:rsidR="003839D9" w:rsidRPr="00FD260B" w:rsidRDefault="003839D9"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14:paraId="490D54EE" w14:textId="77777777" w:rsidR="003839D9" w:rsidRPr="00FD260B" w:rsidRDefault="003839D9" w:rsidP="0048250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4,0</w:t>
            </w:r>
          </w:p>
        </w:tc>
        <w:tc>
          <w:tcPr>
            <w:tcW w:w="2055" w:type="dxa"/>
            <w:tcBorders>
              <w:top w:val="single" w:sz="4" w:space="0" w:color="auto"/>
              <w:left w:val="single" w:sz="4" w:space="0" w:color="auto"/>
              <w:bottom w:val="single" w:sz="4" w:space="0" w:color="auto"/>
              <w:right w:val="single" w:sz="4" w:space="0" w:color="auto"/>
            </w:tcBorders>
            <w:vAlign w:val="center"/>
          </w:tcPr>
          <w:p w14:paraId="1F8001EF" w14:textId="77777777" w:rsidR="003839D9" w:rsidRPr="00FD260B" w:rsidRDefault="003839D9" w:rsidP="0048250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4,6</w:t>
            </w:r>
          </w:p>
        </w:tc>
        <w:tc>
          <w:tcPr>
            <w:tcW w:w="2055" w:type="dxa"/>
            <w:tcBorders>
              <w:top w:val="single" w:sz="4" w:space="0" w:color="auto"/>
              <w:left w:val="single" w:sz="4" w:space="0" w:color="auto"/>
              <w:bottom w:val="single" w:sz="4" w:space="0" w:color="auto"/>
              <w:right w:val="single" w:sz="4" w:space="0" w:color="auto"/>
            </w:tcBorders>
            <w:vAlign w:val="center"/>
          </w:tcPr>
          <w:p w14:paraId="0CD6EEA4" w14:textId="77777777" w:rsidR="003839D9" w:rsidRPr="00FD260B" w:rsidRDefault="003839D9" w:rsidP="009860C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r>
      <w:tr w:rsidR="003839D9" w:rsidRPr="00FD260B" w14:paraId="014C3443" w14:textId="77777777" w:rsidTr="0048250F">
        <w:tc>
          <w:tcPr>
            <w:tcW w:w="4786" w:type="dxa"/>
            <w:tcBorders>
              <w:top w:val="single" w:sz="4" w:space="0" w:color="auto"/>
              <w:left w:val="single" w:sz="4" w:space="0" w:color="auto"/>
              <w:bottom w:val="single" w:sz="4" w:space="0" w:color="auto"/>
              <w:right w:val="single" w:sz="4" w:space="0" w:color="auto"/>
            </w:tcBorders>
            <w:vAlign w:val="center"/>
          </w:tcPr>
          <w:p w14:paraId="5549EBDE" w14:textId="77777777" w:rsidR="003839D9" w:rsidRPr="00FD260B" w:rsidRDefault="003839D9" w:rsidP="00D03A4F">
            <w:pPr>
              <w:spacing w:after="0"/>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Уровень занятости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14:paraId="0FEA8E33" w14:textId="77777777" w:rsidR="003839D9" w:rsidRPr="00FD260B" w:rsidRDefault="003839D9" w:rsidP="0048250F">
            <w:pPr>
              <w:spacing w:after="0"/>
              <w:jc w:val="center"/>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1,7</w:t>
            </w:r>
          </w:p>
        </w:tc>
        <w:tc>
          <w:tcPr>
            <w:tcW w:w="2055" w:type="dxa"/>
            <w:tcBorders>
              <w:top w:val="single" w:sz="4" w:space="0" w:color="auto"/>
              <w:left w:val="single" w:sz="4" w:space="0" w:color="auto"/>
              <w:bottom w:val="single" w:sz="4" w:space="0" w:color="auto"/>
              <w:right w:val="single" w:sz="4" w:space="0" w:color="auto"/>
            </w:tcBorders>
            <w:vAlign w:val="center"/>
          </w:tcPr>
          <w:p w14:paraId="345DF93E" w14:textId="77777777" w:rsidR="003839D9" w:rsidRPr="00FD260B" w:rsidRDefault="003839D9" w:rsidP="0048250F">
            <w:pPr>
              <w:spacing w:after="0"/>
              <w:jc w:val="center"/>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1,6</w:t>
            </w:r>
          </w:p>
        </w:tc>
        <w:tc>
          <w:tcPr>
            <w:tcW w:w="2055" w:type="dxa"/>
            <w:tcBorders>
              <w:top w:val="single" w:sz="4" w:space="0" w:color="auto"/>
              <w:left w:val="single" w:sz="4" w:space="0" w:color="auto"/>
              <w:bottom w:val="single" w:sz="4" w:space="0" w:color="auto"/>
              <w:right w:val="single" w:sz="4" w:space="0" w:color="auto"/>
            </w:tcBorders>
            <w:vAlign w:val="center"/>
          </w:tcPr>
          <w:p w14:paraId="142F9AA4" w14:textId="77777777" w:rsidR="003839D9" w:rsidRPr="00FD260B" w:rsidRDefault="003839D9" w:rsidP="009860C9">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p>
        </w:tc>
      </w:tr>
      <w:tr w:rsidR="003839D9" w:rsidRPr="00FD260B" w14:paraId="2EDB9E3A" w14:textId="77777777" w:rsidTr="0048250F">
        <w:tc>
          <w:tcPr>
            <w:tcW w:w="4786" w:type="dxa"/>
            <w:tcBorders>
              <w:top w:val="single" w:sz="4" w:space="0" w:color="auto"/>
              <w:left w:val="single" w:sz="4" w:space="0" w:color="auto"/>
              <w:bottom w:val="single" w:sz="4" w:space="0" w:color="auto"/>
              <w:right w:val="single" w:sz="4" w:space="0" w:color="auto"/>
            </w:tcBorders>
            <w:vAlign w:val="center"/>
          </w:tcPr>
          <w:p w14:paraId="637DA808" w14:textId="77777777" w:rsidR="003839D9" w:rsidRPr="00FD260B" w:rsidRDefault="003839D9"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14:paraId="66A435DD" w14:textId="77777777" w:rsidR="003839D9" w:rsidRPr="00FD260B" w:rsidRDefault="003839D9" w:rsidP="0048250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1,8</w:t>
            </w:r>
          </w:p>
        </w:tc>
        <w:tc>
          <w:tcPr>
            <w:tcW w:w="2055" w:type="dxa"/>
            <w:tcBorders>
              <w:top w:val="single" w:sz="4" w:space="0" w:color="auto"/>
              <w:left w:val="single" w:sz="4" w:space="0" w:color="auto"/>
              <w:bottom w:val="single" w:sz="4" w:space="0" w:color="auto"/>
              <w:right w:val="single" w:sz="4" w:space="0" w:color="auto"/>
            </w:tcBorders>
            <w:vAlign w:val="center"/>
          </w:tcPr>
          <w:p w14:paraId="44B3475C" w14:textId="77777777" w:rsidR="003839D9" w:rsidRPr="00FD260B" w:rsidRDefault="003839D9" w:rsidP="0048250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1,9</w:t>
            </w:r>
          </w:p>
        </w:tc>
        <w:tc>
          <w:tcPr>
            <w:tcW w:w="2055" w:type="dxa"/>
            <w:tcBorders>
              <w:top w:val="single" w:sz="4" w:space="0" w:color="auto"/>
              <w:left w:val="single" w:sz="4" w:space="0" w:color="auto"/>
              <w:bottom w:val="single" w:sz="4" w:space="0" w:color="auto"/>
              <w:right w:val="single" w:sz="4" w:space="0" w:color="auto"/>
            </w:tcBorders>
            <w:vAlign w:val="center"/>
          </w:tcPr>
          <w:p w14:paraId="2CC579BA" w14:textId="77777777" w:rsidR="003839D9" w:rsidRPr="00FD260B" w:rsidRDefault="003839D9" w:rsidP="009860C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3839D9" w:rsidRPr="00FD260B" w14:paraId="30E7146C" w14:textId="77777777" w:rsidTr="0048250F">
        <w:tc>
          <w:tcPr>
            <w:tcW w:w="4786" w:type="dxa"/>
            <w:tcBorders>
              <w:top w:val="single" w:sz="4" w:space="0" w:color="auto"/>
              <w:left w:val="single" w:sz="4" w:space="0" w:color="auto"/>
              <w:bottom w:val="single" w:sz="4" w:space="0" w:color="auto"/>
              <w:right w:val="single" w:sz="4" w:space="0" w:color="auto"/>
            </w:tcBorders>
            <w:vAlign w:val="center"/>
          </w:tcPr>
          <w:p w14:paraId="3A51DFC0" w14:textId="77777777" w:rsidR="003839D9" w:rsidRPr="00FD260B" w:rsidRDefault="003839D9"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14:paraId="7201A9EE" w14:textId="77777777" w:rsidR="003839D9" w:rsidRPr="00FD260B" w:rsidRDefault="003839D9" w:rsidP="0048250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1,5</w:t>
            </w:r>
          </w:p>
        </w:tc>
        <w:tc>
          <w:tcPr>
            <w:tcW w:w="2055" w:type="dxa"/>
            <w:tcBorders>
              <w:top w:val="single" w:sz="4" w:space="0" w:color="auto"/>
              <w:left w:val="single" w:sz="4" w:space="0" w:color="auto"/>
              <w:bottom w:val="single" w:sz="4" w:space="0" w:color="auto"/>
              <w:right w:val="single" w:sz="4" w:space="0" w:color="auto"/>
            </w:tcBorders>
            <w:vAlign w:val="center"/>
          </w:tcPr>
          <w:p w14:paraId="44E0FFDA" w14:textId="77777777" w:rsidR="003839D9" w:rsidRPr="00FD260B" w:rsidRDefault="003839D9" w:rsidP="0048250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1,4</w:t>
            </w:r>
          </w:p>
        </w:tc>
        <w:tc>
          <w:tcPr>
            <w:tcW w:w="2055" w:type="dxa"/>
            <w:tcBorders>
              <w:top w:val="single" w:sz="4" w:space="0" w:color="auto"/>
              <w:left w:val="single" w:sz="4" w:space="0" w:color="auto"/>
              <w:bottom w:val="single" w:sz="4" w:space="0" w:color="auto"/>
              <w:right w:val="single" w:sz="4" w:space="0" w:color="auto"/>
            </w:tcBorders>
            <w:vAlign w:val="center"/>
          </w:tcPr>
          <w:p w14:paraId="06C439B9" w14:textId="77777777" w:rsidR="003839D9" w:rsidRPr="00FD260B" w:rsidRDefault="003839D9" w:rsidP="009860C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3839D9" w:rsidRPr="00FD260B" w14:paraId="25506594" w14:textId="77777777" w:rsidTr="0048250F">
        <w:tc>
          <w:tcPr>
            <w:tcW w:w="4786" w:type="dxa"/>
            <w:tcBorders>
              <w:top w:val="single" w:sz="4" w:space="0" w:color="auto"/>
              <w:left w:val="single" w:sz="4" w:space="0" w:color="auto"/>
              <w:bottom w:val="single" w:sz="4" w:space="0" w:color="auto"/>
              <w:right w:val="single" w:sz="4" w:space="0" w:color="auto"/>
            </w:tcBorders>
            <w:vAlign w:val="center"/>
          </w:tcPr>
          <w:p w14:paraId="2C073F23" w14:textId="77777777" w:rsidR="003839D9" w:rsidRPr="00FD260B" w:rsidRDefault="003839D9"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14:paraId="2D0DFBA1" w14:textId="77777777" w:rsidR="003839D9" w:rsidRPr="00FD260B" w:rsidRDefault="003839D9" w:rsidP="0048250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1,0</w:t>
            </w:r>
          </w:p>
        </w:tc>
        <w:tc>
          <w:tcPr>
            <w:tcW w:w="2055" w:type="dxa"/>
            <w:tcBorders>
              <w:top w:val="single" w:sz="4" w:space="0" w:color="auto"/>
              <w:left w:val="single" w:sz="4" w:space="0" w:color="auto"/>
              <w:bottom w:val="single" w:sz="4" w:space="0" w:color="auto"/>
              <w:right w:val="single" w:sz="4" w:space="0" w:color="auto"/>
            </w:tcBorders>
            <w:vAlign w:val="center"/>
          </w:tcPr>
          <w:p w14:paraId="0C7B2822" w14:textId="77777777" w:rsidR="003839D9" w:rsidRPr="00FD260B" w:rsidRDefault="003839D9" w:rsidP="0048250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0,9</w:t>
            </w:r>
          </w:p>
        </w:tc>
        <w:tc>
          <w:tcPr>
            <w:tcW w:w="2055" w:type="dxa"/>
            <w:tcBorders>
              <w:top w:val="single" w:sz="4" w:space="0" w:color="auto"/>
              <w:left w:val="single" w:sz="4" w:space="0" w:color="auto"/>
              <w:bottom w:val="single" w:sz="4" w:space="0" w:color="auto"/>
              <w:right w:val="single" w:sz="4" w:space="0" w:color="auto"/>
            </w:tcBorders>
            <w:vAlign w:val="center"/>
          </w:tcPr>
          <w:p w14:paraId="6BBF4F41" w14:textId="77777777" w:rsidR="003839D9" w:rsidRPr="00FD260B" w:rsidRDefault="003839D9" w:rsidP="009860C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p>
        </w:tc>
      </w:tr>
      <w:tr w:rsidR="003839D9" w:rsidRPr="00FD260B" w14:paraId="557185E5" w14:textId="77777777" w:rsidTr="0048250F">
        <w:tc>
          <w:tcPr>
            <w:tcW w:w="4786" w:type="dxa"/>
            <w:tcBorders>
              <w:top w:val="single" w:sz="4" w:space="0" w:color="auto"/>
              <w:left w:val="single" w:sz="4" w:space="0" w:color="auto"/>
              <w:bottom w:val="single" w:sz="4" w:space="0" w:color="auto"/>
              <w:right w:val="single" w:sz="4" w:space="0" w:color="auto"/>
            </w:tcBorders>
            <w:vAlign w:val="center"/>
          </w:tcPr>
          <w:p w14:paraId="1855A713" w14:textId="77777777" w:rsidR="003839D9" w:rsidRPr="00FD260B" w:rsidRDefault="003839D9"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14:paraId="28F7423F" w14:textId="77777777" w:rsidR="003839D9" w:rsidRPr="00FD260B" w:rsidRDefault="003839D9" w:rsidP="0048250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3,4</w:t>
            </w:r>
          </w:p>
        </w:tc>
        <w:tc>
          <w:tcPr>
            <w:tcW w:w="2055" w:type="dxa"/>
            <w:tcBorders>
              <w:top w:val="single" w:sz="4" w:space="0" w:color="auto"/>
              <w:left w:val="single" w:sz="4" w:space="0" w:color="auto"/>
              <w:bottom w:val="single" w:sz="4" w:space="0" w:color="auto"/>
              <w:right w:val="single" w:sz="4" w:space="0" w:color="auto"/>
            </w:tcBorders>
            <w:vAlign w:val="center"/>
          </w:tcPr>
          <w:p w14:paraId="30B52329" w14:textId="77777777" w:rsidR="003839D9" w:rsidRPr="00FD260B" w:rsidRDefault="003839D9" w:rsidP="0048250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3,6</w:t>
            </w:r>
          </w:p>
        </w:tc>
        <w:tc>
          <w:tcPr>
            <w:tcW w:w="2055" w:type="dxa"/>
            <w:tcBorders>
              <w:top w:val="single" w:sz="4" w:space="0" w:color="auto"/>
              <w:left w:val="single" w:sz="4" w:space="0" w:color="auto"/>
              <w:bottom w:val="single" w:sz="4" w:space="0" w:color="auto"/>
              <w:right w:val="single" w:sz="4" w:space="0" w:color="auto"/>
            </w:tcBorders>
            <w:vAlign w:val="center"/>
          </w:tcPr>
          <w:p w14:paraId="30129F2E" w14:textId="77777777" w:rsidR="003839D9" w:rsidRPr="00FD260B" w:rsidRDefault="003839D9" w:rsidP="009860C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3839D9" w:rsidRPr="00FD260B" w14:paraId="02DC0302" w14:textId="77777777" w:rsidTr="0048250F">
        <w:tc>
          <w:tcPr>
            <w:tcW w:w="4786" w:type="dxa"/>
            <w:tcBorders>
              <w:top w:val="single" w:sz="4" w:space="0" w:color="auto"/>
              <w:left w:val="single" w:sz="4" w:space="0" w:color="auto"/>
              <w:bottom w:val="single" w:sz="4" w:space="0" w:color="auto"/>
              <w:right w:val="single" w:sz="4" w:space="0" w:color="auto"/>
            </w:tcBorders>
            <w:vAlign w:val="center"/>
          </w:tcPr>
          <w:p w14:paraId="7F2A8864" w14:textId="77777777" w:rsidR="003839D9" w:rsidRPr="00FD260B" w:rsidRDefault="003839D9" w:rsidP="00D03A4F">
            <w:pPr>
              <w:spacing w:after="0"/>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 xml:space="preserve">Уровень безработицы - всего </w:t>
            </w:r>
          </w:p>
        </w:tc>
        <w:tc>
          <w:tcPr>
            <w:tcW w:w="2055" w:type="dxa"/>
            <w:tcBorders>
              <w:top w:val="single" w:sz="4" w:space="0" w:color="auto"/>
              <w:left w:val="single" w:sz="4" w:space="0" w:color="auto"/>
              <w:bottom w:val="single" w:sz="4" w:space="0" w:color="auto"/>
              <w:right w:val="single" w:sz="4" w:space="0" w:color="auto"/>
            </w:tcBorders>
            <w:vAlign w:val="center"/>
          </w:tcPr>
          <w:p w14:paraId="1DBF5B3E" w14:textId="77777777" w:rsidR="003839D9" w:rsidRPr="00FD260B" w:rsidRDefault="003839D9" w:rsidP="0048250F">
            <w:pPr>
              <w:spacing w:after="0"/>
              <w:jc w:val="center"/>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23,7</w:t>
            </w:r>
          </w:p>
        </w:tc>
        <w:tc>
          <w:tcPr>
            <w:tcW w:w="2055" w:type="dxa"/>
            <w:tcBorders>
              <w:top w:val="single" w:sz="4" w:space="0" w:color="auto"/>
              <w:left w:val="single" w:sz="4" w:space="0" w:color="auto"/>
              <w:bottom w:val="single" w:sz="4" w:space="0" w:color="auto"/>
              <w:right w:val="single" w:sz="4" w:space="0" w:color="auto"/>
            </w:tcBorders>
            <w:vAlign w:val="center"/>
          </w:tcPr>
          <w:p w14:paraId="511C1730" w14:textId="77777777" w:rsidR="003839D9" w:rsidRPr="00FD260B" w:rsidRDefault="003839D9" w:rsidP="0048250F">
            <w:pPr>
              <w:spacing w:after="0"/>
              <w:jc w:val="center"/>
              <w:rPr>
                <w:rFonts w:ascii="Times New Roman" w:eastAsia="Times New Roman" w:hAnsi="Times New Roman" w:cs="Times New Roman"/>
                <w:b/>
                <w:sz w:val="24"/>
                <w:szCs w:val="24"/>
                <w:lang w:eastAsia="ru-RU"/>
              </w:rPr>
            </w:pPr>
            <w:r w:rsidRPr="00FD260B">
              <w:rPr>
                <w:rFonts w:ascii="Times New Roman" w:eastAsia="Times New Roman" w:hAnsi="Times New Roman" w:cs="Times New Roman"/>
                <w:b/>
                <w:sz w:val="24"/>
                <w:szCs w:val="24"/>
                <w:lang w:eastAsia="ru-RU"/>
              </w:rPr>
              <w:t>27,5</w:t>
            </w:r>
          </w:p>
        </w:tc>
        <w:tc>
          <w:tcPr>
            <w:tcW w:w="2055" w:type="dxa"/>
            <w:tcBorders>
              <w:top w:val="single" w:sz="4" w:space="0" w:color="auto"/>
              <w:left w:val="single" w:sz="4" w:space="0" w:color="auto"/>
              <w:bottom w:val="single" w:sz="4" w:space="0" w:color="auto"/>
              <w:right w:val="single" w:sz="4" w:space="0" w:color="auto"/>
            </w:tcBorders>
            <w:vAlign w:val="center"/>
          </w:tcPr>
          <w:p w14:paraId="3DB27916" w14:textId="77777777" w:rsidR="003839D9" w:rsidRPr="00FD260B" w:rsidRDefault="003839D9" w:rsidP="009860C9">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29,9</w:t>
            </w:r>
          </w:p>
        </w:tc>
      </w:tr>
      <w:tr w:rsidR="003839D9" w:rsidRPr="00FD260B" w14:paraId="48051862" w14:textId="77777777" w:rsidTr="0048250F">
        <w:tc>
          <w:tcPr>
            <w:tcW w:w="4786" w:type="dxa"/>
            <w:tcBorders>
              <w:top w:val="single" w:sz="4" w:space="0" w:color="auto"/>
              <w:left w:val="single" w:sz="4" w:space="0" w:color="auto"/>
              <w:bottom w:val="single" w:sz="4" w:space="0" w:color="auto"/>
              <w:right w:val="single" w:sz="4" w:space="0" w:color="auto"/>
            </w:tcBorders>
            <w:vAlign w:val="center"/>
          </w:tcPr>
          <w:p w14:paraId="4D6C182D" w14:textId="77777777" w:rsidR="003839D9" w:rsidRPr="00FD260B" w:rsidRDefault="003839D9"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14:paraId="46E855E2" w14:textId="77777777" w:rsidR="003839D9" w:rsidRPr="00FD260B" w:rsidRDefault="003839D9" w:rsidP="0048250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23,7</w:t>
            </w:r>
          </w:p>
        </w:tc>
        <w:tc>
          <w:tcPr>
            <w:tcW w:w="2055" w:type="dxa"/>
            <w:tcBorders>
              <w:top w:val="single" w:sz="4" w:space="0" w:color="auto"/>
              <w:left w:val="single" w:sz="4" w:space="0" w:color="auto"/>
              <w:bottom w:val="single" w:sz="4" w:space="0" w:color="auto"/>
              <w:right w:val="single" w:sz="4" w:space="0" w:color="auto"/>
            </w:tcBorders>
            <w:vAlign w:val="center"/>
          </w:tcPr>
          <w:p w14:paraId="5A33A048" w14:textId="77777777" w:rsidR="003839D9" w:rsidRPr="00FD260B" w:rsidRDefault="003839D9" w:rsidP="0048250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28,5</w:t>
            </w:r>
          </w:p>
        </w:tc>
        <w:tc>
          <w:tcPr>
            <w:tcW w:w="2055" w:type="dxa"/>
            <w:tcBorders>
              <w:top w:val="single" w:sz="4" w:space="0" w:color="auto"/>
              <w:left w:val="single" w:sz="4" w:space="0" w:color="auto"/>
              <w:bottom w:val="single" w:sz="4" w:space="0" w:color="auto"/>
              <w:right w:val="single" w:sz="4" w:space="0" w:color="auto"/>
            </w:tcBorders>
            <w:vAlign w:val="center"/>
          </w:tcPr>
          <w:p w14:paraId="0998DA8D" w14:textId="77777777" w:rsidR="003839D9" w:rsidRPr="00FD260B" w:rsidRDefault="003839D9" w:rsidP="009860C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28,4</w:t>
            </w:r>
          </w:p>
        </w:tc>
      </w:tr>
      <w:tr w:rsidR="003839D9" w:rsidRPr="00FD260B" w14:paraId="79DE4AA3" w14:textId="77777777" w:rsidTr="0048250F">
        <w:tc>
          <w:tcPr>
            <w:tcW w:w="4786" w:type="dxa"/>
            <w:tcBorders>
              <w:top w:val="single" w:sz="4" w:space="0" w:color="auto"/>
              <w:left w:val="single" w:sz="4" w:space="0" w:color="auto"/>
              <w:bottom w:val="single" w:sz="4" w:space="0" w:color="auto"/>
              <w:right w:val="single" w:sz="4" w:space="0" w:color="auto"/>
            </w:tcBorders>
            <w:vAlign w:val="center"/>
          </w:tcPr>
          <w:p w14:paraId="0685342F" w14:textId="77777777" w:rsidR="003839D9" w:rsidRPr="00FD260B" w:rsidRDefault="003839D9"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14:paraId="3F2F949D" w14:textId="77777777" w:rsidR="003839D9" w:rsidRPr="00FD260B" w:rsidRDefault="003839D9" w:rsidP="0048250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23,7</w:t>
            </w:r>
          </w:p>
        </w:tc>
        <w:tc>
          <w:tcPr>
            <w:tcW w:w="2055" w:type="dxa"/>
            <w:tcBorders>
              <w:top w:val="single" w:sz="4" w:space="0" w:color="auto"/>
              <w:left w:val="single" w:sz="4" w:space="0" w:color="auto"/>
              <w:bottom w:val="single" w:sz="4" w:space="0" w:color="auto"/>
              <w:right w:val="single" w:sz="4" w:space="0" w:color="auto"/>
            </w:tcBorders>
            <w:vAlign w:val="center"/>
          </w:tcPr>
          <w:p w14:paraId="1F6524F4" w14:textId="77777777" w:rsidR="003839D9" w:rsidRPr="00FD260B" w:rsidRDefault="003839D9" w:rsidP="0048250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26,0</w:t>
            </w:r>
          </w:p>
        </w:tc>
        <w:tc>
          <w:tcPr>
            <w:tcW w:w="2055" w:type="dxa"/>
            <w:tcBorders>
              <w:top w:val="single" w:sz="4" w:space="0" w:color="auto"/>
              <w:left w:val="single" w:sz="4" w:space="0" w:color="auto"/>
              <w:bottom w:val="single" w:sz="4" w:space="0" w:color="auto"/>
              <w:right w:val="single" w:sz="4" w:space="0" w:color="auto"/>
            </w:tcBorders>
            <w:vAlign w:val="center"/>
          </w:tcPr>
          <w:p w14:paraId="064756EC" w14:textId="77777777" w:rsidR="003839D9" w:rsidRPr="00FD260B" w:rsidRDefault="003839D9" w:rsidP="009860C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31,7</w:t>
            </w:r>
          </w:p>
        </w:tc>
      </w:tr>
      <w:tr w:rsidR="003839D9" w:rsidRPr="00FD260B" w14:paraId="41F950FB" w14:textId="77777777" w:rsidTr="0048250F">
        <w:tc>
          <w:tcPr>
            <w:tcW w:w="4786" w:type="dxa"/>
            <w:tcBorders>
              <w:top w:val="single" w:sz="4" w:space="0" w:color="auto"/>
              <w:left w:val="single" w:sz="4" w:space="0" w:color="auto"/>
              <w:bottom w:val="single" w:sz="4" w:space="0" w:color="auto"/>
              <w:right w:val="single" w:sz="4" w:space="0" w:color="auto"/>
            </w:tcBorders>
            <w:vAlign w:val="center"/>
          </w:tcPr>
          <w:p w14:paraId="5FE2442D" w14:textId="77777777" w:rsidR="003839D9" w:rsidRPr="00FD260B" w:rsidRDefault="003839D9"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14:paraId="065E6105" w14:textId="77777777" w:rsidR="003839D9" w:rsidRPr="00FD260B" w:rsidRDefault="003839D9" w:rsidP="0048250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32,1</w:t>
            </w:r>
          </w:p>
        </w:tc>
        <w:tc>
          <w:tcPr>
            <w:tcW w:w="2055" w:type="dxa"/>
            <w:tcBorders>
              <w:top w:val="single" w:sz="4" w:space="0" w:color="auto"/>
              <w:left w:val="single" w:sz="4" w:space="0" w:color="auto"/>
              <w:bottom w:val="single" w:sz="4" w:space="0" w:color="auto"/>
              <w:right w:val="single" w:sz="4" w:space="0" w:color="auto"/>
            </w:tcBorders>
            <w:vAlign w:val="center"/>
          </w:tcPr>
          <w:p w14:paraId="6DBCBB27" w14:textId="77777777" w:rsidR="003839D9" w:rsidRPr="00FD260B" w:rsidRDefault="003839D9" w:rsidP="0048250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34,3</w:t>
            </w:r>
          </w:p>
        </w:tc>
        <w:tc>
          <w:tcPr>
            <w:tcW w:w="2055" w:type="dxa"/>
            <w:tcBorders>
              <w:top w:val="single" w:sz="4" w:space="0" w:color="auto"/>
              <w:left w:val="single" w:sz="4" w:space="0" w:color="auto"/>
              <w:bottom w:val="single" w:sz="4" w:space="0" w:color="auto"/>
              <w:right w:val="single" w:sz="4" w:space="0" w:color="auto"/>
            </w:tcBorders>
            <w:vAlign w:val="center"/>
          </w:tcPr>
          <w:p w14:paraId="7C64CC2A" w14:textId="77777777" w:rsidR="003839D9" w:rsidRPr="00FD260B" w:rsidRDefault="003839D9" w:rsidP="009860C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36,2</w:t>
            </w:r>
          </w:p>
        </w:tc>
      </w:tr>
      <w:tr w:rsidR="003839D9" w:rsidRPr="00BD5A90" w14:paraId="1039D4B0" w14:textId="77777777" w:rsidTr="0048250F">
        <w:tc>
          <w:tcPr>
            <w:tcW w:w="4786" w:type="dxa"/>
            <w:tcBorders>
              <w:top w:val="single" w:sz="4" w:space="0" w:color="auto"/>
              <w:left w:val="single" w:sz="4" w:space="0" w:color="auto"/>
              <w:bottom w:val="single" w:sz="4" w:space="0" w:color="auto"/>
              <w:right w:val="single" w:sz="4" w:space="0" w:color="auto"/>
            </w:tcBorders>
            <w:vAlign w:val="center"/>
          </w:tcPr>
          <w:p w14:paraId="14A4926A" w14:textId="77777777" w:rsidR="003839D9" w:rsidRPr="00FD260B" w:rsidRDefault="003839D9" w:rsidP="00D03A4F">
            <w:pPr>
              <w:spacing w:after="0"/>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14:paraId="0891AF33" w14:textId="77777777" w:rsidR="003839D9" w:rsidRPr="00FD260B" w:rsidRDefault="003839D9" w:rsidP="0048250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15,2</w:t>
            </w:r>
          </w:p>
        </w:tc>
        <w:tc>
          <w:tcPr>
            <w:tcW w:w="2055" w:type="dxa"/>
            <w:tcBorders>
              <w:top w:val="single" w:sz="4" w:space="0" w:color="auto"/>
              <w:left w:val="single" w:sz="4" w:space="0" w:color="auto"/>
              <w:bottom w:val="single" w:sz="4" w:space="0" w:color="auto"/>
              <w:right w:val="single" w:sz="4" w:space="0" w:color="auto"/>
            </w:tcBorders>
            <w:vAlign w:val="center"/>
          </w:tcPr>
          <w:p w14:paraId="57FADDF7" w14:textId="77777777" w:rsidR="003839D9" w:rsidRPr="00FD260B" w:rsidRDefault="003839D9" w:rsidP="0048250F">
            <w:pPr>
              <w:spacing w:after="0"/>
              <w:jc w:val="center"/>
              <w:rPr>
                <w:rFonts w:ascii="Times New Roman" w:eastAsia="Times New Roman" w:hAnsi="Times New Roman" w:cs="Times New Roman"/>
                <w:sz w:val="24"/>
                <w:szCs w:val="24"/>
                <w:lang w:eastAsia="ru-RU"/>
              </w:rPr>
            </w:pPr>
            <w:r w:rsidRPr="00FD260B">
              <w:rPr>
                <w:rFonts w:ascii="Times New Roman" w:eastAsia="Times New Roman" w:hAnsi="Times New Roman" w:cs="Times New Roman"/>
                <w:sz w:val="24"/>
                <w:szCs w:val="24"/>
                <w:lang w:eastAsia="ru-RU"/>
              </w:rPr>
              <w:t>21,7</w:t>
            </w:r>
          </w:p>
        </w:tc>
        <w:tc>
          <w:tcPr>
            <w:tcW w:w="2055" w:type="dxa"/>
            <w:tcBorders>
              <w:top w:val="single" w:sz="4" w:space="0" w:color="auto"/>
              <w:left w:val="single" w:sz="4" w:space="0" w:color="auto"/>
              <w:bottom w:val="single" w:sz="4" w:space="0" w:color="auto"/>
              <w:right w:val="single" w:sz="4" w:space="0" w:color="auto"/>
            </w:tcBorders>
            <w:vAlign w:val="center"/>
          </w:tcPr>
          <w:p w14:paraId="4E222D8A" w14:textId="77777777" w:rsidR="003839D9" w:rsidRPr="00FD260B" w:rsidRDefault="003839D9" w:rsidP="009860C9">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22,6</w:t>
            </w:r>
          </w:p>
        </w:tc>
      </w:tr>
    </w:tbl>
    <w:p w14:paraId="15A11757" w14:textId="77777777" w:rsidR="00ED16FD" w:rsidRDefault="00ED16FD" w:rsidP="00D03A4F">
      <w:pPr>
        <w:spacing w:after="0" w:line="240" w:lineRule="auto"/>
        <w:jc w:val="right"/>
        <w:rPr>
          <w:rFonts w:ascii="Times New Roman" w:eastAsia="Times New Roman" w:hAnsi="Times New Roman" w:cs="Times New Roman"/>
          <w:sz w:val="26"/>
          <w:szCs w:val="26"/>
          <w:lang w:eastAsia="ru-RU"/>
        </w:rPr>
      </w:pPr>
    </w:p>
    <w:p w14:paraId="60092F4F" w14:textId="77777777" w:rsidR="00D03A4F" w:rsidRPr="008C4F2F" w:rsidRDefault="00D03A4F" w:rsidP="00D03A4F">
      <w:pPr>
        <w:spacing w:after="0" w:line="240" w:lineRule="auto"/>
        <w:jc w:val="right"/>
        <w:rPr>
          <w:rFonts w:ascii="Times New Roman" w:eastAsia="Times New Roman" w:hAnsi="Times New Roman" w:cs="Times New Roman"/>
          <w:sz w:val="26"/>
          <w:szCs w:val="26"/>
          <w:lang w:eastAsia="ru-RU"/>
        </w:rPr>
      </w:pPr>
      <w:r w:rsidRPr="008C4F2F">
        <w:rPr>
          <w:rFonts w:ascii="Times New Roman" w:eastAsia="Times New Roman" w:hAnsi="Times New Roman" w:cs="Times New Roman"/>
          <w:sz w:val="26"/>
          <w:szCs w:val="26"/>
          <w:lang w:eastAsia="ru-RU"/>
        </w:rPr>
        <w:t>Таблица 3</w:t>
      </w:r>
      <w:r w:rsidR="008737BB">
        <w:rPr>
          <w:rFonts w:ascii="Times New Roman" w:eastAsia="Times New Roman" w:hAnsi="Times New Roman" w:cs="Times New Roman"/>
          <w:sz w:val="26"/>
          <w:szCs w:val="26"/>
          <w:lang w:eastAsia="ru-RU"/>
        </w:rPr>
        <w:t>0</w:t>
      </w:r>
    </w:p>
    <w:p w14:paraId="5B68C735" w14:textId="77777777" w:rsidR="00D03A4F" w:rsidRPr="008C4F2F" w:rsidRDefault="00D03A4F" w:rsidP="00D03A4F">
      <w:pPr>
        <w:spacing w:after="0" w:line="240" w:lineRule="auto"/>
        <w:jc w:val="right"/>
        <w:rPr>
          <w:rFonts w:ascii="Times New Roman" w:eastAsia="Times New Roman" w:hAnsi="Times New Roman" w:cs="Times New Roman"/>
          <w:sz w:val="26"/>
          <w:szCs w:val="26"/>
          <w:lang w:eastAsia="ru-RU"/>
        </w:rPr>
      </w:pPr>
    </w:p>
    <w:p w14:paraId="5DAF3077" w14:textId="77777777" w:rsidR="00D03A4F" w:rsidRPr="008C4F2F" w:rsidRDefault="00D03A4F" w:rsidP="00D03A4F">
      <w:pPr>
        <w:spacing w:after="0" w:line="240" w:lineRule="auto"/>
        <w:jc w:val="center"/>
        <w:rPr>
          <w:rFonts w:ascii="Times New Roman" w:eastAsia="Times New Roman" w:hAnsi="Times New Roman" w:cs="Times New Roman"/>
          <w:b/>
          <w:bCs/>
          <w:sz w:val="26"/>
          <w:szCs w:val="26"/>
          <w:lang w:eastAsia="ru-RU"/>
        </w:rPr>
      </w:pPr>
      <w:r w:rsidRPr="008C4F2F">
        <w:rPr>
          <w:rFonts w:ascii="Times New Roman" w:eastAsia="Times New Roman" w:hAnsi="Times New Roman" w:cs="Times New Roman"/>
          <w:b/>
          <w:bCs/>
          <w:sz w:val="26"/>
          <w:szCs w:val="26"/>
          <w:lang w:eastAsia="ru-RU"/>
        </w:rPr>
        <w:t>Занятое население в возрасте 15-17 лет по занятиям</w:t>
      </w:r>
      <w:r w:rsidRPr="008C4F2F">
        <w:rPr>
          <w:rFonts w:ascii="Times New Roman" w:eastAsia="Times New Roman" w:hAnsi="Times New Roman" w:cs="Times New Roman"/>
          <w:b/>
          <w:bCs/>
          <w:sz w:val="26"/>
          <w:szCs w:val="26"/>
          <w:vertAlign w:val="superscript"/>
          <w:lang w:eastAsia="ru-RU"/>
        </w:rPr>
        <w:t>1)</w:t>
      </w:r>
      <w:r w:rsidRPr="008C4F2F">
        <w:rPr>
          <w:rFonts w:ascii="Times New Roman" w:eastAsia="Times New Roman" w:hAnsi="Times New Roman" w:cs="Times New Roman"/>
          <w:b/>
          <w:bCs/>
          <w:sz w:val="26"/>
          <w:szCs w:val="26"/>
          <w:lang w:eastAsia="ru-RU"/>
        </w:rPr>
        <w:t xml:space="preserve"> на основной работе и полу</w:t>
      </w:r>
    </w:p>
    <w:p w14:paraId="24E33ADF" w14:textId="77777777" w:rsidR="00D03A4F" w:rsidRPr="008C4F2F" w:rsidRDefault="00D03A4F" w:rsidP="00D03A4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(по данным выборочного обследования рабочей силы; тыс. человек)</w:t>
      </w:r>
    </w:p>
    <w:p w14:paraId="3C56373B" w14:textId="77777777" w:rsidR="00D03A4F" w:rsidRPr="008C4F2F" w:rsidRDefault="00D03A4F" w:rsidP="00D03A4F">
      <w:pPr>
        <w:spacing w:after="0" w:line="240" w:lineRule="auto"/>
        <w:jc w:val="right"/>
        <w:rPr>
          <w:rFonts w:ascii="Times New Roman" w:eastAsia="Times New Roman" w:hAnsi="Times New Roman" w:cs="Times New Roman"/>
          <w:sz w:val="26"/>
          <w:szCs w:val="26"/>
          <w:lang w:eastAsia="ru-RU"/>
        </w:rPr>
      </w:pPr>
    </w:p>
    <w:tbl>
      <w:tblPr>
        <w:tblW w:w="5003" w:type="pct"/>
        <w:jc w:val="center"/>
        <w:tblCellMar>
          <w:left w:w="0" w:type="dxa"/>
          <w:right w:w="0" w:type="dxa"/>
        </w:tblCellMar>
        <w:tblLook w:val="04A0" w:firstRow="1" w:lastRow="0" w:firstColumn="1" w:lastColumn="0" w:noHBand="0" w:noVBand="1"/>
      </w:tblPr>
      <w:tblGrid>
        <w:gridCol w:w="6002"/>
        <w:gridCol w:w="1400"/>
        <w:gridCol w:w="1400"/>
        <w:gridCol w:w="1400"/>
      </w:tblGrid>
      <w:tr w:rsidR="00BE2B60" w:rsidRPr="008C4F2F" w14:paraId="2AAC2A4F" w14:textId="77777777" w:rsidTr="00504A2F">
        <w:trPr>
          <w:trHeight w:val="367"/>
          <w:tblHeader/>
          <w:jc w:val="center"/>
        </w:trPr>
        <w:tc>
          <w:tcPr>
            <w:tcW w:w="2942" w:type="pct"/>
            <w:tcBorders>
              <w:top w:val="single" w:sz="4" w:space="0" w:color="auto"/>
              <w:left w:val="single" w:sz="4" w:space="0" w:color="auto"/>
              <w:bottom w:val="single" w:sz="4" w:space="0" w:color="auto"/>
              <w:right w:val="single" w:sz="4" w:space="0" w:color="auto"/>
            </w:tcBorders>
            <w:vAlign w:val="center"/>
          </w:tcPr>
          <w:p w14:paraId="5291B171" w14:textId="77777777" w:rsidR="00BE2B60" w:rsidRPr="008C4F2F" w:rsidRDefault="00BE2B60" w:rsidP="00D03A4F">
            <w:pPr>
              <w:spacing w:after="0" w:line="240" w:lineRule="auto"/>
              <w:jc w:val="center"/>
              <w:rPr>
                <w:rFonts w:ascii="Times New Roman" w:eastAsia="Arial Unicode MS" w:hAnsi="Times New Roman" w:cs="Times New Roman"/>
                <w:b/>
                <w:sz w:val="24"/>
                <w:szCs w:val="24"/>
                <w:lang w:eastAsia="ru-RU"/>
              </w:rPr>
            </w:pPr>
          </w:p>
        </w:tc>
        <w:tc>
          <w:tcPr>
            <w:tcW w:w="686" w:type="pct"/>
            <w:tcBorders>
              <w:top w:val="single" w:sz="4" w:space="0" w:color="auto"/>
              <w:left w:val="nil"/>
              <w:bottom w:val="single" w:sz="4" w:space="0" w:color="auto"/>
              <w:right w:val="single" w:sz="4" w:space="0" w:color="auto"/>
            </w:tcBorders>
            <w:vAlign w:val="center"/>
          </w:tcPr>
          <w:p w14:paraId="3A51222E" w14:textId="77777777" w:rsidR="00BE2B60" w:rsidRPr="008C4F2F" w:rsidRDefault="00BE2B60" w:rsidP="0048250F">
            <w:pPr>
              <w:spacing w:after="0" w:line="240" w:lineRule="auto"/>
              <w:jc w:val="center"/>
              <w:rPr>
                <w:rFonts w:ascii="Times New Roman" w:eastAsia="Arial Unicode MS" w:hAnsi="Times New Roman" w:cs="Times New Roman"/>
                <w:sz w:val="24"/>
                <w:szCs w:val="24"/>
                <w:lang w:eastAsia="ru-RU"/>
              </w:rPr>
            </w:pPr>
            <w:r w:rsidRPr="008C4F2F">
              <w:rPr>
                <w:rFonts w:ascii="Times New Roman" w:eastAsia="Arial Unicode MS" w:hAnsi="Times New Roman" w:cs="Times New Roman"/>
                <w:sz w:val="24"/>
                <w:szCs w:val="24"/>
                <w:lang w:eastAsia="ru-RU"/>
              </w:rPr>
              <w:t>2019 г.</w:t>
            </w:r>
          </w:p>
        </w:tc>
        <w:tc>
          <w:tcPr>
            <w:tcW w:w="686" w:type="pct"/>
            <w:tcBorders>
              <w:top w:val="single" w:sz="4" w:space="0" w:color="auto"/>
              <w:left w:val="single" w:sz="4" w:space="0" w:color="auto"/>
              <w:bottom w:val="single" w:sz="4" w:space="0" w:color="auto"/>
              <w:right w:val="single" w:sz="4" w:space="0" w:color="auto"/>
            </w:tcBorders>
            <w:vAlign w:val="center"/>
          </w:tcPr>
          <w:p w14:paraId="5599084A" w14:textId="77777777" w:rsidR="00BE2B60" w:rsidRPr="008C4F2F" w:rsidRDefault="00BE2B60" w:rsidP="0048250F">
            <w:pPr>
              <w:spacing w:after="0" w:line="240" w:lineRule="auto"/>
              <w:jc w:val="center"/>
              <w:rPr>
                <w:rFonts w:ascii="Times New Roman" w:eastAsia="Arial Unicode MS" w:hAnsi="Times New Roman" w:cs="Times New Roman"/>
                <w:sz w:val="24"/>
                <w:szCs w:val="24"/>
                <w:lang w:eastAsia="ru-RU"/>
              </w:rPr>
            </w:pPr>
            <w:r w:rsidRPr="008C4F2F">
              <w:rPr>
                <w:rFonts w:ascii="Times New Roman" w:eastAsia="Arial Unicode MS" w:hAnsi="Times New Roman" w:cs="Times New Roman"/>
                <w:sz w:val="24"/>
                <w:szCs w:val="24"/>
                <w:lang w:eastAsia="ru-RU"/>
              </w:rPr>
              <w:t>2020 г.</w:t>
            </w:r>
          </w:p>
        </w:tc>
        <w:tc>
          <w:tcPr>
            <w:tcW w:w="686" w:type="pct"/>
            <w:tcBorders>
              <w:top w:val="single" w:sz="4" w:space="0" w:color="auto"/>
              <w:left w:val="single" w:sz="4" w:space="0" w:color="auto"/>
              <w:bottom w:val="single" w:sz="4" w:space="0" w:color="auto"/>
              <w:right w:val="single" w:sz="4" w:space="0" w:color="auto"/>
            </w:tcBorders>
            <w:vAlign w:val="center"/>
          </w:tcPr>
          <w:p w14:paraId="6ADFE6F5" w14:textId="77777777" w:rsidR="00BE2B60" w:rsidRPr="008C4F2F" w:rsidRDefault="00BE2B60" w:rsidP="009860C9">
            <w:pPr>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2021 г.</w:t>
            </w:r>
          </w:p>
        </w:tc>
      </w:tr>
      <w:tr w:rsidR="00BE2B60" w:rsidRPr="008C4F2F" w14:paraId="59491FA8" w14:textId="77777777" w:rsidTr="00504A2F">
        <w:trPr>
          <w:trHeight w:val="371"/>
          <w:jc w:val="center"/>
        </w:trPr>
        <w:tc>
          <w:tcPr>
            <w:tcW w:w="2942" w:type="pct"/>
            <w:tcBorders>
              <w:top w:val="nil"/>
              <w:left w:val="single" w:sz="4" w:space="0" w:color="auto"/>
              <w:bottom w:val="single" w:sz="4" w:space="0" w:color="auto"/>
              <w:right w:val="single" w:sz="4" w:space="0" w:color="auto"/>
            </w:tcBorders>
            <w:vAlign w:val="center"/>
            <w:hideMark/>
          </w:tcPr>
          <w:p w14:paraId="29DFE25B" w14:textId="77777777" w:rsidR="00BE2B60" w:rsidRPr="008C4F2F" w:rsidRDefault="00BE2B60" w:rsidP="00D03A4F">
            <w:pPr>
              <w:keepNext/>
              <w:spacing w:after="0" w:line="240" w:lineRule="auto"/>
              <w:ind w:left="57"/>
              <w:outlineLvl w:val="0"/>
              <w:rPr>
                <w:rFonts w:ascii="Times New Roman" w:eastAsia="Arial Unicode MS" w:hAnsi="Times New Roman" w:cs="Times New Roman"/>
                <w:b/>
                <w:bCs/>
                <w:kern w:val="32"/>
                <w:sz w:val="24"/>
                <w:szCs w:val="24"/>
              </w:rPr>
            </w:pPr>
            <w:r w:rsidRPr="008C4F2F">
              <w:rPr>
                <w:rFonts w:ascii="Times New Roman" w:eastAsia="Calibri" w:hAnsi="Times New Roman" w:cs="Times New Roman"/>
                <w:b/>
                <w:bCs/>
                <w:kern w:val="32"/>
                <w:sz w:val="24"/>
                <w:szCs w:val="24"/>
              </w:rPr>
              <w:t>Всего</w:t>
            </w:r>
          </w:p>
        </w:tc>
        <w:tc>
          <w:tcPr>
            <w:tcW w:w="686" w:type="pct"/>
            <w:tcBorders>
              <w:top w:val="single" w:sz="4" w:space="0" w:color="auto"/>
              <w:left w:val="nil"/>
              <w:bottom w:val="single" w:sz="4" w:space="0" w:color="auto"/>
              <w:right w:val="single" w:sz="4" w:space="0" w:color="auto"/>
            </w:tcBorders>
            <w:vAlign w:val="bottom"/>
          </w:tcPr>
          <w:p w14:paraId="0CFB85BE" w14:textId="77777777" w:rsidR="00BE2B60" w:rsidRPr="008C4F2F" w:rsidRDefault="00BE2B60" w:rsidP="0048250F">
            <w:pPr>
              <w:spacing w:after="0" w:line="240" w:lineRule="auto"/>
              <w:jc w:val="center"/>
              <w:rPr>
                <w:rFonts w:ascii="Times New Roman" w:eastAsia="Times New Roman" w:hAnsi="Times New Roman" w:cs="Times New Roman"/>
                <w:b/>
                <w:bCs/>
                <w:sz w:val="24"/>
                <w:szCs w:val="24"/>
                <w:lang w:eastAsia="ru-RU"/>
              </w:rPr>
            </w:pPr>
            <w:r w:rsidRPr="008C4F2F">
              <w:rPr>
                <w:rFonts w:ascii="Times New Roman" w:eastAsia="Times New Roman" w:hAnsi="Times New Roman" w:cs="Times New Roman"/>
                <w:b/>
                <w:bCs/>
                <w:sz w:val="24"/>
                <w:szCs w:val="24"/>
                <w:lang w:eastAsia="ru-RU"/>
              </w:rPr>
              <w:t>78,2</w:t>
            </w:r>
          </w:p>
        </w:tc>
        <w:tc>
          <w:tcPr>
            <w:tcW w:w="686" w:type="pct"/>
            <w:tcBorders>
              <w:top w:val="single" w:sz="4" w:space="0" w:color="auto"/>
              <w:left w:val="single" w:sz="4" w:space="0" w:color="auto"/>
              <w:bottom w:val="single" w:sz="4" w:space="0" w:color="auto"/>
              <w:right w:val="single" w:sz="4" w:space="0" w:color="auto"/>
            </w:tcBorders>
            <w:vAlign w:val="bottom"/>
          </w:tcPr>
          <w:p w14:paraId="284684D8" w14:textId="77777777" w:rsidR="00BE2B60" w:rsidRPr="008C4F2F" w:rsidRDefault="00BE2B60" w:rsidP="0048250F">
            <w:pPr>
              <w:spacing w:after="0" w:line="240" w:lineRule="auto"/>
              <w:jc w:val="center"/>
              <w:rPr>
                <w:rFonts w:ascii="Times New Roman" w:eastAsia="Times New Roman" w:hAnsi="Times New Roman" w:cs="Times New Roman"/>
                <w:b/>
                <w:bCs/>
                <w:sz w:val="24"/>
                <w:szCs w:val="24"/>
                <w:lang w:eastAsia="ru-RU"/>
              </w:rPr>
            </w:pPr>
            <w:r w:rsidRPr="008C4F2F">
              <w:rPr>
                <w:rFonts w:ascii="Times New Roman" w:eastAsia="Times New Roman" w:hAnsi="Times New Roman" w:cs="Times New Roman"/>
                <w:b/>
                <w:bCs/>
                <w:sz w:val="24"/>
                <w:szCs w:val="24"/>
                <w:lang w:eastAsia="ru-RU"/>
              </w:rPr>
              <w:t>78,5</w:t>
            </w:r>
          </w:p>
        </w:tc>
        <w:tc>
          <w:tcPr>
            <w:tcW w:w="686" w:type="pct"/>
            <w:tcBorders>
              <w:top w:val="single" w:sz="4" w:space="0" w:color="auto"/>
              <w:left w:val="single" w:sz="4" w:space="0" w:color="auto"/>
              <w:bottom w:val="single" w:sz="4" w:space="0" w:color="auto"/>
              <w:right w:val="single" w:sz="4" w:space="0" w:color="auto"/>
            </w:tcBorders>
            <w:vAlign w:val="bottom"/>
          </w:tcPr>
          <w:p w14:paraId="34631C80" w14:textId="77777777" w:rsidR="00BE2B60" w:rsidRPr="008C4F2F" w:rsidRDefault="00BE2B60" w:rsidP="009860C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62,0</w:t>
            </w:r>
          </w:p>
        </w:tc>
      </w:tr>
      <w:tr w:rsidR="00BE2B60" w:rsidRPr="008C4F2F" w14:paraId="64732B71" w14:textId="77777777" w:rsidTr="00504A2F">
        <w:trPr>
          <w:trHeight w:val="419"/>
          <w:jc w:val="center"/>
        </w:trPr>
        <w:tc>
          <w:tcPr>
            <w:tcW w:w="2942" w:type="pct"/>
            <w:tcBorders>
              <w:top w:val="nil"/>
              <w:left w:val="single" w:sz="4" w:space="0" w:color="auto"/>
              <w:bottom w:val="single" w:sz="4" w:space="0" w:color="auto"/>
              <w:right w:val="single" w:sz="4" w:space="0" w:color="auto"/>
            </w:tcBorders>
            <w:vAlign w:val="center"/>
            <w:hideMark/>
          </w:tcPr>
          <w:p w14:paraId="655062F8" w14:textId="77777777" w:rsidR="00BE2B60" w:rsidRPr="008C4F2F" w:rsidRDefault="00BE2B60"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Специалисты среднего уровня квалификации</w:t>
            </w:r>
          </w:p>
        </w:tc>
        <w:tc>
          <w:tcPr>
            <w:tcW w:w="686" w:type="pct"/>
            <w:tcBorders>
              <w:top w:val="single" w:sz="4" w:space="0" w:color="auto"/>
              <w:left w:val="nil"/>
              <w:bottom w:val="single" w:sz="4" w:space="0" w:color="auto"/>
              <w:right w:val="single" w:sz="4" w:space="0" w:color="auto"/>
            </w:tcBorders>
            <w:vAlign w:val="bottom"/>
          </w:tcPr>
          <w:p w14:paraId="57F1B65C" w14:textId="77777777" w:rsidR="00BE2B60" w:rsidRPr="008C4F2F" w:rsidRDefault="00BE2B60" w:rsidP="0048250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4,4</w:t>
            </w:r>
          </w:p>
        </w:tc>
        <w:tc>
          <w:tcPr>
            <w:tcW w:w="686" w:type="pct"/>
            <w:tcBorders>
              <w:top w:val="single" w:sz="4" w:space="0" w:color="auto"/>
              <w:left w:val="single" w:sz="4" w:space="0" w:color="auto"/>
              <w:bottom w:val="single" w:sz="4" w:space="0" w:color="auto"/>
              <w:right w:val="single" w:sz="4" w:space="0" w:color="auto"/>
            </w:tcBorders>
            <w:vAlign w:val="bottom"/>
          </w:tcPr>
          <w:p w14:paraId="6EEDC155" w14:textId="77777777" w:rsidR="00BE2B60" w:rsidRPr="008C4F2F" w:rsidRDefault="00BE2B60" w:rsidP="0048250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3,7</w:t>
            </w:r>
          </w:p>
        </w:tc>
        <w:tc>
          <w:tcPr>
            <w:tcW w:w="686" w:type="pct"/>
            <w:tcBorders>
              <w:top w:val="single" w:sz="4" w:space="0" w:color="auto"/>
              <w:left w:val="single" w:sz="4" w:space="0" w:color="auto"/>
              <w:bottom w:val="single" w:sz="4" w:space="0" w:color="auto"/>
              <w:right w:val="single" w:sz="4" w:space="0" w:color="auto"/>
            </w:tcBorders>
            <w:vAlign w:val="bottom"/>
          </w:tcPr>
          <w:p w14:paraId="321ED8E2" w14:textId="77777777" w:rsidR="00BE2B60" w:rsidRPr="008C4F2F" w:rsidRDefault="00BE2B60" w:rsidP="009860C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w:t>
            </w:r>
          </w:p>
        </w:tc>
      </w:tr>
      <w:tr w:rsidR="00BE2B60" w:rsidRPr="008C4F2F" w14:paraId="420AA4BB" w14:textId="77777777" w:rsidTr="00504A2F">
        <w:trPr>
          <w:trHeight w:val="254"/>
          <w:jc w:val="center"/>
        </w:trPr>
        <w:tc>
          <w:tcPr>
            <w:tcW w:w="2942" w:type="pct"/>
            <w:tcBorders>
              <w:top w:val="nil"/>
              <w:left w:val="single" w:sz="4" w:space="0" w:color="auto"/>
              <w:bottom w:val="single" w:sz="4" w:space="0" w:color="auto"/>
              <w:right w:val="single" w:sz="4" w:space="0" w:color="auto"/>
            </w:tcBorders>
            <w:vAlign w:val="center"/>
            <w:hideMark/>
          </w:tcPr>
          <w:p w14:paraId="315689FC" w14:textId="77777777" w:rsidR="00BE2B60" w:rsidRPr="008C4F2F" w:rsidRDefault="00BE2B60"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Служащие, занятые подготовкой и оформлением документации, учетом и обслуживанием</w:t>
            </w:r>
          </w:p>
        </w:tc>
        <w:tc>
          <w:tcPr>
            <w:tcW w:w="686" w:type="pct"/>
            <w:tcBorders>
              <w:top w:val="single" w:sz="4" w:space="0" w:color="auto"/>
              <w:left w:val="nil"/>
              <w:bottom w:val="single" w:sz="4" w:space="0" w:color="auto"/>
              <w:right w:val="single" w:sz="4" w:space="0" w:color="auto"/>
            </w:tcBorders>
            <w:vAlign w:val="bottom"/>
          </w:tcPr>
          <w:p w14:paraId="5FF84CA8" w14:textId="77777777" w:rsidR="00BE2B60" w:rsidRPr="008C4F2F" w:rsidRDefault="00BE2B60" w:rsidP="0048250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0,7</w:t>
            </w:r>
          </w:p>
        </w:tc>
        <w:tc>
          <w:tcPr>
            <w:tcW w:w="686" w:type="pct"/>
            <w:tcBorders>
              <w:top w:val="single" w:sz="4" w:space="0" w:color="auto"/>
              <w:left w:val="single" w:sz="4" w:space="0" w:color="auto"/>
              <w:bottom w:val="single" w:sz="4" w:space="0" w:color="auto"/>
              <w:right w:val="single" w:sz="4" w:space="0" w:color="auto"/>
            </w:tcBorders>
            <w:vAlign w:val="bottom"/>
          </w:tcPr>
          <w:p w14:paraId="53A1A724" w14:textId="77777777" w:rsidR="00BE2B60" w:rsidRPr="008C4F2F" w:rsidRDefault="00BE2B60" w:rsidP="0048250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0,8</w:t>
            </w:r>
          </w:p>
        </w:tc>
        <w:tc>
          <w:tcPr>
            <w:tcW w:w="686" w:type="pct"/>
            <w:tcBorders>
              <w:top w:val="single" w:sz="4" w:space="0" w:color="auto"/>
              <w:left w:val="single" w:sz="4" w:space="0" w:color="auto"/>
              <w:bottom w:val="single" w:sz="4" w:space="0" w:color="auto"/>
              <w:right w:val="single" w:sz="4" w:space="0" w:color="auto"/>
            </w:tcBorders>
            <w:vAlign w:val="bottom"/>
          </w:tcPr>
          <w:p w14:paraId="7B95EF4F" w14:textId="77777777" w:rsidR="00BE2B60" w:rsidRPr="008C4F2F" w:rsidRDefault="00BE2B60" w:rsidP="009860C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0,7</w:t>
            </w:r>
          </w:p>
        </w:tc>
      </w:tr>
      <w:tr w:rsidR="00BE2B60" w:rsidRPr="008C4F2F" w14:paraId="01B48A0F" w14:textId="77777777" w:rsidTr="00504A2F">
        <w:trPr>
          <w:trHeight w:val="254"/>
          <w:jc w:val="center"/>
        </w:trPr>
        <w:tc>
          <w:tcPr>
            <w:tcW w:w="2942" w:type="pct"/>
            <w:tcBorders>
              <w:top w:val="nil"/>
              <w:left w:val="single" w:sz="4" w:space="0" w:color="auto"/>
              <w:bottom w:val="single" w:sz="4" w:space="0" w:color="auto"/>
              <w:right w:val="single" w:sz="4" w:space="0" w:color="auto"/>
            </w:tcBorders>
            <w:vAlign w:val="center"/>
            <w:hideMark/>
          </w:tcPr>
          <w:p w14:paraId="2D5E7DAA" w14:textId="77777777" w:rsidR="00BE2B60" w:rsidRPr="008C4F2F" w:rsidRDefault="00BE2B60"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Работники сферы обслуживания и торговли, охраны граждан и собственности</w:t>
            </w:r>
          </w:p>
        </w:tc>
        <w:tc>
          <w:tcPr>
            <w:tcW w:w="686" w:type="pct"/>
            <w:tcBorders>
              <w:top w:val="single" w:sz="4" w:space="0" w:color="auto"/>
              <w:left w:val="nil"/>
              <w:bottom w:val="single" w:sz="4" w:space="0" w:color="auto"/>
              <w:right w:val="single" w:sz="4" w:space="0" w:color="auto"/>
            </w:tcBorders>
            <w:vAlign w:val="bottom"/>
          </w:tcPr>
          <w:p w14:paraId="1D07B388" w14:textId="77777777" w:rsidR="00BE2B60" w:rsidRPr="008C4F2F" w:rsidRDefault="00BE2B60" w:rsidP="0048250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11,6</w:t>
            </w:r>
          </w:p>
        </w:tc>
        <w:tc>
          <w:tcPr>
            <w:tcW w:w="686" w:type="pct"/>
            <w:tcBorders>
              <w:top w:val="single" w:sz="4" w:space="0" w:color="auto"/>
              <w:left w:val="single" w:sz="4" w:space="0" w:color="auto"/>
              <w:bottom w:val="single" w:sz="4" w:space="0" w:color="auto"/>
              <w:right w:val="single" w:sz="4" w:space="0" w:color="auto"/>
            </w:tcBorders>
            <w:vAlign w:val="bottom"/>
          </w:tcPr>
          <w:p w14:paraId="4B7F3AE7" w14:textId="77777777" w:rsidR="00BE2B60" w:rsidRPr="008C4F2F" w:rsidRDefault="00BE2B60" w:rsidP="0048250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9,2</w:t>
            </w:r>
          </w:p>
        </w:tc>
        <w:tc>
          <w:tcPr>
            <w:tcW w:w="686" w:type="pct"/>
            <w:tcBorders>
              <w:top w:val="single" w:sz="4" w:space="0" w:color="auto"/>
              <w:left w:val="single" w:sz="4" w:space="0" w:color="auto"/>
              <w:bottom w:val="single" w:sz="4" w:space="0" w:color="auto"/>
              <w:right w:val="single" w:sz="4" w:space="0" w:color="auto"/>
            </w:tcBorders>
            <w:vAlign w:val="bottom"/>
          </w:tcPr>
          <w:p w14:paraId="6B03893B" w14:textId="77777777" w:rsidR="00BE2B60" w:rsidRPr="008C4F2F" w:rsidRDefault="00BE2B60" w:rsidP="009860C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10,3</w:t>
            </w:r>
          </w:p>
        </w:tc>
      </w:tr>
      <w:tr w:rsidR="00BE2B60" w:rsidRPr="008C4F2F" w14:paraId="0299CDCE" w14:textId="77777777" w:rsidTr="00504A2F">
        <w:trPr>
          <w:trHeight w:val="254"/>
          <w:jc w:val="center"/>
        </w:trPr>
        <w:tc>
          <w:tcPr>
            <w:tcW w:w="2942" w:type="pct"/>
            <w:tcBorders>
              <w:top w:val="nil"/>
              <w:left w:val="single" w:sz="4" w:space="0" w:color="auto"/>
              <w:bottom w:val="single" w:sz="4" w:space="0" w:color="auto"/>
              <w:right w:val="single" w:sz="4" w:space="0" w:color="auto"/>
            </w:tcBorders>
            <w:vAlign w:val="center"/>
            <w:hideMark/>
          </w:tcPr>
          <w:p w14:paraId="06210B0A" w14:textId="77777777" w:rsidR="00BE2B60" w:rsidRPr="008C4F2F" w:rsidRDefault="00BE2B60"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Квалифицированные работники сельского и лесного хозяйства, рыбоводства и рыболовства</w:t>
            </w:r>
          </w:p>
        </w:tc>
        <w:tc>
          <w:tcPr>
            <w:tcW w:w="686" w:type="pct"/>
            <w:tcBorders>
              <w:top w:val="single" w:sz="4" w:space="0" w:color="auto"/>
              <w:left w:val="nil"/>
              <w:bottom w:val="single" w:sz="4" w:space="0" w:color="auto"/>
              <w:right w:val="single" w:sz="4" w:space="0" w:color="auto"/>
            </w:tcBorders>
            <w:vAlign w:val="bottom"/>
          </w:tcPr>
          <w:p w14:paraId="3CB12AD8" w14:textId="77777777" w:rsidR="00BE2B60" w:rsidRPr="008C4F2F" w:rsidRDefault="00BE2B60" w:rsidP="0048250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38,1</w:t>
            </w:r>
          </w:p>
        </w:tc>
        <w:tc>
          <w:tcPr>
            <w:tcW w:w="686" w:type="pct"/>
            <w:tcBorders>
              <w:top w:val="single" w:sz="4" w:space="0" w:color="auto"/>
              <w:left w:val="single" w:sz="4" w:space="0" w:color="auto"/>
              <w:bottom w:val="single" w:sz="4" w:space="0" w:color="auto"/>
              <w:right w:val="single" w:sz="4" w:space="0" w:color="auto"/>
            </w:tcBorders>
            <w:vAlign w:val="bottom"/>
          </w:tcPr>
          <w:p w14:paraId="73C57161" w14:textId="77777777" w:rsidR="00BE2B60" w:rsidRPr="008C4F2F" w:rsidRDefault="00BE2B60" w:rsidP="0048250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43,1</w:t>
            </w:r>
          </w:p>
        </w:tc>
        <w:tc>
          <w:tcPr>
            <w:tcW w:w="686" w:type="pct"/>
            <w:tcBorders>
              <w:top w:val="single" w:sz="4" w:space="0" w:color="auto"/>
              <w:left w:val="single" w:sz="4" w:space="0" w:color="auto"/>
              <w:bottom w:val="single" w:sz="4" w:space="0" w:color="auto"/>
              <w:right w:val="single" w:sz="4" w:space="0" w:color="auto"/>
            </w:tcBorders>
            <w:vAlign w:val="bottom"/>
          </w:tcPr>
          <w:p w14:paraId="789B8DBF" w14:textId="77777777" w:rsidR="00BE2B60" w:rsidRPr="008C4F2F" w:rsidRDefault="00BE2B60" w:rsidP="009860C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24,9</w:t>
            </w:r>
          </w:p>
        </w:tc>
      </w:tr>
      <w:tr w:rsidR="00BE2B60" w:rsidRPr="008C4F2F" w14:paraId="5A068E12" w14:textId="77777777" w:rsidTr="00504A2F">
        <w:trPr>
          <w:trHeight w:val="254"/>
          <w:jc w:val="center"/>
        </w:trPr>
        <w:tc>
          <w:tcPr>
            <w:tcW w:w="2942" w:type="pct"/>
            <w:tcBorders>
              <w:top w:val="nil"/>
              <w:left w:val="single" w:sz="4" w:space="0" w:color="auto"/>
              <w:bottom w:val="single" w:sz="4" w:space="0" w:color="auto"/>
              <w:right w:val="single" w:sz="4" w:space="0" w:color="auto"/>
            </w:tcBorders>
            <w:vAlign w:val="center"/>
            <w:hideMark/>
          </w:tcPr>
          <w:p w14:paraId="6178FD39" w14:textId="77777777" w:rsidR="00BE2B60" w:rsidRPr="008C4F2F" w:rsidRDefault="00BE2B60"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Квалифицированные рабочие промышленности, строительства, транспорта и рабочие родственных занятий</w:t>
            </w:r>
          </w:p>
        </w:tc>
        <w:tc>
          <w:tcPr>
            <w:tcW w:w="686" w:type="pct"/>
            <w:tcBorders>
              <w:top w:val="single" w:sz="4" w:space="0" w:color="auto"/>
              <w:left w:val="nil"/>
              <w:bottom w:val="single" w:sz="4" w:space="0" w:color="auto"/>
              <w:right w:val="single" w:sz="4" w:space="0" w:color="auto"/>
            </w:tcBorders>
            <w:vAlign w:val="bottom"/>
          </w:tcPr>
          <w:p w14:paraId="7997660C" w14:textId="77777777" w:rsidR="00BE2B60" w:rsidRPr="008C4F2F" w:rsidRDefault="00BE2B60" w:rsidP="0048250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4,5</w:t>
            </w:r>
          </w:p>
        </w:tc>
        <w:tc>
          <w:tcPr>
            <w:tcW w:w="686" w:type="pct"/>
            <w:tcBorders>
              <w:top w:val="single" w:sz="4" w:space="0" w:color="auto"/>
              <w:left w:val="single" w:sz="4" w:space="0" w:color="auto"/>
              <w:bottom w:val="single" w:sz="4" w:space="0" w:color="auto"/>
              <w:right w:val="single" w:sz="4" w:space="0" w:color="auto"/>
            </w:tcBorders>
            <w:vAlign w:val="bottom"/>
          </w:tcPr>
          <w:p w14:paraId="4032D23F" w14:textId="77777777" w:rsidR="00BE2B60" w:rsidRPr="008C4F2F" w:rsidRDefault="00BE2B60" w:rsidP="0048250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2,9</w:t>
            </w:r>
          </w:p>
        </w:tc>
        <w:tc>
          <w:tcPr>
            <w:tcW w:w="686" w:type="pct"/>
            <w:tcBorders>
              <w:top w:val="single" w:sz="4" w:space="0" w:color="auto"/>
              <w:left w:val="single" w:sz="4" w:space="0" w:color="auto"/>
              <w:bottom w:val="single" w:sz="4" w:space="0" w:color="auto"/>
              <w:right w:val="single" w:sz="4" w:space="0" w:color="auto"/>
            </w:tcBorders>
            <w:vAlign w:val="bottom"/>
          </w:tcPr>
          <w:p w14:paraId="78B88656" w14:textId="77777777" w:rsidR="00BE2B60" w:rsidRPr="008C4F2F" w:rsidRDefault="00BE2B60" w:rsidP="009860C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w:t>
            </w:r>
          </w:p>
        </w:tc>
      </w:tr>
      <w:tr w:rsidR="00BE2B60" w:rsidRPr="008C4F2F" w14:paraId="29043F7E" w14:textId="77777777" w:rsidTr="00504A2F">
        <w:trPr>
          <w:trHeight w:val="254"/>
          <w:jc w:val="center"/>
        </w:trPr>
        <w:tc>
          <w:tcPr>
            <w:tcW w:w="2942" w:type="pct"/>
            <w:tcBorders>
              <w:top w:val="nil"/>
              <w:left w:val="single" w:sz="4" w:space="0" w:color="auto"/>
              <w:bottom w:val="single" w:sz="4" w:space="0" w:color="auto"/>
              <w:right w:val="single" w:sz="4" w:space="0" w:color="auto"/>
            </w:tcBorders>
            <w:vAlign w:val="center"/>
            <w:hideMark/>
          </w:tcPr>
          <w:p w14:paraId="48853A0E" w14:textId="77777777" w:rsidR="00BE2B60" w:rsidRPr="008C4F2F" w:rsidRDefault="00BE2B60"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Операторы производственных установок и машин, сборщики и водители</w:t>
            </w:r>
          </w:p>
        </w:tc>
        <w:tc>
          <w:tcPr>
            <w:tcW w:w="686" w:type="pct"/>
            <w:tcBorders>
              <w:top w:val="single" w:sz="4" w:space="0" w:color="auto"/>
              <w:left w:val="nil"/>
              <w:bottom w:val="single" w:sz="4" w:space="0" w:color="auto"/>
              <w:right w:val="single" w:sz="4" w:space="0" w:color="auto"/>
            </w:tcBorders>
            <w:vAlign w:val="bottom"/>
          </w:tcPr>
          <w:p w14:paraId="3A110C0B" w14:textId="77777777" w:rsidR="00BE2B60" w:rsidRPr="008C4F2F" w:rsidRDefault="00BE2B60" w:rsidP="0048250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0,9</w:t>
            </w:r>
          </w:p>
        </w:tc>
        <w:tc>
          <w:tcPr>
            <w:tcW w:w="686" w:type="pct"/>
            <w:tcBorders>
              <w:top w:val="single" w:sz="4" w:space="0" w:color="auto"/>
              <w:left w:val="single" w:sz="4" w:space="0" w:color="auto"/>
              <w:bottom w:val="single" w:sz="4" w:space="0" w:color="auto"/>
              <w:right w:val="single" w:sz="4" w:space="0" w:color="auto"/>
            </w:tcBorders>
            <w:vAlign w:val="bottom"/>
          </w:tcPr>
          <w:p w14:paraId="3B07DD7C" w14:textId="77777777" w:rsidR="00BE2B60" w:rsidRPr="008C4F2F" w:rsidRDefault="00BE2B60" w:rsidP="0048250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1,8</w:t>
            </w:r>
          </w:p>
        </w:tc>
        <w:tc>
          <w:tcPr>
            <w:tcW w:w="686" w:type="pct"/>
            <w:tcBorders>
              <w:top w:val="single" w:sz="4" w:space="0" w:color="auto"/>
              <w:left w:val="single" w:sz="4" w:space="0" w:color="auto"/>
              <w:bottom w:val="single" w:sz="4" w:space="0" w:color="auto"/>
              <w:right w:val="single" w:sz="4" w:space="0" w:color="auto"/>
            </w:tcBorders>
            <w:vAlign w:val="bottom"/>
          </w:tcPr>
          <w:p w14:paraId="37C8AF92" w14:textId="77777777" w:rsidR="00BE2B60" w:rsidRPr="008C4F2F" w:rsidRDefault="00BE2B60" w:rsidP="009860C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r>
      <w:tr w:rsidR="00BE2B60" w:rsidRPr="008C4F2F" w14:paraId="42C53346" w14:textId="77777777" w:rsidTr="00504A2F">
        <w:trPr>
          <w:trHeight w:val="392"/>
          <w:jc w:val="center"/>
        </w:trPr>
        <w:tc>
          <w:tcPr>
            <w:tcW w:w="2942" w:type="pct"/>
            <w:tcBorders>
              <w:top w:val="nil"/>
              <w:left w:val="single" w:sz="4" w:space="0" w:color="auto"/>
              <w:bottom w:val="single" w:sz="4" w:space="0" w:color="auto"/>
              <w:right w:val="single" w:sz="4" w:space="0" w:color="auto"/>
            </w:tcBorders>
            <w:vAlign w:val="center"/>
            <w:hideMark/>
          </w:tcPr>
          <w:p w14:paraId="23049B3E" w14:textId="77777777" w:rsidR="00BE2B60" w:rsidRPr="008C4F2F" w:rsidRDefault="00BE2B60"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Неквалифицированные рабочие</w:t>
            </w:r>
          </w:p>
        </w:tc>
        <w:tc>
          <w:tcPr>
            <w:tcW w:w="686" w:type="pct"/>
            <w:tcBorders>
              <w:top w:val="single" w:sz="4" w:space="0" w:color="auto"/>
              <w:left w:val="nil"/>
              <w:bottom w:val="single" w:sz="4" w:space="0" w:color="auto"/>
              <w:right w:val="single" w:sz="4" w:space="0" w:color="auto"/>
            </w:tcBorders>
            <w:vAlign w:val="bottom"/>
          </w:tcPr>
          <w:p w14:paraId="02C46488" w14:textId="77777777" w:rsidR="00BE2B60" w:rsidRPr="008C4F2F" w:rsidRDefault="00BE2B60" w:rsidP="0048250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18,0</w:t>
            </w:r>
          </w:p>
        </w:tc>
        <w:tc>
          <w:tcPr>
            <w:tcW w:w="686" w:type="pct"/>
            <w:tcBorders>
              <w:top w:val="single" w:sz="4" w:space="0" w:color="auto"/>
              <w:left w:val="single" w:sz="4" w:space="0" w:color="auto"/>
              <w:bottom w:val="single" w:sz="4" w:space="0" w:color="auto"/>
              <w:right w:val="single" w:sz="4" w:space="0" w:color="auto"/>
            </w:tcBorders>
            <w:vAlign w:val="bottom"/>
          </w:tcPr>
          <w:p w14:paraId="43516210" w14:textId="77777777" w:rsidR="00BE2B60" w:rsidRPr="008C4F2F" w:rsidRDefault="00BE2B60" w:rsidP="0048250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16,9</w:t>
            </w:r>
          </w:p>
        </w:tc>
        <w:tc>
          <w:tcPr>
            <w:tcW w:w="686" w:type="pct"/>
            <w:tcBorders>
              <w:top w:val="single" w:sz="4" w:space="0" w:color="auto"/>
              <w:left w:val="single" w:sz="4" w:space="0" w:color="auto"/>
              <w:bottom w:val="single" w:sz="4" w:space="0" w:color="auto"/>
              <w:right w:val="single" w:sz="4" w:space="0" w:color="auto"/>
            </w:tcBorders>
            <w:vAlign w:val="bottom"/>
          </w:tcPr>
          <w:p w14:paraId="242BE38C" w14:textId="77777777" w:rsidR="00BE2B60" w:rsidRPr="008C4F2F" w:rsidRDefault="00BE2B60" w:rsidP="009860C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18,2</w:t>
            </w:r>
          </w:p>
        </w:tc>
      </w:tr>
      <w:tr w:rsidR="00BE2B60" w:rsidRPr="008C4F2F" w14:paraId="461109F6" w14:textId="77777777" w:rsidTr="00504A2F">
        <w:trPr>
          <w:trHeight w:val="395"/>
          <w:jc w:val="center"/>
        </w:trPr>
        <w:tc>
          <w:tcPr>
            <w:tcW w:w="2942" w:type="pct"/>
            <w:tcBorders>
              <w:top w:val="nil"/>
              <w:left w:val="single" w:sz="4" w:space="0" w:color="auto"/>
              <w:bottom w:val="single" w:sz="4" w:space="0" w:color="auto"/>
              <w:right w:val="single" w:sz="4" w:space="0" w:color="auto"/>
            </w:tcBorders>
            <w:vAlign w:val="center"/>
            <w:hideMark/>
          </w:tcPr>
          <w:p w14:paraId="224CCDDD" w14:textId="77777777" w:rsidR="00BE2B60" w:rsidRPr="008C4F2F" w:rsidRDefault="00BE2B60" w:rsidP="00D03A4F">
            <w:pPr>
              <w:spacing w:after="0" w:line="240" w:lineRule="auto"/>
              <w:ind w:left="57"/>
              <w:rPr>
                <w:rFonts w:ascii="Times New Roman" w:eastAsia="Arial Unicode MS" w:hAnsi="Times New Roman" w:cs="Times New Roman"/>
                <w:b/>
                <w:sz w:val="24"/>
                <w:szCs w:val="24"/>
                <w:lang w:eastAsia="ru-RU"/>
              </w:rPr>
            </w:pPr>
            <w:r w:rsidRPr="008C4F2F">
              <w:rPr>
                <w:rFonts w:ascii="Times New Roman" w:eastAsia="Times New Roman" w:hAnsi="Times New Roman" w:cs="Times New Roman"/>
                <w:b/>
                <w:sz w:val="24"/>
                <w:szCs w:val="24"/>
                <w:lang w:eastAsia="ru-RU"/>
              </w:rPr>
              <w:t>Мужчины</w:t>
            </w:r>
          </w:p>
        </w:tc>
        <w:tc>
          <w:tcPr>
            <w:tcW w:w="686" w:type="pct"/>
            <w:tcBorders>
              <w:top w:val="single" w:sz="4" w:space="0" w:color="auto"/>
              <w:left w:val="nil"/>
              <w:bottom w:val="single" w:sz="4" w:space="0" w:color="auto"/>
              <w:right w:val="single" w:sz="4" w:space="0" w:color="auto"/>
            </w:tcBorders>
            <w:vAlign w:val="bottom"/>
          </w:tcPr>
          <w:p w14:paraId="77824B0F" w14:textId="77777777" w:rsidR="00BE2B60" w:rsidRPr="008C4F2F" w:rsidRDefault="00BE2B60" w:rsidP="0048250F">
            <w:pPr>
              <w:spacing w:after="0" w:line="240" w:lineRule="auto"/>
              <w:jc w:val="center"/>
              <w:rPr>
                <w:rFonts w:ascii="Times New Roman" w:eastAsia="Times New Roman" w:hAnsi="Times New Roman" w:cs="Times New Roman"/>
                <w:b/>
                <w:bCs/>
                <w:sz w:val="24"/>
                <w:szCs w:val="24"/>
                <w:lang w:eastAsia="ru-RU"/>
              </w:rPr>
            </w:pPr>
            <w:r w:rsidRPr="008C4F2F">
              <w:rPr>
                <w:rFonts w:ascii="Times New Roman" w:eastAsia="Times New Roman" w:hAnsi="Times New Roman" w:cs="Times New Roman"/>
                <w:b/>
                <w:bCs/>
                <w:sz w:val="24"/>
                <w:szCs w:val="24"/>
                <w:lang w:eastAsia="ru-RU"/>
              </w:rPr>
              <w:t>44,3</w:t>
            </w:r>
          </w:p>
        </w:tc>
        <w:tc>
          <w:tcPr>
            <w:tcW w:w="686" w:type="pct"/>
            <w:tcBorders>
              <w:top w:val="single" w:sz="4" w:space="0" w:color="auto"/>
              <w:left w:val="single" w:sz="4" w:space="0" w:color="auto"/>
              <w:bottom w:val="single" w:sz="4" w:space="0" w:color="auto"/>
              <w:right w:val="single" w:sz="4" w:space="0" w:color="auto"/>
            </w:tcBorders>
            <w:vAlign w:val="bottom"/>
          </w:tcPr>
          <w:p w14:paraId="5C866BFE" w14:textId="77777777" w:rsidR="00BE2B60" w:rsidRPr="008C4F2F" w:rsidRDefault="00BE2B60" w:rsidP="0048250F">
            <w:pPr>
              <w:spacing w:after="0" w:line="240" w:lineRule="auto"/>
              <w:jc w:val="center"/>
              <w:rPr>
                <w:rFonts w:ascii="Times New Roman" w:eastAsia="Times New Roman" w:hAnsi="Times New Roman" w:cs="Times New Roman"/>
                <w:b/>
                <w:bCs/>
                <w:sz w:val="24"/>
                <w:szCs w:val="24"/>
                <w:lang w:eastAsia="ru-RU"/>
              </w:rPr>
            </w:pPr>
            <w:r w:rsidRPr="008C4F2F">
              <w:rPr>
                <w:rFonts w:ascii="Times New Roman" w:eastAsia="Times New Roman" w:hAnsi="Times New Roman" w:cs="Times New Roman"/>
                <w:b/>
                <w:bCs/>
                <w:sz w:val="24"/>
                <w:szCs w:val="24"/>
                <w:lang w:eastAsia="ru-RU"/>
              </w:rPr>
              <w:t>45,9</w:t>
            </w:r>
          </w:p>
        </w:tc>
        <w:tc>
          <w:tcPr>
            <w:tcW w:w="686" w:type="pct"/>
            <w:tcBorders>
              <w:top w:val="single" w:sz="4" w:space="0" w:color="auto"/>
              <w:left w:val="single" w:sz="4" w:space="0" w:color="auto"/>
              <w:bottom w:val="single" w:sz="4" w:space="0" w:color="auto"/>
              <w:right w:val="single" w:sz="4" w:space="0" w:color="auto"/>
            </w:tcBorders>
            <w:vAlign w:val="bottom"/>
          </w:tcPr>
          <w:p w14:paraId="2BE9DEB1" w14:textId="77777777" w:rsidR="00BE2B60" w:rsidRPr="008C4F2F" w:rsidRDefault="00BE2B60" w:rsidP="009860C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36,0</w:t>
            </w:r>
          </w:p>
        </w:tc>
      </w:tr>
      <w:tr w:rsidR="00BE2B60" w:rsidRPr="008C4F2F" w14:paraId="7878688F" w14:textId="77777777" w:rsidTr="00504A2F">
        <w:trPr>
          <w:trHeight w:val="394"/>
          <w:jc w:val="center"/>
        </w:trPr>
        <w:tc>
          <w:tcPr>
            <w:tcW w:w="2942" w:type="pct"/>
            <w:tcBorders>
              <w:top w:val="nil"/>
              <w:left w:val="single" w:sz="4" w:space="0" w:color="auto"/>
              <w:bottom w:val="single" w:sz="4" w:space="0" w:color="auto"/>
              <w:right w:val="single" w:sz="4" w:space="0" w:color="auto"/>
            </w:tcBorders>
            <w:vAlign w:val="center"/>
            <w:hideMark/>
          </w:tcPr>
          <w:p w14:paraId="16B7FE28" w14:textId="77777777" w:rsidR="00BE2B60" w:rsidRPr="008C4F2F" w:rsidRDefault="00BE2B60"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Специалисты среднего уровня квалификации</w:t>
            </w:r>
          </w:p>
        </w:tc>
        <w:tc>
          <w:tcPr>
            <w:tcW w:w="686" w:type="pct"/>
            <w:tcBorders>
              <w:top w:val="single" w:sz="4" w:space="0" w:color="auto"/>
              <w:left w:val="nil"/>
              <w:bottom w:val="single" w:sz="4" w:space="0" w:color="auto"/>
              <w:right w:val="single" w:sz="4" w:space="0" w:color="auto"/>
            </w:tcBorders>
            <w:vAlign w:val="bottom"/>
          </w:tcPr>
          <w:p w14:paraId="2B9E0B91" w14:textId="77777777" w:rsidR="00BE2B60" w:rsidRPr="008C4F2F" w:rsidRDefault="00BE2B60" w:rsidP="0048250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1,8</w:t>
            </w:r>
          </w:p>
        </w:tc>
        <w:tc>
          <w:tcPr>
            <w:tcW w:w="686" w:type="pct"/>
            <w:tcBorders>
              <w:top w:val="single" w:sz="4" w:space="0" w:color="auto"/>
              <w:left w:val="single" w:sz="4" w:space="0" w:color="auto"/>
              <w:bottom w:val="single" w:sz="4" w:space="0" w:color="auto"/>
              <w:right w:val="single" w:sz="4" w:space="0" w:color="auto"/>
            </w:tcBorders>
            <w:vAlign w:val="bottom"/>
          </w:tcPr>
          <w:p w14:paraId="692E74A4" w14:textId="77777777" w:rsidR="00BE2B60" w:rsidRPr="008C4F2F" w:rsidRDefault="00BE2B60" w:rsidP="0048250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2,0</w:t>
            </w:r>
          </w:p>
        </w:tc>
        <w:tc>
          <w:tcPr>
            <w:tcW w:w="686" w:type="pct"/>
            <w:tcBorders>
              <w:top w:val="single" w:sz="4" w:space="0" w:color="auto"/>
              <w:left w:val="single" w:sz="4" w:space="0" w:color="auto"/>
              <w:bottom w:val="single" w:sz="4" w:space="0" w:color="auto"/>
              <w:right w:val="single" w:sz="4" w:space="0" w:color="auto"/>
            </w:tcBorders>
            <w:vAlign w:val="bottom"/>
          </w:tcPr>
          <w:p w14:paraId="363DB5E8" w14:textId="77777777" w:rsidR="00BE2B60" w:rsidRPr="008C4F2F" w:rsidRDefault="00BE2B60" w:rsidP="009860C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r>
      <w:tr w:rsidR="00BE2B60" w:rsidRPr="008C4F2F" w14:paraId="730DB6EA" w14:textId="77777777" w:rsidTr="00504A2F">
        <w:trPr>
          <w:trHeight w:val="254"/>
          <w:jc w:val="center"/>
        </w:trPr>
        <w:tc>
          <w:tcPr>
            <w:tcW w:w="2942" w:type="pct"/>
            <w:tcBorders>
              <w:top w:val="nil"/>
              <w:left w:val="single" w:sz="4" w:space="0" w:color="auto"/>
              <w:bottom w:val="single" w:sz="4" w:space="0" w:color="auto"/>
              <w:right w:val="single" w:sz="4" w:space="0" w:color="auto"/>
            </w:tcBorders>
            <w:vAlign w:val="center"/>
            <w:hideMark/>
          </w:tcPr>
          <w:p w14:paraId="3E5029A4" w14:textId="77777777" w:rsidR="00BE2B60" w:rsidRPr="008C4F2F" w:rsidRDefault="00BE2B60"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Служащие, занятые подготовкой и оформлением документации, учетом и обслуживанием</w:t>
            </w:r>
          </w:p>
        </w:tc>
        <w:tc>
          <w:tcPr>
            <w:tcW w:w="686" w:type="pct"/>
            <w:tcBorders>
              <w:top w:val="single" w:sz="4" w:space="0" w:color="auto"/>
              <w:left w:val="nil"/>
              <w:bottom w:val="single" w:sz="4" w:space="0" w:color="auto"/>
              <w:right w:val="single" w:sz="4" w:space="0" w:color="auto"/>
            </w:tcBorders>
            <w:vAlign w:val="bottom"/>
          </w:tcPr>
          <w:p w14:paraId="245A3D70" w14:textId="77777777" w:rsidR="00BE2B60" w:rsidRPr="008C4F2F" w:rsidRDefault="00BE2B60" w:rsidP="0048250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0,4</w:t>
            </w:r>
          </w:p>
        </w:tc>
        <w:tc>
          <w:tcPr>
            <w:tcW w:w="686" w:type="pct"/>
            <w:tcBorders>
              <w:top w:val="single" w:sz="4" w:space="0" w:color="auto"/>
              <w:left w:val="single" w:sz="4" w:space="0" w:color="auto"/>
              <w:bottom w:val="single" w:sz="4" w:space="0" w:color="auto"/>
              <w:right w:val="single" w:sz="4" w:space="0" w:color="auto"/>
            </w:tcBorders>
            <w:vAlign w:val="bottom"/>
          </w:tcPr>
          <w:p w14:paraId="34F3C8C1" w14:textId="77777777" w:rsidR="00BE2B60" w:rsidRPr="008C4F2F" w:rsidRDefault="00BE2B60" w:rsidP="0048250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0,3</w:t>
            </w:r>
          </w:p>
        </w:tc>
        <w:tc>
          <w:tcPr>
            <w:tcW w:w="686" w:type="pct"/>
            <w:tcBorders>
              <w:top w:val="single" w:sz="4" w:space="0" w:color="auto"/>
              <w:left w:val="single" w:sz="4" w:space="0" w:color="auto"/>
              <w:bottom w:val="single" w:sz="4" w:space="0" w:color="auto"/>
              <w:right w:val="single" w:sz="4" w:space="0" w:color="auto"/>
            </w:tcBorders>
            <w:vAlign w:val="bottom"/>
          </w:tcPr>
          <w:p w14:paraId="07697081" w14:textId="77777777" w:rsidR="00BE2B60" w:rsidRPr="00BE2B60" w:rsidRDefault="00BE2B60" w:rsidP="009860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BE2B60" w:rsidRPr="008C4F2F" w14:paraId="688D446B" w14:textId="77777777" w:rsidTr="00504A2F">
        <w:trPr>
          <w:trHeight w:val="254"/>
          <w:jc w:val="center"/>
        </w:trPr>
        <w:tc>
          <w:tcPr>
            <w:tcW w:w="2942" w:type="pct"/>
            <w:tcBorders>
              <w:top w:val="nil"/>
              <w:left w:val="single" w:sz="4" w:space="0" w:color="auto"/>
              <w:bottom w:val="single" w:sz="4" w:space="0" w:color="auto"/>
              <w:right w:val="single" w:sz="4" w:space="0" w:color="auto"/>
            </w:tcBorders>
            <w:vAlign w:val="center"/>
            <w:hideMark/>
          </w:tcPr>
          <w:p w14:paraId="702F15BB" w14:textId="77777777" w:rsidR="00BE2B60" w:rsidRPr="008C4F2F" w:rsidRDefault="00BE2B60"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Работники сферы обслуживания и торговли, охраны граждан и собственности</w:t>
            </w:r>
          </w:p>
        </w:tc>
        <w:tc>
          <w:tcPr>
            <w:tcW w:w="686" w:type="pct"/>
            <w:tcBorders>
              <w:top w:val="single" w:sz="4" w:space="0" w:color="auto"/>
              <w:left w:val="nil"/>
              <w:bottom w:val="single" w:sz="4" w:space="0" w:color="auto"/>
              <w:right w:val="single" w:sz="4" w:space="0" w:color="auto"/>
            </w:tcBorders>
            <w:vAlign w:val="bottom"/>
          </w:tcPr>
          <w:p w14:paraId="5961A855" w14:textId="77777777" w:rsidR="00BE2B60" w:rsidRPr="008C4F2F" w:rsidRDefault="00BE2B60" w:rsidP="0048250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3,8</w:t>
            </w:r>
          </w:p>
        </w:tc>
        <w:tc>
          <w:tcPr>
            <w:tcW w:w="686" w:type="pct"/>
            <w:tcBorders>
              <w:top w:val="single" w:sz="4" w:space="0" w:color="auto"/>
              <w:left w:val="single" w:sz="4" w:space="0" w:color="auto"/>
              <w:bottom w:val="single" w:sz="4" w:space="0" w:color="auto"/>
              <w:right w:val="single" w:sz="4" w:space="0" w:color="auto"/>
            </w:tcBorders>
            <w:vAlign w:val="bottom"/>
          </w:tcPr>
          <w:p w14:paraId="1283B965" w14:textId="77777777" w:rsidR="00BE2B60" w:rsidRPr="008C4F2F" w:rsidRDefault="00BE2B60" w:rsidP="0048250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3,2</w:t>
            </w:r>
          </w:p>
        </w:tc>
        <w:tc>
          <w:tcPr>
            <w:tcW w:w="686" w:type="pct"/>
            <w:tcBorders>
              <w:top w:val="single" w:sz="4" w:space="0" w:color="auto"/>
              <w:left w:val="single" w:sz="4" w:space="0" w:color="auto"/>
              <w:bottom w:val="single" w:sz="4" w:space="0" w:color="auto"/>
              <w:right w:val="single" w:sz="4" w:space="0" w:color="auto"/>
            </w:tcBorders>
            <w:vAlign w:val="bottom"/>
          </w:tcPr>
          <w:p w14:paraId="626C1C79" w14:textId="77777777" w:rsidR="00BE2B60" w:rsidRPr="008C4F2F" w:rsidRDefault="00BE2B60" w:rsidP="009860C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p>
        </w:tc>
      </w:tr>
      <w:tr w:rsidR="00BE2B60" w:rsidRPr="008C4F2F" w14:paraId="32837333" w14:textId="77777777" w:rsidTr="00504A2F">
        <w:trPr>
          <w:trHeight w:val="254"/>
          <w:jc w:val="center"/>
        </w:trPr>
        <w:tc>
          <w:tcPr>
            <w:tcW w:w="2942" w:type="pct"/>
            <w:tcBorders>
              <w:top w:val="nil"/>
              <w:left w:val="single" w:sz="4" w:space="0" w:color="auto"/>
              <w:bottom w:val="single" w:sz="4" w:space="0" w:color="auto"/>
              <w:right w:val="single" w:sz="4" w:space="0" w:color="auto"/>
            </w:tcBorders>
            <w:vAlign w:val="center"/>
            <w:hideMark/>
          </w:tcPr>
          <w:p w14:paraId="0E869D62" w14:textId="77777777" w:rsidR="00BE2B60" w:rsidRPr="008C4F2F" w:rsidRDefault="00BE2B60"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Квалифицированные работники сельского и лесного хозяйства, рыбоводства и рыболовства</w:t>
            </w:r>
          </w:p>
        </w:tc>
        <w:tc>
          <w:tcPr>
            <w:tcW w:w="686" w:type="pct"/>
            <w:tcBorders>
              <w:top w:val="single" w:sz="4" w:space="0" w:color="auto"/>
              <w:left w:val="nil"/>
              <w:bottom w:val="single" w:sz="4" w:space="0" w:color="auto"/>
              <w:right w:val="single" w:sz="4" w:space="0" w:color="auto"/>
            </w:tcBorders>
            <w:vAlign w:val="bottom"/>
          </w:tcPr>
          <w:p w14:paraId="5D506A47" w14:textId="77777777" w:rsidR="00BE2B60" w:rsidRPr="008C4F2F" w:rsidRDefault="00BE2B60" w:rsidP="0048250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21,9</w:t>
            </w:r>
          </w:p>
        </w:tc>
        <w:tc>
          <w:tcPr>
            <w:tcW w:w="686" w:type="pct"/>
            <w:tcBorders>
              <w:top w:val="single" w:sz="4" w:space="0" w:color="auto"/>
              <w:left w:val="single" w:sz="4" w:space="0" w:color="auto"/>
              <w:bottom w:val="single" w:sz="4" w:space="0" w:color="auto"/>
              <w:right w:val="single" w:sz="4" w:space="0" w:color="auto"/>
            </w:tcBorders>
            <w:vAlign w:val="bottom"/>
          </w:tcPr>
          <w:p w14:paraId="710A100A" w14:textId="77777777" w:rsidR="00BE2B60" w:rsidRPr="008C4F2F" w:rsidRDefault="00BE2B60" w:rsidP="0048250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24,3</w:t>
            </w:r>
          </w:p>
        </w:tc>
        <w:tc>
          <w:tcPr>
            <w:tcW w:w="686" w:type="pct"/>
            <w:tcBorders>
              <w:top w:val="single" w:sz="4" w:space="0" w:color="auto"/>
              <w:left w:val="single" w:sz="4" w:space="0" w:color="auto"/>
              <w:bottom w:val="single" w:sz="4" w:space="0" w:color="auto"/>
              <w:right w:val="single" w:sz="4" w:space="0" w:color="auto"/>
            </w:tcBorders>
            <w:vAlign w:val="bottom"/>
          </w:tcPr>
          <w:p w14:paraId="2A163F34" w14:textId="77777777" w:rsidR="00BE2B60" w:rsidRPr="008C4F2F" w:rsidRDefault="00BE2B60" w:rsidP="009860C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14,5</w:t>
            </w:r>
          </w:p>
        </w:tc>
      </w:tr>
      <w:tr w:rsidR="00BE2B60" w:rsidRPr="008C4F2F" w14:paraId="65BD9E85" w14:textId="77777777" w:rsidTr="00504A2F">
        <w:trPr>
          <w:trHeight w:val="254"/>
          <w:jc w:val="center"/>
        </w:trPr>
        <w:tc>
          <w:tcPr>
            <w:tcW w:w="2942" w:type="pct"/>
            <w:tcBorders>
              <w:top w:val="nil"/>
              <w:left w:val="single" w:sz="4" w:space="0" w:color="auto"/>
              <w:bottom w:val="single" w:sz="4" w:space="0" w:color="auto"/>
              <w:right w:val="single" w:sz="4" w:space="0" w:color="auto"/>
            </w:tcBorders>
            <w:vAlign w:val="center"/>
            <w:hideMark/>
          </w:tcPr>
          <w:p w14:paraId="77E7460A" w14:textId="77777777" w:rsidR="00BE2B60" w:rsidRPr="008C4F2F" w:rsidRDefault="00BE2B60"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Квалифицированные рабочие промышленности, строительства, транспорта и рабочие родственных занятий</w:t>
            </w:r>
          </w:p>
        </w:tc>
        <w:tc>
          <w:tcPr>
            <w:tcW w:w="686" w:type="pct"/>
            <w:tcBorders>
              <w:top w:val="single" w:sz="4" w:space="0" w:color="auto"/>
              <w:left w:val="nil"/>
              <w:bottom w:val="single" w:sz="4" w:space="0" w:color="auto"/>
              <w:right w:val="single" w:sz="4" w:space="0" w:color="auto"/>
            </w:tcBorders>
            <w:vAlign w:val="bottom"/>
          </w:tcPr>
          <w:p w14:paraId="7E76D7A7" w14:textId="77777777" w:rsidR="00BE2B60" w:rsidRPr="008C4F2F" w:rsidRDefault="00BE2B60" w:rsidP="0048250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3,5</w:t>
            </w:r>
          </w:p>
        </w:tc>
        <w:tc>
          <w:tcPr>
            <w:tcW w:w="686" w:type="pct"/>
            <w:tcBorders>
              <w:top w:val="single" w:sz="4" w:space="0" w:color="auto"/>
              <w:left w:val="single" w:sz="4" w:space="0" w:color="auto"/>
              <w:bottom w:val="single" w:sz="4" w:space="0" w:color="auto"/>
              <w:right w:val="single" w:sz="4" w:space="0" w:color="auto"/>
            </w:tcBorders>
            <w:vAlign w:val="bottom"/>
          </w:tcPr>
          <w:p w14:paraId="303C22C5" w14:textId="77777777" w:rsidR="00BE2B60" w:rsidRPr="008C4F2F" w:rsidRDefault="00BE2B60" w:rsidP="0048250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1,8</w:t>
            </w:r>
          </w:p>
        </w:tc>
        <w:tc>
          <w:tcPr>
            <w:tcW w:w="686" w:type="pct"/>
            <w:tcBorders>
              <w:top w:val="single" w:sz="4" w:space="0" w:color="auto"/>
              <w:left w:val="single" w:sz="4" w:space="0" w:color="auto"/>
              <w:bottom w:val="single" w:sz="4" w:space="0" w:color="auto"/>
              <w:right w:val="single" w:sz="4" w:space="0" w:color="auto"/>
            </w:tcBorders>
            <w:vAlign w:val="bottom"/>
          </w:tcPr>
          <w:p w14:paraId="0E0EB836" w14:textId="77777777" w:rsidR="00BE2B60" w:rsidRPr="008C4F2F" w:rsidRDefault="00BE2B60" w:rsidP="009860C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p>
        </w:tc>
      </w:tr>
      <w:tr w:rsidR="00BE2B60" w:rsidRPr="008C4F2F" w14:paraId="03A3A0EF" w14:textId="77777777" w:rsidTr="00504A2F">
        <w:trPr>
          <w:trHeight w:val="254"/>
          <w:jc w:val="center"/>
        </w:trPr>
        <w:tc>
          <w:tcPr>
            <w:tcW w:w="2942" w:type="pct"/>
            <w:tcBorders>
              <w:top w:val="nil"/>
              <w:left w:val="single" w:sz="4" w:space="0" w:color="auto"/>
              <w:bottom w:val="single" w:sz="4" w:space="0" w:color="auto"/>
              <w:right w:val="single" w:sz="4" w:space="0" w:color="auto"/>
            </w:tcBorders>
            <w:vAlign w:val="center"/>
            <w:hideMark/>
          </w:tcPr>
          <w:p w14:paraId="36774948" w14:textId="77777777" w:rsidR="00BE2B60" w:rsidRPr="008C4F2F" w:rsidRDefault="00BE2B60"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Операторы производственных установок и машин, сборщики и водители</w:t>
            </w:r>
          </w:p>
        </w:tc>
        <w:tc>
          <w:tcPr>
            <w:tcW w:w="686" w:type="pct"/>
            <w:tcBorders>
              <w:top w:val="single" w:sz="4" w:space="0" w:color="auto"/>
              <w:left w:val="nil"/>
              <w:bottom w:val="single" w:sz="4" w:space="0" w:color="auto"/>
              <w:right w:val="single" w:sz="4" w:space="0" w:color="auto"/>
            </w:tcBorders>
            <w:vAlign w:val="bottom"/>
          </w:tcPr>
          <w:p w14:paraId="19431764" w14:textId="77777777" w:rsidR="00BE2B60" w:rsidRPr="008C4F2F" w:rsidRDefault="00BE2B60" w:rsidP="0048250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0,7</w:t>
            </w:r>
          </w:p>
        </w:tc>
        <w:tc>
          <w:tcPr>
            <w:tcW w:w="686" w:type="pct"/>
            <w:tcBorders>
              <w:top w:val="single" w:sz="4" w:space="0" w:color="auto"/>
              <w:left w:val="single" w:sz="4" w:space="0" w:color="auto"/>
              <w:bottom w:val="single" w:sz="4" w:space="0" w:color="auto"/>
              <w:right w:val="single" w:sz="4" w:space="0" w:color="auto"/>
            </w:tcBorders>
            <w:vAlign w:val="bottom"/>
          </w:tcPr>
          <w:p w14:paraId="3DE50EB3" w14:textId="77777777" w:rsidR="00BE2B60" w:rsidRPr="008C4F2F" w:rsidRDefault="00BE2B60" w:rsidP="0048250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0,6</w:t>
            </w:r>
          </w:p>
        </w:tc>
        <w:tc>
          <w:tcPr>
            <w:tcW w:w="686" w:type="pct"/>
            <w:tcBorders>
              <w:top w:val="single" w:sz="4" w:space="0" w:color="auto"/>
              <w:left w:val="single" w:sz="4" w:space="0" w:color="auto"/>
              <w:bottom w:val="single" w:sz="4" w:space="0" w:color="auto"/>
              <w:right w:val="single" w:sz="4" w:space="0" w:color="auto"/>
            </w:tcBorders>
            <w:vAlign w:val="bottom"/>
          </w:tcPr>
          <w:p w14:paraId="1771CBC9" w14:textId="77777777" w:rsidR="00BE2B60" w:rsidRPr="008C4F2F" w:rsidRDefault="00BE2B60" w:rsidP="009860C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0,9</w:t>
            </w:r>
          </w:p>
        </w:tc>
      </w:tr>
      <w:tr w:rsidR="00BE2B60" w:rsidRPr="008C4F2F" w14:paraId="403EC24E" w14:textId="77777777" w:rsidTr="00504A2F">
        <w:trPr>
          <w:trHeight w:val="415"/>
          <w:jc w:val="center"/>
        </w:trPr>
        <w:tc>
          <w:tcPr>
            <w:tcW w:w="2942" w:type="pct"/>
            <w:tcBorders>
              <w:top w:val="nil"/>
              <w:left w:val="single" w:sz="4" w:space="0" w:color="auto"/>
              <w:bottom w:val="single" w:sz="4" w:space="0" w:color="auto"/>
              <w:right w:val="single" w:sz="4" w:space="0" w:color="auto"/>
            </w:tcBorders>
            <w:vAlign w:val="center"/>
            <w:hideMark/>
          </w:tcPr>
          <w:p w14:paraId="3761AC2B" w14:textId="77777777" w:rsidR="00BE2B60" w:rsidRPr="008C4F2F" w:rsidRDefault="00BE2B60"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Неквалифицированные рабочие</w:t>
            </w:r>
          </w:p>
        </w:tc>
        <w:tc>
          <w:tcPr>
            <w:tcW w:w="686" w:type="pct"/>
            <w:tcBorders>
              <w:top w:val="single" w:sz="4" w:space="0" w:color="auto"/>
              <w:left w:val="nil"/>
              <w:bottom w:val="single" w:sz="4" w:space="0" w:color="auto"/>
              <w:right w:val="single" w:sz="4" w:space="0" w:color="auto"/>
            </w:tcBorders>
            <w:vAlign w:val="bottom"/>
          </w:tcPr>
          <w:p w14:paraId="3916C211" w14:textId="77777777" w:rsidR="00BE2B60" w:rsidRPr="008C4F2F" w:rsidRDefault="00BE2B60" w:rsidP="0048250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12,2</w:t>
            </w:r>
          </w:p>
        </w:tc>
        <w:tc>
          <w:tcPr>
            <w:tcW w:w="686" w:type="pct"/>
            <w:tcBorders>
              <w:top w:val="single" w:sz="4" w:space="0" w:color="auto"/>
              <w:left w:val="single" w:sz="4" w:space="0" w:color="auto"/>
              <w:bottom w:val="single" w:sz="4" w:space="0" w:color="auto"/>
              <w:right w:val="single" w:sz="4" w:space="0" w:color="auto"/>
            </w:tcBorders>
            <w:vAlign w:val="bottom"/>
          </w:tcPr>
          <w:p w14:paraId="391FD4DA" w14:textId="77777777" w:rsidR="00BE2B60" w:rsidRPr="008C4F2F" w:rsidRDefault="00BE2B60" w:rsidP="0048250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13,7</w:t>
            </w:r>
          </w:p>
        </w:tc>
        <w:tc>
          <w:tcPr>
            <w:tcW w:w="686" w:type="pct"/>
            <w:tcBorders>
              <w:top w:val="single" w:sz="4" w:space="0" w:color="auto"/>
              <w:left w:val="single" w:sz="4" w:space="0" w:color="auto"/>
              <w:bottom w:val="single" w:sz="4" w:space="0" w:color="auto"/>
              <w:right w:val="single" w:sz="4" w:space="0" w:color="auto"/>
            </w:tcBorders>
            <w:vAlign w:val="bottom"/>
          </w:tcPr>
          <w:p w14:paraId="15357E66" w14:textId="77777777" w:rsidR="00BE2B60" w:rsidRPr="008C4F2F" w:rsidRDefault="00BE2B60" w:rsidP="009860C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14,0</w:t>
            </w:r>
          </w:p>
        </w:tc>
      </w:tr>
      <w:tr w:rsidR="00BE2B60" w:rsidRPr="008C4F2F" w14:paraId="558F2431" w14:textId="77777777" w:rsidTr="00504A2F">
        <w:trPr>
          <w:trHeight w:val="406"/>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14:paraId="42B10D77" w14:textId="77777777" w:rsidR="00BE2B60" w:rsidRPr="008C4F2F" w:rsidRDefault="00BE2B60" w:rsidP="00D03A4F">
            <w:pPr>
              <w:spacing w:after="0" w:line="240" w:lineRule="auto"/>
              <w:ind w:left="57"/>
              <w:rPr>
                <w:rFonts w:ascii="Times New Roman" w:eastAsia="Arial Unicode MS" w:hAnsi="Times New Roman" w:cs="Times New Roman"/>
                <w:b/>
                <w:sz w:val="24"/>
                <w:szCs w:val="24"/>
                <w:lang w:eastAsia="ru-RU"/>
              </w:rPr>
            </w:pPr>
            <w:r w:rsidRPr="008C4F2F">
              <w:rPr>
                <w:rFonts w:ascii="Times New Roman" w:eastAsia="Times New Roman" w:hAnsi="Times New Roman" w:cs="Times New Roman"/>
                <w:b/>
                <w:sz w:val="24"/>
                <w:szCs w:val="24"/>
                <w:lang w:eastAsia="ru-RU"/>
              </w:rPr>
              <w:t>Женщины</w:t>
            </w:r>
          </w:p>
        </w:tc>
        <w:tc>
          <w:tcPr>
            <w:tcW w:w="686" w:type="pct"/>
            <w:tcBorders>
              <w:top w:val="single" w:sz="4" w:space="0" w:color="auto"/>
              <w:left w:val="nil"/>
              <w:bottom w:val="single" w:sz="4" w:space="0" w:color="auto"/>
              <w:right w:val="single" w:sz="4" w:space="0" w:color="auto"/>
            </w:tcBorders>
            <w:vAlign w:val="bottom"/>
          </w:tcPr>
          <w:p w14:paraId="1D5E73FC" w14:textId="77777777" w:rsidR="00BE2B60" w:rsidRPr="008C4F2F" w:rsidRDefault="00BE2B60" w:rsidP="0048250F">
            <w:pPr>
              <w:spacing w:after="0" w:line="240" w:lineRule="auto"/>
              <w:jc w:val="center"/>
              <w:rPr>
                <w:rFonts w:ascii="Times New Roman" w:eastAsia="Times New Roman" w:hAnsi="Times New Roman" w:cs="Times New Roman"/>
                <w:b/>
                <w:bCs/>
                <w:sz w:val="24"/>
                <w:szCs w:val="24"/>
                <w:lang w:eastAsia="ru-RU"/>
              </w:rPr>
            </w:pPr>
            <w:r w:rsidRPr="008C4F2F">
              <w:rPr>
                <w:rFonts w:ascii="Times New Roman" w:eastAsia="Times New Roman" w:hAnsi="Times New Roman" w:cs="Times New Roman"/>
                <w:b/>
                <w:bCs/>
                <w:sz w:val="24"/>
                <w:szCs w:val="24"/>
                <w:lang w:eastAsia="ru-RU"/>
              </w:rPr>
              <w:t>33,9</w:t>
            </w:r>
          </w:p>
        </w:tc>
        <w:tc>
          <w:tcPr>
            <w:tcW w:w="686" w:type="pct"/>
            <w:tcBorders>
              <w:top w:val="single" w:sz="4" w:space="0" w:color="auto"/>
              <w:left w:val="single" w:sz="4" w:space="0" w:color="auto"/>
              <w:bottom w:val="single" w:sz="4" w:space="0" w:color="auto"/>
              <w:right w:val="single" w:sz="4" w:space="0" w:color="auto"/>
            </w:tcBorders>
            <w:vAlign w:val="bottom"/>
          </w:tcPr>
          <w:p w14:paraId="4B9457A6" w14:textId="77777777" w:rsidR="00BE2B60" w:rsidRPr="008C4F2F" w:rsidRDefault="00BE2B60" w:rsidP="0048250F">
            <w:pPr>
              <w:spacing w:after="0" w:line="240" w:lineRule="auto"/>
              <w:jc w:val="center"/>
              <w:rPr>
                <w:rFonts w:ascii="Times New Roman" w:eastAsia="Times New Roman" w:hAnsi="Times New Roman" w:cs="Times New Roman"/>
                <w:b/>
                <w:bCs/>
                <w:sz w:val="24"/>
                <w:szCs w:val="24"/>
                <w:lang w:eastAsia="ru-RU"/>
              </w:rPr>
            </w:pPr>
            <w:r w:rsidRPr="008C4F2F">
              <w:rPr>
                <w:rFonts w:ascii="Times New Roman" w:eastAsia="Times New Roman" w:hAnsi="Times New Roman" w:cs="Times New Roman"/>
                <w:b/>
                <w:bCs/>
                <w:sz w:val="24"/>
                <w:szCs w:val="24"/>
                <w:lang w:eastAsia="ru-RU"/>
              </w:rPr>
              <w:t>32,5</w:t>
            </w:r>
          </w:p>
        </w:tc>
        <w:tc>
          <w:tcPr>
            <w:tcW w:w="686" w:type="pct"/>
            <w:tcBorders>
              <w:top w:val="single" w:sz="4" w:space="0" w:color="auto"/>
              <w:left w:val="single" w:sz="4" w:space="0" w:color="auto"/>
              <w:bottom w:val="single" w:sz="4" w:space="0" w:color="auto"/>
              <w:right w:val="single" w:sz="4" w:space="0" w:color="auto"/>
            </w:tcBorders>
            <w:vAlign w:val="bottom"/>
          </w:tcPr>
          <w:p w14:paraId="14F351A0" w14:textId="77777777" w:rsidR="00BE2B60" w:rsidRPr="008C4F2F" w:rsidRDefault="00BE2B60" w:rsidP="009860C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26,1</w:t>
            </w:r>
          </w:p>
        </w:tc>
      </w:tr>
      <w:tr w:rsidR="00BE2B60" w:rsidRPr="008C4F2F" w14:paraId="7A748B7D" w14:textId="77777777" w:rsidTr="00504A2F">
        <w:trPr>
          <w:trHeight w:val="451"/>
          <w:jc w:val="center"/>
        </w:trPr>
        <w:tc>
          <w:tcPr>
            <w:tcW w:w="2942" w:type="pct"/>
            <w:tcBorders>
              <w:top w:val="nil"/>
              <w:left w:val="single" w:sz="4" w:space="0" w:color="auto"/>
              <w:bottom w:val="single" w:sz="4" w:space="0" w:color="auto"/>
              <w:right w:val="single" w:sz="4" w:space="0" w:color="auto"/>
            </w:tcBorders>
            <w:vAlign w:val="center"/>
            <w:hideMark/>
          </w:tcPr>
          <w:p w14:paraId="6F6C4710" w14:textId="77777777" w:rsidR="00BE2B60" w:rsidRPr="008C4F2F" w:rsidRDefault="00BE2B60"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Специалисты среднего уровня квалификации</w:t>
            </w:r>
          </w:p>
        </w:tc>
        <w:tc>
          <w:tcPr>
            <w:tcW w:w="686" w:type="pct"/>
            <w:tcBorders>
              <w:top w:val="single" w:sz="4" w:space="0" w:color="auto"/>
              <w:left w:val="nil"/>
              <w:bottom w:val="single" w:sz="4" w:space="0" w:color="auto"/>
              <w:right w:val="single" w:sz="4" w:space="0" w:color="auto"/>
            </w:tcBorders>
            <w:vAlign w:val="bottom"/>
          </w:tcPr>
          <w:p w14:paraId="27EF13CB" w14:textId="77777777" w:rsidR="00BE2B60" w:rsidRPr="008C4F2F" w:rsidRDefault="00BE2B60" w:rsidP="0048250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2,5</w:t>
            </w:r>
          </w:p>
        </w:tc>
        <w:tc>
          <w:tcPr>
            <w:tcW w:w="686" w:type="pct"/>
            <w:tcBorders>
              <w:top w:val="single" w:sz="4" w:space="0" w:color="auto"/>
              <w:left w:val="single" w:sz="4" w:space="0" w:color="auto"/>
              <w:bottom w:val="single" w:sz="4" w:space="0" w:color="auto"/>
              <w:right w:val="single" w:sz="4" w:space="0" w:color="auto"/>
            </w:tcBorders>
            <w:vAlign w:val="bottom"/>
          </w:tcPr>
          <w:p w14:paraId="19D72AA4" w14:textId="77777777" w:rsidR="00BE2B60" w:rsidRPr="008C4F2F" w:rsidRDefault="00BE2B60" w:rsidP="0048250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1,8</w:t>
            </w:r>
          </w:p>
        </w:tc>
        <w:tc>
          <w:tcPr>
            <w:tcW w:w="686" w:type="pct"/>
            <w:tcBorders>
              <w:top w:val="single" w:sz="4" w:space="0" w:color="auto"/>
              <w:left w:val="single" w:sz="4" w:space="0" w:color="auto"/>
              <w:bottom w:val="single" w:sz="4" w:space="0" w:color="auto"/>
              <w:right w:val="single" w:sz="4" w:space="0" w:color="auto"/>
            </w:tcBorders>
            <w:vAlign w:val="bottom"/>
          </w:tcPr>
          <w:p w14:paraId="6E8B8B86" w14:textId="77777777" w:rsidR="00BE2B60" w:rsidRPr="008C4F2F" w:rsidRDefault="00BE2B60" w:rsidP="009860C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p>
        </w:tc>
      </w:tr>
      <w:tr w:rsidR="00BE2B60" w:rsidRPr="008C4F2F" w14:paraId="1AAEB749" w14:textId="77777777" w:rsidTr="00504A2F">
        <w:trPr>
          <w:trHeight w:val="254"/>
          <w:jc w:val="center"/>
        </w:trPr>
        <w:tc>
          <w:tcPr>
            <w:tcW w:w="2942" w:type="pct"/>
            <w:tcBorders>
              <w:top w:val="nil"/>
              <w:left w:val="single" w:sz="4" w:space="0" w:color="auto"/>
              <w:bottom w:val="single" w:sz="4" w:space="0" w:color="auto"/>
              <w:right w:val="single" w:sz="4" w:space="0" w:color="auto"/>
            </w:tcBorders>
            <w:vAlign w:val="center"/>
            <w:hideMark/>
          </w:tcPr>
          <w:p w14:paraId="64182555" w14:textId="77777777" w:rsidR="00BE2B60" w:rsidRPr="008C4F2F" w:rsidRDefault="00BE2B60"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Служащие, занятые подготовкой и оформлением документации, учетом и обслуживанием</w:t>
            </w:r>
          </w:p>
        </w:tc>
        <w:tc>
          <w:tcPr>
            <w:tcW w:w="686" w:type="pct"/>
            <w:tcBorders>
              <w:top w:val="single" w:sz="4" w:space="0" w:color="auto"/>
              <w:left w:val="nil"/>
              <w:bottom w:val="single" w:sz="4" w:space="0" w:color="auto"/>
              <w:right w:val="single" w:sz="4" w:space="0" w:color="auto"/>
            </w:tcBorders>
            <w:vAlign w:val="bottom"/>
          </w:tcPr>
          <w:p w14:paraId="0D5D0F84" w14:textId="77777777" w:rsidR="00BE2B60" w:rsidRPr="008C4F2F" w:rsidRDefault="00BE2B60" w:rsidP="0048250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0,3</w:t>
            </w:r>
          </w:p>
        </w:tc>
        <w:tc>
          <w:tcPr>
            <w:tcW w:w="686" w:type="pct"/>
            <w:tcBorders>
              <w:top w:val="single" w:sz="4" w:space="0" w:color="auto"/>
              <w:left w:val="single" w:sz="4" w:space="0" w:color="auto"/>
              <w:bottom w:val="single" w:sz="4" w:space="0" w:color="auto"/>
              <w:right w:val="single" w:sz="4" w:space="0" w:color="auto"/>
            </w:tcBorders>
            <w:vAlign w:val="bottom"/>
          </w:tcPr>
          <w:p w14:paraId="4628E211" w14:textId="77777777" w:rsidR="00BE2B60" w:rsidRPr="008C4F2F" w:rsidRDefault="00BE2B60" w:rsidP="0048250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0,5</w:t>
            </w:r>
          </w:p>
        </w:tc>
        <w:tc>
          <w:tcPr>
            <w:tcW w:w="686" w:type="pct"/>
            <w:tcBorders>
              <w:top w:val="single" w:sz="4" w:space="0" w:color="auto"/>
              <w:left w:val="single" w:sz="4" w:space="0" w:color="auto"/>
              <w:bottom w:val="single" w:sz="4" w:space="0" w:color="auto"/>
              <w:right w:val="single" w:sz="4" w:space="0" w:color="auto"/>
            </w:tcBorders>
            <w:vAlign w:val="bottom"/>
          </w:tcPr>
          <w:p w14:paraId="297578F9" w14:textId="77777777" w:rsidR="00BE2B60" w:rsidRPr="008C4F2F" w:rsidRDefault="00BE2B60" w:rsidP="009860C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0,2</w:t>
            </w:r>
          </w:p>
        </w:tc>
      </w:tr>
      <w:tr w:rsidR="00BE2B60" w:rsidRPr="008C4F2F" w14:paraId="30C819FD" w14:textId="77777777" w:rsidTr="00504A2F">
        <w:trPr>
          <w:trHeight w:val="254"/>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14:paraId="3BBA224B" w14:textId="77777777" w:rsidR="00BE2B60" w:rsidRPr="008C4F2F" w:rsidRDefault="00BE2B60"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Работники сферы обслуживания и торговли, охраны граждан и собственности</w:t>
            </w:r>
          </w:p>
        </w:tc>
        <w:tc>
          <w:tcPr>
            <w:tcW w:w="686" w:type="pct"/>
            <w:tcBorders>
              <w:top w:val="single" w:sz="4" w:space="0" w:color="auto"/>
              <w:left w:val="nil"/>
              <w:bottom w:val="single" w:sz="4" w:space="0" w:color="auto"/>
              <w:right w:val="single" w:sz="4" w:space="0" w:color="auto"/>
            </w:tcBorders>
            <w:vAlign w:val="bottom"/>
          </w:tcPr>
          <w:p w14:paraId="6EC2689E" w14:textId="77777777" w:rsidR="00BE2B60" w:rsidRPr="008C4F2F" w:rsidRDefault="00BE2B60" w:rsidP="0048250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7,8</w:t>
            </w:r>
          </w:p>
        </w:tc>
        <w:tc>
          <w:tcPr>
            <w:tcW w:w="686" w:type="pct"/>
            <w:tcBorders>
              <w:top w:val="single" w:sz="4" w:space="0" w:color="auto"/>
              <w:left w:val="single" w:sz="4" w:space="0" w:color="auto"/>
              <w:bottom w:val="single" w:sz="4" w:space="0" w:color="auto"/>
              <w:right w:val="single" w:sz="4" w:space="0" w:color="auto"/>
            </w:tcBorders>
            <w:vAlign w:val="bottom"/>
          </w:tcPr>
          <w:p w14:paraId="33345947" w14:textId="77777777" w:rsidR="00BE2B60" w:rsidRPr="008C4F2F" w:rsidRDefault="00BE2B60" w:rsidP="0048250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6,0</w:t>
            </w:r>
          </w:p>
        </w:tc>
        <w:tc>
          <w:tcPr>
            <w:tcW w:w="686" w:type="pct"/>
            <w:tcBorders>
              <w:top w:val="single" w:sz="4" w:space="0" w:color="auto"/>
              <w:left w:val="single" w:sz="4" w:space="0" w:color="auto"/>
              <w:bottom w:val="single" w:sz="4" w:space="0" w:color="auto"/>
              <w:right w:val="single" w:sz="4" w:space="0" w:color="auto"/>
            </w:tcBorders>
            <w:vAlign w:val="bottom"/>
          </w:tcPr>
          <w:p w14:paraId="7A51D793" w14:textId="77777777" w:rsidR="00BE2B60" w:rsidRPr="008C4F2F" w:rsidRDefault="00BE2B60" w:rsidP="009860C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8,1</w:t>
            </w:r>
          </w:p>
        </w:tc>
      </w:tr>
      <w:tr w:rsidR="00BE2B60" w:rsidRPr="008C4F2F" w14:paraId="5A77C442" w14:textId="77777777" w:rsidTr="00504A2F">
        <w:trPr>
          <w:trHeight w:val="254"/>
          <w:jc w:val="center"/>
        </w:trPr>
        <w:tc>
          <w:tcPr>
            <w:tcW w:w="2942" w:type="pct"/>
            <w:tcBorders>
              <w:top w:val="nil"/>
              <w:left w:val="single" w:sz="4" w:space="0" w:color="auto"/>
              <w:bottom w:val="single" w:sz="4" w:space="0" w:color="auto"/>
              <w:right w:val="single" w:sz="4" w:space="0" w:color="auto"/>
            </w:tcBorders>
            <w:vAlign w:val="center"/>
            <w:hideMark/>
          </w:tcPr>
          <w:p w14:paraId="0799D4DB" w14:textId="77777777" w:rsidR="00BE2B60" w:rsidRPr="008C4F2F" w:rsidRDefault="00BE2B60"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Квалифицированные работники сельского и лесного хозяйства, рыбоводства и рыболовства</w:t>
            </w:r>
          </w:p>
        </w:tc>
        <w:tc>
          <w:tcPr>
            <w:tcW w:w="686" w:type="pct"/>
            <w:tcBorders>
              <w:top w:val="single" w:sz="4" w:space="0" w:color="auto"/>
              <w:left w:val="nil"/>
              <w:bottom w:val="single" w:sz="4" w:space="0" w:color="auto"/>
              <w:right w:val="single" w:sz="4" w:space="0" w:color="auto"/>
            </w:tcBorders>
            <w:vAlign w:val="bottom"/>
          </w:tcPr>
          <w:p w14:paraId="33879626" w14:textId="77777777" w:rsidR="00BE2B60" w:rsidRPr="008C4F2F" w:rsidRDefault="00BE2B60" w:rsidP="0048250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16,2</w:t>
            </w:r>
          </w:p>
        </w:tc>
        <w:tc>
          <w:tcPr>
            <w:tcW w:w="686" w:type="pct"/>
            <w:tcBorders>
              <w:top w:val="single" w:sz="4" w:space="0" w:color="auto"/>
              <w:left w:val="single" w:sz="4" w:space="0" w:color="auto"/>
              <w:bottom w:val="single" w:sz="4" w:space="0" w:color="auto"/>
              <w:right w:val="single" w:sz="4" w:space="0" w:color="auto"/>
            </w:tcBorders>
            <w:vAlign w:val="bottom"/>
          </w:tcPr>
          <w:p w14:paraId="7397F94E" w14:textId="77777777" w:rsidR="00BE2B60" w:rsidRPr="008C4F2F" w:rsidRDefault="00BE2B60" w:rsidP="0048250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18,7</w:t>
            </w:r>
          </w:p>
        </w:tc>
        <w:tc>
          <w:tcPr>
            <w:tcW w:w="686" w:type="pct"/>
            <w:tcBorders>
              <w:top w:val="single" w:sz="4" w:space="0" w:color="auto"/>
              <w:left w:val="single" w:sz="4" w:space="0" w:color="auto"/>
              <w:bottom w:val="single" w:sz="4" w:space="0" w:color="auto"/>
              <w:right w:val="single" w:sz="4" w:space="0" w:color="auto"/>
            </w:tcBorders>
            <w:vAlign w:val="bottom"/>
          </w:tcPr>
          <w:p w14:paraId="28442CCF" w14:textId="77777777" w:rsidR="00BE2B60" w:rsidRPr="008C4F2F" w:rsidRDefault="00BE2B60" w:rsidP="009860C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10,4</w:t>
            </w:r>
          </w:p>
        </w:tc>
      </w:tr>
      <w:tr w:rsidR="00BE2B60" w:rsidRPr="008C4F2F" w14:paraId="1489A1B5" w14:textId="77777777" w:rsidTr="00504A2F">
        <w:trPr>
          <w:trHeight w:val="254"/>
          <w:jc w:val="center"/>
        </w:trPr>
        <w:tc>
          <w:tcPr>
            <w:tcW w:w="2942" w:type="pct"/>
            <w:tcBorders>
              <w:top w:val="nil"/>
              <w:left w:val="single" w:sz="4" w:space="0" w:color="auto"/>
              <w:bottom w:val="single" w:sz="4" w:space="0" w:color="auto"/>
              <w:right w:val="single" w:sz="4" w:space="0" w:color="auto"/>
            </w:tcBorders>
            <w:vAlign w:val="center"/>
            <w:hideMark/>
          </w:tcPr>
          <w:p w14:paraId="3FB1079F" w14:textId="77777777" w:rsidR="00BE2B60" w:rsidRPr="008C4F2F" w:rsidRDefault="00BE2B60"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Квалифицированные рабочие промышленности, строительства, транспорта и рабочие родственных занятий</w:t>
            </w:r>
          </w:p>
        </w:tc>
        <w:tc>
          <w:tcPr>
            <w:tcW w:w="686" w:type="pct"/>
            <w:tcBorders>
              <w:top w:val="single" w:sz="4" w:space="0" w:color="auto"/>
              <w:left w:val="nil"/>
              <w:bottom w:val="single" w:sz="4" w:space="0" w:color="auto"/>
              <w:right w:val="single" w:sz="4" w:space="0" w:color="auto"/>
            </w:tcBorders>
            <w:vAlign w:val="bottom"/>
          </w:tcPr>
          <w:p w14:paraId="057E2AF8" w14:textId="77777777" w:rsidR="00BE2B60" w:rsidRPr="008C4F2F" w:rsidRDefault="00BE2B60" w:rsidP="0048250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1,0</w:t>
            </w:r>
          </w:p>
        </w:tc>
        <w:tc>
          <w:tcPr>
            <w:tcW w:w="686" w:type="pct"/>
            <w:tcBorders>
              <w:top w:val="single" w:sz="4" w:space="0" w:color="auto"/>
              <w:left w:val="single" w:sz="4" w:space="0" w:color="auto"/>
              <w:bottom w:val="single" w:sz="4" w:space="0" w:color="auto"/>
              <w:right w:val="single" w:sz="4" w:space="0" w:color="auto"/>
            </w:tcBorders>
            <w:vAlign w:val="bottom"/>
          </w:tcPr>
          <w:p w14:paraId="54431527" w14:textId="77777777" w:rsidR="00BE2B60" w:rsidRPr="008C4F2F" w:rsidRDefault="00BE2B60" w:rsidP="0048250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1,2</w:t>
            </w:r>
          </w:p>
        </w:tc>
        <w:tc>
          <w:tcPr>
            <w:tcW w:w="686" w:type="pct"/>
            <w:tcBorders>
              <w:top w:val="single" w:sz="4" w:space="0" w:color="auto"/>
              <w:left w:val="single" w:sz="4" w:space="0" w:color="auto"/>
              <w:bottom w:val="single" w:sz="4" w:space="0" w:color="auto"/>
              <w:right w:val="single" w:sz="4" w:space="0" w:color="auto"/>
            </w:tcBorders>
            <w:vAlign w:val="bottom"/>
          </w:tcPr>
          <w:p w14:paraId="2C8F67B0" w14:textId="77777777" w:rsidR="00BE2B60" w:rsidRPr="008C4F2F" w:rsidRDefault="00BE2B60" w:rsidP="009860C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p>
        </w:tc>
      </w:tr>
      <w:tr w:rsidR="00BE2B60" w:rsidRPr="008C4F2F" w14:paraId="63ACEE12" w14:textId="77777777" w:rsidTr="00504A2F">
        <w:trPr>
          <w:trHeight w:val="254"/>
          <w:jc w:val="center"/>
        </w:trPr>
        <w:tc>
          <w:tcPr>
            <w:tcW w:w="2942" w:type="pct"/>
            <w:tcBorders>
              <w:top w:val="nil"/>
              <w:left w:val="single" w:sz="4" w:space="0" w:color="auto"/>
              <w:bottom w:val="single" w:sz="4" w:space="0" w:color="auto"/>
              <w:right w:val="single" w:sz="4" w:space="0" w:color="auto"/>
            </w:tcBorders>
            <w:vAlign w:val="center"/>
            <w:hideMark/>
          </w:tcPr>
          <w:p w14:paraId="7F0D5D43" w14:textId="77777777" w:rsidR="00BE2B60" w:rsidRPr="008C4F2F" w:rsidRDefault="00BE2B60"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Операторы производственных установок и машин, сборщики и водители</w:t>
            </w:r>
          </w:p>
        </w:tc>
        <w:tc>
          <w:tcPr>
            <w:tcW w:w="686" w:type="pct"/>
            <w:tcBorders>
              <w:top w:val="single" w:sz="4" w:space="0" w:color="auto"/>
              <w:left w:val="nil"/>
              <w:bottom w:val="single" w:sz="4" w:space="0" w:color="auto"/>
              <w:right w:val="single" w:sz="4" w:space="0" w:color="auto"/>
            </w:tcBorders>
            <w:vAlign w:val="bottom"/>
          </w:tcPr>
          <w:p w14:paraId="3EBFE29A" w14:textId="77777777" w:rsidR="00BE2B60" w:rsidRPr="008C4F2F" w:rsidRDefault="00BE2B60" w:rsidP="0048250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0,2</w:t>
            </w:r>
          </w:p>
        </w:tc>
        <w:tc>
          <w:tcPr>
            <w:tcW w:w="686" w:type="pct"/>
            <w:tcBorders>
              <w:top w:val="single" w:sz="4" w:space="0" w:color="auto"/>
              <w:left w:val="single" w:sz="4" w:space="0" w:color="auto"/>
              <w:bottom w:val="single" w:sz="4" w:space="0" w:color="auto"/>
              <w:right w:val="single" w:sz="4" w:space="0" w:color="auto"/>
            </w:tcBorders>
            <w:vAlign w:val="bottom"/>
          </w:tcPr>
          <w:p w14:paraId="6265132C" w14:textId="77777777" w:rsidR="00BE2B60" w:rsidRPr="008C4F2F" w:rsidRDefault="00BE2B60" w:rsidP="0048250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1,2</w:t>
            </w:r>
          </w:p>
        </w:tc>
        <w:tc>
          <w:tcPr>
            <w:tcW w:w="686" w:type="pct"/>
            <w:tcBorders>
              <w:top w:val="single" w:sz="4" w:space="0" w:color="auto"/>
              <w:left w:val="single" w:sz="4" w:space="0" w:color="auto"/>
              <w:bottom w:val="single" w:sz="4" w:space="0" w:color="auto"/>
              <w:right w:val="single" w:sz="4" w:space="0" w:color="auto"/>
            </w:tcBorders>
            <w:vAlign w:val="bottom"/>
          </w:tcPr>
          <w:p w14:paraId="5A9D6808" w14:textId="77777777" w:rsidR="00BE2B60" w:rsidRPr="008C4F2F" w:rsidRDefault="00BE2B60" w:rsidP="009860C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0,2</w:t>
            </w:r>
          </w:p>
        </w:tc>
      </w:tr>
      <w:tr w:rsidR="00BE2B60" w:rsidRPr="008C4F2F" w14:paraId="2EB5EE3F" w14:textId="77777777" w:rsidTr="00504A2F">
        <w:trPr>
          <w:trHeight w:val="436"/>
          <w:jc w:val="center"/>
        </w:trPr>
        <w:tc>
          <w:tcPr>
            <w:tcW w:w="2942" w:type="pct"/>
            <w:tcBorders>
              <w:top w:val="nil"/>
              <w:left w:val="single" w:sz="4" w:space="0" w:color="auto"/>
              <w:bottom w:val="single" w:sz="4" w:space="0" w:color="auto"/>
              <w:right w:val="single" w:sz="4" w:space="0" w:color="auto"/>
            </w:tcBorders>
            <w:vAlign w:val="center"/>
            <w:hideMark/>
          </w:tcPr>
          <w:p w14:paraId="7C360958" w14:textId="77777777" w:rsidR="00BE2B60" w:rsidRPr="008C4F2F" w:rsidRDefault="00BE2B60" w:rsidP="00D03A4F">
            <w:pPr>
              <w:spacing w:after="0" w:line="240" w:lineRule="auto"/>
              <w:ind w:left="170"/>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lang w:eastAsia="ru-RU"/>
              </w:rPr>
              <w:t>Неквалифицированные рабочие</w:t>
            </w:r>
          </w:p>
        </w:tc>
        <w:tc>
          <w:tcPr>
            <w:tcW w:w="686" w:type="pct"/>
            <w:tcBorders>
              <w:top w:val="single" w:sz="4" w:space="0" w:color="auto"/>
              <w:left w:val="nil"/>
              <w:bottom w:val="single" w:sz="4" w:space="0" w:color="auto"/>
              <w:right w:val="single" w:sz="4" w:space="0" w:color="auto"/>
            </w:tcBorders>
            <w:vAlign w:val="bottom"/>
          </w:tcPr>
          <w:p w14:paraId="401168E2" w14:textId="77777777" w:rsidR="00BE2B60" w:rsidRPr="008C4F2F" w:rsidRDefault="00BE2B60" w:rsidP="0048250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5,8</w:t>
            </w:r>
          </w:p>
        </w:tc>
        <w:tc>
          <w:tcPr>
            <w:tcW w:w="686" w:type="pct"/>
            <w:tcBorders>
              <w:top w:val="single" w:sz="4" w:space="0" w:color="auto"/>
              <w:left w:val="single" w:sz="4" w:space="0" w:color="auto"/>
              <w:bottom w:val="single" w:sz="4" w:space="0" w:color="auto"/>
              <w:right w:val="single" w:sz="4" w:space="0" w:color="auto"/>
            </w:tcBorders>
            <w:vAlign w:val="bottom"/>
          </w:tcPr>
          <w:p w14:paraId="76F17FF0" w14:textId="77777777" w:rsidR="00BE2B60" w:rsidRPr="008C4F2F" w:rsidRDefault="00BE2B60" w:rsidP="0048250F">
            <w:pPr>
              <w:spacing w:after="0" w:line="240" w:lineRule="auto"/>
              <w:jc w:val="center"/>
              <w:rPr>
                <w:rFonts w:ascii="Times New Roman" w:eastAsia="Times New Roman" w:hAnsi="Times New Roman" w:cs="Times New Roman"/>
                <w:bCs/>
                <w:sz w:val="24"/>
                <w:szCs w:val="24"/>
                <w:lang w:eastAsia="ru-RU"/>
              </w:rPr>
            </w:pPr>
            <w:r w:rsidRPr="008C4F2F">
              <w:rPr>
                <w:rFonts w:ascii="Times New Roman" w:eastAsia="Times New Roman" w:hAnsi="Times New Roman" w:cs="Times New Roman"/>
                <w:bCs/>
                <w:sz w:val="24"/>
                <w:szCs w:val="24"/>
                <w:lang w:eastAsia="ru-RU"/>
              </w:rPr>
              <w:t>3,2</w:t>
            </w:r>
          </w:p>
        </w:tc>
        <w:tc>
          <w:tcPr>
            <w:tcW w:w="686" w:type="pct"/>
            <w:tcBorders>
              <w:top w:val="single" w:sz="4" w:space="0" w:color="auto"/>
              <w:left w:val="single" w:sz="4" w:space="0" w:color="auto"/>
              <w:bottom w:val="single" w:sz="4" w:space="0" w:color="auto"/>
              <w:right w:val="single" w:sz="4" w:space="0" w:color="auto"/>
            </w:tcBorders>
            <w:vAlign w:val="bottom"/>
          </w:tcPr>
          <w:p w14:paraId="29C61239" w14:textId="77777777" w:rsidR="00BE2B60" w:rsidRPr="008C4F2F" w:rsidRDefault="00BE2B60" w:rsidP="009860C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w:t>
            </w:r>
          </w:p>
        </w:tc>
      </w:tr>
    </w:tbl>
    <w:p w14:paraId="1481C30D" w14:textId="77777777" w:rsidR="00D03A4F" w:rsidRPr="008C4F2F" w:rsidRDefault="00D03A4F" w:rsidP="00D03A4F">
      <w:pPr>
        <w:spacing w:before="120" w:after="0" w:line="240" w:lineRule="auto"/>
        <w:ind w:firstLine="284"/>
        <w:rPr>
          <w:rFonts w:ascii="Times New Roman" w:eastAsia="Times New Roman" w:hAnsi="Times New Roman" w:cs="Times New Roman"/>
          <w:sz w:val="24"/>
          <w:szCs w:val="24"/>
          <w:lang w:eastAsia="ru-RU"/>
        </w:rPr>
      </w:pPr>
      <w:r w:rsidRPr="008C4F2F">
        <w:rPr>
          <w:rFonts w:ascii="Times New Roman" w:eastAsia="Times New Roman" w:hAnsi="Times New Roman" w:cs="Times New Roman"/>
          <w:sz w:val="24"/>
          <w:szCs w:val="24"/>
          <w:vertAlign w:val="superscript"/>
          <w:lang w:eastAsia="ru-RU"/>
        </w:rPr>
        <w:t xml:space="preserve">1) </w:t>
      </w:r>
      <w:r w:rsidRPr="008C4F2F">
        <w:rPr>
          <w:rFonts w:ascii="Times New Roman" w:eastAsia="Times New Roman" w:hAnsi="Times New Roman" w:cs="Times New Roman"/>
          <w:sz w:val="24"/>
          <w:szCs w:val="24"/>
          <w:lang w:eastAsia="ru-RU"/>
        </w:rPr>
        <w:t>Занятия в соответствии с Общероссийским классификатором занятий (ОК 010-2014).</w:t>
      </w:r>
    </w:p>
    <w:p w14:paraId="51248D3B" w14:textId="77777777"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14:paraId="024B0387" w14:textId="77777777"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14:paraId="12D30586" w14:textId="77777777" w:rsidR="00D03A4F" w:rsidRPr="00AB78EC" w:rsidRDefault="00D03A4F" w:rsidP="00D03A4F">
      <w:pPr>
        <w:spacing w:after="0" w:line="240" w:lineRule="auto"/>
        <w:jc w:val="right"/>
        <w:rPr>
          <w:rFonts w:ascii="Times New Roman" w:eastAsia="Times New Roman" w:hAnsi="Times New Roman" w:cs="Times New Roman"/>
          <w:sz w:val="26"/>
          <w:szCs w:val="26"/>
          <w:lang w:eastAsia="ru-RU"/>
        </w:rPr>
      </w:pPr>
      <w:r w:rsidRPr="00AB78EC">
        <w:rPr>
          <w:rFonts w:ascii="Times New Roman" w:eastAsia="Times New Roman" w:hAnsi="Times New Roman" w:cs="Times New Roman"/>
          <w:sz w:val="26"/>
          <w:szCs w:val="26"/>
          <w:lang w:eastAsia="ru-RU"/>
        </w:rPr>
        <w:t>Таблица 3</w:t>
      </w:r>
      <w:r w:rsidR="008737BB">
        <w:rPr>
          <w:rFonts w:ascii="Times New Roman" w:eastAsia="Times New Roman" w:hAnsi="Times New Roman" w:cs="Times New Roman"/>
          <w:sz w:val="26"/>
          <w:szCs w:val="26"/>
          <w:lang w:eastAsia="ru-RU"/>
        </w:rPr>
        <w:t>1</w:t>
      </w:r>
    </w:p>
    <w:p w14:paraId="448790FE" w14:textId="77777777" w:rsidR="00D03A4F" w:rsidRPr="00AB78EC" w:rsidRDefault="00D03A4F" w:rsidP="00D03A4F">
      <w:pPr>
        <w:spacing w:after="0" w:line="240" w:lineRule="auto"/>
        <w:jc w:val="right"/>
        <w:rPr>
          <w:rFonts w:ascii="Times New Roman" w:eastAsia="Times New Roman" w:hAnsi="Times New Roman" w:cs="Times New Roman"/>
          <w:sz w:val="26"/>
          <w:szCs w:val="26"/>
          <w:lang w:eastAsia="ru-RU"/>
        </w:rPr>
      </w:pPr>
    </w:p>
    <w:p w14:paraId="1FD22A4E" w14:textId="77777777" w:rsidR="00D03A4F" w:rsidRPr="00AB78EC" w:rsidRDefault="00D03A4F" w:rsidP="00D03A4F">
      <w:pPr>
        <w:spacing w:after="0" w:line="240" w:lineRule="auto"/>
        <w:jc w:val="center"/>
        <w:rPr>
          <w:rFonts w:ascii="Times New Roman" w:eastAsia="Times New Roman" w:hAnsi="Times New Roman" w:cs="Times New Roman"/>
          <w:b/>
          <w:bCs/>
          <w:sz w:val="26"/>
          <w:szCs w:val="26"/>
          <w:lang w:eastAsia="ru-RU"/>
        </w:rPr>
      </w:pPr>
      <w:r w:rsidRPr="00AB78EC">
        <w:rPr>
          <w:rFonts w:ascii="Times New Roman" w:eastAsia="Times New Roman" w:hAnsi="Times New Roman" w:cs="Times New Roman"/>
          <w:b/>
          <w:bCs/>
          <w:sz w:val="26"/>
          <w:szCs w:val="26"/>
          <w:lang w:eastAsia="ru-RU"/>
        </w:rPr>
        <w:t>Безработные в возрасте 15-17 лет по уровню образования и полу</w:t>
      </w:r>
    </w:p>
    <w:p w14:paraId="5CADB77E" w14:textId="77777777" w:rsidR="00D03A4F" w:rsidRPr="00AB78EC" w:rsidRDefault="00D03A4F" w:rsidP="00D03A4F">
      <w:pPr>
        <w:spacing w:after="0" w:line="240"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(по данным выборочного обследования рабочей силы; тыс. человек)</w:t>
      </w:r>
    </w:p>
    <w:p w14:paraId="0F654FB7" w14:textId="77777777" w:rsidR="00D03A4F" w:rsidRPr="00AB78EC" w:rsidRDefault="00D03A4F" w:rsidP="00D03A4F">
      <w:pPr>
        <w:spacing w:after="0" w:line="240" w:lineRule="auto"/>
        <w:jc w:val="right"/>
        <w:rPr>
          <w:rFonts w:ascii="Times New Roman" w:eastAsia="Times New Roman" w:hAnsi="Times New Roman" w:cs="Times New Roman"/>
          <w:sz w:val="26"/>
          <w:szCs w:val="26"/>
          <w:lang w:eastAsia="ru-RU"/>
        </w:rPr>
      </w:pPr>
    </w:p>
    <w:tbl>
      <w:tblPr>
        <w:tblW w:w="5002" w:type="pct"/>
        <w:jc w:val="center"/>
        <w:tblCellMar>
          <w:left w:w="0" w:type="dxa"/>
          <w:right w:w="0" w:type="dxa"/>
        </w:tblCellMar>
        <w:tblLook w:val="04A0" w:firstRow="1" w:lastRow="0" w:firstColumn="1" w:lastColumn="0" w:noHBand="0" w:noVBand="1"/>
      </w:tblPr>
      <w:tblGrid>
        <w:gridCol w:w="5391"/>
        <w:gridCol w:w="1603"/>
        <w:gridCol w:w="1603"/>
        <w:gridCol w:w="1603"/>
      </w:tblGrid>
      <w:tr w:rsidR="009E328D" w:rsidRPr="00AB78EC" w14:paraId="2BB25E03" w14:textId="77777777" w:rsidTr="00FF62DF">
        <w:trPr>
          <w:trHeight w:val="305"/>
          <w:tblHeader/>
          <w:jc w:val="center"/>
        </w:trPr>
        <w:tc>
          <w:tcPr>
            <w:tcW w:w="2642" w:type="pct"/>
            <w:tcBorders>
              <w:top w:val="single" w:sz="4" w:space="0" w:color="auto"/>
              <w:left w:val="single" w:sz="4" w:space="0" w:color="auto"/>
              <w:bottom w:val="single" w:sz="4" w:space="0" w:color="auto"/>
              <w:right w:val="single" w:sz="4" w:space="0" w:color="auto"/>
            </w:tcBorders>
            <w:vAlign w:val="bottom"/>
            <w:hideMark/>
          </w:tcPr>
          <w:p w14:paraId="3CAFEB62" w14:textId="77777777" w:rsidR="009E328D" w:rsidRPr="00AB78EC" w:rsidRDefault="009E328D" w:rsidP="00D03A4F">
            <w:pPr>
              <w:spacing w:after="0" w:line="288" w:lineRule="auto"/>
              <w:jc w:val="center"/>
              <w:rPr>
                <w:rFonts w:ascii="Times New Roman" w:eastAsia="Arial Unicode MS" w:hAnsi="Times New Roman" w:cs="Times New Roman"/>
                <w:b/>
                <w:sz w:val="24"/>
                <w:szCs w:val="24"/>
                <w:lang w:eastAsia="ru-RU"/>
              </w:rPr>
            </w:pPr>
            <w:r w:rsidRPr="00AB78EC">
              <w:rPr>
                <w:rFonts w:ascii="Times New Roman" w:eastAsia="Times New Roman" w:hAnsi="Times New Roman" w:cs="Times New Roman"/>
                <w:b/>
                <w:sz w:val="24"/>
                <w:szCs w:val="24"/>
                <w:lang w:eastAsia="ru-RU"/>
              </w:rPr>
              <w:t> </w:t>
            </w:r>
          </w:p>
        </w:tc>
        <w:tc>
          <w:tcPr>
            <w:tcW w:w="786" w:type="pct"/>
            <w:tcBorders>
              <w:top w:val="single" w:sz="4" w:space="0" w:color="auto"/>
              <w:left w:val="nil"/>
              <w:bottom w:val="single" w:sz="4" w:space="0" w:color="auto"/>
              <w:right w:val="single" w:sz="4" w:space="0" w:color="auto"/>
            </w:tcBorders>
            <w:vAlign w:val="center"/>
          </w:tcPr>
          <w:p w14:paraId="43E5E884" w14:textId="77777777" w:rsidR="009E328D" w:rsidRPr="00AB78EC" w:rsidRDefault="009E328D" w:rsidP="0048250F">
            <w:pPr>
              <w:spacing w:after="0" w:line="288" w:lineRule="auto"/>
              <w:jc w:val="center"/>
              <w:rPr>
                <w:rFonts w:ascii="Times New Roman" w:eastAsia="Arial Unicode MS" w:hAnsi="Times New Roman" w:cs="Times New Roman"/>
                <w:sz w:val="24"/>
                <w:szCs w:val="24"/>
                <w:lang w:eastAsia="ru-RU"/>
              </w:rPr>
            </w:pPr>
            <w:r w:rsidRPr="00AB78EC">
              <w:rPr>
                <w:rFonts w:ascii="Times New Roman" w:eastAsia="Arial Unicode MS" w:hAnsi="Times New Roman" w:cs="Times New Roman"/>
                <w:sz w:val="24"/>
                <w:szCs w:val="24"/>
                <w:lang w:eastAsia="ru-RU"/>
              </w:rPr>
              <w:t>2019 г.</w:t>
            </w:r>
          </w:p>
        </w:tc>
        <w:tc>
          <w:tcPr>
            <w:tcW w:w="786" w:type="pct"/>
            <w:tcBorders>
              <w:top w:val="single" w:sz="4" w:space="0" w:color="auto"/>
              <w:left w:val="single" w:sz="4" w:space="0" w:color="auto"/>
              <w:bottom w:val="single" w:sz="4" w:space="0" w:color="auto"/>
              <w:right w:val="single" w:sz="4" w:space="0" w:color="auto"/>
            </w:tcBorders>
            <w:vAlign w:val="center"/>
          </w:tcPr>
          <w:p w14:paraId="6615E897" w14:textId="77777777" w:rsidR="009E328D" w:rsidRPr="00AB78EC" w:rsidRDefault="009E328D" w:rsidP="0048250F">
            <w:pPr>
              <w:spacing w:after="0" w:line="288" w:lineRule="auto"/>
              <w:jc w:val="center"/>
              <w:rPr>
                <w:rFonts w:ascii="Times New Roman" w:eastAsia="Arial Unicode MS" w:hAnsi="Times New Roman" w:cs="Times New Roman"/>
                <w:sz w:val="24"/>
                <w:szCs w:val="24"/>
                <w:lang w:eastAsia="ru-RU"/>
              </w:rPr>
            </w:pPr>
            <w:r w:rsidRPr="00AB78EC">
              <w:rPr>
                <w:rFonts w:ascii="Times New Roman" w:eastAsia="Arial Unicode MS" w:hAnsi="Times New Roman" w:cs="Times New Roman"/>
                <w:sz w:val="24"/>
                <w:szCs w:val="24"/>
                <w:lang w:eastAsia="ru-RU"/>
              </w:rPr>
              <w:t>2020 г.</w:t>
            </w:r>
          </w:p>
        </w:tc>
        <w:tc>
          <w:tcPr>
            <w:tcW w:w="786" w:type="pct"/>
            <w:tcBorders>
              <w:top w:val="single" w:sz="4" w:space="0" w:color="auto"/>
              <w:left w:val="single" w:sz="4" w:space="0" w:color="auto"/>
              <w:bottom w:val="single" w:sz="4" w:space="0" w:color="auto"/>
              <w:right w:val="single" w:sz="4" w:space="0" w:color="auto"/>
            </w:tcBorders>
          </w:tcPr>
          <w:p w14:paraId="7188E47C" w14:textId="77777777" w:rsidR="009E328D" w:rsidRPr="00AB78EC" w:rsidRDefault="009E328D" w:rsidP="009860C9">
            <w:pPr>
              <w:spacing w:after="0" w:line="288"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2021 г.*</w:t>
            </w:r>
          </w:p>
        </w:tc>
      </w:tr>
      <w:tr w:rsidR="009E328D" w:rsidRPr="00AB78EC" w14:paraId="3B0808A8" w14:textId="77777777" w:rsidTr="009E328D">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14:paraId="74CD6165" w14:textId="77777777" w:rsidR="009E328D" w:rsidRPr="00AB78EC" w:rsidRDefault="009E328D" w:rsidP="00FF62DF">
            <w:pPr>
              <w:spacing w:after="0" w:line="288" w:lineRule="auto"/>
              <w:ind w:left="57"/>
              <w:rPr>
                <w:rFonts w:ascii="Times New Roman" w:eastAsia="Arial Unicode MS" w:hAnsi="Times New Roman" w:cs="Times New Roman"/>
                <w:b/>
                <w:sz w:val="24"/>
                <w:szCs w:val="24"/>
                <w:lang w:eastAsia="ru-RU"/>
              </w:rPr>
            </w:pPr>
            <w:r w:rsidRPr="00AB78EC">
              <w:rPr>
                <w:rFonts w:ascii="Times New Roman" w:eastAsia="Times New Roman" w:hAnsi="Times New Roman" w:cs="Times New Roman"/>
                <w:b/>
                <w:sz w:val="24"/>
                <w:szCs w:val="24"/>
                <w:lang w:eastAsia="ru-RU"/>
              </w:rPr>
              <w:t xml:space="preserve">Всего, </w:t>
            </w:r>
            <w:r w:rsidR="00FF62DF">
              <w:rPr>
                <w:rFonts w:ascii="Times New Roman" w:eastAsia="Times New Roman" w:hAnsi="Times New Roman" w:cs="Times New Roman"/>
                <w:b/>
                <w:sz w:val="24"/>
                <w:szCs w:val="24"/>
                <w:lang w:eastAsia="ru-RU"/>
              </w:rPr>
              <w:t>из них</w:t>
            </w:r>
            <w:r w:rsidRPr="00AB78EC">
              <w:rPr>
                <w:rFonts w:ascii="Times New Roman" w:eastAsia="Times New Roman" w:hAnsi="Times New Roman" w:cs="Times New Roman"/>
                <w:b/>
                <w:sz w:val="24"/>
                <w:szCs w:val="24"/>
                <w:lang w:eastAsia="ru-RU"/>
              </w:rPr>
              <w:t xml:space="preserve"> имеют образование:</w:t>
            </w:r>
          </w:p>
        </w:tc>
        <w:tc>
          <w:tcPr>
            <w:tcW w:w="786" w:type="pct"/>
            <w:tcBorders>
              <w:top w:val="single" w:sz="4" w:space="0" w:color="auto"/>
              <w:left w:val="single" w:sz="4" w:space="0" w:color="auto"/>
              <w:bottom w:val="single" w:sz="4" w:space="0" w:color="auto"/>
              <w:right w:val="single" w:sz="4" w:space="0" w:color="auto"/>
            </w:tcBorders>
            <w:vAlign w:val="center"/>
          </w:tcPr>
          <w:p w14:paraId="061E4466" w14:textId="77777777" w:rsidR="009E328D" w:rsidRPr="00AB78EC" w:rsidRDefault="009E328D" w:rsidP="0048250F">
            <w:pPr>
              <w:spacing w:after="0" w:line="288" w:lineRule="auto"/>
              <w:jc w:val="center"/>
              <w:rPr>
                <w:rFonts w:ascii="Times New Roman" w:eastAsia="Times New Roman" w:hAnsi="Times New Roman" w:cs="Times New Roman"/>
                <w:b/>
                <w:bCs/>
                <w:sz w:val="24"/>
                <w:szCs w:val="24"/>
                <w:lang w:eastAsia="ru-RU"/>
              </w:rPr>
            </w:pPr>
            <w:r w:rsidRPr="00AB78EC">
              <w:rPr>
                <w:rFonts w:ascii="Times New Roman" w:eastAsia="Times New Roman" w:hAnsi="Times New Roman" w:cs="Times New Roman"/>
                <w:b/>
                <w:bCs/>
                <w:sz w:val="24"/>
                <w:szCs w:val="24"/>
                <w:lang w:eastAsia="ru-RU"/>
              </w:rPr>
              <w:t>24,3</w:t>
            </w:r>
          </w:p>
        </w:tc>
        <w:tc>
          <w:tcPr>
            <w:tcW w:w="786" w:type="pct"/>
            <w:tcBorders>
              <w:top w:val="single" w:sz="4" w:space="0" w:color="auto"/>
              <w:left w:val="single" w:sz="4" w:space="0" w:color="auto"/>
              <w:bottom w:val="single" w:sz="4" w:space="0" w:color="auto"/>
              <w:right w:val="single" w:sz="4" w:space="0" w:color="auto"/>
            </w:tcBorders>
            <w:vAlign w:val="center"/>
          </w:tcPr>
          <w:p w14:paraId="5232B553" w14:textId="77777777" w:rsidR="009E328D" w:rsidRPr="00AB78EC" w:rsidRDefault="009E328D" w:rsidP="0048250F">
            <w:pPr>
              <w:spacing w:after="0" w:line="288" w:lineRule="auto"/>
              <w:jc w:val="center"/>
              <w:rPr>
                <w:rFonts w:ascii="Times New Roman" w:eastAsia="Times New Roman" w:hAnsi="Times New Roman" w:cs="Times New Roman"/>
                <w:b/>
                <w:bCs/>
                <w:sz w:val="24"/>
                <w:szCs w:val="24"/>
                <w:lang w:eastAsia="ru-RU"/>
              </w:rPr>
            </w:pPr>
            <w:r w:rsidRPr="00AB78EC">
              <w:rPr>
                <w:rFonts w:ascii="Times New Roman" w:eastAsia="Times New Roman" w:hAnsi="Times New Roman" w:cs="Times New Roman"/>
                <w:b/>
                <w:bCs/>
                <w:sz w:val="24"/>
                <w:szCs w:val="24"/>
                <w:lang w:eastAsia="ru-RU"/>
              </w:rPr>
              <w:t>29,7</w:t>
            </w:r>
          </w:p>
        </w:tc>
        <w:tc>
          <w:tcPr>
            <w:tcW w:w="786" w:type="pct"/>
            <w:tcBorders>
              <w:top w:val="single" w:sz="4" w:space="0" w:color="auto"/>
              <w:left w:val="single" w:sz="4" w:space="0" w:color="auto"/>
              <w:bottom w:val="single" w:sz="4" w:space="0" w:color="auto"/>
              <w:right w:val="single" w:sz="4" w:space="0" w:color="auto"/>
            </w:tcBorders>
          </w:tcPr>
          <w:p w14:paraId="7E631ACC" w14:textId="77777777" w:rsidR="009E328D" w:rsidRPr="00AB78EC" w:rsidRDefault="009E328D" w:rsidP="009860C9">
            <w:pPr>
              <w:spacing w:after="0" w:line="288"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26,4</w:t>
            </w:r>
            <w:r w:rsidR="00CF49D3">
              <w:rPr>
                <w:rFonts w:ascii="Times New Roman" w:eastAsia="Arial Unicode MS" w:hAnsi="Times New Roman" w:cs="Times New Roman"/>
                <w:sz w:val="24"/>
                <w:szCs w:val="24"/>
                <w:lang w:eastAsia="ru-RU"/>
              </w:rPr>
              <w:t>*</w:t>
            </w:r>
          </w:p>
        </w:tc>
      </w:tr>
      <w:tr w:rsidR="009E328D" w:rsidRPr="00AB78EC" w14:paraId="131EB303" w14:textId="77777777" w:rsidTr="009E328D">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14:paraId="3E40FB4F" w14:textId="77777777" w:rsidR="009E328D" w:rsidRPr="00AB78EC" w:rsidRDefault="009E328D" w:rsidP="00D03A4F">
            <w:pPr>
              <w:spacing w:after="0" w:line="288" w:lineRule="auto"/>
              <w:ind w:left="170"/>
              <w:rPr>
                <w:rFonts w:ascii="Times New Roman" w:eastAsia="Arial Unicode MS" w:hAnsi="Times New Roman" w:cs="Times New Roman"/>
                <w:sz w:val="24"/>
                <w:szCs w:val="24"/>
                <w:lang w:eastAsia="ru-RU"/>
              </w:rPr>
            </w:pPr>
            <w:r w:rsidRPr="00AB78EC">
              <w:rPr>
                <w:rFonts w:ascii="Times New Roman" w:eastAsia="Times New Roman" w:hAnsi="Times New Roman" w:cs="Times New Roman"/>
                <w:sz w:val="24"/>
                <w:szCs w:val="24"/>
                <w:lang w:eastAsia="ru-RU"/>
              </w:rPr>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tcPr>
          <w:p w14:paraId="5DF5DD37" w14:textId="77777777" w:rsidR="009E328D" w:rsidRPr="00AB78EC" w:rsidRDefault="009E328D" w:rsidP="0048250F">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4,9</w:t>
            </w:r>
          </w:p>
        </w:tc>
        <w:tc>
          <w:tcPr>
            <w:tcW w:w="786" w:type="pct"/>
            <w:tcBorders>
              <w:top w:val="single" w:sz="4" w:space="0" w:color="auto"/>
              <w:left w:val="single" w:sz="4" w:space="0" w:color="auto"/>
              <w:bottom w:val="single" w:sz="4" w:space="0" w:color="auto"/>
              <w:right w:val="single" w:sz="4" w:space="0" w:color="auto"/>
            </w:tcBorders>
            <w:vAlign w:val="center"/>
          </w:tcPr>
          <w:p w14:paraId="3C3466D0" w14:textId="77777777" w:rsidR="009E328D" w:rsidRPr="00AB78EC" w:rsidRDefault="009E328D" w:rsidP="0048250F">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9,7</w:t>
            </w:r>
          </w:p>
        </w:tc>
        <w:tc>
          <w:tcPr>
            <w:tcW w:w="786" w:type="pct"/>
            <w:tcBorders>
              <w:top w:val="single" w:sz="4" w:space="0" w:color="auto"/>
              <w:left w:val="single" w:sz="4" w:space="0" w:color="auto"/>
              <w:bottom w:val="single" w:sz="4" w:space="0" w:color="auto"/>
              <w:right w:val="single" w:sz="4" w:space="0" w:color="auto"/>
            </w:tcBorders>
          </w:tcPr>
          <w:p w14:paraId="41591F9D" w14:textId="77777777" w:rsidR="009E328D" w:rsidRPr="00AB78EC" w:rsidRDefault="009E328D" w:rsidP="009860C9">
            <w:pPr>
              <w:spacing w:after="0" w:line="288"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w:t>
            </w:r>
          </w:p>
        </w:tc>
      </w:tr>
      <w:tr w:rsidR="009E328D" w:rsidRPr="00AB78EC" w14:paraId="7402F67A" w14:textId="77777777" w:rsidTr="009E328D">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14:paraId="1BC63FED" w14:textId="77777777" w:rsidR="009E328D" w:rsidRPr="00AB78EC" w:rsidRDefault="009E328D" w:rsidP="00D03A4F">
            <w:pPr>
              <w:spacing w:after="0" w:line="288" w:lineRule="auto"/>
              <w:ind w:left="170"/>
              <w:rPr>
                <w:rFonts w:ascii="Times New Roman" w:eastAsia="Arial Unicode MS" w:hAnsi="Times New Roman" w:cs="Times New Roman"/>
                <w:sz w:val="24"/>
                <w:szCs w:val="24"/>
                <w:lang w:eastAsia="ru-RU"/>
              </w:rPr>
            </w:pPr>
            <w:r w:rsidRPr="00AB78EC">
              <w:rPr>
                <w:rFonts w:ascii="Times New Roman" w:eastAsia="Times New Roman" w:hAnsi="Times New Roman" w:cs="Times New Roman"/>
                <w:sz w:val="24"/>
                <w:szCs w:val="24"/>
                <w:lang w:eastAsia="ru-RU"/>
              </w:rPr>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tcPr>
          <w:p w14:paraId="1F8F25AA" w14:textId="77777777" w:rsidR="009E328D" w:rsidRPr="00AB78EC" w:rsidRDefault="009E328D" w:rsidP="0048250F">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16,0</w:t>
            </w:r>
          </w:p>
        </w:tc>
        <w:tc>
          <w:tcPr>
            <w:tcW w:w="786" w:type="pct"/>
            <w:tcBorders>
              <w:top w:val="single" w:sz="4" w:space="0" w:color="auto"/>
              <w:left w:val="single" w:sz="4" w:space="0" w:color="auto"/>
              <w:bottom w:val="single" w:sz="4" w:space="0" w:color="auto"/>
              <w:right w:val="single" w:sz="4" w:space="0" w:color="auto"/>
            </w:tcBorders>
            <w:vAlign w:val="center"/>
          </w:tcPr>
          <w:p w14:paraId="51A4B7EF" w14:textId="77777777" w:rsidR="009E328D" w:rsidRPr="00AB78EC" w:rsidRDefault="009E328D" w:rsidP="0048250F">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17,5</w:t>
            </w:r>
          </w:p>
        </w:tc>
        <w:tc>
          <w:tcPr>
            <w:tcW w:w="786" w:type="pct"/>
            <w:tcBorders>
              <w:top w:val="single" w:sz="4" w:space="0" w:color="auto"/>
              <w:left w:val="single" w:sz="4" w:space="0" w:color="auto"/>
              <w:bottom w:val="single" w:sz="4" w:space="0" w:color="auto"/>
              <w:right w:val="single" w:sz="4" w:space="0" w:color="auto"/>
            </w:tcBorders>
          </w:tcPr>
          <w:p w14:paraId="3731291C" w14:textId="77777777" w:rsidR="009E328D" w:rsidRPr="00AB78EC" w:rsidRDefault="009E328D" w:rsidP="009860C9">
            <w:pPr>
              <w:spacing w:after="0" w:line="288"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18,6</w:t>
            </w:r>
          </w:p>
        </w:tc>
      </w:tr>
      <w:tr w:rsidR="009E328D" w:rsidRPr="00AB78EC" w14:paraId="2892AD28" w14:textId="77777777" w:rsidTr="009E328D">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14:paraId="30B6A852" w14:textId="77777777" w:rsidR="009E328D" w:rsidRPr="00AB78EC" w:rsidRDefault="009E328D" w:rsidP="00D03A4F">
            <w:pPr>
              <w:spacing w:after="0" w:line="288" w:lineRule="auto"/>
              <w:ind w:left="170"/>
              <w:rPr>
                <w:rFonts w:ascii="Times New Roman" w:eastAsia="Arial Unicode MS" w:hAnsi="Times New Roman" w:cs="Times New Roman"/>
                <w:sz w:val="24"/>
                <w:szCs w:val="24"/>
                <w:lang w:eastAsia="ru-RU"/>
              </w:rPr>
            </w:pPr>
            <w:r w:rsidRPr="00AB78EC">
              <w:rPr>
                <w:rFonts w:ascii="Times New Roman" w:eastAsia="Times New Roman" w:hAnsi="Times New Roman" w:cs="Times New Roman"/>
                <w:sz w:val="24"/>
                <w:szCs w:val="24"/>
                <w:lang w:eastAsia="ru-RU"/>
              </w:rPr>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tcPr>
          <w:p w14:paraId="6A643152" w14:textId="77777777" w:rsidR="009E328D" w:rsidRPr="00AB78EC" w:rsidRDefault="009E328D" w:rsidP="0048250F">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3,4</w:t>
            </w:r>
          </w:p>
        </w:tc>
        <w:tc>
          <w:tcPr>
            <w:tcW w:w="786" w:type="pct"/>
            <w:tcBorders>
              <w:top w:val="single" w:sz="4" w:space="0" w:color="auto"/>
              <w:left w:val="single" w:sz="4" w:space="0" w:color="auto"/>
              <w:bottom w:val="single" w:sz="4" w:space="0" w:color="auto"/>
              <w:right w:val="single" w:sz="4" w:space="0" w:color="auto"/>
            </w:tcBorders>
            <w:vAlign w:val="center"/>
          </w:tcPr>
          <w:p w14:paraId="20C50755" w14:textId="77777777" w:rsidR="009E328D" w:rsidRPr="00AB78EC" w:rsidRDefault="009E328D" w:rsidP="0048250F">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2,5</w:t>
            </w:r>
          </w:p>
        </w:tc>
        <w:tc>
          <w:tcPr>
            <w:tcW w:w="786" w:type="pct"/>
            <w:tcBorders>
              <w:top w:val="single" w:sz="4" w:space="0" w:color="auto"/>
              <w:left w:val="single" w:sz="4" w:space="0" w:color="auto"/>
              <w:bottom w:val="single" w:sz="4" w:space="0" w:color="auto"/>
              <w:right w:val="single" w:sz="4" w:space="0" w:color="auto"/>
            </w:tcBorders>
          </w:tcPr>
          <w:p w14:paraId="41B71AF9" w14:textId="77777777" w:rsidR="009E328D" w:rsidRPr="00AB78EC" w:rsidRDefault="009E328D" w:rsidP="009860C9">
            <w:pPr>
              <w:spacing w:after="0" w:line="288"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w:t>
            </w:r>
          </w:p>
        </w:tc>
      </w:tr>
      <w:tr w:rsidR="009E328D" w:rsidRPr="00AB78EC" w14:paraId="416A2542" w14:textId="77777777" w:rsidTr="009E328D">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14:paraId="1E09A42F" w14:textId="77777777" w:rsidR="009E328D" w:rsidRPr="00AB78EC" w:rsidRDefault="009E328D" w:rsidP="00FF62DF">
            <w:pPr>
              <w:spacing w:after="0" w:line="288" w:lineRule="auto"/>
              <w:ind w:left="57"/>
              <w:rPr>
                <w:rFonts w:ascii="Times New Roman" w:eastAsia="Arial Unicode MS" w:hAnsi="Times New Roman" w:cs="Times New Roman"/>
                <w:b/>
                <w:sz w:val="24"/>
                <w:szCs w:val="24"/>
                <w:lang w:eastAsia="ru-RU"/>
              </w:rPr>
            </w:pPr>
            <w:r w:rsidRPr="00AB78EC">
              <w:rPr>
                <w:rFonts w:ascii="Times New Roman" w:eastAsia="Times New Roman" w:hAnsi="Times New Roman" w:cs="Times New Roman"/>
                <w:b/>
                <w:sz w:val="24"/>
                <w:szCs w:val="24"/>
                <w:lang w:eastAsia="ru-RU"/>
              </w:rPr>
              <w:t xml:space="preserve">Мужчины, </w:t>
            </w:r>
            <w:r w:rsidR="00FF62DF">
              <w:rPr>
                <w:rFonts w:ascii="Times New Roman" w:eastAsia="Times New Roman" w:hAnsi="Times New Roman" w:cs="Times New Roman"/>
                <w:b/>
                <w:sz w:val="24"/>
                <w:szCs w:val="24"/>
                <w:lang w:eastAsia="ru-RU"/>
              </w:rPr>
              <w:t>из них</w:t>
            </w:r>
            <w:r w:rsidRPr="00AB78EC">
              <w:rPr>
                <w:rFonts w:ascii="Times New Roman" w:eastAsia="Times New Roman" w:hAnsi="Times New Roman" w:cs="Times New Roman"/>
                <w:b/>
                <w:sz w:val="24"/>
                <w:szCs w:val="24"/>
                <w:lang w:eastAsia="ru-RU"/>
              </w:rPr>
              <w:t xml:space="preserve"> имеют образование:</w:t>
            </w:r>
          </w:p>
        </w:tc>
        <w:tc>
          <w:tcPr>
            <w:tcW w:w="786" w:type="pct"/>
            <w:tcBorders>
              <w:top w:val="single" w:sz="4" w:space="0" w:color="auto"/>
              <w:left w:val="single" w:sz="4" w:space="0" w:color="auto"/>
              <w:bottom w:val="single" w:sz="4" w:space="0" w:color="auto"/>
              <w:right w:val="single" w:sz="4" w:space="0" w:color="auto"/>
            </w:tcBorders>
            <w:vAlign w:val="center"/>
          </w:tcPr>
          <w:p w14:paraId="72EC71F1" w14:textId="77777777" w:rsidR="009E328D" w:rsidRPr="00AB78EC" w:rsidRDefault="009E328D" w:rsidP="0048250F">
            <w:pPr>
              <w:spacing w:after="0" w:line="288" w:lineRule="auto"/>
              <w:jc w:val="center"/>
              <w:rPr>
                <w:rFonts w:ascii="Times New Roman" w:eastAsia="Times New Roman" w:hAnsi="Times New Roman" w:cs="Times New Roman"/>
                <w:b/>
                <w:bCs/>
                <w:sz w:val="24"/>
                <w:szCs w:val="24"/>
                <w:lang w:eastAsia="ru-RU"/>
              </w:rPr>
            </w:pPr>
            <w:r w:rsidRPr="00AB78EC">
              <w:rPr>
                <w:rFonts w:ascii="Times New Roman" w:eastAsia="Times New Roman" w:hAnsi="Times New Roman" w:cs="Times New Roman"/>
                <w:b/>
                <w:bCs/>
                <w:sz w:val="24"/>
                <w:szCs w:val="24"/>
                <w:lang w:eastAsia="ru-RU"/>
              </w:rPr>
              <w:t>13,8</w:t>
            </w:r>
          </w:p>
        </w:tc>
        <w:tc>
          <w:tcPr>
            <w:tcW w:w="786" w:type="pct"/>
            <w:tcBorders>
              <w:top w:val="single" w:sz="4" w:space="0" w:color="auto"/>
              <w:left w:val="single" w:sz="4" w:space="0" w:color="auto"/>
              <w:bottom w:val="single" w:sz="4" w:space="0" w:color="auto"/>
              <w:right w:val="single" w:sz="4" w:space="0" w:color="auto"/>
            </w:tcBorders>
            <w:vAlign w:val="center"/>
          </w:tcPr>
          <w:p w14:paraId="73DC26B4" w14:textId="77777777" w:rsidR="009E328D" w:rsidRPr="00AB78EC" w:rsidRDefault="009E328D" w:rsidP="0048250F">
            <w:pPr>
              <w:spacing w:after="0" w:line="288" w:lineRule="auto"/>
              <w:jc w:val="center"/>
              <w:rPr>
                <w:rFonts w:ascii="Times New Roman" w:eastAsia="Times New Roman" w:hAnsi="Times New Roman" w:cs="Times New Roman"/>
                <w:b/>
                <w:bCs/>
                <w:sz w:val="24"/>
                <w:szCs w:val="24"/>
                <w:lang w:eastAsia="ru-RU"/>
              </w:rPr>
            </w:pPr>
            <w:r w:rsidRPr="00AB78EC">
              <w:rPr>
                <w:rFonts w:ascii="Times New Roman" w:eastAsia="Times New Roman" w:hAnsi="Times New Roman" w:cs="Times New Roman"/>
                <w:b/>
                <w:bCs/>
                <w:sz w:val="24"/>
                <w:szCs w:val="24"/>
                <w:lang w:eastAsia="ru-RU"/>
              </w:rPr>
              <w:t>18,3</w:t>
            </w:r>
          </w:p>
        </w:tc>
        <w:tc>
          <w:tcPr>
            <w:tcW w:w="786" w:type="pct"/>
            <w:tcBorders>
              <w:top w:val="single" w:sz="4" w:space="0" w:color="auto"/>
              <w:left w:val="single" w:sz="4" w:space="0" w:color="auto"/>
              <w:bottom w:val="single" w:sz="4" w:space="0" w:color="auto"/>
              <w:right w:val="single" w:sz="4" w:space="0" w:color="auto"/>
            </w:tcBorders>
          </w:tcPr>
          <w:p w14:paraId="5FC5C6D8" w14:textId="77777777" w:rsidR="009E328D" w:rsidRPr="00AB78EC" w:rsidRDefault="009E328D" w:rsidP="009860C9">
            <w:pPr>
              <w:spacing w:after="0" w:line="288"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14,3</w:t>
            </w:r>
            <w:r w:rsidR="00CF49D3">
              <w:rPr>
                <w:rFonts w:ascii="Times New Roman" w:eastAsia="Arial Unicode MS" w:hAnsi="Times New Roman" w:cs="Times New Roman"/>
                <w:sz w:val="24"/>
                <w:szCs w:val="24"/>
                <w:lang w:eastAsia="ru-RU"/>
              </w:rPr>
              <w:t>*</w:t>
            </w:r>
          </w:p>
        </w:tc>
      </w:tr>
      <w:tr w:rsidR="009E328D" w:rsidRPr="00AB78EC" w14:paraId="03DDC775" w14:textId="77777777" w:rsidTr="009E328D">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14:paraId="2024382F" w14:textId="77777777" w:rsidR="009E328D" w:rsidRPr="00AB78EC" w:rsidRDefault="009E328D" w:rsidP="00D03A4F">
            <w:pPr>
              <w:spacing w:after="0" w:line="288" w:lineRule="auto"/>
              <w:ind w:left="170"/>
              <w:rPr>
                <w:rFonts w:ascii="Times New Roman" w:eastAsia="Arial Unicode MS" w:hAnsi="Times New Roman" w:cs="Times New Roman"/>
                <w:sz w:val="24"/>
                <w:szCs w:val="24"/>
                <w:lang w:eastAsia="ru-RU"/>
              </w:rPr>
            </w:pPr>
            <w:r w:rsidRPr="00AB78EC">
              <w:rPr>
                <w:rFonts w:ascii="Times New Roman" w:eastAsia="Times New Roman" w:hAnsi="Times New Roman" w:cs="Times New Roman"/>
                <w:sz w:val="24"/>
                <w:szCs w:val="24"/>
                <w:lang w:eastAsia="ru-RU"/>
              </w:rPr>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tcPr>
          <w:p w14:paraId="288C296F" w14:textId="77777777" w:rsidR="009E328D" w:rsidRPr="00AB78EC" w:rsidRDefault="009E328D" w:rsidP="0048250F">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2,6</w:t>
            </w:r>
          </w:p>
        </w:tc>
        <w:tc>
          <w:tcPr>
            <w:tcW w:w="786" w:type="pct"/>
            <w:tcBorders>
              <w:top w:val="single" w:sz="4" w:space="0" w:color="auto"/>
              <w:left w:val="single" w:sz="4" w:space="0" w:color="auto"/>
              <w:bottom w:val="single" w:sz="4" w:space="0" w:color="auto"/>
              <w:right w:val="single" w:sz="4" w:space="0" w:color="auto"/>
            </w:tcBorders>
            <w:vAlign w:val="center"/>
          </w:tcPr>
          <w:p w14:paraId="241E504E" w14:textId="77777777" w:rsidR="009E328D" w:rsidRPr="00AB78EC" w:rsidRDefault="009E328D" w:rsidP="0048250F">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6,6</w:t>
            </w:r>
          </w:p>
        </w:tc>
        <w:tc>
          <w:tcPr>
            <w:tcW w:w="786" w:type="pct"/>
            <w:tcBorders>
              <w:top w:val="single" w:sz="4" w:space="0" w:color="auto"/>
              <w:left w:val="single" w:sz="4" w:space="0" w:color="auto"/>
              <w:bottom w:val="single" w:sz="4" w:space="0" w:color="auto"/>
              <w:right w:val="single" w:sz="4" w:space="0" w:color="auto"/>
            </w:tcBorders>
          </w:tcPr>
          <w:p w14:paraId="39FB9707" w14:textId="77777777" w:rsidR="009E328D" w:rsidRPr="00AB78EC" w:rsidRDefault="009E328D" w:rsidP="009860C9">
            <w:pPr>
              <w:spacing w:after="0" w:line="288"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w:t>
            </w:r>
          </w:p>
        </w:tc>
      </w:tr>
      <w:tr w:rsidR="009E328D" w:rsidRPr="00AB78EC" w14:paraId="632FF3EF" w14:textId="77777777" w:rsidTr="009E328D">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14:paraId="6E3973CC" w14:textId="77777777" w:rsidR="009E328D" w:rsidRPr="00AB78EC" w:rsidRDefault="009E328D" w:rsidP="00D03A4F">
            <w:pPr>
              <w:spacing w:after="0" w:line="288" w:lineRule="auto"/>
              <w:ind w:left="170"/>
              <w:rPr>
                <w:rFonts w:ascii="Times New Roman" w:eastAsia="Arial Unicode MS" w:hAnsi="Times New Roman" w:cs="Times New Roman"/>
                <w:sz w:val="24"/>
                <w:szCs w:val="24"/>
                <w:lang w:eastAsia="ru-RU"/>
              </w:rPr>
            </w:pPr>
            <w:r w:rsidRPr="00AB78EC">
              <w:rPr>
                <w:rFonts w:ascii="Times New Roman" w:eastAsia="Times New Roman" w:hAnsi="Times New Roman" w:cs="Times New Roman"/>
                <w:sz w:val="24"/>
                <w:szCs w:val="24"/>
                <w:lang w:eastAsia="ru-RU"/>
              </w:rPr>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tcPr>
          <w:p w14:paraId="2D1C3DF7" w14:textId="77777777" w:rsidR="009E328D" w:rsidRPr="00AB78EC" w:rsidRDefault="009E328D" w:rsidP="0048250F">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9,2</w:t>
            </w:r>
          </w:p>
        </w:tc>
        <w:tc>
          <w:tcPr>
            <w:tcW w:w="786" w:type="pct"/>
            <w:tcBorders>
              <w:top w:val="single" w:sz="4" w:space="0" w:color="auto"/>
              <w:left w:val="single" w:sz="4" w:space="0" w:color="auto"/>
              <w:bottom w:val="single" w:sz="4" w:space="0" w:color="auto"/>
              <w:right w:val="single" w:sz="4" w:space="0" w:color="auto"/>
            </w:tcBorders>
            <w:vAlign w:val="center"/>
          </w:tcPr>
          <w:p w14:paraId="2F81F317" w14:textId="77777777" w:rsidR="009E328D" w:rsidRPr="00AB78EC" w:rsidRDefault="009E328D" w:rsidP="0048250F">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10,4</w:t>
            </w:r>
          </w:p>
        </w:tc>
        <w:tc>
          <w:tcPr>
            <w:tcW w:w="786" w:type="pct"/>
            <w:tcBorders>
              <w:top w:val="single" w:sz="4" w:space="0" w:color="auto"/>
              <w:left w:val="single" w:sz="4" w:space="0" w:color="auto"/>
              <w:bottom w:val="single" w:sz="4" w:space="0" w:color="auto"/>
              <w:right w:val="single" w:sz="4" w:space="0" w:color="auto"/>
            </w:tcBorders>
          </w:tcPr>
          <w:p w14:paraId="27578256" w14:textId="77777777" w:rsidR="009E328D" w:rsidRPr="00AB78EC" w:rsidRDefault="009E328D" w:rsidP="009860C9">
            <w:pPr>
              <w:spacing w:after="0" w:line="288"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9,5</w:t>
            </w:r>
          </w:p>
        </w:tc>
      </w:tr>
      <w:tr w:rsidR="009E328D" w:rsidRPr="00AB78EC" w14:paraId="4EB62560" w14:textId="77777777" w:rsidTr="009E328D">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14:paraId="41ADF7BC" w14:textId="77777777" w:rsidR="009E328D" w:rsidRPr="00AB78EC" w:rsidRDefault="009E328D" w:rsidP="00D03A4F">
            <w:pPr>
              <w:spacing w:after="0" w:line="288" w:lineRule="auto"/>
              <w:ind w:left="170"/>
              <w:rPr>
                <w:rFonts w:ascii="Times New Roman" w:eastAsia="Arial Unicode MS" w:hAnsi="Times New Roman" w:cs="Times New Roman"/>
                <w:sz w:val="24"/>
                <w:szCs w:val="24"/>
                <w:lang w:eastAsia="ru-RU"/>
              </w:rPr>
            </w:pPr>
            <w:r w:rsidRPr="00AB78EC">
              <w:rPr>
                <w:rFonts w:ascii="Times New Roman" w:eastAsia="Times New Roman" w:hAnsi="Times New Roman" w:cs="Times New Roman"/>
                <w:sz w:val="24"/>
                <w:szCs w:val="24"/>
                <w:lang w:eastAsia="ru-RU"/>
              </w:rPr>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tcPr>
          <w:p w14:paraId="4A05ADF4" w14:textId="77777777" w:rsidR="009E328D" w:rsidRPr="00AB78EC" w:rsidRDefault="009E328D" w:rsidP="0048250F">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2,0</w:t>
            </w:r>
          </w:p>
        </w:tc>
        <w:tc>
          <w:tcPr>
            <w:tcW w:w="786" w:type="pct"/>
            <w:tcBorders>
              <w:top w:val="single" w:sz="4" w:space="0" w:color="auto"/>
              <w:left w:val="single" w:sz="4" w:space="0" w:color="auto"/>
              <w:bottom w:val="single" w:sz="4" w:space="0" w:color="auto"/>
              <w:right w:val="single" w:sz="4" w:space="0" w:color="auto"/>
            </w:tcBorders>
            <w:vAlign w:val="center"/>
          </w:tcPr>
          <w:p w14:paraId="56EF4E7E" w14:textId="77777777" w:rsidR="009E328D" w:rsidRPr="00AB78EC" w:rsidRDefault="009E328D" w:rsidP="0048250F">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1,3</w:t>
            </w:r>
          </w:p>
        </w:tc>
        <w:tc>
          <w:tcPr>
            <w:tcW w:w="786" w:type="pct"/>
            <w:tcBorders>
              <w:top w:val="single" w:sz="4" w:space="0" w:color="auto"/>
              <w:left w:val="single" w:sz="4" w:space="0" w:color="auto"/>
              <w:bottom w:val="single" w:sz="4" w:space="0" w:color="auto"/>
              <w:right w:val="single" w:sz="4" w:space="0" w:color="auto"/>
            </w:tcBorders>
          </w:tcPr>
          <w:p w14:paraId="35A32458" w14:textId="77777777" w:rsidR="009E328D" w:rsidRPr="00AB78EC" w:rsidRDefault="009E328D" w:rsidP="009860C9">
            <w:pPr>
              <w:spacing w:after="0" w:line="288"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w:t>
            </w:r>
          </w:p>
        </w:tc>
      </w:tr>
      <w:tr w:rsidR="009E328D" w:rsidRPr="00AB78EC" w14:paraId="5BE3F731" w14:textId="77777777" w:rsidTr="009E328D">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14:paraId="3CC4B2CF" w14:textId="77777777" w:rsidR="009E328D" w:rsidRPr="00AB78EC" w:rsidRDefault="009E328D" w:rsidP="00FF62DF">
            <w:pPr>
              <w:spacing w:after="0" w:line="288" w:lineRule="auto"/>
              <w:ind w:left="57"/>
              <w:rPr>
                <w:rFonts w:ascii="Times New Roman" w:eastAsia="Arial Unicode MS" w:hAnsi="Times New Roman" w:cs="Times New Roman"/>
                <w:b/>
                <w:sz w:val="24"/>
                <w:szCs w:val="24"/>
                <w:lang w:eastAsia="ru-RU"/>
              </w:rPr>
            </w:pPr>
            <w:r w:rsidRPr="00AB78EC">
              <w:rPr>
                <w:rFonts w:ascii="Times New Roman" w:eastAsia="Times New Roman" w:hAnsi="Times New Roman" w:cs="Times New Roman"/>
                <w:b/>
                <w:sz w:val="24"/>
                <w:szCs w:val="24"/>
                <w:lang w:eastAsia="ru-RU"/>
              </w:rPr>
              <w:t xml:space="preserve">Женщины, </w:t>
            </w:r>
            <w:r w:rsidR="00FF62DF">
              <w:rPr>
                <w:rFonts w:ascii="Times New Roman" w:eastAsia="Times New Roman" w:hAnsi="Times New Roman" w:cs="Times New Roman"/>
                <w:b/>
                <w:sz w:val="24"/>
                <w:szCs w:val="24"/>
                <w:lang w:eastAsia="ru-RU"/>
              </w:rPr>
              <w:t>из них</w:t>
            </w:r>
            <w:r w:rsidRPr="00AB78EC">
              <w:rPr>
                <w:rFonts w:ascii="Times New Roman" w:eastAsia="Times New Roman" w:hAnsi="Times New Roman" w:cs="Times New Roman"/>
                <w:b/>
                <w:sz w:val="24"/>
                <w:szCs w:val="24"/>
                <w:lang w:eastAsia="ru-RU"/>
              </w:rPr>
              <w:t xml:space="preserve"> имеют образование:</w:t>
            </w:r>
          </w:p>
        </w:tc>
        <w:tc>
          <w:tcPr>
            <w:tcW w:w="786" w:type="pct"/>
            <w:tcBorders>
              <w:top w:val="single" w:sz="4" w:space="0" w:color="auto"/>
              <w:left w:val="single" w:sz="4" w:space="0" w:color="auto"/>
              <w:bottom w:val="single" w:sz="4" w:space="0" w:color="auto"/>
              <w:right w:val="single" w:sz="4" w:space="0" w:color="auto"/>
            </w:tcBorders>
            <w:vAlign w:val="center"/>
          </w:tcPr>
          <w:p w14:paraId="610C8E5B" w14:textId="77777777" w:rsidR="009E328D" w:rsidRPr="00AB78EC" w:rsidRDefault="009E328D" w:rsidP="0048250F">
            <w:pPr>
              <w:spacing w:after="0" w:line="288" w:lineRule="auto"/>
              <w:jc w:val="center"/>
              <w:rPr>
                <w:rFonts w:ascii="Times New Roman" w:eastAsia="Times New Roman" w:hAnsi="Times New Roman" w:cs="Times New Roman"/>
                <w:b/>
                <w:bCs/>
                <w:sz w:val="24"/>
                <w:szCs w:val="24"/>
                <w:lang w:eastAsia="ru-RU"/>
              </w:rPr>
            </w:pPr>
            <w:r w:rsidRPr="00AB78EC">
              <w:rPr>
                <w:rFonts w:ascii="Times New Roman" w:eastAsia="Times New Roman" w:hAnsi="Times New Roman" w:cs="Times New Roman"/>
                <w:b/>
                <w:bCs/>
                <w:sz w:val="24"/>
                <w:szCs w:val="24"/>
                <w:lang w:eastAsia="ru-RU"/>
              </w:rPr>
              <w:t>10,5</w:t>
            </w:r>
          </w:p>
        </w:tc>
        <w:tc>
          <w:tcPr>
            <w:tcW w:w="786" w:type="pct"/>
            <w:tcBorders>
              <w:top w:val="single" w:sz="4" w:space="0" w:color="auto"/>
              <w:left w:val="single" w:sz="4" w:space="0" w:color="auto"/>
              <w:bottom w:val="single" w:sz="4" w:space="0" w:color="auto"/>
              <w:right w:val="single" w:sz="4" w:space="0" w:color="auto"/>
            </w:tcBorders>
            <w:vAlign w:val="center"/>
          </w:tcPr>
          <w:p w14:paraId="39BE2D20" w14:textId="77777777" w:rsidR="009E328D" w:rsidRPr="00AB78EC" w:rsidRDefault="009E328D" w:rsidP="0048250F">
            <w:pPr>
              <w:spacing w:after="0" w:line="288" w:lineRule="auto"/>
              <w:jc w:val="center"/>
              <w:rPr>
                <w:rFonts w:ascii="Times New Roman" w:eastAsia="Times New Roman" w:hAnsi="Times New Roman" w:cs="Times New Roman"/>
                <w:b/>
                <w:bCs/>
                <w:sz w:val="24"/>
                <w:szCs w:val="24"/>
                <w:lang w:eastAsia="ru-RU"/>
              </w:rPr>
            </w:pPr>
            <w:r w:rsidRPr="00AB78EC">
              <w:rPr>
                <w:rFonts w:ascii="Times New Roman" w:eastAsia="Times New Roman" w:hAnsi="Times New Roman" w:cs="Times New Roman"/>
                <w:b/>
                <w:bCs/>
                <w:sz w:val="24"/>
                <w:szCs w:val="24"/>
                <w:lang w:eastAsia="ru-RU"/>
              </w:rPr>
              <w:t>11,4</w:t>
            </w:r>
          </w:p>
        </w:tc>
        <w:tc>
          <w:tcPr>
            <w:tcW w:w="786" w:type="pct"/>
            <w:tcBorders>
              <w:top w:val="single" w:sz="4" w:space="0" w:color="auto"/>
              <w:left w:val="single" w:sz="4" w:space="0" w:color="auto"/>
              <w:bottom w:val="single" w:sz="4" w:space="0" w:color="auto"/>
              <w:right w:val="single" w:sz="4" w:space="0" w:color="auto"/>
            </w:tcBorders>
          </w:tcPr>
          <w:p w14:paraId="4FD5E5F6" w14:textId="77777777" w:rsidR="009E328D" w:rsidRPr="00AB78EC" w:rsidRDefault="009E328D" w:rsidP="009860C9">
            <w:pPr>
              <w:spacing w:after="0" w:line="288"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12,1</w:t>
            </w:r>
            <w:r w:rsidR="00CF49D3">
              <w:rPr>
                <w:rFonts w:ascii="Times New Roman" w:eastAsia="Arial Unicode MS" w:hAnsi="Times New Roman" w:cs="Times New Roman"/>
                <w:sz w:val="24"/>
                <w:szCs w:val="24"/>
                <w:lang w:eastAsia="ru-RU"/>
              </w:rPr>
              <w:t>*</w:t>
            </w:r>
          </w:p>
        </w:tc>
      </w:tr>
      <w:tr w:rsidR="009E328D" w:rsidRPr="00AB78EC" w14:paraId="26CB1F5C" w14:textId="77777777" w:rsidTr="009E328D">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14:paraId="538EF10F" w14:textId="77777777" w:rsidR="009E328D" w:rsidRPr="00AB78EC" w:rsidRDefault="009E328D" w:rsidP="00D03A4F">
            <w:pPr>
              <w:spacing w:after="0" w:line="288" w:lineRule="auto"/>
              <w:ind w:left="170"/>
              <w:rPr>
                <w:rFonts w:ascii="Times New Roman" w:eastAsia="Arial Unicode MS" w:hAnsi="Times New Roman" w:cs="Times New Roman"/>
                <w:sz w:val="24"/>
                <w:szCs w:val="24"/>
                <w:lang w:eastAsia="ru-RU"/>
              </w:rPr>
            </w:pPr>
            <w:r w:rsidRPr="00AB78EC">
              <w:rPr>
                <w:rFonts w:ascii="Times New Roman" w:eastAsia="Times New Roman" w:hAnsi="Times New Roman" w:cs="Times New Roman"/>
                <w:sz w:val="24"/>
                <w:szCs w:val="24"/>
                <w:lang w:eastAsia="ru-RU"/>
              </w:rPr>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tcPr>
          <w:p w14:paraId="2DC2B99F" w14:textId="77777777" w:rsidR="009E328D" w:rsidRPr="00AB78EC" w:rsidRDefault="009E328D" w:rsidP="0048250F">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2,3</w:t>
            </w:r>
          </w:p>
        </w:tc>
        <w:tc>
          <w:tcPr>
            <w:tcW w:w="786" w:type="pct"/>
            <w:tcBorders>
              <w:top w:val="single" w:sz="4" w:space="0" w:color="auto"/>
              <w:left w:val="single" w:sz="4" w:space="0" w:color="auto"/>
              <w:bottom w:val="single" w:sz="4" w:space="0" w:color="auto"/>
              <w:right w:val="single" w:sz="4" w:space="0" w:color="auto"/>
            </w:tcBorders>
            <w:vAlign w:val="center"/>
          </w:tcPr>
          <w:p w14:paraId="2257D531" w14:textId="77777777" w:rsidR="009E328D" w:rsidRPr="00AB78EC" w:rsidRDefault="009E328D" w:rsidP="0048250F">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3,1</w:t>
            </w:r>
          </w:p>
        </w:tc>
        <w:tc>
          <w:tcPr>
            <w:tcW w:w="786" w:type="pct"/>
            <w:tcBorders>
              <w:top w:val="single" w:sz="4" w:space="0" w:color="auto"/>
              <w:left w:val="single" w:sz="4" w:space="0" w:color="auto"/>
              <w:bottom w:val="single" w:sz="4" w:space="0" w:color="auto"/>
              <w:right w:val="single" w:sz="4" w:space="0" w:color="auto"/>
            </w:tcBorders>
          </w:tcPr>
          <w:p w14:paraId="1E9A76C5" w14:textId="77777777" w:rsidR="009E328D" w:rsidRPr="00AB78EC" w:rsidRDefault="009E328D" w:rsidP="009860C9">
            <w:pPr>
              <w:spacing w:after="0" w:line="288"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r>
      <w:tr w:rsidR="009E328D" w:rsidRPr="00AB78EC" w14:paraId="452040AD" w14:textId="77777777" w:rsidTr="009E328D">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14:paraId="597EE450" w14:textId="77777777" w:rsidR="009E328D" w:rsidRPr="00AB78EC" w:rsidRDefault="009E328D" w:rsidP="00D03A4F">
            <w:pPr>
              <w:spacing w:after="0" w:line="288" w:lineRule="auto"/>
              <w:ind w:left="170"/>
              <w:rPr>
                <w:rFonts w:ascii="Times New Roman" w:eastAsia="Arial Unicode MS" w:hAnsi="Times New Roman" w:cs="Times New Roman"/>
                <w:sz w:val="24"/>
                <w:szCs w:val="24"/>
                <w:lang w:eastAsia="ru-RU"/>
              </w:rPr>
            </w:pPr>
            <w:r w:rsidRPr="00AB78EC">
              <w:rPr>
                <w:rFonts w:ascii="Times New Roman" w:eastAsia="Times New Roman" w:hAnsi="Times New Roman" w:cs="Times New Roman"/>
                <w:sz w:val="24"/>
                <w:szCs w:val="24"/>
                <w:lang w:eastAsia="ru-RU"/>
              </w:rPr>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tcPr>
          <w:p w14:paraId="7409AD5F" w14:textId="77777777" w:rsidR="009E328D" w:rsidRPr="00AB78EC" w:rsidRDefault="009E328D" w:rsidP="0048250F">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6,8</w:t>
            </w:r>
          </w:p>
        </w:tc>
        <w:tc>
          <w:tcPr>
            <w:tcW w:w="786" w:type="pct"/>
            <w:tcBorders>
              <w:top w:val="single" w:sz="4" w:space="0" w:color="auto"/>
              <w:left w:val="single" w:sz="4" w:space="0" w:color="auto"/>
              <w:bottom w:val="single" w:sz="4" w:space="0" w:color="auto"/>
              <w:right w:val="single" w:sz="4" w:space="0" w:color="auto"/>
            </w:tcBorders>
            <w:vAlign w:val="center"/>
          </w:tcPr>
          <w:p w14:paraId="324D0D53" w14:textId="77777777" w:rsidR="009E328D" w:rsidRPr="00AB78EC" w:rsidRDefault="009E328D" w:rsidP="0048250F">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7,2</w:t>
            </w:r>
          </w:p>
        </w:tc>
        <w:tc>
          <w:tcPr>
            <w:tcW w:w="786" w:type="pct"/>
            <w:tcBorders>
              <w:top w:val="single" w:sz="4" w:space="0" w:color="auto"/>
              <w:left w:val="single" w:sz="4" w:space="0" w:color="auto"/>
              <w:bottom w:val="single" w:sz="4" w:space="0" w:color="auto"/>
              <w:right w:val="single" w:sz="4" w:space="0" w:color="auto"/>
            </w:tcBorders>
          </w:tcPr>
          <w:p w14:paraId="5104EDB6" w14:textId="77777777" w:rsidR="009E328D" w:rsidRPr="00AB78EC" w:rsidRDefault="009E328D" w:rsidP="009860C9">
            <w:pPr>
              <w:spacing w:after="0" w:line="288"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9,0</w:t>
            </w:r>
          </w:p>
        </w:tc>
      </w:tr>
      <w:tr w:rsidR="009E328D" w:rsidRPr="00BD5A90" w14:paraId="1468C356" w14:textId="77777777" w:rsidTr="009E328D">
        <w:trPr>
          <w:trHeight w:val="59"/>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14:paraId="015DF35C" w14:textId="77777777" w:rsidR="009E328D" w:rsidRPr="00AB78EC" w:rsidRDefault="009E328D" w:rsidP="00D03A4F">
            <w:pPr>
              <w:spacing w:after="0" w:line="288" w:lineRule="auto"/>
              <w:ind w:left="170"/>
              <w:rPr>
                <w:rFonts w:ascii="Times New Roman" w:eastAsia="Times New Roman" w:hAnsi="Times New Roman" w:cs="Times New Roman"/>
                <w:sz w:val="24"/>
                <w:szCs w:val="24"/>
                <w:lang w:eastAsia="ru-RU"/>
              </w:rPr>
            </w:pPr>
            <w:r w:rsidRPr="00AB78EC">
              <w:rPr>
                <w:rFonts w:ascii="Times New Roman" w:eastAsia="Times New Roman" w:hAnsi="Times New Roman" w:cs="Times New Roman"/>
                <w:sz w:val="24"/>
                <w:szCs w:val="24"/>
                <w:lang w:eastAsia="ru-RU"/>
              </w:rPr>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tcPr>
          <w:p w14:paraId="0C4DC0FB" w14:textId="77777777" w:rsidR="009E328D" w:rsidRPr="00AB78EC" w:rsidRDefault="009E328D" w:rsidP="0048250F">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1,5</w:t>
            </w:r>
          </w:p>
        </w:tc>
        <w:tc>
          <w:tcPr>
            <w:tcW w:w="786" w:type="pct"/>
            <w:tcBorders>
              <w:top w:val="single" w:sz="4" w:space="0" w:color="auto"/>
              <w:left w:val="single" w:sz="4" w:space="0" w:color="auto"/>
              <w:bottom w:val="single" w:sz="4" w:space="0" w:color="auto"/>
              <w:right w:val="single" w:sz="4" w:space="0" w:color="auto"/>
            </w:tcBorders>
            <w:vAlign w:val="center"/>
          </w:tcPr>
          <w:p w14:paraId="1DF10546" w14:textId="77777777" w:rsidR="009E328D" w:rsidRPr="00AB78EC" w:rsidRDefault="009E328D" w:rsidP="0048250F">
            <w:pPr>
              <w:spacing w:after="0" w:line="288" w:lineRule="auto"/>
              <w:jc w:val="center"/>
              <w:rPr>
                <w:rFonts w:ascii="Times New Roman" w:eastAsia="Times New Roman" w:hAnsi="Times New Roman" w:cs="Times New Roman"/>
                <w:bCs/>
                <w:sz w:val="24"/>
                <w:szCs w:val="24"/>
                <w:lang w:eastAsia="ru-RU"/>
              </w:rPr>
            </w:pPr>
            <w:r w:rsidRPr="00AB78EC">
              <w:rPr>
                <w:rFonts w:ascii="Times New Roman" w:eastAsia="Times New Roman" w:hAnsi="Times New Roman" w:cs="Times New Roman"/>
                <w:bCs/>
                <w:sz w:val="24"/>
                <w:szCs w:val="24"/>
                <w:lang w:eastAsia="ru-RU"/>
              </w:rPr>
              <w:t>1,2</w:t>
            </w:r>
          </w:p>
        </w:tc>
        <w:tc>
          <w:tcPr>
            <w:tcW w:w="786" w:type="pct"/>
            <w:tcBorders>
              <w:top w:val="single" w:sz="4" w:space="0" w:color="auto"/>
              <w:left w:val="single" w:sz="4" w:space="0" w:color="auto"/>
              <w:bottom w:val="single" w:sz="4" w:space="0" w:color="auto"/>
              <w:right w:val="single" w:sz="4" w:space="0" w:color="auto"/>
            </w:tcBorders>
          </w:tcPr>
          <w:p w14:paraId="4264143A" w14:textId="77777777" w:rsidR="009E328D" w:rsidRPr="00AB78EC" w:rsidRDefault="009E328D" w:rsidP="009860C9">
            <w:pPr>
              <w:spacing w:after="0" w:line="288"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w:t>
            </w:r>
          </w:p>
        </w:tc>
      </w:tr>
    </w:tbl>
    <w:p w14:paraId="121A7656" w14:textId="77777777" w:rsidR="00D03A4F" w:rsidRPr="009E328D" w:rsidRDefault="009E328D" w:rsidP="009E328D">
      <w:pPr>
        <w:spacing w:before="120" w:after="0" w:line="240" w:lineRule="auto"/>
        <w:ind w:firstLine="284"/>
        <w:jc w:val="both"/>
        <w:rPr>
          <w:rFonts w:ascii="Times New Roman" w:eastAsia="Times New Roman" w:hAnsi="Times New Roman" w:cs="Times New Roman"/>
          <w:lang w:eastAsia="ru-RU"/>
        </w:rPr>
      </w:pPr>
      <w:r w:rsidRPr="009E328D">
        <w:rPr>
          <w:rFonts w:ascii="Times New Roman" w:eastAsia="Times New Roman" w:hAnsi="Times New Roman" w:cs="Times New Roman"/>
          <w:lang w:eastAsia="ru-RU"/>
        </w:rPr>
        <w:t>* Включая среднее профессиональное образование по программе подготовки квалифицированных рабочих (служащих)</w:t>
      </w:r>
      <w:r w:rsidR="00CF49D3">
        <w:rPr>
          <w:rFonts w:ascii="Times New Roman" w:eastAsia="Times New Roman" w:hAnsi="Times New Roman" w:cs="Times New Roman"/>
          <w:lang w:eastAsia="ru-RU"/>
        </w:rPr>
        <w:t>.</w:t>
      </w:r>
    </w:p>
    <w:p w14:paraId="1C3A8EA5" w14:textId="77777777" w:rsidR="00D03A4F"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14:paraId="0D7F1BC6" w14:textId="77777777" w:rsidR="00BF045B" w:rsidRPr="00BD5A90" w:rsidRDefault="00BF045B" w:rsidP="00D03A4F">
      <w:pPr>
        <w:spacing w:after="0" w:line="240" w:lineRule="auto"/>
        <w:jc w:val="right"/>
        <w:rPr>
          <w:rFonts w:ascii="Times New Roman" w:eastAsia="Times New Roman" w:hAnsi="Times New Roman" w:cs="Times New Roman"/>
          <w:sz w:val="26"/>
          <w:szCs w:val="26"/>
          <w:highlight w:val="yellow"/>
          <w:lang w:eastAsia="ru-RU"/>
        </w:rPr>
      </w:pPr>
    </w:p>
    <w:p w14:paraId="60592783" w14:textId="77777777" w:rsidR="00D03A4F" w:rsidRDefault="00D03A4F" w:rsidP="00D03A4F">
      <w:pPr>
        <w:spacing w:after="0" w:line="240" w:lineRule="auto"/>
        <w:jc w:val="right"/>
        <w:rPr>
          <w:rFonts w:ascii="Times New Roman" w:eastAsia="Times New Roman" w:hAnsi="Times New Roman" w:cs="Times New Roman"/>
          <w:sz w:val="26"/>
          <w:szCs w:val="26"/>
          <w:lang w:eastAsia="ru-RU"/>
        </w:rPr>
      </w:pPr>
    </w:p>
    <w:p w14:paraId="574DA95A" w14:textId="77777777" w:rsidR="00ED16FD" w:rsidRDefault="00ED16FD" w:rsidP="00D03A4F">
      <w:pPr>
        <w:spacing w:after="0" w:line="240" w:lineRule="auto"/>
        <w:jc w:val="right"/>
        <w:rPr>
          <w:rFonts w:ascii="Times New Roman" w:eastAsia="Times New Roman" w:hAnsi="Times New Roman" w:cs="Times New Roman"/>
          <w:sz w:val="26"/>
          <w:szCs w:val="26"/>
          <w:lang w:eastAsia="ru-RU"/>
        </w:rPr>
      </w:pPr>
    </w:p>
    <w:p w14:paraId="5966B696" w14:textId="77777777" w:rsidR="00D03A4F" w:rsidRPr="00614092" w:rsidRDefault="00D03A4F" w:rsidP="00D03A4F">
      <w:pPr>
        <w:spacing w:after="0" w:line="240" w:lineRule="auto"/>
        <w:jc w:val="right"/>
        <w:rPr>
          <w:rFonts w:ascii="Times New Roman" w:eastAsia="Times New Roman" w:hAnsi="Times New Roman" w:cs="Times New Roman"/>
          <w:sz w:val="26"/>
          <w:szCs w:val="26"/>
          <w:lang w:eastAsia="ru-RU"/>
        </w:rPr>
      </w:pPr>
      <w:r w:rsidRPr="00614092">
        <w:rPr>
          <w:rFonts w:ascii="Times New Roman" w:eastAsia="Times New Roman" w:hAnsi="Times New Roman" w:cs="Times New Roman"/>
          <w:sz w:val="26"/>
          <w:szCs w:val="26"/>
          <w:lang w:eastAsia="ru-RU"/>
        </w:rPr>
        <w:t>Таблица 3</w:t>
      </w:r>
      <w:r w:rsidR="008737BB">
        <w:rPr>
          <w:rFonts w:ascii="Times New Roman" w:eastAsia="Times New Roman" w:hAnsi="Times New Roman" w:cs="Times New Roman"/>
          <w:sz w:val="26"/>
          <w:szCs w:val="26"/>
          <w:lang w:eastAsia="ru-RU"/>
        </w:rPr>
        <w:t>2</w:t>
      </w:r>
    </w:p>
    <w:p w14:paraId="547790FA" w14:textId="77777777" w:rsidR="00D03A4F" w:rsidRPr="00614092" w:rsidRDefault="00D03A4F" w:rsidP="00D03A4F">
      <w:pPr>
        <w:spacing w:after="0" w:line="240" w:lineRule="auto"/>
        <w:jc w:val="right"/>
        <w:rPr>
          <w:rFonts w:ascii="Times New Roman" w:eastAsia="Times New Roman" w:hAnsi="Times New Roman" w:cs="Times New Roman"/>
          <w:sz w:val="26"/>
          <w:szCs w:val="26"/>
          <w:lang w:eastAsia="ru-RU"/>
        </w:rPr>
      </w:pPr>
    </w:p>
    <w:p w14:paraId="0A01A3A9" w14:textId="77777777" w:rsidR="00D03A4F" w:rsidRPr="00614092" w:rsidRDefault="00D03A4F" w:rsidP="00D03A4F">
      <w:pPr>
        <w:spacing w:after="0" w:line="240" w:lineRule="auto"/>
        <w:jc w:val="center"/>
        <w:rPr>
          <w:rFonts w:ascii="Times New Roman" w:eastAsia="Times New Roman" w:hAnsi="Times New Roman" w:cs="Times New Roman"/>
          <w:b/>
          <w:bCs/>
          <w:sz w:val="26"/>
          <w:szCs w:val="26"/>
          <w:lang w:eastAsia="ru-RU"/>
        </w:rPr>
      </w:pPr>
      <w:r w:rsidRPr="00614092">
        <w:rPr>
          <w:rFonts w:ascii="Times New Roman" w:eastAsia="Times New Roman" w:hAnsi="Times New Roman" w:cs="Times New Roman"/>
          <w:b/>
          <w:bCs/>
          <w:sz w:val="26"/>
          <w:szCs w:val="26"/>
          <w:lang w:eastAsia="ru-RU"/>
        </w:rPr>
        <w:t>Численность населения в возрасте 15-17 лет, занятого производством продукции в личном подсобном хозяйстве для собственного потребления</w:t>
      </w:r>
    </w:p>
    <w:p w14:paraId="7BF03FE4" w14:textId="77777777"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(по данным выборочного обследования рабочей силы; тыс. человек)</w:t>
      </w:r>
    </w:p>
    <w:p w14:paraId="4AD00231" w14:textId="77777777" w:rsidR="00D03A4F" w:rsidRPr="00614092"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1360"/>
        <w:gridCol w:w="1393"/>
        <w:gridCol w:w="1393"/>
        <w:gridCol w:w="1395"/>
        <w:gridCol w:w="1393"/>
        <w:gridCol w:w="1403"/>
      </w:tblGrid>
      <w:tr w:rsidR="00D03A4F" w:rsidRPr="00614092" w14:paraId="5ADC5F21" w14:textId="77777777" w:rsidTr="00944CB1">
        <w:trPr>
          <w:cantSplit/>
          <w:trHeight w:val="296"/>
          <w:tblHeader/>
        </w:trPr>
        <w:tc>
          <w:tcPr>
            <w:tcW w:w="912" w:type="pct"/>
            <w:vMerge w:val="restart"/>
            <w:tcBorders>
              <w:top w:val="single" w:sz="4" w:space="0" w:color="auto"/>
              <w:left w:val="single" w:sz="4" w:space="0" w:color="auto"/>
              <w:bottom w:val="single" w:sz="4" w:space="0" w:color="auto"/>
              <w:right w:val="single" w:sz="4" w:space="0" w:color="auto"/>
            </w:tcBorders>
          </w:tcPr>
          <w:p w14:paraId="28F0EF17" w14:textId="77777777" w:rsidR="00D03A4F" w:rsidRPr="00614092" w:rsidRDefault="00D03A4F" w:rsidP="00D03A4F">
            <w:pPr>
              <w:spacing w:before="60" w:after="0" w:line="240" w:lineRule="auto"/>
              <w:rPr>
                <w:rFonts w:ascii="Times New Roman" w:eastAsia="Times New Roman" w:hAnsi="Times New Roman" w:cs="Times New Roman"/>
                <w:sz w:val="24"/>
                <w:szCs w:val="24"/>
                <w:lang w:eastAsia="ru-RU"/>
              </w:rPr>
            </w:pPr>
          </w:p>
        </w:tc>
        <w:tc>
          <w:tcPr>
            <w:tcW w:w="667" w:type="pct"/>
            <w:vMerge w:val="restart"/>
            <w:tcBorders>
              <w:top w:val="single" w:sz="4" w:space="0" w:color="auto"/>
              <w:left w:val="single" w:sz="4" w:space="0" w:color="auto"/>
              <w:bottom w:val="single" w:sz="4" w:space="0" w:color="auto"/>
              <w:right w:val="single" w:sz="4" w:space="0" w:color="auto"/>
            </w:tcBorders>
            <w:hideMark/>
          </w:tcPr>
          <w:p w14:paraId="3E10FE4D" w14:textId="77777777" w:rsidR="00D03A4F" w:rsidRPr="00614092" w:rsidRDefault="00D03A4F" w:rsidP="00D03A4F">
            <w:pPr>
              <w:spacing w:before="60" w:after="0" w:line="240" w:lineRule="auto"/>
              <w:jc w:val="center"/>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Всего</w:t>
            </w:r>
          </w:p>
        </w:tc>
        <w:tc>
          <w:tcPr>
            <w:tcW w:w="3422" w:type="pct"/>
            <w:gridSpan w:val="5"/>
            <w:tcBorders>
              <w:top w:val="single" w:sz="4" w:space="0" w:color="auto"/>
              <w:left w:val="single" w:sz="4" w:space="0" w:color="auto"/>
              <w:bottom w:val="single" w:sz="4" w:space="0" w:color="auto"/>
              <w:right w:val="single" w:sz="4" w:space="0" w:color="auto"/>
            </w:tcBorders>
            <w:hideMark/>
          </w:tcPr>
          <w:p w14:paraId="2CF8AB9D" w14:textId="77777777" w:rsidR="00D03A4F" w:rsidRPr="00614092" w:rsidRDefault="00D03A4F" w:rsidP="00D03A4F">
            <w:pPr>
              <w:spacing w:before="60" w:after="60" w:line="240" w:lineRule="auto"/>
              <w:jc w:val="center"/>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в том числе отработали в неделю, часов</w:t>
            </w:r>
          </w:p>
        </w:tc>
      </w:tr>
      <w:tr w:rsidR="00D03A4F" w:rsidRPr="00614092" w14:paraId="572A01C6" w14:textId="77777777" w:rsidTr="00944CB1">
        <w:trPr>
          <w:cantSplit/>
          <w:trHeight w:val="29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A5E90" w14:textId="77777777" w:rsidR="00D03A4F" w:rsidRPr="00614092" w:rsidRDefault="00D03A4F" w:rsidP="00D03A4F">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hideMark/>
          </w:tcPr>
          <w:p w14:paraId="014A9188" w14:textId="77777777" w:rsidR="00D03A4F" w:rsidRPr="00614092" w:rsidRDefault="00D03A4F" w:rsidP="00D03A4F">
            <w:pPr>
              <w:spacing w:after="0" w:line="240" w:lineRule="auto"/>
              <w:jc w:val="center"/>
              <w:rPr>
                <w:rFonts w:ascii="Times New Roman" w:eastAsia="Times New Roman" w:hAnsi="Times New Roman" w:cs="Times New Roman"/>
                <w:sz w:val="24"/>
                <w:szCs w:val="24"/>
                <w:lang w:eastAsia="ru-RU"/>
              </w:rPr>
            </w:pPr>
          </w:p>
        </w:tc>
        <w:tc>
          <w:tcPr>
            <w:tcW w:w="683" w:type="pct"/>
            <w:tcBorders>
              <w:top w:val="single" w:sz="4" w:space="0" w:color="auto"/>
              <w:left w:val="single" w:sz="4" w:space="0" w:color="auto"/>
              <w:bottom w:val="single" w:sz="4" w:space="0" w:color="auto"/>
              <w:right w:val="single" w:sz="4" w:space="0" w:color="auto"/>
            </w:tcBorders>
            <w:hideMark/>
          </w:tcPr>
          <w:p w14:paraId="24BDD25E" w14:textId="77777777" w:rsidR="00D03A4F" w:rsidRPr="00614092" w:rsidRDefault="00D03A4F" w:rsidP="00D03A4F">
            <w:pPr>
              <w:spacing w:before="60" w:after="60" w:line="240" w:lineRule="auto"/>
              <w:jc w:val="center"/>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менее 16</w:t>
            </w:r>
          </w:p>
        </w:tc>
        <w:tc>
          <w:tcPr>
            <w:tcW w:w="683" w:type="pct"/>
            <w:tcBorders>
              <w:top w:val="single" w:sz="4" w:space="0" w:color="auto"/>
              <w:left w:val="single" w:sz="4" w:space="0" w:color="auto"/>
              <w:bottom w:val="single" w:sz="4" w:space="0" w:color="auto"/>
              <w:right w:val="single" w:sz="4" w:space="0" w:color="auto"/>
            </w:tcBorders>
            <w:hideMark/>
          </w:tcPr>
          <w:p w14:paraId="213C3053" w14:textId="77777777" w:rsidR="00D03A4F" w:rsidRPr="00614092" w:rsidRDefault="00D03A4F" w:rsidP="00D03A4F">
            <w:pPr>
              <w:spacing w:before="60" w:after="60" w:line="240" w:lineRule="auto"/>
              <w:jc w:val="center"/>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16-20</w:t>
            </w:r>
          </w:p>
        </w:tc>
        <w:tc>
          <w:tcPr>
            <w:tcW w:w="684" w:type="pct"/>
            <w:tcBorders>
              <w:top w:val="single" w:sz="4" w:space="0" w:color="auto"/>
              <w:left w:val="single" w:sz="4" w:space="0" w:color="auto"/>
              <w:bottom w:val="single" w:sz="4" w:space="0" w:color="auto"/>
              <w:right w:val="single" w:sz="4" w:space="0" w:color="auto"/>
            </w:tcBorders>
            <w:hideMark/>
          </w:tcPr>
          <w:p w14:paraId="1D16ACC5" w14:textId="77777777" w:rsidR="00D03A4F" w:rsidRPr="00614092" w:rsidRDefault="00D03A4F" w:rsidP="00D03A4F">
            <w:pPr>
              <w:spacing w:before="60" w:after="60" w:line="240" w:lineRule="auto"/>
              <w:jc w:val="center"/>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21-30</w:t>
            </w:r>
          </w:p>
        </w:tc>
        <w:tc>
          <w:tcPr>
            <w:tcW w:w="683" w:type="pct"/>
            <w:tcBorders>
              <w:top w:val="single" w:sz="4" w:space="0" w:color="auto"/>
              <w:left w:val="single" w:sz="4" w:space="0" w:color="auto"/>
              <w:bottom w:val="single" w:sz="4" w:space="0" w:color="auto"/>
              <w:right w:val="single" w:sz="4" w:space="0" w:color="auto"/>
            </w:tcBorders>
            <w:hideMark/>
          </w:tcPr>
          <w:p w14:paraId="09EEBDC6" w14:textId="77777777" w:rsidR="00D03A4F" w:rsidRPr="00614092" w:rsidRDefault="00D03A4F" w:rsidP="00D03A4F">
            <w:pPr>
              <w:spacing w:before="60" w:after="60" w:line="240" w:lineRule="auto"/>
              <w:jc w:val="center"/>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31-40</w:t>
            </w:r>
          </w:p>
        </w:tc>
        <w:tc>
          <w:tcPr>
            <w:tcW w:w="688" w:type="pct"/>
            <w:tcBorders>
              <w:top w:val="single" w:sz="4" w:space="0" w:color="auto"/>
              <w:left w:val="single" w:sz="4" w:space="0" w:color="auto"/>
              <w:bottom w:val="single" w:sz="4" w:space="0" w:color="auto"/>
              <w:right w:val="single" w:sz="4" w:space="0" w:color="auto"/>
            </w:tcBorders>
            <w:hideMark/>
          </w:tcPr>
          <w:p w14:paraId="26F3199A" w14:textId="77777777" w:rsidR="00D03A4F" w:rsidRPr="00614092" w:rsidRDefault="00D03A4F" w:rsidP="00D03A4F">
            <w:pPr>
              <w:spacing w:before="60" w:after="60" w:line="240" w:lineRule="auto"/>
              <w:jc w:val="center"/>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41</w:t>
            </w:r>
            <w:r w:rsidR="00FF62DF">
              <w:rPr>
                <w:rFonts w:ascii="Times New Roman" w:eastAsia="Times New Roman" w:hAnsi="Times New Roman" w:cs="Times New Roman"/>
                <w:sz w:val="24"/>
                <w:szCs w:val="24"/>
                <w:lang w:eastAsia="ru-RU"/>
              </w:rPr>
              <w:t xml:space="preserve"> </w:t>
            </w:r>
            <w:r w:rsidRPr="00614092">
              <w:rPr>
                <w:rFonts w:ascii="Times New Roman" w:eastAsia="Times New Roman" w:hAnsi="Times New Roman" w:cs="Times New Roman"/>
                <w:sz w:val="24"/>
                <w:szCs w:val="24"/>
                <w:lang w:eastAsia="ru-RU"/>
              </w:rPr>
              <w:t>и более</w:t>
            </w:r>
          </w:p>
        </w:tc>
      </w:tr>
      <w:tr w:rsidR="00D03A4F" w:rsidRPr="00614092" w14:paraId="7A1F8C33" w14:textId="77777777" w:rsidTr="00944CB1">
        <w:trPr>
          <w:cantSplit/>
          <w:trHeight w:val="41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0192DC71" w14:textId="77777777"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2018 г.</w:t>
            </w:r>
          </w:p>
        </w:tc>
      </w:tr>
      <w:tr w:rsidR="00D03A4F" w:rsidRPr="00614092" w14:paraId="5467B37B" w14:textId="77777777"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14:paraId="275286BA" w14:textId="77777777" w:rsidR="00D03A4F" w:rsidRPr="00614092" w:rsidRDefault="00D03A4F" w:rsidP="00D03A4F">
            <w:pPr>
              <w:spacing w:after="0" w:line="240" w:lineRule="auto"/>
              <w:rPr>
                <w:rFonts w:ascii="Times New Roman" w:eastAsia="Times New Roman" w:hAnsi="Times New Roman" w:cs="Times New Roman"/>
                <w:b/>
                <w:sz w:val="24"/>
                <w:szCs w:val="24"/>
                <w:lang w:eastAsia="ru-RU"/>
              </w:rPr>
            </w:pPr>
            <w:r w:rsidRPr="00614092">
              <w:rPr>
                <w:rFonts w:ascii="Times New Roman" w:eastAsia="Times New Roman" w:hAnsi="Times New Roman" w:cs="Times New Roman"/>
                <w:b/>
                <w:sz w:val="24"/>
                <w:szCs w:val="24"/>
                <w:lang w:eastAsia="ru-RU"/>
              </w:rPr>
              <w:t>Всего</w:t>
            </w:r>
          </w:p>
        </w:tc>
        <w:tc>
          <w:tcPr>
            <w:tcW w:w="667" w:type="pct"/>
            <w:tcBorders>
              <w:top w:val="single" w:sz="4" w:space="0" w:color="auto"/>
              <w:left w:val="single" w:sz="4" w:space="0" w:color="auto"/>
              <w:bottom w:val="single" w:sz="4" w:space="0" w:color="auto"/>
              <w:right w:val="single" w:sz="4" w:space="0" w:color="auto"/>
            </w:tcBorders>
            <w:vAlign w:val="center"/>
          </w:tcPr>
          <w:p w14:paraId="240758E0" w14:textId="77777777"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408,5</w:t>
            </w:r>
          </w:p>
        </w:tc>
        <w:tc>
          <w:tcPr>
            <w:tcW w:w="683" w:type="pct"/>
            <w:tcBorders>
              <w:top w:val="single" w:sz="4" w:space="0" w:color="auto"/>
              <w:left w:val="single" w:sz="4" w:space="0" w:color="auto"/>
              <w:bottom w:val="single" w:sz="4" w:space="0" w:color="auto"/>
              <w:right w:val="single" w:sz="4" w:space="0" w:color="auto"/>
            </w:tcBorders>
            <w:vAlign w:val="center"/>
          </w:tcPr>
          <w:p w14:paraId="48E951E8" w14:textId="77777777"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380,3</w:t>
            </w:r>
          </w:p>
        </w:tc>
        <w:tc>
          <w:tcPr>
            <w:tcW w:w="683" w:type="pct"/>
            <w:tcBorders>
              <w:top w:val="single" w:sz="4" w:space="0" w:color="auto"/>
              <w:left w:val="single" w:sz="4" w:space="0" w:color="auto"/>
              <w:bottom w:val="single" w:sz="4" w:space="0" w:color="auto"/>
              <w:right w:val="single" w:sz="4" w:space="0" w:color="auto"/>
            </w:tcBorders>
            <w:vAlign w:val="center"/>
          </w:tcPr>
          <w:p w14:paraId="39F80487" w14:textId="77777777"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18,2</w:t>
            </w:r>
          </w:p>
        </w:tc>
        <w:tc>
          <w:tcPr>
            <w:tcW w:w="684" w:type="pct"/>
            <w:tcBorders>
              <w:top w:val="single" w:sz="4" w:space="0" w:color="auto"/>
              <w:left w:val="single" w:sz="4" w:space="0" w:color="auto"/>
              <w:bottom w:val="single" w:sz="4" w:space="0" w:color="auto"/>
              <w:right w:val="single" w:sz="4" w:space="0" w:color="auto"/>
            </w:tcBorders>
            <w:vAlign w:val="center"/>
          </w:tcPr>
          <w:p w14:paraId="7AD28150" w14:textId="77777777"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8,5</w:t>
            </w:r>
          </w:p>
        </w:tc>
        <w:tc>
          <w:tcPr>
            <w:tcW w:w="683" w:type="pct"/>
            <w:tcBorders>
              <w:top w:val="single" w:sz="4" w:space="0" w:color="auto"/>
              <w:left w:val="single" w:sz="4" w:space="0" w:color="auto"/>
              <w:bottom w:val="single" w:sz="4" w:space="0" w:color="auto"/>
              <w:right w:val="single" w:sz="4" w:space="0" w:color="auto"/>
            </w:tcBorders>
            <w:vAlign w:val="center"/>
          </w:tcPr>
          <w:p w14:paraId="78B7C4D5" w14:textId="77777777"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1,1</w:t>
            </w:r>
          </w:p>
        </w:tc>
        <w:tc>
          <w:tcPr>
            <w:tcW w:w="688" w:type="pct"/>
            <w:tcBorders>
              <w:top w:val="single" w:sz="4" w:space="0" w:color="auto"/>
              <w:left w:val="single" w:sz="4" w:space="0" w:color="auto"/>
              <w:bottom w:val="single" w:sz="4" w:space="0" w:color="auto"/>
              <w:right w:val="single" w:sz="4" w:space="0" w:color="auto"/>
            </w:tcBorders>
            <w:vAlign w:val="center"/>
          </w:tcPr>
          <w:p w14:paraId="3D071970" w14:textId="77777777"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0,4</w:t>
            </w:r>
          </w:p>
        </w:tc>
      </w:tr>
      <w:tr w:rsidR="00D03A4F" w:rsidRPr="00614092" w14:paraId="16BA2DDC" w14:textId="77777777"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14:paraId="295D4EB3" w14:textId="77777777" w:rsidR="00D03A4F" w:rsidRPr="00614092" w:rsidRDefault="00D03A4F" w:rsidP="00D03A4F">
            <w:pPr>
              <w:spacing w:after="0" w:line="240" w:lineRule="auto"/>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мужчины</w:t>
            </w:r>
          </w:p>
        </w:tc>
        <w:tc>
          <w:tcPr>
            <w:tcW w:w="667" w:type="pct"/>
            <w:tcBorders>
              <w:top w:val="single" w:sz="4" w:space="0" w:color="auto"/>
              <w:left w:val="single" w:sz="4" w:space="0" w:color="auto"/>
              <w:bottom w:val="single" w:sz="4" w:space="0" w:color="auto"/>
              <w:right w:val="single" w:sz="4" w:space="0" w:color="auto"/>
            </w:tcBorders>
            <w:vAlign w:val="center"/>
          </w:tcPr>
          <w:p w14:paraId="7BA0FAC5" w14:textId="77777777"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215,2</w:t>
            </w:r>
          </w:p>
        </w:tc>
        <w:tc>
          <w:tcPr>
            <w:tcW w:w="683" w:type="pct"/>
            <w:tcBorders>
              <w:top w:val="single" w:sz="4" w:space="0" w:color="auto"/>
              <w:left w:val="single" w:sz="4" w:space="0" w:color="auto"/>
              <w:bottom w:val="single" w:sz="4" w:space="0" w:color="auto"/>
              <w:right w:val="single" w:sz="4" w:space="0" w:color="auto"/>
            </w:tcBorders>
            <w:vAlign w:val="center"/>
          </w:tcPr>
          <w:p w14:paraId="69C15E49" w14:textId="77777777"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198,9</w:t>
            </w:r>
          </w:p>
        </w:tc>
        <w:tc>
          <w:tcPr>
            <w:tcW w:w="683" w:type="pct"/>
            <w:tcBorders>
              <w:top w:val="single" w:sz="4" w:space="0" w:color="auto"/>
              <w:left w:val="single" w:sz="4" w:space="0" w:color="auto"/>
              <w:bottom w:val="single" w:sz="4" w:space="0" w:color="auto"/>
              <w:right w:val="single" w:sz="4" w:space="0" w:color="auto"/>
            </w:tcBorders>
            <w:vAlign w:val="center"/>
          </w:tcPr>
          <w:p w14:paraId="3A4B0723" w14:textId="77777777"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11,1</w:t>
            </w:r>
          </w:p>
        </w:tc>
        <w:tc>
          <w:tcPr>
            <w:tcW w:w="684" w:type="pct"/>
            <w:tcBorders>
              <w:top w:val="single" w:sz="4" w:space="0" w:color="auto"/>
              <w:left w:val="single" w:sz="4" w:space="0" w:color="auto"/>
              <w:bottom w:val="single" w:sz="4" w:space="0" w:color="auto"/>
              <w:right w:val="single" w:sz="4" w:space="0" w:color="auto"/>
            </w:tcBorders>
            <w:vAlign w:val="center"/>
          </w:tcPr>
          <w:p w14:paraId="6B5DA3C7" w14:textId="77777777"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4,7</w:t>
            </w:r>
          </w:p>
        </w:tc>
        <w:tc>
          <w:tcPr>
            <w:tcW w:w="683" w:type="pct"/>
            <w:tcBorders>
              <w:top w:val="single" w:sz="4" w:space="0" w:color="auto"/>
              <w:left w:val="single" w:sz="4" w:space="0" w:color="auto"/>
              <w:bottom w:val="single" w:sz="4" w:space="0" w:color="auto"/>
              <w:right w:val="single" w:sz="4" w:space="0" w:color="auto"/>
            </w:tcBorders>
            <w:vAlign w:val="center"/>
          </w:tcPr>
          <w:p w14:paraId="0260EFE0" w14:textId="77777777"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0,5</w:t>
            </w:r>
          </w:p>
        </w:tc>
        <w:tc>
          <w:tcPr>
            <w:tcW w:w="688" w:type="pct"/>
            <w:tcBorders>
              <w:top w:val="single" w:sz="4" w:space="0" w:color="auto"/>
              <w:left w:val="single" w:sz="4" w:space="0" w:color="auto"/>
              <w:bottom w:val="single" w:sz="4" w:space="0" w:color="auto"/>
              <w:right w:val="single" w:sz="4" w:space="0" w:color="auto"/>
            </w:tcBorders>
            <w:vAlign w:val="center"/>
          </w:tcPr>
          <w:p w14:paraId="5BDF0B1D" w14:textId="77777777"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0,1</w:t>
            </w:r>
          </w:p>
        </w:tc>
      </w:tr>
      <w:tr w:rsidR="00D03A4F" w:rsidRPr="00614092" w14:paraId="70514399" w14:textId="77777777"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14:paraId="7F7DFEA0" w14:textId="77777777" w:rsidR="00D03A4F" w:rsidRPr="00614092" w:rsidRDefault="00D03A4F" w:rsidP="00D03A4F">
            <w:pPr>
              <w:spacing w:after="0" w:line="240" w:lineRule="auto"/>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женщины</w:t>
            </w:r>
          </w:p>
        </w:tc>
        <w:tc>
          <w:tcPr>
            <w:tcW w:w="667" w:type="pct"/>
            <w:tcBorders>
              <w:top w:val="single" w:sz="4" w:space="0" w:color="auto"/>
              <w:left w:val="single" w:sz="4" w:space="0" w:color="auto"/>
              <w:bottom w:val="single" w:sz="4" w:space="0" w:color="auto"/>
              <w:right w:val="single" w:sz="4" w:space="0" w:color="auto"/>
            </w:tcBorders>
            <w:vAlign w:val="center"/>
          </w:tcPr>
          <w:p w14:paraId="1F9E38B0" w14:textId="77777777"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193,3</w:t>
            </w:r>
          </w:p>
        </w:tc>
        <w:tc>
          <w:tcPr>
            <w:tcW w:w="683" w:type="pct"/>
            <w:tcBorders>
              <w:top w:val="single" w:sz="4" w:space="0" w:color="auto"/>
              <w:left w:val="single" w:sz="4" w:space="0" w:color="auto"/>
              <w:bottom w:val="single" w:sz="4" w:space="0" w:color="auto"/>
              <w:right w:val="single" w:sz="4" w:space="0" w:color="auto"/>
            </w:tcBorders>
            <w:vAlign w:val="center"/>
          </w:tcPr>
          <w:p w14:paraId="13F17575" w14:textId="77777777"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181,5</w:t>
            </w:r>
          </w:p>
        </w:tc>
        <w:tc>
          <w:tcPr>
            <w:tcW w:w="683" w:type="pct"/>
            <w:tcBorders>
              <w:top w:val="single" w:sz="4" w:space="0" w:color="auto"/>
              <w:left w:val="single" w:sz="4" w:space="0" w:color="auto"/>
              <w:bottom w:val="single" w:sz="4" w:space="0" w:color="auto"/>
              <w:right w:val="single" w:sz="4" w:space="0" w:color="auto"/>
            </w:tcBorders>
            <w:vAlign w:val="center"/>
          </w:tcPr>
          <w:p w14:paraId="3133C1DA" w14:textId="77777777"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7,1</w:t>
            </w:r>
          </w:p>
        </w:tc>
        <w:tc>
          <w:tcPr>
            <w:tcW w:w="684" w:type="pct"/>
            <w:tcBorders>
              <w:top w:val="single" w:sz="4" w:space="0" w:color="auto"/>
              <w:left w:val="single" w:sz="4" w:space="0" w:color="auto"/>
              <w:bottom w:val="single" w:sz="4" w:space="0" w:color="auto"/>
              <w:right w:val="single" w:sz="4" w:space="0" w:color="auto"/>
            </w:tcBorders>
            <w:vAlign w:val="center"/>
          </w:tcPr>
          <w:p w14:paraId="29A09273" w14:textId="77777777"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3,9</w:t>
            </w:r>
          </w:p>
        </w:tc>
        <w:tc>
          <w:tcPr>
            <w:tcW w:w="683" w:type="pct"/>
            <w:tcBorders>
              <w:top w:val="single" w:sz="4" w:space="0" w:color="auto"/>
              <w:left w:val="single" w:sz="4" w:space="0" w:color="auto"/>
              <w:bottom w:val="single" w:sz="4" w:space="0" w:color="auto"/>
              <w:right w:val="single" w:sz="4" w:space="0" w:color="auto"/>
            </w:tcBorders>
            <w:vAlign w:val="center"/>
          </w:tcPr>
          <w:p w14:paraId="101F1FD8" w14:textId="77777777"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0,6</w:t>
            </w:r>
          </w:p>
        </w:tc>
        <w:tc>
          <w:tcPr>
            <w:tcW w:w="688" w:type="pct"/>
            <w:tcBorders>
              <w:top w:val="single" w:sz="4" w:space="0" w:color="auto"/>
              <w:left w:val="single" w:sz="4" w:space="0" w:color="auto"/>
              <w:bottom w:val="single" w:sz="4" w:space="0" w:color="auto"/>
              <w:right w:val="single" w:sz="4" w:space="0" w:color="auto"/>
            </w:tcBorders>
            <w:vAlign w:val="center"/>
          </w:tcPr>
          <w:p w14:paraId="151561AF" w14:textId="77777777"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0,3</w:t>
            </w:r>
          </w:p>
        </w:tc>
      </w:tr>
      <w:tr w:rsidR="00D03A4F" w:rsidRPr="00614092" w14:paraId="761836DE" w14:textId="77777777" w:rsidTr="00944CB1">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14:paraId="789B3A4B" w14:textId="77777777"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2019 г.</w:t>
            </w:r>
          </w:p>
        </w:tc>
      </w:tr>
      <w:tr w:rsidR="00D03A4F" w:rsidRPr="00614092" w14:paraId="5176C34A" w14:textId="77777777"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14:paraId="19FDEAF2" w14:textId="77777777" w:rsidR="00D03A4F" w:rsidRPr="00614092" w:rsidRDefault="00D03A4F" w:rsidP="00D03A4F">
            <w:pPr>
              <w:spacing w:after="0" w:line="240" w:lineRule="auto"/>
              <w:rPr>
                <w:rFonts w:ascii="Times New Roman" w:eastAsia="Times New Roman" w:hAnsi="Times New Roman" w:cs="Times New Roman"/>
                <w:b/>
                <w:sz w:val="24"/>
                <w:szCs w:val="24"/>
                <w:lang w:eastAsia="ru-RU"/>
              </w:rPr>
            </w:pPr>
            <w:r w:rsidRPr="00614092">
              <w:rPr>
                <w:rFonts w:ascii="Times New Roman" w:eastAsia="Times New Roman" w:hAnsi="Times New Roman" w:cs="Times New Roman"/>
                <w:b/>
                <w:sz w:val="24"/>
                <w:szCs w:val="24"/>
                <w:lang w:eastAsia="ru-RU"/>
              </w:rPr>
              <w:t>Всего</w:t>
            </w:r>
          </w:p>
        </w:tc>
        <w:tc>
          <w:tcPr>
            <w:tcW w:w="667" w:type="pct"/>
            <w:tcBorders>
              <w:top w:val="single" w:sz="4" w:space="0" w:color="auto"/>
              <w:left w:val="single" w:sz="4" w:space="0" w:color="auto"/>
              <w:bottom w:val="single" w:sz="4" w:space="0" w:color="auto"/>
              <w:right w:val="single" w:sz="4" w:space="0" w:color="auto"/>
            </w:tcBorders>
            <w:vAlign w:val="center"/>
          </w:tcPr>
          <w:p w14:paraId="3D2B08FA" w14:textId="77777777"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411,2</w:t>
            </w:r>
          </w:p>
        </w:tc>
        <w:tc>
          <w:tcPr>
            <w:tcW w:w="683" w:type="pct"/>
            <w:tcBorders>
              <w:top w:val="single" w:sz="4" w:space="0" w:color="auto"/>
              <w:left w:val="single" w:sz="4" w:space="0" w:color="auto"/>
              <w:bottom w:val="single" w:sz="4" w:space="0" w:color="auto"/>
              <w:right w:val="single" w:sz="4" w:space="0" w:color="auto"/>
            </w:tcBorders>
            <w:vAlign w:val="center"/>
          </w:tcPr>
          <w:p w14:paraId="3704281A" w14:textId="77777777"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386,8</w:t>
            </w:r>
          </w:p>
        </w:tc>
        <w:tc>
          <w:tcPr>
            <w:tcW w:w="683" w:type="pct"/>
            <w:tcBorders>
              <w:top w:val="single" w:sz="4" w:space="0" w:color="auto"/>
              <w:left w:val="single" w:sz="4" w:space="0" w:color="auto"/>
              <w:bottom w:val="single" w:sz="4" w:space="0" w:color="auto"/>
              <w:right w:val="single" w:sz="4" w:space="0" w:color="auto"/>
            </w:tcBorders>
            <w:vAlign w:val="center"/>
          </w:tcPr>
          <w:p w14:paraId="358339A6" w14:textId="77777777"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13,6</w:t>
            </w:r>
          </w:p>
        </w:tc>
        <w:tc>
          <w:tcPr>
            <w:tcW w:w="684" w:type="pct"/>
            <w:tcBorders>
              <w:top w:val="single" w:sz="4" w:space="0" w:color="auto"/>
              <w:left w:val="single" w:sz="4" w:space="0" w:color="auto"/>
              <w:bottom w:val="single" w:sz="4" w:space="0" w:color="auto"/>
              <w:right w:val="single" w:sz="4" w:space="0" w:color="auto"/>
            </w:tcBorders>
            <w:vAlign w:val="center"/>
          </w:tcPr>
          <w:p w14:paraId="064764BC" w14:textId="77777777"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8,7</w:t>
            </w:r>
          </w:p>
        </w:tc>
        <w:tc>
          <w:tcPr>
            <w:tcW w:w="683" w:type="pct"/>
            <w:tcBorders>
              <w:top w:val="single" w:sz="4" w:space="0" w:color="auto"/>
              <w:left w:val="single" w:sz="4" w:space="0" w:color="auto"/>
              <w:bottom w:val="single" w:sz="4" w:space="0" w:color="auto"/>
              <w:right w:val="single" w:sz="4" w:space="0" w:color="auto"/>
            </w:tcBorders>
            <w:vAlign w:val="center"/>
          </w:tcPr>
          <w:p w14:paraId="7BF02216" w14:textId="77777777"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1,1</w:t>
            </w:r>
          </w:p>
        </w:tc>
        <w:tc>
          <w:tcPr>
            <w:tcW w:w="688" w:type="pct"/>
            <w:tcBorders>
              <w:top w:val="single" w:sz="4" w:space="0" w:color="auto"/>
              <w:left w:val="single" w:sz="4" w:space="0" w:color="auto"/>
              <w:bottom w:val="single" w:sz="4" w:space="0" w:color="auto"/>
              <w:right w:val="single" w:sz="4" w:space="0" w:color="auto"/>
            </w:tcBorders>
            <w:vAlign w:val="center"/>
          </w:tcPr>
          <w:p w14:paraId="4658A31F" w14:textId="77777777" w:rsidR="00D03A4F" w:rsidRPr="00614092" w:rsidRDefault="00D03A4F"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0,9</w:t>
            </w:r>
          </w:p>
        </w:tc>
      </w:tr>
      <w:tr w:rsidR="00D03A4F" w:rsidRPr="00614092" w14:paraId="08413733" w14:textId="77777777"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14:paraId="542EBE5B" w14:textId="77777777" w:rsidR="00D03A4F" w:rsidRPr="00614092" w:rsidRDefault="00D03A4F" w:rsidP="00D03A4F">
            <w:pPr>
              <w:spacing w:after="0" w:line="240" w:lineRule="auto"/>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мужчины</w:t>
            </w:r>
          </w:p>
        </w:tc>
        <w:tc>
          <w:tcPr>
            <w:tcW w:w="667" w:type="pct"/>
            <w:tcBorders>
              <w:top w:val="single" w:sz="4" w:space="0" w:color="auto"/>
              <w:left w:val="single" w:sz="4" w:space="0" w:color="auto"/>
              <w:bottom w:val="single" w:sz="4" w:space="0" w:color="auto"/>
              <w:right w:val="single" w:sz="4" w:space="0" w:color="auto"/>
            </w:tcBorders>
            <w:vAlign w:val="center"/>
          </w:tcPr>
          <w:p w14:paraId="2049860C" w14:textId="77777777"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214,4</w:t>
            </w:r>
          </w:p>
        </w:tc>
        <w:tc>
          <w:tcPr>
            <w:tcW w:w="683" w:type="pct"/>
            <w:tcBorders>
              <w:top w:val="single" w:sz="4" w:space="0" w:color="auto"/>
              <w:left w:val="single" w:sz="4" w:space="0" w:color="auto"/>
              <w:bottom w:val="single" w:sz="4" w:space="0" w:color="auto"/>
              <w:right w:val="single" w:sz="4" w:space="0" w:color="auto"/>
            </w:tcBorders>
            <w:vAlign w:val="center"/>
          </w:tcPr>
          <w:p w14:paraId="3FA83DCC" w14:textId="77777777"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201,0</w:t>
            </w:r>
          </w:p>
        </w:tc>
        <w:tc>
          <w:tcPr>
            <w:tcW w:w="683" w:type="pct"/>
            <w:tcBorders>
              <w:top w:val="single" w:sz="4" w:space="0" w:color="auto"/>
              <w:left w:val="single" w:sz="4" w:space="0" w:color="auto"/>
              <w:bottom w:val="single" w:sz="4" w:space="0" w:color="auto"/>
              <w:right w:val="single" w:sz="4" w:space="0" w:color="auto"/>
            </w:tcBorders>
            <w:vAlign w:val="center"/>
          </w:tcPr>
          <w:p w14:paraId="345780DE" w14:textId="77777777"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7,6</w:t>
            </w:r>
          </w:p>
        </w:tc>
        <w:tc>
          <w:tcPr>
            <w:tcW w:w="684" w:type="pct"/>
            <w:tcBorders>
              <w:top w:val="single" w:sz="4" w:space="0" w:color="auto"/>
              <w:left w:val="single" w:sz="4" w:space="0" w:color="auto"/>
              <w:bottom w:val="single" w:sz="4" w:space="0" w:color="auto"/>
              <w:right w:val="single" w:sz="4" w:space="0" w:color="auto"/>
            </w:tcBorders>
            <w:vAlign w:val="center"/>
          </w:tcPr>
          <w:p w14:paraId="1BF7A29C" w14:textId="77777777"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4,4</w:t>
            </w:r>
          </w:p>
        </w:tc>
        <w:tc>
          <w:tcPr>
            <w:tcW w:w="683" w:type="pct"/>
            <w:tcBorders>
              <w:top w:val="single" w:sz="4" w:space="0" w:color="auto"/>
              <w:left w:val="single" w:sz="4" w:space="0" w:color="auto"/>
              <w:bottom w:val="single" w:sz="4" w:space="0" w:color="auto"/>
              <w:right w:val="single" w:sz="4" w:space="0" w:color="auto"/>
            </w:tcBorders>
            <w:vAlign w:val="center"/>
          </w:tcPr>
          <w:p w14:paraId="06260BF9" w14:textId="77777777"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0,8</w:t>
            </w:r>
          </w:p>
        </w:tc>
        <w:tc>
          <w:tcPr>
            <w:tcW w:w="688" w:type="pct"/>
            <w:tcBorders>
              <w:top w:val="single" w:sz="4" w:space="0" w:color="auto"/>
              <w:left w:val="single" w:sz="4" w:space="0" w:color="auto"/>
              <w:bottom w:val="single" w:sz="4" w:space="0" w:color="auto"/>
              <w:right w:val="single" w:sz="4" w:space="0" w:color="auto"/>
            </w:tcBorders>
            <w:vAlign w:val="center"/>
          </w:tcPr>
          <w:p w14:paraId="7CA60600" w14:textId="77777777"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0,6</w:t>
            </w:r>
          </w:p>
        </w:tc>
      </w:tr>
      <w:tr w:rsidR="00D03A4F" w:rsidRPr="00614092" w14:paraId="1EFD618E" w14:textId="77777777"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14:paraId="48EF431E" w14:textId="77777777" w:rsidR="00D03A4F" w:rsidRPr="00614092" w:rsidRDefault="00D03A4F" w:rsidP="00D03A4F">
            <w:pPr>
              <w:spacing w:after="0" w:line="240" w:lineRule="auto"/>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женщины</w:t>
            </w:r>
          </w:p>
        </w:tc>
        <w:tc>
          <w:tcPr>
            <w:tcW w:w="667" w:type="pct"/>
            <w:tcBorders>
              <w:top w:val="single" w:sz="4" w:space="0" w:color="auto"/>
              <w:left w:val="single" w:sz="4" w:space="0" w:color="auto"/>
              <w:bottom w:val="single" w:sz="4" w:space="0" w:color="auto"/>
              <w:right w:val="single" w:sz="4" w:space="0" w:color="auto"/>
            </w:tcBorders>
            <w:vAlign w:val="center"/>
          </w:tcPr>
          <w:p w14:paraId="1DEEBA74" w14:textId="77777777"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196,8</w:t>
            </w:r>
          </w:p>
        </w:tc>
        <w:tc>
          <w:tcPr>
            <w:tcW w:w="683" w:type="pct"/>
            <w:tcBorders>
              <w:top w:val="single" w:sz="4" w:space="0" w:color="auto"/>
              <w:left w:val="single" w:sz="4" w:space="0" w:color="auto"/>
              <w:bottom w:val="single" w:sz="4" w:space="0" w:color="auto"/>
              <w:right w:val="single" w:sz="4" w:space="0" w:color="auto"/>
            </w:tcBorders>
            <w:vAlign w:val="center"/>
          </w:tcPr>
          <w:p w14:paraId="6A73C4D6" w14:textId="77777777"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185,8</w:t>
            </w:r>
          </w:p>
        </w:tc>
        <w:tc>
          <w:tcPr>
            <w:tcW w:w="683" w:type="pct"/>
            <w:tcBorders>
              <w:top w:val="single" w:sz="4" w:space="0" w:color="auto"/>
              <w:left w:val="single" w:sz="4" w:space="0" w:color="auto"/>
              <w:bottom w:val="single" w:sz="4" w:space="0" w:color="auto"/>
              <w:right w:val="single" w:sz="4" w:space="0" w:color="auto"/>
            </w:tcBorders>
            <w:vAlign w:val="center"/>
          </w:tcPr>
          <w:p w14:paraId="765337A1" w14:textId="77777777"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6,0</w:t>
            </w:r>
          </w:p>
        </w:tc>
        <w:tc>
          <w:tcPr>
            <w:tcW w:w="684" w:type="pct"/>
            <w:tcBorders>
              <w:top w:val="single" w:sz="4" w:space="0" w:color="auto"/>
              <w:left w:val="single" w:sz="4" w:space="0" w:color="auto"/>
              <w:bottom w:val="single" w:sz="4" w:space="0" w:color="auto"/>
              <w:right w:val="single" w:sz="4" w:space="0" w:color="auto"/>
            </w:tcBorders>
            <w:vAlign w:val="center"/>
          </w:tcPr>
          <w:p w14:paraId="718A1F49" w14:textId="77777777"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4,4</w:t>
            </w:r>
          </w:p>
        </w:tc>
        <w:tc>
          <w:tcPr>
            <w:tcW w:w="683" w:type="pct"/>
            <w:tcBorders>
              <w:top w:val="single" w:sz="4" w:space="0" w:color="auto"/>
              <w:left w:val="single" w:sz="4" w:space="0" w:color="auto"/>
              <w:bottom w:val="single" w:sz="4" w:space="0" w:color="auto"/>
              <w:right w:val="single" w:sz="4" w:space="0" w:color="auto"/>
            </w:tcBorders>
            <w:vAlign w:val="center"/>
          </w:tcPr>
          <w:p w14:paraId="5ADF20D7" w14:textId="77777777"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0,3</w:t>
            </w:r>
          </w:p>
        </w:tc>
        <w:tc>
          <w:tcPr>
            <w:tcW w:w="688" w:type="pct"/>
            <w:tcBorders>
              <w:top w:val="single" w:sz="4" w:space="0" w:color="auto"/>
              <w:left w:val="single" w:sz="4" w:space="0" w:color="auto"/>
              <w:bottom w:val="single" w:sz="4" w:space="0" w:color="auto"/>
              <w:right w:val="single" w:sz="4" w:space="0" w:color="auto"/>
            </w:tcBorders>
            <w:vAlign w:val="center"/>
          </w:tcPr>
          <w:p w14:paraId="3CFBB28B" w14:textId="77777777" w:rsidR="00D03A4F" w:rsidRPr="00614092" w:rsidRDefault="00D03A4F"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0,3</w:t>
            </w:r>
          </w:p>
        </w:tc>
      </w:tr>
      <w:tr w:rsidR="009860C9" w:rsidRPr="00614092" w14:paraId="46F546F3" w14:textId="77777777" w:rsidTr="009860C9">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14:paraId="79943D01" w14:textId="77777777" w:rsidR="009860C9" w:rsidRPr="00614092" w:rsidRDefault="009860C9"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2020 г.</w:t>
            </w:r>
          </w:p>
        </w:tc>
      </w:tr>
      <w:tr w:rsidR="009860C9" w:rsidRPr="00614092" w14:paraId="5021EBDE" w14:textId="77777777"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14:paraId="4AAFAE38" w14:textId="77777777" w:rsidR="009860C9" w:rsidRPr="00614092" w:rsidRDefault="009860C9" w:rsidP="009860C9">
            <w:pPr>
              <w:spacing w:after="0" w:line="240" w:lineRule="auto"/>
              <w:rPr>
                <w:rFonts w:ascii="Times New Roman" w:eastAsia="Times New Roman" w:hAnsi="Times New Roman" w:cs="Times New Roman"/>
                <w:b/>
                <w:sz w:val="24"/>
                <w:szCs w:val="24"/>
                <w:lang w:eastAsia="ru-RU"/>
              </w:rPr>
            </w:pPr>
            <w:r w:rsidRPr="00614092">
              <w:rPr>
                <w:rFonts w:ascii="Times New Roman" w:eastAsia="Times New Roman" w:hAnsi="Times New Roman" w:cs="Times New Roman"/>
                <w:b/>
                <w:sz w:val="24"/>
                <w:szCs w:val="24"/>
                <w:lang w:eastAsia="ru-RU"/>
              </w:rPr>
              <w:t>Всего</w:t>
            </w:r>
          </w:p>
        </w:tc>
        <w:tc>
          <w:tcPr>
            <w:tcW w:w="667" w:type="pct"/>
            <w:tcBorders>
              <w:top w:val="single" w:sz="4" w:space="0" w:color="auto"/>
              <w:left w:val="single" w:sz="4" w:space="0" w:color="auto"/>
              <w:bottom w:val="single" w:sz="4" w:space="0" w:color="auto"/>
              <w:right w:val="single" w:sz="4" w:space="0" w:color="auto"/>
            </w:tcBorders>
            <w:vAlign w:val="center"/>
          </w:tcPr>
          <w:p w14:paraId="50BB814B" w14:textId="77777777" w:rsidR="009860C9" w:rsidRPr="00614092" w:rsidRDefault="009860C9"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499,7</w:t>
            </w:r>
          </w:p>
        </w:tc>
        <w:tc>
          <w:tcPr>
            <w:tcW w:w="683" w:type="pct"/>
            <w:tcBorders>
              <w:top w:val="single" w:sz="4" w:space="0" w:color="auto"/>
              <w:left w:val="single" w:sz="4" w:space="0" w:color="auto"/>
              <w:bottom w:val="single" w:sz="4" w:space="0" w:color="auto"/>
              <w:right w:val="single" w:sz="4" w:space="0" w:color="auto"/>
            </w:tcBorders>
            <w:vAlign w:val="center"/>
          </w:tcPr>
          <w:p w14:paraId="445C0A1D" w14:textId="77777777" w:rsidR="009860C9" w:rsidRPr="00614092" w:rsidRDefault="009860C9"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461,2</w:t>
            </w:r>
          </w:p>
        </w:tc>
        <w:tc>
          <w:tcPr>
            <w:tcW w:w="683" w:type="pct"/>
            <w:tcBorders>
              <w:top w:val="single" w:sz="4" w:space="0" w:color="auto"/>
              <w:left w:val="single" w:sz="4" w:space="0" w:color="auto"/>
              <w:bottom w:val="single" w:sz="4" w:space="0" w:color="auto"/>
              <w:right w:val="single" w:sz="4" w:space="0" w:color="auto"/>
            </w:tcBorders>
            <w:vAlign w:val="center"/>
          </w:tcPr>
          <w:p w14:paraId="19FCDBA5" w14:textId="77777777" w:rsidR="009860C9" w:rsidRPr="00614092" w:rsidRDefault="009860C9"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22,7</w:t>
            </w:r>
          </w:p>
        </w:tc>
        <w:tc>
          <w:tcPr>
            <w:tcW w:w="684" w:type="pct"/>
            <w:tcBorders>
              <w:top w:val="single" w:sz="4" w:space="0" w:color="auto"/>
              <w:left w:val="single" w:sz="4" w:space="0" w:color="auto"/>
              <w:bottom w:val="single" w:sz="4" w:space="0" w:color="auto"/>
              <w:right w:val="single" w:sz="4" w:space="0" w:color="auto"/>
            </w:tcBorders>
            <w:vAlign w:val="center"/>
          </w:tcPr>
          <w:p w14:paraId="14830C01" w14:textId="77777777" w:rsidR="009860C9" w:rsidRPr="00614092" w:rsidRDefault="009860C9"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13,4</w:t>
            </w:r>
          </w:p>
        </w:tc>
        <w:tc>
          <w:tcPr>
            <w:tcW w:w="683" w:type="pct"/>
            <w:tcBorders>
              <w:top w:val="single" w:sz="4" w:space="0" w:color="auto"/>
              <w:left w:val="single" w:sz="4" w:space="0" w:color="auto"/>
              <w:bottom w:val="single" w:sz="4" w:space="0" w:color="auto"/>
              <w:right w:val="single" w:sz="4" w:space="0" w:color="auto"/>
            </w:tcBorders>
            <w:vAlign w:val="center"/>
          </w:tcPr>
          <w:p w14:paraId="02704BA6" w14:textId="77777777" w:rsidR="009860C9" w:rsidRPr="00614092" w:rsidRDefault="009860C9"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1,8</w:t>
            </w:r>
          </w:p>
        </w:tc>
        <w:tc>
          <w:tcPr>
            <w:tcW w:w="688" w:type="pct"/>
            <w:tcBorders>
              <w:top w:val="single" w:sz="4" w:space="0" w:color="auto"/>
              <w:left w:val="single" w:sz="4" w:space="0" w:color="auto"/>
              <w:bottom w:val="single" w:sz="4" w:space="0" w:color="auto"/>
              <w:right w:val="single" w:sz="4" w:space="0" w:color="auto"/>
            </w:tcBorders>
            <w:vAlign w:val="center"/>
          </w:tcPr>
          <w:p w14:paraId="2912C525" w14:textId="77777777" w:rsidR="009860C9" w:rsidRPr="00614092" w:rsidRDefault="009860C9" w:rsidP="00D03A4F">
            <w:pPr>
              <w:spacing w:after="0" w:line="240" w:lineRule="auto"/>
              <w:jc w:val="center"/>
              <w:rPr>
                <w:rFonts w:ascii="Times New Roman" w:eastAsia="Times New Roman" w:hAnsi="Times New Roman" w:cs="Times New Roman"/>
                <w:b/>
                <w:bCs/>
                <w:sz w:val="24"/>
                <w:szCs w:val="24"/>
                <w:lang w:eastAsia="ru-RU"/>
              </w:rPr>
            </w:pPr>
            <w:r w:rsidRPr="00614092">
              <w:rPr>
                <w:rFonts w:ascii="Times New Roman" w:eastAsia="Times New Roman" w:hAnsi="Times New Roman" w:cs="Times New Roman"/>
                <w:b/>
                <w:bCs/>
                <w:sz w:val="24"/>
                <w:szCs w:val="24"/>
                <w:lang w:eastAsia="ru-RU"/>
              </w:rPr>
              <w:t>0,7</w:t>
            </w:r>
          </w:p>
        </w:tc>
      </w:tr>
      <w:tr w:rsidR="009860C9" w:rsidRPr="00614092" w14:paraId="1B970134" w14:textId="77777777"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14:paraId="406282CF" w14:textId="77777777" w:rsidR="009860C9" w:rsidRPr="00614092" w:rsidRDefault="009860C9" w:rsidP="009860C9">
            <w:pPr>
              <w:spacing w:after="0" w:line="240" w:lineRule="auto"/>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мужчины</w:t>
            </w:r>
          </w:p>
        </w:tc>
        <w:tc>
          <w:tcPr>
            <w:tcW w:w="667" w:type="pct"/>
            <w:tcBorders>
              <w:top w:val="single" w:sz="4" w:space="0" w:color="auto"/>
              <w:left w:val="single" w:sz="4" w:space="0" w:color="auto"/>
              <w:bottom w:val="single" w:sz="4" w:space="0" w:color="auto"/>
              <w:right w:val="single" w:sz="4" w:space="0" w:color="auto"/>
            </w:tcBorders>
            <w:vAlign w:val="center"/>
          </w:tcPr>
          <w:p w14:paraId="1E410CE7" w14:textId="77777777" w:rsidR="009860C9" w:rsidRPr="00614092" w:rsidRDefault="009860C9" w:rsidP="00173B53">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2</w:t>
            </w:r>
            <w:r w:rsidR="00173B53">
              <w:rPr>
                <w:rFonts w:ascii="Times New Roman" w:eastAsia="Times New Roman" w:hAnsi="Times New Roman" w:cs="Times New Roman"/>
                <w:bCs/>
                <w:sz w:val="24"/>
                <w:szCs w:val="24"/>
                <w:lang w:eastAsia="ru-RU"/>
              </w:rPr>
              <w:t>5</w:t>
            </w:r>
            <w:r w:rsidRPr="00614092">
              <w:rPr>
                <w:rFonts w:ascii="Times New Roman" w:eastAsia="Times New Roman" w:hAnsi="Times New Roman" w:cs="Times New Roman"/>
                <w:bCs/>
                <w:sz w:val="24"/>
                <w:szCs w:val="24"/>
                <w:lang w:eastAsia="ru-RU"/>
              </w:rPr>
              <w:t>9,4</w:t>
            </w:r>
          </w:p>
        </w:tc>
        <w:tc>
          <w:tcPr>
            <w:tcW w:w="683" w:type="pct"/>
            <w:tcBorders>
              <w:top w:val="single" w:sz="4" w:space="0" w:color="auto"/>
              <w:left w:val="single" w:sz="4" w:space="0" w:color="auto"/>
              <w:bottom w:val="single" w:sz="4" w:space="0" w:color="auto"/>
              <w:right w:val="single" w:sz="4" w:space="0" w:color="auto"/>
            </w:tcBorders>
            <w:vAlign w:val="center"/>
          </w:tcPr>
          <w:p w14:paraId="4098BB41" w14:textId="77777777" w:rsidR="009860C9" w:rsidRPr="00614092" w:rsidRDefault="009860C9"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239,4</w:t>
            </w:r>
          </w:p>
        </w:tc>
        <w:tc>
          <w:tcPr>
            <w:tcW w:w="683" w:type="pct"/>
            <w:tcBorders>
              <w:top w:val="single" w:sz="4" w:space="0" w:color="auto"/>
              <w:left w:val="single" w:sz="4" w:space="0" w:color="auto"/>
              <w:bottom w:val="single" w:sz="4" w:space="0" w:color="auto"/>
              <w:right w:val="single" w:sz="4" w:space="0" w:color="auto"/>
            </w:tcBorders>
            <w:vAlign w:val="center"/>
          </w:tcPr>
          <w:p w14:paraId="3E549570" w14:textId="77777777" w:rsidR="009860C9" w:rsidRPr="00614092" w:rsidRDefault="009860C9"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11,4</w:t>
            </w:r>
          </w:p>
        </w:tc>
        <w:tc>
          <w:tcPr>
            <w:tcW w:w="684" w:type="pct"/>
            <w:tcBorders>
              <w:top w:val="single" w:sz="4" w:space="0" w:color="auto"/>
              <w:left w:val="single" w:sz="4" w:space="0" w:color="auto"/>
              <w:bottom w:val="single" w:sz="4" w:space="0" w:color="auto"/>
              <w:right w:val="single" w:sz="4" w:space="0" w:color="auto"/>
            </w:tcBorders>
            <w:vAlign w:val="center"/>
          </w:tcPr>
          <w:p w14:paraId="4DF5C7F2" w14:textId="77777777" w:rsidR="009860C9" w:rsidRPr="00614092" w:rsidRDefault="009860C9"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7,2</w:t>
            </w:r>
          </w:p>
        </w:tc>
        <w:tc>
          <w:tcPr>
            <w:tcW w:w="683" w:type="pct"/>
            <w:tcBorders>
              <w:top w:val="single" w:sz="4" w:space="0" w:color="auto"/>
              <w:left w:val="single" w:sz="4" w:space="0" w:color="auto"/>
              <w:bottom w:val="single" w:sz="4" w:space="0" w:color="auto"/>
              <w:right w:val="single" w:sz="4" w:space="0" w:color="auto"/>
            </w:tcBorders>
            <w:vAlign w:val="center"/>
          </w:tcPr>
          <w:p w14:paraId="69047C15" w14:textId="77777777" w:rsidR="009860C9" w:rsidRPr="00614092" w:rsidRDefault="00614092"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1,0</w:t>
            </w:r>
          </w:p>
        </w:tc>
        <w:tc>
          <w:tcPr>
            <w:tcW w:w="688" w:type="pct"/>
            <w:tcBorders>
              <w:top w:val="single" w:sz="4" w:space="0" w:color="auto"/>
              <w:left w:val="single" w:sz="4" w:space="0" w:color="auto"/>
              <w:bottom w:val="single" w:sz="4" w:space="0" w:color="auto"/>
              <w:right w:val="single" w:sz="4" w:space="0" w:color="auto"/>
            </w:tcBorders>
            <w:vAlign w:val="center"/>
          </w:tcPr>
          <w:p w14:paraId="6C19246B" w14:textId="77777777" w:rsidR="009860C9" w:rsidRPr="00614092" w:rsidRDefault="00614092"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0,5</w:t>
            </w:r>
          </w:p>
        </w:tc>
      </w:tr>
      <w:tr w:rsidR="009860C9" w:rsidRPr="00BD5A90" w14:paraId="1548D582" w14:textId="77777777"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14:paraId="0B15E3C3" w14:textId="77777777" w:rsidR="009860C9" w:rsidRPr="00614092" w:rsidRDefault="009860C9" w:rsidP="009860C9">
            <w:pPr>
              <w:spacing w:after="0" w:line="240" w:lineRule="auto"/>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женщины</w:t>
            </w:r>
          </w:p>
        </w:tc>
        <w:tc>
          <w:tcPr>
            <w:tcW w:w="667" w:type="pct"/>
            <w:tcBorders>
              <w:top w:val="single" w:sz="4" w:space="0" w:color="auto"/>
              <w:left w:val="single" w:sz="4" w:space="0" w:color="auto"/>
              <w:bottom w:val="single" w:sz="4" w:space="0" w:color="auto"/>
              <w:right w:val="single" w:sz="4" w:space="0" w:color="auto"/>
            </w:tcBorders>
            <w:vAlign w:val="center"/>
          </w:tcPr>
          <w:p w14:paraId="61CF6856" w14:textId="77777777" w:rsidR="009860C9" w:rsidRPr="00614092" w:rsidRDefault="00614092"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240,3</w:t>
            </w:r>
          </w:p>
        </w:tc>
        <w:tc>
          <w:tcPr>
            <w:tcW w:w="683" w:type="pct"/>
            <w:tcBorders>
              <w:top w:val="single" w:sz="4" w:space="0" w:color="auto"/>
              <w:left w:val="single" w:sz="4" w:space="0" w:color="auto"/>
              <w:bottom w:val="single" w:sz="4" w:space="0" w:color="auto"/>
              <w:right w:val="single" w:sz="4" w:space="0" w:color="auto"/>
            </w:tcBorders>
            <w:vAlign w:val="center"/>
          </w:tcPr>
          <w:p w14:paraId="6CE2836E" w14:textId="77777777" w:rsidR="009860C9" w:rsidRPr="00614092" w:rsidRDefault="00614092"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221,8</w:t>
            </w:r>
          </w:p>
        </w:tc>
        <w:tc>
          <w:tcPr>
            <w:tcW w:w="683" w:type="pct"/>
            <w:tcBorders>
              <w:top w:val="single" w:sz="4" w:space="0" w:color="auto"/>
              <w:left w:val="single" w:sz="4" w:space="0" w:color="auto"/>
              <w:bottom w:val="single" w:sz="4" w:space="0" w:color="auto"/>
              <w:right w:val="single" w:sz="4" w:space="0" w:color="auto"/>
            </w:tcBorders>
            <w:vAlign w:val="center"/>
          </w:tcPr>
          <w:p w14:paraId="48D90B25" w14:textId="77777777" w:rsidR="009860C9" w:rsidRPr="00614092" w:rsidRDefault="00614092"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11,2</w:t>
            </w:r>
          </w:p>
        </w:tc>
        <w:tc>
          <w:tcPr>
            <w:tcW w:w="684" w:type="pct"/>
            <w:tcBorders>
              <w:top w:val="single" w:sz="4" w:space="0" w:color="auto"/>
              <w:left w:val="single" w:sz="4" w:space="0" w:color="auto"/>
              <w:bottom w:val="single" w:sz="4" w:space="0" w:color="auto"/>
              <w:right w:val="single" w:sz="4" w:space="0" w:color="auto"/>
            </w:tcBorders>
            <w:vAlign w:val="center"/>
          </w:tcPr>
          <w:p w14:paraId="498D71C4" w14:textId="77777777" w:rsidR="009860C9" w:rsidRPr="00614092" w:rsidRDefault="00614092"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6,2</w:t>
            </w:r>
          </w:p>
        </w:tc>
        <w:tc>
          <w:tcPr>
            <w:tcW w:w="683" w:type="pct"/>
            <w:tcBorders>
              <w:top w:val="single" w:sz="4" w:space="0" w:color="auto"/>
              <w:left w:val="single" w:sz="4" w:space="0" w:color="auto"/>
              <w:bottom w:val="single" w:sz="4" w:space="0" w:color="auto"/>
              <w:right w:val="single" w:sz="4" w:space="0" w:color="auto"/>
            </w:tcBorders>
            <w:vAlign w:val="center"/>
          </w:tcPr>
          <w:p w14:paraId="5252588C" w14:textId="77777777" w:rsidR="009860C9" w:rsidRPr="00614092" w:rsidRDefault="00614092"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0,8</w:t>
            </w:r>
          </w:p>
        </w:tc>
        <w:tc>
          <w:tcPr>
            <w:tcW w:w="688" w:type="pct"/>
            <w:tcBorders>
              <w:top w:val="single" w:sz="4" w:space="0" w:color="auto"/>
              <w:left w:val="single" w:sz="4" w:space="0" w:color="auto"/>
              <w:bottom w:val="single" w:sz="4" w:space="0" w:color="auto"/>
              <w:right w:val="single" w:sz="4" w:space="0" w:color="auto"/>
            </w:tcBorders>
            <w:vAlign w:val="center"/>
          </w:tcPr>
          <w:p w14:paraId="3C1BE5BA" w14:textId="77777777" w:rsidR="009860C9" w:rsidRPr="00614092" w:rsidRDefault="00614092" w:rsidP="00D03A4F">
            <w:pPr>
              <w:spacing w:after="0" w:line="240" w:lineRule="auto"/>
              <w:jc w:val="center"/>
              <w:rPr>
                <w:rFonts w:ascii="Times New Roman" w:eastAsia="Times New Roman" w:hAnsi="Times New Roman" w:cs="Times New Roman"/>
                <w:bCs/>
                <w:sz w:val="24"/>
                <w:szCs w:val="24"/>
                <w:lang w:eastAsia="ru-RU"/>
              </w:rPr>
            </w:pPr>
            <w:r w:rsidRPr="00614092">
              <w:rPr>
                <w:rFonts w:ascii="Times New Roman" w:eastAsia="Times New Roman" w:hAnsi="Times New Roman" w:cs="Times New Roman"/>
                <w:bCs/>
                <w:sz w:val="24"/>
                <w:szCs w:val="24"/>
                <w:lang w:eastAsia="ru-RU"/>
              </w:rPr>
              <w:t>0,3</w:t>
            </w:r>
          </w:p>
        </w:tc>
      </w:tr>
      <w:tr w:rsidR="00267676" w:rsidRPr="00BD5A90" w14:paraId="23BDB6D3" w14:textId="77777777" w:rsidTr="00267676">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14:paraId="263393E6" w14:textId="77777777" w:rsidR="00267676" w:rsidRPr="00267676" w:rsidRDefault="00267676" w:rsidP="00D03A4F">
            <w:pPr>
              <w:spacing w:after="0" w:line="240" w:lineRule="auto"/>
              <w:jc w:val="center"/>
              <w:rPr>
                <w:rFonts w:ascii="Times New Roman" w:eastAsia="Times New Roman" w:hAnsi="Times New Roman" w:cs="Times New Roman"/>
                <w:b/>
                <w:bCs/>
                <w:sz w:val="24"/>
                <w:szCs w:val="24"/>
                <w:lang w:eastAsia="ru-RU"/>
              </w:rPr>
            </w:pPr>
            <w:r w:rsidRPr="00267676">
              <w:rPr>
                <w:rFonts w:ascii="Times New Roman" w:eastAsia="Times New Roman" w:hAnsi="Times New Roman" w:cs="Times New Roman"/>
                <w:b/>
                <w:bCs/>
                <w:sz w:val="24"/>
                <w:szCs w:val="24"/>
                <w:lang w:eastAsia="ru-RU"/>
              </w:rPr>
              <w:t>2021 г.</w:t>
            </w:r>
          </w:p>
        </w:tc>
      </w:tr>
      <w:tr w:rsidR="00267676" w:rsidRPr="00BD5A90" w14:paraId="590FF18F" w14:textId="77777777"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14:paraId="401B6F14" w14:textId="77777777" w:rsidR="00267676" w:rsidRPr="00614092" w:rsidRDefault="00267676" w:rsidP="0048250F">
            <w:pPr>
              <w:spacing w:after="0" w:line="240" w:lineRule="auto"/>
              <w:rPr>
                <w:rFonts w:ascii="Times New Roman" w:eastAsia="Times New Roman" w:hAnsi="Times New Roman" w:cs="Times New Roman"/>
                <w:b/>
                <w:sz w:val="24"/>
                <w:szCs w:val="24"/>
                <w:lang w:eastAsia="ru-RU"/>
              </w:rPr>
            </w:pPr>
            <w:r w:rsidRPr="00614092">
              <w:rPr>
                <w:rFonts w:ascii="Times New Roman" w:eastAsia="Times New Roman" w:hAnsi="Times New Roman" w:cs="Times New Roman"/>
                <w:b/>
                <w:sz w:val="24"/>
                <w:szCs w:val="24"/>
                <w:lang w:eastAsia="ru-RU"/>
              </w:rPr>
              <w:t>Всего</w:t>
            </w:r>
          </w:p>
        </w:tc>
        <w:tc>
          <w:tcPr>
            <w:tcW w:w="667" w:type="pct"/>
            <w:tcBorders>
              <w:top w:val="single" w:sz="4" w:space="0" w:color="auto"/>
              <w:left w:val="single" w:sz="4" w:space="0" w:color="auto"/>
              <w:bottom w:val="single" w:sz="4" w:space="0" w:color="auto"/>
              <w:right w:val="single" w:sz="4" w:space="0" w:color="auto"/>
            </w:tcBorders>
            <w:vAlign w:val="center"/>
          </w:tcPr>
          <w:p w14:paraId="77813578" w14:textId="77777777" w:rsidR="00267676" w:rsidRPr="00267676" w:rsidRDefault="00267676" w:rsidP="00D03A4F">
            <w:pPr>
              <w:spacing w:after="0" w:line="240" w:lineRule="auto"/>
              <w:jc w:val="center"/>
              <w:rPr>
                <w:rFonts w:ascii="Times New Roman" w:eastAsia="Times New Roman" w:hAnsi="Times New Roman" w:cs="Times New Roman"/>
                <w:b/>
                <w:bCs/>
                <w:sz w:val="24"/>
                <w:szCs w:val="24"/>
                <w:lang w:eastAsia="ru-RU"/>
              </w:rPr>
            </w:pPr>
            <w:r w:rsidRPr="00267676">
              <w:rPr>
                <w:rFonts w:ascii="Times New Roman" w:eastAsia="Times New Roman" w:hAnsi="Times New Roman" w:cs="Times New Roman"/>
                <w:b/>
                <w:bCs/>
                <w:sz w:val="24"/>
                <w:szCs w:val="24"/>
                <w:lang w:eastAsia="ru-RU"/>
              </w:rPr>
              <w:t>434,7</w:t>
            </w:r>
          </w:p>
        </w:tc>
        <w:tc>
          <w:tcPr>
            <w:tcW w:w="683" w:type="pct"/>
            <w:tcBorders>
              <w:top w:val="single" w:sz="4" w:space="0" w:color="auto"/>
              <w:left w:val="single" w:sz="4" w:space="0" w:color="auto"/>
              <w:bottom w:val="single" w:sz="4" w:space="0" w:color="auto"/>
              <w:right w:val="single" w:sz="4" w:space="0" w:color="auto"/>
            </w:tcBorders>
            <w:vAlign w:val="center"/>
          </w:tcPr>
          <w:p w14:paraId="32ED2951" w14:textId="77777777" w:rsidR="00267676" w:rsidRPr="00267676" w:rsidRDefault="00267676" w:rsidP="00D03A4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408,7</w:t>
            </w:r>
          </w:p>
        </w:tc>
        <w:tc>
          <w:tcPr>
            <w:tcW w:w="683" w:type="pct"/>
            <w:tcBorders>
              <w:top w:val="single" w:sz="4" w:space="0" w:color="auto"/>
              <w:left w:val="single" w:sz="4" w:space="0" w:color="auto"/>
              <w:bottom w:val="single" w:sz="4" w:space="0" w:color="auto"/>
              <w:right w:val="single" w:sz="4" w:space="0" w:color="auto"/>
            </w:tcBorders>
            <w:vAlign w:val="center"/>
          </w:tcPr>
          <w:p w14:paraId="4F56D17B" w14:textId="77777777" w:rsidR="00267676" w:rsidRPr="00267676" w:rsidRDefault="00267676" w:rsidP="00D03A4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16,5</w:t>
            </w:r>
          </w:p>
        </w:tc>
        <w:tc>
          <w:tcPr>
            <w:tcW w:w="684" w:type="pct"/>
            <w:tcBorders>
              <w:top w:val="single" w:sz="4" w:space="0" w:color="auto"/>
              <w:left w:val="single" w:sz="4" w:space="0" w:color="auto"/>
              <w:bottom w:val="single" w:sz="4" w:space="0" w:color="auto"/>
              <w:right w:val="single" w:sz="4" w:space="0" w:color="auto"/>
            </w:tcBorders>
            <w:vAlign w:val="center"/>
          </w:tcPr>
          <w:p w14:paraId="50AF3958" w14:textId="77777777" w:rsidR="00267676" w:rsidRPr="00267676" w:rsidRDefault="00267676" w:rsidP="00D03A4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8,2</w:t>
            </w:r>
          </w:p>
        </w:tc>
        <w:tc>
          <w:tcPr>
            <w:tcW w:w="683" w:type="pct"/>
            <w:tcBorders>
              <w:top w:val="single" w:sz="4" w:space="0" w:color="auto"/>
              <w:left w:val="single" w:sz="4" w:space="0" w:color="auto"/>
              <w:bottom w:val="single" w:sz="4" w:space="0" w:color="auto"/>
              <w:right w:val="single" w:sz="4" w:space="0" w:color="auto"/>
            </w:tcBorders>
            <w:vAlign w:val="center"/>
          </w:tcPr>
          <w:p w14:paraId="6D37C0C1" w14:textId="77777777" w:rsidR="00267676" w:rsidRPr="00267676" w:rsidRDefault="00267676" w:rsidP="00D03A4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p>
        </w:tc>
        <w:tc>
          <w:tcPr>
            <w:tcW w:w="688" w:type="pct"/>
            <w:tcBorders>
              <w:top w:val="single" w:sz="4" w:space="0" w:color="auto"/>
              <w:left w:val="single" w:sz="4" w:space="0" w:color="auto"/>
              <w:bottom w:val="single" w:sz="4" w:space="0" w:color="auto"/>
              <w:right w:val="single" w:sz="4" w:space="0" w:color="auto"/>
            </w:tcBorders>
            <w:vAlign w:val="center"/>
          </w:tcPr>
          <w:p w14:paraId="0EEA9983" w14:textId="77777777" w:rsidR="00267676" w:rsidRPr="00267676" w:rsidRDefault="00267676" w:rsidP="00D03A4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0,4</w:t>
            </w:r>
          </w:p>
        </w:tc>
      </w:tr>
      <w:tr w:rsidR="00267676" w:rsidRPr="00BD5A90" w14:paraId="51BE14E6" w14:textId="77777777"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14:paraId="53B2D2EA" w14:textId="77777777" w:rsidR="00267676" w:rsidRPr="00614092" w:rsidRDefault="00267676" w:rsidP="0048250F">
            <w:pPr>
              <w:spacing w:after="0" w:line="240" w:lineRule="auto"/>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мужчины</w:t>
            </w:r>
          </w:p>
        </w:tc>
        <w:tc>
          <w:tcPr>
            <w:tcW w:w="667" w:type="pct"/>
            <w:tcBorders>
              <w:top w:val="single" w:sz="4" w:space="0" w:color="auto"/>
              <w:left w:val="single" w:sz="4" w:space="0" w:color="auto"/>
              <w:bottom w:val="single" w:sz="4" w:space="0" w:color="auto"/>
              <w:right w:val="single" w:sz="4" w:space="0" w:color="auto"/>
            </w:tcBorders>
            <w:vAlign w:val="center"/>
          </w:tcPr>
          <w:p w14:paraId="0E523E4B" w14:textId="77777777" w:rsidR="00267676" w:rsidRPr="00614092" w:rsidRDefault="00267676" w:rsidP="00D03A4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225,1</w:t>
            </w:r>
          </w:p>
        </w:tc>
        <w:tc>
          <w:tcPr>
            <w:tcW w:w="683" w:type="pct"/>
            <w:tcBorders>
              <w:top w:val="single" w:sz="4" w:space="0" w:color="auto"/>
              <w:left w:val="single" w:sz="4" w:space="0" w:color="auto"/>
              <w:bottom w:val="single" w:sz="4" w:space="0" w:color="auto"/>
              <w:right w:val="single" w:sz="4" w:space="0" w:color="auto"/>
            </w:tcBorders>
            <w:vAlign w:val="center"/>
          </w:tcPr>
          <w:p w14:paraId="042C6A36" w14:textId="77777777" w:rsidR="00267676" w:rsidRPr="00614092" w:rsidRDefault="00267676" w:rsidP="00D03A4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210,1</w:t>
            </w:r>
          </w:p>
        </w:tc>
        <w:tc>
          <w:tcPr>
            <w:tcW w:w="683" w:type="pct"/>
            <w:tcBorders>
              <w:top w:val="single" w:sz="4" w:space="0" w:color="auto"/>
              <w:left w:val="single" w:sz="4" w:space="0" w:color="auto"/>
              <w:bottom w:val="single" w:sz="4" w:space="0" w:color="auto"/>
              <w:right w:val="single" w:sz="4" w:space="0" w:color="auto"/>
            </w:tcBorders>
            <w:vAlign w:val="center"/>
          </w:tcPr>
          <w:p w14:paraId="36F35E7A" w14:textId="77777777" w:rsidR="00267676" w:rsidRPr="00614092" w:rsidRDefault="00267676" w:rsidP="00D03A4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9,0</w:t>
            </w:r>
          </w:p>
        </w:tc>
        <w:tc>
          <w:tcPr>
            <w:tcW w:w="684" w:type="pct"/>
            <w:tcBorders>
              <w:top w:val="single" w:sz="4" w:space="0" w:color="auto"/>
              <w:left w:val="single" w:sz="4" w:space="0" w:color="auto"/>
              <w:bottom w:val="single" w:sz="4" w:space="0" w:color="auto"/>
              <w:right w:val="single" w:sz="4" w:space="0" w:color="auto"/>
            </w:tcBorders>
            <w:vAlign w:val="center"/>
          </w:tcPr>
          <w:p w14:paraId="317C4563" w14:textId="77777777" w:rsidR="00267676" w:rsidRPr="00614092" w:rsidRDefault="00267676" w:rsidP="00D03A4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4,8</w:t>
            </w:r>
          </w:p>
        </w:tc>
        <w:tc>
          <w:tcPr>
            <w:tcW w:w="683" w:type="pct"/>
            <w:tcBorders>
              <w:top w:val="single" w:sz="4" w:space="0" w:color="auto"/>
              <w:left w:val="single" w:sz="4" w:space="0" w:color="auto"/>
              <w:bottom w:val="single" w:sz="4" w:space="0" w:color="auto"/>
              <w:right w:val="single" w:sz="4" w:space="0" w:color="auto"/>
            </w:tcBorders>
            <w:vAlign w:val="center"/>
          </w:tcPr>
          <w:p w14:paraId="077EC35B" w14:textId="77777777" w:rsidR="00267676" w:rsidRPr="00614092" w:rsidRDefault="00267676" w:rsidP="00D03A4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0,8</w:t>
            </w:r>
          </w:p>
        </w:tc>
        <w:tc>
          <w:tcPr>
            <w:tcW w:w="688" w:type="pct"/>
            <w:tcBorders>
              <w:top w:val="single" w:sz="4" w:space="0" w:color="auto"/>
              <w:left w:val="single" w:sz="4" w:space="0" w:color="auto"/>
              <w:bottom w:val="single" w:sz="4" w:space="0" w:color="auto"/>
              <w:right w:val="single" w:sz="4" w:space="0" w:color="auto"/>
            </w:tcBorders>
            <w:vAlign w:val="center"/>
          </w:tcPr>
          <w:p w14:paraId="25192C1D" w14:textId="77777777" w:rsidR="00267676" w:rsidRPr="00614092" w:rsidRDefault="00267676" w:rsidP="00D03A4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0,4</w:t>
            </w:r>
          </w:p>
        </w:tc>
      </w:tr>
      <w:tr w:rsidR="00267676" w:rsidRPr="00BD5A90" w14:paraId="31C89B69" w14:textId="77777777" w:rsidTr="00944CB1">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14:paraId="04349686" w14:textId="77777777" w:rsidR="00267676" w:rsidRPr="00614092" w:rsidRDefault="00267676" w:rsidP="0048250F">
            <w:pPr>
              <w:spacing w:after="0" w:line="240" w:lineRule="auto"/>
              <w:rPr>
                <w:rFonts w:ascii="Times New Roman" w:eastAsia="Times New Roman" w:hAnsi="Times New Roman" w:cs="Times New Roman"/>
                <w:sz w:val="24"/>
                <w:szCs w:val="24"/>
                <w:lang w:eastAsia="ru-RU"/>
              </w:rPr>
            </w:pPr>
            <w:r w:rsidRPr="00614092">
              <w:rPr>
                <w:rFonts w:ascii="Times New Roman" w:eastAsia="Times New Roman" w:hAnsi="Times New Roman" w:cs="Times New Roman"/>
                <w:sz w:val="24"/>
                <w:szCs w:val="24"/>
                <w:lang w:eastAsia="ru-RU"/>
              </w:rPr>
              <w:t>женщины</w:t>
            </w:r>
          </w:p>
        </w:tc>
        <w:tc>
          <w:tcPr>
            <w:tcW w:w="667" w:type="pct"/>
            <w:tcBorders>
              <w:top w:val="single" w:sz="4" w:space="0" w:color="auto"/>
              <w:left w:val="single" w:sz="4" w:space="0" w:color="auto"/>
              <w:bottom w:val="single" w:sz="4" w:space="0" w:color="auto"/>
              <w:right w:val="single" w:sz="4" w:space="0" w:color="auto"/>
            </w:tcBorders>
            <w:vAlign w:val="center"/>
          </w:tcPr>
          <w:p w14:paraId="707F336C" w14:textId="77777777" w:rsidR="00267676" w:rsidRPr="00614092" w:rsidRDefault="00267676" w:rsidP="00D03A4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209,6</w:t>
            </w:r>
          </w:p>
        </w:tc>
        <w:tc>
          <w:tcPr>
            <w:tcW w:w="683" w:type="pct"/>
            <w:tcBorders>
              <w:top w:val="single" w:sz="4" w:space="0" w:color="auto"/>
              <w:left w:val="single" w:sz="4" w:space="0" w:color="auto"/>
              <w:bottom w:val="single" w:sz="4" w:space="0" w:color="auto"/>
              <w:right w:val="single" w:sz="4" w:space="0" w:color="auto"/>
            </w:tcBorders>
            <w:vAlign w:val="center"/>
          </w:tcPr>
          <w:p w14:paraId="5AE49E89" w14:textId="77777777" w:rsidR="00267676" w:rsidRPr="00614092" w:rsidRDefault="00267676" w:rsidP="00D03A4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198,6</w:t>
            </w:r>
          </w:p>
        </w:tc>
        <w:tc>
          <w:tcPr>
            <w:tcW w:w="683" w:type="pct"/>
            <w:tcBorders>
              <w:top w:val="single" w:sz="4" w:space="0" w:color="auto"/>
              <w:left w:val="single" w:sz="4" w:space="0" w:color="auto"/>
              <w:bottom w:val="single" w:sz="4" w:space="0" w:color="auto"/>
              <w:right w:val="single" w:sz="4" w:space="0" w:color="auto"/>
            </w:tcBorders>
            <w:vAlign w:val="center"/>
          </w:tcPr>
          <w:p w14:paraId="0FA2C19E" w14:textId="77777777" w:rsidR="00267676" w:rsidRPr="00614092" w:rsidRDefault="00267676" w:rsidP="00D03A4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7,4</w:t>
            </w:r>
          </w:p>
        </w:tc>
        <w:tc>
          <w:tcPr>
            <w:tcW w:w="684" w:type="pct"/>
            <w:tcBorders>
              <w:top w:val="single" w:sz="4" w:space="0" w:color="auto"/>
              <w:left w:val="single" w:sz="4" w:space="0" w:color="auto"/>
              <w:bottom w:val="single" w:sz="4" w:space="0" w:color="auto"/>
              <w:right w:val="single" w:sz="4" w:space="0" w:color="auto"/>
            </w:tcBorders>
            <w:vAlign w:val="center"/>
          </w:tcPr>
          <w:p w14:paraId="71EA87B0" w14:textId="77777777" w:rsidR="00267676" w:rsidRPr="00614092" w:rsidRDefault="00267676" w:rsidP="00D03A4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w:t>
            </w:r>
          </w:p>
        </w:tc>
        <w:tc>
          <w:tcPr>
            <w:tcW w:w="683" w:type="pct"/>
            <w:tcBorders>
              <w:top w:val="single" w:sz="4" w:space="0" w:color="auto"/>
              <w:left w:val="single" w:sz="4" w:space="0" w:color="auto"/>
              <w:bottom w:val="single" w:sz="4" w:space="0" w:color="auto"/>
              <w:right w:val="single" w:sz="4" w:space="0" w:color="auto"/>
            </w:tcBorders>
            <w:vAlign w:val="center"/>
          </w:tcPr>
          <w:p w14:paraId="4D645B1B" w14:textId="77777777" w:rsidR="00267676" w:rsidRPr="00614092" w:rsidRDefault="00267676" w:rsidP="00D03A4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0,2</w:t>
            </w:r>
          </w:p>
        </w:tc>
        <w:tc>
          <w:tcPr>
            <w:tcW w:w="688" w:type="pct"/>
            <w:tcBorders>
              <w:top w:val="single" w:sz="4" w:space="0" w:color="auto"/>
              <w:left w:val="single" w:sz="4" w:space="0" w:color="auto"/>
              <w:bottom w:val="single" w:sz="4" w:space="0" w:color="auto"/>
              <w:right w:val="single" w:sz="4" w:space="0" w:color="auto"/>
            </w:tcBorders>
            <w:vAlign w:val="center"/>
          </w:tcPr>
          <w:p w14:paraId="1E07F181" w14:textId="77777777" w:rsidR="00267676" w:rsidRPr="00614092" w:rsidRDefault="00267676" w:rsidP="00D03A4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r w:rsidR="00FE60EB">
              <w:rPr>
                <w:rFonts w:ascii="Times New Roman" w:eastAsia="Times New Roman" w:hAnsi="Times New Roman" w:cs="Times New Roman"/>
                <w:bCs/>
                <w:sz w:val="24"/>
                <w:szCs w:val="24"/>
                <w:lang w:eastAsia="ru-RU"/>
              </w:rPr>
              <w:t>0</w:t>
            </w:r>
          </w:p>
        </w:tc>
      </w:tr>
    </w:tbl>
    <w:p w14:paraId="77FED1CC" w14:textId="77777777"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14:paraId="05C38A54" w14:textId="77777777"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14:paraId="399E7EE0" w14:textId="77777777"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14:paraId="1076205C" w14:textId="77777777" w:rsidR="00D03A4F" w:rsidRPr="00C6067A" w:rsidRDefault="00D03A4F" w:rsidP="00D03A4F">
      <w:pPr>
        <w:spacing w:after="0" w:line="240" w:lineRule="auto"/>
        <w:jc w:val="right"/>
        <w:rPr>
          <w:rFonts w:ascii="Times New Roman" w:eastAsia="Times New Roman" w:hAnsi="Times New Roman" w:cs="Times New Roman"/>
          <w:sz w:val="26"/>
          <w:szCs w:val="26"/>
          <w:lang w:eastAsia="ru-RU"/>
        </w:rPr>
      </w:pPr>
      <w:r w:rsidRPr="00C6067A">
        <w:rPr>
          <w:rFonts w:ascii="Times New Roman" w:eastAsia="Times New Roman" w:hAnsi="Times New Roman" w:cs="Times New Roman"/>
          <w:sz w:val="26"/>
          <w:szCs w:val="26"/>
          <w:lang w:eastAsia="ru-RU"/>
        </w:rPr>
        <w:t>Таблица 3</w:t>
      </w:r>
      <w:r w:rsidR="008737BB">
        <w:rPr>
          <w:rFonts w:ascii="Times New Roman" w:eastAsia="Times New Roman" w:hAnsi="Times New Roman" w:cs="Times New Roman"/>
          <w:sz w:val="26"/>
          <w:szCs w:val="26"/>
          <w:lang w:eastAsia="ru-RU"/>
        </w:rPr>
        <w:t>3</w:t>
      </w:r>
    </w:p>
    <w:p w14:paraId="1EC419C1" w14:textId="77777777" w:rsidR="00D03A4F" w:rsidRPr="00C6067A" w:rsidRDefault="00D03A4F" w:rsidP="00D03A4F">
      <w:pPr>
        <w:spacing w:after="0" w:line="240" w:lineRule="auto"/>
        <w:jc w:val="right"/>
        <w:rPr>
          <w:rFonts w:ascii="Times New Roman" w:eastAsia="Times New Roman" w:hAnsi="Times New Roman" w:cs="Times New Roman"/>
          <w:sz w:val="26"/>
          <w:szCs w:val="26"/>
          <w:lang w:eastAsia="ru-RU"/>
        </w:rPr>
      </w:pPr>
    </w:p>
    <w:p w14:paraId="641CBAA8" w14:textId="77777777" w:rsidR="00D03A4F" w:rsidRPr="00C6067A" w:rsidRDefault="00D03A4F" w:rsidP="00D03A4F">
      <w:pPr>
        <w:spacing w:after="0" w:line="240" w:lineRule="auto"/>
        <w:jc w:val="center"/>
        <w:rPr>
          <w:rFonts w:ascii="Times New Roman" w:eastAsia="Times New Roman" w:hAnsi="Times New Roman" w:cs="Times New Roman"/>
          <w:b/>
          <w:bCs/>
          <w:sz w:val="26"/>
          <w:szCs w:val="26"/>
          <w:lang w:eastAsia="ru-RU"/>
        </w:rPr>
      </w:pPr>
      <w:r w:rsidRPr="00C6067A">
        <w:rPr>
          <w:rFonts w:ascii="Times New Roman" w:eastAsia="Times New Roman" w:hAnsi="Times New Roman" w:cs="Times New Roman"/>
          <w:b/>
          <w:bCs/>
          <w:sz w:val="26"/>
          <w:szCs w:val="26"/>
          <w:lang w:eastAsia="ru-RU"/>
        </w:rPr>
        <w:t>Безработные в возрасте 15-17 лет по продолжительности поиска работы</w:t>
      </w:r>
    </w:p>
    <w:p w14:paraId="3D31AC0D" w14:textId="77777777" w:rsidR="00D03A4F" w:rsidRPr="00C6067A" w:rsidRDefault="00D03A4F" w:rsidP="00D03A4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(по данным выборочного обследования рабочей силы; тыс. человек)</w:t>
      </w:r>
    </w:p>
    <w:p w14:paraId="35A25394" w14:textId="77777777" w:rsidR="00D03A4F" w:rsidRPr="00C6067A"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CellMar>
          <w:left w:w="0" w:type="dxa"/>
          <w:right w:w="0" w:type="dxa"/>
        </w:tblCellMar>
        <w:tblLook w:val="04A0" w:firstRow="1" w:lastRow="0" w:firstColumn="1" w:lastColumn="0" w:noHBand="0" w:noVBand="1"/>
      </w:tblPr>
      <w:tblGrid>
        <w:gridCol w:w="4344"/>
        <w:gridCol w:w="1464"/>
        <w:gridCol w:w="1464"/>
        <w:gridCol w:w="1462"/>
        <w:gridCol w:w="1462"/>
      </w:tblGrid>
      <w:tr w:rsidR="00FE60EB" w:rsidRPr="00C6067A" w14:paraId="635B7503" w14:textId="77777777" w:rsidTr="0048250F">
        <w:trPr>
          <w:trHeight w:val="340"/>
          <w:tblHeader/>
          <w:jc w:val="center"/>
        </w:trPr>
        <w:tc>
          <w:tcPr>
            <w:tcW w:w="2130" w:type="pct"/>
            <w:tcBorders>
              <w:top w:val="single" w:sz="4" w:space="0" w:color="auto"/>
              <w:left w:val="single" w:sz="4" w:space="0" w:color="auto"/>
              <w:bottom w:val="single" w:sz="4" w:space="0" w:color="auto"/>
              <w:right w:val="single" w:sz="4" w:space="0" w:color="auto"/>
            </w:tcBorders>
            <w:vAlign w:val="bottom"/>
            <w:hideMark/>
          </w:tcPr>
          <w:p w14:paraId="2F6D1AFA" w14:textId="77777777" w:rsidR="00FE60EB" w:rsidRPr="00C6067A" w:rsidRDefault="00FE60EB" w:rsidP="00D03A4F">
            <w:pPr>
              <w:spacing w:after="0" w:line="312" w:lineRule="auto"/>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 </w:t>
            </w:r>
          </w:p>
        </w:tc>
        <w:tc>
          <w:tcPr>
            <w:tcW w:w="718" w:type="pct"/>
            <w:tcBorders>
              <w:top w:val="single" w:sz="4" w:space="0" w:color="auto"/>
              <w:left w:val="single" w:sz="4" w:space="0" w:color="auto"/>
              <w:bottom w:val="single" w:sz="4" w:space="0" w:color="auto"/>
              <w:right w:val="single" w:sz="4" w:space="0" w:color="auto"/>
            </w:tcBorders>
          </w:tcPr>
          <w:p w14:paraId="07B0A3DE" w14:textId="77777777" w:rsidR="00FE60EB" w:rsidRPr="00C6067A" w:rsidRDefault="00FE60EB" w:rsidP="0048250F">
            <w:pPr>
              <w:spacing w:after="0" w:line="312" w:lineRule="auto"/>
              <w:jc w:val="center"/>
              <w:rPr>
                <w:rFonts w:ascii="Times New Roman" w:eastAsia="Arial Unicode MS" w:hAnsi="Times New Roman" w:cs="Times New Roman"/>
                <w:sz w:val="24"/>
                <w:szCs w:val="24"/>
                <w:lang w:eastAsia="ru-RU"/>
              </w:rPr>
            </w:pPr>
            <w:r w:rsidRPr="00C6067A">
              <w:rPr>
                <w:rFonts w:ascii="Times New Roman" w:eastAsia="Arial Unicode MS" w:hAnsi="Times New Roman" w:cs="Times New Roman"/>
                <w:sz w:val="24"/>
                <w:szCs w:val="24"/>
                <w:lang w:eastAsia="ru-RU"/>
              </w:rPr>
              <w:t>2018 г.</w:t>
            </w:r>
          </w:p>
        </w:tc>
        <w:tc>
          <w:tcPr>
            <w:tcW w:w="718" w:type="pct"/>
            <w:tcBorders>
              <w:top w:val="single" w:sz="4" w:space="0" w:color="auto"/>
              <w:left w:val="single" w:sz="4" w:space="0" w:color="auto"/>
              <w:bottom w:val="single" w:sz="4" w:space="0" w:color="auto"/>
              <w:right w:val="single" w:sz="4" w:space="0" w:color="auto"/>
            </w:tcBorders>
          </w:tcPr>
          <w:p w14:paraId="1E8B3439" w14:textId="77777777" w:rsidR="00FE60EB" w:rsidRPr="00C6067A" w:rsidRDefault="00FE60EB" w:rsidP="0048250F">
            <w:pPr>
              <w:spacing w:after="0" w:line="312" w:lineRule="auto"/>
              <w:jc w:val="center"/>
              <w:rPr>
                <w:rFonts w:ascii="Times New Roman" w:eastAsia="Arial Unicode MS" w:hAnsi="Times New Roman" w:cs="Times New Roman"/>
                <w:sz w:val="24"/>
                <w:szCs w:val="24"/>
                <w:lang w:eastAsia="ru-RU"/>
              </w:rPr>
            </w:pPr>
            <w:r w:rsidRPr="00C6067A">
              <w:rPr>
                <w:rFonts w:ascii="Times New Roman" w:eastAsia="Arial Unicode MS" w:hAnsi="Times New Roman" w:cs="Times New Roman"/>
                <w:sz w:val="24"/>
                <w:szCs w:val="24"/>
                <w:lang w:eastAsia="ru-RU"/>
              </w:rPr>
              <w:t>2019 г.</w:t>
            </w:r>
          </w:p>
        </w:tc>
        <w:tc>
          <w:tcPr>
            <w:tcW w:w="717" w:type="pct"/>
            <w:tcBorders>
              <w:top w:val="single" w:sz="4" w:space="0" w:color="auto"/>
              <w:left w:val="single" w:sz="4" w:space="0" w:color="auto"/>
              <w:bottom w:val="single" w:sz="4" w:space="0" w:color="auto"/>
              <w:right w:val="single" w:sz="4" w:space="0" w:color="auto"/>
            </w:tcBorders>
          </w:tcPr>
          <w:p w14:paraId="5D5F2780" w14:textId="77777777" w:rsidR="00FE60EB" w:rsidRPr="00C6067A" w:rsidRDefault="00FE60EB" w:rsidP="0048250F">
            <w:pPr>
              <w:spacing w:after="0" w:line="312" w:lineRule="auto"/>
              <w:jc w:val="center"/>
              <w:rPr>
                <w:rFonts w:ascii="Times New Roman" w:eastAsia="Arial Unicode MS" w:hAnsi="Times New Roman" w:cs="Times New Roman"/>
                <w:sz w:val="24"/>
                <w:szCs w:val="24"/>
                <w:lang w:eastAsia="ru-RU"/>
              </w:rPr>
            </w:pPr>
            <w:r w:rsidRPr="00C6067A">
              <w:rPr>
                <w:rFonts w:ascii="Times New Roman" w:eastAsia="Arial Unicode MS" w:hAnsi="Times New Roman" w:cs="Times New Roman"/>
                <w:sz w:val="24"/>
                <w:szCs w:val="24"/>
                <w:lang w:eastAsia="ru-RU"/>
              </w:rPr>
              <w:t>2020 г.</w:t>
            </w:r>
          </w:p>
        </w:tc>
        <w:tc>
          <w:tcPr>
            <w:tcW w:w="717" w:type="pct"/>
            <w:tcBorders>
              <w:top w:val="single" w:sz="4" w:space="0" w:color="auto"/>
              <w:left w:val="single" w:sz="4" w:space="0" w:color="auto"/>
              <w:bottom w:val="single" w:sz="4" w:space="0" w:color="auto"/>
              <w:right w:val="single" w:sz="4" w:space="0" w:color="auto"/>
            </w:tcBorders>
          </w:tcPr>
          <w:p w14:paraId="267B4D91" w14:textId="77777777" w:rsidR="00FE60EB" w:rsidRPr="00C6067A" w:rsidRDefault="00FE60EB" w:rsidP="00D03A4F">
            <w:pPr>
              <w:spacing w:after="0" w:line="312"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2021 г.</w:t>
            </w:r>
          </w:p>
        </w:tc>
      </w:tr>
      <w:tr w:rsidR="00FE60EB" w:rsidRPr="00C6067A" w14:paraId="40D1A7B4" w14:textId="77777777" w:rsidTr="0048250F">
        <w:trPr>
          <w:trHeight w:val="265"/>
          <w:jc w:val="center"/>
        </w:trPr>
        <w:tc>
          <w:tcPr>
            <w:tcW w:w="2130" w:type="pct"/>
            <w:tcBorders>
              <w:top w:val="single" w:sz="4" w:space="0" w:color="auto"/>
              <w:left w:val="single" w:sz="4" w:space="0" w:color="auto"/>
              <w:bottom w:val="single" w:sz="4" w:space="0" w:color="auto"/>
              <w:right w:val="single" w:sz="4" w:space="0" w:color="auto"/>
            </w:tcBorders>
            <w:vAlign w:val="center"/>
            <w:hideMark/>
          </w:tcPr>
          <w:p w14:paraId="46A4DCEA" w14:textId="77777777" w:rsidR="00FE60EB" w:rsidRPr="00C6067A" w:rsidRDefault="00FE60EB" w:rsidP="00D03A4F">
            <w:pPr>
              <w:spacing w:after="0" w:line="312" w:lineRule="auto"/>
              <w:ind w:left="113"/>
              <w:rPr>
                <w:rFonts w:ascii="Times New Roman" w:eastAsia="Arial Unicode MS" w:hAnsi="Times New Roman" w:cs="Times New Roman"/>
                <w:b/>
                <w:sz w:val="24"/>
                <w:szCs w:val="24"/>
                <w:lang w:eastAsia="ru-RU"/>
              </w:rPr>
            </w:pPr>
            <w:r w:rsidRPr="00C6067A">
              <w:rPr>
                <w:rFonts w:ascii="Times New Roman" w:eastAsia="Times New Roman" w:hAnsi="Times New Roman" w:cs="Times New Roman"/>
                <w:b/>
                <w:sz w:val="24"/>
                <w:szCs w:val="24"/>
                <w:lang w:eastAsia="ru-RU"/>
              </w:rPr>
              <w:t>Всего</w:t>
            </w:r>
          </w:p>
        </w:tc>
        <w:tc>
          <w:tcPr>
            <w:tcW w:w="718" w:type="pct"/>
            <w:tcBorders>
              <w:top w:val="single" w:sz="4" w:space="0" w:color="auto"/>
              <w:left w:val="single" w:sz="4" w:space="0" w:color="auto"/>
              <w:bottom w:val="single" w:sz="4" w:space="0" w:color="auto"/>
              <w:right w:val="single" w:sz="4" w:space="0" w:color="auto"/>
            </w:tcBorders>
          </w:tcPr>
          <w:p w14:paraId="3DBBDB45" w14:textId="77777777" w:rsidR="00FE60EB" w:rsidRPr="00C6067A" w:rsidRDefault="00FE60EB" w:rsidP="0048250F">
            <w:pPr>
              <w:spacing w:after="0" w:line="312" w:lineRule="auto"/>
              <w:jc w:val="center"/>
              <w:rPr>
                <w:rFonts w:ascii="Times New Roman" w:eastAsia="Times New Roman" w:hAnsi="Times New Roman" w:cs="Times New Roman"/>
                <w:b/>
                <w:bCs/>
                <w:sz w:val="24"/>
                <w:szCs w:val="24"/>
                <w:lang w:eastAsia="ru-RU"/>
              </w:rPr>
            </w:pPr>
            <w:r w:rsidRPr="00C6067A">
              <w:rPr>
                <w:rFonts w:ascii="Times New Roman" w:eastAsia="Times New Roman" w:hAnsi="Times New Roman" w:cs="Times New Roman"/>
                <w:b/>
                <w:bCs/>
                <w:sz w:val="24"/>
                <w:szCs w:val="24"/>
                <w:lang w:eastAsia="ru-RU"/>
              </w:rPr>
              <w:t>35,8</w:t>
            </w:r>
          </w:p>
        </w:tc>
        <w:tc>
          <w:tcPr>
            <w:tcW w:w="718" w:type="pct"/>
            <w:tcBorders>
              <w:top w:val="single" w:sz="4" w:space="0" w:color="auto"/>
              <w:left w:val="single" w:sz="4" w:space="0" w:color="auto"/>
              <w:bottom w:val="single" w:sz="4" w:space="0" w:color="auto"/>
              <w:right w:val="single" w:sz="4" w:space="0" w:color="auto"/>
            </w:tcBorders>
          </w:tcPr>
          <w:p w14:paraId="6AD7ACDF" w14:textId="77777777" w:rsidR="00FE60EB" w:rsidRPr="00C6067A" w:rsidRDefault="00FE60EB" w:rsidP="0048250F">
            <w:pPr>
              <w:spacing w:after="0" w:line="312" w:lineRule="auto"/>
              <w:jc w:val="center"/>
              <w:rPr>
                <w:rFonts w:ascii="Times New Roman" w:eastAsia="Times New Roman" w:hAnsi="Times New Roman" w:cs="Times New Roman"/>
                <w:b/>
                <w:bCs/>
                <w:sz w:val="24"/>
                <w:szCs w:val="24"/>
                <w:lang w:eastAsia="ru-RU"/>
              </w:rPr>
            </w:pPr>
            <w:r w:rsidRPr="00C6067A">
              <w:rPr>
                <w:rFonts w:ascii="Times New Roman" w:eastAsia="Times New Roman" w:hAnsi="Times New Roman" w:cs="Times New Roman"/>
                <w:b/>
                <w:bCs/>
                <w:sz w:val="24"/>
                <w:szCs w:val="24"/>
                <w:lang w:eastAsia="ru-RU"/>
              </w:rPr>
              <w:t>24,3</w:t>
            </w:r>
          </w:p>
        </w:tc>
        <w:tc>
          <w:tcPr>
            <w:tcW w:w="717" w:type="pct"/>
            <w:tcBorders>
              <w:top w:val="single" w:sz="4" w:space="0" w:color="auto"/>
              <w:left w:val="single" w:sz="4" w:space="0" w:color="auto"/>
              <w:bottom w:val="single" w:sz="4" w:space="0" w:color="auto"/>
              <w:right w:val="single" w:sz="4" w:space="0" w:color="auto"/>
            </w:tcBorders>
          </w:tcPr>
          <w:p w14:paraId="6F0FD9CD" w14:textId="77777777" w:rsidR="00FE60EB" w:rsidRPr="00C6067A" w:rsidRDefault="00FE60EB" w:rsidP="0048250F">
            <w:pPr>
              <w:spacing w:after="0" w:line="312" w:lineRule="auto"/>
              <w:jc w:val="center"/>
              <w:rPr>
                <w:rFonts w:ascii="Times New Roman" w:eastAsia="Times New Roman" w:hAnsi="Times New Roman" w:cs="Times New Roman"/>
                <w:b/>
                <w:bCs/>
                <w:sz w:val="24"/>
                <w:szCs w:val="24"/>
                <w:lang w:eastAsia="ru-RU"/>
              </w:rPr>
            </w:pPr>
            <w:r w:rsidRPr="00C6067A">
              <w:rPr>
                <w:rFonts w:ascii="Times New Roman" w:eastAsia="Times New Roman" w:hAnsi="Times New Roman" w:cs="Times New Roman"/>
                <w:b/>
                <w:bCs/>
                <w:sz w:val="24"/>
                <w:szCs w:val="24"/>
                <w:lang w:eastAsia="ru-RU"/>
              </w:rPr>
              <w:t>29,7</w:t>
            </w:r>
          </w:p>
        </w:tc>
        <w:tc>
          <w:tcPr>
            <w:tcW w:w="717" w:type="pct"/>
            <w:tcBorders>
              <w:top w:val="single" w:sz="4" w:space="0" w:color="auto"/>
              <w:left w:val="single" w:sz="4" w:space="0" w:color="auto"/>
              <w:bottom w:val="single" w:sz="4" w:space="0" w:color="auto"/>
              <w:right w:val="single" w:sz="4" w:space="0" w:color="auto"/>
            </w:tcBorders>
          </w:tcPr>
          <w:p w14:paraId="4E2371CD" w14:textId="77777777" w:rsidR="00FE60EB" w:rsidRPr="00C6067A" w:rsidRDefault="00FE60EB" w:rsidP="00D03A4F">
            <w:pPr>
              <w:spacing w:after="0" w:line="312"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26,4</w:t>
            </w:r>
          </w:p>
        </w:tc>
      </w:tr>
      <w:tr w:rsidR="00FE60EB" w:rsidRPr="00C6067A" w14:paraId="5F0EEEDF" w14:textId="77777777" w:rsidTr="00C6067A">
        <w:trPr>
          <w:trHeight w:val="265"/>
          <w:jc w:val="center"/>
        </w:trPr>
        <w:tc>
          <w:tcPr>
            <w:tcW w:w="2130" w:type="pct"/>
            <w:tcBorders>
              <w:top w:val="single" w:sz="4" w:space="0" w:color="auto"/>
              <w:left w:val="single" w:sz="4" w:space="0" w:color="auto"/>
              <w:bottom w:val="single" w:sz="4" w:space="0" w:color="auto"/>
              <w:right w:val="single" w:sz="4" w:space="0" w:color="auto"/>
            </w:tcBorders>
            <w:vAlign w:val="bottom"/>
            <w:hideMark/>
          </w:tcPr>
          <w:p w14:paraId="461B8340" w14:textId="77777777" w:rsidR="00FE60EB" w:rsidRPr="00C6067A" w:rsidRDefault="00FE60EB"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в том числе ищут работу, месяцев:</w:t>
            </w:r>
          </w:p>
        </w:tc>
        <w:tc>
          <w:tcPr>
            <w:tcW w:w="2870" w:type="pct"/>
            <w:gridSpan w:val="4"/>
            <w:tcBorders>
              <w:top w:val="single" w:sz="4" w:space="0" w:color="auto"/>
              <w:left w:val="single" w:sz="4" w:space="0" w:color="auto"/>
              <w:bottom w:val="single" w:sz="4" w:space="0" w:color="auto"/>
              <w:right w:val="single" w:sz="4" w:space="0" w:color="auto"/>
            </w:tcBorders>
            <w:vAlign w:val="bottom"/>
          </w:tcPr>
          <w:p w14:paraId="28870671" w14:textId="77777777" w:rsidR="00FE60EB" w:rsidRPr="00C6067A" w:rsidRDefault="00FE60EB" w:rsidP="00D03A4F">
            <w:pPr>
              <w:spacing w:after="0" w:line="312" w:lineRule="auto"/>
              <w:jc w:val="center"/>
              <w:rPr>
                <w:rFonts w:ascii="Times New Roman" w:eastAsia="Times New Roman" w:hAnsi="Times New Roman" w:cs="Times New Roman"/>
                <w:bCs/>
                <w:sz w:val="24"/>
                <w:szCs w:val="24"/>
                <w:lang w:eastAsia="ru-RU"/>
              </w:rPr>
            </w:pPr>
          </w:p>
        </w:tc>
      </w:tr>
      <w:tr w:rsidR="00FE60EB" w:rsidRPr="00C6067A" w14:paraId="1FAA13FD" w14:textId="77777777" w:rsidTr="0048250F">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hideMark/>
          </w:tcPr>
          <w:p w14:paraId="5AEEC856" w14:textId="77777777" w:rsidR="00FE60EB" w:rsidRPr="00C6067A" w:rsidRDefault="00FE60EB"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менее 1</w:t>
            </w:r>
          </w:p>
        </w:tc>
        <w:tc>
          <w:tcPr>
            <w:tcW w:w="718" w:type="pct"/>
            <w:tcBorders>
              <w:top w:val="single" w:sz="4" w:space="0" w:color="auto"/>
              <w:left w:val="single" w:sz="4" w:space="0" w:color="auto"/>
              <w:bottom w:val="single" w:sz="4" w:space="0" w:color="auto"/>
              <w:right w:val="single" w:sz="4" w:space="0" w:color="auto"/>
            </w:tcBorders>
          </w:tcPr>
          <w:p w14:paraId="15887797" w14:textId="77777777" w:rsidR="00FE60EB" w:rsidRPr="00C6067A" w:rsidRDefault="00FE60EB" w:rsidP="0048250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16,2</w:t>
            </w:r>
          </w:p>
        </w:tc>
        <w:tc>
          <w:tcPr>
            <w:tcW w:w="718" w:type="pct"/>
            <w:tcBorders>
              <w:top w:val="single" w:sz="4" w:space="0" w:color="auto"/>
              <w:left w:val="single" w:sz="4" w:space="0" w:color="auto"/>
              <w:bottom w:val="single" w:sz="4" w:space="0" w:color="auto"/>
              <w:right w:val="single" w:sz="4" w:space="0" w:color="auto"/>
            </w:tcBorders>
          </w:tcPr>
          <w:p w14:paraId="2F60A85C" w14:textId="77777777" w:rsidR="00FE60EB" w:rsidRPr="00C6067A" w:rsidRDefault="00FE60EB" w:rsidP="0048250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9,7</w:t>
            </w:r>
          </w:p>
        </w:tc>
        <w:tc>
          <w:tcPr>
            <w:tcW w:w="717" w:type="pct"/>
            <w:tcBorders>
              <w:top w:val="single" w:sz="4" w:space="0" w:color="auto"/>
              <w:left w:val="single" w:sz="4" w:space="0" w:color="auto"/>
              <w:bottom w:val="single" w:sz="4" w:space="0" w:color="auto"/>
              <w:right w:val="single" w:sz="4" w:space="0" w:color="auto"/>
            </w:tcBorders>
          </w:tcPr>
          <w:p w14:paraId="2A27965C" w14:textId="77777777" w:rsidR="00FE60EB" w:rsidRPr="00C6067A" w:rsidRDefault="00FE60EB" w:rsidP="0048250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9,3</w:t>
            </w:r>
          </w:p>
        </w:tc>
        <w:tc>
          <w:tcPr>
            <w:tcW w:w="717" w:type="pct"/>
            <w:tcBorders>
              <w:top w:val="single" w:sz="4" w:space="0" w:color="auto"/>
              <w:left w:val="single" w:sz="4" w:space="0" w:color="auto"/>
              <w:bottom w:val="single" w:sz="4" w:space="0" w:color="auto"/>
              <w:right w:val="single" w:sz="4" w:space="0" w:color="auto"/>
            </w:tcBorders>
          </w:tcPr>
          <w:p w14:paraId="4BBFFF18" w14:textId="77777777" w:rsidR="00FE60EB" w:rsidRPr="00C6067A" w:rsidRDefault="0092561F" w:rsidP="00D03A4F">
            <w:pPr>
              <w:spacing w:after="0" w:line="312"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9,8</w:t>
            </w:r>
          </w:p>
        </w:tc>
      </w:tr>
      <w:tr w:rsidR="00FE60EB" w:rsidRPr="00C6067A" w14:paraId="038A8FF9" w14:textId="77777777" w:rsidTr="0048250F">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hideMark/>
          </w:tcPr>
          <w:p w14:paraId="5ACD8356" w14:textId="77777777" w:rsidR="00FE60EB" w:rsidRPr="00C6067A" w:rsidRDefault="00FE60EB"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1 до 3</w:t>
            </w:r>
          </w:p>
        </w:tc>
        <w:tc>
          <w:tcPr>
            <w:tcW w:w="718" w:type="pct"/>
            <w:tcBorders>
              <w:top w:val="single" w:sz="4" w:space="0" w:color="auto"/>
              <w:left w:val="single" w:sz="4" w:space="0" w:color="auto"/>
              <w:bottom w:val="single" w:sz="4" w:space="0" w:color="auto"/>
              <w:right w:val="single" w:sz="4" w:space="0" w:color="auto"/>
            </w:tcBorders>
          </w:tcPr>
          <w:p w14:paraId="19345D73" w14:textId="77777777" w:rsidR="00FE60EB" w:rsidRPr="00C6067A" w:rsidRDefault="00FE60EB" w:rsidP="0048250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10,9</w:t>
            </w:r>
          </w:p>
        </w:tc>
        <w:tc>
          <w:tcPr>
            <w:tcW w:w="718" w:type="pct"/>
            <w:tcBorders>
              <w:top w:val="single" w:sz="4" w:space="0" w:color="auto"/>
              <w:left w:val="single" w:sz="4" w:space="0" w:color="auto"/>
              <w:bottom w:val="single" w:sz="4" w:space="0" w:color="auto"/>
              <w:right w:val="single" w:sz="4" w:space="0" w:color="auto"/>
            </w:tcBorders>
          </w:tcPr>
          <w:p w14:paraId="08F1CB24" w14:textId="77777777" w:rsidR="00FE60EB" w:rsidRPr="00C6067A" w:rsidRDefault="00FE60EB" w:rsidP="0048250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7,1</w:t>
            </w:r>
          </w:p>
        </w:tc>
        <w:tc>
          <w:tcPr>
            <w:tcW w:w="717" w:type="pct"/>
            <w:tcBorders>
              <w:top w:val="single" w:sz="4" w:space="0" w:color="auto"/>
              <w:left w:val="single" w:sz="4" w:space="0" w:color="auto"/>
              <w:bottom w:val="single" w:sz="4" w:space="0" w:color="auto"/>
              <w:right w:val="single" w:sz="4" w:space="0" w:color="auto"/>
            </w:tcBorders>
          </w:tcPr>
          <w:p w14:paraId="3F0AC6B2" w14:textId="77777777" w:rsidR="00FE60EB" w:rsidRPr="00C6067A" w:rsidRDefault="00FE60EB" w:rsidP="0048250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7,8</w:t>
            </w:r>
          </w:p>
        </w:tc>
        <w:tc>
          <w:tcPr>
            <w:tcW w:w="717" w:type="pct"/>
            <w:tcBorders>
              <w:top w:val="single" w:sz="4" w:space="0" w:color="auto"/>
              <w:left w:val="single" w:sz="4" w:space="0" w:color="auto"/>
              <w:bottom w:val="single" w:sz="4" w:space="0" w:color="auto"/>
              <w:right w:val="single" w:sz="4" w:space="0" w:color="auto"/>
            </w:tcBorders>
          </w:tcPr>
          <w:p w14:paraId="1B75715C" w14:textId="77777777" w:rsidR="00FE60EB" w:rsidRPr="00C6067A" w:rsidRDefault="0092561F" w:rsidP="00D03A4F">
            <w:pPr>
              <w:spacing w:after="0" w:line="312"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8,4</w:t>
            </w:r>
          </w:p>
        </w:tc>
      </w:tr>
      <w:tr w:rsidR="00FE60EB" w:rsidRPr="00C6067A" w14:paraId="790CCC9F" w14:textId="77777777" w:rsidTr="0048250F">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hideMark/>
          </w:tcPr>
          <w:p w14:paraId="75C1E3C0" w14:textId="77777777" w:rsidR="00FE60EB" w:rsidRPr="00C6067A" w:rsidRDefault="00FE60EB"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3 до 6</w:t>
            </w:r>
          </w:p>
        </w:tc>
        <w:tc>
          <w:tcPr>
            <w:tcW w:w="718" w:type="pct"/>
            <w:tcBorders>
              <w:top w:val="single" w:sz="4" w:space="0" w:color="auto"/>
              <w:left w:val="single" w:sz="4" w:space="0" w:color="auto"/>
              <w:bottom w:val="single" w:sz="4" w:space="0" w:color="auto"/>
              <w:right w:val="single" w:sz="4" w:space="0" w:color="auto"/>
            </w:tcBorders>
          </w:tcPr>
          <w:p w14:paraId="2A4B219B" w14:textId="77777777" w:rsidR="00FE60EB" w:rsidRPr="00C6067A" w:rsidRDefault="00FE60EB" w:rsidP="0048250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3,1</w:t>
            </w:r>
          </w:p>
        </w:tc>
        <w:tc>
          <w:tcPr>
            <w:tcW w:w="718" w:type="pct"/>
            <w:tcBorders>
              <w:top w:val="single" w:sz="4" w:space="0" w:color="auto"/>
              <w:left w:val="single" w:sz="4" w:space="0" w:color="auto"/>
              <w:bottom w:val="single" w:sz="4" w:space="0" w:color="auto"/>
              <w:right w:val="single" w:sz="4" w:space="0" w:color="auto"/>
            </w:tcBorders>
          </w:tcPr>
          <w:p w14:paraId="1F54FDAB" w14:textId="77777777" w:rsidR="00FE60EB" w:rsidRPr="00C6067A" w:rsidRDefault="00FE60EB" w:rsidP="0048250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3,5</w:t>
            </w:r>
          </w:p>
        </w:tc>
        <w:tc>
          <w:tcPr>
            <w:tcW w:w="717" w:type="pct"/>
            <w:tcBorders>
              <w:top w:val="single" w:sz="4" w:space="0" w:color="auto"/>
              <w:left w:val="single" w:sz="4" w:space="0" w:color="auto"/>
              <w:bottom w:val="single" w:sz="4" w:space="0" w:color="auto"/>
              <w:right w:val="single" w:sz="4" w:space="0" w:color="auto"/>
            </w:tcBorders>
          </w:tcPr>
          <w:p w14:paraId="1A94521B" w14:textId="77777777" w:rsidR="00FE60EB" w:rsidRPr="00C6067A" w:rsidRDefault="00FE60EB" w:rsidP="0048250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5,5</w:t>
            </w:r>
          </w:p>
        </w:tc>
        <w:tc>
          <w:tcPr>
            <w:tcW w:w="717" w:type="pct"/>
            <w:tcBorders>
              <w:top w:val="single" w:sz="4" w:space="0" w:color="auto"/>
              <w:left w:val="single" w:sz="4" w:space="0" w:color="auto"/>
              <w:bottom w:val="single" w:sz="4" w:space="0" w:color="auto"/>
              <w:right w:val="single" w:sz="4" w:space="0" w:color="auto"/>
            </w:tcBorders>
          </w:tcPr>
          <w:p w14:paraId="471E8623" w14:textId="77777777" w:rsidR="00FE60EB" w:rsidRPr="00C6067A" w:rsidRDefault="0092561F" w:rsidP="00D03A4F">
            <w:pPr>
              <w:spacing w:after="0" w:line="312"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w:t>
            </w:r>
          </w:p>
        </w:tc>
      </w:tr>
      <w:tr w:rsidR="00FE60EB" w:rsidRPr="00C6067A" w14:paraId="2AA9C032" w14:textId="77777777" w:rsidTr="0048250F">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hideMark/>
          </w:tcPr>
          <w:p w14:paraId="7B12DCC7" w14:textId="77777777" w:rsidR="00FE60EB" w:rsidRPr="00C6067A" w:rsidRDefault="00FE60EB"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6 до 9</w:t>
            </w:r>
          </w:p>
        </w:tc>
        <w:tc>
          <w:tcPr>
            <w:tcW w:w="718" w:type="pct"/>
            <w:tcBorders>
              <w:top w:val="single" w:sz="4" w:space="0" w:color="auto"/>
              <w:left w:val="single" w:sz="4" w:space="0" w:color="auto"/>
              <w:bottom w:val="single" w:sz="4" w:space="0" w:color="auto"/>
              <w:right w:val="single" w:sz="4" w:space="0" w:color="auto"/>
            </w:tcBorders>
          </w:tcPr>
          <w:p w14:paraId="1DACC996" w14:textId="77777777" w:rsidR="00FE60EB" w:rsidRPr="00C6067A" w:rsidRDefault="00FE60EB" w:rsidP="0048250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1,6</w:t>
            </w:r>
          </w:p>
        </w:tc>
        <w:tc>
          <w:tcPr>
            <w:tcW w:w="718" w:type="pct"/>
            <w:tcBorders>
              <w:top w:val="single" w:sz="4" w:space="0" w:color="auto"/>
              <w:left w:val="single" w:sz="4" w:space="0" w:color="auto"/>
              <w:bottom w:val="single" w:sz="4" w:space="0" w:color="auto"/>
              <w:right w:val="single" w:sz="4" w:space="0" w:color="auto"/>
            </w:tcBorders>
          </w:tcPr>
          <w:p w14:paraId="08BE4CBF" w14:textId="77777777" w:rsidR="00FE60EB" w:rsidRPr="00C6067A" w:rsidRDefault="00FE60EB" w:rsidP="0048250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1,6</w:t>
            </w:r>
          </w:p>
        </w:tc>
        <w:tc>
          <w:tcPr>
            <w:tcW w:w="717" w:type="pct"/>
            <w:tcBorders>
              <w:top w:val="single" w:sz="4" w:space="0" w:color="auto"/>
              <w:left w:val="single" w:sz="4" w:space="0" w:color="auto"/>
              <w:bottom w:val="single" w:sz="4" w:space="0" w:color="auto"/>
              <w:right w:val="single" w:sz="4" w:space="0" w:color="auto"/>
            </w:tcBorders>
          </w:tcPr>
          <w:p w14:paraId="0792F948" w14:textId="77777777" w:rsidR="00FE60EB" w:rsidRPr="00C6067A" w:rsidRDefault="00FE60EB" w:rsidP="0048250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4,5</w:t>
            </w:r>
          </w:p>
        </w:tc>
        <w:tc>
          <w:tcPr>
            <w:tcW w:w="717" w:type="pct"/>
            <w:tcBorders>
              <w:top w:val="single" w:sz="4" w:space="0" w:color="auto"/>
              <w:left w:val="single" w:sz="4" w:space="0" w:color="auto"/>
              <w:bottom w:val="single" w:sz="4" w:space="0" w:color="auto"/>
              <w:right w:val="single" w:sz="4" w:space="0" w:color="auto"/>
            </w:tcBorders>
          </w:tcPr>
          <w:p w14:paraId="2C71F3FB" w14:textId="77777777" w:rsidR="00FE60EB" w:rsidRPr="00C6067A" w:rsidRDefault="0092561F" w:rsidP="00D03A4F">
            <w:pPr>
              <w:spacing w:after="0" w:line="312"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0,7</w:t>
            </w:r>
          </w:p>
        </w:tc>
      </w:tr>
      <w:tr w:rsidR="00FE60EB" w:rsidRPr="00C6067A" w14:paraId="33433B50" w14:textId="77777777" w:rsidTr="0048250F">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hideMark/>
          </w:tcPr>
          <w:p w14:paraId="4D3F1A1A" w14:textId="77777777" w:rsidR="00FE60EB" w:rsidRPr="00C6067A" w:rsidRDefault="00FE60EB"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9 до 12</w:t>
            </w:r>
          </w:p>
        </w:tc>
        <w:tc>
          <w:tcPr>
            <w:tcW w:w="718" w:type="pct"/>
            <w:tcBorders>
              <w:top w:val="single" w:sz="4" w:space="0" w:color="auto"/>
              <w:left w:val="single" w:sz="4" w:space="0" w:color="auto"/>
              <w:bottom w:val="single" w:sz="4" w:space="0" w:color="auto"/>
              <w:right w:val="single" w:sz="4" w:space="0" w:color="auto"/>
            </w:tcBorders>
          </w:tcPr>
          <w:p w14:paraId="08D92C6B" w14:textId="77777777" w:rsidR="00FE60EB" w:rsidRPr="00C6067A" w:rsidRDefault="00FE60EB" w:rsidP="0048250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1,4</w:t>
            </w:r>
          </w:p>
        </w:tc>
        <w:tc>
          <w:tcPr>
            <w:tcW w:w="718" w:type="pct"/>
            <w:tcBorders>
              <w:top w:val="single" w:sz="4" w:space="0" w:color="auto"/>
              <w:left w:val="single" w:sz="4" w:space="0" w:color="auto"/>
              <w:bottom w:val="single" w:sz="4" w:space="0" w:color="auto"/>
              <w:right w:val="single" w:sz="4" w:space="0" w:color="auto"/>
            </w:tcBorders>
          </w:tcPr>
          <w:p w14:paraId="0E89B79A" w14:textId="77777777" w:rsidR="00FE60EB" w:rsidRPr="00C6067A" w:rsidRDefault="00FE60EB" w:rsidP="0048250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1,3</w:t>
            </w:r>
          </w:p>
        </w:tc>
        <w:tc>
          <w:tcPr>
            <w:tcW w:w="717" w:type="pct"/>
            <w:tcBorders>
              <w:top w:val="single" w:sz="4" w:space="0" w:color="auto"/>
              <w:left w:val="single" w:sz="4" w:space="0" w:color="auto"/>
              <w:bottom w:val="single" w:sz="4" w:space="0" w:color="auto"/>
              <w:right w:val="single" w:sz="4" w:space="0" w:color="auto"/>
            </w:tcBorders>
          </w:tcPr>
          <w:p w14:paraId="5455414C" w14:textId="77777777" w:rsidR="00FE60EB" w:rsidRPr="00C6067A" w:rsidRDefault="00FE60EB" w:rsidP="0048250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1,6</w:t>
            </w:r>
          </w:p>
        </w:tc>
        <w:tc>
          <w:tcPr>
            <w:tcW w:w="717" w:type="pct"/>
            <w:tcBorders>
              <w:top w:val="single" w:sz="4" w:space="0" w:color="auto"/>
              <w:left w:val="single" w:sz="4" w:space="0" w:color="auto"/>
              <w:bottom w:val="single" w:sz="4" w:space="0" w:color="auto"/>
              <w:right w:val="single" w:sz="4" w:space="0" w:color="auto"/>
            </w:tcBorders>
          </w:tcPr>
          <w:p w14:paraId="65B6DCD8" w14:textId="77777777" w:rsidR="00FE60EB" w:rsidRPr="00C6067A" w:rsidRDefault="0092561F" w:rsidP="00D03A4F">
            <w:pPr>
              <w:spacing w:after="0" w:line="312"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p>
        </w:tc>
      </w:tr>
      <w:tr w:rsidR="00FE60EB" w:rsidRPr="00C6067A" w14:paraId="25CF3361" w14:textId="77777777" w:rsidTr="0048250F">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hideMark/>
          </w:tcPr>
          <w:p w14:paraId="354734AB" w14:textId="77777777" w:rsidR="00FE60EB" w:rsidRPr="00C6067A" w:rsidRDefault="00FE60EB"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12 и более</w:t>
            </w:r>
          </w:p>
        </w:tc>
        <w:tc>
          <w:tcPr>
            <w:tcW w:w="718" w:type="pct"/>
            <w:tcBorders>
              <w:top w:val="single" w:sz="4" w:space="0" w:color="auto"/>
              <w:left w:val="single" w:sz="4" w:space="0" w:color="auto"/>
              <w:bottom w:val="single" w:sz="4" w:space="0" w:color="auto"/>
              <w:right w:val="single" w:sz="4" w:space="0" w:color="auto"/>
            </w:tcBorders>
          </w:tcPr>
          <w:p w14:paraId="07BC5E57" w14:textId="77777777" w:rsidR="00FE60EB" w:rsidRPr="00C6067A" w:rsidRDefault="00FE60EB" w:rsidP="0048250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2,5</w:t>
            </w:r>
          </w:p>
        </w:tc>
        <w:tc>
          <w:tcPr>
            <w:tcW w:w="718" w:type="pct"/>
            <w:tcBorders>
              <w:top w:val="single" w:sz="4" w:space="0" w:color="auto"/>
              <w:left w:val="single" w:sz="4" w:space="0" w:color="auto"/>
              <w:bottom w:val="single" w:sz="4" w:space="0" w:color="auto"/>
              <w:right w:val="single" w:sz="4" w:space="0" w:color="auto"/>
            </w:tcBorders>
          </w:tcPr>
          <w:p w14:paraId="607BD764" w14:textId="77777777" w:rsidR="00FE60EB" w:rsidRPr="00C6067A" w:rsidRDefault="00FE60EB" w:rsidP="0048250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1,1</w:t>
            </w:r>
          </w:p>
        </w:tc>
        <w:tc>
          <w:tcPr>
            <w:tcW w:w="717" w:type="pct"/>
            <w:tcBorders>
              <w:top w:val="single" w:sz="4" w:space="0" w:color="auto"/>
              <w:left w:val="single" w:sz="4" w:space="0" w:color="auto"/>
              <w:bottom w:val="single" w:sz="4" w:space="0" w:color="auto"/>
              <w:right w:val="single" w:sz="4" w:space="0" w:color="auto"/>
            </w:tcBorders>
          </w:tcPr>
          <w:p w14:paraId="0A03027B" w14:textId="77777777" w:rsidR="00FE60EB" w:rsidRPr="00C6067A" w:rsidRDefault="00FE60EB" w:rsidP="0048250F">
            <w:pPr>
              <w:spacing w:after="0" w:line="312"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1,0</w:t>
            </w:r>
          </w:p>
        </w:tc>
        <w:tc>
          <w:tcPr>
            <w:tcW w:w="717" w:type="pct"/>
            <w:tcBorders>
              <w:top w:val="single" w:sz="4" w:space="0" w:color="auto"/>
              <w:left w:val="single" w:sz="4" w:space="0" w:color="auto"/>
              <w:bottom w:val="single" w:sz="4" w:space="0" w:color="auto"/>
              <w:right w:val="single" w:sz="4" w:space="0" w:color="auto"/>
            </w:tcBorders>
          </w:tcPr>
          <w:p w14:paraId="3082D26C" w14:textId="77777777" w:rsidR="00FE60EB" w:rsidRPr="00C6067A" w:rsidRDefault="0092561F" w:rsidP="00D03A4F">
            <w:pPr>
              <w:spacing w:after="0" w:line="312"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w:t>
            </w:r>
          </w:p>
        </w:tc>
      </w:tr>
      <w:tr w:rsidR="00FE60EB" w:rsidRPr="00C6067A" w14:paraId="3E2713C4" w14:textId="77777777" w:rsidTr="0048250F">
        <w:trPr>
          <w:trHeight w:val="227"/>
          <w:jc w:val="center"/>
        </w:trPr>
        <w:tc>
          <w:tcPr>
            <w:tcW w:w="2130" w:type="pct"/>
            <w:tcBorders>
              <w:top w:val="single" w:sz="4" w:space="0" w:color="auto"/>
              <w:left w:val="single" w:sz="4" w:space="0" w:color="auto"/>
              <w:bottom w:val="single" w:sz="4" w:space="0" w:color="auto"/>
              <w:right w:val="single" w:sz="4" w:space="0" w:color="auto"/>
            </w:tcBorders>
            <w:vAlign w:val="center"/>
          </w:tcPr>
          <w:p w14:paraId="18F2E848" w14:textId="77777777" w:rsidR="00FE60EB" w:rsidRPr="00C6067A" w:rsidRDefault="00FE60EB" w:rsidP="00D03A4F">
            <w:pPr>
              <w:spacing w:after="0" w:line="312" w:lineRule="auto"/>
              <w:ind w:left="113"/>
              <w:rPr>
                <w:rFonts w:ascii="Times New Roman" w:eastAsia="Arial Unicode MS" w:hAnsi="Times New Roman" w:cs="Times New Roman"/>
                <w:b/>
                <w:sz w:val="24"/>
                <w:szCs w:val="24"/>
                <w:lang w:eastAsia="ru-RU"/>
              </w:rPr>
            </w:pPr>
            <w:r w:rsidRPr="00C6067A">
              <w:rPr>
                <w:rFonts w:ascii="Times New Roman" w:eastAsia="Times New Roman" w:hAnsi="Times New Roman" w:cs="Times New Roman"/>
                <w:b/>
                <w:sz w:val="24"/>
                <w:szCs w:val="24"/>
                <w:lang w:eastAsia="ru-RU"/>
              </w:rPr>
              <w:t>Мужчины</w:t>
            </w:r>
          </w:p>
        </w:tc>
        <w:tc>
          <w:tcPr>
            <w:tcW w:w="718" w:type="pct"/>
            <w:tcBorders>
              <w:left w:val="single" w:sz="4" w:space="0" w:color="auto"/>
              <w:bottom w:val="single" w:sz="4" w:space="0" w:color="auto"/>
              <w:right w:val="single" w:sz="4" w:space="0" w:color="auto"/>
            </w:tcBorders>
            <w:vAlign w:val="bottom"/>
          </w:tcPr>
          <w:p w14:paraId="39C5D60B" w14:textId="77777777" w:rsidR="00FE60EB" w:rsidRPr="00C6067A" w:rsidRDefault="00FE60EB" w:rsidP="0048250F">
            <w:pPr>
              <w:spacing w:before="120" w:after="0" w:line="240" w:lineRule="auto"/>
              <w:jc w:val="center"/>
              <w:rPr>
                <w:rFonts w:ascii="Times New Roman" w:eastAsia="Times New Roman" w:hAnsi="Times New Roman" w:cs="Times New Roman"/>
                <w:b/>
                <w:sz w:val="24"/>
                <w:szCs w:val="24"/>
                <w:lang w:eastAsia="ru-RU"/>
              </w:rPr>
            </w:pPr>
            <w:r w:rsidRPr="00C6067A">
              <w:rPr>
                <w:rFonts w:ascii="Times New Roman" w:eastAsia="Times New Roman" w:hAnsi="Times New Roman" w:cs="Times New Roman"/>
                <w:b/>
                <w:sz w:val="24"/>
                <w:szCs w:val="24"/>
                <w:lang w:eastAsia="ru-RU"/>
              </w:rPr>
              <w:t>21,5</w:t>
            </w:r>
          </w:p>
        </w:tc>
        <w:tc>
          <w:tcPr>
            <w:tcW w:w="718" w:type="pct"/>
            <w:tcBorders>
              <w:left w:val="single" w:sz="4" w:space="0" w:color="auto"/>
              <w:bottom w:val="single" w:sz="4" w:space="0" w:color="auto"/>
              <w:right w:val="single" w:sz="4" w:space="0" w:color="auto"/>
            </w:tcBorders>
            <w:vAlign w:val="bottom"/>
          </w:tcPr>
          <w:p w14:paraId="75B12D33" w14:textId="77777777" w:rsidR="00FE60EB" w:rsidRPr="00C6067A" w:rsidRDefault="00FE60EB" w:rsidP="0048250F">
            <w:pPr>
              <w:spacing w:before="120" w:after="0" w:line="240" w:lineRule="auto"/>
              <w:jc w:val="center"/>
              <w:rPr>
                <w:rFonts w:ascii="Times New Roman" w:eastAsia="Times New Roman" w:hAnsi="Times New Roman" w:cs="Times New Roman"/>
                <w:b/>
                <w:sz w:val="24"/>
                <w:szCs w:val="24"/>
                <w:lang w:eastAsia="ru-RU"/>
              </w:rPr>
            </w:pPr>
            <w:r w:rsidRPr="00C6067A">
              <w:rPr>
                <w:rFonts w:ascii="Times New Roman" w:eastAsia="Times New Roman" w:hAnsi="Times New Roman" w:cs="Times New Roman"/>
                <w:b/>
                <w:sz w:val="24"/>
                <w:szCs w:val="24"/>
                <w:lang w:eastAsia="ru-RU"/>
              </w:rPr>
              <w:t>13,8</w:t>
            </w:r>
          </w:p>
        </w:tc>
        <w:tc>
          <w:tcPr>
            <w:tcW w:w="717" w:type="pct"/>
            <w:tcBorders>
              <w:left w:val="single" w:sz="4" w:space="0" w:color="auto"/>
              <w:bottom w:val="single" w:sz="4" w:space="0" w:color="auto"/>
              <w:right w:val="single" w:sz="4" w:space="0" w:color="auto"/>
            </w:tcBorders>
          </w:tcPr>
          <w:p w14:paraId="291FE920" w14:textId="77777777" w:rsidR="00FE60EB" w:rsidRPr="00C6067A" w:rsidRDefault="00FE60EB" w:rsidP="0048250F">
            <w:pPr>
              <w:spacing w:before="120" w:after="0" w:line="240" w:lineRule="auto"/>
              <w:jc w:val="center"/>
              <w:rPr>
                <w:rFonts w:ascii="Times New Roman" w:eastAsia="Times New Roman" w:hAnsi="Times New Roman" w:cs="Times New Roman"/>
                <w:b/>
                <w:sz w:val="24"/>
                <w:szCs w:val="24"/>
                <w:lang w:eastAsia="ru-RU"/>
              </w:rPr>
            </w:pPr>
            <w:r w:rsidRPr="00C6067A">
              <w:rPr>
                <w:rFonts w:ascii="Times New Roman" w:eastAsia="Times New Roman" w:hAnsi="Times New Roman" w:cs="Times New Roman"/>
                <w:b/>
                <w:sz w:val="24"/>
                <w:szCs w:val="24"/>
                <w:lang w:eastAsia="ru-RU"/>
              </w:rPr>
              <w:t>18,3</w:t>
            </w:r>
          </w:p>
        </w:tc>
        <w:tc>
          <w:tcPr>
            <w:tcW w:w="717" w:type="pct"/>
            <w:tcBorders>
              <w:left w:val="single" w:sz="4" w:space="0" w:color="auto"/>
              <w:bottom w:val="single" w:sz="4" w:space="0" w:color="auto"/>
              <w:right w:val="single" w:sz="4" w:space="0" w:color="auto"/>
            </w:tcBorders>
          </w:tcPr>
          <w:p w14:paraId="483F442B" w14:textId="77777777" w:rsidR="00FE60EB" w:rsidRPr="00C6067A" w:rsidRDefault="0092561F" w:rsidP="00D03A4F">
            <w:pPr>
              <w:spacing w:before="120"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14,3</w:t>
            </w:r>
          </w:p>
        </w:tc>
      </w:tr>
      <w:tr w:rsidR="00FE60EB" w:rsidRPr="00C6067A" w14:paraId="188F4FDB" w14:textId="77777777"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14:paraId="7C2E207D" w14:textId="77777777" w:rsidR="00FE60EB" w:rsidRPr="00C6067A" w:rsidRDefault="00FE60EB"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в том числе ищут работу, месяцев:</w:t>
            </w:r>
          </w:p>
        </w:tc>
        <w:tc>
          <w:tcPr>
            <w:tcW w:w="2870" w:type="pct"/>
            <w:gridSpan w:val="4"/>
            <w:tcBorders>
              <w:top w:val="single" w:sz="4" w:space="0" w:color="auto"/>
              <w:left w:val="single" w:sz="4" w:space="0" w:color="auto"/>
              <w:bottom w:val="single" w:sz="4" w:space="0" w:color="auto"/>
              <w:right w:val="single" w:sz="4" w:space="0" w:color="auto"/>
            </w:tcBorders>
            <w:vAlign w:val="bottom"/>
          </w:tcPr>
          <w:p w14:paraId="10A156E5" w14:textId="77777777" w:rsidR="00FE60EB" w:rsidRPr="00C6067A" w:rsidRDefault="00FE60EB" w:rsidP="0048250F">
            <w:pPr>
              <w:spacing w:before="120" w:after="0" w:line="240" w:lineRule="auto"/>
              <w:jc w:val="center"/>
              <w:rPr>
                <w:rFonts w:ascii="Times New Roman" w:eastAsia="Times New Roman" w:hAnsi="Times New Roman" w:cs="Times New Roman"/>
                <w:sz w:val="24"/>
                <w:szCs w:val="24"/>
                <w:lang w:eastAsia="ru-RU"/>
              </w:rPr>
            </w:pPr>
          </w:p>
        </w:tc>
      </w:tr>
      <w:tr w:rsidR="00FE60EB" w:rsidRPr="00C6067A" w14:paraId="7D1975FF" w14:textId="77777777" w:rsidTr="00C6067A">
        <w:trPr>
          <w:trHeight w:val="465"/>
          <w:jc w:val="center"/>
        </w:trPr>
        <w:tc>
          <w:tcPr>
            <w:tcW w:w="2130" w:type="pct"/>
            <w:tcBorders>
              <w:top w:val="single" w:sz="4" w:space="0" w:color="auto"/>
              <w:left w:val="single" w:sz="4" w:space="0" w:color="auto"/>
              <w:bottom w:val="single" w:sz="4" w:space="0" w:color="auto"/>
              <w:right w:val="single" w:sz="4" w:space="0" w:color="auto"/>
            </w:tcBorders>
            <w:vAlign w:val="bottom"/>
          </w:tcPr>
          <w:p w14:paraId="4CF75508" w14:textId="77777777" w:rsidR="00FE60EB" w:rsidRPr="00C6067A" w:rsidRDefault="00FE60EB"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менее 1</w:t>
            </w:r>
          </w:p>
        </w:tc>
        <w:tc>
          <w:tcPr>
            <w:tcW w:w="718" w:type="pct"/>
            <w:tcBorders>
              <w:top w:val="single" w:sz="4" w:space="0" w:color="auto"/>
              <w:left w:val="single" w:sz="4" w:space="0" w:color="auto"/>
              <w:bottom w:val="single" w:sz="4" w:space="0" w:color="auto"/>
              <w:right w:val="single" w:sz="4" w:space="0" w:color="auto"/>
            </w:tcBorders>
            <w:vAlign w:val="bottom"/>
          </w:tcPr>
          <w:p w14:paraId="4785F0E4" w14:textId="77777777" w:rsidR="00FE60EB" w:rsidRPr="00C6067A" w:rsidRDefault="00FE60EB" w:rsidP="0048250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10,1</w:t>
            </w:r>
          </w:p>
        </w:tc>
        <w:tc>
          <w:tcPr>
            <w:tcW w:w="718" w:type="pct"/>
            <w:tcBorders>
              <w:top w:val="single" w:sz="4" w:space="0" w:color="auto"/>
              <w:left w:val="single" w:sz="4" w:space="0" w:color="auto"/>
              <w:bottom w:val="single" w:sz="4" w:space="0" w:color="auto"/>
              <w:right w:val="single" w:sz="4" w:space="0" w:color="auto"/>
            </w:tcBorders>
            <w:vAlign w:val="bottom"/>
          </w:tcPr>
          <w:p w14:paraId="787744A0" w14:textId="77777777" w:rsidR="00FE60EB" w:rsidRPr="00C6067A" w:rsidRDefault="00FE60EB" w:rsidP="0048250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6,1</w:t>
            </w:r>
          </w:p>
        </w:tc>
        <w:tc>
          <w:tcPr>
            <w:tcW w:w="717" w:type="pct"/>
            <w:tcBorders>
              <w:top w:val="single" w:sz="4" w:space="0" w:color="auto"/>
              <w:left w:val="single" w:sz="4" w:space="0" w:color="auto"/>
              <w:bottom w:val="single" w:sz="4" w:space="0" w:color="auto"/>
              <w:right w:val="single" w:sz="4" w:space="0" w:color="auto"/>
            </w:tcBorders>
            <w:vAlign w:val="bottom"/>
          </w:tcPr>
          <w:p w14:paraId="12909A40" w14:textId="77777777" w:rsidR="00FE60EB" w:rsidRPr="00C6067A" w:rsidRDefault="00FE60EB" w:rsidP="0048250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5,8</w:t>
            </w:r>
          </w:p>
        </w:tc>
        <w:tc>
          <w:tcPr>
            <w:tcW w:w="717" w:type="pct"/>
            <w:tcBorders>
              <w:top w:val="single" w:sz="4" w:space="0" w:color="auto"/>
              <w:left w:val="single" w:sz="4" w:space="0" w:color="auto"/>
              <w:bottom w:val="single" w:sz="4" w:space="0" w:color="auto"/>
              <w:right w:val="single" w:sz="4" w:space="0" w:color="auto"/>
            </w:tcBorders>
            <w:vAlign w:val="bottom"/>
          </w:tcPr>
          <w:p w14:paraId="507A40EC" w14:textId="77777777" w:rsidR="00FE60EB" w:rsidRPr="00C6067A" w:rsidRDefault="0092561F" w:rsidP="00C6067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r>
      <w:tr w:rsidR="00FE60EB" w:rsidRPr="00C6067A" w14:paraId="45C339BA" w14:textId="77777777"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14:paraId="54D0B6CA" w14:textId="77777777" w:rsidR="00FE60EB" w:rsidRPr="00C6067A" w:rsidRDefault="00FE60EB"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1 до 3</w:t>
            </w:r>
          </w:p>
        </w:tc>
        <w:tc>
          <w:tcPr>
            <w:tcW w:w="718" w:type="pct"/>
            <w:tcBorders>
              <w:top w:val="single" w:sz="4" w:space="0" w:color="auto"/>
              <w:left w:val="single" w:sz="4" w:space="0" w:color="auto"/>
              <w:bottom w:val="single" w:sz="4" w:space="0" w:color="auto"/>
              <w:right w:val="single" w:sz="4" w:space="0" w:color="auto"/>
            </w:tcBorders>
            <w:vAlign w:val="bottom"/>
          </w:tcPr>
          <w:p w14:paraId="660146A9" w14:textId="77777777" w:rsidR="00FE60EB" w:rsidRPr="00C6067A" w:rsidRDefault="00FE60EB" w:rsidP="0048250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5,8</w:t>
            </w:r>
          </w:p>
        </w:tc>
        <w:tc>
          <w:tcPr>
            <w:tcW w:w="718" w:type="pct"/>
            <w:tcBorders>
              <w:top w:val="single" w:sz="4" w:space="0" w:color="auto"/>
              <w:left w:val="single" w:sz="4" w:space="0" w:color="auto"/>
              <w:bottom w:val="single" w:sz="4" w:space="0" w:color="auto"/>
              <w:right w:val="single" w:sz="4" w:space="0" w:color="auto"/>
            </w:tcBorders>
            <w:vAlign w:val="bottom"/>
          </w:tcPr>
          <w:p w14:paraId="5A00B515" w14:textId="77777777" w:rsidR="00FE60EB" w:rsidRPr="00C6067A" w:rsidRDefault="00FE60EB" w:rsidP="0048250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3,8</w:t>
            </w:r>
          </w:p>
        </w:tc>
        <w:tc>
          <w:tcPr>
            <w:tcW w:w="717" w:type="pct"/>
            <w:tcBorders>
              <w:top w:val="single" w:sz="4" w:space="0" w:color="auto"/>
              <w:left w:val="single" w:sz="4" w:space="0" w:color="auto"/>
              <w:bottom w:val="single" w:sz="4" w:space="0" w:color="auto"/>
              <w:right w:val="single" w:sz="4" w:space="0" w:color="auto"/>
            </w:tcBorders>
            <w:vAlign w:val="bottom"/>
          </w:tcPr>
          <w:p w14:paraId="682FD1D9" w14:textId="77777777" w:rsidR="00FE60EB" w:rsidRPr="00C6067A" w:rsidRDefault="00FE60EB" w:rsidP="0048250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5,0</w:t>
            </w:r>
          </w:p>
        </w:tc>
        <w:tc>
          <w:tcPr>
            <w:tcW w:w="717" w:type="pct"/>
            <w:tcBorders>
              <w:top w:val="single" w:sz="4" w:space="0" w:color="auto"/>
              <w:left w:val="single" w:sz="4" w:space="0" w:color="auto"/>
              <w:bottom w:val="single" w:sz="4" w:space="0" w:color="auto"/>
              <w:right w:val="single" w:sz="4" w:space="0" w:color="auto"/>
            </w:tcBorders>
            <w:vAlign w:val="bottom"/>
          </w:tcPr>
          <w:p w14:paraId="0D926F44" w14:textId="77777777" w:rsidR="00FE60EB" w:rsidRPr="00C6067A" w:rsidRDefault="0092561F" w:rsidP="00C6067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r>
      <w:tr w:rsidR="00FE60EB" w:rsidRPr="00C6067A" w14:paraId="35F30B15" w14:textId="77777777"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14:paraId="6D8A6CFC" w14:textId="77777777" w:rsidR="00FE60EB" w:rsidRPr="00C6067A" w:rsidRDefault="00FE60EB"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3 до 6</w:t>
            </w:r>
          </w:p>
        </w:tc>
        <w:tc>
          <w:tcPr>
            <w:tcW w:w="718" w:type="pct"/>
            <w:tcBorders>
              <w:top w:val="single" w:sz="4" w:space="0" w:color="auto"/>
              <w:left w:val="single" w:sz="4" w:space="0" w:color="auto"/>
              <w:bottom w:val="single" w:sz="4" w:space="0" w:color="auto"/>
              <w:right w:val="single" w:sz="4" w:space="0" w:color="auto"/>
            </w:tcBorders>
            <w:vAlign w:val="bottom"/>
          </w:tcPr>
          <w:p w14:paraId="7283E645" w14:textId="77777777" w:rsidR="00FE60EB" w:rsidRPr="00C6067A" w:rsidRDefault="00FE60EB" w:rsidP="0048250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1,6</w:t>
            </w:r>
          </w:p>
        </w:tc>
        <w:tc>
          <w:tcPr>
            <w:tcW w:w="718" w:type="pct"/>
            <w:tcBorders>
              <w:top w:val="single" w:sz="4" w:space="0" w:color="auto"/>
              <w:left w:val="single" w:sz="4" w:space="0" w:color="auto"/>
              <w:bottom w:val="single" w:sz="4" w:space="0" w:color="auto"/>
              <w:right w:val="single" w:sz="4" w:space="0" w:color="auto"/>
            </w:tcBorders>
            <w:vAlign w:val="bottom"/>
          </w:tcPr>
          <w:p w14:paraId="4925E678" w14:textId="77777777" w:rsidR="00FE60EB" w:rsidRPr="00C6067A" w:rsidRDefault="00FE60EB" w:rsidP="0048250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2,4</w:t>
            </w:r>
          </w:p>
        </w:tc>
        <w:tc>
          <w:tcPr>
            <w:tcW w:w="717" w:type="pct"/>
            <w:tcBorders>
              <w:top w:val="single" w:sz="4" w:space="0" w:color="auto"/>
              <w:left w:val="single" w:sz="4" w:space="0" w:color="auto"/>
              <w:bottom w:val="single" w:sz="4" w:space="0" w:color="auto"/>
              <w:right w:val="single" w:sz="4" w:space="0" w:color="auto"/>
            </w:tcBorders>
            <w:vAlign w:val="bottom"/>
          </w:tcPr>
          <w:p w14:paraId="4E0757BE" w14:textId="77777777" w:rsidR="00FE60EB" w:rsidRPr="00C6067A" w:rsidRDefault="00FE60EB" w:rsidP="0048250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2,6</w:t>
            </w:r>
          </w:p>
        </w:tc>
        <w:tc>
          <w:tcPr>
            <w:tcW w:w="717" w:type="pct"/>
            <w:tcBorders>
              <w:top w:val="single" w:sz="4" w:space="0" w:color="auto"/>
              <w:left w:val="single" w:sz="4" w:space="0" w:color="auto"/>
              <w:bottom w:val="single" w:sz="4" w:space="0" w:color="auto"/>
              <w:right w:val="single" w:sz="4" w:space="0" w:color="auto"/>
            </w:tcBorders>
            <w:vAlign w:val="bottom"/>
          </w:tcPr>
          <w:p w14:paraId="0ABDFF2D" w14:textId="77777777" w:rsidR="00FE60EB" w:rsidRPr="00C6067A" w:rsidRDefault="0092561F" w:rsidP="00C6067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FE60EB" w:rsidRPr="00C6067A" w14:paraId="6690ECC5" w14:textId="77777777"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14:paraId="47FD0523" w14:textId="77777777" w:rsidR="00FE60EB" w:rsidRPr="00C6067A" w:rsidRDefault="00FE60EB"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6 до 9</w:t>
            </w:r>
          </w:p>
        </w:tc>
        <w:tc>
          <w:tcPr>
            <w:tcW w:w="718" w:type="pct"/>
            <w:tcBorders>
              <w:top w:val="single" w:sz="4" w:space="0" w:color="auto"/>
              <w:left w:val="single" w:sz="4" w:space="0" w:color="auto"/>
              <w:bottom w:val="single" w:sz="4" w:space="0" w:color="auto"/>
              <w:right w:val="single" w:sz="4" w:space="0" w:color="auto"/>
            </w:tcBorders>
            <w:vAlign w:val="bottom"/>
          </w:tcPr>
          <w:p w14:paraId="50BAE7C1" w14:textId="77777777" w:rsidR="00FE60EB" w:rsidRPr="00C6067A" w:rsidRDefault="00FE60EB" w:rsidP="0048250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1,1</w:t>
            </w:r>
          </w:p>
        </w:tc>
        <w:tc>
          <w:tcPr>
            <w:tcW w:w="718" w:type="pct"/>
            <w:tcBorders>
              <w:top w:val="single" w:sz="4" w:space="0" w:color="auto"/>
              <w:left w:val="single" w:sz="4" w:space="0" w:color="auto"/>
              <w:bottom w:val="single" w:sz="4" w:space="0" w:color="auto"/>
              <w:right w:val="single" w:sz="4" w:space="0" w:color="auto"/>
            </w:tcBorders>
            <w:vAlign w:val="bottom"/>
          </w:tcPr>
          <w:p w14:paraId="2D59C15D" w14:textId="77777777" w:rsidR="00FE60EB" w:rsidRPr="00C6067A" w:rsidRDefault="00FE60EB" w:rsidP="0048250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0,9</w:t>
            </w:r>
          </w:p>
        </w:tc>
        <w:tc>
          <w:tcPr>
            <w:tcW w:w="717" w:type="pct"/>
            <w:tcBorders>
              <w:top w:val="single" w:sz="4" w:space="0" w:color="auto"/>
              <w:left w:val="single" w:sz="4" w:space="0" w:color="auto"/>
              <w:bottom w:val="single" w:sz="4" w:space="0" w:color="auto"/>
              <w:right w:val="single" w:sz="4" w:space="0" w:color="auto"/>
            </w:tcBorders>
            <w:vAlign w:val="bottom"/>
          </w:tcPr>
          <w:p w14:paraId="675BD5FD" w14:textId="77777777" w:rsidR="00FE60EB" w:rsidRPr="00C6067A" w:rsidRDefault="00FE60EB" w:rsidP="0048250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3,5</w:t>
            </w:r>
          </w:p>
        </w:tc>
        <w:tc>
          <w:tcPr>
            <w:tcW w:w="717" w:type="pct"/>
            <w:tcBorders>
              <w:top w:val="single" w:sz="4" w:space="0" w:color="auto"/>
              <w:left w:val="single" w:sz="4" w:space="0" w:color="auto"/>
              <w:bottom w:val="single" w:sz="4" w:space="0" w:color="auto"/>
              <w:right w:val="single" w:sz="4" w:space="0" w:color="auto"/>
            </w:tcBorders>
            <w:vAlign w:val="bottom"/>
          </w:tcPr>
          <w:p w14:paraId="492D3682" w14:textId="77777777" w:rsidR="00FE60EB" w:rsidRPr="00C6067A" w:rsidRDefault="0092561F" w:rsidP="00C6067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r>
      <w:tr w:rsidR="00FE60EB" w:rsidRPr="00C6067A" w14:paraId="667E87EE" w14:textId="77777777"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14:paraId="60D82FB6" w14:textId="77777777" w:rsidR="00FE60EB" w:rsidRPr="00C6067A" w:rsidRDefault="00FE60EB"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9 до 12</w:t>
            </w:r>
          </w:p>
        </w:tc>
        <w:tc>
          <w:tcPr>
            <w:tcW w:w="718" w:type="pct"/>
            <w:tcBorders>
              <w:top w:val="single" w:sz="4" w:space="0" w:color="auto"/>
              <w:left w:val="single" w:sz="4" w:space="0" w:color="auto"/>
              <w:right w:val="single" w:sz="4" w:space="0" w:color="auto"/>
            </w:tcBorders>
            <w:vAlign w:val="bottom"/>
          </w:tcPr>
          <w:p w14:paraId="60AB3367" w14:textId="77777777" w:rsidR="00FE60EB" w:rsidRPr="00C6067A" w:rsidRDefault="00FE60EB" w:rsidP="0048250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1,0</w:t>
            </w:r>
          </w:p>
        </w:tc>
        <w:tc>
          <w:tcPr>
            <w:tcW w:w="718" w:type="pct"/>
            <w:tcBorders>
              <w:top w:val="single" w:sz="4" w:space="0" w:color="auto"/>
              <w:left w:val="single" w:sz="4" w:space="0" w:color="auto"/>
              <w:right w:val="single" w:sz="4" w:space="0" w:color="auto"/>
            </w:tcBorders>
            <w:vAlign w:val="bottom"/>
          </w:tcPr>
          <w:p w14:paraId="22DFF1E7" w14:textId="77777777" w:rsidR="00FE60EB" w:rsidRPr="00C6067A" w:rsidRDefault="00FE60EB" w:rsidP="0048250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0,2</w:t>
            </w:r>
          </w:p>
        </w:tc>
        <w:tc>
          <w:tcPr>
            <w:tcW w:w="717" w:type="pct"/>
            <w:tcBorders>
              <w:top w:val="single" w:sz="4" w:space="0" w:color="auto"/>
              <w:left w:val="single" w:sz="4" w:space="0" w:color="auto"/>
              <w:right w:val="single" w:sz="4" w:space="0" w:color="auto"/>
            </w:tcBorders>
            <w:vAlign w:val="bottom"/>
          </w:tcPr>
          <w:p w14:paraId="044FEB96" w14:textId="77777777" w:rsidR="00FE60EB" w:rsidRPr="00C6067A" w:rsidRDefault="00FE60EB" w:rsidP="0048250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0,7</w:t>
            </w:r>
          </w:p>
        </w:tc>
        <w:tc>
          <w:tcPr>
            <w:tcW w:w="717" w:type="pct"/>
            <w:tcBorders>
              <w:top w:val="single" w:sz="4" w:space="0" w:color="auto"/>
              <w:left w:val="single" w:sz="4" w:space="0" w:color="auto"/>
              <w:right w:val="single" w:sz="4" w:space="0" w:color="auto"/>
            </w:tcBorders>
            <w:vAlign w:val="bottom"/>
          </w:tcPr>
          <w:p w14:paraId="090D839B" w14:textId="77777777" w:rsidR="00FE60EB" w:rsidRPr="00C6067A" w:rsidRDefault="0092561F" w:rsidP="00C6067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tc>
      </w:tr>
      <w:tr w:rsidR="00FE60EB" w:rsidRPr="00C6067A" w14:paraId="53E5D65C" w14:textId="77777777"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14:paraId="1F319F43" w14:textId="77777777" w:rsidR="00FE60EB" w:rsidRPr="00C6067A" w:rsidRDefault="00FE60EB"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12 и более</w:t>
            </w:r>
          </w:p>
        </w:tc>
        <w:tc>
          <w:tcPr>
            <w:tcW w:w="718" w:type="pct"/>
            <w:tcBorders>
              <w:top w:val="single" w:sz="4" w:space="0" w:color="auto"/>
              <w:left w:val="single" w:sz="4" w:space="0" w:color="auto"/>
              <w:bottom w:val="single" w:sz="4" w:space="0" w:color="auto"/>
              <w:right w:val="single" w:sz="4" w:space="0" w:color="auto"/>
            </w:tcBorders>
            <w:vAlign w:val="bottom"/>
          </w:tcPr>
          <w:p w14:paraId="4DB79319" w14:textId="77777777" w:rsidR="00FE60EB" w:rsidRPr="00C6067A" w:rsidRDefault="00FE60EB" w:rsidP="0048250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1,8</w:t>
            </w:r>
          </w:p>
        </w:tc>
        <w:tc>
          <w:tcPr>
            <w:tcW w:w="718" w:type="pct"/>
            <w:tcBorders>
              <w:top w:val="single" w:sz="4" w:space="0" w:color="auto"/>
              <w:left w:val="single" w:sz="4" w:space="0" w:color="auto"/>
              <w:bottom w:val="single" w:sz="4" w:space="0" w:color="auto"/>
              <w:right w:val="single" w:sz="4" w:space="0" w:color="auto"/>
            </w:tcBorders>
            <w:vAlign w:val="bottom"/>
          </w:tcPr>
          <w:p w14:paraId="1693040C" w14:textId="77777777" w:rsidR="00FE60EB" w:rsidRPr="00C6067A" w:rsidRDefault="00FE60EB" w:rsidP="0048250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0,5</w:t>
            </w:r>
          </w:p>
        </w:tc>
        <w:tc>
          <w:tcPr>
            <w:tcW w:w="717" w:type="pct"/>
            <w:tcBorders>
              <w:top w:val="single" w:sz="4" w:space="0" w:color="auto"/>
              <w:left w:val="single" w:sz="4" w:space="0" w:color="auto"/>
              <w:bottom w:val="single" w:sz="4" w:space="0" w:color="auto"/>
              <w:right w:val="single" w:sz="4" w:space="0" w:color="auto"/>
            </w:tcBorders>
            <w:vAlign w:val="bottom"/>
          </w:tcPr>
          <w:p w14:paraId="210EEB4C" w14:textId="77777777" w:rsidR="00FE60EB" w:rsidRPr="00C6067A" w:rsidRDefault="00FE60EB" w:rsidP="0048250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0,7</w:t>
            </w:r>
          </w:p>
        </w:tc>
        <w:tc>
          <w:tcPr>
            <w:tcW w:w="717" w:type="pct"/>
            <w:tcBorders>
              <w:top w:val="single" w:sz="4" w:space="0" w:color="auto"/>
              <w:left w:val="single" w:sz="4" w:space="0" w:color="auto"/>
              <w:bottom w:val="single" w:sz="4" w:space="0" w:color="auto"/>
              <w:right w:val="single" w:sz="4" w:space="0" w:color="auto"/>
            </w:tcBorders>
            <w:vAlign w:val="bottom"/>
          </w:tcPr>
          <w:p w14:paraId="54657928" w14:textId="77777777" w:rsidR="00FE60EB" w:rsidRPr="00C6067A" w:rsidRDefault="0092561F" w:rsidP="00C6067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FE60EB" w:rsidRPr="00C6067A" w14:paraId="2C365936" w14:textId="77777777"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center"/>
          </w:tcPr>
          <w:p w14:paraId="335D77AA" w14:textId="77777777" w:rsidR="00FE60EB" w:rsidRPr="00C6067A" w:rsidRDefault="00FE60EB" w:rsidP="00D03A4F">
            <w:pPr>
              <w:spacing w:after="0" w:line="312" w:lineRule="auto"/>
              <w:ind w:left="113"/>
              <w:rPr>
                <w:rFonts w:ascii="Times New Roman" w:eastAsia="Arial Unicode MS" w:hAnsi="Times New Roman" w:cs="Times New Roman"/>
                <w:b/>
                <w:sz w:val="24"/>
                <w:szCs w:val="24"/>
                <w:lang w:eastAsia="ru-RU"/>
              </w:rPr>
            </w:pPr>
            <w:r w:rsidRPr="00C6067A">
              <w:rPr>
                <w:rFonts w:ascii="Times New Roman" w:eastAsia="Times New Roman" w:hAnsi="Times New Roman" w:cs="Times New Roman"/>
                <w:b/>
                <w:sz w:val="24"/>
                <w:szCs w:val="24"/>
                <w:lang w:eastAsia="ru-RU"/>
              </w:rPr>
              <w:t>Женщины</w:t>
            </w:r>
          </w:p>
        </w:tc>
        <w:tc>
          <w:tcPr>
            <w:tcW w:w="718" w:type="pct"/>
            <w:tcBorders>
              <w:left w:val="single" w:sz="4" w:space="0" w:color="auto"/>
              <w:right w:val="single" w:sz="4" w:space="0" w:color="auto"/>
            </w:tcBorders>
            <w:vAlign w:val="bottom"/>
          </w:tcPr>
          <w:p w14:paraId="23C49258" w14:textId="77777777" w:rsidR="00FE60EB" w:rsidRPr="00C6067A" w:rsidRDefault="00FE60EB" w:rsidP="0048250F">
            <w:pPr>
              <w:spacing w:before="120" w:after="0" w:line="240" w:lineRule="auto"/>
              <w:jc w:val="center"/>
              <w:rPr>
                <w:rFonts w:ascii="Times New Roman" w:eastAsia="Times New Roman" w:hAnsi="Times New Roman" w:cs="Times New Roman"/>
                <w:b/>
                <w:sz w:val="24"/>
                <w:szCs w:val="24"/>
                <w:lang w:eastAsia="ru-RU"/>
              </w:rPr>
            </w:pPr>
            <w:r w:rsidRPr="00C6067A">
              <w:rPr>
                <w:rFonts w:ascii="Times New Roman" w:eastAsia="Times New Roman" w:hAnsi="Times New Roman" w:cs="Times New Roman"/>
                <w:b/>
                <w:sz w:val="24"/>
                <w:szCs w:val="24"/>
                <w:lang w:eastAsia="ru-RU"/>
              </w:rPr>
              <w:t>14,3</w:t>
            </w:r>
          </w:p>
        </w:tc>
        <w:tc>
          <w:tcPr>
            <w:tcW w:w="718" w:type="pct"/>
            <w:tcBorders>
              <w:left w:val="single" w:sz="4" w:space="0" w:color="auto"/>
              <w:right w:val="single" w:sz="4" w:space="0" w:color="auto"/>
            </w:tcBorders>
            <w:vAlign w:val="bottom"/>
          </w:tcPr>
          <w:p w14:paraId="472F0ECA" w14:textId="77777777" w:rsidR="00FE60EB" w:rsidRPr="00C6067A" w:rsidRDefault="00FE60EB" w:rsidP="0048250F">
            <w:pPr>
              <w:spacing w:before="120" w:after="0" w:line="240" w:lineRule="auto"/>
              <w:jc w:val="center"/>
              <w:rPr>
                <w:rFonts w:ascii="Times New Roman" w:eastAsia="Times New Roman" w:hAnsi="Times New Roman" w:cs="Times New Roman"/>
                <w:b/>
                <w:sz w:val="24"/>
                <w:szCs w:val="24"/>
                <w:lang w:eastAsia="ru-RU"/>
              </w:rPr>
            </w:pPr>
            <w:r w:rsidRPr="00C6067A">
              <w:rPr>
                <w:rFonts w:ascii="Times New Roman" w:eastAsia="Times New Roman" w:hAnsi="Times New Roman" w:cs="Times New Roman"/>
                <w:b/>
                <w:sz w:val="24"/>
                <w:szCs w:val="24"/>
                <w:lang w:eastAsia="ru-RU"/>
              </w:rPr>
              <w:t>10,5</w:t>
            </w:r>
          </w:p>
        </w:tc>
        <w:tc>
          <w:tcPr>
            <w:tcW w:w="717" w:type="pct"/>
            <w:tcBorders>
              <w:left w:val="single" w:sz="4" w:space="0" w:color="auto"/>
              <w:right w:val="single" w:sz="4" w:space="0" w:color="auto"/>
            </w:tcBorders>
            <w:vAlign w:val="bottom"/>
          </w:tcPr>
          <w:p w14:paraId="73572688" w14:textId="77777777" w:rsidR="00FE60EB" w:rsidRPr="00C6067A" w:rsidRDefault="00FE60EB" w:rsidP="0048250F">
            <w:pPr>
              <w:spacing w:before="120" w:after="0" w:line="240" w:lineRule="auto"/>
              <w:jc w:val="center"/>
              <w:rPr>
                <w:rFonts w:ascii="Times New Roman" w:eastAsia="Times New Roman" w:hAnsi="Times New Roman" w:cs="Times New Roman"/>
                <w:b/>
                <w:sz w:val="24"/>
                <w:szCs w:val="24"/>
                <w:lang w:eastAsia="ru-RU"/>
              </w:rPr>
            </w:pPr>
            <w:r w:rsidRPr="00C6067A">
              <w:rPr>
                <w:rFonts w:ascii="Times New Roman" w:eastAsia="Times New Roman" w:hAnsi="Times New Roman" w:cs="Times New Roman"/>
                <w:b/>
                <w:sz w:val="24"/>
                <w:szCs w:val="24"/>
                <w:lang w:eastAsia="ru-RU"/>
              </w:rPr>
              <w:t>11,4</w:t>
            </w:r>
          </w:p>
        </w:tc>
        <w:tc>
          <w:tcPr>
            <w:tcW w:w="717" w:type="pct"/>
            <w:tcBorders>
              <w:left w:val="single" w:sz="4" w:space="0" w:color="auto"/>
              <w:right w:val="single" w:sz="4" w:space="0" w:color="auto"/>
            </w:tcBorders>
            <w:vAlign w:val="bottom"/>
          </w:tcPr>
          <w:p w14:paraId="716E36B9" w14:textId="77777777" w:rsidR="00FE60EB" w:rsidRPr="00C6067A" w:rsidRDefault="0092561F" w:rsidP="00C6067A">
            <w:pPr>
              <w:spacing w:before="120"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12,1</w:t>
            </w:r>
          </w:p>
        </w:tc>
      </w:tr>
      <w:tr w:rsidR="00FE60EB" w:rsidRPr="00C6067A" w14:paraId="5C7FE768" w14:textId="77777777"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14:paraId="3C0925CA" w14:textId="77777777" w:rsidR="00FE60EB" w:rsidRPr="00C6067A" w:rsidRDefault="00FE60EB"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в том числе ищут работу, месяцев:</w:t>
            </w:r>
          </w:p>
        </w:tc>
        <w:tc>
          <w:tcPr>
            <w:tcW w:w="2870" w:type="pct"/>
            <w:gridSpan w:val="4"/>
            <w:tcBorders>
              <w:top w:val="single" w:sz="4" w:space="0" w:color="auto"/>
              <w:left w:val="single" w:sz="4" w:space="0" w:color="auto"/>
              <w:bottom w:val="single" w:sz="4" w:space="0" w:color="auto"/>
              <w:right w:val="single" w:sz="4" w:space="0" w:color="auto"/>
            </w:tcBorders>
            <w:vAlign w:val="center"/>
          </w:tcPr>
          <w:p w14:paraId="45FB8090" w14:textId="77777777" w:rsidR="00FE60EB" w:rsidRPr="00C6067A" w:rsidRDefault="00FE60EB" w:rsidP="00C6067A">
            <w:pPr>
              <w:spacing w:before="120" w:after="0" w:line="240" w:lineRule="auto"/>
              <w:jc w:val="center"/>
              <w:rPr>
                <w:rFonts w:ascii="Times New Roman" w:eastAsia="Times New Roman" w:hAnsi="Times New Roman" w:cs="Times New Roman"/>
                <w:sz w:val="24"/>
                <w:szCs w:val="24"/>
                <w:lang w:eastAsia="ru-RU"/>
              </w:rPr>
            </w:pPr>
          </w:p>
        </w:tc>
      </w:tr>
      <w:tr w:rsidR="0092561F" w:rsidRPr="00C6067A" w14:paraId="2EC86C28" w14:textId="77777777" w:rsidTr="00C6067A">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14:paraId="31DD6B7B" w14:textId="77777777" w:rsidR="0092561F" w:rsidRPr="00C6067A" w:rsidRDefault="0092561F"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менее 1</w:t>
            </w:r>
          </w:p>
        </w:tc>
        <w:tc>
          <w:tcPr>
            <w:tcW w:w="718" w:type="pct"/>
            <w:tcBorders>
              <w:left w:val="single" w:sz="4" w:space="0" w:color="auto"/>
              <w:bottom w:val="single" w:sz="4" w:space="0" w:color="auto"/>
              <w:right w:val="single" w:sz="4" w:space="0" w:color="auto"/>
            </w:tcBorders>
            <w:vAlign w:val="bottom"/>
          </w:tcPr>
          <w:p w14:paraId="16711A57" w14:textId="77777777" w:rsidR="0092561F" w:rsidRPr="00C6067A" w:rsidRDefault="0092561F" w:rsidP="0048250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6,1</w:t>
            </w:r>
          </w:p>
        </w:tc>
        <w:tc>
          <w:tcPr>
            <w:tcW w:w="718" w:type="pct"/>
            <w:tcBorders>
              <w:left w:val="single" w:sz="4" w:space="0" w:color="auto"/>
              <w:bottom w:val="single" w:sz="4" w:space="0" w:color="auto"/>
              <w:right w:val="single" w:sz="4" w:space="0" w:color="auto"/>
            </w:tcBorders>
            <w:vAlign w:val="bottom"/>
          </w:tcPr>
          <w:p w14:paraId="0C0C281E" w14:textId="77777777" w:rsidR="0092561F" w:rsidRPr="00C6067A" w:rsidRDefault="0092561F" w:rsidP="0048250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3,6</w:t>
            </w:r>
          </w:p>
        </w:tc>
        <w:tc>
          <w:tcPr>
            <w:tcW w:w="717" w:type="pct"/>
            <w:tcBorders>
              <w:left w:val="single" w:sz="4" w:space="0" w:color="auto"/>
              <w:bottom w:val="single" w:sz="4" w:space="0" w:color="auto"/>
              <w:right w:val="single" w:sz="4" w:space="0" w:color="auto"/>
            </w:tcBorders>
            <w:vAlign w:val="bottom"/>
          </w:tcPr>
          <w:p w14:paraId="496BB654" w14:textId="77777777" w:rsidR="0092561F" w:rsidRPr="00C6067A" w:rsidRDefault="0092561F" w:rsidP="0048250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3,5</w:t>
            </w:r>
          </w:p>
        </w:tc>
        <w:tc>
          <w:tcPr>
            <w:tcW w:w="717" w:type="pct"/>
            <w:tcBorders>
              <w:left w:val="single" w:sz="4" w:space="0" w:color="auto"/>
              <w:bottom w:val="single" w:sz="4" w:space="0" w:color="auto"/>
              <w:right w:val="single" w:sz="4" w:space="0" w:color="auto"/>
            </w:tcBorders>
            <w:vAlign w:val="bottom"/>
          </w:tcPr>
          <w:p w14:paraId="443E8D88" w14:textId="77777777" w:rsidR="0092561F" w:rsidRPr="00C6067A" w:rsidRDefault="0092561F" w:rsidP="00C6067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r>
      <w:tr w:rsidR="0092561F" w:rsidRPr="00C6067A" w14:paraId="47D381B7" w14:textId="77777777" w:rsidTr="0048250F">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14:paraId="59E9F486" w14:textId="77777777" w:rsidR="0092561F" w:rsidRPr="00C6067A" w:rsidRDefault="0092561F"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1 до 3</w:t>
            </w:r>
          </w:p>
        </w:tc>
        <w:tc>
          <w:tcPr>
            <w:tcW w:w="718" w:type="pct"/>
            <w:tcBorders>
              <w:top w:val="single" w:sz="4" w:space="0" w:color="auto"/>
              <w:left w:val="single" w:sz="4" w:space="0" w:color="auto"/>
              <w:bottom w:val="single" w:sz="4" w:space="0" w:color="auto"/>
              <w:right w:val="single" w:sz="4" w:space="0" w:color="auto"/>
            </w:tcBorders>
            <w:vAlign w:val="bottom"/>
          </w:tcPr>
          <w:p w14:paraId="7F56A925" w14:textId="77777777" w:rsidR="0092561F" w:rsidRPr="00C6067A" w:rsidRDefault="0092561F" w:rsidP="0048250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5,2</w:t>
            </w:r>
          </w:p>
        </w:tc>
        <w:tc>
          <w:tcPr>
            <w:tcW w:w="718" w:type="pct"/>
            <w:tcBorders>
              <w:top w:val="single" w:sz="4" w:space="0" w:color="auto"/>
              <w:left w:val="single" w:sz="4" w:space="0" w:color="auto"/>
              <w:bottom w:val="single" w:sz="4" w:space="0" w:color="auto"/>
              <w:right w:val="single" w:sz="4" w:space="0" w:color="auto"/>
            </w:tcBorders>
            <w:vAlign w:val="bottom"/>
          </w:tcPr>
          <w:p w14:paraId="3AA3E2EF" w14:textId="77777777" w:rsidR="0092561F" w:rsidRPr="00C6067A" w:rsidRDefault="0092561F" w:rsidP="0048250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3,4</w:t>
            </w:r>
          </w:p>
        </w:tc>
        <w:tc>
          <w:tcPr>
            <w:tcW w:w="717" w:type="pct"/>
            <w:tcBorders>
              <w:top w:val="single" w:sz="4" w:space="0" w:color="auto"/>
              <w:left w:val="single" w:sz="4" w:space="0" w:color="auto"/>
              <w:bottom w:val="single" w:sz="4" w:space="0" w:color="auto"/>
              <w:right w:val="single" w:sz="4" w:space="0" w:color="auto"/>
            </w:tcBorders>
          </w:tcPr>
          <w:p w14:paraId="3C45B348" w14:textId="77777777" w:rsidR="0092561F" w:rsidRPr="00C6067A" w:rsidRDefault="0092561F" w:rsidP="0048250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2,7</w:t>
            </w:r>
          </w:p>
        </w:tc>
        <w:tc>
          <w:tcPr>
            <w:tcW w:w="717" w:type="pct"/>
            <w:tcBorders>
              <w:top w:val="single" w:sz="4" w:space="0" w:color="auto"/>
              <w:left w:val="single" w:sz="4" w:space="0" w:color="auto"/>
              <w:bottom w:val="single" w:sz="4" w:space="0" w:color="auto"/>
              <w:right w:val="single" w:sz="4" w:space="0" w:color="auto"/>
            </w:tcBorders>
          </w:tcPr>
          <w:p w14:paraId="58FB9D6F" w14:textId="77777777" w:rsidR="0092561F" w:rsidRPr="00C6067A" w:rsidRDefault="0092561F" w:rsidP="00D03A4F">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92561F" w:rsidRPr="00C6067A" w14:paraId="14C4A23F" w14:textId="77777777" w:rsidTr="0048250F">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14:paraId="182433E2" w14:textId="77777777" w:rsidR="0092561F" w:rsidRPr="00C6067A" w:rsidRDefault="0092561F"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3 до 6</w:t>
            </w:r>
          </w:p>
        </w:tc>
        <w:tc>
          <w:tcPr>
            <w:tcW w:w="718" w:type="pct"/>
            <w:tcBorders>
              <w:top w:val="single" w:sz="4" w:space="0" w:color="auto"/>
              <w:left w:val="single" w:sz="4" w:space="0" w:color="auto"/>
              <w:bottom w:val="single" w:sz="4" w:space="0" w:color="auto"/>
              <w:right w:val="single" w:sz="4" w:space="0" w:color="auto"/>
            </w:tcBorders>
            <w:vAlign w:val="bottom"/>
          </w:tcPr>
          <w:p w14:paraId="3FE715E1" w14:textId="77777777" w:rsidR="0092561F" w:rsidRPr="00C6067A" w:rsidRDefault="0092561F" w:rsidP="0048250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1,4</w:t>
            </w:r>
          </w:p>
        </w:tc>
        <w:tc>
          <w:tcPr>
            <w:tcW w:w="718" w:type="pct"/>
            <w:tcBorders>
              <w:top w:val="single" w:sz="4" w:space="0" w:color="auto"/>
              <w:left w:val="single" w:sz="4" w:space="0" w:color="auto"/>
              <w:bottom w:val="single" w:sz="4" w:space="0" w:color="auto"/>
              <w:right w:val="single" w:sz="4" w:space="0" w:color="auto"/>
            </w:tcBorders>
            <w:vAlign w:val="bottom"/>
          </w:tcPr>
          <w:p w14:paraId="1F3F3C18" w14:textId="77777777" w:rsidR="0092561F" w:rsidRPr="00C6067A" w:rsidRDefault="0092561F" w:rsidP="0048250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1,1</w:t>
            </w:r>
          </w:p>
        </w:tc>
        <w:tc>
          <w:tcPr>
            <w:tcW w:w="717" w:type="pct"/>
            <w:tcBorders>
              <w:top w:val="single" w:sz="4" w:space="0" w:color="auto"/>
              <w:left w:val="single" w:sz="4" w:space="0" w:color="auto"/>
              <w:bottom w:val="single" w:sz="4" w:space="0" w:color="auto"/>
              <w:right w:val="single" w:sz="4" w:space="0" w:color="auto"/>
            </w:tcBorders>
          </w:tcPr>
          <w:p w14:paraId="57F13903" w14:textId="77777777" w:rsidR="0092561F" w:rsidRPr="00C6067A" w:rsidRDefault="0092561F" w:rsidP="0048250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3,0</w:t>
            </w:r>
          </w:p>
        </w:tc>
        <w:tc>
          <w:tcPr>
            <w:tcW w:w="717" w:type="pct"/>
            <w:tcBorders>
              <w:top w:val="single" w:sz="4" w:space="0" w:color="auto"/>
              <w:left w:val="single" w:sz="4" w:space="0" w:color="auto"/>
              <w:bottom w:val="single" w:sz="4" w:space="0" w:color="auto"/>
              <w:right w:val="single" w:sz="4" w:space="0" w:color="auto"/>
            </w:tcBorders>
          </w:tcPr>
          <w:p w14:paraId="5C250F31" w14:textId="77777777" w:rsidR="0092561F" w:rsidRPr="00C6067A" w:rsidRDefault="0092561F" w:rsidP="00D03A4F">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92561F" w:rsidRPr="00C6067A" w14:paraId="4F685751" w14:textId="77777777" w:rsidTr="0048250F">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14:paraId="5690FD63" w14:textId="77777777" w:rsidR="0092561F" w:rsidRPr="00C6067A" w:rsidRDefault="0092561F"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6 до 9</w:t>
            </w:r>
          </w:p>
        </w:tc>
        <w:tc>
          <w:tcPr>
            <w:tcW w:w="718" w:type="pct"/>
            <w:tcBorders>
              <w:top w:val="single" w:sz="4" w:space="0" w:color="auto"/>
              <w:left w:val="single" w:sz="4" w:space="0" w:color="auto"/>
              <w:bottom w:val="single" w:sz="4" w:space="0" w:color="auto"/>
              <w:right w:val="single" w:sz="4" w:space="0" w:color="auto"/>
            </w:tcBorders>
            <w:vAlign w:val="bottom"/>
          </w:tcPr>
          <w:p w14:paraId="1355A924" w14:textId="77777777" w:rsidR="0092561F" w:rsidRPr="00C6067A" w:rsidRDefault="0092561F" w:rsidP="0048250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0,5</w:t>
            </w:r>
          </w:p>
        </w:tc>
        <w:tc>
          <w:tcPr>
            <w:tcW w:w="718" w:type="pct"/>
            <w:tcBorders>
              <w:top w:val="single" w:sz="4" w:space="0" w:color="auto"/>
              <w:left w:val="single" w:sz="4" w:space="0" w:color="auto"/>
              <w:bottom w:val="single" w:sz="4" w:space="0" w:color="auto"/>
              <w:right w:val="single" w:sz="4" w:space="0" w:color="auto"/>
            </w:tcBorders>
            <w:vAlign w:val="bottom"/>
          </w:tcPr>
          <w:p w14:paraId="58468C50" w14:textId="77777777" w:rsidR="0092561F" w:rsidRPr="00C6067A" w:rsidRDefault="0092561F" w:rsidP="0048250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0,7</w:t>
            </w:r>
          </w:p>
        </w:tc>
        <w:tc>
          <w:tcPr>
            <w:tcW w:w="717" w:type="pct"/>
            <w:tcBorders>
              <w:top w:val="single" w:sz="4" w:space="0" w:color="auto"/>
              <w:left w:val="single" w:sz="4" w:space="0" w:color="auto"/>
              <w:bottom w:val="single" w:sz="4" w:space="0" w:color="auto"/>
              <w:right w:val="single" w:sz="4" w:space="0" w:color="auto"/>
            </w:tcBorders>
          </w:tcPr>
          <w:p w14:paraId="2581C8C8" w14:textId="77777777" w:rsidR="0092561F" w:rsidRPr="00C6067A" w:rsidRDefault="0092561F" w:rsidP="0048250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1,0</w:t>
            </w:r>
          </w:p>
        </w:tc>
        <w:tc>
          <w:tcPr>
            <w:tcW w:w="717" w:type="pct"/>
            <w:tcBorders>
              <w:top w:val="single" w:sz="4" w:space="0" w:color="auto"/>
              <w:left w:val="single" w:sz="4" w:space="0" w:color="auto"/>
              <w:bottom w:val="single" w:sz="4" w:space="0" w:color="auto"/>
              <w:right w:val="single" w:sz="4" w:space="0" w:color="auto"/>
            </w:tcBorders>
          </w:tcPr>
          <w:p w14:paraId="7F0073D3" w14:textId="77777777" w:rsidR="0092561F" w:rsidRPr="00C6067A" w:rsidRDefault="0092561F" w:rsidP="00D03A4F">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r>
      <w:tr w:rsidR="0092561F" w:rsidRPr="00C6067A" w14:paraId="1F80F978" w14:textId="77777777" w:rsidTr="0048250F">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14:paraId="70EAAD64" w14:textId="77777777" w:rsidR="0092561F" w:rsidRPr="00C6067A" w:rsidRDefault="0092561F"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от 9 до 12</w:t>
            </w:r>
          </w:p>
        </w:tc>
        <w:tc>
          <w:tcPr>
            <w:tcW w:w="718" w:type="pct"/>
            <w:tcBorders>
              <w:top w:val="single" w:sz="4" w:space="0" w:color="auto"/>
              <w:left w:val="single" w:sz="4" w:space="0" w:color="auto"/>
              <w:bottom w:val="single" w:sz="4" w:space="0" w:color="auto"/>
              <w:right w:val="single" w:sz="4" w:space="0" w:color="auto"/>
            </w:tcBorders>
            <w:vAlign w:val="bottom"/>
          </w:tcPr>
          <w:p w14:paraId="760AD5E7" w14:textId="77777777" w:rsidR="0092561F" w:rsidRPr="00C6067A" w:rsidRDefault="0092561F" w:rsidP="0048250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0,4</w:t>
            </w:r>
          </w:p>
        </w:tc>
        <w:tc>
          <w:tcPr>
            <w:tcW w:w="718" w:type="pct"/>
            <w:tcBorders>
              <w:top w:val="single" w:sz="4" w:space="0" w:color="auto"/>
              <w:left w:val="single" w:sz="4" w:space="0" w:color="auto"/>
              <w:bottom w:val="single" w:sz="4" w:space="0" w:color="auto"/>
              <w:right w:val="single" w:sz="4" w:space="0" w:color="auto"/>
            </w:tcBorders>
            <w:vAlign w:val="bottom"/>
          </w:tcPr>
          <w:p w14:paraId="18BCF36F" w14:textId="77777777" w:rsidR="0092561F" w:rsidRPr="00C6067A" w:rsidRDefault="0092561F" w:rsidP="0048250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1,1</w:t>
            </w:r>
          </w:p>
        </w:tc>
        <w:tc>
          <w:tcPr>
            <w:tcW w:w="717" w:type="pct"/>
            <w:tcBorders>
              <w:top w:val="single" w:sz="4" w:space="0" w:color="auto"/>
              <w:left w:val="single" w:sz="4" w:space="0" w:color="auto"/>
              <w:bottom w:val="single" w:sz="4" w:space="0" w:color="auto"/>
              <w:right w:val="single" w:sz="4" w:space="0" w:color="auto"/>
            </w:tcBorders>
          </w:tcPr>
          <w:p w14:paraId="23D3AE2F" w14:textId="77777777" w:rsidR="0092561F" w:rsidRPr="00C6067A" w:rsidRDefault="0092561F" w:rsidP="0048250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0,9</w:t>
            </w:r>
          </w:p>
        </w:tc>
        <w:tc>
          <w:tcPr>
            <w:tcW w:w="717" w:type="pct"/>
            <w:tcBorders>
              <w:top w:val="single" w:sz="4" w:space="0" w:color="auto"/>
              <w:left w:val="single" w:sz="4" w:space="0" w:color="auto"/>
              <w:bottom w:val="single" w:sz="4" w:space="0" w:color="auto"/>
              <w:right w:val="single" w:sz="4" w:space="0" w:color="auto"/>
            </w:tcBorders>
          </w:tcPr>
          <w:p w14:paraId="0ACE1825" w14:textId="77777777" w:rsidR="0092561F" w:rsidRPr="00C6067A" w:rsidRDefault="0092561F" w:rsidP="00D03A4F">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92561F" w:rsidRPr="00BD5A90" w14:paraId="6CE29A72" w14:textId="77777777" w:rsidTr="0048250F">
        <w:trPr>
          <w:trHeight w:val="227"/>
          <w:jc w:val="center"/>
        </w:trPr>
        <w:tc>
          <w:tcPr>
            <w:tcW w:w="2130" w:type="pct"/>
            <w:tcBorders>
              <w:top w:val="single" w:sz="4" w:space="0" w:color="auto"/>
              <w:left w:val="single" w:sz="4" w:space="0" w:color="auto"/>
              <w:bottom w:val="single" w:sz="4" w:space="0" w:color="auto"/>
              <w:right w:val="single" w:sz="4" w:space="0" w:color="auto"/>
            </w:tcBorders>
            <w:vAlign w:val="bottom"/>
          </w:tcPr>
          <w:p w14:paraId="31EF22A6" w14:textId="77777777" w:rsidR="0092561F" w:rsidRPr="00C6067A" w:rsidRDefault="0092561F" w:rsidP="00D03A4F">
            <w:pPr>
              <w:spacing w:after="0" w:line="312" w:lineRule="auto"/>
              <w:ind w:left="113"/>
              <w:rPr>
                <w:rFonts w:ascii="Times New Roman" w:eastAsia="Arial Unicode MS" w:hAnsi="Times New Roman" w:cs="Times New Roman"/>
                <w:sz w:val="24"/>
                <w:szCs w:val="24"/>
                <w:lang w:eastAsia="ru-RU"/>
              </w:rPr>
            </w:pPr>
            <w:r w:rsidRPr="00C6067A">
              <w:rPr>
                <w:rFonts w:ascii="Times New Roman" w:eastAsia="Times New Roman" w:hAnsi="Times New Roman" w:cs="Times New Roman"/>
                <w:sz w:val="24"/>
                <w:szCs w:val="24"/>
                <w:lang w:eastAsia="ru-RU"/>
              </w:rPr>
              <w:t>12 и более</w:t>
            </w:r>
          </w:p>
        </w:tc>
        <w:tc>
          <w:tcPr>
            <w:tcW w:w="718" w:type="pct"/>
            <w:tcBorders>
              <w:top w:val="single" w:sz="4" w:space="0" w:color="auto"/>
              <w:left w:val="single" w:sz="4" w:space="0" w:color="auto"/>
              <w:bottom w:val="single" w:sz="4" w:space="0" w:color="auto"/>
              <w:right w:val="single" w:sz="4" w:space="0" w:color="auto"/>
            </w:tcBorders>
            <w:vAlign w:val="bottom"/>
          </w:tcPr>
          <w:p w14:paraId="3E10FAAB" w14:textId="77777777" w:rsidR="0092561F" w:rsidRPr="00C6067A" w:rsidRDefault="0092561F" w:rsidP="0048250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0,7</w:t>
            </w:r>
          </w:p>
        </w:tc>
        <w:tc>
          <w:tcPr>
            <w:tcW w:w="718" w:type="pct"/>
            <w:tcBorders>
              <w:top w:val="single" w:sz="4" w:space="0" w:color="auto"/>
              <w:left w:val="single" w:sz="4" w:space="0" w:color="auto"/>
              <w:bottom w:val="single" w:sz="4" w:space="0" w:color="auto"/>
              <w:right w:val="single" w:sz="4" w:space="0" w:color="auto"/>
            </w:tcBorders>
            <w:vAlign w:val="bottom"/>
          </w:tcPr>
          <w:p w14:paraId="2C6D4D16" w14:textId="77777777" w:rsidR="0092561F" w:rsidRPr="00C6067A" w:rsidRDefault="0092561F" w:rsidP="0048250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0,6</w:t>
            </w:r>
          </w:p>
        </w:tc>
        <w:tc>
          <w:tcPr>
            <w:tcW w:w="717" w:type="pct"/>
            <w:tcBorders>
              <w:top w:val="single" w:sz="4" w:space="0" w:color="auto"/>
              <w:left w:val="single" w:sz="4" w:space="0" w:color="auto"/>
              <w:bottom w:val="single" w:sz="4" w:space="0" w:color="auto"/>
              <w:right w:val="single" w:sz="4" w:space="0" w:color="auto"/>
            </w:tcBorders>
          </w:tcPr>
          <w:p w14:paraId="78330C19" w14:textId="77777777" w:rsidR="0092561F" w:rsidRPr="00C6067A" w:rsidRDefault="0092561F" w:rsidP="0048250F">
            <w:pPr>
              <w:spacing w:before="120" w:after="0" w:line="240" w:lineRule="auto"/>
              <w:jc w:val="center"/>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0,4</w:t>
            </w:r>
          </w:p>
        </w:tc>
        <w:tc>
          <w:tcPr>
            <w:tcW w:w="717" w:type="pct"/>
            <w:tcBorders>
              <w:top w:val="single" w:sz="4" w:space="0" w:color="auto"/>
              <w:left w:val="single" w:sz="4" w:space="0" w:color="auto"/>
              <w:bottom w:val="single" w:sz="4" w:space="0" w:color="auto"/>
              <w:right w:val="single" w:sz="4" w:space="0" w:color="auto"/>
            </w:tcBorders>
          </w:tcPr>
          <w:p w14:paraId="59640362" w14:textId="77777777" w:rsidR="0092561F" w:rsidRPr="00C6067A" w:rsidRDefault="0092561F" w:rsidP="00D03A4F">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bl>
    <w:p w14:paraId="4C4BEB11" w14:textId="77777777"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14:paraId="1785DB7F" w14:textId="77777777" w:rsidR="00D03A4F" w:rsidRPr="00BD5A90" w:rsidRDefault="00D03A4F" w:rsidP="001F2084">
      <w:pPr>
        <w:spacing w:after="0" w:line="240" w:lineRule="auto"/>
        <w:rPr>
          <w:rFonts w:ascii="Times New Roman" w:eastAsia="Times New Roman" w:hAnsi="Times New Roman" w:cs="Times New Roman"/>
          <w:sz w:val="26"/>
          <w:szCs w:val="26"/>
          <w:highlight w:val="yellow"/>
          <w:lang w:eastAsia="ru-RU"/>
        </w:rPr>
      </w:pPr>
    </w:p>
    <w:p w14:paraId="05425555" w14:textId="77777777" w:rsidR="00D03A4F" w:rsidRPr="00C6067A" w:rsidRDefault="00D03A4F" w:rsidP="00D03A4F">
      <w:pPr>
        <w:spacing w:after="0" w:line="240" w:lineRule="auto"/>
        <w:jc w:val="right"/>
        <w:rPr>
          <w:rFonts w:ascii="Times New Roman" w:eastAsia="Times New Roman" w:hAnsi="Times New Roman" w:cs="Times New Roman"/>
          <w:sz w:val="26"/>
          <w:szCs w:val="26"/>
          <w:lang w:eastAsia="ru-RU"/>
        </w:rPr>
      </w:pPr>
      <w:r w:rsidRPr="00C6067A">
        <w:rPr>
          <w:rFonts w:ascii="Times New Roman" w:eastAsia="Times New Roman" w:hAnsi="Times New Roman" w:cs="Times New Roman"/>
          <w:sz w:val="26"/>
          <w:szCs w:val="26"/>
          <w:lang w:eastAsia="ru-RU"/>
        </w:rPr>
        <w:t>Таблица 3</w:t>
      </w:r>
      <w:r w:rsidR="008737BB">
        <w:rPr>
          <w:rFonts w:ascii="Times New Roman" w:eastAsia="Times New Roman" w:hAnsi="Times New Roman" w:cs="Times New Roman"/>
          <w:sz w:val="26"/>
          <w:szCs w:val="26"/>
          <w:lang w:eastAsia="ru-RU"/>
        </w:rPr>
        <w:t>4</w:t>
      </w:r>
    </w:p>
    <w:p w14:paraId="5CD04836" w14:textId="77777777" w:rsidR="00D03A4F" w:rsidRPr="00C6067A" w:rsidRDefault="00D03A4F" w:rsidP="00D03A4F">
      <w:pPr>
        <w:spacing w:after="0" w:line="240" w:lineRule="auto"/>
        <w:jc w:val="right"/>
        <w:rPr>
          <w:rFonts w:ascii="Times New Roman" w:eastAsia="Times New Roman" w:hAnsi="Times New Roman" w:cs="Times New Roman"/>
          <w:sz w:val="26"/>
          <w:szCs w:val="26"/>
          <w:lang w:eastAsia="ru-RU"/>
        </w:rPr>
      </w:pPr>
    </w:p>
    <w:p w14:paraId="3D6F3182" w14:textId="77777777" w:rsidR="00D03A4F" w:rsidRPr="00C6067A" w:rsidRDefault="00D03A4F" w:rsidP="00D03A4F">
      <w:pPr>
        <w:spacing w:after="0" w:line="240" w:lineRule="auto"/>
        <w:ind w:firstLine="284"/>
        <w:jc w:val="center"/>
        <w:rPr>
          <w:rFonts w:ascii="Times New Roman" w:eastAsia="Times New Roman" w:hAnsi="Times New Roman" w:cs="Times New Roman"/>
          <w:b/>
          <w:bCs/>
          <w:sz w:val="26"/>
          <w:szCs w:val="26"/>
          <w:lang w:eastAsia="ru-RU"/>
        </w:rPr>
      </w:pPr>
      <w:r w:rsidRPr="00C6067A">
        <w:rPr>
          <w:rFonts w:ascii="Times New Roman" w:eastAsia="Times New Roman" w:hAnsi="Times New Roman" w:cs="Times New Roman"/>
          <w:b/>
          <w:bCs/>
          <w:sz w:val="26"/>
          <w:szCs w:val="26"/>
          <w:lang w:eastAsia="ru-RU"/>
        </w:rPr>
        <w:t>Трудоустройство подростков в возрасте 14-17 лет органами службы занятости населения</w:t>
      </w:r>
    </w:p>
    <w:p w14:paraId="6DCB25A9" w14:textId="77777777" w:rsidR="00D03A4F" w:rsidRPr="00C6067A" w:rsidRDefault="00D03A4F" w:rsidP="00D03A4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 xml:space="preserve">(по данным </w:t>
      </w:r>
      <w:proofErr w:type="spellStart"/>
      <w:r w:rsidRPr="00C6067A">
        <w:rPr>
          <w:rFonts w:ascii="Times New Roman" w:eastAsia="Times New Roman" w:hAnsi="Times New Roman" w:cs="Times New Roman"/>
          <w:bCs/>
          <w:sz w:val="24"/>
          <w:szCs w:val="24"/>
          <w:lang w:eastAsia="ru-RU"/>
        </w:rPr>
        <w:t>Роструда</w:t>
      </w:r>
      <w:proofErr w:type="spellEnd"/>
      <w:r w:rsidRPr="00C6067A">
        <w:rPr>
          <w:rFonts w:ascii="Times New Roman" w:eastAsia="Times New Roman" w:hAnsi="Times New Roman" w:cs="Times New Roman"/>
          <w:bCs/>
          <w:sz w:val="24"/>
          <w:szCs w:val="24"/>
          <w:lang w:eastAsia="ru-RU"/>
        </w:rPr>
        <w:t>; на конец года; тыс. человек)</w:t>
      </w:r>
    </w:p>
    <w:p w14:paraId="2570B1A4" w14:textId="77777777" w:rsidR="00D03A4F" w:rsidRPr="00C6067A" w:rsidRDefault="00D03A4F" w:rsidP="00D03A4F">
      <w:pPr>
        <w:spacing w:after="0" w:line="240" w:lineRule="auto"/>
        <w:jc w:val="right"/>
        <w:rPr>
          <w:rFonts w:ascii="Times New Roman" w:eastAsia="Times New Roman" w:hAnsi="Times New Roman" w:cs="Times New Roman"/>
          <w:sz w:val="26"/>
          <w:szCs w:val="26"/>
          <w:lang w:eastAsia="ru-RU"/>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5"/>
        <w:gridCol w:w="1370"/>
        <w:gridCol w:w="1371"/>
        <w:gridCol w:w="1371"/>
        <w:gridCol w:w="1371"/>
      </w:tblGrid>
      <w:tr w:rsidR="00494B00" w:rsidRPr="00C6067A" w14:paraId="76F88A11" w14:textId="77777777" w:rsidTr="00494B00">
        <w:trPr>
          <w:trHeight w:val="359"/>
          <w:jc w:val="center"/>
        </w:trPr>
        <w:tc>
          <w:tcPr>
            <w:tcW w:w="2312" w:type="pct"/>
            <w:tcBorders>
              <w:top w:val="single" w:sz="4" w:space="0" w:color="auto"/>
              <w:left w:val="single" w:sz="4" w:space="0" w:color="auto"/>
              <w:bottom w:val="single" w:sz="4" w:space="0" w:color="auto"/>
              <w:right w:val="single" w:sz="4" w:space="0" w:color="auto"/>
            </w:tcBorders>
          </w:tcPr>
          <w:p w14:paraId="6F5BB41F" w14:textId="77777777" w:rsidR="00494B00" w:rsidRPr="00C6067A" w:rsidRDefault="00494B00" w:rsidP="00D03A4F">
            <w:pPr>
              <w:spacing w:after="0" w:line="240" w:lineRule="auto"/>
              <w:rPr>
                <w:rFonts w:ascii="Times New Roman" w:eastAsia="Times New Roman" w:hAnsi="Times New Roman" w:cs="Times New Roman"/>
                <w:sz w:val="24"/>
                <w:szCs w:val="24"/>
                <w:lang w:eastAsia="ru-RU"/>
              </w:rPr>
            </w:pPr>
          </w:p>
        </w:tc>
        <w:tc>
          <w:tcPr>
            <w:tcW w:w="672" w:type="pct"/>
            <w:tcBorders>
              <w:top w:val="single" w:sz="4" w:space="0" w:color="auto"/>
              <w:left w:val="single" w:sz="4" w:space="0" w:color="auto"/>
              <w:bottom w:val="single" w:sz="4" w:space="0" w:color="auto"/>
              <w:right w:val="single" w:sz="4" w:space="0" w:color="auto"/>
            </w:tcBorders>
            <w:vAlign w:val="center"/>
          </w:tcPr>
          <w:p w14:paraId="2C19F768" w14:textId="77777777" w:rsidR="00494B00" w:rsidRPr="00C6067A" w:rsidRDefault="00494B00" w:rsidP="0048250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2018 г.</w:t>
            </w:r>
          </w:p>
        </w:tc>
        <w:tc>
          <w:tcPr>
            <w:tcW w:w="672" w:type="pct"/>
            <w:tcBorders>
              <w:top w:val="single" w:sz="4" w:space="0" w:color="auto"/>
              <w:left w:val="single" w:sz="4" w:space="0" w:color="auto"/>
              <w:bottom w:val="single" w:sz="4" w:space="0" w:color="auto"/>
              <w:right w:val="single" w:sz="4" w:space="0" w:color="auto"/>
            </w:tcBorders>
            <w:vAlign w:val="center"/>
          </w:tcPr>
          <w:p w14:paraId="7B352B37" w14:textId="77777777" w:rsidR="00494B00" w:rsidRPr="00C6067A" w:rsidRDefault="00494B00" w:rsidP="0048250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2019 г.</w:t>
            </w:r>
          </w:p>
        </w:tc>
        <w:tc>
          <w:tcPr>
            <w:tcW w:w="672" w:type="pct"/>
            <w:tcBorders>
              <w:top w:val="single" w:sz="4" w:space="0" w:color="auto"/>
              <w:left w:val="single" w:sz="4" w:space="0" w:color="auto"/>
              <w:bottom w:val="single" w:sz="4" w:space="0" w:color="auto"/>
              <w:right w:val="single" w:sz="4" w:space="0" w:color="auto"/>
            </w:tcBorders>
            <w:vAlign w:val="center"/>
          </w:tcPr>
          <w:p w14:paraId="41C7E666" w14:textId="77777777" w:rsidR="00494B00" w:rsidRPr="00C6067A" w:rsidRDefault="00494B00" w:rsidP="0048250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2020 г.</w:t>
            </w:r>
          </w:p>
        </w:tc>
        <w:tc>
          <w:tcPr>
            <w:tcW w:w="672" w:type="pct"/>
            <w:tcBorders>
              <w:top w:val="single" w:sz="4" w:space="0" w:color="auto"/>
              <w:left w:val="single" w:sz="4" w:space="0" w:color="auto"/>
              <w:bottom w:val="single" w:sz="4" w:space="0" w:color="auto"/>
              <w:right w:val="single" w:sz="4" w:space="0" w:color="auto"/>
            </w:tcBorders>
            <w:vAlign w:val="center"/>
          </w:tcPr>
          <w:p w14:paraId="2CDEB5FE" w14:textId="77777777" w:rsidR="00494B00" w:rsidRPr="00C6067A" w:rsidRDefault="00494B00" w:rsidP="00D03A4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2021 г.</w:t>
            </w:r>
          </w:p>
        </w:tc>
      </w:tr>
      <w:tr w:rsidR="00494B00" w:rsidRPr="00C6067A" w14:paraId="5716217B" w14:textId="77777777" w:rsidTr="00494B00">
        <w:trPr>
          <w:trHeight w:val="390"/>
          <w:jc w:val="center"/>
        </w:trPr>
        <w:tc>
          <w:tcPr>
            <w:tcW w:w="2312" w:type="pct"/>
            <w:tcBorders>
              <w:top w:val="single" w:sz="4" w:space="0" w:color="auto"/>
              <w:left w:val="single" w:sz="4" w:space="0" w:color="auto"/>
              <w:bottom w:val="single" w:sz="4" w:space="0" w:color="auto"/>
              <w:right w:val="single" w:sz="4" w:space="0" w:color="auto"/>
            </w:tcBorders>
            <w:vAlign w:val="center"/>
            <w:hideMark/>
          </w:tcPr>
          <w:p w14:paraId="37D5A23E" w14:textId="77777777" w:rsidR="00494B00" w:rsidRPr="00C6067A" w:rsidRDefault="00494B00" w:rsidP="00D03A4F">
            <w:pPr>
              <w:spacing w:after="0" w:line="240" w:lineRule="auto"/>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Обратились в поиске работы</w:t>
            </w:r>
          </w:p>
        </w:tc>
        <w:tc>
          <w:tcPr>
            <w:tcW w:w="672" w:type="pct"/>
            <w:tcBorders>
              <w:top w:val="single" w:sz="4" w:space="0" w:color="auto"/>
              <w:left w:val="single" w:sz="4" w:space="0" w:color="auto"/>
              <w:bottom w:val="single" w:sz="4" w:space="0" w:color="auto"/>
              <w:right w:val="single" w:sz="4" w:space="0" w:color="auto"/>
            </w:tcBorders>
            <w:vAlign w:val="center"/>
          </w:tcPr>
          <w:p w14:paraId="19BDE5F0" w14:textId="77777777" w:rsidR="00494B00" w:rsidRPr="00C6067A" w:rsidRDefault="00494B00" w:rsidP="0048250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611</w:t>
            </w:r>
          </w:p>
        </w:tc>
        <w:tc>
          <w:tcPr>
            <w:tcW w:w="672" w:type="pct"/>
            <w:tcBorders>
              <w:top w:val="single" w:sz="4" w:space="0" w:color="auto"/>
              <w:left w:val="single" w:sz="4" w:space="0" w:color="auto"/>
              <w:bottom w:val="single" w:sz="4" w:space="0" w:color="auto"/>
              <w:right w:val="single" w:sz="4" w:space="0" w:color="auto"/>
            </w:tcBorders>
            <w:vAlign w:val="center"/>
          </w:tcPr>
          <w:p w14:paraId="252AF19F" w14:textId="77777777" w:rsidR="00494B00" w:rsidRPr="00C6067A" w:rsidRDefault="00494B00" w:rsidP="0048250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614</w:t>
            </w:r>
          </w:p>
        </w:tc>
        <w:tc>
          <w:tcPr>
            <w:tcW w:w="672" w:type="pct"/>
            <w:tcBorders>
              <w:top w:val="single" w:sz="4" w:space="0" w:color="auto"/>
              <w:left w:val="single" w:sz="4" w:space="0" w:color="auto"/>
              <w:bottom w:val="single" w:sz="4" w:space="0" w:color="auto"/>
              <w:right w:val="single" w:sz="4" w:space="0" w:color="auto"/>
            </w:tcBorders>
            <w:vAlign w:val="center"/>
          </w:tcPr>
          <w:p w14:paraId="7B841489" w14:textId="77777777" w:rsidR="00494B00" w:rsidRPr="00C6067A" w:rsidRDefault="00494B00" w:rsidP="0048250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397</w:t>
            </w:r>
          </w:p>
        </w:tc>
        <w:tc>
          <w:tcPr>
            <w:tcW w:w="672" w:type="pct"/>
            <w:tcBorders>
              <w:top w:val="single" w:sz="4" w:space="0" w:color="auto"/>
              <w:left w:val="single" w:sz="4" w:space="0" w:color="auto"/>
              <w:bottom w:val="single" w:sz="4" w:space="0" w:color="auto"/>
              <w:right w:val="single" w:sz="4" w:space="0" w:color="auto"/>
            </w:tcBorders>
            <w:vAlign w:val="center"/>
          </w:tcPr>
          <w:p w14:paraId="1514B951" w14:textId="77777777" w:rsidR="00494B00" w:rsidRPr="00C6067A" w:rsidRDefault="00494B00" w:rsidP="00D03A4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559</w:t>
            </w:r>
          </w:p>
        </w:tc>
      </w:tr>
      <w:tr w:rsidR="00494B00" w:rsidRPr="00C6067A" w14:paraId="51010E49" w14:textId="77777777" w:rsidTr="00494B00">
        <w:trPr>
          <w:trHeight w:val="406"/>
          <w:jc w:val="center"/>
        </w:trPr>
        <w:tc>
          <w:tcPr>
            <w:tcW w:w="2312" w:type="pct"/>
            <w:tcBorders>
              <w:top w:val="single" w:sz="4" w:space="0" w:color="auto"/>
              <w:left w:val="single" w:sz="4" w:space="0" w:color="auto"/>
              <w:bottom w:val="single" w:sz="4" w:space="0" w:color="auto"/>
              <w:right w:val="single" w:sz="4" w:space="0" w:color="auto"/>
            </w:tcBorders>
            <w:vAlign w:val="center"/>
            <w:hideMark/>
          </w:tcPr>
          <w:p w14:paraId="070F4959" w14:textId="77777777" w:rsidR="00494B00" w:rsidRPr="00C6067A" w:rsidRDefault="00494B00" w:rsidP="00D03A4F">
            <w:pPr>
              <w:spacing w:after="0" w:line="240" w:lineRule="auto"/>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Нашли работу (доходное занятие)</w:t>
            </w:r>
          </w:p>
        </w:tc>
        <w:tc>
          <w:tcPr>
            <w:tcW w:w="672" w:type="pct"/>
            <w:tcBorders>
              <w:top w:val="single" w:sz="4" w:space="0" w:color="auto"/>
              <w:left w:val="single" w:sz="4" w:space="0" w:color="auto"/>
              <w:bottom w:val="single" w:sz="4" w:space="0" w:color="auto"/>
              <w:right w:val="single" w:sz="4" w:space="0" w:color="auto"/>
            </w:tcBorders>
            <w:vAlign w:val="center"/>
          </w:tcPr>
          <w:p w14:paraId="707D90C1" w14:textId="77777777" w:rsidR="00494B00" w:rsidRPr="00C6067A" w:rsidRDefault="00494B00" w:rsidP="0048250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587</w:t>
            </w:r>
          </w:p>
        </w:tc>
        <w:tc>
          <w:tcPr>
            <w:tcW w:w="672" w:type="pct"/>
            <w:tcBorders>
              <w:top w:val="single" w:sz="4" w:space="0" w:color="auto"/>
              <w:left w:val="single" w:sz="4" w:space="0" w:color="auto"/>
              <w:bottom w:val="single" w:sz="4" w:space="0" w:color="auto"/>
              <w:right w:val="single" w:sz="4" w:space="0" w:color="auto"/>
            </w:tcBorders>
            <w:vAlign w:val="center"/>
          </w:tcPr>
          <w:p w14:paraId="1C272983" w14:textId="77777777" w:rsidR="00494B00" w:rsidRPr="00C6067A" w:rsidRDefault="00494B00" w:rsidP="0048250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585</w:t>
            </w:r>
          </w:p>
        </w:tc>
        <w:tc>
          <w:tcPr>
            <w:tcW w:w="672" w:type="pct"/>
            <w:tcBorders>
              <w:top w:val="single" w:sz="4" w:space="0" w:color="auto"/>
              <w:left w:val="single" w:sz="4" w:space="0" w:color="auto"/>
              <w:bottom w:val="single" w:sz="4" w:space="0" w:color="auto"/>
              <w:right w:val="single" w:sz="4" w:space="0" w:color="auto"/>
            </w:tcBorders>
            <w:vAlign w:val="center"/>
          </w:tcPr>
          <w:p w14:paraId="2570418F" w14:textId="77777777" w:rsidR="00494B00" w:rsidRPr="00C6067A" w:rsidRDefault="00494B00" w:rsidP="0048250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358</w:t>
            </w:r>
          </w:p>
        </w:tc>
        <w:tc>
          <w:tcPr>
            <w:tcW w:w="672" w:type="pct"/>
            <w:tcBorders>
              <w:top w:val="single" w:sz="4" w:space="0" w:color="auto"/>
              <w:left w:val="single" w:sz="4" w:space="0" w:color="auto"/>
              <w:bottom w:val="single" w:sz="4" w:space="0" w:color="auto"/>
              <w:right w:val="single" w:sz="4" w:space="0" w:color="auto"/>
            </w:tcBorders>
            <w:vAlign w:val="center"/>
          </w:tcPr>
          <w:p w14:paraId="5E8FE2EA" w14:textId="77777777" w:rsidR="00494B00" w:rsidRPr="00C6067A" w:rsidRDefault="00494B00" w:rsidP="00D03A4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530</w:t>
            </w:r>
          </w:p>
        </w:tc>
      </w:tr>
      <w:tr w:rsidR="00494B00" w:rsidRPr="00BD5A90" w14:paraId="6DD0705C" w14:textId="77777777" w:rsidTr="00494B00">
        <w:trPr>
          <w:trHeight w:val="561"/>
          <w:jc w:val="center"/>
        </w:trPr>
        <w:tc>
          <w:tcPr>
            <w:tcW w:w="2312" w:type="pct"/>
            <w:tcBorders>
              <w:top w:val="single" w:sz="4" w:space="0" w:color="auto"/>
              <w:left w:val="single" w:sz="4" w:space="0" w:color="auto"/>
              <w:bottom w:val="single" w:sz="4" w:space="0" w:color="auto"/>
              <w:right w:val="single" w:sz="4" w:space="0" w:color="auto"/>
            </w:tcBorders>
            <w:vAlign w:val="center"/>
            <w:hideMark/>
          </w:tcPr>
          <w:p w14:paraId="308DFA36" w14:textId="77777777" w:rsidR="00494B00" w:rsidRPr="00C6067A" w:rsidRDefault="00494B00" w:rsidP="00D03A4F">
            <w:pPr>
              <w:spacing w:after="0" w:line="240" w:lineRule="auto"/>
              <w:ind w:left="31" w:hanging="31"/>
              <w:rPr>
                <w:rFonts w:ascii="Times New Roman" w:eastAsia="Times New Roman" w:hAnsi="Times New Roman" w:cs="Times New Roman"/>
                <w:sz w:val="24"/>
                <w:szCs w:val="24"/>
                <w:lang w:eastAsia="ru-RU"/>
              </w:rPr>
            </w:pPr>
            <w:r w:rsidRPr="00C6067A">
              <w:rPr>
                <w:rFonts w:ascii="Times New Roman" w:eastAsia="Times New Roman" w:hAnsi="Times New Roman" w:cs="Times New Roman"/>
                <w:sz w:val="24"/>
                <w:szCs w:val="24"/>
                <w:lang w:eastAsia="ru-RU"/>
              </w:rPr>
              <w:t xml:space="preserve">Численность </w:t>
            </w:r>
            <w:r>
              <w:rPr>
                <w:rFonts w:ascii="Times New Roman" w:eastAsia="Times New Roman" w:hAnsi="Times New Roman" w:cs="Times New Roman"/>
                <w:sz w:val="24"/>
                <w:szCs w:val="24"/>
                <w:lang w:eastAsia="ru-RU"/>
              </w:rPr>
              <w:t xml:space="preserve">зарегистрированных в органах службы занятости населения </w:t>
            </w:r>
            <w:r w:rsidRPr="00C6067A">
              <w:rPr>
                <w:rFonts w:ascii="Times New Roman" w:eastAsia="Times New Roman" w:hAnsi="Times New Roman" w:cs="Times New Roman"/>
                <w:sz w:val="24"/>
                <w:szCs w:val="24"/>
                <w:lang w:eastAsia="ru-RU"/>
              </w:rPr>
              <w:t>безработных в возрасте 16-17 лет на конец года</w:t>
            </w:r>
          </w:p>
        </w:tc>
        <w:tc>
          <w:tcPr>
            <w:tcW w:w="672" w:type="pct"/>
            <w:tcBorders>
              <w:top w:val="single" w:sz="4" w:space="0" w:color="auto"/>
              <w:left w:val="single" w:sz="4" w:space="0" w:color="auto"/>
              <w:bottom w:val="single" w:sz="4" w:space="0" w:color="auto"/>
              <w:right w:val="single" w:sz="4" w:space="0" w:color="auto"/>
            </w:tcBorders>
            <w:vAlign w:val="center"/>
          </w:tcPr>
          <w:p w14:paraId="51C4AE7A" w14:textId="77777777" w:rsidR="00494B00" w:rsidRPr="00C6067A" w:rsidRDefault="00494B00" w:rsidP="0048250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3</w:t>
            </w:r>
          </w:p>
        </w:tc>
        <w:tc>
          <w:tcPr>
            <w:tcW w:w="672" w:type="pct"/>
            <w:tcBorders>
              <w:top w:val="single" w:sz="4" w:space="0" w:color="auto"/>
              <w:left w:val="single" w:sz="4" w:space="0" w:color="auto"/>
              <w:bottom w:val="single" w:sz="4" w:space="0" w:color="auto"/>
              <w:right w:val="single" w:sz="4" w:space="0" w:color="auto"/>
            </w:tcBorders>
            <w:vAlign w:val="center"/>
          </w:tcPr>
          <w:p w14:paraId="01665564" w14:textId="77777777" w:rsidR="00494B00" w:rsidRPr="00C6067A" w:rsidRDefault="00494B00" w:rsidP="0048250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3</w:t>
            </w:r>
          </w:p>
        </w:tc>
        <w:tc>
          <w:tcPr>
            <w:tcW w:w="672" w:type="pct"/>
            <w:tcBorders>
              <w:top w:val="single" w:sz="4" w:space="0" w:color="auto"/>
              <w:left w:val="single" w:sz="4" w:space="0" w:color="auto"/>
              <w:bottom w:val="single" w:sz="4" w:space="0" w:color="auto"/>
              <w:right w:val="single" w:sz="4" w:space="0" w:color="auto"/>
            </w:tcBorders>
            <w:vAlign w:val="center"/>
          </w:tcPr>
          <w:p w14:paraId="4DE6935A" w14:textId="77777777" w:rsidR="00494B00" w:rsidRPr="00C6067A" w:rsidRDefault="00494B00" w:rsidP="0048250F">
            <w:pPr>
              <w:spacing w:after="0" w:line="240" w:lineRule="auto"/>
              <w:jc w:val="center"/>
              <w:rPr>
                <w:rFonts w:ascii="Times New Roman" w:eastAsia="Times New Roman" w:hAnsi="Times New Roman" w:cs="Times New Roman"/>
                <w:bCs/>
                <w:sz w:val="24"/>
                <w:szCs w:val="24"/>
                <w:lang w:eastAsia="ru-RU"/>
              </w:rPr>
            </w:pPr>
            <w:r w:rsidRPr="00C6067A">
              <w:rPr>
                <w:rFonts w:ascii="Times New Roman" w:eastAsia="Times New Roman" w:hAnsi="Times New Roman" w:cs="Times New Roman"/>
                <w:bCs/>
                <w:sz w:val="24"/>
                <w:szCs w:val="24"/>
                <w:lang w:eastAsia="ru-RU"/>
              </w:rPr>
              <w:t>10</w:t>
            </w:r>
          </w:p>
        </w:tc>
        <w:tc>
          <w:tcPr>
            <w:tcW w:w="672" w:type="pct"/>
            <w:tcBorders>
              <w:top w:val="single" w:sz="4" w:space="0" w:color="auto"/>
              <w:left w:val="single" w:sz="4" w:space="0" w:color="auto"/>
              <w:bottom w:val="single" w:sz="4" w:space="0" w:color="auto"/>
              <w:right w:val="single" w:sz="4" w:space="0" w:color="auto"/>
            </w:tcBorders>
            <w:vAlign w:val="center"/>
          </w:tcPr>
          <w:p w14:paraId="21AFBC1D" w14:textId="77777777" w:rsidR="00494B00" w:rsidRPr="00C6067A" w:rsidRDefault="00494B00" w:rsidP="00D03A4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r>
    </w:tbl>
    <w:p w14:paraId="707372BA" w14:textId="77777777" w:rsidR="00D03A4F" w:rsidRPr="00BD5A90" w:rsidRDefault="00D03A4F" w:rsidP="001F2084">
      <w:pPr>
        <w:spacing w:after="0" w:line="240" w:lineRule="auto"/>
        <w:rPr>
          <w:rFonts w:ascii="Times New Roman" w:eastAsia="Times New Roman" w:hAnsi="Times New Roman" w:cs="Times New Roman"/>
          <w:sz w:val="26"/>
          <w:szCs w:val="26"/>
          <w:highlight w:val="yellow"/>
          <w:lang w:eastAsia="ru-RU"/>
        </w:rPr>
      </w:pPr>
    </w:p>
    <w:p w14:paraId="18054CC6" w14:textId="77777777" w:rsidR="008737BB" w:rsidRDefault="008737BB" w:rsidP="00D03A4F">
      <w:pPr>
        <w:spacing w:after="0" w:line="240" w:lineRule="auto"/>
        <w:jc w:val="right"/>
        <w:rPr>
          <w:rFonts w:ascii="Times New Roman" w:eastAsia="Times New Roman" w:hAnsi="Times New Roman" w:cs="Times New Roman"/>
          <w:sz w:val="26"/>
          <w:szCs w:val="26"/>
          <w:lang w:eastAsia="ru-RU"/>
        </w:rPr>
      </w:pPr>
    </w:p>
    <w:p w14:paraId="1E5EFD81" w14:textId="77777777" w:rsidR="00D03A4F" w:rsidRPr="000D21DF" w:rsidRDefault="00D03A4F" w:rsidP="00D03A4F">
      <w:pPr>
        <w:spacing w:after="0" w:line="240" w:lineRule="auto"/>
        <w:jc w:val="right"/>
        <w:rPr>
          <w:rFonts w:ascii="Times New Roman" w:eastAsia="Times New Roman" w:hAnsi="Times New Roman" w:cs="Times New Roman"/>
          <w:sz w:val="26"/>
          <w:szCs w:val="26"/>
          <w:lang w:eastAsia="ru-RU"/>
        </w:rPr>
      </w:pPr>
      <w:r w:rsidRPr="000D21DF">
        <w:rPr>
          <w:rFonts w:ascii="Times New Roman" w:eastAsia="Times New Roman" w:hAnsi="Times New Roman" w:cs="Times New Roman"/>
          <w:sz w:val="26"/>
          <w:szCs w:val="26"/>
          <w:lang w:eastAsia="ru-RU"/>
        </w:rPr>
        <w:t>Таблица 3</w:t>
      </w:r>
      <w:r w:rsidR="008737BB">
        <w:rPr>
          <w:rFonts w:ascii="Times New Roman" w:eastAsia="Times New Roman" w:hAnsi="Times New Roman" w:cs="Times New Roman"/>
          <w:sz w:val="26"/>
          <w:szCs w:val="26"/>
          <w:lang w:eastAsia="ru-RU"/>
        </w:rPr>
        <w:t>5</w:t>
      </w:r>
    </w:p>
    <w:p w14:paraId="3D3012D5" w14:textId="77777777" w:rsidR="00D03A4F" w:rsidRPr="000D21DF" w:rsidRDefault="00D03A4F" w:rsidP="00D03A4F">
      <w:pPr>
        <w:spacing w:after="0" w:line="240" w:lineRule="auto"/>
        <w:jc w:val="right"/>
        <w:rPr>
          <w:rFonts w:ascii="Times New Roman" w:eastAsia="Times New Roman" w:hAnsi="Times New Roman" w:cs="Times New Roman"/>
          <w:sz w:val="26"/>
          <w:szCs w:val="26"/>
          <w:lang w:eastAsia="ru-RU"/>
        </w:rPr>
      </w:pPr>
    </w:p>
    <w:p w14:paraId="784F4E77" w14:textId="25292794" w:rsidR="00D03A4F" w:rsidRPr="000D21DF" w:rsidRDefault="00D03A4F" w:rsidP="00D03A4F">
      <w:pPr>
        <w:spacing w:after="0" w:line="240" w:lineRule="auto"/>
        <w:ind w:firstLine="284"/>
        <w:jc w:val="center"/>
        <w:rPr>
          <w:rFonts w:ascii="Times New Roman" w:eastAsia="Times New Roman" w:hAnsi="Times New Roman" w:cs="Times New Roman"/>
          <w:b/>
          <w:bCs/>
          <w:sz w:val="26"/>
          <w:szCs w:val="26"/>
          <w:lang w:eastAsia="ru-RU"/>
        </w:rPr>
      </w:pPr>
      <w:r w:rsidRPr="000D21DF">
        <w:rPr>
          <w:rFonts w:ascii="Times New Roman" w:eastAsia="Times New Roman" w:hAnsi="Times New Roman" w:cs="Times New Roman"/>
          <w:b/>
          <w:bCs/>
          <w:sz w:val="26"/>
          <w:szCs w:val="26"/>
          <w:lang w:eastAsia="ru-RU"/>
        </w:rPr>
        <w:t>Численность безработных, зарегистрированных в органах службы занятости населения, воспитывающих несовершеннолетних детей, детей</w:t>
      </w:r>
      <w:r w:rsidR="003B77D7" w:rsidRPr="003B77D7">
        <w:rPr>
          <w:rFonts w:ascii="Times New Roman" w:eastAsia="Times New Roman" w:hAnsi="Times New Roman" w:cs="Times New Roman"/>
          <w:sz w:val="28"/>
          <w:szCs w:val="28"/>
          <w:lang w:eastAsia="ru-RU"/>
        </w:rPr>
        <w:t xml:space="preserve"> </w:t>
      </w:r>
      <w:r w:rsidR="003B77D7">
        <w:rPr>
          <w:rFonts w:ascii="Times New Roman" w:eastAsia="Times New Roman" w:hAnsi="Times New Roman" w:cs="Times New Roman"/>
          <w:sz w:val="28"/>
          <w:szCs w:val="28"/>
          <w:lang w:eastAsia="ru-RU"/>
        </w:rPr>
        <w:t>с инвалидностью</w:t>
      </w:r>
    </w:p>
    <w:p w14:paraId="15822A50" w14:textId="77777777" w:rsidR="00D03A4F" w:rsidRPr="000D21DF" w:rsidRDefault="00D03A4F" w:rsidP="00D03A4F">
      <w:pPr>
        <w:spacing w:after="0" w:line="240" w:lineRule="auto"/>
        <w:jc w:val="center"/>
        <w:rPr>
          <w:rFonts w:ascii="Times New Roman" w:eastAsia="Times New Roman" w:hAnsi="Times New Roman" w:cs="Times New Roman"/>
          <w:bCs/>
          <w:sz w:val="24"/>
          <w:szCs w:val="24"/>
          <w:lang w:eastAsia="ru-RU"/>
        </w:rPr>
      </w:pPr>
      <w:r w:rsidRPr="000D21DF">
        <w:rPr>
          <w:rFonts w:ascii="Times New Roman" w:eastAsia="Times New Roman" w:hAnsi="Times New Roman" w:cs="Times New Roman"/>
          <w:bCs/>
          <w:sz w:val="24"/>
          <w:szCs w:val="24"/>
          <w:lang w:eastAsia="ru-RU"/>
        </w:rPr>
        <w:t xml:space="preserve">(по данным </w:t>
      </w:r>
      <w:proofErr w:type="spellStart"/>
      <w:r w:rsidRPr="000D21DF">
        <w:rPr>
          <w:rFonts w:ascii="Times New Roman" w:eastAsia="Times New Roman" w:hAnsi="Times New Roman" w:cs="Times New Roman"/>
          <w:bCs/>
          <w:sz w:val="24"/>
          <w:szCs w:val="24"/>
          <w:lang w:eastAsia="ru-RU"/>
        </w:rPr>
        <w:t>Роструда</w:t>
      </w:r>
      <w:proofErr w:type="spellEnd"/>
      <w:r w:rsidRPr="000D21DF">
        <w:rPr>
          <w:rFonts w:ascii="Times New Roman" w:eastAsia="Times New Roman" w:hAnsi="Times New Roman" w:cs="Times New Roman"/>
          <w:bCs/>
          <w:sz w:val="24"/>
          <w:szCs w:val="24"/>
          <w:lang w:eastAsia="ru-RU"/>
        </w:rPr>
        <w:t>; на конец года; тыс. человек)</w:t>
      </w:r>
    </w:p>
    <w:p w14:paraId="3D9DF4F0" w14:textId="77777777" w:rsidR="00D03A4F" w:rsidRPr="000D21DF" w:rsidRDefault="00D03A4F" w:rsidP="00D03A4F">
      <w:pPr>
        <w:spacing w:after="0" w:line="240" w:lineRule="auto"/>
        <w:jc w:val="right"/>
        <w:rPr>
          <w:rFonts w:ascii="Times New Roman" w:eastAsia="Times New Roman" w:hAnsi="Times New Roman" w:cs="Times New Roman"/>
          <w:sz w:val="26"/>
          <w:szCs w:val="26"/>
          <w:lang w:eastAsia="ru-RU"/>
        </w:rPr>
      </w:pPr>
    </w:p>
    <w:tbl>
      <w:tblPr>
        <w:tblW w:w="50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1418"/>
        <w:gridCol w:w="1418"/>
        <w:gridCol w:w="1417"/>
        <w:gridCol w:w="1417"/>
      </w:tblGrid>
      <w:tr w:rsidR="00E65FF4" w:rsidRPr="000D21DF" w14:paraId="64E62CDE" w14:textId="77777777" w:rsidTr="00E65FF4">
        <w:trPr>
          <w:trHeight w:val="348"/>
          <w:tblHeader/>
          <w:jc w:val="center"/>
        </w:trPr>
        <w:tc>
          <w:tcPr>
            <w:tcW w:w="2223" w:type="pct"/>
            <w:tcBorders>
              <w:top w:val="single" w:sz="4" w:space="0" w:color="auto"/>
              <w:left w:val="single" w:sz="4" w:space="0" w:color="auto"/>
              <w:bottom w:val="single" w:sz="4" w:space="0" w:color="auto"/>
              <w:right w:val="single" w:sz="4" w:space="0" w:color="auto"/>
            </w:tcBorders>
          </w:tcPr>
          <w:p w14:paraId="6FCA65AA" w14:textId="77777777" w:rsidR="00E65FF4" w:rsidRPr="000D21DF" w:rsidRDefault="00E65FF4" w:rsidP="00D03A4F">
            <w:pPr>
              <w:spacing w:after="0" w:line="240" w:lineRule="auto"/>
              <w:rPr>
                <w:rFonts w:ascii="Times New Roman" w:eastAsia="Times New Roman" w:hAnsi="Times New Roman" w:cs="Times New Roman"/>
                <w:sz w:val="24"/>
                <w:szCs w:val="24"/>
                <w:lang w:eastAsia="ru-RU"/>
              </w:rPr>
            </w:pPr>
          </w:p>
        </w:tc>
        <w:tc>
          <w:tcPr>
            <w:tcW w:w="694" w:type="pct"/>
            <w:tcBorders>
              <w:top w:val="single" w:sz="4" w:space="0" w:color="auto"/>
              <w:left w:val="single" w:sz="4" w:space="0" w:color="auto"/>
              <w:bottom w:val="single" w:sz="4" w:space="0" w:color="auto"/>
              <w:right w:val="single" w:sz="4" w:space="0" w:color="auto"/>
            </w:tcBorders>
            <w:vAlign w:val="center"/>
          </w:tcPr>
          <w:p w14:paraId="42AB19BA" w14:textId="77777777" w:rsidR="00E65FF4" w:rsidRPr="000D21DF" w:rsidRDefault="00E65FF4" w:rsidP="0048250F">
            <w:pPr>
              <w:spacing w:after="0" w:line="240" w:lineRule="auto"/>
              <w:jc w:val="center"/>
              <w:rPr>
                <w:rFonts w:ascii="Times New Roman" w:eastAsia="Times New Roman" w:hAnsi="Times New Roman" w:cs="Times New Roman"/>
                <w:sz w:val="24"/>
                <w:szCs w:val="24"/>
                <w:lang w:eastAsia="ru-RU"/>
              </w:rPr>
            </w:pPr>
            <w:r w:rsidRPr="000D21DF">
              <w:rPr>
                <w:rFonts w:ascii="Times New Roman" w:eastAsia="Times New Roman" w:hAnsi="Times New Roman" w:cs="Times New Roman"/>
                <w:sz w:val="24"/>
                <w:szCs w:val="24"/>
                <w:lang w:eastAsia="ru-RU"/>
              </w:rPr>
              <w:t>2018 г.</w:t>
            </w:r>
          </w:p>
        </w:tc>
        <w:tc>
          <w:tcPr>
            <w:tcW w:w="694" w:type="pct"/>
            <w:tcBorders>
              <w:top w:val="single" w:sz="4" w:space="0" w:color="auto"/>
              <w:left w:val="single" w:sz="4" w:space="0" w:color="auto"/>
              <w:bottom w:val="single" w:sz="4" w:space="0" w:color="auto"/>
              <w:right w:val="single" w:sz="4" w:space="0" w:color="auto"/>
            </w:tcBorders>
            <w:vAlign w:val="center"/>
          </w:tcPr>
          <w:p w14:paraId="3906CEDC" w14:textId="77777777" w:rsidR="00E65FF4" w:rsidRPr="000D21DF" w:rsidRDefault="00E65FF4" w:rsidP="0048250F">
            <w:pPr>
              <w:spacing w:after="0" w:line="240" w:lineRule="auto"/>
              <w:jc w:val="center"/>
              <w:rPr>
                <w:rFonts w:ascii="Times New Roman" w:eastAsia="Times New Roman" w:hAnsi="Times New Roman" w:cs="Times New Roman"/>
                <w:sz w:val="24"/>
                <w:szCs w:val="24"/>
                <w:lang w:eastAsia="ru-RU"/>
              </w:rPr>
            </w:pPr>
            <w:r w:rsidRPr="000D21DF">
              <w:rPr>
                <w:rFonts w:ascii="Times New Roman" w:eastAsia="Times New Roman" w:hAnsi="Times New Roman" w:cs="Times New Roman"/>
                <w:sz w:val="24"/>
                <w:szCs w:val="24"/>
                <w:lang w:eastAsia="ru-RU"/>
              </w:rPr>
              <w:t>2019 г.</w:t>
            </w:r>
          </w:p>
        </w:tc>
        <w:tc>
          <w:tcPr>
            <w:tcW w:w="694" w:type="pct"/>
            <w:tcBorders>
              <w:top w:val="single" w:sz="4" w:space="0" w:color="auto"/>
              <w:left w:val="single" w:sz="4" w:space="0" w:color="auto"/>
              <w:bottom w:val="single" w:sz="4" w:space="0" w:color="auto"/>
              <w:right w:val="single" w:sz="4" w:space="0" w:color="auto"/>
            </w:tcBorders>
          </w:tcPr>
          <w:p w14:paraId="553AA30A" w14:textId="77777777" w:rsidR="00E65FF4" w:rsidRPr="000D21DF" w:rsidRDefault="00E65FF4" w:rsidP="0048250F">
            <w:pPr>
              <w:spacing w:after="0" w:line="240" w:lineRule="auto"/>
              <w:jc w:val="center"/>
              <w:rPr>
                <w:rFonts w:ascii="Times New Roman" w:eastAsia="Times New Roman" w:hAnsi="Times New Roman" w:cs="Times New Roman"/>
                <w:sz w:val="24"/>
                <w:szCs w:val="24"/>
                <w:lang w:eastAsia="ru-RU"/>
              </w:rPr>
            </w:pPr>
            <w:r w:rsidRPr="000D21DF">
              <w:rPr>
                <w:rFonts w:ascii="Times New Roman" w:eastAsia="Times New Roman" w:hAnsi="Times New Roman" w:cs="Times New Roman"/>
                <w:sz w:val="24"/>
                <w:szCs w:val="24"/>
                <w:lang w:eastAsia="ru-RU"/>
              </w:rPr>
              <w:t>2020 г.</w:t>
            </w:r>
          </w:p>
        </w:tc>
        <w:tc>
          <w:tcPr>
            <w:tcW w:w="694" w:type="pct"/>
            <w:tcBorders>
              <w:top w:val="single" w:sz="4" w:space="0" w:color="auto"/>
              <w:left w:val="single" w:sz="4" w:space="0" w:color="auto"/>
              <w:bottom w:val="single" w:sz="4" w:space="0" w:color="auto"/>
              <w:right w:val="single" w:sz="4" w:space="0" w:color="auto"/>
            </w:tcBorders>
            <w:vAlign w:val="center"/>
          </w:tcPr>
          <w:p w14:paraId="458D9DA9" w14:textId="77777777" w:rsidR="00E65FF4" w:rsidRPr="000D21DF" w:rsidRDefault="00E65FF4"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w:t>
            </w:r>
          </w:p>
        </w:tc>
      </w:tr>
      <w:tr w:rsidR="00E65FF4" w:rsidRPr="000D21DF" w14:paraId="766940CB" w14:textId="77777777" w:rsidTr="00E65FF4">
        <w:trPr>
          <w:trHeight w:val="469"/>
          <w:jc w:val="center"/>
        </w:trPr>
        <w:tc>
          <w:tcPr>
            <w:tcW w:w="2223" w:type="pct"/>
            <w:tcBorders>
              <w:top w:val="single" w:sz="4" w:space="0" w:color="auto"/>
              <w:left w:val="single" w:sz="4" w:space="0" w:color="auto"/>
              <w:bottom w:val="single" w:sz="4" w:space="0" w:color="auto"/>
              <w:right w:val="single" w:sz="4" w:space="0" w:color="auto"/>
            </w:tcBorders>
            <w:vAlign w:val="center"/>
            <w:hideMark/>
          </w:tcPr>
          <w:p w14:paraId="6D541DA2" w14:textId="77777777" w:rsidR="00E65FF4" w:rsidRPr="000D21DF" w:rsidRDefault="00E65FF4" w:rsidP="00D03A4F">
            <w:pPr>
              <w:spacing w:after="0" w:line="240" w:lineRule="auto"/>
              <w:rPr>
                <w:rFonts w:ascii="Times New Roman" w:eastAsia="Times New Roman" w:hAnsi="Times New Roman" w:cs="Times New Roman"/>
                <w:b/>
                <w:sz w:val="24"/>
                <w:szCs w:val="24"/>
                <w:lang w:eastAsia="ru-RU"/>
              </w:rPr>
            </w:pPr>
            <w:r w:rsidRPr="000D21DF">
              <w:rPr>
                <w:rFonts w:ascii="Times New Roman" w:eastAsia="Times New Roman" w:hAnsi="Times New Roman" w:cs="Times New Roman"/>
                <w:b/>
                <w:sz w:val="24"/>
                <w:szCs w:val="24"/>
                <w:lang w:eastAsia="ru-RU"/>
              </w:rPr>
              <w:t>Численность безработных, всего</w:t>
            </w:r>
          </w:p>
        </w:tc>
        <w:tc>
          <w:tcPr>
            <w:tcW w:w="694" w:type="pct"/>
            <w:tcBorders>
              <w:top w:val="single" w:sz="4" w:space="0" w:color="auto"/>
              <w:left w:val="single" w:sz="4" w:space="0" w:color="auto"/>
              <w:bottom w:val="single" w:sz="4" w:space="0" w:color="auto"/>
              <w:right w:val="single" w:sz="4" w:space="0" w:color="auto"/>
            </w:tcBorders>
            <w:vAlign w:val="center"/>
          </w:tcPr>
          <w:p w14:paraId="4F01B9A6" w14:textId="77777777" w:rsidR="00E65FF4" w:rsidRPr="000D21DF" w:rsidRDefault="00E65FF4" w:rsidP="0048250F">
            <w:pPr>
              <w:spacing w:after="0" w:line="240" w:lineRule="auto"/>
              <w:jc w:val="center"/>
              <w:rPr>
                <w:rFonts w:ascii="Times New Roman" w:eastAsia="Times New Roman" w:hAnsi="Times New Roman" w:cs="Times New Roman"/>
                <w:b/>
                <w:sz w:val="24"/>
                <w:szCs w:val="24"/>
                <w:lang w:eastAsia="ru-RU"/>
              </w:rPr>
            </w:pPr>
            <w:r w:rsidRPr="000D21DF">
              <w:rPr>
                <w:rFonts w:ascii="Times New Roman" w:eastAsia="Times New Roman" w:hAnsi="Times New Roman" w:cs="Times New Roman"/>
                <w:b/>
                <w:sz w:val="24"/>
                <w:szCs w:val="24"/>
                <w:lang w:eastAsia="ru-RU"/>
              </w:rPr>
              <w:t>693</w:t>
            </w:r>
          </w:p>
        </w:tc>
        <w:tc>
          <w:tcPr>
            <w:tcW w:w="694" w:type="pct"/>
            <w:tcBorders>
              <w:top w:val="single" w:sz="4" w:space="0" w:color="auto"/>
              <w:left w:val="single" w:sz="4" w:space="0" w:color="auto"/>
              <w:bottom w:val="single" w:sz="4" w:space="0" w:color="auto"/>
              <w:right w:val="single" w:sz="4" w:space="0" w:color="auto"/>
            </w:tcBorders>
            <w:vAlign w:val="center"/>
          </w:tcPr>
          <w:p w14:paraId="103C016E" w14:textId="77777777" w:rsidR="00E65FF4" w:rsidRPr="000D21DF" w:rsidRDefault="00E65FF4" w:rsidP="0048250F">
            <w:pPr>
              <w:spacing w:after="0" w:line="240" w:lineRule="auto"/>
              <w:jc w:val="center"/>
              <w:rPr>
                <w:rFonts w:ascii="Times New Roman" w:eastAsia="Times New Roman" w:hAnsi="Times New Roman" w:cs="Times New Roman"/>
                <w:b/>
                <w:bCs/>
                <w:sz w:val="24"/>
                <w:szCs w:val="24"/>
                <w:lang w:eastAsia="ru-RU"/>
              </w:rPr>
            </w:pPr>
            <w:r w:rsidRPr="000D21DF">
              <w:rPr>
                <w:rFonts w:ascii="Times New Roman" w:eastAsia="Times New Roman" w:hAnsi="Times New Roman" w:cs="Times New Roman"/>
                <w:b/>
                <w:bCs/>
                <w:sz w:val="24"/>
                <w:szCs w:val="24"/>
                <w:lang w:eastAsia="ru-RU"/>
              </w:rPr>
              <w:t>691</w:t>
            </w:r>
          </w:p>
        </w:tc>
        <w:tc>
          <w:tcPr>
            <w:tcW w:w="694" w:type="pct"/>
            <w:tcBorders>
              <w:top w:val="single" w:sz="4" w:space="0" w:color="auto"/>
              <w:left w:val="single" w:sz="4" w:space="0" w:color="auto"/>
              <w:bottom w:val="single" w:sz="4" w:space="0" w:color="auto"/>
              <w:right w:val="single" w:sz="4" w:space="0" w:color="auto"/>
            </w:tcBorders>
            <w:vAlign w:val="center"/>
          </w:tcPr>
          <w:p w14:paraId="690F908E" w14:textId="77777777" w:rsidR="00E65FF4" w:rsidRPr="000D21DF" w:rsidRDefault="00E65FF4" w:rsidP="0048250F">
            <w:pPr>
              <w:spacing w:after="0" w:line="240" w:lineRule="auto"/>
              <w:jc w:val="center"/>
              <w:rPr>
                <w:rFonts w:ascii="Times New Roman" w:eastAsia="Times New Roman" w:hAnsi="Times New Roman" w:cs="Times New Roman"/>
                <w:b/>
                <w:bCs/>
                <w:sz w:val="24"/>
                <w:szCs w:val="24"/>
                <w:lang w:eastAsia="ru-RU"/>
              </w:rPr>
            </w:pPr>
            <w:r w:rsidRPr="000D21DF">
              <w:rPr>
                <w:rFonts w:ascii="Times New Roman" w:eastAsia="Times New Roman" w:hAnsi="Times New Roman" w:cs="Times New Roman"/>
                <w:b/>
                <w:bCs/>
                <w:sz w:val="24"/>
                <w:szCs w:val="24"/>
                <w:lang w:eastAsia="ru-RU"/>
              </w:rPr>
              <w:t>2 773</w:t>
            </w:r>
          </w:p>
        </w:tc>
        <w:tc>
          <w:tcPr>
            <w:tcW w:w="694" w:type="pct"/>
            <w:tcBorders>
              <w:top w:val="single" w:sz="4" w:space="0" w:color="auto"/>
              <w:left w:val="single" w:sz="4" w:space="0" w:color="auto"/>
              <w:bottom w:val="single" w:sz="4" w:space="0" w:color="auto"/>
              <w:right w:val="single" w:sz="4" w:space="0" w:color="auto"/>
            </w:tcBorders>
            <w:vAlign w:val="center"/>
          </w:tcPr>
          <w:p w14:paraId="15298F40" w14:textId="77777777" w:rsidR="00E65FF4" w:rsidRPr="000D21DF" w:rsidRDefault="00E65FF4" w:rsidP="00D03A4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777</w:t>
            </w:r>
          </w:p>
        </w:tc>
      </w:tr>
      <w:tr w:rsidR="00E65FF4" w:rsidRPr="000D21DF" w14:paraId="44D9ACFB" w14:textId="77777777" w:rsidTr="00E65FF4">
        <w:trPr>
          <w:trHeight w:val="802"/>
          <w:jc w:val="center"/>
        </w:trPr>
        <w:tc>
          <w:tcPr>
            <w:tcW w:w="2223" w:type="pct"/>
            <w:tcBorders>
              <w:top w:val="single" w:sz="4" w:space="0" w:color="auto"/>
              <w:left w:val="single" w:sz="4" w:space="0" w:color="auto"/>
              <w:bottom w:val="single" w:sz="4" w:space="0" w:color="auto"/>
              <w:right w:val="single" w:sz="4" w:space="0" w:color="auto"/>
            </w:tcBorders>
            <w:vAlign w:val="bottom"/>
            <w:hideMark/>
          </w:tcPr>
          <w:p w14:paraId="3EE7B4F1" w14:textId="36E02532" w:rsidR="00E65FF4" w:rsidRPr="000D21DF" w:rsidRDefault="00E65FF4" w:rsidP="00D03A4F">
            <w:pPr>
              <w:spacing w:after="0" w:line="240" w:lineRule="auto"/>
              <w:ind w:left="170"/>
              <w:rPr>
                <w:rFonts w:ascii="Times New Roman" w:eastAsia="Times New Roman" w:hAnsi="Times New Roman" w:cs="Times New Roman"/>
                <w:sz w:val="24"/>
                <w:szCs w:val="24"/>
                <w:lang w:eastAsia="ru-RU"/>
              </w:rPr>
            </w:pPr>
            <w:r w:rsidRPr="000D21DF">
              <w:rPr>
                <w:rFonts w:ascii="Times New Roman" w:eastAsia="Times New Roman" w:hAnsi="Times New Roman" w:cs="Times New Roman"/>
                <w:sz w:val="24"/>
                <w:szCs w:val="24"/>
                <w:lang w:eastAsia="ru-RU"/>
              </w:rPr>
              <w:t>из них родители, воспитывающие несовершеннолетних детей, детей</w:t>
            </w:r>
            <w:r w:rsidR="003B77D7">
              <w:rPr>
                <w:rFonts w:ascii="Times New Roman" w:eastAsia="Times New Roman" w:hAnsi="Times New Roman" w:cs="Times New Roman"/>
                <w:sz w:val="28"/>
                <w:szCs w:val="28"/>
                <w:lang w:eastAsia="ru-RU"/>
              </w:rPr>
              <w:t xml:space="preserve"> </w:t>
            </w:r>
            <w:r w:rsidR="003B77D7" w:rsidRPr="00295F0B">
              <w:rPr>
                <w:rFonts w:ascii="Times New Roman" w:eastAsia="Times New Roman" w:hAnsi="Times New Roman" w:cs="Times New Roman"/>
                <w:sz w:val="24"/>
                <w:szCs w:val="24"/>
                <w:lang w:eastAsia="ru-RU"/>
              </w:rPr>
              <w:t>с инвалидностью</w:t>
            </w:r>
            <w:r w:rsidRPr="000D21DF">
              <w:rPr>
                <w:rFonts w:ascii="Times New Roman" w:eastAsia="Times New Roman" w:hAnsi="Times New Roman" w:cs="Times New Roman"/>
                <w:sz w:val="24"/>
                <w:szCs w:val="24"/>
                <w:lang w:eastAsia="ru-RU"/>
              </w:rPr>
              <w:t>, всего</w:t>
            </w:r>
          </w:p>
        </w:tc>
        <w:tc>
          <w:tcPr>
            <w:tcW w:w="694" w:type="pct"/>
            <w:tcBorders>
              <w:top w:val="single" w:sz="4" w:space="0" w:color="auto"/>
              <w:left w:val="single" w:sz="4" w:space="0" w:color="auto"/>
              <w:bottom w:val="single" w:sz="4" w:space="0" w:color="auto"/>
              <w:right w:val="single" w:sz="4" w:space="0" w:color="auto"/>
            </w:tcBorders>
            <w:vAlign w:val="center"/>
          </w:tcPr>
          <w:p w14:paraId="5A154B81" w14:textId="77777777" w:rsidR="00E65FF4" w:rsidRPr="000D21DF" w:rsidRDefault="00E65FF4" w:rsidP="0048250F">
            <w:pPr>
              <w:spacing w:after="0" w:line="240" w:lineRule="auto"/>
              <w:jc w:val="center"/>
              <w:rPr>
                <w:rFonts w:ascii="Times New Roman" w:eastAsia="Times New Roman" w:hAnsi="Times New Roman" w:cs="Times New Roman"/>
                <w:sz w:val="24"/>
                <w:szCs w:val="24"/>
                <w:lang w:eastAsia="ru-RU"/>
              </w:rPr>
            </w:pPr>
            <w:r w:rsidRPr="000D21DF">
              <w:rPr>
                <w:rFonts w:ascii="Times New Roman" w:eastAsia="Times New Roman" w:hAnsi="Times New Roman" w:cs="Times New Roman"/>
                <w:sz w:val="24"/>
                <w:szCs w:val="24"/>
                <w:lang w:eastAsia="ru-RU"/>
              </w:rPr>
              <w:t>207</w:t>
            </w:r>
          </w:p>
        </w:tc>
        <w:tc>
          <w:tcPr>
            <w:tcW w:w="694" w:type="pct"/>
            <w:tcBorders>
              <w:top w:val="single" w:sz="4" w:space="0" w:color="auto"/>
              <w:left w:val="single" w:sz="4" w:space="0" w:color="auto"/>
              <w:bottom w:val="single" w:sz="4" w:space="0" w:color="auto"/>
              <w:right w:val="single" w:sz="4" w:space="0" w:color="auto"/>
            </w:tcBorders>
            <w:vAlign w:val="center"/>
          </w:tcPr>
          <w:p w14:paraId="7DFE786A" w14:textId="77777777" w:rsidR="00E65FF4" w:rsidRPr="000D21DF" w:rsidRDefault="00E65FF4" w:rsidP="0048250F">
            <w:pPr>
              <w:spacing w:after="0" w:line="240" w:lineRule="auto"/>
              <w:jc w:val="center"/>
              <w:rPr>
                <w:rFonts w:ascii="Times New Roman" w:eastAsia="Times New Roman" w:hAnsi="Times New Roman" w:cs="Times New Roman"/>
                <w:bCs/>
                <w:sz w:val="24"/>
                <w:szCs w:val="24"/>
                <w:lang w:eastAsia="ru-RU"/>
              </w:rPr>
            </w:pPr>
            <w:r w:rsidRPr="000D21DF">
              <w:rPr>
                <w:rFonts w:ascii="Times New Roman" w:eastAsia="Times New Roman" w:hAnsi="Times New Roman" w:cs="Times New Roman"/>
                <w:bCs/>
                <w:sz w:val="24"/>
                <w:szCs w:val="24"/>
                <w:lang w:eastAsia="ru-RU"/>
              </w:rPr>
              <w:t>204</w:t>
            </w:r>
          </w:p>
        </w:tc>
        <w:tc>
          <w:tcPr>
            <w:tcW w:w="694" w:type="pct"/>
            <w:tcBorders>
              <w:top w:val="single" w:sz="4" w:space="0" w:color="auto"/>
              <w:left w:val="single" w:sz="4" w:space="0" w:color="auto"/>
              <w:bottom w:val="single" w:sz="4" w:space="0" w:color="auto"/>
              <w:right w:val="single" w:sz="4" w:space="0" w:color="auto"/>
            </w:tcBorders>
            <w:vAlign w:val="center"/>
          </w:tcPr>
          <w:p w14:paraId="265E7192" w14:textId="77777777" w:rsidR="00E65FF4" w:rsidRPr="000D21DF" w:rsidRDefault="00E65FF4" w:rsidP="0048250F">
            <w:pPr>
              <w:spacing w:after="0" w:line="240" w:lineRule="auto"/>
              <w:jc w:val="center"/>
              <w:rPr>
                <w:rFonts w:ascii="Times New Roman" w:eastAsia="Times New Roman" w:hAnsi="Times New Roman" w:cs="Times New Roman"/>
                <w:bCs/>
                <w:sz w:val="24"/>
                <w:szCs w:val="24"/>
                <w:lang w:eastAsia="ru-RU"/>
              </w:rPr>
            </w:pPr>
            <w:r w:rsidRPr="000D21DF">
              <w:rPr>
                <w:rFonts w:ascii="Times New Roman" w:eastAsia="Times New Roman" w:hAnsi="Times New Roman" w:cs="Times New Roman"/>
                <w:bCs/>
                <w:sz w:val="24"/>
                <w:szCs w:val="24"/>
                <w:lang w:eastAsia="ru-RU"/>
              </w:rPr>
              <w:t>1 261</w:t>
            </w:r>
          </w:p>
        </w:tc>
        <w:tc>
          <w:tcPr>
            <w:tcW w:w="694" w:type="pct"/>
            <w:tcBorders>
              <w:top w:val="single" w:sz="4" w:space="0" w:color="auto"/>
              <w:left w:val="single" w:sz="4" w:space="0" w:color="auto"/>
              <w:bottom w:val="single" w:sz="4" w:space="0" w:color="auto"/>
              <w:right w:val="single" w:sz="4" w:space="0" w:color="auto"/>
            </w:tcBorders>
            <w:vAlign w:val="center"/>
          </w:tcPr>
          <w:p w14:paraId="1037B9A5" w14:textId="77777777" w:rsidR="00E65FF4" w:rsidRPr="000D21DF" w:rsidRDefault="00E65FF4" w:rsidP="00D03A4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265</w:t>
            </w:r>
          </w:p>
        </w:tc>
      </w:tr>
      <w:tr w:rsidR="00E65FF4" w:rsidRPr="000D21DF" w14:paraId="2FA84AE1" w14:textId="77777777" w:rsidTr="00E65FF4">
        <w:trPr>
          <w:trHeight w:val="348"/>
          <w:jc w:val="center"/>
        </w:trPr>
        <w:tc>
          <w:tcPr>
            <w:tcW w:w="2223" w:type="pct"/>
            <w:tcBorders>
              <w:top w:val="single" w:sz="4" w:space="0" w:color="auto"/>
              <w:left w:val="single" w:sz="4" w:space="0" w:color="auto"/>
              <w:bottom w:val="single" w:sz="4" w:space="0" w:color="auto"/>
              <w:right w:val="single" w:sz="4" w:space="0" w:color="auto"/>
            </w:tcBorders>
            <w:vAlign w:val="bottom"/>
            <w:hideMark/>
          </w:tcPr>
          <w:p w14:paraId="6DCE024E" w14:textId="77777777" w:rsidR="00E65FF4" w:rsidRPr="000D21DF" w:rsidRDefault="00E65FF4" w:rsidP="00D03A4F">
            <w:pPr>
              <w:spacing w:after="0" w:line="240" w:lineRule="auto"/>
              <w:ind w:left="170"/>
              <w:rPr>
                <w:rFonts w:ascii="Times New Roman" w:eastAsia="Times New Roman" w:hAnsi="Times New Roman" w:cs="Times New Roman"/>
                <w:sz w:val="24"/>
                <w:szCs w:val="24"/>
                <w:lang w:eastAsia="ru-RU"/>
              </w:rPr>
            </w:pPr>
            <w:r w:rsidRPr="000D21DF">
              <w:rPr>
                <w:rFonts w:ascii="Times New Roman" w:eastAsia="Times New Roman" w:hAnsi="Times New Roman" w:cs="Times New Roman"/>
                <w:sz w:val="24"/>
                <w:szCs w:val="24"/>
                <w:lang w:eastAsia="ru-RU"/>
              </w:rPr>
              <w:t>в том числе:</w:t>
            </w:r>
          </w:p>
        </w:tc>
        <w:tc>
          <w:tcPr>
            <w:tcW w:w="694" w:type="pct"/>
            <w:tcBorders>
              <w:top w:val="single" w:sz="4" w:space="0" w:color="auto"/>
              <w:left w:val="single" w:sz="4" w:space="0" w:color="auto"/>
              <w:bottom w:val="single" w:sz="4" w:space="0" w:color="auto"/>
              <w:right w:val="single" w:sz="4" w:space="0" w:color="auto"/>
            </w:tcBorders>
            <w:vAlign w:val="center"/>
          </w:tcPr>
          <w:p w14:paraId="133B6479" w14:textId="77777777" w:rsidR="00E65FF4" w:rsidRPr="000D21DF" w:rsidRDefault="00E65FF4" w:rsidP="0048250F">
            <w:pPr>
              <w:spacing w:after="0" w:line="240" w:lineRule="auto"/>
              <w:jc w:val="center"/>
              <w:rPr>
                <w:rFonts w:ascii="Times New Roman" w:eastAsia="Times New Roman" w:hAnsi="Times New Roman" w:cs="Times New Roman"/>
                <w:sz w:val="24"/>
                <w:szCs w:val="24"/>
                <w:lang w:eastAsia="ru-RU"/>
              </w:rPr>
            </w:pPr>
          </w:p>
        </w:tc>
        <w:tc>
          <w:tcPr>
            <w:tcW w:w="694" w:type="pct"/>
            <w:tcBorders>
              <w:top w:val="single" w:sz="4" w:space="0" w:color="auto"/>
              <w:left w:val="single" w:sz="4" w:space="0" w:color="auto"/>
              <w:bottom w:val="single" w:sz="4" w:space="0" w:color="auto"/>
              <w:right w:val="single" w:sz="4" w:space="0" w:color="auto"/>
            </w:tcBorders>
            <w:vAlign w:val="center"/>
          </w:tcPr>
          <w:p w14:paraId="688A2C6E" w14:textId="77777777" w:rsidR="00E65FF4" w:rsidRPr="000D21DF" w:rsidRDefault="00E65FF4" w:rsidP="0048250F">
            <w:pPr>
              <w:spacing w:after="0" w:line="240" w:lineRule="auto"/>
              <w:jc w:val="center"/>
              <w:rPr>
                <w:rFonts w:ascii="Times New Roman" w:eastAsia="Times New Roman" w:hAnsi="Times New Roman" w:cs="Times New Roman"/>
                <w:bCs/>
                <w:sz w:val="24"/>
                <w:szCs w:val="24"/>
                <w:lang w:eastAsia="ru-RU"/>
              </w:rPr>
            </w:pPr>
          </w:p>
        </w:tc>
        <w:tc>
          <w:tcPr>
            <w:tcW w:w="694" w:type="pct"/>
            <w:tcBorders>
              <w:top w:val="single" w:sz="4" w:space="0" w:color="auto"/>
              <w:left w:val="single" w:sz="4" w:space="0" w:color="auto"/>
              <w:bottom w:val="single" w:sz="4" w:space="0" w:color="auto"/>
              <w:right w:val="single" w:sz="4" w:space="0" w:color="auto"/>
            </w:tcBorders>
            <w:vAlign w:val="center"/>
          </w:tcPr>
          <w:p w14:paraId="17D753D3" w14:textId="77777777" w:rsidR="00E65FF4" w:rsidRPr="000D21DF" w:rsidRDefault="00E65FF4" w:rsidP="0048250F">
            <w:pPr>
              <w:spacing w:after="0" w:line="240" w:lineRule="auto"/>
              <w:jc w:val="center"/>
              <w:rPr>
                <w:rFonts w:ascii="Times New Roman" w:eastAsia="Times New Roman" w:hAnsi="Times New Roman" w:cs="Times New Roman"/>
                <w:bCs/>
                <w:sz w:val="24"/>
                <w:szCs w:val="24"/>
                <w:lang w:eastAsia="ru-RU"/>
              </w:rPr>
            </w:pPr>
          </w:p>
        </w:tc>
        <w:tc>
          <w:tcPr>
            <w:tcW w:w="694" w:type="pct"/>
            <w:tcBorders>
              <w:top w:val="single" w:sz="4" w:space="0" w:color="auto"/>
              <w:left w:val="single" w:sz="4" w:space="0" w:color="auto"/>
              <w:bottom w:val="single" w:sz="4" w:space="0" w:color="auto"/>
              <w:right w:val="single" w:sz="4" w:space="0" w:color="auto"/>
            </w:tcBorders>
            <w:vAlign w:val="center"/>
          </w:tcPr>
          <w:p w14:paraId="3AB793A7" w14:textId="77777777" w:rsidR="00E65FF4" w:rsidRPr="000D21DF" w:rsidRDefault="00E65FF4" w:rsidP="00D03A4F">
            <w:pPr>
              <w:spacing w:after="0" w:line="240" w:lineRule="auto"/>
              <w:jc w:val="center"/>
              <w:rPr>
                <w:rFonts w:ascii="Times New Roman" w:eastAsia="Times New Roman" w:hAnsi="Times New Roman" w:cs="Times New Roman"/>
                <w:bCs/>
                <w:sz w:val="24"/>
                <w:szCs w:val="24"/>
                <w:lang w:eastAsia="ru-RU"/>
              </w:rPr>
            </w:pPr>
          </w:p>
        </w:tc>
      </w:tr>
      <w:tr w:rsidR="00E65FF4" w:rsidRPr="000D21DF" w14:paraId="6E8B6AE4" w14:textId="77777777" w:rsidTr="00E65FF4">
        <w:trPr>
          <w:trHeight w:val="375"/>
          <w:jc w:val="center"/>
        </w:trPr>
        <w:tc>
          <w:tcPr>
            <w:tcW w:w="2223" w:type="pct"/>
            <w:tcBorders>
              <w:top w:val="single" w:sz="4" w:space="0" w:color="auto"/>
              <w:left w:val="single" w:sz="4" w:space="0" w:color="auto"/>
              <w:bottom w:val="single" w:sz="4" w:space="0" w:color="auto"/>
              <w:right w:val="single" w:sz="4" w:space="0" w:color="auto"/>
            </w:tcBorders>
            <w:vAlign w:val="bottom"/>
            <w:hideMark/>
          </w:tcPr>
          <w:p w14:paraId="664D7214" w14:textId="77777777" w:rsidR="00E65FF4" w:rsidRPr="000D21DF" w:rsidRDefault="00E65FF4" w:rsidP="00D03A4F">
            <w:pPr>
              <w:spacing w:after="0" w:line="240" w:lineRule="auto"/>
              <w:ind w:left="170"/>
              <w:rPr>
                <w:rFonts w:ascii="Times New Roman" w:eastAsia="Times New Roman" w:hAnsi="Times New Roman" w:cs="Times New Roman"/>
                <w:sz w:val="24"/>
                <w:szCs w:val="24"/>
                <w:lang w:eastAsia="ru-RU"/>
              </w:rPr>
            </w:pPr>
            <w:r w:rsidRPr="000D21DF">
              <w:rPr>
                <w:rFonts w:ascii="Times New Roman" w:eastAsia="Times New Roman" w:hAnsi="Times New Roman" w:cs="Times New Roman"/>
                <w:sz w:val="24"/>
                <w:szCs w:val="24"/>
                <w:lang w:eastAsia="ru-RU"/>
              </w:rPr>
              <w:t>одинокие родители</w:t>
            </w:r>
          </w:p>
        </w:tc>
        <w:tc>
          <w:tcPr>
            <w:tcW w:w="694" w:type="pct"/>
            <w:tcBorders>
              <w:top w:val="single" w:sz="4" w:space="0" w:color="auto"/>
              <w:left w:val="single" w:sz="4" w:space="0" w:color="auto"/>
              <w:bottom w:val="single" w:sz="4" w:space="0" w:color="auto"/>
              <w:right w:val="single" w:sz="4" w:space="0" w:color="auto"/>
            </w:tcBorders>
            <w:vAlign w:val="center"/>
          </w:tcPr>
          <w:p w14:paraId="441E4906" w14:textId="77777777" w:rsidR="00E65FF4" w:rsidRPr="000D21DF" w:rsidRDefault="00E65FF4" w:rsidP="0048250F">
            <w:pPr>
              <w:spacing w:after="0" w:line="240" w:lineRule="auto"/>
              <w:jc w:val="center"/>
              <w:rPr>
                <w:rFonts w:ascii="Times New Roman" w:eastAsia="Times New Roman" w:hAnsi="Times New Roman" w:cs="Times New Roman"/>
                <w:sz w:val="24"/>
                <w:szCs w:val="24"/>
                <w:lang w:eastAsia="ru-RU"/>
              </w:rPr>
            </w:pPr>
            <w:r w:rsidRPr="000D21DF">
              <w:rPr>
                <w:rFonts w:ascii="Times New Roman" w:eastAsia="Times New Roman" w:hAnsi="Times New Roman" w:cs="Times New Roman"/>
                <w:sz w:val="24"/>
                <w:szCs w:val="24"/>
                <w:lang w:eastAsia="ru-RU"/>
              </w:rPr>
              <w:t>12</w:t>
            </w:r>
          </w:p>
        </w:tc>
        <w:tc>
          <w:tcPr>
            <w:tcW w:w="694" w:type="pct"/>
            <w:tcBorders>
              <w:top w:val="single" w:sz="4" w:space="0" w:color="auto"/>
              <w:left w:val="single" w:sz="4" w:space="0" w:color="auto"/>
              <w:bottom w:val="single" w:sz="4" w:space="0" w:color="auto"/>
              <w:right w:val="single" w:sz="4" w:space="0" w:color="auto"/>
            </w:tcBorders>
            <w:vAlign w:val="center"/>
          </w:tcPr>
          <w:p w14:paraId="58E44A43" w14:textId="77777777" w:rsidR="00E65FF4" w:rsidRPr="000D21DF" w:rsidRDefault="00E65FF4" w:rsidP="0048250F">
            <w:pPr>
              <w:spacing w:after="0" w:line="240" w:lineRule="auto"/>
              <w:jc w:val="center"/>
              <w:rPr>
                <w:rFonts w:ascii="Times New Roman" w:eastAsia="Times New Roman" w:hAnsi="Times New Roman" w:cs="Times New Roman"/>
                <w:bCs/>
                <w:sz w:val="24"/>
                <w:szCs w:val="24"/>
                <w:lang w:eastAsia="ru-RU"/>
              </w:rPr>
            </w:pPr>
            <w:r w:rsidRPr="000D21DF">
              <w:rPr>
                <w:rFonts w:ascii="Times New Roman" w:eastAsia="Times New Roman" w:hAnsi="Times New Roman" w:cs="Times New Roman"/>
                <w:bCs/>
                <w:sz w:val="24"/>
                <w:szCs w:val="24"/>
                <w:lang w:eastAsia="ru-RU"/>
              </w:rPr>
              <w:t>10</w:t>
            </w:r>
          </w:p>
        </w:tc>
        <w:tc>
          <w:tcPr>
            <w:tcW w:w="694" w:type="pct"/>
            <w:tcBorders>
              <w:top w:val="single" w:sz="4" w:space="0" w:color="auto"/>
              <w:left w:val="single" w:sz="4" w:space="0" w:color="auto"/>
              <w:bottom w:val="single" w:sz="4" w:space="0" w:color="auto"/>
              <w:right w:val="single" w:sz="4" w:space="0" w:color="auto"/>
            </w:tcBorders>
            <w:vAlign w:val="center"/>
          </w:tcPr>
          <w:p w14:paraId="4901D96F" w14:textId="77777777" w:rsidR="00E65FF4" w:rsidRPr="000D21DF" w:rsidRDefault="00E65FF4" w:rsidP="0048250F">
            <w:pPr>
              <w:spacing w:after="0" w:line="240" w:lineRule="auto"/>
              <w:jc w:val="center"/>
              <w:rPr>
                <w:rFonts w:ascii="Times New Roman" w:eastAsia="Times New Roman" w:hAnsi="Times New Roman" w:cs="Times New Roman"/>
                <w:bCs/>
                <w:sz w:val="24"/>
                <w:szCs w:val="24"/>
                <w:lang w:eastAsia="ru-RU"/>
              </w:rPr>
            </w:pPr>
            <w:r w:rsidRPr="000D21DF">
              <w:rPr>
                <w:rFonts w:ascii="Times New Roman" w:eastAsia="Times New Roman" w:hAnsi="Times New Roman" w:cs="Times New Roman"/>
                <w:bCs/>
                <w:sz w:val="24"/>
                <w:szCs w:val="24"/>
                <w:lang w:eastAsia="ru-RU"/>
              </w:rPr>
              <w:t>13</w:t>
            </w:r>
          </w:p>
        </w:tc>
        <w:tc>
          <w:tcPr>
            <w:tcW w:w="694" w:type="pct"/>
            <w:tcBorders>
              <w:top w:val="single" w:sz="4" w:space="0" w:color="auto"/>
              <w:left w:val="single" w:sz="4" w:space="0" w:color="auto"/>
              <w:bottom w:val="single" w:sz="4" w:space="0" w:color="auto"/>
              <w:right w:val="single" w:sz="4" w:space="0" w:color="auto"/>
            </w:tcBorders>
            <w:vAlign w:val="center"/>
          </w:tcPr>
          <w:p w14:paraId="66FF6325" w14:textId="77777777" w:rsidR="00E65FF4" w:rsidRPr="000D21DF" w:rsidRDefault="00E65FF4" w:rsidP="00D03A4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r>
      <w:tr w:rsidR="00E65FF4" w:rsidRPr="00BD5A90" w14:paraId="4E8D10F8" w14:textId="77777777" w:rsidTr="00E65FF4">
        <w:trPr>
          <w:trHeight w:val="363"/>
          <w:jc w:val="center"/>
        </w:trPr>
        <w:tc>
          <w:tcPr>
            <w:tcW w:w="2223" w:type="pct"/>
            <w:tcBorders>
              <w:top w:val="single" w:sz="4" w:space="0" w:color="auto"/>
              <w:left w:val="single" w:sz="4" w:space="0" w:color="auto"/>
              <w:bottom w:val="single" w:sz="4" w:space="0" w:color="auto"/>
              <w:right w:val="single" w:sz="4" w:space="0" w:color="auto"/>
            </w:tcBorders>
            <w:vAlign w:val="bottom"/>
            <w:hideMark/>
          </w:tcPr>
          <w:p w14:paraId="75908E9B" w14:textId="77777777" w:rsidR="00E65FF4" w:rsidRPr="000D21DF" w:rsidRDefault="00E65FF4" w:rsidP="00D03A4F">
            <w:pPr>
              <w:spacing w:after="0" w:line="240" w:lineRule="auto"/>
              <w:ind w:left="170"/>
              <w:rPr>
                <w:rFonts w:ascii="Times New Roman" w:eastAsia="Times New Roman" w:hAnsi="Times New Roman" w:cs="Times New Roman"/>
                <w:sz w:val="24"/>
                <w:szCs w:val="24"/>
                <w:lang w:eastAsia="ru-RU"/>
              </w:rPr>
            </w:pPr>
            <w:r w:rsidRPr="000D21DF">
              <w:rPr>
                <w:rFonts w:ascii="Times New Roman" w:eastAsia="Times New Roman" w:hAnsi="Times New Roman" w:cs="Times New Roman"/>
                <w:sz w:val="24"/>
                <w:szCs w:val="24"/>
                <w:lang w:eastAsia="ru-RU"/>
              </w:rPr>
              <w:t>многодетные родители</w:t>
            </w:r>
          </w:p>
        </w:tc>
        <w:tc>
          <w:tcPr>
            <w:tcW w:w="694" w:type="pct"/>
            <w:tcBorders>
              <w:top w:val="single" w:sz="4" w:space="0" w:color="auto"/>
              <w:left w:val="single" w:sz="4" w:space="0" w:color="auto"/>
              <w:bottom w:val="single" w:sz="4" w:space="0" w:color="auto"/>
              <w:right w:val="single" w:sz="4" w:space="0" w:color="auto"/>
            </w:tcBorders>
            <w:vAlign w:val="center"/>
          </w:tcPr>
          <w:p w14:paraId="45BBD229" w14:textId="77777777" w:rsidR="00E65FF4" w:rsidRPr="000D21DF" w:rsidRDefault="00E65FF4" w:rsidP="0048250F">
            <w:pPr>
              <w:spacing w:after="0" w:line="240" w:lineRule="auto"/>
              <w:jc w:val="center"/>
              <w:rPr>
                <w:rFonts w:ascii="Times New Roman" w:eastAsia="Times New Roman" w:hAnsi="Times New Roman" w:cs="Times New Roman"/>
                <w:sz w:val="24"/>
                <w:szCs w:val="24"/>
                <w:lang w:eastAsia="ru-RU"/>
              </w:rPr>
            </w:pPr>
            <w:r w:rsidRPr="000D21DF">
              <w:rPr>
                <w:rFonts w:ascii="Times New Roman" w:eastAsia="Times New Roman" w:hAnsi="Times New Roman" w:cs="Times New Roman"/>
                <w:sz w:val="24"/>
                <w:szCs w:val="24"/>
                <w:lang w:eastAsia="ru-RU"/>
              </w:rPr>
              <w:t>25</w:t>
            </w:r>
          </w:p>
        </w:tc>
        <w:tc>
          <w:tcPr>
            <w:tcW w:w="694" w:type="pct"/>
            <w:tcBorders>
              <w:top w:val="single" w:sz="4" w:space="0" w:color="auto"/>
              <w:left w:val="single" w:sz="4" w:space="0" w:color="auto"/>
              <w:bottom w:val="single" w:sz="4" w:space="0" w:color="auto"/>
              <w:right w:val="single" w:sz="4" w:space="0" w:color="auto"/>
            </w:tcBorders>
            <w:vAlign w:val="center"/>
          </w:tcPr>
          <w:p w14:paraId="517A407E" w14:textId="77777777" w:rsidR="00E65FF4" w:rsidRPr="000D21DF" w:rsidRDefault="00E65FF4" w:rsidP="0048250F">
            <w:pPr>
              <w:spacing w:after="0" w:line="240" w:lineRule="auto"/>
              <w:jc w:val="center"/>
              <w:rPr>
                <w:rFonts w:ascii="Times New Roman" w:eastAsia="Times New Roman" w:hAnsi="Times New Roman" w:cs="Times New Roman"/>
                <w:bCs/>
                <w:sz w:val="24"/>
                <w:szCs w:val="24"/>
                <w:lang w:eastAsia="ru-RU"/>
              </w:rPr>
            </w:pPr>
            <w:r w:rsidRPr="000D21DF">
              <w:rPr>
                <w:rFonts w:ascii="Times New Roman" w:eastAsia="Times New Roman" w:hAnsi="Times New Roman" w:cs="Times New Roman"/>
                <w:bCs/>
                <w:sz w:val="24"/>
                <w:szCs w:val="24"/>
                <w:lang w:eastAsia="ru-RU"/>
              </w:rPr>
              <w:t>25</w:t>
            </w:r>
          </w:p>
        </w:tc>
        <w:tc>
          <w:tcPr>
            <w:tcW w:w="694" w:type="pct"/>
            <w:tcBorders>
              <w:top w:val="single" w:sz="4" w:space="0" w:color="auto"/>
              <w:left w:val="single" w:sz="4" w:space="0" w:color="auto"/>
              <w:bottom w:val="single" w:sz="4" w:space="0" w:color="auto"/>
              <w:right w:val="single" w:sz="4" w:space="0" w:color="auto"/>
            </w:tcBorders>
            <w:vAlign w:val="center"/>
          </w:tcPr>
          <w:p w14:paraId="5A08F431" w14:textId="77777777" w:rsidR="00E65FF4" w:rsidRPr="000D21DF" w:rsidRDefault="00E65FF4" w:rsidP="0048250F">
            <w:pPr>
              <w:spacing w:after="0" w:line="240" w:lineRule="auto"/>
              <w:jc w:val="center"/>
              <w:rPr>
                <w:rFonts w:ascii="Times New Roman" w:eastAsia="Times New Roman" w:hAnsi="Times New Roman" w:cs="Times New Roman"/>
                <w:bCs/>
                <w:sz w:val="24"/>
                <w:szCs w:val="24"/>
                <w:lang w:eastAsia="ru-RU"/>
              </w:rPr>
            </w:pPr>
            <w:r w:rsidRPr="000D21DF">
              <w:rPr>
                <w:rFonts w:ascii="Times New Roman" w:eastAsia="Times New Roman" w:hAnsi="Times New Roman" w:cs="Times New Roman"/>
                <w:bCs/>
                <w:sz w:val="24"/>
                <w:szCs w:val="24"/>
                <w:lang w:eastAsia="ru-RU"/>
              </w:rPr>
              <w:t>132</w:t>
            </w:r>
          </w:p>
        </w:tc>
        <w:tc>
          <w:tcPr>
            <w:tcW w:w="694" w:type="pct"/>
            <w:tcBorders>
              <w:top w:val="single" w:sz="4" w:space="0" w:color="auto"/>
              <w:left w:val="single" w:sz="4" w:space="0" w:color="auto"/>
              <w:bottom w:val="single" w:sz="4" w:space="0" w:color="auto"/>
              <w:right w:val="single" w:sz="4" w:space="0" w:color="auto"/>
            </w:tcBorders>
            <w:vAlign w:val="center"/>
          </w:tcPr>
          <w:p w14:paraId="248CF483" w14:textId="77777777" w:rsidR="00E65FF4" w:rsidRPr="000D21DF" w:rsidRDefault="00E65FF4" w:rsidP="00D03A4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w:t>
            </w:r>
          </w:p>
        </w:tc>
      </w:tr>
    </w:tbl>
    <w:p w14:paraId="14D0C998" w14:textId="77777777" w:rsidR="00BC6A54" w:rsidRDefault="00BC6A54" w:rsidP="00D03A4F">
      <w:pPr>
        <w:spacing w:after="0" w:line="240" w:lineRule="auto"/>
        <w:jc w:val="right"/>
        <w:rPr>
          <w:rFonts w:ascii="Times New Roman" w:eastAsia="Times New Roman" w:hAnsi="Times New Roman" w:cs="Times New Roman"/>
          <w:sz w:val="26"/>
          <w:szCs w:val="26"/>
          <w:lang w:eastAsia="ru-RU"/>
        </w:rPr>
      </w:pPr>
    </w:p>
    <w:p w14:paraId="28D29B58" w14:textId="77777777" w:rsidR="00D03A4F" w:rsidRPr="00EC45F8" w:rsidRDefault="00D03A4F" w:rsidP="00D03A4F">
      <w:pPr>
        <w:spacing w:after="0" w:line="240" w:lineRule="auto"/>
        <w:jc w:val="right"/>
        <w:rPr>
          <w:rFonts w:ascii="Times New Roman" w:eastAsia="Times New Roman" w:hAnsi="Times New Roman" w:cs="Times New Roman"/>
          <w:sz w:val="26"/>
          <w:szCs w:val="26"/>
          <w:lang w:eastAsia="ru-RU"/>
        </w:rPr>
      </w:pPr>
      <w:r w:rsidRPr="00EC45F8">
        <w:rPr>
          <w:rFonts w:ascii="Times New Roman" w:eastAsia="Times New Roman" w:hAnsi="Times New Roman" w:cs="Times New Roman"/>
          <w:sz w:val="26"/>
          <w:szCs w:val="26"/>
          <w:lang w:eastAsia="ru-RU"/>
        </w:rPr>
        <w:t>Таблица 3</w:t>
      </w:r>
      <w:r w:rsidR="008737BB">
        <w:rPr>
          <w:rFonts w:ascii="Times New Roman" w:eastAsia="Times New Roman" w:hAnsi="Times New Roman" w:cs="Times New Roman"/>
          <w:sz w:val="26"/>
          <w:szCs w:val="26"/>
          <w:lang w:eastAsia="ru-RU"/>
        </w:rPr>
        <w:t>6</w:t>
      </w:r>
    </w:p>
    <w:p w14:paraId="329E519E" w14:textId="77777777" w:rsidR="00D03A4F" w:rsidRPr="00EC45F8" w:rsidRDefault="00D03A4F" w:rsidP="00D03A4F">
      <w:pPr>
        <w:spacing w:after="0" w:line="240" w:lineRule="auto"/>
        <w:jc w:val="right"/>
        <w:rPr>
          <w:rFonts w:ascii="Times New Roman" w:eastAsia="Times New Roman" w:hAnsi="Times New Roman" w:cs="Times New Roman"/>
          <w:sz w:val="26"/>
          <w:szCs w:val="26"/>
          <w:lang w:eastAsia="ru-RU"/>
        </w:rPr>
      </w:pPr>
    </w:p>
    <w:p w14:paraId="7EADDB48" w14:textId="77777777" w:rsidR="00D03A4F" w:rsidRPr="00EC45F8" w:rsidRDefault="00D03A4F" w:rsidP="00D03A4F">
      <w:pPr>
        <w:spacing w:after="0" w:line="240" w:lineRule="auto"/>
        <w:ind w:firstLine="284"/>
        <w:jc w:val="center"/>
        <w:rPr>
          <w:rFonts w:ascii="Times New Roman" w:eastAsia="Times New Roman" w:hAnsi="Times New Roman" w:cs="Times New Roman"/>
          <w:b/>
          <w:bCs/>
          <w:sz w:val="26"/>
          <w:szCs w:val="26"/>
          <w:lang w:eastAsia="ru-RU"/>
        </w:rPr>
      </w:pPr>
      <w:r w:rsidRPr="00EC45F8">
        <w:rPr>
          <w:rFonts w:ascii="Times New Roman" w:eastAsia="Times New Roman" w:hAnsi="Times New Roman" w:cs="Times New Roman"/>
          <w:b/>
          <w:bCs/>
          <w:sz w:val="26"/>
          <w:szCs w:val="26"/>
          <w:lang w:eastAsia="ru-RU"/>
        </w:rPr>
        <w:t xml:space="preserve">Уровень занятости и уровень безработицы женщин в возрасте 20-49 лет, имеющих </w:t>
      </w:r>
      <w:r w:rsidR="005708A5">
        <w:rPr>
          <w:rFonts w:ascii="Times New Roman" w:eastAsia="Times New Roman" w:hAnsi="Times New Roman" w:cs="Times New Roman"/>
          <w:b/>
          <w:bCs/>
          <w:sz w:val="26"/>
          <w:szCs w:val="26"/>
          <w:lang w:eastAsia="ru-RU"/>
        </w:rPr>
        <w:t xml:space="preserve">и не имеющих </w:t>
      </w:r>
      <w:r w:rsidRPr="00EC45F8">
        <w:rPr>
          <w:rFonts w:ascii="Times New Roman" w:eastAsia="Times New Roman" w:hAnsi="Times New Roman" w:cs="Times New Roman"/>
          <w:b/>
          <w:bCs/>
          <w:sz w:val="26"/>
          <w:szCs w:val="26"/>
          <w:lang w:eastAsia="ru-RU"/>
        </w:rPr>
        <w:t>детей в возрасте до 18 лет</w:t>
      </w:r>
    </w:p>
    <w:p w14:paraId="6EC264E5" w14:textId="77777777" w:rsidR="00D03A4F" w:rsidRPr="00EC45F8" w:rsidRDefault="00D03A4F" w:rsidP="00D03A4F">
      <w:pPr>
        <w:spacing w:after="0" w:line="240" w:lineRule="auto"/>
        <w:jc w:val="center"/>
        <w:rPr>
          <w:rFonts w:ascii="Times New Roman" w:eastAsia="Times New Roman" w:hAnsi="Times New Roman" w:cs="Times New Roman"/>
          <w:bCs/>
          <w:sz w:val="24"/>
          <w:szCs w:val="24"/>
          <w:lang w:eastAsia="ru-RU"/>
        </w:rPr>
      </w:pPr>
      <w:r w:rsidRPr="00EC45F8">
        <w:rPr>
          <w:rFonts w:ascii="Times New Roman" w:eastAsia="Times New Roman" w:hAnsi="Times New Roman" w:cs="Times New Roman"/>
          <w:bCs/>
          <w:sz w:val="24"/>
          <w:szCs w:val="24"/>
          <w:lang w:eastAsia="ru-RU"/>
        </w:rPr>
        <w:t>(по данным выборочного обследования рабочей силы; в процентах)</w:t>
      </w:r>
    </w:p>
    <w:p w14:paraId="32A59C41" w14:textId="77777777" w:rsidR="00D03A4F" w:rsidRPr="00EC45F8" w:rsidRDefault="00D03A4F" w:rsidP="00D03A4F">
      <w:pPr>
        <w:spacing w:after="0" w:line="240" w:lineRule="auto"/>
        <w:jc w:val="center"/>
        <w:rPr>
          <w:rFonts w:ascii="Times New Roman" w:eastAsia="Times New Roman" w:hAnsi="Times New Roman" w:cs="Times New Roman"/>
          <w:sz w:val="26"/>
          <w:szCs w:val="26"/>
          <w:lang w:eastAsia="ru-RU"/>
        </w:rPr>
      </w:pPr>
    </w:p>
    <w:tbl>
      <w:tblPr>
        <w:tblW w:w="10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329"/>
        <w:gridCol w:w="1270"/>
        <w:gridCol w:w="1244"/>
        <w:gridCol w:w="1244"/>
        <w:gridCol w:w="1245"/>
        <w:gridCol w:w="1576"/>
        <w:gridCol w:w="1329"/>
      </w:tblGrid>
      <w:tr w:rsidR="00D03A4F" w:rsidRPr="00EC45F8" w14:paraId="3E5DEF2C" w14:textId="77777777" w:rsidTr="00944CB1">
        <w:trPr>
          <w:trHeight w:val="341"/>
          <w:tblHeader/>
        </w:trPr>
        <w:tc>
          <w:tcPr>
            <w:tcW w:w="1702" w:type="dxa"/>
            <w:vMerge w:val="restart"/>
          </w:tcPr>
          <w:p w14:paraId="16683538" w14:textId="77777777"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p>
        </w:tc>
        <w:tc>
          <w:tcPr>
            <w:tcW w:w="1329" w:type="dxa"/>
            <w:vMerge w:val="restart"/>
          </w:tcPr>
          <w:p w14:paraId="36CE6363" w14:textId="77777777"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Женщины, имеющие детей до 18 лет</w:t>
            </w:r>
          </w:p>
        </w:tc>
        <w:tc>
          <w:tcPr>
            <w:tcW w:w="5003" w:type="dxa"/>
            <w:gridSpan w:val="4"/>
          </w:tcPr>
          <w:p w14:paraId="26C78FBA" w14:textId="77777777"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в том числе женщины, имеющие</w:t>
            </w:r>
          </w:p>
        </w:tc>
        <w:tc>
          <w:tcPr>
            <w:tcW w:w="1576" w:type="dxa"/>
            <w:vMerge w:val="restart"/>
          </w:tcPr>
          <w:p w14:paraId="50E1A657" w14:textId="77777777"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Женщины, имеющие детей дошкольного возраста (0-6 лет)</w:t>
            </w:r>
          </w:p>
        </w:tc>
        <w:tc>
          <w:tcPr>
            <w:tcW w:w="1329" w:type="dxa"/>
            <w:vMerge w:val="restart"/>
          </w:tcPr>
          <w:p w14:paraId="7BB7344A" w14:textId="77777777"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Женщины, не имеющие детей до 18 лет</w:t>
            </w:r>
          </w:p>
        </w:tc>
      </w:tr>
      <w:tr w:rsidR="00D03A4F" w:rsidRPr="00EC45F8" w14:paraId="726B41CE" w14:textId="77777777" w:rsidTr="00944CB1">
        <w:trPr>
          <w:tblHeader/>
        </w:trPr>
        <w:tc>
          <w:tcPr>
            <w:tcW w:w="1702" w:type="dxa"/>
            <w:vMerge/>
          </w:tcPr>
          <w:p w14:paraId="34AD413A" w14:textId="77777777"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p>
        </w:tc>
        <w:tc>
          <w:tcPr>
            <w:tcW w:w="1329" w:type="dxa"/>
            <w:vMerge/>
          </w:tcPr>
          <w:p w14:paraId="75AC2A87" w14:textId="77777777"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p>
        </w:tc>
        <w:tc>
          <w:tcPr>
            <w:tcW w:w="1270" w:type="dxa"/>
          </w:tcPr>
          <w:p w14:paraId="68E882CA" w14:textId="77777777"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1 ребенка</w:t>
            </w:r>
          </w:p>
        </w:tc>
        <w:tc>
          <w:tcPr>
            <w:tcW w:w="1244" w:type="dxa"/>
          </w:tcPr>
          <w:p w14:paraId="3AEE6210" w14:textId="77777777"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2 детей</w:t>
            </w:r>
          </w:p>
        </w:tc>
        <w:tc>
          <w:tcPr>
            <w:tcW w:w="1244" w:type="dxa"/>
          </w:tcPr>
          <w:p w14:paraId="6634E21E" w14:textId="77777777"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3 детей</w:t>
            </w:r>
          </w:p>
        </w:tc>
        <w:tc>
          <w:tcPr>
            <w:tcW w:w="1245" w:type="dxa"/>
          </w:tcPr>
          <w:p w14:paraId="15D37EBB" w14:textId="77777777"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4 и более детей</w:t>
            </w:r>
          </w:p>
        </w:tc>
        <w:tc>
          <w:tcPr>
            <w:tcW w:w="1576" w:type="dxa"/>
            <w:vMerge/>
          </w:tcPr>
          <w:p w14:paraId="6DB179A3" w14:textId="77777777"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p>
        </w:tc>
        <w:tc>
          <w:tcPr>
            <w:tcW w:w="1329" w:type="dxa"/>
            <w:vMerge/>
          </w:tcPr>
          <w:p w14:paraId="4C945AC6" w14:textId="77777777" w:rsidR="00D03A4F" w:rsidRPr="00EC45F8" w:rsidRDefault="00D03A4F" w:rsidP="00D03A4F">
            <w:pPr>
              <w:spacing w:after="0" w:line="240" w:lineRule="auto"/>
              <w:jc w:val="center"/>
              <w:rPr>
                <w:rFonts w:ascii="Times New Roman" w:eastAsia="Times New Roman" w:hAnsi="Times New Roman" w:cs="Times New Roman"/>
                <w:sz w:val="24"/>
                <w:szCs w:val="24"/>
                <w:lang w:eastAsia="ru-RU"/>
              </w:rPr>
            </w:pPr>
          </w:p>
        </w:tc>
      </w:tr>
      <w:tr w:rsidR="00D03A4F" w:rsidRPr="00EC45F8" w14:paraId="020634E7" w14:textId="77777777" w:rsidTr="00944CB1">
        <w:trPr>
          <w:trHeight w:val="415"/>
        </w:trPr>
        <w:tc>
          <w:tcPr>
            <w:tcW w:w="10939" w:type="dxa"/>
            <w:gridSpan w:val="8"/>
            <w:vAlign w:val="center"/>
          </w:tcPr>
          <w:p w14:paraId="17C880E9" w14:textId="77777777" w:rsidR="00D03A4F" w:rsidRPr="00EC45F8" w:rsidRDefault="004048E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2018 г.</w:t>
            </w:r>
          </w:p>
        </w:tc>
      </w:tr>
      <w:tr w:rsidR="004048EF" w:rsidRPr="00EC45F8" w14:paraId="0DDDF4AA" w14:textId="77777777" w:rsidTr="00944CB1">
        <w:tc>
          <w:tcPr>
            <w:tcW w:w="1702" w:type="dxa"/>
            <w:vAlign w:val="center"/>
          </w:tcPr>
          <w:p w14:paraId="4328359E" w14:textId="77777777" w:rsidR="004048EF" w:rsidRPr="00EC45F8" w:rsidRDefault="004048EF" w:rsidP="00D03A4F">
            <w:pPr>
              <w:spacing w:after="0" w:line="240" w:lineRule="auto"/>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Уровень занятости</w:t>
            </w:r>
          </w:p>
        </w:tc>
        <w:tc>
          <w:tcPr>
            <w:tcW w:w="1329" w:type="dxa"/>
            <w:vAlign w:val="center"/>
          </w:tcPr>
          <w:p w14:paraId="789DD4F9" w14:textId="77777777" w:rsidR="004048EF" w:rsidRPr="00EC45F8" w:rsidRDefault="004048EF" w:rsidP="0048250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78,8</w:t>
            </w:r>
          </w:p>
        </w:tc>
        <w:tc>
          <w:tcPr>
            <w:tcW w:w="1270" w:type="dxa"/>
            <w:vAlign w:val="center"/>
          </w:tcPr>
          <w:p w14:paraId="5A005ED9" w14:textId="77777777" w:rsidR="004048EF" w:rsidRPr="00EC45F8" w:rsidRDefault="004048EF" w:rsidP="0048250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82,8</w:t>
            </w:r>
          </w:p>
        </w:tc>
        <w:tc>
          <w:tcPr>
            <w:tcW w:w="1244" w:type="dxa"/>
            <w:vAlign w:val="center"/>
          </w:tcPr>
          <w:p w14:paraId="5B43978D" w14:textId="77777777" w:rsidR="004048EF" w:rsidRPr="00EC45F8" w:rsidRDefault="004048EF" w:rsidP="0048250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75,9</w:t>
            </w:r>
          </w:p>
        </w:tc>
        <w:tc>
          <w:tcPr>
            <w:tcW w:w="1244" w:type="dxa"/>
            <w:vAlign w:val="center"/>
          </w:tcPr>
          <w:p w14:paraId="4B19EB91" w14:textId="77777777" w:rsidR="004048EF" w:rsidRPr="00EC45F8" w:rsidRDefault="004048EF" w:rsidP="0048250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62,0</w:t>
            </w:r>
          </w:p>
        </w:tc>
        <w:tc>
          <w:tcPr>
            <w:tcW w:w="1245" w:type="dxa"/>
            <w:vAlign w:val="center"/>
          </w:tcPr>
          <w:p w14:paraId="3C6EF05E" w14:textId="77777777" w:rsidR="004048EF" w:rsidRPr="00EC45F8" w:rsidRDefault="004048EF" w:rsidP="0048250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50,7</w:t>
            </w:r>
          </w:p>
        </w:tc>
        <w:tc>
          <w:tcPr>
            <w:tcW w:w="1576" w:type="dxa"/>
            <w:vAlign w:val="center"/>
          </w:tcPr>
          <w:p w14:paraId="0708260F" w14:textId="77777777" w:rsidR="004048EF" w:rsidRPr="00EC45F8" w:rsidRDefault="004048EF" w:rsidP="0048250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67,1</w:t>
            </w:r>
          </w:p>
        </w:tc>
        <w:tc>
          <w:tcPr>
            <w:tcW w:w="1329" w:type="dxa"/>
            <w:vAlign w:val="center"/>
          </w:tcPr>
          <w:p w14:paraId="5EA8D41B" w14:textId="77777777" w:rsidR="004048EF" w:rsidRPr="00EC45F8" w:rsidRDefault="004048EF" w:rsidP="0048250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79,2</w:t>
            </w:r>
          </w:p>
        </w:tc>
      </w:tr>
      <w:tr w:rsidR="004048EF" w:rsidRPr="00EC45F8" w14:paraId="5272A799" w14:textId="77777777" w:rsidTr="00944CB1">
        <w:tc>
          <w:tcPr>
            <w:tcW w:w="1702" w:type="dxa"/>
            <w:vAlign w:val="center"/>
          </w:tcPr>
          <w:p w14:paraId="16FFE3F8" w14:textId="77777777" w:rsidR="004048EF" w:rsidRPr="00EC45F8" w:rsidRDefault="004048EF" w:rsidP="00D03A4F">
            <w:pPr>
              <w:spacing w:after="0" w:line="240" w:lineRule="auto"/>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Уровень безработицы</w:t>
            </w:r>
          </w:p>
        </w:tc>
        <w:tc>
          <w:tcPr>
            <w:tcW w:w="1329" w:type="dxa"/>
            <w:vAlign w:val="center"/>
          </w:tcPr>
          <w:p w14:paraId="71D95C22" w14:textId="77777777" w:rsidR="004048EF" w:rsidRPr="00EC45F8" w:rsidRDefault="004048EF" w:rsidP="0048250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4,8</w:t>
            </w:r>
          </w:p>
        </w:tc>
        <w:tc>
          <w:tcPr>
            <w:tcW w:w="1270" w:type="dxa"/>
            <w:vAlign w:val="center"/>
          </w:tcPr>
          <w:p w14:paraId="3AB089A6" w14:textId="77777777" w:rsidR="004048EF" w:rsidRPr="00EC45F8" w:rsidRDefault="004048EF" w:rsidP="0048250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4,0</w:t>
            </w:r>
          </w:p>
        </w:tc>
        <w:tc>
          <w:tcPr>
            <w:tcW w:w="1244" w:type="dxa"/>
            <w:vAlign w:val="center"/>
          </w:tcPr>
          <w:p w14:paraId="219D848A" w14:textId="77777777" w:rsidR="004048EF" w:rsidRPr="00EC45F8" w:rsidRDefault="004048EF" w:rsidP="0048250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5,7</w:t>
            </w:r>
          </w:p>
        </w:tc>
        <w:tc>
          <w:tcPr>
            <w:tcW w:w="1244" w:type="dxa"/>
            <w:vAlign w:val="center"/>
          </w:tcPr>
          <w:p w14:paraId="32F276CE" w14:textId="77777777" w:rsidR="004048EF" w:rsidRPr="00EC45F8" w:rsidRDefault="004048EF" w:rsidP="0048250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8,5</w:t>
            </w:r>
          </w:p>
        </w:tc>
        <w:tc>
          <w:tcPr>
            <w:tcW w:w="1245" w:type="dxa"/>
            <w:vAlign w:val="center"/>
          </w:tcPr>
          <w:p w14:paraId="1AC47A0E" w14:textId="77777777" w:rsidR="004048EF" w:rsidRPr="00EC45F8" w:rsidRDefault="004048EF" w:rsidP="0048250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13,4</w:t>
            </w:r>
          </w:p>
        </w:tc>
        <w:tc>
          <w:tcPr>
            <w:tcW w:w="1576" w:type="dxa"/>
            <w:vAlign w:val="center"/>
          </w:tcPr>
          <w:p w14:paraId="7E8B2DEB" w14:textId="77777777" w:rsidR="004048EF" w:rsidRPr="00EC45F8" w:rsidRDefault="004048EF" w:rsidP="0048250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6,5</w:t>
            </w:r>
          </w:p>
        </w:tc>
        <w:tc>
          <w:tcPr>
            <w:tcW w:w="1329" w:type="dxa"/>
            <w:vAlign w:val="center"/>
          </w:tcPr>
          <w:p w14:paraId="3C6D9179" w14:textId="77777777" w:rsidR="004048EF" w:rsidRPr="00EC45F8" w:rsidRDefault="004048EF" w:rsidP="0048250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5,5</w:t>
            </w:r>
          </w:p>
        </w:tc>
      </w:tr>
      <w:tr w:rsidR="004048EF" w:rsidRPr="00EC45F8" w14:paraId="404712CC" w14:textId="77777777" w:rsidTr="00944CB1">
        <w:trPr>
          <w:trHeight w:val="561"/>
        </w:trPr>
        <w:tc>
          <w:tcPr>
            <w:tcW w:w="10939" w:type="dxa"/>
            <w:gridSpan w:val="8"/>
            <w:vAlign w:val="center"/>
          </w:tcPr>
          <w:p w14:paraId="13946DDA" w14:textId="77777777" w:rsidR="004048EF" w:rsidRPr="00EC45F8" w:rsidRDefault="004048E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2019 г.</w:t>
            </w:r>
          </w:p>
        </w:tc>
      </w:tr>
      <w:tr w:rsidR="004048EF" w:rsidRPr="00EC45F8" w14:paraId="6270D4A5" w14:textId="77777777" w:rsidTr="00944CB1">
        <w:tc>
          <w:tcPr>
            <w:tcW w:w="1702" w:type="dxa"/>
            <w:vAlign w:val="center"/>
          </w:tcPr>
          <w:p w14:paraId="01A8E458" w14:textId="77777777" w:rsidR="004048EF" w:rsidRPr="00EC45F8" w:rsidRDefault="004048EF" w:rsidP="00D03A4F">
            <w:pPr>
              <w:spacing w:after="0" w:line="240" w:lineRule="auto"/>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Уровень занятости</w:t>
            </w:r>
          </w:p>
        </w:tc>
        <w:tc>
          <w:tcPr>
            <w:tcW w:w="1329" w:type="dxa"/>
            <w:vAlign w:val="center"/>
          </w:tcPr>
          <w:p w14:paraId="474CBB57" w14:textId="77777777" w:rsidR="004048EF" w:rsidRPr="00EC45F8" w:rsidRDefault="004048EF" w:rsidP="0048250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79,4</w:t>
            </w:r>
          </w:p>
        </w:tc>
        <w:tc>
          <w:tcPr>
            <w:tcW w:w="1270" w:type="dxa"/>
            <w:vAlign w:val="center"/>
          </w:tcPr>
          <w:p w14:paraId="65BBDB5C" w14:textId="77777777" w:rsidR="004048EF" w:rsidRPr="00EC45F8" w:rsidRDefault="004048EF" w:rsidP="0048250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83,7</w:t>
            </w:r>
          </w:p>
        </w:tc>
        <w:tc>
          <w:tcPr>
            <w:tcW w:w="1244" w:type="dxa"/>
            <w:vAlign w:val="center"/>
          </w:tcPr>
          <w:p w14:paraId="72DB4D28" w14:textId="77777777" w:rsidR="004048EF" w:rsidRPr="00EC45F8" w:rsidRDefault="004048EF" w:rsidP="0048250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76,7</w:t>
            </w:r>
          </w:p>
        </w:tc>
        <w:tc>
          <w:tcPr>
            <w:tcW w:w="1244" w:type="dxa"/>
            <w:vAlign w:val="center"/>
          </w:tcPr>
          <w:p w14:paraId="622BF795" w14:textId="77777777" w:rsidR="004048EF" w:rsidRPr="00EC45F8" w:rsidRDefault="004048EF" w:rsidP="0048250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62,7</w:t>
            </w:r>
          </w:p>
        </w:tc>
        <w:tc>
          <w:tcPr>
            <w:tcW w:w="1245" w:type="dxa"/>
            <w:vAlign w:val="center"/>
          </w:tcPr>
          <w:p w14:paraId="4BC5F94D" w14:textId="77777777" w:rsidR="004048EF" w:rsidRPr="00EC45F8" w:rsidRDefault="004048EF" w:rsidP="0048250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49,0</w:t>
            </w:r>
          </w:p>
        </w:tc>
        <w:tc>
          <w:tcPr>
            <w:tcW w:w="1576" w:type="dxa"/>
            <w:vAlign w:val="center"/>
          </w:tcPr>
          <w:p w14:paraId="04F9E794" w14:textId="77777777" w:rsidR="004048EF" w:rsidRPr="00EC45F8" w:rsidRDefault="004048EF" w:rsidP="0048250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67,4</w:t>
            </w:r>
          </w:p>
        </w:tc>
        <w:tc>
          <w:tcPr>
            <w:tcW w:w="1329" w:type="dxa"/>
            <w:vAlign w:val="center"/>
          </w:tcPr>
          <w:p w14:paraId="0235BBC3" w14:textId="77777777" w:rsidR="004048EF" w:rsidRPr="00EC45F8" w:rsidRDefault="004048EF" w:rsidP="0048250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78,7</w:t>
            </w:r>
          </w:p>
        </w:tc>
      </w:tr>
      <w:tr w:rsidR="004048EF" w:rsidRPr="00EC45F8" w14:paraId="7E7FC8BD" w14:textId="77777777" w:rsidTr="00944CB1">
        <w:tc>
          <w:tcPr>
            <w:tcW w:w="1702" w:type="dxa"/>
            <w:vAlign w:val="center"/>
          </w:tcPr>
          <w:p w14:paraId="1D9AAF9D" w14:textId="77777777" w:rsidR="004048EF" w:rsidRPr="00EC45F8" w:rsidRDefault="004048EF" w:rsidP="00D03A4F">
            <w:pPr>
              <w:spacing w:after="0" w:line="240" w:lineRule="auto"/>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Уровень безработицы</w:t>
            </w:r>
          </w:p>
        </w:tc>
        <w:tc>
          <w:tcPr>
            <w:tcW w:w="1329" w:type="dxa"/>
            <w:vAlign w:val="center"/>
          </w:tcPr>
          <w:p w14:paraId="524FD334" w14:textId="77777777" w:rsidR="004048EF" w:rsidRPr="00EC45F8" w:rsidRDefault="004048EF" w:rsidP="0048250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4,3</w:t>
            </w:r>
          </w:p>
        </w:tc>
        <w:tc>
          <w:tcPr>
            <w:tcW w:w="1270" w:type="dxa"/>
            <w:vAlign w:val="center"/>
          </w:tcPr>
          <w:p w14:paraId="5B66626E" w14:textId="77777777" w:rsidR="004048EF" w:rsidRPr="00EC45F8" w:rsidRDefault="004048EF" w:rsidP="0048250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3,6</w:t>
            </w:r>
          </w:p>
        </w:tc>
        <w:tc>
          <w:tcPr>
            <w:tcW w:w="1244" w:type="dxa"/>
            <w:vAlign w:val="center"/>
          </w:tcPr>
          <w:p w14:paraId="01DB0F6C" w14:textId="77777777" w:rsidR="004048EF" w:rsidRPr="00EC45F8" w:rsidRDefault="004048EF" w:rsidP="0048250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4,8</w:t>
            </w:r>
          </w:p>
        </w:tc>
        <w:tc>
          <w:tcPr>
            <w:tcW w:w="1244" w:type="dxa"/>
            <w:vAlign w:val="center"/>
          </w:tcPr>
          <w:p w14:paraId="4BEB6692" w14:textId="77777777" w:rsidR="004048EF" w:rsidRPr="00EC45F8" w:rsidRDefault="004048EF" w:rsidP="0048250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8,1</w:t>
            </w:r>
          </w:p>
        </w:tc>
        <w:tc>
          <w:tcPr>
            <w:tcW w:w="1245" w:type="dxa"/>
            <w:vAlign w:val="center"/>
          </w:tcPr>
          <w:p w14:paraId="20CABBB2" w14:textId="77777777" w:rsidR="004048EF" w:rsidRPr="00EC45F8" w:rsidRDefault="004048EF" w:rsidP="0048250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10,9</w:t>
            </w:r>
          </w:p>
        </w:tc>
        <w:tc>
          <w:tcPr>
            <w:tcW w:w="1576" w:type="dxa"/>
            <w:vAlign w:val="center"/>
          </w:tcPr>
          <w:p w14:paraId="1C8F5F2D" w14:textId="77777777" w:rsidR="004048EF" w:rsidRPr="00EC45F8" w:rsidRDefault="004048EF" w:rsidP="0048250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5,8</w:t>
            </w:r>
          </w:p>
        </w:tc>
        <w:tc>
          <w:tcPr>
            <w:tcW w:w="1329" w:type="dxa"/>
            <w:vAlign w:val="center"/>
          </w:tcPr>
          <w:p w14:paraId="43430E13" w14:textId="77777777" w:rsidR="004048EF" w:rsidRPr="00EC45F8" w:rsidRDefault="004048EF" w:rsidP="0048250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5,6</w:t>
            </w:r>
          </w:p>
        </w:tc>
      </w:tr>
      <w:tr w:rsidR="004048EF" w:rsidRPr="00EC45F8" w14:paraId="7B1F7033" w14:textId="77777777" w:rsidTr="00EC45F8">
        <w:trPr>
          <w:trHeight w:val="473"/>
        </w:trPr>
        <w:tc>
          <w:tcPr>
            <w:tcW w:w="10939" w:type="dxa"/>
            <w:gridSpan w:val="8"/>
            <w:vAlign w:val="center"/>
          </w:tcPr>
          <w:p w14:paraId="0744F2B3" w14:textId="77777777" w:rsidR="004048EF" w:rsidRPr="00EC45F8" w:rsidRDefault="004048EF" w:rsidP="00D03A4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2020 г.</w:t>
            </w:r>
          </w:p>
        </w:tc>
      </w:tr>
      <w:tr w:rsidR="004048EF" w:rsidRPr="00EC45F8" w14:paraId="39F231B9" w14:textId="77777777" w:rsidTr="00944CB1">
        <w:tc>
          <w:tcPr>
            <w:tcW w:w="1702" w:type="dxa"/>
            <w:vAlign w:val="center"/>
          </w:tcPr>
          <w:p w14:paraId="0020570F" w14:textId="77777777" w:rsidR="004048EF" w:rsidRPr="00EC45F8" w:rsidRDefault="004048EF" w:rsidP="00D03A4F">
            <w:pPr>
              <w:spacing w:after="0" w:line="240" w:lineRule="auto"/>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Уровень занятости</w:t>
            </w:r>
          </w:p>
        </w:tc>
        <w:tc>
          <w:tcPr>
            <w:tcW w:w="1329" w:type="dxa"/>
            <w:tcBorders>
              <w:top w:val="single" w:sz="4" w:space="0" w:color="auto"/>
              <w:left w:val="single" w:sz="4" w:space="0" w:color="auto"/>
              <w:bottom w:val="single" w:sz="4" w:space="0" w:color="auto"/>
              <w:right w:val="single" w:sz="4" w:space="0" w:color="auto"/>
            </w:tcBorders>
            <w:vAlign w:val="center"/>
          </w:tcPr>
          <w:p w14:paraId="73B877BE" w14:textId="77777777" w:rsidR="004048EF" w:rsidRPr="00EC45F8" w:rsidRDefault="004048EF" w:rsidP="0048250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78,3</w:t>
            </w:r>
          </w:p>
        </w:tc>
        <w:tc>
          <w:tcPr>
            <w:tcW w:w="1270" w:type="dxa"/>
            <w:tcBorders>
              <w:top w:val="single" w:sz="4" w:space="0" w:color="auto"/>
              <w:left w:val="single" w:sz="4" w:space="0" w:color="auto"/>
              <w:bottom w:val="single" w:sz="4" w:space="0" w:color="auto"/>
              <w:right w:val="single" w:sz="4" w:space="0" w:color="auto"/>
            </w:tcBorders>
            <w:vAlign w:val="center"/>
          </w:tcPr>
          <w:p w14:paraId="06D6B50E" w14:textId="77777777" w:rsidR="004048EF" w:rsidRPr="00EC45F8" w:rsidRDefault="004048EF" w:rsidP="0048250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82,6</w:t>
            </w:r>
          </w:p>
        </w:tc>
        <w:tc>
          <w:tcPr>
            <w:tcW w:w="1244" w:type="dxa"/>
            <w:tcBorders>
              <w:top w:val="single" w:sz="4" w:space="0" w:color="auto"/>
              <w:left w:val="single" w:sz="4" w:space="0" w:color="auto"/>
              <w:bottom w:val="single" w:sz="4" w:space="0" w:color="auto"/>
              <w:right w:val="single" w:sz="4" w:space="0" w:color="auto"/>
            </w:tcBorders>
            <w:vAlign w:val="center"/>
          </w:tcPr>
          <w:p w14:paraId="75EC93B4" w14:textId="77777777" w:rsidR="004048EF" w:rsidRPr="00EC45F8" w:rsidRDefault="004048EF" w:rsidP="0048250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75,3</w:t>
            </w:r>
          </w:p>
        </w:tc>
        <w:tc>
          <w:tcPr>
            <w:tcW w:w="1244" w:type="dxa"/>
            <w:tcBorders>
              <w:top w:val="single" w:sz="4" w:space="0" w:color="auto"/>
              <w:left w:val="single" w:sz="4" w:space="0" w:color="auto"/>
              <w:bottom w:val="single" w:sz="4" w:space="0" w:color="auto"/>
              <w:right w:val="single" w:sz="4" w:space="0" w:color="auto"/>
            </w:tcBorders>
            <w:vAlign w:val="center"/>
          </w:tcPr>
          <w:p w14:paraId="0FEB5462" w14:textId="77777777" w:rsidR="004048EF" w:rsidRPr="00EC45F8" w:rsidRDefault="004048EF" w:rsidP="0048250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60,2</w:t>
            </w:r>
          </w:p>
        </w:tc>
        <w:tc>
          <w:tcPr>
            <w:tcW w:w="1245" w:type="dxa"/>
            <w:tcBorders>
              <w:top w:val="single" w:sz="4" w:space="0" w:color="auto"/>
              <w:left w:val="single" w:sz="4" w:space="0" w:color="auto"/>
              <w:bottom w:val="single" w:sz="4" w:space="0" w:color="auto"/>
              <w:right w:val="single" w:sz="4" w:space="0" w:color="auto"/>
            </w:tcBorders>
            <w:vAlign w:val="center"/>
          </w:tcPr>
          <w:p w14:paraId="5210EDF8" w14:textId="77777777" w:rsidR="004048EF" w:rsidRPr="00EC45F8" w:rsidRDefault="004048EF" w:rsidP="0048250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48,6</w:t>
            </w:r>
          </w:p>
        </w:tc>
        <w:tc>
          <w:tcPr>
            <w:tcW w:w="1576" w:type="dxa"/>
            <w:tcBorders>
              <w:top w:val="single" w:sz="4" w:space="0" w:color="auto"/>
              <w:left w:val="single" w:sz="4" w:space="0" w:color="auto"/>
              <w:bottom w:val="single" w:sz="4" w:space="0" w:color="auto"/>
              <w:right w:val="single" w:sz="4" w:space="0" w:color="auto"/>
            </w:tcBorders>
            <w:vAlign w:val="center"/>
          </w:tcPr>
          <w:p w14:paraId="6E863009" w14:textId="77777777" w:rsidR="004048EF" w:rsidRPr="00EC45F8" w:rsidRDefault="004048EF" w:rsidP="0048250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65,9</w:t>
            </w:r>
          </w:p>
        </w:tc>
        <w:tc>
          <w:tcPr>
            <w:tcW w:w="1329" w:type="dxa"/>
            <w:tcBorders>
              <w:top w:val="single" w:sz="4" w:space="0" w:color="auto"/>
              <w:left w:val="single" w:sz="4" w:space="0" w:color="auto"/>
              <w:bottom w:val="single" w:sz="4" w:space="0" w:color="auto"/>
              <w:right w:val="single" w:sz="4" w:space="0" w:color="auto"/>
            </w:tcBorders>
            <w:vAlign w:val="center"/>
          </w:tcPr>
          <w:p w14:paraId="2CEDCD85" w14:textId="77777777" w:rsidR="004048EF" w:rsidRPr="00EC45F8" w:rsidRDefault="004048EF" w:rsidP="0048250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77,5</w:t>
            </w:r>
          </w:p>
        </w:tc>
      </w:tr>
      <w:tr w:rsidR="004048EF" w:rsidRPr="00EC45F8" w14:paraId="07F15B5A" w14:textId="77777777" w:rsidTr="00944CB1">
        <w:tc>
          <w:tcPr>
            <w:tcW w:w="1702" w:type="dxa"/>
            <w:vAlign w:val="center"/>
          </w:tcPr>
          <w:p w14:paraId="1B6A47D9" w14:textId="77777777" w:rsidR="004048EF" w:rsidRPr="00EC45F8" w:rsidRDefault="004048EF" w:rsidP="00D03A4F">
            <w:pPr>
              <w:spacing w:after="0" w:line="240" w:lineRule="auto"/>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Уровень безработицы</w:t>
            </w:r>
          </w:p>
        </w:tc>
        <w:tc>
          <w:tcPr>
            <w:tcW w:w="1329" w:type="dxa"/>
            <w:tcBorders>
              <w:top w:val="single" w:sz="4" w:space="0" w:color="auto"/>
              <w:left w:val="single" w:sz="4" w:space="0" w:color="auto"/>
              <w:bottom w:val="single" w:sz="4" w:space="0" w:color="auto"/>
              <w:right w:val="single" w:sz="4" w:space="0" w:color="auto"/>
            </w:tcBorders>
            <w:vAlign w:val="center"/>
          </w:tcPr>
          <w:p w14:paraId="575307CD" w14:textId="77777777" w:rsidR="004048EF" w:rsidRPr="00EC45F8" w:rsidRDefault="004048EF" w:rsidP="0048250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5,9</w:t>
            </w:r>
          </w:p>
        </w:tc>
        <w:tc>
          <w:tcPr>
            <w:tcW w:w="1270" w:type="dxa"/>
            <w:tcBorders>
              <w:top w:val="single" w:sz="4" w:space="0" w:color="auto"/>
              <w:left w:val="single" w:sz="4" w:space="0" w:color="auto"/>
              <w:bottom w:val="single" w:sz="4" w:space="0" w:color="auto"/>
              <w:right w:val="single" w:sz="4" w:space="0" w:color="auto"/>
            </w:tcBorders>
            <w:vAlign w:val="center"/>
          </w:tcPr>
          <w:p w14:paraId="275F379D" w14:textId="77777777" w:rsidR="004048EF" w:rsidRPr="00EC45F8" w:rsidRDefault="004048EF" w:rsidP="0048250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4,9</w:t>
            </w:r>
          </w:p>
        </w:tc>
        <w:tc>
          <w:tcPr>
            <w:tcW w:w="1244" w:type="dxa"/>
            <w:tcBorders>
              <w:top w:val="single" w:sz="4" w:space="0" w:color="auto"/>
              <w:left w:val="single" w:sz="4" w:space="0" w:color="auto"/>
              <w:bottom w:val="single" w:sz="4" w:space="0" w:color="auto"/>
              <w:right w:val="single" w:sz="4" w:space="0" w:color="auto"/>
            </w:tcBorders>
            <w:vAlign w:val="center"/>
          </w:tcPr>
          <w:p w14:paraId="0AE54A58" w14:textId="77777777" w:rsidR="004048EF" w:rsidRPr="00EC45F8" w:rsidRDefault="004048EF" w:rsidP="0048250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6,8</w:t>
            </w:r>
          </w:p>
        </w:tc>
        <w:tc>
          <w:tcPr>
            <w:tcW w:w="1244" w:type="dxa"/>
            <w:tcBorders>
              <w:top w:val="single" w:sz="4" w:space="0" w:color="auto"/>
              <w:left w:val="single" w:sz="4" w:space="0" w:color="auto"/>
              <w:bottom w:val="single" w:sz="4" w:space="0" w:color="auto"/>
              <w:right w:val="single" w:sz="4" w:space="0" w:color="auto"/>
            </w:tcBorders>
            <w:vAlign w:val="center"/>
          </w:tcPr>
          <w:p w14:paraId="1961D050" w14:textId="77777777" w:rsidR="004048EF" w:rsidRPr="00EC45F8" w:rsidRDefault="004048EF" w:rsidP="0048250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10,3</w:t>
            </w:r>
          </w:p>
        </w:tc>
        <w:tc>
          <w:tcPr>
            <w:tcW w:w="1245" w:type="dxa"/>
            <w:tcBorders>
              <w:top w:val="single" w:sz="4" w:space="0" w:color="auto"/>
              <w:left w:val="single" w:sz="4" w:space="0" w:color="auto"/>
              <w:bottom w:val="single" w:sz="4" w:space="0" w:color="auto"/>
              <w:right w:val="single" w:sz="4" w:space="0" w:color="auto"/>
            </w:tcBorders>
            <w:vAlign w:val="center"/>
          </w:tcPr>
          <w:p w14:paraId="58814555" w14:textId="77777777" w:rsidR="004048EF" w:rsidRPr="00EC45F8" w:rsidRDefault="004048EF" w:rsidP="0048250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13,9</w:t>
            </w:r>
          </w:p>
        </w:tc>
        <w:tc>
          <w:tcPr>
            <w:tcW w:w="1576" w:type="dxa"/>
            <w:tcBorders>
              <w:top w:val="single" w:sz="4" w:space="0" w:color="auto"/>
              <w:left w:val="single" w:sz="4" w:space="0" w:color="auto"/>
              <w:bottom w:val="single" w:sz="4" w:space="0" w:color="auto"/>
              <w:right w:val="single" w:sz="4" w:space="0" w:color="auto"/>
            </w:tcBorders>
            <w:vAlign w:val="center"/>
          </w:tcPr>
          <w:p w14:paraId="724DB786" w14:textId="77777777" w:rsidR="004048EF" w:rsidRPr="00EC45F8" w:rsidRDefault="004048EF" w:rsidP="0048250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7,7</w:t>
            </w:r>
          </w:p>
        </w:tc>
        <w:tc>
          <w:tcPr>
            <w:tcW w:w="1329" w:type="dxa"/>
            <w:tcBorders>
              <w:top w:val="single" w:sz="4" w:space="0" w:color="auto"/>
              <w:left w:val="single" w:sz="4" w:space="0" w:color="auto"/>
              <w:bottom w:val="single" w:sz="4" w:space="0" w:color="auto"/>
              <w:right w:val="single" w:sz="4" w:space="0" w:color="auto"/>
            </w:tcBorders>
            <w:vAlign w:val="center"/>
          </w:tcPr>
          <w:p w14:paraId="2A86943B" w14:textId="77777777" w:rsidR="004048EF" w:rsidRPr="00EC45F8" w:rsidRDefault="004048EF" w:rsidP="0048250F">
            <w:pPr>
              <w:spacing w:after="0" w:line="240" w:lineRule="auto"/>
              <w:jc w:val="center"/>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7,1</w:t>
            </w:r>
          </w:p>
        </w:tc>
      </w:tr>
      <w:tr w:rsidR="004048EF" w:rsidRPr="00EC45F8" w14:paraId="280D30AB" w14:textId="77777777" w:rsidTr="008D6636">
        <w:trPr>
          <w:trHeight w:val="379"/>
        </w:trPr>
        <w:tc>
          <w:tcPr>
            <w:tcW w:w="10939" w:type="dxa"/>
            <w:gridSpan w:val="8"/>
            <w:tcBorders>
              <w:right w:val="single" w:sz="4" w:space="0" w:color="auto"/>
            </w:tcBorders>
            <w:vAlign w:val="center"/>
          </w:tcPr>
          <w:p w14:paraId="514A3CD9" w14:textId="77777777" w:rsidR="004048EF" w:rsidRPr="00EC45F8" w:rsidRDefault="004048EF"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w:t>
            </w:r>
          </w:p>
        </w:tc>
      </w:tr>
      <w:tr w:rsidR="004048EF" w:rsidRPr="00EC45F8" w14:paraId="6B9490D6" w14:textId="77777777" w:rsidTr="00944CB1">
        <w:tc>
          <w:tcPr>
            <w:tcW w:w="1702" w:type="dxa"/>
            <w:vAlign w:val="center"/>
          </w:tcPr>
          <w:p w14:paraId="1D10CFD0" w14:textId="77777777" w:rsidR="004048EF" w:rsidRPr="00EC45F8" w:rsidRDefault="004048EF" w:rsidP="005A24F5">
            <w:pPr>
              <w:spacing w:after="0" w:line="240" w:lineRule="auto"/>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Уровень занятости</w:t>
            </w:r>
          </w:p>
        </w:tc>
        <w:tc>
          <w:tcPr>
            <w:tcW w:w="1329" w:type="dxa"/>
            <w:tcBorders>
              <w:top w:val="single" w:sz="4" w:space="0" w:color="auto"/>
              <w:left w:val="single" w:sz="4" w:space="0" w:color="auto"/>
              <w:bottom w:val="single" w:sz="4" w:space="0" w:color="auto"/>
              <w:right w:val="single" w:sz="4" w:space="0" w:color="auto"/>
            </w:tcBorders>
            <w:vAlign w:val="center"/>
          </w:tcPr>
          <w:p w14:paraId="2901212D" w14:textId="77777777" w:rsidR="004048EF" w:rsidRPr="00EC45F8" w:rsidRDefault="004048EF"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80,2</w:t>
            </w:r>
          </w:p>
        </w:tc>
        <w:tc>
          <w:tcPr>
            <w:tcW w:w="1270" w:type="dxa"/>
            <w:tcBorders>
              <w:top w:val="single" w:sz="4" w:space="0" w:color="auto"/>
              <w:left w:val="single" w:sz="4" w:space="0" w:color="auto"/>
              <w:bottom w:val="single" w:sz="4" w:space="0" w:color="auto"/>
              <w:right w:val="single" w:sz="4" w:space="0" w:color="auto"/>
            </w:tcBorders>
            <w:vAlign w:val="center"/>
          </w:tcPr>
          <w:p w14:paraId="2B62812F" w14:textId="77777777" w:rsidR="004048EF" w:rsidRPr="00EC45F8" w:rsidRDefault="004048EF"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84,6</w:t>
            </w:r>
          </w:p>
        </w:tc>
        <w:tc>
          <w:tcPr>
            <w:tcW w:w="1244" w:type="dxa"/>
            <w:tcBorders>
              <w:top w:val="single" w:sz="4" w:space="0" w:color="auto"/>
              <w:left w:val="single" w:sz="4" w:space="0" w:color="auto"/>
              <w:bottom w:val="single" w:sz="4" w:space="0" w:color="auto"/>
              <w:right w:val="single" w:sz="4" w:space="0" w:color="auto"/>
            </w:tcBorders>
            <w:vAlign w:val="center"/>
          </w:tcPr>
          <w:p w14:paraId="7D02A6A3" w14:textId="77777777" w:rsidR="004048EF" w:rsidRPr="00EC45F8" w:rsidRDefault="004048EF"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77,5</w:t>
            </w:r>
          </w:p>
        </w:tc>
        <w:tc>
          <w:tcPr>
            <w:tcW w:w="1244" w:type="dxa"/>
            <w:tcBorders>
              <w:top w:val="single" w:sz="4" w:space="0" w:color="auto"/>
              <w:left w:val="single" w:sz="4" w:space="0" w:color="auto"/>
              <w:bottom w:val="single" w:sz="4" w:space="0" w:color="auto"/>
              <w:right w:val="single" w:sz="4" w:space="0" w:color="auto"/>
            </w:tcBorders>
            <w:vAlign w:val="center"/>
          </w:tcPr>
          <w:p w14:paraId="69BFAEC1" w14:textId="77777777" w:rsidR="004048EF" w:rsidRPr="00EC45F8" w:rsidRDefault="004048EF"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62,6</w:t>
            </w:r>
          </w:p>
        </w:tc>
        <w:tc>
          <w:tcPr>
            <w:tcW w:w="1245" w:type="dxa"/>
            <w:tcBorders>
              <w:top w:val="single" w:sz="4" w:space="0" w:color="auto"/>
              <w:left w:val="single" w:sz="4" w:space="0" w:color="auto"/>
              <w:bottom w:val="single" w:sz="4" w:space="0" w:color="auto"/>
              <w:right w:val="single" w:sz="4" w:space="0" w:color="auto"/>
            </w:tcBorders>
            <w:vAlign w:val="center"/>
          </w:tcPr>
          <w:p w14:paraId="799FFF8C" w14:textId="77777777" w:rsidR="004048EF" w:rsidRPr="00EC45F8" w:rsidRDefault="004048EF"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48,7</w:t>
            </w:r>
          </w:p>
        </w:tc>
        <w:tc>
          <w:tcPr>
            <w:tcW w:w="1576" w:type="dxa"/>
            <w:tcBorders>
              <w:top w:val="single" w:sz="4" w:space="0" w:color="auto"/>
              <w:left w:val="single" w:sz="4" w:space="0" w:color="auto"/>
              <w:bottom w:val="single" w:sz="4" w:space="0" w:color="auto"/>
              <w:right w:val="single" w:sz="4" w:space="0" w:color="auto"/>
            </w:tcBorders>
            <w:vAlign w:val="center"/>
          </w:tcPr>
          <w:p w14:paraId="0A1B8B1C" w14:textId="77777777" w:rsidR="004048EF" w:rsidRPr="00EC45F8" w:rsidRDefault="004048EF"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67,8</w:t>
            </w:r>
          </w:p>
        </w:tc>
        <w:tc>
          <w:tcPr>
            <w:tcW w:w="1329" w:type="dxa"/>
            <w:tcBorders>
              <w:top w:val="single" w:sz="4" w:space="0" w:color="auto"/>
              <w:left w:val="single" w:sz="4" w:space="0" w:color="auto"/>
              <w:bottom w:val="single" w:sz="4" w:space="0" w:color="auto"/>
              <w:right w:val="single" w:sz="4" w:space="0" w:color="auto"/>
            </w:tcBorders>
            <w:vAlign w:val="center"/>
          </w:tcPr>
          <w:p w14:paraId="5DB45E5A" w14:textId="77777777" w:rsidR="004048EF" w:rsidRPr="00EC45F8" w:rsidRDefault="004048EF"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79,4</w:t>
            </w:r>
          </w:p>
        </w:tc>
      </w:tr>
      <w:tr w:rsidR="004048EF" w:rsidRPr="00BD5A90" w14:paraId="3A31B93D" w14:textId="77777777" w:rsidTr="00944CB1">
        <w:tc>
          <w:tcPr>
            <w:tcW w:w="1702" w:type="dxa"/>
            <w:vAlign w:val="center"/>
          </w:tcPr>
          <w:p w14:paraId="3D856265" w14:textId="77777777" w:rsidR="004048EF" w:rsidRPr="00EC45F8" w:rsidRDefault="004048EF" w:rsidP="005A24F5">
            <w:pPr>
              <w:spacing w:after="0" w:line="240" w:lineRule="auto"/>
              <w:rPr>
                <w:rFonts w:ascii="Times New Roman" w:eastAsia="Times New Roman" w:hAnsi="Times New Roman" w:cs="Times New Roman"/>
                <w:sz w:val="24"/>
                <w:szCs w:val="24"/>
                <w:lang w:eastAsia="ru-RU"/>
              </w:rPr>
            </w:pPr>
            <w:r w:rsidRPr="00EC45F8">
              <w:rPr>
                <w:rFonts w:ascii="Times New Roman" w:eastAsia="Times New Roman" w:hAnsi="Times New Roman" w:cs="Times New Roman"/>
                <w:sz w:val="24"/>
                <w:szCs w:val="24"/>
                <w:lang w:eastAsia="ru-RU"/>
              </w:rPr>
              <w:t>Уровень безработицы</w:t>
            </w:r>
          </w:p>
        </w:tc>
        <w:tc>
          <w:tcPr>
            <w:tcW w:w="1329" w:type="dxa"/>
            <w:tcBorders>
              <w:top w:val="single" w:sz="4" w:space="0" w:color="auto"/>
              <w:left w:val="single" w:sz="4" w:space="0" w:color="auto"/>
              <w:bottom w:val="single" w:sz="4" w:space="0" w:color="auto"/>
              <w:right w:val="single" w:sz="4" w:space="0" w:color="auto"/>
            </w:tcBorders>
            <w:vAlign w:val="center"/>
          </w:tcPr>
          <w:p w14:paraId="411C91E3" w14:textId="77777777" w:rsidR="004048EF" w:rsidRPr="00EC45F8" w:rsidRDefault="004048EF"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1270" w:type="dxa"/>
            <w:tcBorders>
              <w:top w:val="single" w:sz="4" w:space="0" w:color="auto"/>
              <w:left w:val="single" w:sz="4" w:space="0" w:color="auto"/>
              <w:bottom w:val="single" w:sz="4" w:space="0" w:color="auto"/>
              <w:right w:val="single" w:sz="4" w:space="0" w:color="auto"/>
            </w:tcBorders>
            <w:vAlign w:val="center"/>
          </w:tcPr>
          <w:p w14:paraId="0015791A" w14:textId="77777777" w:rsidR="004048EF" w:rsidRPr="00EC45F8" w:rsidRDefault="004048EF"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1244" w:type="dxa"/>
            <w:tcBorders>
              <w:top w:val="single" w:sz="4" w:space="0" w:color="auto"/>
              <w:left w:val="single" w:sz="4" w:space="0" w:color="auto"/>
              <w:bottom w:val="single" w:sz="4" w:space="0" w:color="auto"/>
              <w:right w:val="single" w:sz="4" w:space="0" w:color="auto"/>
            </w:tcBorders>
            <w:vAlign w:val="center"/>
          </w:tcPr>
          <w:p w14:paraId="52D3806F" w14:textId="77777777" w:rsidR="004048EF" w:rsidRPr="00EC45F8" w:rsidRDefault="004048EF"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1244" w:type="dxa"/>
            <w:tcBorders>
              <w:top w:val="single" w:sz="4" w:space="0" w:color="auto"/>
              <w:left w:val="single" w:sz="4" w:space="0" w:color="auto"/>
              <w:bottom w:val="single" w:sz="4" w:space="0" w:color="auto"/>
              <w:right w:val="single" w:sz="4" w:space="0" w:color="auto"/>
            </w:tcBorders>
            <w:vAlign w:val="center"/>
          </w:tcPr>
          <w:p w14:paraId="16F2FFB0" w14:textId="77777777" w:rsidR="004048EF" w:rsidRPr="00EC45F8" w:rsidRDefault="004048EF"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1245" w:type="dxa"/>
            <w:tcBorders>
              <w:top w:val="single" w:sz="4" w:space="0" w:color="auto"/>
              <w:left w:val="single" w:sz="4" w:space="0" w:color="auto"/>
              <w:bottom w:val="single" w:sz="4" w:space="0" w:color="auto"/>
              <w:right w:val="single" w:sz="4" w:space="0" w:color="auto"/>
            </w:tcBorders>
            <w:vAlign w:val="center"/>
          </w:tcPr>
          <w:p w14:paraId="0347D07E" w14:textId="77777777" w:rsidR="004048EF" w:rsidRPr="00EC45F8" w:rsidRDefault="004048EF"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1576" w:type="dxa"/>
            <w:tcBorders>
              <w:top w:val="single" w:sz="4" w:space="0" w:color="auto"/>
              <w:left w:val="single" w:sz="4" w:space="0" w:color="auto"/>
              <w:bottom w:val="single" w:sz="4" w:space="0" w:color="auto"/>
              <w:right w:val="single" w:sz="4" w:space="0" w:color="auto"/>
            </w:tcBorders>
            <w:vAlign w:val="center"/>
          </w:tcPr>
          <w:p w14:paraId="7516252C" w14:textId="77777777" w:rsidR="004048EF" w:rsidRPr="00EC45F8" w:rsidRDefault="004048EF"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1329" w:type="dxa"/>
            <w:tcBorders>
              <w:top w:val="single" w:sz="4" w:space="0" w:color="auto"/>
              <w:left w:val="single" w:sz="4" w:space="0" w:color="auto"/>
              <w:bottom w:val="single" w:sz="4" w:space="0" w:color="auto"/>
              <w:right w:val="single" w:sz="4" w:space="0" w:color="auto"/>
            </w:tcBorders>
            <w:vAlign w:val="center"/>
          </w:tcPr>
          <w:p w14:paraId="6D9CFA0D" w14:textId="77777777" w:rsidR="004048EF" w:rsidRPr="00EC45F8" w:rsidRDefault="004048EF"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r>
    </w:tbl>
    <w:p w14:paraId="209C1E06" w14:textId="77777777"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14:paraId="20387CE3" w14:textId="77777777" w:rsidR="008737BB" w:rsidRDefault="008737BB" w:rsidP="00D03A4F">
      <w:pPr>
        <w:spacing w:after="0" w:line="240" w:lineRule="auto"/>
        <w:jc w:val="right"/>
        <w:rPr>
          <w:rFonts w:ascii="Times New Roman" w:eastAsia="Times New Roman" w:hAnsi="Times New Roman" w:cs="Times New Roman"/>
          <w:sz w:val="26"/>
          <w:szCs w:val="26"/>
          <w:lang w:eastAsia="ru-RU"/>
        </w:rPr>
      </w:pPr>
    </w:p>
    <w:p w14:paraId="321BC67D" w14:textId="77777777" w:rsidR="008737BB" w:rsidRDefault="008737BB" w:rsidP="00D03A4F">
      <w:pPr>
        <w:spacing w:after="0" w:line="240" w:lineRule="auto"/>
        <w:jc w:val="right"/>
        <w:rPr>
          <w:rFonts w:ascii="Times New Roman" w:eastAsia="Times New Roman" w:hAnsi="Times New Roman" w:cs="Times New Roman"/>
          <w:sz w:val="26"/>
          <w:szCs w:val="26"/>
          <w:lang w:eastAsia="ru-RU"/>
        </w:rPr>
      </w:pPr>
    </w:p>
    <w:p w14:paraId="6E9A81D3" w14:textId="77777777" w:rsidR="008737BB" w:rsidRDefault="008737BB" w:rsidP="00D03A4F">
      <w:pPr>
        <w:spacing w:after="0" w:line="240" w:lineRule="auto"/>
        <w:jc w:val="right"/>
        <w:rPr>
          <w:rFonts w:ascii="Times New Roman" w:eastAsia="Times New Roman" w:hAnsi="Times New Roman" w:cs="Times New Roman"/>
          <w:sz w:val="26"/>
          <w:szCs w:val="26"/>
          <w:lang w:eastAsia="ru-RU"/>
        </w:rPr>
      </w:pPr>
    </w:p>
    <w:p w14:paraId="38736261" w14:textId="77777777" w:rsidR="008737BB" w:rsidRDefault="008737BB" w:rsidP="00D03A4F">
      <w:pPr>
        <w:spacing w:after="0" w:line="240" w:lineRule="auto"/>
        <w:jc w:val="right"/>
        <w:rPr>
          <w:rFonts w:ascii="Times New Roman" w:eastAsia="Times New Roman" w:hAnsi="Times New Roman" w:cs="Times New Roman"/>
          <w:sz w:val="26"/>
          <w:szCs w:val="26"/>
          <w:lang w:eastAsia="ru-RU"/>
        </w:rPr>
      </w:pPr>
    </w:p>
    <w:p w14:paraId="3D91FE47" w14:textId="77777777" w:rsidR="008737BB" w:rsidRDefault="008737BB" w:rsidP="00D03A4F">
      <w:pPr>
        <w:spacing w:after="0" w:line="240" w:lineRule="auto"/>
        <w:jc w:val="right"/>
        <w:rPr>
          <w:rFonts w:ascii="Times New Roman" w:eastAsia="Times New Roman" w:hAnsi="Times New Roman" w:cs="Times New Roman"/>
          <w:sz w:val="26"/>
          <w:szCs w:val="26"/>
          <w:lang w:eastAsia="ru-RU"/>
        </w:rPr>
      </w:pPr>
    </w:p>
    <w:p w14:paraId="24D4B7DF" w14:textId="77777777" w:rsidR="008737BB" w:rsidRDefault="008737BB" w:rsidP="00D03A4F">
      <w:pPr>
        <w:spacing w:after="0" w:line="240" w:lineRule="auto"/>
        <w:jc w:val="right"/>
        <w:rPr>
          <w:rFonts w:ascii="Times New Roman" w:eastAsia="Times New Roman" w:hAnsi="Times New Roman" w:cs="Times New Roman"/>
          <w:sz w:val="26"/>
          <w:szCs w:val="26"/>
          <w:lang w:eastAsia="ru-RU"/>
        </w:rPr>
      </w:pPr>
    </w:p>
    <w:p w14:paraId="0F9EA3D5" w14:textId="77777777" w:rsidR="008737BB" w:rsidRDefault="008737BB" w:rsidP="00D03A4F">
      <w:pPr>
        <w:spacing w:after="0" w:line="240" w:lineRule="auto"/>
        <w:jc w:val="right"/>
        <w:rPr>
          <w:rFonts w:ascii="Times New Roman" w:eastAsia="Times New Roman" w:hAnsi="Times New Roman" w:cs="Times New Roman"/>
          <w:sz w:val="26"/>
          <w:szCs w:val="26"/>
          <w:lang w:eastAsia="ru-RU"/>
        </w:rPr>
      </w:pPr>
    </w:p>
    <w:p w14:paraId="53FFD03C" w14:textId="77777777" w:rsidR="008737BB" w:rsidRDefault="008737BB" w:rsidP="00D03A4F">
      <w:pPr>
        <w:spacing w:after="0" w:line="240" w:lineRule="auto"/>
        <w:jc w:val="right"/>
        <w:rPr>
          <w:rFonts w:ascii="Times New Roman" w:eastAsia="Times New Roman" w:hAnsi="Times New Roman" w:cs="Times New Roman"/>
          <w:sz w:val="26"/>
          <w:szCs w:val="26"/>
          <w:lang w:eastAsia="ru-RU"/>
        </w:rPr>
      </w:pPr>
    </w:p>
    <w:p w14:paraId="696501AB" w14:textId="77777777" w:rsidR="008737BB" w:rsidRDefault="008737BB" w:rsidP="00B05FA4">
      <w:pPr>
        <w:spacing w:after="0" w:line="240" w:lineRule="auto"/>
        <w:rPr>
          <w:rFonts w:ascii="Times New Roman" w:eastAsia="Times New Roman" w:hAnsi="Times New Roman" w:cs="Times New Roman"/>
          <w:sz w:val="26"/>
          <w:szCs w:val="26"/>
          <w:lang w:eastAsia="ru-RU"/>
        </w:rPr>
      </w:pPr>
    </w:p>
    <w:p w14:paraId="62FDEAD0" w14:textId="77777777" w:rsidR="00D03A4F" w:rsidRPr="00FF5253" w:rsidRDefault="00D03A4F" w:rsidP="00D03A4F">
      <w:pPr>
        <w:spacing w:after="0" w:line="240" w:lineRule="auto"/>
        <w:jc w:val="right"/>
        <w:rPr>
          <w:rFonts w:ascii="Times New Roman" w:eastAsia="Times New Roman" w:hAnsi="Times New Roman" w:cs="Times New Roman"/>
          <w:sz w:val="26"/>
          <w:szCs w:val="26"/>
          <w:lang w:eastAsia="ru-RU"/>
        </w:rPr>
      </w:pPr>
      <w:r w:rsidRPr="00FF5253">
        <w:rPr>
          <w:rFonts w:ascii="Times New Roman" w:eastAsia="Times New Roman" w:hAnsi="Times New Roman" w:cs="Times New Roman"/>
          <w:sz w:val="26"/>
          <w:szCs w:val="26"/>
          <w:lang w:eastAsia="ru-RU"/>
        </w:rPr>
        <w:t>Таблица 3</w:t>
      </w:r>
      <w:r w:rsidR="008737BB">
        <w:rPr>
          <w:rFonts w:ascii="Times New Roman" w:eastAsia="Times New Roman" w:hAnsi="Times New Roman" w:cs="Times New Roman"/>
          <w:sz w:val="26"/>
          <w:szCs w:val="26"/>
          <w:lang w:eastAsia="ru-RU"/>
        </w:rPr>
        <w:t>7</w:t>
      </w:r>
    </w:p>
    <w:p w14:paraId="42262AC5" w14:textId="77777777" w:rsidR="00D03A4F" w:rsidRPr="00FF5253" w:rsidRDefault="00D03A4F" w:rsidP="00D03A4F">
      <w:pPr>
        <w:spacing w:after="0" w:line="240" w:lineRule="auto"/>
        <w:jc w:val="right"/>
        <w:rPr>
          <w:rFonts w:ascii="Times New Roman" w:eastAsia="Times New Roman" w:hAnsi="Times New Roman" w:cs="Times New Roman"/>
          <w:sz w:val="26"/>
          <w:szCs w:val="26"/>
          <w:lang w:eastAsia="ru-RU"/>
        </w:rPr>
      </w:pPr>
    </w:p>
    <w:p w14:paraId="4D438F0C" w14:textId="77777777" w:rsidR="00D03A4F" w:rsidRPr="00FF5253" w:rsidRDefault="00EC45F8" w:rsidP="00D03A4F">
      <w:pPr>
        <w:spacing w:after="0" w:line="240" w:lineRule="auto"/>
        <w:ind w:firstLine="284"/>
        <w:jc w:val="center"/>
        <w:rPr>
          <w:rFonts w:ascii="Times New Roman" w:eastAsia="Times New Roman" w:hAnsi="Times New Roman" w:cs="Times New Roman"/>
          <w:b/>
          <w:bCs/>
          <w:sz w:val="26"/>
          <w:szCs w:val="26"/>
          <w:lang w:eastAsia="ru-RU"/>
        </w:rPr>
      </w:pPr>
      <w:r w:rsidRPr="00FF5253">
        <w:rPr>
          <w:rFonts w:ascii="Times New Roman" w:eastAsia="Times New Roman" w:hAnsi="Times New Roman" w:cs="Times New Roman"/>
          <w:b/>
          <w:bCs/>
          <w:sz w:val="26"/>
          <w:szCs w:val="26"/>
          <w:lang w:eastAsia="ru-RU"/>
        </w:rPr>
        <w:t>Уровень участия в составе рабочей силы</w:t>
      </w:r>
      <w:r w:rsidR="00D03A4F" w:rsidRPr="00FF5253">
        <w:rPr>
          <w:rFonts w:ascii="Times New Roman" w:eastAsia="Times New Roman" w:hAnsi="Times New Roman" w:cs="Times New Roman"/>
          <w:b/>
          <w:bCs/>
          <w:sz w:val="26"/>
          <w:szCs w:val="26"/>
          <w:lang w:eastAsia="ru-RU"/>
        </w:rPr>
        <w:t xml:space="preserve"> женщин в возрасте 20-49 лет, имеющих детей в возрасте до 18 лет</w:t>
      </w:r>
    </w:p>
    <w:p w14:paraId="33D3A424" w14:textId="77777777" w:rsidR="00D03A4F" w:rsidRPr="00FF5253" w:rsidRDefault="00D03A4F" w:rsidP="00D03A4F">
      <w:pPr>
        <w:spacing w:after="0" w:line="240" w:lineRule="auto"/>
        <w:jc w:val="center"/>
        <w:rPr>
          <w:rFonts w:ascii="Times New Roman" w:eastAsia="Times New Roman" w:hAnsi="Times New Roman" w:cs="Times New Roman"/>
          <w:bCs/>
          <w:sz w:val="24"/>
          <w:szCs w:val="24"/>
          <w:lang w:eastAsia="ru-RU"/>
        </w:rPr>
      </w:pPr>
      <w:r w:rsidRPr="00FF5253">
        <w:rPr>
          <w:rFonts w:ascii="Times New Roman" w:eastAsia="Times New Roman" w:hAnsi="Times New Roman" w:cs="Times New Roman"/>
          <w:bCs/>
          <w:sz w:val="24"/>
          <w:szCs w:val="24"/>
          <w:lang w:eastAsia="ru-RU"/>
        </w:rPr>
        <w:t>(по данным выборочного обследования рабочей силы; тыс. человек)</w:t>
      </w:r>
    </w:p>
    <w:p w14:paraId="594CB851" w14:textId="77777777" w:rsidR="00D03A4F" w:rsidRPr="00FF5253" w:rsidRDefault="00D03A4F" w:rsidP="00D03A4F">
      <w:pPr>
        <w:spacing w:after="0" w:line="240" w:lineRule="auto"/>
        <w:jc w:val="center"/>
        <w:rPr>
          <w:rFonts w:ascii="Times New Roman" w:eastAsia="Times New Roman" w:hAnsi="Times New Roman" w:cs="Times New Roman"/>
          <w:bCs/>
          <w:sz w:val="24"/>
          <w:szCs w:val="24"/>
          <w:lang w:eastAsia="ru-RU"/>
        </w:rPr>
      </w:pPr>
    </w:p>
    <w:tbl>
      <w:tblPr>
        <w:tblW w:w="5237" w:type="pct"/>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810"/>
        <w:gridCol w:w="1188"/>
        <w:gridCol w:w="1128"/>
        <w:gridCol w:w="1243"/>
        <w:gridCol w:w="1277"/>
        <w:gridCol w:w="1508"/>
        <w:gridCol w:w="1414"/>
        <w:gridCol w:w="1111"/>
      </w:tblGrid>
      <w:tr w:rsidR="00D03A4F" w:rsidRPr="00FF5253" w14:paraId="79FE8DCD" w14:textId="77777777" w:rsidTr="00944CB1">
        <w:trPr>
          <w:tblHeader/>
        </w:trPr>
        <w:tc>
          <w:tcPr>
            <w:tcW w:w="848" w:type="pct"/>
            <w:vMerge w:val="restart"/>
            <w:tcBorders>
              <w:top w:val="single" w:sz="4" w:space="0" w:color="auto"/>
              <w:left w:val="single" w:sz="4" w:space="0" w:color="auto"/>
              <w:bottom w:val="single" w:sz="4" w:space="0" w:color="auto"/>
              <w:right w:val="single" w:sz="4" w:space="0" w:color="auto"/>
            </w:tcBorders>
            <w:shd w:val="clear" w:color="auto" w:fill="auto"/>
            <w:noWrap/>
          </w:tcPr>
          <w:p w14:paraId="6F47E0F3" w14:textId="77777777" w:rsidR="00D03A4F" w:rsidRPr="00FF5253" w:rsidRDefault="00D03A4F" w:rsidP="00D03A4F">
            <w:pPr>
              <w:spacing w:after="0" w:line="240" w:lineRule="auto"/>
              <w:jc w:val="center"/>
              <w:rPr>
                <w:rFonts w:ascii="Times New Roman" w:eastAsia="Times New Roman" w:hAnsi="Times New Roman" w:cs="Times New Roman"/>
                <w:bCs/>
                <w:sz w:val="24"/>
                <w:szCs w:val="24"/>
                <w:lang w:eastAsia="ru-RU"/>
              </w:rPr>
            </w:pPr>
            <w:r w:rsidRPr="00FF5253">
              <w:rPr>
                <w:rFonts w:ascii="Times New Roman" w:eastAsia="Times New Roman" w:hAnsi="Times New Roman" w:cs="Times New Roman"/>
                <w:bCs/>
                <w:sz w:val="24"/>
                <w:szCs w:val="24"/>
                <w:lang w:eastAsia="ru-RU"/>
              </w:rPr>
              <w:t> </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8DCF34"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Рабочая сила</w:t>
            </w:r>
          </w:p>
        </w:tc>
        <w:tc>
          <w:tcPr>
            <w:tcW w:w="11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252BA5B"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w:t>
            </w:r>
          </w:p>
        </w:tc>
        <w:tc>
          <w:tcPr>
            <w:tcW w:w="59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C4254E"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Лица, не входящие в состав рабочей силы</w:t>
            </w:r>
          </w:p>
        </w:tc>
        <w:tc>
          <w:tcPr>
            <w:tcW w:w="70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D7D88E" w14:textId="77777777" w:rsidR="00D03A4F" w:rsidRPr="00FF5253" w:rsidRDefault="00D03A4F" w:rsidP="00D03A4F">
            <w:pPr>
              <w:widowControl w:val="0"/>
              <w:spacing w:after="0" w:line="240" w:lineRule="auto"/>
              <w:ind w:left="-57" w:right="-57"/>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Уровень участия в составе рабочей силы, в %</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9BBAC6"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Уровень занятости, в %</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58E2B8" w14:textId="77777777" w:rsidR="00D03A4F" w:rsidRPr="00FF5253" w:rsidRDefault="00D03A4F" w:rsidP="00D03A4F">
            <w:pPr>
              <w:widowControl w:val="0"/>
              <w:spacing w:after="0" w:line="240" w:lineRule="auto"/>
              <w:ind w:left="-113" w:right="-113"/>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xml:space="preserve">Уровень </w:t>
            </w:r>
            <w:proofErr w:type="spellStart"/>
            <w:r w:rsidRPr="00FF5253">
              <w:rPr>
                <w:rFonts w:ascii="Times New Roman" w:eastAsia="Times New Roman" w:hAnsi="Times New Roman" w:cs="Times New Roman"/>
                <w:sz w:val="24"/>
                <w:szCs w:val="24"/>
                <w:lang w:eastAsia="ru-RU"/>
              </w:rPr>
              <w:t>безрабо-тицы</w:t>
            </w:r>
            <w:proofErr w:type="spellEnd"/>
            <w:r w:rsidRPr="00FF5253">
              <w:rPr>
                <w:rFonts w:ascii="Times New Roman" w:eastAsia="Times New Roman" w:hAnsi="Times New Roman" w:cs="Times New Roman"/>
                <w:sz w:val="24"/>
                <w:szCs w:val="24"/>
                <w:lang w:eastAsia="ru-RU"/>
              </w:rPr>
              <w:t>, в %</w:t>
            </w:r>
          </w:p>
        </w:tc>
      </w:tr>
      <w:tr w:rsidR="00D03A4F" w:rsidRPr="00FF5253" w14:paraId="64A5CB27" w14:textId="77777777" w:rsidTr="00944CB1">
        <w:trPr>
          <w:trHeight w:val="919"/>
          <w:tblHeader/>
        </w:trPr>
        <w:tc>
          <w:tcPr>
            <w:tcW w:w="848" w:type="pct"/>
            <w:vMerge/>
            <w:tcBorders>
              <w:top w:val="single" w:sz="4" w:space="0" w:color="auto"/>
              <w:bottom w:val="single" w:sz="4" w:space="0" w:color="auto"/>
            </w:tcBorders>
            <w:vAlign w:val="center"/>
          </w:tcPr>
          <w:p w14:paraId="3592D880" w14:textId="77777777" w:rsidR="00D03A4F" w:rsidRPr="00FF5253" w:rsidRDefault="00D03A4F" w:rsidP="00D03A4F">
            <w:pPr>
              <w:spacing w:after="0" w:line="240" w:lineRule="auto"/>
              <w:rPr>
                <w:rFonts w:ascii="Times New Roman" w:eastAsia="Times New Roman" w:hAnsi="Times New Roman" w:cs="Times New Roman"/>
                <w:b/>
                <w:bCs/>
                <w:sz w:val="24"/>
                <w:szCs w:val="24"/>
                <w:lang w:eastAsia="ru-RU"/>
              </w:rPr>
            </w:pPr>
          </w:p>
        </w:tc>
        <w:tc>
          <w:tcPr>
            <w:tcW w:w="556" w:type="pct"/>
            <w:vMerge/>
            <w:tcBorders>
              <w:top w:val="single" w:sz="4" w:space="0" w:color="auto"/>
              <w:bottom w:val="single" w:sz="4" w:space="0" w:color="auto"/>
            </w:tcBorders>
            <w:vAlign w:val="center"/>
          </w:tcPr>
          <w:p w14:paraId="5D88770C" w14:textId="77777777" w:rsidR="00D03A4F" w:rsidRPr="00FF5253" w:rsidRDefault="00D03A4F" w:rsidP="00D03A4F">
            <w:pPr>
              <w:spacing w:after="0" w:line="240" w:lineRule="auto"/>
              <w:rPr>
                <w:rFonts w:ascii="Times New Roman" w:eastAsia="Times New Roman" w:hAnsi="Times New Roman" w:cs="Times New Roman"/>
                <w:b/>
                <w:bCs/>
                <w:i/>
                <w:iCs/>
                <w:sz w:val="24"/>
                <w:szCs w:val="24"/>
                <w:lang w:eastAsia="ru-RU"/>
              </w:rPr>
            </w:pPr>
          </w:p>
        </w:tc>
        <w:tc>
          <w:tcPr>
            <w:tcW w:w="528" w:type="pct"/>
            <w:tcBorders>
              <w:top w:val="single" w:sz="4" w:space="0" w:color="auto"/>
              <w:bottom w:val="single" w:sz="4" w:space="0" w:color="auto"/>
            </w:tcBorders>
            <w:shd w:val="clear" w:color="auto" w:fill="auto"/>
            <w:noWrap/>
            <w:vAlign w:val="center"/>
          </w:tcPr>
          <w:p w14:paraId="574BEB50" w14:textId="77777777" w:rsidR="00D03A4F" w:rsidRPr="00FF5253" w:rsidRDefault="00D03A4F" w:rsidP="00D03A4F">
            <w:pPr>
              <w:spacing w:after="0" w:line="240" w:lineRule="auto"/>
              <w:jc w:val="center"/>
              <w:rPr>
                <w:rFonts w:ascii="Times New Roman" w:eastAsia="Times New Roman" w:hAnsi="Times New Roman" w:cs="Times New Roman"/>
                <w:bCs/>
                <w:iCs/>
                <w:sz w:val="24"/>
                <w:szCs w:val="24"/>
                <w:lang w:eastAsia="ru-RU"/>
              </w:rPr>
            </w:pPr>
            <w:r w:rsidRPr="00FF5253">
              <w:rPr>
                <w:rFonts w:ascii="Times New Roman" w:eastAsia="Times New Roman" w:hAnsi="Times New Roman" w:cs="Times New Roman"/>
                <w:bCs/>
                <w:iCs/>
                <w:sz w:val="24"/>
                <w:szCs w:val="24"/>
                <w:lang w:eastAsia="ru-RU"/>
              </w:rPr>
              <w:t>занятые</w:t>
            </w:r>
          </w:p>
        </w:tc>
        <w:tc>
          <w:tcPr>
            <w:tcW w:w="582" w:type="pct"/>
            <w:tcBorders>
              <w:top w:val="single" w:sz="4" w:space="0" w:color="auto"/>
              <w:bottom w:val="single" w:sz="4" w:space="0" w:color="auto"/>
            </w:tcBorders>
            <w:shd w:val="clear" w:color="auto" w:fill="auto"/>
            <w:noWrap/>
            <w:vAlign w:val="center"/>
          </w:tcPr>
          <w:p w14:paraId="168F41BE" w14:textId="77777777" w:rsidR="00D03A4F" w:rsidRPr="00FF5253" w:rsidRDefault="00D03A4F" w:rsidP="00D03A4F">
            <w:pPr>
              <w:spacing w:after="0" w:line="240" w:lineRule="auto"/>
              <w:jc w:val="center"/>
              <w:rPr>
                <w:rFonts w:ascii="Times New Roman" w:eastAsia="Times New Roman" w:hAnsi="Times New Roman" w:cs="Times New Roman"/>
                <w:bCs/>
                <w:iCs/>
                <w:sz w:val="24"/>
                <w:szCs w:val="24"/>
                <w:lang w:eastAsia="ru-RU"/>
              </w:rPr>
            </w:pPr>
            <w:proofErr w:type="spellStart"/>
            <w:r w:rsidRPr="00FF5253">
              <w:rPr>
                <w:rFonts w:ascii="Times New Roman" w:eastAsia="Times New Roman" w:hAnsi="Times New Roman" w:cs="Times New Roman"/>
                <w:bCs/>
                <w:iCs/>
                <w:sz w:val="24"/>
                <w:szCs w:val="24"/>
                <w:lang w:eastAsia="ru-RU"/>
              </w:rPr>
              <w:t>безработ-ные</w:t>
            </w:r>
            <w:proofErr w:type="spellEnd"/>
          </w:p>
        </w:tc>
        <w:tc>
          <w:tcPr>
            <w:tcW w:w="598" w:type="pct"/>
            <w:vMerge/>
            <w:tcBorders>
              <w:top w:val="single" w:sz="4" w:space="0" w:color="auto"/>
              <w:bottom w:val="single" w:sz="4" w:space="0" w:color="auto"/>
            </w:tcBorders>
            <w:vAlign w:val="center"/>
          </w:tcPr>
          <w:p w14:paraId="10D9DC29" w14:textId="77777777" w:rsidR="00D03A4F" w:rsidRPr="00FF5253" w:rsidRDefault="00D03A4F" w:rsidP="00D03A4F">
            <w:pPr>
              <w:spacing w:after="0" w:line="240" w:lineRule="auto"/>
              <w:rPr>
                <w:rFonts w:ascii="Times New Roman" w:eastAsia="Times New Roman" w:hAnsi="Times New Roman" w:cs="Times New Roman"/>
                <w:b/>
                <w:bCs/>
                <w:i/>
                <w:iCs/>
                <w:sz w:val="24"/>
                <w:szCs w:val="24"/>
                <w:lang w:eastAsia="ru-RU"/>
              </w:rPr>
            </w:pPr>
          </w:p>
        </w:tc>
        <w:tc>
          <w:tcPr>
            <w:tcW w:w="706" w:type="pct"/>
            <w:vMerge/>
            <w:tcBorders>
              <w:top w:val="single" w:sz="4" w:space="0" w:color="auto"/>
              <w:bottom w:val="single" w:sz="4" w:space="0" w:color="auto"/>
            </w:tcBorders>
            <w:vAlign w:val="center"/>
          </w:tcPr>
          <w:p w14:paraId="10DFC4F9" w14:textId="77777777" w:rsidR="00D03A4F" w:rsidRPr="00FF5253" w:rsidRDefault="00D03A4F" w:rsidP="00D03A4F">
            <w:pPr>
              <w:spacing w:after="0" w:line="240" w:lineRule="auto"/>
              <w:rPr>
                <w:rFonts w:ascii="Times New Roman" w:eastAsia="Times New Roman" w:hAnsi="Times New Roman" w:cs="Times New Roman"/>
                <w:b/>
                <w:bCs/>
                <w:i/>
                <w:iCs/>
                <w:sz w:val="24"/>
                <w:szCs w:val="24"/>
                <w:lang w:eastAsia="ru-RU"/>
              </w:rPr>
            </w:pPr>
          </w:p>
        </w:tc>
        <w:tc>
          <w:tcPr>
            <w:tcW w:w="662" w:type="pct"/>
            <w:vMerge/>
            <w:tcBorders>
              <w:top w:val="single" w:sz="4" w:space="0" w:color="auto"/>
              <w:bottom w:val="single" w:sz="4" w:space="0" w:color="auto"/>
            </w:tcBorders>
            <w:vAlign w:val="center"/>
          </w:tcPr>
          <w:p w14:paraId="73944125" w14:textId="77777777" w:rsidR="00D03A4F" w:rsidRPr="00FF5253" w:rsidRDefault="00D03A4F" w:rsidP="00D03A4F">
            <w:pPr>
              <w:spacing w:after="0" w:line="240" w:lineRule="auto"/>
              <w:rPr>
                <w:rFonts w:ascii="Times New Roman" w:eastAsia="Times New Roman" w:hAnsi="Times New Roman" w:cs="Times New Roman"/>
                <w:b/>
                <w:bCs/>
                <w:i/>
                <w:iCs/>
                <w:sz w:val="24"/>
                <w:szCs w:val="24"/>
                <w:lang w:eastAsia="ru-RU"/>
              </w:rPr>
            </w:pPr>
          </w:p>
        </w:tc>
        <w:tc>
          <w:tcPr>
            <w:tcW w:w="520" w:type="pct"/>
            <w:vMerge/>
            <w:tcBorders>
              <w:top w:val="single" w:sz="4" w:space="0" w:color="auto"/>
              <w:bottom w:val="single" w:sz="4" w:space="0" w:color="auto"/>
            </w:tcBorders>
            <w:vAlign w:val="center"/>
          </w:tcPr>
          <w:p w14:paraId="19942D97" w14:textId="77777777" w:rsidR="00D03A4F" w:rsidRPr="00FF5253" w:rsidRDefault="00D03A4F" w:rsidP="00D03A4F">
            <w:pPr>
              <w:spacing w:after="0" w:line="240" w:lineRule="auto"/>
              <w:rPr>
                <w:rFonts w:ascii="Times New Roman" w:eastAsia="Times New Roman" w:hAnsi="Times New Roman" w:cs="Times New Roman"/>
                <w:b/>
                <w:bCs/>
                <w:i/>
                <w:iCs/>
                <w:sz w:val="24"/>
                <w:szCs w:val="24"/>
                <w:lang w:eastAsia="ru-RU"/>
              </w:rPr>
            </w:pPr>
          </w:p>
        </w:tc>
      </w:tr>
      <w:tr w:rsidR="00D03A4F" w:rsidRPr="00FF5253" w14:paraId="19C50619" w14:textId="77777777" w:rsidTr="00944CB1">
        <w:trPr>
          <w:trHeight w:val="592"/>
        </w:trPr>
        <w:tc>
          <w:tcPr>
            <w:tcW w:w="5000" w:type="pct"/>
            <w:gridSpan w:val="8"/>
            <w:tcBorders>
              <w:top w:val="single" w:sz="4" w:space="0" w:color="auto"/>
              <w:bottom w:val="single" w:sz="4" w:space="0" w:color="auto"/>
            </w:tcBorders>
            <w:shd w:val="clear" w:color="auto" w:fill="auto"/>
            <w:vAlign w:val="center"/>
          </w:tcPr>
          <w:p w14:paraId="476F7414" w14:textId="77777777" w:rsidR="00D03A4F" w:rsidRPr="00FF5253" w:rsidRDefault="00D03A4F"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2018 г.</w:t>
            </w:r>
          </w:p>
        </w:tc>
      </w:tr>
      <w:tr w:rsidR="00D03A4F" w:rsidRPr="00FF5253" w14:paraId="4006CBE9" w14:textId="77777777" w:rsidTr="00944CB1">
        <w:trPr>
          <w:trHeight w:val="255"/>
        </w:trPr>
        <w:tc>
          <w:tcPr>
            <w:tcW w:w="848" w:type="pct"/>
            <w:tcBorders>
              <w:top w:val="single" w:sz="4" w:space="0" w:color="auto"/>
              <w:bottom w:val="single" w:sz="4" w:space="0" w:color="auto"/>
            </w:tcBorders>
            <w:shd w:val="clear" w:color="auto" w:fill="auto"/>
          </w:tcPr>
          <w:p w14:paraId="3687B6F6" w14:textId="77777777"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Всего</w:t>
            </w:r>
          </w:p>
        </w:tc>
        <w:tc>
          <w:tcPr>
            <w:tcW w:w="556" w:type="pct"/>
            <w:tcBorders>
              <w:top w:val="single" w:sz="4" w:space="0" w:color="auto"/>
              <w:bottom w:val="single" w:sz="4" w:space="0" w:color="auto"/>
            </w:tcBorders>
            <w:shd w:val="clear" w:color="auto" w:fill="auto"/>
          </w:tcPr>
          <w:p w14:paraId="0F82D8F5" w14:textId="77777777"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28" w:type="pct"/>
            <w:tcBorders>
              <w:top w:val="single" w:sz="4" w:space="0" w:color="auto"/>
              <w:bottom w:val="single" w:sz="4" w:space="0" w:color="auto"/>
            </w:tcBorders>
            <w:shd w:val="clear" w:color="auto" w:fill="auto"/>
          </w:tcPr>
          <w:p w14:paraId="29C9DD76" w14:textId="77777777"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82" w:type="pct"/>
            <w:tcBorders>
              <w:top w:val="single" w:sz="4" w:space="0" w:color="auto"/>
              <w:bottom w:val="single" w:sz="4" w:space="0" w:color="auto"/>
            </w:tcBorders>
            <w:shd w:val="clear" w:color="auto" w:fill="auto"/>
          </w:tcPr>
          <w:p w14:paraId="4041C305" w14:textId="77777777"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98" w:type="pct"/>
            <w:tcBorders>
              <w:top w:val="single" w:sz="4" w:space="0" w:color="auto"/>
              <w:bottom w:val="single" w:sz="4" w:space="0" w:color="auto"/>
            </w:tcBorders>
            <w:shd w:val="clear" w:color="auto" w:fill="auto"/>
          </w:tcPr>
          <w:p w14:paraId="35E377C6" w14:textId="77777777"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706" w:type="pct"/>
            <w:tcBorders>
              <w:top w:val="single" w:sz="4" w:space="0" w:color="auto"/>
              <w:bottom w:val="single" w:sz="4" w:space="0" w:color="auto"/>
            </w:tcBorders>
            <w:shd w:val="clear" w:color="auto" w:fill="auto"/>
          </w:tcPr>
          <w:p w14:paraId="7276C26A" w14:textId="77777777"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662" w:type="pct"/>
            <w:tcBorders>
              <w:top w:val="single" w:sz="4" w:space="0" w:color="auto"/>
              <w:bottom w:val="single" w:sz="4" w:space="0" w:color="auto"/>
            </w:tcBorders>
            <w:shd w:val="clear" w:color="auto" w:fill="auto"/>
          </w:tcPr>
          <w:p w14:paraId="510D5464" w14:textId="77777777"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20" w:type="pct"/>
            <w:tcBorders>
              <w:top w:val="single" w:sz="4" w:space="0" w:color="auto"/>
              <w:bottom w:val="single" w:sz="4" w:space="0" w:color="auto"/>
            </w:tcBorders>
            <w:shd w:val="clear" w:color="auto" w:fill="auto"/>
          </w:tcPr>
          <w:p w14:paraId="076B7226" w14:textId="77777777"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r>
      <w:tr w:rsidR="00D03A4F" w:rsidRPr="00FF5253" w14:paraId="14F95971" w14:textId="77777777" w:rsidTr="00944CB1">
        <w:trPr>
          <w:trHeight w:val="567"/>
        </w:trPr>
        <w:tc>
          <w:tcPr>
            <w:tcW w:w="848" w:type="pct"/>
            <w:tcBorders>
              <w:top w:val="single" w:sz="4" w:space="0" w:color="auto"/>
              <w:bottom w:val="single" w:sz="4" w:space="0" w:color="auto"/>
            </w:tcBorders>
            <w:shd w:val="clear" w:color="auto" w:fill="auto"/>
            <w:vAlign w:val="bottom"/>
          </w:tcPr>
          <w:p w14:paraId="5FC974A5" w14:textId="77777777"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14:paraId="4E8CD753"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13452</w:t>
            </w:r>
          </w:p>
        </w:tc>
        <w:tc>
          <w:tcPr>
            <w:tcW w:w="528" w:type="pct"/>
            <w:tcBorders>
              <w:top w:val="single" w:sz="4" w:space="0" w:color="auto"/>
              <w:bottom w:val="single" w:sz="4" w:space="0" w:color="auto"/>
            </w:tcBorders>
            <w:shd w:val="clear" w:color="auto" w:fill="auto"/>
            <w:vAlign w:val="bottom"/>
          </w:tcPr>
          <w:p w14:paraId="0C2D6EE3"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12801</w:t>
            </w:r>
          </w:p>
        </w:tc>
        <w:tc>
          <w:tcPr>
            <w:tcW w:w="582" w:type="pct"/>
            <w:tcBorders>
              <w:top w:val="single" w:sz="4" w:space="0" w:color="auto"/>
              <w:bottom w:val="single" w:sz="4" w:space="0" w:color="auto"/>
            </w:tcBorders>
            <w:shd w:val="clear" w:color="auto" w:fill="auto"/>
            <w:vAlign w:val="bottom"/>
          </w:tcPr>
          <w:p w14:paraId="4603A4E0"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651</w:t>
            </w:r>
          </w:p>
        </w:tc>
        <w:tc>
          <w:tcPr>
            <w:tcW w:w="598" w:type="pct"/>
            <w:tcBorders>
              <w:top w:val="single" w:sz="4" w:space="0" w:color="auto"/>
              <w:bottom w:val="single" w:sz="4" w:space="0" w:color="auto"/>
            </w:tcBorders>
            <w:shd w:val="clear" w:color="auto" w:fill="auto"/>
            <w:vAlign w:val="bottom"/>
          </w:tcPr>
          <w:p w14:paraId="14D8F7E0"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2785</w:t>
            </w:r>
          </w:p>
        </w:tc>
        <w:tc>
          <w:tcPr>
            <w:tcW w:w="706" w:type="pct"/>
            <w:tcBorders>
              <w:top w:val="single" w:sz="4" w:space="0" w:color="auto"/>
              <w:bottom w:val="single" w:sz="4" w:space="0" w:color="auto"/>
            </w:tcBorders>
            <w:shd w:val="clear" w:color="auto" w:fill="auto"/>
            <w:vAlign w:val="bottom"/>
          </w:tcPr>
          <w:p w14:paraId="62A9FF53"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82,8</w:t>
            </w:r>
          </w:p>
        </w:tc>
        <w:tc>
          <w:tcPr>
            <w:tcW w:w="662" w:type="pct"/>
            <w:tcBorders>
              <w:top w:val="single" w:sz="4" w:space="0" w:color="auto"/>
              <w:bottom w:val="single" w:sz="4" w:space="0" w:color="auto"/>
            </w:tcBorders>
            <w:shd w:val="clear" w:color="auto" w:fill="auto"/>
            <w:vAlign w:val="bottom"/>
          </w:tcPr>
          <w:p w14:paraId="2EB500C6"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78,8</w:t>
            </w:r>
          </w:p>
        </w:tc>
        <w:tc>
          <w:tcPr>
            <w:tcW w:w="520" w:type="pct"/>
            <w:tcBorders>
              <w:top w:val="single" w:sz="4" w:space="0" w:color="auto"/>
              <w:bottom w:val="single" w:sz="4" w:space="0" w:color="auto"/>
            </w:tcBorders>
            <w:shd w:val="clear" w:color="auto" w:fill="auto"/>
            <w:vAlign w:val="bottom"/>
          </w:tcPr>
          <w:p w14:paraId="70EB7BCD"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4,8</w:t>
            </w:r>
          </w:p>
        </w:tc>
      </w:tr>
      <w:tr w:rsidR="00D03A4F" w:rsidRPr="00FF5253" w14:paraId="37DECF9E" w14:textId="77777777" w:rsidTr="00944CB1">
        <w:trPr>
          <w:trHeight w:val="450"/>
        </w:trPr>
        <w:tc>
          <w:tcPr>
            <w:tcW w:w="848" w:type="pct"/>
            <w:tcBorders>
              <w:top w:val="single" w:sz="4" w:space="0" w:color="auto"/>
              <w:bottom w:val="single" w:sz="4" w:space="0" w:color="auto"/>
            </w:tcBorders>
            <w:shd w:val="clear" w:color="auto" w:fill="auto"/>
            <w:vAlign w:val="bottom"/>
          </w:tcPr>
          <w:p w14:paraId="3CE9022B" w14:textId="77777777"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14:paraId="5204F55A"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14:paraId="23454D59"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14:paraId="34B50608"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14:paraId="1FB52B50"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14:paraId="044B5DB4"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14:paraId="5A567A5C"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14:paraId="42A10F90"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14:paraId="2288C826" w14:textId="77777777" w:rsidTr="00944CB1">
        <w:trPr>
          <w:trHeight w:val="255"/>
        </w:trPr>
        <w:tc>
          <w:tcPr>
            <w:tcW w:w="848" w:type="pct"/>
            <w:tcBorders>
              <w:top w:val="single" w:sz="4" w:space="0" w:color="auto"/>
              <w:bottom w:val="single" w:sz="4" w:space="0" w:color="auto"/>
            </w:tcBorders>
            <w:shd w:val="clear" w:color="auto" w:fill="auto"/>
            <w:vAlign w:val="bottom"/>
          </w:tcPr>
          <w:p w14:paraId="79CFC519" w14:textId="77777777"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14:paraId="32C95515"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8568</w:t>
            </w:r>
          </w:p>
        </w:tc>
        <w:tc>
          <w:tcPr>
            <w:tcW w:w="528" w:type="pct"/>
            <w:tcBorders>
              <w:top w:val="single" w:sz="4" w:space="0" w:color="auto"/>
              <w:bottom w:val="single" w:sz="4" w:space="0" w:color="auto"/>
            </w:tcBorders>
            <w:shd w:val="clear" w:color="auto" w:fill="auto"/>
            <w:vAlign w:val="bottom"/>
          </w:tcPr>
          <w:p w14:paraId="70D1C9FD"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8227</w:t>
            </w:r>
          </w:p>
        </w:tc>
        <w:tc>
          <w:tcPr>
            <w:tcW w:w="582" w:type="pct"/>
            <w:tcBorders>
              <w:top w:val="single" w:sz="4" w:space="0" w:color="auto"/>
              <w:bottom w:val="single" w:sz="4" w:space="0" w:color="auto"/>
            </w:tcBorders>
            <w:shd w:val="clear" w:color="auto" w:fill="auto"/>
            <w:vAlign w:val="bottom"/>
          </w:tcPr>
          <w:p w14:paraId="3B3ED410"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341</w:t>
            </w:r>
          </w:p>
        </w:tc>
        <w:tc>
          <w:tcPr>
            <w:tcW w:w="598" w:type="pct"/>
            <w:tcBorders>
              <w:top w:val="single" w:sz="4" w:space="0" w:color="auto"/>
              <w:bottom w:val="single" w:sz="4" w:space="0" w:color="auto"/>
            </w:tcBorders>
            <w:shd w:val="clear" w:color="auto" w:fill="auto"/>
            <w:vAlign w:val="bottom"/>
          </w:tcPr>
          <w:p w14:paraId="745A4C0A"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1363</w:t>
            </w:r>
          </w:p>
        </w:tc>
        <w:tc>
          <w:tcPr>
            <w:tcW w:w="706" w:type="pct"/>
            <w:tcBorders>
              <w:top w:val="single" w:sz="4" w:space="0" w:color="auto"/>
              <w:bottom w:val="single" w:sz="4" w:space="0" w:color="auto"/>
            </w:tcBorders>
            <w:shd w:val="clear" w:color="auto" w:fill="auto"/>
            <w:vAlign w:val="bottom"/>
          </w:tcPr>
          <w:p w14:paraId="472420DB"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86,3</w:t>
            </w:r>
          </w:p>
        </w:tc>
        <w:tc>
          <w:tcPr>
            <w:tcW w:w="662" w:type="pct"/>
            <w:tcBorders>
              <w:top w:val="single" w:sz="4" w:space="0" w:color="auto"/>
              <w:bottom w:val="single" w:sz="4" w:space="0" w:color="auto"/>
            </w:tcBorders>
            <w:shd w:val="clear" w:color="auto" w:fill="auto"/>
            <w:vAlign w:val="bottom"/>
          </w:tcPr>
          <w:p w14:paraId="500D49E6"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82,8</w:t>
            </w:r>
          </w:p>
        </w:tc>
        <w:tc>
          <w:tcPr>
            <w:tcW w:w="520" w:type="pct"/>
            <w:tcBorders>
              <w:top w:val="single" w:sz="4" w:space="0" w:color="auto"/>
              <w:bottom w:val="single" w:sz="4" w:space="0" w:color="auto"/>
            </w:tcBorders>
            <w:shd w:val="clear" w:color="auto" w:fill="auto"/>
            <w:vAlign w:val="bottom"/>
          </w:tcPr>
          <w:p w14:paraId="28D8DC51"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4,0</w:t>
            </w:r>
          </w:p>
        </w:tc>
      </w:tr>
      <w:tr w:rsidR="00D03A4F" w:rsidRPr="00FF5253" w14:paraId="4C6093CF" w14:textId="77777777" w:rsidTr="00944CB1">
        <w:trPr>
          <w:trHeight w:val="255"/>
        </w:trPr>
        <w:tc>
          <w:tcPr>
            <w:tcW w:w="848" w:type="pct"/>
            <w:tcBorders>
              <w:top w:val="single" w:sz="4" w:space="0" w:color="auto"/>
              <w:bottom w:val="single" w:sz="4" w:space="0" w:color="auto"/>
            </w:tcBorders>
            <w:shd w:val="clear" w:color="auto" w:fill="auto"/>
            <w:vAlign w:val="bottom"/>
          </w:tcPr>
          <w:p w14:paraId="74732089" w14:textId="77777777"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14:paraId="7FB41396"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4029</w:t>
            </w:r>
          </w:p>
        </w:tc>
        <w:tc>
          <w:tcPr>
            <w:tcW w:w="528" w:type="pct"/>
            <w:tcBorders>
              <w:top w:val="single" w:sz="4" w:space="0" w:color="auto"/>
              <w:bottom w:val="single" w:sz="4" w:space="0" w:color="auto"/>
            </w:tcBorders>
            <w:shd w:val="clear" w:color="auto" w:fill="auto"/>
            <w:vAlign w:val="bottom"/>
          </w:tcPr>
          <w:p w14:paraId="3A607062"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3800</w:t>
            </w:r>
          </w:p>
        </w:tc>
        <w:tc>
          <w:tcPr>
            <w:tcW w:w="582" w:type="pct"/>
            <w:tcBorders>
              <w:top w:val="single" w:sz="4" w:space="0" w:color="auto"/>
              <w:bottom w:val="single" w:sz="4" w:space="0" w:color="auto"/>
            </w:tcBorders>
            <w:shd w:val="clear" w:color="auto" w:fill="auto"/>
            <w:vAlign w:val="bottom"/>
          </w:tcPr>
          <w:p w14:paraId="20C42211"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229</w:t>
            </w:r>
          </w:p>
        </w:tc>
        <w:tc>
          <w:tcPr>
            <w:tcW w:w="598" w:type="pct"/>
            <w:tcBorders>
              <w:top w:val="single" w:sz="4" w:space="0" w:color="auto"/>
              <w:bottom w:val="single" w:sz="4" w:space="0" w:color="auto"/>
            </w:tcBorders>
            <w:shd w:val="clear" w:color="auto" w:fill="auto"/>
            <w:vAlign w:val="bottom"/>
          </w:tcPr>
          <w:p w14:paraId="1F5B9E13"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976</w:t>
            </w:r>
          </w:p>
        </w:tc>
        <w:tc>
          <w:tcPr>
            <w:tcW w:w="706" w:type="pct"/>
            <w:tcBorders>
              <w:top w:val="single" w:sz="4" w:space="0" w:color="auto"/>
              <w:bottom w:val="single" w:sz="4" w:space="0" w:color="auto"/>
            </w:tcBorders>
            <w:shd w:val="clear" w:color="auto" w:fill="auto"/>
            <w:vAlign w:val="bottom"/>
          </w:tcPr>
          <w:p w14:paraId="18CC05B6"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80,5</w:t>
            </w:r>
          </w:p>
        </w:tc>
        <w:tc>
          <w:tcPr>
            <w:tcW w:w="662" w:type="pct"/>
            <w:tcBorders>
              <w:top w:val="single" w:sz="4" w:space="0" w:color="auto"/>
              <w:bottom w:val="single" w:sz="4" w:space="0" w:color="auto"/>
            </w:tcBorders>
            <w:shd w:val="clear" w:color="auto" w:fill="auto"/>
            <w:vAlign w:val="bottom"/>
          </w:tcPr>
          <w:p w14:paraId="6603E38B"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75,9</w:t>
            </w:r>
          </w:p>
        </w:tc>
        <w:tc>
          <w:tcPr>
            <w:tcW w:w="520" w:type="pct"/>
            <w:tcBorders>
              <w:top w:val="single" w:sz="4" w:space="0" w:color="auto"/>
              <w:bottom w:val="single" w:sz="4" w:space="0" w:color="auto"/>
            </w:tcBorders>
            <w:shd w:val="clear" w:color="auto" w:fill="auto"/>
            <w:vAlign w:val="bottom"/>
          </w:tcPr>
          <w:p w14:paraId="3E3D2FD3"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5,7</w:t>
            </w:r>
          </w:p>
        </w:tc>
      </w:tr>
      <w:tr w:rsidR="00D03A4F" w:rsidRPr="00FF5253" w14:paraId="4BB32CE0" w14:textId="77777777" w:rsidTr="00944CB1">
        <w:trPr>
          <w:trHeight w:val="255"/>
        </w:trPr>
        <w:tc>
          <w:tcPr>
            <w:tcW w:w="848" w:type="pct"/>
            <w:tcBorders>
              <w:top w:val="single" w:sz="4" w:space="0" w:color="auto"/>
              <w:bottom w:val="single" w:sz="4" w:space="0" w:color="auto"/>
            </w:tcBorders>
            <w:shd w:val="clear" w:color="auto" w:fill="auto"/>
            <w:vAlign w:val="bottom"/>
          </w:tcPr>
          <w:p w14:paraId="30134417" w14:textId="77777777"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14:paraId="6E2802AA"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855</w:t>
            </w:r>
          </w:p>
        </w:tc>
        <w:tc>
          <w:tcPr>
            <w:tcW w:w="528" w:type="pct"/>
            <w:tcBorders>
              <w:top w:val="single" w:sz="4" w:space="0" w:color="auto"/>
              <w:bottom w:val="single" w:sz="4" w:space="0" w:color="auto"/>
            </w:tcBorders>
            <w:shd w:val="clear" w:color="auto" w:fill="auto"/>
            <w:vAlign w:val="bottom"/>
          </w:tcPr>
          <w:p w14:paraId="0FFB2B92"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774</w:t>
            </w:r>
          </w:p>
        </w:tc>
        <w:tc>
          <w:tcPr>
            <w:tcW w:w="582" w:type="pct"/>
            <w:tcBorders>
              <w:top w:val="single" w:sz="4" w:space="0" w:color="auto"/>
              <w:bottom w:val="single" w:sz="4" w:space="0" w:color="auto"/>
            </w:tcBorders>
            <w:shd w:val="clear" w:color="auto" w:fill="auto"/>
            <w:vAlign w:val="bottom"/>
          </w:tcPr>
          <w:p w14:paraId="31C3449A"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81</w:t>
            </w:r>
          </w:p>
        </w:tc>
        <w:tc>
          <w:tcPr>
            <w:tcW w:w="598" w:type="pct"/>
            <w:tcBorders>
              <w:top w:val="single" w:sz="4" w:space="0" w:color="auto"/>
              <w:bottom w:val="single" w:sz="4" w:space="0" w:color="auto"/>
            </w:tcBorders>
            <w:shd w:val="clear" w:color="auto" w:fill="auto"/>
            <w:vAlign w:val="bottom"/>
          </w:tcPr>
          <w:p w14:paraId="2B2B8324"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446</w:t>
            </w:r>
          </w:p>
        </w:tc>
        <w:tc>
          <w:tcPr>
            <w:tcW w:w="706" w:type="pct"/>
            <w:tcBorders>
              <w:top w:val="single" w:sz="4" w:space="0" w:color="auto"/>
              <w:bottom w:val="single" w:sz="4" w:space="0" w:color="auto"/>
            </w:tcBorders>
            <w:shd w:val="clear" w:color="auto" w:fill="auto"/>
            <w:vAlign w:val="bottom"/>
          </w:tcPr>
          <w:p w14:paraId="3F52C296"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65,7</w:t>
            </w:r>
          </w:p>
        </w:tc>
        <w:tc>
          <w:tcPr>
            <w:tcW w:w="662" w:type="pct"/>
            <w:tcBorders>
              <w:top w:val="single" w:sz="4" w:space="0" w:color="auto"/>
              <w:bottom w:val="single" w:sz="4" w:space="0" w:color="auto"/>
            </w:tcBorders>
            <w:shd w:val="clear" w:color="auto" w:fill="auto"/>
            <w:vAlign w:val="bottom"/>
          </w:tcPr>
          <w:p w14:paraId="64FFCB68"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59,5</w:t>
            </w:r>
          </w:p>
        </w:tc>
        <w:tc>
          <w:tcPr>
            <w:tcW w:w="520" w:type="pct"/>
            <w:tcBorders>
              <w:top w:val="single" w:sz="4" w:space="0" w:color="auto"/>
              <w:bottom w:val="single" w:sz="4" w:space="0" w:color="auto"/>
            </w:tcBorders>
            <w:shd w:val="clear" w:color="auto" w:fill="auto"/>
            <w:vAlign w:val="bottom"/>
          </w:tcPr>
          <w:p w14:paraId="442B4998"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9,5</w:t>
            </w:r>
          </w:p>
        </w:tc>
      </w:tr>
      <w:tr w:rsidR="00D03A4F" w:rsidRPr="00FF5253" w14:paraId="7DE42E0E" w14:textId="77777777" w:rsidTr="00944CB1">
        <w:tc>
          <w:tcPr>
            <w:tcW w:w="848" w:type="pct"/>
            <w:tcBorders>
              <w:top w:val="single" w:sz="4" w:space="0" w:color="auto"/>
              <w:bottom w:val="single" w:sz="4" w:space="0" w:color="auto"/>
            </w:tcBorders>
            <w:shd w:val="clear" w:color="auto" w:fill="auto"/>
            <w:vAlign w:val="bottom"/>
          </w:tcPr>
          <w:p w14:paraId="33CD735A" w14:textId="77777777"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14:paraId="6BCF25B3"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5449</w:t>
            </w:r>
          </w:p>
        </w:tc>
        <w:tc>
          <w:tcPr>
            <w:tcW w:w="528" w:type="pct"/>
            <w:tcBorders>
              <w:top w:val="single" w:sz="4" w:space="0" w:color="auto"/>
              <w:bottom w:val="single" w:sz="4" w:space="0" w:color="auto"/>
            </w:tcBorders>
            <w:shd w:val="clear" w:color="auto" w:fill="auto"/>
            <w:vAlign w:val="bottom"/>
          </w:tcPr>
          <w:p w14:paraId="04E63459"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5093</w:t>
            </w:r>
          </w:p>
        </w:tc>
        <w:tc>
          <w:tcPr>
            <w:tcW w:w="582" w:type="pct"/>
            <w:tcBorders>
              <w:top w:val="single" w:sz="4" w:space="0" w:color="auto"/>
              <w:bottom w:val="single" w:sz="4" w:space="0" w:color="auto"/>
            </w:tcBorders>
            <w:shd w:val="clear" w:color="auto" w:fill="auto"/>
            <w:vAlign w:val="bottom"/>
          </w:tcPr>
          <w:p w14:paraId="0E72F89A"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356</w:t>
            </w:r>
          </w:p>
        </w:tc>
        <w:tc>
          <w:tcPr>
            <w:tcW w:w="598" w:type="pct"/>
            <w:tcBorders>
              <w:top w:val="single" w:sz="4" w:space="0" w:color="auto"/>
              <w:bottom w:val="single" w:sz="4" w:space="0" w:color="auto"/>
            </w:tcBorders>
            <w:shd w:val="clear" w:color="auto" w:fill="auto"/>
            <w:vAlign w:val="bottom"/>
          </w:tcPr>
          <w:p w14:paraId="6BB7DD3F"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2136</w:t>
            </w:r>
          </w:p>
        </w:tc>
        <w:tc>
          <w:tcPr>
            <w:tcW w:w="706" w:type="pct"/>
            <w:tcBorders>
              <w:top w:val="single" w:sz="4" w:space="0" w:color="auto"/>
              <w:bottom w:val="single" w:sz="4" w:space="0" w:color="auto"/>
            </w:tcBorders>
            <w:shd w:val="clear" w:color="auto" w:fill="auto"/>
            <w:vAlign w:val="bottom"/>
          </w:tcPr>
          <w:p w14:paraId="07AFA7A9"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71,8</w:t>
            </w:r>
          </w:p>
        </w:tc>
        <w:tc>
          <w:tcPr>
            <w:tcW w:w="662" w:type="pct"/>
            <w:tcBorders>
              <w:top w:val="single" w:sz="4" w:space="0" w:color="auto"/>
              <w:bottom w:val="single" w:sz="4" w:space="0" w:color="auto"/>
            </w:tcBorders>
            <w:shd w:val="clear" w:color="auto" w:fill="auto"/>
            <w:vAlign w:val="bottom"/>
          </w:tcPr>
          <w:p w14:paraId="78BFB5EA"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67,1</w:t>
            </w:r>
          </w:p>
        </w:tc>
        <w:tc>
          <w:tcPr>
            <w:tcW w:w="520" w:type="pct"/>
            <w:tcBorders>
              <w:top w:val="single" w:sz="4" w:space="0" w:color="auto"/>
              <w:bottom w:val="single" w:sz="4" w:space="0" w:color="auto"/>
            </w:tcBorders>
            <w:shd w:val="clear" w:color="auto" w:fill="auto"/>
            <w:vAlign w:val="bottom"/>
          </w:tcPr>
          <w:p w14:paraId="6DB2C2B3"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6,5</w:t>
            </w:r>
          </w:p>
        </w:tc>
      </w:tr>
      <w:tr w:rsidR="00D03A4F" w:rsidRPr="00FF5253" w14:paraId="21C2C97A" w14:textId="77777777" w:rsidTr="00944CB1">
        <w:trPr>
          <w:trHeight w:val="255"/>
        </w:trPr>
        <w:tc>
          <w:tcPr>
            <w:tcW w:w="848" w:type="pct"/>
            <w:tcBorders>
              <w:top w:val="single" w:sz="4" w:space="0" w:color="auto"/>
              <w:bottom w:val="single" w:sz="4" w:space="0" w:color="auto"/>
            </w:tcBorders>
            <w:shd w:val="clear" w:color="auto" w:fill="auto"/>
            <w:vAlign w:val="bottom"/>
          </w:tcPr>
          <w:p w14:paraId="35C7D7FB" w14:textId="77777777"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Городское население</w:t>
            </w:r>
          </w:p>
        </w:tc>
        <w:tc>
          <w:tcPr>
            <w:tcW w:w="556" w:type="pct"/>
            <w:tcBorders>
              <w:top w:val="single" w:sz="4" w:space="0" w:color="auto"/>
              <w:bottom w:val="single" w:sz="4" w:space="0" w:color="auto"/>
            </w:tcBorders>
            <w:shd w:val="clear" w:color="auto" w:fill="auto"/>
            <w:vAlign w:val="bottom"/>
          </w:tcPr>
          <w:p w14:paraId="4EB58CA1"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14:paraId="25E0CB2A"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14:paraId="3BDED975"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14:paraId="6F49371E"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14:paraId="66D45D07"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14:paraId="7C01BB5E"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14:paraId="697DFF94"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14:paraId="411DBE3B" w14:textId="77777777" w:rsidTr="00944CB1">
        <w:trPr>
          <w:trHeight w:val="567"/>
        </w:trPr>
        <w:tc>
          <w:tcPr>
            <w:tcW w:w="848" w:type="pct"/>
            <w:tcBorders>
              <w:top w:val="single" w:sz="4" w:space="0" w:color="auto"/>
              <w:bottom w:val="single" w:sz="4" w:space="0" w:color="auto"/>
            </w:tcBorders>
            <w:shd w:val="clear" w:color="auto" w:fill="auto"/>
            <w:vAlign w:val="bottom"/>
          </w:tcPr>
          <w:p w14:paraId="48B818B3" w14:textId="77777777"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14:paraId="59985A86"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10475</w:t>
            </w:r>
          </w:p>
        </w:tc>
        <w:tc>
          <w:tcPr>
            <w:tcW w:w="528" w:type="pct"/>
            <w:tcBorders>
              <w:top w:val="single" w:sz="4" w:space="0" w:color="auto"/>
              <w:bottom w:val="single" w:sz="4" w:space="0" w:color="auto"/>
            </w:tcBorders>
            <w:shd w:val="clear" w:color="auto" w:fill="auto"/>
            <w:vAlign w:val="bottom"/>
          </w:tcPr>
          <w:p w14:paraId="44D5BC2B"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10050</w:t>
            </w:r>
          </w:p>
        </w:tc>
        <w:tc>
          <w:tcPr>
            <w:tcW w:w="582" w:type="pct"/>
            <w:tcBorders>
              <w:top w:val="single" w:sz="4" w:space="0" w:color="auto"/>
              <w:bottom w:val="single" w:sz="4" w:space="0" w:color="auto"/>
            </w:tcBorders>
            <w:shd w:val="clear" w:color="auto" w:fill="auto"/>
            <w:vAlign w:val="bottom"/>
          </w:tcPr>
          <w:p w14:paraId="56A09044"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425</w:t>
            </w:r>
          </w:p>
        </w:tc>
        <w:tc>
          <w:tcPr>
            <w:tcW w:w="598" w:type="pct"/>
            <w:tcBorders>
              <w:top w:val="single" w:sz="4" w:space="0" w:color="auto"/>
              <w:bottom w:val="single" w:sz="4" w:space="0" w:color="auto"/>
            </w:tcBorders>
            <w:shd w:val="clear" w:color="auto" w:fill="auto"/>
            <w:vAlign w:val="bottom"/>
          </w:tcPr>
          <w:p w14:paraId="68CB67F4"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1960</w:t>
            </w:r>
          </w:p>
        </w:tc>
        <w:tc>
          <w:tcPr>
            <w:tcW w:w="706" w:type="pct"/>
            <w:tcBorders>
              <w:top w:val="single" w:sz="4" w:space="0" w:color="auto"/>
              <w:bottom w:val="single" w:sz="4" w:space="0" w:color="auto"/>
            </w:tcBorders>
            <w:shd w:val="clear" w:color="auto" w:fill="auto"/>
            <w:vAlign w:val="bottom"/>
          </w:tcPr>
          <w:p w14:paraId="5E5FE104"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84,2</w:t>
            </w:r>
          </w:p>
        </w:tc>
        <w:tc>
          <w:tcPr>
            <w:tcW w:w="662" w:type="pct"/>
            <w:tcBorders>
              <w:top w:val="single" w:sz="4" w:space="0" w:color="auto"/>
              <w:bottom w:val="single" w:sz="4" w:space="0" w:color="auto"/>
            </w:tcBorders>
            <w:shd w:val="clear" w:color="auto" w:fill="auto"/>
            <w:vAlign w:val="bottom"/>
          </w:tcPr>
          <w:p w14:paraId="1F484D71"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80,8</w:t>
            </w:r>
          </w:p>
        </w:tc>
        <w:tc>
          <w:tcPr>
            <w:tcW w:w="520" w:type="pct"/>
            <w:tcBorders>
              <w:top w:val="single" w:sz="4" w:space="0" w:color="auto"/>
              <w:bottom w:val="single" w:sz="4" w:space="0" w:color="auto"/>
            </w:tcBorders>
            <w:shd w:val="clear" w:color="auto" w:fill="auto"/>
            <w:vAlign w:val="bottom"/>
          </w:tcPr>
          <w:p w14:paraId="33CFAC9C"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4,1</w:t>
            </w:r>
          </w:p>
        </w:tc>
      </w:tr>
      <w:tr w:rsidR="00D03A4F" w:rsidRPr="00FF5253" w14:paraId="38B4C284" w14:textId="77777777" w:rsidTr="00944CB1">
        <w:trPr>
          <w:trHeight w:val="450"/>
        </w:trPr>
        <w:tc>
          <w:tcPr>
            <w:tcW w:w="848" w:type="pct"/>
            <w:tcBorders>
              <w:top w:val="single" w:sz="4" w:space="0" w:color="auto"/>
              <w:bottom w:val="single" w:sz="4" w:space="0" w:color="auto"/>
            </w:tcBorders>
            <w:shd w:val="clear" w:color="auto" w:fill="auto"/>
            <w:vAlign w:val="bottom"/>
          </w:tcPr>
          <w:p w14:paraId="2D17A3F1" w14:textId="77777777"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14:paraId="7EF92B77"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14:paraId="3805690B"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14:paraId="429BABBB"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14:paraId="6917EB84"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14:paraId="55B304D6"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14:paraId="4FCD766F"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14:paraId="1845615C"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14:paraId="5ABECAEF" w14:textId="77777777" w:rsidTr="00944CB1">
        <w:trPr>
          <w:trHeight w:val="255"/>
        </w:trPr>
        <w:tc>
          <w:tcPr>
            <w:tcW w:w="848" w:type="pct"/>
            <w:tcBorders>
              <w:top w:val="single" w:sz="4" w:space="0" w:color="auto"/>
              <w:bottom w:val="single" w:sz="4" w:space="0" w:color="auto"/>
            </w:tcBorders>
            <w:shd w:val="clear" w:color="auto" w:fill="auto"/>
            <w:vAlign w:val="bottom"/>
          </w:tcPr>
          <w:p w14:paraId="09970F5C" w14:textId="77777777"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14:paraId="0334E1E4"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7006</w:t>
            </w:r>
          </w:p>
        </w:tc>
        <w:tc>
          <w:tcPr>
            <w:tcW w:w="528" w:type="pct"/>
            <w:tcBorders>
              <w:top w:val="single" w:sz="4" w:space="0" w:color="auto"/>
              <w:bottom w:val="single" w:sz="4" w:space="0" w:color="auto"/>
            </w:tcBorders>
            <w:shd w:val="clear" w:color="auto" w:fill="auto"/>
            <w:vAlign w:val="bottom"/>
          </w:tcPr>
          <w:p w14:paraId="1ECA946A"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6765</w:t>
            </w:r>
          </w:p>
        </w:tc>
        <w:tc>
          <w:tcPr>
            <w:tcW w:w="582" w:type="pct"/>
            <w:tcBorders>
              <w:top w:val="single" w:sz="4" w:space="0" w:color="auto"/>
              <w:bottom w:val="single" w:sz="4" w:space="0" w:color="auto"/>
            </w:tcBorders>
            <w:shd w:val="clear" w:color="auto" w:fill="auto"/>
            <w:vAlign w:val="bottom"/>
          </w:tcPr>
          <w:p w14:paraId="5CAC5CE8"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241</w:t>
            </w:r>
          </w:p>
        </w:tc>
        <w:tc>
          <w:tcPr>
            <w:tcW w:w="598" w:type="pct"/>
            <w:tcBorders>
              <w:top w:val="single" w:sz="4" w:space="0" w:color="auto"/>
              <w:bottom w:val="single" w:sz="4" w:space="0" w:color="auto"/>
            </w:tcBorders>
            <w:shd w:val="clear" w:color="auto" w:fill="auto"/>
            <w:vAlign w:val="bottom"/>
          </w:tcPr>
          <w:p w14:paraId="5B751C2D"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1028</w:t>
            </w:r>
          </w:p>
        </w:tc>
        <w:tc>
          <w:tcPr>
            <w:tcW w:w="706" w:type="pct"/>
            <w:tcBorders>
              <w:top w:val="single" w:sz="4" w:space="0" w:color="auto"/>
              <w:bottom w:val="single" w:sz="4" w:space="0" w:color="auto"/>
            </w:tcBorders>
            <w:shd w:val="clear" w:color="auto" w:fill="auto"/>
            <w:vAlign w:val="bottom"/>
          </w:tcPr>
          <w:p w14:paraId="36C6D9C4"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87,2</w:t>
            </w:r>
          </w:p>
        </w:tc>
        <w:tc>
          <w:tcPr>
            <w:tcW w:w="662" w:type="pct"/>
            <w:tcBorders>
              <w:top w:val="single" w:sz="4" w:space="0" w:color="auto"/>
              <w:bottom w:val="single" w:sz="4" w:space="0" w:color="auto"/>
            </w:tcBorders>
            <w:shd w:val="clear" w:color="auto" w:fill="auto"/>
            <w:vAlign w:val="bottom"/>
          </w:tcPr>
          <w:p w14:paraId="059D11DE"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84,2</w:t>
            </w:r>
          </w:p>
        </w:tc>
        <w:tc>
          <w:tcPr>
            <w:tcW w:w="520" w:type="pct"/>
            <w:tcBorders>
              <w:top w:val="single" w:sz="4" w:space="0" w:color="auto"/>
              <w:bottom w:val="single" w:sz="4" w:space="0" w:color="auto"/>
            </w:tcBorders>
            <w:shd w:val="clear" w:color="auto" w:fill="auto"/>
            <w:vAlign w:val="bottom"/>
          </w:tcPr>
          <w:p w14:paraId="75C32712"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3,4</w:t>
            </w:r>
          </w:p>
        </w:tc>
      </w:tr>
      <w:tr w:rsidR="00D03A4F" w:rsidRPr="00FF5253" w14:paraId="4C21EF1F" w14:textId="77777777" w:rsidTr="00944CB1">
        <w:trPr>
          <w:trHeight w:val="255"/>
        </w:trPr>
        <w:tc>
          <w:tcPr>
            <w:tcW w:w="848" w:type="pct"/>
            <w:tcBorders>
              <w:top w:val="single" w:sz="4" w:space="0" w:color="auto"/>
              <w:bottom w:val="single" w:sz="4" w:space="0" w:color="auto"/>
            </w:tcBorders>
            <w:shd w:val="clear" w:color="auto" w:fill="auto"/>
            <w:vAlign w:val="bottom"/>
          </w:tcPr>
          <w:p w14:paraId="647C1427" w14:textId="77777777"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14:paraId="071E1A80"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2983</w:t>
            </w:r>
          </w:p>
        </w:tc>
        <w:tc>
          <w:tcPr>
            <w:tcW w:w="528" w:type="pct"/>
            <w:tcBorders>
              <w:top w:val="single" w:sz="4" w:space="0" w:color="auto"/>
              <w:bottom w:val="single" w:sz="4" w:space="0" w:color="auto"/>
            </w:tcBorders>
            <w:shd w:val="clear" w:color="auto" w:fill="auto"/>
            <w:vAlign w:val="bottom"/>
          </w:tcPr>
          <w:p w14:paraId="28EB5D6B"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2838</w:t>
            </w:r>
          </w:p>
        </w:tc>
        <w:tc>
          <w:tcPr>
            <w:tcW w:w="582" w:type="pct"/>
            <w:tcBorders>
              <w:top w:val="single" w:sz="4" w:space="0" w:color="auto"/>
              <w:bottom w:val="single" w:sz="4" w:space="0" w:color="auto"/>
            </w:tcBorders>
            <w:shd w:val="clear" w:color="auto" w:fill="auto"/>
            <w:vAlign w:val="bottom"/>
          </w:tcPr>
          <w:p w14:paraId="686B9F32"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145</w:t>
            </w:r>
          </w:p>
        </w:tc>
        <w:tc>
          <w:tcPr>
            <w:tcW w:w="598" w:type="pct"/>
            <w:tcBorders>
              <w:top w:val="single" w:sz="4" w:space="0" w:color="auto"/>
              <w:bottom w:val="single" w:sz="4" w:space="0" w:color="auto"/>
            </w:tcBorders>
            <w:shd w:val="clear" w:color="auto" w:fill="auto"/>
            <w:vAlign w:val="bottom"/>
          </w:tcPr>
          <w:p w14:paraId="03C72C64"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680</w:t>
            </w:r>
          </w:p>
        </w:tc>
        <w:tc>
          <w:tcPr>
            <w:tcW w:w="706" w:type="pct"/>
            <w:tcBorders>
              <w:top w:val="single" w:sz="4" w:space="0" w:color="auto"/>
              <w:bottom w:val="single" w:sz="4" w:space="0" w:color="auto"/>
            </w:tcBorders>
            <w:shd w:val="clear" w:color="auto" w:fill="auto"/>
            <w:vAlign w:val="bottom"/>
          </w:tcPr>
          <w:p w14:paraId="0AFEA909"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81,4</w:t>
            </w:r>
          </w:p>
        </w:tc>
        <w:tc>
          <w:tcPr>
            <w:tcW w:w="662" w:type="pct"/>
            <w:tcBorders>
              <w:top w:val="single" w:sz="4" w:space="0" w:color="auto"/>
              <w:bottom w:val="single" w:sz="4" w:space="0" w:color="auto"/>
            </w:tcBorders>
            <w:shd w:val="clear" w:color="auto" w:fill="auto"/>
            <w:vAlign w:val="bottom"/>
          </w:tcPr>
          <w:p w14:paraId="66A7744A"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77,5</w:t>
            </w:r>
          </w:p>
        </w:tc>
        <w:tc>
          <w:tcPr>
            <w:tcW w:w="520" w:type="pct"/>
            <w:tcBorders>
              <w:top w:val="single" w:sz="4" w:space="0" w:color="auto"/>
              <w:bottom w:val="single" w:sz="4" w:space="0" w:color="auto"/>
            </w:tcBorders>
            <w:shd w:val="clear" w:color="auto" w:fill="auto"/>
            <w:vAlign w:val="bottom"/>
          </w:tcPr>
          <w:p w14:paraId="412539A9"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4,9</w:t>
            </w:r>
          </w:p>
        </w:tc>
      </w:tr>
      <w:tr w:rsidR="00D03A4F" w:rsidRPr="00FF5253" w14:paraId="523ECDBE" w14:textId="77777777" w:rsidTr="00944CB1">
        <w:trPr>
          <w:trHeight w:val="255"/>
        </w:trPr>
        <w:tc>
          <w:tcPr>
            <w:tcW w:w="848" w:type="pct"/>
            <w:tcBorders>
              <w:top w:val="single" w:sz="4" w:space="0" w:color="auto"/>
              <w:bottom w:val="single" w:sz="4" w:space="0" w:color="auto"/>
            </w:tcBorders>
            <w:shd w:val="clear" w:color="auto" w:fill="auto"/>
            <w:vAlign w:val="bottom"/>
          </w:tcPr>
          <w:p w14:paraId="4CDF5339" w14:textId="77777777"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14:paraId="2E889F2E"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486</w:t>
            </w:r>
          </w:p>
        </w:tc>
        <w:tc>
          <w:tcPr>
            <w:tcW w:w="528" w:type="pct"/>
            <w:tcBorders>
              <w:top w:val="single" w:sz="4" w:space="0" w:color="auto"/>
              <w:bottom w:val="single" w:sz="4" w:space="0" w:color="auto"/>
            </w:tcBorders>
            <w:shd w:val="clear" w:color="auto" w:fill="auto"/>
            <w:vAlign w:val="bottom"/>
          </w:tcPr>
          <w:p w14:paraId="4A4F69A6"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448</w:t>
            </w:r>
          </w:p>
        </w:tc>
        <w:tc>
          <w:tcPr>
            <w:tcW w:w="582" w:type="pct"/>
            <w:tcBorders>
              <w:top w:val="single" w:sz="4" w:space="0" w:color="auto"/>
              <w:bottom w:val="single" w:sz="4" w:space="0" w:color="auto"/>
            </w:tcBorders>
            <w:shd w:val="clear" w:color="auto" w:fill="auto"/>
            <w:vAlign w:val="bottom"/>
          </w:tcPr>
          <w:p w14:paraId="6394D926"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38</w:t>
            </w:r>
          </w:p>
        </w:tc>
        <w:tc>
          <w:tcPr>
            <w:tcW w:w="598" w:type="pct"/>
            <w:tcBorders>
              <w:top w:val="single" w:sz="4" w:space="0" w:color="auto"/>
              <w:bottom w:val="single" w:sz="4" w:space="0" w:color="auto"/>
            </w:tcBorders>
            <w:shd w:val="clear" w:color="auto" w:fill="auto"/>
            <w:vAlign w:val="bottom"/>
          </w:tcPr>
          <w:p w14:paraId="605B6A75"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252</w:t>
            </w:r>
          </w:p>
        </w:tc>
        <w:tc>
          <w:tcPr>
            <w:tcW w:w="706" w:type="pct"/>
            <w:tcBorders>
              <w:top w:val="single" w:sz="4" w:space="0" w:color="auto"/>
              <w:bottom w:val="single" w:sz="4" w:space="0" w:color="auto"/>
            </w:tcBorders>
            <w:shd w:val="clear" w:color="auto" w:fill="auto"/>
            <w:vAlign w:val="bottom"/>
          </w:tcPr>
          <w:p w14:paraId="2E0FFAAC"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65,8</w:t>
            </w:r>
          </w:p>
        </w:tc>
        <w:tc>
          <w:tcPr>
            <w:tcW w:w="662" w:type="pct"/>
            <w:tcBorders>
              <w:top w:val="single" w:sz="4" w:space="0" w:color="auto"/>
              <w:bottom w:val="single" w:sz="4" w:space="0" w:color="auto"/>
            </w:tcBorders>
            <w:shd w:val="clear" w:color="auto" w:fill="auto"/>
            <w:vAlign w:val="bottom"/>
          </w:tcPr>
          <w:p w14:paraId="36106F1A"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60,7</w:t>
            </w:r>
          </w:p>
        </w:tc>
        <w:tc>
          <w:tcPr>
            <w:tcW w:w="520" w:type="pct"/>
            <w:tcBorders>
              <w:top w:val="single" w:sz="4" w:space="0" w:color="auto"/>
              <w:bottom w:val="single" w:sz="4" w:space="0" w:color="auto"/>
            </w:tcBorders>
            <w:shd w:val="clear" w:color="auto" w:fill="auto"/>
            <w:vAlign w:val="bottom"/>
          </w:tcPr>
          <w:p w14:paraId="2F831163"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7,8</w:t>
            </w:r>
          </w:p>
        </w:tc>
      </w:tr>
      <w:tr w:rsidR="00D03A4F" w:rsidRPr="00FF5253" w14:paraId="39FED7E7" w14:textId="77777777" w:rsidTr="00944CB1">
        <w:trPr>
          <w:trHeight w:val="862"/>
        </w:trPr>
        <w:tc>
          <w:tcPr>
            <w:tcW w:w="848" w:type="pct"/>
            <w:tcBorders>
              <w:top w:val="single" w:sz="4" w:space="0" w:color="auto"/>
              <w:bottom w:val="single" w:sz="4" w:space="0" w:color="auto"/>
            </w:tcBorders>
            <w:shd w:val="clear" w:color="auto" w:fill="auto"/>
            <w:vAlign w:val="bottom"/>
          </w:tcPr>
          <w:p w14:paraId="4E67D680" w14:textId="77777777"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14:paraId="009CDC99"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4190</w:t>
            </w:r>
          </w:p>
        </w:tc>
        <w:tc>
          <w:tcPr>
            <w:tcW w:w="528" w:type="pct"/>
            <w:tcBorders>
              <w:top w:val="single" w:sz="4" w:space="0" w:color="auto"/>
              <w:bottom w:val="single" w:sz="4" w:space="0" w:color="auto"/>
            </w:tcBorders>
            <w:shd w:val="clear" w:color="auto" w:fill="auto"/>
            <w:vAlign w:val="bottom"/>
          </w:tcPr>
          <w:p w14:paraId="1CC782DF"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3957</w:t>
            </w:r>
          </w:p>
        </w:tc>
        <w:tc>
          <w:tcPr>
            <w:tcW w:w="582" w:type="pct"/>
            <w:tcBorders>
              <w:top w:val="single" w:sz="4" w:space="0" w:color="auto"/>
              <w:bottom w:val="single" w:sz="4" w:space="0" w:color="auto"/>
            </w:tcBorders>
            <w:shd w:val="clear" w:color="auto" w:fill="auto"/>
            <w:vAlign w:val="bottom"/>
          </w:tcPr>
          <w:p w14:paraId="2CF45BB6"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233</w:t>
            </w:r>
          </w:p>
        </w:tc>
        <w:tc>
          <w:tcPr>
            <w:tcW w:w="598" w:type="pct"/>
            <w:tcBorders>
              <w:top w:val="single" w:sz="4" w:space="0" w:color="auto"/>
              <w:bottom w:val="single" w:sz="4" w:space="0" w:color="auto"/>
            </w:tcBorders>
            <w:shd w:val="clear" w:color="auto" w:fill="auto"/>
            <w:vAlign w:val="bottom"/>
          </w:tcPr>
          <w:p w14:paraId="356F2B06"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1548</w:t>
            </w:r>
          </w:p>
        </w:tc>
        <w:tc>
          <w:tcPr>
            <w:tcW w:w="706" w:type="pct"/>
            <w:tcBorders>
              <w:top w:val="single" w:sz="4" w:space="0" w:color="auto"/>
              <w:bottom w:val="single" w:sz="4" w:space="0" w:color="auto"/>
            </w:tcBorders>
            <w:shd w:val="clear" w:color="auto" w:fill="auto"/>
            <w:vAlign w:val="bottom"/>
          </w:tcPr>
          <w:p w14:paraId="04D25578"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73,0</w:t>
            </w:r>
          </w:p>
        </w:tc>
        <w:tc>
          <w:tcPr>
            <w:tcW w:w="662" w:type="pct"/>
            <w:tcBorders>
              <w:top w:val="single" w:sz="4" w:space="0" w:color="auto"/>
              <w:bottom w:val="single" w:sz="4" w:space="0" w:color="auto"/>
            </w:tcBorders>
            <w:shd w:val="clear" w:color="auto" w:fill="auto"/>
            <w:vAlign w:val="bottom"/>
          </w:tcPr>
          <w:p w14:paraId="142594F1"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69,0</w:t>
            </w:r>
          </w:p>
        </w:tc>
        <w:tc>
          <w:tcPr>
            <w:tcW w:w="520" w:type="pct"/>
            <w:tcBorders>
              <w:top w:val="single" w:sz="4" w:space="0" w:color="auto"/>
              <w:bottom w:val="single" w:sz="4" w:space="0" w:color="auto"/>
            </w:tcBorders>
            <w:shd w:val="clear" w:color="auto" w:fill="auto"/>
            <w:vAlign w:val="bottom"/>
          </w:tcPr>
          <w:p w14:paraId="00CFABCF"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5,6</w:t>
            </w:r>
          </w:p>
        </w:tc>
      </w:tr>
      <w:tr w:rsidR="00D03A4F" w:rsidRPr="00FF5253" w14:paraId="46A6973F" w14:textId="77777777" w:rsidTr="00944CB1">
        <w:trPr>
          <w:trHeight w:val="255"/>
        </w:trPr>
        <w:tc>
          <w:tcPr>
            <w:tcW w:w="848" w:type="pct"/>
            <w:tcBorders>
              <w:top w:val="single" w:sz="4" w:space="0" w:color="auto"/>
              <w:bottom w:val="single" w:sz="4" w:space="0" w:color="auto"/>
            </w:tcBorders>
            <w:shd w:val="clear" w:color="auto" w:fill="auto"/>
            <w:vAlign w:val="bottom"/>
          </w:tcPr>
          <w:p w14:paraId="00AD7923" w14:textId="77777777"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Сельское население</w:t>
            </w:r>
          </w:p>
        </w:tc>
        <w:tc>
          <w:tcPr>
            <w:tcW w:w="556" w:type="pct"/>
            <w:tcBorders>
              <w:top w:val="single" w:sz="4" w:space="0" w:color="auto"/>
              <w:bottom w:val="single" w:sz="4" w:space="0" w:color="auto"/>
            </w:tcBorders>
            <w:shd w:val="clear" w:color="auto" w:fill="auto"/>
            <w:vAlign w:val="bottom"/>
          </w:tcPr>
          <w:p w14:paraId="1A0CE5D8"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14:paraId="7BDA56CC"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14:paraId="0240D8D2"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14:paraId="0CCAA02C"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14:paraId="546F6E16"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14:paraId="51DF1201"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14:paraId="75C2A0FA"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14:paraId="1D172D52" w14:textId="77777777" w:rsidTr="00944CB1">
        <w:trPr>
          <w:trHeight w:val="567"/>
        </w:trPr>
        <w:tc>
          <w:tcPr>
            <w:tcW w:w="848" w:type="pct"/>
            <w:tcBorders>
              <w:top w:val="single" w:sz="4" w:space="0" w:color="auto"/>
              <w:bottom w:val="single" w:sz="4" w:space="0" w:color="auto"/>
            </w:tcBorders>
            <w:shd w:val="clear" w:color="auto" w:fill="auto"/>
            <w:vAlign w:val="bottom"/>
          </w:tcPr>
          <w:p w14:paraId="0005329E" w14:textId="77777777"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14:paraId="62738BFF"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2978</w:t>
            </w:r>
          </w:p>
        </w:tc>
        <w:tc>
          <w:tcPr>
            <w:tcW w:w="528" w:type="pct"/>
            <w:tcBorders>
              <w:top w:val="single" w:sz="4" w:space="0" w:color="auto"/>
              <w:bottom w:val="single" w:sz="4" w:space="0" w:color="auto"/>
            </w:tcBorders>
            <w:shd w:val="clear" w:color="auto" w:fill="auto"/>
            <w:vAlign w:val="bottom"/>
          </w:tcPr>
          <w:p w14:paraId="05CEA31D"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2751</w:t>
            </w:r>
          </w:p>
        </w:tc>
        <w:tc>
          <w:tcPr>
            <w:tcW w:w="582" w:type="pct"/>
            <w:tcBorders>
              <w:top w:val="single" w:sz="4" w:space="0" w:color="auto"/>
              <w:bottom w:val="single" w:sz="4" w:space="0" w:color="auto"/>
            </w:tcBorders>
            <w:shd w:val="clear" w:color="auto" w:fill="auto"/>
            <w:vAlign w:val="bottom"/>
          </w:tcPr>
          <w:p w14:paraId="635438F8"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226</w:t>
            </w:r>
          </w:p>
        </w:tc>
        <w:tc>
          <w:tcPr>
            <w:tcW w:w="598" w:type="pct"/>
            <w:tcBorders>
              <w:top w:val="single" w:sz="4" w:space="0" w:color="auto"/>
              <w:bottom w:val="single" w:sz="4" w:space="0" w:color="auto"/>
            </w:tcBorders>
            <w:shd w:val="clear" w:color="auto" w:fill="auto"/>
            <w:vAlign w:val="bottom"/>
          </w:tcPr>
          <w:p w14:paraId="311A6D18"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825</w:t>
            </w:r>
          </w:p>
        </w:tc>
        <w:tc>
          <w:tcPr>
            <w:tcW w:w="706" w:type="pct"/>
            <w:tcBorders>
              <w:top w:val="single" w:sz="4" w:space="0" w:color="auto"/>
              <w:bottom w:val="single" w:sz="4" w:space="0" w:color="auto"/>
            </w:tcBorders>
            <w:shd w:val="clear" w:color="auto" w:fill="auto"/>
            <w:vAlign w:val="bottom"/>
          </w:tcPr>
          <w:p w14:paraId="5DD7F3E1"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78,3</w:t>
            </w:r>
          </w:p>
        </w:tc>
        <w:tc>
          <w:tcPr>
            <w:tcW w:w="662" w:type="pct"/>
            <w:tcBorders>
              <w:top w:val="single" w:sz="4" w:space="0" w:color="auto"/>
              <w:bottom w:val="single" w:sz="4" w:space="0" w:color="auto"/>
            </w:tcBorders>
            <w:shd w:val="clear" w:color="auto" w:fill="auto"/>
            <w:vAlign w:val="bottom"/>
          </w:tcPr>
          <w:p w14:paraId="40B3E77D"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72,4</w:t>
            </w:r>
          </w:p>
        </w:tc>
        <w:tc>
          <w:tcPr>
            <w:tcW w:w="520" w:type="pct"/>
            <w:tcBorders>
              <w:top w:val="single" w:sz="4" w:space="0" w:color="auto"/>
              <w:bottom w:val="single" w:sz="4" w:space="0" w:color="auto"/>
            </w:tcBorders>
            <w:shd w:val="clear" w:color="auto" w:fill="auto"/>
            <w:vAlign w:val="bottom"/>
          </w:tcPr>
          <w:p w14:paraId="50C47DB3"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7,6</w:t>
            </w:r>
          </w:p>
        </w:tc>
      </w:tr>
      <w:tr w:rsidR="00D03A4F" w:rsidRPr="00FF5253" w14:paraId="10B3A6AA" w14:textId="77777777" w:rsidTr="00944CB1">
        <w:trPr>
          <w:trHeight w:val="450"/>
        </w:trPr>
        <w:tc>
          <w:tcPr>
            <w:tcW w:w="848" w:type="pct"/>
            <w:tcBorders>
              <w:top w:val="single" w:sz="4" w:space="0" w:color="auto"/>
              <w:bottom w:val="single" w:sz="4" w:space="0" w:color="auto"/>
            </w:tcBorders>
            <w:shd w:val="clear" w:color="auto" w:fill="auto"/>
            <w:vAlign w:val="bottom"/>
          </w:tcPr>
          <w:p w14:paraId="1D326ED8" w14:textId="77777777"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14:paraId="32D315F5"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14:paraId="66FE2866"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14:paraId="3F60CD70"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14:paraId="7FB6093E"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14:paraId="058D7B46"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14:paraId="1FBEE7B3"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14:paraId="79CB8B80"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14:paraId="4460D6AD" w14:textId="77777777" w:rsidTr="00944CB1">
        <w:trPr>
          <w:trHeight w:val="255"/>
        </w:trPr>
        <w:tc>
          <w:tcPr>
            <w:tcW w:w="848" w:type="pct"/>
            <w:tcBorders>
              <w:top w:val="single" w:sz="4" w:space="0" w:color="auto"/>
              <w:bottom w:val="single" w:sz="4" w:space="0" w:color="auto"/>
            </w:tcBorders>
            <w:shd w:val="clear" w:color="auto" w:fill="auto"/>
            <w:vAlign w:val="bottom"/>
          </w:tcPr>
          <w:p w14:paraId="570D704B" w14:textId="77777777"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14:paraId="3999D15A"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1562</w:t>
            </w:r>
          </w:p>
        </w:tc>
        <w:tc>
          <w:tcPr>
            <w:tcW w:w="528" w:type="pct"/>
            <w:tcBorders>
              <w:top w:val="single" w:sz="4" w:space="0" w:color="auto"/>
              <w:bottom w:val="single" w:sz="4" w:space="0" w:color="auto"/>
            </w:tcBorders>
            <w:shd w:val="clear" w:color="auto" w:fill="auto"/>
            <w:vAlign w:val="bottom"/>
          </w:tcPr>
          <w:p w14:paraId="5D0136F2"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1462</w:t>
            </w:r>
          </w:p>
        </w:tc>
        <w:tc>
          <w:tcPr>
            <w:tcW w:w="582" w:type="pct"/>
            <w:tcBorders>
              <w:top w:val="single" w:sz="4" w:space="0" w:color="auto"/>
              <w:bottom w:val="single" w:sz="4" w:space="0" w:color="auto"/>
            </w:tcBorders>
            <w:shd w:val="clear" w:color="auto" w:fill="auto"/>
            <w:vAlign w:val="bottom"/>
          </w:tcPr>
          <w:p w14:paraId="12A5C62C"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100</w:t>
            </w:r>
          </w:p>
        </w:tc>
        <w:tc>
          <w:tcPr>
            <w:tcW w:w="598" w:type="pct"/>
            <w:tcBorders>
              <w:top w:val="single" w:sz="4" w:space="0" w:color="auto"/>
              <w:bottom w:val="single" w:sz="4" w:space="0" w:color="auto"/>
            </w:tcBorders>
            <w:shd w:val="clear" w:color="auto" w:fill="auto"/>
            <w:vAlign w:val="bottom"/>
          </w:tcPr>
          <w:p w14:paraId="7CB03ACE"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335</w:t>
            </w:r>
          </w:p>
        </w:tc>
        <w:tc>
          <w:tcPr>
            <w:tcW w:w="706" w:type="pct"/>
            <w:tcBorders>
              <w:top w:val="single" w:sz="4" w:space="0" w:color="auto"/>
              <w:bottom w:val="single" w:sz="4" w:space="0" w:color="auto"/>
            </w:tcBorders>
            <w:shd w:val="clear" w:color="auto" w:fill="auto"/>
            <w:vAlign w:val="bottom"/>
          </w:tcPr>
          <w:p w14:paraId="0FCCF337"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82,3</w:t>
            </w:r>
          </w:p>
        </w:tc>
        <w:tc>
          <w:tcPr>
            <w:tcW w:w="662" w:type="pct"/>
            <w:tcBorders>
              <w:top w:val="single" w:sz="4" w:space="0" w:color="auto"/>
              <w:bottom w:val="single" w:sz="4" w:space="0" w:color="auto"/>
            </w:tcBorders>
            <w:shd w:val="clear" w:color="auto" w:fill="auto"/>
            <w:vAlign w:val="bottom"/>
          </w:tcPr>
          <w:p w14:paraId="449B3A8E"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77,1</w:t>
            </w:r>
          </w:p>
        </w:tc>
        <w:tc>
          <w:tcPr>
            <w:tcW w:w="520" w:type="pct"/>
            <w:tcBorders>
              <w:top w:val="single" w:sz="4" w:space="0" w:color="auto"/>
              <w:bottom w:val="single" w:sz="4" w:space="0" w:color="auto"/>
            </w:tcBorders>
            <w:shd w:val="clear" w:color="auto" w:fill="auto"/>
            <w:vAlign w:val="bottom"/>
          </w:tcPr>
          <w:p w14:paraId="12222E8F"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6,4</w:t>
            </w:r>
          </w:p>
        </w:tc>
      </w:tr>
      <w:tr w:rsidR="00D03A4F" w:rsidRPr="00FF5253" w14:paraId="43294BA5" w14:textId="77777777" w:rsidTr="00944CB1">
        <w:trPr>
          <w:trHeight w:val="315"/>
        </w:trPr>
        <w:tc>
          <w:tcPr>
            <w:tcW w:w="848" w:type="pct"/>
            <w:tcBorders>
              <w:top w:val="single" w:sz="4" w:space="0" w:color="auto"/>
              <w:bottom w:val="single" w:sz="4" w:space="0" w:color="auto"/>
            </w:tcBorders>
            <w:shd w:val="clear" w:color="auto" w:fill="auto"/>
            <w:vAlign w:val="bottom"/>
          </w:tcPr>
          <w:p w14:paraId="52188390" w14:textId="77777777"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14:paraId="117C078D"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1046</w:t>
            </w:r>
          </w:p>
        </w:tc>
        <w:tc>
          <w:tcPr>
            <w:tcW w:w="528" w:type="pct"/>
            <w:tcBorders>
              <w:top w:val="single" w:sz="4" w:space="0" w:color="auto"/>
              <w:bottom w:val="single" w:sz="4" w:space="0" w:color="auto"/>
            </w:tcBorders>
            <w:shd w:val="clear" w:color="auto" w:fill="auto"/>
            <w:vAlign w:val="bottom"/>
          </w:tcPr>
          <w:p w14:paraId="5E3A76B3"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962</w:t>
            </w:r>
          </w:p>
        </w:tc>
        <w:tc>
          <w:tcPr>
            <w:tcW w:w="582" w:type="pct"/>
            <w:tcBorders>
              <w:top w:val="single" w:sz="4" w:space="0" w:color="auto"/>
              <w:bottom w:val="single" w:sz="4" w:space="0" w:color="auto"/>
            </w:tcBorders>
            <w:shd w:val="clear" w:color="auto" w:fill="auto"/>
            <w:vAlign w:val="bottom"/>
          </w:tcPr>
          <w:p w14:paraId="03E8A000"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84</w:t>
            </w:r>
          </w:p>
        </w:tc>
        <w:tc>
          <w:tcPr>
            <w:tcW w:w="598" w:type="pct"/>
            <w:tcBorders>
              <w:top w:val="single" w:sz="4" w:space="0" w:color="auto"/>
              <w:bottom w:val="single" w:sz="4" w:space="0" w:color="auto"/>
            </w:tcBorders>
            <w:shd w:val="clear" w:color="auto" w:fill="auto"/>
            <w:vAlign w:val="bottom"/>
          </w:tcPr>
          <w:p w14:paraId="0E4ED3DB"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296</w:t>
            </w:r>
          </w:p>
        </w:tc>
        <w:tc>
          <w:tcPr>
            <w:tcW w:w="706" w:type="pct"/>
            <w:tcBorders>
              <w:top w:val="single" w:sz="4" w:space="0" w:color="auto"/>
              <w:bottom w:val="single" w:sz="4" w:space="0" w:color="auto"/>
            </w:tcBorders>
            <w:shd w:val="clear" w:color="auto" w:fill="auto"/>
            <w:vAlign w:val="bottom"/>
          </w:tcPr>
          <w:p w14:paraId="0122205A"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77,9</w:t>
            </w:r>
          </w:p>
        </w:tc>
        <w:tc>
          <w:tcPr>
            <w:tcW w:w="662" w:type="pct"/>
            <w:tcBorders>
              <w:top w:val="single" w:sz="4" w:space="0" w:color="auto"/>
              <w:bottom w:val="single" w:sz="4" w:space="0" w:color="auto"/>
            </w:tcBorders>
            <w:shd w:val="clear" w:color="auto" w:fill="auto"/>
            <w:vAlign w:val="bottom"/>
          </w:tcPr>
          <w:p w14:paraId="153FBB1F"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71,7</w:t>
            </w:r>
          </w:p>
        </w:tc>
        <w:tc>
          <w:tcPr>
            <w:tcW w:w="520" w:type="pct"/>
            <w:tcBorders>
              <w:top w:val="single" w:sz="4" w:space="0" w:color="auto"/>
              <w:bottom w:val="single" w:sz="4" w:space="0" w:color="auto"/>
            </w:tcBorders>
            <w:shd w:val="clear" w:color="auto" w:fill="auto"/>
            <w:vAlign w:val="bottom"/>
          </w:tcPr>
          <w:p w14:paraId="48FA3DFF"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8,0</w:t>
            </w:r>
          </w:p>
        </w:tc>
      </w:tr>
      <w:tr w:rsidR="00D03A4F" w:rsidRPr="00FF5253" w14:paraId="51839E14" w14:textId="77777777" w:rsidTr="00944CB1">
        <w:trPr>
          <w:trHeight w:val="255"/>
        </w:trPr>
        <w:tc>
          <w:tcPr>
            <w:tcW w:w="848" w:type="pct"/>
            <w:tcBorders>
              <w:top w:val="single" w:sz="4" w:space="0" w:color="auto"/>
              <w:bottom w:val="single" w:sz="4" w:space="0" w:color="auto"/>
            </w:tcBorders>
            <w:shd w:val="clear" w:color="auto" w:fill="auto"/>
            <w:vAlign w:val="bottom"/>
          </w:tcPr>
          <w:p w14:paraId="2247DF98" w14:textId="77777777"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14:paraId="3A599E37"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370</w:t>
            </w:r>
          </w:p>
        </w:tc>
        <w:tc>
          <w:tcPr>
            <w:tcW w:w="528" w:type="pct"/>
            <w:tcBorders>
              <w:top w:val="single" w:sz="4" w:space="0" w:color="auto"/>
              <w:bottom w:val="single" w:sz="4" w:space="0" w:color="auto"/>
            </w:tcBorders>
            <w:shd w:val="clear" w:color="auto" w:fill="auto"/>
            <w:vAlign w:val="bottom"/>
          </w:tcPr>
          <w:p w14:paraId="1B176F36"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327</w:t>
            </w:r>
          </w:p>
        </w:tc>
        <w:tc>
          <w:tcPr>
            <w:tcW w:w="582" w:type="pct"/>
            <w:tcBorders>
              <w:top w:val="single" w:sz="4" w:space="0" w:color="auto"/>
              <w:bottom w:val="single" w:sz="4" w:space="0" w:color="auto"/>
            </w:tcBorders>
            <w:shd w:val="clear" w:color="auto" w:fill="auto"/>
            <w:vAlign w:val="bottom"/>
          </w:tcPr>
          <w:p w14:paraId="6D122C2D"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43</w:t>
            </w:r>
          </w:p>
        </w:tc>
        <w:tc>
          <w:tcPr>
            <w:tcW w:w="598" w:type="pct"/>
            <w:tcBorders>
              <w:top w:val="single" w:sz="4" w:space="0" w:color="auto"/>
              <w:bottom w:val="single" w:sz="4" w:space="0" w:color="auto"/>
            </w:tcBorders>
            <w:shd w:val="clear" w:color="auto" w:fill="auto"/>
            <w:vAlign w:val="bottom"/>
          </w:tcPr>
          <w:p w14:paraId="6D35B813"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194</w:t>
            </w:r>
          </w:p>
        </w:tc>
        <w:tc>
          <w:tcPr>
            <w:tcW w:w="706" w:type="pct"/>
            <w:tcBorders>
              <w:top w:val="single" w:sz="4" w:space="0" w:color="auto"/>
              <w:bottom w:val="single" w:sz="4" w:space="0" w:color="auto"/>
            </w:tcBorders>
            <w:shd w:val="clear" w:color="auto" w:fill="auto"/>
            <w:vAlign w:val="bottom"/>
          </w:tcPr>
          <w:p w14:paraId="40E3A950"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65,6</w:t>
            </w:r>
          </w:p>
        </w:tc>
        <w:tc>
          <w:tcPr>
            <w:tcW w:w="662" w:type="pct"/>
            <w:tcBorders>
              <w:top w:val="single" w:sz="4" w:space="0" w:color="auto"/>
              <w:bottom w:val="single" w:sz="4" w:space="0" w:color="auto"/>
            </w:tcBorders>
            <w:shd w:val="clear" w:color="auto" w:fill="auto"/>
            <w:vAlign w:val="bottom"/>
          </w:tcPr>
          <w:p w14:paraId="78E33801"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57,9</w:t>
            </w:r>
          </w:p>
        </w:tc>
        <w:tc>
          <w:tcPr>
            <w:tcW w:w="520" w:type="pct"/>
            <w:tcBorders>
              <w:top w:val="single" w:sz="4" w:space="0" w:color="auto"/>
              <w:bottom w:val="single" w:sz="4" w:space="0" w:color="auto"/>
            </w:tcBorders>
            <w:shd w:val="clear" w:color="auto" w:fill="auto"/>
            <w:vAlign w:val="bottom"/>
          </w:tcPr>
          <w:p w14:paraId="3FE86551"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11,6</w:t>
            </w:r>
          </w:p>
        </w:tc>
      </w:tr>
      <w:tr w:rsidR="00D03A4F" w:rsidRPr="00FF5253" w14:paraId="3D5A4531" w14:textId="77777777" w:rsidTr="00944CB1">
        <w:tc>
          <w:tcPr>
            <w:tcW w:w="848" w:type="pct"/>
            <w:tcBorders>
              <w:top w:val="single" w:sz="4" w:space="0" w:color="auto"/>
              <w:bottom w:val="single" w:sz="4" w:space="0" w:color="auto"/>
            </w:tcBorders>
            <w:shd w:val="clear" w:color="auto" w:fill="auto"/>
            <w:vAlign w:val="bottom"/>
          </w:tcPr>
          <w:p w14:paraId="4154544F" w14:textId="77777777"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14:paraId="5B333BE1"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1259</w:t>
            </w:r>
          </w:p>
        </w:tc>
        <w:tc>
          <w:tcPr>
            <w:tcW w:w="528" w:type="pct"/>
            <w:tcBorders>
              <w:top w:val="single" w:sz="4" w:space="0" w:color="auto"/>
              <w:bottom w:val="single" w:sz="4" w:space="0" w:color="auto"/>
            </w:tcBorders>
            <w:shd w:val="clear" w:color="auto" w:fill="auto"/>
            <w:vAlign w:val="bottom"/>
          </w:tcPr>
          <w:p w14:paraId="578D1721"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1136</w:t>
            </w:r>
          </w:p>
        </w:tc>
        <w:tc>
          <w:tcPr>
            <w:tcW w:w="582" w:type="pct"/>
            <w:tcBorders>
              <w:top w:val="single" w:sz="4" w:space="0" w:color="auto"/>
              <w:bottom w:val="single" w:sz="4" w:space="0" w:color="auto"/>
            </w:tcBorders>
            <w:shd w:val="clear" w:color="auto" w:fill="auto"/>
            <w:vAlign w:val="bottom"/>
          </w:tcPr>
          <w:p w14:paraId="5ABD3882"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123</w:t>
            </w:r>
          </w:p>
        </w:tc>
        <w:tc>
          <w:tcPr>
            <w:tcW w:w="598" w:type="pct"/>
            <w:tcBorders>
              <w:top w:val="single" w:sz="4" w:space="0" w:color="auto"/>
              <w:bottom w:val="single" w:sz="4" w:space="0" w:color="auto"/>
            </w:tcBorders>
            <w:shd w:val="clear" w:color="auto" w:fill="auto"/>
            <w:vAlign w:val="bottom"/>
          </w:tcPr>
          <w:p w14:paraId="282DC62B"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589</w:t>
            </w:r>
          </w:p>
        </w:tc>
        <w:tc>
          <w:tcPr>
            <w:tcW w:w="706" w:type="pct"/>
            <w:tcBorders>
              <w:top w:val="single" w:sz="4" w:space="0" w:color="auto"/>
              <w:bottom w:val="single" w:sz="4" w:space="0" w:color="auto"/>
            </w:tcBorders>
            <w:shd w:val="clear" w:color="auto" w:fill="auto"/>
            <w:vAlign w:val="bottom"/>
          </w:tcPr>
          <w:p w14:paraId="7F182B85"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68,1</w:t>
            </w:r>
          </w:p>
        </w:tc>
        <w:tc>
          <w:tcPr>
            <w:tcW w:w="662" w:type="pct"/>
            <w:tcBorders>
              <w:top w:val="single" w:sz="4" w:space="0" w:color="auto"/>
              <w:bottom w:val="single" w:sz="4" w:space="0" w:color="auto"/>
            </w:tcBorders>
            <w:shd w:val="clear" w:color="auto" w:fill="auto"/>
            <w:vAlign w:val="bottom"/>
          </w:tcPr>
          <w:p w14:paraId="5D4A8D98"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61,5</w:t>
            </w:r>
          </w:p>
        </w:tc>
        <w:tc>
          <w:tcPr>
            <w:tcW w:w="520" w:type="pct"/>
            <w:tcBorders>
              <w:top w:val="single" w:sz="4" w:space="0" w:color="auto"/>
              <w:bottom w:val="single" w:sz="4" w:space="0" w:color="auto"/>
            </w:tcBorders>
            <w:shd w:val="clear" w:color="auto" w:fill="auto"/>
            <w:vAlign w:val="bottom"/>
          </w:tcPr>
          <w:p w14:paraId="1026D8DD"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9,8</w:t>
            </w:r>
          </w:p>
        </w:tc>
      </w:tr>
      <w:tr w:rsidR="00D03A4F" w:rsidRPr="00FF5253" w14:paraId="3AE332A6" w14:textId="77777777" w:rsidTr="00944CB1">
        <w:trPr>
          <w:trHeight w:val="600"/>
        </w:trPr>
        <w:tc>
          <w:tcPr>
            <w:tcW w:w="5000" w:type="pct"/>
            <w:gridSpan w:val="8"/>
            <w:tcBorders>
              <w:top w:val="single" w:sz="4" w:space="0" w:color="auto"/>
              <w:bottom w:val="single" w:sz="4" w:space="0" w:color="auto"/>
            </w:tcBorders>
            <w:shd w:val="clear" w:color="auto" w:fill="auto"/>
            <w:vAlign w:val="center"/>
          </w:tcPr>
          <w:p w14:paraId="4B1D3766" w14:textId="77777777" w:rsidR="00D03A4F" w:rsidRPr="00FF5253" w:rsidRDefault="00D03A4F"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2019 г.</w:t>
            </w:r>
          </w:p>
        </w:tc>
      </w:tr>
      <w:tr w:rsidR="00D03A4F" w:rsidRPr="00FF5253" w14:paraId="23BBF8F7" w14:textId="77777777" w:rsidTr="00944CB1">
        <w:trPr>
          <w:trHeight w:val="255"/>
        </w:trPr>
        <w:tc>
          <w:tcPr>
            <w:tcW w:w="848" w:type="pct"/>
            <w:tcBorders>
              <w:top w:val="single" w:sz="4" w:space="0" w:color="auto"/>
              <w:bottom w:val="single" w:sz="4" w:space="0" w:color="auto"/>
            </w:tcBorders>
            <w:shd w:val="clear" w:color="auto" w:fill="auto"/>
          </w:tcPr>
          <w:p w14:paraId="391AE80A" w14:textId="77777777"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Всего</w:t>
            </w:r>
          </w:p>
        </w:tc>
        <w:tc>
          <w:tcPr>
            <w:tcW w:w="556" w:type="pct"/>
            <w:tcBorders>
              <w:top w:val="single" w:sz="4" w:space="0" w:color="auto"/>
              <w:bottom w:val="single" w:sz="4" w:space="0" w:color="auto"/>
            </w:tcBorders>
            <w:shd w:val="clear" w:color="auto" w:fill="auto"/>
          </w:tcPr>
          <w:p w14:paraId="5844AA63" w14:textId="77777777"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28" w:type="pct"/>
            <w:tcBorders>
              <w:top w:val="single" w:sz="4" w:space="0" w:color="auto"/>
              <w:bottom w:val="single" w:sz="4" w:space="0" w:color="auto"/>
            </w:tcBorders>
            <w:shd w:val="clear" w:color="auto" w:fill="auto"/>
          </w:tcPr>
          <w:p w14:paraId="5D49813D" w14:textId="77777777"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82" w:type="pct"/>
            <w:tcBorders>
              <w:top w:val="single" w:sz="4" w:space="0" w:color="auto"/>
              <w:bottom w:val="single" w:sz="4" w:space="0" w:color="auto"/>
            </w:tcBorders>
            <w:shd w:val="clear" w:color="auto" w:fill="auto"/>
          </w:tcPr>
          <w:p w14:paraId="67EFE2DD" w14:textId="77777777"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98" w:type="pct"/>
            <w:tcBorders>
              <w:top w:val="single" w:sz="4" w:space="0" w:color="auto"/>
              <w:bottom w:val="single" w:sz="4" w:space="0" w:color="auto"/>
            </w:tcBorders>
            <w:shd w:val="clear" w:color="auto" w:fill="auto"/>
          </w:tcPr>
          <w:p w14:paraId="78DF3317" w14:textId="77777777"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706" w:type="pct"/>
            <w:tcBorders>
              <w:top w:val="single" w:sz="4" w:space="0" w:color="auto"/>
              <w:bottom w:val="single" w:sz="4" w:space="0" w:color="auto"/>
            </w:tcBorders>
            <w:shd w:val="clear" w:color="auto" w:fill="auto"/>
          </w:tcPr>
          <w:p w14:paraId="25B7EE65" w14:textId="77777777"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662" w:type="pct"/>
            <w:tcBorders>
              <w:top w:val="single" w:sz="4" w:space="0" w:color="auto"/>
              <w:bottom w:val="single" w:sz="4" w:space="0" w:color="auto"/>
            </w:tcBorders>
            <w:shd w:val="clear" w:color="auto" w:fill="auto"/>
          </w:tcPr>
          <w:p w14:paraId="1C41680B" w14:textId="77777777"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c>
          <w:tcPr>
            <w:tcW w:w="520" w:type="pct"/>
            <w:tcBorders>
              <w:top w:val="single" w:sz="4" w:space="0" w:color="auto"/>
              <w:bottom w:val="single" w:sz="4" w:space="0" w:color="auto"/>
            </w:tcBorders>
            <w:shd w:val="clear" w:color="auto" w:fill="auto"/>
          </w:tcPr>
          <w:p w14:paraId="14412F30" w14:textId="77777777" w:rsidR="00D03A4F" w:rsidRPr="00FF5253" w:rsidRDefault="00D03A4F" w:rsidP="00D03A4F">
            <w:pPr>
              <w:widowControl w:val="0"/>
              <w:spacing w:after="0" w:line="240" w:lineRule="auto"/>
              <w:jc w:val="right"/>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 </w:t>
            </w:r>
          </w:p>
        </w:tc>
      </w:tr>
      <w:tr w:rsidR="00D03A4F" w:rsidRPr="00FF5253" w14:paraId="5DC140BE" w14:textId="77777777" w:rsidTr="00944CB1">
        <w:trPr>
          <w:trHeight w:val="567"/>
        </w:trPr>
        <w:tc>
          <w:tcPr>
            <w:tcW w:w="848" w:type="pct"/>
            <w:tcBorders>
              <w:top w:val="single" w:sz="4" w:space="0" w:color="auto"/>
              <w:bottom w:val="single" w:sz="4" w:space="0" w:color="auto"/>
            </w:tcBorders>
            <w:shd w:val="clear" w:color="auto" w:fill="auto"/>
            <w:vAlign w:val="bottom"/>
          </w:tcPr>
          <w:p w14:paraId="7D4ADBDE" w14:textId="77777777"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14:paraId="3BE1C012"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14066</w:t>
            </w:r>
          </w:p>
        </w:tc>
        <w:tc>
          <w:tcPr>
            <w:tcW w:w="528" w:type="pct"/>
            <w:tcBorders>
              <w:top w:val="single" w:sz="4" w:space="0" w:color="auto"/>
              <w:bottom w:val="single" w:sz="4" w:space="0" w:color="auto"/>
            </w:tcBorders>
            <w:shd w:val="clear" w:color="auto" w:fill="auto"/>
            <w:vAlign w:val="bottom"/>
          </w:tcPr>
          <w:p w14:paraId="5E924615"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13462</w:t>
            </w:r>
          </w:p>
        </w:tc>
        <w:tc>
          <w:tcPr>
            <w:tcW w:w="582" w:type="pct"/>
            <w:tcBorders>
              <w:top w:val="single" w:sz="4" w:space="0" w:color="auto"/>
              <w:bottom w:val="single" w:sz="4" w:space="0" w:color="auto"/>
            </w:tcBorders>
            <w:shd w:val="clear" w:color="auto" w:fill="auto"/>
            <w:vAlign w:val="bottom"/>
          </w:tcPr>
          <w:p w14:paraId="2C9781C6"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604</w:t>
            </w:r>
          </w:p>
        </w:tc>
        <w:tc>
          <w:tcPr>
            <w:tcW w:w="598" w:type="pct"/>
            <w:tcBorders>
              <w:top w:val="single" w:sz="4" w:space="0" w:color="auto"/>
              <w:bottom w:val="single" w:sz="4" w:space="0" w:color="auto"/>
            </w:tcBorders>
            <w:shd w:val="clear" w:color="auto" w:fill="auto"/>
            <w:vAlign w:val="bottom"/>
          </w:tcPr>
          <w:p w14:paraId="4B5A6338"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2891</w:t>
            </w:r>
          </w:p>
        </w:tc>
        <w:tc>
          <w:tcPr>
            <w:tcW w:w="706" w:type="pct"/>
            <w:tcBorders>
              <w:top w:val="single" w:sz="4" w:space="0" w:color="auto"/>
              <w:bottom w:val="single" w:sz="4" w:space="0" w:color="auto"/>
            </w:tcBorders>
            <w:shd w:val="clear" w:color="auto" w:fill="auto"/>
            <w:vAlign w:val="bottom"/>
          </w:tcPr>
          <w:p w14:paraId="659D3076"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83,0</w:t>
            </w:r>
          </w:p>
        </w:tc>
        <w:tc>
          <w:tcPr>
            <w:tcW w:w="662" w:type="pct"/>
            <w:tcBorders>
              <w:top w:val="single" w:sz="4" w:space="0" w:color="auto"/>
              <w:bottom w:val="single" w:sz="4" w:space="0" w:color="auto"/>
            </w:tcBorders>
            <w:shd w:val="clear" w:color="auto" w:fill="auto"/>
            <w:vAlign w:val="bottom"/>
          </w:tcPr>
          <w:p w14:paraId="5A5905E4"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79,4</w:t>
            </w:r>
          </w:p>
        </w:tc>
        <w:tc>
          <w:tcPr>
            <w:tcW w:w="520" w:type="pct"/>
            <w:tcBorders>
              <w:top w:val="single" w:sz="4" w:space="0" w:color="auto"/>
              <w:bottom w:val="single" w:sz="4" w:space="0" w:color="auto"/>
            </w:tcBorders>
            <w:shd w:val="clear" w:color="auto" w:fill="auto"/>
            <w:vAlign w:val="bottom"/>
          </w:tcPr>
          <w:p w14:paraId="2443F2AB"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4,3</w:t>
            </w:r>
          </w:p>
        </w:tc>
      </w:tr>
      <w:tr w:rsidR="00D03A4F" w:rsidRPr="00FF5253" w14:paraId="7D748C17" w14:textId="77777777" w:rsidTr="00944CB1">
        <w:trPr>
          <w:trHeight w:val="450"/>
        </w:trPr>
        <w:tc>
          <w:tcPr>
            <w:tcW w:w="848" w:type="pct"/>
            <w:tcBorders>
              <w:top w:val="single" w:sz="4" w:space="0" w:color="auto"/>
              <w:bottom w:val="single" w:sz="4" w:space="0" w:color="auto"/>
            </w:tcBorders>
            <w:shd w:val="clear" w:color="auto" w:fill="auto"/>
            <w:vAlign w:val="bottom"/>
          </w:tcPr>
          <w:p w14:paraId="59DDA2D2" w14:textId="77777777"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14:paraId="26BC3E6A"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14:paraId="1EB3201B"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14:paraId="58E37D1B"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14:paraId="2A4351B9"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14:paraId="73A2E2AC"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14:paraId="4ADED0BA"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14:paraId="60FA4D4E"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14:paraId="18E4934D" w14:textId="77777777" w:rsidTr="00944CB1">
        <w:trPr>
          <w:trHeight w:val="255"/>
        </w:trPr>
        <w:tc>
          <w:tcPr>
            <w:tcW w:w="848" w:type="pct"/>
            <w:tcBorders>
              <w:top w:val="single" w:sz="4" w:space="0" w:color="auto"/>
              <w:bottom w:val="single" w:sz="4" w:space="0" w:color="auto"/>
            </w:tcBorders>
            <w:shd w:val="clear" w:color="auto" w:fill="auto"/>
            <w:vAlign w:val="bottom"/>
          </w:tcPr>
          <w:p w14:paraId="7B2F37A0" w14:textId="77777777"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14:paraId="5D75FD45"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8723</w:t>
            </w:r>
          </w:p>
        </w:tc>
        <w:tc>
          <w:tcPr>
            <w:tcW w:w="528" w:type="pct"/>
            <w:tcBorders>
              <w:top w:val="single" w:sz="4" w:space="0" w:color="auto"/>
              <w:bottom w:val="single" w:sz="4" w:space="0" w:color="auto"/>
            </w:tcBorders>
            <w:shd w:val="clear" w:color="auto" w:fill="auto"/>
            <w:vAlign w:val="bottom"/>
          </w:tcPr>
          <w:p w14:paraId="12821B8F"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8412</w:t>
            </w:r>
          </w:p>
        </w:tc>
        <w:tc>
          <w:tcPr>
            <w:tcW w:w="582" w:type="pct"/>
            <w:tcBorders>
              <w:top w:val="single" w:sz="4" w:space="0" w:color="auto"/>
              <w:bottom w:val="single" w:sz="4" w:space="0" w:color="auto"/>
            </w:tcBorders>
            <w:shd w:val="clear" w:color="auto" w:fill="auto"/>
            <w:vAlign w:val="bottom"/>
          </w:tcPr>
          <w:p w14:paraId="2467E81C"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311</w:t>
            </w:r>
          </w:p>
        </w:tc>
        <w:tc>
          <w:tcPr>
            <w:tcW w:w="598" w:type="pct"/>
            <w:tcBorders>
              <w:top w:val="single" w:sz="4" w:space="0" w:color="auto"/>
              <w:bottom w:val="single" w:sz="4" w:space="0" w:color="auto"/>
            </w:tcBorders>
            <w:shd w:val="clear" w:color="auto" w:fill="auto"/>
            <w:vAlign w:val="bottom"/>
          </w:tcPr>
          <w:p w14:paraId="414045A0"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1328</w:t>
            </w:r>
          </w:p>
        </w:tc>
        <w:tc>
          <w:tcPr>
            <w:tcW w:w="706" w:type="pct"/>
            <w:tcBorders>
              <w:top w:val="single" w:sz="4" w:space="0" w:color="auto"/>
              <w:bottom w:val="single" w:sz="4" w:space="0" w:color="auto"/>
            </w:tcBorders>
            <w:shd w:val="clear" w:color="auto" w:fill="auto"/>
            <w:vAlign w:val="bottom"/>
          </w:tcPr>
          <w:p w14:paraId="59BBE197"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86,8</w:t>
            </w:r>
          </w:p>
        </w:tc>
        <w:tc>
          <w:tcPr>
            <w:tcW w:w="662" w:type="pct"/>
            <w:tcBorders>
              <w:top w:val="single" w:sz="4" w:space="0" w:color="auto"/>
              <w:bottom w:val="single" w:sz="4" w:space="0" w:color="auto"/>
            </w:tcBorders>
            <w:shd w:val="clear" w:color="auto" w:fill="auto"/>
            <w:vAlign w:val="bottom"/>
          </w:tcPr>
          <w:p w14:paraId="17CA4F3A"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83,7</w:t>
            </w:r>
          </w:p>
        </w:tc>
        <w:tc>
          <w:tcPr>
            <w:tcW w:w="520" w:type="pct"/>
            <w:tcBorders>
              <w:top w:val="single" w:sz="4" w:space="0" w:color="auto"/>
              <w:bottom w:val="single" w:sz="4" w:space="0" w:color="auto"/>
            </w:tcBorders>
            <w:shd w:val="clear" w:color="auto" w:fill="auto"/>
            <w:vAlign w:val="bottom"/>
          </w:tcPr>
          <w:p w14:paraId="474E10BA"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3,6</w:t>
            </w:r>
          </w:p>
        </w:tc>
      </w:tr>
      <w:tr w:rsidR="00D03A4F" w:rsidRPr="00FF5253" w14:paraId="5BE433B3" w14:textId="77777777" w:rsidTr="00944CB1">
        <w:trPr>
          <w:trHeight w:val="255"/>
        </w:trPr>
        <w:tc>
          <w:tcPr>
            <w:tcW w:w="848" w:type="pct"/>
            <w:tcBorders>
              <w:top w:val="single" w:sz="4" w:space="0" w:color="auto"/>
              <w:bottom w:val="single" w:sz="4" w:space="0" w:color="auto"/>
            </w:tcBorders>
            <w:shd w:val="clear" w:color="auto" w:fill="auto"/>
            <w:vAlign w:val="bottom"/>
          </w:tcPr>
          <w:p w14:paraId="13F3C1C0" w14:textId="77777777"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14:paraId="095C8EE3"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4394</w:t>
            </w:r>
          </w:p>
        </w:tc>
        <w:tc>
          <w:tcPr>
            <w:tcW w:w="528" w:type="pct"/>
            <w:tcBorders>
              <w:top w:val="single" w:sz="4" w:space="0" w:color="auto"/>
              <w:bottom w:val="single" w:sz="4" w:space="0" w:color="auto"/>
            </w:tcBorders>
            <w:shd w:val="clear" w:color="auto" w:fill="auto"/>
            <w:vAlign w:val="bottom"/>
          </w:tcPr>
          <w:p w14:paraId="3EE24D6B"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4182</w:t>
            </w:r>
          </w:p>
        </w:tc>
        <w:tc>
          <w:tcPr>
            <w:tcW w:w="582" w:type="pct"/>
            <w:tcBorders>
              <w:top w:val="single" w:sz="4" w:space="0" w:color="auto"/>
              <w:bottom w:val="single" w:sz="4" w:space="0" w:color="auto"/>
            </w:tcBorders>
            <w:shd w:val="clear" w:color="auto" w:fill="auto"/>
            <w:vAlign w:val="bottom"/>
          </w:tcPr>
          <w:p w14:paraId="0AC0C922"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211</w:t>
            </w:r>
          </w:p>
        </w:tc>
        <w:tc>
          <w:tcPr>
            <w:tcW w:w="598" w:type="pct"/>
            <w:tcBorders>
              <w:top w:val="single" w:sz="4" w:space="0" w:color="auto"/>
              <w:bottom w:val="single" w:sz="4" w:space="0" w:color="auto"/>
            </w:tcBorders>
            <w:shd w:val="clear" w:color="auto" w:fill="auto"/>
            <w:vAlign w:val="bottom"/>
          </w:tcPr>
          <w:p w14:paraId="20F0C6DD"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1062</w:t>
            </w:r>
          </w:p>
        </w:tc>
        <w:tc>
          <w:tcPr>
            <w:tcW w:w="706" w:type="pct"/>
            <w:tcBorders>
              <w:top w:val="single" w:sz="4" w:space="0" w:color="auto"/>
              <w:bottom w:val="single" w:sz="4" w:space="0" w:color="auto"/>
            </w:tcBorders>
            <w:shd w:val="clear" w:color="auto" w:fill="auto"/>
            <w:vAlign w:val="bottom"/>
          </w:tcPr>
          <w:p w14:paraId="5009D7E3"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80,5</w:t>
            </w:r>
          </w:p>
        </w:tc>
        <w:tc>
          <w:tcPr>
            <w:tcW w:w="662" w:type="pct"/>
            <w:tcBorders>
              <w:top w:val="single" w:sz="4" w:space="0" w:color="auto"/>
              <w:bottom w:val="single" w:sz="4" w:space="0" w:color="auto"/>
            </w:tcBorders>
            <w:shd w:val="clear" w:color="auto" w:fill="auto"/>
            <w:vAlign w:val="bottom"/>
          </w:tcPr>
          <w:p w14:paraId="24AC03DF"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76,7</w:t>
            </w:r>
          </w:p>
        </w:tc>
        <w:tc>
          <w:tcPr>
            <w:tcW w:w="520" w:type="pct"/>
            <w:tcBorders>
              <w:top w:val="single" w:sz="4" w:space="0" w:color="auto"/>
              <w:bottom w:val="single" w:sz="4" w:space="0" w:color="auto"/>
            </w:tcBorders>
            <w:shd w:val="clear" w:color="auto" w:fill="auto"/>
            <w:vAlign w:val="bottom"/>
          </w:tcPr>
          <w:p w14:paraId="761D44C5"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4,8</w:t>
            </w:r>
          </w:p>
        </w:tc>
      </w:tr>
      <w:tr w:rsidR="00D03A4F" w:rsidRPr="00FF5253" w14:paraId="04D35534" w14:textId="77777777" w:rsidTr="00944CB1">
        <w:trPr>
          <w:trHeight w:val="255"/>
        </w:trPr>
        <w:tc>
          <w:tcPr>
            <w:tcW w:w="848" w:type="pct"/>
            <w:tcBorders>
              <w:top w:val="single" w:sz="4" w:space="0" w:color="auto"/>
              <w:bottom w:val="single" w:sz="4" w:space="0" w:color="auto"/>
            </w:tcBorders>
            <w:shd w:val="clear" w:color="auto" w:fill="auto"/>
            <w:vAlign w:val="bottom"/>
          </w:tcPr>
          <w:p w14:paraId="5CA036DD" w14:textId="77777777"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14:paraId="09659827"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949</w:t>
            </w:r>
          </w:p>
        </w:tc>
        <w:tc>
          <w:tcPr>
            <w:tcW w:w="528" w:type="pct"/>
            <w:tcBorders>
              <w:top w:val="single" w:sz="4" w:space="0" w:color="auto"/>
              <w:bottom w:val="single" w:sz="4" w:space="0" w:color="auto"/>
            </w:tcBorders>
            <w:shd w:val="clear" w:color="auto" w:fill="auto"/>
            <w:vAlign w:val="bottom"/>
          </w:tcPr>
          <w:p w14:paraId="198AB7CF"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868</w:t>
            </w:r>
          </w:p>
        </w:tc>
        <w:tc>
          <w:tcPr>
            <w:tcW w:w="582" w:type="pct"/>
            <w:tcBorders>
              <w:top w:val="single" w:sz="4" w:space="0" w:color="auto"/>
              <w:bottom w:val="single" w:sz="4" w:space="0" w:color="auto"/>
            </w:tcBorders>
            <w:shd w:val="clear" w:color="auto" w:fill="auto"/>
            <w:vAlign w:val="bottom"/>
          </w:tcPr>
          <w:p w14:paraId="79BA370B"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82</w:t>
            </w:r>
          </w:p>
        </w:tc>
        <w:tc>
          <w:tcPr>
            <w:tcW w:w="598" w:type="pct"/>
            <w:tcBorders>
              <w:top w:val="single" w:sz="4" w:space="0" w:color="auto"/>
              <w:bottom w:val="single" w:sz="4" w:space="0" w:color="auto"/>
            </w:tcBorders>
            <w:shd w:val="clear" w:color="auto" w:fill="auto"/>
            <w:vAlign w:val="bottom"/>
          </w:tcPr>
          <w:p w14:paraId="77DE9FB2"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500</w:t>
            </w:r>
          </w:p>
        </w:tc>
        <w:tc>
          <w:tcPr>
            <w:tcW w:w="706" w:type="pct"/>
            <w:tcBorders>
              <w:top w:val="single" w:sz="4" w:space="0" w:color="auto"/>
              <w:bottom w:val="single" w:sz="4" w:space="0" w:color="auto"/>
            </w:tcBorders>
            <w:shd w:val="clear" w:color="auto" w:fill="auto"/>
            <w:vAlign w:val="bottom"/>
          </w:tcPr>
          <w:p w14:paraId="32A175DD"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65,5</w:t>
            </w:r>
          </w:p>
        </w:tc>
        <w:tc>
          <w:tcPr>
            <w:tcW w:w="662" w:type="pct"/>
            <w:tcBorders>
              <w:top w:val="single" w:sz="4" w:space="0" w:color="auto"/>
              <w:bottom w:val="single" w:sz="4" w:space="0" w:color="auto"/>
            </w:tcBorders>
            <w:shd w:val="clear" w:color="auto" w:fill="auto"/>
            <w:vAlign w:val="bottom"/>
          </w:tcPr>
          <w:p w14:paraId="77335F0C"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59,9</w:t>
            </w:r>
          </w:p>
        </w:tc>
        <w:tc>
          <w:tcPr>
            <w:tcW w:w="520" w:type="pct"/>
            <w:tcBorders>
              <w:top w:val="single" w:sz="4" w:space="0" w:color="auto"/>
              <w:bottom w:val="single" w:sz="4" w:space="0" w:color="auto"/>
            </w:tcBorders>
            <w:shd w:val="clear" w:color="auto" w:fill="auto"/>
            <w:vAlign w:val="bottom"/>
          </w:tcPr>
          <w:p w14:paraId="08D23F4E"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8,6</w:t>
            </w:r>
          </w:p>
        </w:tc>
      </w:tr>
      <w:tr w:rsidR="00D03A4F" w:rsidRPr="00FF5253" w14:paraId="571CC397" w14:textId="77777777" w:rsidTr="00944CB1">
        <w:tc>
          <w:tcPr>
            <w:tcW w:w="848" w:type="pct"/>
            <w:tcBorders>
              <w:top w:val="single" w:sz="4" w:space="0" w:color="auto"/>
              <w:bottom w:val="single" w:sz="4" w:space="0" w:color="auto"/>
            </w:tcBorders>
            <w:shd w:val="clear" w:color="auto" w:fill="auto"/>
            <w:vAlign w:val="bottom"/>
          </w:tcPr>
          <w:p w14:paraId="3A785268" w14:textId="77777777"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14:paraId="34FE2132"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5563</w:t>
            </w:r>
          </w:p>
        </w:tc>
        <w:tc>
          <w:tcPr>
            <w:tcW w:w="528" w:type="pct"/>
            <w:tcBorders>
              <w:top w:val="single" w:sz="4" w:space="0" w:color="auto"/>
              <w:bottom w:val="single" w:sz="4" w:space="0" w:color="auto"/>
            </w:tcBorders>
            <w:shd w:val="clear" w:color="auto" w:fill="auto"/>
            <w:vAlign w:val="bottom"/>
          </w:tcPr>
          <w:p w14:paraId="144C4499"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5242</w:t>
            </w:r>
          </w:p>
        </w:tc>
        <w:tc>
          <w:tcPr>
            <w:tcW w:w="582" w:type="pct"/>
            <w:tcBorders>
              <w:top w:val="single" w:sz="4" w:space="0" w:color="auto"/>
              <w:bottom w:val="single" w:sz="4" w:space="0" w:color="auto"/>
            </w:tcBorders>
            <w:shd w:val="clear" w:color="auto" w:fill="auto"/>
            <w:vAlign w:val="bottom"/>
          </w:tcPr>
          <w:p w14:paraId="4CF0555B"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321</w:t>
            </w:r>
          </w:p>
        </w:tc>
        <w:tc>
          <w:tcPr>
            <w:tcW w:w="598" w:type="pct"/>
            <w:tcBorders>
              <w:top w:val="single" w:sz="4" w:space="0" w:color="auto"/>
              <w:bottom w:val="single" w:sz="4" w:space="0" w:color="auto"/>
            </w:tcBorders>
            <w:shd w:val="clear" w:color="auto" w:fill="auto"/>
            <w:vAlign w:val="bottom"/>
          </w:tcPr>
          <w:p w14:paraId="3B07719B"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2212</w:t>
            </w:r>
          </w:p>
        </w:tc>
        <w:tc>
          <w:tcPr>
            <w:tcW w:w="706" w:type="pct"/>
            <w:tcBorders>
              <w:top w:val="single" w:sz="4" w:space="0" w:color="auto"/>
              <w:bottom w:val="single" w:sz="4" w:space="0" w:color="auto"/>
            </w:tcBorders>
            <w:shd w:val="clear" w:color="auto" w:fill="auto"/>
            <w:vAlign w:val="bottom"/>
          </w:tcPr>
          <w:p w14:paraId="279E1037"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71,6</w:t>
            </w:r>
          </w:p>
        </w:tc>
        <w:tc>
          <w:tcPr>
            <w:tcW w:w="662" w:type="pct"/>
            <w:tcBorders>
              <w:top w:val="single" w:sz="4" w:space="0" w:color="auto"/>
              <w:bottom w:val="single" w:sz="4" w:space="0" w:color="auto"/>
            </w:tcBorders>
            <w:shd w:val="clear" w:color="auto" w:fill="auto"/>
            <w:vAlign w:val="bottom"/>
          </w:tcPr>
          <w:p w14:paraId="75E0DDB4"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67,4</w:t>
            </w:r>
          </w:p>
        </w:tc>
        <w:tc>
          <w:tcPr>
            <w:tcW w:w="520" w:type="pct"/>
            <w:tcBorders>
              <w:top w:val="single" w:sz="4" w:space="0" w:color="auto"/>
              <w:bottom w:val="single" w:sz="4" w:space="0" w:color="auto"/>
            </w:tcBorders>
            <w:shd w:val="clear" w:color="auto" w:fill="auto"/>
            <w:vAlign w:val="bottom"/>
          </w:tcPr>
          <w:p w14:paraId="4EA6266B"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5,8</w:t>
            </w:r>
          </w:p>
        </w:tc>
      </w:tr>
      <w:tr w:rsidR="00D03A4F" w:rsidRPr="00FF5253" w14:paraId="32BBF559" w14:textId="77777777" w:rsidTr="00944CB1">
        <w:trPr>
          <w:trHeight w:val="255"/>
        </w:trPr>
        <w:tc>
          <w:tcPr>
            <w:tcW w:w="848" w:type="pct"/>
            <w:tcBorders>
              <w:top w:val="single" w:sz="4" w:space="0" w:color="auto"/>
              <w:bottom w:val="single" w:sz="4" w:space="0" w:color="auto"/>
            </w:tcBorders>
            <w:shd w:val="clear" w:color="auto" w:fill="auto"/>
            <w:vAlign w:val="bottom"/>
          </w:tcPr>
          <w:p w14:paraId="05886734" w14:textId="77777777"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Городское население</w:t>
            </w:r>
          </w:p>
        </w:tc>
        <w:tc>
          <w:tcPr>
            <w:tcW w:w="556" w:type="pct"/>
            <w:tcBorders>
              <w:top w:val="single" w:sz="4" w:space="0" w:color="auto"/>
              <w:bottom w:val="single" w:sz="4" w:space="0" w:color="auto"/>
            </w:tcBorders>
            <w:shd w:val="clear" w:color="auto" w:fill="auto"/>
            <w:vAlign w:val="bottom"/>
          </w:tcPr>
          <w:p w14:paraId="5CEBE638"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14:paraId="60EBD240"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14:paraId="51EDCE45"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14:paraId="2B0F11EC"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14:paraId="7C2F50F0"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14:paraId="3E410EF5"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14:paraId="60E7ABF0"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14:paraId="60E965FF" w14:textId="77777777" w:rsidTr="00944CB1">
        <w:trPr>
          <w:trHeight w:val="567"/>
        </w:trPr>
        <w:tc>
          <w:tcPr>
            <w:tcW w:w="848" w:type="pct"/>
            <w:tcBorders>
              <w:top w:val="single" w:sz="4" w:space="0" w:color="auto"/>
              <w:bottom w:val="single" w:sz="4" w:space="0" w:color="auto"/>
            </w:tcBorders>
            <w:shd w:val="clear" w:color="auto" w:fill="auto"/>
            <w:vAlign w:val="bottom"/>
          </w:tcPr>
          <w:p w14:paraId="6FC02508" w14:textId="77777777"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14:paraId="39598B9C"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11167</w:t>
            </w:r>
          </w:p>
        </w:tc>
        <w:tc>
          <w:tcPr>
            <w:tcW w:w="528" w:type="pct"/>
            <w:tcBorders>
              <w:top w:val="single" w:sz="4" w:space="0" w:color="auto"/>
              <w:bottom w:val="single" w:sz="4" w:space="0" w:color="auto"/>
            </w:tcBorders>
            <w:shd w:val="clear" w:color="auto" w:fill="auto"/>
            <w:vAlign w:val="bottom"/>
          </w:tcPr>
          <w:p w14:paraId="3B4DA222"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10752</w:t>
            </w:r>
          </w:p>
        </w:tc>
        <w:tc>
          <w:tcPr>
            <w:tcW w:w="582" w:type="pct"/>
            <w:tcBorders>
              <w:top w:val="single" w:sz="4" w:space="0" w:color="auto"/>
              <w:bottom w:val="single" w:sz="4" w:space="0" w:color="auto"/>
            </w:tcBorders>
            <w:shd w:val="clear" w:color="auto" w:fill="auto"/>
            <w:vAlign w:val="bottom"/>
          </w:tcPr>
          <w:p w14:paraId="2C51D09D"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415</w:t>
            </w:r>
          </w:p>
        </w:tc>
        <w:tc>
          <w:tcPr>
            <w:tcW w:w="598" w:type="pct"/>
            <w:tcBorders>
              <w:top w:val="single" w:sz="4" w:space="0" w:color="auto"/>
              <w:bottom w:val="single" w:sz="4" w:space="0" w:color="auto"/>
            </w:tcBorders>
            <w:shd w:val="clear" w:color="auto" w:fill="auto"/>
            <w:vAlign w:val="bottom"/>
          </w:tcPr>
          <w:p w14:paraId="59BCDDD7"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2047</w:t>
            </w:r>
          </w:p>
        </w:tc>
        <w:tc>
          <w:tcPr>
            <w:tcW w:w="706" w:type="pct"/>
            <w:tcBorders>
              <w:top w:val="single" w:sz="4" w:space="0" w:color="auto"/>
              <w:bottom w:val="single" w:sz="4" w:space="0" w:color="auto"/>
            </w:tcBorders>
            <w:shd w:val="clear" w:color="auto" w:fill="auto"/>
            <w:vAlign w:val="bottom"/>
          </w:tcPr>
          <w:p w14:paraId="3D9773E5"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84,5</w:t>
            </w:r>
          </w:p>
        </w:tc>
        <w:tc>
          <w:tcPr>
            <w:tcW w:w="662" w:type="pct"/>
            <w:tcBorders>
              <w:top w:val="single" w:sz="4" w:space="0" w:color="auto"/>
              <w:bottom w:val="single" w:sz="4" w:space="0" w:color="auto"/>
            </w:tcBorders>
            <w:shd w:val="clear" w:color="auto" w:fill="auto"/>
            <w:vAlign w:val="bottom"/>
          </w:tcPr>
          <w:p w14:paraId="7645FC84"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81,4</w:t>
            </w:r>
          </w:p>
        </w:tc>
        <w:tc>
          <w:tcPr>
            <w:tcW w:w="520" w:type="pct"/>
            <w:tcBorders>
              <w:top w:val="single" w:sz="4" w:space="0" w:color="auto"/>
              <w:bottom w:val="single" w:sz="4" w:space="0" w:color="auto"/>
            </w:tcBorders>
            <w:shd w:val="clear" w:color="auto" w:fill="auto"/>
            <w:vAlign w:val="bottom"/>
          </w:tcPr>
          <w:p w14:paraId="75F55C78"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3,7</w:t>
            </w:r>
          </w:p>
        </w:tc>
      </w:tr>
      <w:tr w:rsidR="00D03A4F" w:rsidRPr="00FF5253" w14:paraId="02665DFC" w14:textId="77777777" w:rsidTr="00944CB1">
        <w:trPr>
          <w:trHeight w:val="450"/>
        </w:trPr>
        <w:tc>
          <w:tcPr>
            <w:tcW w:w="848" w:type="pct"/>
            <w:tcBorders>
              <w:top w:val="single" w:sz="4" w:space="0" w:color="auto"/>
              <w:bottom w:val="single" w:sz="4" w:space="0" w:color="auto"/>
            </w:tcBorders>
            <w:shd w:val="clear" w:color="auto" w:fill="auto"/>
            <w:vAlign w:val="bottom"/>
          </w:tcPr>
          <w:p w14:paraId="74FAD1F5" w14:textId="77777777"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14:paraId="55559A8A"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14:paraId="501687C2"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14:paraId="0B62FF56"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14:paraId="6FEA4242"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14:paraId="08FCCAC7"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14:paraId="64FBDDE0"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14:paraId="2D7BD350"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14:paraId="6838235C" w14:textId="77777777" w:rsidTr="00944CB1">
        <w:trPr>
          <w:trHeight w:val="255"/>
        </w:trPr>
        <w:tc>
          <w:tcPr>
            <w:tcW w:w="848" w:type="pct"/>
            <w:tcBorders>
              <w:top w:val="single" w:sz="4" w:space="0" w:color="auto"/>
              <w:bottom w:val="single" w:sz="4" w:space="0" w:color="auto"/>
            </w:tcBorders>
            <w:shd w:val="clear" w:color="auto" w:fill="auto"/>
            <w:vAlign w:val="bottom"/>
          </w:tcPr>
          <w:p w14:paraId="2C304FAF" w14:textId="77777777"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14:paraId="546DBCD3"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7217</w:t>
            </w:r>
          </w:p>
        </w:tc>
        <w:tc>
          <w:tcPr>
            <w:tcW w:w="528" w:type="pct"/>
            <w:tcBorders>
              <w:top w:val="single" w:sz="4" w:space="0" w:color="auto"/>
              <w:bottom w:val="single" w:sz="4" w:space="0" w:color="auto"/>
            </w:tcBorders>
            <w:shd w:val="clear" w:color="auto" w:fill="auto"/>
            <w:vAlign w:val="bottom"/>
          </w:tcPr>
          <w:p w14:paraId="10F1C9BD"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6983</w:t>
            </w:r>
          </w:p>
        </w:tc>
        <w:tc>
          <w:tcPr>
            <w:tcW w:w="582" w:type="pct"/>
            <w:tcBorders>
              <w:top w:val="single" w:sz="4" w:space="0" w:color="auto"/>
              <w:bottom w:val="single" w:sz="4" w:space="0" w:color="auto"/>
            </w:tcBorders>
            <w:shd w:val="clear" w:color="auto" w:fill="auto"/>
            <w:vAlign w:val="bottom"/>
          </w:tcPr>
          <w:p w14:paraId="26D51E65"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234</w:t>
            </w:r>
          </w:p>
        </w:tc>
        <w:tc>
          <w:tcPr>
            <w:tcW w:w="598" w:type="pct"/>
            <w:tcBorders>
              <w:top w:val="single" w:sz="4" w:space="0" w:color="auto"/>
              <w:bottom w:val="single" w:sz="4" w:space="0" w:color="auto"/>
            </w:tcBorders>
            <w:shd w:val="clear" w:color="auto" w:fill="auto"/>
            <w:vAlign w:val="bottom"/>
          </w:tcPr>
          <w:p w14:paraId="58FBCE26"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1002</w:t>
            </w:r>
          </w:p>
        </w:tc>
        <w:tc>
          <w:tcPr>
            <w:tcW w:w="706" w:type="pct"/>
            <w:tcBorders>
              <w:top w:val="single" w:sz="4" w:space="0" w:color="auto"/>
              <w:bottom w:val="single" w:sz="4" w:space="0" w:color="auto"/>
            </w:tcBorders>
            <w:shd w:val="clear" w:color="auto" w:fill="auto"/>
            <w:vAlign w:val="bottom"/>
          </w:tcPr>
          <w:p w14:paraId="4F207041"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87,8</w:t>
            </w:r>
          </w:p>
        </w:tc>
        <w:tc>
          <w:tcPr>
            <w:tcW w:w="662" w:type="pct"/>
            <w:tcBorders>
              <w:top w:val="single" w:sz="4" w:space="0" w:color="auto"/>
              <w:bottom w:val="single" w:sz="4" w:space="0" w:color="auto"/>
            </w:tcBorders>
            <w:shd w:val="clear" w:color="auto" w:fill="auto"/>
            <w:vAlign w:val="bottom"/>
          </w:tcPr>
          <w:p w14:paraId="2A7F4F65"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85,0</w:t>
            </w:r>
          </w:p>
        </w:tc>
        <w:tc>
          <w:tcPr>
            <w:tcW w:w="520" w:type="pct"/>
            <w:tcBorders>
              <w:top w:val="single" w:sz="4" w:space="0" w:color="auto"/>
              <w:bottom w:val="single" w:sz="4" w:space="0" w:color="auto"/>
            </w:tcBorders>
            <w:shd w:val="clear" w:color="auto" w:fill="auto"/>
            <w:vAlign w:val="bottom"/>
          </w:tcPr>
          <w:p w14:paraId="7115B11A"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3,2</w:t>
            </w:r>
          </w:p>
        </w:tc>
      </w:tr>
      <w:tr w:rsidR="00D03A4F" w:rsidRPr="00FF5253" w14:paraId="1479948C" w14:textId="77777777" w:rsidTr="00944CB1">
        <w:trPr>
          <w:trHeight w:val="255"/>
        </w:trPr>
        <w:tc>
          <w:tcPr>
            <w:tcW w:w="848" w:type="pct"/>
            <w:tcBorders>
              <w:top w:val="single" w:sz="4" w:space="0" w:color="auto"/>
              <w:bottom w:val="single" w:sz="4" w:space="0" w:color="auto"/>
            </w:tcBorders>
            <w:shd w:val="clear" w:color="auto" w:fill="auto"/>
            <w:vAlign w:val="bottom"/>
          </w:tcPr>
          <w:p w14:paraId="4CB1766F" w14:textId="77777777"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14:paraId="4F195D62"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3369</w:t>
            </w:r>
          </w:p>
        </w:tc>
        <w:tc>
          <w:tcPr>
            <w:tcW w:w="528" w:type="pct"/>
            <w:tcBorders>
              <w:top w:val="single" w:sz="4" w:space="0" w:color="auto"/>
              <w:bottom w:val="single" w:sz="4" w:space="0" w:color="auto"/>
            </w:tcBorders>
            <w:shd w:val="clear" w:color="auto" w:fill="auto"/>
            <w:vAlign w:val="bottom"/>
          </w:tcPr>
          <w:p w14:paraId="1B20695F"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3229</w:t>
            </w:r>
          </w:p>
        </w:tc>
        <w:tc>
          <w:tcPr>
            <w:tcW w:w="582" w:type="pct"/>
            <w:tcBorders>
              <w:top w:val="single" w:sz="4" w:space="0" w:color="auto"/>
              <w:bottom w:val="single" w:sz="4" w:space="0" w:color="auto"/>
            </w:tcBorders>
            <w:shd w:val="clear" w:color="auto" w:fill="auto"/>
            <w:vAlign w:val="bottom"/>
          </w:tcPr>
          <w:p w14:paraId="45772326"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140</w:t>
            </w:r>
          </w:p>
        </w:tc>
        <w:tc>
          <w:tcPr>
            <w:tcW w:w="598" w:type="pct"/>
            <w:tcBorders>
              <w:top w:val="single" w:sz="4" w:space="0" w:color="auto"/>
              <w:bottom w:val="single" w:sz="4" w:space="0" w:color="auto"/>
            </w:tcBorders>
            <w:shd w:val="clear" w:color="auto" w:fill="auto"/>
            <w:vAlign w:val="bottom"/>
          </w:tcPr>
          <w:p w14:paraId="068C4725"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760</w:t>
            </w:r>
          </w:p>
        </w:tc>
        <w:tc>
          <w:tcPr>
            <w:tcW w:w="706" w:type="pct"/>
            <w:tcBorders>
              <w:top w:val="single" w:sz="4" w:space="0" w:color="auto"/>
              <w:bottom w:val="single" w:sz="4" w:space="0" w:color="auto"/>
            </w:tcBorders>
            <w:shd w:val="clear" w:color="auto" w:fill="auto"/>
            <w:vAlign w:val="bottom"/>
          </w:tcPr>
          <w:p w14:paraId="4E91FDDA"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81,6</w:t>
            </w:r>
          </w:p>
        </w:tc>
        <w:tc>
          <w:tcPr>
            <w:tcW w:w="662" w:type="pct"/>
            <w:tcBorders>
              <w:top w:val="single" w:sz="4" w:space="0" w:color="auto"/>
              <w:bottom w:val="single" w:sz="4" w:space="0" w:color="auto"/>
            </w:tcBorders>
            <w:shd w:val="clear" w:color="auto" w:fill="auto"/>
            <w:vAlign w:val="bottom"/>
          </w:tcPr>
          <w:p w14:paraId="51C482DD"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78,2</w:t>
            </w:r>
          </w:p>
        </w:tc>
        <w:tc>
          <w:tcPr>
            <w:tcW w:w="520" w:type="pct"/>
            <w:tcBorders>
              <w:top w:val="single" w:sz="4" w:space="0" w:color="auto"/>
              <w:bottom w:val="single" w:sz="4" w:space="0" w:color="auto"/>
            </w:tcBorders>
            <w:shd w:val="clear" w:color="auto" w:fill="auto"/>
            <w:vAlign w:val="bottom"/>
          </w:tcPr>
          <w:p w14:paraId="7ADD3CFC"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4,2</w:t>
            </w:r>
          </w:p>
        </w:tc>
      </w:tr>
      <w:tr w:rsidR="00D03A4F" w:rsidRPr="00FF5253" w14:paraId="276389A7" w14:textId="77777777" w:rsidTr="00944CB1">
        <w:trPr>
          <w:trHeight w:val="255"/>
        </w:trPr>
        <w:tc>
          <w:tcPr>
            <w:tcW w:w="848" w:type="pct"/>
            <w:tcBorders>
              <w:top w:val="single" w:sz="4" w:space="0" w:color="auto"/>
              <w:bottom w:val="single" w:sz="4" w:space="0" w:color="auto"/>
            </w:tcBorders>
            <w:shd w:val="clear" w:color="auto" w:fill="auto"/>
            <w:vAlign w:val="bottom"/>
          </w:tcPr>
          <w:p w14:paraId="17448239" w14:textId="77777777"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14:paraId="3A44837F"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580</w:t>
            </w:r>
          </w:p>
        </w:tc>
        <w:tc>
          <w:tcPr>
            <w:tcW w:w="528" w:type="pct"/>
            <w:tcBorders>
              <w:top w:val="single" w:sz="4" w:space="0" w:color="auto"/>
              <w:bottom w:val="single" w:sz="4" w:space="0" w:color="auto"/>
            </w:tcBorders>
            <w:shd w:val="clear" w:color="auto" w:fill="auto"/>
            <w:vAlign w:val="bottom"/>
          </w:tcPr>
          <w:p w14:paraId="71758137"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540</w:t>
            </w:r>
          </w:p>
        </w:tc>
        <w:tc>
          <w:tcPr>
            <w:tcW w:w="582" w:type="pct"/>
            <w:tcBorders>
              <w:top w:val="single" w:sz="4" w:space="0" w:color="auto"/>
              <w:bottom w:val="single" w:sz="4" w:space="0" w:color="auto"/>
            </w:tcBorders>
            <w:shd w:val="clear" w:color="auto" w:fill="auto"/>
            <w:vAlign w:val="bottom"/>
          </w:tcPr>
          <w:p w14:paraId="43EB1244"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40</w:t>
            </w:r>
          </w:p>
        </w:tc>
        <w:tc>
          <w:tcPr>
            <w:tcW w:w="598" w:type="pct"/>
            <w:tcBorders>
              <w:top w:val="single" w:sz="4" w:space="0" w:color="auto"/>
              <w:bottom w:val="single" w:sz="4" w:space="0" w:color="auto"/>
            </w:tcBorders>
            <w:shd w:val="clear" w:color="auto" w:fill="auto"/>
            <w:vAlign w:val="bottom"/>
          </w:tcPr>
          <w:p w14:paraId="2C289B23"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285</w:t>
            </w:r>
          </w:p>
        </w:tc>
        <w:tc>
          <w:tcPr>
            <w:tcW w:w="706" w:type="pct"/>
            <w:tcBorders>
              <w:top w:val="single" w:sz="4" w:space="0" w:color="auto"/>
              <w:bottom w:val="single" w:sz="4" w:space="0" w:color="auto"/>
            </w:tcBorders>
            <w:shd w:val="clear" w:color="auto" w:fill="auto"/>
            <w:vAlign w:val="bottom"/>
          </w:tcPr>
          <w:p w14:paraId="2CD45ECA"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67,1</w:t>
            </w:r>
          </w:p>
        </w:tc>
        <w:tc>
          <w:tcPr>
            <w:tcW w:w="662" w:type="pct"/>
            <w:tcBorders>
              <w:top w:val="single" w:sz="4" w:space="0" w:color="auto"/>
              <w:bottom w:val="single" w:sz="4" w:space="0" w:color="auto"/>
            </w:tcBorders>
            <w:shd w:val="clear" w:color="auto" w:fill="auto"/>
            <w:vAlign w:val="bottom"/>
          </w:tcPr>
          <w:p w14:paraId="6A453363"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62,4</w:t>
            </w:r>
          </w:p>
        </w:tc>
        <w:tc>
          <w:tcPr>
            <w:tcW w:w="520" w:type="pct"/>
            <w:tcBorders>
              <w:top w:val="single" w:sz="4" w:space="0" w:color="auto"/>
              <w:bottom w:val="single" w:sz="4" w:space="0" w:color="auto"/>
            </w:tcBorders>
            <w:shd w:val="clear" w:color="auto" w:fill="auto"/>
            <w:vAlign w:val="bottom"/>
          </w:tcPr>
          <w:p w14:paraId="7BD14C28"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7,0</w:t>
            </w:r>
          </w:p>
        </w:tc>
      </w:tr>
      <w:tr w:rsidR="00D03A4F" w:rsidRPr="00FF5253" w14:paraId="21DC1FCF" w14:textId="77777777" w:rsidTr="00944CB1">
        <w:tc>
          <w:tcPr>
            <w:tcW w:w="848" w:type="pct"/>
            <w:tcBorders>
              <w:top w:val="single" w:sz="4" w:space="0" w:color="auto"/>
              <w:bottom w:val="single" w:sz="4" w:space="0" w:color="auto"/>
            </w:tcBorders>
            <w:shd w:val="clear" w:color="auto" w:fill="auto"/>
            <w:vAlign w:val="bottom"/>
          </w:tcPr>
          <w:p w14:paraId="30A48D88" w14:textId="77777777"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14:paraId="33D66749"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4372</w:t>
            </w:r>
          </w:p>
        </w:tc>
        <w:tc>
          <w:tcPr>
            <w:tcW w:w="528" w:type="pct"/>
            <w:tcBorders>
              <w:top w:val="single" w:sz="4" w:space="0" w:color="auto"/>
              <w:bottom w:val="single" w:sz="4" w:space="0" w:color="auto"/>
            </w:tcBorders>
            <w:shd w:val="clear" w:color="auto" w:fill="auto"/>
            <w:vAlign w:val="bottom"/>
          </w:tcPr>
          <w:p w14:paraId="43451CEF"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4150</w:t>
            </w:r>
          </w:p>
        </w:tc>
        <w:tc>
          <w:tcPr>
            <w:tcW w:w="582" w:type="pct"/>
            <w:tcBorders>
              <w:top w:val="single" w:sz="4" w:space="0" w:color="auto"/>
              <w:bottom w:val="single" w:sz="4" w:space="0" w:color="auto"/>
            </w:tcBorders>
            <w:shd w:val="clear" w:color="auto" w:fill="auto"/>
            <w:vAlign w:val="bottom"/>
          </w:tcPr>
          <w:p w14:paraId="4D73C641"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222</w:t>
            </w:r>
          </w:p>
        </w:tc>
        <w:tc>
          <w:tcPr>
            <w:tcW w:w="598" w:type="pct"/>
            <w:tcBorders>
              <w:top w:val="single" w:sz="4" w:space="0" w:color="auto"/>
              <w:bottom w:val="single" w:sz="4" w:space="0" w:color="auto"/>
            </w:tcBorders>
            <w:shd w:val="clear" w:color="auto" w:fill="auto"/>
            <w:vAlign w:val="bottom"/>
          </w:tcPr>
          <w:p w14:paraId="6D8985C0"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1617</w:t>
            </w:r>
          </w:p>
        </w:tc>
        <w:tc>
          <w:tcPr>
            <w:tcW w:w="706" w:type="pct"/>
            <w:tcBorders>
              <w:top w:val="single" w:sz="4" w:space="0" w:color="auto"/>
              <w:bottom w:val="single" w:sz="4" w:space="0" w:color="auto"/>
            </w:tcBorders>
            <w:shd w:val="clear" w:color="auto" w:fill="auto"/>
            <w:vAlign w:val="bottom"/>
          </w:tcPr>
          <w:p w14:paraId="4FDD044B"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73,0</w:t>
            </w:r>
          </w:p>
        </w:tc>
        <w:tc>
          <w:tcPr>
            <w:tcW w:w="662" w:type="pct"/>
            <w:tcBorders>
              <w:top w:val="single" w:sz="4" w:space="0" w:color="auto"/>
              <w:bottom w:val="single" w:sz="4" w:space="0" w:color="auto"/>
            </w:tcBorders>
            <w:shd w:val="clear" w:color="auto" w:fill="auto"/>
            <w:vAlign w:val="bottom"/>
          </w:tcPr>
          <w:p w14:paraId="6CFAA0A9"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69,3</w:t>
            </w:r>
          </w:p>
        </w:tc>
        <w:tc>
          <w:tcPr>
            <w:tcW w:w="520" w:type="pct"/>
            <w:tcBorders>
              <w:top w:val="single" w:sz="4" w:space="0" w:color="auto"/>
              <w:bottom w:val="single" w:sz="4" w:space="0" w:color="auto"/>
            </w:tcBorders>
            <w:shd w:val="clear" w:color="auto" w:fill="auto"/>
            <w:vAlign w:val="bottom"/>
          </w:tcPr>
          <w:p w14:paraId="65F2776B"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5,1</w:t>
            </w:r>
          </w:p>
        </w:tc>
      </w:tr>
      <w:tr w:rsidR="00D03A4F" w:rsidRPr="00FF5253" w14:paraId="699943DA" w14:textId="77777777" w:rsidTr="00944CB1">
        <w:trPr>
          <w:trHeight w:val="255"/>
        </w:trPr>
        <w:tc>
          <w:tcPr>
            <w:tcW w:w="848" w:type="pct"/>
            <w:tcBorders>
              <w:top w:val="single" w:sz="4" w:space="0" w:color="auto"/>
              <w:bottom w:val="single" w:sz="4" w:space="0" w:color="auto"/>
            </w:tcBorders>
            <w:shd w:val="clear" w:color="auto" w:fill="auto"/>
            <w:vAlign w:val="bottom"/>
          </w:tcPr>
          <w:p w14:paraId="14BD1D2C" w14:textId="77777777"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Сельское население</w:t>
            </w:r>
          </w:p>
        </w:tc>
        <w:tc>
          <w:tcPr>
            <w:tcW w:w="556" w:type="pct"/>
            <w:tcBorders>
              <w:top w:val="single" w:sz="4" w:space="0" w:color="auto"/>
              <w:bottom w:val="single" w:sz="4" w:space="0" w:color="auto"/>
            </w:tcBorders>
            <w:shd w:val="clear" w:color="auto" w:fill="auto"/>
            <w:vAlign w:val="bottom"/>
          </w:tcPr>
          <w:p w14:paraId="3614D3B6"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14:paraId="580AC5D5"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14:paraId="3054589E"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14:paraId="2ED86FE1"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14:paraId="4048D358"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14:paraId="44E0B12F"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14:paraId="7AFA2639"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14:paraId="01027074" w14:textId="77777777" w:rsidTr="00944CB1">
        <w:trPr>
          <w:trHeight w:val="567"/>
        </w:trPr>
        <w:tc>
          <w:tcPr>
            <w:tcW w:w="848" w:type="pct"/>
            <w:tcBorders>
              <w:top w:val="single" w:sz="4" w:space="0" w:color="auto"/>
              <w:bottom w:val="single" w:sz="4" w:space="0" w:color="auto"/>
            </w:tcBorders>
            <w:shd w:val="clear" w:color="auto" w:fill="auto"/>
            <w:vAlign w:val="bottom"/>
          </w:tcPr>
          <w:p w14:paraId="37CCF8CF" w14:textId="77777777"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14:paraId="4D71E548"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2899</w:t>
            </w:r>
          </w:p>
        </w:tc>
        <w:tc>
          <w:tcPr>
            <w:tcW w:w="528" w:type="pct"/>
            <w:tcBorders>
              <w:top w:val="single" w:sz="4" w:space="0" w:color="auto"/>
              <w:bottom w:val="single" w:sz="4" w:space="0" w:color="auto"/>
            </w:tcBorders>
            <w:shd w:val="clear" w:color="auto" w:fill="auto"/>
            <w:vAlign w:val="bottom"/>
          </w:tcPr>
          <w:p w14:paraId="2575CAF5"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2710</w:t>
            </w:r>
          </w:p>
        </w:tc>
        <w:tc>
          <w:tcPr>
            <w:tcW w:w="582" w:type="pct"/>
            <w:tcBorders>
              <w:top w:val="single" w:sz="4" w:space="0" w:color="auto"/>
              <w:bottom w:val="single" w:sz="4" w:space="0" w:color="auto"/>
            </w:tcBorders>
            <w:shd w:val="clear" w:color="auto" w:fill="auto"/>
            <w:vAlign w:val="bottom"/>
          </w:tcPr>
          <w:p w14:paraId="32F7DDA4"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189</w:t>
            </w:r>
          </w:p>
        </w:tc>
        <w:tc>
          <w:tcPr>
            <w:tcW w:w="598" w:type="pct"/>
            <w:tcBorders>
              <w:top w:val="single" w:sz="4" w:space="0" w:color="auto"/>
              <w:bottom w:val="single" w:sz="4" w:space="0" w:color="auto"/>
            </w:tcBorders>
            <w:shd w:val="clear" w:color="auto" w:fill="auto"/>
            <w:vAlign w:val="bottom"/>
          </w:tcPr>
          <w:p w14:paraId="69FE9EBD"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844</w:t>
            </w:r>
          </w:p>
        </w:tc>
        <w:tc>
          <w:tcPr>
            <w:tcW w:w="706" w:type="pct"/>
            <w:tcBorders>
              <w:top w:val="single" w:sz="4" w:space="0" w:color="auto"/>
              <w:bottom w:val="single" w:sz="4" w:space="0" w:color="auto"/>
            </w:tcBorders>
            <w:shd w:val="clear" w:color="auto" w:fill="auto"/>
            <w:vAlign w:val="bottom"/>
          </w:tcPr>
          <w:p w14:paraId="681CA168"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77,5</w:t>
            </w:r>
          </w:p>
        </w:tc>
        <w:tc>
          <w:tcPr>
            <w:tcW w:w="662" w:type="pct"/>
            <w:tcBorders>
              <w:top w:val="single" w:sz="4" w:space="0" w:color="auto"/>
              <w:bottom w:val="single" w:sz="4" w:space="0" w:color="auto"/>
            </w:tcBorders>
            <w:shd w:val="clear" w:color="auto" w:fill="auto"/>
            <w:vAlign w:val="bottom"/>
          </w:tcPr>
          <w:p w14:paraId="2D691070"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72,4</w:t>
            </w:r>
          </w:p>
        </w:tc>
        <w:tc>
          <w:tcPr>
            <w:tcW w:w="520" w:type="pct"/>
            <w:tcBorders>
              <w:top w:val="single" w:sz="4" w:space="0" w:color="auto"/>
              <w:bottom w:val="single" w:sz="4" w:space="0" w:color="auto"/>
            </w:tcBorders>
            <w:shd w:val="clear" w:color="auto" w:fill="auto"/>
            <w:vAlign w:val="bottom"/>
          </w:tcPr>
          <w:p w14:paraId="32A8639E"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6,5</w:t>
            </w:r>
          </w:p>
        </w:tc>
      </w:tr>
      <w:tr w:rsidR="00D03A4F" w:rsidRPr="00FF5253" w14:paraId="2017F07E" w14:textId="77777777" w:rsidTr="00944CB1">
        <w:trPr>
          <w:trHeight w:val="450"/>
        </w:trPr>
        <w:tc>
          <w:tcPr>
            <w:tcW w:w="848" w:type="pct"/>
            <w:tcBorders>
              <w:top w:val="single" w:sz="4" w:space="0" w:color="auto"/>
              <w:bottom w:val="single" w:sz="4" w:space="0" w:color="auto"/>
            </w:tcBorders>
            <w:shd w:val="clear" w:color="auto" w:fill="auto"/>
            <w:vAlign w:val="bottom"/>
          </w:tcPr>
          <w:p w14:paraId="55A0D3A1" w14:textId="77777777"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14:paraId="15E397E4"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14:paraId="5746C0F2"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14:paraId="5064E9D1"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14:paraId="4A6AD1F7"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14:paraId="7F05BECD"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14:paraId="1A75C905"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14:paraId="33AD72C0"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p>
        </w:tc>
      </w:tr>
      <w:tr w:rsidR="00D03A4F" w:rsidRPr="00FF5253" w14:paraId="6FF56858" w14:textId="77777777" w:rsidTr="00944CB1">
        <w:trPr>
          <w:trHeight w:val="255"/>
        </w:trPr>
        <w:tc>
          <w:tcPr>
            <w:tcW w:w="848" w:type="pct"/>
            <w:tcBorders>
              <w:top w:val="single" w:sz="4" w:space="0" w:color="auto"/>
              <w:bottom w:val="single" w:sz="4" w:space="0" w:color="auto"/>
            </w:tcBorders>
            <w:shd w:val="clear" w:color="auto" w:fill="auto"/>
            <w:vAlign w:val="bottom"/>
          </w:tcPr>
          <w:p w14:paraId="5171C2DA" w14:textId="77777777"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14:paraId="144CFE10"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1505</w:t>
            </w:r>
          </w:p>
        </w:tc>
        <w:tc>
          <w:tcPr>
            <w:tcW w:w="528" w:type="pct"/>
            <w:tcBorders>
              <w:top w:val="single" w:sz="4" w:space="0" w:color="auto"/>
              <w:bottom w:val="single" w:sz="4" w:space="0" w:color="auto"/>
            </w:tcBorders>
            <w:shd w:val="clear" w:color="auto" w:fill="auto"/>
            <w:vAlign w:val="bottom"/>
          </w:tcPr>
          <w:p w14:paraId="68BB6F9F"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1429</w:t>
            </w:r>
          </w:p>
        </w:tc>
        <w:tc>
          <w:tcPr>
            <w:tcW w:w="582" w:type="pct"/>
            <w:tcBorders>
              <w:top w:val="single" w:sz="4" w:space="0" w:color="auto"/>
              <w:bottom w:val="single" w:sz="4" w:space="0" w:color="auto"/>
            </w:tcBorders>
            <w:shd w:val="clear" w:color="auto" w:fill="auto"/>
            <w:vAlign w:val="bottom"/>
          </w:tcPr>
          <w:p w14:paraId="79B60F5C"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77</w:t>
            </w:r>
          </w:p>
        </w:tc>
        <w:tc>
          <w:tcPr>
            <w:tcW w:w="598" w:type="pct"/>
            <w:tcBorders>
              <w:top w:val="single" w:sz="4" w:space="0" w:color="auto"/>
              <w:bottom w:val="single" w:sz="4" w:space="0" w:color="auto"/>
            </w:tcBorders>
            <w:shd w:val="clear" w:color="auto" w:fill="auto"/>
            <w:vAlign w:val="bottom"/>
          </w:tcPr>
          <w:p w14:paraId="58782C24"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326</w:t>
            </w:r>
          </w:p>
        </w:tc>
        <w:tc>
          <w:tcPr>
            <w:tcW w:w="706" w:type="pct"/>
            <w:tcBorders>
              <w:top w:val="single" w:sz="4" w:space="0" w:color="auto"/>
              <w:bottom w:val="single" w:sz="4" w:space="0" w:color="auto"/>
            </w:tcBorders>
            <w:shd w:val="clear" w:color="auto" w:fill="auto"/>
            <w:vAlign w:val="bottom"/>
          </w:tcPr>
          <w:p w14:paraId="15423454"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82,2</w:t>
            </w:r>
          </w:p>
        </w:tc>
        <w:tc>
          <w:tcPr>
            <w:tcW w:w="662" w:type="pct"/>
            <w:tcBorders>
              <w:top w:val="single" w:sz="4" w:space="0" w:color="auto"/>
              <w:bottom w:val="single" w:sz="4" w:space="0" w:color="auto"/>
            </w:tcBorders>
            <w:shd w:val="clear" w:color="auto" w:fill="auto"/>
            <w:vAlign w:val="bottom"/>
          </w:tcPr>
          <w:p w14:paraId="27DE266D"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78,0</w:t>
            </w:r>
          </w:p>
        </w:tc>
        <w:tc>
          <w:tcPr>
            <w:tcW w:w="520" w:type="pct"/>
            <w:tcBorders>
              <w:top w:val="single" w:sz="4" w:space="0" w:color="auto"/>
              <w:bottom w:val="single" w:sz="4" w:space="0" w:color="auto"/>
            </w:tcBorders>
            <w:shd w:val="clear" w:color="auto" w:fill="auto"/>
            <w:vAlign w:val="bottom"/>
          </w:tcPr>
          <w:p w14:paraId="1074E803"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5,1</w:t>
            </w:r>
          </w:p>
        </w:tc>
      </w:tr>
      <w:tr w:rsidR="00D03A4F" w:rsidRPr="00FF5253" w14:paraId="26451139" w14:textId="77777777" w:rsidTr="00944CB1">
        <w:trPr>
          <w:trHeight w:val="255"/>
        </w:trPr>
        <w:tc>
          <w:tcPr>
            <w:tcW w:w="848" w:type="pct"/>
            <w:tcBorders>
              <w:top w:val="single" w:sz="4" w:space="0" w:color="auto"/>
              <w:bottom w:val="single" w:sz="4" w:space="0" w:color="auto"/>
            </w:tcBorders>
            <w:shd w:val="clear" w:color="auto" w:fill="auto"/>
            <w:vAlign w:val="bottom"/>
          </w:tcPr>
          <w:p w14:paraId="34B0ED15" w14:textId="77777777"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14:paraId="028414E0"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1024</w:t>
            </w:r>
          </w:p>
        </w:tc>
        <w:tc>
          <w:tcPr>
            <w:tcW w:w="528" w:type="pct"/>
            <w:tcBorders>
              <w:top w:val="single" w:sz="4" w:space="0" w:color="auto"/>
              <w:bottom w:val="single" w:sz="4" w:space="0" w:color="auto"/>
            </w:tcBorders>
            <w:shd w:val="clear" w:color="auto" w:fill="auto"/>
            <w:vAlign w:val="bottom"/>
          </w:tcPr>
          <w:p w14:paraId="20218B7A"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953</w:t>
            </w:r>
          </w:p>
        </w:tc>
        <w:tc>
          <w:tcPr>
            <w:tcW w:w="582" w:type="pct"/>
            <w:tcBorders>
              <w:top w:val="single" w:sz="4" w:space="0" w:color="auto"/>
              <w:bottom w:val="single" w:sz="4" w:space="0" w:color="auto"/>
            </w:tcBorders>
            <w:shd w:val="clear" w:color="auto" w:fill="auto"/>
            <w:vAlign w:val="bottom"/>
          </w:tcPr>
          <w:p w14:paraId="41F08058"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71</w:t>
            </w:r>
          </w:p>
        </w:tc>
        <w:tc>
          <w:tcPr>
            <w:tcW w:w="598" w:type="pct"/>
            <w:tcBorders>
              <w:top w:val="single" w:sz="4" w:space="0" w:color="auto"/>
              <w:bottom w:val="single" w:sz="4" w:space="0" w:color="auto"/>
            </w:tcBorders>
            <w:shd w:val="clear" w:color="auto" w:fill="auto"/>
            <w:vAlign w:val="bottom"/>
          </w:tcPr>
          <w:p w14:paraId="42788337"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302</w:t>
            </w:r>
          </w:p>
        </w:tc>
        <w:tc>
          <w:tcPr>
            <w:tcW w:w="706" w:type="pct"/>
            <w:tcBorders>
              <w:top w:val="single" w:sz="4" w:space="0" w:color="auto"/>
              <w:bottom w:val="single" w:sz="4" w:space="0" w:color="auto"/>
            </w:tcBorders>
            <w:shd w:val="clear" w:color="auto" w:fill="auto"/>
            <w:vAlign w:val="bottom"/>
          </w:tcPr>
          <w:p w14:paraId="244EA741"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77,2</w:t>
            </w:r>
          </w:p>
        </w:tc>
        <w:tc>
          <w:tcPr>
            <w:tcW w:w="662" w:type="pct"/>
            <w:tcBorders>
              <w:top w:val="single" w:sz="4" w:space="0" w:color="auto"/>
              <w:bottom w:val="single" w:sz="4" w:space="0" w:color="auto"/>
            </w:tcBorders>
            <w:shd w:val="clear" w:color="auto" w:fill="auto"/>
            <w:vAlign w:val="bottom"/>
          </w:tcPr>
          <w:p w14:paraId="78732D05"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71,9</w:t>
            </w:r>
          </w:p>
        </w:tc>
        <w:tc>
          <w:tcPr>
            <w:tcW w:w="520" w:type="pct"/>
            <w:tcBorders>
              <w:top w:val="single" w:sz="4" w:space="0" w:color="auto"/>
              <w:bottom w:val="single" w:sz="4" w:space="0" w:color="auto"/>
            </w:tcBorders>
            <w:shd w:val="clear" w:color="auto" w:fill="auto"/>
            <w:vAlign w:val="bottom"/>
          </w:tcPr>
          <w:p w14:paraId="759312CC"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6,9</w:t>
            </w:r>
          </w:p>
        </w:tc>
      </w:tr>
      <w:tr w:rsidR="00D03A4F" w:rsidRPr="00FF5253" w14:paraId="0767572E" w14:textId="77777777" w:rsidTr="00944CB1">
        <w:trPr>
          <w:trHeight w:val="255"/>
        </w:trPr>
        <w:tc>
          <w:tcPr>
            <w:tcW w:w="848" w:type="pct"/>
            <w:tcBorders>
              <w:top w:val="single" w:sz="4" w:space="0" w:color="auto"/>
              <w:bottom w:val="single" w:sz="4" w:space="0" w:color="auto"/>
            </w:tcBorders>
            <w:shd w:val="clear" w:color="auto" w:fill="auto"/>
            <w:vAlign w:val="bottom"/>
          </w:tcPr>
          <w:p w14:paraId="42B28DF3" w14:textId="77777777"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14:paraId="56FC7FBD"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369</w:t>
            </w:r>
          </w:p>
        </w:tc>
        <w:tc>
          <w:tcPr>
            <w:tcW w:w="528" w:type="pct"/>
            <w:tcBorders>
              <w:top w:val="single" w:sz="4" w:space="0" w:color="auto"/>
              <w:bottom w:val="single" w:sz="4" w:space="0" w:color="auto"/>
            </w:tcBorders>
            <w:shd w:val="clear" w:color="auto" w:fill="auto"/>
            <w:vAlign w:val="bottom"/>
          </w:tcPr>
          <w:p w14:paraId="2FBD550C"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328</w:t>
            </w:r>
          </w:p>
        </w:tc>
        <w:tc>
          <w:tcPr>
            <w:tcW w:w="582" w:type="pct"/>
            <w:tcBorders>
              <w:top w:val="single" w:sz="4" w:space="0" w:color="auto"/>
              <w:bottom w:val="single" w:sz="4" w:space="0" w:color="auto"/>
            </w:tcBorders>
            <w:shd w:val="clear" w:color="auto" w:fill="auto"/>
            <w:vAlign w:val="bottom"/>
          </w:tcPr>
          <w:p w14:paraId="0D74699B"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41</w:t>
            </w:r>
          </w:p>
        </w:tc>
        <w:tc>
          <w:tcPr>
            <w:tcW w:w="598" w:type="pct"/>
            <w:tcBorders>
              <w:top w:val="single" w:sz="4" w:space="0" w:color="auto"/>
              <w:bottom w:val="single" w:sz="4" w:space="0" w:color="auto"/>
            </w:tcBorders>
            <w:shd w:val="clear" w:color="auto" w:fill="auto"/>
            <w:vAlign w:val="bottom"/>
          </w:tcPr>
          <w:p w14:paraId="46041448"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216</w:t>
            </w:r>
          </w:p>
        </w:tc>
        <w:tc>
          <w:tcPr>
            <w:tcW w:w="706" w:type="pct"/>
            <w:tcBorders>
              <w:top w:val="single" w:sz="4" w:space="0" w:color="auto"/>
              <w:bottom w:val="single" w:sz="4" w:space="0" w:color="auto"/>
            </w:tcBorders>
            <w:shd w:val="clear" w:color="auto" w:fill="auto"/>
            <w:vAlign w:val="bottom"/>
          </w:tcPr>
          <w:p w14:paraId="258AF81B"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63,1</w:t>
            </w:r>
          </w:p>
        </w:tc>
        <w:tc>
          <w:tcPr>
            <w:tcW w:w="662" w:type="pct"/>
            <w:tcBorders>
              <w:top w:val="single" w:sz="4" w:space="0" w:color="auto"/>
              <w:bottom w:val="single" w:sz="4" w:space="0" w:color="auto"/>
            </w:tcBorders>
            <w:shd w:val="clear" w:color="auto" w:fill="auto"/>
            <w:vAlign w:val="bottom"/>
          </w:tcPr>
          <w:p w14:paraId="5F5CF780"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56,1</w:t>
            </w:r>
          </w:p>
        </w:tc>
        <w:tc>
          <w:tcPr>
            <w:tcW w:w="520" w:type="pct"/>
            <w:tcBorders>
              <w:top w:val="single" w:sz="4" w:space="0" w:color="auto"/>
              <w:bottom w:val="single" w:sz="4" w:space="0" w:color="auto"/>
            </w:tcBorders>
            <w:shd w:val="clear" w:color="auto" w:fill="auto"/>
            <w:vAlign w:val="bottom"/>
          </w:tcPr>
          <w:p w14:paraId="0C8FE596"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11,2</w:t>
            </w:r>
          </w:p>
        </w:tc>
      </w:tr>
      <w:tr w:rsidR="00D03A4F" w:rsidRPr="00FF5253" w14:paraId="2157E254" w14:textId="77777777" w:rsidTr="00944CB1">
        <w:tc>
          <w:tcPr>
            <w:tcW w:w="848" w:type="pct"/>
            <w:tcBorders>
              <w:top w:val="single" w:sz="4" w:space="0" w:color="auto"/>
              <w:bottom w:val="single" w:sz="4" w:space="0" w:color="auto"/>
            </w:tcBorders>
            <w:shd w:val="clear" w:color="auto" w:fill="auto"/>
            <w:vAlign w:val="bottom"/>
          </w:tcPr>
          <w:p w14:paraId="22882F38" w14:textId="77777777" w:rsidR="00D03A4F" w:rsidRPr="00FF5253" w:rsidRDefault="00D03A4F" w:rsidP="00D03A4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14:paraId="5D8830F6"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1191</w:t>
            </w:r>
          </w:p>
        </w:tc>
        <w:tc>
          <w:tcPr>
            <w:tcW w:w="528" w:type="pct"/>
            <w:tcBorders>
              <w:top w:val="single" w:sz="4" w:space="0" w:color="auto"/>
              <w:bottom w:val="single" w:sz="4" w:space="0" w:color="auto"/>
            </w:tcBorders>
            <w:shd w:val="clear" w:color="auto" w:fill="auto"/>
            <w:vAlign w:val="bottom"/>
          </w:tcPr>
          <w:p w14:paraId="4CCB415B"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1092</w:t>
            </w:r>
          </w:p>
        </w:tc>
        <w:tc>
          <w:tcPr>
            <w:tcW w:w="582" w:type="pct"/>
            <w:tcBorders>
              <w:top w:val="single" w:sz="4" w:space="0" w:color="auto"/>
              <w:bottom w:val="single" w:sz="4" w:space="0" w:color="auto"/>
            </w:tcBorders>
            <w:shd w:val="clear" w:color="auto" w:fill="auto"/>
            <w:vAlign w:val="bottom"/>
          </w:tcPr>
          <w:p w14:paraId="2C9720CB"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99</w:t>
            </w:r>
          </w:p>
        </w:tc>
        <w:tc>
          <w:tcPr>
            <w:tcW w:w="598" w:type="pct"/>
            <w:tcBorders>
              <w:top w:val="single" w:sz="4" w:space="0" w:color="auto"/>
              <w:bottom w:val="single" w:sz="4" w:space="0" w:color="auto"/>
            </w:tcBorders>
            <w:shd w:val="clear" w:color="auto" w:fill="auto"/>
            <w:vAlign w:val="bottom"/>
          </w:tcPr>
          <w:p w14:paraId="3CD1D254"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594</w:t>
            </w:r>
          </w:p>
        </w:tc>
        <w:tc>
          <w:tcPr>
            <w:tcW w:w="706" w:type="pct"/>
            <w:tcBorders>
              <w:top w:val="single" w:sz="4" w:space="0" w:color="auto"/>
              <w:bottom w:val="single" w:sz="4" w:space="0" w:color="auto"/>
            </w:tcBorders>
            <w:shd w:val="clear" w:color="auto" w:fill="auto"/>
            <w:vAlign w:val="bottom"/>
          </w:tcPr>
          <w:p w14:paraId="587EBE66"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66,7</w:t>
            </w:r>
          </w:p>
        </w:tc>
        <w:tc>
          <w:tcPr>
            <w:tcW w:w="662" w:type="pct"/>
            <w:tcBorders>
              <w:top w:val="single" w:sz="4" w:space="0" w:color="auto"/>
              <w:bottom w:val="single" w:sz="4" w:space="0" w:color="auto"/>
            </w:tcBorders>
            <w:shd w:val="clear" w:color="auto" w:fill="auto"/>
            <w:vAlign w:val="bottom"/>
          </w:tcPr>
          <w:p w14:paraId="115B3FC0"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61,2</w:t>
            </w:r>
          </w:p>
        </w:tc>
        <w:tc>
          <w:tcPr>
            <w:tcW w:w="520" w:type="pct"/>
            <w:tcBorders>
              <w:top w:val="single" w:sz="4" w:space="0" w:color="auto"/>
              <w:bottom w:val="single" w:sz="4" w:space="0" w:color="auto"/>
            </w:tcBorders>
            <w:shd w:val="clear" w:color="auto" w:fill="auto"/>
            <w:vAlign w:val="bottom"/>
          </w:tcPr>
          <w:p w14:paraId="74A9636A" w14:textId="77777777" w:rsidR="00D03A4F" w:rsidRPr="00FF5253" w:rsidRDefault="00D03A4F"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8,3</w:t>
            </w:r>
          </w:p>
        </w:tc>
      </w:tr>
      <w:tr w:rsidR="00EC45F8" w:rsidRPr="00FF5253" w14:paraId="65FB2BF0" w14:textId="77777777" w:rsidTr="00EC45F8">
        <w:trPr>
          <w:trHeight w:val="459"/>
        </w:trPr>
        <w:tc>
          <w:tcPr>
            <w:tcW w:w="5000" w:type="pct"/>
            <w:gridSpan w:val="8"/>
            <w:tcBorders>
              <w:top w:val="single" w:sz="4" w:space="0" w:color="auto"/>
              <w:bottom w:val="single" w:sz="4" w:space="0" w:color="auto"/>
            </w:tcBorders>
            <w:shd w:val="clear" w:color="auto" w:fill="auto"/>
            <w:vAlign w:val="bottom"/>
          </w:tcPr>
          <w:p w14:paraId="43927E11" w14:textId="77777777" w:rsidR="00EC45F8" w:rsidRPr="00FF5253" w:rsidRDefault="00EC45F8" w:rsidP="00A13F4A">
            <w:pPr>
              <w:widowControl w:val="0"/>
              <w:spacing w:before="120" w:after="12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2020 г.</w:t>
            </w:r>
          </w:p>
        </w:tc>
      </w:tr>
      <w:tr w:rsidR="00EC45F8" w:rsidRPr="00FF5253" w14:paraId="37B99467" w14:textId="77777777" w:rsidTr="005A24F5">
        <w:tc>
          <w:tcPr>
            <w:tcW w:w="848" w:type="pct"/>
            <w:tcBorders>
              <w:top w:val="single" w:sz="4" w:space="0" w:color="auto"/>
              <w:bottom w:val="single" w:sz="4" w:space="0" w:color="auto"/>
            </w:tcBorders>
            <w:shd w:val="clear" w:color="auto" w:fill="auto"/>
          </w:tcPr>
          <w:p w14:paraId="6FD18740" w14:textId="77777777"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Всего</w:t>
            </w:r>
          </w:p>
        </w:tc>
        <w:tc>
          <w:tcPr>
            <w:tcW w:w="556" w:type="pct"/>
            <w:tcBorders>
              <w:top w:val="single" w:sz="4" w:space="0" w:color="auto"/>
              <w:bottom w:val="single" w:sz="4" w:space="0" w:color="auto"/>
            </w:tcBorders>
            <w:shd w:val="clear" w:color="auto" w:fill="auto"/>
            <w:vAlign w:val="bottom"/>
          </w:tcPr>
          <w:p w14:paraId="543EA61F"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14:paraId="0277E77B"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14:paraId="4CF80298"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14:paraId="618861CD"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14:paraId="481CEB7C"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14:paraId="1882D11C"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14:paraId="6D9CE993"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r>
      <w:tr w:rsidR="00EC45F8" w:rsidRPr="00FF5253" w14:paraId="45D9A6CD" w14:textId="77777777" w:rsidTr="00944CB1">
        <w:tc>
          <w:tcPr>
            <w:tcW w:w="848" w:type="pct"/>
            <w:tcBorders>
              <w:top w:val="single" w:sz="4" w:space="0" w:color="auto"/>
              <w:bottom w:val="single" w:sz="4" w:space="0" w:color="auto"/>
            </w:tcBorders>
            <w:shd w:val="clear" w:color="auto" w:fill="auto"/>
            <w:vAlign w:val="bottom"/>
          </w:tcPr>
          <w:p w14:paraId="657F11C0" w14:textId="77777777"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14:paraId="56D8E6E3" w14:textId="77777777"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13 980</w:t>
            </w:r>
          </w:p>
        </w:tc>
        <w:tc>
          <w:tcPr>
            <w:tcW w:w="528" w:type="pct"/>
            <w:tcBorders>
              <w:top w:val="single" w:sz="4" w:space="0" w:color="auto"/>
              <w:bottom w:val="single" w:sz="4" w:space="0" w:color="auto"/>
            </w:tcBorders>
            <w:shd w:val="clear" w:color="auto" w:fill="auto"/>
            <w:vAlign w:val="bottom"/>
          </w:tcPr>
          <w:p w14:paraId="5A1E8122" w14:textId="77777777"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13 160</w:t>
            </w:r>
          </w:p>
        </w:tc>
        <w:tc>
          <w:tcPr>
            <w:tcW w:w="582" w:type="pct"/>
            <w:tcBorders>
              <w:top w:val="single" w:sz="4" w:space="0" w:color="auto"/>
              <w:bottom w:val="single" w:sz="4" w:space="0" w:color="auto"/>
            </w:tcBorders>
            <w:shd w:val="clear" w:color="auto" w:fill="auto"/>
            <w:vAlign w:val="bottom"/>
          </w:tcPr>
          <w:p w14:paraId="5F4CDA0E" w14:textId="77777777"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820</w:t>
            </w:r>
          </w:p>
        </w:tc>
        <w:tc>
          <w:tcPr>
            <w:tcW w:w="598" w:type="pct"/>
            <w:tcBorders>
              <w:top w:val="single" w:sz="4" w:space="0" w:color="auto"/>
              <w:bottom w:val="single" w:sz="4" w:space="0" w:color="auto"/>
            </w:tcBorders>
            <w:shd w:val="clear" w:color="auto" w:fill="auto"/>
            <w:vAlign w:val="bottom"/>
          </w:tcPr>
          <w:p w14:paraId="225629B9" w14:textId="77777777"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2 830</w:t>
            </w:r>
          </w:p>
        </w:tc>
        <w:tc>
          <w:tcPr>
            <w:tcW w:w="706" w:type="pct"/>
            <w:tcBorders>
              <w:top w:val="single" w:sz="4" w:space="0" w:color="auto"/>
              <w:bottom w:val="single" w:sz="4" w:space="0" w:color="auto"/>
            </w:tcBorders>
            <w:shd w:val="clear" w:color="auto" w:fill="auto"/>
            <w:vAlign w:val="bottom"/>
          </w:tcPr>
          <w:p w14:paraId="5E8B617E" w14:textId="77777777"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83,2</w:t>
            </w:r>
          </w:p>
        </w:tc>
        <w:tc>
          <w:tcPr>
            <w:tcW w:w="662" w:type="pct"/>
            <w:tcBorders>
              <w:top w:val="single" w:sz="4" w:space="0" w:color="auto"/>
              <w:bottom w:val="single" w:sz="4" w:space="0" w:color="auto"/>
            </w:tcBorders>
            <w:shd w:val="clear" w:color="auto" w:fill="auto"/>
            <w:vAlign w:val="bottom"/>
          </w:tcPr>
          <w:p w14:paraId="2427FCF6" w14:textId="77777777"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78,3</w:t>
            </w:r>
          </w:p>
        </w:tc>
        <w:tc>
          <w:tcPr>
            <w:tcW w:w="520" w:type="pct"/>
            <w:tcBorders>
              <w:top w:val="single" w:sz="4" w:space="0" w:color="auto"/>
              <w:bottom w:val="single" w:sz="4" w:space="0" w:color="auto"/>
            </w:tcBorders>
            <w:shd w:val="clear" w:color="auto" w:fill="auto"/>
            <w:vAlign w:val="bottom"/>
          </w:tcPr>
          <w:p w14:paraId="2D202935" w14:textId="77777777"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5,9</w:t>
            </w:r>
          </w:p>
        </w:tc>
      </w:tr>
      <w:tr w:rsidR="00EC45F8" w:rsidRPr="00FF5253" w14:paraId="2D295CD0" w14:textId="77777777" w:rsidTr="00944CB1">
        <w:tc>
          <w:tcPr>
            <w:tcW w:w="848" w:type="pct"/>
            <w:tcBorders>
              <w:top w:val="single" w:sz="4" w:space="0" w:color="auto"/>
              <w:bottom w:val="single" w:sz="4" w:space="0" w:color="auto"/>
            </w:tcBorders>
            <w:shd w:val="clear" w:color="auto" w:fill="auto"/>
            <w:vAlign w:val="bottom"/>
          </w:tcPr>
          <w:p w14:paraId="49E0EA6D" w14:textId="77777777"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14:paraId="548E3D46"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14:paraId="6FD192EC"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14:paraId="55FE6889"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14:paraId="1BFD32E7"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14:paraId="5B96874E"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14:paraId="38D1AECD"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14:paraId="5F2BC4CA"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r>
      <w:tr w:rsidR="00EC45F8" w:rsidRPr="00FF5253" w14:paraId="686FE3BB" w14:textId="77777777" w:rsidTr="00944CB1">
        <w:tc>
          <w:tcPr>
            <w:tcW w:w="848" w:type="pct"/>
            <w:tcBorders>
              <w:top w:val="single" w:sz="4" w:space="0" w:color="auto"/>
              <w:bottom w:val="single" w:sz="4" w:space="0" w:color="auto"/>
            </w:tcBorders>
            <w:shd w:val="clear" w:color="auto" w:fill="auto"/>
            <w:vAlign w:val="bottom"/>
          </w:tcPr>
          <w:p w14:paraId="26DA72D4" w14:textId="77777777"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14:paraId="2573EBA2"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8 791</w:t>
            </w:r>
          </w:p>
        </w:tc>
        <w:tc>
          <w:tcPr>
            <w:tcW w:w="528" w:type="pct"/>
            <w:tcBorders>
              <w:top w:val="single" w:sz="4" w:space="0" w:color="auto"/>
              <w:bottom w:val="single" w:sz="4" w:space="0" w:color="auto"/>
            </w:tcBorders>
            <w:shd w:val="clear" w:color="auto" w:fill="auto"/>
            <w:vAlign w:val="bottom"/>
          </w:tcPr>
          <w:p w14:paraId="6B237DAA"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8 359</w:t>
            </w:r>
          </w:p>
        </w:tc>
        <w:tc>
          <w:tcPr>
            <w:tcW w:w="582" w:type="pct"/>
            <w:tcBorders>
              <w:top w:val="single" w:sz="4" w:space="0" w:color="auto"/>
              <w:bottom w:val="single" w:sz="4" w:space="0" w:color="auto"/>
            </w:tcBorders>
            <w:shd w:val="clear" w:color="auto" w:fill="auto"/>
            <w:vAlign w:val="bottom"/>
          </w:tcPr>
          <w:p w14:paraId="4B98DE77"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432</w:t>
            </w:r>
          </w:p>
        </w:tc>
        <w:tc>
          <w:tcPr>
            <w:tcW w:w="598" w:type="pct"/>
            <w:tcBorders>
              <w:top w:val="single" w:sz="4" w:space="0" w:color="auto"/>
              <w:bottom w:val="single" w:sz="4" w:space="0" w:color="auto"/>
            </w:tcBorders>
            <w:shd w:val="clear" w:color="auto" w:fill="auto"/>
            <w:vAlign w:val="bottom"/>
          </w:tcPr>
          <w:p w14:paraId="429B50E0"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1 323</w:t>
            </w:r>
          </w:p>
        </w:tc>
        <w:tc>
          <w:tcPr>
            <w:tcW w:w="706" w:type="pct"/>
            <w:tcBorders>
              <w:top w:val="single" w:sz="4" w:space="0" w:color="auto"/>
              <w:bottom w:val="single" w:sz="4" w:space="0" w:color="auto"/>
            </w:tcBorders>
            <w:shd w:val="clear" w:color="auto" w:fill="auto"/>
            <w:vAlign w:val="bottom"/>
          </w:tcPr>
          <w:p w14:paraId="5B7A6C74"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86,9</w:t>
            </w:r>
          </w:p>
        </w:tc>
        <w:tc>
          <w:tcPr>
            <w:tcW w:w="662" w:type="pct"/>
            <w:tcBorders>
              <w:top w:val="single" w:sz="4" w:space="0" w:color="auto"/>
              <w:bottom w:val="single" w:sz="4" w:space="0" w:color="auto"/>
            </w:tcBorders>
            <w:shd w:val="clear" w:color="auto" w:fill="auto"/>
            <w:vAlign w:val="bottom"/>
          </w:tcPr>
          <w:p w14:paraId="029F7822"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82,6</w:t>
            </w:r>
          </w:p>
        </w:tc>
        <w:tc>
          <w:tcPr>
            <w:tcW w:w="520" w:type="pct"/>
            <w:tcBorders>
              <w:top w:val="single" w:sz="4" w:space="0" w:color="auto"/>
              <w:bottom w:val="single" w:sz="4" w:space="0" w:color="auto"/>
            </w:tcBorders>
            <w:shd w:val="clear" w:color="auto" w:fill="auto"/>
            <w:vAlign w:val="bottom"/>
          </w:tcPr>
          <w:p w14:paraId="3AD06999"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4,9</w:t>
            </w:r>
          </w:p>
        </w:tc>
      </w:tr>
      <w:tr w:rsidR="00EC45F8" w:rsidRPr="00FF5253" w14:paraId="2D914D26" w14:textId="77777777" w:rsidTr="00944CB1">
        <w:tc>
          <w:tcPr>
            <w:tcW w:w="848" w:type="pct"/>
            <w:tcBorders>
              <w:top w:val="single" w:sz="4" w:space="0" w:color="auto"/>
              <w:bottom w:val="single" w:sz="4" w:space="0" w:color="auto"/>
            </w:tcBorders>
            <w:shd w:val="clear" w:color="auto" w:fill="auto"/>
            <w:vAlign w:val="bottom"/>
          </w:tcPr>
          <w:p w14:paraId="278062EA" w14:textId="77777777"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14:paraId="035F66A8"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4 299</w:t>
            </w:r>
          </w:p>
        </w:tc>
        <w:tc>
          <w:tcPr>
            <w:tcW w:w="528" w:type="pct"/>
            <w:tcBorders>
              <w:top w:val="single" w:sz="4" w:space="0" w:color="auto"/>
              <w:bottom w:val="single" w:sz="4" w:space="0" w:color="auto"/>
            </w:tcBorders>
            <w:shd w:val="clear" w:color="auto" w:fill="auto"/>
            <w:vAlign w:val="bottom"/>
          </w:tcPr>
          <w:p w14:paraId="7DF1DE9E"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4 008</w:t>
            </w:r>
          </w:p>
        </w:tc>
        <w:tc>
          <w:tcPr>
            <w:tcW w:w="582" w:type="pct"/>
            <w:tcBorders>
              <w:top w:val="single" w:sz="4" w:space="0" w:color="auto"/>
              <w:bottom w:val="single" w:sz="4" w:space="0" w:color="auto"/>
            </w:tcBorders>
            <w:shd w:val="clear" w:color="auto" w:fill="auto"/>
            <w:vAlign w:val="bottom"/>
          </w:tcPr>
          <w:p w14:paraId="42F65E51"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290</w:t>
            </w:r>
          </w:p>
        </w:tc>
        <w:tc>
          <w:tcPr>
            <w:tcW w:w="598" w:type="pct"/>
            <w:tcBorders>
              <w:top w:val="single" w:sz="4" w:space="0" w:color="auto"/>
              <w:bottom w:val="single" w:sz="4" w:space="0" w:color="auto"/>
            </w:tcBorders>
            <w:shd w:val="clear" w:color="auto" w:fill="auto"/>
            <w:vAlign w:val="bottom"/>
          </w:tcPr>
          <w:p w14:paraId="008D1A47"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1 023</w:t>
            </w:r>
          </w:p>
        </w:tc>
        <w:tc>
          <w:tcPr>
            <w:tcW w:w="706" w:type="pct"/>
            <w:tcBorders>
              <w:top w:val="single" w:sz="4" w:space="0" w:color="auto"/>
              <w:bottom w:val="single" w:sz="4" w:space="0" w:color="auto"/>
            </w:tcBorders>
            <w:shd w:val="clear" w:color="auto" w:fill="auto"/>
            <w:vAlign w:val="bottom"/>
          </w:tcPr>
          <w:p w14:paraId="4035C8E5"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80,8</w:t>
            </w:r>
          </w:p>
        </w:tc>
        <w:tc>
          <w:tcPr>
            <w:tcW w:w="662" w:type="pct"/>
            <w:tcBorders>
              <w:top w:val="single" w:sz="4" w:space="0" w:color="auto"/>
              <w:bottom w:val="single" w:sz="4" w:space="0" w:color="auto"/>
            </w:tcBorders>
            <w:shd w:val="clear" w:color="auto" w:fill="auto"/>
            <w:vAlign w:val="bottom"/>
          </w:tcPr>
          <w:p w14:paraId="6A68CE62"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75,3</w:t>
            </w:r>
          </w:p>
        </w:tc>
        <w:tc>
          <w:tcPr>
            <w:tcW w:w="520" w:type="pct"/>
            <w:tcBorders>
              <w:top w:val="single" w:sz="4" w:space="0" w:color="auto"/>
              <w:bottom w:val="single" w:sz="4" w:space="0" w:color="auto"/>
            </w:tcBorders>
            <w:shd w:val="clear" w:color="auto" w:fill="auto"/>
            <w:vAlign w:val="bottom"/>
          </w:tcPr>
          <w:p w14:paraId="51C27F0F"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6,8</w:t>
            </w:r>
          </w:p>
        </w:tc>
      </w:tr>
      <w:tr w:rsidR="00EC45F8" w:rsidRPr="00FF5253" w14:paraId="76B16BC6" w14:textId="77777777" w:rsidTr="00944CB1">
        <w:tc>
          <w:tcPr>
            <w:tcW w:w="848" w:type="pct"/>
            <w:tcBorders>
              <w:top w:val="single" w:sz="4" w:space="0" w:color="auto"/>
              <w:bottom w:val="single" w:sz="4" w:space="0" w:color="auto"/>
            </w:tcBorders>
            <w:shd w:val="clear" w:color="auto" w:fill="auto"/>
            <w:vAlign w:val="bottom"/>
          </w:tcPr>
          <w:p w14:paraId="3A497775" w14:textId="77777777"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14:paraId="2F789660"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891</w:t>
            </w:r>
          </w:p>
        </w:tc>
        <w:tc>
          <w:tcPr>
            <w:tcW w:w="528" w:type="pct"/>
            <w:tcBorders>
              <w:top w:val="single" w:sz="4" w:space="0" w:color="auto"/>
              <w:bottom w:val="single" w:sz="4" w:space="0" w:color="auto"/>
            </w:tcBorders>
            <w:shd w:val="clear" w:color="auto" w:fill="auto"/>
            <w:vAlign w:val="bottom"/>
          </w:tcPr>
          <w:p w14:paraId="402DB6AB"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793</w:t>
            </w:r>
          </w:p>
        </w:tc>
        <w:tc>
          <w:tcPr>
            <w:tcW w:w="582" w:type="pct"/>
            <w:tcBorders>
              <w:top w:val="single" w:sz="4" w:space="0" w:color="auto"/>
              <w:bottom w:val="single" w:sz="4" w:space="0" w:color="auto"/>
            </w:tcBorders>
            <w:shd w:val="clear" w:color="auto" w:fill="auto"/>
            <w:vAlign w:val="bottom"/>
          </w:tcPr>
          <w:p w14:paraId="34C59723"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98</w:t>
            </w:r>
          </w:p>
        </w:tc>
        <w:tc>
          <w:tcPr>
            <w:tcW w:w="598" w:type="pct"/>
            <w:tcBorders>
              <w:top w:val="single" w:sz="4" w:space="0" w:color="auto"/>
              <w:bottom w:val="single" w:sz="4" w:space="0" w:color="auto"/>
            </w:tcBorders>
            <w:shd w:val="clear" w:color="auto" w:fill="auto"/>
            <w:vAlign w:val="bottom"/>
          </w:tcPr>
          <w:p w14:paraId="1B43EB77"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483</w:t>
            </w:r>
          </w:p>
        </w:tc>
        <w:tc>
          <w:tcPr>
            <w:tcW w:w="706" w:type="pct"/>
            <w:tcBorders>
              <w:top w:val="single" w:sz="4" w:space="0" w:color="auto"/>
              <w:bottom w:val="single" w:sz="4" w:space="0" w:color="auto"/>
            </w:tcBorders>
            <w:shd w:val="clear" w:color="auto" w:fill="auto"/>
            <w:vAlign w:val="bottom"/>
          </w:tcPr>
          <w:p w14:paraId="17ACEE3A"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64,8</w:t>
            </w:r>
          </w:p>
        </w:tc>
        <w:tc>
          <w:tcPr>
            <w:tcW w:w="662" w:type="pct"/>
            <w:tcBorders>
              <w:top w:val="single" w:sz="4" w:space="0" w:color="auto"/>
              <w:bottom w:val="single" w:sz="4" w:space="0" w:color="auto"/>
            </w:tcBorders>
            <w:shd w:val="clear" w:color="auto" w:fill="auto"/>
            <w:vAlign w:val="bottom"/>
          </w:tcPr>
          <w:p w14:paraId="603BF12C"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57,7</w:t>
            </w:r>
          </w:p>
        </w:tc>
        <w:tc>
          <w:tcPr>
            <w:tcW w:w="520" w:type="pct"/>
            <w:tcBorders>
              <w:top w:val="single" w:sz="4" w:space="0" w:color="auto"/>
              <w:bottom w:val="single" w:sz="4" w:space="0" w:color="auto"/>
            </w:tcBorders>
            <w:shd w:val="clear" w:color="auto" w:fill="auto"/>
            <w:vAlign w:val="bottom"/>
          </w:tcPr>
          <w:p w14:paraId="76A01779"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11,0</w:t>
            </w:r>
          </w:p>
        </w:tc>
      </w:tr>
      <w:tr w:rsidR="00EC45F8" w:rsidRPr="00FF5253" w14:paraId="382057E2" w14:textId="77777777" w:rsidTr="00944CB1">
        <w:tc>
          <w:tcPr>
            <w:tcW w:w="848" w:type="pct"/>
            <w:tcBorders>
              <w:top w:val="single" w:sz="4" w:space="0" w:color="auto"/>
              <w:bottom w:val="single" w:sz="4" w:space="0" w:color="auto"/>
            </w:tcBorders>
            <w:shd w:val="clear" w:color="auto" w:fill="auto"/>
            <w:vAlign w:val="bottom"/>
          </w:tcPr>
          <w:p w14:paraId="0F807DA6" w14:textId="77777777"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14:paraId="4F610060"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5 246</w:t>
            </w:r>
          </w:p>
        </w:tc>
        <w:tc>
          <w:tcPr>
            <w:tcW w:w="528" w:type="pct"/>
            <w:tcBorders>
              <w:top w:val="single" w:sz="4" w:space="0" w:color="auto"/>
              <w:bottom w:val="single" w:sz="4" w:space="0" w:color="auto"/>
            </w:tcBorders>
            <w:shd w:val="clear" w:color="auto" w:fill="auto"/>
            <w:vAlign w:val="bottom"/>
          </w:tcPr>
          <w:p w14:paraId="5758501F"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4 841</w:t>
            </w:r>
          </w:p>
        </w:tc>
        <w:tc>
          <w:tcPr>
            <w:tcW w:w="582" w:type="pct"/>
            <w:tcBorders>
              <w:top w:val="single" w:sz="4" w:space="0" w:color="auto"/>
              <w:bottom w:val="single" w:sz="4" w:space="0" w:color="auto"/>
            </w:tcBorders>
            <w:shd w:val="clear" w:color="auto" w:fill="auto"/>
            <w:vAlign w:val="bottom"/>
          </w:tcPr>
          <w:p w14:paraId="720688A7"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405</w:t>
            </w:r>
          </w:p>
        </w:tc>
        <w:tc>
          <w:tcPr>
            <w:tcW w:w="598" w:type="pct"/>
            <w:tcBorders>
              <w:top w:val="single" w:sz="4" w:space="0" w:color="auto"/>
              <w:bottom w:val="single" w:sz="4" w:space="0" w:color="auto"/>
            </w:tcBorders>
            <w:shd w:val="clear" w:color="auto" w:fill="auto"/>
            <w:vAlign w:val="bottom"/>
          </w:tcPr>
          <w:p w14:paraId="7FB5753C"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2 103</w:t>
            </w:r>
          </w:p>
        </w:tc>
        <w:tc>
          <w:tcPr>
            <w:tcW w:w="706" w:type="pct"/>
            <w:tcBorders>
              <w:top w:val="single" w:sz="4" w:space="0" w:color="auto"/>
              <w:bottom w:val="single" w:sz="4" w:space="0" w:color="auto"/>
            </w:tcBorders>
            <w:shd w:val="clear" w:color="auto" w:fill="auto"/>
            <w:vAlign w:val="bottom"/>
          </w:tcPr>
          <w:p w14:paraId="6F5F87B0"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71,4</w:t>
            </w:r>
          </w:p>
        </w:tc>
        <w:tc>
          <w:tcPr>
            <w:tcW w:w="662" w:type="pct"/>
            <w:tcBorders>
              <w:top w:val="single" w:sz="4" w:space="0" w:color="auto"/>
              <w:bottom w:val="single" w:sz="4" w:space="0" w:color="auto"/>
            </w:tcBorders>
            <w:shd w:val="clear" w:color="auto" w:fill="auto"/>
            <w:vAlign w:val="bottom"/>
          </w:tcPr>
          <w:p w14:paraId="3EE565BF"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65,9</w:t>
            </w:r>
          </w:p>
        </w:tc>
        <w:tc>
          <w:tcPr>
            <w:tcW w:w="520" w:type="pct"/>
            <w:tcBorders>
              <w:top w:val="single" w:sz="4" w:space="0" w:color="auto"/>
              <w:bottom w:val="single" w:sz="4" w:space="0" w:color="auto"/>
            </w:tcBorders>
            <w:shd w:val="clear" w:color="auto" w:fill="auto"/>
            <w:vAlign w:val="bottom"/>
          </w:tcPr>
          <w:p w14:paraId="017D1F24"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7,7</w:t>
            </w:r>
          </w:p>
        </w:tc>
      </w:tr>
      <w:tr w:rsidR="00EC45F8" w:rsidRPr="00FF5253" w14:paraId="7173F8D7" w14:textId="77777777" w:rsidTr="00944CB1">
        <w:tc>
          <w:tcPr>
            <w:tcW w:w="848" w:type="pct"/>
            <w:tcBorders>
              <w:top w:val="single" w:sz="4" w:space="0" w:color="auto"/>
              <w:bottom w:val="single" w:sz="4" w:space="0" w:color="auto"/>
            </w:tcBorders>
            <w:shd w:val="clear" w:color="auto" w:fill="auto"/>
            <w:vAlign w:val="bottom"/>
          </w:tcPr>
          <w:p w14:paraId="4BD84E98" w14:textId="77777777"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Городское население</w:t>
            </w:r>
          </w:p>
        </w:tc>
        <w:tc>
          <w:tcPr>
            <w:tcW w:w="556" w:type="pct"/>
            <w:tcBorders>
              <w:top w:val="single" w:sz="4" w:space="0" w:color="auto"/>
              <w:bottom w:val="single" w:sz="4" w:space="0" w:color="auto"/>
            </w:tcBorders>
            <w:shd w:val="clear" w:color="auto" w:fill="auto"/>
            <w:vAlign w:val="bottom"/>
          </w:tcPr>
          <w:p w14:paraId="444C0C30"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14:paraId="347C67A7"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14:paraId="23A13FD2"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14:paraId="7C1A2012"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14:paraId="114D4901"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14:paraId="5CF66595"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14:paraId="73A3E423"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r>
      <w:tr w:rsidR="00EC45F8" w:rsidRPr="00FF5253" w14:paraId="7702B6B2" w14:textId="77777777" w:rsidTr="00944CB1">
        <w:tc>
          <w:tcPr>
            <w:tcW w:w="848" w:type="pct"/>
            <w:tcBorders>
              <w:top w:val="single" w:sz="4" w:space="0" w:color="auto"/>
              <w:bottom w:val="single" w:sz="4" w:space="0" w:color="auto"/>
            </w:tcBorders>
            <w:shd w:val="clear" w:color="auto" w:fill="auto"/>
            <w:vAlign w:val="bottom"/>
          </w:tcPr>
          <w:p w14:paraId="091E4020" w14:textId="77777777"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14:paraId="688ED461" w14:textId="77777777"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11 187</w:t>
            </w:r>
          </w:p>
        </w:tc>
        <w:tc>
          <w:tcPr>
            <w:tcW w:w="528" w:type="pct"/>
            <w:tcBorders>
              <w:top w:val="single" w:sz="4" w:space="0" w:color="auto"/>
              <w:bottom w:val="single" w:sz="4" w:space="0" w:color="auto"/>
            </w:tcBorders>
            <w:shd w:val="clear" w:color="auto" w:fill="auto"/>
            <w:vAlign w:val="bottom"/>
          </w:tcPr>
          <w:p w14:paraId="4A767563" w14:textId="77777777"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10 588</w:t>
            </w:r>
          </w:p>
        </w:tc>
        <w:tc>
          <w:tcPr>
            <w:tcW w:w="582" w:type="pct"/>
            <w:tcBorders>
              <w:top w:val="single" w:sz="4" w:space="0" w:color="auto"/>
              <w:bottom w:val="single" w:sz="4" w:space="0" w:color="auto"/>
            </w:tcBorders>
            <w:shd w:val="clear" w:color="auto" w:fill="auto"/>
            <w:vAlign w:val="bottom"/>
          </w:tcPr>
          <w:p w14:paraId="3D82433D" w14:textId="77777777"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599</w:t>
            </w:r>
          </w:p>
        </w:tc>
        <w:tc>
          <w:tcPr>
            <w:tcW w:w="598" w:type="pct"/>
            <w:tcBorders>
              <w:top w:val="single" w:sz="4" w:space="0" w:color="auto"/>
              <w:bottom w:val="single" w:sz="4" w:space="0" w:color="auto"/>
            </w:tcBorders>
            <w:shd w:val="clear" w:color="auto" w:fill="auto"/>
            <w:vAlign w:val="bottom"/>
          </w:tcPr>
          <w:p w14:paraId="495A40B2" w14:textId="77777777"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2 014</w:t>
            </w:r>
          </w:p>
        </w:tc>
        <w:tc>
          <w:tcPr>
            <w:tcW w:w="706" w:type="pct"/>
            <w:tcBorders>
              <w:top w:val="single" w:sz="4" w:space="0" w:color="auto"/>
              <w:bottom w:val="single" w:sz="4" w:space="0" w:color="auto"/>
            </w:tcBorders>
            <w:shd w:val="clear" w:color="auto" w:fill="auto"/>
            <w:vAlign w:val="bottom"/>
          </w:tcPr>
          <w:p w14:paraId="2670B5B9" w14:textId="77777777"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84,7</w:t>
            </w:r>
          </w:p>
        </w:tc>
        <w:tc>
          <w:tcPr>
            <w:tcW w:w="662" w:type="pct"/>
            <w:tcBorders>
              <w:top w:val="single" w:sz="4" w:space="0" w:color="auto"/>
              <w:bottom w:val="single" w:sz="4" w:space="0" w:color="auto"/>
            </w:tcBorders>
            <w:shd w:val="clear" w:color="auto" w:fill="auto"/>
            <w:vAlign w:val="bottom"/>
          </w:tcPr>
          <w:p w14:paraId="4CF83181" w14:textId="77777777"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80,2</w:t>
            </w:r>
          </w:p>
        </w:tc>
        <w:tc>
          <w:tcPr>
            <w:tcW w:w="520" w:type="pct"/>
            <w:tcBorders>
              <w:top w:val="single" w:sz="4" w:space="0" w:color="auto"/>
              <w:bottom w:val="single" w:sz="4" w:space="0" w:color="auto"/>
            </w:tcBorders>
            <w:shd w:val="clear" w:color="auto" w:fill="auto"/>
            <w:vAlign w:val="bottom"/>
          </w:tcPr>
          <w:p w14:paraId="688FFDA6" w14:textId="77777777" w:rsidR="00EC45F8" w:rsidRPr="00FF5253" w:rsidRDefault="00EC45F8"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5,4</w:t>
            </w:r>
          </w:p>
        </w:tc>
      </w:tr>
      <w:tr w:rsidR="00EC45F8" w:rsidRPr="00FF5253" w14:paraId="50C41ABF" w14:textId="77777777" w:rsidTr="00944CB1">
        <w:tc>
          <w:tcPr>
            <w:tcW w:w="848" w:type="pct"/>
            <w:tcBorders>
              <w:top w:val="single" w:sz="4" w:space="0" w:color="auto"/>
              <w:bottom w:val="single" w:sz="4" w:space="0" w:color="auto"/>
            </w:tcBorders>
            <w:shd w:val="clear" w:color="auto" w:fill="auto"/>
            <w:vAlign w:val="bottom"/>
          </w:tcPr>
          <w:p w14:paraId="3E27D25C" w14:textId="77777777"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14:paraId="18BDEB77"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14:paraId="48FEF81E"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14:paraId="7881601A"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14:paraId="1650B10C"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14:paraId="30A4C68B"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14:paraId="3C618A47"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14:paraId="0502A016"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r>
      <w:tr w:rsidR="00EC45F8" w:rsidRPr="00FF5253" w14:paraId="69A1A051" w14:textId="77777777" w:rsidTr="00944CB1">
        <w:tc>
          <w:tcPr>
            <w:tcW w:w="848" w:type="pct"/>
            <w:tcBorders>
              <w:top w:val="single" w:sz="4" w:space="0" w:color="auto"/>
              <w:bottom w:val="single" w:sz="4" w:space="0" w:color="auto"/>
            </w:tcBorders>
            <w:shd w:val="clear" w:color="auto" w:fill="auto"/>
            <w:vAlign w:val="bottom"/>
          </w:tcPr>
          <w:p w14:paraId="0E42F86B" w14:textId="77777777"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14:paraId="3A40CAFB"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7 304</w:t>
            </w:r>
          </w:p>
        </w:tc>
        <w:tc>
          <w:tcPr>
            <w:tcW w:w="528" w:type="pct"/>
            <w:tcBorders>
              <w:top w:val="single" w:sz="4" w:space="0" w:color="auto"/>
              <w:bottom w:val="single" w:sz="4" w:space="0" w:color="auto"/>
            </w:tcBorders>
            <w:shd w:val="clear" w:color="auto" w:fill="auto"/>
            <w:vAlign w:val="bottom"/>
          </w:tcPr>
          <w:p w14:paraId="62B7DC2B"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6 973</w:t>
            </w:r>
          </w:p>
        </w:tc>
        <w:tc>
          <w:tcPr>
            <w:tcW w:w="582" w:type="pct"/>
            <w:tcBorders>
              <w:top w:val="single" w:sz="4" w:space="0" w:color="auto"/>
              <w:bottom w:val="single" w:sz="4" w:space="0" w:color="auto"/>
            </w:tcBorders>
            <w:shd w:val="clear" w:color="auto" w:fill="auto"/>
            <w:vAlign w:val="bottom"/>
          </w:tcPr>
          <w:p w14:paraId="4286476C"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332</w:t>
            </w:r>
          </w:p>
        </w:tc>
        <w:tc>
          <w:tcPr>
            <w:tcW w:w="598" w:type="pct"/>
            <w:tcBorders>
              <w:top w:val="single" w:sz="4" w:space="0" w:color="auto"/>
              <w:bottom w:val="single" w:sz="4" w:space="0" w:color="auto"/>
            </w:tcBorders>
            <w:shd w:val="clear" w:color="auto" w:fill="auto"/>
            <w:vAlign w:val="bottom"/>
          </w:tcPr>
          <w:p w14:paraId="346EBFFE"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987</w:t>
            </w:r>
          </w:p>
        </w:tc>
        <w:tc>
          <w:tcPr>
            <w:tcW w:w="706" w:type="pct"/>
            <w:tcBorders>
              <w:top w:val="single" w:sz="4" w:space="0" w:color="auto"/>
              <w:bottom w:val="single" w:sz="4" w:space="0" w:color="auto"/>
            </w:tcBorders>
            <w:shd w:val="clear" w:color="auto" w:fill="auto"/>
            <w:vAlign w:val="bottom"/>
          </w:tcPr>
          <w:p w14:paraId="17C8513C"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88,1</w:t>
            </w:r>
          </w:p>
        </w:tc>
        <w:tc>
          <w:tcPr>
            <w:tcW w:w="662" w:type="pct"/>
            <w:tcBorders>
              <w:top w:val="single" w:sz="4" w:space="0" w:color="auto"/>
              <w:bottom w:val="single" w:sz="4" w:space="0" w:color="auto"/>
            </w:tcBorders>
            <w:shd w:val="clear" w:color="auto" w:fill="auto"/>
            <w:vAlign w:val="bottom"/>
          </w:tcPr>
          <w:p w14:paraId="7AE13C17"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84,1</w:t>
            </w:r>
          </w:p>
        </w:tc>
        <w:tc>
          <w:tcPr>
            <w:tcW w:w="520" w:type="pct"/>
            <w:tcBorders>
              <w:top w:val="single" w:sz="4" w:space="0" w:color="auto"/>
              <w:bottom w:val="single" w:sz="4" w:space="0" w:color="auto"/>
            </w:tcBorders>
            <w:shd w:val="clear" w:color="auto" w:fill="auto"/>
            <w:vAlign w:val="bottom"/>
          </w:tcPr>
          <w:p w14:paraId="2DCB41A2"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4,5</w:t>
            </w:r>
          </w:p>
        </w:tc>
      </w:tr>
      <w:tr w:rsidR="00EC45F8" w:rsidRPr="00FF5253" w14:paraId="34E40219" w14:textId="77777777" w:rsidTr="00944CB1">
        <w:tc>
          <w:tcPr>
            <w:tcW w:w="848" w:type="pct"/>
            <w:tcBorders>
              <w:top w:val="single" w:sz="4" w:space="0" w:color="auto"/>
              <w:bottom w:val="single" w:sz="4" w:space="0" w:color="auto"/>
            </w:tcBorders>
            <w:shd w:val="clear" w:color="auto" w:fill="auto"/>
            <w:vAlign w:val="bottom"/>
          </w:tcPr>
          <w:p w14:paraId="789033AA" w14:textId="77777777"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14:paraId="4F1B04B5"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3 327</w:t>
            </w:r>
          </w:p>
        </w:tc>
        <w:tc>
          <w:tcPr>
            <w:tcW w:w="528" w:type="pct"/>
            <w:tcBorders>
              <w:top w:val="single" w:sz="4" w:space="0" w:color="auto"/>
              <w:bottom w:val="single" w:sz="4" w:space="0" w:color="auto"/>
            </w:tcBorders>
            <w:shd w:val="clear" w:color="auto" w:fill="auto"/>
            <w:vAlign w:val="bottom"/>
          </w:tcPr>
          <w:p w14:paraId="5A9068A5"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3 116</w:t>
            </w:r>
          </w:p>
        </w:tc>
        <w:tc>
          <w:tcPr>
            <w:tcW w:w="582" w:type="pct"/>
            <w:tcBorders>
              <w:top w:val="single" w:sz="4" w:space="0" w:color="auto"/>
              <w:bottom w:val="single" w:sz="4" w:space="0" w:color="auto"/>
            </w:tcBorders>
            <w:shd w:val="clear" w:color="auto" w:fill="auto"/>
            <w:vAlign w:val="bottom"/>
          </w:tcPr>
          <w:p w14:paraId="710B7A6C"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211</w:t>
            </w:r>
          </w:p>
        </w:tc>
        <w:tc>
          <w:tcPr>
            <w:tcW w:w="598" w:type="pct"/>
            <w:tcBorders>
              <w:top w:val="single" w:sz="4" w:space="0" w:color="auto"/>
              <w:bottom w:val="single" w:sz="4" w:space="0" w:color="auto"/>
            </w:tcBorders>
            <w:shd w:val="clear" w:color="auto" w:fill="auto"/>
            <w:vAlign w:val="bottom"/>
          </w:tcPr>
          <w:p w14:paraId="6064846F"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739</w:t>
            </w:r>
          </w:p>
        </w:tc>
        <w:tc>
          <w:tcPr>
            <w:tcW w:w="706" w:type="pct"/>
            <w:tcBorders>
              <w:top w:val="single" w:sz="4" w:space="0" w:color="auto"/>
              <w:bottom w:val="single" w:sz="4" w:space="0" w:color="auto"/>
            </w:tcBorders>
            <w:shd w:val="clear" w:color="auto" w:fill="auto"/>
            <w:vAlign w:val="bottom"/>
          </w:tcPr>
          <w:p w14:paraId="0B397244" w14:textId="77777777"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81,8</w:t>
            </w:r>
          </w:p>
        </w:tc>
        <w:tc>
          <w:tcPr>
            <w:tcW w:w="662" w:type="pct"/>
            <w:tcBorders>
              <w:top w:val="single" w:sz="4" w:space="0" w:color="auto"/>
              <w:bottom w:val="single" w:sz="4" w:space="0" w:color="auto"/>
            </w:tcBorders>
            <w:shd w:val="clear" w:color="auto" w:fill="auto"/>
            <w:vAlign w:val="bottom"/>
          </w:tcPr>
          <w:p w14:paraId="35E1494F" w14:textId="77777777"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76,6</w:t>
            </w:r>
          </w:p>
        </w:tc>
        <w:tc>
          <w:tcPr>
            <w:tcW w:w="520" w:type="pct"/>
            <w:tcBorders>
              <w:top w:val="single" w:sz="4" w:space="0" w:color="auto"/>
              <w:bottom w:val="single" w:sz="4" w:space="0" w:color="auto"/>
            </w:tcBorders>
            <w:shd w:val="clear" w:color="auto" w:fill="auto"/>
            <w:vAlign w:val="bottom"/>
          </w:tcPr>
          <w:p w14:paraId="1EC634CB" w14:textId="77777777"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6,3</w:t>
            </w:r>
          </w:p>
        </w:tc>
      </w:tr>
      <w:tr w:rsidR="00EC45F8" w:rsidRPr="00FF5253" w14:paraId="08B2A440" w14:textId="77777777" w:rsidTr="00944CB1">
        <w:tc>
          <w:tcPr>
            <w:tcW w:w="848" w:type="pct"/>
            <w:tcBorders>
              <w:top w:val="single" w:sz="4" w:space="0" w:color="auto"/>
              <w:bottom w:val="single" w:sz="4" w:space="0" w:color="auto"/>
            </w:tcBorders>
            <w:shd w:val="clear" w:color="auto" w:fill="auto"/>
            <w:vAlign w:val="bottom"/>
          </w:tcPr>
          <w:p w14:paraId="2A315552" w14:textId="77777777"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14:paraId="41A2F545" w14:textId="77777777"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556</w:t>
            </w:r>
          </w:p>
        </w:tc>
        <w:tc>
          <w:tcPr>
            <w:tcW w:w="528" w:type="pct"/>
            <w:tcBorders>
              <w:top w:val="single" w:sz="4" w:space="0" w:color="auto"/>
              <w:bottom w:val="single" w:sz="4" w:space="0" w:color="auto"/>
            </w:tcBorders>
            <w:shd w:val="clear" w:color="auto" w:fill="auto"/>
            <w:vAlign w:val="bottom"/>
          </w:tcPr>
          <w:p w14:paraId="23A820AD" w14:textId="77777777"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500</w:t>
            </w:r>
          </w:p>
        </w:tc>
        <w:tc>
          <w:tcPr>
            <w:tcW w:w="582" w:type="pct"/>
            <w:tcBorders>
              <w:top w:val="single" w:sz="4" w:space="0" w:color="auto"/>
              <w:bottom w:val="single" w:sz="4" w:space="0" w:color="auto"/>
            </w:tcBorders>
            <w:shd w:val="clear" w:color="auto" w:fill="auto"/>
            <w:vAlign w:val="bottom"/>
          </w:tcPr>
          <w:p w14:paraId="03FA40B4" w14:textId="77777777"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56</w:t>
            </w:r>
          </w:p>
        </w:tc>
        <w:tc>
          <w:tcPr>
            <w:tcW w:w="598" w:type="pct"/>
            <w:tcBorders>
              <w:top w:val="single" w:sz="4" w:space="0" w:color="auto"/>
              <w:bottom w:val="single" w:sz="4" w:space="0" w:color="auto"/>
            </w:tcBorders>
            <w:shd w:val="clear" w:color="auto" w:fill="auto"/>
            <w:vAlign w:val="bottom"/>
          </w:tcPr>
          <w:p w14:paraId="3290E12E" w14:textId="77777777"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288</w:t>
            </w:r>
          </w:p>
        </w:tc>
        <w:tc>
          <w:tcPr>
            <w:tcW w:w="706" w:type="pct"/>
            <w:tcBorders>
              <w:top w:val="single" w:sz="4" w:space="0" w:color="auto"/>
              <w:bottom w:val="single" w:sz="4" w:space="0" w:color="auto"/>
            </w:tcBorders>
            <w:shd w:val="clear" w:color="auto" w:fill="auto"/>
            <w:vAlign w:val="bottom"/>
          </w:tcPr>
          <w:p w14:paraId="7B1B667E" w14:textId="77777777"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65,9</w:t>
            </w:r>
          </w:p>
        </w:tc>
        <w:tc>
          <w:tcPr>
            <w:tcW w:w="662" w:type="pct"/>
            <w:tcBorders>
              <w:top w:val="single" w:sz="4" w:space="0" w:color="auto"/>
              <w:bottom w:val="single" w:sz="4" w:space="0" w:color="auto"/>
            </w:tcBorders>
            <w:shd w:val="clear" w:color="auto" w:fill="auto"/>
            <w:vAlign w:val="bottom"/>
          </w:tcPr>
          <w:p w14:paraId="6537E63C" w14:textId="77777777"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59,2</w:t>
            </w:r>
          </w:p>
        </w:tc>
        <w:tc>
          <w:tcPr>
            <w:tcW w:w="520" w:type="pct"/>
            <w:tcBorders>
              <w:top w:val="single" w:sz="4" w:space="0" w:color="auto"/>
              <w:bottom w:val="single" w:sz="4" w:space="0" w:color="auto"/>
            </w:tcBorders>
            <w:shd w:val="clear" w:color="auto" w:fill="auto"/>
            <w:vAlign w:val="bottom"/>
          </w:tcPr>
          <w:p w14:paraId="2C886C62" w14:textId="77777777"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10,1</w:t>
            </w:r>
          </w:p>
        </w:tc>
      </w:tr>
      <w:tr w:rsidR="00EC45F8" w:rsidRPr="00FF5253" w14:paraId="3EE3FE3F" w14:textId="77777777" w:rsidTr="00944CB1">
        <w:tc>
          <w:tcPr>
            <w:tcW w:w="848" w:type="pct"/>
            <w:tcBorders>
              <w:top w:val="single" w:sz="4" w:space="0" w:color="auto"/>
              <w:bottom w:val="single" w:sz="4" w:space="0" w:color="auto"/>
            </w:tcBorders>
            <w:shd w:val="clear" w:color="auto" w:fill="auto"/>
            <w:vAlign w:val="bottom"/>
          </w:tcPr>
          <w:p w14:paraId="4853EB04" w14:textId="77777777"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14:paraId="566BC208" w14:textId="77777777"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4 172</w:t>
            </w:r>
          </w:p>
        </w:tc>
        <w:tc>
          <w:tcPr>
            <w:tcW w:w="528" w:type="pct"/>
            <w:tcBorders>
              <w:top w:val="single" w:sz="4" w:space="0" w:color="auto"/>
              <w:bottom w:val="single" w:sz="4" w:space="0" w:color="auto"/>
            </w:tcBorders>
            <w:shd w:val="clear" w:color="auto" w:fill="auto"/>
            <w:vAlign w:val="bottom"/>
          </w:tcPr>
          <w:p w14:paraId="7EFF94FA" w14:textId="77777777"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3 869</w:t>
            </w:r>
          </w:p>
        </w:tc>
        <w:tc>
          <w:tcPr>
            <w:tcW w:w="582" w:type="pct"/>
            <w:tcBorders>
              <w:top w:val="single" w:sz="4" w:space="0" w:color="auto"/>
              <w:bottom w:val="single" w:sz="4" w:space="0" w:color="auto"/>
            </w:tcBorders>
            <w:shd w:val="clear" w:color="auto" w:fill="auto"/>
            <w:vAlign w:val="bottom"/>
          </w:tcPr>
          <w:p w14:paraId="2E03467D" w14:textId="77777777"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303</w:t>
            </w:r>
          </w:p>
        </w:tc>
        <w:tc>
          <w:tcPr>
            <w:tcW w:w="598" w:type="pct"/>
            <w:tcBorders>
              <w:top w:val="single" w:sz="4" w:space="0" w:color="auto"/>
              <w:bottom w:val="single" w:sz="4" w:space="0" w:color="auto"/>
            </w:tcBorders>
            <w:shd w:val="clear" w:color="auto" w:fill="auto"/>
            <w:vAlign w:val="bottom"/>
          </w:tcPr>
          <w:p w14:paraId="4EB3F310" w14:textId="77777777"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1 545</w:t>
            </w:r>
          </w:p>
        </w:tc>
        <w:tc>
          <w:tcPr>
            <w:tcW w:w="706" w:type="pct"/>
            <w:tcBorders>
              <w:top w:val="single" w:sz="4" w:space="0" w:color="auto"/>
              <w:bottom w:val="single" w:sz="4" w:space="0" w:color="auto"/>
            </w:tcBorders>
            <w:shd w:val="clear" w:color="auto" w:fill="auto"/>
            <w:vAlign w:val="bottom"/>
          </w:tcPr>
          <w:p w14:paraId="68809BDB" w14:textId="77777777"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73,0</w:t>
            </w:r>
          </w:p>
        </w:tc>
        <w:tc>
          <w:tcPr>
            <w:tcW w:w="662" w:type="pct"/>
            <w:tcBorders>
              <w:top w:val="single" w:sz="4" w:space="0" w:color="auto"/>
              <w:bottom w:val="single" w:sz="4" w:space="0" w:color="auto"/>
            </w:tcBorders>
            <w:shd w:val="clear" w:color="auto" w:fill="auto"/>
            <w:vAlign w:val="bottom"/>
          </w:tcPr>
          <w:p w14:paraId="28E801BE" w14:textId="77777777"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67,7</w:t>
            </w:r>
          </w:p>
        </w:tc>
        <w:tc>
          <w:tcPr>
            <w:tcW w:w="520" w:type="pct"/>
            <w:tcBorders>
              <w:top w:val="single" w:sz="4" w:space="0" w:color="auto"/>
              <w:bottom w:val="single" w:sz="4" w:space="0" w:color="auto"/>
            </w:tcBorders>
            <w:shd w:val="clear" w:color="auto" w:fill="auto"/>
            <w:vAlign w:val="bottom"/>
          </w:tcPr>
          <w:p w14:paraId="6797A00D" w14:textId="77777777"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7,3</w:t>
            </w:r>
          </w:p>
        </w:tc>
      </w:tr>
      <w:tr w:rsidR="00EC45F8" w:rsidRPr="00FF5253" w14:paraId="6CAED72F" w14:textId="77777777" w:rsidTr="00944CB1">
        <w:tc>
          <w:tcPr>
            <w:tcW w:w="848" w:type="pct"/>
            <w:tcBorders>
              <w:top w:val="single" w:sz="4" w:space="0" w:color="auto"/>
              <w:bottom w:val="single" w:sz="4" w:space="0" w:color="auto"/>
            </w:tcBorders>
            <w:shd w:val="clear" w:color="auto" w:fill="auto"/>
            <w:vAlign w:val="bottom"/>
          </w:tcPr>
          <w:p w14:paraId="4B9D8377" w14:textId="77777777"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Сельское население</w:t>
            </w:r>
          </w:p>
        </w:tc>
        <w:tc>
          <w:tcPr>
            <w:tcW w:w="556" w:type="pct"/>
            <w:tcBorders>
              <w:top w:val="single" w:sz="4" w:space="0" w:color="auto"/>
              <w:bottom w:val="single" w:sz="4" w:space="0" w:color="auto"/>
            </w:tcBorders>
            <w:shd w:val="clear" w:color="auto" w:fill="auto"/>
            <w:vAlign w:val="bottom"/>
          </w:tcPr>
          <w:p w14:paraId="74C93821"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14:paraId="667B4A43"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14:paraId="22DCEB58"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14:paraId="103D643E"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14:paraId="1E3B46C3"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14:paraId="63166F12"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14:paraId="6EAFE346"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r>
      <w:tr w:rsidR="00EC45F8" w:rsidRPr="00FF5253" w14:paraId="1E9E8976" w14:textId="77777777" w:rsidTr="00944CB1">
        <w:tc>
          <w:tcPr>
            <w:tcW w:w="848" w:type="pct"/>
            <w:tcBorders>
              <w:top w:val="single" w:sz="4" w:space="0" w:color="auto"/>
              <w:bottom w:val="single" w:sz="4" w:space="0" w:color="auto"/>
            </w:tcBorders>
            <w:shd w:val="clear" w:color="auto" w:fill="auto"/>
            <w:vAlign w:val="bottom"/>
          </w:tcPr>
          <w:p w14:paraId="0A820F80" w14:textId="77777777"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14:paraId="3A996ADB" w14:textId="77777777" w:rsidR="00EC45F8" w:rsidRPr="00FF5253" w:rsidRDefault="00FF5253"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2 793</w:t>
            </w:r>
          </w:p>
        </w:tc>
        <w:tc>
          <w:tcPr>
            <w:tcW w:w="528" w:type="pct"/>
            <w:tcBorders>
              <w:top w:val="single" w:sz="4" w:space="0" w:color="auto"/>
              <w:bottom w:val="single" w:sz="4" w:space="0" w:color="auto"/>
            </w:tcBorders>
            <w:shd w:val="clear" w:color="auto" w:fill="auto"/>
            <w:vAlign w:val="bottom"/>
          </w:tcPr>
          <w:p w14:paraId="2AA526BB" w14:textId="77777777" w:rsidR="00EC45F8" w:rsidRPr="00FF5253" w:rsidRDefault="00FF5253"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2 572</w:t>
            </w:r>
          </w:p>
        </w:tc>
        <w:tc>
          <w:tcPr>
            <w:tcW w:w="582" w:type="pct"/>
            <w:tcBorders>
              <w:top w:val="single" w:sz="4" w:space="0" w:color="auto"/>
              <w:bottom w:val="single" w:sz="4" w:space="0" w:color="auto"/>
            </w:tcBorders>
            <w:shd w:val="clear" w:color="auto" w:fill="auto"/>
            <w:vAlign w:val="bottom"/>
          </w:tcPr>
          <w:p w14:paraId="1CCB9F3D" w14:textId="77777777" w:rsidR="00EC45F8" w:rsidRPr="00FF5253" w:rsidRDefault="00FF5253"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221</w:t>
            </w:r>
          </w:p>
        </w:tc>
        <w:tc>
          <w:tcPr>
            <w:tcW w:w="598" w:type="pct"/>
            <w:tcBorders>
              <w:top w:val="single" w:sz="4" w:space="0" w:color="auto"/>
              <w:bottom w:val="single" w:sz="4" w:space="0" w:color="auto"/>
            </w:tcBorders>
            <w:shd w:val="clear" w:color="auto" w:fill="auto"/>
            <w:vAlign w:val="bottom"/>
          </w:tcPr>
          <w:p w14:paraId="4AA8AFB1" w14:textId="77777777" w:rsidR="00EC45F8" w:rsidRPr="00FF5253" w:rsidRDefault="00FF5253"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815</w:t>
            </w:r>
          </w:p>
        </w:tc>
        <w:tc>
          <w:tcPr>
            <w:tcW w:w="706" w:type="pct"/>
            <w:tcBorders>
              <w:top w:val="single" w:sz="4" w:space="0" w:color="auto"/>
              <w:bottom w:val="single" w:sz="4" w:space="0" w:color="auto"/>
            </w:tcBorders>
            <w:shd w:val="clear" w:color="auto" w:fill="auto"/>
            <w:vAlign w:val="bottom"/>
          </w:tcPr>
          <w:p w14:paraId="4468EC8C" w14:textId="77777777" w:rsidR="00EC45F8" w:rsidRPr="00FF5253" w:rsidRDefault="00FF5253"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77,4</w:t>
            </w:r>
          </w:p>
        </w:tc>
        <w:tc>
          <w:tcPr>
            <w:tcW w:w="662" w:type="pct"/>
            <w:tcBorders>
              <w:top w:val="single" w:sz="4" w:space="0" w:color="auto"/>
              <w:bottom w:val="single" w:sz="4" w:space="0" w:color="auto"/>
            </w:tcBorders>
            <w:shd w:val="clear" w:color="auto" w:fill="auto"/>
            <w:vAlign w:val="bottom"/>
          </w:tcPr>
          <w:p w14:paraId="08478922" w14:textId="77777777" w:rsidR="00EC45F8" w:rsidRPr="00FF5253" w:rsidRDefault="00FF5253"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71,3</w:t>
            </w:r>
          </w:p>
        </w:tc>
        <w:tc>
          <w:tcPr>
            <w:tcW w:w="520" w:type="pct"/>
            <w:tcBorders>
              <w:top w:val="single" w:sz="4" w:space="0" w:color="auto"/>
              <w:bottom w:val="single" w:sz="4" w:space="0" w:color="auto"/>
            </w:tcBorders>
            <w:shd w:val="clear" w:color="auto" w:fill="auto"/>
            <w:vAlign w:val="bottom"/>
          </w:tcPr>
          <w:p w14:paraId="3B64A1C3" w14:textId="77777777" w:rsidR="00EC45F8" w:rsidRPr="00FF5253" w:rsidRDefault="00FF5253" w:rsidP="00D03A4F">
            <w:pPr>
              <w:widowControl w:val="0"/>
              <w:spacing w:after="0" w:line="240" w:lineRule="auto"/>
              <w:jc w:val="center"/>
              <w:rPr>
                <w:rFonts w:ascii="Times New Roman" w:eastAsia="Times New Roman" w:hAnsi="Times New Roman" w:cs="Times New Roman"/>
                <w:b/>
                <w:sz w:val="24"/>
                <w:szCs w:val="24"/>
                <w:lang w:eastAsia="ru-RU"/>
              </w:rPr>
            </w:pPr>
            <w:r w:rsidRPr="00FF5253">
              <w:rPr>
                <w:rFonts w:ascii="Times New Roman" w:eastAsia="Times New Roman" w:hAnsi="Times New Roman" w:cs="Times New Roman"/>
                <w:b/>
                <w:sz w:val="24"/>
                <w:szCs w:val="24"/>
                <w:lang w:eastAsia="ru-RU"/>
              </w:rPr>
              <w:t>7,9</w:t>
            </w:r>
          </w:p>
        </w:tc>
      </w:tr>
      <w:tr w:rsidR="00EC45F8" w:rsidRPr="00FF5253" w14:paraId="5390812D" w14:textId="77777777" w:rsidTr="00944CB1">
        <w:tc>
          <w:tcPr>
            <w:tcW w:w="848" w:type="pct"/>
            <w:tcBorders>
              <w:top w:val="single" w:sz="4" w:space="0" w:color="auto"/>
              <w:bottom w:val="single" w:sz="4" w:space="0" w:color="auto"/>
            </w:tcBorders>
            <w:shd w:val="clear" w:color="auto" w:fill="auto"/>
            <w:vAlign w:val="bottom"/>
          </w:tcPr>
          <w:p w14:paraId="430C429E" w14:textId="77777777"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14:paraId="48647D91"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14:paraId="5231F92B"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14:paraId="6230CA20"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14:paraId="04C70FDC"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14:paraId="63B8236A"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14:paraId="2A339810"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14:paraId="185D6FA3" w14:textId="77777777" w:rsidR="00EC45F8" w:rsidRPr="00FF5253" w:rsidRDefault="00EC45F8" w:rsidP="00D03A4F">
            <w:pPr>
              <w:widowControl w:val="0"/>
              <w:spacing w:after="0" w:line="240" w:lineRule="auto"/>
              <w:jc w:val="center"/>
              <w:rPr>
                <w:rFonts w:ascii="Times New Roman" w:eastAsia="Times New Roman" w:hAnsi="Times New Roman" w:cs="Times New Roman"/>
                <w:sz w:val="24"/>
                <w:szCs w:val="24"/>
                <w:lang w:eastAsia="ru-RU"/>
              </w:rPr>
            </w:pPr>
          </w:p>
        </w:tc>
      </w:tr>
      <w:tr w:rsidR="00EC45F8" w:rsidRPr="00FF5253" w14:paraId="1D3EAFAE" w14:textId="77777777" w:rsidTr="00944CB1">
        <w:tc>
          <w:tcPr>
            <w:tcW w:w="848" w:type="pct"/>
            <w:tcBorders>
              <w:top w:val="single" w:sz="4" w:space="0" w:color="auto"/>
              <w:bottom w:val="single" w:sz="4" w:space="0" w:color="auto"/>
            </w:tcBorders>
            <w:shd w:val="clear" w:color="auto" w:fill="auto"/>
            <w:vAlign w:val="bottom"/>
          </w:tcPr>
          <w:p w14:paraId="69B887B1" w14:textId="77777777"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14:paraId="673A842A" w14:textId="77777777"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1 487</w:t>
            </w:r>
          </w:p>
        </w:tc>
        <w:tc>
          <w:tcPr>
            <w:tcW w:w="528" w:type="pct"/>
            <w:tcBorders>
              <w:top w:val="single" w:sz="4" w:space="0" w:color="auto"/>
              <w:bottom w:val="single" w:sz="4" w:space="0" w:color="auto"/>
            </w:tcBorders>
            <w:shd w:val="clear" w:color="auto" w:fill="auto"/>
            <w:vAlign w:val="bottom"/>
          </w:tcPr>
          <w:p w14:paraId="4AED2A8E" w14:textId="77777777"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1 387</w:t>
            </w:r>
          </w:p>
        </w:tc>
        <w:tc>
          <w:tcPr>
            <w:tcW w:w="582" w:type="pct"/>
            <w:tcBorders>
              <w:top w:val="single" w:sz="4" w:space="0" w:color="auto"/>
              <w:bottom w:val="single" w:sz="4" w:space="0" w:color="auto"/>
            </w:tcBorders>
            <w:shd w:val="clear" w:color="auto" w:fill="auto"/>
            <w:vAlign w:val="bottom"/>
          </w:tcPr>
          <w:p w14:paraId="078667A0" w14:textId="77777777"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100</w:t>
            </w:r>
          </w:p>
        </w:tc>
        <w:tc>
          <w:tcPr>
            <w:tcW w:w="598" w:type="pct"/>
            <w:tcBorders>
              <w:top w:val="single" w:sz="4" w:space="0" w:color="auto"/>
              <w:bottom w:val="single" w:sz="4" w:space="0" w:color="auto"/>
            </w:tcBorders>
            <w:shd w:val="clear" w:color="auto" w:fill="auto"/>
            <w:vAlign w:val="bottom"/>
          </w:tcPr>
          <w:p w14:paraId="4A421707" w14:textId="77777777"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336</w:t>
            </w:r>
          </w:p>
        </w:tc>
        <w:tc>
          <w:tcPr>
            <w:tcW w:w="706" w:type="pct"/>
            <w:tcBorders>
              <w:top w:val="single" w:sz="4" w:space="0" w:color="auto"/>
              <w:bottom w:val="single" w:sz="4" w:space="0" w:color="auto"/>
            </w:tcBorders>
            <w:shd w:val="clear" w:color="auto" w:fill="auto"/>
            <w:vAlign w:val="bottom"/>
          </w:tcPr>
          <w:p w14:paraId="647A4055" w14:textId="77777777"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81,6</w:t>
            </w:r>
          </w:p>
        </w:tc>
        <w:tc>
          <w:tcPr>
            <w:tcW w:w="662" w:type="pct"/>
            <w:tcBorders>
              <w:top w:val="single" w:sz="4" w:space="0" w:color="auto"/>
              <w:bottom w:val="single" w:sz="4" w:space="0" w:color="auto"/>
            </w:tcBorders>
            <w:shd w:val="clear" w:color="auto" w:fill="auto"/>
            <w:vAlign w:val="bottom"/>
          </w:tcPr>
          <w:p w14:paraId="4102E016" w14:textId="77777777"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76,1</w:t>
            </w:r>
          </w:p>
        </w:tc>
        <w:tc>
          <w:tcPr>
            <w:tcW w:w="520" w:type="pct"/>
            <w:tcBorders>
              <w:top w:val="single" w:sz="4" w:space="0" w:color="auto"/>
              <w:bottom w:val="single" w:sz="4" w:space="0" w:color="auto"/>
            </w:tcBorders>
            <w:shd w:val="clear" w:color="auto" w:fill="auto"/>
            <w:vAlign w:val="bottom"/>
          </w:tcPr>
          <w:p w14:paraId="265B725A" w14:textId="77777777"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6,7</w:t>
            </w:r>
          </w:p>
        </w:tc>
      </w:tr>
      <w:tr w:rsidR="00EC45F8" w:rsidRPr="00FF5253" w14:paraId="6187F89A" w14:textId="77777777" w:rsidTr="00944CB1">
        <w:tc>
          <w:tcPr>
            <w:tcW w:w="848" w:type="pct"/>
            <w:tcBorders>
              <w:top w:val="single" w:sz="4" w:space="0" w:color="auto"/>
              <w:bottom w:val="single" w:sz="4" w:space="0" w:color="auto"/>
            </w:tcBorders>
            <w:shd w:val="clear" w:color="auto" w:fill="auto"/>
            <w:vAlign w:val="bottom"/>
          </w:tcPr>
          <w:p w14:paraId="08E6568B" w14:textId="77777777"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14:paraId="0792CC0B" w14:textId="77777777"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971</w:t>
            </w:r>
          </w:p>
        </w:tc>
        <w:tc>
          <w:tcPr>
            <w:tcW w:w="528" w:type="pct"/>
            <w:tcBorders>
              <w:top w:val="single" w:sz="4" w:space="0" w:color="auto"/>
              <w:bottom w:val="single" w:sz="4" w:space="0" w:color="auto"/>
            </w:tcBorders>
            <w:shd w:val="clear" w:color="auto" w:fill="auto"/>
            <w:vAlign w:val="bottom"/>
          </w:tcPr>
          <w:p w14:paraId="25AA88A8" w14:textId="77777777"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892</w:t>
            </w:r>
          </w:p>
        </w:tc>
        <w:tc>
          <w:tcPr>
            <w:tcW w:w="582" w:type="pct"/>
            <w:tcBorders>
              <w:top w:val="single" w:sz="4" w:space="0" w:color="auto"/>
              <w:bottom w:val="single" w:sz="4" w:space="0" w:color="auto"/>
            </w:tcBorders>
            <w:shd w:val="clear" w:color="auto" w:fill="auto"/>
            <w:vAlign w:val="bottom"/>
          </w:tcPr>
          <w:p w14:paraId="1A495386" w14:textId="77777777"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79</w:t>
            </w:r>
          </w:p>
        </w:tc>
        <w:tc>
          <w:tcPr>
            <w:tcW w:w="598" w:type="pct"/>
            <w:tcBorders>
              <w:top w:val="single" w:sz="4" w:space="0" w:color="auto"/>
              <w:bottom w:val="single" w:sz="4" w:space="0" w:color="auto"/>
            </w:tcBorders>
            <w:shd w:val="clear" w:color="auto" w:fill="auto"/>
            <w:vAlign w:val="bottom"/>
          </w:tcPr>
          <w:p w14:paraId="0A1601E4" w14:textId="77777777"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284</w:t>
            </w:r>
          </w:p>
        </w:tc>
        <w:tc>
          <w:tcPr>
            <w:tcW w:w="706" w:type="pct"/>
            <w:tcBorders>
              <w:top w:val="single" w:sz="4" w:space="0" w:color="auto"/>
              <w:bottom w:val="single" w:sz="4" w:space="0" w:color="auto"/>
            </w:tcBorders>
            <w:shd w:val="clear" w:color="auto" w:fill="auto"/>
            <w:vAlign w:val="bottom"/>
          </w:tcPr>
          <w:p w14:paraId="095342E0" w14:textId="77777777"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77,4</w:t>
            </w:r>
          </w:p>
        </w:tc>
        <w:tc>
          <w:tcPr>
            <w:tcW w:w="662" w:type="pct"/>
            <w:tcBorders>
              <w:top w:val="single" w:sz="4" w:space="0" w:color="auto"/>
              <w:bottom w:val="single" w:sz="4" w:space="0" w:color="auto"/>
            </w:tcBorders>
            <w:shd w:val="clear" w:color="auto" w:fill="auto"/>
            <w:vAlign w:val="bottom"/>
          </w:tcPr>
          <w:p w14:paraId="5A3943F2" w14:textId="77777777"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71,1</w:t>
            </w:r>
          </w:p>
        </w:tc>
        <w:tc>
          <w:tcPr>
            <w:tcW w:w="520" w:type="pct"/>
            <w:tcBorders>
              <w:top w:val="single" w:sz="4" w:space="0" w:color="auto"/>
              <w:bottom w:val="single" w:sz="4" w:space="0" w:color="auto"/>
            </w:tcBorders>
            <w:shd w:val="clear" w:color="auto" w:fill="auto"/>
            <w:vAlign w:val="bottom"/>
          </w:tcPr>
          <w:p w14:paraId="61F07A12" w14:textId="77777777"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8,2</w:t>
            </w:r>
          </w:p>
        </w:tc>
      </w:tr>
      <w:tr w:rsidR="00EC45F8" w:rsidRPr="00FF5253" w14:paraId="6FEC106E" w14:textId="77777777" w:rsidTr="00944CB1">
        <w:tc>
          <w:tcPr>
            <w:tcW w:w="848" w:type="pct"/>
            <w:tcBorders>
              <w:top w:val="single" w:sz="4" w:space="0" w:color="auto"/>
              <w:bottom w:val="single" w:sz="4" w:space="0" w:color="auto"/>
            </w:tcBorders>
            <w:shd w:val="clear" w:color="auto" w:fill="auto"/>
            <w:vAlign w:val="bottom"/>
          </w:tcPr>
          <w:p w14:paraId="385913A6" w14:textId="77777777"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14:paraId="4C5389C4" w14:textId="77777777"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335</w:t>
            </w:r>
          </w:p>
        </w:tc>
        <w:tc>
          <w:tcPr>
            <w:tcW w:w="528" w:type="pct"/>
            <w:tcBorders>
              <w:top w:val="single" w:sz="4" w:space="0" w:color="auto"/>
              <w:bottom w:val="single" w:sz="4" w:space="0" w:color="auto"/>
            </w:tcBorders>
            <w:shd w:val="clear" w:color="auto" w:fill="auto"/>
            <w:vAlign w:val="bottom"/>
          </w:tcPr>
          <w:p w14:paraId="3BD90277" w14:textId="77777777"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293</w:t>
            </w:r>
          </w:p>
        </w:tc>
        <w:tc>
          <w:tcPr>
            <w:tcW w:w="582" w:type="pct"/>
            <w:tcBorders>
              <w:top w:val="single" w:sz="4" w:space="0" w:color="auto"/>
              <w:bottom w:val="single" w:sz="4" w:space="0" w:color="auto"/>
            </w:tcBorders>
            <w:shd w:val="clear" w:color="auto" w:fill="auto"/>
            <w:vAlign w:val="bottom"/>
          </w:tcPr>
          <w:p w14:paraId="0F40560A" w14:textId="77777777"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41</w:t>
            </w:r>
          </w:p>
        </w:tc>
        <w:tc>
          <w:tcPr>
            <w:tcW w:w="598" w:type="pct"/>
            <w:tcBorders>
              <w:top w:val="single" w:sz="4" w:space="0" w:color="auto"/>
              <w:bottom w:val="single" w:sz="4" w:space="0" w:color="auto"/>
            </w:tcBorders>
            <w:shd w:val="clear" w:color="auto" w:fill="auto"/>
            <w:vAlign w:val="bottom"/>
          </w:tcPr>
          <w:p w14:paraId="32318A10" w14:textId="77777777"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196</w:t>
            </w:r>
          </w:p>
        </w:tc>
        <w:tc>
          <w:tcPr>
            <w:tcW w:w="706" w:type="pct"/>
            <w:tcBorders>
              <w:top w:val="single" w:sz="4" w:space="0" w:color="auto"/>
              <w:bottom w:val="single" w:sz="4" w:space="0" w:color="auto"/>
            </w:tcBorders>
            <w:shd w:val="clear" w:color="auto" w:fill="auto"/>
            <w:vAlign w:val="bottom"/>
          </w:tcPr>
          <w:p w14:paraId="318A45C8" w14:textId="77777777"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63,1</w:t>
            </w:r>
          </w:p>
        </w:tc>
        <w:tc>
          <w:tcPr>
            <w:tcW w:w="662" w:type="pct"/>
            <w:tcBorders>
              <w:top w:val="single" w:sz="4" w:space="0" w:color="auto"/>
              <w:bottom w:val="single" w:sz="4" w:space="0" w:color="auto"/>
            </w:tcBorders>
            <w:shd w:val="clear" w:color="auto" w:fill="auto"/>
            <w:vAlign w:val="bottom"/>
          </w:tcPr>
          <w:p w14:paraId="20A3C574" w14:textId="77777777"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55,3</w:t>
            </w:r>
          </w:p>
        </w:tc>
        <w:tc>
          <w:tcPr>
            <w:tcW w:w="520" w:type="pct"/>
            <w:tcBorders>
              <w:top w:val="single" w:sz="4" w:space="0" w:color="auto"/>
              <w:bottom w:val="single" w:sz="4" w:space="0" w:color="auto"/>
            </w:tcBorders>
            <w:shd w:val="clear" w:color="auto" w:fill="auto"/>
            <w:vAlign w:val="bottom"/>
          </w:tcPr>
          <w:p w14:paraId="45DAA4AB" w14:textId="77777777"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12,4</w:t>
            </w:r>
          </w:p>
        </w:tc>
      </w:tr>
      <w:tr w:rsidR="00EC45F8" w:rsidRPr="00BD5A90" w14:paraId="4FEEC438" w14:textId="77777777" w:rsidTr="00944CB1">
        <w:tc>
          <w:tcPr>
            <w:tcW w:w="848" w:type="pct"/>
            <w:tcBorders>
              <w:top w:val="single" w:sz="4" w:space="0" w:color="auto"/>
              <w:bottom w:val="single" w:sz="4" w:space="0" w:color="auto"/>
            </w:tcBorders>
            <w:shd w:val="clear" w:color="auto" w:fill="auto"/>
            <w:vAlign w:val="bottom"/>
          </w:tcPr>
          <w:p w14:paraId="4E3F43C5" w14:textId="77777777" w:rsidR="00EC45F8" w:rsidRPr="00FF5253" w:rsidRDefault="00EC45F8" w:rsidP="005A24F5">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14:paraId="6C17C77D" w14:textId="77777777"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1 074</w:t>
            </w:r>
          </w:p>
        </w:tc>
        <w:tc>
          <w:tcPr>
            <w:tcW w:w="528" w:type="pct"/>
            <w:tcBorders>
              <w:top w:val="single" w:sz="4" w:space="0" w:color="auto"/>
              <w:bottom w:val="single" w:sz="4" w:space="0" w:color="auto"/>
            </w:tcBorders>
            <w:shd w:val="clear" w:color="auto" w:fill="auto"/>
            <w:vAlign w:val="bottom"/>
          </w:tcPr>
          <w:p w14:paraId="674CE7F7" w14:textId="77777777"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972</w:t>
            </w:r>
          </w:p>
        </w:tc>
        <w:tc>
          <w:tcPr>
            <w:tcW w:w="582" w:type="pct"/>
            <w:tcBorders>
              <w:top w:val="single" w:sz="4" w:space="0" w:color="auto"/>
              <w:bottom w:val="single" w:sz="4" w:space="0" w:color="auto"/>
            </w:tcBorders>
            <w:shd w:val="clear" w:color="auto" w:fill="auto"/>
            <w:vAlign w:val="bottom"/>
          </w:tcPr>
          <w:p w14:paraId="0C6BDBC1" w14:textId="77777777"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102</w:t>
            </w:r>
          </w:p>
        </w:tc>
        <w:tc>
          <w:tcPr>
            <w:tcW w:w="598" w:type="pct"/>
            <w:tcBorders>
              <w:top w:val="single" w:sz="4" w:space="0" w:color="auto"/>
              <w:bottom w:val="single" w:sz="4" w:space="0" w:color="auto"/>
            </w:tcBorders>
            <w:shd w:val="clear" w:color="auto" w:fill="auto"/>
            <w:vAlign w:val="bottom"/>
          </w:tcPr>
          <w:p w14:paraId="20DA399B" w14:textId="77777777"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557</w:t>
            </w:r>
          </w:p>
        </w:tc>
        <w:tc>
          <w:tcPr>
            <w:tcW w:w="706" w:type="pct"/>
            <w:tcBorders>
              <w:top w:val="single" w:sz="4" w:space="0" w:color="auto"/>
              <w:bottom w:val="single" w:sz="4" w:space="0" w:color="auto"/>
            </w:tcBorders>
            <w:shd w:val="clear" w:color="auto" w:fill="auto"/>
            <w:vAlign w:val="bottom"/>
          </w:tcPr>
          <w:p w14:paraId="6EE0B584" w14:textId="77777777"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65,8</w:t>
            </w:r>
          </w:p>
        </w:tc>
        <w:tc>
          <w:tcPr>
            <w:tcW w:w="662" w:type="pct"/>
            <w:tcBorders>
              <w:top w:val="single" w:sz="4" w:space="0" w:color="auto"/>
              <w:bottom w:val="single" w:sz="4" w:space="0" w:color="auto"/>
            </w:tcBorders>
            <w:shd w:val="clear" w:color="auto" w:fill="auto"/>
            <w:vAlign w:val="bottom"/>
          </w:tcPr>
          <w:p w14:paraId="3DA06A5C" w14:textId="77777777"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59,6</w:t>
            </w:r>
          </w:p>
        </w:tc>
        <w:tc>
          <w:tcPr>
            <w:tcW w:w="520" w:type="pct"/>
            <w:tcBorders>
              <w:top w:val="single" w:sz="4" w:space="0" w:color="auto"/>
              <w:bottom w:val="single" w:sz="4" w:space="0" w:color="auto"/>
            </w:tcBorders>
            <w:shd w:val="clear" w:color="auto" w:fill="auto"/>
            <w:vAlign w:val="bottom"/>
          </w:tcPr>
          <w:p w14:paraId="4E1D2A5B" w14:textId="77777777" w:rsidR="00EC45F8" w:rsidRPr="00FF5253" w:rsidRDefault="00FF5253" w:rsidP="00D03A4F">
            <w:pPr>
              <w:widowControl w:val="0"/>
              <w:spacing w:after="0" w:line="240" w:lineRule="auto"/>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9,5</w:t>
            </w:r>
          </w:p>
        </w:tc>
      </w:tr>
      <w:tr w:rsidR="00A13F4A" w:rsidRPr="00BD5A90" w14:paraId="5C599BB2" w14:textId="77777777" w:rsidTr="00A13F4A">
        <w:tc>
          <w:tcPr>
            <w:tcW w:w="5000" w:type="pct"/>
            <w:gridSpan w:val="8"/>
            <w:tcBorders>
              <w:top w:val="single" w:sz="4" w:space="0" w:color="auto"/>
              <w:bottom w:val="single" w:sz="4" w:space="0" w:color="auto"/>
            </w:tcBorders>
            <w:shd w:val="clear" w:color="auto" w:fill="auto"/>
            <w:vAlign w:val="bottom"/>
          </w:tcPr>
          <w:p w14:paraId="15EA660C" w14:textId="77777777" w:rsidR="00A13F4A" w:rsidRPr="00A13F4A" w:rsidRDefault="00A13F4A" w:rsidP="00A13F4A">
            <w:pPr>
              <w:widowControl w:val="0"/>
              <w:spacing w:before="120" w:after="120" w:line="240" w:lineRule="auto"/>
              <w:jc w:val="center"/>
              <w:rPr>
                <w:rFonts w:ascii="Times New Roman" w:eastAsia="Times New Roman" w:hAnsi="Times New Roman" w:cs="Times New Roman"/>
                <w:b/>
                <w:sz w:val="24"/>
                <w:szCs w:val="24"/>
                <w:lang w:eastAsia="ru-RU"/>
              </w:rPr>
            </w:pPr>
            <w:r w:rsidRPr="00A13F4A">
              <w:rPr>
                <w:rFonts w:ascii="Times New Roman" w:eastAsia="Times New Roman" w:hAnsi="Times New Roman" w:cs="Times New Roman"/>
                <w:b/>
                <w:sz w:val="24"/>
                <w:szCs w:val="24"/>
                <w:lang w:eastAsia="ru-RU"/>
              </w:rPr>
              <w:t>2021 г.</w:t>
            </w:r>
          </w:p>
        </w:tc>
      </w:tr>
      <w:tr w:rsidR="00A13F4A" w:rsidRPr="00BD5A90" w14:paraId="7E03992A" w14:textId="77777777" w:rsidTr="0048250F">
        <w:tc>
          <w:tcPr>
            <w:tcW w:w="848" w:type="pct"/>
            <w:tcBorders>
              <w:top w:val="single" w:sz="4" w:space="0" w:color="auto"/>
              <w:bottom w:val="single" w:sz="4" w:space="0" w:color="auto"/>
            </w:tcBorders>
            <w:shd w:val="clear" w:color="auto" w:fill="auto"/>
          </w:tcPr>
          <w:p w14:paraId="74B6E47C" w14:textId="77777777" w:rsidR="00A13F4A" w:rsidRPr="0048250F" w:rsidRDefault="00A13F4A" w:rsidP="0048250F">
            <w:pPr>
              <w:widowControl w:val="0"/>
              <w:spacing w:after="0" w:line="240" w:lineRule="auto"/>
              <w:rPr>
                <w:rFonts w:ascii="Times New Roman" w:eastAsia="Times New Roman" w:hAnsi="Times New Roman" w:cs="Times New Roman"/>
                <w:b/>
                <w:sz w:val="24"/>
                <w:szCs w:val="24"/>
                <w:lang w:eastAsia="ru-RU"/>
              </w:rPr>
            </w:pPr>
            <w:r w:rsidRPr="0048250F">
              <w:rPr>
                <w:rFonts w:ascii="Times New Roman" w:eastAsia="Times New Roman" w:hAnsi="Times New Roman" w:cs="Times New Roman"/>
                <w:b/>
                <w:sz w:val="24"/>
                <w:szCs w:val="24"/>
                <w:lang w:eastAsia="ru-RU"/>
              </w:rPr>
              <w:t>Всего</w:t>
            </w:r>
          </w:p>
        </w:tc>
        <w:tc>
          <w:tcPr>
            <w:tcW w:w="556" w:type="pct"/>
            <w:tcBorders>
              <w:top w:val="single" w:sz="4" w:space="0" w:color="auto"/>
              <w:bottom w:val="single" w:sz="4" w:space="0" w:color="auto"/>
            </w:tcBorders>
            <w:shd w:val="clear" w:color="auto" w:fill="auto"/>
            <w:vAlign w:val="bottom"/>
          </w:tcPr>
          <w:p w14:paraId="27686DAC" w14:textId="77777777" w:rsidR="00A13F4A" w:rsidRPr="00FF5253" w:rsidRDefault="00A13F4A" w:rsidP="0048250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14:paraId="6C442670" w14:textId="77777777" w:rsidR="00A13F4A" w:rsidRPr="00FF5253" w:rsidRDefault="00A13F4A" w:rsidP="0048250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14:paraId="0D83976B" w14:textId="77777777" w:rsidR="00A13F4A" w:rsidRPr="00FF5253" w:rsidRDefault="00A13F4A" w:rsidP="0048250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14:paraId="0C5499BF" w14:textId="77777777" w:rsidR="00A13F4A" w:rsidRPr="00FF5253" w:rsidRDefault="00A13F4A" w:rsidP="0048250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14:paraId="249AFEDE" w14:textId="77777777" w:rsidR="00A13F4A" w:rsidRPr="00FF5253" w:rsidRDefault="00A13F4A" w:rsidP="0048250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14:paraId="69305340" w14:textId="77777777" w:rsidR="00A13F4A" w:rsidRPr="00FF5253" w:rsidRDefault="00A13F4A" w:rsidP="0048250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14:paraId="7DF6BED3" w14:textId="77777777" w:rsidR="00A13F4A" w:rsidRPr="00FF5253" w:rsidRDefault="00A13F4A" w:rsidP="0048250F">
            <w:pPr>
              <w:widowControl w:val="0"/>
              <w:spacing w:after="0" w:line="240" w:lineRule="auto"/>
              <w:jc w:val="center"/>
              <w:rPr>
                <w:rFonts w:ascii="Times New Roman" w:eastAsia="Times New Roman" w:hAnsi="Times New Roman" w:cs="Times New Roman"/>
                <w:sz w:val="24"/>
                <w:szCs w:val="24"/>
                <w:lang w:eastAsia="ru-RU"/>
              </w:rPr>
            </w:pPr>
          </w:p>
        </w:tc>
      </w:tr>
      <w:tr w:rsidR="00A13F4A" w:rsidRPr="00BD5A90" w14:paraId="644DE486" w14:textId="77777777" w:rsidTr="00944CB1">
        <w:tc>
          <w:tcPr>
            <w:tcW w:w="848" w:type="pct"/>
            <w:tcBorders>
              <w:top w:val="single" w:sz="4" w:space="0" w:color="auto"/>
              <w:bottom w:val="single" w:sz="4" w:space="0" w:color="auto"/>
            </w:tcBorders>
            <w:shd w:val="clear" w:color="auto" w:fill="auto"/>
            <w:vAlign w:val="bottom"/>
          </w:tcPr>
          <w:p w14:paraId="6B17CB7A" w14:textId="77777777" w:rsidR="00A13F4A" w:rsidRPr="00FF5253" w:rsidRDefault="00A13F4A" w:rsidP="0048250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14:paraId="0AE604D4" w14:textId="77777777" w:rsidR="00A13F4A" w:rsidRPr="00FF5253" w:rsidRDefault="0048250F" w:rsidP="0048250F">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13 585</w:t>
            </w:r>
          </w:p>
        </w:tc>
        <w:tc>
          <w:tcPr>
            <w:tcW w:w="528" w:type="pct"/>
            <w:tcBorders>
              <w:top w:val="single" w:sz="4" w:space="0" w:color="auto"/>
              <w:bottom w:val="single" w:sz="4" w:space="0" w:color="auto"/>
            </w:tcBorders>
            <w:shd w:val="clear" w:color="auto" w:fill="auto"/>
            <w:vAlign w:val="bottom"/>
          </w:tcPr>
          <w:p w14:paraId="3553F615" w14:textId="77777777" w:rsidR="00A13F4A" w:rsidRPr="00FF5253" w:rsidRDefault="0048250F" w:rsidP="0048250F">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12 936</w:t>
            </w:r>
          </w:p>
        </w:tc>
        <w:tc>
          <w:tcPr>
            <w:tcW w:w="582" w:type="pct"/>
            <w:tcBorders>
              <w:top w:val="single" w:sz="4" w:space="0" w:color="auto"/>
              <w:bottom w:val="single" w:sz="4" w:space="0" w:color="auto"/>
            </w:tcBorders>
            <w:shd w:val="clear" w:color="auto" w:fill="auto"/>
            <w:vAlign w:val="bottom"/>
          </w:tcPr>
          <w:p w14:paraId="71145EE4" w14:textId="77777777" w:rsidR="00A13F4A" w:rsidRPr="00FF5253" w:rsidRDefault="0048250F" w:rsidP="0048250F">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649</w:t>
            </w:r>
          </w:p>
        </w:tc>
        <w:tc>
          <w:tcPr>
            <w:tcW w:w="598" w:type="pct"/>
            <w:tcBorders>
              <w:top w:val="single" w:sz="4" w:space="0" w:color="auto"/>
              <w:bottom w:val="single" w:sz="4" w:space="0" w:color="auto"/>
            </w:tcBorders>
            <w:shd w:val="clear" w:color="auto" w:fill="auto"/>
            <w:vAlign w:val="bottom"/>
          </w:tcPr>
          <w:p w14:paraId="358933CF" w14:textId="77777777" w:rsidR="00A13F4A" w:rsidRPr="00FF5253" w:rsidRDefault="0048250F" w:rsidP="0048250F">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2 553</w:t>
            </w:r>
          </w:p>
        </w:tc>
        <w:tc>
          <w:tcPr>
            <w:tcW w:w="706" w:type="pct"/>
            <w:tcBorders>
              <w:top w:val="single" w:sz="4" w:space="0" w:color="auto"/>
              <w:bottom w:val="single" w:sz="4" w:space="0" w:color="auto"/>
            </w:tcBorders>
            <w:shd w:val="clear" w:color="auto" w:fill="auto"/>
            <w:vAlign w:val="bottom"/>
          </w:tcPr>
          <w:p w14:paraId="6B956416" w14:textId="77777777" w:rsidR="00A13F4A" w:rsidRPr="00FF5253" w:rsidRDefault="0048250F" w:rsidP="0048250F">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84,2</w:t>
            </w:r>
          </w:p>
        </w:tc>
        <w:tc>
          <w:tcPr>
            <w:tcW w:w="662" w:type="pct"/>
            <w:tcBorders>
              <w:top w:val="single" w:sz="4" w:space="0" w:color="auto"/>
              <w:bottom w:val="single" w:sz="4" w:space="0" w:color="auto"/>
            </w:tcBorders>
            <w:shd w:val="clear" w:color="auto" w:fill="auto"/>
            <w:vAlign w:val="bottom"/>
          </w:tcPr>
          <w:p w14:paraId="5D2DA2AA" w14:textId="77777777" w:rsidR="00A13F4A" w:rsidRPr="00FF5253" w:rsidRDefault="0048250F" w:rsidP="0048250F">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80,2</w:t>
            </w:r>
          </w:p>
        </w:tc>
        <w:tc>
          <w:tcPr>
            <w:tcW w:w="520" w:type="pct"/>
            <w:tcBorders>
              <w:top w:val="single" w:sz="4" w:space="0" w:color="auto"/>
              <w:bottom w:val="single" w:sz="4" w:space="0" w:color="auto"/>
            </w:tcBorders>
            <w:shd w:val="clear" w:color="auto" w:fill="auto"/>
            <w:vAlign w:val="bottom"/>
          </w:tcPr>
          <w:p w14:paraId="3AC64B92" w14:textId="77777777" w:rsidR="00A13F4A" w:rsidRPr="00FF5253" w:rsidRDefault="0048250F" w:rsidP="0048250F">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4,8</w:t>
            </w:r>
          </w:p>
        </w:tc>
      </w:tr>
      <w:tr w:rsidR="00A13F4A" w:rsidRPr="00BD5A90" w14:paraId="47474C0C" w14:textId="77777777" w:rsidTr="00944CB1">
        <w:tc>
          <w:tcPr>
            <w:tcW w:w="848" w:type="pct"/>
            <w:tcBorders>
              <w:top w:val="single" w:sz="4" w:space="0" w:color="auto"/>
              <w:bottom w:val="single" w:sz="4" w:space="0" w:color="auto"/>
            </w:tcBorders>
            <w:shd w:val="clear" w:color="auto" w:fill="auto"/>
            <w:vAlign w:val="bottom"/>
          </w:tcPr>
          <w:p w14:paraId="1B44C345" w14:textId="77777777" w:rsidR="00A13F4A" w:rsidRPr="00FF5253" w:rsidRDefault="00A13F4A" w:rsidP="0048250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14:paraId="3803F8B2" w14:textId="77777777" w:rsidR="00A13F4A" w:rsidRPr="00FF5253" w:rsidRDefault="00A13F4A" w:rsidP="0048250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14:paraId="0B689B36" w14:textId="77777777" w:rsidR="00A13F4A" w:rsidRPr="00FF5253" w:rsidRDefault="00A13F4A" w:rsidP="0048250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14:paraId="4717123A" w14:textId="77777777" w:rsidR="00A13F4A" w:rsidRPr="00FF5253" w:rsidRDefault="00A13F4A" w:rsidP="0048250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14:paraId="5B2309F8" w14:textId="77777777" w:rsidR="00A13F4A" w:rsidRPr="00FF5253" w:rsidRDefault="00A13F4A" w:rsidP="0048250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14:paraId="6A425332" w14:textId="77777777" w:rsidR="00A13F4A" w:rsidRPr="00FF5253" w:rsidRDefault="00A13F4A" w:rsidP="0048250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14:paraId="0D7E98C8" w14:textId="77777777" w:rsidR="00A13F4A" w:rsidRPr="00FF5253" w:rsidRDefault="00A13F4A" w:rsidP="0048250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14:paraId="4CB7EE8C" w14:textId="77777777" w:rsidR="00A13F4A" w:rsidRPr="00FF5253" w:rsidRDefault="00A13F4A" w:rsidP="0048250F">
            <w:pPr>
              <w:widowControl w:val="0"/>
              <w:spacing w:after="0" w:line="240" w:lineRule="auto"/>
              <w:jc w:val="center"/>
              <w:rPr>
                <w:rFonts w:ascii="Times New Roman" w:eastAsia="Times New Roman" w:hAnsi="Times New Roman" w:cs="Times New Roman"/>
                <w:sz w:val="24"/>
                <w:szCs w:val="24"/>
                <w:lang w:eastAsia="ru-RU"/>
              </w:rPr>
            </w:pPr>
          </w:p>
        </w:tc>
      </w:tr>
      <w:tr w:rsidR="00A13F4A" w:rsidRPr="00BD5A90" w14:paraId="6CAD76B5" w14:textId="77777777" w:rsidTr="00944CB1">
        <w:tc>
          <w:tcPr>
            <w:tcW w:w="848" w:type="pct"/>
            <w:tcBorders>
              <w:top w:val="single" w:sz="4" w:space="0" w:color="auto"/>
              <w:bottom w:val="single" w:sz="4" w:space="0" w:color="auto"/>
            </w:tcBorders>
            <w:shd w:val="clear" w:color="auto" w:fill="auto"/>
            <w:vAlign w:val="bottom"/>
          </w:tcPr>
          <w:p w14:paraId="153D4460" w14:textId="77777777" w:rsidR="00A13F4A" w:rsidRPr="00FF5253" w:rsidRDefault="00A13F4A" w:rsidP="0048250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14:paraId="6A74CC72" w14:textId="77777777" w:rsidR="00A13F4A" w:rsidRPr="00FF5253" w:rsidRDefault="0048250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8 481</w:t>
            </w:r>
          </w:p>
        </w:tc>
        <w:tc>
          <w:tcPr>
            <w:tcW w:w="528" w:type="pct"/>
            <w:tcBorders>
              <w:top w:val="single" w:sz="4" w:space="0" w:color="auto"/>
              <w:bottom w:val="single" w:sz="4" w:space="0" w:color="auto"/>
            </w:tcBorders>
            <w:shd w:val="clear" w:color="auto" w:fill="auto"/>
            <w:vAlign w:val="bottom"/>
          </w:tcPr>
          <w:p w14:paraId="1DD42CC0" w14:textId="77777777" w:rsidR="00A13F4A" w:rsidRPr="00FF5253" w:rsidRDefault="0048250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8 140</w:t>
            </w:r>
          </w:p>
        </w:tc>
        <w:tc>
          <w:tcPr>
            <w:tcW w:w="582" w:type="pct"/>
            <w:tcBorders>
              <w:top w:val="single" w:sz="4" w:space="0" w:color="auto"/>
              <w:bottom w:val="single" w:sz="4" w:space="0" w:color="auto"/>
            </w:tcBorders>
            <w:shd w:val="clear" w:color="auto" w:fill="auto"/>
            <w:vAlign w:val="bottom"/>
          </w:tcPr>
          <w:p w14:paraId="6FC57479" w14:textId="77777777" w:rsidR="00A13F4A" w:rsidRPr="00FF5253" w:rsidRDefault="0048250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341</w:t>
            </w:r>
          </w:p>
        </w:tc>
        <w:tc>
          <w:tcPr>
            <w:tcW w:w="598" w:type="pct"/>
            <w:tcBorders>
              <w:top w:val="single" w:sz="4" w:space="0" w:color="auto"/>
              <w:bottom w:val="single" w:sz="4" w:space="0" w:color="auto"/>
            </w:tcBorders>
            <w:shd w:val="clear" w:color="auto" w:fill="auto"/>
            <w:vAlign w:val="bottom"/>
          </w:tcPr>
          <w:p w14:paraId="0512450A" w14:textId="77777777" w:rsidR="00A13F4A" w:rsidRPr="00FF5253" w:rsidRDefault="0048250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1 144</w:t>
            </w:r>
          </w:p>
        </w:tc>
        <w:tc>
          <w:tcPr>
            <w:tcW w:w="706" w:type="pct"/>
            <w:tcBorders>
              <w:top w:val="single" w:sz="4" w:space="0" w:color="auto"/>
              <w:bottom w:val="single" w:sz="4" w:space="0" w:color="auto"/>
            </w:tcBorders>
            <w:shd w:val="clear" w:color="auto" w:fill="auto"/>
            <w:vAlign w:val="bottom"/>
          </w:tcPr>
          <w:p w14:paraId="28EF4682" w14:textId="77777777" w:rsidR="00A13F4A" w:rsidRPr="00FF5253" w:rsidRDefault="0048250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88,1</w:t>
            </w:r>
          </w:p>
        </w:tc>
        <w:tc>
          <w:tcPr>
            <w:tcW w:w="662" w:type="pct"/>
            <w:tcBorders>
              <w:top w:val="single" w:sz="4" w:space="0" w:color="auto"/>
              <w:bottom w:val="single" w:sz="4" w:space="0" w:color="auto"/>
            </w:tcBorders>
            <w:shd w:val="clear" w:color="auto" w:fill="auto"/>
            <w:vAlign w:val="bottom"/>
          </w:tcPr>
          <w:p w14:paraId="7E70B3B4" w14:textId="77777777" w:rsidR="00A13F4A" w:rsidRPr="00FF5253" w:rsidRDefault="0048250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84,6</w:t>
            </w:r>
          </w:p>
        </w:tc>
        <w:tc>
          <w:tcPr>
            <w:tcW w:w="520" w:type="pct"/>
            <w:tcBorders>
              <w:top w:val="single" w:sz="4" w:space="0" w:color="auto"/>
              <w:bottom w:val="single" w:sz="4" w:space="0" w:color="auto"/>
            </w:tcBorders>
            <w:shd w:val="clear" w:color="auto" w:fill="auto"/>
            <w:vAlign w:val="bottom"/>
          </w:tcPr>
          <w:p w14:paraId="44AAEF5C" w14:textId="77777777" w:rsidR="00A13F4A" w:rsidRPr="00FF5253" w:rsidRDefault="0048250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A13F4A" w:rsidRPr="00BD5A90" w14:paraId="3499F001" w14:textId="77777777" w:rsidTr="00944CB1">
        <w:tc>
          <w:tcPr>
            <w:tcW w:w="848" w:type="pct"/>
            <w:tcBorders>
              <w:top w:val="single" w:sz="4" w:space="0" w:color="auto"/>
              <w:bottom w:val="single" w:sz="4" w:space="0" w:color="auto"/>
            </w:tcBorders>
            <w:shd w:val="clear" w:color="auto" w:fill="auto"/>
            <w:vAlign w:val="bottom"/>
          </w:tcPr>
          <w:p w14:paraId="55AFF93C" w14:textId="77777777" w:rsidR="00A13F4A" w:rsidRPr="00FF5253" w:rsidRDefault="00A13F4A" w:rsidP="0048250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14:paraId="5AF959D2" w14:textId="77777777" w:rsidR="00A13F4A" w:rsidRPr="00FF5253" w:rsidRDefault="0048250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4 164</w:t>
            </w:r>
          </w:p>
        </w:tc>
        <w:tc>
          <w:tcPr>
            <w:tcW w:w="528" w:type="pct"/>
            <w:tcBorders>
              <w:top w:val="single" w:sz="4" w:space="0" w:color="auto"/>
              <w:bottom w:val="single" w:sz="4" w:space="0" w:color="auto"/>
            </w:tcBorders>
            <w:shd w:val="clear" w:color="auto" w:fill="auto"/>
            <w:vAlign w:val="bottom"/>
          </w:tcPr>
          <w:p w14:paraId="2AF7C420" w14:textId="77777777" w:rsidR="00A13F4A" w:rsidRPr="00FF5253" w:rsidRDefault="0048250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3 942</w:t>
            </w:r>
          </w:p>
        </w:tc>
        <w:tc>
          <w:tcPr>
            <w:tcW w:w="582" w:type="pct"/>
            <w:tcBorders>
              <w:top w:val="single" w:sz="4" w:space="0" w:color="auto"/>
              <w:bottom w:val="single" w:sz="4" w:space="0" w:color="auto"/>
            </w:tcBorders>
            <w:shd w:val="clear" w:color="auto" w:fill="auto"/>
            <w:vAlign w:val="bottom"/>
          </w:tcPr>
          <w:p w14:paraId="7E2BDC9C" w14:textId="77777777" w:rsidR="00A13F4A" w:rsidRPr="00FF5253" w:rsidRDefault="0048250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w:t>
            </w:r>
          </w:p>
        </w:tc>
        <w:tc>
          <w:tcPr>
            <w:tcW w:w="598" w:type="pct"/>
            <w:tcBorders>
              <w:top w:val="single" w:sz="4" w:space="0" w:color="auto"/>
              <w:bottom w:val="single" w:sz="4" w:space="0" w:color="auto"/>
            </w:tcBorders>
            <w:shd w:val="clear" w:color="auto" w:fill="auto"/>
            <w:vAlign w:val="bottom"/>
          </w:tcPr>
          <w:p w14:paraId="73BB3678" w14:textId="77777777" w:rsidR="00A13F4A" w:rsidRPr="00FF5253" w:rsidRDefault="0048250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921</w:t>
            </w:r>
          </w:p>
        </w:tc>
        <w:tc>
          <w:tcPr>
            <w:tcW w:w="706" w:type="pct"/>
            <w:tcBorders>
              <w:top w:val="single" w:sz="4" w:space="0" w:color="auto"/>
              <w:bottom w:val="single" w:sz="4" w:space="0" w:color="auto"/>
            </w:tcBorders>
            <w:shd w:val="clear" w:color="auto" w:fill="auto"/>
            <w:vAlign w:val="bottom"/>
          </w:tcPr>
          <w:p w14:paraId="702585B6" w14:textId="77777777" w:rsidR="00A13F4A" w:rsidRPr="00FF5253" w:rsidRDefault="0048250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81,9</w:t>
            </w:r>
          </w:p>
        </w:tc>
        <w:tc>
          <w:tcPr>
            <w:tcW w:w="662" w:type="pct"/>
            <w:tcBorders>
              <w:top w:val="single" w:sz="4" w:space="0" w:color="auto"/>
              <w:bottom w:val="single" w:sz="4" w:space="0" w:color="auto"/>
            </w:tcBorders>
            <w:shd w:val="clear" w:color="auto" w:fill="auto"/>
            <w:vAlign w:val="bottom"/>
          </w:tcPr>
          <w:p w14:paraId="6A879B83" w14:textId="77777777" w:rsidR="00A13F4A" w:rsidRPr="00FF5253" w:rsidRDefault="0048250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77,5</w:t>
            </w:r>
          </w:p>
        </w:tc>
        <w:tc>
          <w:tcPr>
            <w:tcW w:w="520" w:type="pct"/>
            <w:tcBorders>
              <w:top w:val="single" w:sz="4" w:space="0" w:color="auto"/>
              <w:bottom w:val="single" w:sz="4" w:space="0" w:color="auto"/>
            </w:tcBorders>
            <w:shd w:val="clear" w:color="auto" w:fill="auto"/>
            <w:vAlign w:val="bottom"/>
          </w:tcPr>
          <w:p w14:paraId="6F65EF4A" w14:textId="77777777" w:rsidR="00A13F4A" w:rsidRPr="00FF5253" w:rsidRDefault="0048250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r>
      <w:tr w:rsidR="00A13F4A" w:rsidRPr="00BD5A90" w14:paraId="0A8EE6C7" w14:textId="77777777" w:rsidTr="00944CB1">
        <w:tc>
          <w:tcPr>
            <w:tcW w:w="848" w:type="pct"/>
            <w:tcBorders>
              <w:top w:val="single" w:sz="4" w:space="0" w:color="auto"/>
              <w:bottom w:val="single" w:sz="4" w:space="0" w:color="auto"/>
            </w:tcBorders>
            <w:shd w:val="clear" w:color="auto" w:fill="auto"/>
            <w:vAlign w:val="bottom"/>
          </w:tcPr>
          <w:p w14:paraId="1099359A" w14:textId="77777777" w:rsidR="00A13F4A" w:rsidRPr="00FF5253" w:rsidRDefault="00A13F4A" w:rsidP="0048250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14:paraId="60AA0340" w14:textId="77777777" w:rsidR="00A13F4A" w:rsidRPr="00FF5253" w:rsidRDefault="0048250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940</w:t>
            </w:r>
          </w:p>
        </w:tc>
        <w:tc>
          <w:tcPr>
            <w:tcW w:w="528" w:type="pct"/>
            <w:tcBorders>
              <w:top w:val="single" w:sz="4" w:space="0" w:color="auto"/>
              <w:bottom w:val="single" w:sz="4" w:space="0" w:color="auto"/>
            </w:tcBorders>
            <w:shd w:val="clear" w:color="auto" w:fill="auto"/>
            <w:vAlign w:val="bottom"/>
          </w:tcPr>
          <w:p w14:paraId="754B91D4" w14:textId="77777777" w:rsidR="00A13F4A" w:rsidRPr="00FF5253" w:rsidRDefault="0048250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853</w:t>
            </w:r>
          </w:p>
        </w:tc>
        <w:tc>
          <w:tcPr>
            <w:tcW w:w="582" w:type="pct"/>
            <w:tcBorders>
              <w:top w:val="single" w:sz="4" w:space="0" w:color="auto"/>
              <w:bottom w:val="single" w:sz="4" w:space="0" w:color="auto"/>
            </w:tcBorders>
            <w:shd w:val="clear" w:color="auto" w:fill="auto"/>
            <w:vAlign w:val="bottom"/>
          </w:tcPr>
          <w:p w14:paraId="6F265B36" w14:textId="77777777" w:rsidR="00A13F4A" w:rsidRPr="00FF5253" w:rsidRDefault="0048250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598" w:type="pct"/>
            <w:tcBorders>
              <w:top w:val="single" w:sz="4" w:space="0" w:color="auto"/>
              <w:bottom w:val="single" w:sz="4" w:space="0" w:color="auto"/>
            </w:tcBorders>
            <w:shd w:val="clear" w:color="auto" w:fill="auto"/>
            <w:vAlign w:val="bottom"/>
          </w:tcPr>
          <w:p w14:paraId="2D8627B8" w14:textId="77777777" w:rsidR="00A13F4A" w:rsidRPr="00FF5253" w:rsidRDefault="0048250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489</w:t>
            </w:r>
          </w:p>
        </w:tc>
        <w:tc>
          <w:tcPr>
            <w:tcW w:w="706" w:type="pct"/>
            <w:tcBorders>
              <w:top w:val="single" w:sz="4" w:space="0" w:color="auto"/>
              <w:bottom w:val="single" w:sz="4" w:space="0" w:color="auto"/>
            </w:tcBorders>
            <w:shd w:val="clear" w:color="auto" w:fill="auto"/>
            <w:vAlign w:val="bottom"/>
          </w:tcPr>
          <w:p w14:paraId="0EAE967D" w14:textId="77777777" w:rsidR="00A13F4A" w:rsidRPr="00FF5253" w:rsidRDefault="0048250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65,8</w:t>
            </w:r>
          </w:p>
        </w:tc>
        <w:tc>
          <w:tcPr>
            <w:tcW w:w="662" w:type="pct"/>
            <w:tcBorders>
              <w:top w:val="single" w:sz="4" w:space="0" w:color="auto"/>
              <w:bottom w:val="single" w:sz="4" w:space="0" w:color="auto"/>
            </w:tcBorders>
            <w:shd w:val="clear" w:color="auto" w:fill="auto"/>
            <w:vAlign w:val="bottom"/>
          </w:tcPr>
          <w:p w14:paraId="5ACFE850" w14:textId="77777777" w:rsidR="00A13F4A" w:rsidRPr="00FF5253" w:rsidRDefault="0048250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59,7</w:t>
            </w:r>
          </w:p>
        </w:tc>
        <w:tc>
          <w:tcPr>
            <w:tcW w:w="520" w:type="pct"/>
            <w:tcBorders>
              <w:top w:val="single" w:sz="4" w:space="0" w:color="auto"/>
              <w:bottom w:val="single" w:sz="4" w:space="0" w:color="auto"/>
            </w:tcBorders>
            <w:shd w:val="clear" w:color="auto" w:fill="auto"/>
            <w:vAlign w:val="bottom"/>
          </w:tcPr>
          <w:p w14:paraId="75103A06" w14:textId="77777777" w:rsidR="00A13F4A" w:rsidRPr="00FF5253" w:rsidRDefault="0048250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r>
      <w:tr w:rsidR="00A13F4A" w:rsidRPr="00BD5A90" w14:paraId="165918CF" w14:textId="77777777" w:rsidTr="00944CB1">
        <w:tc>
          <w:tcPr>
            <w:tcW w:w="848" w:type="pct"/>
            <w:tcBorders>
              <w:top w:val="single" w:sz="4" w:space="0" w:color="auto"/>
              <w:bottom w:val="single" w:sz="4" w:space="0" w:color="auto"/>
            </w:tcBorders>
            <w:shd w:val="clear" w:color="auto" w:fill="auto"/>
            <w:vAlign w:val="bottom"/>
          </w:tcPr>
          <w:p w14:paraId="273817AB" w14:textId="77777777" w:rsidR="00A13F4A" w:rsidRPr="00FF5253" w:rsidRDefault="00A13F4A" w:rsidP="0048250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14:paraId="2DF0B784" w14:textId="77777777" w:rsidR="00A13F4A" w:rsidRPr="00FF5253" w:rsidRDefault="0048250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4 959</w:t>
            </w:r>
          </w:p>
        </w:tc>
        <w:tc>
          <w:tcPr>
            <w:tcW w:w="528" w:type="pct"/>
            <w:tcBorders>
              <w:top w:val="single" w:sz="4" w:space="0" w:color="auto"/>
              <w:bottom w:val="single" w:sz="4" w:space="0" w:color="auto"/>
            </w:tcBorders>
            <w:shd w:val="clear" w:color="auto" w:fill="auto"/>
            <w:vAlign w:val="bottom"/>
          </w:tcPr>
          <w:p w14:paraId="06BD05DE" w14:textId="77777777" w:rsidR="00A13F4A" w:rsidRPr="00FF5253" w:rsidRDefault="0048250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4 635</w:t>
            </w:r>
          </w:p>
        </w:tc>
        <w:tc>
          <w:tcPr>
            <w:tcW w:w="582" w:type="pct"/>
            <w:tcBorders>
              <w:top w:val="single" w:sz="4" w:space="0" w:color="auto"/>
              <w:bottom w:val="single" w:sz="4" w:space="0" w:color="auto"/>
            </w:tcBorders>
            <w:shd w:val="clear" w:color="auto" w:fill="auto"/>
            <w:vAlign w:val="bottom"/>
          </w:tcPr>
          <w:p w14:paraId="1C96D0FE" w14:textId="77777777" w:rsidR="00A13F4A" w:rsidRPr="00FF5253" w:rsidRDefault="0048250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w:t>
            </w:r>
          </w:p>
        </w:tc>
        <w:tc>
          <w:tcPr>
            <w:tcW w:w="598" w:type="pct"/>
            <w:tcBorders>
              <w:top w:val="single" w:sz="4" w:space="0" w:color="auto"/>
              <w:bottom w:val="single" w:sz="4" w:space="0" w:color="auto"/>
            </w:tcBorders>
            <w:shd w:val="clear" w:color="auto" w:fill="auto"/>
            <w:vAlign w:val="bottom"/>
          </w:tcPr>
          <w:p w14:paraId="60DC74B7" w14:textId="77777777" w:rsidR="00A13F4A" w:rsidRPr="00FF5253" w:rsidRDefault="0048250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1 875</w:t>
            </w:r>
          </w:p>
        </w:tc>
        <w:tc>
          <w:tcPr>
            <w:tcW w:w="706" w:type="pct"/>
            <w:tcBorders>
              <w:top w:val="single" w:sz="4" w:space="0" w:color="auto"/>
              <w:bottom w:val="single" w:sz="4" w:space="0" w:color="auto"/>
            </w:tcBorders>
            <w:shd w:val="clear" w:color="auto" w:fill="auto"/>
            <w:vAlign w:val="bottom"/>
          </w:tcPr>
          <w:p w14:paraId="04768586" w14:textId="77777777" w:rsidR="00A13F4A" w:rsidRPr="00FF5253" w:rsidRDefault="0048250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72,6</w:t>
            </w:r>
          </w:p>
        </w:tc>
        <w:tc>
          <w:tcPr>
            <w:tcW w:w="662" w:type="pct"/>
            <w:tcBorders>
              <w:top w:val="single" w:sz="4" w:space="0" w:color="auto"/>
              <w:bottom w:val="single" w:sz="4" w:space="0" w:color="auto"/>
            </w:tcBorders>
            <w:shd w:val="clear" w:color="auto" w:fill="auto"/>
            <w:vAlign w:val="bottom"/>
          </w:tcPr>
          <w:p w14:paraId="51ED0E84" w14:textId="77777777" w:rsidR="00A13F4A" w:rsidRPr="00FF5253" w:rsidRDefault="0048250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67,8</w:t>
            </w:r>
          </w:p>
        </w:tc>
        <w:tc>
          <w:tcPr>
            <w:tcW w:w="520" w:type="pct"/>
            <w:tcBorders>
              <w:top w:val="single" w:sz="4" w:space="0" w:color="auto"/>
              <w:bottom w:val="single" w:sz="4" w:space="0" w:color="auto"/>
            </w:tcBorders>
            <w:shd w:val="clear" w:color="auto" w:fill="auto"/>
            <w:vAlign w:val="bottom"/>
          </w:tcPr>
          <w:p w14:paraId="0E52B792" w14:textId="77777777" w:rsidR="00A13F4A" w:rsidRPr="00FF5253" w:rsidRDefault="0048250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r>
      <w:tr w:rsidR="00A13F4A" w:rsidRPr="00BD5A90" w14:paraId="07556384" w14:textId="77777777" w:rsidTr="00944CB1">
        <w:tc>
          <w:tcPr>
            <w:tcW w:w="848" w:type="pct"/>
            <w:tcBorders>
              <w:top w:val="single" w:sz="4" w:space="0" w:color="auto"/>
              <w:bottom w:val="single" w:sz="4" w:space="0" w:color="auto"/>
            </w:tcBorders>
            <w:shd w:val="clear" w:color="auto" w:fill="auto"/>
            <w:vAlign w:val="bottom"/>
          </w:tcPr>
          <w:p w14:paraId="73197C96" w14:textId="77777777" w:rsidR="00A13F4A" w:rsidRPr="0048250F" w:rsidRDefault="00A13F4A" w:rsidP="0048250F">
            <w:pPr>
              <w:widowControl w:val="0"/>
              <w:spacing w:after="0" w:line="240" w:lineRule="auto"/>
              <w:rPr>
                <w:rFonts w:ascii="Times New Roman" w:eastAsia="Times New Roman" w:hAnsi="Times New Roman" w:cs="Times New Roman"/>
                <w:b/>
                <w:sz w:val="24"/>
                <w:szCs w:val="24"/>
                <w:lang w:eastAsia="ru-RU"/>
              </w:rPr>
            </w:pPr>
            <w:r w:rsidRPr="0048250F">
              <w:rPr>
                <w:rFonts w:ascii="Times New Roman" w:eastAsia="Times New Roman" w:hAnsi="Times New Roman" w:cs="Times New Roman"/>
                <w:b/>
                <w:sz w:val="24"/>
                <w:szCs w:val="24"/>
                <w:lang w:eastAsia="ru-RU"/>
              </w:rPr>
              <w:t>Городское население</w:t>
            </w:r>
          </w:p>
        </w:tc>
        <w:tc>
          <w:tcPr>
            <w:tcW w:w="556" w:type="pct"/>
            <w:tcBorders>
              <w:top w:val="single" w:sz="4" w:space="0" w:color="auto"/>
              <w:bottom w:val="single" w:sz="4" w:space="0" w:color="auto"/>
            </w:tcBorders>
            <w:shd w:val="clear" w:color="auto" w:fill="auto"/>
            <w:vAlign w:val="bottom"/>
          </w:tcPr>
          <w:p w14:paraId="33CD79F5" w14:textId="77777777" w:rsidR="00A13F4A" w:rsidRPr="00FF5253" w:rsidRDefault="00A13F4A" w:rsidP="0048250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14:paraId="6CCC8265" w14:textId="77777777" w:rsidR="00A13F4A" w:rsidRPr="00FF5253" w:rsidRDefault="00A13F4A" w:rsidP="0048250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14:paraId="7CB34716" w14:textId="77777777" w:rsidR="00A13F4A" w:rsidRPr="00FF5253" w:rsidRDefault="00A13F4A" w:rsidP="0048250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14:paraId="04BB1480" w14:textId="77777777" w:rsidR="00A13F4A" w:rsidRPr="00FF5253" w:rsidRDefault="00A13F4A" w:rsidP="0048250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14:paraId="180E2F92" w14:textId="77777777" w:rsidR="00A13F4A" w:rsidRPr="00FF5253" w:rsidRDefault="00A13F4A" w:rsidP="0048250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14:paraId="7343A8F0" w14:textId="77777777" w:rsidR="00A13F4A" w:rsidRPr="00FF5253" w:rsidRDefault="00A13F4A" w:rsidP="0048250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14:paraId="05B4E22C" w14:textId="77777777" w:rsidR="00A13F4A" w:rsidRPr="00FF5253" w:rsidRDefault="00A13F4A" w:rsidP="0048250F">
            <w:pPr>
              <w:widowControl w:val="0"/>
              <w:spacing w:after="0" w:line="240" w:lineRule="auto"/>
              <w:jc w:val="center"/>
              <w:rPr>
                <w:rFonts w:ascii="Times New Roman" w:eastAsia="Times New Roman" w:hAnsi="Times New Roman" w:cs="Times New Roman"/>
                <w:sz w:val="24"/>
                <w:szCs w:val="24"/>
                <w:lang w:eastAsia="ru-RU"/>
              </w:rPr>
            </w:pPr>
          </w:p>
        </w:tc>
      </w:tr>
      <w:tr w:rsidR="00A13F4A" w:rsidRPr="00BD5A90" w14:paraId="50C92DFE" w14:textId="77777777" w:rsidTr="00944CB1">
        <w:tc>
          <w:tcPr>
            <w:tcW w:w="848" w:type="pct"/>
            <w:tcBorders>
              <w:top w:val="single" w:sz="4" w:space="0" w:color="auto"/>
              <w:bottom w:val="single" w:sz="4" w:space="0" w:color="auto"/>
            </w:tcBorders>
            <w:shd w:val="clear" w:color="auto" w:fill="auto"/>
            <w:vAlign w:val="bottom"/>
          </w:tcPr>
          <w:p w14:paraId="71D774E6" w14:textId="77777777" w:rsidR="00A13F4A" w:rsidRPr="00FF5253" w:rsidRDefault="00A13F4A" w:rsidP="0048250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14:paraId="71AC935D" w14:textId="77777777" w:rsidR="00A13F4A" w:rsidRPr="00FF5253" w:rsidRDefault="0048250F" w:rsidP="0048250F">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10 860</w:t>
            </w:r>
          </w:p>
        </w:tc>
        <w:tc>
          <w:tcPr>
            <w:tcW w:w="528" w:type="pct"/>
            <w:tcBorders>
              <w:top w:val="single" w:sz="4" w:space="0" w:color="auto"/>
              <w:bottom w:val="single" w:sz="4" w:space="0" w:color="auto"/>
            </w:tcBorders>
            <w:shd w:val="clear" w:color="auto" w:fill="auto"/>
            <w:vAlign w:val="bottom"/>
          </w:tcPr>
          <w:p w14:paraId="049E41B6" w14:textId="77777777" w:rsidR="00A13F4A" w:rsidRPr="00FF5253" w:rsidRDefault="0048250F" w:rsidP="0048250F">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10 405</w:t>
            </w:r>
          </w:p>
        </w:tc>
        <w:tc>
          <w:tcPr>
            <w:tcW w:w="582" w:type="pct"/>
            <w:tcBorders>
              <w:top w:val="single" w:sz="4" w:space="0" w:color="auto"/>
              <w:bottom w:val="single" w:sz="4" w:space="0" w:color="auto"/>
            </w:tcBorders>
            <w:shd w:val="clear" w:color="auto" w:fill="auto"/>
            <w:vAlign w:val="bottom"/>
          </w:tcPr>
          <w:p w14:paraId="464B9E63" w14:textId="77777777" w:rsidR="00A13F4A" w:rsidRPr="00FF5253" w:rsidRDefault="0048250F" w:rsidP="0048250F">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456</w:t>
            </w:r>
          </w:p>
        </w:tc>
        <w:tc>
          <w:tcPr>
            <w:tcW w:w="598" w:type="pct"/>
            <w:tcBorders>
              <w:top w:val="single" w:sz="4" w:space="0" w:color="auto"/>
              <w:bottom w:val="single" w:sz="4" w:space="0" w:color="auto"/>
            </w:tcBorders>
            <w:shd w:val="clear" w:color="auto" w:fill="auto"/>
            <w:vAlign w:val="bottom"/>
          </w:tcPr>
          <w:p w14:paraId="5E080970" w14:textId="77777777" w:rsidR="00A13F4A" w:rsidRPr="00FF5253" w:rsidRDefault="0048250F" w:rsidP="0048250F">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1 776</w:t>
            </w:r>
          </w:p>
        </w:tc>
        <w:tc>
          <w:tcPr>
            <w:tcW w:w="706" w:type="pct"/>
            <w:tcBorders>
              <w:top w:val="single" w:sz="4" w:space="0" w:color="auto"/>
              <w:bottom w:val="single" w:sz="4" w:space="0" w:color="auto"/>
            </w:tcBorders>
            <w:shd w:val="clear" w:color="auto" w:fill="auto"/>
            <w:vAlign w:val="bottom"/>
          </w:tcPr>
          <w:p w14:paraId="755F06D8" w14:textId="77777777" w:rsidR="00A13F4A" w:rsidRPr="00FF5253" w:rsidRDefault="0048250F" w:rsidP="0048250F">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85,9</w:t>
            </w:r>
          </w:p>
        </w:tc>
        <w:tc>
          <w:tcPr>
            <w:tcW w:w="662" w:type="pct"/>
            <w:tcBorders>
              <w:top w:val="single" w:sz="4" w:space="0" w:color="auto"/>
              <w:bottom w:val="single" w:sz="4" w:space="0" w:color="auto"/>
            </w:tcBorders>
            <w:shd w:val="clear" w:color="auto" w:fill="auto"/>
            <w:vAlign w:val="bottom"/>
          </w:tcPr>
          <w:p w14:paraId="599681A8" w14:textId="77777777" w:rsidR="00A13F4A" w:rsidRPr="00FF5253" w:rsidRDefault="0048250F" w:rsidP="0048250F">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82,3</w:t>
            </w:r>
          </w:p>
        </w:tc>
        <w:tc>
          <w:tcPr>
            <w:tcW w:w="520" w:type="pct"/>
            <w:tcBorders>
              <w:top w:val="single" w:sz="4" w:space="0" w:color="auto"/>
              <w:bottom w:val="single" w:sz="4" w:space="0" w:color="auto"/>
            </w:tcBorders>
            <w:shd w:val="clear" w:color="auto" w:fill="auto"/>
            <w:vAlign w:val="bottom"/>
          </w:tcPr>
          <w:p w14:paraId="7DF8E72A" w14:textId="77777777" w:rsidR="00A13F4A" w:rsidRPr="00FF5253" w:rsidRDefault="0048250F" w:rsidP="0048250F">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4,2</w:t>
            </w:r>
          </w:p>
        </w:tc>
      </w:tr>
      <w:tr w:rsidR="00A13F4A" w:rsidRPr="00BD5A90" w14:paraId="478759F3" w14:textId="77777777" w:rsidTr="00944CB1">
        <w:tc>
          <w:tcPr>
            <w:tcW w:w="848" w:type="pct"/>
            <w:tcBorders>
              <w:top w:val="single" w:sz="4" w:space="0" w:color="auto"/>
              <w:bottom w:val="single" w:sz="4" w:space="0" w:color="auto"/>
            </w:tcBorders>
            <w:shd w:val="clear" w:color="auto" w:fill="auto"/>
            <w:vAlign w:val="bottom"/>
          </w:tcPr>
          <w:p w14:paraId="50F64D4D" w14:textId="77777777" w:rsidR="00A13F4A" w:rsidRPr="00FF5253" w:rsidRDefault="00A13F4A" w:rsidP="0048250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14:paraId="14006F9F" w14:textId="77777777" w:rsidR="00A13F4A" w:rsidRPr="00FF5253" w:rsidRDefault="00A13F4A" w:rsidP="0048250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14:paraId="6FC6E8C5" w14:textId="77777777" w:rsidR="00A13F4A" w:rsidRPr="00FF5253" w:rsidRDefault="00A13F4A" w:rsidP="0048250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14:paraId="3CDCCEBE" w14:textId="77777777" w:rsidR="00A13F4A" w:rsidRPr="00FF5253" w:rsidRDefault="00A13F4A" w:rsidP="0048250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14:paraId="7DF42E8E" w14:textId="77777777" w:rsidR="00A13F4A" w:rsidRPr="00FF5253" w:rsidRDefault="00A13F4A" w:rsidP="0048250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14:paraId="1BAAEE21" w14:textId="77777777" w:rsidR="00A13F4A" w:rsidRPr="00FF5253" w:rsidRDefault="00A13F4A" w:rsidP="0048250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14:paraId="077E3B3D" w14:textId="77777777" w:rsidR="00A13F4A" w:rsidRPr="00FF5253" w:rsidRDefault="00A13F4A" w:rsidP="0048250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14:paraId="10B33F12" w14:textId="77777777" w:rsidR="00A13F4A" w:rsidRPr="00FF5253" w:rsidRDefault="00A13F4A" w:rsidP="0048250F">
            <w:pPr>
              <w:widowControl w:val="0"/>
              <w:spacing w:after="0" w:line="240" w:lineRule="auto"/>
              <w:jc w:val="center"/>
              <w:rPr>
                <w:rFonts w:ascii="Times New Roman" w:eastAsia="Times New Roman" w:hAnsi="Times New Roman" w:cs="Times New Roman"/>
                <w:sz w:val="24"/>
                <w:szCs w:val="24"/>
                <w:lang w:eastAsia="ru-RU"/>
              </w:rPr>
            </w:pPr>
          </w:p>
        </w:tc>
      </w:tr>
      <w:tr w:rsidR="00A13F4A" w:rsidRPr="00BD5A90" w14:paraId="4F0448F6" w14:textId="77777777" w:rsidTr="00944CB1">
        <w:tc>
          <w:tcPr>
            <w:tcW w:w="848" w:type="pct"/>
            <w:tcBorders>
              <w:top w:val="single" w:sz="4" w:space="0" w:color="auto"/>
              <w:bottom w:val="single" w:sz="4" w:space="0" w:color="auto"/>
            </w:tcBorders>
            <w:shd w:val="clear" w:color="auto" w:fill="auto"/>
            <w:vAlign w:val="bottom"/>
          </w:tcPr>
          <w:p w14:paraId="2E9292E6" w14:textId="77777777" w:rsidR="00A13F4A" w:rsidRPr="00FF5253" w:rsidRDefault="00A13F4A" w:rsidP="0048250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14:paraId="481A504E" w14:textId="77777777" w:rsidR="00A13F4A" w:rsidRPr="00FF5253" w:rsidRDefault="0048250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7 033</w:t>
            </w:r>
          </w:p>
        </w:tc>
        <w:tc>
          <w:tcPr>
            <w:tcW w:w="528" w:type="pct"/>
            <w:tcBorders>
              <w:top w:val="single" w:sz="4" w:space="0" w:color="auto"/>
              <w:bottom w:val="single" w:sz="4" w:space="0" w:color="auto"/>
            </w:tcBorders>
            <w:shd w:val="clear" w:color="auto" w:fill="auto"/>
            <w:vAlign w:val="bottom"/>
          </w:tcPr>
          <w:p w14:paraId="34879681" w14:textId="77777777" w:rsidR="00A13F4A" w:rsidRPr="00FF5253" w:rsidRDefault="0048250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6 778</w:t>
            </w:r>
          </w:p>
        </w:tc>
        <w:tc>
          <w:tcPr>
            <w:tcW w:w="582" w:type="pct"/>
            <w:tcBorders>
              <w:top w:val="single" w:sz="4" w:space="0" w:color="auto"/>
              <w:bottom w:val="single" w:sz="4" w:space="0" w:color="auto"/>
            </w:tcBorders>
            <w:shd w:val="clear" w:color="auto" w:fill="auto"/>
            <w:vAlign w:val="bottom"/>
          </w:tcPr>
          <w:p w14:paraId="50A5A85B" w14:textId="77777777" w:rsidR="00A13F4A" w:rsidRPr="00FF5253" w:rsidRDefault="0048250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254</w:t>
            </w:r>
          </w:p>
        </w:tc>
        <w:tc>
          <w:tcPr>
            <w:tcW w:w="598" w:type="pct"/>
            <w:tcBorders>
              <w:top w:val="single" w:sz="4" w:space="0" w:color="auto"/>
              <w:bottom w:val="single" w:sz="4" w:space="0" w:color="auto"/>
            </w:tcBorders>
            <w:shd w:val="clear" w:color="auto" w:fill="auto"/>
            <w:vAlign w:val="bottom"/>
          </w:tcPr>
          <w:p w14:paraId="7E388E8F" w14:textId="77777777" w:rsidR="00A13F4A" w:rsidRPr="00FF5253" w:rsidRDefault="0048250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849</w:t>
            </w:r>
          </w:p>
        </w:tc>
        <w:tc>
          <w:tcPr>
            <w:tcW w:w="706" w:type="pct"/>
            <w:tcBorders>
              <w:top w:val="single" w:sz="4" w:space="0" w:color="auto"/>
              <w:bottom w:val="single" w:sz="4" w:space="0" w:color="auto"/>
            </w:tcBorders>
            <w:shd w:val="clear" w:color="auto" w:fill="auto"/>
            <w:vAlign w:val="bottom"/>
          </w:tcPr>
          <w:p w14:paraId="5AC20C8B" w14:textId="77777777" w:rsidR="00A13F4A" w:rsidRPr="00FF5253" w:rsidRDefault="0048250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89,2</w:t>
            </w:r>
          </w:p>
        </w:tc>
        <w:tc>
          <w:tcPr>
            <w:tcW w:w="662" w:type="pct"/>
            <w:tcBorders>
              <w:top w:val="single" w:sz="4" w:space="0" w:color="auto"/>
              <w:bottom w:val="single" w:sz="4" w:space="0" w:color="auto"/>
            </w:tcBorders>
            <w:shd w:val="clear" w:color="auto" w:fill="auto"/>
            <w:vAlign w:val="bottom"/>
          </w:tcPr>
          <w:p w14:paraId="61680F6E" w14:textId="77777777" w:rsidR="00A13F4A" w:rsidRPr="00FF5253" w:rsidRDefault="0048250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86,0</w:t>
            </w:r>
          </w:p>
        </w:tc>
        <w:tc>
          <w:tcPr>
            <w:tcW w:w="520" w:type="pct"/>
            <w:tcBorders>
              <w:top w:val="single" w:sz="4" w:space="0" w:color="auto"/>
              <w:bottom w:val="single" w:sz="4" w:space="0" w:color="auto"/>
            </w:tcBorders>
            <w:shd w:val="clear" w:color="auto" w:fill="auto"/>
            <w:vAlign w:val="bottom"/>
          </w:tcPr>
          <w:p w14:paraId="7024CE1E" w14:textId="77777777" w:rsidR="00A13F4A" w:rsidRPr="00FF5253" w:rsidRDefault="0048250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A13F4A" w:rsidRPr="00BD5A90" w14:paraId="0FE881E5" w14:textId="77777777" w:rsidTr="00944CB1">
        <w:tc>
          <w:tcPr>
            <w:tcW w:w="848" w:type="pct"/>
            <w:tcBorders>
              <w:top w:val="single" w:sz="4" w:space="0" w:color="auto"/>
              <w:bottom w:val="single" w:sz="4" w:space="0" w:color="auto"/>
            </w:tcBorders>
            <w:shd w:val="clear" w:color="auto" w:fill="auto"/>
            <w:vAlign w:val="bottom"/>
          </w:tcPr>
          <w:p w14:paraId="726FED24" w14:textId="77777777" w:rsidR="00A13F4A" w:rsidRPr="00FF5253" w:rsidRDefault="00A13F4A" w:rsidP="0048250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14:paraId="4AE96DDF" w14:textId="77777777" w:rsidR="00A13F4A" w:rsidRPr="00FF5253" w:rsidRDefault="0048250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3 235</w:t>
            </w:r>
          </w:p>
        </w:tc>
        <w:tc>
          <w:tcPr>
            <w:tcW w:w="528" w:type="pct"/>
            <w:tcBorders>
              <w:top w:val="single" w:sz="4" w:space="0" w:color="auto"/>
              <w:bottom w:val="single" w:sz="4" w:space="0" w:color="auto"/>
            </w:tcBorders>
            <w:shd w:val="clear" w:color="auto" w:fill="auto"/>
            <w:vAlign w:val="bottom"/>
          </w:tcPr>
          <w:p w14:paraId="7828DE26" w14:textId="77777777" w:rsidR="00A13F4A" w:rsidRPr="00FF5253" w:rsidRDefault="0048250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3 080</w:t>
            </w:r>
          </w:p>
        </w:tc>
        <w:tc>
          <w:tcPr>
            <w:tcW w:w="582" w:type="pct"/>
            <w:tcBorders>
              <w:top w:val="single" w:sz="4" w:space="0" w:color="auto"/>
              <w:bottom w:val="single" w:sz="4" w:space="0" w:color="auto"/>
            </w:tcBorders>
            <w:shd w:val="clear" w:color="auto" w:fill="auto"/>
            <w:vAlign w:val="bottom"/>
          </w:tcPr>
          <w:p w14:paraId="52DF4559" w14:textId="77777777" w:rsidR="00A13F4A" w:rsidRPr="00FF5253" w:rsidRDefault="0048250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w:t>
            </w:r>
          </w:p>
        </w:tc>
        <w:tc>
          <w:tcPr>
            <w:tcW w:w="598" w:type="pct"/>
            <w:tcBorders>
              <w:top w:val="single" w:sz="4" w:space="0" w:color="auto"/>
              <w:bottom w:val="single" w:sz="4" w:space="0" w:color="auto"/>
            </w:tcBorders>
            <w:shd w:val="clear" w:color="auto" w:fill="auto"/>
            <w:vAlign w:val="bottom"/>
          </w:tcPr>
          <w:p w14:paraId="5A7456C0" w14:textId="77777777" w:rsidR="00A13F4A" w:rsidRPr="00FF5253" w:rsidRDefault="0048250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645</w:t>
            </w:r>
          </w:p>
        </w:tc>
        <w:tc>
          <w:tcPr>
            <w:tcW w:w="706" w:type="pct"/>
            <w:tcBorders>
              <w:top w:val="single" w:sz="4" w:space="0" w:color="auto"/>
              <w:bottom w:val="single" w:sz="4" w:space="0" w:color="auto"/>
            </w:tcBorders>
            <w:shd w:val="clear" w:color="auto" w:fill="auto"/>
            <w:vAlign w:val="bottom"/>
          </w:tcPr>
          <w:p w14:paraId="3C30E169" w14:textId="77777777" w:rsidR="00A13F4A" w:rsidRPr="00FF5253" w:rsidRDefault="0048250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83,4</w:t>
            </w:r>
          </w:p>
        </w:tc>
        <w:tc>
          <w:tcPr>
            <w:tcW w:w="662" w:type="pct"/>
            <w:tcBorders>
              <w:top w:val="single" w:sz="4" w:space="0" w:color="auto"/>
              <w:bottom w:val="single" w:sz="4" w:space="0" w:color="auto"/>
            </w:tcBorders>
            <w:shd w:val="clear" w:color="auto" w:fill="auto"/>
            <w:vAlign w:val="bottom"/>
          </w:tcPr>
          <w:p w14:paraId="3A4454EF" w14:textId="77777777" w:rsidR="00A13F4A" w:rsidRPr="00FF5253" w:rsidRDefault="0048250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79,4</w:t>
            </w:r>
          </w:p>
        </w:tc>
        <w:tc>
          <w:tcPr>
            <w:tcW w:w="520" w:type="pct"/>
            <w:tcBorders>
              <w:top w:val="single" w:sz="4" w:space="0" w:color="auto"/>
              <w:bottom w:val="single" w:sz="4" w:space="0" w:color="auto"/>
            </w:tcBorders>
            <w:shd w:val="clear" w:color="auto" w:fill="auto"/>
            <w:vAlign w:val="bottom"/>
          </w:tcPr>
          <w:p w14:paraId="6A7B1BDB" w14:textId="77777777" w:rsidR="00A13F4A" w:rsidRPr="00FF5253" w:rsidRDefault="0048250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r>
      <w:tr w:rsidR="00A13F4A" w:rsidRPr="00BD5A90" w14:paraId="420C8806" w14:textId="77777777" w:rsidTr="00944CB1">
        <w:tc>
          <w:tcPr>
            <w:tcW w:w="848" w:type="pct"/>
            <w:tcBorders>
              <w:top w:val="single" w:sz="4" w:space="0" w:color="auto"/>
              <w:bottom w:val="single" w:sz="4" w:space="0" w:color="auto"/>
            </w:tcBorders>
            <w:shd w:val="clear" w:color="auto" w:fill="auto"/>
            <w:vAlign w:val="bottom"/>
          </w:tcPr>
          <w:p w14:paraId="65CBDFCB" w14:textId="77777777" w:rsidR="00A13F4A" w:rsidRPr="00FF5253" w:rsidRDefault="00A13F4A" w:rsidP="0048250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14:paraId="59555206" w14:textId="77777777" w:rsidR="00A13F4A" w:rsidRPr="00FF5253" w:rsidRDefault="0048250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592</w:t>
            </w:r>
          </w:p>
        </w:tc>
        <w:tc>
          <w:tcPr>
            <w:tcW w:w="528" w:type="pct"/>
            <w:tcBorders>
              <w:top w:val="single" w:sz="4" w:space="0" w:color="auto"/>
              <w:bottom w:val="single" w:sz="4" w:space="0" w:color="auto"/>
            </w:tcBorders>
            <w:shd w:val="clear" w:color="auto" w:fill="auto"/>
            <w:vAlign w:val="bottom"/>
          </w:tcPr>
          <w:p w14:paraId="3938A3DF" w14:textId="77777777" w:rsidR="00A13F4A" w:rsidRPr="00FF5253" w:rsidRDefault="0048250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546</w:t>
            </w:r>
          </w:p>
        </w:tc>
        <w:tc>
          <w:tcPr>
            <w:tcW w:w="582" w:type="pct"/>
            <w:tcBorders>
              <w:top w:val="single" w:sz="4" w:space="0" w:color="auto"/>
              <w:bottom w:val="single" w:sz="4" w:space="0" w:color="auto"/>
            </w:tcBorders>
            <w:shd w:val="clear" w:color="auto" w:fill="auto"/>
            <w:vAlign w:val="bottom"/>
          </w:tcPr>
          <w:p w14:paraId="4CF366DF" w14:textId="77777777" w:rsidR="00A13F4A" w:rsidRPr="00FF5253" w:rsidRDefault="0048250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598" w:type="pct"/>
            <w:tcBorders>
              <w:top w:val="single" w:sz="4" w:space="0" w:color="auto"/>
              <w:bottom w:val="single" w:sz="4" w:space="0" w:color="auto"/>
            </w:tcBorders>
            <w:shd w:val="clear" w:color="auto" w:fill="auto"/>
            <w:vAlign w:val="bottom"/>
          </w:tcPr>
          <w:p w14:paraId="30BE5014" w14:textId="77777777" w:rsidR="00A13F4A" w:rsidRPr="00FF5253" w:rsidRDefault="0048250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282</w:t>
            </w:r>
          </w:p>
        </w:tc>
        <w:tc>
          <w:tcPr>
            <w:tcW w:w="706" w:type="pct"/>
            <w:tcBorders>
              <w:top w:val="single" w:sz="4" w:space="0" w:color="auto"/>
              <w:bottom w:val="single" w:sz="4" w:space="0" w:color="auto"/>
            </w:tcBorders>
            <w:shd w:val="clear" w:color="auto" w:fill="auto"/>
            <w:vAlign w:val="bottom"/>
          </w:tcPr>
          <w:p w14:paraId="1012EBA8" w14:textId="77777777" w:rsidR="00A13F4A" w:rsidRPr="00FF5253" w:rsidRDefault="0048250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67,8</w:t>
            </w:r>
          </w:p>
        </w:tc>
        <w:tc>
          <w:tcPr>
            <w:tcW w:w="662" w:type="pct"/>
            <w:tcBorders>
              <w:top w:val="single" w:sz="4" w:space="0" w:color="auto"/>
              <w:bottom w:val="single" w:sz="4" w:space="0" w:color="auto"/>
            </w:tcBorders>
            <w:shd w:val="clear" w:color="auto" w:fill="auto"/>
            <w:vAlign w:val="bottom"/>
          </w:tcPr>
          <w:p w14:paraId="40E73E15" w14:textId="77777777" w:rsidR="00A13F4A" w:rsidRPr="00FF5253" w:rsidRDefault="0048250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62,5</w:t>
            </w:r>
          </w:p>
        </w:tc>
        <w:tc>
          <w:tcPr>
            <w:tcW w:w="520" w:type="pct"/>
            <w:tcBorders>
              <w:top w:val="single" w:sz="4" w:space="0" w:color="auto"/>
              <w:bottom w:val="single" w:sz="4" w:space="0" w:color="auto"/>
            </w:tcBorders>
            <w:shd w:val="clear" w:color="auto" w:fill="auto"/>
            <w:vAlign w:val="bottom"/>
          </w:tcPr>
          <w:p w14:paraId="0245925C" w14:textId="77777777" w:rsidR="00A13F4A" w:rsidRPr="00FF5253" w:rsidRDefault="0048250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r>
      <w:tr w:rsidR="00A13F4A" w:rsidRPr="00BD5A90" w14:paraId="2578DDA9" w14:textId="77777777" w:rsidTr="00944CB1">
        <w:tc>
          <w:tcPr>
            <w:tcW w:w="848" w:type="pct"/>
            <w:tcBorders>
              <w:top w:val="single" w:sz="4" w:space="0" w:color="auto"/>
              <w:bottom w:val="single" w:sz="4" w:space="0" w:color="auto"/>
            </w:tcBorders>
            <w:shd w:val="clear" w:color="auto" w:fill="auto"/>
            <w:vAlign w:val="bottom"/>
          </w:tcPr>
          <w:p w14:paraId="75CB1549" w14:textId="77777777" w:rsidR="00A13F4A" w:rsidRPr="00FF5253" w:rsidRDefault="00A13F4A" w:rsidP="0048250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14:paraId="0AFC90D4" w14:textId="77777777" w:rsidR="00A13F4A" w:rsidRPr="00FF5253" w:rsidRDefault="0048250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3 954</w:t>
            </w:r>
          </w:p>
        </w:tc>
        <w:tc>
          <w:tcPr>
            <w:tcW w:w="528" w:type="pct"/>
            <w:tcBorders>
              <w:top w:val="single" w:sz="4" w:space="0" w:color="auto"/>
              <w:bottom w:val="single" w:sz="4" w:space="0" w:color="auto"/>
            </w:tcBorders>
            <w:shd w:val="clear" w:color="auto" w:fill="auto"/>
            <w:vAlign w:val="bottom"/>
          </w:tcPr>
          <w:p w14:paraId="164CB982" w14:textId="77777777" w:rsidR="00A13F4A" w:rsidRPr="00FF5253" w:rsidRDefault="0048250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3 726</w:t>
            </w:r>
          </w:p>
        </w:tc>
        <w:tc>
          <w:tcPr>
            <w:tcW w:w="582" w:type="pct"/>
            <w:tcBorders>
              <w:top w:val="single" w:sz="4" w:space="0" w:color="auto"/>
              <w:bottom w:val="single" w:sz="4" w:space="0" w:color="auto"/>
            </w:tcBorders>
            <w:shd w:val="clear" w:color="auto" w:fill="auto"/>
            <w:vAlign w:val="bottom"/>
          </w:tcPr>
          <w:p w14:paraId="18757550" w14:textId="77777777" w:rsidR="00A13F4A" w:rsidRPr="00FF5253" w:rsidRDefault="0048250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228</w:t>
            </w:r>
          </w:p>
        </w:tc>
        <w:tc>
          <w:tcPr>
            <w:tcW w:w="598" w:type="pct"/>
            <w:tcBorders>
              <w:top w:val="single" w:sz="4" w:space="0" w:color="auto"/>
              <w:bottom w:val="single" w:sz="4" w:space="0" w:color="auto"/>
            </w:tcBorders>
            <w:shd w:val="clear" w:color="auto" w:fill="auto"/>
            <w:vAlign w:val="bottom"/>
          </w:tcPr>
          <w:p w14:paraId="6D2243AB" w14:textId="77777777" w:rsidR="00A13F4A" w:rsidRPr="00FF5253" w:rsidRDefault="0048250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1 350</w:t>
            </w:r>
          </w:p>
        </w:tc>
        <w:tc>
          <w:tcPr>
            <w:tcW w:w="706" w:type="pct"/>
            <w:tcBorders>
              <w:top w:val="single" w:sz="4" w:space="0" w:color="auto"/>
              <w:bottom w:val="single" w:sz="4" w:space="0" w:color="auto"/>
            </w:tcBorders>
            <w:shd w:val="clear" w:color="auto" w:fill="auto"/>
            <w:vAlign w:val="bottom"/>
          </w:tcPr>
          <w:p w14:paraId="568AED82" w14:textId="77777777" w:rsidR="00A13F4A" w:rsidRPr="00FF5253" w:rsidRDefault="0048250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74,5</w:t>
            </w:r>
          </w:p>
        </w:tc>
        <w:tc>
          <w:tcPr>
            <w:tcW w:w="662" w:type="pct"/>
            <w:tcBorders>
              <w:top w:val="single" w:sz="4" w:space="0" w:color="auto"/>
              <w:bottom w:val="single" w:sz="4" w:space="0" w:color="auto"/>
            </w:tcBorders>
            <w:shd w:val="clear" w:color="auto" w:fill="auto"/>
            <w:vAlign w:val="bottom"/>
          </w:tcPr>
          <w:p w14:paraId="2AC66DC4" w14:textId="77777777" w:rsidR="00A13F4A" w:rsidRPr="00FF5253" w:rsidRDefault="0048250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70,2</w:t>
            </w:r>
          </w:p>
        </w:tc>
        <w:tc>
          <w:tcPr>
            <w:tcW w:w="520" w:type="pct"/>
            <w:tcBorders>
              <w:top w:val="single" w:sz="4" w:space="0" w:color="auto"/>
              <w:bottom w:val="single" w:sz="4" w:space="0" w:color="auto"/>
            </w:tcBorders>
            <w:shd w:val="clear" w:color="auto" w:fill="auto"/>
            <w:vAlign w:val="bottom"/>
          </w:tcPr>
          <w:p w14:paraId="196DD45E" w14:textId="77777777" w:rsidR="00A13F4A" w:rsidRPr="00FF5253" w:rsidRDefault="0048250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r>
      <w:tr w:rsidR="00A13F4A" w:rsidRPr="00BD5A90" w14:paraId="5BCEA98A" w14:textId="77777777" w:rsidTr="00944CB1">
        <w:tc>
          <w:tcPr>
            <w:tcW w:w="848" w:type="pct"/>
            <w:tcBorders>
              <w:top w:val="single" w:sz="4" w:space="0" w:color="auto"/>
              <w:bottom w:val="single" w:sz="4" w:space="0" w:color="auto"/>
            </w:tcBorders>
            <w:shd w:val="clear" w:color="auto" w:fill="auto"/>
            <w:vAlign w:val="bottom"/>
          </w:tcPr>
          <w:p w14:paraId="28DC691F" w14:textId="77777777" w:rsidR="00A13F4A" w:rsidRPr="0048250F" w:rsidRDefault="00A13F4A" w:rsidP="0048250F">
            <w:pPr>
              <w:widowControl w:val="0"/>
              <w:spacing w:after="0" w:line="240" w:lineRule="auto"/>
              <w:rPr>
                <w:rFonts w:ascii="Times New Roman" w:eastAsia="Times New Roman" w:hAnsi="Times New Roman" w:cs="Times New Roman"/>
                <w:b/>
                <w:sz w:val="24"/>
                <w:szCs w:val="24"/>
                <w:lang w:eastAsia="ru-RU"/>
              </w:rPr>
            </w:pPr>
            <w:r w:rsidRPr="0048250F">
              <w:rPr>
                <w:rFonts w:ascii="Times New Roman" w:eastAsia="Times New Roman" w:hAnsi="Times New Roman" w:cs="Times New Roman"/>
                <w:b/>
                <w:sz w:val="24"/>
                <w:szCs w:val="24"/>
                <w:lang w:eastAsia="ru-RU"/>
              </w:rPr>
              <w:t>Сельское население</w:t>
            </w:r>
          </w:p>
        </w:tc>
        <w:tc>
          <w:tcPr>
            <w:tcW w:w="556" w:type="pct"/>
            <w:tcBorders>
              <w:top w:val="single" w:sz="4" w:space="0" w:color="auto"/>
              <w:bottom w:val="single" w:sz="4" w:space="0" w:color="auto"/>
            </w:tcBorders>
            <w:shd w:val="clear" w:color="auto" w:fill="auto"/>
            <w:vAlign w:val="bottom"/>
          </w:tcPr>
          <w:p w14:paraId="2AB9A41A" w14:textId="77777777" w:rsidR="00A13F4A" w:rsidRPr="00FF5253" w:rsidRDefault="00A13F4A" w:rsidP="0048250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14:paraId="2ED94B1E" w14:textId="77777777" w:rsidR="00A13F4A" w:rsidRPr="00FF5253" w:rsidRDefault="00A13F4A" w:rsidP="0048250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14:paraId="61239749" w14:textId="77777777" w:rsidR="00A13F4A" w:rsidRPr="00FF5253" w:rsidRDefault="00A13F4A" w:rsidP="0048250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14:paraId="2D6FC01C" w14:textId="77777777" w:rsidR="00A13F4A" w:rsidRPr="00FF5253" w:rsidRDefault="00A13F4A" w:rsidP="0048250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14:paraId="3329BDED" w14:textId="77777777" w:rsidR="00A13F4A" w:rsidRPr="00FF5253" w:rsidRDefault="00A13F4A" w:rsidP="0048250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14:paraId="6367F913" w14:textId="77777777" w:rsidR="00A13F4A" w:rsidRPr="00FF5253" w:rsidRDefault="00A13F4A" w:rsidP="0048250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14:paraId="26CB2EC9" w14:textId="77777777" w:rsidR="00A13F4A" w:rsidRPr="00FF5253" w:rsidRDefault="00A13F4A" w:rsidP="0048250F">
            <w:pPr>
              <w:widowControl w:val="0"/>
              <w:spacing w:after="0" w:line="240" w:lineRule="auto"/>
              <w:jc w:val="center"/>
              <w:rPr>
                <w:rFonts w:ascii="Times New Roman" w:eastAsia="Times New Roman" w:hAnsi="Times New Roman" w:cs="Times New Roman"/>
                <w:sz w:val="24"/>
                <w:szCs w:val="24"/>
                <w:lang w:eastAsia="ru-RU"/>
              </w:rPr>
            </w:pPr>
          </w:p>
        </w:tc>
      </w:tr>
      <w:tr w:rsidR="00A13F4A" w:rsidRPr="00BD5A90" w14:paraId="6C5AA058" w14:textId="77777777" w:rsidTr="00944CB1">
        <w:tc>
          <w:tcPr>
            <w:tcW w:w="848" w:type="pct"/>
            <w:tcBorders>
              <w:top w:val="single" w:sz="4" w:space="0" w:color="auto"/>
              <w:bottom w:val="single" w:sz="4" w:space="0" w:color="auto"/>
            </w:tcBorders>
            <w:shd w:val="clear" w:color="auto" w:fill="auto"/>
            <w:vAlign w:val="bottom"/>
          </w:tcPr>
          <w:p w14:paraId="224AE8C7" w14:textId="77777777" w:rsidR="00A13F4A" w:rsidRPr="00FF5253" w:rsidRDefault="00A13F4A" w:rsidP="0048250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14:paraId="2ED0E55F" w14:textId="77777777" w:rsidR="00A13F4A" w:rsidRPr="00FF5253" w:rsidRDefault="0048250F" w:rsidP="0048250F">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2 725</w:t>
            </w:r>
          </w:p>
        </w:tc>
        <w:tc>
          <w:tcPr>
            <w:tcW w:w="528" w:type="pct"/>
            <w:tcBorders>
              <w:top w:val="single" w:sz="4" w:space="0" w:color="auto"/>
              <w:bottom w:val="single" w:sz="4" w:space="0" w:color="auto"/>
            </w:tcBorders>
            <w:shd w:val="clear" w:color="auto" w:fill="auto"/>
            <w:vAlign w:val="bottom"/>
          </w:tcPr>
          <w:p w14:paraId="1EFC4781" w14:textId="77777777" w:rsidR="00A13F4A" w:rsidRPr="00FF5253" w:rsidRDefault="0048250F" w:rsidP="0048250F">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2 531</w:t>
            </w:r>
          </w:p>
        </w:tc>
        <w:tc>
          <w:tcPr>
            <w:tcW w:w="582" w:type="pct"/>
            <w:tcBorders>
              <w:top w:val="single" w:sz="4" w:space="0" w:color="auto"/>
              <w:bottom w:val="single" w:sz="4" w:space="0" w:color="auto"/>
            </w:tcBorders>
            <w:shd w:val="clear" w:color="auto" w:fill="auto"/>
            <w:vAlign w:val="bottom"/>
          </w:tcPr>
          <w:p w14:paraId="4F4FD91C" w14:textId="77777777" w:rsidR="00A13F4A" w:rsidRPr="00FF5253" w:rsidRDefault="0048250F" w:rsidP="0048250F">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194</w:t>
            </w:r>
          </w:p>
        </w:tc>
        <w:tc>
          <w:tcPr>
            <w:tcW w:w="598" w:type="pct"/>
            <w:tcBorders>
              <w:top w:val="single" w:sz="4" w:space="0" w:color="auto"/>
              <w:bottom w:val="single" w:sz="4" w:space="0" w:color="auto"/>
            </w:tcBorders>
            <w:shd w:val="clear" w:color="auto" w:fill="auto"/>
            <w:vAlign w:val="bottom"/>
          </w:tcPr>
          <w:p w14:paraId="4548D852" w14:textId="77777777" w:rsidR="00A13F4A" w:rsidRPr="00FF5253" w:rsidRDefault="0048250F" w:rsidP="0048250F">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777</w:t>
            </w:r>
          </w:p>
        </w:tc>
        <w:tc>
          <w:tcPr>
            <w:tcW w:w="706" w:type="pct"/>
            <w:tcBorders>
              <w:top w:val="single" w:sz="4" w:space="0" w:color="auto"/>
              <w:bottom w:val="single" w:sz="4" w:space="0" w:color="auto"/>
            </w:tcBorders>
            <w:shd w:val="clear" w:color="auto" w:fill="auto"/>
            <w:vAlign w:val="bottom"/>
          </w:tcPr>
          <w:p w14:paraId="169F90C4" w14:textId="77777777" w:rsidR="00A13F4A" w:rsidRPr="00FF5253" w:rsidRDefault="00B92D73" w:rsidP="0048250F">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77,8</w:t>
            </w:r>
          </w:p>
        </w:tc>
        <w:tc>
          <w:tcPr>
            <w:tcW w:w="662" w:type="pct"/>
            <w:tcBorders>
              <w:top w:val="single" w:sz="4" w:space="0" w:color="auto"/>
              <w:bottom w:val="single" w:sz="4" w:space="0" w:color="auto"/>
            </w:tcBorders>
            <w:shd w:val="clear" w:color="auto" w:fill="auto"/>
            <w:vAlign w:val="bottom"/>
          </w:tcPr>
          <w:p w14:paraId="028173EB" w14:textId="77777777" w:rsidR="00A13F4A" w:rsidRPr="00FF5253" w:rsidRDefault="00B92D73" w:rsidP="0048250F">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72,3</w:t>
            </w:r>
          </w:p>
        </w:tc>
        <w:tc>
          <w:tcPr>
            <w:tcW w:w="520" w:type="pct"/>
            <w:tcBorders>
              <w:top w:val="single" w:sz="4" w:space="0" w:color="auto"/>
              <w:bottom w:val="single" w:sz="4" w:space="0" w:color="auto"/>
            </w:tcBorders>
            <w:shd w:val="clear" w:color="auto" w:fill="auto"/>
            <w:vAlign w:val="bottom"/>
          </w:tcPr>
          <w:p w14:paraId="3B48A123" w14:textId="77777777" w:rsidR="00A13F4A" w:rsidRPr="00FF5253" w:rsidRDefault="00B92D73" w:rsidP="0048250F">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7,1</w:t>
            </w:r>
          </w:p>
        </w:tc>
      </w:tr>
      <w:tr w:rsidR="00A13F4A" w:rsidRPr="00BD5A90" w14:paraId="413B00AF" w14:textId="77777777" w:rsidTr="00944CB1">
        <w:tc>
          <w:tcPr>
            <w:tcW w:w="848" w:type="pct"/>
            <w:tcBorders>
              <w:top w:val="single" w:sz="4" w:space="0" w:color="auto"/>
              <w:bottom w:val="single" w:sz="4" w:space="0" w:color="auto"/>
            </w:tcBorders>
            <w:shd w:val="clear" w:color="auto" w:fill="auto"/>
            <w:vAlign w:val="bottom"/>
          </w:tcPr>
          <w:p w14:paraId="6BC63EA3" w14:textId="77777777" w:rsidR="00A13F4A" w:rsidRPr="00FF5253" w:rsidRDefault="00A13F4A" w:rsidP="0048250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 имеющие:</w:t>
            </w:r>
          </w:p>
        </w:tc>
        <w:tc>
          <w:tcPr>
            <w:tcW w:w="556" w:type="pct"/>
            <w:tcBorders>
              <w:top w:val="single" w:sz="4" w:space="0" w:color="auto"/>
              <w:bottom w:val="single" w:sz="4" w:space="0" w:color="auto"/>
            </w:tcBorders>
            <w:shd w:val="clear" w:color="auto" w:fill="auto"/>
            <w:vAlign w:val="bottom"/>
          </w:tcPr>
          <w:p w14:paraId="2F5DD7FF" w14:textId="77777777" w:rsidR="00A13F4A" w:rsidRPr="00FF5253" w:rsidRDefault="00A13F4A" w:rsidP="0048250F">
            <w:pPr>
              <w:widowControl w:val="0"/>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bottom w:val="single" w:sz="4" w:space="0" w:color="auto"/>
            </w:tcBorders>
            <w:shd w:val="clear" w:color="auto" w:fill="auto"/>
            <w:vAlign w:val="bottom"/>
          </w:tcPr>
          <w:p w14:paraId="3E3410F4" w14:textId="77777777" w:rsidR="00A13F4A" w:rsidRPr="00FF5253" w:rsidRDefault="00A13F4A" w:rsidP="0048250F">
            <w:pPr>
              <w:widowControl w:val="0"/>
              <w:spacing w:after="0" w:line="240" w:lineRule="auto"/>
              <w:jc w:val="center"/>
              <w:rPr>
                <w:rFonts w:ascii="Times New Roman" w:eastAsia="Times New Roman" w:hAnsi="Times New Roman" w:cs="Times New Roman"/>
                <w:sz w:val="24"/>
                <w:szCs w:val="24"/>
                <w:lang w:eastAsia="ru-RU"/>
              </w:rPr>
            </w:pPr>
          </w:p>
        </w:tc>
        <w:tc>
          <w:tcPr>
            <w:tcW w:w="582" w:type="pct"/>
            <w:tcBorders>
              <w:top w:val="single" w:sz="4" w:space="0" w:color="auto"/>
              <w:bottom w:val="single" w:sz="4" w:space="0" w:color="auto"/>
            </w:tcBorders>
            <w:shd w:val="clear" w:color="auto" w:fill="auto"/>
            <w:vAlign w:val="bottom"/>
          </w:tcPr>
          <w:p w14:paraId="6E7B26C5" w14:textId="77777777" w:rsidR="00A13F4A" w:rsidRPr="00FF5253" w:rsidRDefault="00A13F4A" w:rsidP="0048250F">
            <w:pPr>
              <w:widowControl w:val="0"/>
              <w:spacing w:after="0" w:line="240" w:lineRule="auto"/>
              <w:jc w:val="center"/>
              <w:rPr>
                <w:rFonts w:ascii="Times New Roman" w:eastAsia="Times New Roman" w:hAnsi="Times New Roman" w:cs="Times New Roman"/>
                <w:sz w:val="24"/>
                <w:szCs w:val="24"/>
                <w:lang w:eastAsia="ru-RU"/>
              </w:rPr>
            </w:pPr>
          </w:p>
        </w:tc>
        <w:tc>
          <w:tcPr>
            <w:tcW w:w="598" w:type="pct"/>
            <w:tcBorders>
              <w:top w:val="single" w:sz="4" w:space="0" w:color="auto"/>
              <w:bottom w:val="single" w:sz="4" w:space="0" w:color="auto"/>
            </w:tcBorders>
            <w:shd w:val="clear" w:color="auto" w:fill="auto"/>
            <w:vAlign w:val="bottom"/>
          </w:tcPr>
          <w:p w14:paraId="058B545F" w14:textId="77777777" w:rsidR="00A13F4A" w:rsidRPr="00FF5253" w:rsidRDefault="00A13F4A" w:rsidP="0048250F">
            <w:pPr>
              <w:widowControl w:val="0"/>
              <w:spacing w:after="0" w:line="240" w:lineRule="auto"/>
              <w:jc w:val="center"/>
              <w:rPr>
                <w:rFonts w:ascii="Times New Roman" w:eastAsia="Times New Roman" w:hAnsi="Times New Roman" w:cs="Times New Roman"/>
                <w:sz w:val="24"/>
                <w:szCs w:val="24"/>
                <w:lang w:eastAsia="ru-RU"/>
              </w:rPr>
            </w:pPr>
          </w:p>
        </w:tc>
        <w:tc>
          <w:tcPr>
            <w:tcW w:w="706" w:type="pct"/>
            <w:tcBorders>
              <w:top w:val="single" w:sz="4" w:space="0" w:color="auto"/>
              <w:bottom w:val="single" w:sz="4" w:space="0" w:color="auto"/>
            </w:tcBorders>
            <w:shd w:val="clear" w:color="auto" w:fill="auto"/>
            <w:vAlign w:val="bottom"/>
          </w:tcPr>
          <w:p w14:paraId="4D307D47" w14:textId="77777777" w:rsidR="00A13F4A" w:rsidRPr="00FF5253" w:rsidRDefault="00A13F4A" w:rsidP="0048250F">
            <w:pPr>
              <w:widowControl w:val="0"/>
              <w:spacing w:after="0" w:line="240" w:lineRule="auto"/>
              <w:jc w:val="center"/>
              <w:rPr>
                <w:rFonts w:ascii="Times New Roman" w:eastAsia="Times New Roman" w:hAnsi="Times New Roman" w:cs="Times New Roman"/>
                <w:sz w:val="24"/>
                <w:szCs w:val="24"/>
                <w:lang w:eastAsia="ru-RU"/>
              </w:rPr>
            </w:pPr>
          </w:p>
        </w:tc>
        <w:tc>
          <w:tcPr>
            <w:tcW w:w="662" w:type="pct"/>
            <w:tcBorders>
              <w:top w:val="single" w:sz="4" w:space="0" w:color="auto"/>
              <w:bottom w:val="single" w:sz="4" w:space="0" w:color="auto"/>
            </w:tcBorders>
            <w:shd w:val="clear" w:color="auto" w:fill="auto"/>
            <w:vAlign w:val="bottom"/>
          </w:tcPr>
          <w:p w14:paraId="5842F28B" w14:textId="77777777" w:rsidR="00A13F4A" w:rsidRPr="00FF5253" w:rsidRDefault="00A13F4A" w:rsidP="0048250F">
            <w:pPr>
              <w:widowControl w:val="0"/>
              <w:spacing w:after="0" w:line="240" w:lineRule="auto"/>
              <w:jc w:val="center"/>
              <w:rPr>
                <w:rFonts w:ascii="Times New Roman" w:eastAsia="Times New Roman" w:hAnsi="Times New Roman" w:cs="Times New Roman"/>
                <w:sz w:val="24"/>
                <w:szCs w:val="24"/>
                <w:lang w:eastAsia="ru-RU"/>
              </w:rPr>
            </w:pPr>
          </w:p>
        </w:tc>
        <w:tc>
          <w:tcPr>
            <w:tcW w:w="520" w:type="pct"/>
            <w:tcBorders>
              <w:top w:val="single" w:sz="4" w:space="0" w:color="auto"/>
              <w:bottom w:val="single" w:sz="4" w:space="0" w:color="auto"/>
            </w:tcBorders>
            <w:shd w:val="clear" w:color="auto" w:fill="auto"/>
            <w:vAlign w:val="bottom"/>
          </w:tcPr>
          <w:p w14:paraId="1B5FB1F7" w14:textId="77777777" w:rsidR="00A13F4A" w:rsidRPr="00FF5253" w:rsidRDefault="00A13F4A" w:rsidP="0048250F">
            <w:pPr>
              <w:widowControl w:val="0"/>
              <w:spacing w:after="0" w:line="240" w:lineRule="auto"/>
              <w:jc w:val="center"/>
              <w:rPr>
                <w:rFonts w:ascii="Times New Roman" w:eastAsia="Times New Roman" w:hAnsi="Times New Roman" w:cs="Times New Roman"/>
                <w:sz w:val="24"/>
                <w:szCs w:val="24"/>
                <w:lang w:eastAsia="ru-RU"/>
              </w:rPr>
            </w:pPr>
          </w:p>
        </w:tc>
      </w:tr>
      <w:tr w:rsidR="00A13F4A" w:rsidRPr="00BD5A90" w14:paraId="5E8C4CA4" w14:textId="77777777" w:rsidTr="00944CB1">
        <w:tc>
          <w:tcPr>
            <w:tcW w:w="848" w:type="pct"/>
            <w:tcBorders>
              <w:top w:val="single" w:sz="4" w:space="0" w:color="auto"/>
              <w:bottom w:val="single" w:sz="4" w:space="0" w:color="auto"/>
            </w:tcBorders>
            <w:shd w:val="clear" w:color="auto" w:fill="auto"/>
            <w:vAlign w:val="bottom"/>
          </w:tcPr>
          <w:p w14:paraId="0F961D02" w14:textId="77777777" w:rsidR="00A13F4A" w:rsidRPr="00FF5253" w:rsidRDefault="00A13F4A" w:rsidP="0048250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556" w:type="pct"/>
            <w:tcBorders>
              <w:top w:val="single" w:sz="4" w:space="0" w:color="auto"/>
              <w:bottom w:val="single" w:sz="4" w:space="0" w:color="auto"/>
            </w:tcBorders>
            <w:shd w:val="clear" w:color="auto" w:fill="auto"/>
            <w:vAlign w:val="bottom"/>
          </w:tcPr>
          <w:p w14:paraId="0CE38AA1" w14:textId="77777777" w:rsidR="00A13F4A" w:rsidRPr="00FF5253" w:rsidRDefault="00FA751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1 448</w:t>
            </w:r>
          </w:p>
        </w:tc>
        <w:tc>
          <w:tcPr>
            <w:tcW w:w="528" w:type="pct"/>
            <w:tcBorders>
              <w:top w:val="single" w:sz="4" w:space="0" w:color="auto"/>
              <w:bottom w:val="single" w:sz="4" w:space="0" w:color="auto"/>
            </w:tcBorders>
            <w:shd w:val="clear" w:color="auto" w:fill="auto"/>
            <w:vAlign w:val="bottom"/>
          </w:tcPr>
          <w:p w14:paraId="1049FF1C" w14:textId="77777777" w:rsidR="00A13F4A" w:rsidRPr="00FF5253" w:rsidRDefault="00FA751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1 362</w:t>
            </w:r>
          </w:p>
        </w:tc>
        <w:tc>
          <w:tcPr>
            <w:tcW w:w="582" w:type="pct"/>
            <w:tcBorders>
              <w:top w:val="single" w:sz="4" w:space="0" w:color="auto"/>
              <w:bottom w:val="single" w:sz="4" w:space="0" w:color="auto"/>
            </w:tcBorders>
            <w:shd w:val="clear" w:color="auto" w:fill="auto"/>
            <w:vAlign w:val="bottom"/>
          </w:tcPr>
          <w:p w14:paraId="01CC86A1" w14:textId="77777777" w:rsidR="00A13F4A" w:rsidRPr="00FF5253" w:rsidRDefault="00FA751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598" w:type="pct"/>
            <w:tcBorders>
              <w:top w:val="single" w:sz="4" w:space="0" w:color="auto"/>
              <w:bottom w:val="single" w:sz="4" w:space="0" w:color="auto"/>
            </w:tcBorders>
            <w:shd w:val="clear" w:color="auto" w:fill="auto"/>
            <w:vAlign w:val="bottom"/>
          </w:tcPr>
          <w:p w14:paraId="1E557D79" w14:textId="77777777" w:rsidR="00A13F4A" w:rsidRPr="00FF5253" w:rsidRDefault="00FA751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295</w:t>
            </w:r>
          </w:p>
        </w:tc>
        <w:tc>
          <w:tcPr>
            <w:tcW w:w="706" w:type="pct"/>
            <w:tcBorders>
              <w:top w:val="single" w:sz="4" w:space="0" w:color="auto"/>
              <w:bottom w:val="single" w:sz="4" w:space="0" w:color="auto"/>
            </w:tcBorders>
            <w:shd w:val="clear" w:color="auto" w:fill="auto"/>
            <w:vAlign w:val="bottom"/>
          </w:tcPr>
          <w:p w14:paraId="50BB3A2A" w14:textId="77777777" w:rsidR="00A13F4A" w:rsidRPr="00FF5253" w:rsidRDefault="00FA751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83,1</w:t>
            </w:r>
          </w:p>
        </w:tc>
        <w:tc>
          <w:tcPr>
            <w:tcW w:w="662" w:type="pct"/>
            <w:tcBorders>
              <w:top w:val="single" w:sz="4" w:space="0" w:color="auto"/>
              <w:bottom w:val="single" w:sz="4" w:space="0" w:color="auto"/>
            </w:tcBorders>
            <w:shd w:val="clear" w:color="auto" w:fill="auto"/>
            <w:vAlign w:val="bottom"/>
          </w:tcPr>
          <w:p w14:paraId="39B3385F" w14:textId="77777777" w:rsidR="00A13F4A" w:rsidRPr="00FF5253" w:rsidRDefault="00FA751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78,1</w:t>
            </w:r>
          </w:p>
        </w:tc>
        <w:tc>
          <w:tcPr>
            <w:tcW w:w="520" w:type="pct"/>
            <w:tcBorders>
              <w:top w:val="single" w:sz="4" w:space="0" w:color="auto"/>
              <w:bottom w:val="single" w:sz="4" w:space="0" w:color="auto"/>
            </w:tcBorders>
            <w:shd w:val="clear" w:color="auto" w:fill="auto"/>
            <w:vAlign w:val="bottom"/>
          </w:tcPr>
          <w:p w14:paraId="2B86698F" w14:textId="77777777" w:rsidR="00A13F4A" w:rsidRPr="00FF5253" w:rsidRDefault="00FA751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r>
      <w:tr w:rsidR="00A13F4A" w:rsidRPr="00BD5A90" w14:paraId="49EE3DE0" w14:textId="77777777" w:rsidTr="00944CB1">
        <w:tc>
          <w:tcPr>
            <w:tcW w:w="848" w:type="pct"/>
            <w:tcBorders>
              <w:top w:val="single" w:sz="4" w:space="0" w:color="auto"/>
              <w:bottom w:val="single" w:sz="4" w:space="0" w:color="auto"/>
            </w:tcBorders>
            <w:shd w:val="clear" w:color="auto" w:fill="auto"/>
            <w:vAlign w:val="bottom"/>
          </w:tcPr>
          <w:p w14:paraId="47652A89" w14:textId="77777777" w:rsidR="00A13F4A" w:rsidRPr="00FF5253" w:rsidRDefault="00A13F4A" w:rsidP="0048250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556" w:type="pct"/>
            <w:tcBorders>
              <w:top w:val="single" w:sz="4" w:space="0" w:color="auto"/>
              <w:bottom w:val="single" w:sz="4" w:space="0" w:color="auto"/>
            </w:tcBorders>
            <w:shd w:val="clear" w:color="auto" w:fill="auto"/>
            <w:vAlign w:val="bottom"/>
          </w:tcPr>
          <w:p w14:paraId="0F1DA662" w14:textId="77777777" w:rsidR="00A13F4A" w:rsidRPr="00FF5253" w:rsidRDefault="00FA751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928</w:t>
            </w:r>
          </w:p>
        </w:tc>
        <w:tc>
          <w:tcPr>
            <w:tcW w:w="528" w:type="pct"/>
            <w:tcBorders>
              <w:top w:val="single" w:sz="4" w:space="0" w:color="auto"/>
              <w:bottom w:val="single" w:sz="4" w:space="0" w:color="auto"/>
            </w:tcBorders>
            <w:shd w:val="clear" w:color="auto" w:fill="auto"/>
            <w:vAlign w:val="bottom"/>
          </w:tcPr>
          <w:p w14:paraId="7F84C48E" w14:textId="77777777" w:rsidR="00A13F4A" w:rsidRPr="00FF5253" w:rsidRDefault="00FA751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862</w:t>
            </w:r>
          </w:p>
        </w:tc>
        <w:tc>
          <w:tcPr>
            <w:tcW w:w="582" w:type="pct"/>
            <w:tcBorders>
              <w:top w:val="single" w:sz="4" w:space="0" w:color="auto"/>
              <w:bottom w:val="single" w:sz="4" w:space="0" w:color="auto"/>
            </w:tcBorders>
            <w:shd w:val="clear" w:color="auto" w:fill="auto"/>
            <w:vAlign w:val="bottom"/>
          </w:tcPr>
          <w:p w14:paraId="23757C51" w14:textId="77777777" w:rsidR="00A13F4A" w:rsidRPr="00FF5253" w:rsidRDefault="00FA751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598" w:type="pct"/>
            <w:tcBorders>
              <w:top w:val="single" w:sz="4" w:space="0" w:color="auto"/>
              <w:bottom w:val="single" w:sz="4" w:space="0" w:color="auto"/>
            </w:tcBorders>
            <w:shd w:val="clear" w:color="auto" w:fill="auto"/>
            <w:vAlign w:val="bottom"/>
          </w:tcPr>
          <w:p w14:paraId="6D2EE54C" w14:textId="77777777" w:rsidR="00A13F4A" w:rsidRPr="00FF5253" w:rsidRDefault="00FA751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275</w:t>
            </w:r>
          </w:p>
        </w:tc>
        <w:tc>
          <w:tcPr>
            <w:tcW w:w="706" w:type="pct"/>
            <w:tcBorders>
              <w:top w:val="single" w:sz="4" w:space="0" w:color="auto"/>
              <w:bottom w:val="single" w:sz="4" w:space="0" w:color="auto"/>
            </w:tcBorders>
            <w:shd w:val="clear" w:color="auto" w:fill="auto"/>
            <w:vAlign w:val="bottom"/>
          </w:tcPr>
          <w:p w14:paraId="3B1F8574" w14:textId="77777777" w:rsidR="00A13F4A" w:rsidRPr="00FF5253" w:rsidRDefault="00FA751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77,1</w:t>
            </w:r>
          </w:p>
        </w:tc>
        <w:tc>
          <w:tcPr>
            <w:tcW w:w="662" w:type="pct"/>
            <w:tcBorders>
              <w:top w:val="single" w:sz="4" w:space="0" w:color="auto"/>
              <w:bottom w:val="single" w:sz="4" w:space="0" w:color="auto"/>
            </w:tcBorders>
            <w:shd w:val="clear" w:color="auto" w:fill="auto"/>
            <w:vAlign w:val="bottom"/>
          </w:tcPr>
          <w:p w14:paraId="434F7BE5" w14:textId="77777777" w:rsidR="00A13F4A" w:rsidRPr="00FF5253" w:rsidRDefault="00FA751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71,6</w:t>
            </w:r>
          </w:p>
        </w:tc>
        <w:tc>
          <w:tcPr>
            <w:tcW w:w="520" w:type="pct"/>
            <w:tcBorders>
              <w:top w:val="single" w:sz="4" w:space="0" w:color="auto"/>
              <w:bottom w:val="single" w:sz="4" w:space="0" w:color="auto"/>
            </w:tcBorders>
            <w:shd w:val="clear" w:color="auto" w:fill="auto"/>
            <w:vAlign w:val="bottom"/>
          </w:tcPr>
          <w:p w14:paraId="5B50E857" w14:textId="77777777" w:rsidR="00A13F4A" w:rsidRPr="00FF5253" w:rsidRDefault="00FA751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r>
      <w:tr w:rsidR="00A13F4A" w:rsidRPr="00BD5A90" w14:paraId="7BD1B84A" w14:textId="77777777" w:rsidTr="00944CB1">
        <w:tc>
          <w:tcPr>
            <w:tcW w:w="848" w:type="pct"/>
            <w:tcBorders>
              <w:top w:val="single" w:sz="4" w:space="0" w:color="auto"/>
              <w:bottom w:val="single" w:sz="4" w:space="0" w:color="auto"/>
            </w:tcBorders>
            <w:shd w:val="clear" w:color="auto" w:fill="auto"/>
            <w:vAlign w:val="bottom"/>
          </w:tcPr>
          <w:p w14:paraId="53C8A645" w14:textId="77777777" w:rsidR="00A13F4A" w:rsidRPr="00FF5253" w:rsidRDefault="00A13F4A" w:rsidP="0048250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детей и более</w:t>
            </w:r>
          </w:p>
        </w:tc>
        <w:tc>
          <w:tcPr>
            <w:tcW w:w="556" w:type="pct"/>
            <w:tcBorders>
              <w:top w:val="single" w:sz="4" w:space="0" w:color="auto"/>
              <w:bottom w:val="single" w:sz="4" w:space="0" w:color="auto"/>
            </w:tcBorders>
            <w:shd w:val="clear" w:color="auto" w:fill="auto"/>
            <w:vAlign w:val="bottom"/>
          </w:tcPr>
          <w:p w14:paraId="539F947C" w14:textId="77777777" w:rsidR="00A13F4A" w:rsidRPr="00FF5253" w:rsidRDefault="00FA751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348</w:t>
            </w:r>
          </w:p>
        </w:tc>
        <w:tc>
          <w:tcPr>
            <w:tcW w:w="528" w:type="pct"/>
            <w:tcBorders>
              <w:top w:val="single" w:sz="4" w:space="0" w:color="auto"/>
              <w:bottom w:val="single" w:sz="4" w:space="0" w:color="auto"/>
            </w:tcBorders>
            <w:shd w:val="clear" w:color="auto" w:fill="auto"/>
            <w:vAlign w:val="bottom"/>
          </w:tcPr>
          <w:p w14:paraId="2C1036B5" w14:textId="77777777" w:rsidR="00A13F4A" w:rsidRPr="00FF5253" w:rsidRDefault="00FA751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307</w:t>
            </w:r>
          </w:p>
        </w:tc>
        <w:tc>
          <w:tcPr>
            <w:tcW w:w="582" w:type="pct"/>
            <w:tcBorders>
              <w:top w:val="single" w:sz="4" w:space="0" w:color="auto"/>
              <w:bottom w:val="single" w:sz="4" w:space="0" w:color="auto"/>
            </w:tcBorders>
            <w:shd w:val="clear" w:color="auto" w:fill="auto"/>
            <w:vAlign w:val="bottom"/>
          </w:tcPr>
          <w:p w14:paraId="050F998C" w14:textId="77777777" w:rsidR="00A13F4A" w:rsidRPr="00FF5253" w:rsidRDefault="00FA751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598" w:type="pct"/>
            <w:tcBorders>
              <w:top w:val="single" w:sz="4" w:space="0" w:color="auto"/>
              <w:bottom w:val="single" w:sz="4" w:space="0" w:color="auto"/>
            </w:tcBorders>
            <w:shd w:val="clear" w:color="auto" w:fill="auto"/>
            <w:vAlign w:val="bottom"/>
          </w:tcPr>
          <w:p w14:paraId="42823087" w14:textId="77777777" w:rsidR="00A13F4A" w:rsidRPr="00FF5253" w:rsidRDefault="00FA751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207</w:t>
            </w:r>
          </w:p>
        </w:tc>
        <w:tc>
          <w:tcPr>
            <w:tcW w:w="706" w:type="pct"/>
            <w:tcBorders>
              <w:top w:val="single" w:sz="4" w:space="0" w:color="auto"/>
              <w:bottom w:val="single" w:sz="4" w:space="0" w:color="auto"/>
            </w:tcBorders>
            <w:shd w:val="clear" w:color="auto" w:fill="auto"/>
            <w:vAlign w:val="bottom"/>
          </w:tcPr>
          <w:p w14:paraId="178C8C61" w14:textId="77777777" w:rsidR="00A13F4A" w:rsidRPr="00FF5253" w:rsidRDefault="00FA751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62,7</w:t>
            </w:r>
          </w:p>
        </w:tc>
        <w:tc>
          <w:tcPr>
            <w:tcW w:w="662" w:type="pct"/>
            <w:tcBorders>
              <w:top w:val="single" w:sz="4" w:space="0" w:color="auto"/>
              <w:bottom w:val="single" w:sz="4" w:space="0" w:color="auto"/>
            </w:tcBorders>
            <w:shd w:val="clear" w:color="auto" w:fill="auto"/>
            <w:vAlign w:val="bottom"/>
          </w:tcPr>
          <w:p w14:paraId="05F216D8" w14:textId="77777777" w:rsidR="00A13F4A" w:rsidRPr="00FF5253" w:rsidRDefault="00FA751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55,4</w:t>
            </w:r>
          </w:p>
        </w:tc>
        <w:tc>
          <w:tcPr>
            <w:tcW w:w="520" w:type="pct"/>
            <w:tcBorders>
              <w:top w:val="single" w:sz="4" w:space="0" w:color="auto"/>
              <w:bottom w:val="single" w:sz="4" w:space="0" w:color="auto"/>
            </w:tcBorders>
            <w:shd w:val="clear" w:color="auto" w:fill="auto"/>
            <w:vAlign w:val="bottom"/>
          </w:tcPr>
          <w:p w14:paraId="33631963" w14:textId="77777777" w:rsidR="00A13F4A" w:rsidRPr="00FF5253" w:rsidRDefault="00FA751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r>
      <w:tr w:rsidR="00A13F4A" w:rsidRPr="00BD5A90" w14:paraId="046D06DF" w14:textId="77777777" w:rsidTr="00944CB1">
        <w:tc>
          <w:tcPr>
            <w:tcW w:w="848" w:type="pct"/>
            <w:tcBorders>
              <w:top w:val="single" w:sz="4" w:space="0" w:color="auto"/>
              <w:bottom w:val="single" w:sz="4" w:space="0" w:color="auto"/>
            </w:tcBorders>
            <w:shd w:val="clear" w:color="auto" w:fill="auto"/>
            <w:vAlign w:val="bottom"/>
          </w:tcPr>
          <w:p w14:paraId="3797DA1B" w14:textId="77777777" w:rsidR="00A13F4A" w:rsidRPr="00FF5253" w:rsidRDefault="00A13F4A" w:rsidP="0048250F">
            <w:pPr>
              <w:widowControl w:val="0"/>
              <w:spacing w:after="0" w:line="240" w:lineRule="auto"/>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14:paraId="579714F3" w14:textId="77777777" w:rsidR="00A13F4A" w:rsidRPr="00FF5253" w:rsidRDefault="00FA751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1 005</w:t>
            </w:r>
          </w:p>
        </w:tc>
        <w:tc>
          <w:tcPr>
            <w:tcW w:w="528" w:type="pct"/>
            <w:tcBorders>
              <w:top w:val="single" w:sz="4" w:space="0" w:color="auto"/>
              <w:bottom w:val="single" w:sz="4" w:space="0" w:color="auto"/>
            </w:tcBorders>
            <w:shd w:val="clear" w:color="auto" w:fill="auto"/>
            <w:vAlign w:val="bottom"/>
          </w:tcPr>
          <w:p w14:paraId="5A0B91A2" w14:textId="77777777" w:rsidR="00A13F4A" w:rsidRPr="00FF5253" w:rsidRDefault="00FA751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910</w:t>
            </w:r>
          </w:p>
        </w:tc>
        <w:tc>
          <w:tcPr>
            <w:tcW w:w="582" w:type="pct"/>
            <w:tcBorders>
              <w:top w:val="single" w:sz="4" w:space="0" w:color="auto"/>
              <w:bottom w:val="single" w:sz="4" w:space="0" w:color="auto"/>
            </w:tcBorders>
            <w:shd w:val="clear" w:color="auto" w:fill="auto"/>
            <w:vAlign w:val="bottom"/>
          </w:tcPr>
          <w:p w14:paraId="08DEC826" w14:textId="77777777" w:rsidR="00A13F4A" w:rsidRPr="00FF5253" w:rsidRDefault="00FA751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598" w:type="pct"/>
            <w:tcBorders>
              <w:top w:val="single" w:sz="4" w:space="0" w:color="auto"/>
              <w:bottom w:val="single" w:sz="4" w:space="0" w:color="auto"/>
            </w:tcBorders>
            <w:shd w:val="clear" w:color="auto" w:fill="auto"/>
            <w:vAlign w:val="bottom"/>
          </w:tcPr>
          <w:p w14:paraId="65B11A8A" w14:textId="77777777" w:rsidR="00A13F4A" w:rsidRPr="00FF5253" w:rsidRDefault="00FA751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525</w:t>
            </w:r>
          </w:p>
        </w:tc>
        <w:tc>
          <w:tcPr>
            <w:tcW w:w="706" w:type="pct"/>
            <w:tcBorders>
              <w:top w:val="single" w:sz="4" w:space="0" w:color="auto"/>
              <w:bottom w:val="single" w:sz="4" w:space="0" w:color="auto"/>
            </w:tcBorders>
            <w:shd w:val="clear" w:color="auto" w:fill="auto"/>
            <w:vAlign w:val="bottom"/>
          </w:tcPr>
          <w:p w14:paraId="56541DF0" w14:textId="77777777" w:rsidR="00A13F4A" w:rsidRPr="00FF5253" w:rsidRDefault="00FA751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65,7</w:t>
            </w:r>
          </w:p>
        </w:tc>
        <w:tc>
          <w:tcPr>
            <w:tcW w:w="662" w:type="pct"/>
            <w:tcBorders>
              <w:top w:val="single" w:sz="4" w:space="0" w:color="auto"/>
              <w:bottom w:val="single" w:sz="4" w:space="0" w:color="auto"/>
            </w:tcBorders>
            <w:shd w:val="clear" w:color="auto" w:fill="auto"/>
            <w:vAlign w:val="bottom"/>
          </w:tcPr>
          <w:p w14:paraId="740D590D" w14:textId="77777777" w:rsidR="00A13F4A" w:rsidRPr="00FF5253" w:rsidRDefault="00FA751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59,5</w:t>
            </w:r>
          </w:p>
        </w:tc>
        <w:tc>
          <w:tcPr>
            <w:tcW w:w="520" w:type="pct"/>
            <w:tcBorders>
              <w:top w:val="single" w:sz="4" w:space="0" w:color="auto"/>
              <w:bottom w:val="single" w:sz="4" w:space="0" w:color="auto"/>
            </w:tcBorders>
            <w:shd w:val="clear" w:color="auto" w:fill="auto"/>
            <w:vAlign w:val="bottom"/>
          </w:tcPr>
          <w:p w14:paraId="3F1E31E5" w14:textId="77777777" w:rsidR="00A13F4A" w:rsidRPr="00FF5253" w:rsidRDefault="00FA751F" w:rsidP="0048250F">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r>
    </w:tbl>
    <w:p w14:paraId="65AD42F8" w14:textId="77777777" w:rsidR="00D03A4F"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14:paraId="42EF1982" w14:textId="77777777" w:rsidR="001F2084" w:rsidRDefault="001F2084" w:rsidP="00D03A4F">
      <w:pPr>
        <w:spacing w:after="0" w:line="240" w:lineRule="auto"/>
        <w:jc w:val="right"/>
        <w:rPr>
          <w:rFonts w:ascii="Times New Roman" w:eastAsia="Times New Roman" w:hAnsi="Times New Roman" w:cs="Times New Roman"/>
          <w:sz w:val="26"/>
          <w:szCs w:val="26"/>
          <w:lang w:eastAsia="ru-RU"/>
        </w:rPr>
        <w:sectPr w:rsidR="001F2084" w:rsidSect="00675542">
          <w:pgSz w:w="11906" w:h="16838"/>
          <w:pgMar w:top="1134" w:right="849" w:bottom="709" w:left="851" w:header="709" w:footer="709" w:gutter="0"/>
          <w:cols w:space="708"/>
          <w:docGrid w:linePitch="360"/>
        </w:sectPr>
      </w:pPr>
    </w:p>
    <w:p w14:paraId="69B25BE7" w14:textId="77777777" w:rsidR="00D03A4F" w:rsidRPr="00FF5253" w:rsidRDefault="00D03A4F" w:rsidP="00D03A4F">
      <w:pPr>
        <w:spacing w:after="0" w:line="240" w:lineRule="auto"/>
        <w:jc w:val="right"/>
        <w:rPr>
          <w:rFonts w:ascii="Times New Roman" w:eastAsia="Times New Roman" w:hAnsi="Times New Roman" w:cs="Times New Roman"/>
          <w:sz w:val="26"/>
          <w:szCs w:val="26"/>
          <w:lang w:eastAsia="ru-RU"/>
        </w:rPr>
      </w:pPr>
      <w:r w:rsidRPr="00FF5253">
        <w:rPr>
          <w:rFonts w:ascii="Times New Roman" w:eastAsia="Times New Roman" w:hAnsi="Times New Roman" w:cs="Times New Roman"/>
          <w:sz w:val="26"/>
          <w:szCs w:val="26"/>
          <w:lang w:eastAsia="ru-RU"/>
        </w:rPr>
        <w:t xml:space="preserve">Таблица </w:t>
      </w:r>
      <w:r w:rsidR="00BF045B">
        <w:rPr>
          <w:rFonts w:ascii="Times New Roman" w:eastAsia="Times New Roman" w:hAnsi="Times New Roman" w:cs="Times New Roman"/>
          <w:sz w:val="26"/>
          <w:szCs w:val="26"/>
          <w:lang w:eastAsia="ru-RU"/>
        </w:rPr>
        <w:t>3</w:t>
      </w:r>
      <w:r w:rsidR="008737BB">
        <w:rPr>
          <w:rFonts w:ascii="Times New Roman" w:eastAsia="Times New Roman" w:hAnsi="Times New Roman" w:cs="Times New Roman"/>
          <w:sz w:val="26"/>
          <w:szCs w:val="26"/>
          <w:lang w:eastAsia="ru-RU"/>
        </w:rPr>
        <w:t>8</w:t>
      </w:r>
    </w:p>
    <w:p w14:paraId="7A7C9849" w14:textId="77777777" w:rsidR="00D03A4F" w:rsidRPr="00FF5253" w:rsidRDefault="00D03A4F" w:rsidP="00D03A4F">
      <w:pPr>
        <w:spacing w:after="0" w:line="240" w:lineRule="auto"/>
        <w:jc w:val="right"/>
        <w:rPr>
          <w:rFonts w:ascii="Times New Roman" w:eastAsia="Times New Roman" w:hAnsi="Times New Roman" w:cs="Times New Roman"/>
          <w:sz w:val="26"/>
          <w:szCs w:val="26"/>
          <w:lang w:eastAsia="ru-RU"/>
        </w:rPr>
      </w:pPr>
    </w:p>
    <w:p w14:paraId="18EB33E4" w14:textId="77777777" w:rsidR="00D03A4F" w:rsidRPr="00FF5253" w:rsidRDefault="00D03A4F" w:rsidP="00D03A4F">
      <w:pPr>
        <w:spacing w:after="0" w:line="240" w:lineRule="auto"/>
        <w:jc w:val="center"/>
        <w:rPr>
          <w:rFonts w:ascii="Times New Roman" w:eastAsia="Times New Roman" w:hAnsi="Times New Roman" w:cs="Times New Roman"/>
          <w:b/>
          <w:sz w:val="26"/>
          <w:szCs w:val="26"/>
          <w:lang w:eastAsia="ru-RU"/>
        </w:rPr>
      </w:pPr>
      <w:r w:rsidRPr="00FF5253">
        <w:rPr>
          <w:rFonts w:ascii="Times New Roman" w:eastAsia="Times New Roman" w:hAnsi="Times New Roman" w:cs="Times New Roman"/>
          <w:b/>
          <w:sz w:val="26"/>
          <w:szCs w:val="26"/>
          <w:lang w:eastAsia="ru-RU"/>
        </w:rPr>
        <w:t>Располагаемые ресурсы домашних хозяйств</w:t>
      </w:r>
      <w:r w:rsidRPr="00FF5253">
        <w:rPr>
          <w:rFonts w:ascii="Times New Roman" w:eastAsia="Times New Roman" w:hAnsi="Times New Roman" w:cs="Times New Roman"/>
          <w:b/>
          <w:sz w:val="26"/>
          <w:szCs w:val="26"/>
          <w:vertAlign w:val="superscript"/>
          <w:lang w:eastAsia="ru-RU"/>
        </w:rPr>
        <w:t>1</w:t>
      </w:r>
      <w:r w:rsidR="00FF5253" w:rsidRPr="00FF5253">
        <w:rPr>
          <w:rFonts w:ascii="Times New Roman" w:eastAsia="Times New Roman" w:hAnsi="Times New Roman" w:cs="Times New Roman"/>
          <w:b/>
          <w:sz w:val="26"/>
          <w:szCs w:val="26"/>
          <w:vertAlign w:val="superscript"/>
          <w:lang w:eastAsia="ru-RU"/>
        </w:rPr>
        <w:t>)</w:t>
      </w:r>
      <w:r w:rsidRPr="00FF5253">
        <w:rPr>
          <w:rFonts w:ascii="Times New Roman" w:eastAsia="Times New Roman" w:hAnsi="Times New Roman" w:cs="Times New Roman"/>
          <w:b/>
          <w:sz w:val="26"/>
          <w:szCs w:val="26"/>
          <w:lang w:eastAsia="ru-RU"/>
        </w:rPr>
        <w:t xml:space="preserve"> в зависимости от наличия и числа детей</w:t>
      </w:r>
    </w:p>
    <w:p w14:paraId="12325F9D" w14:textId="77777777" w:rsidR="00D03A4F" w:rsidRPr="00FF5253" w:rsidRDefault="00D03A4F" w:rsidP="00D03A4F">
      <w:pPr>
        <w:spacing w:after="0" w:line="240" w:lineRule="auto"/>
        <w:jc w:val="center"/>
        <w:rPr>
          <w:rFonts w:ascii="Times New Roman" w:eastAsia="Times New Roman" w:hAnsi="Times New Roman" w:cs="Times New Roman"/>
          <w:bCs/>
          <w:sz w:val="24"/>
          <w:szCs w:val="24"/>
          <w:lang w:eastAsia="ru-RU"/>
        </w:rPr>
      </w:pPr>
      <w:r w:rsidRPr="00FF5253">
        <w:rPr>
          <w:rFonts w:ascii="Times New Roman" w:eastAsia="Times New Roman" w:hAnsi="Times New Roman" w:cs="Times New Roman"/>
          <w:bCs/>
          <w:sz w:val="24"/>
          <w:szCs w:val="24"/>
          <w:lang w:eastAsia="ru-RU"/>
        </w:rPr>
        <w:t xml:space="preserve">(по данным выборочного обследования бюджетов домашних хозяйств, </w:t>
      </w:r>
    </w:p>
    <w:p w14:paraId="318ABCD6" w14:textId="77777777" w:rsidR="00D03A4F" w:rsidRPr="00FF5253" w:rsidRDefault="00D03A4F" w:rsidP="00D03A4F">
      <w:pPr>
        <w:spacing w:after="0" w:line="240" w:lineRule="auto"/>
        <w:jc w:val="center"/>
        <w:rPr>
          <w:rFonts w:ascii="Times New Roman" w:eastAsia="Times New Roman" w:hAnsi="Times New Roman" w:cs="Times New Roman"/>
          <w:bCs/>
          <w:sz w:val="24"/>
          <w:szCs w:val="24"/>
          <w:lang w:eastAsia="ru-RU"/>
        </w:rPr>
      </w:pPr>
      <w:r w:rsidRPr="00FF5253">
        <w:rPr>
          <w:rFonts w:ascii="Times New Roman" w:eastAsia="Times New Roman" w:hAnsi="Times New Roman" w:cs="Times New Roman"/>
          <w:bCs/>
          <w:sz w:val="24"/>
          <w:szCs w:val="24"/>
          <w:lang w:eastAsia="ru-RU"/>
        </w:rPr>
        <w:t>в среднем на члена домохозяйства, в месяц, рублей)</w:t>
      </w:r>
    </w:p>
    <w:p w14:paraId="327B3D6D" w14:textId="77777777" w:rsidR="00D03A4F" w:rsidRPr="00FF5253" w:rsidRDefault="00D03A4F" w:rsidP="00D03A4F">
      <w:pPr>
        <w:spacing w:after="0" w:line="240" w:lineRule="auto"/>
        <w:jc w:val="right"/>
        <w:rPr>
          <w:rFonts w:ascii="Times New Roman" w:eastAsia="Times New Roman" w:hAnsi="Times New Roman" w:cs="Times New Roman"/>
          <w:sz w:val="26"/>
          <w:szCs w:val="26"/>
          <w:lang w:eastAsia="ru-RU"/>
        </w:rPr>
      </w:pPr>
    </w:p>
    <w:tbl>
      <w:tblPr>
        <w:tblStyle w:val="a5"/>
        <w:tblW w:w="10173" w:type="dxa"/>
        <w:tblLook w:val="04A0" w:firstRow="1" w:lastRow="0" w:firstColumn="1" w:lastColumn="0" w:noHBand="0" w:noVBand="1"/>
      </w:tblPr>
      <w:tblGrid>
        <w:gridCol w:w="3369"/>
        <w:gridCol w:w="2268"/>
        <w:gridCol w:w="2268"/>
        <w:gridCol w:w="2268"/>
      </w:tblGrid>
      <w:tr w:rsidR="00FF5253" w:rsidRPr="00FF5253" w14:paraId="41B3F864" w14:textId="77777777" w:rsidTr="00FF5253">
        <w:tc>
          <w:tcPr>
            <w:tcW w:w="3369" w:type="dxa"/>
          </w:tcPr>
          <w:p w14:paraId="3CF056B7" w14:textId="77777777" w:rsidR="00FF5253" w:rsidRPr="00FF5253" w:rsidRDefault="00FF5253" w:rsidP="00D03A4F">
            <w:pPr>
              <w:widowControl w:val="0"/>
              <w:rPr>
                <w:rFonts w:ascii="Times New Roman" w:eastAsia="Times New Roman" w:hAnsi="Times New Roman" w:cs="Times New Roman"/>
                <w:sz w:val="24"/>
                <w:szCs w:val="24"/>
                <w:lang w:eastAsia="ru-RU"/>
              </w:rPr>
            </w:pPr>
          </w:p>
        </w:tc>
        <w:tc>
          <w:tcPr>
            <w:tcW w:w="2268" w:type="dxa"/>
          </w:tcPr>
          <w:p w14:paraId="6B3B7555" w14:textId="77777777" w:rsidR="00FF5253" w:rsidRPr="00FF5253" w:rsidRDefault="003C4E2A" w:rsidP="005A24F5">
            <w:pPr>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lang w:eastAsia="ru-RU"/>
              </w:rPr>
              <w:t>2019</w:t>
            </w:r>
            <w:r w:rsidR="00FF5253" w:rsidRPr="00FF5253">
              <w:rPr>
                <w:rFonts w:ascii="Times New Roman" w:eastAsia="Times New Roman" w:hAnsi="Times New Roman" w:cs="Times New Roman"/>
                <w:sz w:val="24"/>
                <w:szCs w:val="24"/>
                <w:lang w:eastAsia="ru-RU"/>
              </w:rPr>
              <w:t xml:space="preserve"> г.</w:t>
            </w:r>
            <w:r w:rsidR="00FF5253" w:rsidRPr="00FF5253">
              <w:rPr>
                <w:rFonts w:ascii="Times New Roman" w:eastAsia="Times New Roman" w:hAnsi="Times New Roman" w:cs="Times New Roman"/>
                <w:sz w:val="24"/>
                <w:szCs w:val="24"/>
                <w:vertAlign w:val="superscript"/>
                <w:lang w:eastAsia="ru-RU"/>
              </w:rPr>
              <w:t>2)</w:t>
            </w:r>
          </w:p>
        </w:tc>
        <w:tc>
          <w:tcPr>
            <w:tcW w:w="2268" w:type="dxa"/>
          </w:tcPr>
          <w:p w14:paraId="63112953" w14:textId="77777777" w:rsidR="00FF5253" w:rsidRPr="00FF5253" w:rsidRDefault="00FF5253" w:rsidP="003C4E2A">
            <w:pPr>
              <w:jc w:val="center"/>
              <w:rPr>
                <w:rFonts w:ascii="Times New Roman" w:eastAsia="Times New Roman" w:hAnsi="Times New Roman" w:cs="Times New Roman"/>
                <w:sz w:val="24"/>
                <w:szCs w:val="24"/>
                <w:vertAlign w:val="superscript"/>
                <w:lang w:eastAsia="ru-RU"/>
              </w:rPr>
            </w:pPr>
            <w:r w:rsidRPr="00FF5253">
              <w:rPr>
                <w:rFonts w:ascii="Times New Roman" w:eastAsia="Times New Roman" w:hAnsi="Times New Roman" w:cs="Times New Roman"/>
                <w:sz w:val="24"/>
                <w:szCs w:val="24"/>
                <w:lang w:eastAsia="ru-RU"/>
              </w:rPr>
              <w:t>20</w:t>
            </w:r>
            <w:r w:rsidR="003C4E2A">
              <w:rPr>
                <w:rFonts w:ascii="Times New Roman" w:eastAsia="Times New Roman" w:hAnsi="Times New Roman" w:cs="Times New Roman"/>
                <w:sz w:val="24"/>
                <w:szCs w:val="24"/>
                <w:lang w:eastAsia="ru-RU"/>
              </w:rPr>
              <w:t>20</w:t>
            </w:r>
            <w:r w:rsidRPr="00FF5253">
              <w:rPr>
                <w:rFonts w:ascii="Times New Roman" w:eastAsia="Times New Roman" w:hAnsi="Times New Roman" w:cs="Times New Roman"/>
                <w:sz w:val="24"/>
                <w:szCs w:val="24"/>
                <w:lang w:eastAsia="ru-RU"/>
              </w:rPr>
              <w:t xml:space="preserve"> г.</w:t>
            </w:r>
            <w:r w:rsidRPr="00FF5253">
              <w:rPr>
                <w:rFonts w:ascii="Times New Roman" w:eastAsia="Times New Roman" w:hAnsi="Times New Roman" w:cs="Times New Roman"/>
                <w:sz w:val="24"/>
                <w:szCs w:val="24"/>
                <w:vertAlign w:val="superscript"/>
                <w:lang w:eastAsia="ru-RU"/>
              </w:rPr>
              <w:t>2)</w:t>
            </w:r>
          </w:p>
        </w:tc>
        <w:tc>
          <w:tcPr>
            <w:tcW w:w="2268" w:type="dxa"/>
          </w:tcPr>
          <w:p w14:paraId="246B4147" w14:textId="77777777" w:rsidR="00FF5253" w:rsidRPr="00FF5253" w:rsidRDefault="00FF5253" w:rsidP="003C4E2A">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202</w:t>
            </w:r>
            <w:r w:rsidR="003C4E2A">
              <w:rPr>
                <w:rFonts w:ascii="Times New Roman" w:eastAsia="Times New Roman" w:hAnsi="Times New Roman" w:cs="Times New Roman"/>
                <w:sz w:val="24"/>
                <w:szCs w:val="24"/>
                <w:lang w:eastAsia="ru-RU"/>
              </w:rPr>
              <w:t>1</w:t>
            </w:r>
            <w:r w:rsidRPr="00FF5253">
              <w:rPr>
                <w:rFonts w:ascii="Times New Roman" w:eastAsia="Times New Roman" w:hAnsi="Times New Roman" w:cs="Times New Roman"/>
                <w:sz w:val="24"/>
                <w:szCs w:val="24"/>
                <w:lang w:eastAsia="ru-RU"/>
              </w:rPr>
              <w:t xml:space="preserve"> г.</w:t>
            </w:r>
          </w:p>
        </w:tc>
      </w:tr>
      <w:tr w:rsidR="003C4E2A" w:rsidRPr="00FF5253" w14:paraId="723624E3" w14:textId="77777777" w:rsidTr="005A24F5">
        <w:tc>
          <w:tcPr>
            <w:tcW w:w="3369" w:type="dxa"/>
          </w:tcPr>
          <w:p w14:paraId="304CE5A0" w14:textId="77777777" w:rsidR="003C4E2A" w:rsidRPr="00FF5253" w:rsidRDefault="003C4E2A" w:rsidP="00D03A4F">
            <w:pPr>
              <w:widowControl w:val="0"/>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Все обследованные домашние хозяйства</w:t>
            </w:r>
          </w:p>
        </w:tc>
        <w:tc>
          <w:tcPr>
            <w:tcW w:w="2268" w:type="dxa"/>
            <w:vAlign w:val="bottom"/>
          </w:tcPr>
          <w:p w14:paraId="1112080A" w14:textId="77777777" w:rsidR="003C4E2A" w:rsidRPr="00FF5253" w:rsidRDefault="003C4E2A" w:rsidP="009E5990">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28 995,2</w:t>
            </w:r>
          </w:p>
        </w:tc>
        <w:tc>
          <w:tcPr>
            <w:tcW w:w="2268" w:type="dxa"/>
            <w:vAlign w:val="bottom"/>
          </w:tcPr>
          <w:p w14:paraId="7BCB2419" w14:textId="77777777" w:rsidR="003C4E2A" w:rsidRPr="00FF5253" w:rsidRDefault="003C4E2A" w:rsidP="009E599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29 204</w:t>
            </w:r>
            <w:r w:rsidRPr="00FF525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p>
        </w:tc>
        <w:tc>
          <w:tcPr>
            <w:tcW w:w="2268" w:type="dxa"/>
            <w:vAlign w:val="bottom"/>
          </w:tcPr>
          <w:p w14:paraId="3B34C353" w14:textId="77777777" w:rsidR="003C4E2A" w:rsidRPr="00FF5253" w:rsidRDefault="003C4E2A" w:rsidP="0067428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31 791,2</w:t>
            </w:r>
          </w:p>
        </w:tc>
      </w:tr>
      <w:tr w:rsidR="003C4E2A" w:rsidRPr="00FF5253" w14:paraId="43E62B9A" w14:textId="77777777" w:rsidTr="005A24F5">
        <w:tc>
          <w:tcPr>
            <w:tcW w:w="3369" w:type="dxa"/>
          </w:tcPr>
          <w:p w14:paraId="2231FB39" w14:textId="77777777" w:rsidR="003C4E2A" w:rsidRPr="00FF5253" w:rsidRDefault="003C4E2A" w:rsidP="00D03A4F">
            <w:pPr>
              <w:widowControl w:val="0"/>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в том числе:</w:t>
            </w:r>
          </w:p>
          <w:p w14:paraId="727F7CC4" w14:textId="77777777" w:rsidR="003C4E2A" w:rsidRPr="00FF5253" w:rsidRDefault="003C4E2A" w:rsidP="00D03A4F">
            <w:pPr>
              <w:widowControl w:val="0"/>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Домашние хозяйства без детей</w:t>
            </w:r>
          </w:p>
        </w:tc>
        <w:tc>
          <w:tcPr>
            <w:tcW w:w="2268" w:type="dxa"/>
            <w:vAlign w:val="bottom"/>
          </w:tcPr>
          <w:p w14:paraId="1FE25AD9" w14:textId="77777777" w:rsidR="003C4E2A" w:rsidRPr="00FF5253" w:rsidRDefault="003C4E2A" w:rsidP="009E5990">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34 2</w:t>
            </w:r>
            <w:r>
              <w:rPr>
                <w:rFonts w:ascii="Times New Roman" w:eastAsia="Times New Roman" w:hAnsi="Times New Roman" w:cs="Times New Roman"/>
                <w:sz w:val="24"/>
                <w:szCs w:val="24"/>
                <w:lang w:eastAsia="ru-RU"/>
              </w:rPr>
              <w:t>66</w:t>
            </w:r>
            <w:r w:rsidRPr="00FF525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w:t>
            </w:r>
          </w:p>
        </w:tc>
        <w:tc>
          <w:tcPr>
            <w:tcW w:w="2268" w:type="dxa"/>
            <w:vAlign w:val="bottom"/>
          </w:tcPr>
          <w:p w14:paraId="49C4032F" w14:textId="77777777" w:rsidR="003C4E2A" w:rsidRPr="00FF5253" w:rsidRDefault="003C4E2A" w:rsidP="009E5990">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33 7</w:t>
            </w:r>
            <w:r>
              <w:rPr>
                <w:rFonts w:ascii="Times New Roman" w:eastAsia="Times New Roman" w:hAnsi="Times New Roman" w:cs="Times New Roman"/>
                <w:sz w:val="24"/>
                <w:szCs w:val="24"/>
                <w:lang w:eastAsia="ru-RU"/>
              </w:rPr>
              <w:t>63</w:t>
            </w:r>
            <w:r w:rsidRPr="00FF525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p>
        </w:tc>
        <w:tc>
          <w:tcPr>
            <w:tcW w:w="2268" w:type="dxa"/>
            <w:vAlign w:val="bottom"/>
          </w:tcPr>
          <w:p w14:paraId="7FBAFF6E" w14:textId="77777777" w:rsidR="003C4E2A" w:rsidRPr="00FF5253" w:rsidRDefault="003C4E2A" w:rsidP="00D062C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37 097,2</w:t>
            </w:r>
          </w:p>
        </w:tc>
      </w:tr>
      <w:tr w:rsidR="003C4E2A" w:rsidRPr="00FF5253" w14:paraId="09C5E0BB" w14:textId="77777777" w:rsidTr="005A24F5">
        <w:tc>
          <w:tcPr>
            <w:tcW w:w="3369" w:type="dxa"/>
          </w:tcPr>
          <w:p w14:paraId="70238A89" w14:textId="77777777" w:rsidR="003C4E2A" w:rsidRPr="00FF5253" w:rsidRDefault="003C4E2A" w:rsidP="00D03A4F">
            <w:pPr>
              <w:widowControl w:val="0"/>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Домашние хозяйства, имеющие детей в возрасте до 16 лет</w:t>
            </w:r>
          </w:p>
        </w:tc>
        <w:tc>
          <w:tcPr>
            <w:tcW w:w="2268" w:type="dxa"/>
            <w:vAlign w:val="bottom"/>
          </w:tcPr>
          <w:p w14:paraId="1E869093" w14:textId="77777777" w:rsidR="003C4E2A" w:rsidRPr="00FF5253" w:rsidRDefault="003C4E2A" w:rsidP="009E5990">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23 </w:t>
            </w:r>
            <w:r>
              <w:rPr>
                <w:rFonts w:ascii="Times New Roman" w:eastAsia="Times New Roman" w:hAnsi="Times New Roman" w:cs="Times New Roman"/>
                <w:sz w:val="24"/>
                <w:szCs w:val="24"/>
                <w:lang w:eastAsia="ru-RU"/>
              </w:rPr>
              <w:t>882</w:t>
            </w:r>
            <w:r w:rsidRPr="00FF525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p>
        </w:tc>
        <w:tc>
          <w:tcPr>
            <w:tcW w:w="2268" w:type="dxa"/>
            <w:vAlign w:val="bottom"/>
          </w:tcPr>
          <w:p w14:paraId="2B6512F9" w14:textId="77777777" w:rsidR="003C4E2A" w:rsidRPr="00FF5253" w:rsidRDefault="003C4E2A" w:rsidP="009E5990">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24 </w:t>
            </w:r>
            <w:r>
              <w:rPr>
                <w:rFonts w:ascii="Times New Roman" w:eastAsia="Times New Roman" w:hAnsi="Times New Roman" w:cs="Times New Roman"/>
                <w:sz w:val="24"/>
                <w:szCs w:val="24"/>
                <w:lang w:eastAsia="ru-RU"/>
              </w:rPr>
              <w:t>859,9</w:t>
            </w:r>
          </w:p>
        </w:tc>
        <w:tc>
          <w:tcPr>
            <w:tcW w:w="2268" w:type="dxa"/>
            <w:vAlign w:val="bottom"/>
          </w:tcPr>
          <w:p w14:paraId="5F959D71" w14:textId="77777777" w:rsidR="003C4E2A" w:rsidRPr="00FF5253" w:rsidRDefault="003C4E2A" w:rsidP="00D062C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26 752,4</w:t>
            </w:r>
          </w:p>
        </w:tc>
      </w:tr>
      <w:tr w:rsidR="003C4E2A" w:rsidRPr="00FF5253" w14:paraId="3BB2748F" w14:textId="77777777" w:rsidTr="005A24F5">
        <w:tc>
          <w:tcPr>
            <w:tcW w:w="3369" w:type="dxa"/>
          </w:tcPr>
          <w:p w14:paraId="074B0FE6" w14:textId="77777777" w:rsidR="003C4E2A" w:rsidRPr="00FF5253" w:rsidRDefault="003C4E2A" w:rsidP="00D03A4F">
            <w:pPr>
              <w:widowControl w:val="0"/>
              <w:ind w:left="57"/>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из них домашние хозяйства, имеющие:</w:t>
            </w:r>
          </w:p>
        </w:tc>
        <w:tc>
          <w:tcPr>
            <w:tcW w:w="2268" w:type="dxa"/>
            <w:vAlign w:val="bottom"/>
          </w:tcPr>
          <w:p w14:paraId="65AD933D" w14:textId="77777777" w:rsidR="003C4E2A" w:rsidRPr="00FF5253" w:rsidRDefault="003C4E2A" w:rsidP="009E5990">
            <w:pPr>
              <w:jc w:val="center"/>
              <w:rPr>
                <w:rFonts w:ascii="Times New Roman" w:eastAsia="Times New Roman" w:hAnsi="Times New Roman" w:cs="Times New Roman"/>
                <w:sz w:val="24"/>
                <w:szCs w:val="24"/>
                <w:lang w:eastAsia="ru-RU"/>
              </w:rPr>
            </w:pPr>
          </w:p>
        </w:tc>
        <w:tc>
          <w:tcPr>
            <w:tcW w:w="2268" w:type="dxa"/>
            <w:vAlign w:val="bottom"/>
          </w:tcPr>
          <w:p w14:paraId="4EF67D33" w14:textId="77777777" w:rsidR="003C4E2A" w:rsidRPr="00FF5253" w:rsidRDefault="003C4E2A" w:rsidP="009E5990">
            <w:pPr>
              <w:jc w:val="center"/>
              <w:rPr>
                <w:rFonts w:ascii="Times New Roman" w:eastAsia="Times New Roman" w:hAnsi="Times New Roman" w:cs="Times New Roman"/>
                <w:sz w:val="24"/>
                <w:szCs w:val="24"/>
                <w:lang w:eastAsia="ru-RU"/>
              </w:rPr>
            </w:pPr>
          </w:p>
        </w:tc>
        <w:tc>
          <w:tcPr>
            <w:tcW w:w="2268" w:type="dxa"/>
            <w:vAlign w:val="bottom"/>
          </w:tcPr>
          <w:p w14:paraId="612DF8E6" w14:textId="77777777" w:rsidR="003C4E2A" w:rsidRPr="00FF5253" w:rsidRDefault="003C4E2A" w:rsidP="00D03A4F">
            <w:pPr>
              <w:jc w:val="center"/>
              <w:rPr>
                <w:rFonts w:ascii="Times New Roman" w:eastAsia="Times New Roman" w:hAnsi="Times New Roman" w:cs="Times New Roman"/>
                <w:sz w:val="24"/>
                <w:szCs w:val="24"/>
                <w:lang w:eastAsia="ru-RU"/>
              </w:rPr>
            </w:pPr>
          </w:p>
        </w:tc>
      </w:tr>
      <w:tr w:rsidR="003C4E2A" w:rsidRPr="00FF5253" w14:paraId="1218A492" w14:textId="77777777" w:rsidTr="00FF5253">
        <w:tc>
          <w:tcPr>
            <w:tcW w:w="3369" w:type="dxa"/>
          </w:tcPr>
          <w:p w14:paraId="482E6618" w14:textId="77777777" w:rsidR="003C4E2A" w:rsidRPr="00FF5253" w:rsidRDefault="003C4E2A" w:rsidP="00D03A4F">
            <w:pPr>
              <w:widowControl w:val="0"/>
              <w:ind w:left="170"/>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 ребенка</w:t>
            </w:r>
          </w:p>
        </w:tc>
        <w:tc>
          <w:tcPr>
            <w:tcW w:w="2268" w:type="dxa"/>
          </w:tcPr>
          <w:p w14:paraId="370F7FE2" w14:textId="77777777" w:rsidR="003C4E2A" w:rsidRPr="00FF5253" w:rsidRDefault="003C4E2A" w:rsidP="009E5990">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26 9</w:t>
            </w:r>
            <w:r>
              <w:rPr>
                <w:rFonts w:ascii="Times New Roman" w:eastAsia="Times New Roman" w:hAnsi="Times New Roman" w:cs="Times New Roman"/>
                <w:sz w:val="24"/>
                <w:szCs w:val="24"/>
                <w:lang w:eastAsia="ru-RU"/>
              </w:rPr>
              <w:t>13</w:t>
            </w:r>
            <w:r w:rsidRPr="00FF525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p>
        </w:tc>
        <w:tc>
          <w:tcPr>
            <w:tcW w:w="2268" w:type="dxa"/>
          </w:tcPr>
          <w:p w14:paraId="68A9E0C8" w14:textId="77777777" w:rsidR="003C4E2A" w:rsidRPr="00FF5253" w:rsidRDefault="003C4E2A" w:rsidP="009E5990">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27 4</w:t>
            </w:r>
            <w:r>
              <w:rPr>
                <w:rFonts w:ascii="Times New Roman" w:eastAsia="Times New Roman" w:hAnsi="Times New Roman" w:cs="Times New Roman"/>
                <w:sz w:val="24"/>
                <w:szCs w:val="24"/>
                <w:lang w:eastAsia="ru-RU"/>
              </w:rPr>
              <w:t>34</w:t>
            </w:r>
            <w:r w:rsidRPr="00FF525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p>
        </w:tc>
        <w:tc>
          <w:tcPr>
            <w:tcW w:w="2268" w:type="dxa"/>
          </w:tcPr>
          <w:p w14:paraId="58215722" w14:textId="77777777" w:rsidR="003C4E2A" w:rsidRPr="00FF5253" w:rsidRDefault="003C4E2A" w:rsidP="0067428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29 674,7</w:t>
            </w:r>
          </w:p>
        </w:tc>
      </w:tr>
      <w:tr w:rsidR="003C4E2A" w:rsidRPr="00FF5253" w14:paraId="4AB6322D" w14:textId="77777777" w:rsidTr="00FF5253">
        <w:tc>
          <w:tcPr>
            <w:tcW w:w="3369" w:type="dxa"/>
          </w:tcPr>
          <w:p w14:paraId="566E3A1F" w14:textId="77777777" w:rsidR="003C4E2A" w:rsidRPr="00FF5253" w:rsidRDefault="003C4E2A" w:rsidP="00D03A4F">
            <w:pPr>
              <w:widowControl w:val="0"/>
              <w:ind w:left="170"/>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 детей</w:t>
            </w:r>
          </w:p>
        </w:tc>
        <w:tc>
          <w:tcPr>
            <w:tcW w:w="2268" w:type="dxa"/>
          </w:tcPr>
          <w:p w14:paraId="5DB8A33B" w14:textId="77777777" w:rsidR="003C4E2A" w:rsidRPr="00FF5253" w:rsidRDefault="003C4E2A" w:rsidP="009E5990">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22 3</w:t>
            </w:r>
            <w:r>
              <w:rPr>
                <w:rFonts w:ascii="Times New Roman" w:eastAsia="Times New Roman" w:hAnsi="Times New Roman" w:cs="Times New Roman"/>
                <w:sz w:val="24"/>
                <w:szCs w:val="24"/>
                <w:lang w:eastAsia="ru-RU"/>
              </w:rPr>
              <w:t>6</w:t>
            </w:r>
            <w:r w:rsidRPr="00FF5253">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0</w:t>
            </w:r>
          </w:p>
        </w:tc>
        <w:tc>
          <w:tcPr>
            <w:tcW w:w="2268" w:type="dxa"/>
          </w:tcPr>
          <w:p w14:paraId="0F5B04D3" w14:textId="77777777" w:rsidR="003C4E2A" w:rsidRPr="00FF5253" w:rsidRDefault="003C4E2A" w:rsidP="009E5990">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23 9</w:t>
            </w:r>
            <w:r>
              <w:rPr>
                <w:rFonts w:ascii="Times New Roman" w:eastAsia="Times New Roman" w:hAnsi="Times New Roman" w:cs="Times New Roman"/>
                <w:sz w:val="24"/>
                <w:szCs w:val="24"/>
                <w:lang w:eastAsia="ru-RU"/>
              </w:rPr>
              <w:t>31</w:t>
            </w:r>
            <w:r w:rsidRPr="00FF525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p>
        </w:tc>
        <w:tc>
          <w:tcPr>
            <w:tcW w:w="2268" w:type="dxa"/>
          </w:tcPr>
          <w:p w14:paraId="31D4C5D4" w14:textId="77777777" w:rsidR="003C4E2A" w:rsidRPr="00FF5253" w:rsidRDefault="003C4E2A" w:rsidP="0067428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25 351,2</w:t>
            </w:r>
          </w:p>
        </w:tc>
      </w:tr>
      <w:tr w:rsidR="003C4E2A" w:rsidRPr="00FF5253" w14:paraId="396730DA" w14:textId="77777777" w:rsidTr="00FF5253">
        <w:tc>
          <w:tcPr>
            <w:tcW w:w="3369" w:type="dxa"/>
          </w:tcPr>
          <w:p w14:paraId="4AAFD239" w14:textId="77777777" w:rsidR="003C4E2A" w:rsidRPr="00FF5253" w:rsidRDefault="003C4E2A" w:rsidP="00D03A4F">
            <w:pPr>
              <w:widowControl w:val="0"/>
              <w:ind w:left="170"/>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3 и более детей</w:t>
            </w:r>
          </w:p>
        </w:tc>
        <w:tc>
          <w:tcPr>
            <w:tcW w:w="2268" w:type="dxa"/>
          </w:tcPr>
          <w:p w14:paraId="5620A16F" w14:textId="77777777" w:rsidR="003C4E2A" w:rsidRPr="00FF5253" w:rsidRDefault="003C4E2A" w:rsidP="009E5990">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15 72</w:t>
            </w:r>
            <w:r>
              <w:rPr>
                <w:rFonts w:ascii="Times New Roman" w:eastAsia="Times New Roman" w:hAnsi="Times New Roman" w:cs="Times New Roman"/>
                <w:sz w:val="24"/>
                <w:szCs w:val="24"/>
                <w:lang w:eastAsia="ru-RU"/>
              </w:rPr>
              <w:t>2</w:t>
            </w:r>
            <w:r w:rsidRPr="00FF525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p>
        </w:tc>
        <w:tc>
          <w:tcPr>
            <w:tcW w:w="2268" w:type="dxa"/>
          </w:tcPr>
          <w:p w14:paraId="3CDDF92A" w14:textId="77777777" w:rsidR="003C4E2A" w:rsidRPr="00FF5253" w:rsidRDefault="003C4E2A" w:rsidP="009E5990">
            <w:pPr>
              <w:jc w:val="center"/>
              <w:rPr>
                <w:rFonts w:ascii="Times New Roman" w:eastAsia="Times New Roman" w:hAnsi="Times New Roman" w:cs="Times New Roman"/>
                <w:sz w:val="24"/>
                <w:szCs w:val="24"/>
                <w:lang w:eastAsia="ru-RU"/>
              </w:rPr>
            </w:pPr>
            <w:r w:rsidRPr="00FF5253">
              <w:rPr>
                <w:rFonts w:ascii="Times New Roman" w:eastAsia="Times New Roman" w:hAnsi="Times New Roman" w:cs="Times New Roman"/>
                <w:sz w:val="24"/>
                <w:szCs w:val="24"/>
                <w:lang w:eastAsia="ru-RU"/>
              </w:rPr>
              <w:t>16 </w:t>
            </w:r>
            <w:r>
              <w:rPr>
                <w:rFonts w:ascii="Times New Roman" w:eastAsia="Times New Roman" w:hAnsi="Times New Roman" w:cs="Times New Roman"/>
                <w:sz w:val="24"/>
                <w:szCs w:val="24"/>
                <w:lang w:eastAsia="ru-RU"/>
              </w:rPr>
              <w:t>418</w:t>
            </w:r>
            <w:r w:rsidRPr="00FF525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p>
        </w:tc>
        <w:tc>
          <w:tcPr>
            <w:tcW w:w="2268" w:type="dxa"/>
          </w:tcPr>
          <w:p w14:paraId="2AAC91EE" w14:textId="77777777" w:rsidR="003C4E2A" w:rsidRPr="00FF5253" w:rsidRDefault="003C4E2A" w:rsidP="00A96CE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18 415,1</w:t>
            </w:r>
          </w:p>
        </w:tc>
      </w:tr>
    </w:tbl>
    <w:p w14:paraId="46C9E96C" w14:textId="77777777" w:rsidR="00D03A4F" w:rsidRPr="00FF5253" w:rsidRDefault="00D03A4F" w:rsidP="00D03A4F">
      <w:pPr>
        <w:spacing w:after="0" w:line="240" w:lineRule="auto"/>
        <w:jc w:val="right"/>
        <w:rPr>
          <w:rFonts w:ascii="Times New Roman" w:eastAsia="Times New Roman" w:hAnsi="Times New Roman" w:cs="Times New Roman"/>
          <w:sz w:val="26"/>
          <w:szCs w:val="26"/>
          <w:lang w:eastAsia="ru-RU"/>
        </w:rPr>
      </w:pPr>
    </w:p>
    <w:p w14:paraId="4B0C9FFD" w14:textId="77777777" w:rsidR="00D03A4F" w:rsidRPr="00FF5253" w:rsidRDefault="00FF5253" w:rsidP="00FF5253">
      <w:pPr>
        <w:spacing w:after="0"/>
        <w:ind w:left="113" w:firstLine="567"/>
        <w:jc w:val="both"/>
        <w:rPr>
          <w:rFonts w:ascii="Times New Roman" w:hAnsi="Times New Roman" w:cs="Times New Roman"/>
        </w:rPr>
      </w:pPr>
      <w:r w:rsidRPr="00FF5253">
        <w:rPr>
          <w:rFonts w:ascii="Times New Roman" w:eastAsia="Times New Roman" w:hAnsi="Times New Roman" w:cs="Times New Roman"/>
          <w:lang w:eastAsia="ru-RU"/>
        </w:rPr>
        <w:t>1)</w:t>
      </w:r>
      <w:r w:rsidR="00BC6A54">
        <w:rPr>
          <w:rFonts w:ascii="Times New Roman" w:eastAsia="Times New Roman" w:hAnsi="Times New Roman" w:cs="Times New Roman"/>
          <w:lang w:eastAsia="ru-RU"/>
        </w:rPr>
        <w:t xml:space="preserve"> </w:t>
      </w:r>
      <w:r w:rsidR="00D03A4F" w:rsidRPr="00FF5253">
        <w:rPr>
          <w:rFonts w:ascii="Times New Roman" w:hAnsi="Times New Roman" w:cs="Times New Roman"/>
        </w:rPr>
        <w:t>Располагаемые ресурсы домашних хозяйств – объем денежных и натуральных (в стоимостной оценке) средств, которыми располагали домашние хозяйства для финансирования своего потребления и создания сбережений в период обследования.</w:t>
      </w:r>
    </w:p>
    <w:p w14:paraId="3E6278E3" w14:textId="77777777" w:rsidR="00FF5253" w:rsidRPr="00FF5253" w:rsidRDefault="00FF5253" w:rsidP="00FF5253">
      <w:pPr>
        <w:ind w:left="113" w:firstLine="567"/>
        <w:jc w:val="both"/>
        <w:rPr>
          <w:rFonts w:ascii="Times New Roman" w:hAnsi="Times New Roman" w:cs="Times New Roman"/>
        </w:rPr>
      </w:pPr>
      <w:r w:rsidRPr="00FF5253">
        <w:rPr>
          <w:rFonts w:ascii="Times New Roman" w:hAnsi="Times New Roman" w:cs="Times New Roman"/>
        </w:rPr>
        <w:t>2) Здесь и далее: 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w:t>
      </w:r>
    </w:p>
    <w:p w14:paraId="62C47D58" w14:textId="77777777"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14:paraId="270993DA" w14:textId="77777777"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14:paraId="3579E7D7" w14:textId="77777777" w:rsidR="00D03A4F" w:rsidRPr="000A45DF" w:rsidRDefault="00D03A4F" w:rsidP="00D03A4F">
      <w:pPr>
        <w:spacing w:after="0" w:line="240" w:lineRule="auto"/>
        <w:jc w:val="right"/>
        <w:rPr>
          <w:rFonts w:ascii="Times New Roman" w:eastAsia="Times New Roman" w:hAnsi="Times New Roman" w:cs="Times New Roman"/>
          <w:sz w:val="26"/>
          <w:szCs w:val="26"/>
          <w:lang w:eastAsia="ru-RU"/>
        </w:rPr>
      </w:pPr>
      <w:r w:rsidRPr="000A45DF">
        <w:rPr>
          <w:rFonts w:ascii="Times New Roman" w:eastAsia="Times New Roman" w:hAnsi="Times New Roman" w:cs="Times New Roman"/>
          <w:sz w:val="26"/>
          <w:szCs w:val="26"/>
          <w:lang w:eastAsia="ru-RU"/>
        </w:rPr>
        <w:t xml:space="preserve">Таблица </w:t>
      </w:r>
      <w:r w:rsidR="008737BB">
        <w:rPr>
          <w:rFonts w:ascii="Times New Roman" w:eastAsia="Times New Roman" w:hAnsi="Times New Roman" w:cs="Times New Roman"/>
          <w:sz w:val="26"/>
          <w:szCs w:val="26"/>
          <w:lang w:eastAsia="ru-RU"/>
        </w:rPr>
        <w:t>39</w:t>
      </w:r>
    </w:p>
    <w:p w14:paraId="20BFEE30" w14:textId="77777777" w:rsidR="00D03A4F" w:rsidRPr="000A45DF" w:rsidRDefault="00D03A4F" w:rsidP="00D03A4F">
      <w:pPr>
        <w:spacing w:after="0" w:line="240" w:lineRule="auto"/>
        <w:jc w:val="right"/>
        <w:rPr>
          <w:rFonts w:ascii="Times New Roman" w:eastAsia="Times New Roman" w:hAnsi="Times New Roman" w:cs="Times New Roman"/>
          <w:sz w:val="26"/>
          <w:szCs w:val="26"/>
          <w:lang w:eastAsia="ru-RU"/>
        </w:rPr>
      </w:pPr>
    </w:p>
    <w:p w14:paraId="7E215B0F" w14:textId="77777777" w:rsidR="00D03A4F" w:rsidRPr="000A45DF" w:rsidRDefault="00D03A4F" w:rsidP="00D03A4F">
      <w:pPr>
        <w:spacing w:after="0" w:line="240" w:lineRule="auto"/>
        <w:jc w:val="center"/>
        <w:rPr>
          <w:rFonts w:ascii="Times New Roman" w:eastAsia="Times New Roman" w:hAnsi="Times New Roman" w:cs="Times New Roman"/>
          <w:b/>
          <w:sz w:val="26"/>
          <w:szCs w:val="26"/>
          <w:lang w:eastAsia="ru-RU"/>
        </w:rPr>
      </w:pPr>
      <w:r w:rsidRPr="000A45DF">
        <w:rPr>
          <w:rFonts w:ascii="Times New Roman" w:eastAsia="Times New Roman" w:hAnsi="Times New Roman" w:cs="Times New Roman"/>
          <w:b/>
          <w:sz w:val="26"/>
          <w:szCs w:val="26"/>
          <w:lang w:eastAsia="ru-RU"/>
        </w:rPr>
        <w:t>Располагаемые ресурсы в домохозяйствах, имеющих детей в возрасте до 16 лет</w:t>
      </w:r>
    </w:p>
    <w:p w14:paraId="60AF546B" w14:textId="77777777" w:rsidR="00D03A4F" w:rsidRPr="000A45DF" w:rsidRDefault="00D03A4F" w:rsidP="00D03A4F">
      <w:pPr>
        <w:spacing w:after="0" w:line="240" w:lineRule="auto"/>
        <w:jc w:val="center"/>
        <w:rPr>
          <w:rFonts w:ascii="Times New Roman" w:eastAsia="Times New Roman" w:hAnsi="Times New Roman" w:cs="Times New Roman"/>
          <w:bCs/>
          <w:sz w:val="24"/>
          <w:szCs w:val="24"/>
          <w:lang w:eastAsia="ru-RU"/>
        </w:rPr>
      </w:pPr>
      <w:r w:rsidRPr="000A45DF">
        <w:rPr>
          <w:rFonts w:ascii="Times New Roman" w:eastAsia="Times New Roman" w:hAnsi="Times New Roman" w:cs="Times New Roman"/>
          <w:bCs/>
          <w:sz w:val="24"/>
          <w:szCs w:val="24"/>
          <w:lang w:eastAsia="ru-RU"/>
        </w:rPr>
        <w:t xml:space="preserve">(по данным выборочного обследования бюджетов домашних хозяйств, </w:t>
      </w:r>
    </w:p>
    <w:p w14:paraId="41468462" w14:textId="77777777" w:rsidR="00D03A4F" w:rsidRDefault="00D03A4F" w:rsidP="00D03A4F">
      <w:pPr>
        <w:spacing w:after="0" w:line="240" w:lineRule="auto"/>
        <w:jc w:val="center"/>
        <w:rPr>
          <w:rFonts w:ascii="Times New Roman" w:eastAsia="Times New Roman" w:hAnsi="Times New Roman" w:cs="Times New Roman"/>
          <w:bCs/>
          <w:sz w:val="24"/>
          <w:szCs w:val="24"/>
          <w:lang w:eastAsia="ru-RU"/>
        </w:rPr>
      </w:pPr>
      <w:r w:rsidRPr="000A45DF">
        <w:rPr>
          <w:rFonts w:ascii="Times New Roman" w:eastAsia="Times New Roman" w:hAnsi="Times New Roman" w:cs="Times New Roman"/>
          <w:bCs/>
          <w:sz w:val="24"/>
          <w:szCs w:val="24"/>
          <w:lang w:eastAsia="ru-RU"/>
        </w:rPr>
        <w:t>в среднем на члена домохозяйства, в месяц, рублей)</w:t>
      </w:r>
    </w:p>
    <w:p w14:paraId="49517293" w14:textId="77777777" w:rsidR="00DA625E" w:rsidRPr="000A45DF" w:rsidRDefault="00DA625E" w:rsidP="00D03A4F">
      <w:pPr>
        <w:spacing w:after="0" w:line="240" w:lineRule="auto"/>
        <w:jc w:val="center"/>
        <w:rPr>
          <w:rFonts w:ascii="Times New Roman" w:eastAsia="Times New Roman" w:hAnsi="Times New Roman" w:cs="Times New Roman"/>
          <w:bCs/>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6"/>
        <w:gridCol w:w="1945"/>
        <w:gridCol w:w="2115"/>
      </w:tblGrid>
      <w:tr w:rsidR="00D03A4F" w:rsidRPr="000A45DF" w14:paraId="07CE2D30" w14:textId="77777777" w:rsidTr="00944CB1">
        <w:trPr>
          <w:cantSplit/>
          <w:trHeight w:val="204"/>
          <w:tblHeader/>
          <w:jc w:val="center"/>
        </w:trPr>
        <w:tc>
          <w:tcPr>
            <w:tcW w:w="3009" w:type="pct"/>
            <w:vMerge w:val="restart"/>
          </w:tcPr>
          <w:p w14:paraId="54A55C79" w14:textId="77777777" w:rsidR="00D03A4F" w:rsidRPr="000A45DF" w:rsidRDefault="00D03A4F" w:rsidP="00D03A4F">
            <w:pPr>
              <w:spacing w:after="0" w:line="200" w:lineRule="exact"/>
              <w:jc w:val="center"/>
              <w:rPr>
                <w:rFonts w:ascii="Times New Roman" w:eastAsia="Times New Roman" w:hAnsi="Times New Roman" w:cs="Times New Roman"/>
                <w:b/>
                <w:i/>
                <w:sz w:val="24"/>
                <w:szCs w:val="24"/>
                <w:lang w:eastAsia="ru-RU"/>
              </w:rPr>
            </w:pPr>
          </w:p>
        </w:tc>
        <w:tc>
          <w:tcPr>
            <w:tcW w:w="954" w:type="pct"/>
            <w:vMerge w:val="restart"/>
            <w:vAlign w:val="center"/>
          </w:tcPr>
          <w:p w14:paraId="66D97D73" w14:textId="77777777" w:rsidR="00D03A4F" w:rsidRPr="000A45DF" w:rsidRDefault="00D03A4F" w:rsidP="00D03A4F">
            <w:pPr>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Все домашние хозяйства</w:t>
            </w:r>
          </w:p>
        </w:tc>
        <w:tc>
          <w:tcPr>
            <w:tcW w:w="1037" w:type="pct"/>
            <w:vMerge w:val="restart"/>
            <w:vAlign w:val="center"/>
          </w:tcPr>
          <w:p w14:paraId="40AE8968" w14:textId="77777777" w:rsidR="00D03A4F" w:rsidRPr="000A45DF" w:rsidRDefault="00D03A4F" w:rsidP="00D03A4F">
            <w:pPr>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Из них домашние хозяйства с детьми</w:t>
            </w:r>
          </w:p>
          <w:p w14:paraId="02DA3274" w14:textId="77777777" w:rsidR="00D03A4F" w:rsidRPr="000A45DF" w:rsidRDefault="00D03A4F" w:rsidP="00D03A4F">
            <w:pPr>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в возрасте до 16 лет</w:t>
            </w:r>
          </w:p>
        </w:tc>
      </w:tr>
      <w:tr w:rsidR="00D03A4F" w:rsidRPr="000A45DF" w14:paraId="60280B1F" w14:textId="77777777" w:rsidTr="00944CB1">
        <w:trPr>
          <w:cantSplit/>
          <w:trHeight w:val="415"/>
          <w:tblHeader/>
          <w:jc w:val="center"/>
        </w:trPr>
        <w:tc>
          <w:tcPr>
            <w:tcW w:w="3009" w:type="pct"/>
            <w:vMerge/>
          </w:tcPr>
          <w:p w14:paraId="0BA841E4" w14:textId="77777777" w:rsidR="00D03A4F" w:rsidRPr="000A45DF" w:rsidRDefault="00D03A4F" w:rsidP="00D03A4F">
            <w:pPr>
              <w:spacing w:after="0" w:line="200" w:lineRule="exact"/>
              <w:jc w:val="center"/>
              <w:rPr>
                <w:rFonts w:ascii="Times New Roman" w:eastAsia="Times New Roman" w:hAnsi="Times New Roman" w:cs="Times New Roman"/>
                <w:b/>
                <w:i/>
                <w:sz w:val="24"/>
                <w:szCs w:val="24"/>
                <w:lang w:eastAsia="ru-RU"/>
              </w:rPr>
            </w:pPr>
          </w:p>
        </w:tc>
        <w:tc>
          <w:tcPr>
            <w:tcW w:w="954" w:type="pct"/>
            <w:vMerge/>
          </w:tcPr>
          <w:p w14:paraId="50F47BD1" w14:textId="77777777" w:rsidR="00D03A4F" w:rsidRPr="000A45DF" w:rsidRDefault="00D03A4F" w:rsidP="00D03A4F">
            <w:pPr>
              <w:spacing w:after="0" w:line="200" w:lineRule="exact"/>
              <w:jc w:val="center"/>
              <w:rPr>
                <w:rFonts w:ascii="Times New Roman" w:eastAsia="Times New Roman" w:hAnsi="Times New Roman" w:cs="Times New Roman"/>
                <w:i/>
                <w:sz w:val="24"/>
                <w:szCs w:val="24"/>
                <w:lang w:eastAsia="ru-RU"/>
              </w:rPr>
            </w:pPr>
          </w:p>
        </w:tc>
        <w:tc>
          <w:tcPr>
            <w:tcW w:w="1037" w:type="pct"/>
            <w:vMerge/>
          </w:tcPr>
          <w:p w14:paraId="4E3EF41E" w14:textId="77777777" w:rsidR="00D03A4F" w:rsidRPr="000A45DF" w:rsidRDefault="00D03A4F" w:rsidP="00D03A4F">
            <w:pPr>
              <w:spacing w:after="0" w:line="200" w:lineRule="exact"/>
              <w:jc w:val="center"/>
              <w:rPr>
                <w:rFonts w:ascii="Times New Roman" w:eastAsia="Times New Roman" w:hAnsi="Times New Roman" w:cs="Times New Roman"/>
                <w:i/>
                <w:sz w:val="24"/>
                <w:szCs w:val="24"/>
                <w:lang w:eastAsia="ru-RU"/>
              </w:rPr>
            </w:pPr>
          </w:p>
        </w:tc>
      </w:tr>
      <w:tr w:rsidR="000A45DF" w:rsidRPr="000A45DF" w14:paraId="51A3F146" w14:textId="77777777" w:rsidTr="00944CB1">
        <w:trPr>
          <w:trHeight w:val="514"/>
          <w:jc w:val="center"/>
        </w:trPr>
        <w:tc>
          <w:tcPr>
            <w:tcW w:w="5000" w:type="pct"/>
            <w:gridSpan w:val="3"/>
            <w:vAlign w:val="center"/>
          </w:tcPr>
          <w:p w14:paraId="7B3F9780" w14:textId="77777777" w:rsidR="000A45DF" w:rsidRPr="000A45DF" w:rsidRDefault="000A45DF" w:rsidP="000A45DF">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b/>
                <w:sz w:val="24"/>
                <w:szCs w:val="24"/>
                <w:lang w:eastAsia="ru-RU"/>
              </w:rPr>
              <w:t>2019 г.</w:t>
            </w:r>
          </w:p>
        </w:tc>
      </w:tr>
      <w:tr w:rsidR="000A45DF" w:rsidRPr="000A45DF" w14:paraId="4A21B490" w14:textId="77777777" w:rsidTr="00944CB1">
        <w:trPr>
          <w:jc w:val="center"/>
        </w:trPr>
        <w:tc>
          <w:tcPr>
            <w:tcW w:w="3009" w:type="pct"/>
            <w:vAlign w:val="bottom"/>
          </w:tcPr>
          <w:p w14:paraId="196BFA4D" w14:textId="77777777" w:rsidR="000A45DF" w:rsidRPr="000A45DF" w:rsidRDefault="000A45DF" w:rsidP="00D03A4F">
            <w:pPr>
              <w:tabs>
                <w:tab w:val="left" w:pos="8364"/>
              </w:tabs>
              <w:spacing w:after="0" w:line="240" w:lineRule="auto"/>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Располагаемые ресурсы - всего</w:t>
            </w:r>
          </w:p>
        </w:tc>
        <w:tc>
          <w:tcPr>
            <w:tcW w:w="954" w:type="pct"/>
            <w:vAlign w:val="bottom"/>
          </w:tcPr>
          <w:p w14:paraId="5E6E16B7" w14:textId="77777777"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28 995,2</w:t>
            </w:r>
          </w:p>
        </w:tc>
        <w:tc>
          <w:tcPr>
            <w:tcW w:w="1037" w:type="pct"/>
            <w:vAlign w:val="bottom"/>
          </w:tcPr>
          <w:p w14:paraId="406A53E8" w14:textId="77777777" w:rsidR="000A45DF" w:rsidRPr="000A45DF" w:rsidRDefault="000A45DF" w:rsidP="00DD23DD">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23 </w:t>
            </w:r>
            <w:r w:rsidR="00DD23DD">
              <w:rPr>
                <w:rFonts w:ascii="Times New Roman" w:eastAsia="Times New Roman" w:hAnsi="Times New Roman" w:cs="Times New Roman"/>
                <w:sz w:val="24"/>
                <w:szCs w:val="24"/>
                <w:lang w:eastAsia="ru-RU"/>
              </w:rPr>
              <w:t>882</w:t>
            </w:r>
            <w:r w:rsidRPr="000A45DF">
              <w:rPr>
                <w:rFonts w:ascii="Times New Roman" w:eastAsia="Times New Roman" w:hAnsi="Times New Roman" w:cs="Times New Roman"/>
                <w:sz w:val="24"/>
                <w:szCs w:val="24"/>
                <w:lang w:eastAsia="ru-RU"/>
              </w:rPr>
              <w:t>,</w:t>
            </w:r>
            <w:r w:rsidR="00DD23DD">
              <w:rPr>
                <w:rFonts w:ascii="Times New Roman" w:eastAsia="Times New Roman" w:hAnsi="Times New Roman" w:cs="Times New Roman"/>
                <w:sz w:val="24"/>
                <w:szCs w:val="24"/>
                <w:lang w:eastAsia="ru-RU"/>
              </w:rPr>
              <w:t>5</w:t>
            </w:r>
          </w:p>
        </w:tc>
      </w:tr>
      <w:tr w:rsidR="000A45DF" w:rsidRPr="000A45DF" w14:paraId="1EBBC989" w14:textId="77777777" w:rsidTr="00944CB1">
        <w:trPr>
          <w:jc w:val="center"/>
        </w:trPr>
        <w:tc>
          <w:tcPr>
            <w:tcW w:w="3009" w:type="pct"/>
            <w:tcBorders>
              <w:bottom w:val="nil"/>
            </w:tcBorders>
            <w:vAlign w:val="bottom"/>
          </w:tcPr>
          <w:p w14:paraId="0A18C485" w14:textId="77777777" w:rsidR="000A45DF" w:rsidRPr="000A45DF" w:rsidRDefault="000A45D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в том числе:</w:t>
            </w:r>
          </w:p>
        </w:tc>
        <w:tc>
          <w:tcPr>
            <w:tcW w:w="954" w:type="pct"/>
            <w:tcBorders>
              <w:bottom w:val="nil"/>
            </w:tcBorders>
            <w:vAlign w:val="bottom"/>
          </w:tcPr>
          <w:p w14:paraId="7337CB60" w14:textId="77777777" w:rsidR="000A45DF" w:rsidRPr="000A45DF" w:rsidRDefault="000A45DF" w:rsidP="00D03A4F">
            <w:pPr>
              <w:tabs>
                <w:tab w:val="left" w:pos="8364"/>
              </w:tabs>
              <w:spacing w:after="0" w:line="240" w:lineRule="auto"/>
              <w:jc w:val="center"/>
              <w:rPr>
                <w:rFonts w:ascii="Times New Roman" w:eastAsia="Times New Roman" w:hAnsi="Times New Roman" w:cs="Times New Roman"/>
                <w:sz w:val="24"/>
                <w:szCs w:val="24"/>
                <w:lang w:val="en-US" w:eastAsia="ru-RU"/>
              </w:rPr>
            </w:pPr>
          </w:p>
        </w:tc>
        <w:tc>
          <w:tcPr>
            <w:tcW w:w="1037" w:type="pct"/>
            <w:tcBorders>
              <w:bottom w:val="nil"/>
            </w:tcBorders>
            <w:vAlign w:val="bottom"/>
          </w:tcPr>
          <w:p w14:paraId="3E821065" w14:textId="77777777" w:rsidR="000A45DF" w:rsidRPr="000A45DF" w:rsidRDefault="000A45DF" w:rsidP="00D03A4F">
            <w:pPr>
              <w:tabs>
                <w:tab w:val="left" w:pos="8364"/>
              </w:tabs>
              <w:spacing w:after="0" w:line="240" w:lineRule="auto"/>
              <w:jc w:val="center"/>
              <w:rPr>
                <w:rFonts w:ascii="Times New Roman" w:eastAsia="Times New Roman" w:hAnsi="Times New Roman" w:cs="Times New Roman"/>
                <w:sz w:val="24"/>
                <w:szCs w:val="24"/>
                <w:lang w:val="en-US" w:eastAsia="ru-RU"/>
              </w:rPr>
            </w:pPr>
          </w:p>
        </w:tc>
      </w:tr>
      <w:tr w:rsidR="000A45DF" w:rsidRPr="000A45DF" w14:paraId="52CF5AF8" w14:textId="77777777" w:rsidTr="00944CB1">
        <w:trPr>
          <w:jc w:val="center"/>
        </w:trPr>
        <w:tc>
          <w:tcPr>
            <w:tcW w:w="3009" w:type="pct"/>
            <w:tcBorders>
              <w:top w:val="nil"/>
            </w:tcBorders>
            <w:vAlign w:val="bottom"/>
          </w:tcPr>
          <w:p w14:paraId="252F5441" w14:textId="77777777" w:rsidR="000A45DF" w:rsidRPr="000A45DF" w:rsidRDefault="000A45D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денежные расходы</w:t>
            </w:r>
          </w:p>
        </w:tc>
        <w:tc>
          <w:tcPr>
            <w:tcW w:w="954" w:type="pct"/>
            <w:tcBorders>
              <w:top w:val="nil"/>
            </w:tcBorders>
            <w:vAlign w:val="bottom"/>
          </w:tcPr>
          <w:p w14:paraId="23C00008" w14:textId="77777777" w:rsidR="000A45DF" w:rsidRPr="000A45DF" w:rsidRDefault="000A45DF" w:rsidP="00DD23DD">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24 </w:t>
            </w:r>
            <w:r w:rsidR="00DD23DD">
              <w:rPr>
                <w:rFonts w:ascii="Times New Roman" w:eastAsia="Times New Roman" w:hAnsi="Times New Roman" w:cs="Times New Roman"/>
                <w:sz w:val="24"/>
                <w:szCs w:val="24"/>
                <w:lang w:eastAsia="ru-RU"/>
              </w:rPr>
              <w:t>67</w:t>
            </w:r>
            <w:r w:rsidRPr="000A45DF">
              <w:rPr>
                <w:rFonts w:ascii="Times New Roman" w:eastAsia="Times New Roman" w:hAnsi="Times New Roman" w:cs="Times New Roman"/>
                <w:sz w:val="24"/>
                <w:szCs w:val="24"/>
                <w:lang w:eastAsia="ru-RU"/>
              </w:rPr>
              <w:t>3,6</w:t>
            </w:r>
          </w:p>
        </w:tc>
        <w:tc>
          <w:tcPr>
            <w:tcW w:w="1037" w:type="pct"/>
            <w:tcBorders>
              <w:top w:val="nil"/>
            </w:tcBorders>
            <w:vAlign w:val="bottom"/>
          </w:tcPr>
          <w:p w14:paraId="17CDF226" w14:textId="77777777" w:rsidR="000A45DF" w:rsidRPr="000A45DF" w:rsidRDefault="000A45DF" w:rsidP="00A81DC7">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20 </w:t>
            </w:r>
            <w:r w:rsidR="00A81DC7">
              <w:rPr>
                <w:rFonts w:ascii="Times New Roman" w:eastAsia="Times New Roman" w:hAnsi="Times New Roman" w:cs="Times New Roman"/>
                <w:sz w:val="24"/>
                <w:szCs w:val="24"/>
                <w:lang w:eastAsia="ru-RU"/>
              </w:rPr>
              <w:t>095</w:t>
            </w:r>
            <w:r w:rsidRPr="000A45DF">
              <w:rPr>
                <w:rFonts w:ascii="Times New Roman" w:eastAsia="Times New Roman" w:hAnsi="Times New Roman" w:cs="Times New Roman"/>
                <w:sz w:val="24"/>
                <w:szCs w:val="24"/>
                <w:lang w:eastAsia="ru-RU"/>
              </w:rPr>
              <w:t>,</w:t>
            </w:r>
            <w:r w:rsidR="00A81DC7">
              <w:rPr>
                <w:rFonts w:ascii="Times New Roman" w:eastAsia="Times New Roman" w:hAnsi="Times New Roman" w:cs="Times New Roman"/>
                <w:sz w:val="24"/>
                <w:szCs w:val="24"/>
                <w:lang w:eastAsia="ru-RU"/>
              </w:rPr>
              <w:t>5</w:t>
            </w:r>
          </w:p>
        </w:tc>
      </w:tr>
      <w:tr w:rsidR="000A45DF" w:rsidRPr="000A45DF" w14:paraId="7B801DE9" w14:textId="77777777" w:rsidTr="00944CB1">
        <w:trPr>
          <w:jc w:val="center"/>
        </w:trPr>
        <w:tc>
          <w:tcPr>
            <w:tcW w:w="3009" w:type="pct"/>
            <w:vAlign w:val="bottom"/>
          </w:tcPr>
          <w:p w14:paraId="77E1BAA6" w14:textId="77777777" w:rsidR="000A45DF" w:rsidRPr="000A45DF" w:rsidRDefault="000A45D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 xml:space="preserve">стоимость натуральных поступлений продуктов питания </w:t>
            </w:r>
          </w:p>
        </w:tc>
        <w:tc>
          <w:tcPr>
            <w:tcW w:w="954" w:type="pct"/>
            <w:vAlign w:val="bottom"/>
          </w:tcPr>
          <w:p w14:paraId="29C27B5A" w14:textId="77777777"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605,0</w:t>
            </w:r>
          </w:p>
        </w:tc>
        <w:tc>
          <w:tcPr>
            <w:tcW w:w="1037" w:type="pct"/>
            <w:vAlign w:val="bottom"/>
          </w:tcPr>
          <w:p w14:paraId="2502E7B7" w14:textId="77777777"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507,6</w:t>
            </w:r>
          </w:p>
        </w:tc>
      </w:tr>
      <w:tr w:rsidR="000A45DF" w:rsidRPr="000A45DF" w14:paraId="611ADF3E" w14:textId="77777777" w:rsidTr="00944CB1">
        <w:trPr>
          <w:jc w:val="center"/>
        </w:trPr>
        <w:tc>
          <w:tcPr>
            <w:tcW w:w="3009" w:type="pct"/>
            <w:vAlign w:val="bottom"/>
          </w:tcPr>
          <w:p w14:paraId="7D0869F4" w14:textId="77777777" w:rsidR="000A45DF" w:rsidRPr="000A45DF" w:rsidRDefault="000A45D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 xml:space="preserve">стоимость натуральных поступлений </w:t>
            </w:r>
          </w:p>
          <w:p w14:paraId="46D5AEA6" w14:textId="77777777" w:rsidR="000A45DF" w:rsidRPr="000A45DF" w:rsidRDefault="000A45D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непродовольственных товаров и услуг</w:t>
            </w:r>
          </w:p>
        </w:tc>
        <w:tc>
          <w:tcPr>
            <w:tcW w:w="954" w:type="pct"/>
            <w:vAlign w:val="bottom"/>
          </w:tcPr>
          <w:p w14:paraId="0E99FDA2" w14:textId="77777777"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207,1</w:t>
            </w:r>
          </w:p>
        </w:tc>
        <w:tc>
          <w:tcPr>
            <w:tcW w:w="1037" w:type="pct"/>
            <w:vAlign w:val="bottom"/>
          </w:tcPr>
          <w:p w14:paraId="44A3F5D6" w14:textId="77777777"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198,8</w:t>
            </w:r>
          </w:p>
        </w:tc>
      </w:tr>
      <w:tr w:rsidR="000A45DF" w:rsidRPr="000A45DF" w14:paraId="75C9A7A8" w14:textId="77777777" w:rsidTr="00944CB1">
        <w:trPr>
          <w:jc w:val="center"/>
        </w:trPr>
        <w:tc>
          <w:tcPr>
            <w:tcW w:w="3009" w:type="pct"/>
            <w:vAlign w:val="bottom"/>
          </w:tcPr>
          <w:p w14:paraId="5EF338D2" w14:textId="77777777" w:rsidR="000A45DF" w:rsidRPr="000A45DF" w:rsidRDefault="000A45D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прирост сбережений</w:t>
            </w:r>
          </w:p>
        </w:tc>
        <w:tc>
          <w:tcPr>
            <w:tcW w:w="954" w:type="pct"/>
            <w:vAlign w:val="bottom"/>
          </w:tcPr>
          <w:p w14:paraId="33D7AE53" w14:textId="77777777" w:rsidR="000A45DF" w:rsidRPr="000A45DF" w:rsidRDefault="000A45DF" w:rsidP="008F1EC3">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3 </w:t>
            </w:r>
            <w:r w:rsidR="008F1EC3">
              <w:rPr>
                <w:rFonts w:ascii="Times New Roman" w:eastAsia="Times New Roman" w:hAnsi="Times New Roman" w:cs="Times New Roman"/>
                <w:sz w:val="24"/>
                <w:szCs w:val="24"/>
                <w:lang w:eastAsia="ru-RU"/>
              </w:rPr>
              <w:t>50</w:t>
            </w:r>
            <w:r w:rsidRPr="000A45DF">
              <w:rPr>
                <w:rFonts w:ascii="Times New Roman" w:eastAsia="Times New Roman" w:hAnsi="Times New Roman" w:cs="Times New Roman"/>
                <w:sz w:val="24"/>
                <w:szCs w:val="24"/>
                <w:lang w:eastAsia="ru-RU"/>
              </w:rPr>
              <w:t>9,5</w:t>
            </w:r>
          </w:p>
        </w:tc>
        <w:tc>
          <w:tcPr>
            <w:tcW w:w="1037" w:type="pct"/>
            <w:vAlign w:val="bottom"/>
          </w:tcPr>
          <w:p w14:paraId="74477E6A" w14:textId="77777777" w:rsidR="000A45DF" w:rsidRPr="000A45DF" w:rsidRDefault="000A45DF" w:rsidP="005A24F5">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3 080,6</w:t>
            </w:r>
          </w:p>
        </w:tc>
      </w:tr>
      <w:tr w:rsidR="000A45DF" w:rsidRPr="000A45DF" w14:paraId="18AB7740" w14:textId="77777777" w:rsidTr="00944CB1">
        <w:trPr>
          <w:trHeight w:val="425"/>
          <w:jc w:val="center"/>
        </w:trPr>
        <w:tc>
          <w:tcPr>
            <w:tcW w:w="5000" w:type="pct"/>
            <w:gridSpan w:val="3"/>
            <w:vAlign w:val="center"/>
          </w:tcPr>
          <w:p w14:paraId="5431E1AC" w14:textId="77777777" w:rsidR="000A45DF" w:rsidRPr="000A45DF" w:rsidRDefault="000A45DF" w:rsidP="000A45DF">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b/>
                <w:sz w:val="24"/>
                <w:szCs w:val="24"/>
                <w:lang w:eastAsia="ru-RU"/>
              </w:rPr>
              <w:t>2020 г.</w:t>
            </w:r>
          </w:p>
        </w:tc>
      </w:tr>
      <w:tr w:rsidR="000A45DF" w:rsidRPr="000A45DF" w14:paraId="480AFA22" w14:textId="77777777" w:rsidTr="00944CB1">
        <w:trPr>
          <w:jc w:val="center"/>
        </w:trPr>
        <w:tc>
          <w:tcPr>
            <w:tcW w:w="3009" w:type="pct"/>
            <w:vAlign w:val="bottom"/>
          </w:tcPr>
          <w:p w14:paraId="050A9E15" w14:textId="77777777" w:rsidR="000A45DF" w:rsidRPr="000A45DF" w:rsidRDefault="000A45DF" w:rsidP="00D03A4F">
            <w:pPr>
              <w:tabs>
                <w:tab w:val="left" w:pos="8364"/>
              </w:tabs>
              <w:spacing w:after="0" w:line="240" w:lineRule="auto"/>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Располагаемые ресурсы - всего</w:t>
            </w:r>
          </w:p>
        </w:tc>
        <w:tc>
          <w:tcPr>
            <w:tcW w:w="954" w:type="pct"/>
            <w:vAlign w:val="bottom"/>
          </w:tcPr>
          <w:p w14:paraId="035F3837" w14:textId="77777777" w:rsidR="000A45DF" w:rsidRPr="000A45DF" w:rsidRDefault="000A45DF" w:rsidP="008F1EC3">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29 2</w:t>
            </w:r>
            <w:r w:rsidR="008F1EC3">
              <w:rPr>
                <w:rFonts w:ascii="Times New Roman" w:eastAsia="Times New Roman" w:hAnsi="Times New Roman" w:cs="Times New Roman"/>
                <w:sz w:val="24"/>
                <w:szCs w:val="24"/>
                <w:lang w:eastAsia="ru-RU"/>
              </w:rPr>
              <w:t>04</w:t>
            </w:r>
            <w:r w:rsidRPr="000A45DF">
              <w:rPr>
                <w:rFonts w:ascii="Times New Roman" w:eastAsia="Times New Roman" w:hAnsi="Times New Roman" w:cs="Times New Roman"/>
                <w:sz w:val="24"/>
                <w:szCs w:val="24"/>
                <w:lang w:eastAsia="ru-RU"/>
              </w:rPr>
              <w:t>,</w:t>
            </w:r>
            <w:r w:rsidR="008F1EC3">
              <w:rPr>
                <w:rFonts w:ascii="Times New Roman" w:eastAsia="Times New Roman" w:hAnsi="Times New Roman" w:cs="Times New Roman"/>
                <w:sz w:val="24"/>
                <w:szCs w:val="24"/>
                <w:lang w:eastAsia="ru-RU"/>
              </w:rPr>
              <w:t>5</w:t>
            </w:r>
          </w:p>
        </w:tc>
        <w:tc>
          <w:tcPr>
            <w:tcW w:w="1037" w:type="pct"/>
            <w:vAlign w:val="bottom"/>
          </w:tcPr>
          <w:p w14:paraId="76FC4C60" w14:textId="77777777" w:rsidR="000A45DF" w:rsidRPr="000A45DF" w:rsidRDefault="000A45DF" w:rsidP="008F1EC3">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24 </w:t>
            </w:r>
            <w:r w:rsidR="008F1EC3">
              <w:rPr>
                <w:rFonts w:ascii="Times New Roman" w:eastAsia="Times New Roman" w:hAnsi="Times New Roman" w:cs="Times New Roman"/>
                <w:sz w:val="24"/>
                <w:szCs w:val="24"/>
                <w:lang w:eastAsia="ru-RU"/>
              </w:rPr>
              <w:t>859</w:t>
            </w:r>
            <w:r w:rsidRPr="000A45DF">
              <w:rPr>
                <w:rFonts w:ascii="Times New Roman" w:eastAsia="Times New Roman" w:hAnsi="Times New Roman" w:cs="Times New Roman"/>
                <w:sz w:val="24"/>
                <w:szCs w:val="24"/>
                <w:lang w:eastAsia="ru-RU"/>
              </w:rPr>
              <w:t>,</w:t>
            </w:r>
            <w:r w:rsidR="008F1EC3">
              <w:rPr>
                <w:rFonts w:ascii="Times New Roman" w:eastAsia="Times New Roman" w:hAnsi="Times New Roman" w:cs="Times New Roman"/>
                <w:sz w:val="24"/>
                <w:szCs w:val="24"/>
                <w:lang w:eastAsia="ru-RU"/>
              </w:rPr>
              <w:t>9</w:t>
            </w:r>
          </w:p>
        </w:tc>
      </w:tr>
      <w:tr w:rsidR="000A45DF" w:rsidRPr="000A45DF" w14:paraId="784463DF" w14:textId="77777777" w:rsidTr="00944CB1">
        <w:trPr>
          <w:jc w:val="center"/>
        </w:trPr>
        <w:tc>
          <w:tcPr>
            <w:tcW w:w="3009" w:type="pct"/>
            <w:tcBorders>
              <w:bottom w:val="nil"/>
            </w:tcBorders>
            <w:vAlign w:val="bottom"/>
          </w:tcPr>
          <w:p w14:paraId="682ABC8C" w14:textId="77777777" w:rsidR="000A45DF" w:rsidRPr="000A45DF" w:rsidRDefault="000A45D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в том числе:</w:t>
            </w:r>
          </w:p>
        </w:tc>
        <w:tc>
          <w:tcPr>
            <w:tcW w:w="954" w:type="pct"/>
            <w:tcBorders>
              <w:bottom w:val="nil"/>
            </w:tcBorders>
            <w:vAlign w:val="bottom"/>
          </w:tcPr>
          <w:p w14:paraId="4A902AAA" w14:textId="77777777" w:rsidR="000A45DF" w:rsidRPr="000A45DF" w:rsidRDefault="000A45DF" w:rsidP="00D03A4F">
            <w:pPr>
              <w:tabs>
                <w:tab w:val="left" w:pos="8364"/>
              </w:tabs>
              <w:spacing w:after="0" w:line="240" w:lineRule="auto"/>
              <w:jc w:val="center"/>
              <w:rPr>
                <w:rFonts w:ascii="Times New Roman" w:eastAsia="Times New Roman" w:hAnsi="Times New Roman" w:cs="Times New Roman"/>
                <w:sz w:val="24"/>
                <w:szCs w:val="24"/>
                <w:lang w:val="en-US" w:eastAsia="ru-RU"/>
              </w:rPr>
            </w:pPr>
          </w:p>
        </w:tc>
        <w:tc>
          <w:tcPr>
            <w:tcW w:w="1037" w:type="pct"/>
            <w:tcBorders>
              <w:bottom w:val="nil"/>
            </w:tcBorders>
            <w:vAlign w:val="bottom"/>
          </w:tcPr>
          <w:p w14:paraId="17C19380" w14:textId="77777777" w:rsidR="000A45DF" w:rsidRPr="000A45DF" w:rsidRDefault="000A45DF" w:rsidP="00D03A4F">
            <w:pPr>
              <w:tabs>
                <w:tab w:val="left" w:pos="8364"/>
              </w:tabs>
              <w:spacing w:after="0" w:line="240" w:lineRule="auto"/>
              <w:jc w:val="center"/>
              <w:rPr>
                <w:rFonts w:ascii="Times New Roman" w:eastAsia="Times New Roman" w:hAnsi="Times New Roman" w:cs="Times New Roman"/>
                <w:sz w:val="24"/>
                <w:szCs w:val="24"/>
                <w:lang w:val="en-US" w:eastAsia="ru-RU"/>
              </w:rPr>
            </w:pPr>
          </w:p>
        </w:tc>
      </w:tr>
      <w:tr w:rsidR="000A45DF" w:rsidRPr="000A45DF" w14:paraId="0F87C809" w14:textId="77777777" w:rsidTr="00944CB1">
        <w:trPr>
          <w:jc w:val="center"/>
        </w:trPr>
        <w:tc>
          <w:tcPr>
            <w:tcW w:w="3009" w:type="pct"/>
            <w:tcBorders>
              <w:top w:val="nil"/>
            </w:tcBorders>
            <w:vAlign w:val="bottom"/>
          </w:tcPr>
          <w:p w14:paraId="72B86210" w14:textId="77777777" w:rsidR="000A45DF" w:rsidRPr="000A45DF" w:rsidRDefault="000A45D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денежные расходы</w:t>
            </w:r>
          </w:p>
        </w:tc>
        <w:tc>
          <w:tcPr>
            <w:tcW w:w="954" w:type="pct"/>
            <w:tcBorders>
              <w:top w:val="nil"/>
            </w:tcBorders>
            <w:vAlign w:val="bottom"/>
          </w:tcPr>
          <w:p w14:paraId="2696E9FD" w14:textId="77777777" w:rsidR="000A45DF" w:rsidRPr="000A45DF" w:rsidRDefault="000A45DF" w:rsidP="008F1EC3">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24 </w:t>
            </w:r>
            <w:r w:rsidR="008F1EC3">
              <w:rPr>
                <w:rFonts w:ascii="Times New Roman" w:eastAsia="Times New Roman" w:hAnsi="Times New Roman" w:cs="Times New Roman"/>
                <w:sz w:val="24"/>
                <w:szCs w:val="24"/>
                <w:lang w:eastAsia="ru-RU"/>
              </w:rPr>
              <w:t>504</w:t>
            </w:r>
            <w:r w:rsidRPr="000A45DF">
              <w:rPr>
                <w:rFonts w:ascii="Times New Roman" w:eastAsia="Times New Roman" w:hAnsi="Times New Roman" w:cs="Times New Roman"/>
                <w:sz w:val="24"/>
                <w:szCs w:val="24"/>
                <w:lang w:eastAsia="ru-RU"/>
              </w:rPr>
              <w:t>,</w:t>
            </w:r>
            <w:r w:rsidR="008F1EC3">
              <w:rPr>
                <w:rFonts w:ascii="Times New Roman" w:eastAsia="Times New Roman" w:hAnsi="Times New Roman" w:cs="Times New Roman"/>
                <w:sz w:val="24"/>
                <w:szCs w:val="24"/>
                <w:lang w:eastAsia="ru-RU"/>
              </w:rPr>
              <w:t>8</w:t>
            </w:r>
          </w:p>
        </w:tc>
        <w:tc>
          <w:tcPr>
            <w:tcW w:w="1037" w:type="pct"/>
            <w:tcBorders>
              <w:top w:val="nil"/>
            </w:tcBorders>
            <w:vAlign w:val="bottom"/>
          </w:tcPr>
          <w:p w14:paraId="069B513A" w14:textId="77777777" w:rsidR="000A45DF" w:rsidRPr="000A45DF" w:rsidRDefault="000A45DF" w:rsidP="003C4E2A">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20 </w:t>
            </w:r>
            <w:r w:rsidR="008F1EC3">
              <w:rPr>
                <w:rFonts w:ascii="Times New Roman" w:eastAsia="Times New Roman" w:hAnsi="Times New Roman" w:cs="Times New Roman"/>
                <w:sz w:val="24"/>
                <w:szCs w:val="24"/>
                <w:lang w:eastAsia="ru-RU"/>
              </w:rPr>
              <w:t>7</w:t>
            </w:r>
            <w:r w:rsidR="003C4E2A">
              <w:rPr>
                <w:rFonts w:ascii="Times New Roman" w:eastAsia="Times New Roman" w:hAnsi="Times New Roman" w:cs="Times New Roman"/>
                <w:sz w:val="24"/>
                <w:szCs w:val="24"/>
                <w:lang w:eastAsia="ru-RU"/>
              </w:rPr>
              <w:t>12</w:t>
            </w:r>
            <w:r w:rsidRPr="000A45DF">
              <w:rPr>
                <w:rFonts w:ascii="Times New Roman" w:eastAsia="Times New Roman" w:hAnsi="Times New Roman" w:cs="Times New Roman"/>
                <w:sz w:val="24"/>
                <w:szCs w:val="24"/>
                <w:lang w:eastAsia="ru-RU"/>
              </w:rPr>
              <w:t>,</w:t>
            </w:r>
            <w:r w:rsidR="003C4E2A">
              <w:rPr>
                <w:rFonts w:ascii="Times New Roman" w:eastAsia="Times New Roman" w:hAnsi="Times New Roman" w:cs="Times New Roman"/>
                <w:sz w:val="24"/>
                <w:szCs w:val="24"/>
                <w:lang w:eastAsia="ru-RU"/>
              </w:rPr>
              <w:t>1</w:t>
            </w:r>
          </w:p>
        </w:tc>
      </w:tr>
      <w:tr w:rsidR="000A45DF" w:rsidRPr="000A45DF" w14:paraId="413ADE22" w14:textId="77777777" w:rsidTr="00944CB1">
        <w:trPr>
          <w:jc w:val="center"/>
        </w:trPr>
        <w:tc>
          <w:tcPr>
            <w:tcW w:w="3009" w:type="pct"/>
            <w:vAlign w:val="bottom"/>
          </w:tcPr>
          <w:p w14:paraId="6711A9F4" w14:textId="77777777" w:rsidR="000A45DF" w:rsidRPr="000A45DF" w:rsidRDefault="000A45D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 xml:space="preserve">стоимость натуральных поступлений продуктов питания </w:t>
            </w:r>
          </w:p>
        </w:tc>
        <w:tc>
          <w:tcPr>
            <w:tcW w:w="954" w:type="pct"/>
            <w:vAlign w:val="bottom"/>
          </w:tcPr>
          <w:p w14:paraId="2BB1E7AF" w14:textId="77777777" w:rsidR="000A45DF" w:rsidRPr="000A45DF" w:rsidRDefault="000A45DF" w:rsidP="008F1EC3">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62</w:t>
            </w:r>
            <w:r w:rsidR="008F1EC3">
              <w:rPr>
                <w:rFonts w:ascii="Times New Roman" w:eastAsia="Times New Roman" w:hAnsi="Times New Roman" w:cs="Times New Roman"/>
                <w:sz w:val="24"/>
                <w:szCs w:val="24"/>
                <w:lang w:eastAsia="ru-RU"/>
              </w:rPr>
              <w:t>8</w:t>
            </w:r>
            <w:r w:rsidRPr="000A45DF">
              <w:rPr>
                <w:rFonts w:ascii="Times New Roman" w:eastAsia="Times New Roman" w:hAnsi="Times New Roman" w:cs="Times New Roman"/>
                <w:sz w:val="24"/>
                <w:szCs w:val="24"/>
                <w:lang w:eastAsia="ru-RU"/>
              </w:rPr>
              <w:t>,</w:t>
            </w:r>
            <w:r w:rsidR="008F1EC3">
              <w:rPr>
                <w:rFonts w:ascii="Times New Roman" w:eastAsia="Times New Roman" w:hAnsi="Times New Roman" w:cs="Times New Roman"/>
                <w:sz w:val="24"/>
                <w:szCs w:val="24"/>
                <w:lang w:eastAsia="ru-RU"/>
              </w:rPr>
              <w:t>0</w:t>
            </w:r>
          </w:p>
        </w:tc>
        <w:tc>
          <w:tcPr>
            <w:tcW w:w="1037" w:type="pct"/>
            <w:vAlign w:val="bottom"/>
          </w:tcPr>
          <w:p w14:paraId="6311E995" w14:textId="77777777" w:rsidR="000A45DF" w:rsidRPr="000A45DF" w:rsidRDefault="000A45DF" w:rsidP="003C4E2A">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53</w:t>
            </w:r>
            <w:r w:rsidR="003C4E2A">
              <w:rPr>
                <w:rFonts w:ascii="Times New Roman" w:eastAsia="Times New Roman" w:hAnsi="Times New Roman" w:cs="Times New Roman"/>
                <w:sz w:val="24"/>
                <w:szCs w:val="24"/>
                <w:lang w:eastAsia="ru-RU"/>
              </w:rPr>
              <w:t>4</w:t>
            </w:r>
            <w:r w:rsidRPr="000A45DF">
              <w:rPr>
                <w:rFonts w:ascii="Times New Roman" w:eastAsia="Times New Roman" w:hAnsi="Times New Roman" w:cs="Times New Roman"/>
                <w:sz w:val="24"/>
                <w:szCs w:val="24"/>
                <w:lang w:eastAsia="ru-RU"/>
              </w:rPr>
              <w:t>,</w:t>
            </w:r>
            <w:r w:rsidR="008F1EC3">
              <w:rPr>
                <w:rFonts w:ascii="Times New Roman" w:eastAsia="Times New Roman" w:hAnsi="Times New Roman" w:cs="Times New Roman"/>
                <w:sz w:val="24"/>
                <w:szCs w:val="24"/>
                <w:lang w:eastAsia="ru-RU"/>
              </w:rPr>
              <w:t>6</w:t>
            </w:r>
          </w:p>
        </w:tc>
      </w:tr>
      <w:tr w:rsidR="000A45DF" w:rsidRPr="000A45DF" w14:paraId="73D455A8" w14:textId="77777777" w:rsidTr="00944CB1">
        <w:trPr>
          <w:jc w:val="center"/>
        </w:trPr>
        <w:tc>
          <w:tcPr>
            <w:tcW w:w="3009" w:type="pct"/>
            <w:vAlign w:val="bottom"/>
          </w:tcPr>
          <w:p w14:paraId="0A689280" w14:textId="77777777" w:rsidR="000A45DF" w:rsidRPr="000A45DF" w:rsidRDefault="000A45D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 xml:space="preserve">стоимость натуральных поступлений </w:t>
            </w:r>
          </w:p>
          <w:p w14:paraId="68C8EB4D" w14:textId="77777777" w:rsidR="000A45DF" w:rsidRPr="000A45DF" w:rsidRDefault="000A45D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непродовольственных товаров и услуг</w:t>
            </w:r>
          </w:p>
        </w:tc>
        <w:tc>
          <w:tcPr>
            <w:tcW w:w="954" w:type="pct"/>
            <w:vAlign w:val="bottom"/>
          </w:tcPr>
          <w:p w14:paraId="7EF7C8A7" w14:textId="77777777" w:rsidR="000A45DF" w:rsidRPr="000A45DF" w:rsidRDefault="000A45DF" w:rsidP="008F1EC3">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191,</w:t>
            </w:r>
            <w:r w:rsidR="008F1EC3">
              <w:rPr>
                <w:rFonts w:ascii="Times New Roman" w:eastAsia="Times New Roman" w:hAnsi="Times New Roman" w:cs="Times New Roman"/>
                <w:sz w:val="24"/>
                <w:szCs w:val="24"/>
                <w:lang w:eastAsia="ru-RU"/>
              </w:rPr>
              <w:t>7</w:t>
            </w:r>
          </w:p>
        </w:tc>
        <w:tc>
          <w:tcPr>
            <w:tcW w:w="1037" w:type="pct"/>
            <w:vAlign w:val="bottom"/>
          </w:tcPr>
          <w:p w14:paraId="02D9AD27" w14:textId="77777777" w:rsidR="000A45DF" w:rsidRPr="000A45DF" w:rsidRDefault="000A45DF" w:rsidP="003C4E2A">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18</w:t>
            </w:r>
            <w:r w:rsidR="003C4E2A">
              <w:rPr>
                <w:rFonts w:ascii="Times New Roman" w:eastAsia="Times New Roman" w:hAnsi="Times New Roman" w:cs="Times New Roman"/>
                <w:sz w:val="24"/>
                <w:szCs w:val="24"/>
                <w:lang w:eastAsia="ru-RU"/>
              </w:rPr>
              <w:t>2</w:t>
            </w:r>
            <w:r w:rsidRPr="000A45DF">
              <w:rPr>
                <w:rFonts w:ascii="Times New Roman" w:eastAsia="Times New Roman" w:hAnsi="Times New Roman" w:cs="Times New Roman"/>
                <w:sz w:val="24"/>
                <w:szCs w:val="24"/>
                <w:lang w:eastAsia="ru-RU"/>
              </w:rPr>
              <w:t>,</w:t>
            </w:r>
            <w:r w:rsidR="003C4E2A">
              <w:rPr>
                <w:rFonts w:ascii="Times New Roman" w:eastAsia="Times New Roman" w:hAnsi="Times New Roman" w:cs="Times New Roman"/>
                <w:sz w:val="24"/>
                <w:szCs w:val="24"/>
                <w:lang w:eastAsia="ru-RU"/>
              </w:rPr>
              <w:t>4</w:t>
            </w:r>
          </w:p>
        </w:tc>
      </w:tr>
      <w:tr w:rsidR="000A45DF" w:rsidRPr="00BD5A90" w14:paraId="036800EF" w14:textId="77777777" w:rsidTr="00944CB1">
        <w:trPr>
          <w:jc w:val="center"/>
        </w:trPr>
        <w:tc>
          <w:tcPr>
            <w:tcW w:w="3009" w:type="pct"/>
            <w:vAlign w:val="bottom"/>
          </w:tcPr>
          <w:p w14:paraId="33E6F97B" w14:textId="77777777" w:rsidR="000A45DF" w:rsidRPr="000A45DF" w:rsidRDefault="000A45DF" w:rsidP="00D03A4F">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прирост сбережений</w:t>
            </w:r>
          </w:p>
        </w:tc>
        <w:tc>
          <w:tcPr>
            <w:tcW w:w="954" w:type="pct"/>
            <w:vAlign w:val="bottom"/>
          </w:tcPr>
          <w:p w14:paraId="3EFDC05F" w14:textId="77777777" w:rsidR="000A45DF" w:rsidRPr="000A45DF" w:rsidRDefault="000A45DF" w:rsidP="009F7693">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3 8</w:t>
            </w:r>
            <w:r w:rsidR="009F7693">
              <w:rPr>
                <w:rFonts w:ascii="Times New Roman" w:eastAsia="Times New Roman" w:hAnsi="Times New Roman" w:cs="Times New Roman"/>
                <w:sz w:val="24"/>
                <w:szCs w:val="24"/>
                <w:lang w:eastAsia="ru-RU"/>
              </w:rPr>
              <w:t>80</w:t>
            </w:r>
            <w:r w:rsidRPr="000A45DF">
              <w:rPr>
                <w:rFonts w:ascii="Times New Roman" w:eastAsia="Times New Roman" w:hAnsi="Times New Roman" w:cs="Times New Roman"/>
                <w:sz w:val="24"/>
                <w:szCs w:val="24"/>
                <w:lang w:eastAsia="ru-RU"/>
              </w:rPr>
              <w:t>,</w:t>
            </w:r>
            <w:r w:rsidR="009F7693">
              <w:rPr>
                <w:rFonts w:ascii="Times New Roman" w:eastAsia="Times New Roman" w:hAnsi="Times New Roman" w:cs="Times New Roman"/>
                <w:sz w:val="24"/>
                <w:szCs w:val="24"/>
                <w:lang w:eastAsia="ru-RU"/>
              </w:rPr>
              <w:t>0</w:t>
            </w:r>
          </w:p>
        </w:tc>
        <w:tc>
          <w:tcPr>
            <w:tcW w:w="1037" w:type="pct"/>
            <w:vAlign w:val="bottom"/>
          </w:tcPr>
          <w:p w14:paraId="27C9CA70" w14:textId="77777777" w:rsidR="000A45DF" w:rsidRPr="000A45DF" w:rsidRDefault="000A45DF" w:rsidP="003C4E2A">
            <w:pPr>
              <w:tabs>
                <w:tab w:val="left" w:pos="8364"/>
              </w:tabs>
              <w:spacing w:after="0" w:line="240" w:lineRule="auto"/>
              <w:jc w:val="center"/>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3</w:t>
            </w:r>
            <w:r w:rsidR="003C4E2A">
              <w:rPr>
                <w:rFonts w:ascii="Times New Roman" w:eastAsia="Times New Roman" w:hAnsi="Times New Roman" w:cs="Times New Roman"/>
                <w:sz w:val="24"/>
                <w:szCs w:val="24"/>
                <w:lang w:eastAsia="ru-RU"/>
              </w:rPr>
              <w:t> </w:t>
            </w:r>
            <w:r w:rsidRPr="000A45DF">
              <w:rPr>
                <w:rFonts w:ascii="Times New Roman" w:eastAsia="Times New Roman" w:hAnsi="Times New Roman" w:cs="Times New Roman"/>
                <w:sz w:val="24"/>
                <w:szCs w:val="24"/>
                <w:lang w:eastAsia="ru-RU"/>
              </w:rPr>
              <w:t>4</w:t>
            </w:r>
            <w:r w:rsidR="003C4E2A">
              <w:rPr>
                <w:rFonts w:ascii="Times New Roman" w:eastAsia="Times New Roman" w:hAnsi="Times New Roman" w:cs="Times New Roman"/>
                <w:sz w:val="24"/>
                <w:szCs w:val="24"/>
                <w:lang w:eastAsia="ru-RU"/>
              </w:rPr>
              <w:t>3</w:t>
            </w:r>
            <w:r w:rsidR="009F7693">
              <w:rPr>
                <w:rFonts w:ascii="Times New Roman" w:eastAsia="Times New Roman" w:hAnsi="Times New Roman" w:cs="Times New Roman"/>
                <w:sz w:val="24"/>
                <w:szCs w:val="24"/>
                <w:lang w:eastAsia="ru-RU"/>
              </w:rPr>
              <w:t>1</w:t>
            </w:r>
            <w:r w:rsidR="003C4E2A">
              <w:rPr>
                <w:rFonts w:ascii="Times New Roman" w:eastAsia="Times New Roman" w:hAnsi="Times New Roman" w:cs="Times New Roman"/>
                <w:sz w:val="24"/>
                <w:szCs w:val="24"/>
                <w:lang w:eastAsia="ru-RU"/>
              </w:rPr>
              <w:t>,8</w:t>
            </w:r>
          </w:p>
        </w:tc>
      </w:tr>
      <w:tr w:rsidR="003C4E2A" w:rsidRPr="00BD5A90" w14:paraId="245CEB1F" w14:textId="77777777" w:rsidTr="003C4E2A">
        <w:trPr>
          <w:jc w:val="center"/>
        </w:trPr>
        <w:tc>
          <w:tcPr>
            <w:tcW w:w="5000" w:type="pct"/>
            <w:gridSpan w:val="3"/>
            <w:vAlign w:val="bottom"/>
          </w:tcPr>
          <w:p w14:paraId="47F886EC" w14:textId="77777777" w:rsidR="003C4E2A" w:rsidRPr="003C4E2A" w:rsidRDefault="003C4E2A" w:rsidP="003C4E2A">
            <w:pPr>
              <w:tabs>
                <w:tab w:val="left" w:pos="8364"/>
              </w:tabs>
              <w:spacing w:before="80" w:after="80" w:line="240" w:lineRule="auto"/>
              <w:jc w:val="center"/>
              <w:rPr>
                <w:rFonts w:ascii="Times New Roman" w:eastAsia="Times New Roman" w:hAnsi="Times New Roman" w:cs="Times New Roman"/>
                <w:b/>
                <w:sz w:val="24"/>
                <w:szCs w:val="24"/>
                <w:lang w:eastAsia="ru-RU"/>
              </w:rPr>
            </w:pPr>
            <w:r w:rsidRPr="003C4E2A">
              <w:rPr>
                <w:rFonts w:ascii="Times New Roman" w:eastAsia="Times New Roman" w:hAnsi="Times New Roman" w:cs="Times New Roman"/>
                <w:b/>
                <w:sz w:val="24"/>
                <w:szCs w:val="24"/>
                <w:lang w:eastAsia="ru-RU"/>
              </w:rPr>
              <w:t>2021 г.</w:t>
            </w:r>
          </w:p>
        </w:tc>
      </w:tr>
      <w:tr w:rsidR="003C4E2A" w:rsidRPr="00BD5A90" w14:paraId="5EE82204" w14:textId="77777777" w:rsidTr="00944CB1">
        <w:trPr>
          <w:jc w:val="center"/>
        </w:trPr>
        <w:tc>
          <w:tcPr>
            <w:tcW w:w="3009" w:type="pct"/>
            <w:vAlign w:val="bottom"/>
          </w:tcPr>
          <w:p w14:paraId="1BB4C082" w14:textId="77777777" w:rsidR="003C4E2A" w:rsidRPr="000A45DF" w:rsidRDefault="003C4E2A" w:rsidP="009E5990">
            <w:pPr>
              <w:tabs>
                <w:tab w:val="left" w:pos="8364"/>
              </w:tabs>
              <w:spacing w:after="0" w:line="240" w:lineRule="auto"/>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Располагаемые ресурсы - всего</w:t>
            </w:r>
          </w:p>
        </w:tc>
        <w:tc>
          <w:tcPr>
            <w:tcW w:w="954" w:type="pct"/>
            <w:vAlign w:val="bottom"/>
          </w:tcPr>
          <w:p w14:paraId="0049F035" w14:textId="77777777" w:rsidR="003C4E2A" w:rsidRPr="000A45DF" w:rsidRDefault="003C4E2A" w:rsidP="009F7693">
            <w:pPr>
              <w:tabs>
                <w:tab w:val="left" w:pos="8364"/>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31 791,2</w:t>
            </w:r>
          </w:p>
        </w:tc>
        <w:tc>
          <w:tcPr>
            <w:tcW w:w="1037" w:type="pct"/>
            <w:vAlign w:val="bottom"/>
          </w:tcPr>
          <w:p w14:paraId="2F90BE7A" w14:textId="77777777" w:rsidR="003C4E2A" w:rsidRPr="000A45DF" w:rsidRDefault="003C4E2A" w:rsidP="009F7693">
            <w:pPr>
              <w:tabs>
                <w:tab w:val="left" w:pos="8364"/>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26 752,4</w:t>
            </w:r>
          </w:p>
        </w:tc>
      </w:tr>
      <w:tr w:rsidR="003C4E2A" w:rsidRPr="00BD5A90" w14:paraId="4F5CC1D8" w14:textId="77777777" w:rsidTr="00944CB1">
        <w:trPr>
          <w:jc w:val="center"/>
        </w:trPr>
        <w:tc>
          <w:tcPr>
            <w:tcW w:w="3009" w:type="pct"/>
            <w:vAlign w:val="bottom"/>
          </w:tcPr>
          <w:p w14:paraId="0A6DD790" w14:textId="77777777" w:rsidR="003C4E2A" w:rsidRPr="000A45DF" w:rsidRDefault="003C4E2A" w:rsidP="009E5990">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в том числе:</w:t>
            </w:r>
          </w:p>
        </w:tc>
        <w:tc>
          <w:tcPr>
            <w:tcW w:w="954" w:type="pct"/>
            <w:vAlign w:val="bottom"/>
          </w:tcPr>
          <w:p w14:paraId="32F35634" w14:textId="77777777" w:rsidR="003C4E2A" w:rsidRPr="000A45DF" w:rsidRDefault="003C4E2A" w:rsidP="009F7693">
            <w:pPr>
              <w:tabs>
                <w:tab w:val="left" w:pos="8364"/>
              </w:tabs>
              <w:spacing w:after="0" w:line="240" w:lineRule="auto"/>
              <w:jc w:val="center"/>
              <w:rPr>
                <w:rFonts w:ascii="Times New Roman" w:eastAsia="Times New Roman" w:hAnsi="Times New Roman" w:cs="Times New Roman"/>
                <w:sz w:val="24"/>
                <w:szCs w:val="24"/>
                <w:lang w:eastAsia="ru-RU"/>
              </w:rPr>
            </w:pPr>
          </w:p>
        </w:tc>
        <w:tc>
          <w:tcPr>
            <w:tcW w:w="1037" w:type="pct"/>
            <w:vAlign w:val="bottom"/>
          </w:tcPr>
          <w:p w14:paraId="3C3EC6C8" w14:textId="77777777" w:rsidR="003C4E2A" w:rsidRPr="000A45DF" w:rsidRDefault="003C4E2A" w:rsidP="009F7693">
            <w:pPr>
              <w:tabs>
                <w:tab w:val="left" w:pos="8364"/>
              </w:tabs>
              <w:spacing w:after="0" w:line="240" w:lineRule="auto"/>
              <w:jc w:val="center"/>
              <w:rPr>
                <w:rFonts w:ascii="Times New Roman" w:eastAsia="Times New Roman" w:hAnsi="Times New Roman" w:cs="Times New Roman"/>
                <w:sz w:val="24"/>
                <w:szCs w:val="24"/>
                <w:lang w:eastAsia="ru-RU"/>
              </w:rPr>
            </w:pPr>
          </w:p>
        </w:tc>
      </w:tr>
      <w:tr w:rsidR="003C4E2A" w:rsidRPr="00BD5A90" w14:paraId="6B2FB42C" w14:textId="77777777" w:rsidTr="00944CB1">
        <w:trPr>
          <w:jc w:val="center"/>
        </w:trPr>
        <w:tc>
          <w:tcPr>
            <w:tcW w:w="3009" w:type="pct"/>
            <w:vAlign w:val="bottom"/>
          </w:tcPr>
          <w:p w14:paraId="3485577B" w14:textId="77777777" w:rsidR="003C4E2A" w:rsidRPr="000A45DF" w:rsidRDefault="003C4E2A" w:rsidP="009E5990">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денежные расходы</w:t>
            </w:r>
          </w:p>
        </w:tc>
        <w:tc>
          <w:tcPr>
            <w:tcW w:w="954" w:type="pct"/>
            <w:vAlign w:val="bottom"/>
          </w:tcPr>
          <w:p w14:paraId="7A79E59E" w14:textId="77777777" w:rsidR="003C4E2A" w:rsidRPr="000A45DF" w:rsidRDefault="003C4E2A" w:rsidP="009F7693">
            <w:pPr>
              <w:tabs>
                <w:tab w:val="left" w:pos="8364"/>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26 226,7</w:t>
            </w:r>
          </w:p>
        </w:tc>
        <w:tc>
          <w:tcPr>
            <w:tcW w:w="1037" w:type="pct"/>
            <w:vAlign w:val="bottom"/>
          </w:tcPr>
          <w:p w14:paraId="316AD9BB" w14:textId="77777777" w:rsidR="003C4E2A" w:rsidRPr="000A45DF" w:rsidRDefault="003C4E2A" w:rsidP="009F7693">
            <w:pPr>
              <w:tabs>
                <w:tab w:val="left" w:pos="8364"/>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22 651,2</w:t>
            </w:r>
          </w:p>
        </w:tc>
      </w:tr>
      <w:tr w:rsidR="003C4E2A" w:rsidRPr="00BD5A90" w14:paraId="0748A72F" w14:textId="77777777" w:rsidTr="00944CB1">
        <w:trPr>
          <w:jc w:val="center"/>
        </w:trPr>
        <w:tc>
          <w:tcPr>
            <w:tcW w:w="3009" w:type="pct"/>
            <w:vAlign w:val="bottom"/>
          </w:tcPr>
          <w:p w14:paraId="201FE2A3" w14:textId="77777777" w:rsidR="003C4E2A" w:rsidRPr="000A45DF" w:rsidRDefault="003C4E2A" w:rsidP="009E5990">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 xml:space="preserve">стоимость натуральных поступлений продуктов питания </w:t>
            </w:r>
          </w:p>
        </w:tc>
        <w:tc>
          <w:tcPr>
            <w:tcW w:w="954" w:type="pct"/>
            <w:vAlign w:val="bottom"/>
          </w:tcPr>
          <w:p w14:paraId="02465B5D" w14:textId="77777777" w:rsidR="003C4E2A" w:rsidRPr="000A45DF" w:rsidRDefault="003C4E2A" w:rsidP="009F7693">
            <w:pPr>
              <w:tabs>
                <w:tab w:val="left" w:pos="8364"/>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656,3</w:t>
            </w:r>
          </w:p>
        </w:tc>
        <w:tc>
          <w:tcPr>
            <w:tcW w:w="1037" w:type="pct"/>
            <w:vAlign w:val="bottom"/>
          </w:tcPr>
          <w:p w14:paraId="602BB196" w14:textId="77777777" w:rsidR="003C4E2A" w:rsidRPr="000A45DF" w:rsidRDefault="003C4E2A" w:rsidP="009F7693">
            <w:pPr>
              <w:tabs>
                <w:tab w:val="left" w:pos="8364"/>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548,1</w:t>
            </w:r>
          </w:p>
        </w:tc>
      </w:tr>
      <w:tr w:rsidR="003C4E2A" w:rsidRPr="00BD5A90" w14:paraId="30E465AE" w14:textId="77777777" w:rsidTr="00944CB1">
        <w:trPr>
          <w:jc w:val="center"/>
        </w:trPr>
        <w:tc>
          <w:tcPr>
            <w:tcW w:w="3009" w:type="pct"/>
            <w:vAlign w:val="bottom"/>
          </w:tcPr>
          <w:p w14:paraId="09425878" w14:textId="77777777" w:rsidR="003C4E2A" w:rsidRPr="000A45DF" w:rsidRDefault="003C4E2A" w:rsidP="009E5990">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 xml:space="preserve">стоимость натуральных поступлений </w:t>
            </w:r>
          </w:p>
          <w:p w14:paraId="5148B561" w14:textId="77777777" w:rsidR="003C4E2A" w:rsidRPr="000A45DF" w:rsidRDefault="003C4E2A" w:rsidP="009E5990">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непродовольственных товаров и услуг</w:t>
            </w:r>
          </w:p>
        </w:tc>
        <w:tc>
          <w:tcPr>
            <w:tcW w:w="954" w:type="pct"/>
            <w:vAlign w:val="bottom"/>
          </w:tcPr>
          <w:p w14:paraId="6D633682" w14:textId="77777777" w:rsidR="003C4E2A" w:rsidRPr="000A45DF" w:rsidRDefault="003C4E2A" w:rsidP="009F7693">
            <w:pPr>
              <w:tabs>
                <w:tab w:val="left" w:pos="8364"/>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221,8</w:t>
            </w:r>
          </w:p>
        </w:tc>
        <w:tc>
          <w:tcPr>
            <w:tcW w:w="1037" w:type="pct"/>
            <w:vAlign w:val="bottom"/>
          </w:tcPr>
          <w:p w14:paraId="122F0520" w14:textId="77777777" w:rsidR="003C4E2A" w:rsidRPr="000A45DF" w:rsidRDefault="003C4E2A" w:rsidP="009F7693">
            <w:pPr>
              <w:tabs>
                <w:tab w:val="left" w:pos="8364"/>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215,7</w:t>
            </w:r>
          </w:p>
        </w:tc>
      </w:tr>
      <w:tr w:rsidR="003C4E2A" w:rsidRPr="00BD5A90" w14:paraId="5C267432" w14:textId="77777777" w:rsidTr="00944CB1">
        <w:trPr>
          <w:jc w:val="center"/>
        </w:trPr>
        <w:tc>
          <w:tcPr>
            <w:tcW w:w="3009" w:type="pct"/>
            <w:vAlign w:val="bottom"/>
          </w:tcPr>
          <w:p w14:paraId="451DA1DF" w14:textId="77777777" w:rsidR="003C4E2A" w:rsidRPr="000A45DF" w:rsidRDefault="003C4E2A" w:rsidP="009E5990">
            <w:pPr>
              <w:tabs>
                <w:tab w:val="left" w:pos="8364"/>
              </w:tabs>
              <w:spacing w:after="0" w:line="240" w:lineRule="auto"/>
              <w:ind w:firstLine="170"/>
              <w:rPr>
                <w:rFonts w:ascii="Times New Roman" w:eastAsia="Times New Roman" w:hAnsi="Times New Roman" w:cs="Times New Roman"/>
                <w:sz w:val="24"/>
                <w:szCs w:val="24"/>
                <w:lang w:eastAsia="ru-RU"/>
              </w:rPr>
            </w:pPr>
            <w:r w:rsidRPr="000A45DF">
              <w:rPr>
                <w:rFonts w:ascii="Times New Roman" w:eastAsia="Times New Roman" w:hAnsi="Times New Roman" w:cs="Times New Roman"/>
                <w:sz w:val="24"/>
                <w:szCs w:val="24"/>
                <w:lang w:eastAsia="ru-RU"/>
              </w:rPr>
              <w:t>прирост сбережений</w:t>
            </w:r>
          </w:p>
        </w:tc>
        <w:tc>
          <w:tcPr>
            <w:tcW w:w="954" w:type="pct"/>
            <w:vAlign w:val="bottom"/>
          </w:tcPr>
          <w:p w14:paraId="1CD7C3CD" w14:textId="77777777" w:rsidR="003C4E2A" w:rsidRPr="000A45DF" w:rsidRDefault="003C4E2A" w:rsidP="009F7693">
            <w:pPr>
              <w:tabs>
                <w:tab w:val="left" w:pos="8364"/>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4 686,4</w:t>
            </w:r>
          </w:p>
        </w:tc>
        <w:tc>
          <w:tcPr>
            <w:tcW w:w="1037" w:type="pct"/>
            <w:vAlign w:val="bottom"/>
          </w:tcPr>
          <w:p w14:paraId="1C7F5682" w14:textId="77777777" w:rsidR="003C4E2A" w:rsidRPr="000A45DF" w:rsidRDefault="003C4E2A" w:rsidP="009F7693">
            <w:pPr>
              <w:tabs>
                <w:tab w:val="left" w:pos="8364"/>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3 337,4</w:t>
            </w:r>
          </w:p>
        </w:tc>
      </w:tr>
    </w:tbl>
    <w:p w14:paraId="4A447A21" w14:textId="77777777"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14:paraId="400E2745" w14:textId="77777777"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14:paraId="7A054F64" w14:textId="77777777" w:rsidR="00D03A4F" w:rsidRPr="0009555C" w:rsidRDefault="00D03A4F" w:rsidP="00D03A4F">
      <w:pPr>
        <w:spacing w:after="0" w:line="240" w:lineRule="auto"/>
        <w:jc w:val="right"/>
        <w:rPr>
          <w:rFonts w:ascii="Times New Roman" w:eastAsia="Times New Roman" w:hAnsi="Times New Roman" w:cs="Times New Roman"/>
          <w:sz w:val="26"/>
          <w:szCs w:val="26"/>
          <w:lang w:eastAsia="ru-RU"/>
        </w:rPr>
      </w:pPr>
      <w:r w:rsidRPr="003057A7">
        <w:rPr>
          <w:rFonts w:ascii="Times New Roman" w:eastAsia="Times New Roman" w:hAnsi="Times New Roman" w:cs="Times New Roman"/>
          <w:sz w:val="26"/>
          <w:szCs w:val="26"/>
          <w:lang w:eastAsia="ru-RU"/>
        </w:rPr>
        <w:t>Таблица 4</w:t>
      </w:r>
      <w:r w:rsidR="008737BB">
        <w:rPr>
          <w:rFonts w:ascii="Times New Roman" w:eastAsia="Times New Roman" w:hAnsi="Times New Roman" w:cs="Times New Roman"/>
          <w:sz w:val="26"/>
          <w:szCs w:val="26"/>
          <w:lang w:eastAsia="ru-RU"/>
        </w:rPr>
        <w:t>0</w:t>
      </w:r>
    </w:p>
    <w:p w14:paraId="38C39A8D" w14:textId="77777777" w:rsidR="00D03A4F" w:rsidRPr="0009555C" w:rsidRDefault="00D03A4F" w:rsidP="00D03A4F">
      <w:pPr>
        <w:spacing w:after="0" w:line="240" w:lineRule="auto"/>
        <w:jc w:val="center"/>
        <w:rPr>
          <w:rFonts w:ascii="Times New Roman" w:eastAsia="Times New Roman" w:hAnsi="Times New Roman" w:cs="Times New Roman"/>
          <w:sz w:val="26"/>
          <w:szCs w:val="26"/>
          <w:lang w:eastAsia="ru-RU"/>
        </w:rPr>
      </w:pPr>
    </w:p>
    <w:p w14:paraId="430CEA5D" w14:textId="77777777" w:rsidR="00D03A4F" w:rsidRPr="0009555C" w:rsidRDefault="00D03A4F" w:rsidP="00D03A4F">
      <w:pPr>
        <w:spacing w:after="0" w:line="240" w:lineRule="auto"/>
        <w:jc w:val="center"/>
        <w:rPr>
          <w:rFonts w:ascii="Times New Roman" w:eastAsia="Times New Roman" w:hAnsi="Times New Roman" w:cs="Times New Roman"/>
          <w:b/>
          <w:caps/>
          <w:sz w:val="26"/>
          <w:szCs w:val="26"/>
          <w:lang w:eastAsia="ru-RU"/>
        </w:rPr>
      </w:pPr>
      <w:r w:rsidRPr="0009555C">
        <w:rPr>
          <w:rFonts w:ascii="Times New Roman" w:eastAsia="Times New Roman" w:hAnsi="Times New Roman" w:cs="Times New Roman"/>
          <w:b/>
          <w:sz w:val="26"/>
          <w:szCs w:val="26"/>
          <w:lang w:eastAsia="ru-RU"/>
        </w:rPr>
        <w:t>Уровень располагаемых ресурсов по домохозяйствам с различным числом детей в возрасте до 16 лет</w:t>
      </w:r>
    </w:p>
    <w:p w14:paraId="6187D523" w14:textId="77777777" w:rsidR="00D03A4F" w:rsidRPr="0009555C" w:rsidRDefault="00D03A4F" w:rsidP="00D03A4F">
      <w:pPr>
        <w:spacing w:after="0" w:line="240" w:lineRule="auto"/>
        <w:jc w:val="center"/>
        <w:rPr>
          <w:rFonts w:ascii="Times New Roman" w:eastAsia="Times New Roman" w:hAnsi="Times New Roman" w:cs="Times New Roman"/>
          <w:bCs/>
          <w:sz w:val="24"/>
          <w:szCs w:val="24"/>
          <w:lang w:eastAsia="ru-RU"/>
        </w:rPr>
      </w:pPr>
      <w:r w:rsidRPr="0009555C">
        <w:rPr>
          <w:rFonts w:ascii="Times New Roman" w:eastAsia="Times New Roman" w:hAnsi="Times New Roman" w:cs="Times New Roman"/>
          <w:bCs/>
          <w:sz w:val="24"/>
          <w:szCs w:val="24"/>
          <w:lang w:eastAsia="ru-RU"/>
        </w:rPr>
        <w:t xml:space="preserve">(по данным выборочного обследования бюджетов домашних хозяйств, </w:t>
      </w:r>
    </w:p>
    <w:p w14:paraId="33089A60" w14:textId="77777777" w:rsidR="00D03A4F" w:rsidRPr="0009555C" w:rsidRDefault="00D03A4F" w:rsidP="00D03A4F">
      <w:pPr>
        <w:spacing w:after="0" w:line="240" w:lineRule="auto"/>
        <w:jc w:val="center"/>
        <w:rPr>
          <w:rFonts w:ascii="Times New Roman" w:eastAsia="Times New Roman" w:hAnsi="Times New Roman" w:cs="Times New Roman"/>
          <w:bCs/>
          <w:sz w:val="24"/>
          <w:szCs w:val="24"/>
          <w:lang w:eastAsia="ru-RU"/>
        </w:rPr>
      </w:pPr>
      <w:r w:rsidRPr="0009555C">
        <w:rPr>
          <w:rFonts w:ascii="Times New Roman" w:eastAsia="Times New Roman" w:hAnsi="Times New Roman" w:cs="Times New Roman"/>
          <w:bCs/>
          <w:sz w:val="24"/>
          <w:szCs w:val="24"/>
          <w:lang w:eastAsia="ru-RU"/>
        </w:rPr>
        <w:t>в среднем на члена домохозяйства, в месяц, рублей)</w:t>
      </w:r>
    </w:p>
    <w:p w14:paraId="6C17159C" w14:textId="77777777" w:rsidR="00D03A4F" w:rsidRPr="0009555C" w:rsidRDefault="00D03A4F" w:rsidP="00D03A4F">
      <w:pPr>
        <w:spacing w:after="0" w:line="240" w:lineRule="auto"/>
        <w:jc w:val="right"/>
        <w:rPr>
          <w:rFonts w:ascii="Times New Roman" w:eastAsia="Times New Roman" w:hAnsi="Times New Roman" w:cs="Times New Roman"/>
          <w:bCs/>
          <w:sz w:val="20"/>
          <w:szCs w:val="20"/>
          <w:lang w:eastAsia="ru-RU"/>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1769"/>
        <w:gridCol w:w="1242"/>
        <w:gridCol w:w="1639"/>
        <w:gridCol w:w="2494"/>
        <w:gridCol w:w="1436"/>
      </w:tblGrid>
      <w:tr w:rsidR="00D03A4F" w:rsidRPr="0009555C" w14:paraId="72031AB5" w14:textId="77777777" w:rsidTr="00944CB1">
        <w:trPr>
          <w:cantSplit/>
          <w:trHeight w:val="298"/>
          <w:tblHeader/>
          <w:jc w:val="center"/>
        </w:trPr>
        <w:tc>
          <w:tcPr>
            <w:tcW w:w="950" w:type="pct"/>
            <w:vMerge w:val="restart"/>
            <w:vAlign w:val="bottom"/>
          </w:tcPr>
          <w:p w14:paraId="4CA4FF7A" w14:textId="77777777" w:rsidR="00D03A4F" w:rsidRPr="0009555C" w:rsidRDefault="00D03A4F" w:rsidP="00D03A4F">
            <w:pPr>
              <w:spacing w:after="0" w:line="240" w:lineRule="auto"/>
              <w:jc w:val="center"/>
              <w:rPr>
                <w:rFonts w:ascii="Times New Roman" w:eastAsia="Times New Roman" w:hAnsi="Times New Roman" w:cs="Times New Roman"/>
                <w:sz w:val="20"/>
                <w:szCs w:val="20"/>
                <w:lang w:eastAsia="ru-RU"/>
              </w:rPr>
            </w:pPr>
          </w:p>
        </w:tc>
        <w:tc>
          <w:tcPr>
            <w:tcW w:w="824" w:type="pct"/>
            <w:vMerge w:val="restart"/>
          </w:tcPr>
          <w:p w14:paraId="70E9C442" w14:textId="77777777" w:rsidR="00D03A4F" w:rsidRPr="0009555C" w:rsidRDefault="00D03A4F" w:rsidP="00D03A4F">
            <w:pPr>
              <w:spacing w:after="0" w:line="240" w:lineRule="auto"/>
              <w:jc w:val="center"/>
              <w:rPr>
                <w:rFonts w:ascii="Times New Roman" w:eastAsia="Times New Roman" w:hAnsi="Times New Roman" w:cs="Times New Roman"/>
                <w:sz w:val="24"/>
                <w:szCs w:val="24"/>
                <w:lang w:eastAsia="ru-RU"/>
              </w:rPr>
            </w:pPr>
          </w:p>
          <w:p w14:paraId="531B091E" w14:textId="77777777" w:rsidR="00D03A4F" w:rsidRPr="0009555C" w:rsidRDefault="00D03A4F" w:rsidP="00D03A4F">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Располагаемые ресурсы - всего</w:t>
            </w:r>
          </w:p>
        </w:tc>
        <w:tc>
          <w:tcPr>
            <w:tcW w:w="3226" w:type="pct"/>
            <w:gridSpan w:val="4"/>
            <w:vAlign w:val="center"/>
          </w:tcPr>
          <w:p w14:paraId="4F39A887" w14:textId="77777777" w:rsidR="00D03A4F" w:rsidRPr="0009555C" w:rsidRDefault="00D03A4F" w:rsidP="00D03A4F">
            <w:pPr>
              <w:spacing w:after="0" w:line="240" w:lineRule="auto"/>
              <w:ind w:right="340"/>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в том числе:</w:t>
            </w:r>
          </w:p>
        </w:tc>
      </w:tr>
      <w:tr w:rsidR="00D03A4F" w:rsidRPr="0009555C" w14:paraId="1B5BCD9A" w14:textId="77777777" w:rsidTr="00944CB1">
        <w:trPr>
          <w:cantSplit/>
          <w:trHeight w:val="1279"/>
          <w:tblHeader/>
          <w:jc w:val="center"/>
        </w:trPr>
        <w:tc>
          <w:tcPr>
            <w:tcW w:w="950" w:type="pct"/>
            <w:vMerge/>
            <w:vAlign w:val="bottom"/>
          </w:tcPr>
          <w:p w14:paraId="7C247F85" w14:textId="77777777" w:rsidR="00D03A4F" w:rsidRPr="0009555C" w:rsidRDefault="00D03A4F" w:rsidP="00D03A4F">
            <w:pPr>
              <w:spacing w:after="0" w:line="240" w:lineRule="auto"/>
              <w:rPr>
                <w:rFonts w:ascii="Times New Roman" w:eastAsia="Times New Roman" w:hAnsi="Times New Roman" w:cs="Times New Roman"/>
                <w:sz w:val="20"/>
                <w:szCs w:val="20"/>
                <w:lang w:eastAsia="ru-RU"/>
              </w:rPr>
            </w:pPr>
          </w:p>
        </w:tc>
        <w:tc>
          <w:tcPr>
            <w:tcW w:w="824" w:type="pct"/>
            <w:vMerge/>
            <w:vAlign w:val="bottom"/>
          </w:tcPr>
          <w:p w14:paraId="1F3D1591" w14:textId="77777777" w:rsidR="00D03A4F" w:rsidRPr="0009555C" w:rsidRDefault="00D03A4F" w:rsidP="00D03A4F">
            <w:pPr>
              <w:spacing w:after="0" w:line="240" w:lineRule="auto"/>
              <w:ind w:right="340"/>
              <w:jc w:val="right"/>
              <w:rPr>
                <w:rFonts w:ascii="Times New Roman" w:eastAsia="Times New Roman" w:hAnsi="Times New Roman" w:cs="Times New Roman"/>
                <w:sz w:val="24"/>
                <w:szCs w:val="24"/>
                <w:lang w:eastAsia="ru-RU"/>
              </w:rPr>
            </w:pPr>
          </w:p>
        </w:tc>
        <w:tc>
          <w:tcPr>
            <w:tcW w:w="579" w:type="pct"/>
            <w:vAlign w:val="center"/>
          </w:tcPr>
          <w:p w14:paraId="05712615" w14:textId="77777777" w:rsidR="00D03A4F" w:rsidRPr="0009555C" w:rsidRDefault="00D03A4F" w:rsidP="00D03A4F">
            <w:pPr>
              <w:spacing w:after="12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денежные расходы</w:t>
            </w:r>
          </w:p>
        </w:tc>
        <w:tc>
          <w:tcPr>
            <w:tcW w:w="816" w:type="pct"/>
            <w:vAlign w:val="center"/>
          </w:tcPr>
          <w:p w14:paraId="60CEB544" w14:textId="77777777" w:rsidR="00D03A4F" w:rsidRPr="0009555C" w:rsidRDefault="00D03A4F" w:rsidP="00D03A4F">
            <w:pPr>
              <w:spacing w:after="12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стоимость натуральных поступлений продуктов питания</w:t>
            </w:r>
          </w:p>
        </w:tc>
        <w:tc>
          <w:tcPr>
            <w:tcW w:w="1162" w:type="pct"/>
            <w:vAlign w:val="center"/>
          </w:tcPr>
          <w:p w14:paraId="750CD009" w14:textId="77777777" w:rsidR="00D03A4F" w:rsidRPr="0009555C" w:rsidRDefault="00D03A4F" w:rsidP="00D03A4F">
            <w:pPr>
              <w:spacing w:after="12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стоимость натуральных поступлений непродовольственных товаров и услуг</w:t>
            </w:r>
          </w:p>
        </w:tc>
        <w:tc>
          <w:tcPr>
            <w:tcW w:w="669" w:type="pct"/>
            <w:vAlign w:val="center"/>
          </w:tcPr>
          <w:p w14:paraId="0795DD6A" w14:textId="77777777" w:rsidR="00D03A4F" w:rsidRPr="0009555C" w:rsidRDefault="00D03A4F" w:rsidP="00D03A4F">
            <w:pPr>
              <w:spacing w:after="12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прирост сбережений</w:t>
            </w:r>
          </w:p>
        </w:tc>
      </w:tr>
      <w:tr w:rsidR="0009555C" w:rsidRPr="0009555C" w14:paraId="7ECAB619" w14:textId="77777777" w:rsidTr="00944CB1">
        <w:trPr>
          <w:jc w:val="center"/>
        </w:trPr>
        <w:tc>
          <w:tcPr>
            <w:tcW w:w="5000" w:type="pct"/>
            <w:gridSpan w:val="6"/>
            <w:tcBorders>
              <w:bottom w:val="single" w:sz="4" w:space="0" w:color="auto"/>
            </w:tcBorders>
            <w:vAlign w:val="bottom"/>
          </w:tcPr>
          <w:p w14:paraId="2BEB5939" w14:textId="77777777" w:rsidR="0009555C" w:rsidRPr="0009555C" w:rsidRDefault="0009555C" w:rsidP="0009555C">
            <w:pPr>
              <w:spacing w:before="60" w:after="0" w:line="240" w:lineRule="auto"/>
              <w:ind w:right="340"/>
              <w:jc w:val="center"/>
              <w:rPr>
                <w:rFonts w:ascii="Times New Roman" w:eastAsia="Times New Roman" w:hAnsi="Times New Roman" w:cs="Times New Roman"/>
                <w:b/>
                <w:sz w:val="24"/>
                <w:szCs w:val="24"/>
                <w:lang w:eastAsia="ru-RU"/>
              </w:rPr>
            </w:pPr>
            <w:r w:rsidRPr="0009555C">
              <w:rPr>
                <w:rFonts w:ascii="Times New Roman" w:eastAsia="Times New Roman" w:hAnsi="Times New Roman" w:cs="Times New Roman"/>
                <w:b/>
                <w:sz w:val="24"/>
                <w:szCs w:val="24"/>
                <w:lang w:eastAsia="ru-RU"/>
              </w:rPr>
              <w:t>2019 г.</w:t>
            </w:r>
          </w:p>
        </w:tc>
      </w:tr>
      <w:tr w:rsidR="0009555C" w:rsidRPr="0009555C" w14:paraId="4D124AC5" w14:textId="77777777" w:rsidTr="00944CB1">
        <w:trPr>
          <w:jc w:val="center"/>
        </w:trPr>
        <w:tc>
          <w:tcPr>
            <w:tcW w:w="950" w:type="pct"/>
            <w:tcBorders>
              <w:top w:val="single" w:sz="4" w:space="0" w:color="auto"/>
              <w:left w:val="single" w:sz="4" w:space="0" w:color="auto"/>
              <w:bottom w:val="single" w:sz="4" w:space="0" w:color="auto"/>
              <w:right w:val="single" w:sz="4" w:space="0" w:color="auto"/>
            </w:tcBorders>
            <w:vAlign w:val="center"/>
          </w:tcPr>
          <w:p w14:paraId="41B8C77B" w14:textId="77777777"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Домашние хозяйства с детьми в возрасте до 16 лет, имеющие:</w:t>
            </w:r>
          </w:p>
          <w:p w14:paraId="68C990D3" w14:textId="77777777"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одного ребенка</w:t>
            </w:r>
          </w:p>
        </w:tc>
        <w:tc>
          <w:tcPr>
            <w:tcW w:w="824" w:type="pct"/>
            <w:vAlign w:val="bottom"/>
          </w:tcPr>
          <w:p w14:paraId="17C5D203" w14:textId="77777777" w:rsidR="0009555C" w:rsidRPr="0009555C" w:rsidRDefault="0009555C" w:rsidP="00C92BD7">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26 9</w:t>
            </w:r>
            <w:r w:rsidR="00C92BD7">
              <w:rPr>
                <w:rFonts w:ascii="Times New Roman" w:eastAsia="Times New Roman" w:hAnsi="Times New Roman" w:cs="Times New Roman"/>
                <w:sz w:val="24"/>
                <w:szCs w:val="24"/>
                <w:lang w:eastAsia="ru-RU"/>
              </w:rPr>
              <w:t>13</w:t>
            </w:r>
            <w:r w:rsidRPr="0009555C">
              <w:rPr>
                <w:rFonts w:ascii="Times New Roman" w:eastAsia="Times New Roman" w:hAnsi="Times New Roman" w:cs="Times New Roman"/>
                <w:sz w:val="24"/>
                <w:szCs w:val="24"/>
                <w:lang w:eastAsia="ru-RU"/>
              </w:rPr>
              <w:t>,</w:t>
            </w:r>
            <w:r w:rsidR="00C92BD7">
              <w:rPr>
                <w:rFonts w:ascii="Times New Roman" w:eastAsia="Times New Roman" w:hAnsi="Times New Roman" w:cs="Times New Roman"/>
                <w:sz w:val="24"/>
                <w:szCs w:val="24"/>
                <w:lang w:eastAsia="ru-RU"/>
              </w:rPr>
              <w:t>7</w:t>
            </w:r>
          </w:p>
        </w:tc>
        <w:tc>
          <w:tcPr>
            <w:tcW w:w="579" w:type="pct"/>
            <w:vAlign w:val="bottom"/>
          </w:tcPr>
          <w:p w14:paraId="1B166B06" w14:textId="77777777" w:rsidR="0009555C" w:rsidRPr="0009555C" w:rsidRDefault="0009555C" w:rsidP="00C92BD7">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22 7</w:t>
            </w:r>
            <w:r w:rsidR="00C92BD7">
              <w:rPr>
                <w:rFonts w:ascii="Times New Roman" w:eastAsia="Times New Roman" w:hAnsi="Times New Roman" w:cs="Times New Roman"/>
                <w:sz w:val="24"/>
                <w:szCs w:val="24"/>
                <w:lang w:eastAsia="ru-RU"/>
              </w:rPr>
              <w:t>31</w:t>
            </w:r>
            <w:r w:rsidRPr="0009555C">
              <w:rPr>
                <w:rFonts w:ascii="Times New Roman" w:eastAsia="Times New Roman" w:hAnsi="Times New Roman" w:cs="Times New Roman"/>
                <w:sz w:val="24"/>
                <w:szCs w:val="24"/>
                <w:lang w:eastAsia="ru-RU"/>
              </w:rPr>
              <w:t>,</w:t>
            </w:r>
            <w:r w:rsidR="00C92BD7">
              <w:rPr>
                <w:rFonts w:ascii="Times New Roman" w:eastAsia="Times New Roman" w:hAnsi="Times New Roman" w:cs="Times New Roman"/>
                <w:sz w:val="24"/>
                <w:szCs w:val="24"/>
                <w:lang w:eastAsia="ru-RU"/>
              </w:rPr>
              <w:t>4</w:t>
            </w:r>
          </w:p>
        </w:tc>
        <w:tc>
          <w:tcPr>
            <w:tcW w:w="816" w:type="pct"/>
            <w:vAlign w:val="bottom"/>
          </w:tcPr>
          <w:p w14:paraId="461485EB" w14:textId="77777777"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487,2</w:t>
            </w:r>
          </w:p>
        </w:tc>
        <w:tc>
          <w:tcPr>
            <w:tcW w:w="1162" w:type="pct"/>
            <w:vAlign w:val="bottom"/>
          </w:tcPr>
          <w:p w14:paraId="1C625FD1" w14:textId="77777777"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214,5</w:t>
            </w:r>
          </w:p>
        </w:tc>
        <w:tc>
          <w:tcPr>
            <w:tcW w:w="669" w:type="pct"/>
            <w:vAlign w:val="bottom"/>
          </w:tcPr>
          <w:p w14:paraId="0502876E" w14:textId="77777777"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3 480,6</w:t>
            </w:r>
          </w:p>
        </w:tc>
      </w:tr>
      <w:tr w:rsidR="0009555C" w:rsidRPr="0009555C" w14:paraId="66696A3C" w14:textId="77777777" w:rsidTr="00944CB1">
        <w:trPr>
          <w:jc w:val="center"/>
        </w:trPr>
        <w:tc>
          <w:tcPr>
            <w:tcW w:w="950" w:type="pct"/>
            <w:tcBorders>
              <w:top w:val="single" w:sz="4" w:space="0" w:color="auto"/>
              <w:left w:val="single" w:sz="4" w:space="0" w:color="auto"/>
              <w:bottom w:val="single" w:sz="4" w:space="0" w:color="auto"/>
              <w:right w:val="single" w:sz="4" w:space="0" w:color="auto"/>
            </w:tcBorders>
            <w:vAlign w:val="center"/>
          </w:tcPr>
          <w:p w14:paraId="51CB502A" w14:textId="77777777"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двух детей</w:t>
            </w:r>
          </w:p>
        </w:tc>
        <w:tc>
          <w:tcPr>
            <w:tcW w:w="824" w:type="pct"/>
            <w:vAlign w:val="bottom"/>
          </w:tcPr>
          <w:p w14:paraId="7FCF4AF9" w14:textId="77777777" w:rsidR="0009555C" w:rsidRPr="0009555C" w:rsidRDefault="0009555C" w:rsidP="00C92BD7">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22 3</w:t>
            </w:r>
            <w:r w:rsidR="00C92BD7">
              <w:rPr>
                <w:rFonts w:ascii="Times New Roman" w:eastAsia="Times New Roman" w:hAnsi="Times New Roman" w:cs="Times New Roman"/>
                <w:sz w:val="24"/>
                <w:szCs w:val="24"/>
                <w:lang w:eastAsia="ru-RU"/>
              </w:rPr>
              <w:t>6</w:t>
            </w:r>
            <w:r w:rsidRPr="0009555C">
              <w:rPr>
                <w:rFonts w:ascii="Times New Roman" w:eastAsia="Times New Roman" w:hAnsi="Times New Roman" w:cs="Times New Roman"/>
                <w:sz w:val="24"/>
                <w:szCs w:val="24"/>
                <w:lang w:eastAsia="ru-RU"/>
              </w:rPr>
              <w:t>9,</w:t>
            </w:r>
            <w:r w:rsidR="00C92BD7">
              <w:rPr>
                <w:rFonts w:ascii="Times New Roman" w:eastAsia="Times New Roman" w:hAnsi="Times New Roman" w:cs="Times New Roman"/>
                <w:sz w:val="24"/>
                <w:szCs w:val="24"/>
                <w:lang w:eastAsia="ru-RU"/>
              </w:rPr>
              <w:t>3</w:t>
            </w:r>
          </w:p>
        </w:tc>
        <w:tc>
          <w:tcPr>
            <w:tcW w:w="579" w:type="pct"/>
            <w:vAlign w:val="bottom"/>
          </w:tcPr>
          <w:p w14:paraId="4E7C2BFD" w14:textId="77777777" w:rsidR="0009555C" w:rsidRPr="0009555C" w:rsidRDefault="0009555C" w:rsidP="00C92BD7">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18 8</w:t>
            </w:r>
            <w:r w:rsidR="00C92BD7">
              <w:rPr>
                <w:rFonts w:ascii="Times New Roman" w:eastAsia="Times New Roman" w:hAnsi="Times New Roman" w:cs="Times New Roman"/>
                <w:sz w:val="24"/>
                <w:szCs w:val="24"/>
                <w:lang w:eastAsia="ru-RU"/>
              </w:rPr>
              <w:t>5</w:t>
            </w:r>
            <w:r w:rsidRPr="0009555C">
              <w:rPr>
                <w:rFonts w:ascii="Times New Roman" w:eastAsia="Times New Roman" w:hAnsi="Times New Roman" w:cs="Times New Roman"/>
                <w:sz w:val="24"/>
                <w:szCs w:val="24"/>
                <w:lang w:eastAsia="ru-RU"/>
              </w:rPr>
              <w:t>1,</w:t>
            </w:r>
            <w:r w:rsidR="00C92BD7">
              <w:rPr>
                <w:rFonts w:ascii="Times New Roman" w:eastAsia="Times New Roman" w:hAnsi="Times New Roman" w:cs="Times New Roman"/>
                <w:sz w:val="24"/>
                <w:szCs w:val="24"/>
                <w:lang w:eastAsia="ru-RU"/>
              </w:rPr>
              <w:t>0</w:t>
            </w:r>
          </w:p>
        </w:tc>
        <w:tc>
          <w:tcPr>
            <w:tcW w:w="816" w:type="pct"/>
            <w:vAlign w:val="bottom"/>
          </w:tcPr>
          <w:p w14:paraId="0CB07ABB" w14:textId="77777777"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498,0</w:t>
            </w:r>
          </w:p>
        </w:tc>
        <w:tc>
          <w:tcPr>
            <w:tcW w:w="1162" w:type="pct"/>
            <w:vAlign w:val="bottom"/>
          </w:tcPr>
          <w:p w14:paraId="69610809" w14:textId="77777777"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199,0</w:t>
            </w:r>
          </w:p>
        </w:tc>
        <w:tc>
          <w:tcPr>
            <w:tcW w:w="669" w:type="pct"/>
            <w:vAlign w:val="bottom"/>
          </w:tcPr>
          <w:p w14:paraId="4A7E32A3" w14:textId="77777777"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2 821,3</w:t>
            </w:r>
          </w:p>
        </w:tc>
      </w:tr>
      <w:tr w:rsidR="0009555C" w:rsidRPr="0009555C" w14:paraId="6E28FC4A" w14:textId="77777777" w:rsidTr="00944CB1">
        <w:trPr>
          <w:jc w:val="center"/>
        </w:trPr>
        <w:tc>
          <w:tcPr>
            <w:tcW w:w="950" w:type="pct"/>
            <w:tcBorders>
              <w:top w:val="single" w:sz="4" w:space="0" w:color="auto"/>
            </w:tcBorders>
            <w:vAlign w:val="center"/>
          </w:tcPr>
          <w:p w14:paraId="751D6386" w14:textId="77777777"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трех и более детей</w:t>
            </w:r>
          </w:p>
        </w:tc>
        <w:tc>
          <w:tcPr>
            <w:tcW w:w="824" w:type="pct"/>
            <w:vAlign w:val="bottom"/>
          </w:tcPr>
          <w:p w14:paraId="038002D2" w14:textId="77777777" w:rsidR="0009555C" w:rsidRPr="0009555C" w:rsidRDefault="0009555C" w:rsidP="00C92BD7">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15 72</w:t>
            </w:r>
            <w:r w:rsidR="00C92BD7">
              <w:rPr>
                <w:rFonts w:ascii="Times New Roman" w:eastAsia="Times New Roman" w:hAnsi="Times New Roman" w:cs="Times New Roman"/>
                <w:sz w:val="24"/>
                <w:szCs w:val="24"/>
                <w:lang w:eastAsia="ru-RU"/>
              </w:rPr>
              <w:t>2</w:t>
            </w:r>
            <w:r w:rsidRPr="0009555C">
              <w:rPr>
                <w:rFonts w:ascii="Times New Roman" w:eastAsia="Times New Roman" w:hAnsi="Times New Roman" w:cs="Times New Roman"/>
                <w:sz w:val="24"/>
                <w:szCs w:val="24"/>
                <w:lang w:eastAsia="ru-RU"/>
              </w:rPr>
              <w:t>,</w:t>
            </w:r>
            <w:r w:rsidR="00C92BD7">
              <w:rPr>
                <w:rFonts w:ascii="Times New Roman" w:eastAsia="Times New Roman" w:hAnsi="Times New Roman" w:cs="Times New Roman"/>
                <w:sz w:val="24"/>
                <w:szCs w:val="24"/>
                <w:lang w:eastAsia="ru-RU"/>
              </w:rPr>
              <w:t>1</w:t>
            </w:r>
          </w:p>
        </w:tc>
        <w:tc>
          <w:tcPr>
            <w:tcW w:w="579" w:type="pct"/>
            <w:vAlign w:val="bottom"/>
          </w:tcPr>
          <w:p w14:paraId="60F8DE92" w14:textId="77777777" w:rsidR="0009555C" w:rsidRPr="0009555C" w:rsidRDefault="0009555C" w:rsidP="00C92BD7">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12 8</w:t>
            </w:r>
            <w:r w:rsidR="00C92BD7">
              <w:rPr>
                <w:rFonts w:ascii="Times New Roman" w:eastAsia="Times New Roman" w:hAnsi="Times New Roman" w:cs="Times New Roman"/>
                <w:sz w:val="24"/>
                <w:szCs w:val="24"/>
                <w:lang w:eastAsia="ru-RU"/>
              </w:rPr>
              <w:t>59</w:t>
            </w:r>
            <w:r w:rsidRPr="0009555C">
              <w:rPr>
                <w:rFonts w:ascii="Times New Roman" w:eastAsia="Times New Roman" w:hAnsi="Times New Roman" w:cs="Times New Roman"/>
                <w:sz w:val="24"/>
                <w:szCs w:val="24"/>
                <w:lang w:eastAsia="ru-RU"/>
              </w:rPr>
              <w:t>,</w:t>
            </w:r>
            <w:r w:rsidR="00C92BD7">
              <w:rPr>
                <w:rFonts w:ascii="Times New Roman" w:eastAsia="Times New Roman" w:hAnsi="Times New Roman" w:cs="Times New Roman"/>
                <w:sz w:val="24"/>
                <w:szCs w:val="24"/>
                <w:lang w:eastAsia="ru-RU"/>
              </w:rPr>
              <w:t>3</w:t>
            </w:r>
          </w:p>
        </w:tc>
        <w:tc>
          <w:tcPr>
            <w:tcW w:w="816" w:type="pct"/>
            <w:vAlign w:val="bottom"/>
          </w:tcPr>
          <w:p w14:paraId="467F6E4A" w14:textId="77777777"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635,3</w:t>
            </w:r>
          </w:p>
        </w:tc>
        <w:tc>
          <w:tcPr>
            <w:tcW w:w="1162" w:type="pct"/>
            <w:vAlign w:val="bottom"/>
          </w:tcPr>
          <w:p w14:paraId="21B6F243" w14:textId="77777777"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125,2</w:t>
            </w:r>
          </w:p>
        </w:tc>
        <w:tc>
          <w:tcPr>
            <w:tcW w:w="669" w:type="pct"/>
            <w:vAlign w:val="bottom"/>
          </w:tcPr>
          <w:p w14:paraId="0278C4F7" w14:textId="77777777"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2 102,3</w:t>
            </w:r>
          </w:p>
        </w:tc>
      </w:tr>
      <w:tr w:rsidR="0009555C" w:rsidRPr="0009555C" w14:paraId="45DCC0A3" w14:textId="77777777" w:rsidTr="00944CB1">
        <w:trPr>
          <w:jc w:val="center"/>
        </w:trPr>
        <w:tc>
          <w:tcPr>
            <w:tcW w:w="5000" w:type="pct"/>
            <w:gridSpan w:val="6"/>
            <w:vAlign w:val="bottom"/>
          </w:tcPr>
          <w:p w14:paraId="35638471" w14:textId="77777777" w:rsidR="0009555C" w:rsidRPr="0009555C" w:rsidRDefault="0009555C" w:rsidP="0009555C">
            <w:pPr>
              <w:spacing w:before="60" w:after="0" w:line="240" w:lineRule="auto"/>
              <w:ind w:right="340"/>
              <w:jc w:val="center"/>
              <w:rPr>
                <w:rFonts w:ascii="Times New Roman" w:eastAsia="Times New Roman" w:hAnsi="Times New Roman" w:cs="Times New Roman"/>
                <w:b/>
                <w:sz w:val="24"/>
                <w:szCs w:val="24"/>
                <w:lang w:eastAsia="ru-RU"/>
              </w:rPr>
            </w:pPr>
            <w:r w:rsidRPr="0009555C">
              <w:rPr>
                <w:rFonts w:ascii="Times New Roman" w:eastAsia="Times New Roman" w:hAnsi="Times New Roman" w:cs="Times New Roman"/>
                <w:b/>
                <w:sz w:val="24"/>
                <w:szCs w:val="24"/>
                <w:lang w:eastAsia="ru-RU"/>
              </w:rPr>
              <w:t>2020 г.</w:t>
            </w:r>
          </w:p>
        </w:tc>
      </w:tr>
      <w:tr w:rsidR="0009555C" w:rsidRPr="0009555C" w14:paraId="26A6D1B5" w14:textId="77777777" w:rsidTr="00944CB1">
        <w:trPr>
          <w:jc w:val="center"/>
        </w:trPr>
        <w:tc>
          <w:tcPr>
            <w:tcW w:w="950" w:type="pct"/>
            <w:vAlign w:val="center"/>
          </w:tcPr>
          <w:p w14:paraId="40D70209" w14:textId="77777777"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Домашние хозяйства с детьми в возрасте до 16 лет, имеющие:</w:t>
            </w:r>
          </w:p>
          <w:p w14:paraId="1375DE6D" w14:textId="77777777"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одного ребенка</w:t>
            </w:r>
          </w:p>
        </w:tc>
        <w:tc>
          <w:tcPr>
            <w:tcW w:w="824" w:type="pct"/>
            <w:vAlign w:val="bottom"/>
          </w:tcPr>
          <w:p w14:paraId="2BE2B631" w14:textId="77777777" w:rsidR="0009555C" w:rsidRPr="0009555C" w:rsidRDefault="0009555C" w:rsidP="004F42D0">
            <w:pPr>
              <w:spacing w:after="0" w:line="240" w:lineRule="auto"/>
              <w:jc w:val="center"/>
              <w:rPr>
                <w:rFonts w:ascii="Times New Roman" w:hAnsi="Times New Roman"/>
                <w:sz w:val="24"/>
                <w:szCs w:val="24"/>
              </w:rPr>
            </w:pPr>
            <w:r w:rsidRPr="0009555C">
              <w:rPr>
                <w:rFonts w:ascii="Times New Roman" w:hAnsi="Times New Roman"/>
                <w:sz w:val="24"/>
                <w:szCs w:val="24"/>
              </w:rPr>
              <w:t>27 4</w:t>
            </w:r>
            <w:r w:rsidR="004F42D0">
              <w:rPr>
                <w:rFonts w:ascii="Times New Roman" w:hAnsi="Times New Roman"/>
                <w:sz w:val="24"/>
                <w:szCs w:val="24"/>
              </w:rPr>
              <w:t>34</w:t>
            </w:r>
            <w:r w:rsidRPr="0009555C">
              <w:rPr>
                <w:rFonts w:ascii="Times New Roman" w:hAnsi="Times New Roman"/>
                <w:sz w:val="24"/>
                <w:szCs w:val="24"/>
              </w:rPr>
              <w:t>,</w:t>
            </w:r>
            <w:r w:rsidR="004F42D0">
              <w:rPr>
                <w:rFonts w:ascii="Times New Roman" w:hAnsi="Times New Roman"/>
                <w:sz w:val="24"/>
                <w:szCs w:val="24"/>
              </w:rPr>
              <w:t>4</w:t>
            </w:r>
          </w:p>
        </w:tc>
        <w:tc>
          <w:tcPr>
            <w:tcW w:w="579" w:type="pct"/>
            <w:vAlign w:val="bottom"/>
          </w:tcPr>
          <w:p w14:paraId="3374514A" w14:textId="77777777" w:rsidR="0009555C" w:rsidRPr="0009555C" w:rsidRDefault="0009555C" w:rsidP="004F42D0">
            <w:pPr>
              <w:spacing w:after="0" w:line="240" w:lineRule="auto"/>
              <w:jc w:val="center"/>
              <w:rPr>
                <w:rFonts w:ascii="Times New Roman" w:hAnsi="Times New Roman"/>
                <w:sz w:val="24"/>
                <w:szCs w:val="24"/>
              </w:rPr>
            </w:pPr>
            <w:r w:rsidRPr="0009555C">
              <w:rPr>
                <w:rFonts w:ascii="Times New Roman" w:hAnsi="Times New Roman"/>
                <w:sz w:val="24"/>
                <w:szCs w:val="24"/>
              </w:rPr>
              <w:t>22 9</w:t>
            </w:r>
            <w:r w:rsidR="004F42D0">
              <w:rPr>
                <w:rFonts w:ascii="Times New Roman" w:hAnsi="Times New Roman"/>
                <w:sz w:val="24"/>
                <w:szCs w:val="24"/>
              </w:rPr>
              <w:t>15</w:t>
            </w:r>
            <w:r w:rsidRPr="0009555C">
              <w:rPr>
                <w:rFonts w:ascii="Times New Roman" w:hAnsi="Times New Roman"/>
                <w:sz w:val="24"/>
                <w:szCs w:val="24"/>
              </w:rPr>
              <w:t>,</w:t>
            </w:r>
            <w:r w:rsidR="004F42D0">
              <w:rPr>
                <w:rFonts w:ascii="Times New Roman" w:hAnsi="Times New Roman"/>
                <w:sz w:val="24"/>
                <w:szCs w:val="24"/>
              </w:rPr>
              <w:t>6</w:t>
            </w:r>
          </w:p>
        </w:tc>
        <w:tc>
          <w:tcPr>
            <w:tcW w:w="816" w:type="pct"/>
            <w:vAlign w:val="bottom"/>
          </w:tcPr>
          <w:p w14:paraId="105F5568" w14:textId="77777777" w:rsidR="0009555C" w:rsidRPr="0009555C" w:rsidRDefault="0009555C" w:rsidP="005A24F5">
            <w:pPr>
              <w:spacing w:after="0" w:line="240" w:lineRule="auto"/>
              <w:jc w:val="center"/>
              <w:rPr>
                <w:rFonts w:ascii="Times New Roman" w:hAnsi="Times New Roman"/>
                <w:sz w:val="24"/>
                <w:szCs w:val="24"/>
              </w:rPr>
            </w:pPr>
            <w:r w:rsidRPr="0009555C">
              <w:rPr>
                <w:rFonts w:ascii="Times New Roman" w:hAnsi="Times New Roman"/>
                <w:sz w:val="24"/>
                <w:szCs w:val="24"/>
              </w:rPr>
              <w:t>519,6</w:t>
            </w:r>
          </w:p>
        </w:tc>
        <w:tc>
          <w:tcPr>
            <w:tcW w:w="1162" w:type="pct"/>
            <w:vAlign w:val="bottom"/>
          </w:tcPr>
          <w:p w14:paraId="345C423C" w14:textId="77777777" w:rsidR="0009555C" w:rsidRPr="0009555C" w:rsidRDefault="0009555C" w:rsidP="005A24F5">
            <w:pPr>
              <w:spacing w:after="0" w:line="240" w:lineRule="auto"/>
              <w:jc w:val="center"/>
              <w:rPr>
                <w:rFonts w:ascii="Times New Roman" w:hAnsi="Times New Roman"/>
                <w:sz w:val="24"/>
                <w:szCs w:val="24"/>
              </w:rPr>
            </w:pPr>
            <w:r w:rsidRPr="0009555C">
              <w:rPr>
                <w:rFonts w:ascii="Times New Roman" w:hAnsi="Times New Roman"/>
                <w:sz w:val="24"/>
                <w:szCs w:val="24"/>
              </w:rPr>
              <w:t>195,0</w:t>
            </w:r>
          </w:p>
        </w:tc>
        <w:tc>
          <w:tcPr>
            <w:tcW w:w="669" w:type="pct"/>
            <w:vAlign w:val="bottom"/>
          </w:tcPr>
          <w:p w14:paraId="5265CE43" w14:textId="77777777" w:rsidR="0009555C" w:rsidRPr="0009555C" w:rsidRDefault="0009555C" w:rsidP="005A24F5">
            <w:pPr>
              <w:spacing w:after="0" w:line="240" w:lineRule="auto"/>
              <w:jc w:val="center"/>
              <w:rPr>
                <w:rFonts w:ascii="Times New Roman" w:hAnsi="Times New Roman"/>
                <w:sz w:val="24"/>
                <w:szCs w:val="24"/>
              </w:rPr>
            </w:pPr>
            <w:r w:rsidRPr="0009555C">
              <w:rPr>
                <w:rFonts w:ascii="Times New Roman" w:hAnsi="Times New Roman"/>
                <w:sz w:val="24"/>
                <w:szCs w:val="24"/>
              </w:rPr>
              <w:t>3 804,2</w:t>
            </w:r>
          </w:p>
        </w:tc>
      </w:tr>
      <w:tr w:rsidR="0009555C" w:rsidRPr="0009555C" w14:paraId="0172EE42" w14:textId="77777777" w:rsidTr="00944CB1">
        <w:trPr>
          <w:jc w:val="center"/>
        </w:trPr>
        <w:tc>
          <w:tcPr>
            <w:tcW w:w="950" w:type="pct"/>
            <w:vAlign w:val="center"/>
          </w:tcPr>
          <w:p w14:paraId="68C7DFC6" w14:textId="77777777"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двух детей</w:t>
            </w:r>
          </w:p>
        </w:tc>
        <w:tc>
          <w:tcPr>
            <w:tcW w:w="824" w:type="pct"/>
            <w:vAlign w:val="bottom"/>
          </w:tcPr>
          <w:p w14:paraId="56E092A8" w14:textId="77777777" w:rsidR="0009555C" w:rsidRPr="0009555C" w:rsidRDefault="0009555C" w:rsidP="004F42D0">
            <w:pPr>
              <w:spacing w:after="0" w:line="240" w:lineRule="auto"/>
              <w:jc w:val="center"/>
              <w:rPr>
                <w:rFonts w:ascii="Times New Roman" w:hAnsi="Times New Roman"/>
                <w:sz w:val="24"/>
                <w:szCs w:val="24"/>
              </w:rPr>
            </w:pPr>
            <w:r w:rsidRPr="0009555C">
              <w:rPr>
                <w:rFonts w:ascii="Times New Roman" w:hAnsi="Times New Roman"/>
                <w:sz w:val="24"/>
                <w:szCs w:val="24"/>
              </w:rPr>
              <w:t>23 9</w:t>
            </w:r>
            <w:r w:rsidR="004F42D0">
              <w:rPr>
                <w:rFonts w:ascii="Times New Roman" w:hAnsi="Times New Roman"/>
                <w:sz w:val="24"/>
                <w:szCs w:val="24"/>
              </w:rPr>
              <w:t>31</w:t>
            </w:r>
            <w:r w:rsidRPr="0009555C">
              <w:rPr>
                <w:rFonts w:ascii="Times New Roman" w:hAnsi="Times New Roman"/>
                <w:sz w:val="24"/>
                <w:szCs w:val="24"/>
              </w:rPr>
              <w:t>,</w:t>
            </w:r>
            <w:r w:rsidR="004F42D0">
              <w:rPr>
                <w:rFonts w:ascii="Times New Roman" w:hAnsi="Times New Roman"/>
                <w:sz w:val="24"/>
                <w:szCs w:val="24"/>
              </w:rPr>
              <w:t>4</w:t>
            </w:r>
          </w:p>
        </w:tc>
        <w:tc>
          <w:tcPr>
            <w:tcW w:w="579" w:type="pct"/>
            <w:vAlign w:val="bottom"/>
          </w:tcPr>
          <w:p w14:paraId="00672E2C" w14:textId="77777777" w:rsidR="0009555C" w:rsidRPr="0009555C" w:rsidRDefault="004F42D0" w:rsidP="004F42D0">
            <w:pPr>
              <w:spacing w:after="0" w:line="240" w:lineRule="auto"/>
              <w:jc w:val="center"/>
              <w:rPr>
                <w:rFonts w:ascii="Times New Roman" w:hAnsi="Times New Roman"/>
                <w:sz w:val="24"/>
                <w:szCs w:val="24"/>
              </w:rPr>
            </w:pPr>
            <w:r>
              <w:rPr>
                <w:rFonts w:ascii="Times New Roman" w:hAnsi="Times New Roman"/>
                <w:sz w:val="24"/>
                <w:szCs w:val="24"/>
              </w:rPr>
              <w:t>19 896</w:t>
            </w:r>
            <w:r w:rsidR="0009555C" w:rsidRPr="0009555C">
              <w:rPr>
                <w:rFonts w:ascii="Times New Roman" w:hAnsi="Times New Roman"/>
                <w:sz w:val="24"/>
                <w:szCs w:val="24"/>
              </w:rPr>
              <w:t>,</w:t>
            </w:r>
            <w:r>
              <w:rPr>
                <w:rFonts w:ascii="Times New Roman" w:hAnsi="Times New Roman"/>
                <w:sz w:val="24"/>
                <w:szCs w:val="24"/>
              </w:rPr>
              <w:t>3</w:t>
            </w:r>
          </w:p>
        </w:tc>
        <w:tc>
          <w:tcPr>
            <w:tcW w:w="816" w:type="pct"/>
            <w:vAlign w:val="bottom"/>
          </w:tcPr>
          <w:p w14:paraId="1162FA1F" w14:textId="77777777" w:rsidR="0009555C" w:rsidRPr="0009555C" w:rsidRDefault="0009555C" w:rsidP="005A24F5">
            <w:pPr>
              <w:spacing w:after="0" w:line="240" w:lineRule="auto"/>
              <w:jc w:val="center"/>
              <w:rPr>
                <w:rFonts w:ascii="Times New Roman" w:hAnsi="Times New Roman"/>
                <w:sz w:val="24"/>
                <w:szCs w:val="24"/>
              </w:rPr>
            </w:pPr>
            <w:r w:rsidRPr="0009555C">
              <w:rPr>
                <w:rFonts w:ascii="Times New Roman" w:hAnsi="Times New Roman"/>
                <w:sz w:val="24"/>
                <w:szCs w:val="24"/>
              </w:rPr>
              <w:t>507,8</w:t>
            </w:r>
          </w:p>
        </w:tc>
        <w:tc>
          <w:tcPr>
            <w:tcW w:w="1162" w:type="pct"/>
            <w:vAlign w:val="bottom"/>
          </w:tcPr>
          <w:p w14:paraId="1D222A38" w14:textId="77777777" w:rsidR="0009555C" w:rsidRPr="0009555C" w:rsidRDefault="0009555C" w:rsidP="005A24F5">
            <w:pPr>
              <w:spacing w:after="0" w:line="240" w:lineRule="auto"/>
              <w:jc w:val="center"/>
              <w:rPr>
                <w:rFonts w:ascii="Times New Roman" w:hAnsi="Times New Roman"/>
                <w:sz w:val="24"/>
                <w:szCs w:val="24"/>
              </w:rPr>
            </w:pPr>
            <w:r w:rsidRPr="0009555C">
              <w:rPr>
                <w:rFonts w:ascii="Times New Roman" w:hAnsi="Times New Roman"/>
                <w:sz w:val="24"/>
                <w:szCs w:val="24"/>
              </w:rPr>
              <w:t>175,0</w:t>
            </w:r>
          </w:p>
        </w:tc>
        <w:tc>
          <w:tcPr>
            <w:tcW w:w="669" w:type="pct"/>
            <w:vAlign w:val="bottom"/>
          </w:tcPr>
          <w:p w14:paraId="42BA559B" w14:textId="77777777" w:rsidR="0009555C" w:rsidRPr="0009555C" w:rsidRDefault="0009555C" w:rsidP="005A24F5">
            <w:pPr>
              <w:spacing w:after="0" w:line="240" w:lineRule="auto"/>
              <w:jc w:val="center"/>
              <w:rPr>
                <w:rFonts w:ascii="Times New Roman" w:hAnsi="Times New Roman"/>
                <w:sz w:val="24"/>
                <w:szCs w:val="24"/>
              </w:rPr>
            </w:pPr>
            <w:r w:rsidRPr="0009555C">
              <w:rPr>
                <w:rFonts w:ascii="Times New Roman" w:hAnsi="Times New Roman"/>
                <w:sz w:val="24"/>
                <w:szCs w:val="24"/>
              </w:rPr>
              <w:t>3 352,3</w:t>
            </w:r>
          </w:p>
        </w:tc>
      </w:tr>
      <w:tr w:rsidR="0009555C" w:rsidRPr="00BD5A90" w14:paraId="5930B982" w14:textId="77777777" w:rsidTr="00944CB1">
        <w:trPr>
          <w:jc w:val="center"/>
        </w:trPr>
        <w:tc>
          <w:tcPr>
            <w:tcW w:w="950" w:type="pct"/>
            <w:vAlign w:val="center"/>
          </w:tcPr>
          <w:p w14:paraId="312B1060" w14:textId="77777777"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трех и более детей</w:t>
            </w:r>
          </w:p>
        </w:tc>
        <w:tc>
          <w:tcPr>
            <w:tcW w:w="824" w:type="pct"/>
            <w:vAlign w:val="bottom"/>
          </w:tcPr>
          <w:p w14:paraId="5C2007C5" w14:textId="77777777" w:rsidR="0009555C" w:rsidRPr="0009555C" w:rsidRDefault="0009555C" w:rsidP="00920BE2">
            <w:pPr>
              <w:spacing w:after="0" w:line="240" w:lineRule="auto"/>
              <w:jc w:val="center"/>
              <w:rPr>
                <w:rFonts w:ascii="Times New Roman" w:hAnsi="Times New Roman"/>
                <w:sz w:val="24"/>
                <w:szCs w:val="24"/>
              </w:rPr>
            </w:pPr>
            <w:r w:rsidRPr="0009555C">
              <w:rPr>
                <w:rFonts w:ascii="Times New Roman" w:hAnsi="Times New Roman"/>
                <w:sz w:val="24"/>
                <w:szCs w:val="24"/>
              </w:rPr>
              <w:t xml:space="preserve">16 </w:t>
            </w:r>
            <w:r w:rsidR="00920BE2">
              <w:rPr>
                <w:rFonts w:ascii="Times New Roman" w:hAnsi="Times New Roman"/>
                <w:sz w:val="24"/>
                <w:szCs w:val="24"/>
              </w:rPr>
              <w:t>418</w:t>
            </w:r>
            <w:r w:rsidRPr="0009555C">
              <w:rPr>
                <w:rFonts w:ascii="Times New Roman" w:hAnsi="Times New Roman"/>
                <w:sz w:val="24"/>
                <w:szCs w:val="24"/>
              </w:rPr>
              <w:t>,</w:t>
            </w:r>
            <w:r w:rsidR="00920BE2">
              <w:rPr>
                <w:rFonts w:ascii="Times New Roman" w:hAnsi="Times New Roman"/>
                <w:sz w:val="24"/>
                <w:szCs w:val="24"/>
              </w:rPr>
              <w:t>5</w:t>
            </w:r>
          </w:p>
        </w:tc>
        <w:tc>
          <w:tcPr>
            <w:tcW w:w="579" w:type="pct"/>
            <w:vAlign w:val="bottom"/>
          </w:tcPr>
          <w:p w14:paraId="53D6EE30" w14:textId="77777777" w:rsidR="0009555C" w:rsidRPr="0009555C" w:rsidRDefault="0009555C" w:rsidP="00920BE2">
            <w:pPr>
              <w:spacing w:after="0" w:line="240" w:lineRule="auto"/>
              <w:jc w:val="center"/>
              <w:rPr>
                <w:rFonts w:ascii="Times New Roman" w:hAnsi="Times New Roman"/>
                <w:sz w:val="24"/>
                <w:szCs w:val="24"/>
              </w:rPr>
            </w:pPr>
            <w:r w:rsidRPr="0009555C">
              <w:rPr>
                <w:rFonts w:ascii="Times New Roman" w:hAnsi="Times New Roman"/>
                <w:sz w:val="24"/>
                <w:szCs w:val="24"/>
              </w:rPr>
              <w:t xml:space="preserve">13 </w:t>
            </w:r>
            <w:r w:rsidR="00920BE2">
              <w:rPr>
                <w:rFonts w:ascii="Times New Roman" w:hAnsi="Times New Roman"/>
                <w:sz w:val="24"/>
                <w:szCs w:val="24"/>
              </w:rPr>
              <w:t>423</w:t>
            </w:r>
            <w:r w:rsidRPr="0009555C">
              <w:rPr>
                <w:rFonts w:ascii="Times New Roman" w:hAnsi="Times New Roman"/>
                <w:sz w:val="24"/>
                <w:szCs w:val="24"/>
              </w:rPr>
              <w:t>,</w:t>
            </w:r>
            <w:r w:rsidR="00920BE2">
              <w:rPr>
                <w:rFonts w:ascii="Times New Roman" w:hAnsi="Times New Roman"/>
                <w:sz w:val="24"/>
                <w:szCs w:val="24"/>
              </w:rPr>
              <w:t>7</w:t>
            </w:r>
          </w:p>
        </w:tc>
        <w:tc>
          <w:tcPr>
            <w:tcW w:w="816" w:type="pct"/>
            <w:vAlign w:val="bottom"/>
          </w:tcPr>
          <w:p w14:paraId="777C92E2" w14:textId="77777777" w:rsidR="0009555C" w:rsidRPr="0009555C" w:rsidRDefault="0009555C" w:rsidP="005A24F5">
            <w:pPr>
              <w:spacing w:after="0" w:line="240" w:lineRule="auto"/>
              <w:jc w:val="center"/>
              <w:rPr>
                <w:rFonts w:ascii="Times New Roman" w:hAnsi="Times New Roman"/>
                <w:sz w:val="24"/>
                <w:szCs w:val="24"/>
              </w:rPr>
            </w:pPr>
            <w:r w:rsidRPr="0009555C">
              <w:rPr>
                <w:rFonts w:ascii="Times New Roman" w:hAnsi="Times New Roman"/>
                <w:sz w:val="24"/>
                <w:szCs w:val="24"/>
              </w:rPr>
              <w:t>681,6</w:t>
            </w:r>
          </w:p>
        </w:tc>
        <w:tc>
          <w:tcPr>
            <w:tcW w:w="1162" w:type="pct"/>
            <w:vAlign w:val="bottom"/>
          </w:tcPr>
          <w:p w14:paraId="011BD414" w14:textId="77777777" w:rsidR="0009555C" w:rsidRPr="0009555C" w:rsidRDefault="0009555C" w:rsidP="005A24F5">
            <w:pPr>
              <w:spacing w:after="0" w:line="240" w:lineRule="auto"/>
              <w:jc w:val="center"/>
              <w:rPr>
                <w:rFonts w:ascii="Times New Roman" w:hAnsi="Times New Roman"/>
                <w:sz w:val="24"/>
                <w:szCs w:val="24"/>
              </w:rPr>
            </w:pPr>
            <w:r w:rsidRPr="0009555C">
              <w:rPr>
                <w:rFonts w:ascii="Times New Roman" w:hAnsi="Times New Roman"/>
                <w:sz w:val="24"/>
                <w:szCs w:val="24"/>
              </w:rPr>
              <w:t>137,5</w:t>
            </w:r>
          </w:p>
        </w:tc>
        <w:tc>
          <w:tcPr>
            <w:tcW w:w="669" w:type="pct"/>
            <w:vAlign w:val="bottom"/>
          </w:tcPr>
          <w:p w14:paraId="23A3AD01" w14:textId="77777777" w:rsidR="0009555C" w:rsidRPr="0009555C" w:rsidRDefault="0009555C" w:rsidP="005A24F5">
            <w:pPr>
              <w:spacing w:after="0" w:line="240" w:lineRule="auto"/>
              <w:jc w:val="center"/>
              <w:rPr>
                <w:rFonts w:ascii="Times New Roman" w:hAnsi="Times New Roman"/>
                <w:sz w:val="24"/>
                <w:szCs w:val="24"/>
              </w:rPr>
            </w:pPr>
            <w:r w:rsidRPr="0009555C">
              <w:rPr>
                <w:rFonts w:ascii="Times New Roman" w:hAnsi="Times New Roman"/>
                <w:sz w:val="24"/>
                <w:szCs w:val="24"/>
              </w:rPr>
              <w:t>2 175,7</w:t>
            </w:r>
          </w:p>
        </w:tc>
      </w:tr>
      <w:tr w:rsidR="003057A7" w:rsidRPr="00BD5A90" w14:paraId="4AB6BF23" w14:textId="77777777" w:rsidTr="003057A7">
        <w:trPr>
          <w:jc w:val="center"/>
        </w:trPr>
        <w:tc>
          <w:tcPr>
            <w:tcW w:w="5000" w:type="pct"/>
            <w:gridSpan w:val="6"/>
            <w:vAlign w:val="center"/>
          </w:tcPr>
          <w:p w14:paraId="3D4993C5" w14:textId="77777777" w:rsidR="003057A7" w:rsidRPr="0009555C" w:rsidRDefault="003057A7" w:rsidP="003057A7">
            <w:pPr>
              <w:spacing w:before="60" w:after="0" w:line="240" w:lineRule="auto"/>
              <w:ind w:right="340"/>
              <w:jc w:val="center"/>
              <w:rPr>
                <w:rFonts w:ascii="Times New Roman" w:hAnsi="Times New Roman"/>
                <w:sz w:val="24"/>
                <w:szCs w:val="24"/>
              </w:rPr>
            </w:pPr>
            <w:r w:rsidRPr="003057A7">
              <w:rPr>
                <w:rFonts w:ascii="Times New Roman" w:eastAsia="Times New Roman" w:hAnsi="Times New Roman" w:cs="Times New Roman"/>
                <w:b/>
                <w:sz w:val="24"/>
                <w:szCs w:val="24"/>
                <w:lang w:eastAsia="ru-RU"/>
              </w:rPr>
              <w:t>2021 г.</w:t>
            </w:r>
          </w:p>
        </w:tc>
      </w:tr>
      <w:tr w:rsidR="003057A7" w:rsidRPr="00BD5A90" w14:paraId="795A3970" w14:textId="77777777" w:rsidTr="00944CB1">
        <w:trPr>
          <w:jc w:val="center"/>
        </w:trPr>
        <w:tc>
          <w:tcPr>
            <w:tcW w:w="950" w:type="pct"/>
            <w:vAlign w:val="center"/>
          </w:tcPr>
          <w:p w14:paraId="5FCF81FF" w14:textId="77777777" w:rsidR="003057A7" w:rsidRPr="003057A7" w:rsidRDefault="003057A7" w:rsidP="003057A7">
            <w:pPr>
              <w:spacing w:after="0" w:line="240" w:lineRule="auto"/>
              <w:rPr>
                <w:rFonts w:ascii="Times New Roman" w:eastAsia="Times New Roman" w:hAnsi="Times New Roman" w:cs="Times New Roman"/>
                <w:sz w:val="24"/>
                <w:szCs w:val="24"/>
                <w:lang w:eastAsia="ru-RU"/>
              </w:rPr>
            </w:pPr>
            <w:r w:rsidRPr="003057A7">
              <w:rPr>
                <w:rFonts w:ascii="Times New Roman" w:eastAsia="Times New Roman" w:hAnsi="Times New Roman" w:cs="Times New Roman"/>
                <w:sz w:val="24"/>
                <w:szCs w:val="24"/>
                <w:lang w:eastAsia="ru-RU"/>
              </w:rPr>
              <w:t>Домашние хозяйства с детьми в возрасте до 16 лет, имеющие:</w:t>
            </w:r>
          </w:p>
          <w:p w14:paraId="36BAFD23" w14:textId="77777777" w:rsidR="003057A7" w:rsidRPr="0009555C" w:rsidRDefault="003057A7" w:rsidP="003057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одного ребенка</w:t>
            </w:r>
          </w:p>
        </w:tc>
        <w:tc>
          <w:tcPr>
            <w:tcW w:w="824" w:type="pct"/>
            <w:vAlign w:val="bottom"/>
          </w:tcPr>
          <w:p w14:paraId="3E8DF7F7" w14:textId="77777777" w:rsidR="003057A7" w:rsidRPr="006C2427" w:rsidRDefault="003057A7" w:rsidP="003057A7">
            <w:pPr>
              <w:spacing w:after="0" w:line="240" w:lineRule="auto"/>
              <w:jc w:val="center"/>
              <w:rPr>
                <w:rFonts w:ascii="Times New Roman" w:hAnsi="Times New Roman"/>
                <w:color w:val="000000" w:themeColor="text1"/>
                <w:sz w:val="24"/>
                <w:szCs w:val="24"/>
              </w:rPr>
            </w:pPr>
            <w:r w:rsidRPr="006C2427">
              <w:rPr>
                <w:rFonts w:ascii="Times New Roman" w:hAnsi="Times New Roman"/>
                <w:color w:val="000000" w:themeColor="text1"/>
                <w:sz w:val="24"/>
                <w:szCs w:val="24"/>
              </w:rPr>
              <w:t>29 674,7</w:t>
            </w:r>
          </w:p>
        </w:tc>
        <w:tc>
          <w:tcPr>
            <w:tcW w:w="579" w:type="pct"/>
            <w:vAlign w:val="bottom"/>
          </w:tcPr>
          <w:p w14:paraId="676E86CF" w14:textId="77777777" w:rsidR="003057A7" w:rsidRPr="006C2427" w:rsidRDefault="003057A7" w:rsidP="003057A7">
            <w:pPr>
              <w:spacing w:after="0" w:line="240" w:lineRule="auto"/>
              <w:jc w:val="center"/>
              <w:rPr>
                <w:rFonts w:ascii="Times New Roman" w:hAnsi="Times New Roman"/>
                <w:color w:val="000000" w:themeColor="text1"/>
                <w:sz w:val="24"/>
                <w:szCs w:val="24"/>
              </w:rPr>
            </w:pPr>
            <w:r w:rsidRPr="006C2427">
              <w:rPr>
                <w:rFonts w:ascii="Times New Roman" w:hAnsi="Times New Roman"/>
                <w:color w:val="000000" w:themeColor="text1"/>
                <w:sz w:val="24"/>
                <w:szCs w:val="24"/>
              </w:rPr>
              <w:t>25 381,2</w:t>
            </w:r>
          </w:p>
        </w:tc>
        <w:tc>
          <w:tcPr>
            <w:tcW w:w="816" w:type="pct"/>
            <w:vAlign w:val="bottom"/>
          </w:tcPr>
          <w:p w14:paraId="1636A95D" w14:textId="77777777" w:rsidR="003057A7" w:rsidRPr="006C2427" w:rsidRDefault="003057A7" w:rsidP="003057A7">
            <w:pPr>
              <w:spacing w:after="0" w:line="240" w:lineRule="auto"/>
              <w:jc w:val="center"/>
              <w:rPr>
                <w:rFonts w:ascii="Times New Roman" w:hAnsi="Times New Roman"/>
                <w:color w:val="000000" w:themeColor="text1"/>
                <w:sz w:val="24"/>
                <w:szCs w:val="24"/>
              </w:rPr>
            </w:pPr>
            <w:r w:rsidRPr="006C2427">
              <w:rPr>
                <w:rFonts w:ascii="Times New Roman" w:hAnsi="Times New Roman"/>
                <w:color w:val="000000" w:themeColor="text1"/>
                <w:sz w:val="24"/>
                <w:szCs w:val="24"/>
              </w:rPr>
              <w:t>508,5</w:t>
            </w:r>
          </w:p>
        </w:tc>
        <w:tc>
          <w:tcPr>
            <w:tcW w:w="1162" w:type="pct"/>
            <w:vAlign w:val="bottom"/>
          </w:tcPr>
          <w:p w14:paraId="4A0C196B" w14:textId="77777777" w:rsidR="003057A7" w:rsidRPr="006C2427" w:rsidRDefault="003057A7" w:rsidP="003057A7">
            <w:pPr>
              <w:spacing w:after="0" w:line="240" w:lineRule="auto"/>
              <w:jc w:val="center"/>
              <w:rPr>
                <w:rFonts w:ascii="Times New Roman" w:hAnsi="Times New Roman"/>
                <w:color w:val="000000" w:themeColor="text1"/>
                <w:sz w:val="24"/>
                <w:szCs w:val="24"/>
              </w:rPr>
            </w:pPr>
            <w:r w:rsidRPr="006C2427">
              <w:rPr>
                <w:rFonts w:ascii="Times New Roman" w:hAnsi="Times New Roman"/>
                <w:color w:val="000000" w:themeColor="text1"/>
                <w:sz w:val="24"/>
                <w:szCs w:val="24"/>
              </w:rPr>
              <w:t>244,0</w:t>
            </w:r>
          </w:p>
        </w:tc>
        <w:tc>
          <w:tcPr>
            <w:tcW w:w="669" w:type="pct"/>
            <w:vAlign w:val="bottom"/>
          </w:tcPr>
          <w:p w14:paraId="4D380665" w14:textId="77777777" w:rsidR="003057A7" w:rsidRPr="006C2427" w:rsidRDefault="003057A7" w:rsidP="003057A7">
            <w:pPr>
              <w:spacing w:after="0" w:line="240" w:lineRule="auto"/>
              <w:jc w:val="center"/>
              <w:rPr>
                <w:rFonts w:ascii="Times New Roman" w:hAnsi="Times New Roman"/>
                <w:color w:val="000000" w:themeColor="text1"/>
                <w:sz w:val="24"/>
                <w:szCs w:val="24"/>
              </w:rPr>
            </w:pPr>
            <w:r w:rsidRPr="006C2427">
              <w:rPr>
                <w:rFonts w:ascii="Times New Roman" w:hAnsi="Times New Roman"/>
                <w:color w:val="000000" w:themeColor="text1"/>
                <w:sz w:val="24"/>
                <w:szCs w:val="24"/>
              </w:rPr>
              <w:t>3 541,0</w:t>
            </w:r>
          </w:p>
        </w:tc>
      </w:tr>
      <w:tr w:rsidR="003057A7" w:rsidRPr="00BD5A90" w14:paraId="4F0B512A" w14:textId="77777777" w:rsidTr="00944CB1">
        <w:trPr>
          <w:jc w:val="center"/>
        </w:trPr>
        <w:tc>
          <w:tcPr>
            <w:tcW w:w="950" w:type="pct"/>
            <w:vAlign w:val="center"/>
          </w:tcPr>
          <w:p w14:paraId="155A7B58" w14:textId="77777777" w:rsidR="003057A7" w:rsidRPr="0009555C" w:rsidRDefault="003057A7" w:rsidP="003057A7">
            <w:pPr>
              <w:spacing w:after="0" w:line="240" w:lineRule="auto"/>
              <w:rPr>
                <w:rFonts w:ascii="Times New Roman" w:eastAsia="Times New Roman" w:hAnsi="Times New Roman" w:cs="Times New Roman"/>
                <w:sz w:val="24"/>
                <w:szCs w:val="24"/>
                <w:lang w:eastAsia="ru-RU"/>
              </w:rPr>
            </w:pPr>
            <w:r w:rsidRPr="003057A7">
              <w:rPr>
                <w:rFonts w:ascii="Times New Roman" w:eastAsia="Times New Roman" w:hAnsi="Times New Roman" w:cs="Times New Roman"/>
                <w:sz w:val="24"/>
                <w:szCs w:val="24"/>
                <w:lang w:eastAsia="ru-RU"/>
              </w:rPr>
              <w:t>двух детей</w:t>
            </w:r>
          </w:p>
        </w:tc>
        <w:tc>
          <w:tcPr>
            <w:tcW w:w="824" w:type="pct"/>
            <w:vAlign w:val="bottom"/>
          </w:tcPr>
          <w:p w14:paraId="4B3AA9F9" w14:textId="77777777" w:rsidR="003057A7" w:rsidRPr="006C2427" w:rsidRDefault="003057A7" w:rsidP="003057A7">
            <w:pPr>
              <w:spacing w:after="0" w:line="240" w:lineRule="auto"/>
              <w:jc w:val="center"/>
              <w:rPr>
                <w:rFonts w:ascii="Times New Roman" w:hAnsi="Times New Roman"/>
                <w:color w:val="000000" w:themeColor="text1"/>
                <w:sz w:val="24"/>
                <w:szCs w:val="24"/>
              </w:rPr>
            </w:pPr>
            <w:r w:rsidRPr="006C2427">
              <w:rPr>
                <w:rFonts w:ascii="Times New Roman" w:hAnsi="Times New Roman"/>
                <w:color w:val="000000" w:themeColor="text1"/>
                <w:sz w:val="24"/>
                <w:szCs w:val="24"/>
              </w:rPr>
              <w:t>25 351,2</w:t>
            </w:r>
          </w:p>
        </w:tc>
        <w:tc>
          <w:tcPr>
            <w:tcW w:w="579" w:type="pct"/>
            <w:vAlign w:val="bottom"/>
          </w:tcPr>
          <w:p w14:paraId="2497887B" w14:textId="77777777" w:rsidR="003057A7" w:rsidRPr="006C2427" w:rsidRDefault="003057A7" w:rsidP="003057A7">
            <w:pPr>
              <w:spacing w:after="0" w:line="240" w:lineRule="auto"/>
              <w:jc w:val="center"/>
              <w:rPr>
                <w:rFonts w:ascii="Times New Roman" w:hAnsi="Times New Roman"/>
                <w:color w:val="000000" w:themeColor="text1"/>
                <w:sz w:val="24"/>
                <w:szCs w:val="24"/>
              </w:rPr>
            </w:pPr>
            <w:r w:rsidRPr="006C2427">
              <w:rPr>
                <w:rFonts w:ascii="Times New Roman" w:hAnsi="Times New Roman"/>
                <w:color w:val="000000" w:themeColor="text1"/>
                <w:sz w:val="24"/>
                <w:szCs w:val="24"/>
              </w:rPr>
              <w:t>21 225,1</w:t>
            </w:r>
          </w:p>
        </w:tc>
        <w:tc>
          <w:tcPr>
            <w:tcW w:w="816" w:type="pct"/>
            <w:vAlign w:val="bottom"/>
          </w:tcPr>
          <w:p w14:paraId="645B940C" w14:textId="77777777" w:rsidR="003057A7" w:rsidRPr="006C2427" w:rsidRDefault="003057A7" w:rsidP="003057A7">
            <w:pPr>
              <w:spacing w:after="0" w:line="240" w:lineRule="auto"/>
              <w:jc w:val="center"/>
              <w:rPr>
                <w:rFonts w:ascii="Times New Roman" w:hAnsi="Times New Roman"/>
                <w:color w:val="000000" w:themeColor="text1"/>
                <w:sz w:val="24"/>
                <w:szCs w:val="24"/>
              </w:rPr>
            </w:pPr>
            <w:r w:rsidRPr="006C2427">
              <w:rPr>
                <w:rFonts w:ascii="Times New Roman" w:hAnsi="Times New Roman"/>
                <w:color w:val="000000" w:themeColor="text1"/>
                <w:sz w:val="24"/>
                <w:szCs w:val="24"/>
              </w:rPr>
              <w:t>549,6</w:t>
            </w:r>
          </w:p>
        </w:tc>
        <w:tc>
          <w:tcPr>
            <w:tcW w:w="1162" w:type="pct"/>
            <w:vAlign w:val="bottom"/>
          </w:tcPr>
          <w:p w14:paraId="284B877F" w14:textId="77777777" w:rsidR="003057A7" w:rsidRPr="006C2427" w:rsidRDefault="003057A7" w:rsidP="003057A7">
            <w:pPr>
              <w:spacing w:after="0" w:line="240" w:lineRule="auto"/>
              <w:jc w:val="center"/>
              <w:rPr>
                <w:rFonts w:ascii="Times New Roman" w:hAnsi="Times New Roman"/>
                <w:color w:val="000000" w:themeColor="text1"/>
                <w:sz w:val="24"/>
                <w:szCs w:val="24"/>
              </w:rPr>
            </w:pPr>
            <w:r w:rsidRPr="006C2427">
              <w:rPr>
                <w:rFonts w:ascii="Times New Roman" w:hAnsi="Times New Roman"/>
                <w:color w:val="000000" w:themeColor="text1"/>
                <w:sz w:val="24"/>
                <w:szCs w:val="24"/>
              </w:rPr>
              <w:t>203,1</w:t>
            </w:r>
          </w:p>
        </w:tc>
        <w:tc>
          <w:tcPr>
            <w:tcW w:w="669" w:type="pct"/>
            <w:vAlign w:val="bottom"/>
          </w:tcPr>
          <w:p w14:paraId="7499E5A1" w14:textId="77777777" w:rsidR="003057A7" w:rsidRPr="006C2427" w:rsidRDefault="003057A7" w:rsidP="003057A7">
            <w:pPr>
              <w:spacing w:after="0" w:line="240" w:lineRule="auto"/>
              <w:jc w:val="center"/>
              <w:rPr>
                <w:rFonts w:ascii="Times New Roman" w:hAnsi="Times New Roman"/>
                <w:color w:val="000000" w:themeColor="text1"/>
                <w:sz w:val="24"/>
                <w:szCs w:val="24"/>
              </w:rPr>
            </w:pPr>
            <w:r w:rsidRPr="006C2427">
              <w:rPr>
                <w:rFonts w:ascii="Times New Roman" w:hAnsi="Times New Roman"/>
                <w:color w:val="000000" w:themeColor="text1"/>
                <w:sz w:val="24"/>
                <w:szCs w:val="24"/>
              </w:rPr>
              <w:t>3 373,4</w:t>
            </w:r>
          </w:p>
        </w:tc>
      </w:tr>
      <w:tr w:rsidR="003057A7" w:rsidRPr="00BD5A90" w14:paraId="7161EC64" w14:textId="77777777" w:rsidTr="00944CB1">
        <w:trPr>
          <w:jc w:val="center"/>
        </w:trPr>
        <w:tc>
          <w:tcPr>
            <w:tcW w:w="950" w:type="pct"/>
            <w:vAlign w:val="center"/>
          </w:tcPr>
          <w:p w14:paraId="0035A5E2" w14:textId="77777777" w:rsidR="003057A7" w:rsidRPr="0009555C" w:rsidRDefault="003057A7" w:rsidP="003057A7">
            <w:pPr>
              <w:spacing w:after="0" w:line="240" w:lineRule="auto"/>
              <w:rPr>
                <w:rFonts w:ascii="Times New Roman" w:eastAsia="Times New Roman" w:hAnsi="Times New Roman" w:cs="Times New Roman"/>
                <w:sz w:val="24"/>
                <w:szCs w:val="24"/>
                <w:lang w:eastAsia="ru-RU"/>
              </w:rPr>
            </w:pPr>
            <w:r w:rsidRPr="003057A7">
              <w:rPr>
                <w:rFonts w:ascii="Times New Roman" w:eastAsia="Times New Roman" w:hAnsi="Times New Roman" w:cs="Times New Roman"/>
                <w:sz w:val="24"/>
                <w:szCs w:val="24"/>
                <w:lang w:eastAsia="ru-RU"/>
              </w:rPr>
              <w:t>трех и более детей</w:t>
            </w:r>
          </w:p>
        </w:tc>
        <w:tc>
          <w:tcPr>
            <w:tcW w:w="824" w:type="pct"/>
            <w:vAlign w:val="bottom"/>
          </w:tcPr>
          <w:p w14:paraId="2529789D" w14:textId="77777777" w:rsidR="003057A7" w:rsidRPr="006C2427" w:rsidRDefault="003057A7" w:rsidP="003057A7">
            <w:pPr>
              <w:spacing w:after="0" w:line="240" w:lineRule="auto"/>
              <w:jc w:val="center"/>
              <w:rPr>
                <w:rFonts w:ascii="Times New Roman" w:hAnsi="Times New Roman"/>
                <w:color w:val="000000" w:themeColor="text1"/>
                <w:sz w:val="24"/>
                <w:szCs w:val="24"/>
              </w:rPr>
            </w:pPr>
            <w:r w:rsidRPr="006C2427">
              <w:rPr>
                <w:rFonts w:ascii="Times New Roman" w:hAnsi="Times New Roman"/>
                <w:color w:val="000000" w:themeColor="text1"/>
                <w:sz w:val="24"/>
                <w:szCs w:val="24"/>
              </w:rPr>
              <w:t>18 415,1</w:t>
            </w:r>
          </w:p>
        </w:tc>
        <w:tc>
          <w:tcPr>
            <w:tcW w:w="579" w:type="pct"/>
            <w:vAlign w:val="bottom"/>
          </w:tcPr>
          <w:p w14:paraId="4304EAA4" w14:textId="77777777" w:rsidR="003057A7" w:rsidRPr="006C2427" w:rsidRDefault="003057A7" w:rsidP="003057A7">
            <w:pPr>
              <w:spacing w:after="0" w:line="240" w:lineRule="auto"/>
              <w:jc w:val="center"/>
              <w:rPr>
                <w:rFonts w:ascii="Times New Roman" w:hAnsi="Times New Roman"/>
                <w:color w:val="000000" w:themeColor="text1"/>
                <w:sz w:val="24"/>
                <w:szCs w:val="24"/>
              </w:rPr>
            </w:pPr>
            <w:r w:rsidRPr="006C2427">
              <w:rPr>
                <w:rFonts w:ascii="Times New Roman" w:hAnsi="Times New Roman"/>
                <w:color w:val="000000" w:themeColor="text1"/>
                <w:sz w:val="24"/>
                <w:szCs w:val="24"/>
              </w:rPr>
              <w:t>15 207,9</w:t>
            </w:r>
          </w:p>
        </w:tc>
        <w:tc>
          <w:tcPr>
            <w:tcW w:w="816" w:type="pct"/>
            <w:vAlign w:val="bottom"/>
          </w:tcPr>
          <w:p w14:paraId="2EAA6202" w14:textId="77777777" w:rsidR="003057A7" w:rsidRPr="006C2427" w:rsidRDefault="003057A7" w:rsidP="003057A7">
            <w:pPr>
              <w:spacing w:after="0" w:line="240" w:lineRule="auto"/>
              <w:jc w:val="center"/>
              <w:rPr>
                <w:rFonts w:ascii="Times New Roman" w:hAnsi="Times New Roman"/>
                <w:color w:val="000000" w:themeColor="text1"/>
                <w:sz w:val="24"/>
                <w:szCs w:val="24"/>
              </w:rPr>
            </w:pPr>
            <w:r w:rsidRPr="006C2427">
              <w:rPr>
                <w:rFonts w:ascii="Times New Roman" w:hAnsi="Times New Roman"/>
                <w:color w:val="000000" w:themeColor="text1"/>
                <w:sz w:val="24"/>
                <w:szCs w:val="24"/>
              </w:rPr>
              <w:t>712,4</w:t>
            </w:r>
          </w:p>
        </w:tc>
        <w:tc>
          <w:tcPr>
            <w:tcW w:w="1162" w:type="pct"/>
            <w:vAlign w:val="bottom"/>
          </w:tcPr>
          <w:p w14:paraId="597EA4B1" w14:textId="77777777" w:rsidR="003057A7" w:rsidRPr="006C2427" w:rsidRDefault="003057A7" w:rsidP="003057A7">
            <w:pPr>
              <w:spacing w:after="0" w:line="240" w:lineRule="auto"/>
              <w:jc w:val="center"/>
              <w:rPr>
                <w:rFonts w:ascii="Times New Roman" w:hAnsi="Times New Roman"/>
                <w:color w:val="000000" w:themeColor="text1"/>
                <w:sz w:val="24"/>
                <w:szCs w:val="24"/>
              </w:rPr>
            </w:pPr>
            <w:r w:rsidRPr="006C2427">
              <w:rPr>
                <w:rFonts w:ascii="Times New Roman" w:hAnsi="Times New Roman"/>
                <w:color w:val="000000" w:themeColor="text1"/>
                <w:sz w:val="24"/>
                <w:szCs w:val="24"/>
              </w:rPr>
              <w:t>132,4</w:t>
            </w:r>
          </w:p>
        </w:tc>
        <w:tc>
          <w:tcPr>
            <w:tcW w:w="669" w:type="pct"/>
            <w:vAlign w:val="bottom"/>
          </w:tcPr>
          <w:p w14:paraId="6A80FC74" w14:textId="77777777" w:rsidR="003057A7" w:rsidRPr="006C2427" w:rsidRDefault="003057A7" w:rsidP="003057A7">
            <w:pPr>
              <w:spacing w:after="0" w:line="240" w:lineRule="auto"/>
              <w:jc w:val="center"/>
              <w:rPr>
                <w:rFonts w:ascii="Times New Roman" w:hAnsi="Times New Roman"/>
                <w:color w:val="000000" w:themeColor="text1"/>
                <w:sz w:val="24"/>
                <w:szCs w:val="24"/>
              </w:rPr>
            </w:pPr>
            <w:r w:rsidRPr="006C2427">
              <w:rPr>
                <w:rFonts w:ascii="Times New Roman" w:hAnsi="Times New Roman"/>
                <w:color w:val="000000" w:themeColor="text1"/>
                <w:sz w:val="24"/>
                <w:szCs w:val="24"/>
              </w:rPr>
              <w:t>2 362,4</w:t>
            </w:r>
          </w:p>
        </w:tc>
      </w:tr>
    </w:tbl>
    <w:p w14:paraId="54B6BB01" w14:textId="77777777"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14:paraId="0130E6D1" w14:textId="77777777"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14:paraId="4C137E0C" w14:textId="77777777"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14:paraId="22D76CF3" w14:textId="77777777"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14:paraId="3D7B7C5F" w14:textId="77777777" w:rsidR="00D03A4F" w:rsidRPr="0009555C" w:rsidRDefault="00D03A4F" w:rsidP="00D03A4F">
      <w:pPr>
        <w:spacing w:after="0" w:line="240" w:lineRule="auto"/>
        <w:jc w:val="right"/>
        <w:rPr>
          <w:rFonts w:ascii="Times New Roman" w:eastAsia="Times New Roman" w:hAnsi="Times New Roman" w:cs="Times New Roman"/>
          <w:sz w:val="26"/>
          <w:szCs w:val="26"/>
          <w:lang w:eastAsia="ru-RU"/>
        </w:rPr>
      </w:pPr>
      <w:r w:rsidRPr="0009555C">
        <w:rPr>
          <w:rFonts w:ascii="Times New Roman" w:eastAsia="Times New Roman" w:hAnsi="Times New Roman" w:cs="Times New Roman"/>
          <w:sz w:val="26"/>
          <w:szCs w:val="26"/>
          <w:lang w:eastAsia="ru-RU"/>
        </w:rPr>
        <w:t>Таблица 4</w:t>
      </w:r>
      <w:r w:rsidR="008737BB">
        <w:rPr>
          <w:rFonts w:ascii="Times New Roman" w:eastAsia="Times New Roman" w:hAnsi="Times New Roman" w:cs="Times New Roman"/>
          <w:sz w:val="26"/>
          <w:szCs w:val="26"/>
          <w:lang w:eastAsia="ru-RU"/>
        </w:rPr>
        <w:t>1</w:t>
      </w:r>
    </w:p>
    <w:p w14:paraId="455F1709" w14:textId="77777777" w:rsidR="00D03A4F" w:rsidRPr="0009555C" w:rsidRDefault="00D03A4F" w:rsidP="00D03A4F">
      <w:pPr>
        <w:spacing w:after="0" w:line="240" w:lineRule="auto"/>
        <w:jc w:val="right"/>
        <w:rPr>
          <w:rFonts w:ascii="Times New Roman" w:eastAsia="Times New Roman" w:hAnsi="Times New Roman" w:cs="Times New Roman"/>
          <w:sz w:val="26"/>
          <w:szCs w:val="26"/>
          <w:lang w:eastAsia="ru-RU"/>
        </w:rPr>
      </w:pPr>
    </w:p>
    <w:p w14:paraId="6C039BE5" w14:textId="77777777" w:rsidR="00D03A4F" w:rsidRPr="0009555C" w:rsidRDefault="00D03A4F" w:rsidP="00D03A4F">
      <w:pPr>
        <w:spacing w:after="0" w:line="240" w:lineRule="auto"/>
        <w:jc w:val="center"/>
        <w:rPr>
          <w:rFonts w:ascii="Times New Roman" w:eastAsia="Times New Roman" w:hAnsi="Times New Roman" w:cs="Times New Roman"/>
          <w:b/>
          <w:bCs/>
          <w:sz w:val="26"/>
          <w:szCs w:val="26"/>
          <w:lang w:eastAsia="ru-RU"/>
        </w:rPr>
      </w:pPr>
      <w:r w:rsidRPr="0009555C">
        <w:rPr>
          <w:rFonts w:ascii="Times New Roman" w:eastAsia="Times New Roman" w:hAnsi="Times New Roman" w:cs="Times New Roman"/>
          <w:b/>
          <w:bCs/>
          <w:sz w:val="26"/>
          <w:szCs w:val="26"/>
          <w:lang w:eastAsia="ru-RU"/>
        </w:rPr>
        <w:t xml:space="preserve">Структура потребительских расходов в домохозяйствах, </w:t>
      </w:r>
    </w:p>
    <w:p w14:paraId="6180820C" w14:textId="77777777" w:rsidR="00D03A4F" w:rsidRPr="0009555C" w:rsidRDefault="00D03A4F" w:rsidP="00D03A4F">
      <w:pPr>
        <w:spacing w:after="0" w:line="240" w:lineRule="auto"/>
        <w:jc w:val="center"/>
        <w:rPr>
          <w:rFonts w:ascii="Times New Roman" w:eastAsia="Times New Roman" w:hAnsi="Times New Roman" w:cs="Times New Roman"/>
          <w:b/>
          <w:bCs/>
          <w:sz w:val="26"/>
          <w:szCs w:val="26"/>
          <w:lang w:eastAsia="ru-RU"/>
        </w:rPr>
      </w:pPr>
      <w:r w:rsidRPr="0009555C">
        <w:rPr>
          <w:rFonts w:ascii="Times New Roman" w:eastAsia="Times New Roman" w:hAnsi="Times New Roman" w:cs="Times New Roman"/>
          <w:b/>
          <w:bCs/>
          <w:sz w:val="26"/>
          <w:szCs w:val="26"/>
          <w:lang w:eastAsia="ru-RU"/>
        </w:rPr>
        <w:t xml:space="preserve">имеющих детей в возрасте до 16 лет </w:t>
      </w:r>
    </w:p>
    <w:p w14:paraId="1A09E8E5" w14:textId="77777777" w:rsidR="00D03A4F" w:rsidRPr="0009555C" w:rsidRDefault="00D03A4F" w:rsidP="00D03A4F">
      <w:pPr>
        <w:spacing w:after="0" w:line="240" w:lineRule="auto"/>
        <w:jc w:val="center"/>
        <w:rPr>
          <w:rFonts w:ascii="Times New Roman" w:eastAsia="Times New Roman" w:hAnsi="Times New Roman" w:cs="Times New Roman"/>
          <w:bCs/>
          <w:sz w:val="24"/>
          <w:szCs w:val="24"/>
          <w:lang w:eastAsia="ru-RU"/>
        </w:rPr>
      </w:pPr>
      <w:r w:rsidRPr="0009555C">
        <w:rPr>
          <w:rFonts w:ascii="Times New Roman" w:eastAsia="Times New Roman" w:hAnsi="Times New Roman" w:cs="Times New Roman"/>
          <w:bCs/>
          <w:sz w:val="24"/>
          <w:szCs w:val="24"/>
          <w:lang w:eastAsia="ru-RU"/>
        </w:rPr>
        <w:t>(по данным выборочного обследования бюджетов домашних хозяйств, проценты)</w:t>
      </w:r>
    </w:p>
    <w:p w14:paraId="09384733" w14:textId="77777777" w:rsidR="00D03A4F" w:rsidRPr="0009555C" w:rsidRDefault="00D03A4F" w:rsidP="00D03A4F">
      <w:pPr>
        <w:spacing w:after="0" w:line="240" w:lineRule="auto"/>
        <w:jc w:val="right"/>
        <w:rPr>
          <w:rFonts w:ascii="Times New Roman" w:eastAsia="Times New Roman" w:hAnsi="Times New Roman" w:cs="Times New Roman"/>
          <w:sz w:val="20"/>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86"/>
        <w:gridCol w:w="1270"/>
        <w:gridCol w:w="1270"/>
        <w:gridCol w:w="1270"/>
      </w:tblGrid>
      <w:tr w:rsidR="0011776E" w:rsidRPr="0009555C" w14:paraId="20D96F25" w14:textId="77777777" w:rsidTr="009E5990">
        <w:trPr>
          <w:tblHeader/>
          <w:jc w:val="center"/>
        </w:trPr>
        <w:tc>
          <w:tcPr>
            <w:tcW w:w="3131" w:type="pct"/>
            <w:vAlign w:val="bottom"/>
          </w:tcPr>
          <w:p w14:paraId="4F10373C" w14:textId="77777777" w:rsidR="0011776E" w:rsidRPr="0009555C" w:rsidRDefault="0011776E" w:rsidP="0011776E">
            <w:pPr>
              <w:spacing w:after="0" w:line="240" w:lineRule="auto"/>
              <w:jc w:val="center"/>
              <w:rPr>
                <w:rFonts w:ascii="Times New Roman" w:eastAsia="Times New Roman" w:hAnsi="Times New Roman" w:cs="Times New Roman"/>
                <w:i/>
                <w:sz w:val="24"/>
                <w:szCs w:val="24"/>
                <w:lang w:eastAsia="ru-RU"/>
              </w:rPr>
            </w:pPr>
          </w:p>
        </w:tc>
        <w:tc>
          <w:tcPr>
            <w:tcW w:w="623" w:type="pct"/>
            <w:vAlign w:val="bottom"/>
          </w:tcPr>
          <w:p w14:paraId="3C23CC1E" w14:textId="77777777" w:rsidR="0011776E" w:rsidRPr="0009555C" w:rsidRDefault="0011776E" w:rsidP="0011776E">
            <w:pPr>
              <w:spacing w:after="0" w:line="240" w:lineRule="auto"/>
              <w:jc w:val="center"/>
              <w:rPr>
                <w:rFonts w:ascii="Times New Roman" w:eastAsia="Times New Roman" w:hAnsi="Times New Roman" w:cs="Times New Roman"/>
                <w:bCs/>
                <w:sz w:val="24"/>
                <w:szCs w:val="24"/>
                <w:lang w:eastAsia="ru-RU"/>
              </w:rPr>
            </w:pPr>
            <w:r w:rsidRPr="0009555C">
              <w:rPr>
                <w:rFonts w:ascii="Times New Roman" w:eastAsia="Times New Roman" w:hAnsi="Times New Roman" w:cs="Times New Roman"/>
                <w:bCs/>
                <w:sz w:val="24"/>
                <w:szCs w:val="24"/>
                <w:lang w:eastAsia="ru-RU"/>
              </w:rPr>
              <w:t>20</w:t>
            </w:r>
            <w:r w:rsidRPr="0009555C">
              <w:rPr>
                <w:rFonts w:ascii="Times New Roman" w:eastAsia="Times New Roman" w:hAnsi="Times New Roman" w:cs="Times New Roman"/>
                <w:bCs/>
                <w:sz w:val="24"/>
                <w:szCs w:val="24"/>
                <w:lang w:val="en-US" w:eastAsia="ru-RU"/>
              </w:rPr>
              <w:t>1</w:t>
            </w:r>
            <w:r w:rsidRPr="0009555C">
              <w:rPr>
                <w:rFonts w:ascii="Times New Roman" w:eastAsia="Times New Roman" w:hAnsi="Times New Roman" w:cs="Times New Roman"/>
                <w:bCs/>
                <w:sz w:val="24"/>
                <w:szCs w:val="24"/>
                <w:lang w:eastAsia="ru-RU"/>
              </w:rPr>
              <w:t>9 г.</w:t>
            </w:r>
          </w:p>
        </w:tc>
        <w:tc>
          <w:tcPr>
            <w:tcW w:w="623" w:type="pct"/>
            <w:vAlign w:val="bottom"/>
          </w:tcPr>
          <w:p w14:paraId="445A7423" w14:textId="77777777" w:rsidR="0011776E" w:rsidRPr="0009555C" w:rsidRDefault="0011776E" w:rsidP="0011776E">
            <w:pPr>
              <w:spacing w:after="0" w:line="240" w:lineRule="auto"/>
              <w:jc w:val="center"/>
              <w:rPr>
                <w:rFonts w:ascii="Times New Roman" w:eastAsia="Times New Roman" w:hAnsi="Times New Roman" w:cs="Times New Roman"/>
                <w:bCs/>
                <w:sz w:val="24"/>
                <w:szCs w:val="24"/>
                <w:lang w:eastAsia="ru-RU"/>
              </w:rPr>
            </w:pPr>
            <w:r w:rsidRPr="0009555C">
              <w:rPr>
                <w:rFonts w:ascii="Times New Roman" w:eastAsia="Times New Roman" w:hAnsi="Times New Roman" w:cs="Times New Roman"/>
                <w:bCs/>
                <w:sz w:val="24"/>
                <w:szCs w:val="24"/>
                <w:lang w:eastAsia="ru-RU"/>
              </w:rPr>
              <w:t xml:space="preserve">2020 г. </w:t>
            </w:r>
          </w:p>
        </w:tc>
        <w:tc>
          <w:tcPr>
            <w:tcW w:w="623" w:type="pct"/>
            <w:vAlign w:val="bottom"/>
          </w:tcPr>
          <w:p w14:paraId="5D26495D" w14:textId="77777777" w:rsidR="0011776E" w:rsidRPr="0009555C" w:rsidRDefault="0011776E" w:rsidP="0011776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2021 г.</w:t>
            </w:r>
          </w:p>
        </w:tc>
      </w:tr>
      <w:tr w:rsidR="0011776E" w:rsidRPr="0009555C" w14:paraId="2A64AC87" w14:textId="77777777" w:rsidTr="009E5990">
        <w:trPr>
          <w:jc w:val="center"/>
        </w:trPr>
        <w:tc>
          <w:tcPr>
            <w:tcW w:w="3131" w:type="pct"/>
            <w:vAlign w:val="center"/>
          </w:tcPr>
          <w:p w14:paraId="5089A9AB" w14:textId="77777777" w:rsidR="0011776E" w:rsidRPr="0009555C" w:rsidRDefault="0011776E" w:rsidP="0011776E">
            <w:pPr>
              <w:tabs>
                <w:tab w:val="left" w:leader="dot" w:pos="5670"/>
              </w:tabs>
              <w:spacing w:after="0" w:line="264" w:lineRule="auto"/>
              <w:ind w:left="57"/>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Потребительские расходы</w:t>
            </w:r>
          </w:p>
        </w:tc>
        <w:tc>
          <w:tcPr>
            <w:tcW w:w="623" w:type="pct"/>
            <w:vAlign w:val="bottom"/>
          </w:tcPr>
          <w:p w14:paraId="4C3EED0C" w14:textId="77777777" w:rsidR="0011776E" w:rsidRPr="0009555C" w:rsidRDefault="0011776E" w:rsidP="0011776E">
            <w:pPr>
              <w:spacing w:before="60" w:after="0" w:line="264" w:lineRule="auto"/>
              <w:jc w:val="center"/>
              <w:rPr>
                <w:rFonts w:ascii="Times New Roman" w:eastAsia="Times New Roman" w:hAnsi="Times New Roman" w:cs="Times New Roman"/>
                <w:b/>
                <w:sz w:val="24"/>
                <w:szCs w:val="24"/>
                <w:lang w:eastAsia="ru-RU"/>
              </w:rPr>
            </w:pPr>
            <w:r w:rsidRPr="0009555C">
              <w:rPr>
                <w:rFonts w:ascii="Times New Roman" w:eastAsia="Times New Roman" w:hAnsi="Times New Roman" w:cs="Times New Roman"/>
                <w:b/>
                <w:sz w:val="24"/>
                <w:szCs w:val="24"/>
                <w:lang w:eastAsia="ru-RU"/>
              </w:rPr>
              <w:t>100</w:t>
            </w:r>
          </w:p>
        </w:tc>
        <w:tc>
          <w:tcPr>
            <w:tcW w:w="623" w:type="pct"/>
            <w:vAlign w:val="bottom"/>
          </w:tcPr>
          <w:p w14:paraId="2518BCBA" w14:textId="77777777" w:rsidR="0011776E" w:rsidRPr="0009555C" w:rsidRDefault="0011776E" w:rsidP="0011776E">
            <w:pPr>
              <w:spacing w:before="60" w:after="0" w:line="264" w:lineRule="auto"/>
              <w:jc w:val="center"/>
              <w:rPr>
                <w:rFonts w:ascii="Times New Roman" w:eastAsia="Times New Roman" w:hAnsi="Times New Roman" w:cs="Times New Roman"/>
                <w:b/>
                <w:sz w:val="24"/>
                <w:szCs w:val="24"/>
                <w:lang w:eastAsia="ru-RU"/>
              </w:rPr>
            </w:pPr>
            <w:r w:rsidRPr="0009555C">
              <w:rPr>
                <w:rFonts w:ascii="Times New Roman" w:eastAsia="Times New Roman" w:hAnsi="Times New Roman" w:cs="Times New Roman"/>
                <w:b/>
                <w:sz w:val="24"/>
                <w:szCs w:val="24"/>
                <w:lang w:eastAsia="ru-RU"/>
              </w:rPr>
              <w:t>100</w:t>
            </w:r>
          </w:p>
        </w:tc>
        <w:tc>
          <w:tcPr>
            <w:tcW w:w="623" w:type="pct"/>
            <w:vAlign w:val="bottom"/>
          </w:tcPr>
          <w:p w14:paraId="410CFD78" w14:textId="77777777" w:rsidR="0011776E" w:rsidRPr="0009555C" w:rsidRDefault="0011776E" w:rsidP="0011776E">
            <w:pPr>
              <w:spacing w:before="60" w:after="0" w:line="264"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w:t>
            </w:r>
          </w:p>
        </w:tc>
      </w:tr>
      <w:tr w:rsidR="0011776E" w:rsidRPr="0009555C" w14:paraId="7C00230E" w14:textId="77777777" w:rsidTr="009E5990">
        <w:trPr>
          <w:jc w:val="center"/>
        </w:trPr>
        <w:tc>
          <w:tcPr>
            <w:tcW w:w="3131" w:type="pct"/>
            <w:tcBorders>
              <w:bottom w:val="nil"/>
            </w:tcBorders>
            <w:vAlign w:val="center"/>
          </w:tcPr>
          <w:p w14:paraId="733B78E7" w14:textId="77777777" w:rsidR="0011776E" w:rsidRPr="0009555C" w:rsidRDefault="0011776E" w:rsidP="0011776E">
            <w:pPr>
              <w:tabs>
                <w:tab w:val="left" w:leader="dot" w:pos="5670"/>
              </w:tabs>
              <w:spacing w:after="0" w:line="240" w:lineRule="auto"/>
              <w:ind w:firstLine="170"/>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 xml:space="preserve">в том числе расходы: </w:t>
            </w:r>
          </w:p>
        </w:tc>
        <w:tc>
          <w:tcPr>
            <w:tcW w:w="623" w:type="pct"/>
            <w:tcBorders>
              <w:bottom w:val="nil"/>
            </w:tcBorders>
            <w:vAlign w:val="bottom"/>
          </w:tcPr>
          <w:p w14:paraId="4B9A2928" w14:textId="77777777" w:rsidR="0011776E" w:rsidRPr="0009555C" w:rsidRDefault="0011776E" w:rsidP="0011776E">
            <w:pPr>
              <w:spacing w:before="60" w:after="0" w:line="264" w:lineRule="auto"/>
              <w:jc w:val="center"/>
              <w:rPr>
                <w:rFonts w:ascii="Times New Roman" w:eastAsia="Times New Roman" w:hAnsi="Times New Roman" w:cs="Times New Roman"/>
                <w:sz w:val="24"/>
                <w:szCs w:val="24"/>
                <w:lang w:eastAsia="ru-RU"/>
              </w:rPr>
            </w:pPr>
          </w:p>
        </w:tc>
        <w:tc>
          <w:tcPr>
            <w:tcW w:w="623" w:type="pct"/>
            <w:tcBorders>
              <w:bottom w:val="nil"/>
            </w:tcBorders>
            <w:vAlign w:val="bottom"/>
          </w:tcPr>
          <w:p w14:paraId="7429CB74" w14:textId="77777777" w:rsidR="0011776E" w:rsidRPr="0009555C" w:rsidRDefault="0011776E" w:rsidP="0011776E">
            <w:pPr>
              <w:spacing w:before="60" w:after="0" w:line="264" w:lineRule="auto"/>
              <w:jc w:val="center"/>
              <w:rPr>
                <w:rFonts w:ascii="Times New Roman" w:eastAsia="Times New Roman" w:hAnsi="Times New Roman" w:cs="Times New Roman"/>
                <w:sz w:val="24"/>
                <w:szCs w:val="24"/>
                <w:lang w:eastAsia="ru-RU"/>
              </w:rPr>
            </w:pPr>
          </w:p>
        </w:tc>
        <w:tc>
          <w:tcPr>
            <w:tcW w:w="623" w:type="pct"/>
            <w:tcBorders>
              <w:bottom w:val="nil"/>
            </w:tcBorders>
            <w:vAlign w:val="bottom"/>
          </w:tcPr>
          <w:p w14:paraId="026F1EE0" w14:textId="77777777" w:rsidR="0011776E" w:rsidRPr="0009555C" w:rsidRDefault="0011776E" w:rsidP="0011776E">
            <w:pPr>
              <w:spacing w:before="60" w:after="0" w:line="264" w:lineRule="auto"/>
              <w:jc w:val="center"/>
              <w:rPr>
                <w:rFonts w:ascii="Times New Roman" w:eastAsia="Times New Roman" w:hAnsi="Times New Roman" w:cs="Times New Roman"/>
                <w:sz w:val="24"/>
                <w:szCs w:val="24"/>
                <w:lang w:eastAsia="ru-RU"/>
              </w:rPr>
            </w:pPr>
          </w:p>
        </w:tc>
      </w:tr>
      <w:tr w:rsidR="0011776E" w:rsidRPr="0009555C" w14:paraId="516D0902" w14:textId="77777777" w:rsidTr="009E5990">
        <w:trPr>
          <w:jc w:val="center"/>
        </w:trPr>
        <w:tc>
          <w:tcPr>
            <w:tcW w:w="3131" w:type="pct"/>
            <w:tcBorders>
              <w:top w:val="nil"/>
            </w:tcBorders>
            <w:vAlign w:val="center"/>
          </w:tcPr>
          <w:p w14:paraId="2C4DCC52" w14:textId="77777777" w:rsidR="0011776E" w:rsidRPr="0009555C" w:rsidRDefault="0011776E" w:rsidP="0011776E">
            <w:pPr>
              <w:tabs>
                <w:tab w:val="left" w:leader="dot" w:pos="5670"/>
              </w:tabs>
              <w:spacing w:after="0" w:line="240" w:lineRule="auto"/>
              <w:ind w:firstLine="170"/>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на покупку продуктов для домашнего питания и питание вне дома</w:t>
            </w:r>
          </w:p>
        </w:tc>
        <w:tc>
          <w:tcPr>
            <w:tcW w:w="623" w:type="pct"/>
            <w:tcBorders>
              <w:top w:val="nil"/>
            </w:tcBorders>
            <w:vAlign w:val="bottom"/>
          </w:tcPr>
          <w:p w14:paraId="3FA4367D" w14:textId="77777777" w:rsidR="0011776E" w:rsidRPr="0009555C" w:rsidRDefault="0011776E" w:rsidP="0011776E">
            <w:pPr>
              <w:spacing w:before="60"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32,3</w:t>
            </w:r>
          </w:p>
        </w:tc>
        <w:tc>
          <w:tcPr>
            <w:tcW w:w="623" w:type="pct"/>
            <w:tcBorders>
              <w:top w:val="nil"/>
            </w:tcBorders>
            <w:vAlign w:val="bottom"/>
          </w:tcPr>
          <w:p w14:paraId="19CB24F1" w14:textId="77777777" w:rsidR="0011776E" w:rsidRPr="0009555C" w:rsidRDefault="0011776E" w:rsidP="0011776E">
            <w:pPr>
              <w:spacing w:before="60"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33,</w:t>
            </w:r>
            <w:r>
              <w:rPr>
                <w:rFonts w:ascii="Times New Roman" w:eastAsia="Times New Roman" w:hAnsi="Times New Roman" w:cs="Times New Roman"/>
                <w:sz w:val="24"/>
                <w:szCs w:val="24"/>
                <w:lang w:eastAsia="ru-RU"/>
              </w:rPr>
              <w:t>8</w:t>
            </w:r>
          </w:p>
        </w:tc>
        <w:tc>
          <w:tcPr>
            <w:tcW w:w="623" w:type="pct"/>
            <w:tcBorders>
              <w:top w:val="nil"/>
            </w:tcBorders>
            <w:vAlign w:val="bottom"/>
          </w:tcPr>
          <w:p w14:paraId="2154E8A0" w14:textId="77777777" w:rsidR="0011776E" w:rsidRPr="0009555C" w:rsidRDefault="0011776E" w:rsidP="0011776E">
            <w:pPr>
              <w:spacing w:before="60"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32,8</w:t>
            </w:r>
          </w:p>
        </w:tc>
      </w:tr>
      <w:tr w:rsidR="0011776E" w:rsidRPr="0009555C" w14:paraId="0BBA1D59" w14:textId="77777777" w:rsidTr="009E5990">
        <w:trPr>
          <w:jc w:val="center"/>
        </w:trPr>
        <w:tc>
          <w:tcPr>
            <w:tcW w:w="3131" w:type="pct"/>
            <w:vAlign w:val="center"/>
          </w:tcPr>
          <w:p w14:paraId="5EFF651F" w14:textId="77777777" w:rsidR="0011776E" w:rsidRPr="0009555C" w:rsidRDefault="0011776E" w:rsidP="0011776E">
            <w:pPr>
              <w:tabs>
                <w:tab w:val="left" w:leader="dot" w:pos="5670"/>
              </w:tabs>
              <w:spacing w:after="0" w:line="240" w:lineRule="auto"/>
              <w:ind w:firstLine="170"/>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на покупку алкогольных напитков</w:t>
            </w:r>
          </w:p>
        </w:tc>
        <w:tc>
          <w:tcPr>
            <w:tcW w:w="623" w:type="pct"/>
            <w:vAlign w:val="bottom"/>
          </w:tcPr>
          <w:p w14:paraId="06D73679" w14:textId="77777777" w:rsidR="0011776E" w:rsidRPr="0009555C" w:rsidRDefault="0011776E" w:rsidP="0011776E">
            <w:pPr>
              <w:spacing w:before="60"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1,6</w:t>
            </w:r>
          </w:p>
        </w:tc>
        <w:tc>
          <w:tcPr>
            <w:tcW w:w="623" w:type="pct"/>
            <w:vAlign w:val="bottom"/>
          </w:tcPr>
          <w:p w14:paraId="09517C21" w14:textId="77777777" w:rsidR="0011776E" w:rsidRPr="0009555C" w:rsidRDefault="0011776E" w:rsidP="0011776E">
            <w:pPr>
              <w:spacing w:before="60"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1,5</w:t>
            </w:r>
          </w:p>
        </w:tc>
        <w:tc>
          <w:tcPr>
            <w:tcW w:w="623" w:type="pct"/>
            <w:vAlign w:val="bottom"/>
          </w:tcPr>
          <w:p w14:paraId="1613ABFF" w14:textId="77777777" w:rsidR="0011776E" w:rsidRPr="0009555C" w:rsidRDefault="0011776E" w:rsidP="0011776E">
            <w:pPr>
              <w:spacing w:before="60"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11776E" w:rsidRPr="0009555C" w14:paraId="301EAB7C" w14:textId="77777777" w:rsidTr="009E5990">
        <w:trPr>
          <w:jc w:val="center"/>
        </w:trPr>
        <w:tc>
          <w:tcPr>
            <w:tcW w:w="3131" w:type="pct"/>
            <w:vAlign w:val="center"/>
          </w:tcPr>
          <w:p w14:paraId="7E048C49" w14:textId="77777777" w:rsidR="0011776E" w:rsidRPr="0009555C" w:rsidRDefault="0011776E" w:rsidP="0011776E">
            <w:pPr>
              <w:tabs>
                <w:tab w:val="left" w:leader="dot" w:pos="5670"/>
              </w:tabs>
              <w:spacing w:after="0" w:line="240" w:lineRule="auto"/>
              <w:ind w:firstLine="170"/>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на покупку непродовольственных товаров</w:t>
            </w:r>
          </w:p>
        </w:tc>
        <w:tc>
          <w:tcPr>
            <w:tcW w:w="623" w:type="pct"/>
            <w:vAlign w:val="bottom"/>
          </w:tcPr>
          <w:p w14:paraId="0F86CC20" w14:textId="77777777" w:rsidR="0011776E" w:rsidRPr="0009555C" w:rsidRDefault="0011776E" w:rsidP="0011776E">
            <w:pPr>
              <w:spacing w:before="60"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37,4</w:t>
            </w:r>
          </w:p>
        </w:tc>
        <w:tc>
          <w:tcPr>
            <w:tcW w:w="623" w:type="pct"/>
            <w:vAlign w:val="bottom"/>
          </w:tcPr>
          <w:p w14:paraId="4151A7FD" w14:textId="77777777" w:rsidR="0011776E" w:rsidRPr="0009555C" w:rsidRDefault="0011776E" w:rsidP="0011776E">
            <w:pPr>
              <w:spacing w:before="60"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39,</w:t>
            </w:r>
            <w:r>
              <w:rPr>
                <w:rFonts w:ascii="Times New Roman" w:eastAsia="Times New Roman" w:hAnsi="Times New Roman" w:cs="Times New Roman"/>
                <w:sz w:val="24"/>
                <w:szCs w:val="24"/>
                <w:lang w:eastAsia="ru-RU"/>
              </w:rPr>
              <w:t>5</w:t>
            </w:r>
          </w:p>
        </w:tc>
        <w:tc>
          <w:tcPr>
            <w:tcW w:w="623" w:type="pct"/>
            <w:vAlign w:val="bottom"/>
          </w:tcPr>
          <w:p w14:paraId="74A66FDF" w14:textId="77777777" w:rsidR="0011776E" w:rsidRPr="0009555C" w:rsidRDefault="0011776E" w:rsidP="0011776E">
            <w:pPr>
              <w:spacing w:before="60"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38,0</w:t>
            </w:r>
          </w:p>
        </w:tc>
      </w:tr>
      <w:tr w:rsidR="0011776E" w:rsidRPr="00BD5A90" w14:paraId="10A7F2AF" w14:textId="77777777" w:rsidTr="009E5990">
        <w:trPr>
          <w:jc w:val="center"/>
        </w:trPr>
        <w:tc>
          <w:tcPr>
            <w:tcW w:w="3131" w:type="pct"/>
            <w:vAlign w:val="center"/>
          </w:tcPr>
          <w:p w14:paraId="23A57610" w14:textId="77777777" w:rsidR="0011776E" w:rsidRPr="0009555C" w:rsidRDefault="0011776E" w:rsidP="0011776E">
            <w:pPr>
              <w:tabs>
                <w:tab w:val="left" w:leader="dot" w:pos="5670"/>
              </w:tabs>
              <w:spacing w:after="0" w:line="240" w:lineRule="auto"/>
              <w:ind w:firstLine="170"/>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на оплату услуг</w:t>
            </w:r>
          </w:p>
        </w:tc>
        <w:tc>
          <w:tcPr>
            <w:tcW w:w="623" w:type="pct"/>
            <w:vAlign w:val="bottom"/>
          </w:tcPr>
          <w:p w14:paraId="1DAEF844" w14:textId="77777777" w:rsidR="0011776E" w:rsidRPr="0009555C" w:rsidRDefault="0011776E" w:rsidP="0011776E">
            <w:pPr>
              <w:spacing w:before="60"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28,7</w:t>
            </w:r>
          </w:p>
        </w:tc>
        <w:tc>
          <w:tcPr>
            <w:tcW w:w="623" w:type="pct"/>
            <w:vAlign w:val="bottom"/>
          </w:tcPr>
          <w:p w14:paraId="5C7701DF" w14:textId="77777777" w:rsidR="0011776E" w:rsidRPr="0009555C" w:rsidRDefault="0011776E" w:rsidP="0011776E">
            <w:pPr>
              <w:spacing w:before="60"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2</w:t>
            </w:r>
          </w:p>
        </w:tc>
        <w:tc>
          <w:tcPr>
            <w:tcW w:w="623" w:type="pct"/>
            <w:vAlign w:val="bottom"/>
          </w:tcPr>
          <w:p w14:paraId="5C8FB88D" w14:textId="77777777" w:rsidR="0011776E" w:rsidRPr="0009555C" w:rsidRDefault="0011776E" w:rsidP="0011776E">
            <w:pPr>
              <w:spacing w:before="60"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27,8</w:t>
            </w:r>
          </w:p>
        </w:tc>
      </w:tr>
    </w:tbl>
    <w:p w14:paraId="1615E7E9" w14:textId="77777777"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14:paraId="616EA24B" w14:textId="77777777"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14:paraId="6C55107A" w14:textId="77777777"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14:paraId="1666147B" w14:textId="77777777" w:rsidR="00D03A4F" w:rsidRDefault="00D03A4F" w:rsidP="0009555C">
      <w:pPr>
        <w:spacing w:after="0" w:line="240" w:lineRule="auto"/>
        <w:rPr>
          <w:rFonts w:ascii="Times New Roman" w:eastAsia="Times New Roman" w:hAnsi="Times New Roman" w:cs="Times New Roman"/>
          <w:sz w:val="26"/>
          <w:szCs w:val="26"/>
          <w:lang w:eastAsia="ru-RU"/>
        </w:rPr>
      </w:pPr>
    </w:p>
    <w:p w14:paraId="43F3E529" w14:textId="77777777" w:rsidR="00D03A4F" w:rsidRPr="0009555C" w:rsidRDefault="00D03A4F" w:rsidP="00D03A4F">
      <w:pPr>
        <w:spacing w:after="0" w:line="240" w:lineRule="auto"/>
        <w:jc w:val="right"/>
        <w:rPr>
          <w:rFonts w:ascii="Times New Roman" w:eastAsia="Times New Roman" w:hAnsi="Times New Roman" w:cs="Times New Roman"/>
          <w:sz w:val="26"/>
          <w:szCs w:val="26"/>
          <w:lang w:eastAsia="ru-RU"/>
        </w:rPr>
      </w:pPr>
      <w:r w:rsidRPr="0009555C">
        <w:rPr>
          <w:rFonts w:ascii="Times New Roman" w:eastAsia="Times New Roman" w:hAnsi="Times New Roman" w:cs="Times New Roman"/>
          <w:sz w:val="26"/>
          <w:szCs w:val="26"/>
          <w:lang w:eastAsia="ru-RU"/>
        </w:rPr>
        <w:t>Таблица 4</w:t>
      </w:r>
      <w:r w:rsidR="008737BB">
        <w:rPr>
          <w:rFonts w:ascii="Times New Roman" w:eastAsia="Times New Roman" w:hAnsi="Times New Roman" w:cs="Times New Roman"/>
          <w:sz w:val="26"/>
          <w:szCs w:val="26"/>
          <w:lang w:eastAsia="ru-RU"/>
        </w:rPr>
        <w:t>2</w:t>
      </w:r>
    </w:p>
    <w:p w14:paraId="7EAB2072" w14:textId="77777777" w:rsidR="00D03A4F" w:rsidRPr="0009555C" w:rsidRDefault="00D03A4F" w:rsidP="00D03A4F">
      <w:pPr>
        <w:spacing w:after="0" w:line="240" w:lineRule="auto"/>
        <w:jc w:val="right"/>
        <w:rPr>
          <w:rFonts w:ascii="Times New Roman" w:eastAsia="Times New Roman" w:hAnsi="Times New Roman" w:cs="Times New Roman"/>
          <w:sz w:val="26"/>
          <w:szCs w:val="26"/>
          <w:lang w:eastAsia="ru-RU"/>
        </w:rPr>
      </w:pPr>
    </w:p>
    <w:p w14:paraId="0608AB5B" w14:textId="77777777" w:rsidR="00D03A4F" w:rsidRPr="0009555C" w:rsidRDefault="00D03A4F" w:rsidP="00D03A4F">
      <w:pPr>
        <w:spacing w:after="0" w:line="240" w:lineRule="auto"/>
        <w:jc w:val="center"/>
        <w:rPr>
          <w:rFonts w:ascii="Times New Roman" w:eastAsia="Times New Roman" w:hAnsi="Times New Roman" w:cs="Times New Roman"/>
          <w:b/>
          <w:bCs/>
          <w:sz w:val="26"/>
          <w:szCs w:val="26"/>
          <w:lang w:eastAsia="ru-RU"/>
        </w:rPr>
      </w:pPr>
      <w:r w:rsidRPr="0009555C">
        <w:rPr>
          <w:rFonts w:ascii="Times New Roman" w:eastAsia="Times New Roman" w:hAnsi="Times New Roman" w:cs="Times New Roman"/>
          <w:b/>
          <w:bCs/>
          <w:sz w:val="26"/>
          <w:szCs w:val="26"/>
          <w:lang w:eastAsia="ru-RU"/>
        </w:rPr>
        <w:t xml:space="preserve">Уровень потребительских расходов по домохозяйствам </w:t>
      </w:r>
    </w:p>
    <w:p w14:paraId="15A271F1" w14:textId="77777777" w:rsidR="00D03A4F" w:rsidRPr="0009555C" w:rsidRDefault="00D03A4F" w:rsidP="00D03A4F">
      <w:pPr>
        <w:spacing w:after="0" w:line="240" w:lineRule="auto"/>
        <w:jc w:val="center"/>
        <w:rPr>
          <w:rFonts w:ascii="Times New Roman" w:eastAsia="Times New Roman" w:hAnsi="Times New Roman" w:cs="Times New Roman"/>
          <w:b/>
          <w:bCs/>
          <w:sz w:val="26"/>
          <w:szCs w:val="26"/>
          <w:lang w:eastAsia="ru-RU"/>
        </w:rPr>
      </w:pPr>
      <w:r w:rsidRPr="0009555C">
        <w:rPr>
          <w:rFonts w:ascii="Times New Roman" w:eastAsia="Times New Roman" w:hAnsi="Times New Roman" w:cs="Times New Roman"/>
          <w:b/>
          <w:bCs/>
          <w:sz w:val="26"/>
          <w:szCs w:val="26"/>
          <w:lang w:eastAsia="ru-RU"/>
        </w:rPr>
        <w:t xml:space="preserve">с различным числом детей в возрасте до 16 лет </w:t>
      </w:r>
    </w:p>
    <w:p w14:paraId="13F9E0A7" w14:textId="77777777" w:rsidR="00D03A4F" w:rsidRPr="0009555C" w:rsidRDefault="00D03A4F" w:rsidP="00D03A4F">
      <w:pPr>
        <w:spacing w:after="0" w:line="240" w:lineRule="auto"/>
        <w:jc w:val="center"/>
        <w:rPr>
          <w:rFonts w:ascii="Times New Roman" w:eastAsia="Times New Roman" w:hAnsi="Times New Roman" w:cs="Times New Roman"/>
          <w:bCs/>
          <w:sz w:val="24"/>
          <w:szCs w:val="24"/>
          <w:lang w:eastAsia="ru-RU"/>
        </w:rPr>
      </w:pPr>
      <w:r w:rsidRPr="0009555C">
        <w:rPr>
          <w:rFonts w:ascii="Times New Roman" w:eastAsia="Times New Roman" w:hAnsi="Times New Roman" w:cs="Times New Roman"/>
          <w:bCs/>
          <w:sz w:val="24"/>
          <w:szCs w:val="24"/>
          <w:lang w:eastAsia="ru-RU"/>
        </w:rPr>
        <w:t xml:space="preserve"> (по данным выборочного обследования бюджетов домашних хозяйств, рублей)</w:t>
      </w:r>
    </w:p>
    <w:p w14:paraId="742C1FAF" w14:textId="77777777" w:rsidR="00D03A4F" w:rsidRPr="0009555C" w:rsidRDefault="00D03A4F" w:rsidP="00D03A4F">
      <w:pPr>
        <w:spacing w:after="0" w:line="240" w:lineRule="auto"/>
        <w:jc w:val="right"/>
        <w:rPr>
          <w:rFonts w:ascii="Times New Roman" w:eastAsia="Times New Roman" w:hAnsi="Times New Roman" w:cs="Times New Roman"/>
          <w:bCs/>
          <w:sz w:val="20"/>
          <w:szCs w:val="20"/>
          <w:lang w:eastAsia="ru-RU"/>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9"/>
        <w:gridCol w:w="1843"/>
        <w:gridCol w:w="1430"/>
        <w:gridCol w:w="1659"/>
        <w:gridCol w:w="1030"/>
        <w:gridCol w:w="1287"/>
      </w:tblGrid>
      <w:tr w:rsidR="00D03A4F" w:rsidRPr="0009555C" w14:paraId="7E983149" w14:textId="77777777" w:rsidTr="00944CB1">
        <w:trPr>
          <w:cantSplit/>
          <w:tblHeader/>
          <w:jc w:val="center"/>
        </w:trPr>
        <w:tc>
          <w:tcPr>
            <w:tcW w:w="3189" w:type="dxa"/>
            <w:vMerge w:val="restart"/>
            <w:vAlign w:val="bottom"/>
          </w:tcPr>
          <w:p w14:paraId="5BC8858B" w14:textId="77777777" w:rsidR="00D03A4F" w:rsidRPr="0009555C" w:rsidRDefault="00D03A4F" w:rsidP="00D03A4F">
            <w:pPr>
              <w:spacing w:after="0" w:line="240" w:lineRule="auto"/>
              <w:rPr>
                <w:rFonts w:ascii="Times New Roman" w:eastAsia="Times New Roman" w:hAnsi="Times New Roman" w:cs="Times New Roman"/>
                <w:sz w:val="24"/>
                <w:szCs w:val="24"/>
                <w:lang w:eastAsia="ru-RU"/>
              </w:rPr>
            </w:pPr>
          </w:p>
        </w:tc>
        <w:tc>
          <w:tcPr>
            <w:tcW w:w="1843" w:type="dxa"/>
            <w:vMerge w:val="restart"/>
          </w:tcPr>
          <w:p w14:paraId="36B800D6" w14:textId="77777777" w:rsidR="00D03A4F" w:rsidRPr="0009555C" w:rsidRDefault="00D03A4F" w:rsidP="00D03A4F">
            <w:pPr>
              <w:spacing w:after="0" w:line="240" w:lineRule="auto"/>
              <w:jc w:val="center"/>
              <w:rPr>
                <w:rFonts w:ascii="Times New Roman" w:eastAsia="Times New Roman" w:hAnsi="Times New Roman" w:cs="Times New Roman"/>
                <w:sz w:val="24"/>
                <w:szCs w:val="24"/>
                <w:lang w:eastAsia="ru-RU"/>
              </w:rPr>
            </w:pPr>
          </w:p>
          <w:p w14:paraId="4C04D554" w14:textId="77777777" w:rsidR="00D03A4F" w:rsidRPr="0009555C" w:rsidRDefault="00D03A4F" w:rsidP="00D03A4F">
            <w:pPr>
              <w:spacing w:after="0" w:line="240" w:lineRule="auto"/>
              <w:jc w:val="center"/>
              <w:rPr>
                <w:rFonts w:ascii="Times New Roman" w:eastAsia="Times New Roman" w:hAnsi="Times New Roman" w:cs="Times New Roman"/>
                <w:sz w:val="24"/>
                <w:szCs w:val="24"/>
                <w:lang w:eastAsia="ru-RU"/>
              </w:rPr>
            </w:pPr>
            <w:proofErr w:type="spellStart"/>
            <w:r w:rsidRPr="0009555C">
              <w:rPr>
                <w:rFonts w:ascii="Times New Roman" w:eastAsia="Times New Roman" w:hAnsi="Times New Roman" w:cs="Times New Roman"/>
                <w:sz w:val="24"/>
                <w:szCs w:val="24"/>
                <w:lang w:eastAsia="ru-RU"/>
              </w:rPr>
              <w:t>Потребительс</w:t>
            </w:r>
            <w:proofErr w:type="spellEnd"/>
            <w:r w:rsidRPr="0009555C">
              <w:rPr>
                <w:rFonts w:ascii="Times New Roman" w:eastAsia="Times New Roman" w:hAnsi="Times New Roman" w:cs="Times New Roman"/>
                <w:sz w:val="24"/>
                <w:szCs w:val="24"/>
                <w:lang w:eastAsia="ru-RU"/>
              </w:rPr>
              <w:t xml:space="preserve">-кие расходы, в среднем на члена домохозяйства, </w:t>
            </w:r>
          </w:p>
          <w:p w14:paraId="7078CB35" w14:textId="77777777" w:rsidR="00D03A4F" w:rsidRPr="0009555C" w:rsidRDefault="00D03A4F" w:rsidP="00D03A4F">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в месяц, всего</w:t>
            </w:r>
          </w:p>
        </w:tc>
        <w:tc>
          <w:tcPr>
            <w:tcW w:w="5406" w:type="dxa"/>
            <w:gridSpan w:val="4"/>
          </w:tcPr>
          <w:p w14:paraId="6518AC55" w14:textId="77777777" w:rsidR="00D03A4F" w:rsidRPr="0009555C" w:rsidRDefault="00D03A4F" w:rsidP="00D03A4F">
            <w:pPr>
              <w:spacing w:after="0" w:line="240" w:lineRule="auto"/>
              <w:ind w:right="340"/>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в том числе расходы:</w:t>
            </w:r>
          </w:p>
        </w:tc>
      </w:tr>
      <w:tr w:rsidR="00D03A4F" w:rsidRPr="0009555C" w14:paraId="72F5D82B" w14:textId="77777777" w:rsidTr="00944CB1">
        <w:trPr>
          <w:cantSplit/>
          <w:tblHeader/>
          <w:jc w:val="center"/>
        </w:trPr>
        <w:tc>
          <w:tcPr>
            <w:tcW w:w="3189" w:type="dxa"/>
            <w:vMerge/>
            <w:vAlign w:val="bottom"/>
          </w:tcPr>
          <w:p w14:paraId="2FA7B9C1" w14:textId="77777777" w:rsidR="00D03A4F" w:rsidRPr="0009555C" w:rsidRDefault="00D03A4F" w:rsidP="00D03A4F">
            <w:pPr>
              <w:spacing w:after="0" w:line="240" w:lineRule="auto"/>
              <w:rPr>
                <w:rFonts w:ascii="Times New Roman" w:eastAsia="Times New Roman" w:hAnsi="Times New Roman" w:cs="Times New Roman"/>
                <w:sz w:val="24"/>
                <w:szCs w:val="24"/>
                <w:lang w:eastAsia="ru-RU"/>
              </w:rPr>
            </w:pPr>
          </w:p>
        </w:tc>
        <w:tc>
          <w:tcPr>
            <w:tcW w:w="1843" w:type="dxa"/>
            <w:vMerge/>
            <w:vAlign w:val="bottom"/>
          </w:tcPr>
          <w:p w14:paraId="508DDAE2" w14:textId="77777777" w:rsidR="00D03A4F" w:rsidRPr="0009555C" w:rsidRDefault="00D03A4F" w:rsidP="00D03A4F">
            <w:pPr>
              <w:spacing w:after="0" w:line="240" w:lineRule="auto"/>
              <w:ind w:right="340"/>
              <w:jc w:val="right"/>
              <w:rPr>
                <w:rFonts w:ascii="Times New Roman" w:eastAsia="Times New Roman" w:hAnsi="Times New Roman" w:cs="Times New Roman"/>
                <w:sz w:val="24"/>
                <w:szCs w:val="24"/>
                <w:lang w:eastAsia="ru-RU"/>
              </w:rPr>
            </w:pPr>
          </w:p>
        </w:tc>
        <w:tc>
          <w:tcPr>
            <w:tcW w:w="1430" w:type="dxa"/>
          </w:tcPr>
          <w:p w14:paraId="6D12EBA9" w14:textId="77777777" w:rsidR="00D03A4F" w:rsidRPr="0009555C" w:rsidRDefault="00D03A4F" w:rsidP="00D03A4F">
            <w:pPr>
              <w:tabs>
                <w:tab w:val="left" w:leader="dot" w:pos="5670"/>
              </w:tabs>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на покупку продуктов для домашнего питания и питание вне дома</w:t>
            </w:r>
          </w:p>
        </w:tc>
        <w:tc>
          <w:tcPr>
            <w:tcW w:w="1659" w:type="dxa"/>
          </w:tcPr>
          <w:p w14:paraId="09E7B140" w14:textId="77777777" w:rsidR="00D03A4F" w:rsidRPr="0009555C" w:rsidRDefault="00D03A4F" w:rsidP="00D03A4F">
            <w:pPr>
              <w:tabs>
                <w:tab w:val="left" w:leader="dot" w:pos="5670"/>
              </w:tabs>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 xml:space="preserve">на покупку </w:t>
            </w:r>
            <w:proofErr w:type="spellStart"/>
            <w:r w:rsidRPr="0009555C">
              <w:rPr>
                <w:rFonts w:ascii="Times New Roman" w:eastAsia="Times New Roman" w:hAnsi="Times New Roman" w:cs="Times New Roman"/>
                <w:sz w:val="24"/>
                <w:szCs w:val="24"/>
                <w:lang w:eastAsia="ru-RU"/>
              </w:rPr>
              <w:t>непродо-вольственных</w:t>
            </w:r>
            <w:proofErr w:type="spellEnd"/>
            <w:r w:rsidRPr="0009555C">
              <w:rPr>
                <w:rFonts w:ascii="Times New Roman" w:eastAsia="Times New Roman" w:hAnsi="Times New Roman" w:cs="Times New Roman"/>
                <w:sz w:val="24"/>
                <w:szCs w:val="24"/>
                <w:lang w:eastAsia="ru-RU"/>
              </w:rPr>
              <w:t xml:space="preserve"> товаров</w:t>
            </w:r>
          </w:p>
        </w:tc>
        <w:tc>
          <w:tcPr>
            <w:tcW w:w="1030" w:type="dxa"/>
          </w:tcPr>
          <w:p w14:paraId="1887ABA9" w14:textId="77777777" w:rsidR="00D03A4F" w:rsidRPr="0009555C" w:rsidRDefault="00D03A4F" w:rsidP="00D03A4F">
            <w:pPr>
              <w:tabs>
                <w:tab w:val="left" w:leader="dot" w:pos="5670"/>
              </w:tabs>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на оплату услуг</w:t>
            </w:r>
          </w:p>
        </w:tc>
        <w:tc>
          <w:tcPr>
            <w:tcW w:w="1287" w:type="dxa"/>
          </w:tcPr>
          <w:p w14:paraId="27D129D8" w14:textId="77777777" w:rsidR="00D03A4F" w:rsidRPr="0009555C" w:rsidRDefault="00D03A4F" w:rsidP="00D03A4F">
            <w:pPr>
              <w:tabs>
                <w:tab w:val="left" w:leader="dot" w:pos="5670"/>
              </w:tabs>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 xml:space="preserve">на </w:t>
            </w:r>
          </w:p>
          <w:p w14:paraId="1E3F06D5" w14:textId="77777777" w:rsidR="00D03A4F" w:rsidRPr="0009555C" w:rsidRDefault="00D03A4F" w:rsidP="00D03A4F">
            <w:pPr>
              <w:tabs>
                <w:tab w:val="left" w:leader="dot" w:pos="5670"/>
              </w:tabs>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покупку алкоголь-</w:t>
            </w:r>
            <w:proofErr w:type="spellStart"/>
            <w:r w:rsidRPr="0009555C">
              <w:rPr>
                <w:rFonts w:ascii="Times New Roman" w:eastAsia="Times New Roman" w:hAnsi="Times New Roman" w:cs="Times New Roman"/>
                <w:sz w:val="24"/>
                <w:szCs w:val="24"/>
                <w:lang w:eastAsia="ru-RU"/>
              </w:rPr>
              <w:t>ных</w:t>
            </w:r>
            <w:proofErr w:type="spellEnd"/>
            <w:r w:rsidRPr="0009555C">
              <w:rPr>
                <w:rFonts w:ascii="Times New Roman" w:eastAsia="Times New Roman" w:hAnsi="Times New Roman" w:cs="Times New Roman"/>
                <w:sz w:val="24"/>
                <w:szCs w:val="24"/>
                <w:lang w:eastAsia="ru-RU"/>
              </w:rPr>
              <w:t xml:space="preserve"> напитков</w:t>
            </w:r>
          </w:p>
        </w:tc>
      </w:tr>
      <w:tr w:rsidR="0009555C" w:rsidRPr="0009555C" w14:paraId="3AFD8964" w14:textId="77777777" w:rsidTr="00944CB1">
        <w:trPr>
          <w:jc w:val="center"/>
        </w:trPr>
        <w:tc>
          <w:tcPr>
            <w:tcW w:w="10438" w:type="dxa"/>
            <w:gridSpan w:val="6"/>
            <w:vAlign w:val="center"/>
          </w:tcPr>
          <w:p w14:paraId="5C72CBB3" w14:textId="77777777" w:rsidR="0009555C" w:rsidRPr="0009555C" w:rsidRDefault="0009555C" w:rsidP="0009555C">
            <w:pPr>
              <w:spacing w:after="0" w:line="264" w:lineRule="auto"/>
              <w:jc w:val="center"/>
              <w:rPr>
                <w:rFonts w:ascii="Times New Roman" w:eastAsia="Times New Roman" w:hAnsi="Times New Roman" w:cs="Times New Roman"/>
                <w:b/>
                <w:sz w:val="24"/>
                <w:szCs w:val="24"/>
                <w:lang w:eastAsia="ru-RU"/>
              </w:rPr>
            </w:pPr>
            <w:r w:rsidRPr="0009555C">
              <w:rPr>
                <w:rFonts w:ascii="Times New Roman" w:eastAsia="Times New Roman" w:hAnsi="Times New Roman" w:cs="Times New Roman"/>
                <w:b/>
                <w:sz w:val="24"/>
                <w:szCs w:val="24"/>
                <w:lang w:eastAsia="ru-RU"/>
              </w:rPr>
              <w:t>2019 г.</w:t>
            </w:r>
          </w:p>
        </w:tc>
      </w:tr>
      <w:tr w:rsidR="0009555C" w:rsidRPr="0009555C" w14:paraId="3B969763" w14:textId="77777777" w:rsidTr="00944CB1">
        <w:trPr>
          <w:jc w:val="center"/>
        </w:trPr>
        <w:tc>
          <w:tcPr>
            <w:tcW w:w="3189" w:type="dxa"/>
            <w:vAlign w:val="center"/>
          </w:tcPr>
          <w:p w14:paraId="2B8C825E" w14:textId="77777777"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Домашние хозяйства с детьми в возрасте до 16 лет, имеющие:</w:t>
            </w:r>
          </w:p>
          <w:p w14:paraId="48721D19" w14:textId="77777777"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одного ребенка</w:t>
            </w:r>
          </w:p>
        </w:tc>
        <w:tc>
          <w:tcPr>
            <w:tcW w:w="1843" w:type="dxa"/>
            <w:vAlign w:val="bottom"/>
          </w:tcPr>
          <w:p w14:paraId="5CD336D3" w14:textId="77777777" w:rsidR="0009555C" w:rsidRPr="0009555C" w:rsidRDefault="0009555C" w:rsidP="00536DC7">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17 59</w:t>
            </w:r>
            <w:r w:rsidR="00536DC7">
              <w:rPr>
                <w:rFonts w:ascii="Times New Roman" w:eastAsia="Times New Roman" w:hAnsi="Times New Roman" w:cs="Times New Roman"/>
                <w:sz w:val="24"/>
                <w:szCs w:val="24"/>
                <w:lang w:eastAsia="ru-RU"/>
              </w:rPr>
              <w:t>7,8</w:t>
            </w:r>
          </w:p>
        </w:tc>
        <w:tc>
          <w:tcPr>
            <w:tcW w:w="1430" w:type="dxa"/>
            <w:vAlign w:val="bottom"/>
          </w:tcPr>
          <w:p w14:paraId="2DEB2853" w14:textId="77777777"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5 590,1</w:t>
            </w:r>
          </w:p>
        </w:tc>
        <w:tc>
          <w:tcPr>
            <w:tcW w:w="1659" w:type="dxa"/>
            <w:vAlign w:val="bottom"/>
          </w:tcPr>
          <w:p w14:paraId="3176D2AB" w14:textId="77777777" w:rsidR="0009555C" w:rsidRPr="0009555C" w:rsidRDefault="0009555C" w:rsidP="005A24F5">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6 564,1</w:t>
            </w:r>
          </w:p>
        </w:tc>
        <w:tc>
          <w:tcPr>
            <w:tcW w:w="1030" w:type="dxa"/>
            <w:vAlign w:val="bottom"/>
          </w:tcPr>
          <w:p w14:paraId="367CADC8" w14:textId="77777777" w:rsidR="0009555C" w:rsidRPr="0009555C" w:rsidRDefault="0009555C" w:rsidP="00536DC7">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5 17</w:t>
            </w:r>
            <w:r w:rsidR="00536DC7">
              <w:rPr>
                <w:rFonts w:ascii="Times New Roman" w:eastAsia="Times New Roman" w:hAnsi="Times New Roman" w:cs="Times New Roman"/>
                <w:sz w:val="24"/>
                <w:szCs w:val="24"/>
                <w:lang w:eastAsia="ru-RU"/>
              </w:rPr>
              <w:t>5,0</w:t>
            </w:r>
          </w:p>
        </w:tc>
        <w:tc>
          <w:tcPr>
            <w:tcW w:w="1287" w:type="dxa"/>
            <w:vAlign w:val="bottom"/>
          </w:tcPr>
          <w:p w14:paraId="6823AC51" w14:textId="77777777" w:rsidR="0009555C" w:rsidRPr="0009555C" w:rsidRDefault="0009555C" w:rsidP="00536DC7">
            <w:pPr>
              <w:spacing w:after="0" w:line="240"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268,</w:t>
            </w:r>
            <w:r w:rsidR="00536DC7">
              <w:rPr>
                <w:rFonts w:ascii="Times New Roman" w:eastAsia="Times New Roman" w:hAnsi="Times New Roman" w:cs="Times New Roman"/>
                <w:sz w:val="24"/>
                <w:szCs w:val="24"/>
                <w:lang w:eastAsia="ru-RU"/>
              </w:rPr>
              <w:t>6</w:t>
            </w:r>
          </w:p>
        </w:tc>
      </w:tr>
      <w:tr w:rsidR="0009555C" w:rsidRPr="0009555C" w14:paraId="1151A713" w14:textId="77777777" w:rsidTr="00944CB1">
        <w:trPr>
          <w:jc w:val="center"/>
        </w:trPr>
        <w:tc>
          <w:tcPr>
            <w:tcW w:w="3189" w:type="dxa"/>
            <w:vAlign w:val="center"/>
          </w:tcPr>
          <w:p w14:paraId="1B3A8363" w14:textId="77777777" w:rsidR="0009555C" w:rsidRPr="0009555C" w:rsidRDefault="0009555C" w:rsidP="00D03A4F">
            <w:pPr>
              <w:spacing w:after="0" w:line="264"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двух детей</w:t>
            </w:r>
          </w:p>
        </w:tc>
        <w:tc>
          <w:tcPr>
            <w:tcW w:w="1843" w:type="dxa"/>
            <w:vAlign w:val="center"/>
          </w:tcPr>
          <w:p w14:paraId="2ECF3F50" w14:textId="77777777" w:rsidR="0009555C" w:rsidRPr="0009555C" w:rsidRDefault="0009555C" w:rsidP="00536DC7">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14 25</w:t>
            </w:r>
            <w:r w:rsidR="00536DC7">
              <w:rPr>
                <w:rFonts w:ascii="Times New Roman" w:eastAsia="Times New Roman" w:hAnsi="Times New Roman" w:cs="Times New Roman"/>
                <w:sz w:val="24"/>
                <w:szCs w:val="24"/>
                <w:lang w:eastAsia="ru-RU"/>
              </w:rPr>
              <w:t>6,6</w:t>
            </w:r>
          </w:p>
        </w:tc>
        <w:tc>
          <w:tcPr>
            <w:tcW w:w="1430" w:type="dxa"/>
            <w:vAlign w:val="center"/>
          </w:tcPr>
          <w:p w14:paraId="5FBCAB70" w14:textId="77777777" w:rsidR="0009555C" w:rsidRPr="0009555C" w:rsidRDefault="0009555C" w:rsidP="005A24F5">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4 672,8</w:t>
            </w:r>
          </w:p>
        </w:tc>
        <w:tc>
          <w:tcPr>
            <w:tcW w:w="1659" w:type="dxa"/>
            <w:vAlign w:val="center"/>
          </w:tcPr>
          <w:p w14:paraId="6409DD8C" w14:textId="77777777" w:rsidR="0009555C" w:rsidRPr="0009555C" w:rsidRDefault="0009555C" w:rsidP="005A24F5">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5 243,2</w:t>
            </w:r>
          </w:p>
        </w:tc>
        <w:tc>
          <w:tcPr>
            <w:tcW w:w="1030" w:type="dxa"/>
            <w:vAlign w:val="center"/>
          </w:tcPr>
          <w:p w14:paraId="69853958" w14:textId="77777777" w:rsidR="0009555C" w:rsidRPr="0009555C" w:rsidRDefault="0009555C" w:rsidP="00536DC7">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4 09</w:t>
            </w:r>
            <w:r w:rsidR="00536DC7">
              <w:rPr>
                <w:rFonts w:ascii="Times New Roman" w:eastAsia="Times New Roman" w:hAnsi="Times New Roman" w:cs="Times New Roman"/>
                <w:sz w:val="24"/>
                <w:szCs w:val="24"/>
                <w:lang w:eastAsia="ru-RU"/>
              </w:rPr>
              <w:t>2</w:t>
            </w:r>
            <w:r w:rsidRPr="0009555C">
              <w:rPr>
                <w:rFonts w:ascii="Times New Roman" w:eastAsia="Times New Roman" w:hAnsi="Times New Roman" w:cs="Times New Roman"/>
                <w:sz w:val="24"/>
                <w:szCs w:val="24"/>
                <w:lang w:eastAsia="ru-RU"/>
              </w:rPr>
              <w:t>,</w:t>
            </w:r>
            <w:r w:rsidR="00536DC7">
              <w:rPr>
                <w:rFonts w:ascii="Times New Roman" w:eastAsia="Times New Roman" w:hAnsi="Times New Roman" w:cs="Times New Roman"/>
                <w:sz w:val="24"/>
                <w:szCs w:val="24"/>
                <w:lang w:eastAsia="ru-RU"/>
              </w:rPr>
              <w:t>3</w:t>
            </w:r>
          </w:p>
        </w:tc>
        <w:tc>
          <w:tcPr>
            <w:tcW w:w="1287" w:type="dxa"/>
            <w:vAlign w:val="center"/>
          </w:tcPr>
          <w:p w14:paraId="36F5DDFB" w14:textId="77777777" w:rsidR="0009555C" w:rsidRPr="0009555C" w:rsidRDefault="0009555C" w:rsidP="00536DC7">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248,</w:t>
            </w:r>
            <w:r w:rsidR="00536DC7">
              <w:rPr>
                <w:rFonts w:ascii="Times New Roman" w:eastAsia="Times New Roman" w:hAnsi="Times New Roman" w:cs="Times New Roman"/>
                <w:sz w:val="24"/>
                <w:szCs w:val="24"/>
                <w:lang w:eastAsia="ru-RU"/>
              </w:rPr>
              <w:t>3</w:t>
            </w:r>
          </w:p>
        </w:tc>
      </w:tr>
      <w:tr w:rsidR="0009555C" w:rsidRPr="0009555C" w14:paraId="5582D881" w14:textId="77777777" w:rsidTr="00944CB1">
        <w:trPr>
          <w:jc w:val="center"/>
        </w:trPr>
        <w:tc>
          <w:tcPr>
            <w:tcW w:w="3189" w:type="dxa"/>
            <w:vAlign w:val="center"/>
          </w:tcPr>
          <w:p w14:paraId="048342EC" w14:textId="77777777" w:rsidR="0009555C" w:rsidRPr="0009555C" w:rsidRDefault="0009555C" w:rsidP="00D03A4F">
            <w:pPr>
              <w:spacing w:after="0" w:line="264"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трех и более детей</w:t>
            </w:r>
          </w:p>
        </w:tc>
        <w:tc>
          <w:tcPr>
            <w:tcW w:w="1843" w:type="dxa"/>
            <w:vAlign w:val="center"/>
          </w:tcPr>
          <w:p w14:paraId="3AAB01FF" w14:textId="77777777" w:rsidR="0009555C" w:rsidRPr="0009555C" w:rsidRDefault="0009555C" w:rsidP="00536DC7">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10 18</w:t>
            </w:r>
            <w:r w:rsidR="00536DC7">
              <w:rPr>
                <w:rFonts w:ascii="Times New Roman" w:eastAsia="Times New Roman" w:hAnsi="Times New Roman" w:cs="Times New Roman"/>
                <w:sz w:val="24"/>
                <w:szCs w:val="24"/>
                <w:lang w:eastAsia="ru-RU"/>
              </w:rPr>
              <w:t>1</w:t>
            </w:r>
            <w:r w:rsidRPr="0009555C">
              <w:rPr>
                <w:rFonts w:ascii="Times New Roman" w:eastAsia="Times New Roman" w:hAnsi="Times New Roman" w:cs="Times New Roman"/>
                <w:sz w:val="24"/>
                <w:szCs w:val="24"/>
                <w:lang w:eastAsia="ru-RU"/>
              </w:rPr>
              <w:t>,</w:t>
            </w:r>
            <w:r w:rsidR="00536DC7">
              <w:rPr>
                <w:rFonts w:ascii="Times New Roman" w:eastAsia="Times New Roman" w:hAnsi="Times New Roman" w:cs="Times New Roman"/>
                <w:sz w:val="24"/>
                <w:szCs w:val="24"/>
                <w:lang w:eastAsia="ru-RU"/>
              </w:rPr>
              <w:t>4</w:t>
            </w:r>
          </w:p>
        </w:tc>
        <w:tc>
          <w:tcPr>
            <w:tcW w:w="1430" w:type="dxa"/>
            <w:vAlign w:val="center"/>
          </w:tcPr>
          <w:p w14:paraId="4D785832" w14:textId="77777777" w:rsidR="0009555C" w:rsidRPr="0009555C" w:rsidRDefault="0009555C" w:rsidP="005A24F5">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3 554,2</w:t>
            </w:r>
          </w:p>
        </w:tc>
        <w:tc>
          <w:tcPr>
            <w:tcW w:w="1659" w:type="dxa"/>
            <w:vAlign w:val="center"/>
          </w:tcPr>
          <w:p w14:paraId="1CDC57B9" w14:textId="77777777" w:rsidR="0009555C" w:rsidRPr="0009555C" w:rsidRDefault="0009555C" w:rsidP="005A24F5">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4 119,2</w:t>
            </w:r>
          </w:p>
        </w:tc>
        <w:tc>
          <w:tcPr>
            <w:tcW w:w="1030" w:type="dxa"/>
            <w:vAlign w:val="center"/>
          </w:tcPr>
          <w:p w14:paraId="4C1E1AB7" w14:textId="77777777" w:rsidR="0009555C" w:rsidRPr="0009555C" w:rsidRDefault="0009555C" w:rsidP="00536DC7">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2 40</w:t>
            </w:r>
            <w:r w:rsidR="00536DC7">
              <w:rPr>
                <w:rFonts w:ascii="Times New Roman" w:eastAsia="Times New Roman" w:hAnsi="Times New Roman" w:cs="Times New Roman"/>
                <w:sz w:val="24"/>
                <w:szCs w:val="24"/>
                <w:lang w:eastAsia="ru-RU"/>
              </w:rPr>
              <w:t>2</w:t>
            </w:r>
            <w:r w:rsidRPr="0009555C">
              <w:rPr>
                <w:rFonts w:ascii="Times New Roman" w:eastAsia="Times New Roman" w:hAnsi="Times New Roman" w:cs="Times New Roman"/>
                <w:sz w:val="24"/>
                <w:szCs w:val="24"/>
                <w:lang w:eastAsia="ru-RU"/>
              </w:rPr>
              <w:t>,</w:t>
            </w:r>
            <w:r w:rsidR="00536DC7">
              <w:rPr>
                <w:rFonts w:ascii="Times New Roman" w:eastAsia="Times New Roman" w:hAnsi="Times New Roman" w:cs="Times New Roman"/>
                <w:sz w:val="24"/>
                <w:szCs w:val="24"/>
                <w:lang w:eastAsia="ru-RU"/>
              </w:rPr>
              <w:t>0</w:t>
            </w:r>
          </w:p>
        </w:tc>
        <w:tc>
          <w:tcPr>
            <w:tcW w:w="1287" w:type="dxa"/>
            <w:vAlign w:val="center"/>
          </w:tcPr>
          <w:p w14:paraId="39F3B566" w14:textId="77777777" w:rsidR="0009555C" w:rsidRPr="0009555C" w:rsidRDefault="0009555C" w:rsidP="00536DC7">
            <w:pPr>
              <w:spacing w:after="0" w:line="264" w:lineRule="auto"/>
              <w:jc w:val="center"/>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106,</w:t>
            </w:r>
            <w:r w:rsidR="00536DC7">
              <w:rPr>
                <w:rFonts w:ascii="Times New Roman" w:eastAsia="Times New Roman" w:hAnsi="Times New Roman" w:cs="Times New Roman"/>
                <w:sz w:val="24"/>
                <w:szCs w:val="24"/>
                <w:lang w:eastAsia="ru-RU"/>
              </w:rPr>
              <w:t>0</w:t>
            </w:r>
          </w:p>
        </w:tc>
      </w:tr>
      <w:tr w:rsidR="0009555C" w:rsidRPr="0009555C" w14:paraId="22E5AD4C" w14:textId="77777777" w:rsidTr="00944CB1">
        <w:trPr>
          <w:jc w:val="center"/>
        </w:trPr>
        <w:tc>
          <w:tcPr>
            <w:tcW w:w="10438" w:type="dxa"/>
            <w:gridSpan w:val="6"/>
            <w:vAlign w:val="center"/>
          </w:tcPr>
          <w:p w14:paraId="17B8AD86" w14:textId="77777777" w:rsidR="0009555C" w:rsidRPr="0009555C" w:rsidRDefault="0009555C" w:rsidP="0009555C">
            <w:pPr>
              <w:spacing w:after="0" w:line="264" w:lineRule="auto"/>
              <w:jc w:val="center"/>
              <w:rPr>
                <w:rFonts w:ascii="Times New Roman" w:eastAsia="Times New Roman" w:hAnsi="Times New Roman" w:cs="Times New Roman"/>
                <w:b/>
                <w:sz w:val="24"/>
                <w:szCs w:val="24"/>
                <w:lang w:eastAsia="ru-RU"/>
              </w:rPr>
            </w:pPr>
            <w:r w:rsidRPr="0009555C">
              <w:rPr>
                <w:rFonts w:ascii="Times New Roman" w:eastAsia="Times New Roman" w:hAnsi="Times New Roman" w:cs="Times New Roman"/>
                <w:b/>
                <w:sz w:val="24"/>
                <w:szCs w:val="24"/>
                <w:lang w:eastAsia="ru-RU"/>
              </w:rPr>
              <w:t xml:space="preserve">2020 г. </w:t>
            </w:r>
          </w:p>
        </w:tc>
      </w:tr>
      <w:tr w:rsidR="0009555C" w:rsidRPr="0009555C" w14:paraId="6A2049D4" w14:textId="77777777" w:rsidTr="00944CB1">
        <w:trPr>
          <w:jc w:val="center"/>
        </w:trPr>
        <w:tc>
          <w:tcPr>
            <w:tcW w:w="3189" w:type="dxa"/>
            <w:vAlign w:val="center"/>
          </w:tcPr>
          <w:p w14:paraId="6035F840" w14:textId="77777777"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Домашние хозяйства с детьми в возрасте до 16 лет, имеющие:</w:t>
            </w:r>
          </w:p>
          <w:p w14:paraId="11819F92" w14:textId="77777777" w:rsidR="0009555C" w:rsidRPr="0009555C" w:rsidRDefault="0009555C" w:rsidP="00D03A4F">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одного ребенка</w:t>
            </w:r>
          </w:p>
        </w:tc>
        <w:tc>
          <w:tcPr>
            <w:tcW w:w="1843" w:type="dxa"/>
            <w:vAlign w:val="bottom"/>
          </w:tcPr>
          <w:p w14:paraId="34D3623B" w14:textId="77777777" w:rsidR="0009555C" w:rsidRPr="0009555C" w:rsidRDefault="0009555C" w:rsidP="00536DC7">
            <w:pPr>
              <w:spacing w:after="0" w:line="240" w:lineRule="auto"/>
              <w:jc w:val="center"/>
              <w:rPr>
                <w:rFonts w:ascii="Times New Roman" w:hAnsi="Times New Roman"/>
                <w:sz w:val="24"/>
                <w:szCs w:val="24"/>
              </w:rPr>
            </w:pPr>
            <w:r w:rsidRPr="0009555C">
              <w:rPr>
                <w:rFonts w:ascii="Times New Roman" w:hAnsi="Times New Roman"/>
                <w:sz w:val="24"/>
                <w:szCs w:val="24"/>
              </w:rPr>
              <w:t xml:space="preserve">17 </w:t>
            </w:r>
            <w:r w:rsidR="00536DC7">
              <w:rPr>
                <w:rFonts w:ascii="Times New Roman" w:hAnsi="Times New Roman"/>
                <w:sz w:val="24"/>
                <w:szCs w:val="24"/>
              </w:rPr>
              <w:t>810</w:t>
            </w:r>
            <w:r w:rsidRPr="0009555C">
              <w:rPr>
                <w:rFonts w:ascii="Times New Roman" w:hAnsi="Times New Roman"/>
                <w:sz w:val="24"/>
                <w:szCs w:val="24"/>
              </w:rPr>
              <w:t>,</w:t>
            </w:r>
            <w:r w:rsidR="00536DC7">
              <w:rPr>
                <w:rFonts w:ascii="Times New Roman" w:hAnsi="Times New Roman"/>
                <w:sz w:val="24"/>
                <w:szCs w:val="24"/>
              </w:rPr>
              <w:t>1</w:t>
            </w:r>
          </w:p>
        </w:tc>
        <w:tc>
          <w:tcPr>
            <w:tcW w:w="1430" w:type="dxa"/>
            <w:vAlign w:val="bottom"/>
          </w:tcPr>
          <w:p w14:paraId="2C6C4222" w14:textId="77777777" w:rsidR="0009555C" w:rsidRPr="0009555C" w:rsidRDefault="008767FC" w:rsidP="008767FC">
            <w:pPr>
              <w:spacing w:after="0" w:line="240" w:lineRule="auto"/>
              <w:jc w:val="center"/>
              <w:rPr>
                <w:rFonts w:ascii="Times New Roman" w:hAnsi="Times New Roman"/>
                <w:sz w:val="24"/>
                <w:szCs w:val="24"/>
              </w:rPr>
            </w:pPr>
            <w:r>
              <w:rPr>
                <w:rFonts w:ascii="Times New Roman" w:hAnsi="Times New Roman"/>
                <w:sz w:val="24"/>
                <w:szCs w:val="24"/>
              </w:rPr>
              <w:t>5 83</w:t>
            </w:r>
            <w:r w:rsidR="0009555C" w:rsidRPr="0009555C">
              <w:rPr>
                <w:rFonts w:ascii="Times New Roman" w:hAnsi="Times New Roman"/>
                <w:sz w:val="24"/>
                <w:szCs w:val="24"/>
              </w:rPr>
              <w:t>2,</w:t>
            </w:r>
            <w:r>
              <w:rPr>
                <w:rFonts w:ascii="Times New Roman" w:hAnsi="Times New Roman"/>
                <w:sz w:val="24"/>
                <w:szCs w:val="24"/>
              </w:rPr>
              <w:t>1</w:t>
            </w:r>
          </w:p>
        </w:tc>
        <w:tc>
          <w:tcPr>
            <w:tcW w:w="1659" w:type="dxa"/>
            <w:vAlign w:val="bottom"/>
          </w:tcPr>
          <w:p w14:paraId="5031DDE1" w14:textId="77777777" w:rsidR="0009555C" w:rsidRPr="0009555C" w:rsidRDefault="0009555C" w:rsidP="00536DC7">
            <w:pPr>
              <w:spacing w:after="0" w:line="240" w:lineRule="auto"/>
              <w:jc w:val="center"/>
              <w:rPr>
                <w:rFonts w:ascii="Times New Roman" w:hAnsi="Times New Roman"/>
                <w:sz w:val="24"/>
                <w:szCs w:val="24"/>
              </w:rPr>
            </w:pPr>
            <w:r w:rsidRPr="0009555C">
              <w:rPr>
                <w:rFonts w:ascii="Times New Roman" w:hAnsi="Times New Roman"/>
                <w:sz w:val="24"/>
                <w:szCs w:val="24"/>
              </w:rPr>
              <w:t>6</w:t>
            </w:r>
            <w:r w:rsidR="008767FC">
              <w:rPr>
                <w:rFonts w:ascii="Times New Roman" w:hAnsi="Times New Roman"/>
                <w:sz w:val="24"/>
                <w:szCs w:val="24"/>
              </w:rPr>
              <w:t xml:space="preserve"> </w:t>
            </w:r>
            <w:r w:rsidR="00536DC7">
              <w:rPr>
                <w:rFonts w:ascii="Times New Roman" w:hAnsi="Times New Roman"/>
                <w:sz w:val="24"/>
                <w:szCs w:val="24"/>
              </w:rPr>
              <w:t>922</w:t>
            </w:r>
            <w:r w:rsidRPr="0009555C">
              <w:rPr>
                <w:rFonts w:ascii="Times New Roman" w:hAnsi="Times New Roman"/>
                <w:sz w:val="24"/>
                <w:szCs w:val="24"/>
              </w:rPr>
              <w:t>,</w:t>
            </w:r>
            <w:r w:rsidR="00536DC7">
              <w:rPr>
                <w:rFonts w:ascii="Times New Roman" w:hAnsi="Times New Roman"/>
                <w:sz w:val="24"/>
                <w:szCs w:val="24"/>
              </w:rPr>
              <w:t>2</w:t>
            </w:r>
          </w:p>
        </w:tc>
        <w:tc>
          <w:tcPr>
            <w:tcW w:w="1030" w:type="dxa"/>
            <w:vAlign w:val="bottom"/>
          </w:tcPr>
          <w:p w14:paraId="2419DE2D" w14:textId="77777777" w:rsidR="0009555C" w:rsidRPr="0009555C" w:rsidRDefault="0009555C" w:rsidP="008767FC">
            <w:pPr>
              <w:spacing w:after="0" w:line="240" w:lineRule="auto"/>
              <w:jc w:val="center"/>
              <w:rPr>
                <w:rFonts w:ascii="Times New Roman" w:hAnsi="Times New Roman"/>
                <w:sz w:val="24"/>
                <w:szCs w:val="24"/>
              </w:rPr>
            </w:pPr>
            <w:r w:rsidRPr="0009555C">
              <w:rPr>
                <w:rFonts w:ascii="Times New Roman" w:hAnsi="Times New Roman"/>
                <w:sz w:val="24"/>
                <w:szCs w:val="24"/>
              </w:rPr>
              <w:t>4 78</w:t>
            </w:r>
            <w:r w:rsidR="008767FC">
              <w:rPr>
                <w:rFonts w:ascii="Times New Roman" w:hAnsi="Times New Roman"/>
                <w:sz w:val="24"/>
                <w:szCs w:val="24"/>
              </w:rPr>
              <w:t>8</w:t>
            </w:r>
            <w:r w:rsidRPr="0009555C">
              <w:rPr>
                <w:rFonts w:ascii="Times New Roman" w:hAnsi="Times New Roman"/>
                <w:sz w:val="24"/>
                <w:szCs w:val="24"/>
              </w:rPr>
              <w:t>,</w:t>
            </w:r>
            <w:r w:rsidR="008767FC">
              <w:rPr>
                <w:rFonts w:ascii="Times New Roman" w:hAnsi="Times New Roman"/>
                <w:sz w:val="24"/>
                <w:szCs w:val="24"/>
              </w:rPr>
              <w:t>1</w:t>
            </w:r>
          </w:p>
        </w:tc>
        <w:tc>
          <w:tcPr>
            <w:tcW w:w="1287" w:type="dxa"/>
            <w:vAlign w:val="bottom"/>
          </w:tcPr>
          <w:p w14:paraId="0F6D2B3C" w14:textId="77777777" w:rsidR="0009555C" w:rsidRPr="0009555C" w:rsidRDefault="0009555C" w:rsidP="00536DC7">
            <w:pPr>
              <w:spacing w:after="0" w:line="240" w:lineRule="auto"/>
              <w:jc w:val="center"/>
              <w:rPr>
                <w:rFonts w:ascii="Times New Roman" w:hAnsi="Times New Roman"/>
                <w:sz w:val="24"/>
                <w:szCs w:val="24"/>
              </w:rPr>
            </w:pPr>
            <w:r w:rsidRPr="0009555C">
              <w:rPr>
                <w:rFonts w:ascii="Times New Roman" w:hAnsi="Times New Roman"/>
                <w:sz w:val="24"/>
                <w:szCs w:val="24"/>
              </w:rPr>
              <w:t>2</w:t>
            </w:r>
            <w:r w:rsidR="008767FC">
              <w:rPr>
                <w:rFonts w:ascii="Times New Roman" w:hAnsi="Times New Roman"/>
                <w:sz w:val="24"/>
                <w:szCs w:val="24"/>
              </w:rPr>
              <w:t>67</w:t>
            </w:r>
            <w:r w:rsidRPr="0009555C">
              <w:rPr>
                <w:rFonts w:ascii="Times New Roman" w:hAnsi="Times New Roman"/>
                <w:sz w:val="24"/>
                <w:szCs w:val="24"/>
              </w:rPr>
              <w:t>,</w:t>
            </w:r>
            <w:r w:rsidR="00536DC7">
              <w:rPr>
                <w:rFonts w:ascii="Times New Roman" w:hAnsi="Times New Roman"/>
                <w:sz w:val="24"/>
                <w:szCs w:val="24"/>
              </w:rPr>
              <w:t>7</w:t>
            </w:r>
          </w:p>
        </w:tc>
      </w:tr>
      <w:tr w:rsidR="0009555C" w:rsidRPr="0009555C" w14:paraId="0C45F0EA" w14:textId="77777777" w:rsidTr="005A24F5">
        <w:trPr>
          <w:trHeight w:val="340"/>
          <w:jc w:val="center"/>
        </w:trPr>
        <w:tc>
          <w:tcPr>
            <w:tcW w:w="3189" w:type="dxa"/>
            <w:vAlign w:val="center"/>
          </w:tcPr>
          <w:p w14:paraId="73BD2A39" w14:textId="77777777" w:rsidR="0009555C" w:rsidRPr="0009555C" w:rsidRDefault="0009555C" w:rsidP="00D03A4F">
            <w:pPr>
              <w:spacing w:after="0" w:line="264"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двух детей</w:t>
            </w:r>
          </w:p>
        </w:tc>
        <w:tc>
          <w:tcPr>
            <w:tcW w:w="1843" w:type="dxa"/>
            <w:vAlign w:val="bottom"/>
          </w:tcPr>
          <w:p w14:paraId="3B09AF3D" w14:textId="77777777" w:rsidR="0009555C" w:rsidRPr="0009555C" w:rsidRDefault="0009555C" w:rsidP="00536DC7">
            <w:pPr>
              <w:spacing w:after="0" w:line="240" w:lineRule="auto"/>
              <w:jc w:val="center"/>
              <w:rPr>
                <w:rFonts w:ascii="Times New Roman" w:hAnsi="Times New Roman"/>
                <w:sz w:val="24"/>
                <w:szCs w:val="24"/>
              </w:rPr>
            </w:pPr>
            <w:r w:rsidRPr="0009555C">
              <w:rPr>
                <w:rFonts w:ascii="Times New Roman" w:hAnsi="Times New Roman"/>
                <w:sz w:val="24"/>
                <w:szCs w:val="24"/>
              </w:rPr>
              <w:t>1</w:t>
            </w:r>
            <w:r w:rsidR="00536DC7">
              <w:rPr>
                <w:rFonts w:ascii="Times New Roman" w:hAnsi="Times New Roman"/>
                <w:sz w:val="24"/>
                <w:szCs w:val="24"/>
              </w:rPr>
              <w:t>4</w:t>
            </w:r>
            <w:r w:rsidR="008767FC">
              <w:rPr>
                <w:rFonts w:ascii="Times New Roman" w:hAnsi="Times New Roman"/>
                <w:sz w:val="24"/>
                <w:szCs w:val="24"/>
              </w:rPr>
              <w:t xml:space="preserve"> </w:t>
            </w:r>
            <w:r w:rsidR="00536DC7">
              <w:rPr>
                <w:rFonts w:ascii="Times New Roman" w:hAnsi="Times New Roman"/>
                <w:sz w:val="24"/>
                <w:szCs w:val="24"/>
              </w:rPr>
              <w:t>298</w:t>
            </w:r>
            <w:r w:rsidRPr="0009555C">
              <w:rPr>
                <w:rFonts w:ascii="Times New Roman" w:hAnsi="Times New Roman"/>
                <w:sz w:val="24"/>
                <w:szCs w:val="24"/>
              </w:rPr>
              <w:t>,</w:t>
            </w:r>
            <w:r w:rsidR="00536DC7">
              <w:rPr>
                <w:rFonts w:ascii="Times New Roman" w:hAnsi="Times New Roman"/>
                <w:sz w:val="24"/>
                <w:szCs w:val="24"/>
              </w:rPr>
              <w:t>2</w:t>
            </w:r>
          </w:p>
        </w:tc>
        <w:tc>
          <w:tcPr>
            <w:tcW w:w="1430" w:type="dxa"/>
            <w:vAlign w:val="bottom"/>
          </w:tcPr>
          <w:p w14:paraId="7D948B9A" w14:textId="77777777" w:rsidR="0009555C" w:rsidRPr="0009555C" w:rsidRDefault="0009555C" w:rsidP="008767FC">
            <w:pPr>
              <w:spacing w:after="0" w:line="240" w:lineRule="auto"/>
              <w:jc w:val="center"/>
              <w:rPr>
                <w:rFonts w:ascii="Times New Roman" w:hAnsi="Times New Roman"/>
                <w:sz w:val="24"/>
                <w:szCs w:val="24"/>
              </w:rPr>
            </w:pPr>
            <w:r w:rsidRPr="0009555C">
              <w:rPr>
                <w:rFonts w:ascii="Times New Roman" w:hAnsi="Times New Roman"/>
                <w:sz w:val="24"/>
                <w:szCs w:val="24"/>
              </w:rPr>
              <w:t>4 9</w:t>
            </w:r>
            <w:r w:rsidR="008767FC">
              <w:rPr>
                <w:rFonts w:ascii="Times New Roman" w:hAnsi="Times New Roman"/>
                <w:sz w:val="24"/>
                <w:szCs w:val="24"/>
              </w:rPr>
              <w:t>31</w:t>
            </w:r>
            <w:r w:rsidRPr="0009555C">
              <w:rPr>
                <w:rFonts w:ascii="Times New Roman" w:hAnsi="Times New Roman"/>
                <w:sz w:val="24"/>
                <w:szCs w:val="24"/>
              </w:rPr>
              <w:t>,</w:t>
            </w:r>
            <w:r w:rsidR="008767FC">
              <w:rPr>
                <w:rFonts w:ascii="Times New Roman" w:hAnsi="Times New Roman"/>
                <w:sz w:val="24"/>
                <w:szCs w:val="24"/>
              </w:rPr>
              <w:t>0</w:t>
            </w:r>
          </w:p>
        </w:tc>
        <w:tc>
          <w:tcPr>
            <w:tcW w:w="1659" w:type="dxa"/>
            <w:vAlign w:val="bottom"/>
          </w:tcPr>
          <w:p w14:paraId="46BC87FC" w14:textId="77777777" w:rsidR="0009555C" w:rsidRPr="0009555C" w:rsidRDefault="0009555C" w:rsidP="00536DC7">
            <w:pPr>
              <w:spacing w:after="0" w:line="240" w:lineRule="auto"/>
              <w:jc w:val="center"/>
              <w:rPr>
                <w:rFonts w:ascii="Times New Roman" w:hAnsi="Times New Roman"/>
                <w:sz w:val="24"/>
                <w:szCs w:val="24"/>
              </w:rPr>
            </w:pPr>
            <w:r w:rsidRPr="0009555C">
              <w:rPr>
                <w:rFonts w:ascii="Times New Roman" w:hAnsi="Times New Roman"/>
                <w:sz w:val="24"/>
                <w:szCs w:val="24"/>
              </w:rPr>
              <w:t xml:space="preserve">5 </w:t>
            </w:r>
            <w:r w:rsidR="00536DC7">
              <w:rPr>
                <w:rFonts w:ascii="Times New Roman" w:hAnsi="Times New Roman"/>
                <w:sz w:val="24"/>
                <w:szCs w:val="24"/>
              </w:rPr>
              <w:t>827</w:t>
            </w:r>
            <w:r w:rsidRPr="0009555C">
              <w:rPr>
                <w:rFonts w:ascii="Times New Roman" w:hAnsi="Times New Roman"/>
                <w:sz w:val="24"/>
                <w:szCs w:val="24"/>
              </w:rPr>
              <w:t>,</w:t>
            </w:r>
            <w:r w:rsidR="00536DC7">
              <w:rPr>
                <w:rFonts w:ascii="Times New Roman" w:hAnsi="Times New Roman"/>
                <w:sz w:val="24"/>
                <w:szCs w:val="24"/>
              </w:rPr>
              <w:t>3</w:t>
            </w:r>
          </w:p>
        </w:tc>
        <w:tc>
          <w:tcPr>
            <w:tcW w:w="1030" w:type="dxa"/>
            <w:vAlign w:val="bottom"/>
          </w:tcPr>
          <w:p w14:paraId="49B99DE5" w14:textId="77777777" w:rsidR="0009555C" w:rsidRPr="0009555C" w:rsidRDefault="0009555C" w:rsidP="008767FC">
            <w:pPr>
              <w:spacing w:after="0" w:line="240" w:lineRule="auto"/>
              <w:jc w:val="center"/>
              <w:rPr>
                <w:rFonts w:ascii="Times New Roman" w:hAnsi="Times New Roman"/>
                <w:sz w:val="24"/>
                <w:szCs w:val="24"/>
              </w:rPr>
            </w:pPr>
            <w:r w:rsidRPr="0009555C">
              <w:rPr>
                <w:rFonts w:ascii="Times New Roman" w:hAnsi="Times New Roman"/>
                <w:sz w:val="24"/>
                <w:szCs w:val="24"/>
              </w:rPr>
              <w:t>3 2</w:t>
            </w:r>
            <w:r w:rsidR="008767FC">
              <w:rPr>
                <w:rFonts w:ascii="Times New Roman" w:hAnsi="Times New Roman"/>
                <w:sz w:val="24"/>
                <w:szCs w:val="24"/>
              </w:rPr>
              <w:t>97</w:t>
            </w:r>
            <w:r w:rsidRPr="0009555C">
              <w:rPr>
                <w:rFonts w:ascii="Times New Roman" w:hAnsi="Times New Roman"/>
                <w:sz w:val="24"/>
                <w:szCs w:val="24"/>
              </w:rPr>
              <w:t>,</w:t>
            </w:r>
            <w:r w:rsidR="008767FC">
              <w:rPr>
                <w:rFonts w:ascii="Times New Roman" w:hAnsi="Times New Roman"/>
                <w:sz w:val="24"/>
                <w:szCs w:val="24"/>
              </w:rPr>
              <w:t>8</w:t>
            </w:r>
          </w:p>
        </w:tc>
        <w:tc>
          <w:tcPr>
            <w:tcW w:w="1287" w:type="dxa"/>
            <w:vAlign w:val="bottom"/>
          </w:tcPr>
          <w:p w14:paraId="70EB41BD" w14:textId="77777777" w:rsidR="0009555C" w:rsidRPr="0009555C" w:rsidRDefault="0009555C" w:rsidP="008767FC">
            <w:pPr>
              <w:spacing w:after="0" w:line="240" w:lineRule="auto"/>
              <w:jc w:val="center"/>
              <w:rPr>
                <w:rFonts w:ascii="Times New Roman" w:hAnsi="Times New Roman"/>
                <w:sz w:val="24"/>
                <w:szCs w:val="24"/>
              </w:rPr>
            </w:pPr>
            <w:r w:rsidRPr="0009555C">
              <w:rPr>
                <w:rFonts w:ascii="Times New Roman" w:hAnsi="Times New Roman"/>
                <w:sz w:val="24"/>
                <w:szCs w:val="24"/>
              </w:rPr>
              <w:t>242,</w:t>
            </w:r>
            <w:r w:rsidR="008767FC">
              <w:rPr>
                <w:rFonts w:ascii="Times New Roman" w:hAnsi="Times New Roman"/>
                <w:sz w:val="24"/>
                <w:szCs w:val="24"/>
              </w:rPr>
              <w:t>1</w:t>
            </w:r>
          </w:p>
        </w:tc>
      </w:tr>
      <w:tr w:rsidR="0009555C" w:rsidRPr="00BD5A90" w14:paraId="5A22429D" w14:textId="77777777" w:rsidTr="005A24F5">
        <w:trPr>
          <w:trHeight w:val="340"/>
          <w:jc w:val="center"/>
        </w:trPr>
        <w:tc>
          <w:tcPr>
            <w:tcW w:w="3189" w:type="dxa"/>
            <w:vAlign w:val="center"/>
          </w:tcPr>
          <w:p w14:paraId="72380138" w14:textId="77777777" w:rsidR="0009555C" w:rsidRPr="0009555C" w:rsidRDefault="0009555C" w:rsidP="00D03A4F">
            <w:pPr>
              <w:spacing w:after="0" w:line="264"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трех и более детей</w:t>
            </w:r>
          </w:p>
        </w:tc>
        <w:tc>
          <w:tcPr>
            <w:tcW w:w="1843" w:type="dxa"/>
            <w:vAlign w:val="bottom"/>
          </w:tcPr>
          <w:p w14:paraId="6993B4BB" w14:textId="77777777" w:rsidR="0009555C" w:rsidRPr="0009555C" w:rsidRDefault="0009555C" w:rsidP="00536DC7">
            <w:pPr>
              <w:spacing w:after="0" w:line="240" w:lineRule="auto"/>
              <w:jc w:val="center"/>
              <w:rPr>
                <w:rFonts w:ascii="Times New Roman" w:hAnsi="Times New Roman"/>
                <w:sz w:val="24"/>
                <w:szCs w:val="24"/>
              </w:rPr>
            </w:pPr>
            <w:r w:rsidRPr="0009555C">
              <w:rPr>
                <w:rFonts w:ascii="Times New Roman" w:hAnsi="Times New Roman"/>
                <w:sz w:val="24"/>
                <w:szCs w:val="24"/>
              </w:rPr>
              <w:t xml:space="preserve">10 </w:t>
            </w:r>
            <w:r w:rsidR="00536DC7">
              <w:rPr>
                <w:rFonts w:ascii="Times New Roman" w:hAnsi="Times New Roman"/>
                <w:sz w:val="24"/>
                <w:szCs w:val="24"/>
              </w:rPr>
              <w:t>369</w:t>
            </w:r>
            <w:r w:rsidRPr="0009555C">
              <w:rPr>
                <w:rFonts w:ascii="Times New Roman" w:hAnsi="Times New Roman"/>
                <w:sz w:val="24"/>
                <w:szCs w:val="24"/>
              </w:rPr>
              <w:t>,</w:t>
            </w:r>
            <w:r w:rsidR="00536DC7">
              <w:rPr>
                <w:rFonts w:ascii="Times New Roman" w:hAnsi="Times New Roman"/>
                <w:sz w:val="24"/>
                <w:szCs w:val="24"/>
              </w:rPr>
              <w:t>8</w:t>
            </w:r>
          </w:p>
        </w:tc>
        <w:tc>
          <w:tcPr>
            <w:tcW w:w="1430" w:type="dxa"/>
            <w:vAlign w:val="bottom"/>
          </w:tcPr>
          <w:p w14:paraId="62895FA5" w14:textId="77777777" w:rsidR="0009555C" w:rsidRPr="0009555C" w:rsidRDefault="0009555C" w:rsidP="008767FC">
            <w:pPr>
              <w:spacing w:after="0" w:line="240" w:lineRule="auto"/>
              <w:jc w:val="center"/>
              <w:rPr>
                <w:rFonts w:ascii="Times New Roman" w:hAnsi="Times New Roman"/>
                <w:sz w:val="24"/>
                <w:szCs w:val="24"/>
              </w:rPr>
            </w:pPr>
            <w:r w:rsidRPr="0009555C">
              <w:rPr>
                <w:rFonts w:ascii="Times New Roman" w:hAnsi="Times New Roman"/>
                <w:sz w:val="24"/>
                <w:szCs w:val="24"/>
              </w:rPr>
              <w:t>3 93</w:t>
            </w:r>
            <w:r w:rsidR="008767FC">
              <w:rPr>
                <w:rFonts w:ascii="Times New Roman" w:hAnsi="Times New Roman"/>
                <w:sz w:val="24"/>
                <w:szCs w:val="24"/>
              </w:rPr>
              <w:t>8</w:t>
            </w:r>
            <w:r w:rsidRPr="0009555C">
              <w:rPr>
                <w:rFonts w:ascii="Times New Roman" w:hAnsi="Times New Roman"/>
                <w:sz w:val="24"/>
                <w:szCs w:val="24"/>
              </w:rPr>
              <w:t>,4</w:t>
            </w:r>
          </w:p>
        </w:tc>
        <w:tc>
          <w:tcPr>
            <w:tcW w:w="1659" w:type="dxa"/>
            <w:vAlign w:val="bottom"/>
          </w:tcPr>
          <w:p w14:paraId="4B27247E" w14:textId="77777777" w:rsidR="0009555C" w:rsidRPr="0009555C" w:rsidRDefault="00536DC7" w:rsidP="008767FC">
            <w:pPr>
              <w:spacing w:after="0" w:line="240" w:lineRule="auto"/>
              <w:jc w:val="center"/>
              <w:rPr>
                <w:rFonts w:ascii="Times New Roman" w:hAnsi="Times New Roman"/>
                <w:sz w:val="24"/>
                <w:szCs w:val="24"/>
              </w:rPr>
            </w:pPr>
            <w:r>
              <w:rPr>
                <w:rFonts w:ascii="Times New Roman" w:hAnsi="Times New Roman"/>
                <w:sz w:val="24"/>
                <w:szCs w:val="24"/>
              </w:rPr>
              <w:t>4 192,0</w:t>
            </w:r>
          </w:p>
        </w:tc>
        <w:tc>
          <w:tcPr>
            <w:tcW w:w="1030" w:type="dxa"/>
            <w:vAlign w:val="bottom"/>
          </w:tcPr>
          <w:p w14:paraId="37AFD0AA" w14:textId="77777777" w:rsidR="0009555C" w:rsidRPr="0009555C" w:rsidRDefault="0009555C" w:rsidP="008767FC">
            <w:pPr>
              <w:spacing w:after="0" w:line="240" w:lineRule="auto"/>
              <w:jc w:val="center"/>
              <w:rPr>
                <w:rFonts w:ascii="Times New Roman" w:hAnsi="Times New Roman"/>
                <w:sz w:val="24"/>
                <w:szCs w:val="24"/>
              </w:rPr>
            </w:pPr>
            <w:r w:rsidRPr="0009555C">
              <w:rPr>
                <w:rFonts w:ascii="Times New Roman" w:hAnsi="Times New Roman"/>
                <w:sz w:val="24"/>
                <w:szCs w:val="24"/>
              </w:rPr>
              <w:t>2 12</w:t>
            </w:r>
            <w:r w:rsidR="008767FC">
              <w:rPr>
                <w:rFonts w:ascii="Times New Roman" w:hAnsi="Times New Roman"/>
                <w:sz w:val="24"/>
                <w:szCs w:val="24"/>
              </w:rPr>
              <w:t>1</w:t>
            </w:r>
            <w:r w:rsidRPr="0009555C">
              <w:rPr>
                <w:rFonts w:ascii="Times New Roman" w:hAnsi="Times New Roman"/>
                <w:sz w:val="24"/>
                <w:szCs w:val="24"/>
              </w:rPr>
              <w:t>,</w:t>
            </w:r>
            <w:r w:rsidR="008767FC">
              <w:rPr>
                <w:rFonts w:ascii="Times New Roman" w:hAnsi="Times New Roman"/>
                <w:sz w:val="24"/>
                <w:szCs w:val="24"/>
              </w:rPr>
              <w:t>1</w:t>
            </w:r>
          </w:p>
        </w:tc>
        <w:tc>
          <w:tcPr>
            <w:tcW w:w="1287" w:type="dxa"/>
            <w:vAlign w:val="bottom"/>
          </w:tcPr>
          <w:p w14:paraId="6EE4C9E5" w14:textId="77777777" w:rsidR="0009555C" w:rsidRPr="0009555C" w:rsidRDefault="008767FC" w:rsidP="0009555C">
            <w:pPr>
              <w:spacing w:after="0" w:line="240" w:lineRule="auto"/>
              <w:jc w:val="center"/>
              <w:rPr>
                <w:rFonts w:ascii="Times New Roman" w:hAnsi="Times New Roman"/>
                <w:sz w:val="24"/>
                <w:szCs w:val="24"/>
              </w:rPr>
            </w:pPr>
            <w:r>
              <w:rPr>
                <w:rFonts w:ascii="Times New Roman" w:hAnsi="Times New Roman"/>
                <w:sz w:val="24"/>
                <w:szCs w:val="24"/>
              </w:rPr>
              <w:t>118,3</w:t>
            </w:r>
          </w:p>
        </w:tc>
      </w:tr>
      <w:tr w:rsidR="00536DC7" w:rsidRPr="00BD5A90" w14:paraId="2A539FE9" w14:textId="77777777" w:rsidTr="009E5990">
        <w:trPr>
          <w:trHeight w:val="340"/>
          <w:jc w:val="center"/>
        </w:trPr>
        <w:tc>
          <w:tcPr>
            <w:tcW w:w="10438" w:type="dxa"/>
            <w:gridSpan w:val="6"/>
            <w:vAlign w:val="center"/>
          </w:tcPr>
          <w:p w14:paraId="6F625494" w14:textId="77777777" w:rsidR="00536DC7" w:rsidRDefault="00536DC7" w:rsidP="00536DC7">
            <w:pPr>
              <w:spacing w:after="0" w:line="240" w:lineRule="auto"/>
              <w:jc w:val="center"/>
              <w:rPr>
                <w:rFonts w:ascii="Times New Roman" w:hAnsi="Times New Roman"/>
                <w:sz w:val="24"/>
                <w:szCs w:val="24"/>
              </w:rPr>
            </w:pPr>
            <w:r>
              <w:rPr>
                <w:rFonts w:ascii="Times New Roman" w:eastAsia="Times New Roman" w:hAnsi="Times New Roman" w:cs="Times New Roman"/>
                <w:b/>
                <w:sz w:val="24"/>
                <w:szCs w:val="24"/>
                <w:lang w:eastAsia="ru-RU"/>
              </w:rPr>
              <w:t>2021 г.</w:t>
            </w:r>
          </w:p>
        </w:tc>
      </w:tr>
      <w:tr w:rsidR="00536DC7" w:rsidRPr="00BD5A90" w14:paraId="38B9F5F7" w14:textId="77777777" w:rsidTr="005A24F5">
        <w:trPr>
          <w:trHeight w:val="340"/>
          <w:jc w:val="center"/>
        </w:trPr>
        <w:tc>
          <w:tcPr>
            <w:tcW w:w="3189" w:type="dxa"/>
            <w:vAlign w:val="center"/>
          </w:tcPr>
          <w:p w14:paraId="652A8815" w14:textId="77777777" w:rsidR="00536DC7" w:rsidRPr="0009555C" w:rsidRDefault="00536DC7" w:rsidP="00536DC7">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Домашние хозяйства с детьми в возрасте до 16 лет, имеющие:</w:t>
            </w:r>
          </w:p>
          <w:p w14:paraId="2BB370B0" w14:textId="77777777" w:rsidR="00536DC7" w:rsidRPr="0009555C" w:rsidRDefault="00536DC7" w:rsidP="00536DC7">
            <w:pPr>
              <w:spacing w:after="0" w:line="240"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одного ребенка</w:t>
            </w:r>
          </w:p>
        </w:tc>
        <w:tc>
          <w:tcPr>
            <w:tcW w:w="1843" w:type="dxa"/>
            <w:vAlign w:val="bottom"/>
          </w:tcPr>
          <w:p w14:paraId="1DF6C85C" w14:textId="77777777" w:rsidR="00536DC7" w:rsidRPr="0009555C" w:rsidRDefault="00536DC7" w:rsidP="00536D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20 209,2</w:t>
            </w:r>
          </w:p>
        </w:tc>
        <w:tc>
          <w:tcPr>
            <w:tcW w:w="1430" w:type="dxa"/>
            <w:vAlign w:val="bottom"/>
          </w:tcPr>
          <w:p w14:paraId="1F7142A5" w14:textId="77777777" w:rsidR="00536DC7" w:rsidRPr="0009555C" w:rsidRDefault="00536DC7" w:rsidP="00536D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6 429,3</w:t>
            </w:r>
          </w:p>
        </w:tc>
        <w:tc>
          <w:tcPr>
            <w:tcW w:w="1659" w:type="dxa"/>
            <w:vAlign w:val="bottom"/>
          </w:tcPr>
          <w:p w14:paraId="571689E2" w14:textId="77777777" w:rsidR="00536DC7" w:rsidRPr="0009555C" w:rsidRDefault="00536DC7" w:rsidP="00536D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7 564,9</w:t>
            </w:r>
          </w:p>
        </w:tc>
        <w:tc>
          <w:tcPr>
            <w:tcW w:w="1030" w:type="dxa"/>
            <w:vAlign w:val="bottom"/>
          </w:tcPr>
          <w:p w14:paraId="16B48A0E" w14:textId="77777777" w:rsidR="00536DC7" w:rsidRPr="0009555C" w:rsidRDefault="00536DC7" w:rsidP="00536D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5 950,1</w:t>
            </w:r>
          </w:p>
        </w:tc>
        <w:tc>
          <w:tcPr>
            <w:tcW w:w="1287" w:type="dxa"/>
            <w:vAlign w:val="bottom"/>
          </w:tcPr>
          <w:p w14:paraId="27210498" w14:textId="77777777" w:rsidR="00536DC7" w:rsidRPr="0009555C" w:rsidRDefault="00536DC7" w:rsidP="00536D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264,9</w:t>
            </w:r>
          </w:p>
        </w:tc>
      </w:tr>
      <w:tr w:rsidR="00536DC7" w:rsidRPr="00BD5A90" w14:paraId="311685C1" w14:textId="77777777" w:rsidTr="009E5990">
        <w:trPr>
          <w:trHeight w:val="340"/>
          <w:jc w:val="center"/>
        </w:trPr>
        <w:tc>
          <w:tcPr>
            <w:tcW w:w="3189" w:type="dxa"/>
            <w:vAlign w:val="center"/>
          </w:tcPr>
          <w:p w14:paraId="511DC7CA" w14:textId="77777777" w:rsidR="00536DC7" w:rsidRPr="0009555C" w:rsidRDefault="00536DC7" w:rsidP="00536DC7">
            <w:pPr>
              <w:spacing w:after="0" w:line="264"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двух детей</w:t>
            </w:r>
          </w:p>
        </w:tc>
        <w:tc>
          <w:tcPr>
            <w:tcW w:w="1843" w:type="dxa"/>
            <w:vAlign w:val="center"/>
          </w:tcPr>
          <w:p w14:paraId="7E868006" w14:textId="77777777" w:rsidR="00536DC7" w:rsidRPr="0009555C" w:rsidRDefault="00536DC7" w:rsidP="00536DC7">
            <w:pPr>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15 661,1</w:t>
            </w:r>
          </w:p>
        </w:tc>
        <w:tc>
          <w:tcPr>
            <w:tcW w:w="1430" w:type="dxa"/>
            <w:vAlign w:val="center"/>
          </w:tcPr>
          <w:p w14:paraId="08EA58C0" w14:textId="77777777" w:rsidR="00536DC7" w:rsidRPr="0009555C" w:rsidRDefault="00536DC7" w:rsidP="00536DC7">
            <w:pPr>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5 290,1</w:t>
            </w:r>
          </w:p>
        </w:tc>
        <w:tc>
          <w:tcPr>
            <w:tcW w:w="1659" w:type="dxa"/>
            <w:vAlign w:val="center"/>
          </w:tcPr>
          <w:p w14:paraId="215B66E3" w14:textId="77777777" w:rsidR="00536DC7" w:rsidRPr="0009555C" w:rsidRDefault="00536DC7" w:rsidP="00536DC7">
            <w:pPr>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6 046,7</w:t>
            </w:r>
          </w:p>
        </w:tc>
        <w:tc>
          <w:tcPr>
            <w:tcW w:w="1030" w:type="dxa"/>
            <w:vAlign w:val="center"/>
          </w:tcPr>
          <w:p w14:paraId="4A86E197" w14:textId="77777777" w:rsidR="00536DC7" w:rsidRPr="0009555C" w:rsidRDefault="00536DC7" w:rsidP="00536DC7">
            <w:pPr>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4 068,1</w:t>
            </w:r>
          </w:p>
        </w:tc>
        <w:tc>
          <w:tcPr>
            <w:tcW w:w="1287" w:type="dxa"/>
            <w:vAlign w:val="center"/>
          </w:tcPr>
          <w:p w14:paraId="33893081" w14:textId="77777777" w:rsidR="00536DC7" w:rsidRPr="0009555C" w:rsidRDefault="00536DC7" w:rsidP="00536DC7">
            <w:pPr>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256,2</w:t>
            </w:r>
          </w:p>
        </w:tc>
      </w:tr>
      <w:tr w:rsidR="00536DC7" w:rsidRPr="00BD5A90" w14:paraId="42EDA28F" w14:textId="77777777" w:rsidTr="009E5990">
        <w:trPr>
          <w:trHeight w:val="340"/>
          <w:jc w:val="center"/>
        </w:trPr>
        <w:tc>
          <w:tcPr>
            <w:tcW w:w="3189" w:type="dxa"/>
            <w:vAlign w:val="center"/>
          </w:tcPr>
          <w:p w14:paraId="4815FC21" w14:textId="77777777" w:rsidR="00536DC7" w:rsidRPr="0009555C" w:rsidRDefault="00536DC7" w:rsidP="00536DC7">
            <w:pPr>
              <w:spacing w:after="0" w:line="264" w:lineRule="auto"/>
              <w:rPr>
                <w:rFonts w:ascii="Times New Roman" w:eastAsia="Times New Roman" w:hAnsi="Times New Roman" w:cs="Times New Roman"/>
                <w:sz w:val="24"/>
                <w:szCs w:val="24"/>
                <w:lang w:eastAsia="ru-RU"/>
              </w:rPr>
            </w:pPr>
            <w:r w:rsidRPr="0009555C">
              <w:rPr>
                <w:rFonts w:ascii="Times New Roman" w:eastAsia="Times New Roman" w:hAnsi="Times New Roman" w:cs="Times New Roman"/>
                <w:sz w:val="24"/>
                <w:szCs w:val="24"/>
                <w:lang w:eastAsia="ru-RU"/>
              </w:rPr>
              <w:t>трех и более детей</w:t>
            </w:r>
          </w:p>
        </w:tc>
        <w:tc>
          <w:tcPr>
            <w:tcW w:w="1843" w:type="dxa"/>
            <w:vAlign w:val="center"/>
          </w:tcPr>
          <w:p w14:paraId="0E764E9D" w14:textId="77777777" w:rsidR="00536DC7" w:rsidRPr="0009555C" w:rsidRDefault="00536DC7" w:rsidP="00536DC7">
            <w:pPr>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11 228,6</w:t>
            </w:r>
          </w:p>
        </w:tc>
        <w:tc>
          <w:tcPr>
            <w:tcW w:w="1430" w:type="dxa"/>
            <w:vAlign w:val="center"/>
          </w:tcPr>
          <w:p w14:paraId="6BB2A198" w14:textId="77777777" w:rsidR="00536DC7" w:rsidRPr="0009555C" w:rsidRDefault="00536DC7" w:rsidP="00536DC7">
            <w:pPr>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4 210,1</w:t>
            </w:r>
          </w:p>
        </w:tc>
        <w:tc>
          <w:tcPr>
            <w:tcW w:w="1659" w:type="dxa"/>
            <w:vAlign w:val="center"/>
          </w:tcPr>
          <w:p w14:paraId="3EEE25C7" w14:textId="77777777" w:rsidR="00536DC7" w:rsidRPr="0009555C" w:rsidRDefault="00536DC7" w:rsidP="00536DC7">
            <w:pPr>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4 437,0</w:t>
            </w:r>
          </w:p>
        </w:tc>
        <w:tc>
          <w:tcPr>
            <w:tcW w:w="1030" w:type="dxa"/>
            <w:vAlign w:val="center"/>
          </w:tcPr>
          <w:p w14:paraId="512C09F3" w14:textId="77777777" w:rsidR="00536DC7" w:rsidRPr="0009555C" w:rsidRDefault="00536DC7" w:rsidP="00536DC7">
            <w:pPr>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2 476,9</w:t>
            </w:r>
          </w:p>
        </w:tc>
        <w:tc>
          <w:tcPr>
            <w:tcW w:w="1287" w:type="dxa"/>
            <w:vAlign w:val="center"/>
          </w:tcPr>
          <w:p w14:paraId="21869422" w14:textId="77777777" w:rsidR="00536DC7" w:rsidRPr="0009555C" w:rsidRDefault="00536DC7" w:rsidP="00536DC7">
            <w:pPr>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104,6</w:t>
            </w:r>
          </w:p>
        </w:tc>
      </w:tr>
    </w:tbl>
    <w:p w14:paraId="3182295B" w14:textId="77777777"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14:paraId="697966FE" w14:textId="77777777"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14:paraId="7170FD6E" w14:textId="77777777" w:rsidR="00D03A4F" w:rsidRPr="00836164" w:rsidRDefault="00D03A4F" w:rsidP="00D03A4F">
      <w:pPr>
        <w:spacing w:after="0" w:line="240" w:lineRule="auto"/>
        <w:jc w:val="right"/>
        <w:rPr>
          <w:rFonts w:ascii="Times New Roman" w:eastAsia="Times New Roman" w:hAnsi="Times New Roman" w:cs="Times New Roman"/>
          <w:sz w:val="26"/>
          <w:szCs w:val="26"/>
          <w:lang w:eastAsia="ru-RU"/>
        </w:rPr>
      </w:pPr>
      <w:r w:rsidRPr="00836164">
        <w:rPr>
          <w:rFonts w:ascii="Times New Roman" w:eastAsia="Times New Roman" w:hAnsi="Times New Roman" w:cs="Times New Roman"/>
          <w:sz w:val="26"/>
          <w:szCs w:val="26"/>
          <w:lang w:eastAsia="ru-RU"/>
        </w:rPr>
        <w:t>Таблица 4</w:t>
      </w:r>
      <w:r w:rsidR="008737BB">
        <w:rPr>
          <w:rFonts w:ascii="Times New Roman" w:eastAsia="Times New Roman" w:hAnsi="Times New Roman" w:cs="Times New Roman"/>
          <w:sz w:val="26"/>
          <w:szCs w:val="26"/>
          <w:lang w:eastAsia="ru-RU"/>
        </w:rPr>
        <w:t>3</w:t>
      </w:r>
    </w:p>
    <w:p w14:paraId="16B75907" w14:textId="77777777" w:rsidR="00D03A4F" w:rsidRPr="00836164" w:rsidRDefault="00D03A4F" w:rsidP="00D03A4F">
      <w:pPr>
        <w:spacing w:after="0" w:line="240" w:lineRule="auto"/>
        <w:jc w:val="right"/>
        <w:rPr>
          <w:rFonts w:ascii="Times New Roman" w:eastAsia="Times New Roman" w:hAnsi="Times New Roman" w:cs="Times New Roman"/>
          <w:sz w:val="26"/>
          <w:szCs w:val="26"/>
          <w:lang w:eastAsia="ru-RU"/>
        </w:rPr>
      </w:pPr>
    </w:p>
    <w:p w14:paraId="12DF22F5" w14:textId="77777777" w:rsidR="00D03A4F" w:rsidRPr="00836164" w:rsidRDefault="00D03A4F" w:rsidP="00D03A4F">
      <w:pPr>
        <w:tabs>
          <w:tab w:val="left" w:pos="720"/>
        </w:tabs>
        <w:spacing w:after="0" w:line="240" w:lineRule="auto"/>
        <w:jc w:val="center"/>
        <w:rPr>
          <w:rFonts w:ascii="Times New Roman" w:eastAsia="Times New Roman" w:hAnsi="Times New Roman" w:cs="Times New Roman"/>
          <w:b/>
          <w:sz w:val="26"/>
          <w:szCs w:val="26"/>
          <w:lang w:eastAsia="ru-RU"/>
        </w:rPr>
      </w:pPr>
      <w:r w:rsidRPr="00836164">
        <w:rPr>
          <w:rFonts w:ascii="Times New Roman" w:eastAsia="Times New Roman" w:hAnsi="Times New Roman" w:cs="Times New Roman"/>
          <w:b/>
          <w:sz w:val="26"/>
          <w:szCs w:val="26"/>
          <w:lang w:eastAsia="ru-RU"/>
        </w:rPr>
        <w:t xml:space="preserve">Распределение домашних хозяйств, имеющих детей, </w:t>
      </w:r>
    </w:p>
    <w:p w14:paraId="154CDA70" w14:textId="77777777" w:rsidR="00D03A4F" w:rsidRPr="00836164" w:rsidRDefault="00D03A4F" w:rsidP="00D03A4F">
      <w:pPr>
        <w:tabs>
          <w:tab w:val="left" w:pos="720"/>
        </w:tabs>
        <w:spacing w:after="0" w:line="240" w:lineRule="auto"/>
        <w:jc w:val="center"/>
        <w:rPr>
          <w:rFonts w:ascii="Times New Roman" w:eastAsia="Times New Roman" w:hAnsi="Times New Roman" w:cs="Times New Roman"/>
          <w:b/>
          <w:caps/>
          <w:sz w:val="26"/>
          <w:szCs w:val="26"/>
          <w:lang w:eastAsia="ru-RU"/>
        </w:rPr>
      </w:pPr>
      <w:r w:rsidRPr="00836164">
        <w:rPr>
          <w:rFonts w:ascii="Times New Roman" w:eastAsia="Times New Roman" w:hAnsi="Times New Roman" w:cs="Times New Roman"/>
          <w:b/>
          <w:sz w:val="26"/>
          <w:szCs w:val="26"/>
          <w:lang w:eastAsia="ru-RU"/>
        </w:rPr>
        <w:t xml:space="preserve">по оценке своего финансового положения </w:t>
      </w:r>
    </w:p>
    <w:p w14:paraId="4064AE77" w14:textId="77777777" w:rsidR="00D03A4F" w:rsidRPr="00836164" w:rsidRDefault="00D03A4F" w:rsidP="00D03A4F">
      <w:pPr>
        <w:tabs>
          <w:tab w:val="left" w:pos="720"/>
        </w:tabs>
        <w:spacing w:after="0" w:line="240" w:lineRule="auto"/>
        <w:jc w:val="center"/>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(по данным выборочного обследования бюджетов домашних хозяйств, проценты)</w:t>
      </w:r>
    </w:p>
    <w:p w14:paraId="7185D269" w14:textId="77777777" w:rsidR="00D03A4F" w:rsidRPr="00836164" w:rsidRDefault="00D03A4F" w:rsidP="00D03A4F">
      <w:pPr>
        <w:tabs>
          <w:tab w:val="left" w:pos="720"/>
        </w:tabs>
        <w:spacing w:after="0" w:line="240" w:lineRule="auto"/>
        <w:jc w:val="right"/>
        <w:rPr>
          <w:rFonts w:ascii="Times New Roman" w:eastAsia="Times New Roman" w:hAnsi="Times New Roman" w:cs="Times New Roman"/>
          <w:sz w:val="24"/>
          <w:szCs w:val="24"/>
          <w:lang w:eastAsia="ru-RU"/>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17"/>
        <w:gridCol w:w="1163"/>
        <w:gridCol w:w="1163"/>
        <w:gridCol w:w="1163"/>
      </w:tblGrid>
      <w:tr w:rsidR="008D787A" w:rsidRPr="00836164" w14:paraId="269B7B2B" w14:textId="77777777" w:rsidTr="008D787A">
        <w:trPr>
          <w:tblHeader/>
          <w:jc w:val="center"/>
        </w:trPr>
        <w:tc>
          <w:tcPr>
            <w:tcW w:w="3290" w:type="pct"/>
            <w:tcBorders>
              <w:bottom w:val="single" w:sz="4" w:space="0" w:color="auto"/>
            </w:tcBorders>
            <w:vAlign w:val="bottom"/>
          </w:tcPr>
          <w:p w14:paraId="35E5F56A" w14:textId="77777777" w:rsidR="008D787A" w:rsidRPr="00836164" w:rsidRDefault="008D787A" w:rsidP="008D787A">
            <w:pPr>
              <w:spacing w:before="120" w:after="0" w:line="200" w:lineRule="exact"/>
              <w:ind w:left="57"/>
              <w:rPr>
                <w:rFonts w:ascii="Times New Roman" w:eastAsia="Times New Roman" w:hAnsi="Times New Roman" w:cs="Times New Roman"/>
                <w:bCs/>
                <w:sz w:val="24"/>
                <w:szCs w:val="24"/>
                <w:lang w:eastAsia="ru-RU"/>
              </w:rPr>
            </w:pPr>
          </w:p>
        </w:tc>
        <w:tc>
          <w:tcPr>
            <w:tcW w:w="570" w:type="pct"/>
            <w:tcBorders>
              <w:bottom w:val="single" w:sz="4" w:space="0" w:color="auto"/>
            </w:tcBorders>
            <w:vAlign w:val="center"/>
          </w:tcPr>
          <w:p w14:paraId="5204B34E" w14:textId="77777777" w:rsidR="008D787A" w:rsidRPr="00836164" w:rsidRDefault="008D787A" w:rsidP="008D787A">
            <w:pPr>
              <w:spacing w:after="0" w:line="200" w:lineRule="exact"/>
              <w:jc w:val="center"/>
              <w:rPr>
                <w:rFonts w:ascii="Times New Roman" w:eastAsia="Times New Roman" w:hAnsi="Times New Roman" w:cs="Times New Roman"/>
                <w:bCs/>
                <w:sz w:val="24"/>
                <w:szCs w:val="24"/>
                <w:lang w:eastAsia="ru-RU"/>
              </w:rPr>
            </w:pPr>
            <w:r w:rsidRPr="00836164">
              <w:rPr>
                <w:rFonts w:ascii="Times New Roman" w:eastAsia="Times New Roman" w:hAnsi="Times New Roman" w:cs="Times New Roman"/>
                <w:bCs/>
                <w:sz w:val="24"/>
                <w:szCs w:val="24"/>
                <w:lang w:eastAsia="ru-RU"/>
              </w:rPr>
              <w:t>20</w:t>
            </w:r>
            <w:r w:rsidRPr="00836164">
              <w:rPr>
                <w:rFonts w:ascii="Times New Roman" w:eastAsia="Times New Roman" w:hAnsi="Times New Roman" w:cs="Times New Roman"/>
                <w:bCs/>
                <w:sz w:val="24"/>
                <w:szCs w:val="24"/>
                <w:lang w:val="en-US" w:eastAsia="ru-RU"/>
              </w:rPr>
              <w:t>1</w:t>
            </w:r>
            <w:r w:rsidRPr="00836164">
              <w:rPr>
                <w:rFonts w:ascii="Times New Roman" w:eastAsia="Times New Roman" w:hAnsi="Times New Roman" w:cs="Times New Roman"/>
                <w:bCs/>
                <w:sz w:val="24"/>
                <w:szCs w:val="24"/>
                <w:lang w:eastAsia="ru-RU"/>
              </w:rPr>
              <w:t>9 г.</w:t>
            </w:r>
          </w:p>
        </w:tc>
        <w:tc>
          <w:tcPr>
            <w:tcW w:w="570" w:type="pct"/>
            <w:tcBorders>
              <w:bottom w:val="single" w:sz="4" w:space="0" w:color="auto"/>
            </w:tcBorders>
            <w:vAlign w:val="center"/>
          </w:tcPr>
          <w:p w14:paraId="195FA256" w14:textId="77777777" w:rsidR="008D787A" w:rsidRPr="00836164" w:rsidRDefault="008D787A" w:rsidP="008D787A">
            <w:pPr>
              <w:spacing w:after="0" w:line="200" w:lineRule="exact"/>
              <w:jc w:val="center"/>
              <w:rPr>
                <w:rFonts w:ascii="Times New Roman" w:eastAsia="Times New Roman" w:hAnsi="Times New Roman" w:cs="Times New Roman"/>
                <w:bCs/>
                <w:sz w:val="24"/>
                <w:szCs w:val="24"/>
                <w:lang w:eastAsia="ru-RU"/>
              </w:rPr>
            </w:pPr>
            <w:r w:rsidRPr="00836164">
              <w:rPr>
                <w:rFonts w:ascii="Times New Roman" w:eastAsia="Times New Roman" w:hAnsi="Times New Roman" w:cs="Times New Roman"/>
                <w:bCs/>
                <w:sz w:val="24"/>
                <w:szCs w:val="24"/>
                <w:lang w:eastAsia="ru-RU"/>
              </w:rPr>
              <w:t>2020 г.</w:t>
            </w:r>
          </w:p>
        </w:tc>
        <w:tc>
          <w:tcPr>
            <w:tcW w:w="570" w:type="pct"/>
            <w:tcBorders>
              <w:bottom w:val="single" w:sz="4" w:space="0" w:color="auto"/>
            </w:tcBorders>
            <w:vAlign w:val="center"/>
          </w:tcPr>
          <w:p w14:paraId="04E37F68" w14:textId="77777777" w:rsidR="008D787A" w:rsidRPr="00836164" w:rsidRDefault="008D787A" w:rsidP="008D787A">
            <w:pPr>
              <w:spacing w:after="0" w:line="200" w:lineRule="exac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2021 г.</w:t>
            </w:r>
          </w:p>
        </w:tc>
      </w:tr>
      <w:tr w:rsidR="008D787A" w:rsidRPr="00836164" w14:paraId="5D19A87D" w14:textId="77777777" w:rsidTr="008D787A">
        <w:trPr>
          <w:jc w:val="center"/>
        </w:trPr>
        <w:tc>
          <w:tcPr>
            <w:tcW w:w="3290" w:type="pct"/>
            <w:tcBorders>
              <w:bottom w:val="single" w:sz="4" w:space="0" w:color="auto"/>
            </w:tcBorders>
            <w:vAlign w:val="bottom"/>
          </w:tcPr>
          <w:p w14:paraId="35D0F7EA" w14:textId="77777777" w:rsidR="008D787A" w:rsidRPr="00836164" w:rsidRDefault="008D787A" w:rsidP="008D787A">
            <w:pPr>
              <w:spacing w:before="120" w:after="0" w:line="240" w:lineRule="auto"/>
              <w:ind w:left="57"/>
              <w:rPr>
                <w:rFonts w:ascii="Times New Roman" w:eastAsia="Times New Roman" w:hAnsi="Times New Roman" w:cs="Times New Roman"/>
                <w:bCs/>
                <w:sz w:val="24"/>
                <w:szCs w:val="24"/>
                <w:lang w:eastAsia="ru-RU"/>
              </w:rPr>
            </w:pPr>
            <w:r w:rsidRPr="00836164">
              <w:rPr>
                <w:rFonts w:ascii="Times New Roman" w:eastAsia="Times New Roman" w:hAnsi="Times New Roman" w:cs="Times New Roman"/>
                <w:bCs/>
                <w:sz w:val="24"/>
                <w:szCs w:val="24"/>
                <w:lang w:eastAsia="ru-RU"/>
              </w:rPr>
              <w:t xml:space="preserve">Из числа обследованных домашних хозяйств с детьми в возрасте до 16 лет оценивают свое финансовое положение следующим образом: </w:t>
            </w:r>
          </w:p>
        </w:tc>
        <w:tc>
          <w:tcPr>
            <w:tcW w:w="570" w:type="pct"/>
            <w:tcBorders>
              <w:bottom w:val="single" w:sz="4" w:space="0" w:color="auto"/>
            </w:tcBorders>
            <w:vAlign w:val="bottom"/>
          </w:tcPr>
          <w:p w14:paraId="2CC396F0" w14:textId="77777777" w:rsidR="008D787A" w:rsidRPr="00836164" w:rsidRDefault="008D787A" w:rsidP="008D787A">
            <w:pPr>
              <w:spacing w:after="0" w:line="200" w:lineRule="exact"/>
              <w:jc w:val="center"/>
              <w:rPr>
                <w:rFonts w:ascii="Times New Roman" w:eastAsia="Times New Roman" w:hAnsi="Times New Roman" w:cs="Times New Roman"/>
                <w:bCs/>
                <w:i/>
                <w:sz w:val="24"/>
                <w:szCs w:val="24"/>
                <w:lang w:eastAsia="ru-RU"/>
              </w:rPr>
            </w:pPr>
          </w:p>
        </w:tc>
        <w:tc>
          <w:tcPr>
            <w:tcW w:w="570" w:type="pct"/>
            <w:tcBorders>
              <w:bottom w:val="single" w:sz="4" w:space="0" w:color="auto"/>
            </w:tcBorders>
            <w:vAlign w:val="bottom"/>
          </w:tcPr>
          <w:p w14:paraId="6682413D" w14:textId="77777777" w:rsidR="008D787A" w:rsidRPr="00836164" w:rsidRDefault="008D787A" w:rsidP="008D787A">
            <w:pPr>
              <w:spacing w:after="0" w:line="200" w:lineRule="exact"/>
              <w:jc w:val="center"/>
              <w:rPr>
                <w:rFonts w:ascii="Times New Roman" w:eastAsia="Times New Roman" w:hAnsi="Times New Roman" w:cs="Times New Roman"/>
                <w:bCs/>
                <w:i/>
                <w:sz w:val="24"/>
                <w:szCs w:val="24"/>
                <w:lang w:eastAsia="ru-RU"/>
              </w:rPr>
            </w:pPr>
          </w:p>
        </w:tc>
        <w:tc>
          <w:tcPr>
            <w:tcW w:w="570" w:type="pct"/>
            <w:tcBorders>
              <w:bottom w:val="single" w:sz="4" w:space="0" w:color="auto"/>
            </w:tcBorders>
            <w:vAlign w:val="bottom"/>
          </w:tcPr>
          <w:p w14:paraId="2E0DA903" w14:textId="77777777" w:rsidR="008D787A" w:rsidRPr="00836164" w:rsidRDefault="008D787A" w:rsidP="008D787A">
            <w:pPr>
              <w:spacing w:after="0" w:line="200" w:lineRule="exact"/>
              <w:jc w:val="center"/>
              <w:rPr>
                <w:rFonts w:ascii="Times New Roman" w:eastAsia="Times New Roman" w:hAnsi="Times New Roman" w:cs="Times New Roman"/>
                <w:bCs/>
                <w:i/>
                <w:sz w:val="24"/>
                <w:szCs w:val="24"/>
                <w:lang w:eastAsia="ru-RU"/>
              </w:rPr>
            </w:pPr>
          </w:p>
        </w:tc>
      </w:tr>
      <w:tr w:rsidR="008D787A" w:rsidRPr="00836164" w14:paraId="283F8821" w14:textId="77777777" w:rsidTr="008D787A">
        <w:trPr>
          <w:jc w:val="center"/>
        </w:trPr>
        <w:tc>
          <w:tcPr>
            <w:tcW w:w="3290" w:type="pct"/>
            <w:tcBorders>
              <w:top w:val="single" w:sz="4" w:space="0" w:color="auto"/>
            </w:tcBorders>
            <w:vAlign w:val="bottom"/>
          </w:tcPr>
          <w:p w14:paraId="3C61996E" w14:textId="77777777" w:rsidR="008D787A" w:rsidRPr="00836164" w:rsidRDefault="008D787A" w:rsidP="008D787A">
            <w:pPr>
              <w:spacing w:before="60" w:after="0" w:line="240" w:lineRule="auto"/>
              <w:ind w:left="170"/>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 xml:space="preserve"> не хватает денег даже на еду</w:t>
            </w:r>
          </w:p>
        </w:tc>
        <w:tc>
          <w:tcPr>
            <w:tcW w:w="570" w:type="pct"/>
            <w:tcBorders>
              <w:top w:val="single" w:sz="4" w:space="0" w:color="auto"/>
            </w:tcBorders>
            <w:vAlign w:val="bottom"/>
          </w:tcPr>
          <w:p w14:paraId="0747D885" w14:textId="77777777" w:rsidR="008D787A" w:rsidRPr="00836164" w:rsidRDefault="008D787A" w:rsidP="008D787A">
            <w:pPr>
              <w:spacing w:before="60" w:after="0" w:line="240" w:lineRule="auto"/>
              <w:ind w:right="373"/>
              <w:jc w:val="right"/>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p>
        </w:tc>
        <w:tc>
          <w:tcPr>
            <w:tcW w:w="570" w:type="pct"/>
            <w:tcBorders>
              <w:top w:val="single" w:sz="4" w:space="0" w:color="auto"/>
            </w:tcBorders>
            <w:vAlign w:val="bottom"/>
          </w:tcPr>
          <w:p w14:paraId="6A4A2BB3" w14:textId="77777777" w:rsidR="008D787A" w:rsidRPr="00836164" w:rsidRDefault="008D787A" w:rsidP="008D787A">
            <w:pPr>
              <w:spacing w:before="60" w:after="0" w:line="240" w:lineRule="auto"/>
              <w:ind w:right="373"/>
              <w:jc w:val="right"/>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0,3</w:t>
            </w:r>
          </w:p>
        </w:tc>
        <w:tc>
          <w:tcPr>
            <w:tcW w:w="570" w:type="pct"/>
            <w:tcBorders>
              <w:top w:val="single" w:sz="4" w:space="0" w:color="auto"/>
            </w:tcBorders>
            <w:vAlign w:val="bottom"/>
          </w:tcPr>
          <w:p w14:paraId="3A7B5382" w14:textId="77777777" w:rsidR="008D787A" w:rsidRPr="00836164" w:rsidRDefault="008D787A" w:rsidP="008D787A">
            <w:pPr>
              <w:tabs>
                <w:tab w:val="left" w:pos="448"/>
              </w:tabs>
              <w:spacing w:before="60" w:after="0" w:line="240" w:lineRule="auto"/>
              <w:ind w:right="373"/>
              <w:jc w:val="right"/>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p>
        </w:tc>
      </w:tr>
      <w:tr w:rsidR="008D787A" w:rsidRPr="00836164" w14:paraId="17B5CEC7" w14:textId="77777777" w:rsidTr="008D787A">
        <w:trPr>
          <w:jc w:val="center"/>
        </w:trPr>
        <w:tc>
          <w:tcPr>
            <w:tcW w:w="3290" w:type="pct"/>
            <w:vAlign w:val="bottom"/>
          </w:tcPr>
          <w:p w14:paraId="28563507" w14:textId="77777777" w:rsidR="008D787A" w:rsidRPr="00836164" w:rsidRDefault="008D787A" w:rsidP="008D787A">
            <w:pPr>
              <w:spacing w:after="0" w:line="240" w:lineRule="auto"/>
              <w:ind w:left="170"/>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 xml:space="preserve"> затруднительно покупать одежду и оплачивать </w:t>
            </w:r>
          </w:p>
          <w:p w14:paraId="0E3D1B9F" w14:textId="77777777" w:rsidR="008D787A" w:rsidRPr="00836164" w:rsidRDefault="008D787A" w:rsidP="008D787A">
            <w:pPr>
              <w:spacing w:after="0" w:line="240" w:lineRule="auto"/>
              <w:ind w:left="170"/>
              <w:rPr>
                <w:rFonts w:ascii="Times New Roman" w:eastAsia="Arial Unicode MS" w:hAnsi="Times New Roman" w:cs="Times New Roman"/>
                <w:sz w:val="24"/>
                <w:szCs w:val="24"/>
                <w:lang w:eastAsia="ru-RU"/>
              </w:rPr>
            </w:pPr>
            <w:r w:rsidRPr="00836164">
              <w:rPr>
                <w:rFonts w:ascii="Times New Roman" w:eastAsia="Times New Roman" w:hAnsi="Times New Roman" w:cs="Times New Roman"/>
                <w:sz w:val="24"/>
                <w:szCs w:val="24"/>
                <w:lang w:eastAsia="ru-RU"/>
              </w:rPr>
              <w:t>жилищно-коммунальные услуги</w:t>
            </w:r>
          </w:p>
        </w:tc>
        <w:tc>
          <w:tcPr>
            <w:tcW w:w="570" w:type="pct"/>
            <w:vAlign w:val="center"/>
          </w:tcPr>
          <w:p w14:paraId="59596094" w14:textId="77777777" w:rsidR="008D787A" w:rsidRPr="00836164" w:rsidRDefault="008D787A" w:rsidP="008D787A">
            <w:pPr>
              <w:spacing w:before="60" w:after="0" w:line="240" w:lineRule="auto"/>
              <w:ind w:right="373"/>
              <w:jc w:val="right"/>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4</w:t>
            </w:r>
          </w:p>
        </w:tc>
        <w:tc>
          <w:tcPr>
            <w:tcW w:w="570" w:type="pct"/>
            <w:vAlign w:val="center"/>
          </w:tcPr>
          <w:p w14:paraId="54DAE1FC" w14:textId="77777777" w:rsidR="008D787A" w:rsidRPr="00836164" w:rsidRDefault="008D787A" w:rsidP="008D787A">
            <w:pPr>
              <w:spacing w:before="60" w:after="0" w:line="240" w:lineRule="auto"/>
              <w:ind w:right="373"/>
              <w:jc w:val="right"/>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836164">
              <w:rPr>
                <w:rFonts w:ascii="Times New Roman" w:eastAsia="Times New Roman" w:hAnsi="Times New Roman" w:cs="Times New Roman"/>
                <w:sz w:val="24"/>
                <w:szCs w:val="24"/>
                <w:lang w:eastAsia="ru-RU"/>
              </w:rPr>
              <w:t>,1</w:t>
            </w:r>
          </w:p>
        </w:tc>
        <w:tc>
          <w:tcPr>
            <w:tcW w:w="570" w:type="pct"/>
            <w:vAlign w:val="center"/>
          </w:tcPr>
          <w:p w14:paraId="6C1C60AD" w14:textId="77777777" w:rsidR="008D787A" w:rsidRPr="00836164" w:rsidRDefault="008D787A" w:rsidP="008D787A">
            <w:pPr>
              <w:spacing w:before="6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r>
      <w:tr w:rsidR="008D787A" w:rsidRPr="00836164" w14:paraId="0D8807A1" w14:textId="77777777" w:rsidTr="008D787A">
        <w:trPr>
          <w:jc w:val="center"/>
        </w:trPr>
        <w:tc>
          <w:tcPr>
            <w:tcW w:w="3290" w:type="pct"/>
            <w:vAlign w:val="bottom"/>
          </w:tcPr>
          <w:p w14:paraId="34CA5A92" w14:textId="77777777" w:rsidR="008D787A" w:rsidRPr="00836164" w:rsidRDefault="008D787A" w:rsidP="008D787A">
            <w:pPr>
              <w:spacing w:before="60" w:after="0" w:line="264" w:lineRule="auto"/>
              <w:ind w:left="170"/>
              <w:rPr>
                <w:rFonts w:ascii="Times New Roman" w:eastAsia="Arial Unicode MS" w:hAnsi="Times New Roman" w:cs="Times New Roman"/>
                <w:sz w:val="24"/>
                <w:szCs w:val="24"/>
                <w:lang w:eastAsia="ru-RU"/>
              </w:rPr>
            </w:pPr>
            <w:r w:rsidRPr="00836164">
              <w:rPr>
                <w:rFonts w:ascii="Times New Roman" w:eastAsia="Times New Roman" w:hAnsi="Times New Roman" w:cs="Times New Roman"/>
                <w:sz w:val="24"/>
                <w:szCs w:val="24"/>
                <w:lang w:eastAsia="ru-RU"/>
              </w:rPr>
              <w:t xml:space="preserve"> не могут позволить покупку товаров длительного пользования</w:t>
            </w:r>
          </w:p>
        </w:tc>
        <w:tc>
          <w:tcPr>
            <w:tcW w:w="570" w:type="pct"/>
            <w:vAlign w:val="center"/>
          </w:tcPr>
          <w:p w14:paraId="5201684F" w14:textId="77777777" w:rsidR="008D787A" w:rsidRPr="00836164" w:rsidRDefault="008D787A" w:rsidP="008D787A">
            <w:pPr>
              <w:spacing w:before="60" w:after="0" w:line="240" w:lineRule="auto"/>
              <w:ind w:right="373"/>
              <w:jc w:val="right"/>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49,</w:t>
            </w:r>
            <w:r>
              <w:rPr>
                <w:rFonts w:ascii="Times New Roman" w:eastAsia="Times New Roman" w:hAnsi="Times New Roman" w:cs="Times New Roman"/>
                <w:sz w:val="24"/>
                <w:szCs w:val="24"/>
                <w:lang w:eastAsia="ru-RU"/>
              </w:rPr>
              <w:t>1</w:t>
            </w:r>
          </w:p>
        </w:tc>
        <w:tc>
          <w:tcPr>
            <w:tcW w:w="570" w:type="pct"/>
            <w:vAlign w:val="center"/>
          </w:tcPr>
          <w:p w14:paraId="1B0B6D4D" w14:textId="77777777" w:rsidR="008D787A" w:rsidRPr="00836164" w:rsidRDefault="008D787A" w:rsidP="008D787A">
            <w:pPr>
              <w:spacing w:before="60" w:after="0" w:line="240" w:lineRule="auto"/>
              <w:ind w:right="373"/>
              <w:jc w:val="right"/>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8</w:t>
            </w:r>
            <w:r w:rsidRPr="0083616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p>
        </w:tc>
        <w:tc>
          <w:tcPr>
            <w:tcW w:w="570" w:type="pct"/>
            <w:vAlign w:val="center"/>
          </w:tcPr>
          <w:p w14:paraId="206CEB35" w14:textId="77777777" w:rsidR="008D787A" w:rsidRPr="00836164" w:rsidRDefault="008D787A" w:rsidP="008D787A">
            <w:pPr>
              <w:spacing w:before="60"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46,1</w:t>
            </w:r>
          </w:p>
        </w:tc>
      </w:tr>
      <w:tr w:rsidR="008D787A" w:rsidRPr="00836164" w14:paraId="7FE45442" w14:textId="77777777" w:rsidTr="008D787A">
        <w:trPr>
          <w:jc w:val="center"/>
        </w:trPr>
        <w:tc>
          <w:tcPr>
            <w:tcW w:w="3290" w:type="pct"/>
            <w:vAlign w:val="bottom"/>
          </w:tcPr>
          <w:p w14:paraId="369967E2" w14:textId="77777777" w:rsidR="008D787A" w:rsidRPr="00836164" w:rsidRDefault="008D787A" w:rsidP="008D787A">
            <w:pPr>
              <w:spacing w:before="60" w:after="0" w:line="264" w:lineRule="auto"/>
              <w:ind w:left="170"/>
              <w:rPr>
                <w:rFonts w:ascii="Times New Roman" w:eastAsia="Arial Unicode MS" w:hAnsi="Times New Roman" w:cs="Times New Roman"/>
                <w:sz w:val="24"/>
                <w:szCs w:val="24"/>
                <w:lang w:eastAsia="ru-RU"/>
              </w:rPr>
            </w:pPr>
            <w:r w:rsidRPr="00836164">
              <w:rPr>
                <w:rFonts w:ascii="Times New Roman" w:eastAsia="Times New Roman" w:hAnsi="Times New Roman" w:cs="Times New Roman"/>
                <w:sz w:val="24"/>
                <w:szCs w:val="24"/>
                <w:lang w:eastAsia="ru-RU"/>
              </w:rPr>
              <w:t xml:space="preserve"> не хватает денег на покупку автомобиля, квартиры</w:t>
            </w:r>
          </w:p>
        </w:tc>
        <w:tc>
          <w:tcPr>
            <w:tcW w:w="570" w:type="pct"/>
            <w:vAlign w:val="center"/>
          </w:tcPr>
          <w:p w14:paraId="36330C03" w14:textId="77777777" w:rsidR="008D787A" w:rsidRPr="00836164" w:rsidRDefault="008D787A" w:rsidP="008D787A">
            <w:pPr>
              <w:spacing w:before="60" w:after="0" w:line="240" w:lineRule="auto"/>
              <w:ind w:right="373"/>
              <w:jc w:val="right"/>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5</w:t>
            </w:r>
            <w:r w:rsidRPr="0083616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p>
        </w:tc>
        <w:tc>
          <w:tcPr>
            <w:tcW w:w="570" w:type="pct"/>
            <w:vAlign w:val="center"/>
          </w:tcPr>
          <w:p w14:paraId="5F60B0CB" w14:textId="77777777" w:rsidR="008D787A" w:rsidRPr="00836164" w:rsidRDefault="008D787A" w:rsidP="008D787A">
            <w:pPr>
              <w:spacing w:before="60" w:after="0" w:line="240" w:lineRule="auto"/>
              <w:ind w:right="373"/>
              <w:jc w:val="right"/>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5</w:t>
            </w:r>
            <w:r w:rsidRPr="0083616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p>
        </w:tc>
        <w:tc>
          <w:tcPr>
            <w:tcW w:w="570" w:type="pct"/>
            <w:vAlign w:val="center"/>
          </w:tcPr>
          <w:p w14:paraId="1B6B568E" w14:textId="77777777" w:rsidR="008D787A" w:rsidRPr="00836164" w:rsidRDefault="008D787A" w:rsidP="008D787A">
            <w:pPr>
              <w:spacing w:before="60"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38,6</w:t>
            </w:r>
          </w:p>
        </w:tc>
      </w:tr>
      <w:tr w:rsidR="008D787A" w:rsidRPr="00836164" w14:paraId="510301D2" w14:textId="77777777" w:rsidTr="008D787A">
        <w:trPr>
          <w:jc w:val="center"/>
        </w:trPr>
        <w:tc>
          <w:tcPr>
            <w:tcW w:w="3290" w:type="pct"/>
            <w:vAlign w:val="bottom"/>
          </w:tcPr>
          <w:p w14:paraId="75815D89" w14:textId="77777777" w:rsidR="008D787A" w:rsidRPr="00836164" w:rsidRDefault="008D787A" w:rsidP="008D787A">
            <w:pPr>
              <w:spacing w:before="60" w:after="0" w:line="264" w:lineRule="auto"/>
              <w:ind w:left="170"/>
              <w:rPr>
                <w:rFonts w:ascii="Times New Roman" w:eastAsia="Arial Unicode MS" w:hAnsi="Times New Roman" w:cs="Times New Roman"/>
                <w:sz w:val="24"/>
                <w:szCs w:val="24"/>
                <w:lang w:eastAsia="ru-RU"/>
              </w:rPr>
            </w:pPr>
            <w:r w:rsidRPr="00836164">
              <w:rPr>
                <w:rFonts w:ascii="Times New Roman" w:eastAsia="Times New Roman" w:hAnsi="Times New Roman" w:cs="Times New Roman"/>
                <w:sz w:val="24"/>
                <w:szCs w:val="24"/>
                <w:lang w:eastAsia="ru-RU"/>
              </w:rPr>
              <w:t xml:space="preserve"> средств достаточно, чтобы купить все, что считают нужным</w:t>
            </w:r>
          </w:p>
        </w:tc>
        <w:tc>
          <w:tcPr>
            <w:tcW w:w="570" w:type="pct"/>
            <w:vAlign w:val="center"/>
          </w:tcPr>
          <w:p w14:paraId="7EEE50D2" w14:textId="77777777" w:rsidR="008D787A" w:rsidRPr="00836164" w:rsidRDefault="008D787A" w:rsidP="008D787A">
            <w:pPr>
              <w:spacing w:before="60" w:after="0" w:line="240" w:lineRule="auto"/>
              <w:ind w:right="37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570" w:type="pct"/>
            <w:vAlign w:val="center"/>
          </w:tcPr>
          <w:p w14:paraId="179F7277" w14:textId="77777777" w:rsidR="008D787A" w:rsidRPr="00836164" w:rsidRDefault="008D787A" w:rsidP="008D787A">
            <w:pPr>
              <w:spacing w:before="60" w:after="0" w:line="240" w:lineRule="auto"/>
              <w:ind w:right="37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570" w:type="pct"/>
            <w:vAlign w:val="center"/>
          </w:tcPr>
          <w:p w14:paraId="5AF7018A" w14:textId="77777777" w:rsidR="008D787A" w:rsidRPr="00836164" w:rsidRDefault="008D787A" w:rsidP="008D787A">
            <w:pPr>
              <w:spacing w:before="60"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r>
      <w:tr w:rsidR="008D787A" w:rsidRPr="00BD5A90" w14:paraId="15C63E4A" w14:textId="77777777" w:rsidTr="008D787A">
        <w:trPr>
          <w:trHeight w:val="132"/>
          <w:jc w:val="center"/>
        </w:trPr>
        <w:tc>
          <w:tcPr>
            <w:tcW w:w="3290" w:type="pct"/>
            <w:vAlign w:val="bottom"/>
          </w:tcPr>
          <w:p w14:paraId="7B69A456" w14:textId="77777777" w:rsidR="008D787A" w:rsidRPr="00836164" w:rsidRDefault="008D787A" w:rsidP="008D787A">
            <w:pPr>
              <w:spacing w:before="60" w:after="0" w:line="264" w:lineRule="auto"/>
              <w:ind w:left="170"/>
              <w:rPr>
                <w:rFonts w:ascii="Times New Roman" w:eastAsia="Arial Unicode MS" w:hAnsi="Times New Roman" w:cs="Times New Roman"/>
                <w:sz w:val="24"/>
                <w:szCs w:val="24"/>
                <w:lang w:eastAsia="ru-RU"/>
              </w:rPr>
            </w:pPr>
            <w:r w:rsidRPr="00836164">
              <w:rPr>
                <w:rFonts w:ascii="Times New Roman" w:eastAsia="Times New Roman" w:hAnsi="Times New Roman" w:cs="Times New Roman"/>
                <w:sz w:val="24"/>
                <w:szCs w:val="24"/>
                <w:lang w:eastAsia="ru-RU"/>
              </w:rPr>
              <w:t xml:space="preserve"> затруднились ответить</w:t>
            </w:r>
          </w:p>
        </w:tc>
        <w:tc>
          <w:tcPr>
            <w:tcW w:w="570" w:type="pct"/>
            <w:vAlign w:val="center"/>
          </w:tcPr>
          <w:p w14:paraId="1ED26949" w14:textId="77777777" w:rsidR="008D787A" w:rsidRPr="00836164" w:rsidRDefault="008D787A" w:rsidP="008D787A">
            <w:pPr>
              <w:spacing w:before="60" w:after="0" w:line="240" w:lineRule="auto"/>
              <w:ind w:right="373"/>
              <w:jc w:val="right"/>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p>
        </w:tc>
        <w:tc>
          <w:tcPr>
            <w:tcW w:w="570" w:type="pct"/>
            <w:vAlign w:val="center"/>
          </w:tcPr>
          <w:p w14:paraId="091DDAAF" w14:textId="77777777" w:rsidR="008D787A" w:rsidRPr="00836164" w:rsidRDefault="008D787A" w:rsidP="008D787A">
            <w:pPr>
              <w:spacing w:before="60" w:after="0" w:line="240" w:lineRule="auto"/>
              <w:ind w:right="373"/>
              <w:jc w:val="right"/>
              <w:rPr>
                <w:rFonts w:ascii="Times New Roman" w:eastAsia="Times New Roman" w:hAnsi="Times New Roman" w:cs="Times New Roman"/>
                <w:sz w:val="24"/>
                <w:szCs w:val="24"/>
                <w:lang w:eastAsia="ru-RU"/>
              </w:rPr>
            </w:pPr>
            <w:r w:rsidRPr="00836164">
              <w:rPr>
                <w:rFonts w:ascii="Times New Roman" w:eastAsia="Times New Roman" w:hAnsi="Times New Roman" w:cs="Times New Roman"/>
                <w:sz w:val="24"/>
                <w:szCs w:val="24"/>
                <w:lang w:eastAsia="ru-RU"/>
              </w:rPr>
              <w:t>0,1</w:t>
            </w:r>
          </w:p>
        </w:tc>
        <w:tc>
          <w:tcPr>
            <w:tcW w:w="570" w:type="pct"/>
            <w:vAlign w:val="center"/>
          </w:tcPr>
          <w:p w14:paraId="595B11C9" w14:textId="77777777" w:rsidR="008D787A" w:rsidRPr="00836164" w:rsidRDefault="008D787A" w:rsidP="008D787A">
            <w:pPr>
              <w:spacing w:before="60"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bl>
    <w:p w14:paraId="4821FB13" w14:textId="77777777" w:rsidR="00D03A4F" w:rsidRPr="00917D47" w:rsidRDefault="00D03A4F" w:rsidP="00D03A4F">
      <w:pPr>
        <w:spacing w:after="0" w:line="240" w:lineRule="auto"/>
        <w:jc w:val="right"/>
        <w:rPr>
          <w:rFonts w:ascii="Times New Roman" w:eastAsia="Times New Roman" w:hAnsi="Times New Roman" w:cs="Times New Roman"/>
          <w:sz w:val="26"/>
          <w:szCs w:val="26"/>
          <w:lang w:eastAsia="ru-RU"/>
        </w:rPr>
      </w:pPr>
      <w:r w:rsidRPr="00917D47">
        <w:rPr>
          <w:rFonts w:ascii="Times New Roman" w:eastAsia="Times New Roman" w:hAnsi="Times New Roman" w:cs="Times New Roman"/>
          <w:sz w:val="26"/>
          <w:szCs w:val="26"/>
          <w:lang w:eastAsia="ru-RU"/>
        </w:rPr>
        <w:t>Таблица 4</w:t>
      </w:r>
      <w:r w:rsidR="008737BB">
        <w:rPr>
          <w:rFonts w:ascii="Times New Roman" w:eastAsia="Times New Roman" w:hAnsi="Times New Roman" w:cs="Times New Roman"/>
          <w:sz w:val="26"/>
          <w:szCs w:val="26"/>
          <w:lang w:eastAsia="ru-RU"/>
        </w:rPr>
        <w:t>4</w:t>
      </w:r>
    </w:p>
    <w:p w14:paraId="5AA9DD78" w14:textId="77777777" w:rsidR="00D03A4F" w:rsidRPr="00917D47" w:rsidRDefault="00D03A4F" w:rsidP="00D03A4F">
      <w:pPr>
        <w:spacing w:after="0" w:line="240" w:lineRule="auto"/>
        <w:jc w:val="right"/>
        <w:rPr>
          <w:rFonts w:ascii="Times New Roman" w:eastAsia="Times New Roman" w:hAnsi="Times New Roman" w:cs="Times New Roman"/>
          <w:sz w:val="26"/>
          <w:szCs w:val="26"/>
          <w:lang w:eastAsia="ru-RU"/>
        </w:rPr>
      </w:pPr>
    </w:p>
    <w:p w14:paraId="41A22F11" w14:textId="77777777" w:rsidR="00D03A4F" w:rsidRPr="00917D47" w:rsidRDefault="00D03A4F" w:rsidP="00D03A4F">
      <w:pPr>
        <w:spacing w:after="0" w:line="240" w:lineRule="auto"/>
        <w:jc w:val="center"/>
        <w:rPr>
          <w:rFonts w:ascii="Times New Roman" w:eastAsia="Times New Roman" w:hAnsi="Times New Roman" w:cs="Times New Roman"/>
          <w:b/>
          <w:bCs/>
          <w:sz w:val="26"/>
          <w:szCs w:val="26"/>
          <w:lang w:eastAsia="ru-RU"/>
        </w:rPr>
      </w:pPr>
      <w:r w:rsidRPr="00917D47">
        <w:rPr>
          <w:rFonts w:ascii="Times New Roman" w:eastAsia="Times New Roman" w:hAnsi="Times New Roman" w:cs="Times New Roman"/>
          <w:b/>
          <w:bCs/>
          <w:sz w:val="26"/>
          <w:szCs w:val="26"/>
          <w:lang w:eastAsia="ru-RU"/>
        </w:rPr>
        <w:t xml:space="preserve">Распределение домашних хозяйств с различным числом детей в возрасте до 16 лет </w:t>
      </w:r>
    </w:p>
    <w:p w14:paraId="05F47D4A" w14:textId="77777777" w:rsidR="00D03A4F" w:rsidRPr="00917D47" w:rsidRDefault="00D03A4F" w:rsidP="00D03A4F">
      <w:pPr>
        <w:spacing w:after="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b/>
          <w:bCs/>
          <w:sz w:val="26"/>
          <w:szCs w:val="26"/>
          <w:lang w:eastAsia="ru-RU"/>
        </w:rPr>
        <w:t>по оценке своего финансового положения</w:t>
      </w:r>
      <w:r w:rsidRPr="00917D47">
        <w:rPr>
          <w:rFonts w:ascii="Times New Roman" w:eastAsia="Times New Roman" w:hAnsi="Times New Roman" w:cs="Times New Roman"/>
          <w:b/>
          <w:bCs/>
          <w:sz w:val="26"/>
          <w:szCs w:val="26"/>
          <w:lang w:eastAsia="ru-RU"/>
        </w:rPr>
        <w:br/>
      </w:r>
      <w:r w:rsidRPr="00917D47">
        <w:rPr>
          <w:rFonts w:ascii="Times New Roman" w:eastAsia="Times New Roman" w:hAnsi="Times New Roman" w:cs="Times New Roman"/>
          <w:sz w:val="24"/>
          <w:szCs w:val="24"/>
          <w:lang w:eastAsia="ru-RU"/>
        </w:rPr>
        <w:t>(по данным выборочного обследования бюджетов домашних хозяйств; в процентах от всех домохозяйств соответствующей категории)</w:t>
      </w:r>
    </w:p>
    <w:p w14:paraId="0F7738C2" w14:textId="77777777" w:rsidR="00D03A4F" w:rsidRPr="00917D47" w:rsidRDefault="00D03A4F" w:rsidP="00D03A4F">
      <w:pPr>
        <w:spacing w:after="0" w:line="240" w:lineRule="auto"/>
        <w:jc w:val="right"/>
        <w:rPr>
          <w:rFonts w:ascii="Times New Roman" w:eastAsia="Times New Roman" w:hAnsi="Times New Roman" w:cs="Times New Roman"/>
          <w:sz w:val="20"/>
          <w:szCs w:val="20"/>
          <w:lang w:eastAsia="ru-RU"/>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28"/>
        <w:gridCol w:w="979"/>
        <w:gridCol w:w="1789"/>
        <w:gridCol w:w="1401"/>
        <w:gridCol w:w="1335"/>
        <w:gridCol w:w="1361"/>
        <w:gridCol w:w="1464"/>
      </w:tblGrid>
      <w:tr w:rsidR="00D03A4F" w:rsidRPr="00917D47" w14:paraId="55EBAB12" w14:textId="77777777" w:rsidTr="00944CB1">
        <w:trPr>
          <w:tblHeader/>
          <w:jc w:val="center"/>
        </w:trPr>
        <w:tc>
          <w:tcPr>
            <w:tcW w:w="1164" w:type="pct"/>
            <w:tcBorders>
              <w:bottom w:val="nil"/>
            </w:tcBorders>
            <w:vAlign w:val="bottom"/>
          </w:tcPr>
          <w:p w14:paraId="6BC918C8" w14:textId="77777777" w:rsidR="00D03A4F" w:rsidRPr="00917D47" w:rsidRDefault="00D03A4F" w:rsidP="00D03A4F">
            <w:pPr>
              <w:spacing w:after="0" w:line="240" w:lineRule="auto"/>
              <w:rPr>
                <w:rFonts w:ascii="Times New Roman" w:eastAsia="Times New Roman" w:hAnsi="Times New Roman" w:cs="Times New Roman"/>
                <w:b/>
                <w:bCs/>
                <w:sz w:val="20"/>
                <w:szCs w:val="20"/>
                <w:lang w:eastAsia="ru-RU"/>
              </w:rPr>
            </w:pPr>
          </w:p>
        </w:tc>
        <w:tc>
          <w:tcPr>
            <w:tcW w:w="3836" w:type="pct"/>
            <w:gridSpan w:val="6"/>
          </w:tcPr>
          <w:p w14:paraId="1CC8943D" w14:textId="77777777" w:rsidR="00D03A4F" w:rsidRPr="00917D47" w:rsidRDefault="00D03A4F" w:rsidP="00D03A4F">
            <w:pPr>
              <w:spacing w:after="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Домашние хозяйства, оценившие свое финансовое положение следующим образом</w:t>
            </w:r>
          </w:p>
        </w:tc>
      </w:tr>
      <w:tr w:rsidR="00D03A4F" w:rsidRPr="00917D47" w14:paraId="35F5184A" w14:textId="77777777" w:rsidTr="00944CB1">
        <w:trPr>
          <w:tblHeader/>
          <w:jc w:val="center"/>
        </w:trPr>
        <w:tc>
          <w:tcPr>
            <w:tcW w:w="1164" w:type="pct"/>
            <w:tcBorders>
              <w:top w:val="nil"/>
            </w:tcBorders>
            <w:vAlign w:val="bottom"/>
          </w:tcPr>
          <w:p w14:paraId="4D0EB33F" w14:textId="77777777" w:rsidR="00D03A4F" w:rsidRPr="00917D47" w:rsidRDefault="00D03A4F" w:rsidP="00D03A4F">
            <w:pPr>
              <w:spacing w:after="0" w:line="240" w:lineRule="auto"/>
              <w:jc w:val="center"/>
              <w:rPr>
                <w:rFonts w:ascii="Times New Roman" w:eastAsia="Times New Roman" w:hAnsi="Times New Roman" w:cs="Times New Roman"/>
                <w:b/>
                <w:bCs/>
                <w:sz w:val="20"/>
                <w:szCs w:val="20"/>
                <w:lang w:eastAsia="ru-RU"/>
              </w:rPr>
            </w:pPr>
          </w:p>
        </w:tc>
        <w:tc>
          <w:tcPr>
            <w:tcW w:w="451" w:type="pct"/>
          </w:tcPr>
          <w:p w14:paraId="47FF4C55" w14:textId="77777777" w:rsidR="00D03A4F" w:rsidRPr="00917D47" w:rsidRDefault="00D03A4F" w:rsidP="00D03A4F">
            <w:pPr>
              <w:spacing w:after="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не хватает денег даже на еду</w:t>
            </w:r>
          </w:p>
        </w:tc>
        <w:tc>
          <w:tcPr>
            <w:tcW w:w="824" w:type="pct"/>
          </w:tcPr>
          <w:p w14:paraId="2820278E" w14:textId="77777777" w:rsidR="00D03A4F" w:rsidRPr="00917D47" w:rsidRDefault="00D03A4F" w:rsidP="00D03A4F">
            <w:pPr>
              <w:spacing w:after="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затруднительно покупать одежду и оплачивать жилищно-коммунальные услуги</w:t>
            </w:r>
          </w:p>
        </w:tc>
        <w:tc>
          <w:tcPr>
            <w:tcW w:w="645" w:type="pct"/>
          </w:tcPr>
          <w:p w14:paraId="749A41C8" w14:textId="77777777" w:rsidR="00D03A4F" w:rsidRPr="00917D47" w:rsidRDefault="00D03A4F" w:rsidP="00D03A4F">
            <w:pPr>
              <w:spacing w:after="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не могут позволить покупку товаров длительного пользования</w:t>
            </w:r>
          </w:p>
        </w:tc>
        <w:tc>
          <w:tcPr>
            <w:tcW w:w="615" w:type="pct"/>
          </w:tcPr>
          <w:p w14:paraId="5CDA95A2" w14:textId="77777777" w:rsidR="00D03A4F" w:rsidRPr="00917D47" w:rsidRDefault="00D03A4F" w:rsidP="00D03A4F">
            <w:pPr>
              <w:spacing w:after="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не хватает денег на покупку автомобиля, квартиры</w:t>
            </w:r>
          </w:p>
        </w:tc>
        <w:tc>
          <w:tcPr>
            <w:tcW w:w="627" w:type="pct"/>
          </w:tcPr>
          <w:p w14:paraId="48AB4AFB" w14:textId="77777777" w:rsidR="00D03A4F" w:rsidRPr="00917D47" w:rsidRDefault="00D03A4F" w:rsidP="00D03A4F">
            <w:pPr>
              <w:spacing w:after="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средств достаточно, чтобы купить все, что считают нужным</w:t>
            </w:r>
          </w:p>
        </w:tc>
        <w:tc>
          <w:tcPr>
            <w:tcW w:w="674" w:type="pct"/>
          </w:tcPr>
          <w:p w14:paraId="6E6864EF" w14:textId="77777777" w:rsidR="00D03A4F" w:rsidRPr="00917D47" w:rsidRDefault="00D03A4F" w:rsidP="00D03A4F">
            <w:pPr>
              <w:spacing w:after="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затруднились ответить</w:t>
            </w:r>
          </w:p>
        </w:tc>
      </w:tr>
      <w:tr w:rsidR="00917D47" w:rsidRPr="00917D47" w14:paraId="381E58D4" w14:textId="77777777" w:rsidTr="00944CB1">
        <w:trPr>
          <w:trHeight w:val="478"/>
          <w:jc w:val="center"/>
        </w:trPr>
        <w:tc>
          <w:tcPr>
            <w:tcW w:w="5000" w:type="pct"/>
            <w:gridSpan w:val="7"/>
            <w:vAlign w:val="center"/>
          </w:tcPr>
          <w:p w14:paraId="16B1A547" w14:textId="77777777" w:rsidR="00917D47" w:rsidRPr="00917D47" w:rsidRDefault="00917D47" w:rsidP="00D03A4F">
            <w:pPr>
              <w:spacing w:after="0" w:line="240" w:lineRule="auto"/>
              <w:jc w:val="center"/>
              <w:rPr>
                <w:rFonts w:ascii="Times New Roman" w:eastAsia="Arial Unicode MS" w:hAnsi="Times New Roman" w:cs="Times New Roman"/>
                <w:b/>
                <w:bCs/>
                <w:sz w:val="24"/>
                <w:szCs w:val="24"/>
                <w:vertAlign w:val="superscript"/>
                <w:lang w:eastAsia="ru-RU"/>
              </w:rPr>
            </w:pPr>
            <w:r w:rsidRPr="00917D47">
              <w:rPr>
                <w:rFonts w:ascii="Times New Roman" w:eastAsia="Arial Unicode MS" w:hAnsi="Times New Roman" w:cs="Times New Roman"/>
                <w:b/>
                <w:bCs/>
                <w:sz w:val="24"/>
                <w:szCs w:val="24"/>
                <w:lang w:eastAsia="ru-RU"/>
              </w:rPr>
              <w:t>2019 г.</w:t>
            </w:r>
          </w:p>
        </w:tc>
      </w:tr>
      <w:tr w:rsidR="00917D47" w:rsidRPr="00917D47" w14:paraId="4852C0D8" w14:textId="77777777" w:rsidTr="00944CB1">
        <w:trPr>
          <w:jc w:val="center"/>
        </w:trPr>
        <w:tc>
          <w:tcPr>
            <w:tcW w:w="1164" w:type="pct"/>
            <w:vAlign w:val="bottom"/>
          </w:tcPr>
          <w:p w14:paraId="7F429427" w14:textId="77777777" w:rsidR="00917D47" w:rsidRPr="00917D47" w:rsidRDefault="00917D47" w:rsidP="00D03A4F">
            <w:pPr>
              <w:spacing w:after="0" w:line="240" w:lineRule="auto"/>
              <w:ind w:left="57"/>
              <w:rPr>
                <w:rFonts w:ascii="Times New Roman" w:eastAsia="Times New Roman" w:hAnsi="Times New Roman" w:cs="Times New Roman"/>
                <w:b/>
                <w:bCs/>
                <w:sz w:val="24"/>
                <w:szCs w:val="24"/>
                <w:lang w:eastAsia="ru-RU"/>
              </w:rPr>
            </w:pPr>
            <w:r w:rsidRPr="00917D47">
              <w:rPr>
                <w:rFonts w:ascii="Times New Roman" w:eastAsia="Times New Roman" w:hAnsi="Times New Roman" w:cs="Times New Roman"/>
                <w:b/>
                <w:bCs/>
                <w:sz w:val="24"/>
                <w:szCs w:val="24"/>
                <w:lang w:eastAsia="ru-RU"/>
              </w:rPr>
              <w:t>Все обследованные домашние хозяйства</w:t>
            </w:r>
          </w:p>
        </w:tc>
        <w:tc>
          <w:tcPr>
            <w:tcW w:w="451" w:type="pct"/>
            <w:vAlign w:val="bottom"/>
          </w:tcPr>
          <w:p w14:paraId="383AA5E3" w14:textId="77777777"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w:t>
            </w:r>
            <w:r w:rsidR="001236BA">
              <w:rPr>
                <w:rFonts w:ascii="Times New Roman" w:eastAsia="Times New Roman" w:hAnsi="Times New Roman" w:cs="Times New Roman"/>
                <w:sz w:val="24"/>
                <w:szCs w:val="24"/>
                <w:lang w:eastAsia="ru-RU"/>
              </w:rPr>
              <w:t>6</w:t>
            </w:r>
          </w:p>
        </w:tc>
        <w:tc>
          <w:tcPr>
            <w:tcW w:w="824" w:type="pct"/>
            <w:vAlign w:val="bottom"/>
          </w:tcPr>
          <w:p w14:paraId="3CFAC9E9" w14:textId="77777777"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13,</w:t>
            </w:r>
            <w:r w:rsidR="001236BA">
              <w:rPr>
                <w:rFonts w:ascii="Times New Roman" w:eastAsia="Times New Roman" w:hAnsi="Times New Roman" w:cs="Times New Roman"/>
                <w:sz w:val="24"/>
                <w:szCs w:val="24"/>
                <w:lang w:eastAsia="ru-RU"/>
              </w:rPr>
              <w:t>9</w:t>
            </w:r>
          </w:p>
        </w:tc>
        <w:tc>
          <w:tcPr>
            <w:tcW w:w="645" w:type="pct"/>
            <w:vAlign w:val="bottom"/>
          </w:tcPr>
          <w:p w14:paraId="7C20BE51" w14:textId="77777777" w:rsidR="00917D47" w:rsidRPr="00917D47" w:rsidRDefault="001236BA" w:rsidP="005A24F5">
            <w:pPr>
              <w:spacing w:before="8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917D47" w:rsidRPr="00917D47">
              <w:rPr>
                <w:rFonts w:ascii="Times New Roman" w:eastAsia="Times New Roman" w:hAnsi="Times New Roman" w:cs="Times New Roman"/>
                <w:sz w:val="24"/>
                <w:szCs w:val="24"/>
                <w:lang w:eastAsia="ru-RU"/>
              </w:rPr>
              <w:t>,3</w:t>
            </w:r>
          </w:p>
        </w:tc>
        <w:tc>
          <w:tcPr>
            <w:tcW w:w="615" w:type="pct"/>
            <w:vAlign w:val="bottom"/>
          </w:tcPr>
          <w:p w14:paraId="0F321EFE" w14:textId="77777777" w:rsidR="00917D47" w:rsidRPr="00917D47" w:rsidRDefault="00917D47" w:rsidP="001236BA">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3</w:t>
            </w:r>
            <w:r w:rsidR="001236BA">
              <w:rPr>
                <w:rFonts w:ascii="Times New Roman" w:eastAsia="Times New Roman" w:hAnsi="Times New Roman" w:cs="Times New Roman"/>
                <w:sz w:val="24"/>
                <w:szCs w:val="24"/>
                <w:lang w:eastAsia="ru-RU"/>
              </w:rPr>
              <w:t>2</w:t>
            </w:r>
            <w:r w:rsidRPr="00917D47">
              <w:rPr>
                <w:rFonts w:ascii="Times New Roman" w:eastAsia="Times New Roman" w:hAnsi="Times New Roman" w:cs="Times New Roman"/>
                <w:sz w:val="24"/>
                <w:szCs w:val="24"/>
                <w:lang w:eastAsia="ru-RU"/>
              </w:rPr>
              <w:t>,</w:t>
            </w:r>
            <w:r w:rsidR="001236BA">
              <w:rPr>
                <w:rFonts w:ascii="Times New Roman" w:eastAsia="Times New Roman" w:hAnsi="Times New Roman" w:cs="Times New Roman"/>
                <w:sz w:val="24"/>
                <w:szCs w:val="24"/>
                <w:lang w:eastAsia="ru-RU"/>
              </w:rPr>
              <w:t>7</w:t>
            </w:r>
          </w:p>
        </w:tc>
        <w:tc>
          <w:tcPr>
            <w:tcW w:w="627" w:type="pct"/>
            <w:vAlign w:val="bottom"/>
          </w:tcPr>
          <w:p w14:paraId="10DBA99A" w14:textId="77777777" w:rsidR="00917D47" w:rsidRPr="00917D47" w:rsidRDefault="001236BA" w:rsidP="005A24F5">
            <w:pPr>
              <w:spacing w:before="8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674" w:type="pct"/>
            <w:vAlign w:val="bottom"/>
          </w:tcPr>
          <w:p w14:paraId="56063CAE" w14:textId="77777777"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0,5</w:t>
            </w:r>
          </w:p>
        </w:tc>
      </w:tr>
      <w:tr w:rsidR="00917D47" w:rsidRPr="00917D47" w14:paraId="04767894" w14:textId="77777777" w:rsidTr="00944CB1">
        <w:trPr>
          <w:jc w:val="center"/>
        </w:trPr>
        <w:tc>
          <w:tcPr>
            <w:tcW w:w="1164" w:type="pct"/>
            <w:vAlign w:val="bottom"/>
          </w:tcPr>
          <w:p w14:paraId="29BCEBF2" w14:textId="77777777" w:rsidR="00917D47" w:rsidRPr="00917D47" w:rsidRDefault="00917D47" w:rsidP="00D03A4F">
            <w:pPr>
              <w:spacing w:after="0" w:line="240" w:lineRule="auto"/>
              <w:ind w:left="57"/>
              <w:rPr>
                <w:rFonts w:ascii="Times New Roman" w:eastAsia="Times New Roman" w:hAnsi="Times New Roman" w:cs="Times New Roman"/>
                <w:bCs/>
                <w:sz w:val="24"/>
                <w:szCs w:val="24"/>
                <w:lang w:eastAsia="ru-RU"/>
              </w:rPr>
            </w:pPr>
            <w:r w:rsidRPr="00917D47">
              <w:rPr>
                <w:rFonts w:ascii="Times New Roman" w:eastAsia="Times New Roman" w:hAnsi="Times New Roman" w:cs="Times New Roman"/>
                <w:bCs/>
                <w:sz w:val="24"/>
                <w:szCs w:val="24"/>
                <w:lang w:eastAsia="ru-RU"/>
              </w:rPr>
              <w:t>Домашние хозяйства без детей</w:t>
            </w:r>
          </w:p>
        </w:tc>
        <w:tc>
          <w:tcPr>
            <w:tcW w:w="451" w:type="pct"/>
            <w:vAlign w:val="bottom"/>
          </w:tcPr>
          <w:p w14:paraId="4FB475B6" w14:textId="77777777"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w:t>
            </w:r>
            <w:r w:rsidR="001236BA">
              <w:rPr>
                <w:rFonts w:ascii="Times New Roman" w:eastAsia="Times New Roman" w:hAnsi="Times New Roman" w:cs="Times New Roman"/>
                <w:sz w:val="24"/>
                <w:szCs w:val="24"/>
                <w:lang w:eastAsia="ru-RU"/>
              </w:rPr>
              <w:t>6</w:t>
            </w:r>
          </w:p>
        </w:tc>
        <w:tc>
          <w:tcPr>
            <w:tcW w:w="824" w:type="pct"/>
            <w:vAlign w:val="bottom"/>
          </w:tcPr>
          <w:p w14:paraId="591495F1" w14:textId="77777777"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13,</w:t>
            </w:r>
            <w:r w:rsidR="001236BA">
              <w:rPr>
                <w:rFonts w:ascii="Times New Roman" w:eastAsia="Times New Roman" w:hAnsi="Times New Roman" w:cs="Times New Roman"/>
                <w:sz w:val="24"/>
                <w:szCs w:val="24"/>
                <w:lang w:eastAsia="ru-RU"/>
              </w:rPr>
              <w:t>6</w:t>
            </w:r>
          </w:p>
        </w:tc>
        <w:tc>
          <w:tcPr>
            <w:tcW w:w="645" w:type="pct"/>
            <w:vAlign w:val="bottom"/>
          </w:tcPr>
          <w:p w14:paraId="05C91BB1" w14:textId="77777777" w:rsidR="00917D47" w:rsidRPr="00917D47" w:rsidRDefault="001236BA" w:rsidP="005A24F5">
            <w:pPr>
              <w:spacing w:before="8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49,4</w:t>
            </w:r>
          </w:p>
        </w:tc>
        <w:tc>
          <w:tcPr>
            <w:tcW w:w="615" w:type="pct"/>
            <w:vAlign w:val="bottom"/>
          </w:tcPr>
          <w:p w14:paraId="0F380050" w14:textId="77777777" w:rsidR="00917D47" w:rsidRPr="00917D47" w:rsidRDefault="00917D47" w:rsidP="001236BA">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3</w:t>
            </w:r>
            <w:r w:rsidR="001236BA">
              <w:rPr>
                <w:rFonts w:ascii="Times New Roman" w:eastAsia="Times New Roman" w:hAnsi="Times New Roman" w:cs="Times New Roman"/>
                <w:sz w:val="24"/>
                <w:szCs w:val="24"/>
                <w:lang w:eastAsia="ru-RU"/>
              </w:rPr>
              <w:t>2</w:t>
            </w:r>
            <w:r w:rsidRPr="00917D47">
              <w:rPr>
                <w:rFonts w:ascii="Times New Roman" w:eastAsia="Times New Roman" w:hAnsi="Times New Roman" w:cs="Times New Roman"/>
                <w:sz w:val="24"/>
                <w:szCs w:val="24"/>
                <w:lang w:eastAsia="ru-RU"/>
              </w:rPr>
              <w:t>,</w:t>
            </w:r>
            <w:r w:rsidR="001236BA">
              <w:rPr>
                <w:rFonts w:ascii="Times New Roman" w:eastAsia="Times New Roman" w:hAnsi="Times New Roman" w:cs="Times New Roman"/>
                <w:sz w:val="24"/>
                <w:szCs w:val="24"/>
                <w:lang w:eastAsia="ru-RU"/>
              </w:rPr>
              <w:t>7</w:t>
            </w:r>
          </w:p>
        </w:tc>
        <w:tc>
          <w:tcPr>
            <w:tcW w:w="627" w:type="pct"/>
            <w:vAlign w:val="bottom"/>
          </w:tcPr>
          <w:p w14:paraId="7270BA93" w14:textId="77777777" w:rsidR="00917D47" w:rsidRPr="00917D47" w:rsidRDefault="001236BA" w:rsidP="005A24F5">
            <w:pPr>
              <w:spacing w:before="8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674" w:type="pct"/>
            <w:vAlign w:val="bottom"/>
          </w:tcPr>
          <w:p w14:paraId="69B29E79" w14:textId="77777777" w:rsidR="00917D47" w:rsidRPr="00917D47" w:rsidRDefault="001236BA" w:rsidP="005A24F5">
            <w:pPr>
              <w:spacing w:before="8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917D47" w:rsidRPr="00917D47" w14:paraId="448B9877" w14:textId="77777777" w:rsidTr="00944CB1">
        <w:trPr>
          <w:jc w:val="center"/>
        </w:trPr>
        <w:tc>
          <w:tcPr>
            <w:tcW w:w="1164" w:type="pct"/>
            <w:vAlign w:val="bottom"/>
          </w:tcPr>
          <w:p w14:paraId="4FFC7977" w14:textId="77777777" w:rsidR="00917D47" w:rsidRPr="00917D47" w:rsidRDefault="00917D47" w:rsidP="00D03A4F">
            <w:pPr>
              <w:spacing w:after="0" w:line="240" w:lineRule="auto"/>
              <w:ind w:left="57"/>
              <w:rPr>
                <w:rFonts w:ascii="Times New Roman" w:eastAsia="Times New Roman" w:hAnsi="Times New Roman" w:cs="Times New Roman"/>
                <w:bCs/>
                <w:sz w:val="24"/>
                <w:szCs w:val="24"/>
                <w:lang w:eastAsia="ru-RU"/>
              </w:rPr>
            </w:pPr>
            <w:r w:rsidRPr="00917D47">
              <w:rPr>
                <w:rFonts w:ascii="Times New Roman" w:eastAsia="Times New Roman" w:hAnsi="Times New Roman" w:cs="Times New Roman"/>
                <w:bCs/>
                <w:sz w:val="24"/>
                <w:szCs w:val="24"/>
                <w:lang w:eastAsia="ru-RU"/>
              </w:rPr>
              <w:t xml:space="preserve">Домашние хозяйства, имеющие детей в возрасте до 16 лет </w:t>
            </w:r>
          </w:p>
        </w:tc>
        <w:tc>
          <w:tcPr>
            <w:tcW w:w="451" w:type="pct"/>
            <w:vAlign w:val="bottom"/>
          </w:tcPr>
          <w:p w14:paraId="23CCB0CF" w14:textId="77777777"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w:t>
            </w:r>
            <w:r w:rsidR="001236BA">
              <w:rPr>
                <w:rFonts w:ascii="Times New Roman" w:eastAsia="Times New Roman" w:hAnsi="Times New Roman" w:cs="Times New Roman"/>
                <w:sz w:val="24"/>
                <w:szCs w:val="24"/>
                <w:lang w:eastAsia="ru-RU"/>
              </w:rPr>
              <w:t>6</w:t>
            </w:r>
          </w:p>
        </w:tc>
        <w:tc>
          <w:tcPr>
            <w:tcW w:w="824" w:type="pct"/>
            <w:vAlign w:val="bottom"/>
          </w:tcPr>
          <w:p w14:paraId="7EA7C239" w14:textId="77777777"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14,</w:t>
            </w:r>
            <w:r w:rsidR="001236BA">
              <w:rPr>
                <w:rFonts w:ascii="Times New Roman" w:eastAsia="Times New Roman" w:hAnsi="Times New Roman" w:cs="Times New Roman"/>
                <w:sz w:val="24"/>
                <w:szCs w:val="24"/>
                <w:lang w:eastAsia="ru-RU"/>
              </w:rPr>
              <w:t>4</w:t>
            </w:r>
          </w:p>
        </w:tc>
        <w:tc>
          <w:tcPr>
            <w:tcW w:w="645" w:type="pct"/>
            <w:vAlign w:val="bottom"/>
          </w:tcPr>
          <w:p w14:paraId="04D2FA6C" w14:textId="77777777"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49,</w:t>
            </w:r>
            <w:r w:rsidR="001236BA">
              <w:rPr>
                <w:rFonts w:ascii="Times New Roman" w:eastAsia="Times New Roman" w:hAnsi="Times New Roman" w:cs="Times New Roman"/>
                <w:sz w:val="24"/>
                <w:szCs w:val="24"/>
                <w:lang w:eastAsia="ru-RU"/>
              </w:rPr>
              <w:t>1</w:t>
            </w:r>
          </w:p>
        </w:tc>
        <w:tc>
          <w:tcPr>
            <w:tcW w:w="615" w:type="pct"/>
            <w:vAlign w:val="bottom"/>
          </w:tcPr>
          <w:p w14:paraId="2CDDC280" w14:textId="77777777" w:rsidR="00917D47" w:rsidRPr="00917D47" w:rsidRDefault="00917D47" w:rsidP="001236BA">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3</w:t>
            </w:r>
            <w:r w:rsidR="001236BA">
              <w:rPr>
                <w:rFonts w:ascii="Times New Roman" w:eastAsia="Times New Roman" w:hAnsi="Times New Roman" w:cs="Times New Roman"/>
                <w:sz w:val="24"/>
                <w:szCs w:val="24"/>
                <w:lang w:eastAsia="ru-RU"/>
              </w:rPr>
              <w:t>5</w:t>
            </w:r>
            <w:r w:rsidRPr="00917D47">
              <w:rPr>
                <w:rFonts w:ascii="Times New Roman" w:eastAsia="Times New Roman" w:hAnsi="Times New Roman" w:cs="Times New Roman"/>
                <w:sz w:val="24"/>
                <w:szCs w:val="24"/>
                <w:lang w:eastAsia="ru-RU"/>
              </w:rPr>
              <w:t>,</w:t>
            </w:r>
            <w:r w:rsidR="001236BA">
              <w:rPr>
                <w:rFonts w:ascii="Times New Roman" w:eastAsia="Times New Roman" w:hAnsi="Times New Roman" w:cs="Times New Roman"/>
                <w:sz w:val="24"/>
                <w:szCs w:val="24"/>
                <w:lang w:eastAsia="ru-RU"/>
              </w:rPr>
              <w:t>6</w:t>
            </w:r>
          </w:p>
        </w:tc>
        <w:tc>
          <w:tcPr>
            <w:tcW w:w="627" w:type="pct"/>
            <w:vAlign w:val="bottom"/>
          </w:tcPr>
          <w:p w14:paraId="527B63FE" w14:textId="77777777" w:rsidR="00917D47" w:rsidRPr="00917D47" w:rsidRDefault="001236BA" w:rsidP="005A24F5">
            <w:pPr>
              <w:spacing w:before="8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674" w:type="pct"/>
            <w:vAlign w:val="bottom"/>
          </w:tcPr>
          <w:p w14:paraId="62B7E9A7" w14:textId="77777777" w:rsidR="00917D47" w:rsidRPr="00917D47" w:rsidRDefault="001236BA" w:rsidP="005A24F5">
            <w:pPr>
              <w:spacing w:before="8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tc>
      </w:tr>
      <w:tr w:rsidR="00917D47" w:rsidRPr="00917D47" w14:paraId="7E708607" w14:textId="77777777" w:rsidTr="00944CB1">
        <w:trPr>
          <w:jc w:val="center"/>
        </w:trPr>
        <w:tc>
          <w:tcPr>
            <w:tcW w:w="1164" w:type="pct"/>
            <w:tcBorders>
              <w:bottom w:val="nil"/>
            </w:tcBorders>
            <w:vAlign w:val="bottom"/>
          </w:tcPr>
          <w:p w14:paraId="3A64DD2E" w14:textId="77777777" w:rsidR="00917D47" w:rsidRPr="00917D47" w:rsidRDefault="00917D47"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Домашние хозяйства, имеющие:</w:t>
            </w:r>
          </w:p>
        </w:tc>
        <w:tc>
          <w:tcPr>
            <w:tcW w:w="451" w:type="pct"/>
            <w:tcBorders>
              <w:bottom w:val="nil"/>
            </w:tcBorders>
            <w:vAlign w:val="bottom"/>
          </w:tcPr>
          <w:p w14:paraId="4A860048" w14:textId="77777777" w:rsidR="00917D47" w:rsidRPr="00917D47" w:rsidRDefault="00917D47" w:rsidP="005A24F5">
            <w:pPr>
              <w:spacing w:after="0" w:line="240" w:lineRule="auto"/>
              <w:ind w:left="284"/>
              <w:jc w:val="center"/>
              <w:rPr>
                <w:rFonts w:ascii="Times New Roman" w:eastAsia="Times New Roman" w:hAnsi="Times New Roman" w:cs="Times New Roman"/>
                <w:sz w:val="24"/>
                <w:szCs w:val="24"/>
                <w:lang w:eastAsia="ru-RU"/>
              </w:rPr>
            </w:pPr>
          </w:p>
        </w:tc>
        <w:tc>
          <w:tcPr>
            <w:tcW w:w="824" w:type="pct"/>
            <w:tcBorders>
              <w:bottom w:val="nil"/>
            </w:tcBorders>
            <w:vAlign w:val="bottom"/>
          </w:tcPr>
          <w:p w14:paraId="11C5AA71" w14:textId="77777777" w:rsidR="00917D47" w:rsidRPr="00917D47" w:rsidRDefault="00917D47" w:rsidP="005A24F5">
            <w:pPr>
              <w:spacing w:after="0" w:line="240" w:lineRule="auto"/>
              <w:ind w:left="284"/>
              <w:jc w:val="center"/>
              <w:rPr>
                <w:rFonts w:ascii="Times New Roman" w:eastAsia="Times New Roman" w:hAnsi="Times New Roman" w:cs="Times New Roman"/>
                <w:sz w:val="24"/>
                <w:szCs w:val="24"/>
                <w:lang w:eastAsia="ru-RU"/>
              </w:rPr>
            </w:pPr>
          </w:p>
        </w:tc>
        <w:tc>
          <w:tcPr>
            <w:tcW w:w="645" w:type="pct"/>
            <w:tcBorders>
              <w:bottom w:val="nil"/>
            </w:tcBorders>
            <w:vAlign w:val="bottom"/>
          </w:tcPr>
          <w:p w14:paraId="6728742F" w14:textId="77777777" w:rsidR="00917D47" w:rsidRPr="00917D47" w:rsidRDefault="00917D47" w:rsidP="005A24F5">
            <w:pPr>
              <w:spacing w:after="0" w:line="240" w:lineRule="auto"/>
              <w:ind w:left="284"/>
              <w:jc w:val="center"/>
              <w:rPr>
                <w:rFonts w:ascii="Times New Roman" w:eastAsia="Times New Roman" w:hAnsi="Times New Roman" w:cs="Times New Roman"/>
                <w:sz w:val="24"/>
                <w:szCs w:val="24"/>
                <w:lang w:eastAsia="ru-RU"/>
              </w:rPr>
            </w:pPr>
          </w:p>
        </w:tc>
        <w:tc>
          <w:tcPr>
            <w:tcW w:w="615" w:type="pct"/>
            <w:tcBorders>
              <w:bottom w:val="nil"/>
            </w:tcBorders>
            <w:vAlign w:val="bottom"/>
          </w:tcPr>
          <w:p w14:paraId="15FE25B0" w14:textId="77777777" w:rsidR="00917D47" w:rsidRPr="00917D47" w:rsidRDefault="00917D47" w:rsidP="005A24F5">
            <w:pPr>
              <w:spacing w:after="0" w:line="240" w:lineRule="auto"/>
              <w:ind w:left="284"/>
              <w:jc w:val="center"/>
              <w:rPr>
                <w:rFonts w:ascii="Times New Roman" w:eastAsia="Times New Roman" w:hAnsi="Times New Roman" w:cs="Times New Roman"/>
                <w:sz w:val="24"/>
                <w:szCs w:val="24"/>
                <w:lang w:eastAsia="ru-RU"/>
              </w:rPr>
            </w:pPr>
          </w:p>
        </w:tc>
        <w:tc>
          <w:tcPr>
            <w:tcW w:w="627" w:type="pct"/>
            <w:tcBorders>
              <w:bottom w:val="nil"/>
            </w:tcBorders>
            <w:vAlign w:val="bottom"/>
          </w:tcPr>
          <w:p w14:paraId="51F89905" w14:textId="77777777" w:rsidR="00917D47" w:rsidRPr="00917D47" w:rsidRDefault="00917D47" w:rsidP="005A24F5">
            <w:pPr>
              <w:spacing w:after="0" w:line="240" w:lineRule="auto"/>
              <w:ind w:left="284"/>
              <w:jc w:val="center"/>
              <w:rPr>
                <w:rFonts w:ascii="Times New Roman" w:eastAsia="Times New Roman" w:hAnsi="Times New Roman" w:cs="Times New Roman"/>
                <w:sz w:val="24"/>
                <w:szCs w:val="24"/>
                <w:lang w:eastAsia="ru-RU"/>
              </w:rPr>
            </w:pPr>
          </w:p>
        </w:tc>
        <w:tc>
          <w:tcPr>
            <w:tcW w:w="674" w:type="pct"/>
            <w:tcBorders>
              <w:bottom w:val="nil"/>
            </w:tcBorders>
            <w:vAlign w:val="bottom"/>
          </w:tcPr>
          <w:p w14:paraId="4913249D" w14:textId="77777777" w:rsidR="00917D47" w:rsidRPr="00917D47" w:rsidRDefault="00917D47" w:rsidP="005A24F5">
            <w:pPr>
              <w:spacing w:after="0" w:line="240" w:lineRule="auto"/>
              <w:ind w:left="284"/>
              <w:jc w:val="center"/>
              <w:rPr>
                <w:rFonts w:ascii="Times New Roman" w:eastAsia="Times New Roman" w:hAnsi="Times New Roman" w:cs="Times New Roman"/>
                <w:sz w:val="24"/>
                <w:szCs w:val="24"/>
                <w:lang w:eastAsia="ru-RU"/>
              </w:rPr>
            </w:pPr>
          </w:p>
        </w:tc>
      </w:tr>
      <w:tr w:rsidR="00917D47" w:rsidRPr="00917D47" w14:paraId="6275218B" w14:textId="77777777" w:rsidTr="00944CB1">
        <w:trPr>
          <w:jc w:val="center"/>
        </w:trPr>
        <w:tc>
          <w:tcPr>
            <w:tcW w:w="1164" w:type="pct"/>
            <w:tcBorders>
              <w:top w:val="nil"/>
            </w:tcBorders>
            <w:vAlign w:val="bottom"/>
          </w:tcPr>
          <w:p w14:paraId="3DD2C96F" w14:textId="77777777" w:rsidR="00917D47" w:rsidRPr="00917D47" w:rsidRDefault="00917D47"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одного ребенка</w:t>
            </w:r>
          </w:p>
        </w:tc>
        <w:tc>
          <w:tcPr>
            <w:tcW w:w="451" w:type="pct"/>
            <w:tcBorders>
              <w:top w:val="nil"/>
            </w:tcBorders>
            <w:vAlign w:val="bottom"/>
          </w:tcPr>
          <w:p w14:paraId="5A8669C9" w14:textId="77777777"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w:t>
            </w:r>
            <w:r w:rsidR="001236BA">
              <w:rPr>
                <w:rFonts w:ascii="Times New Roman" w:eastAsia="Times New Roman" w:hAnsi="Times New Roman" w:cs="Times New Roman"/>
                <w:sz w:val="24"/>
                <w:szCs w:val="24"/>
                <w:lang w:eastAsia="ru-RU"/>
              </w:rPr>
              <w:t>4</w:t>
            </w:r>
          </w:p>
        </w:tc>
        <w:tc>
          <w:tcPr>
            <w:tcW w:w="824" w:type="pct"/>
            <w:tcBorders>
              <w:top w:val="nil"/>
            </w:tcBorders>
            <w:vAlign w:val="bottom"/>
          </w:tcPr>
          <w:p w14:paraId="71952247" w14:textId="77777777"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12,9</w:t>
            </w:r>
          </w:p>
        </w:tc>
        <w:tc>
          <w:tcPr>
            <w:tcW w:w="645" w:type="pct"/>
            <w:tcBorders>
              <w:top w:val="nil"/>
            </w:tcBorders>
            <w:vAlign w:val="bottom"/>
          </w:tcPr>
          <w:p w14:paraId="0150EAF8" w14:textId="77777777" w:rsidR="00917D47" w:rsidRPr="00917D47" w:rsidRDefault="001236BA" w:rsidP="005A24F5">
            <w:pPr>
              <w:spacing w:before="8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49,6</w:t>
            </w:r>
          </w:p>
        </w:tc>
        <w:tc>
          <w:tcPr>
            <w:tcW w:w="615" w:type="pct"/>
            <w:tcBorders>
              <w:top w:val="nil"/>
            </w:tcBorders>
            <w:vAlign w:val="bottom"/>
          </w:tcPr>
          <w:p w14:paraId="1852D23C" w14:textId="77777777" w:rsidR="00917D47" w:rsidRPr="00917D47" w:rsidRDefault="001236BA" w:rsidP="005A24F5">
            <w:pPr>
              <w:spacing w:before="8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34,3</w:t>
            </w:r>
          </w:p>
        </w:tc>
        <w:tc>
          <w:tcPr>
            <w:tcW w:w="627" w:type="pct"/>
            <w:tcBorders>
              <w:top w:val="nil"/>
            </w:tcBorders>
            <w:vAlign w:val="bottom"/>
          </w:tcPr>
          <w:p w14:paraId="3C580CBC" w14:textId="77777777"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2,</w:t>
            </w:r>
            <w:r w:rsidR="001236BA">
              <w:rPr>
                <w:rFonts w:ascii="Times New Roman" w:eastAsia="Times New Roman" w:hAnsi="Times New Roman" w:cs="Times New Roman"/>
                <w:sz w:val="24"/>
                <w:szCs w:val="24"/>
                <w:lang w:eastAsia="ru-RU"/>
              </w:rPr>
              <w:t>0</w:t>
            </w:r>
          </w:p>
        </w:tc>
        <w:tc>
          <w:tcPr>
            <w:tcW w:w="674" w:type="pct"/>
            <w:tcBorders>
              <w:top w:val="nil"/>
            </w:tcBorders>
            <w:vAlign w:val="bottom"/>
          </w:tcPr>
          <w:p w14:paraId="18ED4B79" w14:textId="77777777"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w:t>
            </w:r>
            <w:r w:rsidR="001236BA">
              <w:rPr>
                <w:rFonts w:ascii="Times New Roman" w:eastAsia="Times New Roman" w:hAnsi="Times New Roman" w:cs="Times New Roman"/>
                <w:sz w:val="24"/>
                <w:szCs w:val="24"/>
                <w:lang w:eastAsia="ru-RU"/>
              </w:rPr>
              <w:t>7</w:t>
            </w:r>
          </w:p>
        </w:tc>
      </w:tr>
      <w:tr w:rsidR="00917D47" w:rsidRPr="00917D47" w14:paraId="56025CDA" w14:textId="77777777" w:rsidTr="00944CB1">
        <w:trPr>
          <w:jc w:val="center"/>
        </w:trPr>
        <w:tc>
          <w:tcPr>
            <w:tcW w:w="1164" w:type="pct"/>
            <w:vAlign w:val="bottom"/>
          </w:tcPr>
          <w:p w14:paraId="4294C15D" w14:textId="77777777" w:rsidR="00917D47" w:rsidRPr="00917D47" w:rsidRDefault="00917D47"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двух детей</w:t>
            </w:r>
          </w:p>
        </w:tc>
        <w:tc>
          <w:tcPr>
            <w:tcW w:w="451" w:type="pct"/>
            <w:vAlign w:val="bottom"/>
          </w:tcPr>
          <w:p w14:paraId="5FCAEDE4" w14:textId="77777777"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0,7</w:t>
            </w:r>
          </w:p>
        </w:tc>
        <w:tc>
          <w:tcPr>
            <w:tcW w:w="824" w:type="pct"/>
            <w:vAlign w:val="bottom"/>
          </w:tcPr>
          <w:p w14:paraId="07152D42" w14:textId="77777777" w:rsidR="00917D47" w:rsidRPr="00917D47" w:rsidRDefault="00917D47" w:rsidP="001236BA">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w:t>
            </w:r>
            <w:r w:rsidR="001236BA">
              <w:rPr>
                <w:rFonts w:ascii="Times New Roman" w:eastAsia="Times New Roman" w:hAnsi="Times New Roman" w:cs="Times New Roman"/>
                <w:sz w:val="24"/>
                <w:szCs w:val="24"/>
                <w:lang w:eastAsia="ru-RU"/>
              </w:rPr>
              <w:t>5</w:t>
            </w:r>
            <w:r w:rsidRPr="00917D47">
              <w:rPr>
                <w:rFonts w:ascii="Times New Roman" w:eastAsia="Times New Roman" w:hAnsi="Times New Roman" w:cs="Times New Roman"/>
                <w:sz w:val="24"/>
                <w:szCs w:val="24"/>
                <w:lang w:eastAsia="ru-RU"/>
              </w:rPr>
              <w:t>,</w:t>
            </w:r>
            <w:r w:rsidR="001236BA">
              <w:rPr>
                <w:rFonts w:ascii="Times New Roman" w:eastAsia="Times New Roman" w:hAnsi="Times New Roman" w:cs="Times New Roman"/>
                <w:sz w:val="24"/>
                <w:szCs w:val="24"/>
                <w:lang w:eastAsia="ru-RU"/>
              </w:rPr>
              <w:t>2</w:t>
            </w:r>
          </w:p>
        </w:tc>
        <w:tc>
          <w:tcPr>
            <w:tcW w:w="645" w:type="pct"/>
            <w:vAlign w:val="bottom"/>
          </w:tcPr>
          <w:p w14:paraId="5275DFE4" w14:textId="77777777"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47,</w:t>
            </w:r>
            <w:r w:rsidR="001236BA">
              <w:rPr>
                <w:rFonts w:ascii="Times New Roman" w:eastAsia="Times New Roman" w:hAnsi="Times New Roman" w:cs="Times New Roman"/>
                <w:sz w:val="24"/>
                <w:szCs w:val="24"/>
                <w:lang w:eastAsia="ru-RU"/>
              </w:rPr>
              <w:t>9</w:t>
            </w:r>
          </w:p>
        </w:tc>
        <w:tc>
          <w:tcPr>
            <w:tcW w:w="615" w:type="pct"/>
            <w:vAlign w:val="bottom"/>
          </w:tcPr>
          <w:p w14:paraId="0F1B2066" w14:textId="77777777" w:rsidR="00917D47" w:rsidRPr="00917D47" w:rsidRDefault="00917D47" w:rsidP="001236BA">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3</w:t>
            </w:r>
            <w:r w:rsidR="001236BA">
              <w:rPr>
                <w:rFonts w:ascii="Times New Roman" w:eastAsia="Times New Roman" w:hAnsi="Times New Roman" w:cs="Times New Roman"/>
                <w:sz w:val="24"/>
                <w:szCs w:val="24"/>
                <w:lang w:eastAsia="ru-RU"/>
              </w:rPr>
              <w:t>2</w:t>
            </w:r>
            <w:r w:rsidRPr="00917D47">
              <w:rPr>
                <w:rFonts w:ascii="Times New Roman" w:eastAsia="Times New Roman" w:hAnsi="Times New Roman" w:cs="Times New Roman"/>
                <w:sz w:val="24"/>
                <w:szCs w:val="24"/>
                <w:lang w:eastAsia="ru-RU"/>
              </w:rPr>
              <w:t>,</w:t>
            </w:r>
            <w:r w:rsidR="001236BA">
              <w:rPr>
                <w:rFonts w:ascii="Times New Roman" w:eastAsia="Times New Roman" w:hAnsi="Times New Roman" w:cs="Times New Roman"/>
                <w:sz w:val="24"/>
                <w:szCs w:val="24"/>
                <w:lang w:eastAsia="ru-RU"/>
              </w:rPr>
              <w:t>7</w:t>
            </w:r>
          </w:p>
        </w:tc>
        <w:tc>
          <w:tcPr>
            <w:tcW w:w="627" w:type="pct"/>
            <w:vAlign w:val="bottom"/>
          </w:tcPr>
          <w:p w14:paraId="1EB6921E" w14:textId="77777777" w:rsidR="00917D47" w:rsidRPr="00917D47" w:rsidRDefault="001236BA" w:rsidP="005A24F5">
            <w:pPr>
              <w:spacing w:before="8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17D47" w:rsidRPr="00917D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p>
        </w:tc>
        <w:tc>
          <w:tcPr>
            <w:tcW w:w="674" w:type="pct"/>
            <w:vAlign w:val="bottom"/>
          </w:tcPr>
          <w:p w14:paraId="5D10510E" w14:textId="77777777"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w:t>
            </w:r>
            <w:r w:rsidR="001236BA">
              <w:rPr>
                <w:rFonts w:ascii="Times New Roman" w:eastAsia="Times New Roman" w:hAnsi="Times New Roman" w:cs="Times New Roman"/>
                <w:sz w:val="24"/>
                <w:szCs w:val="24"/>
                <w:lang w:eastAsia="ru-RU"/>
              </w:rPr>
              <w:t>3</w:t>
            </w:r>
          </w:p>
        </w:tc>
      </w:tr>
      <w:tr w:rsidR="00917D47" w:rsidRPr="00917D47" w14:paraId="2BFD42D7" w14:textId="77777777" w:rsidTr="00944CB1">
        <w:trPr>
          <w:jc w:val="center"/>
        </w:trPr>
        <w:tc>
          <w:tcPr>
            <w:tcW w:w="1164" w:type="pct"/>
            <w:vAlign w:val="bottom"/>
          </w:tcPr>
          <w:p w14:paraId="33B0FE13" w14:textId="77777777" w:rsidR="00917D47" w:rsidRPr="00917D47" w:rsidRDefault="00917D47"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 xml:space="preserve">трех и более детей </w:t>
            </w:r>
          </w:p>
        </w:tc>
        <w:tc>
          <w:tcPr>
            <w:tcW w:w="451" w:type="pct"/>
            <w:vAlign w:val="bottom"/>
          </w:tcPr>
          <w:p w14:paraId="280FE171" w14:textId="77777777"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1,</w:t>
            </w:r>
            <w:r w:rsidR="001236BA">
              <w:rPr>
                <w:rFonts w:ascii="Times New Roman" w:eastAsia="Times New Roman" w:hAnsi="Times New Roman" w:cs="Times New Roman"/>
                <w:sz w:val="24"/>
                <w:szCs w:val="24"/>
                <w:lang w:eastAsia="ru-RU"/>
              </w:rPr>
              <w:t>4</w:t>
            </w:r>
          </w:p>
        </w:tc>
        <w:tc>
          <w:tcPr>
            <w:tcW w:w="824" w:type="pct"/>
            <w:vAlign w:val="bottom"/>
          </w:tcPr>
          <w:p w14:paraId="04486AEB" w14:textId="77777777" w:rsidR="00917D47" w:rsidRPr="00917D47" w:rsidRDefault="00917D47" w:rsidP="001236BA">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2</w:t>
            </w:r>
            <w:r w:rsidR="001236BA">
              <w:rPr>
                <w:rFonts w:ascii="Times New Roman" w:eastAsia="Times New Roman" w:hAnsi="Times New Roman" w:cs="Times New Roman"/>
                <w:sz w:val="24"/>
                <w:szCs w:val="24"/>
                <w:lang w:eastAsia="ru-RU"/>
              </w:rPr>
              <w:t>2</w:t>
            </w:r>
            <w:r w:rsidRPr="00917D47">
              <w:rPr>
                <w:rFonts w:ascii="Times New Roman" w:eastAsia="Times New Roman" w:hAnsi="Times New Roman" w:cs="Times New Roman"/>
                <w:sz w:val="24"/>
                <w:szCs w:val="24"/>
                <w:lang w:eastAsia="ru-RU"/>
              </w:rPr>
              <w:t>,</w:t>
            </w:r>
            <w:r w:rsidR="001236BA">
              <w:rPr>
                <w:rFonts w:ascii="Times New Roman" w:eastAsia="Times New Roman" w:hAnsi="Times New Roman" w:cs="Times New Roman"/>
                <w:sz w:val="24"/>
                <w:szCs w:val="24"/>
                <w:lang w:eastAsia="ru-RU"/>
              </w:rPr>
              <w:t>0</w:t>
            </w:r>
          </w:p>
        </w:tc>
        <w:tc>
          <w:tcPr>
            <w:tcW w:w="645" w:type="pct"/>
            <w:vAlign w:val="bottom"/>
          </w:tcPr>
          <w:p w14:paraId="693A7C0E" w14:textId="77777777"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51,</w:t>
            </w:r>
            <w:r w:rsidR="001236BA">
              <w:rPr>
                <w:rFonts w:ascii="Times New Roman" w:eastAsia="Times New Roman" w:hAnsi="Times New Roman" w:cs="Times New Roman"/>
                <w:sz w:val="24"/>
                <w:szCs w:val="24"/>
                <w:lang w:eastAsia="ru-RU"/>
              </w:rPr>
              <w:t>1</w:t>
            </w:r>
          </w:p>
        </w:tc>
        <w:tc>
          <w:tcPr>
            <w:tcW w:w="615" w:type="pct"/>
            <w:vAlign w:val="bottom"/>
          </w:tcPr>
          <w:p w14:paraId="03B61841" w14:textId="77777777" w:rsidR="00917D47" w:rsidRPr="00917D47" w:rsidRDefault="00917D47" w:rsidP="001236BA">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2</w:t>
            </w:r>
            <w:r w:rsidR="001236BA">
              <w:rPr>
                <w:rFonts w:ascii="Times New Roman" w:eastAsia="Times New Roman" w:hAnsi="Times New Roman" w:cs="Times New Roman"/>
                <w:sz w:val="24"/>
                <w:szCs w:val="24"/>
                <w:lang w:eastAsia="ru-RU"/>
              </w:rPr>
              <w:t>2</w:t>
            </w:r>
            <w:r w:rsidRPr="00917D47">
              <w:rPr>
                <w:rFonts w:ascii="Times New Roman" w:eastAsia="Times New Roman" w:hAnsi="Times New Roman" w:cs="Times New Roman"/>
                <w:sz w:val="24"/>
                <w:szCs w:val="24"/>
                <w:lang w:eastAsia="ru-RU"/>
              </w:rPr>
              <w:t>,</w:t>
            </w:r>
            <w:r w:rsidR="001236BA">
              <w:rPr>
                <w:rFonts w:ascii="Times New Roman" w:eastAsia="Times New Roman" w:hAnsi="Times New Roman" w:cs="Times New Roman"/>
                <w:sz w:val="24"/>
                <w:szCs w:val="24"/>
                <w:lang w:eastAsia="ru-RU"/>
              </w:rPr>
              <w:t>9</w:t>
            </w:r>
          </w:p>
        </w:tc>
        <w:tc>
          <w:tcPr>
            <w:tcW w:w="627" w:type="pct"/>
            <w:vAlign w:val="bottom"/>
          </w:tcPr>
          <w:p w14:paraId="7BCD300E" w14:textId="77777777" w:rsidR="00917D47" w:rsidRPr="00917D47" w:rsidRDefault="001236BA" w:rsidP="005A24F5">
            <w:pPr>
              <w:spacing w:before="80" w:after="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17D47" w:rsidRPr="00917D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p>
        </w:tc>
        <w:tc>
          <w:tcPr>
            <w:tcW w:w="674" w:type="pct"/>
            <w:vAlign w:val="bottom"/>
          </w:tcPr>
          <w:p w14:paraId="09B97D01" w14:textId="77777777" w:rsidR="00917D47" w:rsidRPr="00917D47" w:rsidRDefault="00917D47" w:rsidP="005A24F5">
            <w:pPr>
              <w:spacing w:before="80" w:after="20" w:line="240" w:lineRule="auto"/>
              <w:jc w:val="center"/>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0,</w:t>
            </w:r>
            <w:r w:rsidR="001236BA">
              <w:rPr>
                <w:rFonts w:ascii="Times New Roman" w:eastAsia="Times New Roman" w:hAnsi="Times New Roman" w:cs="Times New Roman"/>
                <w:sz w:val="24"/>
                <w:szCs w:val="24"/>
                <w:lang w:eastAsia="ru-RU"/>
              </w:rPr>
              <w:t>2</w:t>
            </w:r>
          </w:p>
        </w:tc>
      </w:tr>
      <w:tr w:rsidR="00917D47" w:rsidRPr="00917D47" w14:paraId="6B6FC2AE" w14:textId="77777777" w:rsidTr="00944CB1">
        <w:trPr>
          <w:trHeight w:val="392"/>
          <w:jc w:val="center"/>
        </w:trPr>
        <w:tc>
          <w:tcPr>
            <w:tcW w:w="5000" w:type="pct"/>
            <w:gridSpan w:val="7"/>
            <w:vAlign w:val="center"/>
          </w:tcPr>
          <w:p w14:paraId="2DFA03C7" w14:textId="77777777" w:rsidR="00917D47" w:rsidRPr="00917D47" w:rsidRDefault="00917D47" w:rsidP="00917D47">
            <w:pPr>
              <w:spacing w:after="0" w:line="240" w:lineRule="auto"/>
              <w:jc w:val="center"/>
              <w:rPr>
                <w:rFonts w:ascii="Times New Roman" w:eastAsia="Arial Unicode MS" w:hAnsi="Times New Roman" w:cs="Times New Roman"/>
                <w:b/>
                <w:bCs/>
                <w:sz w:val="24"/>
                <w:szCs w:val="24"/>
                <w:lang w:eastAsia="ru-RU"/>
              </w:rPr>
            </w:pPr>
            <w:r w:rsidRPr="00917D47">
              <w:rPr>
                <w:rFonts w:ascii="Times New Roman" w:eastAsia="Arial Unicode MS" w:hAnsi="Times New Roman" w:cs="Times New Roman"/>
                <w:b/>
                <w:bCs/>
                <w:sz w:val="24"/>
                <w:szCs w:val="24"/>
                <w:lang w:eastAsia="ru-RU"/>
              </w:rPr>
              <w:t>2020 г.</w:t>
            </w:r>
          </w:p>
        </w:tc>
      </w:tr>
      <w:tr w:rsidR="00917D47" w:rsidRPr="00917D47" w14:paraId="2EA0A9E4" w14:textId="77777777" w:rsidTr="00944CB1">
        <w:trPr>
          <w:jc w:val="center"/>
        </w:trPr>
        <w:tc>
          <w:tcPr>
            <w:tcW w:w="1164" w:type="pct"/>
            <w:vAlign w:val="bottom"/>
          </w:tcPr>
          <w:p w14:paraId="398C81CD" w14:textId="77777777" w:rsidR="00917D47" w:rsidRPr="00917D47" w:rsidRDefault="00917D47" w:rsidP="00D03A4F">
            <w:pPr>
              <w:spacing w:after="0" w:line="240" w:lineRule="auto"/>
              <w:ind w:left="57"/>
              <w:rPr>
                <w:rFonts w:ascii="Times New Roman" w:eastAsia="Times New Roman" w:hAnsi="Times New Roman" w:cs="Times New Roman"/>
                <w:b/>
                <w:bCs/>
                <w:sz w:val="24"/>
                <w:szCs w:val="24"/>
                <w:lang w:eastAsia="ru-RU"/>
              </w:rPr>
            </w:pPr>
            <w:r w:rsidRPr="00917D47">
              <w:rPr>
                <w:rFonts w:ascii="Times New Roman" w:eastAsia="Times New Roman" w:hAnsi="Times New Roman" w:cs="Times New Roman"/>
                <w:b/>
                <w:bCs/>
                <w:sz w:val="24"/>
                <w:szCs w:val="24"/>
                <w:lang w:eastAsia="ru-RU"/>
              </w:rPr>
              <w:t>Все обследованные домашние хозяйства</w:t>
            </w:r>
          </w:p>
        </w:tc>
        <w:tc>
          <w:tcPr>
            <w:tcW w:w="451" w:type="pct"/>
            <w:vAlign w:val="bottom"/>
          </w:tcPr>
          <w:p w14:paraId="5E5C6139" w14:textId="77777777" w:rsidR="00917D47" w:rsidRPr="00917D47" w:rsidRDefault="00917D47" w:rsidP="005A24F5">
            <w:pPr>
              <w:spacing w:after="0" w:line="240" w:lineRule="auto"/>
              <w:jc w:val="center"/>
              <w:rPr>
                <w:rFonts w:ascii="Times New Roman" w:hAnsi="Times New Roman"/>
              </w:rPr>
            </w:pPr>
            <w:r w:rsidRPr="00917D47">
              <w:rPr>
                <w:rFonts w:ascii="Times New Roman" w:hAnsi="Times New Roman"/>
              </w:rPr>
              <w:t>0,2</w:t>
            </w:r>
          </w:p>
        </w:tc>
        <w:tc>
          <w:tcPr>
            <w:tcW w:w="824" w:type="pct"/>
            <w:vAlign w:val="bottom"/>
          </w:tcPr>
          <w:p w14:paraId="190ABA0D" w14:textId="77777777" w:rsidR="00917D47" w:rsidRPr="00917D47" w:rsidRDefault="00917D47" w:rsidP="00EC71EC">
            <w:pPr>
              <w:spacing w:after="0" w:line="240" w:lineRule="auto"/>
              <w:jc w:val="center"/>
              <w:rPr>
                <w:rFonts w:ascii="Times New Roman" w:hAnsi="Times New Roman"/>
              </w:rPr>
            </w:pPr>
            <w:r w:rsidRPr="00917D47">
              <w:rPr>
                <w:rFonts w:ascii="Times New Roman" w:hAnsi="Times New Roman"/>
              </w:rPr>
              <w:t>1</w:t>
            </w:r>
            <w:r w:rsidR="00EC71EC">
              <w:rPr>
                <w:rFonts w:ascii="Times New Roman" w:hAnsi="Times New Roman"/>
              </w:rPr>
              <w:t>3</w:t>
            </w:r>
            <w:r w:rsidRPr="00917D47">
              <w:rPr>
                <w:rFonts w:ascii="Times New Roman" w:hAnsi="Times New Roman"/>
              </w:rPr>
              <w:t>,</w:t>
            </w:r>
            <w:r w:rsidR="00EC71EC">
              <w:rPr>
                <w:rFonts w:ascii="Times New Roman" w:hAnsi="Times New Roman"/>
              </w:rPr>
              <w:t>0</w:t>
            </w:r>
          </w:p>
        </w:tc>
        <w:tc>
          <w:tcPr>
            <w:tcW w:w="645" w:type="pct"/>
            <w:vAlign w:val="bottom"/>
          </w:tcPr>
          <w:p w14:paraId="4B903F3E" w14:textId="77777777" w:rsidR="00917D47" w:rsidRPr="00917D47" w:rsidRDefault="00917D47" w:rsidP="00EC71EC">
            <w:pPr>
              <w:spacing w:after="0" w:line="240" w:lineRule="auto"/>
              <w:jc w:val="center"/>
              <w:rPr>
                <w:rFonts w:ascii="Times New Roman" w:hAnsi="Times New Roman"/>
              </w:rPr>
            </w:pPr>
            <w:r w:rsidRPr="00917D47">
              <w:rPr>
                <w:rFonts w:ascii="Times New Roman" w:hAnsi="Times New Roman"/>
              </w:rPr>
              <w:t>4</w:t>
            </w:r>
            <w:r w:rsidR="00EC71EC">
              <w:rPr>
                <w:rFonts w:ascii="Times New Roman" w:hAnsi="Times New Roman"/>
              </w:rPr>
              <w:t>9</w:t>
            </w:r>
            <w:r w:rsidRPr="00917D47">
              <w:rPr>
                <w:rFonts w:ascii="Times New Roman" w:hAnsi="Times New Roman"/>
              </w:rPr>
              <w:t>,</w:t>
            </w:r>
            <w:r w:rsidR="00EC71EC">
              <w:rPr>
                <w:rFonts w:ascii="Times New Roman" w:hAnsi="Times New Roman"/>
              </w:rPr>
              <w:t>7</w:t>
            </w:r>
          </w:p>
        </w:tc>
        <w:tc>
          <w:tcPr>
            <w:tcW w:w="615" w:type="pct"/>
            <w:vAlign w:val="bottom"/>
          </w:tcPr>
          <w:p w14:paraId="77D7020A" w14:textId="77777777" w:rsidR="00917D47" w:rsidRPr="00917D47" w:rsidRDefault="00EC71EC" w:rsidP="005A24F5">
            <w:pPr>
              <w:spacing w:after="0" w:line="240" w:lineRule="auto"/>
              <w:jc w:val="center"/>
              <w:rPr>
                <w:rFonts w:ascii="Times New Roman" w:hAnsi="Times New Roman"/>
              </w:rPr>
            </w:pPr>
            <w:r>
              <w:rPr>
                <w:rFonts w:ascii="Times New Roman" w:hAnsi="Times New Roman"/>
              </w:rPr>
              <w:t>34</w:t>
            </w:r>
            <w:r w:rsidR="00917D47" w:rsidRPr="00917D47">
              <w:rPr>
                <w:rFonts w:ascii="Times New Roman" w:hAnsi="Times New Roman"/>
              </w:rPr>
              <w:t>,</w:t>
            </w:r>
            <w:r>
              <w:rPr>
                <w:rFonts w:ascii="Times New Roman" w:hAnsi="Times New Roman"/>
              </w:rPr>
              <w:t>2</w:t>
            </w:r>
          </w:p>
        </w:tc>
        <w:tc>
          <w:tcPr>
            <w:tcW w:w="627" w:type="pct"/>
            <w:vAlign w:val="bottom"/>
          </w:tcPr>
          <w:p w14:paraId="0E7635A4" w14:textId="77777777" w:rsidR="00917D47" w:rsidRPr="00917D47" w:rsidRDefault="00917D47" w:rsidP="00EC71EC">
            <w:pPr>
              <w:spacing w:after="0" w:line="240" w:lineRule="auto"/>
              <w:jc w:val="center"/>
              <w:rPr>
                <w:rFonts w:ascii="Times New Roman" w:hAnsi="Times New Roman"/>
              </w:rPr>
            </w:pPr>
            <w:r w:rsidRPr="00917D47">
              <w:rPr>
                <w:rFonts w:ascii="Times New Roman" w:hAnsi="Times New Roman"/>
              </w:rPr>
              <w:t>2,</w:t>
            </w:r>
            <w:r w:rsidR="00EC71EC">
              <w:rPr>
                <w:rFonts w:ascii="Times New Roman" w:hAnsi="Times New Roman"/>
              </w:rPr>
              <w:t>7</w:t>
            </w:r>
          </w:p>
        </w:tc>
        <w:tc>
          <w:tcPr>
            <w:tcW w:w="674" w:type="pct"/>
            <w:vAlign w:val="bottom"/>
          </w:tcPr>
          <w:p w14:paraId="67F49FBB" w14:textId="77777777" w:rsidR="00917D47" w:rsidRPr="00917D47" w:rsidRDefault="00917D47" w:rsidP="005A24F5">
            <w:pPr>
              <w:spacing w:after="0" w:line="240" w:lineRule="auto"/>
              <w:jc w:val="center"/>
              <w:rPr>
                <w:rFonts w:ascii="Times New Roman" w:hAnsi="Times New Roman"/>
              </w:rPr>
            </w:pPr>
            <w:r w:rsidRPr="00917D47">
              <w:rPr>
                <w:rFonts w:ascii="Times New Roman" w:hAnsi="Times New Roman"/>
              </w:rPr>
              <w:t>0,</w:t>
            </w:r>
            <w:r w:rsidR="00EC71EC">
              <w:rPr>
                <w:rFonts w:ascii="Times New Roman" w:hAnsi="Times New Roman"/>
              </w:rPr>
              <w:t>1</w:t>
            </w:r>
          </w:p>
        </w:tc>
      </w:tr>
      <w:tr w:rsidR="00917D47" w:rsidRPr="00917D47" w14:paraId="65B779BD" w14:textId="77777777" w:rsidTr="00944CB1">
        <w:trPr>
          <w:jc w:val="center"/>
        </w:trPr>
        <w:tc>
          <w:tcPr>
            <w:tcW w:w="1164" w:type="pct"/>
            <w:vAlign w:val="bottom"/>
          </w:tcPr>
          <w:p w14:paraId="64A26B50" w14:textId="77777777" w:rsidR="00917D47" w:rsidRPr="00917D47" w:rsidRDefault="00917D47" w:rsidP="00D03A4F">
            <w:pPr>
              <w:spacing w:after="0" w:line="240" w:lineRule="auto"/>
              <w:ind w:left="57"/>
              <w:rPr>
                <w:rFonts w:ascii="Times New Roman" w:eastAsia="Times New Roman" w:hAnsi="Times New Roman" w:cs="Times New Roman"/>
                <w:bCs/>
                <w:sz w:val="24"/>
                <w:szCs w:val="24"/>
                <w:lang w:eastAsia="ru-RU"/>
              </w:rPr>
            </w:pPr>
            <w:r w:rsidRPr="00917D47">
              <w:rPr>
                <w:rFonts w:ascii="Times New Roman" w:eastAsia="Times New Roman" w:hAnsi="Times New Roman" w:cs="Times New Roman"/>
                <w:bCs/>
                <w:sz w:val="24"/>
                <w:szCs w:val="24"/>
                <w:lang w:eastAsia="ru-RU"/>
              </w:rPr>
              <w:t>Домашние хозяйства без детей</w:t>
            </w:r>
          </w:p>
        </w:tc>
        <w:tc>
          <w:tcPr>
            <w:tcW w:w="451" w:type="pct"/>
            <w:vAlign w:val="bottom"/>
          </w:tcPr>
          <w:p w14:paraId="45FBD3F3" w14:textId="77777777" w:rsidR="00917D47" w:rsidRPr="00917D47" w:rsidRDefault="00917D47" w:rsidP="005A24F5">
            <w:pPr>
              <w:spacing w:after="0" w:line="240" w:lineRule="auto"/>
              <w:jc w:val="center"/>
              <w:rPr>
                <w:rFonts w:ascii="Times New Roman" w:hAnsi="Times New Roman"/>
              </w:rPr>
            </w:pPr>
            <w:r w:rsidRPr="00917D47">
              <w:rPr>
                <w:rFonts w:ascii="Times New Roman" w:hAnsi="Times New Roman"/>
              </w:rPr>
              <w:t>0,2</w:t>
            </w:r>
          </w:p>
        </w:tc>
        <w:tc>
          <w:tcPr>
            <w:tcW w:w="824" w:type="pct"/>
            <w:vAlign w:val="bottom"/>
          </w:tcPr>
          <w:p w14:paraId="68FEDCBA" w14:textId="77777777" w:rsidR="00917D47" w:rsidRPr="00917D47" w:rsidRDefault="00EC71EC" w:rsidP="005A24F5">
            <w:pPr>
              <w:spacing w:after="0" w:line="240" w:lineRule="auto"/>
              <w:jc w:val="center"/>
              <w:rPr>
                <w:rFonts w:ascii="Times New Roman" w:hAnsi="Times New Roman"/>
              </w:rPr>
            </w:pPr>
            <w:r>
              <w:rPr>
                <w:rFonts w:ascii="Times New Roman" w:hAnsi="Times New Roman"/>
              </w:rPr>
              <w:t>13</w:t>
            </w:r>
            <w:r w:rsidR="00917D47" w:rsidRPr="00917D47">
              <w:rPr>
                <w:rFonts w:ascii="Times New Roman" w:hAnsi="Times New Roman"/>
              </w:rPr>
              <w:t>,</w:t>
            </w:r>
            <w:r>
              <w:rPr>
                <w:rFonts w:ascii="Times New Roman" w:hAnsi="Times New Roman"/>
              </w:rPr>
              <w:t>0</w:t>
            </w:r>
          </w:p>
        </w:tc>
        <w:tc>
          <w:tcPr>
            <w:tcW w:w="645" w:type="pct"/>
            <w:vAlign w:val="bottom"/>
          </w:tcPr>
          <w:p w14:paraId="1466C867" w14:textId="77777777" w:rsidR="00917D47" w:rsidRPr="00917D47" w:rsidRDefault="00917D47" w:rsidP="005A24F5">
            <w:pPr>
              <w:spacing w:after="0" w:line="240" w:lineRule="auto"/>
              <w:jc w:val="center"/>
              <w:rPr>
                <w:rFonts w:ascii="Times New Roman" w:hAnsi="Times New Roman"/>
              </w:rPr>
            </w:pPr>
            <w:r w:rsidRPr="00917D47">
              <w:rPr>
                <w:rFonts w:ascii="Times New Roman" w:hAnsi="Times New Roman"/>
              </w:rPr>
              <w:t>50,</w:t>
            </w:r>
            <w:r w:rsidR="00EC71EC">
              <w:rPr>
                <w:rFonts w:ascii="Times New Roman" w:hAnsi="Times New Roman"/>
              </w:rPr>
              <w:t>6</w:t>
            </w:r>
          </w:p>
        </w:tc>
        <w:tc>
          <w:tcPr>
            <w:tcW w:w="615" w:type="pct"/>
            <w:vAlign w:val="bottom"/>
          </w:tcPr>
          <w:p w14:paraId="4622E26C" w14:textId="77777777" w:rsidR="00917D47" w:rsidRPr="00917D47" w:rsidRDefault="00917D47" w:rsidP="00EC71EC">
            <w:pPr>
              <w:spacing w:after="0" w:line="240" w:lineRule="auto"/>
              <w:jc w:val="center"/>
              <w:rPr>
                <w:rFonts w:ascii="Times New Roman" w:hAnsi="Times New Roman"/>
              </w:rPr>
            </w:pPr>
            <w:r w:rsidRPr="00917D47">
              <w:rPr>
                <w:rFonts w:ascii="Times New Roman" w:hAnsi="Times New Roman"/>
              </w:rPr>
              <w:t>3</w:t>
            </w:r>
            <w:r w:rsidR="00EC71EC">
              <w:rPr>
                <w:rFonts w:ascii="Times New Roman" w:hAnsi="Times New Roman"/>
              </w:rPr>
              <w:t>3</w:t>
            </w:r>
            <w:r w:rsidRPr="00917D47">
              <w:rPr>
                <w:rFonts w:ascii="Times New Roman" w:hAnsi="Times New Roman"/>
              </w:rPr>
              <w:t>,</w:t>
            </w:r>
            <w:r w:rsidR="00EC71EC">
              <w:rPr>
                <w:rFonts w:ascii="Times New Roman" w:hAnsi="Times New Roman"/>
              </w:rPr>
              <w:t>5</w:t>
            </w:r>
          </w:p>
        </w:tc>
        <w:tc>
          <w:tcPr>
            <w:tcW w:w="627" w:type="pct"/>
            <w:vAlign w:val="bottom"/>
          </w:tcPr>
          <w:p w14:paraId="43551C41" w14:textId="77777777" w:rsidR="00917D47" w:rsidRPr="00917D47" w:rsidRDefault="00EC71EC" w:rsidP="005A24F5">
            <w:pPr>
              <w:spacing w:after="0" w:line="240" w:lineRule="auto"/>
              <w:jc w:val="center"/>
              <w:rPr>
                <w:rFonts w:ascii="Times New Roman" w:hAnsi="Times New Roman"/>
              </w:rPr>
            </w:pPr>
            <w:r>
              <w:rPr>
                <w:rFonts w:ascii="Times New Roman" w:hAnsi="Times New Roman"/>
              </w:rPr>
              <w:t>2,7</w:t>
            </w:r>
          </w:p>
        </w:tc>
        <w:tc>
          <w:tcPr>
            <w:tcW w:w="674" w:type="pct"/>
            <w:vAlign w:val="bottom"/>
          </w:tcPr>
          <w:p w14:paraId="3329CD58" w14:textId="77777777" w:rsidR="00917D47" w:rsidRPr="00917D47" w:rsidRDefault="00EC71EC" w:rsidP="005A24F5">
            <w:pPr>
              <w:spacing w:after="0" w:line="240" w:lineRule="auto"/>
              <w:jc w:val="center"/>
              <w:rPr>
                <w:rFonts w:ascii="Times New Roman" w:hAnsi="Times New Roman"/>
              </w:rPr>
            </w:pPr>
            <w:r>
              <w:rPr>
                <w:rFonts w:ascii="Times New Roman" w:hAnsi="Times New Roman"/>
              </w:rPr>
              <w:t>0,1</w:t>
            </w:r>
          </w:p>
        </w:tc>
      </w:tr>
      <w:tr w:rsidR="00917D47" w:rsidRPr="00917D47" w14:paraId="43E11325" w14:textId="77777777" w:rsidTr="00944CB1">
        <w:trPr>
          <w:jc w:val="center"/>
        </w:trPr>
        <w:tc>
          <w:tcPr>
            <w:tcW w:w="1164" w:type="pct"/>
            <w:vAlign w:val="bottom"/>
          </w:tcPr>
          <w:p w14:paraId="4AC64085" w14:textId="77777777" w:rsidR="00917D47" w:rsidRPr="00917D47" w:rsidRDefault="00917D47" w:rsidP="00D03A4F">
            <w:pPr>
              <w:spacing w:after="0" w:line="240" w:lineRule="auto"/>
              <w:ind w:left="57"/>
              <w:rPr>
                <w:rFonts w:ascii="Times New Roman" w:eastAsia="Times New Roman" w:hAnsi="Times New Roman" w:cs="Times New Roman"/>
                <w:bCs/>
                <w:sz w:val="24"/>
                <w:szCs w:val="24"/>
                <w:lang w:eastAsia="ru-RU"/>
              </w:rPr>
            </w:pPr>
            <w:r w:rsidRPr="00917D47">
              <w:rPr>
                <w:rFonts w:ascii="Times New Roman" w:eastAsia="Times New Roman" w:hAnsi="Times New Roman" w:cs="Times New Roman"/>
                <w:bCs/>
                <w:sz w:val="24"/>
                <w:szCs w:val="24"/>
                <w:lang w:eastAsia="ru-RU"/>
              </w:rPr>
              <w:t xml:space="preserve">Домашние хозяйства, имеющие детей в возрасте до 16 лет </w:t>
            </w:r>
          </w:p>
        </w:tc>
        <w:tc>
          <w:tcPr>
            <w:tcW w:w="451" w:type="pct"/>
            <w:vAlign w:val="bottom"/>
          </w:tcPr>
          <w:p w14:paraId="32A607A2" w14:textId="77777777" w:rsidR="00917D47" w:rsidRPr="00917D47" w:rsidRDefault="00917D47" w:rsidP="005A24F5">
            <w:pPr>
              <w:spacing w:after="0" w:line="240" w:lineRule="auto"/>
              <w:jc w:val="center"/>
              <w:rPr>
                <w:rFonts w:ascii="Times New Roman" w:hAnsi="Times New Roman"/>
              </w:rPr>
            </w:pPr>
            <w:r w:rsidRPr="00917D47">
              <w:rPr>
                <w:rFonts w:ascii="Times New Roman" w:hAnsi="Times New Roman"/>
              </w:rPr>
              <w:t>0,3</w:t>
            </w:r>
          </w:p>
        </w:tc>
        <w:tc>
          <w:tcPr>
            <w:tcW w:w="824" w:type="pct"/>
            <w:vAlign w:val="bottom"/>
          </w:tcPr>
          <w:p w14:paraId="267F991C" w14:textId="77777777" w:rsidR="00917D47" w:rsidRPr="00917D47" w:rsidRDefault="00917D47" w:rsidP="005A24F5">
            <w:pPr>
              <w:spacing w:after="0" w:line="240" w:lineRule="auto"/>
              <w:jc w:val="center"/>
              <w:rPr>
                <w:rFonts w:ascii="Times New Roman" w:hAnsi="Times New Roman"/>
              </w:rPr>
            </w:pPr>
            <w:r w:rsidRPr="00CE6714">
              <w:rPr>
                <w:rFonts w:ascii="Times New Roman" w:hAnsi="Times New Roman"/>
              </w:rPr>
              <w:t>1</w:t>
            </w:r>
            <w:r w:rsidR="00CE6714">
              <w:rPr>
                <w:rFonts w:ascii="Times New Roman" w:hAnsi="Times New Roman"/>
              </w:rPr>
              <w:t>3</w:t>
            </w:r>
            <w:r w:rsidRPr="00CE6714">
              <w:rPr>
                <w:rFonts w:ascii="Times New Roman" w:hAnsi="Times New Roman"/>
              </w:rPr>
              <w:t>,1</w:t>
            </w:r>
          </w:p>
        </w:tc>
        <w:tc>
          <w:tcPr>
            <w:tcW w:w="645" w:type="pct"/>
            <w:vAlign w:val="bottom"/>
          </w:tcPr>
          <w:p w14:paraId="0821970D" w14:textId="77777777" w:rsidR="00917D47" w:rsidRPr="00917D47" w:rsidRDefault="00917D47" w:rsidP="00CE6714">
            <w:pPr>
              <w:spacing w:after="0" w:line="240" w:lineRule="auto"/>
              <w:jc w:val="center"/>
              <w:rPr>
                <w:rFonts w:ascii="Times New Roman" w:hAnsi="Times New Roman"/>
              </w:rPr>
            </w:pPr>
            <w:r w:rsidRPr="00917D47">
              <w:rPr>
                <w:rFonts w:ascii="Times New Roman" w:hAnsi="Times New Roman"/>
              </w:rPr>
              <w:t>4</w:t>
            </w:r>
            <w:r w:rsidR="00CE6714">
              <w:rPr>
                <w:rFonts w:ascii="Times New Roman" w:hAnsi="Times New Roman"/>
              </w:rPr>
              <w:t>8</w:t>
            </w:r>
            <w:r w:rsidRPr="00917D47">
              <w:rPr>
                <w:rFonts w:ascii="Times New Roman" w:hAnsi="Times New Roman"/>
              </w:rPr>
              <w:t>,</w:t>
            </w:r>
            <w:r w:rsidR="00CE6714">
              <w:rPr>
                <w:rFonts w:ascii="Times New Roman" w:hAnsi="Times New Roman"/>
              </w:rPr>
              <w:t>1</w:t>
            </w:r>
          </w:p>
        </w:tc>
        <w:tc>
          <w:tcPr>
            <w:tcW w:w="615" w:type="pct"/>
            <w:vAlign w:val="bottom"/>
          </w:tcPr>
          <w:p w14:paraId="0BAC72F7" w14:textId="77777777" w:rsidR="00917D47" w:rsidRPr="00917D47" w:rsidRDefault="00917D47" w:rsidP="00CE6714">
            <w:pPr>
              <w:spacing w:after="0" w:line="240" w:lineRule="auto"/>
              <w:jc w:val="center"/>
              <w:rPr>
                <w:rFonts w:ascii="Times New Roman" w:hAnsi="Times New Roman"/>
              </w:rPr>
            </w:pPr>
            <w:r w:rsidRPr="00917D47">
              <w:rPr>
                <w:rFonts w:ascii="Times New Roman" w:hAnsi="Times New Roman"/>
              </w:rPr>
              <w:t>3</w:t>
            </w:r>
            <w:r w:rsidR="00CE6714">
              <w:rPr>
                <w:rFonts w:ascii="Times New Roman" w:hAnsi="Times New Roman"/>
              </w:rPr>
              <w:t>5</w:t>
            </w:r>
            <w:r w:rsidRPr="00917D47">
              <w:rPr>
                <w:rFonts w:ascii="Times New Roman" w:hAnsi="Times New Roman"/>
              </w:rPr>
              <w:t>,</w:t>
            </w:r>
            <w:r w:rsidR="00CE6714">
              <w:rPr>
                <w:rFonts w:ascii="Times New Roman" w:hAnsi="Times New Roman"/>
              </w:rPr>
              <w:t>6</w:t>
            </w:r>
          </w:p>
        </w:tc>
        <w:tc>
          <w:tcPr>
            <w:tcW w:w="627" w:type="pct"/>
            <w:vAlign w:val="bottom"/>
          </w:tcPr>
          <w:p w14:paraId="71C32BC5" w14:textId="77777777" w:rsidR="00917D47" w:rsidRPr="00917D47" w:rsidRDefault="00CE6714" w:rsidP="005A24F5">
            <w:pPr>
              <w:spacing w:after="0" w:line="240" w:lineRule="auto"/>
              <w:jc w:val="center"/>
              <w:rPr>
                <w:rFonts w:ascii="Times New Roman" w:hAnsi="Times New Roman"/>
              </w:rPr>
            </w:pPr>
            <w:r>
              <w:rPr>
                <w:rFonts w:ascii="Times New Roman" w:hAnsi="Times New Roman"/>
              </w:rPr>
              <w:t>2,9</w:t>
            </w:r>
          </w:p>
        </w:tc>
        <w:tc>
          <w:tcPr>
            <w:tcW w:w="674" w:type="pct"/>
            <w:vAlign w:val="bottom"/>
          </w:tcPr>
          <w:p w14:paraId="67730DB0" w14:textId="77777777" w:rsidR="00917D47" w:rsidRPr="00917D47" w:rsidRDefault="00917D47" w:rsidP="005A24F5">
            <w:pPr>
              <w:spacing w:after="0" w:line="240" w:lineRule="auto"/>
              <w:jc w:val="center"/>
              <w:rPr>
                <w:rFonts w:ascii="Times New Roman" w:hAnsi="Times New Roman"/>
              </w:rPr>
            </w:pPr>
            <w:r w:rsidRPr="00917D47">
              <w:rPr>
                <w:rFonts w:ascii="Times New Roman" w:hAnsi="Times New Roman"/>
              </w:rPr>
              <w:t>0,1</w:t>
            </w:r>
          </w:p>
        </w:tc>
      </w:tr>
      <w:tr w:rsidR="00917D47" w:rsidRPr="00917D47" w14:paraId="084E243E" w14:textId="77777777" w:rsidTr="00944CB1">
        <w:trPr>
          <w:jc w:val="center"/>
        </w:trPr>
        <w:tc>
          <w:tcPr>
            <w:tcW w:w="1164" w:type="pct"/>
            <w:tcBorders>
              <w:bottom w:val="nil"/>
            </w:tcBorders>
            <w:vAlign w:val="bottom"/>
          </w:tcPr>
          <w:p w14:paraId="2CA85619" w14:textId="77777777" w:rsidR="00917D47" w:rsidRPr="00917D47" w:rsidRDefault="00917D47"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Домашние хозяйства, имеющие:</w:t>
            </w:r>
          </w:p>
        </w:tc>
        <w:tc>
          <w:tcPr>
            <w:tcW w:w="451" w:type="pct"/>
            <w:tcBorders>
              <w:bottom w:val="nil"/>
            </w:tcBorders>
            <w:vAlign w:val="bottom"/>
          </w:tcPr>
          <w:p w14:paraId="50FBC6E3" w14:textId="77777777" w:rsidR="00917D47" w:rsidRPr="00917D47" w:rsidRDefault="00917D47" w:rsidP="005A24F5">
            <w:pPr>
              <w:spacing w:after="0" w:line="240" w:lineRule="auto"/>
              <w:jc w:val="center"/>
              <w:rPr>
                <w:rFonts w:ascii="Times New Roman" w:hAnsi="Times New Roman"/>
              </w:rPr>
            </w:pPr>
          </w:p>
        </w:tc>
        <w:tc>
          <w:tcPr>
            <w:tcW w:w="824" w:type="pct"/>
            <w:tcBorders>
              <w:bottom w:val="nil"/>
            </w:tcBorders>
            <w:vAlign w:val="bottom"/>
          </w:tcPr>
          <w:p w14:paraId="6609C914" w14:textId="77777777" w:rsidR="00917D47" w:rsidRPr="00917D47" w:rsidRDefault="00917D47" w:rsidP="005A24F5">
            <w:pPr>
              <w:spacing w:after="0" w:line="240" w:lineRule="auto"/>
              <w:jc w:val="center"/>
              <w:rPr>
                <w:rFonts w:ascii="Times New Roman" w:hAnsi="Times New Roman"/>
              </w:rPr>
            </w:pPr>
          </w:p>
        </w:tc>
        <w:tc>
          <w:tcPr>
            <w:tcW w:w="645" w:type="pct"/>
            <w:tcBorders>
              <w:bottom w:val="nil"/>
            </w:tcBorders>
            <w:vAlign w:val="bottom"/>
          </w:tcPr>
          <w:p w14:paraId="20740392" w14:textId="77777777" w:rsidR="00917D47" w:rsidRPr="00917D47" w:rsidRDefault="00917D47" w:rsidP="005A24F5">
            <w:pPr>
              <w:spacing w:after="0" w:line="240" w:lineRule="auto"/>
              <w:jc w:val="center"/>
              <w:rPr>
                <w:rFonts w:ascii="Times New Roman" w:hAnsi="Times New Roman"/>
              </w:rPr>
            </w:pPr>
          </w:p>
        </w:tc>
        <w:tc>
          <w:tcPr>
            <w:tcW w:w="615" w:type="pct"/>
            <w:tcBorders>
              <w:bottom w:val="nil"/>
            </w:tcBorders>
            <w:vAlign w:val="bottom"/>
          </w:tcPr>
          <w:p w14:paraId="1DB9C2D2" w14:textId="77777777" w:rsidR="00917D47" w:rsidRPr="00917D47" w:rsidRDefault="00917D47" w:rsidP="005A24F5">
            <w:pPr>
              <w:spacing w:after="0" w:line="240" w:lineRule="auto"/>
              <w:jc w:val="center"/>
              <w:rPr>
                <w:rFonts w:ascii="Times New Roman" w:hAnsi="Times New Roman"/>
              </w:rPr>
            </w:pPr>
          </w:p>
        </w:tc>
        <w:tc>
          <w:tcPr>
            <w:tcW w:w="627" w:type="pct"/>
            <w:tcBorders>
              <w:bottom w:val="nil"/>
            </w:tcBorders>
            <w:vAlign w:val="bottom"/>
          </w:tcPr>
          <w:p w14:paraId="7A73B067" w14:textId="77777777" w:rsidR="00917D47" w:rsidRPr="00917D47" w:rsidRDefault="00917D47" w:rsidP="005A24F5">
            <w:pPr>
              <w:spacing w:after="0" w:line="240" w:lineRule="auto"/>
              <w:jc w:val="center"/>
              <w:rPr>
                <w:rFonts w:ascii="Times New Roman" w:hAnsi="Times New Roman"/>
              </w:rPr>
            </w:pPr>
          </w:p>
        </w:tc>
        <w:tc>
          <w:tcPr>
            <w:tcW w:w="674" w:type="pct"/>
            <w:tcBorders>
              <w:bottom w:val="nil"/>
            </w:tcBorders>
            <w:vAlign w:val="bottom"/>
          </w:tcPr>
          <w:p w14:paraId="43434F83" w14:textId="77777777" w:rsidR="00917D47" w:rsidRPr="00917D47" w:rsidRDefault="00917D47" w:rsidP="005A24F5">
            <w:pPr>
              <w:spacing w:after="0" w:line="240" w:lineRule="auto"/>
              <w:jc w:val="center"/>
              <w:rPr>
                <w:rFonts w:ascii="Times New Roman" w:hAnsi="Times New Roman"/>
              </w:rPr>
            </w:pPr>
          </w:p>
        </w:tc>
      </w:tr>
      <w:tr w:rsidR="00917D47" w:rsidRPr="00917D47" w14:paraId="234992F9" w14:textId="77777777" w:rsidTr="00944CB1">
        <w:trPr>
          <w:jc w:val="center"/>
        </w:trPr>
        <w:tc>
          <w:tcPr>
            <w:tcW w:w="1164" w:type="pct"/>
            <w:tcBorders>
              <w:top w:val="nil"/>
            </w:tcBorders>
            <w:vAlign w:val="bottom"/>
          </w:tcPr>
          <w:p w14:paraId="38D11539" w14:textId="77777777" w:rsidR="00917D47" w:rsidRPr="00917D47" w:rsidRDefault="00917D47"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одного ребенка</w:t>
            </w:r>
          </w:p>
        </w:tc>
        <w:tc>
          <w:tcPr>
            <w:tcW w:w="451" w:type="pct"/>
            <w:tcBorders>
              <w:top w:val="nil"/>
            </w:tcBorders>
            <w:vAlign w:val="bottom"/>
          </w:tcPr>
          <w:p w14:paraId="4827F61C" w14:textId="77777777" w:rsidR="00917D47" w:rsidRPr="00917D47" w:rsidRDefault="00917D47" w:rsidP="005A24F5">
            <w:pPr>
              <w:spacing w:after="0" w:line="240" w:lineRule="auto"/>
              <w:jc w:val="center"/>
              <w:rPr>
                <w:rFonts w:ascii="Times New Roman" w:hAnsi="Times New Roman"/>
              </w:rPr>
            </w:pPr>
            <w:r w:rsidRPr="00917D47">
              <w:rPr>
                <w:rFonts w:ascii="Times New Roman" w:hAnsi="Times New Roman"/>
              </w:rPr>
              <w:t>0,2</w:t>
            </w:r>
          </w:p>
        </w:tc>
        <w:tc>
          <w:tcPr>
            <w:tcW w:w="824" w:type="pct"/>
            <w:tcBorders>
              <w:top w:val="nil"/>
            </w:tcBorders>
            <w:vAlign w:val="bottom"/>
          </w:tcPr>
          <w:p w14:paraId="4019782C" w14:textId="77777777" w:rsidR="00917D47" w:rsidRPr="00917D47" w:rsidRDefault="00917D47" w:rsidP="00CE6714">
            <w:pPr>
              <w:spacing w:after="0" w:line="240" w:lineRule="auto"/>
              <w:jc w:val="center"/>
              <w:rPr>
                <w:rFonts w:ascii="Times New Roman" w:hAnsi="Times New Roman"/>
              </w:rPr>
            </w:pPr>
            <w:r w:rsidRPr="00917D47">
              <w:rPr>
                <w:rFonts w:ascii="Times New Roman" w:hAnsi="Times New Roman"/>
              </w:rPr>
              <w:t>1</w:t>
            </w:r>
            <w:r w:rsidR="00CE6714">
              <w:rPr>
                <w:rFonts w:ascii="Times New Roman" w:hAnsi="Times New Roman"/>
              </w:rPr>
              <w:t>1</w:t>
            </w:r>
            <w:r w:rsidRPr="00917D47">
              <w:rPr>
                <w:rFonts w:ascii="Times New Roman" w:hAnsi="Times New Roman"/>
              </w:rPr>
              <w:t>,</w:t>
            </w:r>
            <w:r w:rsidR="00CE6714">
              <w:rPr>
                <w:rFonts w:ascii="Times New Roman" w:hAnsi="Times New Roman"/>
              </w:rPr>
              <w:t>6</w:t>
            </w:r>
          </w:p>
        </w:tc>
        <w:tc>
          <w:tcPr>
            <w:tcW w:w="645" w:type="pct"/>
            <w:tcBorders>
              <w:top w:val="nil"/>
            </w:tcBorders>
            <w:vAlign w:val="bottom"/>
          </w:tcPr>
          <w:p w14:paraId="2C240E52" w14:textId="77777777" w:rsidR="00917D47" w:rsidRPr="00917D47" w:rsidRDefault="00CE6714" w:rsidP="005A24F5">
            <w:pPr>
              <w:spacing w:after="0" w:line="240" w:lineRule="auto"/>
              <w:jc w:val="center"/>
              <w:rPr>
                <w:rFonts w:ascii="Times New Roman" w:hAnsi="Times New Roman"/>
              </w:rPr>
            </w:pPr>
            <w:r>
              <w:rPr>
                <w:rFonts w:ascii="Times New Roman" w:hAnsi="Times New Roman"/>
              </w:rPr>
              <w:t>48,0</w:t>
            </w:r>
          </w:p>
        </w:tc>
        <w:tc>
          <w:tcPr>
            <w:tcW w:w="615" w:type="pct"/>
            <w:tcBorders>
              <w:top w:val="nil"/>
            </w:tcBorders>
            <w:vAlign w:val="bottom"/>
          </w:tcPr>
          <w:p w14:paraId="7E462D90" w14:textId="77777777" w:rsidR="00917D47" w:rsidRPr="00917D47" w:rsidRDefault="00CE6714" w:rsidP="00CE6714">
            <w:pPr>
              <w:spacing w:after="0" w:line="240" w:lineRule="auto"/>
              <w:jc w:val="center"/>
              <w:rPr>
                <w:rFonts w:ascii="Times New Roman" w:hAnsi="Times New Roman"/>
              </w:rPr>
            </w:pPr>
            <w:r>
              <w:rPr>
                <w:rFonts w:ascii="Times New Roman" w:hAnsi="Times New Roman"/>
              </w:rPr>
              <w:t>37</w:t>
            </w:r>
            <w:r w:rsidR="00917D47" w:rsidRPr="00917D47">
              <w:rPr>
                <w:rFonts w:ascii="Times New Roman" w:hAnsi="Times New Roman"/>
              </w:rPr>
              <w:t>,</w:t>
            </w:r>
            <w:r>
              <w:rPr>
                <w:rFonts w:ascii="Times New Roman" w:hAnsi="Times New Roman"/>
              </w:rPr>
              <w:t>1</w:t>
            </w:r>
          </w:p>
        </w:tc>
        <w:tc>
          <w:tcPr>
            <w:tcW w:w="627" w:type="pct"/>
            <w:tcBorders>
              <w:top w:val="nil"/>
            </w:tcBorders>
            <w:vAlign w:val="bottom"/>
          </w:tcPr>
          <w:p w14:paraId="654EDBFB" w14:textId="77777777" w:rsidR="00917D47" w:rsidRPr="00917D47" w:rsidRDefault="00CE6714" w:rsidP="005A24F5">
            <w:pPr>
              <w:spacing w:after="0" w:line="240" w:lineRule="auto"/>
              <w:jc w:val="center"/>
              <w:rPr>
                <w:rFonts w:ascii="Times New Roman" w:hAnsi="Times New Roman"/>
              </w:rPr>
            </w:pPr>
            <w:r>
              <w:rPr>
                <w:rFonts w:ascii="Times New Roman" w:hAnsi="Times New Roman"/>
              </w:rPr>
              <w:t>2,9</w:t>
            </w:r>
          </w:p>
        </w:tc>
        <w:tc>
          <w:tcPr>
            <w:tcW w:w="674" w:type="pct"/>
            <w:tcBorders>
              <w:top w:val="nil"/>
            </w:tcBorders>
            <w:vAlign w:val="bottom"/>
          </w:tcPr>
          <w:p w14:paraId="1D5A10F7" w14:textId="77777777" w:rsidR="00917D47" w:rsidRPr="00917D47" w:rsidRDefault="00917D47" w:rsidP="005A24F5">
            <w:pPr>
              <w:spacing w:after="0" w:line="240" w:lineRule="auto"/>
              <w:jc w:val="center"/>
              <w:rPr>
                <w:rFonts w:ascii="Times New Roman" w:hAnsi="Times New Roman"/>
              </w:rPr>
            </w:pPr>
            <w:r w:rsidRPr="00917D47">
              <w:rPr>
                <w:rFonts w:ascii="Times New Roman" w:hAnsi="Times New Roman"/>
              </w:rPr>
              <w:t>0,1</w:t>
            </w:r>
          </w:p>
        </w:tc>
      </w:tr>
      <w:tr w:rsidR="00917D47" w:rsidRPr="00917D47" w14:paraId="06C37305" w14:textId="77777777" w:rsidTr="00944CB1">
        <w:trPr>
          <w:jc w:val="center"/>
        </w:trPr>
        <w:tc>
          <w:tcPr>
            <w:tcW w:w="1164" w:type="pct"/>
            <w:vAlign w:val="bottom"/>
          </w:tcPr>
          <w:p w14:paraId="5898199F" w14:textId="77777777" w:rsidR="00917D47" w:rsidRPr="00917D47" w:rsidRDefault="00917D47"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двух детей</w:t>
            </w:r>
          </w:p>
        </w:tc>
        <w:tc>
          <w:tcPr>
            <w:tcW w:w="451" w:type="pct"/>
            <w:vAlign w:val="bottom"/>
          </w:tcPr>
          <w:p w14:paraId="5E1BC752" w14:textId="77777777" w:rsidR="00917D47" w:rsidRPr="00917D47" w:rsidRDefault="00917D47" w:rsidP="005A24F5">
            <w:pPr>
              <w:spacing w:after="0" w:line="240" w:lineRule="auto"/>
              <w:jc w:val="center"/>
              <w:rPr>
                <w:rFonts w:ascii="Times New Roman" w:hAnsi="Times New Roman"/>
              </w:rPr>
            </w:pPr>
            <w:r w:rsidRPr="00917D47">
              <w:rPr>
                <w:rFonts w:ascii="Times New Roman" w:hAnsi="Times New Roman"/>
              </w:rPr>
              <w:t>0,</w:t>
            </w:r>
            <w:r w:rsidR="00CE6714">
              <w:rPr>
                <w:rFonts w:ascii="Times New Roman" w:hAnsi="Times New Roman"/>
              </w:rPr>
              <w:t>4</w:t>
            </w:r>
          </w:p>
        </w:tc>
        <w:tc>
          <w:tcPr>
            <w:tcW w:w="824" w:type="pct"/>
            <w:vAlign w:val="bottom"/>
          </w:tcPr>
          <w:p w14:paraId="6ABA7778" w14:textId="77777777" w:rsidR="00917D47" w:rsidRPr="00917D47" w:rsidRDefault="00CE6714" w:rsidP="005A24F5">
            <w:pPr>
              <w:spacing w:after="0" w:line="240" w:lineRule="auto"/>
              <w:jc w:val="center"/>
              <w:rPr>
                <w:rFonts w:ascii="Times New Roman" w:hAnsi="Times New Roman"/>
              </w:rPr>
            </w:pPr>
            <w:r>
              <w:rPr>
                <w:rFonts w:ascii="Times New Roman" w:hAnsi="Times New Roman"/>
              </w:rPr>
              <w:t>13</w:t>
            </w:r>
            <w:r w:rsidR="00917D47" w:rsidRPr="00917D47">
              <w:rPr>
                <w:rFonts w:ascii="Times New Roman" w:hAnsi="Times New Roman"/>
              </w:rPr>
              <w:t>,3</w:t>
            </w:r>
          </w:p>
        </w:tc>
        <w:tc>
          <w:tcPr>
            <w:tcW w:w="645" w:type="pct"/>
            <w:vAlign w:val="bottom"/>
          </w:tcPr>
          <w:p w14:paraId="0E8618E7" w14:textId="77777777" w:rsidR="00917D47" w:rsidRPr="00917D47" w:rsidRDefault="00917D47" w:rsidP="00CE6714">
            <w:pPr>
              <w:spacing w:after="0" w:line="240" w:lineRule="auto"/>
              <w:jc w:val="center"/>
              <w:rPr>
                <w:rFonts w:ascii="Times New Roman" w:hAnsi="Times New Roman"/>
              </w:rPr>
            </w:pPr>
            <w:r w:rsidRPr="00917D47">
              <w:rPr>
                <w:rFonts w:ascii="Times New Roman" w:hAnsi="Times New Roman"/>
              </w:rPr>
              <w:t>4</w:t>
            </w:r>
            <w:r w:rsidR="00CE6714">
              <w:rPr>
                <w:rFonts w:ascii="Times New Roman" w:hAnsi="Times New Roman"/>
              </w:rPr>
              <w:t>7</w:t>
            </w:r>
            <w:r w:rsidRPr="00917D47">
              <w:rPr>
                <w:rFonts w:ascii="Times New Roman" w:hAnsi="Times New Roman"/>
              </w:rPr>
              <w:t>,</w:t>
            </w:r>
            <w:r w:rsidR="00CE6714">
              <w:rPr>
                <w:rFonts w:ascii="Times New Roman" w:hAnsi="Times New Roman"/>
              </w:rPr>
              <w:t>5</w:t>
            </w:r>
          </w:p>
        </w:tc>
        <w:tc>
          <w:tcPr>
            <w:tcW w:w="615" w:type="pct"/>
            <w:vAlign w:val="bottom"/>
          </w:tcPr>
          <w:p w14:paraId="49761562" w14:textId="77777777" w:rsidR="00917D47" w:rsidRPr="00917D47" w:rsidRDefault="00917D47" w:rsidP="00CE6714">
            <w:pPr>
              <w:spacing w:after="0" w:line="240" w:lineRule="auto"/>
              <w:jc w:val="center"/>
              <w:rPr>
                <w:rFonts w:ascii="Times New Roman" w:hAnsi="Times New Roman"/>
              </w:rPr>
            </w:pPr>
            <w:r w:rsidRPr="00917D47">
              <w:rPr>
                <w:rFonts w:ascii="Times New Roman" w:hAnsi="Times New Roman"/>
              </w:rPr>
              <w:t>3</w:t>
            </w:r>
            <w:r w:rsidR="00CE6714">
              <w:rPr>
                <w:rFonts w:ascii="Times New Roman" w:hAnsi="Times New Roman"/>
              </w:rPr>
              <w:t>5</w:t>
            </w:r>
            <w:r w:rsidRPr="00917D47">
              <w:rPr>
                <w:rFonts w:ascii="Times New Roman" w:hAnsi="Times New Roman"/>
              </w:rPr>
              <w:t>,</w:t>
            </w:r>
            <w:r w:rsidR="00CE6714">
              <w:rPr>
                <w:rFonts w:ascii="Times New Roman" w:hAnsi="Times New Roman"/>
              </w:rPr>
              <w:t>5</w:t>
            </w:r>
          </w:p>
        </w:tc>
        <w:tc>
          <w:tcPr>
            <w:tcW w:w="627" w:type="pct"/>
            <w:vAlign w:val="bottom"/>
          </w:tcPr>
          <w:p w14:paraId="521F24AC" w14:textId="77777777" w:rsidR="00917D47" w:rsidRPr="00917D47" w:rsidRDefault="00917D47" w:rsidP="00CE6714">
            <w:pPr>
              <w:spacing w:after="0" w:line="240" w:lineRule="auto"/>
              <w:jc w:val="center"/>
              <w:rPr>
                <w:rFonts w:ascii="Times New Roman" w:hAnsi="Times New Roman"/>
              </w:rPr>
            </w:pPr>
            <w:r w:rsidRPr="00917D47">
              <w:rPr>
                <w:rFonts w:ascii="Times New Roman" w:hAnsi="Times New Roman"/>
              </w:rPr>
              <w:t>3,</w:t>
            </w:r>
            <w:r w:rsidR="00CE6714">
              <w:rPr>
                <w:rFonts w:ascii="Times New Roman" w:hAnsi="Times New Roman"/>
              </w:rPr>
              <w:t>2</w:t>
            </w:r>
          </w:p>
        </w:tc>
        <w:tc>
          <w:tcPr>
            <w:tcW w:w="674" w:type="pct"/>
            <w:vAlign w:val="bottom"/>
          </w:tcPr>
          <w:p w14:paraId="0FCEACAF" w14:textId="77777777" w:rsidR="00917D47" w:rsidRPr="00917D47" w:rsidRDefault="00917D47" w:rsidP="005A24F5">
            <w:pPr>
              <w:spacing w:after="0" w:line="240" w:lineRule="auto"/>
              <w:jc w:val="center"/>
              <w:rPr>
                <w:rFonts w:ascii="Times New Roman" w:hAnsi="Times New Roman"/>
              </w:rPr>
            </w:pPr>
            <w:r w:rsidRPr="00917D47">
              <w:rPr>
                <w:rFonts w:ascii="Times New Roman" w:hAnsi="Times New Roman"/>
              </w:rPr>
              <w:t>0,</w:t>
            </w:r>
            <w:r w:rsidR="00CE6714">
              <w:rPr>
                <w:rFonts w:ascii="Times New Roman" w:hAnsi="Times New Roman"/>
              </w:rPr>
              <w:t>0</w:t>
            </w:r>
          </w:p>
        </w:tc>
      </w:tr>
      <w:tr w:rsidR="00917D47" w:rsidRPr="00BD5A90" w14:paraId="5060F087" w14:textId="77777777" w:rsidTr="00944CB1">
        <w:trPr>
          <w:jc w:val="center"/>
        </w:trPr>
        <w:tc>
          <w:tcPr>
            <w:tcW w:w="1164" w:type="pct"/>
            <w:vAlign w:val="bottom"/>
          </w:tcPr>
          <w:p w14:paraId="13203832" w14:textId="77777777" w:rsidR="00917D47" w:rsidRPr="00917D47" w:rsidRDefault="00917D47" w:rsidP="00D03A4F">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трех и более детей</w:t>
            </w:r>
          </w:p>
        </w:tc>
        <w:tc>
          <w:tcPr>
            <w:tcW w:w="451" w:type="pct"/>
            <w:vAlign w:val="bottom"/>
          </w:tcPr>
          <w:p w14:paraId="5618A48A" w14:textId="77777777" w:rsidR="00917D47" w:rsidRPr="00917D47" w:rsidRDefault="00917D47" w:rsidP="005A24F5">
            <w:pPr>
              <w:spacing w:after="0" w:line="240" w:lineRule="auto"/>
              <w:jc w:val="center"/>
              <w:rPr>
                <w:rFonts w:ascii="Times New Roman" w:hAnsi="Times New Roman"/>
              </w:rPr>
            </w:pPr>
            <w:r w:rsidRPr="00917D47">
              <w:rPr>
                <w:rFonts w:ascii="Times New Roman" w:hAnsi="Times New Roman"/>
              </w:rPr>
              <w:t>0,</w:t>
            </w:r>
            <w:r w:rsidR="00CE6714">
              <w:rPr>
                <w:rFonts w:ascii="Times New Roman" w:hAnsi="Times New Roman"/>
              </w:rPr>
              <w:t>6</w:t>
            </w:r>
          </w:p>
        </w:tc>
        <w:tc>
          <w:tcPr>
            <w:tcW w:w="824" w:type="pct"/>
            <w:vAlign w:val="bottom"/>
          </w:tcPr>
          <w:p w14:paraId="0A6D1BD3" w14:textId="77777777" w:rsidR="00917D47" w:rsidRPr="00917D47" w:rsidRDefault="00917D47" w:rsidP="00CE6714">
            <w:pPr>
              <w:spacing w:after="0" w:line="240" w:lineRule="auto"/>
              <w:jc w:val="center"/>
              <w:rPr>
                <w:rFonts w:ascii="Times New Roman" w:hAnsi="Times New Roman"/>
              </w:rPr>
            </w:pPr>
            <w:r w:rsidRPr="00917D47">
              <w:rPr>
                <w:rFonts w:ascii="Times New Roman" w:hAnsi="Times New Roman"/>
              </w:rPr>
              <w:t>2</w:t>
            </w:r>
            <w:r w:rsidR="00CE6714">
              <w:rPr>
                <w:rFonts w:ascii="Times New Roman" w:hAnsi="Times New Roman"/>
              </w:rPr>
              <w:t>3</w:t>
            </w:r>
            <w:r w:rsidRPr="00917D47">
              <w:rPr>
                <w:rFonts w:ascii="Times New Roman" w:hAnsi="Times New Roman"/>
              </w:rPr>
              <w:t>,</w:t>
            </w:r>
            <w:r w:rsidR="00CE6714">
              <w:rPr>
                <w:rFonts w:ascii="Times New Roman" w:hAnsi="Times New Roman"/>
              </w:rPr>
              <w:t>0</w:t>
            </w:r>
          </w:p>
        </w:tc>
        <w:tc>
          <w:tcPr>
            <w:tcW w:w="645" w:type="pct"/>
            <w:vAlign w:val="bottom"/>
          </w:tcPr>
          <w:p w14:paraId="16D13164" w14:textId="77777777" w:rsidR="00917D47" w:rsidRPr="00917D47" w:rsidRDefault="00CE6714" w:rsidP="005A24F5">
            <w:pPr>
              <w:spacing w:after="0" w:line="240" w:lineRule="auto"/>
              <w:jc w:val="center"/>
              <w:rPr>
                <w:rFonts w:ascii="Times New Roman" w:hAnsi="Times New Roman"/>
              </w:rPr>
            </w:pPr>
            <w:r>
              <w:rPr>
                <w:rFonts w:ascii="Times New Roman" w:hAnsi="Times New Roman"/>
              </w:rPr>
              <w:t>50</w:t>
            </w:r>
            <w:r w:rsidR="00917D47" w:rsidRPr="00917D47">
              <w:rPr>
                <w:rFonts w:ascii="Times New Roman" w:hAnsi="Times New Roman"/>
              </w:rPr>
              <w:t>,6</w:t>
            </w:r>
          </w:p>
        </w:tc>
        <w:tc>
          <w:tcPr>
            <w:tcW w:w="615" w:type="pct"/>
            <w:vAlign w:val="bottom"/>
          </w:tcPr>
          <w:p w14:paraId="72608498" w14:textId="77777777" w:rsidR="00917D47" w:rsidRPr="00917D47" w:rsidRDefault="00917D47" w:rsidP="00CE6714">
            <w:pPr>
              <w:spacing w:after="0" w:line="240" w:lineRule="auto"/>
              <w:jc w:val="center"/>
              <w:rPr>
                <w:rFonts w:ascii="Times New Roman" w:hAnsi="Times New Roman"/>
              </w:rPr>
            </w:pPr>
            <w:r w:rsidRPr="00917D47">
              <w:rPr>
                <w:rFonts w:ascii="Times New Roman" w:hAnsi="Times New Roman"/>
              </w:rPr>
              <w:t>2</w:t>
            </w:r>
            <w:r w:rsidR="00CE6714">
              <w:rPr>
                <w:rFonts w:ascii="Times New Roman" w:hAnsi="Times New Roman"/>
              </w:rPr>
              <w:t>4</w:t>
            </w:r>
            <w:r w:rsidRPr="00917D47">
              <w:rPr>
                <w:rFonts w:ascii="Times New Roman" w:hAnsi="Times New Roman"/>
              </w:rPr>
              <w:t>,</w:t>
            </w:r>
            <w:r w:rsidR="00CE6714">
              <w:rPr>
                <w:rFonts w:ascii="Times New Roman" w:hAnsi="Times New Roman"/>
              </w:rPr>
              <w:t>5</w:t>
            </w:r>
          </w:p>
        </w:tc>
        <w:tc>
          <w:tcPr>
            <w:tcW w:w="627" w:type="pct"/>
            <w:vAlign w:val="bottom"/>
          </w:tcPr>
          <w:p w14:paraId="7BCBAF0E" w14:textId="77777777" w:rsidR="00917D47" w:rsidRPr="00917D47" w:rsidRDefault="00917D47" w:rsidP="005A24F5">
            <w:pPr>
              <w:spacing w:after="0" w:line="240" w:lineRule="auto"/>
              <w:jc w:val="center"/>
              <w:rPr>
                <w:rFonts w:ascii="Times New Roman" w:hAnsi="Times New Roman"/>
              </w:rPr>
            </w:pPr>
            <w:r w:rsidRPr="00917D47">
              <w:rPr>
                <w:rFonts w:ascii="Times New Roman" w:hAnsi="Times New Roman"/>
              </w:rPr>
              <w:t>1,</w:t>
            </w:r>
            <w:r w:rsidR="00CE6714">
              <w:rPr>
                <w:rFonts w:ascii="Times New Roman" w:hAnsi="Times New Roman"/>
              </w:rPr>
              <w:t>3</w:t>
            </w:r>
          </w:p>
        </w:tc>
        <w:tc>
          <w:tcPr>
            <w:tcW w:w="674" w:type="pct"/>
            <w:vAlign w:val="bottom"/>
          </w:tcPr>
          <w:p w14:paraId="5007A565" w14:textId="77777777" w:rsidR="00917D47" w:rsidRPr="002C5CBC" w:rsidRDefault="00917D47" w:rsidP="005A24F5">
            <w:pPr>
              <w:spacing w:after="0" w:line="240" w:lineRule="auto"/>
              <w:jc w:val="center"/>
              <w:rPr>
                <w:rFonts w:ascii="Times New Roman" w:hAnsi="Times New Roman"/>
              </w:rPr>
            </w:pPr>
            <w:r w:rsidRPr="00917D47">
              <w:rPr>
                <w:rFonts w:ascii="Times New Roman" w:hAnsi="Times New Roman"/>
              </w:rPr>
              <w:t>0,0</w:t>
            </w:r>
          </w:p>
        </w:tc>
      </w:tr>
      <w:tr w:rsidR="006A4819" w:rsidRPr="00BD5A90" w14:paraId="1CC50049" w14:textId="77777777" w:rsidTr="006A4819">
        <w:trPr>
          <w:jc w:val="center"/>
        </w:trPr>
        <w:tc>
          <w:tcPr>
            <w:tcW w:w="5000" w:type="pct"/>
            <w:gridSpan w:val="7"/>
            <w:vAlign w:val="bottom"/>
          </w:tcPr>
          <w:p w14:paraId="31F846E8" w14:textId="77777777" w:rsidR="006A4819" w:rsidRPr="00917D47" w:rsidRDefault="006A4819" w:rsidP="006A4819">
            <w:pPr>
              <w:spacing w:before="80" w:after="80" w:line="240" w:lineRule="auto"/>
              <w:jc w:val="center"/>
              <w:rPr>
                <w:rFonts w:ascii="Times New Roman" w:hAnsi="Times New Roman"/>
              </w:rPr>
            </w:pPr>
            <w:r w:rsidRPr="006A4819">
              <w:rPr>
                <w:rFonts w:ascii="Times New Roman" w:eastAsia="Arial Unicode MS" w:hAnsi="Times New Roman" w:cs="Times New Roman"/>
                <w:b/>
                <w:bCs/>
                <w:sz w:val="24"/>
                <w:szCs w:val="24"/>
                <w:lang w:eastAsia="ru-RU"/>
              </w:rPr>
              <w:t>2021 г.</w:t>
            </w:r>
          </w:p>
        </w:tc>
      </w:tr>
      <w:tr w:rsidR="006A4819" w:rsidRPr="00BD5A90" w14:paraId="43E4669A" w14:textId="77777777" w:rsidTr="00944CB1">
        <w:trPr>
          <w:jc w:val="center"/>
        </w:trPr>
        <w:tc>
          <w:tcPr>
            <w:tcW w:w="1164" w:type="pct"/>
            <w:vAlign w:val="bottom"/>
          </w:tcPr>
          <w:p w14:paraId="4CA8A75E" w14:textId="77777777" w:rsidR="006A4819" w:rsidRPr="00917D47" w:rsidRDefault="006A4819" w:rsidP="006A4819">
            <w:pPr>
              <w:spacing w:after="0" w:line="240" w:lineRule="auto"/>
              <w:ind w:left="57"/>
              <w:rPr>
                <w:rFonts w:ascii="Times New Roman" w:eastAsia="Times New Roman" w:hAnsi="Times New Roman" w:cs="Times New Roman"/>
                <w:b/>
                <w:bCs/>
                <w:sz w:val="24"/>
                <w:szCs w:val="24"/>
                <w:lang w:eastAsia="ru-RU"/>
              </w:rPr>
            </w:pPr>
            <w:r w:rsidRPr="00917D47">
              <w:rPr>
                <w:rFonts w:ascii="Times New Roman" w:eastAsia="Times New Roman" w:hAnsi="Times New Roman" w:cs="Times New Roman"/>
                <w:b/>
                <w:bCs/>
                <w:sz w:val="24"/>
                <w:szCs w:val="24"/>
                <w:lang w:eastAsia="ru-RU"/>
              </w:rPr>
              <w:t>Все обследованные домашние хозяйства</w:t>
            </w:r>
          </w:p>
        </w:tc>
        <w:tc>
          <w:tcPr>
            <w:tcW w:w="451" w:type="pct"/>
            <w:vAlign w:val="bottom"/>
          </w:tcPr>
          <w:p w14:paraId="7D29997C" w14:textId="77777777" w:rsidR="006A4819" w:rsidRPr="006C2427" w:rsidRDefault="006A4819" w:rsidP="006A4819">
            <w:pPr>
              <w:spacing w:before="80" w:after="2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0,2</w:t>
            </w:r>
          </w:p>
        </w:tc>
        <w:tc>
          <w:tcPr>
            <w:tcW w:w="824" w:type="pct"/>
            <w:vAlign w:val="bottom"/>
          </w:tcPr>
          <w:p w14:paraId="3FF2302B" w14:textId="77777777" w:rsidR="006A4819" w:rsidRPr="006C2427" w:rsidRDefault="006A4819" w:rsidP="006A4819">
            <w:pPr>
              <w:spacing w:before="80" w:after="2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12,1</w:t>
            </w:r>
          </w:p>
        </w:tc>
        <w:tc>
          <w:tcPr>
            <w:tcW w:w="645" w:type="pct"/>
            <w:vAlign w:val="bottom"/>
          </w:tcPr>
          <w:p w14:paraId="492EC0DB" w14:textId="77777777" w:rsidR="006A4819" w:rsidRPr="006C2427" w:rsidRDefault="006A4819" w:rsidP="006A4819">
            <w:pPr>
              <w:spacing w:before="80" w:after="2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48,5</w:t>
            </w:r>
          </w:p>
        </w:tc>
        <w:tc>
          <w:tcPr>
            <w:tcW w:w="615" w:type="pct"/>
            <w:vAlign w:val="bottom"/>
          </w:tcPr>
          <w:p w14:paraId="21A9663B" w14:textId="77777777" w:rsidR="006A4819" w:rsidRPr="006C2427" w:rsidRDefault="006A4819" w:rsidP="006A4819">
            <w:pPr>
              <w:spacing w:before="80" w:after="2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37,1</w:t>
            </w:r>
          </w:p>
        </w:tc>
        <w:tc>
          <w:tcPr>
            <w:tcW w:w="627" w:type="pct"/>
            <w:vAlign w:val="bottom"/>
          </w:tcPr>
          <w:p w14:paraId="7AC3A2A6" w14:textId="77777777" w:rsidR="006A4819" w:rsidRPr="006C2427" w:rsidRDefault="006A4819" w:rsidP="006A4819">
            <w:pPr>
              <w:spacing w:before="80" w:after="2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2,2</w:t>
            </w:r>
          </w:p>
        </w:tc>
        <w:tc>
          <w:tcPr>
            <w:tcW w:w="674" w:type="pct"/>
            <w:vAlign w:val="bottom"/>
          </w:tcPr>
          <w:p w14:paraId="3E43A381" w14:textId="77777777" w:rsidR="006A4819" w:rsidRPr="006C2427" w:rsidRDefault="006A4819" w:rsidP="006A4819">
            <w:pPr>
              <w:spacing w:before="80" w:after="2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0,0</w:t>
            </w:r>
          </w:p>
        </w:tc>
      </w:tr>
      <w:tr w:rsidR="006A4819" w:rsidRPr="00BD5A90" w14:paraId="226D6034" w14:textId="77777777" w:rsidTr="00944CB1">
        <w:trPr>
          <w:jc w:val="center"/>
        </w:trPr>
        <w:tc>
          <w:tcPr>
            <w:tcW w:w="1164" w:type="pct"/>
            <w:vAlign w:val="bottom"/>
          </w:tcPr>
          <w:p w14:paraId="2C40FA83" w14:textId="77777777" w:rsidR="006A4819" w:rsidRPr="00917D47" w:rsidRDefault="006A4819" w:rsidP="006A4819">
            <w:pPr>
              <w:spacing w:after="0" w:line="240" w:lineRule="auto"/>
              <w:ind w:left="57"/>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Домашние хозяйства без детей</w:t>
            </w:r>
          </w:p>
        </w:tc>
        <w:tc>
          <w:tcPr>
            <w:tcW w:w="451" w:type="pct"/>
            <w:vAlign w:val="bottom"/>
          </w:tcPr>
          <w:p w14:paraId="53D741E4" w14:textId="77777777" w:rsidR="006A4819" w:rsidRPr="006C2427" w:rsidRDefault="006A4819" w:rsidP="006A4819">
            <w:pPr>
              <w:spacing w:before="80" w:after="2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0,1</w:t>
            </w:r>
          </w:p>
        </w:tc>
        <w:tc>
          <w:tcPr>
            <w:tcW w:w="824" w:type="pct"/>
            <w:vAlign w:val="bottom"/>
          </w:tcPr>
          <w:p w14:paraId="04079A8E" w14:textId="77777777" w:rsidR="006A4819" w:rsidRPr="006C2427" w:rsidRDefault="006A4819" w:rsidP="006A4819">
            <w:pPr>
              <w:spacing w:before="80" w:after="2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11,6</w:t>
            </w:r>
          </w:p>
        </w:tc>
        <w:tc>
          <w:tcPr>
            <w:tcW w:w="645" w:type="pct"/>
            <w:vAlign w:val="bottom"/>
          </w:tcPr>
          <w:p w14:paraId="32C0DB14" w14:textId="77777777" w:rsidR="006A4819" w:rsidRPr="006C2427" w:rsidRDefault="006A4819" w:rsidP="006A4819">
            <w:pPr>
              <w:spacing w:before="80" w:after="2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49,6</w:t>
            </w:r>
          </w:p>
        </w:tc>
        <w:tc>
          <w:tcPr>
            <w:tcW w:w="615" w:type="pct"/>
            <w:vAlign w:val="bottom"/>
          </w:tcPr>
          <w:p w14:paraId="2BA16F86" w14:textId="77777777" w:rsidR="006A4819" w:rsidRPr="006C2427" w:rsidRDefault="006A4819" w:rsidP="006A4819">
            <w:pPr>
              <w:spacing w:before="80" w:after="2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36,4</w:t>
            </w:r>
          </w:p>
        </w:tc>
        <w:tc>
          <w:tcPr>
            <w:tcW w:w="627" w:type="pct"/>
            <w:vAlign w:val="bottom"/>
          </w:tcPr>
          <w:p w14:paraId="6B4038AD" w14:textId="77777777" w:rsidR="006A4819" w:rsidRPr="006C2427" w:rsidRDefault="006A4819" w:rsidP="006A4819">
            <w:pPr>
              <w:spacing w:before="80" w:after="2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2,2</w:t>
            </w:r>
          </w:p>
        </w:tc>
        <w:tc>
          <w:tcPr>
            <w:tcW w:w="674" w:type="pct"/>
            <w:vAlign w:val="bottom"/>
          </w:tcPr>
          <w:p w14:paraId="19CB2C40" w14:textId="77777777" w:rsidR="006A4819" w:rsidRPr="006C2427" w:rsidRDefault="006A4819" w:rsidP="006A4819">
            <w:pPr>
              <w:spacing w:before="80" w:after="2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0,0</w:t>
            </w:r>
          </w:p>
        </w:tc>
      </w:tr>
      <w:tr w:rsidR="006A4819" w:rsidRPr="00BD5A90" w14:paraId="407F4289" w14:textId="77777777" w:rsidTr="00944CB1">
        <w:trPr>
          <w:jc w:val="center"/>
        </w:trPr>
        <w:tc>
          <w:tcPr>
            <w:tcW w:w="1164" w:type="pct"/>
            <w:vAlign w:val="bottom"/>
          </w:tcPr>
          <w:p w14:paraId="59107345" w14:textId="77777777" w:rsidR="006A4819" w:rsidRPr="00917D47" w:rsidRDefault="006A4819" w:rsidP="006A4819">
            <w:pPr>
              <w:spacing w:after="0" w:line="240" w:lineRule="auto"/>
              <w:ind w:left="57"/>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 xml:space="preserve">Домашние хозяйства, имеющие детей в возрасте до 16 лет </w:t>
            </w:r>
          </w:p>
        </w:tc>
        <w:tc>
          <w:tcPr>
            <w:tcW w:w="451" w:type="pct"/>
            <w:vAlign w:val="bottom"/>
          </w:tcPr>
          <w:p w14:paraId="672309BC" w14:textId="77777777" w:rsidR="006A4819" w:rsidRPr="006C2427" w:rsidRDefault="006A4819" w:rsidP="006A4819">
            <w:pPr>
              <w:spacing w:before="80" w:after="2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0,2</w:t>
            </w:r>
          </w:p>
        </w:tc>
        <w:tc>
          <w:tcPr>
            <w:tcW w:w="824" w:type="pct"/>
            <w:vAlign w:val="bottom"/>
          </w:tcPr>
          <w:p w14:paraId="4639722C" w14:textId="77777777" w:rsidR="006A4819" w:rsidRPr="006C2427" w:rsidRDefault="006A4819" w:rsidP="006A4819">
            <w:pPr>
              <w:spacing w:before="80" w:after="2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13,0</w:t>
            </w:r>
          </w:p>
        </w:tc>
        <w:tc>
          <w:tcPr>
            <w:tcW w:w="645" w:type="pct"/>
            <w:vAlign w:val="bottom"/>
          </w:tcPr>
          <w:p w14:paraId="24DDEC03" w14:textId="77777777" w:rsidR="006A4819" w:rsidRPr="006C2427" w:rsidRDefault="006A4819" w:rsidP="006A4819">
            <w:pPr>
              <w:spacing w:before="80" w:after="2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46,2</w:t>
            </w:r>
          </w:p>
        </w:tc>
        <w:tc>
          <w:tcPr>
            <w:tcW w:w="615" w:type="pct"/>
            <w:vAlign w:val="bottom"/>
          </w:tcPr>
          <w:p w14:paraId="70B3E363" w14:textId="77777777" w:rsidR="006A4819" w:rsidRPr="006C2427" w:rsidRDefault="006A4819" w:rsidP="006A4819">
            <w:pPr>
              <w:spacing w:before="80" w:after="2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38,5</w:t>
            </w:r>
          </w:p>
        </w:tc>
        <w:tc>
          <w:tcPr>
            <w:tcW w:w="627" w:type="pct"/>
            <w:vAlign w:val="bottom"/>
          </w:tcPr>
          <w:p w14:paraId="402744ED" w14:textId="77777777" w:rsidR="006A4819" w:rsidRPr="006C2427" w:rsidRDefault="006A4819" w:rsidP="006A4819">
            <w:pPr>
              <w:spacing w:before="80" w:after="2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2,1</w:t>
            </w:r>
          </w:p>
        </w:tc>
        <w:tc>
          <w:tcPr>
            <w:tcW w:w="674" w:type="pct"/>
            <w:vAlign w:val="bottom"/>
          </w:tcPr>
          <w:p w14:paraId="3D8C0A98" w14:textId="77777777" w:rsidR="006A4819" w:rsidRPr="006C2427" w:rsidRDefault="006A4819" w:rsidP="006A4819">
            <w:pPr>
              <w:spacing w:before="80" w:after="2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0,0</w:t>
            </w:r>
          </w:p>
        </w:tc>
      </w:tr>
      <w:tr w:rsidR="006A4819" w:rsidRPr="00BD5A90" w14:paraId="6621D615" w14:textId="77777777" w:rsidTr="009E5990">
        <w:trPr>
          <w:jc w:val="center"/>
        </w:trPr>
        <w:tc>
          <w:tcPr>
            <w:tcW w:w="1164" w:type="pct"/>
            <w:tcBorders>
              <w:bottom w:val="nil"/>
            </w:tcBorders>
            <w:vAlign w:val="bottom"/>
          </w:tcPr>
          <w:p w14:paraId="6D284906" w14:textId="77777777" w:rsidR="006A4819" w:rsidRPr="00917D47" w:rsidRDefault="006A4819" w:rsidP="006A4819">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Домашние хозяйства, имеющие:</w:t>
            </w:r>
          </w:p>
        </w:tc>
        <w:tc>
          <w:tcPr>
            <w:tcW w:w="451" w:type="pct"/>
            <w:tcBorders>
              <w:bottom w:val="nil"/>
            </w:tcBorders>
            <w:vAlign w:val="bottom"/>
          </w:tcPr>
          <w:p w14:paraId="3D86616B" w14:textId="77777777" w:rsidR="006A4819" w:rsidRPr="006C2427" w:rsidRDefault="006A4819" w:rsidP="006A4819">
            <w:pPr>
              <w:spacing w:before="80" w:after="20" w:line="240" w:lineRule="auto"/>
              <w:jc w:val="center"/>
              <w:rPr>
                <w:rFonts w:ascii="Times New Roman" w:eastAsia="Times New Roman" w:hAnsi="Times New Roman" w:cs="Times New Roman"/>
                <w:color w:val="000000" w:themeColor="text1"/>
                <w:sz w:val="24"/>
                <w:szCs w:val="24"/>
              </w:rPr>
            </w:pPr>
          </w:p>
        </w:tc>
        <w:tc>
          <w:tcPr>
            <w:tcW w:w="824" w:type="pct"/>
            <w:tcBorders>
              <w:bottom w:val="nil"/>
            </w:tcBorders>
            <w:vAlign w:val="bottom"/>
          </w:tcPr>
          <w:p w14:paraId="6754119F" w14:textId="77777777" w:rsidR="006A4819" w:rsidRPr="006C2427" w:rsidRDefault="006A4819" w:rsidP="006A4819">
            <w:pPr>
              <w:spacing w:before="80" w:after="20" w:line="240" w:lineRule="auto"/>
              <w:jc w:val="center"/>
              <w:rPr>
                <w:rFonts w:ascii="Times New Roman" w:eastAsia="Times New Roman" w:hAnsi="Times New Roman" w:cs="Times New Roman"/>
                <w:color w:val="000000" w:themeColor="text1"/>
                <w:sz w:val="24"/>
                <w:szCs w:val="24"/>
              </w:rPr>
            </w:pPr>
          </w:p>
        </w:tc>
        <w:tc>
          <w:tcPr>
            <w:tcW w:w="645" w:type="pct"/>
            <w:tcBorders>
              <w:bottom w:val="nil"/>
            </w:tcBorders>
            <w:vAlign w:val="bottom"/>
          </w:tcPr>
          <w:p w14:paraId="1F34F31B" w14:textId="77777777" w:rsidR="006A4819" w:rsidRPr="006C2427" w:rsidRDefault="006A4819" w:rsidP="006A4819">
            <w:pPr>
              <w:spacing w:before="80" w:after="20" w:line="240" w:lineRule="auto"/>
              <w:jc w:val="center"/>
              <w:rPr>
                <w:rFonts w:ascii="Times New Roman" w:eastAsia="Times New Roman" w:hAnsi="Times New Roman" w:cs="Times New Roman"/>
                <w:color w:val="000000" w:themeColor="text1"/>
                <w:sz w:val="24"/>
                <w:szCs w:val="24"/>
              </w:rPr>
            </w:pPr>
          </w:p>
        </w:tc>
        <w:tc>
          <w:tcPr>
            <w:tcW w:w="615" w:type="pct"/>
            <w:tcBorders>
              <w:bottom w:val="nil"/>
            </w:tcBorders>
            <w:vAlign w:val="bottom"/>
          </w:tcPr>
          <w:p w14:paraId="4D5F0D54" w14:textId="77777777" w:rsidR="006A4819" w:rsidRPr="006C2427" w:rsidRDefault="006A4819" w:rsidP="006A4819">
            <w:pPr>
              <w:spacing w:before="80" w:after="20" w:line="240" w:lineRule="auto"/>
              <w:jc w:val="center"/>
              <w:rPr>
                <w:rFonts w:ascii="Times New Roman" w:eastAsia="Times New Roman" w:hAnsi="Times New Roman" w:cs="Times New Roman"/>
                <w:color w:val="000000" w:themeColor="text1"/>
                <w:sz w:val="24"/>
                <w:szCs w:val="24"/>
              </w:rPr>
            </w:pPr>
          </w:p>
        </w:tc>
        <w:tc>
          <w:tcPr>
            <w:tcW w:w="627" w:type="pct"/>
            <w:tcBorders>
              <w:bottom w:val="nil"/>
            </w:tcBorders>
            <w:vAlign w:val="bottom"/>
          </w:tcPr>
          <w:p w14:paraId="528F2409" w14:textId="77777777" w:rsidR="006A4819" w:rsidRPr="006C2427" w:rsidRDefault="006A4819" w:rsidP="006A4819">
            <w:pPr>
              <w:spacing w:before="80" w:after="20" w:line="240" w:lineRule="auto"/>
              <w:jc w:val="center"/>
              <w:rPr>
                <w:rFonts w:ascii="Times New Roman" w:eastAsia="Times New Roman" w:hAnsi="Times New Roman" w:cs="Times New Roman"/>
                <w:color w:val="000000" w:themeColor="text1"/>
                <w:sz w:val="24"/>
                <w:szCs w:val="24"/>
              </w:rPr>
            </w:pPr>
          </w:p>
        </w:tc>
        <w:tc>
          <w:tcPr>
            <w:tcW w:w="674" w:type="pct"/>
            <w:tcBorders>
              <w:bottom w:val="nil"/>
            </w:tcBorders>
            <w:vAlign w:val="bottom"/>
          </w:tcPr>
          <w:p w14:paraId="586642E9" w14:textId="77777777" w:rsidR="006A4819" w:rsidRPr="006C2427" w:rsidRDefault="006A4819" w:rsidP="006A4819">
            <w:pPr>
              <w:spacing w:before="80" w:after="20" w:line="240" w:lineRule="auto"/>
              <w:jc w:val="center"/>
              <w:rPr>
                <w:rFonts w:ascii="Times New Roman" w:eastAsia="Times New Roman" w:hAnsi="Times New Roman" w:cs="Times New Roman"/>
                <w:color w:val="000000" w:themeColor="text1"/>
                <w:sz w:val="24"/>
                <w:szCs w:val="24"/>
              </w:rPr>
            </w:pPr>
          </w:p>
        </w:tc>
      </w:tr>
      <w:tr w:rsidR="006A4819" w:rsidRPr="00BD5A90" w14:paraId="47AD5C9D" w14:textId="77777777" w:rsidTr="009E5990">
        <w:trPr>
          <w:jc w:val="center"/>
        </w:trPr>
        <w:tc>
          <w:tcPr>
            <w:tcW w:w="1164" w:type="pct"/>
            <w:tcBorders>
              <w:top w:val="nil"/>
            </w:tcBorders>
            <w:vAlign w:val="bottom"/>
          </w:tcPr>
          <w:p w14:paraId="3B1EE3FB" w14:textId="77777777" w:rsidR="006A4819" w:rsidRPr="00917D47" w:rsidRDefault="006A4819" w:rsidP="006A4819">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одного ребенка</w:t>
            </w:r>
          </w:p>
        </w:tc>
        <w:tc>
          <w:tcPr>
            <w:tcW w:w="451" w:type="pct"/>
            <w:tcBorders>
              <w:top w:val="nil"/>
            </w:tcBorders>
            <w:vAlign w:val="bottom"/>
          </w:tcPr>
          <w:p w14:paraId="2B1CF3CB" w14:textId="77777777" w:rsidR="006A4819" w:rsidRPr="006C2427" w:rsidRDefault="006A4819" w:rsidP="006A4819">
            <w:pPr>
              <w:spacing w:before="80" w:after="2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0,1</w:t>
            </w:r>
          </w:p>
        </w:tc>
        <w:tc>
          <w:tcPr>
            <w:tcW w:w="824" w:type="pct"/>
            <w:tcBorders>
              <w:top w:val="nil"/>
            </w:tcBorders>
            <w:vAlign w:val="bottom"/>
          </w:tcPr>
          <w:p w14:paraId="10C183E6" w14:textId="77777777" w:rsidR="006A4819" w:rsidRPr="006C2427" w:rsidRDefault="006A4819" w:rsidP="006A4819">
            <w:pPr>
              <w:spacing w:before="80" w:after="2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12,0</w:t>
            </w:r>
          </w:p>
        </w:tc>
        <w:tc>
          <w:tcPr>
            <w:tcW w:w="645" w:type="pct"/>
            <w:tcBorders>
              <w:top w:val="nil"/>
            </w:tcBorders>
            <w:vAlign w:val="bottom"/>
          </w:tcPr>
          <w:p w14:paraId="6AEDB72A" w14:textId="77777777" w:rsidR="006A4819" w:rsidRPr="006C2427" w:rsidRDefault="006A4819" w:rsidP="006A4819">
            <w:pPr>
              <w:spacing w:before="80" w:after="2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44,9</w:t>
            </w:r>
          </w:p>
        </w:tc>
        <w:tc>
          <w:tcPr>
            <w:tcW w:w="615" w:type="pct"/>
            <w:tcBorders>
              <w:top w:val="nil"/>
            </w:tcBorders>
            <w:vAlign w:val="bottom"/>
          </w:tcPr>
          <w:p w14:paraId="3C98B155" w14:textId="77777777" w:rsidR="006A4819" w:rsidRPr="006C2427" w:rsidRDefault="006A4819" w:rsidP="006A4819">
            <w:pPr>
              <w:spacing w:before="80" w:after="2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41,0</w:t>
            </w:r>
          </w:p>
        </w:tc>
        <w:tc>
          <w:tcPr>
            <w:tcW w:w="627" w:type="pct"/>
            <w:tcBorders>
              <w:top w:val="nil"/>
            </w:tcBorders>
            <w:vAlign w:val="bottom"/>
          </w:tcPr>
          <w:p w14:paraId="48D7D315" w14:textId="77777777" w:rsidR="006A4819" w:rsidRPr="006C2427" w:rsidRDefault="006A4819" w:rsidP="006A4819">
            <w:pPr>
              <w:spacing w:before="80" w:after="2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2,0</w:t>
            </w:r>
          </w:p>
        </w:tc>
        <w:tc>
          <w:tcPr>
            <w:tcW w:w="674" w:type="pct"/>
            <w:tcBorders>
              <w:top w:val="nil"/>
            </w:tcBorders>
            <w:vAlign w:val="bottom"/>
          </w:tcPr>
          <w:p w14:paraId="1AC9B83B" w14:textId="77777777" w:rsidR="006A4819" w:rsidRPr="006C2427" w:rsidRDefault="006A4819" w:rsidP="006A4819">
            <w:pPr>
              <w:spacing w:before="80" w:after="2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0,1</w:t>
            </w:r>
          </w:p>
        </w:tc>
      </w:tr>
      <w:tr w:rsidR="006A4819" w:rsidRPr="00BD5A90" w14:paraId="691029F1" w14:textId="77777777" w:rsidTr="00944CB1">
        <w:trPr>
          <w:jc w:val="center"/>
        </w:trPr>
        <w:tc>
          <w:tcPr>
            <w:tcW w:w="1164" w:type="pct"/>
            <w:vAlign w:val="bottom"/>
          </w:tcPr>
          <w:p w14:paraId="60C6E12E" w14:textId="77777777" w:rsidR="006A4819" w:rsidRPr="00917D47" w:rsidRDefault="006A4819" w:rsidP="006A4819">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двух детей</w:t>
            </w:r>
          </w:p>
        </w:tc>
        <w:tc>
          <w:tcPr>
            <w:tcW w:w="451" w:type="pct"/>
            <w:vAlign w:val="bottom"/>
          </w:tcPr>
          <w:p w14:paraId="48B97C00" w14:textId="77777777" w:rsidR="006A4819" w:rsidRPr="006C2427" w:rsidRDefault="006A4819" w:rsidP="006A4819">
            <w:pPr>
              <w:spacing w:before="80" w:after="2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0,2</w:t>
            </w:r>
          </w:p>
        </w:tc>
        <w:tc>
          <w:tcPr>
            <w:tcW w:w="824" w:type="pct"/>
            <w:vAlign w:val="bottom"/>
          </w:tcPr>
          <w:p w14:paraId="0ED6E11F" w14:textId="77777777" w:rsidR="006A4819" w:rsidRPr="006C2427" w:rsidRDefault="006A4819" w:rsidP="006A4819">
            <w:pPr>
              <w:spacing w:before="80" w:after="2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13,0</w:t>
            </w:r>
          </w:p>
        </w:tc>
        <w:tc>
          <w:tcPr>
            <w:tcW w:w="645" w:type="pct"/>
            <w:vAlign w:val="bottom"/>
          </w:tcPr>
          <w:p w14:paraId="648722EC" w14:textId="77777777" w:rsidR="006A4819" w:rsidRPr="006C2427" w:rsidRDefault="006A4819" w:rsidP="006A4819">
            <w:pPr>
              <w:spacing w:before="80" w:after="2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47,3</w:t>
            </w:r>
          </w:p>
        </w:tc>
        <w:tc>
          <w:tcPr>
            <w:tcW w:w="615" w:type="pct"/>
            <w:vAlign w:val="bottom"/>
          </w:tcPr>
          <w:p w14:paraId="2F53AE92" w14:textId="77777777" w:rsidR="006A4819" w:rsidRPr="006C2427" w:rsidRDefault="006A4819" w:rsidP="006A4819">
            <w:pPr>
              <w:spacing w:before="80" w:after="2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36,9</w:t>
            </w:r>
          </w:p>
        </w:tc>
        <w:tc>
          <w:tcPr>
            <w:tcW w:w="627" w:type="pct"/>
            <w:vAlign w:val="bottom"/>
          </w:tcPr>
          <w:p w14:paraId="385CF407" w14:textId="77777777" w:rsidR="006A4819" w:rsidRPr="006C2427" w:rsidRDefault="006A4819" w:rsidP="006A4819">
            <w:pPr>
              <w:spacing w:before="80" w:after="2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2,5</w:t>
            </w:r>
          </w:p>
        </w:tc>
        <w:tc>
          <w:tcPr>
            <w:tcW w:w="674" w:type="pct"/>
            <w:vAlign w:val="bottom"/>
          </w:tcPr>
          <w:p w14:paraId="610A73FA" w14:textId="77777777" w:rsidR="006A4819" w:rsidRPr="006C2427" w:rsidRDefault="006A4819" w:rsidP="006A4819">
            <w:pPr>
              <w:spacing w:before="80" w:after="2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0,0</w:t>
            </w:r>
          </w:p>
        </w:tc>
      </w:tr>
      <w:tr w:rsidR="006A4819" w:rsidRPr="00BD5A90" w14:paraId="7E6F243F" w14:textId="77777777" w:rsidTr="00944CB1">
        <w:trPr>
          <w:jc w:val="center"/>
        </w:trPr>
        <w:tc>
          <w:tcPr>
            <w:tcW w:w="1164" w:type="pct"/>
            <w:vAlign w:val="bottom"/>
          </w:tcPr>
          <w:p w14:paraId="2C25E083" w14:textId="77777777" w:rsidR="006A4819" w:rsidRPr="00917D47" w:rsidRDefault="006A4819" w:rsidP="006A4819">
            <w:pPr>
              <w:spacing w:after="0" w:line="240" w:lineRule="auto"/>
              <w:ind w:left="170"/>
              <w:rPr>
                <w:rFonts w:ascii="Times New Roman" w:eastAsia="Times New Roman" w:hAnsi="Times New Roman" w:cs="Times New Roman"/>
                <w:sz w:val="24"/>
                <w:szCs w:val="24"/>
                <w:lang w:eastAsia="ru-RU"/>
              </w:rPr>
            </w:pPr>
            <w:r w:rsidRPr="00917D47">
              <w:rPr>
                <w:rFonts w:ascii="Times New Roman" w:eastAsia="Times New Roman" w:hAnsi="Times New Roman" w:cs="Times New Roman"/>
                <w:sz w:val="24"/>
                <w:szCs w:val="24"/>
                <w:lang w:eastAsia="ru-RU"/>
              </w:rPr>
              <w:t xml:space="preserve">трех и более детей </w:t>
            </w:r>
          </w:p>
        </w:tc>
        <w:tc>
          <w:tcPr>
            <w:tcW w:w="451" w:type="pct"/>
            <w:vAlign w:val="bottom"/>
          </w:tcPr>
          <w:p w14:paraId="4422D2E3" w14:textId="77777777" w:rsidR="006A4819" w:rsidRPr="006C2427" w:rsidRDefault="006A4819" w:rsidP="006A4819">
            <w:pPr>
              <w:spacing w:before="80" w:after="2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0,5</w:t>
            </w:r>
          </w:p>
        </w:tc>
        <w:tc>
          <w:tcPr>
            <w:tcW w:w="824" w:type="pct"/>
            <w:vAlign w:val="bottom"/>
          </w:tcPr>
          <w:p w14:paraId="07012B61" w14:textId="77777777" w:rsidR="006A4819" w:rsidRPr="006C2427" w:rsidRDefault="006A4819" w:rsidP="006A4819">
            <w:pPr>
              <w:spacing w:before="80" w:after="2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20,0</w:t>
            </w:r>
          </w:p>
        </w:tc>
        <w:tc>
          <w:tcPr>
            <w:tcW w:w="645" w:type="pct"/>
            <w:vAlign w:val="bottom"/>
          </w:tcPr>
          <w:p w14:paraId="52E9E4B4" w14:textId="77777777" w:rsidR="006A4819" w:rsidRPr="006C2427" w:rsidRDefault="006A4819" w:rsidP="006A4819">
            <w:pPr>
              <w:spacing w:before="80" w:after="2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51,0</w:t>
            </w:r>
          </w:p>
        </w:tc>
        <w:tc>
          <w:tcPr>
            <w:tcW w:w="615" w:type="pct"/>
            <w:vAlign w:val="bottom"/>
          </w:tcPr>
          <w:p w14:paraId="71F7BDA1" w14:textId="77777777" w:rsidR="006A4819" w:rsidRPr="006C2427" w:rsidRDefault="006A4819" w:rsidP="006A4819">
            <w:pPr>
              <w:spacing w:before="80" w:after="2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27,2</w:t>
            </w:r>
          </w:p>
        </w:tc>
        <w:tc>
          <w:tcPr>
            <w:tcW w:w="627" w:type="pct"/>
            <w:vAlign w:val="bottom"/>
          </w:tcPr>
          <w:p w14:paraId="4832CD70" w14:textId="77777777" w:rsidR="006A4819" w:rsidRPr="006C2427" w:rsidRDefault="006A4819" w:rsidP="006A4819">
            <w:pPr>
              <w:spacing w:before="80" w:after="2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1,4</w:t>
            </w:r>
          </w:p>
        </w:tc>
        <w:tc>
          <w:tcPr>
            <w:tcW w:w="674" w:type="pct"/>
            <w:vAlign w:val="bottom"/>
          </w:tcPr>
          <w:p w14:paraId="60001694" w14:textId="77777777" w:rsidR="006A4819" w:rsidRPr="006C2427" w:rsidRDefault="006A4819" w:rsidP="006A4819">
            <w:pPr>
              <w:spacing w:before="80" w:after="2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0,1</w:t>
            </w:r>
          </w:p>
        </w:tc>
      </w:tr>
    </w:tbl>
    <w:p w14:paraId="1257BF34" w14:textId="77777777" w:rsidR="00D03A4F" w:rsidRPr="006A40F2" w:rsidRDefault="00D03A4F" w:rsidP="00D03A4F">
      <w:pPr>
        <w:spacing w:after="0" w:line="240" w:lineRule="auto"/>
        <w:jc w:val="right"/>
        <w:rPr>
          <w:rFonts w:ascii="Times New Roman" w:eastAsia="Times New Roman" w:hAnsi="Times New Roman" w:cs="Times New Roman"/>
          <w:sz w:val="26"/>
          <w:szCs w:val="26"/>
          <w:lang w:eastAsia="ru-RU"/>
        </w:rPr>
      </w:pPr>
      <w:r w:rsidRPr="006A40F2">
        <w:rPr>
          <w:rFonts w:ascii="Times New Roman" w:eastAsia="Times New Roman" w:hAnsi="Times New Roman" w:cs="Times New Roman"/>
          <w:sz w:val="26"/>
          <w:szCs w:val="26"/>
          <w:lang w:eastAsia="ru-RU"/>
        </w:rPr>
        <w:t>Таблица 4</w:t>
      </w:r>
      <w:r w:rsidR="008737BB">
        <w:rPr>
          <w:rFonts w:ascii="Times New Roman" w:eastAsia="Times New Roman" w:hAnsi="Times New Roman" w:cs="Times New Roman"/>
          <w:sz w:val="26"/>
          <w:szCs w:val="26"/>
          <w:lang w:eastAsia="ru-RU"/>
        </w:rPr>
        <w:t>5</w:t>
      </w:r>
    </w:p>
    <w:p w14:paraId="4B4EEE2E" w14:textId="77777777" w:rsidR="00D03A4F" w:rsidRPr="006A40F2" w:rsidRDefault="00D03A4F" w:rsidP="00D03A4F">
      <w:pPr>
        <w:spacing w:after="0" w:line="240" w:lineRule="auto"/>
        <w:jc w:val="right"/>
        <w:rPr>
          <w:rFonts w:ascii="Times New Roman" w:eastAsia="Times New Roman" w:hAnsi="Times New Roman" w:cs="Times New Roman"/>
          <w:sz w:val="26"/>
          <w:szCs w:val="26"/>
          <w:lang w:eastAsia="ru-RU"/>
        </w:rPr>
      </w:pPr>
    </w:p>
    <w:p w14:paraId="2E142EB5" w14:textId="77777777" w:rsidR="00D03A4F" w:rsidRPr="006A40F2" w:rsidRDefault="00D03A4F" w:rsidP="00D03A4F">
      <w:pPr>
        <w:spacing w:after="0" w:line="240" w:lineRule="auto"/>
        <w:jc w:val="center"/>
        <w:rPr>
          <w:rFonts w:ascii="Times New Roman" w:eastAsia="Times New Roman" w:hAnsi="Times New Roman" w:cs="Times New Roman"/>
          <w:sz w:val="24"/>
          <w:szCs w:val="24"/>
          <w:lang w:eastAsia="ru-RU"/>
        </w:rPr>
      </w:pPr>
      <w:r w:rsidRPr="006A40F2">
        <w:rPr>
          <w:rFonts w:ascii="Times New Roman" w:eastAsia="Times New Roman" w:hAnsi="Times New Roman" w:cs="Times New Roman"/>
          <w:b/>
          <w:bCs/>
          <w:sz w:val="26"/>
          <w:szCs w:val="26"/>
          <w:lang w:eastAsia="ru-RU"/>
        </w:rPr>
        <w:t>Величина прожиточного минимума на ребенка в возрасте до 16 лет в целом по Российской Федерации</w:t>
      </w:r>
      <w:r w:rsidRPr="006A40F2">
        <w:rPr>
          <w:rFonts w:ascii="Times New Roman" w:eastAsia="Times New Roman" w:hAnsi="Times New Roman" w:cs="Times New Roman"/>
          <w:b/>
          <w:bCs/>
          <w:sz w:val="26"/>
          <w:szCs w:val="26"/>
          <w:lang w:eastAsia="ru-RU"/>
        </w:rPr>
        <w:br/>
      </w:r>
      <w:r w:rsidRPr="006A40F2">
        <w:rPr>
          <w:rFonts w:ascii="Times New Roman" w:eastAsia="Times New Roman" w:hAnsi="Times New Roman" w:cs="Times New Roman"/>
          <w:sz w:val="24"/>
          <w:szCs w:val="24"/>
          <w:lang w:eastAsia="ru-RU"/>
        </w:rPr>
        <w:t>(в среднем на душу, рублей, в месяц)</w:t>
      </w:r>
    </w:p>
    <w:p w14:paraId="5750A0FB" w14:textId="77777777" w:rsidR="00D03A4F" w:rsidRPr="006A40F2" w:rsidRDefault="00D03A4F" w:rsidP="00D03A4F">
      <w:pPr>
        <w:spacing w:after="0" w:line="240" w:lineRule="auto"/>
        <w:ind w:firstLine="4253"/>
        <w:jc w:val="center"/>
        <w:rPr>
          <w:rFonts w:ascii="Times New Roman" w:eastAsia="Times New Roman" w:hAnsi="Times New Roman" w:cs="Times New Roman"/>
          <w:caps/>
          <w:sz w:val="20"/>
          <w:szCs w:val="20"/>
          <w:lang w:eastAsia="ru-RU"/>
        </w:rPr>
      </w:pPr>
    </w:p>
    <w:tbl>
      <w:tblPr>
        <w:tblW w:w="4533" w:type="pct"/>
        <w:jc w:val="center"/>
        <w:tblBorders>
          <w:top w:val="single" w:sz="4" w:space="0" w:color="auto"/>
          <w:left w:val="single" w:sz="4" w:space="0" w:color="auto"/>
          <w:bottom w:val="single" w:sz="4" w:space="0" w:color="auto"/>
          <w:right w:val="single" w:sz="4" w:space="0" w:color="auto"/>
          <w:insideH w:val="single" w:sz="6" w:space="0" w:color="000000"/>
        </w:tblBorders>
        <w:tblCellMar>
          <w:left w:w="0" w:type="dxa"/>
          <w:right w:w="0" w:type="dxa"/>
        </w:tblCellMar>
        <w:tblLook w:val="0000" w:firstRow="0" w:lastRow="0" w:firstColumn="0" w:lastColumn="0" w:noHBand="0" w:noVBand="0"/>
      </w:tblPr>
      <w:tblGrid>
        <w:gridCol w:w="3969"/>
        <w:gridCol w:w="1759"/>
        <w:gridCol w:w="1758"/>
        <w:gridCol w:w="1758"/>
      </w:tblGrid>
      <w:tr w:rsidR="003168ED" w:rsidRPr="006A40F2" w14:paraId="5255C4E9" w14:textId="77777777" w:rsidTr="003168ED">
        <w:trPr>
          <w:trHeight w:val="450"/>
          <w:tblHeader/>
          <w:jc w:val="center"/>
        </w:trPr>
        <w:tc>
          <w:tcPr>
            <w:tcW w:w="2146" w:type="pct"/>
            <w:vMerge w:val="restart"/>
            <w:tcBorders>
              <w:top w:val="single" w:sz="4" w:space="0" w:color="auto"/>
              <w:right w:val="single" w:sz="4" w:space="0" w:color="auto"/>
            </w:tcBorders>
            <w:vAlign w:val="center"/>
          </w:tcPr>
          <w:p w14:paraId="4B3CA51C" w14:textId="77777777" w:rsidR="003168ED" w:rsidRPr="006A40F2" w:rsidRDefault="003168ED" w:rsidP="00D03A4F">
            <w:pPr>
              <w:spacing w:before="60" w:after="0" w:line="240" w:lineRule="auto"/>
              <w:jc w:val="center"/>
              <w:rPr>
                <w:rFonts w:ascii="Times New Roman" w:eastAsia="Times New Roman" w:hAnsi="Times New Roman" w:cs="Times New Roman"/>
                <w:sz w:val="24"/>
                <w:szCs w:val="24"/>
                <w:lang w:eastAsia="ru-RU"/>
              </w:rPr>
            </w:pPr>
          </w:p>
        </w:tc>
        <w:tc>
          <w:tcPr>
            <w:tcW w:w="951" w:type="pct"/>
            <w:vMerge w:val="restart"/>
            <w:tcBorders>
              <w:top w:val="single" w:sz="4" w:space="0" w:color="auto"/>
              <w:right w:val="single" w:sz="4" w:space="0" w:color="auto"/>
            </w:tcBorders>
            <w:vAlign w:val="center"/>
          </w:tcPr>
          <w:p w14:paraId="7096FA89" w14:textId="77777777" w:rsidR="003168ED" w:rsidRDefault="003168ED" w:rsidP="005A24F5">
            <w:pPr>
              <w:spacing w:before="60"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2021 г.</w:t>
            </w:r>
            <w:r w:rsidRPr="003168ED">
              <w:rPr>
                <w:rFonts w:ascii="Times New Roman" w:eastAsia="Times New Roman" w:hAnsi="Times New Roman" w:cs="Times New Roman"/>
                <w:bCs/>
                <w:sz w:val="24"/>
                <w:szCs w:val="24"/>
                <w:vertAlign w:val="superscript"/>
                <w:lang w:eastAsia="ru-RU"/>
              </w:rPr>
              <w:t>1)</w:t>
            </w:r>
          </w:p>
        </w:tc>
        <w:tc>
          <w:tcPr>
            <w:tcW w:w="1902" w:type="pct"/>
            <w:gridSpan w:val="2"/>
            <w:tcBorders>
              <w:top w:val="single" w:sz="4" w:space="0" w:color="auto"/>
              <w:left w:val="single" w:sz="4" w:space="0" w:color="auto"/>
              <w:bottom w:val="single" w:sz="4" w:space="0" w:color="auto"/>
              <w:right w:val="single" w:sz="4" w:space="0" w:color="auto"/>
            </w:tcBorders>
            <w:vAlign w:val="center"/>
          </w:tcPr>
          <w:p w14:paraId="6B165207" w14:textId="77777777" w:rsidR="003168ED" w:rsidRPr="006A40F2" w:rsidRDefault="003168ED" w:rsidP="00D03A4F">
            <w:pPr>
              <w:spacing w:before="60"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2022 г.</w:t>
            </w:r>
          </w:p>
        </w:tc>
      </w:tr>
      <w:tr w:rsidR="003168ED" w:rsidRPr="006A40F2" w14:paraId="4CE8AB77" w14:textId="77777777" w:rsidTr="009E5990">
        <w:trPr>
          <w:trHeight w:val="450"/>
          <w:tblHeader/>
          <w:jc w:val="center"/>
        </w:trPr>
        <w:tc>
          <w:tcPr>
            <w:tcW w:w="2146" w:type="pct"/>
            <w:vMerge/>
            <w:tcBorders>
              <w:bottom w:val="single" w:sz="4" w:space="0" w:color="auto"/>
              <w:right w:val="single" w:sz="4" w:space="0" w:color="auto"/>
            </w:tcBorders>
            <w:vAlign w:val="center"/>
          </w:tcPr>
          <w:p w14:paraId="3F700DEA" w14:textId="77777777" w:rsidR="003168ED" w:rsidRPr="006A40F2" w:rsidRDefault="003168ED" w:rsidP="00D03A4F">
            <w:pPr>
              <w:spacing w:before="60" w:after="0" w:line="240" w:lineRule="auto"/>
              <w:jc w:val="center"/>
              <w:rPr>
                <w:rFonts w:ascii="Times New Roman" w:eastAsia="Times New Roman" w:hAnsi="Times New Roman" w:cs="Times New Roman"/>
                <w:sz w:val="24"/>
                <w:szCs w:val="24"/>
                <w:lang w:eastAsia="ru-RU"/>
              </w:rPr>
            </w:pPr>
          </w:p>
        </w:tc>
        <w:tc>
          <w:tcPr>
            <w:tcW w:w="951" w:type="pct"/>
            <w:vMerge/>
            <w:tcBorders>
              <w:bottom w:val="single" w:sz="4" w:space="0" w:color="auto"/>
              <w:right w:val="single" w:sz="4" w:space="0" w:color="auto"/>
            </w:tcBorders>
            <w:vAlign w:val="center"/>
          </w:tcPr>
          <w:p w14:paraId="48D299BB" w14:textId="77777777" w:rsidR="003168ED" w:rsidRPr="006A40F2" w:rsidRDefault="003168ED" w:rsidP="005A24F5">
            <w:pPr>
              <w:spacing w:before="60" w:after="0" w:line="240" w:lineRule="auto"/>
              <w:jc w:val="center"/>
              <w:rPr>
                <w:rFonts w:ascii="Times New Roman" w:eastAsia="Times New Roman" w:hAnsi="Times New Roman" w:cs="Times New Roman"/>
                <w:bCs/>
                <w:sz w:val="24"/>
                <w:szCs w:val="24"/>
                <w:lang w:eastAsia="ru-RU"/>
              </w:rPr>
            </w:pPr>
          </w:p>
        </w:tc>
        <w:tc>
          <w:tcPr>
            <w:tcW w:w="951" w:type="pct"/>
            <w:tcBorders>
              <w:top w:val="single" w:sz="4" w:space="0" w:color="auto"/>
              <w:left w:val="single" w:sz="4" w:space="0" w:color="auto"/>
              <w:bottom w:val="single" w:sz="4" w:space="0" w:color="auto"/>
              <w:right w:val="single" w:sz="4" w:space="0" w:color="auto"/>
            </w:tcBorders>
            <w:vAlign w:val="center"/>
          </w:tcPr>
          <w:p w14:paraId="52607EF6" w14:textId="77777777" w:rsidR="003168ED" w:rsidRPr="006A40F2" w:rsidRDefault="003168ED" w:rsidP="005A24F5">
            <w:pPr>
              <w:spacing w:before="60"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 1 января </w:t>
            </w:r>
            <w:r w:rsidRPr="003168ED">
              <w:rPr>
                <w:rFonts w:ascii="Times New Roman" w:eastAsia="Times New Roman" w:hAnsi="Times New Roman" w:cs="Times New Roman"/>
                <w:bCs/>
                <w:sz w:val="24"/>
                <w:szCs w:val="24"/>
                <w:vertAlign w:val="superscript"/>
                <w:lang w:eastAsia="ru-RU"/>
              </w:rPr>
              <w:t>2)</w:t>
            </w:r>
          </w:p>
        </w:tc>
        <w:tc>
          <w:tcPr>
            <w:tcW w:w="951" w:type="pct"/>
            <w:tcBorders>
              <w:top w:val="single" w:sz="4" w:space="0" w:color="auto"/>
              <w:bottom w:val="single" w:sz="4" w:space="0" w:color="auto"/>
              <w:right w:val="single" w:sz="4" w:space="0" w:color="auto"/>
            </w:tcBorders>
            <w:vAlign w:val="center"/>
          </w:tcPr>
          <w:p w14:paraId="5AF39003" w14:textId="77777777" w:rsidR="003168ED" w:rsidRPr="006A40F2" w:rsidRDefault="003168ED" w:rsidP="00D03A4F">
            <w:pPr>
              <w:spacing w:before="60"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 1 июня </w:t>
            </w:r>
            <w:r w:rsidRPr="003168ED">
              <w:rPr>
                <w:rFonts w:ascii="Times New Roman" w:eastAsia="Times New Roman" w:hAnsi="Times New Roman" w:cs="Times New Roman"/>
                <w:bCs/>
                <w:sz w:val="24"/>
                <w:szCs w:val="24"/>
                <w:vertAlign w:val="superscript"/>
                <w:lang w:eastAsia="ru-RU"/>
              </w:rPr>
              <w:t>3)</w:t>
            </w:r>
          </w:p>
        </w:tc>
      </w:tr>
      <w:tr w:rsidR="006A40F2" w:rsidRPr="00BD5A90" w14:paraId="5936B930" w14:textId="77777777" w:rsidTr="003168ED">
        <w:trPr>
          <w:jc w:val="center"/>
        </w:trPr>
        <w:tc>
          <w:tcPr>
            <w:tcW w:w="2146" w:type="pct"/>
            <w:tcBorders>
              <w:top w:val="single" w:sz="4" w:space="0" w:color="auto"/>
              <w:bottom w:val="single" w:sz="4" w:space="0" w:color="auto"/>
              <w:right w:val="single" w:sz="4" w:space="0" w:color="auto"/>
            </w:tcBorders>
            <w:vAlign w:val="center"/>
          </w:tcPr>
          <w:p w14:paraId="1506CF0C" w14:textId="77777777" w:rsidR="006A40F2" w:rsidRPr="006A40F2" w:rsidRDefault="006A40F2" w:rsidP="00D03A4F">
            <w:pPr>
              <w:spacing w:after="0" w:line="240" w:lineRule="auto"/>
              <w:ind w:left="57"/>
              <w:rPr>
                <w:rFonts w:ascii="Times New Roman" w:eastAsia="Times New Roman" w:hAnsi="Times New Roman" w:cs="Times New Roman"/>
                <w:sz w:val="24"/>
                <w:szCs w:val="24"/>
                <w:lang w:eastAsia="ru-RU"/>
              </w:rPr>
            </w:pPr>
            <w:r w:rsidRPr="006A40F2">
              <w:rPr>
                <w:rFonts w:ascii="Times New Roman" w:eastAsia="Times New Roman" w:hAnsi="Times New Roman" w:cs="Times New Roman"/>
                <w:sz w:val="24"/>
                <w:szCs w:val="24"/>
                <w:lang w:eastAsia="ru-RU"/>
              </w:rPr>
              <w:t>Год в целом</w:t>
            </w:r>
          </w:p>
        </w:tc>
        <w:tc>
          <w:tcPr>
            <w:tcW w:w="951" w:type="pct"/>
            <w:tcBorders>
              <w:top w:val="single" w:sz="4" w:space="0" w:color="auto"/>
              <w:bottom w:val="single" w:sz="4" w:space="0" w:color="auto"/>
              <w:right w:val="single" w:sz="4" w:space="0" w:color="auto"/>
            </w:tcBorders>
            <w:vAlign w:val="bottom"/>
          </w:tcPr>
          <w:p w14:paraId="4141B888" w14:textId="77777777" w:rsidR="006A40F2" w:rsidRPr="006A40F2" w:rsidRDefault="003168ED" w:rsidP="005A24F5">
            <w:pPr>
              <w:spacing w:before="60" w:after="0" w:line="240" w:lineRule="auto"/>
              <w:ind w:right="17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11 303</w:t>
            </w:r>
          </w:p>
        </w:tc>
        <w:tc>
          <w:tcPr>
            <w:tcW w:w="951" w:type="pct"/>
            <w:tcBorders>
              <w:top w:val="single" w:sz="4" w:space="0" w:color="auto"/>
              <w:left w:val="single" w:sz="4" w:space="0" w:color="auto"/>
              <w:bottom w:val="single" w:sz="4" w:space="0" w:color="auto"/>
              <w:right w:val="single" w:sz="4" w:space="0" w:color="auto"/>
            </w:tcBorders>
            <w:vAlign w:val="bottom"/>
          </w:tcPr>
          <w:p w14:paraId="11510397" w14:textId="77777777" w:rsidR="006A40F2" w:rsidRPr="006A40F2" w:rsidRDefault="003168ED" w:rsidP="005A24F5">
            <w:pPr>
              <w:spacing w:before="60" w:after="0" w:line="240" w:lineRule="auto"/>
              <w:ind w:right="17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12 274</w:t>
            </w:r>
          </w:p>
        </w:tc>
        <w:tc>
          <w:tcPr>
            <w:tcW w:w="951" w:type="pct"/>
            <w:tcBorders>
              <w:top w:val="single" w:sz="4" w:space="0" w:color="auto"/>
              <w:bottom w:val="single" w:sz="4" w:space="0" w:color="auto"/>
              <w:right w:val="single" w:sz="4" w:space="0" w:color="auto"/>
            </w:tcBorders>
            <w:vAlign w:val="bottom"/>
          </w:tcPr>
          <w:p w14:paraId="6C036496" w14:textId="77777777" w:rsidR="006A40F2" w:rsidRPr="006A40F2" w:rsidRDefault="003168ED" w:rsidP="00D03A4F">
            <w:pPr>
              <w:spacing w:before="60" w:after="0" w:line="240" w:lineRule="auto"/>
              <w:ind w:right="17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13 501</w:t>
            </w:r>
          </w:p>
        </w:tc>
      </w:tr>
    </w:tbl>
    <w:p w14:paraId="236B5974" w14:textId="77777777" w:rsidR="00D03A4F" w:rsidRDefault="00D03A4F" w:rsidP="003168ED">
      <w:pPr>
        <w:spacing w:after="0" w:line="240" w:lineRule="auto"/>
        <w:ind w:firstLine="567"/>
        <w:rPr>
          <w:rFonts w:ascii="Times New Roman" w:eastAsia="Times New Roman" w:hAnsi="Times New Roman" w:cs="Times New Roman"/>
          <w:sz w:val="26"/>
          <w:szCs w:val="26"/>
          <w:highlight w:val="yellow"/>
          <w:lang w:eastAsia="ru-RU"/>
        </w:rPr>
      </w:pPr>
    </w:p>
    <w:p w14:paraId="68538A02" w14:textId="77777777" w:rsidR="003168ED" w:rsidRPr="003168ED" w:rsidRDefault="003168ED" w:rsidP="003168ED">
      <w:pPr>
        <w:spacing w:after="0" w:line="240" w:lineRule="auto"/>
        <w:ind w:firstLine="567"/>
        <w:rPr>
          <w:rFonts w:ascii="Times New Roman" w:eastAsia="Times New Roman" w:hAnsi="Times New Roman" w:cs="Times New Roman"/>
          <w:lang w:eastAsia="ru-RU"/>
        </w:rPr>
      </w:pPr>
      <w:r w:rsidRPr="003168ED">
        <w:rPr>
          <w:rFonts w:ascii="Times New Roman" w:eastAsia="Times New Roman" w:hAnsi="Times New Roman" w:cs="Times New Roman"/>
          <w:lang w:eastAsia="ru-RU"/>
        </w:rPr>
        <w:t>Здесь и далее в таблице 47:</w:t>
      </w:r>
    </w:p>
    <w:p w14:paraId="67E26AE1" w14:textId="77777777" w:rsidR="003168ED" w:rsidRDefault="003168ED" w:rsidP="003168ED">
      <w:pPr>
        <w:spacing w:after="0"/>
        <w:ind w:left="357"/>
        <w:jc w:val="both"/>
        <w:rPr>
          <w:rFonts w:ascii="Times New Roman" w:hAnsi="Times New Roman" w:cs="Times New Roman"/>
          <w:color w:val="000000" w:themeColor="text1"/>
        </w:rPr>
      </w:pPr>
      <w:r w:rsidRPr="003168ED">
        <w:rPr>
          <w:rFonts w:ascii="Times New Roman" w:eastAsia="Times New Roman" w:hAnsi="Times New Roman" w:cs="Times New Roman"/>
          <w:lang w:eastAsia="ru-RU"/>
        </w:rPr>
        <w:t xml:space="preserve">1) С 2021 г. </w:t>
      </w:r>
      <w:r w:rsidRPr="003168ED">
        <w:rPr>
          <w:rFonts w:ascii="Times New Roman" w:hAnsi="Times New Roman" w:cs="Times New Roman"/>
          <w:color w:val="000000" w:themeColor="text1"/>
        </w:rPr>
        <w:t>изменен порядок и периодичность расчета величины прожиточного минимума (далее –  ВПМ) на основании Федеральног</w:t>
      </w:r>
      <w:r>
        <w:rPr>
          <w:rFonts w:ascii="Times New Roman" w:hAnsi="Times New Roman" w:cs="Times New Roman"/>
          <w:color w:val="000000" w:themeColor="text1"/>
        </w:rPr>
        <w:t xml:space="preserve">о закона от 29 декабря 2020 г. </w:t>
      </w:r>
      <w:r w:rsidRPr="003168ED">
        <w:rPr>
          <w:rFonts w:ascii="Times New Roman" w:hAnsi="Times New Roman" w:cs="Times New Roman"/>
          <w:color w:val="000000" w:themeColor="text1"/>
        </w:rPr>
        <w:t xml:space="preserve">№ 473-ФЗ </w:t>
      </w:r>
      <w:r>
        <w:rPr>
          <w:rFonts w:ascii="Times New Roman" w:hAnsi="Times New Roman" w:cs="Times New Roman"/>
          <w:color w:val="000000" w:themeColor="text1"/>
        </w:rPr>
        <w:t>«</w:t>
      </w:r>
      <w:r w:rsidRPr="003168ED">
        <w:rPr>
          <w:rFonts w:ascii="Times New Roman" w:hAnsi="Times New Roman" w:cs="Times New Roman"/>
          <w:color w:val="000000" w:themeColor="text1"/>
        </w:rPr>
        <w:t>О внесении изменений в отдельные законодательные акты Российской Федерации</w:t>
      </w:r>
      <w:r>
        <w:rPr>
          <w:rFonts w:ascii="Times New Roman" w:hAnsi="Times New Roman" w:cs="Times New Roman"/>
          <w:color w:val="000000" w:themeColor="text1"/>
        </w:rPr>
        <w:t>».</w:t>
      </w:r>
    </w:p>
    <w:p w14:paraId="742B391D" w14:textId="77777777" w:rsidR="003168ED" w:rsidRDefault="003168ED" w:rsidP="003168ED">
      <w:pPr>
        <w:spacing w:after="0"/>
        <w:ind w:left="357"/>
        <w:jc w:val="both"/>
        <w:rPr>
          <w:rFonts w:ascii="Times New Roman" w:hAnsi="Times New Roman" w:cs="Times New Roman"/>
          <w:color w:val="000000" w:themeColor="text1"/>
        </w:rPr>
      </w:pPr>
      <w:r>
        <w:rPr>
          <w:rFonts w:ascii="Times New Roman" w:hAnsi="Times New Roman" w:cs="Times New Roman"/>
          <w:color w:val="000000" w:themeColor="text1"/>
        </w:rPr>
        <w:t>2) С 1 января 2022 г. – в соответствии с Федеральным законом от 6 декабря 2021 г. № 390-ФЗ.</w:t>
      </w:r>
    </w:p>
    <w:p w14:paraId="393B05A5" w14:textId="0DA1E5B3" w:rsidR="00C55EF2" w:rsidRDefault="003168ED" w:rsidP="003168ED">
      <w:pPr>
        <w:ind w:left="360"/>
        <w:jc w:val="both"/>
        <w:rPr>
          <w:rFonts w:ascii="Times New Roman" w:hAnsi="Times New Roman" w:cs="Times New Roman"/>
          <w:color w:val="000000" w:themeColor="text1"/>
        </w:rPr>
      </w:pPr>
      <w:r>
        <w:rPr>
          <w:rFonts w:ascii="Times New Roman" w:hAnsi="Times New Roman" w:cs="Times New Roman"/>
          <w:color w:val="000000" w:themeColor="text1"/>
        </w:rPr>
        <w:t>3) С 1 июня 2022 г. – в соответствии с постановлением Правительства Российской Федерации от 28 мая 2022 г. № 973 с учетом индексации ВПМ на 10%, по данным Минтруда России (</w:t>
      </w:r>
      <w:hyperlink r:id="rId43" w:history="1">
        <w:r w:rsidR="00B05FA4" w:rsidRPr="00E63EAA">
          <w:rPr>
            <w:rStyle w:val="af1"/>
            <w:rFonts w:ascii="Times New Roman" w:hAnsi="Times New Roman" w:cs="Times New Roman"/>
          </w:rPr>
          <w:t>https://mintrud.gov.ru/social/social/1269</w:t>
        </w:r>
      </w:hyperlink>
      <w:r w:rsidRPr="003168ED">
        <w:rPr>
          <w:rFonts w:ascii="Times New Roman" w:hAnsi="Times New Roman" w:cs="Times New Roman"/>
          <w:color w:val="000000" w:themeColor="text1"/>
        </w:rPr>
        <w:t>).</w:t>
      </w:r>
    </w:p>
    <w:p w14:paraId="16F5AFA3" w14:textId="77777777" w:rsidR="00C55EF2" w:rsidRDefault="00C55EF2">
      <w:pPr>
        <w:rPr>
          <w:rFonts w:ascii="Times New Roman" w:hAnsi="Times New Roman" w:cs="Times New Roman"/>
          <w:color w:val="000000" w:themeColor="text1"/>
        </w:rPr>
      </w:pPr>
      <w:r>
        <w:rPr>
          <w:rFonts w:ascii="Times New Roman" w:hAnsi="Times New Roman" w:cs="Times New Roman"/>
          <w:color w:val="000000" w:themeColor="text1"/>
        </w:rPr>
        <w:br w:type="page"/>
      </w:r>
    </w:p>
    <w:p w14:paraId="49A812F2" w14:textId="77777777" w:rsidR="00D03A4F" w:rsidRPr="00FA1FC7" w:rsidRDefault="00D03A4F" w:rsidP="00D03A4F">
      <w:pPr>
        <w:spacing w:after="0" w:line="240" w:lineRule="auto"/>
        <w:jc w:val="right"/>
        <w:rPr>
          <w:rFonts w:ascii="Times New Roman" w:eastAsia="Times New Roman" w:hAnsi="Times New Roman" w:cs="Times New Roman"/>
          <w:sz w:val="26"/>
          <w:szCs w:val="26"/>
          <w:lang w:eastAsia="ru-RU"/>
        </w:rPr>
      </w:pPr>
      <w:r w:rsidRPr="00FA1FC7">
        <w:rPr>
          <w:rFonts w:ascii="Times New Roman" w:eastAsia="Times New Roman" w:hAnsi="Times New Roman" w:cs="Times New Roman"/>
          <w:sz w:val="26"/>
          <w:szCs w:val="26"/>
          <w:lang w:eastAsia="ru-RU"/>
        </w:rPr>
        <w:t>Таблица 4</w:t>
      </w:r>
      <w:r w:rsidR="008737BB">
        <w:rPr>
          <w:rFonts w:ascii="Times New Roman" w:eastAsia="Times New Roman" w:hAnsi="Times New Roman" w:cs="Times New Roman"/>
          <w:sz w:val="26"/>
          <w:szCs w:val="26"/>
          <w:lang w:eastAsia="ru-RU"/>
        </w:rPr>
        <w:t>6</w:t>
      </w:r>
    </w:p>
    <w:p w14:paraId="4FEBBC48" w14:textId="77777777" w:rsidR="00D03A4F" w:rsidRPr="00FA1FC7" w:rsidRDefault="00D03A4F" w:rsidP="00D03A4F">
      <w:pPr>
        <w:spacing w:after="0" w:line="240" w:lineRule="auto"/>
        <w:jc w:val="right"/>
        <w:rPr>
          <w:rFonts w:ascii="Times New Roman" w:eastAsia="Times New Roman" w:hAnsi="Times New Roman" w:cs="Times New Roman"/>
          <w:sz w:val="26"/>
          <w:szCs w:val="26"/>
          <w:lang w:eastAsia="ru-RU"/>
        </w:rPr>
      </w:pPr>
    </w:p>
    <w:p w14:paraId="21A3055A" w14:textId="77777777" w:rsidR="00D03A4F" w:rsidRPr="00FA1FC7" w:rsidRDefault="00D03A4F" w:rsidP="00D03A4F">
      <w:pPr>
        <w:spacing w:after="0" w:line="240" w:lineRule="auto"/>
        <w:jc w:val="center"/>
        <w:rPr>
          <w:rFonts w:ascii="Times New Roman" w:eastAsia="Times New Roman" w:hAnsi="Times New Roman" w:cs="Times New Roman"/>
          <w:b/>
          <w:sz w:val="26"/>
          <w:szCs w:val="26"/>
          <w:lang w:eastAsia="ru-RU"/>
        </w:rPr>
      </w:pPr>
      <w:r w:rsidRPr="00FA1FC7">
        <w:rPr>
          <w:rFonts w:ascii="Times New Roman" w:eastAsia="Times New Roman" w:hAnsi="Times New Roman" w:cs="Times New Roman"/>
          <w:b/>
          <w:sz w:val="26"/>
          <w:szCs w:val="26"/>
          <w:lang w:eastAsia="ru-RU"/>
        </w:rPr>
        <w:t xml:space="preserve">Суммарная величина дохода, обеспечивающего </w:t>
      </w:r>
    </w:p>
    <w:p w14:paraId="06111674" w14:textId="77777777" w:rsidR="00D03A4F" w:rsidRPr="00FA1FC7" w:rsidRDefault="00D03A4F" w:rsidP="00D03A4F">
      <w:pPr>
        <w:spacing w:after="0" w:line="240" w:lineRule="auto"/>
        <w:jc w:val="center"/>
        <w:rPr>
          <w:rFonts w:ascii="Times New Roman" w:eastAsia="Times New Roman" w:hAnsi="Times New Roman" w:cs="Times New Roman"/>
          <w:b/>
          <w:sz w:val="26"/>
          <w:szCs w:val="26"/>
          <w:lang w:eastAsia="ru-RU"/>
        </w:rPr>
      </w:pPr>
      <w:r w:rsidRPr="00FA1FC7">
        <w:rPr>
          <w:rFonts w:ascii="Times New Roman" w:eastAsia="Times New Roman" w:hAnsi="Times New Roman" w:cs="Times New Roman"/>
          <w:b/>
          <w:sz w:val="26"/>
          <w:szCs w:val="26"/>
          <w:lang w:eastAsia="ru-RU"/>
        </w:rPr>
        <w:t>прожиточный минимум семьям с детьми</w:t>
      </w:r>
    </w:p>
    <w:p w14:paraId="589721ED" w14:textId="77777777" w:rsidR="00D03A4F" w:rsidRPr="00FA1FC7" w:rsidRDefault="00D03A4F" w:rsidP="00D03A4F">
      <w:pPr>
        <w:spacing w:after="0" w:line="240" w:lineRule="auto"/>
        <w:jc w:val="center"/>
        <w:rPr>
          <w:rFonts w:ascii="Times New Roman" w:eastAsia="Times New Roman" w:hAnsi="Times New Roman" w:cs="Times New Roman"/>
          <w:caps/>
          <w:sz w:val="24"/>
          <w:szCs w:val="24"/>
          <w:lang w:eastAsia="ru-RU"/>
        </w:rPr>
      </w:pPr>
      <w:r w:rsidRPr="00FA1FC7">
        <w:rPr>
          <w:rFonts w:ascii="Times New Roman" w:eastAsia="Times New Roman" w:hAnsi="Times New Roman" w:cs="Times New Roman"/>
          <w:sz w:val="24"/>
          <w:szCs w:val="24"/>
          <w:lang w:eastAsia="ru-RU"/>
        </w:rPr>
        <w:t>(рублей в месяц)</w:t>
      </w:r>
    </w:p>
    <w:p w14:paraId="38FD6D5F" w14:textId="77777777" w:rsidR="00D03A4F" w:rsidRPr="00FA1FC7" w:rsidRDefault="00D03A4F" w:rsidP="00D03A4F">
      <w:pPr>
        <w:spacing w:after="0" w:line="240" w:lineRule="auto"/>
        <w:jc w:val="right"/>
        <w:rPr>
          <w:rFonts w:ascii="Times New Roman" w:eastAsia="Times New Roman" w:hAnsi="Times New Roman" w:cs="Times New Roman"/>
          <w:sz w:val="20"/>
          <w:szCs w:val="20"/>
          <w:lang w:eastAsia="ru-RU"/>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99"/>
        <w:gridCol w:w="1431"/>
        <w:gridCol w:w="1431"/>
        <w:gridCol w:w="1431"/>
      </w:tblGrid>
      <w:tr w:rsidR="009E5990" w:rsidRPr="00FA1FC7" w14:paraId="4B53F147" w14:textId="77777777" w:rsidTr="009E5990">
        <w:trPr>
          <w:trHeight w:val="362"/>
          <w:tblHeader/>
          <w:jc w:val="center"/>
        </w:trPr>
        <w:tc>
          <w:tcPr>
            <w:tcW w:w="2894" w:type="pct"/>
            <w:vMerge w:val="restart"/>
            <w:vAlign w:val="center"/>
          </w:tcPr>
          <w:p w14:paraId="6D599B0B" w14:textId="77777777" w:rsidR="009E5990" w:rsidRPr="00FA1FC7" w:rsidRDefault="009E5990" w:rsidP="00D03A4F">
            <w:pPr>
              <w:spacing w:after="0" w:line="240" w:lineRule="auto"/>
              <w:rPr>
                <w:rFonts w:ascii="Times New Roman" w:eastAsia="Times New Roman" w:hAnsi="Times New Roman" w:cs="Times New Roman"/>
                <w:sz w:val="24"/>
                <w:szCs w:val="24"/>
                <w:lang w:eastAsia="ru-RU"/>
              </w:rPr>
            </w:pPr>
          </w:p>
        </w:tc>
        <w:tc>
          <w:tcPr>
            <w:tcW w:w="702" w:type="pct"/>
            <w:vMerge w:val="restart"/>
            <w:vAlign w:val="center"/>
          </w:tcPr>
          <w:p w14:paraId="219DE46B" w14:textId="77777777" w:rsidR="009E5990" w:rsidRPr="00FA1FC7" w:rsidRDefault="009E5990" w:rsidP="009E59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Pr="00FA1FC7">
              <w:rPr>
                <w:rFonts w:ascii="Times New Roman" w:eastAsia="Times New Roman" w:hAnsi="Times New Roman" w:cs="Times New Roman"/>
                <w:sz w:val="24"/>
                <w:szCs w:val="24"/>
                <w:lang w:eastAsia="ru-RU"/>
              </w:rPr>
              <w:t xml:space="preserve"> г.</w:t>
            </w:r>
          </w:p>
        </w:tc>
        <w:tc>
          <w:tcPr>
            <w:tcW w:w="1404" w:type="pct"/>
            <w:gridSpan w:val="2"/>
            <w:vAlign w:val="center"/>
          </w:tcPr>
          <w:p w14:paraId="4150943E" w14:textId="77777777" w:rsidR="009E5990" w:rsidRPr="00FA1FC7" w:rsidRDefault="009E5990"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2022 г.</w:t>
            </w:r>
          </w:p>
        </w:tc>
      </w:tr>
      <w:tr w:rsidR="009E5990" w:rsidRPr="00FA1FC7" w14:paraId="6C6D78F7" w14:textId="77777777" w:rsidTr="00944CB1">
        <w:trPr>
          <w:trHeight w:val="362"/>
          <w:tblHeader/>
          <w:jc w:val="center"/>
        </w:trPr>
        <w:tc>
          <w:tcPr>
            <w:tcW w:w="2894" w:type="pct"/>
            <w:vMerge/>
            <w:vAlign w:val="center"/>
          </w:tcPr>
          <w:p w14:paraId="6E5C1A11" w14:textId="77777777" w:rsidR="009E5990" w:rsidRPr="00FA1FC7" w:rsidRDefault="009E5990" w:rsidP="00D03A4F">
            <w:pPr>
              <w:spacing w:after="0" w:line="240" w:lineRule="auto"/>
              <w:rPr>
                <w:rFonts w:ascii="Times New Roman" w:eastAsia="Times New Roman" w:hAnsi="Times New Roman" w:cs="Times New Roman"/>
                <w:sz w:val="24"/>
                <w:szCs w:val="24"/>
                <w:lang w:eastAsia="ru-RU"/>
              </w:rPr>
            </w:pPr>
          </w:p>
        </w:tc>
        <w:tc>
          <w:tcPr>
            <w:tcW w:w="702" w:type="pct"/>
            <w:vMerge/>
            <w:vAlign w:val="center"/>
          </w:tcPr>
          <w:p w14:paraId="5E60DFE1" w14:textId="77777777" w:rsidR="009E5990" w:rsidRPr="00FA1FC7" w:rsidRDefault="009E5990" w:rsidP="005A24F5">
            <w:pPr>
              <w:spacing w:after="0" w:line="240" w:lineRule="auto"/>
              <w:jc w:val="center"/>
              <w:rPr>
                <w:rFonts w:ascii="Times New Roman" w:eastAsia="Times New Roman" w:hAnsi="Times New Roman" w:cs="Times New Roman"/>
                <w:sz w:val="24"/>
                <w:szCs w:val="24"/>
                <w:lang w:eastAsia="ru-RU"/>
              </w:rPr>
            </w:pPr>
          </w:p>
        </w:tc>
        <w:tc>
          <w:tcPr>
            <w:tcW w:w="702" w:type="pct"/>
            <w:vAlign w:val="center"/>
          </w:tcPr>
          <w:p w14:paraId="4579B58C" w14:textId="77777777" w:rsidR="009E5990" w:rsidRPr="00FA1FC7" w:rsidRDefault="009E5990" w:rsidP="005A24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1 января</w:t>
            </w:r>
          </w:p>
        </w:tc>
        <w:tc>
          <w:tcPr>
            <w:tcW w:w="702" w:type="pct"/>
            <w:vAlign w:val="center"/>
          </w:tcPr>
          <w:p w14:paraId="69368A88" w14:textId="77777777" w:rsidR="009E5990" w:rsidRPr="00FA1FC7" w:rsidRDefault="009E5990"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1 июня</w:t>
            </w:r>
          </w:p>
        </w:tc>
      </w:tr>
      <w:tr w:rsidR="00FA1FC7" w:rsidRPr="00FA1FC7" w14:paraId="12B43FCA" w14:textId="77777777" w:rsidTr="00944CB1">
        <w:trPr>
          <w:jc w:val="center"/>
        </w:trPr>
        <w:tc>
          <w:tcPr>
            <w:tcW w:w="2894" w:type="pct"/>
            <w:tcBorders>
              <w:bottom w:val="nil"/>
            </w:tcBorders>
            <w:vAlign w:val="bottom"/>
          </w:tcPr>
          <w:p w14:paraId="3EC69BB5" w14:textId="77777777" w:rsidR="00FA1FC7" w:rsidRPr="00FA1FC7" w:rsidRDefault="00FA1FC7" w:rsidP="00D03A4F">
            <w:pPr>
              <w:spacing w:after="0" w:line="240" w:lineRule="auto"/>
              <w:ind w:left="113"/>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Семьи, состоящие из 2 человек:</w:t>
            </w:r>
          </w:p>
        </w:tc>
        <w:tc>
          <w:tcPr>
            <w:tcW w:w="702" w:type="pct"/>
            <w:tcBorders>
              <w:bottom w:val="nil"/>
            </w:tcBorders>
            <w:vAlign w:val="bottom"/>
          </w:tcPr>
          <w:p w14:paraId="645051E2" w14:textId="77777777" w:rsidR="00FA1FC7" w:rsidRPr="00FA1FC7" w:rsidRDefault="00FA1FC7" w:rsidP="00D03A4F">
            <w:pPr>
              <w:spacing w:after="0" w:line="240" w:lineRule="auto"/>
              <w:jc w:val="center"/>
              <w:rPr>
                <w:rFonts w:ascii="Times New Roman" w:eastAsia="Times New Roman" w:hAnsi="Times New Roman" w:cs="Times New Roman"/>
                <w:sz w:val="24"/>
                <w:szCs w:val="24"/>
                <w:lang w:eastAsia="ru-RU"/>
              </w:rPr>
            </w:pPr>
          </w:p>
        </w:tc>
        <w:tc>
          <w:tcPr>
            <w:tcW w:w="702" w:type="pct"/>
            <w:tcBorders>
              <w:bottom w:val="nil"/>
            </w:tcBorders>
            <w:vAlign w:val="bottom"/>
          </w:tcPr>
          <w:p w14:paraId="786230DA" w14:textId="77777777" w:rsidR="00FA1FC7" w:rsidRPr="00FA1FC7" w:rsidRDefault="00FA1FC7" w:rsidP="00D03A4F">
            <w:pPr>
              <w:spacing w:after="0" w:line="240" w:lineRule="auto"/>
              <w:jc w:val="center"/>
              <w:rPr>
                <w:rFonts w:ascii="Times New Roman" w:eastAsia="Times New Roman" w:hAnsi="Times New Roman" w:cs="Times New Roman"/>
                <w:sz w:val="24"/>
                <w:szCs w:val="24"/>
                <w:lang w:eastAsia="ru-RU"/>
              </w:rPr>
            </w:pPr>
          </w:p>
        </w:tc>
        <w:tc>
          <w:tcPr>
            <w:tcW w:w="702" w:type="pct"/>
            <w:tcBorders>
              <w:bottom w:val="nil"/>
            </w:tcBorders>
            <w:vAlign w:val="bottom"/>
          </w:tcPr>
          <w:p w14:paraId="69F90EA8" w14:textId="77777777" w:rsidR="00FA1FC7" w:rsidRPr="00FA1FC7" w:rsidRDefault="00FA1FC7" w:rsidP="00D03A4F">
            <w:pPr>
              <w:spacing w:after="0" w:line="240" w:lineRule="auto"/>
              <w:jc w:val="center"/>
              <w:rPr>
                <w:rFonts w:ascii="Times New Roman" w:eastAsia="Times New Roman" w:hAnsi="Times New Roman" w:cs="Times New Roman"/>
                <w:sz w:val="24"/>
                <w:szCs w:val="24"/>
                <w:lang w:eastAsia="ru-RU"/>
              </w:rPr>
            </w:pPr>
          </w:p>
        </w:tc>
      </w:tr>
      <w:tr w:rsidR="00FA1FC7" w:rsidRPr="00FA1FC7" w14:paraId="7C063DDA" w14:textId="77777777" w:rsidTr="00944CB1">
        <w:trPr>
          <w:jc w:val="center"/>
        </w:trPr>
        <w:tc>
          <w:tcPr>
            <w:tcW w:w="2894" w:type="pct"/>
            <w:tcBorders>
              <w:top w:val="nil"/>
            </w:tcBorders>
            <w:vAlign w:val="bottom"/>
          </w:tcPr>
          <w:p w14:paraId="27FFEC6B" w14:textId="77777777" w:rsidR="00FA1FC7" w:rsidRPr="00FA1FC7" w:rsidRDefault="00FA1FC7" w:rsidP="00D03A4F">
            <w:pPr>
              <w:spacing w:after="0" w:line="240" w:lineRule="auto"/>
              <w:ind w:left="284"/>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1 трудоспособного и 1 ребенка</w:t>
            </w:r>
          </w:p>
        </w:tc>
        <w:tc>
          <w:tcPr>
            <w:tcW w:w="702" w:type="pct"/>
            <w:tcBorders>
              <w:top w:val="nil"/>
            </w:tcBorders>
            <w:vAlign w:val="bottom"/>
          </w:tcPr>
          <w:p w14:paraId="201D9C04" w14:textId="77777777" w:rsidR="00FA1FC7" w:rsidRPr="00FA1FC7" w:rsidRDefault="00947D8F" w:rsidP="005A24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24 005</w:t>
            </w:r>
          </w:p>
        </w:tc>
        <w:tc>
          <w:tcPr>
            <w:tcW w:w="702" w:type="pct"/>
            <w:tcBorders>
              <w:top w:val="nil"/>
            </w:tcBorders>
            <w:vAlign w:val="bottom"/>
          </w:tcPr>
          <w:p w14:paraId="2AF70272" w14:textId="77777777" w:rsidR="00FA1FC7" w:rsidRPr="00FA1FC7" w:rsidRDefault="00947D8F" w:rsidP="005A24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26 067</w:t>
            </w:r>
          </w:p>
        </w:tc>
        <w:tc>
          <w:tcPr>
            <w:tcW w:w="702" w:type="pct"/>
            <w:tcBorders>
              <w:top w:val="nil"/>
            </w:tcBorders>
            <w:vAlign w:val="bottom"/>
          </w:tcPr>
          <w:p w14:paraId="6125A3B5" w14:textId="77777777" w:rsidR="00FA1FC7" w:rsidRPr="00FA1FC7" w:rsidRDefault="00947D8F"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28 673</w:t>
            </w:r>
          </w:p>
        </w:tc>
      </w:tr>
      <w:tr w:rsidR="00FA1FC7" w:rsidRPr="00FA1FC7" w14:paraId="6C17245D" w14:textId="77777777" w:rsidTr="00944CB1">
        <w:trPr>
          <w:jc w:val="center"/>
        </w:trPr>
        <w:tc>
          <w:tcPr>
            <w:tcW w:w="2894" w:type="pct"/>
            <w:tcBorders>
              <w:bottom w:val="nil"/>
            </w:tcBorders>
            <w:vAlign w:val="bottom"/>
          </w:tcPr>
          <w:p w14:paraId="167FD201" w14:textId="77777777" w:rsidR="00FA1FC7" w:rsidRPr="00FA1FC7" w:rsidRDefault="00FA1FC7" w:rsidP="00D03A4F">
            <w:pPr>
              <w:spacing w:after="0" w:line="240" w:lineRule="auto"/>
              <w:ind w:left="113"/>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Семьи, состоящие из 3 человек:</w:t>
            </w:r>
          </w:p>
        </w:tc>
        <w:tc>
          <w:tcPr>
            <w:tcW w:w="702" w:type="pct"/>
            <w:tcBorders>
              <w:bottom w:val="nil"/>
            </w:tcBorders>
            <w:vAlign w:val="bottom"/>
          </w:tcPr>
          <w:p w14:paraId="40A822F1" w14:textId="77777777"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p>
        </w:tc>
        <w:tc>
          <w:tcPr>
            <w:tcW w:w="702" w:type="pct"/>
            <w:tcBorders>
              <w:bottom w:val="nil"/>
            </w:tcBorders>
            <w:vAlign w:val="bottom"/>
          </w:tcPr>
          <w:p w14:paraId="0D514255" w14:textId="77777777"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p>
        </w:tc>
        <w:tc>
          <w:tcPr>
            <w:tcW w:w="702" w:type="pct"/>
            <w:tcBorders>
              <w:bottom w:val="nil"/>
            </w:tcBorders>
            <w:vAlign w:val="bottom"/>
          </w:tcPr>
          <w:p w14:paraId="016A7500" w14:textId="77777777" w:rsidR="00FA1FC7" w:rsidRPr="00FA1FC7" w:rsidRDefault="00FA1FC7" w:rsidP="00D03A4F">
            <w:pPr>
              <w:spacing w:after="0" w:line="240" w:lineRule="auto"/>
              <w:jc w:val="center"/>
              <w:rPr>
                <w:rFonts w:ascii="Times New Roman" w:eastAsia="Times New Roman" w:hAnsi="Times New Roman" w:cs="Times New Roman"/>
                <w:sz w:val="24"/>
                <w:szCs w:val="24"/>
                <w:lang w:eastAsia="ru-RU"/>
              </w:rPr>
            </w:pPr>
          </w:p>
        </w:tc>
      </w:tr>
      <w:tr w:rsidR="00FA1FC7" w:rsidRPr="00FA1FC7" w14:paraId="4F9F807E" w14:textId="77777777" w:rsidTr="00944CB1">
        <w:trPr>
          <w:jc w:val="center"/>
        </w:trPr>
        <w:tc>
          <w:tcPr>
            <w:tcW w:w="2894" w:type="pct"/>
            <w:tcBorders>
              <w:top w:val="nil"/>
            </w:tcBorders>
            <w:vAlign w:val="bottom"/>
          </w:tcPr>
          <w:p w14:paraId="4EDAF9CC" w14:textId="77777777" w:rsidR="00FA1FC7" w:rsidRPr="00FA1FC7" w:rsidRDefault="00FA1FC7" w:rsidP="00D03A4F">
            <w:pPr>
              <w:spacing w:after="0" w:line="240" w:lineRule="auto"/>
              <w:ind w:left="284"/>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2 трудоспособных и 1 ребенка</w:t>
            </w:r>
          </w:p>
        </w:tc>
        <w:tc>
          <w:tcPr>
            <w:tcW w:w="702" w:type="pct"/>
            <w:tcBorders>
              <w:top w:val="nil"/>
            </w:tcBorders>
            <w:vAlign w:val="bottom"/>
          </w:tcPr>
          <w:p w14:paraId="41ADEFC9" w14:textId="77777777" w:rsidR="00FA1FC7" w:rsidRPr="00FA1FC7" w:rsidRDefault="00947D8F" w:rsidP="005A24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36 707</w:t>
            </w:r>
          </w:p>
        </w:tc>
        <w:tc>
          <w:tcPr>
            <w:tcW w:w="702" w:type="pct"/>
            <w:tcBorders>
              <w:top w:val="nil"/>
            </w:tcBorders>
            <w:vAlign w:val="bottom"/>
          </w:tcPr>
          <w:p w14:paraId="48D4C258" w14:textId="77777777" w:rsidR="00FA1FC7" w:rsidRPr="00FA1FC7" w:rsidRDefault="00947D8F" w:rsidP="005A24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39 860</w:t>
            </w:r>
          </w:p>
        </w:tc>
        <w:tc>
          <w:tcPr>
            <w:tcW w:w="702" w:type="pct"/>
            <w:tcBorders>
              <w:top w:val="nil"/>
            </w:tcBorders>
            <w:vAlign w:val="bottom"/>
          </w:tcPr>
          <w:p w14:paraId="25307905" w14:textId="77777777" w:rsidR="00FA1FC7" w:rsidRPr="00FA1FC7" w:rsidRDefault="00947D8F"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43 845</w:t>
            </w:r>
          </w:p>
        </w:tc>
      </w:tr>
      <w:tr w:rsidR="00FA1FC7" w:rsidRPr="00FA1FC7" w14:paraId="6B89E116" w14:textId="77777777" w:rsidTr="00944CB1">
        <w:trPr>
          <w:jc w:val="center"/>
        </w:trPr>
        <w:tc>
          <w:tcPr>
            <w:tcW w:w="2894" w:type="pct"/>
            <w:vAlign w:val="bottom"/>
          </w:tcPr>
          <w:p w14:paraId="35114D26" w14:textId="77777777" w:rsidR="00FA1FC7" w:rsidRPr="00FA1FC7" w:rsidRDefault="00FA1FC7" w:rsidP="00D03A4F">
            <w:pPr>
              <w:spacing w:after="0" w:line="240" w:lineRule="auto"/>
              <w:ind w:left="284"/>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1 трудоспособного и 2 детей</w:t>
            </w:r>
          </w:p>
        </w:tc>
        <w:tc>
          <w:tcPr>
            <w:tcW w:w="702" w:type="pct"/>
            <w:vAlign w:val="bottom"/>
          </w:tcPr>
          <w:p w14:paraId="73C96971" w14:textId="77777777" w:rsidR="00FA1FC7" w:rsidRPr="00FA1FC7" w:rsidRDefault="00947D8F" w:rsidP="005A24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35 808</w:t>
            </w:r>
          </w:p>
        </w:tc>
        <w:tc>
          <w:tcPr>
            <w:tcW w:w="702" w:type="pct"/>
            <w:vAlign w:val="bottom"/>
          </w:tcPr>
          <w:p w14:paraId="10DF0E90" w14:textId="77777777" w:rsidR="00FA1FC7" w:rsidRPr="00FA1FC7" w:rsidRDefault="00947D8F" w:rsidP="005A24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38 341</w:t>
            </w:r>
          </w:p>
        </w:tc>
        <w:tc>
          <w:tcPr>
            <w:tcW w:w="702" w:type="pct"/>
            <w:vAlign w:val="bottom"/>
          </w:tcPr>
          <w:p w14:paraId="583E5D30" w14:textId="77777777" w:rsidR="00FA1FC7" w:rsidRPr="00FA1FC7" w:rsidRDefault="00947D8F"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42 174</w:t>
            </w:r>
          </w:p>
        </w:tc>
      </w:tr>
      <w:tr w:rsidR="00FA1FC7" w:rsidRPr="00FA1FC7" w14:paraId="52B69FF0" w14:textId="77777777" w:rsidTr="00944CB1">
        <w:trPr>
          <w:jc w:val="center"/>
        </w:trPr>
        <w:tc>
          <w:tcPr>
            <w:tcW w:w="2894" w:type="pct"/>
            <w:tcBorders>
              <w:bottom w:val="nil"/>
            </w:tcBorders>
            <w:vAlign w:val="bottom"/>
          </w:tcPr>
          <w:p w14:paraId="238D035A" w14:textId="77777777" w:rsidR="00FA1FC7" w:rsidRPr="00FA1FC7" w:rsidRDefault="00FA1FC7" w:rsidP="00D03A4F">
            <w:pPr>
              <w:spacing w:after="0" w:line="240" w:lineRule="auto"/>
              <w:ind w:left="113"/>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Семьи, состоящие из 4 человек:</w:t>
            </w:r>
          </w:p>
        </w:tc>
        <w:tc>
          <w:tcPr>
            <w:tcW w:w="702" w:type="pct"/>
            <w:tcBorders>
              <w:bottom w:val="nil"/>
            </w:tcBorders>
            <w:vAlign w:val="bottom"/>
          </w:tcPr>
          <w:p w14:paraId="73C65EFF" w14:textId="77777777"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p>
        </w:tc>
        <w:tc>
          <w:tcPr>
            <w:tcW w:w="702" w:type="pct"/>
            <w:tcBorders>
              <w:bottom w:val="nil"/>
            </w:tcBorders>
            <w:vAlign w:val="bottom"/>
          </w:tcPr>
          <w:p w14:paraId="1C374B88" w14:textId="77777777" w:rsidR="00FA1FC7" w:rsidRPr="00FA1FC7" w:rsidRDefault="00FA1FC7" w:rsidP="005A24F5">
            <w:pPr>
              <w:spacing w:after="0" w:line="240" w:lineRule="auto"/>
              <w:jc w:val="center"/>
              <w:rPr>
                <w:rFonts w:ascii="Times New Roman" w:eastAsia="Times New Roman" w:hAnsi="Times New Roman" w:cs="Times New Roman"/>
                <w:sz w:val="24"/>
                <w:szCs w:val="24"/>
                <w:lang w:eastAsia="ru-RU"/>
              </w:rPr>
            </w:pPr>
          </w:p>
        </w:tc>
        <w:tc>
          <w:tcPr>
            <w:tcW w:w="702" w:type="pct"/>
            <w:tcBorders>
              <w:bottom w:val="nil"/>
            </w:tcBorders>
            <w:vAlign w:val="bottom"/>
          </w:tcPr>
          <w:p w14:paraId="105973A8" w14:textId="77777777" w:rsidR="00FA1FC7" w:rsidRPr="00FA1FC7" w:rsidRDefault="00FA1FC7" w:rsidP="00D03A4F">
            <w:pPr>
              <w:spacing w:after="0" w:line="240" w:lineRule="auto"/>
              <w:jc w:val="center"/>
              <w:rPr>
                <w:rFonts w:ascii="Times New Roman" w:eastAsia="Times New Roman" w:hAnsi="Times New Roman" w:cs="Times New Roman"/>
                <w:sz w:val="24"/>
                <w:szCs w:val="24"/>
                <w:lang w:eastAsia="ru-RU"/>
              </w:rPr>
            </w:pPr>
          </w:p>
        </w:tc>
      </w:tr>
      <w:tr w:rsidR="00FA1FC7" w:rsidRPr="00FA1FC7" w14:paraId="5F7C1ACE" w14:textId="77777777" w:rsidTr="00944CB1">
        <w:trPr>
          <w:jc w:val="center"/>
        </w:trPr>
        <w:tc>
          <w:tcPr>
            <w:tcW w:w="2894" w:type="pct"/>
            <w:tcBorders>
              <w:top w:val="nil"/>
            </w:tcBorders>
            <w:vAlign w:val="bottom"/>
          </w:tcPr>
          <w:p w14:paraId="4322A4F6" w14:textId="77777777" w:rsidR="00FA1FC7" w:rsidRPr="00FA1FC7" w:rsidRDefault="00FA1FC7" w:rsidP="00D03A4F">
            <w:pPr>
              <w:spacing w:after="0" w:line="240" w:lineRule="auto"/>
              <w:ind w:left="284"/>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2 трудоспособных и 2 детей</w:t>
            </w:r>
          </w:p>
        </w:tc>
        <w:tc>
          <w:tcPr>
            <w:tcW w:w="702" w:type="pct"/>
            <w:tcBorders>
              <w:top w:val="nil"/>
            </w:tcBorders>
            <w:vAlign w:val="bottom"/>
          </w:tcPr>
          <w:p w14:paraId="231F44FD" w14:textId="77777777" w:rsidR="00FA1FC7" w:rsidRPr="00FA1FC7" w:rsidRDefault="00947D8F" w:rsidP="005A24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48 010</w:t>
            </w:r>
          </w:p>
        </w:tc>
        <w:tc>
          <w:tcPr>
            <w:tcW w:w="702" w:type="pct"/>
            <w:tcBorders>
              <w:top w:val="nil"/>
            </w:tcBorders>
            <w:vAlign w:val="bottom"/>
          </w:tcPr>
          <w:p w14:paraId="01A66CAA" w14:textId="77777777" w:rsidR="00FA1FC7" w:rsidRPr="00FA1FC7" w:rsidRDefault="00947D8F" w:rsidP="005A24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52 134</w:t>
            </w:r>
          </w:p>
        </w:tc>
        <w:tc>
          <w:tcPr>
            <w:tcW w:w="702" w:type="pct"/>
            <w:tcBorders>
              <w:top w:val="nil"/>
            </w:tcBorders>
            <w:vAlign w:val="bottom"/>
          </w:tcPr>
          <w:p w14:paraId="68A3658F" w14:textId="77777777" w:rsidR="00FA1FC7" w:rsidRPr="00FA1FC7" w:rsidRDefault="00947D8F"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57 346</w:t>
            </w:r>
          </w:p>
        </w:tc>
      </w:tr>
      <w:tr w:rsidR="00FA1FC7" w:rsidRPr="00BD5A90" w14:paraId="0C9FDEDE" w14:textId="77777777" w:rsidTr="00944CB1">
        <w:trPr>
          <w:jc w:val="center"/>
        </w:trPr>
        <w:tc>
          <w:tcPr>
            <w:tcW w:w="2894" w:type="pct"/>
            <w:vAlign w:val="bottom"/>
          </w:tcPr>
          <w:p w14:paraId="371D3FCE" w14:textId="77777777" w:rsidR="00FA1FC7" w:rsidRPr="00FA1FC7" w:rsidRDefault="00FA1FC7" w:rsidP="00D03A4F">
            <w:pPr>
              <w:spacing w:after="0" w:line="240" w:lineRule="auto"/>
              <w:ind w:left="284"/>
              <w:rPr>
                <w:rFonts w:ascii="Times New Roman" w:eastAsia="Times New Roman" w:hAnsi="Times New Roman" w:cs="Times New Roman"/>
                <w:sz w:val="24"/>
                <w:szCs w:val="24"/>
                <w:lang w:eastAsia="ru-RU"/>
              </w:rPr>
            </w:pPr>
            <w:r w:rsidRPr="00FA1FC7">
              <w:rPr>
                <w:rFonts w:ascii="Times New Roman" w:eastAsia="Times New Roman" w:hAnsi="Times New Roman" w:cs="Times New Roman"/>
                <w:sz w:val="24"/>
                <w:szCs w:val="24"/>
                <w:lang w:eastAsia="ru-RU"/>
              </w:rPr>
              <w:t>1 трудоспособного и 3 детей</w:t>
            </w:r>
          </w:p>
        </w:tc>
        <w:tc>
          <w:tcPr>
            <w:tcW w:w="702" w:type="pct"/>
            <w:vAlign w:val="bottom"/>
          </w:tcPr>
          <w:p w14:paraId="78259C0C" w14:textId="77777777" w:rsidR="00FA1FC7" w:rsidRPr="00FA1FC7" w:rsidRDefault="00947D8F" w:rsidP="005A24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46 611</w:t>
            </w:r>
          </w:p>
        </w:tc>
        <w:tc>
          <w:tcPr>
            <w:tcW w:w="702" w:type="pct"/>
            <w:vAlign w:val="bottom"/>
          </w:tcPr>
          <w:p w14:paraId="55E06CDF" w14:textId="77777777" w:rsidR="00FA1FC7" w:rsidRPr="00FA1FC7" w:rsidRDefault="00947D8F" w:rsidP="005A24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50 615</w:t>
            </w:r>
          </w:p>
        </w:tc>
        <w:tc>
          <w:tcPr>
            <w:tcW w:w="702" w:type="pct"/>
            <w:vAlign w:val="bottom"/>
          </w:tcPr>
          <w:p w14:paraId="1DBD923D" w14:textId="77777777" w:rsidR="00FA1FC7" w:rsidRPr="00FA1FC7" w:rsidRDefault="00947D8F"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55 675</w:t>
            </w:r>
          </w:p>
        </w:tc>
      </w:tr>
    </w:tbl>
    <w:p w14:paraId="6C35A0AB" w14:textId="77777777"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14:paraId="6061BEE6" w14:textId="77777777"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14:paraId="20E56449" w14:textId="77777777" w:rsidR="00D03A4F" w:rsidRPr="00011CE3" w:rsidRDefault="00D03A4F" w:rsidP="00D03A4F">
      <w:pPr>
        <w:spacing w:after="0" w:line="240" w:lineRule="auto"/>
        <w:jc w:val="right"/>
        <w:rPr>
          <w:rFonts w:ascii="Times New Roman" w:eastAsia="Times New Roman" w:hAnsi="Times New Roman" w:cs="Times New Roman"/>
          <w:sz w:val="26"/>
          <w:szCs w:val="26"/>
          <w:lang w:eastAsia="ru-RU"/>
        </w:rPr>
      </w:pPr>
      <w:r w:rsidRPr="00011CE3">
        <w:rPr>
          <w:rFonts w:ascii="Times New Roman" w:eastAsia="Times New Roman" w:hAnsi="Times New Roman" w:cs="Times New Roman"/>
          <w:sz w:val="26"/>
          <w:szCs w:val="26"/>
          <w:lang w:eastAsia="ru-RU"/>
        </w:rPr>
        <w:t>Таблица 4</w:t>
      </w:r>
      <w:r w:rsidR="008737BB">
        <w:rPr>
          <w:rFonts w:ascii="Times New Roman" w:eastAsia="Times New Roman" w:hAnsi="Times New Roman" w:cs="Times New Roman"/>
          <w:sz w:val="26"/>
          <w:szCs w:val="26"/>
          <w:lang w:eastAsia="ru-RU"/>
        </w:rPr>
        <w:t>7</w:t>
      </w:r>
    </w:p>
    <w:p w14:paraId="1B44F91F" w14:textId="77777777" w:rsidR="00D03A4F" w:rsidRPr="00011CE3" w:rsidRDefault="00D03A4F" w:rsidP="00D03A4F">
      <w:pPr>
        <w:spacing w:after="0" w:line="240" w:lineRule="auto"/>
        <w:jc w:val="right"/>
        <w:rPr>
          <w:rFonts w:ascii="Times New Roman" w:eastAsia="Times New Roman" w:hAnsi="Times New Roman" w:cs="Times New Roman"/>
          <w:sz w:val="26"/>
          <w:szCs w:val="26"/>
          <w:lang w:eastAsia="ru-RU"/>
        </w:rPr>
      </w:pPr>
    </w:p>
    <w:p w14:paraId="4015E15E" w14:textId="77777777" w:rsidR="00D03A4F" w:rsidRPr="00011CE3" w:rsidRDefault="00D03A4F" w:rsidP="00D03A4F">
      <w:pPr>
        <w:spacing w:after="0" w:line="240" w:lineRule="auto"/>
        <w:jc w:val="center"/>
        <w:rPr>
          <w:rFonts w:ascii="Times New Roman" w:eastAsia="Times New Roman" w:hAnsi="Times New Roman" w:cs="Times New Roman"/>
          <w:b/>
          <w:sz w:val="26"/>
          <w:szCs w:val="26"/>
          <w:lang w:eastAsia="ru-RU"/>
        </w:rPr>
      </w:pPr>
      <w:r w:rsidRPr="00011CE3">
        <w:rPr>
          <w:rFonts w:ascii="Times New Roman" w:eastAsia="Times New Roman" w:hAnsi="Times New Roman" w:cs="Times New Roman"/>
          <w:b/>
          <w:sz w:val="26"/>
          <w:szCs w:val="26"/>
          <w:lang w:eastAsia="ru-RU"/>
        </w:rPr>
        <w:t>Получатели пособия на детей</w:t>
      </w:r>
    </w:p>
    <w:p w14:paraId="2273BB73" w14:textId="77777777" w:rsidR="00D03A4F" w:rsidRPr="00011CE3" w:rsidRDefault="00D03A4F" w:rsidP="00D03A4F">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bCs/>
          <w:iCs/>
          <w:sz w:val="24"/>
          <w:szCs w:val="24"/>
          <w:lang w:eastAsia="ru-RU"/>
        </w:rPr>
        <w:t>(по данным Минтруда России; на конец года, тыс. человек</w:t>
      </w:r>
      <w:r w:rsidRPr="00011CE3">
        <w:rPr>
          <w:rFonts w:ascii="Times New Roman" w:eastAsia="Times New Roman" w:hAnsi="Times New Roman" w:cs="Times New Roman"/>
          <w:sz w:val="24"/>
          <w:szCs w:val="24"/>
          <w:lang w:eastAsia="ru-RU"/>
        </w:rPr>
        <w:t>)</w:t>
      </w:r>
    </w:p>
    <w:p w14:paraId="4CEAFE9F" w14:textId="77777777" w:rsidR="00D03A4F" w:rsidRPr="00011CE3" w:rsidRDefault="00D03A4F" w:rsidP="00D03A4F">
      <w:pPr>
        <w:spacing w:after="0" w:line="240" w:lineRule="auto"/>
        <w:ind w:right="139"/>
        <w:jc w:val="right"/>
        <w:rPr>
          <w:rFonts w:ascii="Times New Roman" w:eastAsia="Times New Roman" w:hAnsi="Times New Roman" w:cs="Times New Roman"/>
          <w:sz w:val="20"/>
          <w:szCs w:val="20"/>
          <w:lang w:eastAsia="ru-RU"/>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30"/>
        <w:gridCol w:w="1256"/>
        <w:gridCol w:w="1256"/>
        <w:gridCol w:w="1256"/>
      </w:tblGrid>
      <w:tr w:rsidR="00FB1B52" w:rsidRPr="00011CE3" w14:paraId="3A08C4A7" w14:textId="77777777" w:rsidTr="00FB1B52">
        <w:trPr>
          <w:trHeight w:val="278"/>
          <w:tblHeader/>
          <w:jc w:val="center"/>
        </w:trPr>
        <w:tc>
          <w:tcPr>
            <w:tcW w:w="3152" w:type="pct"/>
            <w:vAlign w:val="center"/>
          </w:tcPr>
          <w:p w14:paraId="6E36FD6A"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p>
        </w:tc>
        <w:tc>
          <w:tcPr>
            <w:tcW w:w="616" w:type="pct"/>
            <w:vAlign w:val="center"/>
          </w:tcPr>
          <w:p w14:paraId="4EA4BBAD"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2019 г.</w:t>
            </w:r>
          </w:p>
        </w:tc>
        <w:tc>
          <w:tcPr>
            <w:tcW w:w="616" w:type="pct"/>
          </w:tcPr>
          <w:p w14:paraId="20C0B28B"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2020 г.</w:t>
            </w:r>
          </w:p>
        </w:tc>
        <w:tc>
          <w:tcPr>
            <w:tcW w:w="616" w:type="pct"/>
            <w:vAlign w:val="center"/>
          </w:tcPr>
          <w:p w14:paraId="1B8E380B"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w:t>
            </w:r>
          </w:p>
        </w:tc>
      </w:tr>
      <w:tr w:rsidR="00FB1B52" w:rsidRPr="00011CE3" w14:paraId="27846FF8" w14:textId="77777777" w:rsidTr="00FB1B52">
        <w:trPr>
          <w:jc w:val="center"/>
        </w:trPr>
        <w:tc>
          <w:tcPr>
            <w:tcW w:w="3152" w:type="pct"/>
            <w:vAlign w:val="bottom"/>
          </w:tcPr>
          <w:p w14:paraId="7D6D1F85" w14:textId="77777777" w:rsidR="00FB1B52" w:rsidRPr="00011CE3" w:rsidRDefault="00FB1B52" w:rsidP="00FB1B52">
            <w:pPr>
              <w:spacing w:after="0" w:line="240" w:lineRule="auto"/>
              <w:ind w:left="57"/>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Численность получателей пособия</w:t>
            </w:r>
          </w:p>
        </w:tc>
        <w:tc>
          <w:tcPr>
            <w:tcW w:w="616" w:type="pct"/>
            <w:vAlign w:val="bottom"/>
          </w:tcPr>
          <w:p w14:paraId="5E5F1DE3" w14:textId="77777777" w:rsidR="00FB1B52" w:rsidRPr="00011CE3" w:rsidRDefault="00FB1B52" w:rsidP="00FB1B52">
            <w:pPr>
              <w:spacing w:before="120" w:after="0" w:line="240" w:lineRule="auto"/>
              <w:jc w:val="center"/>
              <w:rPr>
                <w:rFonts w:ascii="Times New Roman" w:eastAsia="Times New Roman" w:hAnsi="Times New Roman" w:cs="Times New Roman"/>
                <w:b/>
                <w:sz w:val="24"/>
                <w:szCs w:val="24"/>
                <w:lang w:eastAsia="ru-RU"/>
              </w:rPr>
            </w:pPr>
            <w:r w:rsidRPr="00011CE3">
              <w:rPr>
                <w:rFonts w:ascii="Times New Roman" w:eastAsia="Times New Roman" w:hAnsi="Times New Roman" w:cs="Times New Roman"/>
                <w:b/>
                <w:sz w:val="24"/>
                <w:szCs w:val="24"/>
                <w:lang w:eastAsia="ru-RU"/>
              </w:rPr>
              <w:t>3 632</w:t>
            </w:r>
          </w:p>
        </w:tc>
        <w:tc>
          <w:tcPr>
            <w:tcW w:w="616" w:type="pct"/>
          </w:tcPr>
          <w:p w14:paraId="020A6EF3" w14:textId="77777777" w:rsidR="00FB1B52" w:rsidRPr="00011CE3" w:rsidRDefault="00FB1B52" w:rsidP="00FB1B52">
            <w:pPr>
              <w:spacing w:before="120" w:after="0" w:line="240" w:lineRule="auto"/>
              <w:jc w:val="center"/>
              <w:rPr>
                <w:rFonts w:ascii="Times New Roman" w:eastAsia="Times New Roman" w:hAnsi="Times New Roman" w:cs="Times New Roman"/>
                <w:b/>
                <w:sz w:val="24"/>
                <w:szCs w:val="24"/>
                <w:lang w:eastAsia="ru-RU"/>
              </w:rPr>
            </w:pPr>
            <w:r w:rsidRPr="00011CE3">
              <w:rPr>
                <w:rFonts w:ascii="Times New Roman" w:eastAsia="Times New Roman" w:hAnsi="Times New Roman" w:cs="Times New Roman"/>
                <w:b/>
                <w:sz w:val="24"/>
                <w:szCs w:val="24"/>
                <w:lang w:eastAsia="ru-RU"/>
              </w:rPr>
              <w:t>4 060</w:t>
            </w:r>
          </w:p>
        </w:tc>
        <w:tc>
          <w:tcPr>
            <w:tcW w:w="616" w:type="pct"/>
            <w:vAlign w:val="bottom"/>
          </w:tcPr>
          <w:p w14:paraId="654F1FD1" w14:textId="77777777" w:rsidR="00FB1B52" w:rsidRPr="00011CE3" w:rsidRDefault="00FB1B52" w:rsidP="00FB1B52">
            <w:pPr>
              <w:spacing w:before="120"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3 600</w:t>
            </w:r>
          </w:p>
        </w:tc>
      </w:tr>
      <w:tr w:rsidR="00FB1B52" w:rsidRPr="00011CE3" w14:paraId="64F596EC" w14:textId="77777777" w:rsidTr="00FB1B52">
        <w:trPr>
          <w:jc w:val="center"/>
        </w:trPr>
        <w:tc>
          <w:tcPr>
            <w:tcW w:w="3152" w:type="pct"/>
            <w:vAlign w:val="bottom"/>
          </w:tcPr>
          <w:p w14:paraId="1EC83BD0" w14:textId="77777777" w:rsidR="00FB1B52" w:rsidRPr="00011CE3" w:rsidRDefault="00FB1B52" w:rsidP="00FB1B52">
            <w:pPr>
              <w:spacing w:before="60" w:after="0" w:line="240" w:lineRule="auto"/>
              <w:ind w:left="170"/>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из них получатели пособия на детей:</w:t>
            </w:r>
          </w:p>
          <w:p w14:paraId="02AB4F51" w14:textId="77777777" w:rsidR="00FB1B52" w:rsidRPr="00011CE3" w:rsidRDefault="00FB1B52" w:rsidP="00FB1B52">
            <w:pPr>
              <w:spacing w:before="60" w:after="0" w:line="240" w:lineRule="auto"/>
              <w:ind w:left="284"/>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одиноких матерей</w:t>
            </w:r>
          </w:p>
        </w:tc>
        <w:tc>
          <w:tcPr>
            <w:tcW w:w="616" w:type="pct"/>
            <w:vAlign w:val="bottom"/>
          </w:tcPr>
          <w:p w14:paraId="010E851C"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781</w:t>
            </w:r>
          </w:p>
        </w:tc>
        <w:tc>
          <w:tcPr>
            <w:tcW w:w="616" w:type="pct"/>
            <w:vAlign w:val="bottom"/>
          </w:tcPr>
          <w:p w14:paraId="25153CDF"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840</w:t>
            </w:r>
          </w:p>
        </w:tc>
        <w:tc>
          <w:tcPr>
            <w:tcW w:w="616" w:type="pct"/>
            <w:vAlign w:val="bottom"/>
          </w:tcPr>
          <w:p w14:paraId="3ACCFC3E"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755</w:t>
            </w:r>
          </w:p>
        </w:tc>
      </w:tr>
      <w:tr w:rsidR="00FB1B52" w:rsidRPr="00011CE3" w14:paraId="379C60AF" w14:textId="77777777" w:rsidTr="00FB1B52">
        <w:trPr>
          <w:jc w:val="center"/>
        </w:trPr>
        <w:tc>
          <w:tcPr>
            <w:tcW w:w="3152" w:type="pct"/>
            <w:vAlign w:val="bottom"/>
          </w:tcPr>
          <w:p w14:paraId="3CABCD54" w14:textId="77777777" w:rsidR="00FB1B52" w:rsidRPr="00011CE3" w:rsidRDefault="00FB1B52" w:rsidP="00FB1B52">
            <w:pPr>
              <w:spacing w:before="60" w:after="0" w:line="240" w:lineRule="auto"/>
              <w:ind w:left="284"/>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военнослужащих по призыву</w:t>
            </w:r>
          </w:p>
        </w:tc>
        <w:tc>
          <w:tcPr>
            <w:tcW w:w="616" w:type="pct"/>
            <w:vAlign w:val="bottom"/>
          </w:tcPr>
          <w:p w14:paraId="25F0D114"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1,0</w:t>
            </w:r>
          </w:p>
        </w:tc>
        <w:tc>
          <w:tcPr>
            <w:tcW w:w="616" w:type="pct"/>
            <w:vAlign w:val="bottom"/>
          </w:tcPr>
          <w:p w14:paraId="2291C3A2"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0,9</w:t>
            </w:r>
          </w:p>
        </w:tc>
        <w:tc>
          <w:tcPr>
            <w:tcW w:w="616" w:type="pct"/>
            <w:vAlign w:val="bottom"/>
          </w:tcPr>
          <w:p w14:paraId="4D0AEFBF"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r>
      <w:tr w:rsidR="00FB1B52" w:rsidRPr="00011CE3" w14:paraId="5F855807" w14:textId="77777777" w:rsidTr="00FB1B52">
        <w:trPr>
          <w:jc w:val="center"/>
        </w:trPr>
        <w:tc>
          <w:tcPr>
            <w:tcW w:w="3152" w:type="pct"/>
            <w:vAlign w:val="bottom"/>
          </w:tcPr>
          <w:p w14:paraId="0535DB71" w14:textId="77777777" w:rsidR="00FB1B52" w:rsidRPr="00011CE3" w:rsidRDefault="00FB1B52" w:rsidP="00FB1B52">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родителей, уклоняющихся от уплаты алиментов</w:t>
            </w:r>
          </w:p>
        </w:tc>
        <w:tc>
          <w:tcPr>
            <w:tcW w:w="616" w:type="pct"/>
            <w:vAlign w:val="bottom"/>
          </w:tcPr>
          <w:p w14:paraId="7E30248F"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6,4</w:t>
            </w:r>
          </w:p>
        </w:tc>
        <w:tc>
          <w:tcPr>
            <w:tcW w:w="616" w:type="pct"/>
            <w:vAlign w:val="bottom"/>
          </w:tcPr>
          <w:p w14:paraId="17F79017"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5,5</w:t>
            </w:r>
          </w:p>
        </w:tc>
        <w:tc>
          <w:tcPr>
            <w:tcW w:w="616" w:type="pct"/>
            <w:vAlign w:val="bottom"/>
          </w:tcPr>
          <w:p w14:paraId="0F5F8BDD"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r>
      <w:tr w:rsidR="00FB1B52" w:rsidRPr="00011CE3" w14:paraId="09604776" w14:textId="77777777" w:rsidTr="00FB1B52">
        <w:trPr>
          <w:jc w:val="center"/>
        </w:trPr>
        <w:tc>
          <w:tcPr>
            <w:tcW w:w="3152" w:type="pct"/>
            <w:vAlign w:val="bottom"/>
          </w:tcPr>
          <w:p w14:paraId="198EEDF8" w14:textId="77777777" w:rsidR="00FB1B52" w:rsidRPr="00011CE3" w:rsidRDefault="00FB1B52" w:rsidP="00FB1B52">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в базовом размере</w:t>
            </w:r>
          </w:p>
        </w:tc>
        <w:tc>
          <w:tcPr>
            <w:tcW w:w="616" w:type="pct"/>
            <w:vAlign w:val="bottom"/>
          </w:tcPr>
          <w:p w14:paraId="1B4C0C60"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2 536</w:t>
            </w:r>
          </w:p>
        </w:tc>
        <w:tc>
          <w:tcPr>
            <w:tcW w:w="616" w:type="pct"/>
            <w:vAlign w:val="bottom"/>
          </w:tcPr>
          <w:p w14:paraId="4F838B14"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2 903</w:t>
            </w:r>
          </w:p>
        </w:tc>
        <w:tc>
          <w:tcPr>
            <w:tcW w:w="616" w:type="pct"/>
            <w:vAlign w:val="bottom"/>
          </w:tcPr>
          <w:p w14:paraId="047B4DB2"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2 531</w:t>
            </w:r>
          </w:p>
        </w:tc>
      </w:tr>
      <w:tr w:rsidR="00FB1B52" w:rsidRPr="00011CE3" w14:paraId="49373D6A" w14:textId="77777777" w:rsidTr="00FB1B52">
        <w:trPr>
          <w:jc w:val="center"/>
        </w:trPr>
        <w:tc>
          <w:tcPr>
            <w:tcW w:w="3152" w:type="pct"/>
            <w:vAlign w:val="bottom"/>
          </w:tcPr>
          <w:p w14:paraId="4DA22A45" w14:textId="77777777" w:rsidR="00FB1B52" w:rsidRPr="00011CE3" w:rsidRDefault="00FB1B52" w:rsidP="00FB1B52">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из многодетных семей</w:t>
            </w:r>
          </w:p>
        </w:tc>
        <w:tc>
          <w:tcPr>
            <w:tcW w:w="616" w:type="pct"/>
            <w:vAlign w:val="bottom"/>
          </w:tcPr>
          <w:p w14:paraId="613C7FF1"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313</w:t>
            </w:r>
          </w:p>
        </w:tc>
        <w:tc>
          <w:tcPr>
            <w:tcW w:w="616" w:type="pct"/>
            <w:vAlign w:val="bottom"/>
          </w:tcPr>
          <w:p w14:paraId="69052973"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325</w:t>
            </w:r>
          </w:p>
        </w:tc>
        <w:tc>
          <w:tcPr>
            <w:tcW w:w="616" w:type="pct"/>
            <w:vAlign w:val="bottom"/>
          </w:tcPr>
          <w:p w14:paraId="06140602"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306</w:t>
            </w:r>
          </w:p>
        </w:tc>
      </w:tr>
      <w:tr w:rsidR="00FB1B52" w:rsidRPr="00011CE3" w14:paraId="207FAB93" w14:textId="77777777" w:rsidTr="00FB1B52">
        <w:trPr>
          <w:jc w:val="center"/>
        </w:trPr>
        <w:tc>
          <w:tcPr>
            <w:tcW w:w="3152" w:type="pct"/>
            <w:vAlign w:val="bottom"/>
          </w:tcPr>
          <w:p w14:paraId="673BD84F" w14:textId="77777777" w:rsidR="00FB1B52" w:rsidRPr="00011CE3" w:rsidRDefault="00FB1B52" w:rsidP="00FB1B52">
            <w:pPr>
              <w:spacing w:before="60" w:after="0" w:line="240" w:lineRule="auto"/>
              <w:ind w:left="45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из него:</w:t>
            </w:r>
          </w:p>
          <w:p w14:paraId="7DE62F81" w14:textId="77777777" w:rsidR="00FB1B52" w:rsidRPr="00011CE3" w:rsidRDefault="00FB1B52" w:rsidP="00FB1B52">
            <w:pPr>
              <w:spacing w:before="60" w:after="0" w:line="240" w:lineRule="auto"/>
              <w:ind w:left="45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на детей в возрасте до 3 лет</w:t>
            </w:r>
          </w:p>
        </w:tc>
        <w:tc>
          <w:tcPr>
            <w:tcW w:w="616" w:type="pct"/>
            <w:vAlign w:val="bottom"/>
          </w:tcPr>
          <w:p w14:paraId="02B95BC8"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45</w:t>
            </w:r>
          </w:p>
        </w:tc>
        <w:tc>
          <w:tcPr>
            <w:tcW w:w="616" w:type="pct"/>
            <w:vAlign w:val="bottom"/>
          </w:tcPr>
          <w:p w14:paraId="1C02BB22"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50</w:t>
            </w:r>
          </w:p>
        </w:tc>
        <w:tc>
          <w:tcPr>
            <w:tcW w:w="616" w:type="pct"/>
            <w:vAlign w:val="bottom"/>
          </w:tcPr>
          <w:p w14:paraId="2FD1D907"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r>
      <w:tr w:rsidR="00FB1B52" w:rsidRPr="00011CE3" w14:paraId="538E2158" w14:textId="77777777" w:rsidTr="00FB1B52">
        <w:trPr>
          <w:jc w:val="center"/>
        </w:trPr>
        <w:tc>
          <w:tcPr>
            <w:tcW w:w="3152" w:type="pct"/>
            <w:vAlign w:val="bottom"/>
          </w:tcPr>
          <w:p w14:paraId="5CE5EB8F" w14:textId="77777777" w:rsidR="00FB1B52" w:rsidRPr="00011CE3" w:rsidRDefault="00FB1B52" w:rsidP="00FB1B52">
            <w:pPr>
              <w:spacing w:before="60" w:after="0" w:line="240" w:lineRule="auto"/>
              <w:ind w:left="45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на детей в возрасте от 3 до 18 лет</w:t>
            </w:r>
          </w:p>
        </w:tc>
        <w:tc>
          <w:tcPr>
            <w:tcW w:w="616" w:type="pct"/>
            <w:vAlign w:val="bottom"/>
          </w:tcPr>
          <w:p w14:paraId="7B8ABFE3"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115</w:t>
            </w:r>
          </w:p>
        </w:tc>
        <w:tc>
          <w:tcPr>
            <w:tcW w:w="616" w:type="pct"/>
            <w:vAlign w:val="bottom"/>
          </w:tcPr>
          <w:p w14:paraId="14F059BC"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126</w:t>
            </w:r>
          </w:p>
        </w:tc>
        <w:tc>
          <w:tcPr>
            <w:tcW w:w="616" w:type="pct"/>
            <w:vAlign w:val="bottom"/>
          </w:tcPr>
          <w:p w14:paraId="63AF34EC"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r>
      <w:tr w:rsidR="00FB1B52" w:rsidRPr="00011CE3" w14:paraId="6BDA6FC2" w14:textId="77777777" w:rsidTr="00FB1B52">
        <w:trPr>
          <w:jc w:val="center"/>
        </w:trPr>
        <w:tc>
          <w:tcPr>
            <w:tcW w:w="3152" w:type="pct"/>
            <w:vAlign w:val="bottom"/>
          </w:tcPr>
          <w:p w14:paraId="0EA1FE1F" w14:textId="0CA555DA" w:rsidR="00FB1B52" w:rsidRPr="00011CE3" w:rsidRDefault="00FB1B52" w:rsidP="00FB1B52">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на детей-инвалидов</w:t>
            </w:r>
          </w:p>
        </w:tc>
        <w:tc>
          <w:tcPr>
            <w:tcW w:w="616" w:type="pct"/>
            <w:vAlign w:val="bottom"/>
          </w:tcPr>
          <w:p w14:paraId="779E93DF"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41</w:t>
            </w:r>
          </w:p>
        </w:tc>
        <w:tc>
          <w:tcPr>
            <w:tcW w:w="616" w:type="pct"/>
            <w:vAlign w:val="bottom"/>
          </w:tcPr>
          <w:p w14:paraId="199BBD16"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44</w:t>
            </w:r>
          </w:p>
        </w:tc>
        <w:tc>
          <w:tcPr>
            <w:tcW w:w="616" w:type="pct"/>
            <w:vAlign w:val="bottom"/>
          </w:tcPr>
          <w:p w14:paraId="06B1BE33"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r>
      <w:tr w:rsidR="00FB1B52" w:rsidRPr="00011CE3" w14:paraId="4339B8B3" w14:textId="77777777" w:rsidTr="00FB1B52">
        <w:trPr>
          <w:jc w:val="center"/>
        </w:trPr>
        <w:tc>
          <w:tcPr>
            <w:tcW w:w="3152" w:type="pct"/>
            <w:vAlign w:val="bottom"/>
          </w:tcPr>
          <w:p w14:paraId="35FE5F63" w14:textId="3DDB52DA" w:rsidR="00FB1B52" w:rsidRPr="00AF6AB0" w:rsidRDefault="00FB1B52" w:rsidP="00FB1B52">
            <w:pPr>
              <w:spacing w:before="60" w:after="0" w:line="240" w:lineRule="auto"/>
              <w:ind w:left="284"/>
              <w:rPr>
                <w:rFonts w:ascii="Times New Roman" w:eastAsia="Times New Roman" w:hAnsi="Times New Roman" w:cs="Times New Roman"/>
                <w:spacing w:val="-4"/>
                <w:sz w:val="24"/>
                <w:szCs w:val="24"/>
                <w:lang w:val="en-US" w:eastAsia="ru-RU"/>
              </w:rPr>
            </w:pPr>
            <w:r w:rsidRPr="00011CE3">
              <w:rPr>
                <w:rFonts w:ascii="Times New Roman" w:eastAsia="Times New Roman" w:hAnsi="Times New Roman" w:cs="Times New Roman"/>
                <w:spacing w:val="-4"/>
                <w:sz w:val="24"/>
                <w:szCs w:val="24"/>
                <w:lang w:eastAsia="ru-RU"/>
              </w:rPr>
              <w:t>на детей родителей-инвалидов</w:t>
            </w:r>
          </w:p>
        </w:tc>
        <w:tc>
          <w:tcPr>
            <w:tcW w:w="616" w:type="pct"/>
            <w:vAlign w:val="bottom"/>
          </w:tcPr>
          <w:p w14:paraId="7A9E20D1"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8,5</w:t>
            </w:r>
          </w:p>
        </w:tc>
        <w:tc>
          <w:tcPr>
            <w:tcW w:w="616" w:type="pct"/>
            <w:vAlign w:val="bottom"/>
          </w:tcPr>
          <w:p w14:paraId="1F5DF98C"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7,6</w:t>
            </w:r>
          </w:p>
        </w:tc>
        <w:tc>
          <w:tcPr>
            <w:tcW w:w="616" w:type="pct"/>
            <w:vAlign w:val="bottom"/>
          </w:tcPr>
          <w:p w14:paraId="733B4101"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r>
      <w:tr w:rsidR="00FB1B52" w:rsidRPr="00011CE3" w14:paraId="4E58478C" w14:textId="77777777" w:rsidTr="00FB1B52">
        <w:trPr>
          <w:jc w:val="center"/>
        </w:trPr>
        <w:tc>
          <w:tcPr>
            <w:tcW w:w="3152" w:type="pct"/>
            <w:vAlign w:val="bottom"/>
          </w:tcPr>
          <w:p w14:paraId="186F9641" w14:textId="77777777" w:rsidR="00FB1B52" w:rsidRPr="00011CE3" w:rsidRDefault="00FB1B52" w:rsidP="00FB1B52">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на детей, не перечисленных категорий</w:t>
            </w:r>
          </w:p>
        </w:tc>
        <w:tc>
          <w:tcPr>
            <w:tcW w:w="616" w:type="pct"/>
            <w:vAlign w:val="bottom"/>
          </w:tcPr>
          <w:p w14:paraId="0BE3EC52"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97</w:t>
            </w:r>
          </w:p>
        </w:tc>
        <w:tc>
          <w:tcPr>
            <w:tcW w:w="616" w:type="pct"/>
            <w:vAlign w:val="bottom"/>
          </w:tcPr>
          <w:p w14:paraId="41EDBBD0"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103</w:t>
            </w:r>
          </w:p>
        </w:tc>
        <w:tc>
          <w:tcPr>
            <w:tcW w:w="616" w:type="pct"/>
            <w:vAlign w:val="bottom"/>
          </w:tcPr>
          <w:p w14:paraId="584AF2FA"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r>
      <w:tr w:rsidR="00FB1B52" w:rsidRPr="00011CE3" w14:paraId="1CB1535F" w14:textId="77777777" w:rsidTr="00FB1B52">
        <w:trPr>
          <w:jc w:val="center"/>
        </w:trPr>
        <w:tc>
          <w:tcPr>
            <w:tcW w:w="3152" w:type="pct"/>
            <w:vAlign w:val="bottom"/>
          </w:tcPr>
          <w:p w14:paraId="2BBDA0D3" w14:textId="77777777" w:rsidR="00FB1B52" w:rsidRPr="00011CE3" w:rsidRDefault="00FB1B52" w:rsidP="00FB1B52">
            <w:pPr>
              <w:spacing w:after="0" w:line="240" w:lineRule="auto"/>
              <w:ind w:left="57"/>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Численность детей до 16 лет, на которых назначено пособие</w:t>
            </w:r>
            <w:r w:rsidRPr="00011CE3">
              <w:rPr>
                <w:rFonts w:ascii="Times New Roman" w:eastAsia="Times New Roman" w:hAnsi="Times New Roman" w:cs="Times New Roman"/>
                <w:sz w:val="24"/>
                <w:szCs w:val="24"/>
                <w:vertAlign w:val="superscript"/>
                <w:lang w:eastAsia="ru-RU"/>
              </w:rPr>
              <w:t>1)</w:t>
            </w:r>
          </w:p>
        </w:tc>
        <w:tc>
          <w:tcPr>
            <w:tcW w:w="616" w:type="pct"/>
            <w:vAlign w:val="bottom"/>
          </w:tcPr>
          <w:p w14:paraId="24CF85C3" w14:textId="77777777" w:rsidR="00FB1B52" w:rsidRPr="00011CE3" w:rsidRDefault="00FB1B52" w:rsidP="00FB1B52">
            <w:pPr>
              <w:spacing w:before="60" w:after="0" w:line="240" w:lineRule="auto"/>
              <w:jc w:val="center"/>
              <w:rPr>
                <w:rFonts w:ascii="Times New Roman" w:eastAsia="Times New Roman" w:hAnsi="Times New Roman" w:cs="Times New Roman"/>
                <w:b/>
                <w:sz w:val="24"/>
                <w:szCs w:val="24"/>
                <w:lang w:eastAsia="ru-RU"/>
              </w:rPr>
            </w:pPr>
            <w:r w:rsidRPr="00011CE3">
              <w:rPr>
                <w:rFonts w:ascii="Times New Roman" w:eastAsia="Times New Roman" w:hAnsi="Times New Roman" w:cs="Times New Roman"/>
                <w:b/>
                <w:sz w:val="24"/>
                <w:szCs w:val="24"/>
                <w:lang w:eastAsia="ru-RU"/>
              </w:rPr>
              <w:t>6 997</w:t>
            </w:r>
          </w:p>
        </w:tc>
        <w:tc>
          <w:tcPr>
            <w:tcW w:w="616" w:type="pct"/>
            <w:vAlign w:val="bottom"/>
          </w:tcPr>
          <w:p w14:paraId="484B4BC7" w14:textId="77777777" w:rsidR="00FB1B52" w:rsidRPr="00011CE3" w:rsidRDefault="00FB1B52" w:rsidP="00FB1B52">
            <w:pPr>
              <w:spacing w:before="60" w:after="0" w:line="240" w:lineRule="auto"/>
              <w:jc w:val="center"/>
              <w:rPr>
                <w:rFonts w:ascii="Times New Roman" w:eastAsia="Times New Roman" w:hAnsi="Times New Roman" w:cs="Times New Roman"/>
                <w:b/>
                <w:sz w:val="24"/>
                <w:szCs w:val="24"/>
                <w:lang w:eastAsia="ru-RU"/>
              </w:rPr>
            </w:pPr>
            <w:r w:rsidRPr="00011CE3">
              <w:rPr>
                <w:rFonts w:ascii="Times New Roman" w:eastAsia="Times New Roman" w:hAnsi="Times New Roman" w:cs="Times New Roman"/>
                <w:b/>
                <w:sz w:val="24"/>
                <w:szCs w:val="24"/>
                <w:lang w:eastAsia="ru-RU"/>
              </w:rPr>
              <w:t>7 696</w:t>
            </w:r>
          </w:p>
        </w:tc>
        <w:tc>
          <w:tcPr>
            <w:tcW w:w="616" w:type="pct"/>
            <w:vAlign w:val="bottom"/>
          </w:tcPr>
          <w:p w14:paraId="0BA6E524" w14:textId="77777777" w:rsidR="00FB1B52" w:rsidRPr="00011CE3" w:rsidRDefault="00FB1B52" w:rsidP="00FB1B52">
            <w:pPr>
              <w:spacing w:before="60"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6 841</w:t>
            </w:r>
          </w:p>
        </w:tc>
      </w:tr>
      <w:tr w:rsidR="00FB1B52" w:rsidRPr="00011CE3" w14:paraId="5F4AEB58" w14:textId="77777777" w:rsidTr="00FB1B52">
        <w:trPr>
          <w:jc w:val="center"/>
        </w:trPr>
        <w:tc>
          <w:tcPr>
            <w:tcW w:w="3152" w:type="pct"/>
            <w:vAlign w:val="bottom"/>
          </w:tcPr>
          <w:p w14:paraId="59D82D51" w14:textId="77777777" w:rsidR="00FB1B52" w:rsidRPr="00011CE3" w:rsidRDefault="00FB1B52" w:rsidP="00FB1B52">
            <w:pPr>
              <w:spacing w:after="0" w:line="240" w:lineRule="auto"/>
              <w:ind w:left="170"/>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из них дети:</w:t>
            </w:r>
          </w:p>
          <w:p w14:paraId="554F530B" w14:textId="77777777" w:rsidR="00FB1B52" w:rsidRPr="00011CE3" w:rsidRDefault="00FB1B52" w:rsidP="00FB1B52">
            <w:pPr>
              <w:spacing w:after="0" w:line="240" w:lineRule="auto"/>
              <w:ind w:left="284"/>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одиноких матерей</w:t>
            </w:r>
          </w:p>
        </w:tc>
        <w:tc>
          <w:tcPr>
            <w:tcW w:w="616" w:type="pct"/>
            <w:vAlign w:val="bottom"/>
          </w:tcPr>
          <w:p w14:paraId="5F31A5EF"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1 122</w:t>
            </w:r>
          </w:p>
        </w:tc>
        <w:tc>
          <w:tcPr>
            <w:tcW w:w="616" w:type="pct"/>
            <w:vAlign w:val="bottom"/>
          </w:tcPr>
          <w:p w14:paraId="0EB7B2F8"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1 184</w:t>
            </w:r>
          </w:p>
        </w:tc>
        <w:tc>
          <w:tcPr>
            <w:tcW w:w="616" w:type="pct"/>
            <w:vAlign w:val="bottom"/>
          </w:tcPr>
          <w:p w14:paraId="38599236"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1 071</w:t>
            </w:r>
          </w:p>
        </w:tc>
      </w:tr>
      <w:tr w:rsidR="00FB1B52" w:rsidRPr="00011CE3" w14:paraId="77147B6F" w14:textId="77777777" w:rsidTr="00FB1B52">
        <w:trPr>
          <w:jc w:val="center"/>
        </w:trPr>
        <w:tc>
          <w:tcPr>
            <w:tcW w:w="3152" w:type="pct"/>
            <w:vAlign w:val="bottom"/>
          </w:tcPr>
          <w:p w14:paraId="583384FB" w14:textId="77777777" w:rsidR="00FB1B52" w:rsidRPr="00011CE3" w:rsidRDefault="00FB1B52" w:rsidP="00FB1B52">
            <w:pPr>
              <w:spacing w:after="0" w:line="240" w:lineRule="auto"/>
              <w:ind w:left="284"/>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военнослужащих по призыву</w:t>
            </w:r>
          </w:p>
        </w:tc>
        <w:tc>
          <w:tcPr>
            <w:tcW w:w="616" w:type="pct"/>
            <w:vAlign w:val="bottom"/>
          </w:tcPr>
          <w:p w14:paraId="4B816E3F"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1,0</w:t>
            </w:r>
          </w:p>
        </w:tc>
        <w:tc>
          <w:tcPr>
            <w:tcW w:w="616" w:type="pct"/>
            <w:vAlign w:val="bottom"/>
          </w:tcPr>
          <w:p w14:paraId="3F6F314A"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0,9</w:t>
            </w:r>
          </w:p>
        </w:tc>
        <w:tc>
          <w:tcPr>
            <w:tcW w:w="616" w:type="pct"/>
            <w:vAlign w:val="bottom"/>
          </w:tcPr>
          <w:p w14:paraId="27C2CBE3"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r>
      <w:tr w:rsidR="00FB1B52" w:rsidRPr="00011CE3" w14:paraId="2A055CE9" w14:textId="77777777" w:rsidTr="00FB1B52">
        <w:trPr>
          <w:jc w:val="center"/>
        </w:trPr>
        <w:tc>
          <w:tcPr>
            <w:tcW w:w="3152" w:type="pct"/>
            <w:vAlign w:val="bottom"/>
          </w:tcPr>
          <w:p w14:paraId="67D04576" w14:textId="77777777" w:rsidR="00FB1B52" w:rsidRPr="00011CE3" w:rsidRDefault="00FB1B52" w:rsidP="00FB1B52">
            <w:pPr>
              <w:spacing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родителей, уклоняющихся от уплаты алиментов</w:t>
            </w:r>
          </w:p>
        </w:tc>
        <w:tc>
          <w:tcPr>
            <w:tcW w:w="616" w:type="pct"/>
            <w:vAlign w:val="bottom"/>
          </w:tcPr>
          <w:p w14:paraId="3C05AEB0"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6,9</w:t>
            </w:r>
          </w:p>
        </w:tc>
        <w:tc>
          <w:tcPr>
            <w:tcW w:w="616" w:type="pct"/>
            <w:vAlign w:val="bottom"/>
          </w:tcPr>
          <w:p w14:paraId="410B6237"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7,1</w:t>
            </w:r>
          </w:p>
        </w:tc>
        <w:tc>
          <w:tcPr>
            <w:tcW w:w="616" w:type="pct"/>
            <w:vAlign w:val="bottom"/>
          </w:tcPr>
          <w:p w14:paraId="6CC3AE5F"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r>
      <w:tr w:rsidR="00FB1B52" w:rsidRPr="00011CE3" w14:paraId="67C97EA5" w14:textId="77777777" w:rsidTr="00FB1B52">
        <w:trPr>
          <w:jc w:val="center"/>
        </w:trPr>
        <w:tc>
          <w:tcPr>
            <w:tcW w:w="3152" w:type="pct"/>
            <w:vAlign w:val="bottom"/>
          </w:tcPr>
          <w:p w14:paraId="2ACA2DCA" w14:textId="77777777" w:rsidR="00FB1B52" w:rsidRPr="00011CE3" w:rsidRDefault="00FB1B52" w:rsidP="00FB1B52">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в базовом размере</w:t>
            </w:r>
          </w:p>
        </w:tc>
        <w:tc>
          <w:tcPr>
            <w:tcW w:w="616" w:type="pct"/>
            <w:vAlign w:val="bottom"/>
          </w:tcPr>
          <w:p w14:paraId="294B5B60"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4 762</w:t>
            </w:r>
          </w:p>
        </w:tc>
        <w:tc>
          <w:tcPr>
            <w:tcW w:w="616" w:type="pct"/>
            <w:vAlign w:val="bottom"/>
          </w:tcPr>
          <w:p w14:paraId="4AFD462B"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5 378</w:t>
            </w:r>
          </w:p>
        </w:tc>
        <w:tc>
          <w:tcPr>
            <w:tcW w:w="616" w:type="pct"/>
            <w:vAlign w:val="bottom"/>
          </w:tcPr>
          <w:p w14:paraId="7179C6B8"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4 729</w:t>
            </w:r>
          </w:p>
        </w:tc>
      </w:tr>
      <w:tr w:rsidR="00FB1B52" w:rsidRPr="00011CE3" w14:paraId="29ADB77B" w14:textId="77777777" w:rsidTr="00FB1B52">
        <w:trPr>
          <w:jc w:val="center"/>
        </w:trPr>
        <w:tc>
          <w:tcPr>
            <w:tcW w:w="3152" w:type="pct"/>
            <w:vAlign w:val="bottom"/>
          </w:tcPr>
          <w:p w14:paraId="380C7F3F" w14:textId="77777777" w:rsidR="00FB1B52" w:rsidRPr="00011CE3" w:rsidRDefault="00FB1B52" w:rsidP="00FB1B52">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из многодетных семей</w:t>
            </w:r>
          </w:p>
        </w:tc>
        <w:tc>
          <w:tcPr>
            <w:tcW w:w="616" w:type="pct"/>
            <w:vAlign w:val="bottom"/>
          </w:tcPr>
          <w:p w14:paraId="527A5EAA"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926</w:t>
            </w:r>
          </w:p>
        </w:tc>
        <w:tc>
          <w:tcPr>
            <w:tcW w:w="616" w:type="pct"/>
            <w:vAlign w:val="bottom"/>
          </w:tcPr>
          <w:p w14:paraId="3B8E843D"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923</w:t>
            </w:r>
          </w:p>
        </w:tc>
        <w:tc>
          <w:tcPr>
            <w:tcW w:w="616" w:type="pct"/>
            <w:vAlign w:val="bottom"/>
          </w:tcPr>
          <w:p w14:paraId="6573E1E3"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867</w:t>
            </w:r>
          </w:p>
        </w:tc>
      </w:tr>
      <w:tr w:rsidR="00FB1B52" w:rsidRPr="00011CE3" w14:paraId="69F6CCF0" w14:textId="77777777" w:rsidTr="00FB1B52">
        <w:trPr>
          <w:jc w:val="center"/>
        </w:trPr>
        <w:tc>
          <w:tcPr>
            <w:tcW w:w="3152" w:type="pct"/>
            <w:vAlign w:val="bottom"/>
          </w:tcPr>
          <w:p w14:paraId="0864A063" w14:textId="77777777" w:rsidR="00FB1B52" w:rsidRPr="00011CE3" w:rsidRDefault="00FB1B52" w:rsidP="00FB1B52">
            <w:pPr>
              <w:spacing w:before="60" w:after="0" w:line="240" w:lineRule="auto"/>
              <w:ind w:left="45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из него:</w:t>
            </w:r>
          </w:p>
          <w:p w14:paraId="17699A02" w14:textId="77777777" w:rsidR="00FB1B52" w:rsidRPr="00011CE3" w:rsidRDefault="00FB1B52" w:rsidP="00FB1B52">
            <w:pPr>
              <w:spacing w:before="60" w:after="0" w:line="240" w:lineRule="auto"/>
              <w:ind w:left="45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на детей в возрасте до 3 лет</w:t>
            </w:r>
          </w:p>
        </w:tc>
        <w:tc>
          <w:tcPr>
            <w:tcW w:w="616" w:type="pct"/>
            <w:vAlign w:val="bottom"/>
          </w:tcPr>
          <w:p w14:paraId="4946005D"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53</w:t>
            </w:r>
          </w:p>
        </w:tc>
        <w:tc>
          <w:tcPr>
            <w:tcW w:w="616" w:type="pct"/>
            <w:vAlign w:val="bottom"/>
          </w:tcPr>
          <w:p w14:paraId="1D88CE1F"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58</w:t>
            </w:r>
          </w:p>
        </w:tc>
        <w:tc>
          <w:tcPr>
            <w:tcW w:w="616" w:type="pct"/>
            <w:vAlign w:val="bottom"/>
          </w:tcPr>
          <w:p w14:paraId="2458490A"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r>
      <w:tr w:rsidR="00FB1B52" w:rsidRPr="00011CE3" w14:paraId="040D9EEC" w14:textId="77777777" w:rsidTr="00FB1B52">
        <w:trPr>
          <w:jc w:val="center"/>
        </w:trPr>
        <w:tc>
          <w:tcPr>
            <w:tcW w:w="3152" w:type="pct"/>
            <w:vAlign w:val="bottom"/>
          </w:tcPr>
          <w:p w14:paraId="3C20F7E4" w14:textId="77777777" w:rsidR="00FB1B52" w:rsidRPr="00011CE3" w:rsidRDefault="00FB1B52" w:rsidP="00FB1B52">
            <w:pPr>
              <w:spacing w:before="60" w:after="0" w:line="240" w:lineRule="auto"/>
              <w:ind w:left="45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на детей в возрасте от 3 до 18 лет</w:t>
            </w:r>
          </w:p>
        </w:tc>
        <w:tc>
          <w:tcPr>
            <w:tcW w:w="616" w:type="pct"/>
            <w:vAlign w:val="bottom"/>
          </w:tcPr>
          <w:p w14:paraId="57D2C476"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282</w:t>
            </w:r>
          </w:p>
        </w:tc>
        <w:tc>
          <w:tcPr>
            <w:tcW w:w="616" w:type="pct"/>
            <w:vAlign w:val="bottom"/>
          </w:tcPr>
          <w:p w14:paraId="4BC7CC84"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310</w:t>
            </w:r>
          </w:p>
        </w:tc>
        <w:tc>
          <w:tcPr>
            <w:tcW w:w="616" w:type="pct"/>
            <w:vAlign w:val="bottom"/>
          </w:tcPr>
          <w:p w14:paraId="4AFDC223"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w:t>
            </w:r>
          </w:p>
        </w:tc>
      </w:tr>
      <w:tr w:rsidR="00FB1B52" w:rsidRPr="00011CE3" w14:paraId="69FA0A07" w14:textId="77777777" w:rsidTr="00FB1B52">
        <w:trPr>
          <w:jc w:val="center"/>
        </w:trPr>
        <w:tc>
          <w:tcPr>
            <w:tcW w:w="3152" w:type="pct"/>
            <w:vAlign w:val="bottom"/>
          </w:tcPr>
          <w:p w14:paraId="19966DEC" w14:textId="22065A0D" w:rsidR="00FB1B52" w:rsidRPr="00011CE3" w:rsidRDefault="00FB1B52" w:rsidP="00FB1B52">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на детей-инвалидов</w:t>
            </w:r>
          </w:p>
        </w:tc>
        <w:tc>
          <w:tcPr>
            <w:tcW w:w="616" w:type="pct"/>
            <w:vAlign w:val="bottom"/>
          </w:tcPr>
          <w:p w14:paraId="3B03B453"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43</w:t>
            </w:r>
          </w:p>
        </w:tc>
        <w:tc>
          <w:tcPr>
            <w:tcW w:w="616" w:type="pct"/>
            <w:vAlign w:val="bottom"/>
          </w:tcPr>
          <w:p w14:paraId="1829B9D5"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46</w:t>
            </w:r>
          </w:p>
        </w:tc>
        <w:tc>
          <w:tcPr>
            <w:tcW w:w="616" w:type="pct"/>
            <w:vAlign w:val="bottom"/>
          </w:tcPr>
          <w:p w14:paraId="13CAE684"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r>
      <w:tr w:rsidR="00FB1B52" w:rsidRPr="00011CE3" w14:paraId="32B98F18" w14:textId="77777777" w:rsidTr="00FB1B52">
        <w:trPr>
          <w:jc w:val="center"/>
        </w:trPr>
        <w:tc>
          <w:tcPr>
            <w:tcW w:w="3152" w:type="pct"/>
            <w:vAlign w:val="bottom"/>
          </w:tcPr>
          <w:p w14:paraId="385F9199" w14:textId="2C480DDF" w:rsidR="00FB1B52" w:rsidRPr="00011CE3" w:rsidRDefault="00FB1B52" w:rsidP="00FB1B52">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на детей родителей-инвалидов</w:t>
            </w:r>
          </w:p>
        </w:tc>
        <w:tc>
          <w:tcPr>
            <w:tcW w:w="616" w:type="pct"/>
            <w:vAlign w:val="bottom"/>
          </w:tcPr>
          <w:p w14:paraId="4561795E"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13</w:t>
            </w:r>
          </w:p>
        </w:tc>
        <w:tc>
          <w:tcPr>
            <w:tcW w:w="616" w:type="pct"/>
            <w:vAlign w:val="bottom"/>
          </w:tcPr>
          <w:p w14:paraId="4779DC5F"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12</w:t>
            </w:r>
          </w:p>
        </w:tc>
        <w:tc>
          <w:tcPr>
            <w:tcW w:w="616" w:type="pct"/>
            <w:vAlign w:val="bottom"/>
          </w:tcPr>
          <w:p w14:paraId="2907FE75"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FB1B52" w:rsidRPr="00011CE3" w14:paraId="200F5B01" w14:textId="77777777" w:rsidTr="00FB1B52">
        <w:trPr>
          <w:jc w:val="center"/>
        </w:trPr>
        <w:tc>
          <w:tcPr>
            <w:tcW w:w="3152" w:type="pct"/>
            <w:vAlign w:val="bottom"/>
          </w:tcPr>
          <w:p w14:paraId="13B3553A" w14:textId="77777777" w:rsidR="00FB1B52" w:rsidRPr="00011CE3" w:rsidRDefault="00FB1B52" w:rsidP="00FB1B52">
            <w:pPr>
              <w:spacing w:before="60" w:after="0" w:line="240" w:lineRule="auto"/>
              <w:ind w:left="284"/>
              <w:rPr>
                <w:rFonts w:ascii="Times New Roman" w:eastAsia="Times New Roman" w:hAnsi="Times New Roman" w:cs="Times New Roman"/>
                <w:spacing w:val="-4"/>
                <w:sz w:val="24"/>
                <w:szCs w:val="24"/>
                <w:lang w:eastAsia="ru-RU"/>
              </w:rPr>
            </w:pPr>
            <w:r w:rsidRPr="00011CE3">
              <w:rPr>
                <w:rFonts w:ascii="Times New Roman" w:eastAsia="Times New Roman" w:hAnsi="Times New Roman" w:cs="Times New Roman"/>
                <w:spacing w:val="-4"/>
                <w:sz w:val="24"/>
                <w:szCs w:val="24"/>
                <w:lang w:eastAsia="ru-RU"/>
              </w:rPr>
              <w:t>на детей, не перечисленных категорий</w:t>
            </w:r>
          </w:p>
        </w:tc>
        <w:tc>
          <w:tcPr>
            <w:tcW w:w="616" w:type="pct"/>
            <w:vAlign w:val="bottom"/>
          </w:tcPr>
          <w:p w14:paraId="61D94CD0"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140</w:t>
            </w:r>
          </w:p>
        </w:tc>
        <w:tc>
          <w:tcPr>
            <w:tcW w:w="616" w:type="pct"/>
            <w:vAlign w:val="bottom"/>
          </w:tcPr>
          <w:p w14:paraId="6864B0FC"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sidRPr="00011CE3">
              <w:rPr>
                <w:rFonts w:ascii="Times New Roman" w:eastAsia="Times New Roman" w:hAnsi="Times New Roman" w:cs="Times New Roman"/>
                <w:sz w:val="24"/>
                <w:szCs w:val="24"/>
                <w:lang w:eastAsia="ru-RU"/>
              </w:rPr>
              <w:t>146</w:t>
            </w:r>
          </w:p>
        </w:tc>
        <w:tc>
          <w:tcPr>
            <w:tcW w:w="616" w:type="pct"/>
            <w:vAlign w:val="bottom"/>
          </w:tcPr>
          <w:p w14:paraId="79E6A330" w14:textId="77777777" w:rsidR="00FB1B52" w:rsidRPr="00011CE3" w:rsidRDefault="00FB1B52" w:rsidP="00FB1B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r>
    </w:tbl>
    <w:p w14:paraId="082304DE" w14:textId="77777777" w:rsidR="00D03A4F" w:rsidRPr="00011CE3" w:rsidRDefault="00D03A4F" w:rsidP="00D03A4F">
      <w:pPr>
        <w:spacing w:after="0" w:line="200" w:lineRule="exact"/>
        <w:ind w:right="57"/>
        <w:rPr>
          <w:rFonts w:ascii="Times New Roman" w:eastAsia="Times New Roman" w:hAnsi="Times New Roman" w:cs="Times New Roman"/>
          <w:iCs/>
          <w:sz w:val="20"/>
          <w:szCs w:val="20"/>
          <w:lang w:eastAsia="ru-RU"/>
        </w:rPr>
      </w:pPr>
    </w:p>
    <w:p w14:paraId="427E6169" w14:textId="77777777" w:rsidR="00D03A4F" w:rsidRPr="00011CE3" w:rsidRDefault="00D03A4F" w:rsidP="00D03A4F">
      <w:pPr>
        <w:spacing w:after="0" w:line="240" w:lineRule="auto"/>
        <w:ind w:right="57" w:firstLine="284"/>
        <w:jc w:val="both"/>
        <w:rPr>
          <w:rFonts w:ascii="Times New Roman" w:eastAsia="Times New Roman" w:hAnsi="Times New Roman" w:cs="Times New Roman"/>
          <w:iCs/>
          <w:sz w:val="24"/>
          <w:szCs w:val="24"/>
          <w:lang w:eastAsia="ru-RU"/>
        </w:rPr>
      </w:pPr>
      <w:r w:rsidRPr="00011CE3">
        <w:rPr>
          <w:rFonts w:ascii="Times New Roman" w:eastAsia="Times New Roman" w:hAnsi="Times New Roman" w:cs="Times New Roman"/>
          <w:iCs/>
          <w:sz w:val="24"/>
          <w:szCs w:val="24"/>
          <w:vertAlign w:val="superscript"/>
          <w:lang w:eastAsia="ru-RU"/>
        </w:rPr>
        <w:t>1)</w:t>
      </w:r>
      <w:r w:rsidRPr="00011CE3">
        <w:rPr>
          <w:rFonts w:ascii="Times New Roman" w:eastAsia="Times New Roman" w:hAnsi="Times New Roman" w:cs="Times New Roman"/>
          <w:bCs/>
          <w:iCs/>
          <w:sz w:val="24"/>
          <w:szCs w:val="24"/>
          <w:lang w:eastAsia="ru-RU"/>
        </w:rPr>
        <w:t xml:space="preserve"> Для </w:t>
      </w:r>
      <w:r w:rsidR="00FB1B52">
        <w:rPr>
          <w:rFonts w:ascii="Times New Roman" w:eastAsia="Times New Roman" w:hAnsi="Times New Roman" w:cs="Times New Roman"/>
          <w:bCs/>
          <w:iCs/>
          <w:sz w:val="24"/>
          <w:szCs w:val="24"/>
          <w:lang w:eastAsia="ru-RU"/>
        </w:rPr>
        <w:t>об</w:t>
      </w:r>
      <w:r w:rsidR="00FB1B52" w:rsidRPr="00011CE3">
        <w:rPr>
          <w:rFonts w:ascii="Times New Roman" w:eastAsia="Times New Roman" w:hAnsi="Times New Roman" w:cs="Times New Roman"/>
          <w:bCs/>
          <w:iCs/>
          <w:sz w:val="24"/>
          <w:szCs w:val="24"/>
          <w:lang w:eastAsia="ru-RU"/>
        </w:rPr>
        <w:t>учающихся</w:t>
      </w:r>
      <w:r w:rsidRPr="00011CE3">
        <w:rPr>
          <w:rFonts w:ascii="Times New Roman" w:eastAsia="Times New Roman" w:hAnsi="Times New Roman" w:cs="Times New Roman"/>
          <w:bCs/>
          <w:iCs/>
          <w:sz w:val="24"/>
          <w:szCs w:val="24"/>
          <w:lang w:eastAsia="ru-RU"/>
        </w:rPr>
        <w:t xml:space="preserve"> общеобразовательных учреждений до окончания ими обучения, но не более чем до достижения ими возраста 18 лет.</w:t>
      </w:r>
    </w:p>
    <w:p w14:paraId="056BCBCB" w14:textId="77777777"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14:paraId="1375EBA3" w14:textId="77777777" w:rsidR="00D03A4F" w:rsidRPr="00BD5A90" w:rsidRDefault="00D03A4F" w:rsidP="00D03A4F">
      <w:pPr>
        <w:spacing w:after="0" w:line="240" w:lineRule="auto"/>
        <w:jc w:val="right"/>
        <w:rPr>
          <w:rFonts w:ascii="Times New Roman" w:eastAsia="Times New Roman" w:hAnsi="Times New Roman" w:cs="Times New Roman"/>
          <w:sz w:val="26"/>
          <w:szCs w:val="26"/>
          <w:highlight w:val="yellow"/>
          <w:lang w:eastAsia="ru-RU"/>
        </w:rPr>
      </w:pPr>
    </w:p>
    <w:p w14:paraId="2DDD8B3B" w14:textId="77777777"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14:paraId="2733270F" w14:textId="77777777" w:rsidR="00D03A4F" w:rsidRPr="008E1D60" w:rsidRDefault="00D03A4F" w:rsidP="00D03A4F">
      <w:pPr>
        <w:spacing w:after="0" w:line="240" w:lineRule="auto"/>
        <w:jc w:val="right"/>
        <w:rPr>
          <w:rFonts w:ascii="Times New Roman" w:eastAsia="Times New Roman" w:hAnsi="Times New Roman" w:cs="Times New Roman"/>
          <w:sz w:val="26"/>
          <w:szCs w:val="26"/>
          <w:lang w:eastAsia="ru-RU"/>
        </w:rPr>
      </w:pPr>
      <w:r w:rsidRPr="008E1D60">
        <w:rPr>
          <w:rFonts w:ascii="Times New Roman" w:eastAsia="Times New Roman" w:hAnsi="Times New Roman" w:cs="Times New Roman"/>
          <w:sz w:val="26"/>
          <w:szCs w:val="26"/>
          <w:lang w:eastAsia="ru-RU"/>
        </w:rPr>
        <w:t xml:space="preserve">Таблица </w:t>
      </w:r>
      <w:r w:rsidR="00BF045B">
        <w:rPr>
          <w:rFonts w:ascii="Times New Roman" w:eastAsia="Times New Roman" w:hAnsi="Times New Roman" w:cs="Times New Roman"/>
          <w:sz w:val="26"/>
          <w:szCs w:val="26"/>
          <w:lang w:eastAsia="ru-RU"/>
        </w:rPr>
        <w:t>4</w:t>
      </w:r>
      <w:r w:rsidR="008737BB">
        <w:rPr>
          <w:rFonts w:ascii="Times New Roman" w:eastAsia="Times New Roman" w:hAnsi="Times New Roman" w:cs="Times New Roman"/>
          <w:sz w:val="26"/>
          <w:szCs w:val="26"/>
          <w:lang w:eastAsia="ru-RU"/>
        </w:rPr>
        <w:t>8</w:t>
      </w:r>
    </w:p>
    <w:p w14:paraId="706E2F02" w14:textId="77777777" w:rsidR="00D03A4F" w:rsidRPr="008E1D60" w:rsidRDefault="00D03A4F" w:rsidP="00D03A4F">
      <w:pPr>
        <w:spacing w:after="0" w:line="240" w:lineRule="auto"/>
        <w:jc w:val="right"/>
        <w:rPr>
          <w:rFonts w:ascii="Times New Roman" w:eastAsia="Times New Roman" w:hAnsi="Times New Roman" w:cs="Times New Roman"/>
          <w:sz w:val="26"/>
          <w:szCs w:val="26"/>
          <w:lang w:eastAsia="ru-RU"/>
        </w:rPr>
      </w:pPr>
    </w:p>
    <w:p w14:paraId="4E0E4148" w14:textId="77777777" w:rsidR="00D03A4F" w:rsidRPr="008E1D60" w:rsidRDefault="00D03A4F" w:rsidP="00D03A4F">
      <w:pPr>
        <w:spacing w:after="0" w:line="240" w:lineRule="auto"/>
        <w:jc w:val="center"/>
        <w:rPr>
          <w:rFonts w:ascii="Times New Roman" w:eastAsia="Times New Roman" w:hAnsi="Times New Roman" w:cs="Times New Roman"/>
          <w:b/>
          <w:bCs/>
          <w:sz w:val="26"/>
          <w:szCs w:val="26"/>
          <w:lang w:eastAsia="ru-RU"/>
        </w:rPr>
      </w:pPr>
      <w:r w:rsidRPr="008E1D60">
        <w:rPr>
          <w:rFonts w:ascii="Times New Roman" w:eastAsia="Times New Roman" w:hAnsi="Times New Roman" w:cs="Times New Roman"/>
          <w:b/>
          <w:bCs/>
          <w:sz w:val="26"/>
          <w:szCs w:val="26"/>
          <w:lang w:eastAsia="ru-RU"/>
        </w:rPr>
        <w:t>Численность детей до 16 лет (18 лет), на которых назначено пособие</w:t>
      </w:r>
    </w:p>
    <w:p w14:paraId="13EB542E" w14:textId="77777777" w:rsidR="00D03A4F" w:rsidRPr="008E1D60" w:rsidRDefault="00D03A4F" w:rsidP="00D03A4F">
      <w:pPr>
        <w:spacing w:after="0" w:line="240" w:lineRule="auto"/>
        <w:jc w:val="center"/>
        <w:rPr>
          <w:rFonts w:ascii="Times New Roman" w:eastAsia="Times New Roman" w:hAnsi="Times New Roman" w:cs="Times New Roman"/>
          <w:bCs/>
          <w:sz w:val="24"/>
          <w:szCs w:val="24"/>
          <w:lang w:eastAsia="ru-RU"/>
        </w:rPr>
      </w:pPr>
      <w:r w:rsidRPr="008E1D60">
        <w:rPr>
          <w:rFonts w:ascii="Times New Roman" w:eastAsia="Times New Roman" w:hAnsi="Times New Roman" w:cs="Times New Roman"/>
          <w:bCs/>
          <w:sz w:val="24"/>
          <w:szCs w:val="24"/>
          <w:lang w:eastAsia="ru-RU"/>
        </w:rPr>
        <w:t>(по данным Минтруда России; на конец отчетного периода, тыс. человек)</w:t>
      </w:r>
    </w:p>
    <w:p w14:paraId="46092733" w14:textId="77777777" w:rsidR="00D03A4F" w:rsidRPr="008E1D60" w:rsidRDefault="00D03A4F" w:rsidP="00D03A4F">
      <w:pPr>
        <w:spacing w:after="0" w:line="200" w:lineRule="exact"/>
        <w:ind w:right="139"/>
        <w:jc w:val="right"/>
        <w:rPr>
          <w:rFonts w:ascii="Times New Roman" w:eastAsia="Times New Roman" w:hAnsi="Times New Roman" w:cs="Times New Roman"/>
          <w:bCs/>
          <w:sz w:val="20"/>
          <w:szCs w:val="20"/>
          <w:lang w:eastAsia="ru-RU"/>
        </w:rPr>
      </w:pPr>
    </w:p>
    <w:tbl>
      <w:tblPr>
        <w:tblW w:w="5054" w:type="pct"/>
        <w:jc w:val="center"/>
        <w:tblLook w:val="0000" w:firstRow="0" w:lastRow="0" w:firstColumn="0" w:lastColumn="0" w:noHBand="0" w:noVBand="0"/>
      </w:tblPr>
      <w:tblGrid>
        <w:gridCol w:w="4747"/>
        <w:gridCol w:w="1853"/>
        <w:gridCol w:w="1853"/>
        <w:gridCol w:w="1853"/>
      </w:tblGrid>
      <w:tr w:rsidR="00877B2F" w:rsidRPr="008E1D60" w14:paraId="4FD6B8B0" w14:textId="77777777" w:rsidTr="00877B2F">
        <w:trPr>
          <w:cantSplit/>
          <w:trHeight w:val="188"/>
          <w:tblHeader/>
          <w:jc w:val="center"/>
        </w:trPr>
        <w:tc>
          <w:tcPr>
            <w:tcW w:w="2303" w:type="pct"/>
            <w:tcBorders>
              <w:top w:val="single" w:sz="4" w:space="0" w:color="auto"/>
              <w:left w:val="single" w:sz="4" w:space="0" w:color="auto"/>
              <w:bottom w:val="single" w:sz="4" w:space="0" w:color="auto"/>
              <w:right w:val="single" w:sz="4" w:space="0" w:color="auto"/>
            </w:tcBorders>
            <w:vAlign w:val="center"/>
          </w:tcPr>
          <w:p w14:paraId="6831BC19" w14:textId="77777777" w:rsidR="00877B2F" w:rsidRPr="008E1D60" w:rsidRDefault="00877B2F" w:rsidP="00877B2F">
            <w:pPr>
              <w:spacing w:after="0" w:line="200" w:lineRule="exact"/>
              <w:jc w:val="center"/>
              <w:rPr>
                <w:rFonts w:ascii="Times New Roman" w:eastAsia="Times New Roman" w:hAnsi="Times New Roman" w:cs="Times New Roman"/>
                <w:i/>
                <w:sz w:val="24"/>
                <w:szCs w:val="24"/>
                <w:lang w:eastAsia="ru-RU"/>
              </w:rPr>
            </w:pPr>
          </w:p>
        </w:tc>
        <w:tc>
          <w:tcPr>
            <w:tcW w:w="899" w:type="pct"/>
            <w:tcBorders>
              <w:top w:val="single" w:sz="4" w:space="0" w:color="auto"/>
              <w:left w:val="single" w:sz="4" w:space="0" w:color="auto"/>
              <w:bottom w:val="single" w:sz="4" w:space="0" w:color="auto"/>
              <w:right w:val="single" w:sz="4" w:space="0" w:color="auto"/>
            </w:tcBorders>
            <w:vAlign w:val="center"/>
          </w:tcPr>
          <w:p w14:paraId="5709EC7D" w14:textId="77777777" w:rsidR="00877B2F" w:rsidRPr="008E1D60" w:rsidRDefault="00877B2F" w:rsidP="00877B2F">
            <w:pPr>
              <w:spacing w:after="0" w:line="240" w:lineRule="auto"/>
              <w:ind w:right="-57"/>
              <w:jc w:val="center"/>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2019 г.</w:t>
            </w:r>
          </w:p>
        </w:tc>
        <w:tc>
          <w:tcPr>
            <w:tcW w:w="899" w:type="pct"/>
            <w:tcBorders>
              <w:top w:val="single" w:sz="4" w:space="0" w:color="auto"/>
              <w:left w:val="single" w:sz="4" w:space="0" w:color="auto"/>
              <w:bottom w:val="single" w:sz="4" w:space="0" w:color="auto"/>
              <w:right w:val="single" w:sz="4" w:space="0" w:color="auto"/>
            </w:tcBorders>
            <w:vAlign w:val="center"/>
          </w:tcPr>
          <w:p w14:paraId="32C25658" w14:textId="77777777" w:rsidR="00877B2F" w:rsidRPr="008E1D60" w:rsidRDefault="00877B2F" w:rsidP="00877B2F">
            <w:pPr>
              <w:spacing w:after="0" w:line="240" w:lineRule="auto"/>
              <w:ind w:left="-57" w:right="-57"/>
              <w:jc w:val="center"/>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2020 г.</w:t>
            </w:r>
          </w:p>
        </w:tc>
        <w:tc>
          <w:tcPr>
            <w:tcW w:w="899" w:type="pct"/>
            <w:tcBorders>
              <w:top w:val="single" w:sz="4" w:space="0" w:color="auto"/>
              <w:left w:val="single" w:sz="4" w:space="0" w:color="auto"/>
              <w:bottom w:val="single" w:sz="4" w:space="0" w:color="auto"/>
              <w:right w:val="single" w:sz="4" w:space="0" w:color="auto"/>
            </w:tcBorders>
            <w:vAlign w:val="center"/>
          </w:tcPr>
          <w:p w14:paraId="64774D20" w14:textId="77777777" w:rsidR="00877B2F" w:rsidRPr="008E1D60" w:rsidRDefault="00877B2F" w:rsidP="00877B2F">
            <w:pPr>
              <w:spacing w:after="0" w:line="240" w:lineRule="auto"/>
              <w:ind w:right="-57"/>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2021 г.</w:t>
            </w:r>
          </w:p>
        </w:tc>
      </w:tr>
      <w:tr w:rsidR="00877B2F" w:rsidRPr="008E1D60" w14:paraId="3963F051" w14:textId="77777777" w:rsidTr="00877B2F">
        <w:trPr>
          <w:trHeight w:val="236"/>
          <w:jc w:val="center"/>
        </w:trPr>
        <w:tc>
          <w:tcPr>
            <w:tcW w:w="2303" w:type="pct"/>
            <w:tcBorders>
              <w:top w:val="single" w:sz="4" w:space="0" w:color="auto"/>
              <w:left w:val="single" w:sz="4" w:space="0" w:color="auto"/>
              <w:bottom w:val="single" w:sz="4" w:space="0" w:color="auto"/>
              <w:right w:val="single" w:sz="4" w:space="0" w:color="auto"/>
            </w:tcBorders>
            <w:vAlign w:val="bottom"/>
          </w:tcPr>
          <w:p w14:paraId="7B781FA3" w14:textId="77777777" w:rsidR="00877B2F" w:rsidRPr="008E1D60" w:rsidRDefault="00877B2F" w:rsidP="00877B2F">
            <w:pPr>
              <w:spacing w:after="0" w:line="240" w:lineRule="auto"/>
              <w:ind w:left="57"/>
              <w:rPr>
                <w:rFonts w:ascii="Times New Roman" w:eastAsia="Arial Unicode MS" w:hAnsi="Times New Roman" w:cs="Times New Roman"/>
                <w:b/>
                <w:sz w:val="24"/>
                <w:szCs w:val="24"/>
                <w:vertAlign w:val="superscript"/>
                <w:lang w:eastAsia="ru-RU"/>
              </w:rPr>
            </w:pPr>
            <w:r w:rsidRPr="008E1D60">
              <w:rPr>
                <w:rFonts w:ascii="Times New Roman" w:eastAsia="Arial Unicode MS" w:hAnsi="Times New Roman" w:cs="Times New Roman"/>
                <w:b/>
                <w:sz w:val="24"/>
                <w:szCs w:val="24"/>
                <w:lang w:eastAsia="ru-RU"/>
              </w:rPr>
              <w:t>Российская Федерация</w:t>
            </w:r>
            <w:r w:rsidRPr="008E1D60">
              <w:rPr>
                <w:rFonts w:ascii="Times New Roman" w:eastAsia="Arial Unicode MS" w:hAnsi="Times New Roman" w:cs="Times New Roman"/>
                <w:b/>
                <w:sz w:val="24"/>
                <w:szCs w:val="24"/>
                <w:vertAlign w:val="superscript"/>
                <w:lang w:eastAsia="ru-RU"/>
              </w:rPr>
              <w:t>1)</w:t>
            </w:r>
          </w:p>
        </w:tc>
        <w:tc>
          <w:tcPr>
            <w:tcW w:w="899" w:type="pct"/>
            <w:tcBorders>
              <w:top w:val="single" w:sz="4" w:space="0" w:color="auto"/>
              <w:left w:val="single" w:sz="4" w:space="0" w:color="auto"/>
              <w:bottom w:val="single" w:sz="4" w:space="0" w:color="auto"/>
              <w:right w:val="single" w:sz="4" w:space="0" w:color="auto"/>
            </w:tcBorders>
            <w:vAlign w:val="center"/>
          </w:tcPr>
          <w:p w14:paraId="4A62990A" w14:textId="77777777" w:rsidR="00877B2F" w:rsidRPr="008E1D60" w:rsidRDefault="00877B2F" w:rsidP="00877B2F">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6 997</w:t>
            </w:r>
          </w:p>
        </w:tc>
        <w:tc>
          <w:tcPr>
            <w:tcW w:w="899" w:type="pct"/>
            <w:tcBorders>
              <w:top w:val="single" w:sz="4" w:space="0" w:color="auto"/>
              <w:left w:val="single" w:sz="4" w:space="0" w:color="auto"/>
              <w:bottom w:val="single" w:sz="4" w:space="0" w:color="auto"/>
              <w:right w:val="single" w:sz="4" w:space="0" w:color="auto"/>
            </w:tcBorders>
            <w:vAlign w:val="center"/>
          </w:tcPr>
          <w:p w14:paraId="4395F2F8" w14:textId="77777777" w:rsidR="00877B2F" w:rsidRPr="008E1D60" w:rsidRDefault="00877B2F" w:rsidP="00877B2F">
            <w:pPr>
              <w:spacing w:after="0" w:line="240" w:lineRule="auto"/>
              <w:ind w:left="-57" w:right="567"/>
              <w:jc w:val="right"/>
              <w:rPr>
                <w:rFonts w:ascii="Times New Roman" w:hAnsi="Times New Roman"/>
                <w:b/>
              </w:rPr>
            </w:pPr>
            <w:r w:rsidRPr="008E1D60">
              <w:rPr>
                <w:rFonts w:ascii="Times New Roman" w:hAnsi="Times New Roman"/>
                <w:b/>
              </w:rPr>
              <w:t>7 696</w:t>
            </w:r>
          </w:p>
        </w:tc>
        <w:tc>
          <w:tcPr>
            <w:tcW w:w="899" w:type="pct"/>
            <w:tcBorders>
              <w:top w:val="single" w:sz="4" w:space="0" w:color="auto"/>
              <w:left w:val="single" w:sz="4" w:space="0" w:color="auto"/>
              <w:bottom w:val="single" w:sz="4" w:space="0" w:color="auto"/>
              <w:right w:val="single" w:sz="4" w:space="0" w:color="auto"/>
            </w:tcBorders>
            <w:vAlign w:val="center"/>
          </w:tcPr>
          <w:p w14:paraId="6A96E1DE" w14:textId="77777777" w:rsidR="00877B2F" w:rsidRPr="00CE66AB" w:rsidRDefault="00877B2F" w:rsidP="00877B2F">
            <w:pPr>
              <w:spacing w:after="0" w:line="240" w:lineRule="auto"/>
              <w:ind w:left="-57" w:right="-57"/>
              <w:jc w:val="center"/>
              <w:rPr>
                <w:rFonts w:ascii="Times New Roman" w:eastAsia="Arial Unicode MS" w:hAnsi="Times New Roman" w:cs="Times New Roman"/>
                <w:b/>
                <w:sz w:val="24"/>
                <w:szCs w:val="24"/>
                <w:lang w:val="en-US"/>
              </w:rPr>
            </w:pPr>
            <w:r w:rsidRPr="00CE66AB">
              <w:rPr>
                <w:rFonts w:ascii="Times New Roman" w:eastAsia="Arial Unicode MS" w:hAnsi="Times New Roman" w:cs="Times New Roman"/>
                <w:b/>
                <w:sz w:val="24"/>
                <w:szCs w:val="24"/>
                <w:lang w:val="en-US"/>
              </w:rPr>
              <w:t>6 841</w:t>
            </w:r>
          </w:p>
        </w:tc>
      </w:tr>
      <w:tr w:rsidR="00877B2F" w:rsidRPr="008E1D60" w14:paraId="5F009BB7" w14:textId="77777777" w:rsidTr="004A6045">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4A073821" w14:textId="77777777" w:rsidR="00877B2F" w:rsidRPr="008E1D60" w:rsidRDefault="00877B2F" w:rsidP="00877B2F">
            <w:pPr>
              <w:spacing w:after="0" w:line="240" w:lineRule="auto"/>
              <w:ind w:left="57"/>
              <w:rPr>
                <w:rFonts w:ascii="Times New Roman" w:eastAsia="Arial Unicode MS" w:hAnsi="Times New Roman" w:cs="Times New Roman"/>
                <w:b/>
                <w:sz w:val="24"/>
                <w:szCs w:val="24"/>
                <w:lang w:eastAsia="ru-RU"/>
              </w:rPr>
            </w:pPr>
            <w:r w:rsidRPr="008E1D60">
              <w:rPr>
                <w:rFonts w:ascii="Times New Roman" w:eastAsia="Arial Unicode MS" w:hAnsi="Times New Roman" w:cs="Times New Roman"/>
                <w:b/>
                <w:sz w:val="24"/>
                <w:szCs w:val="24"/>
                <w:lang w:eastAsia="ru-RU"/>
              </w:rPr>
              <w:t>Центральный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14:paraId="120128A0" w14:textId="77777777" w:rsidR="00877B2F" w:rsidRPr="008E1D60" w:rsidRDefault="00877B2F" w:rsidP="00877B2F">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1 136</w:t>
            </w:r>
          </w:p>
        </w:tc>
        <w:tc>
          <w:tcPr>
            <w:tcW w:w="899" w:type="pct"/>
            <w:tcBorders>
              <w:top w:val="single" w:sz="4" w:space="0" w:color="auto"/>
              <w:left w:val="single" w:sz="4" w:space="0" w:color="auto"/>
              <w:bottom w:val="single" w:sz="4" w:space="0" w:color="auto"/>
              <w:right w:val="single" w:sz="4" w:space="0" w:color="auto"/>
            </w:tcBorders>
            <w:vAlign w:val="center"/>
          </w:tcPr>
          <w:p w14:paraId="51804569" w14:textId="77777777" w:rsidR="00877B2F" w:rsidRPr="008E1D60" w:rsidRDefault="00877B2F" w:rsidP="00877B2F">
            <w:pPr>
              <w:spacing w:after="0" w:line="240" w:lineRule="auto"/>
              <w:ind w:left="-57" w:right="567"/>
              <w:jc w:val="right"/>
              <w:rPr>
                <w:rFonts w:ascii="Times New Roman" w:hAnsi="Times New Roman"/>
                <w:b/>
              </w:rPr>
            </w:pPr>
            <w:r w:rsidRPr="008E1D60">
              <w:rPr>
                <w:rFonts w:ascii="Times New Roman" w:hAnsi="Times New Roman"/>
                <w:b/>
              </w:rPr>
              <w:t>1 247</w:t>
            </w:r>
          </w:p>
        </w:tc>
        <w:tc>
          <w:tcPr>
            <w:tcW w:w="899" w:type="pct"/>
            <w:tcBorders>
              <w:top w:val="single" w:sz="4" w:space="0" w:color="auto"/>
              <w:left w:val="single" w:sz="4" w:space="0" w:color="auto"/>
              <w:bottom w:val="single" w:sz="4" w:space="0" w:color="auto"/>
              <w:right w:val="single" w:sz="4" w:space="0" w:color="auto"/>
            </w:tcBorders>
            <w:vAlign w:val="bottom"/>
          </w:tcPr>
          <w:p w14:paraId="40F3AB54" w14:textId="77777777" w:rsidR="00877B2F" w:rsidRPr="00CE66AB" w:rsidRDefault="00877B2F" w:rsidP="00877B2F">
            <w:pPr>
              <w:spacing w:after="0" w:line="240" w:lineRule="auto"/>
              <w:ind w:left="-57" w:right="-57"/>
              <w:jc w:val="center"/>
              <w:rPr>
                <w:rFonts w:ascii="Times New Roman" w:eastAsia="Arial Unicode MS" w:hAnsi="Times New Roman" w:cs="Times New Roman"/>
                <w:b/>
                <w:sz w:val="24"/>
                <w:szCs w:val="24"/>
                <w:lang w:val="en-US"/>
              </w:rPr>
            </w:pPr>
            <w:r w:rsidRPr="00CE66AB">
              <w:rPr>
                <w:rFonts w:ascii="Times New Roman" w:eastAsia="Arial Unicode MS" w:hAnsi="Times New Roman" w:cs="Times New Roman"/>
                <w:b/>
                <w:sz w:val="24"/>
                <w:szCs w:val="24"/>
                <w:lang w:val="en-US"/>
              </w:rPr>
              <w:t>1 052</w:t>
            </w:r>
          </w:p>
        </w:tc>
      </w:tr>
      <w:tr w:rsidR="00877B2F" w:rsidRPr="008E1D60" w14:paraId="6EEA9FD0" w14:textId="77777777" w:rsidTr="004A6045">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3562B265"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Белгородская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26628A49" w14:textId="77777777" w:rsidR="00877B2F" w:rsidRPr="008E1D60" w:rsidRDefault="00877B2F" w:rsidP="00877B2F">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47</w:t>
            </w:r>
          </w:p>
        </w:tc>
        <w:tc>
          <w:tcPr>
            <w:tcW w:w="899" w:type="pct"/>
            <w:tcBorders>
              <w:top w:val="single" w:sz="4" w:space="0" w:color="auto"/>
              <w:left w:val="single" w:sz="4" w:space="0" w:color="auto"/>
              <w:bottom w:val="single" w:sz="4" w:space="0" w:color="auto"/>
              <w:right w:val="single" w:sz="4" w:space="0" w:color="auto"/>
            </w:tcBorders>
            <w:vAlign w:val="center"/>
          </w:tcPr>
          <w:p w14:paraId="2D5FD1D6"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57</w:t>
            </w:r>
          </w:p>
        </w:tc>
        <w:tc>
          <w:tcPr>
            <w:tcW w:w="899" w:type="pct"/>
            <w:tcBorders>
              <w:top w:val="single" w:sz="4" w:space="0" w:color="auto"/>
              <w:left w:val="single" w:sz="4" w:space="0" w:color="auto"/>
              <w:bottom w:val="single" w:sz="4" w:space="0" w:color="auto"/>
              <w:right w:val="single" w:sz="4" w:space="0" w:color="auto"/>
            </w:tcBorders>
            <w:vAlign w:val="bottom"/>
          </w:tcPr>
          <w:p w14:paraId="5001C4E0" w14:textId="77777777" w:rsidR="00877B2F" w:rsidRPr="00CE66AB" w:rsidRDefault="00877B2F" w:rsidP="00877B2F">
            <w:pPr>
              <w:spacing w:after="0" w:line="240" w:lineRule="auto"/>
              <w:ind w:left="-57" w:right="-57"/>
              <w:jc w:val="center"/>
              <w:rPr>
                <w:rFonts w:ascii="Times New Roman" w:eastAsia="Arial Unicode MS" w:hAnsi="Times New Roman" w:cs="Times New Roman"/>
                <w:sz w:val="24"/>
                <w:szCs w:val="24"/>
              </w:rPr>
            </w:pPr>
            <w:r w:rsidRPr="00CE66AB">
              <w:rPr>
                <w:rFonts w:ascii="Times New Roman" w:eastAsia="Arial Unicode MS" w:hAnsi="Times New Roman" w:cs="Times New Roman"/>
                <w:sz w:val="24"/>
                <w:szCs w:val="24"/>
              </w:rPr>
              <w:t>62</w:t>
            </w:r>
          </w:p>
        </w:tc>
      </w:tr>
      <w:tr w:rsidR="00877B2F" w:rsidRPr="008E1D60" w14:paraId="51B03652" w14:textId="77777777" w:rsidTr="004A6045">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3A01D19E"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Брянская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72D37954" w14:textId="77777777" w:rsidR="00877B2F" w:rsidRPr="008E1D60" w:rsidRDefault="00877B2F" w:rsidP="00877B2F">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75</w:t>
            </w:r>
          </w:p>
        </w:tc>
        <w:tc>
          <w:tcPr>
            <w:tcW w:w="899" w:type="pct"/>
            <w:tcBorders>
              <w:top w:val="single" w:sz="4" w:space="0" w:color="auto"/>
              <w:left w:val="single" w:sz="4" w:space="0" w:color="auto"/>
              <w:bottom w:val="single" w:sz="4" w:space="0" w:color="auto"/>
              <w:right w:val="single" w:sz="4" w:space="0" w:color="auto"/>
            </w:tcBorders>
            <w:vAlign w:val="center"/>
          </w:tcPr>
          <w:p w14:paraId="35E2910A"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91</w:t>
            </w:r>
          </w:p>
        </w:tc>
        <w:tc>
          <w:tcPr>
            <w:tcW w:w="899" w:type="pct"/>
            <w:tcBorders>
              <w:top w:val="single" w:sz="4" w:space="0" w:color="auto"/>
              <w:left w:val="single" w:sz="4" w:space="0" w:color="auto"/>
              <w:bottom w:val="single" w:sz="4" w:space="0" w:color="auto"/>
              <w:right w:val="single" w:sz="4" w:space="0" w:color="auto"/>
            </w:tcBorders>
            <w:vAlign w:val="bottom"/>
          </w:tcPr>
          <w:p w14:paraId="4FE2FA7C" w14:textId="77777777" w:rsidR="00877B2F" w:rsidRPr="00CE66AB" w:rsidRDefault="00877B2F" w:rsidP="00877B2F">
            <w:pPr>
              <w:spacing w:after="0" w:line="240" w:lineRule="auto"/>
              <w:ind w:left="-57" w:right="-57"/>
              <w:jc w:val="center"/>
              <w:rPr>
                <w:rFonts w:ascii="Times New Roman" w:eastAsia="Arial Unicode MS" w:hAnsi="Times New Roman" w:cs="Times New Roman"/>
                <w:sz w:val="24"/>
                <w:szCs w:val="24"/>
              </w:rPr>
            </w:pPr>
            <w:r w:rsidRPr="00CE66AB">
              <w:rPr>
                <w:rFonts w:ascii="Times New Roman" w:eastAsia="Arial Unicode MS" w:hAnsi="Times New Roman" w:cs="Times New Roman"/>
                <w:sz w:val="24"/>
                <w:szCs w:val="24"/>
              </w:rPr>
              <w:t>66</w:t>
            </w:r>
          </w:p>
        </w:tc>
      </w:tr>
      <w:tr w:rsidR="00877B2F" w:rsidRPr="008E1D60" w14:paraId="4A25E180" w14:textId="77777777" w:rsidTr="004A6045">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7020C85E"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Владимирская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34B3C386" w14:textId="77777777" w:rsidR="00877B2F" w:rsidRPr="008E1D60" w:rsidRDefault="00877B2F" w:rsidP="00877B2F">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97</w:t>
            </w:r>
          </w:p>
        </w:tc>
        <w:tc>
          <w:tcPr>
            <w:tcW w:w="899" w:type="pct"/>
            <w:tcBorders>
              <w:top w:val="single" w:sz="4" w:space="0" w:color="auto"/>
              <w:left w:val="single" w:sz="4" w:space="0" w:color="auto"/>
              <w:bottom w:val="single" w:sz="4" w:space="0" w:color="auto"/>
              <w:right w:val="single" w:sz="4" w:space="0" w:color="auto"/>
            </w:tcBorders>
            <w:vAlign w:val="center"/>
          </w:tcPr>
          <w:p w14:paraId="6F60AB71"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96</w:t>
            </w:r>
          </w:p>
        </w:tc>
        <w:tc>
          <w:tcPr>
            <w:tcW w:w="899" w:type="pct"/>
            <w:tcBorders>
              <w:top w:val="single" w:sz="4" w:space="0" w:color="auto"/>
              <w:left w:val="single" w:sz="4" w:space="0" w:color="auto"/>
              <w:bottom w:val="single" w:sz="4" w:space="0" w:color="auto"/>
              <w:right w:val="single" w:sz="4" w:space="0" w:color="auto"/>
            </w:tcBorders>
            <w:vAlign w:val="bottom"/>
          </w:tcPr>
          <w:p w14:paraId="6A9DFDFE" w14:textId="77777777" w:rsidR="00877B2F" w:rsidRPr="00CE66AB" w:rsidRDefault="00877B2F" w:rsidP="00877B2F">
            <w:pPr>
              <w:spacing w:after="0" w:line="240" w:lineRule="auto"/>
              <w:ind w:left="-57" w:right="-57"/>
              <w:jc w:val="center"/>
              <w:rPr>
                <w:rFonts w:ascii="Times New Roman" w:eastAsia="Arial Unicode MS" w:hAnsi="Times New Roman" w:cs="Times New Roman"/>
                <w:sz w:val="24"/>
                <w:szCs w:val="24"/>
              </w:rPr>
            </w:pPr>
            <w:r w:rsidRPr="00CE66AB">
              <w:rPr>
                <w:rFonts w:ascii="Times New Roman" w:eastAsia="Arial Unicode MS" w:hAnsi="Times New Roman" w:cs="Times New Roman"/>
                <w:sz w:val="24"/>
                <w:szCs w:val="24"/>
              </w:rPr>
              <w:t>105</w:t>
            </w:r>
          </w:p>
        </w:tc>
      </w:tr>
      <w:tr w:rsidR="00877B2F" w:rsidRPr="008E1D60" w14:paraId="70D1E0E3" w14:textId="77777777" w:rsidTr="004A6045">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2A48B861"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Воронежская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42D622A7" w14:textId="77777777" w:rsidR="00877B2F" w:rsidRPr="008E1D60" w:rsidRDefault="00877B2F" w:rsidP="00877B2F">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61</w:t>
            </w:r>
          </w:p>
        </w:tc>
        <w:tc>
          <w:tcPr>
            <w:tcW w:w="899" w:type="pct"/>
            <w:tcBorders>
              <w:top w:val="single" w:sz="4" w:space="0" w:color="auto"/>
              <w:left w:val="single" w:sz="4" w:space="0" w:color="auto"/>
              <w:bottom w:val="single" w:sz="4" w:space="0" w:color="auto"/>
              <w:right w:val="single" w:sz="4" w:space="0" w:color="auto"/>
            </w:tcBorders>
            <w:vAlign w:val="center"/>
          </w:tcPr>
          <w:p w14:paraId="2BFC2A19"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77</w:t>
            </w:r>
          </w:p>
        </w:tc>
        <w:tc>
          <w:tcPr>
            <w:tcW w:w="899" w:type="pct"/>
            <w:tcBorders>
              <w:top w:val="single" w:sz="4" w:space="0" w:color="auto"/>
              <w:left w:val="single" w:sz="4" w:space="0" w:color="auto"/>
              <w:bottom w:val="single" w:sz="4" w:space="0" w:color="auto"/>
              <w:right w:val="single" w:sz="4" w:space="0" w:color="auto"/>
            </w:tcBorders>
            <w:vAlign w:val="bottom"/>
          </w:tcPr>
          <w:p w14:paraId="03E7DB3A" w14:textId="77777777" w:rsidR="00877B2F" w:rsidRPr="00CE66AB" w:rsidRDefault="00877B2F" w:rsidP="00877B2F">
            <w:pPr>
              <w:spacing w:after="0" w:line="240" w:lineRule="auto"/>
              <w:ind w:left="-57" w:right="-57"/>
              <w:jc w:val="center"/>
              <w:rPr>
                <w:rFonts w:ascii="Times New Roman" w:eastAsia="Arial Unicode MS" w:hAnsi="Times New Roman" w:cs="Times New Roman"/>
                <w:sz w:val="24"/>
                <w:szCs w:val="24"/>
              </w:rPr>
            </w:pPr>
            <w:r w:rsidRPr="00CE66AB">
              <w:rPr>
                <w:rFonts w:ascii="Times New Roman" w:eastAsia="Arial Unicode MS" w:hAnsi="Times New Roman" w:cs="Times New Roman"/>
                <w:sz w:val="24"/>
                <w:szCs w:val="24"/>
              </w:rPr>
              <w:t>54</w:t>
            </w:r>
          </w:p>
        </w:tc>
      </w:tr>
      <w:tr w:rsidR="00877B2F" w:rsidRPr="008E1D60" w14:paraId="2B927A1D" w14:textId="77777777" w:rsidTr="004A6045">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3EAD53BC"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Ивановская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1A722319" w14:textId="77777777" w:rsidR="00877B2F" w:rsidRPr="008E1D60" w:rsidRDefault="00877B2F" w:rsidP="00877B2F">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35</w:t>
            </w:r>
          </w:p>
        </w:tc>
        <w:tc>
          <w:tcPr>
            <w:tcW w:w="899" w:type="pct"/>
            <w:tcBorders>
              <w:top w:val="single" w:sz="4" w:space="0" w:color="auto"/>
              <w:left w:val="single" w:sz="4" w:space="0" w:color="auto"/>
              <w:bottom w:val="single" w:sz="4" w:space="0" w:color="auto"/>
              <w:right w:val="single" w:sz="4" w:space="0" w:color="auto"/>
            </w:tcBorders>
            <w:vAlign w:val="center"/>
          </w:tcPr>
          <w:p w14:paraId="27B93AB8"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47</w:t>
            </w:r>
          </w:p>
        </w:tc>
        <w:tc>
          <w:tcPr>
            <w:tcW w:w="899" w:type="pct"/>
            <w:tcBorders>
              <w:top w:val="single" w:sz="4" w:space="0" w:color="auto"/>
              <w:left w:val="single" w:sz="4" w:space="0" w:color="auto"/>
              <w:bottom w:val="single" w:sz="4" w:space="0" w:color="auto"/>
              <w:right w:val="single" w:sz="4" w:space="0" w:color="auto"/>
            </w:tcBorders>
            <w:vAlign w:val="bottom"/>
          </w:tcPr>
          <w:p w14:paraId="080E6702" w14:textId="77777777" w:rsidR="00877B2F" w:rsidRPr="00CE66AB" w:rsidRDefault="00877B2F" w:rsidP="00877B2F">
            <w:pPr>
              <w:spacing w:after="0" w:line="240" w:lineRule="auto"/>
              <w:ind w:left="-57" w:right="-57"/>
              <w:jc w:val="center"/>
              <w:rPr>
                <w:rFonts w:ascii="Times New Roman" w:eastAsia="Arial Unicode MS" w:hAnsi="Times New Roman" w:cs="Times New Roman"/>
                <w:sz w:val="24"/>
                <w:szCs w:val="24"/>
              </w:rPr>
            </w:pPr>
            <w:r w:rsidRPr="00CE66AB">
              <w:rPr>
                <w:rFonts w:ascii="Times New Roman" w:eastAsia="Arial Unicode MS" w:hAnsi="Times New Roman" w:cs="Times New Roman"/>
                <w:sz w:val="24"/>
                <w:szCs w:val="24"/>
              </w:rPr>
              <w:t>29</w:t>
            </w:r>
          </w:p>
        </w:tc>
      </w:tr>
      <w:tr w:rsidR="00877B2F" w:rsidRPr="008E1D60" w14:paraId="137966AE" w14:textId="77777777" w:rsidTr="004A6045">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2D6381D4"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Калужская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5D786CF1" w14:textId="77777777" w:rsidR="00877B2F" w:rsidRPr="008E1D60" w:rsidRDefault="00877B2F" w:rsidP="00877B2F">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37</w:t>
            </w:r>
          </w:p>
        </w:tc>
        <w:tc>
          <w:tcPr>
            <w:tcW w:w="899" w:type="pct"/>
            <w:tcBorders>
              <w:top w:val="single" w:sz="4" w:space="0" w:color="auto"/>
              <w:left w:val="single" w:sz="4" w:space="0" w:color="auto"/>
              <w:bottom w:val="single" w:sz="4" w:space="0" w:color="auto"/>
              <w:right w:val="single" w:sz="4" w:space="0" w:color="auto"/>
            </w:tcBorders>
            <w:vAlign w:val="center"/>
          </w:tcPr>
          <w:p w14:paraId="6FF84BF7"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45</w:t>
            </w:r>
          </w:p>
        </w:tc>
        <w:tc>
          <w:tcPr>
            <w:tcW w:w="899" w:type="pct"/>
            <w:tcBorders>
              <w:top w:val="single" w:sz="4" w:space="0" w:color="auto"/>
              <w:left w:val="single" w:sz="4" w:space="0" w:color="auto"/>
              <w:bottom w:val="single" w:sz="4" w:space="0" w:color="auto"/>
              <w:right w:val="single" w:sz="4" w:space="0" w:color="auto"/>
            </w:tcBorders>
            <w:vAlign w:val="bottom"/>
          </w:tcPr>
          <w:p w14:paraId="23872A95" w14:textId="77777777" w:rsidR="00877B2F" w:rsidRPr="00CE66AB" w:rsidRDefault="00877B2F" w:rsidP="00877B2F">
            <w:pPr>
              <w:spacing w:after="0" w:line="240" w:lineRule="auto"/>
              <w:ind w:left="-57" w:right="-57"/>
              <w:jc w:val="center"/>
              <w:rPr>
                <w:rFonts w:ascii="Times New Roman" w:eastAsia="Arial Unicode MS" w:hAnsi="Times New Roman" w:cs="Times New Roman"/>
                <w:sz w:val="24"/>
                <w:szCs w:val="24"/>
              </w:rPr>
            </w:pPr>
            <w:r w:rsidRPr="00CE66AB">
              <w:rPr>
                <w:rFonts w:ascii="Times New Roman" w:eastAsia="Arial Unicode MS" w:hAnsi="Times New Roman" w:cs="Times New Roman"/>
                <w:sz w:val="24"/>
                <w:szCs w:val="24"/>
              </w:rPr>
              <w:t>33</w:t>
            </w:r>
          </w:p>
        </w:tc>
      </w:tr>
      <w:tr w:rsidR="00877B2F" w:rsidRPr="008E1D60" w14:paraId="140A5534" w14:textId="77777777" w:rsidTr="004A6045">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3364DECE"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Костромская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3FC44427" w14:textId="77777777" w:rsidR="00877B2F" w:rsidRPr="008E1D60" w:rsidRDefault="00877B2F" w:rsidP="00877B2F">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36</w:t>
            </w:r>
          </w:p>
        </w:tc>
        <w:tc>
          <w:tcPr>
            <w:tcW w:w="899" w:type="pct"/>
            <w:tcBorders>
              <w:top w:val="single" w:sz="4" w:space="0" w:color="auto"/>
              <w:left w:val="single" w:sz="4" w:space="0" w:color="auto"/>
              <w:bottom w:val="single" w:sz="4" w:space="0" w:color="auto"/>
              <w:right w:val="single" w:sz="4" w:space="0" w:color="auto"/>
            </w:tcBorders>
            <w:vAlign w:val="center"/>
          </w:tcPr>
          <w:p w14:paraId="6777524C"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37</w:t>
            </w:r>
          </w:p>
        </w:tc>
        <w:tc>
          <w:tcPr>
            <w:tcW w:w="899" w:type="pct"/>
            <w:tcBorders>
              <w:top w:val="single" w:sz="4" w:space="0" w:color="auto"/>
              <w:left w:val="single" w:sz="4" w:space="0" w:color="auto"/>
              <w:bottom w:val="single" w:sz="4" w:space="0" w:color="auto"/>
              <w:right w:val="single" w:sz="4" w:space="0" w:color="auto"/>
            </w:tcBorders>
            <w:vAlign w:val="bottom"/>
          </w:tcPr>
          <w:p w14:paraId="679D2E69" w14:textId="77777777" w:rsidR="00877B2F" w:rsidRPr="00CE66AB" w:rsidRDefault="00877B2F" w:rsidP="00877B2F">
            <w:pPr>
              <w:spacing w:after="0" w:line="240" w:lineRule="auto"/>
              <w:ind w:left="-57" w:right="-57"/>
              <w:jc w:val="center"/>
              <w:rPr>
                <w:rFonts w:ascii="Times New Roman" w:eastAsia="Arial Unicode MS" w:hAnsi="Times New Roman" w:cs="Times New Roman"/>
                <w:sz w:val="24"/>
                <w:szCs w:val="24"/>
              </w:rPr>
            </w:pPr>
            <w:r w:rsidRPr="00CE66AB">
              <w:rPr>
                <w:rFonts w:ascii="Times New Roman" w:eastAsia="Arial Unicode MS" w:hAnsi="Times New Roman" w:cs="Times New Roman"/>
                <w:sz w:val="24"/>
                <w:szCs w:val="24"/>
              </w:rPr>
              <w:t>28</w:t>
            </w:r>
          </w:p>
        </w:tc>
      </w:tr>
      <w:tr w:rsidR="00877B2F" w:rsidRPr="008E1D60" w14:paraId="651B82CB" w14:textId="77777777" w:rsidTr="004A6045">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6B73644F"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Курская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44DC2249" w14:textId="77777777" w:rsidR="00877B2F" w:rsidRPr="008E1D60" w:rsidRDefault="00877B2F" w:rsidP="00877B2F">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21</w:t>
            </w:r>
          </w:p>
        </w:tc>
        <w:tc>
          <w:tcPr>
            <w:tcW w:w="899" w:type="pct"/>
            <w:tcBorders>
              <w:top w:val="single" w:sz="4" w:space="0" w:color="auto"/>
              <w:left w:val="single" w:sz="4" w:space="0" w:color="auto"/>
              <w:bottom w:val="single" w:sz="4" w:space="0" w:color="auto"/>
              <w:right w:val="single" w:sz="4" w:space="0" w:color="auto"/>
            </w:tcBorders>
            <w:vAlign w:val="center"/>
          </w:tcPr>
          <w:p w14:paraId="4C1C2076"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25</w:t>
            </w:r>
          </w:p>
        </w:tc>
        <w:tc>
          <w:tcPr>
            <w:tcW w:w="899" w:type="pct"/>
            <w:tcBorders>
              <w:top w:val="single" w:sz="4" w:space="0" w:color="auto"/>
              <w:left w:val="single" w:sz="4" w:space="0" w:color="auto"/>
              <w:bottom w:val="single" w:sz="4" w:space="0" w:color="auto"/>
              <w:right w:val="single" w:sz="4" w:space="0" w:color="auto"/>
            </w:tcBorders>
            <w:vAlign w:val="bottom"/>
          </w:tcPr>
          <w:p w14:paraId="6E1635D1" w14:textId="77777777" w:rsidR="00877B2F" w:rsidRPr="00CE66AB" w:rsidRDefault="00877B2F" w:rsidP="00877B2F">
            <w:pPr>
              <w:spacing w:after="0" w:line="240" w:lineRule="auto"/>
              <w:ind w:left="-57" w:right="-57"/>
              <w:jc w:val="center"/>
              <w:rPr>
                <w:rFonts w:ascii="Times New Roman" w:eastAsia="Arial Unicode MS" w:hAnsi="Times New Roman" w:cs="Times New Roman"/>
                <w:sz w:val="24"/>
                <w:szCs w:val="24"/>
              </w:rPr>
            </w:pPr>
            <w:r w:rsidRPr="00CE66AB">
              <w:rPr>
                <w:rFonts w:ascii="Times New Roman" w:eastAsia="Arial Unicode MS" w:hAnsi="Times New Roman" w:cs="Times New Roman"/>
                <w:sz w:val="24"/>
                <w:szCs w:val="24"/>
              </w:rPr>
              <w:t>14</w:t>
            </w:r>
          </w:p>
        </w:tc>
      </w:tr>
      <w:tr w:rsidR="00877B2F" w:rsidRPr="008E1D60" w14:paraId="78E94451" w14:textId="77777777" w:rsidTr="004A6045">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6B7586ED"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Липецкая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16C6227E" w14:textId="77777777" w:rsidR="00877B2F" w:rsidRPr="008E1D60" w:rsidRDefault="00877B2F" w:rsidP="00877B2F">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37</w:t>
            </w:r>
          </w:p>
        </w:tc>
        <w:tc>
          <w:tcPr>
            <w:tcW w:w="899" w:type="pct"/>
            <w:tcBorders>
              <w:top w:val="single" w:sz="4" w:space="0" w:color="auto"/>
              <w:left w:val="single" w:sz="4" w:space="0" w:color="auto"/>
              <w:bottom w:val="single" w:sz="4" w:space="0" w:color="auto"/>
              <w:right w:val="single" w:sz="4" w:space="0" w:color="auto"/>
            </w:tcBorders>
            <w:vAlign w:val="center"/>
          </w:tcPr>
          <w:p w14:paraId="4A2600EF"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36</w:t>
            </w:r>
          </w:p>
        </w:tc>
        <w:tc>
          <w:tcPr>
            <w:tcW w:w="899" w:type="pct"/>
            <w:tcBorders>
              <w:top w:val="single" w:sz="4" w:space="0" w:color="auto"/>
              <w:left w:val="single" w:sz="4" w:space="0" w:color="auto"/>
              <w:bottom w:val="single" w:sz="4" w:space="0" w:color="auto"/>
              <w:right w:val="single" w:sz="4" w:space="0" w:color="auto"/>
            </w:tcBorders>
            <w:vAlign w:val="bottom"/>
          </w:tcPr>
          <w:p w14:paraId="2EFE9D67" w14:textId="77777777" w:rsidR="00877B2F" w:rsidRPr="00CE66AB" w:rsidRDefault="00877B2F" w:rsidP="00877B2F">
            <w:pPr>
              <w:spacing w:after="0" w:line="240" w:lineRule="auto"/>
              <w:ind w:left="-57" w:right="-57"/>
              <w:jc w:val="center"/>
              <w:rPr>
                <w:rFonts w:ascii="Times New Roman" w:eastAsia="Arial Unicode MS" w:hAnsi="Times New Roman" w:cs="Times New Roman"/>
                <w:sz w:val="24"/>
                <w:szCs w:val="24"/>
              </w:rPr>
            </w:pPr>
            <w:r w:rsidRPr="00CE66AB">
              <w:rPr>
                <w:rFonts w:ascii="Times New Roman" w:eastAsia="Arial Unicode MS" w:hAnsi="Times New Roman" w:cs="Times New Roman"/>
                <w:sz w:val="24"/>
                <w:szCs w:val="24"/>
              </w:rPr>
              <w:t>19</w:t>
            </w:r>
          </w:p>
        </w:tc>
      </w:tr>
      <w:tr w:rsidR="00877B2F" w:rsidRPr="008E1D60" w14:paraId="3654F796" w14:textId="77777777" w:rsidTr="004A6045">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27EED7B4"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Московская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10D5ED09" w14:textId="77777777" w:rsidR="00877B2F" w:rsidRPr="008E1D60" w:rsidRDefault="00877B2F" w:rsidP="00877B2F">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80</w:t>
            </w:r>
          </w:p>
        </w:tc>
        <w:tc>
          <w:tcPr>
            <w:tcW w:w="899" w:type="pct"/>
            <w:tcBorders>
              <w:top w:val="single" w:sz="4" w:space="0" w:color="auto"/>
              <w:left w:val="single" w:sz="4" w:space="0" w:color="auto"/>
              <w:bottom w:val="single" w:sz="4" w:space="0" w:color="auto"/>
              <w:right w:val="single" w:sz="4" w:space="0" w:color="auto"/>
            </w:tcBorders>
            <w:vAlign w:val="center"/>
          </w:tcPr>
          <w:p w14:paraId="79F3212C"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69</w:t>
            </w:r>
          </w:p>
        </w:tc>
        <w:tc>
          <w:tcPr>
            <w:tcW w:w="899" w:type="pct"/>
            <w:tcBorders>
              <w:top w:val="single" w:sz="4" w:space="0" w:color="auto"/>
              <w:left w:val="single" w:sz="4" w:space="0" w:color="auto"/>
              <w:bottom w:val="single" w:sz="4" w:space="0" w:color="auto"/>
              <w:right w:val="single" w:sz="4" w:space="0" w:color="auto"/>
            </w:tcBorders>
            <w:vAlign w:val="bottom"/>
          </w:tcPr>
          <w:p w14:paraId="7F4C89F2" w14:textId="77777777" w:rsidR="00877B2F" w:rsidRPr="00CE66AB" w:rsidRDefault="00877B2F" w:rsidP="00877B2F">
            <w:pPr>
              <w:spacing w:after="0" w:line="240" w:lineRule="auto"/>
              <w:ind w:left="-57" w:right="-57"/>
              <w:jc w:val="center"/>
              <w:rPr>
                <w:rFonts w:ascii="Times New Roman" w:eastAsia="Arial Unicode MS" w:hAnsi="Times New Roman" w:cs="Times New Roman"/>
                <w:sz w:val="24"/>
                <w:szCs w:val="24"/>
              </w:rPr>
            </w:pPr>
            <w:r w:rsidRPr="00CE66AB">
              <w:rPr>
                <w:rFonts w:ascii="Times New Roman" w:eastAsia="Arial Unicode MS" w:hAnsi="Times New Roman" w:cs="Times New Roman"/>
                <w:sz w:val="24"/>
                <w:szCs w:val="24"/>
              </w:rPr>
              <w:t>59</w:t>
            </w:r>
          </w:p>
        </w:tc>
      </w:tr>
      <w:tr w:rsidR="00877B2F" w:rsidRPr="008E1D60" w14:paraId="46531D0A" w14:textId="77777777" w:rsidTr="004A6045">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74AAF3E8"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Орловская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5D5BF0E2" w14:textId="77777777" w:rsidR="00877B2F" w:rsidRPr="008E1D60" w:rsidRDefault="00877B2F" w:rsidP="00877B2F">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50</w:t>
            </w:r>
          </w:p>
        </w:tc>
        <w:tc>
          <w:tcPr>
            <w:tcW w:w="899" w:type="pct"/>
            <w:tcBorders>
              <w:top w:val="single" w:sz="4" w:space="0" w:color="auto"/>
              <w:left w:val="single" w:sz="4" w:space="0" w:color="auto"/>
              <w:bottom w:val="single" w:sz="4" w:space="0" w:color="auto"/>
              <w:right w:val="single" w:sz="4" w:space="0" w:color="auto"/>
            </w:tcBorders>
            <w:vAlign w:val="center"/>
          </w:tcPr>
          <w:p w14:paraId="2B34F3A2"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52</w:t>
            </w:r>
          </w:p>
        </w:tc>
        <w:tc>
          <w:tcPr>
            <w:tcW w:w="899" w:type="pct"/>
            <w:tcBorders>
              <w:top w:val="single" w:sz="4" w:space="0" w:color="auto"/>
              <w:left w:val="single" w:sz="4" w:space="0" w:color="auto"/>
              <w:bottom w:val="single" w:sz="4" w:space="0" w:color="auto"/>
              <w:right w:val="single" w:sz="4" w:space="0" w:color="auto"/>
            </w:tcBorders>
            <w:vAlign w:val="bottom"/>
          </w:tcPr>
          <w:p w14:paraId="2973460D" w14:textId="77777777" w:rsidR="00877B2F" w:rsidRPr="00CE66AB" w:rsidRDefault="00877B2F" w:rsidP="00877B2F">
            <w:pPr>
              <w:spacing w:after="0" w:line="240" w:lineRule="auto"/>
              <w:ind w:left="-57" w:right="-57"/>
              <w:jc w:val="center"/>
              <w:rPr>
                <w:rFonts w:ascii="Times New Roman" w:eastAsia="Arial Unicode MS" w:hAnsi="Times New Roman" w:cs="Times New Roman"/>
                <w:sz w:val="24"/>
                <w:szCs w:val="24"/>
              </w:rPr>
            </w:pPr>
            <w:r w:rsidRPr="00CE66AB">
              <w:rPr>
                <w:rFonts w:ascii="Times New Roman" w:eastAsia="Arial Unicode MS" w:hAnsi="Times New Roman" w:cs="Times New Roman"/>
                <w:sz w:val="24"/>
                <w:szCs w:val="24"/>
              </w:rPr>
              <w:t>44</w:t>
            </w:r>
          </w:p>
        </w:tc>
      </w:tr>
      <w:tr w:rsidR="00877B2F" w:rsidRPr="008E1D60" w14:paraId="762E5D11" w14:textId="77777777" w:rsidTr="004A6045">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7D8DEAEF"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Рязанская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487ADF04" w14:textId="77777777" w:rsidR="00877B2F" w:rsidRPr="008E1D60" w:rsidRDefault="00877B2F" w:rsidP="00877B2F">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40</w:t>
            </w:r>
          </w:p>
        </w:tc>
        <w:tc>
          <w:tcPr>
            <w:tcW w:w="899" w:type="pct"/>
            <w:tcBorders>
              <w:top w:val="single" w:sz="4" w:space="0" w:color="auto"/>
              <w:left w:val="single" w:sz="4" w:space="0" w:color="auto"/>
              <w:bottom w:val="single" w:sz="4" w:space="0" w:color="auto"/>
              <w:right w:val="single" w:sz="4" w:space="0" w:color="auto"/>
            </w:tcBorders>
            <w:vAlign w:val="center"/>
          </w:tcPr>
          <w:p w14:paraId="2CCA7099"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47</w:t>
            </w:r>
          </w:p>
        </w:tc>
        <w:tc>
          <w:tcPr>
            <w:tcW w:w="899" w:type="pct"/>
            <w:tcBorders>
              <w:top w:val="single" w:sz="4" w:space="0" w:color="auto"/>
              <w:left w:val="single" w:sz="4" w:space="0" w:color="auto"/>
              <w:bottom w:val="single" w:sz="4" w:space="0" w:color="auto"/>
              <w:right w:val="single" w:sz="4" w:space="0" w:color="auto"/>
            </w:tcBorders>
            <w:vAlign w:val="bottom"/>
          </w:tcPr>
          <w:p w14:paraId="6D4E76BF" w14:textId="77777777" w:rsidR="00877B2F" w:rsidRPr="00CE66AB" w:rsidRDefault="00877B2F" w:rsidP="00877B2F">
            <w:pPr>
              <w:spacing w:after="0" w:line="240" w:lineRule="auto"/>
              <w:ind w:left="-57" w:right="-57"/>
              <w:jc w:val="center"/>
              <w:rPr>
                <w:rFonts w:ascii="Times New Roman" w:eastAsia="Arial Unicode MS" w:hAnsi="Times New Roman" w:cs="Times New Roman"/>
                <w:sz w:val="24"/>
                <w:szCs w:val="24"/>
              </w:rPr>
            </w:pPr>
            <w:r w:rsidRPr="00CE66AB">
              <w:rPr>
                <w:rFonts w:ascii="Times New Roman" w:eastAsia="Arial Unicode MS" w:hAnsi="Times New Roman" w:cs="Times New Roman"/>
                <w:sz w:val="24"/>
                <w:szCs w:val="24"/>
              </w:rPr>
              <w:t>31</w:t>
            </w:r>
          </w:p>
        </w:tc>
      </w:tr>
      <w:tr w:rsidR="00877B2F" w:rsidRPr="008E1D60" w14:paraId="591941DD" w14:textId="77777777" w:rsidTr="004A6045">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6BB553BA"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Смоленская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2659FED5" w14:textId="77777777" w:rsidR="00877B2F" w:rsidRPr="008E1D60" w:rsidRDefault="00877B2F" w:rsidP="00877B2F">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49</w:t>
            </w:r>
          </w:p>
        </w:tc>
        <w:tc>
          <w:tcPr>
            <w:tcW w:w="899" w:type="pct"/>
            <w:tcBorders>
              <w:top w:val="single" w:sz="4" w:space="0" w:color="auto"/>
              <w:left w:val="single" w:sz="4" w:space="0" w:color="auto"/>
              <w:bottom w:val="single" w:sz="4" w:space="0" w:color="auto"/>
              <w:right w:val="single" w:sz="4" w:space="0" w:color="auto"/>
            </w:tcBorders>
            <w:vAlign w:val="center"/>
          </w:tcPr>
          <w:p w14:paraId="6591F962"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51</w:t>
            </w:r>
          </w:p>
        </w:tc>
        <w:tc>
          <w:tcPr>
            <w:tcW w:w="899" w:type="pct"/>
            <w:tcBorders>
              <w:top w:val="single" w:sz="4" w:space="0" w:color="auto"/>
              <w:left w:val="single" w:sz="4" w:space="0" w:color="auto"/>
              <w:bottom w:val="single" w:sz="4" w:space="0" w:color="auto"/>
              <w:right w:val="single" w:sz="4" w:space="0" w:color="auto"/>
            </w:tcBorders>
            <w:vAlign w:val="bottom"/>
          </w:tcPr>
          <w:p w14:paraId="2C1913CC" w14:textId="77777777" w:rsidR="00877B2F" w:rsidRPr="00CE66AB" w:rsidRDefault="00877B2F" w:rsidP="00877B2F">
            <w:pPr>
              <w:spacing w:after="0" w:line="240" w:lineRule="auto"/>
              <w:ind w:left="-57" w:right="-57"/>
              <w:jc w:val="center"/>
              <w:rPr>
                <w:rFonts w:ascii="Times New Roman" w:eastAsia="Arial Unicode MS" w:hAnsi="Times New Roman" w:cs="Times New Roman"/>
                <w:sz w:val="24"/>
                <w:szCs w:val="24"/>
              </w:rPr>
            </w:pPr>
            <w:r w:rsidRPr="00CE66AB">
              <w:rPr>
                <w:rFonts w:ascii="Times New Roman" w:eastAsia="Arial Unicode MS" w:hAnsi="Times New Roman" w:cs="Times New Roman"/>
                <w:sz w:val="24"/>
                <w:szCs w:val="24"/>
              </w:rPr>
              <w:t>61</w:t>
            </w:r>
          </w:p>
        </w:tc>
      </w:tr>
      <w:tr w:rsidR="00877B2F" w:rsidRPr="008E1D60" w14:paraId="0BCE9D4E" w14:textId="77777777" w:rsidTr="004A6045">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3900A370"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Тамбовская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688AC598" w14:textId="77777777" w:rsidR="00877B2F" w:rsidRPr="008E1D60" w:rsidRDefault="00877B2F" w:rsidP="00877B2F">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71</w:t>
            </w:r>
          </w:p>
        </w:tc>
        <w:tc>
          <w:tcPr>
            <w:tcW w:w="899" w:type="pct"/>
            <w:tcBorders>
              <w:top w:val="single" w:sz="4" w:space="0" w:color="auto"/>
              <w:left w:val="single" w:sz="4" w:space="0" w:color="auto"/>
              <w:bottom w:val="single" w:sz="4" w:space="0" w:color="auto"/>
              <w:right w:val="single" w:sz="4" w:space="0" w:color="auto"/>
            </w:tcBorders>
            <w:vAlign w:val="center"/>
          </w:tcPr>
          <w:p w14:paraId="2ECB441E"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66</w:t>
            </w:r>
          </w:p>
        </w:tc>
        <w:tc>
          <w:tcPr>
            <w:tcW w:w="899" w:type="pct"/>
            <w:tcBorders>
              <w:top w:val="single" w:sz="4" w:space="0" w:color="auto"/>
              <w:left w:val="single" w:sz="4" w:space="0" w:color="auto"/>
              <w:bottom w:val="single" w:sz="4" w:space="0" w:color="auto"/>
              <w:right w:val="single" w:sz="4" w:space="0" w:color="auto"/>
            </w:tcBorders>
            <w:vAlign w:val="bottom"/>
          </w:tcPr>
          <w:p w14:paraId="4700FBF4" w14:textId="77777777" w:rsidR="00877B2F" w:rsidRPr="00CE66AB" w:rsidRDefault="00877B2F" w:rsidP="00877B2F">
            <w:pPr>
              <w:spacing w:after="0" w:line="240" w:lineRule="auto"/>
              <w:ind w:left="-57" w:right="-57"/>
              <w:jc w:val="center"/>
              <w:rPr>
                <w:rFonts w:ascii="Times New Roman" w:eastAsia="Arial Unicode MS" w:hAnsi="Times New Roman" w:cs="Times New Roman"/>
                <w:sz w:val="24"/>
                <w:szCs w:val="24"/>
              </w:rPr>
            </w:pPr>
            <w:r w:rsidRPr="00CE66AB">
              <w:rPr>
                <w:rFonts w:ascii="Times New Roman" w:eastAsia="Arial Unicode MS" w:hAnsi="Times New Roman" w:cs="Times New Roman"/>
                <w:sz w:val="24"/>
                <w:szCs w:val="24"/>
              </w:rPr>
              <w:t>66</w:t>
            </w:r>
          </w:p>
        </w:tc>
      </w:tr>
      <w:tr w:rsidR="00877B2F" w:rsidRPr="008E1D60" w14:paraId="7D4FB41A" w14:textId="77777777" w:rsidTr="004A6045">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10756EC3"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Тверская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0426F5E0" w14:textId="77777777" w:rsidR="00877B2F" w:rsidRPr="008E1D60" w:rsidRDefault="00877B2F" w:rsidP="00877B2F">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37</w:t>
            </w:r>
          </w:p>
        </w:tc>
        <w:tc>
          <w:tcPr>
            <w:tcW w:w="899" w:type="pct"/>
            <w:tcBorders>
              <w:top w:val="single" w:sz="4" w:space="0" w:color="auto"/>
              <w:left w:val="single" w:sz="4" w:space="0" w:color="auto"/>
              <w:bottom w:val="single" w:sz="4" w:space="0" w:color="auto"/>
              <w:right w:val="single" w:sz="4" w:space="0" w:color="auto"/>
            </w:tcBorders>
            <w:vAlign w:val="center"/>
          </w:tcPr>
          <w:p w14:paraId="65B34D57"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44</w:t>
            </w:r>
          </w:p>
        </w:tc>
        <w:tc>
          <w:tcPr>
            <w:tcW w:w="899" w:type="pct"/>
            <w:tcBorders>
              <w:top w:val="single" w:sz="4" w:space="0" w:color="auto"/>
              <w:left w:val="single" w:sz="4" w:space="0" w:color="auto"/>
              <w:bottom w:val="single" w:sz="4" w:space="0" w:color="auto"/>
              <w:right w:val="single" w:sz="4" w:space="0" w:color="auto"/>
            </w:tcBorders>
            <w:vAlign w:val="bottom"/>
          </w:tcPr>
          <w:p w14:paraId="2AAB00F0" w14:textId="77777777" w:rsidR="00877B2F" w:rsidRPr="00CE66AB" w:rsidRDefault="00877B2F" w:rsidP="00877B2F">
            <w:pPr>
              <w:spacing w:after="0" w:line="240" w:lineRule="auto"/>
              <w:ind w:left="-57" w:right="-57"/>
              <w:jc w:val="center"/>
              <w:rPr>
                <w:rFonts w:ascii="Times New Roman" w:eastAsia="Arial Unicode MS" w:hAnsi="Times New Roman" w:cs="Times New Roman"/>
                <w:sz w:val="24"/>
                <w:szCs w:val="24"/>
              </w:rPr>
            </w:pPr>
            <w:r w:rsidRPr="00CE66AB">
              <w:rPr>
                <w:rFonts w:ascii="Times New Roman" w:eastAsia="Arial Unicode MS" w:hAnsi="Times New Roman" w:cs="Times New Roman"/>
                <w:sz w:val="24"/>
                <w:szCs w:val="24"/>
              </w:rPr>
              <w:t>32</w:t>
            </w:r>
          </w:p>
        </w:tc>
      </w:tr>
      <w:tr w:rsidR="00877B2F" w:rsidRPr="008E1D60" w14:paraId="1B9C045D" w14:textId="77777777" w:rsidTr="004A6045">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75BD3D22"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Тульская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77DF2C92" w14:textId="77777777" w:rsidR="00877B2F" w:rsidRPr="008E1D60" w:rsidRDefault="00877B2F" w:rsidP="00877B2F">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21</w:t>
            </w:r>
          </w:p>
        </w:tc>
        <w:tc>
          <w:tcPr>
            <w:tcW w:w="899" w:type="pct"/>
            <w:tcBorders>
              <w:top w:val="single" w:sz="4" w:space="0" w:color="auto"/>
              <w:left w:val="single" w:sz="4" w:space="0" w:color="auto"/>
              <w:bottom w:val="single" w:sz="4" w:space="0" w:color="auto"/>
              <w:right w:val="single" w:sz="4" w:space="0" w:color="auto"/>
            </w:tcBorders>
            <w:vAlign w:val="center"/>
          </w:tcPr>
          <w:p w14:paraId="47BDDA8B"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18</w:t>
            </w:r>
          </w:p>
        </w:tc>
        <w:tc>
          <w:tcPr>
            <w:tcW w:w="899" w:type="pct"/>
            <w:tcBorders>
              <w:top w:val="single" w:sz="4" w:space="0" w:color="auto"/>
              <w:left w:val="single" w:sz="4" w:space="0" w:color="auto"/>
              <w:bottom w:val="single" w:sz="4" w:space="0" w:color="auto"/>
              <w:right w:val="single" w:sz="4" w:space="0" w:color="auto"/>
            </w:tcBorders>
            <w:vAlign w:val="bottom"/>
          </w:tcPr>
          <w:p w14:paraId="5975E9ED" w14:textId="77777777" w:rsidR="00877B2F" w:rsidRPr="00CE66AB" w:rsidRDefault="00877B2F" w:rsidP="00877B2F">
            <w:pPr>
              <w:spacing w:after="0" w:line="240" w:lineRule="auto"/>
              <w:ind w:left="-57" w:right="-57"/>
              <w:jc w:val="center"/>
              <w:rPr>
                <w:rFonts w:ascii="Times New Roman" w:eastAsia="Arial Unicode MS" w:hAnsi="Times New Roman" w:cs="Times New Roman"/>
                <w:sz w:val="24"/>
                <w:szCs w:val="24"/>
              </w:rPr>
            </w:pPr>
            <w:r w:rsidRPr="00CE66AB">
              <w:rPr>
                <w:rFonts w:ascii="Times New Roman" w:eastAsia="Arial Unicode MS" w:hAnsi="Times New Roman" w:cs="Times New Roman"/>
                <w:sz w:val="24"/>
                <w:szCs w:val="24"/>
              </w:rPr>
              <w:t>17</w:t>
            </w:r>
          </w:p>
        </w:tc>
      </w:tr>
      <w:tr w:rsidR="00877B2F" w:rsidRPr="008E1D60" w14:paraId="4DA9E46A" w14:textId="77777777" w:rsidTr="004A6045">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4B602067"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Ярославская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41C7E73C" w14:textId="77777777" w:rsidR="00877B2F" w:rsidRPr="008E1D60" w:rsidRDefault="00877B2F" w:rsidP="00877B2F">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83</w:t>
            </w:r>
          </w:p>
        </w:tc>
        <w:tc>
          <w:tcPr>
            <w:tcW w:w="899" w:type="pct"/>
            <w:tcBorders>
              <w:top w:val="single" w:sz="4" w:space="0" w:color="auto"/>
              <w:left w:val="single" w:sz="4" w:space="0" w:color="auto"/>
              <w:bottom w:val="single" w:sz="4" w:space="0" w:color="auto"/>
              <w:right w:val="single" w:sz="4" w:space="0" w:color="auto"/>
            </w:tcBorders>
            <w:vAlign w:val="center"/>
          </w:tcPr>
          <w:p w14:paraId="2CFEBE24"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83</w:t>
            </w:r>
          </w:p>
        </w:tc>
        <w:tc>
          <w:tcPr>
            <w:tcW w:w="899" w:type="pct"/>
            <w:tcBorders>
              <w:top w:val="single" w:sz="4" w:space="0" w:color="auto"/>
              <w:left w:val="single" w:sz="4" w:space="0" w:color="auto"/>
              <w:bottom w:val="single" w:sz="4" w:space="0" w:color="auto"/>
              <w:right w:val="single" w:sz="4" w:space="0" w:color="auto"/>
            </w:tcBorders>
            <w:vAlign w:val="bottom"/>
          </w:tcPr>
          <w:p w14:paraId="43D140A5" w14:textId="77777777" w:rsidR="00877B2F" w:rsidRPr="00CE66AB" w:rsidRDefault="00877B2F" w:rsidP="00877B2F">
            <w:pPr>
              <w:spacing w:after="0" w:line="240" w:lineRule="auto"/>
              <w:ind w:left="-57" w:right="-57"/>
              <w:jc w:val="center"/>
              <w:rPr>
                <w:rFonts w:ascii="Times New Roman" w:eastAsia="Arial Unicode MS" w:hAnsi="Times New Roman" w:cs="Times New Roman"/>
                <w:sz w:val="24"/>
                <w:szCs w:val="24"/>
              </w:rPr>
            </w:pPr>
            <w:r w:rsidRPr="00CE66AB">
              <w:rPr>
                <w:rFonts w:ascii="Times New Roman" w:eastAsia="Arial Unicode MS" w:hAnsi="Times New Roman" w:cs="Times New Roman"/>
                <w:sz w:val="24"/>
                <w:szCs w:val="24"/>
              </w:rPr>
              <w:t>58</w:t>
            </w:r>
          </w:p>
        </w:tc>
      </w:tr>
      <w:tr w:rsidR="00877B2F" w:rsidRPr="008E1D60" w14:paraId="7DB9EA63" w14:textId="77777777" w:rsidTr="004A6045">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09AC949F"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г. Москва</w:t>
            </w:r>
          </w:p>
        </w:tc>
        <w:tc>
          <w:tcPr>
            <w:tcW w:w="899" w:type="pct"/>
            <w:tcBorders>
              <w:top w:val="single" w:sz="4" w:space="0" w:color="auto"/>
              <w:left w:val="single" w:sz="4" w:space="0" w:color="auto"/>
              <w:bottom w:val="single" w:sz="4" w:space="0" w:color="auto"/>
              <w:right w:val="single" w:sz="4" w:space="0" w:color="auto"/>
            </w:tcBorders>
            <w:vAlign w:val="center"/>
          </w:tcPr>
          <w:p w14:paraId="3CCE50A2" w14:textId="77777777" w:rsidR="00877B2F" w:rsidRPr="008E1D60" w:rsidRDefault="00877B2F" w:rsidP="00877B2F">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260</w:t>
            </w:r>
          </w:p>
        </w:tc>
        <w:tc>
          <w:tcPr>
            <w:tcW w:w="899" w:type="pct"/>
            <w:tcBorders>
              <w:top w:val="single" w:sz="4" w:space="0" w:color="auto"/>
              <w:left w:val="single" w:sz="4" w:space="0" w:color="auto"/>
              <w:bottom w:val="single" w:sz="4" w:space="0" w:color="auto"/>
              <w:right w:val="single" w:sz="4" w:space="0" w:color="auto"/>
            </w:tcBorders>
            <w:vAlign w:val="center"/>
          </w:tcPr>
          <w:p w14:paraId="51F82B85"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307</w:t>
            </w:r>
          </w:p>
        </w:tc>
        <w:tc>
          <w:tcPr>
            <w:tcW w:w="899" w:type="pct"/>
            <w:tcBorders>
              <w:top w:val="single" w:sz="4" w:space="0" w:color="auto"/>
              <w:left w:val="single" w:sz="4" w:space="0" w:color="auto"/>
              <w:bottom w:val="single" w:sz="4" w:space="0" w:color="auto"/>
              <w:right w:val="single" w:sz="4" w:space="0" w:color="auto"/>
            </w:tcBorders>
            <w:vAlign w:val="bottom"/>
          </w:tcPr>
          <w:p w14:paraId="38AA70E6" w14:textId="77777777" w:rsidR="00877B2F" w:rsidRPr="00CE66AB" w:rsidRDefault="00877B2F" w:rsidP="00877B2F">
            <w:pPr>
              <w:spacing w:after="0" w:line="240" w:lineRule="auto"/>
              <w:ind w:left="-57" w:right="-57"/>
              <w:jc w:val="center"/>
              <w:rPr>
                <w:rFonts w:ascii="Times New Roman" w:eastAsia="Arial Unicode MS" w:hAnsi="Times New Roman" w:cs="Times New Roman"/>
                <w:sz w:val="24"/>
                <w:szCs w:val="24"/>
              </w:rPr>
            </w:pPr>
            <w:r w:rsidRPr="00CE66AB">
              <w:rPr>
                <w:rFonts w:ascii="Times New Roman" w:eastAsia="Arial Unicode MS" w:hAnsi="Times New Roman" w:cs="Times New Roman"/>
                <w:sz w:val="24"/>
                <w:szCs w:val="24"/>
              </w:rPr>
              <w:t>273</w:t>
            </w:r>
          </w:p>
        </w:tc>
      </w:tr>
      <w:tr w:rsidR="00877B2F" w:rsidRPr="008E1D60" w14:paraId="23E57F70" w14:textId="77777777" w:rsidTr="00877B2F">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6061D911" w14:textId="77777777" w:rsidR="00877B2F" w:rsidRPr="008E1D60" w:rsidRDefault="00877B2F" w:rsidP="00877B2F">
            <w:pPr>
              <w:spacing w:after="0" w:line="240" w:lineRule="auto"/>
              <w:ind w:left="57"/>
              <w:rPr>
                <w:rFonts w:ascii="Times New Roman" w:eastAsia="Arial Unicode MS" w:hAnsi="Times New Roman" w:cs="Times New Roman"/>
                <w:b/>
                <w:sz w:val="24"/>
                <w:szCs w:val="24"/>
                <w:lang w:eastAsia="ru-RU"/>
              </w:rPr>
            </w:pPr>
            <w:r w:rsidRPr="008E1D60">
              <w:rPr>
                <w:rFonts w:ascii="Times New Roman" w:eastAsia="Arial Unicode MS" w:hAnsi="Times New Roman" w:cs="Times New Roman"/>
                <w:b/>
                <w:sz w:val="24"/>
                <w:szCs w:val="24"/>
                <w:lang w:eastAsia="ru-RU"/>
              </w:rPr>
              <w:t>Северо-Западный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14:paraId="24D139D1" w14:textId="77777777" w:rsidR="00877B2F" w:rsidRPr="008E1D60" w:rsidRDefault="00877B2F" w:rsidP="00877B2F">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562</w:t>
            </w:r>
          </w:p>
        </w:tc>
        <w:tc>
          <w:tcPr>
            <w:tcW w:w="899" w:type="pct"/>
            <w:tcBorders>
              <w:top w:val="single" w:sz="4" w:space="0" w:color="auto"/>
              <w:left w:val="single" w:sz="4" w:space="0" w:color="auto"/>
              <w:bottom w:val="single" w:sz="4" w:space="0" w:color="auto"/>
              <w:right w:val="single" w:sz="4" w:space="0" w:color="auto"/>
            </w:tcBorders>
            <w:vAlign w:val="center"/>
          </w:tcPr>
          <w:p w14:paraId="09A3DC33" w14:textId="77777777" w:rsidR="00877B2F" w:rsidRPr="008E1D60" w:rsidRDefault="00877B2F" w:rsidP="00877B2F">
            <w:pPr>
              <w:spacing w:after="0" w:line="240" w:lineRule="auto"/>
              <w:ind w:left="-57" w:right="567"/>
              <w:jc w:val="right"/>
              <w:rPr>
                <w:rFonts w:ascii="Times New Roman" w:hAnsi="Times New Roman"/>
                <w:b/>
              </w:rPr>
            </w:pPr>
            <w:r w:rsidRPr="008E1D60">
              <w:rPr>
                <w:rFonts w:ascii="Times New Roman" w:hAnsi="Times New Roman"/>
                <w:b/>
              </w:rPr>
              <w:t>624</w:t>
            </w:r>
          </w:p>
        </w:tc>
        <w:tc>
          <w:tcPr>
            <w:tcW w:w="899" w:type="pct"/>
            <w:tcBorders>
              <w:top w:val="single" w:sz="4" w:space="0" w:color="auto"/>
              <w:left w:val="single" w:sz="4" w:space="0" w:color="auto"/>
              <w:bottom w:val="single" w:sz="4" w:space="0" w:color="auto"/>
              <w:right w:val="single" w:sz="4" w:space="0" w:color="auto"/>
            </w:tcBorders>
            <w:vAlign w:val="center"/>
          </w:tcPr>
          <w:p w14:paraId="6E4338C3" w14:textId="77777777" w:rsidR="00877B2F" w:rsidRPr="00CE66AB" w:rsidRDefault="00877B2F" w:rsidP="00877B2F">
            <w:pPr>
              <w:spacing w:after="0" w:line="240" w:lineRule="auto"/>
              <w:ind w:left="-57" w:right="-57"/>
              <w:jc w:val="center"/>
              <w:rPr>
                <w:rFonts w:ascii="Times New Roman" w:eastAsia="Times New Roman" w:hAnsi="Times New Roman" w:cs="Times New Roman"/>
                <w:b/>
                <w:sz w:val="24"/>
                <w:szCs w:val="24"/>
              </w:rPr>
            </w:pPr>
            <w:r w:rsidRPr="00CE66AB">
              <w:rPr>
                <w:rFonts w:ascii="Times New Roman" w:eastAsia="Times New Roman" w:hAnsi="Times New Roman" w:cs="Times New Roman"/>
                <w:b/>
                <w:sz w:val="24"/>
                <w:szCs w:val="24"/>
              </w:rPr>
              <w:t>514</w:t>
            </w:r>
          </w:p>
        </w:tc>
      </w:tr>
      <w:tr w:rsidR="00877B2F" w:rsidRPr="008E1D60" w14:paraId="1A01E52D" w14:textId="77777777" w:rsidTr="004A6045">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3656A30F"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Карелия</w:t>
            </w:r>
          </w:p>
        </w:tc>
        <w:tc>
          <w:tcPr>
            <w:tcW w:w="899" w:type="pct"/>
            <w:tcBorders>
              <w:top w:val="single" w:sz="4" w:space="0" w:color="auto"/>
              <w:left w:val="single" w:sz="4" w:space="0" w:color="auto"/>
              <w:bottom w:val="single" w:sz="4" w:space="0" w:color="auto"/>
              <w:right w:val="single" w:sz="4" w:space="0" w:color="auto"/>
            </w:tcBorders>
            <w:vAlign w:val="center"/>
          </w:tcPr>
          <w:p w14:paraId="34BA5935" w14:textId="77777777" w:rsidR="00877B2F" w:rsidRPr="008E1D60" w:rsidRDefault="00877B2F" w:rsidP="00877B2F">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31</w:t>
            </w:r>
          </w:p>
        </w:tc>
        <w:tc>
          <w:tcPr>
            <w:tcW w:w="899" w:type="pct"/>
            <w:tcBorders>
              <w:top w:val="single" w:sz="4" w:space="0" w:color="auto"/>
              <w:left w:val="single" w:sz="4" w:space="0" w:color="auto"/>
              <w:bottom w:val="single" w:sz="4" w:space="0" w:color="auto"/>
              <w:right w:val="single" w:sz="4" w:space="0" w:color="auto"/>
            </w:tcBorders>
            <w:vAlign w:val="center"/>
          </w:tcPr>
          <w:p w14:paraId="6BFD092A"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35</w:t>
            </w:r>
          </w:p>
        </w:tc>
        <w:tc>
          <w:tcPr>
            <w:tcW w:w="899" w:type="pct"/>
            <w:tcBorders>
              <w:top w:val="single" w:sz="4" w:space="0" w:color="auto"/>
              <w:left w:val="single" w:sz="4" w:space="0" w:color="auto"/>
              <w:bottom w:val="single" w:sz="4" w:space="0" w:color="auto"/>
              <w:right w:val="single" w:sz="4" w:space="0" w:color="auto"/>
            </w:tcBorders>
            <w:vAlign w:val="bottom"/>
          </w:tcPr>
          <w:p w14:paraId="655571F6" w14:textId="77777777" w:rsidR="00877B2F" w:rsidRPr="00CE66AB" w:rsidRDefault="00877B2F" w:rsidP="00877B2F">
            <w:pPr>
              <w:spacing w:after="0" w:line="240" w:lineRule="auto"/>
              <w:ind w:left="-57" w:right="-57"/>
              <w:jc w:val="center"/>
              <w:rPr>
                <w:rFonts w:ascii="Times New Roman" w:eastAsia="Times New Roman" w:hAnsi="Times New Roman" w:cs="Times New Roman"/>
                <w:sz w:val="24"/>
                <w:szCs w:val="24"/>
              </w:rPr>
            </w:pPr>
            <w:r w:rsidRPr="00CE66AB">
              <w:rPr>
                <w:rFonts w:ascii="Times New Roman" w:eastAsia="Times New Roman" w:hAnsi="Times New Roman" w:cs="Times New Roman"/>
                <w:sz w:val="24"/>
                <w:szCs w:val="24"/>
              </w:rPr>
              <w:t>26</w:t>
            </w:r>
          </w:p>
        </w:tc>
      </w:tr>
      <w:tr w:rsidR="00877B2F" w:rsidRPr="008E1D60" w14:paraId="7DDE84E7" w14:textId="77777777" w:rsidTr="004A6045">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55C1BE05"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Коми</w:t>
            </w:r>
          </w:p>
        </w:tc>
        <w:tc>
          <w:tcPr>
            <w:tcW w:w="899" w:type="pct"/>
            <w:tcBorders>
              <w:top w:val="single" w:sz="4" w:space="0" w:color="auto"/>
              <w:left w:val="single" w:sz="4" w:space="0" w:color="auto"/>
              <w:bottom w:val="single" w:sz="4" w:space="0" w:color="auto"/>
              <w:right w:val="single" w:sz="4" w:space="0" w:color="auto"/>
            </w:tcBorders>
            <w:vAlign w:val="center"/>
          </w:tcPr>
          <w:p w14:paraId="04A3BB62" w14:textId="77777777" w:rsidR="00877B2F" w:rsidRPr="008E1D60" w:rsidRDefault="00877B2F" w:rsidP="00877B2F">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25</w:t>
            </w:r>
          </w:p>
        </w:tc>
        <w:tc>
          <w:tcPr>
            <w:tcW w:w="899" w:type="pct"/>
            <w:tcBorders>
              <w:top w:val="single" w:sz="4" w:space="0" w:color="auto"/>
              <w:left w:val="single" w:sz="4" w:space="0" w:color="auto"/>
              <w:bottom w:val="single" w:sz="4" w:space="0" w:color="auto"/>
              <w:right w:val="single" w:sz="4" w:space="0" w:color="auto"/>
            </w:tcBorders>
            <w:vAlign w:val="center"/>
          </w:tcPr>
          <w:p w14:paraId="185851DB"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27</w:t>
            </w:r>
          </w:p>
        </w:tc>
        <w:tc>
          <w:tcPr>
            <w:tcW w:w="899" w:type="pct"/>
            <w:tcBorders>
              <w:top w:val="single" w:sz="4" w:space="0" w:color="auto"/>
              <w:left w:val="single" w:sz="4" w:space="0" w:color="auto"/>
              <w:bottom w:val="single" w:sz="4" w:space="0" w:color="auto"/>
              <w:right w:val="single" w:sz="4" w:space="0" w:color="auto"/>
            </w:tcBorders>
            <w:vAlign w:val="bottom"/>
          </w:tcPr>
          <w:p w14:paraId="0F48FB54" w14:textId="77777777" w:rsidR="00877B2F" w:rsidRPr="00CE66AB" w:rsidRDefault="00877B2F" w:rsidP="00877B2F">
            <w:pPr>
              <w:spacing w:after="0" w:line="240" w:lineRule="auto"/>
              <w:ind w:left="-57" w:right="-57"/>
              <w:jc w:val="center"/>
              <w:rPr>
                <w:rFonts w:ascii="Times New Roman" w:eastAsia="Times New Roman" w:hAnsi="Times New Roman" w:cs="Times New Roman"/>
                <w:sz w:val="24"/>
                <w:szCs w:val="24"/>
              </w:rPr>
            </w:pPr>
            <w:r w:rsidRPr="00CE66AB">
              <w:rPr>
                <w:rFonts w:ascii="Times New Roman" w:eastAsia="Times New Roman" w:hAnsi="Times New Roman" w:cs="Times New Roman"/>
                <w:sz w:val="24"/>
                <w:szCs w:val="24"/>
              </w:rPr>
              <w:t>20</w:t>
            </w:r>
          </w:p>
        </w:tc>
      </w:tr>
      <w:tr w:rsidR="00877B2F" w:rsidRPr="008E1D60" w14:paraId="7AA05E7A" w14:textId="77777777" w:rsidTr="004A6045">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5C9D8562"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Архангельская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2212D6FF" w14:textId="77777777" w:rsidR="00877B2F" w:rsidRPr="008E1D60" w:rsidRDefault="00877B2F" w:rsidP="00877B2F">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29</w:t>
            </w:r>
          </w:p>
        </w:tc>
        <w:tc>
          <w:tcPr>
            <w:tcW w:w="899" w:type="pct"/>
            <w:tcBorders>
              <w:top w:val="single" w:sz="4" w:space="0" w:color="auto"/>
              <w:left w:val="single" w:sz="4" w:space="0" w:color="auto"/>
              <w:bottom w:val="single" w:sz="4" w:space="0" w:color="auto"/>
              <w:right w:val="single" w:sz="4" w:space="0" w:color="auto"/>
            </w:tcBorders>
            <w:vAlign w:val="center"/>
          </w:tcPr>
          <w:p w14:paraId="47CEB8AC"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36</w:t>
            </w:r>
          </w:p>
        </w:tc>
        <w:tc>
          <w:tcPr>
            <w:tcW w:w="899" w:type="pct"/>
            <w:tcBorders>
              <w:top w:val="single" w:sz="4" w:space="0" w:color="auto"/>
              <w:left w:val="single" w:sz="4" w:space="0" w:color="auto"/>
              <w:bottom w:val="single" w:sz="4" w:space="0" w:color="auto"/>
              <w:right w:val="single" w:sz="4" w:space="0" w:color="auto"/>
            </w:tcBorders>
            <w:vAlign w:val="bottom"/>
          </w:tcPr>
          <w:p w14:paraId="608F75A0" w14:textId="77777777" w:rsidR="00877B2F" w:rsidRPr="00CE66AB" w:rsidRDefault="00877B2F" w:rsidP="00877B2F">
            <w:pPr>
              <w:spacing w:after="0" w:line="240" w:lineRule="auto"/>
              <w:ind w:left="-57" w:right="-57"/>
              <w:jc w:val="center"/>
              <w:rPr>
                <w:rFonts w:ascii="Times New Roman" w:eastAsia="Times New Roman" w:hAnsi="Times New Roman" w:cs="Times New Roman"/>
                <w:sz w:val="24"/>
                <w:szCs w:val="24"/>
              </w:rPr>
            </w:pPr>
            <w:r w:rsidRPr="00CE66AB">
              <w:rPr>
                <w:rFonts w:ascii="Times New Roman" w:eastAsia="Times New Roman" w:hAnsi="Times New Roman" w:cs="Times New Roman"/>
                <w:sz w:val="24"/>
                <w:szCs w:val="24"/>
              </w:rPr>
              <w:t>5</w:t>
            </w:r>
          </w:p>
        </w:tc>
      </w:tr>
      <w:tr w:rsidR="00877B2F" w:rsidRPr="008E1D60" w14:paraId="755FECE2" w14:textId="77777777" w:rsidTr="004A6045">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755568FA"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Вологодская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68A925FF" w14:textId="77777777" w:rsidR="00877B2F" w:rsidRPr="008E1D60" w:rsidRDefault="00877B2F" w:rsidP="00877B2F">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72</w:t>
            </w:r>
          </w:p>
        </w:tc>
        <w:tc>
          <w:tcPr>
            <w:tcW w:w="899" w:type="pct"/>
            <w:tcBorders>
              <w:top w:val="single" w:sz="4" w:space="0" w:color="auto"/>
              <w:left w:val="single" w:sz="4" w:space="0" w:color="auto"/>
              <w:bottom w:val="single" w:sz="4" w:space="0" w:color="auto"/>
              <w:right w:val="single" w:sz="4" w:space="0" w:color="auto"/>
            </w:tcBorders>
            <w:vAlign w:val="center"/>
          </w:tcPr>
          <w:p w14:paraId="3C23861F"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84</w:t>
            </w:r>
          </w:p>
        </w:tc>
        <w:tc>
          <w:tcPr>
            <w:tcW w:w="899" w:type="pct"/>
            <w:tcBorders>
              <w:top w:val="single" w:sz="4" w:space="0" w:color="auto"/>
              <w:left w:val="single" w:sz="4" w:space="0" w:color="auto"/>
              <w:bottom w:val="single" w:sz="4" w:space="0" w:color="auto"/>
              <w:right w:val="single" w:sz="4" w:space="0" w:color="auto"/>
            </w:tcBorders>
            <w:vAlign w:val="bottom"/>
          </w:tcPr>
          <w:p w14:paraId="39DD2EFA" w14:textId="77777777" w:rsidR="00877B2F" w:rsidRPr="00CE66AB" w:rsidRDefault="00877B2F" w:rsidP="00877B2F">
            <w:pPr>
              <w:spacing w:after="0" w:line="240" w:lineRule="auto"/>
              <w:ind w:left="-57" w:right="-57"/>
              <w:jc w:val="center"/>
              <w:rPr>
                <w:rFonts w:ascii="Times New Roman" w:eastAsia="Times New Roman" w:hAnsi="Times New Roman" w:cs="Times New Roman"/>
                <w:sz w:val="24"/>
                <w:szCs w:val="24"/>
              </w:rPr>
            </w:pPr>
            <w:r w:rsidRPr="00CE66AB">
              <w:rPr>
                <w:rFonts w:ascii="Times New Roman" w:eastAsia="Times New Roman" w:hAnsi="Times New Roman" w:cs="Times New Roman"/>
                <w:sz w:val="24"/>
                <w:szCs w:val="24"/>
              </w:rPr>
              <w:t>38</w:t>
            </w:r>
          </w:p>
        </w:tc>
      </w:tr>
      <w:tr w:rsidR="00877B2F" w:rsidRPr="008E1D60" w14:paraId="277C3DD1" w14:textId="77777777" w:rsidTr="004A6045">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7C0F7F8D"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Калининградская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799D4253" w14:textId="77777777" w:rsidR="00877B2F" w:rsidRPr="008E1D60" w:rsidRDefault="00877B2F" w:rsidP="00877B2F">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54</w:t>
            </w:r>
          </w:p>
        </w:tc>
        <w:tc>
          <w:tcPr>
            <w:tcW w:w="899" w:type="pct"/>
            <w:tcBorders>
              <w:top w:val="single" w:sz="4" w:space="0" w:color="auto"/>
              <w:left w:val="single" w:sz="4" w:space="0" w:color="auto"/>
              <w:bottom w:val="single" w:sz="4" w:space="0" w:color="auto"/>
              <w:right w:val="single" w:sz="4" w:space="0" w:color="auto"/>
            </w:tcBorders>
            <w:vAlign w:val="center"/>
          </w:tcPr>
          <w:p w14:paraId="21065EF8"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50</w:t>
            </w:r>
          </w:p>
        </w:tc>
        <w:tc>
          <w:tcPr>
            <w:tcW w:w="899" w:type="pct"/>
            <w:tcBorders>
              <w:top w:val="single" w:sz="4" w:space="0" w:color="auto"/>
              <w:left w:val="single" w:sz="4" w:space="0" w:color="auto"/>
              <w:bottom w:val="single" w:sz="4" w:space="0" w:color="auto"/>
              <w:right w:val="single" w:sz="4" w:space="0" w:color="auto"/>
            </w:tcBorders>
            <w:vAlign w:val="bottom"/>
          </w:tcPr>
          <w:p w14:paraId="0C760A77" w14:textId="77777777" w:rsidR="00877B2F" w:rsidRPr="00CE66AB" w:rsidRDefault="00877B2F" w:rsidP="00877B2F">
            <w:pPr>
              <w:spacing w:after="0" w:line="240" w:lineRule="auto"/>
              <w:ind w:left="-57" w:right="-57"/>
              <w:jc w:val="center"/>
              <w:rPr>
                <w:rFonts w:ascii="Times New Roman" w:eastAsia="Times New Roman" w:hAnsi="Times New Roman" w:cs="Times New Roman"/>
                <w:sz w:val="24"/>
                <w:szCs w:val="24"/>
              </w:rPr>
            </w:pPr>
            <w:r w:rsidRPr="00CE66AB">
              <w:rPr>
                <w:rFonts w:ascii="Times New Roman" w:eastAsia="Times New Roman" w:hAnsi="Times New Roman" w:cs="Times New Roman"/>
                <w:sz w:val="24"/>
                <w:szCs w:val="24"/>
              </w:rPr>
              <w:t>85</w:t>
            </w:r>
          </w:p>
        </w:tc>
      </w:tr>
      <w:tr w:rsidR="00877B2F" w:rsidRPr="008E1D60" w14:paraId="348F0FB7" w14:textId="77777777" w:rsidTr="004A6045">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645C3272"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Ленинградская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4008301B" w14:textId="77777777" w:rsidR="00877B2F" w:rsidRPr="008E1D60" w:rsidRDefault="00877B2F" w:rsidP="00877B2F">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41</w:t>
            </w:r>
          </w:p>
        </w:tc>
        <w:tc>
          <w:tcPr>
            <w:tcW w:w="899" w:type="pct"/>
            <w:tcBorders>
              <w:top w:val="single" w:sz="4" w:space="0" w:color="auto"/>
              <w:left w:val="single" w:sz="4" w:space="0" w:color="auto"/>
              <w:bottom w:val="single" w:sz="4" w:space="0" w:color="auto"/>
              <w:right w:val="single" w:sz="4" w:space="0" w:color="auto"/>
            </w:tcBorders>
            <w:vAlign w:val="center"/>
          </w:tcPr>
          <w:p w14:paraId="152A5CD8"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61</w:t>
            </w:r>
          </w:p>
        </w:tc>
        <w:tc>
          <w:tcPr>
            <w:tcW w:w="899" w:type="pct"/>
            <w:tcBorders>
              <w:top w:val="single" w:sz="4" w:space="0" w:color="auto"/>
              <w:left w:val="single" w:sz="4" w:space="0" w:color="auto"/>
              <w:bottom w:val="single" w:sz="4" w:space="0" w:color="auto"/>
              <w:right w:val="single" w:sz="4" w:space="0" w:color="auto"/>
            </w:tcBorders>
            <w:vAlign w:val="bottom"/>
          </w:tcPr>
          <w:p w14:paraId="15388690" w14:textId="77777777" w:rsidR="00877B2F" w:rsidRPr="00CE66AB" w:rsidRDefault="00877B2F" w:rsidP="00877B2F">
            <w:pPr>
              <w:spacing w:after="0" w:line="240" w:lineRule="auto"/>
              <w:ind w:left="-57" w:right="-57"/>
              <w:jc w:val="center"/>
              <w:rPr>
                <w:rFonts w:ascii="Times New Roman" w:eastAsia="Times New Roman" w:hAnsi="Times New Roman" w:cs="Times New Roman"/>
                <w:sz w:val="24"/>
                <w:szCs w:val="24"/>
              </w:rPr>
            </w:pPr>
            <w:r w:rsidRPr="00CE66AB">
              <w:rPr>
                <w:rFonts w:ascii="Times New Roman" w:eastAsia="Times New Roman" w:hAnsi="Times New Roman" w:cs="Times New Roman"/>
                <w:sz w:val="24"/>
                <w:szCs w:val="24"/>
              </w:rPr>
              <w:t>19</w:t>
            </w:r>
          </w:p>
        </w:tc>
      </w:tr>
      <w:tr w:rsidR="00877B2F" w:rsidRPr="008E1D60" w14:paraId="23FEB089" w14:textId="77777777" w:rsidTr="004A6045">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6F5AAB4E"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Мурманская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046AC8A6" w14:textId="77777777" w:rsidR="00877B2F" w:rsidRPr="008E1D60" w:rsidRDefault="00877B2F" w:rsidP="00877B2F">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22</w:t>
            </w:r>
          </w:p>
        </w:tc>
        <w:tc>
          <w:tcPr>
            <w:tcW w:w="899" w:type="pct"/>
            <w:tcBorders>
              <w:top w:val="single" w:sz="4" w:space="0" w:color="auto"/>
              <w:left w:val="single" w:sz="4" w:space="0" w:color="auto"/>
              <w:bottom w:val="single" w:sz="4" w:space="0" w:color="auto"/>
              <w:right w:val="single" w:sz="4" w:space="0" w:color="auto"/>
            </w:tcBorders>
            <w:vAlign w:val="center"/>
          </w:tcPr>
          <w:p w14:paraId="0FA03EC8"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25</w:t>
            </w:r>
          </w:p>
        </w:tc>
        <w:tc>
          <w:tcPr>
            <w:tcW w:w="899" w:type="pct"/>
            <w:tcBorders>
              <w:top w:val="single" w:sz="4" w:space="0" w:color="auto"/>
              <w:left w:val="single" w:sz="4" w:space="0" w:color="auto"/>
              <w:bottom w:val="single" w:sz="4" w:space="0" w:color="auto"/>
              <w:right w:val="single" w:sz="4" w:space="0" w:color="auto"/>
            </w:tcBorders>
            <w:vAlign w:val="bottom"/>
          </w:tcPr>
          <w:p w14:paraId="11953429" w14:textId="77777777" w:rsidR="00877B2F" w:rsidRPr="00CE66AB" w:rsidRDefault="00877B2F" w:rsidP="00877B2F">
            <w:pPr>
              <w:spacing w:after="0" w:line="240" w:lineRule="auto"/>
              <w:ind w:left="-57" w:right="-57"/>
              <w:jc w:val="center"/>
              <w:rPr>
                <w:rFonts w:ascii="Times New Roman" w:eastAsia="Times New Roman" w:hAnsi="Times New Roman" w:cs="Times New Roman"/>
                <w:sz w:val="24"/>
                <w:szCs w:val="24"/>
              </w:rPr>
            </w:pPr>
            <w:r w:rsidRPr="00CE66AB">
              <w:rPr>
                <w:rFonts w:ascii="Times New Roman" w:eastAsia="Times New Roman" w:hAnsi="Times New Roman" w:cs="Times New Roman"/>
                <w:sz w:val="24"/>
                <w:szCs w:val="24"/>
              </w:rPr>
              <w:t>47</w:t>
            </w:r>
          </w:p>
        </w:tc>
      </w:tr>
      <w:tr w:rsidR="00877B2F" w:rsidRPr="008E1D60" w14:paraId="29414A04" w14:textId="77777777" w:rsidTr="004A6045">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7CC72E9D"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Новгородская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00543BBE" w14:textId="77777777" w:rsidR="00877B2F" w:rsidRPr="008E1D60" w:rsidRDefault="00877B2F" w:rsidP="00877B2F">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20</w:t>
            </w:r>
          </w:p>
        </w:tc>
        <w:tc>
          <w:tcPr>
            <w:tcW w:w="899" w:type="pct"/>
            <w:tcBorders>
              <w:top w:val="single" w:sz="4" w:space="0" w:color="auto"/>
              <w:left w:val="single" w:sz="4" w:space="0" w:color="auto"/>
              <w:bottom w:val="single" w:sz="4" w:space="0" w:color="auto"/>
              <w:right w:val="single" w:sz="4" w:space="0" w:color="auto"/>
            </w:tcBorders>
            <w:vAlign w:val="center"/>
          </w:tcPr>
          <w:p w14:paraId="3A84A17E"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20</w:t>
            </w:r>
          </w:p>
        </w:tc>
        <w:tc>
          <w:tcPr>
            <w:tcW w:w="899" w:type="pct"/>
            <w:tcBorders>
              <w:top w:val="single" w:sz="4" w:space="0" w:color="auto"/>
              <w:left w:val="single" w:sz="4" w:space="0" w:color="auto"/>
              <w:bottom w:val="single" w:sz="4" w:space="0" w:color="auto"/>
              <w:right w:val="single" w:sz="4" w:space="0" w:color="auto"/>
            </w:tcBorders>
            <w:vAlign w:val="bottom"/>
          </w:tcPr>
          <w:p w14:paraId="0D3444D5" w14:textId="77777777" w:rsidR="00877B2F" w:rsidRPr="00CE66AB" w:rsidRDefault="00877B2F" w:rsidP="00877B2F">
            <w:pPr>
              <w:spacing w:after="0" w:line="240" w:lineRule="auto"/>
              <w:ind w:left="-57" w:right="-57"/>
              <w:jc w:val="center"/>
              <w:rPr>
                <w:rFonts w:ascii="Times New Roman" w:eastAsia="Times New Roman" w:hAnsi="Times New Roman" w:cs="Times New Roman"/>
                <w:sz w:val="24"/>
                <w:szCs w:val="24"/>
              </w:rPr>
            </w:pPr>
            <w:r w:rsidRPr="00CE66AB">
              <w:rPr>
                <w:rFonts w:ascii="Times New Roman" w:eastAsia="Times New Roman" w:hAnsi="Times New Roman" w:cs="Times New Roman"/>
                <w:sz w:val="24"/>
                <w:szCs w:val="24"/>
              </w:rPr>
              <w:t>18</w:t>
            </w:r>
          </w:p>
        </w:tc>
      </w:tr>
      <w:tr w:rsidR="00877B2F" w:rsidRPr="008E1D60" w14:paraId="1465A6CB" w14:textId="77777777" w:rsidTr="004A6045">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48C13C7E"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Псковская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383A7ABA" w14:textId="77777777" w:rsidR="00877B2F" w:rsidRPr="008E1D60" w:rsidRDefault="00877B2F" w:rsidP="00877B2F">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49</w:t>
            </w:r>
          </w:p>
        </w:tc>
        <w:tc>
          <w:tcPr>
            <w:tcW w:w="899" w:type="pct"/>
            <w:tcBorders>
              <w:top w:val="single" w:sz="4" w:space="0" w:color="auto"/>
              <w:left w:val="single" w:sz="4" w:space="0" w:color="auto"/>
              <w:bottom w:val="single" w:sz="4" w:space="0" w:color="auto"/>
              <w:right w:val="single" w:sz="4" w:space="0" w:color="auto"/>
            </w:tcBorders>
            <w:vAlign w:val="center"/>
          </w:tcPr>
          <w:p w14:paraId="3682F9F4"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50</w:t>
            </w:r>
          </w:p>
        </w:tc>
        <w:tc>
          <w:tcPr>
            <w:tcW w:w="899" w:type="pct"/>
            <w:tcBorders>
              <w:top w:val="single" w:sz="4" w:space="0" w:color="auto"/>
              <w:left w:val="single" w:sz="4" w:space="0" w:color="auto"/>
              <w:bottom w:val="single" w:sz="4" w:space="0" w:color="auto"/>
              <w:right w:val="single" w:sz="4" w:space="0" w:color="auto"/>
            </w:tcBorders>
            <w:vAlign w:val="bottom"/>
          </w:tcPr>
          <w:p w14:paraId="59BBCAF3" w14:textId="77777777" w:rsidR="00877B2F" w:rsidRPr="00CE66AB" w:rsidRDefault="00877B2F" w:rsidP="00877B2F">
            <w:pPr>
              <w:spacing w:after="0" w:line="240" w:lineRule="auto"/>
              <w:ind w:left="-57" w:right="-57"/>
              <w:jc w:val="center"/>
              <w:rPr>
                <w:rFonts w:ascii="Times New Roman" w:eastAsia="Times New Roman" w:hAnsi="Times New Roman" w:cs="Times New Roman"/>
                <w:sz w:val="24"/>
                <w:szCs w:val="24"/>
              </w:rPr>
            </w:pPr>
            <w:r w:rsidRPr="00CE66AB">
              <w:rPr>
                <w:rFonts w:ascii="Times New Roman" w:eastAsia="Times New Roman" w:hAnsi="Times New Roman" w:cs="Times New Roman"/>
                <w:sz w:val="24"/>
                <w:szCs w:val="24"/>
              </w:rPr>
              <w:t>15</w:t>
            </w:r>
          </w:p>
        </w:tc>
      </w:tr>
      <w:tr w:rsidR="00877B2F" w:rsidRPr="008E1D60" w14:paraId="777120EF" w14:textId="77777777" w:rsidTr="004A6045">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1ABC7D69"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г. Санкт-Петербург</w:t>
            </w:r>
          </w:p>
        </w:tc>
        <w:tc>
          <w:tcPr>
            <w:tcW w:w="899" w:type="pct"/>
            <w:tcBorders>
              <w:top w:val="single" w:sz="4" w:space="0" w:color="auto"/>
              <w:left w:val="single" w:sz="4" w:space="0" w:color="auto"/>
              <w:bottom w:val="single" w:sz="4" w:space="0" w:color="auto"/>
              <w:right w:val="single" w:sz="4" w:space="0" w:color="auto"/>
            </w:tcBorders>
            <w:vAlign w:val="center"/>
          </w:tcPr>
          <w:p w14:paraId="4C23D972" w14:textId="77777777" w:rsidR="00877B2F" w:rsidRPr="008E1D60" w:rsidRDefault="00877B2F" w:rsidP="00877B2F">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213</w:t>
            </w:r>
          </w:p>
        </w:tc>
        <w:tc>
          <w:tcPr>
            <w:tcW w:w="899" w:type="pct"/>
            <w:tcBorders>
              <w:top w:val="single" w:sz="4" w:space="0" w:color="auto"/>
              <w:left w:val="single" w:sz="4" w:space="0" w:color="auto"/>
              <w:bottom w:val="single" w:sz="4" w:space="0" w:color="auto"/>
              <w:right w:val="single" w:sz="4" w:space="0" w:color="auto"/>
            </w:tcBorders>
            <w:vAlign w:val="center"/>
          </w:tcPr>
          <w:p w14:paraId="1659BC04"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232</w:t>
            </w:r>
          </w:p>
        </w:tc>
        <w:tc>
          <w:tcPr>
            <w:tcW w:w="899" w:type="pct"/>
            <w:tcBorders>
              <w:top w:val="single" w:sz="4" w:space="0" w:color="auto"/>
              <w:left w:val="single" w:sz="4" w:space="0" w:color="auto"/>
              <w:bottom w:val="single" w:sz="4" w:space="0" w:color="auto"/>
              <w:right w:val="single" w:sz="4" w:space="0" w:color="auto"/>
            </w:tcBorders>
            <w:vAlign w:val="bottom"/>
          </w:tcPr>
          <w:p w14:paraId="0B8E9184" w14:textId="77777777" w:rsidR="00877B2F" w:rsidRPr="00CE66AB" w:rsidRDefault="00877B2F" w:rsidP="00877B2F">
            <w:pPr>
              <w:spacing w:after="0" w:line="240" w:lineRule="auto"/>
              <w:ind w:left="-57" w:right="-57"/>
              <w:jc w:val="center"/>
              <w:rPr>
                <w:rFonts w:ascii="Times New Roman" w:eastAsia="Times New Roman" w:hAnsi="Times New Roman" w:cs="Times New Roman"/>
                <w:sz w:val="24"/>
                <w:szCs w:val="24"/>
              </w:rPr>
            </w:pPr>
            <w:r w:rsidRPr="00CE66AB">
              <w:rPr>
                <w:rFonts w:ascii="Times New Roman" w:eastAsia="Times New Roman" w:hAnsi="Times New Roman" w:cs="Times New Roman"/>
                <w:sz w:val="24"/>
                <w:szCs w:val="24"/>
              </w:rPr>
              <w:t>45</w:t>
            </w:r>
          </w:p>
        </w:tc>
      </w:tr>
      <w:tr w:rsidR="00877B2F" w:rsidRPr="008E1D60" w14:paraId="3239A89A" w14:textId="77777777" w:rsidTr="004A6045">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4A096291"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Ненецкий автономный округ</w:t>
            </w:r>
          </w:p>
        </w:tc>
        <w:tc>
          <w:tcPr>
            <w:tcW w:w="899" w:type="pct"/>
            <w:tcBorders>
              <w:top w:val="single" w:sz="4" w:space="0" w:color="auto"/>
              <w:left w:val="single" w:sz="4" w:space="0" w:color="auto"/>
              <w:bottom w:val="single" w:sz="4" w:space="0" w:color="auto"/>
              <w:right w:val="single" w:sz="4" w:space="0" w:color="auto"/>
            </w:tcBorders>
            <w:vAlign w:val="center"/>
          </w:tcPr>
          <w:p w14:paraId="65172453" w14:textId="77777777" w:rsidR="00877B2F" w:rsidRPr="008E1D60" w:rsidRDefault="00877B2F" w:rsidP="00877B2F">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w:t>
            </w:r>
          </w:p>
        </w:tc>
        <w:tc>
          <w:tcPr>
            <w:tcW w:w="899" w:type="pct"/>
            <w:tcBorders>
              <w:top w:val="single" w:sz="4" w:space="0" w:color="auto"/>
              <w:left w:val="single" w:sz="4" w:space="0" w:color="auto"/>
              <w:bottom w:val="single" w:sz="4" w:space="0" w:color="auto"/>
              <w:right w:val="single" w:sz="4" w:space="0" w:color="auto"/>
            </w:tcBorders>
            <w:vAlign w:val="center"/>
          </w:tcPr>
          <w:p w14:paraId="43D96137"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4</w:t>
            </w:r>
          </w:p>
        </w:tc>
        <w:tc>
          <w:tcPr>
            <w:tcW w:w="899" w:type="pct"/>
            <w:tcBorders>
              <w:top w:val="single" w:sz="4" w:space="0" w:color="auto"/>
              <w:left w:val="single" w:sz="4" w:space="0" w:color="auto"/>
              <w:bottom w:val="single" w:sz="4" w:space="0" w:color="auto"/>
              <w:right w:val="single" w:sz="4" w:space="0" w:color="auto"/>
            </w:tcBorders>
            <w:vAlign w:val="bottom"/>
          </w:tcPr>
          <w:p w14:paraId="05734563" w14:textId="77777777" w:rsidR="00877B2F" w:rsidRPr="00CE66AB" w:rsidRDefault="00877B2F" w:rsidP="00877B2F">
            <w:pPr>
              <w:spacing w:after="0" w:line="240" w:lineRule="auto"/>
              <w:ind w:left="-57" w:right="-57"/>
              <w:jc w:val="center"/>
              <w:rPr>
                <w:rFonts w:ascii="Times New Roman" w:eastAsia="Times New Roman" w:hAnsi="Times New Roman" w:cs="Times New Roman"/>
                <w:sz w:val="24"/>
                <w:szCs w:val="24"/>
              </w:rPr>
            </w:pPr>
            <w:r w:rsidRPr="00CE66AB">
              <w:rPr>
                <w:rFonts w:ascii="Times New Roman" w:eastAsia="Times New Roman" w:hAnsi="Times New Roman" w:cs="Times New Roman"/>
                <w:sz w:val="24"/>
                <w:szCs w:val="24"/>
              </w:rPr>
              <w:t>196</w:t>
            </w:r>
          </w:p>
        </w:tc>
      </w:tr>
      <w:tr w:rsidR="00877B2F" w:rsidRPr="008E1D60" w14:paraId="476850EF" w14:textId="77777777" w:rsidTr="004A6045">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6905FA47" w14:textId="77777777" w:rsidR="00877B2F" w:rsidRPr="008E1D60" w:rsidRDefault="00877B2F" w:rsidP="00877B2F">
            <w:pPr>
              <w:spacing w:after="0" w:line="240" w:lineRule="auto"/>
              <w:ind w:left="57"/>
              <w:rPr>
                <w:rFonts w:ascii="Times New Roman" w:eastAsia="Arial Unicode MS" w:hAnsi="Times New Roman" w:cs="Times New Roman"/>
                <w:b/>
                <w:sz w:val="24"/>
                <w:szCs w:val="24"/>
                <w:lang w:eastAsia="ru-RU"/>
              </w:rPr>
            </w:pPr>
            <w:r w:rsidRPr="008E1D60">
              <w:rPr>
                <w:rFonts w:ascii="Times New Roman" w:eastAsia="Arial Unicode MS" w:hAnsi="Times New Roman" w:cs="Times New Roman"/>
                <w:b/>
                <w:sz w:val="24"/>
                <w:szCs w:val="24"/>
                <w:lang w:eastAsia="ru-RU"/>
              </w:rPr>
              <w:t>Южный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14:paraId="255F69EF" w14:textId="77777777" w:rsidR="00877B2F" w:rsidRPr="008E1D60" w:rsidRDefault="00877B2F" w:rsidP="00877B2F">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798</w:t>
            </w:r>
          </w:p>
        </w:tc>
        <w:tc>
          <w:tcPr>
            <w:tcW w:w="899" w:type="pct"/>
            <w:tcBorders>
              <w:top w:val="single" w:sz="4" w:space="0" w:color="auto"/>
              <w:left w:val="single" w:sz="4" w:space="0" w:color="auto"/>
              <w:bottom w:val="single" w:sz="4" w:space="0" w:color="auto"/>
              <w:right w:val="single" w:sz="4" w:space="0" w:color="auto"/>
            </w:tcBorders>
            <w:vAlign w:val="center"/>
          </w:tcPr>
          <w:p w14:paraId="586FBE21" w14:textId="77777777" w:rsidR="00877B2F" w:rsidRPr="008E1D60" w:rsidRDefault="00877B2F" w:rsidP="00877B2F">
            <w:pPr>
              <w:spacing w:after="0" w:line="240" w:lineRule="auto"/>
              <w:ind w:left="-57" w:right="567"/>
              <w:jc w:val="right"/>
              <w:rPr>
                <w:rFonts w:ascii="Times New Roman" w:hAnsi="Times New Roman"/>
                <w:b/>
              </w:rPr>
            </w:pPr>
            <w:r w:rsidRPr="008E1D60">
              <w:rPr>
                <w:rFonts w:ascii="Times New Roman" w:hAnsi="Times New Roman"/>
                <w:b/>
              </w:rPr>
              <w:t>935</w:t>
            </w:r>
          </w:p>
        </w:tc>
        <w:tc>
          <w:tcPr>
            <w:tcW w:w="899" w:type="pct"/>
            <w:tcBorders>
              <w:top w:val="single" w:sz="4" w:space="0" w:color="auto"/>
              <w:left w:val="single" w:sz="4" w:space="0" w:color="auto"/>
              <w:bottom w:val="single" w:sz="4" w:space="0" w:color="auto"/>
              <w:right w:val="single" w:sz="4" w:space="0" w:color="auto"/>
            </w:tcBorders>
            <w:vAlign w:val="bottom"/>
          </w:tcPr>
          <w:p w14:paraId="51DDDCB1" w14:textId="77777777" w:rsidR="00877B2F" w:rsidRPr="00CE66AB" w:rsidRDefault="00877B2F" w:rsidP="00877B2F">
            <w:pPr>
              <w:spacing w:after="0" w:line="240" w:lineRule="auto"/>
              <w:ind w:left="-57" w:right="-57"/>
              <w:jc w:val="center"/>
              <w:rPr>
                <w:rFonts w:ascii="Times New Roman" w:eastAsia="Times New Roman" w:hAnsi="Times New Roman" w:cs="Times New Roman"/>
                <w:b/>
                <w:sz w:val="24"/>
                <w:szCs w:val="24"/>
              </w:rPr>
            </w:pPr>
            <w:r w:rsidRPr="00CE66AB">
              <w:rPr>
                <w:rFonts w:ascii="Times New Roman" w:eastAsia="Times New Roman" w:hAnsi="Times New Roman" w:cs="Times New Roman"/>
                <w:b/>
                <w:sz w:val="24"/>
                <w:szCs w:val="24"/>
              </w:rPr>
              <w:t>1 133</w:t>
            </w:r>
          </w:p>
        </w:tc>
      </w:tr>
      <w:tr w:rsidR="00877B2F" w:rsidRPr="008E1D60" w14:paraId="0EDD9C6C" w14:textId="77777777" w:rsidTr="00877B2F">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07F5CA7A"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Адыгея</w:t>
            </w:r>
          </w:p>
        </w:tc>
        <w:tc>
          <w:tcPr>
            <w:tcW w:w="899" w:type="pct"/>
            <w:tcBorders>
              <w:top w:val="single" w:sz="4" w:space="0" w:color="auto"/>
              <w:left w:val="single" w:sz="4" w:space="0" w:color="auto"/>
              <w:bottom w:val="single" w:sz="4" w:space="0" w:color="auto"/>
              <w:right w:val="single" w:sz="4" w:space="0" w:color="auto"/>
            </w:tcBorders>
            <w:vAlign w:val="center"/>
          </w:tcPr>
          <w:p w14:paraId="7B656223" w14:textId="77777777" w:rsidR="00877B2F" w:rsidRPr="008E1D60" w:rsidRDefault="00877B2F" w:rsidP="00877B2F">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18</w:t>
            </w:r>
          </w:p>
        </w:tc>
        <w:tc>
          <w:tcPr>
            <w:tcW w:w="899" w:type="pct"/>
            <w:tcBorders>
              <w:top w:val="single" w:sz="4" w:space="0" w:color="auto"/>
              <w:left w:val="single" w:sz="4" w:space="0" w:color="auto"/>
              <w:bottom w:val="single" w:sz="4" w:space="0" w:color="auto"/>
              <w:right w:val="single" w:sz="4" w:space="0" w:color="auto"/>
            </w:tcBorders>
            <w:vAlign w:val="center"/>
          </w:tcPr>
          <w:p w14:paraId="7B72E547"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22</w:t>
            </w:r>
          </w:p>
        </w:tc>
        <w:tc>
          <w:tcPr>
            <w:tcW w:w="899" w:type="pct"/>
            <w:tcBorders>
              <w:top w:val="single" w:sz="4" w:space="0" w:color="auto"/>
              <w:left w:val="single" w:sz="4" w:space="0" w:color="auto"/>
              <w:bottom w:val="single" w:sz="4" w:space="0" w:color="auto"/>
              <w:right w:val="single" w:sz="4" w:space="0" w:color="auto"/>
            </w:tcBorders>
            <w:vAlign w:val="center"/>
          </w:tcPr>
          <w:p w14:paraId="01D2CBB5" w14:textId="77777777" w:rsidR="00877B2F" w:rsidRPr="00B30F0A" w:rsidRDefault="00877B2F" w:rsidP="00877B2F">
            <w:pPr>
              <w:spacing w:after="0" w:line="240" w:lineRule="auto"/>
              <w:ind w:left="-57" w:right="-57"/>
              <w:jc w:val="center"/>
              <w:rPr>
                <w:rFonts w:ascii="Times New Roman" w:eastAsia="Times New Roman" w:hAnsi="Times New Roman" w:cs="Times New Roman"/>
                <w:sz w:val="24"/>
                <w:szCs w:val="24"/>
              </w:rPr>
            </w:pPr>
            <w:r w:rsidRPr="00B30F0A">
              <w:rPr>
                <w:rFonts w:ascii="Times New Roman" w:eastAsia="Times New Roman" w:hAnsi="Times New Roman" w:cs="Times New Roman"/>
                <w:sz w:val="24"/>
                <w:szCs w:val="24"/>
              </w:rPr>
              <w:t>16</w:t>
            </w:r>
          </w:p>
        </w:tc>
      </w:tr>
      <w:tr w:rsidR="00877B2F" w:rsidRPr="008E1D60" w14:paraId="21D44306" w14:textId="77777777" w:rsidTr="00877B2F">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66C6A184"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Калмыкия</w:t>
            </w:r>
          </w:p>
        </w:tc>
        <w:tc>
          <w:tcPr>
            <w:tcW w:w="899" w:type="pct"/>
            <w:tcBorders>
              <w:top w:val="single" w:sz="4" w:space="0" w:color="auto"/>
              <w:left w:val="single" w:sz="4" w:space="0" w:color="auto"/>
              <w:bottom w:val="single" w:sz="4" w:space="0" w:color="auto"/>
              <w:right w:val="single" w:sz="4" w:space="0" w:color="auto"/>
            </w:tcBorders>
            <w:vAlign w:val="center"/>
          </w:tcPr>
          <w:p w14:paraId="6D2F4454" w14:textId="77777777" w:rsidR="00877B2F" w:rsidRPr="008E1D60" w:rsidRDefault="00877B2F" w:rsidP="00877B2F">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25</w:t>
            </w:r>
          </w:p>
        </w:tc>
        <w:tc>
          <w:tcPr>
            <w:tcW w:w="899" w:type="pct"/>
            <w:tcBorders>
              <w:top w:val="single" w:sz="4" w:space="0" w:color="auto"/>
              <w:left w:val="single" w:sz="4" w:space="0" w:color="auto"/>
              <w:bottom w:val="single" w:sz="4" w:space="0" w:color="auto"/>
              <w:right w:val="single" w:sz="4" w:space="0" w:color="auto"/>
            </w:tcBorders>
            <w:vAlign w:val="center"/>
          </w:tcPr>
          <w:p w14:paraId="495D42A0"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29</w:t>
            </w:r>
          </w:p>
        </w:tc>
        <w:tc>
          <w:tcPr>
            <w:tcW w:w="899" w:type="pct"/>
            <w:tcBorders>
              <w:top w:val="single" w:sz="4" w:space="0" w:color="auto"/>
              <w:left w:val="single" w:sz="4" w:space="0" w:color="auto"/>
              <w:bottom w:val="single" w:sz="4" w:space="0" w:color="auto"/>
              <w:right w:val="single" w:sz="4" w:space="0" w:color="auto"/>
            </w:tcBorders>
            <w:vAlign w:val="center"/>
          </w:tcPr>
          <w:p w14:paraId="19D1D48F" w14:textId="77777777" w:rsidR="00877B2F" w:rsidRPr="00B30F0A" w:rsidRDefault="00877B2F" w:rsidP="00877B2F">
            <w:pPr>
              <w:spacing w:after="0" w:line="240" w:lineRule="auto"/>
              <w:ind w:left="-57" w:right="-57"/>
              <w:jc w:val="center"/>
              <w:rPr>
                <w:rFonts w:ascii="Times New Roman" w:eastAsia="Times New Roman" w:hAnsi="Times New Roman" w:cs="Times New Roman"/>
                <w:sz w:val="24"/>
                <w:szCs w:val="24"/>
              </w:rPr>
            </w:pPr>
            <w:r w:rsidRPr="00B30F0A">
              <w:rPr>
                <w:rFonts w:ascii="Times New Roman" w:eastAsia="Times New Roman" w:hAnsi="Times New Roman" w:cs="Times New Roman"/>
                <w:sz w:val="24"/>
                <w:szCs w:val="24"/>
              </w:rPr>
              <w:t>34</w:t>
            </w:r>
          </w:p>
        </w:tc>
      </w:tr>
      <w:tr w:rsidR="00877B2F" w:rsidRPr="008E1D60" w14:paraId="4D1DE2F5" w14:textId="77777777" w:rsidTr="00877B2F">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671C052F"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Крым</w:t>
            </w:r>
          </w:p>
        </w:tc>
        <w:tc>
          <w:tcPr>
            <w:tcW w:w="899" w:type="pct"/>
            <w:tcBorders>
              <w:top w:val="single" w:sz="4" w:space="0" w:color="auto"/>
              <w:left w:val="single" w:sz="4" w:space="0" w:color="auto"/>
              <w:bottom w:val="single" w:sz="4" w:space="0" w:color="auto"/>
              <w:right w:val="single" w:sz="4" w:space="0" w:color="auto"/>
            </w:tcBorders>
            <w:vAlign w:val="center"/>
          </w:tcPr>
          <w:p w14:paraId="38FFCB45" w14:textId="77777777" w:rsidR="00877B2F" w:rsidRPr="008E1D60" w:rsidRDefault="00877B2F" w:rsidP="00877B2F">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66</w:t>
            </w:r>
          </w:p>
        </w:tc>
        <w:tc>
          <w:tcPr>
            <w:tcW w:w="899" w:type="pct"/>
            <w:tcBorders>
              <w:top w:val="single" w:sz="4" w:space="0" w:color="auto"/>
              <w:left w:val="single" w:sz="4" w:space="0" w:color="auto"/>
              <w:bottom w:val="single" w:sz="4" w:space="0" w:color="auto"/>
              <w:right w:val="single" w:sz="4" w:space="0" w:color="auto"/>
            </w:tcBorders>
            <w:vAlign w:val="center"/>
          </w:tcPr>
          <w:p w14:paraId="4825DED2"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86</w:t>
            </w:r>
          </w:p>
        </w:tc>
        <w:tc>
          <w:tcPr>
            <w:tcW w:w="899" w:type="pct"/>
            <w:tcBorders>
              <w:top w:val="single" w:sz="4" w:space="0" w:color="auto"/>
              <w:left w:val="single" w:sz="4" w:space="0" w:color="auto"/>
              <w:bottom w:val="single" w:sz="4" w:space="0" w:color="auto"/>
              <w:right w:val="single" w:sz="4" w:space="0" w:color="auto"/>
            </w:tcBorders>
            <w:vAlign w:val="center"/>
          </w:tcPr>
          <w:p w14:paraId="6FE20670" w14:textId="77777777" w:rsidR="00877B2F" w:rsidRPr="00B30F0A" w:rsidRDefault="00877B2F" w:rsidP="00877B2F">
            <w:pPr>
              <w:spacing w:after="0" w:line="240" w:lineRule="auto"/>
              <w:ind w:left="-57" w:right="-57"/>
              <w:jc w:val="center"/>
              <w:rPr>
                <w:rFonts w:ascii="Times New Roman" w:eastAsia="Times New Roman" w:hAnsi="Times New Roman" w:cs="Times New Roman"/>
                <w:sz w:val="24"/>
                <w:szCs w:val="24"/>
              </w:rPr>
            </w:pPr>
            <w:r w:rsidRPr="00B30F0A">
              <w:rPr>
                <w:rFonts w:ascii="Times New Roman" w:eastAsia="Times New Roman" w:hAnsi="Times New Roman" w:cs="Times New Roman"/>
                <w:sz w:val="24"/>
                <w:szCs w:val="24"/>
              </w:rPr>
              <w:t>71</w:t>
            </w:r>
          </w:p>
        </w:tc>
      </w:tr>
      <w:tr w:rsidR="00877B2F" w:rsidRPr="008E1D60" w14:paraId="42C0487D" w14:textId="77777777" w:rsidTr="00877B2F">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0E98BCFB"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Краснодарский край</w:t>
            </w:r>
          </w:p>
        </w:tc>
        <w:tc>
          <w:tcPr>
            <w:tcW w:w="899" w:type="pct"/>
            <w:tcBorders>
              <w:top w:val="single" w:sz="4" w:space="0" w:color="auto"/>
              <w:left w:val="single" w:sz="4" w:space="0" w:color="auto"/>
              <w:bottom w:val="single" w:sz="4" w:space="0" w:color="auto"/>
              <w:right w:val="single" w:sz="4" w:space="0" w:color="auto"/>
            </w:tcBorders>
            <w:vAlign w:val="center"/>
          </w:tcPr>
          <w:p w14:paraId="149692D9" w14:textId="77777777" w:rsidR="00877B2F" w:rsidRPr="008E1D60" w:rsidRDefault="00877B2F" w:rsidP="00877B2F">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313</w:t>
            </w:r>
          </w:p>
        </w:tc>
        <w:tc>
          <w:tcPr>
            <w:tcW w:w="899" w:type="pct"/>
            <w:tcBorders>
              <w:top w:val="single" w:sz="4" w:space="0" w:color="auto"/>
              <w:left w:val="single" w:sz="4" w:space="0" w:color="auto"/>
              <w:bottom w:val="single" w:sz="4" w:space="0" w:color="auto"/>
              <w:right w:val="single" w:sz="4" w:space="0" w:color="auto"/>
            </w:tcBorders>
            <w:vAlign w:val="center"/>
          </w:tcPr>
          <w:p w14:paraId="6F8C4201"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295</w:t>
            </w:r>
          </w:p>
        </w:tc>
        <w:tc>
          <w:tcPr>
            <w:tcW w:w="899" w:type="pct"/>
            <w:tcBorders>
              <w:top w:val="single" w:sz="4" w:space="0" w:color="auto"/>
              <w:left w:val="single" w:sz="4" w:space="0" w:color="auto"/>
              <w:bottom w:val="single" w:sz="4" w:space="0" w:color="auto"/>
              <w:right w:val="single" w:sz="4" w:space="0" w:color="auto"/>
            </w:tcBorders>
            <w:vAlign w:val="center"/>
          </w:tcPr>
          <w:p w14:paraId="72CD22E3" w14:textId="77777777" w:rsidR="00877B2F" w:rsidRPr="00B30F0A" w:rsidRDefault="00877B2F" w:rsidP="00877B2F">
            <w:pPr>
              <w:spacing w:after="0" w:line="240" w:lineRule="auto"/>
              <w:ind w:left="-57" w:right="-57"/>
              <w:jc w:val="center"/>
              <w:rPr>
                <w:rFonts w:ascii="Times New Roman" w:eastAsia="Times New Roman" w:hAnsi="Times New Roman" w:cs="Times New Roman"/>
                <w:sz w:val="24"/>
                <w:szCs w:val="24"/>
              </w:rPr>
            </w:pPr>
            <w:r w:rsidRPr="00B30F0A">
              <w:rPr>
                <w:rFonts w:ascii="Times New Roman" w:eastAsia="Times New Roman" w:hAnsi="Times New Roman" w:cs="Times New Roman"/>
                <w:sz w:val="24"/>
                <w:szCs w:val="24"/>
              </w:rPr>
              <w:t>604</w:t>
            </w:r>
          </w:p>
        </w:tc>
      </w:tr>
      <w:tr w:rsidR="00877B2F" w:rsidRPr="008E1D60" w14:paraId="0296A861" w14:textId="77777777" w:rsidTr="00877B2F">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65A9BE25"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Астраханская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3BF0905F" w14:textId="77777777" w:rsidR="00877B2F" w:rsidRPr="008E1D60" w:rsidRDefault="00877B2F" w:rsidP="00877B2F">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80</w:t>
            </w:r>
          </w:p>
        </w:tc>
        <w:tc>
          <w:tcPr>
            <w:tcW w:w="899" w:type="pct"/>
            <w:tcBorders>
              <w:top w:val="single" w:sz="4" w:space="0" w:color="auto"/>
              <w:left w:val="single" w:sz="4" w:space="0" w:color="auto"/>
              <w:bottom w:val="single" w:sz="4" w:space="0" w:color="auto"/>
              <w:right w:val="single" w:sz="4" w:space="0" w:color="auto"/>
            </w:tcBorders>
            <w:vAlign w:val="center"/>
          </w:tcPr>
          <w:p w14:paraId="16DF5AD1"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100</w:t>
            </w:r>
          </w:p>
        </w:tc>
        <w:tc>
          <w:tcPr>
            <w:tcW w:w="899" w:type="pct"/>
            <w:tcBorders>
              <w:top w:val="single" w:sz="4" w:space="0" w:color="auto"/>
              <w:left w:val="single" w:sz="4" w:space="0" w:color="auto"/>
              <w:bottom w:val="single" w:sz="4" w:space="0" w:color="auto"/>
              <w:right w:val="single" w:sz="4" w:space="0" w:color="auto"/>
            </w:tcBorders>
            <w:vAlign w:val="center"/>
          </w:tcPr>
          <w:p w14:paraId="11ABB049" w14:textId="77777777" w:rsidR="00877B2F" w:rsidRPr="00B30F0A" w:rsidRDefault="00877B2F" w:rsidP="00877B2F">
            <w:pPr>
              <w:spacing w:after="0" w:line="240" w:lineRule="auto"/>
              <w:ind w:left="-57" w:right="-57"/>
              <w:jc w:val="center"/>
              <w:rPr>
                <w:rFonts w:ascii="Times New Roman" w:eastAsia="Times New Roman" w:hAnsi="Times New Roman" w:cs="Times New Roman"/>
                <w:sz w:val="24"/>
                <w:szCs w:val="24"/>
              </w:rPr>
            </w:pPr>
            <w:r w:rsidRPr="00B30F0A">
              <w:rPr>
                <w:rFonts w:ascii="Times New Roman" w:eastAsia="Times New Roman" w:hAnsi="Times New Roman" w:cs="Times New Roman"/>
                <w:sz w:val="24"/>
                <w:szCs w:val="24"/>
              </w:rPr>
              <w:t>112</w:t>
            </w:r>
          </w:p>
        </w:tc>
      </w:tr>
      <w:tr w:rsidR="00877B2F" w:rsidRPr="008E1D60" w14:paraId="58DC4F37" w14:textId="77777777" w:rsidTr="00877B2F">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68C64C21"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Волгоградская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1A63855B" w14:textId="77777777" w:rsidR="00877B2F" w:rsidRPr="008E1D60" w:rsidRDefault="00877B2F" w:rsidP="00877B2F">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97</w:t>
            </w:r>
          </w:p>
        </w:tc>
        <w:tc>
          <w:tcPr>
            <w:tcW w:w="899" w:type="pct"/>
            <w:tcBorders>
              <w:top w:val="single" w:sz="4" w:space="0" w:color="auto"/>
              <w:left w:val="single" w:sz="4" w:space="0" w:color="auto"/>
              <w:bottom w:val="single" w:sz="4" w:space="0" w:color="auto"/>
              <w:right w:val="single" w:sz="4" w:space="0" w:color="auto"/>
            </w:tcBorders>
            <w:vAlign w:val="center"/>
          </w:tcPr>
          <w:p w14:paraId="76FFA5BC"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120</w:t>
            </w:r>
          </w:p>
        </w:tc>
        <w:tc>
          <w:tcPr>
            <w:tcW w:w="899" w:type="pct"/>
            <w:tcBorders>
              <w:top w:val="single" w:sz="4" w:space="0" w:color="auto"/>
              <w:left w:val="single" w:sz="4" w:space="0" w:color="auto"/>
              <w:bottom w:val="single" w:sz="4" w:space="0" w:color="auto"/>
              <w:right w:val="single" w:sz="4" w:space="0" w:color="auto"/>
            </w:tcBorders>
            <w:vAlign w:val="center"/>
          </w:tcPr>
          <w:p w14:paraId="4886078C" w14:textId="77777777" w:rsidR="00877B2F" w:rsidRPr="00B30F0A" w:rsidRDefault="00877B2F" w:rsidP="00877B2F">
            <w:pPr>
              <w:spacing w:after="0" w:line="240" w:lineRule="auto"/>
              <w:ind w:left="-57" w:right="-57"/>
              <w:jc w:val="center"/>
              <w:rPr>
                <w:rFonts w:ascii="Times New Roman" w:eastAsia="Times New Roman" w:hAnsi="Times New Roman" w:cs="Times New Roman"/>
                <w:sz w:val="24"/>
                <w:szCs w:val="24"/>
              </w:rPr>
            </w:pPr>
            <w:r w:rsidRPr="00B30F0A">
              <w:rPr>
                <w:rFonts w:ascii="Times New Roman" w:eastAsia="Times New Roman" w:hAnsi="Times New Roman" w:cs="Times New Roman"/>
                <w:sz w:val="24"/>
                <w:szCs w:val="24"/>
              </w:rPr>
              <w:t>101</w:t>
            </w:r>
          </w:p>
        </w:tc>
      </w:tr>
      <w:tr w:rsidR="00877B2F" w:rsidRPr="008E1D60" w14:paraId="3E70824E" w14:textId="77777777" w:rsidTr="00877B2F">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16D7C427"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Ростовская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6E8CD778" w14:textId="77777777" w:rsidR="00877B2F" w:rsidRPr="008E1D60" w:rsidRDefault="00877B2F" w:rsidP="00877B2F">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189</w:t>
            </w:r>
          </w:p>
        </w:tc>
        <w:tc>
          <w:tcPr>
            <w:tcW w:w="899" w:type="pct"/>
            <w:tcBorders>
              <w:top w:val="single" w:sz="4" w:space="0" w:color="auto"/>
              <w:left w:val="single" w:sz="4" w:space="0" w:color="auto"/>
              <w:bottom w:val="single" w:sz="4" w:space="0" w:color="auto"/>
              <w:right w:val="single" w:sz="4" w:space="0" w:color="auto"/>
            </w:tcBorders>
            <w:vAlign w:val="center"/>
          </w:tcPr>
          <w:p w14:paraId="2C33057D"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270</w:t>
            </w:r>
          </w:p>
        </w:tc>
        <w:tc>
          <w:tcPr>
            <w:tcW w:w="899" w:type="pct"/>
            <w:tcBorders>
              <w:top w:val="single" w:sz="4" w:space="0" w:color="auto"/>
              <w:left w:val="single" w:sz="4" w:space="0" w:color="auto"/>
              <w:bottom w:val="single" w:sz="4" w:space="0" w:color="auto"/>
              <w:right w:val="single" w:sz="4" w:space="0" w:color="auto"/>
            </w:tcBorders>
            <w:vAlign w:val="center"/>
          </w:tcPr>
          <w:p w14:paraId="3C665FA8" w14:textId="77777777" w:rsidR="00877B2F" w:rsidRPr="00B30F0A" w:rsidRDefault="00877B2F" w:rsidP="00877B2F">
            <w:pPr>
              <w:spacing w:after="0" w:line="240" w:lineRule="auto"/>
              <w:ind w:left="-57" w:right="-57"/>
              <w:jc w:val="center"/>
              <w:rPr>
                <w:rFonts w:ascii="Times New Roman" w:eastAsia="Times New Roman" w:hAnsi="Times New Roman" w:cs="Times New Roman"/>
                <w:sz w:val="24"/>
                <w:szCs w:val="24"/>
              </w:rPr>
            </w:pPr>
            <w:r w:rsidRPr="00B30F0A">
              <w:rPr>
                <w:rFonts w:ascii="Times New Roman" w:eastAsia="Times New Roman" w:hAnsi="Times New Roman" w:cs="Times New Roman"/>
                <w:sz w:val="24"/>
                <w:szCs w:val="24"/>
              </w:rPr>
              <w:t>186</w:t>
            </w:r>
          </w:p>
        </w:tc>
      </w:tr>
      <w:tr w:rsidR="00877B2F" w:rsidRPr="008E1D60" w14:paraId="1504F6E8" w14:textId="77777777" w:rsidTr="00877B2F">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7D43AEBE"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г. Севастополь</w:t>
            </w:r>
          </w:p>
        </w:tc>
        <w:tc>
          <w:tcPr>
            <w:tcW w:w="899" w:type="pct"/>
            <w:tcBorders>
              <w:top w:val="single" w:sz="4" w:space="0" w:color="auto"/>
              <w:left w:val="single" w:sz="4" w:space="0" w:color="auto"/>
              <w:bottom w:val="single" w:sz="4" w:space="0" w:color="auto"/>
              <w:right w:val="single" w:sz="4" w:space="0" w:color="auto"/>
            </w:tcBorders>
            <w:vAlign w:val="center"/>
          </w:tcPr>
          <w:p w14:paraId="2893A902" w14:textId="77777777" w:rsidR="00877B2F" w:rsidRPr="008E1D60" w:rsidRDefault="00877B2F" w:rsidP="00877B2F">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10</w:t>
            </w:r>
          </w:p>
        </w:tc>
        <w:tc>
          <w:tcPr>
            <w:tcW w:w="899" w:type="pct"/>
            <w:tcBorders>
              <w:top w:val="single" w:sz="4" w:space="0" w:color="auto"/>
              <w:left w:val="single" w:sz="4" w:space="0" w:color="auto"/>
              <w:bottom w:val="single" w:sz="4" w:space="0" w:color="auto"/>
              <w:right w:val="single" w:sz="4" w:space="0" w:color="auto"/>
            </w:tcBorders>
            <w:vAlign w:val="center"/>
          </w:tcPr>
          <w:p w14:paraId="43C7807A"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13</w:t>
            </w:r>
          </w:p>
        </w:tc>
        <w:tc>
          <w:tcPr>
            <w:tcW w:w="899" w:type="pct"/>
            <w:tcBorders>
              <w:top w:val="single" w:sz="4" w:space="0" w:color="auto"/>
              <w:left w:val="single" w:sz="4" w:space="0" w:color="auto"/>
              <w:bottom w:val="single" w:sz="4" w:space="0" w:color="auto"/>
              <w:right w:val="single" w:sz="4" w:space="0" w:color="auto"/>
            </w:tcBorders>
            <w:vAlign w:val="center"/>
          </w:tcPr>
          <w:p w14:paraId="57989E7D" w14:textId="77777777" w:rsidR="00877B2F" w:rsidRPr="00B30F0A" w:rsidRDefault="00877B2F" w:rsidP="00877B2F">
            <w:pPr>
              <w:spacing w:after="0" w:line="240" w:lineRule="auto"/>
              <w:ind w:left="-57" w:right="-57"/>
              <w:jc w:val="center"/>
              <w:rPr>
                <w:rFonts w:ascii="Times New Roman" w:eastAsia="Times New Roman" w:hAnsi="Times New Roman" w:cs="Times New Roman"/>
                <w:sz w:val="24"/>
                <w:szCs w:val="24"/>
              </w:rPr>
            </w:pPr>
            <w:r w:rsidRPr="00B30F0A">
              <w:rPr>
                <w:rFonts w:ascii="Times New Roman" w:eastAsia="Times New Roman" w:hAnsi="Times New Roman" w:cs="Times New Roman"/>
                <w:sz w:val="24"/>
                <w:szCs w:val="24"/>
              </w:rPr>
              <w:t>9</w:t>
            </w:r>
          </w:p>
        </w:tc>
      </w:tr>
      <w:tr w:rsidR="00877B2F" w:rsidRPr="008E1D60" w14:paraId="0816D0BA" w14:textId="77777777" w:rsidTr="00877B2F">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7A80DF6B" w14:textId="77777777" w:rsidR="00877B2F" w:rsidRPr="008E1D60" w:rsidRDefault="00877B2F" w:rsidP="00877B2F">
            <w:pPr>
              <w:spacing w:after="0" w:line="240" w:lineRule="auto"/>
              <w:ind w:left="57"/>
              <w:rPr>
                <w:rFonts w:ascii="Times New Roman" w:eastAsia="Arial Unicode MS" w:hAnsi="Times New Roman" w:cs="Times New Roman"/>
                <w:b/>
                <w:sz w:val="24"/>
                <w:szCs w:val="24"/>
                <w:lang w:eastAsia="ru-RU"/>
              </w:rPr>
            </w:pPr>
            <w:r w:rsidRPr="008E1D60">
              <w:rPr>
                <w:rFonts w:ascii="Times New Roman" w:eastAsia="Arial Unicode MS" w:hAnsi="Times New Roman" w:cs="Times New Roman"/>
                <w:b/>
                <w:sz w:val="24"/>
                <w:szCs w:val="24"/>
                <w:lang w:eastAsia="ru-RU"/>
              </w:rPr>
              <w:t>Северо-Кавказский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14:paraId="3D081477" w14:textId="77777777" w:rsidR="00877B2F" w:rsidRPr="008E1D60" w:rsidRDefault="00877B2F" w:rsidP="00877B2F">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1 193</w:t>
            </w:r>
          </w:p>
        </w:tc>
        <w:tc>
          <w:tcPr>
            <w:tcW w:w="899" w:type="pct"/>
            <w:tcBorders>
              <w:top w:val="single" w:sz="4" w:space="0" w:color="auto"/>
              <w:left w:val="single" w:sz="4" w:space="0" w:color="auto"/>
              <w:bottom w:val="single" w:sz="4" w:space="0" w:color="auto"/>
              <w:right w:val="single" w:sz="4" w:space="0" w:color="auto"/>
            </w:tcBorders>
            <w:vAlign w:val="center"/>
          </w:tcPr>
          <w:p w14:paraId="7A05F829" w14:textId="77777777" w:rsidR="00877B2F" w:rsidRPr="008E1D60" w:rsidRDefault="00877B2F" w:rsidP="00877B2F">
            <w:pPr>
              <w:spacing w:after="0" w:line="240" w:lineRule="auto"/>
              <w:ind w:left="-57" w:right="567"/>
              <w:jc w:val="right"/>
              <w:rPr>
                <w:rFonts w:ascii="Times New Roman" w:hAnsi="Times New Roman"/>
                <w:b/>
              </w:rPr>
            </w:pPr>
            <w:r w:rsidRPr="008E1D60">
              <w:rPr>
                <w:rFonts w:ascii="Times New Roman" w:hAnsi="Times New Roman"/>
                <w:b/>
              </w:rPr>
              <w:t>1 331</w:t>
            </w:r>
          </w:p>
        </w:tc>
        <w:tc>
          <w:tcPr>
            <w:tcW w:w="899" w:type="pct"/>
            <w:tcBorders>
              <w:top w:val="single" w:sz="4" w:space="0" w:color="auto"/>
              <w:left w:val="single" w:sz="4" w:space="0" w:color="auto"/>
              <w:bottom w:val="single" w:sz="4" w:space="0" w:color="auto"/>
              <w:right w:val="single" w:sz="4" w:space="0" w:color="auto"/>
            </w:tcBorders>
            <w:vAlign w:val="center"/>
          </w:tcPr>
          <w:p w14:paraId="520E426A" w14:textId="77777777" w:rsidR="00877B2F" w:rsidRPr="00CE66AB" w:rsidRDefault="00877B2F" w:rsidP="00877B2F">
            <w:pPr>
              <w:spacing w:after="0" w:line="240" w:lineRule="auto"/>
              <w:ind w:left="-57" w:right="-57"/>
              <w:jc w:val="center"/>
              <w:rPr>
                <w:rFonts w:ascii="Times New Roman" w:eastAsia="Times New Roman" w:hAnsi="Times New Roman" w:cs="Times New Roman"/>
                <w:b/>
                <w:sz w:val="24"/>
                <w:szCs w:val="24"/>
              </w:rPr>
            </w:pPr>
            <w:r w:rsidRPr="00CE66AB">
              <w:rPr>
                <w:rFonts w:ascii="Times New Roman" w:eastAsia="Times New Roman" w:hAnsi="Times New Roman" w:cs="Times New Roman"/>
                <w:b/>
                <w:sz w:val="24"/>
                <w:szCs w:val="24"/>
              </w:rPr>
              <w:t>1 156</w:t>
            </w:r>
          </w:p>
        </w:tc>
      </w:tr>
      <w:tr w:rsidR="00877B2F" w:rsidRPr="008E1D60" w14:paraId="0CAC8A5C" w14:textId="77777777" w:rsidTr="00877B2F">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6E52187B"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Дагестан</w:t>
            </w:r>
          </w:p>
        </w:tc>
        <w:tc>
          <w:tcPr>
            <w:tcW w:w="899" w:type="pct"/>
            <w:tcBorders>
              <w:top w:val="single" w:sz="4" w:space="0" w:color="auto"/>
              <w:left w:val="single" w:sz="4" w:space="0" w:color="auto"/>
              <w:bottom w:val="single" w:sz="4" w:space="0" w:color="auto"/>
              <w:right w:val="single" w:sz="4" w:space="0" w:color="auto"/>
            </w:tcBorders>
            <w:vAlign w:val="center"/>
          </w:tcPr>
          <w:p w14:paraId="5E820744" w14:textId="77777777" w:rsidR="00877B2F" w:rsidRPr="008E1D60" w:rsidRDefault="00877B2F" w:rsidP="00877B2F">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476</w:t>
            </w:r>
          </w:p>
        </w:tc>
        <w:tc>
          <w:tcPr>
            <w:tcW w:w="899" w:type="pct"/>
            <w:tcBorders>
              <w:top w:val="single" w:sz="4" w:space="0" w:color="auto"/>
              <w:left w:val="single" w:sz="4" w:space="0" w:color="auto"/>
              <w:bottom w:val="single" w:sz="4" w:space="0" w:color="auto"/>
              <w:right w:val="single" w:sz="4" w:space="0" w:color="auto"/>
            </w:tcBorders>
            <w:vAlign w:val="center"/>
          </w:tcPr>
          <w:p w14:paraId="3D5D9ACA"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499</w:t>
            </w:r>
          </w:p>
        </w:tc>
        <w:tc>
          <w:tcPr>
            <w:tcW w:w="899" w:type="pct"/>
            <w:tcBorders>
              <w:top w:val="single" w:sz="4" w:space="0" w:color="auto"/>
              <w:left w:val="single" w:sz="4" w:space="0" w:color="auto"/>
              <w:bottom w:val="single" w:sz="4" w:space="0" w:color="auto"/>
              <w:right w:val="single" w:sz="4" w:space="0" w:color="auto"/>
            </w:tcBorders>
            <w:vAlign w:val="center"/>
          </w:tcPr>
          <w:p w14:paraId="4B07FE1D" w14:textId="77777777" w:rsidR="00877B2F" w:rsidRPr="00CE66AB" w:rsidRDefault="00877B2F" w:rsidP="00877B2F">
            <w:pPr>
              <w:spacing w:after="0" w:line="240" w:lineRule="auto"/>
              <w:ind w:left="-57" w:right="-57"/>
              <w:jc w:val="center"/>
              <w:rPr>
                <w:rFonts w:ascii="Times New Roman" w:eastAsia="Times New Roman" w:hAnsi="Times New Roman" w:cs="Times New Roman"/>
                <w:sz w:val="24"/>
                <w:szCs w:val="24"/>
              </w:rPr>
            </w:pPr>
            <w:r w:rsidRPr="00CE66AB">
              <w:rPr>
                <w:rFonts w:ascii="Times New Roman" w:eastAsia="Times New Roman" w:hAnsi="Times New Roman" w:cs="Times New Roman"/>
                <w:sz w:val="24"/>
                <w:szCs w:val="24"/>
              </w:rPr>
              <w:t>503</w:t>
            </w:r>
          </w:p>
        </w:tc>
      </w:tr>
      <w:tr w:rsidR="00877B2F" w:rsidRPr="008E1D60" w14:paraId="528C9F6D" w14:textId="77777777" w:rsidTr="00877B2F">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5244AD82"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Ингушетия</w:t>
            </w:r>
          </w:p>
        </w:tc>
        <w:tc>
          <w:tcPr>
            <w:tcW w:w="899" w:type="pct"/>
            <w:tcBorders>
              <w:top w:val="single" w:sz="4" w:space="0" w:color="auto"/>
              <w:left w:val="single" w:sz="4" w:space="0" w:color="auto"/>
              <w:bottom w:val="single" w:sz="4" w:space="0" w:color="auto"/>
              <w:right w:val="single" w:sz="4" w:space="0" w:color="auto"/>
            </w:tcBorders>
            <w:vAlign w:val="center"/>
          </w:tcPr>
          <w:p w14:paraId="2FC13602" w14:textId="77777777" w:rsidR="00877B2F" w:rsidRPr="008E1D60" w:rsidRDefault="00877B2F" w:rsidP="00877B2F">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126</w:t>
            </w:r>
          </w:p>
        </w:tc>
        <w:tc>
          <w:tcPr>
            <w:tcW w:w="899" w:type="pct"/>
            <w:tcBorders>
              <w:top w:val="single" w:sz="4" w:space="0" w:color="auto"/>
              <w:left w:val="single" w:sz="4" w:space="0" w:color="auto"/>
              <w:bottom w:val="single" w:sz="4" w:space="0" w:color="auto"/>
              <w:right w:val="single" w:sz="4" w:space="0" w:color="auto"/>
            </w:tcBorders>
            <w:vAlign w:val="center"/>
          </w:tcPr>
          <w:p w14:paraId="2241C624"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125</w:t>
            </w:r>
          </w:p>
        </w:tc>
        <w:tc>
          <w:tcPr>
            <w:tcW w:w="899" w:type="pct"/>
            <w:tcBorders>
              <w:top w:val="single" w:sz="4" w:space="0" w:color="auto"/>
              <w:left w:val="single" w:sz="4" w:space="0" w:color="auto"/>
              <w:bottom w:val="single" w:sz="4" w:space="0" w:color="auto"/>
              <w:right w:val="single" w:sz="4" w:space="0" w:color="auto"/>
            </w:tcBorders>
            <w:vAlign w:val="center"/>
          </w:tcPr>
          <w:p w14:paraId="505B1DA2" w14:textId="77777777" w:rsidR="00877B2F" w:rsidRPr="00CE66AB" w:rsidRDefault="00877B2F" w:rsidP="00877B2F">
            <w:pPr>
              <w:spacing w:after="0" w:line="240" w:lineRule="auto"/>
              <w:ind w:left="-57" w:right="-57"/>
              <w:jc w:val="center"/>
              <w:rPr>
                <w:rFonts w:ascii="Times New Roman" w:eastAsia="Times New Roman" w:hAnsi="Times New Roman" w:cs="Times New Roman"/>
                <w:sz w:val="24"/>
                <w:szCs w:val="24"/>
              </w:rPr>
            </w:pPr>
            <w:r w:rsidRPr="00CE66AB">
              <w:rPr>
                <w:rFonts w:ascii="Times New Roman" w:eastAsia="Times New Roman" w:hAnsi="Times New Roman" w:cs="Times New Roman"/>
                <w:sz w:val="24"/>
                <w:szCs w:val="24"/>
              </w:rPr>
              <w:t>125</w:t>
            </w:r>
          </w:p>
        </w:tc>
      </w:tr>
      <w:tr w:rsidR="00877B2F" w:rsidRPr="008E1D60" w14:paraId="1EC73BB0" w14:textId="77777777" w:rsidTr="00877B2F">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77CCEEB0"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Кабардино-Балкарская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14:paraId="0BEDCAD4" w14:textId="77777777" w:rsidR="00877B2F" w:rsidRPr="008E1D60" w:rsidRDefault="00877B2F" w:rsidP="00877B2F">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66</w:t>
            </w:r>
          </w:p>
        </w:tc>
        <w:tc>
          <w:tcPr>
            <w:tcW w:w="899" w:type="pct"/>
            <w:tcBorders>
              <w:top w:val="single" w:sz="4" w:space="0" w:color="auto"/>
              <w:left w:val="single" w:sz="4" w:space="0" w:color="auto"/>
              <w:bottom w:val="single" w:sz="4" w:space="0" w:color="auto"/>
              <w:right w:val="single" w:sz="4" w:space="0" w:color="auto"/>
            </w:tcBorders>
            <w:vAlign w:val="center"/>
          </w:tcPr>
          <w:p w14:paraId="3C8AE847"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60</w:t>
            </w:r>
          </w:p>
        </w:tc>
        <w:tc>
          <w:tcPr>
            <w:tcW w:w="899" w:type="pct"/>
            <w:tcBorders>
              <w:top w:val="single" w:sz="4" w:space="0" w:color="auto"/>
              <w:left w:val="single" w:sz="4" w:space="0" w:color="auto"/>
              <w:bottom w:val="single" w:sz="4" w:space="0" w:color="auto"/>
              <w:right w:val="single" w:sz="4" w:space="0" w:color="auto"/>
            </w:tcBorders>
            <w:vAlign w:val="center"/>
          </w:tcPr>
          <w:p w14:paraId="37FDCDA6" w14:textId="77777777" w:rsidR="00877B2F" w:rsidRPr="00CE66AB" w:rsidRDefault="00877B2F" w:rsidP="00877B2F">
            <w:pPr>
              <w:spacing w:after="0" w:line="240" w:lineRule="auto"/>
              <w:ind w:left="-57" w:right="-57"/>
              <w:jc w:val="center"/>
              <w:rPr>
                <w:rFonts w:ascii="Times New Roman" w:eastAsia="Times New Roman" w:hAnsi="Times New Roman" w:cs="Times New Roman"/>
                <w:sz w:val="24"/>
                <w:szCs w:val="24"/>
              </w:rPr>
            </w:pPr>
            <w:r w:rsidRPr="00CE66AB">
              <w:rPr>
                <w:rFonts w:ascii="Times New Roman" w:eastAsia="Times New Roman" w:hAnsi="Times New Roman" w:cs="Times New Roman"/>
                <w:sz w:val="24"/>
                <w:szCs w:val="24"/>
              </w:rPr>
              <w:t>35</w:t>
            </w:r>
          </w:p>
        </w:tc>
      </w:tr>
      <w:tr w:rsidR="00877B2F" w:rsidRPr="008E1D60" w14:paraId="0B0545AC" w14:textId="77777777" w:rsidTr="00877B2F">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5C49955E"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Карачаево-Черкесская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14:paraId="0DF42D77" w14:textId="77777777" w:rsidR="00877B2F" w:rsidRPr="008E1D60" w:rsidRDefault="00877B2F" w:rsidP="00877B2F">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50</w:t>
            </w:r>
          </w:p>
        </w:tc>
        <w:tc>
          <w:tcPr>
            <w:tcW w:w="899" w:type="pct"/>
            <w:tcBorders>
              <w:top w:val="single" w:sz="4" w:space="0" w:color="auto"/>
              <w:left w:val="single" w:sz="4" w:space="0" w:color="auto"/>
              <w:bottom w:val="single" w:sz="4" w:space="0" w:color="auto"/>
              <w:right w:val="single" w:sz="4" w:space="0" w:color="auto"/>
            </w:tcBorders>
            <w:vAlign w:val="center"/>
          </w:tcPr>
          <w:p w14:paraId="6B80DA70"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45</w:t>
            </w:r>
          </w:p>
        </w:tc>
        <w:tc>
          <w:tcPr>
            <w:tcW w:w="899" w:type="pct"/>
            <w:tcBorders>
              <w:top w:val="single" w:sz="4" w:space="0" w:color="auto"/>
              <w:left w:val="single" w:sz="4" w:space="0" w:color="auto"/>
              <w:bottom w:val="single" w:sz="4" w:space="0" w:color="auto"/>
              <w:right w:val="single" w:sz="4" w:space="0" w:color="auto"/>
            </w:tcBorders>
            <w:vAlign w:val="center"/>
          </w:tcPr>
          <w:p w14:paraId="4948DAF8" w14:textId="77777777" w:rsidR="00877B2F" w:rsidRPr="00CE66AB" w:rsidRDefault="00877B2F" w:rsidP="00877B2F">
            <w:pPr>
              <w:spacing w:after="0" w:line="240" w:lineRule="auto"/>
              <w:ind w:left="-57" w:right="-57"/>
              <w:jc w:val="center"/>
              <w:rPr>
                <w:rFonts w:ascii="Times New Roman" w:eastAsia="Times New Roman" w:hAnsi="Times New Roman" w:cs="Times New Roman"/>
                <w:sz w:val="24"/>
                <w:szCs w:val="24"/>
              </w:rPr>
            </w:pPr>
            <w:r w:rsidRPr="00CE66AB">
              <w:rPr>
                <w:rFonts w:ascii="Times New Roman" w:eastAsia="Times New Roman" w:hAnsi="Times New Roman" w:cs="Times New Roman"/>
                <w:sz w:val="24"/>
                <w:szCs w:val="24"/>
              </w:rPr>
              <w:t>42</w:t>
            </w:r>
          </w:p>
        </w:tc>
      </w:tr>
      <w:tr w:rsidR="00877B2F" w:rsidRPr="008E1D60" w14:paraId="201F49B2" w14:textId="77777777" w:rsidTr="00877B2F">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644E8856"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 xml:space="preserve">Республика Северная Осетия - Алания </w:t>
            </w:r>
          </w:p>
        </w:tc>
        <w:tc>
          <w:tcPr>
            <w:tcW w:w="899" w:type="pct"/>
            <w:tcBorders>
              <w:top w:val="single" w:sz="4" w:space="0" w:color="auto"/>
              <w:left w:val="single" w:sz="4" w:space="0" w:color="auto"/>
              <w:bottom w:val="single" w:sz="4" w:space="0" w:color="auto"/>
              <w:right w:val="single" w:sz="4" w:space="0" w:color="auto"/>
            </w:tcBorders>
            <w:vAlign w:val="center"/>
          </w:tcPr>
          <w:p w14:paraId="33D13591" w14:textId="77777777" w:rsidR="00877B2F" w:rsidRPr="008E1D60" w:rsidRDefault="00877B2F" w:rsidP="00877B2F">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69</w:t>
            </w:r>
          </w:p>
        </w:tc>
        <w:tc>
          <w:tcPr>
            <w:tcW w:w="899" w:type="pct"/>
            <w:tcBorders>
              <w:top w:val="single" w:sz="4" w:space="0" w:color="auto"/>
              <w:left w:val="single" w:sz="4" w:space="0" w:color="auto"/>
              <w:bottom w:val="single" w:sz="4" w:space="0" w:color="auto"/>
              <w:right w:val="single" w:sz="4" w:space="0" w:color="auto"/>
            </w:tcBorders>
            <w:vAlign w:val="center"/>
          </w:tcPr>
          <w:p w14:paraId="7C00CBD9"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78</w:t>
            </w:r>
          </w:p>
        </w:tc>
        <w:tc>
          <w:tcPr>
            <w:tcW w:w="899" w:type="pct"/>
            <w:tcBorders>
              <w:top w:val="single" w:sz="4" w:space="0" w:color="auto"/>
              <w:left w:val="single" w:sz="4" w:space="0" w:color="auto"/>
              <w:bottom w:val="single" w:sz="4" w:space="0" w:color="auto"/>
              <w:right w:val="single" w:sz="4" w:space="0" w:color="auto"/>
            </w:tcBorders>
            <w:vAlign w:val="center"/>
          </w:tcPr>
          <w:p w14:paraId="45992B4F" w14:textId="77777777" w:rsidR="00877B2F" w:rsidRPr="00CE66AB" w:rsidRDefault="00877B2F" w:rsidP="00877B2F">
            <w:pPr>
              <w:spacing w:after="0" w:line="240" w:lineRule="auto"/>
              <w:ind w:left="-57" w:right="-57"/>
              <w:jc w:val="center"/>
              <w:rPr>
                <w:rFonts w:ascii="Times New Roman" w:eastAsia="Times New Roman" w:hAnsi="Times New Roman" w:cs="Times New Roman"/>
                <w:sz w:val="24"/>
                <w:szCs w:val="24"/>
              </w:rPr>
            </w:pPr>
            <w:r w:rsidRPr="00CE66AB">
              <w:rPr>
                <w:rFonts w:ascii="Times New Roman" w:eastAsia="Times New Roman" w:hAnsi="Times New Roman" w:cs="Times New Roman"/>
                <w:sz w:val="24"/>
                <w:szCs w:val="24"/>
              </w:rPr>
              <w:t>76</w:t>
            </w:r>
          </w:p>
        </w:tc>
      </w:tr>
      <w:tr w:rsidR="00877B2F" w:rsidRPr="008E1D60" w14:paraId="11ABF71B" w14:textId="77777777" w:rsidTr="00877B2F">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6B5AFCE4"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Чеченская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14:paraId="1CA49EC2" w14:textId="77777777" w:rsidR="00877B2F" w:rsidRPr="008E1D60" w:rsidRDefault="00877B2F" w:rsidP="00877B2F">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214</w:t>
            </w:r>
          </w:p>
        </w:tc>
        <w:tc>
          <w:tcPr>
            <w:tcW w:w="899" w:type="pct"/>
            <w:tcBorders>
              <w:top w:val="single" w:sz="4" w:space="0" w:color="auto"/>
              <w:left w:val="single" w:sz="4" w:space="0" w:color="auto"/>
              <w:bottom w:val="single" w:sz="4" w:space="0" w:color="auto"/>
              <w:right w:val="single" w:sz="4" w:space="0" w:color="auto"/>
            </w:tcBorders>
            <w:vAlign w:val="center"/>
          </w:tcPr>
          <w:p w14:paraId="726B298D"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284</w:t>
            </w:r>
          </w:p>
        </w:tc>
        <w:tc>
          <w:tcPr>
            <w:tcW w:w="899" w:type="pct"/>
            <w:tcBorders>
              <w:top w:val="single" w:sz="4" w:space="0" w:color="auto"/>
              <w:left w:val="single" w:sz="4" w:space="0" w:color="auto"/>
              <w:bottom w:val="single" w:sz="4" w:space="0" w:color="auto"/>
              <w:right w:val="single" w:sz="4" w:space="0" w:color="auto"/>
            </w:tcBorders>
            <w:vAlign w:val="center"/>
          </w:tcPr>
          <w:p w14:paraId="14260574" w14:textId="77777777" w:rsidR="00877B2F" w:rsidRPr="00CE66AB" w:rsidRDefault="00877B2F" w:rsidP="00877B2F">
            <w:pPr>
              <w:spacing w:after="0" w:line="240" w:lineRule="auto"/>
              <w:ind w:left="-57" w:right="-57"/>
              <w:jc w:val="center"/>
              <w:rPr>
                <w:rFonts w:ascii="Times New Roman" w:eastAsia="Times New Roman" w:hAnsi="Times New Roman" w:cs="Times New Roman"/>
                <w:sz w:val="24"/>
                <w:szCs w:val="24"/>
              </w:rPr>
            </w:pPr>
            <w:r w:rsidRPr="00CE66AB">
              <w:rPr>
                <w:rFonts w:ascii="Times New Roman" w:eastAsia="Times New Roman" w:hAnsi="Times New Roman" w:cs="Times New Roman"/>
                <w:sz w:val="24"/>
                <w:szCs w:val="24"/>
              </w:rPr>
              <w:t>227</w:t>
            </w:r>
          </w:p>
        </w:tc>
      </w:tr>
      <w:tr w:rsidR="00877B2F" w:rsidRPr="008E1D60" w14:paraId="0C21FCB3" w14:textId="77777777" w:rsidTr="00877B2F">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0D33709F"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Ставропольский край</w:t>
            </w:r>
          </w:p>
        </w:tc>
        <w:tc>
          <w:tcPr>
            <w:tcW w:w="899" w:type="pct"/>
            <w:tcBorders>
              <w:top w:val="single" w:sz="4" w:space="0" w:color="auto"/>
              <w:left w:val="single" w:sz="4" w:space="0" w:color="auto"/>
              <w:bottom w:val="single" w:sz="4" w:space="0" w:color="auto"/>
              <w:right w:val="single" w:sz="4" w:space="0" w:color="auto"/>
            </w:tcBorders>
            <w:vAlign w:val="center"/>
          </w:tcPr>
          <w:p w14:paraId="097444E1" w14:textId="77777777" w:rsidR="00877B2F" w:rsidRPr="008E1D60" w:rsidRDefault="00877B2F" w:rsidP="00877B2F">
            <w:pPr>
              <w:spacing w:after="0" w:line="24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191</w:t>
            </w:r>
          </w:p>
        </w:tc>
        <w:tc>
          <w:tcPr>
            <w:tcW w:w="899" w:type="pct"/>
            <w:tcBorders>
              <w:top w:val="single" w:sz="4" w:space="0" w:color="auto"/>
              <w:left w:val="single" w:sz="4" w:space="0" w:color="auto"/>
              <w:bottom w:val="single" w:sz="4" w:space="0" w:color="auto"/>
              <w:right w:val="single" w:sz="4" w:space="0" w:color="auto"/>
            </w:tcBorders>
            <w:vAlign w:val="center"/>
          </w:tcPr>
          <w:p w14:paraId="4C83194B"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241</w:t>
            </w:r>
          </w:p>
        </w:tc>
        <w:tc>
          <w:tcPr>
            <w:tcW w:w="899" w:type="pct"/>
            <w:tcBorders>
              <w:top w:val="single" w:sz="4" w:space="0" w:color="auto"/>
              <w:left w:val="single" w:sz="4" w:space="0" w:color="auto"/>
              <w:bottom w:val="single" w:sz="4" w:space="0" w:color="auto"/>
              <w:right w:val="single" w:sz="4" w:space="0" w:color="auto"/>
            </w:tcBorders>
            <w:vAlign w:val="center"/>
          </w:tcPr>
          <w:p w14:paraId="5C6E3CDE" w14:textId="77777777" w:rsidR="00877B2F" w:rsidRPr="00B30F0A" w:rsidRDefault="00877B2F" w:rsidP="00877B2F">
            <w:pPr>
              <w:spacing w:after="0" w:line="240" w:lineRule="exact"/>
              <w:ind w:left="-57" w:right="-57"/>
              <w:jc w:val="center"/>
              <w:rPr>
                <w:rFonts w:ascii="Times New Roman" w:eastAsia="Times New Roman" w:hAnsi="Times New Roman" w:cs="Times New Roman"/>
                <w:sz w:val="24"/>
                <w:szCs w:val="24"/>
              </w:rPr>
            </w:pPr>
            <w:r w:rsidRPr="00B30F0A">
              <w:rPr>
                <w:rFonts w:ascii="Times New Roman" w:eastAsia="Times New Roman" w:hAnsi="Times New Roman" w:cs="Times New Roman"/>
                <w:sz w:val="24"/>
                <w:szCs w:val="24"/>
              </w:rPr>
              <w:t>149</w:t>
            </w:r>
          </w:p>
        </w:tc>
      </w:tr>
      <w:tr w:rsidR="00877B2F" w:rsidRPr="008E1D60" w14:paraId="580038DD" w14:textId="77777777" w:rsidTr="00877B2F">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0EE80FA9" w14:textId="77777777" w:rsidR="00877B2F" w:rsidRPr="008E1D60" w:rsidRDefault="00877B2F" w:rsidP="00877B2F">
            <w:pPr>
              <w:spacing w:after="0" w:line="240" w:lineRule="auto"/>
              <w:ind w:left="57"/>
              <w:rPr>
                <w:rFonts w:ascii="Times New Roman" w:eastAsia="Arial Unicode MS" w:hAnsi="Times New Roman" w:cs="Times New Roman"/>
                <w:b/>
                <w:sz w:val="24"/>
                <w:szCs w:val="24"/>
                <w:lang w:eastAsia="ru-RU"/>
              </w:rPr>
            </w:pPr>
            <w:r w:rsidRPr="008E1D60">
              <w:rPr>
                <w:rFonts w:ascii="Times New Roman" w:eastAsia="Arial Unicode MS" w:hAnsi="Times New Roman" w:cs="Times New Roman"/>
                <w:b/>
                <w:sz w:val="24"/>
                <w:szCs w:val="24"/>
                <w:lang w:eastAsia="ru-RU"/>
              </w:rPr>
              <w:t>Приволжский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14:paraId="77AD7572" w14:textId="77777777" w:rsidR="00877B2F" w:rsidRPr="008E1D60" w:rsidRDefault="00877B2F" w:rsidP="00877B2F">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1 111</w:t>
            </w:r>
          </w:p>
        </w:tc>
        <w:tc>
          <w:tcPr>
            <w:tcW w:w="899" w:type="pct"/>
            <w:tcBorders>
              <w:top w:val="single" w:sz="4" w:space="0" w:color="auto"/>
              <w:left w:val="single" w:sz="4" w:space="0" w:color="auto"/>
              <w:bottom w:val="single" w:sz="4" w:space="0" w:color="auto"/>
              <w:right w:val="single" w:sz="4" w:space="0" w:color="auto"/>
            </w:tcBorders>
            <w:vAlign w:val="center"/>
          </w:tcPr>
          <w:p w14:paraId="547F9950" w14:textId="77777777" w:rsidR="00877B2F" w:rsidRPr="008E1D60" w:rsidRDefault="00877B2F" w:rsidP="00877B2F">
            <w:pPr>
              <w:spacing w:after="0" w:line="240" w:lineRule="auto"/>
              <w:ind w:left="-57" w:right="567"/>
              <w:jc w:val="right"/>
              <w:rPr>
                <w:rFonts w:ascii="Times New Roman" w:hAnsi="Times New Roman"/>
                <w:b/>
              </w:rPr>
            </w:pPr>
            <w:r w:rsidRPr="008E1D60">
              <w:rPr>
                <w:rFonts w:ascii="Times New Roman" w:hAnsi="Times New Roman"/>
                <w:b/>
              </w:rPr>
              <w:t>1 310</w:t>
            </w:r>
          </w:p>
        </w:tc>
        <w:tc>
          <w:tcPr>
            <w:tcW w:w="899" w:type="pct"/>
            <w:tcBorders>
              <w:top w:val="single" w:sz="4" w:space="0" w:color="auto"/>
              <w:left w:val="single" w:sz="4" w:space="0" w:color="auto"/>
              <w:bottom w:val="single" w:sz="4" w:space="0" w:color="auto"/>
              <w:right w:val="single" w:sz="4" w:space="0" w:color="auto"/>
            </w:tcBorders>
            <w:vAlign w:val="center"/>
          </w:tcPr>
          <w:p w14:paraId="3E29787D" w14:textId="77777777" w:rsidR="00877B2F" w:rsidRPr="00B30F0A" w:rsidRDefault="00877B2F" w:rsidP="00877B2F">
            <w:pPr>
              <w:spacing w:after="0" w:line="240" w:lineRule="auto"/>
              <w:ind w:left="-57" w:right="-57"/>
              <w:jc w:val="center"/>
              <w:rPr>
                <w:rFonts w:ascii="Times New Roman" w:eastAsia="Times New Roman" w:hAnsi="Times New Roman" w:cs="Times New Roman"/>
                <w:b/>
                <w:sz w:val="24"/>
                <w:szCs w:val="24"/>
              </w:rPr>
            </w:pPr>
            <w:r w:rsidRPr="00B30F0A">
              <w:rPr>
                <w:rFonts w:ascii="Times New Roman" w:eastAsia="Times New Roman" w:hAnsi="Times New Roman" w:cs="Times New Roman"/>
                <w:b/>
                <w:sz w:val="24"/>
                <w:szCs w:val="24"/>
              </w:rPr>
              <w:t>1 019</w:t>
            </w:r>
          </w:p>
        </w:tc>
      </w:tr>
      <w:tr w:rsidR="00877B2F" w:rsidRPr="008E1D60" w14:paraId="4E2B5BE7" w14:textId="77777777" w:rsidTr="00877B2F">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1B924DE1"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Башкортостан</w:t>
            </w:r>
          </w:p>
        </w:tc>
        <w:tc>
          <w:tcPr>
            <w:tcW w:w="899" w:type="pct"/>
            <w:tcBorders>
              <w:top w:val="single" w:sz="4" w:space="0" w:color="auto"/>
              <w:left w:val="single" w:sz="4" w:space="0" w:color="auto"/>
              <w:bottom w:val="single" w:sz="4" w:space="0" w:color="auto"/>
              <w:right w:val="single" w:sz="4" w:space="0" w:color="auto"/>
            </w:tcBorders>
            <w:vAlign w:val="center"/>
          </w:tcPr>
          <w:p w14:paraId="56C2712D" w14:textId="77777777" w:rsidR="00877B2F" w:rsidRPr="008E1D60" w:rsidRDefault="00877B2F" w:rsidP="00877B2F">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161</w:t>
            </w:r>
          </w:p>
        </w:tc>
        <w:tc>
          <w:tcPr>
            <w:tcW w:w="899" w:type="pct"/>
            <w:tcBorders>
              <w:top w:val="single" w:sz="4" w:space="0" w:color="auto"/>
              <w:left w:val="single" w:sz="4" w:space="0" w:color="auto"/>
              <w:bottom w:val="single" w:sz="4" w:space="0" w:color="auto"/>
              <w:right w:val="single" w:sz="4" w:space="0" w:color="auto"/>
            </w:tcBorders>
            <w:vAlign w:val="center"/>
          </w:tcPr>
          <w:p w14:paraId="7C7CAD47"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194</w:t>
            </w:r>
          </w:p>
        </w:tc>
        <w:tc>
          <w:tcPr>
            <w:tcW w:w="899" w:type="pct"/>
            <w:tcBorders>
              <w:top w:val="single" w:sz="4" w:space="0" w:color="auto"/>
              <w:left w:val="single" w:sz="4" w:space="0" w:color="auto"/>
              <w:bottom w:val="single" w:sz="4" w:space="0" w:color="auto"/>
              <w:right w:val="single" w:sz="4" w:space="0" w:color="auto"/>
            </w:tcBorders>
            <w:vAlign w:val="center"/>
          </w:tcPr>
          <w:p w14:paraId="56106624" w14:textId="77777777" w:rsidR="00877B2F" w:rsidRPr="00B30F0A" w:rsidRDefault="00877B2F" w:rsidP="00877B2F">
            <w:pPr>
              <w:spacing w:after="0" w:line="240" w:lineRule="exact"/>
              <w:ind w:left="-57" w:right="-57"/>
              <w:jc w:val="center"/>
              <w:rPr>
                <w:rFonts w:ascii="Times New Roman" w:eastAsia="Arial Unicode MS" w:hAnsi="Times New Roman" w:cs="Times New Roman"/>
                <w:sz w:val="24"/>
                <w:szCs w:val="24"/>
              </w:rPr>
            </w:pPr>
            <w:r w:rsidRPr="00B30F0A">
              <w:rPr>
                <w:rFonts w:ascii="Times New Roman" w:eastAsia="Arial Unicode MS" w:hAnsi="Times New Roman" w:cs="Times New Roman"/>
                <w:sz w:val="24"/>
                <w:szCs w:val="24"/>
              </w:rPr>
              <w:t>137</w:t>
            </w:r>
          </w:p>
        </w:tc>
      </w:tr>
      <w:tr w:rsidR="00877B2F" w:rsidRPr="008E1D60" w14:paraId="78D36DBD" w14:textId="77777777" w:rsidTr="00877B2F">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70718B2D"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Марий Эл</w:t>
            </w:r>
          </w:p>
        </w:tc>
        <w:tc>
          <w:tcPr>
            <w:tcW w:w="899" w:type="pct"/>
            <w:tcBorders>
              <w:top w:val="single" w:sz="4" w:space="0" w:color="auto"/>
              <w:left w:val="single" w:sz="4" w:space="0" w:color="auto"/>
              <w:bottom w:val="single" w:sz="4" w:space="0" w:color="auto"/>
              <w:right w:val="single" w:sz="4" w:space="0" w:color="auto"/>
            </w:tcBorders>
            <w:vAlign w:val="center"/>
          </w:tcPr>
          <w:p w14:paraId="4EF52A85" w14:textId="77777777" w:rsidR="00877B2F" w:rsidRPr="008E1D60" w:rsidRDefault="00877B2F" w:rsidP="00877B2F">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41</w:t>
            </w:r>
          </w:p>
        </w:tc>
        <w:tc>
          <w:tcPr>
            <w:tcW w:w="899" w:type="pct"/>
            <w:tcBorders>
              <w:top w:val="single" w:sz="4" w:space="0" w:color="auto"/>
              <w:left w:val="single" w:sz="4" w:space="0" w:color="auto"/>
              <w:bottom w:val="single" w:sz="4" w:space="0" w:color="auto"/>
              <w:right w:val="single" w:sz="4" w:space="0" w:color="auto"/>
            </w:tcBorders>
            <w:vAlign w:val="center"/>
          </w:tcPr>
          <w:p w14:paraId="2E6CFCD2"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47</w:t>
            </w:r>
          </w:p>
        </w:tc>
        <w:tc>
          <w:tcPr>
            <w:tcW w:w="899" w:type="pct"/>
            <w:tcBorders>
              <w:top w:val="single" w:sz="4" w:space="0" w:color="auto"/>
              <w:left w:val="single" w:sz="4" w:space="0" w:color="auto"/>
              <w:bottom w:val="single" w:sz="4" w:space="0" w:color="auto"/>
              <w:right w:val="single" w:sz="4" w:space="0" w:color="auto"/>
            </w:tcBorders>
            <w:vAlign w:val="center"/>
          </w:tcPr>
          <w:p w14:paraId="262BC93A" w14:textId="77777777" w:rsidR="00877B2F" w:rsidRPr="00B30F0A" w:rsidRDefault="00877B2F" w:rsidP="00877B2F">
            <w:pPr>
              <w:spacing w:after="0" w:line="240" w:lineRule="exact"/>
              <w:ind w:left="-57" w:right="-57"/>
              <w:jc w:val="center"/>
              <w:rPr>
                <w:rFonts w:ascii="Times New Roman" w:eastAsia="Arial Unicode MS" w:hAnsi="Times New Roman" w:cs="Times New Roman"/>
                <w:sz w:val="24"/>
                <w:szCs w:val="24"/>
              </w:rPr>
            </w:pPr>
            <w:r w:rsidRPr="00B30F0A">
              <w:rPr>
                <w:rFonts w:ascii="Times New Roman" w:eastAsia="Arial Unicode MS" w:hAnsi="Times New Roman" w:cs="Times New Roman"/>
                <w:sz w:val="24"/>
                <w:szCs w:val="24"/>
              </w:rPr>
              <w:t>30</w:t>
            </w:r>
          </w:p>
        </w:tc>
      </w:tr>
      <w:tr w:rsidR="00877B2F" w:rsidRPr="008E1D60" w14:paraId="20B6BEC8" w14:textId="77777777" w:rsidTr="00877B2F">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6225EA4A"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Мордовия</w:t>
            </w:r>
          </w:p>
        </w:tc>
        <w:tc>
          <w:tcPr>
            <w:tcW w:w="899" w:type="pct"/>
            <w:tcBorders>
              <w:top w:val="single" w:sz="4" w:space="0" w:color="auto"/>
              <w:left w:val="single" w:sz="4" w:space="0" w:color="auto"/>
              <w:bottom w:val="single" w:sz="4" w:space="0" w:color="auto"/>
              <w:right w:val="single" w:sz="4" w:space="0" w:color="auto"/>
            </w:tcBorders>
            <w:vAlign w:val="center"/>
          </w:tcPr>
          <w:p w14:paraId="6399F1D2" w14:textId="77777777" w:rsidR="00877B2F" w:rsidRPr="008E1D60" w:rsidRDefault="00877B2F" w:rsidP="00877B2F">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24</w:t>
            </w:r>
          </w:p>
        </w:tc>
        <w:tc>
          <w:tcPr>
            <w:tcW w:w="899" w:type="pct"/>
            <w:tcBorders>
              <w:top w:val="single" w:sz="4" w:space="0" w:color="auto"/>
              <w:left w:val="single" w:sz="4" w:space="0" w:color="auto"/>
              <w:bottom w:val="single" w:sz="4" w:space="0" w:color="auto"/>
              <w:right w:val="single" w:sz="4" w:space="0" w:color="auto"/>
            </w:tcBorders>
            <w:vAlign w:val="center"/>
          </w:tcPr>
          <w:p w14:paraId="23DEF66F"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25</w:t>
            </w:r>
          </w:p>
        </w:tc>
        <w:tc>
          <w:tcPr>
            <w:tcW w:w="899" w:type="pct"/>
            <w:tcBorders>
              <w:top w:val="single" w:sz="4" w:space="0" w:color="auto"/>
              <w:left w:val="single" w:sz="4" w:space="0" w:color="auto"/>
              <w:bottom w:val="single" w:sz="4" w:space="0" w:color="auto"/>
              <w:right w:val="single" w:sz="4" w:space="0" w:color="auto"/>
            </w:tcBorders>
            <w:vAlign w:val="center"/>
          </w:tcPr>
          <w:p w14:paraId="3BA0BE71" w14:textId="77777777" w:rsidR="00877B2F" w:rsidRPr="00B30F0A" w:rsidRDefault="00877B2F" w:rsidP="00877B2F">
            <w:pPr>
              <w:spacing w:after="0" w:line="240" w:lineRule="exact"/>
              <w:ind w:left="-57" w:right="-57"/>
              <w:jc w:val="center"/>
              <w:rPr>
                <w:rFonts w:ascii="Times New Roman" w:eastAsia="Arial Unicode MS" w:hAnsi="Times New Roman" w:cs="Times New Roman"/>
                <w:sz w:val="24"/>
                <w:szCs w:val="24"/>
              </w:rPr>
            </w:pPr>
            <w:r w:rsidRPr="00B30F0A">
              <w:rPr>
                <w:rFonts w:ascii="Times New Roman" w:eastAsia="Arial Unicode MS" w:hAnsi="Times New Roman" w:cs="Times New Roman"/>
                <w:sz w:val="24"/>
                <w:szCs w:val="24"/>
              </w:rPr>
              <w:t>27</w:t>
            </w:r>
          </w:p>
        </w:tc>
      </w:tr>
      <w:tr w:rsidR="00877B2F" w:rsidRPr="008E1D60" w14:paraId="1B9EBD33" w14:textId="77777777" w:rsidTr="00877B2F">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1DC1CE4F"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Татарстан</w:t>
            </w:r>
          </w:p>
        </w:tc>
        <w:tc>
          <w:tcPr>
            <w:tcW w:w="899" w:type="pct"/>
            <w:tcBorders>
              <w:top w:val="single" w:sz="4" w:space="0" w:color="auto"/>
              <w:left w:val="single" w:sz="4" w:space="0" w:color="auto"/>
              <w:bottom w:val="single" w:sz="4" w:space="0" w:color="auto"/>
              <w:right w:val="single" w:sz="4" w:space="0" w:color="auto"/>
            </w:tcBorders>
            <w:vAlign w:val="center"/>
          </w:tcPr>
          <w:p w14:paraId="2F146366" w14:textId="77777777" w:rsidR="00877B2F" w:rsidRPr="008E1D60" w:rsidRDefault="00877B2F" w:rsidP="00877B2F">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53</w:t>
            </w:r>
          </w:p>
        </w:tc>
        <w:tc>
          <w:tcPr>
            <w:tcW w:w="899" w:type="pct"/>
            <w:tcBorders>
              <w:top w:val="single" w:sz="4" w:space="0" w:color="auto"/>
              <w:left w:val="single" w:sz="4" w:space="0" w:color="auto"/>
              <w:bottom w:val="single" w:sz="4" w:space="0" w:color="auto"/>
              <w:right w:val="single" w:sz="4" w:space="0" w:color="auto"/>
            </w:tcBorders>
            <w:vAlign w:val="center"/>
          </w:tcPr>
          <w:p w14:paraId="3C360A76"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43</w:t>
            </w:r>
          </w:p>
        </w:tc>
        <w:tc>
          <w:tcPr>
            <w:tcW w:w="899" w:type="pct"/>
            <w:tcBorders>
              <w:top w:val="single" w:sz="4" w:space="0" w:color="auto"/>
              <w:left w:val="single" w:sz="4" w:space="0" w:color="auto"/>
              <w:bottom w:val="single" w:sz="4" w:space="0" w:color="auto"/>
              <w:right w:val="single" w:sz="4" w:space="0" w:color="auto"/>
            </w:tcBorders>
            <w:vAlign w:val="center"/>
          </w:tcPr>
          <w:p w14:paraId="003C1282" w14:textId="77777777" w:rsidR="00877B2F" w:rsidRPr="00B30F0A" w:rsidRDefault="00877B2F" w:rsidP="00877B2F">
            <w:pPr>
              <w:spacing w:after="0" w:line="240" w:lineRule="exact"/>
              <w:ind w:left="-57" w:right="-57"/>
              <w:jc w:val="center"/>
              <w:rPr>
                <w:rFonts w:ascii="Times New Roman" w:eastAsia="Arial Unicode MS" w:hAnsi="Times New Roman" w:cs="Times New Roman"/>
                <w:sz w:val="24"/>
                <w:szCs w:val="24"/>
              </w:rPr>
            </w:pPr>
            <w:r w:rsidRPr="00B30F0A">
              <w:rPr>
                <w:rFonts w:ascii="Times New Roman" w:eastAsia="Arial Unicode MS" w:hAnsi="Times New Roman" w:cs="Times New Roman"/>
                <w:sz w:val="24"/>
                <w:szCs w:val="24"/>
              </w:rPr>
              <w:t>41</w:t>
            </w:r>
          </w:p>
        </w:tc>
      </w:tr>
      <w:tr w:rsidR="00877B2F" w:rsidRPr="008E1D60" w14:paraId="2E7CF8F7" w14:textId="77777777" w:rsidTr="00877B2F">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33CD1B4E"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Удмуртская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14:paraId="5E9D5607" w14:textId="77777777" w:rsidR="00877B2F" w:rsidRPr="008E1D60" w:rsidRDefault="00877B2F" w:rsidP="00877B2F">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69</w:t>
            </w:r>
          </w:p>
        </w:tc>
        <w:tc>
          <w:tcPr>
            <w:tcW w:w="899" w:type="pct"/>
            <w:tcBorders>
              <w:top w:val="single" w:sz="4" w:space="0" w:color="auto"/>
              <w:left w:val="single" w:sz="4" w:space="0" w:color="auto"/>
              <w:bottom w:val="single" w:sz="4" w:space="0" w:color="auto"/>
              <w:right w:val="single" w:sz="4" w:space="0" w:color="auto"/>
            </w:tcBorders>
            <w:vAlign w:val="center"/>
          </w:tcPr>
          <w:p w14:paraId="54FA2A73"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98</w:t>
            </w:r>
          </w:p>
        </w:tc>
        <w:tc>
          <w:tcPr>
            <w:tcW w:w="899" w:type="pct"/>
            <w:tcBorders>
              <w:top w:val="single" w:sz="4" w:space="0" w:color="auto"/>
              <w:left w:val="single" w:sz="4" w:space="0" w:color="auto"/>
              <w:bottom w:val="single" w:sz="4" w:space="0" w:color="auto"/>
              <w:right w:val="single" w:sz="4" w:space="0" w:color="auto"/>
            </w:tcBorders>
            <w:vAlign w:val="center"/>
          </w:tcPr>
          <w:p w14:paraId="1C3B6ACD" w14:textId="77777777" w:rsidR="00877B2F" w:rsidRPr="00B30F0A" w:rsidRDefault="00877B2F" w:rsidP="00877B2F">
            <w:pPr>
              <w:spacing w:after="0" w:line="240" w:lineRule="exact"/>
              <w:ind w:left="-57" w:right="-57"/>
              <w:jc w:val="center"/>
              <w:rPr>
                <w:rFonts w:ascii="Times New Roman" w:eastAsia="Arial Unicode MS" w:hAnsi="Times New Roman" w:cs="Times New Roman"/>
                <w:sz w:val="24"/>
                <w:szCs w:val="24"/>
              </w:rPr>
            </w:pPr>
            <w:r w:rsidRPr="00B30F0A">
              <w:rPr>
                <w:rFonts w:ascii="Times New Roman" w:eastAsia="Arial Unicode MS" w:hAnsi="Times New Roman" w:cs="Times New Roman"/>
                <w:sz w:val="24"/>
                <w:szCs w:val="24"/>
              </w:rPr>
              <w:t>51</w:t>
            </w:r>
          </w:p>
        </w:tc>
      </w:tr>
      <w:tr w:rsidR="00877B2F" w:rsidRPr="008E1D60" w14:paraId="26A51E38" w14:textId="77777777" w:rsidTr="00877B2F">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0B67E1F1"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Чувашская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14:paraId="2B539599" w14:textId="77777777" w:rsidR="00877B2F" w:rsidRPr="008E1D60" w:rsidRDefault="00877B2F" w:rsidP="00877B2F">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46</w:t>
            </w:r>
          </w:p>
        </w:tc>
        <w:tc>
          <w:tcPr>
            <w:tcW w:w="899" w:type="pct"/>
            <w:tcBorders>
              <w:top w:val="single" w:sz="4" w:space="0" w:color="auto"/>
              <w:left w:val="single" w:sz="4" w:space="0" w:color="auto"/>
              <w:bottom w:val="single" w:sz="4" w:space="0" w:color="auto"/>
              <w:right w:val="single" w:sz="4" w:space="0" w:color="auto"/>
            </w:tcBorders>
            <w:vAlign w:val="center"/>
          </w:tcPr>
          <w:p w14:paraId="409EC727"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59</w:t>
            </w:r>
          </w:p>
        </w:tc>
        <w:tc>
          <w:tcPr>
            <w:tcW w:w="899" w:type="pct"/>
            <w:tcBorders>
              <w:top w:val="single" w:sz="4" w:space="0" w:color="auto"/>
              <w:left w:val="single" w:sz="4" w:space="0" w:color="auto"/>
              <w:bottom w:val="single" w:sz="4" w:space="0" w:color="auto"/>
              <w:right w:val="single" w:sz="4" w:space="0" w:color="auto"/>
            </w:tcBorders>
            <w:vAlign w:val="center"/>
          </w:tcPr>
          <w:p w14:paraId="264B0254" w14:textId="77777777" w:rsidR="00877B2F" w:rsidRPr="00B30F0A" w:rsidRDefault="00877B2F" w:rsidP="00877B2F">
            <w:pPr>
              <w:spacing w:after="0" w:line="240" w:lineRule="exact"/>
              <w:ind w:left="-57" w:right="-57"/>
              <w:jc w:val="center"/>
              <w:rPr>
                <w:rFonts w:ascii="Times New Roman" w:eastAsia="Arial Unicode MS" w:hAnsi="Times New Roman" w:cs="Times New Roman"/>
                <w:sz w:val="24"/>
                <w:szCs w:val="24"/>
              </w:rPr>
            </w:pPr>
            <w:r w:rsidRPr="00B30F0A">
              <w:rPr>
                <w:rFonts w:ascii="Times New Roman" w:eastAsia="Arial Unicode MS" w:hAnsi="Times New Roman" w:cs="Times New Roman"/>
                <w:sz w:val="24"/>
                <w:szCs w:val="24"/>
              </w:rPr>
              <w:t>40</w:t>
            </w:r>
          </w:p>
        </w:tc>
      </w:tr>
      <w:tr w:rsidR="00877B2F" w:rsidRPr="008E1D60" w14:paraId="0382A869" w14:textId="77777777" w:rsidTr="00877B2F">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27850BAF"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Пермский край</w:t>
            </w:r>
          </w:p>
        </w:tc>
        <w:tc>
          <w:tcPr>
            <w:tcW w:w="899" w:type="pct"/>
            <w:tcBorders>
              <w:top w:val="single" w:sz="4" w:space="0" w:color="auto"/>
              <w:left w:val="single" w:sz="4" w:space="0" w:color="auto"/>
              <w:bottom w:val="single" w:sz="4" w:space="0" w:color="auto"/>
              <w:right w:val="single" w:sz="4" w:space="0" w:color="auto"/>
            </w:tcBorders>
            <w:vAlign w:val="center"/>
          </w:tcPr>
          <w:p w14:paraId="361DFB09" w14:textId="77777777" w:rsidR="00877B2F" w:rsidRPr="008E1D60" w:rsidRDefault="00877B2F" w:rsidP="00877B2F">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152</w:t>
            </w:r>
          </w:p>
        </w:tc>
        <w:tc>
          <w:tcPr>
            <w:tcW w:w="899" w:type="pct"/>
            <w:tcBorders>
              <w:top w:val="single" w:sz="4" w:space="0" w:color="auto"/>
              <w:left w:val="single" w:sz="4" w:space="0" w:color="auto"/>
              <w:bottom w:val="single" w:sz="4" w:space="0" w:color="auto"/>
              <w:right w:val="single" w:sz="4" w:space="0" w:color="auto"/>
            </w:tcBorders>
            <w:vAlign w:val="center"/>
          </w:tcPr>
          <w:p w14:paraId="37346688"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166</w:t>
            </w:r>
          </w:p>
        </w:tc>
        <w:tc>
          <w:tcPr>
            <w:tcW w:w="899" w:type="pct"/>
            <w:tcBorders>
              <w:top w:val="single" w:sz="4" w:space="0" w:color="auto"/>
              <w:left w:val="single" w:sz="4" w:space="0" w:color="auto"/>
              <w:bottom w:val="single" w:sz="4" w:space="0" w:color="auto"/>
              <w:right w:val="single" w:sz="4" w:space="0" w:color="auto"/>
            </w:tcBorders>
            <w:vAlign w:val="center"/>
          </w:tcPr>
          <w:p w14:paraId="704E3636" w14:textId="77777777" w:rsidR="00877B2F" w:rsidRPr="00B30F0A" w:rsidRDefault="00877B2F" w:rsidP="00877B2F">
            <w:pPr>
              <w:spacing w:after="0" w:line="240" w:lineRule="exact"/>
              <w:ind w:left="-57" w:right="-57"/>
              <w:jc w:val="center"/>
              <w:rPr>
                <w:rFonts w:ascii="Times New Roman" w:eastAsia="Arial Unicode MS" w:hAnsi="Times New Roman" w:cs="Times New Roman"/>
                <w:sz w:val="24"/>
                <w:szCs w:val="24"/>
              </w:rPr>
            </w:pPr>
            <w:r w:rsidRPr="00B30F0A">
              <w:rPr>
                <w:rFonts w:ascii="Times New Roman" w:eastAsia="Arial Unicode MS" w:hAnsi="Times New Roman" w:cs="Times New Roman"/>
                <w:sz w:val="24"/>
                <w:szCs w:val="24"/>
              </w:rPr>
              <w:t>116</w:t>
            </w:r>
          </w:p>
        </w:tc>
      </w:tr>
      <w:tr w:rsidR="00877B2F" w:rsidRPr="008E1D60" w14:paraId="621FB82A" w14:textId="77777777" w:rsidTr="004A6045">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4683821C"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Кировская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3E234E54" w14:textId="77777777" w:rsidR="00877B2F" w:rsidRPr="008E1D60" w:rsidRDefault="00877B2F" w:rsidP="00877B2F">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29</w:t>
            </w:r>
          </w:p>
        </w:tc>
        <w:tc>
          <w:tcPr>
            <w:tcW w:w="899" w:type="pct"/>
            <w:tcBorders>
              <w:top w:val="single" w:sz="4" w:space="0" w:color="auto"/>
              <w:left w:val="single" w:sz="4" w:space="0" w:color="auto"/>
              <w:bottom w:val="single" w:sz="4" w:space="0" w:color="auto"/>
              <w:right w:val="single" w:sz="4" w:space="0" w:color="auto"/>
            </w:tcBorders>
            <w:vAlign w:val="center"/>
          </w:tcPr>
          <w:p w14:paraId="6B80C467"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35</w:t>
            </w:r>
          </w:p>
        </w:tc>
        <w:tc>
          <w:tcPr>
            <w:tcW w:w="899" w:type="pct"/>
            <w:tcBorders>
              <w:top w:val="single" w:sz="4" w:space="0" w:color="auto"/>
              <w:left w:val="single" w:sz="4" w:space="0" w:color="auto"/>
              <w:bottom w:val="single" w:sz="4" w:space="0" w:color="auto"/>
              <w:right w:val="single" w:sz="4" w:space="0" w:color="auto"/>
            </w:tcBorders>
            <w:vAlign w:val="bottom"/>
          </w:tcPr>
          <w:p w14:paraId="45FBA618" w14:textId="77777777" w:rsidR="00877B2F" w:rsidRPr="00B30F0A" w:rsidRDefault="00877B2F" w:rsidP="00877B2F">
            <w:pPr>
              <w:spacing w:after="0" w:line="240" w:lineRule="exact"/>
              <w:ind w:left="-57" w:right="-57"/>
              <w:jc w:val="center"/>
              <w:rPr>
                <w:rFonts w:ascii="Times New Roman" w:eastAsia="Arial Unicode MS" w:hAnsi="Times New Roman" w:cs="Times New Roman"/>
                <w:sz w:val="24"/>
                <w:szCs w:val="24"/>
              </w:rPr>
            </w:pPr>
            <w:r w:rsidRPr="00B30F0A">
              <w:rPr>
                <w:rFonts w:ascii="Times New Roman" w:eastAsia="Arial Unicode MS" w:hAnsi="Times New Roman" w:cs="Times New Roman"/>
                <w:sz w:val="24"/>
                <w:szCs w:val="24"/>
              </w:rPr>
              <w:t>25</w:t>
            </w:r>
          </w:p>
        </w:tc>
      </w:tr>
      <w:tr w:rsidR="00877B2F" w:rsidRPr="008E1D60" w14:paraId="77E561C2" w14:textId="77777777" w:rsidTr="004A6045">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75E90E1A"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Нижегородская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08CEFC67" w14:textId="77777777" w:rsidR="00877B2F" w:rsidRPr="008E1D60" w:rsidRDefault="00877B2F" w:rsidP="00877B2F">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94</w:t>
            </w:r>
          </w:p>
        </w:tc>
        <w:tc>
          <w:tcPr>
            <w:tcW w:w="899" w:type="pct"/>
            <w:tcBorders>
              <w:top w:val="single" w:sz="4" w:space="0" w:color="auto"/>
              <w:left w:val="single" w:sz="4" w:space="0" w:color="auto"/>
              <w:bottom w:val="single" w:sz="4" w:space="0" w:color="auto"/>
              <w:right w:val="single" w:sz="4" w:space="0" w:color="auto"/>
            </w:tcBorders>
            <w:vAlign w:val="center"/>
          </w:tcPr>
          <w:p w14:paraId="07B59FC3"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115</w:t>
            </w:r>
          </w:p>
        </w:tc>
        <w:tc>
          <w:tcPr>
            <w:tcW w:w="899" w:type="pct"/>
            <w:tcBorders>
              <w:top w:val="single" w:sz="4" w:space="0" w:color="auto"/>
              <w:left w:val="single" w:sz="4" w:space="0" w:color="auto"/>
              <w:bottom w:val="single" w:sz="4" w:space="0" w:color="auto"/>
              <w:right w:val="single" w:sz="4" w:space="0" w:color="auto"/>
            </w:tcBorders>
            <w:vAlign w:val="bottom"/>
          </w:tcPr>
          <w:p w14:paraId="5DBEB2FC" w14:textId="77777777" w:rsidR="00877B2F" w:rsidRPr="00B30F0A" w:rsidRDefault="00877B2F" w:rsidP="00877B2F">
            <w:pPr>
              <w:spacing w:after="0" w:line="240" w:lineRule="exact"/>
              <w:ind w:left="-57" w:right="-57"/>
              <w:jc w:val="center"/>
              <w:rPr>
                <w:rFonts w:ascii="Times New Roman" w:eastAsia="Arial Unicode MS" w:hAnsi="Times New Roman" w:cs="Times New Roman"/>
                <w:sz w:val="24"/>
                <w:szCs w:val="24"/>
              </w:rPr>
            </w:pPr>
            <w:r w:rsidRPr="00B30F0A">
              <w:rPr>
                <w:rFonts w:ascii="Times New Roman" w:eastAsia="Arial Unicode MS" w:hAnsi="Times New Roman" w:cs="Times New Roman"/>
                <w:sz w:val="24"/>
                <w:szCs w:val="24"/>
              </w:rPr>
              <w:t>133</w:t>
            </w:r>
          </w:p>
        </w:tc>
      </w:tr>
      <w:tr w:rsidR="00877B2F" w:rsidRPr="008E1D60" w14:paraId="788A5F20" w14:textId="77777777" w:rsidTr="004A6045">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35E4451D"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Оренбургская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113C4A45" w14:textId="77777777" w:rsidR="00877B2F" w:rsidRPr="008E1D60" w:rsidRDefault="00877B2F" w:rsidP="00877B2F">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91</w:t>
            </w:r>
          </w:p>
        </w:tc>
        <w:tc>
          <w:tcPr>
            <w:tcW w:w="899" w:type="pct"/>
            <w:tcBorders>
              <w:top w:val="single" w:sz="4" w:space="0" w:color="auto"/>
              <w:left w:val="single" w:sz="4" w:space="0" w:color="auto"/>
              <w:bottom w:val="single" w:sz="4" w:space="0" w:color="auto"/>
              <w:right w:val="single" w:sz="4" w:space="0" w:color="auto"/>
            </w:tcBorders>
            <w:vAlign w:val="center"/>
          </w:tcPr>
          <w:p w14:paraId="50F9FFA6"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76</w:t>
            </w:r>
          </w:p>
        </w:tc>
        <w:tc>
          <w:tcPr>
            <w:tcW w:w="899" w:type="pct"/>
            <w:tcBorders>
              <w:top w:val="single" w:sz="4" w:space="0" w:color="auto"/>
              <w:left w:val="single" w:sz="4" w:space="0" w:color="auto"/>
              <w:bottom w:val="single" w:sz="4" w:space="0" w:color="auto"/>
              <w:right w:val="single" w:sz="4" w:space="0" w:color="auto"/>
            </w:tcBorders>
            <w:vAlign w:val="bottom"/>
          </w:tcPr>
          <w:p w14:paraId="21D16131" w14:textId="77777777" w:rsidR="00877B2F" w:rsidRPr="00B30F0A" w:rsidRDefault="00877B2F" w:rsidP="00877B2F">
            <w:pPr>
              <w:spacing w:after="0" w:line="240" w:lineRule="exact"/>
              <w:ind w:left="-57" w:right="-57"/>
              <w:jc w:val="center"/>
              <w:rPr>
                <w:rFonts w:ascii="Times New Roman" w:eastAsia="Arial Unicode MS" w:hAnsi="Times New Roman" w:cs="Times New Roman"/>
                <w:sz w:val="24"/>
                <w:szCs w:val="24"/>
              </w:rPr>
            </w:pPr>
            <w:r w:rsidRPr="00B30F0A">
              <w:rPr>
                <w:rFonts w:ascii="Times New Roman" w:eastAsia="Arial Unicode MS" w:hAnsi="Times New Roman" w:cs="Times New Roman"/>
                <w:sz w:val="24"/>
                <w:szCs w:val="24"/>
              </w:rPr>
              <w:t>55</w:t>
            </w:r>
          </w:p>
        </w:tc>
      </w:tr>
      <w:tr w:rsidR="00877B2F" w:rsidRPr="008E1D60" w14:paraId="5D1F734B" w14:textId="77777777" w:rsidTr="004A6045">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6F705605"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Пензенская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43A0E059" w14:textId="77777777" w:rsidR="00877B2F" w:rsidRPr="008E1D60" w:rsidRDefault="00877B2F" w:rsidP="00877B2F">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37</w:t>
            </w:r>
          </w:p>
        </w:tc>
        <w:tc>
          <w:tcPr>
            <w:tcW w:w="899" w:type="pct"/>
            <w:tcBorders>
              <w:top w:val="single" w:sz="4" w:space="0" w:color="auto"/>
              <w:left w:val="single" w:sz="4" w:space="0" w:color="auto"/>
              <w:bottom w:val="single" w:sz="4" w:space="0" w:color="auto"/>
              <w:right w:val="single" w:sz="4" w:space="0" w:color="auto"/>
            </w:tcBorders>
            <w:vAlign w:val="center"/>
          </w:tcPr>
          <w:p w14:paraId="0DCB8AC8"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53</w:t>
            </w:r>
          </w:p>
        </w:tc>
        <w:tc>
          <w:tcPr>
            <w:tcW w:w="899" w:type="pct"/>
            <w:tcBorders>
              <w:top w:val="single" w:sz="4" w:space="0" w:color="auto"/>
              <w:left w:val="single" w:sz="4" w:space="0" w:color="auto"/>
              <w:bottom w:val="single" w:sz="4" w:space="0" w:color="auto"/>
              <w:right w:val="single" w:sz="4" w:space="0" w:color="auto"/>
            </w:tcBorders>
            <w:vAlign w:val="bottom"/>
          </w:tcPr>
          <w:p w14:paraId="5497C2F7" w14:textId="77777777" w:rsidR="00877B2F" w:rsidRPr="00B30F0A" w:rsidRDefault="00877B2F" w:rsidP="00877B2F">
            <w:pPr>
              <w:spacing w:after="0" w:line="240" w:lineRule="exact"/>
              <w:ind w:left="-57" w:right="-57"/>
              <w:jc w:val="center"/>
              <w:rPr>
                <w:rFonts w:ascii="Times New Roman" w:eastAsia="Arial Unicode MS" w:hAnsi="Times New Roman" w:cs="Times New Roman"/>
                <w:sz w:val="24"/>
                <w:szCs w:val="24"/>
              </w:rPr>
            </w:pPr>
            <w:r w:rsidRPr="00B30F0A">
              <w:rPr>
                <w:rFonts w:ascii="Times New Roman" w:eastAsia="Arial Unicode MS" w:hAnsi="Times New Roman" w:cs="Times New Roman"/>
                <w:sz w:val="24"/>
                <w:szCs w:val="24"/>
              </w:rPr>
              <w:t>32</w:t>
            </w:r>
          </w:p>
        </w:tc>
      </w:tr>
      <w:tr w:rsidR="00877B2F" w:rsidRPr="008E1D60" w14:paraId="52B7F2A0" w14:textId="77777777" w:rsidTr="004A6045">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1A96DDDD"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Самарская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28CA240E" w14:textId="77777777" w:rsidR="00877B2F" w:rsidRPr="008E1D60" w:rsidRDefault="00877B2F" w:rsidP="00877B2F">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144</w:t>
            </w:r>
          </w:p>
        </w:tc>
        <w:tc>
          <w:tcPr>
            <w:tcW w:w="899" w:type="pct"/>
            <w:tcBorders>
              <w:top w:val="single" w:sz="4" w:space="0" w:color="auto"/>
              <w:left w:val="single" w:sz="4" w:space="0" w:color="auto"/>
              <w:bottom w:val="single" w:sz="4" w:space="0" w:color="auto"/>
              <w:right w:val="single" w:sz="4" w:space="0" w:color="auto"/>
            </w:tcBorders>
            <w:vAlign w:val="center"/>
          </w:tcPr>
          <w:p w14:paraId="6DD5EC79"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174</w:t>
            </w:r>
          </w:p>
        </w:tc>
        <w:tc>
          <w:tcPr>
            <w:tcW w:w="899" w:type="pct"/>
            <w:tcBorders>
              <w:top w:val="single" w:sz="4" w:space="0" w:color="auto"/>
              <w:left w:val="single" w:sz="4" w:space="0" w:color="auto"/>
              <w:bottom w:val="single" w:sz="4" w:space="0" w:color="auto"/>
              <w:right w:val="single" w:sz="4" w:space="0" w:color="auto"/>
            </w:tcBorders>
            <w:vAlign w:val="bottom"/>
          </w:tcPr>
          <w:p w14:paraId="42DDD16C" w14:textId="77777777" w:rsidR="00877B2F" w:rsidRPr="00B30F0A" w:rsidRDefault="00877B2F" w:rsidP="00877B2F">
            <w:pPr>
              <w:spacing w:after="0" w:line="240" w:lineRule="exact"/>
              <w:ind w:left="-57" w:right="-57"/>
              <w:jc w:val="center"/>
              <w:rPr>
                <w:rFonts w:ascii="Times New Roman" w:eastAsia="Arial Unicode MS" w:hAnsi="Times New Roman" w:cs="Times New Roman"/>
                <w:sz w:val="24"/>
                <w:szCs w:val="24"/>
              </w:rPr>
            </w:pPr>
            <w:r w:rsidRPr="00B30F0A">
              <w:rPr>
                <w:rFonts w:ascii="Times New Roman" w:eastAsia="Arial Unicode MS" w:hAnsi="Times New Roman" w:cs="Times New Roman"/>
                <w:sz w:val="24"/>
                <w:szCs w:val="24"/>
              </w:rPr>
              <w:t>119</w:t>
            </w:r>
          </w:p>
        </w:tc>
      </w:tr>
      <w:tr w:rsidR="00877B2F" w:rsidRPr="008E1D60" w14:paraId="0A311CCB" w14:textId="77777777" w:rsidTr="004A6045">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75E3CE85"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Саратовская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3F76C1D2" w14:textId="77777777" w:rsidR="00877B2F" w:rsidRPr="008E1D60" w:rsidRDefault="00877B2F" w:rsidP="00877B2F">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124</w:t>
            </w:r>
          </w:p>
        </w:tc>
        <w:tc>
          <w:tcPr>
            <w:tcW w:w="899" w:type="pct"/>
            <w:tcBorders>
              <w:top w:val="single" w:sz="4" w:space="0" w:color="auto"/>
              <w:left w:val="single" w:sz="4" w:space="0" w:color="auto"/>
              <w:bottom w:val="single" w:sz="4" w:space="0" w:color="auto"/>
              <w:right w:val="single" w:sz="4" w:space="0" w:color="auto"/>
            </w:tcBorders>
            <w:vAlign w:val="center"/>
          </w:tcPr>
          <w:p w14:paraId="49F678B8"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171</w:t>
            </w:r>
          </w:p>
        </w:tc>
        <w:tc>
          <w:tcPr>
            <w:tcW w:w="899" w:type="pct"/>
            <w:tcBorders>
              <w:top w:val="single" w:sz="4" w:space="0" w:color="auto"/>
              <w:left w:val="single" w:sz="4" w:space="0" w:color="auto"/>
              <w:bottom w:val="single" w:sz="4" w:space="0" w:color="auto"/>
              <w:right w:val="single" w:sz="4" w:space="0" w:color="auto"/>
            </w:tcBorders>
            <w:vAlign w:val="bottom"/>
          </w:tcPr>
          <w:p w14:paraId="0F82061C" w14:textId="77777777" w:rsidR="00877B2F" w:rsidRPr="00B30F0A" w:rsidRDefault="00877B2F" w:rsidP="00877B2F">
            <w:pPr>
              <w:spacing w:after="0" w:line="240" w:lineRule="exact"/>
              <w:ind w:left="-57" w:right="-57"/>
              <w:jc w:val="center"/>
              <w:rPr>
                <w:rFonts w:ascii="Times New Roman" w:eastAsia="Arial Unicode MS" w:hAnsi="Times New Roman" w:cs="Times New Roman"/>
                <w:sz w:val="24"/>
                <w:szCs w:val="24"/>
              </w:rPr>
            </w:pPr>
            <w:r w:rsidRPr="00B30F0A">
              <w:rPr>
                <w:rFonts w:ascii="Times New Roman" w:eastAsia="Arial Unicode MS" w:hAnsi="Times New Roman" w:cs="Times New Roman"/>
                <w:sz w:val="24"/>
                <w:szCs w:val="24"/>
              </w:rPr>
              <w:t>179</w:t>
            </w:r>
          </w:p>
        </w:tc>
      </w:tr>
      <w:tr w:rsidR="00877B2F" w:rsidRPr="008E1D60" w14:paraId="58C8F058" w14:textId="77777777" w:rsidTr="004A6045">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192A4934"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Ульяновская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0646FEE0" w14:textId="77777777" w:rsidR="00877B2F" w:rsidRPr="008E1D60" w:rsidRDefault="00877B2F" w:rsidP="00877B2F">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46</w:t>
            </w:r>
          </w:p>
        </w:tc>
        <w:tc>
          <w:tcPr>
            <w:tcW w:w="899" w:type="pct"/>
            <w:tcBorders>
              <w:top w:val="single" w:sz="4" w:space="0" w:color="auto"/>
              <w:left w:val="single" w:sz="4" w:space="0" w:color="auto"/>
              <w:bottom w:val="single" w:sz="4" w:space="0" w:color="auto"/>
              <w:right w:val="single" w:sz="4" w:space="0" w:color="auto"/>
            </w:tcBorders>
            <w:vAlign w:val="center"/>
          </w:tcPr>
          <w:p w14:paraId="6CAC8694"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55</w:t>
            </w:r>
          </w:p>
        </w:tc>
        <w:tc>
          <w:tcPr>
            <w:tcW w:w="899" w:type="pct"/>
            <w:tcBorders>
              <w:top w:val="single" w:sz="4" w:space="0" w:color="auto"/>
              <w:left w:val="single" w:sz="4" w:space="0" w:color="auto"/>
              <w:bottom w:val="single" w:sz="4" w:space="0" w:color="auto"/>
              <w:right w:val="single" w:sz="4" w:space="0" w:color="auto"/>
            </w:tcBorders>
            <w:vAlign w:val="bottom"/>
          </w:tcPr>
          <w:p w14:paraId="31B3C63D" w14:textId="77777777" w:rsidR="00877B2F" w:rsidRPr="00B30F0A" w:rsidRDefault="00877B2F" w:rsidP="00877B2F">
            <w:pPr>
              <w:spacing w:after="0" w:line="240" w:lineRule="exact"/>
              <w:ind w:left="-57" w:right="-57"/>
              <w:jc w:val="center"/>
              <w:rPr>
                <w:rFonts w:ascii="Times New Roman" w:eastAsia="Arial Unicode MS" w:hAnsi="Times New Roman" w:cs="Times New Roman"/>
                <w:sz w:val="24"/>
                <w:szCs w:val="24"/>
              </w:rPr>
            </w:pPr>
            <w:r w:rsidRPr="00B30F0A">
              <w:rPr>
                <w:rFonts w:ascii="Times New Roman" w:eastAsia="Arial Unicode MS" w:hAnsi="Times New Roman" w:cs="Times New Roman"/>
                <w:sz w:val="24"/>
                <w:szCs w:val="24"/>
              </w:rPr>
              <w:t>34</w:t>
            </w:r>
          </w:p>
        </w:tc>
      </w:tr>
      <w:tr w:rsidR="00877B2F" w:rsidRPr="008E1D60" w14:paraId="6BDF5951" w14:textId="77777777" w:rsidTr="004A6045">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2FB9462C" w14:textId="77777777" w:rsidR="00877B2F" w:rsidRPr="008E1D60" w:rsidRDefault="00877B2F" w:rsidP="00877B2F">
            <w:pPr>
              <w:spacing w:after="0" w:line="240" w:lineRule="auto"/>
              <w:ind w:left="57"/>
              <w:rPr>
                <w:rFonts w:ascii="Times New Roman" w:eastAsia="Arial Unicode MS" w:hAnsi="Times New Roman" w:cs="Times New Roman"/>
                <w:b/>
                <w:sz w:val="24"/>
                <w:szCs w:val="24"/>
                <w:lang w:eastAsia="ru-RU"/>
              </w:rPr>
            </w:pPr>
            <w:r w:rsidRPr="008E1D60">
              <w:rPr>
                <w:rFonts w:ascii="Times New Roman" w:eastAsia="Arial Unicode MS" w:hAnsi="Times New Roman" w:cs="Times New Roman"/>
                <w:b/>
                <w:sz w:val="24"/>
                <w:szCs w:val="24"/>
                <w:lang w:eastAsia="ru-RU"/>
              </w:rPr>
              <w:t>Уральский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14:paraId="71C5D688" w14:textId="77777777" w:rsidR="00877B2F" w:rsidRPr="008E1D60" w:rsidRDefault="00877B2F" w:rsidP="00877B2F">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574</w:t>
            </w:r>
          </w:p>
        </w:tc>
        <w:tc>
          <w:tcPr>
            <w:tcW w:w="899" w:type="pct"/>
            <w:tcBorders>
              <w:top w:val="single" w:sz="4" w:space="0" w:color="auto"/>
              <w:left w:val="single" w:sz="4" w:space="0" w:color="auto"/>
              <w:bottom w:val="single" w:sz="4" w:space="0" w:color="auto"/>
              <w:right w:val="single" w:sz="4" w:space="0" w:color="auto"/>
            </w:tcBorders>
            <w:vAlign w:val="center"/>
          </w:tcPr>
          <w:p w14:paraId="4DC4035C" w14:textId="77777777" w:rsidR="00877B2F" w:rsidRPr="008E1D60" w:rsidRDefault="00877B2F" w:rsidP="00877B2F">
            <w:pPr>
              <w:spacing w:after="0" w:line="240" w:lineRule="auto"/>
              <w:ind w:left="-57" w:right="567"/>
              <w:jc w:val="right"/>
              <w:rPr>
                <w:rFonts w:ascii="Times New Roman" w:hAnsi="Times New Roman"/>
                <w:b/>
              </w:rPr>
            </w:pPr>
            <w:r w:rsidRPr="008E1D60">
              <w:rPr>
                <w:rFonts w:ascii="Times New Roman" w:hAnsi="Times New Roman"/>
                <w:b/>
              </w:rPr>
              <w:t>590</w:t>
            </w:r>
          </w:p>
        </w:tc>
        <w:tc>
          <w:tcPr>
            <w:tcW w:w="899" w:type="pct"/>
            <w:tcBorders>
              <w:top w:val="single" w:sz="4" w:space="0" w:color="auto"/>
              <w:left w:val="single" w:sz="4" w:space="0" w:color="auto"/>
              <w:bottom w:val="single" w:sz="4" w:space="0" w:color="auto"/>
              <w:right w:val="single" w:sz="4" w:space="0" w:color="auto"/>
            </w:tcBorders>
            <w:vAlign w:val="bottom"/>
          </w:tcPr>
          <w:p w14:paraId="73C1C63F" w14:textId="77777777" w:rsidR="00877B2F" w:rsidRPr="00B30F0A" w:rsidRDefault="00877B2F" w:rsidP="00877B2F">
            <w:pPr>
              <w:spacing w:after="0" w:line="240" w:lineRule="exact"/>
              <w:ind w:left="-57" w:right="-57"/>
              <w:jc w:val="center"/>
              <w:rPr>
                <w:rFonts w:ascii="Times New Roman" w:eastAsia="Arial Unicode MS" w:hAnsi="Times New Roman" w:cs="Times New Roman"/>
                <w:b/>
                <w:sz w:val="24"/>
                <w:szCs w:val="24"/>
              </w:rPr>
            </w:pPr>
            <w:r w:rsidRPr="00B30F0A">
              <w:rPr>
                <w:rFonts w:ascii="Times New Roman" w:eastAsia="Arial Unicode MS" w:hAnsi="Times New Roman" w:cs="Times New Roman"/>
                <w:b/>
                <w:sz w:val="24"/>
                <w:szCs w:val="24"/>
              </w:rPr>
              <w:t>568</w:t>
            </w:r>
          </w:p>
        </w:tc>
      </w:tr>
      <w:tr w:rsidR="00877B2F" w:rsidRPr="008E1D60" w14:paraId="75B02A55" w14:textId="77777777" w:rsidTr="00266647">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72727122"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Курганская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2B6B172B" w14:textId="77777777" w:rsidR="00877B2F" w:rsidRPr="00266647" w:rsidRDefault="00877B2F" w:rsidP="00266647">
            <w:pPr>
              <w:spacing w:after="0" w:line="200" w:lineRule="exact"/>
              <w:ind w:left="-57" w:right="-57"/>
              <w:jc w:val="center"/>
              <w:rPr>
                <w:rFonts w:ascii="Times New Roman" w:eastAsia="Times New Roman" w:hAnsi="Times New Roman" w:cs="Times New Roman"/>
                <w:sz w:val="24"/>
                <w:szCs w:val="24"/>
                <w:lang w:eastAsia="ru-RU"/>
              </w:rPr>
            </w:pPr>
            <w:r w:rsidRPr="00266647">
              <w:rPr>
                <w:rFonts w:ascii="Times New Roman" w:eastAsia="Times New Roman" w:hAnsi="Times New Roman" w:cs="Times New Roman"/>
                <w:sz w:val="24"/>
                <w:szCs w:val="24"/>
                <w:lang w:eastAsia="ru-RU"/>
              </w:rPr>
              <w:t>71</w:t>
            </w:r>
          </w:p>
        </w:tc>
        <w:tc>
          <w:tcPr>
            <w:tcW w:w="899" w:type="pct"/>
            <w:tcBorders>
              <w:top w:val="single" w:sz="4" w:space="0" w:color="auto"/>
              <w:left w:val="single" w:sz="4" w:space="0" w:color="auto"/>
              <w:bottom w:val="single" w:sz="4" w:space="0" w:color="auto"/>
              <w:right w:val="single" w:sz="4" w:space="0" w:color="auto"/>
            </w:tcBorders>
            <w:vAlign w:val="center"/>
          </w:tcPr>
          <w:p w14:paraId="4664A32A" w14:textId="77777777" w:rsidR="00877B2F" w:rsidRPr="00266647" w:rsidRDefault="00877B2F" w:rsidP="00266647">
            <w:pPr>
              <w:spacing w:after="0" w:line="200" w:lineRule="exact"/>
              <w:ind w:left="-57" w:right="-57"/>
              <w:jc w:val="center"/>
              <w:rPr>
                <w:rFonts w:ascii="Times New Roman" w:eastAsia="Times New Roman" w:hAnsi="Times New Roman" w:cs="Times New Roman"/>
                <w:sz w:val="24"/>
                <w:szCs w:val="24"/>
                <w:lang w:eastAsia="ru-RU"/>
              </w:rPr>
            </w:pPr>
            <w:r w:rsidRPr="00266647">
              <w:rPr>
                <w:rFonts w:ascii="Times New Roman" w:eastAsia="Times New Roman" w:hAnsi="Times New Roman" w:cs="Times New Roman"/>
                <w:sz w:val="24"/>
                <w:szCs w:val="24"/>
                <w:lang w:eastAsia="ru-RU"/>
              </w:rPr>
              <w:t>65</w:t>
            </w:r>
          </w:p>
        </w:tc>
        <w:tc>
          <w:tcPr>
            <w:tcW w:w="899" w:type="pct"/>
            <w:tcBorders>
              <w:top w:val="single" w:sz="4" w:space="0" w:color="auto"/>
              <w:left w:val="single" w:sz="4" w:space="0" w:color="auto"/>
              <w:bottom w:val="single" w:sz="4" w:space="0" w:color="auto"/>
              <w:right w:val="single" w:sz="4" w:space="0" w:color="auto"/>
            </w:tcBorders>
            <w:vAlign w:val="center"/>
          </w:tcPr>
          <w:p w14:paraId="1DD4543B" w14:textId="77777777" w:rsidR="00877B2F" w:rsidRPr="00266647" w:rsidRDefault="00877B2F" w:rsidP="00266647">
            <w:pPr>
              <w:spacing w:after="0" w:line="200" w:lineRule="exact"/>
              <w:ind w:left="-57" w:right="-57"/>
              <w:jc w:val="center"/>
              <w:rPr>
                <w:rFonts w:ascii="Times New Roman" w:eastAsia="Times New Roman" w:hAnsi="Times New Roman" w:cs="Times New Roman"/>
                <w:sz w:val="24"/>
                <w:szCs w:val="24"/>
                <w:lang w:eastAsia="ru-RU"/>
              </w:rPr>
            </w:pPr>
            <w:r w:rsidRPr="00266647">
              <w:rPr>
                <w:rFonts w:ascii="Times New Roman" w:eastAsia="Times New Roman" w:hAnsi="Times New Roman" w:cs="Times New Roman"/>
                <w:sz w:val="24"/>
                <w:szCs w:val="24"/>
                <w:lang w:eastAsia="ru-RU"/>
              </w:rPr>
              <w:t>64</w:t>
            </w:r>
          </w:p>
        </w:tc>
      </w:tr>
      <w:tr w:rsidR="00877B2F" w:rsidRPr="008E1D60" w14:paraId="6D50FEC3" w14:textId="77777777" w:rsidTr="00266647">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0254E2FD"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Свердловская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0D94AACD" w14:textId="77777777" w:rsidR="00877B2F" w:rsidRPr="00266647" w:rsidRDefault="00877B2F" w:rsidP="00266647">
            <w:pPr>
              <w:spacing w:after="0" w:line="200" w:lineRule="exact"/>
              <w:ind w:left="-57" w:right="-57"/>
              <w:jc w:val="center"/>
              <w:rPr>
                <w:rFonts w:ascii="Times New Roman" w:eastAsia="Times New Roman" w:hAnsi="Times New Roman" w:cs="Times New Roman"/>
                <w:sz w:val="24"/>
                <w:szCs w:val="24"/>
                <w:lang w:eastAsia="ru-RU"/>
              </w:rPr>
            </w:pPr>
            <w:r w:rsidRPr="00266647">
              <w:rPr>
                <w:rFonts w:ascii="Times New Roman" w:eastAsia="Times New Roman" w:hAnsi="Times New Roman" w:cs="Times New Roman"/>
                <w:sz w:val="24"/>
                <w:szCs w:val="24"/>
                <w:lang w:eastAsia="ru-RU"/>
              </w:rPr>
              <w:t>196</w:t>
            </w:r>
          </w:p>
        </w:tc>
        <w:tc>
          <w:tcPr>
            <w:tcW w:w="899" w:type="pct"/>
            <w:tcBorders>
              <w:top w:val="single" w:sz="4" w:space="0" w:color="auto"/>
              <w:left w:val="single" w:sz="4" w:space="0" w:color="auto"/>
              <w:bottom w:val="single" w:sz="4" w:space="0" w:color="auto"/>
              <w:right w:val="single" w:sz="4" w:space="0" w:color="auto"/>
            </w:tcBorders>
            <w:vAlign w:val="center"/>
          </w:tcPr>
          <w:p w14:paraId="1B69385E" w14:textId="77777777" w:rsidR="00877B2F" w:rsidRPr="00266647" w:rsidRDefault="00877B2F" w:rsidP="00266647">
            <w:pPr>
              <w:spacing w:after="0" w:line="200" w:lineRule="exact"/>
              <w:ind w:left="-57" w:right="-57"/>
              <w:jc w:val="center"/>
              <w:rPr>
                <w:rFonts w:ascii="Times New Roman" w:eastAsia="Times New Roman" w:hAnsi="Times New Roman" w:cs="Times New Roman"/>
                <w:sz w:val="24"/>
                <w:szCs w:val="24"/>
                <w:lang w:eastAsia="ru-RU"/>
              </w:rPr>
            </w:pPr>
            <w:r w:rsidRPr="00266647">
              <w:rPr>
                <w:rFonts w:ascii="Times New Roman" w:eastAsia="Times New Roman" w:hAnsi="Times New Roman" w:cs="Times New Roman"/>
                <w:sz w:val="24"/>
                <w:szCs w:val="24"/>
                <w:lang w:eastAsia="ru-RU"/>
              </w:rPr>
              <w:t>226</w:t>
            </w:r>
          </w:p>
        </w:tc>
        <w:tc>
          <w:tcPr>
            <w:tcW w:w="899" w:type="pct"/>
            <w:tcBorders>
              <w:top w:val="single" w:sz="4" w:space="0" w:color="auto"/>
              <w:left w:val="single" w:sz="4" w:space="0" w:color="auto"/>
              <w:bottom w:val="single" w:sz="4" w:space="0" w:color="auto"/>
              <w:right w:val="single" w:sz="4" w:space="0" w:color="auto"/>
            </w:tcBorders>
            <w:vAlign w:val="center"/>
          </w:tcPr>
          <w:p w14:paraId="2EA439FA" w14:textId="77777777" w:rsidR="00877B2F" w:rsidRPr="00266647" w:rsidRDefault="00877B2F" w:rsidP="00266647">
            <w:pPr>
              <w:spacing w:after="0" w:line="200" w:lineRule="exact"/>
              <w:ind w:left="-57" w:right="-57"/>
              <w:jc w:val="center"/>
              <w:rPr>
                <w:rFonts w:ascii="Times New Roman" w:eastAsia="Times New Roman" w:hAnsi="Times New Roman" w:cs="Times New Roman"/>
                <w:sz w:val="24"/>
                <w:szCs w:val="24"/>
                <w:lang w:eastAsia="ru-RU"/>
              </w:rPr>
            </w:pPr>
            <w:r w:rsidRPr="00266647">
              <w:rPr>
                <w:rFonts w:ascii="Times New Roman" w:eastAsia="Times New Roman" w:hAnsi="Times New Roman" w:cs="Times New Roman"/>
                <w:sz w:val="24"/>
                <w:szCs w:val="24"/>
                <w:lang w:eastAsia="ru-RU"/>
              </w:rPr>
              <w:t>195</w:t>
            </w:r>
          </w:p>
        </w:tc>
      </w:tr>
      <w:tr w:rsidR="00877B2F" w:rsidRPr="008E1D60" w14:paraId="553CE379" w14:textId="77777777" w:rsidTr="00266647">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574A81F7"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Тюменская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6068B5C6" w14:textId="77777777" w:rsidR="00877B2F" w:rsidRPr="00266647" w:rsidRDefault="00877B2F" w:rsidP="00266647">
            <w:pPr>
              <w:spacing w:after="0" w:line="200" w:lineRule="exact"/>
              <w:ind w:left="-57" w:right="-57"/>
              <w:jc w:val="center"/>
              <w:rPr>
                <w:rFonts w:ascii="Times New Roman" w:eastAsia="Times New Roman" w:hAnsi="Times New Roman" w:cs="Times New Roman"/>
                <w:sz w:val="24"/>
                <w:szCs w:val="24"/>
                <w:lang w:eastAsia="ru-RU"/>
              </w:rPr>
            </w:pPr>
            <w:r w:rsidRPr="00266647">
              <w:rPr>
                <w:rFonts w:ascii="Times New Roman" w:eastAsia="Times New Roman" w:hAnsi="Times New Roman" w:cs="Times New Roman"/>
                <w:sz w:val="24"/>
                <w:szCs w:val="24"/>
                <w:lang w:eastAsia="ru-RU"/>
              </w:rPr>
              <w:t>27</w:t>
            </w:r>
          </w:p>
        </w:tc>
        <w:tc>
          <w:tcPr>
            <w:tcW w:w="899" w:type="pct"/>
            <w:tcBorders>
              <w:top w:val="single" w:sz="4" w:space="0" w:color="auto"/>
              <w:left w:val="single" w:sz="4" w:space="0" w:color="auto"/>
              <w:bottom w:val="single" w:sz="4" w:space="0" w:color="auto"/>
              <w:right w:val="single" w:sz="4" w:space="0" w:color="auto"/>
            </w:tcBorders>
            <w:vAlign w:val="center"/>
          </w:tcPr>
          <w:p w14:paraId="2C124CFD" w14:textId="77777777" w:rsidR="00877B2F" w:rsidRPr="00266647" w:rsidRDefault="00877B2F" w:rsidP="00266647">
            <w:pPr>
              <w:spacing w:after="0" w:line="200" w:lineRule="exact"/>
              <w:ind w:left="-57" w:right="-57"/>
              <w:jc w:val="center"/>
              <w:rPr>
                <w:rFonts w:ascii="Times New Roman" w:eastAsia="Times New Roman" w:hAnsi="Times New Roman" w:cs="Times New Roman"/>
                <w:sz w:val="24"/>
                <w:szCs w:val="24"/>
                <w:lang w:eastAsia="ru-RU"/>
              </w:rPr>
            </w:pPr>
            <w:r w:rsidRPr="00266647">
              <w:rPr>
                <w:rFonts w:ascii="Times New Roman" w:eastAsia="Times New Roman" w:hAnsi="Times New Roman" w:cs="Times New Roman"/>
                <w:sz w:val="24"/>
                <w:szCs w:val="24"/>
                <w:lang w:eastAsia="ru-RU"/>
              </w:rPr>
              <w:t>50</w:t>
            </w:r>
          </w:p>
        </w:tc>
        <w:tc>
          <w:tcPr>
            <w:tcW w:w="899" w:type="pct"/>
            <w:tcBorders>
              <w:top w:val="single" w:sz="4" w:space="0" w:color="auto"/>
              <w:left w:val="single" w:sz="4" w:space="0" w:color="auto"/>
              <w:bottom w:val="single" w:sz="4" w:space="0" w:color="auto"/>
              <w:right w:val="single" w:sz="4" w:space="0" w:color="auto"/>
            </w:tcBorders>
            <w:vAlign w:val="center"/>
          </w:tcPr>
          <w:p w14:paraId="55205A81" w14:textId="77777777" w:rsidR="00877B2F" w:rsidRPr="00266647" w:rsidRDefault="00266647" w:rsidP="00266647">
            <w:pPr>
              <w:spacing w:after="0" w:line="200" w:lineRule="exact"/>
              <w:ind w:left="-57" w:right="-57"/>
              <w:jc w:val="center"/>
              <w:rPr>
                <w:rFonts w:ascii="Times New Roman" w:eastAsia="Times New Roman" w:hAnsi="Times New Roman" w:cs="Times New Roman"/>
                <w:sz w:val="24"/>
                <w:szCs w:val="24"/>
                <w:lang w:eastAsia="ru-RU"/>
              </w:rPr>
            </w:pPr>
            <w:r w:rsidRPr="00266647">
              <w:rPr>
                <w:rFonts w:ascii="Times New Roman" w:eastAsia="Times New Roman" w:hAnsi="Times New Roman" w:cs="Times New Roman"/>
                <w:sz w:val="24"/>
                <w:szCs w:val="24"/>
                <w:lang w:eastAsia="ru-RU"/>
              </w:rPr>
              <w:t>48</w:t>
            </w:r>
          </w:p>
        </w:tc>
      </w:tr>
      <w:tr w:rsidR="00877B2F" w:rsidRPr="008E1D60" w14:paraId="60DBD72F" w14:textId="77777777" w:rsidTr="00266647">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1BEF8648"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Челябинская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4EFF2C28" w14:textId="77777777" w:rsidR="00877B2F" w:rsidRPr="00266647" w:rsidRDefault="00877B2F" w:rsidP="00266647">
            <w:pPr>
              <w:spacing w:after="0" w:line="200" w:lineRule="exact"/>
              <w:ind w:left="-57" w:right="-57"/>
              <w:jc w:val="center"/>
              <w:rPr>
                <w:rFonts w:ascii="Times New Roman" w:eastAsia="Times New Roman" w:hAnsi="Times New Roman" w:cs="Times New Roman"/>
                <w:sz w:val="24"/>
                <w:szCs w:val="24"/>
                <w:lang w:eastAsia="ru-RU"/>
              </w:rPr>
            </w:pPr>
            <w:r w:rsidRPr="00266647">
              <w:rPr>
                <w:rFonts w:ascii="Times New Roman" w:eastAsia="Times New Roman" w:hAnsi="Times New Roman" w:cs="Times New Roman"/>
                <w:sz w:val="24"/>
                <w:szCs w:val="24"/>
                <w:lang w:eastAsia="ru-RU"/>
              </w:rPr>
              <w:t>199</w:t>
            </w:r>
          </w:p>
        </w:tc>
        <w:tc>
          <w:tcPr>
            <w:tcW w:w="899" w:type="pct"/>
            <w:tcBorders>
              <w:top w:val="single" w:sz="4" w:space="0" w:color="auto"/>
              <w:left w:val="single" w:sz="4" w:space="0" w:color="auto"/>
              <w:bottom w:val="single" w:sz="4" w:space="0" w:color="auto"/>
              <w:right w:val="single" w:sz="4" w:space="0" w:color="auto"/>
            </w:tcBorders>
            <w:vAlign w:val="center"/>
          </w:tcPr>
          <w:p w14:paraId="2E4DD69F" w14:textId="77777777" w:rsidR="00877B2F" w:rsidRPr="00266647" w:rsidRDefault="00877B2F" w:rsidP="00266647">
            <w:pPr>
              <w:spacing w:after="0" w:line="200" w:lineRule="exact"/>
              <w:ind w:left="-57" w:right="-57"/>
              <w:jc w:val="center"/>
              <w:rPr>
                <w:rFonts w:ascii="Times New Roman" w:eastAsia="Times New Roman" w:hAnsi="Times New Roman" w:cs="Times New Roman"/>
                <w:sz w:val="24"/>
                <w:szCs w:val="24"/>
                <w:lang w:eastAsia="ru-RU"/>
              </w:rPr>
            </w:pPr>
            <w:r w:rsidRPr="00266647">
              <w:rPr>
                <w:rFonts w:ascii="Times New Roman" w:eastAsia="Times New Roman" w:hAnsi="Times New Roman" w:cs="Times New Roman"/>
                <w:sz w:val="24"/>
                <w:szCs w:val="24"/>
                <w:lang w:eastAsia="ru-RU"/>
              </w:rPr>
              <w:t>213</w:t>
            </w:r>
          </w:p>
        </w:tc>
        <w:tc>
          <w:tcPr>
            <w:tcW w:w="899" w:type="pct"/>
            <w:tcBorders>
              <w:top w:val="single" w:sz="4" w:space="0" w:color="auto"/>
              <w:left w:val="single" w:sz="4" w:space="0" w:color="auto"/>
              <w:bottom w:val="single" w:sz="4" w:space="0" w:color="auto"/>
              <w:right w:val="single" w:sz="4" w:space="0" w:color="auto"/>
            </w:tcBorders>
            <w:vAlign w:val="center"/>
          </w:tcPr>
          <w:p w14:paraId="7B2F4E4D" w14:textId="77777777" w:rsidR="00877B2F" w:rsidRPr="00266647" w:rsidRDefault="00266647" w:rsidP="00266647">
            <w:pPr>
              <w:spacing w:after="0" w:line="200" w:lineRule="exact"/>
              <w:ind w:left="-57" w:right="-57"/>
              <w:jc w:val="center"/>
              <w:rPr>
                <w:rFonts w:ascii="Times New Roman" w:eastAsia="Times New Roman" w:hAnsi="Times New Roman" w:cs="Times New Roman"/>
                <w:sz w:val="24"/>
                <w:szCs w:val="24"/>
                <w:lang w:eastAsia="ru-RU"/>
              </w:rPr>
            </w:pPr>
            <w:r w:rsidRPr="00266647">
              <w:rPr>
                <w:rFonts w:ascii="Times New Roman" w:eastAsia="Times New Roman" w:hAnsi="Times New Roman" w:cs="Times New Roman"/>
                <w:sz w:val="24"/>
                <w:szCs w:val="24"/>
                <w:lang w:eastAsia="ru-RU"/>
              </w:rPr>
              <w:t>225</w:t>
            </w:r>
          </w:p>
        </w:tc>
      </w:tr>
      <w:tr w:rsidR="00877B2F" w:rsidRPr="008E1D60" w14:paraId="405FD90B" w14:textId="77777777" w:rsidTr="00266647">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6CDAFF9C"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Ханты-Мансийский автономный округ - Югра</w:t>
            </w:r>
          </w:p>
        </w:tc>
        <w:tc>
          <w:tcPr>
            <w:tcW w:w="899" w:type="pct"/>
            <w:tcBorders>
              <w:top w:val="single" w:sz="4" w:space="0" w:color="auto"/>
              <w:left w:val="single" w:sz="4" w:space="0" w:color="auto"/>
              <w:bottom w:val="single" w:sz="4" w:space="0" w:color="auto"/>
              <w:right w:val="single" w:sz="4" w:space="0" w:color="auto"/>
            </w:tcBorders>
            <w:vAlign w:val="center"/>
          </w:tcPr>
          <w:p w14:paraId="288D0633" w14:textId="77777777" w:rsidR="00877B2F" w:rsidRPr="00266647" w:rsidRDefault="00877B2F" w:rsidP="00266647">
            <w:pPr>
              <w:spacing w:after="0" w:line="200" w:lineRule="exact"/>
              <w:ind w:left="-57" w:right="-57"/>
              <w:jc w:val="center"/>
              <w:rPr>
                <w:rFonts w:ascii="Times New Roman" w:eastAsia="Times New Roman" w:hAnsi="Times New Roman" w:cs="Times New Roman"/>
                <w:sz w:val="24"/>
                <w:szCs w:val="24"/>
                <w:lang w:eastAsia="ru-RU"/>
              </w:rPr>
            </w:pPr>
            <w:r w:rsidRPr="00266647">
              <w:rPr>
                <w:rFonts w:ascii="Times New Roman" w:eastAsia="Times New Roman" w:hAnsi="Times New Roman" w:cs="Times New Roman"/>
                <w:sz w:val="24"/>
                <w:szCs w:val="24"/>
                <w:lang w:eastAsia="ru-RU"/>
              </w:rPr>
              <w:t>64</w:t>
            </w:r>
          </w:p>
        </w:tc>
        <w:tc>
          <w:tcPr>
            <w:tcW w:w="899" w:type="pct"/>
            <w:tcBorders>
              <w:top w:val="single" w:sz="4" w:space="0" w:color="auto"/>
              <w:left w:val="single" w:sz="4" w:space="0" w:color="auto"/>
              <w:bottom w:val="single" w:sz="4" w:space="0" w:color="auto"/>
              <w:right w:val="single" w:sz="4" w:space="0" w:color="auto"/>
            </w:tcBorders>
            <w:vAlign w:val="center"/>
          </w:tcPr>
          <w:p w14:paraId="45339630" w14:textId="77777777" w:rsidR="00877B2F" w:rsidRPr="00266647" w:rsidRDefault="00877B2F" w:rsidP="00266647">
            <w:pPr>
              <w:spacing w:after="0" w:line="200" w:lineRule="exact"/>
              <w:ind w:left="-57" w:right="-57"/>
              <w:jc w:val="center"/>
              <w:rPr>
                <w:rFonts w:ascii="Times New Roman" w:eastAsia="Times New Roman" w:hAnsi="Times New Roman" w:cs="Times New Roman"/>
                <w:sz w:val="24"/>
                <w:szCs w:val="24"/>
                <w:lang w:eastAsia="ru-RU"/>
              </w:rPr>
            </w:pPr>
            <w:r w:rsidRPr="00266647">
              <w:rPr>
                <w:rFonts w:ascii="Times New Roman" w:eastAsia="Times New Roman" w:hAnsi="Times New Roman" w:cs="Times New Roman"/>
                <w:sz w:val="24"/>
                <w:szCs w:val="24"/>
                <w:lang w:eastAsia="ru-RU"/>
              </w:rPr>
              <w:t>25</w:t>
            </w:r>
          </w:p>
        </w:tc>
        <w:tc>
          <w:tcPr>
            <w:tcW w:w="899" w:type="pct"/>
            <w:tcBorders>
              <w:top w:val="single" w:sz="4" w:space="0" w:color="auto"/>
              <w:left w:val="single" w:sz="4" w:space="0" w:color="auto"/>
              <w:bottom w:val="single" w:sz="4" w:space="0" w:color="auto"/>
              <w:right w:val="single" w:sz="4" w:space="0" w:color="auto"/>
            </w:tcBorders>
            <w:vAlign w:val="center"/>
          </w:tcPr>
          <w:p w14:paraId="67158A19" w14:textId="77777777" w:rsidR="00877B2F" w:rsidRPr="00266647" w:rsidRDefault="00266647" w:rsidP="00266647">
            <w:pPr>
              <w:spacing w:after="0" w:line="200" w:lineRule="exact"/>
              <w:ind w:left="-57" w:right="-57"/>
              <w:jc w:val="center"/>
              <w:rPr>
                <w:rFonts w:ascii="Times New Roman" w:eastAsia="Times New Roman" w:hAnsi="Times New Roman" w:cs="Times New Roman"/>
                <w:sz w:val="24"/>
                <w:szCs w:val="24"/>
                <w:lang w:eastAsia="ru-RU"/>
              </w:rPr>
            </w:pPr>
            <w:r w:rsidRPr="00266647">
              <w:rPr>
                <w:rFonts w:ascii="Times New Roman" w:eastAsia="Times New Roman" w:hAnsi="Times New Roman" w:cs="Times New Roman"/>
                <w:sz w:val="24"/>
                <w:szCs w:val="24"/>
                <w:lang w:eastAsia="ru-RU"/>
              </w:rPr>
              <w:t>25</w:t>
            </w:r>
          </w:p>
        </w:tc>
      </w:tr>
      <w:tr w:rsidR="00877B2F" w:rsidRPr="008E1D60" w14:paraId="6C3E61E0" w14:textId="77777777" w:rsidTr="00877B2F">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38164D6B"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Ямало-Ненецкий автономный округ</w:t>
            </w:r>
          </w:p>
        </w:tc>
        <w:tc>
          <w:tcPr>
            <w:tcW w:w="899" w:type="pct"/>
            <w:tcBorders>
              <w:top w:val="single" w:sz="4" w:space="0" w:color="auto"/>
              <w:left w:val="single" w:sz="4" w:space="0" w:color="auto"/>
              <w:bottom w:val="single" w:sz="4" w:space="0" w:color="auto"/>
              <w:right w:val="single" w:sz="4" w:space="0" w:color="auto"/>
            </w:tcBorders>
            <w:vAlign w:val="center"/>
          </w:tcPr>
          <w:p w14:paraId="4AA4D438" w14:textId="77777777" w:rsidR="00877B2F" w:rsidRPr="00266647" w:rsidRDefault="00877B2F" w:rsidP="00266647">
            <w:pPr>
              <w:spacing w:after="0" w:line="200" w:lineRule="exact"/>
              <w:ind w:left="-57" w:right="-57"/>
              <w:jc w:val="center"/>
              <w:rPr>
                <w:rFonts w:ascii="Times New Roman" w:eastAsia="Times New Roman" w:hAnsi="Times New Roman" w:cs="Times New Roman"/>
                <w:sz w:val="24"/>
                <w:szCs w:val="24"/>
                <w:lang w:eastAsia="ru-RU"/>
              </w:rPr>
            </w:pPr>
            <w:r w:rsidRPr="00266647">
              <w:rPr>
                <w:rFonts w:ascii="Times New Roman" w:eastAsia="Times New Roman" w:hAnsi="Times New Roman" w:cs="Times New Roman"/>
                <w:sz w:val="24"/>
                <w:szCs w:val="24"/>
                <w:lang w:eastAsia="ru-RU"/>
              </w:rPr>
              <w:t>17</w:t>
            </w:r>
          </w:p>
        </w:tc>
        <w:tc>
          <w:tcPr>
            <w:tcW w:w="899" w:type="pct"/>
            <w:tcBorders>
              <w:top w:val="single" w:sz="4" w:space="0" w:color="auto"/>
              <w:left w:val="single" w:sz="4" w:space="0" w:color="auto"/>
              <w:bottom w:val="single" w:sz="4" w:space="0" w:color="auto"/>
              <w:right w:val="single" w:sz="4" w:space="0" w:color="auto"/>
            </w:tcBorders>
            <w:vAlign w:val="center"/>
          </w:tcPr>
          <w:p w14:paraId="306E33B9" w14:textId="77777777" w:rsidR="00877B2F" w:rsidRPr="00266647" w:rsidRDefault="00877B2F" w:rsidP="00266647">
            <w:pPr>
              <w:spacing w:after="0" w:line="200" w:lineRule="exact"/>
              <w:ind w:left="-57" w:right="-57"/>
              <w:jc w:val="center"/>
              <w:rPr>
                <w:rFonts w:ascii="Times New Roman" w:eastAsia="Times New Roman" w:hAnsi="Times New Roman" w:cs="Times New Roman"/>
                <w:sz w:val="24"/>
                <w:szCs w:val="24"/>
                <w:lang w:eastAsia="ru-RU"/>
              </w:rPr>
            </w:pPr>
            <w:r w:rsidRPr="00266647">
              <w:rPr>
                <w:rFonts w:ascii="Times New Roman" w:eastAsia="Times New Roman" w:hAnsi="Times New Roman" w:cs="Times New Roman"/>
                <w:sz w:val="24"/>
                <w:szCs w:val="24"/>
                <w:lang w:eastAsia="ru-RU"/>
              </w:rPr>
              <w:t>11</w:t>
            </w:r>
          </w:p>
        </w:tc>
        <w:tc>
          <w:tcPr>
            <w:tcW w:w="899" w:type="pct"/>
            <w:tcBorders>
              <w:top w:val="single" w:sz="4" w:space="0" w:color="auto"/>
              <w:left w:val="single" w:sz="4" w:space="0" w:color="auto"/>
              <w:bottom w:val="single" w:sz="4" w:space="0" w:color="auto"/>
              <w:right w:val="single" w:sz="4" w:space="0" w:color="auto"/>
            </w:tcBorders>
            <w:vAlign w:val="center"/>
          </w:tcPr>
          <w:p w14:paraId="0EC30FB6" w14:textId="77777777" w:rsidR="00877B2F" w:rsidRPr="00266647" w:rsidRDefault="00266647" w:rsidP="00266647">
            <w:pPr>
              <w:spacing w:after="0" w:line="200" w:lineRule="exact"/>
              <w:ind w:left="-57" w:right="-57"/>
              <w:jc w:val="center"/>
              <w:rPr>
                <w:rFonts w:ascii="Times New Roman" w:eastAsia="Times New Roman" w:hAnsi="Times New Roman" w:cs="Times New Roman"/>
                <w:sz w:val="24"/>
                <w:szCs w:val="24"/>
                <w:lang w:eastAsia="ru-RU"/>
              </w:rPr>
            </w:pPr>
            <w:r w:rsidRPr="00266647">
              <w:rPr>
                <w:rFonts w:ascii="Times New Roman" w:eastAsia="Times New Roman" w:hAnsi="Times New Roman" w:cs="Times New Roman"/>
                <w:sz w:val="24"/>
                <w:szCs w:val="24"/>
                <w:lang w:eastAsia="ru-RU"/>
              </w:rPr>
              <w:t>11</w:t>
            </w:r>
          </w:p>
        </w:tc>
      </w:tr>
      <w:tr w:rsidR="00877B2F" w:rsidRPr="008E1D60" w14:paraId="64630E4E" w14:textId="77777777" w:rsidTr="004A6045">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303DC763" w14:textId="77777777" w:rsidR="00877B2F" w:rsidRPr="008E1D60" w:rsidRDefault="00877B2F" w:rsidP="00877B2F">
            <w:pPr>
              <w:spacing w:after="0" w:line="240" w:lineRule="auto"/>
              <w:ind w:left="57"/>
              <w:rPr>
                <w:rFonts w:ascii="Times New Roman" w:eastAsia="Arial Unicode MS" w:hAnsi="Times New Roman" w:cs="Times New Roman"/>
                <w:b/>
                <w:sz w:val="24"/>
                <w:szCs w:val="24"/>
                <w:lang w:eastAsia="ru-RU"/>
              </w:rPr>
            </w:pPr>
            <w:r w:rsidRPr="008E1D60">
              <w:rPr>
                <w:rFonts w:ascii="Times New Roman" w:eastAsia="Arial Unicode MS" w:hAnsi="Times New Roman" w:cs="Times New Roman"/>
                <w:b/>
                <w:sz w:val="24"/>
                <w:szCs w:val="24"/>
                <w:lang w:eastAsia="ru-RU"/>
              </w:rPr>
              <w:t>Сибирский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14:paraId="4D16E1ED" w14:textId="77777777" w:rsidR="00877B2F" w:rsidRPr="008E1D60" w:rsidRDefault="00877B2F" w:rsidP="00877B2F">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1 053</w:t>
            </w:r>
          </w:p>
        </w:tc>
        <w:tc>
          <w:tcPr>
            <w:tcW w:w="899" w:type="pct"/>
            <w:tcBorders>
              <w:top w:val="single" w:sz="4" w:space="0" w:color="auto"/>
              <w:left w:val="single" w:sz="4" w:space="0" w:color="auto"/>
              <w:bottom w:val="single" w:sz="4" w:space="0" w:color="auto"/>
              <w:right w:val="single" w:sz="4" w:space="0" w:color="auto"/>
            </w:tcBorders>
            <w:vAlign w:val="center"/>
          </w:tcPr>
          <w:p w14:paraId="01E62D73" w14:textId="77777777" w:rsidR="00877B2F" w:rsidRPr="008E1D60" w:rsidRDefault="00877B2F" w:rsidP="00877B2F">
            <w:pPr>
              <w:spacing w:after="0" w:line="240" w:lineRule="auto"/>
              <w:ind w:left="-57" w:right="567"/>
              <w:jc w:val="right"/>
              <w:rPr>
                <w:rFonts w:ascii="Times New Roman" w:hAnsi="Times New Roman"/>
                <w:b/>
              </w:rPr>
            </w:pPr>
            <w:r w:rsidRPr="008E1D60">
              <w:rPr>
                <w:rFonts w:ascii="Times New Roman" w:hAnsi="Times New Roman"/>
                <w:b/>
              </w:rPr>
              <w:t>1 110</w:t>
            </w:r>
          </w:p>
        </w:tc>
        <w:tc>
          <w:tcPr>
            <w:tcW w:w="899" w:type="pct"/>
            <w:tcBorders>
              <w:top w:val="single" w:sz="4" w:space="0" w:color="auto"/>
              <w:left w:val="single" w:sz="4" w:space="0" w:color="auto"/>
              <w:bottom w:val="single" w:sz="4" w:space="0" w:color="auto"/>
              <w:right w:val="single" w:sz="4" w:space="0" w:color="auto"/>
            </w:tcBorders>
            <w:vAlign w:val="bottom"/>
          </w:tcPr>
          <w:p w14:paraId="766A3AEA" w14:textId="77777777" w:rsidR="00877B2F" w:rsidRPr="00B30F0A" w:rsidRDefault="00877B2F" w:rsidP="00877B2F">
            <w:pPr>
              <w:spacing w:after="0" w:line="200" w:lineRule="exact"/>
              <w:ind w:left="-57" w:right="-57"/>
              <w:jc w:val="center"/>
              <w:rPr>
                <w:rFonts w:ascii="Times New Roman" w:eastAsia="Times New Roman" w:hAnsi="Times New Roman" w:cs="Times New Roman"/>
                <w:b/>
                <w:sz w:val="24"/>
                <w:szCs w:val="24"/>
              </w:rPr>
            </w:pPr>
            <w:r w:rsidRPr="00B30F0A">
              <w:rPr>
                <w:rFonts w:ascii="Times New Roman" w:eastAsia="Times New Roman" w:hAnsi="Times New Roman" w:cs="Times New Roman"/>
                <w:b/>
                <w:sz w:val="24"/>
                <w:szCs w:val="24"/>
              </w:rPr>
              <w:t>944</w:t>
            </w:r>
          </w:p>
        </w:tc>
      </w:tr>
      <w:tr w:rsidR="00877B2F" w:rsidRPr="008E1D60" w14:paraId="51C37437" w14:textId="77777777" w:rsidTr="004A6045">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4728BB73"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Алтай</w:t>
            </w:r>
          </w:p>
        </w:tc>
        <w:tc>
          <w:tcPr>
            <w:tcW w:w="899" w:type="pct"/>
            <w:tcBorders>
              <w:top w:val="single" w:sz="4" w:space="0" w:color="auto"/>
              <w:left w:val="single" w:sz="4" w:space="0" w:color="auto"/>
              <w:bottom w:val="single" w:sz="4" w:space="0" w:color="auto"/>
              <w:right w:val="single" w:sz="4" w:space="0" w:color="auto"/>
            </w:tcBorders>
            <w:vAlign w:val="center"/>
          </w:tcPr>
          <w:p w14:paraId="00AC00F3" w14:textId="77777777" w:rsidR="00877B2F" w:rsidRPr="008E1D60" w:rsidRDefault="00877B2F" w:rsidP="00877B2F">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38</w:t>
            </w:r>
          </w:p>
        </w:tc>
        <w:tc>
          <w:tcPr>
            <w:tcW w:w="899" w:type="pct"/>
            <w:tcBorders>
              <w:top w:val="single" w:sz="4" w:space="0" w:color="auto"/>
              <w:left w:val="single" w:sz="4" w:space="0" w:color="auto"/>
              <w:bottom w:val="single" w:sz="4" w:space="0" w:color="auto"/>
              <w:right w:val="single" w:sz="4" w:space="0" w:color="auto"/>
            </w:tcBorders>
            <w:vAlign w:val="center"/>
          </w:tcPr>
          <w:p w14:paraId="61AD1968"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36</w:t>
            </w:r>
          </w:p>
        </w:tc>
        <w:tc>
          <w:tcPr>
            <w:tcW w:w="899" w:type="pct"/>
            <w:tcBorders>
              <w:top w:val="single" w:sz="4" w:space="0" w:color="auto"/>
              <w:left w:val="single" w:sz="4" w:space="0" w:color="auto"/>
              <w:bottom w:val="single" w:sz="4" w:space="0" w:color="auto"/>
              <w:right w:val="single" w:sz="4" w:space="0" w:color="auto"/>
            </w:tcBorders>
            <w:vAlign w:val="bottom"/>
          </w:tcPr>
          <w:p w14:paraId="48B48E49" w14:textId="77777777" w:rsidR="00877B2F" w:rsidRPr="00B30F0A" w:rsidRDefault="00877B2F" w:rsidP="00877B2F">
            <w:pPr>
              <w:spacing w:after="0" w:line="200" w:lineRule="exact"/>
              <w:ind w:left="-57" w:right="-57"/>
              <w:jc w:val="center"/>
              <w:rPr>
                <w:rFonts w:ascii="Times New Roman" w:eastAsia="Times New Roman" w:hAnsi="Times New Roman" w:cs="Times New Roman"/>
                <w:sz w:val="24"/>
                <w:szCs w:val="24"/>
              </w:rPr>
            </w:pPr>
            <w:r w:rsidRPr="00B30F0A">
              <w:rPr>
                <w:rFonts w:ascii="Times New Roman" w:eastAsia="Times New Roman" w:hAnsi="Times New Roman" w:cs="Times New Roman"/>
                <w:sz w:val="24"/>
                <w:szCs w:val="24"/>
              </w:rPr>
              <w:t>35</w:t>
            </w:r>
          </w:p>
        </w:tc>
      </w:tr>
      <w:tr w:rsidR="00877B2F" w:rsidRPr="008E1D60" w14:paraId="5662FC62" w14:textId="77777777" w:rsidTr="004A6045">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524E38D2"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Тыва</w:t>
            </w:r>
          </w:p>
        </w:tc>
        <w:tc>
          <w:tcPr>
            <w:tcW w:w="899" w:type="pct"/>
            <w:tcBorders>
              <w:top w:val="single" w:sz="4" w:space="0" w:color="auto"/>
              <w:left w:val="single" w:sz="4" w:space="0" w:color="auto"/>
              <w:bottom w:val="single" w:sz="4" w:space="0" w:color="auto"/>
              <w:right w:val="single" w:sz="4" w:space="0" w:color="auto"/>
            </w:tcBorders>
            <w:vAlign w:val="center"/>
          </w:tcPr>
          <w:p w14:paraId="1DE6BE23" w14:textId="77777777" w:rsidR="00877B2F" w:rsidRPr="008E1D60" w:rsidRDefault="00877B2F" w:rsidP="00877B2F">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51</w:t>
            </w:r>
          </w:p>
        </w:tc>
        <w:tc>
          <w:tcPr>
            <w:tcW w:w="899" w:type="pct"/>
            <w:tcBorders>
              <w:top w:val="single" w:sz="4" w:space="0" w:color="auto"/>
              <w:left w:val="single" w:sz="4" w:space="0" w:color="auto"/>
              <w:bottom w:val="single" w:sz="4" w:space="0" w:color="auto"/>
              <w:right w:val="single" w:sz="4" w:space="0" w:color="auto"/>
            </w:tcBorders>
            <w:vAlign w:val="center"/>
          </w:tcPr>
          <w:p w14:paraId="38190322"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53</w:t>
            </w:r>
          </w:p>
        </w:tc>
        <w:tc>
          <w:tcPr>
            <w:tcW w:w="899" w:type="pct"/>
            <w:tcBorders>
              <w:top w:val="single" w:sz="4" w:space="0" w:color="auto"/>
              <w:left w:val="single" w:sz="4" w:space="0" w:color="auto"/>
              <w:bottom w:val="single" w:sz="4" w:space="0" w:color="auto"/>
              <w:right w:val="single" w:sz="4" w:space="0" w:color="auto"/>
            </w:tcBorders>
            <w:vAlign w:val="bottom"/>
          </w:tcPr>
          <w:p w14:paraId="3299EE98" w14:textId="77777777" w:rsidR="00877B2F" w:rsidRPr="00B30F0A" w:rsidRDefault="00877B2F" w:rsidP="00877B2F">
            <w:pPr>
              <w:spacing w:after="0" w:line="200" w:lineRule="exact"/>
              <w:ind w:left="-57" w:right="-57"/>
              <w:jc w:val="center"/>
              <w:rPr>
                <w:rFonts w:ascii="Times New Roman" w:eastAsia="Times New Roman" w:hAnsi="Times New Roman" w:cs="Times New Roman"/>
                <w:sz w:val="24"/>
                <w:szCs w:val="24"/>
              </w:rPr>
            </w:pPr>
            <w:r w:rsidRPr="00B30F0A">
              <w:rPr>
                <w:rFonts w:ascii="Times New Roman" w:eastAsia="Times New Roman" w:hAnsi="Times New Roman" w:cs="Times New Roman"/>
                <w:sz w:val="24"/>
                <w:szCs w:val="24"/>
              </w:rPr>
              <w:t>46</w:t>
            </w:r>
          </w:p>
        </w:tc>
      </w:tr>
      <w:tr w:rsidR="00877B2F" w:rsidRPr="008E1D60" w14:paraId="69044732" w14:textId="77777777" w:rsidTr="004A6045">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2E791A2A"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Хакасия</w:t>
            </w:r>
          </w:p>
        </w:tc>
        <w:tc>
          <w:tcPr>
            <w:tcW w:w="899" w:type="pct"/>
            <w:tcBorders>
              <w:top w:val="single" w:sz="4" w:space="0" w:color="auto"/>
              <w:left w:val="single" w:sz="4" w:space="0" w:color="auto"/>
              <w:bottom w:val="single" w:sz="4" w:space="0" w:color="auto"/>
              <w:right w:val="single" w:sz="4" w:space="0" w:color="auto"/>
            </w:tcBorders>
            <w:vAlign w:val="center"/>
          </w:tcPr>
          <w:p w14:paraId="76ED7992" w14:textId="77777777" w:rsidR="00877B2F" w:rsidRPr="008E1D60" w:rsidRDefault="00877B2F" w:rsidP="00877B2F">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32</w:t>
            </w:r>
          </w:p>
        </w:tc>
        <w:tc>
          <w:tcPr>
            <w:tcW w:w="899" w:type="pct"/>
            <w:tcBorders>
              <w:top w:val="single" w:sz="4" w:space="0" w:color="auto"/>
              <w:left w:val="single" w:sz="4" w:space="0" w:color="auto"/>
              <w:bottom w:val="single" w:sz="4" w:space="0" w:color="auto"/>
              <w:right w:val="single" w:sz="4" w:space="0" w:color="auto"/>
            </w:tcBorders>
            <w:vAlign w:val="center"/>
          </w:tcPr>
          <w:p w14:paraId="0F5DDEB6"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35</w:t>
            </w:r>
          </w:p>
        </w:tc>
        <w:tc>
          <w:tcPr>
            <w:tcW w:w="899" w:type="pct"/>
            <w:tcBorders>
              <w:top w:val="single" w:sz="4" w:space="0" w:color="auto"/>
              <w:left w:val="single" w:sz="4" w:space="0" w:color="auto"/>
              <w:bottom w:val="single" w:sz="4" w:space="0" w:color="auto"/>
              <w:right w:val="single" w:sz="4" w:space="0" w:color="auto"/>
            </w:tcBorders>
            <w:vAlign w:val="bottom"/>
          </w:tcPr>
          <w:p w14:paraId="1F35AB95" w14:textId="77777777" w:rsidR="00877B2F" w:rsidRPr="00B30F0A" w:rsidRDefault="00877B2F" w:rsidP="00877B2F">
            <w:pPr>
              <w:spacing w:after="0" w:line="200" w:lineRule="exact"/>
              <w:ind w:left="-57" w:right="-57"/>
              <w:jc w:val="center"/>
              <w:rPr>
                <w:rFonts w:ascii="Times New Roman" w:eastAsia="Times New Roman" w:hAnsi="Times New Roman" w:cs="Times New Roman"/>
                <w:sz w:val="24"/>
                <w:szCs w:val="24"/>
              </w:rPr>
            </w:pPr>
            <w:r w:rsidRPr="00B30F0A">
              <w:rPr>
                <w:rFonts w:ascii="Times New Roman" w:eastAsia="Times New Roman" w:hAnsi="Times New Roman" w:cs="Times New Roman"/>
                <w:sz w:val="24"/>
                <w:szCs w:val="24"/>
              </w:rPr>
              <w:t>24</w:t>
            </w:r>
          </w:p>
        </w:tc>
      </w:tr>
      <w:tr w:rsidR="00877B2F" w:rsidRPr="008E1D60" w14:paraId="40AB36CE" w14:textId="77777777" w:rsidTr="004A6045">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642C41B9"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Алтайский край</w:t>
            </w:r>
          </w:p>
        </w:tc>
        <w:tc>
          <w:tcPr>
            <w:tcW w:w="899" w:type="pct"/>
            <w:tcBorders>
              <w:top w:val="single" w:sz="4" w:space="0" w:color="auto"/>
              <w:left w:val="single" w:sz="4" w:space="0" w:color="auto"/>
              <w:bottom w:val="single" w:sz="4" w:space="0" w:color="auto"/>
              <w:right w:val="single" w:sz="4" w:space="0" w:color="auto"/>
            </w:tcBorders>
            <w:vAlign w:val="center"/>
          </w:tcPr>
          <w:p w14:paraId="10E23A04" w14:textId="77777777" w:rsidR="00877B2F" w:rsidRPr="008E1D60" w:rsidRDefault="00877B2F" w:rsidP="00877B2F">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181</w:t>
            </w:r>
          </w:p>
        </w:tc>
        <w:tc>
          <w:tcPr>
            <w:tcW w:w="899" w:type="pct"/>
            <w:tcBorders>
              <w:top w:val="single" w:sz="4" w:space="0" w:color="auto"/>
              <w:left w:val="single" w:sz="4" w:space="0" w:color="auto"/>
              <w:bottom w:val="single" w:sz="4" w:space="0" w:color="auto"/>
              <w:right w:val="single" w:sz="4" w:space="0" w:color="auto"/>
            </w:tcBorders>
            <w:vAlign w:val="center"/>
          </w:tcPr>
          <w:p w14:paraId="51D85CD5"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176</w:t>
            </w:r>
          </w:p>
        </w:tc>
        <w:tc>
          <w:tcPr>
            <w:tcW w:w="899" w:type="pct"/>
            <w:tcBorders>
              <w:top w:val="single" w:sz="4" w:space="0" w:color="auto"/>
              <w:left w:val="single" w:sz="4" w:space="0" w:color="auto"/>
              <w:bottom w:val="single" w:sz="4" w:space="0" w:color="auto"/>
              <w:right w:val="single" w:sz="4" w:space="0" w:color="auto"/>
            </w:tcBorders>
            <w:vAlign w:val="bottom"/>
          </w:tcPr>
          <w:p w14:paraId="746E25C0" w14:textId="77777777" w:rsidR="00877B2F" w:rsidRPr="00B30F0A" w:rsidRDefault="00877B2F" w:rsidP="00877B2F">
            <w:pPr>
              <w:spacing w:after="0" w:line="200" w:lineRule="exact"/>
              <w:ind w:left="-57" w:right="-57"/>
              <w:jc w:val="center"/>
              <w:rPr>
                <w:rFonts w:ascii="Times New Roman" w:eastAsia="Times New Roman" w:hAnsi="Times New Roman" w:cs="Times New Roman"/>
                <w:sz w:val="24"/>
                <w:szCs w:val="24"/>
              </w:rPr>
            </w:pPr>
            <w:r w:rsidRPr="00B30F0A">
              <w:rPr>
                <w:rFonts w:ascii="Times New Roman" w:eastAsia="Times New Roman" w:hAnsi="Times New Roman" w:cs="Times New Roman"/>
                <w:sz w:val="24"/>
                <w:szCs w:val="24"/>
              </w:rPr>
              <w:t>133</w:t>
            </w:r>
          </w:p>
        </w:tc>
      </w:tr>
      <w:tr w:rsidR="00877B2F" w:rsidRPr="008E1D60" w14:paraId="3BE83666" w14:textId="77777777" w:rsidTr="004A6045">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036240A6"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Красноярский край</w:t>
            </w:r>
          </w:p>
        </w:tc>
        <w:tc>
          <w:tcPr>
            <w:tcW w:w="899" w:type="pct"/>
            <w:tcBorders>
              <w:top w:val="single" w:sz="4" w:space="0" w:color="auto"/>
              <w:left w:val="single" w:sz="4" w:space="0" w:color="auto"/>
              <w:bottom w:val="single" w:sz="4" w:space="0" w:color="auto"/>
              <w:right w:val="single" w:sz="4" w:space="0" w:color="auto"/>
            </w:tcBorders>
            <w:vAlign w:val="center"/>
          </w:tcPr>
          <w:p w14:paraId="6B56E28A" w14:textId="77777777" w:rsidR="00877B2F" w:rsidRPr="008E1D60" w:rsidRDefault="00877B2F" w:rsidP="00877B2F">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129</w:t>
            </w:r>
          </w:p>
        </w:tc>
        <w:tc>
          <w:tcPr>
            <w:tcW w:w="899" w:type="pct"/>
            <w:tcBorders>
              <w:top w:val="single" w:sz="4" w:space="0" w:color="auto"/>
              <w:left w:val="single" w:sz="4" w:space="0" w:color="auto"/>
              <w:bottom w:val="single" w:sz="4" w:space="0" w:color="auto"/>
              <w:right w:val="single" w:sz="4" w:space="0" w:color="auto"/>
            </w:tcBorders>
            <w:vAlign w:val="center"/>
          </w:tcPr>
          <w:p w14:paraId="7F3DB7D9"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159</w:t>
            </w:r>
          </w:p>
        </w:tc>
        <w:tc>
          <w:tcPr>
            <w:tcW w:w="899" w:type="pct"/>
            <w:tcBorders>
              <w:top w:val="single" w:sz="4" w:space="0" w:color="auto"/>
              <w:left w:val="single" w:sz="4" w:space="0" w:color="auto"/>
              <w:bottom w:val="single" w:sz="4" w:space="0" w:color="auto"/>
              <w:right w:val="single" w:sz="4" w:space="0" w:color="auto"/>
            </w:tcBorders>
            <w:vAlign w:val="bottom"/>
          </w:tcPr>
          <w:p w14:paraId="7DC2F970" w14:textId="77777777" w:rsidR="00877B2F" w:rsidRPr="00B30F0A" w:rsidRDefault="00877B2F" w:rsidP="00877B2F">
            <w:pPr>
              <w:spacing w:after="0" w:line="200" w:lineRule="exact"/>
              <w:ind w:left="-57" w:right="-57"/>
              <w:jc w:val="center"/>
              <w:rPr>
                <w:rFonts w:ascii="Times New Roman" w:eastAsia="Times New Roman" w:hAnsi="Times New Roman" w:cs="Times New Roman"/>
                <w:sz w:val="24"/>
                <w:szCs w:val="24"/>
              </w:rPr>
            </w:pPr>
            <w:r w:rsidRPr="00B30F0A">
              <w:rPr>
                <w:rFonts w:ascii="Times New Roman" w:eastAsia="Times New Roman" w:hAnsi="Times New Roman" w:cs="Times New Roman"/>
                <w:sz w:val="24"/>
                <w:szCs w:val="24"/>
              </w:rPr>
              <w:t>171</w:t>
            </w:r>
          </w:p>
        </w:tc>
      </w:tr>
      <w:tr w:rsidR="00877B2F" w:rsidRPr="008E1D60" w14:paraId="147765D0" w14:textId="77777777" w:rsidTr="004A6045">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567BB282"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Иркутская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627BFBB1" w14:textId="77777777" w:rsidR="00877B2F" w:rsidRPr="008E1D60" w:rsidRDefault="00877B2F" w:rsidP="00877B2F">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220</w:t>
            </w:r>
          </w:p>
        </w:tc>
        <w:tc>
          <w:tcPr>
            <w:tcW w:w="899" w:type="pct"/>
            <w:tcBorders>
              <w:top w:val="single" w:sz="4" w:space="0" w:color="auto"/>
              <w:left w:val="single" w:sz="4" w:space="0" w:color="auto"/>
              <w:bottom w:val="single" w:sz="4" w:space="0" w:color="auto"/>
              <w:right w:val="single" w:sz="4" w:space="0" w:color="auto"/>
            </w:tcBorders>
            <w:vAlign w:val="center"/>
          </w:tcPr>
          <w:p w14:paraId="4973A6AB"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228</w:t>
            </w:r>
          </w:p>
        </w:tc>
        <w:tc>
          <w:tcPr>
            <w:tcW w:w="899" w:type="pct"/>
            <w:tcBorders>
              <w:top w:val="single" w:sz="4" w:space="0" w:color="auto"/>
              <w:left w:val="single" w:sz="4" w:space="0" w:color="auto"/>
              <w:bottom w:val="single" w:sz="4" w:space="0" w:color="auto"/>
              <w:right w:val="single" w:sz="4" w:space="0" w:color="auto"/>
            </w:tcBorders>
            <w:vAlign w:val="bottom"/>
          </w:tcPr>
          <w:p w14:paraId="74CDC124" w14:textId="77777777" w:rsidR="00877B2F" w:rsidRPr="00B30F0A" w:rsidRDefault="00877B2F" w:rsidP="00877B2F">
            <w:pPr>
              <w:spacing w:after="0" w:line="200" w:lineRule="exact"/>
              <w:ind w:left="-57" w:right="-57"/>
              <w:jc w:val="center"/>
              <w:rPr>
                <w:rFonts w:ascii="Times New Roman" w:eastAsia="Times New Roman" w:hAnsi="Times New Roman" w:cs="Times New Roman"/>
                <w:sz w:val="24"/>
                <w:szCs w:val="24"/>
              </w:rPr>
            </w:pPr>
            <w:r w:rsidRPr="00B30F0A">
              <w:rPr>
                <w:rFonts w:ascii="Times New Roman" w:eastAsia="Times New Roman" w:hAnsi="Times New Roman" w:cs="Times New Roman"/>
                <w:sz w:val="24"/>
                <w:szCs w:val="24"/>
              </w:rPr>
              <w:t>201</w:t>
            </w:r>
          </w:p>
        </w:tc>
      </w:tr>
      <w:tr w:rsidR="00877B2F" w:rsidRPr="008E1D60" w14:paraId="7771F894" w14:textId="77777777" w:rsidTr="004A6045">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4389870C"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Кемеровская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0E0EB0D4" w14:textId="77777777" w:rsidR="00877B2F" w:rsidRPr="008E1D60" w:rsidRDefault="00877B2F" w:rsidP="00877B2F">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102</w:t>
            </w:r>
          </w:p>
        </w:tc>
        <w:tc>
          <w:tcPr>
            <w:tcW w:w="899" w:type="pct"/>
            <w:tcBorders>
              <w:top w:val="single" w:sz="4" w:space="0" w:color="auto"/>
              <w:left w:val="single" w:sz="4" w:space="0" w:color="auto"/>
              <w:bottom w:val="single" w:sz="4" w:space="0" w:color="auto"/>
              <w:right w:val="single" w:sz="4" w:space="0" w:color="auto"/>
            </w:tcBorders>
            <w:vAlign w:val="center"/>
          </w:tcPr>
          <w:p w14:paraId="64A263D8"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124</w:t>
            </w:r>
          </w:p>
        </w:tc>
        <w:tc>
          <w:tcPr>
            <w:tcW w:w="899" w:type="pct"/>
            <w:tcBorders>
              <w:top w:val="single" w:sz="4" w:space="0" w:color="auto"/>
              <w:left w:val="single" w:sz="4" w:space="0" w:color="auto"/>
              <w:bottom w:val="single" w:sz="4" w:space="0" w:color="auto"/>
              <w:right w:val="single" w:sz="4" w:space="0" w:color="auto"/>
            </w:tcBorders>
            <w:vAlign w:val="bottom"/>
          </w:tcPr>
          <w:p w14:paraId="44DD4377" w14:textId="77777777" w:rsidR="00877B2F" w:rsidRPr="00B30F0A" w:rsidRDefault="00877B2F" w:rsidP="00877B2F">
            <w:pPr>
              <w:spacing w:after="0" w:line="200" w:lineRule="exact"/>
              <w:ind w:left="-57" w:right="-57"/>
              <w:jc w:val="center"/>
              <w:rPr>
                <w:rFonts w:ascii="Times New Roman" w:eastAsia="Times New Roman" w:hAnsi="Times New Roman" w:cs="Times New Roman"/>
                <w:sz w:val="24"/>
                <w:szCs w:val="24"/>
              </w:rPr>
            </w:pPr>
            <w:r w:rsidRPr="00B30F0A">
              <w:rPr>
                <w:rFonts w:ascii="Times New Roman" w:eastAsia="Times New Roman" w:hAnsi="Times New Roman" w:cs="Times New Roman"/>
                <w:sz w:val="24"/>
                <w:szCs w:val="24"/>
              </w:rPr>
              <w:t>81</w:t>
            </w:r>
          </w:p>
        </w:tc>
      </w:tr>
      <w:tr w:rsidR="00877B2F" w:rsidRPr="008E1D60" w14:paraId="7F4E60E9" w14:textId="77777777" w:rsidTr="004A6045">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6A5A497D"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Новосибирская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24C226D7" w14:textId="77777777" w:rsidR="00877B2F" w:rsidRPr="008E1D60" w:rsidRDefault="00877B2F" w:rsidP="00877B2F">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99</w:t>
            </w:r>
          </w:p>
        </w:tc>
        <w:tc>
          <w:tcPr>
            <w:tcW w:w="899" w:type="pct"/>
            <w:tcBorders>
              <w:top w:val="single" w:sz="4" w:space="0" w:color="auto"/>
              <w:left w:val="single" w:sz="4" w:space="0" w:color="auto"/>
              <w:bottom w:val="single" w:sz="4" w:space="0" w:color="auto"/>
              <w:right w:val="single" w:sz="4" w:space="0" w:color="auto"/>
            </w:tcBorders>
            <w:vAlign w:val="center"/>
          </w:tcPr>
          <w:p w14:paraId="4758C532"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124</w:t>
            </w:r>
          </w:p>
        </w:tc>
        <w:tc>
          <w:tcPr>
            <w:tcW w:w="899" w:type="pct"/>
            <w:tcBorders>
              <w:top w:val="single" w:sz="4" w:space="0" w:color="auto"/>
              <w:left w:val="single" w:sz="4" w:space="0" w:color="auto"/>
              <w:bottom w:val="single" w:sz="4" w:space="0" w:color="auto"/>
              <w:right w:val="single" w:sz="4" w:space="0" w:color="auto"/>
            </w:tcBorders>
            <w:vAlign w:val="bottom"/>
          </w:tcPr>
          <w:p w14:paraId="3391E6C2" w14:textId="77777777" w:rsidR="00877B2F" w:rsidRPr="00B30F0A" w:rsidRDefault="00877B2F" w:rsidP="00877B2F">
            <w:pPr>
              <w:spacing w:after="0" w:line="200" w:lineRule="exact"/>
              <w:ind w:left="-57" w:right="-57"/>
              <w:jc w:val="center"/>
              <w:rPr>
                <w:rFonts w:ascii="Times New Roman" w:eastAsia="Times New Roman" w:hAnsi="Times New Roman" w:cs="Times New Roman"/>
                <w:sz w:val="24"/>
                <w:szCs w:val="24"/>
              </w:rPr>
            </w:pPr>
            <w:r w:rsidRPr="00B30F0A">
              <w:rPr>
                <w:rFonts w:ascii="Times New Roman" w:eastAsia="Times New Roman" w:hAnsi="Times New Roman" w:cs="Times New Roman"/>
                <w:sz w:val="24"/>
                <w:szCs w:val="24"/>
              </w:rPr>
              <w:t>93</w:t>
            </w:r>
          </w:p>
        </w:tc>
      </w:tr>
      <w:tr w:rsidR="00877B2F" w:rsidRPr="008E1D60" w14:paraId="210CCECE" w14:textId="77777777" w:rsidTr="004A6045">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7CE8D2F0"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0AF12A9D" w14:textId="77777777" w:rsidR="00877B2F" w:rsidRPr="008E1D60" w:rsidRDefault="00877B2F" w:rsidP="00877B2F">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149</w:t>
            </w:r>
          </w:p>
        </w:tc>
        <w:tc>
          <w:tcPr>
            <w:tcW w:w="899" w:type="pct"/>
            <w:tcBorders>
              <w:top w:val="single" w:sz="4" w:space="0" w:color="auto"/>
              <w:left w:val="single" w:sz="4" w:space="0" w:color="auto"/>
              <w:bottom w:val="single" w:sz="4" w:space="0" w:color="auto"/>
              <w:right w:val="single" w:sz="4" w:space="0" w:color="auto"/>
            </w:tcBorders>
            <w:vAlign w:val="center"/>
          </w:tcPr>
          <w:p w14:paraId="60FC9263"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136</w:t>
            </w:r>
          </w:p>
        </w:tc>
        <w:tc>
          <w:tcPr>
            <w:tcW w:w="899" w:type="pct"/>
            <w:tcBorders>
              <w:top w:val="single" w:sz="4" w:space="0" w:color="auto"/>
              <w:left w:val="single" w:sz="4" w:space="0" w:color="auto"/>
              <w:bottom w:val="single" w:sz="4" w:space="0" w:color="auto"/>
              <w:right w:val="single" w:sz="4" w:space="0" w:color="auto"/>
            </w:tcBorders>
            <w:vAlign w:val="bottom"/>
          </w:tcPr>
          <w:p w14:paraId="5488D97F" w14:textId="77777777" w:rsidR="00877B2F" w:rsidRPr="00B30F0A" w:rsidRDefault="00877B2F" w:rsidP="00877B2F">
            <w:pPr>
              <w:spacing w:after="0" w:line="200" w:lineRule="exact"/>
              <w:ind w:left="-57" w:right="-57"/>
              <w:jc w:val="center"/>
              <w:rPr>
                <w:rFonts w:ascii="Times New Roman" w:eastAsia="Times New Roman" w:hAnsi="Times New Roman" w:cs="Times New Roman"/>
                <w:sz w:val="24"/>
                <w:szCs w:val="24"/>
              </w:rPr>
            </w:pPr>
            <w:r w:rsidRPr="00B30F0A">
              <w:rPr>
                <w:rFonts w:ascii="Times New Roman" w:eastAsia="Times New Roman" w:hAnsi="Times New Roman" w:cs="Times New Roman"/>
                <w:sz w:val="24"/>
                <w:szCs w:val="24"/>
              </w:rPr>
              <w:t>123</w:t>
            </w:r>
          </w:p>
        </w:tc>
      </w:tr>
      <w:tr w:rsidR="00877B2F" w:rsidRPr="008E1D60" w14:paraId="13740EB3" w14:textId="77777777" w:rsidTr="004A6045">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03667D5F"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Томская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0DE45266" w14:textId="77777777" w:rsidR="00877B2F" w:rsidRPr="008E1D60" w:rsidRDefault="00877B2F" w:rsidP="00877B2F">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53</w:t>
            </w:r>
          </w:p>
        </w:tc>
        <w:tc>
          <w:tcPr>
            <w:tcW w:w="899" w:type="pct"/>
            <w:tcBorders>
              <w:top w:val="single" w:sz="4" w:space="0" w:color="auto"/>
              <w:left w:val="single" w:sz="4" w:space="0" w:color="auto"/>
              <w:bottom w:val="single" w:sz="4" w:space="0" w:color="auto"/>
              <w:right w:val="single" w:sz="4" w:space="0" w:color="auto"/>
            </w:tcBorders>
            <w:vAlign w:val="center"/>
          </w:tcPr>
          <w:p w14:paraId="0B39BEF7"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40</w:t>
            </w:r>
          </w:p>
        </w:tc>
        <w:tc>
          <w:tcPr>
            <w:tcW w:w="899" w:type="pct"/>
            <w:tcBorders>
              <w:top w:val="single" w:sz="4" w:space="0" w:color="auto"/>
              <w:left w:val="single" w:sz="4" w:space="0" w:color="auto"/>
              <w:bottom w:val="single" w:sz="4" w:space="0" w:color="auto"/>
              <w:right w:val="single" w:sz="4" w:space="0" w:color="auto"/>
            </w:tcBorders>
            <w:vAlign w:val="bottom"/>
          </w:tcPr>
          <w:p w14:paraId="415FCE24" w14:textId="77777777" w:rsidR="00877B2F" w:rsidRPr="00B30F0A" w:rsidRDefault="00877B2F" w:rsidP="00877B2F">
            <w:pPr>
              <w:spacing w:after="0" w:line="200" w:lineRule="exact"/>
              <w:ind w:left="-57" w:right="-57"/>
              <w:jc w:val="center"/>
              <w:rPr>
                <w:rFonts w:ascii="Times New Roman" w:eastAsia="Times New Roman" w:hAnsi="Times New Roman" w:cs="Times New Roman"/>
                <w:sz w:val="24"/>
                <w:szCs w:val="24"/>
              </w:rPr>
            </w:pPr>
            <w:r w:rsidRPr="00B30F0A">
              <w:rPr>
                <w:rFonts w:ascii="Times New Roman" w:eastAsia="Times New Roman" w:hAnsi="Times New Roman" w:cs="Times New Roman"/>
                <w:sz w:val="24"/>
                <w:szCs w:val="24"/>
              </w:rPr>
              <w:t>38</w:t>
            </w:r>
          </w:p>
        </w:tc>
      </w:tr>
      <w:tr w:rsidR="00877B2F" w:rsidRPr="008E1D60" w14:paraId="08C23555" w14:textId="77777777" w:rsidTr="00877B2F">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6664B7C6" w14:textId="77777777" w:rsidR="00877B2F" w:rsidRPr="008E1D60" w:rsidRDefault="00877B2F" w:rsidP="00877B2F">
            <w:pPr>
              <w:spacing w:after="0" w:line="240" w:lineRule="auto"/>
              <w:ind w:left="57"/>
              <w:rPr>
                <w:rFonts w:ascii="Times New Roman" w:eastAsia="Arial Unicode MS" w:hAnsi="Times New Roman" w:cs="Times New Roman"/>
                <w:b/>
                <w:sz w:val="24"/>
                <w:szCs w:val="24"/>
                <w:lang w:eastAsia="ru-RU"/>
              </w:rPr>
            </w:pPr>
            <w:r w:rsidRPr="008E1D60">
              <w:rPr>
                <w:rFonts w:ascii="Times New Roman" w:eastAsia="Arial Unicode MS" w:hAnsi="Times New Roman" w:cs="Times New Roman"/>
                <w:b/>
                <w:sz w:val="24"/>
                <w:szCs w:val="24"/>
                <w:lang w:eastAsia="ru-RU"/>
              </w:rPr>
              <w:t>Дальневосточный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14:paraId="40EB2376" w14:textId="77777777" w:rsidR="00877B2F" w:rsidRPr="008E1D60" w:rsidRDefault="00877B2F" w:rsidP="00877B2F">
            <w:pPr>
              <w:spacing w:after="0" w:line="240" w:lineRule="auto"/>
              <w:ind w:left="-57" w:right="-57"/>
              <w:jc w:val="center"/>
              <w:rPr>
                <w:rFonts w:ascii="Times New Roman" w:eastAsia="Times New Roman" w:hAnsi="Times New Roman" w:cs="Times New Roman"/>
                <w:b/>
                <w:sz w:val="24"/>
                <w:szCs w:val="24"/>
                <w:lang w:eastAsia="ru-RU"/>
              </w:rPr>
            </w:pPr>
            <w:r w:rsidRPr="008E1D60">
              <w:rPr>
                <w:rFonts w:ascii="Times New Roman" w:eastAsia="Times New Roman" w:hAnsi="Times New Roman" w:cs="Times New Roman"/>
                <w:b/>
                <w:sz w:val="24"/>
                <w:szCs w:val="24"/>
                <w:lang w:eastAsia="ru-RU"/>
              </w:rPr>
              <w:t>572</w:t>
            </w:r>
          </w:p>
        </w:tc>
        <w:tc>
          <w:tcPr>
            <w:tcW w:w="899" w:type="pct"/>
            <w:tcBorders>
              <w:top w:val="single" w:sz="4" w:space="0" w:color="auto"/>
              <w:left w:val="single" w:sz="4" w:space="0" w:color="auto"/>
              <w:bottom w:val="single" w:sz="4" w:space="0" w:color="auto"/>
              <w:right w:val="single" w:sz="4" w:space="0" w:color="auto"/>
            </w:tcBorders>
            <w:vAlign w:val="center"/>
          </w:tcPr>
          <w:p w14:paraId="17BC3B5D" w14:textId="77777777" w:rsidR="00877B2F" w:rsidRPr="008E1D60" w:rsidRDefault="00877B2F" w:rsidP="00877B2F">
            <w:pPr>
              <w:spacing w:after="0" w:line="240" w:lineRule="auto"/>
              <w:ind w:left="-57" w:right="567"/>
              <w:jc w:val="right"/>
              <w:rPr>
                <w:rFonts w:ascii="Times New Roman" w:hAnsi="Times New Roman"/>
                <w:b/>
              </w:rPr>
            </w:pPr>
            <w:r w:rsidRPr="008E1D60">
              <w:rPr>
                <w:rFonts w:ascii="Times New Roman" w:hAnsi="Times New Roman"/>
                <w:b/>
              </w:rPr>
              <w:t>547</w:t>
            </w:r>
          </w:p>
        </w:tc>
        <w:tc>
          <w:tcPr>
            <w:tcW w:w="899" w:type="pct"/>
            <w:tcBorders>
              <w:top w:val="single" w:sz="4" w:space="0" w:color="auto"/>
              <w:left w:val="single" w:sz="4" w:space="0" w:color="auto"/>
              <w:bottom w:val="single" w:sz="4" w:space="0" w:color="auto"/>
              <w:right w:val="single" w:sz="4" w:space="0" w:color="auto"/>
            </w:tcBorders>
            <w:vAlign w:val="center"/>
          </w:tcPr>
          <w:p w14:paraId="2B3E1BEE" w14:textId="77777777" w:rsidR="00877B2F" w:rsidRPr="00B30F0A" w:rsidRDefault="00877B2F" w:rsidP="00877B2F">
            <w:pPr>
              <w:spacing w:after="0" w:line="200" w:lineRule="exact"/>
              <w:ind w:left="-57" w:right="-57"/>
              <w:jc w:val="center"/>
              <w:rPr>
                <w:rFonts w:ascii="Times New Roman" w:eastAsia="Times New Roman" w:hAnsi="Times New Roman" w:cs="Times New Roman"/>
                <w:b/>
                <w:sz w:val="24"/>
                <w:szCs w:val="24"/>
              </w:rPr>
            </w:pPr>
            <w:r w:rsidRPr="00B30F0A">
              <w:rPr>
                <w:rFonts w:ascii="Times New Roman" w:eastAsia="Times New Roman" w:hAnsi="Times New Roman" w:cs="Times New Roman"/>
                <w:b/>
                <w:sz w:val="24"/>
                <w:szCs w:val="24"/>
              </w:rPr>
              <w:t>455</w:t>
            </w:r>
          </w:p>
        </w:tc>
      </w:tr>
      <w:tr w:rsidR="00877B2F" w:rsidRPr="008E1D60" w14:paraId="39FD14CA" w14:textId="77777777" w:rsidTr="004A6045">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1D84B661"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Бурятия</w:t>
            </w:r>
          </w:p>
        </w:tc>
        <w:tc>
          <w:tcPr>
            <w:tcW w:w="899" w:type="pct"/>
            <w:tcBorders>
              <w:top w:val="single" w:sz="4" w:space="0" w:color="auto"/>
              <w:left w:val="single" w:sz="4" w:space="0" w:color="auto"/>
              <w:bottom w:val="single" w:sz="4" w:space="0" w:color="auto"/>
              <w:right w:val="single" w:sz="4" w:space="0" w:color="auto"/>
            </w:tcBorders>
            <w:vAlign w:val="center"/>
          </w:tcPr>
          <w:p w14:paraId="07555912" w14:textId="77777777" w:rsidR="00877B2F" w:rsidRPr="008E1D60" w:rsidRDefault="00877B2F" w:rsidP="00877B2F">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188</w:t>
            </w:r>
          </w:p>
        </w:tc>
        <w:tc>
          <w:tcPr>
            <w:tcW w:w="899" w:type="pct"/>
            <w:tcBorders>
              <w:top w:val="single" w:sz="4" w:space="0" w:color="auto"/>
              <w:left w:val="single" w:sz="4" w:space="0" w:color="auto"/>
              <w:bottom w:val="single" w:sz="4" w:space="0" w:color="auto"/>
              <w:right w:val="single" w:sz="4" w:space="0" w:color="auto"/>
            </w:tcBorders>
            <w:vAlign w:val="center"/>
          </w:tcPr>
          <w:p w14:paraId="7046B2FF"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115</w:t>
            </w:r>
          </w:p>
        </w:tc>
        <w:tc>
          <w:tcPr>
            <w:tcW w:w="899" w:type="pct"/>
            <w:tcBorders>
              <w:top w:val="single" w:sz="4" w:space="0" w:color="auto"/>
              <w:left w:val="single" w:sz="4" w:space="0" w:color="auto"/>
              <w:bottom w:val="single" w:sz="4" w:space="0" w:color="auto"/>
              <w:right w:val="single" w:sz="4" w:space="0" w:color="auto"/>
            </w:tcBorders>
            <w:vAlign w:val="bottom"/>
          </w:tcPr>
          <w:p w14:paraId="634DC7F6" w14:textId="77777777" w:rsidR="00877B2F" w:rsidRPr="00B30F0A" w:rsidRDefault="00877B2F" w:rsidP="00877B2F">
            <w:pPr>
              <w:spacing w:after="0" w:line="200" w:lineRule="exact"/>
              <w:ind w:left="-57" w:right="-57"/>
              <w:jc w:val="center"/>
              <w:rPr>
                <w:rFonts w:ascii="Times New Roman" w:eastAsia="Times New Roman" w:hAnsi="Times New Roman" w:cs="Times New Roman"/>
                <w:sz w:val="24"/>
                <w:szCs w:val="24"/>
              </w:rPr>
            </w:pPr>
            <w:r w:rsidRPr="00B30F0A">
              <w:rPr>
                <w:rFonts w:ascii="Times New Roman" w:eastAsia="Times New Roman" w:hAnsi="Times New Roman" w:cs="Times New Roman"/>
                <w:sz w:val="24"/>
                <w:szCs w:val="24"/>
              </w:rPr>
              <w:t>125</w:t>
            </w:r>
          </w:p>
        </w:tc>
      </w:tr>
      <w:tr w:rsidR="00877B2F" w:rsidRPr="008E1D60" w14:paraId="724CBCDE" w14:textId="77777777" w:rsidTr="004A6045">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3D135CDA"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Республика Саха (Якутия)</w:t>
            </w:r>
          </w:p>
        </w:tc>
        <w:tc>
          <w:tcPr>
            <w:tcW w:w="899" w:type="pct"/>
            <w:tcBorders>
              <w:top w:val="single" w:sz="4" w:space="0" w:color="auto"/>
              <w:left w:val="single" w:sz="4" w:space="0" w:color="auto"/>
              <w:bottom w:val="single" w:sz="4" w:space="0" w:color="auto"/>
              <w:right w:val="single" w:sz="4" w:space="0" w:color="auto"/>
            </w:tcBorders>
            <w:vAlign w:val="center"/>
          </w:tcPr>
          <w:p w14:paraId="2ADDFE60" w14:textId="77777777" w:rsidR="00877B2F" w:rsidRPr="008E1D60" w:rsidRDefault="00877B2F" w:rsidP="00877B2F">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94</w:t>
            </w:r>
          </w:p>
        </w:tc>
        <w:tc>
          <w:tcPr>
            <w:tcW w:w="899" w:type="pct"/>
            <w:tcBorders>
              <w:top w:val="single" w:sz="4" w:space="0" w:color="auto"/>
              <w:left w:val="single" w:sz="4" w:space="0" w:color="auto"/>
              <w:bottom w:val="single" w:sz="4" w:space="0" w:color="auto"/>
              <w:right w:val="single" w:sz="4" w:space="0" w:color="auto"/>
            </w:tcBorders>
            <w:vAlign w:val="center"/>
          </w:tcPr>
          <w:p w14:paraId="217460EC"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108</w:t>
            </w:r>
          </w:p>
        </w:tc>
        <w:tc>
          <w:tcPr>
            <w:tcW w:w="899" w:type="pct"/>
            <w:tcBorders>
              <w:top w:val="single" w:sz="4" w:space="0" w:color="auto"/>
              <w:left w:val="single" w:sz="4" w:space="0" w:color="auto"/>
              <w:bottom w:val="single" w:sz="4" w:space="0" w:color="auto"/>
              <w:right w:val="single" w:sz="4" w:space="0" w:color="auto"/>
            </w:tcBorders>
            <w:vAlign w:val="bottom"/>
          </w:tcPr>
          <w:p w14:paraId="08B7127B" w14:textId="77777777" w:rsidR="00877B2F" w:rsidRPr="00B30F0A" w:rsidRDefault="00877B2F" w:rsidP="00877B2F">
            <w:pPr>
              <w:spacing w:after="0" w:line="200" w:lineRule="exact"/>
              <w:ind w:left="-57" w:right="-57"/>
              <w:jc w:val="center"/>
              <w:rPr>
                <w:rFonts w:ascii="Times New Roman" w:eastAsia="Times New Roman" w:hAnsi="Times New Roman" w:cs="Times New Roman"/>
                <w:sz w:val="24"/>
                <w:szCs w:val="24"/>
              </w:rPr>
            </w:pPr>
            <w:r w:rsidRPr="00B30F0A">
              <w:rPr>
                <w:rFonts w:ascii="Times New Roman" w:eastAsia="Times New Roman" w:hAnsi="Times New Roman" w:cs="Times New Roman"/>
                <w:sz w:val="24"/>
                <w:szCs w:val="24"/>
              </w:rPr>
              <w:t>78</w:t>
            </w:r>
          </w:p>
        </w:tc>
      </w:tr>
      <w:tr w:rsidR="00877B2F" w:rsidRPr="008E1D60" w14:paraId="7E040B4C" w14:textId="77777777" w:rsidTr="004A6045">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04F675BB"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Забайкальский край</w:t>
            </w:r>
          </w:p>
        </w:tc>
        <w:tc>
          <w:tcPr>
            <w:tcW w:w="899" w:type="pct"/>
            <w:tcBorders>
              <w:top w:val="single" w:sz="4" w:space="0" w:color="auto"/>
              <w:left w:val="single" w:sz="4" w:space="0" w:color="auto"/>
              <w:bottom w:val="single" w:sz="4" w:space="0" w:color="auto"/>
              <w:right w:val="single" w:sz="4" w:space="0" w:color="auto"/>
            </w:tcBorders>
            <w:vAlign w:val="center"/>
          </w:tcPr>
          <w:p w14:paraId="7E0F3BC1" w14:textId="77777777" w:rsidR="00877B2F" w:rsidRPr="008E1D60" w:rsidRDefault="00877B2F" w:rsidP="00877B2F">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73</w:t>
            </w:r>
          </w:p>
        </w:tc>
        <w:tc>
          <w:tcPr>
            <w:tcW w:w="899" w:type="pct"/>
            <w:tcBorders>
              <w:top w:val="single" w:sz="4" w:space="0" w:color="auto"/>
              <w:left w:val="single" w:sz="4" w:space="0" w:color="auto"/>
              <w:bottom w:val="single" w:sz="4" w:space="0" w:color="auto"/>
              <w:right w:val="single" w:sz="4" w:space="0" w:color="auto"/>
            </w:tcBorders>
            <w:vAlign w:val="center"/>
          </w:tcPr>
          <w:p w14:paraId="29745D7D"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89</w:t>
            </w:r>
          </w:p>
        </w:tc>
        <w:tc>
          <w:tcPr>
            <w:tcW w:w="899" w:type="pct"/>
            <w:tcBorders>
              <w:top w:val="single" w:sz="4" w:space="0" w:color="auto"/>
              <w:left w:val="single" w:sz="4" w:space="0" w:color="auto"/>
              <w:bottom w:val="single" w:sz="4" w:space="0" w:color="auto"/>
              <w:right w:val="single" w:sz="4" w:space="0" w:color="auto"/>
            </w:tcBorders>
            <w:vAlign w:val="bottom"/>
          </w:tcPr>
          <w:p w14:paraId="70336058" w14:textId="77777777" w:rsidR="00877B2F" w:rsidRPr="00B30F0A" w:rsidRDefault="00877B2F" w:rsidP="00877B2F">
            <w:pPr>
              <w:spacing w:after="0" w:line="200" w:lineRule="exact"/>
              <w:ind w:left="-57" w:right="-57"/>
              <w:jc w:val="center"/>
              <w:rPr>
                <w:rFonts w:ascii="Times New Roman" w:eastAsia="Times New Roman" w:hAnsi="Times New Roman" w:cs="Times New Roman"/>
                <w:sz w:val="24"/>
                <w:szCs w:val="24"/>
              </w:rPr>
            </w:pPr>
            <w:r w:rsidRPr="00B30F0A">
              <w:rPr>
                <w:rFonts w:ascii="Times New Roman" w:eastAsia="Times New Roman" w:hAnsi="Times New Roman" w:cs="Times New Roman"/>
                <w:sz w:val="24"/>
                <w:szCs w:val="24"/>
              </w:rPr>
              <w:t>61</w:t>
            </w:r>
          </w:p>
        </w:tc>
      </w:tr>
      <w:tr w:rsidR="00877B2F" w:rsidRPr="008E1D60" w14:paraId="49C4A9A7" w14:textId="77777777" w:rsidTr="004A6045">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7C326235"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Камчатский край</w:t>
            </w:r>
          </w:p>
        </w:tc>
        <w:tc>
          <w:tcPr>
            <w:tcW w:w="899" w:type="pct"/>
            <w:tcBorders>
              <w:top w:val="single" w:sz="4" w:space="0" w:color="auto"/>
              <w:left w:val="single" w:sz="4" w:space="0" w:color="auto"/>
              <w:bottom w:val="single" w:sz="4" w:space="0" w:color="auto"/>
              <w:right w:val="single" w:sz="4" w:space="0" w:color="auto"/>
            </w:tcBorders>
            <w:vAlign w:val="center"/>
          </w:tcPr>
          <w:p w14:paraId="33EE9858" w14:textId="77777777" w:rsidR="00877B2F" w:rsidRPr="008E1D60" w:rsidRDefault="00877B2F" w:rsidP="00877B2F">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7</w:t>
            </w:r>
          </w:p>
        </w:tc>
        <w:tc>
          <w:tcPr>
            <w:tcW w:w="899" w:type="pct"/>
            <w:tcBorders>
              <w:top w:val="single" w:sz="4" w:space="0" w:color="auto"/>
              <w:left w:val="single" w:sz="4" w:space="0" w:color="auto"/>
              <w:bottom w:val="single" w:sz="4" w:space="0" w:color="auto"/>
              <w:right w:val="single" w:sz="4" w:space="0" w:color="auto"/>
            </w:tcBorders>
            <w:vAlign w:val="center"/>
          </w:tcPr>
          <w:p w14:paraId="63574301"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9</w:t>
            </w:r>
          </w:p>
        </w:tc>
        <w:tc>
          <w:tcPr>
            <w:tcW w:w="899" w:type="pct"/>
            <w:tcBorders>
              <w:top w:val="single" w:sz="4" w:space="0" w:color="auto"/>
              <w:left w:val="single" w:sz="4" w:space="0" w:color="auto"/>
              <w:bottom w:val="single" w:sz="4" w:space="0" w:color="auto"/>
              <w:right w:val="single" w:sz="4" w:space="0" w:color="auto"/>
            </w:tcBorders>
            <w:vAlign w:val="bottom"/>
          </w:tcPr>
          <w:p w14:paraId="25B271CE" w14:textId="77777777" w:rsidR="00877B2F" w:rsidRPr="00B30F0A" w:rsidRDefault="00877B2F" w:rsidP="00877B2F">
            <w:pPr>
              <w:spacing w:after="0" w:line="200" w:lineRule="exact"/>
              <w:ind w:left="-57" w:right="-57"/>
              <w:jc w:val="center"/>
              <w:rPr>
                <w:rFonts w:ascii="Times New Roman" w:eastAsia="Times New Roman" w:hAnsi="Times New Roman" w:cs="Times New Roman"/>
                <w:sz w:val="24"/>
                <w:szCs w:val="24"/>
              </w:rPr>
            </w:pPr>
            <w:r w:rsidRPr="00B30F0A">
              <w:rPr>
                <w:rFonts w:ascii="Times New Roman" w:eastAsia="Times New Roman" w:hAnsi="Times New Roman" w:cs="Times New Roman"/>
                <w:sz w:val="24"/>
                <w:szCs w:val="24"/>
              </w:rPr>
              <w:t>6</w:t>
            </w:r>
          </w:p>
        </w:tc>
      </w:tr>
      <w:tr w:rsidR="00877B2F" w:rsidRPr="008E1D60" w14:paraId="2CE24328" w14:textId="77777777" w:rsidTr="004A6045">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18AD3FE4"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Приморский край</w:t>
            </w:r>
          </w:p>
        </w:tc>
        <w:tc>
          <w:tcPr>
            <w:tcW w:w="899" w:type="pct"/>
            <w:tcBorders>
              <w:top w:val="single" w:sz="4" w:space="0" w:color="auto"/>
              <w:left w:val="single" w:sz="4" w:space="0" w:color="auto"/>
              <w:bottom w:val="single" w:sz="4" w:space="0" w:color="auto"/>
              <w:right w:val="single" w:sz="4" w:space="0" w:color="auto"/>
            </w:tcBorders>
            <w:vAlign w:val="center"/>
          </w:tcPr>
          <w:p w14:paraId="4978C799" w14:textId="77777777" w:rsidR="00877B2F" w:rsidRPr="008E1D60" w:rsidRDefault="00877B2F" w:rsidP="00877B2F">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41</w:t>
            </w:r>
          </w:p>
        </w:tc>
        <w:tc>
          <w:tcPr>
            <w:tcW w:w="899" w:type="pct"/>
            <w:tcBorders>
              <w:top w:val="single" w:sz="4" w:space="0" w:color="auto"/>
              <w:left w:val="single" w:sz="4" w:space="0" w:color="auto"/>
              <w:bottom w:val="single" w:sz="4" w:space="0" w:color="auto"/>
              <w:right w:val="single" w:sz="4" w:space="0" w:color="auto"/>
            </w:tcBorders>
            <w:vAlign w:val="center"/>
          </w:tcPr>
          <w:p w14:paraId="398E1425"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43</w:t>
            </w:r>
          </w:p>
        </w:tc>
        <w:tc>
          <w:tcPr>
            <w:tcW w:w="899" w:type="pct"/>
            <w:tcBorders>
              <w:top w:val="single" w:sz="4" w:space="0" w:color="auto"/>
              <w:left w:val="single" w:sz="4" w:space="0" w:color="auto"/>
              <w:bottom w:val="single" w:sz="4" w:space="0" w:color="auto"/>
              <w:right w:val="single" w:sz="4" w:space="0" w:color="auto"/>
            </w:tcBorders>
            <w:vAlign w:val="bottom"/>
          </w:tcPr>
          <w:p w14:paraId="1AA7A7EF" w14:textId="77777777" w:rsidR="00877B2F" w:rsidRPr="00B30F0A" w:rsidRDefault="00877B2F" w:rsidP="00877B2F">
            <w:pPr>
              <w:spacing w:after="0" w:line="200" w:lineRule="exact"/>
              <w:ind w:left="-57" w:right="-57"/>
              <w:jc w:val="center"/>
              <w:rPr>
                <w:rFonts w:ascii="Times New Roman" w:eastAsia="Times New Roman" w:hAnsi="Times New Roman" w:cs="Times New Roman"/>
                <w:sz w:val="24"/>
                <w:szCs w:val="24"/>
              </w:rPr>
            </w:pPr>
            <w:r w:rsidRPr="00B30F0A">
              <w:rPr>
                <w:rFonts w:ascii="Times New Roman" w:eastAsia="Times New Roman" w:hAnsi="Times New Roman" w:cs="Times New Roman"/>
                <w:sz w:val="24"/>
                <w:szCs w:val="24"/>
              </w:rPr>
              <w:t>47</w:t>
            </w:r>
          </w:p>
        </w:tc>
      </w:tr>
      <w:tr w:rsidR="00877B2F" w:rsidRPr="008E1D60" w14:paraId="073C785C" w14:textId="77777777" w:rsidTr="004A6045">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7F372C5F"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Хабаровский край</w:t>
            </w:r>
          </w:p>
        </w:tc>
        <w:tc>
          <w:tcPr>
            <w:tcW w:w="899" w:type="pct"/>
            <w:tcBorders>
              <w:top w:val="single" w:sz="4" w:space="0" w:color="auto"/>
              <w:left w:val="single" w:sz="4" w:space="0" w:color="auto"/>
              <w:bottom w:val="single" w:sz="4" w:space="0" w:color="auto"/>
              <w:right w:val="single" w:sz="4" w:space="0" w:color="auto"/>
            </w:tcBorders>
            <w:vAlign w:val="center"/>
          </w:tcPr>
          <w:p w14:paraId="02AE265C" w14:textId="77777777" w:rsidR="00877B2F" w:rsidRPr="008E1D60" w:rsidRDefault="00877B2F" w:rsidP="00877B2F">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79</w:t>
            </w:r>
          </w:p>
        </w:tc>
        <w:tc>
          <w:tcPr>
            <w:tcW w:w="899" w:type="pct"/>
            <w:tcBorders>
              <w:top w:val="single" w:sz="4" w:space="0" w:color="auto"/>
              <w:left w:val="single" w:sz="4" w:space="0" w:color="auto"/>
              <w:bottom w:val="single" w:sz="4" w:space="0" w:color="auto"/>
              <w:right w:val="single" w:sz="4" w:space="0" w:color="auto"/>
            </w:tcBorders>
            <w:vAlign w:val="center"/>
          </w:tcPr>
          <w:p w14:paraId="6E0255FC"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88</w:t>
            </w:r>
          </w:p>
        </w:tc>
        <w:tc>
          <w:tcPr>
            <w:tcW w:w="899" w:type="pct"/>
            <w:tcBorders>
              <w:top w:val="single" w:sz="4" w:space="0" w:color="auto"/>
              <w:left w:val="single" w:sz="4" w:space="0" w:color="auto"/>
              <w:bottom w:val="single" w:sz="4" w:space="0" w:color="auto"/>
              <w:right w:val="single" w:sz="4" w:space="0" w:color="auto"/>
            </w:tcBorders>
            <w:vAlign w:val="bottom"/>
          </w:tcPr>
          <w:p w14:paraId="6AA99816" w14:textId="77777777" w:rsidR="00877B2F" w:rsidRPr="00B30F0A" w:rsidRDefault="00877B2F" w:rsidP="00877B2F">
            <w:pPr>
              <w:spacing w:after="0" w:line="200" w:lineRule="exact"/>
              <w:ind w:left="-57" w:right="-57"/>
              <w:jc w:val="center"/>
              <w:rPr>
                <w:rFonts w:ascii="Times New Roman" w:eastAsia="Times New Roman" w:hAnsi="Times New Roman" w:cs="Times New Roman"/>
                <w:sz w:val="24"/>
                <w:szCs w:val="24"/>
              </w:rPr>
            </w:pPr>
            <w:r w:rsidRPr="00B30F0A">
              <w:rPr>
                <w:rFonts w:ascii="Times New Roman" w:eastAsia="Times New Roman" w:hAnsi="Times New Roman" w:cs="Times New Roman"/>
                <w:sz w:val="24"/>
                <w:szCs w:val="24"/>
              </w:rPr>
              <w:t>66</w:t>
            </w:r>
          </w:p>
        </w:tc>
      </w:tr>
      <w:tr w:rsidR="00877B2F" w:rsidRPr="008E1D60" w14:paraId="5E55C413" w14:textId="77777777" w:rsidTr="004A6045">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35E21845"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Амурская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3DC9E768" w14:textId="77777777" w:rsidR="00877B2F" w:rsidRPr="008E1D60" w:rsidRDefault="00877B2F" w:rsidP="00877B2F">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47</w:t>
            </w:r>
          </w:p>
        </w:tc>
        <w:tc>
          <w:tcPr>
            <w:tcW w:w="899" w:type="pct"/>
            <w:tcBorders>
              <w:top w:val="single" w:sz="4" w:space="0" w:color="auto"/>
              <w:left w:val="single" w:sz="4" w:space="0" w:color="auto"/>
              <w:bottom w:val="single" w:sz="4" w:space="0" w:color="auto"/>
              <w:right w:val="single" w:sz="4" w:space="0" w:color="auto"/>
            </w:tcBorders>
            <w:vAlign w:val="center"/>
          </w:tcPr>
          <w:p w14:paraId="05BF608B"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51</w:t>
            </w:r>
          </w:p>
        </w:tc>
        <w:tc>
          <w:tcPr>
            <w:tcW w:w="899" w:type="pct"/>
            <w:tcBorders>
              <w:top w:val="single" w:sz="4" w:space="0" w:color="auto"/>
              <w:left w:val="single" w:sz="4" w:space="0" w:color="auto"/>
              <w:bottom w:val="single" w:sz="4" w:space="0" w:color="auto"/>
              <w:right w:val="single" w:sz="4" w:space="0" w:color="auto"/>
            </w:tcBorders>
            <w:vAlign w:val="bottom"/>
          </w:tcPr>
          <w:p w14:paraId="19E76D38" w14:textId="77777777" w:rsidR="00877B2F" w:rsidRPr="00B30F0A" w:rsidRDefault="00877B2F" w:rsidP="00877B2F">
            <w:pPr>
              <w:spacing w:after="0" w:line="200" w:lineRule="exact"/>
              <w:ind w:left="-57" w:right="-57"/>
              <w:jc w:val="center"/>
              <w:rPr>
                <w:rFonts w:ascii="Times New Roman" w:eastAsia="Times New Roman" w:hAnsi="Times New Roman" w:cs="Times New Roman"/>
                <w:sz w:val="24"/>
                <w:szCs w:val="24"/>
              </w:rPr>
            </w:pPr>
            <w:r w:rsidRPr="00B30F0A">
              <w:rPr>
                <w:rFonts w:ascii="Times New Roman" w:eastAsia="Times New Roman" w:hAnsi="Times New Roman" w:cs="Times New Roman"/>
                <w:sz w:val="24"/>
                <w:szCs w:val="24"/>
              </w:rPr>
              <w:t>33</w:t>
            </w:r>
          </w:p>
        </w:tc>
      </w:tr>
      <w:tr w:rsidR="00877B2F" w:rsidRPr="008E1D60" w14:paraId="4FF00A60" w14:textId="77777777" w:rsidTr="004A6045">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1B4FF8BA"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Магаданская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6605B9A8" w14:textId="77777777" w:rsidR="00877B2F" w:rsidRPr="008E1D60" w:rsidRDefault="00877B2F" w:rsidP="00877B2F">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5</w:t>
            </w:r>
          </w:p>
        </w:tc>
        <w:tc>
          <w:tcPr>
            <w:tcW w:w="899" w:type="pct"/>
            <w:tcBorders>
              <w:top w:val="single" w:sz="4" w:space="0" w:color="auto"/>
              <w:left w:val="single" w:sz="4" w:space="0" w:color="auto"/>
              <w:bottom w:val="single" w:sz="4" w:space="0" w:color="auto"/>
              <w:right w:val="single" w:sz="4" w:space="0" w:color="auto"/>
            </w:tcBorders>
            <w:vAlign w:val="center"/>
          </w:tcPr>
          <w:p w14:paraId="04B043D1"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6</w:t>
            </w:r>
          </w:p>
        </w:tc>
        <w:tc>
          <w:tcPr>
            <w:tcW w:w="899" w:type="pct"/>
            <w:tcBorders>
              <w:top w:val="single" w:sz="4" w:space="0" w:color="auto"/>
              <w:left w:val="single" w:sz="4" w:space="0" w:color="auto"/>
              <w:bottom w:val="single" w:sz="4" w:space="0" w:color="auto"/>
              <w:right w:val="single" w:sz="4" w:space="0" w:color="auto"/>
            </w:tcBorders>
            <w:vAlign w:val="bottom"/>
          </w:tcPr>
          <w:p w14:paraId="79265DF9" w14:textId="77777777" w:rsidR="00877B2F" w:rsidRPr="00B30F0A" w:rsidRDefault="00877B2F" w:rsidP="00877B2F">
            <w:pPr>
              <w:spacing w:after="0" w:line="200" w:lineRule="exact"/>
              <w:ind w:left="-57" w:right="-57"/>
              <w:jc w:val="center"/>
              <w:rPr>
                <w:rFonts w:ascii="Times New Roman" w:eastAsia="Times New Roman" w:hAnsi="Times New Roman" w:cs="Times New Roman"/>
                <w:sz w:val="24"/>
                <w:szCs w:val="24"/>
              </w:rPr>
            </w:pPr>
            <w:r w:rsidRPr="00B30F0A">
              <w:rPr>
                <w:rFonts w:ascii="Times New Roman" w:eastAsia="Times New Roman" w:hAnsi="Times New Roman" w:cs="Times New Roman"/>
                <w:sz w:val="24"/>
                <w:szCs w:val="24"/>
              </w:rPr>
              <w:t>4</w:t>
            </w:r>
          </w:p>
        </w:tc>
      </w:tr>
      <w:tr w:rsidR="00877B2F" w:rsidRPr="008E1D60" w14:paraId="608038C9" w14:textId="77777777" w:rsidTr="004A6045">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46CAD486"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Сахалинская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6E47F5BD" w14:textId="77777777" w:rsidR="00877B2F" w:rsidRPr="008E1D60" w:rsidRDefault="00877B2F" w:rsidP="00877B2F">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26</w:t>
            </w:r>
          </w:p>
        </w:tc>
        <w:tc>
          <w:tcPr>
            <w:tcW w:w="899" w:type="pct"/>
            <w:tcBorders>
              <w:top w:val="single" w:sz="4" w:space="0" w:color="auto"/>
              <w:left w:val="single" w:sz="4" w:space="0" w:color="auto"/>
              <w:bottom w:val="single" w:sz="4" w:space="0" w:color="auto"/>
              <w:right w:val="single" w:sz="4" w:space="0" w:color="auto"/>
            </w:tcBorders>
            <w:vAlign w:val="center"/>
          </w:tcPr>
          <w:p w14:paraId="59AB446D"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23</w:t>
            </w:r>
          </w:p>
        </w:tc>
        <w:tc>
          <w:tcPr>
            <w:tcW w:w="899" w:type="pct"/>
            <w:tcBorders>
              <w:top w:val="single" w:sz="4" w:space="0" w:color="auto"/>
              <w:left w:val="single" w:sz="4" w:space="0" w:color="auto"/>
              <w:bottom w:val="single" w:sz="4" w:space="0" w:color="auto"/>
              <w:right w:val="single" w:sz="4" w:space="0" w:color="auto"/>
            </w:tcBorders>
            <w:vAlign w:val="bottom"/>
          </w:tcPr>
          <w:p w14:paraId="1A6CF1AD" w14:textId="77777777" w:rsidR="00877B2F" w:rsidRPr="00B30F0A" w:rsidRDefault="00877B2F" w:rsidP="00877B2F">
            <w:pPr>
              <w:spacing w:after="0" w:line="200" w:lineRule="exact"/>
              <w:ind w:left="-57" w:right="-57"/>
              <w:jc w:val="center"/>
              <w:rPr>
                <w:rFonts w:ascii="Times New Roman" w:eastAsia="Times New Roman" w:hAnsi="Times New Roman" w:cs="Times New Roman"/>
                <w:sz w:val="24"/>
                <w:szCs w:val="24"/>
              </w:rPr>
            </w:pPr>
            <w:r w:rsidRPr="00B30F0A">
              <w:rPr>
                <w:rFonts w:ascii="Times New Roman" w:eastAsia="Times New Roman" w:hAnsi="Times New Roman" w:cs="Times New Roman"/>
                <w:sz w:val="24"/>
                <w:szCs w:val="24"/>
              </w:rPr>
              <w:t>21</w:t>
            </w:r>
          </w:p>
        </w:tc>
      </w:tr>
      <w:tr w:rsidR="00877B2F" w:rsidRPr="008E1D60" w14:paraId="7BD6DB87" w14:textId="77777777" w:rsidTr="004A6045">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320F670A"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Еврейская авт. область</w:t>
            </w:r>
          </w:p>
        </w:tc>
        <w:tc>
          <w:tcPr>
            <w:tcW w:w="899" w:type="pct"/>
            <w:tcBorders>
              <w:top w:val="single" w:sz="4" w:space="0" w:color="auto"/>
              <w:left w:val="single" w:sz="4" w:space="0" w:color="auto"/>
              <w:bottom w:val="single" w:sz="4" w:space="0" w:color="auto"/>
              <w:right w:val="single" w:sz="4" w:space="0" w:color="auto"/>
            </w:tcBorders>
            <w:vAlign w:val="center"/>
          </w:tcPr>
          <w:p w14:paraId="13F0B351" w14:textId="77777777" w:rsidR="00877B2F" w:rsidRPr="008E1D60" w:rsidRDefault="00877B2F" w:rsidP="00877B2F">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9</w:t>
            </w:r>
          </w:p>
        </w:tc>
        <w:tc>
          <w:tcPr>
            <w:tcW w:w="899" w:type="pct"/>
            <w:tcBorders>
              <w:top w:val="single" w:sz="4" w:space="0" w:color="auto"/>
              <w:left w:val="single" w:sz="4" w:space="0" w:color="auto"/>
              <w:bottom w:val="single" w:sz="4" w:space="0" w:color="auto"/>
              <w:right w:val="single" w:sz="4" w:space="0" w:color="auto"/>
            </w:tcBorders>
            <w:vAlign w:val="center"/>
          </w:tcPr>
          <w:p w14:paraId="141BE53F"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11</w:t>
            </w:r>
          </w:p>
        </w:tc>
        <w:tc>
          <w:tcPr>
            <w:tcW w:w="899" w:type="pct"/>
            <w:tcBorders>
              <w:top w:val="single" w:sz="4" w:space="0" w:color="auto"/>
              <w:left w:val="single" w:sz="4" w:space="0" w:color="auto"/>
              <w:bottom w:val="single" w:sz="4" w:space="0" w:color="auto"/>
              <w:right w:val="single" w:sz="4" w:space="0" w:color="auto"/>
            </w:tcBorders>
            <w:vAlign w:val="bottom"/>
          </w:tcPr>
          <w:p w14:paraId="0D366BEB" w14:textId="77777777" w:rsidR="00877B2F" w:rsidRPr="00B30F0A" w:rsidRDefault="00877B2F" w:rsidP="00877B2F">
            <w:pPr>
              <w:spacing w:after="0" w:line="200" w:lineRule="exact"/>
              <w:ind w:left="-57" w:right="-57"/>
              <w:jc w:val="center"/>
              <w:rPr>
                <w:rFonts w:ascii="Times New Roman" w:eastAsia="Times New Roman" w:hAnsi="Times New Roman" w:cs="Times New Roman"/>
                <w:sz w:val="24"/>
                <w:szCs w:val="24"/>
              </w:rPr>
            </w:pPr>
            <w:r w:rsidRPr="00B30F0A">
              <w:rPr>
                <w:rFonts w:ascii="Times New Roman" w:eastAsia="Times New Roman" w:hAnsi="Times New Roman" w:cs="Times New Roman"/>
                <w:sz w:val="24"/>
                <w:szCs w:val="24"/>
              </w:rPr>
              <w:t>9</w:t>
            </w:r>
          </w:p>
        </w:tc>
      </w:tr>
      <w:tr w:rsidR="00877B2F" w:rsidRPr="008E1D60" w14:paraId="3D12E71E" w14:textId="77777777" w:rsidTr="004A6045">
        <w:trPr>
          <w:jc w:val="center"/>
        </w:trPr>
        <w:tc>
          <w:tcPr>
            <w:tcW w:w="2303" w:type="pct"/>
            <w:tcBorders>
              <w:top w:val="single" w:sz="4" w:space="0" w:color="auto"/>
              <w:left w:val="single" w:sz="4" w:space="0" w:color="auto"/>
              <w:bottom w:val="single" w:sz="4" w:space="0" w:color="auto"/>
              <w:right w:val="single" w:sz="4" w:space="0" w:color="auto"/>
            </w:tcBorders>
            <w:vAlign w:val="bottom"/>
          </w:tcPr>
          <w:p w14:paraId="7CB0BCFB" w14:textId="77777777" w:rsidR="00877B2F" w:rsidRPr="008E1D60" w:rsidRDefault="00877B2F" w:rsidP="00877B2F">
            <w:pPr>
              <w:spacing w:after="0" w:line="240" w:lineRule="auto"/>
              <w:ind w:left="57"/>
              <w:rPr>
                <w:rFonts w:ascii="Times New Roman" w:eastAsia="Arial Unicode MS" w:hAnsi="Times New Roman" w:cs="Times New Roman"/>
                <w:sz w:val="24"/>
                <w:szCs w:val="24"/>
                <w:lang w:eastAsia="ru-RU"/>
              </w:rPr>
            </w:pPr>
            <w:r w:rsidRPr="008E1D60">
              <w:rPr>
                <w:rFonts w:ascii="Times New Roman" w:eastAsia="Arial Unicode MS" w:hAnsi="Times New Roman" w:cs="Times New Roman"/>
                <w:sz w:val="24"/>
                <w:szCs w:val="24"/>
                <w:lang w:eastAsia="ru-RU"/>
              </w:rPr>
              <w:t>Чукотский авт. округ</w:t>
            </w:r>
          </w:p>
        </w:tc>
        <w:tc>
          <w:tcPr>
            <w:tcW w:w="899" w:type="pct"/>
            <w:tcBorders>
              <w:top w:val="single" w:sz="4" w:space="0" w:color="auto"/>
              <w:left w:val="single" w:sz="4" w:space="0" w:color="auto"/>
              <w:bottom w:val="single" w:sz="4" w:space="0" w:color="auto"/>
              <w:right w:val="single" w:sz="4" w:space="0" w:color="auto"/>
            </w:tcBorders>
            <w:vAlign w:val="center"/>
          </w:tcPr>
          <w:p w14:paraId="234EDB9A" w14:textId="77777777" w:rsidR="00877B2F" w:rsidRPr="008E1D60" w:rsidRDefault="00877B2F" w:rsidP="00877B2F">
            <w:pPr>
              <w:spacing w:after="0" w:line="200" w:lineRule="exact"/>
              <w:ind w:left="-57" w:right="-57"/>
              <w:jc w:val="center"/>
              <w:rPr>
                <w:rFonts w:ascii="Times New Roman" w:eastAsia="Times New Roman" w:hAnsi="Times New Roman" w:cs="Times New Roman"/>
                <w:sz w:val="24"/>
                <w:szCs w:val="24"/>
                <w:lang w:eastAsia="ru-RU"/>
              </w:rPr>
            </w:pPr>
            <w:r w:rsidRPr="008E1D60">
              <w:rPr>
                <w:rFonts w:ascii="Times New Roman" w:eastAsia="Times New Roman" w:hAnsi="Times New Roman" w:cs="Times New Roman"/>
                <w:sz w:val="24"/>
                <w:szCs w:val="24"/>
                <w:lang w:eastAsia="ru-RU"/>
              </w:rPr>
              <w:t>4</w:t>
            </w:r>
          </w:p>
        </w:tc>
        <w:tc>
          <w:tcPr>
            <w:tcW w:w="899" w:type="pct"/>
            <w:tcBorders>
              <w:top w:val="single" w:sz="4" w:space="0" w:color="auto"/>
              <w:left w:val="single" w:sz="4" w:space="0" w:color="auto"/>
              <w:bottom w:val="single" w:sz="4" w:space="0" w:color="auto"/>
              <w:right w:val="single" w:sz="4" w:space="0" w:color="auto"/>
            </w:tcBorders>
            <w:vAlign w:val="center"/>
          </w:tcPr>
          <w:p w14:paraId="234B6482" w14:textId="77777777" w:rsidR="00877B2F" w:rsidRPr="008E1D60" w:rsidRDefault="00877B2F" w:rsidP="00877B2F">
            <w:pPr>
              <w:spacing w:after="0" w:line="240" w:lineRule="auto"/>
              <w:ind w:left="-57" w:right="567"/>
              <w:jc w:val="right"/>
              <w:rPr>
                <w:rFonts w:ascii="Times New Roman" w:hAnsi="Times New Roman"/>
              </w:rPr>
            </w:pPr>
            <w:r w:rsidRPr="008E1D60">
              <w:rPr>
                <w:rFonts w:ascii="Times New Roman" w:hAnsi="Times New Roman"/>
              </w:rPr>
              <w:t>4</w:t>
            </w:r>
          </w:p>
        </w:tc>
        <w:tc>
          <w:tcPr>
            <w:tcW w:w="899" w:type="pct"/>
            <w:tcBorders>
              <w:top w:val="single" w:sz="4" w:space="0" w:color="auto"/>
              <w:left w:val="single" w:sz="4" w:space="0" w:color="auto"/>
              <w:bottom w:val="single" w:sz="4" w:space="0" w:color="auto"/>
              <w:right w:val="single" w:sz="4" w:space="0" w:color="auto"/>
            </w:tcBorders>
            <w:vAlign w:val="bottom"/>
          </w:tcPr>
          <w:p w14:paraId="1E5BA698" w14:textId="77777777" w:rsidR="00877B2F" w:rsidRPr="00B30F0A" w:rsidRDefault="00877B2F" w:rsidP="00877B2F">
            <w:pPr>
              <w:spacing w:after="0" w:line="200" w:lineRule="exact"/>
              <w:ind w:left="-57" w:right="-57"/>
              <w:jc w:val="center"/>
              <w:rPr>
                <w:rFonts w:ascii="Times New Roman" w:eastAsia="Times New Roman" w:hAnsi="Times New Roman" w:cs="Times New Roman"/>
                <w:sz w:val="24"/>
                <w:szCs w:val="24"/>
              </w:rPr>
            </w:pPr>
            <w:r w:rsidRPr="00B30F0A">
              <w:rPr>
                <w:rFonts w:ascii="Times New Roman" w:eastAsia="Times New Roman" w:hAnsi="Times New Roman" w:cs="Times New Roman"/>
                <w:sz w:val="24"/>
                <w:szCs w:val="24"/>
              </w:rPr>
              <w:t>3</w:t>
            </w:r>
          </w:p>
        </w:tc>
      </w:tr>
    </w:tbl>
    <w:p w14:paraId="193931D5" w14:textId="77777777" w:rsidR="00D03A4F" w:rsidRPr="008E1D60" w:rsidRDefault="00D03A4F" w:rsidP="00D03A4F">
      <w:pPr>
        <w:spacing w:before="120" w:after="0" w:line="240" w:lineRule="auto"/>
        <w:ind w:left="113"/>
        <w:rPr>
          <w:rFonts w:ascii="Times New Roman" w:eastAsia="Times New Roman" w:hAnsi="Times New Roman" w:cs="Times New Roman"/>
          <w:sz w:val="20"/>
          <w:szCs w:val="20"/>
          <w:lang w:eastAsia="ru-RU"/>
        </w:rPr>
      </w:pPr>
      <w:r w:rsidRPr="008E1D60">
        <w:rPr>
          <w:rFonts w:ascii="Times New Roman" w:eastAsia="Times New Roman" w:hAnsi="Times New Roman" w:cs="Times New Roman"/>
          <w:sz w:val="20"/>
          <w:szCs w:val="20"/>
          <w:lang w:eastAsia="ru-RU"/>
        </w:rPr>
        <w:t xml:space="preserve">1) </w:t>
      </w:r>
      <w:r w:rsidR="009E3C17">
        <w:rPr>
          <w:rFonts w:ascii="Times New Roman" w:eastAsia="Times New Roman" w:hAnsi="Times New Roman" w:cs="Times New Roman"/>
          <w:sz w:val="20"/>
          <w:szCs w:val="20"/>
          <w:lang w:eastAsia="ru-RU"/>
        </w:rPr>
        <w:t>В итоговой строке незначительные расхождения между итогом и суммой слагаемых объясняются округлением данных</w:t>
      </w:r>
      <w:r w:rsidRPr="008E1D60">
        <w:rPr>
          <w:rFonts w:ascii="Times New Roman" w:eastAsia="Times New Roman" w:hAnsi="Times New Roman" w:cs="Times New Roman"/>
          <w:sz w:val="20"/>
          <w:szCs w:val="20"/>
          <w:lang w:eastAsia="ru-RU"/>
        </w:rPr>
        <w:t>.</w:t>
      </w:r>
    </w:p>
    <w:p w14:paraId="42397A3E" w14:textId="77777777"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14:paraId="32136967" w14:textId="77777777"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14:paraId="2DBF55D5" w14:textId="77777777" w:rsidR="001903A7" w:rsidRPr="00BD5A90" w:rsidRDefault="001903A7" w:rsidP="00D03A4F">
      <w:pPr>
        <w:spacing w:after="0" w:line="240" w:lineRule="auto"/>
        <w:rPr>
          <w:rFonts w:ascii="Times New Roman" w:eastAsia="Times New Roman" w:hAnsi="Times New Roman" w:cs="Times New Roman"/>
          <w:sz w:val="26"/>
          <w:szCs w:val="26"/>
          <w:highlight w:val="yellow"/>
          <w:lang w:eastAsia="ru-RU"/>
        </w:rPr>
      </w:pPr>
    </w:p>
    <w:p w14:paraId="204C95D0" w14:textId="77777777" w:rsidR="00D03A4F" w:rsidRPr="00414E7D" w:rsidRDefault="00D03A4F" w:rsidP="00D03A4F">
      <w:pPr>
        <w:spacing w:after="0" w:line="240" w:lineRule="auto"/>
        <w:jc w:val="right"/>
        <w:rPr>
          <w:rFonts w:ascii="Times New Roman" w:eastAsia="Times New Roman" w:hAnsi="Times New Roman" w:cs="Times New Roman"/>
          <w:sz w:val="26"/>
          <w:szCs w:val="26"/>
          <w:lang w:eastAsia="ru-RU"/>
        </w:rPr>
      </w:pPr>
      <w:r w:rsidRPr="00414E7D">
        <w:rPr>
          <w:rFonts w:ascii="Times New Roman" w:eastAsia="Times New Roman" w:hAnsi="Times New Roman" w:cs="Times New Roman"/>
          <w:sz w:val="26"/>
          <w:szCs w:val="26"/>
          <w:lang w:eastAsia="ru-RU"/>
        </w:rPr>
        <w:t xml:space="preserve">Таблица </w:t>
      </w:r>
      <w:r w:rsidR="008737BB">
        <w:rPr>
          <w:rFonts w:ascii="Times New Roman" w:eastAsia="Times New Roman" w:hAnsi="Times New Roman" w:cs="Times New Roman"/>
          <w:sz w:val="26"/>
          <w:szCs w:val="26"/>
          <w:lang w:eastAsia="ru-RU"/>
        </w:rPr>
        <w:t>49</w:t>
      </w:r>
    </w:p>
    <w:p w14:paraId="351C0057" w14:textId="77777777" w:rsidR="00D03A4F" w:rsidRPr="00414E7D" w:rsidRDefault="00D03A4F" w:rsidP="00D03A4F">
      <w:pPr>
        <w:spacing w:after="0" w:line="240" w:lineRule="auto"/>
        <w:jc w:val="right"/>
        <w:rPr>
          <w:rFonts w:ascii="Times New Roman" w:eastAsia="Times New Roman" w:hAnsi="Times New Roman" w:cs="Times New Roman"/>
          <w:sz w:val="26"/>
          <w:szCs w:val="26"/>
          <w:lang w:eastAsia="ru-RU"/>
        </w:rPr>
      </w:pPr>
    </w:p>
    <w:p w14:paraId="0E45D0CA" w14:textId="77777777" w:rsidR="00D03A4F" w:rsidRPr="00414E7D"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414E7D">
        <w:rPr>
          <w:rFonts w:ascii="Times New Roman" w:eastAsia="Times New Roman" w:hAnsi="Times New Roman" w:cs="Times New Roman"/>
          <w:b/>
          <w:bCs/>
          <w:sz w:val="26"/>
          <w:szCs w:val="26"/>
          <w:lang w:eastAsia="ru-RU"/>
        </w:rPr>
        <w:t>Размер пособия на ребенка, установленный в субъектах Российской Федерации в 20</w:t>
      </w:r>
      <w:r w:rsidR="008E1D60" w:rsidRPr="00414E7D">
        <w:rPr>
          <w:rFonts w:ascii="Times New Roman" w:eastAsia="Times New Roman" w:hAnsi="Times New Roman" w:cs="Times New Roman"/>
          <w:b/>
          <w:bCs/>
          <w:sz w:val="26"/>
          <w:szCs w:val="26"/>
          <w:lang w:eastAsia="ru-RU"/>
        </w:rPr>
        <w:t>2</w:t>
      </w:r>
      <w:r w:rsidR="007B73FB">
        <w:rPr>
          <w:rFonts w:ascii="Times New Roman" w:eastAsia="Times New Roman" w:hAnsi="Times New Roman" w:cs="Times New Roman"/>
          <w:b/>
          <w:bCs/>
          <w:sz w:val="26"/>
          <w:szCs w:val="26"/>
          <w:lang w:eastAsia="ru-RU"/>
        </w:rPr>
        <w:t>1</w:t>
      </w:r>
      <w:r w:rsidRPr="00414E7D">
        <w:rPr>
          <w:rFonts w:ascii="Times New Roman" w:eastAsia="Times New Roman" w:hAnsi="Times New Roman" w:cs="Times New Roman"/>
          <w:b/>
          <w:bCs/>
          <w:sz w:val="26"/>
          <w:szCs w:val="26"/>
          <w:lang w:eastAsia="ru-RU"/>
        </w:rPr>
        <w:t xml:space="preserve"> году</w:t>
      </w:r>
    </w:p>
    <w:p w14:paraId="27679E4A" w14:textId="77777777" w:rsidR="00D03A4F" w:rsidRPr="00414E7D" w:rsidRDefault="00D03A4F" w:rsidP="00D03A4F">
      <w:pPr>
        <w:spacing w:after="0" w:line="240" w:lineRule="auto"/>
        <w:jc w:val="center"/>
        <w:rPr>
          <w:rFonts w:ascii="Times New Roman" w:eastAsia="Times New Roman" w:hAnsi="Times New Roman" w:cs="Times New Roman"/>
          <w:bCs/>
          <w:sz w:val="24"/>
          <w:szCs w:val="24"/>
          <w:lang w:eastAsia="ru-RU"/>
        </w:rPr>
      </w:pPr>
      <w:r w:rsidRPr="00414E7D">
        <w:rPr>
          <w:rFonts w:ascii="Times New Roman" w:eastAsia="Times New Roman" w:hAnsi="Times New Roman" w:cs="Times New Roman"/>
          <w:bCs/>
          <w:sz w:val="24"/>
          <w:szCs w:val="24"/>
          <w:lang w:eastAsia="ru-RU"/>
        </w:rPr>
        <w:t>(по данным Минтруда России; на конец года, рублей в месяц)</w:t>
      </w:r>
    </w:p>
    <w:p w14:paraId="4D304C9B" w14:textId="77777777" w:rsidR="00D03A4F" w:rsidRPr="00414E7D" w:rsidRDefault="00D03A4F" w:rsidP="00D03A4F">
      <w:pPr>
        <w:spacing w:after="0" w:line="240" w:lineRule="auto"/>
        <w:jc w:val="right"/>
        <w:rPr>
          <w:rFonts w:ascii="Times New Roman" w:eastAsia="Times New Roman" w:hAnsi="Times New Roman" w:cs="Times New Roman"/>
          <w:sz w:val="26"/>
          <w:szCs w:val="26"/>
          <w:lang w:eastAsia="ru-RU"/>
        </w:rPr>
      </w:pPr>
    </w:p>
    <w:p w14:paraId="50F7BA56" w14:textId="77777777" w:rsidR="00D03A4F" w:rsidRPr="00414E7D" w:rsidRDefault="00D03A4F" w:rsidP="00D03A4F">
      <w:pPr>
        <w:spacing w:after="0" w:line="240" w:lineRule="auto"/>
        <w:ind w:right="-2"/>
        <w:jc w:val="right"/>
        <w:rPr>
          <w:rFonts w:ascii="Times New Roman" w:eastAsia="Times New Roman" w:hAnsi="Times New Roman" w:cs="Times New Roman"/>
          <w:sz w:val="16"/>
          <w:szCs w:val="16"/>
          <w:lang w:eastAsia="ru-RU"/>
        </w:rPr>
      </w:pPr>
    </w:p>
    <w:tbl>
      <w:tblPr>
        <w:tblW w:w="55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1"/>
        <w:gridCol w:w="932"/>
        <w:gridCol w:w="937"/>
        <w:gridCol w:w="885"/>
        <w:gridCol w:w="953"/>
        <w:gridCol w:w="944"/>
        <w:gridCol w:w="955"/>
        <w:gridCol w:w="996"/>
        <w:gridCol w:w="917"/>
        <w:gridCol w:w="985"/>
        <w:gridCol w:w="889"/>
      </w:tblGrid>
      <w:tr w:rsidR="00D03A4F" w:rsidRPr="00414E7D" w14:paraId="247DF7EC" w14:textId="77777777" w:rsidTr="00944CB1">
        <w:trPr>
          <w:cantSplit/>
          <w:trHeight w:val="322"/>
          <w:tblHeader/>
          <w:jc w:val="center"/>
        </w:trPr>
        <w:tc>
          <w:tcPr>
            <w:tcW w:w="860" w:type="pct"/>
            <w:vMerge w:val="restart"/>
          </w:tcPr>
          <w:p w14:paraId="4AB461E3" w14:textId="77777777" w:rsidR="00D03A4F" w:rsidRPr="00414E7D" w:rsidRDefault="00D03A4F" w:rsidP="00D03A4F">
            <w:pPr>
              <w:spacing w:after="0" w:line="200" w:lineRule="exact"/>
              <w:ind w:left="-426" w:firstLine="426"/>
              <w:jc w:val="center"/>
              <w:rPr>
                <w:rFonts w:ascii="Times New Roman" w:eastAsia="Times New Roman" w:hAnsi="Times New Roman" w:cs="Times New Roman"/>
                <w:i/>
                <w:sz w:val="24"/>
                <w:szCs w:val="24"/>
                <w:lang w:eastAsia="ru-RU"/>
              </w:rPr>
            </w:pPr>
          </w:p>
        </w:tc>
        <w:tc>
          <w:tcPr>
            <w:tcW w:w="4140" w:type="pct"/>
            <w:gridSpan w:val="10"/>
            <w:vAlign w:val="center"/>
          </w:tcPr>
          <w:p w14:paraId="051C29D8" w14:textId="77777777" w:rsidR="00D03A4F" w:rsidRPr="00414E7D" w:rsidRDefault="00D03A4F" w:rsidP="00D03A4F">
            <w:pPr>
              <w:spacing w:after="0" w:line="200" w:lineRule="exact"/>
              <w:ind w:left="-57" w:right="-57"/>
              <w:jc w:val="center"/>
              <w:rPr>
                <w:rFonts w:ascii="Times New Roman" w:eastAsia="Arial Unicode MS" w:hAnsi="Times New Roman" w:cs="Times New Roman"/>
                <w:i/>
                <w:sz w:val="24"/>
                <w:szCs w:val="24"/>
                <w:lang w:eastAsia="ru-RU"/>
              </w:rPr>
            </w:pPr>
            <w:r w:rsidRPr="00414E7D">
              <w:rPr>
                <w:rFonts w:ascii="Times New Roman" w:eastAsia="Arial Unicode MS" w:hAnsi="Times New Roman" w:cs="Times New Roman"/>
                <w:i/>
                <w:sz w:val="24"/>
                <w:szCs w:val="24"/>
                <w:lang w:eastAsia="ru-RU"/>
              </w:rPr>
              <w:t>Размер пособия</w:t>
            </w:r>
          </w:p>
        </w:tc>
      </w:tr>
      <w:tr w:rsidR="00D03A4F" w:rsidRPr="00414E7D" w14:paraId="5D2807EA" w14:textId="77777777" w:rsidTr="00BD2130">
        <w:trPr>
          <w:cantSplit/>
          <w:trHeight w:val="465"/>
          <w:tblHeader/>
          <w:jc w:val="center"/>
        </w:trPr>
        <w:tc>
          <w:tcPr>
            <w:tcW w:w="860" w:type="pct"/>
            <w:vMerge/>
          </w:tcPr>
          <w:p w14:paraId="0F9CD1E8" w14:textId="77777777" w:rsidR="00D03A4F" w:rsidRPr="00414E7D" w:rsidRDefault="00D03A4F" w:rsidP="00D03A4F">
            <w:pPr>
              <w:spacing w:after="0" w:line="200" w:lineRule="exact"/>
              <w:jc w:val="center"/>
              <w:rPr>
                <w:rFonts w:ascii="Times New Roman" w:eastAsia="Times New Roman" w:hAnsi="Times New Roman" w:cs="Times New Roman"/>
                <w:i/>
                <w:sz w:val="24"/>
                <w:szCs w:val="24"/>
                <w:lang w:eastAsia="ru-RU"/>
              </w:rPr>
            </w:pPr>
          </w:p>
        </w:tc>
        <w:tc>
          <w:tcPr>
            <w:tcW w:w="411" w:type="pct"/>
            <w:vMerge w:val="restart"/>
            <w:vAlign w:val="center"/>
          </w:tcPr>
          <w:p w14:paraId="0E2D7B77" w14:textId="77777777"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базовый</w:t>
            </w:r>
          </w:p>
        </w:tc>
        <w:tc>
          <w:tcPr>
            <w:tcW w:w="413" w:type="pct"/>
            <w:vMerge w:val="restart"/>
            <w:vAlign w:val="center"/>
          </w:tcPr>
          <w:p w14:paraId="01E630F7" w14:textId="77777777"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на детей одиноких матерей</w:t>
            </w:r>
          </w:p>
        </w:tc>
        <w:tc>
          <w:tcPr>
            <w:tcW w:w="390" w:type="pct"/>
            <w:vMerge w:val="restart"/>
            <w:vAlign w:val="center"/>
          </w:tcPr>
          <w:p w14:paraId="76F13810" w14:textId="77777777"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 xml:space="preserve">на детей  </w:t>
            </w:r>
            <w:proofErr w:type="spellStart"/>
            <w:r w:rsidRPr="00414E7D">
              <w:rPr>
                <w:rFonts w:ascii="Times New Roman" w:eastAsia="Times New Roman" w:hAnsi="Times New Roman" w:cs="Times New Roman"/>
                <w:i/>
                <w:sz w:val="24"/>
                <w:szCs w:val="24"/>
                <w:lang w:eastAsia="ru-RU"/>
              </w:rPr>
              <w:t>воен</w:t>
            </w:r>
            <w:proofErr w:type="spellEnd"/>
            <w:r w:rsidRPr="00414E7D">
              <w:rPr>
                <w:rFonts w:ascii="Times New Roman" w:eastAsia="Times New Roman" w:hAnsi="Times New Roman" w:cs="Times New Roman"/>
                <w:i/>
                <w:sz w:val="24"/>
                <w:szCs w:val="24"/>
                <w:lang w:eastAsia="ru-RU"/>
              </w:rPr>
              <w:t>-</w:t>
            </w:r>
          </w:p>
          <w:p w14:paraId="1F00B0D5" w14:textId="77777777"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roofErr w:type="spellStart"/>
            <w:r w:rsidRPr="00414E7D">
              <w:rPr>
                <w:rFonts w:ascii="Times New Roman" w:eastAsia="Times New Roman" w:hAnsi="Times New Roman" w:cs="Times New Roman"/>
                <w:i/>
                <w:sz w:val="24"/>
                <w:szCs w:val="24"/>
                <w:lang w:eastAsia="ru-RU"/>
              </w:rPr>
              <w:t>нослу</w:t>
            </w:r>
            <w:proofErr w:type="spellEnd"/>
            <w:r w:rsidRPr="00414E7D">
              <w:rPr>
                <w:rFonts w:ascii="Times New Roman" w:eastAsia="Times New Roman" w:hAnsi="Times New Roman" w:cs="Times New Roman"/>
                <w:i/>
                <w:sz w:val="24"/>
                <w:szCs w:val="24"/>
                <w:lang w:eastAsia="ru-RU"/>
              </w:rPr>
              <w:t>-</w:t>
            </w:r>
          </w:p>
          <w:p w14:paraId="788C9EE3" w14:textId="77777777"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roofErr w:type="spellStart"/>
            <w:r w:rsidRPr="00414E7D">
              <w:rPr>
                <w:rFonts w:ascii="Times New Roman" w:eastAsia="Times New Roman" w:hAnsi="Times New Roman" w:cs="Times New Roman"/>
                <w:i/>
                <w:sz w:val="24"/>
                <w:szCs w:val="24"/>
                <w:lang w:eastAsia="ru-RU"/>
              </w:rPr>
              <w:t>жащих</w:t>
            </w:r>
            <w:proofErr w:type="spellEnd"/>
            <w:r w:rsidRPr="00414E7D">
              <w:rPr>
                <w:rFonts w:ascii="Times New Roman" w:eastAsia="Times New Roman" w:hAnsi="Times New Roman" w:cs="Times New Roman"/>
                <w:i/>
                <w:sz w:val="24"/>
                <w:szCs w:val="24"/>
                <w:lang w:eastAsia="ru-RU"/>
              </w:rPr>
              <w:br/>
              <w:t>по призыву</w:t>
            </w:r>
          </w:p>
        </w:tc>
        <w:tc>
          <w:tcPr>
            <w:tcW w:w="420" w:type="pct"/>
            <w:vMerge w:val="restart"/>
            <w:vAlign w:val="center"/>
          </w:tcPr>
          <w:p w14:paraId="45B85D8E" w14:textId="77777777"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 xml:space="preserve">на детей, родители которых  </w:t>
            </w:r>
            <w:proofErr w:type="spellStart"/>
            <w:r w:rsidRPr="00414E7D">
              <w:rPr>
                <w:rFonts w:ascii="Times New Roman" w:eastAsia="Times New Roman" w:hAnsi="Times New Roman" w:cs="Times New Roman"/>
                <w:i/>
                <w:sz w:val="24"/>
                <w:szCs w:val="24"/>
                <w:lang w:eastAsia="ru-RU"/>
              </w:rPr>
              <w:t>укло-няются</w:t>
            </w:r>
            <w:proofErr w:type="spellEnd"/>
            <w:r w:rsidRPr="00414E7D">
              <w:rPr>
                <w:rFonts w:ascii="Times New Roman" w:eastAsia="Times New Roman" w:hAnsi="Times New Roman" w:cs="Times New Roman"/>
                <w:i/>
                <w:sz w:val="24"/>
                <w:szCs w:val="24"/>
                <w:lang w:eastAsia="ru-RU"/>
              </w:rPr>
              <w:t xml:space="preserve"> от уплаты </w:t>
            </w:r>
            <w:proofErr w:type="spellStart"/>
            <w:r w:rsidRPr="00414E7D">
              <w:rPr>
                <w:rFonts w:ascii="Times New Roman" w:eastAsia="Times New Roman" w:hAnsi="Times New Roman" w:cs="Times New Roman"/>
                <w:i/>
                <w:sz w:val="24"/>
                <w:szCs w:val="24"/>
                <w:lang w:eastAsia="ru-RU"/>
              </w:rPr>
              <w:t>алимен-тов</w:t>
            </w:r>
            <w:proofErr w:type="spellEnd"/>
          </w:p>
        </w:tc>
        <w:tc>
          <w:tcPr>
            <w:tcW w:w="416" w:type="pct"/>
            <w:vMerge w:val="restart"/>
          </w:tcPr>
          <w:p w14:paraId="4CE9EA6D" w14:textId="77777777"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на детей из много-</w:t>
            </w:r>
            <w:proofErr w:type="spellStart"/>
            <w:r w:rsidRPr="00414E7D">
              <w:rPr>
                <w:rFonts w:ascii="Times New Roman" w:eastAsia="Times New Roman" w:hAnsi="Times New Roman" w:cs="Times New Roman"/>
                <w:i/>
                <w:sz w:val="24"/>
                <w:szCs w:val="24"/>
                <w:lang w:eastAsia="ru-RU"/>
              </w:rPr>
              <w:t>детных</w:t>
            </w:r>
            <w:proofErr w:type="spellEnd"/>
            <w:r w:rsidRPr="00414E7D">
              <w:rPr>
                <w:rFonts w:ascii="Times New Roman" w:eastAsia="Times New Roman" w:hAnsi="Times New Roman" w:cs="Times New Roman"/>
                <w:i/>
                <w:sz w:val="24"/>
                <w:szCs w:val="24"/>
                <w:lang w:eastAsia="ru-RU"/>
              </w:rPr>
              <w:t xml:space="preserve"> семей</w:t>
            </w:r>
          </w:p>
        </w:tc>
        <w:tc>
          <w:tcPr>
            <w:tcW w:w="860" w:type="pct"/>
            <w:gridSpan w:val="2"/>
          </w:tcPr>
          <w:p w14:paraId="44D32945" w14:textId="77777777"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из него детей:</w:t>
            </w:r>
          </w:p>
        </w:tc>
        <w:tc>
          <w:tcPr>
            <w:tcW w:w="404" w:type="pct"/>
            <w:vMerge w:val="restart"/>
          </w:tcPr>
          <w:p w14:paraId="73E31574" w14:textId="77777777"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на детей-</w:t>
            </w:r>
            <w:proofErr w:type="spellStart"/>
            <w:r w:rsidRPr="00414E7D">
              <w:rPr>
                <w:rFonts w:ascii="Times New Roman" w:eastAsia="Times New Roman" w:hAnsi="Times New Roman" w:cs="Times New Roman"/>
                <w:i/>
                <w:sz w:val="24"/>
                <w:szCs w:val="24"/>
                <w:lang w:eastAsia="ru-RU"/>
              </w:rPr>
              <w:t>инвали</w:t>
            </w:r>
            <w:proofErr w:type="spellEnd"/>
            <w:r w:rsidRPr="00414E7D">
              <w:rPr>
                <w:rFonts w:ascii="Times New Roman" w:eastAsia="Times New Roman" w:hAnsi="Times New Roman" w:cs="Times New Roman"/>
                <w:i/>
                <w:sz w:val="24"/>
                <w:szCs w:val="24"/>
                <w:lang w:eastAsia="ru-RU"/>
              </w:rPr>
              <w:t>-</w:t>
            </w:r>
            <w:proofErr w:type="spellStart"/>
            <w:r w:rsidRPr="00414E7D">
              <w:rPr>
                <w:rFonts w:ascii="Times New Roman" w:eastAsia="Times New Roman" w:hAnsi="Times New Roman" w:cs="Times New Roman"/>
                <w:i/>
                <w:sz w:val="24"/>
                <w:szCs w:val="24"/>
                <w:lang w:eastAsia="ru-RU"/>
              </w:rPr>
              <w:t>дов</w:t>
            </w:r>
            <w:proofErr w:type="spellEnd"/>
          </w:p>
        </w:tc>
        <w:tc>
          <w:tcPr>
            <w:tcW w:w="434" w:type="pct"/>
            <w:vMerge w:val="restart"/>
          </w:tcPr>
          <w:p w14:paraId="69BAF7BA" w14:textId="77777777"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на детей родите-лей-</w:t>
            </w:r>
            <w:proofErr w:type="spellStart"/>
            <w:r w:rsidRPr="00414E7D">
              <w:rPr>
                <w:rFonts w:ascii="Times New Roman" w:eastAsia="Times New Roman" w:hAnsi="Times New Roman" w:cs="Times New Roman"/>
                <w:i/>
                <w:sz w:val="24"/>
                <w:szCs w:val="24"/>
                <w:lang w:eastAsia="ru-RU"/>
              </w:rPr>
              <w:t>инвали</w:t>
            </w:r>
            <w:proofErr w:type="spellEnd"/>
            <w:r w:rsidRPr="00414E7D">
              <w:rPr>
                <w:rFonts w:ascii="Times New Roman" w:eastAsia="Times New Roman" w:hAnsi="Times New Roman" w:cs="Times New Roman"/>
                <w:i/>
                <w:sz w:val="24"/>
                <w:szCs w:val="24"/>
                <w:lang w:eastAsia="ru-RU"/>
              </w:rPr>
              <w:t>-</w:t>
            </w:r>
            <w:proofErr w:type="spellStart"/>
            <w:r w:rsidRPr="00414E7D">
              <w:rPr>
                <w:rFonts w:ascii="Times New Roman" w:eastAsia="Times New Roman" w:hAnsi="Times New Roman" w:cs="Times New Roman"/>
                <w:i/>
                <w:sz w:val="24"/>
                <w:szCs w:val="24"/>
                <w:lang w:eastAsia="ru-RU"/>
              </w:rPr>
              <w:t>дов</w:t>
            </w:r>
            <w:proofErr w:type="spellEnd"/>
          </w:p>
        </w:tc>
        <w:tc>
          <w:tcPr>
            <w:tcW w:w="392" w:type="pct"/>
            <w:vMerge w:val="restart"/>
          </w:tcPr>
          <w:p w14:paraId="44BE8CB0" w14:textId="77777777"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 xml:space="preserve">на детей из не </w:t>
            </w:r>
            <w:proofErr w:type="spellStart"/>
            <w:r w:rsidRPr="00414E7D">
              <w:rPr>
                <w:rFonts w:ascii="Times New Roman" w:eastAsia="Times New Roman" w:hAnsi="Times New Roman" w:cs="Times New Roman"/>
                <w:i/>
                <w:sz w:val="24"/>
                <w:szCs w:val="24"/>
                <w:lang w:eastAsia="ru-RU"/>
              </w:rPr>
              <w:t>перечи-сленныхкатего-рий</w:t>
            </w:r>
            <w:proofErr w:type="spellEnd"/>
          </w:p>
        </w:tc>
      </w:tr>
      <w:tr w:rsidR="00D03A4F" w:rsidRPr="00414E7D" w14:paraId="71FCCF68" w14:textId="77777777" w:rsidTr="00BD2130">
        <w:trPr>
          <w:cantSplit/>
          <w:trHeight w:val="1195"/>
          <w:tblHeader/>
          <w:jc w:val="center"/>
        </w:trPr>
        <w:tc>
          <w:tcPr>
            <w:tcW w:w="860" w:type="pct"/>
            <w:vMerge/>
          </w:tcPr>
          <w:p w14:paraId="63C47CE3" w14:textId="77777777" w:rsidR="00D03A4F" w:rsidRPr="00414E7D" w:rsidRDefault="00D03A4F" w:rsidP="00D03A4F">
            <w:pPr>
              <w:spacing w:after="0" w:line="200" w:lineRule="exact"/>
              <w:jc w:val="center"/>
              <w:rPr>
                <w:rFonts w:ascii="Times New Roman" w:eastAsia="Times New Roman" w:hAnsi="Times New Roman" w:cs="Times New Roman"/>
                <w:i/>
                <w:sz w:val="24"/>
                <w:szCs w:val="24"/>
                <w:lang w:eastAsia="ru-RU"/>
              </w:rPr>
            </w:pPr>
          </w:p>
        </w:tc>
        <w:tc>
          <w:tcPr>
            <w:tcW w:w="411" w:type="pct"/>
            <w:vMerge/>
            <w:vAlign w:val="center"/>
          </w:tcPr>
          <w:p w14:paraId="03F80B5A" w14:textId="77777777"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c>
          <w:tcPr>
            <w:tcW w:w="413" w:type="pct"/>
            <w:vMerge/>
            <w:vAlign w:val="center"/>
          </w:tcPr>
          <w:p w14:paraId="5DD82AF9" w14:textId="77777777"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c>
          <w:tcPr>
            <w:tcW w:w="390" w:type="pct"/>
            <w:vMerge/>
            <w:vAlign w:val="center"/>
          </w:tcPr>
          <w:p w14:paraId="48F583E6" w14:textId="77777777"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c>
          <w:tcPr>
            <w:tcW w:w="420" w:type="pct"/>
            <w:vMerge/>
            <w:vAlign w:val="center"/>
          </w:tcPr>
          <w:p w14:paraId="0DD1E88C" w14:textId="77777777"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c>
          <w:tcPr>
            <w:tcW w:w="416" w:type="pct"/>
            <w:vMerge/>
          </w:tcPr>
          <w:p w14:paraId="48D2FC1B" w14:textId="77777777"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c>
          <w:tcPr>
            <w:tcW w:w="421" w:type="pct"/>
          </w:tcPr>
          <w:p w14:paraId="611E68F4" w14:textId="77777777"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 xml:space="preserve">в </w:t>
            </w:r>
            <w:proofErr w:type="spellStart"/>
            <w:r w:rsidRPr="00414E7D">
              <w:rPr>
                <w:rFonts w:ascii="Times New Roman" w:eastAsia="Times New Roman" w:hAnsi="Times New Roman" w:cs="Times New Roman"/>
                <w:i/>
                <w:sz w:val="24"/>
                <w:szCs w:val="24"/>
                <w:lang w:eastAsia="ru-RU"/>
              </w:rPr>
              <w:t>возрас</w:t>
            </w:r>
            <w:proofErr w:type="spellEnd"/>
            <w:r w:rsidRPr="00414E7D">
              <w:rPr>
                <w:rFonts w:ascii="Times New Roman" w:eastAsia="Times New Roman" w:hAnsi="Times New Roman" w:cs="Times New Roman"/>
                <w:i/>
                <w:sz w:val="24"/>
                <w:szCs w:val="24"/>
                <w:lang w:eastAsia="ru-RU"/>
              </w:rPr>
              <w:t>-те до 3 лет</w:t>
            </w:r>
          </w:p>
        </w:tc>
        <w:tc>
          <w:tcPr>
            <w:tcW w:w="439" w:type="pct"/>
          </w:tcPr>
          <w:p w14:paraId="66AD4DFA" w14:textId="77777777"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 xml:space="preserve">в </w:t>
            </w:r>
            <w:proofErr w:type="spellStart"/>
            <w:r w:rsidRPr="00414E7D">
              <w:rPr>
                <w:rFonts w:ascii="Times New Roman" w:eastAsia="Times New Roman" w:hAnsi="Times New Roman" w:cs="Times New Roman"/>
                <w:i/>
                <w:sz w:val="24"/>
                <w:szCs w:val="24"/>
                <w:lang w:eastAsia="ru-RU"/>
              </w:rPr>
              <w:t>возрас</w:t>
            </w:r>
            <w:proofErr w:type="spellEnd"/>
            <w:r w:rsidRPr="00414E7D">
              <w:rPr>
                <w:rFonts w:ascii="Times New Roman" w:eastAsia="Times New Roman" w:hAnsi="Times New Roman" w:cs="Times New Roman"/>
                <w:i/>
                <w:sz w:val="24"/>
                <w:szCs w:val="24"/>
                <w:lang w:eastAsia="ru-RU"/>
              </w:rPr>
              <w:t>-те от 3</w:t>
            </w:r>
          </w:p>
          <w:p w14:paraId="21955AE5" w14:textId="77777777"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r w:rsidRPr="00414E7D">
              <w:rPr>
                <w:rFonts w:ascii="Times New Roman" w:eastAsia="Times New Roman" w:hAnsi="Times New Roman" w:cs="Times New Roman"/>
                <w:i/>
                <w:sz w:val="24"/>
                <w:szCs w:val="24"/>
                <w:lang w:eastAsia="ru-RU"/>
              </w:rPr>
              <w:t xml:space="preserve"> до 18 лет</w:t>
            </w:r>
          </w:p>
        </w:tc>
        <w:tc>
          <w:tcPr>
            <w:tcW w:w="404" w:type="pct"/>
            <w:vMerge/>
          </w:tcPr>
          <w:p w14:paraId="79CCCC51" w14:textId="77777777"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c>
          <w:tcPr>
            <w:tcW w:w="434" w:type="pct"/>
            <w:vMerge/>
          </w:tcPr>
          <w:p w14:paraId="40C74A6B" w14:textId="77777777"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c>
          <w:tcPr>
            <w:tcW w:w="392" w:type="pct"/>
            <w:vMerge/>
          </w:tcPr>
          <w:p w14:paraId="387EC29D" w14:textId="77777777" w:rsidR="00D03A4F" w:rsidRPr="00414E7D" w:rsidRDefault="00D03A4F" w:rsidP="00D03A4F">
            <w:pPr>
              <w:spacing w:after="0" w:line="200" w:lineRule="exact"/>
              <w:ind w:left="-57" w:right="-57"/>
              <w:jc w:val="center"/>
              <w:rPr>
                <w:rFonts w:ascii="Times New Roman" w:eastAsia="Times New Roman" w:hAnsi="Times New Roman" w:cs="Times New Roman"/>
                <w:i/>
                <w:sz w:val="24"/>
                <w:szCs w:val="24"/>
                <w:lang w:eastAsia="ru-RU"/>
              </w:rPr>
            </w:pPr>
          </w:p>
        </w:tc>
      </w:tr>
      <w:tr w:rsidR="00D03A4F" w:rsidRPr="00414E7D" w14:paraId="7AF7749E" w14:textId="77777777" w:rsidTr="00BD2130">
        <w:trPr>
          <w:trHeight w:val="317"/>
          <w:jc w:val="center"/>
        </w:trPr>
        <w:tc>
          <w:tcPr>
            <w:tcW w:w="860" w:type="pct"/>
            <w:vAlign w:val="center"/>
          </w:tcPr>
          <w:p w14:paraId="0AADC8D6" w14:textId="77777777" w:rsidR="00D03A4F" w:rsidRPr="00414E7D" w:rsidRDefault="00D03A4F" w:rsidP="00D03A4F">
            <w:pPr>
              <w:spacing w:after="0" w:line="240" w:lineRule="auto"/>
              <w:rPr>
                <w:rFonts w:ascii="Times New Roman" w:eastAsia="Arial Unicode MS" w:hAnsi="Times New Roman" w:cs="Times New Roman"/>
                <w:b/>
                <w:sz w:val="24"/>
                <w:szCs w:val="24"/>
                <w:lang w:eastAsia="ru-RU"/>
              </w:rPr>
            </w:pPr>
            <w:r w:rsidRPr="00414E7D">
              <w:rPr>
                <w:rFonts w:ascii="Times New Roman" w:eastAsia="Times New Roman" w:hAnsi="Times New Roman" w:cs="Times New Roman"/>
                <w:b/>
                <w:sz w:val="24"/>
                <w:szCs w:val="24"/>
                <w:lang w:eastAsia="ru-RU"/>
              </w:rPr>
              <w:t xml:space="preserve">Центральный </w:t>
            </w:r>
            <w:r w:rsidRPr="00414E7D">
              <w:rPr>
                <w:rFonts w:ascii="Times New Roman" w:eastAsia="Times New Roman" w:hAnsi="Times New Roman" w:cs="Times New Roman"/>
                <w:b/>
                <w:sz w:val="24"/>
                <w:szCs w:val="24"/>
                <w:lang w:eastAsia="ru-RU"/>
              </w:rPr>
              <w:br/>
              <w:t>федеральный округ</w:t>
            </w:r>
          </w:p>
        </w:tc>
        <w:tc>
          <w:tcPr>
            <w:tcW w:w="411" w:type="pct"/>
            <w:vAlign w:val="center"/>
          </w:tcPr>
          <w:p w14:paraId="47FE7D8D" w14:textId="77777777" w:rsidR="00D03A4F" w:rsidRPr="00414E7D"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13" w:type="pct"/>
            <w:vAlign w:val="center"/>
          </w:tcPr>
          <w:p w14:paraId="092372D4" w14:textId="77777777" w:rsidR="00D03A4F" w:rsidRPr="00414E7D"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390" w:type="pct"/>
            <w:vAlign w:val="center"/>
          </w:tcPr>
          <w:p w14:paraId="2FF8D202" w14:textId="77777777" w:rsidR="00D03A4F" w:rsidRPr="00414E7D"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20" w:type="pct"/>
            <w:vAlign w:val="center"/>
          </w:tcPr>
          <w:p w14:paraId="779D69E5" w14:textId="77777777" w:rsidR="00D03A4F" w:rsidRPr="00414E7D"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16" w:type="pct"/>
            <w:vAlign w:val="center"/>
          </w:tcPr>
          <w:p w14:paraId="6CF467DB" w14:textId="77777777" w:rsidR="00D03A4F" w:rsidRPr="00414E7D"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21" w:type="pct"/>
            <w:vAlign w:val="center"/>
          </w:tcPr>
          <w:p w14:paraId="77412B86" w14:textId="77777777" w:rsidR="00D03A4F" w:rsidRPr="00414E7D"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39" w:type="pct"/>
            <w:vAlign w:val="center"/>
          </w:tcPr>
          <w:p w14:paraId="1A2FB456" w14:textId="77777777" w:rsidR="00D03A4F" w:rsidRPr="00414E7D"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04" w:type="pct"/>
            <w:vAlign w:val="center"/>
          </w:tcPr>
          <w:p w14:paraId="3325F613" w14:textId="77777777" w:rsidR="00D03A4F" w:rsidRPr="00414E7D"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434" w:type="pct"/>
            <w:vAlign w:val="center"/>
          </w:tcPr>
          <w:p w14:paraId="525DFE88" w14:textId="77777777" w:rsidR="00D03A4F" w:rsidRPr="00414E7D" w:rsidRDefault="00D03A4F" w:rsidP="00D03A4F">
            <w:pPr>
              <w:spacing w:after="0" w:line="240" w:lineRule="auto"/>
              <w:ind w:right="340"/>
              <w:jc w:val="center"/>
              <w:rPr>
                <w:rFonts w:ascii="Times New Roman" w:eastAsia="Arial Unicode MS" w:hAnsi="Times New Roman" w:cs="Times New Roman"/>
                <w:sz w:val="24"/>
                <w:szCs w:val="24"/>
                <w:lang w:eastAsia="ru-RU"/>
              </w:rPr>
            </w:pPr>
          </w:p>
        </w:tc>
        <w:tc>
          <w:tcPr>
            <w:tcW w:w="392" w:type="pct"/>
            <w:vAlign w:val="center"/>
          </w:tcPr>
          <w:p w14:paraId="7AFA9A1E" w14:textId="77777777" w:rsidR="00D03A4F" w:rsidRPr="00414E7D" w:rsidRDefault="00D03A4F" w:rsidP="00D03A4F">
            <w:pPr>
              <w:spacing w:after="0" w:line="240" w:lineRule="auto"/>
              <w:ind w:right="340"/>
              <w:jc w:val="center"/>
              <w:rPr>
                <w:rFonts w:ascii="Times New Roman" w:eastAsia="Arial Unicode MS" w:hAnsi="Times New Roman" w:cs="Times New Roman"/>
                <w:sz w:val="24"/>
                <w:szCs w:val="24"/>
                <w:lang w:eastAsia="ru-RU"/>
              </w:rPr>
            </w:pPr>
          </w:p>
        </w:tc>
      </w:tr>
      <w:tr w:rsidR="00BD2130" w:rsidRPr="00414E7D" w14:paraId="03B09F8B" w14:textId="77777777" w:rsidTr="00BD2130">
        <w:trPr>
          <w:trHeight w:val="317"/>
          <w:jc w:val="center"/>
        </w:trPr>
        <w:tc>
          <w:tcPr>
            <w:tcW w:w="860" w:type="pct"/>
            <w:vAlign w:val="center"/>
          </w:tcPr>
          <w:p w14:paraId="0241DE31" w14:textId="77777777"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Белгородская область</w:t>
            </w:r>
          </w:p>
        </w:tc>
        <w:tc>
          <w:tcPr>
            <w:tcW w:w="411" w:type="pct"/>
            <w:vAlign w:val="center"/>
          </w:tcPr>
          <w:p w14:paraId="33F5BCF7" w14:textId="77777777" w:rsidR="00BD2130" w:rsidRPr="00414E7D" w:rsidRDefault="00BD2130" w:rsidP="008414DF">
            <w:pPr>
              <w:spacing w:after="0" w:line="240" w:lineRule="auto"/>
              <w:ind w:right="57"/>
              <w:jc w:val="center"/>
              <w:rPr>
                <w:rFonts w:ascii="Times New Roman" w:hAnsi="Times New Roman"/>
              </w:rPr>
            </w:pPr>
            <w:r w:rsidRPr="00414E7D">
              <w:rPr>
                <w:rFonts w:ascii="Times New Roman" w:hAnsi="Times New Roman"/>
              </w:rPr>
              <w:t>3</w:t>
            </w:r>
            <w:r w:rsidR="008414DF">
              <w:rPr>
                <w:rFonts w:ascii="Times New Roman" w:hAnsi="Times New Roman"/>
              </w:rPr>
              <w:t>88</w:t>
            </w:r>
          </w:p>
        </w:tc>
        <w:tc>
          <w:tcPr>
            <w:tcW w:w="413" w:type="pct"/>
            <w:vAlign w:val="center"/>
          </w:tcPr>
          <w:p w14:paraId="755F2E4A" w14:textId="77777777" w:rsidR="00BD2130" w:rsidRPr="00414E7D" w:rsidRDefault="008414DF" w:rsidP="00BD2130">
            <w:pPr>
              <w:spacing w:after="0" w:line="240" w:lineRule="auto"/>
              <w:ind w:right="57"/>
              <w:jc w:val="center"/>
              <w:rPr>
                <w:rFonts w:ascii="Times New Roman" w:hAnsi="Times New Roman"/>
              </w:rPr>
            </w:pPr>
            <w:r>
              <w:rPr>
                <w:rFonts w:ascii="Times New Roman" w:hAnsi="Times New Roman"/>
              </w:rPr>
              <w:t>775</w:t>
            </w:r>
          </w:p>
        </w:tc>
        <w:tc>
          <w:tcPr>
            <w:tcW w:w="390" w:type="pct"/>
            <w:vAlign w:val="center"/>
          </w:tcPr>
          <w:p w14:paraId="5F7FC691" w14:textId="77777777" w:rsidR="00BD2130" w:rsidRPr="00414E7D" w:rsidRDefault="008414DF" w:rsidP="00BD2130">
            <w:pPr>
              <w:spacing w:after="0" w:line="240" w:lineRule="auto"/>
              <w:ind w:right="57"/>
              <w:jc w:val="center"/>
              <w:rPr>
                <w:rFonts w:ascii="Times New Roman" w:hAnsi="Times New Roman"/>
              </w:rPr>
            </w:pPr>
            <w:r>
              <w:rPr>
                <w:rFonts w:ascii="Times New Roman" w:hAnsi="Times New Roman"/>
              </w:rPr>
              <w:t>869</w:t>
            </w:r>
          </w:p>
        </w:tc>
        <w:tc>
          <w:tcPr>
            <w:tcW w:w="420" w:type="pct"/>
            <w:vAlign w:val="center"/>
          </w:tcPr>
          <w:p w14:paraId="43F181EA" w14:textId="77777777" w:rsidR="00BD2130" w:rsidRPr="00414E7D" w:rsidRDefault="00BD2130" w:rsidP="008414DF">
            <w:pPr>
              <w:spacing w:after="0" w:line="240" w:lineRule="auto"/>
              <w:ind w:right="57"/>
              <w:jc w:val="center"/>
              <w:rPr>
                <w:rFonts w:ascii="Times New Roman" w:hAnsi="Times New Roman"/>
              </w:rPr>
            </w:pPr>
            <w:r w:rsidRPr="00414E7D">
              <w:rPr>
                <w:rFonts w:ascii="Times New Roman" w:hAnsi="Times New Roman"/>
              </w:rPr>
              <w:t>1</w:t>
            </w:r>
            <w:r w:rsidR="008414DF">
              <w:rPr>
                <w:rFonts w:ascii="Times New Roman" w:hAnsi="Times New Roman"/>
              </w:rPr>
              <w:t>711</w:t>
            </w:r>
          </w:p>
        </w:tc>
        <w:tc>
          <w:tcPr>
            <w:tcW w:w="416" w:type="pct"/>
            <w:vAlign w:val="center"/>
          </w:tcPr>
          <w:p w14:paraId="2311D4A9" w14:textId="77777777" w:rsidR="00BD2130" w:rsidRPr="00414E7D" w:rsidRDefault="008414DF" w:rsidP="00BD2130">
            <w:pPr>
              <w:spacing w:after="0" w:line="240" w:lineRule="auto"/>
              <w:ind w:right="57"/>
              <w:jc w:val="center"/>
              <w:rPr>
                <w:rFonts w:ascii="Times New Roman" w:hAnsi="Times New Roman"/>
              </w:rPr>
            </w:pPr>
            <w:r>
              <w:rPr>
                <w:rFonts w:ascii="Times New Roman" w:hAnsi="Times New Roman"/>
              </w:rPr>
              <w:t>589</w:t>
            </w:r>
          </w:p>
        </w:tc>
        <w:tc>
          <w:tcPr>
            <w:tcW w:w="421" w:type="pct"/>
            <w:vAlign w:val="center"/>
          </w:tcPr>
          <w:p w14:paraId="7E182B63"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0045668F"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017C3D84" w14:textId="77777777" w:rsidR="00BD2130" w:rsidRPr="00414E7D" w:rsidRDefault="00BD2130" w:rsidP="0080501D">
            <w:pPr>
              <w:spacing w:after="0" w:line="240" w:lineRule="auto"/>
              <w:ind w:right="57"/>
              <w:jc w:val="center"/>
              <w:rPr>
                <w:rFonts w:ascii="Times New Roman" w:hAnsi="Times New Roman"/>
              </w:rPr>
            </w:pPr>
            <w:r w:rsidRPr="00414E7D">
              <w:rPr>
                <w:rFonts w:ascii="Times New Roman" w:hAnsi="Times New Roman"/>
              </w:rPr>
              <w:t>1</w:t>
            </w:r>
            <w:r w:rsidR="0080501D">
              <w:rPr>
                <w:rFonts w:ascii="Times New Roman" w:hAnsi="Times New Roman"/>
              </w:rPr>
              <w:t>711</w:t>
            </w:r>
          </w:p>
        </w:tc>
        <w:tc>
          <w:tcPr>
            <w:tcW w:w="434" w:type="pct"/>
            <w:vAlign w:val="center"/>
          </w:tcPr>
          <w:p w14:paraId="1650A1F6"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2E621446" w14:textId="77777777" w:rsidR="00BD2130" w:rsidRPr="00414E7D" w:rsidRDefault="0080501D" w:rsidP="00BD2130">
            <w:pPr>
              <w:spacing w:after="0" w:line="240" w:lineRule="auto"/>
              <w:ind w:right="57"/>
              <w:jc w:val="center"/>
              <w:rPr>
                <w:rFonts w:ascii="Times New Roman" w:hAnsi="Times New Roman"/>
              </w:rPr>
            </w:pPr>
            <w:r>
              <w:rPr>
                <w:rFonts w:ascii="Times New Roman" w:hAnsi="Times New Roman"/>
              </w:rPr>
              <w:t>788</w:t>
            </w:r>
            <w:r w:rsidR="00BD2130" w:rsidRPr="00414E7D">
              <w:rPr>
                <w:rFonts w:ascii="Times New Roman" w:hAnsi="Times New Roman"/>
              </w:rPr>
              <w:t>9</w:t>
            </w:r>
          </w:p>
        </w:tc>
      </w:tr>
      <w:tr w:rsidR="00BD2130" w:rsidRPr="00414E7D" w14:paraId="32F2732F" w14:textId="77777777" w:rsidTr="00BD2130">
        <w:trPr>
          <w:trHeight w:val="317"/>
          <w:jc w:val="center"/>
        </w:trPr>
        <w:tc>
          <w:tcPr>
            <w:tcW w:w="860" w:type="pct"/>
            <w:vAlign w:val="center"/>
          </w:tcPr>
          <w:p w14:paraId="29E5505E" w14:textId="77777777"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Брянская область</w:t>
            </w:r>
          </w:p>
        </w:tc>
        <w:tc>
          <w:tcPr>
            <w:tcW w:w="411" w:type="pct"/>
            <w:vAlign w:val="center"/>
          </w:tcPr>
          <w:p w14:paraId="5D48FAD1" w14:textId="77777777" w:rsidR="00BD2130" w:rsidRPr="00414E7D" w:rsidRDefault="00BD2130" w:rsidP="0080501D">
            <w:pPr>
              <w:spacing w:after="0" w:line="240" w:lineRule="auto"/>
              <w:ind w:right="57"/>
              <w:jc w:val="center"/>
              <w:rPr>
                <w:rFonts w:ascii="Times New Roman" w:hAnsi="Times New Roman"/>
              </w:rPr>
            </w:pPr>
            <w:r w:rsidRPr="00414E7D">
              <w:rPr>
                <w:rFonts w:ascii="Times New Roman" w:hAnsi="Times New Roman"/>
              </w:rPr>
              <w:t>3</w:t>
            </w:r>
            <w:r w:rsidR="0080501D">
              <w:rPr>
                <w:rFonts w:ascii="Times New Roman" w:hAnsi="Times New Roman"/>
              </w:rPr>
              <w:t>49</w:t>
            </w:r>
          </w:p>
        </w:tc>
        <w:tc>
          <w:tcPr>
            <w:tcW w:w="413" w:type="pct"/>
            <w:vAlign w:val="center"/>
          </w:tcPr>
          <w:p w14:paraId="53CB0781" w14:textId="77777777" w:rsidR="00BD2130" w:rsidRPr="00414E7D" w:rsidRDefault="00BD2130" w:rsidP="0080501D">
            <w:pPr>
              <w:spacing w:after="0" w:line="240" w:lineRule="auto"/>
              <w:ind w:right="57"/>
              <w:jc w:val="center"/>
              <w:rPr>
                <w:rFonts w:ascii="Times New Roman" w:hAnsi="Times New Roman"/>
              </w:rPr>
            </w:pPr>
            <w:r w:rsidRPr="00414E7D">
              <w:rPr>
                <w:rFonts w:ascii="Times New Roman" w:hAnsi="Times New Roman"/>
              </w:rPr>
              <w:t>6</w:t>
            </w:r>
            <w:r w:rsidR="0080501D">
              <w:rPr>
                <w:rFonts w:ascii="Times New Roman" w:hAnsi="Times New Roman"/>
              </w:rPr>
              <w:t>98</w:t>
            </w:r>
          </w:p>
        </w:tc>
        <w:tc>
          <w:tcPr>
            <w:tcW w:w="390" w:type="pct"/>
            <w:vAlign w:val="center"/>
          </w:tcPr>
          <w:p w14:paraId="2EEBC910"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52</w:t>
            </w:r>
            <w:r w:rsidR="0080501D">
              <w:rPr>
                <w:rFonts w:ascii="Times New Roman" w:hAnsi="Times New Roman"/>
              </w:rPr>
              <w:t>4</w:t>
            </w:r>
          </w:p>
        </w:tc>
        <w:tc>
          <w:tcPr>
            <w:tcW w:w="420" w:type="pct"/>
            <w:vAlign w:val="center"/>
          </w:tcPr>
          <w:p w14:paraId="268D458D" w14:textId="77777777" w:rsidR="00BD2130" w:rsidRPr="00414E7D" w:rsidRDefault="00BD2130" w:rsidP="0080501D">
            <w:pPr>
              <w:spacing w:after="0" w:line="240" w:lineRule="auto"/>
              <w:ind w:right="57"/>
              <w:jc w:val="center"/>
              <w:rPr>
                <w:rFonts w:ascii="Times New Roman" w:hAnsi="Times New Roman"/>
              </w:rPr>
            </w:pPr>
            <w:r w:rsidRPr="00414E7D">
              <w:rPr>
                <w:rFonts w:ascii="Times New Roman" w:hAnsi="Times New Roman"/>
              </w:rPr>
              <w:t>5</w:t>
            </w:r>
            <w:r w:rsidR="0080501D">
              <w:rPr>
                <w:rFonts w:ascii="Times New Roman" w:hAnsi="Times New Roman"/>
              </w:rPr>
              <w:t>24</w:t>
            </w:r>
          </w:p>
        </w:tc>
        <w:tc>
          <w:tcPr>
            <w:tcW w:w="416" w:type="pct"/>
            <w:vAlign w:val="center"/>
          </w:tcPr>
          <w:p w14:paraId="14B20ACA"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14:paraId="0D54B5B0"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05CACD4D"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5032A477"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41DC4A7D"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3B226E69"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14:paraId="56AAC79A" w14:textId="77777777" w:rsidTr="00BD2130">
        <w:trPr>
          <w:trHeight w:val="317"/>
          <w:jc w:val="center"/>
        </w:trPr>
        <w:tc>
          <w:tcPr>
            <w:tcW w:w="860" w:type="pct"/>
            <w:vAlign w:val="center"/>
          </w:tcPr>
          <w:p w14:paraId="1A399F07" w14:textId="77777777"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Владимирская область</w:t>
            </w:r>
          </w:p>
        </w:tc>
        <w:tc>
          <w:tcPr>
            <w:tcW w:w="411" w:type="pct"/>
            <w:vAlign w:val="center"/>
          </w:tcPr>
          <w:p w14:paraId="2F9697ED" w14:textId="77777777" w:rsidR="00BD2130" w:rsidRPr="00414E7D" w:rsidRDefault="00BD2130" w:rsidP="0080501D">
            <w:pPr>
              <w:spacing w:after="0" w:line="240" w:lineRule="auto"/>
              <w:ind w:right="57"/>
              <w:jc w:val="center"/>
              <w:rPr>
                <w:rFonts w:ascii="Times New Roman" w:hAnsi="Times New Roman"/>
              </w:rPr>
            </w:pPr>
            <w:r w:rsidRPr="00414E7D">
              <w:rPr>
                <w:rFonts w:ascii="Times New Roman" w:hAnsi="Times New Roman"/>
              </w:rPr>
              <w:t>4</w:t>
            </w:r>
            <w:r w:rsidR="0080501D">
              <w:rPr>
                <w:rFonts w:ascii="Times New Roman" w:hAnsi="Times New Roman"/>
              </w:rPr>
              <w:t>92</w:t>
            </w:r>
          </w:p>
        </w:tc>
        <w:tc>
          <w:tcPr>
            <w:tcW w:w="413" w:type="pct"/>
            <w:vAlign w:val="center"/>
          </w:tcPr>
          <w:p w14:paraId="3F4F2468" w14:textId="77777777" w:rsidR="00BD2130" w:rsidRPr="00414E7D" w:rsidRDefault="00BD2130" w:rsidP="0080501D">
            <w:pPr>
              <w:spacing w:after="0" w:line="240" w:lineRule="auto"/>
              <w:ind w:right="57"/>
              <w:jc w:val="center"/>
              <w:rPr>
                <w:rFonts w:ascii="Times New Roman" w:hAnsi="Times New Roman"/>
              </w:rPr>
            </w:pPr>
            <w:r w:rsidRPr="00414E7D">
              <w:rPr>
                <w:rFonts w:ascii="Times New Roman" w:hAnsi="Times New Roman"/>
              </w:rPr>
              <w:t>9</w:t>
            </w:r>
            <w:r w:rsidR="0080501D">
              <w:rPr>
                <w:rFonts w:ascii="Times New Roman" w:hAnsi="Times New Roman"/>
              </w:rPr>
              <w:t>84</w:t>
            </w:r>
          </w:p>
        </w:tc>
        <w:tc>
          <w:tcPr>
            <w:tcW w:w="390" w:type="pct"/>
            <w:vAlign w:val="center"/>
          </w:tcPr>
          <w:p w14:paraId="5A34844B" w14:textId="77777777" w:rsidR="00BD2130" w:rsidRPr="00414E7D" w:rsidRDefault="00BD2130" w:rsidP="0080501D">
            <w:pPr>
              <w:spacing w:after="0" w:line="240" w:lineRule="auto"/>
              <w:ind w:right="57"/>
              <w:jc w:val="center"/>
              <w:rPr>
                <w:rFonts w:ascii="Times New Roman" w:hAnsi="Times New Roman"/>
              </w:rPr>
            </w:pPr>
            <w:r w:rsidRPr="00414E7D">
              <w:rPr>
                <w:rFonts w:ascii="Times New Roman" w:hAnsi="Times New Roman"/>
              </w:rPr>
              <w:t>7</w:t>
            </w:r>
            <w:r w:rsidR="0080501D">
              <w:rPr>
                <w:rFonts w:ascii="Times New Roman" w:hAnsi="Times New Roman"/>
              </w:rPr>
              <w:t>38</w:t>
            </w:r>
          </w:p>
        </w:tc>
        <w:tc>
          <w:tcPr>
            <w:tcW w:w="420" w:type="pct"/>
            <w:vAlign w:val="center"/>
          </w:tcPr>
          <w:p w14:paraId="2BC41B45" w14:textId="77777777" w:rsidR="00BD2130" w:rsidRPr="00414E7D" w:rsidRDefault="00BD2130" w:rsidP="0080501D">
            <w:pPr>
              <w:spacing w:after="0" w:line="240" w:lineRule="auto"/>
              <w:ind w:right="57"/>
              <w:jc w:val="center"/>
              <w:rPr>
                <w:rFonts w:ascii="Times New Roman" w:hAnsi="Times New Roman"/>
              </w:rPr>
            </w:pPr>
            <w:r w:rsidRPr="00414E7D">
              <w:rPr>
                <w:rFonts w:ascii="Times New Roman" w:hAnsi="Times New Roman"/>
              </w:rPr>
              <w:t>7</w:t>
            </w:r>
            <w:r w:rsidR="0080501D">
              <w:rPr>
                <w:rFonts w:ascii="Times New Roman" w:hAnsi="Times New Roman"/>
              </w:rPr>
              <w:t>38</w:t>
            </w:r>
          </w:p>
        </w:tc>
        <w:tc>
          <w:tcPr>
            <w:tcW w:w="416" w:type="pct"/>
            <w:vAlign w:val="center"/>
          </w:tcPr>
          <w:p w14:paraId="1D5700BB"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14:paraId="2DC3D788"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4D304ED4"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514CED5C"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0F3AD42B"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5EEA1EC1"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14:paraId="3CA380F5" w14:textId="77777777" w:rsidTr="00BD2130">
        <w:trPr>
          <w:trHeight w:val="317"/>
          <w:jc w:val="center"/>
        </w:trPr>
        <w:tc>
          <w:tcPr>
            <w:tcW w:w="860" w:type="pct"/>
            <w:vAlign w:val="center"/>
          </w:tcPr>
          <w:p w14:paraId="70B83197" w14:textId="77777777"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Воронежская область</w:t>
            </w:r>
          </w:p>
        </w:tc>
        <w:tc>
          <w:tcPr>
            <w:tcW w:w="411" w:type="pct"/>
            <w:vAlign w:val="center"/>
          </w:tcPr>
          <w:p w14:paraId="6553551B" w14:textId="77777777" w:rsidR="00BD2130" w:rsidRPr="00414E7D" w:rsidRDefault="00BD2130" w:rsidP="0080501D">
            <w:pPr>
              <w:spacing w:after="0" w:line="240" w:lineRule="auto"/>
              <w:ind w:right="57"/>
              <w:jc w:val="center"/>
              <w:rPr>
                <w:rFonts w:ascii="Times New Roman" w:hAnsi="Times New Roman"/>
              </w:rPr>
            </w:pPr>
            <w:r w:rsidRPr="00414E7D">
              <w:rPr>
                <w:rFonts w:ascii="Times New Roman" w:hAnsi="Times New Roman"/>
              </w:rPr>
              <w:t>3</w:t>
            </w:r>
            <w:r w:rsidR="0080501D">
              <w:rPr>
                <w:rFonts w:ascii="Times New Roman" w:hAnsi="Times New Roman"/>
              </w:rPr>
              <w:t>13</w:t>
            </w:r>
          </w:p>
        </w:tc>
        <w:tc>
          <w:tcPr>
            <w:tcW w:w="413" w:type="pct"/>
            <w:vAlign w:val="center"/>
          </w:tcPr>
          <w:p w14:paraId="48F4D256" w14:textId="77777777" w:rsidR="00BD2130" w:rsidRPr="00414E7D" w:rsidRDefault="00BD2130" w:rsidP="0080501D">
            <w:pPr>
              <w:spacing w:after="0" w:line="240" w:lineRule="auto"/>
              <w:ind w:right="57"/>
              <w:jc w:val="center"/>
              <w:rPr>
                <w:rFonts w:ascii="Times New Roman" w:hAnsi="Times New Roman"/>
              </w:rPr>
            </w:pPr>
            <w:r w:rsidRPr="00414E7D">
              <w:rPr>
                <w:rFonts w:ascii="Times New Roman" w:hAnsi="Times New Roman"/>
              </w:rPr>
              <w:t>6</w:t>
            </w:r>
            <w:r w:rsidR="0080501D">
              <w:rPr>
                <w:rFonts w:ascii="Times New Roman" w:hAnsi="Times New Roman"/>
              </w:rPr>
              <w:t>26</w:t>
            </w:r>
          </w:p>
        </w:tc>
        <w:tc>
          <w:tcPr>
            <w:tcW w:w="390" w:type="pct"/>
            <w:vAlign w:val="center"/>
          </w:tcPr>
          <w:p w14:paraId="73360BCD" w14:textId="77777777" w:rsidR="00BD2130" w:rsidRPr="00414E7D" w:rsidRDefault="00BD2130" w:rsidP="0080501D">
            <w:pPr>
              <w:spacing w:after="0" w:line="240" w:lineRule="auto"/>
              <w:ind w:right="57"/>
              <w:jc w:val="center"/>
              <w:rPr>
                <w:rFonts w:ascii="Times New Roman" w:hAnsi="Times New Roman"/>
              </w:rPr>
            </w:pPr>
            <w:r w:rsidRPr="00414E7D">
              <w:rPr>
                <w:rFonts w:ascii="Times New Roman" w:hAnsi="Times New Roman"/>
              </w:rPr>
              <w:t>4</w:t>
            </w:r>
            <w:r w:rsidR="0080501D">
              <w:rPr>
                <w:rFonts w:ascii="Times New Roman" w:hAnsi="Times New Roman"/>
              </w:rPr>
              <w:t>70</w:t>
            </w:r>
          </w:p>
        </w:tc>
        <w:tc>
          <w:tcPr>
            <w:tcW w:w="420" w:type="pct"/>
            <w:vAlign w:val="center"/>
          </w:tcPr>
          <w:p w14:paraId="7B6F9A26" w14:textId="77777777" w:rsidR="00BD2130" w:rsidRPr="00414E7D" w:rsidRDefault="0080501D" w:rsidP="0080501D">
            <w:pPr>
              <w:spacing w:after="0" w:line="240" w:lineRule="auto"/>
              <w:ind w:right="57"/>
              <w:jc w:val="center"/>
              <w:rPr>
                <w:rFonts w:ascii="Times New Roman" w:hAnsi="Times New Roman"/>
              </w:rPr>
            </w:pPr>
            <w:r>
              <w:rPr>
                <w:rFonts w:ascii="Times New Roman" w:hAnsi="Times New Roman"/>
              </w:rPr>
              <w:t>470</w:t>
            </w:r>
          </w:p>
        </w:tc>
        <w:tc>
          <w:tcPr>
            <w:tcW w:w="416" w:type="pct"/>
            <w:vAlign w:val="center"/>
          </w:tcPr>
          <w:p w14:paraId="0379AC8E"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14:paraId="6DDD63BA"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6147D3D9"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1B9720A6"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0FCC3A9A"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28F0E590"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14:paraId="1C367350" w14:textId="77777777" w:rsidTr="00BD2130">
        <w:trPr>
          <w:trHeight w:val="317"/>
          <w:jc w:val="center"/>
        </w:trPr>
        <w:tc>
          <w:tcPr>
            <w:tcW w:w="860" w:type="pct"/>
            <w:vAlign w:val="center"/>
          </w:tcPr>
          <w:p w14:paraId="679700F5" w14:textId="77777777"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Ивановская область</w:t>
            </w:r>
          </w:p>
        </w:tc>
        <w:tc>
          <w:tcPr>
            <w:tcW w:w="411" w:type="pct"/>
            <w:vAlign w:val="center"/>
          </w:tcPr>
          <w:p w14:paraId="270C9B8F" w14:textId="77777777" w:rsidR="00BD2130" w:rsidRPr="00414E7D" w:rsidRDefault="00BD2130" w:rsidP="0080501D">
            <w:pPr>
              <w:spacing w:after="0" w:line="240" w:lineRule="auto"/>
              <w:ind w:right="57"/>
              <w:jc w:val="center"/>
              <w:rPr>
                <w:rFonts w:ascii="Times New Roman" w:hAnsi="Times New Roman"/>
              </w:rPr>
            </w:pPr>
            <w:r w:rsidRPr="00414E7D">
              <w:rPr>
                <w:rFonts w:ascii="Times New Roman" w:hAnsi="Times New Roman"/>
              </w:rPr>
              <w:t>2</w:t>
            </w:r>
            <w:r w:rsidR="0080501D">
              <w:rPr>
                <w:rFonts w:ascii="Times New Roman" w:hAnsi="Times New Roman"/>
              </w:rPr>
              <w:t>81</w:t>
            </w:r>
          </w:p>
        </w:tc>
        <w:tc>
          <w:tcPr>
            <w:tcW w:w="413" w:type="pct"/>
            <w:vAlign w:val="center"/>
          </w:tcPr>
          <w:p w14:paraId="29B88DA6" w14:textId="77777777" w:rsidR="00BD2130" w:rsidRPr="00414E7D" w:rsidRDefault="00BD2130" w:rsidP="0080501D">
            <w:pPr>
              <w:spacing w:after="0" w:line="240" w:lineRule="auto"/>
              <w:ind w:right="57"/>
              <w:jc w:val="center"/>
              <w:rPr>
                <w:rFonts w:ascii="Times New Roman" w:hAnsi="Times New Roman"/>
              </w:rPr>
            </w:pPr>
            <w:r w:rsidRPr="00414E7D">
              <w:rPr>
                <w:rFonts w:ascii="Times New Roman" w:hAnsi="Times New Roman"/>
              </w:rPr>
              <w:t>5</w:t>
            </w:r>
            <w:r w:rsidR="0080501D">
              <w:rPr>
                <w:rFonts w:ascii="Times New Roman" w:hAnsi="Times New Roman"/>
              </w:rPr>
              <w:t>61</w:t>
            </w:r>
          </w:p>
        </w:tc>
        <w:tc>
          <w:tcPr>
            <w:tcW w:w="390" w:type="pct"/>
            <w:vAlign w:val="center"/>
          </w:tcPr>
          <w:p w14:paraId="281EE4D6" w14:textId="77777777" w:rsidR="00BD2130" w:rsidRPr="00414E7D" w:rsidRDefault="00BD2130" w:rsidP="0080501D">
            <w:pPr>
              <w:spacing w:after="0" w:line="240" w:lineRule="auto"/>
              <w:ind w:right="57"/>
              <w:jc w:val="center"/>
              <w:rPr>
                <w:rFonts w:ascii="Times New Roman" w:hAnsi="Times New Roman"/>
              </w:rPr>
            </w:pPr>
            <w:r w:rsidRPr="00414E7D">
              <w:rPr>
                <w:rFonts w:ascii="Times New Roman" w:hAnsi="Times New Roman"/>
              </w:rPr>
              <w:t>4</w:t>
            </w:r>
            <w:r w:rsidR="0080501D">
              <w:rPr>
                <w:rFonts w:ascii="Times New Roman" w:hAnsi="Times New Roman"/>
              </w:rPr>
              <w:t>21</w:t>
            </w:r>
          </w:p>
        </w:tc>
        <w:tc>
          <w:tcPr>
            <w:tcW w:w="420" w:type="pct"/>
            <w:vAlign w:val="center"/>
          </w:tcPr>
          <w:p w14:paraId="443D9CD1" w14:textId="77777777" w:rsidR="00BD2130" w:rsidRPr="00414E7D" w:rsidRDefault="00BD2130" w:rsidP="0080501D">
            <w:pPr>
              <w:spacing w:after="0" w:line="240" w:lineRule="auto"/>
              <w:ind w:right="57"/>
              <w:jc w:val="center"/>
              <w:rPr>
                <w:rFonts w:ascii="Times New Roman" w:hAnsi="Times New Roman"/>
              </w:rPr>
            </w:pPr>
            <w:r w:rsidRPr="00414E7D">
              <w:rPr>
                <w:rFonts w:ascii="Times New Roman" w:hAnsi="Times New Roman"/>
              </w:rPr>
              <w:t>4</w:t>
            </w:r>
            <w:r w:rsidR="0080501D">
              <w:rPr>
                <w:rFonts w:ascii="Times New Roman" w:hAnsi="Times New Roman"/>
              </w:rPr>
              <w:t>21</w:t>
            </w:r>
          </w:p>
        </w:tc>
        <w:tc>
          <w:tcPr>
            <w:tcW w:w="416" w:type="pct"/>
            <w:vAlign w:val="center"/>
          </w:tcPr>
          <w:p w14:paraId="0AB5C4D0"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14:paraId="7A4C0C97"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528C036D"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606C4F20"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3624795C"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30508621"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14:paraId="6DF23099" w14:textId="77777777" w:rsidTr="00BD2130">
        <w:trPr>
          <w:trHeight w:val="317"/>
          <w:jc w:val="center"/>
        </w:trPr>
        <w:tc>
          <w:tcPr>
            <w:tcW w:w="860" w:type="pct"/>
            <w:vAlign w:val="center"/>
          </w:tcPr>
          <w:p w14:paraId="6FF276F0" w14:textId="77777777" w:rsidR="00BD2130" w:rsidRPr="00414E7D" w:rsidRDefault="00BD2130" w:rsidP="00266647">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Калужская область</w:t>
            </w:r>
          </w:p>
        </w:tc>
        <w:tc>
          <w:tcPr>
            <w:tcW w:w="411" w:type="pct"/>
            <w:vAlign w:val="center"/>
          </w:tcPr>
          <w:p w14:paraId="43C9BBD7"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200</w:t>
            </w:r>
          </w:p>
        </w:tc>
        <w:tc>
          <w:tcPr>
            <w:tcW w:w="413" w:type="pct"/>
            <w:vAlign w:val="center"/>
          </w:tcPr>
          <w:p w14:paraId="2D37FB40" w14:textId="77777777" w:rsidR="00BD2130" w:rsidRPr="00414E7D" w:rsidRDefault="00BD2130" w:rsidP="00266647">
            <w:pPr>
              <w:spacing w:after="0" w:line="240" w:lineRule="auto"/>
              <w:ind w:right="57"/>
              <w:jc w:val="center"/>
              <w:rPr>
                <w:rFonts w:ascii="Times New Roman" w:hAnsi="Times New Roman"/>
              </w:rPr>
            </w:pPr>
            <w:r w:rsidRPr="008737BB">
              <w:rPr>
                <w:rFonts w:ascii="Times New Roman" w:hAnsi="Times New Roman"/>
              </w:rPr>
              <w:t>400</w:t>
            </w:r>
          </w:p>
        </w:tc>
        <w:tc>
          <w:tcPr>
            <w:tcW w:w="390" w:type="pct"/>
            <w:vAlign w:val="center"/>
          </w:tcPr>
          <w:p w14:paraId="57AE9F6A"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600</w:t>
            </w:r>
          </w:p>
        </w:tc>
        <w:tc>
          <w:tcPr>
            <w:tcW w:w="420" w:type="pct"/>
            <w:vAlign w:val="center"/>
          </w:tcPr>
          <w:p w14:paraId="61268531"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400</w:t>
            </w:r>
          </w:p>
        </w:tc>
        <w:tc>
          <w:tcPr>
            <w:tcW w:w="416" w:type="pct"/>
            <w:vAlign w:val="center"/>
          </w:tcPr>
          <w:p w14:paraId="1DD080EB"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14:paraId="62EE8239"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7306B027"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62A0B423"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2000</w:t>
            </w:r>
          </w:p>
        </w:tc>
        <w:tc>
          <w:tcPr>
            <w:tcW w:w="434" w:type="pct"/>
            <w:vAlign w:val="center"/>
          </w:tcPr>
          <w:p w14:paraId="4A2B992D"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400</w:t>
            </w:r>
          </w:p>
        </w:tc>
        <w:tc>
          <w:tcPr>
            <w:tcW w:w="392" w:type="pct"/>
            <w:vAlign w:val="center"/>
          </w:tcPr>
          <w:p w14:paraId="05A033DC"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4000</w:t>
            </w:r>
          </w:p>
        </w:tc>
      </w:tr>
      <w:tr w:rsidR="00BD2130" w:rsidRPr="00414E7D" w14:paraId="1629E8EF" w14:textId="77777777" w:rsidTr="00BD2130">
        <w:trPr>
          <w:trHeight w:val="317"/>
          <w:jc w:val="center"/>
        </w:trPr>
        <w:tc>
          <w:tcPr>
            <w:tcW w:w="860" w:type="pct"/>
            <w:vAlign w:val="center"/>
          </w:tcPr>
          <w:p w14:paraId="7F3F47D4" w14:textId="77777777"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Костромская область</w:t>
            </w:r>
          </w:p>
        </w:tc>
        <w:tc>
          <w:tcPr>
            <w:tcW w:w="411" w:type="pct"/>
            <w:vAlign w:val="center"/>
          </w:tcPr>
          <w:p w14:paraId="39B37FBC"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115</w:t>
            </w:r>
          </w:p>
        </w:tc>
        <w:tc>
          <w:tcPr>
            <w:tcW w:w="413" w:type="pct"/>
            <w:vAlign w:val="center"/>
          </w:tcPr>
          <w:p w14:paraId="3638228B"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230</w:t>
            </w:r>
          </w:p>
        </w:tc>
        <w:tc>
          <w:tcPr>
            <w:tcW w:w="390" w:type="pct"/>
            <w:vAlign w:val="center"/>
          </w:tcPr>
          <w:p w14:paraId="229200C5"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230</w:t>
            </w:r>
          </w:p>
        </w:tc>
        <w:tc>
          <w:tcPr>
            <w:tcW w:w="420" w:type="pct"/>
            <w:vAlign w:val="center"/>
          </w:tcPr>
          <w:p w14:paraId="563449FA"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173</w:t>
            </w:r>
          </w:p>
        </w:tc>
        <w:tc>
          <w:tcPr>
            <w:tcW w:w="416" w:type="pct"/>
            <w:vAlign w:val="center"/>
          </w:tcPr>
          <w:p w14:paraId="2F06CF71"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14:paraId="3350F0CD"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4332BEA4"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0CC86F13"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0059E90C"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144E2D3B"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14:paraId="6EDFB369" w14:textId="77777777" w:rsidTr="00BD2130">
        <w:trPr>
          <w:trHeight w:val="317"/>
          <w:jc w:val="center"/>
        </w:trPr>
        <w:tc>
          <w:tcPr>
            <w:tcW w:w="860" w:type="pct"/>
            <w:vAlign w:val="center"/>
          </w:tcPr>
          <w:p w14:paraId="60D9D904" w14:textId="77777777"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Курская область</w:t>
            </w:r>
          </w:p>
        </w:tc>
        <w:tc>
          <w:tcPr>
            <w:tcW w:w="411" w:type="pct"/>
            <w:vAlign w:val="center"/>
          </w:tcPr>
          <w:p w14:paraId="206769B2" w14:textId="77777777" w:rsidR="00BD2130" w:rsidRPr="00414E7D" w:rsidRDefault="00BD2130" w:rsidP="0080501D">
            <w:pPr>
              <w:spacing w:after="0" w:line="240" w:lineRule="auto"/>
              <w:ind w:right="57"/>
              <w:jc w:val="center"/>
              <w:rPr>
                <w:rFonts w:ascii="Times New Roman" w:hAnsi="Times New Roman"/>
              </w:rPr>
            </w:pPr>
            <w:r w:rsidRPr="00414E7D">
              <w:rPr>
                <w:rFonts w:ascii="Times New Roman" w:hAnsi="Times New Roman"/>
              </w:rPr>
              <w:t>1</w:t>
            </w:r>
            <w:r w:rsidR="0080501D">
              <w:rPr>
                <w:rFonts w:ascii="Times New Roman" w:hAnsi="Times New Roman"/>
              </w:rPr>
              <w:t>81</w:t>
            </w:r>
          </w:p>
        </w:tc>
        <w:tc>
          <w:tcPr>
            <w:tcW w:w="413" w:type="pct"/>
            <w:vAlign w:val="center"/>
          </w:tcPr>
          <w:p w14:paraId="3A4E854A" w14:textId="77777777" w:rsidR="00BD2130" w:rsidRPr="00414E7D" w:rsidRDefault="00BD2130" w:rsidP="0080501D">
            <w:pPr>
              <w:spacing w:after="0" w:line="240" w:lineRule="auto"/>
              <w:ind w:right="57"/>
              <w:jc w:val="center"/>
              <w:rPr>
                <w:rFonts w:ascii="Times New Roman" w:hAnsi="Times New Roman"/>
              </w:rPr>
            </w:pPr>
            <w:r w:rsidRPr="00414E7D">
              <w:rPr>
                <w:rFonts w:ascii="Times New Roman" w:hAnsi="Times New Roman"/>
              </w:rPr>
              <w:t>3</w:t>
            </w:r>
            <w:r w:rsidR="0080501D">
              <w:rPr>
                <w:rFonts w:ascii="Times New Roman" w:hAnsi="Times New Roman"/>
              </w:rPr>
              <w:t>62</w:t>
            </w:r>
          </w:p>
        </w:tc>
        <w:tc>
          <w:tcPr>
            <w:tcW w:w="390" w:type="pct"/>
            <w:vAlign w:val="center"/>
          </w:tcPr>
          <w:p w14:paraId="715C477D" w14:textId="77777777" w:rsidR="00BD2130" w:rsidRPr="00414E7D" w:rsidRDefault="00BD2130" w:rsidP="0080501D">
            <w:pPr>
              <w:spacing w:after="0" w:line="240" w:lineRule="auto"/>
              <w:ind w:right="57"/>
              <w:jc w:val="center"/>
              <w:rPr>
                <w:rFonts w:ascii="Times New Roman" w:hAnsi="Times New Roman"/>
              </w:rPr>
            </w:pPr>
            <w:r w:rsidRPr="00414E7D">
              <w:rPr>
                <w:rFonts w:ascii="Times New Roman" w:hAnsi="Times New Roman"/>
              </w:rPr>
              <w:t>2</w:t>
            </w:r>
            <w:r w:rsidR="0080501D">
              <w:rPr>
                <w:rFonts w:ascii="Times New Roman" w:hAnsi="Times New Roman"/>
              </w:rPr>
              <w:t>7</w:t>
            </w:r>
            <w:r w:rsidRPr="00414E7D">
              <w:rPr>
                <w:rFonts w:ascii="Times New Roman" w:hAnsi="Times New Roman"/>
              </w:rPr>
              <w:t>2</w:t>
            </w:r>
          </w:p>
        </w:tc>
        <w:tc>
          <w:tcPr>
            <w:tcW w:w="420" w:type="pct"/>
            <w:vAlign w:val="center"/>
          </w:tcPr>
          <w:p w14:paraId="7C2F7DEB" w14:textId="77777777" w:rsidR="00BD2130" w:rsidRPr="00414E7D" w:rsidRDefault="00BD2130" w:rsidP="0080501D">
            <w:pPr>
              <w:spacing w:after="0" w:line="240" w:lineRule="auto"/>
              <w:ind w:right="57"/>
              <w:jc w:val="center"/>
              <w:rPr>
                <w:rFonts w:ascii="Times New Roman" w:hAnsi="Times New Roman"/>
              </w:rPr>
            </w:pPr>
            <w:r w:rsidRPr="00414E7D">
              <w:rPr>
                <w:rFonts w:ascii="Times New Roman" w:hAnsi="Times New Roman"/>
              </w:rPr>
              <w:t>2</w:t>
            </w:r>
            <w:r w:rsidR="0080501D">
              <w:rPr>
                <w:rFonts w:ascii="Times New Roman" w:hAnsi="Times New Roman"/>
              </w:rPr>
              <w:t>7</w:t>
            </w:r>
            <w:r w:rsidRPr="00414E7D">
              <w:rPr>
                <w:rFonts w:ascii="Times New Roman" w:hAnsi="Times New Roman"/>
              </w:rPr>
              <w:t>2</w:t>
            </w:r>
          </w:p>
        </w:tc>
        <w:tc>
          <w:tcPr>
            <w:tcW w:w="416" w:type="pct"/>
            <w:vAlign w:val="center"/>
          </w:tcPr>
          <w:p w14:paraId="44FE95C9"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14:paraId="75C50BC5"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236176E9"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6D1B8350"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53897684"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5B9499DE" w14:textId="77777777" w:rsidR="00BD2130" w:rsidRPr="00414E7D" w:rsidRDefault="00BD2130" w:rsidP="0080501D">
            <w:pPr>
              <w:spacing w:after="0" w:line="240" w:lineRule="auto"/>
              <w:ind w:right="57"/>
              <w:jc w:val="center"/>
              <w:rPr>
                <w:rFonts w:ascii="Times New Roman" w:hAnsi="Times New Roman"/>
              </w:rPr>
            </w:pPr>
            <w:r w:rsidRPr="00414E7D">
              <w:rPr>
                <w:rFonts w:ascii="Times New Roman" w:hAnsi="Times New Roman"/>
              </w:rPr>
              <w:t>2</w:t>
            </w:r>
            <w:r w:rsidR="0080501D">
              <w:rPr>
                <w:rFonts w:ascii="Times New Roman" w:hAnsi="Times New Roman"/>
              </w:rPr>
              <w:t>7</w:t>
            </w:r>
            <w:r w:rsidRPr="00414E7D">
              <w:rPr>
                <w:rFonts w:ascii="Times New Roman" w:hAnsi="Times New Roman"/>
              </w:rPr>
              <w:t>2</w:t>
            </w:r>
          </w:p>
        </w:tc>
      </w:tr>
      <w:tr w:rsidR="00BD2130" w:rsidRPr="00414E7D" w14:paraId="49482950" w14:textId="77777777" w:rsidTr="00BD2130">
        <w:trPr>
          <w:trHeight w:val="317"/>
          <w:jc w:val="center"/>
        </w:trPr>
        <w:tc>
          <w:tcPr>
            <w:tcW w:w="860" w:type="pct"/>
            <w:vAlign w:val="center"/>
          </w:tcPr>
          <w:p w14:paraId="16F2B437" w14:textId="77777777"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Липецкая область</w:t>
            </w:r>
            <w:r w:rsidR="00BF6C63" w:rsidRPr="00414E7D">
              <w:rPr>
                <w:rFonts w:ascii="Times New Roman" w:eastAsia="Times New Roman" w:hAnsi="Times New Roman" w:cs="Times New Roman"/>
                <w:sz w:val="24"/>
                <w:szCs w:val="24"/>
                <w:vertAlign w:val="superscript"/>
                <w:lang w:eastAsia="ru-RU"/>
              </w:rPr>
              <w:t>1</w:t>
            </w:r>
          </w:p>
        </w:tc>
        <w:tc>
          <w:tcPr>
            <w:tcW w:w="411" w:type="pct"/>
            <w:vAlign w:val="center"/>
          </w:tcPr>
          <w:p w14:paraId="77F85933"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285-652</w:t>
            </w:r>
          </w:p>
        </w:tc>
        <w:tc>
          <w:tcPr>
            <w:tcW w:w="413" w:type="pct"/>
            <w:vAlign w:val="center"/>
          </w:tcPr>
          <w:p w14:paraId="0D82F4B6"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575-904</w:t>
            </w:r>
          </w:p>
        </w:tc>
        <w:tc>
          <w:tcPr>
            <w:tcW w:w="390" w:type="pct"/>
            <w:vAlign w:val="center"/>
          </w:tcPr>
          <w:p w14:paraId="73F2B544" w14:textId="77777777" w:rsidR="00BD2130" w:rsidRPr="00414E7D" w:rsidRDefault="00455EF6" w:rsidP="00BD2130">
            <w:pPr>
              <w:spacing w:after="0" w:line="240" w:lineRule="auto"/>
              <w:ind w:right="57"/>
              <w:jc w:val="center"/>
              <w:rPr>
                <w:rFonts w:ascii="Times New Roman" w:hAnsi="Times New Roman"/>
              </w:rPr>
            </w:pPr>
            <w:r>
              <w:rPr>
                <w:rFonts w:ascii="Times New Roman" w:hAnsi="Times New Roman"/>
              </w:rPr>
              <w:t>285-778</w:t>
            </w:r>
          </w:p>
        </w:tc>
        <w:tc>
          <w:tcPr>
            <w:tcW w:w="420" w:type="pct"/>
            <w:vAlign w:val="center"/>
          </w:tcPr>
          <w:p w14:paraId="4120F906"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430-778</w:t>
            </w:r>
          </w:p>
        </w:tc>
        <w:tc>
          <w:tcPr>
            <w:tcW w:w="416" w:type="pct"/>
            <w:vAlign w:val="center"/>
          </w:tcPr>
          <w:p w14:paraId="28FE36D2"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430-800</w:t>
            </w:r>
          </w:p>
        </w:tc>
        <w:tc>
          <w:tcPr>
            <w:tcW w:w="421" w:type="pct"/>
            <w:vAlign w:val="center"/>
          </w:tcPr>
          <w:p w14:paraId="3B89CF63"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778-800</w:t>
            </w:r>
          </w:p>
        </w:tc>
        <w:tc>
          <w:tcPr>
            <w:tcW w:w="439" w:type="pct"/>
            <w:vAlign w:val="center"/>
          </w:tcPr>
          <w:p w14:paraId="30E5CC2D"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430-800</w:t>
            </w:r>
          </w:p>
        </w:tc>
        <w:tc>
          <w:tcPr>
            <w:tcW w:w="404" w:type="pct"/>
            <w:vAlign w:val="center"/>
          </w:tcPr>
          <w:p w14:paraId="7AD6B190"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1100</w:t>
            </w:r>
          </w:p>
        </w:tc>
        <w:tc>
          <w:tcPr>
            <w:tcW w:w="434" w:type="pct"/>
            <w:vAlign w:val="center"/>
          </w:tcPr>
          <w:p w14:paraId="1966CBA3"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179EFC77"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1030</w:t>
            </w:r>
          </w:p>
        </w:tc>
      </w:tr>
      <w:tr w:rsidR="00BD2130" w:rsidRPr="00414E7D" w14:paraId="47876307" w14:textId="77777777" w:rsidTr="00BD2130">
        <w:trPr>
          <w:trHeight w:val="317"/>
          <w:jc w:val="center"/>
        </w:trPr>
        <w:tc>
          <w:tcPr>
            <w:tcW w:w="860" w:type="pct"/>
            <w:vAlign w:val="center"/>
          </w:tcPr>
          <w:p w14:paraId="7065B1DC" w14:textId="77777777"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Московская область</w:t>
            </w:r>
            <w:r w:rsidRPr="00414E7D">
              <w:rPr>
                <w:rFonts w:ascii="Times New Roman" w:eastAsia="Times New Roman" w:hAnsi="Times New Roman" w:cs="Times New Roman"/>
                <w:sz w:val="24"/>
                <w:szCs w:val="24"/>
                <w:vertAlign w:val="superscript"/>
                <w:lang w:eastAsia="ru-RU"/>
              </w:rPr>
              <w:t>1</w:t>
            </w:r>
          </w:p>
        </w:tc>
        <w:tc>
          <w:tcPr>
            <w:tcW w:w="411" w:type="pct"/>
            <w:vAlign w:val="center"/>
          </w:tcPr>
          <w:p w14:paraId="08652FEC" w14:textId="77777777" w:rsidR="00BD2130" w:rsidRPr="00414E7D" w:rsidRDefault="00BD2130" w:rsidP="00BF6C63">
            <w:pPr>
              <w:spacing w:after="0" w:line="240" w:lineRule="auto"/>
              <w:ind w:right="57"/>
              <w:jc w:val="center"/>
              <w:rPr>
                <w:rFonts w:ascii="Times New Roman" w:hAnsi="Times New Roman"/>
              </w:rPr>
            </w:pPr>
            <w:r w:rsidRPr="00414E7D">
              <w:rPr>
                <w:rFonts w:ascii="Times New Roman" w:hAnsi="Times New Roman"/>
              </w:rPr>
              <w:t>5</w:t>
            </w:r>
            <w:r w:rsidR="00BF6C63">
              <w:rPr>
                <w:rFonts w:ascii="Times New Roman" w:hAnsi="Times New Roman"/>
              </w:rPr>
              <w:t>82</w:t>
            </w:r>
            <w:r w:rsidRPr="00414E7D">
              <w:rPr>
                <w:rFonts w:ascii="Times New Roman" w:hAnsi="Times New Roman"/>
              </w:rPr>
              <w:t>-4</w:t>
            </w:r>
            <w:r w:rsidR="00BF6C63">
              <w:rPr>
                <w:rFonts w:ascii="Times New Roman" w:hAnsi="Times New Roman"/>
              </w:rPr>
              <w:t>420</w:t>
            </w:r>
          </w:p>
        </w:tc>
        <w:tc>
          <w:tcPr>
            <w:tcW w:w="413" w:type="pct"/>
            <w:vAlign w:val="center"/>
          </w:tcPr>
          <w:p w14:paraId="2CEC32E6" w14:textId="77777777" w:rsidR="00BD2130" w:rsidRPr="00414E7D" w:rsidRDefault="00BD2130" w:rsidP="00BF6C63">
            <w:pPr>
              <w:spacing w:after="0" w:line="240" w:lineRule="auto"/>
              <w:ind w:right="57"/>
              <w:jc w:val="center"/>
              <w:rPr>
                <w:rFonts w:ascii="Times New Roman" w:hAnsi="Times New Roman"/>
              </w:rPr>
            </w:pPr>
            <w:r w:rsidRPr="00414E7D">
              <w:rPr>
                <w:rFonts w:ascii="Times New Roman" w:hAnsi="Times New Roman"/>
              </w:rPr>
              <w:t>11</w:t>
            </w:r>
            <w:r w:rsidR="00BF6C63">
              <w:rPr>
                <w:rFonts w:ascii="Times New Roman" w:hAnsi="Times New Roman"/>
              </w:rPr>
              <w:t>58</w:t>
            </w:r>
            <w:r w:rsidRPr="00414E7D">
              <w:rPr>
                <w:rFonts w:ascii="Times New Roman" w:hAnsi="Times New Roman"/>
              </w:rPr>
              <w:t>-6</w:t>
            </w:r>
            <w:r w:rsidR="00BF6C63">
              <w:rPr>
                <w:rFonts w:ascii="Times New Roman" w:hAnsi="Times New Roman"/>
              </w:rPr>
              <w:t>739</w:t>
            </w:r>
          </w:p>
        </w:tc>
        <w:tc>
          <w:tcPr>
            <w:tcW w:w="390" w:type="pct"/>
            <w:vAlign w:val="center"/>
          </w:tcPr>
          <w:p w14:paraId="7C6963F0" w14:textId="77777777" w:rsidR="00BD2130" w:rsidRPr="00414E7D" w:rsidRDefault="00BD2130" w:rsidP="00BF6C63">
            <w:pPr>
              <w:spacing w:after="0" w:line="240" w:lineRule="auto"/>
              <w:ind w:right="57"/>
              <w:jc w:val="center"/>
              <w:rPr>
                <w:rFonts w:ascii="Times New Roman" w:hAnsi="Times New Roman"/>
              </w:rPr>
            </w:pPr>
            <w:r w:rsidRPr="00414E7D">
              <w:rPr>
                <w:rFonts w:ascii="Times New Roman" w:hAnsi="Times New Roman"/>
              </w:rPr>
              <w:t>86</w:t>
            </w:r>
            <w:r w:rsidR="00BF6C63">
              <w:rPr>
                <w:rFonts w:ascii="Times New Roman" w:hAnsi="Times New Roman"/>
              </w:rPr>
              <w:t>9</w:t>
            </w:r>
            <w:r w:rsidRPr="00414E7D">
              <w:rPr>
                <w:rFonts w:ascii="Times New Roman" w:hAnsi="Times New Roman"/>
              </w:rPr>
              <w:t>-5</w:t>
            </w:r>
            <w:r w:rsidR="00BF6C63">
              <w:rPr>
                <w:rFonts w:ascii="Times New Roman" w:hAnsi="Times New Roman"/>
              </w:rPr>
              <w:t>289</w:t>
            </w:r>
          </w:p>
        </w:tc>
        <w:tc>
          <w:tcPr>
            <w:tcW w:w="420" w:type="pct"/>
            <w:vAlign w:val="center"/>
          </w:tcPr>
          <w:p w14:paraId="722BEBD7" w14:textId="77777777" w:rsidR="00BD2130" w:rsidRPr="00414E7D" w:rsidRDefault="00BD2130" w:rsidP="00BF6C63">
            <w:pPr>
              <w:spacing w:after="0" w:line="240" w:lineRule="auto"/>
              <w:ind w:right="57"/>
              <w:jc w:val="center"/>
              <w:rPr>
                <w:rFonts w:ascii="Times New Roman" w:hAnsi="Times New Roman"/>
              </w:rPr>
            </w:pPr>
            <w:r w:rsidRPr="00414E7D">
              <w:rPr>
                <w:rFonts w:ascii="Times New Roman" w:hAnsi="Times New Roman"/>
              </w:rPr>
              <w:t>86</w:t>
            </w:r>
            <w:r w:rsidR="00BF6C63">
              <w:rPr>
                <w:rFonts w:ascii="Times New Roman" w:hAnsi="Times New Roman"/>
              </w:rPr>
              <w:t>9</w:t>
            </w:r>
            <w:r w:rsidRPr="00414E7D">
              <w:rPr>
                <w:rFonts w:ascii="Times New Roman" w:hAnsi="Times New Roman"/>
              </w:rPr>
              <w:t>-52</w:t>
            </w:r>
            <w:r w:rsidR="00BF6C63">
              <w:rPr>
                <w:rFonts w:ascii="Times New Roman" w:hAnsi="Times New Roman"/>
              </w:rPr>
              <w:t>89</w:t>
            </w:r>
          </w:p>
        </w:tc>
        <w:tc>
          <w:tcPr>
            <w:tcW w:w="416" w:type="pct"/>
            <w:vAlign w:val="center"/>
          </w:tcPr>
          <w:p w14:paraId="1A03887A"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14:paraId="14975D0E"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0DD9A66D"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71D249E2"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2B695C56"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04082530"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14:paraId="0434F13B" w14:textId="77777777" w:rsidTr="00BD2130">
        <w:trPr>
          <w:trHeight w:val="317"/>
          <w:jc w:val="center"/>
        </w:trPr>
        <w:tc>
          <w:tcPr>
            <w:tcW w:w="860" w:type="pct"/>
            <w:vAlign w:val="center"/>
          </w:tcPr>
          <w:p w14:paraId="2FEECD0D" w14:textId="77777777" w:rsidR="00BD2130" w:rsidRPr="00414E7D" w:rsidRDefault="00BD2130" w:rsidP="00E62CE3">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Орловская область</w:t>
            </w:r>
            <w:r w:rsidR="00E62CE3">
              <w:rPr>
                <w:rFonts w:ascii="Times New Roman" w:eastAsia="Times New Roman" w:hAnsi="Times New Roman" w:cs="Times New Roman"/>
                <w:sz w:val="24"/>
                <w:szCs w:val="24"/>
                <w:vertAlign w:val="superscript"/>
                <w:lang w:eastAsia="ru-RU"/>
              </w:rPr>
              <w:t>2</w:t>
            </w:r>
          </w:p>
        </w:tc>
        <w:tc>
          <w:tcPr>
            <w:tcW w:w="411" w:type="pct"/>
            <w:vAlign w:val="center"/>
          </w:tcPr>
          <w:p w14:paraId="773D2677" w14:textId="77777777" w:rsidR="00BD2130" w:rsidRPr="00414E7D" w:rsidRDefault="00BD2130" w:rsidP="00BF6C63">
            <w:pPr>
              <w:spacing w:after="0" w:line="240" w:lineRule="auto"/>
              <w:ind w:right="57"/>
              <w:jc w:val="center"/>
              <w:rPr>
                <w:rFonts w:ascii="Times New Roman" w:hAnsi="Times New Roman"/>
              </w:rPr>
            </w:pPr>
            <w:r w:rsidRPr="00414E7D">
              <w:rPr>
                <w:rFonts w:ascii="Times New Roman" w:hAnsi="Times New Roman"/>
              </w:rPr>
              <w:t>28</w:t>
            </w:r>
            <w:r w:rsidR="00BF6C63">
              <w:rPr>
                <w:rFonts w:ascii="Times New Roman" w:hAnsi="Times New Roman"/>
              </w:rPr>
              <w:t>8</w:t>
            </w:r>
          </w:p>
        </w:tc>
        <w:tc>
          <w:tcPr>
            <w:tcW w:w="413" w:type="pct"/>
            <w:vAlign w:val="center"/>
          </w:tcPr>
          <w:p w14:paraId="7FF98CA7" w14:textId="77777777" w:rsidR="00BD2130" w:rsidRPr="00414E7D" w:rsidRDefault="00BD2130" w:rsidP="00BF6C63">
            <w:pPr>
              <w:spacing w:after="0" w:line="240" w:lineRule="auto"/>
              <w:ind w:right="57"/>
              <w:jc w:val="center"/>
              <w:rPr>
                <w:rFonts w:ascii="Times New Roman" w:hAnsi="Times New Roman"/>
              </w:rPr>
            </w:pPr>
            <w:r w:rsidRPr="00414E7D">
              <w:rPr>
                <w:rFonts w:ascii="Times New Roman" w:hAnsi="Times New Roman"/>
              </w:rPr>
              <w:t>5</w:t>
            </w:r>
            <w:r w:rsidR="00BF6C63">
              <w:rPr>
                <w:rFonts w:ascii="Times New Roman" w:hAnsi="Times New Roman"/>
              </w:rPr>
              <w:t>77</w:t>
            </w:r>
            <w:r w:rsidRPr="00414E7D">
              <w:rPr>
                <w:rFonts w:ascii="Times New Roman" w:hAnsi="Times New Roman"/>
              </w:rPr>
              <w:t>-7</w:t>
            </w:r>
            <w:r w:rsidR="00BF6C63">
              <w:rPr>
                <w:rFonts w:ascii="Times New Roman" w:hAnsi="Times New Roman"/>
              </w:rPr>
              <w:t>21</w:t>
            </w:r>
          </w:p>
        </w:tc>
        <w:tc>
          <w:tcPr>
            <w:tcW w:w="390" w:type="pct"/>
            <w:vAlign w:val="center"/>
          </w:tcPr>
          <w:p w14:paraId="2395D263" w14:textId="77777777" w:rsidR="00BD2130" w:rsidRPr="00414E7D" w:rsidRDefault="00BD2130" w:rsidP="00BF6C63">
            <w:pPr>
              <w:spacing w:after="0" w:line="240" w:lineRule="auto"/>
              <w:ind w:right="57"/>
              <w:jc w:val="center"/>
              <w:rPr>
                <w:rFonts w:ascii="Times New Roman" w:hAnsi="Times New Roman"/>
              </w:rPr>
            </w:pPr>
            <w:r w:rsidRPr="00414E7D">
              <w:rPr>
                <w:rFonts w:ascii="Times New Roman" w:hAnsi="Times New Roman"/>
              </w:rPr>
              <w:t>4</w:t>
            </w:r>
            <w:r w:rsidR="00BF6C63">
              <w:rPr>
                <w:rFonts w:ascii="Times New Roman" w:hAnsi="Times New Roman"/>
              </w:rPr>
              <w:t>33</w:t>
            </w:r>
            <w:r w:rsidRPr="00414E7D">
              <w:rPr>
                <w:rFonts w:ascii="Times New Roman" w:hAnsi="Times New Roman"/>
              </w:rPr>
              <w:t>-7</w:t>
            </w:r>
            <w:r w:rsidR="00BF6C63">
              <w:rPr>
                <w:rFonts w:ascii="Times New Roman" w:hAnsi="Times New Roman"/>
              </w:rPr>
              <w:t>21</w:t>
            </w:r>
          </w:p>
        </w:tc>
        <w:tc>
          <w:tcPr>
            <w:tcW w:w="420" w:type="pct"/>
            <w:vAlign w:val="center"/>
          </w:tcPr>
          <w:p w14:paraId="45B4F336" w14:textId="77777777" w:rsidR="00BD2130" w:rsidRPr="00414E7D" w:rsidRDefault="00BD2130" w:rsidP="00BF6C63">
            <w:pPr>
              <w:spacing w:after="0" w:line="240" w:lineRule="auto"/>
              <w:ind w:right="57"/>
              <w:jc w:val="center"/>
              <w:rPr>
                <w:rFonts w:ascii="Times New Roman" w:hAnsi="Times New Roman"/>
              </w:rPr>
            </w:pPr>
            <w:r w:rsidRPr="00414E7D">
              <w:rPr>
                <w:rFonts w:ascii="Times New Roman" w:hAnsi="Times New Roman"/>
              </w:rPr>
              <w:t>4</w:t>
            </w:r>
            <w:r w:rsidR="00BF6C63">
              <w:rPr>
                <w:rFonts w:ascii="Times New Roman" w:hAnsi="Times New Roman"/>
              </w:rPr>
              <w:t>33-721</w:t>
            </w:r>
          </w:p>
        </w:tc>
        <w:tc>
          <w:tcPr>
            <w:tcW w:w="416" w:type="pct"/>
            <w:vAlign w:val="center"/>
          </w:tcPr>
          <w:p w14:paraId="49E330E3"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14:paraId="2BD75F3D"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006D7AC9"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030C1969"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023780F4"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265ACB46"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14:paraId="0F8546E5" w14:textId="77777777" w:rsidTr="00BD2130">
        <w:trPr>
          <w:trHeight w:val="317"/>
          <w:jc w:val="center"/>
        </w:trPr>
        <w:tc>
          <w:tcPr>
            <w:tcW w:w="860" w:type="pct"/>
            <w:vAlign w:val="center"/>
          </w:tcPr>
          <w:p w14:paraId="7E1712A9" w14:textId="77777777" w:rsidR="00BD2130" w:rsidRPr="00414E7D" w:rsidRDefault="00BD2130" w:rsidP="00E62CE3">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Рязанская область</w:t>
            </w:r>
            <w:r w:rsidR="00E62CE3">
              <w:rPr>
                <w:rFonts w:ascii="Times New Roman" w:eastAsia="Times New Roman" w:hAnsi="Times New Roman" w:cs="Times New Roman"/>
                <w:sz w:val="24"/>
                <w:szCs w:val="24"/>
                <w:vertAlign w:val="superscript"/>
                <w:lang w:eastAsia="ru-RU"/>
              </w:rPr>
              <w:t>3</w:t>
            </w:r>
          </w:p>
        </w:tc>
        <w:tc>
          <w:tcPr>
            <w:tcW w:w="411" w:type="pct"/>
            <w:vAlign w:val="center"/>
          </w:tcPr>
          <w:p w14:paraId="5633E05E" w14:textId="77777777" w:rsidR="00BD2130" w:rsidRPr="008737BB" w:rsidRDefault="00BF6C63" w:rsidP="00BF6C63">
            <w:pPr>
              <w:spacing w:after="0" w:line="240" w:lineRule="auto"/>
              <w:ind w:right="57"/>
              <w:jc w:val="center"/>
              <w:rPr>
                <w:rFonts w:ascii="Times New Roman" w:hAnsi="Times New Roman"/>
              </w:rPr>
            </w:pPr>
            <w:r w:rsidRPr="008737BB">
              <w:rPr>
                <w:rFonts w:ascii="Times New Roman" w:hAnsi="Times New Roman"/>
              </w:rPr>
              <w:t>200</w:t>
            </w:r>
            <w:r w:rsidR="00E62CE3" w:rsidRPr="008737BB">
              <w:rPr>
                <w:rFonts w:ascii="Times New Roman" w:hAnsi="Times New Roman"/>
              </w:rPr>
              <w:t>;</w:t>
            </w:r>
            <w:r w:rsidR="00BD2130" w:rsidRPr="008737BB">
              <w:rPr>
                <w:rFonts w:ascii="Times New Roman" w:hAnsi="Times New Roman"/>
              </w:rPr>
              <w:t>3</w:t>
            </w:r>
            <w:r w:rsidRPr="008737BB">
              <w:rPr>
                <w:rFonts w:ascii="Times New Roman" w:hAnsi="Times New Roman"/>
              </w:rPr>
              <w:t>61</w:t>
            </w:r>
            <w:r w:rsidR="00AD4EF5">
              <w:rPr>
                <w:rFonts w:ascii="Times New Roman" w:eastAsia="Times New Roman" w:hAnsi="Times New Roman" w:cs="Times New Roman"/>
                <w:sz w:val="24"/>
                <w:szCs w:val="24"/>
                <w:vertAlign w:val="superscript"/>
                <w:lang w:eastAsia="ru-RU"/>
              </w:rPr>
              <w:t>3</w:t>
            </w:r>
          </w:p>
        </w:tc>
        <w:tc>
          <w:tcPr>
            <w:tcW w:w="413" w:type="pct"/>
            <w:vAlign w:val="center"/>
          </w:tcPr>
          <w:p w14:paraId="1F336379" w14:textId="77777777" w:rsidR="00BD2130" w:rsidRPr="008737BB" w:rsidRDefault="00BD2130" w:rsidP="00BF6C63">
            <w:pPr>
              <w:spacing w:after="0" w:line="240" w:lineRule="auto"/>
              <w:ind w:right="57"/>
              <w:jc w:val="center"/>
              <w:rPr>
                <w:rFonts w:ascii="Times New Roman" w:hAnsi="Times New Roman"/>
              </w:rPr>
            </w:pPr>
            <w:r w:rsidRPr="008737BB">
              <w:rPr>
                <w:rFonts w:ascii="Times New Roman" w:hAnsi="Times New Roman"/>
              </w:rPr>
              <w:t>3</w:t>
            </w:r>
            <w:r w:rsidR="00BF6C63" w:rsidRPr="008737BB">
              <w:rPr>
                <w:rFonts w:ascii="Times New Roman" w:hAnsi="Times New Roman"/>
              </w:rPr>
              <w:t>90</w:t>
            </w:r>
            <w:r w:rsidRPr="008737BB">
              <w:rPr>
                <w:rFonts w:ascii="Times New Roman" w:hAnsi="Times New Roman"/>
              </w:rPr>
              <w:t>-12</w:t>
            </w:r>
            <w:r w:rsidR="00BF6C63" w:rsidRPr="008737BB">
              <w:rPr>
                <w:rFonts w:ascii="Times New Roman" w:hAnsi="Times New Roman"/>
              </w:rPr>
              <w:t>61</w:t>
            </w:r>
          </w:p>
        </w:tc>
        <w:tc>
          <w:tcPr>
            <w:tcW w:w="390" w:type="pct"/>
            <w:vAlign w:val="center"/>
          </w:tcPr>
          <w:p w14:paraId="117BCCF6" w14:textId="77777777" w:rsidR="00BD2130" w:rsidRPr="008737BB" w:rsidRDefault="00BD2130" w:rsidP="00BF6C63">
            <w:pPr>
              <w:spacing w:after="0" w:line="240" w:lineRule="auto"/>
              <w:ind w:right="57"/>
              <w:jc w:val="center"/>
              <w:rPr>
                <w:rFonts w:ascii="Times New Roman" w:hAnsi="Times New Roman"/>
              </w:rPr>
            </w:pPr>
            <w:r w:rsidRPr="008737BB">
              <w:rPr>
                <w:rFonts w:ascii="Times New Roman" w:hAnsi="Times New Roman"/>
              </w:rPr>
              <w:t>2</w:t>
            </w:r>
            <w:r w:rsidR="00BF6C63" w:rsidRPr="008737BB">
              <w:rPr>
                <w:rFonts w:ascii="Times New Roman" w:hAnsi="Times New Roman"/>
              </w:rPr>
              <w:t>40</w:t>
            </w:r>
            <w:r w:rsidRPr="008737BB">
              <w:rPr>
                <w:rFonts w:ascii="Times New Roman" w:hAnsi="Times New Roman"/>
              </w:rPr>
              <w:t>-12</w:t>
            </w:r>
            <w:r w:rsidR="00BF6C63" w:rsidRPr="008737BB">
              <w:rPr>
                <w:rFonts w:ascii="Times New Roman" w:hAnsi="Times New Roman"/>
              </w:rPr>
              <w:t>61</w:t>
            </w:r>
          </w:p>
        </w:tc>
        <w:tc>
          <w:tcPr>
            <w:tcW w:w="420" w:type="pct"/>
            <w:vAlign w:val="center"/>
          </w:tcPr>
          <w:p w14:paraId="5572AF17" w14:textId="77777777" w:rsidR="00BD2130" w:rsidRPr="008737BB" w:rsidRDefault="00BD2130" w:rsidP="00BF6C63">
            <w:pPr>
              <w:spacing w:after="0" w:line="240" w:lineRule="auto"/>
              <w:ind w:right="57"/>
              <w:jc w:val="center"/>
              <w:rPr>
                <w:rFonts w:ascii="Times New Roman" w:hAnsi="Times New Roman"/>
              </w:rPr>
            </w:pPr>
            <w:r w:rsidRPr="008737BB">
              <w:rPr>
                <w:rFonts w:ascii="Times New Roman" w:hAnsi="Times New Roman"/>
              </w:rPr>
              <w:t>2</w:t>
            </w:r>
            <w:r w:rsidR="00BF6C63" w:rsidRPr="008737BB">
              <w:rPr>
                <w:rFonts w:ascii="Times New Roman" w:hAnsi="Times New Roman"/>
              </w:rPr>
              <w:t>40</w:t>
            </w:r>
            <w:r w:rsidRPr="008737BB">
              <w:rPr>
                <w:rFonts w:ascii="Times New Roman" w:hAnsi="Times New Roman"/>
              </w:rPr>
              <w:t>-12</w:t>
            </w:r>
            <w:r w:rsidR="00BF6C63" w:rsidRPr="008737BB">
              <w:rPr>
                <w:rFonts w:ascii="Times New Roman" w:hAnsi="Times New Roman"/>
              </w:rPr>
              <w:t>61</w:t>
            </w:r>
          </w:p>
        </w:tc>
        <w:tc>
          <w:tcPr>
            <w:tcW w:w="416" w:type="pct"/>
            <w:vAlign w:val="center"/>
          </w:tcPr>
          <w:p w14:paraId="2BB3E843" w14:textId="77777777" w:rsidR="00BD2130" w:rsidRPr="008737BB" w:rsidRDefault="00BF6C63" w:rsidP="00BF6C63">
            <w:pPr>
              <w:spacing w:after="0" w:line="240" w:lineRule="auto"/>
              <w:ind w:right="57"/>
              <w:jc w:val="center"/>
              <w:rPr>
                <w:rFonts w:ascii="Times New Roman" w:hAnsi="Times New Roman"/>
              </w:rPr>
            </w:pPr>
            <w:r w:rsidRPr="008737BB">
              <w:rPr>
                <w:rFonts w:ascii="Times New Roman" w:hAnsi="Times New Roman"/>
              </w:rPr>
              <w:t>500</w:t>
            </w:r>
            <w:r w:rsidR="00BD2130" w:rsidRPr="008737BB">
              <w:rPr>
                <w:rFonts w:ascii="Times New Roman" w:hAnsi="Times New Roman"/>
              </w:rPr>
              <w:t>-12</w:t>
            </w:r>
            <w:r w:rsidRPr="008737BB">
              <w:rPr>
                <w:rFonts w:ascii="Times New Roman" w:hAnsi="Times New Roman"/>
              </w:rPr>
              <w:t>61</w:t>
            </w:r>
          </w:p>
        </w:tc>
        <w:tc>
          <w:tcPr>
            <w:tcW w:w="421" w:type="pct"/>
            <w:vAlign w:val="center"/>
          </w:tcPr>
          <w:p w14:paraId="2FE22330" w14:textId="77777777" w:rsidR="00BD2130" w:rsidRPr="008737BB" w:rsidRDefault="00BF6C63" w:rsidP="00BF6C63">
            <w:pPr>
              <w:spacing w:after="0" w:line="240" w:lineRule="auto"/>
              <w:ind w:right="57"/>
              <w:jc w:val="center"/>
              <w:rPr>
                <w:rFonts w:ascii="Times New Roman" w:hAnsi="Times New Roman"/>
              </w:rPr>
            </w:pPr>
            <w:r w:rsidRPr="008737BB">
              <w:rPr>
                <w:rFonts w:ascii="Times New Roman" w:hAnsi="Times New Roman"/>
              </w:rPr>
              <w:t>500</w:t>
            </w:r>
            <w:r w:rsidR="00BD2130" w:rsidRPr="008737BB">
              <w:rPr>
                <w:rFonts w:ascii="Times New Roman" w:hAnsi="Times New Roman"/>
              </w:rPr>
              <w:t>-12</w:t>
            </w:r>
            <w:r w:rsidRPr="008737BB">
              <w:rPr>
                <w:rFonts w:ascii="Times New Roman" w:hAnsi="Times New Roman"/>
              </w:rPr>
              <w:t>61</w:t>
            </w:r>
          </w:p>
        </w:tc>
        <w:tc>
          <w:tcPr>
            <w:tcW w:w="439" w:type="pct"/>
            <w:vAlign w:val="center"/>
          </w:tcPr>
          <w:p w14:paraId="116CC1E8" w14:textId="77777777" w:rsidR="00BD2130" w:rsidRPr="008737BB" w:rsidRDefault="00BF6C63" w:rsidP="00BF6C63">
            <w:pPr>
              <w:spacing w:after="0" w:line="240" w:lineRule="auto"/>
              <w:ind w:right="57"/>
              <w:jc w:val="center"/>
              <w:rPr>
                <w:rFonts w:ascii="Times New Roman" w:hAnsi="Times New Roman"/>
              </w:rPr>
            </w:pPr>
            <w:r w:rsidRPr="008737BB">
              <w:rPr>
                <w:rFonts w:ascii="Times New Roman" w:hAnsi="Times New Roman"/>
              </w:rPr>
              <w:t>500</w:t>
            </w:r>
            <w:r w:rsidR="00BD2130" w:rsidRPr="008737BB">
              <w:rPr>
                <w:rFonts w:ascii="Times New Roman" w:hAnsi="Times New Roman"/>
              </w:rPr>
              <w:t>-12</w:t>
            </w:r>
            <w:r w:rsidRPr="008737BB">
              <w:rPr>
                <w:rFonts w:ascii="Times New Roman" w:hAnsi="Times New Roman"/>
              </w:rPr>
              <w:t>61</w:t>
            </w:r>
          </w:p>
        </w:tc>
        <w:tc>
          <w:tcPr>
            <w:tcW w:w="404" w:type="pct"/>
            <w:vAlign w:val="center"/>
          </w:tcPr>
          <w:p w14:paraId="1457901D" w14:textId="77777777" w:rsidR="00BD2130" w:rsidRPr="008737BB" w:rsidRDefault="00E62CE3" w:rsidP="00BF6C63">
            <w:pPr>
              <w:spacing w:after="0" w:line="240" w:lineRule="auto"/>
              <w:ind w:right="57"/>
              <w:jc w:val="center"/>
              <w:rPr>
                <w:rFonts w:ascii="Times New Roman" w:hAnsi="Times New Roman"/>
              </w:rPr>
            </w:pPr>
            <w:r w:rsidRPr="008737BB">
              <w:rPr>
                <w:rFonts w:ascii="Times New Roman" w:hAnsi="Times New Roman"/>
              </w:rPr>
              <w:t>25</w:t>
            </w:r>
            <w:r w:rsidR="00BF6C63" w:rsidRPr="008737BB">
              <w:rPr>
                <w:rFonts w:ascii="Times New Roman" w:hAnsi="Times New Roman"/>
              </w:rPr>
              <w:t>9</w:t>
            </w:r>
            <w:r w:rsidRPr="008737BB">
              <w:rPr>
                <w:rFonts w:ascii="Times New Roman" w:hAnsi="Times New Roman"/>
              </w:rPr>
              <w:t xml:space="preserve">; </w:t>
            </w:r>
            <w:r w:rsidR="00BD2130" w:rsidRPr="008737BB">
              <w:rPr>
                <w:rFonts w:ascii="Times New Roman" w:hAnsi="Times New Roman"/>
              </w:rPr>
              <w:t>3</w:t>
            </w:r>
            <w:r w:rsidR="00BF6C63" w:rsidRPr="008737BB">
              <w:rPr>
                <w:rFonts w:ascii="Times New Roman" w:hAnsi="Times New Roman"/>
              </w:rPr>
              <w:t>32</w:t>
            </w:r>
            <w:r w:rsidR="00AD4EF5">
              <w:rPr>
                <w:rFonts w:ascii="Times New Roman" w:eastAsia="Times New Roman" w:hAnsi="Times New Roman" w:cs="Times New Roman"/>
                <w:sz w:val="24"/>
                <w:szCs w:val="24"/>
                <w:vertAlign w:val="superscript"/>
                <w:lang w:eastAsia="ru-RU"/>
              </w:rPr>
              <w:t>3</w:t>
            </w:r>
          </w:p>
        </w:tc>
        <w:tc>
          <w:tcPr>
            <w:tcW w:w="434" w:type="pct"/>
            <w:vAlign w:val="center"/>
          </w:tcPr>
          <w:p w14:paraId="7E40702A"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091BEDFA" w14:textId="77777777" w:rsidR="00BD2130" w:rsidRPr="00414E7D" w:rsidRDefault="00BF6C63" w:rsidP="00BF6C63">
            <w:pPr>
              <w:spacing w:after="0" w:line="240" w:lineRule="auto"/>
              <w:ind w:right="57"/>
              <w:jc w:val="center"/>
              <w:rPr>
                <w:rFonts w:ascii="Times New Roman" w:hAnsi="Times New Roman"/>
              </w:rPr>
            </w:pPr>
            <w:r>
              <w:rPr>
                <w:rFonts w:ascii="Times New Roman" w:hAnsi="Times New Roman"/>
              </w:rPr>
              <w:t>300</w:t>
            </w:r>
            <w:r w:rsidR="00BD2130" w:rsidRPr="00414E7D">
              <w:rPr>
                <w:rFonts w:ascii="Times New Roman" w:hAnsi="Times New Roman"/>
              </w:rPr>
              <w:t>-12</w:t>
            </w:r>
            <w:r>
              <w:rPr>
                <w:rFonts w:ascii="Times New Roman" w:hAnsi="Times New Roman"/>
              </w:rPr>
              <w:t>61</w:t>
            </w:r>
          </w:p>
        </w:tc>
      </w:tr>
      <w:tr w:rsidR="00BD2130" w:rsidRPr="00414E7D" w14:paraId="4B846C3D" w14:textId="77777777" w:rsidTr="00BD2130">
        <w:trPr>
          <w:trHeight w:val="317"/>
          <w:jc w:val="center"/>
        </w:trPr>
        <w:tc>
          <w:tcPr>
            <w:tcW w:w="860" w:type="pct"/>
            <w:vAlign w:val="center"/>
          </w:tcPr>
          <w:p w14:paraId="06FD8614" w14:textId="77777777" w:rsidR="00BD2130" w:rsidRPr="00414E7D" w:rsidRDefault="00BD2130" w:rsidP="00D03A4F">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Смоленская область</w:t>
            </w:r>
          </w:p>
        </w:tc>
        <w:tc>
          <w:tcPr>
            <w:tcW w:w="411" w:type="pct"/>
            <w:vAlign w:val="center"/>
          </w:tcPr>
          <w:p w14:paraId="470D5A4C"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700</w:t>
            </w:r>
          </w:p>
        </w:tc>
        <w:tc>
          <w:tcPr>
            <w:tcW w:w="413" w:type="pct"/>
            <w:vAlign w:val="center"/>
          </w:tcPr>
          <w:p w14:paraId="664DF5D1"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1400</w:t>
            </w:r>
          </w:p>
        </w:tc>
        <w:tc>
          <w:tcPr>
            <w:tcW w:w="390" w:type="pct"/>
            <w:vAlign w:val="center"/>
          </w:tcPr>
          <w:p w14:paraId="57DC3575"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1050</w:t>
            </w:r>
          </w:p>
        </w:tc>
        <w:tc>
          <w:tcPr>
            <w:tcW w:w="420" w:type="pct"/>
            <w:vAlign w:val="center"/>
          </w:tcPr>
          <w:p w14:paraId="35FB9DE0"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1050</w:t>
            </w:r>
          </w:p>
        </w:tc>
        <w:tc>
          <w:tcPr>
            <w:tcW w:w="416" w:type="pct"/>
            <w:vAlign w:val="center"/>
          </w:tcPr>
          <w:p w14:paraId="10E46216"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14:paraId="249392F3"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4C794D84"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649FA79A"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5BEDB94D"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49EAB090"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14:paraId="256B4DAA" w14:textId="77777777" w:rsidTr="00BD2130">
        <w:trPr>
          <w:trHeight w:val="317"/>
          <w:jc w:val="center"/>
        </w:trPr>
        <w:tc>
          <w:tcPr>
            <w:tcW w:w="860" w:type="pct"/>
            <w:vAlign w:val="center"/>
          </w:tcPr>
          <w:p w14:paraId="32393787" w14:textId="77777777" w:rsidR="00BD2130" w:rsidRPr="00414E7D" w:rsidRDefault="00BD2130" w:rsidP="00D03A4F">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Тамбовская область</w:t>
            </w:r>
          </w:p>
        </w:tc>
        <w:tc>
          <w:tcPr>
            <w:tcW w:w="411" w:type="pct"/>
            <w:vAlign w:val="center"/>
          </w:tcPr>
          <w:p w14:paraId="581407F0" w14:textId="77777777" w:rsidR="00BD2130" w:rsidRPr="00414E7D" w:rsidRDefault="00BD2130" w:rsidP="003176AC">
            <w:pPr>
              <w:spacing w:after="0" w:line="240" w:lineRule="auto"/>
              <w:ind w:right="57"/>
              <w:jc w:val="center"/>
              <w:rPr>
                <w:rFonts w:ascii="Times New Roman" w:hAnsi="Times New Roman"/>
              </w:rPr>
            </w:pPr>
            <w:r w:rsidRPr="00414E7D">
              <w:rPr>
                <w:rFonts w:ascii="Times New Roman" w:hAnsi="Times New Roman"/>
              </w:rPr>
              <w:t>2</w:t>
            </w:r>
            <w:r w:rsidR="003176AC">
              <w:rPr>
                <w:rFonts w:ascii="Times New Roman" w:hAnsi="Times New Roman"/>
              </w:rPr>
              <w:t>12</w:t>
            </w:r>
          </w:p>
        </w:tc>
        <w:tc>
          <w:tcPr>
            <w:tcW w:w="413" w:type="pct"/>
            <w:vAlign w:val="center"/>
          </w:tcPr>
          <w:p w14:paraId="1381707C" w14:textId="77777777" w:rsidR="00BD2130" w:rsidRPr="00414E7D" w:rsidRDefault="00BD2130" w:rsidP="003176AC">
            <w:pPr>
              <w:spacing w:after="0" w:line="240" w:lineRule="auto"/>
              <w:ind w:right="57"/>
              <w:jc w:val="center"/>
              <w:rPr>
                <w:rFonts w:ascii="Times New Roman" w:hAnsi="Times New Roman"/>
              </w:rPr>
            </w:pPr>
            <w:r w:rsidRPr="00414E7D">
              <w:rPr>
                <w:rFonts w:ascii="Times New Roman" w:hAnsi="Times New Roman"/>
              </w:rPr>
              <w:t>3</w:t>
            </w:r>
            <w:r w:rsidR="003176AC">
              <w:rPr>
                <w:rFonts w:ascii="Times New Roman" w:hAnsi="Times New Roman"/>
              </w:rPr>
              <w:t>96</w:t>
            </w:r>
          </w:p>
        </w:tc>
        <w:tc>
          <w:tcPr>
            <w:tcW w:w="390" w:type="pct"/>
            <w:vAlign w:val="center"/>
          </w:tcPr>
          <w:p w14:paraId="67C506E8" w14:textId="77777777" w:rsidR="00BD2130" w:rsidRPr="00414E7D" w:rsidRDefault="00BD2130" w:rsidP="003176AC">
            <w:pPr>
              <w:spacing w:after="0" w:line="240" w:lineRule="auto"/>
              <w:ind w:right="57"/>
              <w:jc w:val="center"/>
              <w:rPr>
                <w:rFonts w:ascii="Times New Roman" w:hAnsi="Times New Roman"/>
              </w:rPr>
            </w:pPr>
            <w:r w:rsidRPr="00414E7D">
              <w:rPr>
                <w:rFonts w:ascii="Times New Roman" w:hAnsi="Times New Roman"/>
              </w:rPr>
              <w:t>3</w:t>
            </w:r>
            <w:r w:rsidR="003176AC">
              <w:rPr>
                <w:rFonts w:ascii="Times New Roman" w:hAnsi="Times New Roman"/>
              </w:rPr>
              <w:t>96</w:t>
            </w:r>
          </w:p>
        </w:tc>
        <w:tc>
          <w:tcPr>
            <w:tcW w:w="420" w:type="pct"/>
            <w:vAlign w:val="center"/>
          </w:tcPr>
          <w:p w14:paraId="0CA6E586" w14:textId="77777777" w:rsidR="00BD2130" w:rsidRPr="00414E7D" w:rsidRDefault="00BD2130" w:rsidP="003176AC">
            <w:pPr>
              <w:spacing w:after="0" w:line="240" w:lineRule="auto"/>
              <w:ind w:right="57"/>
              <w:jc w:val="center"/>
              <w:rPr>
                <w:rFonts w:ascii="Times New Roman" w:hAnsi="Times New Roman"/>
              </w:rPr>
            </w:pPr>
            <w:r w:rsidRPr="00414E7D">
              <w:rPr>
                <w:rFonts w:ascii="Times New Roman" w:hAnsi="Times New Roman"/>
              </w:rPr>
              <w:t>3</w:t>
            </w:r>
            <w:r w:rsidR="003176AC">
              <w:rPr>
                <w:rFonts w:ascii="Times New Roman" w:hAnsi="Times New Roman"/>
              </w:rPr>
              <w:t>96</w:t>
            </w:r>
          </w:p>
        </w:tc>
        <w:tc>
          <w:tcPr>
            <w:tcW w:w="416" w:type="pct"/>
            <w:vAlign w:val="center"/>
          </w:tcPr>
          <w:p w14:paraId="79C00717" w14:textId="77777777" w:rsidR="00BD2130" w:rsidRPr="00414E7D" w:rsidRDefault="00BD2130" w:rsidP="003176AC">
            <w:pPr>
              <w:spacing w:after="0" w:line="240" w:lineRule="auto"/>
              <w:ind w:right="57"/>
              <w:jc w:val="center"/>
              <w:rPr>
                <w:rFonts w:ascii="Times New Roman" w:hAnsi="Times New Roman"/>
              </w:rPr>
            </w:pPr>
            <w:r w:rsidRPr="00414E7D">
              <w:rPr>
                <w:rFonts w:ascii="Times New Roman" w:hAnsi="Times New Roman"/>
              </w:rPr>
              <w:t>4</w:t>
            </w:r>
            <w:r w:rsidR="003176AC">
              <w:rPr>
                <w:rFonts w:ascii="Times New Roman" w:hAnsi="Times New Roman"/>
              </w:rPr>
              <w:t>59</w:t>
            </w:r>
          </w:p>
        </w:tc>
        <w:tc>
          <w:tcPr>
            <w:tcW w:w="421" w:type="pct"/>
            <w:vAlign w:val="center"/>
          </w:tcPr>
          <w:p w14:paraId="56DCED26"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7482A4F1"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52FE9F18" w14:textId="77777777" w:rsidR="00BD2130" w:rsidRPr="00414E7D" w:rsidRDefault="00BD2130" w:rsidP="003176AC">
            <w:pPr>
              <w:spacing w:after="0" w:line="240" w:lineRule="auto"/>
              <w:ind w:right="57"/>
              <w:jc w:val="center"/>
              <w:rPr>
                <w:rFonts w:ascii="Times New Roman" w:hAnsi="Times New Roman"/>
              </w:rPr>
            </w:pPr>
            <w:r w:rsidRPr="00414E7D">
              <w:rPr>
                <w:rFonts w:ascii="Times New Roman" w:hAnsi="Times New Roman"/>
              </w:rPr>
              <w:t>2</w:t>
            </w:r>
            <w:r w:rsidR="003176AC">
              <w:rPr>
                <w:rFonts w:ascii="Times New Roman" w:hAnsi="Times New Roman"/>
              </w:rPr>
              <w:t>8</w:t>
            </w:r>
            <w:r w:rsidRPr="00414E7D">
              <w:rPr>
                <w:rFonts w:ascii="Times New Roman" w:hAnsi="Times New Roman"/>
              </w:rPr>
              <w:t>4</w:t>
            </w:r>
          </w:p>
        </w:tc>
        <w:tc>
          <w:tcPr>
            <w:tcW w:w="434" w:type="pct"/>
            <w:vAlign w:val="center"/>
          </w:tcPr>
          <w:p w14:paraId="0D2A4B24"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2A915B60" w14:textId="77777777" w:rsidR="00BD2130" w:rsidRPr="00414E7D" w:rsidRDefault="00BD2130" w:rsidP="003176AC">
            <w:pPr>
              <w:spacing w:after="0" w:line="240" w:lineRule="auto"/>
              <w:ind w:right="57"/>
              <w:jc w:val="center"/>
              <w:rPr>
                <w:rFonts w:ascii="Times New Roman" w:hAnsi="Times New Roman"/>
              </w:rPr>
            </w:pPr>
            <w:r w:rsidRPr="00414E7D">
              <w:rPr>
                <w:rFonts w:ascii="Times New Roman" w:hAnsi="Times New Roman"/>
              </w:rPr>
              <w:t>4</w:t>
            </w:r>
            <w:r w:rsidR="003176AC">
              <w:rPr>
                <w:rFonts w:ascii="Times New Roman" w:hAnsi="Times New Roman"/>
              </w:rPr>
              <w:t>59</w:t>
            </w:r>
          </w:p>
        </w:tc>
      </w:tr>
      <w:tr w:rsidR="00BD2130" w:rsidRPr="00414E7D" w14:paraId="0D3B35D5" w14:textId="77777777" w:rsidTr="00BD2130">
        <w:trPr>
          <w:trHeight w:val="317"/>
          <w:jc w:val="center"/>
        </w:trPr>
        <w:tc>
          <w:tcPr>
            <w:tcW w:w="860" w:type="pct"/>
            <w:vAlign w:val="center"/>
          </w:tcPr>
          <w:p w14:paraId="208F39CB" w14:textId="77777777"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Тверская область</w:t>
            </w:r>
          </w:p>
        </w:tc>
        <w:tc>
          <w:tcPr>
            <w:tcW w:w="411" w:type="pct"/>
            <w:vAlign w:val="center"/>
          </w:tcPr>
          <w:p w14:paraId="31A8DBB7" w14:textId="77777777" w:rsidR="00BD2130" w:rsidRPr="00414E7D" w:rsidRDefault="00BD2130" w:rsidP="003176AC">
            <w:pPr>
              <w:spacing w:after="0" w:line="240" w:lineRule="auto"/>
              <w:ind w:right="57"/>
              <w:jc w:val="center"/>
              <w:rPr>
                <w:rFonts w:ascii="Times New Roman" w:hAnsi="Times New Roman"/>
              </w:rPr>
            </w:pPr>
            <w:r w:rsidRPr="00414E7D">
              <w:rPr>
                <w:rFonts w:ascii="Times New Roman" w:hAnsi="Times New Roman"/>
              </w:rPr>
              <w:t>2</w:t>
            </w:r>
            <w:r w:rsidR="003176AC">
              <w:rPr>
                <w:rFonts w:ascii="Times New Roman" w:hAnsi="Times New Roman"/>
              </w:rPr>
              <w:t>37</w:t>
            </w:r>
          </w:p>
        </w:tc>
        <w:tc>
          <w:tcPr>
            <w:tcW w:w="413" w:type="pct"/>
            <w:vAlign w:val="center"/>
          </w:tcPr>
          <w:p w14:paraId="3601D372" w14:textId="77777777" w:rsidR="00BD2130" w:rsidRPr="00414E7D" w:rsidRDefault="00BD2130" w:rsidP="003176AC">
            <w:pPr>
              <w:spacing w:after="0" w:line="240" w:lineRule="auto"/>
              <w:ind w:right="57"/>
              <w:jc w:val="center"/>
              <w:rPr>
                <w:rFonts w:ascii="Times New Roman" w:hAnsi="Times New Roman"/>
              </w:rPr>
            </w:pPr>
            <w:r w:rsidRPr="00414E7D">
              <w:rPr>
                <w:rFonts w:ascii="Times New Roman" w:hAnsi="Times New Roman"/>
              </w:rPr>
              <w:t>4</w:t>
            </w:r>
            <w:r w:rsidR="003176AC">
              <w:rPr>
                <w:rFonts w:ascii="Times New Roman" w:hAnsi="Times New Roman"/>
              </w:rPr>
              <w:t>74</w:t>
            </w:r>
          </w:p>
        </w:tc>
        <w:tc>
          <w:tcPr>
            <w:tcW w:w="390" w:type="pct"/>
            <w:vAlign w:val="center"/>
          </w:tcPr>
          <w:p w14:paraId="7F199FB1" w14:textId="77777777" w:rsidR="00BD2130" w:rsidRPr="00414E7D" w:rsidRDefault="00BD2130" w:rsidP="003176AC">
            <w:pPr>
              <w:spacing w:after="0" w:line="240" w:lineRule="auto"/>
              <w:ind w:right="57"/>
              <w:jc w:val="center"/>
              <w:rPr>
                <w:rFonts w:ascii="Times New Roman" w:hAnsi="Times New Roman"/>
              </w:rPr>
            </w:pPr>
            <w:r w:rsidRPr="00414E7D">
              <w:rPr>
                <w:rFonts w:ascii="Times New Roman" w:hAnsi="Times New Roman"/>
              </w:rPr>
              <w:t>4</w:t>
            </w:r>
            <w:r w:rsidR="003176AC">
              <w:rPr>
                <w:rFonts w:ascii="Times New Roman" w:hAnsi="Times New Roman"/>
              </w:rPr>
              <w:t>74</w:t>
            </w:r>
          </w:p>
        </w:tc>
        <w:tc>
          <w:tcPr>
            <w:tcW w:w="420" w:type="pct"/>
            <w:vAlign w:val="center"/>
          </w:tcPr>
          <w:p w14:paraId="15103CFE" w14:textId="77777777" w:rsidR="00BD2130" w:rsidRPr="00414E7D" w:rsidRDefault="00BD2130" w:rsidP="003176AC">
            <w:pPr>
              <w:spacing w:after="0" w:line="240" w:lineRule="auto"/>
              <w:ind w:right="57"/>
              <w:jc w:val="center"/>
              <w:rPr>
                <w:rFonts w:ascii="Times New Roman" w:hAnsi="Times New Roman"/>
              </w:rPr>
            </w:pPr>
            <w:r w:rsidRPr="00414E7D">
              <w:rPr>
                <w:rFonts w:ascii="Times New Roman" w:hAnsi="Times New Roman"/>
              </w:rPr>
              <w:t>4</w:t>
            </w:r>
            <w:r w:rsidR="003176AC">
              <w:rPr>
                <w:rFonts w:ascii="Times New Roman" w:hAnsi="Times New Roman"/>
              </w:rPr>
              <w:t>74</w:t>
            </w:r>
          </w:p>
        </w:tc>
        <w:tc>
          <w:tcPr>
            <w:tcW w:w="416" w:type="pct"/>
            <w:vAlign w:val="center"/>
          </w:tcPr>
          <w:p w14:paraId="2B00A122"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14:paraId="52326C6B"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73762141"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15E6B965"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4F63180E"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279EAC0D" w14:textId="77777777" w:rsidR="00BD2130" w:rsidRPr="00414E7D" w:rsidRDefault="003176AC" w:rsidP="003176AC">
            <w:pPr>
              <w:spacing w:after="0" w:line="240" w:lineRule="auto"/>
              <w:ind w:right="57"/>
              <w:jc w:val="center"/>
              <w:rPr>
                <w:rFonts w:ascii="Times New Roman" w:hAnsi="Times New Roman"/>
              </w:rPr>
            </w:pPr>
            <w:r>
              <w:rPr>
                <w:rFonts w:ascii="Times New Roman" w:hAnsi="Times New Roman"/>
              </w:rPr>
              <w:t>474</w:t>
            </w:r>
          </w:p>
        </w:tc>
      </w:tr>
      <w:tr w:rsidR="00BD2130" w:rsidRPr="00414E7D" w14:paraId="04CA2D1C" w14:textId="77777777" w:rsidTr="00BD2130">
        <w:trPr>
          <w:trHeight w:val="317"/>
          <w:jc w:val="center"/>
        </w:trPr>
        <w:tc>
          <w:tcPr>
            <w:tcW w:w="860" w:type="pct"/>
            <w:vAlign w:val="center"/>
          </w:tcPr>
          <w:p w14:paraId="338CEE51" w14:textId="77777777"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Тульская область</w:t>
            </w:r>
          </w:p>
        </w:tc>
        <w:tc>
          <w:tcPr>
            <w:tcW w:w="411" w:type="pct"/>
            <w:vAlign w:val="center"/>
          </w:tcPr>
          <w:p w14:paraId="409F6D45" w14:textId="77777777" w:rsidR="00BD2130" w:rsidRPr="00414E7D" w:rsidRDefault="00BD2130" w:rsidP="003176AC">
            <w:pPr>
              <w:spacing w:after="0" w:line="240" w:lineRule="auto"/>
              <w:ind w:right="57"/>
              <w:jc w:val="center"/>
              <w:rPr>
                <w:rFonts w:ascii="Times New Roman" w:hAnsi="Times New Roman"/>
              </w:rPr>
            </w:pPr>
            <w:r w:rsidRPr="00414E7D">
              <w:rPr>
                <w:rFonts w:ascii="Times New Roman" w:hAnsi="Times New Roman"/>
              </w:rPr>
              <w:t>4</w:t>
            </w:r>
            <w:r w:rsidR="003176AC">
              <w:rPr>
                <w:rFonts w:ascii="Times New Roman" w:hAnsi="Times New Roman"/>
              </w:rPr>
              <w:t>22</w:t>
            </w:r>
          </w:p>
        </w:tc>
        <w:tc>
          <w:tcPr>
            <w:tcW w:w="413" w:type="pct"/>
            <w:vAlign w:val="center"/>
          </w:tcPr>
          <w:p w14:paraId="3F2FD3B9" w14:textId="77777777" w:rsidR="00BD2130" w:rsidRPr="00414E7D" w:rsidRDefault="00BD2130" w:rsidP="003176AC">
            <w:pPr>
              <w:spacing w:after="0" w:line="240" w:lineRule="auto"/>
              <w:ind w:right="57"/>
              <w:jc w:val="center"/>
              <w:rPr>
                <w:rFonts w:ascii="Times New Roman" w:hAnsi="Times New Roman"/>
              </w:rPr>
            </w:pPr>
            <w:r w:rsidRPr="00414E7D">
              <w:rPr>
                <w:rFonts w:ascii="Times New Roman" w:hAnsi="Times New Roman"/>
              </w:rPr>
              <w:t>8</w:t>
            </w:r>
            <w:r w:rsidR="003176AC">
              <w:rPr>
                <w:rFonts w:ascii="Times New Roman" w:hAnsi="Times New Roman"/>
              </w:rPr>
              <w:t>4</w:t>
            </w:r>
            <w:r w:rsidRPr="00414E7D">
              <w:rPr>
                <w:rFonts w:ascii="Times New Roman" w:hAnsi="Times New Roman"/>
              </w:rPr>
              <w:t>5</w:t>
            </w:r>
          </w:p>
        </w:tc>
        <w:tc>
          <w:tcPr>
            <w:tcW w:w="390" w:type="pct"/>
            <w:vAlign w:val="center"/>
          </w:tcPr>
          <w:p w14:paraId="28DA2A03" w14:textId="77777777" w:rsidR="00BD2130" w:rsidRPr="00414E7D" w:rsidRDefault="00BD2130" w:rsidP="003176AC">
            <w:pPr>
              <w:spacing w:after="0" w:line="240" w:lineRule="auto"/>
              <w:ind w:right="57"/>
              <w:jc w:val="center"/>
              <w:rPr>
                <w:rFonts w:ascii="Times New Roman" w:hAnsi="Times New Roman"/>
              </w:rPr>
            </w:pPr>
            <w:r w:rsidRPr="00414E7D">
              <w:rPr>
                <w:rFonts w:ascii="Times New Roman" w:hAnsi="Times New Roman"/>
              </w:rPr>
              <w:t>6</w:t>
            </w:r>
            <w:r w:rsidR="003176AC">
              <w:rPr>
                <w:rFonts w:ascii="Times New Roman" w:hAnsi="Times New Roman"/>
              </w:rPr>
              <w:t>34</w:t>
            </w:r>
          </w:p>
        </w:tc>
        <w:tc>
          <w:tcPr>
            <w:tcW w:w="420" w:type="pct"/>
            <w:vAlign w:val="center"/>
          </w:tcPr>
          <w:p w14:paraId="548A8BB5" w14:textId="77777777" w:rsidR="00BD2130" w:rsidRPr="00414E7D" w:rsidRDefault="00BD2130" w:rsidP="003176AC">
            <w:pPr>
              <w:spacing w:after="0" w:line="240" w:lineRule="auto"/>
              <w:ind w:right="57"/>
              <w:jc w:val="center"/>
              <w:rPr>
                <w:rFonts w:ascii="Times New Roman" w:hAnsi="Times New Roman"/>
              </w:rPr>
            </w:pPr>
            <w:r w:rsidRPr="00414E7D">
              <w:rPr>
                <w:rFonts w:ascii="Times New Roman" w:hAnsi="Times New Roman"/>
              </w:rPr>
              <w:t>6</w:t>
            </w:r>
            <w:r w:rsidR="003176AC">
              <w:rPr>
                <w:rFonts w:ascii="Times New Roman" w:hAnsi="Times New Roman"/>
              </w:rPr>
              <w:t>34</w:t>
            </w:r>
          </w:p>
        </w:tc>
        <w:tc>
          <w:tcPr>
            <w:tcW w:w="416" w:type="pct"/>
            <w:vAlign w:val="center"/>
          </w:tcPr>
          <w:p w14:paraId="621E77B1"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14:paraId="45E2B271"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24E47D88"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6CB09422"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4D2FD25D"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3EA616EC"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14:paraId="26DA3DC8" w14:textId="77777777" w:rsidTr="00BD2130">
        <w:trPr>
          <w:trHeight w:val="317"/>
          <w:jc w:val="center"/>
        </w:trPr>
        <w:tc>
          <w:tcPr>
            <w:tcW w:w="860" w:type="pct"/>
            <w:vAlign w:val="center"/>
          </w:tcPr>
          <w:p w14:paraId="5B3148B0" w14:textId="77777777" w:rsidR="00BD2130" w:rsidRPr="00414E7D" w:rsidRDefault="00BD2130" w:rsidP="003176AC">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Ярославская область</w:t>
            </w:r>
            <w:r w:rsidR="003176AC">
              <w:rPr>
                <w:rFonts w:ascii="Times New Roman" w:eastAsia="Times New Roman" w:hAnsi="Times New Roman" w:cs="Times New Roman"/>
                <w:sz w:val="24"/>
                <w:szCs w:val="24"/>
                <w:vertAlign w:val="superscript"/>
                <w:lang w:eastAsia="ru-RU"/>
              </w:rPr>
              <w:t>1</w:t>
            </w:r>
          </w:p>
        </w:tc>
        <w:tc>
          <w:tcPr>
            <w:tcW w:w="411" w:type="pct"/>
            <w:vAlign w:val="center"/>
          </w:tcPr>
          <w:p w14:paraId="0CBE66A6"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423-594</w:t>
            </w:r>
          </w:p>
        </w:tc>
        <w:tc>
          <w:tcPr>
            <w:tcW w:w="413" w:type="pct"/>
            <w:vAlign w:val="center"/>
          </w:tcPr>
          <w:p w14:paraId="7F74B88E"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541-801</w:t>
            </w:r>
          </w:p>
        </w:tc>
        <w:tc>
          <w:tcPr>
            <w:tcW w:w="390" w:type="pct"/>
            <w:vAlign w:val="center"/>
          </w:tcPr>
          <w:p w14:paraId="3BD92003"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541-801</w:t>
            </w:r>
          </w:p>
        </w:tc>
        <w:tc>
          <w:tcPr>
            <w:tcW w:w="420" w:type="pct"/>
            <w:vAlign w:val="center"/>
          </w:tcPr>
          <w:p w14:paraId="13ADF9D2"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541-801</w:t>
            </w:r>
          </w:p>
        </w:tc>
        <w:tc>
          <w:tcPr>
            <w:tcW w:w="416" w:type="pct"/>
            <w:vAlign w:val="center"/>
          </w:tcPr>
          <w:p w14:paraId="1455A1E4"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436-682</w:t>
            </w:r>
          </w:p>
        </w:tc>
        <w:tc>
          <w:tcPr>
            <w:tcW w:w="421" w:type="pct"/>
            <w:vAlign w:val="center"/>
          </w:tcPr>
          <w:p w14:paraId="34306EF0"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682</w:t>
            </w:r>
          </w:p>
        </w:tc>
        <w:tc>
          <w:tcPr>
            <w:tcW w:w="439" w:type="pct"/>
            <w:vAlign w:val="center"/>
          </w:tcPr>
          <w:p w14:paraId="411CAF20"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436</w:t>
            </w:r>
          </w:p>
        </w:tc>
        <w:tc>
          <w:tcPr>
            <w:tcW w:w="404" w:type="pct"/>
            <w:vAlign w:val="center"/>
          </w:tcPr>
          <w:p w14:paraId="04773279"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6BD8093F"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541-801</w:t>
            </w:r>
          </w:p>
        </w:tc>
        <w:tc>
          <w:tcPr>
            <w:tcW w:w="392" w:type="pct"/>
            <w:vAlign w:val="center"/>
          </w:tcPr>
          <w:p w14:paraId="59E7A60E"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436-977</w:t>
            </w:r>
          </w:p>
        </w:tc>
      </w:tr>
      <w:tr w:rsidR="00BD2130" w:rsidRPr="00414E7D" w14:paraId="1611CD90" w14:textId="77777777" w:rsidTr="00BD2130">
        <w:trPr>
          <w:trHeight w:val="317"/>
          <w:jc w:val="center"/>
        </w:trPr>
        <w:tc>
          <w:tcPr>
            <w:tcW w:w="860" w:type="pct"/>
            <w:vAlign w:val="center"/>
          </w:tcPr>
          <w:p w14:paraId="1D80DB34" w14:textId="77777777" w:rsidR="00BD2130" w:rsidRPr="00414E7D" w:rsidRDefault="00BD2130" w:rsidP="00E62CE3">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г. Москва</w:t>
            </w:r>
          </w:p>
        </w:tc>
        <w:tc>
          <w:tcPr>
            <w:tcW w:w="411" w:type="pct"/>
            <w:vAlign w:val="center"/>
          </w:tcPr>
          <w:p w14:paraId="7366208C" w14:textId="77777777" w:rsidR="00BD2130" w:rsidRPr="00414E7D" w:rsidRDefault="00BD2130" w:rsidP="003176AC">
            <w:pPr>
              <w:spacing w:after="0" w:line="240" w:lineRule="auto"/>
              <w:ind w:right="57"/>
              <w:jc w:val="center"/>
              <w:rPr>
                <w:rFonts w:ascii="Times New Roman" w:hAnsi="Times New Roman"/>
              </w:rPr>
            </w:pPr>
            <w:r w:rsidRPr="00414E7D">
              <w:rPr>
                <w:rFonts w:ascii="Times New Roman" w:hAnsi="Times New Roman"/>
              </w:rPr>
              <w:t>4</w:t>
            </w:r>
            <w:r w:rsidR="003176AC">
              <w:rPr>
                <w:rFonts w:ascii="Times New Roman" w:hAnsi="Times New Roman"/>
              </w:rPr>
              <w:t>381</w:t>
            </w:r>
          </w:p>
        </w:tc>
        <w:tc>
          <w:tcPr>
            <w:tcW w:w="413" w:type="pct"/>
            <w:vAlign w:val="center"/>
          </w:tcPr>
          <w:p w14:paraId="2FFB7FB7" w14:textId="77777777" w:rsidR="00BD2130" w:rsidRPr="00414E7D" w:rsidRDefault="00BD2130" w:rsidP="003176AC">
            <w:pPr>
              <w:spacing w:after="0" w:line="240" w:lineRule="auto"/>
              <w:ind w:right="57"/>
              <w:jc w:val="center"/>
              <w:rPr>
                <w:rFonts w:ascii="Times New Roman" w:hAnsi="Times New Roman"/>
              </w:rPr>
            </w:pPr>
            <w:r w:rsidRPr="00414E7D">
              <w:rPr>
                <w:rFonts w:ascii="Times New Roman" w:hAnsi="Times New Roman"/>
              </w:rPr>
              <w:t>6</w:t>
            </w:r>
            <w:r w:rsidR="003176AC">
              <w:rPr>
                <w:rFonts w:ascii="Times New Roman" w:hAnsi="Times New Roman"/>
              </w:rPr>
              <w:t>571</w:t>
            </w:r>
          </w:p>
        </w:tc>
        <w:tc>
          <w:tcPr>
            <w:tcW w:w="390" w:type="pct"/>
            <w:vAlign w:val="center"/>
          </w:tcPr>
          <w:p w14:paraId="5E5F55D6" w14:textId="77777777" w:rsidR="00BD2130" w:rsidRPr="00414E7D" w:rsidRDefault="00BD2130" w:rsidP="003176AC">
            <w:pPr>
              <w:spacing w:after="0" w:line="240" w:lineRule="auto"/>
              <w:ind w:right="57"/>
              <w:jc w:val="center"/>
              <w:rPr>
                <w:rFonts w:ascii="Times New Roman" w:hAnsi="Times New Roman"/>
              </w:rPr>
            </w:pPr>
            <w:r w:rsidRPr="00414E7D">
              <w:rPr>
                <w:rFonts w:ascii="Times New Roman" w:hAnsi="Times New Roman"/>
              </w:rPr>
              <w:t>6</w:t>
            </w:r>
            <w:r w:rsidR="003176AC">
              <w:rPr>
                <w:rFonts w:ascii="Times New Roman" w:hAnsi="Times New Roman"/>
              </w:rPr>
              <w:t>571</w:t>
            </w:r>
          </w:p>
        </w:tc>
        <w:tc>
          <w:tcPr>
            <w:tcW w:w="420" w:type="pct"/>
            <w:vAlign w:val="center"/>
          </w:tcPr>
          <w:p w14:paraId="0A6CE217" w14:textId="77777777" w:rsidR="00BD2130" w:rsidRPr="00414E7D" w:rsidRDefault="00BD2130" w:rsidP="003176AC">
            <w:pPr>
              <w:spacing w:after="0" w:line="240" w:lineRule="auto"/>
              <w:ind w:right="57"/>
              <w:jc w:val="center"/>
              <w:rPr>
                <w:rFonts w:ascii="Times New Roman" w:hAnsi="Times New Roman"/>
              </w:rPr>
            </w:pPr>
            <w:r w:rsidRPr="00414E7D">
              <w:rPr>
                <w:rFonts w:ascii="Times New Roman" w:hAnsi="Times New Roman"/>
              </w:rPr>
              <w:t>6</w:t>
            </w:r>
            <w:r w:rsidR="003176AC">
              <w:rPr>
                <w:rFonts w:ascii="Times New Roman" w:hAnsi="Times New Roman"/>
              </w:rPr>
              <w:t>571</w:t>
            </w:r>
          </w:p>
        </w:tc>
        <w:tc>
          <w:tcPr>
            <w:tcW w:w="416" w:type="pct"/>
            <w:vAlign w:val="center"/>
          </w:tcPr>
          <w:p w14:paraId="0E2A3CB0" w14:textId="77777777" w:rsidR="00BD2130" w:rsidRPr="00414E7D" w:rsidRDefault="00BD2130" w:rsidP="003176AC">
            <w:pPr>
              <w:spacing w:after="0" w:line="240" w:lineRule="auto"/>
              <w:ind w:right="57"/>
              <w:jc w:val="center"/>
              <w:rPr>
                <w:rFonts w:ascii="Times New Roman" w:hAnsi="Times New Roman"/>
              </w:rPr>
            </w:pPr>
            <w:r w:rsidRPr="00414E7D">
              <w:rPr>
                <w:rFonts w:ascii="Times New Roman" w:hAnsi="Times New Roman"/>
              </w:rPr>
              <w:t>4</w:t>
            </w:r>
            <w:r w:rsidR="003176AC">
              <w:rPr>
                <w:rFonts w:ascii="Times New Roman" w:hAnsi="Times New Roman"/>
              </w:rPr>
              <w:t>381</w:t>
            </w:r>
          </w:p>
        </w:tc>
        <w:tc>
          <w:tcPr>
            <w:tcW w:w="421" w:type="pct"/>
            <w:vAlign w:val="center"/>
          </w:tcPr>
          <w:p w14:paraId="0566E57D" w14:textId="77777777" w:rsidR="00BD2130" w:rsidRPr="00414E7D" w:rsidRDefault="00BD2130" w:rsidP="003176AC">
            <w:pPr>
              <w:spacing w:after="0" w:line="240" w:lineRule="auto"/>
              <w:ind w:right="57"/>
              <w:jc w:val="center"/>
              <w:rPr>
                <w:rFonts w:ascii="Times New Roman" w:hAnsi="Times New Roman"/>
              </w:rPr>
            </w:pPr>
            <w:r w:rsidRPr="00414E7D">
              <w:rPr>
                <w:rFonts w:ascii="Times New Roman" w:hAnsi="Times New Roman"/>
              </w:rPr>
              <w:t>10</w:t>
            </w:r>
            <w:r w:rsidR="003176AC">
              <w:rPr>
                <w:rFonts w:ascii="Times New Roman" w:hAnsi="Times New Roman"/>
              </w:rPr>
              <w:t>951</w:t>
            </w:r>
          </w:p>
        </w:tc>
        <w:tc>
          <w:tcPr>
            <w:tcW w:w="439" w:type="pct"/>
            <w:vAlign w:val="center"/>
          </w:tcPr>
          <w:p w14:paraId="577E8CB4" w14:textId="77777777" w:rsidR="00BD2130" w:rsidRPr="00414E7D" w:rsidRDefault="00BD2130" w:rsidP="003176AC">
            <w:pPr>
              <w:spacing w:after="0" w:line="240" w:lineRule="auto"/>
              <w:ind w:right="57"/>
              <w:jc w:val="center"/>
              <w:rPr>
                <w:rFonts w:ascii="Times New Roman" w:hAnsi="Times New Roman"/>
              </w:rPr>
            </w:pPr>
            <w:r w:rsidRPr="00414E7D">
              <w:rPr>
                <w:rFonts w:ascii="Times New Roman" w:hAnsi="Times New Roman"/>
              </w:rPr>
              <w:t>4</w:t>
            </w:r>
            <w:r w:rsidR="003176AC">
              <w:rPr>
                <w:rFonts w:ascii="Times New Roman" w:hAnsi="Times New Roman"/>
              </w:rPr>
              <w:t>381</w:t>
            </w:r>
          </w:p>
        </w:tc>
        <w:tc>
          <w:tcPr>
            <w:tcW w:w="404" w:type="pct"/>
            <w:vAlign w:val="center"/>
          </w:tcPr>
          <w:p w14:paraId="2CE8BA3F" w14:textId="77777777" w:rsidR="00BD2130" w:rsidRPr="00414E7D" w:rsidRDefault="00BD2130" w:rsidP="003176AC">
            <w:pPr>
              <w:spacing w:after="0" w:line="240" w:lineRule="auto"/>
              <w:ind w:right="57"/>
              <w:jc w:val="center"/>
              <w:rPr>
                <w:rFonts w:ascii="Times New Roman" w:hAnsi="Times New Roman"/>
              </w:rPr>
            </w:pPr>
            <w:r w:rsidRPr="00414E7D">
              <w:rPr>
                <w:rFonts w:ascii="Times New Roman" w:hAnsi="Times New Roman"/>
              </w:rPr>
              <w:t>4</w:t>
            </w:r>
            <w:r w:rsidR="003176AC">
              <w:rPr>
                <w:rFonts w:ascii="Times New Roman" w:hAnsi="Times New Roman"/>
              </w:rPr>
              <w:t>381</w:t>
            </w:r>
          </w:p>
        </w:tc>
        <w:tc>
          <w:tcPr>
            <w:tcW w:w="434" w:type="pct"/>
            <w:vAlign w:val="center"/>
          </w:tcPr>
          <w:p w14:paraId="773DC917" w14:textId="77777777" w:rsidR="00BD2130" w:rsidRPr="00414E7D" w:rsidRDefault="00BD2130" w:rsidP="003176AC">
            <w:pPr>
              <w:spacing w:after="0" w:line="240" w:lineRule="auto"/>
              <w:ind w:right="57"/>
              <w:jc w:val="center"/>
              <w:rPr>
                <w:rFonts w:ascii="Times New Roman" w:hAnsi="Times New Roman"/>
              </w:rPr>
            </w:pPr>
            <w:r w:rsidRPr="00414E7D">
              <w:rPr>
                <w:rFonts w:ascii="Times New Roman" w:hAnsi="Times New Roman"/>
              </w:rPr>
              <w:t>4</w:t>
            </w:r>
            <w:r w:rsidR="003176AC">
              <w:rPr>
                <w:rFonts w:ascii="Times New Roman" w:hAnsi="Times New Roman"/>
              </w:rPr>
              <w:t>381</w:t>
            </w:r>
          </w:p>
        </w:tc>
        <w:tc>
          <w:tcPr>
            <w:tcW w:w="392" w:type="pct"/>
            <w:vAlign w:val="center"/>
          </w:tcPr>
          <w:p w14:paraId="18587F21"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14:paraId="2264E5E6" w14:textId="77777777" w:rsidTr="00BD2130">
        <w:trPr>
          <w:trHeight w:val="317"/>
          <w:jc w:val="center"/>
        </w:trPr>
        <w:tc>
          <w:tcPr>
            <w:tcW w:w="860" w:type="pct"/>
            <w:vAlign w:val="center"/>
          </w:tcPr>
          <w:p w14:paraId="4407C61C" w14:textId="77777777" w:rsidR="00BD2130" w:rsidRPr="00414E7D" w:rsidRDefault="00BD2130" w:rsidP="00D03A4F">
            <w:pPr>
              <w:spacing w:after="0" w:line="240" w:lineRule="auto"/>
              <w:rPr>
                <w:rFonts w:ascii="Times New Roman" w:eastAsia="Arial Unicode MS" w:hAnsi="Times New Roman" w:cs="Times New Roman"/>
                <w:b/>
                <w:sz w:val="24"/>
                <w:szCs w:val="24"/>
                <w:lang w:eastAsia="ru-RU"/>
              </w:rPr>
            </w:pPr>
            <w:r w:rsidRPr="00414E7D">
              <w:rPr>
                <w:rFonts w:ascii="Times New Roman" w:eastAsia="Times New Roman" w:hAnsi="Times New Roman" w:cs="Times New Roman"/>
                <w:b/>
                <w:sz w:val="24"/>
                <w:szCs w:val="24"/>
                <w:lang w:eastAsia="ru-RU"/>
              </w:rPr>
              <w:t xml:space="preserve">Северо-Западный </w:t>
            </w:r>
            <w:r w:rsidRPr="00414E7D">
              <w:rPr>
                <w:rFonts w:ascii="Times New Roman" w:eastAsia="Times New Roman" w:hAnsi="Times New Roman" w:cs="Times New Roman"/>
                <w:b/>
                <w:sz w:val="24"/>
                <w:szCs w:val="24"/>
                <w:lang w:eastAsia="ru-RU"/>
              </w:rPr>
              <w:br/>
              <w:t>федеральный округ</w:t>
            </w:r>
          </w:p>
        </w:tc>
        <w:tc>
          <w:tcPr>
            <w:tcW w:w="411" w:type="pct"/>
            <w:vAlign w:val="center"/>
          </w:tcPr>
          <w:p w14:paraId="7947EDDF" w14:textId="77777777" w:rsidR="00BD2130" w:rsidRPr="00414E7D" w:rsidRDefault="00BD2130" w:rsidP="00BD2130">
            <w:pPr>
              <w:spacing w:after="0" w:line="240" w:lineRule="auto"/>
              <w:ind w:right="57"/>
              <w:jc w:val="center"/>
              <w:rPr>
                <w:rFonts w:ascii="Times New Roman" w:hAnsi="Times New Roman"/>
              </w:rPr>
            </w:pPr>
          </w:p>
        </w:tc>
        <w:tc>
          <w:tcPr>
            <w:tcW w:w="413" w:type="pct"/>
            <w:vAlign w:val="center"/>
          </w:tcPr>
          <w:p w14:paraId="577D6BB6" w14:textId="77777777" w:rsidR="00BD2130" w:rsidRPr="00414E7D" w:rsidRDefault="00BD2130" w:rsidP="00BD2130">
            <w:pPr>
              <w:spacing w:after="0" w:line="240" w:lineRule="auto"/>
              <w:ind w:right="57"/>
              <w:jc w:val="center"/>
              <w:rPr>
                <w:rFonts w:ascii="Times New Roman" w:hAnsi="Times New Roman"/>
              </w:rPr>
            </w:pPr>
          </w:p>
        </w:tc>
        <w:tc>
          <w:tcPr>
            <w:tcW w:w="390" w:type="pct"/>
            <w:vAlign w:val="center"/>
          </w:tcPr>
          <w:p w14:paraId="019A0DF2" w14:textId="77777777" w:rsidR="00BD2130" w:rsidRPr="00414E7D" w:rsidRDefault="00BD2130" w:rsidP="00BD2130">
            <w:pPr>
              <w:spacing w:after="0" w:line="240" w:lineRule="auto"/>
              <w:ind w:right="57"/>
              <w:jc w:val="center"/>
              <w:rPr>
                <w:rFonts w:ascii="Times New Roman" w:hAnsi="Times New Roman"/>
              </w:rPr>
            </w:pPr>
          </w:p>
        </w:tc>
        <w:tc>
          <w:tcPr>
            <w:tcW w:w="420" w:type="pct"/>
            <w:vAlign w:val="center"/>
          </w:tcPr>
          <w:p w14:paraId="0E15B4D0" w14:textId="77777777" w:rsidR="00BD2130" w:rsidRPr="00414E7D" w:rsidRDefault="00BD2130" w:rsidP="00BD2130">
            <w:pPr>
              <w:spacing w:after="0" w:line="240" w:lineRule="auto"/>
              <w:ind w:right="57"/>
              <w:jc w:val="center"/>
              <w:rPr>
                <w:rFonts w:ascii="Times New Roman" w:hAnsi="Times New Roman"/>
              </w:rPr>
            </w:pPr>
          </w:p>
        </w:tc>
        <w:tc>
          <w:tcPr>
            <w:tcW w:w="416" w:type="pct"/>
            <w:vAlign w:val="center"/>
          </w:tcPr>
          <w:p w14:paraId="71C6565E" w14:textId="77777777" w:rsidR="00BD2130" w:rsidRPr="00414E7D" w:rsidRDefault="00BD2130" w:rsidP="00BD2130">
            <w:pPr>
              <w:spacing w:after="0" w:line="240" w:lineRule="auto"/>
              <w:ind w:right="57"/>
              <w:jc w:val="center"/>
              <w:rPr>
                <w:rFonts w:ascii="Times New Roman" w:hAnsi="Times New Roman"/>
              </w:rPr>
            </w:pPr>
          </w:p>
        </w:tc>
        <w:tc>
          <w:tcPr>
            <w:tcW w:w="421" w:type="pct"/>
            <w:vAlign w:val="center"/>
          </w:tcPr>
          <w:p w14:paraId="60EC5270" w14:textId="77777777" w:rsidR="00BD2130" w:rsidRPr="00414E7D" w:rsidRDefault="00BD2130" w:rsidP="00BD2130">
            <w:pPr>
              <w:spacing w:after="0" w:line="240" w:lineRule="auto"/>
              <w:ind w:right="57"/>
              <w:jc w:val="center"/>
              <w:rPr>
                <w:rFonts w:ascii="Times New Roman" w:hAnsi="Times New Roman"/>
              </w:rPr>
            </w:pPr>
          </w:p>
        </w:tc>
        <w:tc>
          <w:tcPr>
            <w:tcW w:w="439" w:type="pct"/>
            <w:vAlign w:val="center"/>
          </w:tcPr>
          <w:p w14:paraId="652385B3" w14:textId="77777777" w:rsidR="00BD2130" w:rsidRPr="00414E7D" w:rsidRDefault="00BD2130" w:rsidP="00BD2130">
            <w:pPr>
              <w:spacing w:after="0" w:line="240" w:lineRule="auto"/>
              <w:ind w:right="57"/>
              <w:jc w:val="center"/>
              <w:rPr>
                <w:rFonts w:ascii="Times New Roman" w:hAnsi="Times New Roman"/>
              </w:rPr>
            </w:pPr>
          </w:p>
        </w:tc>
        <w:tc>
          <w:tcPr>
            <w:tcW w:w="404" w:type="pct"/>
            <w:vAlign w:val="center"/>
          </w:tcPr>
          <w:p w14:paraId="1ECD1D43" w14:textId="77777777" w:rsidR="00BD2130" w:rsidRPr="00414E7D" w:rsidRDefault="00BD2130" w:rsidP="00BD2130">
            <w:pPr>
              <w:spacing w:after="0" w:line="240" w:lineRule="auto"/>
              <w:ind w:right="57"/>
              <w:jc w:val="center"/>
              <w:rPr>
                <w:rFonts w:ascii="Times New Roman" w:hAnsi="Times New Roman"/>
              </w:rPr>
            </w:pPr>
          </w:p>
        </w:tc>
        <w:tc>
          <w:tcPr>
            <w:tcW w:w="434" w:type="pct"/>
            <w:vAlign w:val="center"/>
          </w:tcPr>
          <w:p w14:paraId="3DE86922" w14:textId="77777777" w:rsidR="00BD2130" w:rsidRPr="00414E7D" w:rsidRDefault="00BD2130" w:rsidP="00BD2130">
            <w:pPr>
              <w:spacing w:after="0" w:line="240" w:lineRule="auto"/>
              <w:ind w:right="57"/>
              <w:jc w:val="center"/>
              <w:rPr>
                <w:rFonts w:ascii="Times New Roman" w:hAnsi="Times New Roman"/>
              </w:rPr>
            </w:pPr>
          </w:p>
        </w:tc>
        <w:tc>
          <w:tcPr>
            <w:tcW w:w="392" w:type="pct"/>
            <w:vAlign w:val="center"/>
          </w:tcPr>
          <w:p w14:paraId="1816165E" w14:textId="77777777" w:rsidR="00BD2130" w:rsidRPr="00414E7D" w:rsidRDefault="00BD2130" w:rsidP="00BD2130">
            <w:pPr>
              <w:spacing w:after="0" w:line="240" w:lineRule="auto"/>
              <w:ind w:right="57"/>
              <w:jc w:val="center"/>
              <w:rPr>
                <w:rFonts w:ascii="Times New Roman" w:hAnsi="Times New Roman"/>
              </w:rPr>
            </w:pPr>
          </w:p>
        </w:tc>
      </w:tr>
      <w:tr w:rsidR="00BD2130" w:rsidRPr="00414E7D" w14:paraId="5D41082F" w14:textId="77777777" w:rsidTr="00BD2130">
        <w:trPr>
          <w:trHeight w:val="317"/>
          <w:jc w:val="center"/>
        </w:trPr>
        <w:tc>
          <w:tcPr>
            <w:tcW w:w="860" w:type="pct"/>
            <w:vAlign w:val="center"/>
          </w:tcPr>
          <w:p w14:paraId="13D4628D" w14:textId="77777777"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Карелия</w:t>
            </w:r>
          </w:p>
        </w:tc>
        <w:tc>
          <w:tcPr>
            <w:tcW w:w="411" w:type="pct"/>
            <w:vAlign w:val="center"/>
          </w:tcPr>
          <w:p w14:paraId="55D58553"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162</w:t>
            </w:r>
          </w:p>
        </w:tc>
        <w:tc>
          <w:tcPr>
            <w:tcW w:w="413" w:type="pct"/>
            <w:vAlign w:val="center"/>
          </w:tcPr>
          <w:p w14:paraId="7B68B3A4"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216</w:t>
            </w:r>
          </w:p>
        </w:tc>
        <w:tc>
          <w:tcPr>
            <w:tcW w:w="390" w:type="pct"/>
            <w:vAlign w:val="center"/>
          </w:tcPr>
          <w:p w14:paraId="7AC08965"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216</w:t>
            </w:r>
          </w:p>
        </w:tc>
        <w:tc>
          <w:tcPr>
            <w:tcW w:w="420" w:type="pct"/>
            <w:vAlign w:val="center"/>
          </w:tcPr>
          <w:p w14:paraId="4763DA68"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216</w:t>
            </w:r>
          </w:p>
        </w:tc>
        <w:tc>
          <w:tcPr>
            <w:tcW w:w="416" w:type="pct"/>
            <w:vAlign w:val="center"/>
          </w:tcPr>
          <w:p w14:paraId="5CBEA537"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1000</w:t>
            </w:r>
          </w:p>
        </w:tc>
        <w:tc>
          <w:tcPr>
            <w:tcW w:w="421" w:type="pct"/>
            <w:vAlign w:val="center"/>
          </w:tcPr>
          <w:p w14:paraId="18D51C3B"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42A8B077"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5C86A570"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34859C38"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04C6E4B8"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14:paraId="63681BEE" w14:textId="77777777" w:rsidTr="00BD2130">
        <w:trPr>
          <w:trHeight w:val="317"/>
          <w:jc w:val="center"/>
        </w:trPr>
        <w:tc>
          <w:tcPr>
            <w:tcW w:w="860" w:type="pct"/>
            <w:vAlign w:val="center"/>
          </w:tcPr>
          <w:p w14:paraId="22E3ECC3" w14:textId="77777777" w:rsidR="00BD2130" w:rsidRPr="00414E7D" w:rsidRDefault="00BD2130" w:rsidP="003176AC">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Коми</w:t>
            </w:r>
            <w:r w:rsidR="003176AC">
              <w:rPr>
                <w:rFonts w:ascii="Times New Roman" w:eastAsia="Times New Roman" w:hAnsi="Times New Roman" w:cs="Times New Roman"/>
                <w:sz w:val="24"/>
                <w:szCs w:val="24"/>
                <w:vertAlign w:val="superscript"/>
                <w:lang w:eastAsia="ru-RU"/>
              </w:rPr>
              <w:t>1</w:t>
            </w:r>
          </w:p>
        </w:tc>
        <w:tc>
          <w:tcPr>
            <w:tcW w:w="411" w:type="pct"/>
            <w:vAlign w:val="center"/>
          </w:tcPr>
          <w:p w14:paraId="1CFEA7B8" w14:textId="77777777" w:rsidR="00BD2130" w:rsidRPr="00414E7D" w:rsidRDefault="00BD2130" w:rsidP="003176AC">
            <w:pPr>
              <w:spacing w:after="0" w:line="240" w:lineRule="auto"/>
              <w:ind w:right="57"/>
              <w:jc w:val="center"/>
              <w:rPr>
                <w:rFonts w:ascii="Times New Roman" w:hAnsi="Times New Roman"/>
              </w:rPr>
            </w:pPr>
            <w:r w:rsidRPr="00414E7D">
              <w:rPr>
                <w:rFonts w:ascii="Times New Roman" w:hAnsi="Times New Roman"/>
              </w:rPr>
              <w:t>10</w:t>
            </w:r>
            <w:r w:rsidR="003176AC">
              <w:rPr>
                <w:rFonts w:ascii="Times New Roman" w:hAnsi="Times New Roman"/>
              </w:rPr>
              <w:t>4</w:t>
            </w:r>
            <w:r w:rsidRPr="00414E7D">
              <w:rPr>
                <w:rFonts w:ascii="Times New Roman" w:hAnsi="Times New Roman"/>
              </w:rPr>
              <w:t>0-20</w:t>
            </w:r>
            <w:r w:rsidR="003176AC">
              <w:rPr>
                <w:rFonts w:ascii="Times New Roman" w:hAnsi="Times New Roman"/>
              </w:rPr>
              <w:t>8</w:t>
            </w:r>
            <w:r w:rsidRPr="00414E7D">
              <w:rPr>
                <w:rFonts w:ascii="Times New Roman" w:hAnsi="Times New Roman"/>
              </w:rPr>
              <w:t>0</w:t>
            </w:r>
          </w:p>
        </w:tc>
        <w:tc>
          <w:tcPr>
            <w:tcW w:w="413" w:type="pct"/>
            <w:vAlign w:val="center"/>
          </w:tcPr>
          <w:p w14:paraId="7074FE21" w14:textId="77777777" w:rsidR="00BD2130" w:rsidRPr="00414E7D" w:rsidRDefault="00BD2130" w:rsidP="003176AC">
            <w:pPr>
              <w:spacing w:after="0" w:line="240" w:lineRule="auto"/>
              <w:ind w:right="57"/>
              <w:jc w:val="center"/>
              <w:rPr>
                <w:rFonts w:ascii="Times New Roman" w:hAnsi="Times New Roman"/>
              </w:rPr>
            </w:pPr>
            <w:r w:rsidRPr="00414E7D">
              <w:rPr>
                <w:rFonts w:ascii="Times New Roman" w:hAnsi="Times New Roman"/>
              </w:rPr>
              <w:t>12</w:t>
            </w:r>
            <w:r w:rsidR="003176AC">
              <w:rPr>
                <w:rFonts w:ascii="Times New Roman" w:hAnsi="Times New Roman"/>
              </w:rPr>
              <w:t>48</w:t>
            </w:r>
            <w:r w:rsidRPr="00414E7D">
              <w:rPr>
                <w:rFonts w:ascii="Times New Roman" w:hAnsi="Times New Roman"/>
              </w:rPr>
              <w:t>-22</w:t>
            </w:r>
            <w:r w:rsidR="003176AC">
              <w:rPr>
                <w:rFonts w:ascii="Times New Roman" w:hAnsi="Times New Roman"/>
              </w:rPr>
              <w:t>88</w:t>
            </w:r>
          </w:p>
        </w:tc>
        <w:tc>
          <w:tcPr>
            <w:tcW w:w="390" w:type="pct"/>
            <w:vAlign w:val="center"/>
          </w:tcPr>
          <w:p w14:paraId="53463258" w14:textId="77777777" w:rsidR="00BD2130" w:rsidRPr="00414E7D" w:rsidRDefault="00BD2130" w:rsidP="00991C8F">
            <w:pPr>
              <w:spacing w:after="0" w:line="240" w:lineRule="auto"/>
              <w:ind w:right="57"/>
              <w:jc w:val="center"/>
              <w:rPr>
                <w:rFonts w:ascii="Times New Roman" w:hAnsi="Times New Roman"/>
              </w:rPr>
            </w:pPr>
            <w:r w:rsidRPr="00414E7D">
              <w:rPr>
                <w:rFonts w:ascii="Times New Roman" w:hAnsi="Times New Roman"/>
              </w:rPr>
              <w:t>11</w:t>
            </w:r>
            <w:r w:rsidR="00991C8F">
              <w:rPr>
                <w:rFonts w:ascii="Times New Roman" w:hAnsi="Times New Roman"/>
              </w:rPr>
              <w:t>44</w:t>
            </w:r>
            <w:r w:rsidRPr="00414E7D">
              <w:rPr>
                <w:rFonts w:ascii="Times New Roman" w:hAnsi="Times New Roman"/>
              </w:rPr>
              <w:t>-21</w:t>
            </w:r>
            <w:r w:rsidR="00991C8F">
              <w:rPr>
                <w:rFonts w:ascii="Times New Roman" w:hAnsi="Times New Roman"/>
              </w:rPr>
              <w:t>84</w:t>
            </w:r>
          </w:p>
        </w:tc>
        <w:tc>
          <w:tcPr>
            <w:tcW w:w="420" w:type="pct"/>
            <w:vAlign w:val="center"/>
          </w:tcPr>
          <w:p w14:paraId="47064BA3" w14:textId="77777777" w:rsidR="00BD2130" w:rsidRPr="00414E7D" w:rsidRDefault="00991C8F" w:rsidP="00991C8F">
            <w:pPr>
              <w:spacing w:after="0" w:line="240" w:lineRule="auto"/>
              <w:ind w:right="57"/>
              <w:jc w:val="center"/>
              <w:rPr>
                <w:rFonts w:ascii="Times New Roman" w:hAnsi="Times New Roman"/>
              </w:rPr>
            </w:pPr>
            <w:r>
              <w:rPr>
                <w:rFonts w:ascii="Times New Roman" w:hAnsi="Times New Roman"/>
              </w:rPr>
              <w:t>1144</w:t>
            </w:r>
            <w:r w:rsidR="00BD2130" w:rsidRPr="00414E7D">
              <w:rPr>
                <w:rFonts w:ascii="Times New Roman" w:hAnsi="Times New Roman"/>
              </w:rPr>
              <w:t>-21</w:t>
            </w:r>
            <w:r>
              <w:rPr>
                <w:rFonts w:ascii="Times New Roman" w:hAnsi="Times New Roman"/>
              </w:rPr>
              <w:t>84</w:t>
            </w:r>
          </w:p>
        </w:tc>
        <w:tc>
          <w:tcPr>
            <w:tcW w:w="416" w:type="pct"/>
            <w:vAlign w:val="center"/>
          </w:tcPr>
          <w:p w14:paraId="579074BF"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14:paraId="5BDB96A1"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122E9720"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20686B09"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60DF0BE3"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67D7F893" w14:textId="77777777" w:rsidR="00BD2130" w:rsidRPr="00414E7D" w:rsidRDefault="00BD2130" w:rsidP="00BD2130">
            <w:pPr>
              <w:spacing w:after="0" w:line="240" w:lineRule="auto"/>
              <w:ind w:right="57"/>
              <w:jc w:val="center"/>
              <w:rPr>
                <w:rFonts w:ascii="Times New Roman" w:hAnsi="Times New Roman"/>
              </w:rPr>
            </w:pPr>
            <w:r w:rsidRPr="00414E7D">
              <w:rPr>
                <w:rFonts w:ascii="Times New Roman" w:hAnsi="Times New Roman"/>
              </w:rPr>
              <w:t>-</w:t>
            </w:r>
          </w:p>
        </w:tc>
      </w:tr>
      <w:tr w:rsidR="00BD2130" w:rsidRPr="00414E7D" w14:paraId="338E7A85" w14:textId="77777777" w:rsidTr="00BD2130">
        <w:trPr>
          <w:trHeight w:val="317"/>
          <w:jc w:val="center"/>
        </w:trPr>
        <w:tc>
          <w:tcPr>
            <w:tcW w:w="860" w:type="pct"/>
            <w:vAlign w:val="center"/>
          </w:tcPr>
          <w:p w14:paraId="2C047552" w14:textId="77777777" w:rsidR="00BD2130" w:rsidRPr="00414E7D" w:rsidRDefault="00BD2130" w:rsidP="00D03A4F">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Архангельская область</w:t>
            </w:r>
          </w:p>
        </w:tc>
        <w:tc>
          <w:tcPr>
            <w:tcW w:w="411" w:type="pct"/>
            <w:vAlign w:val="center"/>
          </w:tcPr>
          <w:p w14:paraId="421587EE" w14:textId="77777777" w:rsidR="00BD2130" w:rsidRPr="00414E7D" w:rsidRDefault="00BD2130" w:rsidP="00BD2130">
            <w:pPr>
              <w:spacing w:after="0" w:line="240" w:lineRule="auto"/>
              <w:ind w:right="57"/>
              <w:jc w:val="center"/>
              <w:rPr>
                <w:rFonts w:ascii="Times New Roman" w:hAnsi="Times New Roman"/>
              </w:rPr>
            </w:pPr>
          </w:p>
        </w:tc>
        <w:tc>
          <w:tcPr>
            <w:tcW w:w="413" w:type="pct"/>
            <w:vAlign w:val="center"/>
          </w:tcPr>
          <w:p w14:paraId="4F0C97B1" w14:textId="77777777" w:rsidR="00BD2130" w:rsidRPr="00414E7D" w:rsidRDefault="00BD2130" w:rsidP="00BD2130">
            <w:pPr>
              <w:spacing w:after="0" w:line="240" w:lineRule="auto"/>
              <w:ind w:right="57"/>
              <w:jc w:val="center"/>
              <w:rPr>
                <w:rFonts w:ascii="Times New Roman" w:hAnsi="Times New Roman"/>
              </w:rPr>
            </w:pPr>
          </w:p>
        </w:tc>
        <w:tc>
          <w:tcPr>
            <w:tcW w:w="390" w:type="pct"/>
            <w:vAlign w:val="center"/>
          </w:tcPr>
          <w:p w14:paraId="31244029" w14:textId="77777777" w:rsidR="00BD2130" w:rsidRPr="00414E7D" w:rsidRDefault="00BD2130" w:rsidP="00BD2130">
            <w:pPr>
              <w:spacing w:after="0" w:line="240" w:lineRule="auto"/>
              <w:ind w:right="57"/>
              <w:jc w:val="center"/>
              <w:rPr>
                <w:rFonts w:ascii="Times New Roman" w:hAnsi="Times New Roman"/>
              </w:rPr>
            </w:pPr>
          </w:p>
        </w:tc>
        <w:tc>
          <w:tcPr>
            <w:tcW w:w="420" w:type="pct"/>
            <w:vAlign w:val="center"/>
          </w:tcPr>
          <w:p w14:paraId="56BE3D16" w14:textId="77777777" w:rsidR="00BD2130" w:rsidRPr="00414E7D" w:rsidRDefault="00BD2130" w:rsidP="00BD2130">
            <w:pPr>
              <w:spacing w:after="0" w:line="240" w:lineRule="auto"/>
              <w:ind w:right="57"/>
              <w:jc w:val="center"/>
              <w:rPr>
                <w:rFonts w:ascii="Times New Roman" w:hAnsi="Times New Roman"/>
              </w:rPr>
            </w:pPr>
          </w:p>
        </w:tc>
        <w:tc>
          <w:tcPr>
            <w:tcW w:w="416" w:type="pct"/>
            <w:vAlign w:val="center"/>
          </w:tcPr>
          <w:p w14:paraId="5B3A46D0" w14:textId="77777777" w:rsidR="00BD2130" w:rsidRPr="00414E7D" w:rsidRDefault="00BD2130" w:rsidP="00BD2130">
            <w:pPr>
              <w:spacing w:after="0" w:line="240" w:lineRule="auto"/>
              <w:ind w:right="57"/>
              <w:jc w:val="center"/>
              <w:rPr>
                <w:rFonts w:ascii="Times New Roman" w:hAnsi="Times New Roman"/>
              </w:rPr>
            </w:pPr>
          </w:p>
        </w:tc>
        <w:tc>
          <w:tcPr>
            <w:tcW w:w="421" w:type="pct"/>
            <w:vAlign w:val="center"/>
          </w:tcPr>
          <w:p w14:paraId="65BB80E3" w14:textId="77777777" w:rsidR="00BD2130" w:rsidRPr="00414E7D" w:rsidRDefault="00BD2130" w:rsidP="00BD2130">
            <w:pPr>
              <w:spacing w:after="0" w:line="240" w:lineRule="auto"/>
              <w:ind w:right="57"/>
              <w:jc w:val="center"/>
              <w:rPr>
                <w:rFonts w:ascii="Times New Roman" w:hAnsi="Times New Roman"/>
              </w:rPr>
            </w:pPr>
          </w:p>
        </w:tc>
        <w:tc>
          <w:tcPr>
            <w:tcW w:w="439" w:type="pct"/>
            <w:vAlign w:val="center"/>
          </w:tcPr>
          <w:p w14:paraId="654C70CF" w14:textId="77777777" w:rsidR="00BD2130" w:rsidRPr="00414E7D" w:rsidRDefault="00BD2130" w:rsidP="00BD2130">
            <w:pPr>
              <w:spacing w:after="0" w:line="240" w:lineRule="auto"/>
              <w:ind w:right="57"/>
              <w:jc w:val="center"/>
              <w:rPr>
                <w:rFonts w:ascii="Times New Roman" w:hAnsi="Times New Roman"/>
              </w:rPr>
            </w:pPr>
          </w:p>
        </w:tc>
        <w:tc>
          <w:tcPr>
            <w:tcW w:w="404" w:type="pct"/>
            <w:vAlign w:val="center"/>
          </w:tcPr>
          <w:p w14:paraId="4090A811" w14:textId="77777777" w:rsidR="00BD2130" w:rsidRPr="00414E7D" w:rsidRDefault="00BD2130" w:rsidP="00BD2130">
            <w:pPr>
              <w:spacing w:after="0" w:line="240" w:lineRule="auto"/>
              <w:ind w:right="57"/>
              <w:jc w:val="center"/>
              <w:rPr>
                <w:rFonts w:ascii="Times New Roman" w:hAnsi="Times New Roman"/>
              </w:rPr>
            </w:pPr>
          </w:p>
        </w:tc>
        <w:tc>
          <w:tcPr>
            <w:tcW w:w="434" w:type="pct"/>
            <w:vAlign w:val="center"/>
          </w:tcPr>
          <w:p w14:paraId="088C591D" w14:textId="77777777" w:rsidR="00BD2130" w:rsidRPr="00414E7D" w:rsidRDefault="00BD2130" w:rsidP="00BD2130">
            <w:pPr>
              <w:spacing w:after="0" w:line="240" w:lineRule="auto"/>
              <w:ind w:right="57"/>
              <w:jc w:val="center"/>
              <w:rPr>
                <w:rFonts w:ascii="Times New Roman" w:hAnsi="Times New Roman"/>
              </w:rPr>
            </w:pPr>
          </w:p>
        </w:tc>
        <w:tc>
          <w:tcPr>
            <w:tcW w:w="392" w:type="pct"/>
            <w:vAlign w:val="center"/>
          </w:tcPr>
          <w:p w14:paraId="0B436536" w14:textId="77777777" w:rsidR="00BD2130" w:rsidRPr="00414E7D" w:rsidRDefault="00BD2130" w:rsidP="00BD2130">
            <w:pPr>
              <w:spacing w:after="0" w:line="240" w:lineRule="auto"/>
              <w:ind w:right="57"/>
              <w:jc w:val="center"/>
              <w:rPr>
                <w:rFonts w:ascii="Times New Roman" w:hAnsi="Times New Roman"/>
              </w:rPr>
            </w:pPr>
          </w:p>
        </w:tc>
      </w:tr>
      <w:tr w:rsidR="00E62CE3" w:rsidRPr="00414E7D" w14:paraId="7AFAF80E" w14:textId="77777777" w:rsidTr="00BD2130">
        <w:trPr>
          <w:trHeight w:val="317"/>
          <w:jc w:val="center"/>
        </w:trPr>
        <w:tc>
          <w:tcPr>
            <w:tcW w:w="860" w:type="pct"/>
            <w:vAlign w:val="center"/>
          </w:tcPr>
          <w:p w14:paraId="7BFF191A" w14:textId="77777777" w:rsidR="00E62CE3" w:rsidRPr="00414E7D" w:rsidRDefault="00E62CE3" w:rsidP="00E62CE3">
            <w:pPr>
              <w:spacing w:after="0" w:line="240" w:lineRule="auto"/>
              <w:ind w:left="142"/>
              <w:rPr>
                <w:rFonts w:ascii="Times New Roman" w:eastAsia="Times New Roman" w:hAnsi="Times New Roman" w:cs="Times New Roman"/>
                <w:sz w:val="24"/>
                <w:szCs w:val="24"/>
                <w:lang w:eastAsia="ru-RU"/>
              </w:rPr>
            </w:pPr>
            <w:r w:rsidRPr="00414E7D">
              <w:rPr>
                <w:rFonts w:ascii="Times New Roman" w:eastAsia="Times New Roman" w:hAnsi="Times New Roman" w:cs="Times New Roman"/>
                <w:sz w:val="24"/>
                <w:szCs w:val="24"/>
                <w:lang w:eastAsia="ru-RU"/>
              </w:rPr>
              <w:t>в том числе: Ненецкий авт. округ</w:t>
            </w:r>
          </w:p>
        </w:tc>
        <w:tc>
          <w:tcPr>
            <w:tcW w:w="411" w:type="pct"/>
            <w:vAlign w:val="center"/>
          </w:tcPr>
          <w:p w14:paraId="04730405"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556</w:t>
            </w:r>
          </w:p>
        </w:tc>
        <w:tc>
          <w:tcPr>
            <w:tcW w:w="413" w:type="pct"/>
            <w:vAlign w:val="center"/>
          </w:tcPr>
          <w:p w14:paraId="4B6DD3CF"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1112</w:t>
            </w:r>
          </w:p>
        </w:tc>
        <w:tc>
          <w:tcPr>
            <w:tcW w:w="390" w:type="pct"/>
            <w:vAlign w:val="center"/>
          </w:tcPr>
          <w:p w14:paraId="4F639B8B"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834</w:t>
            </w:r>
          </w:p>
        </w:tc>
        <w:tc>
          <w:tcPr>
            <w:tcW w:w="420" w:type="pct"/>
            <w:vAlign w:val="center"/>
          </w:tcPr>
          <w:p w14:paraId="3B52FA30"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834</w:t>
            </w:r>
          </w:p>
        </w:tc>
        <w:tc>
          <w:tcPr>
            <w:tcW w:w="416" w:type="pct"/>
            <w:vAlign w:val="center"/>
          </w:tcPr>
          <w:p w14:paraId="7954E358"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14:paraId="48A293FD"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201435D7"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42624648"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4F2F1571"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5C566F5C"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r>
      <w:tr w:rsidR="00E62CE3" w:rsidRPr="00414E7D" w14:paraId="173BAE00" w14:textId="77777777" w:rsidTr="00BD2130">
        <w:trPr>
          <w:trHeight w:val="317"/>
          <w:jc w:val="center"/>
        </w:trPr>
        <w:tc>
          <w:tcPr>
            <w:tcW w:w="860" w:type="pct"/>
            <w:vAlign w:val="center"/>
          </w:tcPr>
          <w:p w14:paraId="090B36E9" w14:textId="77777777" w:rsidR="00E62CE3" w:rsidRPr="00414E7D" w:rsidRDefault="00E62CE3" w:rsidP="00CD405A">
            <w:pPr>
              <w:spacing w:after="0" w:line="240" w:lineRule="auto"/>
              <w:ind w:left="142"/>
              <w:rPr>
                <w:rFonts w:ascii="Times New Roman" w:eastAsia="Times New Roman"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Архангельская область без авт. округа</w:t>
            </w:r>
            <w:r w:rsidR="00CD405A">
              <w:rPr>
                <w:rFonts w:ascii="Times New Roman" w:eastAsia="Times New Roman" w:hAnsi="Times New Roman" w:cs="Times New Roman"/>
                <w:sz w:val="24"/>
                <w:szCs w:val="24"/>
                <w:vertAlign w:val="superscript"/>
                <w:lang w:eastAsia="ru-RU"/>
              </w:rPr>
              <w:t>5</w:t>
            </w:r>
          </w:p>
        </w:tc>
        <w:tc>
          <w:tcPr>
            <w:tcW w:w="411" w:type="pct"/>
            <w:vAlign w:val="center"/>
          </w:tcPr>
          <w:p w14:paraId="0E464C02" w14:textId="77777777" w:rsidR="00E62CE3" w:rsidRPr="00414E7D" w:rsidRDefault="00E62CE3" w:rsidP="00CD405A">
            <w:pPr>
              <w:spacing w:after="0" w:line="240" w:lineRule="auto"/>
              <w:ind w:right="57"/>
              <w:jc w:val="center"/>
              <w:rPr>
                <w:rFonts w:ascii="Times New Roman" w:hAnsi="Times New Roman"/>
              </w:rPr>
            </w:pPr>
            <w:r w:rsidRPr="00414E7D">
              <w:rPr>
                <w:rFonts w:ascii="Times New Roman" w:hAnsi="Times New Roman"/>
              </w:rPr>
              <w:t>12</w:t>
            </w:r>
            <w:r w:rsidR="00CD405A">
              <w:rPr>
                <w:rFonts w:ascii="Times New Roman" w:hAnsi="Times New Roman"/>
              </w:rPr>
              <w:t>5</w:t>
            </w:r>
          </w:p>
        </w:tc>
        <w:tc>
          <w:tcPr>
            <w:tcW w:w="413" w:type="pct"/>
            <w:vAlign w:val="center"/>
          </w:tcPr>
          <w:p w14:paraId="39DEA784" w14:textId="77777777" w:rsidR="00E62CE3" w:rsidRPr="00414E7D" w:rsidRDefault="00E62CE3" w:rsidP="00CD405A">
            <w:pPr>
              <w:spacing w:after="0" w:line="240" w:lineRule="auto"/>
              <w:ind w:right="57"/>
              <w:jc w:val="center"/>
              <w:rPr>
                <w:rFonts w:ascii="Times New Roman" w:hAnsi="Times New Roman"/>
              </w:rPr>
            </w:pPr>
            <w:r w:rsidRPr="00414E7D">
              <w:rPr>
                <w:rFonts w:ascii="Times New Roman" w:hAnsi="Times New Roman"/>
              </w:rPr>
              <w:t>2</w:t>
            </w:r>
            <w:r w:rsidR="00CD405A">
              <w:rPr>
                <w:rFonts w:ascii="Times New Roman" w:hAnsi="Times New Roman"/>
              </w:rPr>
              <w:t>5</w:t>
            </w:r>
            <w:r w:rsidRPr="00414E7D">
              <w:rPr>
                <w:rFonts w:ascii="Times New Roman" w:hAnsi="Times New Roman"/>
              </w:rPr>
              <w:t>1</w:t>
            </w:r>
          </w:p>
        </w:tc>
        <w:tc>
          <w:tcPr>
            <w:tcW w:w="390" w:type="pct"/>
            <w:vAlign w:val="center"/>
          </w:tcPr>
          <w:p w14:paraId="2DCD5509" w14:textId="77777777" w:rsidR="00E62CE3" w:rsidRPr="00414E7D" w:rsidRDefault="00CD405A" w:rsidP="00E62CE3">
            <w:pPr>
              <w:spacing w:after="0" w:line="240" w:lineRule="auto"/>
              <w:ind w:right="57"/>
              <w:jc w:val="center"/>
              <w:rPr>
                <w:rFonts w:ascii="Times New Roman" w:hAnsi="Times New Roman"/>
              </w:rPr>
            </w:pPr>
            <w:r>
              <w:rPr>
                <w:rFonts w:ascii="Times New Roman" w:hAnsi="Times New Roman"/>
              </w:rPr>
              <w:t>188</w:t>
            </w:r>
          </w:p>
        </w:tc>
        <w:tc>
          <w:tcPr>
            <w:tcW w:w="420" w:type="pct"/>
            <w:vAlign w:val="center"/>
          </w:tcPr>
          <w:p w14:paraId="39440B31" w14:textId="77777777" w:rsidR="00E62CE3" w:rsidRPr="00414E7D" w:rsidRDefault="00CD405A" w:rsidP="00E62CE3">
            <w:pPr>
              <w:spacing w:after="0" w:line="240" w:lineRule="auto"/>
              <w:ind w:right="57"/>
              <w:jc w:val="center"/>
              <w:rPr>
                <w:rFonts w:ascii="Times New Roman" w:hAnsi="Times New Roman"/>
              </w:rPr>
            </w:pPr>
            <w:r>
              <w:rPr>
                <w:rFonts w:ascii="Times New Roman" w:hAnsi="Times New Roman"/>
              </w:rPr>
              <w:t>188</w:t>
            </w:r>
          </w:p>
        </w:tc>
        <w:tc>
          <w:tcPr>
            <w:tcW w:w="416" w:type="pct"/>
            <w:vAlign w:val="center"/>
          </w:tcPr>
          <w:p w14:paraId="026E373D"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14:paraId="5949C9DE"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7ED23804"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61BBF7A6"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03188170"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5E2A48E7" w14:textId="77777777" w:rsidR="00E62CE3" w:rsidRPr="00414E7D" w:rsidRDefault="00E62CE3" w:rsidP="00CD405A">
            <w:pPr>
              <w:spacing w:after="0" w:line="240" w:lineRule="auto"/>
              <w:ind w:right="57"/>
              <w:jc w:val="center"/>
              <w:rPr>
                <w:rFonts w:ascii="Times New Roman" w:hAnsi="Times New Roman"/>
              </w:rPr>
            </w:pPr>
            <w:r w:rsidRPr="00414E7D">
              <w:rPr>
                <w:rFonts w:ascii="Times New Roman" w:hAnsi="Times New Roman"/>
              </w:rPr>
              <w:t>12</w:t>
            </w:r>
            <w:r w:rsidR="00CD405A">
              <w:rPr>
                <w:rFonts w:ascii="Times New Roman" w:hAnsi="Times New Roman"/>
              </w:rPr>
              <w:t>5</w:t>
            </w:r>
            <w:r w:rsidRPr="00414E7D">
              <w:rPr>
                <w:rFonts w:ascii="Times New Roman" w:hAnsi="Times New Roman"/>
              </w:rPr>
              <w:t xml:space="preserve"> - 3</w:t>
            </w:r>
            <w:r w:rsidR="00CD405A">
              <w:rPr>
                <w:rFonts w:ascii="Times New Roman" w:hAnsi="Times New Roman"/>
              </w:rPr>
              <w:t>15</w:t>
            </w:r>
          </w:p>
        </w:tc>
      </w:tr>
      <w:tr w:rsidR="00E62CE3" w:rsidRPr="00414E7D" w14:paraId="57155D92" w14:textId="77777777" w:rsidTr="00BD2130">
        <w:trPr>
          <w:trHeight w:val="317"/>
          <w:jc w:val="center"/>
        </w:trPr>
        <w:tc>
          <w:tcPr>
            <w:tcW w:w="860" w:type="pct"/>
            <w:vAlign w:val="center"/>
          </w:tcPr>
          <w:p w14:paraId="678EE594" w14:textId="77777777" w:rsidR="00E62CE3" w:rsidRPr="00414E7D" w:rsidRDefault="00E62CE3" w:rsidP="00E62CE3">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Вологодская область</w:t>
            </w:r>
          </w:p>
        </w:tc>
        <w:tc>
          <w:tcPr>
            <w:tcW w:w="411" w:type="pct"/>
            <w:vAlign w:val="center"/>
          </w:tcPr>
          <w:p w14:paraId="700A45B7"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150</w:t>
            </w:r>
          </w:p>
        </w:tc>
        <w:tc>
          <w:tcPr>
            <w:tcW w:w="413" w:type="pct"/>
            <w:vAlign w:val="center"/>
          </w:tcPr>
          <w:p w14:paraId="55216D59"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300</w:t>
            </w:r>
          </w:p>
        </w:tc>
        <w:tc>
          <w:tcPr>
            <w:tcW w:w="390" w:type="pct"/>
            <w:vAlign w:val="center"/>
          </w:tcPr>
          <w:p w14:paraId="7E6CD083"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225</w:t>
            </w:r>
          </w:p>
        </w:tc>
        <w:tc>
          <w:tcPr>
            <w:tcW w:w="420" w:type="pct"/>
            <w:vAlign w:val="center"/>
          </w:tcPr>
          <w:p w14:paraId="2F8821FC"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225</w:t>
            </w:r>
          </w:p>
        </w:tc>
        <w:tc>
          <w:tcPr>
            <w:tcW w:w="416" w:type="pct"/>
            <w:vAlign w:val="center"/>
          </w:tcPr>
          <w:p w14:paraId="148C85B5"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300</w:t>
            </w:r>
          </w:p>
        </w:tc>
        <w:tc>
          <w:tcPr>
            <w:tcW w:w="421" w:type="pct"/>
            <w:vAlign w:val="center"/>
          </w:tcPr>
          <w:p w14:paraId="6DF23D54"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0127B1C9"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6ADC1FA5"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19B6DC8E"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1737E9E9"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r>
      <w:tr w:rsidR="00E62CE3" w:rsidRPr="00414E7D" w14:paraId="60ABCC74" w14:textId="77777777" w:rsidTr="00BD2130">
        <w:trPr>
          <w:trHeight w:val="317"/>
          <w:jc w:val="center"/>
        </w:trPr>
        <w:tc>
          <w:tcPr>
            <w:tcW w:w="860" w:type="pct"/>
            <w:vAlign w:val="center"/>
          </w:tcPr>
          <w:p w14:paraId="69B38048" w14:textId="77777777" w:rsidR="00E62CE3" w:rsidRPr="00414E7D" w:rsidRDefault="00E62CE3" w:rsidP="00E62CE3">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Калининградская область</w:t>
            </w:r>
            <w:r>
              <w:rPr>
                <w:rFonts w:ascii="Times New Roman" w:eastAsia="Times New Roman" w:hAnsi="Times New Roman" w:cs="Times New Roman"/>
                <w:sz w:val="24"/>
                <w:szCs w:val="24"/>
                <w:vertAlign w:val="superscript"/>
                <w:lang w:eastAsia="ru-RU"/>
              </w:rPr>
              <w:t>2</w:t>
            </w:r>
          </w:p>
        </w:tc>
        <w:tc>
          <w:tcPr>
            <w:tcW w:w="411" w:type="pct"/>
            <w:vAlign w:val="center"/>
          </w:tcPr>
          <w:p w14:paraId="264D269F"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250</w:t>
            </w:r>
          </w:p>
        </w:tc>
        <w:tc>
          <w:tcPr>
            <w:tcW w:w="413" w:type="pct"/>
            <w:vAlign w:val="center"/>
          </w:tcPr>
          <w:p w14:paraId="78CF5AC7"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500</w:t>
            </w:r>
          </w:p>
        </w:tc>
        <w:tc>
          <w:tcPr>
            <w:tcW w:w="390" w:type="pct"/>
            <w:vAlign w:val="center"/>
          </w:tcPr>
          <w:p w14:paraId="45DA8D43"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500</w:t>
            </w:r>
          </w:p>
        </w:tc>
        <w:tc>
          <w:tcPr>
            <w:tcW w:w="420" w:type="pct"/>
            <w:vAlign w:val="center"/>
          </w:tcPr>
          <w:p w14:paraId="6C6A1EAD"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500</w:t>
            </w:r>
          </w:p>
        </w:tc>
        <w:tc>
          <w:tcPr>
            <w:tcW w:w="416" w:type="pct"/>
            <w:vAlign w:val="center"/>
          </w:tcPr>
          <w:p w14:paraId="3E27BCCC"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250-2500</w:t>
            </w:r>
          </w:p>
        </w:tc>
        <w:tc>
          <w:tcPr>
            <w:tcW w:w="421" w:type="pct"/>
            <w:vAlign w:val="center"/>
          </w:tcPr>
          <w:p w14:paraId="1582B1F5"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250-2500</w:t>
            </w:r>
          </w:p>
        </w:tc>
        <w:tc>
          <w:tcPr>
            <w:tcW w:w="439" w:type="pct"/>
            <w:vAlign w:val="center"/>
          </w:tcPr>
          <w:p w14:paraId="51F1C14B"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250-2500</w:t>
            </w:r>
          </w:p>
        </w:tc>
        <w:tc>
          <w:tcPr>
            <w:tcW w:w="404" w:type="pct"/>
            <w:vAlign w:val="center"/>
          </w:tcPr>
          <w:p w14:paraId="42914A6A"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2000</w:t>
            </w:r>
          </w:p>
        </w:tc>
        <w:tc>
          <w:tcPr>
            <w:tcW w:w="434" w:type="pct"/>
            <w:vAlign w:val="center"/>
          </w:tcPr>
          <w:p w14:paraId="5AE09B20"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75ABF390"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r>
      <w:tr w:rsidR="00E62CE3" w:rsidRPr="00414E7D" w14:paraId="32B52905" w14:textId="77777777" w:rsidTr="00BD2130">
        <w:trPr>
          <w:trHeight w:val="317"/>
          <w:jc w:val="center"/>
        </w:trPr>
        <w:tc>
          <w:tcPr>
            <w:tcW w:w="860" w:type="pct"/>
            <w:vAlign w:val="center"/>
          </w:tcPr>
          <w:p w14:paraId="39CF62C5" w14:textId="77777777" w:rsidR="00E62CE3" w:rsidRPr="00414E7D" w:rsidRDefault="00E62CE3" w:rsidP="00CD405A">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Ленинградская область</w:t>
            </w:r>
            <w:r w:rsidR="00CD405A">
              <w:rPr>
                <w:rFonts w:ascii="Times New Roman" w:eastAsia="Times New Roman" w:hAnsi="Times New Roman" w:cs="Times New Roman"/>
                <w:sz w:val="24"/>
                <w:szCs w:val="24"/>
                <w:vertAlign w:val="superscript"/>
                <w:lang w:eastAsia="ru-RU"/>
              </w:rPr>
              <w:t>6</w:t>
            </w:r>
          </w:p>
        </w:tc>
        <w:tc>
          <w:tcPr>
            <w:tcW w:w="411" w:type="pct"/>
            <w:vAlign w:val="center"/>
          </w:tcPr>
          <w:p w14:paraId="640CF73B"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600;800</w:t>
            </w:r>
          </w:p>
        </w:tc>
        <w:tc>
          <w:tcPr>
            <w:tcW w:w="413" w:type="pct"/>
            <w:vAlign w:val="center"/>
          </w:tcPr>
          <w:p w14:paraId="60758034"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1400;</w:t>
            </w:r>
            <w:r w:rsidR="00CD405A">
              <w:rPr>
                <w:rFonts w:ascii="Times New Roman" w:hAnsi="Times New Roman"/>
              </w:rPr>
              <w:br/>
            </w:r>
            <w:r w:rsidRPr="00414E7D">
              <w:rPr>
                <w:rFonts w:ascii="Times New Roman" w:hAnsi="Times New Roman"/>
              </w:rPr>
              <w:t>1700</w:t>
            </w:r>
          </w:p>
        </w:tc>
        <w:tc>
          <w:tcPr>
            <w:tcW w:w="390" w:type="pct"/>
            <w:vAlign w:val="center"/>
          </w:tcPr>
          <w:p w14:paraId="16C428B4"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20" w:type="pct"/>
            <w:vAlign w:val="center"/>
          </w:tcPr>
          <w:p w14:paraId="7E5A44BF"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1400;</w:t>
            </w:r>
            <w:r w:rsidR="00CD405A">
              <w:rPr>
                <w:rFonts w:ascii="Times New Roman" w:hAnsi="Times New Roman"/>
              </w:rPr>
              <w:br/>
            </w:r>
            <w:r w:rsidRPr="00414E7D">
              <w:rPr>
                <w:rFonts w:ascii="Times New Roman" w:hAnsi="Times New Roman"/>
              </w:rPr>
              <w:t>1700</w:t>
            </w:r>
          </w:p>
        </w:tc>
        <w:tc>
          <w:tcPr>
            <w:tcW w:w="416" w:type="pct"/>
            <w:vAlign w:val="center"/>
          </w:tcPr>
          <w:p w14:paraId="680C5EE7"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14:paraId="3DA1A626"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7D6FDEA9"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47BDF7F3" w14:textId="77777777" w:rsidR="00E62CE3" w:rsidRPr="00414E7D" w:rsidRDefault="00CD405A" w:rsidP="00CD405A">
            <w:pPr>
              <w:spacing w:after="0" w:line="240" w:lineRule="auto"/>
              <w:ind w:right="57"/>
              <w:jc w:val="center"/>
              <w:rPr>
                <w:rFonts w:ascii="Times New Roman" w:hAnsi="Times New Roman"/>
              </w:rPr>
            </w:pPr>
            <w:r>
              <w:rPr>
                <w:rFonts w:ascii="Times New Roman" w:hAnsi="Times New Roman"/>
              </w:rPr>
              <w:t>746</w:t>
            </w:r>
            <w:r w:rsidR="00E62CE3" w:rsidRPr="00414E7D">
              <w:rPr>
                <w:rFonts w:ascii="Times New Roman" w:hAnsi="Times New Roman"/>
              </w:rPr>
              <w:t>-1</w:t>
            </w:r>
            <w:r>
              <w:rPr>
                <w:rFonts w:ascii="Times New Roman" w:hAnsi="Times New Roman"/>
              </w:rPr>
              <w:t>3136</w:t>
            </w:r>
          </w:p>
        </w:tc>
        <w:tc>
          <w:tcPr>
            <w:tcW w:w="434" w:type="pct"/>
            <w:vAlign w:val="center"/>
          </w:tcPr>
          <w:p w14:paraId="5DDDF72C" w14:textId="77777777" w:rsidR="00E62CE3" w:rsidRPr="00414E7D" w:rsidRDefault="00E62CE3" w:rsidP="00CD405A">
            <w:pPr>
              <w:spacing w:after="0" w:line="240" w:lineRule="auto"/>
              <w:ind w:right="57"/>
              <w:jc w:val="center"/>
              <w:rPr>
                <w:rFonts w:ascii="Times New Roman" w:hAnsi="Times New Roman"/>
              </w:rPr>
            </w:pPr>
            <w:r w:rsidRPr="00414E7D">
              <w:rPr>
                <w:rFonts w:ascii="Times New Roman" w:hAnsi="Times New Roman"/>
              </w:rPr>
              <w:t>1</w:t>
            </w:r>
            <w:r w:rsidR="00CD405A">
              <w:rPr>
                <w:rFonts w:ascii="Times New Roman" w:hAnsi="Times New Roman"/>
              </w:rPr>
              <w:t>942</w:t>
            </w:r>
            <w:r w:rsidRPr="00414E7D">
              <w:rPr>
                <w:rFonts w:ascii="Times New Roman" w:hAnsi="Times New Roman"/>
              </w:rPr>
              <w:t>-1</w:t>
            </w:r>
            <w:r w:rsidR="00CD405A">
              <w:rPr>
                <w:rFonts w:ascii="Times New Roman" w:hAnsi="Times New Roman"/>
              </w:rPr>
              <w:t>2189</w:t>
            </w:r>
          </w:p>
        </w:tc>
        <w:tc>
          <w:tcPr>
            <w:tcW w:w="392" w:type="pct"/>
            <w:vAlign w:val="center"/>
          </w:tcPr>
          <w:p w14:paraId="27604148"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r>
      <w:tr w:rsidR="00E62CE3" w:rsidRPr="00414E7D" w14:paraId="3218B239" w14:textId="77777777" w:rsidTr="00BD2130">
        <w:trPr>
          <w:trHeight w:val="317"/>
          <w:jc w:val="center"/>
        </w:trPr>
        <w:tc>
          <w:tcPr>
            <w:tcW w:w="860" w:type="pct"/>
            <w:vAlign w:val="center"/>
          </w:tcPr>
          <w:p w14:paraId="6AF371B1" w14:textId="77777777" w:rsidR="00E62CE3" w:rsidRPr="00414E7D" w:rsidRDefault="00E62CE3" w:rsidP="00E62CE3">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Мурманская область</w:t>
            </w:r>
          </w:p>
        </w:tc>
        <w:tc>
          <w:tcPr>
            <w:tcW w:w="411" w:type="pct"/>
            <w:vAlign w:val="center"/>
          </w:tcPr>
          <w:p w14:paraId="185D7B14" w14:textId="77777777" w:rsidR="00E62CE3" w:rsidRPr="00414E7D" w:rsidRDefault="00CD405A" w:rsidP="00E62CE3">
            <w:pPr>
              <w:spacing w:after="0" w:line="240" w:lineRule="auto"/>
              <w:ind w:right="57"/>
              <w:jc w:val="center"/>
              <w:rPr>
                <w:rFonts w:ascii="Times New Roman" w:hAnsi="Times New Roman"/>
              </w:rPr>
            </w:pPr>
            <w:r>
              <w:rPr>
                <w:rFonts w:ascii="Times New Roman" w:hAnsi="Times New Roman"/>
              </w:rPr>
              <w:t>408</w:t>
            </w:r>
          </w:p>
        </w:tc>
        <w:tc>
          <w:tcPr>
            <w:tcW w:w="413" w:type="pct"/>
            <w:vAlign w:val="center"/>
          </w:tcPr>
          <w:p w14:paraId="554777C5" w14:textId="77777777" w:rsidR="00E62CE3" w:rsidRPr="00414E7D" w:rsidRDefault="00CD405A" w:rsidP="00E62CE3">
            <w:pPr>
              <w:spacing w:after="0" w:line="240" w:lineRule="auto"/>
              <w:ind w:right="57"/>
              <w:jc w:val="center"/>
              <w:rPr>
                <w:rFonts w:ascii="Times New Roman" w:hAnsi="Times New Roman"/>
              </w:rPr>
            </w:pPr>
            <w:r>
              <w:rPr>
                <w:rFonts w:ascii="Times New Roman" w:hAnsi="Times New Roman"/>
              </w:rPr>
              <w:t>816</w:t>
            </w:r>
          </w:p>
        </w:tc>
        <w:tc>
          <w:tcPr>
            <w:tcW w:w="390" w:type="pct"/>
            <w:vAlign w:val="center"/>
          </w:tcPr>
          <w:p w14:paraId="31CAA1AD" w14:textId="77777777" w:rsidR="00E62CE3" w:rsidRPr="00414E7D" w:rsidRDefault="00CD405A" w:rsidP="00CD405A">
            <w:pPr>
              <w:spacing w:after="0" w:line="240" w:lineRule="auto"/>
              <w:ind w:right="57"/>
              <w:jc w:val="center"/>
              <w:rPr>
                <w:rFonts w:ascii="Times New Roman" w:hAnsi="Times New Roman"/>
              </w:rPr>
            </w:pPr>
            <w:r>
              <w:rPr>
                <w:rFonts w:ascii="Times New Roman" w:hAnsi="Times New Roman"/>
              </w:rPr>
              <w:t>816</w:t>
            </w:r>
          </w:p>
        </w:tc>
        <w:tc>
          <w:tcPr>
            <w:tcW w:w="420" w:type="pct"/>
            <w:vAlign w:val="center"/>
          </w:tcPr>
          <w:p w14:paraId="45A92CE9" w14:textId="77777777" w:rsidR="00E62CE3" w:rsidRPr="00414E7D" w:rsidRDefault="00CD405A" w:rsidP="00E62CE3">
            <w:pPr>
              <w:spacing w:after="0" w:line="240" w:lineRule="auto"/>
              <w:ind w:right="57"/>
              <w:jc w:val="center"/>
              <w:rPr>
                <w:rFonts w:ascii="Times New Roman" w:hAnsi="Times New Roman"/>
              </w:rPr>
            </w:pPr>
            <w:r>
              <w:rPr>
                <w:rFonts w:ascii="Times New Roman" w:hAnsi="Times New Roman"/>
              </w:rPr>
              <w:t>816</w:t>
            </w:r>
          </w:p>
        </w:tc>
        <w:tc>
          <w:tcPr>
            <w:tcW w:w="416" w:type="pct"/>
            <w:vAlign w:val="center"/>
          </w:tcPr>
          <w:p w14:paraId="062CAFEE" w14:textId="77777777" w:rsidR="00E62CE3" w:rsidRPr="00414E7D" w:rsidRDefault="00CD405A" w:rsidP="00E62CE3">
            <w:pPr>
              <w:spacing w:after="0" w:line="240" w:lineRule="auto"/>
              <w:ind w:right="57"/>
              <w:jc w:val="center"/>
              <w:rPr>
                <w:rFonts w:ascii="Times New Roman" w:hAnsi="Times New Roman"/>
              </w:rPr>
            </w:pPr>
            <w:r>
              <w:rPr>
                <w:rFonts w:ascii="Times New Roman" w:hAnsi="Times New Roman"/>
              </w:rPr>
              <w:t>816</w:t>
            </w:r>
          </w:p>
        </w:tc>
        <w:tc>
          <w:tcPr>
            <w:tcW w:w="421" w:type="pct"/>
            <w:vAlign w:val="center"/>
          </w:tcPr>
          <w:p w14:paraId="7B65E34C"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0ECDD066"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08C0A137"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60F56B62"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4225757A"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r>
      <w:tr w:rsidR="00E62CE3" w:rsidRPr="00414E7D" w14:paraId="7B4C366C" w14:textId="77777777" w:rsidTr="00BD2130">
        <w:trPr>
          <w:trHeight w:val="317"/>
          <w:jc w:val="center"/>
        </w:trPr>
        <w:tc>
          <w:tcPr>
            <w:tcW w:w="860" w:type="pct"/>
            <w:vAlign w:val="center"/>
          </w:tcPr>
          <w:p w14:paraId="7879F392" w14:textId="77777777" w:rsidR="00E62CE3" w:rsidRPr="00414E7D" w:rsidRDefault="00E62CE3" w:rsidP="00E62CE3">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Новгородская область</w:t>
            </w:r>
          </w:p>
        </w:tc>
        <w:tc>
          <w:tcPr>
            <w:tcW w:w="411" w:type="pct"/>
            <w:vAlign w:val="center"/>
          </w:tcPr>
          <w:p w14:paraId="79821116"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200</w:t>
            </w:r>
          </w:p>
        </w:tc>
        <w:tc>
          <w:tcPr>
            <w:tcW w:w="413" w:type="pct"/>
            <w:vAlign w:val="center"/>
          </w:tcPr>
          <w:p w14:paraId="0DD66C4F"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400</w:t>
            </w:r>
          </w:p>
        </w:tc>
        <w:tc>
          <w:tcPr>
            <w:tcW w:w="390" w:type="pct"/>
            <w:vAlign w:val="center"/>
          </w:tcPr>
          <w:p w14:paraId="7605DB27"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400</w:t>
            </w:r>
          </w:p>
        </w:tc>
        <w:tc>
          <w:tcPr>
            <w:tcW w:w="420" w:type="pct"/>
            <w:vAlign w:val="center"/>
          </w:tcPr>
          <w:p w14:paraId="59B559CF"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400</w:t>
            </w:r>
          </w:p>
        </w:tc>
        <w:tc>
          <w:tcPr>
            <w:tcW w:w="416" w:type="pct"/>
            <w:vAlign w:val="center"/>
          </w:tcPr>
          <w:p w14:paraId="1D4330BE"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14:paraId="35B1BAFF"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7E5F9788"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344546E0"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60BCCCA0"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4602FA61"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r>
      <w:tr w:rsidR="00E62CE3" w:rsidRPr="00414E7D" w14:paraId="1E1F9403" w14:textId="77777777" w:rsidTr="00BD2130">
        <w:trPr>
          <w:trHeight w:val="317"/>
          <w:jc w:val="center"/>
        </w:trPr>
        <w:tc>
          <w:tcPr>
            <w:tcW w:w="860" w:type="pct"/>
            <w:vAlign w:val="center"/>
          </w:tcPr>
          <w:p w14:paraId="35D0CF9C" w14:textId="77777777" w:rsidR="00E62CE3" w:rsidRPr="00414E7D" w:rsidRDefault="00E62CE3" w:rsidP="00E62CE3">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Псковская область</w:t>
            </w:r>
          </w:p>
        </w:tc>
        <w:tc>
          <w:tcPr>
            <w:tcW w:w="411" w:type="pct"/>
            <w:vAlign w:val="center"/>
          </w:tcPr>
          <w:p w14:paraId="26B96F9C" w14:textId="77777777" w:rsidR="00E62CE3" w:rsidRPr="00414E7D" w:rsidRDefault="00E62CE3" w:rsidP="00CD405A">
            <w:pPr>
              <w:spacing w:after="0" w:line="240" w:lineRule="auto"/>
              <w:ind w:right="57"/>
              <w:jc w:val="center"/>
              <w:rPr>
                <w:rFonts w:ascii="Times New Roman" w:hAnsi="Times New Roman"/>
              </w:rPr>
            </w:pPr>
            <w:r w:rsidRPr="00414E7D">
              <w:rPr>
                <w:rFonts w:ascii="Times New Roman" w:hAnsi="Times New Roman"/>
              </w:rPr>
              <w:t>2</w:t>
            </w:r>
            <w:r w:rsidR="00CD405A">
              <w:rPr>
                <w:rFonts w:ascii="Times New Roman" w:hAnsi="Times New Roman"/>
              </w:rPr>
              <w:t>51</w:t>
            </w:r>
          </w:p>
        </w:tc>
        <w:tc>
          <w:tcPr>
            <w:tcW w:w="413" w:type="pct"/>
            <w:vAlign w:val="center"/>
          </w:tcPr>
          <w:p w14:paraId="32FB88A4" w14:textId="77777777" w:rsidR="00E62CE3" w:rsidRPr="00414E7D" w:rsidRDefault="00FA7FD6" w:rsidP="00E62CE3">
            <w:pPr>
              <w:spacing w:after="0" w:line="240" w:lineRule="auto"/>
              <w:ind w:right="57"/>
              <w:jc w:val="center"/>
              <w:rPr>
                <w:rFonts w:ascii="Times New Roman" w:hAnsi="Times New Roman"/>
              </w:rPr>
            </w:pPr>
            <w:r>
              <w:rPr>
                <w:rFonts w:ascii="Times New Roman" w:hAnsi="Times New Roman"/>
              </w:rPr>
              <w:t>502</w:t>
            </w:r>
          </w:p>
        </w:tc>
        <w:tc>
          <w:tcPr>
            <w:tcW w:w="390" w:type="pct"/>
            <w:vAlign w:val="center"/>
          </w:tcPr>
          <w:p w14:paraId="76B5D4AA" w14:textId="77777777" w:rsidR="00E62CE3" w:rsidRPr="00414E7D" w:rsidRDefault="00E62CE3" w:rsidP="00FA7FD6">
            <w:pPr>
              <w:spacing w:after="0" w:line="240" w:lineRule="auto"/>
              <w:ind w:right="57"/>
              <w:jc w:val="center"/>
              <w:rPr>
                <w:rFonts w:ascii="Times New Roman" w:hAnsi="Times New Roman"/>
              </w:rPr>
            </w:pPr>
            <w:r w:rsidRPr="00414E7D">
              <w:rPr>
                <w:rFonts w:ascii="Times New Roman" w:hAnsi="Times New Roman"/>
              </w:rPr>
              <w:t>3</w:t>
            </w:r>
            <w:r w:rsidR="00FA7FD6">
              <w:rPr>
                <w:rFonts w:ascii="Times New Roman" w:hAnsi="Times New Roman"/>
              </w:rPr>
              <w:t>76</w:t>
            </w:r>
          </w:p>
        </w:tc>
        <w:tc>
          <w:tcPr>
            <w:tcW w:w="420" w:type="pct"/>
            <w:vAlign w:val="center"/>
          </w:tcPr>
          <w:p w14:paraId="38AC7CD6" w14:textId="77777777" w:rsidR="00E62CE3" w:rsidRPr="00414E7D" w:rsidRDefault="00E62CE3" w:rsidP="00FA7FD6">
            <w:pPr>
              <w:spacing w:after="0" w:line="240" w:lineRule="auto"/>
              <w:ind w:right="57"/>
              <w:jc w:val="center"/>
              <w:rPr>
                <w:rFonts w:ascii="Times New Roman" w:hAnsi="Times New Roman"/>
              </w:rPr>
            </w:pPr>
            <w:r w:rsidRPr="00414E7D">
              <w:rPr>
                <w:rFonts w:ascii="Times New Roman" w:hAnsi="Times New Roman"/>
              </w:rPr>
              <w:t>3</w:t>
            </w:r>
            <w:r w:rsidR="00FA7FD6">
              <w:rPr>
                <w:rFonts w:ascii="Times New Roman" w:hAnsi="Times New Roman"/>
              </w:rPr>
              <w:t>76</w:t>
            </w:r>
          </w:p>
        </w:tc>
        <w:tc>
          <w:tcPr>
            <w:tcW w:w="416" w:type="pct"/>
            <w:vAlign w:val="center"/>
          </w:tcPr>
          <w:p w14:paraId="4C3DF9FA"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14:paraId="00ABDCAB"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5C3D2E5D"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32288000"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56C3599D"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1F51BF2B" w14:textId="77777777" w:rsidR="00E62CE3" w:rsidRPr="00414E7D" w:rsidRDefault="00E62CE3" w:rsidP="00E62CE3">
            <w:pPr>
              <w:spacing w:after="0" w:line="240" w:lineRule="auto"/>
              <w:ind w:right="57"/>
              <w:jc w:val="center"/>
              <w:rPr>
                <w:rFonts w:ascii="Times New Roman" w:hAnsi="Times New Roman"/>
              </w:rPr>
            </w:pPr>
            <w:r w:rsidRPr="00414E7D">
              <w:rPr>
                <w:rFonts w:ascii="Times New Roman" w:hAnsi="Times New Roman"/>
              </w:rPr>
              <w:t>-</w:t>
            </w:r>
          </w:p>
        </w:tc>
      </w:tr>
      <w:tr w:rsidR="00E62CE3" w:rsidRPr="00414E7D" w14:paraId="377689B0" w14:textId="77777777" w:rsidTr="00BD2130">
        <w:trPr>
          <w:trHeight w:val="317"/>
          <w:jc w:val="center"/>
        </w:trPr>
        <w:tc>
          <w:tcPr>
            <w:tcW w:w="860" w:type="pct"/>
            <w:vAlign w:val="center"/>
          </w:tcPr>
          <w:p w14:paraId="3C7E0431" w14:textId="77777777" w:rsidR="00E62CE3" w:rsidRPr="00414E7D" w:rsidRDefault="00E62CE3" w:rsidP="00E62CE3">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г. Санкт-Петербург</w:t>
            </w:r>
            <w:r>
              <w:rPr>
                <w:rFonts w:ascii="Times New Roman" w:eastAsia="Times New Roman" w:hAnsi="Times New Roman" w:cs="Times New Roman"/>
                <w:sz w:val="24"/>
                <w:szCs w:val="24"/>
                <w:vertAlign w:val="superscript"/>
                <w:lang w:eastAsia="ru-RU"/>
              </w:rPr>
              <w:t>2</w:t>
            </w:r>
          </w:p>
        </w:tc>
        <w:tc>
          <w:tcPr>
            <w:tcW w:w="411" w:type="pct"/>
            <w:vAlign w:val="center"/>
          </w:tcPr>
          <w:p w14:paraId="4973A21E" w14:textId="77777777" w:rsidR="00E62CE3" w:rsidRPr="00414E7D" w:rsidRDefault="00FA7FD6" w:rsidP="00FA7FD6">
            <w:pPr>
              <w:spacing w:after="0" w:line="240" w:lineRule="auto"/>
              <w:ind w:right="57"/>
              <w:jc w:val="center"/>
              <w:rPr>
                <w:rFonts w:ascii="Times New Roman" w:hAnsi="Times New Roman"/>
              </w:rPr>
            </w:pPr>
            <w:r>
              <w:rPr>
                <w:rFonts w:ascii="Times New Roman" w:hAnsi="Times New Roman"/>
              </w:rPr>
              <w:t>1003</w:t>
            </w:r>
            <w:r w:rsidR="00E62CE3" w:rsidRPr="00414E7D">
              <w:rPr>
                <w:rFonts w:ascii="Times New Roman" w:hAnsi="Times New Roman"/>
              </w:rPr>
              <w:t xml:space="preserve"> - 4</w:t>
            </w:r>
            <w:r>
              <w:rPr>
                <w:rFonts w:ascii="Times New Roman" w:hAnsi="Times New Roman"/>
              </w:rPr>
              <w:t>802</w:t>
            </w:r>
          </w:p>
        </w:tc>
        <w:tc>
          <w:tcPr>
            <w:tcW w:w="413" w:type="pct"/>
            <w:vAlign w:val="center"/>
          </w:tcPr>
          <w:p w14:paraId="741F3C53" w14:textId="77777777" w:rsidR="00E62CE3" w:rsidRPr="00414E7D" w:rsidRDefault="00E62CE3" w:rsidP="00FA7FD6">
            <w:pPr>
              <w:spacing w:after="0" w:line="240" w:lineRule="auto"/>
              <w:ind w:right="57"/>
              <w:jc w:val="center"/>
              <w:rPr>
                <w:rFonts w:ascii="Times New Roman" w:hAnsi="Times New Roman"/>
              </w:rPr>
            </w:pPr>
            <w:r w:rsidRPr="00414E7D">
              <w:rPr>
                <w:rFonts w:ascii="Times New Roman" w:hAnsi="Times New Roman"/>
              </w:rPr>
              <w:t>14</w:t>
            </w:r>
            <w:r w:rsidR="00FA7FD6">
              <w:rPr>
                <w:rFonts w:ascii="Times New Roman" w:hAnsi="Times New Roman"/>
              </w:rPr>
              <w:t>51</w:t>
            </w:r>
            <w:r w:rsidRPr="00414E7D">
              <w:rPr>
                <w:rFonts w:ascii="Times New Roman" w:hAnsi="Times New Roman"/>
              </w:rPr>
              <w:t xml:space="preserve"> - 4</w:t>
            </w:r>
            <w:r w:rsidR="00FA7FD6">
              <w:rPr>
                <w:rFonts w:ascii="Times New Roman" w:hAnsi="Times New Roman"/>
              </w:rPr>
              <w:t>802</w:t>
            </w:r>
          </w:p>
        </w:tc>
        <w:tc>
          <w:tcPr>
            <w:tcW w:w="390" w:type="pct"/>
            <w:vAlign w:val="center"/>
          </w:tcPr>
          <w:p w14:paraId="6D5A3DC7" w14:textId="77777777" w:rsidR="00E62CE3" w:rsidRPr="00414E7D" w:rsidRDefault="00E62CE3" w:rsidP="00FA7FD6">
            <w:pPr>
              <w:spacing w:after="0" w:line="240" w:lineRule="auto"/>
              <w:ind w:right="57"/>
              <w:jc w:val="center"/>
              <w:rPr>
                <w:rFonts w:ascii="Times New Roman" w:hAnsi="Times New Roman"/>
              </w:rPr>
            </w:pPr>
            <w:r w:rsidRPr="00414E7D">
              <w:rPr>
                <w:rFonts w:ascii="Times New Roman" w:hAnsi="Times New Roman"/>
              </w:rPr>
              <w:t>14</w:t>
            </w:r>
            <w:r w:rsidR="00FA7FD6">
              <w:rPr>
                <w:rFonts w:ascii="Times New Roman" w:hAnsi="Times New Roman"/>
              </w:rPr>
              <w:t>51</w:t>
            </w:r>
            <w:r w:rsidRPr="00414E7D">
              <w:rPr>
                <w:rFonts w:ascii="Times New Roman" w:hAnsi="Times New Roman"/>
              </w:rPr>
              <w:t xml:space="preserve"> - 4</w:t>
            </w:r>
            <w:r w:rsidR="00FA7FD6">
              <w:rPr>
                <w:rFonts w:ascii="Times New Roman" w:hAnsi="Times New Roman"/>
              </w:rPr>
              <w:t>802</w:t>
            </w:r>
          </w:p>
        </w:tc>
        <w:tc>
          <w:tcPr>
            <w:tcW w:w="420" w:type="pct"/>
            <w:vAlign w:val="center"/>
          </w:tcPr>
          <w:p w14:paraId="3A00DE6C" w14:textId="77777777" w:rsidR="00E62CE3" w:rsidRPr="00414E7D" w:rsidRDefault="00E62CE3" w:rsidP="00FA7FD6">
            <w:pPr>
              <w:spacing w:after="0" w:line="240" w:lineRule="auto"/>
              <w:ind w:right="57"/>
              <w:jc w:val="center"/>
              <w:rPr>
                <w:rFonts w:ascii="Times New Roman" w:hAnsi="Times New Roman"/>
              </w:rPr>
            </w:pPr>
            <w:r w:rsidRPr="00414E7D">
              <w:rPr>
                <w:rFonts w:ascii="Times New Roman" w:hAnsi="Times New Roman"/>
              </w:rPr>
              <w:t>14</w:t>
            </w:r>
            <w:r w:rsidR="00FA7FD6">
              <w:rPr>
                <w:rFonts w:ascii="Times New Roman" w:hAnsi="Times New Roman"/>
              </w:rPr>
              <w:t>51</w:t>
            </w:r>
            <w:r w:rsidRPr="00414E7D">
              <w:rPr>
                <w:rFonts w:ascii="Times New Roman" w:hAnsi="Times New Roman"/>
              </w:rPr>
              <w:t xml:space="preserve"> - 4</w:t>
            </w:r>
            <w:r w:rsidR="00FA7FD6">
              <w:rPr>
                <w:rFonts w:ascii="Times New Roman" w:hAnsi="Times New Roman"/>
              </w:rPr>
              <w:t>802</w:t>
            </w:r>
          </w:p>
        </w:tc>
        <w:tc>
          <w:tcPr>
            <w:tcW w:w="416" w:type="pct"/>
            <w:vAlign w:val="center"/>
          </w:tcPr>
          <w:p w14:paraId="4E61BB10" w14:textId="77777777" w:rsidR="00E62CE3" w:rsidRPr="00414E7D" w:rsidRDefault="00FA7FD6" w:rsidP="00FA7FD6">
            <w:pPr>
              <w:spacing w:after="0" w:line="240" w:lineRule="auto"/>
              <w:ind w:right="57"/>
              <w:jc w:val="center"/>
              <w:rPr>
                <w:rFonts w:ascii="Times New Roman" w:hAnsi="Times New Roman"/>
              </w:rPr>
            </w:pPr>
            <w:r>
              <w:rPr>
                <w:rFonts w:ascii="Times New Roman" w:hAnsi="Times New Roman"/>
              </w:rPr>
              <w:t>1003</w:t>
            </w:r>
            <w:r w:rsidR="00E62CE3" w:rsidRPr="00414E7D">
              <w:rPr>
                <w:rFonts w:ascii="Times New Roman" w:hAnsi="Times New Roman"/>
              </w:rPr>
              <w:t xml:space="preserve"> - 4</w:t>
            </w:r>
            <w:r>
              <w:rPr>
                <w:rFonts w:ascii="Times New Roman" w:hAnsi="Times New Roman"/>
              </w:rPr>
              <w:t>802</w:t>
            </w:r>
          </w:p>
        </w:tc>
        <w:tc>
          <w:tcPr>
            <w:tcW w:w="421" w:type="pct"/>
            <w:vAlign w:val="center"/>
          </w:tcPr>
          <w:p w14:paraId="165228E3" w14:textId="77777777" w:rsidR="00E62CE3" w:rsidRPr="00414E7D" w:rsidRDefault="00E62CE3" w:rsidP="00FA7FD6">
            <w:pPr>
              <w:spacing w:after="0" w:line="240" w:lineRule="auto"/>
              <w:ind w:right="57"/>
              <w:jc w:val="center"/>
              <w:rPr>
                <w:rFonts w:ascii="Times New Roman" w:hAnsi="Times New Roman"/>
              </w:rPr>
            </w:pPr>
            <w:r w:rsidRPr="00414E7D">
              <w:rPr>
                <w:rFonts w:ascii="Times New Roman" w:hAnsi="Times New Roman"/>
              </w:rPr>
              <w:t>10</w:t>
            </w:r>
            <w:r w:rsidR="00FA7FD6">
              <w:rPr>
                <w:rFonts w:ascii="Times New Roman" w:hAnsi="Times New Roman"/>
              </w:rPr>
              <w:t>81</w:t>
            </w:r>
            <w:r w:rsidRPr="00414E7D">
              <w:rPr>
                <w:rFonts w:ascii="Times New Roman" w:hAnsi="Times New Roman"/>
              </w:rPr>
              <w:t xml:space="preserve"> - 4</w:t>
            </w:r>
            <w:r w:rsidR="00FA7FD6">
              <w:rPr>
                <w:rFonts w:ascii="Times New Roman" w:hAnsi="Times New Roman"/>
              </w:rPr>
              <w:t>802</w:t>
            </w:r>
          </w:p>
        </w:tc>
        <w:tc>
          <w:tcPr>
            <w:tcW w:w="439" w:type="pct"/>
            <w:vAlign w:val="center"/>
          </w:tcPr>
          <w:p w14:paraId="68F7384C" w14:textId="77777777" w:rsidR="00E62CE3" w:rsidRPr="00414E7D" w:rsidRDefault="00FA7FD6" w:rsidP="00FA7FD6">
            <w:pPr>
              <w:spacing w:after="0" w:line="240" w:lineRule="auto"/>
              <w:ind w:right="57"/>
              <w:jc w:val="center"/>
              <w:rPr>
                <w:rFonts w:ascii="Times New Roman" w:hAnsi="Times New Roman"/>
              </w:rPr>
            </w:pPr>
            <w:r>
              <w:rPr>
                <w:rFonts w:ascii="Times New Roman" w:hAnsi="Times New Roman"/>
              </w:rPr>
              <w:t>1003</w:t>
            </w:r>
            <w:r w:rsidR="00E62CE3" w:rsidRPr="00414E7D">
              <w:rPr>
                <w:rFonts w:ascii="Times New Roman" w:hAnsi="Times New Roman"/>
              </w:rPr>
              <w:t xml:space="preserve"> - </w:t>
            </w:r>
            <w:r>
              <w:rPr>
                <w:rFonts w:ascii="Times New Roman" w:hAnsi="Times New Roman"/>
              </w:rPr>
              <w:br/>
            </w:r>
            <w:r w:rsidR="00E62CE3" w:rsidRPr="00414E7D">
              <w:rPr>
                <w:rFonts w:ascii="Times New Roman" w:hAnsi="Times New Roman"/>
              </w:rPr>
              <w:t>1 0</w:t>
            </w:r>
            <w:r>
              <w:rPr>
                <w:rFonts w:ascii="Times New Roman" w:hAnsi="Times New Roman"/>
              </w:rPr>
              <w:t>81</w:t>
            </w:r>
          </w:p>
        </w:tc>
        <w:tc>
          <w:tcPr>
            <w:tcW w:w="404" w:type="pct"/>
            <w:vAlign w:val="center"/>
          </w:tcPr>
          <w:p w14:paraId="6F379F69" w14:textId="77777777" w:rsidR="00E62CE3" w:rsidRPr="00414E7D" w:rsidRDefault="00E62CE3" w:rsidP="00FA7FD6">
            <w:pPr>
              <w:spacing w:after="0" w:line="240" w:lineRule="auto"/>
              <w:ind w:right="57"/>
              <w:jc w:val="center"/>
              <w:rPr>
                <w:rFonts w:ascii="Times New Roman" w:hAnsi="Times New Roman"/>
              </w:rPr>
            </w:pPr>
            <w:r w:rsidRPr="00414E7D">
              <w:rPr>
                <w:rFonts w:ascii="Times New Roman" w:hAnsi="Times New Roman"/>
              </w:rPr>
              <w:t>7</w:t>
            </w:r>
            <w:r w:rsidR="00FA7FD6">
              <w:rPr>
                <w:rFonts w:ascii="Times New Roman" w:hAnsi="Times New Roman"/>
              </w:rPr>
              <w:t>364</w:t>
            </w:r>
            <w:r w:rsidRPr="00414E7D">
              <w:rPr>
                <w:rFonts w:ascii="Times New Roman" w:hAnsi="Times New Roman"/>
              </w:rPr>
              <w:t xml:space="preserve"> - 16</w:t>
            </w:r>
            <w:r w:rsidR="00FA7FD6">
              <w:rPr>
                <w:rFonts w:ascii="Times New Roman" w:hAnsi="Times New Roman"/>
              </w:rPr>
              <w:t>593</w:t>
            </w:r>
          </w:p>
        </w:tc>
        <w:tc>
          <w:tcPr>
            <w:tcW w:w="434" w:type="pct"/>
            <w:vAlign w:val="center"/>
          </w:tcPr>
          <w:p w14:paraId="43EB7D40" w14:textId="77777777" w:rsidR="00E62CE3" w:rsidRPr="00414E7D" w:rsidRDefault="00FA7FD6" w:rsidP="00FA7FD6">
            <w:pPr>
              <w:spacing w:after="0" w:line="240" w:lineRule="auto"/>
              <w:ind w:right="57"/>
              <w:jc w:val="center"/>
              <w:rPr>
                <w:rFonts w:ascii="Times New Roman" w:hAnsi="Times New Roman"/>
              </w:rPr>
            </w:pPr>
            <w:r>
              <w:rPr>
                <w:rFonts w:ascii="Times New Roman" w:hAnsi="Times New Roman"/>
              </w:rPr>
              <w:t>5115</w:t>
            </w:r>
            <w:r w:rsidR="00E62CE3" w:rsidRPr="00414E7D">
              <w:rPr>
                <w:rFonts w:ascii="Times New Roman" w:hAnsi="Times New Roman"/>
              </w:rPr>
              <w:t xml:space="preserve"> - 7</w:t>
            </w:r>
            <w:r>
              <w:rPr>
                <w:rFonts w:ascii="Times New Roman" w:hAnsi="Times New Roman"/>
              </w:rPr>
              <w:t>364</w:t>
            </w:r>
          </w:p>
        </w:tc>
        <w:tc>
          <w:tcPr>
            <w:tcW w:w="392" w:type="pct"/>
            <w:vAlign w:val="center"/>
          </w:tcPr>
          <w:p w14:paraId="3C30CEB3" w14:textId="77777777" w:rsidR="00E62CE3" w:rsidRPr="00414E7D" w:rsidRDefault="00E62CE3" w:rsidP="00FA7FD6">
            <w:pPr>
              <w:spacing w:after="0" w:line="240" w:lineRule="auto"/>
              <w:ind w:right="57"/>
              <w:jc w:val="center"/>
              <w:rPr>
                <w:rFonts w:ascii="Times New Roman" w:hAnsi="Times New Roman"/>
              </w:rPr>
            </w:pPr>
            <w:r w:rsidRPr="00414E7D">
              <w:rPr>
                <w:rFonts w:ascii="Times New Roman" w:hAnsi="Times New Roman"/>
              </w:rPr>
              <w:t>14</w:t>
            </w:r>
            <w:r w:rsidR="00FA7FD6">
              <w:rPr>
                <w:rFonts w:ascii="Times New Roman" w:hAnsi="Times New Roman"/>
              </w:rPr>
              <w:t>51</w:t>
            </w:r>
            <w:r w:rsidRPr="00414E7D">
              <w:rPr>
                <w:rFonts w:ascii="Times New Roman" w:hAnsi="Times New Roman"/>
              </w:rPr>
              <w:t xml:space="preserve"> - </w:t>
            </w:r>
            <w:r w:rsidR="00FA7FD6">
              <w:rPr>
                <w:rFonts w:ascii="Times New Roman" w:hAnsi="Times New Roman"/>
              </w:rPr>
              <w:t>10226</w:t>
            </w:r>
          </w:p>
        </w:tc>
      </w:tr>
      <w:tr w:rsidR="00035F5B" w:rsidRPr="00414E7D" w14:paraId="0F7DF131" w14:textId="77777777" w:rsidTr="00BD2130">
        <w:trPr>
          <w:trHeight w:val="317"/>
          <w:jc w:val="center"/>
        </w:trPr>
        <w:tc>
          <w:tcPr>
            <w:tcW w:w="860" w:type="pct"/>
            <w:vAlign w:val="center"/>
          </w:tcPr>
          <w:p w14:paraId="598CE48D" w14:textId="77777777" w:rsidR="00035F5B" w:rsidRPr="00414E7D" w:rsidRDefault="00035F5B" w:rsidP="00035F5B">
            <w:pPr>
              <w:spacing w:after="0" w:line="240" w:lineRule="auto"/>
              <w:rPr>
                <w:rFonts w:ascii="Times New Roman" w:eastAsia="Times New Roman" w:hAnsi="Times New Roman" w:cs="Times New Roman"/>
                <w:sz w:val="24"/>
                <w:szCs w:val="24"/>
                <w:lang w:eastAsia="ru-RU"/>
              </w:rPr>
            </w:pPr>
            <w:r w:rsidRPr="00414E7D">
              <w:rPr>
                <w:rFonts w:ascii="Times New Roman" w:eastAsia="Times New Roman" w:hAnsi="Times New Roman" w:cs="Times New Roman"/>
                <w:b/>
                <w:sz w:val="24"/>
                <w:szCs w:val="24"/>
                <w:lang w:eastAsia="ru-RU"/>
              </w:rPr>
              <w:t>Южный федеральный округ</w:t>
            </w:r>
          </w:p>
        </w:tc>
        <w:tc>
          <w:tcPr>
            <w:tcW w:w="411" w:type="pct"/>
            <w:vAlign w:val="center"/>
          </w:tcPr>
          <w:p w14:paraId="0D28D73B"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3" w:type="pct"/>
            <w:vAlign w:val="center"/>
          </w:tcPr>
          <w:p w14:paraId="72D5BC63"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0" w:type="pct"/>
            <w:vAlign w:val="center"/>
          </w:tcPr>
          <w:p w14:paraId="0CA90686"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vAlign w:val="center"/>
          </w:tcPr>
          <w:p w14:paraId="4B6BED2A"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6" w:type="pct"/>
            <w:vAlign w:val="center"/>
          </w:tcPr>
          <w:p w14:paraId="06763DBA"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14:paraId="012AB768"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5ECAB20C"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211D6914"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0054E6BB"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54244BD4"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33AE789E" w14:textId="77777777" w:rsidTr="00BD2130">
        <w:trPr>
          <w:trHeight w:val="317"/>
          <w:jc w:val="center"/>
        </w:trPr>
        <w:tc>
          <w:tcPr>
            <w:tcW w:w="860" w:type="pct"/>
            <w:vAlign w:val="center"/>
          </w:tcPr>
          <w:p w14:paraId="6D9A9940" w14:textId="77777777" w:rsidR="00035F5B" w:rsidRPr="00414E7D" w:rsidRDefault="00035F5B" w:rsidP="00035F5B">
            <w:pPr>
              <w:spacing w:after="0" w:line="240" w:lineRule="auto"/>
              <w:rPr>
                <w:rFonts w:ascii="Times New Roman" w:eastAsia="Times New Roman"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Адыгея</w:t>
            </w:r>
          </w:p>
        </w:tc>
        <w:tc>
          <w:tcPr>
            <w:tcW w:w="411" w:type="pct"/>
            <w:vAlign w:val="center"/>
          </w:tcPr>
          <w:p w14:paraId="5EF60BC8" w14:textId="77777777" w:rsidR="00035F5B" w:rsidRPr="00414E7D" w:rsidRDefault="00035F5B" w:rsidP="00FA7FD6">
            <w:pPr>
              <w:spacing w:after="0" w:line="240" w:lineRule="auto"/>
              <w:ind w:right="57"/>
              <w:jc w:val="center"/>
              <w:rPr>
                <w:rFonts w:ascii="Times New Roman" w:hAnsi="Times New Roman"/>
              </w:rPr>
            </w:pPr>
            <w:r w:rsidRPr="00414E7D">
              <w:rPr>
                <w:rFonts w:ascii="Times New Roman" w:hAnsi="Times New Roman"/>
              </w:rPr>
              <w:t>13</w:t>
            </w:r>
            <w:r w:rsidR="00FA7FD6">
              <w:rPr>
                <w:rFonts w:ascii="Times New Roman" w:hAnsi="Times New Roman"/>
              </w:rPr>
              <w:t>5</w:t>
            </w:r>
          </w:p>
        </w:tc>
        <w:tc>
          <w:tcPr>
            <w:tcW w:w="413" w:type="pct"/>
            <w:vAlign w:val="center"/>
          </w:tcPr>
          <w:p w14:paraId="202EE847" w14:textId="77777777" w:rsidR="00035F5B" w:rsidRPr="00414E7D" w:rsidRDefault="00035F5B" w:rsidP="00FA7FD6">
            <w:pPr>
              <w:spacing w:after="0" w:line="240" w:lineRule="auto"/>
              <w:ind w:right="57"/>
              <w:jc w:val="center"/>
              <w:rPr>
                <w:rFonts w:ascii="Times New Roman" w:hAnsi="Times New Roman"/>
              </w:rPr>
            </w:pPr>
            <w:r w:rsidRPr="00414E7D">
              <w:rPr>
                <w:rFonts w:ascii="Times New Roman" w:hAnsi="Times New Roman"/>
              </w:rPr>
              <w:t>2</w:t>
            </w:r>
            <w:r w:rsidR="00FA7FD6">
              <w:rPr>
                <w:rFonts w:ascii="Times New Roman" w:hAnsi="Times New Roman"/>
              </w:rPr>
              <w:t>7</w:t>
            </w:r>
            <w:r w:rsidRPr="00414E7D">
              <w:rPr>
                <w:rFonts w:ascii="Times New Roman" w:hAnsi="Times New Roman"/>
              </w:rPr>
              <w:t>0</w:t>
            </w:r>
          </w:p>
        </w:tc>
        <w:tc>
          <w:tcPr>
            <w:tcW w:w="390" w:type="pct"/>
            <w:vAlign w:val="center"/>
          </w:tcPr>
          <w:p w14:paraId="42919F7E" w14:textId="77777777" w:rsidR="00035F5B" w:rsidRPr="00414E7D" w:rsidRDefault="00FA7FD6" w:rsidP="00035F5B">
            <w:pPr>
              <w:spacing w:after="0" w:line="240" w:lineRule="auto"/>
              <w:ind w:right="57"/>
              <w:jc w:val="center"/>
              <w:rPr>
                <w:rFonts w:ascii="Times New Roman" w:hAnsi="Times New Roman"/>
              </w:rPr>
            </w:pPr>
            <w:r>
              <w:rPr>
                <w:rFonts w:ascii="Times New Roman" w:hAnsi="Times New Roman"/>
              </w:rPr>
              <w:t>202</w:t>
            </w:r>
          </w:p>
        </w:tc>
        <w:tc>
          <w:tcPr>
            <w:tcW w:w="420" w:type="pct"/>
            <w:vAlign w:val="center"/>
          </w:tcPr>
          <w:p w14:paraId="67A08B59" w14:textId="77777777" w:rsidR="00035F5B" w:rsidRPr="00414E7D" w:rsidRDefault="00FA7FD6" w:rsidP="00035F5B">
            <w:pPr>
              <w:spacing w:after="0" w:line="240" w:lineRule="auto"/>
              <w:ind w:right="57"/>
              <w:jc w:val="center"/>
              <w:rPr>
                <w:rFonts w:ascii="Times New Roman" w:hAnsi="Times New Roman"/>
              </w:rPr>
            </w:pPr>
            <w:r>
              <w:rPr>
                <w:rFonts w:ascii="Times New Roman" w:hAnsi="Times New Roman"/>
              </w:rPr>
              <w:t>202</w:t>
            </w:r>
          </w:p>
        </w:tc>
        <w:tc>
          <w:tcPr>
            <w:tcW w:w="416" w:type="pct"/>
            <w:vAlign w:val="center"/>
          </w:tcPr>
          <w:p w14:paraId="150EC8B9"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14:paraId="7337308E"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274E9F24"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0E3BDCC2"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2990A631"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2D44639E"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613542A1" w14:textId="77777777" w:rsidTr="00BD2130">
        <w:trPr>
          <w:trHeight w:val="317"/>
          <w:jc w:val="center"/>
        </w:trPr>
        <w:tc>
          <w:tcPr>
            <w:tcW w:w="860" w:type="pct"/>
            <w:vAlign w:val="center"/>
          </w:tcPr>
          <w:p w14:paraId="47562588"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Калмыкия</w:t>
            </w:r>
          </w:p>
        </w:tc>
        <w:tc>
          <w:tcPr>
            <w:tcW w:w="411" w:type="pct"/>
            <w:vAlign w:val="center"/>
          </w:tcPr>
          <w:p w14:paraId="4EEAADF8" w14:textId="77777777" w:rsidR="00035F5B" w:rsidRPr="00414E7D" w:rsidRDefault="00035F5B" w:rsidP="00FA7FD6">
            <w:pPr>
              <w:spacing w:after="0" w:line="240" w:lineRule="auto"/>
              <w:ind w:right="57"/>
              <w:jc w:val="center"/>
              <w:rPr>
                <w:rFonts w:ascii="Times New Roman" w:hAnsi="Times New Roman"/>
              </w:rPr>
            </w:pPr>
            <w:r w:rsidRPr="00414E7D">
              <w:rPr>
                <w:rFonts w:ascii="Times New Roman" w:hAnsi="Times New Roman"/>
              </w:rPr>
              <w:t>2</w:t>
            </w:r>
            <w:r w:rsidR="00FA7FD6">
              <w:rPr>
                <w:rFonts w:ascii="Times New Roman" w:hAnsi="Times New Roman"/>
              </w:rPr>
              <w:t>53</w:t>
            </w:r>
          </w:p>
        </w:tc>
        <w:tc>
          <w:tcPr>
            <w:tcW w:w="413" w:type="pct"/>
            <w:vAlign w:val="center"/>
          </w:tcPr>
          <w:p w14:paraId="1C20DB96" w14:textId="77777777" w:rsidR="00035F5B" w:rsidRPr="00414E7D" w:rsidRDefault="00FA7FD6" w:rsidP="00035F5B">
            <w:pPr>
              <w:spacing w:after="0" w:line="240" w:lineRule="auto"/>
              <w:ind w:right="57"/>
              <w:jc w:val="center"/>
              <w:rPr>
                <w:rFonts w:ascii="Times New Roman" w:hAnsi="Times New Roman"/>
              </w:rPr>
            </w:pPr>
            <w:r>
              <w:rPr>
                <w:rFonts w:ascii="Times New Roman" w:hAnsi="Times New Roman"/>
              </w:rPr>
              <w:t>50</w:t>
            </w:r>
            <w:r w:rsidR="00035F5B" w:rsidRPr="00414E7D">
              <w:rPr>
                <w:rFonts w:ascii="Times New Roman" w:hAnsi="Times New Roman"/>
              </w:rPr>
              <w:t>7</w:t>
            </w:r>
          </w:p>
        </w:tc>
        <w:tc>
          <w:tcPr>
            <w:tcW w:w="390" w:type="pct"/>
            <w:vAlign w:val="center"/>
          </w:tcPr>
          <w:p w14:paraId="3394D0D3" w14:textId="77777777" w:rsidR="00035F5B" w:rsidRPr="00414E7D" w:rsidRDefault="00035F5B" w:rsidP="00FA7FD6">
            <w:pPr>
              <w:spacing w:after="0" w:line="240" w:lineRule="auto"/>
              <w:ind w:right="57"/>
              <w:jc w:val="center"/>
              <w:rPr>
                <w:rFonts w:ascii="Times New Roman" w:hAnsi="Times New Roman"/>
              </w:rPr>
            </w:pPr>
            <w:r w:rsidRPr="00414E7D">
              <w:rPr>
                <w:rFonts w:ascii="Times New Roman" w:hAnsi="Times New Roman"/>
              </w:rPr>
              <w:t>3</w:t>
            </w:r>
            <w:r w:rsidR="00FA7FD6">
              <w:rPr>
                <w:rFonts w:ascii="Times New Roman" w:hAnsi="Times New Roman"/>
              </w:rPr>
              <w:t>80</w:t>
            </w:r>
          </w:p>
        </w:tc>
        <w:tc>
          <w:tcPr>
            <w:tcW w:w="420" w:type="pct"/>
            <w:vAlign w:val="center"/>
          </w:tcPr>
          <w:p w14:paraId="6F1C057E" w14:textId="77777777" w:rsidR="00035F5B" w:rsidRPr="00414E7D" w:rsidRDefault="00035F5B" w:rsidP="00FA7FD6">
            <w:pPr>
              <w:spacing w:after="0" w:line="240" w:lineRule="auto"/>
              <w:ind w:right="57"/>
              <w:jc w:val="center"/>
              <w:rPr>
                <w:rFonts w:ascii="Times New Roman" w:hAnsi="Times New Roman"/>
              </w:rPr>
            </w:pPr>
            <w:r w:rsidRPr="00414E7D">
              <w:rPr>
                <w:rFonts w:ascii="Times New Roman" w:hAnsi="Times New Roman"/>
              </w:rPr>
              <w:t>3</w:t>
            </w:r>
            <w:r w:rsidR="00FA7FD6">
              <w:rPr>
                <w:rFonts w:ascii="Times New Roman" w:hAnsi="Times New Roman"/>
              </w:rPr>
              <w:t>80</w:t>
            </w:r>
          </w:p>
        </w:tc>
        <w:tc>
          <w:tcPr>
            <w:tcW w:w="416" w:type="pct"/>
            <w:vAlign w:val="center"/>
          </w:tcPr>
          <w:p w14:paraId="210BA09F"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14:paraId="561DB253"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4C4F0DB1"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0FCD1C97"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4ACE85CD"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6FEFE51B"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39B8FCA4" w14:textId="77777777" w:rsidTr="00BD2130">
        <w:trPr>
          <w:trHeight w:val="317"/>
          <w:jc w:val="center"/>
        </w:trPr>
        <w:tc>
          <w:tcPr>
            <w:tcW w:w="860" w:type="pct"/>
            <w:vAlign w:val="center"/>
          </w:tcPr>
          <w:p w14:paraId="534A0436" w14:textId="77777777" w:rsidR="00035F5B" w:rsidRPr="00414E7D" w:rsidRDefault="00035F5B" w:rsidP="00035F5B">
            <w:pPr>
              <w:spacing w:after="0" w:line="240" w:lineRule="auto"/>
              <w:rPr>
                <w:rFonts w:ascii="Times New Roman" w:eastAsia="Times New Roman" w:hAnsi="Times New Roman" w:cs="Times New Roman"/>
                <w:color w:val="000000"/>
                <w:sz w:val="24"/>
                <w:szCs w:val="24"/>
                <w:lang w:eastAsia="ru-RU"/>
              </w:rPr>
            </w:pPr>
            <w:r w:rsidRPr="00414E7D">
              <w:rPr>
                <w:rFonts w:ascii="Times New Roman" w:eastAsia="Times New Roman" w:hAnsi="Times New Roman" w:cs="Times New Roman"/>
                <w:color w:val="000000"/>
                <w:sz w:val="24"/>
                <w:szCs w:val="24"/>
                <w:lang w:eastAsia="ru-RU"/>
              </w:rPr>
              <w:t>Республика Крым</w:t>
            </w:r>
          </w:p>
        </w:tc>
        <w:tc>
          <w:tcPr>
            <w:tcW w:w="411" w:type="pct"/>
            <w:vAlign w:val="center"/>
          </w:tcPr>
          <w:p w14:paraId="599070C5" w14:textId="77777777" w:rsidR="00035F5B" w:rsidRPr="00414E7D" w:rsidRDefault="00035F5B" w:rsidP="00FA7FD6">
            <w:pPr>
              <w:spacing w:after="0" w:line="240" w:lineRule="auto"/>
              <w:ind w:right="57"/>
              <w:jc w:val="center"/>
              <w:rPr>
                <w:rFonts w:ascii="Times New Roman" w:hAnsi="Times New Roman"/>
              </w:rPr>
            </w:pPr>
            <w:r w:rsidRPr="00414E7D">
              <w:rPr>
                <w:rFonts w:ascii="Times New Roman" w:hAnsi="Times New Roman"/>
              </w:rPr>
              <w:t>6</w:t>
            </w:r>
            <w:r w:rsidR="00FA7FD6">
              <w:rPr>
                <w:rFonts w:ascii="Times New Roman" w:hAnsi="Times New Roman"/>
              </w:rPr>
              <w:t>4</w:t>
            </w:r>
            <w:r w:rsidRPr="00414E7D">
              <w:rPr>
                <w:rFonts w:ascii="Times New Roman" w:hAnsi="Times New Roman"/>
              </w:rPr>
              <w:t>8</w:t>
            </w:r>
          </w:p>
        </w:tc>
        <w:tc>
          <w:tcPr>
            <w:tcW w:w="413" w:type="pct"/>
            <w:vAlign w:val="center"/>
          </w:tcPr>
          <w:p w14:paraId="154317A7" w14:textId="77777777" w:rsidR="00035F5B" w:rsidRPr="00414E7D" w:rsidRDefault="00035F5B" w:rsidP="00FA7FD6">
            <w:pPr>
              <w:spacing w:after="0" w:line="240" w:lineRule="auto"/>
              <w:ind w:right="57"/>
              <w:jc w:val="center"/>
              <w:rPr>
                <w:rFonts w:ascii="Times New Roman" w:hAnsi="Times New Roman"/>
              </w:rPr>
            </w:pPr>
            <w:r w:rsidRPr="00414E7D">
              <w:rPr>
                <w:rFonts w:ascii="Times New Roman" w:hAnsi="Times New Roman"/>
              </w:rPr>
              <w:t>2</w:t>
            </w:r>
            <w:r w:rsidR="00FA7FD6">
              <w:rPr>
                <w:rFonts w:ascii="Times New Roman" w:hAnsi="Times New Roman"/>
              </w:rPr>
              <w:t>928</w:t>
            </w:r>
          </w:p>
        </w:tc>
        <w:tc>
          <w:tcPr>
            <w:tcW w:w="390" w:type="pct"/>
            <w:vAlign w:val="center"/>
          </w:tcPr>
          <w:p w14:paraId="49EF0C3A"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vAlign w:val="center"/>
          </w:tcPr>
          <w:p w14:paraId="72B4ED80" w14:textId="77777777" w:rsidR="00035F5B" w:rsidRPr="00414E7D" w:rsidRDefault="00035F5B" w:rsidP="00FA7FD6">
            <w:pPr>
              <w:spacing w:after="0" w:line="240" w:lineRule="auto"/>
              <w:ind w:right="57"/>
              <w:jc w:val="center"/>
              <w:rPr>
                <w:rFonts w:ascii="Times New Roman" w:hAnsi="Times New Roman"/>
              </w:rPr>
            </w:pPr>
            <w:r w:rsidRPr="00414E7D">
              <w:rPr>
                <w:rFonts w:ascii="Times New Roman" w:hAnsi="Times New Roman"/>
              </w:rPr>
              <w:t>2</w:t>
            </w:r>
            <w:r w:rsidR="00FA7FD6">
              <w:rPr>
                <w:rFonts w:ascii="Times New Roman" w:hAnsi="Times New Roman"/>
              </w:rPr>
              <w:t>928</w:t>
            </w:r>
          </w:p>
        </w:tc>
        <w:tc>
          <w:tcPr>
            <w:tcW w:w="416" w:type="pct"/>
            <w:vAlign w:val="center"/>
          </w:tcPr>
          <w:p w14:paraId="22083EF0"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14:paraId="31634558"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486817BC"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5C636E2C"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6D8676E2"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5A8BA154"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0446AA6A" w14:textId="77777777" w:rsidTr="00BD2130">
        <w:trPr>
          <w:trHeight w:val="317"/>
          <w:jc w:val="center"/>
        </w:trPr>
        <w:tc>
          <w:tcPr>
            <w:tcW w:w="860" w:type="pct"/>
            <w:vAlign w:val="center"/>
          </w:tcPr>
          <w:p w14:paraId="08C0F35A"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Краснодарский край</w:t>
            </w:r>
          </w:p>
        </w:tc>
        <w:tc>
          <w:tcPr>
            <w:tcW w:w="411" w:type="pct"/>
            <w:vAlign w:val="center"/>
          </w:tcPr>
          <w:p w14:paraId="6D447A04" w14:textId="77777777" w:rsidR="00035F5B" w:rsidRPr="00414E7D" w:rsidRDefault="00035F5B" w:rsidP="00FA7FD6">
            <w:pPr>
              <w:spacing w:after="0" w:line="240" w:lineRule="auto"/>
              <w:ind w:right="57"/>
              <w:jc w:val="center"/>
              <w:rPr>
                <w:rFonts w:ascii="Times New Roman" w:hAnsi="Times New Roman"/>
              </w:rPr>
            </w:pPr>
            <w:r w:rsidRPr="00414E7D">
              <w:rPr>
                <w:rFonts w:ascii="Times New Roman" w:hAnsi="Times New Roman"/>
              </w:rPr>
              <w:t>2</w:t>
            </w:r>
            <w:r w:rsidR="00FA7FD6">
              <w:rPr>
                <w:rFonts w:ascii="Times New Roman" w:hAnsi="Times New Roman"/>
              </w:rPr>
              <w:t>22</w:t>
            </w:r>
          </w:p>
        </w:tc>
        <w:tc>
          <w:tcPr>
            <w:tcW w:w="413" w:type="pct"/>
            <w:vAlign w:val="center"/>
          </w:tcPr>
          <w:p w14:paraId="7709DFBD" w14:textId="77777777" w:rsidR="00035F5B" w:rsidRPr="00414E7D" w:rsidRDefault="00035F5B" w:rsidP="00FA7FD6">
            <w:pPr>
              <w:spacing w:after="0" w:line="240" w:lineRule="auto"/>
              <w:ind w:right="57"/>
              <w:jc w:val="center"/>
              <w:rPr>
                <w:rFonts w:ascii="Times New Roman" w:hAnsi="Times New Roman"/>
              </w:rPr>
            </w:pPr>
            <w:r w:rsidRPr="00414E7D">
              <w:rPr>
                <w:rFonts w:ascii="Times New Roman" w:hAnsi="Times New Roman"/>
              </w:rPr>
              <w:t>4</w:t>
            </w:r>
            <w:r w:rsidR="00FA7FD6">
              <w:rPr>
                <w:rFonts w:ascii="Times New Roman" w:hAnsi="Times New Roman"/>
              </w:rPr>
              <w:t>34</w:t>
            </w:r>
          </w:p>
        </w:tc>
        <w:tc>
          <w:tcPr>
            <w:tcW w:w="390" w:type="pct"/>
            <w:vAlign w:val="center"/>
          </w:tcPr>
          <w:p w14:paraId="50D95244" w14:textId="77777777" w:rsidR="00035F5B" w:rsidRPr="00414E7D" w:rsidRDefault="00035F5B" w:rsidP="00FA7FD6">
            <w:pPr>
              <w:spacing w:after="0" w:line="240" w:lineRule="auto"/>
              <w:ind w:right="57"/>
              <w:jc w:val="center"/>
              <w:rPr>
                <w:rFonts w:ascii="Times New Roman" w:hAnsi="Times New Roman"/>
              </w:rPr>
            </w:pPr>
            <w:r w:rsidRPr="00414E7D">
              <w:rPr>
                <w:rFonts w:ascii="Times New Roman" w:hAnsi="Times New Roman"/>
              </w:rPr>
              <w:t>3</w:t>
            </w:r>
            <w:r w:rsidR="00FA7FD6">
              <w:rPr>
                <w:rFonts w:ascii="Times New Roman" w:hAnsi="Times New Roman"/>
              </w:rPr>
              <w:t>21</w:t>
            </w:r>
          </w:p>
        </w:tc>
        <w:tc>
          <w:tcPr>
            <w:tcW w:w="420" w:type="pct"/>
            <w:vAlign w:val="center"/>
          </w:tcPr>
          <w:p w14:paraId="3C35D73D" w14:textId="77777777" w:rsidR="00035F5B" w:rsidRPr="00414E7D" w:rsidRDefault="00035F5B" w:rsidP="00FA7FD6">
            <w:pPr>
              <w:spacing w:after="0" w:line="240" w:lineRule="auto"/>
              <w:ind w:right="57"/>
              <w:jc w:val="center"/>
              <w:rPr>
                <w:rFonts w:ascii="Times New Roman" w:hAnsi="Times New Roman"/>
              </w:rPr>
            </w:pPr>
            <w:r w:rsidRPr="00414E7D">
              <w:rPr>
                <w:rFonts w:ascii="Times New Roman" w:hAnsi="Times New Roman"/>
              </w:rPr>
              <w:t>3</w:t>
            </w:r>
            <w:r w:rsidR="00FA7FD6">
              <w:rPr>
                <w:rFonts w:ascii="Times New Roman" w:hAnsi="Times New Roman"/>
              </w:rPr>
              <w:t>21</w:t>
            </w:r>
          </w:p>
        </w:tc>
        <w:tc>
          <w:tcPr>
            <w:tcW w:w="416" w:type="pct"/>
            <w:vAlign w:val="center"/>
          </w:tcPr>
          <w:p w14:paraId="788F2582"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14:paraId="269EF114"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3A9341B1"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3E4BEA55"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0169A037"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4C340F95"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225CE62E" w14:textId="77777777" w:rsidTr="00BD2130">
        <w:trPr>
          <w:trHeight w:val="317"/>
          <w:jc w:val="center"/>
        </w:trPr>
        <w:tc>
          <w:tcPr>
            <w:tcW w:w="860" w:type="pct"/>
            <w:vAlign w:val="center"/>
          </w:tcPr>
          <w:p w14:paraId="260456F0"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Астраханская область</w:t>
            </w:r>
          </w:p>
        </w:tc>
        <w:tc>
          <w:tcPr>
            <w:tcW w:w="411" w:type="pct"/>
            <w:vAlign w:val="center"/>
          </w:tcPr>
          <w:p w14:paraId="0F87F208" w14:textId="77777777" w:rsidR="00035F5B" w:rsidRPr="00414E7D" w:rsidRDefault="00035F5B" w:rsidP="00FA7FD6">
            <w:pPr>
              <w:spacing w:after="0" w:line="240" w:lineRule="auto"/>
              <w:ind w:right="57"/>
              <w:jc w:val="center"/>
              <w:rPr>
                <w:rFonts w:ascii="Times New Roman" w:hAnsi="Times New Roman"/>
              </w:rPr>
            </w:pPr>
            <w:r w:rsidRPr="00414E7D">
              <w:rPr>
                <w:rFonts w:ascii="Times New Roman" w:hAnsi="Times New Roman"/>
              </w:rPr>
              <w:t>5</w:t>
            </w:r>
            <w:r w:rsidR="00FA7FD6">
              <w:rPr>
                <w:rFonts w:ascii="Times New Roman" w:hAnsi="Times New Roman"/>
              </w:rPr>
              <w:t>38</w:t>
            </w:r>
          </w:p>
        </w:tc>
        <w:tc>
          <w:tcPr>
            <w:tcW w:w="413" w:type="pct"/>
            <w:vAlign w:val="center"/>
          </w:tcPr>
          <w:p w14:paraId="6D5CE343" w14:textId="77777777" w:rsidR="00035F5B" w:rsidRPr="00414E7D" w:rsidRDefault="00035F5B" w:rsidP="00FA7FD6">
            <w:pPr>
              <w:spacing w:after="0" w:line="240" w:lineRule="auto"/>
              <w:ind w:right="57"/>
              <w:jc w:val="center"/>
              <w:rPr>
                <w:rFonts w:ascii="Times New Roman" w:hAnsi="Times New Roman"/>
              </w:rPr>
            </w:pPr>
            <w:r w:rsidRPr="00414E7D">
              <w:rPr>
                <w:rFonts w:ascii="Times New Roman" w:hAnsi="Times New Roman"/>
              </w:rPr>
              <w:t>5</w:t>
            </w:r>
            <w:r w:rsidR="00FA7FD6">
              <w:rPr>
                <w:rFonts w:ascii="Times New Roman" w:hAnsi="Times New Roman"/>
              </w:rPr>
              <w:t>38</w:t>
            </w:r>
          </w:p>
        </w:tc>
        <w:tc>
          <w:tcPr>
            <w:tcW w:w="390" w:type="pct"/>
            <w:vAlign w:val="center"/>
          </w:tcPr>
          <w:p w14:paraId="1F8770B0"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vAlign w:val="center"/>
          </w:tcPr>
          <w:p w14:paraId="29FAC06B"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6" w:type="pct"/>
            <w:vAlign w:val="center"/>
          </w:tcPr>
          <w:p w14:paraId="13B4905B"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14:paraId="1112B17A"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152F5490"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53CBD77A" w14:textId="77777777" w:rsidR="00035F5B" w:rsidRPr="00414E7D" w:rsidRDefault="00035F5B" w:rsidP="00FA7FD6">
            <w:pPr>
              <w:spacing w:after="0" w:line="240" w:lineRule="auto"/>
              <w:ind w:right="57"/>
              <w:jc w:val="center"/>
              <w:rPr>
                <w:rFonts w:ascii="Times New Roman" w:hAnsi="Times New Roman"/>
              </w:rPr>
            </w:pPr>
            <w:r w:rsidRPr="00414E7D">
              <w:rPr>
                <w:rFonts w:ascii="Times New Roman" w:hAnsi="Times New Roman"/>
              </w:rPr>
              <w:t>10</w:t>
            </w:r>
            <w:r w:rsidR="00FA7FD6">
              <w:rPr>
                <w:rFonts w:ascii="Times New Roman" w:hAnsi="Times New Roman"/>
              </w:rPr>
              <w:t>7</w:t>
            </w:r>
            <w:r w:rsidRPr="00414E7D">
              <w:rPr>
                <w:rFonts w:ascii="Times New Roman" w:hAnsi="Times New Roman"/>
              </w:rPr>
              <w:t>6</w:t>
            </w:r>
          </w:p>
        </w:tc>
        <w:tc>
          <w:tcPr>
            <w:tcW w:w="434" w:type="pct"/>
            <w:vAlign w:val="center"/>
          </w:tcPr>
          <w:p w14:paraId="4E1641E1"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46EA376B" w14:textId="77777777" w:rsidR="00035F5B" w:rsidRPr="00414E7D" w:rsidRDefault="00035F5B" w:rsidP="00FA7FD6">
            <w:pPr>
              <w:spacing w:after="0" w:line="240" w:lineRule="auto"/>
              <w:ind w:right="57"/>
              <w:jc w:val="center"/>
              <w:rPr>
                <w:rFonts w:ascii="Times New Roman" w:hAnsi="Times New Roman"/>
              </w:rPr>
            </w:pPr>
            <w:r w:rsidRPr="00414E7D">
              <w:rPr>
                <w:rFonts w:ascii="Times New Roman" w:hAnsi="Times New Roman"/>
              </w:rPr>
              <w:t>10</w:t>
            </w:r>
            <w:r w:rsidR="00FA7FD6">
              <w:rPr>
                <w:rFonts w:ascii="Times New Roman" w:hAnsi="Times New Roman"/>
              </w:rPr>
              <w:t>76</w:t>
            </w:r>
          </w:p>
        </w:tc>
      </w:tr>
      <w:tr w:rsidR="00035F5B" w:rsidRPr="00414E7D" w14:paraId="2080BB0E" w14:textId="77777777" w:rsidTr="00BD2130">
        <w:trPr>
          <w:trHeight w:val="317"/>
          <w:jc w:val="center"/>
        </w:trPr>
        <w:tc>
          <w:tcPr>
            <w:tcW w:w="860" w:type="pct"/>
            <w:vAlign w:val="center"/>
          </w:tcPr>
          <w:p w14:paraId="60F7322C"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Волгоградская область</w:t>
            </w:r>
          </w:p>
        </w:tc>
        <w:tc>
          <w:tcPr>
            <w:tcW w:w="411" w:type="pct"/>
            <w:vAlign w:val="center"/>
          </w:tcPr>
          <w:p w14:paraId="064CBC6C" w14:textId="77777777" w:rsidR="00035F5B" w:rsidRPr="00414E7D" w:rsidRDefault="00035F5B" w:rsidP="00FA7FD6">
            <w:pPr>
              <w:spacing w:after="0" w:line="240" w:lineRule="auto"/>
              <w:ind w:right="57"/>
              <w:jc w:val="center"/>
              <w:rPr>
                <w:rFonts w:ascii="Times New Roman" w:hAnsi="Times New Roman"/>
              </w:rPr>
            </w:pPr>
            <w:r w:rsidRPr="00414E7D">
              <w:rPr>
                <w:rFonts w:ascii="Times New Roman" w:hAnsi="Times New Roman"/>
              </w:rPr>
              <w:t>3</w:t>
            </w:r>
            <w:r w:rsidR="00FA7FD6">
              <w:rPr>
                <w:rFonts w:ascii="Times New Roman" w:hAnsi="Times New Roman"/>
              </w:rPr>
              <w:t>39</w:t>
            </w:r>
          </w:p>
        </w:tc>
        <w:tc>
          <w:tcPr>
            <w:tcW w:w="413" w:type="pct"/>
            <w:vAlign w:val="center"/>
          </w:tcPr>
          <w:p w14:paraId="48E52711" w14:textId="77777777" w:rsidR="00035F5B" w:rsidRPr="00414E7D" w:rsidRDefault="00035F5B" w:rsidP="00FA7FD6">
            <w:pPr>
              <w:spacing w:after="0" w:line="240" w:lineRule="auto"/>
              <w:ind w:right="57"/>
              <w:jc w:val="center"/>
              <w:rPr>
                <w:rFonts w:ascii="Times New Roman" w:hAnsi="Times New Roman"/>
              </w:rPr>
            </w:pPr>
            <w:r w:rsidRPr="00414E7D">
              <w:rPr>
                <w:rFonts w:ascii="Times New Roman" w:hAnsi="Times New Roman"/>
              </w:rPr>
              <w:t>6</w:t>
            </w:r>
            <w:r w:rsidR="00FA7FD6">
              <w:rPr>
                <w:rFonts w:ascii="Times New Roman" w:hAnsi="Times New Roman"/>
              </w:rPr>
              <w:t>77</w:t>
            </w:r>
          </w:p>
        </w:tc>
        <w:tc>
          <w:tcPr>
            <w:tcW w:w="390" w:type="pct"/>
            <w:vAlign w:val="center"/>
          </w:tcPr>
          <w:p w14:paraId="1A189AFC" w14:textId="77777777" w:rsidR="00035F5B" w:rsidRPr="00414E7D" w:rsidRDefault="00035F5B" w:rsidP="00FA7FD6">
            <w:pPr>
              <w:spacing w:after="0" w:line="240" w:lineRule="auto"/>
              <w:ind w:right="57"/>
              <w:jc w:val="center"/>
              <w:rPr>
                <w:rFonts w:ascii="Times New Roman" w:hAnsi="Times New Roman"/>
              </w:rPr>
            </w:pPr>
            <w:r w:rsidRPr="00414E7D">
              <w:rPr>
                <w:rFonts w:ascii="Times New Roman" w:hAnsi="Times New Roman"/>
              </w:rPr>
              <w:t>10</w:t>
            </w:r>
            <w:r w:rsidR="00FA7FD6">
              <w:rPr>
                <w:rFonts w:ascii="Times New Roman" w:hAnsi="Times New Roman"/>
              </w:rPr>
              <w:t>67</w:t>
            </w:r>
          </w:p>
        </w:tc>
        <w:tc>
          <w:tcPr>
            <w:tcW w:w="420" w:type="pct"/>
            <w:vAlign w:val="center"/>
          </w:tcPr>
          <w:p w14:paraId="3CFE66ED" w14:textId="77777777" w:rsidR="00035F5B" w:rsidRPr="00414E7D" w:rsidRDefault="00035F5B" w:rsidP="00FA7FD6">
            <w:pPr>
              <w:spacing w:after="0" w:line="240" w:lineRule="auto"/>
              <w:ind w:right="57"/>
              <w:jc w:val="center"/>
              <w:rPr>
                <w:rFonts w:ascii="Times New Roman" w:hAnsi="Times New Roman"/>
              </w:rPr>
            </w:pPr>
            <w:r w:rsidRPr="00414E7D">
              <w:rPr>
                <w:rFonts w:ascii="Times New Roman" w:hAnsi="Times New Roman"/>
              </w:rPr>
              <w:t>6</w:t>
            </w:r>
            <w:r w:rsidR="00FA7FD6">
              <w:rPr>
                <w:rFonts w:ascii="Times New Roman" w:hAnsi="Times New Roman"/>
              </w:rPr>
              <w:t>77</w:t>
            </w:r>
          </w:p>
        </w:tc>
        <w:tc>
          <w:tcPr>
            <w:tcW w:w="416" w:type="pct"/>
            <w:vAlign w:val="center"/>
          </w:tcPr>
          <w:p w14:paraId="06BF607A" w14:textId="77777777" w:rsidR="00035F5B" w:rsidRPr="00414E7D" w:rsidRDefault="00035F5B" w:rsidP="00FA7FD6">
            <w:pPr>
              <w:spacing w:after="0" w:line="240" w:lineRule="auto"/>
              <w:ind w:right="57"/>
              <w:jc w:val="center"/>
              <w:rPr>
                <w:rFonts w:ascii="Times New Roman" w:hAnsi="Times New Roman"/>
              </w:rPr>
            </w:pPr>
            <w:r w:rsidRPr="00414E7D">
              <w:rPr>
                <w:rFonts w:ascii="Times New Roman" w:hAnsi="Times New Roman"/>
              </w:rPr>
              <w:t>5</w:t>
            </w:r>
            <w:r w:rsidR="00FA7FD6">
              <w:rPr>
                <w:rFonts w:ascii="Times New Roman" w:hAnsi="Times New Roman"/>
              </w:rPr>
              <w:t>93</w:t>
            </w:r>
          </w:p>
        </w:tc>
        <w:tc>
          <w:tcPr>
            <w:tcW w:w="421" w:type="pct"/>
            <w:vAlign w:val="center"/>
          </w:tcPr>
          <w:p w14:paraId="76E4DBA5"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44CB330A"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4271E844"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26E8462E"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37D92582" w14:textId="77777777" w:rsidR="00035F5B" w:rsidRPr="00414E7D" w:rsidRDefault="00035F5B" w:rsidP="00FA7FD6">
            <w:pPr>
              <w:spacing w:after="0" w:line="240" w:lineRule="auto"/>
              <w:ind w:right="57"/>
              <w:jc w:val="center"/>
              <w:rPr>
                <w:rFonts w:ascii="Times New Roman" w:hAnsi="Times New Roman"/>
              </w:rPr>
            </w:pPr>
            <w:r w:rsidRPr="00414E7D">
              <w:rPr>
                <w:rFonts w:ascii="Times New Roman" w:hAnsi="Times New Roman"/>
              </w:rPr>
              <w:t>10</w:t>
            </w:r>
            <w:r w:rsidR="00FA7FD6">
              <w:rPr>
                <w:rFonts w:ascii="Times New Roman" w:hAnsi="Times New Roman"/>
              </w:rPr>
              <w:t>67</w:t>
            </w:r>
          </w:p>
        </w:tc>
      </w:tr>
      <w:tr w:rsidR="00035F5B" w:rsidRPr="00414E7D" w14:paraId="3AA80304" w14:textId="77777777" w:rsidTr="00BD2130">
        <w:trPr>
          <w:trHeight w:val="317"/>
          <w:jc w:val="center"/>
        </w:trPr>
        <w:tc>
          <w:tcPr>
            <w:tcW w:w="860" w:type="pct"/>
            <w:vAlign w:val="center"/>
          </w:tcPr>
          <w:p w14:paraId="0594BEDD"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Ростовская область</w:t>
            </w:r>
          </w:p>
        </w:tc>
        <w:tc>
          <w:tcPr>
            <w:tcW w:w="411" w:type="pct"/>
            <w:vAlign w:val="center"/>
          </w:tcPr>
          <w:p w14:paraId="366ACF4B" w14:textId="77777777" w:rsidR="00035F5B" w:rsidRPr="00414E7D" w:rsidRDefault="00035F5B" w:rsidP="00FA7FD6">
            <w:pPr>
              <w:spacing w:after="0" w:line="240" w:lineRule="auto"/>
              <w:ind w:right="57"/>
              <w:jc w:val="center"/>
              <w:rPr>
                <w:rFonts w:ascii="Times New Roman" w:hAnsi="Times New Roman"/>
              </w:rPr>
            </w:pPr>
            <w:r w:rsidRPr="00414E7D">
              <w:rPr>
                <w:rFonts w:ascii="Times New Roman" w:hAnsi="Times New Roman"/>
              </w:rPr>
              <w:t>4</w:t>
            </w:r>
            <w:r w:rsidR="00FA7FD6">
              <w:rPr>
                <w:rFonts w:ascii="Times New Roman" w:hAnsi="Times New Roman"/>
              </w:rPr>
              <w:t>53</w:t>
            </w:r>
          </w:p>
        </w:tc>
        <w:tc>
          <w:tcPr>
            <w:tcW w:w="413" w:type="pct"/>
            <w:vAlign w:val="center"/>
          </w:tcPr>
          <w:p w14:paraId="3A9F5420" w14:textId="77777777" w:rsidR="00035F5B" w:rsidRPr="00414E7D" w:rsidRDefault="00FA7FD6" w:rsidP="00035F5B">
            <w:pPr>
              <w:spacing w:after="0" w:line="240" w:lineRule="auto"/>
              <w:ind w:right="57"/>
              <w:jc w:val="center"/>
              <w:rPr>
                <w:rFonts w:ascii="Times New Roman" w:hAnsi="Times New Roman"/>
              </w:rPr>
            </w:pPr>
            <w:r>
              <w:rPr>
                <w:rFonts w:ascii="Times New Roman" w:hAnsi="Times New Roman"/>
              </w:rPr>
              <w:t>906</w:t>
            </w:r>
          </w:p>
        </w:tc>
        <w:tc>
          <w:tcPr>
            <w:tcW w:w="390" w:type="pct"/>
            <w:vAlign w:val="center"/>
          </w:tcPr>
          <w:p w14:paraId="0D6B2E56" w14:textId="77777777" w:rsidR="00035F5B" w:rsidRPr="00414E7D" w:rsidRDefault="00FA7FD6" w:rsidP="00FA7FD6">
            <w:pPr>
              <w:spacing w:after="0" w:line="240" w:lineRule="auto"/>
              <w:ind w:right="57"/>
              <w:jc w:val="center"/>
              <w:rPr>
                <w:rFonts w:ascii="Times New Roman" w:hAnsi="Times New Roman"/>
              </w:rPr>
            </w:pPr>
            <w:r>
              <w:rPr>
                <w:rFonts w:ascii="Times New Roman" w:hAnsi="Times New Roman"/>
              </w:rPr>
              <w:t>680</w:t>
            </w:r>
          </w:p>
        </w:tc>
        <w:tc>
          <w:tcPr>
            <w:tcW w:w="420" w:type="pct"/>
            <w:vAlign w:val="center"/>
          </w:tcPr>
          <w:p w14:paraId="63DD637F" w14:textId="77777777" w:rsidR="00035F5B" w:rsidRPr="00414E7D" w:rsidRDefault="00035F5B" w:rsidP="00FA7FD6">
            <w:pPr>
              <w:spacing w:after="0" w:line="240" w:lineRule="auto"/>
              <w:ind w:right="57"/>
              <w:jc w:val="center"/>
              <w:rPr>
                <w:rFonts w:ascii="Times New Roman" w:hAnsi="Times New Roman"/>
              </w:rPr>
            </w:pPr>
            <w:r w:rsidRPr="00414E7D">
              <w:rPr>
                <w:rFonts w:ascii="Times New Roman" w:hAnsi="Times New Roman"/>
              </w:rPr>
              <w:t>6</w:t>
            </w:r>
            <w:r w:rsidR="00FA7FD6">
              <w:rPr>
                <w:rFonts w:ascii="Times New Roman" w:hAnsi="Times New Roman"/>
              </w:rPr>
              <w:t>80</w:t>
            </w:r>
          </w:p>
        </w:tc>
        <w:tc>
          <w:tcPr>
            <w:tcW w:w="416" w:type="pct"/>
            <w:vAlign w:val="center"/>
          </w:tcPr>
          <w:p w14:paraId="3F3ED933"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14:paraId="691F601A"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73B6B8D5"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43DDB917"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2C128EFC"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5F04150A"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44D1AC05" w14:textId="77777777" w:rsidTr="00BD2130">
        <w:trPr>
          <w:trHeight w:val="317"/>
          <w:jc w:val="center"/>
        </w:trPr>
        <w:tc>
          <w:tcPr>
            <w:tcW w:w="860" w:type="pct"/>
            <w:vAlign w:val="center"/>
          </w:tcPr>
          <w:p w14:paraId="5A8876E2" w14:textId="77777777" w:rsidR="00035F5B" w:rsidRPr="00414E7D" w:rsidRDefault="00035F5B" w:rsidP="00035F5B">
            <w:pPr>
              <w:spacing w:after="0" w:line="240" w:lineRule="auto"/>
              <w:rPr>
                <w:rFonts w:ascii="Times New Roman" w:eastAsia="Times New Roman" w:hAnsi="Times New Roman" w:cs="Times New Roman"/>
                <w:color w:val="000000"/>
                <w:sz w:val="24"/>
                <w:szCs w:val="24"/>
                <w:lang w:eastAsia="ru-RU"/>
              </w:rPr>
            </w:pPr>
            <w:r w:rsidRPr="00414E7D">
              <w:rPr>
                <w:rFonts w:ascii="Times New Roman" w:eastAsia="Times New Roman" w:hAnsi="Times New Roman" w:cs="Times New Roman"/>
                <w:color w:val="000000"/>
                <w:sz w:val="24"/>
                <w:szCs w:val="24"/>
                <w:lang w:eastAsia="ru-RU"/>
              </w:rPr>
              <w:t xml:space="preserve">г. Севастополь </w:t>
            </w:r>
          </w:p>
        </w:tc>
        <w:tc>
          <w:tcPr>
            <w:tcW w:w="411" w:type="pct"/>
            <w:vAlign w:val="center"/>
          </w:tcPr>
          <w:p w14:paraId="4045B26A" w14:textId="77777777" w:rsidR="00035F5B" w:rsidRPr="00414E7D" w:rsidRDefault="00035F5B" w:rsidP="00FA7FD6">
            <w:pPr>
              <w:spacing w:after="0" w:line="240" w:lineRule="auto"/>
              <w:ind w:right="57"/>
              <w:jc w:val="center"/>
              <w:rPr>
                <w:rFonts w:ascii="Times New Roman" w:hAnsi="Times New Roman"/>
              </w:rPr>
            </w:pPr>
            <w:r w:rsidRPr="00414E7D">
              <w:rPr>
                <w:rFonts w:ascii="Times New Roman" w:hAnsi="Times New Roman"/>
              </w:rPr>
              <w:t>6</w:t>
            </w:r>
            <w:r w:rsidR="00FA7FD6">
              <w:rPr>
                <w:rFonts w:ascii="Times New Roman" w:hAnsi="Times New Roman"/>
              </w:rPr>
              <w:t>57</w:t>
            </w:r>
          </w:p>
        </w:tc>
        <w:tc>
          <w:tcPr>
            <w:tcW w:w="413" w:type="pct"/>
            <w:vAlign w:val="center"/>
          </w:tcPr>
          <w:p w14:paraId="4CDA5F14" w14:textId="77777777" w:rsidR="00035F5B" w:rsidRPr="00414E7D" w:rsidRDefault="00FA7FD6" w:rsidP="00035F5B">
            <w:pPr>
              <w:spacing w:after="0" w:line="240" w:lineRule="auto"/>
              <w:ind w:right="57"/>
              <w:jc w:val="center"/>
              <w:rPr>
                <w:rFonts w:ascii="Times New Roman" w:hAnsi="Times New Roman"/>
              </w:rPr>
            </w:pPr>
            <w:r>
              <w:rPr>
                <w:rFonts w:ascii="Times New Roman" w:hAnsi="Times New Roman"/>
              </w:rPr>
              <w:t>3065</w:t>
            </w:r>
          </w:p>
        </w:tc>
        <w:tc>
          <w:tcPr>
            <w:tcW w:w="390" w:type="pct"/>
            <w:vAlign w:val="center"/>
          </w:tcPr>
          <w:p w14:paraId="707E628C"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vAlign w:val="center"/>
          </w:tcPr>
          <w:p w14:paraId="3B977E5C" w14:textId="77777777" w:rsidR="00035F5B" w:rsidRPr="00414E7D" w:rsidRDefault="00FA7FD6" w:rsidP="00035F5B">
            <w:pPr>
              <w:spacing w:after="0" w:line="240" w:lineRule="auto"/>
              <w:ind w:right="57"/>
              <w:jc w:val="center"/>
              <w:rPr>
                <w:rFonts w:ascii="Times New Roman" w:hAnsi="Times New Roman"/>
              </w:rPr>
            </w:pPr>
            <w:r>
              <w:rPr>
                <w:rFonts w:ascii="Times New Roman" w:hAnsi="Times New Roman"/>
              </w:rPr>
              <w:t>3065</w:t>
            </w:r>
          </w:p>
        </w:tc>
        <w:tc>
          <w:tcPr>
            <w:tcW w:w="416" w:type="pct"/>
            <w:vAlign w:val="center"/>
          </w:tcPr>
          <w:p w14:paraId="3DD75FAC"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14:paraId="0A7E1192"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2174B77A"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15AF87F5"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09FF842B"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2A7E2802"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0F37F680" w14:textId="77777777" w:rsidTr="00BD2130">
        <w:trPr>
          <w:trHeight w:val="317"/>
          <w:jc w:val="center"/>
        </w:trPr>
        <w:tc>
          <w:tcPr>
            <w:tcW w:w="860" w:type="pct"/>
            <w:vAlign w:val="center"/>
          </w:tcPr>
          <w:p w14:paraId="3AC106BF" w14:textId="77777777" w:rsidR="00035F5B" w:rsidRPr="00414E7D" w:rsidRDefault="00035F5B" w:rsidP="00035F5B">
            <w:pPr>
              <w:spacing w:after="0" w:line="240" w:lineRule="auto"/>
              <w:rPr>
                <w:rFonts w:ascii="Times New Roman" w:eastAsia="Arial Unicode MS" w:hAnsi="Times New Roman" w:cs="Times New Roman"/>
                <w:b/>
                <w:sz w:val="24"/>
                <w:szCs w:val="24"/>
                <w:lang w:eastAsia="ru-RU"/>
              </w:rPr>
            </w:pPr>
            <w:r w:rsidRPr="00414E7D">
              <w:rPr>
                <w:rFonts w:ascii="Times New Roman" w:eastAsia="Times New Roman" w:hAnsi="Times New Roman" w:cs="Times New Roman"/>
                <w:b/>
                <w:sz w:val="24"/>
                <w:szCs w:val="24"/>
                <w:lang w:eastAsia="ru-RU"/>
              </w:rPr>
              <w:t>Северо-Кавказский федеральный округ</w:t>
            </w:r>
          </w:p>
        </w:tc>
        <w:tc>
          <w:tcPr>
            <w:tcW w:w="411" w:type="pct"/>
            <w:vAlign w:val="center"/>
          </w:tcPr>
          <w:p w14:paraId="1A2C9971"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3" w:type="pct"/>
            <w:vAlign w:val="center"/>
          </w:tcPr>
          <w:p w14:paraId="3C07458A"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0" w:type="pct"/>
            <w:vAlign w:val="center"/>
          </w:tcPr>
          <w:p w14:paraId="7E038F87"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vAlign w:val="center"/>
          </w:tcPr>
          <w:p w14:paraId="69A62A6C"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6" w:type="pct"/>
            <w:vAlign w:val="center"/>
          </w:tcPr>
          <w:p w14:paraId="26B65F28"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14:paraId="3D6D46EA"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2446607E"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3AF08150"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379DB51A"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38397485"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3B3722CA" w14:textId="77777777" w:rsidTr="00BD2130">
        <w:trPr>
          <w:trHeight w:val="317"/>
          <w:jc w:val="center"/>
        </w:trPr>
        <w:tc>
          <w:tcPr>
            <w:tcW w:w="860" w:type="pct"/>
            <w:vAlign w:val="center"/>
          </w:tcPr>
          <w:p w14:paraId="70F83A5A"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Дагестан</w:t>
            </w:r>
          </w:p>
        </w:tc>
        <w:tc>
          <w:tcPr>
            <w:tcW w:w="411" w:type="pct"/>
            <w:vAlign w:val="center"/>
          </w:tcPr>
          <w:p w14:paraId="7DE39530" w14:textId="77777777" w:rsidR="00035F5B" w:rsidRPr="00414E7D" w:rsidRDefault="00035F5B" w:rsidP="00FA7FD6">
            <w:pPr>
              <w:spacing w:after="0" w:line="240" w:lineRule="auto"/>
              <w:ind w:right="57"/>
              <w:jc w:val="center"/>
              <w:rPr>
                <w:rFonts w:ascii="Times New Roman" w:hAnsi="Times New Roman"/>
              </w:rPr>
            </w:pPr>
            <w:r w:rsidRPr="00414E7D">
              <w:rPr>
                <w:rFonts w:ascii="Times New Roman" w:hAnsi="Times New Roman"/>
              </w:rPr>
              <w:t>2</w:t>
            </w:r>
            <w:r w:rsidR="00FA7FD6">
              <w:rPr>
                <w:rFonts w:ascii="Times New Roman" w:hAnsi="Times New Roman"/>
              </w:rPr>
              <w:t>14</w:t>
            </w:r>
          </w:p>
        </w:tc>
        <w:tc>
          <w:tcPr>
            <w:tcW w:w="413" w:type="pct"/>
            <w:vAlign w:val="center"/>
          </w:tcPr>
          <w:p w14:paraId="1EDF5471" w14:textId="77777777" w:rsidR="00035F5B" w:rsidRPr="00414E7D" w:rsidRDefault="00035F5B" w:rsidP="00FA7FD6">
            <w:pPr>
              <w:spacing w:after="0" w:line="240" w:lineRule="auto"/>
              <w:ind w:right="57"/>
              <w:jc w:val="center"/>
              <w:rPr>
                <w:rFonts w:ascii="Times New Roman" w:hAnsi="Times New Roman"/>
              </w:rPr>
            </w:pPr>
            <w:r w:rsidRPr="00414E7D">
              <w:rPr>
                <w:rFonts w:ascii="Times New Roman" w:hAnsi="Times New Roman"/>
              </w:rPr>
              <w:t>4</w:t>
            </w:r>
            <w:r w:rsidR="00FA7FD6">
              <w:rPr>
                <w:rFonts w:ascii="Times New Roman" w:hAnsi="Times New Roman"/>
              </w:rPr>
              <w:t>28</w:t>
            </w:r>
          </w:p>
        </w:tc>
        <w:tc>
          <w:tcPr>
            <w:tcW w:w="390" w:type="pct"/>
            <w:vAlign w:val="center"/>
          </w:tcPr>
          <w:p w14:paraId="78B72C38" w14:textId="77777777" w:rsidR="00035F5B" w:rsidRPr="00414E7D" w:rsidRDefault="00035F5B" w:rsidP="00FA7FD6">
            <w:pPr>
              <w:spacing w:after="0" w:line="240" w:lineRule="auto"/>
              <w:ind w:right="57"/>
              <w:jc w:val="center"/>
              <w:rPr>
                <w:rFonts w:ascii="Times New Roman" w:hAnsi="Times New Roman"/>
              </w:rPr>
            </w:pPr>
            <w:r w:rsidRPr="00414E7D">
              <w:rPr>
                <w:rFonts w:ascii="Times New Roman" w:hAnsi="Times New Roman"/>
              </w:rPr>
              <w:t>3</w:t>
            </w:r>
            <w:r w:rsidR="00FA7FD6">
              <w:rPr>
                <w:rFonts w:ascii="Times New Roman" w:hAnsi="Times New Roman"/>
              </w:rPr>
              <w:t>21</w:t>
            </w:r>
          </w:p>
        </w:tc>
        <w:tc>
          <w:tcPr>
            <w:tcW w:w="420" w:type="pct"/>
            <w:vAlign w:val="center"/>
          </w:tcPr>
          <w:p w14:paraId="262850E3" w14:textId="77777777" w:rsidR="00035F5B" w:rsidRPr="00414E7D" w:rsidRDefault="00035F5B" w:rsidP="00FA7FD6">
            <w:pPr>
              <w:spacing w:after="0" w:line="240" w:lineRule="auto"/>
              <w:ind w:right="57"/>
              <w:jc w:val="center"/>
              <w:rPr>
                <w:rFonts w:ascii="Times New Roman" w:hAnsi="Times New Roman"/>
              </w:rPr>
            </w:pPr>
            <w:r w:rsidRPr="00414E7D">
              <w:rPr>
                <w:rFonts w:ascii="Times New Roman" w:hAnsi="Times New Roman"/>
              </w:rPr>
              <w:t>3</w:t>
            </w:r>
            <w:r w:rsidR="00FA7FD6">
              <w:rPr>
                <w:rFonts w:ascii="Times New Roman" w:hAnsi="Times New Roman"/>
              </w:rPr>
              <w:t>21</w:t>
            </w:r>
          </w:p>
        </w:tc>
        <w:tc>
          <w:tcPr>
            <w:tcW w:w="416" w:type="pct"/>
            <w:vAlign w:val="center"/>
          </w:tcPr>
          <w:p w14:paraId="73B3E7B5" w14:textId="77777777" w:rsidR="00035F5B" w:rsidRPr="00414E7D" w:rsidRDefault="00035F5B" w:rsidP="00035F5B">
            <w:pPr>
              <w:spacing w:after="0" w:line="240" w:lineRule="auto"/>
              <w:ind w:right="57"/>
              <w:jc w:val="center"/>
              <w:rPr>
                <w:rFonts w:ascii="Times New Roman" w:hAnsi="Times New Roman"/>
              </w:rPr>
            </w:pPr>
          </w:p>
        </w:tc>
        <w:tc>
          <w:tcPr>
            <w:tcW w:w="421" w:type="pct"/>
            <w:vAlign w:val="center"/>
          </w:tcPr>
          <w:p w14:paraId="57CD0363"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6F07D7E3"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1AF20106"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511E09D6"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086C3B99"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3C06342C" w14:textId="77777777" w:rsidTr="00BD2130">
        <w:trPr>
          <w:trHeight w:val="317"/>
          <w:jc w:val="center"/>
        </w:trPr>
        <w:tc>
          <w:tcPr>
            <w:tcW w:w="860" w:type="pct"/>
            <w:vAlign w:val="center"/>
          </w:tcPr>
          <w:p w14:paraId="4D3E80CA"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Ингушетия</w:t>
            </w:r>
          </w:p>
        </w:tc>
        <w:tc>
          <w:tcPr>
            <w:tcW w:w="411" w:type="pct"/>
            <w:vAlign w:val="center"/>
          </w:tcPr>
          <w:p w14:paraId="71DFA450"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150</w:t>
            </w:r>
          </w:p>
        </w:tc>
        <w:tc>
          <w:tcPr>
            <w:tcW w:w="413" w:type="pct"/>
            <w:vAlign w:val="center"/>
          </w:tcPr>
          <w:p w14:paraId="2BAF9696"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200</w:t>
            </w:r>
          </w:p>
        </w:tc>
        <w:tc>
          <w:tcPr>
            <w:tcW w:w="390" w:type="pct"/>
            <w:vAlign w:val="center"/>
          </w:tcPr>
          <w:p w14:paraId="0A30C659"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150</w:t>
            </w:r>
          </w:p>
        </w:tc>
        <w:tc>
          <w:tcPr>
            <w:tcW w:w="420" w:type="pct"/>
            <w:vAlign w:val="center"/>
          </w:tcPr>
          <w:p w14:paraId="0C35ED3F"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150</w:t>
            </w:r>
          </w:p>
        </w:tc>
        <w:tc>
          <w:tcPr>
            <w:tcW w:w="416" w:type="pct"/>
            <w:vAlign w:val="center"/>
          </w:tcPr>
          <w:p w14:paraId="0BDB441C" w14:textId="77777777" w:rsidR="00035F5B" w:rsidRPr="00414E7D" w:rsidRDefault="00035F5B" w:rsidP="00FA7FD6">
            <w:pPr>
              <w:spacing w:after="0" w:line="240" w:lineRule="auto"/>
              <w:ind w:right="57"/>
              <w:jc w:val="center"/>
              <w:rPr>
                <w:rFonts w:ascii="Times New Roman" w:hAnsi="Times New Roman"/>
              </w:rPr>
            </w:pPr>
            <w:r w:rsidRPr="00414E7D">
              <w:rPr>
                <w:rFonts w:ascii="Times New Roman" w:hAnsi="Times New Roman"/>
              </w:rPr>
              <w:t>1</w:t>
            </w:r>
            <w:r w:rsidR="00FA7FD6">
              <w:rPr>
                <w:rFonts w:ascii="Times New Roman" w:hAnsi="Times New Roman"/>
              </w:rPr>
              <w:t>0</w:t>
            </w:r>
            <w:r w:rsidRPr="00414E7D">
              <w:rPr>
                <w:rFonts w:ascii="Times New Roman" w:hAnsi="Times New Roman"/>
              </w:rPr>
              <w:t>0</w:t>
            </w:r>
          </w:p>
        </w:tc>
        <w:tc>
          <w:tcPr>
            <w:tcW w:w="421" w:type="pct"/>
            <w:vAlign w:val="center"/>
          </w:tcPr>
          <w:p w14:paraId="75D09ED1" w14:textId="77777777" w:rsidR="00035F5B" w:rsidRPr="00414E7D" w:rsidRDefault="00FA7FD6" w:rsidP="00035F5B">
            <w:pPr>
              <w:spacing w:after="0" w:line="240" w:lineRule="auto"/>
              <w:ind w:right="57"/>
              <w:jc w:val="center"/>
              <w:rPr>
                <w:rFonts w:ascii="Times New Roman" w:hAnsi="Times New Roman"/>
              </w:rPr>
            </w:pPr>
            <w:r>
              <w:rPr>
                <w:rFonts w:ascii="Times New Roman" w:hAnsi="Times New Roman"/>
              </w:rPr>
              <w:t>150</w:t>
            </w:r>
          </w:p>
        </w:tc>
        <w:tc>
          <w:tcPr>
            <w:tcW w:w="439" w:type="pct"/>
            <w:vAlign w:val="center"/>
          </w:tcPr>
          <w:p w14:paraId="5F699E0D"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71E148BD"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6AB069B4"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0CD3FFBA"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630839D2" w14:textId="77777777" w:rsidTr="00BD2130">
        <w:trPr>
          <w:trHeight w:val="317"/>
          <w:jc w:val="center"/>
        </w:trPr>
        <w:tc>
          <w:tcPr>
            <w:tcW w:w="860" w:type="pct"/>
            <w:vAlign w:val="center"/>
          </w:tcPr>
          <w:p w14:paraId="550C5F43"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Кабардино-Балкарская Республика</w:t>
            </w:r>
          </w:p>
        </w:tc>
        <w:tc>
          <w:tcPr>
            <w:tcW w:w="411" w:type="pct"/>
            <w:vAlign w:val="center"/>
          </w:tcPr>
          <w:p w14:paraId="56AF8107" w14:textId="77777777" w:rsidR="00035F5B" w:rsidRPr="00414E7D" w:rsidRDefault="00035F5B" w:rsidP="00FA7FD6">
            <w:pPr>
              <w:spacing w:after="0" w:line="240" w:lineRule="auto"/>
              <w:ind w:right="57"/>
              <w:jc w:val="center"/>
              <w:rPr>
                <w:rFonts w:ascii="Times New Roman" w:hAnsi="Times New Roman"/>
              </w:rPr>
            </w:pPr>
            <w:r w:rsidRPr="00414E7D">
              <w:rPr>
                <w:rFonts w:ascii="Times New Roman" w:hAnsi="Times New Roman"/>
              </w:rPr>
              <w:t>1</w:t>
            </w:r>
            <w:r w:rsidR="00FA7FD6">
              <w:rPr>
                <w:rFonts w:ascii="Times New Roman" w:hAnsi="Times New Roman"/>
              </w:rPr>
              <w:t>23</w:t>
            </w:r>
          </w:p>
        </w:tc>
        <w:tc>
          <w:tcPr>
            <w:tcW w:w="413" w:type="pct"/>
            <w:vAlign w:val="center"/>
          </w:tcPr>
          <w:p w14:paraId="25F5D4C4" w14:textId="77777777" w:rsidR="00035F5B" w:rsidRPr="00414E7D" w:rsidRDefault="00035F5B" w:rsidP="00FA7FD6">
            <w:pPr>
              <w:spacing w:after="0" w:line="240" w:lineRule="auto"/>
              <w:ind w:right="57"/>
              <w:jc w:val="center"/>
              <w:rPr>
                <w:rFonts w:ascii="Times New Roman" w:hAnsi="Times New Roman"/>
              </w:rPr>
            </w:pPr>
            <w:r w:rsidRPr="00414E7D">
              <w:rPr>
                <w:rFonts w:ascii="Times New Roman" w:hAnsi="Times New Roman"/>
              </w:rPr>
              <w:t>2</w:t>
            </w:r>
            <w:r w:rsidR="00FA7FD6">
              <w:rPr>
                <w:rFonts w:ascii="Times New Roman" w:hAnsi="Times New Roman"/>
              </w:rPr>
              <w:t>46</w:t>
            </w:r>
          </w:p>
        </w:tc>
        <w:tc>
          <w:tcPr>
            <w:tcW w:w="390" w:type="pct"/>
            <w:vAlign w:val="center"/>
          </w:tcPr>
          <w:p w14:paraId="62F03A45" w14:textId="77777777" w:rsidR="00035F5B" w:rsidRPr="00414E7D" w:rsidRDefault="00035F5B" w:rsidP="00FA7FD6">
            <w:pPr>
              <w:spacing w:after="0" w:line="240" w:lineRule="auto"/>
              <w:ind w:right="57"/>
              <w:jc w:val="center"/>
              <w:rPr>
                <w:rFonts w:ascii="Times New Roman" w:hAnsi="Times New Roman"/>
              </w:rPr>
            </w:pPr>
            <w:r w:rsidRPr="00414E7D">
              <w:rPr>
                <w:rFonts w:ascii="Times New Roman" w:hAnsi="Times New Roman"/>
              </w:rPr>
              <w:t>1</w:t>
            </w:r>
            <w:r w:rsidR="00FA7FD6">
              <w:rPr>
                <w:rFonts w:ascii="Times New Roman" w:hAnsi="Times New Roman"/>
              </w:rPr>
              <w:t>85</w:t>
            </w:r>
          </w:p>
        </w:tc>
        <w:tc>
          <w:tcPr>
            <w:tcW w:w="420" w:type="pct"/>
            <w:vAlign w:val="center"/>
          </w:tcPr>
          <w:p w14:paraId="34F84574" w14:textId="77777777" w:rsidR="00035F5B" w:rsidRPr="00414E7D" w:rsidRDefault="00035F5B" w:rsidP="00FA7FD6">
            <w:pPr>
              <w:spacing w:after="0" w:line="240" w:lineRule="auto"/>
              <w:ind w:right="57"/>
              <w:jc w:val="center"/>
              <w:rPr>
                <w:rFonts w:ascii="Times New Roman" w:hAnsi="Times New Roman"/>
              </w:rPr>
            </w:pPr>
            <w:r w:rsidRPr="00414E7D">
              <w:rPr>
                <w:rFonts w:ascii="Times New Roman" w:hAnsi="Times New Roman"/>
              </w:rPr>
              <w:t>1</w:t>
            </w:r>
            <w:r w:rsidR="00FA7FD6">
              <w:rPr>
                <w:rFonts w:ascii="Times New Roman" w:hAnsi="Times New Roman"/>
              </w:rPr>
              <w:t>85</w:t>
            </w:r>
          </w:p>
        </w:tc>
        <w:tc>
          <w:tcPr>
            <w:tcW w:w="416" w:type="pct"/>
            <w:vAlign w:val="center"/>
          </w:tcPr>
          <w:p w14:paraId="338D4B8F" w14:textId="77777777" w:rsidR="00035F5B" w:rsidRPr="00414E7D" w:rsidRDefault="00FA7FD6" w:rsidP="00035F5B">
            <w:pPr>
              <w:spacing w:after="0" w:line="240" w:lineRule="auto"/>
              <w:ind w:right="57"/>
              <w:jc w:val="center"/>
              <w:rPr>
                <w:rFonts w:ascii="Times New Roman" w:hAnsi="Times New Roman"/>
              </w:rPr>
            </w:pPr>
            <w:r>
              <w:rPr>
                <w:rFonts w:ascii="Times New Roman" w:hAnsi="Times New Roman"/>
              </w:rPr>
              <w:t>405</w:t>
            </w:r>
          </w:p>
        </w:tc>
        <w:tc>
          <w:tcPr>
            <w:tcW w:w="421" w:type="pct"/>
            <w:vAlign w:val="center"/>
          </w:tcPr>
          <w:p w14:paraId="4E986D50" w14:textId="77777777" w:rsidR="00035F5B" w:rsidRPr="00414E7D" w:rsidRDefault="00FA7FD6" w:rsidP="00035F5B">
            <w:pPr>
              <w:spacing w:after="0" w:line="240" w:lineRule="auto"/>
              <w:ind w:right="57"/>
              <w:jc w:val="center"/>
              <w:rPr>
                <w:rFonts w:ascii="Times New Roman" w:hAnsi="Times New Roman"/>
              </w:rPr>
            </w:pPr>
            <w:r>
              <w:rPr>
                <w:rFonts w:ascii="Times New Roman" w:hAnsi="Times New Roman"/>
              </w:rPr>
              <w:t>405</w:t>
            </w:r>
          </w:p>
        </w:tc>
        <w:tc>
          <w:tcPr>
            <w:tcW w:w="439" w:type="pct"/>
            <w:vAlign w:val="center"/>
          </w:tcPr>
          <w:p w14:paraId="48A67106" w14:textId="77777777" w:rsidR="00035F5B" w:rsidRPr="00414E7D" w:rsidRDefault="00FA7FD6" w:rsidP="00035F5B">
            <w:pPr>
              <w:spacing w:after="0" w:line="240" w:lineRule="auto"/>
              <w:ind w:right="57"/>
              <w:jc w:val="center"/>
              <w:rPr>
                <w:rFonts w:ascii="Times New Roman" w:hAnsi="Times New Roman"/>
              </w:rPr>
            </w:pPr>
            <w:r>
              <w:rPr>
                <w:rFonts w:ascii="Times New Roman" w:hAnsi="Times New Roman"/>
              </w:rPr>
              <w:t>405</w:t>
            </w:r>
          </w:p>
        </w:tc>
        <w:tc>
          <w:tcPr>
            <w:tcW w:w="404" w:type="pct"/>
            <w:vAlign w:val="center"/>
          </w:tcPr>
          <w:p w14:paraId="344AE0A7" w14:textId="77777777" w:rsidR="00035F5B" w:rsidRPr="00414E7D" w:rsidRDefault="00035F5B" w:rsidP="00FA7FD6">
            <w:pPr>
              <w:spacing w:after="0" w:line="240" w:lineRule="auto"/>
              <w:ind w:right="57"/>
              <w:jc w:val="center"/>
              <w:rPr>
                <w:rFonts w:ascii="Times New Roman" w:hAnsi="Times New Roman"/>
              </w:rPr>
            </w:pPr>
            <w:r w:rsidRPr="00414E7D">
              <w:rPr>
                <w:rFonts w:ascii="Times New Roman" w:hAnsi="Times New Roman"/>
              </w:rPr>
              <w:t>1</w:t>
            </w:r>
            <w:r w:rsidR="00FA7FD6">
              <w:rPr>
                <w:rFonts w:ascii="Times New Roman" w:hAnsi="Times New Roman"/>
              </w:rPr>
              <w:t>621</w:t>
            </w:r>
          </w:p>
        </w:tc>
        <w:tc>
          <w:tcPr>
            <w:tcW w:w="434" w:type="pct"/>
            <w:vAlign w:val="center"/>
          </w:tcPr>
          <w:p w14:paraId="3799289B" w14:textId="77777777" w:rsidR="00035F5B" w:rsidRPr="00414E7D" w:rsidRDefault="00035F5B" w:rsidP="00035F5B">
            <w:pPr>
              <w:spacing w:after="0" w:line="240" w:lineRule="auto"/>
              <w:ind w:right="57"/>
              <w:jc w:val="center"/>
              <w:rPr>
                <w:rFonts w:ascii="Times New Roman" w:hAnsi="Times New Roman"/>
              </w:rPr>
            </w:pPr>
          </w:p>
        </w:tc>
        <w:tc>
          <w:tcPr>
            <w:tcW w:w="392" w:type="pct"/>
            <w:vAlign w:val="center"/>
          </w:tcPr>
          <w:p w14:paraId="09B79628"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61C64C76" w14:textId="77777777" w:rsidTr="00BD2130">
        <w:trPr>
          <w:trHeight w:val="317"/>
          <w:jc w:val="center"/>
        </w:trPr>
        <w:tc>
          <w:tcPr>
            <w:tcW w:w="860" w:type="pct"/>
            <w:vAlign w:val="center"/>
          </w:tcPr>
          <w:p w14:paraId="4D9F1D75"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Карачаево-Черкесская Республика</w:t>
            </w:r>
          </w:p>
        </w:tc>
        <w:tc>
          <w:tcPr>
            <w:tcW w:w="411" w:type="pct"/>
            <w:vAlign w:val="center"/>
          </w:tcPr>
          <w:p w14:paraId="6C39E81E"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132</w:t>
            </w:r>
          </w:p>
        </w:tc>
        <w:tc>
          <w:tcPr>
            <w:tcW w:w="413" w:type="pct"/>
            <w:vAlign w:val="center"/>
          </w:tcPr>
          <w:p w14:paraId="048AC635"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282</w:t>
            </w:r>
          </w:p>
        </w:tc>
        <w:tc>
          <w:tcPr>
            <w:tcW w:w="390" w:type="pct"/>
            <w:vAlign w:val="center"/>
          </w:tcPr>
          <w:p w14:paraId="5AE283BE"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282</w:t>
            </w:r>
          </w:p>
        </w:tc>
        <w:tc>
          <w:tcPr>
            <w:tcW w:w="420" w:type="pct"/>
            <w:vAlign w:val="center"/>
          </w:tcPr>
          <w:p w14:paraId="3EE4FB79"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282</w:t>
            </w:r>
          </w:p>
        </w:tc>
        <w:tc>
          <w:tcPr>
            <w:tcW w:w="416" w:type="pct"/>
            <w:vAlign w:val="center"/>
          </w:tcPr>
          <w:p w14:paraId="71901690"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282</w:t>
            </w:r>
          </w:p>
        </w:tc>
        <w:tc>
          <w:tcPr>
            <w:tcW w:w="421" w:type="pct"/>
            <w:vAlign w:val="center"/>
          </w:tcPr>
          <w:p w14:paraId="3FBE88B3"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0B8F1492"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0B14DAD7"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282</w:t>
            </w:r>
          </w:p>
        </w:tc>
        <w:tc>
          <w:tcPr>
            <w:tcW w:w="434" w:type="pct"/>
            <w:vAlign w:val="center"/>
          </w:tcPr>
          <w:p w14:paraId="3A1C2D9E"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282</w:t>
            </w:r>
          </w:p>
        </w:tc>
        <w:tc>
          <w:tcPr>
            <w:tcW w:w="392" w:type="pct"/>
            <w:vAlign w:val="center"/>
          </w:tcPr>
          <w:p w14:paraId="660ED31F"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5FC4035E" w14:textId="77777777" w:rsidTr="00BD2130">
        <w:trPr>
          <w:trHeight w:val="317"/>
          <w:jc w:val="center"/>
        </w:trPr>
        <w:tc>
          <w:tcPr>
            <w:tcW w:w="860" w:type="pct"/>
            <w:vAlign w:val="center"/>
          </w:tcPr>
          <w:p w14:paraId="0F7042E8"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 xml:space="preserve">Республика Северная </w:t>
            </w:r>
            <w:r w:rsidRPr="00414E7D">
              <w:rPr>
                <w:rFonts w:ascii="Times New Roman" w:eastAsia="Times New Roman" w:hAnsi="Times New Roman" w:cs="Times New Roman"/>
                <w:sz w:val="24"/>
                <w:szCs w:val="24"/>
                <w:lang w:eastAsia="ru-RU"/>
              </w:rPr>
              <w:br/>
              <w:t>Осетия - Алания</w:t>
            </w:r>
          </w:p>
        </w:tc>
        <w:tc>
          <w:tcPr>
            <w:tcW w:w="411" w:type="pct"/>
            <w:vAlign w:val="center"/>
          </w:tcPr>
          <w:p w14:paraId="60C3714E"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150</w:t>
            </w:r>
          </w:p>
        </w:tc>
        <w:tc>
          <w:tcPr>
            <w:tcW w:w="413" w:type="pct"/>
            <w:vAlign w:val="center"/>
          </w:tcPr>
          <w:p w14:paraId="44DEB1ED"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300</w:t>
            </w:r>
          </w:p>
        </w:tc>
        <w:tc>
          <w:tcPr>
            <w:tcW w:w="390" w:type="pct"/>
            <w:vAlign w:val="center"/>
          </w:tcPr>
          <w:p w14:paraId="2E5C9CDA"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225</w:t>
            </w:r>
          </w:p>
        </w:tc>
        <w:tc>
          <w:tcPr>
            <w:tcW w:w="420" w:type="pct"/>
            <w:vAlign w:val="center"/>
          </w:tcPr>
          <w:p w14:paraId="31FA232C"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225</w:t>
            </w:r>
          </w:p>
        </w:tc>
        <w:tc>
          <w:tcPr>
            <w:tcW w:w="416" w:type="pct"/>
            <w:vAlign w:val="center"/>
          </w:tcPr>
          <w:p w14:paraId="64242FDD"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14:paraId="5B4D2C2B"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3AA44344"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4AB552C8"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29359CA6"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08C7458E"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504A56B8" w14:textId="77777777" w:rsidTr="00BD2130">
        <w:trPr>
          <w:trHeight w:val="317"/>
          <w:jc w:val="center"/>
        </w:trPr>
        <w:tc>
          <w:tcPr>
            <w:tcW w:w="860" w:type="pct"/>
            <w:vAlign w:val="center"/>
          </w:tcPr>
          <w:p w14:paraId="7DC2227C"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Чеченская Республика</w:t>
            </w:r>
          </w:p>
        </w:tc>
        <w:tc>
          <w:tcPr>
            <w:tcW w:w="411" w:type="pct"/>
            <w:vAlign w:val="center"/>
          </w:tcPr>
          <w:p w14:paraId="1BB1DA1F" w14:textId="77777777" w:rsidR="00035F5B" w:rsidRPr="00414E7D" w:rsidRDefault="00035F5B" w:rsidP="00FA7FD6">
            <w:pPr>
              <w:spacing w:after="0" w:line="240" w:lineRule="auto"/>
              <w:ind w:right="57"/>
              <w:jc w:val="center"/>
              <w:rPr>
                <w:rFonts w:ascii="Times New Roman" w:hAnsi="Times New Roman"/>
              </w:rPr>
            </w:pPr>
            <w:r w:rsidRPr="00414E7D">
              <w:rPr>
                <w:rFonts w:ascii="Times New Roman" w:hAnsi="Times New Roman"/>
              </w:rPr>
              <w:t>20</w:t>
            </w:r>
            <w:r w:rsidR="00FA7FD6">
              <w:rPr>
                <w:rFonts w:ascii="Times New Roman" w:hAnsi="Times New Roman"/>
              </w:rPr>
              <w:t>6</w:t>
            </w:r>
          </w:p>
        </w:tc>
        <w:tc>
          <w:tcPr>
            <w:tcW w:w="413" w:type="pct"/>
            <w:vAlign w:val="center"/>
          </w:tcPr>
          <w:p w14:paraId="1109A078" w14:textId="77777777" w:rsidR="00035F5B" w:rsidRPr="00414E7D" w:rsidRDefault="00035F5B" w:rsidP="00FA7FD6">
            <w:pPr>
              <w:spacing w:after="0" w:line="240" w:lineRule="auto"/>
              <w:ind w:right="57"/>
              <w:jc w:val="center"/>
              <w:rPr>
                <w:rFonts w:ascii="Times New Roman" w:hAnsi="Times New Roman"/>
              </w:rPr>
            </w:pPr>
            <w:r w:rsidRPr="00414E7D">
              <w:rPr>
                <w:rFonts w:ascii="Times New Roman" w:hAnsi="Times New Roman"/>
              </w:rPr>
              <w:t>4</w:t>
            </w:r>
            <w:r w:rsidR="00FA7FD6">
              <w:rPr>
                <w:rFonts w:ascii="Times New Roman" w:hAnsi="Times New Roman"/>
              </w:rPr>
              <w:t>12</w:t>
            </w:r>
          </w:p>
        </w:tc>
        <w:tc>
          <w:tcPr>
            <w:tcW w:w="390" w:type="pct"/>
            <w:vAlign w:val="center"/>
          </w:tcPr>
          <w:p w14:paraId="395DE0D4" w14:textId="77777777" w:rsidR="00035F5B" w:rsidRPr="00414E7D" w:rsidRDefault="00035F5B" w:rsidP="00FA7FD6">
            <w:pPr>
              <w:spacing w:after="0" w:line="240" w:lineRule="auto"/>
              <w:ind w:right="57"/>
              <w:jc w:val="center"/>
              <w:rPr>
                <w:rFonts w:ascii="Times New Roman" w:hAnsi="Times New Roman"/>
              </w:rPr>
            </w:pPr>
            <w:r w:rsidRPr="00414E7D">
              <w:rPr>
                <w:rFonts w:ascii="Times New Roman" w:hAnsi="Times New Roman"/>
              </w:rPr>
              <w:t>30</w:t>
            </w:r>
            <w:r w:rsidR="00FA7FD6">
              <w:rPr>
                <w:rFonts w:ascii="Times New Roman" w:hAnsi="Times New Roman"/>
              </w:rPr>
              <w:t>9</w:t>
            </w:r>
          </w:p>
        </w:tc>
        <w:tc>
          <w:tcPr>
            <w:tcW w:w="420" w:type="pct"/>
            <w:vAlign w:val="center"/>
          </w:tcPr>
          <w:p w14:paraId="6186F88F" w14:textId="77777777" w:rsidR="00035F5B" w:rsidRPr="00414E7D" w:rsidRDefault="00035F5B" w:rsidP="00FA7FD6">
            <w:pPr>
              <w:spacing w:after="0" w:line="240" w:lineRule="auto"/>
              <w:ind w:right="57"/>
              <w:jc w:val="center"/>
              <w:rPr>
                <w:rFonts w:ascii="Times New Roman" w:hAnsi="Times New Roman"/>
              </w:rPr>
            </w:pPr>
            <w:r w:rsidRPr="00414E7D">
              <w:rPr>
                <w:rFonts w:ascii="Times New Roman" w:hAnsi="Times New Roman"/>
              </w:rPr>
              <w:t>30</w:t>
            </w:r>
            <w:r w:rsidR="00FA7FD6">
              <w:rPr>
                <w:rFonts w:ascii="Times New Roman" w:hAnsi="Times New Roman"/>
              </w:rPr>
              <w:t>9</w:t>
            </w:r>
          </w:p>
        </w:tc>
        <w:tc>
          <w:tcPr>
            <w:tcW w:w="416" w:type="pct"/>
            <w:vAlign w:val="center"/>
          </w:tcPr>
          <w:p w14:paraId="11FA7419"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vAlign w:val="center"/>
          </w:tcPr>
          <w:p w14:paraId="50449702"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vAlign w:val="center"/>
          </w:tcPr>
          <w:p w14:paraId="7261FCD8"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vAlign w:val="center"/>
          </w:tcPr>
          <w:p w14:paraId="342DD17F"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vAlign w:val="center"/>
          </w:tcPr>
          <w:p w14:paraId="5CCAC5AF"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vAlign w:val="center"/>
          </w:tcPr>
          <w:p w14:paraId="6A0EAE87"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6C04E3A4" w14:textId="77777777" w:rsidTr="00BD2130">
        <w:trPr>
          <w:trHeight w:val="317"/>
          <w:jc w:val="center"/>
        </w:trPr>
        <w:tc>
          <w:tcPr>
            <w:tcW w:w="860" w:type="pct"/>
            <w:vAlign w:val="center"/>
          </w:tcPr>
          <w:p w14:paraId="4EEDBD57" w14:textId="77777777" w:rsidR="00035F5B" w:rsidRPr="00414E7D" w:rsidRDefault="00035F5B" w:rsidP="00035F5B">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Ставропольский край</w:t>
            </w:r>
          </w:p>
        </w:tc>
        <w:tc>
          <w:tcPr>
            <w:tcW w:w="411" w:type="pct"/>
            <w:vAlign w:val="center"/>
          </w:tcPr>
          <w:p w14:paraId="11858D0C" w14:textId="77777777" w:rsidR="00035F5B" w:rsidRPr="00414E7D" w:rsidRDefault="00035F5B" w:rsidP="00FA7FD6">
            <w:pPr>
              <w:spacing w:after="0" w:line="240" w:lineRule="auto"/>
              <w:ind w:right="57"/>
              <w:jc w:val="center"/>
              <w:rPr>
                <w:rFonts w:ascii="Times New Roman" w:hAnsi="Times New Roman"/>
              </w:rPr>
            </w:pPr>
            <w:r w:rsidRPr="00414E7D">
              <w:rPr>
                <w:rFonts w:ascii="Times New Roman" w:hAnsi="Times New Roman"/>
              </w:rPr>
              <w:t>4</w:t>
            </w:r>
            <w:r w:rsidR="00FA7FD6">
              <w:rPr>
                <w:rFonts w:ascii="Times New Roman" w:hAnsi="Times New Roman"/>
              </w:rPr>
              <w:t>22</w:t>
            </w:r>
          </w:p>
        </w:tc>
        <w:tc>
          <w:tcPr>
            <w:tcW w:w="413" w:type="pct"/>
            <w:vAlign w:val="center"/>
          </w:tcPr>
          <w:p w14:paraId="4B80C20D" w14:textId="77777777" w:rsidR="00035F5B" w:rsidRPr="00414E7D" w:rsidRDefault="00035F5B" w:rsidP="00FA7FD6">
            <w:pPr>
              <w:spacing w:after="0" w:line="240" w:lineRule="auto"/>
              <w:ind w:right="57"/>
              <w:jc w:val="center"/>
              <w:rPr>
                <w:rFonts w:ascii="Times New Roman" w:hAnsi="Times New Roman"/>
              </w:rPr>
            </w:pPr>
            <w:r w:rsidRPr="00414E7D">
              <w:rPr>
                <w:rFonts w:ascii="Times New Roman" w:hAnsi="Times New Roman"/>
              </w:rPr>
              <w:t>8</w:t>
            </w:r>
            <w:r w:rsidR="00FA7FD6">
              <w:rPr>
                <w:rFonts w:ascii="Times New Roman" w:hAnsi="Times New Roman"/>
              </w:rPr>
              <w:t>4</w:t>
            </w:r>
            <w:r w:rsidRPr="00414E7D">
              <w:rPr>
                <w:rFonts w:ascii="Times New Roman" w:hAnsi="Times New Roman"/>
              </w:rPr>
              <w:t>4</w:t>
            </w:r>
          </w:p>
        </w:tc>
        <w:tc>
          <w:tcPr>
            <w:tcW w:w="390" w:type="pct"/>
            <w:vAlign w:val="center"/>
          </w:tcPr>
          <w:p w14:paraId="25A14B82" w14:textId="77777777" w:rsidR="00035F5B" w:rsidRPr="00414E7D" w:rsidRDefault="00035F5B" w:rsidP="00FA7FD6">
            <w:pPr>
              <w:spacing w:after="0" w:line="240" w:lineRule="auto"/>
              <w:ind w:right="57"/>
              <w:jc w:val="center"/>
              <w:rPr>
                <w:rFonts w:ascii="Times New Roman" w:hAnsi="Times New Roman"/>
              </w:rPr>
            </w:pPr>
            <w:r w:rsidRPr="00414E7D">
              <w:rPr>
                <w:rFonts w:ascii="Times New Roman" w:hAnsi="Times New Roman"/>
              </w:rPr>
              <w:t>6</w:t>
            </w:r>
            <w:r w:rsidR="00FA7FD6">
              <w:rPr>
                <w:rFonts w:ascii="Times New Roman" w:hAnsi="Times New Roman"/>
              </w:rPr>
              <w:t>33</w:t>
            </w:r>
          </w:p>
        </w:tc>
        <w:tc>
          <w:tcPr>
            <w:tcW w:w="420" w:type="pct"/>
            <w:vAlign w:val="center"/>
          </w:tcPr>
          <w:p w14:paraId="37DA8B73" w14:textId="77777777" w:rsidR="00035F5B" w:rsidRPr="00414E7D" w:rsidRDefault="00035F5B" w:rsidP="00FA7FD6">
            <w:pPr>
              <w:spacing w:after="0" w:line="240" w:lineRule="auto"/>
              <w:ind w:right="57"/>
              <w:jc w:val="center"/>
              <w:rPr>
                <w:rFonts w:ascii="Times New Roman" w:hAnsi="Times New Roman"/>
              </w:rPr>
            </w:pPr>
            <w:r w:rsidRPr="00414E7D">
              <w:rPr>
                <w:rFonts w:ascii="Times New Roman" w:hAnsi="Times New Roman"/>
              </w:rPr>
              <w:t>6</w:t>
            </w:r>
            <w:r w:rsidR="00FA7FD6">
              <w:rPr>
                <w:rFonts w:ascii="Times New Roman" w:hAnsi="Times New Roman"/>
              </w:rPr>
              <w:t>33</w:t>
            </w:r>
          </w:p>
        </w:tc>
        <w:tc>
          <w:tcPr>
            <w:tcW w:w="416" w:type="pct"/>
            <w:vAlign w:val="center"/>
          </w:tcPr>
          <w:p w14:paraId="562490B8" w14:textId="77777777" w:rsidR="00035F5B" w:rsidRPr="00414E7D" w:rsidRDefault="00035F5B" w:rsidP="00035F5B">
            <w:pPr>
              <w:spacing w:after="0" w:line="240" w:lineRule="auto"/>
              <w:ind w:right="57"/>
              <w:jc w:val="center"/>
              <w:rPr>
                <w:rFonts w:ascii="Times New Roman" w:eastAsia="Arial Unicode MS" w:hAnsi="Times New Roman"/>
              </w:rPr>
            </w:pPr>
          </w:p>
        </w:tc>
        <w:tc>
          <w:tcPr>
            <w:tcW w:w="421" w:type="pct"/>
            <w:vAlign w:val="center"/>
          </w:tcPr>
          <w:p w14:paraId="53D0C9CB" w14:textId="77777777" w:rsidR="00035F5B" w:rsidRPr="00414E7D" w:rsidRDefault="00035F5B" w:rsidP="00035F5B">
            <w:pPr>
              <w:spacing w:after="0" w:line="240" w:lineRule="auto"/>
              <w:ind w:right="57"/>
              <w:jc w:val="center"/>
              <w:rPr>
                <w:rFonts w:ascii="Times New Roman" w:eastAsia="Arial Unicode MS" w:hAnsi="Times New Roman"/>
              </w:rPr>
            </w:pPr>
          </w:p>
        </w:tc>
        <w:tc>
          <w:tcPr>
            <w:tcW w:w="439" w:type="pct"/>
            <w:vAlign w:val="center"/>
          </w:tcPr>
          <w:p w14:paraId="0BDA609E" w14:textId="77777777" w:rsidR="00035F5B" w:rsidRPr="00414E7D" w:rsidRDefault="00035F5B" w:rsidP="00035F5B">
            <w:pPr>
              <w:spacing w:after="0" w:line="240" w:lineRule="auto"/>
              <w:ind w:right="57"/>
              <w:jc w:val="center"/>
              <w:rPr>
                <w:rFonts w:ascii="Times New Roman" w:eastAsia="Arial Unicode MS" w:hAnsi="Times New Roman"/>
              </w:rPr>
            </w:pPr>
          </w:p>
        </w:tc>
        <w:tc>
          <w:tcPr>
            <w:tcW w:w="404" w:type="pct"/>
            <w:vAlign w:val="center"/>
          </w:tcPr>
          <w:p w14:paraId="53B94824" w14:textId="77777777" w:rsidR="00035F5B" w:rsidRPr="00414E7D" w:rsidRDefault="00035F5B" w:rsidP="00035F5B">
            <w:pPr>
              <w:spacing w:after="0" w:line="240" w:lineRule="auto"/>
              <w:ind w:right="57"/>
              <w:jc w:val="center"/>
              <w:rPr>
                <w:rFonts w:ascii="Times New Roman" w:eastAsia="Arial Unicode MS" w:hAnsi="Times New Roman"/>
              </w:rPr>
            </w:pPr>
          </w:p>
        </w:tc>
        <w:tc>
          <w:tcPr>
            <w:tcW w:w="434" w:type="pct"/>
            <w:vAlign w:val="center"/>
          </w:tcPr>
          <w:p w14:paraId="06117682" w14:textId="77777777" w:rsidR="00035F5B" w:rsidRPr="00414E7D" w:rsidRDefault="00035F5B" w:rsidP="00035F5B">
            <w:pPr>
              <w:spacing w:after="0" w:line="240" w:lineRule="auto"/>
              <w:ind w:right="57"/>
              <w:jc w:val="center"/>
              <w:rPr>
                <w:rFonts w:ascii="Times New Roman" w:eastAsia="Arial Unicode MS" w:hAnsi="Times New Roman"/>
              </w:rPr>
            </w:pPr>
          </w:p>
        </w:tc>
        <w:tc>
          <w:tcPr>
            <w:tcW w:w="392" w:type="pct"/>
            <w:vAlign w:val="center"/>
          </w:tcPr>
          <w:p w14:paraId="66FBFC24" w14:textId="77777777" w:rsidR="00035F5B" w:rsidRPr="00414E7D" w:rsidRDefault="00035F5B" w:rsidP="00035F5B">
            <w:pPr>
              <w:spacing w:after="0" w:line="240" w:lineRule="auto"/>
              <w:ind w:right="57"/>
              <w:jc w:val="center"/>
              <w:rPr>
                <w:rFonts w:ascii="Times New Roman" w:eastAsia="Arial Unicode MS" w:hAnsi="Times New Roman"/>
              </w:rPr>
            </w:pPr>
          </w:p>
        </w:tc>
      </w:tr>
      <w:tr w:rsidR="00035F5B" w:rsidRPr="00414E7D" w14:paraId="5A7681E5"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129E005E" w14:textId="77777777" w:rsidR="00035F5B" w:rsidRPr="00414E7D" w:rsidRDefault="00035F5B" w:rsidP="00035F5B">
            <w:pPr>
              <w:spacing w:after="0" w:line="240" w:lineRule="auto"/>
              <w:rPr>
                <w:rFonts w:ascii="Times New Roman" w:eastAsia="Arial Unicode MS" w:hAnsi="Times New Roman" w:cs="Times New Roman"/>
                <w:b/>
                <w:sz w:val="24"/>
                <w:szCs w:val="24"/>
                <w:lang w:eastAsia="ru-RU"/>
              </w:rPr>
            </w:pPr>
            <w:r w:rsidRPr="00414E7D">
              <w:rPr>
                <w:rFonts w:ascii="Times New Roman" w:eastAsia="Times New Roman" w:hAnsi="Times New Roman" w:cs="Times New Roman"/>
                <w:b/>
                <w:sz w:val="24"/>
                <w:szCs w:val="24"/>
                <w:lang w:eastAsia="ru-RU"/>
              </w:rPr>
              <w:t>Приволжский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14:paraId="5280DE4E"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3" w:type="pct"/>
            <w:tcBorders>
              <w:top w:val="single" w:sz="4" w:space="0" w:color="auto"/>
              <w:left w:val="single" w:sz="4" w:space="0" w:color="auto"/>
              <w:bottom w:val="single" w:sz="4" w:space="0" w:color="auto"/>
              <w:right w:val="single" w:sz="4" w:space="0" w:color="auto"/>
            </w:tcBorders>
            <w:vAlign w:val="center"/>
          </w:tcPr>
          <w:p w14:paraId="34DD2D1B"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0" w:type="pct"/>
            <w:tcBorders>
              <w:top w:val="single" w:sz="4" w:space="0" w:color="auto"/>
              <w:left w:val="single" w:sz="4" w:space="0" w:color="auto"/>
              <w:bottom w:val="single" w:sz="4" w:space="0" w:color="auto"/>
              <w:right w:val="single" w:sz="4" w:space="0" w:color="auto"/>
            </w:tcBorders>
            <w:vAlign w:val="center"/>
          </w:tcPr>
          <w:p w14:paraId="24182553"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vAlign w:val="center"/>
          </w:tcPr>
          <w:p w14:paraId="4D5CA3B0"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6" w:type="pct"/>
            <w:tcBorders>
              <w:top w:val="single" w:sz="4" w:space="0" w:color="auto"/>
              <w:left w:val="single" w:sz="4" w:space="0" w:color="auto"/>
              <w:bottom w:val="single" w:sz="4" w:space="0" w:color="auto"/>
              <w:right w:val="single" w:sz="4" w:space="0" w:color="auto"/>
            </w:tcBorders>
            <w:vAlign w:val="center"/>
          </w:tcPr>
          <w:p w14:paraId="76007C2A"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14:paraId="0BA84050"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50B7E3A6"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39A5460D"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147D2609"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2028DB6C"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21D35300"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0F6208DC"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Башкортостан</w:t>
            </w:r>
          </w:p>
        </w:tc>
        <w:tc>
          <w:tcPr>
            <w:tcW w:w="411" w:type="pct"/>
            <w:tcBorders>
              <w:top w:val="single" w:sz="4" w:space="0" w:color="auto"/>
              <w:left w:val="single" w:sz="4" w:space="0" w:color="auto"/>
              <w:bottom w:val="single" w:sz="4" w:space="0" w:color="auto"/>
              <w:right w:val="single" w:sz="4" w:space="0" w:color="auto"/>
            </w:tcBorders>
            <w:vAlign w:val="center"/>
          </w:tcPr>
          <w:p w14:paraId="3EFA8B28"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234</w:t>
            </w:r>
          </w:p>
        </w:tc>
        <w:tc>
          <w:tcPr>
            <w:tcW w:w="413" w:type="pct"/>
            <w:tcBorders>
              <w:top w:val="single" w:sz="4" w:space="0" w:color="auto"/>
              <w:left w:val="single" w:sz="4" w:space="0" w:color="auto"/>
              <w:bottom w:val="single" w:sz="4" w:space="0" w:color="auto"/>
              <w:right w:val="single" w:sz="4" w:space="0" w:color="auto"/>
            </w:tcBorders>
            <w:vAlign w:val="center"/>
          </w:tcPr>
          <w:p w14:paraId="2CB94FF4"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467</w:t>
            </w:r>
          </w:p>
        </w:tc>
        <w:tc>
          <w:tcPr>
            <w:tcW w:w="390" w:type="pct"/>
            <w:tcBorders>
              <w:top w:val="single" w:sz="4" w:space="0" w:color="auto"/>
              <w:left w:val="single" w:sz="4" w:space="0" w:color="auto"/>
              <w:bottom w:val="single" w:sz="4" w:space="0" w:color="auto"/>
              <w:right w:val="single" w:sz="4" w:space="0" w:color="auto"/>
            </w:tcBorders>
            <w:vAlign w:val="center"/>
          </w:tcPr>
          <w:p w14:paraId="5C3D15FC"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350</w:t>
            </w:r>
          </w:p>
        </w:tc>
        <w:tc>
          <w:tcPr>
            <w:tcW w:w="420" w:type="pct"/>
            <w:tcBorders>
              <w:top w:val="single" w:sz="4" w:space="0" w:color="auto"/>
              <w:left w:val="single" w:sz="4" w:space="0" w:color="auto"/>
              <w:bottom w:val="single" w:sz="4" w:space="0" w:color="auto"/>
              <w:right w:val="single" w:sz="4" w:space="0" w:color="auto"/>
            </w:tcBorders>
            <w:vAlign w:val="center"/>
          </w:tcPr>
          <w:p w14:paraId="2E81564A"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350</w:t>
            </w:r>
          </w:p>
        </w:tc>
        <w:tc>
          <w:tcPr>
            <w:tcW w:w="416" w:type="pct"/>
            <w:tcBorders>
              <w:top w:val="single" w:sz="4" w:space="0" w:color="auto"/>
              <w:left w:val="single" w:sz="4" w:space="0" w:color="auto"/>
              <w:bottom w:val="single" w:sz="4" w:space="0" w:color="auto"/>
              <w:right w:val="single" w:sz="4" w:space="0" w:color="auto"/>
            </w:tcBorders>
            <w:vAlign w:val="center"/>
          </w:tcPr>
          <w:p w14:paraId="32D82462"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14:paraId="28F892BA"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6321BC37"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203E713C"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168AC9D0"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656D012F"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01352C89"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4323E232"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Марий Эл</w:t>
            </w:r>
          </w:p>
        </w:tc>
        <w:tc>
          <w:tcPr>
            <w:tcW w:w="411" w:type="pct"/>
            <w:tcBorders>
              <w:top w:val="single" w:sz="4" w:space="0" w:color="auto"/>
              <w:left w:val="single" w:sz="4" w:space="0" w:color="auto"/>
              <w:bottom w:val="single" w:sz="4" w:space="0" w:color="auto"/>
              <w:right w:val="single" w:sz="4" w:space="0" w:color="auto"/>
            </w:tcBorders>
            <w:vAlign w:val="center"/>
          </w:tcPr>
          <w:p w14:paraId="52A95EAC" w14:textId="77777777" w:rsidR="00035F5B" w:rsidRPr="00414E7D" w:rsidRDefault="00035F5B" w:rsidP="0045318E">
            <w:pPr>
              <w:spacing w:after="0" w:line="240" w:lineRule="auto"/>
              <w:ind w:right="57"/>
              <w:jc w:val="center"/>
              <w:rPr>
                <w:rFonts w:ascii="Times New Roman" w:hAnsi="Times New Roman"/>
              </w:rPr>
            </w:pPr>
            <w:r w:rsidRPr="00414E7D">
              <w:rPr>
                <w:rFonts w:ascii="Times New Roman" w:hAnsi="Times New Roman"/>
              </w:rPr>
              <w:t>1</w:t>
            </w:r>
            <w:r w:rsidR="0045318E">
              <w:rPr>
                <w:rFonts w:ascii="Times New Roman" w:hAnsi="Times New Roman"/>
              </w:rPr>
              <w:t>9</w:t>
            </w:r>
            <w:r w:rsidRPr="00414E7D">
              <w:rPr>
                <w:rFonts w:ascii="Times New Roman" w:hAnsi="Times New Roman"/>
              </w:rPr>
              <w:t>8</w:t>
            </w:r>
          </w:p>
        </w:tc>
        <w:tc>
          <w:tcPr>
            <w:tcW w:w="413" w:type="pct"/>
            <w:tcBorders>
              <w:top w:val="single" w:sz="4" w:space="0" w:color="auto"/>
              <w:left w:val="single" w:sz="4" w:space="0" w:color="auto"/>
              <w:bottom w:val="single" w:sz="4" w:space="0" w:color="auto"/>
              <w:right w:val="single" w:sz="4" w:space="0" w:color="auto"/>
            </w:tcBorders>
            <w:vAlign w:val="center"/>
          </w:tcPr>
          <w:p w14:paraId="46A1C367" w14:textId="77777777" w:rsidR="00035F5B" w:rsidRPr="00414E7D" w:rsidRDefault="00035F5B" w:rsidP="0045318E">
            <w:pPr>
              <w:spacing w:after="0" w:line="240" w:lineRule="auto"/>
              <w:ind w:right="57"/>
              <w:jc w:val="center"/>
              <w:rPr>
                <w:rFonts w:ascii="Times New Roman" w:hAnsi="Times New Roman"/>
              </w:rPr>
            </w:pPr>
            <w:r w:rsidRPr="00414E7D">
              <w:rPr>
                <w:rFonts w:ascii="Times New Roman" w:hAnsi="Times New Roman"/>
              </w:rPr>
              <w:t>3</w:t>
            </w:r>
            <w:r w:rsidR="0045318E">
              <w:rPr>
                <w:rFonts w:ascii="Times New Roman" w:hAnsi="Times New Roman"/>
              </w:rPr>
              <w:t>9</w:t>
            </w:r>
            <w:r w:rsidRPr="00414E7D">
              <w:rPr>
                <w:rFonts w:ascii="Times New Roman" w:hAnsi="Times New Roman"/>
              </w:rPr>
              <w:t>6</w:t>
            </w:r>
          </w:p>
        </w:tc>
        <w:tc>
          <w:tcPr>
            <w:tcW w:w="390" w:type="pct"/>
            <w:tcBorders>
              <w:top w:val="single" w:sz="4" w:space="0" w:color="auto"/>
              <w:left w:val="single" w:sz="4" w:space="0" w:color="auto"/>
              <w:bottom w:val="single" w:sz="4" w:space="0" w:color="auto"/>
              <w:right w:val="single" w:sz="4" w:space="0" w:color="auto"/>
            </w:tcBorders>
            <w:vAlign w:val="center"/>
          </w:tcPr>
          <w:p w14:paraId="46D214DE" w14:textId="77777777" w:rsidR="00035F5B" w:rsidRPr="00414E7D" w:rsidRDefault="0045318E" w:rsidP="0045318E">
            <w:pPr>
              <w:spacing w:after="0" w:line="240" w:lineRule="auto"/>
              <w:ind w:right="57"/>
              <w:jc w:val="center"/>
              <w:rPr>
                <w:rFonts w:ascii="Times New Roman" w:hAnsi="Times New Roman"/>
              </w:rPr>
            </w:pPr>
            <w:r>
              <w:rPr>
                <w:rFonts w:ascii="Times New Roman" w:hAnsi="Times New Roman"/>
              </w:rPr>
              <w:t>297</w:t>
            </w:r>
          </w:p>
        </w:tc>
        <w:tc>
          <w:tcPr>
            <w:tcW w:w="420" w:type="pct"/>
            <w:tcBorders>
              <w:top w:val="single" w:sz="4" w:space="0" w:color="auto"/>
              <w:left w:val="single" w:sz="4" w:space="0" w:color="auto"/>
              <w:bottom w:val="single" w:sz="4" w:space="0" w:color="auto"/>
              <w:right w:val="single" w:sz="4" w:space="0" w:color="auto"/>
            </w:tcBorders>
            <w:vAlign w:val="center"/>
          </w:tcPr>
          <w:p w14:paraId="0477694F" w14:textId="77777777" w:rsidR="00035F5B" w:rsidRPr="00414E7D" w:rsidRDefault="00035F5B" w:rsidP="0045318E">
            <w:pPr>
              <w:spacing w:after="0" w:line="240" w:lineRule="auto"/>
              <w:ind w:right="57"/>
              <w:jc w:val="center"/>
              <w:rPr>
                <w:rFonts w:ascii="Times New Roman" w:hAnsi="Times New Roman"/>
              </w:rPr>
            </w:pPr>
            <w:r w:rsidRPr="00414E7D">
              <w:rPr>
                <w:rFonts w:ascii="Times New Roman" w:hAnsi="Times New Roman"/>
              </w:rPr>
              <w:t>2</w:t>
            </w:r>
            <w:r w:rsidR="0045318E">
              <w:rPr>
                <w:rFonts w:ascii="Times New Roman" w:hAnsi="Times New Roman"/>
              </w:rPr>
              <w:t>97</w:t>
            </w:r>
          </w:p>
        </w:tc>
        <w:tc>
          <w:tcPr>
            <w:tcW w:w="416" w:type="pct"/>
            <w:tcBorders>
              <w:top w:val="single" w:sz="4" w:space="0" w:color="auto"/>
              <w:left w:val="single" w:sz="4" w:space="0" w:color="auto"/>
              <w:bottom w:val="single" w:sz="4" w:space="0" w:color="auto"/>
              <w:right w:val="single" w:sz="4" w:space="0" w:color="auto"/>
            </w:tcBorders>
            <w:vAlign w:val="center"/>
          </w:tcPr>
          <w:p w14:paraId="740FBB4F"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14:paraId="1A91CE12"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669B527E"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6FB89053"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1685B737"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22D28496"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4C3E4031"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6FFA4687"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Мордовия</w:t>
            </w:r>
          </w:p>
        </w:tc>
        <w:tc>
          <w:tcPr>
            <w:tcW w:w="411" w:type="pct"/>
            <w:tcBorders>
              <w:top w:val="single" w:sz="4" w:space="0" w:color="auto"/>
              <w:left w:val="single" w:sz="4" w:space="0" w:color="auto"/>
              <w:bottom w:val="single" w:sz="4" w:space="0" w:color="auto"/>
              <w:right w:val="single" w:sz="4" w:space="0" w:color="auto"/>
            </w:tcBorders>
            <w:vAlign w:val="center"/>
          </w:tcPr>
          <w:p w14:paraId="6F70A32D"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120</w:t>
            </w:r>
          </w:p>
        </w:tc>
        <w:tc>
          <w:tcPr>
            <w:tcW w:w="413" w:type="pct"/>
            <w:tcBorders>
              <w:top w:val="single" w:sz="4" w:space="0" w:color="auto"/>
              <w:left w:val="single" w:sz="4" w:space="0" w:color="auto"/>
              <w:bottom w:val="single" w:sz="4" w:space="0" w:color="auto"/>
              <w:right w:val="single" w:sz="4" w:space="0" w:color="auto"/>
            </w:tcBorders>
            <w:vAlign w:val="center"/>
          </w:tcPr>
          <w:p w14:paraId="4F30DD93"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240</w:t>
            </w:r>
          </w:p>
        </w:tc>
        <w:tc>
          <w:tcPr>
            <w:tcW w:w="390" w:type="pct"/>
            <w:tcBorders>
              <w:top w:val="single" w:sz="4" w:space="0" w:color="auto"/>
              <w:left w:val="single" w:sz="4" w:space="0" w:color="auto"/>
              <w:bottom w:val="single" w:sz="4" w:space="0" w:color="auto"/>
              <w:right w:val="single" w:sz="4" w:space="0" w:color="auto"/>
            </w:tcBorders>
            <w:vAlign w:val="center"/>
          </w:tcPr>
          <w:p w14:paraId="20B11D5B"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180</w:t>
            </w:r>
          </w:p>
        </w:tc>
        <w:tc>
          <w:tcPr>
            <w:tcW w:w="420" w:type="pct"/>
            <w:tcBorders>
              <w:top w:val="single" w:sz="4" w:space="0" w:color="auto"/>
              <w:left w:val="single" w:sz="4" w:space="0" w:color="auto"/>
              <w:bottom w:val="single" w:sz="4" w:space="0" w:color="auto"/>
              <w:right w:val="single" w:sz="4" w:space="0" w:color="auto"/>
            </w:tcBorders>
            <w:vAlign w:val="center"/>
          </w:tcPr>
          <w:p w14:paraId="45BFF470"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180</w:t>
            </w:r>
          </w:p>
        </w:tc>
        <w:tc>
          <w:tcPr>
            <w:tcW w:w="416" w:type="pct"/>
            <w:tcBorders>
              <w:top w:val="single" w:sz="4" w:space="0" w:color="auto"/>
              <w:left w:val="single" w:sz="4" w:space="0" w:color="auto"/>
              <w:bottom w:val="single" w:sz="4" w:space="0" w:color="auto"/>
              <w:right w:val="single" w:sz="4" w:space="0" w:color="auto"/>
            </w:tcBorders>
            <w:vAlign w:val="center"/>
          </w:tcPr>
          <w:p w14:paraId="7011585B"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240</w:t>
            </w:r>
          </w:p>
        </w:tc>
        <w:tc>
          <w:tcPr>
            <w:tcW w:w="421" w:type="pct"/>
            <w:tcBorders>
              <w:top w:val="single" w:sz="4" w:space="0" w:color="auto"/>
              <w:left w:val="single" w:sz="4" w:space="0" w:color="auto"/>
              <w:bottom w:val="single" w:sz="4" w:space="0" w:color="auto"/>
              <w:right w:val="single" w:sz="4" w:space="0" w:color="auto"/>
            </w:tcBorders>
            <w:vAlign w:val="center"/>
          </w:tcPr>
          <w:p w14:paraId="64779BEF"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5BA609D9"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0BD4A480"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77B76DBB"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52F997B8"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7D7050F9"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0B31632F" w14:textId="77777777" w:rsidR="00035F5B" w:rsidRPr="00414E7D" w:rsidRDefault="00035F5B" w:rsidP="00035F5B">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Республика Татарстан</w:t>
            </w:r>
          </w:p>
        </w:tc>
        <w:tc>
          <w:tcPr>
            <w:tcW w:w="411" w:type="pct"/>
            <w:tcBorders>
              <w:top w:val="single" w:sz="4" w:space="0" w:color="auto"/>
              <w:left w:val="single" w:sz="4" w:space="0" w:color="auto"/>
              <w:bottom w:val="single" w:sz="4" w:space="0" w:color="auto"/>
              <w:right w:val="single" w:sz="4" w:space="0" w:color="auto"/>
            </w:tcBorders>
            <w:vAlign w:val="center"/>
          </w:tcPr>
          <w:p w14:paraId="00B6AB37" w14:textId="77777777" w:rsidR="00035F5B" w:rsidRPr="00414E7D" w:rsidRDefault="00035F5B" w:rsidP="0045318E">
            <w:pPr>
              <w:spacing w:after="0" w:line="240" w:lineRule="auto"/>
              <w:ind w:right="57"/>
              <w:jc w:val="center"/>
              <w:rPr>
                <w:rFonts w:ascii="Times New Roman" w:hAnsi="Times New Roman"/>
              </w:rPr>
            </w:pPr>
            <w:r w:rsidRPr="00414E7D">
              <w:rPr>
                <w:rFonts w:ascii="Times New Roman" w:hAnsi="Times New Roman"/>
              </w:rPr>
              <w:t>3</w:t>
            </w:r>
            <w:r w:rsidR="0045318E">
              <w:rPr>
                <w:rFonts w:ascii="Times New Roman" w:hAnsi="Times New Roman"/>
              </w:rPr>
              <w:t>48</w:t>
            </w:r>
          </w:p>
        </w:tc>
        <w:tc>
          <w:tcPr>
            <w:tcW w:w="413" w:type="pct"/>
            <w:tcBorders>
              <w:top w:val="single" w:sz="4" w:space="0" w:color="auto"/>
              <w:left w:val="single" w:sz="4" w:space="0" w:color="auto"/>
              <w:bottom w:val="single" w:sz="4" w:space="0" w:color="auto"/>
              <w:right w:val="single" w:sz="4" w:space="0" w:color="auto"/>
            </w:tcBorders>
            <w:vAlign w:val="center"/>
          </w:tcPr>
          <w:p w14:paraId="7AD305BD" w14:textId="77777777" w:rsidR="00035F5B" w:rsidRPr="00414E7D" w:rsidRDefault="0045318E" w:rsidP="00035F5B">
            <w:pPr>
              <w:spacing w:after="0" w:line="240" w:lineRule="auto"/>
              <w:ind w:right="57"/>
              <w:jc w:val="center"/>
              <w:rPr>
                <w:rFonts w:ascii="Times New Roman" w:hAnsi="Times New Roman"/>
              </w:rPr>
            </w:pPr>
            <w:r>
              <w:rPr>
                <w:rFonts w:ascii="Times New Roman" w:hAnsi="Times New Roman"/>
              </w:rPr>
              <w:t>918</w:t>
            </w:r>
          </w:p>
        </w:tc>
        <w:tc>
          <w:tcPr>
            <w:tcW w:w="390" w:type="pct"/>
            <w:tcBorders>
              <w:top w:val="single" w:sz="4" w:space="0" w:color="auto"/>
              <w:left w:val="single" w:sz="4" w:space="0" w:color="auto"/>
              <w:bottom w:val="single" w:sz="4" w:space="0" w:color="auto"/>
              <w:right w:val="single" w:sz="4" w:space="0" w:color="auto"/>
            </w:tcBorders>
            <w:vAlign w:val="center"/>
          </w:tcPr>
          <w:p w14:paraId="0C901CAD" w14:textId="77777777" w:rsidR="00035F5B" w:rsidRPr="00414E7D" w:rsidRDefault="0045318E" w:rsidP="00035F5B">
            <w:pPr>
              <w:spacing w:after="0" w:line="240" w:lineRule="auto"/>
              <w:ind w:right="57"/>
              <w:jc w:val="center"/>
              <w:rPr>
                <w:rFonts w:ascii="Times New Roman" w:hAnsi="Times New Roman"/>
              </w:rPr>
            </w:pPr>
            <w:r>
              <w:rPr>
                <w:rFonts w:ascii="Times New Roman" w:hAnsi="Times New Roman"/>
              </w:rPr>
              <w:t>51</w:t>
            </w:r>
            <w:r w:rsidR="00035F5B" w:rsidRPr="00414E7D">
              <w:rPr>
                <w:rFonts w:ascii="Times New Roman" w:hAnsi="Times New Roman"/>
              </w:rPr>
              <w:t>9</w:t>
            </w:r>
          </w:p>
        </w:tc>
        <w:tc>
          <w:tcPr>
            <w:tcW w:w="420" w:type="pct"/>
            <w:tcBorders>
              <w:top w:val="single" w:sz="4" w:space="0" w:color="auto"/>
              <w:left w:val="single" w:sz="4" w:space="0" w:color="auto"/>
              <w:bottom w:val="single" w:sz="4" w:space="0" w:color="auto"/>
              <w:right w:val="single" w:sz="4" w:space="0" w:color="auto"/>
            </w:tcBorders>
            <w:vAlign w:val="center"/>
          </w:tcPr>
          <w:p w14:paraId="0FA8BEFD" w14:textId="77777777" w:rsidR="00035F5B" w:rsidRPr="00414E7D" w:rsidRDefault="0045318E" w:rsidP="00035F5B">
            <w:pPr>
              <w:spacing w:after="0" w:line="240" w:lineRule="auto"/>
              <w:ind w:right="57"/>
              <w:jc w:val="center"/>
              <w:rPr>
                <w:rFonts w:ascii="Times New Roman" w:hAnsi="Times New Roman"/>
              </w:rPr>
            </w:pPr>
            <w:r>
              <w:rPr>
                <w:rFonts w:ascii="Times New Roman" w:hAnsi="Times New Roman"/>
              </w:rPr>
              <w:t>51</w:t>
            </w:r>
            <w:r w:rsidR="00035F5B" w:rsidRPr="00414E7D">
              <w:rPr>
                <w:rFonts w:ascii="Times New Roman" w:hAnsi="Times New Roman"/>
              </w:rPr>
              <w:t>9</w:t>
            </w:r>
          </w:p>
        </w:tc>
        <w:tc>
          <w:tcPr>
            <w:tcW w:w="416" w:type="pct"/>
            <w:tcBorders>
              <w:top w:val="single" w:sz="4" w:space="0" w:color="auto"/>
              <w:left w:val="single" w:sz="4" w:space="0" w:color="auto"/>
              <w:bottom w:val="single" w:sz="4" w:space="0" w:color="auto"/>
              <w:right w:val="single" w:sz="4" w:space="0" w:color="auto"/>
            </w:tcBorders>
            <w:vAlign w:val="center"/>
          </w:tcPr>
          <w:p w14:paraId="57B3B4D8"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14:paraId="242DA081"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05734D22"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3362C3C8"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6EFD8C7F"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1003D0DC"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4FF26BF8"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58DF647B"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Удмуртская Республика</w:t>
            </w:r>
          </w:p>
        </w:tc>
        <w:tc>
          <w:tcPr>
            <w:tcW w:w="411" w:type="pct"/>
            <w:tcBorders>
              <w:top w:val="single" w:sz="4" w:space="0" w:color="auto"/>
              <w:left w:val="single" w:sz="4" w:space="0" w:color="auto"/>
              <w:bottom w:val="single" w:sz="4" w:space="0" w:color="auto"/>
              <w:right w:val="single" w:sz="4" w:space="0" w:color="auto"/>
            </w:tcBorders>
            <w:vAlign w:val="center"/>
          </w:tcPr>
          <w:p w14:paraId="0D1E9EA0" w14:textId="77777777" w:rsidR="00035F5B" w:rsidRPr="00414E7D" w:rsidRDefault="00035F5B" w:rsidP="0045318E">
            <w:pPr>
              <w:spacing w:after="0" w:line="240" w:lineRule="auto"/>
              <w:ind w:right="57"/>
              <w:jc w:val="center"/>
              <w:rPr>
                <w:rFonts w:ascii="Times New Roman" w:hAnsi="Times New Roman"/>
              </w:rPr>
            </w:pPr>
            <w:r w:rsidRPr="00414E7D">
              <w:rPr>
                <w:rFonts w:ascii="Times New Roman" w:hAnsi="Times New Roman"/>
              </w:rPr>
              <w:t>1</w:t>
            </w:r>
            <w:r w:rsidR="0045318E">
              <w:rPr>
                <w:rFonts w:ascii="Times New Roman" w:hAnsi="Times New Roman"/>
              </w:rPr>
              <w:t>93</w:t>
            </w:r>
          </w:p>
        </w:tc>
        <w:tc>
          <w:tcPr>
            <w:tcW w:w="413" w:type="pct"/>
            <w:tcBorders>
              <w:top w:val="single" w:sz="4" w:space="0" w:color="auto"/>
              <w:left w:val="single" w:sz="4" w:space="0" w:color="auto"/>
              <w:bottom w:val="single" w:sz="4" w:space="0" w:color="auto"/>
              <w:right w:val="single" w:sz="4" w:space="0" w:color="auto"/>
            </w:tcBorders>
            <w:vAlign w:val="center"/>
          </w:tcPr>
          <w:p w14:paraId="6AB80EBA" w14:textId="77777777" w:rsidR="00035F5B" w:rsidRPr="00414E7D" w:rsidRDefault="00035F5B" w:rsidP="0045318E">
            <w:pPr>
              <w:spacing w:after="0" w:line="240" w:lineRule="auto"/>
              <w:ind w:right="57"/>
              <w:jc w:val="center"/>
              <w:rPr>
                <w:rFonts w:ascii="Times New Roman" w:hAnsi="Times New Roman"/>
              </w:rPr>
            </w:pPr>
            <w:r w:rsidRPr="00414E7D">
              <w:rPr>
                <w:rFonts w:ascii="Times New Roman" w:hAnsi="Times New Roman"/>
              </w:rPr>
              <w:t>3</w:t>
            </w:r>
            <w:r w:rsidR="0045318E">
              <w:rPr>
                <w:rFonts w:ascii="Times New Roman" w:hAnsi="Times New Roman"/>
              </w:rPr>
              <w:t>86</w:t>
            </w:r>
          </w:p>
        </w:tc>
        <w:tc>
          <w:tcPr>
            <w:tcW w:w="390" w:type="pct"/>
            <w:tcBorders>
              <w:top w:val="single" w:sz="4" w:space="0" w:color="auto"/>
              <w:left w:val="single" w:sz="4" w:space="0" w:color="auto"/>
              <w:bottom w:val="single" w:sz="4" w:space="0" w:color="auto"/>
              <w:right w:val="single" w:sz="4" w:space="0" w:color="auto"/>
            </w:tcBorders>
            <w:vAlign w:val="center"/>
          </w:tcPr>
          <w:p w14:paraId="3219F506" w14:textId="77777777" w:rsidR="00035F5B" w:rsidRPr="00414E7D" w:rsidRDefault="00035F5B" w:rsidP="0045318E">
            <w:pPr>
              <w:spacing w:after="0" w:line="240" w:lineRule="auto"/>
              <w:ind w:right="57"/>
              <w:jc w:val="center"/>
              <w:rPr>
                <w:rFonts w:ascii="Times New Roman" w:hAnsi="Times New Roman"/>
              </w:rPr>
            </w:pPr>
            <w:r w:rsidRPr="00414E7D">
              <w:rPr>
                <w:rFonts w:ascii="Times New Roman" w:hAnsi="Times New Roman"/>
              </w:rPr>
              <w:t>3</w:t>
            </w:r>
            <w:r w:rsidR="0045318E">
              <w:rPr>
                <w:rFonts w:ascii="Times New Roman" w:hAnsi="Times New Roman"/>
              </w:rPr>
              <w:t>86</w:t>
            </w:r>
          </w:p>
        </w:tc>
        <w:tc>
          <w:tcPr>
            <w:tcW w:w="420" w:type="pct"/>
            <w:tcBorders>
              <w:top w:val="single" w:sz="4" w:space="0" w:color="auto"/>
              <w:left w:val="single" w:sz="4" w:space="0" w:color="auto"/>
              <w:bottom w:val="single" w:sz="4" w:space="0" w:color="auto"/>
              <w:right w:val="single" w:sz="4" w:space="0" w:color="auto"/>
            </w:tcBorders>
            <w:vAlign w:val="center"/>
          </w:tcPr>
          <w:p w14:paraId="28D9BFE6" w14:textId="77777777" w:rsidR="00035F5B" w:rsidRPr="00414E7D" w:rsidRDefault="00035F5B" w:rsidP="0045318E">
            <w:pPr>
              <w:spacing w:after="0" w:line="240" w:lineRule="auto"/>
              <w:ind w:right="57"/>
              <w:jc w:val="center"/>
              <w:rPr>
                <w:rFonts w:ascii="Times New Roman" w:hAnsi="Times New Roman"/>
              </w:rPr>
            </w:pPr>
            <w:r w:rsidRPr="00414E7D">
              <w:rPr>
                <w:rFonts w:ascii="Times New Roman" w:hAnsi="Times New Roman"/>
              </w:rPr>
              <w:t>2</w:t>
            </w:r>
            <w:r w:rsidR="0045318E">
              <w:rPr>
                <w:rFonts w:ascii="Times New Roman" w:hAnsi="Times New Roman"/>
              </w:rPr>
              <w:t>90</w:t>
            </w:r>
          </w:p>
        </w:tc>
        <w:tc>
          <w:tcPr>
            <w:tcW w:w="416" w:type="pct"/>
            <w:tcBorders>
              <w:top w:val="single" w:sz="4" w:space="0" w:color="auto"/>
              <w:left w:val="single" w:sz="4" w:space="0" w:color="auto"/>
              <w:bottom w:val="single" w:sz="4" w:space="0" w:color="auto"/>
              <w:right w:val="single" w:sz="4" w:space="0" w:color="auto"/>
            </w:tcBorders>
            <w:vAlign w:val="center"/>
          </w:tcPr>
          <w:p w14:paraId="44A3906E"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14:paraId="51E89670"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62E035A8"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4E77483F"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511B6709"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234CAF6B"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37F49182"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2224E99B" w14:textId="77777777" w:rsidR="00035F5B" w:rsidRPr="00414E7D" w:rsidRDefault="00035F5B" w:rsidP="00403B4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Чувашская Республика</w:t>
            </w:r>
            <w:r w:rsidR="00403B4B">
              <w:rPr>
                <w:rFonts w:ascii="Times New Roman" w:eastAsia="Times New Roman" w:hAnsi="Times New Roman" w:cs="Times New Roman"/>
                <w:sz w:val="24"/>
                <w:szCs w:val="24"/>
                <w:vertAlign w:val="superscript"/>
                <w:lang w:eastAsia="ru-RU"/>
              </w:rPr>
              <w:t>5</w:t>
            </w:r>
          </w:p>
        </w:tc>
        <w:tc>
          <w:tcPr>
            <w:tcW w:w="411" w:type="pct"/>
            <w:tcBorders>
              <w:top w:val="single" w:sz="4" w:space="0" w:color="auto"/>
              <w:left w:val="single" w:sz="4" w:space="0" w:color="auto"/>
              <w:bottom w:val="single" w:sz="4" w:space="0" w:color="auto"/>
              <w:right w:val="single" w:sz="4" w:space="0" w:color="auto"/>
            </w:tcBorders>
            <w:vAlign w:val="center"/>
          </w:tcPr>
          <w:p w14:paraId="7D2290FC" w14:textId="77777777" w:rsidR="00035F5B" w:rsidRPr="00414E7D" w:rsidRDefault="00035F5B" w:rsidP="00403B4B">
            <w:pPr>
              <w:spacing w:after="0" w:line="240" w:lineRule="auto"/>
              <w:ind w:right="57"/>
              <w:jc w:val="center"/>
              <w:rPr>
                <w:rFonts w:ascii="Times New Roman" w:hAnsi="Times New Roman"/>
              </w:rPr>
            </w:pPr>
            <w:r w:rsidRPr="00414E7D">
              <w:rPr>
                <w:rFonts w:ascii="Times New Roman" w:hAnsi="Times New Roman"/>
              </w:rPr>
              <w:t>18</w:t>
            </w:r>
            <w:r w:rsidR="00403B4B">
              <w:rPr>
                <w:rFonts w:ascii="Times New Roman" w:hAnsi="Times New Roman"/>
              </w:rPr>
              <w:t>8</w:t>
            </w:r>
            <w:r w:rsidRPr="00414E7D">
              <w:rPr>
                <w:rFonts w:ascii="Times New Roman" w:hAnsi="Times New Roman"/>
              </w:rPr>
              <w:t>-2</w:t>
            </w:r>
            <w:r w:rsidR="00403B4B">
              <w:rPr>
                <w:rFonts w:ascii="Times New Roman" w:hAnsi="Times New Roman"/>
              </w:rPr>
              <w:t>63</w:t>
            </w:r>
          </w:p>
        </w:tc>
        <w:tc>
          <w:tcPr>
            <w:tcW w:w="413" w:type="pct"/>
            <w:tcBorders>
              <w:top w:val="single" w:sz="4" w:space="0" w:color="auto"/>
              <w:left w:val="single" w:sz="4" w:space="0" w:color="auto"/>
              <w:bottom w:val="single" w:sz="4" w:space="0" w:color="auto"/>
              <w:right w:val="single" w:sz="4" w:space="0" w:color="auto"/>
            </w:tcBorders>
            <w:vAlign w:val="center"/>
          </w:tcPr>
          <w:p w14:paraId="3220FDCC" w14:textId="77777777" w:rsidR="00035F5B" w:rsidRPr="00414E7D" w:rsidRDefault="00035F5B" w:rsidP="00403B4B">
            <w:pPr>
              <w:spacing w:after="0" w:line="240" w:lineRule="auto"/>
              <w:ind w:right="57"/>
              <w:jc w:val="center"/>
              <w:rPr>
                <w:rFonts w:ascii="Times New Roman" w:hAnsi="Times New Roman"/>
              </w:rPr>
            </w:pPr>
            <w:r w:rsidRPr="00414E7D">
              <w:rPr>
                <w:rFonts w:ascii="Times New Roman" w:hAnsi="Times New Roman"/>
              </w:rPr>
              <w:t>3</w:t>
            </w:r>
            <w:r w:rsidR="00403B4B">
              <w:rPr>
                <w:rFonts w:ascii="Times New Roman" w:hAnsi="Times New Roman"/>
              </w:rPr>
              <w:t>76</w:t>
            </w:r>
            <w:r w:rsidRPr="00414E7D">
              <w:rPr>
                <w:rFonts w:ascii="Times New Roman" w:hAnsi="Times New Roman"/>
              </w:rPr>
              <w:t>-5</w:t>
            </w:r>
            <w:r w:rsidR="00403B4B">
              <w:rPr>
                <w:rFonts w:ascii="Times New Roman" w:hAnsi="Times New Roman"/>
              </w:rPr>
              <w:t>25</w:t>
            </w:r>
          </w:p>
        </w:tc>
        <w:tc>
          <w:tcPr>
            <w:tcW w:w="390" w:type="pct"/>
            <w:tcBorders>
              <w:top w:val="single" w:sz="4" w:space="0" w:color="auto"/>
              <w:left w:val="single" w:sz="4" w:space="0" w:color="auto"/>
              <w:bottom w:val="single" w:sz="4" w:space="0" w:color="auto"/>
              <w:right w:val="single" w:sz="4" w:space="0" w:color="auto"/>
            </w:tcBorders>
            <w:vAlign w:val="center"/>
          </w:tcPr>
          <w:p w14:paraId="36B54477" w14:textId="77777777" w:rsidR="00035F5B" w:rsidRPr="00414E7D" w:rsidRDefault="00035F5B" w:rsidP="00403B4B">
            <w:pPr>
              <w:spacing w:after="0" w:line="240" w:lineRule="auto"/>
              <w:ind w:right="57"/>
              <w:jc w:val="center"/>
              <w:rPr>
                <w:rFonts w:ascii="Times New Roman" w:hAnsi="Times New Roman"/>
              </w:rPr>
            </w:pPr>
            <w:r w:rsidRPr="00414E7D">
              <w:rPr>
                <w:rFonts w:ascii="Times New Roman" w:hAnsi="Times New Roman"/>
              </w:rPr>
              <w:t>2</w:t>
            </w:r>
            <w:r w:rsidR="00403B4B">
              <w:rPr>
                <w:rFonts w:ascii="Times New Roman" w:hAnsi="Times New Roman"/>
              </w:rPr>
              <w:t>83</w:t>
            </w:r>
            <w:r w:rsidRPr="00414E7D">
              <w:rPr>
                <w:rFonts w:ascii="Times New Roman" w:hAnsi="Times New Roman"/>
              </w:rPr>
              <w:t>-3</w:t>
            </w:r>
            <w:r w:rsidR="00403B4B">
              <w:rPr>
                <w:rFonts w:ascii="Times New Roman" w:hAnsi="Times New Roman"/>
              </w:rPr>
              <w:t>97</w:t>
            </w:r>
          </w:p>
        </w:tc>
        <w:tc>
          <w:tcPr>
            <w:tcW w:w="420" w:type="pct"/>
            <w:tcBorders>
              <w:top w:val="single" w:sz="4" w:space="0" w:color="auto"/>
              <w:left w:val="single" w:sz="4" w:space="0" w:color="auto"/>
              <w:bottom w:val="single" w:sz="4" w:space="0" w:color="auto"/>
              <w:right w:val="single" w:sz="4" w:space="0" w:color="auto"/>
            </w:tcBorders>
            <w:vAlign w:val="center"/>
          </w:tcPr>
          <w:p w14:paraId="63105C66" w14:textId="77777777" w:rsidR="00035F5B" w:rsidRPr="00414E7D" w:rsidRDefault="00035F5B" w:rsidP="00403B4B">
            <w:pPr>
              <w:spacing w:after="0" w:line="240" w:lineRule="auto"/>
              <w:ind w:right="57"/>
              <w:jc w:val="center"/>
              <w:rPr>
                <w:rFonts w:ascii="Times New Roman" w:hAnsi="Times New Roman"/>
              </w:rPr>
            </w:pPr>
            <w:r w:rsidRPr="00414E7D">
              <w:rPr>
                <w:rFonts w:ascii="Times New Roman" w:hAnsi="Times New Roman"/>
              </w:rPr>
              <w:t>2</w:t>
            </w:r>
            <w:r w:rsidR="00403B4B">
              <w:rPr>
                <w:rFonts w:ascii="Times New Roman" w:hAnsi="Times New Roman"/>
              </w:rPr>
              <w:t>83</w:t>
            </w:r>
            <w:r w:rsidRPr="00414E7D">
              <w:rPr>
                <w:rFonts w:ascii="Times New Roman" w:hAnsi="Times New Roman"/>
              </w:rPr>
              <w:t>-3</w:t>
            </w:r>
            <w:r w:rsidR="00403B4B">
              <w:rPr>
                <w:rFonts w:ascii="Times New Roman" w:hAnsi="Times New Roman"/>
              </w:rPr>
              <w:t>97</w:t>
            </w:r>
          </w:p>
        </w:tc>
        <w:tc>
          <w:tcPr>
            <w:tcW w:w="416" w:type="pct"/>
            <w:tcBorders>
              <w:top w:val="single" w:sz="4" w:space="0" w:color="auto"/>
              <w:left w:val="single" w:sz="4" w:space="0" w:color="auto"/>
              <w:bottom w:val="single" w:sz="4" w:space="0" w:color="auto"/>
              <w:right w:val="single" w:sz="4" w:space="0" w:color="auto"/>
            </w:tcBorders>
            <w:vAlign w:val="center"/>
          </w:tcPr>
          <w:p w14:paraId="05B5A6BA"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14:paraId="24C9CFBD"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6D3358E7"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65E68E8D"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58F7A225"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2F144700" w14:textId="77777777" w:rsidR="00035F5B" w:rsidRPr="00414E7D" w:rsidRDefault="00035F5B" w:rsidP="00403B4B">
            <w:pPr>
              <w:spacing w:after="0" w:line="240" w:lineRule="auto"/>
              <w:ind w:right="57"/>
              <w:jc w:val="center"/>
              <w:rPr>
                <w:rFonts w:ascii="Times New Roman" w:hAnsi="Times New Roman"/>
              </w:rPr>
            </w:pPr>
            <w:r w:rsidRPr="00414E7D">
              <w:rPr>
                <w:rFonts w:ascii="Times New Roman" w:hAnsi="Times New Roman"/>
              </w:rPr>
              <w:t>18</w:t>
            </w:r>
            <w:r w:rsidR="00403B4B">
              <w:rPr>
                <w:rFonts w:ascii="Times New Roman" w:hAnsi="Times New Roman"/>
              </w:rPr>
              <w:t>8</w:t>
            </w:r>
            <w:r w:rsidRPr="00414E7D">
              <w:rPr>
                <w:rFonts w:ascii="Times New Roman" w:hAnsi="Times New Roman"/>
              </w:rPr>
              <w:t>-2</w:t>
            </w:r>
            <w:r w:rsidR="00403B4B">
              <w:rPr>
                <w:rFonts w:ascii="Times New Roman" w:hAnsi="Times New Roman"/>
              </w:rPr>
              <w:t>63</w:t>
            </w:r>
          </w:p>
        </w:tc>
      </w:tr>
      <w:tr w:rsidR="00035F5B" w:rsidRPr="00414E7D" w14:paraId="440D3DF0"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3C7EFF25"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Пермский край</w:t>
            </w:r>
          </w:p>
        </w:tc>
        <w:tc>
          <w:tcPr>
            <w:tcW w:w="411" w:type="pct"/>
            <w:tcBorders>
              <w:top w:val="single" w:sz="4" w:space="0" w:color="auto"/>
              <w:left w:val="single" w:sz="4" w:space="0" w:color="auto"/>
              <w:bottom w:val="single" w:sz="4" w:space="0" w:color="auto"/>
              <w:right w:val="single" w:sz="4" w:space="0" w:color="auto"/>
            </w:tcBorders>
            <w:vAlign w:val="center"/>
          </w:tcPr>
          <w:p w14:paraId="6F0EFCE4" w14:textId="77777777" w:rsidR="00035F5B" w:rsidRPr="00414E7D" w:rsidRDefault="00035F5B" w:rsidP="00403B4B">
            <w:pPr>
              <w:spacing w:after="0" w:line="240" w:lineRule="auto"/>
              <w:ind w:right="57"/>
              <w:jc w:val="center"/>
              <w:rPr>
                <w:rFonts w:ascii="Times New Roman" w:hAnsi="Times New Roman"/>
              </w:rPr>
            </w:pPr>
            <w:r w:rsidRPr="00414E7D">
              <w:rPr>
                <w:rFonts w:ascii="Times New Roman" w:hAnsi="Times New Roman"/>
              </w:rPr>
              <w:t>1</w:t>
            </w:r>
            <w:r w:rsidR="00403B4B">
              <w:rPr>
                <w:rFonts w:ascii="Times New Roman" w:hAnsi="Times New Roman"/>
              </w:rPr>
              <w:t>82</w:t>
            </w:r>
          </w:p>
        </w:tc>
        <w:tc>
          <w:tcPr>
            <w:tcW w:w="413" w:type="pct"/>
            <w:tcBorders>
              <w:top w:val="single" w:sz="4" w:space="0" w:color="auto"/>
              <w:left w:val="single" w:sz="4" w:space="0" w:color="auto"/>
              <w:bottom w:val="single" w:sz="4" w:space="0" w:color="auto"/>
              <w:right w:val="single" w:sz="4" w:space="0" w:color="auto"/>
            </w:tcBorders>
            <w:vAlign w:val="center"/>
          </w:tcPr>
          <w:p w14:paraId="2D08977D" w14:textId="77777777" w:rsidR="00035F5B" w:rsidRPr="00414E7D" w:rsidRDefault="00035F5B" w:rsidP="00403B4B">
            <w:pPr>
              <w:spacing w:after="0" w:line="240" w:lineRule="auto"/>
              <w:ind w:right="57"/>
              <w:jc w:val="center"/>
              <w:rPr>
                <w:rFonts w:ascii="Times New Roman" w:hAnsi="Times New Roman"/>
              </w:rPr>
            </w:pPr>
            <w:r w:rsidRPr="00414E7D">
              <w:rPr>
                <w:rFonts w:ascii="Times New Roman" w:hAnsi="Times New Roman"/>
              </w:rPr>
              <w:t>3</w:t>
            </w:r>
            <w:r w:rsidR="00403B4B">
              <w:rPr>
                <w:rFonts w:ascii="Times New Roman" w:hAnsi="Times New Roman"/>
              </w:rPr>
              <w:t>64</w:t>
            </w:r>
          </w:p>
        </w:tc>
        <w:tc>
          <w:tcPr>
            <w:tcW w:w="390" w:type="pct"/>
            <w:tcBorders>
              <w:top w:val="single" w:sz="4" w:space="0" w:color="auto"/>
              <w:left w:val="single" w:sz="4" w:space="0" w:color="auto"/>
              <w:bottom w:val="single" w:sz="4" w:space="0" w:color="auto"/>
              <w:right w:val="single" w:sz="4" w:space="0" w:color="auto"/>
            </w:tcBorders>
            <w:vAlign w:val="center"/>
          </w:tcPr>
          <w:p w14:paraId="3DA8562D" w14:textId="77777777" w:rsidR="00035F5B" w:rsidRPr="00414E7D" w:rsidRDefault="00035F5B" w:rsidP="00403B4B">
            <w:pPr>
              <w:spacing w:after="0" w:line="240" w:lineRule="auto"/>
              <w:ind w:right="57"/>
              <w:jc w:val="center"/>
              <w:rPr>
                <w:rFonts w:ascii="Times New Roman" w:hAnsi="Times New Roman"/>
              </w:rPr>
            </w:pPr>
            <w:r w:rsidRPr="00414E7D">
              <w:rPr>
                <w:rFonts w:ascii="Times New Roman" w:hAnsi="Times New Roman"/>
              </w:rPr>
              <w:t>2</w:t>
            </w:r>
            <w:r w:rsidR="00403B4B">
              <w:rPr>
                <w:rFonts w:ascii="Times New Roman" w:hAnsi="Times New Roman"/>
              </w:rPr>
              <w:t>73</w:t>
            </w:r>
          </w:p>
        </w:tc>
        <w:tc>
          <w:tcPr>
            <w:tcW w:w="420" w:type="pct"/>
            <w:tcBorders>
              <w:top w:val="single" w:sz="4" w:space="0" w:color="auto"/>
              <w:left w:val="single" w:sz="4" w:space="0" w:color="auto"/>
              <w:bottom w:val="single" w:sz="4" w:space="0" w:color="auto"/>
              <w:right w:val="single" w:sz="4" w:space="0" w:color="auto"/>
            </w:tcBorders>
            <w:vAlign w:val="center"/>
          </w:tcPr>
          <w:p w14:paraId="7DFEC5EC" w14:textId="77777777" w:rsidR="00035F5B" w:rsidRPr="00414E7D" w:rsidRDefault="00035F5B" w:rsidP="00403B4B">
            <w:pPr>
              <w:spacing w:after="0" w:line="240" w:lineRule="auto"/>
              <w:ind w:right="57"/>
              <w:jc w:val="center"/>
              <w:rPr>
                <w:rFonts w:ascii="Times New Roman" w:hAnsi="Times New Roman"/>
              </w:rPr>
            </w:pPr>
            <w:r w:rsidRPr="00414E7D">
              <w:rPr>
                <w:rFonts w:ascii="Times New Roman" w:hAnsi="Times New Roman"/>
              </w:rPr>
              <w:t>2</w:t>
            </w:r>
            <w:r w:rsidR="00403B4B">
              <w:rPr>
                <w:rFonts w:ascii="Times New Roman" w:hAnsi="Times New Roman"/>
              </w:rPr>
              <w:t>73</w:t>
            </w:r>
          </w:p>
        </w:tc>
        <w:tc>
          <w:tcPr>
            <w:tcW w:w="416" w:type="pct"/>
            <w:tcBorders>
              <w:top w:val="single" w:sz="4" w:space="0" w:color="auto"/>
              <w:left w:val="single" w:sz="4" w:space="0" w:color="auto"/>
              <w:bottom w:val="single" w:sz="4" w:space="0" w:color="auto"/>
              <w:right w:val="single" w:sz="4" w:space="0" w:color="auto"/>
            </w:tcBorders>
            <w:vAlign w:val="center"/>
          </w:tcPr>
          <w:p w14:paraId="31FBFD2D"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14:paraId="2B2C665D"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615FCE68"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337E56B4" w14:textId="77777777" w:rsidR="00035F5B" w:rsidRPr="00414E7D" w:rsidRDefault="00035F5B" w:rsidP="00035F5B">
            <w:pPr>
              <w:spacing w:after="0" w:line="240" w:lineRule="auto"/>
              <w:ind w:right="57"/>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14:paraId="10D118F3"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40B6E8C9"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0CFCEF38"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4B0DEEA3" w14:textId="77777777" w:rsidR="00035F5B" w:rsidRPr="00414E7D" w:rsidRDefault="00035F5B" w:rsidP="00035F5B">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Кировская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14:paraId="7088C3DF"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191</w:t>
            </w:r>
          </w:p>
        </w:tc>
        <w:tc>
          <w:tcPr>
            <w:tcW w:w="413" w:type="pct"/>
            <w:tcBorders>
              <w:top w:val="single" w:sz="4" w:space="0" w:color="auto"/>
              <w:left w:val="single" w:sz="4" w:space="0" w:color="auto"/>
              <w:bottom w:val="single" w:sz="4" w:space="0" w:color="auto"/>
              <w:right w:val="single" w:sz="4" w:space="0" w:color="auto"/>
            </w:tcBorders>
            <w:vAlign w:val="center"/>
          </w:tcPr>
          <w:p w14:paraId="49CF27FD"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382</w:t>
            </w:r>
          </w:p>
        </w:tc>
        <w:tc>
          <w:tcPr>
            <w:tcW w:w="390" w:type="pct"/>
            <w:tcBorders>
              <w:top w:val="single" w:sz="4" w:space="0" w:color="auto"/>
              <w:left w:val="single" w:sz="4" w:space="0" w:color="auto"/>
              <w:bottom w:val="single" w:sz="4" w:space="0" w:color="auto"/>
              <w:right w:val="single" w:sz="4" w:space="0" w:color="auto"/>
            </w:tcBorders>
            <w:vAlign w:val="center"/>
          </w:tcPr>
          <w:p w14:paraId="2B3DF6FE"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vAlign w:val="center"/>
          </w:tcPr>
          <w:p w14:paraId="03393F33"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287</w:t>
            </w:r>
          </w:p>
        </w:tc>
        <w:tc>
          <w:tcPr>
            <w:tcW w:w="416" w:type="pct"/>
            <w:tcBorders>
              <w:top w:val="single" w:sz="4" w:space="0" w:color="auto"/>
              <w:left w:val="single" w:sz="4" w:space="0" w:color="auto"/>
              <w:bottom w:val="single" w:sz="4" w:space="0" w:color="auto"/>
              <w:right w:val="single" w:sz="4" w:space="0" w:color="auto"/>
            </w:tcBorders>
            <w:vAlign w:val="center"/>
          </w:tcPr>
          <w:p w14:paraId="463A4199"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14:paraId="43F35BA8"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6A101B0A"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06EA34C4"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1200</w:t>
            </w:r>
          </w:p>
        </w:tc>
        <w:tc>
          <w:tcPr>
            <w:tcW w:w="434" w:type="pct"/>
            <w:tcBorders>
              <w:top w:val="single" w:sz="4" w:space="0" w:color="auto"/>
              <w:left w:val="single" w:sz="4" w:space="0" w:color="auto"/>
              <w:bottom w:val="single" w:sz="4" w:space="0" w:color="auto"/>
              <w:right w:val="single" w:sz="4" w:space="0" w:color="auto"/>
            </w:tcBorders>
            <w:vAlign w:val="center"/>
          </w:tcPr>
          <w:p w14:paraId="61F6E66B"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57F27EF2"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4DE63F9D"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5E7200FF" w14:textId="77777777" w:rsidR="00035F5B" w:rsidRPr="00414E7D" w:rsidRDefault="00035F5B" w:rsidP="00403B4B">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Нижегородская область</w:t>
            </w:r>
            <w:r w:rsidR="00403B4B">
              <w:rPr>
                <w:rFonts w:ascii="Times New Roman" w:eastAsia="Times New Roman" w:hAnsi="Times New Roman" w:cs="Times New Roman"/>
                <w:sz w:val="24"/>
                <w:szCs w:val="24"/>
                <w:vertAlign w:val="superscript"/>
                <w:lang w:eastAsia="ru-RU"/>
              </w:rPr>
              <w:t>7</w:t>
            </w:r>
          </w:p>
        </w:tc>
        <w:tc>
          <w:tcPr>
            <w:tcW w:w="411" w:type="pct"/>
            <w:tcBorders>
              <w:top w:val="single" w:sz="4" w:space="0" w:color="auto"/>
              <w:left w:val="single" w:sz="4" w:space="0" w:color="auto"/>
              <w:bottom w:val="single" w:sz="4" w:space="0" w:color="auto"/>
              <w:right w:val="single" w:sz="4" w:space="0" w:color="auto"/>
            </w:tcBorders>
            <w:vAlign w:val="center"/>
          </w:tcPr>
          <w:p w14:paraId="569D25AE"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100</w:t>
            </w:r>
          </w:p>
        </w:tc>
        <w:tc>
          <w:tcPr>
            <w:tcW w:w="413" w:type="pct"/>
            <w:tcBorders>
              <w:top w:val="single" w:sz="4" w:space="0" w:color="auto"/>
              <w:left w:val="single" w:sz="4" w:space="0" w:color="auto"/>
              <w:bottom w:val="single" w:sz="4" w:space="0" w:color="auto"/>
              <w:right w:val="single" w:sz="4" w:space="0" w:color="auto"/>
            </w:tcBorders>
            <w:vAlign w:val="center"/>
          </w:tcPr>
          <w:p w14:paraId="65BB6564"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200</w:t>
            </w:r>
          </w:p>
        </w:tc>
        <w:tc>
          <w:tcPr>
            <w:tcW w:w="390" w:type="pct"/>
            <w:tcBorders>
              <w:top w:val="single" w:sz="4" w:space="0" w:color="auto"/>
              <w:left w:val="single" w:sz="4" w:space="0" w:color="auto"/>
              <w:bottom w:val="single" w:sz="4" w:space="0" w:color="auto"/>
              <w:right w:val="single" w:sz="4" w:space="0" w:color="auto"/>
            </w:tcBorders>
            <w:vAlign w:val="center"/>
          </w:tcPr>
          <w:p w14:paraId="612D9DB8"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150</w:t>
            </w:r>
          </w:p>
        </w:tc>
        <w:tc>
          <w:tcPr>
            <w:tcW w:w="420" w:type="pct"/>
            <w:tcBorders>
              <w:top w:val="single" w:sz="4" w:space="0" w:color="auto"/>
              <w:left w:val="single" w:sz="4" w:space="0" w:color="auto"/>
              <w:bottom w:val="single" w:sz="4" w:space="0" w:color="auto"/>
              <w:right w:val="single" w:sz="4" w:space="0" w:color="auto"/>
            </w:tcBorders>
            <w:vAlign w:val="center"/>
          </w:tcPr>
          <w:p w14:paraId="2E08875E"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150</w:t>
            </w:r>
          </w:p>
        </w:tc>
        <w:tc>
          <w:tcPr>
            <w:tcW w:w="416" w:type="pct"/>
            <w:tcBorders>
              <w:top w:val="single" w:sz="4" w:space="0" w:color="auto"/>
              <w:left w:val="single" w:sz="4" w:space="0" w:color="auto"/>
              <w:bottom w:val="single" w:sz="4" w:space="0" w:color="auto"/>
              <w:right w:val="single" w:sz="4" w:space="0" w:color="auto"/>
            </w:tcBorders>
            <w:vAlign w:val="center"/>
          </w:tcPr>
          <w:p w14:paraId="183DEDBA"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14:paraId="1AD5C47A"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15DF2FE0"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2E3C56A7"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4000-7500</w:t>
            </w:r>
          </w:p>
        </w:tc>
        <w:tc>
          <w:tcPr>
            <w:tcW w:w="434" w:type="pct"/>
            <w:tcBorders>
              <w:top w:val="single" w:sz="4" w:space="0" w:color="auto"/>
              <w:left w:val="single" w:sz="4" w:space="0" w:color="auto"/>
              <w:bottom w:val="single" w:sz="4" w:space="0" w:color="auto"/>
              <w:right w:val="single" w:sz="4" w:space="0" w:color="auto"/>
            </w:tcBorders>
            <w:vAlign w:val="center"/>
          </w:tcPr>
          <w:p w14:paraId="5BD519EF"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1950DACA"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1000</w:t>
            </w:r>
          </w:p>
        </w:tc>
      </w:tr>
      <w:tr w:rsidR="00035F5B" w:rsidRPr="00414E7D" w14:paraId="4620C74C"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152347C6"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Оренбургская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14:paraId="05853353"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300</w:t>
            </w:r>
          </w:p>
        </w:tc>
        <w:tc>
          <w:tcPr>
            <w:tcW w:w="413" w:type="pct"/>
            <w:tcBorders>
              <w:top w:val="single" w:sz="4" w:space="0" w:color="auto"/>
              <w:left w:val="single" w:sz="4" w:space="0" w:color="auto"/>
              <w:bottom w:val="single" w:sz="4" w:space="0" w:color="auto"/>
              <w:right w:val="single" w:sz="4" w:space="0" w:color="auto"/>
            </w:tcBorders>
            <w:vAlign w:val="center"/>
          </w:tcPr>
          <w:p w14:paraId="620EBA10"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600</w:t>
            </w:r>
          </w:p>
        </w:tc>
        <w:tc>
          <w:tcPr>
            <w:tcW w:w="390" w:type="pct"/>
            <w:tcBorders>
              <w:top w:val="single" w:sz="4" w:space="0" w:color="auto"/>
              <w:left w:val="single" w:sz="4" w:space="0" w:color="auto"/>
              <w:bottom w:val="single" w:sz="4" w:space="0" w:color="auto"/>
              <w:right w:val="single" w:sz="4" w:space="0" w:color="auto"/>
            </w:tcBorders>
            <w:vAlign w:val="center"/>
          </w:tcPr>
          <w:p w14:paraId="6A04D984"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450</w:t>
            </w:r>
          </w:p>
        </w:tc>
        <w:tc>
          <w:tcPr>
            <w:tcW w:w="420" w:type="pct"/>
            <w:tcBorders>
              <w:top w:val="single" w:sz="4" w:space="0" w:color="auto"/>
              <w:left w:val="single" w:sz="4" w:space="0" w:color="auto"/>
              <w:bottom w:val="single" w:sz="4" w:space="0" w:color="auto"/>
              <w:right w:val="single" w:sz="4" w:space="0" w:color="auto"/>
            </w:tcBorders>
            <w:vAlign w:val="center"/>
          </w:tcPr>
          <w:p w14:paraId="571997C2"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450</w:t>
            </w:r>
          </w:p>
        </w:tc>
        <w:tc>
          <w:tcPr>
            <w:tcW w:w="416" w:type="pct"/>
            <w:tcBorders>
              <w:top w:val="single" w:sz="4" w:space="0" w:color="auto"/>
              <w:left w:val="single" w:sz="4" w:space="0" w:color="auto"/>
              <w:bottom w:val="single" w:sz="4" w:space="0" w:color="auto"/>
              <w:right w:val="single" w:sz="4" w:space="0" w:color="auto"/>
            </w:tcBorders>
            <w:vAlign w:val="center"/>
          </w:tcPr>
          <w:p w14:paraId="0BDFE285"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14:paraId="2701B127"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06F5FEC9"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263C21CA"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6BE901C5"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64F5D607"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750</w:t>
            </w:r>
          </w:p>
        </w:tc>
      </w:tr>
      <w:tr w:rsidR="00035F5B" w:rsidRPr="00414E7D" w14:paraId="55DD1A9A"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728A9901"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Пензенская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14:paraId="4A1CB8DE" w14:textId="77777777" w:rsidR="00035F5B" w:rsidRPr="00414E7D" w:rsidRDefault="00035F5B" w:rsidP="00403B4B">
            <w:pPr>
              <w:spacing w:after="0" w:line="240" w:lineRule="auto"/>
              <w:ind w:right="57"/>
              <w:jc w:val="center"/>
              <w:rPr>
                <w:rFonts w:ascii="Times New Roman" w:hAnsi="Times New Roman"/>
              </w:rPr>
            </w:pPr>
            <w:r w:rsidRPr="00414E7D">
              <w:rPr>
                <w:rFonts w:ascii="Times New Roman" w:hAnsi="Times New Roman"/>
              </w:rPr>
              <w:t>3</w:t>
            </w:r>
            <w:r w:rsidR="00403B4B">
              <w:rPr>
                <w:rFonts w:ascii="Times New Roman" w:hAnsi="Times New Roman"/>
              </w:rPr>
              <w:t>3</w:t>
            </w:r>
            <w:r w:rsidRPr="00414E7D">
              <w:rPr>
                <w:rFonts w:ascii="Times New Roman" w:hAnsi="Times New Roman"/>
              </w:rPr>
              <w:t>6</w:t>
            </w:r>
          </w:p>
        </w:tc>
        <w:tc>
          <w:tcPr>
            <w:tcW w:w="413" w:type="pct"/>
            <w:tcBorders>
              <w:top w:val="single" w:sz="4" w:space="0" w:color="auto"/>
              <w:left w:val="single" w:sz="4" w:space="0" w:color="auto"/>
              <w:bottom w:val="single" w:sz="4" w:space="0" w:color="auto"/>
              <w:right w:val="single" w:sz="4" w:space="0" w:color="auto"/>
            </w:tcBorders>
            <w:vAlign w:val="center"/>
          </w:tcPr>
          <w:p w14:paraId="4AED0014" w14:textId="77777777" w:rsidR="00035F5B" w:rsidRPr="00414E7D" w:rsidRDefault="00035F5B" w:rsidP="00403B4B">
            <w:pPr>
              <w:spacing w:after="0" w:line="240" w:lineRule="auto"/>
              <w:ind w:right="57"/>
              <w:jc w:val="center"/>
              <w:rPr>
                <w:rFonts w:ascii="Times New Roman" w:hAnsi="Times New Roman"/>
              </w:rPr>
            </w:pPr>
            <w:r w:rsidRPr="00414E7D">
              <w:rPr>
                <w:rFonts w:ascii="Times New Roman" w:hAnsi="Times New Roman"/>
              </w:rPr>
              <w:t>6</w:t>
            </w:r>
            <w:r w:rsidR="00403B4B">
              <w:rPr>
                <w:rFonts w:ascii="Times New Roman" w:hAnsi="Times New Roman"/>
              </w:rPr>
              <w:t>7</w:t>
            </w:r>
            <w:r w:rsidRPr="00414E7D">
              <w:rPr>
                <w:rFonts w:ascii="Times New Roman" w:hAnsi="Times New Roman"/>
              </w:rPr>
              <w:t>2</w:t>
            </w:r>
          </w:p>
        </w:tc>
        <w:tc>
          <w:tcPr>
            <w:tcW w:w="390" w:type="pct"/>
            <w:tcBorders>
              <w:top w:val="single" w:sz="4" w:space="0" w:color="auto"/>
              <w:left w:val="single" w:sz="4" w:space="0" w:color="auto"/>
              <w:bottom w:val="single" w:sz="4" w:space="0" w:color="auto"/>
              <w:right w:val="single" w:sz="4" w:space="0" w:color="auto"/>
            </w:tcBorders>
            <w:vAlign w:val="center"/>
          </w:tcPr>
          <w:p w14:paraId="0128DA88" w14:textId="77777777" w:rsidR="00035F5B" w:rsidRPr="00414E7D" w:rsidRDefault="00403B4B" w:rsidP="00035F5B">
            <w:pPr>
              <w:spacing w:after="0" w:line="240" w:lineRule="auto"/>
              <w:ind w:right="57"/>
              <w:jc w:val="center"/>
              <w:rPr>
                <w:rFonts w:ascii="Times New Roman" w:hAnsi="Times New Roman"/>
              </w:rPr>
            </w:pPr>
            <w:r>
              <w:rPr>
                <w:rFonts w:ascii="Times New Roman" w:hAnsi="Times New Roman"/>
              </w:rPr>
              <w:t>50</w:t>
            </w:r>
            <w:r w:rsidR="00035F5B" w:rsidRPr="00414E7D">
              <w:rPr>
                <w:rFonts w:ascii="Times New Roman" w:hAnsi="Times New Roman"/>
              </w:rPr>
              <w:t>4</w:t>
            </w:r>
          </w:p>
        </w:tc>
        <w:tc>
          <w:tcPr>
            <w:tcW w:w="420" w:type="pct"/>
            <w:tcBorders>
              <w:top w:val="single" w:sz="4" w:space="0" w:color="auto"/>
              <w:left w:val="single" w:sz="4" w:space="0" w:color="auto"/>
              <w:bottom w:val="single" w:sz="4" w:space="0" w:color="auto"/>
              <w:right w:val="single" w:sz="4" w:space="0" w:color="auto"/>
            </w:tcBorders>
            <w:vAlign w:val="center"/>
          </w:tcPr>
          <w:p w14:paraId="17545007" w14:textId="77777777" w:rsidR="00035F5B" w:rsidRPr="00414E7D" w:rsidRDefault="00035F5B" w:rsidP="00403B4B">
            <w:pPr>
              <w:spacing w:after="0" w:line="240" w:lineRule="auto"/>
              <w:ind w:right="57"/>
              <w:jc w:val="center"/>
              <w:rPr>
                <w:rFonts w:ascii="Times New Roman" w:hAnsi="Times New Roman"/>
              </w:rPr>
            </w:pPr>
            <w:r w:rsidRPr="00414E7D">
              <w:rPr>
                <w:rFonts w:ascii="Times New Roman" w:hAnsi="Times New Roman"/>
              </w:rPr>
              <w:t>6</w:t>
            </w:r>
            <w:r w:rsidR="00403B4B">
              <w:rPr>
                <w:rFonts w:ascii="Times New Roman" w:hAnsi="Times New Roman"/>
              </w:rPr>
              <w:t>7</w:t>
            </w:r>
            <w:r w:rsidRPr="00414E7D">
              <w:rPr>
                <w:rFonts w:ascii="Times New Roman" w:hAnsi="Times New Roman"/>
              </w:rPr>
              <w:t>2</w:t>
            </w:r>
          </w:p>
        </w:tc>
        <w:tc>
          <w:tcPr>
            <w:tcW w:w="416" w:type="pct"/>
            <w:tcBorders>
              <w:top w:val="single" w:sz="4" w:space="0" w:color="auto"/>
              <w:left w:val="single" w:sz="4" w:space="0" w:color="auto"/>
              <w:bottom w:val="single" w:sz="4" w:space="0" w:color="auto"/>
              <w:right w:val="single" w:sz="4" w:space="0" w:color="auto"/>
            </w:tcBorders>
            <w:vAlign w:val="center"/>
          </w:tcPr>
          <w:p w14:paraId="188ECE00"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14:paraId="3981907B"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3A90A2E7"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59C63C67"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25081602"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4241155B"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71636C16"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1E5257EB"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Самарская область</w:t>
            </w:r>
            <w:r>
              <w:rPr>
                <w:rFonts w:ascii="Times New Roman" w:eastAsia="Times New Roman" w:hAnsi="Times New Roman" w:cs="Times New Roman"/>
                <w:sz w:val="24"/>
                <w:szCs w:val="24"/>
                <w:vertAlign w:val="superscript"/>
                <w:lang w:eastAsia="ru-RU"/>
              </w:rPr>
              <w:t>3</w:t>
            </w:r>
          </w:p>
        </w:tc>
        <w:tc>
          <w:tcPr>
            <w:tcW w:w="411" w:type="pct"/>
            <w:tcBorders>
              <w:top w:val="single" w:sz="4" w:space="0" w:color="auto"/>
              <w:left w:val="single" w:sz="4" w:space="0" w:color="auto"/>
              <w:bottom w:val="single" w:sz="4" w:space="0" w:color="auto"/>
              <w:right w:val="single" w:sz="4" w:space="0" w:color="auto"/>
            </w:tcBorders>
            <w:vAlign w:val="center"/>
          </w:tcPr>
          <w:p w14:paraId="5803A145"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200-380</w:t>
            </w:r>
          </w:p>
        </w:tc>
        <w:tc>
          <w:tcPr>
            <w:tcW w:w="413" w:type="pct"/>
            <w:tcBorders>
              <w:top w:val="single" w:sz="4" w:space="0" w:color="auto"/>
              <w:left w:val="single" w:sz="4" w:space="0" w:color="auto"/>
              <w:bottom w:val="single" w:sz="4" w:space="0" w:color="auto"/>
              <w:right w:val="single" w:sz="4" w:space="0" w:color="auto"/>
            </w:tcBorders>
            <w:vAlign w:val="center"/>
          </w:tcPr>
          <w:p w14:paraId="1E4EB82C"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400-660</w:t>
            </w:r>
          </w:p>
        </w:tc>
        <w:tc>
          <w:tcPr>
            <w:tcW w:w="390" w:type="pct"/>
            <w:tcBorders>
              <w:top w:val="single" w:sz="4" w:space="0" w:color="auto"/>
              <w:left w:val="single" w:sz="4" w:space="0" w:color="auto"/>
              <w:bottom w:val="single" w:sz="4" w:space="0" w:color="auto"/>
              <w:right w:val="single" w:sz="4" w:space="0" w:color="auto"/>
            </w:tcBorders>
            <w:vAlign w:val="center"/>
          </w:tcPr>
          <w:p w14:paraId="4CFC3D3C"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300-480</w:t>
            </w:r>
          </w:p>
        </w:tc>
        <w:tc>
          <w:tcPr>
            <w:tcW w:w="420" w:type="pct"/>
            <w:tcBorders>
              <w:top w:val="single" w:sz="4" w:space="0" w:color="auto"/>
              <w:left w:val="single" w:sz="4" w:space="0" w:color="auto"/>
              <w:bottom w:val="single" w:sz="4" w:space="0" w:color="auto"/>
              <w:right w:val="single" w:sz="4" w:space="0" w:color="auto"/>
            </w:tcBorders>
            <w:vAlign w:val="center"/>
          </w:tcPr>
          <w:p w14:paraId="03C60B0E"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300-480</w:t>
            </w:r>
          </w:p>
        </w:tc>
        <w:tc>
          <w:tcPr>
            <w:tcW w:w="416" w:type="pct"/>
            <w:tcBorders>
              <w:top w:val="single" w:sz="4" w:space="0" w:color="auto"/>
              <w:left w:val="single" w:sz="4" w:space="0" w:color="auto"/>
              <w:bottom w:val="single" w:sz="4" w:space="0" w:color="auto"/>
              <w:right w:val="single" w:sz="4" w:space="0" w:color="auto"/>
            </w:tcBorders>
            <w:vAlign w:val="center"/>
          </w:tcPr>
          <w:p w14:paraId="5FA2CCE9"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14:paraId="039BE2A9"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0E5322F9"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26715910"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657293E6"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77A0DDA1"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416C51DC"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0E3678EA"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Саратовская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14:paraId="5AC9524B" w14:textId="77777777" w:rsidR="00035F5B" w:rsidRPr="00414E7D" w:rsidRDefault="00035F5B" w:rsidP="00403B4B">
            <w:pPr>
              <w:spacing w:after="0" w:line="240" w:lineRule="auto"/>
              <w:ind w:right="57"/>
              <w:jc w:val="center"/>
              <w:rPr>
                <w:rFonts w:ascii="Times New Roman" w:hAnsi="Times New Roman"/>
              </w:rPr>
            </w:pPr>
            <w:r w:rsidRPr="00414E7D">
              <w:rPr>
                <w:rFonts w:ascii="Times New Roman" w:hAnsi="Times New Roman"/>
              </w:rPr>
              <w:t>4</w:t>
            </w:r>
            <w:r w:rsidR="00403B4B">
              <w:rPr>
                <w:rFonts w:ascii="Times New Roman" w:hAnsi="Times New Roman"/>
              </w:rPr>
              <w:t>80</w:t>
            </w:r>
          </w:p>
        </w:tc>
        <w:tc>
          <w:tcPr>
            <w:tcW w:w="413" w:type="pct"/>
            <w:tcBorders>
              <w:top w:val="single" w:sz="4" w:space="0" w:color="auto"/>
              <w:left w:val="single" w:sz="4" w:space="0" w:color="auto"/>
              <w:bottom w:val="single" w:sz="4" w:space="0" w:color="auto"/>
              <w:right w:val="single" w:sz="4" w:space="0" w:color="auto"/>
            </w:tcBorders>
            <w:vAlign w:val="center"/>
          </w:tcPr>
          <w:p w14:paraId="7866E44E" w14:textId="77777777" w:rsidR="00035F5B" w:rsidRPr="00414E7D" w:rsidRDefault="00035F5B" w:rsidP="00403B4B">
            <w:pPr>
              <w:spacing w:after="0" w:line="240" w:lineRule="auto"/>
              <w:ind w:right="57"/>
              <w:jc w:val="center"/>
              <w:rPr>
                <w:rFonts w:ascii="Times New Roman" w:hAnsi="Times New Roman"/>
              </w:rPr>
            </w:pPr>
            <w:r w:rsidRPr="00414E7D">
              <w:rPr>
                <w:rFonts w:ascii="Times New Roman" w:hAnsi="Times New Roman"/>
              </w:rPr>
              <w:t>9</w:t>
            </w:r>
            <w:r w:rsidR="00403B4B">
              <w:rPr>
                <w:rFonts w:ascii="Times New Roman" w:hAnsi="Times New Roman"/>
              </w:rPr>
              <w:t>60</w:t>
            </w:r>
          </w:p>
        </w:tc>
        <w:tc>
          <w:tcPr>
            <w:tcW w:w="390" w:type="pct"/>
            <w:tcBorders>
              <w:top w:val="single" w:sz="4" w:space="0" w:color="auto"/>
              <w:left w:val="single" w:sz="4" w:space="0" w:color="auto"/>
              <w:bottom w:val="single" w:sz="4" w:space="0" w:color="auto"/>
              <w:right w:val="single" w:sz="4" w:space="0" w:color="auto"/>
            </w:tcBorders>
            <w:vAlign w:val="center"/>
          </w:tcPr>
          <w:p w14:paraId="1E51751B" w14:textId="77777777" w:rsidR="00035F5B" w:rsidRPr="00414E7D" w:rsidRDefault="00403B4B" w:rsidP="00035F5B">
            <w:pPr>
              <w:spacing w:after="0" w:line="240" w:lineRule="auto"/>
              <w:ind w:right="57"/>
              <w:jc w:val="center"/>
              <w:rPr>
                <w:rFonts w:ascii="Times New Roman" w:hAnsi="Times New Roman"/>
              </w:rPr>
            </w:pPr>
            <w:r>
              <w:rPr>
                <w:rFonts w:ascii="Times New Roman" w:hAnsi="Times New Roman"/>
              </w:rPr>
              <w:t>720</w:t>
            </w:r>
          </w:p>
        </w:tc>
        <w:tc>
          <w:tcPr>
            <w:tcW w:w="420" w:type="pct"/>
            <w:tcBorders>
              <w:top w:val="single" w:sz="4" w:space="0" w:color="auto"/>
              <w:left w:val="single" w:sz="4" w:space="0" w:color="auto"/>
              <w:bottom w:val="single" w:sz="4" w:space="0" w:color="auto"/>
              <w:right w:val="single" w:sz="4" w:space="0" w:color="auto"/>
            </w:tcBorders>
            <w:vAlign w:val="center"/>
          </w:tcPr>
          <w:p w14:paraId="36064E86" w14:textId="77777777" w:rsidR="00035F5B" w:rsidRPr="00414E7D" w:rsidRDefault="00403B4B" w:rsidP="00035F5B">
            <w:pPr>
              <w:spacing w:after="0" w:line="240" w:lineRule="auto"/>
              <w:ind w:right="57"/>
              <w:jc w:val="center"/>
              <w:rPr>
                <w:rFonts w:ascii="Times New Roman" w:hAnsi="Times New Roman"/>
              </w:rPr>
            </w:pPr>
            <w:r>
              <w:rPr>
                <w:rFonts w:ascii="Times New Roman" w:hAnsi="Times New Roman"/>
              </w:rPr>
              <w:t>720</w:t>
            </w:r>
          </w:p>
        </w:tc>
        <w:tc>
          <w:tcPr>
            <w:tcW w:w="416" w:type="pct"/>
            <w:tcBorders>
              <w:top w:val="single" w:sz="4" w:space="0" w:color="auto"/>
              <w:left w:val="single" w:sz="4" w:space="0" w:color="auto"/>
              <w:bottom w:val="single" w:sz="4" w:space="0" w:color="auto"/>
              <w:right w:val="single" w:sz="4" w:space="0" w:color="auto"/>
            </w:tcBorders>
            <w:vAlign w:val="center"/>
          </w:tcPr>
          <w:p w14:paraId="2AFF299F" w14:textId="77777777" w:rsidR="00035F5B" w:rsidRPr="00414E7D" w:rsidRDefault="00403B4B" w:rsidP="00035F5B">
            <w:pPr>
              <w:spacing w:after="0" w:line="240" w:lineRule="auto"/>
              <w:ind w:right="57"/>
              <w:jc w:val="center"/>
              <w:rPr>
                <w:rFonts w:ascii="Times New Roman" w:hAnsi="Times New Roman"/>
              </w:rPr>
            </w:pPr>
            <w:r>
              <w:rPr>
                <w:rFonts w:ascii="Times New Roman" w:hAnsi="Times New Roman"/>
              </w:rPr>
              <w:t>720</w:t>
            </w:r>
          </w:p>
        </w:tc>
        <w:tc>
          <w:tcPr>
            <w:tcW w:w="421" w:type="pct"/>
            <w:tcBorders>
              <w:top w:val="single" w:sz="4" w:space="0" w:color="auto"/>
              <w:left w:val="single" w:sz="4" w:space="0" w:color="auto"/>
              <w:bottom w:val="single" w:sz="4" w:space="0" w:color="auto"/>
              <w:right w:val="single" w:sz="4" w:space="0" w:color="auto"/>
            </w:tcBorders>
            <w:vAlign w:val="center"/>
          </w:tcPr>
          <w:p w14:paraId="19EC826B"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21540B8E"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304C0168" w14:textId="77777777" w:rsidR="00035F5B" w:rsidRPr="00414E7D" w:rsidRDefault="00035F5B" w:rsidP="00035F5B">
            <w:pPr>
              <w:spacing w:after="0" w:line="240" w:lineRule="auto"/>
              <w:ind w:right="57"/>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14:paraId="6EDEBCCF"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71FE3CB8"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184E8E4D"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738D37DD"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Ульяновская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14:paraId="0BA51C6A"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200</w:t>
            </w:r>
          </w:p>
        </w:tc>
        <w:tc>
          <w:tcPr>
            <w:tcW w:w="413" w:type="pct"/>
            <w:tcBorders>
              <w:top w:val="single" w:sz="4" w:space="0" w:color="auto"/>
              <w:left w:val="single" w:sz="4" w:space="0" w:color="auto"/>
              <w:bottom w:val="single" w:sz="4" w:space="0" w:color="auto"/>
              <w:right w:val="single" w:sz="4" w:space="0" w:color="auto"/>
            </w:tcBorders>
            <w:vAlign w:val="center"/>
          </w:tcPr>
          <w:p w14:paraId="583FBD30"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400</w:t>
            </w:r>
          </w:p>
        </w:tc>
        <w:tc>
          <w:tcPr>
            <w:tcW w:w="390" w:type="pct"/>
            <w:tcBorders>
              <w:top w:val="single" w:sz="4" w:space="0" w:color="auto"/>
              <w:left w:val="single" w:sz="4" w:space="0" w:color="auto"/>
              <w:bottom w:val="single" w:sz="4" w:space="0" w:color="auto"/>
              <w:right w:val="single" w:sz="4" w:space="0" w:color="auto"/>
            </w:tcBorders>
            <w:vAlign w:val="center"/>
          </w:tcPr>
          <w:p w14:paraId="2049BA7F"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300</w:t>
            </w:r>
          </w:p>
        </w:tc>
        <w:tc>
          <w:tcPr>
            <w:tcW w:w="420" w:type="pct"/>
            <w:tcBorders>
              <w:top w:val="single" w:sz="4" w:space="0" w:color="auto"/>
              <w:left w:val="single" w:sz="4" w:space="0" w:color="auto"/>
              <w:bottom w:val="single" w:sz="4" w:space="0" w:color="auto"/>
              <w:right w:val="single" w:sz="4" w:space="0" w:color="auto"/>
            </w:tcBorders>
            <w:vAlign w:val="center"/>
          </w:tcPr>
          <w:p w14:paraId="47846EBB"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300</w:t>
            </w:r>
          </w:p>
        </w:tc>
        <w:tc>
          <w:tcPr>
            <w:tcW w:w="416" w:type="pct"/>
            <w:tcBorders>
              <w:top w:val="single" w:sz="4" w:space="0" w:color="auto"/>
              <w:left w:val="single" w:sz="4" w:space="0" w:color="auto"/>
              <w:bottom w:val="single" w:sz="4" w:space="0" w:color="auto"/>
              <w:right w:val="single" w:sz="4" w:space="0" w:color="auto"/>
            </w:tcBorders>
            <w:vAlign w:val="center"/>
          </w:tcPr>
          <w:p w14:paraId="3E98D88C"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14:paraId="08B839D2"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1E8EE14B"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6A65AFF8"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300</w:t>
            </w:r>
          </w:p>
        </w:tc>
        <w:tc>
          <w:tcPr>
            <w:tcW w:w="434" w:type="pct"/>
            <w:tcBorders>
              <w:top w:val="single" w:sz="4" w:space="0" w:color="auto"/>
              <w:left w:val="single" w:sz="4" w:space="0" w:color="auto"/>
              <w:bottom w:val="single" w:sz="4" w:space="0" w:color="auto"/>
              <w:right w:val="single" w:sz="4" w:space="0" w:color="auto"/>
            </w:tcBorders>
            <w:vAlign w:val="center"/>
          </w:tcPr>
          <w:p w14:paraId="5A1C9FFF"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1732F0DA"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522E8739"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18B5CECE" w14:textId="77777777" w:rsidR="00035F5B" w:rsidRPr="00414E7D" w:rsidRDefault="00035F5B" w:rsidP="00035F5B">
            <w:pPr>
              <w:spacing w:after="0" w:line="240" w:lineRule="auto"/>
              <w:rPr>
                <w:rFonts w:ascii="Times New Roman" w:eastAsia="Arial Unicode MS" w:hAnsi="Times New Roman" w:cs="Times New Roman"/>
                <w:b/>
                <w:sz w:val="24"/>
                <w:szCs w:val="24"/>
                <w:lang w:eastAsia="ru-RU"/>
              </w:rPr>
            </w:pPr>
            <w:r w:rsidRPr="00414E7D">
              <w:rPr>
                <w:rFonts w:ascii="Times New Roman" w:eastAsia="Times New Roman" w:hAnsi="Times New Roman" w:cs="Times New Roman"/>
                <w:b/>
                <w:sz w:val="24"/>
                <w:szCs w:val="24"/>
                <w:lang w:eastAsia="ru-RU"/>
              </w:rPr>
              <w:t>Уральский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14:paraId="11CB7C78"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3" w:type="pct"/>
            <w:tcBorders>
              <w:top w:val="single" w:sz="4" w:space="0" w:color="auto"/>
              <w:left w:val="single" w:sz="4" w:space="0" w:color="auto"/>
              <w:bottom w:val="single" w:sz="4" w:space="0" w:color="auto"/>
              <w:right w:val="single" w:sz="4" w:space="0" w:color="auto"/>
            </w:tcBorders>
            <w:vAlign w:val="center"/>
          </w:tcPr>
          <w:p w14:paraId="4672D3F2"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0" w:type="pct"/>
            <w:tcBorders>
              <w:top w:val="single" w:sz="4" w:space="0" w:color="auto"/>
              <w:left w:val="single" w:sz="4" w:space="0" w:color="auto"/>
              <w:bottom w:val="single" w:sz="4" w:space="0" w:color="auto"/>
              <w:right w:val="single" w:sz="4" w:space="0" w:color="auto"/>
            </w:tcBorders>
            <w:vAlign w:val="center"/>
          </w:tcPr>
          <w:p w14:paraId="3E39C846"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vAlign w:val="center"/>
          </w:tcPr>
          <w:p w14:paraId="49C50BB5"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6" w:type="pct"/>
            <w:tcBorders>
              <w:top w:val="single" w:sz="4" w:space="0" w:color="auto"/>
              <w:left w:val="single" w:sz="4" w:space="0" w:color="auto"/>
              <w:bottom w:val="single" w:sz="4" w:space="0" w:color="auto"/>
              <w:right w:val="single" w:sz="4" w:space="0" w:color="auto"/>
            </w:tcBorders>
            <w:vAlign w:val="center"/>
          </w:tcPr>
          <w:p w14:paraId="275EF646"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14:paraId="011A94E7"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73CF219B"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6C492048"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4C6861F7"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5B832BA7"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1FFA8554"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5E068294"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Курганская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14:paraId="3ACC3EAF" w14:textId="77777777" w:rsidR="00035F5B" w:rsidRPr="00414E7D" w:rsidRDefault="00D8515D" w:rsidP="00035F5B">
            <w:pPr>
              <w:spacing w:after="0" w:line="240" w:lineRule="auto"/>
              <w:ind w:right="57"/>
              <w:jc w:val="center"/>
              <w:rPr>
                <w:rFonts w:ascii="Times New Roman" w:hAnsi="Times New Roman"/>
              </w:rPr>
            </w:pPr>
            <w:r>
              <w:rPr>
                <w:rFonts w:ascii="Times New Roman" w:hAnsi="Times New Roman"/>
              </w:rPr>
              <w:t>303</w:t>
            </w:r>
          </w:p>
        </w:tc>
        <w:tc>
          <w:tcPr>
            <w:tcW w:w="413" w:type="pct"/>
            <w:tcBorders>
              <w:top w:val="single" w:sz="4" w:space="0" w:color="auto"/>
              <w:left w:val="single" w:sz="4" w:space="0" w:color="auto"/>
              <w:bottom w:val="single" w:sz="4" w:space="0" w:color="auto"/>
              <w:right w:val="single" w:sz="4" w:space="0" w:color="auto"/>
            </w:tcBorders>
            <w:vAlign w:val="center"/>
          </w:tcPr>
          <w:p w14:paraId="488D8E06" w14:textId="77777777" w:rsidR="00035F5B" w:rsidRPr="00414E7D" w:rsidRDefault="00D8515D" w:rsidP="00035F5B">
            <w:pPr>
              <w:spacing w:after="0" w:line="240" w:lineRule="auto"/>
              <w:ind w:right="57"/>
              <w:jc w:val="center"/>
              <w:rPr>
                <w:rFonts w:ascii="Times New Roman" w:hAnsi="Times New Roman"/>
              </w:rPr>
            </w:pPr>
            <w:r>
              <w:rPr>
                <w:rFonts w:ascii="Times New Roman" w:hAnsi="Times New Roman"/>
              </w:rPr>
              <w:t>606</w:t>
            </w:r>
          </w:p>
        </w:tc>
        <w:tc>
          <w:tcPr>
            <w:tcW w:w="390" w:type="pct"/>
            <w:tcBorders>
              <w:top w:val="single" w:sz="4" w:space="0" w:color="auto"/>
              <w:left w:val="single" w:sz="4" w:space="0" w:color="auto"/>
              <w:bottom w:val="single" w:sz="4" w:space="0" w:color="auto"/>
              <w:right w:val="single" w:sz="4" w:space="0" w:color="auto"/>
            </w:tcBorders>
            <w:vAlign w:val="center"/>
          </w:tcPr>
          <w:p w14:paraId="798E5CD6" w14:textId="77777777" w:rsidR="00035F5B" w:rsidRPr="00414E7D" w:rsidRDefault="00035F5B" w:rsidP="00D8515D">
            <w:pPr>
              <w:spacing w:after="0" w:line="240" w:lineRule="auto"/>
              <w:ind w:right="57"/>
              <w:jc w:val="center"/>
              <w:rPr>
                <w:rFonts w:ascii="Times New Roman" w:hAnsi="Times New Roman"/>
              </w:rPr>
            </w:pPr>
            <w:r w:rsidRPr="00414E7D">
              <w:rPr>
                <w:rFonts w:ascii="Times New Roman" w:hAnsi="Times New Roman"/>
              </w:rPr>
              <w:t>4</w:t>
            </w:r>
            <w:r w:rsidR="00D8515D">
              <w:rPr>
                <w:rFonts w:ascii="Times New Roman" w:hAnsi="Times New Roman"/>
              </w:rPr>
              <w:t>54</w:t>
            </w:r>
          </w:p>
        </w:tc>
        <w:tc>
          <w:tcPr>
            <w:tcW w:w="420" w:type="pct"/>
            <w:tcBorders>
              <w:top w:val="single" w:sz="4" w:space="0" w:color="auto"/>
              <w:left w:val="single" w:sz="4" w:space="0" w:color="auto"/>
              <w:bottom w:val="single" w:sz="4" w:space="0" w:color="auto"/>
              <w:right w:val="single" w:sz="4" w:space="0" w:color="auto"/>
            </w:tcBorders>
            <w:vAlign w:val="center"/>
          </w:tcPr>
          <w:p w14:paraId="658C63B8" w14:textId="77777777" w:rsidR="00035F5B" w:rsidRPr="00414E7D" w:rsidRDefault="00035F5B" w:rsidP="00D8515D">
            <w:pPr>
              <w:spacing w:after="0" w:line="240" w:lineRule="auto"/>
              <w:ind w:right="57"/>
              <w:jc w:val="center"/>
              <w:rPr>
                <w:rFonts w:ascii="Times New Roman" w:hAnsi="Times New Roman"/>
              </w:rPr>
            </w:pPr>
            <w:r w:rsidRPr="00414E7D">
              <w:rPr>
                <w:rFonts w:ascii="Times New Roman" w:hAnsi="Times New Roman"/>
              </w:rPr>
              <w:t>4</w:t>
            </w:r>
            <w:r w:rsidR="00D8515D">
              <w:rPr>
                <w:rFonts w:ascii="Times New Roman" w:hAnsi="Times New Roman"/>
              </w:rPr>
              <w:t>54</w:t>
            </w:r>
          </w:p>
        </w:tc>
        <w:tc>
          <w:tcPr>
            <w:tcW w:w="416" w:type="pct"/>
            <w:tcBorders>
              <w:top w:val="single" w:sz="4" w:space="0" w:color="auto"/>
              <w:left w:val="single" w:sz="4" w:space="0" w:color="auto"/>
              <w:bottom w:val="single" w:sz="4" w:space="0" w:color="auto"/>
              <w:right w:val="single" w:sz="4" w:space="0" w:color="auto"/>
            </w:tcBorders>
            <w:vAlign w:val="center"/>
          </w:tcPr>
          <w:p w14:paraId="55DA6BED"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14:paraId="376B3405"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26B78440"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69595C52"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2437A429"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05A181BB"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20E1ED92"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68D9A94D"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Свердловская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14:paraId="0140DB40" w14:textId="77777777" w:rsidR="00035F5B" w:rsidRPr="00414E7D" w:rsidRDefault="00035F5B" w:rsidP="00D8515D">
            <w:pPr>
              <w:spacing w:after="0" w:line="240" w:lineRule="auto"/>
              <w:ind w:right="57"/>
              <w:jc w:val="center"/>
              <w:rPr>
                <w:rFonts w:ascii="Times New Roman" w:hAnsi="Times New Roman"/>
              </w:rPr>
            </w:pPr>
            <w:r w:rsidRPr="00414E7D">
              <w:rPr>
                <w:rFonts w:ascii="Times New Roman" w:hAnsi="Times New Roman"/>
              </w:rPr>
              <w:t>5</w:t>
            </w:r>
            <w:r w:rsidR="00D8515D">
              <w:rPr>
                <w:rFonts w:ascii="Times New Roman" w:hAnsi="Times New Roman"/>
              </w:rPr>
              <w:t>45</w:t>
            </w:r>
          </w:p>
        </w:tc>
        <w:tc>
          <w:tcPr>
            <w:tcW w:w="413" w:type="pct"/>
            <w:tcBorders>
              <w:top w:val="single" w:sz="4" w:space="0" w:color="auto"/>
              <w:left w:val="single" w:sz="4" w:space="0" w:color="auto"/>
              <w:bottom w:val="single" w:sz="4" w:space="0" w:color="auto"/>
              <w:right w:val="single" w:sz="4" w:space="0" w:color="auto"/>
            </w:tcBorders>
            <w:vAlign w:val="center"/>
          </w:tcPr>
          <w:p w14:paraId="3027C56C" w14:textId="77777777" w:rsidR="00035F5B" w:rsidRPr="00414E7D" w:rsidRDefault="00035F5B" w:rsidP="00D8515D">
            <w:pPr>
              <w:spacing w:after="0" w:line="240" w:lineRule="auto"/>
              <w:ind w:right="57"/>
              <w:jc w:val="center"/>
              <w:rPr>
                <w:rFonts w:ascii="Times New Roman" w:hAnsi="Times New Roman"/>
              </w:rPr>
            </w:pPr>
            <w:r w:rsidRPr="00414E7D">
              <w:rPr>
                <w:rFonts w:ascii="Times New Roman" w:hAnsi="Times New Roman"/>
              </w:rPr>
              <w:t>10</w:t>
            </w:r>
            <w:r w:rsidR="00D8515D">
              <w:rPr>
                <w:rFonts w:ascii="Times New Roman" w:hAnsi="Times New Roman"/>
              </w:rPr>
              <w:t>91</w:t>
            </w:r>
          </w:p>
        </w:tc>
        <w:tc>
          <w:tcPr>
            <w:tcW w:w="390" w:type="pct"/>
            <w:tcBorders>
              <w:top w:val="single" w:sz="4" w:space="0" w:color="auto"/>
              <w:left w:val="single" w:sz="4" w:space="0" w:color="auto"/>
              <w:bottom w:val="single" w:sz="4" w:space="0" w:color="auto"/>
              <w:right w:val="single" w:sz="4" w:space="0" w:color="auto"/>
            </w:tcBorders>
            <w:vAlign w:val="center"/>
          </w:tcPr>
          <w:p w14:paraId="00CD894B" w14:textId="77777777" w:rsidR="00035F5B" w:rsidRPr="00414E7D" w:rsidRDefault="00D8515D" w:rsidP="00035F5B">
            <w:pPr>
              <w:spacing w:after="0" w:line="240" w:lineRule="auto"/>
              <w:ind w:right="57"/>
              <w:jc w:val="center"/>
              <w:rPr>
                <w:rFonts w:ascii="Times New Roman" w:hAnsi="Times New Roman"/>
              </w:rPr>
            </w:pPr>
            <w:r>
              <w:rPr>
                <w:rFonts w:ascii="Times New Roman" w:hAnsi="Times New Roman"/>
              </w:rPr>
              <w:t>818</w:t>
            </w:r>
          </w:p>
        </w:tc>
        <w:tc>
          <w:tcPr>
            <w:tcW w:w="420" w:type="pct"/>
            <w:tcBorders>
              <w:top w:val="single" w:sz="4" w:space="0" w:color="auto"/>
              <w:left w:val="single" w:sz="4" w:space="0" w:color="auto"/>
              <w:bottom w:val="single" w:sz="4" w:space="0" w:color="auto"/>
              <w:right w:val="single" w:sz="4" w:space="0" w:color="auto"/>
            </w:tcBorders>
            <w:vAlign w:val="center"/>
          </w:tcPr>
          <w:p w14:paraId="6818C50B" w14:textId="77777777" w:rsidR="00035F5B" w:rsidRPr="00414E7D" w:rsidRDefault="00D8515D" w:rsidP="00035F5B">
            <w:pPr>
              <w:spacing w:after="0" w:line="240" w:lineRule="auto"/>
              <w:ind w:right="57"/>
              <w:jc w:val="center"/>
              <w:rPr>
                <w:rFonts w:ascii="Times New Roman" w:hAnsi="Times New Roman"/>
              </w:rPr>
            </w:pPr>
            <w:r>
              <w:rPr>
                <w:rFonts w:ascii="Times New Roman" w:hAnsi="Times New Roman"/>
              </w:rPr>
              <w:t>818</w:t>
            </w:r>
          </w:p>
        </w:tc>
        <w:tc>
          <w:tcPr>
            <w:tcW w:w="416" w:type="pct"/>
            <w:tcBorders>
              <w:top w:val="single" w:sz="4" w:space="0" w:color="auto"/>
              <w:left w:val="single" w:sz="4" w:space="0" w:color="auto"/>
              <w:bottom w:val="single" w:sz="4" w:space="0" w:color="auto"/>
              <w:right w:val="single" w:sz="4" w:space="0" w:color="auto"/>
            </w:tcBorders>
            <w:vAlign w:val="center"/>
          </w:tcPr>
          <w:p w14:paraId="194C2170" w14:textId="77777777" w:rsidR="00035F5B" w:rsidRPr="00414E7D" w:rsidRDefault="00035F5B" w:rsidP="00D8515D">
            <w:pPr>
              <w:spacing w:after="0" w:line="240" w:lineRule="auto"/>
              <w:ind w:right="57"/>
              <w:jc w:val="center"/>
              <w:rPr>
                <w:rFonts w:ascii="Times New Roman" w:hAnsi="Times New Roman"/>
              </w:rPr>
            </w:pPr>
            <w:r w:rsidRPr="00414E7D">
              <w:rPr>
                <w:rFonts w:ascii="Times New Roman" w:hAnsi="Times New Roman"/>
              </w:rPr>
              <w:t>21</w:t>
            </w:r>
            <w:r w:rsidR="00D8515D">
              <w:rPr>
                <w:rFonts w:ascii="Times New Roman" w:hAnsi="Times New Roman"/>
              </w:rPr>
              <w:t>82</w:t>
            </w:r>
          </w:p>
        </w:tc>
        <w:tc>
          <w:tcPr>
            <w:tcW w:w="421" w:type="pct"/>
            <w:tcBorders>
              <w:top w:val="single" w:sz="4" w:space="0" w:color="auto"/>
              <w:left w:val="single" w:sz="4" w:space="0" w:color="auto"/>
              <w:bottom w:val="single" w:sz="4" w:space="0" w:color="auto"/>
              <w:right w:val="single" w:sz="4" w:space="0" w:color="auto"/>
            </w:tcBorders>
            <w:vAlign w:val="center"/>
          </w:tcPr>
          <w:p w14:paraId="18AB7246"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044B9DD5"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63F2A2E8"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6E6096C3"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0A84BA0B"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4B97101E"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1663CF03"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Тюменская область без авт. округов</w:t>
            </w:r>
          </w:p>
        </w:tc>
        <w:tc>
          <w:tcPr>
            <w:tcW w:w="411" w:type="pct"/>
            <w:tcBorders>
              <w:top w:val="single" w:sz="4" w:space="0" w:color="auto"/>
              <w:left w:val="single" w:sz="4" w:space="0" w:color="auto"/>
              <w:bottom w:val="single" w:sz="4" w:space="0" w:color="auto"/>
              <w:right w:val="single" w:sz="4" w:space="0" w:color="auto"/>
            </w:tcBorders>
            <w:vAlign w:val="center"/>
          </w:tcPr>
          <w:p w14:paraId="0E0958D2" w14:textId="77777777" w:rsidR="00035F5B" w:rsidRPr="00414E7D" w:rsidRDefault="00AD4EF5" w:rsidP="00AD4EF5">
            <w:pPr>
              <w:spacing w:after="0" w:line="240" w:lineRule="auto"/>
              <w:ind w:right="57"/>
              <w:jc w:val="center"/>
              <w:rPr>
                <w:rFonts w:ascii="Times New Roman" w:hAnsi="Times New Roman"/>
              </w:rPr>
            </w:pPr>
            <w:r>
              <w:rPr>
                <w:rFonts w:ascii="Times New Roman" w:hAnsi="Times New Roman"/>
              </w:rPr>
              <w:t>583</w:t>
            </w:r>
          </w:p>
        </w:tc>
        <w:tc>
          <w:tcPr>
            <w:tcW w:w="413" w:type="pct"/>
            <w:tcBorders>
              <w:top w:val="single" w:sz="4" w:space="0" w:color="auto"/>
              <w:left w:val="single" w:sz="4" w:space="0" w:color="auto"/>
              <w:bottom w:val="single" w:sz="4" w:space="0" w:color="auto"/>
              <w:right w:val="single" w:sz="4" w:space="0" w:color="auto"/>
            </w:tcBorders>
            <w:vAlign w:val="center"/>
          </w:tcPr>
          <w:p w14:paraId="17A122A5"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583</w:t>
            </w:r>
          </w:p>
        </w:tc>
        <w:tc>
          <w:tcPr>
            <w:tcW w:w="390" w:type="pct"/>
            <w:tcBorders>
              <w:top w:val="single" w:sz="4" w:space="0" w:color="auto"/>
              <w:left w:val="single" w:sz="4" w:space="0" w:color="auto"/>
              <w:bottom w:val="single" w:sz="4" w:space="0" w:color="auto"/>
              <w:right w:val="single" w:sz="4" w:space="0" w:color="auto"/>
            </w:tcBorders>
            <w:vAlign w:val="center"/>
          </w:tcPr>
          <w:p w14:paraId="1BBAC9D1"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583</w:t>
            </w:r>
          </w:p>
        </w:tc>
        <w:tc>
          <w:tcPr>
            <w:tcW w:w="420" w:type="pct"/>
            <w:tcBorders>
              <w:top w:val="single" w:sz="4" w:space="0" w:color="auto"/>
              <w:left w:val="single" w:sz="4" w:space="0" w:color="auto"/>
              <w:bottom w:val="single" w:sz="4" w:space="0" w:color="auto"/>
              <w:right w:val="single" w:sz="4" w:space="0" w:color="auto"/>
            </w:tcBorders>
            <w:vAlign w:val="center"/>
          </w:tcPr>
          <w:p w14:paraId="67DD2167"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583</w:t>
            </w:r>
          </w:p>
        </w:tc>
        <w:tc>
          <w:tcPr>
            <w:tcW w:w="416" w:type="pct"/>
            <w:tcBorders>
              <w:top w:val="single" w:sz="4" w:space="0" w:color="auto"/>
              <w:left w:val="single" w:sz="4" w:space="0" w:color="auto"/>
              <w:bottom w:val="single" w:sz="4" w:space="0" w:color="auto"/>
              <w:right w:val="single" w:sz="4" w:space="0" w:color="auto"/>
            </w:tcBorders>
            <w:vAlign w:val="center"/>
          </w:tcPr>
          <w:p w14:paraId="29575B63"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14:paraId="1759BF2E"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690815DC"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763B8411"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644676A3"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7E422BCB"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79E79EA6"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7D523506" w14:textId="77777777" w:rsidR="00035F5B" w:rsidRPr="00414E7D" w:rsidRDefault="00035F5B" w:rsidP="00035F5B">
            <w:pPr>
              <w:spacing w:after="0" w:line="240" w:lineRule="auto"/>
              <w:ind w:left="142"/>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 xml:space="preserve">Ханты-Мансийский </w:t>
            </w:r>
            <w:r w:rsidRPr="00414E7D">
              <w:rPr>
                <w:rFonts w:ascii="Times New Roman" w:eastAsia="Times New Roman" w:hAnsi="Times New Roman" w:cs="Times New Roman"/>
                <w:sz w:val="24"/>
                <w:szCs w:val="24"/>
                <w:lang w:eastAsia="ru-RU"/>
              </w:rPr>
              <w:br/>
              <w:t>авт. округ - Югра</w:t>
            </w:r>
          </w:p>
        </w:tc>
        <w:tc>
          <w:tcPr>
            <w:tcW w:w="411" w:type="pct"/>
            <w:tcBorders>
              <w:top w:val="single" w:sz="4" w:space="0" w:color="auto"/>
              <w:left w:val="single" w:sz="4" w:space="0" w:color="auto"/>
              <w:bottom w:val="single" w:sz="4" w:space="0" w:color="auto"/>
              <w:right w:val="single" w:sz="4" w:space="0" w:color="auto"/>
            </w:tcBorders>
            <w:vAlign w:val="center"/>
          </w:tcPr>
          <w:p w14:paraId="55C9171F" w14:textId="77777777" w:rsidR="00035F5B" w:rsidRPr="00414E7D" w:rsidRDefault="00035F5B" w:rsidP="00035F5B">
            <w:pPr>
              <w:spacing w:after="0" w:line="240" w:lineRule="auto"/>
              <w:ind w:right="57"/>
              <w:jc w:val="center"/>
              <w:rPr>
                <w:rFonts w:ascii="Times New Roman" w:hAnsi="Times New Roman"/>
              </w:rPr>
            </w:pPr>
            <w:r>
              <w:rPr>
                <w:rFonts w:ascii="Times New Roman" w:hAnsi="Times New Roman"/>
              </w:rPr>
              <w:t>-</w:t>
            </w:r>
          </w:p>
        </w:tc>
        <w:tc>
          <w:tcPr>
            <w:tcW w:w="413" w:type="pct"/>
            <w:tcBorders>
              <w:top w:val="single" w:sz="4" w:space="0" w:color="auto"/>
              <w:left w:val="single" w:sz="4" w:space="0" w:color="auto"/>
              <w:bottom w:val="single" w:sz="4" w:space="0" w:color="auto"/>
              <w:right w:val="single" w:sz="4" w:space="0" w:color="auto"/>
            </w:tcBorders>
            <w:vAlign w:val="center"/>
          </w:tcPr>
          <w:p w14:paraId="1E88E87D" w14:textId="77777777" w:rsidR="00035F5B" w:rsidRPr="00414E7D" w:rsidRDefault="00035F5B" w:rsidP="00035F5B">
            <w:pPr>
              <w:spacing w:after="0" w:line="240" w:lineRule="auto"/>
              <w:ind w:right="57"/>
              <w:jc w:val="center"/>
              <w:rPr>
                <w:rFonts w:ascii="Times New Roman" w:hAnsi="Times New Roman"/>
              </w:rPr>
            </w:pPr>
            <w:r>
              <w:rPr>
                <w:rFonts w:ascii="Times New Roman" w:hAnsi="Times New Roman"/>
              </w:rPr>
              <w:t>-</w:t>
            </w:r>
          </w:p>
        </w:tc>
        <w:tc>
          <w:tcPr>
            <w:tcW w:w="390" w:type="pct"/>
            <w:tcBorders>
              <w:top w:val="single" w:sz="4" w:space="0" w:color="auto"/>
              <w:left w:val="single" w:sz="4" w:space="0" w:color="auto"/>
              <w:bottom w:val="single" w:sz="4" w:space="0" w:color="auto"/>
              <w:right w:val="single" w:sz="4" w:space="0" w:color="auto"/>
            </w:tcBorders>
            <w:vAlign w:val="center"/>
          </w:tcPr>
          <w:p w14:paraId="054BD04A" w14:textId="77777777" w:rsidR="00035F5B" w:rsidRPr="00414E7D" w:rsidRDefault="00035F5B" w:rsidP="00D8515D">
            <w:pPr>
              <w:spacing w:after="0" w:line="240" w:lineRule="auto"/>
              <w:ind w:right="57"/>
              <w:jc w:val="center"/>
              <w:rPr>
                <w:rFonts w:ascii="Times New Roman" w:hAnsi="Times New Roman"/>
              </w:rPr>
            </w:pPr>
            <w:r>
              <w:rPr>
                <w:rFonts w:ascii="Times New Roman" w:hAnsi="Times New Roman"/>
              </w:rPr>
              <w:t>10</w:t>
            </w:r>
            <w:r w:rsidR="00D8515D">
              <w:rPr>
                <w:rFonts w:ascii="Times New Roman" w:hAnsi="Times New Roman"/>
              </w:rPr>
              <w:t>40</w:t>
            </w:r>
          </w:p>
        </w:tc>
        <w:tc>
          <w:tcPr>
            <w:tcW w:w="420" w:type="pct"/>
            <w:tcBorders>
              <w:top w:val="single" w:sz="4" w:space="0" w:color="auto"/>
              <w:left w:val="single" w:sz="4" w:space="0" w:color="auto"/>
              <w:bottom w:val="single" w:sz="4" w:space="0" w:color="auto"/>
              <w:right w:val="single" w:sz="4" w:space="0" w:color="auto"/>
            </w:tcBorders>
            <w:vAlign w:val="center"/>
          </w:tcPr>
          <w:p w14:paraId="4882684C"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6" w:type="pct"/>
            <w:tcBorders>
              <w:top w:val="single" w:sz="4" w:space="0" w:color="auto"/>
              <w:left w:val="single" w:sz="4" w:space="0" w:color="auto"/>
              <w:bottom w:val="single" w:sz="4" w:space="0" w:color="auto"/>
              <w:right w:val="single" w:sz="4" w:space="0" w:color="auto"/>
            </w:tcBorders>
            <w:vAlign w:val="center"/>
          </w:tcPr>
          <w:p w14:paraId="4DE7F50A"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14:paraId="56B05AC5"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4697251D"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2F779271" w14:textId="77777777" w:rsidR="00035F5B" w:rsidRPr="00414E7D" w:rsidRDefault="00D8515D" w:rsidP="00035F5B">
            <w:pPr>
              <w:spacing w:after="0" w:line="240" w:lineRule="auto"/>
              <w:ind w:right="57"/>
              <w:jc w:val="center"/>
              <w:rPr>
                <w:rFonts w:ascii="Times New Roman" w:hAnsi="Times New Roman"/>
              </w:rPr>
            </w:pPr>
            <w:r>
              <w:rPr>
                <w:rFonts w:ascii="Times New Roman" w:hAnsi="Times New Roman"/>
              </w:rPr>
              <w:t>2040</w:t>
            </w:r>
          </w:p>
        </w:tc>
        <w:tc>
          <w:tcPr>
            <w:tcW w:w="434" w:type="pct"/>
            <w:tcBorders>
              <w:top w:val="single" w:sz="4" w:space="0" w:color="auto"/>
              <w:left w:val="single" w:sz="4" w:space="0" w:color="auto"/>
              <w:bottom w:val="single" w:sz="4" w:space="0" w:color="auto"/>
              <w:right w:val="single" w:sz="4" w:space="0" w:color="auto"/>
            </w:tcBorders>
            <w:vAlign w:val="center"/>
          </w:tcPr>
          <w:p w14:paraId="1939C8C7"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58D837F5" w14:textId="77777777" w:rsidR="00035F5B" w:rsidRPr="00414E7D" w:rsidRDefault="00D8515D" w:rsidP="00035F5B">
            <w:pPr>
              <w:spacing w:after="0" w:line="240" w:lineRule="auto"/>
              <w:ind w:right="57"/>
              <w:jc w:val="center"/>
              <w:rPr>
                <w:rFonts w:ascii="Times New Roman" w:hAnsi="Times New Roman"/>
              </w:rPr>
            </w:pPr>
            <w:r>
              <w:rPr>
                <w:rFonts w:ascii="Times New Roman" w:hAnsi="Times New Roman"/>
              </w:rPr>
              <w:t>1040</w:t>
            </w:r>
          </w:p>
        </w:tc>
      </w:tr>
      <w:tr w:rsidR="00035F5B" w:rsidRPr="00414E7D" w14:paraId="6D2B6041"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45BE2EAE" w14:textId="77777777" w:rsidR="00035F5B" w:rsidRPr="00414E7D" w:rsidRDefault="00035F5B" w:rsidP="00787AEF">
            <w:pPr>
              <w:spacing w:after="0" w:line="240" w:lineRule="auto"/>
              <w:ind w:left="142"/>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Ямало-Ненецкий авт. округ</w:t>
            </w:r>
            <w:r w:rsidR="00787AEF">
              <w:rPr>
                <w:rFonts w:ascii="Times New Roman" w:eastAsia="Times New Roman" w:hAnsi="Times New Roman" w:cs="Times New Roman"/>
                <w:sz w:val="24"/>
                <w:szCs w:val="24"/>
                <w:vertAlign w:val="superscript"/>
                <w:lang w:eastAsia="ru-RU"/>
              </w:rPr>
              <w:t>1</w:t>
            </w:r>
          </w:p>
        </w:tc>
        <w:tc>
          <w:tcPr>
            <w:tcW w:w="411" w:type="pct"/>
            <w:tcBorders>
              <w:top w:val="single" w:sz="4" w:space="0" w:color="auto"/>
              <w:left w:val="single" w:sz="4" w:space="0" w:color="auto"/>
              <w:bottom w:val="single" w:sz="4" w:space="0" w:color="auto"/>
              <w:right w:val="single" w:sz="4" w:space="0" w:color="auto"/>
            </w:tcBorders>
            <w:vAlign w:val="center"/>
          </w:tcPr>
          <w:p w14:paraId="2C11A41A" w14:textId="77777777" w:rsidR="00035F5B" w:rsidRPr="00414E7D" w:rsidRDefault="00035F5B" w:rsidP="00D8515D">
            <w:pPr>
              <w:spacing w:after="0" w:line="240" w:lineRule="auto"/>
              <w:ind w:right="57"/>
              <w:jc w:val="center"/>
              <w:rPr>
                <w:rFonts w:ascii="Times New Roman" w:hAnsi="Times New Roman"/>
              </w:rPr>
            </w:pPr>
            <w:r w:rsidRPr="00414E7D">
              <w:rPr>
                <w:rFonts w:ascii="Times New Roman" w:hAnsi="Times New Roman"/>
              </w:rPr>
              <w:t>10</w:t>
            </w:r>
            <w:r w:rsidR="00D8515D">
              <w:rPr>
                <w:rFonts w:ascii="Times New Roman" w:hAnsi="Times New Roman"/>
              </w:rPr>
              <w:t>7</w:t>
            </w:r>
            <w:r w:rsidRPr="00414E7D">
              <w:rPr>
                <w:rFonts w:ascii="Times New Roman" w:hAnsi="Times New Roman"/>
              </w:rPr>
              <w:t>8-1</w:t>
            </w:r>
            <w:r w:rsidR="00D8515D">
              <w:rPr>
                <w:rFonts w:ascii="Times New Roman" w:hAnsi="Times New Roman"/>
              </w:rPr>
              <w:t>61</w:t>
            </w:r>
            <w:r w:rsidRPr="00414E7D">
              <w:rPr>
                <w:rFonts w:ascii="Times New Roman" w:hAnsi="Times New Roman"/>
              </w:rPr>
              <w:t>7</w:t>
            </w:r>
          </w:p>
        </w:tc>
        <w:tc>
          <w:tcPr>
            <w:tcW w:w="413" w:type="pct"/>
            <w:tcBorders>
              <w:top w:val="single" w:sz="4" w:space="0" w:color="auto"/>
              <w:left w:val="single" w:sz="4" w:space="0" w:color="auto"/>
              <w:bottom w:val="single" w:sz="4" w:space="0" w:color="auto"/>
              <w:right w:val="single" w:sz="4" w:space="0" w:color="auto"/>
            </w:tcBorders>
            <w:vAlign w:val="center"/>
          </w:tcPr>
          <w:p w14:paraId="3BD13996" w14:textId="77777777" w:rsidR="00035F5B" w:rsidRPr="00414E7D" w:rsidRDefault="00035F5B" w:rsidP="00D8515D">
            <w:pPr>
              <w:spacing w:after="0" w:line="240" w:lineRule="auto"/>
              <w:ind w:right="57"/>
              <w:jc w:val="center"/>
              <w:rPr>
                <w:rFonts w:ascii="Times New Roman" w:hAnsi="Times New Roman"/>
              </w:rPr>
            </w:pPr>
            <w:r w:rsidRPr="00414E7D">
              <w:rPr>
                <w:rFonts w:ascii="Times New Roman" w:hAnsi="Times New Roman"/>
              </w:rPr>
              <w:t>2</w:t>
            </w:r>
            <w:r w:rsidR="00D8515D">
              <w:rPr>
                <w:rFonts w:ascii="Times New Roman" w:hAnsi="Times New Roman"/>
              </w:rPr>
              <w:t>155</w:t>
            </w:r>
            <w:r w:rsidRPr="00414E7D">
              <w:rPr>
                <w:rFonts w:ascii="Times New Roman" w:hAnsi="Times New Roman"/>
              </w:rPr>
              <w:t>-3</w:t>
            </w:r>
            <w:r w:rsidR="00D8515D">
              <w:rPr>
                <w:rFonts w:ascii="Times New Roman" w:hAnsi="Times New Roman"/>
              </w:rPr>
              <w:t>233</w:t>
            </w:r>
          </w:p>
        </w:tc>
        <w:tc>
          <w:tcPr>
            <w:tcW w:w="390" w:type="pct"/>
            <w:tcBorders>
              <w:top w:val="single" w:sz="4" w:space="0" w:color="auto"/>
              <w:left w:val="single" w:sz="4" w:space="0" w:color="auto"/>
              <w:bottom w:val="single" w:sz="4" w:space="0" w:color="auto"/>
              <w:right w:val="single" w:sz="4" w:space="0" w:color="auto"/>
            </w:tcBorders>
            <w:vAlign w:val="center"/>
          </w:tcPr>
          <w:p w14:paraId="649AF58C"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vAlign w:val="center"/>
          </w:tcPr>
          <w:p w14:paraId="27CAF5B2" w14:textId="77777777" w:rsidR="00035F5B" w:rsidRPr="00414E7D" w:rsidRDefault="00035F5B" w:rsidP="004A6045">
            <w:pPr>
              <w:spacing w:after="0" w:line="240" w:lineRule="auto"/>
              <w:ind w:right="57"/>
              <w:jc w:val="center"/>
              <w:rPr>
                <w:rFonts w:ascii="Times New Roman" w:hAnsi="Times New Roman"/>
              </w:rPr>
            </w:pPr>
            <w:r w:rsidRPr="00414E7D">
              <w:rPr>
                <w:rFonts w:ascii="Times New Roman" w:hAnsi="Times New Roman"/>
              </w:rPr>
              <w:t>1</w:t>
            </w:r>
            <w:r w:rsidR="004A6045">
              <w:rPr>
                <w:rFonts w:ascii="Times New Roman" w:hAnsi="Times New Roman"/>
              </w:rPr>
              <w:t>61</w:t>
            </w:r>
            <w:r w:rsidRPr="00414E7D">
              <w:rPr>
                <w:rFonts w:ascii="Times New Roman" w:hAnsi="Times New Roman"/>
              </w:rPr>
              <w:t>7-2</w:t>
            </w:r>
            <w:r w:rsidR="004A6045">
              <w:rPr>
                <w:rFonts w:ascii="Times New Roman" w:hAnsi="Times New Roman"/>
              </w:rPr>
              <w:t>155</w:t>
            </w:r>
          </w:p>
        </w:tc>
        <w:tc>
          <w:tcPr>
            <w:tcW w:w="416" w:type="pct"/>
            <w:tcBorders>
              <w:top w:val="single" w:sz="4" w:space="0" w:color="auto"/>
              <w:left w:val="single" w:sz="4" w:space="0" w:color="auto"/>
              <w:bottom w:val="single" w:sz="4" w:space="0" w:color="auto"/>
              <w:right w:val="single" w:sz="4" w:space="0" w:color="auto"/>
            </w:tcBorders>
            <w:vAlign w:val="center"/>
          </w:tcPr>
          <w:p w14:paraId="30406E7A"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14:paraId="32DB1CBB"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1AEA06AE"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1F0F0566"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1E4ED8C6"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51DED8AE"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4C5EEF62"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34187DAC"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Челябинская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14:paraId="2A9A043B" w14:textId="77777777" w:rsidR="00035F5B" w:rsidRPr="00414E7D" w:rsidRDefault="00035F5B" w:rsidP="004A6045">
            <w:pPr>
              <w:spacing w:after="0" w:line="240" w:lineRule="auto"/>
              <w:ind w:right="57"/>
              <w:jc w:val="center"/>
              <w:rPr>
                <w:rFonts w:ascii="Times New Roman" w:hAnsi="Times New Roman"/>
              </w:rPr>
            </w:pPr>
            <w:r w:rsidRPr="00414E7D">
              <w:rPr>
                <w:rFonts w:ascii="Times New Roman" w:hAnsi="Times New Roman"/>
              </w:rPr>
              <w:t>2</w:t>
            </w:r>
            <w:r w:rsidR="004A6045">
              <w:rPr>
                <w:rFonts w:ascii="Times New Roman" w:hAnsi="Times New Roman"/>
              </w:rPr>
              <w:t>78</w:t>
            </w:r>
          </w:p>
        </w:tc>
        <w:tc>
          <w:tcPr>
            <w:tcW w:w="413" w:type="pct"/>
            <w:tcBorders>
              <w:top w:val="single" w:sz="4" w:space="0" w:color="auto"/>
              <w:left w:val="single" w:sz="4" w:space="0" w:color="auto"/>
              <w:bottom w:val="single" w:sz="4" w:space="0" w:color="auto"/>
              <w:right w:val="single" w:sz="4" w:space="0" w:color="auto"/>
            </w:tcBorders>
            <w:vAlign w:val="center"/>
          </w:tcPr>
          <w:p w14:paraId="71A10F9E" w14:textId="77777777" w:rsidR="00035F5B" w:rsidRPr="00414E7D" w:rsidRDefault="00035F5B" w:rsidP="004A6045">
            <w:pPr>
              <w:spacing w:after="0" w:line="240" w:lineRule="auto"/>
              <w:ind w:right="57"/>
              <w:jc w:val="center"/>
              <w:rPr>
                <w:rFonts w:ascii="Times New Roman" w:hAnsi="Times New Roman"/>
              </w:rPr>
            </w:pPr>
            <w:r w:rsidRPr="00414E7D">
              <w:rPr>
                <w:rFonts w:ascii="Times New Roman" w:hAnsi="Times New Roman"/>
              </w:rPr>
              <w:t>5</w:t>
            </w:r>
            <w:r w:rsidR="004A6045">
              <w:rPr>
                <w:rFonts w:ascii="Times New Roman" w:hAnsi="Times New Roman"/>
              </w:rPr>
              <w:t>55</w:t>
            </w:r>
          </w:p>
        </w:tc>
        <w:tc>
          <w:tcPr>
            <w:tcW w:w="390" w:type="pct"/>
            <w:tcBorders>
              <w:top w:val="single" w:sz="4" w:space="0" w:color="auto"/>
              <w:left w:val="single" w:sz="4" w:space="0" w:color="auto"/>
              <w:bottom w:val="single" w:sz="4" w:space="0" w:color="auto"/>
              <w:right w:val="single" w:sz="4" w:space="0" w:color="auto"/>
            </w:tcBorders>
            <w:vAlign w:val="center"/>
          </w:tcPr>
          <w:p w14:paraId="4AE1057A" w14:textId="77777777" w:rsidR="00035F5B" w:rsidRPr="00414E7D" w:rsidRDefault="00035F5B" w:rsidP="004A6045">
            <w:pPr>
              <w:spacing w:after="0" w:line="240" w:lineRule="auto"/>
              <w:ind w:right="57"/>
              <w:jc w:val="center"/>
              <w:rPr>
                <w:rFonts w:ascii="Times New Roman" w:hAnsi="Times New Roman"/>
              </w:rPr>
            </w:pPr>
            <w:r w:rsidRPr="00414E7D">
              <w:rPr>
                <w:rFonts w:ascii="Times New Roman" w:hAnsi="Times New Roman"/>
              </w:rPr>
              <w:t>4</w:t>
            </w:r>
            <w:r w:rsidR="004A6045">
              <w:rPr>
                <w:rFonts w:ascii="Times New Roman" w:hAnsi="Times New Roman"/>
              </w:rPr>
              <w:t>16</w:t>
            </w:r>
          </w:p>
        </w:tc>
        <w:tc>
          <w:tcPr>
            <w:tcW w:w="420" w:type="pct"/>
            <w:tcBorders>
              <w:top w:val="single" w:sz="4" w:space="0" w:color="auto"/>
              <w:left w:val="single" w:sz="4" w:space="0" w:color="auto"/>
              <w:bottom w:val="single" w:sz="4" w:space="0" w:color="auto"/>
              <w:right w:val="single" w:sz="4" w:space="0" w:color="auto"/>
            </w:tcBorders>
            <w:vAlign w:val="center"/>
          </w:tcPr>
          <w:p w14:paraId="359BF482" w14:textId="77777777" w:rsidR="00035F5B" w:rsidRPr="00414E7D" w:rsidRDefault="00035F5B" w:rsidP="004A6045">
            <w:pPr>
              <w:spacing w:after="0" w:line="240" w:lineRule="auto"/>
              <w:ind w:right="57"/>
              <w:jc w:val="center"/>
              <w:rPr>
                <w:rFonts w:ascii="Times New Roman" w:hAnsi="Times New Roman"/>
              </w:rPr>
            </w:pPr>
            <w:r w:rsidRPr="00414E7D">
              <w:rPr>
                <w:rFonts w:ascii="Times New Roman" w:hAnsi="Times New Roman"/>
              </w:rPr>
              <w:t>4</w:t>
            </w:r>
            <w:r w:rsidR="004A6045">
              <w:rPr>
                <w:rFonts w:ascii="Times New Roman" w:hAnsi="Times New Roman"/>
              </w:rPr>
              <w:t>16</w:t>
            </w:r>
          </w:p>
        </w:tc>
        <w:tc>
          <w:tcPr>
            <w:tcW w:w="416" w:type="pct"/>
            <w:tcBorders>
              <w:top w:val="single" w:sz="4" w:space="0" w:color="auto"/>
              <w:left w:val="single" w:sz="4" w:space="0" w:color="auto"/>
              <w:bottom w:val="single" w:sz="4" w:space="0" w:color="auto"/>
              <w:right w:val="single" w:sz="4" w:space="0" w:color="auto"/>
            </w:tcBorders>
            <w:vAlign w:val="center"/>
          </w:tcPr>
          <w:p w14:paraId="3AFFFB3D"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14:paraId="09562F1A"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4A59A70D"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6C6A76CF" w14:textId="77777777" w:rsidR="00035F5B" w:rsidRPr="00414E7D" w:rsidRDefault="00035F5B" w:rsidP="004A6045">
            <w:pPr>
              <w:spacing w:after="0" w:line="240" w:lineRule="auto"/>
              <w:ind w:right="57"/>
              <w:jc w:val="center"/>
              <w:rPr>
                <w:rFonts w:ascii="Times New Roman" w:hAnsi="Times New Roman"/>
              </w:rPr>
            </w:pPr>
            <w:r w:rsidRPr="00414E7D">
              <w:rPr>
                <w:rFonts w:ascii="Times New Roman" w:hAnsi="Times New Roman"/>
              </w:rPr>
              <w:t>5</w:t>
            </w:r>
            <w:r w:rsidR="004A6045">
              <w:rPr>
                <w:rFonts w:ascii="Times New Roman" w:hAnsi="Times New Roman"/>
              </w:rPr>
              <w:t>55</w:t>
            </w:r>
          </w:p>
        </w:tc>
        <w:tc>
          <w:tcPr>
            <w:tcW w:w="434" w:type="pct"/>
            <w:tcBorders>
              <w:top w:val="single" w:sz="4" w:space="0" w:color="auto"/>
              <w:left w:val="single" w:sz="4" w:space="0" w:color="auto"/>
              <w:bottom w:val="single" w:sz="4" w:space="0" w:color="auto"/>
              <w:right w:val="single" w:sz="4" w:space="0" w:color="auto"/>
            </w:tcBorders>
            <w:vAlign w:val="center"/>
          </w:tcPr>
          <w:p w14:paraId="4B5CE247" w14:textId="77777777" w:rsidR="00035F5B" w:rsidRPr="00414E7D" w:rsidRDefault="00035F5B" w:rsidP="00035F5B">
            <w:pPr>
              <w:spacing w:after="0" w:line="240" w:lineRule="auto"/>
              <w:ind w:right="57"/>
              <w:jc w:val="center"/>
              <w:rPr>
                <w:rFonts w:ascii="Times New Roman" w:hAnsi="Times New Roman"/>
              </w:rPr>
            </w:pPr>
          </w:p>
        </w:tc>
        <w:tc>
          <w:tcPr>
            <w:tcW w:w="392" w:type="pct"/>
            <w:tcBorders>
              <w:top w:val="single" w:sz="4" w:space="0" w:color="auto"/>
              <w:left w:val="single" w:sz="4" w:space="0" w:color="auto"/>
              <w:bottom w:val="single" w:sz="4" w:space="0" w:color="auto"/>
              <w:right w:val="single" w:sz="4" w:space="0" w:color="auto"/>
            </w:tcBorders>
            <w:vAlign w:val="center"/>
          </w:tcPr>
          <w:p w14:paraId="45619A08" w14:textId="77777777" w:rsidR="00035F5B" w:rsidRPr="00414E7D" w:rsidRDefault="00035F5B" w:rsidP="00035F5B">
            <w:pPr>
              <w:spacing w:after="0" w:line="240" w:lineRule="auto"/>
              <w:ind w:right="57"/>
              <w:jc w:val="center"/>
              <w:rPr>
                <w:rFonts w:ascii="Times New Roman" w:hAnsi="Times New Roman"/>
              </w:rPr>
            </w:pPr>
          </w:p>
        </w:tc>
      </w:tr>
      <w:tr w:rsidR="00035F5B" w:rsidRPr="00414E7D" w14:paraId="11DAB83B"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71127191" w14:textId="77777777" w:rsidR="00035F5B" w:rsidRPr="00414E7D" w:rsidRDefault="00035F5B" w:rsidP="00035F5B">
            <w:pPr>
              <w:spacing w:after="0" w:line="240" w:lineRule="auto"/>
              <w:rPr>
                <w:rFonts w:ascii="Times New Roman" w:eastAsia="Arial Unicode MS" w:hAnsi="Times New Roman" w:cs="Times New Roman"/>
                <w:b/>
                <w:sz w:val="24"/>
                <w:szCs w:val="24"/>
                <w:lang w:eastAsia="ru-RU"/>
              </w:rPr>
            </w:pPr>
            <w:r w:rsidRPr="00414E7D">
              <w:rPr>
                <w:rFonts w:ascii="Times New Roman" w:eastAsia="Times New Roman" w:hAnsi="Times New Roman" w:cs="Times New Roman"/>
                <w:b/>
                <w:sz w:val="24"/>
                <w:szCs w:val="24"/>
                <w:lang w:eastAsia="ru-RU"/>
              </w:rPr>
              <w:t>Сибирский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14:paraId="6B9BC840"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3" w:type="pct"/>
            <w:tcBorders>
              <w:top w:val="single" w:sz="4" w:space="0" w:color="auto"/>
              <w:left w:val="single" w:sz="4" w:space="0" w:color="auto"/>
              <w:bottom w:val="single" w:sz="4" w:space="0" w:color="auto"/>
              <w:right w:val="single" w:sz="4" w:space="0" w:color="auto"/>
            </w:tcBorders>
            <w:vAlign w:val="center"/>
          </w:tcPr>
          <w:p w14:paraId="525E33C3"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0" w:type="pct"/>
            <w:tcBorders>
              <w:top w:val="single" w:sz="4" w:space="0" w:color="auto"/>
              <w:left w:val="single" w:sz="4" w:space="0" w:color="auto"/>
              <w:bottom w:val="single" w:sz="4" w:space="0" w:color="auto"/>
              <w:right w:val="single" w:sz="4" w:space="0" w:color="auto"/>
            </w:tcBorders>
            <w:vAlign w:val="center"/>
          </w:tcPr>
          <w:p w14:paraId="02F4AB11"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vAlign w:val="center"/>
          </w:tcPr>
          <w:p w14:paraId="7F535BE0"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6" w:type="pct"/>
            <w:tcBorders>
              <w:top w:val="single" w:sz="4" w:space="0" w:color="auto"/>
              <w:left w:val="single" w:sz="4" w:space="0" w:color="auto"/>
              <w:bottom w:val="single" w:sz="4" w:space="0" w:color="auto"/>
              <w:right w:val="single" w:sz="4" w:space="0" w:color="auto"/>
            </w:tcBorders>
            <w:vAlign w:val="center"/>
          </w:tcPr>
          <w:p w14:paraId="3BF8A321"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14:paraId="4C96F20B"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55D06DA8"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380BA1D2"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314BBC53"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4184771F"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1DA045CD"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0EDA6C5B"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Алтай</w:t>
            </w:r>
          </w:p>
        </w:tc>
        <w:tc>
          <w:tcPr>
            <w:tcW w:w="411" w:type="pct"/>
            <w:tcBorders>
              <w:top w:val="single" w:sz="4" w:space="0" w:color="auto"/>
              <w:left w:val="single" w:sz="4" w:space="0" w:color="auto"/>
              <w:bottom w:val="single" w:sz="4" w:space="0" w:color="auto"/>
              <w:right w:val="single" w:sz="4" w:space="0" w:color="auto"/>
            </w:tcBorders>
            <w:vAlign w:val="center"/>
          </w:tcPr>
          <w:p w14:paraId="6C7B8605"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90</w:t>
            </w:r>
          </w:p>
        </w:tc>
        <w:tc>
          <w:tcPr>
            <w:tcW w:w="413" w:type="pct"/>
            <w:tcBorders>
              <w:top w:val="single" w:sz="4" w:space="0" w:color="auto"/>
              <w:left w:val="single" w:sz="4" w:space="0" w:color="auto"/>
              <w:bottom w:val="single" w:sz="4" w:space="0" w:color="auto"/>
              <w:right w:val="single" w:sz="4" w:space="0" w:color="auto"/>
            </w:tcBorders>
            <w:vAlign w:val="center"/>
          </w:tcPr>
          <w:p w14:paraId="59D1590A"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180</w:t>
            </w:r>
          </w:p>
        </w:tc>
        <w:tc>
          <w:tcPr>
            <w:tcW w:w="390" w:type="pct"/>
            <w:tcBorders>
              <w:top w:val="single" w:sz="4" w:space="0" w:color="auto"/>
              <w:left w:val="single" w:sz="4" w:space="0" w:color="auto"/>
              <w:bottom w:val="single" w:sz="4" w:space="0" w:color="auto"/>
              <w:right w:val="single" w:sz="4" w:space="0" w:color="auto"/>
            </w:tcBorders>
            <w:vAlign w:val="center"/>
          </w:tcPr>
          <w:p w14:paraId="4F51ABC6"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135</w:t>
            </w:r>
          </w:p>
        </w:tc>
        <w:tc>
          <w:tcPr>
            <w:tcW w:w="420" w:type="pct"/>
            <w:tcBorders>
              <w:top w:val="single" w:sz="4" w:space="0" w:color="auto"/>
              <w:left w:val="single" w:sz="4" w:space="0" w:color="auto"/>
              <w:bottom w:val="single" w:sz="4" w:space="0" w:color="auto"/>
              <w:right w:val="single" w:sz="4" w:space="0" w:color="auto"/>
            </w:tcBorders>
            <w:vAlign w:val="center"/>
          </w:tcPr>
          <w:p w14:paraId="0B37AE4A"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135</w:t>
            </w:r>
          </w:p>
        </w:tc>
        <w:tc>
          <w:tcPr>
            <w:tcW w:w="416" w:type="pct"/>
            <w:tcBorders>
              <w:top w:val="single" w:sz="4" w:space="0" w:color="auto"/>
              <w:left w:val="single" w:sz="4" w:space="0" w:color="auto"/>
              <w:bottom w:val="single" w:sz="4" w:space="0" w:color="auto"/>
              <w:right w:val="single" w:sz="4" w:space="0" w:color="auto"/>
            </w:tcBorders>
            <w:vAlign w:val="center"/>
          </w:tcPr>
          <w:p w14:paraId="7225FAD0" w14:textId="77777777" w:rsidR="00035F5B" w:rsidRPr="00414E7D" w:rsidRDefault="00035F5B" w:rsidP="00787AEF">
            <w:pPr>
              <w:spacing w:after="0" w:line="240" w:lineRule="auto"/>
              <w:ind w:right="57"/>
              <w:jc w:val="center"/>
              <w:rPr>
                <w:rFonts w:ascii="Times New Roman" w:hAnsi="Times New Roman"/>
              </w:rPr>
            </w:pPr>
            <w:r w:rsidRPr="00414E7D">
              <w:rPr>
                <w:rFonts w:ascii="Times New Roman" w:hAnsi="Times New Roman"/>
              </w:rPr>
              <w:t>135</w:t>
            </w:r>
          </w:p>
        </w:tc>
        <w:tc>
          <w:tcPr>
            <w:tcW w:w="421" w:type="pct"/>
            <w:tcBorders>
              <w:top w:val="single" w:sz="4" w:space="0" w:color="auto"/>
              <w:left w:val="single" w:sz="4" w:space="0" w:color="auto"/>
              <w:bottom w:val="single" w:sz="4" w:space="0" w:color="auto"/>
              <w:right w:val="single" w:sz="4" w:space="0" w:color="auto"/>
            </w:tcBorders>
            <w:vAlign w:val="center"/>
          </w:tcPr>
          <w:p w14:paraId="3613E4AA"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714</w:t>
            </w:r>
          </w:p>
        </w:tc>
        <w:tc>
          <w:tcPr>
            <w:tcW w:w="439" w:type="pct"/>
            <w:tcBorders>
              <w:top w:val="single" w:sz="4" w:space="0" w:color="auto"/>
              <w:left w:val="single" w:sz="4" w:space="0" w:color="auto"/>
              <w:bottom w:val="single" w:sz="4" w:space="0" w:color="auto"/>
              <w:right w:val="single" w:sz="4" w:space="0" w:color="auto"/>
            </w:tcBorders>
            <w:vAlign w:val="center"/>
          </w:tcPr>
          <w:p w14:paraId="34382533"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68F7EE64"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0A815C81"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1FC6831A"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02F47D28"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28A29CA5"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Тыва</w:t>
            </w:r>
          </w:p>
        </w:tc>
        <w:tc>
          <w:tcPr>
            <w:tcW w:w="411" w:type="pct"/>
            <w:tcBorders>
              <w:top w:val="single" w:sz="4" w:space="0" w:color="auto"/>
              <w:left w:val="single" w:sz="4" w:space="0" w:color="auto"/>
              <w:bottom w:val="single" w:sz="4" w:space="0" w:color="auto"/>
              <w:right w:val="single" w:sz="4" w:space="0" w:color="auto"/>
            </w:tcBorders>
            <w:vAlign w:val="center"/>
          </w:tcPr>
          <w:p w14:paraId="01603140" w14:textId="77777777" w:rsidR="00035F5B" w:rsidRPr="00414E7D" w:rsidRDefault="00035F5B" w:rsidP="004A6045">
            <w:pPr>
              <w:spacing w:after="0" w:line="240" w:lineRule="auto"/>
              <w:ind w:right="57"/>
              <w:jc w:val="center"/>
              <w:rPr>
                <w:rFonts w:ascii="Times New Roman" w:hAnsi="Times New Roman"/>
              </w:rPr>
            </w:pPr>
            <w:r w:rsidRPr="00414E7D">
              <w:rPr>
                <w:rFonts w:ascii="Times New Roman" w:hAnsi="Times New Roman"/>
              </w:rPr>
              <w:t>14</w:t>
            </w:r>
            <w:r w:rsidR="004A6045">
              <w:rPr>
                <w:rFonts w:ascii="Times New Roman" w:hAnsi="Times New Roman"/>
              </w:rPr>
              <w:t>6</w:t>
            </w:r>
          </w:p>
        </w:tc>
        <w:tc>
          <w:tcPr>
            <w:tcW w:w="413" w:type="pct"/>
            <w:tcBorders>
              <w:top w:val="single" w:sz="4" w:space="0" w:color="auto"/>
              <w:left w:val="single" w:sz="4" w:space="0" w:color="auto"/>
              <w:bottom w:val="single" w:sz="4" w:space="0" w:color="auto"/>
              <w:right w:val="single" w:sz="4" w:space="0" w:color="auto"/>
            </w:tcBorders>
            <w:vAlign w:val="center"/>
          </w:tcPr>
          <w:p w14:paraId="624E066A" w14:textId="77777777" w:rsidR="00035F5B" w:rsidRPr="00414E7D" w:rsidRDefault="00035F5B" w:rsidP="004A6045">
            <w:pPr>
              <w:spacing w:after="0" w:line="240" w:lineRule="auto"/>
              <w:ind w:right="57"/>
              <w:jc w:val="center"/>
              <w:rPr>
                <w:rFonts w:ascii="Times New Roman" w:hAnsi="Times New Roman"/>
              </w:rPr>
            </w:pPr>
            <w:r w:rsidRPr="00414E7D">
              <w:rPr>
                <w:rFonts w:ascii="Times New Roman" w:hAnsi="Times New Roman"/>
              </w:rPr>
              <w:t>2</w:t>
            </w:r>
            <w:r w:rsidR="004A6045">
              <w:rPr>
                <w:rFonts w:ascii="Times New Roman" w:hAnsi="Times New Roman"/>
              </w:rPr>
              <w:t>9</w:t>
            </w:r>
            <w:r w:rsidRPr="00414E7D">
              <w:rPr>
                <w:rFonts w:ascii="Times New Roman" w:hAnsi="Times New Roman"/>
              </w:rPr>
              <w:t>2</w:t>
            </w:r>
          </w:p>
        </w:tc>
        <w:tc>
          <w:tcPr>
            <w:tcW w:w="390" w:type="pct"/>
            <w:tcBorders>
              <w:top w:val="single" w:sz="4" w:space="0" w:color="auto"/>
              <w:left w:val="single" w:sz="4" w:space="0" w:color="auto"/>
              <w:bottom w:val="single" w:sz="4" w:space="0" w:color="auto"/>
              <w:right w:val="single" w:sz="4" w:space="0" w:color="auto"/>
            </w:tcBorders>
            <w:vAlign w:val="center"/>
          </w:tcPr>
          <w:p w14:paraId="66590A1E"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vAlign w:val="center"/>
          </w:tcPr>
          <w:p w14:paraId="00E5FEA3" w14:textId="77777777" w:rsidR="00035F5B" w:rsidRPr="00414E7D" w:rsidRDefault="00035F5B" w:rsidP="004A6045">
            <w:pPr>
              <w:spacing w:after="0" w:line="240" w:lineRule="auto"/>
              <w:ind w:right="57"/>
              <w:jc w:val="center"/>
              <w:rPr>
                <w:rFonts w:ascii="Times New Roman" w:hAnsi="Times New Roman"/>
              </w:rPr>
            </w:pPr>
            <w:r w:rsidRPr="00414E7D">
              <w:rPr>
                <w:rFonts w:ascii="Times New Roman" w:hAnsi="Times New Roman"/>
              </w:rPr>
              <w:t>21</w:t>
            </w:r>
            <w:r w:rsidR="004A6045">
              <w:rPr>
                <w:rFonts w:ascii="Times New Roman" w:hAnsi="Times New Roman"/>
              </w:rPr>
              <w:t>9</w:t>
            </w:r>
          </w:p>
        </w:tc>
        <w:tc>
          <w:tcPr>
            <w:tcW w:w="416" w:type="pct"/>
            <w:tcBorders>
              <w:top w:val="single" w:sz="4" w:space="0" w:color="auto"/>
              <w:left w:val="single" w:sz="4" w:space="0" w:color="auto"/>
              <w:bottom w:val="single" w:sz="4" w:space="0" w:color="auto"/>
              <w:right w:val="single" w:sz="4" w:space="0" w:color="auto"/>
            </w:tcBorders>
            <w:vAlign w:val="center"/>
          </w:tcPr>
          <w:p w14:paraId="12666F9C"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14:paraId="7ED47695"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37D61F56"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2C7D0960"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53DD6743"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6FCF68CD"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75B4F17D"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78722498"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Хакасия</w:t>
            </w:r>
          </w:p>
        </w:tc>
        <w:tc>
          <w:tcPr>
            <w:tcW w:w="411" w:type="pct"/>
            <w:tcBorders>
              <w:top w:val="single" w:sz="4" w:space="0" w:color="auto"/>
              <w:left w:val="single" w:sz="4" w:space="0" w:color="auto"/>
              <w:bottom w:val="single" w:sz="4" w:space="0" w:color="auto"/>
              <w:right w:val="single" w:sz="4" w:space="0" w:color="auto"/>
            </w:tcBorders>
            <w:vAlign w:val="center"/>
          </w:tcPr>
          <w:p w14:paraId="4DF2DCD9" w14:textId="77777777" w:rsidR="00035F5B" w:rsidRPr="00414E7D" w:rsidRDefault="00035F5B" w:rsidP="004A6045">
            <w:pPr>
              <w:spacing w:after="0" w:line="240" w:lineRule="auto"/>
              <w:ind w:right="57"/>
              <w:jc w:val="center"/>
              <w:rPr>
                <w:rFonts w:ascii="Times New Roman" w:hAnsi="Times New Roman"/>
              </w:rPr>
            </w:pPr>
            <w:r w:rsidRPr="00414E7D">
              <w:rPr>
                <w:rFonts w:ascii="Times New Roman" w:hAnsi="Times New Roman"/>
              </w:rPr>
              <w:t>21</w:t>
            </w:r>
            <w:r w:rsidR="004A6045">
              <w:rPr>
                <w:rFonts w:ascii="Times New Roman" w:hAnsi="Times New Roman"/>
              </w:rPr>
              <w:t>9</w:t>
            </w:r>
          </w:p>
        </w:tc>
        <w:tc>
          <w:tcPr>
            <w:tcW w:w="413" w:type="pct"/>
            <w:tcBorders>
              <w:top w:val="single" w:sz="4" w:space="0" w:color="auto"/>
              <w:left w:val="single" w:sz="4" w:space="0" w:color="auto"/>
              <w:bottom w:val="single" w:sz="4" w:space="0" w:color="auto"/>
              <w:right w:val="single" w:sz="4" w:space="0" w:color="auto"/>
            </w:tcBorders>
            <w:vAlign w:val="center"/>
          </w:tcPr>
          <w:p w14:paraId="790F4486" w14:textId="77777777" w:rsidR="00035F5B" w:rsidRPr="00414E7D" w:rsidRDefault="00035F5B" w:rsidP="004A6045">
            <w:pPr>
              <w:spacing w:after="0" w:line="240" w:lineRule="auto"/>
              <w:ind w:right="57"/>
              <w:jc w:val="center"/>
              <w:rPr>
                <w:rFonts w:ascii="Times New Roman" w:hAnsi="Times New Roman"/>
              </w:rPr>
            </w:pPr>
            <w:r w:rsidRPr="00414E7D">
              <w:rPr>
                <w:rFonts w:ascii="Times New Roman" w:hAnsi="Times New Roman"/>
              </w:rPr>
              <w:t>4</w:t>
            </w:r>
            <w:r w:rsidR="004A6045">
              <w:rPr>
                <w:rFonts w:ascii="Times New Roman" w:hAnsi="Times New Roman"/>
              </w:rPr>
              <w:t>38</w:t>
            </w:r>
          </w:p>
        </w:tc>
        <w:tc>
          <w:tcPr>
            <w:tcW w:w="390" w:type="pct"/>
            <w:tcBorders>
              <w:top w:val="single" w:sz="4" w:space="0" w:color="auto"/>
              <w:left w:val="single" w:sz="4" w:space="0" w:color="auto"/>
              <w:bottom w:val="single" w:sz="4" w:space="0" w:color="auto"/>
              <w:right w:val="single" w:sz="4" w:space="0" w:color="auto"/>
            </w:tcBorders>
            <w:vAlign w:val="center"/>
          </w:tcPr>
          <w:p w14:paraId="59C4C4C2" w14:textId="77777777" w:rsidR="00035F5B" w:rsidRPr="00414E7D" w:rsidRDefault="00035F5B" w:rsidP="004A6045">
            <w:pPr>
              <w:spacing w:after="0" w:line="240" w:lineRule="auto"/>
              <w:ind w:right="57"/>
              <w:jc w:val="center"/>
              <w:rPr>
                <w:rFonts w:ascii="Times New Roman" w:hAnsi="Times New Roman"/>
              </w:rPr>
            </w:pPr>
            <w:r w:rsidRPr="00414E7D">
              <w:rPr>
                <w:rFonts w:ascii="Times New Roman" w:hAnsi="Times New Roman"/>
              </w:rPr>
              <w:t>3</w:t>
            </w:r>
            <w:r w:rsidR="004A6045">
              <w:rPr>
                <w:rFonts w:ascii="Times New Roman" w:hAnsi="Times New Roman"/>
              </w:rPr>
              <w:t>29</w:t>
            </w:r>
          </w:p>
        </w:tc>
        <w:tc>
          <w:tcPr>
            <w:tcW w:w="420" w:type="pct"/>
            <w:tcBorders>
              <w:top w:val="single" w:sz="4" w:space="0" w:color="auto"/>
              <w:left w:val="single" w:sz="4" w:space="0" w:color="auto"/>
              <w:bottom w:val="single" w:sz="4" w:space="0" w:color="auto"/>
              <w:right w:val="single" w:sz="4" w:space="0" w:color="auto"/>
            </w:tcBorders>
            <w:vAlign w:val="center"/>
          </w:tcPr>
          <w:p w14:paraId="6CBD3EE2" w14:textId="77777777" w:rsidR="00035F5B" w:rsidRPr="00414E7D" w:rsidRDefault="00035F5B" w:rsidP="004A6045">
            <w:pPr>
              <w:spacing w:after="0" w:line="240" w:lineRule="auto"/>
              <w:ind w:right="57"/>
              <w:jc w:val="center"/>
              <w:rPr>
                <w:rFonts w:ascii="Times New Roman" w:hAnsi="Times New Roman"/>
              </w:rPr>
            </w:pPr>
            <w:r w:rsidRPr="00414E7D">
              <w:rPr>
                <w:rFonts w:ascii="Times New Roman" w:hAnsi="Times New Roman"/>
              </w:rPr>
              <w:t>3</w:t>
            </w:r>
            <w:r w:rsidR="004A6045">
              <w:rPr>
                <w:rFonts w:ascii="Times New Roman" w:hAnsi="Times New Roman"/>
              </w:rPr>
              <w:t>29</w:t>
            </w:r>
          </w:p>
        </w:tc>
        <w:tc>
          <w:tcPr>
            <w:tcW w:w="416" w:type="pct"/>
            <w:tcBorders>
              <w:top w:val="single" w:sz="4" w:space="0" w:color="auto"/>
              <w:left w:val="single" w:sz="4" w:space="0" w:color="auto"/>
              <w:bottom w:val="single" w:sz="4" w:space="0" w:color="auto"/>
              <w:right w:val="single" w:sz="4" w:space="0" w:color="auto"/>
            </w:tcBorders>
            <w:vAlign w:val="center"/>
          </w:tcPr>
          <w:p w14:paraId="33226055"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14:paraId="48D67D03"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6786B7A6"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36405A29"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5DCF9E3A"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00F5EDEB"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6AD91678"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39A12D31"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Алтайский край</w:t>
            </w:r>
          </w:p>
        </w:tc>
        <w:tc>
          <w:tcPr>
            <w:tcW w:w="411" w:type="pct"/>
            <w:tcBorders>
              <w:top w:val="single" w:sz="4" w:space="0" w:color="auto"/>
              <w:left w:val="single" w:sz="4" w:space="0" w:color="auto"/>
              <w:bottom w:val="single" w:sz="4" w:space="0" w:color="auto"/>
              <w:right w:val="single" w:sz="4" w:space="0" w:color="auto"/>
            </w:tcBorders>
            <w:vAlign w:val="center"/>
          </w:tcPr>
          <w:p w14:paraId="774F7BA7" w14:textId="77777777" w:rsidR="00035F5B" w:rsidRPr="00414E7D" w:rsidRDefault="00035F5B" w:rsidP="004A6045">
            <w:pPr>
              <w:spacing w:after="0" w:line="240" w:lineRule="auto"/>
              <w:ind w:right="57"/>
              <w:jc w:val="center"/>
              <w:rPr>
                <w:rFonts w:ascii="Times New Roman" w:hAnsi="Times New Roman"/>
              </w:rPr>
            </w:pPr>
            <w:r w:rsidRPr="00414E7D">
              <w:rPr>
                <w:rFonts w:ascii="Times New Roman" w:hAnsi="Times New Roman"/>
              </w:rPr>
              <w:t>1</w:t>
            </w:r>
            <w:r w:rsidR="004A6045">
              <w:rPr>
                <w:rFonts w:ascii="Times New Roman" w:hAnsi="Times New Roman"/>
              </w:rPr>
              <w:t>61</w:t>
            </w:r>
          </w:p>
        </w:tc>
        <w:tc>
          <w:tcPr>
            <w:tcW w:w="413" w:type="pct"/>
            <w:tcBorders>
              <w:top w:val="single" w:sz="4" w:space="0" w:color="auto"/>
              <w:left w:val="single" w:sz="4" w:space="0" w:color="auto"/>
              <w:bottom w:val="single" w:sz="4" w:space="0" w:color="auto"/>
              <w:right w:val="single" w:sz="4" w:space="0" w:color="auto"/>
            </w:tcBorders>
            <w:vAlign w:val="center"/>
          </w:tcPr>
          <w:p w14:paraId="3F47A11E" w14:textId="77777777" w:rsidR="00035F5B" w:rsidRPr="00414E7D" w:rsidRDefault="00035F5B" w:rsidP="004A6045">
            <w:pPr>
              <w:spacing w:after="0" w:line="240" w:lineRule="auto"/>
              <w:ind w:right="57"/>
              <w:jc w:val="center"/>
              <w:rPr>
                <w:rFonts w:ascii="Times New Roman" w:hAnsi="Times New Roman"/>
              </w:rPr>
            </w:pPr>
            <w:r w:rsidRPr="00414E7D">
              <w:rPr>
                <w:rFonts w:ascii="Times New Roman" w:hAnsi="Times New Roman"/>
              </w:rPr>
              <w:t>4</w:t>
            </w:r>
            <w:r w:rsidR="004A6045">
              <w:rPr>
                <w:rFonts w:ascii="Times New Roman" w:hAnsi="Times New Roman"/>
              </w:rPr>
              <w:t>83</w:t>
            </w:r>
          </w:p>
        </w:tc>
        <w:tc>
          <w:tcPr>
            <w:tcW w:w="390" w:type="pct"/>
            <w:tcBorders>
              <w:top w:val="single" w:sz="4" w:space="0" w:color="auto"/>
              <w:left w:val="single" w:sz="4" w:space="0" w:color="auto"/>
              <w:bottom w:val="single" w:sz="4" w:space="0" w:color="auto"/>
              <w:right w:val="single" w:sz="4" w:space="0" w:color="auto"/>
            </w:tcBorders>
            <w:vAlign w:val="center"/>
          </w:tcPr>
          <w:p w14:paraId="39FCC1A8" w14:textId="77777777" w:rsidR="00035F5B" w:rsidRPr="00414E7D" w:rsidRDefault="00035F5B" w:rsidP="004A6045">
            <w:pPr>
              <w:spacing w:after="0" w:line="240" w:lineRule="auto"/>
              <w:ind w:right="57"/>
              <w:jc w:val="center"/>
              <w:rPr>
                <w:rFonts w:ascii="Times New Roman" w:hAnsi="Times New Roman"/>
              </w:rPr>
            </w:pPr>
            <w:r w:rsidRPr="00414E7D">
              <w:rPr>
                <w:rFonts w:ascii="Times New Roman" w:hAnsi="Times New Roman"/>
              </w:rPr>
              <w:t>3</w:t>
            </w:r>
            <w:r w:rsidR="004A6045">
              <w:rPr>
                <w:rFonts w:ascii="Times New Roman" w:hAnsi="Times New Roman"/>
              </w:rPr>
              <w:t>22</w:t>
            </w:r>
          </w:p>
        </w:tc>
        <w:tc>
          <w:tcPr>
            <w:tcW w:w="420" w:type="pct"/>
            <w:tcBorders>
              <w:top w:val="single" w:sz="4" w:space="0" w:color="auto"/>
              <w:left w:val="single" w:sz="4" w:space="0" w:color="auto"/>
              <w:bottom w:val="single" w:sz="4" w:space="0" w:color="auto"/>
              <w:right w:val="single" w:sz="4" w:space="0" w:color="auto"/>
            </w:tcBorders>
            <w:vAlign w:val="center"/>
          </w:tcPr>
          <w:p w14:paraId="309E27FE" w14:textId="77777777" w:rsidR="00035F5B" w:rsidRPr="00414E7D" w:rsidRDefault="00425F25" w:rsidP="004A6045">
            <w:pPr>
              <w:spacing w:after="0" w:line="240" w:lineRule="auto"/>
              <w:ind w:right="57"/>
              <w:jc w:val="center"/>
              <w:rPr>
                <w:rFonts w:ascii="Times New Roman" w:hAnsi="Times New Roman"/>
              </w:rPr>
            </w:pPr>
            <w:r>
              <w:rPr>
                <w:rFonts w:ascii="Times New Roman" w:hAnsi="Times New Roman"/>
              </w:rPr>
              <w:t>2</w:t>
            </w:r>
            <w:r w:rsidR="004A6045">
              <w:rPr>
                <w:rFonts w:ascii="Times New Roman" w:hAnsi="Times New Roman"/>
              </w:rPr>
              <w:t>41</w:t>
            </w:r>
          </w:p>
        </w:tc>
        <w:tc>
          <w:tcPr>
            <w:tcW w:w="416" w:type="pct"/>
            <w:tcBorders>
              <w:top w:val="single" w:sz="4" w:space="0" w:color="auto"/>
              <w:left w:val="single" w:sz="4" w:space="0" w:color="auto"/>
              <w:bottom w:val="single" w:sz="4" w:space="0" w:color="auto"/>
              <w:right w:val="single" w:sz="4" w:space="0" w:color="auto"/>
            </w:tcBorders>
            <w:vAlign w:val="center"/>
          </w:tcPr>
          <w:p w14:paraId="3E710C92" w14:textId="77777777" w:rsidR="00035F5B" w:rsidRPr="00414E7D" w:rsidRDefault="00035F5B" w:rsidP="004A6045">
            <w:pPr>
              <w:spacing w:after="0" w:line="240" w:lineRule="auto"/>
              <w:ind w:right="57"/>
              <w:jc w:val="center"/>
              <w:rPr>
                <w:rFonts w:ascii="Times New Roman" w:hAnsi="Times New Roman"/>
              </w:rPr>
            </w:pPr>
            <w:r w:rsidRPr="00414E7D">
              <w:rPr>
                <w:rFonts w:ascii="Times New Roman" w:hAnsi="Times New Roman"/>
              </w:rPr>
              <w:t>6</w:t>
            </w:r>
            <w:r w:rsidR="004A6045">
              <w:rPr>
                <w:rFonts w:ascii="Times New Roman" w:hAnsi="Times New Roman"/>
              </w:rPr>
              <w:t>44</w:t>
            </w:r>
          </w:p>
        </w:tc>
        <w:tc>
          <w:tcPr>
            <w:tcW w:w="421" w:type="pct"/>
            <w:tcBorders>
              <w:top w:val="single" w:sz="4" w:space="0" w:color="auto"/>
              <w:left w:val="single" w:sz="4" w:space="0" w:color="auto"/>
              <w:bottom w:val="single" w:sz="4" w:space="0" w:color="auto"/>
              <w:right w:val="single" w:sz="4" w:space="0" w:color="auto"/>
            </w:tcBorders>
            <w:vAlign w:val="center"/>
          </w:tcPr>
          <w:p w14:paraId="11FC19F4"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0F7C621C"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31CC960D"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10A54E50"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30BA0185"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22FC4E8C"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253FDA8E"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Красноярский край</w:t>
            </w:r>
          </w:p>
        </w:tc>
        <w:tc>
          <w:tcPr>
            <w:tcW w:w="411" w:type="pct"/>
            <w:tcBorders>
              <w:top w:val="single" w:sz="4" w:space="0" w:color="auto"/>
              <w:left w:val="single" w:sz="4" w:space="0" w:color="auto"/>
              <w:bottom w:val="single" w:sz="4" w:space="0" w:color="auto"/>
              <w:right w:val="single" w:sz="4" w:space="0" w:color="auto"/>
            </w:tcBorders>
            <w:vAlign w:val="center"/>
          </w:tcPr>
          <w:p w14:paraId="1DB02EDD" w14:textId="77777777" w:rsidR="00035F5B" w:rsidRPr="00414E7D" w:rsidRDefault="00035F5B" w:rsidP="004A6045">
            <w:pPr>
              <w:spacing w:after="0" w:line="240" w:lineRule="auto"/>
              <w:ind w:right="57"/>
              <w:jc w:val="center"/>
              <w:rPr>
                <w:rFonts w:ascii="Times New Roman" w:hAnsi="Times New Roman"/>
              </w:rPr>
            </w:pPr>
            <w:r w:rsidRPr="00414E7D">
              <w:rPr>
                <w:rFonts w:ascii="Times New Roman" w:hAnsi="Times New Roman"/>
              </w:rPr>
              <w:t>3</w:t>
            </w:r>
            <w:r w:rsidR="004A6045">
              <w:rPr>
                <w:rFonts w:ascii="Times New Roman" w:hAnsi="Times New Roman"/>
              </w:rPr>
              <w:t>42</w:t>
            </w:r>
          </w:p>
        </w:tc>
        <w:tc>
          <w:tcPr>
            <w:tcW w:w="413" w:type="pct"/>
            <w:tcBorders>
              <w:top w:val="single" w:sz="4" w:space="0" w:color="auto"/>
              <w:left w:val="single" w:sz="4" w:space="0" w:color="auto"/>
              <w:bottom w:val="single" w:sz="4" w:space="0" w:color="auto"/>
              <w:right w:val="single" w:sz="4" w:space="0" w:color="auto"/>
            </w:tcBorders>
            <w:vAlign w:val="center"/>
          </w:tcPr>
          <w:p w14:paraId="0B028D62" w14:textId="77777777" w:rsidR="00035F5B" w:rsidRPr="00414E7D" w:rsidRDefault="00035F5B" w:rsidP="004A6045">
            <w:pPr>
              <w:spacing w:after="0" w:line="240" w:lineRule="auto"/>
              <w:ind w:right="57"/>
              <w:jc w:val="center"/>
              <w:rPr>
                <w:rFonts w:ascii="Times New Roman" w:hAnsi="Times New Roman"/>
              </w:rPr>
            </w:pPr>
            <w:r w:rsidRPr="00414E7D">
              <w:rPr>
                <w:rFonts w:ascii="Times New Roman" w:hAnsi="Times New Roman"/>
              </w:rPr>
              <w:t>4</w:t>
            </w:r>
            <w:r w:rsidR="004A6045">
              <w:rPr>
                <w:rFonts w:ascii="Times New Roman" w:hAnsi="Times New Roman"/>
              </w:rPr>
              <w:t>79</w:t>
            </w:r>
          </w:p>
        </w:tc>
        <w:tc>
          <w:tcPr>
            <w:tcW w:w="390" w:type="pct"/>
            <w:tcBorders>
              <w:top w:val="single" w:sz="4" w:space="0" w:color="auto"/>
              <w:left w:val="single" w:sz="4" w:space="0" w:color="auto"/>
              <w:bottom w:val="single" w:sz="4" w:space="0" w:color="auto"/>
              <w:right w:val="single" w:sz="4" w:space="0" w:color="auto"/>
            </w:tcBorders>
            <w:vAlign w:val="center"/>
          </w:tcPr>
          <w:p w14:paraId="7BF6ABCF"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vAlign w:val="center"/>
          </w:tcPr>
          <w:p w14:paraId="412A21C7"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6" w:type="pct"/>
            <w:tcBorders>
              <w:top w:val="single" w:sz="4" w:space="0" w:color="auto"/>
              <w:left w:val="single" w:sz="4" w:space="0" w:color="auto"/>
              <w:bottom w:val="single" w:sz="4" w:space="0" w:color="auto"/>
              <w:right w:val="single" w:sz="4" w:space="0" w:color="auto"/>
            </w:tcBorders>
            <w:vAlign w:val="center"/>
          </w:tcPr>
          <w:p w14:paraId="085EB99F" w14:textId="77777777" w:rsidR="00035F5B" w:rsidRPr="00414E7D" w:rsidRDefault="00035F5B" w:rsidP="004A6045">
            <w:pPr>
              <w:spacing w:after="0" w:line="240" w:lineRule="auto"/>
              <w:ind w:right="57"/>
              <w:jc w:val="center"/>
              <w:rPr>
                <w:rFonts w:ascii="Times New Roman" w:hAnsi="Times New Roman"/>
              </w:rPr>
            </w:pPr>
            <w:r w:rsidRPr="00414E7D">
              <w:rPr>
                <w:rFonts w:ascii="Times New Roman" w:hAnsi="Times New Roman"/>
              </w:rPr>
              <w:t>4</w:t>
            </w:r>
            <w:r w:rsidR="004A6045">
              <w:rPr>
                <w:rFonts w:ascii="Times New Roman" w:hAnsi="Times New Roman"/>
              </w:rPr>
              <w:t>79</w:t>
            </w:r>
          </w:p>
        </w:tc>
        <w:tc>
          <w:tcPr>
            <w:tcW w:w="421" w:type="pct"/>
            <w:tcBorders>
              <w:top w:val="single" w:sz="4" w:space="0" w:color="auto"/>
              <w:left w:val="single" w:sz="4" w:space="0" w:color="auto"/>
              <w:bottom w:val="single" w:sz="4" w:space="0" w:color="auto"/>
              <w:right w:val="single" w:sz="4" w:space="0" w:color="auto"/>
            </w:tcBorders>
            <w:vAlign w:val="center"/>
          </w:tcPr>
          <w:p w14:paraId="3503B293"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69E67283"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48C405DF"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232226A3" w14:textId="77777777" w:rsidR="00035F5B" w:rsidRPr="00414E7D" w:rsidRDefault="00035F5B" w:rsidP="004A6045">
            <w:pPr>
              <w:spacing w:after="0" w:line="240" w:lineRule="auto"/>
              <w:ind w:right="57"/>
              <w:jc w:val="center"/>
              <w:rPr>
                <w:rFonts w:ascii="Times New Roman" w:hAnsi="Times New Roman"/>
              </w:rPr>
            </w:pPr>
            <w:r w:rsidRPr="00414E7D">
              <w:rPr>
                <w:rFonts w:ascii="Times New Roman" w:hAnsi="Times New Roman"/>
              </w:rPr>
              <w:t>4</w:t>
            </w:r>
            <w:r w:rsidR="004A6045">
              <w:rPr>
                <w:rFonts w:ascii="Times New Roman" w:hAnsi="Times New Roman"/>
              </w:rPr>
              <w:t>79</w:t>
            </w:r>
          </w:p>
        </w:tc>
        <w:tc>
          <w:tcPr>
            <w:tcW w:w="392" w:type="pct"/>
            <w:tcBorders>
              <w:top w:val="single" w:sz="4" w:space="0" w:color="auto"/>
              <w:left w:val="single" w:sz="4" w:space="0" w:color="auto"/>
              <w:bottom w:val="single" w:sz="4" w:space="0" w:color="auto"/>
              <w:right w:val="single" w:sz="4" w:space="0" w:color="auto"/>
            </w:tcBorders>
            <w:vAlign w:val="center"/>
          </w:tcPr>
          <w:p w14:paraId="703100E5"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0C37119F"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445E265A"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Иркутская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14:paraId="6AF22E33" w14:textId="77777777" w:rsidR="00035F5B" w:rsidRPr="00414E7D" w:rsidRDefault="00035F5B" w:rsidP="004A6045">
            <w:pPr>
              <w:spacing w:after="0" w:line="240" w:lineRule="auto"/>
              <w:ind w:right="57"/>
              <w:jc w:val="center"/>
              <w:rPr>
                <w:rFonts w:ascii="Times New Roman" w:hAnsi="Times New Roman"/>
              </w:rPr>
            </w:pPr>
            <w:r w:rsidRPr="00414E7D">
              <w:rPr>
                <w:rFonts w:ascii="Times New Roman" w:hAnsi="Times New Roman"/>
              </w:rPr>
              <w:t>2</w:t>
            </w:r>
            <w:r w:rsidR="004A6045">
              <w:rPr>
                <w:rFonts w:ascii="Times New Roman" w:hAnsi="Times New Roman"/>
              </w:rPr>
              <w:t>60</w:t>
            </w:r>
          </w:p>
        </w:tc>
        <w:tc>
          <w:tcPr>
            <w:tcW w:w="413" w:type="pct"/>
            <w:tcBorders>
              <w:top w:val="single" w:sz="4" w:space="0" w:color="auto"/>
              <w:left w:val="single" w:sz="4" w:space="0" w:color="auto"/>
              <w:bottom w:val="single" w:sz="4" w:space="0" w:color="auto"/>
              <w:right w:val="single" w:sz="4" w:space="0" w:color="auto"/>
            </w:tcBorders>
            <w:vAlign w:val="center"/>
          </w:tcPr>
          <w:p w14:paraId="67E33CC2" w14:textId="77777777" w:rsidR="00035F5B" w:rsidRPr="00414E7D" w:rsidRDefault="00035F5B" w:rsidP="004A6045">
            <w:pPr>
              <w:spacing w:after="0" w:line="240" w:lineRule="auto"/>
              <w:ind w:right="57"/>
              <w:jc w:val="center"/>
              <w:rPr>
                <w:rFonts w:ascii="Times New Roman" w:hAnsi="Times New Roman"/>
              </w:rPr>
            </w:pPr>
            <w:r w:rsidRPr="00414E7D">
              <w:rPr>
                <w:rFonts w:ascii="Times New Roman" w:hAnsi="Times New Roman"/>
              </w:rPr>
              <w:t>5</w:t>
            </w:r>
            <w:r w:rsidR="004A6045">
              <w:rPr>
                <w:rFonts w:ascii="Times New Roman" w:hAnsi="Times New Roman"/>
              </w:rPr>
              <w:t>2</w:t>
            </w:r>
            <w:r w:rsidRPr="00414E7D">
              <w:rPr>
                <w:rFonts w:ascii="Times New Roman" w:hAnsi="Times New Roman"/>
              </w:rPr>
              <w:t>0</w:t>
            </w:r>
          </w:p>
        </w:tc>
        <w:tc>
          <w:tcPr>
            <w:tcW w:w="390" w:type="pct"/>
            <w:tcBorders>
              <w:top w:val="single" w:sz="4" w:space="0" w:color="auto"/>
              <w:left w:val="single" w:sz="4" w:space="0" w:color="auto"/>
              <w:bottom w:val="single" w:sz="4" w:space="0" w:color="auto"/>
              <w:right w:val="single" w:sz="4" w:space="0" w:color="auto"/>
            </w:tcBorders>
            <w:vAlign w:val="center"/>
          </w:tcPr>
          <w:p w14:paraId="139EBD6A" w14:textId="77777777" w:rsidR="00035F5B" w:rsidRPr="00414E7D" w:rsidRDefault="00035F5B" w:rsidP="004A6045">
            <w:pPr>
              <w:spacing w:after="0" w:line="240" w:lineRule="auto"/>
              <w:ind w:right="57"/>
              <w:jc w:val="center"/>
              <w:rPr>
                <w:rFonts w:ascii="Times New Roman" w:hAnsi="Times New Roman"/>
              </w:rPr>
            </w:pPr>
            <w:r w:rsidRPr="00414E7D">
              <w:rPr>
                <w:rFonts w:ascii="Times New Roman" w:hAnsi="Times New Roman"/>
              </w:rPr>
              <w:t>3</w:t>
            </w:r>
            <w:r w:rsidR="004A6045">
              <w:rPr>
                <w:rFonts w:ascii="Times New Roman" w:hAnsi="Times New Roman"/>
              </w:rPr>
              <w:t>90</w:t>
            </w:r>
          </w:p>
        </w:tc>
        <w:tc>
          <w:tcPr>
            <w:tcW w:w="420" w:type="pct"/>
            <w:tcBorders>
              <w:top w:val="single" w:sz="4" w:space="0" w:color="auto"/>
              <w:left w:val="single" w:sz="4" w:space="0" w:color="auto"/>
              <w:bottom w:val="single" w:sz="4" w:space="0" w:color="auto"/>
              <w:right w:val="single" w:sz="4" w:space="0" w:color="auto"/>
            </w:tcBorders>
            <w:vAlign w:val="center"/>
          </w:tcPr>
          <w:p w14:paraId="4BD5444E" w14:textId="77777777" w:rsidR="00035F5B" w:rsidRPr="00414E7D" w:rsidRDefault="00035F5B" w:rsidP="004A6045">
            <w:pPr>
              <w:spacing w:after="0" w:line="240" w:lineRule="auto"/>
              <w:ind w:right="57"/>
              <w:jc w:val="center"/>
              <w:rPr>
                <w:rFonts w:ascii="Times New Roman" w:hAnsi="Times New Roman"/>
              </w:rPr>
            </w:pPr>
            <w:r w:rsidRPr="00414E7D">
              <w:rPr>
                <w:rFonts w:ascii="Times New Roman" w:hAnsi="Times New Roman"/>
              </w:rPr>
              <w:t>3</w:t>
            </w:r>
            <w:r w:rsidR="004A6045">
              <w:rPr>
                <w:rFonts w:ascii="Times New Roman" w:hAnsi="Times New Roman"/>
              </w:rPr>
              <w:t>90</w:t>
            </w:r>
          </w:p>
        </w:tc>
        <w:tc>
          <w:tcPr>
            <w:tcW w:w="416" w:type="pct"/>
            <w:tcBorders>
              <w:top w:val="single" w:sz="4" w:space="0" w:color="auto"/>
              <w:left w:val="single" w:sz="4" w:space="0" w:color="auto"/>
              <w:bottom w:val="single" w:sz="4" w:space="0" w:color="auto"/>
              <w:right w:val="single" w:sz="4" w:space="0" w:color="auto"/>
            </w:tcBorders>
            <w:vAlign w:val="center"/>
          </w:tcPr>
          <w:p w14:paraId="4FAA3209"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14:paraId="4F4E6AF8"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0E6A94EC"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29DFD9A2"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0BACE2AA"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028039D3"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67A3ACB6"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37ABBC8F" w14:textId="77777777" w:rsidR="00035F5B" w:rsidRPr="00414E7D" w:rsidRDefault="00035F5B" w:rsidP="004A6045">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Кемеровская область</w:t>
            </w:r>
            <w:r w:rsidR="004A6045">
              <w:rPr>
                <w:rFonts w:ascii="Times New Roman" w:eastAsia="Times New Roman" w:hAnsi="Times New Roman" w:cs="Times New Roman"/>
                <w:sz w:val="24"/>
                <w:szCs w:val="24"/>
                <w:vertAlign w:val="superscript"/>
                <w:lang w:eastAsia="ru-RU"/>
              </w:rPr>
              <w:t>8</w:t>
            </w:r>
          </w:p>
        </w:tc>
        <w:tc>
          <w:tcPr>
            <w:tcW w:w="411" w:type="pct"/>
            <w:tcBorders>
              <w:top w:val="single" w:sz="4" w:space="0" w:color="auto"/>
              <w:left w:val="single" w:sz="4" w:space="0" w:color="auto"/>
              <w:bottom w:val="single" w:sz="4" w:space="0" w:color="auto"/>
              <w:right w:val="single" w:sz="4" w:space="0" w:color="auto"/>
            </w:tcBorders>
            <w:vAlign w:val="center"/>
          </w:tcPr>
          <w:p w14:paraId="526D8278" w14:textId="77777777" w:rsidR="00035F5B" w:rsidRPr="00414E7D" w:rsidRDefault="004A6045" w:rsidP="004A6045">
            <w:pPr>
              <w:spacing w:after="0" w:line="240" w:lineRule="auto"/>
              <w:ind w:right="57"/>
              <w:jc w:val="center"/>
              <w:rPr>
                <w:rFonts w:ascii="Times New Roman" w:hAnsi="Times New Roman"/>
              </w:rPr>
            </w:pPr>
            <w:r>
              <w:rPr>
                <w:rFonts w:ascii="Times New Roman" w:hAnsi="Times New Roman"/>
              </w:rPr>
              <w:t>353</w:t>
            </w:r>
          </w:p>
        </w:tc>
        <w:tc>
          <w:tcPr>
            <w:tcW w:w="413" w:type="pct"/>
            <w:tcBorders>
              <w:top w:val="single" w:sz="4" w:space="0" w:color="auto"/>
              <w:left w:val="single" w:sz="4" w:space="0" w:color="auto"/>
              <w:bottom w:val="single" w:sz="4" w:space="0" w:color="auto"/>
              <w:right w:val="single" w:sz="4" w:space="0" w:color="auto"/>
            </w:tcBorders>
            <w:vAlign w:val="center"/>
          </w:tcPr>
          <w:p w14:paraId="4E331FEB" w14:textId="77777777" w:rsidR="00035F5B" w:rsidRPr="00414E7D" w:rsidRDefault="004A6045" w:rsidP="00035F5B">
            <w:pPr>
              <w:spacing w:after="0" w:line="240" w:lineRule="auto"/>
              <w:ind w:right="57"/>
              <w:jc w:val="center"/>
              <w:rPr>
                <w:rFonts w:ascii="Times New Roman" w:hAnsi="Times New Roman"/>
              </w:rPr>
            </w:pPr>
            <w:r>
              <w:rPr>
                <w:rFonts w:ascii="Times New Roman" w:hAnsi="Times New Roman"/>
              </w:rPr>
              <w:t>643</w:t>
            </w:r>
          </w:p>
        </w:tc>
        <w:tc>
          <w:tcPr>
            <w:tcW w:w="390" w:type="pct"/>
            <w:tcBorders>
              <w:top w:val="single" w:sz="4" w:space="0" w:color="auto"/>
              <w:left w:val="single" w:sz="4" w:space="0" w:color="auto"/>
              <w:bottom w:val="single" w:sz="4" w:space="0" w:color="auto"/>
              <w:right w:val="single" w:sz="4" w:space="0" w:color="auto"/>
            </w:tcBorders>
            <w:vAlign w:val="center"/>
          </w:tcPr>
          <w:p w14:paraId="1A5C4A8C" w14:textId="77777777" w:rsidR="00035F5B" w:rsidRPr="00414E7D" w:rsidRDefault="004A6045" w:rsidP="00035F5B">
            <w:pPr>
              <w:spacing w:after="0" w:line="240" w:lineRule="auto"/>
              <w:ind w:right="57"/>
              <w:jc w:val="center"/>
              <w:rPr>
                <w:rFonts w:ascii="Times New Roman" w:hAnsi="Times New Roman"/>
              </w:rPr>
            </w:pPr>
            <w:r>
              <w:rPr>
                <w:rFonts w:ascii="Times New Roman" w:hAnsi="Times New Roman"/>
              </w:rPr>
              <w:t>498</w:t>
            </w:r>
          </w:p>
        </w:tc>
        <w:tc>
          <w:tcPr>
            <w:tcW w:w="420" w:type="pct"/>
            <w:tcBorders>
              <w:top w:val="single" w:sz="4" w:space="0" w:color="auto"/>
              <w:left w:val="single" w:sz="4" w:space="0" w:color="auto"/>
              <w:bottom w:val="single" w:sz="4" w:space="0" w:color="auto"/>
              <w:right w:val="single" w:sz="4" w:space="0" w:color="auto"/>
            </w:tcBorders>
            <w:vAlign w:val="center"/>
          </w:tcPr>
          <w:p w14:paraId="61A49DF8" w14:textId="77777777" w:rsidR="00035F5B" w:rsidRPr="00414E7D" w:rsidRDefault="004A6045" w:rsidP="00035F5B">
            <w:pPr>
              <w:spacing w:after="0" w:line="240" w:lineRule="auto"/>
              <w:ind w:right="57"/>
              <w:jc w:val="center"/>
              <w:rPr>
                <w:rFonts w:ascii="Times New Roman" w:hAnsi="Times New Roman"/>
              </w:rPr>
            </w:pPr>
            <w:r>
              <w:rPr>
                <w:rFonts w:ascii="Times New Roman" w:hAnsi="Times New Roman"/>
              </w:rPr>
              <w:t>498</w:t>
            </w:r>
          </w:p>
        </w:tc>
        <w:tc>
          <w:tcPr>
            <w:tcW w:w="416" w:type="pct"/>
            <w:tcBorders>
              <w:top w:val="single" w:sz="4" w:space="0" w:color="auto"/>
              <w:left w:val="single" w:sz="4" w:space="0" w:color="auto"/>
              <w:bottom w:val="single" w:sz="4" w:space="0" w:color="auto"/>
              <w:right w:val="single" w:sz="4" w:space="0" w:color="auto"/>
            </w:tcBorders>
            <w:vAlign w:val="center"/>
          </w:tcPr>
          <w:p w14:paraId="034D2D61" w14:textId="77777777" w:rsidR="00035F5B" w:rsidRPr="00414E7D" w:rsidRDefault="00035F5B" w:rsidP="00035F5B">
            <w:pPr>
              <w:spacing w:after="0" w:line="240" w:lineRule="auto"/>
              <w:ind w:right="57"/>
              <w:jc w:val="center"/>
              <w:rPr>
                <w:rFonts w:ascii="Times New Roman" w:hAnsi="Times New Roman"/>
              </w:rPr>
            </w:pPr>
          </w:p>
        </w:tc>
        <w:tc>
          <w:tcPr>
            <w:tcW w:w="421" w:type="pct"/>
            <w:tcBorders>
              <w:top w:val="single" w:sz="4" w:space="0" w:color="auto"/>
              <w:left w:val="single" w:sz="4" w:space="0" w:color="auto"/>
              <w:bottom w:val="single" w:sz="4" w:space="0" w:color="auto"/>
              <w:right w:val="single" w:sz="4" w:space="0" w:color="auto"/>
            </w:tcBorders>
            <w:vAlign w:val="center"/>
          </w:tcPr>
          <w:p w14:paraId="42D2A680" w14:textId="77777777" w:rsidR="00035F5B" w:rsidRPr="00414E7D" w:rsidRDefault="00035F5B" w:rsidP="00035F5B">
            <w:pPr>
              <w:spacing w:after="0" w:line="240" w:lineRule="auto"/>
              <w:ind w:right="57"/>
              <w:jc w:val="center"/>
              <w:rPr>
                <w:rFonts w:ascii="Times New Roman" w:hAnsi="Times New Roman"/>
              </w:rPr>
            </w:pPr>
          </w:p>
        </w:tc>
        <w:tc>
          <w:tcPr>
            <w:tcW w:w="439" w:type="pct"/>
            <w:tcBorders>
              <w:top w:val="single" w:sz="4" w:space="0" w:color="auto"/>
              <w:left w:val="single" w:sz="4" w:space="0" w:color="auto"/>
              <w:bottom w:val="single" w:sz="4" w:space="0" w:color="auto"/>
              <w:right w:val="single" w:sz="4" w:space="0" w:color="auto"/>
            </w:tcBorders>
            <w:vAlign w:val="center"/>
          </w:tcPr>
          <w:p w14:paraId="264A4230" w14:textId="77777777" w:rsidR="00035F5B" w:rsidRPr="00414E7D" w:rsidRDefault="00035F5B" w:rsidP="00035F5B">
            <w:pPr>
              <w:spacing w:after="0" w:line="240" w:lineRule="auto"/>
              <w:ind w:right="57"/>
              <w:jc w:val="center"/>
              <w:rPr>
                <w:rFonts w:ascii="Times New Roman" w:hAnsi="Times New Roman"/>
              </w:rPr>
            </w:pPr>
          </w:p>
        </w:tc>
        <w:tc>
          <w:tcPr>
            <w:tcW w:w="404" w:type="pct"/>
            <w:tcBorders>
              <w:top w:val="single" w:sz="4" w:space="0" w:color="auto"/>
              <w:left w:val="single" w:sz="4" w:space="0" w:color="auto"/>
              <w:bottom w:val="single" w:sz="4" w:space="0" w:color="auto"/>
              <w:right w:val="single" w:sz="4" w:space="0" w:color="auto"/>
            </w:tcBorders>
            <w:vAlign w:val="center"/>
          </w:tcPr>
          <w:p w14:paraId="09D9F313" w14:textId="77777777" w:rsidR="00035F5B" w:rsidRPr="00414E7D" w:rsidRDefault="004A6045" w:rsidP="00035F5B">
            <w:pPr>
              <w:spacing w:after="0" w:line="240" w:lineRule="auto"/>
              <w:ind w:right="57"/>
              <w:jc w:val="center"/>
              <w:rPr>
                <w:rFonts w:ascii="Times New Roman" w:hAnsi="Times New Roman"/>
              </w:rPr>
            </w:pPr>
            <w:r>
              <w:rPr>
                <w:rFonts w:ascii="Times New Roman" w:hAnsi="Times New Roman"/>
              </w:rPr>
              <w:t>560</w:t>
            </w:r>
          </w:p>
        </w:tc>
        <w:tc>
          <w:tcPr>
            <w:tcW w:w="434" w:type="pct"/>
            <w:tcBorders>
              <w:top w:val="single" w:sz="4" w:space="0" w:color="auto"/>
              <w:left w:val="single" w:sz="4" w:space="0" w:color="auto"/>
              <w:bottom w:val="single" w:sz="4" w:space="0" w:color="auto"/>
              <w:right w:val="single" w:sz="4" w:space="0" w:color="auto"/>
            </w:tcBorders>
            <w:vAlign w:val="center"/>
          </w:tcPr>
          <w:p w14:paraId="094EC5E5"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2E0A9931" w14:textId="77777777" w:rsidR="00035F5B" w:rsidRPr="00414E7D" w:rsidRDefault="004A6045" w:rsidP="004A6045">
            <w:pPr>
              <w:spacing w:after="0" w:line="240" w:lineRule="auto"/>
              <w:ind w:right="57"/>
              <w:jc w:val="center"/>
              <w:rPr>
                <w:rFonts w:ascii="Times New Roman" w:hAnsi="Times New Roman"/>
              </w:rPr>
            </w:pPr>
            <w:r>
              <w:rPr>
                <w:rFonts w:ascii="Times New Roman" w:hAnsi="Times New Roman"/>
              </w:rPr>
              <w:t>643</w:t>
            </w:r>
            <w:r w:rsidR="00035F5B" w:rsidRPr="00414E7D">
              <w:rPr>
                <w:rFonts w:ascii="Times New Roman" w:hAnsi="Times New Roman"/>
              </w:rPr>
              <w:t xml:space="preserve">; </w:t>
            </w:r>
            <w:r>
              <w:rPr>
                <w:rFonts w:ascii="Times New Roman" w:hAnsi="Times New Roman"/>
              </w:rPr>
              <w:t>809</w:t>
            </w:r>
          </w:p>
        </w:tc>
      </w:tr>
      <w:tr w:rsidR="00035F5B" w:rsidRPr="00414E7D" w14:paraId="122011F7"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3"/>
          <w:jc w:val="center"/>
        </w:trPr>
        <w:tc>
          <w:tcPr>
            <w:tcW w:w="860" w:type="pct"/>
            <w:tcBorders>
              <w:top w:val="single" w:sz="4" w:space="0" w:color="auto"/>
              <w:left w:val="single" w:sz="4" w:space="0" w:color="auto"/>
              <w:bottom w:val="single" w:sz="4" w:space="0" w:color="auto"/>
              <w:right w:val="single" w:sz="4" w:space="0" w:color="auto"/>
            </w:tcBorders>
            <w:vAlign w:val="center"/>
          </w:tcPr>
          <w:p w14:paraId="0D25C000"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Новосибирская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14:paraId="7C437977" w14:textId="77777777" w:rsidR="00035F5B" w:rsidRPr="00414E7D" w:rsidRDefault="00035F5B" w:rsidP="004A6045">
            <w:pPr>
              <w:spacing w:after="0" w:line="240" w:lineRule="auto"/>
              <w:ind w:right="57"/>
              <w:jc w:val="center"/>
              <w:rPr>
                <w:rFonts w:ascii="Times New Roman" w:hAnsi="Times New Roman"/>
              </w:rPr>
            </w:pPr>
            <w:r w:rsidRPr="00414E7D">
              <w:rPr>
                <w:rFonts w:ascii="Times New Roman" w:hAnsi="Times New Roman"/>
              </w:rPr>
              <w:t>3</w:t>
            </w:r>
            <w:r w:rsidR="004A6045">
              <w:rPr>
                <w:rFonts w:ascii="Times New Roman" w:hAnsi="Times New Roman"/>
              </w:rPr>
              <w:t>58</w:t>
            </w:r>
          </w:p>
        </w:tc>
        <w:tc>
          <w:tcPr>
            <w:tcW w:w="413" w:type="pct"/>
            <w:tcBorders>
              <w:top w:val="single" w:sz="4" w:space="0" w:color="auto"/>
              <w:left w:val="single" w:sz="4" w:space="0" w:color="auto"/>
              <w:bottom w:val="single" w:sz="4" w:space="0" w:color="auto"/>
              <w:right w:val="single" w:sz="4" w:space="0" w:color="auto"/>
            </w:tcBorders>
            <w:vAlign w:val="center"/>
          </w:tcPr>
          <w:p w14:paraId="4397D6A5" w14:textId="77777777" w:rsidR="00035F5B" w:rsidRPr="00414E7D" w:rsidRDefault="00035F5B" w:rsidP="004A6045">
            <w:pPr>
              <w:spacing w:after="0" w:line="240" w:lineRule="auto"/>
              <w:ind w:right="57"/>
              <w:jc w:val="center"/>
              <w:rPr>
                <w:rFonts w:ascii="Times New Roman" w:hAnsi="Times New Roman"/>
              </w:rPr>
            </w:pPr>
            <w:r w:rsidRPr="00414E7D">
              <w:rPr>
                <w:rFonts w:ascii="Times New Roman" w:hAnsi="Times New Roman"/>
              </w:rPr>
              <w:t>5</w:t>
            </w:r>
            <w:r w:rsidR="004A6045">
              <w:rPr>
                <w:rFonts w:ascii="Times New Roman" w:hAnsi="Times New Roman"/>
              </w:rPr>
              <w:t>38</w:t>
            </w:r>
          </w:p>
        </w:tc>
        <w:tc>
          <w:tcPr>
            <w:tcW w:w="390" w:type="pct"/>
            <w:tcBorders>
              <w:top w:val="single" w:sz="4" w:space="0" w:color="auto"/>
              <w:left w:val="single" w:sz="4" w:space="0" w:color="auto"/>
              <w:bottom w:val="single" w:sz="4" w:space="0" w:color="auto"/>
              <w:right w:val="single" w:sz="4" w:space="0" w:color="auto"/>
            </w:tcBorders>
            <w:vAlign w:val="center"/>
          </w:tcPr>
          <w:p w14:paraId="33126111" w14:textId="77777777" w:rsidR="00035F5B" w:rsidRPr="00414E7D" w:rsidRDefault="00035F5B" w:rsidP="004A6045">
            <w:pPr>
              <w:spacing w:after="0" w:line="240" w:lineRule="auto"/>
              <w:ind w:right="57"/>
              <w:jc w:val="center"/>
              <w:rPr>
                <w:rFonts w:ascii="Times New Roman" w:hAnsi="Times New Roman"/>
              </w:rPr>
            </w:pPr>
            <w:r w:rsidRPr="00414E7D">
              <w:rPr>
                <w:rFonts w:ascii="Times New Roman" w:hAnsi="Times New Roman"/>
              </w:rPr>
              <w:t>5</w:t>
            </w:r>
            <w:r w:rsidR="004A6045">
              <w:rPr>
                <w:rFonts w:ascii="Times New Roman" w:hAnsi="Times New Roman"/>
              </w:rPr>
              <w:t>38</w:t>
            </w:r>
          </w:p>
        </w:tc>
        <w:tc>
          <w:tcPr>
            <w:tcW w:w="420" w:type="pct"/>
            <w:tcBorders>
              <w:top w:val="single" w:sz="4" w:space="0" w:color="auto"/>
              <w:left w:val="single" w:sz="4" w:space="0" w:color="auto"/>
              <w:bottom w:val="single" w:sz="4" w:space="0" w:color="auto"/>
              <w:right w:val="single" w:sz="4" w:space="0" w:color="auto"/>
            </w:tcBorders>
            <w:vAlign w:val="center"/>
          </w:tcPr>
          <w:p w14:paraId="63229CF2" w14:textId="77777777" w:rsidR="00035F5B" w:rsidRPr="00414E7D" w:rsidRDefault="00035F5B" w:rsidP="004A6045">
            <w:pPr>
              <w:spacing w:after="0" w:line="240" w:lineRule="auto"/>
              <w:ind w:right="57"/>
              <w:jc w:val="center"/>
              <w:rPr>
                <w:rFonts w:ascii="Times New Roman" w:hAnsi="Times New Roman"/>
              </w:rPr>
            </w:pPr>
            <w:r w:rsidRPr="00414E7D">
              <w:rPr>
                <w:rFonts w:ascii="Times New Roman" w:hAnsi="Times New Roman"/>
              </w:rPr>
              <w:t>5</w:t>
            </w:r>
            <w:r w:rsidR="004A6045">
              <w:rPr>
                <w:rFonts w:ascii="Times New Roman" w:hAnsi="Times New Roman"/>
              </w:rPr>
              <w:t>38</w:t>
            </w:r>
          </w:p>
        </w:tc>
        <w:tc>
          <w:tcPr>
            <w:tcW w:w="416" w:type="pct"/>
            <w:tcBorders>
              <w:top w:val="single" w:sz="4" w:space="0" w:color="auto"/>
              <w:left w:val="single" w:sz="4" w:space="0" w:color="auto"/>
              <w:bottom w:val="single" w:sz="4" w:space="0" w:color="auto"/>
              <w:right w:val="single" w:sz="4" w:space="0" w:color="auto"/>
            </w:tcBorders>
            <w:vAlign w:val="center"/>
          </w:tcPr>
          <w:p w14:paraId="41EBCC9A" w14:textId="77777777" w:rsidR="00035F5B" w:rsidRPr="00414E7D" w:rsidRDefault="00035F5B" w:rsidP="004A6045">
            <w:pPr>
              <w:spacing w:after="0" w:line="240" w:lineRule="auto"/>
              <w:ind w:right="57"/>
              <w:jc w:val="center"/>
              <w:rPr>
                <w:rFonts w:ascii="Times New Roman" w:hAnsi="Times New Roman"/>
              </w:rPr>
            </w:pPr>
            <w:r w:rsidRPr="00414E7D">
              <w:rPr>
                <w:rFonts w:ascii="Times New Roman" w:hAnsi="Times New Roman"/>
              </w:rPr>
              <w:t>3</w:t>
            </w:r>
            <w:r w:rsidR="004A6045">
              <w:rPr>
                <w:rFonts w:ascii="Times New Roman" w:hAnsi="Times New Roman"/>
              </w:rPr>
              <w:t>58</w:t>
            </w:r>
          </w:p>
        </w:tc>
        <w:tc>
          <w:tcPr>
            <w:tcW w:w="421" w:type="pct"/>
            <w:tcBorders>
              <w:top w:val="single" w:sz="4" w:space="0" w:color="auto"/>
              <w:left w:val="single" w:sz="4" w:space="0" w:color="auto"/>
              <w:bottom w:val="single" w:sz="4" w:space="0" w:color="auto"/>
              <w:right w:val="single" w:sz="4" w:space="0" w:color="auto"/>
            </w:tcBorders>
            <w:vAlign w:val="center"/>
          </w:tcPr>
          <w:p w14:paraId="0E14FDE0" w14:textId="77777777" w:rsidR="00035F5B" w:rsidRPr="00414E7D" w:rsidRDefault="00035F5B" w:rsidP="004A6045">
            <w:pPr>
              <w:spacing w:after="0" w:line="240" w:lineRule="auto"/>
              <w:ind w:right="57"/>
              <w:jc w:val="center"/>
              <w:rPr>
                <w:rFonts w:ascii="Times New Roman" w:hAnsi="Times New Roman"/>
              </w:rPr>
            </w:pPr>
            <w:r w:rsidRPr="00414E7D">
              <w:rPr>
                <w:rFonts w:ascii="Times New Roman" w:hAnsi="Times New Roman"/>
              </w:rPr>
              <w:t>3</w:t>
            </w:r>
            <w:r w:rsidR="004A6045">
              <w:rPr>
                <w:rFonts w:ascii="Times New Roman" w:hAnsi="Times New Roman"/>
              </w:rPr>
              <w:t>58</w:t>
            </w:r>
          </w:p>
        </w:tc>
        <w:tc>
          <w:tcPr>
            <w:tcW w:w="439" w:type="pct"/>
            <w:tcBorders>
              <w:top w:val="single" w:sz="4" w:space="0" w:color="auto"/>
              <w:left w:val="single" w:sz="4" w:space="0" w:color="auto"/>
              <w:bottom w:val="single" w:sz="4" w:space="0" w:color="auto"/>
              <w:right w:val="single" w:sz="4" w:space="0" w:color="auto"/>
            </w:tcBorders>
            <w:vAlign w:val="center"/>
          </w:tcPr>
          <w:p w14:paraId="565C2A41" w14:textId="77777777" w:rsidR="00035F5B" w:rsidRPr="00414E7D" w:rsidRDefault="00035F5B" w:rsidP="004A6045">
            <w:pPr>
              <w:spacing w:after="0" w:line="240" w:lineRule="auto"/>
              <w:ind w:right="57"/>
              <w:jc w:val="center"/>
              <w:rPr>
                <w:rFonts w:ascii="Times New Roman" w:hAnsi="Times New Roman"/>
              </w:rPr>
            </w:pPr>
            <w:r w:rsidRPr="00414E7D">
              <w:rPr>
                <w:rFonts w:ascii="Times New Roman" w:hAnsi="Times New Roman"/>
              </w:rPr>
              <w:t>3</w:t>
            </w:r>
            <w:r w:rsidR="004A6045">
              <w:rPr>
                <w:rFonts w:ascii="Times New Roman" w:hAnsi="Times New Roman"/>
              </w:rPr>
              <w:t>58</w:t>
            </w:r>
          </w:p>
        </w:tc>
        <w:tc>
          <w:tcPr>
            <w:tcW w:w="404" w:type="pct"/>
            <w:tcBorders>
              <w:top w:val="single" w:sz="4" w:space="0" w:color="auto"/>
              <w:left w:val="single" w:sz="4" w:space="0" w:color="auto"/>
              <w:bottom w:val="single" w:sz="4" w:space="0" w:color="auto"/>
              <w:right w:val="single" w:sz="4" w:space="0" w:color="auto"/>
            </w:tcBorders>
            <w:vAlign w:val="center"/>
          </w:tcPr>
          <w:p w14:paraId="28CDDC14" w14:textId="77777777" w:rsidR="00035F5B" w:rsidRPr="00414E7D" w:rsidRDefault="00035F5B" w:rsidP="004A6045">
            <w:pPr>
              <w:spacing w:after="0" w:line="240" w:lineRule="auto"/>
              <w:ind w:right="57"/>
              <w:jc w:val="center"/>
              <w:rPr>
                <w:rFonts w:ascii="Times New Roman" w:hAnsi="Times New Roman"/>
              </w:rPr>
            </w:pPr>
            <w:r w:rsidRPr="00414E7D">
              <w:rPr>
                <w:rFonts w:ascii="Times New Roman" w:hAnsi="Times New Roman"/>
              </w:rPr>
              <w:t>3</w:t>
            </w:r>
            <w:r w:rsidR="004A6045">
              <w:rPr>
                <w:rFonts w:ascii="Times New Roman" w:hAnsi="Times New Roman"/>
              </w:rPr>
              <w:t>58</w:t>
            </w:r>
          </w:p>
        </w:tc>
        <w:tc>
          <w:tcPr>
            <w:tcW w:w="434" w:type="pct"/>
            <w:tcBorders>
              <w:top w:val="single" w:sz="4" w:space="0" w:color="auto"/>
              <w:left w:val="single" w:sz="4" w:space="0" w:color="auto"/>
              <w:bottom w:val="single" w:sz="4" w:space="0" w:color="auto"/>
              <w:right w:val="single" w:sz="4" w:space="0" w:color="auto"/>
            </w:tcBorders>
            <w:vAlign w:val="center"/>
          </w:tcPr>
          <w:p w14:paraId="7C80A448" w14:textId="77777777" w:rsidR="00035F5B" w:rsidRPr="00414E7D" w:rsidRDefault="00035F5B" w:rsidP="004A6045">
            <w:pPr>
              <w:spacing w:after="0" w:line="240" w:lineRule="auto"/>
              <w:ind w:right="57"/>
              <w:jc w:val="center"/>
              <w:rPr>
                <w:rFonts w:ascii="Times New Roman" w:hAnsi="Times New Roman"/>
              </w:rPr>
            </w:pPr>
            <w:r w:rsidRPr="00414E7D">
              <w:rPr>
                <w:rFonts w:ascii="Times New Roman" w:hAnsi="Times New Roman"/>
              </w:rPr>
              <w:t>3</w:t>
            </w:r>
            <w:r w:rsidR="004A6045">
              <w:rPr>
                <w:rFonts w:ascii="Times New Roman" w:hAnsi="Times New Roman"/>
              </w:rPr>
              <w:t>58</w:t>
            </w:r>
          </w:p>
        </w:tc>
        <w:tc>
          <w:tcPr>
            <w:tcW w:w="392" w:type="pct"/>
            <w:tcBorders>
              <w:top w:val="single" w:sz="4" w:space="0" w:color="auto"/>
              <w:left w:val="single" w:sz="4" w:space="0" w:color="auto"/>
              <w:bottom w:val="single" w:sz="4" w:space="0" w:color="auto"/>
              <w:right w:val="single" w:sz="4" w:space="0" w:color="auto"/>
            </w:tcBorders>
            <w:vAlign w:val="center"/>
          </w:tcPr>
          <w:p w14:paraId="6E2B671F" w14:textId="77777777" w:rsidR="00035F5B" w:rsidRPr="00414E7D" w:rsidRDefault="00035F5B" w:rsidP="004A6045">
            <w:pPr>
              <w:spacing w:after="0" w:line="240" w:lineRule="auto"/>
              <w:ind w:right="57"/>
              <w:jc w:val="center"/>
              <w:rPr>
                <w:rFonts w:ascii="Times New Roman" w:hAnsi="Times New Roman"/>
              </w:rPr>
            </w:pPr>
            <w:r w:rsidRPr="00414E7D">
              <w:rPr>
                <w:rFonts w:ascii="Times New Roman" w:hAnsi="Times New Roman"/>
              </w:rPr>
              <w:t>5</w:t>
            </w:r>
            <w:r w:rsidR="004A6045">
              <w:rPr>
                <w:rFonts w:ascii="Times New Roman" w:hAnsi="Times New Roman"/>
              </w:rPr>
              <w:t>38</w:t>
            </w:r>
          </w:p>
        </w:tc>
      </w:tr>
      <w:tr w:rsidR="00035F5B" w:rsidRPr="00414E7D" w14:paraId="4EE6D97E"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735DF463"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Омская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14:paraId="76757AFD" w14:textId="77777777" w:rsidR="00035F5B" w:rsidRPr="00414E7D" w:rsidRDefault="00035F5B" w:rsidP="004A6045">
            <w:pPr>
              <w:spacing w:after="0" w:line="240" w:lineRule="auto"/>
              <w:ind w:right="57"/>
              <w:jc w:val="center"/>
              <w:rPr>
                <w:rFonts w:ascii="Times New Roman" w:hAnsi="Times New Roman"/>
              </w:rPr>
            </w:pPr>
            <w:r w:rsidRPr="00414E7D">
              <w:rPr>
                <w:rFonts w:ascii="Times New Roman" w:hAnsi="Times New Roman"/>
              </w:rPr>
              <w:t>3</w:t>
            </w:r>
            <w:r w:rsidR="004A6045">
              <w:rPr>
                <w:rFonts w:ascii="Times New Roman" w:hAnsi="Times New Roman"/>
              </w:rPr>
              <w:t>11</w:t>
            </w:r>
          </w:p>
        </w:tc>
        <w:tc>
          <w:tcPr>
            <w:tcW w:w="413" w:type="pct"/>
            <w:tcBorders>
              <w:top w:val="single" w:sz="4" w:space="0" w:color="auto"/>
              <w:left w:val="single" w:sz="4" w:space="0" w:color="auto"/>
              <w:bottom w:val="single" w:sz="4" w:space="0" w:color="auto"/>
              <w:right w:val="single" w:sz="4" w:space="0" w:color="auto"/>
            </w:tcBorders>
            <w:vAlign w:val="center"/>
          </w:tcPr>
          <w:p w14:paraId="13FC3406" w14:textId="77777777" w:rsidR="00035F5B" w:rsidRPr="00414E7D" w:rsidRDefault="00035F5B" w:rsidP="004A6045">
            <w:pPr>
              <w:spacing w:after="0" w:line="240" w:lineRule="auto"/>
              <w:ind w:right="57"/>
              <w:jc w:val="center"/>
              <w:rPr>
                <w:rFonts w:ascii="Times New Roman" w:hAnsi="Times New Roman"/>
              </w:rPr>
            </w:pPr>
            <w:r w:rsidRPr="00414E7D">
              <w:rPr>
                <w:rFonts w:ascii="Times New Roman" w:hAnsi="Times New Roman"/>
              </w:rPr>
              <w:t>9</w:t>
            </w:r>
            <w:r w:rsidR="004A6045">
              <w:rPr>
                <w:rFonts w:ascii="Times New Roman" w:hAnsi="Times New Roman"/>
              </w:rPr>
              <w:t>67</w:t>
            </w:r>
          </w:p>
        </w:tc>
        <w:tc>
          <w:tcPr>
            <w:tcW w:w="390" w:type="pct"/>
            <w:tcBorders>
              <w:top w:val="single" w:sz="4" w:space="0" w:color="auto"/>
              <w:left w:val="single" w:sz="4" w:space="0" w:color="auto"/>
              <w:bottom w:val="single" w:sz="4" w:space="0" w:color="auto"/>
              <w:right w:val="single" w:sz="4" w:space="0" w:color="auto"/>
            </w:tcBorders>
            <w:vAlign w:val="center"/>
          </w:tcPr>
          <w:p w14:paraId="4D648440" w14:textId="77777777" w:rsidR="00035F5B" w:rsidRPr="00414E7D" w:rsidRDefault="004A6045" w:rsidP="00035F5B">
            <w:pPr>
              <w:spacing w:after="0" w:line="240" w:lineRule="auto"/>
              <w:ind w:right="57"/>
              <w:jc w:val="center"/>
              <w:rPr>
                <w:rFonts w:ascii="Times New Roman" w:hAnsi="Times New Roman"/>
              </w:rPr>
            </w:pPr>
            <w:r>
              <w:rPr>
                <w:rFonts w:ascii="Times New Roman" w:hAnsi="Times New Roman"/>
              </w:rPr>
              <w:t>967</w:t>
            </w:r>
          </w:p>
        </w:tc>
        <w:tc>
          <w:tcPr>
            <w:tcW w:w="420" w:type="pct"/>
            <w:tcBorders>
              <w:top w:val="single" w:sz="4" w:space="0" w:color="auto"/>
              <w:left w:val="single" w:sz="4" w:space="0" w:color="auto"/>
              <w:bottom w:val="single" w:sz="4" w:space="0" w:color="auto"/>
              <w:right w:val="single" w:sz="4" w:space="0" w:color="auto"/>
            </w:tcBorders>
            <w:vAlign w:val="center"/>
          </w:tcPr>
          <w:p w14:paraId="24325C53" w14:textId="77777777" w:rsidR="00035F5B" w:rsidRPr="00414E7D" w:rsidRDefault="00035F5B" w:rsidP="004A6045">
            <w:pPr>
              <w:spacing w:after="0" w:line="240" w:lineRule="auto"/>
              <w:ind w:right="57"/>
              <w:jc w:val="center"/>
              <w:rPr>
                <w:rFonts w:ascii="Times New Roman" w:hAnsi="Times New Roman"/>
              </w:rPr>
            </w:pPr>
            <w:r w:rsidRPr="00414E7D">
              <w:rPr>
                <w:rFonts w:ascii="Times New Roman" w:hAnsi="Times New Roman"/>
              </w:rPr>
              <w:t>9</w:t>
            </w:r>
            <w:r w:rsidR="004A6045">
              <w:rPr>
                <w:rFonts w:ascii="Times New Roman" w:hAnsi="Times New Roman"/>
              </w:rPr>
              <w:t>67</w:t>
            </w:r>
          </w:p>
        </w:tc>
        <w:tc>
          <w:tcPr>
            <w:tcW w:w="416" w:type="pct"/>
            <w:tcBorders>
              <w:top w:val="single" w:sz="4" w:space="0" w:color="auto"/>
              <w:left w:val="single" w:sz="4" w:space="0" w:color="auto"/>
              <w:bottom w:val="single" w:sz="4" w:space="0" w:color="auto"/>
              <w:right w:val="single" w:sz="4" w:space="0" w:color="auto"/>
            </w:tcBorders>
            <w:vAlign w:val="center"/>
          </w:tcPr>
          <w:p w14:paraId="3B0CA429"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14:paraId="6F0281B9"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4E378553"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4302A961"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5828BB1D"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2D9F2F50"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1278BC1D"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093290EA" w14:textId="77777777" w:rsidR="00035F5B" w:rsidRPr="00414E7D" w:rsidRDefault="00035F5B" w:rsidP="004A6045">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Томская область</w:t>
            </w:r>
            <w:r w:rsidR="004A6045">
              <w:rPr>
                <w:rFonts w:ascii="Times New Roman" w:eastAsia="Times New Roman" w:hAnsi="Times New Roman" w:cs="Times New Roman"/>
                <w:sz w:val="24"/>
                <w:szCs w:val="24"/>
                <w:vertAlign w:val="superscript"/>
                <w:lang w:eastAsia="ru-RU"/>
              </w:rPr>
              <w:t>1</w:t>
            </w:r>
          </w:p>
        </w:tc>
        <w:tc>
          <w:tcPr>
            <w:tcW w:w="411" w:type="pct"/>
            <w:tcBorders>
              <w:top w:val="single" w:sz="4" w:space="0" w:color="auto"/>
              <w:left w:val="single" w:sz="4" w:space="0" w:color="auto"/>
              <w:bottom w:val="single" w:sz="4" w:space="0" w:color="auto"/>
              <w:right w:val="single" w:sz="4" w:space="0" w:color="auto"/>
            </w:tcBorders>
            <w:vAlign w:val="center"/>
          </w:tcPr>
          <w:p w14:paraId="73EE2830"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126-302</w:t>
            </w:r>
          </w:p>
        </w:tc>
        <w:tc>
          <w:tcPr>
            <w:tcW w:w="413" w:type="pct"/>
            <w:tcBorders>
              <w:top w:val="single" w:sz="4" w:space="0" w:color="auto"/>
              <w:left w:val="single" w:sz="4" w:space="0" w:color="auto"/>
              <w:bottom w:val="single" w:sz="4" w:space="0" w:color="auto"/>
              <w:right w:val="single" w:sz="4" w:space="0" w:color="auto"/>
            </w:tcBorders>
            <w:vAlign w:val="center"/>
          </w:tcPr>
          <w:p w14:paraId="1288A8B6"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214-391</w:t>
            </w:r>
          </w:p>
        </w:tc>
        <w:tc>
          <w:tcPr>
            <w:tcW w:w="390" w:type="pct"/>
            <w:tcBorders>
              <w:top w:val="single" w:sz="4" w:space="0" w:color="auto"/>
              <w:left w:val="single" w:sz="4" w:space="0" w:color="auto"/>
              <w:bottom w:val="single" w:sz="4" w:space="0" w:color="auto"/>
              <w:right w:val="single" w:sz="4" w:space="0" w:color="auto"/>
            </w:tcBorders>
            <w:vAlign w:val="center"/>
          </w:tcPr>
          <w:p w14:paraId="1FBCF78E"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170-345</w:t>
            </w:r>
          </w:p>
        </w:tc>
        <w:tc>
          <w:tcPr>
            <w:tcW w:w="420" w:type="pct"/>
            <w:tcBorders>
              <w:top w:val="single" w:sz="4" w:space="0" w:color="auto"/>
              <w:left w:val="single" w:sz="4" w:space="0" w:color="auto"/>
              <w:bottom w:val="single" w:sz="4" w:space="0" w:color="auto"/>
              <w:right w:val="single" w:sz="4" w:space="0" w:color="auto"/>
            </w:tcBorders>
            <w:vAlign w:val="center"/>
          </w:tcPr>
          <w:p w14:paraId="2F71C739"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170-345</w:t>
            </w:r>
          </w:p>
        </w:tc>
        <w:tc>
          <w:tcPr>
            <w:tcW w:w="416" w:type="pct"/>
            <w:tcBorders>
              <w:top w:val="single" w:sz="4" w:space="0" w:color="auto"/>
              <w:left w:val="single" w:sz="4" w:space="0" w:color="auto"/>
              <w:bottom w:val="single" w:sz="4" w:space="0" w:color="auto"/>
              <w:right w:val="single" w:sz="4" w:space="0" w:color="auto"/>
            </w:tcBorders>
            <w:vAlign w:val="center"/>
          </w:tcPr>
          <w:p w14:paraId="3AF497DF" w14:textId="77777777" w:rsidR="00035F5B" w:rsidRPr="00414E7D" w:rsidRDefault="00035F5B" w:rsidP="00035F5B">
            <w:pPr>
              <w:spacing w:after="0" w:line="240" w:lineRule="auto"/>
              <w:ind w:right="57"/>
              <w:jc w:val="center"/>
              <w:rPr>
                <w:rFonts w:ascii="Times New Roman" w:hAnsi="Times New Roman"/>
              </w:rPr>
            </w:pPr>
          </w:p>
        </w:tc>
        <w:tc>
          <w:tcPr>
            <w:tcW w:w="421" w:type="pct"/>
            <w:tcBorders>
              <w:top w:val="single" w:sz="4" w:space="0" w:color="auto"/>
              <w:left w:val="single" w:sz="4" w:space="0" w:color="auto"/>
              <w:bottom w:val="single" w:sz="4" w:space="0" w:color="auto"/>
              <w:right w:val="single" w:sz="4" w:space="0" w:color="auto"/>
            </w:tcBorders>
            <w:vAlign w:val="center"/>
          </w:tcPr>
          <w:p w14:paraId="54730866" w14:textId="77777777" w:rsidR="00035F5B" w:rsidRPr="00414E7D" w:rsidRDefault="00035F5B" w:rsidP="00035F5B">
            <w:pPr>
              <w:spacing w:after="0" w:line="240" w:lineRule="auto"/>
              <w:ind w:right="57"/>
              <w:jc w:val="center"/>
              <w:rPr>
                <w:rFonts w:ascii="Times New Roman" w:hAnsi="Times New Roman"/>
              </w:rPr>
            </w:pPr>
          </w:p>
        </w:tc>
        <w:tc>
          <w:tcPr>
            <w:tcW w:w="439" w:type="pct"/>
            <w:tcBorders>
              <w:top w:val="single" w:sz="4" w:space="0" w:color="auto"/>
              <w:left w:val="single" w:sz="4" w:space="0" w:color="auto"/>
              <w:bottom w:val="single" w:sz="4" w:space="0" w:color="auto"/>
              <w:right w:val="single" w:sz="4" w:space="0" w:color="auto"/>
            </w:tcBorders>
            <w:vAlign w:val="center"/>
          </w:tcPr>
          <w:p w14:paraId="5C160858" w14:textId="77777777" w:rsidR="00035F5B" w:rsidRPr="00414E7D" w:rsidRDefault="00035F5B" w:rsidP="00035F5B">
            <w:pPr>
              <w:spacing w:after="0" w:line="240" w:lineRule="auto"/>
              <w:ind w:right="57"/>
              <w:jc w:val="center"/>
              <w:rPr>
                <w:rFonts w:ascii="Times New Roman" w:hAnsi="Times New Roman"/>
              </w:rPr>
            </w:pPr>
          </w:p>
        </w:tc>
        <w:tc>
          <w:tcPr>
            <w:tcW w:w="404" w:type="pct"/>
            <w:tcBorders>
              <w:top w:val="single" w:sz="4" w:space="0" w:color="auto"/>
              <w:left w:val="single" w:sz="4" w:space="0" w:color="auto"/>
              <w:bottom w:val="single" w:sz="4" w:space="0" w:color="auto"/>
              <w:right w:val="single" w:sz="4" w:space="0" w:color="auto"/>
            </w:tcBorders>
            <w:vAlign w:val="center"/>
          </w:tcPr>
          <w:p w14:paraId="544B0942" w14:textId="77777777" w:rsidR="00035F5B" w:rsidRPr="00414E7D" w:rsidRDefault="00035F5B" w:rsidP="00035F5B">
            <w:pPr>
              <w:spacing w:after="0" w:line="240" w:lineRule="auto"/>
              <w:ind w:right="57"/>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14:paraId="5DAF1B64" w14:textId="77777777" w:rsidR="00035F5B" w:rsidRPr="00414E7D" w:rsidRDefault="00035F5B" w:rsidP="00035F5B">
            <w:pPr>
              <w:spacing w:after="0" w:line="240" w:lineRule="auto"/>
              <w:ind w:right="57"/>
              <w:jc w:val="center"/>
              <w:rPr>
                <w:rFonts w:ascii="Times New Roman" w:hAnsi="Times New Roman"/>
              </w:rPr>
            </w:pPr>
          </w:p>
        </w:tc>
        <w:tc>
          <w:tcPr>
            <w:tcW w:w="392" w:type="pct"/>
            <w:tcBorders>
              <w:top w:val="single" w:sz="4" w:space="0" w:color="auto"/>
              <w:left w:val="single" w:sz="4" w:space="0" w:color="auto"/>
              <w:bottom w:val="single" w:sz="4" w:space="0" w:color="auto"/>
              <w:right w:val="single" w:sz="4" w:space="0" w:color="auto"/>
            </w:tcBorders>
            <w:vAlign w:val="center"/>
          </w:tcPr>
          <w:p w14:paraId="21BAB32E" w14:textId="77777777" w:rsidR="00035F5B" w:rsidRPr="00414E7D" w:rsidRDefault="00035F5B" w:rsidP="00035F5B">
            <w:pPr>
              <w:spacing w:after="0" w:line="240" w:lineRule="auto"/>
              <w:ind w:right="57"/>
              <w:jc w:val="center"/>
              <w:rPr>
                <w:rFonts w:ascii="Times New Roman" w:hAnsi="Times New Roman"/>
              </w:rPr>
            </w:pPr>
          </w:p>
        </w:tc>
      </w:tr>
      <w:tr w:rsidR="00035F5B" w:rsidRPr="00414E7D" w14:paraId="2E4AA19B"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3CD55431" w14:textId="77777777" w:rsidR="00035F5B" w:rsidRPr="00414E7D" w:rsidRDefault="00035F5B" w:rsidP="00035F5B">
            <w:pPr>
              <w:spacing w:after="0" w:line="240" w:lineRule="auto"/>
              <w:rPr>
                <w:rFonts w:ascii="Times New Roman" w:eastAsia="Arial Unicode MS" w:hAnsi="Times New Roman" w:cs="Times New Roman"/>
                <w:b/>
                <w:sz w:val="24"/>
                <w:szCs w:val="24"/>
                <w:lang w:eastAsia="ru-RU"/>
              </w:rPr>
            </w:pPr>
            <w:proofErr w:type="spellStart"/>
            <w:r w:rsidRPr="00414E7D">
              <w:rPr>
                <w:rFonts w:ascii="Times New Roman" w:eastAsia="Times New Roman" w:hAnsi="Times New Roman" w:cs="Times New Roman"/>
                <w:b/>
                <w:sz w:val="24"/>
                <w:szCs w:val="24"/>
                <w:lang w:eastAsia="ru-RU"/>
              </w:rPr>
              <w:t>Дальневосточ-ный</w:t>
            </w:r>
            <w:proofErr w:type="spellEnd"/>
            <w:r w:rsidRPr="00414E7D">
              <w:rPr>
                <w:rFonts w:ascii="Times New Roman" w:eastAsia="Times New Roman" w:hAnsi="Times New Roman" w:cs="Times New Roman"/>
                <w:b/>
                <w:sz w:val="24"/>
                <w:szCs w:val="24"/>
                <w:lang w:eastAsia="ru-RU"/>
              </w:rPr>
              <w:t xml:space="preserve">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14:paraId="5F0BA35B"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3" w:type="pct"/>
            <w:tcBorders>
              <w:top w:val="single" w:sz="4" w:space="0" w:color="auto"/>
              <w:left w:val="single" w:sz="4" w:space="0" w:color="auto"/>
              <w:bottom w:val="single" w:sz="4" w:space="0" w:color="auto"/>
              <w:right w:val="single" w:sz="4" w:space="0" w:color="auto"/>
            </w:tcBorders>
            <w:vAlign w:val="center"/>
          </w:tcPr>
          <w:p w14:paraId="5C86C5CE"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0" w:type="pct"/>
            <w:tcBorders>
              <w:top w:val="single" w:sz="4" w:space="0" w:color="auto"/>
              <w:left w:val="single" w:sz="4" w:space="0" w:color="auto"/>
              <w:bottom w:val="single" w:sz="4" w:space="0" w:color="auto"/>
              <w:right w:val="single" w:sz="4" w:space="0" w:color="auto"/>
            </w:tcBorders>
            <w:vAlign w:val="center"/>
          </w:tcPr>
          <w:p w14:paraId="395F5152"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vAlign w:val="center"/>
          </w:tcPr>
          <w:p w14:paraId="18BF7655"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6" w:type="pct"/>
            <w:tcBorders>
              <w:top w:val="single" w:sz="4" w:space="0" w:color="auto"/>
              <w:left w:val="single" w:sz="4" w:space="0" w:color="auto"/>
              <w:bottom w:val="single" w:sz="4" w:space="0" w:color="auto"/>
              <w:right w:val="single" w:sz="4" w:space="0" w:color="auto"/>
            </w:tcBorders>
            <w:vAlign w:val="center"/>
          </w:tcPr>
          <w:p w14:paraId="042B4F8F"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14:paraId="0C97C8AA"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35F9DF93"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4E02DE9F"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5F2359E5"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6A3C81C0"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33E9AC5D"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00267EA5" w14:textId="77777777" w:rsidR="00035F5B" w:rsidRPr="00414E7D" w:rsidRDefault="00035F5B" w:rsidP="004A6045">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Республика Бурятия</w:t>
            </w:r>
            <w:r w:rsidR="004A6045">
              <w:rPr>
                <w:rFonts w:ascii="Times New Roman" w:eastAsia="Times New Roman" w:hAnsi="Times New Roman" w:cs="Times New Roman"/>
                <w:sz w:val="24"/>
                <w:szCs w:val="24"/>
                <w:vertAlign w:val="superscript"/>
                <w:lang w:eastAsia="ru-RU"/>
              </w:rPr>
              <w:t>1</w:t>
            </w:r>
          </w:p>
        </w:tc>
        <w:tc>
          <w:tcPr>
            <w:tcW w:w="411" w:type="pct"/>
            <w:tcBorders>
              <w:top w:val="single" w:sz="4" w:space="0" w:color="auto"/>
              <w:left w:val="single" w:sz="4" w:space="0" w:color="auto"/>
              <w:bottom w:val="single" w:sz="4" w:space="0" w:color="auto"/>
              <w:right w:val="single" w:sz="4" w:space="0" w:color="auto"/>
            </w:tcBorders>
            <w:vAlign w:val="center"/>
          </w:tcPr>
          <w:p w14:paraId="5FD5306B" w14:textId="77777777" w:rsidR="00035F5B" w:rsidRPr="00414E7D" w:rsidRDefault="004A6045" w:rsidP="00035F5B">
            <w:pPr>
              <w:spacing w:after="0" w:line="240" w:lineRule="auto"/>
              <w:ind w:right="57"/>
              <w:jc w:val="center"/>
              <w:rPr>
                <w:rFonts w:ascii="Times New Roman" w:hAnsi="Times New Roman"/>
              </w:rPr>
            </w:pPr>
            <w:r>
              <w:rPr>
                <w:rFonts w:ascii="Times New Roman" w:hAnsi="Times New Roman"/>
              </w:rPr>
              <w:t>201</w:t>
            </w:r>
          </w:p>
        </w:tc>
        <w:tc>
          <w:tcPr>
            <w:tcW w:w="413" w:type="pct"/>
            <w:tcBorders>
              <w:top w:val="single" w:sz="4" w:space="0" w:color="auto"/>
              <w:left w:val="single" w:sz="4" w:space="0" w:color="auto"/>
              <w:bottom w:val="single" w:sz="4" w:space="0" w:color="auto"/>
              <w:right w:val="single" w:sz="4" w:space="0" w:color="auto"/>
            </w:tcBorders>
            <w:vAlign w:val="center"/>
          </w:tcPr>
          <w:p w14:paraId="10AF66B8" w14:textId="77777777" w:rsidR="00035F5B" w:rsidRPr="00414E7D" w:rsidRDefault="00035F5B" w:rsidP="004A6045">
            <w:pPr>
              <w:spacing w:after="0" w:line="240" w:lineRule="auto"/>
              <w:ind w:right="57"/>
              <w:jc w:val="center"/>
              <w:rPr>
                <w:rFonts w:ascii="Times New Roman" w:hAnsi="Times New Roman"/>
              </w:rPr>
            </w:pPr>
            <w:r w:rsidRPr="00414E7D">
              <w:rPr>
                <w:rFonts w:ascii="Times New Roman" w:hAnsi="Times New Roman"/>
              </w:rPr>
              <w:t>2</w:t>
            </w:r>
            <w:r w:rsidR="004A6045">
              <w:rPr>
                <w:rFonts w:ascii="Times New Roman" w:hAnsi="Times New Roman"/>
              </w:rPr>
              <w:t>98</w:t>
            </w:r>
          </w:p>
        </w:tc>
        <w:tc>
          <w:tcPr>
            <w:tcW w:w="390" w:type="pct"/>
            <w:tcBorders>
              <w:top w:val="single" w:sz="4" w:space="0" w:color="auto"/>
              <w:left w:val="single" w:sz="4" w:space="0" w:color="auto"/>
              <w:bottom w:val="single" w:sz="4" w:space="0" w:color="auto"/>
              <w:right w:val="single" w:sz="4" w:space="0" w:color="auto"/>
            </w:tcBorders>
            <w:vAlign w:val="center"/>
          </w:tcPr>
          <w:p w14:paraId="34046DA5" w14:textId="77777777" w:rsidR="00035F5B" w:rsidRPr="00414E7D" w:rsidRDefault="00035F5B" w:rsidP="004A6045">
            <w:pPr>
              <w:spacing w:after="0" w:line="240" w:lineRule="auto"/>
              <w:ind w:right="57"/>
              <w:jc w:val="center"/>
              <w:rPr>
                <w:rFonts w:ascii="Times New Roman" w:hAnsi="Times New Roman"/>
              </w:rPr>
            </w:pPr>
            <w:r w:rsidRPr="00414E7D">
              <w:rPr>
                <w:rFonts w:ascii="Times New Roman" w:hAnsi="Times New Roman"/>
              </w:rPr>
              <w:t>2</w:t>
            </w:r>
            <w:r w:rsidR="004A6045">
              <w:rPr>
                <w:rFonts w:ascii="Times New Roman" w:hAnsi="Times New Roman"/>
              </w:rPr>
              <w:t>62</w:t>
            </w:r>
          </w:p>
        </w:tc>
        <w:tc>
          <w:tcPr>
            <w:tcW w:w="420" w:type="pct"/>
            <w:tcBorders>
              <w:top w:val="single" w:sz="4" w:space="0" w:color="auto"/>
              <w:left w:val="single" w:sz="4" w:space="0" w:color="auto"/>
              <w:bottom w:val="single" w:sz="4" w:space="0" w:color="auto"/>
              <w:right w:val="single" w:sz="4" w:space="0" w:color="auto"/>
            </w:tcBorders>
            <w:vAlign w:val="center"/>
          </w:tcPr>
          <w:p w14:paraId="28EF33C0" w14:textId="77777777" w:rsidR="00035F5B" w:rsidRPr="00414E7D" w:rsidRDefault="00035F5B" w:rsidP="004A6045">
            <w:pPr>
              <w:spacing w:after="0" w:line="240" w:lineRule="auto"/>
              <w:ind w:right="57"/>
              <w:jc w:val="center"/>
              <w:rPr>
                <w:rFonts w:ascii="Times New Roman" w:hAnsi="Times New Roman"/>
              </w:rPr>
            </w:pPr>
            <w:r w:rsidRPr="00414E7D">
              <w:rPr>
                <w:rFonts w:ascii="Times New Roman" w:hAnsi="Times New Roman"/>
              </w:rPr>
              <w:t>2</w:t>
            </w:r>
            <w:r w:rsidR="004A6045">
              <w:rPr>
                <w:rFonts w:ascii="Times New Roman" w:hAnsi="Times New Roman"/>
              </w:rPr>
              <w:t>62</w:t>
            </w:r>
          </w:p>
        </w:tc>
        <w:tc>
          <w:tcPr>
            <w:tcW w:w="416" w:type="pct"/>
            <w:tcBorders>
              <w:top w:val="single" w:sz="4" w:space="0" w:color="auto"/>
              <w:left w:val="single" w:sz="4" w:space="0" w:color="auto"/>
              <w:bottom w:val="single" w:sz="4" w:space="0" w:color="auto"/>
              <w:right w:val="single" w:sz="4" w:space="0" w:color="auto"/>
            </w:tcBorders>
            <w:vAlign w:val="center"/>
          </w:tcPr>
          <w:p w14:paraId="7BA11A4C" w14:textId="77777777" w:rsidR="00035F5B" w:rsidRPr="00414E7D" w:rsidRDefault="00035F5B" w:rsidP="004A6045">
            <w:pPr>
              <w:spacing w:after="0" w:line="240" w:lineRule="auto"/>
              <w:ind w:right="57"/>
              <w:jc w:val="center"/>
              <w:rPr>
                <w:rFonts w:ascii="Times New Roman" w:hAnsi="Times New Roman"/>
              </w:rPr>
            </w:pPr>
            <w:r w:rsidRPr="00414E7D">
              <w:rPr>
                <w:rFonts w:ascii="Times New Roman" w:hAnsi="Times New Roman"/>
              </w:rPr>
              <w:t>2</w:t>
            </w:r>
            <w:r w:rsidR="004A6045">
              <w:rPr>
                <w:rFonts w:ascii="Times New Roman" w:hAnsi="Times New Roman"/>
              </w:rPr>
              <w:t>66</w:t>
            </w:r>
            <w:r w:rsidRPr="00414E7D">
              <w:rPr>
                <w:rFonts w:ascii="Times New Roman" w:hAnsi="Times New Roman"/>
              </w:rPr>
              <w:t>-3</w:t>
            </w:r>
            <w:r w:rsidR="004A6045">
              <w:rPr>
                <w:rFonts w:ascii="Times New Roman" w:hAnsi="Times New Roman"/>
              </w:rPr>
              <w:t>63</w:t>
            </w:r>
          </w:p>
        </w:tc>
        <w:tc>
          <w:tcPr>
            <w:tcW w:w="421" w:type="pct"/>
            <w:tcBorders>
              <w:top w:val="single" w:sz="4" w:space="0" w:color="auto"/>
              <w:left w:val="single" w:sz="4" w:space="0" w:color="auto"/>
              <w:bottom w:val="single" w:sz="4" w:space="0" w:color="auto"/>
              <w:right w:val="single" w:sz="4" w:space="0" w:color="auto"/>
            </w:tcBorders>
            <w:vAlign w:val="center"/>
          </w:tcPr>
          <w:p w14:paraId="6E7AD5BC"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79667E83"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6C10531C"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49514C30"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4EE4A062"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65C1741B"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268640AE" w14:textId="77777777" w:rsidR="00035F5B" w:rsidRPr="00414E7D" w:rsidRDefault="00035F5B" w:rsidP="004A6045">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Республика Саха (Якутия)</w:t>
            </w:r>
            <w:r w:rsidR="004A6045">
              <w:rPr>
                <w:rFonts w:ascii="Times New Roman" w:eastAsia="Times New Roman" w:hAnsi="Times New Roman" w:cs="Times New Roman"/>
                <w:sz w:val="24"/>
                <w:szCs w:val="24"/>
                <w:vertAlign w:val="superscript"/>
                <w:lang w:eastAsia="ru-RU"/>
              </w:rPr>
              <w:t>1</w:t>
            </w:r>
          </w:p>
        </w:tc>
        <w:tc>
          <w:tcPr>
            <w:tcW w:w="411" w:type="pct"/>
            <w:tcBorders>
              <w:top w:val="single" w:sz="4" w:space="0" w:color="auto"/>
              <w:left w:val="single" w:sz="4" w:space="0" w:color="auto"/>
              <w:bottom w:val="single" w:sz="4" w:space="0" w:color="auto"/>
              <w:right w:val="single" w:sz="4" w:space="0" w:color="auto"/>
            </w:tcBorders>
            <w:vAlign w:val="center"/>
          </w:tcPr>
          <w:p w14:paraId="076C2556" w14:textId="77777777" w:rsidR="00035F5B" w:rsidRPr="00414E7D" w:rsidRDefault="00035F5B" w:rsidP="004A6045">
            <w:pPr>
              <w:spacing w:after="0" w:line="240" w:lineRule="auto"/>
              <w:ind w:right="57"/>
              <w:jc w:val="center"/>
              <w:rPr>
                <w:rFonts w:ascii="Times New Roman" w:hAnsi="Times New Roman"/>
              </w:rPr>
            </w:pPr>
            <w:r w:rsidRPr="00414E7D">
              <w:rPr>
                <w:rFonts w:ascii="Times New Roman" w:hAnsi="Times New Roman"/>
              </w:rPr>
              <w:t>11</w:t>
            </w:r>
            <w:r w:rsidR="004A6045">
              <w:rPr>
                <w:rFonts w:ascii="Times New Roman" w:hAnsi="Times New Roman"/>
              </w:rPr>
              <w:t>47</w:t>
            </w:r>
            <w:r w:rsidRPr="00414E7D">
              <w:rPr>
                <w:rFonts w:ascii="Times New Roman" w:hAnsi="Times New Roman"/>
              </w:rPr>
              <w:t>-1</w:t>
            </w:r>
            <w:r w:rsidR="004A6045">
              <w:rPr>
                <w:rFonts w:ascii="Times New Roman" w:hAnsi="Times New Roman"/>
              </w:rPr>
              <w:t>755</w:t>
            </w:r>
          </w:p>
        </w:tc>
        <w:tc>
          <w:tcPr>
            <w:tcW w:w="413" w:type="pct"/>
            <w:tcBorders>
              <w:top w:val="single" w:sz="4" w:space="0" w:color="auto"/>
              <w:left w:val="single" w:sz="4" w:space="0" w:color="auto"/>
              <w:bottom w:val="single" w:sz="4" w:space="0" w:color="auto"/>
              <w:right w:val="single" w:sz="4" w:space="0" w:color="auto"/>
            </w:tcBorders>
            <w:vAlign w:val="center"/>
          </w:tcPr>
          <w:p w14:paraId="5AE10AB7"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0" w:type="pct"/>
            <w:tcBorders>
              <w:top w:val="single" w:sz="4" w:space="0" w:color="auto"/>
              <w:left w:val="single" w:sz="4" w:space="0" w:color="auto"/>
              <w:bottom w:val="single" w:sz="4" w:space="0" w:color="auto"/>
              <w:right w:val="single" w:sz="4" w:space="0" w:color="auto"/>
            </w:tcBorders>
            <w:vAlign w:val="center"/>
          </w:tcPr>
          <w:p w14:paraId="0664EA59"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vAlign w:val="center"/>
          </w:tcPr>
          <w:p w14:paraId="687EFFF8"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16" w:type="pct"/>
            <w:tcBorders>
              <w:top w:val="single" w:sz="4" w:space="0" w:color="auto"/>
              <w:left w:val="single" w:sz="4" w:space="0" w:color="auto"/>
              <w:bottom w:val="single" w:sz="4" w:space="0" w:color="auto"/>
              <w:right w:val="single" w:sz="4" w:space="0" w:color="auto"/>
            </w:tcBorders>
            <w:vAlign w:val="center"/>
          </w:tcPr>
          <w:p w14:paraId="6B2EAA4D"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14:paraId="78484AAC"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0865AEAF"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3FEB2F57"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3C83E630"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2B228127"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0B053042"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49901FD3"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Arial Unicode MS" w:hAnsi="Times New Roman" w:cs="Times New Roman"/>
                <w:sz w:val="24"/>
                <w:szCs w:val="24"/>
                <w:lang w:eastAsia="ru-RU"/>
              </w:rPr>
              <w:t>Забайкальский край</w:t>
            </w:r>
          </w:p>
        </w:tc>
        <w:tc>
          <w:tcPr>
            <w:tcW w:w="411" w:type="pct"/>
            <w:tcBorders>
              <w:top w:val="single" w:sz="4" w:space="0" w:color="auto"/>
              <w:left w:val="single" w:sz="4" w:space="0" w:color="auto"/>
              <w:bottom w:val="single" w:sz="4" w:space="0" w:color="auto"/>
              <w:right w:val="single" w:sz="4" w:space="0" w:color="auto"/>
            </w:tcBorders>
            <w:vAlign w:val="center"/>
          </w:tcPr>
          <w:p w14:paraId="3921D0B2" w14:textId="77777777" w:rsidR="00035F5B" w:rsidRPr="00414E7D" w:rsidRDefault="00035F5B" w:rsidP="004A6045">
            <w:pPr>
              <w:spacing w:after="0" w:line="240" w:lineRule="auto"/>
              <w:ind w:right="57"/>
              <w:jc w:val="center"/>
              <w:rPr>
                <w:rFonts w:ascii="Times New Roman" w:hAnsi="Times New Roman"/>
              </w:rPr>
            </w:pPr>
            <w:r w:rsidRPr="00414E7D">
              <w:rPr>
                <w:rFonts w:ascii="Times New Roman" w:hAnsi="Times New Roman"/>
              </w:rPr>
              <w:t>21</w:t>
            </w:r>
            <w:r w:rsidR="004A6045">
              <w:rPr>
                <w:rFonts w:ascii="Times New Roman" w:hAnsi="Times New Roman"/>
              </w:rPr>
              <w:t>9</w:t>
            </w:r>
          </w:p>
        </w:tc>
        <w:tc>
          <w:tcPr>
            <w:tcW w:w="413" w:type="pct"/>
            <w:tcBorders>
              <w:top w:val="single" w:sz="4" w:space="0" w:color="auto"/>
              <w:left w:val="single" w:sz="4" w:space="0" w:color="auto"/>
              <w:bottom w:val="single" w:sz="4" w:space="0" w:color="auto"/>
              <w:right w:val="single" w:sz="4" w:space="0" w:color="auto"/>
            </w:tcBorders>
            <w:vAlign w:val="center"/>
          </w:tcPr>
          <w:p w14:paraId="61501DD8" w14:textId="77777777" w:rsidR="00035F5B" w:rsidRPr="00414E7D" w:rsidRDefault="00035F5B" w:rsidP="004A6045">
            <w:pPr>
              <w:spacing w:after="0" w:line="240" w:lineRule="auto"/>
              <w:ind w:right="57"/>
              <w:jc w:val="center"/>
              <w:rPr>
                <w:rFonts w:ascii="Times New Roman" w:hAnsi="Times New Roman"/>
              </w:rPr>
            </w:pPr>
            <w:r w:rsidRPr="00414E7D">
              <w:rPr>
                <w:rFonts w:ascii="Times New Roman" w:hAnsi="Times New Roman"/>
              </w:rPr>
              <w:t>4</w:t>
            </w:r>
            <w:r w:rsidR="004A6045">
              <w:rPr>
                <w:rFonts w:ascii="Times New Roman" w:hAnsi="Times New Roman"/>
              </w:rPr>
              <w:t>38</w:t>
            </w:r>
          </w:p>
        </w:tc>
        <w:tc>
          <w:tcPr>
            <w:tcW w:w="390" w:type="pct"/>
            <w:tcBorders>
              <w:top w:val="single" w:sz="4" w:space="0" w:color="auto"/>
              <w:left w:val="single" w:sz="4" w:space="0" w:color="auto"/>
              <w:bottom w:val="single" w:sz="4" w:space="0" w:color="auto"/>
              <w:right w:val="single" w:sz="4" w:space="0" w:color="auto"/>
            </w:tcBorders>
            <w:vAlign w:val="center"/>
          </w:tcPr>
          <w:p w14:paraId="5995D7DC" w14:textId="77777777" w:rsidR="00035F5B" w:rsidRPr="00414E7D" w:rsidRDefault="00035F5B" w:rsidP="004A6045">
            <w:pPr>
              <w:spacing w:after="0" w:line="240" w:lineRule="auto"/>
              <w:ind w:right="57"/>
              <w:jc w:val="center"/>
              <w:rPr>
                <w:rFonts w:ascii="Times New Roman" w:hAnsi="Times New Roman"/>
              </w:rPr>
            </w:pPr>
            <w:r w:rsidRPr="00414E7D">
              <w:rPr>
                <w:rFonts w:ascii="Times New Roman" w:hAnsi="Times New Roman"/>
              </w:rPr>
              <w:t>3</w:t>
            </w:r>
            <w:r w:rsidR="004A6045">
              <w:rPr>
                <w:rFonts w:ascii="Times New Roman" w:hAnsi="Times New Roman"/>
              </w:rPr>
              <w:t>29</w:t>
            </w:r>
          </w:p>
        </w:tc>
        <w:tc>
          <w:tcPr>
            <w:tcW w:w="420" w:type="pct"/>
            <w:tcBorders>
              <w:top w:val="single" w:sz="4" w:space="0" w:color="auto"/>
              <w:left w:val="single" w:sz="4" w:space="0" w:color="auto"/>
              <w:bottom w:val="single" w:sz="4" w:space="0" w:color="auto"/>
              <w:right w:val="single" w:sz="4" w:space="0" w:color="auto"/>
            </w:tcBorders>
            <w:vAlign w:val="center"/>
          </w:tcPr>
          <w:p w14:paraId="6486FE71" w14:textId="77777777" w:rsidR="00035F5B" w:rsidRPr="00414E7D" w:rsidRDefault="00035F5B" w:rsidP="004A6045">
            <w:pPr>
              <w:spacing w:after="0" w:line="240" w:lineRule="auto"/>
              <w:ind w:right="57"/>
              <w:jc w:val="center"/>
              <w:rPr>
                <w:rFonts w:ascii="Times New Roman" w:hAnsi="Times New Roman"/>
              </w:rPr>
            </w:pPr>
            <w:r w:rsidRPr="00414E7D">
              <w:rPr>
                <w:rFonts w:ascii="Times New Roman" w:hAnsi="Times New Roman"/>
              </w:rPr>
              <w:t>3</w:t>
            </w:r>
            <w:r w:rsidR="004A6045">
              <w:rPr>
                <w:rFonts w:ascii="Times New Roman" w:hAnsi="Times New Roman"/>
              </w:rPr>
              <w:t>29</w:t>
            </w:r>
          </w:p>
        </w:tc>
        <w:tc>
          <w:tcPr>
            <w:tcW w:w="416" w:type="pct"/>
            <w:tcBorders>
              <w:top w:val="single" w:sz="4" w:space="0" w:color="auto"/>
              <w:left w:val="single" w:sz="4" w:space="0" w:color="auto"/>
              <w:bottom w:val="single" w:sz="4" w:space="0" w:color="auto"/>
              <w:right w:val="single" w:sz="4" w:space="0" w:color="auto"/>
            </w:tcBorders>
            <w:vAlign w:val="center"/>
          </w:tcPr>
          <w:p w14:paraId="29DC27FE" w14:textId="77777777" w:rsidR="00035F5B" w:rsidRPr="00414E7D" w:rsidRDefault="00035F5B" w:rsidP="00035F5B">
            <w:pPr>
              <w:spacing w:after="0" w:line="240" w:lineRule="auto"/>
              <w:ind w:right="57"/>
              <w:jc w:val="center"/>
              <w:rPr>
                <w:rFonts w:ascii="Times New Roman" w:hAnsi="Times New Roman"/>
              </w:rPr>
            </w:pPr>
          </w:p>
        </w:tc>
        <w:tc>
          <w:tcPr>
            <w:tcW w:w="421" w:type="pct"/>
            <w:tcBorders>
              <w:top w:val="single" w:sz="4" w:space="0" w:color="auto"/>
              <w:left w:val="single" w:sz="4" w:space="0" w:color="auto"/>
              <w:bottom w:val="single" w:sz="4" w:space="0" w:color="auto"/>
              <w:right w:val="single" w:sz="4" w:space="0" w:color="auto"/>
            </w:tcBorders>
            <w:vAlign w:val="center"/>
          </w:tcPr>
          <w:p w14:paraId="7DF7072C"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08DB2344"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59E499FB"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31F40774"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79CEBBBD"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16D8C7B1"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61190B59"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Камчатский край</w:t>
            </w:r>
          </w:p>
        </w:tc>
        <w:tc>
          <w:tcPr>
            <w:tcW w:w="411" w:type="pct"/>
            <w:tcBorders>
              <w:top w:val="single" w:sz="4" w:space="0" w:color="auto"/>
              <w:left w:val="single" w:sz="4" w:space="0" w:color="auto"/>
              <w:bottom w:val="single" w:sz="4" w:space="0" w:color="auto"/>
              <w:right w:val="single" w:sz="4" w:space="0" w:color="auto"/>
            </w:tcBorders>
            <w:vAlign w:val="center"/>
          </w:tcPr>
          <w:p w14:paraId="18D53817" w14:textId="77777777" w:rsidR="00035F5B" w:rsidRPr="00414E7D" w:rsidRDefault="00035F5B" w:rsidP="004A6045">
            <w:pPr>
              <w:spacing w:after="0" w:line="240" w:lineRule="auto"/>
              <w:ind w:right="57"/>
              <w:jc w:val="center"/>
              <w:rPr>
                <w:rFonts w:ascii="Times New Roman" w:hAnsi="Times New Roman"/>
              </w:rPr>
            </w:pPr>
            <w:r w:rsidRPr="00414E7D">
              <w:rPr>
                <w:rFonts w:ascii="Times New Roman" w:hAnsi="Times New Roman"/>
              </w:rPr>
              <w:t>5</w:t>
            </w:r>
            <w:r w:rsidR="004A6045">
              <w:rPr>
                <w:rFonts w:ascii="Times New Roman" w:hAnsi="Times New Roman"/>
              </w:rPr>
              <w:t>44</w:t>
            </w:r>
          </w:p>
        </w:tc>
        <w:tc>
          <w:tcPr>
            <w:tcW w:w="413" w:type="pct"/>
            <w:tcBorders>
              <w:top w:val="single" w:sz="4" w:space="0" w:color="auto"/>
              <w:left w:val="single" w:sz="4" w:space="0" w:color="auto"/>
              <w:bottom w:val="single" w:sz="4" w:space="0" w:color="auto"/>
              <w:right w:val="single" w:sz="4" w:space="0" w:color="auto"/>
            </w:tcBorders>
            <w:vAlign w:val="center"/>
          </w:tcPr>
          <w:p w14:paraId="46D58D44" w14:textId="77777777" w:rsidR="00035F5B" w:rsidRPr="00414E7D" w:rsidRDefault="004A6045" w:rsidP="004A6045">
            <w:pPr>
              <w:spacing w:after="0" w:line="240" w:lineRule="auto"/>
              <w:ind w:right="57"/>
              <w:jc w:val="center"/>
              <w:rPr>
                <w:rFonts w:ascii="Times New Roman" w:hAnsi="Times New Roman"/>
              </w:rPr>
            </w:pPr>
            <w:r>
              <w:rPr>
                <w:rFonts w:ascii="Times New Roman" w:hAnsi="Times New Roman"/>
              </w:rPr>
              <w:t>1087</w:t>
            </w:r>
          </w:p>
        </w:tc>
        <w:tc>
          <w:tcPr>
            <w:tcW w:w="390" w:type="pct"/>
            <w:tcBorders>
              <w:top w:val="single" w:sz="4" w:space="0" w:color="auto"/>
              <w:left w:val="single" w:sz="4" w:space="0" w:color="auto"/>
              <w:bottom w:val="single" w:sz="4" w:space="0" w:color="auto"/>
              <w:right w:val="single" w:sz="4" w:space="0" w:color="auto"/>
            </w:tcBorders>
            <w:vAlign w:val="center"/>
          </w:tcPr>
          <w:p w14:paraId="09994B6A" w14:textId="77777777" w:rsidR="00035F5B" w:rsidRPr="00414E7D" w:rsidRDefault="004A6045" w:rsidP="004A6045">
            <w:pPr>
              <w:spacing w:after="0" w:line="240" w:lineRule="auto"/>
              <w:ind w:right="57"/>
              <w:jc w:val="center"/>
              <w:rPr>
                <w:rFonts w:ascii="Times New Roman" w:hAnsi="Times New Roman"/>
              </w:rPr>
            </w:pPr>
            <w:r>
              <w:rPr>
                <w:rFonts w:ascii="Times New Roman" w:hAnsi="Times New Roman"/>
              </w:rPr>
              <w:t>1087</w:t>
            </w:r>
          </w:p>
        </w:tc>
        <w:tc>
          <w:tcPr>
            <w:tcW w:w="420" w:type="pct"/>
            <w:tcBorders>
              <w:top w:val="single" w:sz="4" w:space="0" w:color="auto"/>
              <w:left w:val="single" w:sz="4" w:space="0" w:color="auto"/>
              <w:bottom w:val="single" w:sz="4" w:space="0" w:color="auto"/>
              <w:right w:val="single" w:sz="4" w:space="0" w:color="auto"/>
            </w:tcBorders>
            <w:vAlign w:val="center"/>
          </w:tcPr>
          <w:p w14:paraId="58EECF96" w14:textId="77777777" w:rsidR="00035F5B" w:rsidRPr="00414E7D" w:rsidRDefault="00035F5B" w:rsidP="004A6045">
            <w:pPr>
              <w:spacing w:after="0" w:line="240" w:lineRule="auto"/>
              <w:ind w:right="57"/>
              <w:jc w:val="center"/>
              <w:rPr>
                <w:rFonts w:ascii="Times New Roman" w:hAnsi="Times New Roman"/>
              </w:rPr>
            </w:pPr>
            <w:r w:rsidRPr="00414E7D">
              <w:rPr>
                <w:rFonts w:ascii="Times New Roman" w:hAnsi="Times New Roman"/>
              </w:rPr>
              <w:t>10</w:t>
            </w:r>
            <w:r w:rsidR="004A6045">
              <w:rPr>
                <w:rFonts w:ascii="Times New Roman" w:hAnsi="Times New Roman"/>
              </w:rPr>
              <w:t>87</w:t>
            </w:r>
          </w:p>
        </w:tc>
        <w:tc>
          <w:tcPr>
            <w:tcW w:w="416" w:type="pct"/>
            <w:tcBorders>
              <w:top w:val="single" w:sz="4" w:space="0" w:color="auto"/>
              <w:left w:val="single" w:sz="4" w:space="0" w:color="auto"/>
              <w:bottom w:val="single" w:sz="4" w:space="0" w:color="auto"/>
              <w:right w:val="single" w:sz="4" w:space="0" w:color="auto"/>
            </w:tcBorders>
            <w:vAlign w:val="center"/>
          </w:tcPr>
          <w:p w14:paraId="5C9EA287" w14:textId="77777777" w:rsidR="00035F5B" w:rsidRPr="00414E7D" w:rsidRDefault="004A6045" w:rsidP="00035F5B">
            <w:pPr>
              <w:spacing w:after="0" w:line="240" w:lineRule="auto"/>
              <w:ind w:right="57"/>
              <w:jc w:val="center"/>
              <w:rPr>
                <w:rFonts w:ascii="Times New Roman" w:hAnsi="Times New Roman"/>
              </w:rPr>
            </w:pPr>
            <w:r>
              <w:rPr>
                <w:rFonts w:ascii="Times New Roman" w:hAnsi="Times New Roman"/>
              </w:rPr>
              <w:t>816</w:t>
            </w:r>
          </w:p>
        </w:tc>
        <w:tc>
          <w:tcPr>
            <w:tcW w:w="421" w:type="pct"/>
            <w:tcBorders>
              <w:top w:val="single" w:sz="4" w:space="0" w:color="auto"/>
              <w:left w:val="single" w:sz="4" w:space="0" w:color="auto"/>
              <w:bottom w:val="single" w:sz="4" w:space="0" w:color="auto"/>
              <w:right w:val="single" w:sz="4" w:space="0" w:color="auto"/>
            </w:tcBorders>
            <w:vAlign w:val="center"/>
          </w:tcPr>
          <w:p w14:paraId="4CCE0A9B"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1779B5ED"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334501DE"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79656109"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414889BC"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3518AC1A"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15719557"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Приморский край</w:t>
            </w:r>
          </w:p>
        </w:tc>
        <w:tc>
          <w:tcPr>
            <w:tcW w:w="411" w:type="pct"/>
            <w:tcBorders>
              <w:top w:val="single" w:sz="4" w:space="0" w:color="auto"/>
              <w:left w:val="single" w:sz="4" w:space="0" w:color="auto"/>
              <w:bottom w:val="single" w:sz="4" w:space="0" w:color="auto"/>
              <w:right w:val="single" w:sz="4" w:space="0" w:color="auto"/>
            </w:tcBorders>
            <w:vAlign w:val="center"/>
          </w:tcPr>
          <w:p w14:paraId="417ADB62" w14:textId="77777777" w:rsidR="00035F5B" w:rsidRPr="00414E7D" w:rsidRDefault="00035F5B" w:rsidP="00425F25">
            <w:pPr>
              <w:spacing w:after="0" w:line="240" w:lineRule="auto"/>
              <w:ind w:right="57"/>
              <w:jc w:val="center"/>
              <w:rPr>
                <w:rFonts w:ascii="Times New Roman" w:hAnsi="Times New Roman"/>
              </w:rPr>
            </w:pPr>
            <w:r w:rsidRPr="00414E7D">
              <w:rPr>
                <w:rFonts w:ascii="Times New Roman" w:hAnsi="Times New Roman"/>
              </w:rPr>
              <w:t>3</w:t>
            </w:r>
            <w:r w:rsidR="00425F25">
              <w:rPr>
                <w:rFonts w:ascii="Times New Roman" w:hAnsi="Times New Roman"/>
              </w:rPr>
              <w:t>17</w:t>
            </w:r>
          </w:p>
        </w:tc>
        <w:tc>
          <w:tcPr>
            <w:tcW w:w="413" w:type="pct"/>
            <w:tcBorders>
              <w:top w:val="single" w:sz="4" w:space="0" w:color="auto"/>
              <w:left w:val="single" w:sz="4" w:space="0" w:color="auto"/>
              <w:bottom w:val="single" w:sz="4" w:space="0" w:color="auto"/>
              <w:right w:val="single" w:sz="4" w:space="0" w:color="auto"/>
            </w:tcBorders>
            <w:vAlign w:val="center"/>
          </w:tcPr>
          <w:p w14:paraId="213F21F5" w14:textId="77777777" w:rsidR="00035F5B" w:rsidRPr="00414E7D" w:rsidRDefault="00035F5B" w:rsidP="00425F25">
            <w:pPr>
              <w:spacing w:after="0" w:line="240" w:lineRule="auto"/>
              <w:ind w:right="57"/>
              <w:jc w:val="center"/>
              <w:rPr>
                <w:rFonts w:ascii="Times New Roman" w:hAnsi="Times New Roman"/>
              </w:rPr>
            </w:pPr>
            <w:r w:rsidRPr="00414E7D">
              <w:rPr>
                <w:rFonts w:ascii="Times New Roman" w:hAnsi="Times New Roman"/>
              </w:rPr>
              <w:t>9</w:t>
            </w:r>
            <w:r w:rsidR="00425F25">
              <w:rPr>
                <w:rFonts w:ascii="Times New Roman" w:hAnsi="Times New Roman"/>
              </w:rPr>
              <w:t>51</w:t>
            </w:r>
          </w:p>
        </w:tc>
        <w:tc>
          <w:tcPr>
            <w:tcW w:w="390" w:type="pct"/>
            <w:tcBorders>
              <w:top w:val="single" w:sz="4" w:space="0" w:color="auto"/>
              <w:left w:val="single" w:sz="4" w:space="0" w:color="auto"/>
              <w:bottom w:val="single" w:sz="4" w:space="0" w:color="auto"/>
              <w:right w:val="single" w:sz="4" w:space="0" w:color="auto"/>
            </w:tcBorders>
            <w:vAlign w:val="center"/>
          </w:tcPr>
          <w:p w14:paraId="0E06884D" w14:textId="77777777" w:rsidR="00035F5B" w:rsidRPr="00414E7D" w:rsidRDefault="00035F5B" w:rsidP="00425F25">
            <w:pPr>
              <w:spacing w:after="0" w:line="240" w:lineRule="auto"/>
              <w:ind w:right="57"/>
              <w:jc w:val="center"/>
              <w:rPr>
                <w:rFonts w:ascii="Times New Roman" w:hAnsi="Times New Roman"/>
              </w:rPr>
            </w:pPr>
            <w:r w:rsidRPr="00414E7D">
              <w:rPr>
                <w:rFonts w:ascii="Times New Roman" w:hAnsi="Times New Roman"/>
              </w:rPr>
              <w:t>4</w:t>
            </w:r>
            <w:r w:rsidR="00425F25">
              <w:rPr>
                <w:rFonts w:ascii="Times New Roman" w:hAnsi="Times New Roman"/>
              </w:rPr>
              <w:t>76</w:t>
            </w:r>
          </w:p>
        </w:tc>
        <w:tc>
          <w:tcPr>
            <w:tcW w:w="420" w:type="pct"/>
            <w:tcBorders>
              <w:top w:val="single" w:sz="4" w:space="0" w:color="auto"/>
              <w:left w:val="single" w:sz="4" w:space="0" w:color="auto"/>
              <w:bottom w:val="single" w:sz="4" w:space="0" w:color="auto"/>
              <w:right w:val="single" w:sz="4" w:space="0" w:color="auto"/>
            </w:tcBorders>
            <w:vAlign w:val="center"/>
          </w:tcPr>
          <w:p w14:paraId="2BA7B2B6" w14:textId="77777777" w:rsidR="00035F5B" w:rsidRPr="00414E7D" w:rsidRDefault="00035F5B" w:rsidP="00425F25">
            <w:pPr>
              <w:spacing w:after="0" w:line="240" w:lineRule="auto"/>
              <w:ind w:right="57"/>
              <w:jc w:val="center"/>
              <w:rPr>
                <w:rFonts w:ascii="Times New Roman" w:hAnsi="Times New Roman"/>
              </w:rPr>
            </w:pPr>
            <w:r w:rsidRPr="00414E7D">
              <w:rPr>
                <w:rFonts w:ascii="Times New Roman" w:hAnsi="Times New Roman"/>
              </w:rPr>
              <w:t>4</w:t>
            </w:r>
            <w:r w:rsidR="00425F25">
              <w:rPr>
                <w:rFonts w:ascii="Times New Roman" w:hAnsi="Times New Roman"/>
              </w:rPr>
              <w:t>76</w:t>
            </w:r>
          </w:p>
        </w:tc>
        <w:tc>
          <w:tcPr>
            <w:tcW w:w="416" w:type="pct"/>
            <w:tcBorders>
              <w:top w:val="single" w:sz="4" w:space="0" w:color="auto"/>
              <w:left w:val="single" w:sz="4" w:space="0" w:color="auto"/>
              <w:bottom w:val="single" w:sz="4" w:space="0" w:color="auto"/>
              <w:right w:val="single" w:sz="4" w:space="0" w:color="auto"/>
            </w:tcBorders>
            <w:vAlign w:val="center"/>
          </w:tcPr>
          <w:p w14:paraId="5B7FC78F" w14:textId="77777777" w:rsidR="00035F5B" w:rsidRPr="00414E7D" w:rsidRDefault="00035F5B" w:rsidP="00035F5B">
            <w:pPr>
              <w:spacing w:after="0" w:line="240" w:lineRule="auto"/>
              <w:ind w:right="57"/>
              <w:jc w:val="center"/>
              <w:rPr>
                <w:rFonts w:ascii="Times New Roman" w:hAnsi="Times New Roman"/>
              </w:rPr>
            </w:pPr>
          </w:p>
        </w:tc>
        <w:tc>
          <w:tcPr>
            <w:tcW w:w="421" w:type="pct"/>
            <w:tcBorders>
              <w:top w:val="single" w:sz="4" w:space="0" w:color="auto"/>
              <w:left w:val="single" w:sz="4" w:space="0" w:color="auto"/>
              <w:bottom w:val="single" w:sz="4" w:space="0" w:color="auto"/>
              <w:right w:val="single" w:sz="4" w:space="0" w:color="auto"/>
            </w:tcBorders>
            <w:vAlign w:val="center"/>
          </w:tcPr>
          <w:p w14:paraId="501791D0" w14:textId="77777777" w:rsidR="00035F5B" w:rsidRPr="00414E7D" w:rsidRDefault="00035F5B" w:rsidP="00035F5B">
            <w:pPr>
              <w:spacing w:after="0" w:line="240" w:lineRule="auto"/>
              <w:ind w:right="57"/>
              <w:jc w:val="center"/>
              <w:rPr>
                <w:rFonts w:ascii="Times New Roman" w:hAnsi="Times New Roman"/>
              </w:rPr>
            </w:pPr>
          </w:p>
        </w:tc>
        <w:tc>
          <w:tcPr>
            <w:tcW w:w="439" w:type="pct"/>
            <w:tcBorders>
              <w:top w:val="single" w:sz="4" w:space="0" w:color="auto"/>
              <w:left w:val="single" w:sz="4" w:space="0" w:color="auto"/>
              <w:bottom w:val="single" w:sz="4" w:space="0" w:color="auto"/>
              <w:right w:val="single" w:sz="4" w:space="0" w:color="auto"/>
            </w:tcBorders>
            <w:vAlign w:val="center"/>
          </w:tcPr>
          <w:p w14:paraId="3341C2BD" w14:textId="77777777" w:rsidR="00035F5B" w:rsidRPr="00414E7D" w:rsidRDefault="00035F5B" w:rsidP="00035F5B">
            <w:pPr>
              <w:spacing w:after="0" w:line="240" w:lineRule="auto"/>
              <w:ind w:right="57"/>
              <w:jc w:val="center"/>
              <w:rPr>
                <w:rFonts w:ascii="Times New Roman" w:hAnsi="Times New Roman"/>
              </w:rPr>
            </w:pPr>
          </w:p>
        </w:tc>
        <w:tc>
          <w:tcPr>
            <w:tcW w:w="404" w:type="pct"/>
            <w:tcBorders>
              <w:top w:val="single" w:sz="4" w:space="0" w:color="auto"/>
              <w:left w:val="single" w:sz="4" w:space="0" w:color="auto"/>
              <w:bottom w:val="single" w:sz="4" w:space="0" w:color="auto"/>
              <w:right w:val="single" w:sz="4" w:space="0" w:color="auto"/>
            </w:tcBorders>
            <w:vAlign w:val="center"/>
          </w:tcPr>
          <w:p w14:paraId="7CD88EE5" w14:textId="77777777" w:rsidR="00035F5B" w:rsidRPr="00414E7D" w:rsidRDefault="00035F5B" w:rsidP="00035F5B">
            <w:pPr>
              <w:spacing w:after="0" w:line="240" w:lineRule="auto"/>
              <w:ind w:right="57"/>
              <w:jc w:val="center"/>
              <w:rPr>
                <w:rFonts w:ascii="Times New Roman" w:hAnsi="Times New Roman"/>
              </w:rPr>
            </w:pPr>
          </w:p>
        </w:tc>
        <w:tc>
          <w:tcPr>
            <w:tcW w:w="434" w:type="pct"/>
            <w:tcBorders>
              <w:top w:val="single" w:sz="4" w:space="0" w:color="auto"/>
              <w:left w:val="single" w:sz="4" w:space="0" w:color="auto"/>
              <w:bottom w:val="single" w:sz="4" w:space="0" w:color="auto"/>
              <w:right w:val="single" w:sz="4" w:space="0" w:color="auto"/>
            </w:tcBorders>
            <w:vAlign w:val="center"/>
          </w:tcPr>
          <w:p w14:paraId="1AEED6E9" w14:textId="77777777" w:rsidR="00035F5B" w:rsidRPr="00414E7D" w:rsidRDefault="00035F5B" w:rsidP="00035F5B">
            <w:pPr>
              <w:spacing w:after="0" w:line="240" w:lineRule="auto"/>
              <w:ind w:right="57"/>
              <w:jc w:val="center"/>
              <w:rPr>
                <w:rFonts w:ascii="Times New Roman" w:hAnsi="Times New Roman"/>
              </w:rPr>
            </w:pPr>
          </w:p>
        </w:tc>
        <w:tc>
          <w:tcPr>
            <w:tcW w:w="392" w:type="pct"/>
            <w:tcBorders>
              <w:top w:val="single" w:sz="4" w:space="0" w:color="auto"/>
              <w:left w:val="single" w:sz="4" w:space="0" w:color="auto"/>
              <w:bottom w:val="single" w:sz="4" w:space="0" w:color="auto"/>
              <w:right w:val="single" w:sz="4" w:space="0" w:color="auto"/>
            </w:tcBorders>
            <w:vAlign w:val="center"/>
          </w:tcPr>
          <w:p w14:paraId="57B77BE4" w14:textId="77777777" w:rsidR="00035F5B" w:rsidRPr="00414E7D" w:rsidRDefault="00035F5B" w:rsidP="00035F5B">
            <w:pPr>
              <w:spacing w:after="0" w:line="240" w:lineRule="auto"/>
              <w:ind w:right="57"/>
              <w:jc w:val="center"/>
              <w:rPr>
                <w:rFonts w:ascii="Times New Roman" w:hAnsi="Times New Roman"/>
              </w:rPr>
            </w:pPr>
          </w:p>
        </w:tc>
      </w:tr>
      <w:tr w:rsidR="00035F5B" w:rsidRPr="00414E7D" w14:paraId="73DA1860"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0E8F25DC"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Хабаровский край</w:t>
            </w:r>
          </w:p>
        </w:tc>
        <w:tc>
          <w:tcPr>
            <w:tcW w:w="411" w:type="pct"/>
            <w:tcBorders>
              <w:top w:val="single" w:sz="4" w:space="0" w:color="auto"/>
              <w:left w:val="single" w:sz="4" w:space="0" w:color="auto"/>
              <w:bottom w:val="single" w:sz="4" w:space="0" w:color="auto"/>
              <w:right w:val="single" w:sz="4" w:space="0" w:color="auto"/>
            </w:tcBorders>
            <w:vAlign w:val="center"/>
          </w:tcPr>
          <w:p w14:paraId="24AC162E" w14:textId="77777777" w:rsidR="00035F5B" w:rsidRPr="00414E7D" w:rsidRDefault="001664C5" w:rsidP="001664C5">
            <w:pPr>
              <w:spacing w:after="0" w:line="240" w:lineRule="auto"/>
              <w:ind w:right="57"/>
              <w:jc w:val="center"/>
              <w:rPr>
                <w:rFonts w:ascii="Times New Roman" w:hAnsi="Times New Roman"/>
              </w:rPr>
            </w:pPr>
            <w:r>
              <w:rPr>
                <w:rFonts w:ascii="Times New Roman" w:hAnsi="Times New Roman"/>
              </w:rPr>
              <w:t>351</w:t>
            </w:r>
          </w:p>
        </w:tc>
        <w:tc>
          <w:tcPr>
            <w:tcW w:w="413" w:type="pct"/>
            <w:tcBorders>
              <w:top w:val="single" w:sz="4" w:space="0" w:color="auto"/>
              <w:left w:val="single" w:sz="4" w:space="0" w:color="auto"/>
              <w:bottom w:val="single" w:sz="4" w:space="0" w:color="auto"/>
              <w:right w:val="single" w:sz="4" w:space="0" w:color="auto"/>
            </w:tcBorders>
            <w:vAlign w:val="center"/>
          </w:tcPr>
          <w:p w14:paraId="78DBB175" w14:textId="77777777" w:rsidR="00035F5B" w:rsidRPr="00414E7D" w:rsidRDefault="00035F5B" w:rsidP="001664C5">
            <w:pPr>
              <w:spacing w:after="0" w:line="240" w:lineRule="auto"/>
              <w:ind w:right="57"/>
              <w:jc w:val="center"/>
              <w:rPr>
                <w:rFonts w:ascii="Times New Roman" w:hAnsi="Times New Roman"/>
              </w:rPr>
            </w:pPr>
            <w:r w:rsidRPr="00414E7D">
              <w:rPr>
                <w:rFonts w:ascii="Times New Roman" w:hAnsi="Times New Roman"/>
              </w:rPr>
              <w:t>4</w:t>
            </w:r>
            <w:r w:rsidR="001664C5">
              <w:rPr>
                <w:rFonts w:ascii="Times New Roman" w:hAnsi="Times New Roman"/>
              </w:rPr>
              <w:t>67</w:t>
            </w:r>
          </w:p>
        </w:tc>
        <w:tc>
          <w:tcPr>
            <w:tcW w:w="390" w:type="pct"/>
            <w:tcBorders>
              <w:top w:val="single" w:sz="4" w:space="0" w:color="auto"/>
              <w:left w:val="single" w:sz="4" w:space="0" w:color="auto"/>
              <w:bottom w:val="single" w:sz="4" w:space="0" w:color="auto"/>
              <w:right w:val="single" w:sz="4" w:space="0" w:color="auto"/>
            </w:tcBorders>
            <w:vAlign w:val="center"/>
          </w:tcPr>
          <w:p w14:paraId="1F33D209"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0" w:type="pct"/>
            <w:tcBorders>
              <w:top w:val="single" w:sz="4" w:space="0" w:color="auto"/>
              <w:left w:val="single" w:sz="4" w:space="0" w:color="auto"/>
              <w:bottom w:val="single" w:sz="4" w:space="0" w:color="auto"/>
              <w:right w:val="single" w:sz="4" w:space="0" w:color="auto"/>
            </w:tcBorders>
            <w:vAlign w:val="center"/>
          </w:tcPr>
          <w:p w14:paraId="220D78EA" w14:textId="77777777" w:rsidR="00035F5B" w:rsidRPr="00414E7D" w:rsidRDefault="00035F5B" w:rsidP="001664C5">
            <w:pPr>
              <w:spacing w:after="0" w:line="240" w:lineRule="auto"/>
              <w:ind w:right="57"/>
              <w:jc w:val="center"/>
              <w:rPr>
                <w:rFonts w:ascii="Times New Roman" w:hAnsi="Times New Roman"/>
              </w:rPr>
            </w:pPr>
            <w:r w:rsidRPr="00414E7D">
              <w:rPr>
                <w:rFonts w:ascii="Times New Roman" w:hAnsi="Times New Roman"/>
              </w:rPr>
              <w:t>11</w:t>
            </w:r>
            <w:r w:rsidR="001664C5">
              <w:rPr>
                <w:rFonts w:ascii="Times New Roman" w:hAnsi="Times New Roman"/>
              </w:rPr>
              <w:t>69</w:t>
            </w:r>
          </w:p>
        </w:tc>
        <w:tc>
          <w:tcPr>
            <w:tcW w:w="416" w:type="pct"/>
            <w:tcBorders>
              <w:top w:val="single" w:sz="4" w:space="0" w:color="auto"/>
              <w:left w:val="single" w:sz="4" w:space="0" w:color="auto"/>
              <w:bottom w:val="single" w:sz="4" w:space="0" w:color="auto"/>
              <w:right w:val="single" w:sz="4" w:space="0" w:color="auto"/>
            </w:tcBorders>
            <w:vAlign w:val="center"/>
          </w:tcPr>
          <w:p w14:paraId="79E47415" w14:textId="77777777" w:rsidR="00035F5B" w:rsidRPr="00414E7D" w:rsidRDefault="00035F5B" w:rsidP="001664C5">
            <w:pPr>
              <w:spacing w:after="0" w:line="240" w:lineRule="auto"/>
              <w:ind w:right="57"/>
              <w:jc w:val="center"/>
              <w:rPr>
                <w:rFonts w:ascii="Times New Roman" w:hAnsi="Times New Roman"/>
              </w:rPr>
            </w:pPr>
            <w:r w:rsidRPr="00414E7D">
              <w:rPr>
                <w:rFonts w:ascii="Times New Roman" w:hAnsi="Times New Roman"/>
              </w:rPr>
              <w:t>11</w:t>
            </w:r>
            <w:r w:rsidR="001664C5">
              <w:rPr>
                <w:rFonts w:ascii="Times New Roman" w:hAnsi="Times New Roman"/>
              </w:rPr>
              <w:t>69</w:t>
            </w:r>
          </w:p>
        </w:tc>
        <w:tc>
          <w:tcPr>
            <w:tcW w:w="421" w:type="pct"/>
            <w:tcBorders>
              <w:top w:val="single" w:sz="4" w:space="0" w:color="auto"/>
              <w:left w:val="single" w:sz="4" w:space="0" w:color="auto"/>
              <w:bottom w:val="single" w:sz="4" w:space="0" w:color="auto"/>
              <w:right w:val="single" w:sz="4" w:space="0" w:color="auto"/>
            </w:tcBorders>
            <w:vAlign w:val="center"/>
          </w:tcPr>
          <w:p w14:paraId="4C4649FB" w14:textId="77777777" w:rsidR="00035F5B" w:rsidRPr="00414E7D" w:rsidRDefault="00035F5B" w:rsidP="001664C5">
            <w:pPr>
              <w:spacing w:after="0" w:line="240" w:lineRule="auto"/>
              <w:ind w:right="57"/>
              <w:jc w:val="center"/>
              <w:rPr>
                <w:rFonts w:ascii="Times New Roman" w:hAnsi="Times New Roman"/>
              </w:rPr>
            </w:pPr>
            <w:r w:rsidRPr="00414E7D">
              <w:rPr>
                <w:rFonts w:ascii="Times New Roman" w:hAnsi="Times New Roman"/>
              </w:rPr>
              <w:t>11</w:t>
            </w:r>
            <w:r w:rsidR="001664C5">
              <w:rPr>
                <w:rFonts w:ascii="Times New Roman" w:hAnsi="Times New Roman"/>
              </w:rPr>
              <w:t>69</w:t>
            </w:r>
          </w:p>
        </w:tc>
        <w:tc>
          <w:tcPr>
            <w:tcW w:w="439" w:type="pct"/>
            <w:tcBorders>
              <w:top w:val="single" w:sz="4" w:space="0" w:color="auto"/>
              <w:left w:val="single" w:sz="4" w:space="0" w:color="auto"/>
              <w:bottom w:val="single" w:sz="4" w:space="0" w:color="auto"/>
              <w:right w:val="single" w:sz="4" w:space="0" w:color="auto"/>
            </w:tcBorders>
            <w:vAlign w:val="center"/>
          </w:tcPr>
          <w:p w14:paraId="3F9101DE" w14:textId="77777777" w:rsidR="00035F5B" w:rsidRPr="00414E7D" w:rsidRDefault="00035F5B" w:rsidP="001664C5">
            <w:pPr>
              <w:spacing w:after="0" w:line="240" w:lineRule="auto"/>
              <w:ind w:right="57"/>
              <w:jc w:val="center"/>
              <w:rPr>
                <w:rFonts w:ascii="Times New Roman" w:hAnsi="Times New Roman"/>
              </w:rPr>
            </w:pPr>
            <w:r w:rsidRPr="00414E7D">
              <w:rPr>
                <w:rFonts w:ascii="Times New Roman" w:hAnsi="Times New Roman"/>
              </w:rPr>
              <w:t>11</w:t>
            </w:r>
            <w:r w:rsidR="001664C5">
              <w:rPr>
                <w:rFonts w:ascii="Times New Roman" w:hAnsi="Times New Roman"/>
              </w:rPr>
              <w:t>69</w:t>
            </w:r>
          </w:p>
        </w:tc>
        <w:tc>
          <w:tcPr>
            <w:tcW w:w="404" w:type="pct"/>
            <w:tcBorders>
              <w:top w:val="single" w:sz="4" w:space="0" w:color="auto"/>
              <w:left w:val="single" w:sz="4" w:space="0" w:color="auto"/>
              <w:bottom w:val="single" w:sz="4" w:space="0" w:color="auto"/>
              <w:right w:val="single" w:sz="4" w:space="0" w:color="auto"/>
            </w:tcBorders>
            <w:vAlign w:val="center"/>
          </w:tcPr>
          <w:p w14:paraId="390179C4" w14:textId="77777777" w:rsidR="00035F5B" w:rsidRPr="00414E7D" w:rsidRDefault="00035F5B" w:rsidP="001664C5">
            <w:pPr>
              <w:spacing w:after="0" w:line="240" w:lineRule="auto"/>
              <w:ind w:right="57"/>
              <w:jc w:val="center"/>
              <w:rPr>
                <w:rFonts w:ascii="Times New Roman" w:hAnsi="Times New Roman"/>
              </w:rPr>
            </w:pPr>
            <w:r w:rsidRPr="00414E7D">
              <w:rPr>
                <w:rFonts w:ascii="Times New Roman" w:hAnsi="Times New Roman"/>
              </w:rPr>
              <w:t>11</w:t>
            </w:r>
            <w:r w:rsidR="001664C5">
              <w:rPr>
                <w:rFonts w:ascii="Times New Roman" w:hAnsi="Times New Roman"/>
              </w:rPr>
              <w:t>69</w:t>
            </w:r>
          </w:p>
        </w:tc>
        <w:tc>
          <w:tcPr>
            <w:tcW w:w="434" w:type="pct"/>
            <w:tcBorders>
              <w:top w:val="single" w:sz="4" w:space="0" w:color="auto"/>
              <w:left w:val="single" w:sz="4" w:space="0" w:color="auto"/>
              <w:bottom w:val="single" w:sz="4" w:space="0" w:color="auto"/>
              <w:right w:val="single" w:sz="4" w:space="0" w:color="auto"/>
            </w:tcBorders>
            <w:vAlign w:val="center"/>
          </w:tcPr>
          <w:p w14:paraId="08A91F0F" w14:textId="77777777" w:rsidR="00035F5B" w:rsidRPr="00414E7D" w:rsidRDefault="00035F5B" w:rsidP="001664C5">
            <w:pPr>
              <w:spacing w:after="0" w:line="240" w:lineRule="auto"/>
              <w:ind w:right="57"/>
              <w:jc w:val="center"/>
              <w:rPr>
                <w:rFonts w:ascii="Times New Roman" w:hAnsi="Times New Roman"/>
              </w:rPr>
            </w:pPr>
            <w:r w:rsidRPr="00414E7D">
              <w:rPr>
                <w:rFonts w:ascii="Times New Roman" w:hAnsi="Times New Roman"/>
              </w:rPr>
              <w:t>11</w:t>
            </w:r>
            <w:r w:rsidR="001664C5">
              <w:rPr>
                <w:rFonts w:ascii="Times New Roman" w:hAnsi="Times New Roman"/>
              </w:rPr>
              <w:t>69</w:t>
            </w:r>
          </w:p>
        </w:tc>
        <w:tc>
          <w:tcPr>
            <w:tcW w:w="392" w:type="pct"/>
            <w:tcBorders>
              <w:top w:val="single" w:sz="4" w:space="0" w:color="auto"/>
              <w:left w:val="single" w:sz="4" w:space="0" w:color="auto"/>
              <w:bottom w:val="single" w:sz="4" w:space="0" w:color="auto"/>
              <w:right w:val="single" w:sz="4" w:space="0" w:color="auto"/>
            </w:tcBorders>
            <w:vAlign w:val="center"/>
          </w:tcPr>
          <w:p w14:paraId="5B194788" w14:textId="77777777" w:rsidR="00035F5B" w:rsidRPr="00414E7D" w:rsidRDefault="00035F5B" w:rsidP="001664C5">
            <w:pPr>
              <w:spacing w:after="0" w:line="240" w:lineRule="auto"/>
              <w:ind w:right="57"/>
              <w:jc w:val="center"/>
              <w:rPr>
                <w:rFonts w:ascii="Times New Roman" w:hAnsi="Times New Roman"/>
              </w:rPr>
            </w:pPr>
            <w:r w:rsidRPr="00414E7D">
              <w:rPr>
                <w:rFonts w:ascii="Times New Roman" w:hAnsi="Times New Roman"/>
              </w:rPr>
              <w:t>11</w:t>
            </w:r>
            <w:r w:rsidR="001664C5">
              <w:rPr>
                <w:rFonts w:ascii="Times New Roman" w:hAnsi="Times New Roman"/>
              </w:rPr>
              <w:t>69</w:t>
            </w:r>
          </w:p>
        </w:tc>
      </w:tr>
      <w:tr w:rsidR="00035F5B" w:rsidRPr="00414E7D" w14:paraId="3556509B"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10E61144"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Амурская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14:paraId="653110E1"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294</w:t>
            </w:r>
          </w:p>
        </w:tc>
        <w:tc>
          <w:tcPr>
            <w:tcW w:w="413" w:type="pct"/>
            <w:tcBorders>
              <w:top w:val="single" w:sz="4" w:space="0" w:color="auto"/>
              <w:left w:val="single" w:sz="4" w:space="0" w:color="auto"/>
              <w:bottom w:val="single" w:sz="4" w:space="0" w:color="auto"/>
              <w:right w:val="single" w:sz="4" w:space="0" w:color="auto"/>
            </w:tcBorders>
            <w:vAlign w:val="center"/>
          </w:tcPr>
          <w:p w14:paraId="266163E7"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588</w:t>
            </w:r>
          </w:p>
        </w:tc>
        <w:tc>
          <w:tcPr>
            <w:tcW w:w="390" w:type="pct"/>
            <w:tcBorders>
              <w:top w:val="single" w:sz="4" w:space="0" w:color="auto"/>
              <w:left w:val="single" w:sz="4" w:space="0" w:color="auto"/>
              <w:bottom w:val="single" w:sz="4" w:space="0" w:color="auto"/>
              <w:right w:val="single" w:sz="4" w:space="0" w:color="auto"/>
            </w:tcBorders>
            <w:vAlign w:val="center"/>
          </w:tcPr>
          <w:p w14:paraId="0142586F"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441</w:t>
            </w:r>
          </w:p>
        </w:tc>
        <w:tc>
          <w:tcPr>
            <w:tcW w:w="420" w:type="pct"/>
            <w:tcBorders>
              <w:top w:val="single" w:sz="4" w:space="0" w:color="auto"/>
              <w:left w:val="single" w:sz="4" w:space="0" w:color="auto"/>
              <w:bottom w:val="single" w:sz="4" w:space="0" w:color="auto"/>
              <w:right w:val="single" w:sz="4" w:space="0" w:color="auto"/>
            </w:tcBorders>
            <w:vAlign w:val="center"/>
          </w:tcPr>
          <w:p w14:paraId="694740AF"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441</w:t>
            </w:r>
          </w:p>
        </w:tc>
        <w:tc>
          <w:tcPr>
            <w:tcW w:w="416" w:type="pct"/>
            <w:tcBorders>
              <w:top w:val="single" w:sz="4" w:space="0" w:color="auto"/>
              <w:left w:val="single" w:sz="4" w:space="0" w:color="auto"/>
              <w:bottom w:val="single" w:sz="4" w:space="0" w:color="auto"/>
              <w:right w:val="single" w:sz="4" w:space="0" w:color="auto"/>
            </w:tcBorders>
            <w:vAlign w:val="center"/>
          </w:tcPr>
          <w:p w14:paraId="6D8979C6"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14:paraId="4E11A46E"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15DDE169"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7C1D3DA0"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08D22415"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00BEDDF9"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3560A6EF"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4B5F1829" w14:textId="77777777" w:rsidR="00035F5B" w:rsidRPr="001664C5" w:rsidRDefault="00035F5B" w:rsidP="00035F5B">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Магаданская область</w:t>
            </w:r>
            <w:r w:rsidR="001664C5">
              <w:rPr>
                <w:rFonts w:ascii="Times New Roman" w:eastAsia="Times New Roman" w:hAnsi="Times New Roman" w:cs="Times New Roman"/>
                <w:sz w:val="24"/>
                <w:szCs w:val="24"/>
                <w:vertAlign w:val="superscript"/>
                <w:lang w:eastAsia="ru-RU"/>
              </w:rPr>
              <w:t>1</w:t>
            </w:r>
          </w:p>
        </w:tc>
        <w:tc>
          <w:tcPr>
            <w:tcW w:w="411" w:type="pct"/>
            <w:tcBorders>
              <w:top w:val="single" w:sz="4" w:space="0" w:color="auto"/>
              <w:left w:val="single" w:sz="4" w:space="0" w:color="auto"/>
              <w:bottom w:val="single" w:sz="4" w:space="0" w:color="auto"/>
              <w:right w:val="single" w:sz="4" w:space="0" w:color="auto"/>
            </w:tcBorders>
            <w:vAlign w:val="center"/>
          </w:tcPr>
          <w:p w14:paraId="1A2EB7AC" w14:textId="77777777" w:rsidR="00035F5B" w:rsidRPr="00414E7D" w:rsidRDefault="00035F5B" w:rsidP="001664C5">
            <w:pPr>
              <w:spacing w:after="0" w:line="240" w:lineRule="auto"/>
              <w:ind w:right="57"/>
              <w:jc w:val="center"/>
              <w:rPr>
                <w:rFonts w:ascii="Times New Roman" w:hAnsi="Times New Roman"/>
              </w:rPr>
            </w:pPr>
            <w:r w:rsidRPr="00414E7D">
              <w:rPr>
                <w:rFonts w:ascii="Times New Roman" w:hAnsi="Times New Roman"/>
              </w:rPr>
              <w:t>6</w:t>
            </w:r>
            <w:r w:rsidR="001664C5">
              <w:rPr>
                <w:rFonts w:ascii="Times New Roman" w:hAnsi="Times New Roman"/>
              </w:rPr>
              <w:t>22</w:t>
            </w:r>
            <w:r w:rsidRPr="00414E7D">
              <w:rPr>
                <w:rFonts w:ascii="Times New Roman" w:hAnsi="Times New Roman"/>
              </w:rPr>
              <w:t>-12</w:t>
            </w:r>
            <w:r w:rsidR="001664C5">
              <w:rPr>
                <w:rFonts w:ascii="Times New Roman" w:hAnsi="Times New Roman"/>
              </w:rPr>
              <w:t>44</w:t>
            </w:r>
          </w:p>
        </w:tc>
        <w:tc>
          <w:tcPr>
            <w:tcW w:w="413" w:type="pct"/>
            <w:tcBorders>
              <w:top w:val="single" w:sz="4" w:space="0" w:color="auto"/>
              <w:left w:val="single" w:sz="4" w:space="0" w:color="auto"/>
              <w:bottom w:val="single" w:sz="4" w:space="0" w:color="auto"/>
              <w:right w:val="single" w:sz="4" w:space="0" w:color="auto"/>
            </w:tcBorders>
            <w:vAlign w:val="center"/>
          </w:tcPr>
          <w:p w14:paraId="0D490A51" w14:textId="77777777" w:rsidR="00035F5B" w:rsidRPr="00414E7D" w:rsidRDefault="00035F5B" w:rsidP="001664C5">
            <w:pPr>
              <w:spacing w:after="0" w:line="240" w:lineRule="auto"/>
              <w:ind w:right="57"/>
              <w:jc w:val="center"/>
              <w:rPr>
                <w:rFonts w:ascii="Times New Roman" w:hAnsi="Times New Roman"/>
              </w:rPr>
            </w:pPr>
            <w:r w:rsidRPr="00414E7D">
              <w:rPr>
                <w:rFonts w:ascii="Times New Roman" w:hAnsi="Times New Roman"/>
              </w:rPr>
              <w:t>18</w:t>
            </w:r>
            <w:r w:rsidR="001664C5">
              <w:rPr>
                <w:rFonts w:ascii="Times New Roman" w:hAnsi="Times New Roman"/>
              </w:rPr>
              <w:t>67</w:t>
            </w:r>
            <w:r w:rsidRPr="00414E7D">
              <w:rPr>
                <w:rFonts w:ascii="Times New Roman" w:hAnsi="Times New Roman"/>
              </w:rPr>
              <w:t>-3</w:t>
            </w:r>
            <w:r w:rsidR="001664C5">
              <w:rPr>
                <w:rFonts w:ascii="Times New Roman" w:hAnsi="Times New Roman"/>
              </w:rPr>
              <w:t>733</w:t>
            </w:r>
          </w:p>
        </w:tc>
        <w:tc>
          <w:tcPr>
            <w:tcW w:w="390" w:type="pct"/>
            <w:tcBorders>
              <w:top w:val="single" w:sz="4" w:space="0" w:color="auto"/>
              <w:left w:val="single" w:sz="4" w:space="0" w:color="auto"/>
              <w:bottom w:val="single" w:sz="4" w:space="0" w:color="auto"/>
              <w:right w:val="single" w:sz="4" w:space="0" w:color="auto"/>
            </w:tcBorders>
            <w:vAlign w:val="center"/>
          </w:tcPr>
          <w:p w14:paraId="461D8E2E" w14:textId="77777777" w:rsidR="00035F5B" w:rsidRPr="00414E7D" w:rsidRDefault="00035F5B" w:rsidP="001664C5">
            <w:pPr>
              <w:spacing w:after="0" w:line="240" w:lineRule="auto"/>
              <w:ind w:right="57"/>
              <w:jc w:val="center"/>
              <w:rPr>
                <w:rFonts w:ascii="Times New Roman" w:hAnsi="Times New Roman"/>
              </w:rPr>
            </w:pPr>
            <w:r w:rsidRPr="00414E7D">
              <w:rPr>
                <w:rFonts w:ascii="Times New Roman" w:hAnsi="Times New Roman"/>
              </w:rPr>
              <w:t>9</w:t>
            </w:r>
            <w:r w:rsidR="001664C5">
              <w:rPr>
                <w:rFonts w:ascii="Times New Roman" w:hAnsi="Times New Roman"/>
              </w:rPr>
              <w:t>33</w:t>
            </w:r>
            <w:r w:rsidRPr="00414E7D">
              <w:rPr>
                <w:rFonts w:ascii="Times New Roman" w:hAnsi="Times New Roman"/>
              </w:rPr>
              <w:t>-1</w:t>
            </w:r>
            <w:r w:rsidR="001664C5">
              <w:rPr>
                <w:rFonts w:ascii="Times New Roman" w:hAnsi="Times New Roman"/>
              </w:rPr>
              <w:t>867</w:t>
            </w:r>
          </w:p>
        </w:tc>
        <w:tc>
          <w:tcPr>
            <w:tcW w:w="420" w:type="pct"/>
            <w:tcBorders>
              <w:top w:val="single" w:sz="4" w:space="0" w:color="auto"/>
              <w:left w:val="single" w:sz="4" w:space="0" w:color="auto"/>
              <w:bottom w:val="single" w:sz="4" w:space="0" w:color="auto"/>
              <w:right w:val="single" w:sz="4" w:space="0" w:color="auto"/>
            </w:tcBorders>
            <w:vAlign w:val="center"/>
          </w:tcPr>
          <w:p w14:paraId="76E462DC" w14:textId="77777777" w:rsidR="00035F5B" w:rsidRPr="00414E7D" w:rsidRDefault="00035F5B" w:rsidP="001664C5">
            <w:pPr>
              <w:spacing w:after="0" w:line="240" w:lineRule="auto"/>
              <w:ind w:right="57"/>
              <w:jc w:val="center"/>
              <w:rPr>
                <w:rFonts w:ascii="Times New Roman" w:hAnsi="Times New Roman"/>
              </w:rPr>
            </w:pPr>
            <w:r w:rsidRPr="00414E7D">
              <w:rPr>
                <w:rFonts w:ascii="Times New Roman" w:hAnsi="Times New Roman"/>
              </w:rPr>
              <w:t>9</w:t>
            </w:r>
            <w:r w:rsidR="001664C5">
              <w:rPr>
                <w:rFonts w:ascii="Times New Roman" w:hAnsi="Times New Roman"/>
              </w:rPr>
              <w:t>33</w:t>
            </w:r>
            <w:r w:rsidRPr="00414E7D">
              <w:rPr>
                <w:rFonts w:ascii="Times New Roman" w:hAnsi="Times New Roman"/>
              </w:rPr>
              <w:t>-18</w:t>
            </w:r>
            <w:r w:rsidR="001664C5">
              <w:rPr>
                <w:rFonts w:ascii="Times New Roman" w:hAnsi="Times New Roman"/>
              </w:rPr>
              <w:t>67</w:t>
            </w:r>
          </w:p>
        </w:tc>
        <w:tc>
          <w:tcPr>
            <w:tcW w:w="416" w:type="pct"/>
            <w:tcBorders>
              <w:top w:val="single" w:sz="4" w:space="0" w:color="auto"/>
              <w:left w:val="single" w:sz="4" w:space="0" w:color="auto"/>
              <w:bottom w:val="single" w:sz="4" w:space="0" w:color="auto"/>
              <w:right w:val="single" w:sz="4" w:space="0" w:color="auto"/>
            </w:tcBorders>
            <w:vAlign w:val="center"/>
          </w:tcPr>
          <w:p w14:paraId="32B17E32"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21" w:type="pct"/>
            <w:tcBorders>
              <w:top w:val="single" w:sz="4" w:space="0" w:color="auto"/>
              <w:left w:val="single" w:sz="4" w:space="0" w:color="auto"/>
              <w:bottom w:val="single" w:sz="4" w:space="0" w:color="auto"/>
              <w:right w:val="single" w:sz="4" w:space="0" w:color="auto"/>
            </w:tcBorders>
            <w:vAlign w:val="center"/>
          </w:tcPr>
          <w:p w14:paraId="5E4309C5"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4CDAC0F4"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7F292A2D"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694402DF"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712F0F08"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0DBFF979"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57F0F092"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Сахалинская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14:paraId="5149F165" w14:textId="77777777" w:rsidR="00035F5B" w:rsidRPr="00414E7D" w:rsidRDefault="00035F5B" w:rsidP="001664C5">
            <w:pPr>
              <w:spacing w:after="0" w:line="240" w:lineRule="auto"/>
              <w:ind w:right="57"/>
              <w:jc w:val="center"/>
              <w:rPr>
                <w:rFonts w:ascii="Times New Roman" w:hAnsi="Times New Roman"/>
              </w:rPr>
            </w:pPr>
            <w:r w:rsidRPr="00414E7D">
              <w:rPr>
                <w:rFonts w:ascii="Times New Roman" w:hAnsi="Times New Roman"/>
              </w:rPr>
              <w:t>4</w:t>
            </w:r>
            <w:r w:rsidR="001664C5">
              <w:rPr>
                <w:rFonts w:ascii="Times New Roman" w:hAnsi="Times New Roman"/>
              </w:rPr>
              <w:t>74</w:t>
            </w:r>
          </w:p>
        </w:tc>
        <w:tc>
          <w:tcPr>
            <w:tcW w:w="413" w:type="pct"/>
            <w:tcBorders>
              <w:top w:val="single" w:sz="4" w:space="0" w:color="auto"/>
              <w:left w:val="single" w:sz="4" w:space="0" w:color="auto"/>
              <w:bottom w:val="single" w:sz="4" w:space="0" w:color="auto"/>
              <w:right w:val="single" w:sz="4" w:space="0" w:color="auto"/>
            </w:tcBorders>
            <w:vAlign w:val="center"/>
          </w:tcPr>
          <w:p w14:paraId="1CBEA029" w14:textId="77777777" w:rsidR="00035F5B" w:rsidRPr="00414E7D" w:rsidRDefault="00035F5B" w:rsidP="00490C32">
            <w:pPr>
              <w:spacing w:after="0" w:line="240" w:lineRule="auto"/>
              <w:ind w:right="57"/>
              <w:jc w:val="center"/>
              <w:rPr>
                <w:rFonts w:ascii="Times New Roman" w:hAnsi="Times New Roman"/>
              </w:rPr>
            </w:pPr>
            <w:r w:rsidRPr="00414E7D">
              <w:rPr>
                <w:rFonts w:ascii="Times New Roman" w:hAnsi="Times New Roman"/>
              </w:rPr>
              <w:t>18</w:t>
            </w:r>
            <w:r w:rsidR="00490C32">
              <w:rPr>
                <w:rFonts w:ascii="Times New Roman" w:hAnsi="Times New Roman"/>
              </w:rPr>
              <w:t>94</w:t>
            </w:r>
          </w:p>
        </w:tc>
        <w:tc>
          <w:tcPr>
            <w:tcW w:w="390" w:type="pct"/>
            <w:tcBorders>
              <w:top w:val="single" w:sz="4" w:space="0" w:color="auto"/>
              <w:left w:val="single" w:sz="4" w:space="0" w:color="auto"/>
              <w:bottom w:val="single" w:sz="4" w:space="0" w:color="auto"/>
              <w:right w:val="single" w:sz="4" w:space="0" w:color="auto"/>
            </w:tcBorders>
            <w:vAlign w:val="center"/>
          </w:tcPr>
          <w:p w14:paraId="58131105" w14:textId="77777777" w:rsidR="00035F5B" w:rsidRPr="00414E7D" w:rsidRDefault="00490C32" w:rsidP="00035F5B">
            <w:pPr>
              <w:spacing w:after="0" w:line="240" w:lineRule="auto"/>
              <w:ind w:right="57"/>
              <w:jc w:val="center"/>
              <w:rPr>
                <w:rFonts w:ascii="Times New Roman" w:hAnsi="Times New Roman"/>
              </w:rPr>
            </w:pPr>
            <w:r>
              <w:rPr>
                <w:rFonts w:ascii="Times New Roman" w:hAnsi="Times New Roman"/>
              </w:rPr>
              <w:t>711</w:t>
            </w:r>
          </w:p>
        </w:tc>
        <w:tc>
          <w:tcPr>
            <w:tcW w:w="420" w:type="pct"/>
            <w:tcBorders>
              <w:top w:val="single" w:sz="4" w:space="0" w:color="auto"/>
              <w:left w:val="single" w:sz="4" w:space="0" w:color="auto"/>
              <w:bottom w:val="single" w:sz="4" w:space="0" w:color="auto"/>
              <w:right w:val="single" w:sz="4" w:space="0" w:color="auto"/>
            </w:tcBorders>
            <w:vAlign w:val="center"/>
          </w:tcPr>
          <w:p w14:paraId="6E80DBA2" w14:textId="77777777" w:rsidR="00035F5B" w:rsidRPr="00414E7D" w:rsidRDefault="00490C32" w:rsidP="00035F5B">
            <w:pPr>
              <w:spacing w:after="0" w:line="240" w:lineRule="auto"/>
              <w:ind w:right="57"/>
              <w:jc w:val="center"/>
              <w:rPr>
                <w:rFonts w:ascii="Times New Roman" w:hAnsi="Times New Roman"/>
              </w:rPr>
            </w:pPr>
            <w:r>
              <w:rPr>
                <w:rFonts w:ascii="Times New Roman" w:hAnsi="Times New Roman"/>
              </w:rPr>
              <w:t>711</w:t>
            </w:r>
          </w:p>
        </w:tc>
        <w:tc>
          <w:tcPr>
            <w:tcW w:w="416" w:type="pct"/>
            <w:tcBorders>
              <w:top w:val="single" w:sz="4" w:space="0" w:color="auto"/>
              <w:left w:val="single" w:sz="4" w:space="0" w:color="auto"/>
              <w:bottom w:val="single" w:sz="4" w:space="0" w:color="auto"/>
              <w:right w:val="single" w:sz="4" w:space="0" w:color="auto"/>
            </w:tcBorders>
            <w:vAlign w:val="center"/>
          </w:tcPr>
          <w:p w14:paraId="6076C87D" w14:textId="77777777" w:rsidR="00035F5B" w:rsidRPr="00414E7D" w:rsidRDefault="00035F5B" w:rsidP="00035F5B">
            <w:pPr>
              <w:spacing w:after="0" w:line="240" w:lineRule="auto"/>
              <w:ind w:right="57"/>
              <w:jc w:val="center"/>
              <w:rPr>
                <w:rFonts w:ascii="Times New Roman" w:hAnsi="Times New Roman"/>
              </w:rPr>
            </w:pPr>
          </w:p>
        </w:tc>
        <w:tc>
          <w:tcPr>
            <w:tcW w:w="421" w:type="pct"/>
            <w:tcBorders>
              <w:top w:val="single" w:sz="4" w:space="0" w:color="auto"/>
              <w:left w:val="single" w:sz="4" w:space="0" w:color="auto"/>
              <w:bottom w:val="single" w:sz="4" w:space="0" w:color="auto"/>
              <w:right w:val="single" w:sz="4" w:space="0" w:color="auto"/>
            </w:tcBorders>
            <w:vAlign w:val="center"/>
          </w:tcPr>
          <w:p w14:paraId="47F66051"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51D9D566"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2CDC78F5"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21190CBF"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590AC8A3"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0F8125B9"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18D24BC9" w14:textId="77777777" w:rsidR="00035F5B" w:rsidRPr="00414E7D" w:rsidRDefault="00035F5B" w:rsidP="00035F5B">
            <w:pPr>
              <w:spacing w:after="0" w:line="240" w:lineRule="auto"/>
              <w:rPr>
                <w:rFonts w:ascii="Times New Roman" w:eastAsia="Arial Unicode MS" w:hAnsi="Times New Roman" w:cs="Times New Roman"/>
                <w:sz w:val="24"/>
                <w:szCs w:val="24"/>
                <w:vertAlign w:val="superscript"/>
                <w:lang w:eastAsia="ru-RU"/>
              </w:rPr>
            </w:pPr>
            <w:r w:rsidRPr="00414E7D">
              <w:rPr>
                <w:rFonts w:ascii="Times New Roman" w:eastAsia="Times New Roman" w:hAnsi="Times New Roman" w:cs="Times New Roman"/>
                <w:sz w:val="24"/>
                <w:szCs w:val="24"/>
                <w:lang w:eastAsia="ru-RU"/>
              </w:rPr>
              <w:t>Еврейская автономная область</w:t>
            </w:r>
            <w:r>
              <w:rPr>
                <w:rFonts w:ascii="Times New Roman" w:eastAsia="Times New Roman" w:hAnsi="Times New Roman" w:cs="Times New Roman"/>
                <w:sz w:val="24"/>
                <w:szCs w:val="24"/>
                <w:vertAlign w:val="superscript"/>
                <w:lang w:eastAsia="ru-RU"/>
              </w:rPr>
              <w:t>3</w:t>
            </w:r>
          </w:p>
        </w:tc>
        <w:tc>
          <w:tcPr>
            <w:tcW w:w="411" w:type="pct"/>
            <w:tcBorders>
              <w:top w:val="single" w:sz="4" w:space="0" w:color="auto"/>
              <w:left w:val="single" w:sz="4" w:space="0" w:color="auto"/>
              <w:bottom w:val="single" w:sz="4" w:space="0" w:color="auto"/>
              <w:right w:val="single" w:sz="4" w:space="0" w:color="auto"/>
            </w:tcBorders>
            <w:vAlign w:val="center"/>
          </w:tcPr>
          <w:p w14:paraId="56B213AB"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120</w:t>
            </w:r>
          </w:p>
        </w:tc>
        <w:tc>
          <w:tcPr>
            <w:tcW w:w="413" w:type="pct"/>
            <w:tcBorders>
              <w:top w:val="single" w:sz="4" w:space="0" w:color="auto"/>
              <w:left w:val="single" w:sz="4" w:space="0" w:color="auto"/>
              <w:bottom w:val="single" w:sz="4" w:space="0" w:color="auto"/>
              <w:right w:val="single" w:sz="4" w:space="0" w:color="auto"/>
            </w:tcBorders>
            <w:vAlign w:val="center"/>
          </w:tcPr>
          <w:p w14:paraId="08A96310"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240</w:t>
            </w:r>
          </w:p>
        </w:tc>
        <w:tc>
          <w:tcPr>
            <w:tcW w:w="390" w:type="pct"/>
            <w:tcBorders>
              <w:top w:val="single" w:sz="4" w:space="0" w:color="auto"/>
              <w:left w:val="single" w:sz="4" w:space="0" w:color="auto"/>
              <w:bottom w:val="single" w:sz="4" w:space="0" w:color="auto"/>
              <w:right w:val="single" w:sz="4" w:space="0" w:color="auto"/>
            </w:tcBorders>
            <w:vAlign w:val="center"/>
          </w:tcPr>
          <w:p w14:paraId="654A0B6A"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240</w:t>
            </w:r>
          </w:p>
        </w:tc>
        <w:tc>
          <w:tcPr>
            <w:tcW w:w="420" w:type="pct"/>
            <w:tcBorders>
              <w:top w:val="single" w:sz="4" w:space="0" w:color="auto"/>
              <w:left w:val="single" w:sz="4" w:space="0" w:color="auto"/>
              <w:bottom w:val="single" w:sz="4" w:space="0" w:color="auto"/>
              <w:right w:val="single" w:sz="4" w:space="0" w:color="auto"/>
            </w:tcBorders>
            <w:vAlign w:val="center"/>
          </w:tcPr>
          <w:p w14:paraId="64A4E0F5"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180</w:t>
            </w:r>
          </w:p>
        </w:tc>
        <w:tc>
          <w:tcPr>
            <w:tcW w:w="416" w:type="pct"/>
            <w:tcBorders>
              <w:top w:val="single" w:sz="4" w:space="0" w:color="auto"/>
              <w:left w:val="single" w:sz="4" w:space="0" w:color="auto"/>
              <w:bottom w:val="single" w:sz="4" w:space="0" w:color="auto"/>
              <w:right w:val="single" w:sz="4" w:space="0" w:color="auto"/>
            </w:tcBorders>
            <w:vAlign w:val="center"/>
          </w:tcPr>
          <w:p w14:paraId="24571616"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120-240</w:t>
            </w:r>
          </w:p>
        </w:tc>
        <w:tc>
          <w:tcPr>
            <w:tcW w:w="421" w:type="pct"/>
            <w:tcBorders>
              <w:top w:val="single" w:sz="4" w:space="0" w:color="auto"/>
              <w:left w:val="single" w:sz="4" w:space="0" w:color="auto"/>
              <w:bottom w:val="single" w:sz="4" w:space="0" w:color="auto"/>
              <w:right w:val="single" w:sz="4" w:space="0" w:color="auto"/>
            </w:tcBorders>
            <w:vAlign w:val="center"/>
          </w:tcPr>
          <w:p w14:paraId="3BF6FFDE"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9" w:type="pct"/>
            <w:tcBorders>
              <w:top w:val="single" w:sz="4" w:space="0" w:color="auto"/>
              <w:left w:val="single" w:sz="4" w:space="0" w:color="auto"/>
              <w:bottom w:val="single" w:sz="4" w:space="0" w:color="auto"/>
              <w:right w:val="single" w:sz="4" w:space="0" w:color="auto"/>
            </w:tcBorders>
            <w:vAlign w:val="center"/>
          </w:tcPr>
          <w:p w14:paraId="0DC2B221"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04" w:type="pct"/>
            <w:tcBorders>
              <w:top w:val="single" w:sz="4" w:space="0" w:color="auto"/>
              <w:left w:val="single" w:sz="4" w:space="0" w:color="auto"/>
              <w:bottom w:val="single" w:sz="4" w:space="0" w:color="auto"/>
              <w:right w:val="single" w:sz="4" w:space="0" w:color="auto"/>
            </w:tcBorders>
            <w:vAlign w:val="center"/>
          </w:tcPr>
          <w:p w14:paraId="01386499"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434" w:type="pct"/>
            <w:tcBorders>
              <w:top w:val="single" w:sz="4" w:space="0" w:color="auto"/>
              <w:left w:val="single" w:sz="4" w:space="0" w:color="auto"/>
              <w:bottom w:val="single" w:sz="4" w:space="0" w:color="auto"/>
              <w:right w:val="single" w:sz="4" w:space="0" w:color="auto"/>
            </w:tcBorders>
            <w:vAlign w:val="center"/>
          </w:tcPr>
          <w:p w14:paraId="6B77F56E"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c>
          <w:tcPr>
            <w:tcW w:w="392" w:type="pct"/>
            <w:tcBorders>
              <w:top w:val="single" w:sz="4" w:space="0" w:color="auto"/>
              <w:left w:val="single" w:sz="4" w:space="0" w:color="auto"/>
              <w:bottom w:val="single" w:sz="4" w:space="0" w:color="auto"/>
              <w:right w:val="single" w:sz="4" w:space="0" w:color="auto"/>
            </w:tcBorders>
            <w:vAlign w:val="center"/>
          </w:tcPr>
          <w:p w14:paraId="740F7179"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w:t>
            </w:r>
          </w:p>
        </w:tc>
      </w:tr>
      <w:tr w:rsidR="00035F5B" w:rsidRPr="00414E7D" w14:paraId="096B88C9" w14:textId="77777777" w:rsidTr="00BD2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14:paraId="6890D9EF" w14:textId="77777777" w:rsidR="00035F5B" w:rsidRPr="00414E7D" w:rsidRDefault="00035F5B" w:rsidP="00035F5B">
            <w:pPr>
              <w:spacing w:after="0" w:line="240" w:lineRule="auto"/>
              <w:rPr>
                <w:rFonts w:ascii="Times New Roman" w:eastAsia="Arial Unicode MS" w:hAnsi="Times New Roman" w:cs="Times New Roman"/>
                <w:sz w:val="24"/>
                <w:szCs w:val="24"/>
                <w:lang w:eastAsia="ru-RU"/>
              </w:rPr>
            </w:pPr>
            <w:r w:rsidRPr="00414E7D">
              <w:rPr>
                <w:rFonts w:ascii="Times New Roman" w:eastAsia="Times New Roman" w:hAnsi="Times New Roman" w:cs="Times New Roman"/>
                <w:sz w:val="24"/>
                <w:szCs w:val="24"/>
                <w:lang w:eastAsia="ru-RU"/>
              </w:rPr>
              <w:t>Чукотский автономный округ</w:t>
            </w:r>
          </w:p>
        </w:tc>
        <w:tc>
          <w:tcPr>
            <w:tcW w:w="411" w:type="pct"/>
            <w:tcBorders>
              <w:top w:val="single" w:sz="4" w:space="0" w:color="auto"/>
              <w:left w:val="single" w:sz="4" w:space="0" w:color="auto"/>
              <w:bottom w:val="single" w:sz="4" w:space="0" w:color="auto"/>
              <w:right w:val="single" w:sz="4" w:space="0" w:color="auto"/>
            </w:tcBorders>
            <w:vAlign w:val="center"/>
          </w:tcPr>
          <w:p w14:paraId="18059AB7" w14:textId="77777777" w:rsidR="00035F5B" w:rsidRPr="00414E7D" w:rsidRDefault="00490C32" w:rsidP="00035F5B">
            <w:pPr>
              <w:spacing w:after="0" w:line="240" w:lineRule="auto"/>
              <w:ind w:right="57"/>
              <w:jc w:val="center"/>
              <w:rPr>
                <w:rFonts w:ascii="Times New Roman" w:hAnsi="Times New Roman"/>
              </w:rPr>
            </w:pPr>
            <w:r>
              <w:rPr>
                <w:rFonts w:ascii="Times New Roman" w:hAnsi="Times New Roman"/>
              </w:rPr>
              <w:t>55</w:t>
            </w:r>
            <w:r w:rsidR="00035F5B" w:rsidRPr="00414E7D">
              <w:rPr>
                <w:rFonts w:ascii="Times New Roman" w:hAnsi="Times New Roman"/>
              </w:rPr>
              <w:t>8</w:t>
            </w:r>
          </w:p>
        </w:tc>
        <w:tc>
          <w:tcPr>
            <w:tcW w:w="413" w:type="pct"/>
            <w:tcBorders>
              <w:top w:val="single" w:sz="4" w:space="0" w:color="auto"/>
              <w:left w:val="single" w:sz="4" w:space="0" w:color="auto"/>
              <w:bottom w:val="single" w:sz="4" w:space="0" w:color="auto"/>
              <w:right w:val="single" w:sz="4" w:space="0" w:color="auto"/>
            </w:tcBorders>
            <w:vAlign w:val="center"/>
          </w:tcPr>
          <w:p w14:paraId="2A0D1FBF" w14:textId="77777777" w:rsidR="00035F5B" w:rsidRPr="00414E7D" w:rsidRDefault="00035F5B" w:rsidP="00490C32">
            <w:pPr>
              <w:spacing w:after="0" w:line="240" w:lineRule="auto"/>
              <w:ind w:right="57"/>
              <w:jc w:val="center"/>
              <w:rPr>
                <w:rFonts w:ascii="Times New Roman" w:hAnsi="Times New Roman"/>
              </w:rPr>
            </w:pPr>
            <w:r w:rsidRPr="00414E7D">
              <w:rPr>
                <w:rFonts w:ascii="Times New Roman" w:hAnsi="Times New Roman"/>
              </w:rPr>
              <w:t>8</w:t>
            </w:r>
            <w:r w:rsidR="00490C32">
              <w:rPr>
                <w:rFonts w:ascii="Times New Roman" w:hAnsi="Times New Roman"/>
              </w:rPr>
              <w:t>3</w:t>
            </w:r>
            <w:r w:rsidRPr="00414E7D">
              <w:rPr>
                <w:rFonts w:ascii="Times New Roman" w:hAnsi="Times New Roman"/>
              </w:rPr>
              <w:t>5</w:t>
            </w:r>
          </w:p>
        </w:tc>
        <w:tc>
          <w:tcPr>
            <w:tcW w:w="390" w:type="pct"/>
            <w:tcBorders>
              <w:top w:val="single" w:sz="4" w:space="0" w:color="auto"/>
              <w:left w:val="single" w:sz="4" w:space="0" w:color="auto"/>
              <w:bottom w:val="single" w:sz="4" w:space="0" w:color="auto"/>
              <w:right w:val="single" w:sz="4" w:space="0" w:color="auto"/>
            </w:tcBorders>
            <w:vAlign w:val="center"/>
          </w:tcPr>
          <w:p w14:paraId="54879DE1" w14:textId="77777777" w:rsidR="00035F5B" w:rsidRPr="00414E7D" w:rsidRDefault="00035F5B" w:rsidP="00035F5B">
            <w:pPr>
              <w:spacing w:after="0" w:line="240" w:lineRule="auto"/>
              <w:ind w:right="227"/>
              <w:jc w:val="center"/>
              <w:rPr>
                <w:rFonts w:ascii="Times New Roman" w:eastAsia="Times New Roman" w:hAnsi="Times New Roman" w:cs="Times New Roman"/>
                <w:sz w:val="24"/>
                <w:szCs w:val="24"/>
                <w:lang w:eastAsia="ru-RU"/>
              </w:rPr>
            </w:pPr>
          </w:p>
        </w:tc>
        <w:tc>
          <w:tcPr>
            <w:tcW w:w="420" w:type="pct"/>
            <w:tcBorders>
              <w:top w:val="single" w:sz="4" w:space="0" w:color="auto"/>
              <w:left w:val="single" w:sz="4" w:space="0" w:color="auto"/>
              <w:bottom w:val="single" w:sz="4" w:space="0" w:color="auto"/>
              <w:right w:val="single" w:sz="4" w:space="0" w:color="auto"/>
            </w:tcBorders>
            <w:vAlign w:val="center"/>
          </w:tcPr>
          <w:p w14:paraId="71C0A31E" w14:textId="77777777" w:rsidR="00035F5B" w:rsidRPr="00414E7D" w:rsidRDefault="00035F5B" w:rsidP="00035F5B">
            <w:pPr>
              <w:spacing w:after="0" w:line="240" w:lineRule="auto"/>
              <w:ind w:right="227"/>
              <w:jc w:val="center"/>
              <w:rPr>
                <w:rFonts w:ascii="Times New Roman" w:eastAsia="Times New Roman" w:hAnsi="Times New Roman" w:cs="Times New Roman"/>
                <w:sz w:val="24"/>
                <w:szCs w:val="24"/>
                <w:lang w:eastAsia="ru-RU"/>
              </w:rPr>
            </w:pPr>
          </w:p>
        </w:tc>
        <w:tc>
          <w:tcPr>
            <w:tcW w:w="416" w:type="pct"/>
            <w:tcBorders>
              <w:top w:val="single" w:sz="4" w:space="0" w:color="auto"/>
              <w:left w:val="single" w:sz="4" w:space="0" w:color="auto"/>
              <w:bottom w:val="single" w:sz="4" w:space="0" w:color="auto"/>
              <w:right w:val="single" w:sz="4" w:space="0" w:color="auto"/>
            </w:tcBorders>
            <w:vAlign w:val="center"/>
          </w:tcPr>
          <w:p w14:paraId="063EA2B3" w14:textId="77777777" w:rsidR="00035F5B" w:rsidRPr="00414E7D" w:rsidRDefault="00035F5B" w:rsidP="00035F5B">
            <w:pPr>
              <w:spacing w:after="0" w:line="240" w:lineRule="auto"/>
              <w:ind w:right="227"/>
              <w:jc w:val="center"/>
              <w:rPr>
                <w:rFonts w:ascii="Times New Roman" w:eastAsia="Times New Roman" w:hAnsi="Times New Roman" w:cs="Times New Roman"/>
                <w:sz w:val="24"/>
                <w:szCs w:val="24"/>
                <w:lang w:eastAsia="ru-RU"/>
              </w:rPr>
            </w:pPr>
          </w:p>
        </w:tc>
        <w:tc>
          <w:tcPr>
            <w:tcW w:w="421" w:type="pct"/>
            <w:tcBorders>
              <w:top w:val="single" w:sz="4" w:space="0" w:color="auto"/>
              <w:left w:val="single" w:sz="4" w:space="0" w:color="auto"/>
              <w:bottom w:val="single" w:sz="4" w:space="0" w:color="auto"/>
              <w:right w:val="single" w:sz="4" w:space="0" w:color="auto"/>
            </w:tcBorders>
            <w:vAlign w:val="center"/>
          </w:tcPr>
          <w:p w14:paraId="2BF4569D" w14:textId="77777777" w:rsidR="00035F5B" w:rsidRPr="00414E7D" w:rsidRDefault="00035F5B" w:rsidP="00035F5B">
            <w:pPr>
              <w:spacing w:after="0" w:line="240" w:lineRule="auto"/>
              <w:ind w:right="227"/>
              <w:jc w:val="center"/>
              <w:rPr>
                <w:rFonts w:ascii="Times New Roman" w:eastAsia="Times New Roman" w:hAnsi="Times New Roman" w:cs="Times New Roman"/>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vAlign w:val="center"/>
          </w:tcPr>
          <w:p w14:paraId="57AB979B" w14:textId="77777777" w:rsidR="00035F5B" w:rsidRPr="00414E7D" w:rsidRDefault="00035F5B" w:rsidP="00035F5B">
            <w:pPr>
              <w:spacing w:after="0" w:line="240" w:lineRule="auto"/>
              <w:ind w:right="227"/>
              <w:jc w:val="center"/>
              <w:rPr>
                <w:rFonts w:ascii="Times New Roman" w:eastAsia="Times New Roman" w:hAnsi="Times New Roman" w:cs="Times New Roman"/>
                <w:sz w:val="24"/>
                <w:szCs w:val="24"/>
                <w:lang w:eastAsia="ru-RU"/>
              </w:rPr>
            </w:pPr>
          </w:p>
        </w:tc>
        <w:tc>
          <w:tcPr>
            <w:tcW w:w="404" w:type="pct"/>
            <w:tcBorders>
              <w:top w:val="single" w:sz="4" w:space="0" w:color="auto"/>
              <w:left w:val="single" w:sz="4" w:space="0" w:color="auto"/>
              <w:bottom w:val="single" w:sz="4" w:space="0" w:color="auto"/>
              <w:right w:val="single" w:sz="4" w:space="0" w:color="auto"/>
            </w:tcBorders>
            <w:vAlign w:val="center"/>
          </w:tcPr>
          <w:p w14:paraId="6CE3F597" w14:textId="77777777" w:rsidR="00035F5B" w:rsidRPr="00414E7D" w:rsidRDefault="00035F5B" w:rsidP="00035F5B">
            <w:pPr>
              <w:spacing w:after="0" w:line="240" w:lineRule="auto"/>
              <w:ind w:right="227"/>
              <w:jc w:val="center"/>
              <w:rPr>
                <w:rFonts w:ascii="Times New Roman" w:eastAsia="Times New Roman" w:hAnsi="Times New Roman" w:cs="Times New Roman"/>
                <w:sz w:val="24"/>
                <w:szCs w:val="24"/>
                <w:lang w:eastAsia="ru-RU"/>
              </w:rPr>
            </w:pPr>
          </w:p>
        </w:tc>
        <w:tc>
          <w:tcPr>
            <w:tcW w:w="434" w:type="pct"/>
            <w:tcBorders>
              <w:top w:val="single" w:sz="4" w:space="0" w:color="auto"/>
              <w:left w:val="single" w:sz="4" w:space="0" w:color="auto"/>
              <w:bottom w:val="single" w:sz="4" w:space="0" w:color="auto"/>
              <w:right w:val="single" w:sz="4" w:space="0" w:color="auto"/>
            </w:tcBorders>
            <w:vAlign w:val="center"/>
          </w:tcPr>
          <w:p w14:paraId="00518B5C" w14:textId="77777777" w:rsidR="00035F5B" w:rsidRPr="00414E7D" w:rsidRDefault="00035F5B" w:rsidP="00490C32">
            <w:pPr>
              <w:spacing w:after="0" w:line="240" w:lineRule="auto"/>
              <w:ind w:right="57"/>
              <w:jc w:val="center"/>
              <w:rPr>
                <w:rFonts w:ascii="Times New Roman" w:hAnsi="Times New Roman"/>
              </w:rPr>
            </w:pPr>
            <w:r w:rsidRPr="00414E7D">
              <w:rPr>
                <w:rFonts w:ascii="Times New Roman" w:hAnsi="Times New Roman"/>
              </w:rPr>
              <w:t>1</w:t>
            </w:r>
            <w:r w:rsidR="00490C32">
              <w:rPr>
                <w:rFonts w:ascii="Times New Roman" w:hAnsi="Times New Roman"/>
              </w:rPr>
              <w:t>11</w:t>
            </w:r>
            <w:r w:rsidRPr="00414E7D">
              <w:rPr>
                <w:rFonts w:ascii="Times New Roman" w:hAnsi="Times New Roman"/>
              </w:rPr>
              <w:t>4</w:t>
            </w:r>
          </w:p>
        </w:tc>
        <w:tc>
          <w:tcPr>
            <w:tcW w:w="392" w:type="pct"/>
            <w:tcBorders>
              <w:top w:val="single" w:sz="4" w:space="0" w:color="auto"/>
              <w:left w:val="single" w:sz="4" w:space="0" w:color="auto"/>
              <w:bottom w:val="single" w:sz="4" w:space="0" w:color="auto"/>
              <w:right w:val="single" w:sz="4" w:space="0" w:color="auto"/>
            </w:tcBorders>
            <w:vAlign w:val="center"/>
          </w:tcPr>
          <w:p w14:paraId="535BF24E" w14:textId="77777777" w:rsidR="00035F5B" w:rsidRPr="00414E7D" w:rsidRDefault="00035F5B" w:rsidP="00035F5B">
            <w:pPr>
              <w:spacing w:after="0" w:line="240" w:lineRule="auto"/>
              <w:ind w:right="57"/>
              <w:jc w:val="center"/>
              <w:rPr>
                <w:rFonts w:ascii="Times New Roman" w:hAnsi="Times New Roman"/>
              </w:rPr>
            </w:pPr>
            <w:r w:rsidRPr="00414E7D">
              <w:rPr>
                <w:rFonts w:ascii="Times New Roman" w:hAnsi="Times New Roman"/>
              </w:rPr>
              <w:t>8</w:t>
            </w:r>
            <w:r w:rsidR="00490C32">
              <w:rPr>
                <w:rFonts w:ascii="Times New Roman" w:hAnsi="Times New Roman"/>
              </w:rPr>
              <w:t>3</w:t>
            </w:r>
            <w:r w:rsidRPr="00414E7D">
              <w:rPr>
                <w:rFonts w:ascii="Times New Roman" w:hAnsi="Times New Roman"/>
              </w:rPr>
              <w:t>5</w:t>
            </w:r>
          </w:p>
        </w:tc>
      </w:tr>
    </w:tbl>
    <w:p w14:paraId="7D6B3ED6" w14:textId="77777777" w:rsidR="00D03A4F" w:rsidRPr="00414E7D" w:rsidRDefault="00D03A4F" w:rsidP="00D03A4F">
      <w:pPr>
        <w:spacing w:after="0" w:line="240" w:lineRule="auto"/>
        <w:jc w:val="right"/>
        <w:rPr>
          <w:rFonts w:ascii="Times New Roman" w:eastAsia="Times New Roman" w:hAnsi="Times New Roman" w:cs="Times New Roman"/>
          <w:sz w:val="26"/>
          <w:szCs w:val="26"/>
          <w:lang w:eastAsia="ru-RU"/>
        </w:rPr>
      </w:pPr>
    </w:p>
    <w:p w14:paraId="1656A44F" w14:textId="77777777" w:rsidR="00D03A4F" w:rsidRPr="00414E7D" w:rsidRDefault="00D03A4F" w:rsidP="00D03A4F">
      <w:pPr>
        <w:spacing w:after="0" w:line="240" w:lineRule="auto"/>
        <w:ind w:firstLine="284"/>
        <w:rPr>
          <w:rFonts w:ascii="Times New Roman" w:eastAsia="Times New Roman" w:hAnsi="Times New Roman" w:cs="Times New Roman"/>
          <w:sz w:val="24"/>
          <w:szCs w:val="24"/>
          <w:lang w:eastAsia="ru-RU"/>
        </w:rPr>
      </w:pPr>
      <w:r w:rsidRPr="00414E7D">
        <w:rPr>
          <w:rFonts w:ascii="Times New Roman" w:eastAsia="Times New Roman" w:hAnsi="Times New Roman" w:cs="Times New Roman"/>
          <w:sz w:val="24"/>
          <w:szCs w:val="24"/>
          <w:lang w:eastAsia="ru-RU"/>
        </w:rPr>
        <w:t xml:space="preserve">1. Размер пособия установлен </w:t>
      </w:r>
      <w:r w:rsidR="00490C32">
        <w:rPr>
          <w:rFonts w:ascii="Times New Roman" w:eastAsia="Times New Roman" w:hAnsi="Times New Roman" w:cs="Times New Roman"/>
          <w:sz w:val="24"/>
          <w:szCs w:val="24"/>
          <w:lang w:eastAsia="ru-RU"/>
        </w:rPr>
        <w:t>в зависимости от возраста детей.</w:t>
      </w:r>
    </w:p>
    <w:p w14:paraId="14EA3B40" w14:textId="77777777" w:rsidR="00D03A4F" w:rsidRPr="00414E7D" w:rsidRDefault="00D03A4F" w:rsidP="00D03A4F">
      <w:pPr>
        <w:spacing w:after="0" w:line="240" w:lineRule="auto"/>
        <w:ind w:firstLine="284"/>
        <w:rPr>
          <w:rFonts w:ascii="Times New Roman" w:eastAsia="Times New Roman" w:hAnsi="Times New Roman" w:cs="Times New Roman"/>
          <w:sz w:val="24"/>
          <w:szCs w:val="24"/>
          <w:lang w:eastAsia="ru-RU"/>
        </w:rPr>
      </w:pPr>
      <w:r w:rsidRPr="00414E7D">
        <w:rPr>
          <w:rFonts w:ascii="Times New Roman" w:eastAsia="Times New Roman" w:hAnsi="Times New Roman" w:cs="Times New Roman"/>
          <w:sz w:val="24"/>
          <w:szCs w:val="24"/>
          <w:lang w:eastAsia="ru-RU"/>
        </w:rPr>
        <w:t xml:space="preserve">2. Размер пособия установлен в зависимости </w:t>
      </w:r>
      <w:r w:rsidR="008E1DF9" w:rsidRPr="00414E7D">
        <w:rPr>
          <w:rFonts w:ascii="Times New Roman" w:eastAsia="Times New Roman" w:hAnsi="Times New Roman" w:cs="Times New Roman"/>
          <w:sz w:val="24"/>
          <w:szCs w:val="24"/>
          <w:lang w:eastAsia="ru-RU"/>
        </w:rPr>
        <w:t>от очередности рождения детей</w:t>
      </w:r>
      <w:r w:rsidR="008E1DF9">
        <w:rPr>
          <w:rFonts w:ascii="Times New Roman" w:eastAsia="Times New Roman" w:hAnsi="Times New Roman" w:cs="Times New Roman"/>
          <w:sz w:val="24"/>
          <w:szCs w:val="24"/>
          <w:lang w:eastAsia="ru-RU"/>
        </w:rPr>
        <w:t>.</w:t>
      </w:r>
    </w:p>
    <w:p w14:paraId="78EFC3D7" w14:textId="3B2FB23F" w:rsidR="00D03A4F" w:rsidRDefault="00D03A4F" w:rsidP="00D03A4F">
      <w:pPr>
        <w:spacing w:after="0" w:line="240" w:lineRule="auto"/>
        <w:ind w:firstLine="284"/>
        <w:rPr>
          <w:rFonts w:ascii="Times New Roman" w:eastAsia="Times New Roman" w:hAnsi="Times New Roman" w:cs="Times New Roman"/>
          <w:sz w:val="24"/>
          <w:szCs w:val="24"/>
          <w:lang w:eastAsia="ru-RU"/>
        </w:rPr>
      </w:pPr>
      <w:r w:rsidRPr="00414E7D">
        <w:rPr>
          <w:rFonts w:ascii="Times New Roman" w:eastAsia="Times New Roman" w:hAnsi="Times New Roman" w:cs="Times New Roman"/>
          <w:sz w:val="24"/>
          <w:szCs w:val="24"/>
          <w:lang w:eastAsia="ru-RU"/>
        </w:rPr>
        <w:t>3. Размер пособия установлен в зависимости</w:t>
      </w:r>
      <w:r w:rsidR="00295F0B">
        <w:rPr>
          <w:rFonts w:ascii="Times New Roman" w:eastAsia="Times New Roman" w:hAnsi="Times New Roman" w:cs="Times New Roman"/>
          <w:sz w:val="24"/>
          <w:szCs w:val="24"/>
          <w:lang w:eastAsia="ru-RU"/>
        </w:rPr>
        <w:t xml:space="preserve"> </w:t>
      </w:r>
      <w:r w:rsidR="008E1DF9" w:rsidRPr="00414E7D">
        <w:rPr>
          <w:rFonts w:ascii="Times New Roman" w:eastAsia="Times New Roman" w:hAnsi="Times New Roman" w:cs="Times New Roman"/>
          <w:sz w:val="24"/>
          <w:szCs w:val="24"/>
          <w:lang w:eastAsia="ru-RU"/>
        </w:rPr>
        <w:t>от численности детей</w:t>
      </w:r>
      <w:r w:rsidR="008E1DF9">
        <w:rPr>
          <w:rFonts w:ascii="Times New Roman" w:eastAsia="Times New Roman" w:hAnsi="Times New Roman" w:cs="Times New Roman"/>
          <w:sz w:val="24"/>
          <w:szCs w:val="24"/>
          <w:lang w:eastAsia="ru-RU"/>
        </w:rPr>
        <w:t xml:space="preserve"> в семье</w:t>
      </w:r>
      <w:r w:rsidR="008E1DF9" w:rsidRPr="00414E7D">
        <w:rPr>
          <w:rFonts w:ascii="Times New Roman" w:eastAsia="Times New Roman" w:hAnsi="Times New Roman" w:cs="Times New Roman"/>
          <w:sz w:val="24"/>
          <w:szCs w:val="24"/>
          <w:lang w:eastAsia="ru-RU"/>
        </w:rPr>
        <w:t>.</w:t>
      </w:r>
    </w:p>
    <w:p w14:paraId="2138F4C9" w14:textId="77777777" w:rsidR="00490C32" w:rsidRPr="00414E7D" w:rsidRDefault="00490C32" w:rsidP="00D03A4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Размер пособия установлен в зависимости от дохода семьи выше и ниже 2000 рублей.</w:t>
      </w:r>
    </w:p>
    <w:p w14:paraId="2113893B" w14:textId="77777777" w:rsidR="00D03A4F" w:rsidRPr="00414E7D" w:rsidRDefault="00490C32" w:rsidP="00D03A4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03A4F" w:rsidRPr="00414E7D">
        <w:rPr>
          <w:rFonts w:ascii="Times New Roman" w:eastAsia="Times New Roman" w:hAnsi="Times New Roman" w:cs="Times New Roman"/>
          <w:sz w:val="24"/>
          <w:szCs w:val="24"/>
          <w:lang w:eastAsia="ru-RU"/>
        </w:rPr>
        <w:t xml:space="preserve">. Размер пособия установлен в зависимости </w:t>
      </w:r>
      <w:r w:rsidR="008E1DF9">
        <w:rPr>
          <w:rFonts w:ascii="Times New Roman" w:eastAsia="Times New Roman" w:hAnsi="Times New Roman" w:cs="Times New Roman"/>
          <w:sz w:val="24"/>
          <w:szCs w:val="24"/>
          <w:lang w:eastAsia="ru-RU"/>
        </w:rPr>
        <w:t>от возраста детей</w:t>
      </w:r>
      <w:r>
        <w:rPr>
          <w:rFonts w:ascii="Times New Roman" w:eastAsia="Times New Roman" w:hAnsi="Times New Roman" w:cs="Times New Roman"/>
          <w:sz w:val="24"/>
          <w:szCs w:val="24"/>
          <w:lang w:eastAsia="ru-RU"/>
        </w:rPr>
        <w:t xml:space="preserve"> или от числа детей в семье</w:t>
      </w:r>
      <w:r w:rsidR="008E1DF9">
        <w:rPr>
          <w:rFonts w:ascii="Times New Roman" w:eastAsia="Times New Roman" w:hAnsi="Times New Roman" w:cs="Times New Roman"/>
          <w:sz w:val="24"/>
          <w:szCs w:val="24"/>
          <w:lang w:eastAsia="ru-RU"/>
        </w:rPr>
        <w:t>.</w:t>
      </w:r>
    </w:p>
    <w:p w14:paraId="0584577B" w14:textId="77777777" w:rsidR="00D03A4F" w:rsidRDefault="00490C32" w:rsidP="00D03A4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03A4F" w:rsidRPr="00414E7D">
        <w:rPr>
          <w:rFonts w:ascii="Times New Roman" w:eastAsia="Times New Roman" w:hAnsi="Times New Roman" w:cs="Times New Roman"/>
          <w:sz w:val="24"/>
          <w:szCs w:val="24"/>
          <w:lang w:eastAsia="ru-RU"/>
        </w:rPr>
        <w:t xml:space="preserve">. </w:t>
      </w:r>
      <w:r w:rsidR="008E1DF9">
        <w:rPr>
          <w:rFonts w:ascii="Times New Roman" w:eastAsia="Times New Roman" w:hAnsi="Times New Roman" w:cs="Times New Roman"/>
          <w:sz w:val="24"/>
          <w:szCs w:val="24"/>
          <w:lang w:eastAsia="ru-RU"/>
        </w:rPr>
        <w:t xml:space="preserve">Размер пособия установлен на детей в возрасте от 0 до 3 лет и от 3 до 16 (18) лет. </w:t>
      </w:r>
    </w:p>
    <w:p w14:paraId="411CC241" w14:textId="77777777" w:rsidR="008E1DF9" w:rsidRDefault="00490C32" w:rsidP="008E1DF9">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7C175A">
        <w:rPr>
          <w:rFonts w:ascii="Times New Roman" w:eastAsia="Times New Roman" w:hAnsi="Times New Roman" w:cs="Times New Roman"/>
          <w:sz w:val="24"/>
          <w:szCs w:val="24"/>
          <w:lang w:eastAsia="ru-RU"/>
        </w:rPr>
        <w:t xml:space="preserve">. </w:t>
      </w:r>
      <w:r w:rsidR="008E1DF9" w:rsidRPr="00414E7D">
        <w:rPr>
          <w:rFonts w:ascii="Times New Roman" w:eastAsia="Times New Roman" w:hAnsi="Times New Roman" w:cs="Times New Roman"/>
          <w:sz w:val="24"/>
          <w:szCs w:val="24"/>
          <w:lang w:eastAsia="ru-RU"/>
        </w:rPr>
        <w:t>В зависимости от степени выраженности ограничений жизнедеятельности ребенка.</w:t>
      </w:r>
    </w:p>
    <w:p w14:paraId="075516C7" w14:textId="5DF9257A" w:rsidR="007C175A" w:rsidRPr="00414E7D" w:rsidRDefault="00490C32" w:rsidP="00D03A4F">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C175A">
        <w:rPr>
          <w:rFonts w:ascii="Times New Roman" w:eastAsia="Times New Roman" w:hAnsi="Times New Roman" w:cs="Times New Roman"/>
          <w:sz w:val="24"/>
          <w:szCs w:val="24"/>
          <w:lang w:eastAsia="ru-RU"/>
        </w:rPr>
        <w:t>. Размер пособия на детей в неполных семьях и на детей</w:t>
      </w:r>
      <w:r w:rsidR="003B77D7" w:rsidRPr="00295F0B">
        <w:rPr>
          <w:rFonts w:ascii="Times New Roman" w:eastAsia="Times New Roman" w:hAnsi="Times New Roman" w:cs="Times New Roman"/>
          <w:sz w:val="24"/>
          <w:szCs w:val="24"/>
          <w:lang w:eastAsia="ru-RU"/>
        </w:rPr>
        <w:t xml:space="preserve"> с инвалидностью</w:t>
      </w:r>
      <w:r w:rsidR="003B77D7" w:rsidDel="003B77D7">
        <w:rPr>
          <w:rFonts w:ascii="Times New Roman" w:eastAsia="Times New Roman" w:hAnsi="Times New Roman" w:cs="Times New Roman"/>
          <w:sz w:val="24"/>
          <w:szCs w:val="24"/>
          <w:lang w:eastAsia="ru-RU"/>
        </w:rPr>
        <w:t xml:space="preserve"> </w:t>
      </w:r>
      <w:r w:rsidR="007C175A">
        <w:rPr>
          <w:rFonts w:ascii="Times New Roman" w:eastAsia="Times New Roman" w:hAnsi="Times New Roman" w:cs="Times New Roman"/>
          <w:sz w:val="24"/>
          <w:szCs w:val="24"/>
          <w:lang w:eastAsia="ru-RU"/>
        </w:rPr>
        <w:t>в неполных семьях.</w:t>
      </w:r>
    </w:p>
    <w:p w14:paraId="665777A1" w14:textId="77777777"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14:paraId="44954330" w14:textId="77777777" w:rsidR="008737BB" w:rsidRDefault="008737BB" w:rsidP="00D03A4F">
      <w:pPr>
        <w:spacing w:after="0" w:line="240" w:lineRule="auto"/>
        <w:jc w:val="right"/>
        <w:rPr>
          <w:rFonts w:ascii="Times New Roman" w:eastAsia="Times New Roman" w:hAnsi="Times New Roman" w:cs="Times New Roman"/>
          <w:sz w:val="26"/>
          <w:szCs w:val="26"/>
          <w:lang w:eastAsia="ru-RU"/>
        </w:rPr>
      </w:pPr>
    </w:p>
    <w:p w14:paraId="2D3F7143" w14:textId="77777777" w:rsidR="00D03A4F" w:rsidRPr="00FF7977" w:rsidRDefault="008737BB" w:rsidP="00D03A4F">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w:t>
      </w:r>
      <w:r w:rsidR="00D03A4F" w:rsidRPr="00FF7977">
        <w:rPr>
          <w:rFonts w:ascii="Times New Roman" w:eastAsia="Times New Roman" w:hAnsi="Times New Roman" w:cs="Times New Roman"/>
          <w:sz w:val="26"/>
          <w:szCs w:val="26"/>
          <w:lang w:eastAsia="ru-RU"/>
        </w:rPr>
        <w:t>аблица 5</w:t>
      </w:r>
      <w:r>
        <w:rPr>
          <w:rFonts w:ascii="Times New Roman" w:eastAsia="Times New Roman" w:hAnsi="Times New Roman" w:cs="Times New Roman"/>
          <w:sz w:val="26"/>
          <w:szCs w:val="26"/>
          <w:lang w:eastAsia="ru-RU"/>
        </w:rPr>
        <w:t>0</w:t>
      </w:r>
    </w:p>
    <w:p w14:paraId="75E8F599" w14:textId="77777777" w:rsidR="00D03A4F" w:rsidRPr="00FF7977" w:rsidRDefault="00D03A4F" w:rsidP="00D03A4F">
      <w:pPr>
        <w:spacing w:after="0" w:line="240" w:lineRule="auto"/>
        <w:jc w:val="right"/>
        <w:rPr>
          <w:rFonts w:ascii="Times New Roman" w:eastAsia="Times New Roman" w:hAnsi="Times New Roman" w:cs="Times New Roman"/>
          <w:sz w:val="26"/>
          <w:szCs w:val="26"/>
          <w:lang w:eastAsia="ru-RU"/>
        </w:rPr>
      </w:pPr>
    </w:p>
    <w:p w14:paraId="0522DBC2" w14:textId="3A1FA106" w:rsidR="00D03A4F" w:rsidRPr="00FF7977"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FF7977">
        <w:rPr>
          <w:rFonts w:ascii="Times New Roman" w:eastAsia="Times New Roman" w:hAnsi="Times New Roman" w:cs="Times New Roman"/>
          <w:b/>
          <w:bCs/>
          <w:sz w:val="26"/>
          <w:szCs w:val="26"/>
          <w:lang w:eastAsia="ru-RU"/>
        </w:rPr>
        <w:t>Численность детей</w:t>
      </w:r>
      <w:r w:rsidR="003B77D7" w:rsidRPr="003B77D7">
        <w:rPr>
          <w:rFonts w:ascii="Times New Roman" w:eastAsia="Times New Roman" w:hAnsi="Times New Roman" w:cs="Times New Roman"/>
          <w:sz w:val="28"/>
          <w:szCs w:val="28"/>
          <w:lang w:eastAsia="ru-RU"/>
        </w:rPr>
        <w:t xml:space="preserve"> </w:t>
      </w:r>
      <w:r w:rsidR="003B77D7">
        <w:rPr>
          <w:rFonts w:ascii="Times New Roman" w:eastAsia="Times New Roman" w:hAnsi="Times New Roman" w:cs="Times New Roman"/>
          <w:sz w:val="28"/>
          <w:szCs w:val="28"/>
          <w:lang w:eastAsia="ru-RU"/>
        </w:rPr>
        <w:t>с инвалидностью</w:t>
      </w:r>
      <w:r w:rsidR="003B77D7" w:rsidRPr="00FF7977" w:rsidDel="003B77D7">
        <w:rPr>
          <w:rFonts w:ascii="Times New Roman" w:eastAsia="Times New Roman" w:hAnsi="Times New Roman" w:cs="Times New Roman"/>
          <w:b/>
          <w:bCs/>
          <w:sz w:val="26"/>
          <w:szCs w:val="26"/>
          <w:lang w:eastAsia="ru-RU"/>
        </w:rPr>
        <w:t xml:space="preserve"> </w:t>
      </w:r>
      <w:r w:rsidRPr="00FF7977">
        <w:rPr>
          <w:rFonts w:ascii="Times New Roman" w:eastAsia="Times New Roman" w:hAnsi="Times New Roman" w:cs="Times New Roman"/>
          <w:b/>
          <w:bCs/>
          <w:sz w:val="26"/>
          <w:szCs w:val="26"/>
          <w:vertAlign w:val="superscript"/>
          <w:lang w:eastAsia="ru-RU"/>
        </w:rPr>
        <w:t>1)</w:t>
      </w:r>
      <w:r w:rsidRPr="00FF7977">
        <w:rPr>
          <w:rFonts w:ascii="Times New Roman" w:eastAsia="Times New Roman" w:hAnsi="Times New Roman" w:cs="Times New Roman"/>
          <w:b/>
          <w:bCs/>
          <w:sz w:val="26"/>
          <w:szCs w:val="26"/>
          <w:lang w:eastAsia="ru-RU"/>
        </w:rPr>
        <w:t>, получающих социальные пенсии, и средний размер назначенной пенсии</w:t>
      </w:r>
    </w:p>
    <w:p w14:paraId="2555479E" w14:textId="77777777" w:rsidR="00D03A4F" w:rsidRPr="00FF7977" w:rsidRDefault="00D03A4F" w:rsidP="00D03A4F">
      <w:pPr>
        <w:spacing w:after="0" w:line="240" w:lineRule="auto"/>
        <w:jc w:val="center"/>
        <w:rPr>
          <w:rFonts w:ascii="Times New Roman" w:eastAsia="Times New Roman" w:hAnsi="Times New Roman" w:cs="Times New Roman"/>
          <w:bCs/>
          <w:sz w:val="24"/>
          <w:szCs w:val="24"/>
          <w:lang w:eastAsia="ru-RU"/>
        </w:rPr>
      </w:pPr>
      <w:r w:rsidRPr="00FF7977">
        <w:rPr>
          <w:rFonts w:ascii="Times New Roman" w:eastAsia="Times New Roman" w:hAnsi="Times New Roman" w:cs="Times New Roman"/>
          <w:bCs/>
          <w:sz w:val="24"/>
          <w:szCs w:val="24"/>
          <w:lang w:eastAsia="ru-RU"/>
        </w:rPr>
        <w:t>(по состоянию на 1 января)</w:t>
      </w:r>
    </w:p>
    <w:p w14:paraId="53A93D55" w14:textId="77777777" w:rsidR="00D03A4F" w:rsidRPr="00FF7977" w:rsidRDefault="00D03A4F" w:rsidP="00D03A4F">
      <w:pPr>
        <w:spacing w:after="0" w:line="240" w:lineRule="auto"/>
        <w:jc w:val="right"/>
        <w:rPr>
          <w:rFonts w:ascii="Times New Roman" w:eastAsia="Times New Roman" w:hAnsi="Times New Roman" w:cs="Times New Roman"/>
          <w:sz w:val="26"/>
          <w:szCs w:val="26"/>
          <w:lang w:eastAsia="ru-RU"/>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62"/>
        <w:gridCol w:w="1446"/>
        <w:gridCol w:w="1446"/>
        <w:gridCol w:w="1446"/>
      </w:tblGrid>
      <w:tr w:rsidR="00932B88" w:rsidRPr="00FF7977" w14:paraId="2484F895" w14:textId="77777777" w:rsidTr="00932B88">
        <w:trPr>
          <w:tblHeader/>
          <w:jc w:val="center"/>
        </w:trPr>
        <w:tc>
          <w:tcPr>
            <w:tcW w:w="2872" w:type="pct"/>
            <w:vAlign w:val="bottom"/>
          </w:tcPr>
          <w:p w14:paraId="1EA2C3EB" w14:textId="77777777" w:rsidR="00932B88" w:rsidRPr="00FF7977" w:rsidRDefault="00932B88" w:rsidP="00932B88">
            <w:pPr>
              <w:spacing w:after="0" w:line="240" w:lineRule="auto"/>
              <w:jc w:val="center"/>
              <w:rPr>
                <w:rFonts w:ascii="Times New Roman" w:eastAsia="Times New Roman" w:hAnsi="Times New Roman" w:cs="Times New Roman"/>
                <w:sz w:val="24"/>
                <w:szCs w:val="24"/>
                <w:lang w:eastAsia="ru-RU"/>
              </w:rPr>
            </w:pPr>
          </w:p>
        </w:tc>
        <w:tc>
          <w:tcPr>
            <w:tcW w:w="709" w:type="pct"/>
            <w:vAlign w:val="bottom"/>
          </w:tcPr>
          <w:p w14:paraId="6542C045" w14:textId="77777777" w:rsidR="00932B88" w:rsidRPr="00FF7977" w:rsidRDefault="00932B88" w:rsidP="00932B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2020 г.</w:t>
            </w:r>
          </w:p>
        </w:tc>
        <w:tc>
          <w:tcPr>
            <w:tcW w:w="709" w:type="pct"/>
            <w:vAlign w:val="bottom"/>
          </w:tcPr>
          <w:p w14:paraId="4CD71638" w14:textId="77777777" w:rsidR="00932B88" w:rsidRPr="00FF7977" w:rsidRDefault="00932B88" w:rsidP="00932B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2021 г.</w:t>
            </w:r>
          </w:p>
        </w:tc>
        <w:tc>
          <w:tcPr>
            <w:tcW w:w="709" w:type="pct"/>
            <w:vAlign w:val="bottom"/>
          </w:tcPr>
          <w:p w14:paraId="727C458C" w14:textId="77777777" w:rsidR="00932B88" w:rsidRPr="00FF7977" w:rsidRDefault="00932B88" w:rsidP="00932B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w:t>
            </w:r>
          </w:p>
        </w:tc>
      </w:tr>
      <w:tr w:rsidR="00932B88" w:rsidRPr="00FF7977" w14:paraId="2308C383" w14:textId="77777777" w:rsidTr="00932B88">
        <w:trPr>
          <w:jc w:val="center"/>
        </w:trPr>
        <w:tc>
          <w:tcPr>
            <w:tcW w:w="2872" w:type="pct"/>
            <w:vAlign w:val="center"/>
          </w:tcPr>
          <w:p w14:paraId="1C413530" w14:textId="77777777" w:rsidR="00932B88" w:rsidRPr="00FF7977" w:rsidRDefault="00932B88" w:rsidP="00932B88">
            <w:pPr>
              <w:spacing w:before="60" w:after="0" w:line="240" w:lineRule="auto"/>
              <w:ind w:left="57"/>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Численность детей-инвалидов в возрасте до 18 лет, получающих социальные пенсии, человек</w:t>
            </w:r>
          </w:p>
        </w:tc>
        <w:tc>
          <w:tcPr>
            <w:tcW w:w="709" w:type="pct"/>
            <w:vAlign w:val="bottom"/>
          </w:tcPr>
          <w:p w14:paraId="0CA229BD" w14:textId="77777777" w:rsidR="00932B88" w:rsidRPr="00FF7977" w:rsidRDefault="00932B88" w:rsidP="00932B88">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687 718</w:t>
            </w:r>
          </w:p>
        </w:tc>
        <w:tc>
          <w:tcPr>
            <w:tcW w:w="709" w:type="pct"/>
            <w:vAlign w:val="bottom"/>
          </w:tcPr>
          <w:p w14:paraId="4427ED16" w14:textId="77777777" w:rsidR="00932B88" w:rsidRPr="00FF7977" w:rsidRDefault="00932B88" w:rsidP="00932B88">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703 675</w:t>
            </w:r>
          </w:p>
        </w:tc>
        <w:tc>
          <w:tcPr>
            <w:tcW w:w="709" w:type="pct"/>
            <w:vAlign w:val="bottom"/>
          </w:tcPr>
          <w:p w14:paraId="4ABF2C06" w14:textId="77777777" w:rsidR="00932B88" w:rsidRPr="00FF7977" w:rsidRDefault="00932B88" w:rsidP="00932B88">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728 988</w:t>
            </w:r>
          </w:p>
        </w:tc>
      </w:tr>
      <w:tr w:rsidR="00932B88" w:rsidRPr="00FF7977" w14:paraId="0EDDD448" w14:textId="77777777" w:rsidTr="00932B88">
        <w:trPr>
          <w:jc w:val="center"/>
        </w:trPr>
        <w:tc>
          <w:tcPr>
            <w:tcW w:w="2872" w:type="pct"/>
            <w:vAlign w:val="center"/>
          </w:tcPr>
          <w:p w14:paraId="2241508F" w14:textId="77777777" w:rsidR="00932B88" w:rsidRPr="00FF7977" w:rsidRDefault="00932B88" w:rsidP="00932B88">
            <w:pPr>
              <w:spacing w:before="60" w:after="0" w:line="240" w:lineRule="auto"/>
              <w:ind w:left="57"/>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в процентах от численности детей соответствующего возраста</w:t>
            </w:r>
          </w:p>
        </w:tc>
        <w:tc>
          <w:tcPr>
            <w:tcW w:w="709" w:type="pct"/>
            <w:vAlign w:val="bottom"/>
          </w:tcPr>
          <w:p w14:paraId="3EBC3ADE" w14:textId="77777777" w:rsidR="00932B88" w:rsidRPr="00FF7977" w:rsidRDefault="00932B88" w:rsidP="00932B88">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2,3</w:t>
            </w:r>
          </w:p>
        </w:tc>
        <w:tc>
          <w:tcPr>
            <w:tcW w:w="709" w:type="pct"/>
            <w:vAlign w:val="bottom"/>
          </w:tcPr>
          <w:p w14:paraId="562B23F9" w14:textId="77777777" w:rsidR="00932B88" w:rsidRPr="00FF7977" w:rsidRDefault="00932B88" w:rsidP="00932B88">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709" w:type="pct"/>
            <w:vAlign w:val="bottom"/>
          </w:tcPr>
          <w:p w14:paraId="500FF2AE" w14:textId="77777777" w:rsidR="00932B88" w:rsidRPr="00FF7977" w:rsidRDefault="00425F25" w:rsidP="00932B88">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932B88" w:rsidRPr="00FF7977" w14:paraId="0BB7EC81" w14:textId="77777777" w:rsidTr="00932B88">
        <w:trPr>
          <w:jc w:val="center"/>
        </w:trPr>
        <w:tc>
          <w:tcPr>
            <w:tcW w:w="2872" w:type="pct"/>
            <w:vAlign w:val="center"/>
          </w:tcPr>
          <w:p w14:paraId="6F25842D" w14:textId="6A7125A4" w:rsidR="00932B88" w:rsidRPr="00FF7977" w:rsidRDefault="00932B88" w:rsidP="00932B88">
            <w:pPr>
              <w:spacing w:before="60" w:after="0" w:line="240" w:lineRule="auto"/>
              <w:ind w:left="57"/>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 xml:space="preserve">Средний размер назначенных пенсий </w:t>
            </w:r>
            <w:r w:rsidRPr="00FF7977">
              <w:rPr>
                <w:rFonts w:ascii="Times New Roman" w:eastAsia="Times New Roman" w:hAnsi="Times New Roman" w:cs="Times New Roman"/>
                <w:sz w:val="24"/>
                <w:szCs w:val="24"/>
                <w:lang w:eastAsia="ru-RU"/>
              </w:rPr>
              <w:br/>
              <w:t>детей</w:t>
            </w:r>
            <w:r w:rsidR="003B77D7" w:rsidRPr="00295F0B">
              <w:rPr>
                <w:rFonts w:ascii="Times New Roman" w:eastAsia="Times New Roman" w:hAnsi="Times New Roman" w:cs="Times New Roman"/>
                <w:sz w:val="24"/>
                <w:szCs w:val="24"/>
                <w:lang w:eastAsia="ru-RU"/>
              </w:rPr>
              <w:t xml:space="preserve"> с инвалидностью</w:t>
            </w:r>
            <w:r w:rsidRPr="00FF7977">
              <w:rPr>
                <w:rFonts w:ascii="Times New Roman" w:eastAsia="Times New Roman" w:hAnsi="Times New Roman" w:cs="Times New Roman"/>
                <w:sz w:val="24"/>
                <w:szCs w:val="24"/>
                <w:lang w:eastAsia="ru-RU"/>
              </w:rPr>
              <w:t>, рублей</w:t>
            </w:r>
          </w:p>
        </w:tc>
        <w:tc>
          <w:tcPr>
            <w:tcW w:w="709" w:type="pct"/>
            <w:vAlign w:val="bottom"/>
          </w:tcPr>
          <w:p w14:paraId="0D4CB121" w14:textId="77777777" w:rsidR="00932B88" w:rsidRPr="00FF7977" w:rsidRDefault="00932B88" w:rsidP="00932B88">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13 675,9</w:t>
            </w:r>
          </w:p>
        </w:tc>
        <w:tc>
          <w:tcPr>
            <w:tcW w:w="709" w:type="pct"/>
            <w:vAlign w:val="bottom"/>
          </w:tcPr>
          <w:p w14:paraId="5233FF5A" w14:textId="77777777" w:rsidR="00932B88" w:rsidRPr="00FF7977" w:rsidRDefault="00932B88" w:rsidP="00932B88">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14 500,3</w:t>
            </w:r>
          </w:p>
        </w:tc>
        <w:tc>
          <w:tcPr>
            <w:tcW w:w="709" w:type="pct"/>
            <w:vAlign w:val="bottom"/>
          </w:tcPr>
          <w:p w14:paraId="2FD7FAA9" w14:textId="77777777" w:rsidR="00932B88" w:rsidRPr="00FF7977" w:rsidRDefault="00932B88" w:rsidP="00932B88">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14 998,4</w:t>
            </w:r>
          </w:p>
        </w:tc>
      </w:tr>
      <w:tr w:rsidR="00932B88" w:rsidRPr="00FF7977" w14:paraId="590DF8F1" w14:textId="77777777" w:rsidTr="00932B88">
        <w:trPr>
          <w:jc w:val="center"/>
        </w:trPr>
        <w:tc>
          <w:tcPr>
            <w:tcW w:w="2872" w:type="pct"/>
            <w:vAlign w:val="center"/>
          </w:tcPr>
          <w:p w14:paraId="29F8D2CD" w14:textId="11BDE2D7" w:rsidR="00932B88" w:rsidRPr="00FF7977" w:rsidRDefault="00932B88" w:rsidP="00932B88">
            <w:pPr>
              <w:spacing w:before="60" w:after="0" w:line="240" w:lineRule="auto"/>
              <w:ind w:left="57"/>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Соотношение среднего размера назначенных пенсий детей</w:t>
            </w:r>
            <w:r w:rsidR="003B77D7" w:rsidRPr="00295F0B">
              <w:rPr>
                <w:rFonts w:ascii="Times New Roman" w:eastAsia="Times New Roman" w:hAnsi="Times New Roman" w:cs="Times New Roman"/>
                <w:sz w:val="24"/>
                <w:szCs w:val="24"/>
                <w:lang w:eastAsia="ru-RU"/>
              </w:rPr>
              <w:t xml:space="preserve"> с инвалидностью</w:t>
            </w:r>
            <w:r w:rsidR="003B77D7" w:rsidRPr="00FF7977" w:rsidDel="003B77D7">
              <w:rPr>
                <w:rFonts w:ascii="Times New Roman" w:eastAsia="Times New Roman" w:hAnsi="Times New Roman" w:cs="Times New Roman"/>
                <w:sz w:val="24"/>
                <w:szCs w:val="24"/>
                <w:lang w:eastAsia="ru-RU"/>
              </w:rPr>
              <w:t xml:space="preserve"> </w:t>
            </w:r>
            <w:r w:rsidRPr="00FF7977">
              <w:rPr>
                <w:rFonts w:ascii="Times New Roman" w:eastAsia="Times New Roman" w:hAnsi="Times New Roman" w:cs="Times New Roman"/>
                <w:sz w:val="24"/>
                <w:szCs w:val="24"/>
                <w:lang w:eastAsia="ru-RU"/>
              </w:rPr>
              <w:t>и величины прожиточного минимума детей</w:t>
            </w:r>
            <w:r w:rsidRPr="00295F0B">
              <w:rPr>
                <w:rFonts w:ascii="Times New Roman" w:eastAsia="Times New Roman" w:hAnsi="Times New Roman" w:cs="Times New Roman"/>
                <w:sz w:val="24"/>
                <w:szCs w:val="24"/>
                <w:lang w:eastAsia="ru-RU"/>
              </w:rPr>
              <w:t>2)</w:t>
            </w:r>
            <w:r w:rsidRPr="00FF7977">
              <w:rPr>
                <w:rFonts w:ascii="Times New Roman" w:eastAsia="Times New Roman" w:hAnsi="Times New Roman" w:cs="Times New Roman"/>
                <w:sz w:val="24"/>
                <w:szCs w:val="24"/>
                <w:lang w:eastAsia="ru-RU"/>
              </w:rPr>
              <w:t>, процентов</w:t>
            </w:r>
          </w:p>
        </w:tc>
        <w:tc>
          <w:tcPr>
            <w:tcW w:w="709" w:type="pct"/>
            <w:vAlign w:val="bottom"/>
          </w:tcPr>
          <w:p w14:paraId="49BBD651" w14:textId="77777777" w:rsidR="00932B88" w:rsidRPr="00FF7977" w:rsidRDefault="00932B88" w:rsidP="00932B88">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131,7</w:t>
            </w:r>
          </w:p>
        </w:tc>
        <w:tc>
          <w:tcPr>
            <w:tcW w:w="709" w:type="pct"/>
            <w:vAlign w:val="bottom"/>
          </w:tcPr>
          <w:p w14:paraId="4619C515" w14:textId="77777777" w:rsidR="00932B88" w:rsidRPr="00FF7977" w:rsidRDefault="00932B88" w:rsidP="00932B88">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sidRPr="00FF7977">
              <w:rPr>
                <w:rFonts w:ascii="Times New Roman" w:eastAsia="Times New Roman" w:hAnsi="Times New Roman" w:cs="Times New Roman"/>
                <w:sz w:val="24"/>
                <w:szCs w:val="24"/>
                <w:lang w:eastAsia="ru-RU"/>
              </w:rPr>
              <w:t>130,2</w:t>
            </w:r>
          </w:p>
        </w:tc>
        <w:tc>
          <w:tcPr>
            <w:tcW w:w="709" w:type="pct"/>
            <w:vAlign w:val="bottom"/>
          </w:tcPr>
          <w:p w14:paraId="65AA806E" w14:textId="77777777" w:rsidR="00932B88" w:rsidRPr="00FF7977" w:rsidRDefault="00932B88" w:rsidP="00932B88">
            <w:pPr>
              <w:autoSpaceDE w:val="0"/>
              <w:autoSpaceDN w:val="0"/>
              <w:adjustRightInd w:val="0"/>
              <w:spacing w:before="60"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14:paraId="08140E7F" w14:textId="77777777" w:rsidR="00932B88" w:rsidRPr="00932B88" w:rsidRDefault="00D03A4F" w:rsidP="00932B88">
      <w:pPr>
        <w:spacing w:after="0" w:line="240" w:lineRule="auto"/>
        <w:ind w:right="284" w:firstLine="284"/>
        <w:jc w:val="both"/>
        <w:rPr>
          <w:rFonts w:ascii="Times New Roman" w:eastAsia="Times New Roman" w:hAnsi="Times New Roman" w:cs="Times New Roman"/>
          <w:iCs/>
          <w:lang w:eastAsia="ru-RU"/>
        </w:rPr>
      </w:pPr>
      <w:r w:rsidRPr="00932B88">
        <w:rPr>
          <w:rFonts w:ascii="Times New Roman" w:eastAsia="Times New Roman" w:hAnsi="Times New Roman" w:cs="Times New Roman"/>
          <w:iCs/>
          <w:lang w:eastAsia="ru-RU"/>
        </w:rPr>
        <w:t xml:space="preserve">1) </w:t>
      </w:r>
      <w:r w:rsidR="00932B88" w:rsidRPr="00932B88">
        <w:rPr>
          <w:rFonts w:ascii="Times New Roman" w:eastAsia="Times New Roman" w:hAnsi="Times New Roman" w:cs="Times New Roman"/>
          <w:iCs/>
          <w:lang w:eastAsia="ru-RU"/>
        </w:rPr>
        <w:t>По данным Пенсионного фонда Российской Федерации, без учета г. Байконур, начиная с 1 января 2018 г. приведены данные федеральной государственной информационной системы «Федеральный реестр инвалидов», начиная с 2022 г. приведены данные Пенсионного фонда Российской Федерации с учетом данных по г. Байконур.</w:t>
      </w:r>
    </w:p>
    <w:p w14:paraId="047CC28E" w14:textId="77777777" w:rsidR="00D03A4F" w:rsidRPr="00932B88" w:rsidRDefault="00D03A4F" w:rsidP="00932B88">
      <w:pPr>
        <w:spacing w:after="0" w:line="240" w:lineRule="auto"/>
        <w:ind w:right="284" w:firstLine="284"/>
        <w:jc w:val="both"/>
        <w:rPr>
          <w:rFonts w:ascii="Times New Roman" w:eastAsia="Times New Roman" w:hAnsi="Times New Roman" w:cs="Times New Roman"/>
          <w:iCs/>
          <w:lang w:eastAsia="ru-RU"/>
        </w:rPr>
      </w:pPr>
      <w:r w:rsidRPr="00932B88">
        <w:rPr>
          <w:rFonts w:ascii="Times New Roman" w:eastAsia="Times New Roman" w:hAnsi="Times New Roman" w:cs="Times New Roman"/>
          <w:iCs/>
          <w:lang w:eastAsia="ru-RU"/>
        </w:rPr>
        <w:t>2)</w:t>
      </w:r>
      <w:r w:rsidRPr="00932B88">
        <w:rPr>
          <w:rFonts w:ascii="Times New Roman" w:eastAsia="Times New Roman" w:hAnsi="Times New Roman" w:cs="Times New Roman"/>
          <w:iCs/>
          <w:vertAlign w:val="superscript"/>
          <w:lang w:eastAsia="ru-RU"/>
        </w:rPr>
        <w:t xml:space="preserve"> </w:t>
      </w:r>
      <w:r w:rsidR="00932B88" w:rsidRPr="00932B88">
        <w:rPr>
          <w:rFonts w:ascii="Times New Roman" w:eastAsia="Times New Roman" w:hAnsi="Times New Roman" w:cs="Times New Roman"/>
          <w:iCs/>
          <w:lang w:eastAsia="ru-RU"/>
        </w:rPr>
        <w:t xml:space="preserve">В расчетах использованы данные о величине прожиточного минимума на детей за 4 квартал года, предшествующего отчетному, установленные нормативным </w:t>
      </w:r>
      <w:r w:rsidR="00932B88">
        <w:rPr>
          <w:rFonts w:ascii="Times New Roman" w:eastAsia="Times New Roman" w:hAnsi="Times New Roman" w:cs="Times New Roman"/>
          <w:iCs/>
          <w:lang w:eastAsia="ru-RU"/>
        </w:rPr>
        <w:t>правовым актом Минтруда России п</w:t>
      </w:r>
      <w:r w:rsidR="00932B88" w:rsidRPr="00932B88">
        <w:rPr>
          <w:rFonts w:ascii="Times New Roman" w:eastAsia="Times New Roman" w:hAnsi="Times New Roman" w:cs="Times New Roman"/>
          <w:iCs/>
          <w:lang w:eastAsia="ru-RU"/>
        </w:rPr>
        <w:t xml:space="preserve">о согласованию с Минэкономразвития России и Минфином России. С 2021 г. изменена периодичность установления величины прожиточного минимума с ежеквартальной на ежегодную (Федеральным законом </w:t>
      </w:r>
      <w:r w:rsidR="00932B88">
        <w:rPr>
          <w:rFonts w:ascii="Times New Roman" w:eastAsia="Times New Roman" w:hAnsi="Times New Roman" w:cs="Times New Roman"/>
          <w:iCs/>
          <w:lang w:eastAsia="ru-RU"/>
        </w:rPr>
        <w:t>от 29 декабря 2020 г. № 473-ФЗ «</w:t>
      </w:r>
      <w:r w:rsidR="00932B88" w:rsidRPr="00932B88">
        <w:rPr>
          <w:rFonts w:ascii="Times New Roman" w:eastAsia="Times New Roman" w:hAnsi="Times New Roman" w:cs="Times New Roman"/>
          <w:iCs/>
          <w:lang w:eastAsia="ru-RU"/>
        </w:rPr>
        <w:t>О внесении изменений в отдельные законодательные акты Российской Федерации</w:t>
      </w:r>
      <w:r w:rsidR="00932B88">
        <w:rPr>
          <w:rFonts w:ascii="Times New Roman" w:eastAsia="Times New Roman" w:hAnsi="Times New Roman" w:cs="Times New Roman"/>
          <w:iCs/>
          <w:lang w:eastAsia="ru-RU"/>
        </w:rPr>
        <w:t>»</w:t>
      </w:r>
      <w:r w:rsidR="00932B88" w:rsidRPr="00932B88">
        <w:rPr>
          <w:rFonts w:ascii="Times New Roman" w:eastAsia="Times New Roman" w:hAnsi="Times New Roman" w:cs="Times New Roman"/>
          <w:iCs/>
          <w:lang w:eastAsia="ru-RU"/>
        </w:rPr>
        <w:t xml:space="preserve"> внесены изменения в Федеральный закон от 24 октября 1997 г. № 134-ФЗ </w:t>
      </w:r>
      <w:r w:rsidR="00932B88">
        <w:rPr>
          <w:rFonts w:ascii="Times New Roman" w:eastAsia="Times New Roman" w:hAnsi="Times New Roman" w:cs="Times New Roman"/>
          <w:iCs/>
          <w:lang w:eastAsia="ru-RU"/>
        </w:rPr>
        <w:t>«</w:t>
      </w:r>
      <w:r w:rsidR="00932B88" w:rsidRPr="00932B88">
        <w:rPr>
          <w:rFonts w:ascii="Times New Roman" w:eastAsia="Times New Roman" w:hAnsi="Times New Roman" w:cs="Times New Roman"/>
          <w:iCs/>
          <w:lang w:eastAsia="ru-RU"/>
        </w:rPr>
        <w:t xml:space="preserve">О прожиточном </w:t>
      </w:r>
      <w:r w:rsidR="00932B88">
        <w:rPr>
          <w:rFonts w:ascii="Times New Roman" w:eastAsia="Times New Roman" w:hAnsi="Times New Roman" w:cs="Times New Roman"/>
          <w:iCs/>
          <w:lang w:eastAsia="ru-RU"/>
        </w:rPr>
        <w:t>минимуме в Российской Федерации»</w:t>
      </w:r>
      <w:r w:rsidR="00932B88" w:rsidRPr="00932B88">
        <w:rPr>
          <w:rFonts w:ascii="Times New Roman" w:eastAsia="Times New Roman" w:hAnsi="Times New Roman" w:cs="Times New Roman"/>
          <w:iCs/>
          <w:lang w:eastAsia="ru-RU"/>
        </w:rPr>
        <w:t>). В соответствии с Федеральным планом статистических работ, утвержденным распоряжением Правительства Р</w:t>
      </w:r>
      <w:r w:rsidR="00932B88">
        <w:rPr>
          <w:rFonts w:ascii="Times New Roman" w:eastAsia="Times New Roman" w:hAnsi="Times New Roman" w:cs="Times New Roman"/>
          <w:iCs/>
          <w:lang w:eastAsia="ru-RU"/>
        </w:rPr>
        <w:t xml:space="preserve">оссийской </w:t>
      </w:r>
      <w:r w:rsidR="00932B88" w:rsidRPr="00932B88">
        <w:rPr>
          <w:rFonts w:ascii="Times New Roman" w:eastAsia="Times New Roman" w:hAnsi="Times New Roman" w:cs="Times New Roman"/>
          <w:iCs/>
          <w:lang w:eastAsia="ru-RU"/>
        </w:rPr>
        <w:t>Ф</w:t>
      </w:r>
      <w:r w:rsidR="00932B88">
        <w:rPr>
          <w:rFonts w:ascii="Times New Roman" w:eastAsia="Times New Roman" w:hAnsi="Times New Roman" w:cs="Times New Roman"/>
          <w:iCs/>
          <w:lang w:eastAsia="ru-RU"/>
        </w:rPr>
        <w:t xml:space="preserve">едерации от </w:t>
      </w:r>
      <w:r w:rsidR="00932B88" w:rsidRPr="00932B88">
        <w:rPr>
          <w:rFonts w:ascii="Times New Roman" w:eastAsia="Times New Roman" w:hAnsi="Times New Roman" w:cs="Times New Roman"/>
          <w:iCs/>
          <w:lang w:eastAsia="ru-RU"/>
        </w:rPr>
        <w:t xml:space="preserve">6 мая 2008 г. № 671-р </w:t>
      </w:r>
      <w:r w:rsidR="00932B88">
        <w:rPr>
          <w:rFonts w:ascii="Times New Roman" w:eastAsia="Times New Roman" w:hAnsi="Times New Roman" w:cs="Times New Roman"/>
          <w:iCs/>
          <w:lang w:eastAsia="ru-RU"/>
        </w:rPr>
        <w:t>(</w:t>
      </w:r>
      <w:r w:rsidR="00932B88" w:rsidRPr="00932B88">
        <w:rPr>
          <w:rFonts w:ascii="Times New Roman" w:eastAsia="Times New Roman" w:hAnsi="Times New Roman" w:cs="Times New Roman"/>
          <w:iCs/>
          <w:lang w:eastAsia="ru-RU"/>
        </w:rPr>
        <w:t>пункт 1.9.7</w:t>
      </w:r>
      <w:r w:rsidR="00932B88">
        <w:rPr>
          <w:rFonts w:ascii="Times New Roman" w:eastAsia="Times New Roman" w:hAnsi="Times New Roman" w:cs="Times New Roman"/>
          <w:iCs/>
          <w:lang w:eastAsia="ru-RU"/>
        </w:rPr>
        <w:t>)</w:t>
      </w:r>
      <w:r w:rsidR="00932B88" w:rsidRPr="00932B88">
        <w:rPr>
          <w:rFonts w:ascii="Times New Roman" w:eastAsia="Times New Roman" w:hAnsi="Times New Roman" w:cs="Times New Roman"/>
          <w:iCs/>
          <w:lang w:eastAsia="ru-RU"/>
        </w:rPr>
        <w:t>, данные на 1 января 2022 г. будут опубликованы начиная с 2023 г.</w:t>
      </w:r>
    </w:p>
    <w:p w14:paraId="6A5FCF1D" w14:textId="77777777" w:rsidR="00C55EF2" w:rsidRDefault="00C55EF2" w:rsidP="00D03A4F">
      <w:pPr>
        <w:spacing w:after="0" w:line="240" w:lineRule="auto"/>
        <w:jc w:val="right"/>
        <w:rPr>
          <w:rFonts w:ascii="Times New Roman" w:eastAsia="Times New Roman" w:hAnsi="Times New Roman" w:cs="Times New Roman"/>
          <w:sz w:val="26"/>
          <w:szCs w:val="26"/>
          <w:lang w:eastAsia="ru-RU"/>
        </w:rPr>
      </w:pPr>
    </w:p>
    <w:p w14:paraId="41407FB4" w14:textId="77777777" w:rsidR="00D03A4F" w:rsidRPr="005A24F5" w:rsidRDefault="00D03A4F" w:rsidP="00D03A4F">
      <w:pPr>
        <w:spacing w:after="0" w:line="240" w:lineRule="auto"/>
        <w:jc w:val="right"/>
        <w:rPr>
          <w:rFonts w:ascii="Times New Roman" w:eastAsia="Times New Roman" w:hAnsi="Times New Roman" w:cs="Times New Roman"/>
          <w:sz w:val="26"/>
          <w:szCs w:val="26"/>
          <w:lang w:eastAsia="ru-RU"/>
        </w:rPr>
      </w:pPr>
      <w:r w:rsidRPr="005A24F5">
        <w:rPr>
          <w:rFonts w:ascii="Times New Roman" w:eastAsia="Times New Roman" w:hAnsi="Times New Roman" w:cs="Times New Roman"/>
          <w:sz w:val="26"/>
          <w:szCs w:val="26"/>
          <w:lang w:eastAsia="ru-RU"/>
        </w:rPr>
        <w:t>Таблица 5</w:t>
      </w:r>
      <w:r w:rsidR="008737BB">
        <w:rPr>
          <w:rFonts w:ascii="Times New Roman" w:eastAsia="Times New Roman" w:hAnsi="Times New Roman" w:cs="Times New Roman"/>
          <w:sz w:val="26"/>
          <w:szCs w:val="26"/>
          <w:lang w:eastAsia="ru-RU"/>
        </w:rPr>
        <w:t>1</w:t>
      </w:r>
    </w:p>
    <w:p w14:paraId="626FE61E" w14:textId="77777777" w:rsidR="00D03A4F" w:rsidRPr="005A24F5" w:rsidRDefault="00D03A4F" w:rsidP="00D03A4F">
      <w:pPr>
        <w:spacing w:after="0" w:line="240" w:lineRule="auto"/>
        <w:jc w:val="right"/>
        <w:rPr>
          <w:rFonts w:ascii="Times New Roman" w:eastAsia="Times New Roman" w:hAnsi="Times New Roman" w:cs="Times New Roman"/>
          <w:sz w:val="26"/>
          <w:szCs w:val="26"/>
          <w:lang w:eastAsia="ru-RU"/>
        </w:rPr>
      </w:pPr>
    </w:p>
    <w:p w14:paraId="79DC02E8" w14:textId="3CB418EA" w:rsidR="00D03A4F" w:rsidRPr="005A24F5"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5A24F5">
        <w:rPr>
          <w:rFonts w:ascii="Times New Roman" w:eastAsia="Times New Roman" w:hAnsi="Times New Roman" w:cs="Times New Roman"/>
          <w:b/>
          <w:bCs/>
          <w:sz w:val="26"/>
          <w:szCs w:val="26"/>
          <w:lang w:eastAsia="ru-RU"/>
        </w:rPr>
        <w:t>Численность детей</w:t>
      </w:r>
      <w:r w:rsidR="003B77D7" w:rsidRPr="00295F0B">
        <w:rPr>
          <w:rFonts w:ascii="Times New Roman" w:eastAsia="Times New Roman" w:hAnsi="Times New Roman" w:cs="Times New Roman"/>
          <w:b/>
          <w:bCs/>
          <w:sz w:val="26"/>
          <w:szCs w:val="26"/>
          <w:lang w:eastAsia="ru-RU"/>
        </w:rPr>
        <w:t xml:space="preserve"> с инвалидностью</w:t>
      </w:r>
      <w:r w:rsidR="003B77D7" w:rsidRPr="005A24F5" w:rsidDel="003B77D7">
        <w:rPr>
          <w:rFonts w:ascii="Times New Roman" w:eastAsia="Times New Roman" w:hAnsi="Times New Roman" w:cs="Times New Roman"/>
          <w:b/>
          <w:bCs/>
          <w:sz w:val="26"/>
          <w:szCs w:val="26"/>
          <w:lang w:eastAsia="ru-RU"/>
        </w:rPr>
        <w:t xml:space="preserve"> </w:t>
      </w:r>
      <w:r w:rsidRPr="005A24F5">
        <w:rPr>
          <w:rFonts w:ascii="Times New Roman" w:eastAsia="Times New Roman" w:hAnsi="Times New Roman" w:cs="Times New Roman"/>
          <w:b/>
          <w:bCs/>
          <w:sz w:val="26"/>
          <w:szCs w:val="26"/>
          <w:lang w:eastAsia="ru-RU"/>
        </w:rPr>
        <w:t>в возрасте до 18 лет, получающих социальные пенсии</w:t>
      </w:r>
      <w:r w:rsidRPr="005A24F5">
        <w:rPr>
          <w:rFonts w:ascii="Times New Roman" w:eastAsia="Times New Roman" w:hAnsi="Times New Roman" w:cs="Times New Roman"/>
          <w:b/>
          <w:bCs/>
          <w:sz w:val="26"/>
          <w:szCs w:val="26"/>
          <w:vertAlign w:val="superscript"/>
          <w:lang w:eastAsia="ru-RU"/>
        </w:rPr>
        <w:t>1)</w:t>
      </w:r>
    </w:p>
    <w:p w14:paraId="086881B6" w14:textId="77777777" w:rsidR="00D03A4F" w:rsidRPr="005A24F5" w:rsidRDefault="00D03A4F" w:rsidP="00D03A4F">
      <w:pPr>
        <w:spacing w:after="0" w:line="240" w:lineRule="auto"/>
        <w:jc w:val="center"/>
        <w:rPr>
          <w:rFonts w:ascii="Times New Roman" w:eastAsia="Times New Roman" w:hAnsi="Times New Roman" w:cs="Times New Roman"/>
          <w:bCs/>
          <w:sz w:val="24"/>
          <w:szCs w:val="24"/>
          <w:lang w:eastAsia="ru-RU"/>
        </w:rPr>
      </w:pPr>
      <w:r w:rsidRPr="005A24F5">
        <w:rPr>
          <w:rFonts w:ascii="Times New Roman" w:eastAsia="Times New Roman" w:hAnsi="Times New Roman" w:cs="Times New Roman"/>
          <w:bCs/>
          <w:sz w:val="24"/>
          <w:szCs w:val="24"/>
          <w:lang w:eastAsia="ru-RU"/>
        </w:rPr>
        <w:t>(по состоянию на 1 января)</w:t>
      </w:r>
    </w:p>
    <w:p w14:paraId="2C44C74F" w14:textId="77777777" w:rsidR="00D03A4F" w:rsidRPr="005A24F5" w:rsidRDefault="00D03A4F" w:rsidP="00D03A4F">
      <w:pPr>
        <w:spacing w:after="0" w:line="240" w:lineRule="auto"/>
        <w:jc w:val="right"/>
        <w:rPr>
          <w:rFonts w:ascii="Times New Roman" w:eastAsia="Times New Roman" w:hAnsi="Times New Roman" w:cs="Times New Roman"/>
          <w:sz w:val="26"/>
          <w:szCs w:val="26"/>
          <w:lang w:eastAsia="ru-RU"/>
        </w:rPr>
      </w:pPr>
    </w:p>
    <w:tbl>
      <w:tblPr>
        <w:tblW w:w="5172" w:type="pct"/>
        <w:jc w:val="center"/>
        <w:tblLayout w:type="fixed"/>
        <w:tblLook w:val="0000" w:firstRow="0" w:lastRow="0" w:firstColumn="0" w:lastColumn="0" w:noHBand="0" w:noVBand="0"/>
      </w:tblPr>
      <w:tblGrid>
        <w:gridCol w:w="4301"/>
        <w:gridCol w:w="2082"/>
        <w:gridCol w:w="2082"/>
        <w:gridCol w:w="2082"/>
      </w:tblGrid>
      <w:tr w:rsidR="00932B88" w:rsidRPr="005A24F5" w14:paraId="2880EED0" w14:textId="77777777" w:rsidTr="006A2E7F">
        <w:trPr>
          <w:cantSplit/>
          <w:tblHeader/>
          <w:jc w:val="center"/>
        </w:trPr>
        <w:tc>
          <w:tcPr>
            <w:tcW w:w="2039" w:type="pct"/>
            <w:tcBorders>
              <w:top w:val="single" w:sz="4" w:space="0" w:color="auto"/>
              <w:left w:val="single" w:sz="4" w:space="0" w:color="auto"/>
              <w:bottom w:val="single" w:sz="4" w:space="0" w:color="auto"/>
              <w:right w:val="single" w:sz="4" w:space="0" w:color="auto"/>
            </w:tcBorders>
            <w:vAlign w:val="center"/>
          </w:tcPr>
          <w:p w14:paraId="659EF145" w14:textId="77777777" w:rsidR="00932B88" w:rsidRPr="005A24F5" w:rsidRDefault="00932B88" w:rsidP="00932B88">
            <w:pPr>
              <w:spacing w:after="0" w:line="240" w:lineRule="auto"/>
              <w:jc w:val="center"/>
              <w:rPr>
                <w:rFonts w:ascii="Times New Roman" w:eastAsia="Arial Unicode MS" w:hAnsi="Times New Roman" w:cs="Times New Roman"/>
                <w:i/>
                <w:sz w:val="24"/>
                <w:szCs w:val="24"/>
                <w:lang w:eastAsia="ru-RU"/>
              </w:rPr>
            </w:pPr>
          </w:p>
        </w:tc>
        <w:tc>
          <w:tcPr>
            <w:tcW w:w="987" w:type="pct"/>
            <w:tcBorders>
              <w:top w:val="single" w:sz="4" w:space="0" w:color="auto"/>
              <w:left w:val="single" w:sz="4" w:space="0" w:color="auto"/>
              <w:bottom w:val="single" w:sz="4" w:space="0" w:color="auto"/>
              <w:right w:val="single" w:sz="4" w:space="0" w:color="auto"/>
            </w:tcBorders>
          </w:tcPr>
          <w:p w14:paraId="1D9AE086" w14:textId="77777777" w:rsidR="00932B88" w:rsidRPr="005A24F5" w:rsidRDefault="00932B88" w:rsidP="00932B88">
            <w:pPr>
              <w:spacing w:after="0" w:line="240" w:lineRule="auto"/>
              <w:ind w:left="-57" w:right="-57"/>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 xml:space="preserve">2020 г. </w:t>
            </w:r>
          </w:p>
        </w:tc>
        <w:tc>
          <w:tcPr>
            <w:tcW w:w="987" w:type="pct"/>
            <w:tcBorders>
              <w:top w:val="single" w:sz="4" w:space="0" w:color="auto"/>
              <w:left w:val="single" w:sz="4" w:space="0" w:color="auto"/>
              <w:bottom w:val="single" w:sz="4" w:space="0" w:color="auto"/>
              <w:right w:val="single" w:sz="4" w:space="0" w:color="auto"/>
            </w:tcBorders>
          </w:tcPr>
          <w:p w14:paraId="59A44334" w14:textId="77777777" w:rsidR="00932B88" w:rsidRPr="005A24F5" w:rsidRDefault="00932B88" w:rsidP="00932B88">
            <w:pPr>
              <w:spacing w:after="0" w:line="240" w:lineRule="auto"/>
              <w:ind w:left="-57" w:right="-57"/>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2021 г.</w:t>
            </w:r>
          </w:p>
        </w:tc>
        <w:tc>
          <w:tcPr>
            <w:tcW w:w="987" w:type="pct"/>
            <w:tcBorders>
              <w:top w:val="single" w:sz="4" w:space="0" w:color="auto"/>
              <w:left w:val="single" w:sz="4" w:space="0" w:color="auto"/>
              <w:bottom w:val="single" w:sz="4" w:space="0" w:color="auto"/>
              <w:right w:val="single" w:sz="4" w:space="0" w:color="auto"/>
            </w:tcBorders>
          </w:tcPr>
          <w:p w14:paraId="0DB30985" w14:textId="77777777" w:rsidR="00932B88" w:rsidRPr="005A24F5" w:rsidRDefault="00932B88" w:rsidP="00932B88">
            <w:pPr>
              <w:spacing w:after="0" w:line="240" w:lineRule="auto"/>
              <w:ind w:left="-57" w:right="-57"/>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2022 г.</w:t>
            </w:r>
          </w:p>
        </w:tc>
      </w:tr>
      <w:tr w:rsidR="00236B6D" w:rsidRPr="005A24F5" w14:paraId="31E6AA14"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75565D94" w14:textId="77777777" w:rsidR="00236B6D" w:rsidRPr="005A24F5" w:rsidRDefault="00236B6D" w:rsidP="00236B6D">
            <w:pPr>
              <w:spacing w:before="120" w:after="0" w:line="240" w:lineRule="auto"/>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Российская Федерация</w:t>
            </w:r>
            <w:r w:rsidRPr="005A24F5">
              <w:rPr>
                <w:rFonts w:ascii="Times New Roman" w:eastAsia="Arial Unicode MS" w:hAnsi="Times New Roman" w:cs="Times New Roman"/>
                <w:sz w:val="24"/>
                <w:szCs w:val="24"/>
                <w:vertAlign w:val="superscript"/>
                <w:lang w:eastAsia="ru-RU"/>
              </w:rPr>
              <w:t>2)</w:t>
            </w:r>
          </w:p>
        </w:tc>
        <w:tc>
          <w:tcPr>
            <w:tcW w:w="987" w:type="pct"/>
            <w:tcBorders>
              <w:top w:val="single" w:sz="4" w:space="0" w:color="auto"/>
              <w:left w:val="single" w:sz="4" w:space="0" w:color="auto"/>
              <w:bottom w:val="single" w:sz="4" w:space="0" w:color="auto"/>
              <w:right w:val="single" w:sz="4" w:space="0" w:color="auto"/>
            </w:tcBorders>
            <w:vAlign w:val="center"/>
          </w:tcPr>
          <w:p w14:paraId="0D50E391" w14:textId="77777777" w:rsidR="00236B6D" w:rsidRPr="005A24F5" w:rsidRDefault="00236B6D" w:rsidP="00236B6D">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687</w:t>
            </w:r>
            <w:r>
              <w:rPr>
                <w:rFonts w:ascii="Times New Roman" w:eastAsia="Arial Unicode MS" w:hAnsi="Times New Roman" w:cs="Times New Roman"/>
                <w:b/>
                <w:sz w:val="24"/>
                <w:szCs w:val="24"/>
                <w:lang w:eastAsia="ru-RU"/>
              </w:rPr>
              <w:t xml:space="preserve"> </w:t>
            </w:r>
            <w:r w:rsidRPr="005A24F5">
              <w:rPr>
                <w:rFonts w:ascii="Times New Roman" w:eastAsia="Arial Unicode MS" w:hAnsi="Times New Roman" w:cs="Times New Roman"/>
                <w:b/>
                <w:sz w:val="24"/>
                <w:szCs w:val="24"/>
                <w:lang w:eastAsia="ru-RU"/>
              </w:rPr>
              <w:t>718</w:t>
            </w:r>
          </w:p>
        </w:tc>
        <w:tc>
          <w:tcPr>
            <w:tcW w:w="987" w:type="pct"/>
            <w:tcBorders>
              <w:top w:val="single" w:sz="4" w:space="0" w:color="auto"/>
              <w:left w:val="single" w:sz="4" w:space="0" w:color="auto"/>
              <w:bottom w:val="single" w:sz="4" w:space="0" w:color="auto"/>
              <w:right w:val="single" w:sz="4" w:space="0" w:color="auto"/>
            </w:tcBorders>
            <w:vAlign w:val="center"/>
          </w:tcPr>
          <w:p w14:paraId="7336DB42" w14:textId="77777777" w:rsidR="00236B6D" w:rsidRPr="005A24F5" w:rsidRDefault="00236B6D" w:rsidP="00236B6D">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703 675</w:t>
            </w:r>
          </w:p>
        </w:tc>
        <w:tc>
          <w:tcPr>
            <w:tcW w:w="987" w:type="pct"/>
            <w:tcBorders>
              <w:top w:val="single" w:sz="4" w:space="0" w:color="auto"/>
              <w:left w:val="single" w:sz="4" w:space="0" w:color="auto"/>
              <w:bottom w:val="single" w:sz="4" w:space="0" w:color="auto"/>
              <w:right w:val="single" w:sz="4" w:space="0" w:color="auto"/>
            </w:tcBorders>
            <w:vAlign w:val="center"/>
          </w:tcPr>
          <w:p w14:paraId="1A866BEA" w14:textId="77777777" w:rsidR="00236B6D" w:rsidRPr="006C2427" w:rsidRDefault="00236B6D" w:rsidP="00236B6D">
            <w:pPr>
              <w:spacing w:after="0" w:line="240" w:lineRule="auto"/>
              <w:jc w:val="center"/>
              <w:rPr>
                <w:rFonts w:ascii="Times New Roman" w:eastAsia="Arial Unicode MS" w:hAnsi="Times New Roman" w:cs="Times New Roman"/>
                <w:b/>
                <w:bCs/>
                <w:color w:val="000000" w:themeColor="text1"/>
                <w:sz w:val="24"/>
                <w:szCs w:val="24"/>
              </w:rPr>
            </w:pPr>
            <w:r w:rsidRPr="006C2427">
              <w:rPr>
                <w:rFonts w:ascii="Times New Roman" w:eastAsia="Times New Roman" w:hAnsi="Times New Roman" w:cs="Times New Roman"/>
                <w:b/>
                <w:color w:val="000000" w:themeColor="text1"/>
                <w:sz w:val="24"/>
                <w:szCs w:val="24"/>
              </w:rPr>
              <w:t>728 988</w:t>
            </w:r>
          </w:p>
        </w:tc>
      </w:tr>
      <w:tr w:rsidR="00236B6D" w:rsidRPr="005A24F5" w14:paraId="5BA5C875"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79179256" w14:textId="77777777" w:rsidR="00236B6D" w:rsidRPr="005A24F5" w:rsidRDefault="00236B6D" w:rsidP="00236B6D">
            <w:pPr>
              <w:spacing w:before="60" w:after="0" w:line="240" w:lineRule="auto"/>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 xml:space="preserve">Центральный </w:t>
            </w:r>
            <w:r w:rsidRPr="005A24F5">
              <w:rPr>
                <w:rFonts w:ascii="Times New Roman" w:eastAsia="Arial Unicode MS" w:hAnsi="Times New Roman" w:cs="Times New Roman"/>
                <w:b/>
                <w:sz w:val="24"/>
                <w:szCs w:val="24"/>
                <w:lang w:eastAsia="ru-RU"/>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14:paraId="1855DB9D" w14:textId="77777777" w:rsidR="00236B6D" w:rsidRPr="005A24F5" w:rsidRDefault="00236B6D" w:rsidP="00236B6D">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137205</w:t>
            </w:r>
          </w:p>
        </w:tc>
        <w:tc>
          <w:tcPr>
            <w:tcW w:w="987" w:type="pct"/>
            <w:tcBorders>
              <w:top w:val="single" w:sz="4" w:space="0" w:color="auto"/>
              <w:left w:val="single" w:sz="4" w:space="0" w:color="auto"/>
              <w:bottom w:val="single" w:sz="4" w:space="0" w:color="auto"/>
              <w:right w:val="single" w:sz="4" w:space="0" w:color="auto"/>
            </w:tcBorders>
            <w:vAlign w:val="center"/>
          </w:tcPr>
          <w:p w14:paraId="30D6DEF1" w14:textId="77777777" w:rsidR="00236B6D" w:rsidRPr="005A24F5" w:rsidRDefault="00236B6D" w:rsidP="00236B6D">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142 442</w:t>
            </w:r>
          </w:p>
        </w:tc>
        <w:tc>
          <w:tcPr>
            <w:tcW w:w="987" w:type="pct"/>
            <w:tcBorders>
              <w:top w:val="single" w:sz="4" w:space="0" w:color="auto"/>
              <w:left w:val="single" w:sz="4" w:space="0" w:color="auto"/>
              <w:bottom w:val="single" w:sz="4" w:space="0" w:color="auto"/>
              <w:right w:val="single" w:sz="4" w:space="0" w:color="auto"/>
            </w:tcBorders>
            <w:vAlign w:val="center"/>
          </w:tcPr>
          <w:p w14:paraId="3E339346" w14:textId="77777777" w:rsidR="00236B6D" w:rsidRPr="006C2427" w:rsidRDefault="00236B6D" w:rsidP="00236B6D">
            <w:pPr>
              <w:spacing w:after="0" w:line="240" w:lineRule="auto"/>
              <w:jc w:val="center"/>
              <w:rPr>
                <w:rFonts w:ascii="Times New Roman" w:eastAsia="Times New Roman" w:hAnsi="Times New Roman" w:cs="Times New Roman"/>
                <w:b/>
                <w:color w:val="000000" w:themeColor="text1"/>
                <w:sz w:val="24"/>
                <w:szCs w:val="24"/>
              </w:rPr>
            </w:pPr>
            <w:r w:rsidRPr="006C2427">
              <w:rPr>
                <w:rFonts w:ascii="Times New Roman" w:eastAsia="Times New Roman" w:hAnsi="Times New Roman" w:cs="Times New Roman"/>
                <w:b/>
                <w:color w:val="000000" w:themeColor="text1"/>
                <w:sz w:val="24"/>
                <w:szCs w:val="24"/>
              </w:rPr>
              <w:t>149 562</w:t>
            </w:r>
          </w:p>
        </w:tc>
      </w:tr>
      <w:tr w:rsidR="00236B6D" w:rsidRPr="005A24F5" w14:paraId="3F336E98"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02081D27"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Белгородская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0C53232F"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5522</w:t>
            </w:r>
          </w:p>
        </w:tc>
        <w:tc>
          <w:tcPr>
            <w:tcW w:w="987" w:type="pct"/>
            <w:tcBorders>
              <w:top w:val="single" w:sz="4" w:space="0" w:color="auto"/>
              <w:left w:val="single" w:sz="4" w:space="0" w:color="auto"/>
              <w:bottom w:val="single" w:sz="4" w:space="0" w:color="auto"/>
              <w:right w:val="single" w:sz="4" w:space="0" w:color="auto"/>
            </w:tcBorders>
            <w:vAlign w:val="center"/>
          </w:tcPr>
          <w:p w14:paraId="6C797686"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5 695</w:t>
            </w:r>
          </w:p>
        </w:tc>
        <w:tc>
          <w:tcPr>
            <w:tcW w:w="987" w:type="pct"/>
            <w:tcBorders>
              <w:top w:val="single" w:sz="4" w:space="0" w:color="auto"/>
              <w:left w:val="single" w:sz="4" w:space="0" w:color="auto"/>
              <w:bottom w:val="single" w:sz="4" w:space="0" w:color="auto"/>
              <w:right w:val="single" w:sz="4" w:space="0" w:color="auto"/>
            </w:tcBorders>
            <w:vAlign w:val="center"/>
          </w:tcPr>
          <w:p w14:paraId="0AC4E936"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5 913</w:t>
            </w:r>
          </w:p>
        </w:tc>
      </w:tr>
      <w:tr w:rsidR="00236B6D" w:rsidRPr="005A24F5" w14:paraId="469F2118"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33269CFA"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Брянская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6B6101E7"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4267</w:t>
            </w:r>
          </w:p>
        </w:tc>
        <w:tc>
          <w:tcPr>
            <w:tcW w:w="987" w:type="pct"/>
            <w:tcBorders>
              <w:top w:val="single" w:sz="4" w:space="0" w:color="auto"/>
              <w:left w:val="single" w:sz="4" w:space="0" w:color="auto"/>
              <w:bottom w:val="single" w:sz="4" w:space="0" w:color="auto"/>
              <w:right w:val="single" w:sz="4" w:space="0" w:color="auto"/>
            </w:tcBorders>
            <w:vAlign w:val="center"/>
          </w:tcPr>
          <w:p w14:paraId="0392E804"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4 441</w:t>
            </w:r>
          </w:p>
        </w:tc>
        <w:tc>
          <w:tcPr>
            <w:tcW w:w="987" w:type="pct"/>
            <w:tcBorders>
              <w:top w:val="single" w:sz="4" w:space="0" w:color="auto"/>
              <w:left w:val="single" w:sz="4" w:space="0" w:color="auto"/>
              <w:bottom w:val="single" w:sz="4" w:space="0" w:color="auto"/>
              <w:right w:val="single" w:sz="4" w:space="0" w:color="auto"/>
            </w:tcBorders>
            <w:vAlign w:val="center"/>
          </w:tcPr>
          <w:p w14:paraId="35DBA6EA"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4 590</w:t>
            </w:r>
          </w:p>
        </w:tc>
      </w:tr>
      <w:tr w:rsidR="00236B6D" w:rsidRPr="005A24F5" w14:paraId="4262F86E"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61C57780"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Владимирская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6F8644E9"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5101</w:t>
            </w:r>
          </w:p>
        </w:tc>
        <w:tc>
          <w:tcPr>
            <w:tcW w:w="987" w:type="pct"/>
            <w:tcBorders>
              <w:top w:val="single" w:sz="4" w:space="0" w:color="auto"/>
              <w:left w:val="single" w:sz="4" w:space="0" w:color="auto"/>
              <w:bottom w:val="single" w:sz="4" w:space="0" w:color="auto"/>
              <w:right w:val="single" w:sz="4" w:space="0" w:color="auto"/>
            </w:tcBorders>
            <w:vAlign w:val="center"/>
          </w:tcPr>
          <w:p w14:paraId="0D0E8F91"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5 220</w:t>
            </w:r>
          </w:p>
        </w:tc>
        <w:tc>
          <w:tcPr>
            <w:tcW w:w="987" w:type="pct"/>
            <w:tcBorders>
              <w:top w:val="single" w:sz="4" w:space="0" w:color="auto"/>
              <w:left w:val="single" w:sz="4" w:space="0" w:color="auto"/>
              <w:bottom w:val="single" w:sz="4" w:space="0" w:color="auto"/>
              <w:right w:val="single" w:sz="4" w:space="0" w:color="auto"/>
            </w:tcBorders>
            <w:vAlign w:val="center"/>
          </w:tcPr>
          <w:p w14:paraId="02A656F7"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5 431</w:t>
            </w:r>
          </w:p>
        </w:tc>
      </w:tr>
      <w:tr w:rsidR="00236B6D" w:rsidRPr="005A24F5" w14:paraId="3BC34E4C" w14:textId="77777777" w:rsidTr="005A24F5">
        <w:trPr>
          <w:trHeight w:val="270"/>
          <w:jc w:val="center"/>
        </w:trPr>
        <w:tc>
          <w:tcPr>
            <w:tcW w:w="2039" w:type="pct"/>
            <w:tcBorders>
              <w:top w:val="single" w:sz="4" w:space="0" w:color="auto"/>
              <w:left w:val="single" w:sz="4" w:space="0" w:color="auto"/>
              <w:bottom w:val="single" w:sz="4" w:space="0" w:color="auto"/>
              <w:right w:val="single" w:sz="4" w:space="0" w:color="auto"/>
            </w:tcBorders>
            <w:vAlign w:val="bottom"/>
          </w:tcPr>
          <w:p w14:paraId="69E15E5D"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Воронежская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05EE14CB"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7604</w:t>
            </w:r>
          </w:p>
        </w:tc>
        <w:tc>
          <w:tcPr>
            <w:tcW w:w="987" w:type="pct"/>
            <w:tcBorders>
              <w:top w:val="single" w:sz="4" w:space="0" w:color="auto"/>
              <w:left w:val="single" w:sz="4" w:space="0" w:color="auto"/>
              <w:bottom w:val="single" w:sz="4" w:space="0" w:color="auto"/>
              <w:right w:val="single" w:sz="4" w:space="0" w:color="auto"/>
            </w:tcBorders>
            <w:vAlign w:val="center"/>
          </w:tcPr>
          <w:p w14:paraId="19A05EA7"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7 895</w:t>
            </w:r>
          </w:p>
        </w:tc>
        <w:tc>
          <w:tcPr>
            <w:tcW w:w="987" w:type="pct"/>
            <w:tcBorders>
              <w:top w:val="single" w:sz="4" w:space="0" w:color="auto"/>
              <w:left w:val="single" w:sz="4" w:space="0" w:color="auto"/>
              <w:bottom w:val="single" w:sz="4" w:space="0" w:color="auto"/>
              <w:right w:val="single" w:sz="4" w:space="0" w:color="auto"/>
            </w:tcBorders>
            <w:vAlign w:val="center"/>
          </w:tcPr>
          <w:p w14:paraId="385BFB45"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8 259</w:t>
            </w:r>
          </w:p>
        </w:tc>
      </w:tr>
      <w:tr w:rsidR="00236B6D" w:rsidRPr="005A24F5" w14:paraId="4D7AB3C6"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4E9F9758"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Ивановская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5B7DEDB9"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3555</w:t>
            </w:r>
          </w:p>
        </w:tc>
        <w:tc>
          <w:tcPr>
            <w:tcW w:w="987" w:type="pct"/>
            <w:tcBorders>
              <w:top w:val="single" w:sz="4" w:space="0" w:color="auto"/>
              <w:left w:val="single" w:sz="4" w:space="0" w:color="auto"/>
              <w:bottom w:val="single" w:sz="4" w:space="0" w:color="auto"/>
              <w:right w:val="single" w:sz="4" w:space="0" w:color="auto"/>
            </w:tcBorders>
            <w:vAlign w:val="center"/>
          </w:tcPr>
          <w:p w14:paraId="0915BB7C"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3 695</w:t>
            </w:r>
          </w:p>
        </w:tc>
        <w:tc>
          <w:tcPr>
            <w:tcW w:w="987" w:type="pct"/>
            <w:tcBorders>
              <w:top w:val="single" w:sz="4" w:space="0" w:color="auto"/>
              <w:left w:val="single" w:sz="4" w:space="0" w:color="auto"/>
              <w:bottom w:val="single" w:sz="4" w:space="0" w:color="auto"/>
              <w:right w:val="single" w:sz="4" w:space="0" w:color="auto"/>
            </w:tcBorders>
            <w:vAlign w:val="center"/>
          </w:tcPr>
          <w:p w14:paraId="21C63F64"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3 852</w:t>
            </w:r>
          </w:p>
        </w:tc>
      </w:tr>
      <w:tr w:rsidR="00236B6D" w:rsidRPr="005A24F5" w14:paraId="0FB28E72"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774F819A"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Калужская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402BE682"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3618</w:t>
            </w:r>
          </w:p>
        </w:tc>
        <w:tc>
          <w:tcPr>
            <w:tcW w:w="987" w:type="pct"/>
            <w:tcBorders>
              <w:top w:val="single" w:sz="4" w:space="0" w:color="auto"/>
              <w:left w:val="single" w:sz="4" w:space="0" w:color="auto"/>
              <w:bottom w:val="single" w:sz="4" w:space="0" w:color="auto"/>
              <w:right w:val="single" w:sz="4" w:space="0" w:color="auto"/>
            </w:tcBorders>
            <w:vAlign w:val="center"/>
          </w:tcPr>
          <w:p w14:paraId="6F36E2EA"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3 780</w:t>
            </w:r>
          </w:p>
        </w:tc>
        <w:tc>
          <w:tcPr>
            <w:tcW w:w="987" w:type="pct"/>
            <w:tcBorders>
              <w:top w:val="single" w:sz="4" w:space="0" w:color="auto"/>
              <w:left w:val="single" w:sz="4" w:space="0" w:color="auto"/>
              <w:bottom w:val="single" w:sz="4" w:space="0" w:color="auto"/>
              <w:right w:val="single" w:sz="4" w:space="0" w:color="auto"/>
            </w:tcBorders>
            <w:vAlign w:val="center"/>
          </w:tcPr>
          <w:p w14:paraId="27AC151C"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3 988</w:t>
            </w:r>
          </w:p>
        </w:tc>
      </w:tr>
      <w:tr w:rsidR="00236B6D" w:rsidRPr="005A24F5" w14:paraId="14E3B2F5"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500F5287"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Костромская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76DDD7D6"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2285</w:t>
            </w:r>
          </w:p>
        </w:tc>
        <w:tc>
          <w:tcPr>
            <w:tcW w:w="987" w:type="pct"/>
            <w:tcBorders>
              <w:top w:val="single" w:sz="4" w:space="0" w:color="auto"/>
              <w:left w:val="single" w:sz="4" w:space="0" w:color="auto"/>
              <w:bottom w:val="single" w:sz="4" w:space="0" w:color="auto"/>
              <w:right w:val="single" w:sz="4" w:space="0" w:color="auto"/>
            </w:tcBorders>
            <w:vAlign w:val="center"/>
          </w:tcPr>
          <w:p w14:paraId="37AE21EE"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2 338</w:t>
            </w:r>
          </w:p>
        </w:tc>
        <w:tc>
          <w:tcPr>
            <w:tcW w:w="987" w:type="pct"/>
            <w:tcBorders>
              <w:top w:val="single" w:sz="4" w:space="0" w:color="auto"/>
              <w:left w:val="single" w:sz="4" w:space="0" w:color="auto"/>
              <w:bottom w:val="single" w:sz="4" w:space="0" w:color="auto"/>
              <w:right w:val="single" w:sz="4" w:space="0" w:color="auto"/>
            </w:tcBorders>
            <w:vAlign w:val="center"/>
          </w:tcPr>
          <w:p w14:paraId="2E588499"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2 352</w:t>
            </w:r>
          </w:p>
        </w:tc>
      </w:tr>
      <w:tr w:rsidR="00236B6D" w:rsidRPr="005A24F5" w14:paraId="4C183F90"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7E551E84"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2280B307"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5736</w:t>
            </w:r>
          </w:p>
        </w:tc>
        <w:tc>
          <w:tcPr>
            <w:tcW w:w="987" w:type="pct"/>
            <w:tcBorders>
              <w:top w:val="single" w:sz="4" w:space="0" w:color="auto"/>
              <w:left w:val="single" w:sz="4" w:space="0" w:color="auto"/>
              <w:bottom w:val="single" w:sz="4" w:space="0" w:color="auto"/>
              <w:right w:val="single" w:sz="4" w:space="0" w:color="auto"/>
            </w:tcBorders>
            <w:vAlign w:val="center"/>
          </w:tcPr>
          <w:p w14:paraId="3E60DDCC"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5 825</w:t>
            </w:r>
          </w:p>
        </w:tc>
        <w:tc>
          <w:tcPr>
            <w:tcW w:w="987" w:type="pct"/>
            <w:tcBorders>
              <w:top w:val="single" w:sz="4" w:space="0" w:color="auto"/>
              <w:left w:val="single" w:sz="4" w:space="0" w:color="auto"/>
              <w:bottom w:val="single" w:sz="4" w:space="0" w:color="auto"/>
              <w:right w:val="single" w:sz="4" w:space="0" w:color="auto"/>
            </w:tcBorders>
            <w:vAlign w:val="center"/>
          </w:tcPr>
          <w:p w14:paraId="2529B52D"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5 962</w:t>
            </w:r>
          </w:p>
        </w:tc>
      </w:tr>
      <w:tr w:rsidR="00236B6D" w:rsidRPr="005A24F5" w14:paraId="47686470"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594B4456"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Липецкая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37898CF5"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4475</w:t>
            </w:r>
          </w:p>
        </w:tc>
        <w:tc>
          <w:tcPr>
            <w:tcW w:w="987" w:type="pct"/>
            <w:tcBorders>
              <w:top w:val="single" w:sz="4" w:space="0" w:color="auto"/>
              <w:left w:val="single" w:sz="4" w:space="0" w:color="auto"/>
              <w:bottom w:val="single" w:sz="4" w:space="0" w:color="auto"/>
              <w:right w:val="single" w:sz="4" w:space="0" w:color="auto"/>
            </w:tcBorders>
            <w:vAlign w:val="center"/>
          </w:tcPr>
          <w:p w14:paraId="32F15431"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4 471</w:t>
            </w:r>
          </w:p>
        </w:tc>
        <w:tc>
          <w:tcPr>
            <w:tcW w:w="987" w:type="pct"/>
            <w:tcBorders>
              <w:top w:val="single" w:sz="4" w:space="0" w:color="auto"/>
              <w:left w:val="single" w:sz="4" w:space="0" w:color="auto"/>
              <w:bottom w:val="single" w:sz="4" w:space="0" w:color="auto"/>
              <w:right w:val="single" w:sz="4" w:space="0" w:color="auto"/>
            </w:tcBorders>
            <w:vAlign w:val="center"/>
          </w:tcPr>
          <w:p w14:paraId="6F37B6B0"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4 647</w:t>
            </w:r>
          </w:p>
        </w:tc>
      </w:tr>
      <w:tr w:rsidR="00236B6D" w:rsidRPr="005A24F5" w14:paraId="152F876D"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0AE2091D"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Московская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1C844AA5"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25428</w:t>
            </w:r>
          </w:p>
        </w:tc>
        <w:tc>
          <w:tcPr>
            <w:tcW w:w="987" w:type="pct"/>
            <w:tcBorders>
              <w:top w:val="single" w:sz="4" w:space="0" w:color="auto"/>
              <w:left w:val="single" w:sz="4" w:space="0" w:color="auto"/>
              <w:bottom w:val="single" w:sz="4" w:space="0" w:color="auto"/>
              <w:right w:val="single" w:sz="4" w:space="0" w:color="auto"/>
            </w:tcBorders>
            <w:vAlign w:val="center"/>
          </w:tcPr>
          <w:p w14:paraId="1A305CC2"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26 431</w:t>
            </w:r>
          </w:p>
        </w:tc>
        <w:tc>
          <w:tcPr>
            <w:tcW w:w="987" w:type="pct"/>
            <w:tcBorders>
              <w:top w:val="single" w:sz="4" w:space="0" w:color="auto"/>
              <w:left w:val="single" w:sz="4" w:space="0" w:color="auto"/>
              <w:bottom w:val="single" w:sz="4" w:space="0" w:color="auto"/>
              <w:right w:val="single" w:sz="4" w:space="0" w:color="auto"/>
            </w:tcBorders>
            <w:vAlign w:val="center"/>
          </w:tcPr>
          <w:p w14:paraId="4C633686"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27 877</w:t>
            </w:r>
          </w:p>
        </w:tc>
      </w:tr>
      <w:tr w:rsidR="00236B6D" w:rsidRPr="005A24F5" w14:paraId="71CEF27E"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5B6B24C8"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Орловская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386EF1BC"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2887</w:t>
            </w:r>
          </w:p>
        </w:tc>
        <w:tc>
          <w:tcPr>
            <w:tcW w:w="987" w:type="pct"/>
            <w:tcBorders>
              <w:top w:val="single" w:sz="4" w:space="0" w:color="auto"/>
              <w:left w:val="single" w:sz="4" w:space="0" w:color="auto"/>
              <w:bottom w:val="single" w:sz="4" w:space="0" w:color="auto"/>
              <w:right w:val="single" w:sz="4" w:space="0" w:color="auto"/>
            </w:tcBorders>
            <w:vAlign w:val="center"/>
          </w:tcPr>
          <w:p w14:paraId="133C946A"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2 951</w:t>
            </w:r>
          </w:p>
        </w:tc>
        <w:tc>
          <w:tcPr>
            <w:tcW w:w="987" w:type="pct"/>
            <w:tcBorders>
              <w:top w:val="single" w:sz="4" w:space="0" w:color="auto"/>
              <w:left w:val="single" w:sz="4" w:space="0" w:color="auto"/>
              <w:bottom w:val="single" w:sz="4" w:space="0" w:color="auto"/>
              <w:right w:val="single" w:sz="4" w:space="0" w:color="auto"/>
            </w:tcBorders>
            <w:vAlign w:val="center"/>
          </w:tcPr>
          <w:p w14:paraId="16165531"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3 026</w:t>
            </w:r>
          </w:p>
        </w:tc>
      </w:tr>
      <w:tr w:rsidR="00236B6D" w:rsidRPr="005A24F5" w14:paraId="4B26D82C"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2B39C6BB"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Рязанская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6289D09E"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4066</w:t>
            </w:r>
          </w:p>
        </w:tc>
        <w:tc>
          <w:tcPr>
            <w:tcW w:w="987" w:type="pct"/>
            <w:tcBorders>
              <w:top w:val="single" w:sz="4" w:space="0" w:color="auto"/>
              <w:left w:val="single" w:sz="4" w:space="0" w:color="auto"/>
              <w:bottom w:val="single" w:sz="4" w:space="0" w:color="auto"/>
              <w:right w:val="single" w:sz="4" w:space="0" w:color="auto"/>
            </w:tcBorders>
            <w:vAlign w:val="center"/>
          </w:tcPr>
          <w:p w14:paraId="5C1531B0"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4 155</w:t>
            </w:r>
          </w:p>
        </w:tc>
        <w:tc>
          <w:tcPr>
            <w:tcW w:w="987" w:type="pct"/>
            <w:tcBorders>
              <w:top w:val="single" w:sz="4" w:space="0" w:color="auto"/>
              <w:left w:val="single" w:sz="4" w:space="0" w:color="auto"/>
              <w:bottom w:val="single" w:sz="4" w:space="0" w:color="auto"/>
              <w:right w:val="single" w:sz="4" w:space="0" w:color="auto"/>
            </w:tcBorders>
            <w:vAlign w:val="center"/>
          </w:tcPr>
          <w:p w14:paraId="3420032E"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4 267</w:t>
            </w:r>
          </w:p>
        </w:tc>
      </w:tr>
      <w:tr w:rsidR="00236B6D" w:rsidRPr="005A24F5" w14:paraId="4DF45A44"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2C3FEF5F"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Смоленская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2BCECBC1"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2987</w:t>
            </w:r>
          </w:p>
        </w:tc>
        <w:tc>
          <w:tcPr>
            <w:tcW w:w="987" w:type="pct"/>
            <w:tcBorders>
              <w:top w:val="single" w:sz="4" w:space="0" w:color="auto"/>
              <w:left w:val="single" w:sz="4" w:space="0" w:color="auto"/>
              <w:bottom w:val="single" w:sz="4" w:space="0" w:color="auto"/>
              <w:right w:val="single" w:sz="4" w:space="0" w:color="auto"/>
            </w:tcBorders>
            <w:vAlign w:val="center"/>
          </w:tcPr>
          <w:p w14:paraId="376B8674"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3 054</w:t>
            </w:r>
          </w:p>
        </w:tc>
        <w:tc>
          <w:tcPr>
            <w:tcW w:w="987" w:type="pct"/>
            <w:tcBorders>
              <w:top w:val="single" w:sz="4" w:space="0" w:color="auto"/>
              <w:left w:val="single" w:sz="4" w:space="0" w:color="auto"/>
              <w:bottom w:val="single" w:sz="4" w:space="0" w:color="auto"/>
              <w:right w:val="single" w:sz="4" w:space="0" w:color="auto"/>
            </w:tcBorders>
            <w:vAlign w:val="center"/>
          </w:tcPr>
          <w:p w14:paraId="3311D3BA"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3 089</w:t>
            </w:r>
          </w:p>
        </w:tc>
      </w:tr>
      <w:tr w:rsidR="00236B6D" w:rsidRPr="005A24F5" w14:paraId="7F02E3E1"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3237B86C"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Тамбовская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1EAAD949"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3574</w:t>
            </w:r>
          </w:p>
        </w:tc>
        <w:tc>
          <w:tcPr>
            <w:tcW w:w="987" w:type="pct"/>
            <w:tcBorders>
              <w:top w:val="single" w:sz="4" w:space="0" w:color="auto"/>
              <w:left w:val="single" w:sz="4" w:space="0" w:color="auto"/>
              <w:bottom w:val="single" w:sz="4" w:space="0" w:color="auto"/>
              <w:right w:val="single" w:sz="4" w:space="0" w:color="auto"/>
            </w:tcBorders>
            <w:vAlign w:val="center"/>
          </w:tcPr>
          <w:p w14:paraId="1B5E7507"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3 729</w:t>
            </w:r>
          </w:p>
        </w:tc>
        <w:tc>
          <w:tcPr>
            <w:tcW w:w="987" w:type="pct"/>
            <w:tcBorders>
              <w:top w:val="single" w:sz="4" w:space="0" w:color="auto"/>
              <w:left w:val="single" w:sz="4" w:space="0" w:color="auto"/>
              <w:bottom w:val="single" w:sz="4" w:space="0" w:color="auto"/>
              <w:right w:val="single" w:sz="4" w:space="0" w:color="auto"/>
            </w:tcBorders>
            <w:vAlign w:val="center"/>
          </w:tcPr>
          <w:p w14:paraId="11BC472A"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3 779</w:t>
            </w:r>
          </w:p>
        </w:tc>
      </w:tr>
      <w:tr w:rsidR="00236B6D" w:rsidRPr="005A24F5" w14:paraId="0F944E9B"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2CED35D6"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Тверская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23371967"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5022</w:t>
            </w:r>
          </w:p>
        </w:tc>
        <w:tc>
          <w:tcPr>
            <w:tcW w:w="987" w:type="pct"/>
            <w:tcBorders>
              <w:top w:val="single" w:sz="4" w:space="0" w:color="auto"/>
              <w:left w:val="single" w:sz="4" w:space="0" w:color="auto"/>
              <w:bottom w:val="single" w:sz="4" w:space="0" w:color="auto"/>
              <w:right w:val="single" w:sz="4" w:space="0" w:color="auto"/>
            </w:tcBorders>
            <w:vAlign w:val="center"/>
          </w:tcPr>
          <w:p w14:paraId="13D642E9"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5 059</w:t>
            </w:r>
          </w:p>
        </w:tc>
        <w:tc>
          <w:tcPr>
            <w:tcW w:w="987" w:type="pct"/>
            <w:tcBorders>
              <w:top w:val="single" w:sz="4" w:space="0" w:color="auto"/>
              <w:left w:val="single" w:sz="4" w:space="0" w:color="auto"/>
              <w:bottom w:val="single" w:sz="4" w:space="0" w:color="auto"/>
              <w:right w:val="single" w:sz="4" w:space="0" w:color="auto"/>
            </w:tcBorders>
            <w:vAlign w:val="center"/>
          </w:tcPr>
          <w:p w14:paraId="1DD1AADB"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5 146</w:t>
            </w:r>
          </w:p>
        </w:tc>
      </w:tr>
      <w:tr w:rsidR="00236B6D" w:rsidRPr="005A24F5" w14:paraId="4F42B9E3"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479848E1"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Тульская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3830BEE6"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5121</w:t>
            </w:r>
          </w:p>
        </w:tc>
        <w:tc>
          <w:tcPr>
            <w:tcW w:w="987" w:type="pct"/>
            <w:tcBorders>
              <w:top w:val="single" w:sz="4" w:space="0" w:color="auto"/>
              <w:left w:val="single" w:sz="4" w:space="0" w:color="auto"/>
              <w:bottom w:val="single" w:sz="4" w:space="0" w:color="auto"/>
              <w:right w:val="single" w:sz="4" w:space="0" w:color="auto"/>
            </w:tcBorders>
            <w:vAlign w:val="center"/>
          </w:tcPr>
          <w:p w14:paraId="41184B41"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5 212</w:t>
            </w:r>
          </w:p>
        </w:tc>
        <w:tc>
          <w:tcPr>
            <w:tcW w:w="987" w:type="pct"/>
            <w:tcBorders>
              <w:top w:val="single" w:sz="4" w:space="0" w:color="auto"/>
              <w:left w:val="single" w:sz="4" w:space="0" w:color="auto"/>
              <w:bottom w:val="single" w:sz="4" w:space="0" w:color="auto"/>
              <w:right w:val="single" w:sz="4" w:space="0" w:color="auto"/>
            </w:tcBorders>
            <w:vAlign w:val="center"/>
          </w:tcPr>
          <w:p w14:paraId="5C0BE450"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5 379</w:t>
            </w:r>
          </w:p>
        </w:tc>
      </w:tr>
      <w:tr w:rsidR="00236B6D" w:rsidRPr="005A24F5" w14:paraId="137C1627"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4DE217B9"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Ярославская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75B50160"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3936</w:t>
            </w:r>
          </w:p>
        </w:tc>
        <w:tc>
          <w:tcPr>
            <w:tcW w:w="987" w:type="pct"/>
            <w:tcBorders>
              <w:top w:val="single" w:sz="4" w:space="0" w:color="auto"/>
              <w:left w:val="single" w:sz="4" w:space="0" w:color="auto"/>
              <w:bottom w:val="single" w:sz="4" w:space="0" w:color="auto"/>
              <w:right w:val="single" w:sz="4" w:space="0" w:color="auto"/>
            </w:tcBorders>
            <w:vAlign w:val="center"/>
          </w:tcPr>
          <w:p w14:paraId="3C02B2AA"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4 150</w:t>
            </w:r>
          </w:p>
        </w:tc>
        <w:tc>
          <w:tcPr>
            <w:tcW w:w="987" w:type="pct"/>
            <w:tcBorders>
              <w:top w:val="single" w:sz="4" w:space="0" w:color="auto"/>
              <w:left w:val="single" w:sz="4" w:space="0" w:color="auto"/>
              <w:bottom w:val="single" w:sz="4" w:space="0" w:color="auto"/>
              <w:right w:val="single" w:sz="4" w:space="0" w:color="auto"/>
            </w:tcBorders>
            <w:vAlign w:val="center"/>
          </w:tcPr>
          <w:p w14:paraId="4E8D0816"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4 294</w:t>
            </w:r>
          </w:p>
        </w:tc>
      </w:tr>
      <w:tr w:rsidR="00236B6D" w:rsidRPr="005A24F5" w14:paraId="617A31F6"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1A6A87B3"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г. Москва</w:t>
            </w:r>
          </w:p>
        </w:tc>
        <w:tc>
          <w:tcPr>
            <w:tcW w:w="987" w:type="pct"/>
            <w:tcBorders>
              <w:top w:val="single" w:sz="4" w:space="0" w:color="auto"/>
              <w:left w:val="single" w:sz="4" w:space="0" w:color="auto"/>
              <w:bottom w:val="single" w:sz="4" w:space="0" w:color="auto"/>
              <w:right w:val="single" w:sz="4" w:space="0" w:color="auto"/>
            </w:tcBorders>
            <w:vAlign w:val="center"/>
          </w:tcPr>
          <w:p w14:paraId="03E493FB"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42021</w:t>
            </w:r>
          </w:p>
        </w:tc>
        <w:tc>
          <w:tcPr>
            <w:tcW w:w="987" w:type="pct"/>
            <w:tcBorders>
              <w:top w:val="single" w:sz="4" w:space="0" w:color="auto"/>
              <w:left w:val="single" w:sz="4" w:space="0" w:color="auto"/>
              <w:bottom w:val="single" w:sz="4" w:space="0" w:color="auto"/>
              <w:right w:val="single" w:sz="4" w:space="0" w:color="auto"/>
            </w:tcBorders>
            <w:vAlign w:val="center"/>
          </w:tcPr>
          <w:p w14:paraId="730DAF44"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44 341</w:t>
            </w:r>
          </w:p>
        </w:tc>
        <w:tc>
          <w:tcPr>
            <w:tcW w:w="987" w:type="pct"/>
            <w:tcBorders>
              <w:top w:val="single" w:sz="4" w:space="0" w:color="auto"/>
              <w:left w:val="single" w:sz="4" w:space="0" w:color="auto"/>
              <w:bottom w:val="single" w:sz="4" w:space="0" w:color="auto"/>
              <w:right w:val="single" w:sz="4" w:space="0" w:color="auto"/>
            </w:tcBorders>
            <w:vAlign w:val="center"/>
          </w:tcPr>
          <w:p w14:paraId="6F09AE8C"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47 711</w:t>
            </w:r>
          </w:p>
        </w:tc>
      </w:tr>
      <w:tr w:rsidR="00236B6D" w:rsidRPr="005A24F5" w14:paraId="2BCF1B11"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27DB8302" w14:textId="77777777" w:rsidR="00236B6D" w:rsidRPr="005A24F5" w:rsidRDefault="00236B6D" w:rsidP="00236B6D">
            <w:pPr>
              <w:spacing w:before="60" w:after="0" w:line="240" w:lineRule="auto"/>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 xml:space="preserve">Северо-Западный </w:t>
            </w:r>
            <w:r w:rsidRPr="005A24F5">
              <w:rPr>
                <w:rFonts w:ascii="Times New Roman" w:eastAsia="Arial Unicode MS" w:hAnsi="Times New Roman" w:cs="Times New Roman"/>
                <w:b/>
                <w:sz w:val="24"/>
                <w:szCs w:val="24"/>
                <w:lang w:eastAsia="ru-RU"/>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14:paraId="2B3DB8FF" w14:textId="77777777" w:rsidR="00236B6D" w:rsidRPr="005A24F5" w:rsidRDefault="00236B6D" w:rsidP="00236B6D">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50547</w:t>
            </w:r>
          </w:p>
        </w:tc>
        <w:tc>
          <w:tcPr>
            <w:tcW w:w="987" w:type="pct"/>
            <w:tcBorders>
              <w:top w:val="single" w:sz="4" w:space="0" w:color="auto"/>
              <w:left w:val="single" w:sz="4" w:space="0" w:color="auto"/>
              <w:bottom w:val="single" w:sz="4" w:space="0" w:color="auto"/>
              <w:right w:val="single" w:sz="4" w:space="0" w:color="auto"/>
            </w:tcBorders>
            <w:vAlign w:val="center"/>
          </w:tcPr>
          <w:p w14:paraId="79EEDD3C" w14:textId="77777777" w:rsidR="00236B6D" w:rsidRPr="005A24F5" w:rsidRDefault="00236B6D" w:rsidP="00236B6D">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51 872</w:t>
            </w:r>
          </w:p>
        </w:tc>
        <w:tc>
          <w:tcPr>
            <w:tcW w:w="987" w:type="pct"/>
            <w:tcBorders>
              <w:top w:val="single" w:sz="4" w:space="0" w:color="auto"/>
              <w:left w:val="single" w:sz="4" w:space="0" w:color="auto"/>
              <w:bottom w:val="single" w:sz="4" w:space="0" w:color="auto"/>
              <w:right w:val="single" w:sz="4" w:space="0" w:color="auto"/>
            </w:tcBorders>
            <w:vAlign w:val="center"/>
          </w:tcPr>
          <w:p w14:paraId="5BAA3564" w14:textId="77777777" w:rsidR="00236B6D" w:rsidRPr="006C2427" w:rsidRDefault="00236B6D" w:rsidP="00236B6D">
            <w:pPr>
              <w:spacing w:after="0" w:line="240" w:lineRule="auto"/>
              <w:jc w:val="center"/>
              <w:rPr>
                <w:rFonts w:ascii="Times New Roman" w:eastAsia="Times New Roman" w:hAnsi="Times New Roman" w:cs="Times New Roman"/>
                <w:b/>
                <w:color w:val="000000" w:themeColor="text1"/>
                <w:sz w:val="24"/>
                <w:szCs w:val="24"/>
              </w:rPr>
            </w:pPr>
            <w:r w:rsidRPr="006C2427">
              <w:rPr>
                <w:rFonts w:ascii="Times New Roman" w:eastAsia="Times New Roman" w:hAnsi="Times New Roman" w:cs="Times New Roman"/>
                <w:b/>
                <w:color w:val="000000" w:themeColor="text1"/>
                <w:sz w:val="24"/>
                <w:szCs w:val="24"/>
              </w:rPr>
              <w:t>54 123</w:t>
            </w:r>
          </w:p>
        </w:tc>
      </w:tr>
      <w:tr w:rsidR="00236B6D" w:rsidRPr="005A24F5" w14:paraId="601792F2"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434E1791"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Карелия</w:t>
            </w:r>
          </w:p>
        </w:tc>
        <w:tc>
          <w:tcPr>
            <w:tcW w:w="987" w:type="pct"/>
            <w:tcBorders>
              <w:top w:val="single" w:sz="4" w:space="0" w:color="auto"/>
              <w:left w:val="single" w:sz="4" w:space="0" w:color="auto"/>
              <w:bottom w:val="single" w:sz="4" w:space="0" w:color="auto"/>
              <w:right w:val="single" w:sz="4" w:space="0" w:color="auto"/>
            </w:tcBorders>
            <w:vAlign w:val="center"/>
          </w:tcPr>
          <w:p w14:paraId="25EAFEF4"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2465</w:t>
            </w:r>
          </w:p>
        </w:tc>
        <w:tc>
          <w:tcPr>
            <w:tcW w:w="987" w:type="pct"/>
            <w:tcBorders>
              <w:top w:val="single" w:sz="4" w:space="0" w:color="auto"/>
              <w:left w:val="single" w:sz="4" w:space="0" w:color="auto"/>
              <w:bottom w:val="single" w:sz="4" w:space="0" w:color="auto"/>
              <w:right w:val="single" w:sz="4" w:space="0" w:color="auto"/>
            </w:tcBorders>
            <w:vAlign w:val="center"/>
          </w:tcPr>
          <w:p w14:paraId="434391FC"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2 595</w:t>
            </w:r>
          </w:p>
        </w:tc>
        <w:tc>
          <w:tcPr>
            <w:tcW w:w="987" w:type="pct"/>
            <w:tcBorders>
              <w:top w:val="single" w:sz="4" w:space="0" w:color="auto"/>
              <w:left w:val="single" w:sz="4" w:space="0" w:color="auto"/>
              <w:bottom w:val="single" w:sz="4" w:space="0" w:color="auto"/>
              <w:right w:val="single" w:sz="4" w:space="0" w:color="auto"/>
            </w:tcBorders>
            <w:vAlign w:val="center"/>
          </w:tcPr>
          <w:p w14:paraId="124444FF"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2 755</w:t>
            </w:r>
          </w:p>
        </w:tc>
      </w:tr>
      <w:tr w:rsidR="00236B6D" w:rsidRPr="005A24F5" w14:paraId="5C87B0F1"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036D437B"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Коми</w:t>
            </w:r>
          </w:p>
        </w:tc>
        <w:tc>
          <w:tcPr>
            <w:tcW w:w="987" w:type="pct"/>
            <w:tcBorders>
              <w:top w:val="single" w:sz="4" w:space="0" w:color="auto"/>
              <w:left w:val="single" w:sz="4" w:space="0" w:color="auto"/>
              <w:bottom w:val="single" w:sz="4" w:space="0" w:color="auto"/>
              <w:right w:val="single" w:sz="4" w:space="0" w:color="auto"/>
            </w:tcBorders>
            <w:vAlign w:val="center"/>
          </w:tcPr>
          <w:p w14:paraId="11C278F0"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3365</w:t>
            </w:r>
          </w:p>
        </w:tc>
        <w:tc>
          <w:tcPr>
            <w:tcW w:w="987" w:type="pct"/>
            <w:tcBorders>
              <w:top w:val="single" w:sz="4" w:space="0" w:color="auto"/>
              <w:left w:val="single" w:sz="4" w:space="0" w:color="auto"/>
              <w:bottom w:val="single" w:sz="4" w:space="0" w:color="auto"/>
              <w:right w:val="single" w:sz="4" w:space="0" w:color="auto"/>
            </w:tcBorders>
            <w:vAlign w:val="center"/>
          </w:tcPr>
          <w:p w14:paraId="6CA64BF4"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3 375</w:t>
            </w:r>
          </w:p>
        </w:tc>
        <w:tc>
          <w:tcPr>
            <w:tcW w:w="987" w:type="pct"/>
            <w:tcBorders>
              <w:top w:val="single" w:sz="4" w:space="0" w:color="auto"/>
              <w:left w:val="single" w:sz="4" w:space="0" w:color="auto"/>
              <w:bottom w:val="single" w:sz="4" w:space="0" w:color="auto"/>
              <w:right w:val="single" w:sz="4" w:space="0" w:color="auto"/>
            </w:tcBorders>
            <w:vAlign w:val="center"/>
          </w:tcPr>
          <w:p w14:paraId="42BCB565"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3 459</w:t>
            </w:r>
          </w:p>
        </w:tc>
      </w:tr>
      <w:tr w:rsidR="00236B6D" w:rsidRPr="005A24F5" w14:paraId="0D8A63A2"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5C9BF1CE"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Архангельская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65984706"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4835</w:t>
            </w:r>
          </w:p>
        </w:tc>
        <w:tc>
          <w:tcPr>
            <w:tcW w:w="987" w:type="pct"/>
            <w:tcBorders>
              <w:top w:val="single" w:sz="4" w:space="0" w:color="auto"/>
              <w:left w:val="single" w:sz="4" w:space="0" w:color="auto"/>
              <w:bottom w:val="single" w:sz="4" w:space="0" w:color="auto"/>
              <w:right w:val="single" w:sz="4" w:space="0" w:color="auto"/>
            </w:tcBorders>
            <w:vAlign w:val="center"/>
          </w:tcPr>
          <w:p w14:paraId="1DE98D32"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4 934</w:t>
            </w:r>
          </w:p>
        </w:tc>
        <w:tc>
          <w:tcPr>
            <w:tcW w:w="987" w:type="pct"/>
            <w:tcBorders>
              <w:top w:val="single" w:sz="4" w:space="0" w:color="auto"/>
              <w:left w:val="single" w:sz="4" w:space="0" w:color="auto"/>
              <w:bottom w:val="single" w:sz="4" w:space="0" w:color="auto"/>
              <w:right w:val="single" w:sz="4" w:space="0" w:color="auto"/>
            </w:tcBorders>
            <w:vAlign w:val="center"/>
          </w:tcPr>
          <w:p w14:paraId="23DA6CBD"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5 063</w:t>
            </w:r>
          </w:p>
        </w:tc>
      </w:tr>
      <w:tr w:rsidR="00236B6D" w:rsidRPr="005A24F5" w14:paraId="3045B696"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111CF095" w14:textId="77777777" w:rsidR="00236B6D" w:rsidRPr="005A24F5" w:rsidRDefault="00236B6D" w:rsidP="00236B6D">
            <w:pPr>
              <w:spacing w:before="40" w:after="0" w:line="240" w:lineRule="auto"/>
              <w:ind w:left="171"/>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 xml:space="preserve">в </w:t>
            </w:r>
            <w:proofErr w:type="spellStart"/>
            <w:r w:rsidRPr="005A24F5">
              <w:rPr>
                <w:rFonts w:ascii="Times New Roman" w:eastAsia="Arial Unicode MS" w:hAnsi="Times New Roman" w:cs="Times New Roman"/>
                <w:sz w:val="24"/>
                <w:szCs w:val="24"/>
                <w:lang w:eastAsia="ru-RU"/>
              </w:rPr>
              <w:t>т.ч</w:t>
            </w:r>
            <w:proofErr w:type="spellEnd"/>
            <w:r w:rsidRPr="005A24F5">
              <w:rPr>
                <w:rFonts w:ascii="Times New Roman" w:eastAsia="Arial Unicode MS" w:hAnsi="Times New Roman" w:cs="Times New Roman"/>
                <w:sz w:val="24"/>
                <w:szCs w:val="24"/>
                <w:lang w:eastAsia="ru-RU"/>
              </w:rPr>
              <w:t>. 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14:paraId="1E46367C"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229</w:t>
            </w:r>
          </w:p>
        </w:tc>
        <w:tc>
          <w:tcPr>
            <w:tcW w:w="987" w:type="pct"/>
            <w:tcBorders>
              <w:top w:val="single" w:sz="4" w:space="0" w:color="auto"/>
              <w:left w:val="single" w:sz="4" w:space="0" w:color="auto"/>
              <w:bottom w:val="single" w:sz="4" w:space="0" w:color="auto"/>
              <w:right w:val="single" w:sz="4" w:space="0" w:color="auto"/>
            </w:tcBorders>
            <w:vAlign w:val="center"/>
          </w:tcPr>
          <w:p w14:paraId="06A4E8ED"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233</w:t>
            </w:r>
          </w:p>
        </w:tc>
        <w:tc>
          <w:tcPr>
            <w:tcW w:w="987" w:type="pct"/>
            <w:tcBorders>
              <w:top w:val="single" w:sz="4" w:space="0" w:color="auto"/>
              <w:left w:val="single" w:sz="4" w:space="0" w:color="auto"/>
              <w:bottom w:val="single" w:sz="4" w:space="0" w:color="auto"/>
              <w:right w:val="single" w:sz="4" w:space="0" w:color="auto"/>
            </w:tcBorders>
            <w:vAlign w:val="center"/>
          </w:tcPr>
          <w:p w14:paraId="7F887036"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234</w:t>
            </w:r>
          </w:p>
        </w:tc>
      </w:tr>
      <w:tr w:rsidR="00236B6D" w:rsidRPr="005A24F5" w14:paraId="6A30E54E"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7D7A72C7" w14:textId="77777777" w:rsidR="00236B6D" w:rsidRPr="005A24F5" w:rsidRDefault="00236B6D" w:rsidP="00236B6D">
            <w:pPr>
              <w:spacing w:before="40" w:after="0" w:line="240" w:lineRule="auto"/>
              <w:ind w:left="171"/>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Архангельская область без авт. округа</w:t>
            </w:r>
          </w:p>
        </w:tc>
        <w:tc>
          <w:tcPr>
            <w:tcW w:w="987" w:type="pct"/>
            <w:tcBorders>
              <w:top w:val="single" w:sz="4" w:space="0" w:color="auto"/>
              <w:left w:val="single" w:sz="4" w:space="0" w:color="auto"/>
              <w:bottom w:val="single" w:sz="4" w:space="0" w:color="auto"/>
              <w:right w:val="single" w:sz="4" w:space="0" w:color="auto"/>
            </w:tcBorders>
            <w:vAlign w:val="center"/>
          </w:tcPr>
          <w:p w14:paraId="5D9237C6"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4606</w:t>
            </w:r>
          </w:p>
        </w:tc>
        <w:tc>
          <w:tcPr>
            <w:tcW w:w="987" w:type="pct"/>
            <w:tcBorders>
              <w:top w:val="single" w:sz="4" w:space="0" w:color="auto"/>
              <w:left w:val="single" w:sz="4" w:space="0" w:color="auto"/>
              <w:bottom w:val="single" w:sz="4" w:space="0" w:color="auto"/>
              <w:right w:val="single" w:sz="4" w:space="0" w:color="auto"/>
            </w:tcBorders>
            <w:vAlign w:val="center"/>
          </w:tcPr>
          <w:p w14:paraId="4D728DF5"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4 701</w:t>
            </w:r>
          </w:p>
        </w:tc>
        <w:tc>
          <w:tcPr>
            <w:tcW w:w="987" w:type="pct"/>
            <w:tcBorders>
              <w:top w:val="single" w:sz="4" w:space="0" w:color="auto"/>
              <w:left w:val="single" w:sz="4" w:space="0" w:color="auto"/>
              <w:bottom w:val="single" w:sz="4" w:space="0" w:color="auto"/>
              <w:right w:val="single" w:sz="4" w:space="0" w:color="auto"/>
            </w:tcBorders>
            <w:vAlign w:val="center"/>
          </w:tcPr>
          <w:p w14:paraId="3EBCC07A"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4 829</w:t>
            </w:r>
          </w:p>
        </w:tc>
      </w:tr>
      <w:tr w:rsidR="00236B6D" w:rsidRPr="005A24F5" w14:paraId="02A1B4DF"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70D9CB22"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Вологодская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6E52C378"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4931</w:t>
            </w:r>
          </w:p>
        </w:tc>
        <w:tc>
          <w:tcPr>
            <w:tcW w:w="987" w:type="pct"/>
            <w:tcBorders>
              <w:top w:val="single" w:sz="4" w:space="0" w:color="auto"/>
              <w:left w:val="single" w:sz="4" w:space="0" w:color="auto"/>
              <w:bottom w:val="single" w:sz="4" w:space="0" w:color="auto"/>
              <w:right w:val="single" w:sz="4" w:space="0" w:color="auto"/>
            </w:tcBorders>
            <w:vAlign w:val="center"/>
          </w:tcPr>
          <w:p w14:paraId="7821D6FD"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5 121</w:t>
            </w:r>
          </w:p>
        </w:tc>
        <w:tc>
          <w:tcPr>
            <w:tcW w:w="987" w:type="pct"/>
            <w:tcBorders>
              <w:top w:val="single" w:sz="4" w:space="0" w:color="auto"/>
              <w:left w:val="single" w:sz="4" w:space="0" w:color="auto"/>
              <w:bottom w:val="single" w:sz="4" w:space="0" w:color="auto"/>
              <w:right w:val="single" w:sz="4" w:space="0" w:color="auto"/>
            </w:tcBorders>
            <w:vAlign w:val="center"/>
          </w:tcPr>
          <w:p w14:paraId="4541A69D"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5 380</w:t>
            </w:r>
          </w:p>
        </w:tc>
      </w:tr>
      <w:tr w:rsidR="00236B6D" w:rsidRPr="005A24F5" w14:paraId="241D3F55"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10A48EB4"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Калининградская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14035202"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3745</w:t>
            </w:r>
          </w:p>
        </w:tc>
        <w:tc>
          <w:tcPr>
            <w:tcW w:w="987" w:type="pct"/>
            <w:tcBorders>
              <w:top w:val="single" w:sz="4" w:space="0" w:color="auto"/>
              <w:left w:val="single" w:sz="4" w:space="0" w:color="auto"/>
              <w:bottom w:val="single" w:sz="4" w:space="0" w:color="auto"/>
              <w:right w:val="single" w:sz="4" w:space="0" w:color="auto"/>
            </w:tcBorders>
            <w:vAlign w:val="center"/>
          </w:tcPr>
          <w:p w14:paraId="5E6DCD33"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3 894</w:t>
            </w:r>
          </w:p>
        </w:tc>
        <w:tc>
          <w:tcPr>
            <w:tcW w:w="987" w:type="pct"/>
            <w:tcBorders>
              <w:top w:val="single" w:sz="4" w:space="0" w:color="auto"/>
              <w:left w:val="single" w:sz="4" w:space="0" w:color="auto"/>
              <w:bottom w:val="single" w:sz="4" w:space="0" w:color="auto"/>
              <w:right w:val="single" w:sz="4" w:space="0" w:color="auto"/>
            </w:tcBorders>
            <w:vAlign w:val="center"/>
          </w:tcPr>
          <w:p w14:paraId="3565F964"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4 039</w:t>
            </w:r>
          </w:p>
        </w:tc>
      </w:tr>
      <w:tr w:rsidR="00236B6D" w:rsidRPr="005A24F5" w14:paraId="22CAD499"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111356BB"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Ленинградская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2DF2F5EA"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4198</w:t>
            </w:r>
          </w:p>
        </w:tc>
        <w:tc>
          <w:tcPr>
            <w:tcW w:w="987" w:type="pct"/>
            <w:tcBorders>
              <w:top w:val="single" w:sz="4" w:space="0" w:color="auto"/>
              <w:left w:val="single" w:sz="4" w:space="0" w:color="auto"/>
              <w:bottom w:val="single" w:sz="4" w:space="0" w:color="auto"/>
              <w:right w:val="single" w:sz="4" w:space="0" w:color="auto"/>
            </w:tcBorders>
            <w:vAlign w:val="center"/>
          </w:tcPr>
          <w:p w14:paraId="5CD0CB67"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2 827</w:t>
            </w:r>
          </w:p>
        </w:tc>
        <w:tc>
          <w:tcPr>
            <w:tcW w:w="987" w:type="pct"/>
            <w:tcBorders>
              <w:top w:val="single" w:sz="4" w:space="0" w:color="auto"/>
              <w:left w:val="single" w:sz="4" w:space="0" w:color="auto"/>
              <w:bottom w:val="single" w:sz="4" w:space="0" w:color="auto"/>
              <w:right w:val="single" w:sz="4" w:space="0" w:color="auto"/>
            </w:tcBorders>
            <w:vAlign w:val="center"/>
          </w:tcPr>
          <w:p w14:paraId="51180D80"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2 311</w:t>
            </w:r>
          </w:p>
        </w:tc>
      </w:tr>
      <w:tr w:rsidR="00236B6D" w:rsidRPr="005A24F5" w14:paraId="27DAE160"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5A4AB70A"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Мурманская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7F5CE314"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2728</w:t>
            </w:r>
          </w:p>
        </w:tc>
        <w:tc>
          <w:tcPr>
            <w:tcW w:w="987" w:type="pct"/>
            <w:tcBorders>
              <w:top w:val="single" w:sz="4" w:space="0" w:color="auto"/>
              <w:left w:val="single" w:sz="4" w:space="0" w:color="auto"/>
              <w:bottom w:val="single" w:sz="4" w:space="0" w:color="auto"/>
              <w:right w:val="single" w:sz="4" w:space="0" w:color="auto"/>
            </w:tcBorders>
            <w:vAlign w:val="center"/>
          </w:tcPr>
          <w:p w14:paraId="29807E69"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2 793</w:t>
            </w:r>
          </w:p>
        </w:tc>
        <w:tc>
          <w:tcPr>
            <w:tcW w:w="987" w:type="pct"/>
            <w:tcBorders>
              <w:top w:val="single" w:sz="4" w:space="0" w:color="auto"/>
              <w:left w:val="single" w:sz="4" w:space="0" w:color="auto"/>
              <w:bottom w:val="single" w:sz="4" w:space="0" w:color="auto"/>
              <w:right w:val="single" w:sz="4" w:space="0" w:color="auto"/>
            </w:tcBorders>
            <w:vAlign w:val="center"/>
          </w:tcPr>
          <w:p w14:paraId="417E5DA2"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2 913</w:t>
            </w:r>
          </w:p>
        </w:tc>
      </w:tr>
      <w:tr w:rsidR="00236B6D" w:rsidRPr="005A24F5" w14:paraId="699B4740"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1304EB55"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Новгородская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3EC4CBFC"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2437</w:t>
            </w:r>
          </w:p>
        </w:tc>
        <w:tc>
          <w:tcPr>
            <w:tcW w:w="987" w:type="pct"/>
            <w:tcBorders>
              <w:top w:val="single" w:sz="4" w:space="0" w:color="auto"/>
              <w:left w:val="single" w:sz="4" w:space="0" w:color="auto"/>
              <w:bottom w:val="single" w:sz="4" w:space="0" w:color="auto"/>
              <w:right w:val="single" w:sz="4" w:space="0" w:color="auto"/>
            </w:tcBorders>
            <w:vAlign w:val="center"/>
          </w:tcPr>
          <w:p w14:paraId="1ED24D8D"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2 491</w:t>
            </w:r>
          </w:p>
        </w:tc>
        <w:tc>
          <w:tcPr>
            <w:tcW w:w="987" w:type="pct"/>
            <w:tcBorders>
              <w:top w:val="single" w:sz="4" w:space="0" w:color="auto"/>
              <w:left w:val="single" w:sz="4" w:space="0" w:color="auto"/>
              <w:bottom w:val="single" w:sz="4" w:space="0" w:color="auto"/>
              <w:right w:val="single" w:sz="4" w:space="0" w:color="auto"/>
            </w:tcBorders>
            <w:vAlign w:val="center"/>
          </w:tcPr>
          <w:p w14:paraId="04F5ED3F"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2 516</w:t>
            </w:r>
          </w:p>
        </w:tc>
      </w:tr>
      <w:tr w:rsidR="00236B6D" w:rsidRPr="005A24F5" w14:paraId="4A148FC1"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05095964"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Псковская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52B6FD76"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2730</w:t>
            </w:r>
          </w:p>
        </w:tc>
        <w:tc>
          <w:tcPr>
            <w:tcW w:w="987" w:type="pct"/>
            <w:tcBorders>
              <w:top w:val="single" w:sz="4" w:space="0" w:color="auto"/>
              <w:left w:val="single" w:sz="4" w:space="0" w:color="auto"/>
              <w:bottom w:val="single" w:sz="4" w:space="0" w:color="auto"/>
              <w:right w:val="single" w:sz="4" w:space="0" w:color="auto"/>
            </w:tcBorders>
            <w:vAlign w:val="center"/>
          </w:tcPr>
          <w:p w14:paraId="5126712E"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2 841</w:t>
            </w:r>
          </w:p>
        </w:tc>
        <w:tc>
          <w:tcPr>
            <w:tcW w:w="987" w:type="pct"/>
            <w:tcBorders>
              <w:top w:val="single" w:sz="4" w:space="0" w:color="auto"/>
              <w:left w:val="single" w:sz="4" w:space="0" w:color="auto"/>
              <w:bottom w:val="single" w:sz="4" w:space="0" w:color="auto"/>
              <w:right w:val="single" w:sz="4" w:space="0" w:color="auto"/>
            </w:tcBorders>
            <w:vAlign w:val="center"/>
          </w:tcPr>
          <w:p w14:paraId="4AD0DF55"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2 936</w:t>
            </w:r>
          </w:p>
        </w:tc>
      </w:tr>
      <w:tr w:rsidR="00236B6D" w:rsidRPr="005A24F5" w14:paraId="2940A1F1"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11DBAAB8"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г. Санкт-Петербург</w:t>
            </w:r>
          </w:p>
        </w:tc>
        <w:tc>
          <w:tcPr>
            <w:tcW w:w="987" w:type="pct"/>
            <w:tcBorders>
              <w:top w:val="single" w:sz="4" w:space="0" w:color="auto"/>
              <w:left w:val="single" w:sz="4" w:space="0" w:color="auto"/>
              <w:bottom w:val="single" w:sz="4" w:space="0" w:color="auto"/>
              <w:right w:val="single" w:sz="4" w:space="0" w:color="auto"/>
            </w:tcBorders>
            <w:vAlign w:val="center"/>
          </w:tcPr>
          <w:p w14:paraId="333112E3"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19113</w:t>
            </w:r>
          </w:p>
        </w:tc>
        <w:tc>
          <w:tcPr>
            <w:tcW w:w="987" w:type="pct"/>
            <w:tcBorders>
              <w:top w:val="single" w:sz="4" w:space="0" w:color="auto"/>
              <w:left w:val="single" w:sz="4" w:space="0" w:color="auto"/>
              <w:bottom w:val="single" w:sz="4" w:space="0" w:color="auto"/>
              <w:right w:val="single" w:sz="4" w:space="0" w:color="auto"/>
            </w:tcBorders>
            <w:vAlign w:val="center"/>
          </w:tcPr>
          <w:p w14:paraId="7CAE5139"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21 001</w:t>
            </w:r>
          </w:p>
        </w:tc>
        <w:tc>
          <w:tcPr>
            <w:tcW w:w="987" w:type="pct"/>
            <w:tcBorders>
              <w:top w:val="single" w:sz="4" w:space="0" w:color="auto"/>
              <w:left w:val="single" w:sz="4" w:space="0" w:color="auto"/>
              <w:bottom w:val="single" w:sz="4" w:space="0" w:color="auto"/>
              <w:right w:val="single" w:sz="4" w:space="0" w:color="auto"/>
            </w:tcBorders>
            <w:vAlign w:val="center"/>
          </w:tcPr>
          <w:p w14:paraId="466EF1D7"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22 751</w:t>
            </w:r>
          </w:p>
        </w:tc>
      </w:tr>
      <w:tr w:rsidR="00236B6D" w:rsidRPr="005A24F5" w14:paraId="4D5F4760"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2F91766A" w14:textId="77777777" w:rsidR="00236B6D" w:rsidRPr="005A24F5" w:rsidRDefault="00236B6D" w:rsidP="00236B6D">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b/>
                <w:sz w:val="24"/>
                <w:szCs w:val="24"/>
                <w:lang w:eastAsia="ru-RU"/>
              </w:rPr>
              <w:t>Южный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14:paraId="7A788E81" w14:textId="77777777" w:rsidR="00236B6D" w:rsidRPr="005A24F5" w:rsidRDefault="00236B6D" w:rsidP="00236B6D">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65307</w:t>
            </w:r>
          </w:p>
        </w:tc>
        <w:tc>
          <w:tcPr>
            <w:tcW w:w="987" w:type="pct"/>
            <w:tcBorders>
              <w:top w:val="single" w:sz="4" w:space="0" w:color="auto"/>
              <w:left w:val="single" w:sz="4" w:space="0" w:color="auto"/>
              <w:bottom w:val="single" w:sz="4" w:space="0" w:color="auto"/>
              <w:right w:val="single" w:sz="4" w:space="0" w:color="auto"/>
            </w:tcBorders>
            <w:vAlign w:val="center"/>
          </w:tcPr>
          <w:p w14:paraId="7DFFEE6F" w14:textId="77777777" w:rsidR="00236B6D" w:rsidRPr="005A24F5" w:rsidRDefault="00236B6D" w:rsidP="00236B6D">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67 616</w:t>
            </w:r>
          </w:p>
        </w:tc>
        <w:tc>
          <w:tcPr>
            <w:tcW w:w="987" w:type="pct"/>
            <w:tcBorders>
              <w:top w:val="single" w:sz="4" w:space="0" w:color="auto"/>
              <w:left w:val="single" w:sz="4" w:space="0" w:color="auto"/>
              <w:bottom w:val="single" w:sz="4" w:space="0" w:color="auto"/>
              <w:right w:val="single" w:sz="4" w:space="0" w:color="auto"/>
            </w:tcBorders>
            <w:vAlign w:val="center"/>
          </w:tcPr>
          <w:p w14:paraId="5E6B1707" w14:textId="77777777" w:rsidR="00236B6D" w:rsidRPr="006C2427" w:rsidRDefault="00236B6D" w:rsidP="00236B6D">
            <w:pPr>
              <w:spacing w:after="0" w:line="240" w:lineRule="auto"/>
              <w:jc w:val="center"/>
              <w:rPr>
                <w:rFonts w:ascii="Times New Roman" w:eastAsia="Times New Roman" w:hAnsi="Times New Roman" w:cs="Times New Roman"/>
                <w:b/>
                <w:color w:val="000000" w:themeColor="text1"/>
                <w:sz w:val="24"/>
                <w:szCs w:val="24"/>
              </w:rPr>
            </w:pPr>
            <w:r w:rsidRPr="006C2427">
              <w:rPr>
                <w:rFonts w:ascii="Times New Roman" w:eastAsia="Times New Roman" w:hAnsi="Times New Roman" w:cs="Times New Roman"/>
                <w:b/>
                <w:color w:val="000000" w:themeColor="text1"/>
                <w:sz w:val="24"/>
                <w:szCs w:val="24"/>
              </w:rPr>
              <w:t>70 300</w:t>
            </w:r>
          </w:p>
        </w:tc>
      </w:tr>
      <w:tr w:rsidR="00236B6D" w:rsidRPr="005A24F5" w14:paraId="65205D3F"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5B4213ED" w14:textId="77777777" w:rsidR="00236B6D" w:rsidRPr="005A24F5" w:rsidRDefault="00236B6D" w:rsidP="00236B6D">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Адыгея</w:t>
            </w:r>
          </w:p>
        </w:tc>
        <w:tc>
          <w:tcPr>
            <w:tcW w:w="987" w:type="pct"/>
            <w:tcBorders>
              <w:top w:val="single" w:sz="4" w:space="0" w:color="auto"/>
              <w:left w:val="single" w:sz="4" w:space="0" w:color="auto"/>
              <w:bottom w:val="single" w:sz="4" w:space="0" w:color="auto"/>
              <w:right w:val="single" w:sz="4" w:space="0" w:color="auto"/>
            </w:tcBorders>
            <w:vAlign w:val="center"/>
          </w:tcPr>
          <w:p w14:paraId="11035413"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1753</w:t>
            </w:r>
          </w:p>
        </w:tc>
        <w:tc>
          <w:tcPr>
            <w:tcW w:w="987" w:type="pct"/>
            <w:tcBorders>
              <w:top w:val="single" w:sz="4" w:space="0" w:color="auto"/>
              <w:left w:val="single" w:sz="4" w:space="0" w:color="auto"/>
              <w:bottom w:val="single" w:sz="4" w:space="0" w:color="auto"/>
              <w:right w:val="single" w:sz="4" w:space="0" w:color="auto"/>
            </w:tcBorders>
            <w:vAlign w:val="center"/>
          </w:tcPr>
          <w:p w14:paraId="47BD22BC"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1 781</w:t>
            </w:r>
          </w:p>
        </w:tc>
        <w:tc>
          <w:tcPr>
            <w:tcW w:w="987" w:type="pct"/>
            <w:tcBorders>
              <w:top w:val="single" w:sz="4" w:space="0" w:color="auto"/>
              <w:left w:val="single" w:sz="4" w:space="0" w:color="auto"/>
              <w:bottom w:val="single" w:sz="4" w:space="0" w:color="auto"/>
              <w:right w:val="single" w:sz="4" w:space="0" w:color="auto"/>
            </w:tcBorders>
            <w:vAlign w:val="center"/>
          </w:tcPr>
          <w:p w14:paraId="3DEA6B3A"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1 829</w:t>
            </w:r>
          </w:p>
        </w:tc>
      </w:tr>
      <w:tr w:rsidR="00236B6D" w:rsidRPr="005A24F5" w14:paraId="2403D265"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25A6172D" w14:textId="77777777" w:rsidR="00236B6D" w:rsidRPr="005A24F5" w:rsidRDefault="00236B6D" w:rsidP="00236B6D">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Калмыкия</w:t>
            </w:r>
          </w:p>
        </w:tc>
        <w:tc>
          <w:tcPr>
            <w:tcW w:w="987" w:type="pct"/>
            <w:tcBorders>
              <w:top w:val="single" w:sz="4" w:space="0" w:color="auto"/>
              <w:left w:val="single" w:sz="4" w:space="0" w:color="auto"/>
              <w:bottom w:val="single" w:sz="4" w:space="0" w:color="auto"/>
              <w:right w:val="single" w:sz="4" w:space="0" w:color="auto"/>
            </w:tcBorders>
            <w:vAlign w:val="center"/>
          </w:tcPr>
          <w:p w14:paraId="6FD3D24A"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1688</w:t>
            </w:r>
          </w:p>
        </w:tc>
        <w:tc>
          <w:tcPr>
            <w:tcW w:w="987" w:type="pct"/>
            <w:tcBorders>
              <w:top w:val="single" w:sz="4" w:space="0" w:color="auto"/>
              <w:left w:val="single" w:sz="4" w:space="0" w:color="auto"/>
              <w:bottom w:val="single" w:sz="4" w:space="0" w:color="auto"/>
              <w:right w:val="single" w:sz="4" w:space="0" w:color="auto"/>
            </w:tcBorders>
            <w:vAlign w:val="center"/>
          </w:tcPr>
          <w:p w14:paraId="2C3762E3"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1 650</w:t>
            </w:r>
          </w:p>
        </w:tc>
        <w:tc>
          <w:tcPr>
            <w:tcW w:w="987" w:type="pct"/>
            <w:tcBorders>
              <w:top w:val="single" w:sz="4" w:space="0" w:color="auto"/>
              <w:left w:val="single" w:sz="4" w:space="0" w:color="auto"/>
              <w:bottom w:val="single" w:sz="4" w:space="0" w:color="auto"/>
              <w:right w:val="single" w:sz="4" w:space="0" w:color="auto"/>
            </w:tcBorders>
            <w:vAlign w:val="center"/>
          </w:tcPr>
          <w:p w14:paraId="63D957A2"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1 647</w:t>
            </w:r>
          </w:p>
        </w:tc>
      </w:tr>
      <w:tr w:rsidR="00236B6D" w:rsidRPr="005A24F5" w14:paraId="26FDE485"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41AB3FC9" w14:textId="77777777" w:rsidR="00236B6D" w:rsidRPr="005A24F5" w:rsidRDefault="00236B6D" w:rsidP="00236B6D">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Крым</w:t>
            </w:r>
          </w:p>
        </w:tc>
        <w:tc>
          <w:tcPr>
            <w:tcW w:w="987" w:type="pct"/>
            <w:tcBorders>
              <w:top w:val="single" w:sz="4" w:space="0" w:color="auto"/>
              <w:left w:val="single" w:sz="4" w:space="0" w:color="auto"/>
              <w:bottom w:val="single" w:sz="4" w:space="0" w:color="auto"/>
              <w:right w:val="single" w:sz="4" w:space="0" w:color="auto"/>
            </w:tcBorders>
            <w:vAlign w:val="center"/>
          </w:tcPr>
          <w:p w14:paraId="61BAECB7"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6892</w:t>
            </w:r>
          </w:p>
        </w:tc>
        <w:tc>
          <w:tcPr>
            <w:tcW w:w="987" w:type="pct"/>
            <w:tcBorders>
              <w:top w:val="single" w:sz="4" w:space="0" w:color="auto"/>
              <w:left w:val="single" w:sz="4" w:space="0" w:color="auto"/>
              <w:bottom w:val="single" w:sz="4" w:space="0" w:color="auto"/>
              <w:right w:val="single" w:sz="4" w:space="0" w:color="auto"/>
            </w:tcBorders>
            <w:vAlign w:val="center"/>
          </w:tcPr>
          <w:p w14:paraId="5B181B7E"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7 185</w:t>
            </w:r>
          </w:p>
        </w:tc>
        <w:tc>
          <w:tcPr>
            <w:tcW w:w="987" w:type="pct"/>
            <w:tcBorders>
              <w:top w:val="single" w:sz="4" w:space="0" w:color="auto"/>
              <w:left w:val="single" w:sz="4" w:space="0" w:color="auto"/>
              <w:bottom w:val="single" w:sz="4" w:space="0" w:color="auto"/>
              <w:right w:val="single" w:sz="4" w:space="0" w:color="auto"/>
            </w:tcBorders>
            <w:vAlign w:val="center"/>
          </w:tcPr>
          <w:p w14:paraId="46E3AA02"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7 029</w:t>
            </w:r>
          </w:p>
        </w:tc>
      </w:tr>
      <w:tr w:rsidR="00236B6D" w:rsidRPr="005A24F5" w14:paraId="797BEC0E"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75349B54" w14:textId="77777777" w:rsidR="00236B6D" w:rsidRPr="005A24F5" w:rsidRDefault="00236B6D" w:rsidP="00236B6D">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Краснодарский край</w:t>
            </w:r>
          </w:p>
        </w:tc>
        <w:tc>
          <w:tcPr>
            <w:tcW w:w="987" w:type="pct"/>
            <w:tcBorders>
              <w:top w:val="single" w:sz="4" w:space="0" w:color="auto"/>
              <w:left w:val="single" w:sz="4" w:space="0" w:color="auto"/>
              <w:bottom w:val="single" w:sz="4" w:space="0" w:color="auto"/>
              <w:right w:val="single" w:sz="4" w:space="0" w:color="auto"/>
            </w:tcBorders>
            <w:vAlign w:val="center"/>
          </w:tcPr>
          <w:p w14:paraId="7E37DD9F"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26866</w:t>
            </w:r>
          </w:p>
        </w:tc>
        <w:tc>
          <w:tcPr>
            <w:tcW w:w="987" w:type="pct"/>
            <w:tcBorders>
              <w:top w:val="single" w:sz="4" w:space="0" w:color="auto"/>
              <w:left w:val="single" w:sz="4" w:space="0" w:color="auto"/>
              <w:bottom w:val="single" w:sz="4" w:space="0" w:color="auto"/>
              <w:right w:val="single" w:sz="4" w:space="0" w:color="auto"/>
            </w:tcBorders>
            <w:vAlign w:val="center"/>
          </w:tcPr>
          <w:p w14:paraId="403E238F"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28 181</w:t>
            </w:r>
          </w:p>
        </w:tc>
        <w:tc>
          <w:tcPr>
            <w:tcW w:w="987" w:type="pct"/>
            <w:tcBorders>
              <w:top w:val="single" w:sz="4" w:space="0" w:color="auto"/>
              <w:left w:val="single" w:sz="4" w:space="0" w:color="auto"/>
              <w:bottom w:val="single" w:sz="4" w:space="0" w:color="auto"/>
              <w:right w:val="single" w:sz="4" w:space="0" w:color="auto"/>
            </w:tcBorders>
            <w:vAlign w:val="center"/>
          </w:tcPr>
          <w:p w14:paraId="2AE6F619"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30 105</w:t>
            </w:r>
          </w:p>
        </w:tc>
      </w:tr>
      <w:tr w:rsidR="00236B6D" w:rsidRPr="005A24F5" w14:paraId="203D4843"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221BC029" w14:textId="77777777" w:rsidR="00236B6D" w:rsidRPr="005A24F5" w:rsidRDefault="00236B6D" w:rsidP="00236B6D">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Астраханская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1DA7AE1A"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4069</w:t>
            </w:r>
          </w:p>
        </w:tc>
        <w:tc>
          <w:tcPr>
            <w:tcW w:w="987" w:type="pct"/>
            <w:tcBorders>
              <w:top w:val="single" w:sz="4" w:space="0" w:color="auto"/>
              <w:left w:val="single" w:sz="4" w:space="0" w:color="auto"/>
              <w:bottom w:val="single" w:sz="4" w:space="0" w:color="auto"/>
              <w:right w:val="single" w:sz="4" w:space="0" w:color="auto"/>
            </w:tcBorders>
            <w:vAlign w:val="center"/>
          </w:tcPr>
          <w:p w14:paraId="44CEE0AE"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4 212</w:t>
            </w:r>
          </w:p>
        </w:tc>
        <w:tc>
          <w:tcPr>
            <w:tcW w:w="987" w:type="pct"/>
            <w:tcBorders>
              <w:top w:val="single" w:sz="4" w:space="0" w:color="auto"/>
              <w:left w:val="single" w:sz="4" w:space="0" w:color="auto"/>
              <w:bottom w:val="single" w:sz="4" w:space="0" w:color="auto"/>
              <w:right w:val="single" w:sz="4" w:space="0" w:color="auto"/>
            </w:tcBorders>
            <w:vAlign w:val="center"/>
          </w:tcPr>
          <w:p w14:paraId="4F8E46C1"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4 413</w:t>
            </w:r>
          </w:p>
        </w:tc>
      </w:tr>
      <w:tr w:rsidR="00236B6D" w:rsidRPr="005A24F5" w14:paraId="1045118B"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6A09E643" w14:textId="77777777" w:rsidR="00236B6D" w:rsidRPr="005A24F5" w:rsidRDefault="00236B6D" w:rsidP="00236B6D">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Волгоградская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18D393D3"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8564</w:t>
            </w:r>
          </w:p>
        </w:tc>
        <w:tc>
          <w:tcPr>
            <w:tcW w:w="987" w:type="pct"/>
            <w:tcBorders>
              <w:top w:val="single" w:sz="4" w:space="0" w:color="auto"/>
              <w:left w:val="single" w:sz="4" w:space="0" w:color="auto"/>
              <w:bottom w:val="single" w:sz="4" w:space="0" w:color="auto"/>
              <w:right w:val="single" w:sz="4" w:space="0" w:color="auto"/>
            </w:tcBorders>
            <w:vAlign w:val="center"/>
          </w:tcPr>
          <w:p w14:paraId="07DAC652"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8 641</w:t>
            </w:r>
          </w:p>
        </w:tc>
        <w:tc>
          <w:tcPr>
            <w:tcW w:w="987" w:type="pct"/>
            <w:tcBorders>
              <w:top w:val="single" w:sz="4" w:space="0" w:color="auto"/>
              <w:left w:val="single" w:sz="4" w:space="0" w:color="auto"/>
              <w:bottom w:val="single" w:sz="4" w:space="0" w:color="auto"/>
              <w:right w:val="single" w:sz="4" w:space="0" w:color="auto"/>
            </w:tcBorders>
            <w:vAlign w:val="center"/>
          </w:tcPr>
          <w:p w14:paraId="6EF6E1E5"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8 827</w:t>
            </w:r>
          </w:p>
        </w:tc>
      </w:tr>
      <w:tr w:rsidR="00236B6D" w:rsidRPr="005A24F5" w14:paraId="78EA45F2"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44BEC502" w14:textId="77777777" w:rsidR="00236B6D" w:rsidRPr="005A24F5" w:rsidRDefault="00236B6D" w:rsidP="00236B6D">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Ростовская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6598AA73"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13959</w:t>
            </w:r>
          </w:p>
        </w:tc>
        <w:tc>
          <w:tcPr>
            <w:tcW w:w="987" w:type="pct"/>
            <w:tcBorders>
              <w:top w:val="single" w:sz="4" w:space="0" w:color="auto"/>
              <w:left w:val="single" w:sz="4" w:space="0" w:color="auto"/>
              <w:bottom w:val="single" w:sz="4" w:space="0" w:color="auto"/>
              <w:right w:val="single" w:sz="4" w:space="0" w:color="auto"/>
            </w:tcBorders>
            <w:vAlign w:val="center"/>
          </w:tcPr>
          <w:p w14:paraId="2CCFFDFB"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14 365</w:t>
            </w:r>
          </w:p>
        </w:tc>
        <w:tc>
          <w:tcPr>
            <w:tcW w:w="987" w:type="pct"/>
            <w:tcBorders>
              <w:top w:val="single" w:sz="4" w:space="0" w:color="auto"/>
              <w:left w:val="single" w:sz="4" w:space="0" w:color="auto"/>
              <w:bottom w:val="single" w:sz="4" w:space="0" w:color="auto"/>
              <w:right w:val="single" w:sz="4" w:space="0" w:color="auto"/>
            </w:tcBorders>
            <w:vAlign w:val="center"/>
          </w:tcPr>
          <w:p w14:paraId="424F57DB"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14 786</w:t>
            </w:r>
          </w:p>
        </w:tc>
      </w:tr>
      <w:tr w:rsidR="00236B6D" w:rsidRPr="005A24F5" w14:paraId="66E07812"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4E8A4980" w14:textId="77777777" w:rsidR="00236B6D" w:rsidRPr="005A24F5" w:rsidRDefault="00236B6D" w:rsidP="00236B6D">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г. Севастополь</w:t>
            </w:r>
          </w:p>
        </w:tc>
        <w:tc>
          <w:tcPr>
            <w:tcW w:w="987" w:type="pct"/>
            <w:tcBorders>
              <w:top w:val="single" w:sz="4" w:space="0" w:color="auto"/>
              <w:left w:val="single" w:sz="4" w:space="0" w:color="auto"/>
              <w:bottom w:val="single" w:sz="4" w:space="0" w:color="auto"/>
              <w:right w:val="single" w:sz="4" w:space="0" w:color="auto"/>
            </w:tcBorders>
            <w:vAlign w:val="center"/>
          </w:tcPr>
          <w:p w14:paraId="2A32A59E"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1516</w:t>
            </w:r>
          </w:p>
        </w:tc>
        <w:tc>
          <w:tcPr>
            <w:tcW w:w="987" w:type="pct"/>
            <w:tcBorders>
              <w:top w:val="single" w:sz="4" w:space="0" w:color="auto"/>
              <w:left w:val="single" w:sz="4" w:space="0" w:color="auto"/>
              <w:bottom w:val="single" w:sz="4" w:space="0" w:color="auto"/>
              <w:right w:val="single" w:sz="4" w:space="0" w:color="auto"/>
            </w:tcBorders>
            <w:vAlign w:val="center"/>
          </w:tcPr>
          <w:p w14:paraId="74086A5F"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1 601</w:t>
            </w:r>
          </w:p>
        </w:tc>
        <w:tc>
          <w:tcPr>
            <w:tcW w:w="987" w:type="pct"/>
            <w:tcBorders>
              <w:top w:val="single" w:sz="4" w:space="0" w:color="auto"/>
              <w:left w:val="single" w:sz="4" w:space="0" w:color="auto"/>
              <w:bottom w:val="single" w:sz="4" w:space="0" w:color="auto"/>
              <w:right w:val="single" w:sz="4" w:space="0" w:color="auto"/>
            </w:tcBorders>
            <w:vAlign w:val="center"/>
          </w:tcPr>
          <w:p w14:paraId="01E5C5C3"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1 664</w:t>
            </w:r>
          </w:p>
        </w:tc>
      </w:tr>
      <w:tr w:rsidR="00236B6D" w:rsidRPr="005A24F5" w14:paraId="5DD357CA"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4C6B2727" w14:textId="77777777" w:rsidR="00236B6D" w:rsidRPr="005A24F5" w:rsidRDefault="00236B6D" w:rsidP="00236B6D">
            <w:pPr>
              <w:spacing w:after="0" w:line="240" w:lineRule="auto"/>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Северо-Кавказский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14:paraId="45C9E121" w14:textId="77777777" w:rsidR="00236B6D" w:rsidRPr="005A24F5" w:rsidRDefault="00236B6D" w:rsidP="00236B6D">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146617</w:t>
            </w:r>
          </w:p>
        </w:tc>
        <w:tc>
          <w:tcPr>
            <w:tcW w:w="987" w:type="pct"/>
            <w:tcBorders>
              <w:top w:val="single" w:sz="4" w:space="0" w:color="auto"/>
              <w:left w:val="single" w:sz="4" w:space="0" w:color="auto"/>
              <w:bottom w:val="single" w:sz="4" w:space="0" w:color="auto"/>
              <w:right w:val="single" w:sz="4" w:space="0" w:color="auto"/>
            </w:tcBorders>
            <w:vAlign w:val="center"/>
          </w:tcPr>
          <w:p w14:paraId="6CCE8048" w14:textId="77777777" w:rsidR="00236B6D" w:rsidRPr="005A24F5" w:rsidRDefault="00236B6D" w:rsidP="00236B6D">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148 176</w:t>
            </w:r>
          </w:p>
        </w:tc>
        <w:tc>
          <w:tcPr>
            <w:tcW w:w="987" w:type="pct"/>
            <w:tcBorders>
              <w:top w:val="single" w:sz="4" w:space="0" w:color="auto"/>
              <w:left w:val="single" w:sz="4" w:space="0" w:color="auto"/>
              <w:bottom w:val="single" w:sz="4" w:space="0" w:color="auto"/>
              <w:right w:val="single" w:sz="4" w:space="0" w:color="auto"/>
            </w:tcBorders>
            <w:vAlign w:val="center"/>
          </w:tcPr>
          <w:p w14:paraId="491C4D6E" w14:textId="77777777" w:rsidR="00236B6D" w:rsidRPr="006C2427" w:rsidRDefault="00236B6D" w:rsidP="00236B6D">
            <w:pPr>
              <w:spacing w:after="0" w:line="240" w:lineRule="auto"/>
              <w:jc w:val="center"/>
              <w:rPr>
                <w:rFonts w:ascii="Times New Roman" w:eastAsia="Times New Roman" w:hAnsi="Times New Roman" w:cs="Times New Roman"/>
                <w:b/>
                <w:color w:val="000000" w:themeColor="text1"/>
                <w:sz w:val="24"/>
                <w:szCs w:val="24"/>
              </w:rPr>
            </w:pPr>
            <w:r w:rsidRPr="006C2427">
              <w:rPr>
                <w:rFonts w:ascii="Times New Roman" w:eastAsia="Times New Roman" w:hAnsi="Times New Roman" w:cs="Times New Roman"/>
                <w:b/>
                <w:color w:val="000000" w:themeColor="text1"/>
                <w:sz w:val="24"/>
                <w:szCs w:val="24"/>
              </w:rPr>
              <w:t>148 368</w:t>
            </w:r>
          </w:p>
        </w:tc>
      </w:tr>
      <w:tr w:rsidR="00236B6D" w:rsidRPr="005A24F5" w14:paraId="741FD18F"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0FDBD0A1" w14:textId="77777777" w:rsidR="00236B6D" w:rsidRPr="005A24F5" w:rsidRDefault="00236B6D" w:rsidP="00236B6D">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Дагестан</w:t>
            </w:r>
          </w:p>
        </w:tc>
        <w:tc>
          <w:tcPr>
            <w:tcW w:w="987" w:type="pct"/>
            <w:tcBorders>
              <w:top w:val="single" w:sz="4" w:space="0" w:color="auto"/>
              <w:left w:val="single" w:sz="4" w:space="0" w:color="auto"/>
              <w:bottom w:val="single" w:sz="4" w:space="0" w:color="auto"/>
              <w:right w:val="single" w:sz="4" w:space="0" w:color="auto"/>
            </w:tcBorders>
            <w:vAlign w:val="center"/>
          </w:tcPr>
          <w:p w14:paraId="7EDF67B5"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42824</w:t>
            </w:r>
          </w:p>
        </w:tc>
        <w:tc>
          <w:tcPr>
            <w:tcW w:w="987" w:type="pct"/>
            <w:tcBorders>
              <w:top w:val="single" w:sz="4" w:space="0" w:color="auto"/>
              <w:left w:val="single" w:sz="4" w:space="0" w:color="auto"/>
              <w:bottom w:val="single" w:sz="4" w:space="0" w:color="auto"/>
              <w:right w:val="single" w:sz="4" w:space="0" w:color="auto"/>
            </w:tcBorders>
            <w:vAlign w:val="center"/>
          </w:tcPr>
          <w:p w14:paraId="5B9A85EF"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43 082</w:t>
            </w:r>
          </w:p>
        </w:tc>
        <w:tc>
          <w:tcPr>
            <w:tcW w:w="987" w:type="pct"/>
            <w:tcBorders>
              <w:top w:val="single" w:sz="4" w:space="0" w:color="auto"/>
              <w:left w:val="single" w:sz="4" w:space="0" w:color="auto"/>
              <w:bottom w:val="single" w:sz="4" w:space="0" w:color="auto"/>
              <w:right w:val="single" w:sz="4" w:space="0" w:color="auto"/>
            </w:tcBorders>
            <w:vAlign w:val="center"/>
          </w:tcPr>
          <w:p w14:paraId="52111357"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43 222</w:t>
            </w:r>
          </w:p>
        </w:tc>
      </w:tr>
      <w:tr w:rsidR="00236B6D" w:rsidRPr="005A24F5" w14:paraId="24313CDC"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03B75CCE" w14:textId="77777777" w:rsidR="00236B6D" w:rsidRPr="005A24F5" w:rsidRDefault="00236B6D" w:rsidP="00236B6D">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Ингушетия</w:t>
            </w:r>
          </w:p>
        </w:tc>
        <w:tc>
          <w:tcPr>
            <w:tcW w:w="987" w:type="pct"/>
            <w:tcBorders>
              <w:top w:val="single" w:sz="4" w:space="0" w:color="auto"/>
              <w:left w:val="single" w:sz="4" w:space="0" w:color="auto"/>
              <w:bottom w:val="single" w:sz="4" w:space="0" w:color="auto"/>
              <w:right w:val="single" w:sz="4" w:space="0" w:color="auto"/>
            </w:tcBorders>
            <w:vAlign w:val="center"/>
          </w:tcPr>
          <w:p w14:paraId="2C6FF612"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15053</w:t>
            </w:r>
          </w:p>
        </w:tc>
        <w:tc>
          <w:tcPr>
            <w:tcW w:w="987" w:type="pct"/>
            <w:tcBorders>
              <w:top w:val="single" w:sz="4" w:space="0" w:color="auto"/>
              <w:left w:val="single" w:sz="4" w:space="0" w:color="auto"/>
              <w:bottom w:val="single" w:sz="4" w:space="0" w:color="auto"/>
              <w:right w:val="single" w:sz="4" w:space="0" w:color="auto"/>
            </w:tcBorders>
            <w:vAlign w:val="center"/>
          </w:tcPr>
          <w:p w14:paraId="5E3FE2F5"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15 260</w:t>
            </w:r>
          </w:p>
        </w:tc>
        <w:tc>
          <w:tcPr>
            <w:tcW w:w="987" w:type="pct"/>
            <w:tcBorders>
              <w:top w:val="single" w:sz="4" w:space="0" w:color="auto"/>
              <w:left w:val="single" w:sz="4" w:space="0" w:color="auto"/>
              <w:bottom w:val="single" w:sz="4" w:space="0" w:color="auto"/>
              <w:right w:val="single" w:sz="4" w:space="0" w:color="auto"/>
            </w:tcBorders>
            <w:vAlign w:val="center"/>
          </w:tcPr>
          <w:p w14:paraId="53F2C9B6"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15 256</w:t>
            </w:r>
          </w:p>
        </w:tc>
      </w:tr>
      <w:tr w:rsidR="00236B6D" w:rsidRPr="005A24F5" w14:paraId="00F27721"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0FF8936D" w14:textId="77777777" w:rsidR="00236B6D" w:rsidRPr="005A24F5" w:rsidRDefault="00236B6D" w:rsidP="00236B6D">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Кабардино-Балкарская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14:paraId="4E3C655C"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4701</w:t>
            </w:r>
          </w:p>
        </w:tc>
        <w:tc>
          <w:tcPr>
            <w:tcW w:w="987" w:type="pct"/>
            <w:tcBorders>
              <w:top w:val="single" w:sz="4" w:space="0" w:color="auto"/>
              <w:left w:val="single" w:sz="4" w:space="0" w:color="auto"/>
              <w:bottom w:val="single" w:sz="4" w:space="0" w:color="auto"/>
              <w:right w:val="single" w:sz="4" w:space="0" w:color="auto"/>
            </w:tcBorders>
            <w:vAlign w:val="center"/>
          </w:tcPr>
          <w:p w14:paraId="7E094D10"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4 801</w:t>
            </w:r>
          </w:p>
        </w:tc>
        <w:tc>
          <w:tcPr>
            <w:tcW w:w="987" w:type="pct"/>
            <w:tcBorders>
              <w:top w:val="single" w:sz="4" w:space="0" w:color="auto"/>
              <w:left w:val="single" w:sz="4" w:space="0" w:color="auto"/>
              <w:bottom w:val="single" w:sz="4" w:space="0" w:color="auto"/>
              <w:right w:val="single" w:sz="4" w:space="0" w:color="auto"/>
            </w:tcBorders>
            <w:vAlign w:val="center"/>
          </w:tcPr>
          <w:p w14:paraId="45DE6C6D"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4 946</w:t>
            </w:r>
          </w:p>
        </w:tc>
      </w:tr>
      <w:tr w:rsidR="00236B6D" w:rsidRPr="005A24F5" w14:paraId="1DC28E27"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70D0E52F" w14:textId="77777777" w:rsidR="00236B6D" w:rsidRPr="005A24F5" w:rsidRDefault="00236B6D" w:rsidP="00236B6D">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Карачаево-Черкесская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14:paraId="18F51EC2"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3795</w:t>
            </w:r>
          </w:p>
        </w:tc>
        <w:tc>
          <w:tcPr>
            <w:tcW w:w="987" w:type="pct"/>
            <w:tcBorders>
              <w:top w:val="single" w:sz="4" w:space="0" w:color="auto"/>
              <w:left w:val="single" w:sz="4" w:space="0" w:color="auto"/>
              <w:bottom w:val="single" w:sz="4" w:space="0" w:color="auto"/>
              <w:right w:val="single" w:sz="4" w:space="0" w:color="auto"/>
            </w:tcBorders>
            <w:vAlign w:val="center"/>
          </w:tcPr>
          <w:p w14:paraId="0EA9C009"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3 841</w:t>
            </w:r>
          </w:p>
        </w:tc>
        <w:tc>
          <w:tcPr>
            <w:tcW w:w="987" w:type="pct"/>
            <w:tcBorders>
              <w:top w:val="single" w:sz="4" w:space="0" w:color="auto"/>
              <w:left w:val="single" w:sz="4" w:space="0" w:color="auto"/>
              <w:bottom w:val="single" w:sz="4" w:space="0" w:color="auto"/>
              <w:right w:val="single" w:sz="4" w:space="0" w:color="auto"/>
            </w:tcBorders>
            <w:vAlign w:val="center"/>
          </w:tcPr>
          <w:p w14:paraId="2138DEA8"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3 930</w:t>
            </w:r>
          </w:p>
        </w:tc>
      </w:tr>
      <w:tr w:rsidR="00236B6D" w:rsidRPr="005A24F5" w14:paraId="0C549BD1"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4BD42DB5" w14:textId="77777777" w:rsidR="00236B6D" w:rsidRPr="005A24F5" w:rsidRDefault="00236B6D" w:rsidP="00236B6D">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 xml:space="preserve">Республика Северная </w:t>
            </w:r>
            <w:r w:rsidRPr="005A24F5">
              <w:rPr>
                <w:rFonts w:ascii="Times New Roman" w:eastAsia="Arial Unicode MS" w:hAnsi="Times New Roman" w:cs="Times New Roman"/>
                <w:sz w:val="24"/>
                <w:szCs w:val="24"/>
                <w:lang w:eastAsia="ru-RU"/>
              </w:rPr>
              <w:br/>
              <w:t xml:space="preserve">Осетия - Алания </w:t>
            </w:r>
          </w:p>
        </w:tc>
        <w:tc>
          <w:tcPr>
            <w:tcW w:w="987" w:type="pct"/>
            <w:tcBorders>
              <w:top w:val="single" w:sz="4" w:space="0" w:color="auto"/>
              <w:left w:val="single" w:sz="4" w:space="0" w:color="auto"/>
              <w:bottom w:val="single" w:sz="4" w:space="0" w:color="auto"/>
              <w:right w:val="single" w:sz="4" w:space="0" w:color="auto"/>
            </w:tcBorders>
            <w:vAlign w:val="center"/>
          </w:tcPr>
          <w:p w14:paraId="25EA53CB"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2497</w:t>
            </w:r>
          </w:p>
        </w:tc>
        <w:tc>
          <w:tcPr>
            <w:tcW w:w="987" w:type="pct"/>
            <w:tcBorders>
              <w:top w:val="single" w:sz="4" w:space="0" w:color="auto"/>
              <w:left w:val="single" w:sz="4" w:space="0" w:color="auto"/>
              <w:bottom w:val="single" w:sz="4" w:space="0" w:color="auto"/>
              <w:right w:val="single" w:sz="4" w:space="0" w:color="auto"/>
            </w:tcBorders>
            <w:vAlign w:val="center"/>
          </w:tcPr>
          <w:p w14:paraId="299D60D3"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1 864</w:t>
            </w:r>
          </w:p>
        </w:tc>
        <w:tc>
          <w:tcPr>
            <w:tcW w:w="987" w:type="pct"/>
            <w:tcBorders>
              <w:top w:val="single" w:sz="4" w:space="0" w:color="auto"/>
              <w:left w:val="single" w:sz="4" w:space="0" w:color="auto"/>
              <w:bottom w:val="single" w:sz="4" w:space="0" w:color="auto"/>
              <w:right w:val="single" w:sz="4" w:space="0" w:color="auto"/>
            </w:tcBorders>
            <w:vAlign w:val="center"/>
          </w:tcPr>
          <w:p w14:paraId="15983C79"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1 636</w:t>
            </w:r>
          </w:p>
        </w:tc>
      </w:tr>
      <w:tr w:rsidR="00236B6D" w:rsidRPr="005A24F5" w14:paraId="20BF52C9"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24EA5AB3" w14:textId="77777777" w:rsidR="00236B6D" w:rsidRPr="005A24F5" w:rsidRDefault="00236B6D" w:rsidP="00236B6D">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Чеченская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14:paraId="4DA63A3A"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65434</w:t>
            </w:r>
          </w:p>
        </w:tc>
        <w:tc>
          <w:tcPr>
            <w:tcW w:w="987" w:type="pct"/>
            <w:tcBorders>
              <w:top w:val="single" w:sz="4" w:space="0" w:color="auto"/>
              <w:left w:val="single" w:sz="4" w:space="0" w:color="auto"/>
              <w:bottom w:val="single" w:sz="4" w:space="0" w:color="auto"/>
              <w:right w:val="single" w:sz="4" w:space="0" w:color="auto"/>
            </w:tcBorders>
            <w:vAlign w:val="center"/>
          </w:tcPr>
          <w:p w14:paraId="7D149B8F"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66 403</w:t>
            </w:r>
          </w:p>
        </w:tc>
        <w:tc>
          <w:tcPr>
            <w:tcW w:w="987" w:type="pct"/>
            <w:tcBorders>
              <w:top w:val="single" w:sz="4" w:space="0" w:color="auto"/>
              <w:left w:val="single" w:sz="4" w:space="0" w:color="auto"/>
              <w:bottom w:val="single" w:sz="4" w:space="0" w:color="auto"/>
              <w:right w:val="single" w:sz="4" w:space="0" w:color="auto"/>
            </w:tcBorders>
            <w:vAlign w:val="center"/>
          </w:tcPr>
          <w:p w14:paraId="1AA0AAA6"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65 535</w:t>
            </w:r>
          </w:p>
        </w:tc>
      </w:tr>
      <w:tr w:rsidR="00236B6D" w:rsidRPr="005A24F5" w14:paraId="7772CAE6"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66D7B080" w14:textId="77777777" w:rsidR="00236B6D" w:rsidRPr="005A24F5" w:rsidRDefault="00236B6D" w:rsidP="00236B6D">
            <w:pPr>
              <w:spacing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Ставропольский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14:paraId="7B9B0346"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12313</w:t>
            </w:r>
          </w:p>
        </w:tc>
        <w:tc>
          <w:tcPr>
            <w:tcW w:w="987" w:type="pct"/>
            <w:tcBorders>
              <w:top w:val="single" w:sz="4" w:space="0" w:color="auto"/>
              <w:left w:val="single" w:sz="4" w:space="0" w:color="auto"/>
              <w:bottom w:val="single" w:sz="4" w:space="0" w:color="auto"/>
              <w:right w:val="single" w:sz="4" w:space="0" w:color="auto"/>
            </w:tcBorders>
            <w:vAlign w:val="center"/>
          </w:tcPr>
          <w:p w14:paraId="04D9A066"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12 925</w:t>
            </w:r>
          </w:p>
        </w:tc>
        <w:tc>
          <w:tcPr>
            <w:tcW w:w="987" w:type="pct"/>
            <w:tcBorders>
              <w:top w:val="single" w:sz="4" w:space="0" w:color="auto"/>
              <w:left w:val="single" w:sz="4" w:space="0" w:color="auto"/>
              <w:bottom w:val="single" w:sz="4" w:space="0" w:color="auto"/>
              <w:right w:val="single" w:sz="4" w:space="0" w:color="auto"/>
            </w:tcBorders>
            <w:vAlign w:val="center"/>
          </w:tcPr>
          <w:p w14:paraId="2BEB2839"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13 843</w:t>
            </w:r>
          </w:p>
        </w:tc>
      </w:tr>
      <w:tr w:rsidR="00236B6D" w:rsidRPr="005A24F5" w14:paraId="3390B9D3" w14:textId="77777777" w:rsidTr="005A24F5">
        <w:trPr>
          <w:trHeight w:val="312"/>
          <w:jc w:val="center"/>
        </w:trPr>
        <w:tc>
          <w:tcPr>
            <w:tcW w:w="2039" w:type="pct"/>
            <w:tcBorders>
              <w:top w:val="single" w:sz="4" w:space="0" w:color="auto"/>
              <w:left w:val="single" w:sz="4" w:space="0" w:color="auto"/>
              <w:bottom w:val="single" w:sz="4" w:space="0" w:color="auto"/>
              <w:right w:val="single" w:sz="4" w:space="0" w:color="auto"/>
            </w:tcBorders>
            <w:vAlign w:val="bottom"/>
          </w:tcPr>
          <w:p w14:paraId="09DEE29A" w14:textId="77777777" w:rsidR="00236B6D" w:rsidRPr="005A24F5" w:rsidRDefault="00236B6D" w:rsidP="00236B6D">
            <w:pPr>
              <w:spacing w:after="0" w:line="240" w:lineRule="auto"/>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Приволжский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14:paraId="46A7E9F6" w14:textId="77777777" w:rsidR="00236B6D" w:rsidRPr="005A24F5" w:rsidRDefault="00236B6D" w:rsidP="00236B6D">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113842</w:t>
            </w:r>
          </w:p>
        </w:tc>
        <w:tc>
          <w:tcPr>
            <w:tcW w:w="987" w:type="pct"/>
            <w:tcBorders>
              <w:top w:val="single" w:sz="4" w:space="0" w:color="auto"/>
              <w:left w:val="single" w:sz="4" w:space="0" w:color="auto"/>
              <w:bottom w:val="single" w:sz="4" w:space="0" w:color="auto"/>
              <w:right w:val="single" w:sz="4" w:space="0" w:color="auto"/>
            </w:tcBorders>
            <w:vAlign w:val="center"/>
          </w:tcPr>
          <w:p w14:paraId="32C76F2A" w14:textId="77777777" w:rsidR="00236B6D" w:rsidRPr="005A24F5" w:rsidRDefault="00236B6D" w:rsidP="00236B6D">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115 948</w:t>
            </w:r>
          </w:p>
        </w:tc>
        <w:tc>
          <w:tcPr>
            <w:tcW w:w="987" w:type="pct"/>
            <w:tcBorders>
              <w:top w:val="single" w:sz="4" w:space="0" w:color="auto"/>
              <w:left w:val="single" w:sz="4" w:space="0" w:color="auto"/>
              <w:bottom w:val="single" w:sz="4" w:space="0" w:color="auto"/>
              <w:right w:val="single" w:sz="4" w:space="0" w:color="auto"/>
            </w:tcBorders>
            <w:vAlign w:val="center"/>
          </w:tcPr>
          <w:p w14:paraId="28006E35" w14:textId="77777777" w:rsidR="00236B6D" w:rsidRPr="006C2427" w:rsidRDefault="00236B6D" w:rsidP="00236B6D">
            <w:pPr>
              <w:spacing w:after="0" w:line="240" w:lineRule="auto"/>
              <w:jc w:val="center"/>
              <w:rPr>
                <w:rFonts w:ascii="Times New Roman" w:eastAsia="Times New Roman" w:hAnsi="Times New Roman" w:cs="Times New Roman"/>
                <w:b/>
                <w:color w:val="000000" w:themeColor="text1"/>
                <w:sz w:val="24"/>
                <w:szCs w:val="24"/>
              </w:rPr>
            </w:pPr>
            <w:r w:rsidRPr="006C2427">
              <w:rPr>
                <w:rFonts w:ascii="Times New Roman" w:eastAsia="Times New Roman" w:hAnsi="Times New Roman" w:cs="Times New Roman"/>
                <w:b/>
                <w:color w:val="000000" w:themeColor="text1"/>
                <w:sz w:val="24"/>
                <w:szCs w:val="24"/>
              </w:rPr>
              <w:t>120 606</w:t>
            </w:r>
          </w:p>
        </w:tc>
      </w:tr>
      <w:tr w:rsidR="00236B6D" w:rsidRPr="005A24F5" w14:paraId="4FBFDE3E"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5235B3EF"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Башкортостан</w:t>
            </w:r>
          </w:p>
        </w:tc>
        <w:tc>
          <w:tcPr>
            <w:tcW w:w="987" w:type="pct"/>
            <w:tcBorders>
              <w:top w:val="single" w:sz="4" w:space="0" w:color="auto"/>
              <w:left w:val="single" w:sz="4" w:space="0" w:color="auto"/>
              <w:bottom w:val="single" w:sz="4" w:space="0" w:color="auto"/>
              <w:right w:val="single" w:sz="4" w:space="0" w:color="auto"/>
            </w:tcBorders>
            <w:vAlign w:val="center"/>
          </w:tcPr>
          <w:p w14:paraId="7144C152"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17178</w:t>
            </w:r>
          </w:p>
        </w:tc>
        <w:tc>
          <w:tcPr>
            <w:tcW w:w="987" w:type="pct"/>
            <w:tcBorders>
              <w:top w:val="single" w:sz="4" w:space="0" w:color="auto"/>
              <w:left w:val="single" w:sz="4" w:space="0" w:color="auto"/>
              <w:bottom w:val="single" w:sz="4" w:space="0" w:color="auto"/>
              <w:right w:val="single" w:sz="4" w:space="0" w:color="auto"/>
            </w:tcBorders>
            <w:vAlign w:val="center"/>
          </w:tcPr>
          <w:p w14:paraId="75B95D66"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17 675</w:t>
            </w:r>
          </w:p>
        </w:tc>
        <w:tc>
          <w:tcPr>
            <w:tcW w:w="987" w:type="pct"/>
            <w:tcBorders>
              <w:top w:val="single" w:sz="4" w:space="0" w:color="auto"/>
              <w:left w:val="single" w:sz="4" w:space="0" w:color="auto"/>
              <w:bottom w:val="single" w:sz="4" w:space="0" w:color="auto"/>
              <w:right w:val="single" w:sz="4" w:space="0" w:color="auto"/>
            </w:tcBorders>
            <w:vAlign w:val="center"/>
          </w:tcPr>
          <w:p w14:paraId="63410092"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18 590</w:t>
            </w:r>
          </w:p>
        </w:tc>
      </w:tr>
      <w:tr w:rsidR="00236B6D" w:rsidRPr="005A24F5" w14:paraId="21928F26"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0EBDDE5F"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Марий Эл</w:t>
            </w:r>
          </w:p>
        </w:tc>
        <w:tc>
          <w:tcPr>
            <w:tcW w:w="987" w:type="pct"/>
            <w:tcBorders>
              <w:top w:val="single" w:sz="4" w:space="0" w:color="auto"/>
              <w:left w:val="single" w:sz="4" w:space="0" w:color="auto"/>
              <w:bottom w:val="single" w:sz="4" w:space="0" w:color="auto"/>
              <w:right w:val="single" w:sz="4" w:space="0" w:color="auto"/>
            </w:tcBorders>
            <w:vAlign w:val="center"/>
          </w:tcPr>
          <w:p w14:paraId="2508A0EE"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2776</w:t>
            </w:r>
          </w:p>
        </w:tc>
        <w:tc>
          <w:tcPr>
            <w:tcW w:w="987" w:type="pct"/>
            <w:tcBorders>
              <w:top w:val="single" w:sz="4" w:space="0" w:color="auto"/>
              <w:left w:val="single" w:sz="4" w:space="0" w:color="auto"/>
              <w:bottom w:val="single" w:sz="4" w:space="0" w:color="auto"/>
              <w:right w:val="single" w:sz="4" w:space="0" w:color="auto"/>
            </w:tcBorders>
            <w:vAlign w:val="center"/>
          </w:tcPr>
          <w:p w14:paraId="571289B3"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2 771</w:t>
            </w:r>
          </w:p>
        </w:tc>
        <w:tc>
          <w:tcPr>
            <w:tcW w:w="987" w:type="pct"/>
            <w:tcBorders>
              <w:top w:val="single" w:sz="4" w:space="0" w:color="auto"/>
              <w:left w:val="single" w:sz="4" w:space="0" w:color="auto"/>
              <w:bottom w:val="single" w:sz="4" w:space="0" w:color="auto"/>
              <w:right w:val="single" w:sz="4" w:space="0" w:color="auto"/>
            </w:tcBorders>
            <w:vAlign w:val="center"/>
          </w:tcPr>
          <w:p w14:paraId="7D397D8D"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2 793</w:t>
            </w:r>
          </w:p>
        </w:tc>
      </w:tr>
      <w:tr w:rsidR="00236B6D" w:rsidRPr="005A24F5" w14:paraId="31332DA1"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0E8A6146"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Мордовия</w:t>
            </w:r>
          </w:p>
        </w:tc>
        <w:tc>
          <w:tcPr>
            <w:tcW w:w="987" w:type="pct"/>
            <w:tcBorders>
              <w:top w:val="single" w:sz="4" w:space="0" w:color="auto"/>
              <w:left w:val="single" w:sz="4" w:space="0" w:color="auto"/>
              <w:bottom w:val="single" w:sz="4" w:space="0" w:color="auto"/>
              <w:right w:val="single" w:sz="4" w:space="0" w:color="auto"/>
            </w:tcBorders>
            <w:vAlign w:val="center"/>
          </w:tcPr>
          <w:p w14:paraId="6DC2844E"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2393</w:t>
            </w:r>
          </w:p>
        </w:tc>
        <w:tc>
          <w:tcPr>
            <w:tcW w:w="987" w:type="pct"/>
            <w:tcBorders>
              <w:top w:val="single" w:sz="4" w:space="0" w:color="auto"/>
              <w:left w:val="single" w:sz="4" w:space="0" w:color="auto"/>
              <w:bottom w:val="single" w:sz="4" w:space="0" w:color="auto"/>
              <w:right w:val="single" w:sz="4" w:space="0" w:color="auto"/>
            </w:tcBorders>
            <w:vAlign w:val="center"/>
          </w:tcPr>
          <w:p w14:paraId="5A5AA849"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2 453</w:t>
            </w:r>
          </w:p>
        </w:tc>
        <w:tc>
          <w:tcPr>
            <w:tcW w:w="987" w:type="pct"/>
            <w:tcBorders>
              <w:top w:val="single" w:sz="4" w:space="0" w:color="auto"/>
              <w:left w:val="single" w:sz="4" w:space="0" w:color="auto"/>
              <w:bottom w:val="single" w:sz="4" w:space="0" w:color="auto"/>
              <w:right w:val="single" w:sz="4" w:space="0" w:color="auto"/>
            </w:tcBorders>
            <w:vAlign w:val="center"/>
          </w:tcPr>
          <w:p w14:paraId="62F6CD69"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2 474</w:t>
            </w:r>
          </w:p>
        </w:tc>
      </w:tr>
      <w:tr w:rsidR="00236B6D" w:rsidRPr="005A24F5" w14:paraId="3F4DA8E8"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136A5654"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Татарстан</w:t>
            </w:r>
          </w:p>
        </w:tc>
        <w:tc>
          <w:tcPr>
            <w:tcW w:w="987" w:type="pct"/>
            <w:tcBorders>
              <w:top w:val="single" w:sz="4" w:space="0" w:color="auto"/>
              <w:left w:val="single" w:sz="4" w:space="0" w:color="auto"/>
              <w:bottom w:val="single" w:sz="4" w:space="0" w:color="auto"/>
              <w:right w:val="single" w:sz="4" w:space="0" w:color="auto"/>
            </w:tcBorders>
            <w:vAlign w:val="center"/>
          </w:tcPr>
          <w:p w14:paraId="717E8A03"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15675</w:t>
            </w:r>
          </w:p>
        </w:tc>
        <w:tc>
          <w:tcPr>
            <w:tcW w:w="987" w:type="pct"/>
            <w:tcBorders>
              <w:top w:val="single" w:sz="4" w:space="0" w:color="auto"/>
              <w:left w:val="single" w:sz="4" w:space="0" w:color="auto"/>
              <w:bottom w:val="single" w:sz="4" w:space="0" w:color="auto"/>
              <w:right w:val="single" w:sz="4" w:space="0" w:color="auto"/>
            </w:tcBorders>
            <w:vAlign w:val="center"/>
          </w:tcPr>
          <w:p w14:paraId="1E818975"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16 020</w:t>
            </w:r>
          </w:p>
        </w:tc>
        <w:tc>
          <w:tcPr>
            <w:tcW w:w="987" w:type="pct"/>
            <w:tcBorders>
              <w:top w:val="single" w:sz="4" w:space="0" w:color="auto"/>
              <w:left w:val="single" w:sz="4" w:space="0" w:color="auto"/>
              <w:bottom w:val="single" w:sz="4" w:space="0" w:color="auto"/>
              <w:right w:val="single" w:sz="4" w:space="0" w:color="auto"/>
            </w:tcBorders>
            <w:vAlign w:val="center"/>
          </w:tcPr>
          <w:p w14:paraId="6A83046D"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16 793</w:t>
            </w:r>
          </w:p>
        </w:tc>
      </w:tr>
      <w:tr w:rsidR="00236B6D" w:rsidRPr="005A24F5" w14:paraId="278E77BC"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2155A7EC"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Удмуртская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14:paraId="6E17C1D4"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6143</w:t>
            </w:r>
          </w:p>
        </w:tc>
        <w:tc>
          <w:tcPr>
            <w:tcW w:w="987" w:type="pct"/>
            <w:tcBorders>
              <w:top w:val="single" w:sz="4" w:space="0" w:color="auto"/>
              <w:left w:val="single" w:sz="4" w:space="0" w:color="auto"/>
              <w:bottom w:val="single" w:sz="4" w:space="0" w:color="auto"/>
              <w:right w:val="single" w:sz="4" w:space="0" w:color="auto"/>
            </w:tcBorders>
            <w:vAlign w:val="center"/>
          </w:tcPr>
          <w:p w14:paraId="2073CB98"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6 350</w:t>
            </w:r>
          </w:p>
        </w:tc>
        <w:tc>
          <w:tcPr>
            <w:tcW w:w="987" w:type="pct"/>
            <w:tcBorders>
              <w:top w:val="single" w:sz="4" w:space="0" w:color="auto"/>
              <w:left w:val="single" w:sz="4" w:space="0" w:color="auto"/>
              <w:bottom w:val="single" w:sz="4" w:space="0" w:color="auto"/>
              <w:right w:val="single" w:sz="4" w:space="0" w:color="auto"/>
            </w:tcBorders>
            <w:vAlign w:val="center"/>
          </w:tcPr>
          <w:p w14:paraId="15563726"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6 568</w:t>
            </w:r>
          </w:p>
        </w:tc>
      </w:tr>
      <w:tr w:rsidR="00236B6D" w:rsidRPr="005A24F5" w14:paraId="48D7C560"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1F94335A"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Чувашская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14:paraId="1382C530"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4677</w:t>
            </w:r>
          </w:p>
        </w:tc>
        <w:tc>
          <w:tcPr>
            <w:tcW w:w="987" w:type="pct"/>
            <w:tcBorders>
              <w:top w:val="single" w:sz="4" w:space="0" w:color="auto"/>
              <w:left w:val="single" w:sz="4" w:space="0" w:color="auto"/>
              <w:bottom w:val="single" w:sz="4" w:space="0" w:color="auto"/>
              <w:right w:val="single" w:sz="4" w:space="0" w:color="auto"/>
            </w:tcBorders>
            <w:vAlign w:val="center"/>
          </w:tcPr>
          <w:p w14:paraId="1AD36C7A"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4 732</w:t>
            </w:r>
          </w:p>
        </w:tc>
        <w:tc>
          <w:tcPr>
            <w:tcW w:w="987" w:type="pct"/>
            <w:tcBorders>
              <w:top w:val="single" w:sz="4" w:space="0" w:color="auto"/>
              <w:left w:val="single" w:sz="4" w:space="0" w:color="auto"/>
              <w:bottom w:val="single" w:sz="4" w:space="0" w:color="auto"/>
              <w:right w:val="single" w:sz="4" w:space="0" w:color="auto"/>
            </w:tcBorders>
            <w:vAlign w:val="center"/>
          </w:tcPr>
          <w:p w14:paraId="3BF533FA"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4 844</w:t>
            </w:r>
          </w:p>
        </w:tc>
      </w:tr>
      <w:tr w:rsidR="00236B6D" w:rsidRPr="005A24F5" w14:paraId="4BF4F34A"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18BBDFA0"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Пермский край</w:t>
            </w:r>
          </w:p>
        </w:tc>
        <w:tc>
          <w:tcPr>
            <w:tcW w:w="987" w:type="pct"/>
            <w:tcBorders>
              <w:top w:val="single" w:sz="4" w:space="0" w:color="auto"/>
              <w:left w:val="single" w:sz="4" w:space="0" w:color="auto"/>
              <w:bottom w:val="single" w:sz="4" w:space="0" w:color="auto"/>
              <w:right w:val="single" w:sz="4" w:space="0" w:color="auto"/>
            </w:tcBorders>
            <w:vAlign w:val="center"/>
          </w:tcPr>
          <w:p w14:paraId="7A7EB83D"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9746</w:t>
            </w:r>
          </w:p>
        </w:tc>
        <w:tc>
          <w:tcPr>
            <w:tcW w:w="987" w:type="pct"/>
            <w:tcBorders>
              <w:top w:val="single" w:sz="4" w:space="0" w:color="auto"/>
              <w:left w:val="single" w:sz="4" w:space="0" w:color="auto"/>
              <w:bottom w:val="single" w:sz="4" w:space="0" w:color="auto"/>
              <w:right w:val="single" w:sz="4" w:space="0" w:color="auto"/>
            </w:tcBorders>
            <w:vAlign w:val="center"/>
          </w:tcPr>
          <w:p w14:paraId="6A6F086C"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9 745</w:t>
            </w:r>
          </w:p>
        </w:tc>
        <w:tc>
          <w:tcPr>
            <w:tcW w:w="987" w:type="pct"/>
            <w:tcBorders>
              <w:top w:val="single" w:sz="4" w:space="0" w:color="auto"/>
              <w:left w:val="single" w:sz="4" w:space="0" w:color="auto"/>
              <w:bottom w:val="single" w:sz="4" w:space="0" w:color="auto"/>
              <w:right w:val="single" w:sz="4" w:space="0" w:color="auto"/>
            </w:tcBorders>
            <w:vAlign w:val="center"/>
          </w:tcPr>
          <w:p w14:paraId="40A318A3"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10 016</w:t>
            </w:r>
          </w:p>
        </w:tc>
      </w:tr>
      <w:tr w:rsidR="00236B6D" w:rsidRPr="005A24F5" w14:paraId="1D4754A8"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0F264211"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Кировская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49C13408"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4471</w:t>
            </w:r>
          </w:p>
        </w:tc>
        <w:tc>
          <w:tcPr>
            <w:tcW w:w="987" w:type="pct"/>
            <w:tcBorders>
              <w:top w:val="single" w:sz="4" w:space="0" w:color="auto"/>
              <w:left w:val="single" w:sz="4" w:space="0" w:color="auto"/>
              <w:bottom w:val="single" w:sz="4" w:space="0" w:color="auto"/>
              <w:right w:val="single" w:sz="4" w:space="0" w:color="auto"/>
            </w:tcBorders>
            <w:vAlign w:val="center"/>
          </w:tcPr>
          <w:p w14:paraId="13F5F70B"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4 621</w:t>
            </w:r>
          </w:p>
        </w:tc>
        <w:tc>
          <w:tcPr>
            <w:tcW w:w="987" w:type="pct"/>
            <w:tcBorders>
              <w:top w:val="single" w:sz="4" w:space="0" w:color="auto"/>
              <w:left w:val="single" w:sz="4" w:space="0" w:color="auto"/>
              <w:bottom w:val="single" w:sz="4" w:space="0" w:color="auto"/>
              <w:right w:val="single" w:sz="4" w:space="0" w:color="auto"/>
            </w:tcBorders>
            <w:vAlign w:val="center"/>
          </w:tcPr>
          <w:p w14:paraId="5E131632"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4 890</w:t>
            </w:r>
          </w:p>
        </w:tc>
      </w:tr>
      <w:tr w:rsidR="00236B6D" w:rsidRPr="005A24F5" w14:paraId="7A125B5A"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5487785D"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Нижегородская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6C215EA0"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12443</w:t>
            </w:r>
          </w:p>
        </w:tc>
        <w:tc>
          <w:tcPr>
            <w:tcW w:w="987" w:type="pct"/>
            <w:tcBorders>
              <w:top w:val="single" w:sz="4" w:space="0" w:color="auto"/>
              <w:left w:val="single" w:sz="4" w:space="0" w:color="auto"/>
              <w:bottom w:val="single" w:sz="4" w:space="0" w:color="auto"/>
              <w:right w:val="single" w:sz="4" w:space="0" w:color="auto"/>
            </w:tcBorders>
            <w:vAlign w:val="center"/>
          </w:tcPr>
          <w:p w14:paraId="57380DF8"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12 551</w:t>
            </w:r>
          </w:p>
        </w:tc>
        <w:tc>
          <w:tcPr>
            <w:tcW w:w="987" w:type="pct"/>
            <w:tcBorders>
              <w:top w:val="single" w:sz="4" w:space="0" w:color="auto"/>
              <w:left w:val="single" w:sz="4" w:space="0" w:color="auto"/>
              <w:bottom w:val="single" w:sz="4" w:space="0" w:color="auto"/>
              <w:right w:val="single" w:sz="4" w:space="0" w:color="auto"/>
            </w:tcBorders>
            <w:vAlign w:val="center"/>
          </w:tcPr>
          <w:p w14:paraId="1C7CC806"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13 084</w:t>
            </w:r>
          </w:p>
        </w:tc>
      </w:tr>
      <w:tr w:rsidR="00236B6D" w:rsidRPr="005A24F5" w14:paraId="14FA12A7"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2D478F59"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Оренбургская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2D53025B"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9562</w:t>
            </w:r>
          </w:p>
        </w:tc>
        <w:tc>
          <w:tcPr>
            <w:tcW w:w="987" w:type="pct"/>
            <w:tcBorders>
              <w:top w:val="single" w:sz="4" w:space="0" w:color="auto"/>
              <w:left w:val="single" w:sz="4" w:space="0" w:color="auto"/>
              <w:bottom w:val="single" w:sz="4" w:space="0" w:color="auto"/>
              <w:right w:val="single" w:sz="4" w:space="0" w:color="auto"/>
            </w:tcBorders>
            <w:vAlign w:val="center"/>
          </w:tcPr>
          <w:p w14:paraId="648E194D"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9 561</w:t>
            </w:r>
          </w:p>
        </w:tc>
        <w:tc>
          <w:tcPr>
            <w:tcW w:w="987" w:type="pct"/>
            <w:tcBorders>
              <w:top w:val="single" w:sz="4" w:space="0" w:color="auto"/>
              <w:left w:val="single" w:sz="4" w:space="0" w:color="auto"/>
              <w:bottom w:val="single" w:sz="4" w:space="0" w:color="auto"/>
              <w:right w:val="single" w:sz="4" w:space="0" w:color="auto"/>
            </w:tcBorders>
            <w:vAlign w:val="center"/>
          </w:tcPr>
          <w:p w14:paraId="3A6D7A50"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9 976</w:t>
            </w:r>
          </w:p>
        </w:tc>
      </w:tr>
      <w:tr w:rsidR="00236B6D" w:rsidRPr="005A24F5" w14:paraId="745BD7A5"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58AA3E00"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Пензенская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16195BB9"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4489</w:t>
            </w:r>
          </w:p>
        </w:tc>
        <w:tc>
          <w:tcPr>
            <w:tcW w:w="987" w:type="pct"/>
            <w:tcBorders>
              <w:top w:val="single" w:sz="4" w:space="0" w:color="auto"/>
              <w:left w:val="single" w:sz="4" w:space="0" w:color="auto"/>
              <w:bottom w:val="single" w:sz="4" w:space="0" w:color="auto"/>
              <w:right w:val="single" w:sz="4" w:space="0" w:color="auto"/>
            </w:tcBorders>
            <w:vAlign w:val="center"/>
          </w:tcPr>
          <w:p w14:paraId="65E073E3"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4 581</w:t>
            </w:r>
          </w:p>
        </w:tc>
        <w:tc>
          <w:tcPr>
            <w:tcW w:w="987" w:type="pct"/>
            <w:tcBorders>
              <w:top w:val="single" w:sz="4" w:space="0" w:color="auto"/>
              <w:left w:val="single" w:sz="4" w:space="0" w:color="auto"/>
              <w:bottom w:val="single" w:sz="4" w:space="0" w:color="auto"/>
              <w:right w:val="single" w:sz="4" w:space="0" w:color="auto"/>
            </w:tcBorders>
            <w:vAlign w:val="center"/>
          </w:tcPr>
          <w:p w14:paraId="6ECAC7B2"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4 896</w:t>
            </w:r>
          </w:p>
        </w:tc>
      </w:tr>
      <w:tr w:rsidR="00236B6D" w:rsidRPr="005A24F5" w14:paraId="6906B3A0"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026CC902"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Самарская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22681324"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11530</w:t>
            </w:r>
          </w:p>
        </w:tc>
        <w:tc>
          <w:tcPr>
            <w:tcW w:w="987" w:type="pct"/>
            <w:tcBorders>
              <w:top w:val="single" w:sz="4" w:space="0" w:color="auto"/>
              <w:left w:val="single" w:sz="4" w:space="0" w:color="auto"/>
              <w:bottom w:val="single" w:sz="4" w:space="0" w:color="auto"/>
              <w:right w:val="single" w:sz="4" w:space="0" w:color="auto"/>
            </w:tcBorders>
            <w:vAlign w:val="center"/>
          </w:tcPr>
          <w:p w14:paraId="0DB31583"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11 868</w:t>
            </w:r>
          </w:p>
        </w:tc>
        <w:tc>
          <w:tcPr>
            <w:tcW w:w="987" w:type="pct"/>
            <w:tcBorders>
              <w:top w:val="single" w:sz="4" w:space="0" w:color="auto"/>
              <w:left w:val="single" w:sz="4" w:space="0" w:color="auto"/>
              <w:bottom w:val="single" w:sz="4" w:space="0" w:color="auto"/>
              <w:right w:val="single" w:sz="4" w:space="0" w:color="auto"/>
            </w:tcBorders>
            <w:vAlign w:val="center"/>
          </w:tcPr>
          <w:p w14:paraId="2A4D0D5F"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12 458</w:t>
            </w:r>
          </w:p>
        </w:tc>
      </w:tr>
      <w:tr w:rsidR="00236B6D" w:rsidRPr="005A24F5" w14:paraId="3E4F4FF1"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4125F138"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Саратовская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67A3C0FE"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7226</w:t>
            </w:r>
          </w:p>
        </w:tc>
        <w:tc>
          <w:tcPr>
            <w:tcW w:w="987" w:type="pct"/>
            <w:tcBorders>
              <w:top w:val="single" w:sz="4" w:space="0" w:color="auto"/>
              <w:left w:val="single" w:sz="4" w:space="0" w:color="auto"/>
              <w:bottom w:val="single" w:sz="4" w:space="0" w:color="auto"/>
              <w:right w:val="single" w:sz="4" w:space="0" w:color="auto"/>
            </w:tcBorders>
            <w:vAlign w:val="center"/>
          </w:tcPr>
          <w:p w14:paraId="102FAD56"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7 435</w:t>
            </w:r>
          </w:p>
        </w:tc>
        <w:tc>
          <w:tcPr>
            <w:tcW w:w="987" w:type="pct"/>
            <w:tcBorders>
              <w:top w:val="single" w:sz="4" w:space="0" w:color="auto"/>
              <w:left w:val="single" w:sz="4" w:space="0" w:color="auto"/>
              <w:bottom w:val="single" w:sz="4" w:space="0" w:color="auto"/>
              <w:right w:val="single" w:sz="4" w:space="0" w:color="auto"/>
            </w:tcBorders>
            <w:vAlign w:val="center"/>
          </w:tcPr>
          <w:p w14:paraId="101986A6"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7 603</w:t>
            </w:r>
          </w:p>
        </w:tc>
      </w:tr>
      <w:tr w:rsidR="00236B6D" w:rsidRPr="005A24F5" w14:paraId="327A207B"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03BAAEE4"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Ульяновская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2BD4083E"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5533</w:t>
            </w:r>
          </w:p>
        </w:tc>
        <w:tc>
          <w:tcPr>
            <w:tcW w:w="987" w:type="pct"/>
            <w:tcBorders>
              <w:top w:val="single" w:sz="4" w:space="0" w:color="auto"/>
              <w:left w:val="single" w:sz="4" w:space="0" w:color="auto"/>
              <w:bottom w:val="single" w:sz="4" w:space="0" w:color="auto"/>
              <w:right w:val="single" w:sz="4" w:space="0" w:color="auto"/>
            </w:tcBorders>
            <w:vAlign w:val="center"/>
          </w:tcPr>
          <w:p w14:paraId="004CFAD5"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5 585</w:t>
            </w:r>
          </w:p>
        </w:tc>
        <w:tc>
          <w:tcPr>
            <w:tcW w:w="987" w:type="pct"/>
            <w:tcBorders>
              <w:top w:val="single" w:sz="4" w:space="0" w:color="auto"/>
              <w:left w:val="single" w:sz="4" w:space="0" w:color="auto"/>
              <w:bottom w:val="single" w:sz="4" w:space="0" w:color="auto"/>
              <w:right w:val="single" w:sz="4" w:space="0" w:color="auto"/>
            </w:tcBorders>
            <w:vAlign w:val="center"/>
          </w:tcPr>
          <w:p w14:paraId="243F7BB9"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5 621</w:t>
            </w:r>
          </w:p>
        </w:tc>
      </w:tr>
      <w:tr w:rsidR="00236B6D" w:rsidRPr="005A24F5" w14:paraId="16E05AE1" w14:textId="77777777" w:rsidTr="005A24F5">
        <w:trPr>
          <w:trHeight w:val="293"/>
          <w:jc w:val="center"/>
        </w:trPr>
        <w:tc>
          <w:tcPr>
            <w:tcW w:w="2039" w:type="pct"/>
            <w:tcBorders>
              <w:top w:val="single" w:sz="4" w:space="0" w:color="auto"/>
              <w:left w:val="single" w:sz="4" w:space="0" w:color="auto"/>
              <w:bottom w:val="single" w:sz="4" w:space="0" w:color="auto"/>
              <w:right w:val="single" w:sz="4" w:space="0" w:color="auto"/>
            </w:tcBorders>
            <w:vAlign w:val="bottom"/>
          </w:tcPr>
          <w:p w14:paraId="123CE05C" w14:textId="77777777" w:rsidR="00236B6D" w:rsidRPr="005A24F5" w:rsidRDefault="00236B6D" w:rsidP="00236B6D">
            <w:pPr>
              <w:spacing w:after="0" w:line="240" w:lineRule="auto"/>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Уральский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14:paraId="4477DC73" w14:textId="77777777" w:rsidR="00236B6D" w:rsidRPr="005A24F5" w:rsidRDefault="00236B6D" w:rsidP="00236B6D">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54985</w:t>
            </w:r>
          </w:p>
        </w:tc>
        <w:tc>
          <w:tcPr>
            <w:tcW w:w="987" w:type="pct"/>
            <w:tcBorders>
              <w:top w:val="single" w:sz="4" w:space="0" w:color="auto"/>
              <w:left w:val="single" w:sz="4" w:space="0" w:color="auto"/>
              <w:bottom w:val="single" w:sz="4" w:space="0" w:color="auto"/>
              <w:right w:val="single" w:sz="4" w:space="0" w:color="auto"/>
            </w:tcBorders>
            <w:vAlign w:val="center"/>
          </w:tcPr>
          <w:p w14:paraId="4550F601" w14:textId="77777777" w:rsidR="00236B6D" w:rsidRPr="005A24F5" w:rsidRDefault="00236B6D" w:rsidP="00236B6D">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56 212</w:t>
            </w:r>
          </w:p>
        </w:tc>
        <w:tc>
          <w:tcPr>
            <w:tcW w:w="987" w:type="pct"/>
            <w:tcBorders>
              <w:top w:val="single" w:sz="4" w:space="0" w:color="auto"/>
              <w:left w:val="single" w:sz="4" w:space="0" w:color="auto"/>
              <w:bottom w:val="single" w:sz="4" w:space="0" w:color="auto"/>
              <w:right w:val="single" w:sz="4" w:space="0" w:color="auto"/>
            </w:tcBorders>
            <w:vAlign w:val="center"/>
          </w:tcPr>
          <w:p w14:paraId="4DFA501E" w14:textId="77777777" w:rsidR="00236B6D" w:rsidRPr="006C2427" w:rsidRDefault="00236B6D" w:rsidP="00236B6D">
            <w:pPr>
              <w:spacing w:after="0" w:line="240" w:lineRule="auto"/>
              <w:jc w:val="center"/>
              <w:rPr>
                <w:rFonts w:ascii="Times New Roman" w:eastAsia="Times New Roman" w:hAnsi="Times New Roman" w:cs="Times New Roman"/>
                <w:b/>
                <w:color w:val="000000" w:themeColor="text1"/>
                <w:sz w:val="24"/>
                <w:szCs w:val="24"/>
              </w:rPr>
            </w:pPr>
            <w:r w:rsidRPr="006C2427">
              <w:rPr>
                <w:rFonts w:ascii="Times New Roman" w:eastAsia="Times New Roman" w:hAnsi="Times New Roman" w:cs="Times New Roman"/>
                <w:b/>
                <w:color w:val="000000" w:themeColor="text1"/>
                <w:sz w:val="24"/>
                <w:szCs w:val="24"/>
              </w:rPr>
              <w:t>59 722</w:t>
            </w:r>
          </w:p>
        </w:tc>
      </w:tr>
      <w:tr w:rsidR="00236B6D" w:rsidRPr="005A24F5" w14:paraId="33975E49"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380B2442"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Курганская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1E7ACC80"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3781</w:t>
            </w:r>
          </w:p>
        </w:tc>
        <w:tc>
          <w:tcPr>
            <w:tcW w:w="987" w:type="pct"/>
            <w:tcBorders>
              <w:top w:val="single" w:sz="4" w:space="0" w:color="auto"/>
              <w:left w:val="single" w:sz="4" w:space="0" w:color="auto"/>
              <w:bottom w:val="single" w:sz="4" w:space="0" w:color="auto"/>
              <w:right w:val="single" w:sz="4" w:space="0" w:color="auto"/>
            </w:tcBorders>
            <w:vAlign w:val="center"/>
          </w:tcPr>
          <w:p w14:paraId="6803F9C7"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3 831</w:t>
            </w:r>
          </w:p>
        </w:tc>
        <w:tc>
          <w:tcPr>
            <w:tcW w:w="987" w:type="pct"/>
            <w:tcBorders>
              <w:top w:val="single" w:sz="4" w:space="0" w:color="auto"/>
              <w:left w:val="single" w:sz="4" w:space="0" w:color="auto"/>
              <w:bottom w:val="single" w:sz="4" w:space="0" w:color="auto"/>
              <w:right w:val="single" w:sz="4" w:space="0" w:color="auto"/>
            </w:tcBorders>
            <w:vAlign w:val="center"/>
          </w:tcPr>
          <w:p w14:paraId="7B9238BB"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4 019</w:t>
            </w:r>
          </w:p>
        </w:tc>
      </w:tr>
      <w:tr w:rsidR="00236B6D" w:rsidRPr="005A24F5" w14:paraId="3FD72C97"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5108F634"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Свердловская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5FDA0101"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19767</w:t>
            </w:r>
          </w:p>
        </w:tc>
        <w:tc>
          <w:tcPr>
            <w:tcW w:w="987" w:type="pct"/>
            <w:tcBorders>
              <w:top w:val="single" w:sz="4" w:space="0" w:color="auto"/>
              <w:left w:val="single" w:sz="4" w:space="0" w:color="auto"/>
              <w:bottom w:val="single" w:sz="4" w:space="0" w:color="auto"/>
              <w:right w:val="single" w:sz="4" w:space="0" w:color="auto"/>
            </w:tcBorders>
            <w:vAlign w:val="center"/>
          </w:tcPr>
          <w:p w14:paraId="49657494"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20 032</w:t>
            </w:r>
          </w:p>
        </w:tc>
        <w:tc>
          <w:tcPr>
            <w:tcW w:w="987" w:type="pct"/>
            <w:tcBorders>
              <w:top w:val="single" w:sz="4" w:space="0" w:color="auto"/>
              <w:left w:val="single" w:sz="4" w:space="0" w:color="auto"/>
              <w:bottom w:val="single" w:sz="4" w:space="0" w:color="auto"/>
              <w:right w:val="single" w:sz="4" w:space="0" w:color="auto"/>
            </w:tcBorders>
            <w:vAlign w:val="center"/>
          </w:tcPr>
          <w:p w14:paraId="54363D36"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21 123</w:t>
            </w:r>
          </w:p>
        </w:tc>
      </w:tr>
      <w:tr w:rsidR="00236B6D" w:rsidRPr="005A24F5" w14:paraId="101E9EAF"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3CD66CE1"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Тюменская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091BCD48"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16069</w:t>
            </w:r>
          </w:p>
        </w:tc>
        <w:tc>
          <w:tcPr>
            <w:tcW w:w="987" w:type="pct"/>
            <w:tcBorders>
              <w:top w:val="single" w:sz="4" w:space="0" w:color="auto"/>
              <w:left w:val="single" w:sz="4" w:space="0" w:color="auto"/>
              <w:bottom w:val="single" w:sz="4" w:space="0" w:color="auto"/>
              <w:right w:val="single" w:sz="4" w:space="0" w:color="auto"/>
            </w:tcBorders>
            <w:vAlign w:val="center"/>
          </w:tcPr>
          <w:p w14:paraId="0A9EF8F5"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16 548</w:t>
            </w:r>
          </w:p>
        </w:tc>
        <w:tc>
          <w:tcPr>
            <w:tcW w:w="987" w:type="pct"/>
            <w:tcBorders>
              <w:top w:val="single" w:sz="4" w:space="0" w:color="auto"/>
              <w:left w:val="single" w:sz="4" w:space="0" w:color="auto"/>
              <w:bottom w:val="single" w:sz="4" w:space="0" w:color="auto"/>
              <w:right w:val="single" w:sz="4" w:space="0" w:color="auto"/>
            </w:tcBorders>
            <w:vAlign w:val="center"/>
          </w:tcPr>
          <w:p w14:paraId="0FC19284"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17 890</w:t>
            </w:r>
          </w:p>
        </w:tc>
      </w:tr>
      <w:tr w:rsidR="00236B6D" w:rsidRPr="005A24F5" w14:paraId="246ECFAF"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01BA530E" w14:textId="77777777" w:rsidR="00236B6D" w:rsidRPr="005A24F5" w:rsidRDefault="00236B6D" w:rsidP="00236B6D">
            <w:pPr>
              <w:spacing w:before="40" w:after="0" w:line="240" w:lineRule="auto"/>
              <w:ind w:left="130"/>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 xml:space="preserve">в </w:t>
            </w:r>
            <w:proofErr w:type="spellStart"/>
            <w:r w:rsidRPr="005A24F5">
              <w:rPr>
                <w:rFonts w:ascii="Times New Roman" w:eastAsia="Arial Unicode MS" w:hAnsi="Times New Roman" w:cs="Times New Roman"/>
                <w:sz w:val="24"/>
                <w:szCs w:val="24"/>
                <w:lang w:eastAsia="ru-RU"/>
              </w:rPr>
              <w:t>т.ч</w:t>
            </w:r>
            <w:proofErr w:type="spellEnd"/>
            <w:r w:rsidRPr="005A24F5">
              <w:rPr>
                <w:rFonts w:ascii="Times New Roman" w:eastAsia="Arial Unicode MS" w:hAnsi="Times New Roman" w:cs="Times New Roman"/>
                <w:sz w:val="24"/>
                <w:szCs w:val="24"/>
                <w:lang w:eastAsia="ru-RU"/>
              </w:rPr>
              <w:t xml:space="preserve">. Ханты-Мансийский </w:t>
            </w:r>
            <w:r w:rsidRPr="005A24F5">
              <w:rPr>
                <w:rFonts w:ascii="Times New Roman" w:eastAsia="Arial Unicode MS" w:hAnsi="Times New Roman" w:cs="Times New Roman"/>
                <w:sz w:val="24"/>
                <w:szCs w:val="24"/>
                <w:lang w:eastAsia="ru-RU"/>
              </w:rPr>
              <w:br/>
              <w:t>авт. округ - Югра</w:t>
            </w:r>
          </w:p>
        </w:tc>
        <w:tc>
          <w:tcPr>
            <w:tcW w:w="987" w:type="pct"/>
            <w:tcBorders>
              <w:top w:val="single" w:sz="4" w:space="0" w:color="auto"/>
              <w:left w:val="single" w:sz="4" w:space="0" w:color="auto"/>
              <w:bottom w:val="single" w:sz="4" w:space="0" w:color="auto"/>
              <w:right w:val="single" w:sz="4" w:space="0" w:color="auto"/>
            </w:tcBorders>
            <w:vAlign w:val="center"/>
          </w:tcPr>
          <w:p w14:paraId="6410EB65"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6602</w:t>
            </w:r>
          </w:p>
        </w:tc>
        <w:tc>
          <w:tcPr>
            <w:tcW w:w="987" w:type="pct"/>
            <w:tcBorders>
              <w:top w:val="single" w:sz="4" w:space="0" w:color="auto"/>
              <w:left w:val="single" w:sz="4" w:space="0" w:color="auto"/>
              <w:bottom w:val="single" w:sz="4" w:space="0" w:color="auto"/>
              <w:right w:val="single" w:sz="4" w:space="0" w:color="auto"/>
            </w:tcBorders>
            <w:vAlign w:val="center"/>
          </w:tcPr>
          <w:p w14:paraId="78235B15"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6 723</w:t>
            </w:r>
          </w:p>
        </w:tc>
        <w:tc>
          <w:tcPr>
            <w:tcW w:w="987" w:type="pct"/>
            <w:tcBorders>
              <w:top w:val="single" w:sz="4" w:space="0" w:color="auto"/>
              <w:left w:val="single" w:sz="4" w:space="0" w:color="auto"/>
              <w:bottom w:val="single" w:sz="4" w:space="0" w:color="auto"/>
              <w:right w:val="single" w:sz="4" w:space="0" w:color="auto"/>
            </w:tcBorders>
            <w:vAlign w:val="center"/>
          </w:tcPr>
          <w:p w14:paraId="7F6A19DA"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7 097</w:t>
            </w:r>
          </w:p>
        </w:tc>
      </w:tr>
      <w:tr w:rsidR="00236B6D" w:rsidRPr="005A24F5" w14:paraId="50A123B7"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4A22406B" w14:textId="77777777" w:rsidR="00236B6D" w:rsidRPr="005A24F5" w:rsidRDefault="00236B6D" w:rsidP="00236B6D">
            <w:pPr>
              <w:spacing w:before="40" w:after="0" w:line="240" w:lineRule="auto"/>
              <w:ind w:left="130"/>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Ямало-Ненецкий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14:paraId="1F0E2C87"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2373</w:t>
            </w:r>
          </w:p>
        </w:tc>
        <w:tc>
          <w:tcPr>
            <w:tcW w:w="987" w:type="pct"/>
            <w:tcBorders>
              <w:top w:val="single" w:sz="4" w:space="0" w:color="auto"/>
              <w:left w:val="single" w:sz="4" w:space="0" w:color="auto"/>
              <w:bottom w:val="single" w:sz="4" w:space="0" w:color="auto"/>
              <w:right w:val="single" w:sz="4" w:space="0" w:color="auto"/>
            </w:tcBorders>
            <w:vAlign w:val="center"/>
          </w:tcPr>
          <w:p w14:paraId="7DCF00D8"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2 423</w:t>
            </w:r>
          </w:p>
        </w:tc>
        <w:tc>
          <w:tcPr>
            <w:tcW w:w="987" w:type="pct"/>
            <w:tcBorders>
              <w:top w:val="single" w:sz="4" w:space="0" w:color="auto"/>
              <w:left w:val="single" w:sz="4" w:space="0" w:color="auto"/>
              <w:bottom w:val="single" w:sz="4" w:space="0" w:color="auto"/>
              <w:right w:val="single" w:sz="4" w:space="0" w:color="auto"/>
            </w:tcBorders>
            <w:vAlign w:val="center"/>
          </w:tcPr>
          <w:p w14:paraId="09605B74"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2 565</w:t>
            </w:r>
          </w:p>
        </w:tc>
      </w:tr>
      <w:tr w:rsidR="00236B6D" w:rsidRPr="005A24F5" w14:paraId="7607C066"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50E4149F" w14:textId="77777777" w:rsidR="00236B6D" w:rsidRPr="005A24F5" w:rsidRDefault="00236B6D" w:rsidP="00236B6D">
            <w:pPr>
              <w:spacing w:before="40" w:after="0" w:line="240" w:lineRule="auto"/>
              <w:ind w:left="130"/>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Тюменская область без авт. округов</w:t>
            </w:r>
          </w:p>
        </w:tc>
        <w:tc>
          <w:tcPr>
            <w:tcW w:w="987" w:type="pct"/>
            <w:tcBorders>
              <w:top w:val="single" w:sz="4" w:space="0" w:color="auto"/>
              <w:left w:val="single" w:sz="4" w:space="0" w:color="auto"/>
              <w:bottom w:val="single" w:sz="4" w:space="0" w:color="auto"/>
              <w:right w:val="single" w:sz="4" w:space="0" w:color="auto"/>
            </w:tcBorders>
            <w:vAlign w:val="center"/>
          </w:tcPr>
          <w:p w14:paraId="58F7FC3D"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7094</w:t>
            </w:r>
          </w:p>
        </w:tc>
        <w:tc>
          <w:tcPr>
            <w:tcW w:w="987" w:type="pct"/>
            <w:tcBorders>
              <w:top w:val="single" w:sz="4" w:space="0" w:color="auto"/>
              <w:left w:val="single" w:sz="4" w:space="0" w:color="auto"/>
              <w:bottom w:val="single" w:sz="4" w:space="0" w:color="auto"/>
              <w:right w:val="single" w:sz="4" w:space="0" w:color="auto"/>
            </w:tcBorders>
            <w:vAlign w:val="center"/>
          </w:tcPr>
          <w:p w14:paraId="3C94A041"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7 402</w:t>
            </w:r>
          </w:p>
        </w:tc>
        <w:tc>
          <w:tcPr>
            <w:tcW w:w="987" w:type="pct"/>
            <w:tcBorders>
              <w:top w:val="single" w:sz="4" w:space="0" w:color="auto"/>
              <w:left w:val="single" w:sz="4" w:space="0" w:color="auto"/>
              <w:bottom w:val="single" w:sz="4" w:space="0" w:color="auto"/>
              <w:right w:val="single" w:sz="4" w:space="0" w:color="auto"/>
            </w:tcBorders>
            <w:vAlign w:val="center"/>
          </w:tcPr>
          <w:p w14:paraId="2CD4AD43"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8 228</w:t>
            </w:r>
          </w:p>
        </w:tc>
      </w:tr>
      <w:tr w:rsidR="00236B6D" w:rsidRPr="005A24F5" w14:paraId="41316DC5"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226CF9D3"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Челябинская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49B8D55D"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15368</w:t>
            </w:r>
          </w:p>
        </w:tc>
        <w:tc>
          <w:tcPr>
            <w:tcW w:w="987" w:type="pct"/>
            <w:tcBorders>
              <w:top w:val="single" w:sz="4" w:space="0" w:color="auto"/>
              <w:left w:val="single" w:sz="4" w:space="0" w:color="auto"/>
              <w:bottom w:val="single" w:sz="4" w:space="0" w:color="auto"/>
              <w:right w:val="single" w:sz="4" w:space="0" w:color="auto"/>
            </w:tcBorders>
            <w:vAlign w:val="center"/>
          </w:tcPr>
          <w:p w14:paraId="52DE3616"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15 801</w:t>
            </w:r>
          </w:p>
        </w:tc>
        <w:tc>
          <w:tcPr>
            <w:tcW w:w="987" w:type="pct"/>
            <w:tcBorders>
              <w:top w:val="single" w:sz="4" w:space="0" w:color="auto"/>
              <w:left w:val="single" w:sz="4" w:space="0" w:color="auto"/>
              <w:bottom w:val="single" w:sz="4" w:space="0" w:color="auto"/>
              <w:right w:val="single" w:sz="4" w:space="0" w:color="auto"/>
            </w:tcBorders>
            <w:vAlign w:val="center"/>
          </w:tcPr>
          <w:p w14:paraId="31CDDA03"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16 690</w:t>
            </w:r>
          </w:p>
        </w:tc>
      </w:tr>
      <w:tr w:rsidR="00236B6D" w:rsidRPr="005A24F5" w14:paraId="01AF65C5"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204CFFC0" w14:textId="77777777" w:rsidR="00236B6D" w:rsidRPr="005A24F5" w:rsidRDefault="00236B6D" w:rsidP="00236B6D">
            <w:pPr>
              <w:spacing w:after="0" w:line="240" w:lineRule="auto"/>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Сибирский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14:paraId="44FC32C7" w14:textId="77777777" w:rsidR="00236B6D" w:rsidRPr="005A24F5" w:rsidRDefault="00236B6D" w:rsidP="00236B6D">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80936</w:t>
            </w:r>
          </w:p>
        </w:tc>
        <w:tc>
          <w:tcPr>
            <w:tcW w:w="987" w:type="pct"/>
            <w:tcBorders>
              <w:top w:val="single" w:sz="4" w:space="0" w:color="auto"/>
              <w:left w:val="single" w:sz="4" w:space="0" w:color="auto"/>
              <w:bottom w:val="single" w:sz="4" w:space="0" w:color="auto"/>
              <w:right w:val="single" w:sz="4" w:space="0" w:color="auto"/>
            </w:tcBorders>
            <w:vAlign w:val="center"/>
          </w:tcPr>
          <w:p w14:paraId="1A34E7D1" w14:textId="77777777" w:rsidR="00236B6D" w:rsidRPr="005A24F5" w:rsidRDefault="00236B6D" w:rsidP="00236B6D">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82 437</w:t>
            </w:r>
          </w:p>
        </w:tc>
        <w:tc>
          <w:tcPr>
            <w:tcW w:w="987" w:type="pct"/>
            <w:tcBorders>
              <w:top w:val="single" w:sz="4" w:space="0" w:color="auto"/>
              <w:left w:val="single" w:sz="4" w:space="0" w:color="auto"/>
              <w:bottom w:val="single" w:sz="4" w:space="0" w:color="auto"/>
              <w:right w:val="single" w:sz="4" w:space="0" w:color="auto"/>
            </w:tcBorders>
            <w:vAlign w:val="center"/>
          </w:tcPr>
          <w:p w14:paraId="7AAE0980" w14:textId="77777777" w:rsidR="00236B6D" w:rsidRPr="005B4E92" w:rsidRDefault="00236B6D" w:rsidP="00236B6D">
            <w:pPr>
              <w:spacing w:after="0" w:line="240" w:lineRule="auto"/>
              <w:jc w:val="center"/>
              <w:rPr>
                <w:rFonts w:ascii="Times New Roman" w:eastAsia="Times New Roman" w:hAnsi="Times New Roman" w:cs="Times New Roman"/>
                <w:b/>
                <w:color w:val="000000" w:themeColor="text1"/>
                <w:sz w:val="24"/>
                <w:szCs w:val="24"/>
              </w:rPr>
            </w:pPr>
            <w:r w:rsidRPr="005B4E92">
              <w:rPr>
                <w:rFonts w:ascii="Times New Roman" w:eastAsia="Times New Roman" w:hAnsi="Times New Roman" w:cs="Times New Roman"/>
                <w:b/>
                <w:color w:val="000000" w:themeColor="text1"/>
                <w:sz w:val="24"/>
                <w:szCs w:val="24"/>
              </w:rPr>
              <w:t>85 750</w:t>
            </w:r>
          </w:p>
        </w:tc>
      </w:tr>
      <w:tr w:rsidR="00236B6D" w:rsidRPr="005A24F5" w14:paraId="48DF79DA"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40DFEA31"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Алтай</w:t>
            </w:r>
          </w:p>
        </w:tc>
        <w:tc>
          <w:tcPr>
            <w:tcW w:w="987" w:type="pct"/>
            <w:tcBorders>
              <w:top w:val="single" w:sz="4" w:space="0" w:color="auto"/>
              <w:left w:val="single" w:sz="4" w:space="0" w:color="auto"/>
              <w:bottom w:val="single" w:sz="4" w:space="0" w:color="auto"/>
              <w:right w:val="single" w:sz="4" w:space="0" w:color="auto"/>
            </w:tcBorders>
            <w:vAlign w:val="center"/>
          </w:tcPr>
          <w:p w14:paraId="69283969"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1322</w:t>
            </w:r>
          </w:p>
        </w:tc>
        <w:tc>
          <w:tcPr>
            <w:tcW w:w="987" w:type="pct"/>
            <w:tcBorders>
              <w:top w:val="single" w:sz="4" w:space="0" w:color="auto"/>
              <w:left w:val="single" w:sz="4" w:space="0" w:color="auto"/>
              <w:bottom w:val="single" w:sz="4" w:space="0" w:color="auto"/>
              <w:right w:val="single" w:sz="4" w:space="0" w:color="auto"/>
            </w:tcBorders>
            <w:vAlign w:val="center"/>
          </w:tcPr>
          <w:p w14:paraId="472F594B"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1 376</w:t>
            </w:r>
          </w:p>
        </w:tc>
        <w:tc>
          <w:tcPr>
            <w:tcW w:w="987" w:type="pct"/>
            <w:tcBorders>
              <w:top w:val="single" w:sz="4" w:space="0" w:color="auto"/>
              <w:left w:val="single" w:sz="4" w:space="0" w:color="auto"/>
              <w:bottom w:val="single" w:sz="4" w:space="0" w:color="auto"/>
              <w:right w:val="single" w:sz="4" w:space="0" w:color="auto"/>
            </w:tcBorders>
            <w:vAlign w:val="center"/>
          </w:tcPr>
          <w:p w14:paraId="7E817E84"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1 411</w:t>
            </w:r>
          </w:p>
        </w:tc>
      </w:tr>
      <w:tr w:rsidR="00236B6D" w:rsidRPr="005A24F5" w14:paraId="23A71C64"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40526940"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Тыва</w:t>
            </w:r>
          </w:p>
        </w:tc>
        <w:tc>
          <w:tcPr>
            <w:tcW w:w="987" w:type="pct"/>
            <w:tcBorders>
              <w:top w:val="single" w:sz="4" w:space="0" w:color="auto"/>
              <w:left w:val="single" w:sz="4" w:space="0" w:color="auto"/>
              <w:bottom w:val="single" w:sz="4" w:space="0" w:color="auto"/>
              <w:right w:val="single" w:sz="4" w:space="0" w:color="auto"/>
            </w:tcBorders>
            <w:vAlign w:val="center"/>
          </w:tcPr>
          <w:p w14:paraId="349C99E9"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2550</w:t>
            </w:r>
          </w:p>
        </w:tc>
        <w:tc>
          <w:tcPr>
            <w:tcW w:w="987" w:type="pct"/>
            <w:tcBorders>
              <w:top w:val="single" w:sz="4" w:space="0" w:color="auto"/>
              <w:left w:val="single" w:sz="4" w:space="0" w:color="auto"/>
              <w:bottom w:val="single" w:sz="4" w:space="0" w:color="auto"/>
              <w:right w:val="single" w:sz="4" w:space="0" w:color="auto"/>
            </w:tcBorders>
            <w:vAlign w:val="center"/>
          </w:tcPr>
          <w:p w14:paraId="76C95B6E"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2 596</w:t>
            </w:r>
          </w:p>
        </w:tc>
        <w:tc>
          <w:tcPr>
            <w:tcW w:w="987" w:type="pct"/>
            <w:tcBorders>
              <w:top w:val="single" w:sz="4" w:space="0" w:color="auto"/>
              <w:left w:val="single" w:sz="4" w:space="0" w:color="auto"/>
              <w:bottom w:val="single" w:sz="4" w:space="0" w:color="auto"/>
              <w:right w:val="single" w:sz="4" w:space="0" w:color="auto"/>
            </w:tcBorders>
            <w:vAlign w:val="center"/>
          </w:tcPr>
          <w:p w14:paraId="25C5785C"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2 646</w:t>
            </w:r>
          </w:p>
        </w:tc>
      </w:tr>
      <w:tr w:rsidR="00236B6D" w:rsidRPr="005A24F5" w14:paraId="74A95893"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5CF9004B"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Хакасия</w:t>
            </w:r>
          </w:p>
        </w:tc>
        <w:tc>
          <w:tcPr>
            <w:tcW w:w="987" w:type="pct"/>
            <w:tcBorders>
              <w:top w:val="single" w:sz="4" w:space="0" w:color="auto"/>
              <w:left w:val="single" w:sz="4" w:space="0" w:color="auto"/>
              <w:bottom w:val="single" w:sz="4" w:space="0" w:color="auto"/>
              <w:right w:val="single" w:sz="4" w:space="0" w:color="auto"/>
            </w:tcBorders>
            <w:vAlign w:val="center"/>
          </w:tcPr>
          <w:p w14:paraId="578D2086"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2429</w:t>
            </w:r>
          </w:p>
        </w:tc>
        <w:tc>
          <w:tcPr>
            <w:tcW w:w="987" w:type="pct"/>
            <w:tcBorders>
              <w:top w:val="single" w:sz="4" w:space="0" w:color="auto"/>
              <w:left w:val="single" w:sz="4" w:space="0" w:color="auto"/>
              <w:bottom w:val="single" w:sz="4" w:space="0" w:color="auto"/>
              <w:right w:val="single" w:sz="4" w:space="0" w:color="auto"/>
            </w:tcBorders>
            <w:vAlign w:val="center"/>
          </w:tcPr>
          <w:p w14:paraId="5C25A85E"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2 487</w:t>
            </w:r>
          </w:p>
        </w:tc>
        <w:tc>
          <w:tcPr>
            <w:tcW w:w="987" w:type="pct"/>
            <w:tcBorders>
              <w:top w:val="single" w:sz="4" w:space="0" w:color="auto"/>
              <w:left w:val="single" w:sz="4" w:space="0" w:color="auto"/>
              <w:bottom w:val="single" w:sz="4" w:space="0" w:color="auto"/>
              <w:right w:val="single" w:sz="4" w:space="0" w:color="auto"/>
            </w:tcBorders>
            <w:vAlign w:val="center"/>
          </w:tcPr>
          <w:p w14:paraId="2BB9095F"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2 525</w:t>
            </w:r>
          </w:p>
        </w:tc>
      </w:tr>
      <w:tr w:rsidR="00236B6D" w:rsidRPr="005A24F5" w14:paraId="3AEC4411"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1FB80228"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Алтайский край</w:t>
            </w:r>
          </w:p>
        </w:tc>
        <w:tc>
          <w:tcPr>
            <w:tcW w:w="987" w:type="pct"/>
            <w:tcBorders>
              <w:top w:val="single" w:sz="4" w:space="0" w:color="auto"/>
              <w:left w:val="single" w:sz="4" w:space="0" w:color="auto"/>
              <w:bottom w:val="single" w:sz="4" w:space="0" w:color="auto"/>
              <w:right w:val="single" w:sz="4" w:space="0" w:color="auto"/>
            </w:tcBorders>
            <w:vAlign w:val="center"/>
          </w:tcPr>
          <w:p w14:paraId="71376AA8"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10789</w:t>
            </w:r>
          </w:p>
        </w:tc>
        <w:tc>
          <w:tcPr>
            <w:tcW w:w="987" w:type="pct"/>
            <w:tcBorders>
              <w:top w:val="single" w:sz="4" w:space="0" w:color="auto"/>
              <w:left w:val="single" w:sz="4" w:space="0" w:color="auto"/>
              <w:bottom w:val="single" w:sz="4" w:space="0" w:color="auto"/>
              <w:right w:val="single" w:sz="4" w:space="0" w:color="auto"/>
            </w:tcBorders>
            <w:vAlign w:val="center"/>
          </w:tcPr>
          <w:p w14:paraId="76039CB9"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10 815</w:t>
            </w:r>
          </w:p>
        </w:tc>
        <w:tc>
          <w:tcPr>
            <w:tcW w:w="987" w:type="pct"/>
            <w:tcBorders>
              <w:top w:val="single" w:sz="4" w:space="0" w:color="auto"/>
              <w:left w:val="single" w:sz="4" w:space="0" w:color="auto"/>
              <w:bottom w:val="single" w:sz="4" w:space="0" w:color="auto"/>
              <w:right w:val="single" w:sz="4" w:space="0" w:color="auto"/>
            </w:tcBorders>
            <w:vAlign w:val="center"/>
          </w:tcPr>
          <w:p w14:paraId="03A0626B"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11 111</w:t>
            </w:r>
          </w:p>
        </w:tc>
      </w:tr>
      <w:tr w:rsidR="00236B6D" w:rsidRPr="005A24F5" w14:paraId="41977C3A"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14FC0590"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Красноярский край</w:t>
            </w:r>
          </w:p>
        </w:tc>
        <w:tc>
          <w:tcPr>
            <w:tcW w:w="987" w:type="pct"/>
            <w:tcBorders>
              <w:top w:val="single" w:sz="4" w:space="0" w:color="auto"/>
              <w:left w:val="single" w:sz="4" w:space="0" w:color="auto"/>
              <w:bottom w:val="single" w:sz="4" w:space="0" w:color="auto"/>
              <w:right w:val="single" w:sz="4" w:space="0" w:color="auto"/>
            </w:tcBorders>
            <w:vAlign w:val="center"/>
          </w:tcPr>
          <w:p w14:paraId="236E206F"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13204</w:t>
            </w:r>
          </w:p>
        </w:tc>
        <w:tc>
          <w:tcPr>
            <w:tcW w:w="987" w:type="pct"/>
            <w:tcBorders>
              <w:top w:val="single" w:sz="4" w:space="0" w:color="auto"/>
              <w:left w:val="single" w:sz="4" w:space="0" w:color="auto"/>
              <w:bottom w:val="single" w:sz="4" w:space="0" w:color="auto"/>
              <w:right w:val="single" w:sz="4" w:space="0" w:color="auto"/>
            </w:tcBorders>
            <w:vAlign w:val="center"/>
          </w:tcPr>
          <w:p w14:paraId="52DF01DD"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13 216</w:t>
            </w:r>
          </w:p>
        </w:tc>
        <w:tc>
          <w:tcPr>
            <w:tcW w:w="987" w:type="pct"/>
            <w:tcBorders>
              <w:top w:val="single" w:sz="4" w:space="0" w:color="auto"/>
              <w:left w:val="single" w:sz="4" w:space="0" w:color="auto"/>
              <w:bottom w:val="single" w:sz="4" w:space="0" w:color="auto"/>
              <w:right w:val="single" w:sz="4" w:space="0" w:color="auto"/>
            </w:tcBorders>
            <w:vAlign w:val="center"/>
          </w:tcPr>
          <w:p w14:paraId="50575653"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13 504</w:t>
            </w:r>
          </w:p>
        </w:tc>
      </w:tr>
      <w:tr w:rsidR="00236B6D" w:rsidRPr="005A24F5" w14:paraId="64706661"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6B85A13F"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Иркутская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0087E879"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12784</w:t>
            </w:r>
          </w:p>
        </w:tc>
        <w:tc>
          <w:tcPr>
            <w:tcW w:w="987" w:type="pct"/>
            <w:tcBorders>
              <w:top w:val="single" w:sz="4" w:space="0" w:color="auto"/>
              <w:left w:val="single" w:sz="4" w:space="0" w:color="auto"/>
              <w:bottom w:val="single" w:sz="4" w:space="0" w:color="auto"/>
              <w:right w:val="single" w:sz="4" w:space="0" w:color="auto"/>
            </w:tcBorders>
            <w:vAlign w:val="center"/>
          </w:tcPr>
          <w:p w14:paraId="78EE23B9"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12 551</w:t>
            </w:r>
          </w:p>
        </w:tc>
        <w:tc>
          <w:tcPr>
            <w:tcW w:w="987" w:type="pct"/>
            <w:tcBorders>
              <w:top w:val="single" w:sz="4" w:space="0" w:color="auto"/>
              <w:left w:val="single" w:sz="4" w:space="0" w:color="auto"/>
              <w:bottom w:val="single" w:sz="4" w:space="0" w:color="auto"/>
              <w:right w:val="single" w:sz="4" w:space="0" w:color="auto"/>
            </w:tcBorders>
            <w:vAlign w:val="center"/>
          </w:tcPr>
          <w:p w14:paraId="62DD7222"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12 818</w:t>
            </w:r>
          </w:p>
        </w:tc>
      </w:tr>
      <w:tr w:rsidR="00236B6D" w:rsidRPr="005A24F5" w14:paraId="6DB6D5A4"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471483E2"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Кемеровская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79145D79"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13323</w:t>
            </w:r>
          </w:p>
        </w:tc>
        <w:tc>
          <w:tcPr>
            <w:tcW w:w="987" w:type="pct"/>
            <w:tcBorders>
              <w:top w:val="single" w:sz="4" w:space="0" w:color="auto"/>
              <w:left w:val="single" w:sz="4" w:space="0" w:color="auto"/>
              <w:bottom w:val="single" w:sz="4" w:space="0" w:color="auto"/>
              <w:right w:val="single" w:sz="4" w:space="0" w:color="auto"/>
            </w:tcBorders>
            <w:vAlign w:val="center"/>
          </w:tcPr>
          <w:p w14:paraId="1D52EC23"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13 415</w:t>
            </w:r>
          </w:p>
        </w:tc>
        <w:tc>
          <w:tcPr>
            <w:tcW w:w="987" w:type="pct"/>
            <w:tcBorders>
              <w:top w:val="single" w:sz="4" w:space="0" w:color="auto"/>
              <w:left w:val="single" w:sz="4" w:space="0" w:color="auto"/>
              <w:bottom w:val="single" w:sz="4" w:space="0" w:color="auto"/>
              <w:right w:val="single" w:sz="4" w:space="0" w:color="auto"/>
            </w:tcBorders>
            <w:vAlign w:val="center"/>
          </w:tcPr>
          <w:p w14:paraId="1139B3E3"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14 158</w:t>
            </w:r>
          </w:p>
        </w:tc>
      </w:tr>
      <w:tr w:rsidR="00236B6D" w:rsidRPr="005A24F5" w14:paraId="50E736F9"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1A2EEE0A"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Новосибирская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156EBA0C"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9973</w:t>
            </w:r>
          </w:p>
        </w:tc>
        <w:tc>
          <w:tcPr>
            <w:tcW w:w="987" w:type="pct"/>
            <w:tcBorders>
              <w:top w:val="single" w:sz="4" w:space="0" w:color="auto"/>
              <w:left w:val="single" w:sz="4" w:space="0" w:color="auto"/>
              <w:bottom w:val="single" w:sz="4" w:space="0" w:color="auto"/>
              <w:right w:val="single" w:sz="4" w:space="0" w:color="auto"/>
            </w:tcBorders>
            <w:vAlign w:val="center"/>
          </w:tcPr>
          <w:p w14:paraId="53E40B9D"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10 365</w:t>
            </w:r>
          </w:p>
        </w:tc>
        <w:tc>
          <w:tcPr>
            <w:tcW w:w="987" w:type="pct"/>
            <w:tcBorders>
              <w:top w:val="single" w:sz="4" w:space="0" w:color="auto"/>
              <w:left w:val="single" w:sz="4" w:space="0" w:color="auto"/>
              <w:bottom w:val="single" w:sz="4" w:space="0" w:color="auto"/>
              <w:right w:val="single" w:sz="4" w:space="0" w:color="auto"/>
            </w:tcBorders>
            <w:vAlign w:val="center"/>
          </w:tcPr>
          <w:p w14:paraId="6E9E7B25"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11 038</w:t>
            </w:r>
          </w:p>
        </w:tc>
      </w:tr>
      <w:tr w:rsidR="00236B6D" w:rsidRPr="005A24F5" w14:paraId="05562BF5"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5134C419"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7053E485"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8721</w:t>
            </w:r>
          </w:p>
        </w:tc>
        <w:tc>
          <w:tcPr>
            <w:tcW w:w="987" w:type="pct"/>
            <w:tcBorders>
              <w:top w:val="single" w:sz="4" w:space="0" w:color="auto"/>
              <w:left w:val="single" w:sz="4" w:space="0" w:color="auto"/>
              <w:bottom w:val="single" w:sz="4" w:space="0" w:color="auto"/>
              <w:right w:val="single" w:sz="4" w:space="0" w:color="auto"/>
            </w:tcBorders>
            <w:vAlign w:val="center"/>
          </w:tcPr>
          <w:p w14:paraId="5D72C2AB"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8 921</w:t>
            </w:r>
          </w:p>
        </w:tc>
        <w:tc>
          <w:tcPr>
            <w:tcW w:w="987" w:type="pct"/>
            <w:tcBorders>
              <w:top w:val="single" w:sz="4" w:space="0" w:color="auto"/>
              <w:left w:val="single" w:sz="4" w:space="0" w:color="auto"/>
              <w:bottom w:val="single" w:sz="4" w:space="0" w:color="auto"/>
              <w:right w:val="single" w:sz="4" w:space="0" w:color="auto"/>
            </w:tcBorders>
            <w:vAlign w:val="center"/>
          </w:tcPr>
          <w:p w14:paraId="16A2F9CF"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9 291</w:t>
            </w:r>
          </w:p>
        </w:tc>
      </w:tr>
      <w:tr w:rsidR="00236B6D" w:rsidRPr="005A24F5" w14:paraId="0F154752"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55E0FA7E"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Томская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32F69F39"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5841</w:t>
            </w:r>
          </w:p>
        </w:tc>
        <w:tc>
          <w:tcPr>
            <w:tcW w:w="987" w:type="pct"/>
            <w:tcBorders>
              <w:top w:val="single" w:sz="4" w:space="0" w:color="auto"/>
              <w:left w:val="single" w:sz="4" w:space="0" w:color="auto"/>
              <w:bottom w:val="single" w:sz="4" w:space="0" w:color="auto"/>
              <w:right w:val="single" w:sz="4" w:space="0" w:color="auto"/>
            </w:tcBorders>
            <w:vAlign w:val="center"/>
          </w:tcPr>
          <w:p w14:paraId="3A471351"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6 695</w:t>
            </w:r>
          </w:p>
        </w:tc>
        <w:tc>
          <w:tcPr>
            <w:tcW w:w="987" w:type="pct"/>
            <w:tcBorders>
              <w:top w:val="single" w:sz="4" w:space="0" w:color="auto"/>
              <w:left w:val="single" w:sz="4" w:space="0" w:color="auto"/>
              <w:bottom w:val="single" w:sz="4" w:space="0" w:color="auto"/>
              <w:right w:val="single" w:sz="4" w:space="0" w:color="auto"/>
            </w:tcBorders>
            <w:vAlign w:val="center"/>
          </w:tcPr>
          <w:p w14:paraId="53BCDA73"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7 248</w:t>
            </w:r>
          </w:p>
        </w:tc>
      </w:tr>
      <w:tr w:rsidR="00236B6D" w:rsidRPr="005A24F5" w14:paraId="1E723EA8" w14:textId="77777777" w:rsidTr="005A24F5">
        <w:trPr>
          <w:trHeight w:val="465"/>
          <w:jc w:val="center"/>
        </w:trPr>
        <w:tc>
          <w:tcPr>
            <w:tcW w:w="2039" w:type="pct"/>
            <w:tcBorders>
              <w:top w:val="single" w:sz="4" w:space="0" w:color="auto"/>
              <w:left w:val="single" w:sz="4" w:space="0" w:color="auto"/>
              <w:bottom w:val="single" w:sz="4" w:space="0" w:color="auto"/>
              <w:right w:val="single" w:sz="4" w:space="0" w:color="auto"/>
            </w:tcBorders>
            <w:vAlign w:val="bottom"/>
          </w:tcPr>
          <w:p w14:paraId="3E5DCA97" w14:textId="77777777" w:rsidR="00236B6D" w:rsidRPr="005A24F5" w:rsidRDefault="00236B6D" w:rsidP="00236B6D">
            <w:pPr>
              <w:spacing w:after="0" w:line="240" w:lineRule="auto"/>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Дальневосточный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14:paraId="2F31C65E" w14:textId="77777777" w:rsidR="00236B6D" w:rsidRPr="005A24F5" w:rsidRDefault="00236B6D" w:rsidP="00236B6D">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38279</w:t>
            </w:r>
          </w:p>
        </w:tc>
        <w:tc>
          <w:tcPr>
            <w:tcW w:w="987" w:type="pct"/>
            <w:tcBorders>
              <w:top w:val="single" w:sz="4" w:space="0" w:color="auto"/>
              <w:left w:val="single" w:sz="4" w:space="0" w:color="auto"/>
              <w:bottom w:val="single" w:sz="4" w:space="0" w:color="auto"/>
              <w:right w:val="single" w:sz="4" w:space="0" w:color="auto"/>
            </w:tcBorders>
            <w:vAlign w:val="center"/>
          </w:tcPr>
          <w:p w14:paraId="2393D0E1" w14:textId="77777777" w:rsidR="00236B6D" w:rsidRPr="005A24F5" w:rsidRDefault="00236B6D" w:rsidP="00236B6D">
            <w:pPr>
              <w:spacing w:after="0" w:line="240" w:lineRule="auto"/>
              <w:jc w:val="center"/>
              <w:rPr>
                <w:rFonts w:ascii="Times New Roman" w:eastAsia="Arial Unicode MS" w:hAnsi="Times New Roman" w:cs="Times New Roman"/>
                <w:b/>
                <w:sz w:val="24"/>
                <w:szCs w:val="24"/>
                <w:lang w:eastAsia="ru-RU"/>
              </w:rPr>
            </w:pPr>
            <w:r w:rsidRPr="005A24F5">
              <w:rPr>
                <w:rFonts w:ascii="Times New Roman" w:eastAsia="Arial Unicode MS" w:hAnsi="Times New Roman" w:cs="Times New Roman"/>
                <w:b/>
                <w:sz w:val="24"/>
                <w:szCs w:val="24"/>
                <w:lang w:eastAsia="ru-RU"/>
              </w:rPr>
              <w:t>38 972</w:t>
            </w:r>
          </w:p>
        </w:tc>
        <w:tc>
          <w:tcPr>
            <w:tcW w:w="987" w:type="pct"/>
            <w:tcBorders>
              <w:top w:val="single" w:sz="4" w:space="0" w:color="auto"/>
              <w:left w:val="single" w:sz="4" w:space="0" w:color="auto"/>
              <w:bottom w:val="single" w:sz="4" w:space="0" w:color="auto"/>
              <w:right w:val="single" w:sz="4" w:space="0" w:color="auto"/>
            </w:tcBorders>
            <w:vAlign w:val="center"/>
          </w:tcPr>
          <w:p w14:paraId="78C0FB36" w14:textId="77777777" w:rsidR="00236B6D" w:rsidRPr="006C2427" w:rsidRDefault="00236B6D" w:rsidP="00236B6D">
            <w:pPr>
              <w:spacing w:after="0" w:line="240" w:lineRule="auto"/>
              <w:jc w:val="center"/>
              <w:rPr>
                <w:rFonts w:ascii="Times New Roman" w:eastAsia="Times New Roman" w:hAnsi="Times New Roman" w:cs="Times New Roman"/>
                <w:b/>
                <w:color w:val="000000" w:themeColor="text1"/>
                <w:sz w:val="24"/>
                <w:szCs w:val="24"/>
              </w:rPr>
            </w:pPr>
            <w:r w:rsidRPr="006C2427">
              <w:rPr>
                <w:rFonts w:ascii="Times New Roman" w:eastAsia="Times New Roman" w:hAnsi="Times New Roman" w:cs="Times New Roman"/>
                <w:b/>
                <w:color w:val="000000" w:themeColor="text1"/>
                <w:sz w:val="24"/>
                <w:szCs w:val="24"/>
              </w:rPr>
              <w:t>40 241</w:t>
            </w:r>
          </w:p>
        </w:tc>
      </w:tr>
      <w:tr w:rsidR="00236B6D" w:rsidRPr="005A24F5" w14:paraId="279CEF5B"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1FDA6636"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Бурятия</w:t>
            </w:r>
          </w:p>
        </w:tc>
        <w:tc>
          <w:tcPr>
            <w:tcW w:w="987" w:type="pct"/>
            <w:tcBorders>
              <w:top w:val="single" w:sz="4" w:space="0" w:color="auto"/>
              <w:left w:val="single" w:sz="4" w:space="0" w:color="auto"/>
              <w:bottom w:val="single" w:sz="4" w:space="0" w:color="auto"/>
              <w:right w:val="single" w:sz="4" w:space="0" w:color="auto"/>
            </w:tcBorders>
            <w:vAlign w:val="center"/>
          </w:tcPr>
          <w:p w14:paraId="188FDB6B"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6139</w:t>
            </w:r>
          </w:p>
        </w:tc>
        <w:tc>
          <w:tcPr>
            <w:tcW w:w="987" w:type="pct"/>
            <w:tcBorders>
              <w:top w:val="single" w:sz="4" w:space="0" w:color="auto"/>
              <w:left w:val="single" w:sz="4" w:space="0" w:color="auto"/>
              <w:bottom w:val="single" w:sz="4" w:space="0" w:color="auto"/>
              <w:right w:val="single" w:sz="4" w:space="0" w:color="auto"/>
            </w:tcBorders>
            <w:vAlign w:val="center"/>
          </w:tcPr>
          <w:p w14:paraId="61E15B61"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6 262</w:t>
            </w:r>
          </w:p>
        </w:tc>
        <w:tc>
          <w:tcPr>
            <w:tcW w:w="987" w:type="pct"/>
            <w:tcBorders>
              <w:top w:val="single" w:sz="4" w:space="0" w:color="auto"/>
              <w:left w:val="single" w:sz="4" w:space="0" w:color="auto"/>
              <w:bottom w:val="single" w:sz="4" w:space="0" w:color="auto"/>
              <w:right w:val="single" w:sz="4" w:space="0" w:color="auto"/>
            </w:tcBorders>
            <w:vAlign w:val="center"/>
          </w:tcPr>
          <w:p w14:paraId="1D7B8B55"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6 337</w:t>
            </w:r>
          </w:p>
        </w:tc>
      </w:tr>
      <w:tr w:rsidR="00236B6D" w:rsidRPr="005A24F5" w14:paraId="14466041"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4A9747BB"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Республика Саха (Якутия)</w:t>
            </w:r>
          </w:p>
        </w:tc>
        <w:tc>
          <w:tcPr>
            <w:tcW w:w="987" w:type="pct"/>
            <w:tcBorders>
              <w:top w:val="single" w:sz="4" w:space="0" w:color="auto"/>
              <w:left w:val="single" w:sz="4" w:space="0" w:color="auto"/>
              <w:bottom w:val="single" w:sz="4" w:space="0" w:color="auto"/>
              <w:right w:val="single" w:sz="4" w:space="0" w:color="auto"/>
            </w:tcBorders>
            <w:vAlign w:val="center"/>
          </w:tcPr>
          <w:p w14:paraId="28A7AA53"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6554</w:t>
            </w:r>
          </w:p>
        </w:tc>
        <w:tc>
          <w:tcPr>
            <w:tcW w:w="987" w:type="pct"/>
            <w:tcBorders>
              <w:top w:val="single" w:sz="4" w:space="0" w:color="auto"/>
              <w:left w:val="single" w:sz="4" w:space="0" w:color="auto"/>
              <w:bottom w:val="single" w:sz="4" w:space="0" w:color="auto"/>
              <w:right w:val="single" w:sz="4" w:space="0" w:color="auto"/>
            </w:tcBorders>
            <w:vAlign w:val="center"/>
          </w:tcPr>
          <w:p w14:paraId="433E0061"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6 575</w:t>
            </w:r>
          </w:p>
        </w:tc>
        <w:tc>
          <w:tcPr>
            <w:tcW w:w="987" w:type="pct"/>
            <w:tcBorders>
              <w:top w:val="single" w:sz="4" w:space="0" w:color="auto"/>
              <w:left w:val="single" w:sz="4" w:space="0" w:color="auto"/>
              <w:bottom w:val="single" w:sz="4" w:space="0" w:color="auto"/>
              <w:right w:val="single" w:sz="4" w:space="0" w:color="auto"/>
            </w:tcBorders>
            <w:vAlign w:val="center"/>
          </w:tcPr>
          <w:p w14:paraId="3CA154FE"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6 859</w:t>
            </w:r>
          </w:p>
        </w:tc>
      </w:tr>
      <w:tr w:rsidR="00236B6D" w:rsidRPr="005A24F5" w14:paraId="3E3CD850"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6AE75821"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Забайкальский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14:paraId="482CE4DF"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5172</w:t>
            </w:r>
          </w:p>
        </w:tc>
        <w:tc>
          <w:tcPr>
            <w:tcW w:w="987" w:type="pct"/>
            <w:tcBorders>
              <w:top w:val="single" w:sz="4" w:space="0" w:color="auto"/>
              <w:left w:val="single" w:sz="4" w:space="0" w:color="auto"/>
              <w:bottom w:val="single" w:sz="4" w:space="0" w:color="auto"/>
              <w:right w:val="single" w:sz="4" w:space="0" w:color="auto"/>
            </w:tcBorders>
            <w:vAlign w:val="center"/>
          </w:tcPr>
          <w:p w14:paraId="7D5514A7"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5 239</w:t>
            </w:r>
          </w:p>
        </w:tc>
        <w:tc>
          <w:tcPr>
            <w:tcW w:w="987" w:type="pct"/>
            <w:tcBorders>
              <w:top w:val="single" w:sz="4" w:space="0" w:color="auto"/>
              <w:left w:val="single" w:sz="4" w:space="0" w:color="auto"/>
              <w:bottom w:val="single" w:sz="4" w:space="0" w:color="auto"/>
              <w:right w:val="single" w:sz="4" w:space="0" w:color="auto"/>
            </w:tcBorders>
            <w:vAlign w:val="center"/>
          </w:tcPr>
          <w:p w14:paraId="44063C1C"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5 431</w:t>
            </w:r>
          </w:p>
        </w:tc>
      </w:tr>
      <w:tr w:rsidR="00236B6D" w:rsidRPr="005A24F5" w14:paraId="60F52F68"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3F433C3F"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Камчатский край</w:t>
            </w:r>
          </w:p>
        </w:tc>
        <w:tc>
          <w:tcPr>
            <w:tcW w:w="987" w:type="pct"/>
            <w:tcBorders>
              <w:top w:val="single" w:sz="4" w:space="0" w:color="auto"/>
              <w:left w:val="single" w:sz="4" w:space="0" w:color="auto"/>
              <w:bottom w:val="single" w:sz="4" w:space="0" w:color="auto"/>
              <w:right w:val="single" w:sz="4" w:space="0" w:color="auto"/>
            </w:tcBorders>
            <w:vAlign w:val="center"/>
          </w:tcPr>
          <w:p w14:paraId="116B05CC"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1323</w:t>
            </w:r>
          </w:p>
        </w:tc>
        <w:tc>
          <w:tcPr>
            <w:tcW w:w="987" w:type="pct"/>
            <w:tcBorders>
              <w:top w:val="single" w:sz="4" w:space="0" w:color="auto"/>
              <w:left w:val="single" w:sz="4" w:space="0" w:color="auto"/>
              <w:bottom w:val="single" w:sz="4" w:space="0" w:color="auto"/>
              <w:right w:val="single" w:sz="4" w:space="0" w:color="auto"/>
            </w:tcBorders>
            <w:vAlign w:val="center"/>
          </w:tcPr>
          <w:p w14:paraId="51CA0C78"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1 345</w:t>
            </w:r>
          </w:p>
        </w:tc>
        <w:tc>
          <w:tcPr>
            <w:tcW w:w="987" w:type="pct"/>
            <w:tcBorders>
              <w:top w:val="single" w:sz="4" w:space="0" w:color="auto"/>
              <w:left w:val="single" w:sz="4" w:space="0" w:color="auto"/>
              <w:bottom w:val="single" w:sz="4" w:space="0" w:color="auto"/>
              <w:right w:val="single" w:sz="4" w:space="0" w:color="auto"/>
            </w:tcBorders>
            <w:vAlign w:val="center"/>
          </w:tcPr>
          <w:p w14:paraId="4F4D3B9F"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1 409</w:t>
            </w:r>
          </w:p>
        </w:tc>
      </w:tr>
      <w:tr w:rsidR="00236B6D" w:rsidRPr="005A24F5" w14:paraId="28382118"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39289128"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Приморский край</w:t>
            </w:r>
          </w:p>
        </w:tc>
        <w:tc>
          <w:tcPr>
            <w:tcW w:w="987" w:type="pct"/>
            <w:tcBorders>
              <w:top w:val="single" w:sz="4" w:space="0" w:color="auto"/>
              <w:left w:val="single" w:sz="4" w:space="0" w:color="auto"/>
              <w:bottom w:val="single" w:sz="4" w:space="0" w:color="auto"/>
              <w:right w:val="single" w:sz="4" w:space="0" w:color="auto"/>
            </w:tcBorders>
            <w:vAlign w:val="center"/>
          </w:tcPr>
          <w:p w14:paraId="64558658"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6115</w:t>
            </w:r>
          </w:p>
        </w:tc>
        <w:tc>
          <w:tcPr>
            <w:tcW w:w="987" w:type="pct"/>
            <w:tcBorders>
              <w:top w:val="single" w:sz="4" w:space="0" w:color="auto"/>
              <w:left w:val="single" w:sz="4" w:space="0" w:color="auto"/>
              <w:bottom w:val="single" w:sz="4" w:space="0" w:color="auto"/>
              <w:right w:val="single" w:sz="4" w:space="0" w:color="auto"/>
            </w:tcBorders>
            <w:vAlign w:val="center"/>
          </w:tcPr>
          <w:p w14:paraId="400FBD81"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6 306</w:t>
            </w:r>
          </w:p>
        </w:tc>
        <w:tc>
          <w:tcPr>
            <w:tcW w:w="987" w:type="pct"/>
            <w:tcBorders>
              <w:top w:val="single" w:sz="4" w:space="0" w:color="auto"/>
              <w:left w:val="single" w:sz="4" w:space="0" w:color="auto"/>
              <w:bottom w:val="single" w:sz="4" w:space="0" w:color="auto"/>
              <w:right w:val="single" w:sz="4" w:space="0" w:color="auto"/>
            </w:tcBorders>
            <w:vAlign w:val="center"/>
          </w:tcPr>
          <w:p w14:paraId="36E5C80B"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6 532</w:t>
            </w:r>
          </w:p>
        </w:tc>
      </w:tr>
      <w:tr w:rsidR="00236B6D" w:rsidRPr="005A24F5" w14:paraId="4C1A840B"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0C5A5A0F"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Хабаровский край</w:t>
            </w:r>
          </w:p>
        </w:tc>
        <w:tc>
          <w:tcPr>
            <w:tcW w:w="987" w:type="pct"/>
            <w:tcBorders>
              <w:top w:val="single" w:sz="4" w:space="0" w:color="auto"/>
              <w:left w:val="single" w:sz="4" w:space="0" w:color="auto"/>
              <w:bottom w:val="single" w:sz="4" w:space="0" w:color="auto"/>
              <w:right w:val="single" w:sz="4" w:space="0" w:color="auto"/>
            </w:tcBorders>
            <w:vAlign w:val="center"/>
          </w:tcPr>
          <w:p w14:paraId="013D97BE"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5085</w:t>
            </w:r>
          </w:p>
        </w:tc>
        <w:tc>
          <w:tcPr>
            <w:tcW w:w="987" w:type="pct"/>
            <w:tcBorders>
              <w:top w:val="single" w:sz="4" w:space="0" w:color="auto"/>
              <w:left w:val="single" w:sz="4" w:space="0" w:color="auto"/>
              <w:bottom w:val="single" w:sz="4" w:space="0" w:color="auto"/>
              <w:right w:val="single" w:sz="4" w:space="0" w:color="auto"/>
            </w:tcBorders>
            <w:vAlign w:val="center"/>
          </w:tcPr>
          <w:p w14:paraId="32F30088"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5 203</w:t>
            </w:r>
          </w:p>
        </w:tc>
        <w:tc>
          <w:tcPr>
            <w:tcW w:w="987" w:type="pct"/>
            <w:tcBorders>
              <w:top w:val="single" w:sz="4" w:space="0" w:color="auto"/>
              <w:left w:val="single" w:sz="4" w:space="0" w:color="auto"/>
              <w:bottom w:val="single" w:sz="4" w:space="0" w:color="auto"/>
              <w:right w:val="single" w:sz="4" w:space="0" w:color="auto"/>
            </w:tcBorders>
            <w:vAlign w:val="center"/>
          </w:tcPr>
          <w:p w14:paraId="2F683734"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5 400</w:t>
            </w:r>
          </w:p>
        </w:tc>
      </w:tr>
      <w:tr w:rsidR="00236B6D" w:rsidRPr="005A24F5" w14:paraId="2D75BF4C"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30487A65"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Амурская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678C2F22"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4248</w:t>
            </w:r>
          </w:p>
        </w:tc>
        <w:tc>
          <w:tcPr>
            <w:tcW w:w="987" w:type="pct"/>
            <w:tcBorders>
              <w:top w:val="single" w:sz="4" w:space="0" w:color="auto"/>
              <w:left w:val="single" w:sz="4" w:space="0" w:color="auto"/>
              <w:bottom w:val="single" w:sz="4" w:space="0" w:color="auto"/>
              <w:right w:val="single" w:sz="4" w:space="0" w:color="auto"/>
            </w:tcBorders>
            <w:vAlign w:val="center"/>
          </w:tcPr>
          <w:p w14:paraId="07F91F45"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4 230</w:t>
            </w:r>
          </w:p>
        </w:tc>
        <w:tc>
          <w:tcPr>
            <w:tcW w:w="987" w:type="pct"/>
            <w:tcBorders>
              <w:top w:val="single" w:sz="4" w:space="0" w:color="auto"/>
              <w:left w:val="single" w:sz="4" w:space="0" w:color="auto"/>
              <w:bottom w:val="single" w:sz="4" w:space="0" w:color="auto"/>
              <w:right w:val="single" w:sz="4" w:space="0" w:color="auto"/>
            </w:tcBorders>
            <w:vAlign w:val="center"/>
          </w:tcPr>
          <w:p w14:paraId="7B314D77"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4 246</w:t>
            </w:r>
          </w:p>
        </w:tc>
      </w:tr>
      <w:tr w:rsidR="00236B6D" w:rsidRPr="005A24F5" w14:paraId="5B67A22F"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1938A433"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Магаданская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2CFFE6FC"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537</w:t>
            </w:r>
          </w:p>
        </w:tc>
        <w:tc>
          <w:tcPr>
            <w:tcW w:w="987" w:type="pct"/>
            <w:tcBorders>
              <w:top w:val="single" w:sz="4" w:space="0" w:color="auto"/>
              <w:left w:val="single" w:sz="4" w:space="0" w:color="auto"/>
              <w:bottom w:val="single" w:sz="4" w:space="0" w:color="auto"/>
              <w:right w:val="single" w:sz="4" w:space="0" w:color="auto"/>
            </w:tcBorders>
            <w:vAlign w:val="center"/>
          </w:tcPr>
          <w:p w14:paraId="704D1CB3"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545</w:t>
            </w:r>
          </w:p>
        </w:tc>
        <w:tc>
          <w:tcPr>
            <w:tcW w:w="987" w:type="pct"/>
            <w:tcBorders>
              <w:top w:val="single" w:sz="4" w:space="0" w:color="auto"/>
              <w:left w:val="single" w:sz="4" w:space="0" w:color="auto"/>
              <w:bottom w:val="single" w:sz="4" w:space="0" w:color="auto"/>
              <w:right w:val="single" w:sz="4" w:space="0" w:color="auto"/>
            </w:tcBorders>
            <w:vAlign w:val="center"/>
          </w:tcPr>
          <w:p w14:paraId="5952DFFC"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542</w:t>
            </w:r>
          </w:p>
        </w:tc>
      </w:tr>
      <w:tr w:rsidR="00236B6D" w:rsidRPr="005A24F5" w14:paraId="05F46A6A"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31C5C489"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Сахалинская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0B117EFC"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2109</w:t>
            </w:r>
          </w:p>
        </w:tc>
        <w:tc>
          <w:tcPr>
            <w:tcW w:w="987" w:type="pct"/>
            <w:tcBorders>
              <w:top w:val="single" w:sz="4" w:space="0" w:color="auto"/>
              <w:left w:val="single" w:sz="4" w:space="0" w:color="auto"/>
              <w:bottom w:val="single" w:sz="4" w:space="0" w:color="auto"/>
              <w:right w:val="single" w:sz="4" w:space="0" w:color="auto"/>
            </w:tcBorders>
            <w:vAlign w:val="center"/>
          </w:tcPr>
          <w:p w14:paraId="39413A67"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2 261</w:t>
            </w:r>
          </w:p>
        </w:tc>
        <w:tc>
          <w:tcPr>
            <w:tcW w:w="987" w:type="pct"/>
            <w:tcBorders>
              <w:top w:val="single" w:sz="4" w:space="0" w:color="auto"/>
              <w:left w:val="single" w:sz="4" w:space="0" w:color="auto"/>
              <w:bottom w:val="single" w:sz="4" w:space="0" w:color="auto"/>
              <w:right w:val="single" w:sz="4" w:space="0" w:color="auto"/>
            </w:tcBorders>
            <w:vAlign w:val="center"/>
          </w:tcPr>
          <w:p w14:paraId="166A4561"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2 429</w:t>
            </w:r>
          </w:p>
        </w:tc>
      </w:tr>
      <w:tr w:rsidR="00236B6D" w:rsidRPr="005A24F5" w14:paraId="63FA6496"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0CA325A0"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Еврейская авт. область</w:t>
            </w:r>
          </w:p>
        </w:tc>
        <w:tc>
          <w:tcPr>
            <w:tcW w:w="987" w:type="pct"/>
            <w:tcBorders>
              <w:top w:val="single" w:sz="4" w:space="0" w:color="auto"/>
              <w:left w:val="single" w:sz="4" w:space="0" w:color="auto"/>
              <w:bottom w:val="single" w:sz="4" w:space="0" w:color="auto"/>
              <w:right w:val="single" w:sz="4" w:space="0" w:color="auto"/>
            </w:tcBorders>
            <w:vAlign w:val="center"/>
          </w:tcPr>
          <w:p w14:paraId="69E718AE"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747</w:t>
            </w:r>
          </w:p>
        </w:tc>
        <w:tc>
          <w:tcPr>
            <w:tcW w:w="987" w:type="pct"/>
            <w:tcBorders>
              <w:top w:val="single" w:sz="4" w:space="0" w:color="auto"/>
              <w:left w:val="single" w:sz="4" w:space="0" w:color="auto"/>
              <w:bottom w:val="single" w:sz="4" w:space="0" w:color="auto"/>
              <w:right w:val="single" w:sz="4" w:space="0" w:color="auto"/>
            </w:tcBorders>
            <w:vAlign w:val="center"/>
          </w:tcPr>
          <w:p w14:paraId="61AAB5D5"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751</w:t>
            </w:r>
          </w:p>
        </w:tc>
        <w:tc>
          <w:tcPr>
            <w:tcW w:w="987" w:type="pct"/>
            <w:tcBorders>
              <w:top w:val="single" w:sz="4" w:space="0" w:color="auto"/>
              <w:left w:val="single" w:sz="4" w:space="0" w:color="auto"/>
              <w:bottom w:val="single" w:sz="4" w:space="0" w:color="auto"/>
              <w:right w:val="single" w:sz="4" w:space="0" w:color="auto"/>
            </w:tcBorders>
            <w:vAlign w:val="center"/>
          </w:tcPr>
          <w:p w14:paraId="6D0E986C"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800</w:t>
            </w:r>
          </w:p>
        </w:tc>
      </w:tr>
      <w:tr w:rsidR="00236B6D" w:rsidRPr="005A24F5" w14:paraId="55B6E09E" w14:textId="77777777" w:rsidTr="005A24F5">
        <w:trPr>
          <w:jc w:val="center"/>
        </w:trPr>
        <w:tc>
          <w:tcPr>
            <w:tcW w:w="2039" w:type="pct"/>
            <w:tcBorders>
              <w:top w:val="single" w:sz="4" w:space="0" w:color="auto"/>
              <w:left w:val="single" w:sz="4" w:space="0" w:color="auto"/>
              <w:bottom w:val="single" w:sz="4" w:space="0" w:color="auto"/>
              <w:right w:val="single" w:sz="4" w:space="0" w:color="auto"/>
            </w:tcBorders>
            <w:vAlign w:val="bottom"/>
          </w:tcPr>
          <w:p w14:paraId="17F1CA5A" w14:textId="77777777" w:rsidR="00236B6D" w:rsidRPr="005A24F5" w:rsidRDefault="00236B6D" w:rsidP="00236B6D">
            <w:pPr>
              <w:spacing w:before="40" w:after="0" w:line="240" w:lineRule="auto"/>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Чукотский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14:paraId="31EC9BD7"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250</w:t>
            </w:r>
          </w:p>
        </w:tc>
        <w:tc>
          <w:tcPr>
            <w:tcW w:w="987" w:type="pct"/>
            <w:tcBorders>
              <w:top w:val="single" w:sz="4" w:space="0" w:color="auto"/>
              <w:left w:val="single" w:sz="4" w:space="0" w:color="auto"/>
              <w:bottom w:val="single" w:sz="4" w:space="0" w:color="auto"/>
              <w:right w:val="single" w:sz="4" w:space="0" w:color="auto"/>
            </w:tcBorders>
            <w:vAlign w:val="center"/>
          </w:tcPr>
          <w:p w14:paraId="5D2342F9" w14:textId="77777777" w:rsidR="00236B6D" w:rsidRPr="005A24F5" w:rsidRDefault="00236B6D" w:rsidP="00236B6D">
            <w:pPr>
              <w:spacing w:after="0" w:line="240" w:lineRule="auto"/>
              <w:jc w:val="center"/>
              <w:rPr>
                <w:rFonts w:ascii="Times New Roman" w:eastAsia="Arial Unicode MS" w:hAnsi="Times New Roman" w:cs="Times New Roman"/>
                <w:sz w:val="24"/>
                <w:szCs w:val="24"/>
                <w:lang w:eastAsia="ru-RU"/>
              </w:rPr>
            </w:pPr>
            <w:r w:rsidRPr="005A24F5">
              <w:rPr>
                <w:rFonts w:ascii="Times New Roman" w:eastAsia="Arial Unicode MS" w:hAnsi="Times New Roman" w:cs="Times New Roman"/>
                <w:sz w:val="24"/>
                <w:szCs w:val="24"/>
                <w:lang w:eastAsia="ru-RU"/>
              </w:rPr>
              <w:t>255</w:t>
            </w:r>
          </w:p>
        </w:tc>
        <w:tc>
          <w:tcPr>
            <w:tcW w:w="987" w:type="pct"/>
            <w:tcBorders>
              <w:top w:val="single" w:sz="4" w:space="0" w:color="auto"/>
              <w:left w:val="single" w:sz="4" w:space="0" w:color="auto"/>
              <w:bottom w:val="single" w:sz="4" w:space="0" w:color="auto"/>
              <w:right w:val="single" w:sz="4" w:space="0" w:color="auto"/>
            </w:tcBorders>
            <w:vAlign w:val="center"/>
          </w:tcPr>
          <w:p w14:paraId="2CCD2951" w14:textId="77777777" w:rsidR="00236B6D" w:rsidRPr="006C2427" w:rsidRDefault="00236B6D" w:rsidP="00236B6D">
            <w:pPr>
              <w:spacing w:after="0" w:line="240" w:lineRule="auto"/>
              <w:jc w:val="center"/>
              <w:rPr>
                <w:rFonts w:ascii="Times New Roman" w:eastAsia="Times New Roman" w:hAnsi="Times New Roman" w:cs="Times New Roman"/>
                <w:color w:val="000000" w:themeColor="text1"/>
                <w:sz w:val="24"/>
                <w:szCs w:val="24"/>
              </w:rPr>
            </w:pPr>
            <w:r w:rsidRPr="006C2427">
              <w:rPr>
                <w:rFonts w:ascii="Times New Roman" w:eastAsia="Times New Roman" w:hAnsi="Times New Roman" w:cs="Times New Roman"/>
                <w:color w:val="000000" w:themeColor="text1"/>
                <w:sz w:val="24"/>
                <w:szCs w:val="24"/>
              </w:rPr>
              <w:t>256</w:t>
            </w:r>
          </w:p>
        </w:tc>
      </w:tr>
    </w:tbl>
    <w:p w14:paraId="63D3DF38" w14:textId="77777777" w:rsidR="00D03A4F" w:rsidRPr="005A24F5" w:rsidRDefault="00D03A4F" w:rsidP="004827FD">
      <w:pPr>
        <w:spacing w:after="0" w:line="240" w:lineRule="auto"/>
        <w:rPr>
          <w:rFonts w:ascii="Times New Roman" w:eastAsia="Times New Roman" w:hAnsi="Times New Roman" w:cs="Times New Roman"/>
          <w:sz w:val="26"/>
          <w:szCs w:val="26"/>
          <w:lang w:eastAsia="ru-RU"/>
        </w:rPr>
      </w:pPr>
    </w:p>
    <w:p w14:paraId="52274EAB" w14:textId="77777777" w:rsidR="00D03A4F" w:rsidRPr="00236B6D" w:rsidRDefault="00D03A4F" w:rsidP="00236B6D">
      <w:pPr>
        <w:spacing w:after="0" w:line="240" w:lineRule="auto"/>
        <w:ind w:right="284" w:firstLine="284"/>
        <w:jc w:val="both"/>
        <w:rPr>
          <w:rFonts w:ascii="Times New Roman" w:eastAsia="Times New Roman" w:hAnsi="Times New Roman" w:cs="Times New Roman"/>
          <w:lang w:eastAsia="ru-RU"/>
        </w:rPr>
      </w:pPr>
      <w:r w:rsidRPr="00236B6D">
        <w:rPr>
          <w:rFonts w:ascii="Times New Roman" w:eastAsia="Times New Roman" w:hAnsi="Times New Roman" w:cs="Times New Roman"/>
          <w:lang w:eastAsia="ru-RU"/>
        </w:rPr>
        <w:t xml:space="preserve">1) </w:t>
      </w:r>
      <w:r w:rsidR="00236B6D" w:rsidRPr="00236B6D">
        <w:rPr>
          <w:rFonts w:ascii="Times New Roman" w:eastAsia="Times New Roman" w:hAnsi="Times New Roman" w:cs="Times New Roman"/>
          <w:iCs/>
        </w:rPr>
        <w:t>По данным Пенсионного фонда Российской Федерации, без учета г. Байконур, начиная с 1 января 2018 г. приведены данные федеральной государственной информационной системы «Федеральный реестр инвалидов», начиная с 2022 г. приведены данные Пенсионного фонда Российской Федерации с учетом данных по г. Байконур.</w:t>
      </w:r>
    </w:p>
    <w:p w14:paraId="4901E278" w14:textId="77777777"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14:paraId="5B439E04" w14:textId="77777777" w:rsidR="00D03A4F" w:rsidRPr="000C0637" w:rsidRDefault="00D03A4F" w:rsidP="00D03A4F">
      <w:pPr>
        <w:spacing w:after="0" w:line="240" w:lineRule="auto"/>
        <w:jc w:val="right"/>
        <w:rPr>
          <w:rFonts w:ascii="Times New Roman" w:eastAsia="Times New Roman" w:hAnsi="Times New Roman" w:cs="Times New Roman"/>
          <w:sz w:val="26"/>
          <w:szCs w:val="26"/>
          <w:lang w:eastAsia="ru-RU"/>
        </w:rPr>
      </w:pPr>
      <w:r w:rsidRPr="000C0637">
        <w:rPr>
          <w:rFonts w:ascii="Times New Roman" w:eastAsia="Times New Roman" w:hAnsi="Times New Roman" w:cs="Times New Roman"/>
          <w:sz w:val="26"/>
          <w:szCs w:val="26"/>
          <w:lang w:eastAsia="ru-RU"/>
        </w:rPr>
        <w:t>Таблица 5</w:t>
      </w:r>
      <w:r w:rsidR="008737BB">
        <w:rPr>
          <w:rFonts w:ascii="Times New Roman" w:eastAsia="Times New Roman" w:hAnsi="Times New Roman" w:cs="Times New Roman"/>
          <w:sz w:val="26"/>
          <w:szCs w:val="26"/>
          <w:lang w:eastAsia="ru-RU"/>
        </w:rPr>
        <w:t>2</w:t>
      </w:r>
    </w:p>
    <w:p w14:paraId="4C11DD7D" w14:textId="77777777" w:rsidR="00D03A4F" w:rsidRPr="000C0637" w:rsidRDefault="00D03A4F" w:rsidP="00D03A4F">
      <w:pPr>
        <w:spacing w:after="0" w:line="240" w:lineRule="auto"/>
        <w:jc w:val="right"/>
        <w:rPr>
          <w:rFonts w:ascii="Times New Roman" w:eastAsia="Times New Roman" w:hAnsi="Times New Roman" w:cs="Times New Roman"/>
          <w:sz w:val="26"/>
          <w:szCs w:val="26"/>
          <w:lang w:eastAsia="ru-RU"/>
        </w:rPr>
      </w:pPr>
    </w:p>
    <w:p w14:paraId="72A0B1A3" w14:textId="2FB9E3CA" w:rsidR="00D03A4F" w:rsidRPr="000C0637" w:rsidRDefault="00D03A4F" w:rsidP="003B77D7">
      <w:pPr>
        <w:spacing w:after="0" w:line="240" w:lineRule="auto"/>
        <w:ind w:left="567" w:right="141"/>
        <w:jc w:val="center"/>
        <w:rPr>
          <w:rFonts w:ascii="Times New Roman" w:eastAsia="Times New Roman" w:hAnsi="Times New Roman" w:cs="Times New Roman"/>
          <w:sz w:val="26"/>
          <w:szCs w:val="26"/>
          <w:lang w:eastAsia="ru-RU"/>
        </w:rPr>
      </w:pPr>
      <w:r w:rsidRPr="000C0637">
        <w:rPr>
          <w:rFonts w:ascii="Times New Roman" w:eastAsia="Times New Roman" w:hAnsi="Times New Roman" w:cs="Times New Roman"/>
          <w:b/>
          <w:bCs/>
          <w:sz w:val="26"/>
          <w:szCs w:val="26"/>
          <w:lang w:eastAsia="ru-RU"/>
        </w:rPr>
        <w:t>Реализация мер социальной поддержки детей</w:t>
      </w:r>
      <w:r w:rsidR="003B77D7" w:rsidRPr="00295F0B">
        <w:rPr>
          <w:rFonts w:ascii="Times New Roman" w:eastAsia="Times New Roman" w:hAnsi="Times New Roman" w:cs="Times New Roman"/>
          <w:b/>
          <w:bCs/>
          <w:sz w:val="26"/>
          <w:szCs w:val="26"/>
          <w:lang w:eastAsia="ru-RU"/>
        </w:rPr>
        <w:t xml:space="preserve"> с инвалидностью</w:t>
      </w:r>
      <w:r w:rsidR="003B77D7" w:rsidRPr="000C0637" w:rsidDel="003B77D7">
        <w:rPr>
          <w:rFonts w:ascii="Times New Roman" w:eastAsia="Times New Roman" w:hAnsi="Times New Roman" w:cs="Times New Roman"/>
          <w:b/>
          <w:bCs/>
          <w:sz w:val="26"/>
          <w:szCs w:val="26"/>
          <w:lang w:eastAsia="ru-RU"/>
        </w:rPr>
        <w:t xml:space="preserve"> </w:t>
      </w: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7"/>
        <w:gridCol w:w="1443"/>
        <w:gridCol w:w="1443"/>
        <w:gridCol w:w="1443"/>
      </w:tblGrid>
      <w:tr w:rsidR="004A7C23" w:rsidRPr="000C0637" w14:paraId="2D62F954" w14:textId="77777777" w:rsidTr="004A7C23">
        <w:trPr>
          <w:cantSplit/>
          <w:tblHeader/>
          <w:jc w:val="center"/>
        </w:trPr>
        <w:tc>
          <w:tcPr>
            <w:tcW w:w="2879" w:type="pct"/>
            <w:tcBorders>
              <w:left w:val="single" w:sz="4" w:space="0" w:color="auto"/>
              <w:bottom w:val="single" w:sz="4" w:space="0" w:color="auto"/>
              <w:right w:val="single" w:sz="4" w:space="0" w:color="auto"/>
            </w:tcBorders>
          </w:tcPr>
          <w:p w14:paraId="19CB9D6C" w14:textId="77777777" w:rsidR="004A7C23" w:rsidRPr="000C0637" w:rsidRDefault="004A7C23" w:rsidP="004A7C23">
            <w:pPr>
              <w:spacing w:after="0" w:line="240" w:lineRule="auto"/>
              <w:jc w:val="center"/>
              <w:rPr>
                <w:rFonts w:ascii="Times New Roman" w:eastAsia="Times New Roman" w:hAnsi="Times New Roman" w:cs="Times New Roman"/>
                <w:i/>
                <w:sz w:val="24"/>
                <w:szCs w:val="24"/>
                <w:lang w:eastAsia="ru-RU"/>
              </w:rPr>
            </w:pPr>
          </w:p>
        </w:tc>
        <w:tc>
          <w:tcPr>
            <w:tcW w:w="707" w:type="pct"/>
            <w:tcBorders>
              <w:left w:val="single" w:sz="4" w:space="0" w:color="auto"/>
              <w:bottom w:val="single" w:sz="4" w:space="0" w:color="auto"/>
              <w:right w:val="single" w:sz="4" w:space="0" w:color="auto"/>
            </w:tcBorders>
          </w:tcPr>
          <w:p w14:paraId="3362FE98" w14:textId="77777777" w:rsidR="004A7C23" w:rsidRPr="000C0637" w:rsidRDefault="004A7C23" w:rsidP="004A7C23">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0C0637">
              <w:rPr>
                <w:rFonts w:ascii="Times New Roman" w:eastAsia="Times New Roman" w:hAnsi="Times New Roman" w:cs="Times New Roman"/>
                <w:sz w:val="24"/>
                <w:szCs w:val="24"/>
                <w:lang w:eastAsia="ru-RU"/>
              </w:rPr>
              <w:t xml:space="preserve"> г.</w:t>
            </w:r>
          </w:p>
        </w:tc>
        <w:tc>
          <w:tcPr>
            <w:tcW w:w="707" w:type="pct"/>
            <w:tcBorders>
              <w:left w:val="single" w:sz="4" w:space="0" w:color="auto"/>
              <w:bottom w:val="single" w:sz="4" w:space="0" w:color="auto"/>
              <w:right w:val="single" w:sz="4" w:space="0" w:color="auto"/>
            </w:tcBorders>
            <w:vAlign w:val="bottom"/>
          </w:tcPr>
          <w:p w14:paraId="77CDD632" w14:textId="77777777" w:rsidR="004A7C23" w:rsidRPr="000C0637" w:rsidRDefault="004A7C23" w:rsidP="004A7C23">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w:t>
            </w:r>
            <w:r w:rsidRPr="000C0637">
              <w:rPr>
                <w:rFonts w:ascii="Times New Roman" w:eastAsia="Times New Roman" w:hAnsi="Times New Roman" w:cs="Times New Roman"/>
                <w:sz w:val="24"/>
                <w:szCs w:val="24"/>
                <w:lang w:eastAsia="ru-RU"/>
              </w:rPr>
              <w:t xml:space="preserve"> г.</w:t>
            </w:r>
          </w:p>
        </w:tc>
        <w:tc>
          <w:tcPr>
            <w:tcW w:w="707" w:type="pct"/>
            <w:tcBorders>
              <w:left w:val="single" w:sz="4" w:space="0" w:color="auto"/>
              <w:bottom w:val="single" w:sz="4" w:space="0" w:color="auto"/>
              <w:right w:val="single" w:sz="4" w:space="0" w:color="auto"/>
            </w:tcBorders>
            <w:vAlign w:val="bottom"/>
          </w:tcPr>
          <w:p w14:paraId="2E9F3939" w14:textId="77777777" w:rsidR="004A7C23" w:rsidRPr="000C0637" w:rsidRDefault="004A7C23" w:rsidP="004A7C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w:t>
            </w:r>
          </w:p>
        </w:tc>
      </w:tr>
      <w:tr w:rsidR="004A7C23" w:rsidRPr="000C0637" w14:paraId="764109D7" w14:textId="77777777" w:rsidTr="004A7C23">
        <w:trPr>
          <w:jc w:val="center"/>
        </w:trPr>
        <w:tc>
          <w:tcPr>
            <w:tcW w:w="2879" w:type="pct"/>
            <w:tcBorders>
              <w:top w:val="nil"/>
              <w:left w:val="single" w:sz="4" w:space="0" w:color="auto"/>
              <w:bottom w:val="single" w:sz="4" w:space="0" w:color="auto"/>
              <w:right w:val="single" w:sz="4" w:space="0" w:color="auto"/>
            </w:tcBorders>
            <w:vAlign w:val="center"/>
          </w:tcPr>
          <w:p w14:paraId="4903D924" w14:textId="77777777" w:rsidR="004A7C23" w:rsidRPr="000C0637" w:rsidRDefault="004A7C23" w:rsidP="004A7C23">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Численность получателей ежемесячной денежной выплаты (ЕДВ)</w:t>
            </w:r>
            <w:r w:rsidRPr="000C0637">
              <w:rPr>
                <w:rFonts w:ascii="Times New Roman" w:eastAsia="Times New Roman" w:hAnsi="Times New Roman" w:cs="Times New Roman"/>
                <w:sz w:val="24"/>
                <w:szCs w:val="24"/>
                <w:vertAlign w:val="superscript"/>
                <w:lang w:eastAsia="ru-RU"/>
              </w:rPr>
              <w:t>1)</w:t>
            </w:r>
            <w:r w:rsidRPr="000C0637">
              <w:rPr>
                <w:rFonts w:ascii="Times New Roman" w:eastAsia="Times New Roman" w:hAnsi="Times New Roman" w:cs="Times New Roman"/>
                <w:sz w:val="24"/>
                <w:szCs w:val="24"/>
                <w:lang w:eastAsia="ru-RU"/>
              </w:rPr>
              <w:t>, на 1 января, тыс. чел.</w:t>
            </w:r>
          </w:p>
        </w:tc>
        <w:tc>
          <w:tcPr>
            <w:tcW w:w="707" w:type="pct"/>
            <w:tcBorders>
              <w:top w:val="nil"/>
              <w:left w:val="single" w:sz="4" w:space="0" w:color="auto"/>
              <w:bottom w:val="single" w:sz="4" w:space="0" w:color="auto"/>
              <w:right w:val="single" w:sz="4" w:space="0" w:color="auto"/>
            </w:tcBorders>
            <w:vAlign w:val="bottom"/>
          </w:tcPr>
          <w:p w14:paraId="33AE1AD0" w14:textId="77777777" w:rsidR="004A7C23" w:rsidRPr="000C0637" w:rsidRDefault="004A7C23" w:rsidP="004A7C23">
            <w:pPr>
              <w:spacing w:after="0" w:line="240" w:lineRule="auto"/>
              <w:ind w:right="175"/>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687,1</w:t>
            </w:r>
          </w:p>
        </w:tc>
        <w:tc>
          <w:tcPr>
            <w:tcW w:w="707" w:type="pct"/>
            <w:tcBorders>
              <w:top w:val="nil"/>
              <w:left w:val="single" w:sz="4" w:space="0" w:color="auto"/>
              <w:bottom w:val="single" w:sz="4" w:space="0" w:color="auto"/>
              <w:right w:val="single" w:sz="4" w:space="0" w:color="auto"/>
            </w:tcBorders>
            <w:vAlign w:val="bottom"/>
          </w:tcPr>
          <w:p w14:paraId="39476425" w14:textId="77777777" w:rsidR="004A7C23" w:rsidRPr="000C0637" w:rsidRDefault="004A7C23" w:rsidP="004A7C23">
            <w:pPr>
              <w:spacing w:after="0" w:line="240" w:lineRule="auto"/>
              <w:ind w:right="175"/>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703,9</w:t>
            </w:r>
          </w:p>
        </w:tc>
        <w:tc>
          <w:tcPr>
            <w:tcW w:w="707" w:type="pct"/>
            <w:tcBorders>
              <w:top w:val="nil"/>
              <w:left w:val="single" w:sz="4" w:space="0" w:color="auto"/>
              <w:bottom w:val="single" w:sz="4" w:space="0" w:color="auto"/>
              <w:right w:val="single" w:sz="4" w:space="0" w:color="auto"/>
            </w:tcBorders>
            <w:vAlign w:val="bottom"/>
          </w:tcPr>
          <w:p w14:paraId="02D9BD55" w14:textId="77777777" w:rsidR="004A7C23" w:rsidRPr="000C0637" w:rsidRDefault="004A7C23" w:rsidP="004A7C23">
            <w:pPr>
              <w:spacing w:after="0" w:line="240" w:lineRule="auto"/>
              <w:ind w:right="1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728,2</w:t>
            </w:r>
          </w:p>
        </w:tc>
      </w:tr>
      <w:tr w:rsidR="004A7C23" w:rsidRPr="000C0637" w14:paraId="66ED56DD" w14:textId="77777777" w:rsidTr="004A7C23">
        <w:trPr>
          <w:trHeight w:val="467"/>
          <w:jc w:val="center"/>
        </w:trPr>
        <w:tc>
          <w:tcPr>
            <w:tcW w:w="2879" w:type="pct"/>
            <w:tcBorders>
              <w:top w:val="nil"/>
              <w:left w:val="single" w:sz="4" w:space="0" w:color="auto"/>
              <w:bottom w:val="single" w:sz="4" w:space="0" w:color="auto"/>
              <w:right w:val="single" w:sz="4" w:space="0" w:color="auto"/>
            </w:tcBorders>
            <w:vAlign w:val="center"/>
          </w:tcPr>
          <w:p w14:paraId="38238481" w14:textId="77777777" w:rsidR="004A7C23" w:rsidRPr="000C0637" w:rsidRDefault="004A7C23" w:rsidP="004A7C23">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Средний размер ежемесячной денежной выплаты (ЕДВ)</w:t>
            </w:r>
            <w:r w:rsidRPr="000C0637">
              <w:rPr>
                <w:rFonts w:ascii="Times New Roman" w:eastAsia="Times New Roman" w:hAnsi="Times New Roman" w:cs="Times New Roman"/>
                <w:sz w:val="24"/>
                <w:szCs w:val="24"/>
                <w:vertAlign w:val="superscript"/>
                <w:lang w:eastAsia="ru-RU"/>
              </w:rPr>
              <w:t>1)</w:t>
            </w:r>
            <w:r w:rsidRPr="000C0637">
              <w:rPr>
                <w:rFonts w:ascii="Times New Roman" w:eastAsia="Times New Roman" w:hAnsi="Times New Roman" w:cs="Times New Roman"/>
                <w:sz w:val="24"/>
                <w:szCs w:val="24"/>
                <w:lang w:eastAsia="ru-RU"/>
              </w:rPr>
              <w:t>, рублей</w:t>
            </w:r>
          </w:p>
        </w:tc>
        <w:tc>
          <w:tcPr>
            <w:tcW w:w="707" w:type="pct"/>
            <w:tcBorders>
              <w:top w:val="nil"/>
              <w:left w:val="single" w:sz="4" w:space="0" w:color="auto"/>
              <w:bottom w:val="single" w:sz="4" w:space="0" w:color="auto"/>
              <w:right w:val="single" w:sz="4" w:space="0" w:color="auto"/>
            </w:tcBorders>
            <w:vAlign w:val="bottom"/>
          </w:tcPr>
          <w:p w14:paraId="459F1BF5" w14:textId="77777777" w:rsidR="004A7C23" w:rsidRPr="000C0637" w:rsidRDefault="004A7C23" w:rsidP="004A7C23">
            <w:pPr>
              <w:spacing w:after="0" w:line="240" w:lineRule="auto"/>
              <w:ind w:right="175"/>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2 134</w:t>
            </w:r>
          </w:p>
        </w:tc>
        <w:tc>
          <w:tcPr>
            <w:tcW w:w="707" w:type="pct"/>
            <w:tcBorders>
              <w:top w:val="nil"/>
              <w:left w:val="single" w:sz="4" w:space="0" w:color="auto"/>
              <w:bottom w:val="single" w:sz="4" w:space="0" w:color="auto"/>
              <w:right w:val="single" w:sz="4" w:space="0" w:color="auto"/>
            </w:tcBorders>
            <w:vAlign w:val="bottom"/>
          </w:tcPr>
          <w:p w14:paraId="040070B5" w14:textId="77777777" w:rsidR="004A7C23" w:rsidRPr="000C0637" w:rsidRDefault="004A7C23" w:rsidP="004A7C23">
            <w:pPr>
              <w:spacing w:after="0" w:line="240" w:lineRule="auto"/>
              <w:ind w:right="175"/>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2 189</w:t>
            </w:r>
          </w:p>
        </w:tc>
        <w:tc>
          <w:tcPr>
            <w:tcW w:w="707" w:type="pct"/>
            <w:tcBorders>
              <w:top w:val="nil"/>
              <w:left w:val="single" w:sz="4" w:space="0" w:color="auto"/>
              <w:bottom w:val="single" w:sz="4" w:space="0" w:color="auto"/>
              <w:right w:val="single" w:sz="4" w:space="0" w:color="auto"/>
            </w:tcBorders>
            <w:vAlign w:val="bottom"/>
          </w:tcPr>
          <w:p w14:paraId="1FF0760B" w14:textId="77777777" w:rsidR="004A7C23" w:rsidRPr="000C0637" w:rsidRDefault="004A7C23" w:rsidP="004A7C23">
            <w:pPr>
              <w:spacing w:after="0" w:line="240" w:lineRule="auto"/>
              <w:ind w:right="1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2 272</w:t>
            </w:r>
          </w:p>
        </w:tc>
      </w:tr>
    </w:tbl>
    <w:p w14:paraId="3A2A5871" w14:textId="77777777" w:rsidR="00D03A4F" w:rsidRPr="000C0637" w:rsidRDefault="00D03A4F" w:rsidP="00D03A4F">
      <w:pPr>
        <w:spacing w:after="0" w:line="240" w:lineRule="auto"/>
        <w:ind w:right="284"/>
        <w:jc w:val="both"/>
        <w:rPr>
          <w:rFonts w:ascii="Times New Roman" w:eastAsia="Times New Roman" w:hAnsi="Times New Roman" w:cs="Times New Roman"/>
          <w:iCs/>
          <w:sz w:val="24"/>
          <w:szCs w:val="24"/>
          <w:lang w:eastAsia="ru-RU"/>
        </w:rPr>
      </w:pPr>
    </w:p>
    <w:p w14:paraId="76C81DEB" w14:textId="78996FA3" w:rsidR="00D03A4F" w:rsidRPr="00C55EF2" w:rsidRDefault="00D03A4F" w:rsidP="00C55EF2">
      <w:pPr>
        <w:spacing w:after="0" w:line="240" w:lineRule="auto"/>
        <w:ind w:right="284" w:firstLine="284"/>
        <w:jc w:val="both"/>
        <w:rPr>
          <w:rFonts w:ascii="Times New Roman" w:eastAsia="Times New Roman" w:hAnsi="Times New Roman" w:cs="Times New Roman"/>
          <w:iCs/>
          <w:sz w:val="24"/>
          <w:szCs w:val="24"/>
          <w:lang w:eastAsia="ru-RU"/>
        </w:rPr>
      </w:pPr>
      <w:r w:rsidRPr="000C0637">
        <w:rPr>
          <w:rFonts w:ascii="Times New Roman" w:eastAsia="Times New Roman" w:hAnsi="Times New Roman" w:cs="Times New Roman"/>
          <w:iCs/>
          <w:sz w:val="24"/>
          <w:szCs w:val="24"/>
          <w:vertAlign w:val="superscript"/>
          <w:lang w:eastAsia="ru-RU"/>
        </w:rPr>
        <w:t>1)</w:t>
      </w:r>
      <w:r w:rsidRPr="000C0637">
        <w:rPr>
          <w:rFonts w:ascii="Times New Roman" w:eastAsia="Times New Roman" w:hAnsi="Times New Roman" w:cs="Times New Roman"/>
          <w:iCs/>
          <w:sz w:val="24"/>
          <w:szCs w:val="24"/>
          <w:lang w:eastAsia="ru-RU"/>
        </w:rPr>
        <w:t xml:space="preserve"> По данным Пенсионного фонда Российской Федерации.</w:t>
      </w:r>
    </w:p>
    <w:p w14:paraId="7630C717" w14:textId="77777777" w:rsidR="00DB764F" w:rsidRDefault="00DB764F" w:rsidP="004827FD">
      <w:pPr>
        <w:spacing w:after="0" w:line="240" w:lineRule="auto"/>
        <w:rPr>
          <w:rFonts w:ascii="Times New Roman" w:eastAsia="Times New Roman" w:hAnsi="Times New Roman" w:cs="Times New Roman"/>
          <w:sz w:val="26"/>
          <w:szCs w:val="26"/>
          <w:highlight w:val="yellow"/>
          <w:lang w:eastAsia="ru-RU"/>
        </w:rPr>
        <w:sectPr w:rsidR="00DB764F" w:rsidSect="00675542">
          <w:pgSz w:w="11906" w:h="16838"/>
          <w:pgMar w:top="1134" w:right="849" w:bottom="709" w:left="851" w:header="709" w:footer="709" w:gutter="0"/>
          <w:cols w:space="708"/>
          <w:docGrid w:linePitch="360"/>
        </w:sectPr>
      </w:pPr>
    </w:p>
    <w:p w14:paraId="4852ADF9" w14:textId="77777777" w:rsidR="00D03A4F" w:rsidRPr="000C0637" w:rsidRDefault="00D03A4F" w:rsidP="00D03A4F">
      <w:pPr>
        <w:spacing w:after="0" w:line="240" w:lineRule="auto"/>
        <w:jc w:val="right"/>
        <w:rPr>
          <w:rFonts w:ascii="Times New Roman" w:eastAsia="Times New Roman" w:hAnsi="Times New Roman" w:cs="Times New Roman"/>
          <w:sz w:val="26"/>
          <w:szCs w:val="26"/>
          <w:lang w:eastAsia="ru-RU"/>
        </w:rPr>
      </w:pPr>
      <w:r w:rsidRPr="000C0637">
        <w:rPr>
          <w:rFonts w:ascii="Times New Roman" w:eastAsia="Times New Roman" w:hAnsi="Times New Roman" w:cs="Times New Roman"/>
          <w:sz w:val="26"/>
          <w:szCs w:val="26"/>
          <w:lang w:eastAsia="ru-RU"/>
        </w:rPr>
        <w:t>Таблица 5</w:t>
      </w:r>
      <w:r w:rsidR="008737BB">
        <w:rPr>
          <w:rFonts w:ascii="Times New Roman" w:eastAsia="Times New Roman" w:hAnsi="Times New Roman" w:cs="Times New Roman"/>
          <w:sz w:val="26"/>
          <w:szCs w:val="26"/>
          <w:lang w:eastAsia="ru-RU"/>
        </w:rPr>
        <w:t>3</w:t>
      </w:r>
    </w:p>
    <w:p w14:paraId="26E90399" w14:textId="77777777" w:rsidR="00D03A4F" w:rsidRPr="000C0637" w:rsidRDefault="00D03A4F" w:rsidP="00D03A4F">
      <w:pPr>
        <w:spacing w:after="0" w:line="240" w:lineRule="auto"/>
        <w:jc w:val="right"/>
        <w:rPr>
          <w:rFonts w:ascii="Times New Roman" w:eastAsia="Times New Roman" w:hAnsi="Times New Roman" w:cs="Times New Roman"/>
          <w:sz w:val="26"/>
          <w:szCs w:val="26"/>
          <w:lang w:eastAsia="ru-RU"/>
        </w:rPr>
      </w:pPr>
    </w:p>
    <w:p w14:paraId="543BCBC3" w14:textId="77777777" w:rsidR="00D03A4F" w:rsidRPr="000C0637"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0C0637">
        <w:rPr>
          <w:rFonts w:ascii="Times New Roman" w:eastAsia="Times New Roman" w:hAnsi="Times New Roman" w:cs="Times New Roman"/>
          <w:b/>
          <w:bCs/>
          <w:sz w:val="26"/>
          <w:szCs w:val="26"/>
          <w:lang w:eastAsia="ru-RU"/>
        </w:rPr>
        <w:t>Численность детей-сирот, детей из отдельных категорий семей и семей с детьми, получивших меры социальной поддержки за счет средств консолидированного бюджета субъекта Российской Федерации</w:t>
      </w:r>
    </w:p>
    <w:p w14:paraId="1504E71C" w14:textId="77777777" w:rsidR="00D03A4F" w:rsidRPr="000C0637" w:rsidRDefault="00D03A4F" w:rsidP="00D03A4F">
      <w:pPr>
        <w:spacing w:after="0" w:line="240" w:lineRule="auto"/>
        <w:jc w:val="right"/>
        <w:rPr>
          <w:rFonts w:ascii="Times New Roman" w:eastAsia="Times New Roman" w:hAnsi="Times New Roman" w:cs="Times New Roman"/>
          <w:sz w:val="26"/>
          <w:szCs w:val="26"/>
          <w:lang w:eastAsia="ru-RU"/>
        </w:rPr>
      </w:pPr>
    </w:p>
    <w:tbl>
      <w:tblPr>
        <w:tblW w:w="5174" w:type="pct"/>
        <w:jc w:val="center"/>
        <w:tblCellMar>
          <w:left w:w="0" w:type="dxa"/>
          <w:right w:w="0" w:type="dxa"/>
        </w:tblCellMar>
        <w:tblLook w:val="0000" w:firstRow="0" w:lastRow="0" w:firstColumn="0" w:lastColumn="0" w:noHBand="0" w:noVBand="0"/>
      </w:tblPr>
      <w:tblGrid>
        <w:gridCol w:w="3827"/>
        <w:gridCol w:w="1950"/>
        <w:gridCol w:w="1781"/>
        <w:gridCol w:w="1374"/>
        <w:gridCol w:w="1619"/>
      </w:tblGrid>
      <w:tr w:rsidR="00D03A4F" w:rsidRPr="000C0637" w14:paraId="5F99E418" w14:textId="77777777" w:rsidTr="00944CB1">
        <w:trPr>
          <w:cantSplit/>
          <w:tblHeader/>
          <w:jc w:val="center"/>
        </w:trPr>
        <w:tc>
          <w:tcPr>
            <w:tcW w:w="1814" w:type="pct"/>
            <w:vMerge w:val="restart"/>
            <w:tcBorders>
              <w:top w:val="single" w:sz="4" w:space="0" w:color="auto"/>
              <w:left w:val="single" w:sz="4" w:space="0" w:color="auto"/>
              <w:right w:val="single" w:sz="4" w:space="0" w:color="auto"/>
            </w:tcBorders>
          </w:tcPr>
          <w:p w14:paraId="7822ECE4" w14:textId="77777777" w:rsidR="00D03A4F" w:rsidRPr="000C0637" w:rsidRDefault="00D03A4F" w:rsidP="00D03A4F">
            <w:pPr>
              <w:spacing w:after="0" w:line="240" w:lineRule="auto"/>
              <w:rPr>
                <w:rFonts w:ascii="Times New Roman" w:eastAsia="Times New Roman" w:hAnsi="Times New Roman" w:cs="Times New Roman"/>
                <w:i/>
                <w:sz w:val="24"/>
                <w:szCs w:val="24"/>
                <w:lang w:eastAsia="ru-RU"/>
              </w:rPr>
            </w:pPr>
          </w:p>
        </w:tc>
        <w:tc>
          <w:tcPr>
            <w:tcW w:w="924" w:type="pct"/>
            <w:vMerge w:val="restart"/>
            <w:tcBorders>
              <w:top w:val="single" w:sz="4" w:space="0" w:color="auto"/>
              <w:left w:val="single" w:sz="4" w:space="0" w:color="auto"/>
              <w:right w:val="single" w:sz="4" w:space="0" w:color="auto"/>
            </w:tcBorders>
          </w:tcPr>
          <w:p w14:paraId="6EE6F138" w14:textId="77777777"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Дети-сироты, </w:t>
            </w:r>
            <w:r w:rsidRPr="000C0637">
              <w:rPr>
                <w:rFonts w:ascii="Times New Roman" w:eastAsia="Times New Roman" w:hAnsi="Times New Roman" w:cs="Times New Roman"/>
                <w:sz w:val="24"/>
                <w:szCs w:val="24"/>
                <w:lang w:eastAsia="ru-RU"/>
              </w:rPr>
              <w:br/>
              <w:t>дети</w:t>
            </w:r>
            <w:r w:rsidR="0009651B">
              <w:rPr>
                <w:rFonts w:ascii="Times New Roman" w:eastAsia="Times New Roman" w:hAnsi="Times New Roman" w:cs="Times New Roman"/>
                <w:sz w:val="24"/>
                <w:szCs w:val="24"/>
                <w:lang w:eastAsia="ru-RU"/>
              </w:rPr>
              <w:t>,</w:t>
            </w:r>
            <w:r w:rsidRPr="000C0637">
              <w:rPr>
                <w:rFonts w:ascii="Times New Roman" w:eastAsia="Times New Roman" w:hAnsi="Times New Roman" w:cs="Times New Roman"/>
                <w:sz w:val="24"/>
                <w:szCs w:val="24"/>
                <w:lang w:eastAsia="ru-RU"/>
              </w:rPr>
              <w:t xml:space="preserve"> оставшиеся без попечения родителей</w:t>
            </w:r>
          </w:p>
        </w:tc>
        <w:tc>
          <w:tcPr>
            <w:tcW w:w="844" w:type="pct"/>
            <w:vMerge w:val="restart"/>
            <w:tcBorders>
              <w:top w:val="single" w:sz="4" w:space="0" w:color="auto"/>
              <w:left w:val="single" w:sz="4" w:space="0" w:color="auto"/>
              <w:right w:val="single" w:sz="4" w:space="0" w:color="auto"/>
            </w:tcBorders>
          </w:tcPr>
          <w:p w14:paraId="2CC0DE11" w14:textId="77777777"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Дети из отдельных категорий семей</w:t>
            </w:r>
          </w:p>
        </w:tc>
        <w:tc>
          <w:tcPr>
            <w:tcW w:w="1418" w:type="pct"/>
            <w:gridSpan w:val="2"/>
            <w:tcBorders>
              <w:top w:val="single" w:sz="4" w:space="0" w:color="auto"/>
              <w:left w:val="single" w:sz="4" w:space="0" w:color="auto"/>
              <w:bottom w:val="single" w:sz="4" w:space="0" w:color="auto"/>
              <w:right w:val="single" w:sz="4" w:space="0" w:color="auto"/>
            </w:tcBorders>
          </w:tcPr>
          <w:p w14:paraId="7E13FB3A" w14:textId="77777777"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Семьи с детьми</w:t>
            </w:r>
          </w:p>
        </w:tc>
      </w:tr>
      <w:tr w:rsidR="00D03A4F" w:rsidRPr="000C0637" w14:paraId="6A5F9CC5" w14:textId="77777777" w:rsidTr="00944CB1">
        <w:trPr>
          <w:cantSplit/>
          <w:tblHeader/>
          <w:jc w:val="center"/>
        </w:trPr>
        <w:tc>
          <w:tcPr>
            <w:tcW w:w="1814" w:type="pct"/>
            <w:vMerge/>
            <w:tcBorders>
              <w:left w:val="single" w:sz="4" w:space="0" w:color="auto"/>
              <w:bottom w:val="single" w:sz="4" w:space="0" w:color="auto"/>
              <w:right w:val="single" w:sz="4" w:space="0" w:color="auto"/>
            </w:tcBorders>
          </w:tcPr>
          <w:p w14:paraId="2DD048A8" w14:textId="77777777" w:rsidR="00D03A4F" w:rsidRPr="000C0637" w:rsidRDefault="00D03A4F" w:rsidP="00D03A4F">
            <w:pPr>
              <w:spacing w:after="0" w:line="240" w:lineRule="auto"/>
              <w:rPr>
                <w:rFonts w:ascii="Times New Roman" w:eastAsia="Times New Roman" w:hAnsi="Times New Roman" w:cs="Times New Roman"/>
                <w:i/>
                <w:sz w:val="24"/>
                <w:szCs w:val="24"/>
                <w:lang w:eastAsia="ru-RU"/>
              </w:rPr>
            </w:pPr>
          </w:p>
        </w:tc>
        <w:tc>
          <w:tcPr>
            <w:tcW w:w="924" w:type="pct"/>
            <w:vMerge/>
            <w:tcBorders>
              <w:left w:val="single" w:sz="4" w:space="0" w:color="auto"/>
              <w:bottom w:val="single" w:sz="4" w:space="0" w:color="auto"/>
              <w:right w:val="single" w:sz="4" w:space="0" w:color="auto"/>
            </w:tcBorders>
          </w:tcPr>
          <w:p w14:paraId="2A802A00" w14:textId="77777777"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p>
        </w:tc>
        <w:tc>
          <w:tcPr>
            <w:tcW w:w="844" w:type="pct"/>
            <w:vMerge/>
            <w:tcBorders>
              <w:left w:val="single" w:sz="4" w:space="0" w:color="auto"/>
              <w:bottom w:val="single" w:sz="4" w:space="0" w:color="auto"/>
              <w:right w:val="single" w:sz="4" w:space="0" w:color="auto"/>
            </w:tcBorders>
          </w:tcPr>
          <w:p w14:paraId="11D81B18" w14:textId="77777777"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p>
        </w:tc>
        <w:tc>
          <w:tcPr>
            <w:tcW w:w="651" w:type="pct"/>
            <w:tcBorders>
              <w:top w:val="single" w:sz="4" w:space="0" w:color="auto"/>
              <w:left w:val="single" w:sz="4" w:space="0" w:color="auto"/>
              <w:bottom w:val="single" w:sz="4" w:space="0" w:color="auto"/>
              <w:right w:val="single" w:sz="4" w:space="0" w:color="auto"/>
            </w:tcBorders>
          </w:tcPr>
          <w:p w14:paraId="2A941A12" w14:textId="77777777"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всего</w:t>
            </w:r>
          </w:p>
        </w:tc>
        <w:tc>
          <w:tcPr>
            <w:tcW w:w="767" w:type="pct"/>
            <w:tcBorders>
              <w:top w:val="single" w:sz="4" w:space="0" w:color="auto"/>
              <w:left w:val="single" w:sz="4" w:space="0" w:color="auto"/>
              <w:bottom w:val="single" w:sz="4" w:space="0" w:color="auto"/>
              <w:right w:val="single" w:sz="4" w:space="0" w:color="auto"/>
            </w:tcBorders>
          </w:tcPr>
          <w:p w14:paraId="0EB900C7" w14:textId="77777777"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из них малоимущие</w:t>
            </w:r>
          </w:p>
        </w:tc>
      </w:tr>
      <w:tr w:rsidR="000C0637" w:rsidRPr="000C0637" w14:paraId="460301FC" w14:textId="77777777" w:rsidTr="00944CB1">
        <w:trPr>
          <w:cantSplit/>
          <w:trHeight w:val="456"/>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710E2088" w14:textId="77777777" w:rsidR="000C0637" w:rsidRPr="000C0637" w:rsidRDefault="000C0637" w:rsidP="000C0637">
            <w:pPr>
              <w:spacing w:after="0" w:line="240" w:lineRule="auto"/>
              <w:ind w:right="170"/>
              <w:jc w:val="center"/>
              <w:rPr>
                <w:rFonts w:ascii="Times New Roman" w:eastAsia="Times New Roman" w:hAnsi="Times New Roman" w:cs="Times New Roman"/>
                <w:b/>
                <w:sz w:val="24"/>
                <w:szCs w:val="24"/>
                <w:lang w:eastAsia="ru-RU"/>
              </w:rPr>
            </w:pPr>
            <w:r w:rsidRPr="000C0637">
              <w:rPr>
                <w:rFonts w:ascii="Times New Roman" w:eastAsia="Times New Roman" w:hAnsi="Times New Roman" w:cs="Times New Roman"/>
                <w:b/>
                <w:sz w:val="24"/>
                <w:szCs w:val="24"/>
                <w:lang w:eastAsia="ru-RU"/>
              </w:rPr>
              <w:t>2019 г.</w:t>
            </w:r>
          </w:p>
        </w:tc>
      </w:tr>
      <w:tr w:rsidR="000C0637" w:rsidRPr="000C0637" w14:paraId="75BFBB8C" w14:textId="77777777"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14:paraId="7C6FEEB2" w14:textId="77777777"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14:paraId="6D250DCF" w14:textId="77777777"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420 409</w:t>
            </w:r>
          </w:p>
        </w:tc>
        <w:tc>
          <w:tcPr>
            <w:tcW w:w="844" w:type="pct"/>
            <w:tcBorders>
              <w:top w:val="single" w:sz="4" w:space="0" w:color="auto"/>
              <w:left w:val="single" w:sz="4" w:space="0" w:color="auto"/>
              <w:bottom w:val="single" w:sz="4" w:space="0" w:color="auto"/>
              <w:right w:val="single" w:sz="4" w:space="0" w:color="auto"/>
            </w:tcBorders>
            <w:vAlign w:val="center"/>
          </w:tcPr>
          <w:p w14:paraId="418FB4D0" w14:textId="77777777"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2 221 512</w:t>
            </w:r>
          </w:p>
        </w:tc>
        <w:tc>
          <w:tcPr>
            <w:tcW w:w="651" w:type="pct"/>
            <w:tcBorders>
              <w:top w:val="single" w:sz="4" w:space="0" w:color="auto"/>
              <w:left w:val="single" w:sz="4" w:space="0" w:color="auto"/>
              <w:bottom w:val="single" w:sz="4" w:space="0" w:color="auto"/>
              <w:right w:val="single" w:sz="4" w:space="0" w:color="auto"/>
            </w:tcBorders>
            <w:vAlign w:val="center"/>
          </w:tcPr>
          <w:p w14:paraId="411857B8" w14:textId="77777777"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4 170 799</w:t>
            </w:r>
          </w:p>
        </w:tc>
        <w:tc>
          <w:tcPr>
            <w:tcW w:w="767" w:type="pct"/>
            <w:tcBorders>
              <w:top w:val="single" w:sz="4" w:space="0" w:color="auto"/>
              <w:left w:val="single" w:sz="4" w:space="0" w:color="auto"/>
              <w:bottom w:val="single" w:sz="4" w:space="0" w:color="auto"/>
              <w:right w:val="single" w:sz="4" w:space="0" w:color="auto"/>
            </w:tcBorders>
            <w:vAlign w:val="center"/>
          </w:tcPr>
          <w:p w14:paraId="5DEA049C" w14:textId="77777777"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3 425 344</w:t>
            </w:r>
          </w:p>
        </w:tc>
      </w:tr>
      <w:tr w:rsidR="000C0637" w:rsidRPr="000C0637" w14:paraId="1F7F1DEB" w14:textId="77777777"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14:paraId="578AD2C2" w14:textId="77777777"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14:paraId="03C441B5" w14:textId="77777777"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59 979</w:t>
            </w:r>
          </w:p>
        </w:tc>
        <w:tc>
          <w:tcPr>
            <w:tcW w:w="844" w:type="pct"/>
            <w:tcBorders>
              <w:top w:val="single" w:sz="4" w:space="0" w:color="auto"/>
              <w:left w:val="single" w:sz="4" w:space="0" w:color="auto"/>
              <w:bottom w:val="single" w:sz="4" w:space="0" w:color="auto"/>
              <w:right w:val="single" w:sz="4" w:space="0" w:color="auto"/>
            </w:tcBorders>
            <w:vAlign w:val="center"/>
          </w:tcPr>
          <w:p w14:paraId="1B197F71" w14:textId="77777777"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1 117 265</w:t>
            </w:r>
          </w:p>
        </w:tc>
        <w:tc>
          <w:tcPr>
            <w:tcW w:w="651" w:type="pct"/>
            <w:tcBorders>
              <w:top w:val="single" w:sz="4" w:space="0" w:color="auto"/>
              <w:left w:val="single" w:sz="4" w:space="0" w:color="auto"/>
              <w:bottom w:val="single" w:sz="4" w:space="0" w:color="auto"/>
              <w:right w:val="single" w:sz="4" w:space="0" w:color="auto"/>
            </w:tcBorders>
            <w:vAlign w:val="center"/>
          </w:tcPr>
          <w:p w14:paraId="3C3ADEDA" w14:textId="77777777"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309 860</w:t>
            </w:r>
          </w:p>
        </w:tc>
        <w:tc>
          <w:tcPr>
            <w:tcW w:w="767" w:type="pct"/>
            <w:tcBorders>
              <w:top w:val="single" w:sz="4" w:space="0" w:color="auto"/>
              <w:left w:val="single" w:sz="4" w:space="0" w:color="auto"/>
              <w:bottom w:val="single" w:sz="4" w:space="0" w:color="auto"/>
              <w:right w:val="single" w:sz="4" w:space="0" w:color="auto"/>
            </w:tcBorders>
            <w:vAlign w:val="center"/>
          </w:tcPr>
          <w:p w14:paraId="39843201" w14:textId="77777777"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134 533</w:t>
            </w:r>
          </w:p>
        </w:tc>
      </w:tr>
      <w:tr w:rsidR="000C0637" w:rsidRPr="000C0637" w14:paraId="15414DFF" w14:textId="77777777"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14:paraId="6AAB73C5" w14:textId="77777777"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14:paraId="4E853DA2" w14:textId="77777777"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111 109</w:t>
            </w:r>
          </w:p>
        </w:tc>
        <w:tc>
          <w:tcPr>
            <w:tcW w:w="844" w:type="pct"/>
            <w:tcBorders>
              <w:top w:val="single" w:sz="4" w:space="0" w:color="auto"/>
              <w:left w:val="single" w:sz="4" w:space="0" w:color="auto"/>
              <w:bottom w:val="single" w:sz="4" w:space="0" w:color="auto"/>
              <w:right w:val="single" w:sz="4" w:space="0" w:color="auto"/>
            </w:tcBorders>
            <w:vAlign w:val="center"/>
          </w:tcPr>
          <w:p w14:paraId="689A4D5C" w14:textId="77777777"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1 909 178</w:t>
            </w:r>
          </w:p>
        </w:tc>
        <w:tc>
          <w:tcPr>
            <w:tcW w:w="651" w:type="pct"/>
            <w:tcBorders>
              <w:top w:val="single" w:sz="4" w:space="0" w:color="auto"/>
              <w:left w:val="single" w:sz="4" w:space="0" w:color="auto"/>
              <w:bottom w:val="single" w:sz="4" w:space="0" w:color="auto"/>
              <w:right w:val="single" w:sz="4" w:space="0" w:color="auto"/>
            </w:tcBorders>
            <w:vAlign w:val="center"/>
          </w:tcPr>
          <w:p w14:paraId="0296B6A4" w14:textId="77777777"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609 937</w:t>
            </w:r>
          </w:p>
        </w:tc>
        <w:tc>
          <w:tcPr>
            <w:tcW w:w="767" w:type="pct"/>
            <w:tcBorders>
              <w:top w:val="single" w:sz="4" w:space="0" w:color="auto"/>
              <w:left w:val="single" w:sz="4" w:space="0" w:color="auto"/>
              <w:bottom w:val="single" w:sz="4" w:space="0" w:color="auto"/>
              <w:right w:val="single" w:sz="4" w:space="0" w:color="auto"/>
            </w:tcBorders>
            <w:vAlign w:val="center"/>
          </w:tcPr>
          <w:p w14:paraId="6AE95A7D" w14:textId="77777777"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240 355</w:t>
            </w:r>
          </w:p>
        </w:tc>
      </w:tr>
      <w:tr w:rsidR="000C0637" w:rsidRPr="000C0637" w14:paraId="6544C7AC" w14:textId="77777777"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14:paraId="0559FF4A" w14:textId="77777777"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14:paraId="68A37094" w14:textId="77777777"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155 529</w:t>
            </w:r>
          </w:p>
        </w:tc>
        <w:tc>
          <w:tcPr>
            <w:tcW w:w="844" w:type="pct"/>
            <w:tcBorders>
              <w:top w:val="single" w:sz="4" w:space="0" w:color="auto"/>
              <w:left w:val="single" w:sz="4" w:space="0" w:color="auto"/>
              <w:bottom w:val="single" w:sz="4" w:space="0" w:color="auto"/>
              <w:right w:val="single" w:sz="4" w:space="0" w:color="auto"/>
            </w:tcBorders>
            <w:vAlign w:val="center"/>
          </w:tcPr>
          <w:p w14:paraId="6122CE88" w14:textId="77777777"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1 505 404</w:t>
            </w:r>
          </w:p>
        </w:tc>
        <w:tc>
          <w:tcPr>
            <w:tcW w:w="651" w:type="pct"/>
            <w:tcBorders>
              <w:top w:val="single" w:sz="4" w:space="0" w:color="auto"/>
              <w:left w:val="single" w:sz="4" w:space="0" w:color="auto"/>
              <w:bottom w:val="single" w:sz="4" w:space="0" w:color="auto"/>
              <w:right w:val="single" w:sz="4" w:space="0" w:color="auto"/>
            </w:tcBorders>
            <w:vAlign w:val="center"/>
          </w:tcPr>
          <w:p w14:paraId="0F5A1F69" w14:textId="77777777"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w:t>
            </w:r>
            <w:r w:rsidR="007C7AA7">
              <w:rPr>
                <w:rFonts w:ascii="Times New Roman" w:eastAsia="Times New Roman" w:hAnsi="Times New Roman" w:cs="Times New Roman"/>
                <w:sz w:val="24"/>
                <w:szCs w:val="24"/>
                <w:lang w:eastAsia="ru-RU"/>
              </w:rPr>
              <w:t> </w:t>
            </w:r>
            <w:r w:rsidRPr="000C0637">
              <w:rPr>
                <w:rFonts w:ascii="Times New Roman" w:eastAsia="Times New Roman" w:hAnsi="Times New Roman" w:cs="Times New Roman"/>
                <w:sz w:val="24"/>
                <w:szCs w:val="24"/>
                <w:lang w:eastAsia="ru-RU"/>
              </w:rPr>
              <w:t>089591</w:t>
            </w:r>
          </w:p>
        </w:tc>
        <w:tc>
          <w:tcPr>
            <w:tcW w:w="767" w:type="pct"/>
            <w:tcBorders>
              <w:top w:val="single" w:sz="4" w:space="0" w:color="auto"/>
              <w:left w:val="single" w:sz="4" w:space="0" w:color="auto"/>
              <w:bottom w:val="single" w:sz="4" w:space="0" w:color="auto"/>
              <w:right w:val="single" w:sz="4" w:space="0" w:color="auto"/>
            </w:tcBorders>
            <w:vAlign w:val="center"/>
          </w:tcPr>
          <w:p w14:paraId="0F73B71F" w14:textId="77777777"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216 644</w:t>
            </w:r>
          </w:p>
        </w:tc>
      </w:tr>
      <w:tr w:rsidR="000C0637" w:rsidRPr="000C0637" w14:paraId="1EFFD6BA" w14:textId="77777777"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14:paraId="1AAD0028" w14:textId="77777777"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14:paraId="79EBBCDE" w14:textId="77777777"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10 541</w:t>
            </w:r>
          </w:p>
        </w:tc>
        <w:tc>
          <w:tcPr>
            <w:tcW w:w="844" w:type="pct"/>
            <w:tcBorders>
              <w:top w:val="single" w:sz="4" w:space="0" w:color="auto"/>
              <w:left w:val="single" w:sz="4" w:space="0" w:color="auto"/>
              <w:bottom w:val="single" w:sz="4" w:space="0" w:color="auto"/>
              <w:right w:val="single" w:sz="4" w:space="0" w:color="auto"/>
            </w:tcBorders>
            <w:vAlign w:val="center"/>
          </w:tcPr>
          <w:p w14:paraId="63B995A5" w14:textId="77777777"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1 180</w:t>
            </w:r>
          </w:p>
        </w:tc>
        <w:tc>
          <w:tcPr>
            <w:tcW w:w="651" w:type="pct"/>
            <w:tcBorders>
              <w:top w:val="single" w:sz="4" w:space="0" w:color="auto"/>
              <w:left w:val="single" w:sz="4" w:space="0" w:color="auto"/>
              <w:bottom w:val="single" w:sz="4" w:space="0" w:color="auto"/>
              <w:right w:val="single" w:sz="4" w:space="0" w:color="auto"/>
            </w:tcBorders>
            <w:vAlign w:val="center"/>
          </w:tcPr>
          <w:p w14:paraId="61AEC4AA" w14:textId="77777777"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1 137</w:t>
            </w:r>
          </w:p>
        </w:tc>
        <w:tc>
          <w:tcPr>
            <w:tcW w:w="767" w:type="pct"/>
            <w:tcBorders>
              <w:top w:val="single" w:sz="4" w:space="0" w:color="auto"/>
              <w:left w:val="single" w:sz="4" w:space="0" w:color="auto"/>
              <w:bottom w:val="single" w:sz="4" w:space="0" w:color="auto"/>
              <w:right w:val="single" w:sz="4" w:space="0" w:color="auto"/>
            </w:tcBorders>
            <w:vAlign w:val="center"/>
          </w:tcPr>
          <w:p w14:paraId="08BB92EA" w14:textId="77777777"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1 018</w:t>
            </w:r>
          </w:p>
        </w:tc>
      </w:tr>
      <w:tr w:rsidR="000C0637" w:rsidRPr="000C0637" w14:paraId="03E98359" w14:textId="77777777" w:rsidTr="00944CB1">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14:paraId="57DD6E7E" w14:textId="77777777"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14:paraId="64E4B834" w14:textId="77777777"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33 775</w:t>
            </w:r>
          </w:p>
        </w:tc>
        <w:tc>
          <w:tcPr>
            <w:tcW w:w="844" w:type="pct"/>
            <w:tcBorders>
              <w:top w:val="single" w:sz="4" w:space="0" w:color="auto"/>
              <w:left w:val="single" w:sz="4" w:space="0" w:color="auto"/>
              <w:bottom w:val="single" w:sz="4" w:space="0" w:color="auto"/>
              <w:right w:val="single" w:sz="4" w:space="0" w:color="auto"/>
            </w:tcBorders>
            <w:vAlign w:val="center"/>
          </w:tcPr>
          <w:p w14:paraId="357B9A54" w14:textId="77777777"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7 577</w:t>
            </w:r>
          </w:p>
        </w:tc>
        <w:tc>
          <w:tcPr>
            <w:tcW w:w="651" w:type="pct"/>
            <w:tcBorders>
              <w:top w:val="single" w:sz="4" w:space="0" w:color="auto"/>
              <w:left w:val="single" w:sz="4" w:space="0" w:color="auto"/>
              <w:bottom w:val="single" w:sz="4" w:space="0" w:color="auto"/>
              <w:right w:val="single" w:sz="4" w:space="0" w:color="auto"/>
            </w:tcBorders>
            <w:vAlign w:val="center"/>
          </w:tcPr>
          <w:p w14:paraId="61DC5085" w14:textId="77777777"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27 145</w:t>
            </w:r>
          </w:p>
        </w:tc>
        <w:tc>
          <w:tcPr>
            <w:tcW w:w="767" w:type="pct"/>
            <w:tcBorders>
              <w:top w:val="single" w:sz="4" w:space="0" w:color="auto"/>
              <w:left w:val="single" w:sz="4" w:space="0" w:color="auto"/>
              <w:bottom w:val="single" w:sz="4" w:space="0" w:color="auto"/>
              <w:right w:val="single" w:sz="4" w:space="0" w:color="auto"/>
            </w:tcBorders>
            <w:vAlign w:val="center"/>
          </w:tcPr>
          <w:p w14:paraId="5C09ED82" w14:textId="77777777" w:rsidR="000C0637" w:rsidRPr="000C0637" w:rsidRDefault="000C0637" w:rsidP="003E012B">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5 077</w:t>
            </w:r>
          </w:p>
        </w:tc>
      </w:tr>
      <w:tr w:rsidR="000C0637" w:rsidRPr="000C0637" w14:paraId="082AFE2C" w14:textId="77777777" w:rsidTr="00944CB1">
        <w:trPr>
          <w:cantSplit/>
          <w:trHeight w:val="473"/>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3060AF1F" w14:textId="77777777"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b/>
                <w:sz w:val="24"/>
                <w:szCs w:val="24"/>
                <w:lang w:eastAsia="ru-RU"/>
              </w:rPr>
              <w:t>2020 г.</w:t>
            </w:r>
          </w:p>
        </w:tc>
      </w:tr>
      <w:tr w:rsidR="000C0637" w:rsidRPr="000C0637" w14:paraId="2441FDF2" w14:textId="77777777" w:rsidTr="000C0637">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14:paraId="7465A384" w14:textId="77777777"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14:paraId="7A3EEE5E" w14:textId="77777777"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411 435</w:t>
            </w:r>
          </w:p>
        </w:tc>
        <w:tc>
          <w:tcPr>
            <w:tcW w:w="844" w:type="pct"/>
            <w:tcBorders>
              <w:top w:val="single" w:sz="4" w:space="0" w:color="auto"/>
              <w:left w:val="single" w:sz="4" w:space="0" w:color="auto"/>
              <w:bottom w:val="single" w:sz="4" w:space="0" w:color="auto"/>
              <w:right w:val="single" w:sz="4" w:space="0" w:color="auto"/>
            </w:tcBorders>
            <w:vAlign w:val="center"/>
          </w:tcPr>
          <w:p w14:paraId="5B4B903F" w14:textId="77777777"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5 573</w:t>
            </w:r>
            <w:r w:rsidR="005A5E25">
              <w:rPr>
                <w:rFonts w:ascii="Times New Roman" w:eastAsia="Times New Roman" w:hAnsi="Times New Roman" w:cs="Times New Roman"/>
                <w:sz w:val="24"/>
                <w:szCs w:val="24"/>
                <w:lang w:eastAsia="ru-RU"/>
              </w:rPr>
              <w:t> </w:t>
            </w:r>
            <w:r w:rsidRPr="000C0637">
              <w:rPr>
                <w:rFonts w:ascii="Times New Roman" w:eastAsia="Times New Roman" w:hAnsi="Times New Roman" w:cs="Times New Roman"/>
                <w:sz w:val="24"/>
                <w:szCs w:val="24"/>
                <w:lang w:eastAsia="ru-RU"/>
              </w:rPr>
              <w:t>968</w:t>
            </w:r>
            <w:r w:rsidRPr="007371A9">
              <w:rPr>
                <w:rFonts w:ascii="Times New Roman" w:eastAsia="Times New Roman" w:hAnsi="Times New Roman" w:cs="Times New Roman"/>
                <w:sz w:val="24"/>
                <w:szCs w:val="24"/>
                <w:vertAlign w:val="superscript"/>
                <w:lang w:eastAsia="ru-RU"/>
              </w:rPr>
              <w:t>1)</w:t>
            </w:r>
          </w:p>
        </w:tc>
        <w:tc>
          <w:tcPr>
            <w:tcW w:w="651" w:type="pct"/>
            <w:tcBorders>
              <w:top w:val="single" w:sz="4" w:space="0" w:color="auto"/>
              <w:left w:val="single" w:sz="4" w:space="0" w:color="auto"/>
              <w:bottom w:val="single" w:sz="4" w:space="0" w:color="auto"/>
              <w:right w:val="single" w:sz="4" w:space="0" w:color="auto"/>
            </w:tcBorders>
            <w:vAlign w:val="center"/>
          </w:tcPr>
          <w:p w14:paraId="7CE9A3B7" w14:textId="77777777"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4 700 588</w:t>
            </w:r>
          </w:p>
        </w:tc>
        <w:tc>
          <w:tcPr>
            <w:tcW w:w="767" w:type="pct"/>
            <w:tcBorders>
              <w:top w:val="single" w:sz="4" w:space="0" w:color="auto"/>
              <w:left w:val="single" w:sz="4" w:space="0" w:color="auto"/>
              <w:bottom w:val="single" w:sz="4" w:space="0" w:color="auto"/>
              <w:right w:val="single" w:sz="4" w:space="0" w:color="auto"/>
            </w:tcBorders>
            <w:vAlign w:val="center"/>
          </w:tcPr>
          <w:p w14:paraId="2A3A93BA" w14:textId="77777777"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3 985 365</w:t>
            </w:r>
          </w:p>
        </w:tc>
      </w:tr>
      <w:tr w:rsidR="000C0637" w:rsidRPr="000C0637" w14:paraId="49E13B73" w14:textId="77777777" w:rsidTr="000C0637">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14:paraId="12B7E94F" w14:textId="77777777"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14:paraId="347E3E9C" w14:textId="77777777"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59 424</w:t>
            </w:r>
          </w:p>
        </w:tc>
        <w:tc>
          <w:tcPr>
            <w:tcW w:w="844" w:type="pct"/>
            <w:tcBorders>
              <w:top w:val="single" w:sz="4" w:space="0" w:color="auto"/>
              <w:left w:val="single" w:sz="4" w:space="0" w:color="auto"/>
              <w:bottom w:val="single" w:sz="4" w:space="0" w:color="auto"/>
              <w:right w:val="single" w:sz="4" w:space="0" w:color="auto"/>
            </w:tcBorders>
            <w:vAlign w:val="center"/>
          </w:tcPr>
          <w:p w14:paraId="6A34C860" w14:textId="77777777"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1 643 314</w:t>
            </w:r>
          </w:p>
        </w:tc>
        <w:tc>
          <w:tcPr>
            <w:tcW w:w="651" w:type="pct"/>
            <w:tcBorders>
              <w:top w:val="single" w:sz="4" w:space="0" w:color="auto"/>
              <w:left w:val="single" w:sz="4" w:space="0" w:color="auto"/>
              <w:bottom w:val="single" w:sz="4" w:space="0" w:color="auto"/>
              <w:right w:val="single" w:sz="4" w:space="0" w:color="auto"/>
            </w:tcBorders>
            <w:vAlign w:val="center"/>
          </w:tcPr>
          <w:p w14:paraId="05F805B0" w14:textId="77777777"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674 400</w:t>
            </w:r>
          </w:p>
        </w:tc>
        <w:tc>
          <w:tcPr>
            <w:tcW w:w="767" w:type="pct"/>
            <w:tcBorders>
              <w:top w:val="single" w:sz="4" w:space="0" w:color="auto"/>
              <w:left w:val="single" w:sz="4" w:space="0" w:color="auto"/>
              <w:bottom w:val="single" w:sz="4" w:space="0" w:color="auto"/>
              <w:right w:val="single" w:sz="4" w:space="0" w:color="auto"/>
            </w:tcBorders>
            <w:vAlign w:val="center"/>
          </w:tcPr>
          <w:p w14:paraId="16FED940" w14:textId="77777777"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255 038</w:t>
            </w:r>
          </w:p>
        </w:tc>
      </w:tr>
      <w:tr w:rsidR="000C0637" w:rsidRPr="000C0637" w14:paraId="6435FA8F" w14:textId="77777777" w:rsidTr="000C0637">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14:paraId="60B28464" w14:textId="77777777"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14:paraId="3B8DD375" w14:textId="77777777"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105 165</w:t>
            </w:r>
          </w:p>
        </w:tc>
        <w:tc>
          <w:tcPr>
            <w:tcW w:w="844" w:type="pct"/>
            <w:tcBorders>
              <w:top w:val="single" w:sz="4" w:space="0" w:color="auto"/>
              <w:left w:val="single" w:sz="4" w:space="0" w:color="auto"/>
              <w:bottom w:val="single" w:sz="4" w:space="0" w:color="auto"/>
              <w:right w:val="single" w:sz="4" w:space="0" w:color="auto"/>
            </w:tcBorders>
            <w:vAlign w:val="center"/>
          </w:tcPr>
          <w:p w14:paraId="4AF61542" w14:textId="77777777"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1 730 706</w:t>
            </w:r>
          </w:p>
        </w:tc>
        <w:tc>
          <w:tcPr>
            <w:tcW w:w="651" w:type="pct"/>
            <w:tcBorders>
              <w:top w:val="single" w:sz="4" w:space="0" w:color="auto"/>
              <w:left w:val="single" w:sz="4" w:space="0" w:color="auto"/>
              <w:bottom w:val="single" w:sz="4" w:space="0" w:color="auto"/>
              <w:right w:val="single" w:sz="4" w:space="0" w:color="auto"/>
            </w:tcBorders>
            <w:vAlign w:val="center"/>
          </w:tcPr>
          <w:p w14:paraId="5D9A5214" w14:textId="77777777"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754 976</w:t>
            </w:r>
          </w:p>
        </w:tc>
        <w:tc>
          <w:tcPr>
            <w:tcW w:w="767" w:type="pct"/>
            <w:tcBorders>
              <w:top w:val="single" w:sz="4" w:space="0" w:color="auto"/>
              <w:left w:val="single" w:sz="4" w:space="0" w:color="auto"/>
              <w:bottom w:val="single" w:sz="4" w:space="0" w:color="auto"/>
              <w:right w:val="single" w:sz="4" w:space="0" w:color="auto"/>
            </w:tcBorders>
            <w:vAlign w:val="center"/>
          </w:tcPr>
          <w:p w14:paraId="044B9F96" w14:textId="77777777"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335 844</w:t>
            </w:r>
          </w:p>
        </w:tc>
      </w:tr>
      <w:tr w:rsidR="000C0637" w:rsidRPr="000C0637" w14:paraId="2419243D" w14:textId="77777777" w:rsidTr="000C0637">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14:paraId="05DA1B37" w14:textId="77777777"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14:paraId="1B52C99A" w14:textId="77777777"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138 179</w:t>
            </w:r>
          </w:p>
        </w:tc>
        <w:tc>
          <w:tcPr>
            <w:tcW w:w="844" w:type="pct"/>
            <w:tcBorders>
              <w:top w:val="single" w:sz="4" w:space="0" w:color="auto"/>
              <w:left w:val="single" w:sz="4" w:space="0" w:color="auto"/>
              <w:bottom w:val="single" w:sz="4" w:space="0" w:color="auto"/>
              <w:right w:val="single" w:sz="4" w:space="0" w:color="auto"/>
            </w:tcBorders>
            <w:vAlign w:val="center"/>
          </w:tcPr>
          <w:p w14:paraId="520CCA66" w14:textId="77777777"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1 561 333</w:t>
            </w:r>
          </w:p>
        </w:tc>
        <w:tc>
          <w:tcPr>
            <w:tcW w:w="651" w:type="pct"/>
            <w:tcBorders>
              <w:top w:val="single" w:sz="4" w:space="0" w:color="auto"/>
              <w:left w:val="single" w:sz="4" w:space="0" w:color="auto"/>
              <w:bottom w:val="single" w:sz="4" w:space="0" w:color="auto"/>
              <w:right w:val="single" w:sz="4" w:space="0" w:color="auto"/>
            </w:tcBorders>
            <w:vAlign w:val="center"/>
          </w:tcPr>
          <w:p w14:paraId="4FBD8066" w14:textId="77777777"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1 115 471</w:t>
            </w:r>
          </w:p>
        </w:tc>
        <w:tc>
          <w:tcPr>
            <w:tcW w:w="767" w:type="pct"/>
            <w:tcBorders>
              <w:top w:val="single" w:sz="4" w:space="0" w:color="auto"/>
              <w:left w:val="single" w:sz="4" w:space="0" w:color="auto"/>
              <w:bottom w:val="single" w:sz="4" w:space="0" w:color="auto"/>
              <w:right w:val="single" w:sz="4" w:space="0" w:color="auto"/>
            </w:tcBorders>
            <w:vAlign w:val="center"/>
          </w:tcPr>
          <w:p w14:paraId="33F39EA0" w14:textId="77777777"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244 871</w:t>
            </w:r>
          </w:p>
        </w:tc>
      </w:tr>
      <w:tr w:rsidR="000C0637" w:rsidRPr="000C0637" w14:paraId="26C66EAB" w14:textId="77777777" w:rsidTr="000C0637">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14:paraId="738FEFE7" w14:textId="77777777"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14:paraId="73F37683" w14:textId="77777777"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10 948</w:t>
            </w:r>
          </w:p>
        </w:tc>
        <w:tc>
          <w:tcPr>
            <w:tcW w:w="844" w:type="pct"/>
            <w:tcBorders>
              <w:top w:val="single" w:sz="4" w:space="0" w:color="auto"/>
              <w:left w:val="single" w:sz="4" w:space="0" w:color="auto"/>
              <w:bottom w:val="single" w:sz="4" w:space="0" w:color="auto"/>
              <w:right w:val="single" w:sz="4" w:space="0" w:color="auto"/>
            </w:tcBorders>
            <w:vAlign w:val="center"/>
          </w:tcPr>
          <w:p w14:paraId="5E167AB2" w14:textId="77777777"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w:t>
            </w:r>
            <w:r w:rsidR="005A5E25">
              <w:rPr>
                <w:rFonts w:ascii="Times New Roman" w:eastAsia="Times New Roman" w:hAnsi="Times New Roman" w:cs="Times New Roman"/>
                <w:sz w:val="24"/>
                <w:szCs w:val="24"/>
                <w:lang w:eastAsia="ru-RU"/>
              </w:rPr>
              <w:t> </w:t>
            </w:r>
            <w:r w:rsidRPr="000C0637">
              <w:rPr>
                <w:rFonts w:ascii="Times New Roman" w:eastAsia="Times New Roman" w:hAnsi="Times New Roman" w:cs="Times New Roman"/>
                <w:sz w:val="24"/>
                <w:szCs w:val="24"/>
                <w:lang w:eastAsia="ru-RU"/>
              </w:rPr>
              <w:t>151</w:t>
            </w:r>
            <w:r w:rsidRPr="007371A9">
              <w:rPr>
                <w:rFonts w:ascii="Times New Roman" w:eastAsia="Times New Roman" w:hAnsi="Times New Roman" w:cs="Times New Roman"/>
                <w:sz w:val="24"/>
                <w:szCs w:val="24"/>
                <w:vertAlign w:val="superscript"/>
                <w:lang w:eastAsia="ru-RU"/>
              </w:rPr>
              <w:t>1)</w:t>
            </w:r>
          </w:p>
        </w:tc>
        <w:tc>
          <w:tcPr>
            <w:tcW w:w="651" w:type="pct"/>
            <w:tcBorders>
              <w:top w:val="single" w:sz="4" w:space="0" w:color="auto"/>
              <w:left w:val="single" w:sz="4" w:space="0" w:color="auto"/>
              <w:bottom w:val="single" w:sz="4" w:space="0" w:color="auto"/>
              <w:right w:val="single" w:sz="4" w:space="0" w:color="auto"/>
            </w:tcBorders>
            <w:vAlign w:val="center"/>
          </w:tcPr>
          <w:p w14:paraId="1F6DE94A" w14:textId="77777777"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1 286</w:t>
            </w:r>
          </w:p>
        </w:tc>
        <w:tc>
          <w:tcPr>
            <w:tcW w:w="767" w:type="pct"/>
            <w:tcBorders>
              <w:top w:val="single" w:sz="4" w:space="0" w:color="auto"/>
              <w:left w:val="single" w:sz="4" w:space="0" w:color="auto"/>
              <w:bottom w:val="single" w:sz="4" w:space="0" w:color="auto"/>
              <w:right w:val="single" w:sz="4" w:space="0" w:color="auto"/>
            </w:tcBorders>
            <w:vAlign w:val="center"/>
          </w:tcPr>
          <w:p w14:paraId="569B8191" w14:textId="77777777"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1 226</w:t>
            </w:r>
          </w:p>
        </w:tc>
      </w:tr>
      <w:tr w:rsidR="000C0637" w:rsidRPr="000C0637" w14:paraId="15EED845" w14:textId="77777777" w:rsidTr="000C0637">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14:paraId="25906B8B" w14:textId="77777777" w:rsidR="000C0637" w:rsidRPr="000C0637" w:rsidRDefault="000C0637" w:rsidP="00D03A4F">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14:paraId="307A69AC" w14:textId="77777777"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36 334</w:t>
            </w:r>
          </w:p>
        </w:tc>
        <w:tc>
          <w:tcPr>
            <w:tcW w:w="844" w:type="pct"/>
            <w:tcBorders>
              <w:top w:val="single" w:sz="4" w:space="0" w:color="auto"/>
              <w:left w:val="single" w:sz="4" w:space="0" w:color="auto"/>
              <w:bottom w:val="single" w:sz="4" w:space="0" w:color="auto"/>
              <w:right w:val="single" w:sz="4" w:space="0" w:color="auto"/>
            </w:tcBorders>
            <w:vAlign w:val="center"/>
          </w:tcPr>
          <w:p w14:paraId="6334AB79" w14:textId="77777777"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6 972</w:t>
            </w:r>
          </w:p>
        </w:tc>
        <w:tc>
          <w:tcPr>
            <w:tcW w:w="651" w:type="pct"/>
            <w:tcBorders>
              <w:top w:val="single" w:sz="4" w:space="0" w:color="auto"/>
              <w:left w:val="single" w:sz="4" w:space="0" w:color="auto"/>
              <w:bottom w:val="single" w:sz="4" w:space="0" w:color="auto"/>
              <w:right w:val="single" w:sz="4" w:space="0" w:color="auto"/>
            </w:tcBorders>
            <w:vAlign w:val="center"/>
          </w:tcPr>
          <w:p w14:paraId="76A31F70" w14:textId="77777777"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23 684</w:t>
            </w:r>
          </w:p>
        </w:tc>
        <w:tc>
          <w:tcPr>
            <w:tcW w:w="767" w:type="pct"/>
            <w:tcBorders>
              <w:top w:val="single" w:sz="4" w:space="0" w:color="auto"/>
              <w:left w:val="single" w:sz="4" w:space="0" w:color="auto"/>
              <w:bottom w:val="single" w:sz="4" w:space="0" w:color="auto"/>
              <w:right w:val="single" w:sz="4" w:space="0" w:color="auto"/>
            </w:tcBorders>
            <w:vAlign w:val="center"/>
          </w:tcPr>
          <w:p w14:paraId="6AFA0DC3" w14:textId="77777777" w:rsidR="000C0637" w:rsidRPr="000C0637" w:rsidRDefault="000C0637" w:rsidP="000C0637">
            <w:pPr>
              <w:spacing w:after="0" w:line="240" w:lineRule="auto"/>
              <w:ind w:right="170"/>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5 542</w:t>
            </w:r>
          </w:p>
        </w:tc>
      </w:tr>
      <w:tr w:rsidR="005A5E25" w:rsidRPr="000C0637" w14:paraId="15BC4BFF" w14:textId="77777777" w:rsidTr="005A5E25">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06EB8E3C" w14:textId="77777777" w:rsidR="005A5E25" w:rsidRPr="005A5E25" w:rsidRDefault="005A5E25" w:rsidP="005A5E25">
            <w:pPr>
              <w:spacing w:before="80" w:after="80" w:line="240" w:lineRule="auto"/>
              <w:ind w:right="170"/>
              <w:jc w:val="center"/>
              <w:rPr>
                <w:rFonts w:ascii="Times New Roman" w:eastAsia="Times New Roman" w:hAnsi="Times New Roman" w:cs="Times New Roman"/>
                <w:b/>
                <w:sz w:val="24"/>
                <w:szCs w:val="24"/>
                <w:lang w:eastAsia="ru-RU"/>
              </w:rPr>
            </w:pPr>
            <w:r w:rsidRPr="005A5E25">
              <w:rPr>
                <w:rFonts w:ascii="Times New Roman" w:eastAsia="Times New Roman" w:hAnsi="Times New Roman" w:cs="Times New Roman"/>
                <w:b/>
                <w:sz w:val="24"/>
                <w:szCs w:val="24"/>
                <w:lang w:eastAsia="ru-RU"/>
              </w:rPr>
              <w:t>2021 г.</w:t>
            </w:r>
          </w:p>
        </w:tc>
      </w:tr>
      <w:tr w:rsidR="005A5E25" w:rsidRPr="000C0637" w14:paraId="5E9827D0" w14:textId="77777777" w:rsidTr="000C0637">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14:paraId="73BC31F3" w14:textId="77777777" w:rsidR="005A5E25" w:rsidRPr="000C0637" w:rsidRDefault="005A5E25" w:rsidP="005A5E25">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14:paraId="15D53FF3" w14:textId="77777777" w:rsidR="005A5E25" w:rsidRPr="000C0637" w:rsidRDefault="005A5E25" w:rsidP="005A5E25">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403 782</w:t>
            </w:r>
          </w:p>
        </w:tc>
        <w:tc>
          <w:tcPr>
            <w:tcW w:w="844" w:type="pct"/>
            <w:tcBorders>
              <w:top w:val="single" w:sz="4" w:space="0" w:color="auto"/>
              <w:left w:val="single" w:sz="4" w:space="0" w:color="auto"/>
              <w:bottom w:val="single" w:sz="4" w:space="0" w:color="auto"/>
              <w:right w:val="single" w:sz="4" w:space="0" w:color="auto"/>
            </w:tcBorders>
            <w:vAlign w:val="center"/>
          </w:tcPr>
          <w:p w14:paraId="31030CBE" w14:textId="77777777" w:rsidR="005A5E25" w:rsidRPr="000C0637" w:rsidRDefault="00711356" w:rsidP="005A5E25">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5 941 490</w:t>
            </w:r>
          </w:p>
        </w:tc>
        <w:tc>
          <w:tcPr>
            <w:tcW w:w="651" w:type="pct"/>
            <w:tcBorders>
              <w:top w:val="single" w:sz="4" w:space="0" w:color="auto"/>
              <w:left w:val="single" w:sz="4" w:space="0" w:color="auto"/>
              <w:bottom w:val="single" w:sz="4" w:space="0" w:color="auto"/>
              <w:right w:val="single" w:sz="4" w:space="0" w:color="auto"/>
            </w:tcBorders>
            <w:vAlign w:val="center"/>
          </w:tcPr>
          <w:p w14:paraId="5D0CA917" w14:textId="77777777" w:rsidR="005A5E25" w:rsidRPr="000C0637" w:rsidRDefault="00711356" w:rsidP="005A5E25">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4 322 350</w:t>
            </w:r>
          </w:p>
        </w:tc>
        <w:tc>
          <w:tcPr>
            <w:tcW w:w="767" w:type="pct"/>
            <w:tcBorders>
              <w:top w:val="single" w:sz="4" w:space="0" w:color="auto"/>
              <w:left w:val="single" w:sz="4" w:space="0" w:color="auto"/>
              <w:bottom w:val="single" w:sz="4" w:space="0" w:color="auto"/>
              <w:right w:val="single" w:sz="4" w:space="0" w:color="auto"/>
            </w:tcBorders>
            <w:vAlign w:val="center"/>
          </w:tcPr>
          <w:p w14:paraId="49BFCFEA" w14:textId="77777777" w:rsidR="005A5E25" w:rsidRPr="000C0637" w:rsidRDefault="00711356" w:rsidP="005A5E25">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3 847 280</w:t>
            </w:r>
          </w:p>
        </w:tc>
      </w:tr>
      <w:tr w:rsidR="005A5E25" w:rsidRPr="000C0637" w14:paraId="60732DFB" w14:textId="77777777" w:rsidTr="000C0637">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14:paraId="0E3C2E4F" w14:textId="77777777" w:rsidR="005A5E25" w:rsidRPr="000C0637" w:rsidRDefault="005A5E25" w:rsidP="005A5E25">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14:paraId="35C934B6" w14:textId="77777777" w:rsidR="005A5E25" w:rsidRPr="000C0637" w:rsidRDefault="005A5E25" w:rsidP="005A5E25">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62 540</w:t>
            </w:r>
          </w:p>
        </w:tc>
        <w:tc>
          <w:tcPr>
            <w:tcW w:w="844" w:type="pct"/>
            <w:tcBorders>
              <w:top w:val="single" w:sz="4" w:space="0" w:color="auto"/>
              <w:left w:val="single" w:sz="4" w:space="0" w:color="auto"/>
              <w:bottom w:val="single" w:sz="4" w:space="0" w:color="auto"/>
              <w:right w:val="single" w:sz="4" w:space="0" w:color="auto"/>
            </w:tcBorders>
            <w:vAlign w:val="center"/>
          </w:tcPr>
          <w:p w14:paraId="02F803CF" w14:textId="77777777" w:rsidR="005A5E25" w:rsidRPr="000C0637" w:rsidRDefault="00711356" w:rsidP="005A5E25">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1 292 639</w:t>
            </w:r>
          </w:p>
        </w:tc>
        <w:tc>
          <w:tcPr>
            <w:tcW w:w="651" w:type="pct"/>
            <w:tcBorders>
              <w:top w:val="single" w:sz="4" w:space="0" w:color="auto"/>
              <w:left w:val="single" w:sz="4" w:space="0" w:color="auto"/>
              <w:bottom w:val="single" w:sz="4" w:space="0" w:color="auto"/>
              <w:right w:val="single" w:sz="4" w:space="0" w:color="auto"/>
            </w:tcBorders>
            <w:vAlign w:val="center"/>
          </w:tcPr>
          <w:p w14:paraId="7FB6DFEE" w14:textId="77777777" w:rsidR="005A5E25" w:rsidRPr="000C0637" w:rsidRDefault="00711356" w:rsidP="005A5E25">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312 171</w:t>
            </w:r>
          </w:p>
        </w:tc>
        <w:tc>
          <w:tcPr>
            <w:tcW w:w="767" w:type="pct"/>
            <w:tcBorders>
              <w:top w:val="single" w:sz="4" w:space="0" w:color="auto"/>
              <w:left w:val="single" w:sz="4" w:space="0" w:color="auto"/>
              <w:bottom w:val="single" w:sz="4" w:space="0" w:color="auto"/>
              <w:right w:val="single" w:sz="4" w:space="0" w:color="auto"/>
            </w:tcBorders>
            <w:vAlign w:val="center"/>
          </w:tcPr>
          <w:p w14:paraId="25B9B576" w14:textId="77777777" w:rsidR="005A5E25" w:rsidRPr="000C0637" w:rsidRDefault="00711356" w:rsidP="005A5E25">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157 970</w:t>
            </w:r>
          </w:p>
        </w:tc>
      </w:tr>
      <w:tr w:rsidR="005A5E25" w:rsidRPr="000C0637" w14:paraId="660391C5" w14:textId="77777777" w:rsidTr="000C0637">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14:paraId="3DB7E647" w14:textId="77777777" w:rsidR="005A5E25" w:rsidRPr="000C0637" w:rsidRDefault="005A5E25" w:rsidP="005A5E25">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14:paraId="530A0171" w14:textId="77777777" w:rsidR="005A5E25" w:rsidRPr="000C0637" w:rsidRDefault="005A5E25" w:rsidP="005A5E25">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111 338</w:t>
            </w:r>
          </w:p>
        </w:tc>
        <w:tc>
          <w:tcPr>
            <w:tcW w:w="844" w:type="pct"/>
            <w:tcBorders>
              <w:top w:val="single" w:sz="4" w:space="0" w:color="auto"/>
              <w:left w:val="single" w:sz="4" w:space="0" w:color="auto"/>
              <w:bottom w:val="single" w:sz="4" w:space="0" w:color="auto"/>
              <w:right w:val="single" w:sz="4" w:space="0" w:color="auto"/>
            </w:tcBorders>
            <w:vAlign w:val="center"/>
          </w:tcPr>
          <w:p w14:paraId="41E6291D" w14:textId="77777777" w:rsidR="005A5E25" w:rsidRPr="000C0637" w:rsidRDefault="00711356" w:rsidP="005A5E25">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1 934 603</w:t>
            </w:r>
          </w:p>
        </w:tc>
        <w:tc>
          <w:tcPr>
            <w:tcW w:w="651" w:type="pct"/>
            <w:tcBorders>
              <w:top w:val="single" w:sz="4" w:space="0" w:color="auto"/>
              <w:left w:val="single" w:sz="4" w:space="0" w:color="auto"/>
              <w:bottom w:val="single" w:sz="4" w:space="0" w:color="auto"/>
              <w:right w:val="single" w:sz="4" w:space="0" w:color="auto"/>
            </w:tcBorders>
            <w:vAlign w:val="center"/>
          </w:tcPr>
          <w:p w14:paraId="35C407F1" w14:textId="77777777" w:rsidR="005A5E25" w:rsidRPr="000C0637" w:rsidRDefault="00711356" w:rsidP="005A5E25">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758 763</w:t>
            </w:r>
          </w:p>
        </w:tc>
        <w:tc>
          <w:tcPr>
            <w:tcW w:w="767" w:type="pct"/>
            <w:tcBorders>
              <w:top w:val="single" w:sz="4" w:space="0" w:color="auto"/>
              <w:left w:val="single" w:sz="4" w:space="0" w:color="auto"/>
              <w:bottom w:val="single" w:sz="4" w:space="0" w:color="auto"/>
              <w:right w:val="single" w:sz="4" w:space="0" w:color="auto"/>
            </w:tcBorders>
            <w:vAlign w:val="center"/>
          </w:tcPr>
          <w:p w14:paraId="3C716A30" w14:textId="77777777" w:rsidR="005A5E25" w:rsidRPr="000C0637" w:rsidRDefault="00711356" w:rsidP="005A5E25">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284 047</w:t>
            </w:r>
          </w:p>
        </w:tc>
      </w:tr>
      <w:tr w:rsidR="005A5E25" w:rsidRPr="000C0637" w14:paraId="57B58D72" w14:textId="77777777" w:rsidTr="000C0637">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14:paraId="31FC26B5" w14:textId="77777777" w:rsidR="005A5E25" w:rsidRPr="000C0637" w:rsidRDefault="005A5E25" w:rsidP="005A5E25">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14:paraId="3165B610" w14:textId="77777777" w:rsidR="005A5E25" w:rsidRPr="000C0637" w:rsidRDefault="008B7CC2" w:rsidP="005A5E25">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122 764</w:t>
            </w:r>
          </w:p>
        </w:tc>
        <w:tc>
          <w:tcPr>
            <w:tcW w:w="844" w:type="pct"/>
            <w:tcBorders>
              <w:top w:val="single" w:sz="4" w:space="0" w:color="auto"/>
              <w:left w:val="single" w:sz="4" w:space="0" w:color="auto"/>
              <w:bottom w:val="single" w:sz="4" w:space="0" w:color="auto"/>
              <w:right w:val="single" w:sz="4" w:space="0" w:color="auto"/>
            </w:tcBorders>
            <w:vAlign w:val="center"/>
          </w:tcPr>
          <w:p w14:paraId="26064228" w14:textId="77777777" w:rsidR="005A5E25" w:rsidRPr="000C0637" w:rsidRDefault="00711356" w:rsidP="005A5E25">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1 695 302</w:t>
            </w:r>
          </w:p>
        </w:tc>
        <w:tc>
          <w:tcPr>
            <w:tcW w:w="651" w:type="pct"/>
            <w:tcBorders>
              <w:top w:val="single" w:sz="4" w:space="0" w:color="auto"/>
              <w:left w:val="single" w:sz="4" w:space="0" w:color="auto"/>
              <w:bottom w:val="single" w:sz="4" w:space="0" w:color="auto"/>
              <w:right w:val="single" w:sz="4" w:space="0" w:color="auto"/>
            </w:tcBorders>
            <w:vAlign w:val="center"/>
          </w:tcPr>
          <w:p w14:paraId="5924B0CD" w14:textId="77777777" w:rsidR="005A5E25" w:rsidRPr="000C0637" w:rsidRDefault="00711356" w:rsidP="005A5E25">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1 126 065</w:t>
            </w:r>
          </w:p>
        </w:tc>
        <w:tc>
          <w:tcPr>
            <w:tcW w:w="767" w:type="pct"/>
            <w:tcBorders>
              <w:top w:val="single" w:sz="4" w:space="0" w:color="auto"/>
              <w:left w:val="single" w:sz="4" w:space="0" w:color="auto"/>
              <w:bottom w:val="single" w:sz="4" w:space="0" w:color="auto"/>
              <w:right w:val="single" w:sz="4" w:space="0" w:color="auto"/>
            </w:tcBorders>
            <w:vAlign w:val="center"/>
          </w:tcPr>
          <w:p w14:paraId="6F9F921E" w14:textId="77777777" w:rsidR="005A5E25" w:rsidRPr="000C0637" w:rsidRDefault="00711356" w:rsidP="005A5E25">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536 473</w:t>
            </w:r>
          </w:p>
        </w:tc>
      </w:tr>
      <w:tr w:rsidR="005A5E25" w:rsidRPr="000C0637" w14:paraId="5D00CFF2" w14:textId="77777777" w:rsidTr="000C0637">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14:paraId="6B0034B0" w14:textId="77777777" w:rsidR="005A5E25" w:rsidRPr="000C0637" w:rsidRDefault="005A5E25" w:rsidP="005A5E25">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14:paraId="01F241D2" w14:textId="77777777" w:rsidR="005A5E25" w:rsidRPr="000C0637" w:rsidRDefault="008B7CC2" w:rsidP="005A5E25">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11 677</w:t>
            </w:r>
          </w:p>
        </w:tc>
        <w:tc>
          <w:tcPr>
            <w:tcW w:w="844" w:type="pct"/>
            <w:tcBorders>
              <w:top w:val="single" w:sz="4" w:space="0" w:color="auto"/>
              <w:left w:val="single" w:sz="4" w:space="0" w:color="auto"/>
              <w:bottom w:val="single" w:sz="4" w:space="0" w:color="auto"/>
              <w:right w:val="single" w:sz="4" w:space="0" w:color="auto"/>
            </w:tcBorders>
            <w:vAlign w:val="center"/>
          </w:tcPr>
          <w:p w14:paraId="45D3CEC2" w14:textId="77777777" w:rsidR="005A5E25" w:rsidRPr="000C0637" w:rsidRDefault="00711356" w:rsidP="005A5E25">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4 963</w:t>
            </w:r>
          </w:p>
        </w:tc>
        <w:tc>
          <w:tcPr>
            <w:tcW w:w="651" w:type="pct"/>
            <w:tcBorders>
              <w:top w:val="single" w:sz="4" w:space="0" w:color="auto"/>
              <w:left w:val="single" w:sz="4" w:space="0" w:color="auto"/>
              <w:bottom w:val="single" w:sz="4" w:space="0" w:color="auto"/>
              <w:right w:val="single" w:sz="4" w:space="0" w:color="auto"/>
            </w:tcBorders>
            <w:vAlign w:val="center"/>
          </w:tcPr>
          <w:p w14:paraId="69AFCE87" w14:textId="77777777" w:rsidR="005A5E25" w:rsidRPr="000C0637" w:rsidRDefault="00711356" w:rsidP="005A5E25">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2 267</w:t>
            </w:r>
          </w:p>
        </w:tc>
        <w:tc>
          <w:tcPr>
            <w:tcW w:w="767" w:type="pct"/>
            <w:tcBorders>
              <w:top w:val="single" w:sz="4" w:space="0" w:color="auto"/>
              <w:left w:val="single" w:sz="4" w:space="0" w:color="auto"/>
              <w:bottom w:val="single" w:sz="4" w:space="0" w:color="auto"/>
              <w:right w:val="single" w:sz="4" w:space="0" w:color="auto"/>
            </w:tcBorders>
            <w:vAlign w:val="center"/>
          </w:tcPr>
          <w:p w14:paraId="18931106" w14:textId="77777777" w:rsidR="005A5E25" w:rsidRPr="000C0637" w:rsidRDefault="00711356" w:rsidP="005A5E25">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1 923</w:t>
            </w:r>
          </w:p>
        </w:tc>
      </w:tr>
      <w:tr w:rsidR="005A5E25" w:rsidRPr="000C0637" w14:paraId="541ABE0E" w14:textId="77777777" w:rsidTr="000C0637">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14:paraId="03365CAC" w14:textId="77777777" w:rsidR="005A5E25" w:rsidRPr="000C0637" w:rsidRDefault="005A5E25" w:rsidP="005A5E25">
            <w:pPr>
              <w:spacing w:after="0" w:line="240" w:lineRule="auto"/>
              <w:ind w:left="57"/>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14:paraId="578DD939" w14:textId="77777777" w:rsidR="005A5E25" w:rsidRPr="000C0637" w:rsidRDefault="008B7CC2" w:rsidP="005A5E25">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36 711</w:t>
            </w:r>
          </w:p>
        </w:tc>
        <w:tc>
          <w:tcPr>
            <w:tcW w:w="844" w:type="pct"/>
            <w:tcBorders>
              <w:top w:val="single" w:sz="4" w:space="0" w:color="auto"/>
              <w:left w:val="single" w:sz="4" w:space="0" w:color="auto"/>
              <w:bottom w:val="single" w:sz="4" w:space="0" w:color="auto"/>
              <w:right w:val="single" w:sz="4" w:space="0" w:color="auto"/>
            </w:tcBorders>
            <w:vAlign w:val="center"/>
          </w:tcPr>
          <w:p w14:paraId="77D33606" w14:textId="77777777" w:rsidR="005A5E25" w:rsidRPr="000C0637" w:rsidRDefault="00711356" w:rsidP="005A5E25">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6 462</w:t>
            </w:r>
          </w:p>
        </w:tc>
        <w:tc>
          <w:tcPr>
            <w:tcW w:w="651" w:type="pct"/>
            <w:tcBorders>
              <w:top w:val="single" w:sz="4" w:space="0" w:color="auto"/>
              <w:left w:val="single" w:sz="4" w:space="0" w:color="auto"/>
              <w:bottom w:val="single" w:sz="4" w:space="0" w:color="auto"/>
              <w:right w:val="single" w:sz="4" w:space="0" w:color="auto"/>
            </w:tcBorders>
            <w:vAlign w:val="center"/>
          </w:tcPr>
          <w:p w14:paraId="7CCC7E9C" w14:textId="77777777" w:rsidR="005A5E25" w:rsidRPr="000C0637" w:rsidRDefault="00711356" w:rsidP="005A5E25">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43 473</w:t>
            </w:r>
          </w:p>
        </w:tc>
        <w:tc>
          <w:tcPr>
            <w:tcW w:w="767" w:type="pct"/>
            <w:tcBorders>
              <w:top w:val="single" w:sz="4" w:space="0" w:color="auto"/>
              <w:left w:val="single" w:sz="4" w:space="0" w:color="auto"/>
              <w:bottom w:val="single" w:sz="4" w:space="0" w:color="auto"/>
              <w:right w:val="single" w:sz="4" w:space="0" w:color="auto"/>
            </w:tcBorders>
            <w:vAlign w:val="center"/>
          </w:tcPr>
          <w:p w14:paraId="4C221F62" w14:textId="77777777" w:rsidR="005A5E25" w:rsidRPr="000C0637" w:rsidRDefault="00711356" w:rsidP="005A5E25">
            <w:pPr>
              <w:spacing w:after="0" w:line="240" w:lineRule="auto"/>
              <w:ind w:righ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6 296</w:t>
            </w:r>
          </w:p>
        </w:tc>
      </w:tr>
    </w:tbl>
    <w:p w14:paraId="20F9F58E" w14:textId="77777777" w:rsidR="00D03A4F" w:rsidRPr="000C0637" w:rsidRDefault="00D03A4F" w:rsidP="00D03A4F">
      <w:pPr>
        <w:spacing w:after="0" w:line="240" w:lineRule="auto"/>
        <w:rPr>
          <w:rFonts w:ascii="Times New Roman" w:eastAsia="Times New Roman" w:hAnsi="Times New Roman" w:cs="Times New Roman"/>
          <w:sz w:val="26"/>
          <w:szCs w:val="26"/>
          <w:lang w:eastAsia="ru-RU"/>
        </w:rPr>
      </w:pPr>
    </w:p>
    <w:p w14:paraId="304E1397" w14:textId="77777777" w:rsidR="00D03A4F" w:rsidRPr="00711356" w:rsidRDefault="00D03A4F" w:rsidP="00D03A4F">
      <w:pPr>
        <w:tabs>
          <w:tab w:val="left" w:pos="1793"/>
        </w:tabs>
        <w:spacing w:after="0" w:line="240" w:lineRule="auto"/>
        <w:ind w:firstLine="567"/>
        <w:jc w:val="both"/>
        <w:rPr>
          <w:rFonts w:ascii="Times New Roman" w:eastAsia="Times New Roman" w:hAnsi="Times New Roman" w:cs="Times New Roman"/>
          <w:lang w:eastAsia="ru-RU"/>
        </w:rPr>
      </w:pPr>
      <w:r w:rsidRPr="00711356">
        <w:rPr>
          <w:rFonts w:ascii="Times New Roman" w:eastAsia="Times New Roman" w:hAnsi="Times New Roman" w:cs="Times New Roman"/>
          <w:lang w:eastAsia="ru-RU"/>
        </w:rPr>
        <w:t>1)</w:t>
      </w:r>
      <w:r w:rsidR="00711356" w:rsidRPr="00711356">
        <w:rPr>
          <w:rFonts w:ascii="Times New Roman" w:eastAsia="Times New Roman" w:hAnsi="Times New Roman" w:cs="Times New Roman"/>
          <w:vertAlign w:val="superscript"/>
          <w:lang w:eastAsia="ru-RU"/>
        </w:rPr>
        <w:t xml:space="preserve"> </w:t>
      </w:r>
      <w:r w:rsidR="00C46B55">
        <w:rPr>
          <w:rFonts w:ascii="Times New Roman" w:eastAsia="Times New Roman" w:hAnsi="Times New Roman" w:cs="Times New Roman"/>
          <w:lang w:eastAsia="ru-RU"/>
        </w:rPr>
        <w:t>С</w:t>
      </w:r>
      <w:r w:rsidRPr="00711356">
        <w:rPr>
          <w:rFonts w:ascii="Times New Roman" w:eastAsia="Times New Roman" w:hAnsi="Times New Roman" w:cs="Times New Roman"/>
          <w:lang w:eastAsia="ru-RU"/>
        </w:rPr>
        <w:t xml:space="preserve"> 20</w:t>
      </w:r>
      <w:r w:rsidR="000C0637" w:rsidRPr="00711356">
        <w:rPr>
          <w:rFonts w:ascii="Times New Roman" w:eastAsia="Times New Roman" w:hAnsi="Times New Roman" w:cs="Times New Roman"/>
          <w:lang w:eastAsia="ru-RU"/>
        </w:rPr>
        <w:t>20</w:t>
      </w:r>
      <w:r w:rsidRPr="00711356">
        <w:rPr>
          <w:rFonts w:ascii="Times New Roman" w:eastAsia="Times New Roman" w:hAnsi="Times New Roman" w:cs="Times New Roman"/>
          <w:lang w:eastAsia="ru-RU"/>
        </w:rPr>
        <w:t xml:space="preserve"> г. - с учетом</w:t>
      </w:r>
      <w:r w:rsidR="000C0637" w:rsidRPr="00711356">
        <w:rPr>
          <w:rFonts w:ascii="Times New Roman" w:eastAsia="Times New Roman" w:hAnsi="Times New Roman" w:cs="Times New Roman"/>
          <w:lang w:eastAsia="ru-RU"/>
        </w:rPr>
        <w:t xml:space="preserve"> ежемесячной денежной выплаты на ребенка в возрасте от 3 до 7 лет включительно в соответствии с Указом Президента Российской Федерации от 20 марта 2020 г. </w:t>
      </w:r>
      <w:r w:rsidR="000C0637" w:rsidRPr="00711356">
        <w:rPr>
          <w:rFonts w:ascii="Times New Roman" w:eastAsia="Times New Roman" w:hAnsi="Times New Roman" w:cs="Times New Roman"/>
          <w:lang w:eastAsia="ru-RU"/>
        </w:rPr>
        <w:br/>
        <w:t>№ 199 «О дополнительных мерах государственной поддержки семей, имеющих детей»</w:t>
      </w:r>
      <w:r w:rsidRPr="00711356">
        <w:rPr>
          <w:rFonts w:ascii="Times New Roman" w:eastAsia="Times New Roman" w:hAnsi="Times New Roman" w:cs="Times New Roman"/>
          <w:lang w:eastAsia="ru-RU"/>
        </w:rPr>
        <w:t>.</w:t>
      </w:r>
    </w:p>
    <w:p w14:paraId="3E525AE0" w14:textId="77777777" w:rsidR="00FD049A" w:rsidRPr="00BD5A90" w:rsidRDefault="00FD049A" w:rsidP="00D03A4F">
      <w:pPr>
        <w:spacing w:after="0" w:line="240" w:lineRule="auto"/>
        <w:rPr>
          <w:rFonts w:ascii="Times New Roman" w:eastAsia="Times New Roman" w:hAnsi="Times New Roman" w:cs="Times New Roman"/>
          <w:sz w:val="26"/>
          <w:szCs w:val="26"/>
          <w:highlight w:val="yellow"/>
          <w:lang w:eastAsia="ru-RU"/>
        </w:rPr>
      </w:pPr>
    </w:p>
    <w:p w14:paraId="7875271A" w14:textId="77777777" w:rsidR="00DB764F" w:rsidRDefault="00DB764F" w:rsidP="00D03A4F">
      <w:pPr>
        <w:spacing w:after="0" w:line="240" w:lineRule="auto"/>
        <w:jc w:val="right"/>
        <w:rPr>
          <w:rFonts w:ascii="Times New Roman" w:eastAsia="Times New Roman" w:hAnsi="Times New Roman" w:cs="Times New Roman"/>
          <w:sz w:val="26"/>
          <w:szCs w:val="26"/>
          <w:lang w:eastAsia="ru-RU"/>
        </w:rPr>
      </w:pPr>
    </w:p>
    <w:p w14:paraId="416A0795" w14:textId="77777777" w:rsidR="00DB764F" w:rsidRDefault="00DB764F" w:rsidP="00D03A4F">
      <w:pPr>
        <w:spacing w:after="0" w:line="240" w:lineRule="auto"/>
        <w:jc w:val="right"/>
        <w:rPr>
          <w:rFonts w:ascii="Times New Roman" w:eastAsia="Times New Roman" w:hAnsi="Times New Roman" w:cs="Times New Roman"/>
          <w:sz w:val="26"/>
          <w:szCs w:val="26"/>
          <w:lang w:eastAsia="ru-RU"/>
        </w:rPr>
      </w:pPr>
    </w:p>
    <w:p w14:paraId="1BB1B1C7" w14:textId="77777777" w:rsidR="00D03A4F" w:rsidRPr="000C0637" w:rsidRDefault="00D03A4F" w:rsidP="00D03A4F">
      <w:pPr>
        <w:spacing w:after="0" w:line="240" w:lineRule="auto"/>
        <w:jc w:val="right"/>
        <w:rPr>
          <w:rFonts w:ascii="Times New Roman" w:eastAsia="Times New Roman" w:hAnsi="Times New Roman" w:cs="Times New Roman"/>
          <w:sz w:val="26"/>
          <w:szCs w:val="26"/>
          <w:lang w:eastAsia="ru-RU"/>
        </w:rPr>
      </w:pPr>
      <w:r w:rsidRPr="00C07ECC">
        <w:rPr>
          <w:rFonts w:ascii="Times New Roman" w:eastAsia="Times New Roman" w:hAnsi="Times New Roman" w:cs="Times New Roman"/>
          <w:sz w:val="26"/>
          <w:szCs w:val="26"/>
          <w:lang w:eastAsia="ru-RU"/>
        </w:rPr>
        <w:t>Таблица 5</w:t>
      </w:r>
      <w:r w:rsidR="008737BB">
        <w:rPr>
          <w:rFonts w:ascii="Times New Roman" w:eastAsia="Times New Roman" w:hAnsi="Times New Roman" w:cs="Times New Roman"/>
          <w:sz w:val="26"/>
          <w:szCs w:val="26"/>
          <w:lang w:eastAsia="ru-RU"/>
        </w:rPr>
        <w:t>4</w:t>
      </w:r>
    </w:p>
    <w:p w14:paraId="0AFDE02F" w14:textId="77777777" w:rsidR="00D03A4F" w:rsidRPr="000C0637" w:rsidRDefault="00D03A4F" w:rsidP="00D03A4F">
      <w:pPr>
        <w:spacing w:after="0" w:line="240" w:lineRule="auto"/>
        <w:jc w:val="right"/>
        <w:rPr>
          <w:rFonts w:ascii="Times New Roman" w:eastAsia="Times New Roman" w:hAnsi="Times New Roman" w:cs="Times New Roman"/>
          <w:sz w:val="26"/>
          <w:szCs w:val="26"/>
          <w:lang w:eastAsia="ru-RU"/>
        </w:rPr>
      </w:pPr>
    </w:p>
    <w:p w14:paraId="488E2A17" w14:textId="77777777" w:rsidR="00D03A4F" w:rsidRPr="000C0637"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0C0637">
        <w:rPr>
          <w:rFonts w:ascii="Times New Roman" w:eastAsia="Times New Roman" w:hAnsi="Times New Roman" w:cs="Times New Roman"/>
          <w:b/>
          <w:bCs/>
          <w:sz w:val="26"/>
          <w:szCs w:val="26"/>
          <w:lang w:eastAsia="ru-RU"/>
        </w:rPr>
        <w:t>Распределение домашних хозяйств, имеющих детей в возрасте до 16 лет, по формам собственности и типам занимаемых жилых помещений</w:t>
      </w:r>
    </w:p>
    <w:p w14:paraId="10F184FB" w14:textId="77777777"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(по данным выборочного обследования бюджетов домашних хозяйств, в процентах)</w:t>
      </w:r>
    </w:p>
    <w:p w14:paraId="1C8755BF" w14:textId="77777777" w:rsidR="00D03A4F" w:rsidRPr="000C0637" w:rsidRDefault="00D03A4F" w:rsidP="00D03A4F">
      <w:pPr>
        <w:spacing w:after="0" w:line="240" w:lineRule="auto"/>
        <w:jc w:val="right"/>
        <w:rPr>
          <w:rFonts w:ascii="Times New Roman" w:eastAsia="Times New Roman" w:hAnsi="Times New Roman" w:cs="Times New Roman"/>
          <w:sz w:val="26"/>
          <w:szCs w:val="26"/>
          <w:lang w:eastAsia="ru-RU"/>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7"/>
        <w:gridCol w:w="1482"/>
        <w:gridCol w:w="1663"/>
        <w:gridCol w:w="1762"/>
        <w:gridCol w:w="1824"/>
      </w:tblGrid>
      <w:tr w:rsidR="00D03A4F" w:rsidRPr="000C0637" w14:paraId="2BF43822" w14:textId="77777777" w:rsidTr="00944CB1">
        <w:trPr>
          <w:cantSplit/>
          <w:tblHeader/>
          <w:jc w:val="center"/>
        </w:trPr>
        <w:tc>
          <w:tcPr>
            <w:tcW w:w="1738" w:type="pct"/>
            <w:vMerge w:val="restart"/>
          </w:tcPr>
          <w:p w14:paraId="0EF13B95" w14:textId="77777777" w:rsidR="00D03A4F" w:rsidRPr="000C0637" w:rsidRDefault="00D03A4F" w:rsidP="00D03A4F">
            <w:pPr>
              <w:spacing w:after="0" w:line="200" w:lineRule="exact"/>
              <w:jc w:val="center"/>
              <w:rPr>
                <w:rFonts w:ascii="Times New Roman" w:eastAsia="Times New Roman" w:hAnsi="Times New Roman" w:cs="Times New Roman"/>
                <w:b/>
                <w:i/>
                <w:sz w:val="24"/>
                <w:szCs w:val="24"/>
                <w:lang w:eastAsia="ru-RU"/>
              </w:rPr>
            </w:pPr>
          </w:p>
        </w:tc>
        <w:tc>
          <w:tcPr>
            <w:tcW w:w="718" w:type="pct"/>
            <w:vMerge w:val="restart"/>
          </w:tcPr>
          <w:p w14:paraId="578789A3" w14:textId="77777777"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Все домашние хозяйства</w:t>
            </w:r>
          </w:p>
        </w:tc>
        <w:tc>
          <w:tcPr>
            <w:tcW w:w="806" w:type="pct"/>
            <w:vMerge w:val="restart"/>
          </w:tcPr>
          <w:p w14:paraId="05B80923" w14:textId="77777777"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Из них домашние хозяйства с детьми </w:t>
            </w:r>
            <w:r w:rsidRPr="000C0637">
              <w:rPr>
                <w:rFonts w:ascii="Times New Roman" w:eastAsia="Times New Roman" w:hAnsi="Times New Roman" w:cs="Times New Roman"/>
                <w:sz w:val="24"/>
                <w:szCs w:val="24"/>
                <w:lang w:eastAsia="ru-RU"/>
              </w:rPr>
              <w:br/>
              <w:t xml:space="preserve">в возрасте </w:t>
            </w:r>
            <w:r w:rsidRPr="000C0637">
              <w:rPr>
                <w:rFonts w:ascii="Times New Roman" w:eastAsia="Times New Roman" w:hAnsi="Times New Roman" w:cs="Times New Roman"/>
                <w:sz w:val="24"/>
                <w:szCs w:val="24"/>
                <w:lang w:eastAsia="ru-RU"/>
              </w:rPr>
              <w:br/>
              <w:t>до 16 лет</w:t>
            </w:r>
          </w:p>
        </w:tc>
        <w:tc>
          <w:tcPr>
            <w:tcW w:w="1738" w:type="pct"/>
            <w:gridSpan w:val="2"/>
          </w:tcPr>
          <w:p w14:paraId="00432BCE" w14:textId="77777777"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том числе проживающие</w:t>
            </w:r>
          </w:p>
        </w:tc>
      </w:tr>
      <w:tr w:rsidR="00D03A4F" w:rsidRPr="000C0637" w14:paraId="764EADF5" w14:textId="77777777" w:rsidTr="00944CB1">
        <w:trPr>
          <w:cantSplit/>
          <w:trHeight w:val="815"/>
          <w:tblHeader/>
          <w:jc w:val="center"/>
        </w:trPr>
        <w:tc>
          <w:tcPr>
            <w:tcW w:w="1738" w:type="pct"/>
            <w:vMerge/>
          </w:tcPr>
          <w:p w14:paraId="531A2FF7" w14:textId="77777777" w:rsidR="00D03A4F" w:rsidRPr="000C0637" w:rsidRDefault="00D03A4F" w:rsidP="00D03A4F">
            <w:pPr>
              <w:spacing w:after="0" w:line="200" w:lineRule="exact"/>
              <w:jc w:val="center"/>
              <w:rPr>
                <w:rFonts w:ascii="Times New Roman" w:eastAsia="Times New Roman" w:hAnsi="Times New Roman" w:cs="Times New Roman"/>
                <w:b/>
                <w:i/>
                <w:sz w:val="24"/>
                <w:szCs w:val="24"/>
                <w:lang w:eastAsia="ru-RU"/>
              </w:rPr>
            </w:pPr>
          </w:p>
        </w:tc>
        <w:tc>
          <w:tcPr>
            <w:tcW w:w="718" w:type="pct"/>
            <w:vMerge/>
          </w:tcPr>
          <w:p w14:paraId="2EAF0720" w14:textId="77777777"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p>
        </w:tc>
        <w:tc>
          <w:tcPr>
            <w:tcW w:w="806" w:type="pct"/>
            <w:vMerge/>
          </w:tcPr>
          <w:p w14:paraId="0BB11BCA" w14:textId="77777777"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p>
        </w:tc>
        <w:tc>
          <w:tcPr>
            <w:tcW w:w="854" w:type="pct"/>
          </w:tcPr>
          <w:p w14:paraId="2483BA99" w14:textId="77777777"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городской местности</w:t>
            </w:r>
          </w:p>
        </w:tc>
        <w:tc>
          <w:tcPr>
            <w:tcW w:w="884" w:type="pct"/>
          </w:tcPr>
          <w:p w14:paraId="6C9A4B7B" w14:textId="77777777" w:rsidR="00D03A4F" w:rsidRPr="000C0637" w:rsidRDefault="00D03A4F" w:rsidP="00D03A4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сельской местности</w:t>
            </w:r>
          </w:p>
        </w:tc>
      </w:tr>
      <w:tr w:rsidR="00D03A4F" w:rsidRPr="000C0637" w14:paraId="699F1511" w14:textId="77777777" w:rsidTr="00944CB1">
        <w:trPr>
          <w:trHeight w:val="451"/>
          <w:jc w:val="center"/>
        </w:trPr>
        <w:tc>
          <w:tcPr>
            <w:tcW w:w="5000" w:type="pct"/>
            <w:gridSpan w:val="5"/>
            <w:vAlign w:val="center"/>
          </w:tcPr>
          <w:p w14:paraId="43748F02" w14:textId="77777777" w:rsidR="00D03A4F" w:rsidRPr="006A2E7F" w:rsidRDefault="006A2E7F" w:rsidP="000C0637">
            <w:pPr>
              <w:spacing w:before="60" w:after="60" w:line="200" w:lineRule="exact"/>
              <w:jc w:val="center"/>
              <w:rPr>
                <w:rFonts w:ascii="Times New Roman" w:eastAsia="Times New Roman" w:hAnsi="Times New Roman" w:cs="Times New Roman"/>
                <w:b/>
                <w:sz w:val="24"/>
                <w:szCs w:val="24"/>
                <w:lang w:eastAsia="ru-RU"/>
              </w:rPr>
            </w:pPr>
            <w:r w:rsidRPr="006A2E7F">
              <w:rPr>
                <w:rFonts w:ascii="Times New Roman" w:eastAsia="Times New Roman" w:hAnsi="Times New Roman" w:cs="Times New Roman"/>
                <w:b/>
                <w:sz w:val="24"/>
                <w:szCs w:val="24"/>
                <w:lang w:eastAsia="ru-RU"/>
              </w:rPr>
              <w:t>2019 г.</w:t>
            </w:r>
          </w:p>
        </w:tc>
      </w:tr>
      <w:tr w:rsidR="006A2E7F" w:rsidRPr="000C0637" w14:paraId="3C9A4E24" w14:textId="77777777" w:rsidTr="00944CB1">
        <w:trPr>
          <w:jc w:val="center"/>
        </w:trPr>
        <w:tc>
          <w:tcPr>
            <w:tcW w:w="1738" w:type="pct"/>
            <w:vAlign w:val="bottom"/>
          </w:tcPr>
          <w:p w14:paraId="16F8291C" w14:textId="77777777" w:rsidR="006A2E7F" w:rsidRPr="000C0637" w:rsidRDefault="006A2E7F" w:rsidP="006A2E7F">
            <w:pPr>
              <w:spacing w:before="80" w:after="0" w:line="240" w:lineRule="auto"/>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Из общего числа домашних хозяйств проживают в жилых помещениях, различающихся  </w:t>
            </w:r>
          </w:p>
        </w:tc>
        <w:tc>
          <w:tcPr>
            <w:tcW w:w="718" w:type="pct"/>
            <w:vAlign w:val="center"/>
          </w:tcPr>
          <w:p w14:paraId="494DDB48" w14:textId="77777777" w:rsidR="006A2E7F" w:rsidRPr="000C0637" w:rsidRDefault="006A2E7F" w:rsidP="006A2E7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100</w:t>
            </w:r>
          </w:p>
        </w:tc>
        <w:tc>
          <w:tcPr>
            <w:tcW w:w="806" w:type="pct"/>
            <w:vAlign w:val="center"/>
          </w:tcPr>
          <w:p w14:paraId="4AE23744" w14:textId="77777777" w:rsidR="006A2E7F" w:rsidRPr="000C0637" w:rsidRDefault="006A2E7F" w:rsidP="006A2E7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100</w:t>
            </w:r>
          </w:p>
        </w:tc>
        <w:tc>
          <w:tcPr>
            <w:tcW w:w="854" w:type="pct"/>
            <w:vAlign w:val="center"/>
          </w:tcPr>
          <w:p w14:paraId="636F0AEF" w14:textId="77777777" w:rsidR="006A2E7F" w:rsidRPr="000C0637" w:rsidRDefault="006A2E7F" w:rsidP="006A2E7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100</w:t>
            </w:r>
          </w:p>
        </w:tc>
        <w:tc>
          <w:tcPr>
            <w:tcW w:w="884" w:type="pct"/>
            <w:vAlign w:val="center"/>
          </w:tcPr>
          <w:p w14:paraId="36036DDB" w14:textId="77777777" w:rsidR="006A2E7F" w:rsidRPr="000C0637" w:rsidRDefault="006A2E7F" w:rsidP="006A2E7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100</w:t>
            </w:r>
          </w:p>
        </w:tc>
      </w:tr>
      <w:tr w:rsidR="006A2E7F" w:rsidRPr="000C0637" w14:paraId="3FFE2A49" w14:textId="77777777" w:rsidTr="00944CB1">
        <w:trPr>
          <w:jc w:val="center"/>
        </w:trPr>
        <w:tc>
          <w:tcPr>
            <w:tcW w:w="1738" w:type="pct"/>
            <w:vAlign w:val="bottom"/>
          </w:tcPr>
          <w:p w14:paraId="06B47DEB" w14:textId="77777777" w:rsidR="006A2E7F" w:rsidRPr="000C0637" w:rsidRDefault="006A2E7F" w:rsidP="006A2E7F">
            <w:pPr>
              <w:spacing w:before="40" w:after="0" w:line="240" w:lineRule="auto"/>
              <w:ind w:left="170"/>
              <w:rPr>
                <w:rFonts w:ascii="Times New Roman" w:eastAsia="Times New Roman" w:hAnsi="Times New Roman" w:cs="Times New Roman"/>
                <w:i/>
                <w:sz w:val="24"/>
                <w:szCs w:val="24"/>
                <w:lang w:eastAsia="ru-RU"/>
              </w:rPr>
            </w:pPr>
            <w:r w:rsidRPr="000C0637">
              <w:rPr>
                <w:rFonts w:ascii="Times New Roman" w:eastAsia="Times New Roman" w:hAnsi="Times New Roman" w:cs="Times New Roman"/>
                <w:i/>
                <w:sz w:val="24"/>
                <w:szCs w:val="24"/>
                <w:lang w:eastAsia="ru-RU"/>
              </w:rPr>
              <w:t>по формам собственности занимаемого жилья</w:t>
            </w:r>
          </w:p>
        </w:tc>
        <w:tc>
          <w:tcPr>
            <w:tcW w:w="718" w:type="pct"/>
            <w:vAlign w:val="center"/>
          </w:tcPr>
          <w:p w14:paraId="554F54BF" w14:textId="77777777" w:rsidR="006A2E7F" w:rsidRPr="000C0637" w:rsidRDefault="006A2E7F" w:rsidP="006A2E7F">
            <w:pPr>
              <w:spacing w:before="80" w:after="0" w:line="240" w:lineRule="auto"/>
              <w:ind w:right="-206"/>
              <w:jc w:val="center"/>
              <w:rPr>
                <w:rFonts w:ascii="Times New Roman" w:eastAsia="Times New Roman" w:hAnsi="Times New Roman" w:cs="Times New Roman"/>
                <w:sz w:val="24"/>
                <w:szCs w:val="24"/>
                <w:lang w:eastAsia="ru-RU"/>
              </w:rPr>
            </w:pPr>
          </w:p>
        </w:tc>
        <w:tc>
          <w:tcPr>
            <w:tcW w:w="806" w:type="pct"/>
            <w:vAlign w:val="center"/>
          </w:tcPr>
          <w:p w14:paraId="5F72FBF3" w14:textId="77777777" w:rsidR="006A2E7F" w:rsidRPr="000C0637" w:rsidRDefault="006A2E7F" w:rsidP="006A2E7F">
            <w:pPr>
              <w:spacing w:before="80" w:after="0" w:line="240" w:lineRule="auto"/>
              <w:ind w:right="-206"/>
              <w:jc w:val="center"/>
              <w:rPr>
                <w:rFonts w:ascii="Times New Roman" w:eastAsia="Times New Roman" w:hAnsi="Times New Roman" w:cs="Times New Roman"/>
                <w:sz w:val="24"/>
                <w:szCs w:val="24"/>
                <w:lang w:eastAsia="ru-RU"/>
              </w:rPr>
            </w:pPr>
          </w:p>
        </w:tc>
        <w:tc>
          <w:tcPr>
            <w:tcW w:w="854" w:type="pct"/>
            <w:vAlign w:val="center"/>
          </w:tcPr>
          <w:p w14:paraId="59388DF1" w14:textId="77777777" w:rsidR="006A2E7F" w:rsidRPr="000C0637" w:rsidRDefault="006A2E7F" w:rsidP="006A2E7F">
            <w:pPr>
              <w:spacing w:before="80" w:after="0" w:line="240" w:lineRule="auto"/>
              <w:ind w:right="-206"/>
              <w:jc w:val="center"/>
              <w:rPr>
                <w:rFonts w:ascii="Times New Roman" w:eastAsia="Times New Roman" w:hAnsi="Times New Roman" w:cs="Times New Roman"/>
                <w:sz w:val="24"/>
                <w:szCs w:val="24"/>
                <w:lang w:eastAsia="ru-RU"/>
              </w:rPr>
            </w:pPr>
          </w:p>
        </w:tc>
        <w:tc>
          <w:tcPr>
            <w:tcW w:w="884" w:type="pct"/>
            <w:vAlign w:val="center"/>
          </w:tcPr>
          <w:p w14:paraId="69AA2945" w14:textId="77777777" w:rsidR="006A2E7F" w:rsidRPr="000C0637" w:rsidRDefault="006A2E7F" w:rsidP="006A2E7F">
            <w:pPr>
              <w:spacing w:before="80" w:after="0" w:line="240" w:lineRule="auto"/>
              <w:ind w:right="-206"/>
              <w:jc w:val="center"/>
              <w:rPr>
                <w:rFonts w:ascii="Times New Roman" w:eastAsia="Times New Roman" w:hAnsi="Times New Roman" w:cs="Times New Roman"/>
                <w:sz w:val="24"/>
                <w:szCs w:val="24"/>
                <w:lang w:eastAsia="ru-RU"/>
              </w:rPr>
            </w:pPr>
          </w:p>
        </w:tc>
      </w:tr>
      <w:tr w:rsidR="006A2E7F" w:rsidRPr="000C0637" w14:paraId="6503D5EA" w14:textId="77777777" w:rsidTr="00944CB1">
        <w:trPr>
          <w:jc w:val="center"/>
        </w:trPr>
        <w:tc>
          <w:tcPr>
            <w:tcW w:w="1738" w:type="pct"/>
            <w:vAlign w:val="bottom"/>
          </w:tcPr>
          <w:p w14:paraId="14A913C8" w14:textId="77777777" w:rsidR="006A2E7F" w:rsidRPr="000C0637" w:rsidRDefault="006A2E7F" w:rsidP="006A2E7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государственное или муниципальное</w:t>
            </w:r>
          </w:p>
        </w:tc>
        <w:tc>
          <w:tcPr>
            <w:tcW w:w="718" w:type="pct"/>
            <w:vAlign w:val="center"/>
          </w:tcPr>
          <w:p w14:paraId="35688A4B" w14:textId="77777777" w:rsidR="006A2E7F" w:rsidRPr="000C0637" w:rsidRDefault="006A2E7F" w:rsidP="006A2E7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1,9</w:t>
            </w:r>
          </w:p>
        </w:tc>
        <w:tc>
          <w:tcPr>
            <w:tcW w:w="806" w:type="pct"/>
            <w:vAlign w:val="center"/>
          </w:tcPr>
          <w:p w14:paraId="068E204A" w14:textId="77777777" w:rsidR="006A2E7F" w:rsidRPr="000C0637" w:rsidRDefault="006A2E7F" w:rsidP="006A2E7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1,8</w:t>
            </w:r>
          </w:p>
        </w:tc>
        <w:tc>
          <w:tcPr>
            <w:tcW w:w="854" w:type="pct"/>
            <w:vAlign w:val="center"/>
          </w:tcPr>
          <w:p w14:paraId="15795D79" w14:textId="77777777" w:rsidR="006A2E7F" w:rsidRPr="000C0637" w:rsidRDefault="006A2E7F" w:rsidP="006A2E7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1,7</w:t>
            </w:r>
          </w:p>
        </w:tc>
        <w:tc>
          <w:tcPr>
            <w:tcW w:w="884" w:type="pct"/>
            <w:vAlign w:val="center"/>
          </w:tcPr>
          <w:p w14:paraId="6C03B356" w14:textId="77777777" w:rsidR="006A2E7F" w:rsidRPr="000C0637" w:rsidRDefault="006A2E7F" w:rsidP="006A2E7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p>
        </w:tc>
      </w:tr>
      <w:tr w:rsidR="006A2E7F" w:rsidRPr="000C0637" w14:paraId="691C25F6" w14:textId="77777777" w:rsidTr="00944CB1">
        <w:trPr>
          <w:jc w:val="center"/>
        </w:trPr>
        <w:tc>
          <w:tcPr>
            <w:tcW w:w="1738" w:type="pct"/>
            <w:vAlign w:val="bottom"/>
          </w:tcPr>
          <w:p w14:paraId="5F324C98" w14:textId="77777777" w:rsidR="006A2E7F" w:rsidRPr="000C0637" w:rsidRDefault="006A2E7F" w:rsidP="006A2E7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частное, ЖСК </w:t>
            </w:r>
          </w:p>
        </w:tc>
        <w:tc>
          <w:tcPr>
            <w:tcW w:w="718" w:type="pct"/>
            <w:vAlign w:val="center"/>
          </w:tcPr>
          <w:p w14:paraId="27B15436" w14:textId="77777777" w:rsidR="006A2E7F" w:rsidRPr="000C0637" w:rsidRDefault="006A2E7F" w:rsidP="006A2E7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92,6</w:t>
            </w:r>
          </w:p>
        </w:tc>
        <w:tc>
          <w:tcPr>
            <w:tcW w:w="806" w:type="pct"/>
            <w:vAlign w:val="center"/>
          </w:tcPr>
          <w:p w14:paraId="58F87228" w14:textId="77777777" w:rsidR="006A2E7F" w:rsidRPr="000C0637" w:rsidRDefault="006A2E7F" w:rsidP="006A2E7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91,5</w:t>
            </w:r>
          </w:p>
        </w:tc>
        <w:tc>
          <w:tcPr>
            <w:tcW w:w="854" w:type="pct"/>
            <w:vAlign w:val="center"/>
          </w:tcPr>
          <w:p w14:paraId="4E4060DE" w14:textId="77777777" w:rsidR="006A2E7F" w:rsidRPr="000C0637" w:rsidRDefault="006A2E7F" w:rsidP="006A2E7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1</w:t>
            </w:r>
            <w:r w:rsidRPr="000C0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p>
        </w:tc>
        <w:tc>
          <w:tcPr>
            <w:tcW w:w="884" w:type="pct"/>
            <w:vAlign w:val="center"/>
          </w:tcPr>
          <w:p w14:paraId="16D0F38D" w14:textId="77777777" w:rsidR="006A2E7F" w:rsidRPr="000C0637" w:rsidRDefault="006A2E7F" w:rsidP="006A2E7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2</w:t>
            </w:r>
            <w:r w:rsidRPr="000C0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p>
        </w:tc>
      </w:tr>
      <w:tr w:rsidR="006A2E7F" w:rsidRPr="000C0637" w14:paraId="32C5A24B" w14:textId="77777777" w:rsidTr="00944CB1">
        <w:trPr>
          <w:jc w:val="center"/>
        </w:trPr>
        <w:tc>
          <w:tcPr>
            <w:tcW w:w="1738" w:type="pct"/>
            <w:vAlign w:val="bottom"/>
          </w:tcPr>
          <w:p w14:paraId="77E941FA" w14:textId="77777777" w:rsidR="006A2E7F" w:rsidRPr="000C0637" w:rsidRDefault="006A2E7F" w:rsidP="006A2E7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другая форма собственности </w:t>
            </w:r>
          </w:p>
        </w:tc>
        <w:tc>
          <w:tcPr>
            <w:tcW w:w="718" w:type="pct"/>
            <w:vAlign w:val="center"/>
          </w:tcPr>
          <w:p w14:paraId="4A951E70" w14:textId="77777777" w:rsidR="006A2E7F" w:rsidRPr="000C0637" w:rsidRDefault="006A2E7F" w:rsidP="006A2E7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5</w:t>
            </w:r>
          </w:p>
        </w:tc>
        <w:tc>
          <w:tcPr>
            <w:tcW w:w="806" w:type="pct"/>
            <w:vAlign w:val="center"/>
          </w:tcPr>
          <w:p w14:paraId="55BD8A06" w14:textId="77777777" w:rsidR="006A2E7F" w:rsidRPr="000C0637" w:rsidRDefault="006A2E7F" w:rsidP="006A2E7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6,7</w:t>
            </w:r>
          </w:p>
        </w:tc>
        <w:tc>
          <w:tcPr>
            <w:tcW w:w="854" w:type="pct"/>
            <w:vAlign w:val="center"/>
          </w:tcPr>
          <w:p w14:paraId="6364F220" w14:textId="77777777" w:rsidR="006A2E7F" w:rsidRPr="000C0637" w:rsidRDefault="006A2E7F" w:rsidP="006A2E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0C0637">
              <w:rPr>
                <w:rFonts w:ascii="Times New Roman" w:eastAsia="Times New Roman" w:hAnsi="Times New Roman" w:cs="Times New Roman"/>
                <w:sz w:val="24"/>
                <w:szCs w:val="24"/>
                <w:lang w:eastAsia="ru-RU"/>
              </w:rPr>
              <w:t>,1</w:t>
            </w:r>
          </w:p>
        </w:tc>
        <w:tc>
          <w:tcPr>
            <w:tcW w:w="884" w:type="pct"/>
            <w:vAlign w:val="center"/>
          </w:tcPr>
          <w:p w14:paraId="32A9AFAF" w14:textId="77777777" w:rsidR="006A2E7F" w:rsidRPr="000C0637" w:rsidRDefault="006A2E7F" w:rsidP="006A2E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0C0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p>
        </w:tc>
      </w:tr>
      <w:tr w:rsidR="006A2E7F" w:rsidRPr="000C0637" w14:paraId="33F3201A" w14:textId="77777777" w:rsidTr="00944CB1">
        <w:trPr>
          <w:jc w:val="center"/>
        </w:trPr>
        <w:tc>
          <w:tcPr>
            <w:tcW w:w="1738" w:type="pct"/>
            <w:vAlign w:val="bottom"/>
          </w:tcPr>
          <w:p w14:paraId="62EFE94A" w14:textId="77777777" w:rsidR="006A2E7F" w:rsidRPr="000C0637" w:rsidRDefault="006A2E7F" w:rsidP="006A2E7F">
            <w:pPr>
              <w:spacing w:before="80" w:after="0" w:line="240" w:lineRule="auto"/>
              <w:ind w:left="170"/>
              <w:rPr>
                <w:rFonts w:ascii="Times New Roman" w:eastAsia="Times New Roman" w:hAnsi="Times New Roman" w:cs="Times New Roman"/>
                <w:i/>
                <w:sz w:val="24"/>
                <w:szCs w:val="24"/>
                <w:lang w:eastAsia="ru-RU"/>
              </w:rPr>
            </w:pPr>
            <w:r w:rsidRPr="000C0637">
              <w:rPr>
                <w:rFonts w:ascii="Times New Roman" w:eastAsia="Times New Roman" w:hAnsi="Times New Roman" w:cs="Times New Roman"/>
                <w:i/>
                <w:sz w:val="24"/>
                <w:szCs w:val="24"/>
                <w:lang w:eastAsia="ru-RU"/>
              </w:rPr>
              <w:t>по типам занимаемого жилья</w:t>
            </w:r>
          </w:p>
        </w:tc>
        <w:tc>
          <w:tcPr>
            <w:tcW w:w="718" w:type="pct"/>
            <w:vAlign w:val="center"/>
          </w:tcPr>
          <w:p w14:paraId="28D5B81E" w14:textId="77777777" w:rsidR="006A2E7F" w:rsidRPr="000C0637" w:rsidRDefault="006A2E7F" w:rsidP="006A2E7F">
            <w:pPr>
              <w:spacing w:after="0" w:line="240" w:lineRule="auto"/>
              <w:jc w:val="center"/>
              <w:rPr>
                <w:rFonts w:ascii="Times New Roman" w:eastAsia="Times New Roman" w:hAnsi="Times New Roman" w:cs="Times New Roman"/>
                <w:sz w:val="24"/>
                <w:szCs w:val="24"/>
                <w:lang w:eastAsia="ru-RU"/>
              </w:rPr>
            </w:pPr>
          </w:p>
        </w:tc>
        <w:tc>
          <w:tcPr>
            <w:tcW w:w="806" w:type="pct"/>
            <w:vAlign w:val="center"/>
          </w:tcPr>
          <w:p w14:paraId="2A051085" w14:textId="77777777" w:rsidR="006A2E7F" w:rsidRPr="000C0637" w:rsidRDefault="006A2E7F" w:rsidP="006A2E7F">
            <w:pPr>
              <w:spacing w:after="0" w:line="240" w:lineRule="auto"/>
              <w:jc w:val="center"/>
              <w:rPr>
                <w:rFonts w:ascii="Times New Roman" w:eastAsia="Times New Roman" w:hAnsi="Times New Roman" w:cs="Times New Roman"/>
                <w:sz w:val="24"/>
                <w:szCs w:val="24"/>
                <w:lang w:eastAsia="ru-RU"/>
              </w:rPr>
            </w:pPr>
          </w:p>
        </w:tc>
        <w:tc>
          <w:tcPr>
            <w:tcW w:w="854" w:type="pct"/>
            <w:vAlign w:val="center"/>
          </w:tcPr>
          <w:p w14:paraId="1F578BF2" w14:textId="77777777" w:rsidR="006A2E7F" w:rsidRPr="000C0637" w:rsidRDefault="006A2E7F" w:rsidP="006A2E7F">
            <w:pPr>
              <w:spacing w:after="0" w:line="240" w:lineRule="auto"/>
              <w:jc w:val="center"/>
              <w:rPr>
                <w:rFonts w:ascii="Times New Roman" w:eastAsia="Times New Roman" w:hAnsi="Times New Roman" w:cs="Times New Roman"/>
                <w:sz w:val="24"/>
                <w:szCs w:val="24"/>
                <w:lang w:eastAsia="ru-RU"/>
              </w:rPr>
            </w:pPr>
          </w:p>
        </w:tc>
        <w:tc>
          <w:tcPr>
            <w:tcW w:w="884" w:type="pct"/>
            <w:vAlign w:val="center"/>
          </w:tcPr>
          <w:p w14:paraId="7CA07D48" w14:textId="77777777" w:rsidR="006A2E7F" w:rsidRPr="000C0637" w:rsidRDefault="006A2E7F" w:rsidP="006A2E7F">
            <w:pPr>
              <w:spacing w:after="0" w:line="240" w:lineRule="auto"/>
              <w:jc w:val="center"/>
              <w:rPr>
                <w:rFonts w:ascii="Times New Roman" w:eastAsia="Times New Roman" w:hAnsi="Times New Roman" w:cs="Times New Roman"/>
                <w:sz w:val="24"/>
                <w:szCs w:val="24"/>
                <w:lang w:eastAsia="ru-RU"/>
              </w:rPr>
            </w:pPr>
          </w:p>
        </w:tc>
      </w:tr>
      <w:tr w:rsidR="006A2E7F" w:rsidRPr="000C0637" w14:paraId="58116A6C" w14:textId="77777777" w:rsidTr="00944CB1">
        <w:trPr>
          <w:jc w:val="center"/>
        </w:trPr>
        <w:tc>
          <w:tcPr>
            <w:tcW w:w="1738" w:type="pct"/>
            <w:vAlign w:val="bottom"/>
          </w:tcPr>
          <w:p w14:paraId="1123637C" w14:textId="77777777" w:rsidR="006A2E7F" w:rsidRPr="000C0637" w:rsidRDefault="006A2E7F" w:rsidP="006A2E7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отдельной квартире</w:t>
            </w:r>
          </w:p>
        </w:tc>
        <w:tc>
          <w:tcPr>
            <w:tcW w:w="718" w:type="pct"/>
            <w:vAlign w:val="center"/>
          </w:tcPr>
          <w:p w14:paraId="15AC3DF4" w14:textId="77777777" w:rsidR="006A2E7F" w:rsidRPr="000C0637" w:rsidRDefault="006A2E7F" w:rsidP="006A2E7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70,7</w:t>
            </w:r>
          </w:p>
        </w:tc>
        <w:tc>
          <w:tcPr>
            <w:tcW w:w="806" w:type="pct"/>
            <w:vAlign w:val="center"/>
          </w:tcPr>
          <w:p w14:paraId="0BD16C12" w14:textId="77777777" w:rsidR="006A2E7F" w:rsidRPr="000C0637" w:rsidRDefault="006A2E7F" w:rsidP="006A2E7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68,0</w:t>
            </w:r>
          </w:p>
        </w:tc>
        <w:tc>
          <w:tcPr>
            <w:tcW w:w="854" w:type="pct"/>
            <w:vAlign w:val="center"/>
          </w:tcPr>
          <w:p w14:paraId="7C2BAB61" w14:textId="77777777" w:rsidR="006A2E7F" w:rsidRPr="000C0637" w:rsidRDefault="006A2E7F" w:rsidP="00EB2B29">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8</w:t>
            </w:r>
            <w:r w:rsidR="00EB2B29">
              <w:rPr>
                <w:rFonts w:ascii="Times New Roman" w:eastAsia="Times New Roman" w:hAnsi="Times New Roman" w:cs="Times New Roman"/>
                <w:sz w:val="24"/>
                <w:szCs w:val="24"/>
                <w:lang w:eastAsia="ru-RU"/>
              </w:rPr>
              <w:t>1</w:t>
            </w:r>
            <w:r w:rsidRPr="000C0637">
              <w:rPr>
                <w:rFonts w:ascii="Times New Roman" w:eastAsia="Times New Roman" w:hAnsi="Times New Roman" w:cs="Times New Roman"/>
                <w:sz w:val="24"/>
                <w:szCs w:val="24"/>
                <w:lang w:eastAsia="ru-RU"/>
              </w:rPr>
              <w:t>,</w:t>
            </w:r>
            <w:r w:rsidR="00EB2B29">
              <w:rPr>
                <w:rFonts w:ascii="Times New Roman" w:eastAsia="Times New Roman" w:hAnsi="Times New Roman" w:cs="Times New Roman"/>
                <w:sz w:val="24"/>
                <w:szCs w:val="24"/>
                <w:lang w:eastAsia="ru-RU"/>
              </w:rPr>
              <w:t>8</w:t>
            </w:r>
          </w:p>
        </w:tc>
        <w:tc>
          <w:tcPr>
            <w:tcW w:w="884" w:type="pct"/>
            <w:vAlign w:val="center"/>
          </w:tcPr>
          <w:p w14:paraId="325A94F6" w14:textId="77777777" w:rsidR="006A2E7F" w:rsidRPr="000C0637" w:rsidRDefault="006A2E7F" w:rsidP="00EB2B29">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w:t>
            </w:r>
            <w:r w:rsidR="00EB2B29">
              <w:rPr>
                <w:rFonts w:ascii="Times New Roman" w:eastAsia="Times New Roman" w:hAnsi="Times New Roman" w:cs="Times New Roman"/>
                <w:sz w:val="24"/>
                <w:szCs w:val="24"/>
                <w:lang w:eastAsia="ru-RU"/>
              </w:rPr>
              <w:t>5</w:t>
            </w:r>
            <w:r w:rsidRPr="000C0637">
              <w:rPr>
                <w:rFonts w:ascii="Times New Roman" w:eastAsia="Times New Roman" w:hAnsi="Times New Roman" w:cs="Times New Roman"/>
                <w:sz w:val="24"/>
                <w:szCs w:val="24"/>
                <w:lang w:eastAsia="ru-RU"/>
              </w:rPr>
              <w:t>,0</w:t>
            </w:r>
          </w:p>
        </w:tc>
      </w:tr>
      <w:tr w:rsidR="006A2E7F" w:rsidRPr="000C0637" w14:paraId="0603FDD4" w14:textId="77777777" w:rsidTr="00944CB1">
        <w:trPr>
          <w:jc w:val="center"/>
        </w:trPr>
        <w:tc>
          <w:tcPr>
            <w:tcW w:w="1738" w:type="pct"/>
            <w:vAlign w:val="bottom"/>
          </w:tcPr>
          <w:p w14:paraId="2F2C8EE5" w14:textId="77777777" w:rsidR="006A2E7F" w:rsidRPr="000C0637" w:rsidRDefault="006A2E7F" w:rsidP="006A2E7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коммунальной квартире</w:t>
            </w:r>
          </w:p>
        </w:tc>
        <w:tc>
          <w:tcPr>
            <w:tcW w:w="718" w:type="pct"/>
            <w:vAlign w:val="center"/>
          </w:tcPr>
          <w:p w14:paraId="5B72C2FA" w14:textId="77777777" w:rsidR="006A2E7F" w:rsidRPr="000C0637" w:rsidRDefault="006A2E7F" w:rsidP="006A2E7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0,5</w:t>
            </w:r>
          </w:p>
        </w:tc>
        <w:tc>
          <w:tcPr>
            <w:tcW w:w="806" w:type="pct"/>
            <w:vAlign w:val="center"/>
          </w:tcPr>
          <w:p w14:paraId="5CAEDE37" w14:textId="77777777" w:rsidR="006A2E7F" w:rsidRPr="000C0637" w:rsidRDefault="006A2E7F" w:rsidP="006A2E7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0,5</w:t>
            </w:r>
          </w:p>
        </w:tc>
        <w:tc>
          <w:tcPr>
            <w:tcW w:w="854" w:type="pct"/>
            <w:vAlign w:val="center"/>
          </w:tcPr>
          <w:p w14:paraId="3B8FC550" w14:textId="77777777" w:rsidR="006A2E7F" w:rsidRPr="000C0637" w:rsidRDefault="006A2E7F" w:rsidP="006A2E7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0,6</w:t>
            </w:r>
          </w:p>
        </w:tc>
        <w:tc>
          <w:tcPr>
            <w:tcW w:w="884" w:type="pct"/>
            <w:vAlign w:val="center"/>
          </w:tcPr>
          <w:p w14:paraId="15916608" w14:textId="77777777" w:rsidR="006A2E7F" w:rsidRPr="000C0637" w:rsidRDefault="006A2E7F" w:rsidP="00EB2B29">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w:t>
            </w:r>
            <w:r w:rsidR="00EB2B29">
              <w:rPr>
                <w:rFonts w:ascii="Times New Roman" w:eastAsia="Times New Roman" w:hAnsi="Times New Roman" w:cs="Times New Roman"/>
                <w:sz w:val="24"/>
                <w:szCs w:val="24"/>
                <w:lang w:eastAsia="ru-RU"/>
              </w:rPr>
              <w:t>1</w:t>
            </w:r>
          </w:p>
        </w:tc>
      </w:tr>
      <w:tr w:rsidR="006A2E7F" w:rsidRPr="000C0637" w14:paraId="1E0E0073" w14:textId="77777777" w:rsidTr="00944CB1">
        <w:trPr>
          <w:jc w:val="center"/>
        </w:trPr>
        <w:tc>
          <w:tcPr>
            <w:tcW w:w="1738" w:type="pct"/>
            <w:vAlign w:val="bottom"/>
          </w:tcPr>
          <w:p w14:paraId="622D54FA" w14:textId="77777777" w:rsidR="006A2E7F" w:rsidRPr="000C0637" w:rsidRDefault="006A2E7F" w:rsidP="006A2E7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в общежитии </w:t>
            </w:r>
          </w:p>
        </w:tc>
        <w:tc>
          <w:tcPr>
            <w:tcW w:w="718" w:type="pct"/>
            <w:vAlign w:val="center"/>
          </w:tcPr>
          <w:p w14:paraId="0021E60C" w14:textId="77777777" w:rsidR="006A2E7F" w:rsidRPr="000C0637" w:rsidRDefault="006A2E7F" w:rsidP="006A2E7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0,1</w:t>
            </w:r>
          </w:p>
        </w:tc>
        <w:tc>
          <w:tcPr>
            <w:tcW w:w="806" w:type="pct"/>
            <w:vAlign w:val="center"/>
          </w:tcPr>
          <w:p w14:paraId="2F830B10" w14:textId="77777777" w:rsidR="006A2E7F" w:rsidRPr="000C0637" w:rsidRDefault="006A2E7F" w:rsidP="006A2E7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0,1</w:t>
            </w:r>
          </w:p>
        </w:tc>
        <w:tc>
          <w:tcPr>
            <w:tcW w:w="854" w:type="pct"/>
            <w:vAlign w:val="center"/>
          </w:tcPr>
          <w:p w14:paraId="514C4133" w14:textId="77777777" w:rsidR="006A2E7F" w:rsidRPr="000C0637" w:rsidRDefault="006A2E7F" w:rsidP="006A2E7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0,1</w:t>
            </w:r>
          </w:p>
        </w:tc>
        <w:tc>
          <w:tcPr>
            <w:tcW w:w="884" w:type="pct"/>
            <w:vAlign w:val="center"/>
          </w:tcPr>
          <w:p w14:paraId="756E2853" w14:textId="77777777" w:rsidR="006A2E7F" w:rsidRPr="000C0637" w:rsidRDefault="006A2E7F" w:rsidP="006A2E7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0,1</w:t>
            </w:r>
          </w:p>
        </w:tc>
      </w:tr>
      <w:tr w:rsidR="006A2E7F" w:rsidRPr="000C0637" w14:paraId="35688CB9" w14:textId="77777777" w:rsidTr="00944CB1">
        <w:trPr>
          <w:jc w:val="center"/>
        </w:trPr>
        <w:tc>
          <w:tcPr>
            <w:tcW w:w="1738" w:type="pct"/>
            <w:vAlign w:val="bottom"/>
          </w:tcPr>
          <w:p w14:paraId="1A33FED7" w14:textId="77777777" w:rsidR="006A2E7F" w:rsidRPr="000C0637" w:rsidRDefault="006A2E7F" w:rsidP="006A2E7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отдельном доме, в части дома</w:t>
            </w:r>
          </w:p>
        </w:tc>
        <w:tc>
          <w:tcPr>
            <w:tcW w:w="718" w:type="pct"/>
            <w:vAlign w:val="center"/>
          </w:tcPr>
          <w:p w14:paraId="57C44762" w14:textId="77777777" w:rsidR="006A2E7F" w:rsidRPr="000C0637" w:rsidRDefault="006A2E7F" w:rsidP="006A2E7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28,7</w:t>
            </w:r>
          </w:p>
        </w:tc>
        <w:tc>
          <w:tcPr>
            <w:tcW w:w="806" w:type="pct"/>
            <w:vAlign w:val="center"/>
          </w:tcPr>
          <w:p w14:paraId="1FF36D2B" w14:textId="77777777" w:rsidR="006A2E7F" w:rsidRPr="000C0637" w:rsidRDefault="006A2E7F" w:rsidP="006A2E7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31,4</w:t>
            </w:r>
          </w:p>
        </w:tc>
        <w:tc>
          <w:tcPr>
            <w:tcW w:w="854" w:type="pct"/>
            <w:vAlign w:val="center"/>
          </w:tcPr>
          <w:p w14:paraId="58AFDA0B" w14:textId="77777777" w:rsidR="006A2E7F" w:rsidRPr="000C0637" w:rsidRDefault="006A2E7F" w:rsidP="00EB2B29">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w:t>
            </w:r>
            <w:r w:rsidR="00EB2B29">
              <w:rPr>
                <w:rFonts w:ascii="Times New Roman" w:eastAsia="Times New Roman" w:hAnsi="Times New Roman" w:cs="Times New Roman"/>
                <w:sz w:val="24"/>
                <w:szCs w:val="24"/>
                <w:lang w:eastAsia="ru-RU"/>
              </w:rPr>
              <w:t>7,4</w:t>
            </w:r>
          </w:p>
        </w:tc>
        <w:tc>
          <w:tcPr>
            <w:tcW w:w="884" w:type="pct"/>
            <w:vAlign w:val="center"/>
          </w:tcPr>
          <w:p w14:paraId="6D4CC683" w14:textId="77777777" w:rsidR="006A2E7F" w:rsidRPr="000C0637" w:rsidRDefault="006A2E7F" w:rsidP="00EB2B29">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7</w:t>
            </w:r>
            <w:r w:rsidR="00EB2B29">
              <w:rPr>
                <w:rFonts w:ascii="Times New Roman" w:eastAsia="Times New Roman" w:hAnsi="Times New Roman" w:cs="Times New Roman"/>
                <w:sz w:val="24"/>
                <w:szCs w:val="24"/>
                <w:lang w:eastAsia="ru-RU"/>
              </w:rPr>
              <w:t>4</w:t>
            </w:r>
            <w:r w:rsidRPr="000C0637">
              <w:rPr>
                <w:rFonts w:ascii="Times New Roman" w:eastAsia="Times New Roman" w:hAnsi="Times New Roman" w:cs="Times New Roman"/>
                <w:sz w:val="24"/>
                <w:szCs w:val="24"/>
                <w:lang w:eastAsia="ru-RU"/>
              </w:rPr>
              <w:t>,8</w:t>
            </w:r>
          </w:p>
        </w:tc>
      </w:tr>
      <w:tr w:rsidR="006A2E7F" w:rsidRPr="000C0637" w14:paraId="2ACEC28D" w14:textId="77777777" w:rsidTr="00944CB1">
        <w:trPr>
          <w:jc w:val="center"/>
        </w:trPr>
        <w:tc>
          <w:tcPr>
            <w:tcW w:w="1738" w:type="pct"/>
            <w:vAlign w:val="bottom"/>
          </w:tcPr>
          <w:p w14:paraId="06EB55E0" w14:textId="77777777" w:rsidR="006A2E7F" w:rsidRPr="000C0637" w:rsidRDefault="006A2E7F" w:rsidP="006A2E7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другом жилище</w:t>
            </w:r>
          </w:p>
        </w:tc>
        <w:tc>
          <w:tcPr>
            <w:tcW w:w="718" w:type="pct"/>
            <w:vAlign w:val="center"/>
          </w:tcPr>
          <w:p w14:paraId="0D4A1C7D" w14:textId="77777777" w:rsidR="006A2E7F" w:rsidRPr="000C0637" w:rsidRDefault="006A2E7F" w:rsidP="006A2E7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0,0</w:t>
            </w:r>
          </w:p>
        </w:tc>
        <w:tc>
          <w:tcPr>
            <w:tcW w:w="806" w:type="pct"/>
            <w:vAlign w:val="center"/>
          </w:tcPr>
          <w:p w14:paraId="6F339E08" w14:textId="77777777" w:rsidR="006A2E7F" w:rsidRPr="000C0637" w:rsidRDefault="006A2E7F" w:rsidP="006A2E7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0,0</w:t>
            </w:r>
          </w:p>
        </w:tc>
        <w:tc>
          <w:tcPr>
            <w:tcW w:w="854" w:type="pct"/>
            <w:vAlign w:val="center"/>
          </w:tcPr>
          <w:p w14:paraId="2A4282B5" w14:textId="77777777" w:rsidR="006A2E7F" w:rsidRPr="000C0637" w:rsidRDefault="006A2E7F" w:rsidP="006A2E7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0,0</w:t>
            </w:r>
          </w:p>
        </w:tc>
        <w:tc>
          <w:tcPr>
            <w:tcW w:w="884" w:type="pct"/>
            <w:vAlign w:val="center"/>
          </w:tcPr>
          <w:p w14:paraId="549D1F83" w14:textId="77777777" w:rsidR="006A2E7F" w:rsidRPr="000C0637" w:rsidRDefault="006A2E7F" w:rsidP="006A2E7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0,0</w:t>
            </w:r>
          </w:p>
        </w:tc>
      </w:tr>
      <w:tr w:rsidR="006A2E7F" w:rsidRPr="000C0637" w14:paraId="4B9ECA5F" w14:textId="77777777" w:rsidTr="00944CB1">
        <w:trPr>
          <w:jc w:val="center"/>
        </w:trPr>
        <w:tc>
          <w:tcPr>
            <w:tcW w:w="1738" w:type="pct"/>
            <w:vAlign w:val="bottom"/>
          </w:tcPr>
          <w:p w14:paraId="590A6C85" w14:textId="77777777" w:rsidR="006A2E7F" w:rsidRPr="000C0637" w:rsidRDefault="006A2E7F" w:rsidP="006A2E7F">
            <w:pPr>
              <w:spacing w:before="80" w:after="0" w:line="240" w:lineRule="auto"/>
              <w:ind w:left="170"/>
              <w:rPr>
                <w:rFonts w:ascii="Times New Roman" w:eastAsia="Times New Roman" w:hAnsi="Times New Roman" w:cs="Times New Roman"/>
                <w:i/>
                <w:sz w:val="24"/>
                <w:szCs w:val="24"/>
                <w:lang w:eastAsia="ru-RU"/>
              </w:rPr>
            </w:pPr>
            <w:r w:rsidRPr="000C0637">
              <w:rPr>
                <w:rFonts w:ascii="Times New Roman" w:eastAsia="Times New Roman" w:hAnsi="Times New Roman" w:cs="Times New Roman"/>
                <w:i/>
                <w:sz w:val="24"/>
                <w:szCs w:val="24"/>
                <w:lang w:eastAsia="ru-RU"/>
              </w:rPr>
              <w:t>по числу занимаемых комнат</w:t>
            </w:r>
          </w:p>
        </w:tc>
        <w:tc>
          <w:tcPr>
            <w:tcW w:w="718" w:type="pct"/>
            <w:vAlign w:val="center"/>
          </w:tcPr>
          <w:p w14:paraId="7FF20739" w14:textId="77777777" w:rsidR="006A2E7F" w:rsidRPr="000C0637" w:rsidRDefault="006A2E7F" w:rsidP="006A2E7F">
            <w:pPr>
              <w:spacing w:after="0" w:line="240" w:lineRule="auto"/>
              <w:jc w:val="center"/>
              <w:rPr>
                <w:rFonts w:ascii="Times New Roman" w:eastAsia="Times New Roman" w:hAnsi="Times New Roman" w:cs="Times New Roman"/>
                <w:sz w:val="24"/>
                <w:szCs w:val="24"/>
                <w:lang w:eastAsia="ru-RU"/>
              </w:rPr>
            </w:pPr>
          </w:p>
        </w:tc>
        <w:tc>
          <w:tcPr>
            <w:tcW w:w="806" w:type="pct"/>
            <w:vAlign w:val="center"/>
          </w:tcPr>
          <w:p w14:paraId="030C1EE8" w14:textId="77777777" w:rsidR="006A2E7F" w:rsidRPr="000C0637" w:rsidRDefault="006A2E7F" w:rsidP="006A2E7F">
            <w:pPr>
              <w:spacing w:after="0" w:line="240" w:lineRule="auto"/>
              <w:jc w:val="center"/>
              <w:rPr>
                <w:rFonts w:ascii="Times New Roman" w:eastAsia="Times New Roman" w:hAnsi="Times New Roman" w:cs="Times New Roman"/>
                <w:sz w:val="24"/>
                <w:szCs w:val="24"/>
                <w:lang w:eastAsia="ru-RU"/>
              </w:rPr>
            </w:pPr>
          </w:p>
        </w:tc>
        <w:tc>
          <w:tcPr>
            <w:tcW w:w="854" w:type="pct"/>
            <w:vAlign w:val="center"/>
          </w:tcPr>
          <w:p w14:paraId="030A4DE0" w14:textId="77777777" w:rsidR="006A2E7F" w:rsidRPr="000C0637" w:rsidRDefault="006A2E7F" w:rsidP="006A2E7F">
            <w:pPr>
              <w:spacing w:after="0" w:line="240" w:lineRule="auto"/>
              <w:jc w:val="center"/>
              <w:rPr>
                <w:rFonts w:ascii="Times New Roman" w:eastAsia="Times New Roman" w:hAnsi="Times New Roman" w:cs="Times New Roman"/>
                <w:sz w:val="24"/>
                <w:szCs w:val="24"/>
                <w:lang w:eastAsia="ru-RU"/>
              </w:rPr>
            </w:pPr>
          </w:p>
        </w:tc>
        <w:tc>
          <w:tcPr>
            <w:tcW w:w="884" w:type="pct"/>
            <w:vAlign w:val="center"/>
          </w:tcPr>
          <w:p w14:paraId="3D5A4891" w14:textId="77777777" w:rsidR="006A2E7F" w:rsidRPr="000C0637" w:rsidRDefault="006A2E7F" w:rsidP="006A2E7F">
            <w:pPr>
              <w:spacing w:after="0" w:line="240" w:lineRule="auto"/>
              <w:jc w:val="center"/>
              <w:rPr>
                <w:rFonts w:ascii="Times New Roman" w:eastAsia="Times New Roman" w:hAnsi="Times New Roman" w:cs="Times New Roman"/>
                <w:sz w:val="24"/>
                <w:szCs w:val="24"/>
                <w:lang w:eastAsia="ru-RU"/>
              </w:rPr>
            </w:pPr>
          </w:p>
        </w:tc>
      </w:tr>
      <w:tr w:rsidR="006A2E7F" w:rsidRPr="000C0637" w14:paraId="74CD1527" w14:textId="77777777" w:rsidTr="00944CB1">
        <w:trPr>
          <w:jc w:val="center"/>
        </w:trPr>
        <w:tc>
          <w:tcPr>
            <w:tcW w:w="1738" w:type="pct"/>
            <w:vAlign w:val="bottom"/>
          </w:tcPr>
          <w:p w14:paraId="25C67FB2" w14:textId="77777777" w:rsidR="006A2E7F" w:rsidRPr="000C0637" w:rsidRDefault="006A2E7F" w:rsidP="006A2E7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1 комнату </w:t>
            </w:r>
          </w:p>
        </w:tc>
        <w:tc>
          <w:tcPr>
            <w:tcW w:w="718" w:type="pct"/>
            <w:vAlign w:val="center"/>
          </w:tcPr>
          <w:p w14:paraId="4B1D99B1" w14:textId="77777777" w:rsidR="006A2E7F" w:rsidRPr="000C0637" w:rsidRDefault="006A2E7F" w:rsidP="006A2E7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14,5</w:t>
            </w:r>
          </w:p>
        </w:tc>
        <w:tc>
          <w:tcPr>
            <w:tcW w:w="806" w:type="pct"/>
            <w:vAlign w:val="center"/>
          </w:tcPr>
          <w:p w14:paraId="499E06D3" w14:textId="77777777" w:rsidR="006A2E7F" w:rsidRPr="000C0637" w:rsidRDefault="006A2E7F" w:rsidP="006A2E7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8,6</w:t>
            </w:r>
          </w:p>
        </w:tc>
        <w:tc>
          <w:tcPr>
            <w:tcW w:w="854" w:type="pct"/>
            <w:vAlign w:val="center"/>
          </w:tcPr>
          <w:p w14:paraId="4E78993A" w14:textId="77777777" w:rsidR="006A2E7F" w:rsidRPr="000C0637" w:rsidRDefault="00EB2B29" w:rsidP="00EB2B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6A2E7F" w:rsidRPr="000C0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p>
        </w:tc>
        <w:tc>
          <w:tcPr>
            <w:tcW w:w="884" w:type="pct"/>
            <w:vAlign w:val="center"/>
          </w:tcPr>
          <w:p w14:paraId="039B3857" w14:textId="77777777" w:rsidR="006A2E7F" w:rsidRPr="000C0637" w:rsidRDefault="00EB2B29" w:rsidP="00EB2B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A2E7F" w:rsidRPr="000C0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p>
        </w:tc>
      </w:tr>
      <w:tr w:rsidR="006A2E7F" w:rsidRPr="000C0637" w14:paraId="69E60F05" w14:textId="77777777" w:rsidTr="00944CB1">
        <w:trPr>
          <w:jc w:val="center"/>
        </w:trPr>
        <w:tc>
          <w:tcPr>
            <w:tcW w:w="1738" w:type="pct"/>
            <w:vAlign w:val="bottom"/>
          </w:tcPr>
          <w:p w14:paraId="7AB1782B" w14:textId="77777777" w:rsidR="006A2E7F" w:rsidRPr="000C0637" w:rsidRDefault="006A2E7F" w:rsidP="006A2E7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 комнаты</w:t>
            </w:r>
          </w:p>
        </w:tc>
        <w:tc>
          <w:tcPr>
            <w:tcW w:w="718" w:type="pct"/>
            <w:vAlign w:val="center"/>
          </w:tcPr>
          <w:p w14:paraId="055C0555" w14:textId="77777777" w:rsidR="006A2E7F" w:rsidRPr="000C0637" w:rsidRDefault="006A2E7F" w:rsidP="00BD1081">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38,</w:t>
            </w:r>
            <w:r w:rsidR="00BD1081">
              <w:rPr>
                <w:rFonts w:ascii="Times New Roman" w:eastAsia="Times New Roman" w:hAnsi="Times New Roman" w:cs="Times New Roman"/>
                <w:sz w:val="24"/>
                <w:szCs w:val="24"/>
                <w:lang w:eastAsia="ru-RU"/>
              </w:rPr>
              <w:t>5</w:t>
            </w:r>
          </w:p>
        </w:tc>
        <w:tc>
          <w:tcPr>
            <w:tcW w:w="806" w:type="pct"/>
            <w:vAlign w:val="center"/>
          </w:tcPr>
          <w:p w14:paraId="36453D29" w14:textId="77777777" w:rsidR="006A2E7F" w:rsidRPr="000C0637" w:rsidRDefault="006A2E7F" w:rsidP="00BD1081">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35,</w:t>
            </w:r>
            <w:r w:rsidR="00BD1081">
              <w:rPr>
                <w:rFonts w:ascii="Times New Roman" w:eastAsia="Times New Roman" w:hAnsi="Times New Roman" w:cs="Times New Roman"/>
                <w:sz w:val="24"/>
                <w:szCs w:val="24"/>
                <w:lang w:eastAsia="ru-RU"/>
              </w:rPr>
              <w:t>6</w:t>
            </w:r>
          </w:p>
        </w:tc>
        <w:tc>
          <w:tcPr>
            <w:tcW w:w="854" w:type="pct"/>
            <w:vAlign w:val="center"/>
          </w:tcPr>
          <w:p w14:paraId="194818FA" w14:textId="77777777" w:rsidR="006A2E7F" w:rsidRPr="000C0637" w:rsidRDefault="00BD1081" w:rsidP="00BD1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6A2E7F" w:rsidRPr="000C0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p>
        </w:tc>
        <w:tc>
          <w:tcPr>
            <w:tcW w:w="884" w:type="pct"/>
            <w:vAlign w:val="center"/>
          </w:tcPr>
          <w:p w14:paraId="7DF2E271" w14:textId="77777777" w:rsidR="006A2E7F" w:rsidRPr="000C0637" w:rsidRDefault="006A2E7F" w:rsidP="00BD1081">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w:t>
            </w:r>
            <w:r w:rsidR="00BD1081">
              <w:rPr>
                <w:rFonts w:ascii="Times New Roman" w:eastAsia="Times New Roman" w:hAnsi="Times New Roman" w:cs="Times New Roman"/>
                <w:sz w:val="24"/>
                <w:szCs w:val="24"/>
                <w:lang w:eastAsia="ru-RU"/>
              </w:rPr>
              <w:t>3</w:t>
            </w:r>
            <w:r w:rsidRPr="000C0637">
              <w:rPr>
                <w:rFonts w:ascii="Times New Roman" w:eastAsia="Times New Roman" w:hAnsi="Times New Roman" w:cs="Times New Roman"/>
                <w:sz w:val="24"/>
                <w:szCs w:val="24"/>
                <w:lang w:eastAsia="ru-RU"/>
              </w:rPr>
              <w:t>,</w:t>
            </w:r>
            <w:r w:rsidR="00BD1081">
              <w:rPr>
                <w:rFonts w:ascii="Times New Roman" w:eastAsia="Times New Roman" w:hAnsi="Times New Roman" w:cs="Times New Roman"/>
                <w:sz w:val="24"/>
                <w:szCs w:val="24"/>
                <w:lang w:eastAsia="ru-RU"/>
              </w:rPr>
              <w:t>4</w:t>
            </w:r>
          </w:p>
        </w:tc>
      </w:tr>
      <w:tr w:rsidR="006A2E7F" w:rsidRPr="000C0637" w14:paraId="0AD18B7E" w14:textId="77777777" w:rsidTr="00944CB1">
        <w:trPr>
          <w:jc w:val="center"/>
        </w:trPr>
        <w:tc>
          <w:tcPr>
            <w:tcW w:w="1738" w:type="pct"/>
            <w:vAlign w:val="bottom"/>
          </w:tcPr>
          <w:p w14:paraId="39DB2A54" w14:textId="77777777" w:rsidR="006A2E7F" w:rsidRPr="000C0637" w:rsidRDefault="006A2E7F" w:rsidP="006A2E7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 и более комнат</w:t>
            </w:r>
          </w:p>
        </w:tc>
        <w:tc>
          <w:tcPr>
            <w:tcW w:w="718" w:type="pct"/>
            <w:vAlign w:val="center"/>
          </w:tcPr>
          <w:p w14:paraId="27F3A77E" w14:textId="77777777" w:rsidR="006A2E7F" w:rsidRPr="000C0637" w:rsidRDefault="006A2E7F" w:rsidP="006A2E7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47,0</w:t>
            </w:r>
          </w:p>
        </w:tc>
        <w:tc>
          <w:tcPr>
            <w:tcW w:w="806" w:type="pct"/>
            <w:vAlign w:val="center"/>
          </w:tcPr>
          <w:p w14:paraId="496D517C" w14:textId="77777777" w:rsidR="006A2E7F" w:rsidRPr="000C0637" w:rsidRDefault="006A2E7F" w:rsidP="006A2E7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55,</w:t>
            </w:r>
            <w:r>
              <w:rPr>
                <w:rFonts w:ascii="Times New Roman" w:eastAsia="Times New Roman" w:hAnsi="Times New Roman" w:cs="Times New Roman"/>
                <w:sz w:val="24"/>
                <w:szCs w:val="24"/>
                <w:lang w:eastAsia="ru-RU"/>
              </w:rPr>
              <w:t>8</w:t>
            </w:r>
          </w:p>
        </w:tc>
        <w:tc>
          <w:tcPr>
            <w:tcW w:w="854" w:type="pct"/>
            <w:vAlign w:val="center"/>
          </w:tcPr>
          <w:p w14:paraId="01DBCB2E" w14:textId="77777777" w:rsidR="006A2E7F" w:rsidRPr="000C0637" w:rsidRDefault="00BD1081" w:rsidP="006A2E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A2E7F" w:rsidRPr="000C0637">
              <w:rPr>
                <w:rFonts w:ascii="Times New Roman" w:eastAsia="Times New Roman" w:hAnsi="Times New Roman" w:cs="Times New Roman"/>
                <w:sz w:val="24"/>
                <w:szCs w:val="24"/>
                <w:lang w:eastAsia="ru-RU"/>
              </w:rPr>
              <w:t>0,8</w:t>
            </w:r>
          </w:p>
        </w:tc>
        <w:tc>
          <w:tcPr>
            <w:tcW w:w="884" w:type="pct"/>
            <w:vAlign w:val="center"/>
          </w:tcPr>
          <w:p w14:paraId="680E61F9" w14:textId="77777777" w:rsidR="006A2E7F" w:rsidRPr="000C0637" w:rsidRDefault="00BD1081" w:rsidP="00BD1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r w:rsidR="006A2E7F" w:rsidRPr="000C063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p>
        </w:tc>
      </w:tr>
      <w:tr w:rsidR="006A2E7F" w:rsidRPr="000C0637" w14:paraId="2378A58D" w14:textId="77777777" w:rsidTr="00944CB1">
        <w:trPr>
          <w:jc w:val="center"/>
        </w:trPr>
        <w:tc>
          <w:tcPr>
            <w:tcW w:w="1738" w:type="pct"/>
            <w:vAlign w:val="bottom"/>
          </w:tcPr>
          <w:p w14:paraId="23E118D2" w14:textId="77777777" w:rsidR="006A2E7F" w:rsidRPr="000C0637" w:rsidRDefault="006A2E7F" w:rsidP="006A2E7F">
            <w:pPr>
              <w:spacing w:before="80" w:after="0" w:line="240" w:lineRule="auto"/>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Размер общей площади жилого помещения, в среднем на одного проживающего, </w:t>
            </w:r>
            <w:proofErr w:type="spellStart"/>
            <w:r w:rsidRPr="000C0637">
              <w:rPr>
                <w:rFonts w:ascii="Times New Roman" w:eastAsia="Times New Roman" w:hAnsi="Times New Roman" w:cs="Times New Roman"/>
                <w:sz w:val="24"/>
                <w:szCs w:val="24"/>
                <w:lang w:eastAsia="ru-RU"/>
              </w:rPr>
              <w:t>кв.м</w:t>
            </w:r>
            <w:proofErr w:type="spellEnd"/>
          </w:p>
        </w:tc>
        <w:tc>
          <w:tcPr>
            <w:tcW w:w="718" w:type="pct"/>
            <w:vAlign w:val="center"/>
          </w:tcPr>
          <w:p w14:paraId="0D820509" w14:textId="77777777" w:rsidR="006A2E7F" w:rsidRPr="000C0637" w:rsidRDefault="006A2E7F" w:rsidP="006A2E7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23</w:t>
            </w:r>
            <w:r>
              <w:rPr>
                <w:rFonts w:ascii="Times New Roman" w:eastAsia="Times New Roman" w:hAnsi="Times New Roman" w:cs="Times New Roman"/>
                <w:sz w:val="24"/>
                <w:szCs w:val="24"/>
                <w:lang w:eastAsia="ru-RU"/>
              </w:rPr>
              <w:t>,1</w:t>
            </w:r>
          </w:p>
        </w:tc>
        <w:tc>
          <w:tcPr>
            <w:tcW w:w="806" w:type="pct"/>
            <w:vAlign w:val="center"/>
          </w:tcPr>
          <w:p w14:paraId="5007EE74" w14:textId="77777777" w:rsidR="006A2E7F" w:rsidRPr="000C0637" w:rsidRDefault="006A2E7F" w:rsidP="006A2E7F">
            <w:pPr>
              <w:spacing w:after="0" w:line="240" w:lineRule="auto"/>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6,7</w:t>
            </w:r>
          </w:p>
        </w:tc>
        <w:tc>
          <w:tcPr>
            <w:tcW w:w="854" w:type="pct"/>
            <w:vAlign w:val="center"/>
          </w:tcPr>
          <w:p w14:paraId="5B53BD38" w14:textId="77777777" w:rsidR="006A2E7F" w:rsidRPr="000C0637" w:rsidRDefault="00BD1081" w:rsidP="006A2E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p>
        </w:tc>
        <w:tc>
          <w:tcPr>
            <w:tcW w:w="884" w:type="pct"/>
            <w:vAlign w:val="center"/>
          </w:tcPr>
          <w:p w14:paraId="368EE875" w14:textId="77777777" w:rsidR="006A2E7F" w:rsidRPr="000C0637" w:rsidRDefault="00BD1081" w:rsidP="00BD10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6A2E7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p>
        </w:tc>
      </w:tr>
      <w:tr w:rsidR="006A2E7F" w:rsidRPr="000C0637" w14:paraId="0362CAF8" w14:textId="77777777" w:rsidTr="00944CB1">
        <w:trPr>
          <w:trHeight w:val="382"/>
          <w:jc w:val="center"/>
        </w:trPr>
        <w:tc>
          <w:tcPr>
            <w:tcW w:w="5000" w:type="pct"/>
            <w:gridSpan w:val="5"/>
            <w:vAlign w:val="center"/>
          </w:tcPr>
          <w:p w14:paraId="6673CBEA" w14:textId="77777777" w:rsidR="006A2E7F" w:rsidRPr="000C0637" w:rsidRDefault="006A2E7F" w:rsidP="006A2E7F">
            <w:pPr>
              <w:spacing w:before="60" w:after="60" w:line="200" w:lineRule="exact"/>
              <w:ind w:right="-206"/>
              <w:jc w:val="center"/>
              <w:rPr>
                <w:rFonts w:ascii="Times New Roman" w:eastAsia="Times New Roman" w:hAnsi="Times New Roman" w:cs="Times New Roman"/>
                <w:sz w:val="24"/>
                <w:szCs w:val="24"/>
                <w:lang w:eastAsia="ru-RU"/>
              </w:rPr>
            </w:pPr>
            <w:r w:rsidRPr="000C0637">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20</w:t>
            </w:r>
            <w:r w:rsidRPr="000C0637">
              <w:rPr>
                <w:rFonts w:ascii="Times New Roman" w:eastAsia="Times New Roman" w:hAnsi="Times New Roman" w:cs="Times New Roman"/>
                <w:b/>
                <w:sz w:val="24"/>
                <w:szCs w:val="24"/>
                <w:lang w:eastAsia="ru-RU"/>
              </w:rPr>
              <w:t xml:space="preserve"> г.</w:t>
            </w:r>
          </w:p>
        </w:tc>
      </w:tr>
      <w:tr w:rsidR="006A2E7F" w:rsidRPr="000C0637" w14:paraId="3C15FACF" w14:textId="77777777" w:rsidTr="00944CB1">
        <w:trPr>
          <w:jc w:val="center"/>
        </w:trPr>
        <w:tc>
          <w:tcPr>
            <w:tcW w:w="1738" w:type="pct"/>
            <w:vAlign w:val="bottom"/>
          </w:tcPr>
          <w:p w14:paraId="00114259" w14:textId="77777777" w:rsidR="006A2E7F" w:rsidRPr="000C0637" w:rsidRDefault="006A2E7F" w:rsidP="006A2E7F">
            <w:pPr>
              <w:spacing w:before="80" w:after="0" w:line="240" w:lineRule="auto"/>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Из общего числа домашних хозяйств проживают в жилых помещениях, различающихся  </w:t>
            </w:r>
          </w:p>
        </w:tc>
        <w:tc>
          <w:tcPr>
            <w:tcW w:w="718" w:type="pct"/>
            <w:vAlign w:val="center"/>
          </w:tcPr>
          <w:p w14:paraId="312AF0ED" w14:textId="77777777" w:rsidR="006A2E7F" w:rsidRPr="000C0637" w:rsidRDefault="006A2E7F" w:rsidP="006A2E7F">
            <w:pPr>
              <w:spacing w:after="0" w:line="240" w:lineRule="auto"/>
              <w:jc w:val="center"/>
              <w:rPr>
                <w:rFonts w:ascii="Times New Roman" w:hAnsi="Times New Roman"/>
                <w:sz w:val="24"/>
                <w:szCs w:val="24"/>
              </w:rPr>
            </w:pPr>
            <w:r w:rsidRPr="000C0637">
              <w:rPr>
                <w:rFonts w:ascii="Times New Roman" w:hAnsi="Times New Roman"/>
                <w:sz w:val="24"/>
                <w:szCs w:val="24"/>
              </w:rPr>
              <w:t>100</w:t>
            </w:r>
          </w:p>
        </w:tc>
        <w:tc>
          <w:tcPr>
            <w:tcW w:w="806" w:type="pct"/>
            <w:vAlign w:val="center"/>
          </w:tcPr>
          <w:p w14:paraId="57698E76" w14:textId="77777777" w:rsidR="006A2E7F" w:rsidRPr="000C0637" w:rsidRDefault="006A2E7F" w:rsidP="006A2E7F">
            <w:pPr>
              <w:spacing w:after="0" w:line="240" w:lineRule="auto"/>
              <w:jc w:val="center"/>
              <w:rPr>
                <w:rFonts w:ascii="Times New Roman" w:hAnsi="Times New Roman"/>
                <w:sz w:val="24"/>
                <w:szCs w:val="24"/>
              </w:rPr>
            </w:pPr>
            <w:r w:rsidRPr="000C0637">
              <w:rPr>
                <w:rFonts w:ascii="Times New Roman" w:hAnsi="Times New Roman"/>
                <w:sz w:val="24"/>
                <w:szCs w:val="24"/>
              </w:rPr>
              <w:t>100</w:t>
            </w:r>
          </w:p>
        </w:tc>
        <w:tc>
          <w:tcPr>
            <w:tcW w:w="854" w:type="pct"/>
            <w:vAlign w:val="center"/>
          </w:tcPr>
          <w:p w14:paraId="078B2E98" w14:textId="77777777" w:rsidR="006A2E7F" w:rsidRPr="000C0637" w:rsidRDefault="006A2E7F" w:rsidP="006A2E7F">
            <w:pPr>
              <w:spacing w:after="0" w:line="240" w:lineRule="auto"/>
              <w:jc w:val="center"/>
              <w:rPr>
                <w:rFonts w:ascii="Times New Roman" w:hAnsi="Times New Roman"/>
                <w:sz w:val="24"/>
                <w:szCs w:val="24"/>
              </w:rPr>
            </w:pPr>
            <w:r w:rsidRPr="000C0637">
              <w:rPr>
                <w:rFonts w:ascii="Times New Roman" w:hAnsi="Times New Roman"/>
                <w:sz w:val="24"/>
                <w:szCs w:val="24"/>
              </w:rPr>
              <w:t>100</w:t>
            </w:r>
          </w:p>
        </w:tc>
        <w:tc>
          <w:tcPr>
            <w:tcW w:w="884" w:type="pct"/>
            <w:vAlign w:val="center"/>
          </w:tcPr>
          <w:p w14:paraId="01873C03" w14:textId="77777777" w:rsidR="006A2E7F" w:rsidRPr="000C0637" w:rsidRDefault="006A2E7F" w:rsidP="006A2E7F">
            <w:pPr>
              <w:spacing w:after="0" w:line="240" w:lineRule="auto"/>
              <w:jc w:val="center"/>
              <w:rPr>
                <w:rFonts w:ascii="Times New Roman" w:hAnsi="Times New Roman"/>
                <w:sz w:val="24"/>
                <w:szCs w:val="24"/>
              </w:rPr>
            </w:pPr>
            <w:r w:rsidRPr="000C0637">
              <w:rPr>
                <w:rFonts w:ascii="Times New Roman" w:hAnsi="Times New Roman"/>
                <w:sz w:val="24"/>
                <w:szCs w:val="24"/>
              </w:rPr>
              <w:t>100</w:t>
            </w:r>
          </w:p>
        </w:tc>
      </w:tr>
      <w:tr w:rsidR="006A2E7F" w:rsidRPr="000C0637" w14:paraId="496DD0ED" w14:textId="77777777" w:rsidTr="00944CB1">
        <w:trPr>
          <w:jc w:val="center"/>
        </w:trPr>
        <w:tc>
          <w:tcPr>
            <w:tcW w:w="1738" w:type="pct"/>
            <w:vAlign w:val="bottom"/>
          </w:tcPr>
          <w:p w14:paraId="3243A820" w14:textId="77777777" w:rsidR="006A2E7F" w:rsidRPr="000C0637" w:rsidRDefault="006A2E7F" w:rsidP="006A2E7F">
            <w:pPr>
              <w:spacing w:before="40" w:after="0" w:line="240" w:lineRule="auto"/>
              <w:ind w:left="170"/>
              <w:rPr>
                <w:rFonts w:ascii="Times New Roman" w:eastAsia="Times New Roman" w:hAnsi="Times New Roman" w:cs="Times New Roman"/>
                <w:i/>
                <w:sz w:val="24"/>
                <w:szCs w:val="24"/>
                <w:lang w:eastAsia="ru-RU"/>
              </w:rPr>
            </w:pPr>
            <w:r w:rsidRPr="000C0637">
              <w:rPr>
                <w:rFonts w:ascii="Times New Roman" w:eastAsia="Times New Roman" w:hAnsi="Times New Roman" w:cs="Times New Roman"/>
                <w:i/>
                <w:sz w:val="24"/>
                <w:szCs w:val="24"/>
                <w:lang w:eastAsia="ru-RU"/>
              </w:rPr>
              <w:t>по формам собственности занимаемого жилья</w:t>
            </w:r>
          </w:p>
        </w:tc>
        <w:tc>
          <w:tcPr>
            <w:tcW w:w="718" w:type="pct"/>
            <w:vAlign w:val="center"/>
          </w:tcPr>
          <w:p w14:paraId="68959928" w14:textId="77777777" w:rsidR="006A2E7F" w:rsidRPr="000C0637" w:rsidRDefault="006A2E7F" w:rsidP="006A2E7F">
            <w:pPr>
              <w:spacing w:after="0" w:line="240" w:lineRule="auto"/>
              <w:jc w:val="center"/>
              <w:rPr>
                <w:rFonts w:ascii="Times New Roman" w:hAnsi="Times New Roman"/>
                <w:sz w:val="24"/>
                <w:szCs w:val="24"/>
              </w:rPr>
            </w:pPr>
          </w:p>
        </w:tc>
        <w:tc>
          <w:tcPr>
            <w:tcW w:w="806" w:type="pct"/>
            <w:vAlign w:val="center"/>
          </w:tcPr>
          <w:p w14:paraId="4E2182F3" w14:textId="77777777" w:rsidR="006A2E7F" w:rsidRPr="000C0637" w:rsidRDefault="006A2E7F" w:rsidP="006A2E7F">
            <w:pPr>
              <w:spacing w:after="0" w:line="240" w:lineRule="auto"/>
              <w:jc w:val="center"/>
              <w:rPr>
                <w:rFonts w:ascii="Times New Roman" w:hAnsi="Times New Roman"/>
                <w:sz w:val="24"/>
                <w:szCs w:val="24"/>
              </w:rPr>
            </w:pPr>
          </w:p>
        </w:tc>
        <w:tc>
          <w:tcPr>
            <w:tcW w:w="854" w:type="pct"/>
            <w:vAlign w:val="center"/>
          </w:tcPr>
          <w:p w14:paraId="76A981EF" w14:textId="77777777" w:rsidR="006A2E7F" w:rsidRPr="000C0637" w:rsidRDefault="006A2E7F" w:rsidP="006A2E7F">
            <w:pPr>
              <w:spacing w:after="0" w:line="240" w:lineRule="auto"/>
              <w:jc w:val="center"/>
              <w:rPr>
                <w:rFonts w:ascii="Times New Roman" w:hAnsi="Times New Roman"/>
                <w:sz w:val="24"/>
                <w:szCs w:val="24"/>
              </w:rPr>
            </w:pPr>
          </w:p>
        </w:tc>
        <w:tc>
          <w:tcPr>
            <w:tcW w:w="884" w:type="pct"/>
            <w:vAlign w:val="center"/>
          </w:tcPr>
          <w:p w14:paraId="5FEAAFF9" w14:textId="77777777" w:rsidR="006A2E7F" w:rsidRPr="000C0637" w:rsidRDefault="006A2E7F" w:rsidP="006A2E7F">
            <w:pPr>
              <w:spacing w:after="0" w:line="240" w:lineRule="auto"/>
              <w:jc w:val="center"/>
              <w:rPr>
                <w:rFonts w:ascii="Times New Roman" w:hAnsi="Times New Roman"/>
                <w:sz w:val="24"/>
                <w:szCs w:val="24"/>
              </w:rPr>
            </w:pPr>
          </w:p>
        </w:tc>
      </w:tr>
      <w:tr w:rsidR="006A2E7F" w:rsidRPr="000C0637" w14:paraId="6113CD14" w14:textId="77777777" w:rsidTr="00944CB1">
        <w:trPr>
          <w:jc w:val="center"/>
        </w:trPr>
        <w:tc>
          <w:tcPr>
            <w:tcW w:w="1738" w:type="pct"/>
            <w:vAlign w:val="bottom"/>
          </w:tcPr>
          <w:p w14:paraId="14F4FC67" w14:textId="77777777" w:rsidR="006A2E7F" w:rsidRPr="000C0637" w:rsidRDefault="006A2E7F" w:rsidP="006A2E7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государственное или муниципальное</w:t>
            </w:r>
          </w:p>
        </w:tc>
        <w:tc>
          <w:tcPr>
            <w:tcW w:w="718" w:type="pct"/>
            <w:vAlign w:val="center"/>
          </w:tcPr>
          <w:p w14:paraId="1583A8E7" w14:textId="77777777" w:rsidR="006A2E7F" w:rsidRPr="000C0637" w:rsidRDefault="006A2E7F" w:rsidP="006A2E7F">
            <w:pPr>
              <w:spacing w:after="0" w:line="240" w:lineRule="auto"/>
              <w:jc w:val="center"/>
              <w:rPr>
                <w:rFonts w:ascii="Times New Roman" w:hAnsi="Times New Roman"/>
                <w:sz w:val="24"/>
                <w:szCs w:val="24"/>
              </w:rPr>
            </w:pPr>
            <w:r w:rsidRPr="000C0637">
              <w:rPr>
                <w:rFonts w:ascii="Times New Roman" w:hAnsi="Times New Roman"/>
                <w:sz w:val="24"/>
                <w:szCs w:val="24"/>
              </w:rPr>
              <w:t>1,9</w:t>
            </w:r>
          </w:p>
        </w:tc>
        <w:tc>
          <w:tcPr>
            <w:tcW w:w="806" w:type="pct"/>
            <w:vAlign w:val="center"/>
          </w:tcPr>
          <w:p w14:paraId="76F36335" w14:textId="77777777" w:rsidR="006A2E7F" w:rsidRPr="000C0637" w:rsidRDefault="006A2E7F" w:rsidP="006A2E7F">
            <w:pPr>
              <w:spacing w:after="0" w:line="240" w:lineRule="auto"/>
              <w:jc w:val="center"/>
              <w:rPr>
                <w:rFonts w:ascii="Times New Roman" w:hAnsi="Times New Roman"/>
                <w:sz w:val="24"/>
                <w:szCs w:val="24"/>
              </w:rPr>
            </w:pPr>
            <w:r w:rsidRPr="000C0637">
              <w:rPr>
                <w:rFonts w:ascii="Times New Roman" w:hAnsi="Times New Roman"/>
                <w:sz w:val="24"/>
                <w:szCs w:val="24"/>
              </w:rPr>
              <w:t>1,8</w:t>
            </w:r>
          </w:p>
        </w:tc>
        <w:tc>
          <w:tcPr>
            <w:tcW w:w="854" w:type="pct"/>
            <w:vAlign w:val="center"/>
          </w:tcPr>
          <w:p w14:paraId="7231D86B" w14:textId="77777777" w:rsidR="006A2E7F" w:rsidRPr="000C0637" w:rsidRDefault="000C6B31" w:rsidP="006A2E7F">
            <w:pPr>
              <w:spacing w:after="0" w:line="240" w:lineRule="auto"/>
              <w:jc w:val="center"/>
              <w:rPr>
                <w:rFonts w:ascii="Times New Roman" w:hAnsi="Times New Roman"/>
                <w:sz w:val="24"/>
                <w:szCs w:val="24"/>
              </w:rPr>
            </w:pPr>
            <w:r>
              <w:rPr>
                <w:rFonts w:ascii="Times New Roman" w:hAnsi="Times New Roman"/>
                <w:sz w:val="24"/>
                <w:szCs w:val="24"/>
              </w:rPr>
              <w:t>1,7</w:t>
            </w:r>
          </w:p>
        </w:tc>
        <w:tc>
          <w:tcPr>
            <w:tcW w:w="884" w:type="pct"/>
            <w:vAlign w:val="center"/>
          </w:tcPr>
          <w:p w14:paraId="7D487DEC" w14:textId="77777777" w:rsidR="006A2E7F" w:rsidRPr="000C0637" w:rsidRDefault="000C6B31" w:rsidP="006A2E7F">
            <w:pPr>
              <w:spacing w:after="0" w:line="240" w:lineRule="auto"/>
              <w:jc w:val="center"/>
              <w:rPr>
                <w:rFonts w:ascii="Times New Roman" w:hAnsi="Times New Roman"/>
                <w:sz w:val="24"/>
                <w:szCs w:val="24"/>
              </w:rPr>
            </w:pPr>
            <w:r>
              <w:rPr>
                <w:rFonts w:ascii="Times New Roman" w:hAnsi="Times New Roman"/>
                <w:sz w:val="24"/>
                <w:szCs w:val="24"/>
              </w:rPr>
              <w:t>2,2</w:t>
            </w:r>
          </w:p>
        </w:tc>
      </w:tr>
      <w:tr w:rsidR="006A2E7F" w:rsidRPr="000C0637" w14:paraId="08204542" w14:textId="77777777" w:rsidTr="00944CB1">
        <w:trPr>
          <w:jc w:val="center"/>
        </w:trPr>
        <w:tc>
          <w:tcPr>
            <w:tcW w:w="1738" w:type="pct"/>
            <w:vAlign w:val="bottom"/>
          </w:tcPr>
          <w:p w14:paraId="4FAF6C54" w14:textId="77777777" w:rsidR="006A2E7F" w:rsidRPr="000C0637" w:rsidRDefault="006A2E7F" w:rsidP="006A2E7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частное, ЖСК </w:t>
            </w:r>
          </w:p>
        </w:tc>
        <w:tc>
          <w:tcPr>
            <w:tcW w:w="718" w:type="pct"/>
            <w:vAlign w:val="center"/>
          </w:tcPr>
          <w:p w14:paraId="17DBBA38" w14:textId="77777777" w:rsidR="006A2E7F" w:rsidRPr="000C0637" w:rsidRDefault="000C6B31" w:rsidP="006A2E7F">
            <w:pPr>
              <w:spacing w:after="0" w:line="240" w:lineRule="auto"/>
              <w:jc w:val="center"/>
              <w:rPr>
                <w:rFonts w:ascii="Times New Roman" w:hAnsi="Times New Roman"/>
                <w:sz w:val="24"/>
                <w:szCs w:val="24"/>
              </w:rPr>
            </w:pPr>
            <w:r>
              <w:rPr>
                <w:rFonts w:ascii="Times New Roman" w:hAnsi="Times New Roman"/>
                <w:sz w:val="24"/>
                <w:szCs w:val="24"/>
              </w:rPr>
              <w:t>92,4</w:t>
            </w:r>
          </w:p>
        </w:tc>
        <w:tc>
          <w:tcPr>
            <w:tcW w:w="806" w:type="pct"/>
            <w:vAlign w:val="center"/>
          </w:tcPr>
          <w:p w14:paraId="6383B8CE" w14:textId="77777777" w:rsidR="006A2E7F" w:rsidRPr="000C0637" w:rsidRDefault="006A2E7F" w:rsidP="006A2E7F">
            <w:pPr>
              <w:spacing w:after="0" w:line="240" w:lineRule="auto"/>
              <w:jc w:val="center"/>
              <w:rPr>
                <w:rFonts w:ascii="Times New Roman" w:hAnsi="Times New Roman"/>
                <w:sz w:val="24"/>
                <w:szCs w:val="24"/>
              </w:rPr>
            </w:pPr>
            <w:r w:rsidRPr="000C0637">
              <w:rPr>
                <w:rFonts w:ascii="Times New Roman" w:hAnsi="Times New Roman"/>
                <w:sz w:val="24"/>
                <w:szCs w:val="24"/>
              </w:rPr>
              <w:t>91,3</w:t>
            </w:r>
          </w:p>
        </w:tc>
        <w:tc>
          <w:tcPr>
            <w:tcW w:w="854" w:type="pct"/>
            <w:vAlign w:val="center"/>
          </w:tcPr>
          <w:p w14:paraId="4F559518" w14:textId="77777777" w:rsidR="006A2E7F" w:rsidRPr="000C0637" w:rsidRDefault="000C6B31" w:rsidP="006A2E7F">
            <w:pPr>
              <w:spacing w:after="0" w:line="240" w:lineRule="auto"/>
              <w:jc w:val="center"/>
              <w:rPr>
                <w:rFonts w:ascii="Times New Roman" w:hAnsi="Times New Roman"/>
                <w:sz w:val="24"/>
                <w:szCs w:val="24"/>
              </w:rPr>
            </w:pPr>
            <w:r>
              <w:rPr>
                <w:rFonts w:ascii="Times New Roman" w:hAnsi="Times New Roman"/>
                <w:sz w:val="24"/>
                <w:szCs w:val="24"/>
              </w:rPr>
              <w:t>91</w:t>
            </w:r>
            <w:r w:rsidR="006A2E7F" w:rsidRPr="000C0637">
              <w:rPr>
                <w:rFonts w:ascii="Times New Roman" w:hAnsi="Times New Roman"/>
                <w:sz w:val="24"/>
                <w:szCs w:val="24"/>
              </w:rPr>
              <w:t>,0</w:t>
            </w:r>
          </w:p>
        </w:tc>
        <w:tc>
          <w:tcPr>
            <w:tcW w:w="884" w:type="pct"/>
            <w:vAlign w:val="center"/>
          </w:tcPr>
          <w:p w14:paraId="2145A6E4" w14:textId="77777777" w:rsidR="006A2E7F" w:rsidRPr="000C0637" w:rsidRDefault="000C6B31" w:rsidP="006A2E7F">
            <w:pPr>
              <w:spacing w:after="0" w:line="240" w:lineRule="auto"/>
              <w:jc w:val="center"/>
              <w:rPr>
                <w:rFonts w:ascii="Times New Roman" w:hAnsi="Times New Roman"/>
                <w:sz w:val="24"/>
                <w:szCs w:val="24"/>
              </w:rPr>
            </w:pPr>
            <w:r>
              <w:rPr>
                <w:rFonts w:ascii="Times New Roman" w:hAnsi="Times New Roman"/>
                <w:sz w:val="24"/>
                <w:szCs w:val="24"/>
              </w:rPr>
              <w:t>92,2</w:t>
            </w:r>
          </w:p>
        </w:tc>
      </w:tr>
      <w:tr w:rsidR="006A2E7F" w:rsidRPr="000C0637" w14:paraId="4FC11930" w14:textId="77777777" w:rsidTr="00944CB1">
        <w:trPr>
          <w:jc w:val="center"/>
        </w:trPr>
        <w:tc>
          <w:tcPr>
            <w:tcW w:w="1738" w:type="pct"/>
            <w:vAlign w:val="bottom"/>
          </w:tcPr>
          <w:p w14:paraId="590DB2F1" w14:textId="77777777" w:rsidR="006A2E7F" w:rsidRPr="000C0637" w:rsidRDefault="006A2E7F" w:rsidP="006A2E7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другая форма собственности </w:t>
            </w:r>
          </w:p>
        </w:tc>
        <w:tc>
          <w:tcPr>
            <w:tcW w:w="718" w:type="pct"/>
            <w:vAlign w:val="center"/>
          </w:tcPr>
          <w:p w14:paraId="7D96A9B4" w14:textId="77777777" w:rsidR="006A2E7F" w:rsidRPr="000C0637" w:rsidRDefault="006A2E7F" w:rsidP="006A2E7F">
            <w:pPr>
              <w:spacing w:after="0" w:line="240" w:lineRule="auto"/>
              <w:jc w:val="center"/>
              <w:rPr>
                <w:rFonts w:ascii="Times New Roman" w:hAnsi="Times New Roman"/>
                <w:sz w:val="24"/>
                <w:szCs w:val="24"/>
              </w:rPr>
            </w:pPr>
            <w:r w:rsidRPr="000C0637">
              <w:rPr>
                <w:rFonts w:ascii="Times New Roman" w:hAnsi="Times New Roman"/>
                <w:sz w:val="24"/>
                <w:szCs w:val="24"/>
              </w:rPr>
              <w:t>5,</w:t>
            </w:r>
            <w:r>
              <w:rPr>
                <w:rFonts w:ascii="Times New Roman" w:hAnsi="Times New Roman"/>
                <w:sz w:val="24"/>
                <w:szCs w:val="24"/>
              </w:rPr>
              <w:t>7</w:t>
            </w:r>
          </w:p>
        </w:tc>
        <w:tc>
          <w:tcPr>
            <w:tcW w:w="806" w:type="pct"/>
            <w:vAlign w:val="center"/>
          </w:tcPr>
          <w:p w14:paraId="17F95CA6" w14:textId="77777777" w:rsidR="006A2E7F" w:rsidRPr="000C0637" w:rsidRDefault="006A2E7F" w:rsidP="006A2E7F">
            <w:pPr>
              <w:spacing w:after="0" w:line="240" w:lineRule="auto"/>
              <w:jc w:val="center"/>
              <w:rPr>
                <w:rFonts w:ascii="Times New Roman" w:hAnsi="Times New Roman"/>
                <w:sz w:val="24"/>
                <w:szCs w:val="24"/>
              </w:rPr>
            </w:pPr>
            <w:r w:rsidRPr="000C0637">
              <w:rPr>
                <w:rFonts w:ascii="Times New Roman" w:hAnsi="Times New Roman"/>
                <w:sz w:val="24"/>
                <w:szCs w:val="24"/>
              </w:rPr>
              <w:t>6,9</w:t>
            </w:r>
          </w:p>
        </w:tc>
        <w:tc>
          <w:tcPr>
            <w:tcW w:w="854" w:type="pct"/>
            <w:vAlign w:val="center"/>
          </w:tcPr>
          <w:p w14:paraId="54640254" w14:textId="77777777" w:rsidR="006A2E7F" w:rsidRPr="000C0637" w:rsidRDefault="000C6B31" w:rsidP="006A2E7F">
            <w:pPr>
              <w:spacing w:after="0" w:line="240" w:lineRule="auto"/>
              <w:jc w:val="center"/>
              <w:rPr>
                <w:rFonts w:ascii="Times New Roman" w:hAnsi="Times New Roman"/>
                <w:sz w:val="24"/>
                <w:szCs w:val="24"/>
              </w:rPr>
            </w:pPr>
            <w:r>
              <w:rPr>
                <w:rFonts w:ascii="Times New Roman" w:hAnsi="Times New Roman"/>
                <w:sz w:val="24"/>
                <w:szCs w:val="24"/>
              </w:rPr>
              <w:t>7,3</w:t>
            </w:r>
          </w:p>
        </w:tc>
        <w:tc>
          <w:tcPr>
            <w:tcW w:w="884" w:type="pct"/>
            <w:vAlign w:val="center"/>
          </w:tcPr>
          <w:p w14:paraId="1BBA28EF" w14:textId="77777777" w:rsidR="006A2E7F" w:rsidRPr="000C0637" w:rsidRDefault="000C6B31" w:rsidP="006A2E7F">
            <w:pPr>
              <w:spacing w:after="0" w:line="240" w:lineRule="auto"/>
              <w:jc w:val="center"/>
              <w:rPr>
                <w:rFonts w:ascii="Times New Roman" w:hAnsi="Times New Roman"/>
                <w:sz w:val="24"/>
                <w:szCs w:val="24"/>
              </w:rPr>
            </w:pPr>
            <w:r>
              <w:rPr>
                <w:rFonts w:ascii="Times New Roman" w:hAnsi="Times New Roman"/>
                <w:sz w:val="24"/>
                <w:szCs w:val="24"/>
              </w:rPr>
              <w:t>5,6</w:t>
            </w:r>
          </w:p>
        </w:tc>
      </w:tr>
      <w:tr w:rsidR="006A2E7F" w:rsidRPr="000C0637" w14:paraId="419DE655" w14:textId="77777777" w:rsidTr="00944CB1">
        <w:trPr>
          <w:jc w:val="center"/>
        </w:trPr>
        <w:tc>
          <w:tcPr>
            <w:tcW w:w="1738" w:type="pct"/>
            <w:vAlign w:val="bottom"/>
          </w:tcPr>
          <w:p w14:paraId="3DF02167" w14:textId="77777777" w:rsidR="006A2E7F" w:rsidRPr="000C0637" w:rsidRDefault="006A2E7F" w:rsidP="006A2E7F">
            <w:pPr>
              <w:spacing w:before="80" w:after="0" w:line="240" w:lineRule="auto"/>
              <w:ind w:left="170"/>
              <w:rPr>
                <w:rFonts w:ascii="Times New Roman" w:eastAsia="Times New Roman" w:hAnsi="Times New Roman" w:cs="Times New Roman"/>
                <w:i/>
                <w:sz w:val="24"/>
                <w:szCs w:val="24"/>
                <w:lang w:eastAsia="ru-RU"/>
              </w:rPr>
            </w:pPr>
            <w:r w:rsidRPr="000C0637">
              <w:rPr>
                <w:rFonts w:ascii="Times New Roman" w:eastAsia="Times New Roman" w:hAnsi="Times New Roman" w:cs="Times New Roman"/>
                <w:i/>
                <w:sz w:val="24"/>
                <w:szCs w:val="24"/>
                <w:lang w:eastAsia="ru-RU"/>
              </w:rPr>
              <w:t>по типам занимаемого жилья</w:t>
            </w:r>
          </w:p>
        </w:tc>
        <w:tc>
          <w:tcPr>
            <w:tcW w:w="718" w:type="pct"/>
            <w:vAlign w:val="center"/>
          </w:tcPr>
          <w:p w14:paraId="403E3386" w14:textId="77777777" w:rsidR="006A2E7F" w:rsidRPr="000C0637" w:rsidRDefault="006A2E7F" w:rsidP="006A2E7F">
            <w:pPr>
              <w:spacing w:after="0" w:line="240" w:lineRule="auto"/>
              <w:jc w:val="center"/>
              <w:rPr>
                <w:rFonts w:ascii="Times New Roman" w:hAnsi="Times New Roman"/>
                <w:sz w:val="24"/>
                <w:szCs w:val="24"/>
              </w:rPr>
            </w:pPr>
            <w:r w:rsidRPr="000C0637">
              <w:rPr>
                <w:rFonts w:ascii="Times New Roman" w:hAnsi="Times New Roman"/>
                <w:sz w:val="24"/>
                <w:szCs w:val="24"/>
              </w:rPr>
              <w:t> </w:t>
            </w:r>
          </w:p>
        </w:tc>
        <w:tc>
          <w:tcPr>
            <w:tcW w:w="806" w:type="pct"/>
            <w:vAlign w:val="center"/>
          </w:tcPr>
          <w:p w14:paraId="2D4B83FB" w14:textId="77777777" w:rsidR="006A2E7F" w:rsidRPr="000C0637" w:rsidRDefault="006A2E7F" w:rsidP="006A2E7F">
            <w:pPr>
              <w:spacing w:after="0" w:line="240" w:lineRule="auto"/>
              <w:jc w:val="center"/>
              <w:rPr>
                <w:rFonts w:ascii="Times New Roman" w:hAnsi="Times New Roman"/>
                <w:sz w:val="24"/>
                <w:szCs w:val="24"/>
              </w:rPr>
            </w:pPr>
            <w:r w:rsidRPr="000C0637">
              <w:rPr>
                <w:rFonts w:ascii="Times New Roman" w:hAnsi="Times New Roman"/>
                <w:sz w:val="24"/>
                <w:szCs w:val="24"/>
              </w:rPr>
              <w:t> </w:t>
            </w:r>
          </w:p>
        </w:tc>
        <w:tc>
          <w:tcPr>
            <w:tcW w:w="854" w:type="pct"/>
            <w:vAlign w:val="center"/>
          </w:tcPr>
          <w:p w14:paraId="45130807" w14:textId="77777777" w:rsidR="006A2E7F" w:rsidRPr="000C0637" w:rsidRDefault="006A2E7F" w:rsidP="006A2E7F">
            <w:pPr>
              <w:spacing w:after="0" w:line="240" w:lineRule="auto"/>
              <w:jc w:val="center"/>
              <w:rPr>
                <w:rFonts w:ascii="Times New Roman" w:hAnsi="Times New Roman"/>
                <w:sz w:val="24"/>
                <w:szCs w:val="24"/>
              </w:rPr>
            </w:pPr>
            <w:r w:rsidRPr="000C0637">
              <w:rPr>
                <w:rFonts w:ascii="Times New Roman" w:hAnsi="Times New Roman"/>
                <w:sz w:val="24"/>
                <w:szCs w:val="24"/>
              </w:rPr>
              <w:t> </w:t>
            </w:r>
          </w:p>
        </w:tc>
        <w:tc>
          <w:tcPr>
            <w:tcW w:w="884" w:type="pct"/>
            <w:vAlign w:val="center"/>
          </w:tcPr>
          <w:p w14:paraId="0627D834" w14:textId="77777777" w:rsidR="006A2E7F" w:rsidRPr="000C0637" w:rsidRDefault="006A2E7F" w:rsidP="006A2E7F">
            <w:pPr>
              <w:spacing w:after="0" w:line="240" w:lineRule="auto"/>
              <w:jc w:val="center"/>
              <w:rPr>
                <w:rFonts w:ascii="Times New Roman" w:hAnsi="Times New Roman"/>
                <w:sz w:val="24"/>
                <w:szCs w:val="24"/>
              </w:rPr>
            </w:pPr>
            <w:r w:rsidRPr="000C0637">
              <w:rPr>
                <w:rFonts w:ascii="Times New Roman" w:hAnsi="Times New Roman"/>
                <w:sz w:val="24"/>
                <w:szCs w:val="24"/>
              </w:rPr>
              <w:t> </w:t>
            </w:r>
          </w:p>
        </w:tc>
      </w:tr>
      <w:tr w:rsidR="006A2E7F" w:rsidRPr="000C0637" w14:paraId="4C76AA27" w14:textId="77777777" w:rsidTr="00944CB1">
        <w:trPr>
          <w:jc w:val="center"/>
        </w:trPr>
        <w:tc>
          <w:tcPr>
            <w:tcW w:w="1738" w:type="pct"/>
            <w:vAlign w:val="bottom"/>
          </w:tcPr>
          <w:p w14:paraId="619A217F" w14:textId="77777777" w:rsidR="006A2E7F" w:rsidRPr="000C0637" w:rsidRDefault="006A2E7F" w:rsidP="006A2E7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отдельной квартире</w:t>
            </w:r>
          </w:p>
        </w:tc>
        <w:tc>
          <w:tcPr>
            <w:tcW w:w="718" w:type="pct"/>
            <w:vAlign w:val="center"/>
          </w:tcPr>
          <w:p w14:paraId="7103DE13" w14:textId="77777777" w:rsidR="006A2E7F" w:rsidRPr="000C0637" w:rsidRDefault="006A2E7F" w:rsidP="006A2E7F">
            <w:pPr>
              <w:spacing w:after="0" w:line="240" w:lineRule="auto"/>
              <w:jc w:val="center"/>
              <w:rPr>
                <w:rFonts w:ascii="Times New Roman" w:hAnsi="Times New Roman"/>
                <w:sz w:val="24"/>
                <w:szCs w:val="24"/>
              </w:rPr>
            </w:pPr>
            <w:r w:rsidRPr="000C0637">
              <w:rPr>
                <w:rFonts w:ascii="Times New Roman" w:hAnsi="Times New Roman"/>
                <w:sz w:val="24"/>
                <w:szCs w:val="24"/>
              </w:rPr>
              <w:t>71,1</w:t>
            </w:r>
          </w:p>
        </w:tc>
        <w:tc>
          <w:tcPr>
            <w:tcW w:w="806" w:type="pct"/>
            <w:vAlign w:val="center"/>
          </w:tcPr>
          <w:p w14:paraId="3C6B700B" w14:textId="77777777" w:rsidR="006A2E7F" w:rsidRPr="000C0637" w:rsidRDefault="006A2E7F" w:rsidP="006A2E7F">
            <w:pPr>
              <w:spacing w:after="0" w:line="240" w:lineRule="auto"/>
              <w:jc w:val="center"/>
              <w:rPr>
                <w:rFonts w:ascii="Times New Roman" w:hAnsi="Times New Roman"/>
                <w:sz w:val="24"/>
                <w:szCs w:val="24"/>
              </w:rPr>
            </w:pPr>
            <w:r w:rsidRPr="000C0637">
              <w:rPr>
                <w:rFonts w:ascii="Times New Roman" w:hAnsi="Times New Roman"/>
                <w:sz w:val="24"/>
                <w:szCs w:val="24"/>
              </w:rPr>
              <w:t>69,</w:t>
            </w:r>
            <w:r>
              <w:rPr>
                <w:rFonts w:ascii="Times New Roman" w:hAnsi="Times New Roman"/>
                <w:sz w:val="24"/>
                <w:szCs w:val="24"/>
              </w:rPr>
              <w:t>1</w:t>
            </w:r>
          </w:p>
        </w:tc>
        <w:tc>
          <w:tcPr>
            <w:tcW w:w="854" w:type="pct"/>
            <w:vAlign w:val="center"/>
          </w:tcPr>
          <w:p w14:paraId="00B63AA1" w14:textId="77777777" w:rsidR="006A2E7F" w:rsidRPr="000C0637" w:rsidRDefault="006A2E7F" w:rsidP="000C6B31">
            <w:pPr>
              <w:spacing w:after="0" w:line="240" w:lineRule="auto"/>
              <w:jc w:val="center"/>
              <w:rPr>
                <w:rFonts w:ascii="Times New Roman" w:hAnsi="Times New Roman"/>
                <w:sz w:val="24"/>
                <w:szCs w:val="24"/>
              </w:rPr>
            </w:pPr>
            <w:r w:rsidRPr="000C0637">
              <w:rPr>
                <w:rFonts w:ascii="Times New Roman" w:hAnsi="Times New Roman"/>
                <w:sz w:val="24"/>
                <w:szCs w:val="24"/>
              </w:rPr>
              <w:t>8</w:t>
            </w:r>
            <w:r w:rsidR="000C6B31">
              <w:rPr>
                <w:rFonts w:ascii="Times New Roman" w:hAnsi="Times New Roman"/>
                <w:sz w:val="24"/>
                <w:szCs w:val="24"/>
              </w:rPr>
              <w:t>3</w:t>
            </w:r>
            <w:r w:rsidRPr="000C0637">
              <w:rPr>
                <w:rFonts w:ascii="Times New Roman" w:hAnsi="Times New Roman"/>
                <w:sz w:val="24"/>
                <w:szCs w:val="24"/>
              </w:rPr>
              <w:t>,</w:t>
            </w:r>
            <w:r w:rsidR="000C6B31">
              <w:rPr>
                <w:rFonts w:ascii="Times New Roman" w:hAnsi="Times New Roman"/>
                <w:sz w:val="24"/>
                <w:szCs w:val="24"/>
              </w:rPr>
              <w:t>0</w:t>
            </w:r>
          </w:p>
        </w:tc>
        <w:tc>
          <w:tcPr>
            <w:tcW w:w="884" w:type="pct"/>
            <w:vAlign w:val="center"/>
          </w:tcPr>
          <w:p w14:paraId="69F3E3CA" w14:textId="77777777" w:rsidR="006A2E7F" w:rsidRPr="000C0637" w:rsidRDefault="006A2E7F" w:rsidP="000C6B31">
            <w:pPr>
              <w:spacing w:after="0" w:line="240" w:lineRule="auto"/>
              <w:jc w:val="center"/>
              <w:rPr>
                <w:rFonts w:ascii="Times New Roman" w:hAnsi="Times New Roman"/>
                <w:sz w:val="24"/>
                <w:szCs w:val="24"/>
              </w:rPr>
            </w:pPr>
            <w:r w:rsidRPr="000C0637">
              <w:rPr>
                <w:rFonts w:ascii="Times New Roman" w:hAnsi="Times New Roman"/>
                <w:sz w:val="24"/>
                <w:szCs w:val="24"/>
              </w:rPr>
              <w:t>2</w:t>
            </w:r>
            <w:r w:rsidR="000C6B31">
              <w:rPr>
                <w:rFonts w:ascii="Times New Roman" w:hAnsi="Times New Roman"/>
                <w:sz w:val="24"/>
                <w:szCs w:val="24"/>
              </w:rPr>
              <w:t>4</w:t>
            </w:r>
            <w:r w:rsidRPr="000C0637">
              <w:rPr>
                <w:rFonts w:ascii="Times New Roman" w:hAnsi="Times New Roman"/>
                <w:sz w:val="24"/>
                <w:szCs w:val="24"/>
              </w:rPr>
              <w:t>,</w:t>
            </w:r>
            <w:r w:rsidR="000C6B31">
              <w:rPr>
                <w:rFonts w:ascii="Times New Roman" w:hAnsi="Times New Roman"/>
                <w:sz w:val="24"/>
                <w:szCs w:val="24"/>
              </w:rPr>
              <w:t>6</w:t>
            </w:r>
          </w:p>
        </w:tc>
      </w:tr>
      <w:tr w:rsidR="006A2E7F" w:rsidRPr="000C0637" w14:paraId="1DC0A996" w14:textId="77777777" w:rsidTr="00944CB1">
        <w:trPr>
          <w:jc w:val="center"/>
        </w:trPr>
        <w:tc>
          <w:tcPr>
            <w:tcW w:w="1738" w:type="pct"/>
            <w:vAlign w:val="bottom"/>
          </w:tcPr>
          <w:p w14:paraId="7F6A8370" w14:textId="77777777" w:rsidR="006A2E7F" w:rsidRPr="000C0637" w:rsidRDefault="006A2E7F" w:rsidP="006A2E7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коммунальной квартире</w:t>
            </w:r>
          </w:p>
        </w:tc>
        <w:tc>
          <w:tcPr>
            <w:tcW w:w="718" w:type="pct"/>
            <w:vAlign w:val="center"/>
          </w:tcPr>
          <w:p w14:paraId="344167C2" w14:textId="77777777" w:rsidR="006A2E7F" w:rsidRPr="000C0637" w:rsidRDefault="006A2E7F" w:rsidP="006A2E7F">
            <w:pPr>
              <w:spacing w:after="0" w:line="240" w:lineRule="auto"/>
              <w:jc w:val="center"/>
              <w:rPr>
                <w:rFonts w:ascii="Times New Roman" w:hAnsi="Times New Roman"/>
                <w:sz w:val="24"/>
                <w:szCs w:val="24"/>
              </w:rPr>
            </w:pPr>
            <w:r w:rsidRPr="000C0637">
              <w:rPr>
                <w:rFonts w:ascii="Times New Roman" w:hAnsi="Times New Roman"/>
                <w:sz w:val="24"/>
                <w:szCs w:val="24"/>
              </w:rPr>
              <w:t>0,5</w:t>
            </w:r>
          </w:p>
        </w:tc>
        <w:tc>
          <w:tcPr>
            <w:tcW w:w="806" w:type="pct"/>
            <w:vAlign w:val="center"/>
          </w:tcPr>
          <w:p w14:paraId="4C3651EC" w14:textId="77777777" w:rsidR="006A2E7F" w:rsidRPr="000C0637" w:rsidRDefault="006A2E7F" w:rsidP="006A2E7F">
            <w:pPr>
              <w:spacing w:after="0" w:line="240" w:lineRule="auto"/>
              <w:jc w:val="center"/>
              <w:rPr>
                <w:rFonts w:ascii="Times New Roman" w:hAnsi="Times New Roman"/>
                <w:sz w:val="24"/>
                <w:szCs w:val="24"/>
              </w:rPr>
            </w:pPr>
            <w:r w:rsidRPr="000C0637">
              <w:rPr>
                <w:rFonts w:ascii="Times New Roman" w:hAnsi="Times New Roman"/>
                <w:sz w:val="24"/>
                <w:szCs w:val="24"/>
              </w:rPr>
              <w:t>0,3</w:t>
            </w:r>
          </w:p>
        </w:tc>
        <w:tc>
          <w:tcPr>
            <w:tcW w:w="854" w:type="pct"/>
            <w:vAlign w:val="center"/>
          </w:tcPr>
          <w:p w14:paraId="5AF19968" w14:textId="77777777" w:rsidR="006A2E7F" w:rsidRPr="000C0637" w:rsidRDefault="000C6B31" w:rsidP="006A2E7F">
            <w:pPr>
              <w:spacing w:after="0" w:line="240" w:lineRule="auto"/>
              <w:jc w:val="center"/>
              <w:rPr>
                <w:rFonts w:ascii="Times New Roman" w:hAnsi="Times New Roman"/>
                <w:sz w:val="24"/>
                <w:szCs w:val="24"/>
              </w:rPr>
            </w:pPr>
            <w:r>
              <w:rPr>
                <w:rFonts w:ascii="Times New Roman" w:hAnsi="Times New Roman"/>
                <w:sz w:val="24"/>
                <w:szCs w:val="24"/>
              </w:rPr>
              <w:t>0,4</w:t>
            </w:r>
          </w:p>
        </w:tc>
        <w:tc>
          <w:tcPr>
            <w:tcW w:w="884" w:type="pct"/>
            <w:vAlign w:val="center"/>
          </w:tcPr>
          <w:p w14:paraId="01972059" w14:textId="77777777" w:rsidR="006A2E7F" w:rsidRPr="000C0637" w:rsidRDefault="006A2E7F" w:rsidP="006A2E7F">
            <w:pPr>
              <w:spacing w:after="0" w:line="240" w:lineRule="auto"/>
              <w:jc w:val="center"/>
              <w:rPr>
                <w:rFonts w:ascii="Times New Roman" w:hAnsi="Times New Roman"/>
                <w:sz w:val="24"/>
                <w:szCs w:val="24"/>
              </w:rPr>
            </w:pPr>
            <w:r w:rsidRPr="000C0637">
              <w:rPr>
                <w:rFonts w:ascii="Times New Roman" w:hAnsi="Times New Roman"/>
                <w:sz w:val="24"/>
                <w:szCs w:val="24"/>
              </w:rPr>
              <w:t>0,1</w:t>
            </w:r>
          </w:p>
        </w:tc>
      </w:tr>
      <w:tr w:rsidR="006A2E7F" w:rsidRPr="000C0637" w14:paraId="59A777A0" w14:textId="77777777" w:rsidTr="00944CB1">
        <w:trPr>
          <w:jc w:val="center"/>
        </w:trPr>
        <w:tc>
          <w:tcPr>
            <w:tcW w:w="1738" w:type="pct"/>
            <w:vAlign w:val="bottom"/>
          </w:tcPr>
          <w:p w14:paraId="03369C44" w14:textId="77777777" w:rsidR="006A2E7F" w:rsidRPr="000C0637" w:rsidRDefault="006A2E7F" w:rsidP="006A2E7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в общежитии </w:t>
            </w:r>
          </w:p>
        </w:tc>
        <w:tc>
          <w:tcPr>
            <w:tcW w:w="718" w:type="pct"/>
            <w:vAlign w:val="center"/>
          </w:tcPr>
          <w:p w14:paraId="6115813B" w14:textId="77777777" w:rsidR="006A2E7F" w:rsidRPr="000C0637" w:rsidRDefault="006A2E7F" w:rsidP="006A2E7F">
            <w:pPr>
              <w:spacing w:after="0" w:line="240" w:lineRule="auto"/>
              <w:jc w:val="center"/>
              <w:rPr>
                <w:rFonts w:ascii="Times New Roman" w:hAnsi="Times New Roman"/>
                <w:sz w:val="24"/>
                <w:szCs w:val="24"/>
              </w:rPr>
            </w:pPr>
            <w:r w:rsidRPr="000C0637">
              <w:rPr>
                <w:rFonts w:ascii="Times New Roman" w:hAnsi="Times New Roman"/>
                <w:sz w:val="24"/>
                <w:szCs w:val="24"/>
              </w:rPr>
              <w:t>0,1</w:t>
            </w:r>
          </w:p>
        </w:tc>
        <w:tc>
          <w:tcPr>
            <w:tcW w:w="806" w:type="pct"/>
            <w:vAlign w:val="center"/>
          </w:tcPr>
          <w:p w14:paraId="110B9030" w14:textId="77777777" w:rsidR="006A2E7F" w:rsidRPr="000C0637" w:rsidRDefault="006A2E7F" w:rsidP="006A2E7F">
            <w:pPr>
              <w:spacing w:after="0" w:line="240" w:lineRule="auto"/>
              <w:jc w:val="center"/>
              <w:rPr>
                <w:rFonts w:ascii="Times New Roman" w:hAnsi="Times New Roman"/>
                <w:sz w:val="24"/>
                <w:szCs w:val="24"/>
              </w:rPr>
            </w:pPr>
            <w:r w:rsidRPr="000C0637">
              <w:rPr>
                <w:rFonts w:ascii="Times New Roman" w:hAnsi="Times New Roman"/>
                <w:sz w:val="24"/>
                <w:szCs w:val="24"/>
              </w:rPr>
              <w:t>0,1</w:t>
            </w:r>
          </w:p>
        </w:tc>
        <w:tc>
          <w:tcPr>
            <w:tcW w:w="854" w:type="pct"/>
            <w:vAlign w:val="center"/>
          </w:tcPr>
          <w:p w14:paraId="03A748C6" w14:textId="77777777" w:rsidR="006A2E7F" w:rsidRPr="000C0637" w:rsidRDefault="006A2E7F" w:rsidP="006A2E7F">
            <w:pPr>
              <w:spacing w:after="0" w:line="240" w:lineRule="auto"/>
              <w:jc w:val="center"/>
              <w:rPr>
                <w:rFonts w:ascii="Times New Roman" w:hAnsi="Times New Roman"/>
                <w:sz w:val="24"/>
                <w:szCs w:val="24"/>
              </w:rPr>
            </w:pPr>
            <w:r w:rsidRPr="000C0637">
              <w:rPr>
                <w:rFonts w:ascii="Times New Roman" w:hAnsi="Times New Roman"/>
                <w:sz w:val="24"/>
                <w:szCs w:val="24"/>
              </w:rPr>
              <w:t>0,1</w:t>
            </w:r>
          </w:p>
        </w:tc>
        <w:tc>
          <w:tcPr>
            <w:tcW w:w="884" w:type="pct"/>
            <w:vAlign w:val="center"/>
          </w:tcPr>
          <w:p w14:paraId="439F8469" w14:textId="77777777" w:rsidR="006A2E7F" w:rsidRPr="000C0637" w:rsidRDefault="000C6B31" w:rsidP="006A2E7F">
            <w:pPr>
              <w:spacing w:after="0" w:line="240" w:lineRule="auto"/>
              <w:jc w:val="center"/>
              <w:rPr>
                <w:rFonts w:ascii="Times New Roman" w:hAnsi="Times New Roman"/>
                <w:sz w:val="24"/>
                <w:szCs w:val="24"/>
              </w:rPr>
            </w:pPr>
            <w:r>
              <w:rPr>
                <w:rFonts w:ascii="Times New Roman" w:hAnsi="Times New Roman"/>
                <w:sz w:val="24"/>
                <w:szCs w:val="24"/>
              </w:rPr>
              <w:t>0,0</w:t>
            </w:r>
          </w:p>
        </w:tc>
      </w:tr>
      <w:tr w:rsidR="006A2E7F" w:rsidRPr="000C0637" w14:paraId="425C5C03" w14:textId="77777777" w:rsidTr="00944CB1">
        <w:trPr>
          <w:jc w:val="center"/>
        </w:trPr>
        <w:tc>
          <w:tcPr>
            <w:tcW w:w="1738" w:type="pct"/>
            <w:vAlign w:val="bottom"/>
          </w:tcPr>
          <w:p w14:paraId="08A519E8" w14:textId="77777777" w:rsidR="006A2E7F" w:rsidRPr="000C0637" w:rsidRDefault="006A2E7F" w:rsidP="006A2E7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отдельном доме, в части дома</w:t>
            </w:r>
          </w:p>
        </w:tc>
        <w:tc>
          <w:tcPr>
            <w:tcW w:w="718" w:type="pct"/>
            <w:vAlign w:val="center"/>
          </w:tcPr>
          <w:p w14:paraId="40DF9885" w14:textId="77777777" w:rsidR="006A2E7F" w:rsidRPr="000C0637" w:rsidRDefault="006A2E7F" w:rsidP="006A2E7F">
            <w:pPr>
              <w:spacing w:after="0" w:line="240" w:lineRule="auto"/>
              <w:jc w:val="center"/>
              <w:rPr>
                <w:rFonts w:ascii="Times New Roman" w:hAnsi="Times New Roman"/>
                <w:sz w:val="24"/>
                <w:szCs w:val="24"/>
              </w:rPr>
            </w:pPr>
            <w:r w:rsidRPr="000C0637">
              <w:rPr>
                <w:rFonts w:ascii="Times New Roman" w:hAnsi="Times New Roman"/>
                <w:sz w:val="24"/>
                <w:szCs w:val="24"/>
              </w:rPr>
              <w:t>28,3</w:t>
            </w:r>
          </w:p>
        </w:tc>
        <w:tc>
          <w:tcPr>
            <w:tcW w:w="806" w:type="pct"/>
            <w:vAlign w:val="center"/>
          </w:tcPr>
          <w:p w14:paraId="5CEB0BD8" w14:textId="77777777" w:rsidR="006A2E7F" w:rsidRPr="000C0637" w:rsidRDefault="006A2E7F" w:rsidP="006A2E7F">
            <w:pPr>
              <w:spacing w:after="0" w:line="240" w:lineRule="auto"/>
              <w:jc w:val="center"/>
              <w:rPr>
                <w:rFonts w:ascii="Times New Roman" w:hAnsi="Times New Roman"/>
                <w:sz w:val="24"/>
                <w:szCs w:val="24"/>
              </w:rPr>
            </w:pPr>
            <w:r w:rsidRPr="000C0637">
              <w:rPr>
                <w:rFonts w:ascii="Times New Roman" w:hAnsi="Times New Roman"/>
                <w:sz w:val="24"/>
                <w:szCs w:val="24"/>
              </w:rPr>
              <w:t>30,5</w:t>
            </w:r>
          </w:p>
        </w:tc>
        <w:tc>
          <w:tcPr>
            <w:tcW w:w="854" w:type="pct"/>
            <w:vAlign w:val="center"/>
          </w:tcPr>
          <w:p w14:paraId="40323C07" w14:textId="77777777" w:rsidR="006A2E7F" w:rsidRPr="000C0637" w:rsidRDefault="006A2E7F" w:rsidP="000C6B31">
            <w:pPr>
              <w:spacing w:after="0" w:line="240" w:lineRule="auto"/>
              <w:jc w:val="center"/>
              <w:rPr>
                <w:rFonts w:ascii="Times New Roman" w:hAnsi="Times New Roman"/>
                <w:sz w:val="24"/>
                <w:szCs w:val="24"/>
              </w:rPr>
            </w:pPr>
            <w:r>
              <w:rPr>
                <w:rFonts w:ascii="Times New Roman" w:hAnsi="Times New Roman"/>
                <w:sz w:val="24"/>
                <w:szCs w:val="24"/>
              </w:rPr>
              <w:t>1</w:t>
            </w:r>
            <w:r w:rsidR="000C6B31">
              <w:rPr>
                <w:rFonts w:ascii="Times New Roman" w:hAnsi="Times New Roman"/>
                <w:sz w:val="24"/>
                <w:szCs w:val="24"/>
              </w:rPr>
              <w:t>6,5</w:t>
            </w:r>
          </w:p>
        </w:tc>
        <w:tc>
          <w:tcPr>
            <w:tcW w:w="884" w:type="pct"/>
            <w:vAlign w:val="center"/>
          </w:tcPr>
          <w:p w14:paraId="6235BB39" w14:textId="77777777" w:rsidR="006A2E7F" w:rsidRPr="000C0637" w:rsidRDefault="006A2E7F" w:rsidP="000C6B31">
            <w:pPr>
              <w:spacing w:after="0" w:line="240" w:lineRule="auto"/>
              <w:jc w:val="center"/>
              <w:rPr>
                <w:rFonts w:ascii="Times New Roman" w:hAnsi="Times New Roman"/>
                <w:sz w:val="24"/>
                <w:szCs w:val="24"/>
              </w:rPr>
            </w:pPr>
            <w:r w:rsidRPr="000C0637">
              <w:rPr>
                <w:rFonts w:ascii="Times New Roman" w:hAnsi="Times New Roman"/>
                <w:sz w:val="24"/>
                <w:szCs w:val="24"/>
              </w:rPr>
              <w:t>7</w:t>
            </w:r>
            <w:r w:rsidR="000C6B31">
              <w:rPr>
                <w:rFonts w:ascii="Times New Roman" w:hAnsi="Times New Roman"/>
                <w:sz w:val="24"/>
                <w:szCs w:val="24"/>
              </w:rPr>
              <w:t>5,3</w:t>
            </w:r>
          </w:p>
        </w:tc>
      </w:tr>
      <w:tr w:rsidR="006A2E7F" w:rsidRPr="000C0637" w14:paraId="7D3662C6" w14:textId="77777777" w:rsidTr="00944CB1">
        <w:trPr>
          <w:jc w:val="center"/>
        </w:trPr>
        <w:tc>
          <w:tcPr>
            <w:tcW w:w="1738" w:type="pct"/>
            <w:vAlign w:val="bottom"/>
          </w:tcPr>
          <w:p w14:paraId="6C42C4EA" w14:textId="77777777" w:rsidR="006A2E7F" w:rsidRPr="000C0637" w:rsidRDefault="006A2E7F" w:rsidP="006A2E7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другом жилище</w:t>
            </w:r>
          </w:p>
        </w:tc>
        <w:tc>
          <w:tcPr>
            <w:tcW w:w="718" w:type="pct"/>
            <w:vAlign w:val="center"/>
          </w:tcPr>
          <w:p w14:paraId="58893F71" w14:textId="77777777" w:rsidR="006A2E7F" w:rsidRPr="000C0637" w:rsidRDefault="006A2E7F" w:rsidP="006A2E7F">
            <w:pPr>
              <w:spacing w:after="0" w:line="240" w:lineRule="auto"/>
              <w:jc w:val="center"/>
              <w:rPr>
                <w:rFonts w:ascii="Times New Roman" w:hAnsi="Times New Roman"/>
                <w:sz w:val="24"/>
                <w:szCs w:val="24"/>
              </w:rPr>
            </w:pPr>
            <w:r w:rsidRPr="000C0637">
              <w:rPr>
                <w:rFonts w:ascii="Times New Roman" w:hAnsi="Times New Roman"/>
                <w:sz w:val="24"/>
                <w:szCs w:val="24"/>
              </w:rPr>
              <w:t>0,0</w:t>
            </w:r>
          </w:p>
        </w:tc>
        <w:tc>
          <w:tcPr>
            <w:tcW w:w="806" w:type="pct"/>
            <w:vAlign w:val="center"/>
          </w:tcPr>
          <w:p w14:paraId="2453A466" w14:textId="77777777" w:rsidR="006A2E7F" w:rsidRPr="000C0637" w:rsidRDefault="006A2E7F" w:rsidP="006A2E7F">
            <w:pPr>
              <w:spacing w:after="0" w:line="240" w:lineRule="auto"/>
              <w:jc w:val="center"/>
              <w:rPr>
                <w:rFonts w:ascii="Times New Roman" w:hAnsi="Times New Roman"/>
                <w:sz w:val="24"/>
                <w:szCs w:val="24"/>
              </w:rPr>
            </w:pPr>
            <w:r w:rsidRPr="000C0637">
              <w:rPr>
                <w:rFonts w:ascii="Times New Roman" w:hAnsi="Times New Roman"/>
                <w:sz w:val="24"/>
                <w:szCs w:val="24"/>
              </w:rPr>
              <w:t>0,0</w:t>
            </w:r>
          </w:p>
        </w:tc>
        <w:tc>
          <w:tcPr>
            <w:tcW w:w="854" w:type="pct"/>
            <w:vAlign w:val="center"/>
          </w:tcPr>
          <w:p w14:paraId="37D6A86F" w14:textId="77777777" w:rsidR="006A2E7F" w:rsidRPr="000C0637" w:rsidRDefault="006A2E7F" w:rsidP="006A2E7F">
            <w:pPr>
              <w:spacing w:after="0" w:line="240" w:lineRule="auto"/>
              <w:jc w:val="center"/>
              <w:rPr>
                <w:rFonts w:ascii="Times New Roman" w:hAnsi="Times New Roman"/>
                <w:sz w:val="24"/>
                <w:szCs w:val="24"/>
              </w:rPr>
            </w:pPr>
            <w:r w:rsidRPr="000C0637">
              <w:rPr>
                <w:rFonts w:ascii="Times New Roman" w:hAnsi="Times New Roman"/>
                <w:sz w:val="24"/>
                <w:szCs w:val="24"/>
              </w:rPr>
              <w:t>0,0</w:t>
            </w:r>
          </w:p>
        </w:tc>
        <w:tc>
          <w:tcPr>
            <w:tcW w:w="884" w:type="pct"/>
            <w:vAlign w:val="center"/>
          </w:tcPr>
          <w:p w14:paraId="410879D3" w14:textId="77777777" w:rsidR="006A2E7F" w:rsidRPr="000C0637" w:rsidRDefault="006A2E7F" w:rsidP="006A2E7F">
            <w:pPr>
              <w:spacing w:after="0" w:line="240" w:lineRule="auto"/>
              <w:jc w:val="center"/>
              <w:rPr>
                <w:rFonts w:ascii="Times New Roman" w:hAnsi="Times New Roman"/>
                <w:sz w:val="24"/>
                <w:szCs w:val="24"/>
              </w:rPr>
            </w:pPr>
            <w:r w:rsidRPr="000C0637">
              <w:rPr>
                <w:rFonts w:ascii="Times New Roman" w:hAnsi="Times New Roman"/>
                <w:sz w:val="24"/>
                <w:szCs w:val="24"/>
              </w:rPr>
              <w:t>0,0</w:t>
            </w:r>
          </w:p>
        </w:tc>
      </w:tr>
      <w:tr w:rsidR="006A2E7F" w:rsidRPr="000C0637" w14:paraId="2F999AD5" w14:textId="77777777" w:rsidTr="00944CB1">
        <w:trPr>
          <w:jc w:val="center"/>
        </w:trPr>
        <w:tc>
          <w:tcPr>
            <w:tcW w:w="1738" w:type="pct"/>
            <w:vAlign w:val="bottom"/>
          </w:tcPr>
          <w:p w14:paraId="2A783EF1" w14:textId="77777777" w:rsidR="006A2E7F" w:rsidRPr="000C0637" w:rsidRDefault="006A2E7F" w:rsidP="006A2E7F">
            <w:pPr>
              <w:spacing w:before="80" w:after="0" w:line="240" w:lineRule="auto"/>
              <w:ind w:left="170"/>
              <w:rPr>
                <w:rFonts w:ascii="Times New Roman" w:eastAsia="Times New Roman" w:hAnsi="Times New Roman" w:cs="Times New Roman"/>
                <w:i/>
                <w:sz w:val="24"/>
                <w:szCs w:val="24"/>
                <w:lang w:eastAsia="ru-RU"/>
              </w:rPr>
            </w:pPr>
            <w:r w:rsidRPr="000C0637">
              <w:rPr>
                <w:rFonts w:ascii="Times New Roman" w:eastAsia="Times New Roman" w:hAnsi="Times New Roman" w:cs="Times New Roman"/>
                <w:i/>
                <w:sz w:val="24"/>
                <w:szCs w:val="24"/>
                <w:lang w:eastAsia="ru-RU"/>
              </w:rPr>
              <w:t>по числу занимаемых комнат</w:t>
            </w:r>
          </w:p>
        </w:tc>
        <w:tc>
          <w:tcPr>
            <w:tcW w:w="718" w:type="pct"/>
            <w:vAlign w:val="center"/>
          </w:tcPr>
          <w:p w14:paraId="62136483" w14:textId="77777777" w:rsidR="006A2E7F" w:rsidRPr="000C0637" w:rsidRDefault="006A2E7F" w:rsidP="006A2E7F">
            <w:pPr>
              <w:spacing w:after="0" w:line="240" w:lineRule="auto"/>
              <w:jc w:val="center"/>
              <w:rPr>
                <w:rFonts w:ascii="Times New Roman" w:hAnsi="Times New Roman"/>
                <w:sz w:val="24"/>
                <w:szCs w:val="24"/>
              </w:rPr>
            </w:pPr>
            <w:r w:rsidRPr="000C0637">
              <w:rPr>
                <w:rFonts w:ascii="Times New Roman" w:hAnsi="Times New Roman"/>
                <w:sz w:val="24"/>
                <w:szCs w:val="24"/>
              </w:rPr>
              <w:t> </w:t>
            </w:r>
          </w:p>
        </w:tc>
        <w:tc>
          <w:tcPr>
            <w:tcW w:w="806" w:type="pct"/>
            <w:vAlign w:val="center"/>
          </w:tcPr>
          <w:p w14:paraId="1D03E1F0" w14:textId="77777777" w:rsidR="006A2E7F" w:rsidRPr="000C0637" w:rsidRDefault="006A2E7F" w:rsidP="006A2E7F">
            <w:pPr>
              <w:spacing w:after="0" w:line="240" w:lineRule="auto"/>
              <w:jc w:val="center"/>
              <w:rPr>
                <w:rFonts w:ascii="Times New Roman" w:hAnsi="Times New Roman"/>
                <w:sz w:val="24"/>
                <w:szCs w:val="24"/>
              </w:rPr>
            </w:pPr>
            <w:r w:rsidRPr="000C0637">
              <w:rPr>
                <w:rFonts w:ascii="Times New Roman" w:hAnsi="Times New Roman"/>
                <w:sz w:val="24"/>
                <w:szCs w:val="24"/>
              </w:rPr>
              <w:t> </w:t>
            </w:r>
          </w:p>
        </w:tc>
        <w:tc>
          <w:tcPr>
            <w:tcW w:w="854" w:type="pct"/>
            <w:vAlign w:val="center"/>
          </w:tcPr>
          <w:p w14:paraId="38FF80B1" w14:textId="77777777" w:rsidR="006A2E7F" w:rsidRPr="000C0637" w:rsidRDefault="006A2E7F" w:rsidP="006A2E7F">
            <w:pPr>
              <w:spacing w:after="0" w:line="240" w:lineRule="auto"/>
              <w:jc w:val="center"/>
              <w:rPr>
                <w:rFonts w:ascii="Times New Roman" w:hAnsi="Times New Roman"/>
                <w:sz w:val="24"/>
                <w:szCs w:val="24"/>
              </w:rPr>
            </w:pPr>
            <w:r w:rsidRPr="000C0637">
              <w:rPr>
                <w:rFonts w:ascii="Times New Roman" w:hAnsi="Times New Roman"/>
                <w:sz w:val="24"/>
                <w:szCs w:val="24"/>
              </w:rPr>
              <w:t> </w:t>
            </w:r>
          </w:p>
        </w:tc>
        <w:tc>
          <w:tcPr>
            <w:tcW w:w="884" w:type="pct"/>
            <w:vAlign w:val="center"/>
          </w:tcPr>
          <w:p w14:paraId="3CF8CB3C" w14:textId="77777777" w:rsidR="006A2E7F" w:rsidRPr="000C0637" w:rsidRDefault="006A2E7F" w:rsidP="006A2E7F">
            <w:pPr>
              <w:spacing w:after="0" w:line="240" w:lineRule="auto"/>
              <w:jc w:val="center"/>
              <w:rPr>
                <w:rFonts w:ascii="Times New Roman" w:hAnsi="Times New Roman"/>
                <w:sz w:val="24"/>
                <w:szCs w:val="24"/>
              </w:rPr>
            </w:pPr>
            <w:r w:rsidRPr="000C0637">
              <w:rPr>
                <w:rFonts w:ascii="Times New Roman" w:hAnsi="Times New Roman"/>
                <w:sz w:val="24"/>
                <w:szCs w:val="24"/>
              </w:rPr>
              <w:t> </w:t>
            </w:r>
          </w:p>
        </w:tc>
      </w:tr>
      <w:tr w:rsidR="006A2E7F" w:rsidRPr="000C0637" w14:paraId="2F7036D1" w14:textId="77777777" w:rsidTr="00944CB1">
        <w:trPr>
          <w:jc w:val="center"/>
        </w:trPr>
        <w:tc>
          <w:tcPr>
            <w:tcW w:w="1738" w:type="pct"/>
            <w:vAlign w:val="bottom"/>
          </w:tcPr>
          <w:p w14:paraId="32D5B5A5" w14:textId="77777777" w:rsidR="006A2E7F" w:rsidRPr="000C0637" w:rsidRDefault="006A2E7F" w:rsidP="006A2E7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1 комнату </w:t>
            </w:r>
          </w:p>
        </w:tc>
        <w:tc>
          <w:tcPr>
            <w:tcW w:w="718" w:type="pct"/>
            <w:vAlign w:val="center"/>
          </w:tcPr>
          <w:p w14:paraId="4BA653BB" w14:textId="77777777" w:rsidR="006A2E7F" w:rsidRPr="000C0637" w:rsidRDefault="006A2E7F" w:rsidP="006A2E7F">
            <w:pPr>
              <w:spacing w:after="0" w:line="240" w:lineRule="auto"/>
              <w:jc w:val="center"/>
              <w:rPr>
                <w:rFonts w:ascii="Times New Roman" w:hAnsi="Times New Roman"/>
                <w:sz w:val="24"/>
                <w:szCs w:val="24"/>
              </w:rPr>
            </w:pPr>
            <w:r w:rsidRPr="000C0637">
              <w:rPr>
                <w:rFonts w:ascii="Times New Roman" w:hAnsi="Times New Roman"/>
                <w:sz w:val="24"/>
                <w:szCs w:val="24"/>
              </w:rPr>
              <w:t>14,1</w:t>
            </w:r>
          </w:p>
        </w:tc>
        <w:tc>
          <w:tcPr>
            <w:tcW w:w="806" w:type="pct"/>
            <w:vAlign w:val="center"/>
          </w:tcPr>
          <w:p w14:paraId="46E71023" w14:textId="77777777" w:rsidR="006A2E7F" w:rsidRPr="000C0637" w:rsidRDefault="006A2E7F" w:rsidP="006A2E7F">
            <w:pPr>
              <w:spacing w:after="0" w:line="240" w:lineRule="auto"/>
              <w:jc w:val="center"/>
              <w:rPr>
                <w:rFonts w:ascii="Times New Roman" w:hAnsi="Times New Roman"/>
                <w:sz w:val="24"/>
                <w:szCs w:val="24"/>
              </w:rPr>
            </w:pPr>
            <w:r w:rsidRPr="000C0637">
              <w:rPr>
                <w:rFonts w:ascii="Times New Roman" w:hAnsi="Times New Roman"/>
                <w:sz w:val="24"/>
                <w:szCs w:val="24"/>
              </w:rPr>
              <w:t>8,8</w:t>
            </w:r>
          </w:p>
        </w:tc>
        <w:tc>
          <w:tcPr>
            <w:tcW w:w="854" w:type="pct"/>
            <w:vAlign w:val="center"/>
          </w:tcPr>
          <w:p w14:paraId="2962FB70" w14:textId="77777777" w:rsidR="006A2E7F" w:rsidRPr="000C0637" w:rsidRDefault="006A2E7F" w:rsidP="008246DF">
            <w:pPr>
              <w:spacing w:after="0" w:line="240" w:lineRule="auto"/>
              <w:jc w:val="center"/>
              <w:rPr>
                <w:rFonts w:ascii="Times New Roman" w:hAnsi="Times New Roman"/>
                <w:sz w:val="24"/>
                <w:szCs w:val="24"/>
              </w:rPr>
            </w:pPr>
            <w:r w:rsidRPr="000C0637">
              <w:rPr>
                <w:rFonts w:ascii="Times New Roman" w:hAnsi="Times New Roman"/>
                <w:sz w:val="24"/>
                <w:szCs w:val="24"/>
              </w:rPr>
              <w:t>1</w:t>
            </w:r>
            <w:r w:rsidR="008246DF">
              <w:rPr>
                <w:rFonts w:ascii="Times New Roman" w:hAnsi="Times New Roman"/>
                <w:sz w:val="24"/>
                <w:szCs w:val="24"/>
              </w:rPr>
              <w:t>0</w:t>
            </w:r>
            <w:r w:rsidRPr="000C0637">
              <w:rPr>
                <w:rFonts w:ascii="Times New Roman" w:hAnsi="Times New Roman"/>
                <w:sz w:val="24"/>
                <w:szCs w:val="24"/>
              </w:rPr>
              <w:t>,0</w:t>
            </w:r>
          </w:p>
        </w:tc>
        <w:tc>
          <w:tcPr>
            <w:tcW w:w="884" w:type="pct"/>
            <w:vAlign w:val="center"/>
          </w:tcPr>
          <w:p w14:paraId="5554C0AB" w14:textId="77777777" w:rsidR="006A2E7F" w:rsidRPr="000C0637" w:rsidRDefault="008246DF" w:rsidP="008246DF">
            <w:pPr>
              <w:spacing w:after="0" w:line="240" w:lineRule="auto"/>
              <w:jc w:val="center"/>
              <w:rPr>
                <w:rFonts w:ascii="Times New Roman" w:hAnsi="Times New Roman"/>
                <w:sz w:val="24"/>
                <w:szCs w:val="24"/>
              </w:rPr>
            </w:pPr>
            <w:r>
              <w:rPr>
                <w:rFonts w:ascii="Times New Roman" w:hAnsi="Times New Roman"/>
                <w:sz w:val="24"/>
                <w:szCs w:val="24"/>
              </w:rPr>
              <w:t>5</w:t>
            </w:r>
            <w:r w:rsidR="006A2E7F" w:rsidRPr="000C0637">
              <w:rPr>
                <w:rFonts w:ascii="Times New Roman" w:hAnsi="Times New Roman"/>
                <w:sz w:val="24"/>
                <w:szCs w:val="24"/>
              </w:rPr>
              <w:t>,</w:t>
            </w:r>
            <w:r>
              <w:rPr>
                <w:rFonts w:ascii="Times New Roman" w:hAnsi="Times New Roman"/>
                <w:sz w:val="24"/>
                <w:szCs w:val="24"/>
              </w:rPr>
              <w:t>3</w:t>
            </w:r>
          </w:p>
        </w:tc>
      </w:tr>
      <w:tr w:rsidR="006A2E7F" w:rsidRPr="000C0637" w14:paraId="73935AFB" w14:textId="77777777" w:rsidTr="00944CB1">
        <w:trPr>
          <w:jc w:val="center"/>
        </w:trPr>
        <w:tc>
          <w:tcPr>
            <w:tcW w:w="1738" w:type="pct"/>
            <w:vAlign w:val="bottom"/>
          </w:tcPr>
          <w:p w14:paraId="7EF3A978" w14:textId="77777777" w:rsidR="006A2E7F" w:rsidRPr="000C0637" w:rsidRDefault="006A2E7F" w:rsidP="006A2E7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 комнаты</w:t>
            </w:r>
          </w:p>
        </w:tc>
        <w:tc>
          <w:tcPr>
            <w:tcW w:w="718" w:type="pct"/>
            <w:vAlign w:val="center"/>
          </w:tcPr>
          <w:p w14:paraId="64B94D9D" w14:textId="77777777" w:rsidR="006A2E7F" w:rsidRPr="000C0637" w:rsidRDefault="006A2E7F" w:rsidP="008246DF">
            <w:pPr>
              <w:spacing w:after="0" w:line="240" w:lineRule="auto"/>
              <w:jc w:val="center"/>
              <w:rPr>
                <w:rFonts w:ascii="Times New Roman" w:hAnsi="Times New Roman"/>
                <w:sz w:val="24"/>
                <w:szCs w:val="24"/>
              </w:rPr>
            </w:pPr>
            <w:r w:rsidRPr="000C0637">
              <w:rPr>
                <w:rFonts w:ascii="Times New Roman" w:hAnsi="Times New Roman"/>
                <w:sz w:val="24"/>
                <w:szCs w:val="24"/>
              </w:rPr>
              <w:t>38,</w:t>
            </w:r>
            <w:r w:rsidR="008246DF">
              <w:rPr>
                <w:rFonts w:ascii="Times New Roman" w:hAnsi="Times New Roman"/>
                <w:sz w:val="24"/>
                <w:szCs w:val="24"/>
              </w:rPr>
              <w:t>9</w:t>
            </w:r>
          </w:p>
        </w:tc>
        <w:tc>
          <w:tcPr>
            <w:tcW w:w="806" w:type="pct"/>
            <w:vAlign w:val="center"/>
          </w:tcPr>
          <w:p w14:paraId="33E364F7" w14:textId="77777777" w:rsidR="006A2E7F" w:rsidRPr="000C0637" w:rsidRDefault="006A2E7F" w:rsidP="006A2E7F">
            <w:pPr>
              <w:spacing w:after="0" w:line="240" w:lineRule="auto"/>
              <w:jc w:val="center"/>
              <w:rPr>
                <w:rFonts w:ascii="Times New Roman" w:hAnsi="Times New Roman"/>
                <w:sz w:val="24"/>
                <w:szCs w:val="24"/>
              </w:rPr>
            </w:pPr>
            <w:r w:rsidRPr="000C0637">
              <w:rPr>
                <w:rFonts w:ascii="Times New Roman" w:hAnsi="Times New Roman"/>
                <w:sz w:val="24"/>
                <w:szCs w:val="24"/>
              </w:rPr>
              <w:t>36,</w:t>
            </w:r>
            <w:r>
              <w:rPr>
                <w:rFonts w:ascii="Times New Roman" w:hAnsi="Times New Roman"/>
                <w:sz w:val="24"/>
                <w:szCs w:val="24"/>
              </w:rPr>
              <w:t>2</w:t>
            </w:r>
          </w:p>
        </w:tc>
        <w:tc>
          <w:tcPr>
            <w:tcW w:w="854" w:type="pct"/>
            <w:vAlign w:val="center"/>
          </w:tcPr>
          <w:p w14:paraId="35A524E8" w14:textId="77777777" w:rsidR="006A2E7F" w:rsidRPr="000C0637" w:rsidRDefault="006A2E7F" w:rsidP="008246DF">
            <w:pPr>
              <w:spacing w:after="0" w:line="240" w:lineRule="auto"/>
              <w:jc w:val="center"/>
              <w:rPr>
                <w:rFonts w:ascii="Times New Roman" w:hAnsi="Times New Roman"/>
                <w:sz w:val="24"/>
                <w:szCs w:val="24"/>
              </w:rPr>
            </w:pPr>
            <w:r w:rsidRPr="000C0637">
              <w:rPr>
                <w:rFonts w:ascii="Times New Roman" w:hAnsi="Times New Roman"/>
                <w:sz w:val="24"/>
                <w:szCs w:val="24"/>
              </w:rPr>
              <w:t>4</w:t>
            </w:r>
            <w:r w:rsidR="008246DF">
              <w:rPr>
                <w:rFonts w:ascii="Times New Roman" w:hAnsi="Times New Roman"/>
                <w:sz w:val="24"/>
                <w:szCs w:val="24"/>
              </w:rPr>
              <w:t>0</w:t>
            </w:r>
            <w:r w:rsidRPr="000C0637">
              <w:rPr>
                <w:rFonts w:ascii="Times New Roman" w:hAnsi="Times New Roman"/>
                <w:sz w:val="24"/>
                <w:szCs w:val="24"/>
              </w:rPr>
              <w:t>,</w:t>
            </w:r>
            <w:r w:rsidR="008246DF">
              <w:rPr>
                <w:rFonts w:ascii="Times New Roman" w:hAnsi="Times New Roman"/>
                <w:sz w:val="24"/>
                <w:szCs w:val="24"/>
              </w:rPr>
              <w:t>7</w:t>
            </w:r>
          </w:p>
        </w:tc>
        <w:tc>
          <w:tcPr>
            <w:tcW w:w="884" w:type="pct"/>
            <w:vAlign w:val="center"/>
          </w:tcPr>
          <w:p w14:paraId="1B85B592" w14:textId="77777777" w:rsidR="006A2E7F" w:rsidRPr="000C0637" w:rsidRDefault="006A2E7F" w:rsidP="008246DF">
            <w:pPr>
              <w:spacing w:after="0" w:line="240" w:lineRule="auto"/>
              <w:jc w:val="center"/>
              <w:rPr>
                <w:rFonts w:ascii="Times New Roman" w:hAnsi="Times New Roman"/>
                <w:sz w:val="24"/>
                <w:szCs w:val="24"/>
              </w:rPr>
            </w:pPr>
            <w:r w:rsidRPr="000C0637">
              <w:rPr>
                <w:rFonts w:ascii="Times New Roman" w:hAnsi="Times New Roman"/>
                <w:sz w:val="24"/>
                <w:szCs w:val="24"/>
              </w:rPr>
              <w:t>2</w:t>
            </w:r>
            <w:r w:rsidR="008246DF">
              <w:rPr>
                <w:rFonts w:ascii="Times New Roman" w:hAnsi="Times New Roman"/>
                <w:sz w:val="24"/>
                <w:szCs w:val="24"/>
              </w:rPr>
              <w:t>1</w:t>
            </w:r>
            <w:r w:rsidRPr="000C0637">
              <w:rPr>
                <w:rFonts w:ascii="Times New Roman" w:hAnsi="Times New Roman"/>
                <w:sz w:val="24"/>
                <w:szCs w:val="24"/>
              </w:rPr>
              <w:t>,</w:t>
            </w:r>
            <w:r w:rsidR="008246DF">
              <w:rPr>
                <w:rFonts w:ascii="Times New Roman" w:hAnsi="Times New Roman"/>
                <w:sz w:val="24"/>
                <w:szCs w:val="24"/>
              </w:rPr>
              <w:t>5</w:t>
            </w:r>
          </w:p>
        </w:tc>
      </w:tr>
      <w:tr w:rsidR="006A2E7F" w:rsidRPr="000C0637" w14:paraId="6B1D94FB" w14:textId="77777777" w:rsidTr="00944CB1">
        <w:trPr>
          <w:jc w:val="center"/>
        </w:trPr>
        <w:tc>
          <w:tcPr>
            <w:tcW w:w="1738" w:type="pct"/>
            <w:vAlign w:val="bottom"/>
          </w:tcPr>
          <w:p w14:paraId="7716512E" w14:textId="77777777" w:rsidR="006A2E7F" w:rsidRPr="000C0637" w:rsidRDefault="006A2E7F" w:rsidP="006A2E7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 и более комнат</w:t>
            </w:r>
          </w:p>
        </w:tc>
        <w:tc>
          <w:tcPr>
            <w:tcW w:w="718" w:type="pct"/>
            <w:vAlign w:val="center"/>
          </w:tcPr>
          <w:p w14:paraId="2E35579C" w14:textId="77777777" w:rsidR="006A2E7F" w:rsidRPr="000C0637" w:rsidRDefault="006A2E7F" w:rsidP="006A2E7F">
            <w:pPr>
              <w:spacing w:after="0" w:line="240" w:lineRule="auto"/>
              <w:jc w:val="center"/>
              <w:rPr>
                <w:rFonts w:ascii="Times New Roman" w:hAnsi="Times New Roman"/>
                <w:sz w:val="24"/>
                <w:szCs w:val="24"/>
              </w:rPr>
            </w:pPr>
            <w:r w:rsidRPr="000C0637">
              <w:rPr>
                <w:rFonts w:ascii="Times New Roman" w:hAnsi="Times New Roman"/>
                <w:sz w:val="24"/>
                <w:szCs w:val="24"/>
              </w:rPr>
              <w:t>47,</w:t>
            </w:r>
            <w:r>
              <w:rPr>
                <w:rFonts w:ascii="Times New Roman" w:hAnsi="Times New Roman"/>
                <w:sz w:val="24"/>
                <w:szCs w:val="24"/>
              </w:rPr>
              <w:t>0</w:t>
            </w:r>
          </w:p>
        </w:tc>
        <w:tc>
          <w:tcPr>
            <w:tcW w:w="806" w:type="pct"/>
            <w:vAlign w:val="center"/>
          </w:tcPr>
          <w:p w14:paraId="4F6EC5ED" w14:textId="77777777" w:rsidR="006A2E7F" w:rsidRPr="000C0637" w:rsidRDefault="006A2E7F" w:rsidP="006A2E7F">
            <w:pPr>
              <w:spacing w:after="0" w:line="240" w:lineRule="auto"/>
              <w:jc w:val="center"/>
              <w:rPr>
                <w:rFonts w:ascii="Times New Roman" w:hAnsi="Times New Roman"/>
                <w:sz w:val="24"/>
                <w:szCs w:val="24"/>
              </w:rPr>
            </w:pPr>
            <w:r w:rsidRPr="000C0637">
              <w:rPr>
                <w:rFonts w:ascii="Times New Roman" w:hAnsi="Times New Roman"/>
                <w:sz w:val="24"/>
                <w:szCs w:val="24"/>
              </w:rPr>
              <w:t>55,</w:t>
            </w:r>
            <w:r>
              <w:rPr>
                <w:rFonts w:ascii="Times New Roman" w:hAnsi="Times New Roman"/>
                <w:sz w:val="24"/>
                <w:szCs w:val="24"/>
              </w:rPr>
              <w:t>0</w:t>
            </w:r>
          </w:p>
        </w:tc>
        <w:tc>
          <w:tcPr>
            <w:tcW w:w="854" w:type="pct"/>
            <w:vAlign w:val="center"/>
          </w:tcPr>
          <w:p w14:paraId="67ABEF29" w14:textId="77777777" w:rsidR="006A2E7F" w:rsidRPr="000C0637" w:rsidRDefault="006A2E7F" w:rsidP="008246DF">
            <w:pPr>
              <w:spacing w:after="0" w:line="240" w:lineRule="auto"/>
              <w:jc w:val="center"/>
              <w:rPr>
                <w:rFonts w:ascii="Times New Roman" w:hAnsi="Times New Roman"/>
                <w:sz w:val="24"/>
                <w:szCs w:val="24"/>
              </w:rPr>
            </w:pPr>
            <w:r w:rsidRPr="000C0637">
              <w:rPr>
                <w:rFonts w:ascii="Times New Roman" w:hAnsi="Times New Roman"/>
                <w:sz w:val="24"/>
                <w:szCs w:val="24"/>
              </w:rPr>
              <w:t>4</w:t>
            </w:r>
            <w:r w:rsidR="008246DF">
              <w:rPr>
                <w:rFonts w:ascii="Times New Roman" w:hAnsi="Times New Roman"/>
                <w:sz w:val="24"/>
                <w:szCs w:val="24"/>
              </w:rPr>
              <w:t>9</w:t>
            </w:r>
            <w:r w:rsidRPr="000C0637">
              <w:rPr>
                <w:rFonts w:ascii="Times New Roman" w:hAnsi="Times New Roman"/>
                <w:sz w:val="24"/>
                <w:szCs w:val="24"/>
              </w:rPr>
              <w:t>,</w:t>
            </w:r>
            <w:r w:rsidR="008246DF">
              <w:rPr>
                <w:rFonts w:ascii="Times New Roman" w:hAnsi="Times New Roman"/>
                <w:sz w:val="24"/>
                <w:szCs w:val="24"/>
              </w:rPr>
              <w:t>3</w:t>
            </w:r>
          </w:p>
        </w:tc>
        <w:tc>
          <w:tcPr>
            <w:tcW w:w="884" w:type="pct"/>
            <w:vAlign w:val="center"/>
          </w:tcPr>
          <w:p w14:paraId="4A02DE79" w14:textId="77777777" w:rsidR="006A2E7F" w:rsidRPr="000C0637" w:rsidRDefault="008246DF" w:rsidP="008246DF">
            <w:pPr>
              <w:spacing w:after="0" w:line="240" w:lineRule="auto"/>
              <w:jc w:val="center"/>
              <w:rPr>
                <w:rFonts w:ascii="Times New Roman" w:hAnsi="Times New Roman"/>
                <w:sz w:val="24"/>
                <w:szCs w:val="24"/>
              </w:rPr>
            </w:pPr>
            <w:r>
              <w:rPr>
                <w:rFonts w:ascii="Times New Roman" w:hAnsi="Times New Roman"/>
                <w:sz w:val="24"/>
                <w:szCs w:val="24"/>
              </w:rPr>
              <w:t>73</w:t>
            </w:r>
            <w:r w:rsidR="006A2E7F" w:rsidRPr="000C0637">
              <w:rPr>
                <w:rFonts w:ascii="Times New Roman" w:hAnsi="Times New Roman"/>
                <w:sz w:val="24"/>
                <w:szCs w:val="24"/>
              </w:rPr>
              <w:t>,</w:t>
            </w:r>
            <w:r>
              <w:rPr>
                <w:rFonts w:ascii="Times New Roman" w:hAnsi="Times New Roman"/>
                <w:sz w:val="24"/>
                <w:szCs w:val="24"/>
              </w:rPr>
              <w:t>2</w:t>
            </w:r>
          </w:p>
        </w:tc>
      </w:tr>
      <w:tr w:rsidR="006A2E7F" w:rsidRPr="000C0637" w14:paraId="23EE1220" w14:textId="77777777" w:rsidTr="00944CB1">
        <w:trPr>
          <w:jc w:val="center"/>
        </w:trPr>
        <w:tc>
          <w:tcPr>
            <w:tcW w:w="1738" w:type="pct"/>
            <w:vAlign w:val="bottom"/>
          </w:tcPr>
          <w:p w14:paraId="68E956E5" w14:textId="77777777" w:rsidR="006A2E7F" w:rsidRPr="000C0637" w:rsidRDefault="006A2E7F" w:rsidP="006A2E7F">
            <w:pPr>
              <w:spacing w:before="80" w:after="0" w:line="240" w:lineRule="auto"/>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Размер общей площади жилого помещения, в среднем на одного проживающего, кв. м </w:t>
            </w:r>
          </w:p>
        </w:tc>
        <w:tc>
          <w:tcPr>
            <w:tcW w:w="718" w:type="pct"/>
            <w:vAlign w:val="center"/>
          </w:tcPr>
          <w:p w14:paraId="5AB776D1" w14:textId="77777777" w:rsidR="006A2E7F" w:rsidRPr="000C0637" w:rsidRDefault="006A2E7F" w:rsidP="006A2E7F">
            <w:pPr>
              <w:spacing w:after="0" w:line="240" w:lineRule="auto"/>
              <w:jc w:val="center"/>
              <w:rPr>
                <w:rFonts w:ascii="Times New Roman" w:hAnsi="Times New Roman"/>
                <w:sz w:val="24"/>
                <w:szCs w:val="24"/>
              </w:rPr>
            </w:pPr>
            <w:r w:rsidRPr="000C0637">
              <w:rPr>
                <w:rFonts w:ascii="Times New Roman" w:hAnsi="Times New Roman"/>
                <w:sz w:val="24"/>
                <w:szCs w:val="24"/>
              </w:rPr>
              <w:t>23,1</w:t>
            </w:r>
          </w:p>
        </w:tc>
        <w:tc>
          <w:tcPr>
            <w:tcW w:w="806" w:type="pct"/>
            <w:vAlign w:val="center"/>
          </w:tcPr>
          <w:p w14:paraId="4B5611C8" w14:textId="77777777" w:rsidR="006A2E7F" w:rsidRPr="000C0637" w:rsidRDefault="006A2E7F" w:rsidP="008246DF">
            <w:pPr>
              <w:spacing w:after="0" w:line="240" w:lineRule="auto"/>
              <w:jc w:val="center"/>
              <w:rPr>
                <w:rFonts w:ascii="Times New Roman" w:hAnsi="Times New Roman"/>
                <w:sz w:val="24"/>
                <w:szCs w:val="24"/>
              </w:rPr>
            </w:pPr>
            <w:r w:rsidRPr="000C0637">
              <w:rPr>
                <w:rFonts w:ascii="Times New Roman" w:hAnsi="Times New Roman"/>
                <w:sz w:val="24"/>
                <w:szCs w:val="24"/>
              </w:rPr>
              <w:t>16,</w:t>
            </w:r>
            <w:r w:rsidR="008246DF">
              <w:rPr>
                <w:rFonts w:ascii="Times New Roman" w:hAnsi="Times New Roman"/>
                <w:sz w:val="24"/>
                <w:szCs w:val="24"/>
              </w:rPr>
              <w:t>6</w:t>
            </w:r>
          </w:p>
        </w:tc>
        <w:tc>
          <w:tcPr>
            <w:tcW w:w="854" w:type="pct"/>
            <w:vAlign w:val="center"/>
          </w:tcPr>
          <w:p w14:paraId="3FF5080A" w14:textId="77777777" w:rsidR="006A2E7F" w:rsidRPr="000C0637" w:rsidRDefault="008246DF" w:rsidP="008246DF">
            <w:pPr>
              <w:spacing w:after="0" w:line="240" w:lineRule="auto"/>
              <w:jc w:val="center"/>
              <w:rPr>
                <w:rFonts w:ascii="Times New Roman" w:hAnsi="Times New Roman"/>
                <w:sz w:val="24"/>
                <w:szCs w:val="24"/>
              </w:rPr>
            </w:pPr>
            <w:r>
              <w:rPr>
                <w:rFonts w:ascii="Times New Roman" w:hAnsi="Times New Roman"/>
                <w:sz w:val="24"/>
                <w:szCs w:val="24"/>
              </w:rPr>
              <w:t>16</w:t>
            </w:r>
            <w:r w:rsidR="006A2E7F" w:rsidRPr="000C0637">
              <w:rPr>
                <w:rFonts w:ascii="Times New Roman" w:hAnsi="Times New Roman"/>
                <w:sz w:val="24"/>
                <w:szCs w:val="24"/>
              </w:rPr>
              <w:t>,</w:t>
            </w:r>
            <w:r>
              <w:rPr>
                <w:rFonts w:ascii="Times New Roman" w:hAnsi="Times New Roman"/>
                <w:sz w:val="24"/>
                <w:szCs w:val="24"/>
              </w:rPr>
              <w:t>1</w:t>
            </w:r>
          </w:p>
        </w:tc>
        <w:tc>
          <w:tcPr>
            <w:tcW w:w="884" w:type="pct"/>
            <w:vAlign w:val="center"/>
          </w:tcPr>
          <w:p w14:paraId="36422E11" w14:textId="77777777" w:rsidR="006A2E7F" w:rsidRPr="000C0637" w:rsidRDefault="008246DF" w:rsidP="008246DF">
            <w:pPr>
              <w:spacing w:after="0" w:line="240" w:lineRule="auto"/>
              <w:jc w:val="center"/>
              <w:rPr>
                <w:rFonts w:ascii="Times New Roman" w:hAnsi="Times New Roman"/>
                <w:sz w:val="24"/>
                <w:szCs w:val="24"/>
              </w:rPr>
            </w:pPr>
            <w:r>
              <w:rPr>
                <w:rFonts w:ascii="Times New Roman" w:hAnsi="Times New Roman"/>
                <w:sz w:val="24"/>
                <w:szCs w:val="24"/>
              </w:rPr>
              <w:t>18</w:t>
            </w:r>
            <w:r w:rsidR="006A2E7F" w:rsidRPr="000C0637">
              <w:rPr>
                <w:rFonts w:ascii="Times New Roman" w:hAnsi="Times New Roman"/>
                <w:sz w:val="24"/>
                <w:szCs w:val="24"/>
              </w:rPr>
              <w:t>,</w:t>
            </w:r>
            <w:r>
              <w:rPr>
                <w:rFonts w:ascii="Times New Roman" w:hAnsi="Times New Roman"/>
                <w:sz w:val="24"/>
                <w:szCs w:val="24"/>
              </w:rPr>
              <w:t>3</w:t>
            </w:r>
          </w:p>
        </w:tc>
      </w:tr>
      <w:tr w:rsidR="006A2E7F" w:rsidRPr="000C0637" w14:paraId="7524E672" w14:textId="77777777" w:rsidTr="00944CB1">
        <w:trPr>
          <w:trHeight w:val="519"/>
          <w:jc w:val="center"/>
        </w:trPr>
        <w:tc>
          <w:tcPr>
            <w:tcW w:w="5000" w:type="pct"/>
            <w:gridSpan w:val="5"/>
            <w:vAlign w:val="center"/>
          </w:tcPr>
          <w:p w14:paraId="7F3A2831" w14:textId="77777777" w:rsidR="006A2E7F" w:rsidRPr="000C0637" w:rsidRDefault="006A2E7F" w:rsidP="006A2E7F">
            <w:pPr>
              <w:spacing w:before="80" w:after="0" w:line="240" w:lineRule="auto"/>
              <w:ind w:right="-206"/>
              <w:jc w:val="center"/>
              <w:rPr>
                <w:rFonts w:ascii="Times New Roman" w:eastAsia="Times New Roman" w:hAnsi="Times New Roman" w:cs="Times New Roman"/>
                <w:b/>
                <w:sz w:val="24"/>
                <w:szCs w:val="24"/>
                <w:lang w:eastAsia="ru-RU"/>
              </w:rPr>
            </w:pPr>
            <w:r w:rsidRPr="000C0637">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1</w:t>
            </w:r>
            <w:r w:rsidRPr="000C0637">
              <w:rPr>
                <w:rFonts w:ascii="Times New Roman" w:eastAsia="Times New Roman" w:hAnsi="Times New Roman" w:cs="Times New Roman"/>
                <w:b/>
                <w:sz w:val="24"/>
                <w:szCs w:val="24"/>
                <w:lang w:eastAsia="ru-RU"/>
              </w:rPr>
              <w:t xml:space="preserve"> г.</w:t>
            </w:r>
          </w:p>
        </w:tc>
      </w:tr>
      <w:tr w:rsidR="006A2E7F" w:rsidRPr="000C0637" w14:paraId="66F25FE6" w14:textId="77777777" w:rsidTr="00944CB1">
        <w:trPr>
          <w:jc w:val="center"/>
        </w:trPr>
        <w:tc>
          <w:tcPr>
            <w:tcW w:w="1738" w:type="pct"/>
            <w:vAlign w:val="bottom"/>
          </w:tcPr>
          <w:p w14:paraId="23A98CFD" w14:textId="77777777" w:rsidR="006A2E7F" w:rsidRPr="000C0637" w:rsidRDefault="006A2E7F" w:rsidP="006A2E7F">
            <w:pPr>
              <w:spacing w:before="80" w:after="0" w:line="240" w:lineRule="auto"/>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Из общего числа домашних хозяйств проживают в жилых помещениях, различающихся  </w:t>
            </w:r>
          </w:p>
        </w:tc>
        <w:tc>
          <w:tcPr>
            <w:tcW w:w="718" w:type="pct"/>
            <w:tcBorders>
              <w:bottom w:val="single" w:sz="4" w:space="0" w:color="auto"/>
            </w:tcBorders>
            <w:vAlign w:val="center"/>
          </w:tcPr>
          <w:p w14:paraId="3A929D34" w14:textId="77777777" w:rsidR="006A2E7F" w:rsidRPr="000C0637" w:rsidRDefault="008246DF" w:rsidP="006A2E7F">
            <w:pPr>
              <w:spacing w:after="0" w:line="240" w:lineRule="auto"/>
              <w:jc w:val="center"/>
              <w:rPr>
                <w:rFonts w:ascii="Times New Roman" w:hAnsi="Times New Roman"/>
                <w:sz w:val="24"/>
                <w:szCs w:val="24"/>
              </w:rPr>
            </w:pPr>
            <w:r>
              <w:rPr>
                <w:rFonts w:ascii="Times New Roman" w:hAnsi="Times New Roman"/>
                <w:sz w:val="24"/>
                <w:szCs w:val="24"/>
              </w:rPr>
              <w:t>100</w:t>
            </w:r>
          </w:p>
        </w:tc>
        <w:tc>
          <w:tcPr>
            <w:tcW w:w="806" w:type="pct"/>
            <w:tcBorders>
              <w:bottom w:val="single" w:sz="4" w:space="0" w:color="auto"/>
            </w:tcBorders>
            <w:vAlign w:val="center"/>
          </w:tcPr>
          <w:p w14:paraId="25A59ED2" w14:textId="77777777" w:rsidR="006A2E7F" w:rsidRPr="000C0637" w:rsidRDefault="008246DF" w:rsidP="006A2E7F">
            <w:pPr>
              <w:spacing w:after="0" w:line="240" w:lineRule="auto"/>
              <w:jc w:val="center"/>
              <w:rPr>
                <w:rFonts w:ascii="Times New Roman" w:hAnsi="Times New Roman"/>
                <w:sz w:val="24"/>
                <w:szCs w:val="24"/>
              </w:rPr>
            </w:pPr>
            <w:r>
              <w:rPr>
                <w:rFonts w:ascii="Times New Roman" w:hAnsi="Times New Roman"/>
                <w:sz w:val="24"/>
                <w:szCs w:val="24"/>
              </w:rPr>
              <w:t>100</w:t>
            </w:r>
          </w:p>
        </w:tc>
        <w:tc>
          <w:tcPr>
            <w:tcW w:w="854" w:type="pct"/>
            <w:tcBorders>
              <w:bottom w:val="single" w:sz="4" w:space="0" w:color="auto"/>
            </w:tcBorders>
            <w:vAlign w:val="center"/>
          </w:tcPr>
          <w:p w14:paraId="5DCAAA57" w14:textId="77777777" w:rsidR="006A2E7F" w:rsidRPr="000C0637" w:rsidRDefault="008246DF" w:rsidP="006A2E7F">
            <w:pPr>
              <w:spacing w:after="0" w:line="240" w:lineRule="auto"/>
              <w:jc w:val="center"/>
              <w:rPr>
                <w:rFonts w:ascii="Times New Roman" w:hAnsi="Times New Roman"/>
                <w:sz w:val="24"/>
                <w:szCs w:val="24"/>
              </w:rPr>
            </w:pPr>
            <w:r>
              <w:rPr>
                <w:rFonts w:ascii="Times New Roman" w:hAnsi="Times New Roman"/>
                <w:sz w:val="24"/>
                <w:szCs w:val="24"/>
              </w:rPr>
              <w:t>100</w:t>
            </w:r>
          </w:p>
        </w:tc>
        <w:tc>
          <w:tcPr>
            <w:tcW w:w="884" w:type="pct"/>
            <w:tcBorders>
              <w:bottom w:val="single" w:sz="4" w:space="0" w:color="auto"/>
            </w:tcBorders>
            <w:vAlign w:val="center"/>
          </w:tcPr>
          <w:p w14:paraId="42F5B375" w14:textId="77777777" w:rsidR="006A2E7F" w:rsidRPr="000C0637" w:rsidRDefault="008246DF" w:rsidP="006A2E7F">
            <w:pPr>
              <w:spacing w:after="0" w:line="240" w:lineRule="auto"/>
              <w:jc w:val="center"/>
              <w:rPr>
                <w:rFonts w:ascii="Times New Roman" w:hAnsi="Times New Roman"/>
                <w:sz w:val="24"/>
                <w:szCs w:val="24"/>
              </w:rPr>
            </w:pPr>
            <w:r>
              <w:rPr>
                <w:rFonts w:ascii="Times New Roman" w:hAnsi="Times New Roman"/>
                <w:sz w:val="24"/>
                <w:szCs w:val="24"/>
              </w:rPr>
              <w:t>100</w:t>
            </w:r>
          </w:p>
        </w:tc>
      </w:tr>
      <w:tr w:rsidR="006A2E7F" w:rsidRPr="000C0637" w14:paraId="78E48E94" w14:textId="77777777" w:rsidTr="00944CB1">
        <w:trPr>
          <w:jc w:val="center"/>
        </w:trPr>
        <w:tc>
          <w:tcPr>
            <w:tcW w:w="1738" w:type="pct"/>
            <w:vAlign w:val="bottom"/>
          </w:tcPr>
          <w:p w14:paraId="7B55F6EF" w14:textId="77777777" w:rsidR="006A2E7F" w:rsidRPr="000C0637" w:rsidRDefault="006A2E7F" w:rsidP="006A2E7F">
            <w:pPr>
              <w:spacing w:before="40" w:after="0" w:line="240" w:lineRule="auto"/>
              <w:ind w:left="170"/>
              <w:rPr>
                <w:rFonts w:ascii="Times New Roman" w:eastAsia="Times New Roman" w:hAnsi="Times New Roman" w:cs="Times New Roman"/>
                <w:i/>
                <w:sz w:val="24"/>
                <w:szCs w:val="24"/>
                <w:lang w:eastAsia="ru-RU"/>
              </w:rPr>
            </w:pPr>
            <w:r w:rsidRPr="000C0637">
              <w:rPr>
                <w:rFonts w:ascii="Times New Roman" w:eastAsia="Times New Roman" w:hAnsi="Times New Roman" w:cs="Times New Roman"/>
                <w:i/>
                <w:sz w:val="24"/>
                <w:szCs w:val="24"/>
                <w:lang w:eastAsia="ru-RU"/>
              </w:rPr>
              <w:t>по формам собственности занимаемого жилья</w:t>
            </w:r>
          </w:p>
        </w:tc>
        <w:tc>
          <w:tcPr>
            <w:tcW w:w="718" w:type="pct"/>
            <w:tcBorders>
              <w:top w:val="single" w:sz="4" w:space="0" w:color="auto"/>
              <w:left w:val="single" w:sz="4" w:space="0" w:color="auto"/>
              <w:bottom w:val="single" w:sz="4" w:space="0" w:color="auto"/>
              <w:right w:val="single" w:sz="4" w:space="0" w:color="auto"/>
            </w:tcBorders>
            <w:vAlign w:val="center"/>
          </w:tcPr>
          <w:p w14:paraId="2BEF1CBF" w14:textId="77777777" w:rsidR="006A2E7F" w:rsidRPr="000C0637" w:rsidRDefault="006A2E7F" w:rsidP="006A2E7F">
            <w:pPr>
              <w:spacing w:after="0" w:line="240" w:lineRule="auto"/>
              <w:jc w:val="center"/>
              <w:rPr>
                <w:rFonts w:ascii="Times New Roman" w:hAnsi="Times New Roman"/>
                <w:sz w:val="24"/>
                <w:szCs w:val="24"/>
              </w:rPr>
            </w:pPr>
          </w:p>
        </w:tc>
        <w:tc>
          <w:tcPr>
            <w:tcW w:w="806" w:type="pct"/>
            <w:tcBorders>
              <w:top w:val="single" w:sz="4" w:space="0" w:color="auto"/>
              <w:left w:val="single" w:sz="4" w:space="0" w:color="auto"/>
              <w:bottom w:val="single" w:sz="4" w:space="0" w:color="auto"/>
              <w:right w:val="single" w:sz="4" w:space="0" w:color="auto"/>
            </w:tcBorders>
            <w:vAlign w:val="center"/>
          </w:tcPr>
          <w:p w14:paraId="0F2E90D9" w14:textId="77777777" w:rsidR="006A2E7F" w:rsidRPr="000C0637" w:rsidRDefault="006A2E7F" w:rsidP="006A2E7F">
            <w:pPr>
              <w:spacing w:after="0" w:line="240" w:lineRule="auto"/>
              <w:jc w:val="center"/>
              <w:rPr>
                <w:rFonts w:ascii="Times New Roman" w:hAnsi="Times New Roman"/>
                <w:sz w:val="24"/>
                <w:szCs w:val="24"/>
              </w:rPr>
            </w:pPr>
          </w:p>
        </w:tc>
        <w:tc>
          <w:tcPr>
            <w:tcW w:w="854" w:type="pct"/>
            <w:tcBorders>
              <w:top w:val="single" w:sz="4" w:space="0" w:color="auto"/>
              <w:left w:val="single" w:sz="4" w:space="0" w:color="auto"/>
              <w:bottom w:val="single" w:sz="4" w:space="0" w:color="auto"/>
              <w:right w:val="single" w:sz="4" w:space="0" w:color="auto"/>
            </w:tcBorders>
            <w:vAlign w:val="center"/>
          </w:tcPr>
          <w:p w14:paraId="087796EC" w14:textId="77777777" w:rsidR="006A2E7F" w:rsidRPr="000C0637" w:rsidRDefault="006A2E7F" w:rsidP="006A2E7F">
            <w:pPr>
              <w:spacing w:after="0" w:line="240" w:lineRule="auto"/>
              <w:jc w:val="center"/>
              <w:rPr>
                <w:rFonts w:ascii="Times New Roman" w:hAnsi="Times New Roman"/>
                <w:sz w:val="24"/>
                <w:szCs w:val="24"/>
              </w:rPr>
            </w:pPr>
          </w:p>
        </w:tc>
        <w:tc>
          <w:tcPr>
            <w:tcW w:w="884" w:type="pct"/>
            <w:tcBorders>
              <w:top w:val="single" w:sz="4" w:space="0" w:color="auto"/>
              <w:left w:val="single" w:sz="4" w:space="0" w:color="auto"/>
              <w:bottom w:val="single" w:sz="4" w:space="0" w:color="auto"/>
              <w:right w:val="single" w:sz="4" w:space="0" w:color="auto"/>
            </w:tcBorders>
            <w:vAlign w:val="center"/>
          </w:tcPr>
          <w:p w14:paraId="6EE59726" w14:textId="77777777" w:rsidR="006A2E7F" w:rsidRPr="000C0637" w:rsidRDefault="006A2E7F" w:rsidP="006A2E7F">
            <w:pPr>
              <w:spacing w:after="0" w:line="240" w:lineRule="auto"/>
              <w:jc w:val="center"/>
              <w:rPr>
                <w:rFonts w:ascii="Times New Roman" w:hAnsi="Times New Roman"/>
                <w:sz w:val="24"/>
                <w:szCs w:val="24"/>
              </w:rPr>
            </w:pPr>
          </w:p>
        </w:tc>
      </w:tr>
      <w:tr w:rsidR="006A2E7F" w:rsidRPr="000C0637" w14:paraId="29615842" w14:textId="77777777" w:rsidTr="00944CB1">
        <w:trPr>
          <w:jc w:val="center"/>
        </w:trPr>
        <w:tc>
          <w:tcPr>
            <w:tcW w:w="1738" w:type="pct"/>
            <w:vAlign w:val="bottom"/>
          </w:tcPr>
          <w:p w14:paraId="733EB4AE" w14:textId="77777777" w:rsidR="006A2E7F" w:rsidRPr="000C0637" w:rsidRDefault="006A2E7F" w:rsidP="006A2E7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государственное или муниципальное</w:t>
            </w:r>
          </w:p>
        </w:tc>
        <w:tc>
          <w:tcPr>
            <w:tcW w:w="718" w:type="pct"/>
            <w:tcBorders>
              <w:top w:val="single" w:sz="4" w:space="0" w:color="auto"/>
              <w:left w:val="single" w:sz="4" w:space="0" w:color="auto"/>
              <w:bottom w:val="single" w:sz="4" w:space="0" w:color="auto"/>
              <w:right w:val="single" w:sz="4" w:space="0" w:color="auto"/>
            </w:tcBorders>
            <w:vAlign w:val="center"/>
          </w:tcPr>
          <w:p w14:paraId="47A66D39" w14:textId="77777777" w:rsidR="006A2E7F" w:rsidRPr="000C0637" w:rsidRDefault="008246DF" w:rsidP="006A2E7F">
            <w:pPr>
              <w:spacing w:after="0" w:line="240" w:lineRule="auto"/>
              <w:jc w:val="center"/>
              <w:rPr>
                <w:rFonts w:ascii="Times New Roman" w:hAnsi="Times New Roman"/>
                <w:sz w:val="24"/>
                <w:szCs w:val="24"/>
              </w:rPr>
            </w:pPr>
            <w:r>
              <w:rPr>
                <w:rFonts w:ascii="Times New Roman" w:hAnsi="Times New Roman"/>
                <w:sz w:val="24"/>
                <w:szCs w:val="24"/>
              </w:rPr>
              <w:t>2,0</w:t>
            </w:r>
          </w:p>
        </w:tc>
        <w:tc>
          <w:tcPr>
            <w:tcW w:w="806" w:type="pct"/>
            <w:tcBorders>
              <w:top w:val="single" w:sz="4" w:space="0" w:color="auto"/>
              <w:left w:val="single" w:sz="4" w:space="0" w:color="auto"/>
              <w:bottom w:val="single" w:sz="4" w:space="0" w:color="auto"/>
              <w:right w:val="single" w:sz="4" w:space="0" w:color="auto"/>
            </w:tcBorders>
            <w:vAlign w:val="center"/>
          </w:tcPr>
          <w:p w14:paraId="56B900D8" w14:textId="77777777" w:rsidR="006A2E7F" w:rsidRPr="000C0637" w:rsidRDefault="008246DF" w:rsidP="006A2E7F">
            <w:pPr>
              <w:spacing w:after="0" w:line="240" w:lineRule="auto"/>
              <w:jc w:val="center"/>
              <w:rPr>
                <w:rFonts w:ascii="Times New Roman" w:hAnsi="Times New Roman"/>
                <w:sz w:val="24"/>
                <w:szCs w:val="24"/>
              </w:rPr>
            </w:pPr>
            <w:r>
              <w:rPr>
                <w:rFonts w:ascii="Times New Roman" w:hAnsi="Times New Roman"/>
                <w:sz w:val="24"/>
                <w:szCs w:val="24"/>
              </w:rPr>
              <w:t>1,6</w:t>
            </w:r>
          </w:p>
        </w:tc>
        <w:tc>
          <w:tcPr>
            <w:tcW w:w="854" w:type="pct"/>
            <w:tcBorders>
              <w:top w:val="single" w:sz="4" w:space="0" w:color="auto"/>
              <w:left w:val="single" w:sz="4" w:space="0" w:color="auto"/>
              <w:bottom w:val="single" w:sz="4" w:space="0" w:color="auto"/>
              <w:right w:val="single" w:sz="4" w:space="0" w:color="auto"/>
            </w:tcBorders>
            <w:vAlign w:val="center"/>
          </w:tcPr>
          <w:p w14:paraId="12622FD8" w14:textId="77777777" w:rsidR="006A2E7F" w:rsidRPr="000C0637" w:rsidRDefault="008246DF" w:rsidP="006A2E7F">
            <w:pPr>
              <w:spacing w:after="0" w:line="240" w:lineRule="auto"/>
              <w:jc w:val="center"/>
              <w:rPr>
                <w:rFonts w:ascii="Times New Roman" w:hAnsi="Times New Roman"/>
                <w:sz w:val="24"/>
                <w:szCs w:val="24"/>
              </w:rPr>
            </w:pPr>
            <w:r>
              <w:rPr>
                <w:rFonts w:ascii="Times New Roman" w:hAnsi="Times New Roman"/>
                <w:sz w:val="24"/>
                <w:szCs w:val="24"/>
              </w:rPr>
              <w:t>1,6</w:t>
            </w:r>
          </w:p>
        </w:tc>
        <w:tc>
          <w:tcPr>
            <w:tcW w:w="884" w:type="pct"/>
            <w:tcBorders>
              <w:top w:val="single" w:sz="4" w:space="0" w:color="auto"/>
              <w:left w:val="single" w:sz="4" w:space="0" w:color="auto"/>
              <w:bottom w:val="single" w:sz="4" w:space="0" w:color="auto"/>
              <w:right w:val="single" w:sz="4" w:space="0" w:color="auto"/>
            </w:tcBorders>
            <w:vAlign w:val="center"/>
          </w:tcPr>
          <w:p w14:paraId="5BD22EFC" w14:textId="77777777" w:rsidR="006A2E7F" w:rsidRPr="000C0637" w:rsidRDefault="008246DF" w:rsidP="006A2E7F">
            <w:pPr>
              <w:spacing w:after="0" w:line="240" w:lineRule="auto"/>
              <w:jc w:val="center"/>
              <w:rPr>
                <w:rFonts w:ascii="Times New Roman" w:hAnsi="Times New Roman"/>
                <w:sz w:val="24"/>
                <w:szCs w:val="24"/>
              </w:rPr>
            </w:pPr>
            <w:r>
              <w:rPr>
                <w:rFonts w:ascii="Times New Roman" w:hAnsi="Times New Roman"/>
                <w:sz w:val="24"/>
                <w:szCs w:val="24"/>
              </w:rPr>
              <w:t>1,8</w:t>
            </w:r>
          </w:p>
        </w:tc>
      </w:tr>
      <w:tr w:rsidR="006A2E7F" w:rsidRPr="000C0637" w14:paraId="40C866F4" w14:textId="77777777" w:rsidTr="00944CB1">
        <w:trPr>
          <w:jc w:val="center"/>
        </w:trPr>
        <w:tc>
          <w:tcPr>
            <w:tcW w:w="1738" w:type="pct"/>
            <w:vAlign w:val="bottom"/>
          </w:tcPr>
          <w:p w14:paraId="1683A63C" w14:textId="77777777" w:rsidR="006A2E7F" w:rsidRPr="000C0637" w:rsidRDefault="006A2E7F" w:rsidP="006A2E7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частное, ЖСК </w:t>
            </w:r>
          </w:p>
        </w:tc>
        <w:tc>
          <w:tcPr>
            <w:tcW w:w="718" w:type="pct"/>
            <w:tcBorders>
              <w:top w:val="single" w:sz="4" w:space="0" w:color="auto"/>
            </w:tcBorders>
            <w:vAlign w:val="center"/>
          </w:tcPr>
          <w:p w14:paraId="538CFF7F" w14:textId="77777777" w:rsidR="006A2E7F" w:rsidRPr="000C0637" w:rsidRDefault="008246DF" w:rsidP="006A2E7F">
            <w:pPr>
              <w:spacing w:after="0" w:line="240" w:lineRule="auto"/>
              <w:jc w:val="center"/>
              <w:rPr>
                <w:rFonts w:ascii="Times New Roman" w:hAnsi="Times New Roman"/>
                <w:sz w:val="24"/>
                <w:szCs w:val="24"/>
              </w:rPr>
            </w:pPr>
            <w:r>
              <w:rPr>
                <w:rFonts w:ascii="Times New Roman" w:hAnsi="Times New Roman"/>
                <w:sz w:val="24"/>
                <w:szCs w:val="24"/>
              </w:rPr>
              <w:t>91,8</w:t>
            </w:r>
          </w:p>
        </w:tc>
        <w:tc>
          <w:tcPr>
            <w:tcW w:w="806" w:type="pct"/>
            <w:tcBorders>
              <w:top w:val="single" w:sz="4" w:space="0" w:color="auto"/>
            </w:tcBorders>
            <w:vAlign w:val="center"/>
          </w:tcPr>
          <w:p w14:paraId="633291B6" w14:textId="77777777" w:rsidR="006A2E7F" w:rsidRPr="000C0637" w:rsidRDefault="008246DF" w:rsidP="006A2E7F">
            <w:pPr>
              <w:spacing w:after="0" w:line="240" w:lineRule="auto"/>
              <w:jc w:val="center"/>
              <w:rPr>
                <w:rFonts w:ascii="Times New Roman" w:hAnsi="Times New Roman"/>
                <w:sz w:val="24"/>
                <w:szCs w:val="24"/>
              </w:rPr>
            </w:pPr>
            <w:r>
              <w:rPr>
                <w:rFonts w:ascii="Times New Roman" w:hAnsi="Times New Roman"/>
                <w:sz w:val="24"/>
                <w:szCs w:val="24"/>
              </w:rPr>
              <w:t>91,8</w:t>
            </w:r>
          </w:p>
        </w:tc>
        <w:tc>
          <w:tcPr>
            <w:tcW w:w="854" w:type="pct"/>
            <w:tcBorders>
              <w:top w:val="single" w:sz="4" w:space="0" w:color="auto"/>
            </w:tcBorders>
            <w:vAlign w:val="center"/>
          </w:tcPr>
          <w:p w14:paraId="260CE682" w14:textId="77777777" w:rsidR="006A2E7F" w:rsidRPr="000C0637" w:rsidRDefault="008246DF" w:rsidP="006A2E7F">
            <w:pPr>
              <w:spacing w:after="0" w:line="240" w:lineRule="auto"/>
              <w:jc w:val="center"/>
              <w:rPr>
                <w:rFonts w:ascii="Times New Roman" w:hAnsi="Times New Roman"/>
                <w:sz w:val="24"/>
                <w:szCs w:val="24"/>
              </w:rPr>
            </w:pPr>
            <w:r>
              <w:rPr>
                <w:rFonts w:ascii="Times New Roman" w:hAnsi="Times New Roman"/>
                <w:sz w:val="24"/>
                <w:szCs w:val="24"/>
              </w:rPr>
              <w:t>91,2</w:t>
            </w:r>
          </w:p>
        </w:tc>
        <w:tc>
          <w:tcPr>
            <w:tcW w:w="884" w:type="pct"/>
            <w:tcBorders>
              <w:top w:val="single" w:sz="4" w:space="0" w:color="auto"/>
            </w:tcBorders>
            <w:vAlign w:val="center"/>
          </w:tcPr>
          <w:p w14:paraId="57F3D893" w14:textId="77777777" w:rsidR="006A2E7F" w:rsidRPr="000C0637" w:rsidRDefault="008246DF" w:rsidP="006A2E7F">
            <w:pPr>
              <w:spacing w:after="0" w:line="240" w:lineRule="auto"/>
              <w:jc w:val="center"/>
              <w:rPr>
                <w:rFonts w:ascii="Times New Roman" w:hAnsi="Times New Roman"/>
                <w:sz w:val="24"/>
                <w:szCs w:val="24"/>
              </w:rPr>
            </w:pPr>
            <w:r>
              <w:rPr>
                <w:rFonts w:ascii="Times New Roman" w:hAnsi="Times New Roman"/>
                <w:sz w:val="24"/>
                <w:szCs w:val="24"/>
              </w:rPr>
              <w:t>93,7</w:t>
            </w:r>
          </w:p>
        </w:tc>
      </w:tr>
      <w:tr w:rsidR="006A2E7F" w:rsidRPr="000C0637" w14:paraId="08F73B63" w14:textId="77777777" w:rsidTr="00944CB1">
        <w:trPr>
          <w:jc w:val="center"/>
        </w:trPr>
        <w:tc>
          <w:tcPr>
            <w:tcW w:w="1738" w:type="pct"/>
            <w:vAlign w:val="bottom"/>
          </w:tcPr>
          <w:p w14:paraId="63227987" w14:textId="77777777" w:rsidR="006A2E7F" w:rsidRPr="000C0637" w:rsidRDefault="006A2E7F" w:rsidP="006A2E7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другая форма собственности </w:t>
            </w:r>
          </w:p>
        </w:tc>
        <w:tc>
          <w:tcPr>
            <w:tcW w:w="718" w:type="pct"/>
            <w:tcBorders>
              <w:bottom w:val="single" w:sz="4" w:space="0" w:color="auto"/>
            </w:tcBorders>
            <w:vAlign w:val="center"/>
          </w:tcPr>
          <w:p w14:paraId="3C9D168C" w14:textId="77777777" w:rsidR="006A2E7F" w:rsidRPr="000C0637" w:rsidRDefault="008246DF" w:rsidP="006A2E7F">
            <w:pPr>
              <w:spacing w:after="0" w:line="240" w:lineRule="auto"/>
              <w:jc w:val="center"/>
              <w:rPr>
                <w:rFonts w:ascii="Times New Roman" w:hAnsi="Times New Roman"/>
                <w:sz w:val="24"/>
                <w:szCs w:val="24"/>
              </w:rPr>
            </w:pPr>
            <w:r>
              <w:rPr>
                <w:rFonts w:ascii="Times New Roman" w:hAnsi="Times New Roman"/>
                <w:sz w:val="24"/>
                <w:szCs w:val="24"/>
              </w:rPr>
              <w:t>6,2</w:t>
            </w:r>
          </w:p>
        </w:tc>
        <w:tc>
          <w:tcPr>
            <w:tcW w:w="806" w:type="pct"/>
            <w:tcBorders>
              <w:bottom w:val="single" w:sz="4" w:space="0" w:color="auto"/>
            </w:tcBorders>
            <w:vAlign w:val="center"/>
          </w:tcPr>
          <w:p w14:paraId="7176BEEA" w14:textId="77777777" w:rsidR="006A2E7F" w:rsidRPr="000C0637" w:rsidRDefault="008246DF" w:rsidP="006A2E7F">
            <w:pPr>
              <w:spacing w:after="0" w:line="240" w:lineRule="auto"/>
              <w:jc w:val="center"/>
              <w:rPr>
                <w:rFonts w:ascii="Times New Roman" w:hAnsi="Times New Roman"/>
                <w:sz w:val="24"/>
                <w:szCs w:val="24"/>
              </w:rPr>
            </w:pPr>
            <w:r>
              <w:rPr>
                <w:rFonts w:ascii="Times New Roman" w:hAnsi="Times New Roman"/>
                <w:sz w:val="24"/>
                <w:szCs w:val="24"/>
              </w:rPr>
              <w:t>6,6</w:t>
            </w:r>
          </w:p>
        </w:tc>
        <w:tc>
          <w:tcPr>
            <w:tcW w:w="854" w:type="pct"/>
            <w:tcBorders>
              <w:bottom w:val="single" w:sz="4" w:space="0" w:color="auto"/>
            </w:tcBorders>
            <w:vAlign w:val="center"/>
          </w:tcPr>
          <w:p w14:paraId="738710D7" w14:textId="77777777" w:rsidR="006A2E7F" w:rsidRPr="000C0637" w:rsidRDefault="008246DF" w:rsidP="006A2E7F">
            <w:pPr>
              <w:spacing w:after="0" w:line="240" w:lineRule="auto"/>
              <w:jc w:val="center"/>
              <w:rPr>
                <w:rFonts w:ascii="Times New Roman" w:hAnsi="Times New Roman"/>
                <w:sz w:val="24"/>
                <w:szCs w:val="24"/>
              </w:rPr>
            </w:pPr>
            <w:r>
              <w:rPr>
                <w:rFonts w:ascii="Times New Roman" w:hAnsi="Times New Roman"/>
                <w:sz w:val="24"/>
                <w:szCs w:val="24"/>
              </w:rPr>
              <w:t>7,2</w:t>
            </w:r>
          </w:p>
        </w:tc>
        <w:tc>
          <w:tcPr>
            <w:tcW w:w="884" w:type="pct"/>
            <w:tcBorders>
              <w:bottom w:val="single" w:sz="4" w:space="0" w:color="auto"/>
            </w:tcBorders>
            <w:vAlign w:val="center"/>
          </w:tcPr>
          <w:p w14:paraId="1F9DEF6F" w14:textId="77777777" w:rsidR="006A2E7F" w:rsidRPr="000C0637" w:rsidRDefault="008246DF" w:rsidP="006A2E7F">
            <w:pPr>
              <w:spacing w:after="0" w:line="240" w:lineRule="auto"/>
              <w:jc w:val="center"/>
              <w:rPr>
                <w:rFonts w:ascii="Times New Roman" w:hAnsi="Times New Roman"/>
                <w:sz w:val="24"/>
                <w:szCs w:val="24"/>
              </w:rPr>
            </w:pPr>
            <w:r>
              <w:rPr>
                <w:rFonts w:ascii="Times New Roman" w:hAnsi="Times New Roman"/>
                <w:sz w:val="24"/>
                <w:szCs w:val="24"/>
              </w:rPr>
              <w:t>4,5</w:t>
            </w:r>
          </w:p>
        </w:tc>
      </w:tr>
      <w:tr w:rsidR="006A2E7F" w:rsidRPr="000C0637" w14:paraId="27B7BA92" w14:textId="77777777" w:rsidTr="00944CB1">
        <w:trPr>
          <w:jc w:val="center"/>
        </w:trPr>
        <w:tc>
          <w:tcPr>
            <w:tcW w:w="1738" w:type="pct"/>
            <w:vAlign w:val="bottom"/>
          </w:tcPr>
          <w:p w14:paraId="0FADF213" w14:textId="77777777" w:rsidR="006A2E7F" w:rsidRPr="000C0637" w:rsidRDefault="006A2E7F" w:rsidP="006A2E7F">
            <w:pPr>
              <w:spacing w:before="80" w:after="0" w:line="240" w:lineRule="auto"/>
              <w:ind w:left="170"/>
              <w:rPr>
                <w:rFonts w:ascii="Times New Roman" w:eastAsia="Times New Roman" w:hAnsi="Times New Roman" w:cs="Times New Roman"/>
                <w:i/>
                <w:sz w:val="24"/>
                <w:szCs w:val="24"/>
                <w:lang w:eastAsia="ru-RU"/>
              </w:rPr>
            </w:pPr>
            <w:r w:rsidRPr="000C0637">
              <w:rPr>
                <w:rFonts w:ascii="Times New Roman" w:eastAsia="Times New Roman" w:hAnsi="Times New Roman" w:cs="Times New Roman"/>
                <w:i/>
                <w:sz w:val="24"/>
                <w:szCs w:val="24"/>
                <w:lang w:eastAsia="ru-RU"/>
              </w:rPr>
              <w:t>по типам занимаемого жилья</w:t>
            </w:r>
          </w:p>
        </w:tc>
        <w:tc>
          <w:tcPr>
            <w:tcW w:w="718" w:type="pct"/>
            <w:tcBorders>
              <w:top w:val="single" w:sz="4" w:space="0" w:color="auto"/>
              <w:left w:val="single" w:sz="4" w:space="0" w:color="auto"/>
              <w:bottom w:val="single" w:sz="4" w:space="0" w:color="auto"/>
              <w:right w:val="single" w:sz="4" w:space="0" w:color="auto"/>
            </w:tcBorders>
            <w:vAlign w:val="center"/>
          </w:tcPr>
          <w:p w14:paraId="1F2C83B8" w14:textId="77777777" w:rsidR="006A2E7F" w:rsidRPr="000C0637" w:rsidRDefault="006A2E7F" w:rsidP="006A2E7F">
            <w:pPr>
              <w:spacing w:after="0" w:line="240" w:lineRule="auto"/>
              <w:jc w:val="center"/>
              <w:rPr>
                <w:rFonts w:ascii="Times New Roman" w:hAnsi="Times New Roman"/>
                <w:sz w:val="24"/>
                <w:szCs w:val="24"/>
              </w:rPr>
            </w:pPr>
          </w:p>
        </w:tc>
        <w:tc>
          <w:tcPr>
            <w:tcW w:w="806" w:type="pct"/>
            <w:tcBorders>
              <w:top w:val="single" w:sz="4" w:space="0" w:color="auto"/>
              <w:left w:val="single" w:sz="4" w:space="0" w:color="auto"/>
              <w:bottom w:val="single" w:sz="4" w:space="0" w:color="auto"/>
              <w:right w:val="single" w:sz="4" w:space="0" w:color="auto"/>
            </w:tcBorders>
            <w:vAlign w:val="center"/>
          </w:tcPr>
          <w:p w14:paraId="09C5E1E5" w14:textId="77777777" w:rsidR="006A2E7F" w:rsidRPr="000C0637" w:rsidRDefault="006A2E7F" w:rsidP="006A2E7F">
            <w:pPr>
              <w:spacing w:after="0" w:line="240" w:lineRule="auto"/>
              <w:jc w:val="center"/>
              <w:rPr>
                <w:rFonts w:ascii="Times New Roman" w:hAnsi="Times New Roman"/>
                <w:sz w:val="24"/>
                <w:szCs w:val="24"/>
              </w:rPr>
            </w:pPr>
          </w:p>
        </w:tc>
        <w:tc>
          <w:tcPr>
            <w:tcW w:w="854" w:type="pct"/>
            <w:tcBorders>
              <w:top w:val="single" w:sz="4" w:space="0" w:color="auto"/>
              <w:left w:val="single" w:sz="4" w:space="0" w:color="auto"/>
              <w:bottom w:val="single" w:sz="4" w:space="0" w:color="auto"/>
              <w:right w:val="single" w:sz="4" w:space="0" w:color="auto"/>
            </w:tcBorders>
            <w:vAlign w:val="center"/>
          </w:tcPr>
          <w:p w14:paraId="0777BC93" w14:textId="77777777" w:rsidR="006A2E7F" w:rsidRPr="000C0637" w:rsidRDefault="006A2E7F" w:rsidP="006A2E7F">
            <w:pPr>
              <w:spacing w:after="0" w:line="240" w:lineRule="auto"/>
              <w:jc w:val="center"/>
              <w:rPr>
                <w:rFonts w:ascii="Times New Roman" w:hAnsi="Times New Roman"/>
                <w:sz w:val="24"/>
                <w:szCs w:val="24"/>
              </w:rPr>
            </w:pPr>
          </w:p>
        </w:tc>
        <w:tc>
          <w:tcPr>
            <w:tcW w:w="884" w:type="pct"/>
            <w:tcBorders>
              <w:top w:val="single" w:sz="4" w:space="0" w:color="auto"/>
              <w:left w:val="single" w:sz="4" w:space="0" w:color="auto"/>
              <w:bottom w:val="single" w:sz="4" w:space="0" w:color="auto"/>
              <w:right w:val="single" w:sz="4" w:space="0" w:color="auto"/>
            </w:tcBorders>
            <w:vAlign w:val="center"/>
          </w:tcPr>
          <w:p w14:paraId="178A1797" w14:textId="77777777" w:rsidR="006A2E7F" w:rsidRPr="000C0637" w:rsidRDefault="006A2E7F" w:rsidP="006A2E7F">
            <w:pPr>
              <w:spacing w:after="0" w:line="240" w:lineRule="auto"/>
              <w:jc w:val="center"/>
              <w:rPr>
                <w:rFonts w:ascii="Times New Roman" w:hAnsi="Times New Roman"/>
                <w:sz w:val="24"/>
                <w:szCs w:val="24"/>
              </w:rPr>
            </w:pPr>
          </w:p>
        </w:tc>
      </w:tr>
      <w:tr w:rsidR="006A2E7F" w:rsidRPr="000C0637" w14:paraId="3C89CEB7" w14:textId="77777777" w:rsidTr="00944CB1">
        <w:trPr>
          <w:jc w:val="center"/>
        </w:trPr>
        <w:tc>
          <w:tcPr>
            <w:tcW w:w="1738" w:type="pct"/>
            <w:vAlign w:val="bottom"/>
          </w:tcPr>
          <w:p w14:paraId="4E7D4E27" w14:textId="77777777" w:rsidR="006A2E7F" w:rsidRPr="000C0637" w:rsidRDefault="006A2E7F" w:rsidP="006A2E7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отдельной квартире</w:t>
            </w:r>
          </w:p>
        </w:tc>
        <w:tc>
          <w:tcPr>
            <w:tcW w:w="718" w:type="pct"/>
            <w:tcBorders>
              <w:top w:val="single" w:sz="4" w:space="0" w:color="auto"/>
              <w:left w:val="single" w:sz="4" w:space="0" w:color="auto"/>
              <w:bottom w:val="single" w:sz="4" w:space="0" w:color="auto"/>
              <w:right w:val="single" w:sz="4" w:space="0" w:color="auto"/>
            </w:tcBorders>
            <w:vAlign w:val="center"/>
          </w:tcPr>
          <w:p w14:paraId="382C0336" w14:textId="77777777" w:rsidR="006A2E7F" w:rsidRPr="000C0637" w:rsidRDefault="008246DF" w:rsidP="006A2E7F">
            <w:pPr>
              <w:spacing w:after="0" w:line="240" w:lineRule="auto"/>
              <w:jc w:val="center"/>
              <w:rPr>
                <w:rFonts w:ascii="Times New Roman" w:hAnsi="Times New Roman"/>
                <w:sz w:val="24"/>
                <w:szCs w:val="24"/>
              </w:rPr>
            </w:pPr>
            <w:r>
              <w:rPr>
                <w:rFonts w:ascii="Times New Roman" w:hAnsi="Times New Roman"/>
                <w:sz w:val="24"/>
                <w:szCs w:val="24"/>
              </w:rPr>
              <w:t>70,5</w:t>
            </w:r>
          </w:p>
        </w:tc>
        <w:tc>
          <w:tcPr>
            <w:tcW w:w="806" w:type="pct"/>
            <w:tcBorders>
              <w:top w:val="single" w:sz="4" w:space="0" w:color="auto"/>
              <w:left w:val="single" w:sz="4" w:space="0" w:color="auto"/>
              <w:bottom w:val="single" w:sz="4" w:space="0" w:color="auto"/>
              <w:right w:val="single" w:sz="4" w:space="0" w:color="auto"/>
            </w:tcBorders>
            <w:vAlign w:val="center"/>
          </w:tcPr>
          <w:p w14:paraId="0B840EAE" w14:textId="77777777" w:rsidR="006A2E7F" w:rsidRPr="000C0637" w:rsidRDefault="008246DF" w:rsidP="006A2E7F">
            <w:pPr>
              <w:spacing w:after="0" w:line="240" w:lineRule="auto"/>
              <w:jc w:val="center"/>
              <w:rPr>
                <w:rFonts w:ascii="Times New Roman" w:hAnsi="Times New Roman"/>
                <w:sz w:val="24"/>
                <w:szCs w:val="24"/>
              </w:rPr>
            </w:pPr>
            <w:r>
              <w:rPr>
                <w:rFonts w:ascii="Times New Roman" w:hAnsi="Times New Roman"/>
                <w:sz w:val="24"/>
                <w:szCs w:val="24"/>
              </w:rPr>
              <w:t>69,2</w:t>
            </w:r>
          </w:p>
        </w:tc>
        <w:tc>
          <w:tcPr>
            <w:tcW w:w="854" w:type="pct"/>
            <w:tcBorders>
              <w:top w:val="single" w:sz="4" w:space="0" w:color="auto"/>
              <w:left w:val="single" w:sz="4" w:space="0" w:color="auto"/>
              <w:bottom w:val="single" w:sz="4" w:space="0" w:color="auto"/>
              <w:right w:val="single" w:sz="4" w:space="0" w:color="auto"/>
            </w:tcBorders>
            <w:vAlign w:val="center"/>
          </w:tcPr>
          <w:p w14:paraId="6433D771" w14:textId="77777777" w:rsidR="006A2E7F" w:rsidRPr="000C0637" w:rsidRDefault="008246DF" w:rsidP="006A2E7F">
            <w:pPr>
              <w:spacing w:after="0" w:line="240" w:lineRule="auto"/>
              <w:jc w:val="center"/>
              <w:rPr>
                <w:rFonts w:ascii="Times New Roman" w:hAnsi="Times New Roman"/>
                <w:sz w:val="24"/>
                <w:szCs w:val="24"/>
              </w:rPr>
            </w:pPr>
            <w:r>
              <w:rPr>
                <w:rFonts w:ascii="Times New Roman" w:hAnsi="Times New Roman"/>
                <w:sz w:val="24"/>
                <w:szCs w:val="24"/>
              </w:rPr>
              <w:t>83,1</w:t>
            </w:r>
          </w:p>
        </w:tc>
        <w:tc>
          <w:tcPr>
            <w:tcW w:w="884" w:type="pct"/>
            <w:tcBorders>
              <w:top w:val="single" w:sz="4" w:space="0" w:color="auto"/>
              <w:left w:val="single" w:sz="4" w:space="0" w:color="auto"/>
              <w:bottom w:val="single" w:sz="4" w:space="0" w:color="auto"/>
              <w:right w:val="single" w:sz="4" w:space="0" w:color="auto"/>
            </w:tcBorders>
            <w:vAlign w:val="center"/>
          </w:tcPr>
          <w:p w14:paraId="33DCE6AA" w14:textId="77777777" w:rsidR="006A2E7F" w:rsidRPr="000C0637" w:rsidRDefault="008246DF" w:rsidP="006A2E7F">
            <w:pPr>
              <w:spacing w:after="0" w:line="240" w:lineRule="auto"/>
              <w:jc w:val="center"/>
              <w:rPr>
                <w:rFonts w:ascii="Times New Roman" w:hAnsi="Times New Roman"/>
                <w:sz w:val="24"/>
                <w:szCs w:val="24"/>
              </w:rPr>
            </w:pPr>
            <w:r>
              <w:rPr>
                <w:rFonts w:ascii="Times New Roman" w:hAnsi="Times New Roman"/>
                <w:sz w:val="24"/>
                <w:szCs w:val="24"/>
              </w:rPr>
              <w:t>25,0</w:t>
            </w:r>
          </w:p>
        </w:tc>
      </w:tr>
      <w:tr w:rsidR="006A2E7F" w:rsidRPr="000C0637" w14:paraId="14A63944" w14:textId="77777777" w:rsidTr="00944CB1">
        <w:trPr>
          <w:jc w:val="center"/>
        </w:trPr>
        <w:tc>
          <w:tcPr>
            <w:tcW w:w="1738" w:type="pct"/>
            <w:vAlign w:val="bottom"/>
          </w:tcPr>
          <w:p w14:paraId="0DCC1CD9" w14:textId="77777777" w:rsidR="006A2E7F" w:rsidRPr="000C0637" w:rsidRDefault="006A2E7F" w:rsidP="006A2E7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коммунальной квартире</w:t>
            </w:r>
          </w:p>
        </w:tc>
        <w:tc>
          <w:tcPr>
            <w:tcW w:w="718" w:type="pct"/>
            <w:tcBorders>
              <w:top w:val="single" w:sz="4" w:space="0" w:color="auto"/>
            </w:tcBorders>
            <w:vAlign w:val="center"/>
          </w:tcPr>
          <w:p w14:paraId="6A7B668E" w14:textId="77777777" w:rsidR="006A2E7F" w:rsidRPr="000C0637" w:rsidRDefault="008246DF" w:rsidP="006A2E7F">
            <w:pPr>
              <w:spacing w:after="0" w:line="240" w:lineRule="auto"/>
              <w:jc w:val="center"/>
              <w:rPr>
                <w:rFonts w:ascii="Times New Roman" w:hAnsi="Times New Roman"/>
                <w:sz w:val="24"/>
                <w:szCs w:val="24"/>
              </w:rPr>
            </w:pPr>
            <w:r>
              <w:rPr>
                <w:rFonts w:ascii="Times New Roman" w:hAnsi="Times New Roman"/>
                <w:sz w:val="24"/>
                <w:szCs w:val="24"/>
              </w:rPr>
              <w:t>0,5</w:t>
            </w:r>
          </w:p>
        </w:tc>
        <w:tc>
          <w:tcPr>
            <w:tcW w:w="806" w:type="pct"/>
            <w:tcBorders>
              <w:top w:val="single" w:sz="4" w:space="0" w:color="auto"/>
            </w:tcBorders>
            <w:vAlign w:val="center"/>
          </w:tcPr>
          <w:p w14:paraId="1B1A387E" w14:textId="77777777" w:rsidR="006A2E7F" w:rsidRPr="000C0637" w:rsidRDefault="008246DF" w:rsidP="006A2E7F">
            <w:pPr>
              <w:spacing w:after="0" w:line="240" w:lineRule="auto"/>
              <w:jc w:val="center"/>
              <w:rPr>
                <w:rFonts w:ascii="Times New Roman" w:hAnsi="Times New Roman"/>
                <w:sz w:val="24"/>
                <w:szCs w:val="24"/>
              </w:rPr>
            </w:pPr>
            <w:r>
              <w:rPr>
                <w:rFonts w:ascii="Times New Roman" w:hAnsi="Times New Roman"/>
                <w:sz w:val="24"/>
                <w:szCs w:val="24"/>
              </w:rPr>
              <w:t>0,3</w:t>
            </w:r>
          </w:p>
        </w:tc>
        <w:tc>
          <w:tcPr>
            <w:tcW w:w="854" w:type="pct"/>
            <w:tcBorders>
              <w:top w:val="single" w:sz="4" w:space="0" w:color="auto"/>
            </w:tcBorders>
            <w:vAlign w:val="center"/>
          </w:tcPr>
          <w:p w14:paraId="57F60A9F" w14:textId="77777777" w:rsidR="006A2E7F" w:rsidRPr="000C0637" w:rsidRDefault="008246DF" w:rsidP="006A2E7F">
            <w:pPr>
              <w:spacing w:after="0" w:line="240" w:lineRule="auto"/>
              <w:jc w:val="center"/>
              <w:rPr>
                <w:rFonts w:ascii="Times New Roman" w:hAnsi="Times New Roman"/>
                <w:sz w:val="24"/>
                <w:szCs w:val="24"/>
              </w:rPr>
            </w:pPr>
            <w:r>
              <w:rPr>
                <w:rFonts w:ascii="Times New Roman" w:hAnsi="Times New Roman"/>
                <w:sz w:val="24"/>
                <w:szCs w:val="24"/>
              </w:rPr>
              <w:t>0,4</w:t>
            </w:r>
          </w:p>
        </w:tc>
        <w:tc>
          <w:tcPr>
            <w:tcW w:w="884" w:type="pct"/>
            <w:tcBorders>
              <w:top w:val="single" w:sz="4" w:space="0" w:color="auto"/>
            </w:tcBorders>
            <w:vAlign w:val="center"/>
          </w:tcPr>
          <w:p w14:paraId="15024F3B" w14:textId="77777777" w:rsidR="006A2E7F" w:rsidRPr="000C0637" w:rsidRDefault="008246DF" w:rsidP="006A2E7F">
            <w:pPr>
              <w:spacing w:after="0" w:line="240" w:lineRule="auto"/>
              <w:jc w:val="center"/>
              <w:rPr>
                <w:rFonts w:ascii="Times New Roman" w:hAnsi="Times New Roman"/>
                <w:sz w:val="24"/>
                <w:szCs w:val="24"/>
              </w:rPr>
            </w:pPr>
            <w:r>
              <w:rPr>
                <w:rFonts w:ascii="Times New Roman" w:hAnsi="Times New Roman"/>
                <w:sz w:val="24"/>
                <w:szCs w:val="24"/>
              </w:rPr>
              <w:t>0,1</w:t>
            </w:r>
          </w:p>
        </w:tc>
      </w:tr>
      <w:tr w:rsidR="006A2E7F" w:rsidRPr="000C0637" w14:paraId="4962DA6C" w14:textId="77777777" w:rsidTr="00944CB1">
        <w:trPr>
          <w:jc w:val="center"/>
        </w:trPr>
        <w:tc>
          <w:tcPr>
            <w:tcW w:w="1738" w:type="pct"/>
            <w:vAlign w:val="bottom"/>
          </w:tcPr>
          <w:p w14:paraId="47EFAD56" w14:textId="77777777" w:rsidR="006A2E7F" w:rsidRPr="000C0637" w:rsidRDefault="006A2E7F" w:rsidP="006A2E7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в общежитии </w:t>
            </w:r>
          </w:p>
        </w:tc>
        <w:tc>
          <w:tcPr>
            <w:tcW w:w="718" w:type="pct"/>
            <w:vAlign w:val="center"/>
          </w:tcPr>
          <w:p w14:paraId="50D98898" w14:textId="77777777" w:rsidR="006A2E7F" w:rsidRPr="000C0637" w:rsidRDefault="008246DF" w:rsidP="006A2E7F">
            <w:pPr>
              <w:spacing w:after="0" w:line="240" w:lineRule="auto"/>
              <w:jc w:val="center"/>
              <w:rPr>
                <w:rFonts w:ascii="Times New Roman" w:hAnsi="Times New Roman"/>
                <w:sz w:val="24"/>
                <w:szCs w:val="24"/>
              </w:rPr>
            </w:pPr>
            <w:r>
              <w:rPr>
                <w:rFonts w:ascii="Times New Roman" w:hAnsi="Times New Roman"/>
                <w:sz w:val="24"/>
                <w:szCs w:val="24"/>
              </w:rPr>
              <w:t>0,1</w:t>
            </w:r>
          </w:p>
        </w:tc>
        <w:tc>
          <w:tcPr>
            <w:tcW w:w="806" w:type="pct"/>
            <w:vAlign w:val="center"/>
          </w:tcPr>
          <w:p w14:paraId="445A0C94" w14:textId="77777777" w:rsidR="006A2E7F" w:rsidRPr="000C0637" w:rsidRDefault="008246DF" w:rsidP="006A2E7F">
            <w:pPr>
              <w:spacing w:after="0" w:line="240" w:lineRule="auto"/>
              <w:jc w:val="center"/>
              <w:rPr>
                <w:rFonts w:ascii="Times New Roman" w:hAnsi="Times New Roman"/>
                <w:sz w:val="24"/>
                <w:szCs w:val="24"/>
              </w:rPr>
            </w:pPr>
            <w:r>
              <w:rPr>
                <w:rFonts w:ascii="Times New Roman" w:hAnsi="Times New Roman"/>
                <w:sz w:val="24"/>
                <w:szCs w:val="24"/>
              </w:rPr>
              <w:t>0,1</w:t>
            </w:r>
          </w:p>
        </w:tc>
        <w:tc>
          <w:tcPr>
            <w:tcW w:w="854" w:type="pct"/>
            <w:vAlign w:val="center"/>
          </w:tcPr>
          <w:p w14:paraId="4DA1700B" w14:textId="77777777" w:rsidR="006A2E7F" w:rsidRPr="000C0637" w:rsidRDefault="008246DF" w:rsidP="006A2E7F">
            <w:pPr>
              <w:spacing w:after="0" w:line="240" w:lineRule="auto"/>
              <w:jc w:val="center"/>
              <w:rPr>
                <w:rFonts w:ascii="Times New Roman" w:hAnsi="Times New Roman"/>
                <w:sz w:val="24"/>
                <w:szCs w:val="24"/>
              </w:rPr>
            </w:pPr>
            <w:r>
              <w:rPr>
                <w:rFonts w:ascii="Times New Roman" w:hAnsi="Times New Roman"/>
                <w:sz w:val="24"/>
                <w:szCs w:val="24"/>
              </w:rPr>
              <w:t>0,1</w:t>
            </w:r>
          </w:p>
        </w:tc>
        <w:tc>
          <w:tcPr>
            <w:tcW w:w="884" w:type="pct"/>
            <w:vAlign w:val="center"/>
          </w:tcPr>
          <w:p w14:paraId="45542D83" w14:textId="77777777" w:rsidR="006A2E7F" w:rsidRPr="000C0637" w:rsidRDefault="008246DF" w:rsidP="006A2E7F">
            <w:pPr>
              <w:spacing w:after="0" w:line="240" w:lineRule="auto"/>
              <w:jc w:val="center"/>
              <w:rPr>
                <w:rFonts w:ascii="Times New Roman" w:hAnsi="Times New Roman"/>
                <w:sz w:val="24"/>
                <w:szCs w:val="24"/>
              </w:rPr>
            </w:pPr>
            <w:r>
              <w:rPr>
                <w:rFonts w:ascii="Times New Roman" w:hAnsi="Times New Roman"/>
                <w:sz w:val="24"/>
                <w:szCs w:val="24"/>
              </w:rPr>
              <w:t>0,0</w:t>
            </w:r>
          </w:p>
        </w:tc>
      </w:tr>
      <w:tr w:rsidR="006A2E7F" w:rsidRPr="000C0637" w14:paraId="220183A0" w14:textId="77777777" w:rsidTr="00944CB1">
        <w:trPr>
          <w:jc w:val="center"/>
        </w:trPr>
        <w:tc>
          <w:tcPr>
            <w:tcW w:w="1738" w:type="pct"/>
            <w:vAlign w:val="bottom"/>
          </w:tcPr>
          <w:p w14:paraId="70624749" w14:textId="77777777" w:rsidR="006A2E7F" w:rsidRPr="000C0637" w:rsidRDefault="006A2E7F" w:rsidP="006A2E7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отдельном доме, в части дома</w:t>
            </w:r>
          </w:p>
        </w:tc>
        <w:tc>
          <w:tcPr>
            <w:tcW w:w="718" w:type="pct"/>
            <w:vAlign w:val="center"/>
          </w:tcPr>
          <w:p w14:paraId="0555A47F" w14:textId="77777777" w:rsidR="006A2E7F" w:rsidRPr="000C0637" w:rsidRDefault="008246DF" w:rsidP="006A2E7F">
            <w:pPr>
              <w:spacing w:after="0" w:line="240" w:lineRule="auto"/>
              <w:jc w:val="center"/>
              <w:rPr>
                <w:rFonts w:ascii="Times New Roman" w:hAnsi="Times New Roman"/>
                <w:sz w:val="24"/>
                <w:szCs w:val="24"/>
              </w:rPr>
            </w:pPr>
            <w:r>
              <w:rPr>
                <w:rFonts w:ascii="Times New Roman" w:hAnsi="Times New Roman"/>
                <w:sz w:val="24"/>
                <w:szCs w:val="24"/>
              </w:rPr>
              <w:t>28,9</w:t>
            </w:r>
          </w:p>
        </w:tc>
        <w:tc>
          <w:tcPr>
            <w:tcW w:w="806" w:type="pct"/>
            <w:vAlign w:val="center"/>
          </w:tcPr>
          <w:p w14:paraId="4194620C" w14:textId="77777777" w:rsidR="006A2E7F" w:rsidRPr="000C0637" w:rsidRDefault="008246DF" w:rsidP="006A2E7F">
            <w:pPr>
              <w:spacing w:after="0" w:line="240" w:lineRule="auto"/>
              <w:jc w:val="center"/>
              <w:rPr>
                <w:rFonts w:ascii="Times New Roman" w:hAnsi="Times New Roman"/>
                <w:sz w:val="24"/>
                <w:szCs w:val="24"/>
              </w:rPr>
            </w:pPr>
            <w:r>
              <w:rPr>
                <w:rFonts w:ascii="Times New Roman" w:hAnsi="Times New Roman"/>
                <w:sz w:val="24"/>
                <w:szCs w:val="24"/>
              </w:rPr>
              <w:t>30,4</w:t>
            </w:r>
          </w:p>
        </w:tc>
        <w:tc>
          <w:tcPr>
            <w:tcW w:w="854" w:type="pct"/>
            <w:vAlign w:val="center"/>
          </w:tcPr>
          <w:p w14:paraId="74822BE4" w14:textId="77777777" w:rsidR="006A2E7F" w:rsidRPr="000C0637" w:rsidRDefault="008246DF" w:rsidP="006A2E7F">
            <w:pPr>
              <w:spacing w:after="0" w:line="240" w:lineRule="auto"/>
              <w:jc w:val="center"/>
              <w:rPr>
                <w:rFonts w:ascii="Times New Roman" w:hAnsi="Times New Roman"/>
                <w:sz w:val="24"/>
                <w:szCs w:val="24"/>
              </w:rPr>
            </w:pPr>
            <w:r>
              <w:rPr>
                <w:rFonts w:ascii="Times New Roman" w:hAnsi="Times New Roman"/>
                <w:sz w:val="24"/>
                <w:szCs w:val="24"/>
              </w:rPr>
              <w:t>16,4</w:t>
            </w:r>
          </w:p>
        </w:tc>
        <w:tc>
          <w:tcPr>
            <w:tcW w:w="884" w:type="pct"/>
            <w:vAlign w:val="center"/>
          </w:tcPr>
          <w:p w14:paraId="40DAB93F" w14:textId="77777777" w:rsidR="006A2E7F" w:rsidRPr="000C0637" w:rsidRDefault="008246DF" w:rsidP="006A2E7F">
            <w:pPr>
              <w:spacing w:after="0" w:line="240" w:lineRule="auto"/>
              <w:jc w:val="center"/>
              <w:rPr>
                <w:rFonts w:ascii="Times New Roman" w:hAnsi="Times New Roman"/>
                <w:sz w:val="24"/>
                <w:szCs w:val="24"/>
              </w:rPr>
            </w:pPr>
            <w:r>
              <w:rPr>
                <w:rFonts w:ascii="Times New Roman" w:hAnsi="Times New Roman"/>
                <w:sz w:val="24"/>
                <w:szCs w:val="24"/>
              </w:rPr>
              <w:t>74,9</w:t>
            </w:r>
          </w:p>
        </w:tc>
      </w:tr>
      <w:tr w:rsidR="006A2E7F" w:rsidRPr="000C0637" w14:paraId="4998A971" w14:textId="77777777" w:rsidTr="00944CB1">
        <w:trPr>
          <w:jc w:val="center"/>
        </w:trPr>
        <w:tc>
          <w:tcPr>
            <w:tcW w:w="1738" w:type="pct"/>
            <w:vAlign w:val="bottom"/>
          </w:tcPr>
          <w:p w14:paraId="2F234D85" w14:textId="77777777" w:rsidR="006A2E7F" w:rsidRPr="000C0637" w:rsidRDefault="006A2E7F" w:rsidP="006A2E7F">
            <w:pPr>
              <w:spacing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в другом жилище</w:t>
            </w:r>
          </w:p>
        </w:tc>
        <w:tc>
          <w:tcPr>
            <w:tcW w:w="718" w:type="pct"/>
            <w:tcBorders>
              <w:bottom w:val="single" w:sz="4" w:space="0" w:color="auto"/>
            </w:tcBorders>
            <w:vAlign w:val="center"/>
          </w:tcPr>
          <w:p w14:paraId="7861AA39" w14:textId="77777777" w:rsidR="006A2E7F" w:rsidRPr="000C0637" w:rsidRDefault="008246DF" w:rsidP="006A2E7F">
            <w:pPr>
              <w:spacing w:after="0" w:line="240" w:lineRule="auto"/>
              <w:jc w:val="center"/>
              <w:rPr>
                <w:rFonts w:ascii="Times New Roman" w:hAnsi="Times New Roman"/>
                <w:sz w:val="24"/>
                <w:szCs w:val="24"/>
              </w:rPr>
            </w:pPr>
            <w:r>
              <w:rPr>
                <w:rFonts w:ascii="Times New Roman" w:hAnsi="Times New Roman"/>
                <w:sz w:val="24"/>
                <w:szCs w:val="24"/>
              </w:rPr>
              <w:t>0,0</w:t>
            </w:r>
          </w:p>
        </w:tc>
        <w:tc>
          <w:tcPr>
            <w:tcW w:w="806" w:type="pct"/>
            <w:tcBorders>
              <w:bottom w:val="single" w:sz="4" w:space="0" w:color="auto"/>
            </w:tcBorders>
            <w:vAlign w:val="center"/>
          </w:tcPr>
          <w:p w14:paraId="55CC54C7" w14:textId="77777777" w:rsidR="006A2E7F" w:rsidRPr="000C0637" w:rsidRDefault="008246DF" w:rsidP="006A2E7F">
            <w:pPr>
              <w:spacing w:after="0" w:line="240" w:lineRule="auto"/>
              <w:jc w:val="center"/>
              <w:rPr>
                <w:rFonts w:ascii="Times New Roman" w:hAnsi="Times New Roman"/>
                <w:sz w:val="24"/>
                <w:szCs w:val="24"/>
              </w:rPr>
            </w:pPr>
            <w:r>
              <w:rPr>
                <w:rFonts w:ascii="Times New Roman" w:hAnsi="Times New Roman"/>
                <w:sz w:val="24"/>
                <w:szCs w:val="24"/>
              </w:rPr>
              <w:t>0,0</w:t>
            </w:r>
          </w:p>
        </w:tc>
        <w:tc>
          <w:tcPr>
            <w:tcW w:w="854" w:type="pct"/>
            <w:tcBorders>
              <w:bottom w:val="single" w:sz="4" w:space="0" w:color="auto"/>
            </w:tcBorders>
            <w:vAlign w:val="center"/>
          </w:tcPr>
          <w:p w14:paraId="1ADD2ABD" w14:textId="77777777" w:rsidR="006A2E7F" w:rsidRPr="000C0637" w:rsidRDefault="008246DF" w:rsidP="006A2E7F">
            <w:pPr>
              <w:spacing w:after="0" w:line="240" w:lineRule="auto"/>
              <w:jc w:val="center"/>
              <w:rPr>
                <w:rFonts w:ascii="Times New Roman" w:hAnsi="Times New Roman"/>
                <w:sz w:val="24"/>
                <w:szCs w:val="24"/>
              </w:rPr>
            </w:pPr>
            <w:r>
              <w:rPr>
                <w:rFonts w:ascii="Times New Roman" w:hAnsi="Times New Roman"/>
                <w:sz w:val="24"/>
                <w:szCs w:val="24"/>
              </w:rPr>
              <w:t>0,0</w:t>
            </w:r>
          </w:p>
        </w:tc>
        <w:tc>
          <w:tcPr>
            <w:tcW w:w="884" w:type="pct"/>
            <w:tcBorders>
              <w:bottom w:val="single" w:sz="4" w:space="0" w:color="auto"/>
            </w:tcBorders>
            <w:vAlign w:val="center"/>
          </w:tcPr>
          <w:p w14:paraId="31BD6356" w14:textId="77777777" w:rsidR="006A2E7F" w:rsidRPr="000C0637" w:rsidRDefault="008246DF" w:rsidP="006A2E7F">
            <w:pPr>
              <w:spacing w:after="0" w:line="240" w:lineRule="auto"/>
              <w:jc w:val="center"/>
              <w:rPr>
                <w:rFonts w:ascii="Times New Roman" w:hAnsi="Times New Roman"/>
                <w:sz w:val="24"/>
                <w:szCs w:val="24"/>
              </w:rPr>
            </w:pPr>
            <w:r>
              <w:rPr>
                <w:rFonts w:ascii="Times New Roman" w:hAnsi="Times New Roman"/>
                <w:sz w:val="24"/>
                <w:szCs w:val="24"/>
              </w:rPr>
              <w:t>0,0</w:t>
            </w:r>
          </w:p>
        </w:tc>
      </w:tr>
      <w:tr w:rsidR="006A2E7F" w:rsidRPr="000C0637" w14:paraId="49CFCBAD" w14:textId="77777777" w:rsidTr="00944CB1">
        <w:trPr>
          <w:jc w:val="center"/>
        </w:trPr>
        <w:tc>
          <w:tcPr>
            <w:tcW w:w="1738" w:type="pct"/>
            <w:vAlign w:val="bottom"/>
          </w:tcPr>
          <w:p w14:paraId="00A92DAB" w14:textId="77777777" w:rsidR="006A2E7F" w:rsidRPr="000C0637" w:rsidRDefault="006A2E7F" w:rsidP="006A2E7F">
            <w:pPr>
              <w:spacing w:after="0" w:line="240" w:lineRule="auto"/>
              <w:ind w:left="170"/>
              <w:rPr>
                <w:rFonts w:ascii="Times New Roman" w:eastAsia="Times New Roman" w:hAnsi="Times New Roman" w:cs="Times New Roman"/>
                <w:i/>
                <w:sz w:val="24"/>
                <w:szCs w:val="24"/>
                <w:lang w:eastAsia="ru-RU"/>
              </w:rPr>
            </w:pPr>
            <w:r w:rsidRPr="000C0637">
              <w:rPr>
                <w:rFonts w:ascii="Times New Roman" w:eastAsia="Times New Roman" w:hAnsi="Times New Roman" w:cs="Times New Roman"/>
                <w:i/>
                <w:sz w:val="24"/>
                <w:szCs w:val="24"/>
                <w:lang w:eastAsia="ru-RU"/>
              </w:rPr>
              <w:t>по числу занимаемых комнат</w:t>
            </w:r>
          </w:p>
        </w:tc>
        <w:tc>
          <w:tcPr>
            <w:tcW w:w="718" w:type="pct"/>
            <w:tcBorders>
              <w:top w:val="single" w:sz="4" w:space="0" w:color="auto"/>
              <w:left w:val="single" w:sz="4" w:space="0" w:color="auto"/>
              <w:bottom w:val="single" w:sz="4" w:space="0" w:color="auto"/>
              <w:right w:val="single" w:sz="4" w:space="0" w:color="auto"/>
            </w:tcBorders>
            <w:vAlign w:val="center"/>
          </w:tcPr>
          <w:p w14:paraId="7549B5E3" w14:textId="77777777" w:rsidR="006A2E7F" w:rsidRPr="000C0637" w:rsidRDefault="006A2E7F" w:rsidP="006A2E7F">
            <w:pPr>
              <w:spacing w:after="0" w:line="240" w:lineRule="auto"/>
              <w:jc w:val="center"/>
              <w:rPr>
                <w:rFonts w:ascii="Times New Roman" w:hAnsi="Times New Roman"/>
                <w:sz w:val="24"/>
                <w:szCs w:val="24"/>
              </w:rPr>
            </w:pPr>
          </w:p>
        </w:tc>
        <w:tc>
          <w:tcPr>
            <w:tcW w:w="806" w:type="pct"/>
            <w:tcBorders>
              <w:top w:val="single" w:sz="4" w:space="0" w:color="auto"/>
              <w:left w:val="single" w:sz="4" w:space="0" w:color="auto"/>
              <w:bottom w:val="single" w:sz="4" w:space="0" w:color="auto"/>
              <w:right w:val="single" w:sz="4" w:space="0" w:color="auto"/>
            </w:tcBorders>
            <w:vAlign w:val="center"/>
          </w:tcPr>
          <w:p w14:paraId="27D3AB38" w14:textId="77777777" w:rsidR="006A2E7F" w:rsidRPr="000C0637" w:rsidRDefault="006A2E7F" w:rsidP="006A2E7F">
            <w:pPr>
              <w:spacing w:after="0" w:line="240" w:lineRule="auto"/>
              <w:jc w:val="center"/>
              <w:rPr>
                <w:rFonts w:ascii="Times New Roman" w:hAnsi="Times New Roman"/>
                <w:sz w:val="24"/>
                <w:szCs w:val="24"/>
              </w:rPr>
            </w:pPr>
          </w:p>
        </w:tc>
        <w:tc>
          <w:tcPr>
            <w:tcW w:w="854" w:type="pct"/>
            <w:tcBorders>
              <w:top w:val="single" w:sz="4" w:space="0" w:color="auto"/>
              <w:left w:val="single" w:sz="4" w:space="0" w:color="auto"/>
              <w:bottom w:val="single" w:sz="4" w:space="0" w:color="auto"/>
              <w:right w:val="single" w:sz="4" w:space="0" w:color="auto"/>
            </w:tcBorders>
            <w:vAlign w:val="center"/>
          </w:tcPr>
          <w:p w14:paraId="7E5C5BFB" w14:textId="77777777" w:rsidR="006A2E7F" w:rsidRPr="000C0637" w:rsidRDefault="006A2E7F" w:rsidP="006A2E7F">
            <w:pPr>
              <w:spacing w:after="0" w:line="240" w:lineRule="auto"/>
              <w:jc w:val="center"/>
              <w:rPr>
                <w:rFonts w:ascii="Times New Roman" w:hAnsi="Times New Roman"/>
                <w:sz w:val="24"/>
                <w:szCs w:val="24"/>
              </w:rPr>
            </w:pPr>
          </w:p>
        </w:tc>
        <w:tc>
          <w:tcPr>
            <w:tcW w:w="884" w:type="pct"/>
            <w:tcBorders>
              <w:top w:val="single" w:sz="4" w:space="0" w:color="auto"/>
              <w:left w:val="single" w:sz="4" w:space="0" w:color="auto"/>
              <w:bottom w:val="single" w:sz="4" w:space="0" w:color="auto"/>
              <w:right w:val="single" w:sz="4" w:space="0" w:color="auto"/>
            </w:tcBorders>
            <w:vAlign w:val="center"/>
          </w:tcPr>
          <w:p w14:paraId="3841A7D1" w14:textId="77777777" w:rsidR="006A2E7F" w:rsidRPr="000C0637" w:rsidRDefault="006A2E7F" w:rsidP="006A2E7F">
            <w:pPr>
              <w:spacing w:after="0" w:line="240" w:lineRule="auto"/>
              <w:jc w:val="center"/>
              <w:rPr>
                <w:rFonts w:ascii="Times New Roman" w:hAnsi="Times New Roman"/>
                <w:sz w:val="24"/>
                <w:szCs w:val="24"/>
              </w:rPr>
            </w:pPr>
          </w:p>
        </w:tc>
      </w:tr>
      <w:tr w:rsidR="006A2E7F" w:rsidRPr="000C0637" w14:paraId="5B760A65" w14:textId="77777777" w:rsidTr="00944CB1">
        <w:trPr>
          <w:jc w:val="center"/>
        </w:trPr>
        <w:tc>
          <w:tcPr>
            <w:tcW w:w="1738" w:type="pct"/>
            <w:vAlign w:val="bottom"/>
          </w:tcPr>
          <w:p w14:paraId="43C58204" w14:textId="77777777" w:rsidR="006A2E7F" w:rsidRPr="000C0637" w:rsidRDefault="006A2E7F" w:rsidP="006A2E7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1 комнату </w:t>
            </w:r>
          </w:p>
        </w:tc>
        <w:tc>
          <w:tcPr>
            <w:tcW w:w="718" w:type="pct"/>
            <w:tcBorders>
              <w:top w:val="single" w:sz="4" w:space="0" w:color="auto"/>
              <w:left w:val="single" w:sz="4" w:space="0" w:color="auto"/>
              <w:bottom w:val="single" w:sz="4" w:space="0" w:color="auto"/>
              <w:right w:val="single" w:sz="4" w:space="0" w:color="auto"/>
            </w:tcBorders>
            <w:vAlign w:val="center"/>
          </w:tcPr>
          <w:p w14:paraId="0B19A8F3" w14:textId="77777777" w:rsidR="006A2E7F" w:rsidRPr="000C0637" w:rsidRDefault="008246DF" w:rsidP="006A2E7F">
            <w:pPr>
              <w:spacing w:after="0" w:line="240" w:lineRule="auto"/>
              <w:jc w:val="center"/>
              <w:rPr>
                <w:rFonts w:ascii="Times New Roman" w:hAnsi="Times New Roman"/>
                <w:sz w:val="24"/>
                <w:szCs w:val="24"/>
              </w:rPr>
            </w:pPr>
            <w:r>
              <w:rPr>
                <w:rFonts w:ascii="Times New Roman" w:hAnsi="Times New Roman"/>
                <w:sz w:val="24"/>
                <w:szCs w:val="24"/>
              </w:rPr>
              <w:t>15,0</w:t>
            </w:r>
          </w:p>
        </w:tc>
        <w:tc>
          <w:tcPr>
            <w:tcW w:w="806" w:type="pct"/>
            <w:tcBorders>
              <w:top w:val="single" w:sz="4" w:space="0" w:color="auto"/>
              <w:left w:val="single" w:sz="4" w:space="0" w:color="auto"/>
              <w:bottom w:val="single" w:sz="4" w:space="0" w:color="auto"/>
              <w:right w:val="single" w:sz="4" w:space="0" w:color="auto"/>
            </w:tcBorders>
            <w:vAlign w:val="center"/>
          </w:tcPr>
          <w:p w14:paraId="72732F6B" w14:textId="77777777" w:rsidR="006A2E7F" w:rsidRPr="000C0637" w:rsidRDefault="008246DF" w:rsidP="006A2E7F">
            <w:pPr>
              <w:spacing w:after="0" w:line="240" w:lineRule="auto"/>
              <w:jc w:val="center"/>
              <w:rPr>
                <w:rFonts w:ascii="Times New Roman" w:hAnsi="Times New Roman"/>
                <w:sz w:val="24"/>
                <w:szCs w:val="24"/>
              </w:rPr>
            </w:pPr>
            <w:r>
              <w:rPr>
                <w:rFonts w:ascii="Times New Roman" w:hAnsi="Times New Roman"/>
                <w:sz w:val="24"/>
                <w:szCs w:val="24"/>
              </w:rPr>
              <w:t>9,1</w:t>
            </w:r>
          </w:p>
        </w:tc>
        <w:tc>
          <w:tcPr>
            <w:tcW w:w="854" w:type="pct"/>
            <w:tcBorders>
              <w:top w:val="single" w:sz="4" w:space="0" w:color="auto"/>
              <w:left w:val="single" w:sz="4" w:space="0" w:color="auto"/>
              <w:bottom w:val="single" w:sz="4" w:space="0" w:color="auto"/>
              <w:right w:val="single" w:sz="4" w:space="0" w:color="auto"/>
            </w:tcBorders>
            <w:vAlign w:val="center"/>
          </w:tcPr>
          <w:p w14:paraId="47EEFE1A" w14:textId="77777777" w:rsidR="006A2E7F" w:rsidRPr="000C0637" w:rsidRDefault="008246DF" w:rsidP="006A2E7F">
            <w:pPr>
              <w:spacing w:after="0" w:line="240" w:lineRule="auto"/>
              <w:jc w:val="center"/>
              <w:rPr>
                <w:rFonts w:ascii="Times New Roman" w:hAnsi="Times New Roman"/>
                <w:sz w:val="24"/>
                <w:szCs w:val="24"/>
              </w:rPr>
            </w:pPr>
            <w:r>
              <w:rPr>
                <w:rFonts w:ascii="Times New Roman" w:hAnsi="Times New Roman"/>
                <w:sz w:val="24"/>
                <w:szCs w:val="24"/>
              </w:rPr>
              <w:t>10,4</w:t>
            </w:r>
          </w:p>
        </w:tc>
        <w:tc>
          <w:tcPr>
            <w:tcW w:w="884" w:type="pct"/>
            <w:tcBorders>
              <w:top w:val="single" w:sz="4" w:space="0" w:color="auto"/>
              <w:left w:val="single" w:sz="4" w:space="0" w:color="auto"/>
              <w:bottom w:val="single" w:sz="4" w:space="0" w:color="auto"/>
              <w:right w:val="single" w:sz="4" w:space="0" w:color="auto"/>
            </w:tcBorders>
            <w:vAlign w:val="center"/>
          </w:tcPr>
          <w:p w14:paraId="36970A61" w14:textId="77777777" w:rsidR="006A2E7F" w:rsidRPr="000C0637" w:rsidRDefault="008246DF" w:rsidP="006A2E7F">
            <w:pPr>
              <w:spacing w:after="0" w:line="240" w:lineRule="auto"/>
              <w:jc w:val="center"/>
              <w:rPr>
                <w:rFonts w:ascii="Times New Roman" w:hAnsi="Times New Roman"/>
                <w:sz w:val="24"/>
                <w:szCs w:val="24"/>
              </w:rPr>
            </w:pPr>
            <w:r>
              <w:rPr>
                <w:rFonts w:ascii="Times New Roman" w:hAnsi="Times New Roman"/>
                <w:sz w:val="24"/>
                <w:szCs w:val="24"/>
              </w:rPr>
              <w:t>5,1</w:t>
            </w:r>
          </w:p>
        </w:tc>
      </w:tr>
      <w:tr w:rsidR="006A2E7F" w:rsidRPr="000C0637" w14:paraId="349F122B" w14:textId="77777777" w:rsidTr="00944CB1">
        <w:trPr>
          <w:jc w:val="center"/>
        </w:trPr>
        <w:tc>
          <w:tcPr>
            <w:tcW w:w="1738" w:type="pct"/>
            <w:vAlign w:val="bottom"/>
          </w:tcPr>
          <w:p w14:paraId="5A79B8C1" w14:textId="77777777" w:rsidR="006A2E7F" w:rsidRPr="000C0637" w:rsidRDefault="006A2E7F" w:rsidP="006A2E7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2 комнаты</w:t>
            </w:r>
          </w:p>
        </w:tc>
        <w:tc>
          <w:tcPr>
            <w:tcW w:w="718" w:type="pct"/>
            <w:tcBorders>
              <w:top w:val="single" w:sz="4" w:space="0" w:color="auto"/>
            </w:tcBorders>
            <w:vAlign w:val="center"/>
          </w:tcPr>
          <w:p w14:paraId="0AB1ABD1" w14:textId="77777777" w:rsidR="006A2E7F" w:rsidRPr="000C0637" w:rsidRDefault="008246DF" w:rsidP="006A2E7F">
            <w:pPr>
              <w:spacing w:after="0" w:line="240" w:lineRule="auto"/>
              <w:jc w:val="center"/>
              <w:rPr>
                <w:rFonts w:ascii="Times New Roman" w:hAnsi="Times New Roman"/>
                <w:sz w:val="24"/>
                <w:szCs w:val="24"/>
              </w:rPr>
            </w:pPr>
            <w:r>
              <w:rPr>
                <w:rFonts w:ascii="Times New Roman" w:hAnsi="Times New Roman"/>
                <w:sz w:val="24"/>
                <w:szCs w:val="24"/>
              </w:rPr>
              <w:t>37,6</w:t>
            </w:r>
          </w:p>
        </w:tc>
        <w:tc>
          <w:tcPr>
            <w:tcW w:w="806" w:type="pct"/>
            <w:tcBorders>
              <w:top w:val="single" w:sz="4" w:space="0" w:color="auto"/>
            </w:tcBorders>
            <w:vAlign w:val="center"/>
          </w:tcPr>
          <w:p w14:paraId="5D193363" w14:textId="77777777" w:rsidR="006A2E7F" w:rsidRPr="000C0637" w:rsidRDefault="008246DF" w:rsidP="006A2E7F">
            <w:pPr>
              <w:spacing w:after="0" w:line="240" w:lineRule="auto"/>
              <w:jc w:val="center"/>
              <w:rPr>
                <w:rFonts w:ascii="Times New Roman" w:hAnsi="Times New Roman"/>
                <w:sz w:val="24"/>
                <w:szCs w:val="24"/>
              </w:rPr>
            </w:pPr>
            <w:r>
              <w:rPr>
                <w:rFonts w:ascii="Times New Roman" w:hAnsi="Times New Roman"/>
                <w:sz w:val="24"/>
                <w:szCs w:val="24"/>
              </w:rPr>
              <w:t>32,8</w:t>
            </w:r>
          </w:p>
        </w:tc>
        <w:tc>
          <w:tcPr>
            <w:tcW w:w="854" w:type="pct"/>
            <w:tcBorders>
              <w:top w:val="single" w:sz="4" w:space="0" w:color="auto"/>
            </w:tcBorders>
            <w:vAlign w:val="center"/>
          </w:tcPr>
          <w:p w14:paraId="2AD53B3A" w14:textId="77777777" w:rsidR="006A2E7F" w:rsidRPr="000C0637" w:rsidRDefault="008246DF" w:rsidP="006A2E7F">
            <w:pPr>
              <w:spacing w:after="0" w:line="240" w:lineRule="auto"/>
              <w:jc w:val="center"/>
              <w:rPr>
                <w:rFonts w:ascii="Times New Roman" w:hAnsi="Times New Roman"/>
                <w:sz w:val="24"/>
                <w:szCs w:val="24"/>
              </w:rPr>
            </w:pPr>
            <w:r>
              <w:rPr>
                <w:rFonts w:ascii="Times New Roman" w:hAnsi="Times New Roman"/>
                <w:sz w:val="24"/>
                <w:szCs w:val="24"/>
              </w:rPr>
              <w:t>36,7</w:t>
            </w:r>
          </w:p>
        </w:tc>
        <w:tc>
          <w:tcPr>
            <w:tcW w:w="884" w:type="pct"/>
            <w:tcBorders>
              <w:top w:val="single" w:sz="4" w:space="0" w:color="auto"/>
            </w:tcBorders>
            <w:vAlign w:val="center"/>
          </w:tcPr>
          <w:p w14:paraId="514DE6E0" w14:textId="77777777" w:rsidR="006A2E7F" w:rsidRPr="000C0637" w:rsidRDefault="008246DF" w:rsidP="006A2E7F">
            <w:pPr>
              <w:spacing w:after="0" w:line="240" w:lineRule="auto"/>
              <w:jc w:val="center"/>
              <w:rPr>
                <w:rFonts w:ascii="Times New Roman" w:hAnsi="Times New Roman"/>
                <w:sz w:val="24"/>
                <w:szCs w:val="24"/>
              </w:rPr>
            </w:pPr>
            <w:r>
              <w:rPr>
                <w:rFonts w:ascii="Times New Roman" w:hAnsi="Times New Roman"/>
                <w:sz w:val="24"/>
                <w:szCs w:val="24"/>
              </w:rPr>
              <w:t>20,0</w:t>
            </w:r>
          </w:p>
        </w:tc>
      </w:tr>
      <w:tr w:rsidR="006A2E7F" w:rsidRPr="000C0637" w14:paraId="4FAD6BF1" w14:textId="77777777" w:rsidTr="00944CB1">
        <w:trPr>
          <w:jc w:val="center"/>
        </w:trPr>
        <w:tc>
          <w:tcPr>
            <w:tcW w:w="1738" w:type="pct"/>
            <w:vAlign w:val="bottom"/>
          </w:tcPr>
          <w:p w14:paraId="5588B996" w14:textId="77777777" w:rsidR="006A2E7F" w:rsidRPr="000C0637" w:rsidRDefault="006A2E7F" w:rsidP="006A2E7F">
            <w:pPr>
              <w:spacing w:before="80" w:after="0" w:line="240" w:lineRule="auto"/>
              <w:ind w:left="284"/>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3 и более комнат</w:t>
            </w:r>
          </w:p>
        </w:tc>
        <w:tc>
          <w:tcPr>
            <w:tcW w:w="718" w:type="pct"/>
            <w:vAlign w:val="center"/>
          </w:tcPr>
          <w:p w14:paraId="794491A5" w14:textId="77777777" w:rsidR="006A2E7F" w:rsidRPr="000C0637" w:rsidRDefault="008246DF" w:rsidP="006A2E7F">
            <w:pPr>
              <w:spacing w:after="0" w:line="240" w:lineRule="auto"/>
              <w:jc w:val="center"/>
              <w:rPr>
                <w:rFonts w:ascii="Times New Roman" w:hAnsi="Times New Roman"/>
                <w:sz w:val="24"/>
                <w:szCs w:val="24"/>
              </w:rPr>
            </w:pPr>
            <w:r>
              <w:rPr>
                <w:rFonts w:ascii="Times New Roman" w:hAnsi="Times New Roman"/>
                <w:sz w:val="24"/>
                <w:szCs w:val="24"/>
              </w:rPr>
              <w:t>47,4</w:t>
            </w:r>
          </w:p>
        </w:tc>
        <w:tc>
          <w:tcPr>
            <w:tcW w:w="806" w:type="pct"/>
            <w:vAlign w:val="center"/>
          </w:tcPr>
          <w:p w14:paraId="56946532" w14:textId="77777777" w:rsidR="006A2E7F" w:rsidRPr="000C0637" w:rsidRDefault="008246DF" w:rsidP="006A2E7F">
            <w:pPr>
              <w:spacing w:after="0" w:line="240" w:lineRule="auto"/>
              <w:jc w:val="center"/>
              <w:rPr>
                <w:rFonts w:ascii="Times New Roman" w:hAnsi="Times New Roman"/>
                <w:sz w:val="24"/>
                <w:szCs w:val="24"/>
              </w:rPr>
            </w:pPr>
            <w:r>
              <w:rPr>
                <w:rFonts w:ascii="Times New Roman" w:hAnsi="Times New Roman"/>
                <w:sz w:val="24"/>
                <w:szCs w:val="24"/>
              </w:rPr>
              <w:t>58,1</w:t>
            </w:r>
          </w:p>
        </w:tc>
        <w:tc>
          <w:tcPr>
            <w:tcW w:w="854" w:type="pct"/>
            <w:vAlign w:val="center"/>
          </w:tcPr>
          <w:p w14:paraId="15FB0B8E" w14:textId="77777777" w:rsidR="006A2E7F" w:rsidRPr="000C0637" w:rsidRDefault="008246DF" w:rsidP="006A2E7F">
            <w:pPr>
              <w:spacing w:after="0" w:line="240" w:lineRule="auto"/>
              <w:jc w:val="center"/>
              <w:rPr>
                <w:rFonts w:ascii="Times New Roman" w:hAnsi="Times New Roman"/>
                <w:sz w:val="24"/>
                <w:szCs w:val="24"/>
              </w:rPr>
            </w:pPr>
            <w:r>
              <w:rPr>
                <w:rFonts w:ascii="Times New Roman" w:hAnsi="Times New Roman"/>
                <w:sz w:val="24"/>
                <w:szCs w:val="24"/>
              </w:rPr>
              <w:t>52,9</w:t>
            </w:r>
          </w:p>
        </w:tc>
        <w:tc>
          <w:tcPr>
            <w:tcW w:w="884" w:type="pct"/>
            <w:vAlign w:val="center"/>
          </w:tcPr>
          <w:p w14:paraId="5AF6F8A3" w14:textId="77777777" w:rsidR="006A2E7F" w:rsidRPr="000C0637" w:rsidRDefault="008246DF" w:rsidP="006A2E7F">
            <w:pPr>
              <w:spacing w:after="0" w:line="240" w:lineRule="auto"/>
              <w:jc w:val="center"/>
              <w:rPr>
                <w:rFonts w:ascii="Times New Roman" w:hAnsi="Times New Roman"/>
                <w:sz w:val="24"/>
                <w:szCs w:val="24"/>
              </w:rPr>
            </w:pPr>
            <w:r>
              <w:rPr>
                <w:rFonts w:ascii="Times New Roman" w:hAnsi="Times New Roman"/>
                <w:sz w:val="24"/>
                <w:szCs w:val="24"/>
              </w:rPr>
              <w:t>74,9</w:t>
            </w:r>
          </w:p>
        </w:tc>
      </w:tr>
      <w:tr w:rsidR="006A2E7F" w:rsidRPr="00BD5A90" w14:paraId="0D33CB2F" w14:textId="77777777" w:rsidTr="005C516F">
        <w:trPr>
          <w:trHeight w:val="309"/>
          <w:jc w:val="center"/>
        </w:trPr>
        <w:tc>
          <w:tcPr>
            <w:tcW w:w="1738" w:type="pct"/>
            <w:vAlign w:val="bottom"/>
          </w:tcPr>
          <w:p w14:paraId="4B12D783" w14:textId="77777777" w:rsidR="006A2E7F" w:rsidRPr="000C0637" w:rsidRDefault="006A2E7F" w:rsidP="006A2E7F">
            <w:pPr>
              <w:spacing w:before="80" w:after="0" w:line="240" w:lineRule="auto"/>
              <w:rPr>
                <w:rFonts w:ascii="Times New Roman" w:eastAsia="Times New Roman" w:hAnsi="Times New Roman" w:cs="Times New Roman"/>
                <w:sz w:val="24"/>
                <w:szCs w:val="24"/>
                <w:lang w:eastAsia="ru-RU"/>
              </w:rPr>
            </w:pPr>
            <w:r w:rsidRPr="000C0637">
              <w:rPr>
                <w:rFonts w:ascii="Times New Roman" w:eastAsia="Times New Roman" w:hAnsi="Times New Roman" w:cs="Times New Roman"/>
                <w:sz w:val="24"/>
                <w:szCs w:val="24"/>
                <w:lang w:eastAsia="ru-RU"/>
              </w:rPr>
              <w:t xml:space="preserve">Размер общей площади жилого помещения, в среднем на одного проживающего, кв. м </w:t>
            </w:r>
          </w:p>
        </w:tc>
        <w:tc>
          <w:tcPr>
            <w:tcW w:w="718" w:type="pct"/>
            <w:vAlign w:val="center"/>
          </w:tcPr>
          <w:p w14:paraId="2CE2AA10" w14:textId="77777777" w:rsidR="006A2E7F" w:rsidRPr="000C0637" w:rsidRDefault="008246DF" w:rsidP="006A2E7F">
            <w:pPr>
              <w:spacing w:after="0" w:line="240" w:lineRule="auto"/>
              <w:jc w:val="center"/>
              <w:rPr>
                <w:rFonts w:ascii="Times New Roman" w:hAnsi="Times New Roman"/>
                <w:sz w:val="24"/>
                <w:szCs w:val="24"/>
              </w:rPr>
            </w:pPr>
            <w:r>
              <w:rPr>
                <w:rFonts w:ascii="Times New Roman" w:hAnsi="Times New Roman"/>
                <w:sz w:val="24"/>
                <w:szCs w:val="24"/>
              </w:rPr>
              <w:t>23,4</w:t>
            </w:r>
          </w:p>
        </w:tc>
        <w:tc>
          <w:tcPr>
            <w:tcW w:w="806" w:type="pct"/>
            <w:vAlign w:val="center"/>
          </w:tcPr>
          <w:p w14:paraId="0EA2E9C1" w14:textId="77777777" w:rsidR="006A2E7F" w:rsidRPr="000C0637" w:rsidRDefault="008246DF" w:rsidP="006A2E7F">
            <w:pPr>
              <w:spacing w:after="0" w:line="240" w:lineRule="auto"/>
              <w:jc w:val="center"/>
              <w:rPr>
                <w:rFonts w:ascii="Times New Roman" w:hAnsi="Times New Roman"/>
                <w:sz w:val="24"/>
                <w:szCs w:val="24"/>
              </w:rPr>
            </w:pPr>
            <w:r>
              <w:rPr>
                <w:rFonts w:ascii="Times New Roman" w:hAnsi="Times New Roman"/>
                <w:sz w:val="24"/>
                <w:szCs w:val="24"/>
              </w:rPr>
              <w:t>17,1</w:t>
            </w:r>
          </w:p>
        </w:tc>
        <w:tc>
          <w:tcPr>
            <w:tcW w:w="854" w:type="pct"/>
            <w:vAlign w:val="center"/>
          </w:tcPr>
          <w:p w14:paraId="1AEE3E99" w14:textId="77777777" w:rsidR="006A2E7F" w:rsidRPr="000C0637" w:rsidRDefault="008246DF" w:rsidP="006A2E7F">
            <w:pPr>
              <w:spacing w:after="0" w:line="240" w:lineRule="auto"/>
              <w:jc w:val="center"/>
              <w:rPr>
                <w:rFonts w:ascii="Times New Roman" w:hAnsi="Times New Roman"/>
                <w:sz w:val="24"/>
                <w:szCs w:val="24"/>
              </w:rPr>
            </w:pPr>
            <w:r>
              <w:rPr>
                <w:rFonts w:ascii="Times New Roman" w:hAnsi="Times New Roman"/>
                <w:sz w:val="24"/>
                <w:szCs w:val="24"/>
              </w:rPr>
              <w:t>16,6</w:t>
            </w:r>
          </w:p>
        </w:tc>
        <w:tc>
          <w:tcPr>
            <w:tcW w:w="884" w:type="pct"/>
            <w:vAlign w:val="center"/>
          </w:tcPr>
          <w:p w14:paraId="40E430E0" w14:textId="77777777" w:rsidR="006A2E7F" w:rsidRPr="000C0637" w:rsidRDefault="008246DF" w:rsidP="006A2E7F">
            <w:pPr>
              <w:spacing w:after="0" w:line="240" w:lineRule="auto"/>
              <w:jc w:val="center"/>
              <w:rPr>
                <w:rFonts w:ascii="Times New Roman" w:hAnsi="Times New Roman"/>
                <w:sz w:val="24"/>
                <w:szCs w:val="24"/>
              </w:rPr>
            </w:pPr>
            <w:r>
              <w:rPr>
                <w:rFonts w:ascii="Times New Roman" w:hAnsi="Times New Roman"/>
                <w:sz w:val="24"/>
                <w:szCs w:val="24"/>
              </w:rPr>
              <w:t>18,6</w:t>
            </w:r>
          </w:p>
        </w:tc>
      </w:tr>
    </w:tbl>
    <w:p w14:paraId="17067A55" w14:textId="77777777" w:rsidR="00D03A4F" w:rsidRDefault="00D03A4F" w:rsidP="00D03A4F">
      <w:pPr>
        <w:spacing w:after="0" w:line="240" w:lineRule="auto"/>
        <w:rPr>
          <w:rFonts w:ascii="Times New Roman" w:eastAsia="Times New Roman" w:hAnsi="Times New Roman" w:cs="Times New Roman"/>
          <w:sz w:val="26"/>
          <w:szCs w:val="26"/>
          <w:highlight w:val="yellow"/>
          <w:lang w:eastAsia="ru-RU"/>
        </w:rPr>
      </w:pPr>
    </w:p>
    <w:p w14:paraId="6E8FC174" w14:textId="77777777" w:rsidR="004827FD" w:rsidRPr="00BD5A90" w:rsidRDefault="004827FD" w:rsidP="00D03A4F">
      <w:pPr>
        <w:spacing w:after="0" w:line="240" w:lineRule="auto"/>
        <w:rPr>
          <w:rFonts w:ascii="Times New Roman" w:eastAsia="Times New Roman" w:hAnsi="Times New Roman" w:cs="Times New Roman"/>
          <w:sz w:val="26"/>
          <w:szCs w:val="26"/>
          <w:highlight w:val="yellow"/>
          <w:lang w:eastAsia="ru-RU"/>
        </w:rPr>
      </w:pPr>
    </w:p>
    <w:p w14:paraId="1BFD7049" w14:textId="77777777" w:rsidR="00D03A4F" w:rsidRPr="00A073CB" w:rsidRDefault="00D03A4F" w:rsidP="00D03A4F">
      <w:pPr>
        <w:spacing w:after="0" w:line="240" w:lineRule="auto"/>
        <w:jc w:val="right"/>
        <w:rPr>
          <w:rFonts w:ascii="Times New Roman" w:eastAsia="Times New Roman" w:hAnsi="Times New Roman" w:cs="Times New Roman"/>
          <w:sz w:val="26"/>
          <w:szCs w:val="26"/>
          <w:lang w:eastAsia="ru-RU"/>
        </w:rPr>
      </w:pPr>
      <w:r w:rsidRPr="00A073CB">
        <w:rPr>
          <w:rFonts w:ascii="Times New Roman" w:eastAsia="Times New Roman" w:hAnsi="Times New Roman" w:cs="Times New Roman"/>
          <w:sz w:val="26"/>
          <w:szCs w:val="26"/>
          <w:lang w:eastAsia="ru-RU"/>
        </w:rPr>
        <w:t>Таблица 5</w:t>
      </w:r>
      <w:r w:rsidR="008737BB">
        <w:rPr>
          <w:rFonts w:ascii="Times New Roman" w:eastAsia="Times New Roman" w:hAnsi="Times New Roman" w:cs="Times New Roman"/>
          <w:sz w:val="26"/>
          <w:szCs w:val="26"/>
          <w:lang w:eastAsia="ru-RU"/>
        </w:rPr>
        <w:t>5</w:t>
      </w:r>
    </w:p>
    <w:p w14:paraId="64C95EC8" w14:textId="77777777" w:rsidR="00D03A4F" w:rsidRPr="00A073CB" w:rsidRDefault="00D03A4F" w:rsidP="00D03A4F">
      <w:pPr>
        <w:spacing w:after="0" w:line="240" w:lineRule="auto"/>
        <w:jc w:val="right"/>
        <w:rPr>
          <w:rFonts w:ascii="Times New Roman" w:eastAsia="Times New Roman" w:hAnsi="Times New Roman" w:cs="Times New Roman"/>
          <w:sz w:val="26"/>
          <w:szCs w:val="26"/>
          <w:lang w:eastAsia="ru-RU"/>
        </w:rPr>
      </w:pPr>
    </w:p>
    <w:p w14:paraId="1C461CB0" w14:textId="77777777" w:rsidR="00D03A4F" w:rsidRPr="00A073CB"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A073CB">
        <w:rPr>
          <w:rFonts w:ascii="Times New Roman" w:eastAsia="Times New Roman" w:hAnsi="Times New Roman" w:cs="Times New Roman"/>
          <w:b/>
          <w:bCs/>
          <w:sz w:val="26"/>
          <w:szCs w:val="26"/>
          <w:lang w:eastAsia="ru-RU"/>
        </w:rPr>
        <w:t>Потребление продуктов питания в домашних хозяйствах с детьми в возрасте до 16 лет</w:t>
      </w:r>
    </w:p>
    <w:p w14:paraId="48C75358" w14:textId="77777777" w:rsidR="00D03A4F" w:rsidRPr="00A073CB" w:rsidRDefault="00D03A4F" w:rsidP="00D03A4F">
      <w:pPr>
        <w:spacing w:after="0" w:line="240" w:lineRule="auto"/>
        <w:ind w:firstLine="567"/>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(по данным выборочного обследования бюджетов домашних хозяйств; в среднем на потребителя в год, кг)</w:t>
      </w:r>
    </w:p>
    <w:p w14:paraId="21D534C8" w14:textId="77777777" w:rsidR="00D03A4F" w:rsidRPr="00A073CB"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3973"/>
        <w:gridCol w:w="2098"/>
        <w:gridCol w:w="2080"/>
        <w:gridCol w:w="2045"/>
      </w:tblGrid>
      <w:tr w:rsidR="00D03A4F" w:rsidRPr="00A073CB" w14:paraId="2AE28264" w14:textId="77777777" w:rsidTr="00944CB1">
        <w:trPr>
          <w:cantSplit/>
          <w:trHeight w:val="455"/>
          <w:tblHeader/>
          <w:jc w:val="center"/>
        </w:trPr>
        <w:tc>
          <w:tcPr>
            <w:tcW w:w="1948" w:type="pct"/>
            <w:vMerge w:val="restart"/>
          </w:tcPr>
          <w:p w14:paraId="0B56A005" w14:textId="77777777" w:rsidR="00D03A4F" w:rsidRPr="00A073CB" w:rsidRDefault="00D03A4F" w:rsidP="00D03A4F">
            <w:pPr>
              <w:spacing w:before="120" w:after="0" w:line="240" w:lineRule="auto"/>
              <w:rPr>
                <w:rFonts w:ascii="Times New Roman" w:eastAsia="Times New Roman" w:hAnsi="Times New Roman" w:cs="Times New Roman"/>
                <w:sz w:val="24"/>
                <w:szCs w:val="24"/>
                <w:lang w:eastAsia="ru-RU"/>
              </w:rPr>
            </w:pPr>
          </w:p>
        </w:tc>
        <w:tc>
          <w:tcPr>
            <w:tcW w:w="3052" w:type="pct"/>
            <w:gridSpan w:val="3"/>
            <w:vAlign w:val="center"/>
          </w:tcPr>
          <w:p w14:paraId="15459E9C" w14:textId="77777777" w:rsidR="00D03A4F" w:rsidRPr="00A073CB" w:rsidRDefault="00D03A4F" w:rsidP="00D03A4F">
            <w:pPr>
              <w:spacing w:after="0" w:line="240" w:lineRule="auto"/>
              <w:ind w:left="-57" w:right="-57"/>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Домохозяйства, имеющие детей в возрасте до 16 лет</w:t>
            </w:r>
          </w:p>
        </w:tc>
      </w:tr>
      <w:tr w:rsidR="00D03A4F" w:rsidRPr="00A073CB" w14:paraId="2A8571B6" w14:textId="77777777" w:rsidTr="00944CB1">
        <w:trPr>
          <w:cantSplit/>
          <w:trHeight w:val="419"/>
          <w:tblHeader/>
          <w:jc w:val="center"/>
        </w:trPr>
        <w:tc>
          <w:tcPr>
            <w:tcW w:w="1948" w:type="pct"/>
            <w:vMerge/>
          </w:tcPr>
          <w:p w14:paraId="4EB10740" w14:textId="77777777" w:rsidR="00D03A4F" w:rsidRPr="00A073CB" w:rsidRDefault="00D03A4F" w:rsidP="00D03A4F">
            <w:pPr>
              <w:spacing w:before="120" w:after="0" w:line="240" w:lineRule="auto"/>
              <w:rPr>
                <w:rFonts w:ascii="Times New Roman" w:eastAsia="Times New Roman" w:hAnsi="Times New Roman" w:cs="Times New Roman"/>
                <w:sz w:val="24"/>
                <w:szCs w:val="24"/>
                <w:lang w:eastAsia="ru-RU"/>
              </w:rPr>
            </w:pPr>
          </w:p>
        </w:tc>
        <w:tc>
          <w:tcPr>
            <w:tcW w:w="1029" w:type="pct"/>
            <w:vAlign w:val="center"/>
          </w:tcPr>
          <w:p w14:paraId="787002AE" w14:textId="77777777" w:rsidR="00D03A4F" w:rsidRPr="00A073CB" w:rsidRDefault="00D03A4F" w:rsidP="00D03A4F">
            <w:pPr>
              <w:spacing w:after="0" w:line="240" w:lineRule="auto"/>
              <w:ind w:left="-57" w:right="-57"/>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одного ребенка</w:t>
            </w:r>
          </w:p>
        </w:tc>
        <w:tc>
          <w:tcPr>
            <w:tcW w:w="1020" w:type="pct"/>
            <w:vAlign w:val="center"/>
          </w:tcPr>
          <w:p w14:paraId="7C23C4A5" w14:textId="77777777" w:rsidR="00D03A4F" w:rsidRPr="00A073CB" w:rsidRDefault="00D03A4F" w:rsidP="00D03A4F">
            <w:pPr>
              <w:spacing w:after="0" w:line="240" w:lineRule="auto"/>
              <w:ind w:left="-57" w:right="-57"/>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двух детей</w:t>
            </w:r>
          </w:p>
        </w:tc>
        <w:tc>
          <w:tcPr>
            <w:tcW w:w="1003" w:type="pct"/>
            <w:vAlign w:val="center"/>
          </w:tcPr>
          <w:p w14:paraId="033BDC77" w14:textId="77777777" w:rsidR="00D03A4F" w:rsidRPr="00A073CB" w:rsidRDefault="00D03A4F" w:rsidP="00D03A4F">
            <w:pPr>
              <w:spacing w:after="0" w:line="240" w:lineRule="auto"/>
              <w:ind w:left="-57" w:right="-57"/>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трех и более детей</w:t>
            </w:r>
          </w:p>
        </w:tc>
      </w:tr>
      <w:tr w:rsidR="00D03A4F" w:rsidRPr="00A073CB" w14:paraId="20D15B5E" w14:textId="77777777" w:rsidTr="00944CB1">
        <w:trPr>
          <w:cantSplit/>
          <w:jc w:val="center"/>
        </w:trPr>
        <w:tc>
          <w:tcPr>
            <w:tcW w:w="5000" w:type="pct"/>
            <w:gridSpan w:val="4"/>
            <w:vAlign w:val="center"/>
          </w:tcPr>
          <w:p w14:paraId="5C681A9A" w14:textId="77777777" w:rsidR="00D03A4F" w:rsidRPr="00A073CB" w:rsidRDefault="00CB0323" w:rsidP="00A073CB">
            <w:pPr>
              <w:spacing w:before="40" w:after="0" w:line="240" w:lineRule="auto"/>
              <w:ind w:right="-142"/>
              <w:jc w:val="center"/>
              <w:rPr>
                <w:rFonts w:ascii="Times New Roman" w:eastAsia="Times New Roman" w:hAnsi="Times New Roman" w:cs="Times New Roman"/>
                <w:b/>
                <w:sz w:val="24"/>
                <w:szCs w:val="24"/>
                <w:lang w:eastAsia="ru-RU"/>
              </w:rPr>
            </w:pPr>
            <w:r w:rsidRPr="00A073CB">
              <w:rPr>
                <w:rFonts w:ascii="Times New Roman" w:eastAsia="Times New Roman" w:hAnsi="Times New Roman" w:cs="Times New Roman"/>
                <w:b/>
                <w:sz w:val="24"/>
                <w:szCs w:val="24"/>
                <w:lang w:eastAsia="ru-RU"/>
              </w:rPr>
              <w:t>2019 г.</w:t>
            </w:r>
          </w:p>
        </w:tc>
      </w:tr>
      <w:tr w:rsidR="00CB0323" w:rsidRPr="00A073CB" w14:paraId="7595D29B" w14:textId="77777777" w:rsidTr="00944CB1">
        <w:trPr>
          <w:cantSplit/>
          <w:jc w:val="center"/>
        </w:trPr>
        <w:tc>
          <w:tcPr>
            <w:tcW w:w="1948" w:type="pct"/>
            <w:vAlign w:val="center"/>
          </w:tcPr>
          <w:p w14:paraId="1AAADB53" w14:textId="77777777" w:rsidR="00CB0323" w:rsidRPr="00A073CB" w:rsidRDefault="00CB0323" w:rsidP="00CB0323">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Хлеб и хлебные продукты</w:t>
            </w:r>
          </w:p>
        </w:tc>
        <w:tc>
          <w:tcPr>
            <w:tcW w:w="1029" w:type="pct"/>
            <w:vAlign w:val="bottom"/>
          </w:tcPr>
          <w:p w14:paraId="27ACBF25" w14:textId="77777777" w:rsidR="00CB0323" w:rsidRPr="00A073CB" w:rsidRDefault="00CB0323" w:rsidP="00CB0323">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83,3</w:t>
            </w:r>
          </w:p>
        </w:tc>
        <w:tc>
          <w:tcPr>
            <w:tcW w:w="1020" w:type="pct"/>
            <w:vAlign w:val="bottom"/>
          </w:tcPr>
          <w:p w14:paraId="292DA690" w14:textId="77777777" w:rsidR="00CB0323" w:rsidRPr="00A073CB" w:rsidRDefault="00CB0323" w:rsidP="00CB0323">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75,9</w:t>
            </w:r>
          </w:p>
        </w:tc>
        <w:tc>
          <w:tcPr>
            <w:tcW w:w="1003" w:type="pct"/>
            <w:vAlign w:val="bottom"/>
          </w:tcPr>
          <w:p w14:paraId="575BBE06" w14:textId="77777777" w:rsidR="00CB0323" w:rsidRPr="00A073CB" w:rsidRDefault="00CB0323" w:rsidP="00CB0323">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88,9</w:t>
            </w:r>
          </w:p>
        </w:tc>
      </w:tr>
      <w:tr w:rsidR="00CB0323" w:rsidRPr="00A073CB" w14:paraId="1C903C11" w14:textId="77777777" w:rsidTr="00944CB1">
        <w:trPr>
          <w:cantSplit/>
          <w:jc w:val="center"/>
        </w:trPr>
        <w:tc>
          <w:tcPr>
            <w:tcW w:w="1948" w:type="pct"/>
            <w:vAlign w:val="center"/>
          </w:tcPr>
          <w:p w14:paraId="0FBD69C4" w14:textId="77777777" w:rsidR="00CB0323" w:rsidRPr="00A073CB" w:rsidRDefault="00CB0323" w:rsidP="00CB0323">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Картофель</w:t>
            </w:r>
          </w:p>
        </w:tc>
        <w:tc>
          <w:tcPr>
            <w:tcW w:w="1029" w:type="pct"/>
            <w:vAlign w:val="bottom"/>
          </w:tcPr>
          <w:p w14:paraId="708F3594" w14:textId="77777777" w:rsidR="00CB0323" w:rsidRPr="00A073CB" w:rsidRDefault="00CB0323" w:rsidP="00CB0323">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52,3</w:t>
            </w:r>
          </w:p>
        </w:tc>
        <w:tc>
          <w:tcPr>
            <w:tcW w:w="1020" w:type="pct"/>
            <w:vAlign w:val="bottom"/>
          </w:tcPr>
          <w:p w14:paraId="41076381" w14:textId="77777777" w:rsidR="00CB0323" w:rsidRPr="00A073CB" w:rsidRDefault="00CB0323" w:rsidP="00CB0323">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47,3</w:t>
            </w:r>
          </w:p>
        </w:tc>
        <w:tc>
          <w:tcPr>
            <w:tcW w:w="1003" w:type="pct"/>
            <w:vAlign w:val="bottom"/>
          </w:tcPr>
          <w:p w14:paraId="538125B4" w14:textId="77777777" w:rsidR="00CB0323" w:rsidRPr="00A073CB" w:rsidRDefault="00CB0323" w:rsidP="00CB0323">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53,2</w:t>
            </w:r>
          </w:p>
        </w:tc>
      </w:tr>
      <w:tr w:rsidR="00CB0323" w:rsidRPr="00A073CB" w14:paraId="4895F6D3" w14:textId="77777777" w:rsidTr="00944CB1">
        <w:trPr>
          <w:cantSplit/>
          <w:jc w:val="center"/>
        </w:trPr>
        <w:tc>
          <w:tcPr>
            <w:tcW w:w="1948" w:type="pct"/>
            <w:vAlign w:val="center"/>
          </w:tcPr>
          <w:p w14:paraId="645D0B33" w14:textId="77777777" w:rsidR="00CB0323" w:rsidRPr="00A073CB" w:rsidRDefault="00CB0323" w:rsidP="00CB0323">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Овощи и бахчевые</w:t>
            </w:r>
          </w:p>
        </w:tc>
        <w:tc>
          <w:tcPr>
            <w:tcW w:w="1029" w:type="pct"/>
            <w:vAlign w:val="bottom"/>
          </w:tcPr>
          <w:p w14:paraId="6083981D" w14:textId="77777777" w:rsidR="00CB0323" w:rsidRPr="00A073CB" w:rsidRDefault="00CB0323" w:rsidP="00CB0323">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91,7</w:t>
            </w:r>
          </w:p>
        </w:tc>
        <w:tc>
          <w:tcPr>
            <w:tcW w:w="1020" w:type="pct"/>
            <w:vAlign w:val="bottom"/>
          </w:tcPr>
          <w:p w14:paraId="336F82A7" w14:textId="77777777" w:rsidR="00CB0323" w:rsidRPr="00A073CB" w:rsidRDefault="00CB0323" w:rsidP="00CB0323">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76,8</w:t>
            </w:r>
          </w:p>
        </w:tc>
        <w:tc>
          <w:tcPr>
            <w:tcW w:w="1003" w:type="pct"/>
            <w:vAlign w:val="bottom"/>
          </w:tcPr>
          <w:p w14:paraId="57F40CA5" w14:textId="77777777" w:rsidR="00CB0323" w:rsidRPr="00A073CB" w:rsidRDefault="00CB0323" w:rsidP="00CB0323">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74,2</w:t>
            </w:r>
          </w:p>
        </w:tc>
      </w:tr>
      <w:tr w:rsidR="00CB0323" w:rsidRPr="00A073CB" w14:paraId="03BE625F" w14:textId="77777777" w:rsidTr="00944CB1">
        <w:trPr>
          <w:cantSplit/>
          <w:jc w:val="center"/>
        </w:trPr>
        <w:tc>
          <w:tcPr>
            <w:tcW w:w="1948" w:type="pct"/>
            <w:vAlign w:val="center"/>
          </w:tcPr>
          <w:p w14:paraId="3C2AD12C" w14:textId="77777777" w:rsidR="00CB0323" w:rsidRPr="00A073CB" w:rsidRDefault="00CB0323" w:rsidP="00CB0323">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Фрукты и ягоды</w:t>
            </w:r>
          </w:p>
        </w:tc>
        <w:tc>
          <w:tcPr>
            <w:tcW w:w="1029" w:type="pct"/>
            <w:vAlign w:val="bottom"/>
          </w:tcPr>
          <w:p w14:paraId="51A75AA0" w14:textId="77777777" w:rsidR="00CB0323" w:rsidRPr="00A073CB" w:rsidRDefault="00CB0323" w:rsidP="00CB0323">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69,8</w:t>
            </w:r>
          </w:p>
        </w:tc>
        <w:tc>
          <w:tcPr>
            <w:tcW w:w="1020" w:type="pct"/>
            <w:vAlign w:val="bottom"/>
          </w:tcPr>
          <w:p w14:paraId="1C4C9D92" w14:textId="77777777" w:rsidR="00CB0323" w:rsidRPr="00A073CB" w:rsidRDefault="00CB0323" w:rsidP="00CB0323">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60,2</w:t>
            </w:r>
          </w:p>
        </w:tc>
        <w:tc>
          <w:tcPr>
            <w:tcW w:w="1003" w:type="pct"/>
            <w:vAlign w:val="bottom"/>
          </w:tcPr>
          <w:p w14:paraId="42459DAA" w14:textId="77777777" w:rsidR="00CB0323" w:rsidRPr="00A073CB" w:rsidRDefault="00CB0323" w:rsidP="00CB0323">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59,6</w:t>
            </w:r>
          </w:p>
        </w:tc>
      </w:tr>
      <w:tr w:rsidR="00CB0323" w:rsidRPr="00A073CB" w14:paraId="30582A72" w14:textId="77777777" w:rsidTr="00944CB1">
        <w:trPr>
          <w:cantSplit/>
          <w:jc w:val="center"/>
        </w:trPr>
        <w:tc>
          <w:tcPr>
            <w:tcW w:w="1948" w:type="pct"/>
            <w:vAlign w:val="center"/>
          </w:tcPr>
          <w:p w14:paraId="39D0814C" w14:textId="77777777" w:rsidR="00CB0323" w:rsidRPr="00A073CB" w:rsidRDefault="00CB0323" w:rsidP="00CB0323">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Мясо и мясные продукты</w:t>
            </w:r>
          </w:p>
        </w:tc>
        <w:tc>
          <w:tcPr>
            <w:tcW w:w="1029" w:type="pct"/>
            <w:vAlign w:val="bottom"/>
          </w:tcPr>
          <w:p w14:paraId="0EFD0F96" w14:textId="77777777" w:rsidR="00CB0323" w:rsidRPr="00A073CB" w:rsidRDefault="00CB0323" w:rsidP="00CB0323">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82,5</w:t>
            </w:r>
          </w:p>
        </w:tc>
        <w:tc>
          <w:tcPr>
            <w:tcW w:w="1020" w:type="pct"/>
            <w:vAlign w:val="bottom"/>
          </w:tcPr>
          <w:p w14:paraId="1D4BB234" w14:textId="77777777" w:rsidR="00CB0323" w:rsidRPr="00A073CB" w:rsidRDefault="00CB0323" w:rsidP="00CB0323">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70,2</w:t>
            </w:r>
          </w:p>
        </w:tc>
        <w:tc>
          <w:tcPr>
            <w:tcW w:w="1003" w:type="pct"/>
            <w:vAlign w:val="bottom"/>
          </w:tcPr>
          <w:p w14:paraId="7C003E04" w14:textId="77777777" w:rsidR="00CB0323" w:rsidRPr="00A073CB" w:rsidRDefault="00CB0323" w:rsidP="00CB0323">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63,6</w:t>
            </w:r>
          </w:p>
        </w:tc>
      </w:tr>
      <w:tr w:rsidR="00CB0323" w:rsidRPr="00A073CB" w14:paraId="42871D6F" w14:textId="77777777" w:rsidTr="00944CB1">
        <w:trPr>
          <w:cantSplit/>
          <w:jc w:val="center"/>
        </w:trPr>
        <w:tc>
          <w:tcPr>
            <w:tcW w:w="1948" w:type="pct"/>
            <w:vAlign w:val="center"/>
          </w:tcPr>
          <w:p w14:paraId="41612F28" w14:textId="77777777" w:rsidR="00CB0323" w:rsidRPr="00A073CB" w:rsidRDefault="00CB0323" w:rsidP="00CB0323">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Молоко и молочные продукты</w:t>
            </w:r>
          </w:p>
        </w:tc>
        <w:tc>
          <w:tcPr>
            <w:tcW w:w="1029" w:type="pct"/>
            <w:vAlign w:val="bottom"/>
          </w:tcPr>
          <w:p w14:paraId="485ADFE8" w14:textId="77777777" w:rsidR="00CB0323" w:rsidRPr="00A073CB" w:rsidRDefault="00CB0323" w:rsidP="00CB0323">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231,1</w:t>
            </w:r>
          </w:p>
        </w:tc>
        <w:tc>
          <w:tcPr>
            <w:tcW w:w="1020" w:type="pct"/>
            <w:vAlign w:val="bottom"/>
          </w:tcPr>
          <w:p w14:paraId="614CA0F8" w14:textId="77777777" w:rsidR="00CB0323" w:rsidRPr="00A073CB" w:rsidRDefault="00CB0323" w:rsidP="00CB0323">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199,4</w:t>
            </w:r>
          </w:p>
        </w:tc>
        <w:tc>
          <w:tcPr>
            <w:tcW w:w="1003" w:type="pct"/>
            <w:vAlign w:val="bottom"/>
          </w:tcPr>
          <w:p w14:paraId="53C83431" w14:textId="77777777" w:rsidR="00CB0323" w:rsidRPr="00A073CB" w:rsidRDefault="00CB0323" w:rsidP="00CB0323">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194,7</w:t>
            </w:r>
          </w:p>
        </w:tc>
      </w:tr>
      <w:tr w:rsidR="00CB0323" w:rsidRPr="00A073CB" w14:paraId="6B529C1A" w14:textId="77777777" w:rsidTr="00944CB1">
        <w:trPr>
          <w:cantSplit/>
          <w:jc w:val="center"/>
        </w:trPr>
        <w:tc>
          <w:tcPr>
            <w:tcW w:w="1948" w:type="pct"/>
            <w:vAlign w:val="center"/>
          </w:tcPr>
          <w:p w14:paraId="5480F8CD" w14:textId="77777777" w:rsidR="00CB0323" w:rsidRPr="00A073CB" w:rsidRDefault="00CB0323" w:rsidP="00CB0323">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Яйца, шт.</w:t>
            </w:r>
          </w:p>
        </w:tc>
        <w:tc>
          <w:tcPr>
            <w:tcW w:w="1029" w:type="pct"/>
            <w:vAlign w:val="bottom"/>
          </w:tcPr>
          <w:p w14:paraId="72D5A344" w14:textId="77777777" w:rsidR="00CB0323" w:rsidRPr="00A073CB" w:rsidRDefault="00CB0323" w:rsidP="00CB0323">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205</w:t>
            </w:r>
          </w:p>
        </w:tc>
        <w:tc>
          <w:tcPr>
            <w:tcW w:w="1020" w:type="pct"/>
            <w:vAlign w:val="bottom"/>
          </w:tcPr>
          <w:p w14:paraId="08E55CE5" w14:textId="77777777" w:rsidR="00CB0323" w:rsidRPr="00A073CB" w:rsidRDefault="00CB0323" w:rsidP="00CB0323">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180</w:t>
            </w:r>
          </w:p>
        </w:tc>
        <w:tc>
          <w:tcPr>
            <w:tcW w:w="1003" w:type="pct"/>
            <w:vAlign w:val="bottom"/>
          </w:tcPr>
          <w:p w14:paraId="622973F6" w14:textId="77777777" w:rsidR="00CB0323" w:rsidRPr="00A073CB" w:rsidRDefault="00CB0323" w:rsidP="00CB0323">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173</w:t>
            </w:r>
          </w:p>
        </w:tc>
      </w:tr>
      <w:tr w:rsidR="00CB0323" w:rsidRPr="00A073CB" w14:paraId="651E4FF1" w14:textId="77777777" w:rsidTr="00944CB1">
        <w:trPr>
          <w:cantSplit/>
          <w:jc w:val="center"/>
        </w:trPr>
        <w:tc>
          <w:tcPr>
            <w:tcW w:w="1948" w:type="pct"/>
            <w:tcBorders>
              <w:bottom w:val="single" w:sz="4" w:space="0" w:color="auto"/>
            </w:tcBorders>
            <w:vAlign w:val="center"/>
          </w:tcPr>
          <w:p w14:paraId="5B3B7553" w14:textId="77777777" w:rsidR="00CB0323" w:rsidRPr="00A073CB" w:rsidRDefault="00CB0323" w:rsidP="00CB0323">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Рыба и рыбные продукты</w:t>
            </w:r>
          </w:p>
        </w:tc>
        <w:tc>
          <w:tcPr>
            <w:tcW w:w="1029" w:type="pct"/>
            <w:tcBorders>
              <w:bottom w:val="single" w:sz="4" w:space="0" w:color="auto"/>
            </w:tcBorders>
            <w:vAlign w:val="bottom"/>
          </w:tcPr>
          <w:p w14:paraId="1310CFF1" w14:textId="77777777" w:rsidR="00CB0323" w:rsidRPr="00A073CB" w:rsidRDefault="00CB0323" w:rsidP="00CB0323">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18,6</w:t>
            </w:r>
          </w:p>
        </w:tc>
        <w:tc>
          <w:tcPr>
            <w:tcW w:w="1020" w:type="pct"/>
            <w:tcBorders>
              <w:bottom w:val="single" w:sz="4" w:space="0" w:color="auto"/>
            </w:tcBorders>
            <w:vAlign w:val="bottom"/>
          </w:tcPr>
          <w:p w14:paraId="0705FB6A" w14:textId="77777777" w:rsidR="00CB0323" w:rsidRPr="00A073CB" w:rsidRDefault="00CB0323" w:rsidP="00CB0323">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15,8</w:t>
            </w:r>
          </w:p>
        </w:tc>
        <w:tc>
          <w:tcPr>
            <w:tcW w:w="1003" w:type="pct"/>
            <w:tcBorders>
              <w:bottom w:val="single" w:sz="4" w:space="0" w:color="auto"/>
            </w:tcBorders>
            <w:vAlign w:val="bottom"/>
          </w:tcPr>
          <w:p w14:paraId="0B8AC117" w14:textId="77777777" w:rsidR="00CB0323" w:rsidRPr="00A073CB" w:rsidRDefault="00CB0323" w:rsidP="00CB0323">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14,5</w:t>
            </w:r>
          </w:p>
        </w:tc>
      </w:tr>
      <w:tr w:rsidR="00CB0323" w:rsidRPr="00A073CB" w14:paraId="3324DCB2" w14:textId="77777777" w:rsidTr="00944CB1">
        <w:trPr>
          <w:cantSplit/>
          <w:jc w:val="center"/>
        </w:trPr>
        <w:tc>
          <w:tcPr>
            <w:tcW w:w="1948" w:type="pct"/>
            <w:tcBorders>
              <w:top w:val="single" w:sz="4" w:space="0" w:color="auto"/>
              <w:left w:val="single" w:sz="4" w:space="0" w:color="auto"/>
              <w:bottom w:val="single" w:sz="4" w:space="0" w:color="auto"/>
              <w:right w:val="single" w:sz="4" w:space="0" w:color="auto"/>
            </w:tcBorders>
            <w:vAlign w:val="center"/>
          </w:tcPr>
          <w:p w14:paraId="56EDC06B" w14:textId="77777777" w:rsidR="00CB0323" w:rsidRPr="00A073CB" w:rsidRDefault="00CB0323" w:rsidP="00CB0323">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Сахар и кондитерские изделия</w:t>
            </w:r>
          </w:p>
        </w:tc>
        <w:tc>
          <w:tcPr>
            <w:tcW w:w="1029" w:type="pct"/>
            <w:tcBorders>
              <w:top w:val="single" w:sz="4" w:space="0" w:color="auto"/>
              <w:left w:val="single" w:sz="4" w:space="0" w:color="auto"/>
              <w:bottom w:val="single" w:sz="4" w:space="0" w:color="auto"/>
              <w:right w:val="single" w:sz="4" w:space="0" w:color="auto"/>
            </w:tcBorders>
            <w:vAlign w:val="bottom"/>
          </w:tcPr>
          <w:p w14:paraId="79FBA9FA" w14:textId="77777777" w:rsidR="00CB0323" w:rsidRPr="00A073CB" w:rsidRDefault="00CB0323" w:rsidP="00CB0323">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27,4</w:t>
            </w:r>
          </w:p>
        </w:tc>
        <w:tc>
          <w:tcPr>
            <w:tcW w:w="1020" w:type="pct"/>
            <w:tcBorders>
              <w:top w:val="single" w:sz="4" w:space="0" w:color="auto"/>
              <w:left w:val="single" w:sz="4" w:space="0" w:color="auto"/>
              <w:bottom w:val="single" w:sz="4" w:space="0" w:color="auto"/>
              <w:right w:val="single" w:sz="4" w:space="0" w:color="auto"/>
            </w:tcBorders>
            <w:vAlign w:val="bottom"/>
          </w:tcPr>
          <w:p w14:paraId="46B4C53F" w14:textId="77777777" w:rsidR="00CB0323" w:rsidRPr="00A073CB" w:rsidRDefault="00CB0323" w:rsidP="00CB0323">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24,9</w:t>
            </w:r>
          </w:p>
        </w:tc>
        <w:tc>
          <w:tcPr>
            <w:tcW w:w="1003" w:type="pct"/>
            <w:tcBorders>
              <w:top w:val="single" w:sz="4" w:space="0" w:color="auto"/>
              <w:left w:val="single" w:sz="4" w:space="0" w:color="auto"/>
              <w:bottom w:val="single" w:sz="4" w:space="0" w:color="auto"/>
              <w:right w:val="single" w:sz="4" w:space="0" w:color="auto"/>
            </w:tcBorders>
            <w:vAlign w:val="bottom"/>
          </w:tcPr>
          <w:p w14:paraId="1FFFCB3E" w14:textId="77777777" w:rsidR="00CB0323" w:rsidRPr="00A073CB" w:rsidRDefault="00CB0323" w:rsidP="00CB0323">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26,5</w:t>
            </w:r>
          </w:p>
        </w:tc>
      </w:tr>
      <w:tr w:rsidR="00CB0323" w:rsidRPr="00A073CB" w14:paraId="48237B6E" w14:textId="77777777" w:rsidTr="00944CB1">
        <w:trPr>
          <w:cantSplit/>
          <w:jc w:val="center"/>
        </w:trPr>
        <w:tc>
          <w:tcPr>
            <w:tcW w:w="1948" w:type="pct"/>
            <w:tcBorders>
              <w:top w:val="single" w:sz="4" w:space="0" w:color="auto"/>
            </w:tcBorders>
            <w:vAlign w:val="center"/>
          </w:tcPr>
          <w:p w14:paraId="283363F8" w14:textId="77777777" w:rsidR="00CB0323" w:rsidRPr="00A073CB" w:rsidRDefault="00CB0323" w:rsidP="00CB0323">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Масло растительное и другие жиры</w:t>
            </w:r>
          </w:p>
        </w:tc>
        <w:tc>
          <w:tcPr>
            <w:tcW w:w="1029" w:type="pct"/>
            <w:tcBorders>
              <w:top w:val="single" w:sz="4" w:space="0" w:color="auto"/>
            </w:tcBorders>
            <w:vAlign w:val="bottom"/>
          </w:tcPr>
          <w:p w14:paraId="568EE9A0" w14:textId="77777777" w:rsidR="00CB0323" w:rsidRPr="00A073CB" w:rsidRDefault="00CB0323" w:rsidP="00CB0323">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9,1</w:t>
            </w:r>
          </w:p>
        </w:tc>
        <w:tc>
          <w:tcPr>
            <w:tcW w:w="1020" w:type="pct"/>
            <w:tcBorders>
              <w:top w:val="single" w:sz="4" w:space="0" w:color="auto"/>
            </w:tcBorders>
            <w:vAlign w:val="bottom"/>
          </w:tcPr>
          <w:p w14:paraId="43A5725F" w14:textId="77777777" w:rsidR="00CB0323" w:rsidRPr="00A073CB" w:rsidRDefault="00CB0323" w:rsidP="00CB0323">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7,9</w:t>
            </w:r>
          </w:p>
        </w:tc>
        <w:tc>
          <w:tcPr>
            <w:tcW w:w="1003" w:type="pct"/>
            <w:tcBorders>
              <w:top w:val="single" w:sz="4" w:space="0" w:color="auto"/>
            </w:tcBorders>
            <w:vAlign w:val="bottom"/>
          </w:tcPr>
          <w:p w14:paraId="3D2178C9" w14:textId="77777777" w:rsidR="00CB0323" w:rsidRPr="00A073CB" w:rsidRDefault="00CB0323" w:rsidP="00CB0323">
            <w:pPr>
              <w:tabs>
                <w:tab w:val="left" w:pos="1803"/>
              </w:tabs>
              <w:spacing w:before="40" w:after="0" w:line="240" w:lineRule="auto"/>
              <w:ind w:right="-91"/>
              <w:jc w:val="center"/>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8,7</w:t>
            </w:r>
          </w:p>
        </w:tc>
      </w:tr>
      <w:tr w:rsidR="00CB0323" w:rsidRPr="00A073CB" w14:paraId="692D68E0" w14:textId="77777777" w:rsidTr="00944CB1">
        <w:trPr>
          <w:cantSplit/>
          <w:jc w:val="center"/>
        </w:trPr>
        <w:tc>
          <w:tcPr>
            <w:tcW w:w="5000" w:type="pct"/>
            <w:gridSpan w:val="4"/>
            <w:vAlign w:val="center"/>
          </w:tcPr>
          <w:p w14:paraId="1442FE95" w14:textId="77777777" w:rsidR="00CB0323" w:rsidRPr="00A073CB" w:rsidRDefault="00CB0323" w:rsidP="00CB0323">
            <w:pPr>
              <w:spacing w:before="40" w:after="0" w:line="240" w:lineRule="auto"/>
              <w:ind w:right="-142"/>
              <w:jc w:val="center"/>
              <w:rPr>
                <w:rFonts w:ascii="Times New Roman" w:eastAsia="Times New Roman" w:hAnsi="Times New Roman" w:cs="Times New Roman"/>
                <w:b/>
                <w:sz w:val="24"/>
                <w:szCs w:val="24"/>
                <w:vertAlign w:val="superscript"/>
                <w:lang w:eastAsia="ru-RU"/>
              </w:rPr>
            </w:pPr>
            <w:r w:rsidRPr="00A073CB">
              <w:rPr>
                <w:rFonts w:ascii="Times New Roman" w:eastAsia="Times New Roman" w:hAnsi="Times New Roman" w:cs="Times New Roman"/>
                <w:b/>
                <w:sz w:val="24"/>
                <w:szCs w:val="24"/>
                <w:lang w:eastAsia="ru-RU"/>
              </w:rPr>
              <w:t>2020 г.</w:t>
            </w:r>
          </w:p>
        </w:tc>
      </w:tr>
      <w:tr w:rsidR="00CB0323" w:rsidRPr="00A073CB" w14:paraId="0D0BC373" w14:textId="77777777" w:rsidTr="0081656D">
        <w:trPr>
          <w:cantSplit/>
          <w:jc w:val="center"/>
        </w:trPr>
        <w:tc>
          <w:tcPr>
            <w:tcW w:w="1948" w:type="pct"/>
            <w:vAlign w:val="center"/>
          </w:tcPr>
          <w:p w14:paraId="0E1D55E9" w14:textId="77777777" w:rsidR="00CB0323" w:rsidRPr="00A073CB" w:rsidRDefault="00CB0323" w:rsidP="00CB0323">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Хлеб и хлебные продукты</w:t>
            </w:r>
          </w:p>
        </w:tc>
        <w:tc>
          <w:tcPr>
            <w:tcW w:w="1029" w:type="pct"/>
            <w:vAlign w:val="center"/>
          </w:tcPr>
          <w:p w14:paraId="16757AC7" w14:textId="77777777" w:rsidR="00CB0323" w:rsidRPr="00A073CB" w:rsidRDefault="00CB0323" w:rsidP="00CB0323">
            <w:pPr>
              <w:spacing w:after="0" w:line="240" w:lineRule="auto"/>
              <w:jc w:val="center"/>
              <w:rPr>
                <w:rFonts w:ascii="Times New Roman" w:hAnsi="Times New Roman"/>
                <w:sz w:val="24"/>
                <w:szCs w:val="24"/>
              </w:rPr>
            </w:pPr>
            <w:r w:rsidRPr="00A073CB">
              <w:rPr>
                <w:rFonts w:ascii="Times New Roman" w:hAnsi="Times New Roman"/>
                <w:sz w:val="24"/>
                <w:szCs w:val="24"/>
              </w:rPr>
              <w:t>83,2</w:t>
            </w:r>
          </w:p>
        </w:tc>
        <w:tc>
          <w:tcPr>
            <w:tcW w:w="1020" w:type="pct"/>
            <w:vAlign w:val="center"/>
          </w:tcPr>
          <w:p w14:paraId="33F3E16F" w14:textId="77777777" w:rsidR="00CB0323" w:rsidRPr="00A073CB" w:rsidRDefault="00CB0323" w:rsidP="00CB0323">
            <w:pPr>
              <w:spacing w:after="0" w:line="240" w:lineRule="auto"/>
              <w:jc w:val="center"/>
              <w:rPr>
                <w:rFonts w:ascii="Times New Roman" w:hAnsi="Times New Roman"/>
                <w:sz w:val="24"/>
                <w:szCs w:val="24"/>
              </w:rPr>
            </w:pPr>
            <w:r w:rsidRPr="00A073CB">
              <w:rPr>
                <w:rFonts w:ascii="Times New Roman" w:hAnsi="Times New Roman"/>
                <w:sz w:val="24"/>
                <w:szCs w:val="24"/>
              </w:rPr>
              <w:t>77,5</w:t>
            </w:r>
          </w:p>
        </w:tc>
        <w:tc>
          <w:tcPr>
            <w:tcW w:w="1003" w:type="pct"/>
            <w:vAlign w:val="center"/>
          </w:tcPr>
          <w:p w14:paraId="2E1C418E" w14:textId="77777777" w:rsidR="00CB0323" w:rsidRPr="00A073CB" w:rsidRDefault="00CB0323" w:rsidP="00CB0323">
            <w:pPr>
              <w:spacing w:after="0" w:line="240" w:lineRule="auto"/>
              <w:jc w:val="center"/>
              <w:rPr>
                <w:rFonts w:ascii="Times New Roman" w:hAnsi="Times New Roman"/>
                <w:sz w:val="24"/>
                <w:szCs w:val="24"/>
              </w:rPr>
            </w:pPr>
            <w:r w:rsidRPr="00A073CB">
              <w:rPr>
                <w:rFonts w:ascii="Times New Roman" w:hAnsi="Times New Roman"/>
                <w:sz w:val="24"/>
                <w:szCs w:val="24"/>
              </w:rPr>
              <w:t>89,1</w:t>
            </w:r>
          </w:p>
        </w:tc>
      </w:tr>
      <w:tr w:rsidR="00CB0323" w:rsidRPr="00A073CB" w14:paraId="1EECCEA6" w14:textId="77777777" w:rsidTr="0081656D">
        <w:trPr>
          <w:cantSplit/>
          <w:jc w:val="center"/>
        </w:trPr>
        <w:tc>
          <w:tcPr>
            <w:tcW w:w="1948" w:type="pct"/>
            <w:vAlign w:val="center"/>
          </w:tcPr>
          <w:p w14:paraId="1755C49C" w14:textId="77777777" w:rsidR="00CB0323" w:rsidRPr="00A073CB" w:rsidRDefault="00CB0323" w:rsidP="00CB0323">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Картофель</w:t>
            </w:r>
          </w:p>
        </w:tc>
        <w:tc>
          <w:tcPr>
            <w:tcW w:w="1029" w:type="pct"/>
            <w:vAlign w:val="center"/>
          </w:tcPr>
          <w:p w14:paraId="50644021" w14:textId="77777777" w:rsidR="00CB0323" w:rsidRPr="00A073CB" w:rsidRDefault="00CB0323" w:rsidP="00CB0323">
            <w:pPr>
              <w:spacing w:after="0" w:line="240" w:lineRule="auto"/>
              <w:jc w:val="center"/>
              <w:rPr>
                <w:rFonts w:ascii="Times New Roman" w:hAnsi="Times New Roman"/>
                <w:sz w:val="24"/>
                <w:szCs w:val="24"/>
              </w:rPr>
            </w:pPr>
            <w:r w:rsidRPr="00A073CB">
              <w:rPr>
                <w:rFonts w:ascii="Times New Roman" w:hAnsi="Times New Roman"/>
                <w:sz w:val="24"/>
                <w:szCs w:val="24"/>
              </w:rPr>
              <w:t>50,</w:t>
            </w:r>
            <w:r>
              <w:rPr>
                <w:rFonts w:ascii="Times New Roman" w:hAnsi="Times New Roman"/>
                <w:sz w:val="24"/>
                <w:szCs w:val="24"/>
              </w:rPr>
              <w:t>8</w:t>
            </w:r>
          </w:p>
        </w:tc>
        <w:tc>
          <w:tcPr>
            <w:tcW w:w="1020" w:type="pct"/>
            <w:vAlign w:val="center"/>
          </w:tcPr>
          <w:p w14:paraId="30FD1951" w14:textId="77777777" w:rsidR="00CB0323" w:rsidRPr="00A073CB" w:rsidRDefault="00CB0323" w:rsidP="00CB0323">
            <w:pPr>
              <w:spacing w:after="0" w:line="240" w:lineRule="auto"/>
              <w:jc w:val="center"/>
              <w:rPr>
                <w:rFonts w:ascii="Times New Roman" w:hAnsi="Times New Roman"/>
                <w:sz w:val="24"/>
                <w:szCs w:val="24"/>
              </w:rPr>
            </w:pPr>
            <w:r w:rsidRPr="00A073CB">
              <w:rPr>
                <w:rFonts w:ascii="Times New Roman" w:hAnsi="Times New Roman"/>
                <w:sz w:val="24"/>
                <w:szCs w:val="24"/>
              </w:rPr>
              <w:t>45,1</w:t>
            </w:r>
          </w:p>
        </w:tc>
        <w:tc>
          <w:tcPr>
            <w:tcW w:w="1003" w:type="pct"/>
            <w:vAlign w:val="center"/>
          </w:tcPr>
          <w:p w14:paraId="78C0FE68" w14:textId="77777777" w:rsidR="00CB0323" w:rsidRPr="00A073CB" w:rsidRDefault="00CB0323" w:rsidP="00CB0323">
            <w:pPr>
              <w:spacing w:after="0" w:line="240" w:lineRule="auto"/>
              <w:jc w:val="center"/>
              <w:rPr>
                <w:rFonts w:ascii="Times New Roman" w:hAnsi="Times New Roman"/>
                <w:sz w:val="24"/>
                <w:szCs w:val="24"/>
              </w:rPr>
            </w:pPr>
            <w:r w:rsidRPr="00A073CB">
              <w:rPr>
                <w:rFonts w:ascii="Times New Roman" w:hAnsi="Times New Roman"/>
                <w:sz w:val="24"/>
                <w:szCs w:val="24"/>
              </w:rPr>
              <w:t>52,</w:t>
            </w:r>
            <w:r>
              <w:rPr>
                <w:rFonts w:ascii="Times New Roman" w:hAnsi="Times New Roman"/>
                <w:sz w:val="24"/>
                <w:szCs w:val="24"/>
              </w:rPr>
              <w:t>5</w:t>
            </w:r>
          </w:p>
        </w:tc>
      </w:tr>
      <w:tr w:rsidR="00CB0323" w:rsidRPr="00A073CB" w14:paraId="20FEFF54" w14:textId="77777777" w:rsidTr="0081656D">
        <w:trPr>
          <w:cantSplit/>
          <w:jc w:val="center"/>
        </w:trPr>
        <w:tc>
          <w:tcPr>
            <w:tcW w:w="1948" w:type="pct"/>
            <w:vAlign w:val="center"/>
          </w:tcPr>
          <w:p w14:paraId="7DC07B4F" w14:textId="77777777" w:rsidR="00CB0323" w:rsidRPr="00A073CB" w:rsidRDefault="00CB0323" w:rsidP="00CB0323">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Овощи и бахчевые</w:t>
            </w:r>
          </w:p>
        </w:tc>
        <w:tc>
          <w:tcPr>
            <w:tcW w:w="1029" w:type="pct"/>
            <w:vAlign w:val="center"/>
          </w:tcPr>
          <w:p w14:paraId="5C479110" w14:textId="77777777" w:rsidR="00CB0323" w:rsidRPr="00A073CB" w:rsidRDefault="00CB0323" w:rsidP="00CB0323">
            <w:pPr>
              <w:spacing w:after="0" w:line="240" w:lineRule="auto"/>
              <w:jc w:val="center"/>
              <w:rPr>
                <w:rFonts w:ascii="Times New Roman" w:hAnsi="Times New Roman"/>
                <w:sz w:val="24"/>
                <w:szCs w:val="24"/>
              </w:rPr>
            </w:pPr>
            <w:r w:rsidRPr="00A073CB">
              <w:rPr>
                <w:rFonts w:ascii="Times New Roman" w:hAnsi="Times New Roman"/>
                <w:sz w:val="24"/>
                <w:szCs w:val="24"/>
              </w:rPr>
              <w:t>91,</w:t>
            </w:r>
            <w:r>
              <w:rPr>
                <w:rFonts w:ascii="Times New Roman" w:hAnsi="Times New Roman"/>
                <w:sz w:val="24"/>
                <w:szCs w:val="24"/>
              </w:rPr>
              <w:t>0</w:t>
            </w:r>
          </w:p>
        </w:tc>
        <w:tc>
          <w:tcPr>
            <w:tcW w:w="1020" w:type="pct"/>
            <w:vAlign w:val="center"/>
          </w:tcPr>
          <w:p w14:paraId="40950D52" w14:textId="77777777" w:rsidR="00CB0323" w:rsidRPr="00A073CB" w:rsidRDefault="00CB0323" w:rsidP="00CB0323">
            <w:pPr>
              <w:spacing w:after="0" w:line="240" w:lineRule="auto"/>
              <w:jc w:val="center"/>
              <w:rPr>
                <w:rFonts w:ascii="Times New Roman" w:hAnsi="Times New Roman"/>
                <w:sz w:val="24"/>
                <w:szCs w:val="24"/>
              </w:rPr>
            </w:pPr>
            <w:r w:rsidRPr="00A073CB">
              <w:rPr>
                <w:rFonts w:ascii="Times New Roman" w:hAnsi="Times New Roman"/>
                <w:sz w:val="24"/>
                <w:szCs w:val="24"/>
              </w:rPr>
              <w:t>78,2</w:t>
            </w:r>
          </w:p>
        </w:tc>
        <w:tc>
          <w:tcPr>
            <w:tcW w:w="1003" w:type="pct"/>
            <w:vAlign w:val="center"/>
          </w:tcPr>
          <w:p w14:paraId="312CDBF4" w14:textId="77777777" w:rsidR="00CB0323" w:rsidRPr="00A073CB" w:rsidRDefault="00CB0323" w:rsidP="00CB0323">
            <w:pPr>
              <w:spacing w:after="0" w:line="240" w:lineRule="auto"/>
              <w:jc w:val="center"/>
              <w:rPr>
                <w:rFonts w:ascii="Times New Roman" w:hAnsi="Times New Roman"/>
                <w:sz w:val="24"/>
                <w:szCs w:val="24"/>
              </w:rPr>
            </w:pPr>
            <w:r w:rsidRPr="00A073CB">
              <w:rPr>
                <w:rFonts w:ascii="Times New Roman" w:hAnsi="Times New Roman"/>
                <w:sz w:val="24"/>
                <w:szCs w:val="24"/>
              </w:rPr>
              <w:t>74,</w:t>
            </w:r>
            <w:r>
              <w:rPr>
                <w:rFonts w:ascii="Times New Roman" w:hAnsi="Times New Roman"/>
                <w:sz w:val="24"/>
                <w:szCs w:val="24"/>
              </w:rPr>
              <w:t>4</w:t>
            </w:r>
          </w:p>
        </w:tc>
      </w:tr>
      <w:tr w:rsidR="00CB0323" w:rsidRPr="00A073CB" w14:paraId="72A80C77" w14:textId="77777777" w:rsidTr="0081656D">
        <w:trPr>
          <w:cantSplit/>
          <w:jc w:val="center"/>
        </w:trPr>
        <w:tc>
          <w:tcPr>
            <w:tcW w:w="1948" w:type="pct"/>
            <w:vAlign w:val="center"/>
          </w:tcPr>
          <w:p w14:paraId="7195EB44" w14:textId="77777777" w:rsidR="00CB0323" w:rsidRPr="00A073CB" w:rsidRDefault="00CB0323" w:rsidP="00CB0323">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Фрукты и ягоды</w:t>
            </w:r>
          </w:p>
        </w:tc>
        <w:tc>
          <w:tcPr>
            <w:tcW w:w="1029" w:type="pct"/>
            <w:vAlign w:val="center"/>
          </w:tcPr>
          <w:p w14:paraId="1F6F80EC" w14:textId="77777777" w:rsidR="00CB0323" w:rsidRPr="00A073CB" w:rsidRDefault="00CB0323" w:rsidP="00CB0323">
            <w:pPr>
              <w:spacing w:after="0" w:line="240" w:lineRule="auto"/>
              <w:jc w:val="center"/>
              <w:rPr>
                <w:rFonts w:ascii="Times New Roman" w:hAnsi="Times New Roman"/>
                <w:sz w:val="24"/>
                <w:szCs w:val="24"/>
              </w:rPr>
            </w:pPr>
            <w:r w:rsidRPr="00A073CB">
              <w:rPr>
                <w:rFonts w:ascii="Times New Roman" w:hAnsi="Times New Roman"/>
                <w:sz w:val="24"/>
                <w:szCs w:val="24"/>
              </w:rPr>
              <w:t>70,5</w:t>
            </w:r>
          </w:p>
        </w:tc>
        <w:tc>
          <w:tcPr>
            <w:tcW w:w="1020" w:type="pct"/>
            <w:vAlign w:val="center"/>
          </w:tcPr>
          <w:p w14:paraId="13B1A2E5" w14:textId="77777777" w:rsidR="00CB0323" w:rsidRPr="00A073CB" w:rsidRDefault="00CB0323" w:rsidP="00CB0323">
            <w:pPr>
              <w:spacing w:after="0" w:line="240" w:lineRule="auto"/>
              <w:jc w:val="center"/>
              <w:rPr>
                <w:rFonts w:ascii="Times New Roman" w:hAnsi="Times New Roman"/>
                <w:sz w:val="24"/>
                <w:szCs w:val="24"/>
              </w:rPr>
            </w:pPr>
            <w:r w:rsidRPr="00A073CB">
              <w:rPr>
                <w:rFonts w:ascii="Times New Roman" w:hAnsi="Times New Roman"/>
                <w:sz w:val="24"/>
                <w:szCs w:val="24"/>
              </w:rPr>
              <w:t>63,</w:t>
            </w:r>
            <w:r>
              <w:rPr>
                <w:rFonts w:ascii="Times New Roman" w:hAnsi="Times New Roman"/>
                <w:sz w:val="24"/>
                <w:szCs w:val="24"/>
              </w:rPr>
              <w:t>3</w:t>
            </w:r>
          </w:p>
        </w:tc>
        <w:tc>
          <w:tcPr>
            <w:tcW w:w="1003" w:type="pct"/>
            <w:vAlign w:val="center"/>
          </w:tcPr>
          <w:p w14:paraId="20C2F7C5" w14:textId="77777777" w:rsidR="00CB0323" w:rsidRPr="00A073CB" w:rsidRDefault="00CB0323" w:rsidP="00CB0323">
            <w:pPr>
              <w:spacing w:after="0" w:line="240" w:lineRule="auto"/>
              <w:jc w:val="center"/>
              <w:rPr>
                <w:rFonts w:ascii="Times New Roman" w:hAnsi="Times New Roman"/>
                <w:sz w:val="24"/>
                <w:szCs w:val="24"/>
              </w:rPr>
            </w:pPr>
            <w:r w:rsidRPr="00A073CB">
              <w:rPr>
                <w:rFonts w:ascii="Times New Roman" w:hAnsi="Times New Roman"/>
                <w:sz w:val="24"/>
                <w:szCs w:val="24"/>
              </w:rPr>
              <w:t>61,</w:t>
            </w:r>
            <w:r>
              <w:rPr>
                <w:rFonts w:ascii="Times New Roman" w:hAnsi="Times New Roman"/>
                <w:sz w:val="24"/>
                <w:szCs w:val="24"/>
              </w:rPr>
              <w:t>6</w:t>
            </w:r>
          </w:p>
        </w:tc>
      </w:tr>
      <w:tr w:rsidR="00CB0323" w:rsidRPr="00A073CB" w14:paraId="36C42AB0" w14:textId="77777777" w:rsidTr="0081656D">
        <w:trPr>
          <w:cantSplit/>
          <w:jc w:val="center"/>
        </w:trPr>
        <w:tc>
          <w:tcPr>
            <w:tcW w:w="1948" w:type="pct"/>
            <w:vAlign w:val="center"/>
          </w:tcPr>
          <w:p w14:paraId="33F33182" w14:textId="77777777" w:rsidR="00CB0323" w:rsidRPr="00A073CB" w:rsidRDefault="00CB0323" w:rsidP="00CB0323">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Мясо и мясные продукты</w:t>
            </w:r>
          </w:p>
        </w:tc>
        <w:tc>
          <w:tcPr>
            <w:tcW w:w="1029" w:type="pct"/>
            <w:vAlign w:val="center"/>
          </w:tcPr>
          <w:p w14:paraId="13BF20DF" w14:textId="77777777" w:rsidR="00CB0323" w:rsidRPr="00A073CB" w:rsidRDefault="00CB0323" w:rsidP="00CB0323">
            <w:pPr>
              <w:spacing w:after="0" w:line="240" w:lineRule="auto"/>
              <w:jc w:val="center"/>
              <w:rPr>
                <w:rFonts w:ascii="Times New Roman" w:hAnsi="Times New Roman"/>
                <w:sz w:val="24"/>
                <w:szCs w:val="24"/>
              </w:rPr>
            </w:pPr>
            <w:r w:rsidRPr="00A073CB">
              <w:rPr>
                <w:rFonts w:ascii="Times New Roman" w:hAnsi="Times New Roman"/>
                <w:sz w:val="24"/>
                <w:szCs w:val="24"/>
              </w:rPr>
              <w:t>82,</w:t>
            </w:r>
            <w:r>
              <w:rPr>
                <w:rFonts w:ascii="Times New Roman" w:hAnsi="Times New Roman"/>
                <w:sz w:val="24"/>
                <w:szCs w:val="24"/>
              </w:rPr>
              <w:t>9</w:t>
            </w:r>
          </w:p>
        </w:tc>
        <w:tc>
          <w:tcPr>
            <w:tcW w:w="1020" w:type="pct"/>
            <w:vAlign w:val="center"/>
          </w:tcPr>
          <w:p w14:paraId="265CB9EB" w14:textId="77777777" w:rsidR="00CB0323" w:rsidRPr="00A073CB" w:rsidRDefault="00CB0323" w:rsidP="00CB0323">
            <w:pPr>
              <w:spacing w:after="0" w:line="240" w:lineRule="auto"/>
              <w:jc w:val="center"/>
              <w:rPr>
                <w:rFonts w:ascii="Times New Roman" w:hAnsi="Times New Roman"/>
                <w:sz w:val="24"/>
                <w:szCs w:val="24"/>
              </w:rPr>
            </w:pPr>
            <w:r w:rsidRPr="00A073CB">
              <w:rPr>
                <w:rFonts w:ascii="Times New Roman" w:hAnsi="Times New Roman"/>
                <w:sz w:val="24"/>
                <w:szCs w:val="24"/>
              </w:rPr>
              <w:t>72,4</w:t>
            </w:r>
          </w:p>
        </w:tc>
        <w:tc>
          <w:tcPr>
            <w:tcW w:w="1003" w:type="pct"/>
            <w:vAlign w:val="center"/>
          </w:tcPr>
          <w:p w14:paraId="4E553AF8" w14:textId="77777777" w:rsidR="00CB0323" w:rsidRPr="00A073CB" w:rsidRDefault="00CB0323" w:rsidP="00CB0323">
            <w:pPr>
              <w:spacing w:after="0" w:line="240" w:lineRule="auto"/>
              <w:jc w:val="center"/>
              <w:rPr>
                <w:rFonts w:ascii="Times New Roman" w:hAnsi="Times New Roman"/>
                <w:sz w:val="24"/>
                <w:szCs w:val="24"/>
              </w:rPr>
            </w:pPr>
            <w:r w:rsidRPr="00A073CB">
              <w:rPr>
                <w:rFonts w:ascii="Times New Roman" w:hAnsi="Times New Roman"/>
                <w:sz w:val="24"/>
                <w:szCs w:val="24"/>
              </w:rPr>
              <w:t>66,</w:t>
            </w:r>
            <w:r>
              <w:rPr>
                <w:rFonts w:ascii="Times New Roman" w:hAnsi="Times New Roman"/>
                <w:sz w:val="24"/>
                <w:szCs w:val="24"/>
              </w:rPr>
              <w:t>4</w:t>
            </w:r>
          </w:p>
        </w:tc>
      </w:tr>
      <w:tr w:rsidR="00CB0323" w:rsidRPr="00A073CB" w14:paraId="7F1B0C4B" w14:textId="77777777" w:rsidTr="0081656D">
        <w:trPr>
          <w:cantSplit/>
          <w:jc w:val="center"/>
        </w:trPr>
        <w:tc>
          <w:tcPr>
            <w:tcW w:w="1948" w:type="pct"/>
            <w:vAlign w:val="center"/>
          </w:tcPr>
          <w:p w14:paraId="1EA67FAD" w14:textId="77777777" w:rsidR="00CB0323" w:rsidRPr="00A073CB" w:rsidRDefault="00CB0323" w:rsidP="00CB0323">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Молоко и молочные продукты</w:t>
            </w:r>
          </w:p>
        </w:tc>
        <w:tc>
          <w:tcPr>
            <w:tcW w:w="1029" w:type="pct"/>
            <w:vAlign w:val="center"/>
          </w:tcPr>
          <w:p w14:paraId="747CCC3D" w14:textId="77777777" w:rsidR="00CB0323" w:rsidRPr="00A073CB" w:rsidRDefault="00CB0323" w:rsidP="00CB0323">
            <w:pPr>
              <w:spacing w:after="0" w:line="240" w:lineRule="auto"/>
              <w:jc w:val="center"/>
              <w:rPr>
                <w:rFonts w:ascii="Times New Roman" w:hAnsi="Times New Roman"/>
                <w:sz w:val="24"/>
                <w:szCs w:val="24"/>
              </w:rPr>
            </w:pPr>
            <w:r w:rsidRPr="00A073CB">
              <w:rPr>
                <w:rFonts w:ascii="Times New Roman" w:hAnsi="Times New Roman"/>
                <w:sz w:val="24"/>
                <w:szCs w:val="24"/>
              </w:rPr>
              <w:t>237,</w:t>
            </w:r>
            <w:r>
              <w:rPr>
                <w:rFonts w:ascii="Times New Roman" w:hAnsi="Times New Roman"/>
                <w:sz w:val="24"/>
                <w:szCs w:val="24"/>
              </w:rPr>
              <w:t>4</w:t>
            </w:r>
          </w:p>
        </w:tc>
        <w:tc>
          <w:tcPr>
            <w:tcW w:w="1020" w:type="pct"/>
            <w:vAlign w:val="center"/>
          </w:tcPr>
          <w:p w14:paraId="72B4296F" w14:textId="77777777" w:rsidR="00CB0323" w:rsidRPr="00A073CB" w:rsidRDefault="00CB0323" w:rsidP="00CB0323">
            <w:pPr>
              <w:spacing w:after="0" w:line="240" w:lineRule="auto"/>
              <w:jc w:val="center"/>
              <w:rPr>
                <w:rFonts w:ascii="Times New Roman" w:hAnsi="Times New Roman"/>
                <w:sz w:val="24"/>
                <w:szCs w:val="24"/>
              </w:rPr>
            </w:pPr>
            <w:r w:rsidRPr="00A073CB">
              <w:rPr>
                <w:rFonts w:ascii="Times New Roman" w:hAnsi="Times New Roman"/>
                <w:sz w:val="24"/>
                <w:szCs w:val="24"/>
              </w:rPr>
              <w:t>207,5</w:t>
            </w:r>
          </w:p>
        </w:tc>
        <w:tc>
          <w:tcPr>
            <w:tcW w:w="1003" w:type="pct"/>
            <w:vAlign w:val="center"/>
          </w:tcPr>
          <w:p w14:paraId="04A6691C" w14:textId="77777777" w:rsidR="00CB0323" w:rsidRPr="00A073CB" w:rsidRDefault="00CB0323" w:rsidP="00CB0323">
            <w:pPr>
              <w:spacing w:after="0" w:line="240" w:lineRule="auto"/>
              <w:jc w:val="center"/>
              <w:rPr>
                <w:rFonts w:ascii="Times New Roman" w:hAnsi="Times New Roman"/>
                <w:sz w:val="24"/>
                <w:szCs w:val="24"/>
              </w:rPr>
            </w:pPr>
            <w:r w:rsidRPr="00A073CB">
              <w:rPr>
                <w:rFonts w:ascii="Times New Roman" w:hAnsi="Times New Roman"/>
                <w:sz w:val="24"/>
                <w:szCs w:val="24"/>
              </w:rPr>
              <w:t>202,9</w:t>
            </w:r>
          </w:p>
        </w:tc>
      </w:tr>
      <w:tr w:rsidR="00CB0323" w:rsidRPr="00A073CB" w14:paraId="00D478A1" w14:textId="77777777" w:rsidTr="0081656D">
        <w:trPr>
          <w:cantSplit/>
          <w:jc w:val="center"/>
        </w:trPr>
        <w:tc>
          <w:tcPr>
            <w:tcW w:w="1948" w:type="pct"/>
            <w:vAlign w:val="center"/>
          </w:tcPr>
          <w:p w14:paraId="4BB39122" w14:textId="77777777" w:rsidR="00CB0323" w:rsidRPr="00A073CB" w:rsidRDefault="00CB0323" w:rsidP="00CB0323">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Яйца, шт.</w:t>
            </w:r>
          </w:p>
        </w:tc>
        <w:tc>
          <w:tcPr>
            <w:tcW w:w="1029" w:type="pct"/>
            <w:vAlign w:val="center"/>
          </w:tcPr>
          <w:p w14:paraId="42D390CE" w14:textId="77777777" w:rsidR="00CB0323" w:rsidRPr="00A073CB" w:rsidRDefault="00CB0323" w:rsidP="00CB0323">
            <w:pPr>
              <w:spacing w:after="0" w:line="240" w:lineRule="auto"/>
              <w:jc w:val="center"/>
              <w:rPr>
                <w:rFonts w:ascii="Times New Roman" w:hAnsi="Times New Roman"/>
                <w:sz w:val="24"/>
                <w:szCs w:val="24"/>
              </w:rPr>
            </w:pPr>
            <w:r w:rsidRPr="00A073CB">
              <w:rPr>
                <w:rFonts w:ascii="Times New Roman" w:hAnsi="Times New Roman"/>
                <w:sz w:val="24"/>
                <w:szCs w:val="24"/>
              </w:rPr>
              <w:t>20</w:t>
            </w:r>
            <w:r>
              <w:rPr>
                <w:rFonts w:ascii="Times New Roman" w:hAnsi="Times New Roman"/>
                <w:sz w:val="24"/>
                <w:szCs w:val="24"/>
              </w:rPr>
              <w:t>8</w:t>
            </w:r>
          </w:p>
        </w:tc>
        <w:tc>
          <w:tcPr>
            <w:tcW w:w="1020" w:type="pct"/>
            <w:vAlign w:val="center"/>
          </w:tcPr>
          <w:p w14:paraId="4967054E" w14:textId="77777777" w:rsidR="00CB0323" w:rsidRPr="00A073CB" w:rsidRDefault="00CB0323" w:rsidP="00CB0323">
            <w:pPr>
              <w:spacing w:after="0" w:line="240" w:lineRule="auto"/>
              <w:jc w:val="center"/>
              <w:rPr>
                <w:rFonts w:ascii="Times New Roman" w:hAnsi="Times New Roman"/>
                <w:sz w:val="24"/>
                <w:szCs w:val="24"/>
              </w:rPr>
            </w:pPr>
            <w:r w:rsidRPr="00A073CB">
              <w:rPr>
                <w:rFonts w:ascii="Times New Roman" w:hAnsi="Times New Roman"/>
                <w:sz w:val="24"/>
                <w:szCs w:val="24"/>
              </w:rPr>
              <w:t>182</w:t>
            </w:r>
          </w:p>
        </w:tc>
        <w:tc>
          <w:tcPr>
            <w:tcW w:w="1003" w:type="pct"/>
            <w:vAlign w:val="center"/>
          </w:tcPr>
          <w:p w14:paraId="10434C58" w14:textId="77777777" w:rsidR="00CB0323" w:rsidRPr="00A073CB" w:rsidRDefault="00CB0323" w:rsidP="00CB0323">
            <w:pPr>
              <w:spacing w:after="0" w:line="240" w:lineRule="auto"/>
              <w:jc w:val="center"/>
              <w:rPr>
                <w:rFonts w:ascii="Times New Roman" w:hAnsi="Times New Roman"/>
                <w:sz w:val="24"/>
                <w:szCs w:val="24"/>
              </w:rPr>
            </w:pPr>
            <w:r w:rsidRPr="00A073CB">
              <w:rPr>
                <w:rFonts w:ascii="Times New Roman" w:hAnsi="Times New Roman"/>
                <w:sz w:val="24"/>
                <w:szCs w:val="24"/>
              </w:rPr>
              <w:t>175</w:t>
            </w:r>
          </w:p>
        </w:tc>
      </w:tr>
      <w:tr w:rsidR="00CB0323" w:rsidRPr="00A073CB" w14:paraId="5B2E7417" w14:textId="77777777" w:rsidTr="0081656D">
        <w:trPr>
          <w:cantSplit/>
          <w:jc w:val="center"/>
        </w:trPr>
        <w:tc>
          <w:tcPr>
            <w:tcW w:w="1948" w:type="pct"/>
            <w:vAlign w:val="center"/>
          </w:tcPr>
          <w:p w14:paraId="722475DA" w14:textId="77777777" w:rsidR="00CB0323" w:rsidRPr="00A073CB" w:rsidRDefault="00CB0323" w:rsidP="00CB0323">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Рыба и рыбные продукты</w:t>
            </w:r>
          </w:p>
        </w:tc>
        <w:tc>
          <w:tcPr>
            <w:tcW w:w="1029" w:type="pct"/>
            <w:vAlign w:val="center"/>
          </w:tcPr>
          <w:p w14:paraId="7BCA2354" w14:textId="77777777" w:rsidR="00CB0323" w:rsidRPr="00A073CB" w:rsidRDefault="00CB0323" w:rsidP="00CB0323">
            <w:pPr>
              <w:spacing w:after="0" w:line="240" w:lineRule="auto"/>
              <w:jc w:val="center"/>
              <w:rPr>
                <w:rFonts w:ascii="Times New Roman" w:hAnsi="Times New Roman"/>
                <w:sz w:val="24"/>
                <w:szCs w:val="24"/>
              </w:rPr>
            </w:pPr>
            <w:r w:rsidRPr="00A073CB">
              <w:rPr>
                <w:rFonts w:ascii="Times New Roman" w:hAnsi="Times New Roman"/>
                <w:sz w:val="24"/>
                <w:szCs w:val="24"/>
              </w:rPr>
              <w:t>19,1</w:t>
            </w:r>
          </w:p>
        </w:tc>
        <w:tc>
          <w:tcPr>
            <w:tcW w:w="1020" w:type="pct"/>
            <w:vAlign w:val="center"/>
          </w:tcPr>
          <w:p w14:paraId="14BA51EB" w14:textId="77777777" w:rsidR="00CB0323" w:rsidRPr="00A073CB" w:rsidRDefault="00CB0323" w:rsidP="00CB0323">
            <w:pPr>
              <w:spacing w:after="0" w:line="240" w:lineRule="auto"/>
              <w:jc w:val="center"/>
              <w:rPr>
                <w:rFonts w:ascii="Times New Roman" w:hAnsi="Times New Roman"/>
                <w:sz w:val="24"/>
                <w:szCs w:val="24"/>
              </w:rPr>
            </w:pPr>
            <w:r w:rsidRPr="00A073CB">
              <w:rPr>
                <w:rFonts w:ascii="Times New Roman" w:hAnsi="Times New Roman"/>
                <w:sz w:val="24"/>
                <w:szCs w:val="24"/>
              </w:rPr>
              <w:t>15,8</w:t>
            </w:r>
          </w:p>
        </w:tc>
        <w:tc>
          <w:tcPr>
            <w:tcW w:w="1003" w:type="pct"/>
            <w:vAlign w:val="center"/>
          </w:tcPr>
          <w:p w14:paraId="4AE55659" w14:textId="77777777" w:rsidR="00CB0323" w:rsidRPr="00A073CB" w:rsidRDefault="00CB0323" w:rsidP="00CB0323">
            <w:pPr>
              <w:spacing w:after="0" w:line="240" w:lineRule="auto"/>
              <w:jc w:val="center"/>
              <w:rPr>
                <w:rFonts w:ascii="Times New Roman" w:hAnsi="Times New Roman"/>
                <w:sz w:val="24"/>
                <w:szCs w:val="24"/>
              </w:rPr>
            </w:pPr>
            <w:r w:rsidRPr="00A073CB">
              <w:rPr>
                <w:rFonts w:ascii="Times New Roman" w:hAnsi="Times New Roman"/>
                <w:sz w:val="24"/>
                <w:szCs w:val="24"/>
              </w:rPr>
              <w:t>14,2</w:t>
            </w:r>
          </w:p>
        </w:tc>
      </w:tr>
      <w:tr w:rsidR="00CB0323" w:rsidRPr="00A073CB" w14:paraId="45B6E959" w14:textId="77777777" w:rsidTr="0081656D">
        <w:trPr>
          <w:cantSplit/>
          <w:jc w:val="center"/>
        </w:trPr>
        <w:tc>
          <w:tcPr>
            <w:tcW w:w="1948" w:type="pct"/>
            <w:vAlign w:val="center"/>
          </w:tcPr>
          <w:p w14:paraId="20287571" w14:textId="77777777" w:rsidR="00CB0323" w:rsidRPr="00A073CB" w:rsidRDefault="00CB0323" w:rsidP="00CB0323">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Сахар и кондитерские изделия</w:t>
            </w:r>
          </w:p>
        </w:tc>
        <w:tc>
          <w:tcPr>
            <w:tcW w:w="1029" w:type="pct"/>
            <w:vAlign w:val="center"/>
          </w:tcPr>
          <w:p w14:paraId="4B2E36C8" w14:textId="77777777" w:rsidR="00CB0323" w:rsidRPr="00A073CB" w:rsidRDefault="00CB0323" w:rsidP="00CB0323">
            <w:pPr>
              <w:spacing w:after="0" w:line="240" w:lineRule="auto"/>
              <w:jc w:val="center"/>
              <w:rPr>
                <w:rFonts w:ascii="Times New Roman" w:hAnsi="Times New Roman"/>
                <w:sz w:val="24"/>
                <w:szCs w:val="24"/>
              </w:rPr>
            </w:pPr>
            <w:r w:rsidRPr="00A073CB">
              <w:rPr>
                <w:rFonts w:ascii="Times New Roman" w:hAnsi="Times New Roman"/>
                <w:sz w:val="24"/>
                <w:szCs w:val="24"/>
              </w:rPr>
              <w:t>27,3</w:t>
            </w:r>
          </w:p>
        </w:tc>
        <w:tc>
          <w:tcPr>
            <w:tcW w:w="1020" w:type="pct"/>
            <w:vAlign w:val="center"/>
          </w:tcPr>
          <w:p w14:paraId="46F8827A" w14:textId="77777777" w:rsidR="00CB0323" w:rsidRPr="00A073CB" w:rsidRDefault="00CB0323" w:rsidP="00CB0323">
            <w:pPr>
              <w:spacing w:after="0" w:line="240" w:lineRule="auto"/>
              <w:jc w:val="center"/>
              <w:rPr>
                <w:rFonts w:ascii="Times New Roman" w:hAnsi="Times New Roman"/>
                <w:sz w:val="24"/>
                <w:szCs w:val="24"/>
              </w:rPr>
            </w:pPr>
            <w:r w:rsidRPr="00A073CB">
              <w:rPr>
                <w:rFonts w:ascii="Times New Roman" w:hAnsi="Times New Roman"/>
                <w:sz w:val="24"/>
                <w:szCs w:val="24"/>
              </w:rPr>
              <w:t>25,8</w:t>
            </w:r>
          </w:p>
        </w:tc>
        <w:tc>
          <w:tcPr>
            <w:tcW w:w="1003" w:type="pct"/>
            <w:vAlign w:val="center"/>
          </w:tcPr>
          <w:p w14:paraId="46B26AC5" w14:textId="77777777" w:rsidR="00CB0323" w:rsidRPr="00A073CB" w:rsidRDefault="00CB0323" w:rsidP="00CB0323">
            <w:pPr>
              <w:spacing w:after="0" w:line="240" w:lineRule="auto"/>
              <w:jc w:val="center"/>
              <w:rPr>
                <w:rFonts w:ascii="Times New Roman" w:hAnsi="Times New Roman"/>
                <w:sz w:val="24"/>
                <w:szCs w:val="24"/>
              </w:rPr>
            </w:pPr>
            <w:r w:rsidRPr="00A073CB">
              <w:rPr>
                <w:rFonts w:ascii="Times New Roman" w:hAnsi="Times New Roman"/>
                <w:sz w:val="24"/>
                <w:szCs w:val="24"/>
              </w:rPr>
              <w:t>26,6</w:t>
            </w:r>
          </w:p>
        </w:tc>
      </w:tr>
      <w:tr w:rsidR="00CB0323" w:rsidRPr="00A073CB" w14:paraId="4C40761C" w14:textId="77777777" w:rsidTr="0081656D">
        <w:trPr>
          <w:cantSplit/>
          <w:jc w:val="center"/>
        </w:trPr>
        <w:tc>
          <w:tcPr>
            <w:tcW w:w="1948" w:type="pct"/>
            <w:vAlign w:val="center"/>
          </w:tcPr>
          <w:p w14:paraId="1522D6BF" w14:textId="77777777" w:rsidR="00CB0323" w:rsidRPr="00A073CB" w:rsidRDefault="00CB0323" w:rsidP="00CB0323">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Масло растительное и другие жиры</w:t>
            </w:r>
          </w:p>
        </w:tc>
        <w:tc>
          <w:tcPr>
            <w:tcW w:w="1029" w:type="pct"/>
            <w:vAlign w:val="center"/>
          </w:tcPr>
          <w:p w14:paraId="749527F0" w14:textId="77777777" w:rsidR="00CB0323" w:rsidRPr="00A073CB" w:rsidRDefault="00CB0323" w:rsidP="00CB0323">
            <w:pPr>
              <w:spacing w:after="0" w:line="240" w:lineRule="auto"/>
              <w:jc w:val="center"/>
              <w:rPr>
                <w:rFonts w:ascii="Times New Roman" w:hAnsi="Times New Roman"/>
                <w:sz w:val="24"/>
                <w:szCs w:val="24"/>
              </w:rPr>
            </w:pPr>
            <w:r w:rsidRPr="00A073CB">
              <w:rPr>
                <w:rFonts w:ascii="Times New Roman" w:hAnsi="Times New Roman"/>
                <w:sz w:val="24"/>
                <w:szCs w:val="24"/>
              </w:rPr>
              <w:t>8,8</w:t>
            </w:r>
          </w:p>
        </w:tc>
        <w:tc>
          <w:tcPr>
            <w:tcW w:w="1020" w:type="pct"/>
            <w:vAlign w:val="center"/>
          </w:tcPr>
          <w:p w14:paraId="192A1821" w14:textId="77777777" w:rsidR="00CB0323" w:rsidRPr="00A073CB" w:rsidRDefault="00CB0323" w:rsidP="00CB0323">
            <w:pPr>
              <w:spacing w:after="0" w:line="240" w:lineRule="auto"/>
              <w:jc w:val="center"/>
              <w:rPr>
                <w:rFonts w:ascii="Times New Roman" w:hAnsi="Times New Roman"/>
                <w:sz w:val="24"/>
                <w:szCs w:val="24"/>
              </w:rPr>
            </w:pPr>
            <w:r w:rsidRPr="00A073CB">
              <w:rPr>
                <w:rFonts w:ascii="Times New Roman" w:hAnsi="Times New Roman"/>
                <w:sz w:val="24"/>
                <w:szCs w:val="24"/>
              </w:rPr>
              <w:t>8,0</w:t>
            </w:r>
          </w:p>
        </w:tc>
        <w:tc>
          <w:tcPr>
            <w:tcW w:w="1003" w:type="pct"/>
            <w:vAlign w:val="center"/>
          </w:tcPr>
          <w:p w14:paraId="7EEC59DD" w14:textId="77777777" w:rsidR="00CB0323" w:rsidRPr="002C5CBC" w:rsidRDefault="00CB0323" w:rsidP="00CB0323">
            <w:pPr>
              <w:spacing w:after="0" w:line="240" w:lineRule="auto"/>
              <w:jc w:val="center"/>
              <w:rPr>
                <w:rFonts w:ascii="Times New Roman" w:hAnsi="Times New Roman"/>
                <w:sz w:val="24"/>
                <w:szCs w:val="24"/>
              </w:rPr>
            </w:pPr>
            <w:r w:rsidRPr="00A073CB">
              <w:rPr>
                <w:rFonts w:ascii="Times New Roman" w:hAnsi="Times New Roman"/>
                <w:sz w:val="24"/>
                <w:szCs w:val="24"/>
              </w:rPr>
              <w:t>8,6</w:t>
            </w:r>
          </w:p>
        </w:tc>
      </w:tr>
      <w:tr w:rsidR="00CB0323" w:rsidRPr="00A073CB" w14:paraId="789BBCEE" w14:textId="77777777" w:rsidTr="00944CB1">
        <w:trPr>
          <w:cantSplit/>
          <w:jc w:val="center"/>
        </w:trPr>
        <w:tc>
          <w:tcPr>
            <w:tcW w:w="5000" w:type="pct"/>
            <w:gridSpan w:val="4"/>
            <w:vAlign w:val="bottom"/>
          </w:tcPr>
          <w:p w14:paraId="5FFFEFB4" w14:textId="77777777" w:rsidR="00CB0323" w:rsidRPr="00A073CB" w:rsidRDefault="00CB0323" w:rsidP="00CB0323">
            <w:pPr>
              <w:spacing w:before="40" w:after="0" w:line="240" w:lineRule="auto"/>
              <w:ind w:right="-14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 г.</w:t>
            </w:r>
          </w:p>
        </w:tc>
      </w:tr>
      <w:tr w:rsidR="00CB0323" w:rsidRPr="00A073CB" w14:paraId="7EF7AE8D" w14:textId="77777777" w:rsidTr="0081656D">
        <w:trPr>
          <w:cantSplit/>
          <w:jc w:val="center"/>
        </w:trPr>
        <w:tc>
          <w:tcPr>
            <w:tcW w:w="1948" w:type="pct"/>
            <w:vAlign w:val="center"/>
          </w:tcPr>
          <w:p w14:paraId="09ABEFEC" w14:textId="77777777" w:rsidR="00CB0323" w:rsidRPr="00A073CB" w:rsidRDefault="00CB0323" w:rsidP="00CB0323">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Хлеб и хлебные продукты</w:t>
            </w:r>
          </w:p>
        </w:tc>
        <w:tc>
          <w:tcPr>
            <w:tcW w:w="1029" w:type="pct"/>
            <w:vAlign w:val="bottom"/>
          </w:tcPr>
          <w:p w14:paraId="241FF525" w14:textId="77777777" w:rsidR="00CB0323" w:rsidRPr="00CA2ECA" w:rsidRDefault="00CB0323" w:rsidP="00CB0323">
            <w:pPr>
              <w:spacing w:after="0" w:line="240" w:lineRule="auto"/>
              <w:jc w:val="center"/>
              <w:rPr>
                <w:rFonts w:ascii="Times New Roman" w:hAnsi="Times New Roman"/>
                <w:sz w:val="24"/>
                <w:szCs w:val="24"/>
              </w:rPr>
            </w:pPr>
            <w:r w:rsidRPr="00CA2ECA">
              <w:rPr>
                <w:rFonts w:ascii="Times New Roman" w:hAnsi="Times New Roman"/>
                <w:sz w:val="24"/>
                <w:szCs w:val="24"/>
              </w:rPr>
              <w:t>77,6</w:t>
            </w:r>
          </w:p>
        </w:tc>
        <w:tc>
          <w:tcPr>
            <w:tcW w:w="1020" w:type="pct"/>
            <w:vAlign w:val="bottom"/>
          </w:tcPr>
          <w:p w14:paraId="790C600F" w14:textId="77777777" w:rsidR="00CB0323" w:rsidRPr="00CA2ECA" w:rsidRDefault="00CB0323" w:rsidP="00CB0323">
            <w:pPr>
              <w:spacing w:after="0" w:line="240" w:lineRule="auto"/>
              <w:jc w:val="center"/>
              <w:rPr>
                <w:rFonts w:ascii="Times New Roman" w:hAnsi="Times New Roman"/>
                <w:sz w:val="24"/>
                <w:szCs w:val="24"/>
              </w:rPr>
            </w:pPr>
            <w:r w:rsidRPr="00CA2ECA">
              <w:rPr>
                <w:rFonts w:ascii="Times New Roman" w:hAnsi="Times New Roman"/>
                <w:sz w:val="24"/>
                <w:szCs w:val="24"/>
              </w:rPr>
              <w:t>72,8</w:t>
            </w:r>
          </w:p>
        </w:tc>
        <w:tc>
          <w:tcPr>
            <w:tcW w:w="1003" w:type="pct"/>
            <w:vAlign w:val="bottom"/>
          </w:tcPr>
          <w:p w14:paraId="6ACE148F" w14:textId="77777777" w:rsidR="00CB0323" w:rsidRPr="00CA2ECA" w:rsidRDefault="00CB0323" w:rsidP="00CB0323">
            <w:pPr>
              <w:spacing w:after="0" w:line="240" w:lineRule="auto"/>
              <w:jc w:val="center"/>
              <w:rPr>
                <w:rFonts w:ascii="Times New Roman" w:hAnsi="Times New Roman"/>
                <w:sz w:val="24"/>
                <w:szCs w:val="24"/>
              </w:rPr>
            </w:pPr>
            <w:r w:rsidRPr="00CA2ECA">
              <w:rPr>
                <w:rFonts w:ascii="Times New Roman" w:hAnsi="Times New Roman"/>
                <w:sz w:val="24"/>
                <w:szCs w:val="24"/>
              </w:rPr>
              <w:t>83,2</w:t>
            </w:r>
          </w:p>
        </w:tc>
      </w:tr>
      <w:tr w:rsidR="00CB0323" w:rsidRPr="00A073CB" w14:paraId="32098D11" w14:textId="77777777" w:rsidTr="0081656D">
        <w:trPr>
          <w:cantSplit/>
          <w:jc w:val="center"/>
        </w:trPr>
        <w:tc>
          <w:tcPr>
            <w:tcW w:w="1948" w:type="pct"/>
            <w:vAlign w:val="center"/>
          </w:tcPr>
          <w:p w14:paraId="7EF05A1E" w14:textId="77777777" w:rsidR="00CB0323" w:rsidRPr="00A073CB" w:rsidRDefault="00CB0323" w:rsidP="00CB0323">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Картофель</w:t>
            </w:r>
          </w:p>
        </w:tc>
        <w:tc>
          <w:tcPr>
            <w:tcW w:w="1029" w:type="pct"/>
            <w:vAlign w:val="bottom"/>
          </w:tcPr>
          <w:p w14:paraId="65BE3DB0" w14:textId="77777777" w:rsidR="00CB0323" w:rsidRPr="00CA2ECA" w:rsidRDefault="00CB0323" w:rsidP="00CB0323">
            <w:pPr>
              <w:spacing w:after="0" w:line="240" w:lineRule="auto"/>
              <w:jc w:val="center"/>
              <w:rPr>
                <w:rFonts w:ascii="Times New Roman" w:hAnsi="Times New Roman"/>
                <w:sz w:val="24"/>
                <w:szCs w:val="24"/>
              </w:rPr>
            </w:pPr>
            <w:r w:rsidRPr="00CA2ECA">
              <w:rPr>
                <w:rFonts w:ascii="Times New Roman" w:hAnsi="Times New Roman"/>
                <w:sz w:val="24"/>
                <w:szCs w:val="24"/>
              </w:rPr>
              <w:t>46,8</w:t>
            </w:r>
          </w:p>
        </w:tc>
        <w:tc>
          <w:tcPr>
            <w:tcW w:w="1020" w:type="pct"/>
            <w:vAlign w:val="bottom"/>
          </w:tcPr>
          <w:p w14:paraId="4E516E77" w14:textId="77777777" w:rsidR="00CB0323" w:rsidRPr="00CA2ECA" w:rsidRDefault="00CB0323" w:rsidP="00CB0323">
            <w:pPr>
              <w:spacing w:after="0" w:line="240" w:lineRule="auto"/>
              <w:jc w:val="center"/>
              <w:rPr>
                <w:rFonts w:ascii="Times New Roman" w:hAnsi="Times New Roman"/>
                <w:sz w:val="24"/>
                <w:szCs w:val="24"/>
              </w:rPr>
            </w:pPr>
            <w:r w:rsidRPr="00CA2ECA">
              <w:rPr>
                <w:rFonts w:ascii="Times New Roman" w:hAnsi="Times New Roman"/>
                <w:sz w:val="24"/>
                <w:szCs w:val="24"/>
              </w:rPr>
              <w:t>42,1</w:t>
            </w:r>
          </w:p>
        </w:tc>
        <w:tc>
          <w:tcPr>
            <w:tcW w:w="1003" w:type="pct"/>
            <w:vAlign w:val="bottom"/>
          </w:tcPr>
          <w:p w14:paraId="2507A9CB" w14:textId="77777777" w:rsidR="00CB0323" w:rsidRPr="00CA2ECA" w:rsidRDefault="00CB0323" w:rsidP="00CB0323">
            <w:pPr>
              <w:spacing w:after="0" w:line="240" w:lineRule="auto"/>
              <w:jc w:val="center"/>
              <w:rPr>
                <w:rFonts w:ascii="Times New Roman" w:hAnsi="Times New Roman"/>
                <w:sz w:val="24"/>
                <w:szCs w:val="24"/>
              </w:rPr>
            </w:pPr>
            <w:r w:rsidRPr="00CA2ECA">
              <w:rPr>
                <w:rFonts w:ascii="Times New Roman" w:hAnsi="Times New Roman"/>
                <w:sz w:val="24"/>
                <w:szCs w:val="24"/>
              </w:rPr>
              <w:t>45,5</w:t>
            </w:r>
          </w:p>
        </w:tc>
      </w:tr>
      <w:tr w:rsidR="00CB0323" w:rsidRPr="00A073CB" w14:paraId="642610CF" w14:textId="77777777" w:rsidTr="0081656D">
        <w:trPr>
          <w:cantSplit/>
          <w:jc w:val="center"/>
        </w:trPr>
        <w:tc>
          <w:tcPr>
            <w:tcW w:w="1948" w:type="pct"/>
            <w:vAlign w:val="center"/>
          </w:tcPr>
          <w:p w14:paraId="3375811F" w14:textId="77777777" w:rsidR="00CB0323" w:rsidRPr="00A073CB" w:rsidRDefault="00CB0323" w:rsidP="00CB0323">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Овощи и бахчевые</w:t>
            </w:r>
          </w:p>
        </w:tc>
        <w:tc>
          <w:tcPr>
            <w:tcW w:w="1029" w:type="pct"/>
            <w:vAlign w:val="bottom"/>
          </w:tcPr>
          <w:p w14:paraId="3DE741BA" w14:textId="77777777" w:rsidR="00CB0323" w:rsidRPr="00CA2ECA" w:rsidRDefault="00CB0323" w:rsidP="00CB0323">
            <w:pPr>
              <w:spacing w:after="0" w:line="240" w:lineRule="auto"/>
              <w:jc w:val="center"/>
              <w:rPr>
                <w:rFonts w:ascii="Times New Roman" w:hAnsi="Times New Roman"/>
                <w:sz w:val="24"/>
                <w:szCs w:val="24"/>
              </w:rPr>
            </w:pPr>
            <w:r w:rsidRPr="00CA2ECA">
              <w:rPr>
                <w:rFonts w:ascii="Times New Roman" w:hAnsi="Times New Roman"/>
                <w:sz w:val="24"/>
                <w:szCs w:val="24"/>
              </w:rPr>
              <w:t>87,9</w:t>
            </w:r>
          </w:p>
        </w:tc>
        <w:tc>
          <w:tcPr>
            <w:tcW w:w="1020" w:type="pct"/>
            <w:vAlign w:val="bottom"/>
          </w:tcPr>
          <w:p w14:paraId="6BD150A3" w14:textId="77777777" w:rsidR="00CB0323" w:rsidRPr="00CA2ECA" w:rsidRDefault="00CB0323" w:rsidP="00CB0323">
            <w:pPr>
              <w:spacing w:after="0" w:line="240" w:lineRule="auto"/>
              <w:jc w:val="center"/>
              <w:rPr>
                <w:rFonts w:ascii="Times New Roman" w:hAnsi="Times New Roman"/>
                <w:sz w:val="24"/>
                <w:szCs w:val="24"/>
              </w:rPr>
            </w:pPr>
            <w:r w:rsidRPr="00CA2ECA">
              <w:rPr>
                <w:rFonts w:ascii="Times New Roman" w:hAnsi="Times New Roman"/>
                <w:sz w:val="24"/>
                <w:szCs w:val="24"/>
              </w:rPr>
              <w:t>75,7</w:t>
            </w:r>
          </w:p>
        </w:tc>
        <w:tc>
          <w:tcPr>
            <w:tcW w:w="1003" w:type="pct"/>
            <w:vAlign w:val="bottom"/>
          </w:tcPr>
          <w:p w14:paraId="580F75C6" w14:textId="77777777" w:rsidR="00CB0323" w:rsidRPr="00CA2ECA" w:rsidRDefault="00CB0323" w:rsidP="00CB0323">
            <w:pPr>
              <w:spacing w:after="0" w:line="240" w:lineRule="auto"/>
              <w:jc w:val="center"/>
              <w:rPr>
                <w:rFonts w:ascii="Times New Roman" w:hAnsi="Times New Roman"/>
                <w:sz w:val="24"/>
                <w:szCs w:val="24"/>
              </w:rPr>
            </w:pPr>
            <w:r w:rsidRPr="00CA2ECA">
              <w:rPr>
                <w:rFonts w:ascii="Times New Roman" w:hAnsi="Times New Roman"/>
                <w:sz w:val="24"/>
                <w:szCs w:val="24"/>
              </w:rPr>
              <w:t>72,3</w:t>
            </w:r>
          </w:p>
        </w:tc>
      </w:tr>
      <w:tr w:rsidR="00CB0323" w:rsidRPr="00A073CB" w14:paraId="05F5EADA" w14:textId="77777777" w:rsidTr="0081656D">
        <w:trPr>
          <w:cantSplit/>
          <w:jc w:val="center"/>
        </w:trPr>
        <w:tc>
          <w:tcPr>
            <w:tcW w:w="1948" w:type="pct"/>
            <w:vAlign w:val="center"/>
          </w:tcPr>
          <w:p w14:paraId="235FB3E9" w14:textId="77777777" w:rsidR="00CB0323" w:rsidRPr="00A073CB" w:rsidRDefault="00CB0323" w:rsidP="00CB0323">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Фрукты и ягоды</w:t>
            </w:r>
          </w:p>
        </w:tc>
        <w:tc>
          <w:tcPr>
            <w:tcW w:w="1029" w:type="pct"/>
            <w:vAlign w:val="bottom"/>
          </w:tcPr>
          <w:p w14:paraId="2985BBE6" w14:textId="77777777" w:rsidR="00CB0323" w:rsidRPr="00CA2ECA" w:rsidRDefault="00CB0323" w:rsidP="00CB0323">
            <w:pPr>
              <w:spacing w:after="0" w:line="240" w:lineRule="auto"/>
              <w:jc w:val="center"/>
              <w:rPr>
                <w:rFonts w:ascii="Times New Roman" w:hAnsi="Times New Roman"/>
                <w:sz w:val="24"/>
                <w:szCs w:val="24"/>
              </w:rPr>
            </w:pPr>
            <w:r w:rsidRPr="00CA2ECA">
              <w:rPr>
                <w:rFonts w:ascii="Times New Roman" w:hAnsi="Times New Roman"/>
                <w:sz w:val="24"/>
                <w:szCs w:val="24"/>
              </w:rPr>
              <w:t>66,8</w:t>
            </w:r>
          </w:p>
        </w:tc>
        <w:tc>
          <w:tcPr>
            <w:tcW w:w="1020" w:type="pct"/>
            <w:vAlign w:val="bottom"/>
          </w:tcPr>
          <w:p w14:paraId="0A86409F" w14:textId="77777777" w:rsidR="00CB0323" w:rsidRPr="00CA2ECA" w:rsidRDefault="00CB0323" w:rsidP="00CB0323">
            <w:pPr>
              <w:spacing w:after="0" w:line="240" w:lineRule="auto"/>
              <w:jc w:val="center"/>
              <w:rPr>
                <w:rFonts w:ascii="Times New Roman" w:hAnsi="Times New Roman"/>
                <w:sz w:val="24"/>
                <w:szCs w:val="24"/>
              </w:rPr>
            </w:pPr>
            <w:r w:rsidRPr="00CA2ECA">
              <w:rPr>
                <w:rFonts w:ascii="Times New Roman" w:hAnsi="Times New Roman"/>
                <w:sz w:val="24"/>
                <w:szCs w:val="24"/>
              </w:rPr>
              <w:t>58,2</w:t>
            </w:r>
          </w:p>
        </w:tc>
        <w:tc>
          <w:tcPr>
            <w:tcW w:w="1003" w:type="pct"/>
            <w:vAlign w:val="bottom"/>
          </w:tcPr>
          <w:p w14:paraId="5B69D3F9" w14:textId="77777777" w:rsidR="00CB0323" w:rsidRPr="00CA2ECA" w:rsidRDefault="00CB0323" w:rsidP="00CB0323">
            <w:pPr>
              <w:spacing w:after="0" w:line="240" w:lineRule="auto"/>
              <w:jc w:val="center"/>
              <w:rPr>
                <w:rFonts w:ascii="Times New Roman" w:hAnsi="Times New Roman"/>
                <w:sz w:val="24"/>
                <w:szCs w:val="24"/>
              </w:rPr>
            </w:pPr>
            <w:r w:rsidRPr="00CA2ECA">
              <w:rPr>
                <w:rFonts w:ascii="Times New Roman" w:hAnsi="Times New Roman"/>
                <w:sz w:val="24"/>
                <w:szCs w:val="24"/>
              </w:rPr>
              <w:t>53,4</w:t>
            </w:r>
          </w:p>
        </w:tc>
      </w:tr>
      <w:tr w:rsidR="00CB0323" w:rsidRPr="00A073CB" w14:paraId="6581A775" w14:textId="77777777" w:rsidTr="0081656D">
        <w:trPr>
          <w:cantSplit/>
          <w:jc w:val="center"/>
        </w:trPr>
        <w:tc>
          <w:tcPr>
            <w:tcW w:w="1948" w:type="pct"/>
            <w:vAlign w:val="center"/>
          </w:tcPr>
          <w:p w14:paraId="463F562E" w14:textId="77777777" w:rsidR="00CB0323" w:rsidRPr="00A073CB" w:rsidRDefault="00CB0323" w:rsidP="00CB0323">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Мясо и мясные продукты</w:t>
            </w:r>
          </w:p>
        </w:tc>
        <w:tc>
          <w:tcPr>
            <w:tcW w:w="1029" w:type="pct"/>
            <w:vAlign w:val="bottom"/>
          </w:tcPr>
          <w:p w14:paraId="06DA0A44" w14:textId="77777777" w:rsidR="00CB0323" w:rsidRPr="00CA2ECA" w:rsidRDefault="00CB0323" w:rsidP="00CB0323">
            <w:pPr>
              <w:spacing w:after="0" w:line="240" w:lineRule="auto"/>
              <w:jc w:val="center"/>
              <w:rPr>
                <w:rFonts w:ascii="Times New Roman" w:hAnsi="Times New Roman"/>
                <w:sz w:val="24"/>
                <w:szCs w:val="24"/>
              </w:rPr>
            </w:pPr>
            <w:r w:rsidRPr="00CA2ECA">
              <w:rPr>
                <w:rFonts w:ascii="Times New Roman" w:hAnsi="Times New Roman"/>
                <w:sz w:val="24"/>
                <w:szCs w:val="24"/>
              </w:rPr>
              <w:t>84,2</w:t>
            </w:r>
          </w:p>
        </w:tc>
        <w:tc>
          <w:tcPr>
            <w:tcW w:w="1020" w:type="pct"/>
            <w:vAlign w:val="bottom"/>
          </w:tcPr>
          <w:p w14:paraId="75C8873A" w14:textId="77777777" w:rsidR="00CB0323" w:rsidRPr="00CA2ECA" w:rsidRDefault="00CB0323" w:rsidP="00CB0323">
            <w:pPr>
              <w:spacing w:after="0" w:line="240" w:lineRule="auto"/>
              <w:jc w:val="center"/>
              <w:rPr>
                <w:rFonts w:ascii="Times New Roman" w:hAnsi="Times New Roman"/>
                <w:sz w:val="24"/>
                <w:szCs w:val="24"/>
              </w:rPr>
            </w:pPr>
            <w:r w:rsidRPr="00CA2ECA">
              <w:rPr>
                <w:rFonts w:ascii="Times New Roman" w:hAnsi="Times New Roman"/>
                <w:sz w:val="24"/>
                <w:szCs w:val="24"/>
              </w:rPr>
              <w:t>74,2</w:t>
            </w:r>
          </w:p>
        </w:tc>
        <w:tc>
          <w:tcPr>
            <w:tcW w:w="1003" w:type="pct"/>
            <w:vAlign w:val="bottom"/>
          </w:tcPr>
          <w:p w14:paraId="28F8A293" w14:textId="77777777" w:rsidR="00CB0323" w:rsidRPr="00CA2ECA" w:rsidRDefault="00CB0323" w:rsidP="00CB0323">
            <w:pPr>
              <w:spacing w:after="0" w:line="240" w:lineRule="auto"/>
              <w:jc w:val="center"/>
              <w:rPr>
                <w:rFonts w:ascii="Times New Roman" w:hAnsi="Times New Roman"/>
                <w:sz w:val="24"/>
                <w:szCs w:val="24"/>
              </w:rPr>
            </w:pPr>
            <w:r w:rsidRPr="00CA2ECA">
              <w:rPr>
                <w:rFonts w:ascii="Times New Roman" w:hAnsi="Times New Roman"/>
                <w:sz w:val="24"/>
                <w:szCs w:val="24"/>
              </w:rPr>
              <w:t>67,8</w:t>
            </w:r>
          </w:p>
        </w:tc>
      </w:tr>
      <w:tr w:rsidR="00CB0323" w:rsidRPr="00A073CB" w14:paraId="74A6E199" w14:textId="77777777" w:rsidTr="0081656D">
        <w:trPr>
          <w:cantSplit/>
          <w:jc w:val="center"/>
        </w:trPr>
        <w:tc>
          <w:tcPr>
            <w:tcW w:w="1948" w:type="pct"/>
            <w:vAlign w:val="center"/>
          </w:tcPr>
          <w:p w14:paraId="3A022D57" w14:textId="77777777" w:rsidR="00CB0323" w:rsidRPr="00A073CB" w:rsidRDefault="00CB0323" w:rsidP="00CB0323">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Молоко и молочные продукты</w:t>
            </w:r>
          </w:p>
        </w:tc>
        <w:tc>
          <w:tcPr>
            <w:tcW w:w="1029" w:type="pct"/>
            <w:vAlign w:val="bottom"/>
          </w:tcPr>
          <w:p w14:paraId="0092236C" w14:textId="77777777" w:rsidR="00CB0323" w:rsidRPr="00CA2ECA" w:rsidRDefault="00CB0323" w:rsidP="00CB0323">
            <w:pPr>
              <w:spacing w:after="0" w:line="240" w:lineRule="auto"/>
              <w:jc w:val="center"/>
              <w:rPr>
                <w:rFonts w:ascii="Times New Roman" w:hAnsi="Times New Roman"/>
                <w:sz w:val="24"/>
                <w:szCs w:val="24"/>
              </w:rPr>
            </w:pPr>
            <w:r w:rsidRPr="00CA2ECA">
              <w:rPr>
                <w:rFonts w:ascii="Times New Roman" w:hAnsi="Times New Roman"/>
                <w:sz w:val="24"/>
                <w:szCs w:val="24"/>
              </w:rPr>
              <w:t>229,4</w:t>
            </w:r>
          </w:p>
        </w:tc>
        <w:tc>
          <w:tcPr>
            <w:tcW w:w="1020" w:type="pct"/>
            <w:vAlign w:val="bottom"/>
          </w:tcPr>
          <w:p w14:paraId="01659E49" w14:textId="77777777" w:rsidR="00CB0323" w:rsidRPr="00CA2ECA" w:rsidRDefault="00CB0323" w:rsidP="00CB0323">
            <w:pPr>
              <w:spacing w:after="0" w:line="240" w:lineRule="auto"/>
              <w:jc w:val="center"/>
              <w:rPr>
                <w:rFonts w:ascii="Times New Roman" w:hAnsi="Times New Roman"/>
                <w:sz w:val="24"/>
                <w:szCs w:val="24"/>
              </w:rPr>
            </w:pPr>
            <w:r w:rsidRPr="00CA2ECA">
              <w:rPr>
                <w:rFonts w:ascii="Times New Roman" w:hAnsi="Times New Roman"/>
                <w:sz w:val="24"/>
                <w:szCs w:val="24"/>
              </w:rPr>
              <w:t>201,6</w:t>
            </w:r>
          </w:p>
        </w:tc>
        <w:tc>
          <w:tcPr>
            <w:tcW w:w="1003" w:type="pct"/>
            <w:vAlign w:val="bottom"/>
          </w:tcPr>
          <w:p w14:paraId="327604E7" w14:textId="77777777" w:rsidR="00CB0323" w:rsidRPr="00CA2ECA" w:rsidRDefault="00CB0323" w:rsidP="00CB0323">
            <w:pPr>
              <w:spacing w:after="0" w:line="240" w:lineRule="auto"/>
              <w:jc w:val="center"/>
              <w:rPr>
                <w:rFonts w:ascii="Times New Roman" w:hAnsi="Times New Roman"/>
                <w:sz w:val="24"/>
                <w:szCs w:val="24"/>
              </w:rPr>
            </w:pPr>
            <w:r w:rsidRPr="00CA2ECA">
              <w:rPr>
                <w:rFonts w:ascii="Times New Roman" w:hAnsi="Times New Roman"/>
                <w:sz w:val="24"/>
                <w:szCs w:val="24"/>
              </w:rPr>
              <w:t>194,7</w:t>
            </w:r>
          </w:p>
        </w:tc>
      </w:tr>
      <w:tr w:rsidR="00CB0323" w:rsidRPr="00A073CB" w14:paraId="6D8BE758" w14:textId="77777777" w:rsidTr="0081656D">
        <w:trPr>
          <w:cantSplit/>
          <w:jc w:val="center"/>
        </w:trPr>
        <w:tc>
          <w:tcPr>
            <w:tcW w:w="1948" w:type="pct"/>
            <w:vAlign w:val="center"/>
          </w:tcPr>
          <w:p w14:paraId="4129ADAB" w14:textId="77777777" w:rsidR="00CB0323" w:rsidRPr="00A073CB" w:rsidRDefault="00CB0323" w:rsidP="00CB0323">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Яйца, шт.</w:t>
            </w:r>
          </w:p>
        </w:tc>
        <w:tc>
          <w:tcPr>
            <w:tcW w:w="1029" w:type="pct"/>
            <w:vAlign w:val="bottom"/>
          </w:tcPr>
          <w:p w14:paraId="76F85DBF" w14:textId="77777777" w:rsidR="00CB0323" w:rsidRPr="00CA2ECA" w:rsidRDefault="00CB0323" w:rsidP="00CB0323">
            <w:pPr>
              <w:spacing w:after="0" w:line="240" w:lineRule="auto"/>
              <w:jc w:val="center"/>
              <w:rPr>
                <w:rFonts w:ascii="Times New Roman" w:hAnsi="Times New Roman"/>
                <w:sz w:val="24"/>
                <w:szCs w:val="24"/>
              </w:rPr>
            </w:pPr>
            <w:r w:rsidRPr="00CA2ECA">
              <w:rPr>
                <w:rFonts w:ascii="Times New Roman" w:hAnsi="Times New Roman"/>
                <w:sz w:val="24"/>
                <w:szCs w:val="24"/>
              </w:rPr>
              <w:t>20</w:t>
            </w:r>
            <w:r w:rsidRPr="00CA2ECA">
              <w:rPr>
                <w:rFonts w:ascii="Times New Roman" w:hAnsi="Times New Roman"/>
                <w:sz w:val="24"/>
                <w:szCs w:val="24"/>
                <w:lang w:val="en-US"/>
              </w:rPr>
              <w:t>2</w:t>
            </w:r>
          </w:p>
        </w:tc>
        <w:tc>
          <w:tcPr>
            <w:tcW w:w="1020" w:type="pct"/>
            <w:vAlign w:val="bottom"/>
          </w:tcPr>
          <w:p w14:paraId="3131666B" w14:textId="77777777" w:rsidR="00CB0323" w:rsidRPr="00CA2ECA" w:rsidRDefault="00CB0323" w:rsidP="00CB0323">
            <w:pPr>
              <w:spacing w:after="0" w:line="240" w:lineRule="auto"/>
              <w:jc w:val="center"/>
              <w:rPr>
                <w:rFonts w:ascii="Times New Roman" w:hAnsi="Times New Roman"/>
                <w:sz w:val="24"/>
                <w:szCs w:val="24"/>
              </w:rPr>
            </w:pPr>
            <w:r w:rsidRPr="00CA2ECA">
              <w:rPr>
                <w:rFonts w:ascii="Times New Roman" w:hAnsi="Times New Roman"/>
                <w:sz w:val="24"/>
                <w:szCs w:val="24"/>
              </w:rPr>
              <w:t>18</w:t>
            </w:r>
            <w:r w:rsidRPr="00CA2ECA">
              <w:rPr>
                <w:rFonts w:ascii="Times New Roman" w:hAnsi="Times New Roman"/>
                <w:sz w:val="24"/>
                <w:szCs w:val="24"/>
                <w:lang w:val="en-US"/>
              </w:rPr>
              <w:t>1</w:t>
            </w:r>
          </w:p>
        </w:tc>
        <w:tc>
          <w:tcPr>
            <w:tcW w:w="1003" w:type="pct"/>
            <w:vAlign w:val="bottom"/>
          </w:tcPr>
          <w:p w14:paraId="4F32DE6D" w14:textId="77777777" w:rsidR="00CB0323" w:rsidRPr="00CA2ECA" w:rsidRDefault="00CB0323" w:rsidP="00CB0323">
            <w:pPr>
              <w:spacing w:after="0" w:line="240" w:lineRule="auto"/>
              <w:jc w:val="center"/>
              <w:rPr>
                <w:rFonts w:ascii="Times New Roman" w:hAnsi="Times New Roman"/>
                <w:sz w:val="24"/>
                <w:szCs w:val="24"/>
              </w:rPr>
            </w:pPr>
            <w:r w:rsidRPr="00CA2ECA">
              <w:rPr>
                <w:rFonts w:ascii="Times New Roman" w:hAnsi="Times New Roman"/>
                <w:sz w:val="24"/>
                <w:szCs w:val="24"/>
              </w:rPr>
              <w:t>170</w:t>
            </w:r>
          </w:p>
        </w:tc>
      </w:tr>
      <w:tr w:rsidR="00CB0323" w:rsidRPr="00A073CB" w14:paraId="1573949D" w14:textId="77777777" w:rsidTr="0081656D">
        <w:trPr>
          <w:cantSplit/>
          <w:jc w:val="center"/>
        </w:trPr>
        <w:tc>
          <w:tcPr>
            <w:tcW w:w="1948" w:type="pct"/>
            <w:vAlign w:val="center"/>
          </w:tcPr>
          <w:p w14:paraId="2B36FC74" w14:textId="77777777" w:rsidR="00CB0323" w:rsidRPr="00A073CB" w:rsidRDefault="00CB0323" w:rsidP="00CB0323">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Рыба и рыбные продукты</w:t>
            </w:r>
          </w:p>
        </w:tc>
        <w:tc>
          <w:tcPr>
            <w:tcW w:w="1029" w:type="pct"/>
            <w:vAlign w:val="bottom"/>
          </w:tcPr>
          <w:p w14:paraId="777FADC0" w14:textId="77777777" w:rsidR="00CB0323" w:rsidRPr="00CA2ECA" w:rsidRDefault="00CB0323" w:rsidP="00CB0323">
            <w:pPr>
              <w:spacing w:after="0" w:line="240" w:lineRule="auto"/>
              <w:jc w:val="center"/>
              <w:rPr>
                <w:rFonts w:ascii="Times New Roman" w:hAnsi="Times New Roman"/>
                <w:sz w:val="24"/>
                <w:szCs w:val="24"/>
              </w:rPr>
            </w:pPr>
            <w:r w:rsidRPr="00CA2ECA">
              <w:rPr>
                <w:rFonts w:ascii="Times New Roman" w:hAnsi="Times New Roman"/>
                <w:sz w:val="24"/>
                <w:szCs w:val="24"/>
              </w:rPr>
              <w:t>18,4</w:t>
            </w:r>
          </w:p>
        </w:tc>
        <w:tc>
          <w:tcPr>
            <w:tcW w:w="1020" w:type="pct"/>
            <w:vAlign w:val="bottom"/>
          </w:tcPr>
          <w:p w14:paraId="7839A71E" w14:textId="77777777" w:rsidR="00CB0323" w:rsidRPr="00CA2ECA" w:rsidRDefault="00CB0323" w:rsidP="00CB0323">
            <w:pPr>
              <w:spacing w:after="0" w:line="240" w:lineRule="auto"/>
              <w:jc w:val="center"/>
              <w:rPr>
                <w:rFonts w:ascii="Times New Roman" w:hAnsi="Times New Roman"/>
                <w:sz w:val="24"/>
                <w:szCs w:val="24"/>
              </w:rPr>
            </w:pPr>
            <w:r w:rsidRPr="00CA2ECA">
              <w:rPr>
                <w:rFonts w:ascii="Times New Roman" w:hAnsi="Times New Roman"/>
                <w:sz w:val="24"/>
                <w:szCs w:val="24"/>
              </w:rPr>
              <w:t>15,4</w:t>
            </w:r>
          </w:p>
        </w:tc>
        <w:tc>
          <w:tcPr>
            <w:tcW w:w="1003" w:type="pct"/>
            <w:vAlign w:val="bottom"/>
          </w:tcPr>
          <w:p w14:paraId="56CD1A37" w14:textId="77777777" w:rsidR="00CB0323" w:rsidRPr="00CA2ECA" w:rsidRDefault="00CB0323" w:rsidP="00CB0323">
            <w:pPr>
              <w:spacing w:after="0" w:line="240" w:lineRule="auto"/>
              <w:jc w:val="center"/>
              <w:rPr>
                <w:rFonts w:ascii="Times New Roman" w:hAnsi="Times New Roman"/>
                <w:sz w:val="24"/>
                <w:szCs w:val="24"/>
              </w:rPr>
            </w:pPr>
            <w:r w:rsidRPr="00CA2ECA">
              <w:rPr>
                <w:rFonts w:ascii="Times New Roman" w:hAnsi="Times New Roman"/>
                <w:sz w:val="24"/>
                <w:szCs w:val="24"/>
              </w:rPr>
              <w:t>14,1</w:t>
            </w:r>
          </w:p>
        </w:tc>
      </w:tr>
      <w:tr w:rsidR="00CB0323" w:rsidRPr="00A073CB" w14:paraId="4ACA66F2" w14:textId="77777777" w:rsidTr="0081656D">
        <w:trPr>
          <w:cantSplit/>
          <w:jc w:val="center"/>
        </w:trPr>
        <w:tc>
          <w:tcPr>
            <w:tcW w:w="1948" w:type="pct"/>
            <w:vAlign w:val="center"/>
          </w:tcPr>
          <w:p w14:paraId="0E18FC57" w14:textId="77777777" w:rsidR="00CB0323" w:rsidRPr="00A073CB" w:rsidRDefault="00CB0323" w:rsidP="00CB0323">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Сахар и кондитерские изделия</w:t>
            </w:r>
          </w:p>
        </w:tc>
        <w:tc>
          <w:tcPr>
            <w:tcW w:w="1029" w:type="pct"/>
            <w:vAlign w:val="bottom"/>
          </w:tcPr>
          <w:p w14:paraId="6F955D02" w14:textId="77777777" w:rsidR="00CB0323" w:rsidRPr="00CA2ECA" w:rsidRDefault="00CB0323" w:rsidP="00CB0323">
            <w:pPr>
              <w:spacing w:after="0" w:line="240" w:lineRule="auto"/>
              <w:jc w:val="center"/>
              <w:rPr>
                <w:rFonts w:ascii="Times New Roman" w:hAnsi="Times New Roman"/>
                <w:sz w:val="24"/>
                <w:szCs w:val="24"/>
              </w:rPr>
            </w:pPr>
            <w:r w:rsidRPr="00CA2ECA">
              <w:rPr>
                <w:rFonts w:ascii="Times New Roman" w:hAnsi="Times New Roman"/>
                <w:sz w:val="24"/>
                <w:szCs w:val="24"/>
              </w:rPr>
              <w:t>26,2</w:t>
            </w:r>
          </w:p>
        </w:tc>
        <w:tc>
          <w:tcPr>
            <w:tcW w:w="1020" w:type="pct"/>
            <w:vAlign w:val="bottom"/>
          </w:tcPr>
          <w:p w14:paraId="501E19E6" w14:textId="77777777" w:rsidR="00CB0323" w:rsidRPr="00CA2ECA" w:rsidRDefault="00CB0323" w:rsidP="00CB0323">
            <w:pPr>
              <w:spacing w:after="0" w:line="240" w:lineRule="auto"/>
              <w:jc w:val="center"/>
              <w:rPr>
                <w:rFonts w:ascii="Times New Roman" w:hAnsi="Times New Roman"/>
                <w:sz w:val="24"/>
                <w:szCs w:val="24"/>
              </w:rPr>
            </w:pPr>
            <w:r w:rsidRPr="00CA2ECA">
              <w:rPr>
                <w:rFonts w:ascii="Times New Roman" w:hAnsi="Times New Roman"/>
                <w:sz w:val="24"/>
                <w:szCs w:val="24"/>
              </w:rPr>
              <w:t>24,4</w:t>
            </w:r>
          </w:p>
        </w:tc>
        <w:tc>
          <w:tcPr>
            <w:tcW w:w="1003" w:type="pct"/>
            <w:vAlign w:val="bottom"/>
          </w:tcPr>
          <w:p w14:paraId="2DD47648" w14:textId="77777777" w:rsidR="00CB0323" w:rsidRPr="00CA2ECA" w:rsidRDefault="00CB0323" w:rsidP="00CB0323">
            <w:pPr>
              <w:spacing w:after="0" w:line="240" w:lineRule="auto"/>
              <w:jc w:val="center"/>
              <w:rPr>
                <w:rFonts w:ascii="Times New Roman" w:hAnsi="Times New Roman"/>
                <w:sz w:val="24"/>
                <w:szCs w:val="24"/>
              </w:rPr>
            </w:pPr>
            <w:r w:rsidRPr="00CA2ECA">
              <w:rPr>
                <w:rFonts w:ascii="Times New Roman" w:hAnsi="Times New Roman"/>
                <w:sz w:val="24"/>
                <w:szCs w:val="24"/>
              </w:rPr>
              <w:t>25,8</w:t>
            </w:r>
          </w:p>
        </w:tc>
      </w:tr>
      <w:tr w:rsidR="00CB0323" w:rsidRPr="00BD5A90" w14:paraId="546B3901" w14:textId="77777777" w:rsidTr="0081656D">
        <w:trPr>
          <w:cantSplit/>
          <w:trHeight w:val="333"/>
          <w:jc w:val="center"/>
        </w:trPr>
        <w:tc>
          <w:tcPr>
            <w:tcW w:w="1948" w:type="pct"/>
            <w:vAlign w:val="center"/>
          </w:tcPr>
          <w:p w14:paraId="51DC33FF" w14:textId="77777777" w:rsidR="00CB0323" w:rsidRPr="00A073CB" w:rsidRDefault="00CB0323" w:rsidP="00CB0323">
            <w:pPr>
              <w:spacing w:after="0" w:line="240" w:lineRule="auto"/>
              <w:rPr>
                <w:rFonts w:ascii="Times New Roman" w:eastAsia="Times New Roman" w:hAnsi="Times New Roman" w:cs="Times New Roman"/>
                <w:sz w:val="24"/>
                <w:szCs w:val="24"/>
                <w:lang w:eastAsia="ru-RU"/>
              </w:rPr>
            </w:pPr>
            <w:r w:rsidRPr="00A073CB">
              <w:rPr>
                <w:rFonts w:ascii="Times New Roman" w:eastAsia="Times New Roman" w:hAnsi="Times New Roman" w:cs="Times New Roman"/>
                <w:sz w:val="24"/>
                <w:szCs w:val="24"/>
                <w:lang w:eastAsia="ru-RU"/>
              </w:rPr>
              <w:t>Масло растительное и другие жиры</w:t>
            </w:r>
          </w:p>
        </w:tc>
        <w:tc>
          <w:tcPr>
            <w:tcW w:w="1029" w:type="pct"/>
            <w:vAlign w:val="bottom"/>
          </w:tcPr>
          <w:p w14:paraId="07C38E90" w14:textId="77777777" w:rsidR="00CB0323" w:rsidRPr="00CA2ECA" w:rsidRDefault="00CB0323" w:rsidP="00CB0323">
            <w:pPr>
              <w:spacing w:after="0" w:line="240" w:lineRule="auto"/>
              <w:jc w:val="center"/>
              <w:rPr>
                <w:rFonts w:ascii="Times New Roman" w:hAnsi="Times New Roman"/>
                <w:sz w:val="24"/>
                <w:szCs w:val="24"/>
              </w:rPr>
            </w:pPr>
            <w:r w:rsidRPr="00CA2ECA">
              <w:rPr>
                <w:rFonts w:ascii="Times New Roman" w:hAnsi="Times New Roman"/>
                <w:sz w:val="24"/>
                <w:szCs w:val="24"/>
              </w:rPr>
              <w:t>8,1</w:t>
            </w:r>
          </w:p>
        </w:tc>
        <w:tc>
          <w:tcPr>
            <w:tcW w:w="1020" w:type="pct"/>
            <w:vAlign w:val="bottom"/>
          </w:tcPr>
          <w:p w14:paraId="7440E461" w14:textId="77777777" w:rsidR="00CB0323" w:rsidRPr="00CA2ECA" w:rsidRDefault="00CB0323" w:rsidP="00CB0323">
            <w:pPr>
              <w:spacing w:after="0" w:line="240" w:lineRule="auto"/>
              <w:jc w:val="center"/>
              <w:rPr>
                <w:rFonts w:ascii="Times New Roman" w:hAnsi="Times New Roman"/>
                <w:sz w:val="24"/>
                <w:szCs w:val="24"/>
              </w:rPr>
            </w:pPr>
            <w:r w:rsidRPr="00CA2ECA">
              <w:rPr>
                <w:rFonts w:ascii="Times New Roman" w:hAnsi="Times New Roman"/>
                <w:sz w:val="24"/>
                <w:szCs w:val="24"/>
              </w:rPr>
              <w:t>7,4</w:t>
            </w:r>
          </w:p>
        </w:tc>
        <w:tc>
          <w:tcPr>
            <w:tcW w:w="1003" w:type="pct"/>
            <w:vAlign w:val="bottom"/>
          </w:tcPr>
          <w:p w14:paraId="788654AC" w14:textId="77777777" w:rsidR="00CB0323" w:rsidRPr="00CA2ECA" w:rsidRDefault="00CB0323" w:rsidP="00CB0323">
            <w:pPr>
              <w:spacing w:after="0" w:line="240" w:lineRule="auto"/>
              <w:jc w:val="center"/>
              <w:rPr>
                <w:rFonts w:ascii="Times New Roman" w:hAnsi="Times New Roman"/>
                <w:sz w:val="24"/>
                <w:szCs w:val="24"/>
              </w:rPr>
            </w:pPr>
            <w:r w:rsidRPr="00CA2ECA">
              <w:rPr>
                <w:rFonts w:ascii="Times New Roman" w:hAnsi="Times New Roman"/>
                <w:sz w:val="24"/>
                <w:szCs w:val="24"/>
              </w:rPr>
              <w:t>7,6</w:t>
            </w:r>
          </w:p>
        </w:tc>
      </w:tr>
    </w:tbl>
    <w:p w14:paraId="3076B235" w14:textId="77777777" w:rsidR="004827FD" w:rsidRDefault="004827FD" w:rsidP="004827FD">
      <w:pPr>
        <w:spacing w:after="0" w:line="240" w:lineRule="auto"/>
        <w:rPr>
          <w:rFonts w:ascii="Times New Roman" w:eastAsia="Times New Roman" w:hAnsi="Times New Roman" w:cs="Times New Roman"/>
          <w:sz w:val="26"/>
          <w:szCs w:val="26"/>
          <w:highlight w:val="yellow"/>
          <w:lang w:eastAsia="ru-RU"/>
        </w:rPr>
      </w:pPr>
    </w:p>
    <w:p w14:paraId="549F62BC" w14:textId="77777777" w:rsidR="004827FD" w:rsidRPr="00BD5A90" w:rsidRDefault="004827FD" w:rsidP="004827FD">
      <w:pPr>
        <w:spacing w:after="0" w:line="240" w:lineRule="auto"/>
        <w:rPr>
          <w:rFonts w:ascii="Times New Roman" w:eastAsia="Times New Roman" w:hAnsi="Times New Roman" w:cs="Times New Roman"/>
          <w:sz w:val="26"/>
          <w:szCs w:val="26"/>
          <w:highlight w:val="yellow"/>
          <w:lang w:eastAsia="ru-RU"/>
        </w:rPr>
      </w:pPr>
    </w:p>
    <w:p w14:paraId="019BAB14" w14:textId="77777777" w:rsidR="00DB764F" w:rsidRDefault="00DB764F" w:rsidP="00D03A4F">
      <w:pPr>
        <w:spacing w:after="0" w:line="240" w:lineRule="auto"/>
        <w:jc w:val="right"/>
        <w:rPr>
          <w:rFonts w:ascii="Times New Roman" w:eastAsia="Times New Roman" w:hAnsi="Times New Roman" w:cs="Times New Roman"/>
          <w:sz w:val="26"/>
          <w:szCs w:val="26"/>
          <w:lang w:eastAsia="ru-RU"/>
        </w:rPr>
      </w:pPr>
    </w:p>
    <w:p w14:paraId="4BFEDD81" w14:textId="77777777" w:rsidR="00D03A4F" w:rsidRPr="005B0FE3" w:rsidRDefault="00D03A4F" w:rsidP="00D03A4F">
      <w:pPr>
        <w:spacing w:after="0" w:line="240" w:lineRule="auto"/>
        <w:jc w:val="right"/>
        <w:rPr>
          <w:rFonts w:ascii="Times New Roman" w:eastAsia="Times New Roman" w:hAnsi="Times New Roman" w:cs="Times New Roman"/>
          <w:sz w:val="26"/>
          <w:szCs w:val="26"/>
          <w:lang w:eastAsia="ru-RU"/>
        </w:rPr>
      </w:pPr>
      <w:r w:rsidRPr="005B0FE3">
        <w:rPr>
          <w:rFonts w:ascii="Times New Roman" w:eastAsia="Times New Roman" w:hAnsi="Times New Roman" w:cs="Times New Roman"/>
          <w:sz w:val="26"/>
          <w:szCs w:val="26"/>
          <w:lang w:eastAsia="ru-RU"/>
        </w:rPr>
        <w:t>Таблица 5</w:t>
      </w:r>
      <w:r w:rsidR="008737BB">
        <w:rPr>
          <w:rFonts w:ascii="Times New Roman" w:eastAsia="Times New Roman" w:hAnsi="Times New Roman" w:cs="Times New Roman"/>
          <w:sz w:val="26"/>
          <w:szCs w:val="26"/>
          <w:lang w:eastAsia="ru-RU"/>
        </w:rPr>
        <w:t>6</w:t>
      </w:r>
    </w:p>
    <w:p w14:paraId="0B848365" w14:textId="77777777" w:rsidR="00D03A4F" w:rsidRPr="005B0FE3" w:rsidRDefault="00D03A4F" w:rsidP="00D03A4F">
      <w:pPr>
        <w:spacing w:after="0" w:line="240" w:lineRule="auto"/>
        <w:jc w:val="right"/>
        <w:rPr>
          <w:rFonts w:ascii="Times New Roman" w:eastAsia="Times New Roman" w:hAnsi="Times New Roman" w:cs="Times New Roman"/>
          <w:sz w:val="26"/>
          <w:szCs w:val="26"/>
          <w:lang w:eastAsia="ru-RU"/>
        </w:rPr>
      </w:pPr>
    </w:p>
    <w:p w14:paraId="75B17D59" w14:textId="77777777" w:rsidR="00D03A4F" w:rsidRPr="005B0FE3"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5B0FE3">
        <w:rPr>
          <w:rFonts w:ascii="Times New Roman" w:eastAsia="Times New Roman" w:hAnsi="Times New Roman" w:cs="Times New Roman"/>
          <w:b/>
          <w:bCs/>
          <w:sz w:val="26"/>
          <w:szCs w:val="26"/>
          <w:lang w:eastAsia="ru-RU"/>
        </w:rPr>
        <w:t>Состав пищевых веществ и энергетическая ценность суточного рациона в домашних хозяйствах с детьми в возрасте до 16 лет</w:t>
      </w:r>
    </w:p>
    <w:p w14:paraId="3522C05C" w14:textId="77777777" w:rsidR="00D03A4F" w:rsidRPr="005B0FE3" w:rsidRDefault="00D03A4F" w:rsidP="00D03A4F">
      <w:pPr>
        <w:spacing w:after="0" w:line="240" w:lineRule="auto"/>
        <w:ind w:firstLine="567"/>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(по данным выборочного обследования бюджетов домашних хозяйств; в среднем за сутки на потребителя)</w:t>
      </w:r>
    </w:p>
    <w:p w14:paraId="113A5B2C" w14:textId="77777777" w:rsidR="00D03A4F" w:rsidRPr="005B0FE3"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CellMar>
          <w:left w:w="107" w:type="dxa"/>
          <w:right w:w="107" w:type="dxa"/>
        </w:tblCellMar>
        <w:tblLook w:val="0000" w:firstRow="0" w:lastRow="0" w:firstColumn="0" w:lastColumn="0" w:noHBand="0" w:noVBand="0"/>
      </w:tblPr>
      <w:tblGrid>
        <w:gridCol w:w="4272"/>
        <w:gridCol w:w="1978"/>
        <w:gridCol w:w="1978"/>
        <w:gridCol w:w="1968"/>
      </w:tblGrid>
      <w:tr w:rsidR="00D03A4F" w:rsidRPr="005B0FE3" w14:paraId="59E4AE02" w14:textId="77777777" w:rsidTr="00944CB1">
        <w:trPr>
          <w:cantSplit/>
          <w:tblHeader/>
          <w:jc w:val="center"/>
        </w:trPr>
        <w:tc>
          <w:tcPr>
            <w:tcW w:w="2095" w:type="pct"/>
            <w:vMerge w:val="restart"/>
            <w:tcBorders>
              <w:top w:val="single" w:sz="4" w:space="0" w:color="auto"/>
              <w:left w:val="single" w:sz="4" w:space="0" w:color="auto"/>
              <w:right w:val="single" w:sz="4" w:space="0" w:color="auto"/>
            </w:tcBorders>
          </w:tcPr>
          <w:p w14:paraId="06C860FC" w14:textId="77777777" w:rsidR="00D03A4F" w:rsidRPr="005B0FE3" w:rsidRDefault="00D03A4F" w:rsidP="00D03A4F">
            <w:pPr>
              <w:spacing w:before="120" w:after="0" w:line="240" w:lineRule="auto"/>
              <w:rPr>
                <w:rFonts w:ascii="Times New Roman" w:eastAsia="Times New Roman" w:hAnsi="Times New Roman" w:cs="Times New Roman"/>
                <w:sz w:val="24"/>
                <w:szCs w:val="24"/>
                <w:lang w:eastAsia="ru-RU"/>
              </w:rPr>
            </w:pPr>
          </w:p>
        </w:tc>
        <w:tc>
          <w:tcPr>
            <w:tcW w:w="2905" w:type="pct"/>
            <w:gridSpan w:val="3"/>
            <w:tcBorders>
              <w:top w:val="single" w:sz="4" w:space="0" w:color="auto"/>
              <w:left w:val="single" w:sz="4" w:space="0" w:color="auto"/>
              <w:bottom w:val="single" w:sz="4" w:space="0" w:color="auto"/>
              <w:right w:val="single" w:sz="4" w:space="0" w:color="auto"/>
            </w:tcBorders>
          </w:tcPr>
          <w:p w14:paraId="503D4749" w14:textId="77777777" w:rsidR="00D03A4F" w:rsidRPr="005B0FE3" w:rsidRDefault="00D03A4F" w:rsidP="00D03A4F">
            <w:pPr>
              <w:spacing w:before="120" w:after="0" w:line="240" w:lineRule="auto"/>
              <w:ind w:left="-57" w:right="-57"/>
              <w:jc w:val="center"/>
              <w:rPr>
                <w:rFonts w:ascii="Times New Roman" w:eastAsia="Times New Roman" w:hAnsi="Times New Roman" w:cs="Times New Roman"/>
                <w:i/>
                <w:sz w:val="24"/>
                <w:szCs w:val="24"/>
                <w:lang w:eastAsia="ru-RU"/>
              </w:rPr>
            </w:pPr>
            <w:r w:rsidRPr="005B0FE3">
              <w:rPr>
                <w:rFonts w:ascii="Times New Roman" w:eastAsia="Times New Roman" w:hAnsi="Times New Roman" w:cs="Times New Roman"/>
                <w:i/>
                <w:sz w:val="24"/>
                <w:szCs w:val="24"/>
                <w:lang w:eastAsia="ru-RU"/>
              </w:rPr>
              <w:t>Домохозяйства, имеющие детей в возрасте до 16 лет</w:t>
            </w:r>
          </w:p>
        </w:tc>
      </w:tr>
      <w:tr w:rsidR="00D03A4F" w:rsidRPr="005B0FE3" w14:paraId="5F9DC765" w14:textId="77777777" w:rsidTr="00944CB1">
        <w:trPr>
          <w:cantSplit/>
          <w:tblHeader/>
          <w:jc w:val="center"/>
        </w:trPr>
        <w:tc>
          <w:tcPr>
            <w:tcW w:w="2095" w:type="pct"/>
            <w:vMerge/>
            <w:tcBorders>
              <w:left w:val="single" w:sz="4" w:space="0" w:color="auto"/>
              <w:bottom w:val="single" w:sz="4" w:space="0" w:color="auto"/>
              <w:right w:val="single" w:sz="4" w:space="0" w:color="auto"/>
            </w:tcBorders>
          </w:tcPr>
          <w:p w14:paraId="34F4718C" w14:textId="77777777" w:rsidR="00D03A4F" w:rsidRPr="005B0FE3" w:rsidRDefault="00D03A4F" w:rsidP="00D03A4F">
            <w:pPr>
              <w:spacing w:before="120" w:after="0" w:line="240" w:lineRule="auto"/>
              <w:rPr>
                <w:rFonts w:ascii="Times New Roman" w:eastAsia="Times New Roman" w:hAnsi="Times New Roman" w:cs="Times New Roman"/>
                <w:sz w:val="24"/>
                <w:szCs w:val="24"/>
                <w:lang w:eastAsia="ru-RU"/>
              </w:rPr>
            </w:pPr>
          </w:p>
        </w:tc>
        <w:tc>
          <w:tcPr>
            <w:tcW w:w="970" w:type="pct"/>
            <w:tcBorders>
              <w:top w:val="single" w:sz="4" w:space="0" w:color="auto"/>
              <w:left w:val="single" w:sz="4" w:space="0" w:color="auto"/>
              <w:bottom w:val="single" w:sz="4" w:space="0" w:color="auto"/>
              <w:right w:val="single" w:sz="4" w:space="0" w:color="auto"/>
            </w:tcBorders>
          </w:tcPr>
          <w:p w14:paraId="20B4D423" w14:textId="77777777" w:rsidR="00D03A4F" w:rsidRPr="005B0FE3" w:rsidRDefault="00D03A4F" w:rsidP="00D03A4F">
            <w:pPr>
              <w:spacing w:before="120" w:after="0" w:line="240" w:lineRule="auto"/>
              <w:ind w:left="-57" w:right="-57"/>
              <w:jc w:val="center"/>
              <w:rPr>
                <w:rFonts w:ascii="Times New Roman" w:eastAsia="Times New Roman" w:hAnsi="Times New Roman" w:cs="Times New Roman"/>
                <w:i/>
                <w:sz w:val="24"/>
                <w:szCs w:val="24"/>
                <w:lang w:eastAsia="ru-RU"/>
              </w:rPr>
            </w:pPr>
            <w:r w:rsidRPr="005B0FE3">
              <w:rPr>
                <w:rFonts w:ascii="Times New Roman" w:eastAsia="Times New Roman" w:hAnsi="Times New Roman" w:cs="Times New Roman"/>
                <w:i/>
                <w:sz w:val="24"/>
                <w:szCs w:val="24"/>
                <w:lang w:eastAsia="ru-RU"/>
              </w:rPr>
              <w:t xml:space="preserve">одного </w:t>
            </w:r>
            <w:r w:rsidRPr="005B0FE3">
              <w:rPr>
                <w:rFonts w:ascii="Times New Roman" w:eastAsia="Times New Roman" w:hAnsi="Times New Roman" w:cs="Times New Roman"/>
                <w:i/>
                <w:sz w:val="24"/>
                <w:szCs w:val="24"/>
                <w:lang w:eastAsia="ru-RU"/>
              </w:rPr>
              <w:br/>
              <w:t>ребенка</w:t>
            </w:r>
          </w:p>
        </w:tc>
        <w:tc>
          <w:tcPr>
            <w:tcW w:w="970" w:type="pct"/>
            <w:tcBorders>
              <w:top w:val="single" w:sz="4" w:space="0" w:color="auto"/>
              <w:left w:val="single" w:sz="4" w:space="0" w:color="auto"/>
              <w:bottom w:val="single" w:sz="4" w:space="0" w:color="auto"/>
              <w:right w:val="single" w:sz="4" w:space="0" w:color="auto"/>
            </w:tcBorders>
          </w:tcPr>
          <w:p w14:paraId="543B191B" w14:textId="77777777" w:rsidR="00D03A4F" w:rsidRPr="005B0FE3" w:rsidRDefault="00D03A4F" w:rsidP="00D03A4F">
            <w:pPr>
              <w:spacing w:before="120" w:after="0" w:line="240" w:lineRule="auto"/>
              <w:ind w:left="-57" w:right="-57"/>
              <w:jc w:val="center"/>
              <w:rPr>
                <w:rFonts w:ascii="Times New Roman" w:eastAsia="Times New Roman" w:hAnsi="Times New Roman" w:cs="Times New Roman"/>
                <w:i/>
                <w:sz w:val="24"/>
                <w:szCs w:val="24"/>
                <w:lang w:eastAsia="ru-RU"/>
              </w:rPr>
            </w:pPr>
            <w:r w:rsidRPr="005B0FE3">
              <w:rPr>
                <w:rFonts w:ascii="Times New Roman" w:eastAsia="Times New Roman" w:hAnsi="Times New Roman" w:cs="Times New Roman"/>
                <w:i/>
                <w:sz w:val="24"/>
                <w:szCs w:val="24"/>
                <w:lang w:eastAsia="ru-RU"/>
              </w:rPr>
              <w:t>двух детей</w:t>
            </w:r>
          </w:p>
        </w:tc>
        <w:tc>
          <w:tcPr>
            <w:tcW w:w="965" w:type="pct"/>
            <w:tcBorders>
              <w:top w:val="single" w:sz="4" w:space="0" w:color="auto"/>
              <w:left w:val="single" w:sz="4" w:space="0" w:color="auto"/>
              <w:bottom w:val="single" w:sz="4" w:space="0" w:color="auto"/>
              <w:right w:val="single" w:sz="4" w:space="0" w:color="auto"/>
            </w:tcBorders>
          </w:tcPr>
          <w:p w14:paraId="7A3F0B34" w14:textId="77777777" w:rsidR="00D03A4F" w:rsidRPr="005B0FE3" w:rsidRDefault="00D03A4F" w:rsidP="00D03A4F">
            <w:pPr>
              <w:spacing w:before="120" w:after="0" w:line="240" w:lineRule="auto"/>
              <w:ind w:left="-57" w:right="-57"/>
              <w:jc w:val="center"/>
              <w:rPr>
                <w:rFonts w:ascii="Times New Roman" w:eastAsia="Times New Roman" w:hAnsi="Times New Roman" w:cs="Times New Roman"/>
                <w:i/>
                <w:sz w:val="24"/>
                <w:szCs w:val="24"/>
                <w:lang w:eastAsia="ru-RU"/>
              </w:rPr>
            </w:pPr>
            <w:r w:rsidRPr="005B0FE3">
              <w:rPr>
                <w:rFonts w:ascii="Times New Roman" w:eastAsia="Times New Roman" w:hAnsi="Times New Roman" w:cs="Times New Roman"/>
                <w:i/>
                <w:sz w:val="24"/>
                <w:szCs w:val="24"/>
                <w:lang w:eastAsia="ru-RU"/>
              </w:rPr>
              <w:t>трех и более детей</w:t>
            </w:r>
          </w:p>
        </w:tc>
      </w:tr>
      <w:tr w:rsidR="00D03A4F" w:rsidRPr="005B0FE3" w14:paraId="24EFED87" w14:textId="77777777" w:rsidTr="00944CB1">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42F7511F" w14:textId="77777777" w:rsidR="00D03A4F" w:rsidRPr="005B0FE3" w:rsidRDefault="00D72F11" w:rsidP="00EE71CD">
            <w:pPr>
              <w:spacing w:before="40" w:after="0" w:line="240" w:lineRule="auto"/>
              <w:ind w:right="-142"/>
              <w:jc w:val="center"/>
              <w:rPr>
                <w:rFonts w:ascii="Times New Roman" w:eastAsia="Times New Roman" w:hAnsi="Times New Roman" w:cs="Times New Roman"/>
                <w:b/>
                <w:sz w:val="24"/>
                <w:szCs w:val="24"/>
                <w:lang w:eastAsia="ru-RU"/>
              </w:rPr>
            </w:pPr>
            <w:r w:rsidRPr="005B0FE3">
              <w:rPr>
                <w:rFonts w:ascii="Times New Roman" w:eastAsia="Times New Roman" w:hAnsi="Times New Roman" w:cs="Times New Roman"/>
                <w:b/>
                <w:sz w:val="24"/>
                <w:szCs w:val="24"/>
                <w:lang w:eastAsia="ru-RU"/>
              </w:rPr>
              <w:t>2019 г.</w:t>
            </w:r>
          </w:p>
        </w:tc>
      </w:tr>
      <w:tr w:rsidR="00D72F11" w:rsidRPr="005B0FE3" w14:paraId="341F984C" w14:textId="77777777"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14:paraId="237810A9" w14:textId="77777777" w:rsidR="00D72F11" w:rsidRPr="005B0FE3" w:rsidRDefault="00D72F11" w:rsidP="00D72F11">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Белки, г</w:t>
            </w:r>
          </w:p>
        </w:tc>
        <w:tc>
          <w:tcPr>
            <w:tcW w:w="970" w:type="pct"/>
            <w:tcBorders>
              <w:top w:val="single" w:sz="4" w:space="0" w:color="auto"/>
              <w:left w:val="single" w:sz="4" w:space="0" w:color="auto"/>
              <w:bottom w:val="single" w:sz="4" w:space="0" w:color="auto"/>
              <w:right w:val="single" w:sz="4" w:space="0" w:color="auto"/>
            </w:tcBorders>
            <w:vAlign w:val="bottom"/>
          </w:tcPr>
          <w:p w14:paraId="5023FB36" w14:textId="77777777" w:rsidR="00D72F11" w:rsidRPr="005B0FE3" w:rsidRDefault="00D72F11" w:rsidP="00D72F11">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71,5</w:t>
            </w:r>
          </w:p>
        </w:tc>
        <w:tc>
          <w:tcPr>
            <w:tcW w:w="970" w:type="pct"/>
            <w:tcBorders>
              <w:top w:val="single" w:sz="4" w:space="0" w:color="auto"/>
              <w:left w:val="single" w:sz="4" w:space="0" w:color="auto"/>
              <w:bottom w:val="single" w:sz="4" w:space="0" w:color="auto"/>
              <w:right w:val="single" w:sz="4" w:space="0" w:color="auto"/>
            </w:tcBorders>
            <w:vAlign w:val="bottom"/>
          </w:tcPr>
          <w:p w14:paraId="0F691BF7" w14:textId="77777777" w:rsidR="00D72F11" w:rsidRPr="005B0FE3" w:rsidRDefault="00D72F11" w:rsidP="00D72F11">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62,5</w:t>
            </w:r>
          </w:p>
        </w:tc>
        <w:tc>
          <w:tcPr>
            <w:tcW w:w="965" w:type="pct"/>
            <w:tcBorders>
              <w:top w:val="single" w:sz="4" w:space="0" w:color="auto"/>
              <w:left w:val="single" w:sz="4" w:space="0" w:color="auto"/>
              <w:bottom w:val="single" w:sz="4" w:space="0" w:color="auto"/>
              <w:right w:val="single" w:sz="4" w:space="0" w:color="auto"/>
            </w:tcBorders>
            <w:vAlign w:val="bottom"/>
          </w:tcPr>
          <w:p w14:paraId="4E6281EF" w14:textId="77777777" w:rsidR="00D72F11" w:rsidRPr="005B0FE3" w:rsidRDefault="00D72F11" w:rsidP="00D72F11">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63,1</w:t>
            </w:r>
          </w:p>
        </w:tc>
      </w:tr>
      <w:tr w:rsidR="00D72F11" w:rsidRPr="005B0FE3" w14:paraId="6E676A9D" w14:textId="77777777"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14:paraId="3B2279B8" w14:textId="77777777" w:rsidR="00D72F11" w:rsidRPr="005B0FE3" w:rsidRDefault="00D72F11" w:rsidP="00D72F11">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14:paraId="34A46714" w14:textId="77777777" w:rsidR="00D72F11" w:rsidRPr="005B0FE3" w:rsidRDefault="00D72F11" w:rsidP="00D72F11">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46,1</w:t>
            </w:r>
          </w:p>
        </w:tc>
        <w:tc>
          <w:tcPr>
            <w:tcW w:w="970" w:type="pct"/>
            <w:tcBorders>
              <w:top w:val="single" w:sz="4" w:space="0" w:color="auto"/>
              <w:left w:val="single" w:sz="4" w:space="0" w:color="auto"/>
              <w:bottom w:val="single" w:sz="4" w:space="0" w:color="auto"/>
              <w:right w:val="single" w:sz="4" w:space="0" w:color="auto"/>
            </w:tcBorders>
            <w:vAlign w:val="bottom"/>
          </w:tcPr>
          <w:p w14:paraId="22133EF0" w14:textId="77777777" w:rsidR="00D72F11" w:rsidRPr="005B0FE3" w:rsidRDefault="00D72F11" w:rsidP="00D72F11">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39,4</w:t>
            </w:r>
          </w:p>
        </w:tc>
        <w:tc>
          <w:tcPr>
            <w:tcW w:w="965" w:type="pct"/>
            <w:tcBorders>
              <w:top w:val="single" w:sz="4" w:space="0" w:color="auto"/>
              <w:left w:val="single" w:sz="4" w:space="0" w:color="auto"/>
              <w:bottom w:val="single" w:sz="4" w:space="0" w:color="auto"/>
              <w:right w:val="single" w:sz="4" w:space="0" w:color="auto"/>
            </w:tcBorders>
            <w:vAlign w:val="bottom"/>
          </w:tcPr>
          <w:p w14:paraId="57623A67" w14:textId="77777777" w:rsidR="00D72F11" w:rsidRPr="005B0FE3" w:rsidRDefault="00D72F11" w:rsidP="00D72F11">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36,6</w:t>
            </w:r>
          </w:p>
        </w:tc>
      </w:tr>
      <w:tr w:rsidR="00D72F11" w:rsidRPr="005B0FE3" w14:paraId="401BE422" w14:textId="77777777"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14:paraId="10720A24" w14:textId="77777777" w:rsidR="00D72F11" w:rsidRPr="005B0FE3" w:rsidRDefault="00D72F11" w:rsidP="00D72F11">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Жиры, г</w:t>
            </w:r>
          </w:p>
        </w:tc>
        <w:tc>
          <w:tcPr>
            <w:tcW w:w="970" w:type="pct"/>
            <w:tcBorders>
              <w:top w:val="single" w:sz="4" w:space="0" w:color="auto"/>
              <w:left w:val="single" w:sz="4" w:space="0" w:color="auto"/>
              <w:bottom w:val="single" w:sz="4" w:space="0" w:color="auto"/>
              <w:right w:val="single" w:sz="4" w:space="0" w:color="auto"/>
            </w:tcBorders>
            <w:vAlign w:val="bottom"/>
          </w:tcPr>
          <w:p w14:paraId="01FBB95C" w14:textId="77777777" w:rsidR="00D72F11" w:rsidRPr="005B0FE3" w:rsidRDefault="00D72F11" w:rsidP="00D72F11">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96,2</w:t>
            </w:r>
          </w:p>
        </w:tc>
        <w:tc>
          <w:tcPr>
            <w:tcW w:w="970" w:type="pct"/>
            <w:tcBorders>
              <w:top w:val="single" w:sz="4" w:space="0" w:color="auto"/>
              <w:left w:val="single" w:sz="4" w:space="0" w:color="auto"/>
              <w:bottom w:val="single" w:sz="4" w:space="0" w:color="auto"/>
              <w:right w:val="single" w:sz="4" w:space="0" w:color="auto"/>
            </w:tcBorders>
            <w:vAlign w:val="bottom"/>
          </w:tcPr>
          <w:p w14:paraId="3102AD54" w14:textId="77777777" w:rsidR="00D72F11" w:rsidRPr="005B0FE3" w:rsidRDefault="00D72F11" w:rsidP="00D72F11">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83,1</w:t>
            </w:r>
          </w:p>
        </w:tc>
        <w:tc>
          <w:tcPr>
            <w:tcW w:w="965" w:type="pct"/>
            <w:tcBorders>
              <w:top w:val="single" w:sz="4" w:space="0" w:color="auto"/>
              <w:left w:val="single" w:sz="4" w:space="0" w:color="auto"/>
              <w:bottom w:val="single" w:sz="4" w:space="0" w:color="auto"/>
              <w:right w:val="single" w:sz="4" w:space="0" w:color="auto"/>
            </w:tcBorders>
            <w:vAlign w:val="bottom"/>
          </w:tcPr>
          <w:p w14:paraId="4EC03E1E" w14:textId="77777777" w:rsidR="00D72F11" w:rsidRPr="005B0FE3" w:rsidRDefault="00D72F11" w:rsidP="00D72F11">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79,6</w:t>
            </w:r>
          </w:p>
        </w:tc>
      </w:tr>
      <w:tr w:rsidR="00D72F11" w:rsidRPr="005B0FE3" w14:paraId="6CF4C73D" w14:textId="77777777"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14:paraId="090BC106" w14:textId="77777777" w:rsidR="00D72F11" w:rsidRPr="005B0FE3" w:rsidRDefault="00D72F11" w:rsidP="00D72F11">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14:paraId="22F8C066" w14:textId="77777777" w:rsidR="00D72F11" w:rsidRPr="005B0FE3" w:rsidRDefault="00D72F11" w:rsidP="00D72F11">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61,9</w:t>
            </w:r>
          </w:p>
        </w:tc>
        <w:tc>
          <w:tcPr>
            <w:tcW w:w="970" w:type="pct"/>
            <w:tcBorders>
              <w:top w:val="single" w:sz="4" w:space="0" w:color="auto"/>
              <w:left w:val="single" w:sz="4" w:space="0" w:color="auto"/>
              <w:bottom w:val="single" w:sz="4" w:space="0" w:color="auto"/>
              <w:right w:val="single" w:sz="4" w:space="0" w:color="auto"/>
            </w:tcBorders>
            <w:vAlign w:val="bottom"/>
          </w:tcPr>
          <w:p w14:paraId="3BF9CBE4" w14:textId="77777777" w:rsidR="00D72F11" w:rsidRPr="005B0FE3" w:rsidRDefault="00D72F11" w:rsidP="00D72F11">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52,9</w:t>
            </w:r>
          </w:p>
        </w:tc>
        <w:tc>
          <w:tcPr>
            <w:tcW w:w="965" w:type="pct"/>
            <w:tcBorders>
              <w:top w:val="single" w:sz="4" w:space="0" w:color="auto"/>
              <w:left w:val="single" w:sz="4" w:space="0" w:color="auto"/>
              <w:bottom w:val="single" w:sz="4" w:space="0" w:color="auto"/>
              <w:right w:val="single" w:sz="4" w:space="0" w:color="auto"/>
            </w:tcBorders>
            <w:vAlign w:val="bottom"/>
          </w:tcPr>
          <w:p w14:paraId="790FC490" w14:textId="77777777" w:rsidR="00D72F11" w:rsidRPr="005B0FE3" w:rsidRDefault="00D72F11" w:rsidP="00D72F11">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46,9</w:t>
            </w:r>
          </w:p>
        </w:tc>
      </w:tr>
      <w:tr w:rsidR="00D72F11" w:rsidRPr="005B0FE3" w14:paraId="0EBBD47C" w14:textId="77777777"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14:paraId="058C63FA" w14:textId="77777777" w:rsidR="00D72F11" w:rsidRPr="005B0FE3" w:rsidRDefault="00D72F11" w:rsidP="00D72F11">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14:paraId="75E42830" w14:textId="77777777" w:rsidR="00D72F11" w:rsidRPr="005B0FE3" w:rsidRDefault="00D72F11" w:rsidP="00D72F11">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294,0</w:t>
            </w:r>
          </w:p>
        </w:tc>
        <w:tc>
          <w:tcPr>
            <w:tcW w:w="970" w:type="pct"/>
            <w:tcBorders>
              <w:top w:val="single" w:sz="4" w:space="0" w:color="auto"/>
              <w:left w:val="single" w:sz="4" w:space="0" w:color="auto"/>
              <w:bottom w:val="single" w:sz="4" w:space="0" w:color="auto"/>
              <w:right w:val="single" w:sz="4" w:space="0" w:color="auto"/>
            </w:tcBorders>
            <w:vAlign w:val="bottom"/>
          </w:tcPr>
          <w:p w14:paraId="4CE6A662" w14:textId="77777777" w:rsidR="00D72F11" w:rsidRPr="005B0FE3" w:rsidRDefault="00D72F11" w:rsidP="00D72F11">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265,5</w:t>
            </w:r>
          </w:p>
        </w:tc>
        <w:tc>
          <w:tcPr>
            <w:tcW w:w="965" w:type="pct"/>
            <w:tcBorders>
              <w:top w:val="single" w:sz="4" w:space="0" w:color="auto"/>
              <w:left w:val="single" w:sz="4" w:space="0" w:color="auto"/>
              <w:bottom w:val="single" w:sz="4" w:space="0" w:color="auto"/>
              <w:right w:val="single" w:sz="4" w:space="0" w:color="auto"/>
            </w:tcBorders>
            <w:vAlign w:val="bottom"/>
          </w:tcPr>
          <w:p w14:paraId="4789DBA3" w14:textId="77777777" w:rsidR="00D72F11" w:rsidRPr="005B0FE3" w:rsidRDefault="00D72F11" w:rsidP="00D72F11">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295,1</w:t>
            </w:r>
          </w:p>
        </w:tc>
      </w:tr>
      <w:tr w:rsidR="00D72F11" w:rsidRPr="005B0FE3" w14:paraId="0D9401F0" w14:textId="77777777"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14:paraId="56D34B79" w14:textId="77777777" w:rsidR="00D72F11" w:rsidRPr="005B0FE3" w:rsidRDefault="00D72F11" w:rsidP="00D72F11">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14:paraId="0303442B" w14:textId="77777777" w:rsidR="00D72F11" w:rsidRPr="005B0FE3" w:rsidRDefault="00D72F11" w:rsidP="00D72F11">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13,2</w:t>
            </w:r>
          </w:p>
        </w:tc>
        <w:tc>
          <w:tcPr>
            <w:tcW w:w="970" w:type="pct"/>
            <w:tcBorders>
              <w:top w:val="single" w:sz="4" w:space="0" w:color="auto"/>
              <w:left w:val="single" w:sz="4" w:space="0" w:color="auto"/>
              <w:bottom w:val="single" w:sz="4" w:space="0" w:color="auto"/>
              <w:right w:val="single" w:sz="4" w:space="0" w:color="auto"/>
            </w:tcBorders>
            <w:vAlign w:val="bottom"/>
          </w:tcPr>
          <w:p w14:paraId="2F5AC59E" w14:textId="77777777" w:rsidR="00D72F11" w:rsidRPr="005B0FE3" w:rsidRDefault="00D72F11" w:rsidP="00D72F11">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11,9</w:t>
            </w:r>
          </w:p>
        </w:tc>
        <w:tc>
          <w:tcPr>
            <w:tcW w:w="965" w:type="pct"/>
            <w:tcBorders>
              <w:top w:val="single" w:sz="4" w:space="0" w:color="auto"/>
              <w:left w:val="single" w:sz="4" w:space="0" w:color="auto"/>
              <w:bottom w:val="single" w:sz="4" w:space="0" w:color="auto"/>
              <w:right w:val="single" w:sz="4" w:space="0" w:color="auto"/>
            </w:tcBorders>
            <w:vAlign w:val="bottom"/>
          </w:tcPr>
          <w:p w14:paraId="485C0761" w14:textId="77777777" w:rsidR="00D72F11" w:rsidRPr="005B0FE3" w:rsidRDefault="00D72F11" w:rsidP="00D72F11">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12,1</w:t>
            </w:r>
          </w:p>
        </w:tc>
      </w:tr>
      <w:tr w:rsidR="00D72F11" w:rsidRPr="005B0FE3" w14:paraId="6D0BC806" w14:textId="77777777"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14:paraId="021B04AC" w14:textId="77777777" w:rsidR="00D72F11" w:rsidRPr="005B0FE3" w:rsidRDefault="00D72F11" w:rsidP="00D72F11">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14:paraId="618EDB9A" w14:textId="77777777" w:rsidR="00D72F11" w:rsidRPr="005B0FE3" w:rsidRDefault="00D72F11" w:rsidP="00D72F11">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2 339,1</w:t>
            </w:r>
          </w:p>
        </w:tc>
        <w:tc>
          <w:tcPr>
            <w:tcW w:w="970" w:type="pct"/>
            <w:tcBorders>
              <w:top w:val="single" w:sz="4" w:space="0" w:color="auto"/>
              <w:left w:val="single" w:sz="4" w:space="0" w:color="auto"/>
              <w:bottom w:val="single" w:sz="4" w:space="0" w:color="auto"/>
              <w:right w:val="single" w:sz="4" w:space="0" w:color="auto"/>
            </w:tcBorders>
            <w:vAlign w:val="bottom"/>
          </w:tcPr>
          <w:p w14:paraId="408B87BA" w14:textId="77777777" w:rsidR="00D72F11" w:rsidRPr="005B0FE3" w:rsidRDefault="00D72F11" w:rsidP="00D72F11">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2 069,4</w:t>
            </w:r>
          </w:p>
        </w:tc>
        <w:tc>
          <w:tcPr>
            <w:tcW w:w="965" w:type="pct"/>
            <w:tcBorders>
              <w:top w:val="single" w:sz="4" w:space="0" w:color="auto"/>
              <w:left w:val="single" w:sz="4" w:space="0" w:color="auto"/>
              <w:bottom w:val="single" w:sz="4" w:space="0" w:color="auto"/>
              <w:right w:val="single" w:sz="4" w:space="0" w:color="auto"/>
            </w:tcBorders>
            <w:vAlign w:val="bottom"/>
          </w:tcPr>
          <w:p w14:paraId="43E2C0D0" w14:textId="77777777" w:rsidR="00D72F11" w:rsidRPr="005B0FE3" w:rsidRDefault="00D72F11" w:rsidP="00D72F11">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2 158,0</w:t>
            </w:r>
          </w:p>
        </w:tc>
      </w:tr>
      <w:tr w:rsidR="00D72F11" w:rsidRPr="005B0FE3" w14:paraId="20C9502F" w14:textId="77777777" w:rsidTr="00944CB1">
        <w:trPr>
          <w:cantSplit/>
          <w:jc w:val="center"/>
        </w:trPr>
        <w:tc>
          <w:tcPr>
            <w:tcW w:w="2095" w:type="pct"/>
            <w:tcBorders>
              <w:top w:val="single" w:sz="4" w:space="0" w:color="auto"/>
              <w:left w:val="single" w:sz="4" w:space="0" w:color="auto"/>
              <w:bottom w:val="single" w:sz="4" w:space="0" w:color="auto"/>
              <w:right w:val="single" w:sz="4" w:space="0" w:color="auto"/>
            </w:tcBorders>
          </w:tcPr>
          <w:p w14:paraId="78056D8F" w14:textId="77777777" w:rsidR="00D72F11" w:rsidRPr="005B0FE3" w:rsidRDefault="00D72F11" w:rsidP="00D72F11">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14:paraId="03490FFF" w14:textId="77777777" w:rsidR="00D72F11" w:rsidRPr="005B0FE3" w:rsidRDefault="00D72F11" w:rsidP="00D72F11">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798,6</w:t>
            </w:r>
          </w:p>
        </w:tc>
        <w:tc>
          <w:tcPr>
            <w:tcW w:w="970" w:type="pct"/>
            <w:tcBorders>
              <w:top w:val="single" w:sz="4" w:space="0" w:color="auto"/>
              <w:left w:val="single" w:sz="4" w:space="0" w:color="auto"/>
              <w:bottom w:val="single" w:sz="4" w:space="0" w:color="auto"/>
              <w:right w:val="single" w:sz="4" w:space="0" w:color="auto"/>
            </w:tcBorders>
            <w:vAlign w:val="bottom"/>
          </w:tcPr>
          <w:p w14:paraId="24F765A8" w14:textId="77777777" w:rsidR="00D72F11" w:rsidRPr="005B0FE3" w:rsidRDefault="00D72F11" w:rsidP="00D72F11">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684,5</w:t>
            </w:r>
          </w:p>
        </w:tc>
        <w:tc>
          <w:tcPr>
            <w:tcW w:w="965" w:type="pct"/>
            <w:tcBorders>
              <w:top w:val="single" w:sz="4" w:space="0" w:color="auto"/>
              <w:left w:val="single" w:sz="4" w:space="0" w:color="auto"/>
              <w:bottom w:val="single" w:sz="4" w:space="0" w:color="auto"/>
              <w:right w:val="single" w:sz="4" w:space="0" w:color="auto"/>
            </w:tcBorders>
            <w:vAlign w:val="bottom"/>
          </w:tcPr>
          <w:p w14:paraId="4203A477" w14:textId="77777777" w:rsidR="00D72F11" w:rsidRPr="005B0FE3" w:rsidRDefault="00D72F11" w:rsidP="00D72F11">
            <w:pPr>
              <w:spacing w:after="0" w:line="240" w:lineRule="auto"/>
              <w:ind w:right="-73"/>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620,6</w:t>
            </w:r>
          </w:p>
        </w:tc>
      </w:tr>
      <w:tr w:rsidR="00D72F11" w:rsidRPr="005B0FE3" w14:paraId="17826E70" w14:textId="77777777" w:rsidTr="00944CB1">
        <w:trPr>
          <w:cantSplit/>
          <w:jc w:val="center"/>
        </w:trPr>
        <w:tc>
          <w:tcPr>
            <w:tcW w:w="4035" w:type="pct"/>
            <w:gridSpan w:val="3"/>
            <w:tcBorders>
              <w:top w:val="single" w:sz="4" w:space="0" w:color="auto"/>
              <w:left w:val="single" w:sz="4" w:space="0" w:color="auto"/>
              <w:bottom w:val="single" w:sz="4" w:space="0" w:color="auto"/>
            </w:tcBorders>
          </w:tcPr>
          <w:p w14:paraId="6615E494" w14:textId="77777777" w:rsidR="00D72F11" w:rsidRPr="005B0FE3" w:rsidRDefault="00D72F11" w:rsidP="00D72F11">
            <w:pPr>
              <w:spacing w:before="40" w:after="0" w:line="240" w:lineRule="auto"/>
              <w:ind w:right="-2163"/>
              <w:jc w:val="center"/>
              <w:rPr>
                <w:rFonts w:ascii="Times New Roman" w:eastAsia="Times New Roman" w:hAnsi="Times New Roman" w:cs="Times New Roman"/>
                <w:b/>
                <w:sz w:val="24"/>
                <w:szCs w:val="24"/>
                <w:vertAlign w:val="superscript"/>
                <w:lang w:eastAsia="ru-RU"/>
              </w:rPr>
            </w:pPr>
            <w:r w:rsidRPr="005B0FE3">
              <w:rPr>
                <w:rFonts w:ascii="Times New Roman" w:eastAsia="Times New Roman" w:hAnsi="Times New Roman" w:cs="Times New Roman"/>
                <w:b/>
                <w:sz w:val="24"/>
                <w:szCs w:val="24"/>
                <w:lang w:eastAsia="ru-RU"/>
              </w:rPr>
              <w:t>2020 г.</w:t>
            </w:r>
          </w:p>
        </w:tc>
        <w:tc>
          <w:tcPr>
            <w:tcW w:w="965" w:type="pct"/>
            <w:tcBorders>
              <w:top w:val="single" w:sz="4" w:space="0" w:color="auto"/>
              <w:bottom w:val="single" w:sz="4" w:space="0" w:color="auto"/>
              <w:right w:val="single" w:sz="4" w:space="0" w:color="auto"/>
            </w:tcBorders>
            <w:vAlign w:val="bottom"/>
          </w:tcPr>
          <w:p w14:paraId="70EEE2DF" w14:textId="77777777" w:rsidR="00D72F11" w:rsidRPr="005B0FE3" w:rsidRDefault="00D72F11" w:rsidP="00D72F11">
            <w:pPr>
              <w:spacing w:before="40" w:after="0" w:line="240" w:lineRule="auto"/>
              <w:ind w:right="510"/>
              <w:jc w:val="center"/>
              <w:rPr>
                <w:rFonts w:ascii="Times New Roman" w:eastAsia="Times New Roman" w:hAnsi="Times New Roman" w:cs="Times New Roman"/>
                <w:sz w:val="24"/>
                <w:szCs w:val="24"/>
                <w:lang w:val="en-US" w:eastAsia="ru-RU"/>
              </w:rPr>
            </w:pPr>
          </w:p>
        </w:tc>
      </w:tr>
      <w:tr w:rsidR="00D72F11" w:rsidRPr="005B0FE3" w14:paraId="0E0B8909" w14:textId="77777777" w:rsidTr="0081656D">
        <w:trPr>
          <w:cantSplit/>
          <w:jc w:val="center"/>
        </w:trPr>
        <w:tc>
          <w:tcPr>
            <w:tcW w:w="2095" w:type="pct"/>
            <w:tcBorders>
              <w:top w:val="single" w:sz="4" w:space="0" w:color="auto"/>
              <w:left w:val="single" w:sz="4" w:space="0" w:color="auto"/>
              <w:bottom w:val="single" w:sz="4" w:space="0" w:color="auto"/>
              <w:right w:val="single" w:sz="4" w:space="0" w:color="auto"/>
            </w:tcBorders>
          </w:tcPr>
          <w:p w14:paraId="01D3880C" w14:textId="77777777" w:rsidR="00D72F11" w:rsidRPr="005B0FE3" w:rsidRDefault="00D72F11" w:rsidP="00D72F11">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Белки, г</w:t>
            </w:r>
          </w:p>
        </w:tc>
        <w:tc>
          <w:tcPr>
            <w:tcW w:w="970" w:type="pct"/>
            <w:tcBorders>
              <w:top w:val="single" w:sz="4" w:space="0" w:color="auto"/>
              <w:left w:val="single" w:sz="4" w:space="0" w:color="auto"/>
              <w:bottom w:val="single" w:sz="4" w:space="0" w:color="auto"/>
              <w:right w:val="single" w:sz="4" w:space="0" w:color="auto"/>
            </w:tcBorders>
            <w:vAlign w:val="center"/>
          </w:tcPr>
          <w:p w14:paraId="2B16E12B" w14:textId="77777777" w:rsidR="00D72F11" w:rsidRPr="005B0FE3" w:rsidRDefault="00D72F11" w:rsidP="00D72F11">
            <w:pPr>
              <w:spacing w:after="0" w:line="240" w:lineRule="auto"/>
              <w:jc w:val="center"/>
              <w:rPr>
                <w:rFonts w:ascii="Times New Roman" w:hAnsi="Times New Roman"/>
                <w:sz w:val="24"/>
                <w:szCs w:val="24"/>
              </w:rPr>
            </w:pPr>
            <w:r w:rsidRPr="005B0FE3">
              <w:rPr>
                <w:rFonts w:ascii="Times New Roman" w:hAnsi="Times New Roman"/>
                <w:sz w:val="24"/>
                <w:szCs w:val="24"/>
              </w:rPr>
              <w:t>72,1</w:t>
            </w:r>
          </w:p>
        </w:tc>
        <w:tc>
          <w:tcPr>
            <w:tcW w:w="970" w:type="pct"/>
            <w:tcBorders>
              <w:top w:val="single" w:sz="4" w:space="0" w:color="auto"/>
              <w:left w:val="single" w:sz="4" w:space="0" w:color="auto"/>
              <w:bottom w:val="single" w:sz="4" w:space="0" w:color="auto"/>
              <w:right w:val="single" w:sz="4" w:space="0" w:color="auto"/>
            </w:tcBorders>
            <w:vAlign w:val="center"/>
          </w:tcPr>
          <w:p w14:paraId="27C8F9EE" w14:textId="77777777" w:rsidR="00D72F11" w:rsidRPr="005B0FE3" w:rsidRDefault="00D72F11" w:rsidP="00D72F11">
            <w:pPr>
              <w:spacing w:after="0" w:line="240" w:lineRule="auto"/>
              <w:jc w:val="center"/>
              <w:rPr>
                <w:rFonts w:ascii="Times New Roman" w:hAnsi="Times New Roman"/>
                <w:sz w:val="24"/>
                <w:szCs w:val="24"/>
              </w:rPr>
            </w:pPr>
            <w:r w:rsidRPr="005B0FE3">
              <w:rPr>
                <w:rFonts w:ascii="Times New Roman" w:hAnsi="Times New Roman"/>
                <w:sz w:val="24"/>
                <w:szCs w:val="24"/>
              </w:rPr>
              <w:t>63,8</w:t>
            </w:r>
          </w:p>
        </w:tc>
        <w:tc>
          <w:tcPr>
            <w:tcW w:w="965" w:type="pct"/>
            <w:tcBorders>
              <w:top w:val="single" w:sz="4" w:space="0" w:color="auto"/>
              <w:left w:val="single" w:sz="4" w:space="0" w:color="auto"/>
              <w:bottom w:val="single" w:sz="4" w:space="0" w:color="auto"/>
              <w:right w:val="single" w:sz="4" w:space="0" w:color="auto"/>
            </w:tcBorders>
            <w:vAlign w:val="center"/>
          </w:tcPr>
          <w:p w14:paraId="6428D8A1" w14:textId="77777777" w:rsidR="00D72F11" w:rsidRPr="005B0FE3" w:rsidRDefault="00D72F11" w:rsidP="00D72F11">
            <w:pPr>
              <w:spacing w:after="0" w:line="240" w:lineRule="auto"/>
              <w:jc w:val="center"/>
              <w:rPr>
                <w:rFonts w:ascii="Times New Roman" w:hAnsi="Times New Roman"/>
                <w:sz w:val="24"/>
                <w:szCs w:val="24"/>
              </w:rPr>
            </w:pPr>
            <w:r w:rsidRPr="005B0FE3">
              <w:rPr>
                <w:rFonts w:ascii="Times New Roman" w:hAnsi="Times New Roman"/>
                <w:sz w:val="24"/>
                <w:szCs w:val="24"/>
              </w:rPr>
              <w:t>64,2</w:t>
            </w:r>
          </w:p>
        </w:tc>
      </w:tr>
      <w:tr w:rsidR="00D72F11" w:rsidRPr="005B0FE3" w14:paraId="000BAD6D" w14:textId="77777777" w:rsidTr="0081656D">
        <w:trPr>
          <w:cantSplit/>
          <w:jc w:val="center"/>
        </w:trPr>
        <w:tc>
          <w:tcPr>
            <w:tcW w:w="2095" w:type="pct"/>
            <w:tcBorders>
              <w:top w:val="single" w:sz="4" w:space="0" w:color="auto"/>
              <w:left w:val="single" w:sz="4" w:space="0" w:color="auto"/>
              <w:bottom w:val="single" w:sz="4" w:space="0" w:color="auto"/>
              <w:right w:val="single" w:sz="4" w:space="0" w:color="auto"/>
            </w:tcBorders>
          </w:tcPr>
          <w:p w14:paraId="6B94CB00" w14:textId="77777777" w:rsidR="00D72F11" w:rsidRPr="005B0FE3" w:rsidRDefault="00D72F11" w:rsidP="00D72F11">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center"/>
          </w:tcPr>
          <w:p w14:paraId="463CA9B3" w14:textId="77777777" w:rsidR="00D72F11" w:rsidRPr="005B0FE3" w:rsidRDefault="00D72F11" w:rsidP="00D72F11">
            <w:pPr>
              <w:spacing w:after="0" w:line="240" w:lineRule="auto"/>
              <w:jc w:val="center"/>
              <w:rPr>
                <w:rFonts w:ascii="Times New Roman" w:hAnsi="Times New Roman"/>
                <w:sz w:val="24"/>
                <w:szCs w:val="24"/>
              </w:rPr>
            </w:pPr>
            <w:r w:rsidRPr="005B0FE3">
              <w:rPr>
                <w:rFonts w:ascii="Times New Roman" w:hAnsi="Times New Roman"/>
                <w:sz w:val="24"/>
                <w:szCs w:val="24"/>
              </w:rPr>
              <w:t>46,7</w:t>
            </w:r>
          </w:p>
        </w:tc>
        <w:tc>
          <w:tcPr>
            <w:tcW w:w="970" w:type="pct"/>
            <w:tcBorders>
              <w:top w:val="single" w:sz="4" w:space="0" w:color="auto"/>
              <w:left w:val="single" w:sz="4" w:space="0" w:color="auto"/>
              <w:bottom w:val="single" w:sz="4" w:space="0" w:color="auto"/>
              <w:right w:val="single" w:sz="4" w:space="0" w:color="auto"/>
            </w:tcBorders>
            <w:vAlign w:val="center"/>
          </w:tcPr>
          <w:p w14:paraId="204704AE" w14:textId="77777777" w:rsidR="00D72F11" w:rsidRPr="005B0FE3" w:rsidRDefault="00D72F11" w:rsidP="00D72F11">
            <w:pPr>
              <w:spacing w:after="0" w:line="240" w:lineRule="auto"/>
              <w:jc w:val="center"/>
              <w:rPr>
                <w:rFonts w:ascii="Times New Roman" w:hAnsi="Times New Roman"/>
                <w:sz w:val="24"/>
                <w:szCs w:val="24"/>
              </w:rPr>
            </w:pPr>
            <w:r w:rsidRPr="005B0FE3">
              <w:rPr>
                <w:rFonts w:ascii="Times New Roman" w:hAnsi="Times New Roman"/>
                <w:sz w:val="24"/>
                <w:szCs w:val="24"/>
              </w:rPr>
              <w:t>40,3</w:t>
            </w:r>
          </w:p>
        </w:tc>
        <w:tc>
          <w:tcPr>
            <w:tcW w:w="965" w:type="pct"/>
            <w:tcBorders>
              <w:top w:val="single" w:sz="4" w:space="0" w:color="auto"/>
              <w:left w:val="single" w:sz="4" w:space="0" w:color="auto"/>
              <w:bottom w:val="single" w:sz="4" w:space="0" w:color="auto"/>
              <w:right w:val="single" w:sz="4" w:space="0" w:color="auto"/>
            </w:tcBorders>
            <w:vAlign w:val="center"/>
          </w:tcPr>
          <w:p w14:paraId="5F8B5A14" w14:textId="77777777" w:rsidR="00D72F11" w:rsidRPr="005B0FE3" w:rsidRDefault="00D72F11" w:rsidP="00D72F11">
            <w:pPr>
              <w:spacing w:after="0" w:line="240" w:lineRule="auto"/>
              <w:jc w:val="center"/>
              <w:rPr>
                <w:rFonts w:ascii="Times New Roman" w:hAnsi="Times New Roman"/>
                <w:sz w:val="24"/>
                <w:szCs w:val="24"/>
              </w:rPr>
            </w:pPr>
            <w:r w:rsidRPr="005B0FE3">
              <w:rPr>
                <w:rFonts w:ascii="Times New Roman" w:hAnsi="Times New Roman"/>
                <w:sz w:val="24"/>
                <w:szCs w:val="24"/>
              </w:rPr>
              <w:t>37,7</w:t>
            </w:r>
          </w:p>
        </w:tc>
      </w:tr>
      <w:tr w:rsidR="00D72F11" w:rsidRPr="005B0FE3" w14:paraId="36908C41" w14:textId="77777777" w:rsidTr="0081656D">
        <w:trPr>
          <w:cantSplit/>
          <w:jc w:val="center"/>
        </w:trPr>
        <w:tc>
          <w:tcPr>
            <w:tcW w:w="2095" w:type="pct"/>
            <w:tcBorders>
              <w:top w:val="single" w:sz="4" w:space="0" w:color="auto"/>
              <w:left w:val="single" w:sz="4" w:space="0" w:color="auto"/>
              <w:bottom w:val="single" w:sz="4" w:space="0" w:color="auto"/>
              <w:right w:val="single" w:sz="4" w:space="0" w:color="auto"/>
            </w:tcBorders>
          </w:tcPr>
          <w:p w14:paraId="5B08E13F" w14:textId="77777777" w:rsidR="00D72F11" w:rsidRPr="005B0FE3" w:rsidRDefault="00D72F11" w:rsidP="00D72F11">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Жиры, г</w:t>
            </w:r>
          </w:p>
        </w:tc>
        <w:tc>
          <w:tcPr>
            <w:tcW w:w="970" w:type="pct"/>
            <w:tcBorders>
              <w:top w:val="single" w:sz="4" w:space="0" w:color="auto"/>
              <w:left w:val="single" w:sz="4" w:space="0" w:color="auto"/>
              <w:bottom w:val="single" w:sz="4" w:space="0" w:color="auto"/>
              <w:right w:val="single" w:sz="4" w:space="0" w:color="auto"/>
            </w:tcBorders>
            <w:vAlign w:val="center"/>
          </w:tcPr>
          <w:p w14:paraId="7EB625FF" w14:textId="77777777" w:rsidR="00D72F11" w:rsidRPr="005B0FE3" w:rsidRDefault="00D72F11" w:rsidP="00D72F11">
            <w:pPr>
              <w:spacing w:after="0" w:line="240" w:lineRule="auto"/>
              <w:jc w:val="center"/>
              <w:rPr>
                <w:rFonts w:ascii="Times New Roman" w:hAnsi="Times New Roman"/>
                <w:sz w:val="24"/>
                <w:szCs w:val="24"/>
              </w:rPr>
            </w:pPr>
            <w:r w:rsidRPr="005B0FE3">
              <w:rPr>
                <w:rFonts w:ascii="Times New Roman" w:hAnsi="Times New Roman"/>
                <w:sz w:val="24"/>
                <w:szCs w:val="24"/>
              </w:rPr>
              <w:t>96,6</w:t>
            </w:r>
          </w:p>
        </w:tc>
        <w:tc>
          <w:tcPr>
            <w:tcW w:w="970" w:type="pct"/>
            <w:tcBorders>
              <w:top w:val="single" w:sz="4" w:space="0" w:color="auto"/>
              <w:left w:val="single" w:sz="4" w:space="0" w:color="auto"/>
              <w:bottom w:val="single" w:sz="4" w:space="0" w:color="auto"/>
              <w:right w:val="single" w:sz="4" w:space="0" w:color="auto"/>
            </w:tcBorders>
            <w:vAlign w:val="center"/>
          </w:tcPr>
          <w:p w14:paraId="2CDC95A2" w14:textId="77777777" w:rsidR="00D72F11" w:rsidRPr="005B0FE3" w:rsidRDefault="00D72F11" w:rsidP="00D72F11">
            <w:pPr>
              <w:spacing w:after="0" w:line="240" w:lineRule="auto"/>
              <w:jc w:val="center"/>
              <w:rPr>
                <w:rFonts w:ascii="Times New Roman" w:hAnsi="Times New Roman"/>
                <w:sz w:val="24"/>
                <w:szCs w:val="24"/>
              </w:rPr>
            </w:pPr>
            <w:r w:rsidRPr="005B0FE3">
              <w:rPr>
                <w:rFonts w:ascii="Times New Roman" w:hAnsi="Times New Roman"/>
                <w:sz w:val="24"/>
                <w:szCs w:val="24"/>
              </w:rPr>
              <w:t>85,5</w:t>
            </w:r>
          </w:p>
        </w:tc>
        <w:tc>
          <w:tcPr>
            <w:tcW w:w="965" w:type="pct"/>
            <w:tcBorders>
              <w:top w:val="single" w:sz="4" w:space="0" w:color="auto"/>
              <w:left w:val="single" w:sz="4" w:space="0" w:color="auto"/>
              <w:bottom w:val="single" w:sz="4" w:space="0" w:color="auto"/>
              <w:right w:val="single" w:sz="4" w:space="0" w:color="auto"/>
            </w:tcBorders>
            <w:vAlign w:val="center"/>
          </w:tcPr>
          <w:p w14:paraId="25653435" w14:textId="77777777" w:rsidR="00D72F11" w:rsidRPr="005B0FE3" w:rsidRDefault="00D72F11" w:rsidP="00D72F11">
            <w:pPr>
              <w:spacing w:after="0" w:line="240" w:lineRule="auto"/>
              <w:jc w:val="center"/>
              <w:rPr>
                <w:rFonts w:ascii="Times New Roman" w:hAnsi="Times New Roman"/>
                <w:sz w:val="24"/>
                <w:szCs w:val="24"/>
              </w:rPr>
            </w:pPr>
            <w:r w:rsidRPr="005B0FE3">
              <w:rPr>
                <w:rFonts w:ascii="Times New Roman" w:hAnsi="Times New Roman"/>
                <w:sz w:val="24"/>
                <w:szCs w:val="24"/>
              </w:rPr>
              <w:t>81,</w:t>
            </w:r>
            <w:r>
              <w:rPr>
                <w:rFonts w:ascii="Times New Roman" w:hAnsi="Times New Roman"/>
                <w:sz w:val="24"/>
                <w:szCs w:val="24"/>
              </w:rPr>
              <w:t>9</w:t>
            </w:r>
          </w:p>
        </w:tc>
      </w:tr>
      <w:tr w:rsidR="00D72F11" w:rsidRPr="005B0FE3" w14:paraId="3A7426BB" w14:textId="77777777" w:rsidTr="0081656D">
        <w:trPr>
          <w:cantSplit/>
          <w:jc w:val="center"/>
        </w:trPr>
        <w:tc>
          <w:tcPr>
            <w:tcW w:w="2095" w:type="pct"/>
            <w:tcBorders>
              <w:top w:val="single" w:sz="4" w:space="0" w:color="auto"/>
              <w:left w:val="single" w:sz="4" w:space="0" w:color="auto"/>
              <w:bottom w:val="single" w:sz="4" w:space="0" w:color="auto"/>
              <w:right w:val="single" w:sz="4" w:space="0" w:color="auto"/>
            </w:tcBorders>
          </w:tcPr>
          <w:p w14:paraId="62615986" w14:textId="77777777" w:rsidR="00D72F11" w:rsidRPr="005B0FE3" w:rsidRDefault="00D72F11" w:rsidP="00D72F11">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center"/>
          </w:tcPr>
          <w:p w14:paraId="4BB4678F" w14:textId="77777777" w:rsidR="00D72F11" w:rsidRPr="005B0FE3" w:rsidRDefault="00D72F11" w:rsidP="00D72F11">
            <w:pPr>
              <w:spacing w:after="0" w:line="240" w:lineRule="auto"/>
              <w:jc w:val="center"/>
              <w:rPr>
                <w:rFonts w:ascii="Times New Roman" w:hAnsi="Times New Roman"/>
                <w:sz w:val="24"/>
                <w:szCs w:val="24"/>
              </w:rPr>
            </w:pPr>
            <w:r w:rsidRPr="005B0FE3">
              <w:rPr>
                <w:rFonts w:ascii="Times New Roman" w:hAnsi="Times New Roman"/>
                <w:sz w:val="24"/>
                <w:szCs w:val="24"/>
              </w:rPr>
              <w:t>63,0</w:t>
            </w:r>
          </w:p>
        </w:tc>
        <w:tc>
          <w:tcPr>
            <w:tcW w:w="970" w:type="pct"/>
            <w:tcBorders>
              <w:top w:val="single" w:sz="4" w:space="0" w:color="auto"/>
              <w:left w:val="single" w:sz="4" w:space="0" w:color="auto"/>
              <w:bottom w:val="single" w:sz="4" w:space="0" w:color="auto"/>
              <w:right w:val="single" w:sz="4" w:space="0" w:color="auto"/>
            </w:tcBorders>
            <w:vAlign w:val="center"/>
          </w:tcPr>
          <w:p w14:paraId="62F5B8C8" w14:textId="77777777" w:rsidR="00D72F11" w:rsidRPr="005B0FE3" w:rsidRDefault="00D72F11" w:rsidP="00D72F11">
            <w:pPr>
              <w:spacing w:after="0" w:line="240" w:lineRule="auto"/>
              <w:jc w:val="center"/>
              <w:rPr>
                <w:rFonts w:ascii="Times New Roman" w:hAnsi="Times New Roman"/>
                <w:sz w:val="24"/>
                <w:szCs w:val="24"/>
              </w:rPr>
            </w:pPr>
            <w:r w:rsidRPr="005B0FE3">
              <w:rPr>
                <w:rFonts w:ascii="Times New Roman" w:hAnsi="Times New Roman"/>
                <w:sz w:val="24"/>
                <w:szCs w:val="24"/>
              </w:rPr>
              <w:t>54,7</w:t>
            </w:r>
          </w:p>
        </w:tc>
        <w:tc>
          <w:tcPr>
            <w:tcW w:w="965" w:type="pct"/>
            <w:tcBorders>
              <w:top w:val="single" w:sz="4" w:space="0" w:color="auto"/>
              <w:left w:val="single" w:sz="4" w:space="0" w:color="auto"/>
              <w:bottom w:val="single" w:sz="4" w:space="0" w:color="auto"/>
              <w:right w:val="single" w:sz="4" w:space="0" w:color="auto"/>
            </w:tcBorders>
            <w:vAlign w:val="center"/>
          </w:tcPr>
          <w:p w14:paraId="07BEB6B6" w14:textId="77777777" w:rsidR="00D72F11" w:rsidRPr="005B0FE3" w:rsidRDefault="00D72F11" w:rsidP="00D72F11">
            <w:pPr>
              <w:spacing w:after="0" w:line="240" w:lineRule="auto"/>
              <w:jc w:val="center"/>
              <w:rPr>
                <w:rFonts w:ascii="Times New Roman" w:hAnsi="Times New Roman"/>
                <w:sz w:val="24"/>
                <w:szCs w:val="24"/>
              </w:rPr>
            </w:pPr>
            <w:r w:rsidRPr="005B0FE3">
              <w:rPr>
                <w:rFonts w:ascii="Times New Roman" w:hAnsi="Times New Roman"/>
                <w:sz w:val="24"/>
                <w:szCs w:val="24"/>
              </w:rPr>
              <w:t>49,4</w:t>
            </w:r>
          </w:p>
        </w:tc>
      </w:tr>
      <w:tr w:rsidR="00D72F11" w:rsidRPr="005B0FE3" w14:paraId="7E2A37D2" w14:textId="77777777" w:rsidTr="0081656D">
        <w:trPr>
          <w:cantSplit/>
          <w:jc w:val="center"/>
        </w:trPr>
        <w:tc>
          <w:tcPr>
            <w:tcW w:w="2095" w:type="pct"/>
            <w:tcBorders>
              <w:top w:val="single" w:sz="4" w:space="0" w:color="auto"/>
              <w:left w:val="single" w:sz="4" w:space="0" w:color="auto"/>
              <w:bottom w:val="single" w:sz="4" w:space="0" w:color="auto"/>
              <w:right w:val="single" w:sz="4" w:space="0" w:color="auto"/>
            </w:tcBorders>
          </w:tcPr>
          <w:p w14:paraId="14FE99C5" w14:textId="77777777" w:rsidR="00D72F11" w:rsidRPr="005B0FE3" w:rsidRDefault="00D72F11" w:rsidP="00D72F11">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Углеводы, г</w:t>
            </w:r>
          </w:p>
        </w:tc>
        <w:tc>
          <w:tcPr>
            <w:tcW w:w="970" w:type="pct"/>
            <w:tcBorders>
              <w:top w:val="single" w:sz="4" w:space="0" w:color="auto"/>
              <w:left w:val="single" w:sz="4" w:space="0" w:color="auto"/>
              <w:bottom w:val="single" w:sz="4" w:space="0" w:color="auto"/>
              <w:right w:val="single" w:sz="4" w:space="0" w:color="auto"/>
            </w:tcBorders>
            <w:vAlign w:val="center"/>
          </w:tcPr>
          <w:p w14:paraId="065DD923" w14:textId="77777777" w:rsidR="00D72F11" w:rsidRPr="005B0FE3" w:rsidRDefault="00D72F11" w:rsidP="00D72F11">
            <w:pPr>
              <w:spacing w:after="0" w:line="240" w:lineRule="auto"/>
              <w:jc w:val="center"/>
              <w:rPr>
                <w:rFonts w:ascii="Times New Roman" w:hAnsi="Times New Roman"/>
                <w:sz w:val="24"/>
                <w:szCs w:val="24"/>
              </w:rPr>
            </w:pPr>
            <w:r w:rsidRPr="005B0FE3">
              <w:rPr>
                <w:rFonts w:ascii="Times New Roman" w:hAnsi="Times New Roman"/>
                <w:sz w:val="24"/>
                <w:szCs w:val="24"/>
              </w:rPr>
              <w:t>29</w:t>
            </w:r>
            <w:r>
              <w:rPr>
                <w:rFonts w:ascii="Times New Roman" w:hAnsi="Times New Roman"/>
                <w:sz w:val="24"/>
                <w:szCs w:val="24"/>
              </w:rPr>
              <w:t>3</w:t>
            </w:r>
            <w:r w:rsidRPr="005B0FE3">
              <w:rPr>
                <w:rFonts w:ascii="Times New Roman" w:hAnsi="Times New Roman"/>
                <w:sz w:val="24"/>
                <w:szCs w:val="24"/>
              </w:rPr>
              <w:t>,</w:t>
            </w:r>
            <w:r>
              <w:rPr>
                <w:rFonts w:ascii="Times New Roman" w:hAnsi="Times New Roman"/>
                <w:sz w:val="24"/>
                <w:szCs w:val="24"/>
              </w:rPr>
              <w:t>0</w:t>
            </w:r>
          </w:p>
        </w:tc>
        <w:tc>
          <w:tcPr>
            <w:tcW w:w="970" w:type="pct"/>
            <w:tcBorders>
              <w:top w:val="single" w:sz="4" w:space="0" w:color="auto"/>
              <w:left w:val="single" w:sz="4" w:space="0" w:color="auto"/>
              <w:bottom w:val="single" w:sz="4" w:space="0" w:color="auto"/>
              <w:right w:val="single" w:sz="4" w:space="0" w:color="auto"/>
            </w:tcBorders>
            <w:vAlign w:val="center"/>
          </w:tcPr>
          <w:p w14:paraId="595FBA87" w14:textId="77777777" w:rsidR="00D72F11" w:rsidRPr="005B0FE3" w:rsidRDefault="00D72F11" w:rsidP="00D72F11">
            <w:pPr>
              <w:spacing w:after="0" w:line="240" w:lineRule="auto"/>
              <w:jc w:val="center"/>
              <w:rPr>
                <w:rFonts w:ascii="Times New Roman" w:hAnsi="Times New Roman"/>
                <w:sz w:val="24"/>
                <w:szCs w:val="24"/>
              </w:rPr>
            </w:pPr>
            <w:r w:rsidRPr="005B0FE3">
              <w:rPr>
                <w:rFonts w:ascii="Times New Roman" w:hAnsi="Times New Roman"/>
                <w:sz w:val="24"/>
                <w:szCs w:val="24"/>
              </w:rPr>
              <w:t>271,5</w:t>
            </w:r>
          </w:p>
        </w:tc>
        <w:tc>
          <w:tcPr>
            <w:tcW w:w="965" w:type="pct"/>
            <w:tcBorders>
              <w:top w:val="single" w:sz="4" w:space="0" w:color="auto"/>
              <w:left w:val="single" w:sz="4" w:space="0" w:color="auto"/>
              <w:bottom w:val="single" w:sz="4" w:space="0" w:color="auto"/>
              <w:right w:val="single" w:sz="4" w:space="0" w:color="auto"/>
            </w:tcBorders>
            <w:vAlign w:val="center"/>
          </w:tcPr>
          <w:p w14:paraId="4883AA54" w14:textId="77777777" w:rsidR="00D72F11" w:rsidRPr="005B0FE3" w:rsidRDefault="00D72F11" w:rsidP="00D72F11">
            <w:pPr>
              <w:spacing w:after="0" w:line="240" w:lineRule="auto"/>
              <w:jc w:val="center"/>
              <w:rPr>
                <w:rFonts w:ascii="Times New Roman" w:hAnsi="Times New Roman"/>
                <w:sz w:val="24"/>
                <w:szCs w:val="24"/>
              </w:rPr>
            </w:pPr>
            <w:r w:rsidRPr="005B0FE3">
              <w:rPr>
                <w:rFonts w:ascii="Times New Roman" w:hAnsi="Times New Roman"/>
                <w:sz w:val="24"/>
                <w:szCs w:val="24"/>
              </w:rPr>
              <w:t>296,</w:t>
            </w:r>
            <w:r>
              <w:rPr>
                <w:rFonts w:ascii="Times New Roman" w:hAnsi="Times New Roman"/>
                <w:sz w:val="24"/>
                <w:szCs w:val="24"/>
              </w:rPr>
              <w:t>2</w:t>
            </w:r>
          </w:p>
        </w:tc>
      </w:tr>
      <w:tr w:rsidR="00D72F11" w:rsidRPr="005B0FE3" w14:paraId="24B6CBB3" w14:textId="77777777" w:rsidTr="0081656D">
        <w:trPr>
          <w:cantSplit/>
          <w:jc w:val="center"/>
        </w:trPr>
        <w:tc>
          <w:tcPr>
            <w:tcW w:w="2095" w:type="pct"/>
            <w:tcBorders>
              <w:top w:val="single" w:sz="4" w:space="0" w:color="auto"/>
              <w:left w:val="single" w:sz="4" w:space="0" w:color="auto"/>
              <w:bottom w:val="single" w:sz="4" w:space="0" w:color="auto"/>
              <w:right w:val="single" w:sz="4" w:space="0" w:color="auto"/>
            </w:tcBorders>
          </w:tcPr>
          <w:p w14:paraId="34AC754A" w14:textId="77777777" w:rsidR="00D72F11" w:rsidRPr="005B0FE3" w:rsidRDefault="00D72F11" w:rsidP="00D72F11">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center"/>
          </w:tcPr>
          <w:p w14:paraId="571C776A" w14:textId="77777777" w:rsidR="00D72F11" w:rsidRPr="005B0FE3" w:rsidRDefault="00D72F11" w:rsidP="00D72F11">
            <w:pPr>
              <w:spacing w:after="0" w:line="240" w:lineRule="auto"/>
              <w:jc w:val="center"/>
              <w:rPr>
                <w:rFonts w:ascii="Times New Roman" w:hAnsi="Times New Roman"/>
                <w:sz w:val="24"/>
                <w:szCs w:val="24"/>
              </w:rPr>
            </w:pPr>
            <w:r w:rsidRPr="005B0FE3">
              <w:rPr>
                <w:rFonts w:ascii="Times New Roman" w:hAnsi="Times New Roman"/>
                <w:sz w:val="24"/>
                <w:szCs w:val="24"/>
              </w:rPr>
              <w:t>13,6</w:t>
            </w:r>
          </w:p>
        </w:tc>
        <w:tc>
          <w:tcPr>
            <w:tcW w:w="970" w:type="pct"/>
            <w:tcBorders>
              <w:top w:val="single" w:sz="4" w:space="0" w:color="auto"/>
              <w:left w:val="single" w:sz="4" w:space="0" w:color="auto"/>
              <w:bottom w:val="single" w:sz="4" w:space="0" w:color="auto"/>
              <w:right w:val="single" w:sz="4" w:space="0" w:color="auto"/>
            </w:tcBorders>
            <w:vAlign w:val="center"/>
          </w:tcPr>
          <w:p w14:paraId="7A1E0E0C" w14:textId="77777777" w:rsidR="00D72F11" w:rsidRPr="005B0FE3" w:rsidRDefault="00D72F11" w:rsidP="00D72F11">
            <w:pPr>
              <w:spacing w:after="0" w:line="240" w:lineRule="auto"/>
              <w:jc w:val="center"/>
              <w:rPr>
                <w:rFonts w:ascii="Times New Roman" w:hAnsi="Times New Roman"/>
                <w:sz w:val="24"/>
                <w:szCs w:val="24"/>
              </w:rPr>
            </w:pPr>
            <w:r w:rsidRPr="005B0FE3">
              <w:rPr>
                <w:rFonts w:ascii="Times New Roman" w:hAnsi="Times New Roman"/>
                <w:sz w:val="24"/>
                <w:szCs w:val="24"/>
              </w:rPr>
              <w:t>12,3</w:t>
            </w:r>
          </w:p>
        </w:tc>
        <w:tc>
          <w:tcPr>
            <w:tcW w:w="965" w:type="pct"/>
            <w:tcBorders>
              <w:top w:val="single" w:sz="4" w:space="0" w:color="auto"/>
              <w:left w:val="single" w:sz="4" w:space="0" w:color="auto"/>
              <w:bottom w:val="single" w:sz="4" w:space="0" w:color="auto"/>
              <w:right w:val="single" w:sz="4" w:space="0" w:color="auto"/>
            </w:tcBorders>
            <w:vAlign w:val="center"/>
          </w:tcPr>
          <w:p w14:paraId="6E0DDBD1" w14:textId="77777777" w:rsidR="00D72F11" w:rsidRPr="005B0FE3" w:rsidRDefault="00D72F11" w:rsidP="00D72F11">
            <w:pPr>
              <w:spacing w:after="0" w:line="240" w:lineRule="auto"/>
              <w:jc w:val="center"/>
              <w:rPr>
                <w:rFonts w:ascii="Times New Roman" w:hAnsi="Times New Roman"/>
                <w:sz w:val="24"/>
                <w:szCs w:val="24"/>
              </w:rPr>
            </w:pPr>
            <w:r w:rsidRPr="005B0FE3">
              <w:rPr>
                <w:rFonts w:ascii="Times New Roman" w:hAnsi="Times New Roman"/>
                <w:sz w:val="24"/>
                <w:szCs w:val="24"/>
              </w:rPr>
              <w:t>12,5</w:t>
            </w:r>
          </w:p>
        </w:tc>
      </w:tr>
      <w:tr w:rsidR="00D72F11" w:rsidRPr="005B0FE3" w14:paraId="31CEB4AF" w14:textId="77777777" w:rsidTr="0081656D">
        <w:trPr>
          <w:cantSplit/>
          <w:jc w:val="center"/>
        </w:trPr>
        <w:tc>
          <w:tcPr>
            <w:tcW w:w="2095" w:type="pct"/>
            <w:tcBorders>
              <w:top w:val="single" w:sz="4" w:space="0" w:color="auto"/>
              <w:left w:val="single" w:sz="4" w:space="0" w:color="auto"/>
              <w:bottom w:val="single" w:sz="4" w:space="0" w:color="auto"/>
              <w:right w:val="single" w:sz="4" w:space="0" w:color="auto"/>
            </w:tcBorders>
          </w:tcPr>
          <w:p w14:paraId="13B165BA" w14:textId="77777777" w:rsidR="00D72F11" w:rsidRPr="005B0FE3" w:rsidRDefault="00D72F11" w:rsidP="00D72F11">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center"/>
          </w:tcPr>
          <w:p w14:paraId="17983FEE" w14:textId="77777777" w:rsidR="00D72F11" w:rsidRPr="005B0FE3" w:rsidRDefault="00D72F11" w:rsidP="00D72F11">
            <w:pPr>
              <w:spacing w:after="0" w:line="240" w:lineRule="auto"/>
              <w:jc w:val="center"/>
              <w:rPr>
                <w:rFonts w:ascii="Times New Roman" w:hAnsi="Times New Roman"/>
                <w:sz w:val="24"/>
                <w:szCs w:val="24"/>
              </w:rPr>
            </w:pPr>
            <w:r w:rsidRPr="005B0FE3">
              <w:rPr>
                <w:rFonts w:ascii="Times New Roman" w:hAnsi="Times New Roman"/>
                <w:sz w:val="24"/>
                <w:szCs w:val="24"/>
              </w:rPr>
              <w:t>2 340,</w:t>
            </w:r>
            <w:r>
              <w:rPr>
                <w:rFonts w:ascii="Times New Roman" w:hAnsi="Times New Roman"/>
                <w:sz w:val="24"/>
                <w:szCs w:val="24"/>
              </w:rPr>
              <w:t>9</w:t>
            </w:r>
          </w:p>
        </w:tc>
        <w:tc>
          <w:tcPr>
            <w:tcW w:w="970" w:type="pct"/>
            <w:tcBorders>
              <w:top w:val="single" w:sz="4" w:space="0" w:color="auto"/>
              <w:left w:val="single" w:sz="4" w:space="0" w:color="auto"/>
              <w:bottom w:val="single" w:sz="4" w:space="0" w:color="auto"/>
              <w:right w:val="single" w:sz="4" w:space="0" w:color="auto"/>
            </w:tcBorders>
            <w:vAlign w:val="center"/>
          </w:tcPr>
          <w:p w14:paraId="46D93925" w14:textId="77777777" w:rsidR="00D72F11" w:rsidRPr="005B0FE3" w:rsidRDefault="00D72F11" w:rsidP="00D72F11">
            <w:pPr>
              <w:spacing w:after="0" w:line="240" w:lineRule="auto"/>
              <w:jc w:val="center"/>
              <w:rPr>
                <w:rFonts w:ascii="Times New Roman" w:hAnsi="Times New Roman"/>
                <w:sz w:val="24"/>
                <w:szCs w:val="24"/>
              </w:rPr>
            </w:pPr>
            <w:r w:rsidRPr="005B0FE3">
              <w:rPr>
                <w:rFonts w:ascii="Times New Roman" w:hAnsi="Times New Roman"/>
                <w:sz w:val="24"/>
                <w:szCs w:val="24"/>
              </w:rPr>
              <w:t>2 120,0</w:t>
            </w:r>
          </w:p>
        </w:tc>
        <w:tc>
          <w:tcPr>
            <w:tcW w:w="965" w:type="pct"/>
            <w:tcBorders>
              <w:top w:val="single" w:sz="4" w:space="0" w:color="auto"/>
              <w:left w:val="single" w:sz="4" w:space="0" w:color="auto"/>
              <w:bottom w:val="single" w:sz="4" w:space="0" w:color="auto"/>
              <w:right w:val="single" w:sz="4" w:space="0" w:color="auto"/>
            </w:tcBorders>
            <w:vAlign w:val="center"/>
          </w:tcPr>
          <w:p w14:paraId="16721650" w14:textId="77777777" w:rsidR="00D72F11" w:rsidRPr="005B0FE3" w:rsidRDefault="00D72F11" w:rsidP="00D72F11">
            <w:pPr>
              <w:spacing w:after="0" w:line="240" w:lineRule="auto"/>
              <w:jc w:val="center"/>
              <w:rPr>
                <w:rFonts w:ascii="Times New Roman" w:hAnsi="Times New Roman"/>
                <w:sz w:val="24"/>
                <w:szCs w:val="24"/>
              </w:rPr>
            </w:pPr>
            <w:r w:rsidRPr="005B0FE3">
              <w:rPr>
                <w:rFonts w:ascii="Times New Roman" w:hAnsi="Times New Roman"/>
                <w:sz w:val="24"/>
                <w:szCs w:val="24"/>
              </w:rPr>
              <w:t>2 187,</w:t>
            </w:r>
            <w:r>
              <w:rPr>
                <w:rFonts w:ascii="Times New Roman" w:hAnsi="Times New Roman"/>
                <w:sz w:val="24"/>
                <w:szCs w:val="24"/>
              </w:rPr>
              <w:t>8</w:t>
            </w:r>
          </w:p>
        </w:tc>
      </w:tr>
      <w:tr w:rsidR="00D72F11" w:rsidRPr="005B0FE3" w14:paraId="1E6E5118" w14:textId="77777777" w:rsidTr="0081656D">
        <w:trPr>
          <w:cantSplit/>
          <w:jc w:val="center"/>
        </w:trPr>
        <w:tc>
          <w:tcPr>
            <w:tcW w:w="2095" w:type="pct"/>
            <w:tcBorders>
              <w:top w:val="single" w:sz="4" w:space="0" w:color="auto"/>
              <w:left w:val="single" w:sz="4" w:space="0" w:color="auto"/>
              <w:bottom w:val="single" w:sz="4" w:space="0" w:color="auto"/>
              <w:right w:val="single" w:sz="4" w:space="0" w:color="auto"/>
            </w:tcBorders>
          </w:tcPr>
          <w:p w14:paraId="61F66B33" w14:textId="77777777" w:rsidR="00D72F11" w:rsidRPr="005B0FE3" w:rsidRDefault="00D72F11" w:rsidP="00D72F11">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center"/>
          </w:tcPr>
          <w:p w14:paraId="457B6442" w14:textId="77777777" w:rsidR="00D72F11" w:rsidRPr="005B0FE3" w:rsidRDefault="00D72F11" w:rsidP="00D72F11">
            <w:pPr>
              <w:spacing w:after="0" w:line="240" w:lineRule="auto"/>
              <w:jc w:val="center"/>
              <w:rPr>
                <w:rFonts w:ascii="Times New Roman" w:hAnsi="Times New Roman"/>
                <w:sz w:val="24"/>
                <w:szCs w:val="24"/>
              </w:rPr>
            </w:pPr>
            <w:r w:rsidRPr="005B0FE3">
              <w:rPr>
                <w:rFonts w:ascii="Times New Roman" w:hAnsi="Times New Roman"/>
                <w:sz w:val="24"/>
                <w:szCs w:val="24"/>
              </w:rPr>
              <w:t>811,</w:t>
            </w:r>
            <w:r>
              <w:rPr>
                <w:rFonts w:ascii="Times New Roman" w:hAnsi="Times New Roman"/>
                <w:sz w:val="24"/>
                <w:szCs w:val="24"/>
              </w:rPr>
              <w:t>8</w:t>
            </w:r>
          </w:p>
        </w:tc>
        <w:tc>
          <w:tcPr>
            <w:tcW w:w="970" w:type="pct"/>
            <w:tcBorders>
              <w:top w:val="single" w:sz="4" w:space="0" w:color="auto"/>
              <w:left w:val="single" w:sz="4" w:space="0" w:color="auto"/>
              <w:bottom w:val="single" w:sz="4" w:space="0" w:color="auto"/>
              <w:right w:val="single" w:sz="4" w:space="0" w:color="auto"/>
            </w:tcBorders>
            <w:vAlign w:val="center"/>
          </w:tcPr>
          <w:p w14:paraId="29C224ED" w14:textId="77777777" w:rsidR="00D72F11" w:rsidRPr="005B0FE3" w:rsidRDefault="00D72F11" w:rsidP="00D72F11">
            <w:pPr>
              <w:spacing w:after="0" w:line="240" w:lineRule="auto"/>
              <w:jc w:val="center"/>
              <w:rPr>
                <w:rFonts w:ascii="Times New Roman" w:hAnsi="Times New Roman"/>
                <w:sz w:val="24"/>
                <w:szCs w:val="24"/>
              </w:rPr>
            </w:pPr>
            <w:r w:rsidRPr="005B0FE3">
              <w:rPr>
                <w:rFonts w:ascii="Times New Roman" w:hAnsi="Times New Roman"/>
                <w:sz w:val="24"/>
                <w:szCs w:val="24"/>
              </w:rPr>
              <w:t>705,6</w:t>
            </w:r>
          </w:p>
        </w:tc>
        <w:tc>
          <w:tcPr>
            <w:tcW w:w="965" w:type="pct"/>
            <w:tcBorders>
              <w:top w:val="single" w:sz="4" w:space="0" w:color="auto"/>
              <w:left w:val="single" w:sz="4" w:space="0" w:color="auto"/>
              <w:bottom w:val="single" w:sz="4" w:space="0" w:color="auto"/>
              <w:right w:val="single" w:sz="4" w:space="0" w:color="auto"/>
            </w:tcBorders>
            <w:vAlign w:val="center"/>
          </w:tcPr>
          <w:p w14:paraId="180F4F9F" w14:textId="77777777" w:rsidR="00D72F11" w:rsidRPr="005B0FE3" w:rsidRDefault="00D72F11" w:rsidP="00D72F11">
            <w:pPr>
              <w:spacing w:after="0" w:line="240" w:lineRule="auto"/>
              <w:jc w:val="center"/>
              <w:rPr>
                <w:rFonts w:ascii="Times New Roman" w:hAnsi="Times New Roman"/>
                <w:sz w:val="24"/>
                <w:szCs w:val="24"/>
              </w:rPr>
            </w:pPr>
            <w:r w:rsidRPr="005B0FE3">
              <w:rPr>
                <w:rFonts w:ascii="Times New Roman" w:hAnsi="Times New Roman"/>
                <w:sz w:val="24"/>
                <w:szCs w:val="24"/>
              </w:rPr>
              <w:t>648,</w:t>
            </w:r>
            <w:r>
              <w:rPr>
                <w:rFonts w:ascii="Times New Roman" w:hAnsi="Times New Roman"/>
                <w:sz w:val="24"/>
                <w:szCs w:val="24"/>
              </w:rPr>
              <w:t>8</w:t>
            </w:r>
          </w:p>
        </w:tc>
      </w:tr>
      <w:tr w:rsidR="00D72F11" w:rsidRPr="005B0FE3" w14:paraId="21C6786C" w14:textId="77777777" w:rsidTr="00944CB1">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14:paraId="0929C064" w14:textId="77777777" w:rsidR="00D72F11" w:rsidRPr="005B0FE3" w:rsidRDefault="00D72F11" w:rsidP="00D72F11">
            <w:pPr>
              <w:spacing w:before="40"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 г.</w:t>
            </w:r>
          </w:p>
        </w:tc>
      </w:tr>
      <w:tr w:rsidR="00D72F11" w:rsidRPr="005B0FE3" w14:paraId="2E20CCF5" w14:textId="77777777" w:rsidTr="0081656D">
        <w:trPr>
          <w:cantSplit/>
          <w:jc w:val="center"/>
        </w:trPr>
        <w:tc>
          <w:tcPr>
            <w:tcW w:w="2095" w:type="pct"/>
            <w:tcBorders>
              <w:top w:val="single" w:sz="4" w:space="0" w:color="auto"/>
              <w:left w:val="single" w:sz="4" w:space="0" w:color="auto"/>
              <w:bottom w:val="single" w:sz="4" w:space="0" w:color="auto"/>
              <w:right w:val="single" w:sz="4" w:space="0" w:color="auto"/>
            </w:tcBorders>
          </w:tcPr>
          <w:p w14:paraId="560694A2" w14:textId="77777777" w:rsidR="00D72F11" w:rsidRPr="005B0FE3" w:rsidRDefault="00D72F11" w:rsidP="00D72F11">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Белки, г</w:t>
            </w:r>
          </w:p>
        </w:tc>
        <w:tc>
          <w:tcPr>
            <w:tcW w:w="970" w:type="pct"/>
            <w:tcBorders>
              <w:top w:val="single" w:sz="4" w:space="0" w:color="auto"/>
              <w:left w:val="single" w:sz="4" w:space="0" w:color="auto"/>
              <w:bottom w:val="single" w:sz="4" w:space="0" w:color="auto"/>
              <w:right w:val="single" w:sz="4" w:space="0" w:color="auto"/>
            </w:tcBorders>
            <w:vAlign w:val="bottom"/>
          </w:tcPr>
          <w:p w14:paraId="5580FD0B" w14:textId="77777777" w:rsidR="00D72F11" w:rsidRPr="00CA2ECA" w:rsidRDefault="00D72F11" w:rsidP="00D72F11">
            <w:pPr>
              <w:spacing w:after="0" w:line="240" w:lineRule="auto"/>
              <w:jc w:val="center"/>
              <w:rPr>
                <w:rFonts w:ascii="Times New Roman" w:hAnsi="Times New Roman"/>
                <w:sz w:val="24"/>
                <w:szCs w:val="24"/>
              </w:rPr>
            </w:pPr>
            <w:r w:rsidRPr="00CA2ECA">
              <w:rPr>
                <w:rFonts w:ascii="Times New Roman" w:hAnsi="Times New Roman"/>
                <w:sz w:val="24"/>
                <w:szCs w:val="24"/>
              </w:rPr>
              <w:t>70,6</w:t>
            </w:r>
          </w:p>
        </w:tc>
        <w:tc>
          <w:tcPr>
            <w:tcW w:w="970" w:type="pct"/>
            <w:tcBorders>
              <w:top w:val="single" w:sz="4" w:space="0" w:color="auto"/>
              <w:left w:val="single" w:sz="4" w:space="0" w:color="auto"/>
              <w:bottom w:val="single" w:sz="4" w:space="0" w:color="auto"/>
              <w:right w:val="single" w:sz="4" w:space="0" w:color="auto"/>
            </w:tcBorders>
            <w:vAlign w:val="bottom"/>
          </w:tcPr>
          <w:p w14:paraId="507861F1" w14:textId="77777777" w:rsidR="00D72F11" w:rsidRPr="00CA2ECA" w:rsidRDefault="00D72F11" w:rsidP="00D72F11">
            <w:pPr>
              <w:spacing w:after="0" w:line="240" w:lineRule="auto"/>
              <w:jc w:val="center"/>
              <w:rPr>
                <w:rFonts w:ascii="Times New Roman" w:hAnsi="Times New Roman"/>
                <w:sz w:val="24"/>
                <w:szCs w:val="24"/>
              </w:rPr>
            </w:pPr>
            <w:r w:rsidRPr="00CA2ECA">
              <w:rPr>
                <w:rFonts w:ascii="Times New Roman" w:hAnsi="Times New Roman"/>
                <w:sz w:val="24"/>
                <w:szCs w:val="24"/>
              </w:rPr>
              <w:t>63,0</w:t>
            </w:r>
          </w:p>
        </w:tc>
        <w:tc>
          <w:tcPr>
            <w:tcW w:w="965" w:type="pct"/>
            <w:tcBorders>
              <w:top w:val="single" w:sz="4" w:space="0" w:color="auto"/>
              <w:left w:val="single" w:sz="4" w:space="0" w:color="auto"/>
              <w:bottom w:val="single" w:sz="4" w:space="0" w:color="auto"/>
              <w:right w:val="single" w:sz="4" w:space="0" w:color="auto"/>
            </w:tcBorders>
            <w:vAlign w:val="bottom"/>
          </w:tcPr>
          <w:p w14:paraId="35523750" w14:textId="77777777" w:rsidR="00D72F11" w:rsidRPr="00CA2ECA" w:rsidRDefault="00D72F11" w:rsidP="00D72F11">
            <w:pPr>
              <w:spacing w:after="0" w:line="240" w:lineRule="auto"/>
              <w:jc w:val="center"/>
              <w:rPr>
                <w:rFonts w:ascii="Times New Roman" w:hAnsi="Times New Roman"/>
                <w:sz w:val="24"/>
                <w:szCs w:val="24"/>
              </w:rPr>
            </w:pPr>
            <w:r w:rsidRPr="00CA2ECA">
              <w:rPr>
                <w:rFonts w:ascii="Times New Roman" w:hAnsi="Times New Roman"/>
                <w:sz w:val="24"/>
                <w:szCs w:val="24"/>
              </w:rPr>
              <w:t>62,8</w:t>
            </w:r>
          </w:p>
        </w:tc>
      </w:tr>
      <w:tr w:rsidR="00D72F11" w:rsidRPr="005B0FE3" w14:paraId="538E6BC7" w14:textId="77777777" w:rsidTr="0081656D">
        <w:trPr>
          <w:cantSplit/>
          <w:jc w:val="center"/>
        </w:trPr>
        <w:tc>
          <w:tcPr>
            <w:tcW w:w="2095" w:type="pct"/>
            <w:tcBorders>
              <w:top w:val="single" w:sz="4" w:space="0" w:color="auto"/>
              <w:left w:val="single" w:sz="4" w:space="0" w:color="auto"/>
              <w:bottom w:val="single" w:sz="4" w:space="0" w:color="auto"/>
              <w:right w:val="single" w:sz="4" w:space="0" w:color="auto"/>
            </w:tcBorders>
          </w:tcPr>
          <w:p w14:paraId="3B63A520" w14:textId="77777777" w:rsidR="00D72F11" w:rsidRPr="005B0FE3" w:rsidRDefault="00D72F11" w:rsidP="00D72F11">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14:paraId="78C29975" w14:textId="77777777" w:rsidR="00D72F11" w:rsidRPr="00CA2ECA" w:rsidRDefault="00D72F11" w:rsidP="00D72F11">
            <w:pPr>
              <w:spacing w:after="0" w:line="240" w:lineRule="auto"/>
              <w:jc w:val="center"/>
              <w:rPr>
                <w:rFonts w:ascii="Times New Roman" w:hAnsi="Times New Roman"/>
                <w:sz w:val="24"/>
                <w:szCs w:val="24"/>
              </w:rPr>
            </w:pPr>
            <w:r w:rsidRPr="00CA2ECA">
              <w:rPr>
                <w:rFonts w:ascii="Times New Roman" w:hAnsi="Times New Roman"/>
                <w:sz w:val="24"/>
                <w:szCs w:val="24"/>
              </w:rPr>
              <w:t>47,1</w:t>
            </w:r>
          </w:p>
        </w:tc>
        <w:tc>
          <w:tcPr>
            <w:tcW w:w="970" w:type="pct"/>
            <w:tcBorders>
              <w:top w:val="single" w:sz="4" w:space="0" w:color="auto"/>
              <w:left w:val="single" w:sz="4" w:space="0" w:color="auto"/>
              <w:bottom w:val="single" w:sz="4" w:space="0" w:color="auto"/>
              <w:right w:val="single" w:sz="4" w:space="0" w:color="auto"/>
            </w:tcBorders>
            <w:vAlign w:val="bottom"/>
          </w:tcPr>
          <w:p w14:paraId="5C861FBA" w14:textId="77777777" w:rsidR="00D72F11" w:rsidRPr="00CA2ECA" w:rsidRDefault="00D72F11" w:rsidP="00D72F11">
            <w:pPr>
              <w:spacing w:after="0" w:line="240" w:lineRule="auto"/>
              <w:jc w:val="center"/>
              <w:rPr>
                <w:rFonts w:ascii="Times New Roman" w:hAnsi="Times New Roman"/>
                <w:sz w:val="24"/>
                <w:szCs w:val="24"/>
              </w:rPr>
            </w:pPr>
            <w:r w:rsidRPr="00CA2ECA">
              <w:rPr>
                <w:rFonts w:ascii="Times New Roman" w:hAnsi="Times New Roman"/>
                <w:sz w:val="24"/>
                <w:szCs w:val="24"/>
              </w:rPr>
              <w:t>41,2</w:t>
            </w:r>
          </w:p>
        </w:tc>
        <w:tc>
          <w:tcPr>
            <w:tcW w:w="965" w:type="pct"/>
            <w:tcBorders>
              <w:top w:val="single" w:sz="4" w:space="0" w:color="auto"/>
              <w:left w:val="single" w:sz="4" w:space="0" w:color="auto"/>
              <w:bottom w:val="single" w:sz="4" w:space="0" w:color="auto"/>
              <w:right w:val="single" w:sz="4" w:space="0" w:color="auto"/>
            </w:tcBorders>
            <w:vAlign w:val="bottom"/>
          </w:tcPr>
          <w:p w14:paraId="207C1716" w14:textId="77777777" w:rsidR="00D72F11" w:rsidRPr="00CA2ECA" w:rsidRDefault="00D72F11" w:rsidP="00D72F11">
            <w:pPr>
              <w:spacing w:after="0" w:line="240" w:lineRule="auto"/>
              <w:jc w:val="center"/>
              <w:rPr>
                <w:rFonts w:ascii="Times New Roman" w:hAnsi="Times New Roman"/>
                <w:sz w:val="24"/>
                <w:szCs w:val="24"/>
              </w:rPr>
            </w:pPr>
            <w:r w:rsidRPr="00CA2ECA">
              <w:rPr>
                <w:rFonts w:ascii="Times New Roman" w:hAnsi="Times New Roman"/>
                <w:sz w:val="24"/>
                <w:szCs w:val="24"/>
              </w:rPr>
              <w:t>38,2</w:t>
            </w:r>
          </w:p>
        </w:tc>
      </w:tr>
      <w:tr w:rsidR="00D72F11" w:rsidRPr="005B0FE3" w14:paraId="0C6C357D" w14:textId="77777777" w:rsidTr="0081656D">
        <w:trPr>
          <w:cantSplit/>
          <w:jc w:val="center"/>
        </w:trPr>
        <w:tc>
          <w:tcPr>
            <w:tcW w:w="2095" w:type="pct"/>
            <w:tcBorders>
              <w:top w:val="single" w:sz="4" w:space="0" w:color="auto"/>
              <w:left w:val="single" w:sz="4" w:space="0" w:color="auto"/>
              <w:bottom w:val="single" w:sz="4" w:space="0" w:color="auto"/>
              <w:right w:val="single" w:sz="4" w:space="0" w:color="auto"/>
            </w:tcBorders>
          </w:tcPr>
          <w:p w14:paraId="19C98165" w14:textId="77777777" w:rsidR="00D72F11" w:rsidRPr="005B0FE3" w:rsidRDefault="00D72F11" w:rsidP="00D72F11">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Жиры, г</w:t>
            </w:r>
          </w:p>
        </w:tc>
        <w:tc>
          <w:tcPr>
            <w:tcW w:w="970" w:type="pct"/>
            <w:tcBorders>
              <w:top w:val="single" w:sz="4" w:space="0" w:color="auto"/>
              <w:left w:val="single" w:sz="4" w:space="0" w:color="auto"/>
              <w:bottom w:val="single" w:sz="4" w:space="0" w:color="auto"/>
              <w:right w:val="single" w:sz="4" w:space="0" w:color="auto"/>
            </w:tcBorders>
            <w:vAlign w:val="bottom"/>
          </w:tcPr>
          <w:p w14:paraId="6275B9D6" w14:textId="77777777" w:rsidR="00D72F11" w:rsidRPr="00CA2ECA" w:rsidRDefault="00D72F11" w:rsidP="00D72F11">
            <w:pPr>
              <w:spacing w:after="0" w:line="240" w:lineRule="auto"/>
              <w:jc w:val="center"/>
              <w:rPr>
                <w:rFonts w:ascii="Times New Roman" w:hAnsi="Times New Roman"/>
                <w:sz w:val="24"/>
                <w:szCs w:val="24"/>
              </w:rPr>
            </w:pPr>
            <w:r w:rsidRPr="00CA2ECA">
              <w:rPr>
                <w:rFonts w:ascii="Times New Roman" w:hAnsi="Times New Roman"/>
                <w:sz w:val="24"/>
                <w:szCs w:val="24"/>
              </w:rPr>
              <w:t>94,1</w:t>
            </w:r>
          </w:p>
        </w:tc>
        <w:tc>
          <w:tcPr>
            <w:tcW w:w="970" w:type="pct"/>
            <w:tcBorders>
              <w:top w:val="single" w:sz="4" w:space="0" w:color="auto"/>
              <w:left w:val="single" w:sz="4" w:space="0" w:color="auto"/>
              <w:bottom w:val="single" w:sz="4" w:space="0" w:color="auto"/>
              <w:right w:val="single" w:sz="4" w:space="0" w:color="auto"/>
            </w:tcBorders>
            <w:vAlign w:val="bottom"/>
          </w:tcPr>
          <w:p w14:paraId="59671EC8" w14:textId="77777777" w:rsidR="00D72F11" w:rsidRPr="00CA2ECA" w:rsidRDefault="00D72F11" w:rsidP="00D72F11">
            <w:pPr>
              <w:spacing w:after="0" w:line="240" w:lineRule="auto"/>
              <w:jc w:val="center"/>
              <w:rPr>
                <w:rFonts w:ascii="Times New Roman" w:hAnsi="Times New Roman"/>
                <w:sz w:val="24"/>
                <w:szCs w:val="24"/>
              </w:rPr>
            </w:pPr>
            <w:r w:rsidRPr="00CA2ECA">
              <w:rPr>
                <w:rFonts w:ascii="Times New Roman" w:hAnsi="Times New Roman"/>
                <w:sz w:val="24"/>
                <w:szCs w:val="24"/>
              </w:rPr>
              <w:t>84,2</w:t>
            </w:r>
          </w:p>
        </w:tc>
        <w:tc>
          <w:tcPr>
            <w:tcW w:w="965" w:type="pct"/>
            <w:tcBorders>
              <w:top w:val="single" w:sz="4" w:space="0" w:color="auto"/>
              <w:left w:val="single" w:sz="4" w:space="0" w:color="auto"/>
              <w:bottom w:val="single" w:sz="4" w:space="0" w:color="auto"/>
              <w:right w:val="single" w:sz="4" w:space="0" w:color="auto"/>
            </w:tcBorders>
            <w:vAlign w:val="bottom"/>
          </w:tcPr>
          <w:p w14:paraId="6414C8E7" w14:textId="77777777" w:rsidR="00D72F11" w:rsidRPr="00CA2ECA" w:rsidRDefault="00D72F11" w:rsidP="00D72F11">
            <w:pPr>
              <w:spacing w:after="0" w:line="240" w:lineRule="auto"/>
              <w:jc w:val="center"/>
              <w:rPr>
                <w:rFonts w:ascii="Times New Roman" w:hAnsi="Times New Roman"/>
                <w:sz w:val="24"/>
                <w:szCs w:val="24"/>
              </w:rPr>
            </w:pPr>
            <w:r w:rsidRPr="00CA2ECA">
              <w:rPr>
                <w:rFonts w:ascii="Times New Roman" w:hAnsi="Times New Roman"/>
                <w:sz w:val="24"/>
                <w:szCs w:val="24"/>
              </w:rPr>
              <w:t>79,0</w:t>
            </w:r>
          </w:p>
        </w:tc>
      </w:tr>
      <w:tr w:rsidR="00D72F11" w:rsidRPr="005B0FE3" w14:paraId="207B9E7A" w14:textId="77777777" w:rsidTr="0081656D">
        <w:trPr>
          <w:cantSplit/>
          <w:jc w:val="center"/>
        </w:trPr>
        <w:tc>
          <w:tcPr>
            <w:tcW w:w="2095" w:type="pct"/>
            <w:tcBorders>
              <w:top w:val="single" w:sz="4" w:space="0" w:color="auto"/>
              <w:left w:val="single" w:sz="4" w:space="0" w:color="auto"/>
              <w:bottom w:val="single" w:sz="4" w:space="0" w:color="auto"/>
              <w:right w:val="single" w:sz="4" w:space="0" w:color="auto"/>
            </w:tcBorders>
          </w:tcPr>
          <w:p w14:paraId="2E4CC1A5" w14:textId="77777777" w:rsidR="00D72F11" w:rsidRPr="005B0FE3" w:rsidRDefault="00D72F11" w:rsidP="00D72F11">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14:paraId="51ADAA7C" w14:textId="77777777" w:rsidR="00D72F11" w:rsidRPr="00CA2ECA" w:rsidRDefault="00D72F11" w:rsidP="00D72F11">
            <w:pPr>
              <w:spacing w:after="0" w:line="240" w:lineRule="auto"/>
              <w:jc w:val="center"/>
              <w:rPr>
                <w:rFonts w:ascii="Times New Roman" w:hAnsi="Times New Roman"/>
                <w:sz w:val="24"/>
                <w:szCs w:val="24"/>
              </w:rPr>
            </w:pPr>
            <w:r w:rsidRPr="00CA2ECA">
              <w:rPr>
                <w:rFonts w:ascii="Times New Roman" w:hAnsi="Times New Roman"/>
                <w:sz w:val="24"/>
                <w:szCs w:val="24"/>
              </w:rPr>
              <w:t>63,1</w:t>
            </w:r>
          </w:p>
        </w:tc>
        <w:tc>
          <w:tcPr>
            <w:tcW w:w="970" w:type="pct"/>
            <w:tcBorders>
              <w:top w:val="single" w:sz="4" w:space="0" w:color="auto"/>
              <w:left w:val="single" w:sz="4" w:space="0" w:color="auto"/>
              <w:bottom w:val="single" w:sz="4" w:space="0" w:color="auto"/>
              <w:right w:val="single" w:sz="4" w:space="0" w:color="auto"/>
            </w:tcBorders>
            <w:vAlign w:val="bottom"/>
          </w:tcPr>
          <w:p w14:paraId="0E724532" w14:textId="77777777" w:rsidR="00D72F11" w:rsidRPr="00CA2ECA" w:rsidRDefault="00D72F11" w:rsidP="00D72F11">
            <w:pPr>
              <w:spacing w:after="0" w:line="240" w:lineRule="auto"/>
              <w:jc w:val="center"/>
              <w:rPr>
                <w:rFonts w:ascii="Times New Roman" w:hAnsi="Times New Roman"/>
                <w:sz w:val="24"/>
                <w:szCs w:val="24"/>
              </w:rPr>
            </w:pPr>
            <w:r w:rsidRPr="00CA2ECA">
              <w:rPr>
                <w:rFonts w:ascii="Times New Roman" w:hAnsi="Times New Roman"/>
                <w:sz w:val="24"/>
                <w:szCs w:val="24"/>
              </w:rPr>
              <w:t>55,6</w:t>
            </w:r>
          </w:p>
        </w:tc>
        <w:tc>
          <w:tcPr>
            <w:tcW w:w="965" w:type="pct"/>
            <w:tcBorders>
              <w:top w:val="single" w:sz="4" w:space="0" w:color="auto"/>
              <w:left w:val="single" w:sz="4" w:space="0" w:color="auto"/>
              <w:bottom w:val="single" w:sz="4" w:space="0" w:color="auto"/>
              <w:right w:val="single" w:sz="4" w:space="0" w:color="auto"/>
            </w:tcBorders>
            <w:vAlign w:val="bottom"/>
          </w:tcPr>
          <w:p w14:paraId="50D54317" w14:textId="77777777" w:rsidR="00D72F11" w:rsidRPr="00CA2ECA" w:rsidRDefault="00D72F11" w:rsidP="00D72F11">
            <w:pPr>
              <w:spacing w:after="0" w:line="240" w:lineRule="auto"/>
              <w:jc w:val="center"/>
              <w:rPr>
                <w:rFonts w:ascii="Times New Roman" w:hAnsi="Times New Roman"/>
                <w:sz w:val="24"/>
                <w:szCs w:val="24"/>
              </w:rPr>
            </w:pPr>
            <w:r w:rsidRPr="00CA2ECA">
              <w:rPr>
                <w:rFonts w:ascii="Times New Roman" w:hAnsi="Times New Roman"/>
                <w:sz w:val="24"/>
                <w:szCs w:val="24"/>
              </w:rPr>
              <w:t>49,8</w:t>
            </w:r>
          </w:p>
        </w:tc>
      </w:tr>
      <w:tr w:rsidR="00D72F11" w:rsidRPr="005B0FE3" w14:paraId="087C4B31" w14:textId="77777777" w:rsidTr="0081656D">
        <w:trPr>
          <w:cantSplit/>
          <w:jc w:val="center"/>
        </w:trPr>
        <w:tc>
          <w:tcPr>
            <w:tcW w:w="2095" w:type="pct"/>
            <w:tcBorders>
              <w:top w:val="single" w:sz="4" w:space="0" w:color="auto"/>
              <w:left w:val="single" w:sz="4" w:space="0" w:color="auto"/>
              <w:bottom w:val="single" w:sz="4" w:space="0" w:color="auto"/>
              <w:right w:val="single" w:sz="4" w:space="0" w:color="auto"/>
            </w:tcBorders>
          </w:tcPr>
          <w:p w14:paraId="417B6EFC" w14:textId="77777777" w:rsidR="00D72F11" w:rsidRPr="005B0FE3" w:rsidRDefault="00D72F11" w:rsidP="00D72F11">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14:paraId="375D8A05" w14:textId="77777777" w:rsidR="00D72F11" w:rsidRPr="00CA2ECA" w:rsidRDefault="00D72F11" w:rsidP="00D72F11">
            <w:pPr>
              <w:spacing w:after="0" w:line="240" w:lineRule="auto"/>
              <w:jc w:val="center"/>
              <w:rPr>
                <w:rFonts w:ascii="Times New Roman" w:hAnsi="Times New Roman"/>
                <w:sz w:val="24"/>
                <w:szCs w:val="24"/>
              </w:rPr>
            </w:pPr>
            <w:r w:rsidRPr="00CA2ECA">
              <w:rPr>
                <w:rFonts w:ascii="Times New Roman" w:hAnsi="Times New Roman"/>
                <w:sz w:val="24"/>
                <w:szCs w:val="24"/>
              </w:rPr>
              <w:t>277,8</w:t>
            </w:r>
          </w:p>
        </w:tc>
        <w:tc>
          <w:tcPr>
            <w:tcW w:w="970" w:type="pct"/>
            <w:tcBorders>
              <w:top w:val="single" w:sz="4" w:space="0" w:color="auto"/>
              <w:left w:val="single" w:sz="4" w:space="0" w:color="auto"/>
              <w:bottom w:val="single" w:sz="4" w:space="0" w:color="auto"/>
              <w:right w:val="single" w:sz="4" w:space="0" w:color="auto"/>
            </w:tcBorders>
            <w:vAlign w:val="bottom"/>
          </w:tcPr>
          <w:p w14:paraId="1A84BECE" w14:textId="77777777" w:rsidR="00D72F11" w:rsidRPr="00CA2ECA" w:rsidRDefault="00D72F11" w:rsidP="00D72F11">
            <w:pPr>
              <w:spacing w:after="0" w:line="240" w:lineRule="auto"/>
              <w:jc w:val="center"/>
              <w:rPr>
                <w:rFonts w:ascii="Times New Roman" w:hAnsi="Times New Roman"/>
                <w:sz w:val="24"/>
                <w:szCs w:val="24"/>
              </w:rPr>
            </w:pPr>
            <w:r w:rsidRPr="00CA2ECA">
              <w:rPr>
                <w:rFonts w:ascii="Times New Roman" w:hAnsi="Times New Roman"/>
                <w:sz w:val="24"/>
                <w:szCs w:val="24"/>
              </w:rPr>
              <w:t>257,7</w:t>
            </w:r>
          </w:p>
        </w:tc>
        <w:tc>
          <w:tcPr>
            <w:tcW w:w="965" w:type="pct"/>
            <w:tcBorders>
              <w:top w:val="single" w:sz="4" w:space="0" w:color="auto"/>
              <w:left w:val="single" w:sz="4" w:space="0" w:color="auto"/>
              <w:bottom w:val="single" w:sz="4" w:space="0" w:color="auto"/>
              <w:right w:val="single" w:sz="4" w:space="0" w:color="auto"/>
            </w:tcBorders>
            <w:vAlign w:val="bottom"/>
          </w:tcPr>
          <w:p w14:paraId="7198A845" w14:textId="77777777" w:rsidR="00D72F11" w:rsidRPr="00CA2ECA" w:rsidRDefault="00D72F11" w:rsidP="00D72F11">
            <w:pPr>
              <w:spacing w:after="0" w:line="240" w:lineRule="auto"/>
              <w:jc w:val="center"/>
              <w:rPr>
                <w:rFonts w:ascii="Times New Roman" w:hAnsi="Times New Roman"/>
                <w:sz w:val="24"/>
                <w:szCs w:val="24"/>
              </w:rPr>
            </w:pPr>
            <w:r w:rsidRPr="00CA2ECA">
              <w:rPr>
                <w:rFonts w:ascii="Times New Roman" w:hAnsi="Times New Roman"/>
                <w:sz w:val="24"/>
                <w:szCs w:val="24"/>
              </w:rPr>
              <w:t>279,7</w:t>
            </w:r>
          </w:p>
        </w:tc>
      </w:tr>
      <w:tr w:rsidR="00D72F11" w:rsidRPr="005B0FE3" w14:paraId="0FEFA054" w14:textId="77777777" w:rsidTr="0081656D">
        <w:trPr>
          <w:cantSplit/>
          <w:jc w:val="center"/>
        </w:trPr>
        <w:tc>
          <w:tcPr>
            <w:tcW w:w="2095" w:type="pct"/>
            <w:tcBorders>
              <w:top w:val="single" w:sz="4" w:space="0" w:color="auto"/>
              <w:left w:val="single" w:sz="4" w:space="0" w:color="auto"/>
              <w:bottom w:val="single" w:sz="4" w:space="0" w:color="auto"/>
              <w:right w:val="single" w:sz="4" w:space="0" w:color="auto"/>
            </w:tcBorders>
          </w:tcPr>
          <w:p w14:paraId="235D4E79" w14:textId="77777777" w:rsidR="00D72F11" w:rsidRPr="005B0FE3" w:rsidRDefault="00D72F11" w:rsidP="00D72F11">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14:paraId="4D985039" w14:textId="77777777" w:rsidR="00D72F11" w:rsidRPr="00CA2ECA" w:rsidRDefault="00D72F11" w:rsidP="00D72F11">
            <w:pPr>
              <w:spacing w:after="0" w:line="240" w:lineRule="auto"/>
              <w:jc w:val="center"/>
              <w:rPr>
                <w:rFonts w:ascii="Times New Roman" w:hAnsi="Times New Roman"/>
                <w:sz w:val="24"/>
                <w:szCs w:val="24"/>
              </w:rPr>
            </w:pPr>
            <w:r w:rsidRPr="00CA2ECA">
              <w:rPr>
                <w:rFonts w:ascii="Times New Roman" w:hAnsi="Times New Roman"/>
                <w:sz w:val="24"/>
                <w:szCs w:val="24"/>
              </w:rPr>
              <w:t>14,9</w:t>
            </w:r>
          </w:p>
        </w:tc>
        <w:tc>
          <w:tcPr>
            <w:tcW w:w="970" w:type="pct"/>
            <w:tcBorders>
              <w:top w:val="single" w:sz="4" w:space="0" w:color="auto"/>
              <w:left w:val="single" w:sz="4" w:space="0" w:color="auto"/>
              <w:bottom w:val="single" w:sz="4" w:space="0" w:color="auto"/>
              <w:right w:val="single" w:sz="4" w:space="0" w:color="auto"/>
            </w:tcBorders>
            <w:vAlign w:val="bottom"/>
          </w:tcPr>
          <w:p w14:paraId="674A737F" w14:textId="77777777" w:rsidR="00D72F11" w:rsidRPr="00CA2ECA" w:rsidRDefault="00D72F11" w:rsidP="00D72F11">
            <w:pPr>
              <w:spacing w:after="0" w:line="240" w:lineRule="auto"/>
              <w:jc w:val="center"/>
              <w:rPr>
                <w:rFonts w:ascii="Times New Roman" w:hAnsi="Times New Roman"/>
                <w:sz w:val="24"/>
                <w:szCs w:val="24"/>
              </w:rPr>
            </w:pPr>
            <w:r w:rsidRPr="00CA2ECA">
              <w:rPr>
                <w:rFonts w:ascii="Times New Roman" w:hAnsi="Times New Roman"/>
                <w:sz w:val="24"/>
                <w:szCs w:val="24"/>
              </w:rPr>
              <w:t>13,7</w:t>
            </w:r>
          </w:p>
        </w:tc>
        <w:tc>
          <w:tcPr>
            <w:tcW w:w="965" w:type="pct"/>
            <w:tcBorders>
              <w:top w:val="single" w:sz="4" w:space="0" w:color="auto"/>
              <w:left w:val="single" w:sz="4" w:space="0" w:color="auto"/>
              <w:bottom w:val="single" w:sz="4" w:space="0" w:color="auto"/>
              <w:right w:val="single" w:sz="4" w:space="0" w:color="auto"/>
            </w:tcBorders>
            <w:vAlign w:val="bottom"/>
          </w:tcPr>
          <w:p w14:paraId="2E3DB258" w14:textId="77777777" w:rsidR="00D72F11" w:rsidRPr="00CA2ECA" w:rsidRDefault="00D72F11" w:rsidP="00D72F11">
            <w:pPr>
              <w:spacing w:after="0" w:line="240" w:lineRule="auto"/>
              <w:jc w:val="center"/>
              <w:rPr>
                <w:rFonts w:ascii="Times New Roman" w:hAnsi="Times New Roman"/>
                <w:sz w:val="24"/>
                <w:szCs w:val="24"/>
              </w:rPr>
            </w:pPr>
            <w:r w:rsidRPr="00CA2ECA">
              <w:rPr>
                <w:rFonts w:ascii="Times New Roman" w:hAnsi="Times New Roman"/>
                <w:sz w:val="24"/>
                <w:szCs w:val="24"/>
              </w:rPr>
              <w:t>13,8</w:t>
            </w:r>
          </w:p>
        </w:tc>
      </w:tr>
      <w:tr w:rsidR="00D72F11" w:rsidRPr="005B0FE3" w14:paraId="526DE5DB" w14:textId="77777777" w:rsidTr="0081656D">
        <w:trPr>
          <w:cantSplit/>
          <w:jc w:val="center"/>
        </w:trPr>
        <w:tc>
          <w:tcPr>
            <w:tcW w:w="2095" w:type="pct"/>
            <w:tcBorders>
              <w:top w:val="single" w:sz="4" w:space="0" w:color="auto"/>
              <w:left w:val="single" w:sz="4" w:space="0" w:color="auto"/>
              <w:bottom w:val="single" w:sz="4" w:space="0" w:color="auto"/>
              <w:right w:val="single" w:sz="4" w:space="0" w:color="auto"/>
            </w:tcBorders>
          </w:tcPr>
          <w:p w14:paraId="76E67F7E" w14:textId="77777777" w:rsidR="00D72F11" w:rsidRPr="005B0FE3" w:rsidRDefault="00D72F11" w:rsidP="00D72F11">
            <w:pPr>
              <w:spacing w:after="0" w:line="240" w:lineRule="auto"/>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14:paraId="03B601D5" w14:textId="77777777" w:rsidR="00D72F11" w:rsidRPr="00CA2ECA" w:rsidRDefault="00D72F11" w:rsidP="00D72F11">
            <w:pPr>
              <w:spacing w:after="0" w:line="240" w:lineRule="auto"/>
              <w:jc w:val="center"/>
              <w:rPr>
                <w:rFonts w:ascii="Times New Roman" w:hAnsi="Times New Roman"/>
                <w:sz w:val="24"/>
                <w:szCs w:val="24"/>
              </w:rPr>
            </w:pPr>
            <w:r w:rsidRPr="00CA2ECA">
              <w:rPr>
                <w:rFonts w:ascii="Times New Roman" w:hAnsi="Times New Roman"/>
                <w:sz w:val="24"/>
                <w:szCs w:val="24"/>
              </w:rPr>
              <w:t>2 250,4</w:t>
            </w:r>
          </w:p>
        </w:tc>
        <w:tc>
          <w:tcPr>
            <w:tcW w:w="970" w:type="pct"/>
            <w:tcBorders>
              <w:top w:val="single" w:sz="4" w:space="0" w:color="auto"/>
              <w:left w:val="single" w:sz="4" w:space="0" w:color="auto"/>
              <w:bottom w:val="single" w:sz="4" w:space="0" w:color="auto"/>
              <w:right w:val="single" w:sz="4" w:space="0" w:color="auto"/>
            </w:tcBorders>
            <w:vAlign w:val="bottom"/>
          </w:tcPr>
          <w:p w14:paraId="787101FF" w14:textId="77777777" w:rsidR="00D72F11" w:rsidRPr="00CA2ECA" w:rsidRDefault="00D72F11" w:rsidP="00D72F11">
            <w:pPr>
              <w:spacing w:after="0" w:line="240" w:lineRule="auto"/>
              <w:jc w:val="center"/>
              <w:rPr>
                <w:rFonts w:ascii="Times New Roman" w:hAnsi="Times New Roman"/>
                <w:sz w:val="24"/>
                <w:szCs w:val="24"/>
              </w:rPr>
            </w:pPr>
            <w:r w:rsidRPr="00CA2ECA">
              <w:rPr>
                <w:rFonts w:ascii="Times New Roman" w:hAnsi="Times New Roman"/>
                <w:sz w:val="24"/>
                <w:szCs w:val="24"/>
              </w:rPr>
              <w:t>2 049,3</w:t>
            </w:r>
          </w:p>
        </w:tc>
        <w:tc>
          <w:tcPr>
            <w:tcW w:w="965" w:type="pct"/>
            <w:tcBorders>
              <w:top w:val="single" w:sz="4" w:space="0" w:color="auto"/>
              <w:left w:val="single" w:sz="4" w:space="0" w:color="auto"/>
              <w:bottom w:val="single" w:sz="4" w:space="0" w:color="auto"/>
              <w:right w:val="single" w:sz="4" w:space="0" w:color="auto"/>
            </w:tcBorders>
            <w:vAlign w:val="bottom"/>
          </w:tcPr>
          <w:p w14:paraId="226687A1" w14:textId="77777777" w:rsidR="00D72F11" w:rsidRPr="00CA2ECA" w:rsidRDefault="00D72F11" w:rsidP="00D72F11">
            <w:pPr>
              <w:spacing w:after="0" w:line="240" w:lineRule="auto"/>
              <w:jc w:val="center"/>
              <w:rPr>
                <w:rFonts w:ascii="Times New Roman" w:hAnsi="Times New Roman"/>
                <w:sz w:val="24"/>
                <w:szCs w:val="24"/>
              </w:rPr>
            </w:pPr>
            <w:r w:rsidRPr="00CA2ECA">
              <w:rPr>
                <w:rFonts w:ascii="Times New Roman" w:hAnsi="Times New Roman"/>
                <w:sz w:val="24"/>
                <w:szCs w:val="24"/>
              </w:rPr>
              <w:t>2 089,8</w:t>
            </w:r>
          </w:p>
        </w:tc>
      </w:tr>
      <w:tr w:rsidR="00D72F11" w:rsidRPr="005B0FE3" w14:paraId="2472CF11" w14:textId="77777777" w:rsidTr="0081656D">
        <w:trPr>
          <w:cantSplit/>
          <w:jc w:val="center"/>
        </w:trPr>
        <w:tc>
          <w:tcPr>
            <w:tcW w:w="2095" w:type="pct"/>
            <w:tcBorders>
              <w:top w:val="single" w:sz="4" w:space="0" w:color="auto"/>
              <w:left w:val="single" w:sz="4" w:space="0" w:color="auto"/>
              <w:bottom w:val="single" w:sz="4" w:space="0" w:color="auto"/>
              <w:right w:val="single" w:sz="4" w:space="0" w:color="auto"/>
            </w:tcBorders>
          </w:tcPr>
          <w:p w14:paraId="5D17EF81" w14:textId="77777777" w:rsidR="00D72F11" w:rsidRPr="005B0FE3" w:rsidRDefault="00D72F11" w:rsidP="00D72F11">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14:paraId="7A4C05BF" w14:textId="77777777" w:rsidR="00D72F11" w:rsidRPr="00CA2ECA" w:rsidRDefault="00D72F11" w:rsidP="00D72F11">
            <w:pPr>
              <w:spacing w:after="0" w:line="240" w:lineRule="auto"/>
              <w:jc w:val="center"/>
              <w:rPr>
                <w:rFonts w:ascii="Times New Roman" w:hAnsi="Times New Roman"/>
                <w:sz w:val="24"/>
                <w:szCs w:val="24"/>
              </w:rPr>
            </w:pPr>
            <w:r w:rsidRPr="00CA2ECA">
              <w:rPr>
                <w:rFonts w:ascii="Times New Roman" w:hAnsi="Times New Roman"/>
                <w:sz w:val="24"/>
                <w:szCs w:val="24"/>
              </w:rPr>
              <w:t>819,6</w:t>
            </w:r>
          </w:p>
        </w:tc>
        <w:tc>
          <w:tcPr>
            <w:tcW w:w="970" w:type="pct"/>
            <w:tcBorders>
              <w:top w:val="single" w:sz="4" w:space="0" w:color="auto"/>
              <w:left w:val="single" w:sz="4" w:space="0" w:color="auto"/>
              <w:bottom w:val="single" w:sz="4" w:space="0" w:color="auto"/>
              <w:right w:val="single" w:sz="4" w:space="0" w:color="auto"/>
            </w:tcBorders>
            <w:vAlign w:val="bottom"/>
          </w:tcPr>
          <w:p w14:paraId="51856114" w14:textId="77777777" w:rsidR="00D72F11" w:rsidRPr="00CA2ECA" w:rsidRDefault="00D72F11" w:rsidP="00D72F11">
            <w:pPr>
              <w:spacing w:after="0" w:line="240" w:lineRule="auto"/>
              <w:jc w:val="center"/>
              <w:rPr>
                <w:rFonts w:ascii="Times New Roman" w:hAnsi="Times New Roman"/>
                <w:sz w:val="24"/>
                <w:szCs w:val="24"/>
              </w:rPr>
            </w:pPr>
            <w:r w:rsidRPr="00CA2ECA">
              <w:rPr>
                <w:rFonts w:ascii="Times New Roman" w:hAnsi="Times New Roman"/>
                <w:sz w:val="24"/>
                <w:szCs w:val="24"/>
              </w:rPr>
              <w:t>723,0</w:t>
            </w:r>
          </w:p>
        </w:tc>
        <w:tc>
          <w:tcPr>
            <w:tcW w:w="965" w:type="pct"/>
            <w:tcBorders>
              <w:top w:val="single" w:sz="4" w:space="0" w:color="auto"/>
              <w:left w:val="single" w:sz="4" w:space="0" w:color="auto"/>
              <w:bottom w:val="single" w:sz="4" w:space="0" w:color="auto"/>
              <w:right w:val="single" w:sz="4" w:space="0" w:color="auto"/>
            </w:tcBorders>
            <w:vAlign w:val="bottom"/>
          </w:tcPr>
          <w:p w14:paraId="04EA1D4D" w14:textId="77777777" w:rsidR="00D72F11" w:rsidRPr="00CA2ECA" w:rsidRDefault="00D72F11" w:rsidP="00D72F11">
            <w:pPr>
              <w:spacing w:after="0" w:line="240" w:lineRule="auto"/>
              <w:jc w:val="center"/>
              <w:rPr>
                <w:rFonts w:ascii="Times New Roman" w:hAnsi="Times New Roman"/>
                <w:sz w:val="24"/>
                <w:szCs w:val="24"/>
              </w:rPr>
            </w:pPr>
            <w:r w:rsidRPr="00CA2ECA">
              <w:rPr>
                <w:rFonts w:ascii="Times New Roman" w:hAnsi="Times New Roman"/>
                <w:sz w:val="24"/>
                <w:szCs w:val="24"/>
              </w:rPr>
              <w:t>659,1</w:t>
            </w:r>
          </w:p>
        </w:tc>
      </w:tr>
    </w:tbl>
    <w:p w14:paraId="637E8C93" w14:textId="77777777" w:rsidR="00DB764F" w:rsidRDefault="00DB764F" w:rsidP="00D03A4F">
      <w:pPr>
        <w:spacing w:after="0" w:line="240" w:lineRule="auto"/>
        <w:jc w:val="right"/>
        <w:rPr>
          <w:rFonts w:ascii="Times New Roman" w:eastAsia="Times New Roman" w:hAnsi="Times New Roman" w:cs="Times New Roman"/>
          <w:sz w:val="26"/>
          <w:szCs w:val="26"/>
          <w:lang w:eastAsia="ru-RU"/>
        </w:rPr>
      </w:pPr>
    </w:p>
    <w:p w14:paraId="08E3D599" w14:textId="77777777" w:rsidR="00DB764F" w:rsidRDefault="00DB764F" w:rsidP="00D03A4F">
      <w:pPr>
        <w:spacing w:after="0" w:line="240" w:lineRule="auto"/>
        <w:jc w:val="right"/>
        <w:rPr>
          <w:rFonts w:ascii="Times New Roman" w:eastAsia="Times New Roman" w:hAnsi="Times New Roman" w:cs="Times New Roman"/>
          <w:sz w:val="26"/>
          <w:szCs w:val="26"/>
          <w:lang w:eastAsia="ru-RU"/>
        </w:rPr>
        <w:sectPr w:rsidR="00DB764F" w:rsidSect="00675542">
          <w:pgSz w:w="11906" w:h="16838"/>
          <w:pgMar w:top="1134" w:right="849" w:bottom="709" w:left="851" w:header="709" w:footer="709" w:gutter="0"/>
          <w:cols w:space="708"/>
          <w:docGrid w:linePitch="360"/>
        </w:sectPr>
      </w:pPr>
    </w:p>
    <w:p w14:paraId="2785FB2B" w14:textId="77777777" w:rsidR="00D03A4F" w:rsidRPr="005B0FE3" w:rsidRDefault="00D03A4F" w:rsidP="00D03A4F">
      <w:pPr>
        <w:spacing w:after="0" w:line="240" w:lineRule="auto"/>
        <w:jc w:val="right"/>
        <w:rPr>
          <w:rFonts w:ascii="Times New Roman" w:eastAsia="Times New Roman" w:hAnsi="Times New Roman" w:cs="Times New Roman"/>
          <w:sz w:val="26"/>
          <w:szCs w:val="26"/>
          <w:lang w:eastAsia="ru-RU"/>
        </w:rPr>
      </w:pPr>
      <w:r w:rsidRPr="005B0FE3">
        <w:rPr>
          <w:rFonts w:ascii="Times New Roman" w:eastAsia="Times New Roman" w:hAnsi="Times New Roman" w:cs="Times New Roman"/>
          <w:sz w:val="26"/>
          <w:szCs w:val="26"/>
          <w:lang w:eastAsia="ru-RU"/>
        </w:rPr>
        <w:t>Таблица 5</w:t>
      </w:r>
      <w:r w:rsidR="008737BB">
        <w:rPr>
          <w:rFonts w:ascii="Times New Roman" w:eastAsia="Times New Roman" w:hAnsi="Times New Roman" w:cs="Times New Roman"/>
          <w:sz w:val="26"/>
          <w:szCs w:val="26"/>
          <w:lang w:eastAsia="ru-RU"/>
        </w:rPr>
        <w:t>7</w:t>
      </w:r>
    </w:p>
    <w:p w14:paraId="5A015705" w14:textId="77777777" w:rsidR="00D03A4F" w:rsidRPr="005B0FE3" w:rsidRDefault="00D03A4F" w:rsidP="00D03A4F">
      <w:pPr>
        <w:spacing w:after="0" w:line="240" w:lineRule="auto"/>
        <w:jc w:val="right"/>
        <w:rPr>
          <w:rFonts w:ascii="Times New Roman" w:eastAsia="Times New Roman" w:hAnsi="Times New Roman" w:cs="Times New Roman"/>
          <w:sz w:val="26"/>
          <w:szCs w:val="26"/>
          <w:lang w:eastAsia="ru-RU"/>
        </w:rPr>
      </w:pPr>
    </w:p>
    <w:p w14:paraId="00742FB7" w14:textId="77777777" w:rsidR="00D03A4F" w:rsidRPr="005B0FE3"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5B0FE3">
        <w:rPr>
          <w:rFonts w:ascii="Times New Roman" w:eastAsia="Times New Roman" w:hAnsi="Times New Roman" w:cs="Times New Roman"/>
          <w:b/>
          <w:bCs/>
          <w:sz w:val="26"/>
          <w:szCs w:val="26"/>
          <w:lang w:eastAsia="ru-RU"/>
        </w:rPr>
        <w:t>Основные социальные гарантии, установленные законодательством Российской Федерации</w:t>
      </w:r>
    </w:p>
    <w:p w14:paraId="04572B3E" w14:textId="77777777" w:rsidR="00D03A4F" w:rsidRPr="005B0FE3" w:rsidRDefault="00D03A4F" w:rsidP="00D03A4F">
      <w:pPr>
        <w:spacing w:after="0" w:line="240" w:lineRule="auto"/>
        <w:ind w:firstLine="567"/>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(на 1 января; рублей)</w:t>
      </w:r>
    </w:p>
    <w:p w14:paraId="1F22A000" w14:textId="77777777" w:rsidR="00D03A4F" w:rsidRPr="005B0FE3" w:rsidRDefault="00D03A4F" w:rsidP="00D03A4F">
      <w:pPr>
        <w:spacing w:after="0" w:line="240" w:lineRule="auto"/>
        <w:jc w:val="center"/>
        <w:rPr>
          <w:rFonts w:ascii="Times New Roman" w:eastAsia="Times New Roman" w:hAnsi="Times New Roman" w:cs="Times New Roman"/>
          <w:bCs/>
          <w:sz w:val="16"/>
          <w:szCs w:val="16"/>
          <w:lang w:eastAsia="ru-RU"/>
        </w:rPr>
      </w:pPr>
    </w:p>
    <w:tbl>
      <w:tblPr>
        <w:tblW w:w="52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7"/>
        <w:gridCol w:w="1397"/>
        <w:gridCol w:w="1397"/>
        <w:gridCol w:w="1397"/>
      </w:tblGrid>
      <w:tr w:rsidR="00B7169A" w:rsidRPr="005B0FE3" w14:paraId="321518F8" w14:textId="77777777" w:rsidTr="00B7169A">
        <w:trPr>
          <w:cantSplit/>
          <w:trHeight w:val="383"/>
          <w:tblHeader/>
          <w:jc w:val="center"/>
        </w:trPr>
        <w:tc>
          <w:tcPr>
            <w:tcW w:w="3032" w:type="pct"/>
            <w:tcMar>
              <w:left w:w="57" w:type="dxa"/>
            </w:tcMar>
            <w:vAlign w:val="center"/>
          </w:tcPr>
          <w:p w14:paraId="0E60E100" w14:textId="77777777" w:rsidR="00B7169A" w:rsidRPr="005B0FE3" w:rsidRDefault="00B7169A" w:rsidP="00B7169A">
            <w:pPr>
              <w:spacing w:after="0" w:line="240" w:lineRule="auto"/>
              <w:jc w:val="center"/>
              <w:rPr>
                <w:rFonts w:ascii="Times New Roman" w:eastAsia="Times New Roman" w:hAnsi="Times New Roman" w:cs="Times New Roman"/>
                <w:i/>
                <w:sz w:val="24"/>
                <w:szCs w:val="24"/>
                <w:lang w:eastAsia="ru-RU"/>
              </w:rPr>
            </w:pPr>
            <w:r w:rsidRPr="005B0FE3">
              <w:rPr>
                <w:rFonts w:ascii="Times New Roman" w:eastAsia="Times New Roman" w:hAnsi="Times New Roman" w:cs="Times New Roman"/>
                <w:b/>
                <w:sz w:val="24"/>
                <w:szCs w:val="24"/>
                <w:lang w:eastAsia="ru-RU"/>
              </w:rPr>
              <w:t>Пособия</w:t>
            </w:r>
          </w:p>
        </w:tc>
        <w:tc>
          <w:tcPr>
            <w:tcW w:w="656" w:type="pct"/>
            <w:vAlign w:val="center"/>
          </w:tcPr>
          <w:p w14:paraId="35A46BA5" w14:textId="77777777" w:rsidR="00B7169A" w:rsidRPr="005B0FE3" w:rsidRDefault="00B7169A" w:rsidP="00B7169A">
            <w:pPr>
              <w:spacing w:after="0" w:line="240" w:lineRule="auto"/>
              <w:jc w:val="center"/>
              <w:rPr>
                <w:rFonts w:ascii="Times New Roman" w:eastAsia="Times New Roman" w:hAnsi="Times New Roman" w:cs="Times New Roman"/>
                <w:bCs/>
                <w:sz w:val="24"/>
                <w:szCs w:val="24"/>
                <w:lang w:eastAsia="ru-RU"/>
              </w:rPr>
            </w:pPr>
            <w:r w:rsidRPr="005B0FE3">
              <w:rPr>
                <w:rFonts w:ascii="Times New Roman" w:eastAsia="Times New Roman" w:hAnsi="Times New Roman" w:cs="Times New Roman"/>
                <w:bCs/>
                <w:sz w:val="24"/>
                <w:szCs w:val="24"/>
                <w:lang w:eastAsia="ru-RU"/>
              </w:rPr>
              <w:t>2020 г.</w:t>
            </w:r>
          </w:p>
        </w:tc>
        <w:tc>
          <w:tcPr>
            <w:tcW w:w="656" w:type="pct"/>
            <w:vAlign w:val="center"/>
          </w:tcPr>
          <w:p w14:paraId="7FC26255" w14:textId="77777777" w:rsidR="00B7169A" w:rsidRPr="005B0FE3" w:rsidRDefault="00B7169A" w:rsidP="00B7169A">
            <w:pPr>
              <w:spacing w:after="0" w:line="240" w:lineRule="auto"/>
              <w:jc w:val="center"/>
              <w:rPr>
                <w:rFonts w:ascii="Times New Roman" w:eastAsia="Times New Roman" w:hAnsi="Times New Roman" w:cs="Times New Roman"/>
                <w:bCs/>
                <w:sz w:val="24"/>
                <w:szCs w:val="24"/>
                <w:lang w:eastAsia="ru-RU"/>
              </w:rPr>
            </w:pPr>
            <w:r w:rsidRPr="005B0FE3">
              <w:rPr>
                <w:rFonts w:ascii="Times New Roman" w:eastAsia="Times New Roman" w:hAnsi="Times New Roman" w:cs="Times New Roman"/>
                <w:bCs/>
                <w:sz w:val="24"/>
                <w:szCs w:val="24"/>
                <w:lang w:eastAsia="ru-RU"/>
              </w:rPr>
              <w:t>2021 г.</w:t>
            </w:r>
          </w:p>
        </w:tc>
        <w:tc>
          <w:tcPr>
            <w:tcW w:w="656" w:type="pct"/>
            <w:vAlign w:val="center"/>
          </w:tcPr>
          <w:p w14:paraId="5F4340AD" w14:textId="77777777" w:rsidR="00B7169A" w:rsidRPr="005B0FE3" w:rsidRDefault="00B7169A" w:rsidP="00B7169A">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2022 г.</w:t>
            </w:r>
          </w:p>
        </w:tc>
      </w:tr>
      <w:tr w:rsidR="00B7169A" w:rsidRPr="005B0FE3" w14:paraId="571A9501" w14:textId="77777777" w:rsidTr="00B7169A">
        <w:trPr>
          <w:cantSplit/>
          <w:jc w:val="center"/>
        </w:trPr>
        <w:tc>
          <w:tcPr>
            <w:tcW w:w="3032" w:type="pct"/>
            <w:tcMar>
              <w:left w:w="57" w:type="dxa"/>
            </w:tcMar>
            <w:vAlign w:val="center"/>
          </w:tcPr>
          <w:p w14:paraId="6E6BC00D" w14:textId="77777777" w:rsidR="00B7169A" w:rsidRPr="005B0FE3" w:rsidRDefault="00B7169A" w:rsidP="003D1BBF">
            <w:pPr>
              <w:spacing w:after="0" w:line="240" w:lineRule="auto"/>
              <w:ind w:left="57"/>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 xml:space="preserve">Единовременное пособие женщинам, вставшим на учет в медицинских </w:t>
            </w:r>
            <w:r w:rsidR="003D1BBF">
              <w:rPr>
                <w:rFonts w:ascii="Times New Roman" w:eastAsia="Times New Roman" w:hAnsi="Times New Roman" w:cs="Times New Roman"/>
                <w:sz w:val="24"/>
                <w:szCs w:val="24"/>
                <w:lang w:eastAsia="ru-RU"/>
              </w:rPr>
              <w:t>организациях</w:t>
            </w:r>
            <w:r w:rsidRPr="005B0FE3">
              <w:rPr>
                <w:rFonts w:ascii="Times New Roman" w:eastAsia="Times New Roman" w:hAnsi="Times New Roman" w:cs="Times New Roman"/>
                <w:sz w:val="24"/>
                <w:szCs w:val="24"/>
                <w:lang w:eastAsia="ru-RU"/>
              </w:rPr>
              <w:t xml:space="preserve"> в ранние сроки беременности (до 12 недель)</w:t>
            </w:r>
            <w:r w:rsidRPr="005B0FE3">
              <w:rPr>
                <w:rFonts w:ascii="Times New Roman" w:eastAsia="Times New Roman" w:hAnsi="Times New Roman" w:cs="Times New Roman"/>
                <w:sz w:val="24"/>
                <w:szCs w:val="24"/>
                <w:vertAlign w:val="superscript"/>
                <w:lang w:eastAsia="ru-RU"/>
              </w:rPr>
              <w:t xml:space="preserve"> 1)</w:t>
            </w:r>
          </w:p>
        </w:tc>
        <w:tc>
          <w:tcPr>
            <w:tcW w:w="656" w:type="pct"/>
            <w:vAlign w:val="bottom"/>
          </w:tcPr>
          <w:p w14:paraId="36B3AA62" w14:textId="77777777" w:rsidR="00B7169A" w:rsidRPr="005B0FE3" w:rsidRDefault="00B7169A" w:rsidP="00B7169A">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675</w:t>
            </w:r>
          </w:p>
        </w:tc>
        <w:tc>
          <w:tcPr>
            <w:tcW w:w="656" w:type="pct"/>
            <w:vAlign w:val="bottom"/>
          </w:tcPr>
          <w:p w14:paraId="259C4E97" w14:textId="77777777" w:rsidR="00B7169A" w:rsidRPr="005B0FE3" w:rsidRDefault="00B7169A" w:rsidP="00B7169A">
            <w:pPr>
              <w:spacing w:after="0" w:line="240" w:lineRule="auto"/>
              <w:jc w:val="center"/>
              <w:rPr>
                <w:rFonts w:ascii="Times New Roman" w:hAnsi="Times New Roman"/>
                <w:sz w:val="24"/>
                <w:szCs w:val="24"/>
              </w:rPr>
            </w:pPr>
            <w:r w:rsidRPr="005B0FE3">
              <w:rPr>
                <w:rFonts w:ascii="Times New Roman" w:hAnsi="Times New Roman"/>
                <w:sz w:val="24"/>
                <w:szCs w:val="24"/>
              </w:rPr>
              <w:t>708</w:t>
            </w:r>
          </w:p>
        </w:tc>
        <w:tc>
          <w:tcPr>
            <w:tcW w:w="656" w:type="pct"/>
            <w:vAlign w:val="bottom"/>
          </w:tcPr>
          <w:p w14:paraId="787FBA4A" w14:textId="77777777" w:rsidR="00B7169A" w:rsidRPr="00B7169A" w:rsidRDefault="00B7169A" w:rsidP="00B7169A">
            <w:pPr>
              <w:spacing w:before="240" w:after="0" w:line="240" w:lineRule="auto"/>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vertAlign w:val="superscript"/>
                <w:lang w:eastAsia="ru-RU"/>
              </w:rPr>
              <w:t>2)</w:t>
            </w:r>
          </w:p>
        </w:tc>
      </w:tr>
      <w:tr w:rsidR="00B7169A" w:rsidRPr="005B0FE3" w14:paraId="53BD72D0" w14:textId="77777777" w:rsidTr="00B7169A">
        <w:trPr>
          <w:cantSplit/>
          <w:jc w:val="center"/>
        </w:trPr>
        <w:tc>
          <w:tcPr>
            <w:tcW w:w="3032" w:type="pct"/>
            <w:tcMar>
              <w:left w:w="57" w:type="dxa"/>
            </w:tcMar>
            <w:vAlign w:val="center"/>
          </w:tcPr>
          <w:p w14:paraId="31D32566" w14:textId="77777777" w:rsidR="00B7169A" w:rsidRPr="005B0FE3" w:rsidRDefault="00B7169A" w:rsidP="003D1BBF">
            <w:pPr>
              <w:spacing w:after="0" w:line="240" w:lineRule="auto"/>
              <w:ind w:left="57"/>
              <w:rPr>
                <w:rFonts w:ascii="Times New Roman" w:eastAsia="Times New Roman" w:hAnsi="Times New Roman" w:cs="Times New Roman"/>
                <w:sz w:val="24"/>
                <w:szCs w:val="24"/>
                <w:lang w:eastAsia="ru-RU"/>
              </w:rPr>
            </w:pPr>
            <w:proofErr w:type="spellStart"/>
            <w:r w:rsidRPr="005B0FE3">
              <w:rPr>
                <w:rFonts w:ascii="Times New Roman" w:eastAsia="Times New Roman" w:hAnsi="Times New Roman" w:cs="Times New Roman"/>
                <w:sz w:val="24"/>
                <w:szCs w:val="24"/>
                <w:lang w:eastAsia="ru-RU"/>
              </w:rPr>
              <w:t>Родов</w:t>
            </w:r>
            <w:r w:rsidR="003D1BBF">
              <w:rPr>
                <w:rFonts w:ascii="Times New Roman" w:eastAsia="Times New Roman" w:hAnsi="Times New Roman" w:cs="Times New Roman"/>
                <w:sz w:val="24"/>
                <w:szCs w:val="24"/>
                <w:lang w:eastAsia="ru-RU"/>
              </w:rPr>
              <w:t>ы</w:t>
            </w:r>
            <w:r w:rsidRPr="005B0FE3">
              <w:rPr>
                <w:rFonts w:ascii="Times New Roman" w:eastAsia="Times New Roman" w:hAnsi="Times New Roman" w:cs="Times New Roman"/>
                <w:sz w:val="24"/>
                <w:szCs w:val="24"/>
                <w:lang w:eastAsia="ru-RU"/>
              </w:rPr>
              <w:t>й</w:t>
            </w:r>
            <w:proofErr w:type="spellEnd"/>
            <w:r w:rsidRPr="005B0FE3">
              <w:rPr>
                <w:rFonts w:ascii="Times New Roman" w:eastAsia="Times New Roman" w:hAnsi="Times New Roman" w:cs="Times New Roman"/>
                <w:sz w:val="24"/>
                <w:szCs w:val="24"/>
                <w:lang w:eastAsia="ru-RU"/>
              </w:rPr>
              <w:t xml:space="preserve"> сертификат</w:t>
            </w:r>
          </w:p>
        </w:tc>
        <w:tc>
          <w:tcPr>
            <w:tcW w:w="656" w:type="pct"/>
            <w:vAlign w:val="bottom"/>
          </w:tcPr>
          <w:p w14:paraId="0C4E9253" w14:textId="77777777" w:rsidR="00B7169A" w:rsidRPr="005B0FE3" w:rsidRDefault="00B7169A" w:rsidP="00B7169A">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12 000</w:t>
            </w:r>
          </w:p>
        </w:tc>
        <w:tc>
          <w:tcPr>
            <w:tcW w:w="656" w:type="pct"/>
            <w:vAlign w:val="bottom"/>
          </w:tcPr>
          <w:p w14:paraId="3D502C94" w14:textId="77777777" w:rsidR="00B7169A" w:rsidRPr="005B0FE3" w:rsidRDefault="00B7169A" w:rsidP="00B7169A">
            <w:pPr>
              <w:spacing w:after="0" w:line="240" w:lineRule="auto"/>
              <w:jc w:val="center"/>
              <w:rPr>
                <w:rFonts w:ascii="Times New Roman" w:hAnsi="Times New Roman"/>
                <w:sz w:val="24"/>
                <w:szCs w:val="24"/>
              </w:rPr>
            </w:pPr>
            <w:r w:rsidRPr="005B0FE3">
              <w:rPr>
                <w:rFonts w:ascii="Times New Roman" w:hAnsi="Times New Roman"/>
                <w:sz w:val="24"/>
                <w:szCs w:val="24"/>
              </w:rPr>
              <w:t>12 000</w:t>
            </w:r>
          </w:p>
        </w:tc>
        <w:tc>
          <w:tcPr>
            <w:tcW w:w="656" w:type="pct"/>
            <w:vAlign w:val="bottom"/>
          </w:tcPr>
          <w:p w14:paraId="47CB0CF8" w14:textId="77777777" w:rsidR="00B7169A" w:rsidRPr="005B0FE3" w:rsidRDefault="00B7169A" w:rsidP="00B7169A">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hAnsi="Times New Roman"/>
                <w:sz w:val="24"/>
                <w:szCs w:val="24"/>
              </w:rPr>
              <w:t>12 000</w:t>
            </w:r>
          </w:p>
        </w:tc>
      </w:tr>
      <w:tr w:rsidR="00B7169A" w:rsidRPr="005B0FE3" w14:paraId="1E3D25C4" w14:textId="77777777" w:rsidTr="00B7169A">
        <w:trPr>
          <w:cantSplit/>
          <w:jc w:val="center"/>
        </w:trPr>
        <w:tc>
          <w:tcPr>
            <w:tcW w:w="3032" w:type="pct"/>
            <w:tcMar>
              <w:left w:w="57" w:type="dxa"/>
            </w:tcMar>
            <w:vAlign w:val="center"/>
          </w:tcPr>
          <w:p w14:paraId="25EA84E8" w14:textId="77777777" w:rsidR="00B7169A" w:rsidRPr="005B0FE3" w:rsidRDefault="00B7169A" w:rsidP="00B7169A">
            <w:pPr>
              <w:spacing w:after="0" w:line="240" w:lineRule="auto"/>
              <w:ind w:left="57"/>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Единовременное пособие беременной жене военнослужащего, проходящего военную службу по призыву</w:t>
            </w:r>
            <w:r w:rsidRPr="005B0FE3">
              <w:rPr>
                <w:rFonts w:ascii="Times New Roman" w:eastAsia="Times New Roman" w:hAnsi="Times New Roman" w:cs="Times New Roman"/>
                <w:sz w:val="24"/>
                <w:szCs w:val="24"/>
                <w:vertAlign w:val="superscript"/>
                <w:lang w:eastAsia="ru-RU"/>
              </w:rPr>
              <w:t>1)</w:t>
            </w:r>
          </w:p>
        </w:tc>
        <w:tc>
          <w:tcPr>
            <w:tcW w:w="656" w:type="pct"/>
            <w:vAlign w:val="bottom"/>
          </w:tcPr>
          <w:p w14:paraId="30F98EF9" w14:textId="77777777" w:rsidR="00B7169A" w:rsidRPr="005B0FE3" w:rsidRDefault="00B7169A" w:rsidP="00B7169A">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28</w:t>
            </w:r>
            <w:r>
              <w:rPr>
                <w:rFonts w:ascii="Times New Roman" w:eastAsia="Times New Roman" w:hAnsi="Times New Roman" w:cs="Times New Roman"/>
                <w:sz w:val="24"/>
                <w:szCs w:val="24"/>
                <w:lang w:eastAsia="ru-RU"/>
              </w:rPr>
              <w:t xml:space="preserve"> </w:t>
            </w:r>
            <w:r w:rsidRPr="005B0FE3">
              <w:rPr>
                <w:rFonts w:ascii="Times New Roman" w:eastAsia="Times New Roman" w:hAnsi="Times New Roman" w:cs="Times New Roman"/>
                <w:sz w:val="24"/>
                <w:szCs w:val="24"/>
                <w:lang w:eastAsia="ru-RU"/>
              </w:rPr>
              <w:t>511</w:t>
            </w:r>
          </w:p>
        </w:tc>
        <w:tc>
          <w:tcPr>
            <w:tcW w:w="656" w:type="pct"/>
            <w:vAlign w:val="bottom"/>
          </w:tcPr>
          <w:p w14:paraId="70EEC65D" w14:textId="77777777" w:rsidR="00B7169A" w:rsidRPr="005B0FE3" w:rsidRDefault="00B7169A" w:rsidP="00B7169A">
            <w:pPr>
              <w:spacing w:after="0" w:line="240" w:lineRule="auto"/>
              <w:jc w:val="center"/>
              <w:rPr>
                <w:rFonts w:ascii="Times New Roman" w:hAnsi="Times New Roman"/>
                <w:sz w:val="24"/>
                <w:szCs w:val="24"/>
              </w:rPr>
            </w:pPr>
            <w:r w:rsidRPr="005B0FE3">
              <w:rPr>
                <w:rFonts w:ascii="Times New Roman" w:hAnsi="Times New Roman"/>
                <w:sz w:val="24"/>
                <w:szCs w:val="24"/>
              </w:rPr>
              <w:t>29 908</w:t>
            </w:r>
          </w:p>
        </w:tc>
        <w:tc>
          <w:tcPr>
            <w:tcW w:w="656" w:type="pct"/>
            <w:vAlign w:val="bottom"/>
          </w:tcPr>
          <w:p w14:paraId="133CCACF" w14:textId="77777777" w:rsidR="00B7169A" w:rsidRPr="005B0FE3" w:rsidRDefault="00B7169A" w:rsidP="00B7169A">
            <w:pPr>
              <w:spacing w:before="24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32 421</w:t>
            </w:r>
          </w:p>
        </w:tc>
      </w:tr>
      <w:tr w:rsidR="00B7169A" w:rsidRPr="005B0FE3" w14:paraId="25396152" w14:textId="77777777" w:rsidTr="00B7169A">
        <w:trPr>
          <w:cantSplit/>
          <w:jc w:val="center"/>
        </w:trPr>
        <w:tc>
          <w:tcPr>
            <w:tcW w:w="3032" w:type="pct"/>
            <w:tcMar>
              <w:left w:w="57" w:type="dxa"/>
            </w:tcMar>
            <w:vAlign w:val="center"/>
          </w:tcPr>
          <w:p w14:paraId="2ADE9D62" w14:textId="77777777" w:rsidR="00B7169A" w:rsidRPr="005B0FE3" w:rsidRDefault="00B7169A" w:rsidP="00B7169A">
            <w:pPr>
              <w:spacing w:after="0" w:line="240" w:lineRule="auto"/>
              <w:ind w:left="57"/>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Единовременное пособие при рождении ребенка</w:t>
            </w:r>
            <w:r w:rsidRPr="005B0FE3">
              <w:rPr>
                <w:rFonts w:ascii="Times New Roman" w:eastAsia="Times New Roman" w:hAnsi="Times New Roman" w:cs="Times New Roman"/>
                <w:sz w:val="24"/>
                <w:szCs w:val="24"/>
                <w:vertAlign w:val="superscript"/>
                <w:lang w:eastAsia="ru-RU"/>
              </w:rPr>
              <w:t>1)</w:t>
            </w:r>
          </w:p>
        </w:tc>
        <w:tc>
          <w:tcPr>
            <w:tcW w:w="656" w:type="pct"/>
            <w:vAlign w:val="bottom"/>
          </w:tcPr>
          <w:p w14:paraId="39486F86" w14:textId="77777777" w:rsidR="00B7169A" w:rsidRPr="005B0FE3" w:rsidRDefault="00B7169A" w:rsidP="00B7169A">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18</w:t>
            </w:r>
            <w:r>
              <w:rPr>
                <w:rFonts w:ascii="Times New Roman" w:eastAsia="Times New Roman" w:hAnsi="Times New Roman" w:cs="Times New Roman"/>
                <w:sz w:val="24"/>
                <w:szCs w:val="24"/>
                <w:lang w:eastAsia="ru-RU"/>
              </w:rPr>
              <w:t xml:space="preserve"> </w:t>
            </w:r>
            <w:r w:rsidRPr="005B0FE3">
              <w:rPr>
                <w:rFonts w:ascii="Times New Roman" w:eastAsia="Times New Roman" w:hAnsi="Times New Roman" w:cs="Times New Roman"/>
                <w:sz w:val="24"/>
                <w:szCs w:val="24"/>
                <w:lang w:eastAsia="ru-RU"/>
              </w:rPr>
              <w:t>004</w:t>
            </w:r>
          </w:p>
        </w:tc>
        <w:tc>
          <w:tcPr>
            <w:tcW w:w="656" w:type="pct"/>
            <w:vAlign w:val="bottom"/>
          </w:tcPr>
          <w:p w14:paraId="2AEB46FD" w14:textId="77777777" w:rsidR="00B7169A" w:rsidRPr="005B0FE3" w:rsidRDefault="00B7169A" w:rsidP="00B7169A">
            <w:pPr>
              <w:spacing w:after="0" w:line="240" w:lineRule="auto"/>
              <w:jc w:val="center"/>
              <w:rPr>
                <w:rFonts w:ascii="Times New Roman" w:hAnsi="Times New Roman"/>
                <w:sz w:val="24"/>
                <w:szCs w:val="24"/>
              </w:rPr>
            </w:pPr>
            <w:r w:rsidRPr="005B0FE3">
              <w:rPr>
                <w:rFonts w:ascii="Times New Roman" w:hAnsi="Times New Roman"/>
                <w:sz w:val="24"/>
                <w:szCs w:val="24"/>
              </w:rPr>
              <w:t>18 886</w:t>
            </w:r>
          </w:p>
        </w:tc>
        <w:tc>
          <w:tcPr>
            <w:tcW w:w="656" w:type="pct"/>
            <w:vAlign w:val="bottom"/>
          </w:tcPr>
          <w:p w14:paraId="1F0F338D" w14:textId="77777777" w:rsidR="00B7169A" w:rsidRPr="005B0FE3" w:rsidRDefault="00B7169A" w:rsidP="00B7169A">
            <w:pPr>
              <w:spacing w:before="24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20 473</w:t>
            </w:r>
          </w:p>
        </w:tc>
      </w:tr>
      <w:tr w:rsidR="00B7169A" w:rsidRPr="005B0FE3" w14:paraId="6F6CE7B3" w14:textId="77777777" w:rsidTr="00B7169A">
        <w:trPr>
          <w:cantSplit/>
          <w:jc w:val="center"/>
        </w:trPr>
        <w:tc>
          <w:tcPr>
            <w:tcW w:w="3032" w:type="pct"/>
            <w:tcMar>
              <w:left w:w="57" w:type="dxa"/>
            </w:tcMar>
            <w:vAlign w:val="center"/>
          </w:tcPr>
          <w:p w14:paraId="25574A00" w14:textId="77777777" w:rsidR="00B7169A" w:rsidRPr="005B0FE3" w:rsidRDefault="00B7169A" w:rsidP="00B7169A">
            <w:pPr>
              <w:spacing w:after="0" w:line="240" w:lineRule="auto"/>
              <w:ind w:left="57"/>
              <w:rPr>
                <w:rFonts w:ascii="Times New Roman" w:eastAsia="Times New Roman" w:hAnsi="Times New Roman" w:cs="Times New Roman"/>
                <w:spacing w:val="-2"/>
                <w:sz w:val="24"/>
                <w:szCs w:val="24"/>
                <w:lang w:eastAsia="ru-RU"/>
              </w:rPr>
            </w:pPr>
            <w:r w:rsidRPr="005B0FE3">
              <w:rPr>
                <w:rFonts w:ascii="Times New Roman" w:eastAsia="Times New Roman" w:hAnsi="Times New Roman" w:cs="Times New Roman"/>
                <w:spacing w:val="-2"/>
                <w:sz w:val="24"/>
                <w:szCs w:val="24"/>
                <w:lang w:eastAsia="ru-RU"/>
              </w:rPr>
              <w:t>Единовременное пособие при передаче ребенка на воспитание в семью</w:t>
            </w:r>
            <w:r w:rsidRPr="005B0FE3">
              <w:rPr>
                <w:rFonts w:ascii="Times New Roman" w:eastAsia="Times New Roman" w:hAnsi="Times New Roman" w:cs="Times New Roman"/>
                <w:sz w:val="24"/>
                <w:szCs w:val="24"/>
                <w:vertAlign w:val="superscript"/>
                <w:lang w:eastAsia="ru-RU"/>
              </w:rPr>
              <w:t>1)</w:t>
            </w:r>
          </w:p>
        </w:tc>
        <w:tc>
          <w:tcPr>
            <w:tcW w:w="656" w:type="pct"/>
            <w:vAlign w:val="bottom"/>
          </w:tcPr>
          <w:p w14:paraId="20BEB938" w14:textId="77777777" w:rsidR="00B7169A" w:rsidRPr="005B0FE3" w:rsidRDefault="00B7169A" w:rsidP="00B7169A">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18</w:t>
            </w:r>
            <w:r>
              <w:rPr>
                <w:rFonts w:ascii="Times New Roman" w:eastAsia="Times New Roman" w:hAnsi="Times New Roman" w:cs="Times New Roman"/>
                <w:sz w:val="24"/>
                <w:szCs w:val="24"/>
                <w:lang w:eastAsia="ru-RU"/>
              </w:rPr>
              <w:t xml:space="preserve"> </w:t>
            </w:r>
            <w:r w:rsidRPr="005B0FE3">
              <w:rPr>
                <w:rFonts w:ascii="Times New Roman" w:eastAsia="Times New Roman" w:hAnsi="Times New Roman" w:cs="Times New Roman"/>
                <w:sz w:val="24"/>
                <w:szCs w:val="24"/>
                <w:lang w:eastAsia="ru-RU"/>
              </w:rPr>
              <w:t>004</w:t>
            </w:r>
          </w:p>
        </w:tc>
        <w:tc>
          <w:tcPr>
            <w:tcW w:w="656" w:type="pct"/>
            <w:vAlign w:val="bottom"/>
          </w:tcPr>
          <w:p w14:paraId="4FD45D4E" w14:textId="77777777" w:rsidR="00B7169A" w:rsidRPr="005B0FE3" w:rsidRDefault="00B7169A" w:rsidP="00B7169A">
            <w:pPr>
              <w:spacing w:after="0" w:line="240" w:lineRule="auto"/>
              <w:jc w:val="center"/>
              <w:rPr>
                <w:rFonts w:ascii="Times New Roman" w:hAnsi="Times New Roman"/>
                <w:sz w:val="24"/>
                <w:szCs w:val="24"/>
              </w:rPr>
            </w:pPr>
            <w:r w:rsidRPr="005B0FE3">
              <w:rPr>
                <w:rFonts w:ascii="Times New Roman" w:hAnsi="Times New Roman"/>
                <w:sz w:val="24"/>
                <w:szCs w:val="24"/>
              </w:rPr>
              <w:t>18 886</w:t>
            </w:r>
          </w:p>
        </w:tc>
        <w:tc>
          <w:tcPr>
            <w:tcW w:w="656" w:type="pct"/>
            <w:vAlign w:val="bottom"/>
          </w:tcPr>
          <w:p w14:paraId="210C4983" w14:textId="77777777" w:rsidR="00B7169A" w:rsidRPr="005B0FE3" w:rsidRDefault="00B7169A" w:rsidP="00B7169A">
            <w:pPr>
              <w:spacing w:before="24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20 473</w:t>
            </w:r>
          </w:p>
        </w:tc>
      </w:tr>
      <w:tr w:rsidR="00B7169A" w:rsidRPr="005B0FE3" w14:paraId="7687E3C9" w14:textId="77777777" w:rsidTr="00B7169A">
        <w:trPr>
          <w:cantSplit/>
          <w:jc w:val="center"/>
        </w:trPr>
        <w:tc>
          <w:tcPr>
            <w:tcW w:w="3032" w:type="pct"/>
            <w:tcMar>
              <w:left w:w="57" w:type="dxa"/>
            </w:tcMar>
            <w:vAlign w:val="center"/>
          </w:tcPr>
          <w:p w14:paraId="4001B850" w14:textId="77777777" w:rsidR="00B7169A" w:rsidRPr="005B0FE3" w:rsidRDefault="00B7169A" w:rsidP="00B7169A">
            <w:pPr>
              <w:spacing w:after="0" w:line="240" w:lineRule="auto"/>
              <w:ind w:left="57"/>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Ежемесячное пособие на период отпуска по уходу за ребенком до достижения им возраста полутора лет</w:t>
            </w:r>
            <w:r w:rsidRPr="005B0FE3">
              <w:rPr>
                <w:rFonts w:ascii="Times New Roman" w:eastAsia="Times New Roman" w:hAnsi="Times New Roman" w:cs="Times New Roman"/>
                <w:sz w:val="24"/>
                <w:szCs w:val="24"/>
                <w:vertAlign w:val="superscript"/>
                <w:lang w:eastAsia="ru-RU"/>
              </w:rPr>
              <w:t>1)</w:t>
            </w:r>
            <w:r w:rsidRPr="005B0FE3">
              <w:rPr>
                <w:rFonts w:ascii="Times New Roman" w:eastAsia="Times New Roman" w:hAnsi="Times New Roman" w:cs="Times New Roman"/>
                <w:sz w:val="24"/>
                <w:szCs w:val="24"/>
                <w:lang w:eastAsia="ru-RU"/>
              </w:rPr>
              <w:t>:</w:t>
            </w:r>
          </w:p>
        </w:tc>
        <w:tc>
          <w:tcPr>
            <w:tcW w:w="656" w:type="pct"/>
            <w:vAlign w:val="bottom"/>
          </w:tcPr>
          <w:p w14:paraId="1D089953" w14:textId="77777777" w:rsidR="00B7169A" w:rsidRPr="005B0FE3" w:rsidRDefault="00B7169A" w:rsidP="00B7169A">
            <w:pPr>
              <w:spacing w:before="240" w:after="0" w:line="240" w:lineRule="auto"/>
              <w:jc w:val="center"/>
              <w:rPr>
                <w:rFonts w:ascii="Times New Roman" w:eastAsia="Times New Roman" w:hAnsi="Times New Roman" w:cs="Times New Roman"/>
                <w:sz w:val="24"/>
                <w:szCs w:val="24"/>
                <w:lang w:eastAsia="ru-RU"/>
              </w:rPr>
            </w:pPr>
          </w:p>
        </w:tc>
        <w:tc>
          <w:tcPr>
            <w:tcW w:w="656" w:type="pct"/>
            <w:vAlign w:val="bottom"/>
          </w:tcPr>
          <w:p w14:paraId="6DEECAD5" w14:textId="77777777" w:rsidR="00B7169A" w:rsidRPr="005B0FE3" w:rsidRDefault="00B7169A" w:rsidP="00B7169A">
            <w:pPr>
              <w:spacing w:after="0" w:line="240" w:lineRule="auto"/>
              <w:jc w:val="center"/>
              <w:rPr>
                <w:rFonts w:ascii="Times New Roman" w:hAnsi="Times New Roman"/>
                <w:sz w:val="24"/>
                <w:szCs w:val="24"/>
              </w:rPr>
            </w:pPr>
            <w:r w:rsidRPr="005B0FE3">
              <w:rPr>
                <w:rFonts w:ascii="Times New Roman" w:hAnsi="Times New Roman"/>
                <w:sz w:val="24"/>
                <w:szCs w:val="24"/>
              </w:rPr>
              <w:t>7 083</w:t>
            </w:r>
          </w:p>
        </w:tc>
        <w:tc>
          <w:tcPr>
            <w:tcW w:w="656" w:type="pct"/>
            <w:vAlign w:val="bottom"/>
          </w:tcPr>
          <w:p w14:paraId="7CE84ABB" w14:textId="77777777" w:rsidR="00B7169A" w:rsidRPr="005B0FE3" w:rsidRDefault="00B7169A" w:rsidP="00B7169A">
            <w:pPr>
              <w:spacing w:before="24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7 678</w:t>
            </w:r>
          </w:p>
        </w:tc>
      </w:tr>
      <w:tr w:rsidR="00B7169A" w:rsidRPr="005B0FE3" w14:paraId="3533907B" w14:textId="77777777" w:rsidTr="00B7169A">
        <w:trPr>
          <w:cantSplit/>
          <w:jc w:val="center"/>
        </w:trPr>
        <w:tc>
          <w:tcPr>
            <w:tcW w:w="3032" w:type="pct"/>
            <w:tcMar>
              <w:left w:w="57" w:type="dxa"/>
            </w:tcMar>
            <w:vAlign w:val="center"/>
          </w:tcPr>
          <w:p w14:paraId="563A9FF6" w14:textId="77777777" w:rsidR="00B7169A" w:rsidRPr="005B0FE3" w:rsidRDefault="00B7169A" w:rsidP="00B7169A">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по уходу за первым ребенком</w:t>
            </w:r>
          </w:p>
        </w:tc>
        <w:tc>
          <w:tcPr>
            <w:tcW w:w="656" w:type="pct"/>
            <w:vAlign w:val="bottom"/>
          </w:tcPr>
          <w:p w14:paraId="221789A5" w14:textId="77777777" w:rsidR="00B7169A" w:rsidRPr="005B0FE3" w:rsidRDefault="00B7169A" w:rsidP="00B7169A">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3376</w:t>
            </w:r>
          </w:p>
        </w:tc>
        <w:tc>
          <w:tcPr>
            <w:tcW w:w="656" w:type="pct"/>
            <w:vAlign w:val="bottom"/>
          </w:tcPr>
          <w:p w14:paraId="7C083A48" w14:textId="77777777" w:rsidR="00B7169A" w:rsidRPr="005B0FE3" w:rsidRDefault="00B7169A" w:rsidP="00B7169A">
            <w:pPr>
              <w:spacing w:after="0" w:line="240" w:lineRule="auto"/>
              <w:jc w:val="center"/>
              <w:rPr>
                <w:rFonts w:ascii="Times New Roman" w:hAnsi="Times New Roman"/>
                <w:sz w:val="24"/>
                <w:szCs w:val="24"/>
              </w:rPr>
            </w:pPr>
            <w:r w:rsidRPr="005B0FE3">
              <w:rPr>
                <w:rFonts w:ascii="Times New Roman" w:hAnsi="Times New Roman"/>
                <w:sz w:val="24"/>
                <w:szCs w:val="24"/>
              </w:rPr>
              <w:t>-</w:t>
            </w:r>
          </w:p>
        </w:tc>
        <w:tc>
          <w:tcPr>
            <w:tcW w:w="656" w:type="pct"/>
            <w:vAlign w:val="bottom"/>
          </w:tcPr>
          <w:p w14:paraId="62B0D6F6" w14:textId="77777777" w:rsidR="00B7169A" w:rsidRPr="005B0FE3" w:rsidRDefault="00B7169A" w:rsidP="00B7169A">
            <w:pPr>
              <w:spacing w:before="24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B7169A" w:rsidRPr="005B0FE3" w14:paraId="787F8503" w14:textId="77777777" w:rsidTr="00B7169A">
        <w:trPr>
          <w:cantSplit/>
          <w:jc w:val="center"/>
        </w:trPr>
        <w:tc>
          <w:tcPr>
            <w:tcW w:w="3032" w:type="pct"/>
            <w:tcMar>
              <w:left w:w="57" w:type="dxa"/>
            </w:tcMar>
            <w:vAlign w:val="center"/>
          </w:tcPr>
          <w:p w14:paraId="163A94DB" w14:textId="77777777" w:rsidR="00B7169A" w:rsidRPr="005B0FE3" w:rsidRDefault="00B7169A" w:rsidP="00B7169A">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по уходу за вторым и последующими детьми</w:t>
            </w:r>
          </w:p>
        </w:tc>
        <w:tc>
          <w:tcPr>
            <w:tcW w:w="656" w:type="pct"/>
            <w:vAlign w:val="bottom"/>
          </w:tcPr>
          <w:p w14:paraId="606D44B0" w14:textId="77777777" w:rsidR="00B7169A" w:rsidRPr="005B0FE3" w:rsidRDefault="00B7169A" w:rsidP="00B7169A">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6752</w:t>
            </w:r>
          </w:p>
        </w:tc>
        <w:tc>
          <w:tcPr>
            <w:tcW w:w="656" w:type="pct"/>
            <w:vAlign w:val="bottom"/>
          </w:tcPr>
          <w:p w14:paraId="5AF0F771" w14:textId="77777777" w:rsidR="00B7169A" w:rsidRPr="005B0FE3" w:rsidRDefault="00B7169A" w:rsidP="00B7169A">
            <w:pPr>
              <w:spacing w:after="0" w:line="240" w:lineRule="auto"/>
              <w:jc w:val="center"/>
              <w:rPr>
                <w:rFonts w:ascii="Times New Roman" w:hAnsi="Times New Roman"/>
                <w:sz w:val="24"/>
                <w:szCs w:val="24"/>
              </w:rPr>
            </w:pPr>
            <w:r w:rsidRPr="005B0FE3">
              <w:rPr>
                <w:rFonts w:ascii="Times New Roman" w:hAnsi="Times New Roman"/>
                <w:sz w:val="24"/>
                <w:szCs w:val="24"/>
              </w:rPr>
              <w:t>-</w:t>
            </w:r>
          </w:p>
        </w:tc>
        <w:tc>
          <w:tcPr>
            <w:tcW w:w="656" w:type="pct"/>
            <w:vAlign w:val="bottom"/>
          </w:tcPr>
          <w:p w14:paraId="69518C48" w14:textId="77777777" w:rsidR="00B7169A" w:rsidRPr="005B0FE3" w:rsidRDefault="00B7169A" w:rsidP="00B7169A">
            <w:pPr>
              <w:spacing w:before="24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B7169A" w:rsidRPr="005B0FE3" w14:paraId="41C68B03" w14:textId="77777777" w:rsidTr="00B7169A">
        <w:trPr>
          <w:cantSplit/>
          <w:jc w:val="center"/>
        </w:trPr>
        <w:tc>
          <w:tcPr>
            <w:tcW w:w="3032" w:type="pct"/>
            <w:tcMar>
              <w:left w:w="57" w:type="dxa"/>
            </w:tcMar>
            <w:vAlign w:val="center"/>
          </w:tcPr>
          <w:p w14:paraId="4F1EC2A5" w14:textId="77777777" w:rsidR="00B7169A" w:rsidRPr="005B0FE3" w:rsidRDefault="00B7169A" w:rsidP="00B7169A">
            <w:pPr>
              <w:spacing w:after="0" w:line="240" w:lineRule="auto"/>
              <w:ind w:left="57"/>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Ежемесячное пособие на ребенка военнослужащего, проходящего военную службу по призыву</w:t>
            </w:r>
            <w:r w:rsidRPr="005B0FE3">
              <w:rPr>
                <w:rFonts w:ascii="Times New Roman" w:eastAsia="Times New Roman" w:hAnsi="Times New Roman" w:cs="Times New Roman"/>
                <w:sz w:val="24"/>
                <w:szCs w:val="24"/>
                <w:vertAlign w:val="superscript"/>
                <w:lang w:eastAsia="ru-RU"/>
              </w:rPr>
              <w:t>1)</w:t>
            </w:r>
          </w:p>
        </w:tc>
        <w:tc>
          <w:tcPr>
            <w:tcW w:w="656" w:type="pct"/>
            <w:vAlign w:val="bottom"/>
          </w:tcPr>
          <w:p w14:paraId="6A1E05D6" w14:textId="77777777" w:rsidR="00B7169A" w:rsidRPr="005B0FE3" w:rsidRDefault="00B7169A" w:rsidP="00B7169A">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 xml:space="preserve"> </w:t>
            </w:r>
            <w:r w:rsidRPr="005B0FE3">
              <w:rPr>
                <w:rFonts w:ascii="Times New Roman" w:eastAsia="Times New Roman" w:hAnsi="Times New Roman" w:cs="Times New Roman"/>
                <w:sz w:val="24"/>
                <w:szCs w:val="24"/>
                <w:lang w:eastAsia="ru-RU"/>
              </w:rPr>
              <w:t>219</w:t>
            </w:r>
          </w:p>
        </w:tc>
        <w:tc>
          <w:tcPr>
            <w:tcW w:w="656" w:type="pct"/>
            <w:vAlign w:val="bottom"/>
          </w:tcPr>
          <w:p w14:paraId="1CD2D10A" w14:textId="77777777" w:rsidR="00B7169A" w:rsidRPr="005B0FE3" w:rsidRDefault="00B7169A" w:rsidP="00B7169A">
            <w:pPr>
              <w:spacing w:after="0" w:line="240" w:lineRule="auto"/>
              <w:jc w:val="center"/>
              <w:rPr>
                <w:rFonts w:ascii="Times New Roman" w:hAnsi="Times New Roman"/>
                <w:sz w:val="24"/>
                <w:szCs w:val="24"/>
              </w:rPr>
            </w:pPr>
            <w:r w:rsidRPr="005B0FE3">
              <w:rPr>
                <w:rFonts w:ascii="Times New Roman" w:hAnsi="Times New Roman"/>
                <w:sz w:val="24"/>
                <w:szCs w:val="24"/>
              </w:rPr>
              <w:t>12 818</w:t>
            </w:r>
          </w:p>
        </w:tc>
        <w:tc>
          <w:tcPr>
            <w:tcW w:w="656" w:type="pct"/>
            <w:vAlign w:val="bottom"/>
          </w:tcPr>
          <w:p w14:paraId="5EAA2E7E" w14:textId="77777777" w:rsidR="00B7169A" w:rsidRPr="005B0FE3" w:rsidRDefault="00B7169A" w:rsidP="00B7169A">
            <w:pPr>
              <w:spacing w:before="24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13 895</w:t>
            </w:r>
          </w:p>
        </w:tc>
      </w:tr>
      <w:tr w:rsidR="00B7169A" w:rsidRPr="005B0FE3" w14:paraId="72A308A2" w14:textId="77777777" w:rsidTr="00B7169A">
        <w:trPr>
          <w:cantSplit/>
          <w:jc w:val="center"/>
        </w:trPr>
        <w:tc>
          <w:tcPr>
            <w:tcW w:w="3032" w:type="pct"/>
            <w:tcMar>
              <w:left w:w="57" w:type="dxa"/>
            </w:tcMar>
            <w:vAlign w:val="center"/>
          </w:tcPr>
          <w:p w14:paraId="78CFD9DD" w14:textId="77777777" w:rsidR="00B7169A" w:rsidRPr="005B0FE3" w:rsidRDefault="00B7169A" w:rsidP="00B7169A">
            <w:pPr>
              <w:spacing w:after="0" w:line="240" w:lineRule="auto"/>
              <w:ind w:left="57"/>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Государственный сертификат на материнский (семейный) капитал</w:t>
            </w:r>
            <w:r>
              <w:rPr>
                <w:rFonts w:ascii="Times New Roman" w:eastAsia="Times New Roman" w:hAnsi="Times New Roman" w:cs="Times New Roman"/>
                <w:sz w:val="24"/>
                <w:szCs w:val="24"/>
                <w:vertAlign w:val="superscript"/>
                <w:lang w:eastAsia="ru-RU"/>
              </w:rPr>
              <w:t>3</w:t>
            </w:r>
            <w:r w:rsidRPr="005B0FE3">
              <w:rPr>
                <w:rFonts w:ascii="Times New Roman" w:eastAsia="Times New Roman" w:hAnsi="Times New Roman" w:cs="Times New Roman"/>
                <w:sz w:val="24"/>
                <w:szCs w:val="24"/>
                <w:vertAlign w:val="superscript"/>
                <w:lang w:eastAsia="ru-RU"/>
              </w:rPr>
              <w:t>)</w:t>
            </w:r>
          </w:p>
        </w:tc>
        <w:tc>
          <w:tcPr>
            <w:tcW w:w="656" w:type="pct"/>
            <w:vAlign w:val="bottom"/>
          </w:tcPr>
          <w:p w14:paraId="58E5E314" w14:textId="77777777" w:rsidR="00B7169A" w:rsidRPr="005B0FE3" w:rsidRDefault="00B7169A" w:rsidP="00B7169A">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w:t>
            </w:r>
          </w:p>
        </w:tc>
        <w:tc>
          <w:tcPr>
            <w:tcW w:w="656" w:type="pct"/>
            <w:vAlign w:val="bottom"/>
          </w:tcPr>
          <w:p w14:paraId="06455069" w14:textId="77777777" w:rsidR="00B7169A" w:rsidRPr="005B0FE3" w:rsidRDefault="00B7169A" w:rsidP="00B7169A">
            <w:pPr>
              <w:spacing w:after="0" w:line="240" w:lineRule="auto"/>
              <w:jc w:val="center"/>
              <w:rPr>
                <w:rFonts w:ascii="Times New Roman" w:hAnsi="Times New Roman"/>
                <w:sz w:val="24"/>
                <w:szCs w:val="24"/>
              </w:rPr>
            </w:pPr>
            <w:r w:rsidRPr="005B0FE3">
              <w:rPr>
                <w:rFonts w:ascii="Times New Roman" w:hAnsi="Times New Roman"/>
                <w:sz w:val="24"/>
                <w:szCs w:val="24"/>
              </w:rPr>
              <w:t>-</w:t>
            </w:r>
          </w:p>
        </w:tc>
        <w:tc>
          <w:tcPr>
            <w:tcW w:w="656" w:type="pct"/>
            <w:vAlign w:val="bottom"/>
          </w:tcPr>
          <w:p w14:paraId="2C2A6CF7" w14:textId="77777777" w:rsidR="00B7169A" w:rsidRPr="005B0FE3" w:rsidRDefault="00B7169A" w:rsidP="00B7169A">
            <w:pPr>
              <w:spacing w:before="24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B7169A" w:rsidRPr="005B0FE3" w14:paraId="3C5D3235" w14:textId="77777777" w:rsidTr="00B7169A">
        <w:trPr>
          <w:cantSplit/>
          <w:jc w:val="center"/>
        </w:trPr>
        <w:tc>
          <w:tcPr>
            <w:tcW w:w="3032" w:type="pct"/>
            <w:tcMar>
              <w:left w:w="57" w:type="dxa"/>
            </w:tcMar>
            <w:vAlign w:val="center"/>
          </w:tcPr>
          <w:p w14:paraId="738F24F0" w14:textId="77777777" w:rsidR="00B7169A" w:rsidRPr="005B0FE3" w:rsidRDefault="00B7169A" w:rsidP="00B7169A">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связи с рождением (усыновлением) первого ребенка</w:t>
            </w:r>
          </w:p>
        </w:tc>
        <w:tc>
          <w:tcPr>
            <w:tcW w:w="656" w:type="pct"/>
            <w:vAlign w:val="bottom"/>
          </w:tcPr>
          <w:p w14:paraId="5588EF37" w14:textId="77777777" w:rsidR="00B7169A" w:rsidRPr="005B0FE3" w:rsidRDefault="00B7169A" w:rsidP="00B7169A">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466</w:t>
            </w:r>
            <w:r>
              <w:rPr>
                <w:rFonts w:ascii="Times New Roman" w:eastAsia="Times New Roman" w:hAnsi="Times New Roman" w:cs="Times New Roman"/>
                <w:sz w:val="24"/>
                <w:szCs w:val="24"/>
                <w:lang w:eastAsia="ru-RU"/>
              </w:rPr>
              <w:t xml:space="preserve"> </w:t>
            </w:r>
            <w:r w:rsidRPr="005B0FE3">
              <w:rPr>
                <w:rFonts w:ascii="Times New Roman" w:eastAsia="Times New Roman" w:hAnsi="Times New Roman" w:cs="Times New Roman"/>
                <w:sz w:val="24"/>
                <w:szCs w:val="24"/>
                <w:lang w:eastAsia="ru-RU"/>
              </w:rPr>
              <w:t>617</w:t>
            </w:r>
          </w:p>
        </w:tc>
        <w:tc>
          <w:tcPr>
            <w:tcW w:w="656" w:type="pct"/>
            <w:vAlign w:val="bottom"/>
          </w:tcPr>
          <w:p w14:paraId="014DFDB5" w14:textId="77777777" w:rsidR="00B7169A" w:rsidRPr="005B0FE3" w:rsidRDefault="00B7169A" w:rsidP="00B7169A">
            <w:pPr>
              <w:spacing w:after="0" w:line="240" w:lineRule="auto"/>
              <w:jc w:val="center"/>
              <w:rPr>
                <w:rFonts w:ascii="Times New Roman" w:hAnsi="Times New Roman"/>
                <w:sz w:val="24"/>
                <w:szCs w:val="24"/>
              </w:rPr>
            </w:pPr>
            <w:r w:rsidRPr="005B0FE3">
              <w:rPr>
                <w:rFonts w:ascii="Times New Roman" w:hAnsi="Times New Roman"/>
                <w:sz w:val="24"/>
                <w:szCs w:val="24"/>
              </w:rPr>
              <w:t>483 882</w:t>
            </w:r>
          </w:p>
        </w:tc>
        <w:tc>
          <w:tcPr>
            <w:tcW w:w="656" w:type="pct"/>
            <w:vAlign w:val="bottom"/>
          </w:tcPr>
          <w:p w14:paraId="280AAB5F" w14:textId="77777777" w:rsidR="00B7169A" w:rsidRPr="005B0FE3" w:rsidRDefault="00B7169A" w:rsidP="00B7169A">
            <w:pPr>
              <w:spacing w:before="24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524 528</w:t>
            </w:r>
          </w:p>
        </w:tc>
      </w:tr>
      <w:tr w:rsidR="00B7169A" w:rsidRPr="005B0FE3" w14:paraId="2704724C" w14:textId="77777777" w:rsidTr="00B7169A">
        <w:trPr>
          <w:cantSplit/>
          <w:jc w:val="center"/>
        </w:trPr>
        <w:tc>
          <w:tcPr>
            <w:tcW w:w="3032" w:type="pct"/>
            <w:tcMar>
              <w:left w:w="57" w:type="dxa"/>
            </w:tcMar>
            <w:vAlign w:val="center"/>
          </w:tcPr>
          <w:p w14:paraId="5E5BE04C" w14:textId="77777777" w:rsidR="00B7169A" w:rsidRPr="005B0FE3" w:rsidRDefault="00B7169A" w:rsidP="00B7169A">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связи с рождением (усыновлением) второго ребенка</w:t>
            </w:r>
            <w:r>
              <w:rPr>
                <w:rFonts w:ascii="Times New Roman" w:eastAsia="Times New Roman" w:hAnsi="Times New Roman" w:cs="Times New Roman"/>
                <w:sz w:val="24"/>
                <w:szCs w:val="24"/>
                <w:vertAlign w:val="superscript"/>
                <w:lang w:eastAsia="ru-RU"/>
              </w:rPr>
              <w:t>4</w:t>
            </w:r>
            <w:r w:rsidRPr="005B0FE3">
              <w:rPr>
                <w:rFonts w:ascii="Times New Roman" w:eastAsia="Times New Roman" w:hAnsi="Times New Roman" w:cs="Times New Roman"/>
                <w:sz w:val="24"/>
                <w:szCs w:val="24"/>
                <w:vertAlign w:val="superscript"/>
                <w:lang w:eastAsia="ru-RU"/>
              </w:rPr>
              <w:t>)</w:t>
            </w:r>
          </w:p>
        </w:tc>
        <w:tc>
          <w:tcPr>
            <w:tcW w:w="656" w:type="pct"/>
            <w:vAlign w:val="bottom"/>
          </w:tcPr>
          <w:p w14:paraId="05B8BF3F" w14:textId="77777777" w:rsidR="00B7169A" w:rsidRPr="005B0FE3" w:rsidRDefault="00B7169A" w:rsidP="00B7169A">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616</w:t>
            </w:r>
            <w:r>
              <w:rPr>
                <w:rFonts w:ascii="Times New Roman" w:eastAsia="Times New Roman" w:hAnsi="Times New Roman" w:cs="Times New Roman"/>
                <w:sz w:val="24"/>
                <w:szCs w:val="24"/>
                <w:lang w:eastAsia="ru-RU"/>
              </w:rPr>
              <w:t xml:space="preserve"> </w:t>
            </w:r>
            <w:r w:rsidRPr="005B0FE3">
              <w:rPr>
                <w:rFonts w:ascii="Times New Roman" w:eastAsia="Times New Roman" w:hAnsi="Times New Roman" w:cs="Times New Roman"/>
                <w:sz w:val="24"/>
                <w:szCs w:val="24"/>
                <w:lang w:eastAsia="ru-RU"/>
              </w:rPr>
              <w:t>617</w:t>
            </w:r>
          </w:p>
        </w:tc>
        <w:tc>
          <w:tcPr>
            <w:tcW w:w="656" w:type="pct"/>
            <w:vAlign w:val="bottom"/>
          </w:tcPr>
          <w:p w14:paraId="1B8D7C20" w14:textId="77777777" w:rsidR="00B7169A" w:rsidRPr="005B0FE3" w:rsidRDefault="00B7169A" w:rsidP="00B7169A">
            <w:pPr>
              <w:spacing w:after="0" w:line="240" w:lineRule="auto"/>
              <w:jc w:val="center"/>
              <w:rPr>
                <w:rFonts w:ascii="Times New Roman" w:hAnsi="Times New Roman"/>
                <w:sz w:val="24"/>
                <w:szCs w:val="24"/>
              </w:rPr>
            </w:pPr>
            <w:r w:rsidRPr="005B0FE3">
              <w:rPr>
                <w:rFonts w:ascii="Times New Roman" w:hAnsi="Times New Roman"/>
                <w:sz w:val="24"/>
                <w:szCs w:val="24"/>
              </w:rPr>
              <w:t>639 432</w:t>
            </w:r>
          </w:p>
        </w:tc>
        <w:tc>
          <w:tcPr>
            <w:tcW w:w="656" w:type="pct"/>
            <w:vAlign w:val="bottom"/>
          </w:tcPr>
          <w:p w14:paraId="1DDF9FDC" w14:textId="77777777" w:rsidR="00B7169A" w:rsidRPr="005B0FE3" w:rsidRDefault="00B7169A" w:rsidP="00B7169A">
            <w:pPr>
              <w:spacing w:before="24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693 144</w:t>
            </w:r>
          </w:p>
        </w:tc>
      </w:tr>
      <w:tr w:rsidR="00B7169A" w:rsidRPr="005B0FE3" w14:paraId="4FE920D5" w14:textId="77777777" w:rsidTr="00B7169A">
        <w:trPr>
          <w:cantSplit/>
          <w:jc w:val="center"/>
        </w:trPr>
        <w:tc>
          <w:tcPr>
            <w:tcW w:w="3032" w:type="pct"/>
            <w:tcMar>
              <w:left w:w="57" w:type="dxa"/>
            </w:tcMar>
            <w:vAlign w:val="center"/>
          </w:tcPr>
          <w:p w14:paraId="70A18A00" w14:textId="77777777" w:rsidR="00B7169A" w:rsidRPr="005B0FE3" w:rsidRDefault="00B7169A" w:rsidP="00B7169A">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 связи с рождением (усыновлением) третьего ребенка или последующих детей</w:t>
            </w:r>
            <w:r>
              <w:rPr>
                <w:rFonts w:ascii="Times New Roman" w:eastAsia="Times New Roman" w:hAnsi="Times New Roman" w:cs="Times New Roman"/>
                <w:sz w:val="24"/>
                <w:szCs w:val="24"/>
                <w:vertAlign w:val="superscript"/>
                <w:lang w:eastAsia="ru-RU"/>
              </w:rPr>
              <w:t>5</w:t>
            </w:r>
            <w:r w:rsidRPr="005B0FE3">
              <w:rPr>
                <w:rFonts w:ascii="Times New Roman" w:eastAsia="Times New Roman" w:hAnsi="Times New Roman" w:cs="Times New Roman"/>
                <w:sz w:val="24"/>
                <w:szCs w:val="24"/>
                <w:vertAlign w:val="superscript"/>
                <w:lang w:eastAsia="ru-RU"/>
              </w:rPr>
              <w:t>)</w:t>
            </w:r>
          </w:p>
        </w:tc>
        <w:tc>
          <w:tcPr>
            <w:tcW w:w="656" w:type="pct"/>
            <w:vAlign w:val="bottom"/>
          </w:tcPr>
          <w:p w14:paraId="00380B47" w14:textId="77777777" w:rsidR="00B7169A" w:rsidRPr="005B0FE3" w:rsidRDefault="00B7169A" w:rsidP="00B7169A">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616</w:t>
            </w:r>
            <w:r>
              <w:rPr>
                <w:rFonts w:ascii="Times New Roman" w:eastAsia="Times New Roman" w:hAnsi="Times New Roman" w:cs="Times New Roman"/>
                <w:sz w:val="24"/>
                <w:szCs w:val="24"/>
                <w:lang w:eastAsia="ru-RU"/>
              </w:rPr>
              <w:t xml:space="preserve"> </w:t>
            </w:r>
            <w:r w:rsidRPr="005B0FE3">
              <w:rPr>
                <w:rFonts w:ascii="Times New Roman" w:eastAsia="Times New Roman" w:hAnsi="Times New Roman" w:cs="Times New Roman"/>
                <w:sz w:val="24"/>
                <w:szCs w:val="24"/>
                <w:lang w:eastAsia="ru-RU"/>
              </w:rPr>
              <w:t>617</w:t>
            </w:r>
          </w:p>
        </w:tc>
        <w:tc>
          <w:tcPr>
            <w:tcW w:w="656" w:type="pct"/>
            <w:vAlign w:val="bottom"/>
          </w:tcPr>
          <w:p w14:paraId="01155E37" w14:textId="77777777" w:rsidR="00B7169A" w:rsidRPr="005B0FE3" w:rsidRDefault="00B7169A" w:rsidP="00B7169A">
            <w:pPr>
              <w:spacing w:after="0" w:line="240" w:lineRule="auto"/>
              <w:jc w:val="center"/>
              <w:rPr>
                <w:rFonts w:ascii="Times New Roman" w:hAnsi="Times New Roman"/>
                <w:sz w:val="24"/>
                <w:szCs w:val="24"/>
              </w:rPr>
            </w:pPr>
            <w:r w:rsidRPr="005B0FE3">
              <w:rPr>
                <w:rFonts w:ascii="Times New Roman" w:hAnsi="Times New Roman"/>
                <w:sz w:val="24"/>
                <w:szCs w:val="24"/>
              </w:rPr>
              <w:t>639 432</w:t>
            </w:r>
          </w:p>
        </w:tc>
        <w:tc>
          <w:tcPr>
            <w:tcW w:w="656" w:type="pct"/>
            <w:vAlign w:val="bottom"/>
          </w:tcPr>
          <w:p w14:paraId="2BCC1908" w14:textId="77777777" w:rsidR="00B7169A" w:rsidRPr="005B0FE3" w:rsidRDefault="00B7169A" w:rsidP="00B7169A">
            <w:pPr>
              <w:spacing w:before="24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693 144</w:t>
            </w:r>
          </w:p>
        </w:tc>
      </w:tr>
      <w:tr w:rsidR="00B7169A" w:rsidRPr="005B0FE3" w14:paraId="62733D16" w14:textId="77777777" w:rsidTr="00B7169A">
        <w:trPr>
          <w:cantSplit/>
          <w:jc w:val="center"/>
        </w:trPr>
        <w:tc>
          <w:tcPr>
            <w:tcW w:w="3032" w:type="pct"/>
            <w:tcMar>
              <w:left w:w="57" w:type="dxa"/>
            </w:tcMar>
            <w:vAlign w:val="center"/>
          </w:tcPr>
          <w:p w14:paraId="3D9D7122" w14:textId="77777777" w:rsidR="00B7169A" w:rsidRPr="005B0FE3" w:rsidRDefault="00B7169A" w:rsidP="00B7169A">
            <w:pPr>
              <w:spacing w:after="0" w:line="240" w:lineRule="auto"/>
              <w:ind w:left="57"/>
              <w:rPr>
                <w:rFonts w:ascii="Times New Roman" w:eastAsia="Times New Roman" w:hAnsi="Times New Roman" w:cs="Times New Roman"/>
                <w:sz w:val="24"/>
                <w:szCs w:val="24"/>
                <w:lang w:eastAsia="ru-RU"/>
              </w:rPr>
            </w:pPr>
            <w:r w:rsidRPr="005B0FE3">
              <w:rPr>
                <w:rFonts w:ascii="Times New Roman" w:eastAsia="Times New Roman" w:hAnsi="Times New Roman" w:cs="Times New Roman"/>
                <w:b/>
                <w:sz w:val="24"/>
                <w:szCs w:val="24"/>
                <w:lang w:eastAsia="ru-RU"/>
              </w:rPr>
              <w:t>Стипендии (в месяц)</w:t>
            </w:r>
          </w:p>
        </w:tc>
        <w:tc>
          <w:tcPr>
            <w:tcW w:w="656" w:type="pct"/>
            <w:vAlign w:val="bottom"/>
          </w:tcPr>
          <w:p w14:paraId="5C09F274" w14:textId="77777777" w:rsidR="00B7169A" w:rsidRPr="005B0FE3" w:rsidRDefault="00B7169A" w:rsidP="00B7169A">
            <w:pPr>
              <w:spacing w:before="240" w:after="0" w:line="240" w:lineRule="auto"/>
              <w:jc w:val="center"/>
              <w:rPr>
                <w:rFonts w:ascii="Times New Roman" w:eastAsia="Times New Roman" w:hAnsi="Times New Roman" w:cs="Times New Roman"/>
                <w:sz w:val="24"/>
                <w:szCs w:val="24"/>
                <w:lang w:eastAsia="ru-RU"/>
              </w:rPr>
            </w:pPr>
          </w:p>
        </w:tc>
        <w:tc>
          <w:tcPr>
            <w:tcW w:w="656" w:type="pct"/>
            <w:vAlign w:val="bottom"/>
          </w:tcPr>
          <w:p w14:paraId="04A72276" w14:textId="77777777" w:rsidR="00B7169A" w:rsidRPr="005B0FE3" w:rsidRDefault="00B7169A" w:rsidP="00B7169A">
            <w:pPr>
              <w:spacing w:after="0" w:line="240" w:lineRule="auto"/>
              <w:jc w:val="center"/>
              <w:rPr>
                <w:rFonts w:ascii="Times New Roman" w:hAnsi="Times New Roman"/>
                <w:sz w:val="24"/>
                <w:szCs w:val="24"/>
              </w:rPr>
            </w:pPr>
          </w:p>
        </w:tc>
        <w:tc>
          <w:tcPr>
            <w:tcW w:w="656" w:type="pct"/>
            <w:vAlign w:val="bottom"/>
          </w:tcPr>
          <w:p w14:paraId="1AE1C5F0" w14:textId="77777777" w:rsidR="00B7169A" w:rsidRPr="005B0FE3" w:rsidRDefault="00B7169A" w:rsidP="00B7169A">
            <w:pPr>
              <w:spacing w:before="240" w:after="0" w:line="240" w:lineRule="auto"/>
              <w:jc w:val="center"/>
              <w:rPr>
                <w:rFonts w:ascii="Times New Roman" w:eastAsia="Times New Roman" w:hAnsi="Times New Roman" w:cs="Times New Roman"/>
                <w:sz w:val="24"/>
                <w:szCs w:val="24"/>
                <w:lang w:eastAsia="ru-RU"/>
              </w:rPr>
            </w:pPr>
          </w:p>
        </w:tc>
      </w:tr>
      <w:tr w:rsidR="00B7169A" w:rsidRPr="005B0FE3" w14:paraId="38FE009C" w14:textId="77777777" w:rsidTr="00B7169A">
        <w:trPr>
          <w:cantSplit/>
          <w:jc w:val="center"/>
        </w:trPr>
        <w:tc>
          <w:tcPr>
            <w:tcW w:w="3032" w:type="pct"/>
            <w:tcMar>
              <w:left w:w="57" w:type="dxa"/>
            </w:tcMar>
            <w:vAlign w:val="center"/>
          </w:tcPr>
          <w:p w14:paraId="79FB57F8" w14:textId="77777777" w:rsidR="00B7169A" w:rsidRPr="005B0FE3" w:rsidRDefault="00B7169A" w:rsidP="00B7169A">
            <w:pPr>
              <w:spacing w:after="0" w:line="240" w:lineRule="auto"/>
              <w:ind w:left="57"/>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Размер государственных академических стипендий студентов, обучающихся по образовательным программам</w:t>
            </w:r>
            <w:r>
              <w:rPr>
                <w:rFonts w:ascii="Times New Roman" w:eastAsia="Times New Roman" w:hAnsi="Times New Roman" w:cs="Times New Roman"/>
                <w:sz w:val="24"/>
                <w:szCs w:val="24"/>
                <w:vertAlign w:val="superscript"/>
                <w:lang w:eastAsia="ru-RU"/>
              </w:rPr>
              <w:t>6</w:t>
            </w:r>
            <w:r w:rsidRPr="005B0FE3">
              <w:rPr>
                <w:rFonts w:ascii="Times New Roman" w:eastAsia="Times New Roman" w:hAnsi="Times New Roman" w:cs="Times New Roman"/>
                <w:sz w:val="24"/>
                <w:szCs w:val="24"/>
                <w:vertAlign w:val="superscript"/>
                <w:lang w:eastAsia="ru-RU"/>
              </w:rPr>
              <w:t>)</w:t>
            </w:r>
          </w:p>
        </w:tc>
        <w:tc>
          <w:tcPr>
            <w:tcW w:w="656" w:type="pct"/>
            <w:vAlign w:val="bottom"/>
          </w:tcPr>
          <w:p w14:paraId="3A6AC346" w14:textId="77777777" w:rsidR="00B7169A" w:rsidRPr="005B0FE3" w:rsidRDefault="00B7169A" w:rsidP="00B7169A">
            <w:pPr>
              <w:spacing w:before="240" w:after="0" w:line="240" w:lineRule="auto"/>
              <w:jc w:val="center"/>
              <w:rPr>
                <w:rFonts w:ascii="Times New Roman" w:eastAsia="Times New Roman" w:hAnsi="Times New Roman" w:cs="Times New Roman"/>
                <w:sz w:val="24"/>
                <w:szCs w:val="24"/>
                <w:lang w:eastAsia="ru-RU"/>
              </w:rPr>
            </w:pPr>
          </w:p>
        </w:tc>
        <w:tc>
          <w:tcPr>
            <w:tcW w:w="656" w:type="pct"/>
            <w:vAlign w:val="bottom"/>
          </w:tcPr>
          <w:p w14:paraId="2CD229C6" w14:textId="77777777" w:rsidR="00B7169A" w:rsidRPr="005B0FE3" w:rsidRDefault="00B7169A" w:rsidP="00B7169A">
            <w:pPr>
              <w:spacing w:after="0" w:line="240" w:lineRule="auto"/>
              <w:jc w:val="center"/>
              <w:rPr>
                <w:rFonts w:ascii="Times New Roman" w:hAnsi="Times New Roman"/>
                <w:sz w:val="24"/>
                <w:szCs w:val="24"/>
              </w:rPr>
            </w:pPr>
          </w:p>
        </w:tc>
        <w:tc>
          <w:tcPr>
            <w:tcW w:w="656" w:type="pct"/>
            <w:vAlign w:val="bottom"/>
          </w:tcPr>
          <w:p w14:paraId="15996680" w14:textId="77777777" w:rsidR="00B7169A" w:rsidRPr="005B0FE3" w:rsidRDefault="00B7169A" w:rsidP="00B7169A">
            <w:pPr>
              <w:spacing w:before="240" w:after="0" w:line="240" w:lineRule="auto"/>
              <w:jc w:val="center"/>
              <w:rPr>
                <w:rFonts w:ascii="Times New Roman" w:eastAsia="Times New Roman" w:hAnsi="Times New Roman" w:cs="Times New Roman"/>
                <w:sz w:val="24"/>
                <w:szCs w:val="24"/>
                <w:lang w:eastAsia="ru-RU"/>
              </w:rPr>
            </w:pPr>
          </w:p>
        </w:tc>
      </w:tr>
      <w:tr w:rsidR="00B7169A" w:rsidRPr="005B0FE3" w14:paraId="7B48BCAD" w14:textId="77777777" w:rsidTr="00B7169A">
        <w:trPr>
          <w:cantSplit/>
          <w:jc w:val="center"/>
        </w:trPr>
        <w:tc>
          <w:tcPr>
            <w:tcW w:w="3032" w:type="pct"/>
            <w:tcMar>
              <w:left w:w="57" w:type="dxa"/>
            </w:tcMar>
            <w:vAlign w:val="center"/>
          </w:tcPr>
          <w:p w14:paraId="036A3EC9" w14:textId="77777777" w:rsidR="00B7169A" w:rsidRPr="005B0FE3" w:rsidRDefault="00B7169A" w:rsidP="00B7169A">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высшего образования</w:t>
            </w:r>
          </w:p>
        </w:tc>
        <w:tc>
          <w:tcPr>
            <w:tcW w:w="656" w:type="pct"/>
            <w:vAlign w:val="bottom"/>
          </w:tcPr>
          <w:p w14:paraId="1DF75DE4" w14:textId="77777777" w:rsidR="00B7169A" w:rsidRPr="005B0FE3" w:rsidRDefault="00B7169A" w:rsidP="00B7169A">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5B0FE3">
              <w:rPr>
                <w:rFonts w:ascii="Times New Roman" w:eastAsia="Times New Roman" w:hAnsi="Times New Roman" w:cs="Times New Roman"/>
                <w:sz w:val="24"/>
                <w:szCs w:val="24"/>
                <w:lang w:eastAsia="ru-RU"/>
              </w:rPr>
              <w:t>484</w:t>
            </w:r>
          </w:p>
        </w:tc>
        <w:tc>
          <w:tcPr>
            <w:tcW w:w="656" w:type="pct"/>
            <w:vAlign w:val="bottom"/>
          </w:tcPr>
          <w:p w14:paraId="35D9C87F" w14:textId="77777777" w:rsidR="00B7169A" w:rsidRPr="005B0FE3" w:rsidRDefault="00B7169A" w:rsidP="00B7169A">
            <w:pPr>
              <w:spacing w:after="0" w:line="240" w:lineRule="auto"/>
              <w:jc w:val="center"/>
              <w:rPr>
                <w:rFonts w:ascii="Times New Roman" w:hAnsi="Times New Roman"/>
                <w:sz w:val="24"/>
                <w:szCs w:val="24"/>
              </w:rPr>
            </w:pPr>
            <w:r w:rsidRPr="005B0FE3">
              <w:rPr>
                <w:rFonts w:ascii="Times New Roman" w:hAnsi="Times New Roman"/>
                <w:sz w:val="24"/>
                <w:szCs w:val="24"/>
              </w:rPr>
              <w:t>1 484</w:t>
            </w:r>
          </w:p>
        </w:tc>
        <w:tc>
          <w:tcPr>
            <w:tcW w:w="656" w:type="pct"/>
            <w:vAlign w:val="bottom"/>
          </w:tcPr>
          <w:p w14:paraId="7EED93B7" w14:textId="77777777" w:rsidR="00B7169A" w:rsidRPr="005B0FE3" w:rsidRDefault="00B7169A" w:rsidP="00B7169A">
            <w:pPr>
              <w:spacing w:before="24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1 484</w:t>
            </w:r>
          </w:p>
        </w:tc>
      </w:tr>
      <w:tr w:rsidR="00B7169A" w:rsidRPr="00BD5A90" w14:paraId="7BD89CF1" w14:textId="77777777" w:rsidTr="00B7169A">
        <w:trPr>
          <w:cantSplit/>
          <w:jc w:val="center"/>
        </w:trPr>
        <w:tc>
          <w:tcPr>
            <w:tcW w:w="3032" w:type="pct"/>
            <w:tcMar>
              <w:left w:w="57" w:type="dxa"/>
            </w:tcMar>
            <w:vAlign w:val="center"/>
          </w:tcPr>
          <w:p w14:paraId="307B39F3" w14:textId="77777777" w:rsidR="00B7169A" w:rsidRPr="005B0FE3" w:rsidRDefault="00B7169A" w:rsidP="00B7169A">
            <w:pPr>
              <w:spacing w:after="0" w:line="240" w:lineRule="auto"/>
              <w:ind w:left="170"/>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среднего профессионального образования</w:t>
            </w:r>
          </w:p>
        </w:tc>
        <w:tc>
          <w:tcPr>
            <w:tcW w:w="656" w:type="pct"/>
            <w:vAlign w:val="bottom"/>
          </w:tcPr>
          <w:p w14:paraId="026AF7EC" w14:textId="77777777" w:rsidR="00B7169A" w:rsidRPr="005B0FE3" w:rsidRDefault="00B7169A" w:rsidP="00B7169A">
            <w:pPr>
              <w:spacing w:before="240" w:after="0" w:line="240" w:lineRule="auto"/>
              <w:jc w:val="center"/>
              <w:rPr>
                <w:rFonts w:ascii="Times New Roman" w:eastAsia="Times New Roman" w:hAnsi="Times New Roman" w:cs="Times New Roman"/>
                <w:sz w:val="24"/>
                <w:szCs w:val="24"/>
                <w:lang w:eastAsia="ru-RU"/>
              </w:rPr>
            </w:pPr>
            <w:r w:rsidRPr="005B0FE3">
              <w:rPr>
                <w:rFonts w:ascii="Times New Roman" w:eastAsia="Times New Roman" w:hAnsi="Times New Roman" w:cs="Times New Roman"/>
                <w:sz w:val="24"/>
                <w:szCs w:val="24"/>
                <w:lang w:eastAsia="ru-RU"/>
              </w:rPr>
              <w:t>539</w:t>
            </w:r>
          </w:p>
        </w:tc>
        <w:tc>
          <w:tcPr>
            <w:tcW w:w="656" w:type="pct"/>
            <w:vAlign w:val="bottom"/>
          </w:tcPr>
          <w:p w14:paraId="5CB5C7A3" w14:textId="77777777" w:rsidR="00B7169A" w:rsidRPr="002C5CBC" w:rsidRDefault="00B7169A" w:rsidP="00B7169A">
            <w:pPr>
              <w:spacing w:after="0" w:line="240" w:lineRule="auto"/>
              <w:jc w:val="center"/>
              <w:rPr>
                <w:rFonts w:ascii="Times New Roman" w:hAnsi="Times New Roman"/>
                <w:sz w:val="24"/>
                <w:szCs w:val="24"/>
              </w:rPr>
            </w:pPr>
            <w:r w:rsidRPr="005B0FE3">
              <w:rPr>
                <w:rFonts w:ascii="Times New Roman" w:hAnsi="Times New Roman"/>
                <w:sz w:val="24"/>
                <w:szCs w:val="24"/>
              </w:rPr>
              <w:t>539</w:t>
            </w:r>
          </w:p>
        </w:tc>
        <w:tc>
          <w:tcPr>
            <w:tcW w:w="656" w:type="pct"/>
            <w:vAlign w:val="bottom"/>
          </w:tcPr>
          <w:p w14:paraId="44B8AD2E" w14:textId="77777777" w:rsidR="00B7169A" w:rsidRPr="005B0FE3" w:rsidRDefault="00B7169A" w:rsidP="00B7169A">
            <w:pPr>
              <w:spacing w:before="24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539</w:t>
            </w:r>
          </w:p>
        </w:tc>
      </w:tr>
    </w:tbl>
    <w:p w14:paraId="4009C495" w14:textId="77777777" w:rsidR="00D03A4F" w:rsidRPr="005B0FE3" w:rsidRDefault="00D03A4F" w:rsidP="00D03A4F">
      <w:pPr>
        <w:spacing w:after="0" w:line="240" w:lineRule="auto"/>
        <w:ind w:right="284"/>
        <w:jc w:val="both"/>
        <w:rPr>
          <w:rFonts w:ascii="Times New Roman" w:eastAsia="Times New Roman" w:hAnsi="Times New Roman" w:cs="Times New Roman"/>
          <w:sz w:val="24"/>
          <w:szCs w:val="24"/>
          <w:vertAlign w:val="superscript"/>
          <w:lang w:eastAsia="ru-RU"/>
        </w:rPr>
      </w:pPr>
    </w:p>
    <w:p w14:paraId="51C76BDC" w14:textId="77777777" w:rsidR="00D03A4F" w:rsidRPr="00B7169A" w:rsidRDefault="00D03A4F" w:rsidP="00D03A4F">
      <w:pPr>
        <w:spacing w:after="0" w:line="240" w:lineRule="auto"/>
        <w:ind w:right="284" w:firstLine="284"/>
        <w:jc w:val="both"/>
        <w:rPr>
          <w:rFonts w:ascii="Times New Roman" w:eastAsia="Times New Roman" w:hAnsi="Times New Roman" w:cs="Times New Roman"/>
          <w:lang w:eastAsia="ru-RU"/>
        </w:rPr>
      </w:pPr>
      <w:r w:rsidRPr="00B7169A">
        <w:rPr>
          <w:rFonts w:ascii="Times New Roman" w:eastAsia="Times New Roman" w:hAnsi="Times New Roman" w:cs="Times New Roman"/>
          <w:lang w:eastAsia="ru-RU"/>
        </w:rPr>
        <w:t>1) По состоянию на 1 февраля отчетного года.</w:t>
      </w:r>
    </w:p>
    <w:p w14:paraId="6A81A7B1" w14:textId="77777777" w:rsidR="00B7169A" w:rsidRPr="00B7169A" w:rsidRDefault="00B7169A" w:rsidP="00B7169A">
      <w:pPr>
        <w:spacing w:after="0" w:line="240" w:lineRule="auto"/>
        <w:ind w:right="141"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w:t>
      </w:r>
      <w:r w:rsidRPr="00B7169A">
        <w:rPr>
          <w:rFonts w:ascii="Times New Roman" w:eastAsia="Times New Roman" w:hAnsi="Times New Roman" w:cs="Times New Roman"/>
          <w:lang w:eastAsia="ru-RU"/>
        </w:rPr>
        <w:t>С 1 июля 2021 г. – ежемесячное пособие женщин</w:t>
      </w:r>
      <w:r w:rsidR="003D1BBF">
        <w:rPr>
          <w:rFonts w:ascii="Times New Roman" w:eastAsia="Times New Roman" w:hAnsi="Times New Roman" w:cs="Times New Roman"/>
          <w:lang w:eastAsia="ru-RU"/>
        </w:rPr>
        <w:t>е</w:t>
      </w:r>
      <w:r w:rsidRPr="00B7169A">
        <w:rPr>
          <w:rFonts w:ascii="Times New Roman" w:eastAsia="Times New Roman" w:hAnsi="Times New Roman" w:cs="Times New Roman"/>
          <w:lang w:eastAsia="ru-RU"/>
        </w:rPr>
        <w:t>, вставш</w:t>
      </w:r>
      <w:r w:rsidR="003D1BBF">
        <w:rPr>
          <w:rFonts w:ascii="Times New Roman" w:eastAsia="Times New Roman" w:hAnsi="Times New Roman" w:cs="Times New Roman"/>
          <w:lang w:eastAsia="ru-RU"/>
        </w:rPr>
        <w:t>ей</w:t>
      </w:r>
      <w:r w:rsidRPr="00B7169A">
        <w:rPr>
          <w:rFonts w:ascii="Times New Roman" w:eastAsia="Times New Roman" w:hAnsi="Times New Roman" w:cs="Times New Roman"/>
          <w:lang w:eastAsia="ru-RU"/>
        </w:rPr>
        <w:t xml:space="preserve"> на учет в медицинской </w:t>
      </w:r>
      <w:r>
        <w:rPr>
          <w:rFonts w:ascii="Times New Roman" w:eastAsia="Times New Roman" w:hAnsi="Times New Roman" w:cs="Times New Roman"/>
          <w:lang w:eastAsia="ru-RU"/>
        </w:rPr>
        <w:t xml:space="preserve">организации в </w:t>
      </w:r>
      <w:r w:rsidRPr="00B7169A">
        <w:rPr>
          <w:rFonts w:ascii="Times New Roman" w:eastAsia="Times New Roman" w:hAnsi="Times New Roman" w:cs="Times New Roman"/>
          <w:lang w:eastAsia="ru-RU"/>
        </w:rPr>
        <w:t>ранние сроки беременности (до 12 недель), при это</w:t>
      </w:r>
      <w:r>
        <w:rPr>
          <w:rFonts w:ascii="Times New Roman" w:eastAsia="Times New Roman" w:hAnsi="Times New Roman" w:cs="Times New Roman"/>
          <w:lang w:eastAsia="ru-RU"/>
        </w:rPr>
        <w:t xml:space="preserve">м размер среднедушевого дохода </w:t>
      </w:r>
      <w:r w:rsidRPr="00B7169A">
        <w:rPr>
          <w:rFonts w:ascii="Times New Roman" w:eastAsia="Times New Roman" w:hAnsi="Times New Roman" w:cs="Times New Roman"/>
          <w:lang w:eastAsia="ru-RU"/>
        </w:rPr>
        <w:t>их семей не должен превышать величину прожиточного минимума на душу населения</w:t>
      </w:r>
      <w:r>
        <w:rPr>
          <w:rFonts w:ascii="Times New Roman" w:eastAsia="Times New Roman" w:hAnsi="Times New Roman" w:cs="Times New Roman"/>
          <w:lang w:eastAsia="ru-RU"/>
        </w:rPr>
        <w:t xml:space="preserve"> </w:t>
      </w:r>
      <w:r w:rsidRPr="00B7169A">
        <w:rPr>
          <w:rFonts w:ascii="Times New Roman" w:eastAsia="Times New Roman" w:hAnsi="Times New Roman" w:cs="Times New Roman"/>
          <w:lang w:eastAsia="ru-RU"/>
        </w:rPr>
        <w:t>в субъекте Российской Федерации в соответствии с Федера</w:t>
      </w:r>
      <w:r>
        <w:rPr>
          <w:rFonts w:ascii="Times New Roman" w:eastAsia="Times New Roman" w:hAnsi="Times New Roman" w:cs="Times New Roman"/>
          <w:lang w:eastAsia="ru-RU"/>
        </w:rPr>
        <w:t xml:space="preserve">льным законом от 26 мая 2021 г. </w:t>
      </w:r>
      <w:r w:rsidRPr="00B7169A">
        <w:rPr>
          <w:rFonts w:ascii="Times New Roman" w:eastAsia="Times New Roman" w:hAnsi="Times New Roman" w:cs="Times New Roman"/>
          <w:lang w:eastAsia="ru-RU"/>
        </w:rPr>
        <w:t xml:space="preserve">№ 151-ФЗ </w:t>
      </w:r>
      <w:r>
        <w:rPr>
          <w:rFonts w:ascii="Times New Roman" w:eastAsia="Times New Roman" w:hAnsi="Times New Roman" w:cs="Times New Roman"/>
          <w:lang w:eastAsia="ru-RU"/>
        </w:rPr>
        <w:t>«</w:t>
      </w:r>
      <w:r w:rsidRPr="00B7169A">
        <w:rPr>
          <w:rFonts w:ascii="Times New Roman" w:eastAsia="Times New Roman" w:hAnsi="Times New Roman" w:cs="Times New Roman"/>
          <w:lang w:eastAsia="ru-RU"/>
        </w:rPr>
        <w:t>О внесении изменений в отдельные законодательные акты Российской Федерации</w:t>
      </w:r>
      <w:r>
        <w:rPr>
          <w:rFonts w:ascii="Times New Roman" w:eastAsia="Times New Roman" w:hAnsi="Times New Roman" w:cs="Times New Roman"/>
          <w:lang w:eastAsia="ru-RU"/>
        </w:rPr>
        <w:t>»</w:t>
      </w:r>
      <w:r w:rsidRPr="00B7169A">
        <w:rPr>
          <w:rFonts w:ascii="Times New Roman" w:eastAsia="Times New Roman" w:hAnsi="Times New Roman" w:cs="Times New Roman"/>
          <w:lang w:eastAsia="ru-RU"/>
        </w:rPr>
        <w:t>.</w:t>
      </w:r>
    </w:p>
    <w:p w14:paraId="0B0B2A2A" w14:textId="77777777" w:rsidR="00D03A4F" w:rsidRPr="00B7169A" w:rsidRDefault="00B7169A" w:rsidP="00D03A4F">
      <w:pPr>
        <w:spacing w:after="0" w:line="240" w:lineRule="auto"/>
        <w:ind w:right="284"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D03A4F" w:rsidRPr="00B7169A">
        <w:rPr>
          <w:rFonts w:ascii="Times New Roman" w:eastAsia="Times New Roman" w:hAnsi="Times New Roman" w:cs="Times New Roman"/>
          <w:lang w:eastAsia="ru-RU"/>
        </w:rPr>
        <w:t>) Право на получение сертификата имеют женщины, родившие (усыновившие) первого ребенка</w:t>
      </w:r>
      <w:r w:rsidR="00FD3995" w:rsidRPr="00B7169A">
        <w:rPr>
          <w:rFonts w:ascii="Times New Roman" w:eastAsia="Times New Roman" w:hAnsi="Times New Roman" w:cs="Times New Roman"/>
          <w:lang w:eastAsia="ru-RU"/>
        </w:rPr>
        <w:t xml:space="preserve"> начиная с 1 января 2020 г.</w:t>
      </w:r>
      <w:r w:rsidR="00D03A4F" w:rsidRPr="00B7169A">
        <w:rPr>
          <w:rFonts w:ascii="Times New Roman" w:eastAsia="Times New Roman" w:hAnsi="Times New Roman" w:cs="Times New Roman"/>
          <w:lang w:eastAsia="ru-RU"/>
        </w:rPr>
        <w:t>, женщины, родившие (усыновившие) второго ребенка или последующих детей начиная с 1 января 2007 г.</w:t>
      </w:r>
    </w:p>
    <w:p w14:paraId="465D4036" w14:textId="77777777" w:rsidR="00D03A4F" w:rsidRPr="00B7169A" w:rsidRDefault="00B7169A" w:rsidP="00D03A4F">
      <w:pPr>
        <w:spacing w:after="0" w:line="240" w:lineRule="auto"/>
        <w:ind w:right="284"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D03A4F" w:rsidRPr="00B7169A">
        <w:rPr>
          <w:rFonts w:ascii="Times New Roman" w:eastAsia="Times New Roman" w:hAnsi="Times New Roman" w:cs="Times New Roman"/>
          <w:lang w:eastAsia="ru-RU"/>
        </w:rPr>
        <w:t>) В случае рождения (усыновления) второго ребенка начиная с 1 января 202</w:t>
      </w:r>
      <w:r w:rsidR="0016512F" w:rsidRPr="00B7169A">
        <w:rPr>
          <w:rFonts w:ascii="Times New Roman" w:eastAsia="Times New Roman" w:hAnsi="Times New Roman" w:cs="Times New Roman"/>
          <w:lang w:eastAsia="ru-RU"/>
        </w:rPr>
        <w:t>1</w:t>
      </w:r>
      <w:r w:rsidR="00D03A4F" w:rsidRPr="00B7169A">
        <w:rPr>
          <w:rFonts w:ascii="Times New Roman" w:eastAsia="Times New Roman" w:hAnsi="Times New Roman" w:cs="Times New Roman"/>
          <w:lang w:eastAsia="ru-RU"/>
        </w:rPr>
        <w:t xml:space="preserve"> г. при условии, что первый ребенок был рожден и усыновлен также с 1 января 2020 г., размер </w:t>
      </w:r>
      <w:r w:rsidR="00FD3995" w:rsidRPr="00B7169A">
        <w:rPr>
          <w:rFonts w:ascii="Times New Roman" w:eastAsia="Times New Roman" w:hAnsi="Times New Roman" w:cs="Times New Roman"/>
          <w:lang w:eastAsia="ru-RU"/>
        </w:rPr>
        <w:t xml:space="preserve">в 2021 году </w:t>
      </w:r>
      <w:r w:rsidR="00D03A4F" w:rsidRPr="00B7169A">
        <w:rPr>
          <w:rFonts w:ascii="Times New Roman" w:eastAsia="Times New Roman" w:hAnsi="Times New Roman" w:cs="Times New Roman"/>
          <w:lang w:eastAsia="ru-RU"/>
        </w:rPr>
        <w:t>увеличивается на 15</w:t>
      </w:r>
      <w:r w:rsidR="00FD3995" w:rsidRPr="00B7169A">
        <w:rPr>
          <w:rFonts w:ascii="Times New Roman" w:eastAsia="Times New Roman" w:hAnsi="Times New Roman" w:cs="Times New Roman"/>
          <w:lang w:eastAsia="ru-RU"/>
        </w:rPr>
        <w:t>5</w:t>
      </w:r>
      <w:r w:rsidR="00D03A4F" w:rsidRPr="00B7169A">
        <w:rPr>
          <w:rFonts w:ascii="Times New Roman" w:eastAsia="Times New Roman" w:hAnsi="Times New Roman" w:cs="Times New Roman"/>
          <w:lang w:eastAsia="ru-RU"/>
        </w:rPr>
        <w:t xml:space="preserve"> тыс. рублей и составляет в общей сумме 6</w:t>
      </w:r>
      <w:r w:rsidR="005B0FE3" w:rsidRPr="00B7169A">
        <w:rPr>
          <w:rFonts w:ascii="Times New Roman" w:eastAsia="Times New Roman" w:hAnsi="Times New Roman" w:cs="Times New Roman"/>
          <w:lang w:eastAsia="ru-RU"/>
        </w:rPr>
        <w:t>39 432</w:t>
      </w:r>
      <w:r w:rsidR="00D03A4F" w:rsidRPr="00B7169A">
        <w:rPr>
          <w:rFonts w:ascii="Times New Roman" w:eastAsia="Times New Roman" w:hAnsi="Times New Roman" w:cs="Times New Roman"/>
          <w:lang w:eastAsia="ru-RU"/>
        </w:rPr>
        <w:t>. В случае рождения (усыновления) второго ребенка при условии, что первый ребенок был рожден до 1 января 2020 г.</w:t>
      </w:r>
    </w:p>
    <w:p w14:paraId="02751EE1" w14:textId="77777777" w:rsidR="00D03A4F" w:rsidRPr="00B7169A" w:rsidRDefault="00B7169A" w:rsidP="00D03A4F">
      <w:pPr>
        <w:spacing w:after="0" w:line="240" w:lineRule="auto"/>
        <w:ind w:right="284"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D03A4F" w:rsidRPr="00B7169A">
        <w:rPr>
          <w:rFonts w:ascii="Times New Roman" w:eastAsia="Times New Roman" w:hAnsi="Times New Roman" w:cs="Times New Roman"/>
          <w:lang w:eastAsia="ru-RU"/>
        </w:rPr>
        <w:t>) При условии, что ранее право на дополнительные меры государственной поддержки не возникло.</w:t>
      </w:r>
    </w:p>
    <w:p w14:paraId="622E473F" w14:textId="77777777" w:rsidR="00D03A4F" w:rsidRPr="00B7169A" w:rsidRDefault="00B7169A" w:rsidP="00D03A4F">
      <w:pPr>
        <w:spacing w:after="0" w:line="240" w:lineRule="auto"/>
        <w:ind w:right="284"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D03A4F" w:rsidRPr="00B7169A">
        <w:rPr>
          <w:rFonts w:ascii="Times New Roman" w:eastAsia="Times New Roman" w:hAnsi="Times New Roman" w:cs="Times New Roman"/>
          <w:lang w:eastAsia="ru-RU"/>
        </w:rPr>
        <w:t xml:space="preserve">) Данные приведены </w:t>
      </w:r>
      <w:r w:rsidR="00D03A4F" w:rsidRPr="00B7169A">
        <w:rPr>
          <w:rFonts w:ascii="Times New Roman" w:eastAsia="Times New Roman" w:hAnsi="Times New Roman" w:cs="Times New Roman"/>
          <w:iCs/>
          <w:lang w:eastAsia="ru-RU"/>
        </w:rPr>
        <w:t xml:space="preserve">в соответствии с </w:t>
      </w:r>
      <w:r w:rsidR="00D03A4F" w:rsidRPr="00B7169A">
        <w:rPr>
          <w:rFonts w:ascii="Times New Roman" w:eastAsia="Times New Roman" w:hAnsi="Times New Roman" w:cs="Times New Roman"/>
          <w:lang w:eastAsia="ru-RU"/>
        </w:rPr>
        <w:t xml:space="preserve">Постановлением Правительства Российской Федерации от 17декабря 2016 г. № 1390 </w:t>
      </w:r>
      <w:r w:rsidR="00D03A4F" w:rsidRPr="00B7169A">
        <w:rPr>
          <w:rFonts w:ascii="Times New Roman" w:eastAsia="Times New Roman" w:hAnsi="Times New Roman" w:cs="Times New Roman"/>
          <w:iCs/>
          <w:lang w:eastAsia="ru-RU"/>
        </w:rPr>
        <w:t>«</w:t>
      </w:r>
      <w:r w:rsidR="00D03A4F" w:rsidRPr="00B7169A">
        <w:rPr>
          <w:rFonts w:ascii="Times New Roman" w:eastAsia="Times New Roman" w:hAnsi="Times New Roman" w:cs="Times New Roman"/>
          <w:lang w:eastAsia="ru-RU"/>
        </w:rPr>
        <w:t>О формировании стипендиального фонда</w:t>
      </w:r>
      <w:r w:rsidR="00D03A4F" w:rsidRPr="00B7169A">
        <w:rPr>
          <w:rFonts w:ascii="Times New Roman" w:eastAsia="Times New Roman" w:hAnsi="Times New Roman" w:cs="Times New Roman"/>
          <w:iCs/>
          <w:lang w:eastAsia="ru-RU"/>
        </w:rPr>
        <w:t>»</w:t>
      </w:r>
      <w:r w:rsidR="00D03A4F" w:rsidRPr="00B7169A">
        <w:rPr>
          <w:rFonts w:ascii="Times New Roman" w:eastAsia="Times New Roman" w:hAnsi="Times New Roman" w:cs="Times New Roman"/>
          <w:lang w:eastAsia="ru-RU"/>
        </w:rPr>
        <w:t>.</w:t>
      </w:r>
    </w:p>
    <w:p w14:paraId="24702DDB" w14:textId="77777777" w:rsidR="00D03A4F" w:rsidRPr="00BD5A90" w:rsidRDefault="00D03A4F" w:rsidP="00D03A4F">
      <w:pPr>
        <w:spacing w:after="0" w:line="240" w:lineRule="auto"/>
        <w:rPr>
          <w:rFonts w:ascii="Times New Roman" w:eastAsia="Times New Roman" w:hAnsi="Times New Roman" w:cs="Times New Roman"/>
          <w:sz w:val="26"/>
          <w:szCs w:val="26"/>
          <w:highlight w:val="yellow"/>
          <w:lang w:eastAsia="ru-RU"/>
        </w:rPr>
      </w:pPr>
    </w:p>
    <w:p w14:paraId="7E9BFF99" w14:textId="77777777" w:rsidR="00D03A4F" w:rsidRDefault="00D03A4F" w:rsidP="00D03A4F">
      <w:pPr>
        <w:spacing w:after="0" w:line="240" w:lineRule="auto"/>
        <w:rPr>
          <w:rFonts w:ascii="Times New Roman" w:eastAsia="Times New Roman" w:hAnsi="Times New Roman" w:cs="Times New Roman"/>
          <w:sz w:val="26"/>
          <w:szCs w:val="26"/>
          <w:highlight w:val="yellow"/>
          <w:lang w:eastAsia="ru-RU"/>
        </w:rPr>
      </w:pPr>
    </w:p>
    <w:p w14:paraId="41A99701" w14:textId="77777777" w:rsidR="00DB764F" w:rsidRPr="00BD5A90" w:rsidRDefault="00DB764F" w:rsidP="00D03A4F">
      <w:pPr>
        <w:spacing w:after="0" w:line="240" w:lineRule="auto"/>
        <w:rPr>
          <w:rFonts w:ascii="Times New Roman" w:eastAsia="Times New Roman" w:hAnsi="Times New Roman" w:cs="Times New Roman"/>
          <w:sz w:val="26"/>
          <w:szCs w:val="26"/>
          <w:highlight w:val="yellow"/>
          <w:lang w:eastAsia="ru-RU"/>
        </w:rPr>
      </w:pPr>
    </w:p>
    <w:p w14:paraId="2212D61C" w14:textId="77777777" w:rsidR="00D03A4F" w:rsidRPr="003E012B" w:rsidRDefault="00D03A4F" w:rsidP="00D03A4F">
      <w:pPr>
        <w:spacing w:after="0" w:line="240" w:lineRule="auto"/>
        <w:jc w:val="right"/>
        <w:rPr>
          <w:rFonts w:ascii="Times New Roman" w:eastAsia="Times New Roman" w:hAnsi="Times New Roman" w:cs="Times New Roman"/>
          <w:sz w:val="26"/>
          <w:szCs w:val="26"/>
          <w:lang w:eastAsia="ru-RU"/>
        </w:rPr>
      </w:pPr>
      <w:r w:rsidRPr="003E012B">
        <w:rPr>
          <w:rFonts w:ascii="Times New Roman" w:eastAsia="Times New Roman" w:hAnsi="Times New Roman" w:cs="Times New Roman"/>
          <w:sz w:val="26"/>
          <w:szCs w:val="26"/>
          <w:lang w:eastAsia="ru-RU"/>
        </w:rPr>
        <w:t xml:space="preserve">Таблица </w:t>
      </w:r>
      <w:r w:rsidR="00BF045B">
        <w:rPr>
          <w:rFonts w:ascii="Times New Roman" w:eastAsia="Times New Roman" w:hAnsi="Times New Roman" w:cs="Times New Roman"/>
          <w:sz w:val="26"/>
          <w:szCs w:val="26"/>
          <w:lang w:eastAsia="ru-RU"/>
        </w:rPr>
        <w:t>5</w:t>
      </w:r>
      <w:r w:rsidR="008737BB">
        <w:rPr>
          <w:rFonts w:ascii="Times New Roman" w:eastAsia="Times New Roman" w:hAnsi="Times New Roman" w:cs="Times New Roman"/>
          <w:sz w:val="26"/>
          <w:szCs w:val="26"/>
          <w:lang w:eastAsia="ru-RU"/>
        </w:rPr>
        <w:t>8</w:t>
      </w:r>
    </w:p>
    <w:p w14:paraId="47ACB45B" w14:textId="77777777" w:rsidR="00D03A4F" w:rsidRPr="003E012B" w:rsidRDefault="00D03A4F" w:rsidP="00D03A4F">
      <w:pPr>
        <w:spacing w:after="0" w:line="240" w:lineRule="auto"/>
        <w:jc w:val="right"/>
        <w:rPr>
          <w:rFonts w:ascii="Times New Roman" w:eastAsia="Times New Roman" w:hAnsi="Times New Roman" w:cs="Times New Roman"/>
          <w:sz w:val="26"/>
          <w:szCs w:val="26"/>
          <w:lang w:eastAsia="ru-RU"/>
        </w:rPr>
      </w:pPr>
    </w:p>
    <w:p w14:paraId="478FEC23" w14:textId="77777777" w:rsidR="00D03A4F" w:rsidRPr="003E012B" w:rsidRDefault="00D03A4F" w:rsidP="00D03A4F">
      <w:pPr>
        <w:spacing w:after="0" w:line="240" w:lineRule="auto"/>
        <w:ind w:left="567" w:right="141"/>
        <w:jc w:val="center"/>
        <w:rPr>
          <w:rFonts w:ascii="Times New Roman" w:eastAsia="Times New Roman" w:hAnsi="Times New Roman" w:cs="Times New Roman"/>
          <w:b/>
          <w:bCs/>
          <w:sz w:val="26"/>
          <w:szCs w:val="26"/>
          <w:vertAlign w:val="superscript"/>
          <w:lang w:eastAsia="ru-RU"/>
        </w:rPr>
      </w:pPr>
      <w:r w:rsidRPr="003E012B">
        <w:rPr>
          <w:rFonts w:ascii="Times New Roman" w:eastAsia="Times New Roman" w:hAnsi="Times New Roman" w:cs="Times New Roman"/>
          <w:b/>
          <w:bCs/>
          <w:sz w:val="26"/>
          <w:szCs w:val="26"/>
          <w:lang w:eastAsia="ru-RU"/>
        </w:rPr>
        <w:t>Размеры основных социальных гарантий, установленных законодательством Российской Федерации, в соотношении с величиной прожиточного минимума</w:t>
      </w:r>
      <w:r w:rsidRPr="003E012B">
        <w:rPr>
          <w:rFonts w:ascii="Times New Roman" w:eastAsia="Times New Roman" w:hAnsi="Times New Roman" w:cs="Times New Roman"/>
          <w:b/>
          <w:bCs/>
          <w:sz w:val="26"/>
          <w:szCs w:val="26"/>
          <w:vertAlign w:val="superscript"/>
          <w:lang w:eastAsia="ru-RU"/>
        </w:rPr>
        <w:t>1)</w:t>
      </w:r>
    </w:p>
    <w:p w14:paraId="7762D5D3" w14:textId="77777777" w:rsidR="00D03A4F" w:rsidRPr="003E012B" w:rsidRDefault="00D03A4F" w:rsidP="00D03A4F">
      <w:pPr>
        <w:spacing w:after="0" w:line="240" w:lineRule="auto"/>
        <w:ind w:firstLine="56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(на 1 января; в процентах)</w:t>
      </w:r>
    </w:p>
    <w:p w14:paraId="25B1FB10" w14:textId="77777777" w:rsidR="00D03A4F" w:rsidRPr="003E012B"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67"/>
        <w:gridCol w:w="1276"/>
        <w:gridCol w:w="1276"/>
        <w:gridCol w:w="1276"/>
      </w:tblGrid>
      <w:tr w:rsidR="00B7169A" w:rsidRPr="003E012B" w14:paraId="69F7A3FA" w14:textId="77777777" w:rsidTr="0081656D">
        <w:trPr>
          <w:cantSplit/>
          <w:tblHeader/>
          <w:jc w:val="center"/>
        </w:trPr>
        <w:tc>
          <w:tcPr>
            <w:tcW w:w="3121" w:type="pct"/>
            <w:tcMar>
              <w:left w:w="57" w:type="dxa"/>
            </w:tcMar>
            <w:vAlign w:val="center"/>
          </w:tcPr>
          <w:p w14:paraId="37F94E95" w14:textId="77777777" w:rsidR="00B7169A" w:rsidRPr="003E012B" w:rsidRDefault="00B7169A" w:rsidP="00B7169A">
            <w:pPr>
              <w:spacing w:after="0" w:line="240" w:lineRule="auto"/>
              <w:ind w:left="57"/>
              <w:rPr>
                <w:rFonts w:ascii="Times New Roman" w:eastAsia="Times New Roman" w:hAnsi="Times New Roman" w:cs="Times New Roman"/>
                <w:bCs/>
                <w:i/>
                <w:sz w:val="24"/>
                <w:szCs w:val="24"/>
                <w:lang w:eastAsia="ru-RU"/>
              </w:rPr>
            </w:pPr>
          </w:p>
        </w:tc>
        <w:tc>
          <w:tcPr>
            <w:tcW w:w="626" w:type="pct"/>
            <w:vAlign w:val="center"/>
          </w:tcPr>
          <w:p w14:paraId="724885B0" w14:textId="77777777" w:rsidR="00B7169A" w:rsidRPr="003E012B" w:rsidRDefault="00B7169A" w:rsidP="00B7169A">
            <w:pPr>
              <w:spacing w:after="0" w:line="240" w:lineRule="auto"/>
              <w:ind w:left="57"/>
              <w:jc w:val="center"/>
              <w:rPr>
                <w:rFonts w:ascii="Times New Roman" w:eastAsia="Times New Roman" w:hAnsi="Times New Roman" w:cs="Times New Roman"/>
                <w:bCs/>
                <w:sz w:val="24"/>
                <w:szCs w:val="24"/>
                <w:lang w:eastAsia="ru-RU"/>
              </w:rPr>
            </w:pPr>
            <w:r w:rsidRPr="003E012B">
              <w:rPr>
                <w:rFonts w:ascii="Times New Roman" w:eastAsia="Times New Roman" w:hAnsi="Times New Roman" w:cs="Times New Roman"/>
                <w:bCs/>
                <w:sz w:val="24"/>
                <w:szCs w:val="24"/>
                <w:lang w:eastAsia="ru-RU"/>
              </w:rPr>
              <w:t>2020 г.</w:t>
            </w:r>
          </w:p>
        </w:tc>
        <w:tc>
          <w:tcPr>
            <w:tcW w:w="626" w:type="pct"/>
            <w:vAlign w:val="center"/>
          </w:tcPr>
          <w:p w14:paraId="633DAFCA" w14:textId="77777777" w:rsidR="00B7169A" w:rsidRPr="003E012B" w:rsidRDefault="00B7169A" w:rsidP="00B7169A">
            <w:pPr>
              <w:spacing w:after="0" w:line="240" w:lineRule="auto"/>
              <w:ind w:left="57"/>
              <w:jc w:val="center"/>
              <w:rPr>
                <w:rFonts w:ascii="Times New Roman" w:eastAsia="Times New Roman" w:hAnsi="Times New Roman" w:cs="Times New Roman"/>
                <w:bCs/>
                <w:sz w:val="24"/>
                <w:szCs w:val="24"/>
                <w:lang w:eastAsia="ru-RU"/>
              </w:rPr>
            </w:pPr>
            <w:r w:rsidRPr="003E012B">
              <w:rPr>
                <w:rFonts w:ascii="Times New Roman" w:eastAsia="Times New Roman" w:hAnsi="Times New Roman" w:cs="Times New Roman"/>
                <w:bCs/>
                <w:sz w:val="24"/>
                <w:szCs w:val="24"/>
                <w:lang w:eastAsia="ru-RU"/>
              </w:rPr>
              <w:t>2021 г.</w:t>
            </w:r>
          </w:p>
        </w:tc>
        <w:tc>
          <w:tcPr>
            <w:tcW w:w="626" w:type="pct"/>
            <w:vAlign w:val="center"/>
          </w:tcPr>
          <w:p w14:paraId="508DC627" w14:textId="77777777" w:rsidR="00B7169A" w:rsidRPr="003E012B" w:rsidRDefault="00B7169A" w:rsidP="00B7169A">
            <w:pPr>
              <w:spacing w:after="0" w:line="240" w:lineRule="auto"/>
              <w:ind w:left="5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2022 г.</w:t>
            </w:r>
          </w:p>
        </w:tc>
      </w:tr>
      <w:tr w:rsidR="00B7169A" w:rsidRPr="003E012B" w14:paraId="11A468E7" w14:textId="77777777" w:rsidTr="0081656D">
        <w:trPr>
          <w:cantSplit/>
          <w:jc w:val="center"/>
        </w:trPr>
        <w:tc>
          <w:tcPr>
            <w:tcW w:w="3121" w:type="pct"/>
            <w:tcMar>
              <w:left w:w="57" w:type="dxa"/>
            </w:tcMar>
            <w:vAlign w:val="center"/>
          </w:tcPr>
          <w:p w14:paraId="5C5A978B" w14:textId="77777777" w:rsidR="00B7169A" w:rsidRPr="003E012B" w:rsidRDefault="00B7169A" w:rsidP="00B7169A">
            <w:pPr>
              <w:spacing w:after="0" w:line="240" w:lineRule="auto"/>
              <w:ind w:left="57"/>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Ежемесячное пособие на период отпуска по уходу за ребенком до достижения им возраста полутора лет</w:t>
            </w:r>
            <w:r w:rsidRPr="003E012B">
              <w:rPr>
                <w:rFonts w:ascii="Times New Roman" w:eastAsia="Times New Roman" w:hAnsi="Times New Roman" w:cs="Times New Roman"/>
                <w:sz w:val="24"/>
                <w:szCs w:val="24"/>
                <w:vertAlign w:val="superscript"/>
                <w:lang w:eastAsia="ru-RU"/>
              </w:rPr>
              <w:t>2)</w:t>
            </w:r>
          </w:p>
        </w:tc>
        <w:tc>
          <w:tcPr>
            <w:tcW w:w="626" w:type="pct"/>
            <w:vAlign w:val="center"/>
          </w:tcPr>
          <w:p w14:paraId="1A7494A7" w14:textId="77777777" w:rsidR="00B7169A" w:rsidRPr="003E012B" w:rsidRDefault="00B7169A" w:rsidP="00B7169A">
            <w:pPr>
              <w:spacing w:after="0" w:line="240" w:lineRule="auto"/>
              <w:ind w:left="57"/>
              <w:jc w:val="center"/>
              <w:rPr>
                <w:rFonts w:ascii="Times New Roman" w:eastAsia="Times New Roman" w:hAnsi="Times New Roman" w:cs="Times New Roman"/>
                <w:sz w:val="24"/>
                <w:szCs w:val="24"/>
                <w:lang w:eastAsia="ru-RU"/>
              </w:rPr>
            </w:pPr>
          </w:p>
        </w:tc>
        <w:tc>
          <w:tcPr>
            <w:tcW w:w="626" w:type="pct"/>
            <w:vAlign w:val="center"/>
          </w:tcPr>
          <w:p w14:paraId="05778664" w14:textId="77777777" w:rsidR="00B7169A" w:rsidRPr="003E012B" w:rsidRDefault="00B7169A" w:rsidP="00B7169A">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62,7</w:t>
            </w:r>
          </w:p>
        </w:tc>
        <w:tc>
          <w:tcPr>
            <w:tcW w:w="626" w:type="pct"/>
            <w:vAlign w:val="center"/>
          </w:tcPr>
          <w:p w14:paraId="556B54E3" w14:textId="77777777" w:rsidR="00B7169A" w:rsidRPr="003E012B" w:rsidRDefault="00B7169A" w:rsidP="00B7169A">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62,6</w:t>
            </w:r>
          </w:p>
        </w:tc>
      </w:tr>
      <w:tr w:rsidR="00B7169A" w:rsidRPr="003E012B" w14:paraId="5B2DA8DF" w14:textId="77777777" w:rsidTr="0081656D">
        <w:trPr>
          <w:cantSplit/>
          <w:jc w:val="center"/>
        </w:trPr>
        <w:tc>
          <w:tcPr>
            <w:tcW w:w="3121" w:type="pct"/>
            <w:tcMar>
              <w:left w:w="57" w:type="dxa"/>
            </w:tcMar>
            <w:vAlign w:val="center"/>
          </w:tcPr>
          <w:p w14:paraId="6B5910A0" w14:textId="77777777" w:rsidR="00B7169A" w:rsidRPr="003E012B" w:rsidRDefault="00B7169A" w:rsidP="00B7169A">
            <w:pPr>
              <w:spacing w:after="0" w:line="240" w:lineRule="auto"/>
              <w:ind w:left="170"/>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по уходу за первым ребенком</w:t>
            </w:r>
          </w:p>
        </w:tc>
        <w:tc>
          <w:tcPr>
            <w:tcW w:w="626" w:type="pct"/>
            <w:vAlign w:val="center"/>
          </w:tcPr>
          <w:p w14:paraId="52DFB87E" w14:textId="77777777" w:rsidR="00B7169A" w:rsidRPr="003E012B" w:rsidRDefault="00B7169A" w:rsidP="00B7169A">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31,5</w:t>
            </w:r>
          </w:p>
        </w:tc>
        <w:tc>
          <w:tcPr>
            <w:tcW w:w="626" w:type="pct"/>
            <w:vAlign w:val="center"/>
          </w:tcPr>
          <w:p w14:paraId="6BB5A90A" w14:textId="77777777" w:rsidR="00B7169A" w:rsidRPr="003E012B" w:rsidRDefault="00B7169A" w:rsidP="00B7169A">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w:t>
            </w:r>
          </w:p>
        </w:tc>
        <w:tc>
          <w:tcPr>
            <w:tcW w:w="626" w:type="pct"/>
            <w:vAlign w:val="center"/>
          </w:tcPr>
          <w:p w14:paraId="3322DAB9" w14:textId="77777777" w:rsidR="00B7169A" w:rsidRPr="003E012B" w:rsidRDefault="00B7169A" w:rsidP="00B7169A">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B7169A" w:rsidRPr="003E012B" w14:paraId="0ADB4477" w14:textId="77777777" w:rsidTr="0081656D">
        <w:trPr>
          <w:cantSplit/>
          <w:jc w:val="center"/>
        </w:trPr>
        <w:tc>
          <w:tcPr>
            <w:tcW w:w="3121" w:type="pct"/>
            <w:tcMar>
              <w:left w:w="57" w:type="dxa"/>
            </w:tcMar>
            <w:vAlign w:val="center"/>
          </w:tcPr>
          <w:p w14:paraId="01B45FA9" w14:textId="77777777" w:rsidR="00B7169A" w:rsidRPr="003E012B" w:rsidRDefault="00B7169A" w:rsidP="00B7169A">
            <w:pPr>
              <w:spacing w:after="0" w:line="240" w:lineRule="auto"/>
              <w:ind w:left="170"/>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по уходу за вторым и последующими детьми</w:t>
            </w:r>
          </w:p>
        </w:tc>
        <w:tc>
          <w:tcPr>
            <w:tcW w:w="626" w:type="pct"/>
            <w:vAlign w:val="center"/>
          </w:tcPr>
          <w:p w14:paraId="7FC69867" w14:textId="77777777" w:rsidR="00B7169A" w:rsidRPr="003E012B" w:rsidRDefault="00B7169A" w:rsidP="00B7169A">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63,0</w:t>
            </w:r>
          </w:p>
        </w:tc>
        <w:tc>
          <w:tcPr>
            <w:tcW w:w="626" w:type="pct"/>
            <w:vAlign w:val="center"/>
          </w:tcPr>
          <w:p w14:paraId="00D1A89A" w14:textId="77777777" w:rsidR="00B7169A" w:rsidRPr="003E012B" w:rsidRDefault="00B7169A" w:rsidP="00B7169A">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w:t>
            </w:r>
          </w:p>
        </w:tc>
        <w:tc>
          <w:tcPr>
            <w:tcW w:w="626" w:type="pct"/>
            <w:vAlign w:val="center"/>
          </w:tcPr>
          <w:p w14:paraId="063DC5D6" w14:textId="77777777" w:rsidR="00B7169A" w:rsidRPr="003E012B" w:rsidRDefault="00B7169A" w:rsidP="00B7169A">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B7169A" w:rsidRPr="003E012B" w14:paraId="7A5C88AE" w14:textId="77777777" w:rsidTr="0081656D">
        <w:trPr>
          <w:cantSplit/>
          <w:jc w:val="center"/>
        </w:trPr>
        <w:tc>
          <w:tcPr>
            <w:tcW w:w="3121" w:type="pct"/>
            <w:tcMar>
              <w:left w:w="57" w:type="dxa"/>
            </w:tcMar>
            <w:vAlign w:val="center"/>
          </w:tcPr>
          <w:p w14:paraId="18DE3E2A" w14:textId="77777777" w:rsidR="00B7169A" w:rsidRPr="003E012B" w:rsidRDefault="00B7169A" w:rsidP="00B7169A">
            <w:pPr>
              <w:spacing w:after="0" w:line="240" w:lineRule="auto"/>
              <w:ind w:left="57"/>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Ежемесячное пособие на ребенка военнослужащего, проходящего военную службу по призыву</w:t>
            </w:r>
            <w:r w:rsidRPr="003E012B">
              <w:rPr>
                <w:rFonts w:ascii="Times New Roman" w:eastAsia="Times New Roman" w:hAnsi="Times New Roman" w:cs="Times New Roman"/>
                <w:sz w:val="24"/>
                <w:szCs w:val="24"/>
                <w:vertAlign w:val="superscript"/>
                <w:lang w:eastAsia="ru-RU"/>
              </w:rPr>
              <w:t>2)</w:t>
            </w:r>
          </w:p>
        </w:tc>
        <w:tc>
          <w:tcPr>
            <w:tcW w:w="626" w:type="pct"/>
            <w:vAlign w:val="center"/>
          </w:tcPr>
          <w:p w14:paraId="21039CEB" w14:textId="77777777" w:rsidR="00B7169A" w:rsidRPr="003E012B" w:rsidRDefault="00B7169A" w:rsidP="00B7169A">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114,0</w:t>
            </w:r>
          </w:p>
        </w:tc>
        <w:tc>
          <w:tcPr>
            <w:tcW w:w="626" w:type="pct"/>
            <w:vAlign w:val="center"/>
          </w:tcPr>
          <w:p w14:paraId="22A7B03B" w14:textId="77777777" w:rsidR="00B7169A" w:rsidRPr="003E012B" w:rsidRDefault="00B7169A" w:rsidP="00B7169A">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113,4</w:t>
            </w:r>
          </w:p>
        </w:tc>
        <w:tc>
          <w:tcPr>
            <w:tcW w:w="626" w:type="pct"/>
            <w:vAlign w:val="center"/>
          </w:tcPr>
          <w:p w14:paraId="162090B7" w14:textId="77777777" w:rsidR="00B7169A" w:rsidRPr="003E012B" w:rsidRDefault="00B7169A" w:rsidP="00B7169A">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113,2</w:t>
            </w:r>
          </w:p>
        </w:tc>
      </w:tr>
      <w:tr w:rsidR="00B7169A" w:rsidRPr="003E012B" w14:paraId="287FC606" w14:textId="77777777" w:rsidTr="0081656D">
        <w:trPr>
          <w:cantSplit/>
          <w:jc w:val="center"/>
        </w:trPr>
        <w:tc>
          <w:tcPr>
            <w:tcW w:w="3121" w:type="pct"/>
            <w:tcMar>
              <w:left w:w="57" w:type="dxa"/>
            </w:tcMar>
            <w:vAlign w:val="center"/>
          </w:tcPr>
          <w:p w14:paraId="4AF470FF" w14:textId="77777777" w:rsidR="00B7169A" w:rsidRPr="003E012B" w:rsidRDefault="00B7169A" w:rsidP="00B7169A">
            <w:pPr>
              <w:spacing w:after="0" w:line="240" w:lineRule="auto"/>
              <w:ind w:left="57"/>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Размер государственных академических стипендий студентов, обучающихся по образовательным программам</w:t>
            </w:r>
            <w:r w:rsidRPr="003E012B">
              <w:rPr>
                <w:rFonts w:ascii="Times New Roman" w:eastAsia="Times New Roman" w:hAnsi="Times New Roman" w:cs="Times New Roman"/>
                <w:sz w:val="24"/>
                <w:szCs w:val="24"/>
                <w:vertAlign w:val="superscript"/>
                <w:lang w:eastAsia="ru-RU"/>
              </w:rPr>
              <w:t>3)</w:t>
            </w:r>
          </w:p>
        </w:tc>
        <w:tc>
          <w:tcPr>
            <w:tcW w:w="626" w:type="pct"/>
            <w:vAlign w:val="center"/>
          </w:tcPr>
          <w:p w14:paraId="1E9FD529" w14:textId="77777777" w:rsidR="00B7169A" w:rsidRPr="003E012B" w:rsidRDefault="00B7169A" w:rsidP="00B7169A">
            <w:pPr>
              <w:spacing w:after="0" w:line="240" w:lineRule="auto"/>
              <w:ind w:left="57"/>
              <w:jc w:val="center"/>
              <w:rPr>
                <w:rFonts w:ascii="Times New Roman" w:eastAsia="Times New Roman" w:hAnsi="Times New Roman" w:cs="Times New Roman"/>
                <w:sz w:val="24"/>
                <w:szCs w:val="24"/>
                <w:lang w:eastAsia="ru-RU"/>
              </w:rPr>
            </w:pPr>
          </w:p>
        </w:tc>
        <w:tc>
          <w:tcPr>
            <w:tcW w:w="626" w:type="pct"/>
            <w:vAlign w:val="center"/>
          </w:tcPr>
          <w:p w14:paraId="74C1364C" w14:textId="77777777" w:rsidR="00B7169A" w:rsidRPr="003E012B" w:rsidRDefault="00B7169A" w:rsidP="00B7169A">
            <w:pPr>
              <w:spacing w:after="0" w:line="240" w:lineRule="auto"/>
              <w:ind w:left="57"/>
              <w:jc w:val="center"/>
              <w:rPr>
                <w:rFonts w:ascii="Times New Roman" w:eastAsia="Times New Roman" w:hAnsi="Times New Roman" w:cs="Times New Roman"/>
                <w:sz w:val="24"/>
                <w:szCs w:val="24"/>
                <w:lang w:eastAsia="ru-RU"/>
              </w:rPr>
            </w:pPr>
          </w:p>
        </w:tc>
        <w:tc>
          <w:tcPr>
            <w:tcW w:w="626" w:type="pct"/>
            <w:vAlign w:val="center"/>
          </w:tcPr>
          <w:p w14:paraId="334CE87D" w14:textId="77777777" w:rsidR="00B7169A" w:rsidRPr="003E012B" w:rsidRDefault="00B7169A" w:rsidP="00B7169A">
            <w:pPr>
              <w:spacing w:after="0" w:line="240" w:lineRule="auto"/>
              <w:ind w:left="57"/>
              <w:jc w:val="center"/>
              <w:rPr>
                <w:rFonts w:ascii="Times New Roman" w:eastAsia="Times New Roman" w:hAnsi="Times New Roman" w:cs="Times New Roman"/>
                <w:sz w:val="24"/>
                <w:szCs w:val="24"/>
                <w:lang w:eastAsia="ru-RU"/>
              </w:rPr>
            </w:pPr>
          </w:p>
        </w:tc>
      </w:tr>
      <w:tr w:rsidR="00B7169A" w:rsidRPr="003E012B" w14:paraId="37E1C442" w14:textId="77777777" w:rsidTr="0081656D">
        <w:trPr>
          <w:cantSplit/>
          <w:jc w:val="center"/>
        </w:trPr>
        <w:tc>
          <w:tcPr>
            <w:tcW w:w="3121" w:type="pct"/>
            <w:tcMar>
              <w:left w:w="57" w:type="dxa"/>
            </w:tcMar>
            <w:vAlign w:val="center"/>
          </w:tcPr>
          <w:p w14:paraId="48DC9A03" w14:textId="77777777" w:rsidR="00B7169A" w:rsidRPr="003E012B" w:rsidRDefault="00B7169A" w:rsidP="00B7169A">
            <w:pPr>
              <w:spacing w:after="0" w:line="240" w:lineRule="auto"/>
              <w:ind w:left="170"/>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высшего образования</w:t>
            </w:r>
          </w:p>
        </w:tc>
        <w:tc>
          <w:tcPr>
            <w:tcW w:w="626" w:type="pct"/>
            <w:vAlign w:val="center"/>
          </w:tcPr>
          <w:p w14:paraId="520D4A04" w14:textId="77777777" w:rsidR="00B7169A" w:rsidRPr="003E012B" w:rsidRDefault="00B7169A" w:rsidP="00B7169A">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12,7</w:t>
            </w:r>
          </w:p>
        </w:tc>
        <w:tc>
          <w:tcPr>
            <w:tcW w:w="626" w:type="pct"/>
            <w:vAlign w:val="center"/>
          </w:tcPr>
          <w:p w14:paraId="62DD6EFE" w14:textId="77777777" w:rsidR="00B7169A" w:rsidRPr="003E012B" w:rsidRDefault="00B7169A" w:rsidP="00B7169A">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11,7</w:t>
            </w:r>
          </w:p>
        </w:tc>
        <w:tc>
          <w:tcPr>
            <w:tcW w:w="626" w:type="pct"/>
            <w:vAlign w:val="center"/>
          </w:tcPr>
          <w:p w14:paraId="63F7E38F" w14:textId="77777777" w:rsidR="00B7169A" w:rsidRPr="003E012B" w:rsidRDefault="00B7169A" w:rsidP="00B7169A">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r>
      <w:tr w:rsidR="00B7169A" w:rsidRPr="003E012B" w14:paraId="5A77D61D" w14:textId="77777777" w:rsidTr="0081656D">
        <w:trPr>
          <w:cantSplit/>
          <w:jc w:val="center"/>
        </w:trPr>
        <w:tc>
          <w:tcPr>
            <w:tcW w:w="3121" w:type="pct"/>
            <w:tcMar>
              <w:left w:w="57" w:type="dxa"/>
            </w:tcMar>
            <w:vAlign w:val="center"/>
          </w:tcPr>
          <w:p w14:paraId="6B32F39D" w14:textId="77777777" w:rsidR="00B7169A" w:rsidRPr="003E012B" w:rsidRDefault="00B7169A" w:rsidP="00B7169A">
            <w:pPr>
              <w:spacing w:after="0" w:line="240" w:lineRule="auto"/>
              <w:ind w:left="170"/>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среднего профессионального образования</w:t>
            </w:r>
          </w:p>
        </w:tc>
        <w:tc>
          <w:tcPr>
            <w:tcW w:w="626" w:type="pct"/>
            <w:vAlign w:val="center"/>
          </w:tcPr>
          <w:p w14:paraId="1CB8AD7F" w14:textId="77777777" w:rsidR="00B7169A" w:rsidRPr="003E012B" w:rsidRDefault="00B7169A" w:rsidP="00B7169A">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4,6</w:t>
            </w:r>
          </w:p>
        </w:tc>
        <w:tc>
          <w:tcPr>
            <w:tcW w:w="626" w:type="pct"/>
            <w:vAlign w:val="center"/>
          </w:tcPr>
          <w:p w14:paraId="73E4A47F" w14:textId="77777777" w:rsidR="00B7169A" w:rsidRPr="003E012B" w:rsidRDefault="00B7169A" w:rsidP="00B7169A">
            <w:pPr>
              <w:spacing w:after="0" w:line="240" w:lineRule="auto"/>
              <w:ind w:left="57"/>
              <w:jc w:val="center"/>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4,2</w:t>
            </w:r>
          </w:p>
        </w:tc>
        <w:tc>
          <w:tcPr>
            <w:tcW w:w="626" w:type="pct"/>
            <w:vAlign w:val="center"/>
          </w:tcPr>
          <w:p w14:paraId="2587814B" w14:textId="77777777" w:rsidR="00B7169A" w:rsidRPr="003E012B" w:rsidRDefault="00B7169A" w:rsidP="00B7169A">
            <w:pPr>
              <w:spacing w:after="0" w:line="240" w:lineRule="auto"/>
              <w:ind w:lef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r>
    </w:tbl>
    <w:p w14:paraId="425DF565" w14:textId="77777777" w:rsidR="00D03A4F" w:rsidRPr="003E012B" w:rsidRDefault="00D03A4F" w:rsidP="00D03A4F">
      <w:pPr>
        <w:spacing w:after="0" w:line="240" w:lineRule="auto"/>
        <w:ind w:left="284"/>
        <w:jc w:val="both"/>
        <w:rPr>
          <w:rFonts w:ascii="Times New Roman" w:eastAsia="Times New Roman" w:hAnsi="Times New Roman" w:cs="Times New Roman"/>
          <w:sz w:val="24"/>
          <w:szCs w:val="24"/>
          <w:vertAlign w:val="superscript"/>
          <w:lang w:eastAsia="ru-RU"/>
        </w:rPr>
      </w:pPr>
    </w:p>
    <w:p w14:paraId="299BFBE2" w14:textId="77777777" w:rsidR="00D03A4F" w:rsidRPr="00B7169A" w:rsidRDefault="00D03A4F" w:rsidP="00D03A4F">
      <w:pPr>
        <w:spacing w:after="0" w:line="240" w:lineRule="auto"/>
        <w:ind w:firstLine="284"/>
        <w:jc w:val="both"/>
        <w:rPr>
          <w:rFonts w:ascii="Times New Roman" w:eastAsia="Times New Roman" w:hAnsi="Times New Roman" w:cs="Times New Roman"/>
          <w:lang w:eastAsia="ru-RU"/>
        </w:rPr>
      </w:pPr>
      <w:r w:rsidRPr="00B7169A">
        <w:rPr>
          <w:rFonts w:ascii="Times New Roman" w:eastAsia="Times New Roman" w:hAnsi="Times New Roman" w:cs="Times New Roman"/>
          <w:lang w:eastAsia="ru-RU"/>
        </w:rPr>
        <w:t>1)</w:t>
      </w:r>
      <w:r w:rsidR="00B7169A" w:rsidRPr="00B7169A">
        <w:rPr>
          <w:rFonts w:ascii="Times New Roman" w:eastAsia="Times New Roman" w:hAnsi="Times New Roman" w:cs="Times New Roman"/>
          <w:lang w:eastAsia="ru-RU"/>
        </w:rPr>
        <w:t xml:space="preserve"> </w:t>
      </w:r>
      <w:r w:rsidRPr="00B7169A">
        <w:rPr>
          <w:rFonts w:ascii="Times New Roman" w:eastAsia="Times New Roman" w:hAnsi="Times New Roman" w:cs="Times New Roman"/>
          <w:lang w:eastAsia="ru-RU"/>
        </w:rPr>
        <w:t xml:space="preserve">В расчетах использована величина прожиточного минимума </w:t>
      </w:r>
      <w:r w:rsidR="003E012B" w:rsidRPr="00B7169A">
        <w:rPr>
          <w:rFonts w:ascii="Times New Roman" w:eastAsia="Times New Roman" w:hAnsi="Times New Roman" w:cs="Times New Roman"/>
          <w:lang w:eastAsia="ru-RU"/>
        </w:rPr>
        <w:t xml:space="preserve">для соответствующей социально-демографической группы населения, установленная Правительством Российской Федерации за </w:t>
      </w:r>
      <w:r w:rsidR="003E012B" w:rsidRPr="00B7169A">
        <w:rPr>
          <w:rFonts w:ascii="Times New Roman" w:eastAsia="Times New Roman" w:hAnsi="Times New Roman" w:cs="Times New Roman"/>
          <w:lang w:val="en-US" w:eastAsia="ru-RU"/>
        </w:rPr>
        <w:t>I</w:t>
      </w:r>
      <w:r w:rsidR="003E012B" w:rsidRPr="00B7169A">
        <w:rPr>
          <w:rFonts w:ascii="Times New Roman" w:eastAsia="Times New Roman" w:hAnsi="Times New Roman" w:cs="Times New Roman"/>
          <w:lang w:eastAsia="ru-RU"/>
        </w:rPr>
        <w:t xml:space="preserve"> квартал соответствующего года. С 2021 года в соответствии с Федеральным законом от 29 декабря 2020 г. </w:t>
      </w:r>
      <w:r w:rsidR="00B7169A">
        <w:rPr>
          <w:rFonts w:ascii="Times New Roman" w:eastAsia="Times New Roman" w:hAnsi="Times New Roman" w:cs="Times New Roman"/>
          <w:lang w:eastAsia="ru-RU"/>
        </w:rPr>
        <w:br/>
      </w:r>
      <w:r w:rsidR="003E012B" w:rsidRPr="00B7169A">
        <w:rPr>
          <w:rFonts w:ascii="Times New Roman" w:eastAsia="Times New Roman" w:hAnsi="Times New Roman" w:cs="Times New Roman"/>
          <w:lang w:eastAsia="ru-RU"/>
        </w:rPr>
        <w:t>№ 473-ФЗ «О внесении изменений в отдельные законодательные акты Российской Федерации» величина прожиточного минимума устанавливается на очередной год.</w:t>
      </w:r>
    </w:p>
    <w:p w14:paraId="601ADEEC" w14:textId="77777777" w:rsidR="00D03A4F" w:rsidRPr="00B7169A" w:rsidRDefault="00D03A4F" w:rsidP="000E19F3">
      <w:pPr>
        <w:spacing w:after="0" w:line="240" w:lineRule="auto"/>
        <w:ind w:firstLine="284"/>
        <w:jc w:val="both"/>
        <w:rPr>
          <w:rFonts w:ascii="Times New Roman" w:eastAsia="Times New Roman" w:hAnsi="Times New Roman" w:cs="Times New Roman"/>
          <w:lang w:eastAsia="ru-RU"/>
        </w:rPr>
      </w:pPr>
      <w:r w:rsidRPr="00B7169A">
        <w:rPr>
          <w:rFonts w:ascii="Times New Roman" w:eastAsia="Times New Roman" w:hAnsi="Times New Roman" w:cs="Times New Roman"/>
          <w:lang w:eastAsia="ru-RU"/>
        </w:rPr>
        <w:t>2)</w:t>
      </w:r>
      <w:r w:rsidR="00B7169A" w:rsidRPr="00B7169A">
        <w:rPr>
          <w:rFonts w:ascii="Times New Roman" w:eastAsia="Times New Roman" w:hAnsi="Times New Roman" w:cs="Times New Roman"/>
          <w:lang w:eastAsia="ru-RU"/>
        </w:rPr>
        <w:t xml:space="preserve"> </w:t>
      </w:r>
      <w:r w:rsidRPr="00B7169A">
        <w:rPr>
          <w:rFonts w:ascii="Times New Roman" w:eastAsia="Times New Roman" w:hAnsi="Times New Roman" w:cs="Times New Roman"/>
          <w:lang w:eastAsia="ru-RU"/>
        </w:rPr>
        <w:t>В расчете использованы данные по соответствующему пособию по с</w:t>
      </w:r>
      <w:r w:rsidR="000E19F3">
        <w:rPr>
          <w:rFonts w:ascii="Times New Roman" w:eastAsia="Times New Roman" w:hAnsi="Times New Roman" w:cs="Times New Roman"/>
          <w:lang w:eastAsia="ru-RU"/>
        </w:rPr>
        <w:t xml:space="preserve">остоянию на 1 февраля отчетного </w:t>
      </w:r>
      <w:r w:rsidRPr="00B7169A">
        <w:rPr>
          <w:rFonts w:ascii="Times New Roman" w:eastAsia="Times New Roman" w:hAnsi="Times New Roman" w:cs="Times New Roman"/>
          <w:lang w:eastAsia="ru-RU"/>
        </w:rPr>
        <w:t>года.</w:t>
      </w:r>
    </w:p>
    <w:p w14:paraId="01E6EB11" w14:textId="77777777" w:rsidR="00D03A4F" w:rsidRPr="00B7169A" w:rsidRDefault="00D03A4F" w:rsidP="00D03A4F">
      <w:pPr>
        <w:spacing w:after="0" w:line="240" w:lineRule="auto"/>
        <w:ind w:firstLine="284"/>
        <w:jc w:val="both"/>
        <w:rPr>
          <w:rFonts w:ascii="Times New Roman" w:eastAsia="Times New Roman" w:hAnsi="Times New Roman" w:cs="Times New Roman"/>
          <w:lang w:eastAsia="ru-RU"/>
        </w:rPr>
      </w:pPr>
      <w:r w:rsidRPr="00B7169A">
        <w:rPr>
          <w:rFonts w:ascii="Times New Roman" w:eastAsia="Times New Roman" w:hAnsi="Times New Roman" w:cs="Times New Roman"/>
          <w:lang w:eastAsia="ru-RU"/>
        </w:rPr>
        <w:t xml:space="preserve">3) Данные приведены </w:t>
      </w:r>
      <w:r w:rsidRPr="00B7169A">
        <w:rPr>
          <w:rFonts w:ascii="Times New Roman" w:eastAsia="Times New Roman" w:hAnsi="Times New Roman" w:cs="Times New Roman"/>
          <w:iCs/>
          <w:lang w:eastAsia="ru-RU"/>
        </w:rPr>
        <w:t xml:space="preserve">в соответствии с </w:t>
      </w:r>
      <w:r w:rsidRPr="00B7169A">
        <w:rPr>
          <w:rFonts w:ascii="Times New Roman" w:eastAsia="Times New Roman" w:hAnsi="Times New Roman" w:cs="Times New Roman"/>
          <w:lang w:eastAsia="ru-RU"/>
        </w:rPr>
        <w:t xml:space="preserve">Постановлением Правительства Российской Федерации </w:t>
      </w:r>
      <w:r w:rsidR="000E19F3">
        <w:rPr>
          <w:rFonts w:ascii="Times New Roman" w:eastAsia="Times New Roman" w:hAnsi="Times New Roman" w:cs="Times New Roman"/>
          <w:lang w:eastAsia="ru-RU"/>
        </w:rPr>
        <w:br/>
      </w:r>
      <w:r w:rsidRPr="00B7169A">
        <w:rPr>
          <w:rFonts w:ascii="Times New Roman" w:eastAsia="Times New Roman" w:hAnsi="Times New Roman" w:cs="Times New Roman"/>
          <w:lang w:eastAsia="ru-RU"/>
        </w:rPr>
        <w:t xml:space="preserve">от 17 декабря 2016 г. № 1390 </w:t>
      </w:r>
      <w:r w:rsidRPr="00B7169A">
        <w:rPr>
          <w:rFonts w:ascii="Times New Roman" w:eastAsia="Times New Roman" w:hAnsi="Times New Roman" w:cs="Times New Roman"/>
          <w:iCs/>
          <w:lang w:eastAsia="ru-RU"/>
        </w:rPr>
        <w:t>«</w:t>
      </w:r>
      <w:r w:rsidRPr="00B7169A">
        <w:rPr>
          <w:rFonts w:ascii="Times New Roman" w:eastAsia="Times New Roman" w:hAnsi="Times New Roman" w:cs="Times New Roman"/>
          <w:lang w:eastAsia="ru-RU"/>
        </w:rPr>
        <w:t>О формировании стипендиального фонда</w:t>
      </w:r>
      <w:r w:rsidRPr="00B7169A">
        <w:rPr>
          <w:rFonts w:ascii="Times New Roman" w:eastAsia="Times New Roman" w:hAnsi="Times New Roman" w:cs="Times New Roman"/>
          <w:iCs/>
          <w:lang w:eastAsia="ru-RU"/>
        </w:rPr>
        <w:t>».</w:t>
      </w:r>
    </w:p>
    <w:p w14:paraId="12D48ACC" w14:textId="77777777" w:rsidR="00D03A4F" w:rsidRPr="003E012B" w:rsidRDefault="00D03A4F" w:rsidP="00D03A4F">
      <w:pPr>
        <w:spacing w:after="0" w:line="240" w:lineRule="auto"/>
        <w:rPr>
          <w:rFonts w:ascii="Times New Roman" w:eastAsia="Times New Roman" w:hAnsi="Times New Roman" w:cs="Times New Roman"/>
          <w:sz w:val="26"/>
          <w:szCs w:val="26"/>
          <w:lang w:eastAsia="ru-RU"/>
        </w:rPr>
      </w:pPr>
    </w:p>
    <w:p w14:paraId="7EDD809C" w14:textId="77777777" w:rsidR="00D03A4F" w:rsidRDefault="00D03A4F" w:rsidP="00D03A4F">
      <w:pPr>
        <w:spacing w:after="0" w:line="240" w:lineRule="auto"/>
        <w:rPr>
          <w:rFonts w:ascii="Times New Roman" w:eastAsia="Times New Roman" w:hAnsi="Times New Roman" w:cs="Times New Roman"/>
          <w:sz w:val="26"/>
          <w:szCs w:val="26"/>
          <w:lang w:eastAsia="ru-RU"/>
        </w:rPr>
      </w:pPr>
    </w:p>
    <w:p w14:paraId="129BE2FA" w14:textId="77777777" w:rsidR="00DB764F" w:rsidRPr="003E012B" w:rsidRDefault="00DB764F" w:rsidP="00D03A4F">
      <w:pPr>
        <w:spacing w:after="0" w:line="240" w:lineRule="auto"/>
        <w:rPr>
          <w:rFonts w:ascii="Times New Roman" w:eastAsia="Times New Roman" w:hAnsi="Times New Roman" w:cs="Times New Roman"/>
          <w:sz w:val="26"/>
          <w:szCs w:val="26"/>
          <w:lang w:eastAsia="ru-RU"/>
        </w:rPr>
      </w:pPr>
    </w:p>
    <w:p w14:paraId="015F3F81" w14:textId="77777777" w:rsidR="00D03A4F" w:rsidRPr="003E012B" w:rsidRDefault="00D03A4F" w:rsidP="00D03A4F">
      <w:pPr>
        <w:spacing w:after="0" w:line="240" w:lineRule="auto"/>
        <w:jc w:val="right"/>
        <w:rPr>
          <w:rFonts w:ascii="Times New Roman" w:eastAsia="Times New Roman" w:hAnsi="Times New Roman" w:cs="Times New Roman"/>
          <w:sz w:val="26"/>
          <w:szCs w:val="26"/>
          <w:lang w:eastAsia="ru-RU"/>
        </w:rPr>
      </w:pPr>
      <w:r w:rsidRPr="003E012B">
        <w:rPr>
          <w:rFonts w:ascii="Times New Roman" w:eastAsia="Times New Roman" w:hAnsi="Times New Roman" w:cs="Times New Roman"/>
          <w:sz w:val="26"/>
          <w:szCs w:val="26"/>
          <w:lang w:eastAsia="ru-RU"/>
        </w:rPr>
        <w:t xml:space="preserve">Таблица </w:t>
      </w:r>
      <w:r w:rsidR="008737BB">
        <w:rPr>
          <w:rFonts w:ascii="Times New Roman" w:eastAsia="Times New Roman" w:hAnsi="Times New Roman" w:cs="Times New Roman"/>
          <w:sz w:val="26"/>
          <w:szCs w:val="26"/>
          <w:lang w:eastAsia="ru-RU"/>
        </w:rPr>
        <w:t>59</w:t>
      </w:r>
    </w:p>
    <w:p w14:paraId="3E13F18F" w14:textId="77777777" w:rsidR="00D03A4F" w:rsidRPr="003E012B" w:rsidRDefault="00D03A4F" w:rsidP="00D03A4F">
      <w:pPr>
        <w:spacing w:after="0" w:line="240" w:lineRule="auto"/>
        <w:jc w:val="right"/>
        <w:rPr>
          <w:rFonts w:ascii="Times New Roman" w:eastAsia="Times New Roman" w:hAnsi="Times New Roman" w:cs="Times New Roman"/>
          <w:sz w:val="26"/>
          <w:szCs w:val="26"/>
          <w:lang w:eastAsia="ru-RU"/>
        </w:rPr>
      </w:pPr>
    </w:p>
    <w:p w14:paraId="1E26CF8C" w14:textId="77777777" w:rsidR="00D03A4F" w:rsidRPr="003E012B" w:rsidRDefault="00D03A4F" w:rsidP="00D03A4F">
      <w:pPr>
        <w:spacing w:after="0" w:line="240" w:lineRule="auto"/>
        <w:ind w:left="567" w:right="141"/>
        <w:jc w:val="center"/>
        <w:rPr>
          <w:rFonts w:ascii="Times New Roman" w:eastAsia="Times New Roman" w:hAnsi="Times New Roman" w:cs="Times New Roman"/>
          <w:b/>
          <w:bCs/>
          <w:sz w:val="26"/>
          <w:szCs w:val="26"/>
          <w:vertAlign w:val="superscript"/>
          <w:lang w:eastAsia="ru-RU"/>
        </w:rPr>
      </w:pPr>
      <w:r w:rsidRPr="003E012B">
        <w:rPr>
          <w:rFonts w:ascii="Times New Roman" w:eastAsia="Times New Roman" w:hAnsi="Times New Roman" w:cs="Times New Roman"/>
          <w:b/>
          <w:bCs/>
          <w:sz w:val="26"/>
          <w:szCs w:val="26"/>
          <w:lang w:eastAsia="ru-RU"/>
        </w:rPr>
        <w:t>Сведения о численности лиц, получающих семейные и материнские пособия</w:t>
      </w:r>
    </w:p>
    <w:p w14:paraId="51F4EF92" w14:textId="77777777" w:rsidR="00D03A4F" w:rsidRPr="003E012B"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08"/>
        <w:gridCol w:w="1629"/>
        <w:gridCol w:w="1629"/>
        <w:gridCol w:w="1629"/>
      </w:tblGrid>
      <w:tr w:rsidR="00091524" w:rsidRPr="003E012B" w14:paraId="4CE561EC" w14:textId="77777777" w:rsidTr="0081656D">
        <w:trPr>
          <w:cantSplit/>
          <w:trHeight w:val="312"/>
          <w:tblHeader/>
          <w:jc w:val="center"/>
        </w:trPr>
        <w:tc>
          <w:tcPr>
            <w:tcW w:w="2602" w:type="pct"/>
            <w:vAlign w:val="center"/>
          </w:tcPr>
          <w:p w14:paraId="3C979958" w14:textId="77777777" w:rsidR="00091524" w:rsidRPr="003E012B" w:rsidRDefault="00091524" w:rsidP="00091524">
            <w:pPr>
              <w:spacing w:after="0" w:line="240" w:lineRule="auto"/>
              <w:jc w:val="center"/>
              <w:rPr>
                <w:rFonts w:ascii="Times New Roman" w:eastAsia="Times New Roman" w:hAnsi="Times New Roman" w:cs="Times New Roman"/>
                <w:sz w:val="24"/>
                <w:szCs w:val="24"/>
                <w:lang w:eastAsia="ru-RU"/>
              </w:rPr>
            </w:pPr>
          </w:p>
        </w:tc>
        <w:tc>
          <w:tcPr>
            <w:tcW w:w="799" w:type="pct"/>
            <w:vAlign w:val="center"/>
          </w:tcPr>
          <w:p w14:paraId="1EE28EA0" w14:textId="77777777" w:rsidR="00091524" w:rsidRPr="003E012B" w:rsidRDefault="00091524" w:rsidP="00091524">
            <w:pPr>
              <w:spacing w:after="0" w:line="240" w:lineRule="auto"/>
              <w:jc w:val="center"/>
              <w:rPr>
                <w:rFonts w:ascii="Times New Roman" w:eastAsia="Times New Roman" w:hAnsi="Times New Roman" w:cs="Times New Roman"/>
                <w:bCs/>
                <w:sz w:val="24"/>
                <w:szCs w:val="24"/>
                <w:lang w:eastAsia="ru-RU"/>
              </w:rPr>
            </w:pPr>
            <w:r w:rsidRPr="003E012B">
              <w:rPr>
                <w:rFonts w:ascii="Times New Roman" w:eastAsia="Times New Roman" w:hAnsi="Times New Roman" w:cs="Times New Roman"/>
                <w:bCs/>
                <w:sz w:val="24"/>
                <w:szCs w:val="24"/>
                <w:lang w:eastAsia="ru-RU"/>
              </w:rPr>
              <w:t>2019 г.</w:t>
            </w:r>
          </w:p>
        </w:tc>
        <w:tc>
          <w:tcPr>
            <w:tcW w:w="799" w:type="pct"/>
            <w:vAlign w:val="center"/>
          </w:tcPr>
          <w:p w14:paraId="748658CD" w14:textId="77777777" w:rsidR="00091524" w:rsidRPr="003E012B" w:rsidRDefault="00091524" w:rsidP="00091524">
            <w:pPr>
              <w:spacing w:after="0" w:line="240" w:lineRule="auto"/>
              <w:jc w:val="center"/>
              <w:rPr>
                <w:rFonts w:ascii="Times New Roman" w:eastAsia="Times New Roman" w:hAnsi="Times New Roman" w:cs="Times New Roman"/>
                <w:bCs/>
                <w:sz w:val="24"/>
                <w:szCs w:val="24"/>
                <w:lang w:eastAsia="ru-RU"/>
              </w:rPr>
            </w:pPr>
            <w:r w:rsidRPr="003E012B">
              <w:rPr>
                <w:rFonts w:ascii="Times New Roman" w:eastAsia="Times New Roman" w:hAnsi="Times New Roman" w:cs="Times New Roman"/>
                <w:bCs/>
                <w:sz w:val="24"/>
                <w:szCs w:val="24"/>
                <w:lang w:eastAsia="ru-RU"/>
              </w:rPr>
              <w:t>2020 г.</w:t>
            </w:r>
          </w:p>
        </w:tc>
        <w:tc>
          <w:tcPr>
            <w:tcW w:w="799" w:type="pct"/>
            <w:vAlign w:val="center"/>
          </w:tcPr>
          <w:p w14:paraId="6109B804" w14:textId="77777777" w:rsidR="00091524" w:rsidRPr="003E012B" w:rsidRDefault="00091524" w:rsidP="0009152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2021 г.</w:t>
            </w:r>
            <w:r w:rsidRPr="00091524">
              <w:rPr>
                <w:rFonts w:ascii="Times New Roman" w:eastAsia="Times New Roman" w:hAnsi="Times New Roman" w:cs="Times New Roman"/>
                <w:bCs/>
                <w:sz w:val="26"/>
                <w:szCs w:val="26"/>
                <w:vertAlign w:val="superscript"/>
                <w:lang w:eastAsia="ru-RU"/>
              </w:rPr>
              <w:t>1)</w:t>
            </w:r>
          </w:p>
        </w:tc>
      </w:tr>
      <w:tr w:rsidR="00091524" w:rsidRPr="003E012B" w14:paraId="118AAB43" w14:textId="77777777" w:rsidTr="0081656D">
        <w:trPr>
          <w:cantSplit/>
          <w:jc w:val="center"/>
        </w:trPr>
        <w:tc>
          <w:tcPr>
            <w:tcW w:w="2602" w:type="pct"/>
            <w:vAlign w:val="bottom"/>
          </w:tcPr>
          <w:p w14:paraId="16EA66DD" w14:textId="77777777" w:rsidR="00091524" w:rsidRPr="003E012B" w:rsidRDefault="00091524" w:rsidP="00091524">
            <w:pPr>
              <w:spacing w:after="0" w:line="240" w:lineRule="auto"/>
              <w:ind w:left="57"/>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 xml:space="preserve">Число полученных единовременных пособий, выплаченных женщинам, вставшим на учет в медицинских </w:t>
            </w:r>
            <w:r>
              <w:rPr>
                <w:rFonts w:ascii="Times New Roman" w:eastAsia="Times New Roman" w:hAnsi="Times New Roman" w:cs="Times New Roman"/>
                <w:sz w:val="24"/>
                <w:szCs w:val="24"/>
                <w:lang w:eastAsia="ru-RU"/>
              </w:rPr>
              <w:t>организациях</w:t>
            </w:r>
            <w:r w:rsidRPr="003E012B">
              <w:rPr>
                <w:rFonts w:ascii="Times New Roman" w:eastAsia="Times New Roman" w:hAnsi="Times New Roman" w:cs="Times New Roman"/>
                <w:sz w:val="24"/>
                <w:szCs w:val="24"/>
                <w:lang w:eastAsia="ru-RU"/>
              </w:rPr>
              <w:t xml:space="preserve"> в ранние сроки беременности (до 12 недель)</w:t>
            </w:r>
            <w:r w:rsidRPr="003E012B">
              <w:rPr>
                <w:rFonts w:ascii="Times New Roman" w:eastAsia="Times New Roman" w:hAnsi="Times New Roman" w:cs="Times New Roman"/>
                <w:sz w:val="24"/>
                <w:szCs w:val="24"/>
                <w:vertAlign w:val="superscript"/>
                <w:lang w:eastAsia="ru-RU"/>
              </w:rPr>
              <w:t>2)</w:t>
            </w:r>
          </w:p>
        </w:tc>
        <w:tc>
          <w:tcPr>
            <w:tcW w:w="799" w:type="pct"/>
            <w:vAlign w:val="bottom"/>
          </w:tcPr>
          <w:p w14:paraId="3978F4BE" w14:textId="77777777" w:rsidR="00091524" w:rsidRPr="00091524" w:rsidRDefault="00091524" w:rsidP="00091524">
            <w:pPr>
              <w:tabs>
                <w:tab w:val="left" w:pos="1633"/>
              </w:tabs>
              <w:spacing w:after="0" w:line="240" w:lineRule="auto"/>
              <w:jc w:val="center"/>
              <w:rPr>
                <w:rFonts w:ascii="Times New Roman" w:eastAsia="Times New Roman" w:hAnsi="Times New Roman" w:cs="Times New Roman"/>
                <w:sz w:val="24"/>
                <w:szCs w:val="24"/>
                <w:lang w:eastAsia="ru-RU"/>
              </w:rPr>
            </w:pPr>
            <w:r w:rsidRPr="00091524">
              <w:rPr>
                <w:rFonts w:ascii="Times New Roman" w:eastAsia="Times New Roman" w:hAnsi="Times New Roman" w:cs="Times New Roman"/>
                <w:sz w:val="24"/>
                <w:szCs w:val="24"/>
                <w:lang w:eastAsia="ru-RU"/>
              </w:rPr>
              <w:t>693 198</w:t>
            </w:r>
          </w:p>
        </w:tc>
        <w:tc>
          <w:tcPr>
            <w:tcW w:w="799" w:type="pct"/>
            <w:vAlign w:val="bottom"/>
          </w:tcPr>
          <w:p w14:paraId="7051E94C" w14:textId="77777777" w:rsidR="00091524" w:rsidRPr="00091524" w:rsidRDefault="00091524" w:rsidP="00091524">
            <w:pPr>
              <w:tabs>
                <w:tab w:val="left" w:pos="1633"/>
              </w:tabs>
              <w:spacing w:after="0" w:line="240" w:lineRule="auto"/>
              <w:jc w:val="center"/>
              <w:rPr>
                <w:rFonts w:ascii="Times New Roman" w:hAnsi="Times New Roman"/>
                <w:sz w:val="24"/>
                <w:szCs w:val="24"/>
              </w:rPr>
            </w:pPr>
            <w:r w:rsidRPr="00091524">
              <w:rPr>
                <w:rFonts w:ascii="Times New Roman" w:hAnsi="Times New Roman"/>
                <w:sz w:val="24"/>
                <w:szCs w:val="24"/>
              </w:rPr>
              <w:t>663 018</w:t>
            </w:r>
          </w:p>
        </w:tc>
        <w:tc>
          <w:tcPr>
            <w:tcW w:w="799" w:type="pct"/>
            <w:vAlign w:val="bottom"/>
          </w:tcPr>
          <w:p w14:paraId="1170055E" w14:textId="77777777" w:rsidR="00091524" w:rsidRPr="00091524" w:rsidRDefault="00091524" w:rsidP="00091524">
            <w:pPr>
              <w:tabs>
                <w:tab w:val="left" w:pos="1633"/>
              </w:tabs>
              <w:spacing w:after="0" w:line="240" w:lineRule="auto"/>
              <w:jc w:val="center"/>
              <w:rPr>
                <w:rFonts w:ascii="Times New Roman" w:eastAsia="Times New Roman" w:hAnsi="Times New Roman" w:cs="Times New Roman"/>
                <w:sz w:val="24"/>
                <w:szCs w:val="24"/>
                <w:lang w:eastAsia="ru-RU"/>
              </w:rPr>
            </w:pPr>
            <w:r w:rsidRPr="00091524">
              <w:rPr>
                <w:rFonts w:ascii="Times New Roman" w:eastAsia="Times New Roman" w:hAnsi="Times New Roman" w:cs="Times New Roman"/>
                <w:sz w:val="24"/>
                <w:szCs w:val="24"/>
                <w:lang w:eastAsia="ru-RU"/>
              </w:rPr>
              <w:t>566 256</w:t>
            </w:r>
          </w:p>
        </w:tc>
      </w:tr>
      <w:tr w:rsidR="00091524" w:rsidRPr="003E012B" w14:paraId="65A8A05C" w14:textId="77777777" w:rsidTr="0081656D">
        <w:trPr>
          <w:cantSplit/>
          <w:jc w:val="center"/>
        </w:trPr>
        <w:tc>
          <w:tcPr>
            <w:tcW w:w="2602" w:type="pct"/>
            <w:vAlign w:val="bottom"/>
          </w:tcPr>
          <w:p w14:paraId="0FD8E117" w14:textId="77777777" w:rsidR="00091524" w:rsidRPr="003E012B" w:rsidRDefault="00091524" w:rsidP="00091524">
            <w:pPr>
              <w:spacing w:after="0" w:line="240" w:lineRule="auto"/>
              <w:ind w:left="57"/>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Число, выплаченных единовременных пособий при рождении ребенка</w:t>
            </w:r>
          </w:p>
        </w:tc>
        <w:tc>
          <w:tcPr>
            <w:tcW w:w="799" w:type="pct"/>
            <w:vAlign w:val="bottom"/>
          </w:tcPr>
          <w:p w14:paraId="0E3FE83B" w14:textId="77777777" w:rsidR="00091524" w:rsidRPr="00091524" w:rsidRDefault="00091524" w:rsidP="00091524">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vAlign w:val="bottom"/>
          </w:tcPr>
          <w:p w14:paraId="44BCCDBD" w14:textId="77777777" w:rsidR="00091524" w:rsidRPr="00091524" w:rsidRDefault="00091524" w:rsidP="00091524">
            <w:pPr>
              <w:tabs>
                <w:tab w:val="left" w:pos="1633"/>
              </w:tabs>
              <w:spacing w:after="0" w:line="240" w:lineRule="auto"/>
              <w:jc w:val="center"/>
              <w:rPr>
                <w:rFonts w:ascii="Times New Roman" w:hAnsi="Times New Roman"/>
                <w:sz w:val="24"/>
                <w:szCs w:val="24"/>
              </w:rPr>
            </w:pPr>
          </w:p>
        </w:tc>
        <w:tc>
          <w:tcPr>
            <w:tcW w:w="799" w:type="pct"/>
            <w:vAlign w:val="bottom"/>
          </w:tcPr>
          <w:p w14:paraId="1A2DAF3E" w14:textId="77777777" w:rsidR="00091524" w:rsidRPr="00091524" w:rsidRDefault="00091524" w:rsidP="00091524">
            <w:pPr>
              <w:tabs>
                <w:tab w:val="left" w:pos="1633"/>
              </w:tabs>
              <w:spacing w:after="0" w:line="240" w:lineRule="auto"/>
              <w:jc w:val="center"/>
              <w:rPr>
                <w:rFonts w:ascii="Times New Roman" w:eastAsia="Times New Roman" w:hAnsi="Times New Roman" w:cs="Times New Roman"/>
                <w:sz w:val="24"/>
                <w:szCs w:val="24"/>
                <w:lang w:eastAsia="ru-RU"/>
              </w:rPr>
            </w:pPr>
          </w:p>
        </w:tc>
      </w:tr>
      <w:tr w:rsidR="00091524" w:rsidRPr="003E012B" w14:paraId="4CC9C5D3" w14:textId="77777777" w:rsidTr="0081656D">
        <w:trPr>
          <w:cantSplit/>
          <w:jc w:val="center"/>
        </w:trPr>
        <w:tc>
          <w:tcPr>
            <w:tcW w:w="2602" w:type="pct"/>
            <w:vAlign w:val="bottom"/>
          </w:tcPr>
          <w:p w14:paraId="111CC42A" w14:textId="77777777" w:rsidR="00091524" w:rsidRPr="003E012B" w:rsidRDefault="00091524" w:rsidP="00091524">
            <w:pPr>
              <w:spacing w:after="0" w:line="240" w:lineRule="auto"/>
              <w:ind w:left="170"/>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в том числе:</w:t>
            </w:r>
          </w:p>
        </w:tc>
        <w:tc>
          <w:tcPr>
            <w:tcW w:w="799" w:type="pct"/>
          </w:tcPr>
          <w:p w14:paraId="179E3176" w14:textId="77777777" w:rsidR="00091524" w:rsidRPr="00091524" w:rsidRDefault="00091524" w:rsidP="00091524">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vAlign w:val="bottom"/>
          </w:tcPr>
          <w:p w14:paraId="2ADC4A2B" w14:textId="77777777" w:rsidR="00091524" w:rsidRPr="00091524" w:rsidRDefault="00091524" w:rsidP="00091524">
            <w:pPr>
              <w:tabs>
                <w:tab w:val="left" w:pos="1633"/>
              </w:tabs>
              <w:spacing w:after="0" w:line="240" w:lineRule="auto"/>
              <w:jc w:val="center"/>
              <w:rPr>
                <w:rFonts w:ascii="Times New Roman" w:hAnsi="Times New Roman"/>
                <w:sz w:val="24"/>
                <w:szCs w:val="24"/>
              </w:rPr>
            </w:pPr>
          </w:p>
        </w:tc>
        <w:tc>
          <w:tcPr>
            <w:tcW w:w="799" w:type="pct"/>
            <w:vAlign w:val="bottom"/>
          </w:tcPr>
          <w:p w14:paraId="60162657" w14:textId="77777777" w:rsidR="00091524" w:rsidRPr="00091524" w:rsidRDefault="00091524" w:rsidP="00091524">
            <w:pPr>
              <w:tabs>
                <w:tab w:val="left" w:pos="1633"/>
              </w:tabs>
              <w:spacing w:after="0" w:line="240" w:lineRule="auto"/>
              <w:jc w:val="center"/>
              <w:rPr>
                <w:rFonts w:ascii="Times New Roman" w:eastAsia="Times New Roman" w:hAnsi="Times New Roman" w:cs="Times New Roman"/>
                <w:sz w:val="24"/>
                <w:szCs w:val="24"/>
                <w:lang w:eastAsia="ru-RU"/>
              </w:rPr>
            </w:pPr>
          </w:p>
        </w:tc>
      </w:tr>
      <w:tr w:rsidR="00091524" w:rsidRPr="003E012B" w14:paraId="7ACE73FC" w14:textId="77777777" w:rsidTr="0081656D">
        <w:trPr>
          <w:cantSplit/>
          <w:jc w:val="center"/>
        </w:trPr>
        <w:tc>
          <w:tcPr>
            <w:tcW w:w="2602" w:type="pct"/>
            <w:vAlign w:val="bottom"/>
          </w:tcPr>
          <w:p w14:paraId="73B710E8" w14:textId="77777777" w:rsidR="00091524" w:rsidRPr="003E012B" w:rsidRDefault="00091524" w:rsidP="00091524">
            <w:pPr>
              <w:spacing w:after="0" w:line="240" w:lineRule="auto"/>
              <w:ind w:left="170"/>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работающим женщинам</w:t>
            </w:r>
            <w:r w:rsidRPr="003E012B">
              <w:rPr>
                <w:rFonts w:ascii="Times New Roman" w:eastAsia="Times New Roman" w:hAnsi="Times New Roman" w:cs="Times New Roman"/>
                <w:sz w:val="24"/>
                <w:szCs w:val="24"/>
                <w:vertAlign w:val="superscript"/>
                <w:lang w:eastAsia="ru-RU"/>
              </w:rPr>
              <w:t>2)</w:t>
            </w:r>
          </w:p>
        </w:tc>
        <w:tc>
          <w:tcPr>
            <w:tcW w:w="799" w:type="pct"/>
          </w:tcPr>
          <w:p w14:paraId="51108BA4" w14:textId="77777777" w:rsidR="00091524" w:rsidRPr="00091524" w:rsidRDefault="00091524" w:rsidP="00091524">
            <w:pPr>
              <w:tabs>
                <w:tab w:val="left" w:pos="1633"/>
              </w:tabs>
              <w:spacing w:after="0" w:line="240" w:lineRule="auto"/>
              <w:jc w:val="center"/>
              <w:rPr>
                <w:rFonts w:ascii="Times New Roman" w:eastAsia="Times New Roman" w:hAnsi="Times New Roman" w:cs="Times New Roman"/>
                <w:sz w:val="24"/>
                <w:szCs w:val="24"/>
                <w:lang w:eastAsia="ru-RU"/>
              </w:rPr>
            </w:pPr>
            <w:r w:rsidRPr="00091524">
              <w:rPr>
                <w:rFonts w:ascii="Times New Roman" w:eastAsia="Times New Roman" w:hAnsi="Times New Roman" w:cs="Times New Roman"/>
                <w:sz w:val="24"/>
                <w:szCs w:val="24"/>
                <w:lang w:eastAsia="ru-RU"/>
              </w:rPr>
              <w:t>1 013 884</w:t>
            </w:r>
          </w:p>
        </w:tc>
        <w:tc>
          <w:tcPr>
            <w:tcW w:w="799" w:type="pct"/>
            <w:vAlign w:val="bottom"/>
          </w:tcPr>
          <w:p w14:paraId="02C9FA0F" w14:textId="77777777" w:rsidR="00091524" w:rsidRPr="00091524" w:rsidRDefault="00091524" w:rsidP="00091524">
            <w:pPr>
              <w:tabs>
                <w:tab w:val="left" w:pos="1633"/>
              </w:tabs>
              <w:spacing w:after="0" w:line="240" w:lineRule="auto"/>
              <w:jc w:val="center"/>
              <w:rPr>
                <w:rFonts w:ascii="Times New Roman" w:hAnsi="Times New Roman"/>
                <w:sz w:val="24"/>
                <w:szCs w:val="24"/>
              </w:rPr>
            </w:pPr>
            <w:r w:rsidRPr="00091524">
              <w:rPr>
                <w:rFonts w:ascii="Times New Roman" w:hAnsi="Times New Roman"/>
                <w:sz w:val="24"/>
                <w:szCs w:val="24"/>
              </w:rPr>
              <w:t>949 849</w:t>
            </w:r>
          </w:p>
        </w:tc>
        <w:tc>
          <w:tcPr>
            <w:tcW w:w="799" w:type="pct"/>
            <w:vAlign w:val="bottom"/>
          </w:tcPr>
          <w:p w14:paraId="198ABF02" w14:textId="77777777" w:rsidR="00091524" w:rsidRPr="00091524" w:rsidRDefault="00091524" w:rsidP="00091524">
            <w:pPr>
              <w:tabs>
                <w:tab w:val="left" w:pos="1633"/>
              </w:tabs>
              <w:spacing w:after="0" w:line="240" w:lineRule="auto"/>
              <w:jc w:val="center"/>
              <w:rPr>
                <w:rFonts w:ascii="Times New Roman" w:eastAsia="Times New Roman" w:hAnsi="Times New Roman" w:cs="Times New Roman"/>
                <w:sz w:val="24"/>
                <w:szCs w:val="24"/>
                <w:lang w:eastAsia="ru-RU"/>
              </w:rPr>
            </w:pPr>
            <w:r w:rsidRPr="00091524">
              <w:rPr>
                <w:rFonts w:ascii="Times New Roman" w:eastAsia="Times New Roman" w:hAnsi="Times New Roman" w:cs="Times New Roman"/>
                <w:sz w:val="24"/>
                <w:szCs w:val="24"/>
                <w:lang w:eastAsia="ru-RU"/>
              </w:rPr>
              <w:t>942 022</w:t>
            </w:r>
          </w:p>
        </w:tc>
      </w:tr>
      <w:tr w:rsidR="00091524" w:rsidRPr="003E012B" w14:paraId="10491DAD" w14:textId="77777777" w:rsidTr="0081656D">
        <w:trPr>
          <w:cantSplit/>
          <w:jc w:val="center"/>
        </w:trPr>
        <w:tc>
          <w:tcPr>
            <w:tcW w:w="2602" w:type="pct"/>
            <w:vAlign w:val="bottom"/>
          </w:tcPr>
          <w:p w14:paraId="5D448D98" w14:textId="77777777" w:rsidR="00091524" w:rsidRPr="003E012B" w:rsidRDefault="00091524" w:rsidP="00091524">
            <w:pPr>
              <w:spacing w:after="0" w:line="240" w:lineRule="auto"/>
              <w:ind w:left="170"/>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неработающим женщинам</w:t>
            </w:r>
            <w:r w:rsidRPr="003E012B">
              <w:rPr>
                <w:rFonts w:ascii="Times New Roman" w:eastAsia="Times New Roman" w:hAnsi="Times New Roman" w:cs="Times New Roman"/>
                <w:sz w:val="24"/>
                <w:szCs w:val="24"/>
                <w:vertAlign w:val="superscript"/>
                <w:lang w:eastAsia="ru-RU"/>
              </w:rPr>
              <w:t>3)</w:t>
            </w:r>
          </w:p>
        </w:tc>
        <w:tc>
          <w:tcPr>
            <w:tcW w:w="799" w:type="pct"/>
          </w:tcPr>
          <w:p w14:paraId="29F8F496" w14:textId="77777777" w:rsidR="00091524" w:rsidRPr="00091524" w:rsidRDefault="00091524" w:rsidP="00091524">
            <w:pPr>
              <w:tabs>
                <w:tab w:val="left" w:pos="1633"/>
              </w:tabs>
              <w:spacing w:after="0" w:line="240" w:lineRule="auto"/>
              <w:jc w:val="center"/>
              <w:rPr>
                <w:rFonts w:ascii="Times New Roman" w:eastAsia="Times New Roman" w:hAnsi="Times New Roman" w:cs="Times New Roman"/>
                <w:sz w:val="24"/>
                <w:szCs w:val="24"/>
                <w:lang w:eastAsia="ru-RU"/>
              </w:rPr>
            </w:pPr>
            <w:r w:rsidRPr="00091524">
              <w:rPr>
                <w:rFonts w:ascii="Times New Roman" w:eastAsia="Times New Roman" w:hAnsi="Times New Roman" w:cs="Times New Roman"/>
                <w:sz w:val="24"/>
                <w:szCs w:val="24"/>
                <w:lang w:eastAsia="ru-RU"/>
              </w:rPr>
              <w:t>342 055</w:t>
            </w:r>
          </w:p>
        </w:tc>
        <w:tc>
          <w:tcPr>
            <w:tcW w:w="799" w:type="pct"/>
            <w:vAlign w:val="bottom"/>
          </w:tcPr>
          <w:p w14:paraId="4ECBD557" w14:textId="77777777" w:rsidR="00091524" w:rsidRPr="00091524" w:rsidRDefault="00091524" w:rsidP="00091524">
            <w:pPr>
              <w:tabs>
                <w:tab w:val="left" w:pos="1633"/>
              </w:tabs>
              <w:spacing w:after="0" w:line="240" w:lineRule="auto"/>
              <w:jc w:val="center"/>
              <w:rPr>
                <w:rFonts w:ascii="Times New Roman" w:hAnsi="Times New Roman"/>
                <w:sz w:val="24"/>
                <w:szCs w:val="24"/>
              </w:rPr>
            </w:pPr>
            <w:r w:rsidRPr="00091524">
              <w:rPr>
                <w:rFonts w:ascii="Times New Roman" w:hAnsi="Times New Roman"/>
                <w:sz w:val="24"/>
                <w:szCs w:val="24"/>
              </w:rPr>
              <w:t>317 866</w:t>
            </w:r>
          </w:p>
        </w:tc>
        <w:tc>
          <w:tcPr>
            <w:tcW w:w="799" w:type="pct"/>
            <w:vAlign w:val="bottom"/>
          </w:tcPr>
          <w:p w14:paraId="7CC442F1" w14:textId="77777777" w:rsidR="00091524" w:rsidRPr="00091524" w:rsidRDefault="00091524" w:rsidP="00091524">
            <w:pPr>
              <w:tabs>
                <w:tab w:val="left" w:pos="1633"/>
              </w:tabs>
              <w:spacing w:after="0" w:line="240" w:lineRule="auto"/>
              <w:jc w:val="center"/>
              <w:rPr>
                <w:rFonts w:ascii="Times New Roman" w:eastAsia="Times New Roman" w:hAnsi="Times New Roman" w:cs="Times New Roman"/>
                <w:sz w:val="24"/>
                <w:szCs w:val="24"/>
                <w:lang w:eastAsia="ru-RU"/>
              </w:rPr>
            </w:pPr>
            <w:r w:rsidRPr="00091524">
              <w:rPr>
                <w:rFonts w:ascii="Times New Roman" w:eastAsia="Times New Roman" w:hAnsi="Times New Roman" w:cs="Times New Roman"/>
                <w:sz w:val="24"/>
                <w:szCs w:val="24"/>
                <w:lang w:eastAsia="ru-RU"/>
              </w:rPr>
              <w:t>329 871</w:t>
            </w:r>
          </w:p>
        </w:tc>
      </w:tr>
      <w:tr w:rsidR="00091524" w:rsidRPr="003E012B" w14:paraId="29770307" w14:textId="77777777" w:rsidTr="0081656D">
        <w:trPr>
          <w:cantSplit/>
          <w:jc w:val="center"/>
        </w:trPr>
        <w:tc>
          <w:tcPr>
            <w:tcW w:w="2602" w:type="pct"/>
            <w:vAlign w:val="bottom"/>
          </w:tcPr>
          <w:p w14:paraId="60042EB7" w14:textId="77777777" w:rsidR="00091524" w:rsidRPr="003E012B" w:rsidRDefault="00091524" w:rsidP="00091524">
            <w:pPr>
              <w:spacing w:after="0" w:line="240" w:lineRule="auto"/>
              <w:ind w:left="57"/>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Число лиц, получающих ежемесячные пособия по уходу за ребенком до достижения им возраста полутора лет, человек</w:t>
            </w:r>
          </w:p>
        </w:tc>
        <w:tc>
          <w:tcPr>
            <w:tcW w:w="799" w:type="pct"/>
          </w:tcPr>
          <w:p w14:paraId="1B811D84" w14:textId="77777777" w:rsidR="00091524" w:rsidRPr="00091524" w:rsidRDefault="00091524" w:rsidP="00091524">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vAlign w:val="bottom"/>
          </w:tcPr>
          <w:p w14:paraId="43560E2B" w14:textId="77777777" w:rsidR="00091524" w:rsidRPr="00091524" w:rsidRDefault="00091524" w:rsidP="00091524">
            <w:pPr>
              <w:tabs>
                <w:tab w:val="left" w:pos="1633"/>
              </w:tabs>
              <w:spacing w:after="0" w:line="240" w:lineRule="auto"/>
              <w:jc w:val="center"/>
              <w:rPr>
                <w:rFonts w:ascii="Times New Roman" w:hAnsi="Times New Roman"/>
                <w:sz w:val="24"/>
                <w:szCs w:val="24"/>
              </w:rPr>
            </w:pPr>
          </w:p>
        </w:tc>
        <w:tc>
          <w:tcPr>
            <w:tcW w:w="799" w:type="pct"/>
            <w:vAlign w:val="bottom"/>
          </w:tcPr>
          <w:p w14:paraId="576A70D2" w14:textId="77777777" w:rsidR="00091524" w:rsidRPr="00091524" w:rsidRDefault="00091524" w:rsidP="00091524">
            <w:pPr>
              <w:tabs>
                <w:tab w:val="left" w:pos="1633"/>
              </w:tabs>
              <w:spacing w:after="0" w:line="240" w:lineRule="auto"/>
              <w:jc w:val="center"/>
              <w:rPr>
                <w:rFonts w:ascii="Times New Roman" w:eastAsia="Times New Roman" w:hAnsi="Times New Roman" w:cs="Times New Roman"/>
                <w:sz w:val="24"/>
                <w:szCs w:val="24"/>
                <w:lang w:eastAsia="ru-RU"/>
              </w:rPr>
            </w:pPr>
          </w:p>
        </w:tc>
      </w:tr>
      <w:tr w:rsidR="00091524" w:rsidRPr="003E012B" w14:paraId="5E524C6E" w14:textId="77777777" w:rsidTr="0081656D">
        <w:trPr>
          <w:cantSplit/>
          <w:jc w:val="center"/>
        </w:trPr>
        <w:tc>
          <w:tcPr>
            <w:tcW w:w="2602" w:type="pct"/>
            <w:vAlign w:val="bottom"/>
          </w:tcPr>
          <w:p w14:paraId="55BBFC1B" w14:textId="77777777" w:rsidR="00091524" w:rsidRPr="003E012B" w:rsidRDefault="00091524" w:rsidP="00091524">
            <w:pPr>
              <w:spacing w:after="0" w:line="240" w:lineRule="auto"/>
              <w:ind w:left="170"/>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подлежащих обязательному социальному страхованию</w:t>
            </w:r>
            <w:r w:rsidRPr="003E012B">
              <w:rPr>
                <w:rFonts w:ascii="Times New Roman" w:eastAsia="Times New Roman" w:hAnsi="Times New Roman" w:cs="Times New Roman"/>
                <w:sz w:val="24"/>
                <w:szCs w:val="24"/>
                <w:vertAlign w:val="superscript"/>
                <w:lang w:eastAsia="ru-RU"/>
              </w:rPr>
              <w:t>2)</w:t>
            </w:r>
          </w:p>
        </w:tc>
        <w:tc>
          <w:tcPr>
            <w:tcW w:w="799" w:type="pct"/>
          </w:tcPr>
          <w:p w14:paraId="27C38C79" w14:textId="77777777" w:rsidR="00091524" w:rsidRPr="00091524" w:rsidRDefault="00091524" w:rsidP="00091524">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vAlign w:val="bottom"/>
          </w:tcPr>
          <w:p w14:paraId="13F0D0AE" w14:textId="77777777" w:rsidR="00091524" w:rsidRPr="00091524" w:rsidRDefault="00091524" w:rsidP="00091524">
            <w:pPr>
              <w:tabs>
                <w:tab w:val="left" w:pos="1633"/>
              </w:tabs>
              <w:spacing w:after="0" w:line="240" w:lineRule="auto"/>
              <w:jc w:val="center"/>
              <w:rPr>
                <w:rFonts w:ascii="Times New Roman" w:hAnsi="Times New Roman"/>
                <w:sz w:val="24"/>
                <w:szCs w:val="24"/>
              </w:rPr>
            </w:pPr>
          </w:p>
        </w:tc>
        <w:tc>
          <w:tcPr>
            <w:tcW w:w="799" w:type="pct"/>
            <w:vAlign w:val="bottom"/>
          </w:tcPr>
          <w:p w14:paraId="18826B12" w14:textId="77777777" w:rsidR="00091524" w:rsidRPr="00091524" w:rsidRDefault="00091524" w:rsidP="00091524">
            <w:pPr>
              <w:tabs>
                <w:tab w:val="left" w:pos="1633"/>
              </w:tabs>
              <w:spacing w:after="0" w:line="240" w:lineRule="auto"/>
              <w:jc w:val="center"/>
              <w:rPr>
                <w:rFonts w:ascii="Times New Roman" w:eastAsia="Times New Roman" w:hAnsi="Times New Roman" w:cs="Times New Roman"/>
                <w:sz w:val="24"/>
                <w:szCs w:val="24"/>
                <w:lang w:eastAsia="ru-RU"/>
              </w:rPr>
            </w:pPr>
          </w:p>
        </w:tc>
      </w:tr>
      <w:tr w:rsidR="00091524" w:rsidRPr="003E012B" w14:paraId="0678A973" w14:textId="77777777" w:rsidTr="0081656D">
        <w:trPr>
          <w:cantSplit/>
          <w:jc w:val="center"/>
        </w:trPr>
        <w:tc>
          <w:tcPr>
            <w:tcW w:w="2602" w:type="pct"/>
            <w:vAlign w:val="bottom"/>
          </w:tcPr>
          <w:p w14:paraId="164B0F53" w14:textId="77777777" w:rsidR="00091524" w:rsidRPr="003E012B" w:rsidRDefault="00091524" w:rsidP="00091524">
            <w:pPr>
              <w:spacing w:after="0" w:line="240" w:lineRule="auto"/>
              <w:ind w:left="284"/>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по уходу за первым ребенком</w:t>
            </w:r>
          </w:p>
        </w:tc>
        <w:tc>
          <w:tcPr>
            <w:tcW w:w="799" w:type="pct"/>
          </w:tcPr>
          <w:p w14:paraId="5897A430" w14:textId="77777777" w:rsidR="00091524" w:rsidRPr="00091524" w:rsidRDefault="00091524" w:rsidP="00091524">
            <w:pPr>
              <w:tabs>
                <w:tab w:val="left" w:pos="1633"/>
              </w:tabs>
              <w:spacing w:after="0" w:line="240" w:lineRule="auto"/>
              <w:jc w:val="center"/>
              <w:rPr>
                <w:rFonts w:ascii="Times New Roman" w:eastAsia="Times New Roman" w:hAnsi="Times New Roman" w:cs="Times New Roman"/>
                <w:sz w:val="24"/>
                <w:szCs w:val="24"/>
                <w:lang w:eastAsia="ru-RU"/>
              </w:rPr>
            </w:pPr>
            <w:r w:rsidRPr="00091524">
              <w:rPr>
                <w:rFonts w:ascii="Times New Roman" w:eastAsia="Times New Roman" w:hAnsi="Times New Roman" w:cs="Times New Roman"/>
                <w:sz w:val="24"/>
                <w:szCs w:val="24"/>
                <w:lang w:eastAsia="ru-RU"/>
              </w:rPr>
              <w:t>850597</w:t>
            </w:r>
          </w:p>
        </w:tc>
        <w:tc>
          <w:tcPr>
            <w:tcW w:w="799" w:type="pct"/>
            <w:vAlign w:val="bottom"/>
          </w:tcPr>
          <w:p w14:paraId="4C82B8C0" w14:textId="77777777" w:rsidR="00091524" w:rsidRPr="00091524" w:rsidRDefault="00091524" w:rsidP="00091524">
            <w:pPr>
              <w:tabs>
                <w:tab w:val="left" w:pos="1633"/>
              </w:tabs>
              <w:spacing w:after="0" w:line="240" w:lineRule="auto"/>
              <w:jc w:val="center"/>
              <w:rPr>
                <w:rFonts w:ascii="Times New Roman" w:hAnsi="Times New Roman"/>
                <w:sz w:val="24"/>
                <w:szCs w:val="24"/>
              </w:rPr>
            </w:pPr>
            <w:r w:rsidRPr="00091524">
              <w:rPr>
                <w:rFonts w:ascii="Times New Roman" w:hAnsi="Times New Roman"/>
                <w:sz w:val="24"/>
                <w:szCs w:val="24"/>
              </w:rPr>
              <w:t>804 002</w:t>
            </w:r>
          </w:p>
        </w:tc>
        <w:tc>
          <w:tcPr>
            <w:tcW w:w="799" w:type="pct"/>
            <w:vAlign w:val="bottom"/>
          </w:tcPr>
          <w:p w14:paraId="4DF68C7E" w14:textId="77777777" w:rsidR="00091524" w:rsidRPr="00091524" w:rsidRDefault="00091524" w:rsidP="00091524">
            <w:pPr>
              <w:tabs>
                <w:tab w:val="left" w:pos="1633"/>
              </w:tabs>
              <w:spacing w:after="0" w:line="240" w:lineRule="auto"/>
              <w:jc w:val="center"/>
              <w:rPr>
                <w:rFonts w:ascii="Times New Roman" w:eastAsia="Times New Roman" w:hAnsi="Times New Roman" w:cs="Times New Roman"/>
                <w:sz w:val="24"/>
                <w:szCs w:val="24"/>
                <w:lang w:eastAsia="ru-RU"/>
              </w:rPr>
            </w:pPr>
            <w:r w:rsidRPr="00091524">
              <w:rPr>
                <w:rFonts w:ascii="Times New Roman" w:eastAsia="Times New Roman" w:hAnsi="Times New Roman" w:cs="Times New Roman"/>
                <w:sz w:val="24"/>
                <w:szCs w:val="24"/>
                <w:lang w:eastAsia="ru-RU"/>
              </w:rPr>
              <w:t>759 056</w:t>
            </w:r>
          </w:p>
        </w:tc>
      </w:tr>
      <w:tr w:rsidR="00091524" w:rsidRPr="003E012B" w14:paraId="231FD116" w14:textId="77777777" w:rsidTr="0081656D">
        <w:trPr>
          <w:cantSplit/>
          <w:jc w:val="center"/>
        </w:trPr>
        <w:tc>
          <w:tcPr>
            <w:tcW w:w="2602" w:type="pct"/>
            <w:vAlign w:val="bottom"/>
          </w:tcPr>
          <w:p w14:paraId="5E0954ED" w14:textId="77777777" w:rsidR="00091524" w:rsidRPr="003E012B" w:rsidRDefault="00091524" w:rsidP="00091524">
            <w:pPr>
              <w:spacing w:after="0" w:line="240" w:lineRule="auto"/>
              <w:ind w:left="284"/>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по уходу за вторым и последующими детьми</w:t>
            </w:r>
          </w:p>
        </w:tc>
        <w:tc>
          <w:tcPr>
            <w:tcW w:w="799" w:type="pct"/>
          </w:tcPr>
          <w:p w14:paraId="270BF21F" w14:textId="77777777" w:rsidR="00091524" w:rsidRPr="00091524" w:rsidRDefault="00091524" w:rsidP="00091524">
            <w:pPr>
              <w:tabs>
                <w:tab w:val="left" w:pos="1633"/>
              </w:tabs>
              <w:spacing w:after="0" w:line="240" w:lineRule="auto"/>
              <w:jc w:val="center"/>
              <w:rPr>
                <w:rFonts w:ascii="Times New Roman" w:eastAsia="Times New Roman" w:hAnsi="Times New Roman" w:cs="Times New Roman"/>
                <w:sz w:val="24"/>
                <w:szCs w:val="24"/>
                <w:lang w:eastAsia="ru-RU"/>
              </w:rPr>
            </w:pPr>
            <w:r w:rsidRPr="00091524">
              <w:rPr>
                <w:rFonts w:ascii="Times New Roman" w:eastAsia="Times New Roman" w:hAnsi="Times New Roman" w:cs="Times New Roman"/>
                <w:sz w:val="24"/>
                <w:szCs w:val="24"/>
                <w:lang w:eastAsia="ru-RU"/>
              </w:rPr>
              <w:t>1 216 521</w:t>
            </w:r>
          </w:p>
        </w:tc>
        <w:tc>
          <w:tcPr>
            <w:tcW w:w="799" w:type="pct"/>
            <w:vAlign w:val="bottom"/>
          </w:tcPr>
          <w:p w14:paraId="105469EE" w14:textId="77777777" w:rsidR="00091524" w:rsidRPr="00091524" w:rsidRDefault="00091524" w:rsidP="00091524">
            <w:pPr>
              <w:tabs>
                <w:tab w:val="left" w:pos="1633"/>
              </w:tabs>
              <w:spacing w:after="0" w:line="240" w:lineRule="auto"/>
              <w:jc w:val="center"/>
              <w:rPr>
                <w:rFonts w:ascii="Times New Roman" w:hAnsi="Times New Roman"/>
                <w:sz w:val="24"/>
                <w:szCs w:val="24"/>
              </w:rPr>
            </w:pPr>
            <w:r w:rsidRPr="00091524">
              <w:rPr>
                <w:rFonts w:ascii="Times New Roman" w:hAnsi="Times New Roman"/>
                <w:sz w:val="24"/>
                <w:szCs w:val="24"/>
              </w:rPr>
              <w:t>1 133 483</w:t>
            </w:r>
          </w:p>
        </w:tc>
        <w:tc>
          <w:tcPr>
            <w:tcW w:w="799" w:type="pct"/>
            <w:vAlign w:val="bottom"/>
          </w:tcPr>
          <w:p w14:paraId="11707AB3" w14:textId="77777777" w:rsidR="00091524" w:rsidRPr="00091524" w:rsidRDefault="00091524" w:rsidP="00091524">
            <w:pPr>
              <w:tabs>
                <w:tab w:val="left" w:pos="1633"/>
              </w:tabs>
              <w:spacing w:after="0" w:line="240" w:lineRule="auto"/>
              <w:jc w:val="center"/>
              <w:rPr>
                <w:rFonts w:ascii="Times New Roman" w:eastAsia="Times New Roman" w:hAnsi="Times New Roman" w:cs="Times New Roman"/>
                <w:sz w:val="24"/>
                <w:szCs w:val="24"/>
                <w:lang w:eastAsia="ru-RU"/>
              </w:rPr>
            </w:pPr>
            <w:r w:rsidRPr="00091524">
              <w:rPr>
                <w:rFonts w:ascii="Times New Roman" w:eastAsia="Times New Roman" w:hAnsi="Times New Roman" w:cs="Times New Roman"/>
                <w:sz w:val="24"/>
                <w:szCs w:val="24"/>
                <w:lang w:eastAsia="ru-RU"/>
              </w:rPr>
              <w:t>1 011 714</w:t>
            </w:r>
          </w:p>
        </w:tc>
      </w:tr>
      <w:tr w:rsidR="00091524" w:rsidRPr="003E012B" w14:paraId="2DF840B2" w14:textId="77777777" w:rsidTr="0081656D">
        <w:trPr>
          <w:cantSplit/>
          <w:jc w:val="center"/>
        </w:trPr>
        <w:tc>
          <w:tcPr>
            <w:tcW w:w="2602" w:type="pct"/>
            <w:vAlign w:val="bottom"/>
          </w:tcPr>
          <w:p w14:paraId="16A50B57" w14:textId="77777777" w:rsidR="00091524" w:rsidRPr="003E012B" w:rsidRDefault="00091524" w:rsidP="00091524">
            <w:pPr>
              <w:spacing w:after="0" w:line="240" w:lineRule="auto"/>
              <w:ind w:left="170"/>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не подлежащих обязательному социальному страхованию</w:t>
            </w:r>
            <w:r w:rsidRPr="003E012B">
              <w:rPr>
                <w:rFonts w:ascii="Times New Roman" w:eastAsia="Times New Roman" w:hAnsi="Times New Roman" w:cs="Times New Roman"/>
                <w:sz w:val="24"/>
                <w:szCs w:val="24"/>
                <w:vertAlign w:val="superscript"/>
                <w:lang w:eastAsia="ru-RU"/>
              </w:rPr>
              <w:t>3)</w:t>
            </w:r>
          </w:p>
        </w:tc>
        <w:tc>
          <w:tcPr>
            <w:tcW w:w="799" w:type="pct"/>
            <w:vAlign w:val="bottom"/>
          </w:tcPr>
          <w:p w14:paraId="54B0D3FB" w14:textId="77777777" w:rsidR="00091524" w:rsidRPr="00091524" w:rsidRDefault="00091524" w:rsidP="00091524">
            <w:pPr>
              <w:tabs>
                <w:tab w:val="left" w:pos="1633"/>
              </w:tabs>
              <w:spacing w:after="0" w:line="240" w:lineRule="auto"/>
              <w:jc w:val="center"/>
              <w:rPr>
                <w:rFonts w:ascii="Times New Roman" w:eastAsia="Times New Roman" w:hAnsi="Times New Roman" w:cs="Times New Roman"/>
                <w:sz w:val="24"/>
                <w:szCs w:val="24"/>
                <w:lang w:eastAsia="ru-RU"/>
              </w:rPr>
            </w:pPr>
          </w:p>
        </w:tc>
        <w:tc>
          <w:tcPr>
            <w:tcW w:w="799" w:type="pct"/>
            <w:vAlign w:val="bottom"/>
          </w:tcPr>
          <w:p w14:paraId="1EC13A0C" w14:textId="77777777" w:rsidR="00091524" w:rsidRPr="00091524" w:rsidRDefault="00091524" w:rsidP="00091524">
            <w:pPr>
              <w:tabs>
                <w:tab w:val="left" w:pos="1633"/>
              </w:tabs>
              <w:spacing w:after="0" w:line="240" w:lineRule="auto"/>
              <w:jc w:val="center"/>
              <w:rPr>
                <w:rFonts w:ascii="Times New Roman" w:hAnsi="Times New Roman"/>
                <w:sz w:val="24"/>
                <w:szCs w:val="24"/>
              </w:rPr>
            </w:pPr>
          </w:p>
        </w:tc>
        <w:tc>
          <w:tcPr>
            <w:tcW w:w="799" w:type="pct"/>
            <w:vAlign w:val="bottom"/>
          </w:tcPr>
          <w:p w14:paraId="75DCAD7B" w14:textId="77777777" w:rsidR="00091524" w:rsidRPr="00091524" w:rsidRDefault="00091524" w:rsidP="00091524">
            <w:pPr>
              <w:tabs>
                <w:tab w:val="left" w:pos="1633"/>
              </w:tabs>
              <w:spacing w:after="0" w:line="240" w:lineRule="auto"/>
              <w:jc w:val="center"/>
              <w:rPr>
                <w:rFonts w:ascii="Times New Roman" w:eastAsia="Times New Roman" w:hAnsi="Times New Roman" w:cs="Times New Roman"/>
                <w:sz w:val="24"/>
                <w:szCs w:val="24"/>
                <w:lang w:eastAsia="ru-RU"/>
              </w:rPr>
            </w:pPr>
          </w:p>
        </w:tc>
      </w:tr>
      <w:tr w:rsidR="00091524" w:rsidRPr="003E012B" w14:paraId="2095D661" w14:textId="77777777" w:rsidTr="0081656D">
        <w:trPr>
          <w:cantSplit/>
          <w:jc w:val="center"/>
        </w:trPr>
        <w:tc>
          <w:tcPr>
            <w:tcW w:w="2602" w:type="pct"/>
            <w:vAlign w:val="bottom"/>
          </w:tcPr>
          <w:p w14:paraId="27D6ADA1" w14:textId="77777777" w:rsidR="00091524" w:rsidRPr="003E012B" w:rsidRDefault="00091524" w:rsidP="00091524">
            <w:pPr>
              <w:spacing w:after="0" w:line="240" w:lineRule="auto"/>
              <w:ind w:left="284"/>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по уходу за первым ребенком</w:t>
            </w:r>
          </w:p>
        </w:tc>
        <w:tc>
          <w:tcPr>
            <w:tcW w:w="799" w:type="pct"/>
          </w:tcPr>
          <w:p w14:paraId="71CFBF78" w14:textId="77777777" w:rsidR="00091524" w:rsidRPr="00091524" w:rsidRDefault="00091524" w:rsidP="00091524">
            <w:pPr>
              <w:tabs>
                <w:tab w:val="left" w:pos="1633"/>
              </w:tabs>
              <w:spacing w:after="0" w:line="240" w:lineRule="auto"/>
              <w:jc w:val="center"/>
              <w:rPr>
                <w:rFonts w:ascii="Times New Roman" w:eastAsia="Times New Roman" w:hAnsi="Times New Roman" w:cs="Times New Roman"/>
                <w:sz w:val="24"/>
                <w:szCs w:val="24"/>
                <w:lang w:eastAsia="ru-RU"/>
              </w:rPr>
            </w:pPr>
            <w:r w:rsidRPr="00091524">
              <w:rPr>
                <w:rFonts w:ascii="Times New Roman" w:eastAsia="Times New Roman" w:hAnsi="Times New Roman" w:cs="Times New Roman"/>
                <w:sz w:val="24"/>
                <w:szCs w:val="24"/>
                <w:lang w:eastAsia="ru-RU"/>
              </w:rPr>
              <w:t>477 433</w:t>
            </w:r>
          </w:p>
        </w:tc>
        <w:tc>
          <w:tcPr>
            <w:tcW w:w="799" w:type="pct"/>
            <w:vAlign w:val="bottom"/>
          </w:tcPr>
          <w:p w14:paraId="49F15175" w14:textId="77777777" w:rsidR="00091524" w:rsidRPr="00091524" w:rsidRDefault="00091524" w:rsidP="00091524">
            <w:pPr>
              <w:tabs>
                <w:tab w:val="left" w:pos="1633"/>
              </w:tabs>
              <w:spacing w:after="0" w:line="240" w:lineRule="auto"/>
              <w:jc w:val="center"/>
              <w:rPr>
                <w:rFonts w:ascii="Times New Roman" w:hAnsi="Times New Roman"/>
                <w:sz w:val="24"/>
                <w:szCs w:val="24"/>
              </w:rPr>
            </w:pPr>
            <w:r w:rsidRPr="00091524">
              <w:rPr>
                <w:rFonts w:ascii="Times New Roman" w:hAnsi="Times New Roman"/>
                <w:sz w:val="24"/>
                <w:szCs w:val="24"/>
              </w:rPr>
              <w:t>444 077</w:t>
            </w:r>
          </w:p>
        </w:tc>
        <w:tc>
          <w:tcPr>
            <w:tcW w:w="799" w:type="pct"/>
            <w:vAlign w:val="bottom"/>
          </w:tcPr>
          <w:p w14:paraId="49CEE0E0" w14:textId="77777777" w:rsidR="00091524" w:rsidRPr="00091524" w:rsidRDefault="00091524" w:rsidP="00091524">
            <w:pPr>
              <w:tabs>
                <w:tab w:val="left" w:pos="1633"/>
              </w:tabs>
              <w:spacing w:after="0" w:line="240" w:lineRule="auto"/>
              <w:jc w:val="center"/>
              <w:rPr>
                <w:rFonts w:ascii="Times New Roman" w:eastAsia="Times New Roman" w:hAnsi="Times New Roman" w:cs="Times New Roman"/>
                <w:sz w:val="24"/>
                <w:szCs w:val="24"/>
                <w:lang w:eastAsia="ru-RU"/>
              </w:rPr>
            </w:pPr>
            <w:r w:rsidRPr="00091524">
              <w:rPr>
                <w:rFonts w:ascii="Times New Roman" w:eastAsia="Times New Roman" w:hAnsi="Times New Roman" w:cs="Times New Roman"/>
                <w:sz w:val="24"/>
                <w:szCs w:val="24"/>
                <w:lang w:eastAsia="ru-RU"/>
              </w:rPr>
              <w:t>449 882</w:t>
            </w:r>
          </w:p>
        </w:tc>
      </w:tr>
      <w:tr w:rsidR="00091524" w:rsidRPr="003E012B" w14:paraId="432C6BFB" w14:textId="77777777" w:rsidTr="0081656D">
        <w:trPr>
          <w:cantSplit/>
          <w:jc w:val="center"/>
        </w:trPr>
        <w:tc>
          <w:tcPr>
            <w:tcW w:w="2602" w:type="pct"/>
            <w:vAlign w:val="bottom"/>
          </w:tcPr>
          <w:p w14:paraId="2F4E1B62" w14:textId="77777777" w:rsidR="00091524" w:rsidRPr="003E012B" w:rsidRDefault="00091524" w:rsidP="00091524">
            <w:pPr>
              <w:spacing w:after="0" w:line="240" w:lineRule="auto"/>
              <w:ind w:left="284"/>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по уходу за вторым и последующими детьми</w:t>
            </w:r>
          </w:p>
        </w:tc>
        <w:tc>
          <w:tcPr>
            <w:tcW w:w="799" w:type="pct"/>
          </w:tcPr>
          <w:p w14:paraId="627D57C4" w14:textId="77777777" w:rsidR="00091524" w:rsidRPr="00091524" w:rsidRDefault="00091524" w:rsidP="00091524">
            <w:pPr>
              <w:tabs>
                <w:tab w:val="left" w:pos="1633"/>
              </w:tabs>
              <w:spacing w:after="0" w:line="240" w:lineRule="auto"/>
              <w:jc w:val="center"/>
              <w:rPr>
                <w:rFonts w:ascii="Times New Roman" w:eastAsia="Times New Roman" w:hAnsi="Times New Roman" w:cs="Times New Roman"/>
                <w:sz w:val="24"/>
                <w:szCs w:val="24"/>
                <w:lang w:eastAsia="ru-RU"/>
              </w:rPr>
            </w:pPr>
            <w:r w:rsidRPr="00091524">
              <w:rPr>
                <w:rFonts w:ascii="Times New Roman" w:eastAsia="Times New Roman" w:hAnsi="Times New Roman" w:cs="Times New Roman"/>
                <w:sz w:val="24"/>
                <w:szCs w:val="24"/>
                <w:lang w:eastAsia="ru-RU"/>
              </w:rPr>
              <w:t>917 096</w:t>
            </w:r>
          </w:p>
        </w:tc>
        <w:tc>
          <w:tcPr>
            <w:tcW w:w="799" w:type="pct"/>
            <w:vAlign w:val="bottom"/>
          </w:tcPr>
          <w:p w14:paraId="7D9CD9E2" w14:textId="77777777" w:rsidR="00091524" w:rsidRPr="00091524" w:rsidRDefault="00091524" w:rsidP="00091524">
            <w:pPr>
              <w:tabs>
                <w:tab w:val="left" w:pos="1633"/>
              </w:tabs>
              <w:spacing w:after="0" w:line="240" w:lineRule="auto"/>
              <w:jc w:val="center"/>
              <w:rPr>
                <w:rFonts w:ascii="Times New Roman" w:hAnsi="Times New Roman"/>
                <w:sz w:val="24"/>
                <w:szCs w:val="24"/>
              </w:rPr>
            </w:pPr>
            <w:r w:rsidRPr="00091524">
              <w:rPr>
                <w:rFonts w:ascii="Times New Roman" w:hAnsi="Times New Roman"/>
                <w:sz w:val="24"/>
                <w:szCs w:val="24"/>
              </w:rPr>
              <w:t>809 261</w:t>
            </w:r>
          </w:p>
        </w:tc>
        <w:tc>
          <w:tcPr>
            <w:tcW w:w="799" w:type="pct"/>
            <w:vAlign w:val="bottom"/>
          </w:tcPr>
          <w:p w14:paraId="055FB196" w14:textId="77777777" w:rsidR="00091524" w:rsidRPr="00091524" w:rsidRDefault="00091524" w:rsidP="00091524">
            <w:pPr>
              <w:tabs>
                <w:tab w:val="left" w:pos="1633"/>
              </w:tabs>
              <w:spacing w:after="0" w:line="240" w:lineRule="auto"/>
              <w:jc w:val="center"/>
              <w:rPr>
                <w:rFonts w:ascii="Times New Roman" w:eastAsia="Times New Roman" w:hAnsi="Times New Roman" w:cs="Times New Roman"/>
                <w:sz w:val="24"/>
                <w:szCs w:val="24"/>
                <w:lang w:eastAsia="ru-RU"/>
              </w:rPr>
            </w:pPr>
            <w:r w:rsidRPr="00091524">
              <w:rPr>
                <w:rFonts w:ascii="Times New Roman" w:eastAsia="Times New Roman" w:hAnsi="Times New Roman" w:cs="Times New Roman"/>
                <w:sz w:val="24"/>
                <w:szCs w:val="24"/>
                <w:lang w:eastAsia="ru-RU"/>
              </w:rPr>
              <w:t>820 138</w:t>
            </w:r>
          </w:p>
        </w:tc>
      </w:tr>
      <w:tr w:rsidR="00091524" w:rsidRPr="003E012B" w14:paraId="3483A750" w14:textId="77777777" w:rsidTr="0081656D">
        <w:trPr>
          <w:cantSplit/>
          <w:jc w:val="center"/>
        </w:trPr>
        <w:tc>
          <w:tcPr>
            <w:tcW w:w="2602" w:type="pct"/>
            <w:vAlign w:val="bottom"/>
          </w:tcPr>
          <w:p w14:paraId="1A3767A2" w14:textId="77777777" w:rsidR="00091524" w:rsidRPr="003E012B" w:rsidRDefault="00091524" w:rsidP="00091524">
            <w:pPr>
              <w:spacing w:after="0" w:line="240" w:lineRule="auto"/>
              <w:rPr>
                <w:rFonts w:ascii="Times New Roman" w:eastAsia="Times New Roman" w:hAnsi="Times New Roman" w:cs="Times New Roman"/>
                <w:sz w:val="24"/>
                <w:szCs w:val="24"/>
                <w:lang w:eastAsia="ru-RU"/>
              </w:rPr>
            </w:pPr>
            <w:r w:rsidRPr="003E012B">
              <w:rPr>
                <w:rFonts w:ascii="Times New Roman" w:eastAsia="Times New Roman" w:hAnsi="Times New Roman" w:cs="Times New Roman"/>
                <w:sz w:val="24"/>
                <w:szCs w:val="24"/>
                <w:lang w:eastAsia="ru-RU"/>
              </w:rPr>
              <w:t>Численность лиц, получающих ежемесячные денежные выплаты при рождении третьего и последующих детей до достижения ребенком возраста трех лет</w:t>
            </w:r>
            <w:r w:rsidRPr="003E012B">
              <w:rPr>
                <w:rFonts w:ascii="Times New Roman" w:eastAsia="Times New Roman" w:hAnsi="Times New Roman" w:cs="Times New Roman"/>
                <w:sz w:val="24"/>
                <w:szCs w:val="24"/>
                <w:vertAlign w:val="superscript"/>
                <w:lang w:eastAsia="ru-RU"/>
              </w:rPr>
              <w:t>4)</w:t>
            </w:r>
          </w:p>
        </w:tc>
        <w:tc>
          <w:tcPr>
            <w:tcW w:w="799" w:type="pct"/>
            <w:vAlign w:val="bottom"/>
          </w:tcPr>
          <w:p w14:paraId="5A8F7775" w14:textId="77777777" w:rsidR="00091524" w:rsidRPr="00091524" w:rsidRDefault="00091524" w:rsidP="00091524">
            <w:pPr>
              <w:tabs>
                <w:tab w:val="left" w:pos="1633"/>
              </w:tabs>
              <w:spacing w:after="0" w:line="240" w:lineRule="auto"/>
              <w:jc w:val="center"/>
              <w:rPr>
                <w:rFonts w:ascii="Times New Roman" w:eastAsia="Times New Roman" w:hAnsi="Times New Roman" w:cs="Times New Roman"/>
                <w:sz w:val="24"/>
                <w:szCs w:val="24"/>
                <w:lang w:eastAsia="ru-RU"/>
              </w:rPr>
            </w:pPr>
            <w:r w:rsidRPr="00091524">
              <w:rPr>
                <w:rFonts w:ascii="Times New Roman" w:eastAsia="Times New Roman" w:hAnsi="Times New Roman" w:cs="Times New Roman"/>
                <w:sz w:val="24"/>
                <w:szCs w:val="24"/>
                <w:lang w:eastAsia="ru-RU"/>
              </w:rPr>
              <w:t>542 070</w:t>
            </w:r>
          </w:p>
        </w:tc>
        <w:tc>
          <w:tcPr>
            <w:tcW w:w="799" w:type="pct"/>
            <w:vAlign w:val="bottom"/>
          </w:tcPr>
          <w:p w14:paraId="4CE6B9E4" w14:textId="77777777" w:rsidR="00091524" w:rsidRPr="00091524" w:rsidRDefault="00091524" w:rsidP="00091524">
            <w:pPr>
              <w:tabs>
                <w:tab w:val="left" w:pos="1633"/>
              </w:tabs>
              <w:spacing w:after="0" w:line="240" w:lineRule="auto"/>
              <w:jc w:val="center"/>
              <w:rPr>
                <w:rFonts w:ascii="Times New Roman" w:hAnsi="Times New Roman"/>
                <w:sz w:val="24"/>
                <w:szCs w:val="24"/>
                <w:lang w:val="en-US"/>
              </w:rPr>
            </w:pPr>
            <w:r w:rsidRPr="00091524">
              <w:rPr>
                <w:rFonts w:ascii="Times New Roman" w:hAnsi="Times New Roman"/>
                <w:sz w:val="24"/>
                <w:szCs w:val="24"/>
                <w:lang w:val="en-US"/>
              </w:rPr>
              <w:t>605 372</w:t>
            </w:r>
          </w:p>
        </w:tc>
        <w:tc>
          <w:tcPr>
            <w:tcW w:w="799" w:type="pct"/>
            <w:vAlign w:val="bottom"/>
          </w:tcPr>
          <w:p w14:paraId="4A76395E" w14:textId="77777777" w:rsidR="00091524" w:rsidRPr="00091524" w:rsidRDefault="00E54414" w:rsidP="00091524">
            <w:pPr>
              <w:tabs>
                <w:tab w:val="left" w:pos="1633"/>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704 028</w:t>
            </w:r>
          </w:p>
        </w:tc>
      </w:tr>
    </w:tbl>
    <w:p w14:paraId="39B66B93" w14:textId="77777777" w:rsidR="00D03A4F" w:rsidRPr="00E54414" w:rsidRDefault="00D03A4F" w:rsidP="00E54414">
      <w:pPr>
        <w:spacing w:before="80" w:after="0" w:line="240" w:lineRule="auto"/>
        <w:ind w:firstLine="284"/>
        <w:rPr>
          <w:rFonts w:ascii="Times New Roman" w:eastAsia="Times New Roman" w:hAnsi="Times New Roman" w:cs="Times New Roman"/>
          <w:bCs/>
          <w:lang w:eastAsia="ru-RU"/>
        </w:rPr>
      </w:pPr>
      <w:r w:rsidRPr="00E54414">
        <w:rPr>
          <w:rFonts w:ascii="Times New Roman" w:eastAsia="Times New Roman" w:hAnsi="Times New Roman" w:cs="Times New Roman"/>
          <w:bCs/>
          <w:lang w:eastAsia="ru-RU"/>
        </w:rPr>
        <w:t xml:space="preserve">1) </w:t>
      </w:r>
      <w:r w:rsidR="00E54414">
        <w:rPr>
          <w:rFonts w:ascii="Times New Roman" w:eastAsia="Times New Roman" w:hAnsi="Times New Roman" w:cs="Times New Roman"/>
          <w:bCs/>
          <w:lang w:eastAsia="ru-RU"/>
        </w:rPr>
        <w:t>С 2021 г. данные по Российской Федерации приведены с учетом</w:t>
      </w:r>
      <w:r w:rsidRPr="00E54414">
        <w:rPr>
          <w:rFonts w:ascii="Times New Roman" w:eastAsia="Times New Roman" w:hAnsi="Times New Roman" w:cs="Times New Roman"/>
          <w:bCs/>
          <w:lang w:eastAsia="ru-RU"/>
        </w:rPr>
        <w:t xml:space="preserve"> г. Байконур.</w:t>
      </w:r>
    </w:p>
    <w:p w14:paraId="2649B321" w14:textId="77777777" w:rsidR="00D03A4F" w:rsidRPr="00E54414" w:rsidRDefault="00D03A4F" w:rsidP="00D03A4F">
      <w:pPr>
        <w:spacing w:after="0" w:line="240" w:lineRule="auto"/>
        <w:ind w:firstLine="284"/>
        <w:rPr>
          <w:rFonts w:ascii="Times New Roman" w:eastAsia="Times New Roman" w:hAnsi="Times New Roman" w:cs="Times New Roman"/>
          <w:bCs/>
          <w:lang w:eastAsia="ru-RU"/>
        </w:rPr>
      </w:pPr>
      <w:r w:rsidRPr="00E54414">
        <w:rPr>
          <w:rFonts w:ascii="Times New Roman" w:eastAsia="Times New Roman" w:hAnsi="Times New Roman" w:cs="Times New Roman"/>
          <w:bCs/>
          <w:lang w:eastAsia="ru-RU"/>
        </w:rPr>
        <w:t xml:space="preserve">2) По данным </w:t>
      </w:r>
      <w:r w:rsidRPr="00E54414">
        <w:rPr>
          <w:rFonts w:ascii="Times New Roman" w:eastAsia="Times New Roman" w:hAnsi="Times New Roman" w:cs="Times New Roman"/>
          <w:lang w:eastAsia="ru-RU"/>
        </w:rPr>
        <w:t>Фонда социального страхования Российской Федерации</w:t>
      </w:r>
      <w:r w:rsidRPr="00E54414">
        <w:rPr>
          <w:rFonts w:ascii="Times New Roman" w:eastAsia="Times New Roman" w:hAnsi="Times New Roman" w:cs="Times New Roman"/>
          <w:bCs/>
          <w:lang w:eastAsia="ru-RU"/>
        </w:rPr>
        <w:t xml:space="preserve">. </w:t>
      </w:r>
    </w:p>
    <w:p w14:paraId="7469D2D3" w14:textId="77777777" w:rsidR="00D03A4F" w:rsidRPr="00E54414" w:rsidRDefault="00D03A4F" w:rsidP="00D03A4F">
      <w:pPr>
        <w:spacing w:after="0" w:line="240" w:lineRule="auto"/>
        <w:ind w:firstLine="284"/>
        <w:rPr>
          <w:rFonts w:ascii="Times New Roman" w:eastAsia="Times New Roman" w:hAnsi="Times New Roman" w:cs="Times New Roman"/>
          <w:bCs/>
          <w:lang w:eastAsia="ru-RU"/>
        </w:rPr>
      </w:pPr>
      <w:r w:rsidRPr="00E54414">
        <w:rPr>
          <w:rFonts w:ascii="Times New Roman" w:eastAsia="Times New Roman" w:hAnsi="Times New Roman" w:cs="Times New Roman"/>
          <w:bCs/>
          <w:lang w:eastAsia="ru-RU"/>
        </w:rPr>
        <w:t>3) По данным Министерства труда и социальной защиты Российской Федерации.</w:t>
      </w:r>
    </w:p>
    <w:p w14:paraId="1AC9E0B1" w14:textId="77777777" w:rsidR="00D03A4F" w:rsidRPr="00E54414" w:rsidRDefault="00D03A4F" w:rsidP="001F2084">
      <w:pPr>
        <w:spacing w:after="0" w:line="240" w:lineRule="auto"/>
        <w:ind w:firstLine="284"/>
        <w:rPr>
          <w:rFonts w:ascii="Times New Roman" w:eastAsia="Times New Roman" w:hAnsi="Times New Roman" w:cs="Times New Roman"/>
          <w:bCs/>
          <w:lang w:eastAsia="ru-RU"/>
        </w:rPr>
      </w:pPr>
      <w:r w:rsidRPr="00E54414">
        <w:rPr>
          <w:rFonts w:ascii="Times New Roman" w:eastAsia="Times New Roman" w:hAnsi="Times New Roman" w:cs="Times New Roman"/>
          <w:bCs/>
          <w:lang w:eastAsia="ru-RU"/>
        </w:rPr>
        <w:t xml:space="preserve">4) По данным органов исполнительной власти </w:t>
      </w:r>
      <w:r w:rsidR="001F2084" w:rsidRPr="00E54414">
        <w:rPr>
          <w:rFonts w:ascii="Times New Roman" w:eastAsia="Times New Roman" w:hAnsi="Times New Roman" w:cs="Times New Roman"/>
          <w:bCs/>
          <w:lang w:eastAsia="ru-RU"/>
        </w:rPr>
        <w:t>субъектов Российской Федерации.</w:t>
      </w:r>
    </w:p>
    <w:p w14:paraId="4DBD997A" w14:textId="77777777" w:rsidR="001903A7" w:rsidRDefault="001903A7" w:rsidP="00D03A4F">
      <w:pPr>
        <w:spacing w:after="0" w:line="240" w:lineRule="auto"/>
        <w:jc w:val="right"/>
        <w:rPr>
          <w:rFonts w:ascii="Times New Roman" w:eastAsia="Times New Roman" w:hAnsi="Times New Roman" w:cs="Times New Roman"/>
          <w:sz w:val="26"/>
          <w:szCs w:val="26"/>
          <w:highlight w:val="yellow"/>
          <w:lang w:eastAsia="ru-RU"/>
        </w:rPr>
      </w:pPr>
    </w:p>
    <w:p w14:paraId="7DB5B97B" w14:textId="77777777" w:rsidR="00DB764F" w:rsidRDefault="00DB764F" w:rsidP="00D03A4F">
      <w:pPr>
        <w:spacing w:after="0" w:line="240" w:lineRule="auto"/>
        <w:jc w:val="right"/>
        <w:rPr>
          <w:rFonts w:ascii="Times New Roman" w:eastAsia="Times New Roman" w:hAnsi="Times New Roman" w:cs="Times New Roman"/>
          <w:sz w:val="26"/>
          <w:szCs w:val="26"/>
          <w:lang w:eastAsia="ru-RU"/>
        </w:rPr>
      </w:pPr>
    </w:p>
    <w:p w14:paraId="7B3AFB42" w14:textId="77777777" w:rsidR="002F531B" w:rsidRDefault="002F531B" w:rsidP="00D03A4F">
      <w:pPr>
        <w:spacing w:after="0" w:line="240" w:lineRule="auto"/>
        <w:jc w:val="right"/>
        <w:rPr>
          <w:rFonts w:ascii="Times New Roman" w:eastAsia="Times New Roman" w:hAnsi="Times New Roman" w:cs="Times New Roman"/>
          <w:sz w:val="26"/>
          <w:szCs w:val="26"/>
          <w:lang w:eastAsia="ru-RU"/>
        </w:rPr>
      </w:pPr>
    </w:p>
    <w:p w14:paraId="3F998D8F" w14:textId="77777777" w:rsidR="00D03A4F" w:rsidRPr="0053253B" w:rsidRDefault="00D03A4F" w:rsidP="00D03A4F">
      <w:pPr>
        <w:spacing w:after="0" w:line="240" w:lineRule="auto"/>
        <w:jc w:val="right"/>
        <w:rPr>
          <w:rFonts w:ascii="Times New Roman" w:eastAsia="Times New Roman" w:hAnsi="Times New Roman" w:cs="Times New Roman"/>
          <w:sz w:val="26"/>
          <w:szCs w:val="26"/>
          <w:lang w:eastAsia="ru-RU"/>
        </w:rPr>
      </w:pPr>
      <w:r w:rsidRPr="0053253B">
        <w:rPr>
          <w:rFonts w:ascii="Times New Roman" w:eastAsia="Times New Roman" w:hAnsi="Times New Roman" w:cs="Times New Roman"/>
          <w:sz w:val="26"/>
          <w:szCs w:val="26"/>
          <w:lang w:eastAsia="ru-RU"/>
        </w:rPr>
        <w:t>Таблица 6</w:t>
      </w:r>
      <w:r w:rsidR="008737BB">
        <w:rPr>
          <w:rFonts w:ascii="Times New Roman" w:eastAsia="Times New Roman" w:hAnsi="Times New Roman" w:cs="Times New Roman"/>
          <w:sz w:val="26"/>
          <w:szCs w:val="26"/>
          <w:lang w:eastAsia="ru-RU"/>
        </w:rPr>
        <w:t>0</w:t>
      </w:r>
    </w:p>
    <w:p w14:paraId="00D873C1" w14:textId="77777777" w:rsidR="00D03A4F" w:rsidRPr="0053253B" w:rsidRDefault="00D03A4F" w:rsidP="00D03A4F">
      <w:pPr>
        <w:spacing w:after="0" w:line="240" w:lineRule="auto"/>
        <w:jc w:val="right"/>
        <w:rPr>
          <w:rFonts w:ascii="Times New Roman" w:eastAsia="Times New Roman" w:hAnsi="Times New Roman" w:cs="Times New Roman"/>
          <w:sz w:val="26"/>
          <w:szCs w:val="26"/>
          <w:lang w:eastAsia="ru-RU"/>
        </w:rPr>
      </w:pPr>
    </w:p>
    <w:p w14:paraId="0ADD6D90" w14:textId="77777777" w:rsidR="00D03A4F" w:rsidRPr="0053253B"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53253B">
        <w:rPr>
          <w:rFonts w:ascii="Times New Roman" w:eastAsia="Times New Roman" w:hAnsi="Times New Roman" w:cs="Times New Roman"/>
          <w:b/>
          <w:bCs/>
          <w:sz w:val="26"/>
          <w:szCs w:val="26"/>
          <w:lang w:eastAsia="ru-RU"/>
        </w:rPr>
        <w:t>Сведения о получении материнского (семейного) капитала</w:t>
      </w:r>
    </w:p>
    <w:p w14:paraId="6BC0D480" w14:textId="77777777" w:rsidR="00D03A4F" w:rsidRPr="0053253B" w:rsidRDefault="00D03A4F" w:rsidP="00D03A4F">
      <w:pPr>
        <w:spacing w:after="0" w:line="240" w:lineRule="auto"/>
        <w:ind w:left="567" w:right="141"/>
        <w:jc w:val="center"/>
        <w:rPr>
          <w:rFonts w:ascii="Times New Roman" w:eastAsia="Times New Roman" w:hAnsi="Times New Roman" w:cs="Times New Roman"/>
          <w:bCs/>
          <w:sz w:val="24"/>
          <w:szCs w:val="24"/>
          <w:lang w:eastAsia="ru-RU"/>
        </w:rPr>
      </w:pPr>
      <w:r w:rsidRPr="0053253B">
        <w:rPr>
          <w:rFonts w:ascii="Times New Roman" w:eastAsia="Times New Roman" w:hAnsi="Times New Roman" w:cs="Times New Roman"/>
          <w:bCs/>
          <w:sz w:val="24"/>
          <w:szCs w:val="24"/>
          <w:lang w:eastAsia="ru-RU"/>
        </w:rPr>
        <w:t>(по данным Пенсион</w:t>
      </w:r>
      <w:r w:rsidR="00C07ECC">
        <w:rPr>
          <w:rFonts w:ascii="Times New Roman" w:eastAsia="Times New Roman" w:hAnsi="Times New Roman" w:cs="Times New Roman"/>
          <w:bCs/>
          <w:sz w:val="24"/>
          <w:szCs w:val="24"/>
          <w:lang w:eastAsia="ru-RU"/>
        </w:rPr>
        <w:t>ного фонда Российской Федерации</w:t>
      </w:r>
      <w:r w:rsidRPr="0053253B">
        <w:rPr>
          <w:rFonts w:ascii="Times New Roman" w:eastAsia="Times New Roman" w:hAnsi="Times New Roman" w:cs="Times New Roman"/>
          <w:bCs/>
          <w:sz w:val="24"/>
          <w:szCs w:val="24"/>
          <w:lang w:eastAsia="ru-RU"/>
        </w:rPr>
        <w:t>)</w:t>
      </w:r>
    </w:p>
    <w:p w14:paraId="5FA517C4" w14:textId="77777777" w:rsidR="00D03A4F" w:rsidRPr="0053253B" w:rsidRDefault="00D03A4F" w:rsidP="00D03A4F">
      <w:pPr>
        <w:spacing w:after="0" w:line="240" w:lineRule="auto"/>
        <w:jc w:val="right"/>
        <w:rPr>
          <w:rFonts w:ascii="Times New Roman" w:eastAsia="Times New Roman" w:hAnsi="Times New Roman" w:cs="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51"/>
        <w:gridCol w:w="1648"/>
        <w:gridCol w:w="1648"/>
        <w:gridCol w:w="1648"/>
      </w:tblGrid>
      <w:tr w:rsidR="0081656D" w:rsidRPr="0053253B" w14:paraId="3C958C77" w14:textId="77777777" w:rsidTr="0081656D">
        <w:trPr>
          <w:cantSplit/>
          <w:trHeight w:val="328"/>
          <w:tblHeader/>
          <w:jc w:val="center"/>
        </w:trPr>
        <w:tc>
          <w:tcPr>
            <w:tcW w:w="2576" w:type="pct"/>
            <w:vAlign w:val="center"/>
          </w:tcPr>
          <w:p w14:paraId="5B8D9397" w14:textId="77777777" w:rsidR="0081656D" w:rsidRPr="0053253B" w:rsidRDefault="0081656D" w:rsidP="0081656D">
            <w:pPr>
              <w:spacing w:after="0" w:line="240" w:lineRule="auto"/>
              <w:jc w:val="center"/>
              <w:rPr>
                <w:rFonts w:ascii="Times New Roman" w:eastAsia="Times New Roman" w:hAnsi="Times New Roman" w:cs="Times New Roman"/>
                <w:sz w:val="24"/>
                <w:szCs w:val="24"/>
                <w:lang w:eastAsia="ru-RU"/>
              </w:rPr>
            </w:pPr>
          </w:p>
        </w:tc>
        <w:tc>
          <w:tcPr>
            <w:tcW w:w="808" w:type="pct"/>
            <w:vAlign w:val="center"/>
          </w:tcPr>
          <w:p w14:paraId="6163FC71" w14:textId="77777777" w:rsidR="0081656D" w:rsidRPr="0053253B" w:rsidRDefault="0081656D" w:rsidP="0081656D">
            <w:pPr>
              <w:spacing w:after="0" w:line="240" w:lineRule="auto"/>
              <w:jc w:val="center"/>
              <w:rPr>
                <w:rFonts w:ascii="Times New Roman" w:eastAsia="Times New Roman" w:hAnsi="Times New Roman" w:cs="Times New Roman"/>
                <w:bCs/>
                <w:sz w:val="24"/>
                <w:szCs w:val="24"/>
                <w:lang w:eastAsia="ru-RU"/>
              </w:rPr>
            </w:pPr>
            <w:r w:rsidRPr="0053253B">
              <w:rPr>
                <w:rFonts w:ascii="Times New Roman" w:eastAsia="Times New Roman" w:hAnsi="Times New Roman" w:cs="Times New Roman"/>
                <w:bCs/>
                <w:sz w:val="24"/>
                <w:szCs w:val="24"/>
                <w:lang w:eastAsia="ru-RU"/>
              </w:rPr>
              <w:t>2019 г.</w:t>
            </w:r>
          </w:p>
        </w:tc>
        <w:tc>
          <w:tcPr>
            <w:tcW w:w="808" w:type="pct"/>
            <w:vAlign w:val="center"/>
          </w:tcPr>
          <w:p w14:paraId="53D86D2A" w14:textId="77777777" w:rsidR="0081656D" w:rsidRPr="0053253B" w:rsidRDefault="0081656D" w:rsidP="0081656D">
            <w:pPr>
              <w:spacing w:after="0" w:line="240" w:lineRule="auto"/>
              <w:jc w:val="center"/>
              <w:rPr>
                <w:rFonts w:ascii="Times New Roman" w:eastAsia="Times New Roman" w:hAnsi="Times New Roman" w:cs="Times New Roman"/>
                <w:bCs/>
                <w:sz w:val="24"/>
                <w:szCs w:val="24"/>
                <w:lang w:eastAsia="ru-RU"/>
              </w:rPr>
            </w:pPr>
            <w:r w:rsidRPr="0053253B">
              <w:rPr>
                <w:rFonts w:ascii="Times New Roman" w:eastAsia="Times New Roman" w:hAnsi="Times New Roman" w:cs="Times New Roman"/>
                <w:bCs/>
                <w:sz w:val="24"/>
                <w:szCs w:val="24"/>
                <w:lang w:eastAsia="ru-RU"/>
              </w:rPr>
              <w:t>2020 г.</w:t>
            </w:r>
          </w:p>
        </w:tc>
        <w:tc>
          <w:tcPr>
            <w:tcW w:w="808" w:type="pct"/>
            <w:vAlign w:val="center"/>
          </w:tcPr>
          <w:p w14:paraId="30E0D69A" w14:textId="77777777" w:rsidR="0081656D" w:rsidRPr="0053253B" w:rsidRDefault="00EE57FB" w:rsidP="00EE57FB">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2021 г.</w:t>
            </w:r>
            <w:r w:rsidRPr="00E03A92">
              <w:rPr>
                <w:rFonts w:ascii="Times New Roman" w:eastAsia="Times New Roman" w:hAnsi="Times New Roman" w:cs="Times New Roman"/>
                <w:bCs/>
                <w:sz w:val="24"/>
                <w:szCs w:val="24"/>
                <w:vertAlign w:val="superscript"/>
              </w:rPr>
              <w:t>1)</w:t>
            </w:r>
          </w:p>
        </w:tc>
      </w:tr>
      <w:tr w:rsidR="0081656D" w:rsidRPr="0053253B" w14:paraId="72BE1AEF" w14:textId="77777777" w:rsidTr="0081656D">
        <w:trPr>
          <w:cantSplit/>
          <w:jc w:val="center"/>
        </w:trPr>
        <w:tc>
          <w:tcPr>
            <w:tcW w:w="2576" w:type="pct"/>
            <w:vAlign w:val="bottom"/>
          </w:tcPr>
          <w:p w14:paraId="503A85C0" w14:textId="77777777" w:rsidR="0081656D" w:rsidRPr="0053253B" w:rsidRDefault="0081656D" w:rsidP="0081656D">
            <w:pPr>
              <w:spacing w:after="0" w:line="240" w:lineRule="auto"/>
              <w:ind w:left="57"/>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Численность лиц, получивших государственный сертификат на материнский (семейный) капитал, человек</w:t>
            </w:r>
          </w:p>
        </w:tc>
        <w:tc>
          <w:tcPr>
            <w:tcW w:w="808" w:type="pct"/>
            <w:vAlign w:val="center"/>
          </w:tcPr>
          <w:p w14:paraId="7029EC64" w14:textId="77777777" w:rsidR="0081656D" w:rsidRPr="00EE57FB" w:rsidRDefault="0081656D" w:rsidP="0081656D">
            <w:pPr>
              <w:spacing w:after="0" w:line="240" w:lineRule="auto"/>
              <w:jc w:val="center"/>
              <w:rPr>
                <w:rFonts w:ascii="Times New Roman" w:eastAsia="Times New Roman" w:hAnsi="Times New Roman" w:cs="Times New Roman"/>
                <w:sz w:val="24"/>
                <w:szCs w:val="24"/>
                <w:lang w:eastAsia="ru-RU"/>
              </w:rPr>
            </w:pPr>
            <w:r w:rsidRPr="00EE57FB">
              <w:rPr>
                <w:rFonts w:ascii="Times New Roman" w:eastAsia="Times New Roman" w:hAnsi="Times New Roman" w:cs="Times New Roman"/>
                <w:sz w:val="24"/>
                <w:szCs w:val="24"/>
                <w:lang w:eastAsia="ru-RU"/>
              </w:rPr>
              <w:t>626 450</w:t>
            </w:r>
          </w:p>
        </w:tc>
        <w:tc>
          <w:tcPr>
            <w:tcW w:w="808" w:type="pct"/>
            <w:vAlign w:val="center"/>
          </w:tcPr>
          <w:p w14:paraId="135EA9C6" w14:textId="77777777" w:rsidR="0081656D" w:rsidRPr="00EE57FB" w:rsidRDefault="00EE57FB" w:rsidP="00EE57FB">
            <w:pPr>
              <w:spacing w:after="0" w:line="240" w:lineRule="auto"/>
              <w:jc w:val="center"/>
              <w:rPr>
                <w:rFonts w:ascii="Times New Roman" w:hAnsi="Times New Roman"/>
                <w:sz w:val="24"/>
                <w:szCs w:val="24"/>
              </w:rPr>
            </w:pPr>
            <w:r w:rsidRPr="00EE57FB">
              <w:rPr>
                <w:rFonts w:ascii="Times New Roman" w:hAnsi="Times New Roman"/>
                <w:sz w:val="24"/>
                <w:szCs w:val="24"/>
              </w:rPr>
              <w:t>1 207 463</w:t>
            </w:r>
            <w:r w:rsidRPr="00EE57FB">
              <w:rPr>
                <w:rFonts w:ascii="Times New Roman" w:hAnsi="Times New Roman"/>
                <w:sz w:val="24"/>
                <w:szCs w:val="24"/>
                <w:vertAlign w:val="superscript"/>
              </w:rPr>
              <w:t>2</w:t>
            </w:r>
            <w:r w:rsidR="0081656D" w:rsidRPr="00EE57FB">
              <w:rPr>
                <w:rFonts w:ascii="Times New Roman" w:hAnsi="Times New Roman"/>
                <w:sz w:val="24"/>
                <w:szCs w:val="24"/>
                <w:vertAlign w:val="superscript"/>
              </w:rPr>
              <w:t>)</w:t>
            </w:r>
          </w:p>
        </w:tc>
        <w:tc>
          <w:tcPr>
            <w:tcW w:w="808" w:type="pct"/>
            <w:vAlign w:val="center"/>
          </w:tcPr>
          <w:p w14:paraId="31A3C4B5" w14:textId="77777777" w:rsidR="0081656D" w:rsidRPr="00EE57FB" w:rsidRDefault="00EE57FB" w:rsidP="008165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1 053 461</w:t>
            </w:r>
            <w:r w:rsidRPr="00EE57FB">
              <w:rPr>
                <w:rFonts w:ascii="Times New Roman" w:hAnsi="Times New Roman"/>
                <w:sz w:val="24"/>
                <w:szCs w:val="24"/>
                <w:vertAlign w:val="superscript"/>
              </w:rPr>
              <w:t>2</w:t>
            </w:r>
            <w:r>
              <w:rPr>
                <w:rFonts w:ascii="Times New Roman" w:hAnsi="Times New Roman"/>
                <w:sz w:val="24"/>
                <w:szCs w:val="24"/>
                <w:vertAlign w:val="superscript"/>
              </w:rPr>
              <w:t>)</w:t>
            </w:r>
          </w:p>
        </w:tc>
      </w:tr>
      <w:tr w:rsidR="0081656D" w:rsidRPr="0053253B" w14:paraId="717F7F84" w14:textId="77777777" w:rsidTr="0081656D">
        <w:trPr>
          <w:cantSplit/>
          <w:jc w:val="center"/>
        </w:trPr>
        <w:tc>
          <w:tcPr>
            <w:tcW w:w="2576" w:type="pct"/>
            <w:vAlign w:val="bottom"/>
          </w:tcPr>
          <w:p w14:paraId="021C3219" w14:textId="77777777" w:rsidR="0081656D" w:rsidRPr="0053253B" w:rsidRDefault="0081656D" w:rsidP="0081656D">
            <w:pPr>
              <w:spacing w:after="0" w:line="240" w:lineRule="auto"/>
              <w:ind w:left="57"/>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Численность лиц, полностью распорядившихся средствами (частью средств) материнского (семейного) капитала, человек</w:t>
            </w:r>
          </w:p>
        </w:tc>
        <w:tc>
          <w:tcPr>
            <w:tcW w:w="808" w:type="pct"/>
            <w:vAlign w:val="center"/>
          </w:tcPr>
          <w:p w14:paraId="0EBA9285" w14:textId="77777777" w:rsidR="0081656D" w:rsidRPr="00EE57FB" w:rsidRDefault="0081656D" w:rsidP="0081656D">
            <w:pPr>
              <w:spacing w:after="0" w:line="240" w:lineRule="auto"/>
              <w:jc w:val="center"/>
              <w:rPr>
                <w:rFonts w:ascii="Times New Roman" w:eastAsia="Times New Roman" w:hAnsi="Times New Roman" w:cs="Times New Roman"/>
                <w:sz w:val="24"/>
                <w:szCs w:val="24"/>
                <w:lang w:eastAsia="ru-RU"/>
              </w:rPr>
            </w:pPr>
            <w:r w:rsidRPr="00EE57FB">
              <w:rPr>
                <w:rFonts w:ascii="Times New Roman" w:eastAsia="Times New Roman" w:hAnsi="Times New Roman" w:cs="Times New Roman"/>
                <w:sz w:val="24"/>
                <w:szCs w:val="24"/>
                <w:lang w:eastAsia="ru-RU"/>
              </w:rPr>
              <w:t>649 938</w:t>
            </w:r>
          </w:p>
        </w:tc>
        <w:tc>
          <w:tcPr>
            <w:tcW w:w="808" w:type="pct"/>
            <w:vAlign w:val="center"/>
          </w:tcPr>
          <w:p w14:paraId="2693BCF4" w14:textId="77777777" w:rsidR="0081656D" w:rsidRPr="00EE57FB" w:rsidRDefault="0081656D" w:rsidP="0081656D">
            <w:pPr>
              <w:spacing w:after="0" w:line="240" w:lineRule="auto"/>
              <w:jc w:val="center"/>
              <w:rPr>
                <w:rFonts w:ascii="Times New Roman" w:hAnsi="Times New Roman"/>
                <w:sz w:val="24"/>
                <w:szCs w:val="24"/>
              </w:rPr>
            </w:pPr>
            <w:r w:rsidRPr="00EE57FB">
              <w:rPr>
                <w:rFonts w:ascii="Times New Roman" w:hAnsi="Times New Roman"/>
                <w:sz w:val="24"/>
                <w:szCs w:val="24"/>
              </w:rPr>
              <w:t>265 177</w:t>
            </w:r>
          </w:p>
        </w:tc>
        <w:tc>
          <w:tcPr>
            <w:tcW w:w="808" w:type="pct"/>
            <w:vAlign w:val="center"/>
          </w:tcPr>
          <w:p w14:paraId="0CC4B5CF" w14:textId="77777777" w:rsidR="0081656D" w:rsidRPr="00EE57FB" w:rsidRDefault="00EE57FB" w:rsidP="008165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1656D" w:rsidRPr="0053253B" w14:paraId="3D7908DE" w14:textId="77777777" w:rsidTr="0081656D">
        <w:trPr>
          <w:cantSplit/>
          <w:jc w:val="center"/>
        </w:trPr>
        <w:tc>
          <w:tcPr>
            <w:tcW w:w="2576" w:type="pct"/>
            <w:vAlign w:val="bottom"/>
          </w:tcPr>
          <w:p w14:paraId="434BE96F" w14:textId="77777777" w:rsidR="0081656D" w:rsidRPr="0053253B" w:rsidRDefault="0081656D" w:rsidP="0081656D">
            <w:pPr>
              <w:spacing w:after="0" w:line="240" w:lineRule="auto"/>
              <w:ind w:left="57"/>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Численность лиц, распорядившихся средствами (частью средств) материнского (семейного) капитала – всего, человек:</w:t>
            </w:r>
          </w:p>
        </w:tc>
        <w:tc>
          <w:tcPr>
            <w:tcW w:w="808" w:type="pct"/>
            <w:vAlign w:val="center"/>
          </w:tcPr>
          <w:p w14:paraId="5247122D" w14:textId="77777777" w:rsidR="0081656D" w:rsidRPr="00EE57FB" w:rsidRDefault="0081656D" w:rsidP="0081656D">
            <w:pPr>
              <w:spacing w:after="0" w:line="240" w:lineRule="auto"/>
              <w:jc w:val="center"/>
              <w:rPr>
                <w:rFonts w:ascii="Times New Roman" w:eastAsia="Times New Roman" w:hAnsi="Times New Roman" w:cs="Times New Roman"/>
                <w:sz w:val="24"/>
                <w:szCs w:val="24"/>
                <w:lang w:eastAsia="ru-RU"/>
              </w:rPr>
            </w:pPr>
            <w:r w:rsidRPr="00EE57FB">
              <w:rPr>
                <w:rFonts w:ascii="Times New Roman" w:eastAsia="Times New Roman" w:hAnsi="Times New Roman" w:cs="Times New Roman"/>
                <w:sz w:val="24"/>
                <w:szCs w:val="24"/>
                <w:lang w:eastAsia="ru-RU"/>
              </w:rPr>
              <w:t>848 467</w:t>
            </w:r>
          </w:p>
        </w:tc>
        <w:tc>
          <w:tcPr>
            <w:tcW w:w="808" w:type="pct"/>
            <w:vAlign w:val="center"/>
          </w:tcPr>
          <w:p w14:paraId="0B9133CC" w14:textId="77777777" w:rsidR="0081656D" w:rsidRPr="00EE57FB" w:rsidRDefault="0081656D" w:rsidP="0081656D">
            <w:pPr>
              <w:spacing w:after="0" w:line="240" w:lineRule="auto"/>
              <w:jc w:val="center"/>
              <w:rPr>
                <w:rFonts w:ascii="Times New Roman" w:hAnsi="Times New Roman"/>
                <w:sz w:val="24"/>
                <w:szCs w:val="24"/>
              </w:rPr>
            </w:pPr>
            <w:r w:rsidRPr="00EE57FB">
              <w:rPr>
                <w:rFonts w:ascii="Times New Roman" w:hAnsi="Times New Roman"/>
                <w:sz w:val="24"/>
                <w:szCs w:val="24"/>
              </w:rPr>
              <w:t>829 486</w:t>
            </w:r>
          </w:p>
        </w:tc>
        <w:tc>
          <w:tcPr>
            <w:tcW w:w="808" w:type="pct"/>
            <w:vAlign w:val="center"/>
          </w:tcPr>
          <w:p w14:paraId="5C7CDEB7" w14:textId="77777777" w:rsidR="0081656D" w:rsidRPr="00EE57FB" w:rsidRDefault="00EE57FB" w:rsidP="008165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1 281 471</w:t>
            </w:r>
          </w:p>
        </w:tc>
      </w:tr>
      <w:tr w:rsidR="0081656D" w:rsidRPr="0053253B" w14:paraId="45C88846" w14:textId="77777777" w:rsidTr="0081656D">
        <w:trPr>
          <w:cantSplit/>
          <w:jc w:val="center"/>
        </w:trPr>
        <w:tc>
          <w:tcPr>
            <w:tcW w:w="2576" w:type="pct"/>
            <w:vAlign w:val="bottom"/>
          </w:tcPr>
          <w:p w14:paraId="67560630" w14:textId="77777777" w:rsidR="0081656D" w:rsidRPr="0053253B" w:rsidRDefault="0081656D" w:rsidP="0081656D">
            <w:pPr>
              <w:spacing w:beforeLines="40" w:before="96" w:after="0" w:line="240" w:lineRule="auto"/>
              <w:ind w:left="170"/>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в том числе по следующим направлениям:</w:t>
            </w:r>
          </w:p>
        </w:tc>
        <w:tc>
          <w:tcPr>
            <w:tcW w:w="808" w:type="pct"/>
            <w:vAlign w:val="center"/>
          </w:tcPr>
          <w:p w14:paraId="6A383B99" w14:textId="77777777" w:rsidR="0081656D" w:rsidRPr="00EE57FB" w:rsidRDefault="0081656D" w:rsidP="0081656D">
            <w:pPr>
              <w:spacing w:after="0" w:line="240" w:lineRule="auto"/>
              <w:jc w:val="center"/>
              <w:rPr>
                <w:rFonts w:ascii="Times New Roman" w:eastAsia="Times New Roman" w:hAnsi="Times New Roman" w:cs="Times New Roman"/>
                <w:sz w:val="24"/>
                <w:szCs w:val="24"/>
                <w:lang w:eastAsia="ru-RU"/>
              </w:rPr>
            </w:pPr>
          </w:p>
        </w:tc>
        <w:tc>
          <w:tcPr>
            <w:tcW w:w="808" w:type="pct"/>
            <w:vAlign w:val="center"/>
          </w:tcPr>
          <w:p w14:paraId="0A534676" w14:textId="77777777" w:rsidR="0081656D" w:rsidRPr="00EE57FB" w:rsidRDefault="0081656D" w:rsidP="0081656D">
            <w:pPr>
              <w:spacing w:after="0" w:line="240" w:lineRule="auto"/>
              <w:jc w:val="center"/>
              <w:rPr>
                <w:rFonts w:ascii="Times New Roman" w:hAnsi="Times New Roman"/>
                <w:sz w:val="24"/>
                <w:szCs w:val="24"/>
              </w:rPr>
            </w:pPr>
          </w:p>
        </w:tc>
        <w:tc>
          <w:tcPr>
            <w:tcW w:w="808" w:type="pct"/>
            <w:vAlign w:val="center"/>
          </w:tcPr>
          <w:p w14:paraId="37C2C33B" w14:textId="77777777" w:rsidR="0081656D" w:rsidRPr="00EE57FB" w:rsidRDefault="0081656D" w:rsidP="0081656D">
            <w:pPr>
              <w:spacing w:after="0" w:line="240" w:lineRule="auto"/>
              <w:ind w:left="180"/>
              <w:jc w:val="center"/>
              <w:rPr>
                <w:rFonts w:ascii="Times New Roman" w:eastAsia="Times New Roman" w:hAnsi="Times New Roman" w:cs="Times New Roman"/>
                <w:sz w:val="24"/>
                <w:szCs w:val="24"/>
                <w:lang w:eastAsia="ru-RU"/>
              </w:rPr>
            </w:pPr>
          </w:p>
        </w:tc>
      </w:tr>
      <w:tr w:rsidR="0081656D" w:rsidRPr="0053253B" w14:paraId="21A985E3" w14:textId="77777777" w:rsidTr="0081656D">
        <w:trPr>
          <w:cantSplit/>
          <w:jc w:val="center"/>
        </w:trPr>
        <w:tc>
          <w:tcPr>
            <w:tcW w:w="2576" w:type="pct"/>
            <w:vAlign w:val="bottom"/>
          </w:tcPr>
          <w:p w14:paraId="3920B71A" w14:textId="77777777" w:rsidR="0081656D" w:rsidRPr="0053253B" w:rsidRDefault="001E0E7D" w:rsidP="0081656D">
            <w:pPr>
              <w:spacing w:beforeLines="40" w:before="96" w:after="0" w:line="240" w:lineRule="auto"/>
              <w:ind w:left="170"/>
              <w:rPr>
                <w:rFonts w:ascii="Times New Roman" w:eastAsia="Times New Roman" w:hAnsi="Times New Roman" w:cs="Times New Roman"/>
                <w:sz w:val="24"/>
                <w:szCs w:val="24"/>
                <w:lang w:eastAsia="ru-RU"/>
              </w:rPr>
            </w:pPr>
            <w:hyperlink w:anchor="sub_10" w:history="1">
              <w:r w:rsidR="0081656D" w:rsidRPr="0053253B">
                <w:rPr>
                  <w:rFonts w:ascii="Times New Roman" w:eastAsia="Times New Roman" w:hAnsi="Times New Roman" w:cs="Times New Roman"/>
                  <w:sz w:val="24"/>
                  <w:szCs w:val="24"/>
                  <w:lang w:eastAsia="ru-RU"/>
                </w:rPr>
                <w:t>улучшение жилищных условий</w:t>
              </w:r>
            </w:hyperlink>
          </w:p>
        </w:tc>
        <w:tc>
          <w:tcPr>
            <w:tcW w:w="808" w:type="pct"/>
            <w:vAlign w:val="center"/>
          </w:tcPr>
          <w:p w14:paraId="371D39D6" w14:textId="77777777" w:rsidR="0081656D" w:rsidRPr="00EE57FB" w:rsidRDefault="0081656D" w:rsidP="0081656D">
            <w:pPr>
              <w:spacing w:after="0" w:line="240" w:lineRule="auto"/>
              <w:jc w:val="center"/>
              <w:rPr>
                <w:rFonts w:ascii="Times New Roman" w:eastAsia="Times New Roman" w:hAnsi="Times New Roman" w:cs="Times New Roman"/>
                <w:sz w:val="24"/>
                <w:szCs w:val="24"/>
                <w:lang w:eastAsia="ru-RU"/>
              </w:rPr>
            </w:pPr>
            <w:r w:rsidRPr="00EE57FB">
              <w:rPr>
                <w:rFonts w:ascii="Times New Roman" w:eastAsia="Times New Roman" w:hAnsi="Times New Roman" w:cs="Times New Roman"/>
                <w:sz w:val="24"/>
                <w:szCs w:val="24"/>
                <w:lang w:eastAsia="ru-RU"/>
              </w:rPr>
              <w:t>647 998</w:t>
            </w:r>
          </w:p>
        </w:tc>
        <w:tc>
          <w:tcPr>
            <w:tcW w:w="808" w:type="pct"/>
            <w:vAlign w:val="center"/>
          </w:tcPr>
          <w:p w14:paraId="774094F7" w14:textId="77777777" w:rsidR="0081656D" w:rsidRPr="00EE57FB" w:rsidRDefault="0081656D" w:rsidP="0081656D">
            <w:pPr>
              <w:spacing w:after="0" w:line="240" w:lineRule="auto"/>
              <w:jc w:val="center"/>
              <w:rPr>
                <w:rFonts w:ascii="Times New Roman" w:hAnsi="Times New Roman"/>
                <w:sz w:val="24"/>
                <w:szCs w:val="24"/>
              </w:rPr>
            </w:pPr>
            <w:r w:rsidRPr="00EE57FB">
              <w:rPr>
                <w:rFonts w:ascii="Times New Roman" w:hAnsi="Times New Roman"/>
                <w:sz w:val="24"/>
                <w:szCs w:val="24"/>
              </w:rPr>
              <w:t>642 495</w:t>
            </w:r>
          </w:p>
        </w:tc>
        <w:tc>
          <w:tcPr>
            <w:tcW w:w="808" w:type="pct"/>
            <w:vAlign w:val="center"/>
          </w:tcPr>
          <w:p w14:paraId="039FB9DA" w14:textId="77777777" w:rsidR="0081656D" w:rsidRPr="00EE57FB" w:rsidRDefault="00EE57FB" w:rsidP="008165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741 657</w:t>
            </w:r>
          </w:p>
        </w:tc>
      </w:tr>
      <w:tr w:rsidR="0081656D" w:rsidRPr="0053253B" w14:paraId="7F7A4E57" w14:textId="77777777" w:rsidTr="0081656D">
        <w:trPr>
          <w:cantSplit/>
          <w:jc w:val="center"/>
        </w:trPr>
        <w:tc>
          <w:tcPr>
            <w:tcW w:w="2576" w:type="pct"/>
            <w:vAlign w:val="bottom"/>
          </w:tcPr>
          <w:p w14:paraId="7F8216F3" w14:textId="77777777" w:rsidR="0081656D" w:rsidRPr="0053253B" w:rsidRDefault="001E0E7D" w:rsidP="0081656D">
            <w:pPr>
              <w:spacing w:beforeLines="40" w:before="96" w:after="0" w:line="240" w:lineRule="auto"/>
              <w:ind w:left="170"/>
              <w:rPr>
                <w:rFonts w:ascii="Times New Roman" w:eastAsia="Times New Roman" w:hAnsi="Times New Roman" w:cs="Times New Roman"/>
                <w:sz w:val="24"/>
                <w:szCs w:val="24"/>
                <w:lang w:eastAsia="ru-RU"/>
              </w:rPr>
            </w:pPr>
            <w:hyperlink w:anchor="sub_11" w:history="1">
              <w:r w:rsidR="0081656D" w:rsidRPr="0053253B">
                <w:rPr>
                  <w:rFonts w:ascii="Times New Roman" w:eastAsia="Times New Roman" w:hAnsi="Times New Roman" w:cs="Times New Roman"/>
                  <w:sz w:val="24"/>
                  <w:szCs w:val="24"/>
                  <w:lang w:eastAsia="ru-RU"/>
                </w:rPr>
                <w:t>получение образования ребенком (детьми)</w:t>
              </w:r>
            </w:hyperlink>
          </w:p>
        </w:tc>
        <w:tc>
          <w:tcPr>
            <w:tcW w:w="808" w:type="pct"/>
            <w:vAlign w:val="center"/>
          </w:tcPr>
          <w:p w14:paraId="3CB75F0A" w14:textId="77777777" w:rsidR="0081656D" w:rsidRPr="00EE57FB" w:rsidRDefault="0081656D" w:rsidP="0081656D">
            <w:pPr>
              <w:spacing w:after="0" w:line="240" w:lineRule="auto"/>
              <w:jc w:val="center"/>
              <w:rPr>
                <w:rFonts w:ascii="Times New Roman" w:eastAsia="Times New Roman" w:hAnsi="Times New Roman" w:cs="Times New Roman"/>
                <w:sz w:val="24"/>
                <w:szCs w:val="24"/>
                <w:lang w:eastAsia="ru-RU"/>
              </w:rPr>
            </w:pPr>
            <w:r w:rsidRPr="00EE57FB">
              <w:rPr>
                <w:rFonts w:ascii="Times New Roman" w:eastAsia="Times New Roman" w:hAnsi="Times New Roman" w:cs="Times New Roman"/>
                <w:sz w:val="24"/>
                <w:szCs w:val="24"/>
                <w:lang w:eastAsia="ru-RU"/>
              </w:rPr>
              <w:t>199 788</w:t>
            </w:r>
          </w:p>
        </w:tc>
        <w:tc>
          <w:tcPr>
            <w:tcW w:w="808" w:type="pct"/>
            <w:vAlign w:val="center"/>
          </w:tcPr>
          <w:p w14:paraId="61C5D8B9" w14:textId="77777777" w:rsidR="0081656D" w:rsidRPr="00EE57FB" w:rsidRDefault="0081656D" w:rsidP="0081656D">
            <w:pPr>
              <w:spacing w:after="0" w:line="240" w:lineRule="auto"/>
              <w:jc w:val="center"/>
              <w:rPr>
                <w:rFonts w:ascii="Times New Roman" w:hAnsi="Times New Roman"/>
                <w:sz w:val="24"/>
                <w:szCs w:val="24"/>
              </w:rPr>
            </w:pPr>
            <w:r w:rsidRPr="00EE57FB">
              <w:rPr>
                <w:rFonts w:ascii="Times New Roman" w:hAnsi="Times New Roman"/>
                <w:sz w:val="24"/>
                <w:szCs w:val="24"/>
              </w:rPr>
              <w:t>186 363</w:t>
            </w:r>
          </w:p>
        </w:tc>
        <w:tc>
          <w:tcPr>
            <w:tcW w:w="808" w:type="pct"/>
            <w:vAlign w:val="center"/>
          </w:tcPr>
          <w:p w14:paraId="7E182617" w14:textId="77777777" w:rsidR="0081656D" w:rsidRPr="00EE57FB" w:rsidRDefault="00EE57FB" w:rsidP="008165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221 707</w:t>
            </w:r>
          </w:p>
        </w:tc>
      </w:tr>
      <w:tr w:rsidR="0081656D" w:rsidRPr="0053253B" w14:paraId="6C91FBBF" w14:textId="77777777" w:rsidTr="0081656D">
        <w:trPr>
          <w:cantSplit/>
          <w:jc w:val="center"/>
        </w:trPr>
        <w:tc>
          <w:tcPr>
            <w:tcW w:w="2576" w:type="pct"/>
            <w:vAlign w:val="bottom"/>
          </w:tcPr>
          <w:p w14:paraId="121C67E7" w14:textId="77777777" w:rsidR="0081656D" w:rsidRPr="0053253B" w:rsidRDefault="001E0E7D" w:rsidP="0081656D">
            <w:pPr>
              <w:spacing w:beforeLines="40" w:before="96" w:after="0" w:line="240" w:lineRule="auto"/>
              <w:ind w:left="170"/>
              <w:rPr>
                <w:rFonts w:ascii="Times New Roman" w:eastAsia="Times New Roman" w:hAnsi="Times New Roman" w:cs="Times New Roman"/>
                <w:sz w:val="24"/>
                <w:szCs w:val="24"/>
                <w:lang w:eastAsia="ru-RU"/>
              </w:rPr>
            </w:pPr>
            <w:hyperlink w:anchor="sub_12" w:history="1">
              <w:r w:rsidR="0081656D" w:rsidRPr="0053253B">
                <w:rPr>
                  <w:rFonts w:ascii="Times New Roman" w:eastAsia="Times New Roman" w:hAnsi="Times New Roman" w:cs="Times New Roman"/>
                  <w:sz w:val="24"/>
                  <w:szCs w:val="24"/>
                  <w:lang w:eastAsia="ru-RU"/>
                </w:rPr>
                <w:t>формирование накопительной пенсии</w:t>
              </w:r>
            </w:hyperlink>
          </w:p>
        </w:tc>
        <w:tc>
          <w:tcPr>
            <w:tcW w:w="808" w:type="pct"/>
            <w:vAlign w:val="center"/>
          </w:tcPr>
          <w:p w14:paraId="66CACBFA" w14:textId="77777777" w:rsidR="0081656D" w:rsidRPr="00EE57FB" w:rsidRDefault="0081656D" w:rsidP="0081656D">
            <w:pPr>
              <w:spacing w:after="0" w:line="240" w:lineRule="auto"/>
              <w:jc w:val="center"/>
              <w:rPr>
                <w:rFonts w:ascii="Times New Roman" w:eastAsia="Times New Roman" w:hAnsi="Times New Roman" w:cs="Times New Roman"/>
                <w:sz w:val="24"/>
                <w:szCs w:val="24"/>
                <w:lang w:eastAsia="ru-RU"/>
              </w:rPr>
            </w:pPr>
            <w:r w:rsidRPr="00EE57FB">
              <w:rPr>
                <w:rFonts w:ascii="Times New Roman" w:eastAsia="Times New Roman" w:hAnsi="Times New Roman" w:cs="Times New Roman"/>
                <w:sz w:val="24"/>
                <w:szCs w:val="24"/>
                <w:lang w:eastAsia="ru-RU"/>
              </w:rPr>
              <w:t>607</w:t>
            </w:r>
          </w:p>
        </w:tc>
        <w:tc>
          <w:tcPr>
            <w:tcW w:w="808" w:type="pct"/>
            <w:vAlign w:val="center"/>
          </w:tcPr>
          <w:p w14:paraId="0D002578" w14:textId="77777777" w:rsidR="0081656D" w:rsidRPr="00EE57FB" w:rsidRDefault="0081656D" w:rsidP="0081656D">
            <w:pPr>
              <w:spacing w:after="0" w:line="240" w:lineRule="auto"/>
              <w:jc w:val="center"/>
              <w:rPr>
                <w:rFonts w:ascii="Times New Roman" w:hAnsi="Times New Roman"/>
                <w:sz w:val="24"/>
                <w:szCs w:val="24"/>
              </w:rPr>
            </w:pPr>
            <w:r w:rsidRPr="00EE57FB">
              <w:rPr>
                <w:rFonts w:ascii="Times New Roman" w:hAnsi="Times New Roman"/>
                <w:sz w:val="24"/>
                <w:szCs w:val="24"/>
              </w:rPr>
              <w:t>541</w:t>
            </w:r>
          </w:p>
        </w:tc>
        <w:tc>
          <w:tcPr>
            <w:tcW w:w="808" w:type="pct"/>
            <w:vAlign w:val="center"/>
          </w:tcPr>
          <w:p w14:paraId="59AA126E" w14:textId="77777777" w:rsidR="0081656D" w:rsidRPr="00EE57FB" w:rsidRDefault="00EE57FB" w:rsidP="008165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1 294</w:t>
            </w:r>
          </w:p>
        </w:tc>
      </w:tr>
      <w:tr w:rsidR="0081656D" w:rsidRPr="0053253B" w14:paraId="2B6A3DD6" w14:textId="77777777" w:rsidTr="0081656D">
        <w:trPr>
          <w:cantSplit/>
          <w:jc w:val="center"/>
        </w:trPr>
        <w:tc>
          <w:tcPr>
            <w:tcW w:w="2576" w:type="pct"/>
            <w:vAlign w:val="bottom"/>
          </w:tcPr>
          <w:p w14:paraId="3773BCE8" w14:textId="7D60FBB5" w:rsidR="0081656D" w:rsidRPr="0053253B" w:rsidRDefault="0081656D" w:rsidP="0081656D">
            <w:pPr>
              <w:spacing w:beforeLines="40" w:before="96" w:after="0" w:line="240" w:lineRule="auto"/>
              <w:ind w:left="170"/>
              <w:rPr>
                <w:rFonts w:ascii="Times New Roman" w:eastAsia="Times New Roman" w:hAnsi="Times New Roman" w:cs="Times New Roman"/>
                <w:sz w:val="24"/>
                <w:szCs w:val="24"/>
                <w:lang w:eastAsia="ru-RU"/>
              </w:rPr>
            </w:pPr>
            <w:r w:rsidRPr="0053253B">
              <w:rPr>
                <w:rFonts w:ascii="Times New Roman" w:eastAsia="Times New Roman" w:hAnsi="Times New Roman" w:cs="Times New Roman"/>
                <w:sz w:val="24"/>
                <w:szCs w:val="24"/>
                <w:lang w:eastAsia="ru-RU"/>
              </w:rPr>
              <w:t>социальная адаптация и интеграция в общество детей-инвалидов</w:t>
            </w:r>
          </w:p>
        </w:tc>
        <w:tc>
          <w:tcPr>
            <w:tcW w:w="808" w:type="pct"/>
            <w:vAlign w:val="center"/>
          </w:tcPr>
          <w:p w14:paraId="6E22E71F" w14:textId="77777777" w:rsidR="0081656D" w:rsidRPr="00EE57FB" w:rsidRDefault="0081656D" w:rsidP="0081656D">
            <w:pPr>
              <w:spacing w:after="0" w:line="240" w:lineRule="auto"/>
              <w:jc w:val="center"/>
              <w:rPr>
                <w:rFonts w:ascii="Times New Roman" w:eastAsia="Times New Roman" w:hAnsi="Times New Roman" w:cs="Times New Roman"/>
                <w:sz w:val="24"/>
                <w:szCs w:val="24"/>
                <w:lang w:eastAsia="ru-RU"/>
              </w:rPr>
            </w:pPr>
            <w:r w:rsidRPr="00EE57FB">
              <w:rPr>
                <w:rFonts w:ascii="Times New Roman" w:eastAsia="Times New Roman" w:hAnsi="Times New Roman" w:cs="Times New Roman"/>
                <w:sz w:val="24"/>
                <w:szCs w:val="24"/>
                <w:lang w:eastAsia="ru-RU"/>
              </w:rPr>
              <w:t>74</w:t>
            </w:r>
          </w:p>
        </w:tc>
        <w:tc>
          <w:tcPr>
            <w:tcW w:w="808" w:type="pct"/>
            <w:vAlign w:val="center"/>
          </w:tcPr>
          <w:p w14:paraId="4C097E1B" w14:textId="77777777" w:rsidR="0081656D" w:rsidRPr="00EE57FB" w:rsidRDefault="0081656D" w:rsidP="0081656D">
            <w:pPr>
              <w:spacing w:after="0" w:line="240" w:lineRule="auto"/>
              <w:jc w:val="center"/>
              <w:rPr>
                <w:rFonts w:ascii="Times New Roman" w:hAnsi="Times New Roman"/>
                <w:sz w:val="24"/>
                <w:szCs w:val="24"/>
              </w:rPr>
            </w:pPr>
            <w:r w:rsidRPr="00EE57FB">
              <w:rPr>
                <w:rFonts w:ascii="Times New Roman" w:hAnsi="Times New Roman"/>
                <w:sz w:val="24"/>
                <w:szCs w:val="24"/>
              </w:rPr>
              <w:t>87</w:t>
            </w:r>
          </w:p>
        </w:tc>
        <w:tc>
          <w:tcPr>
            <w:tcW w:w="808" w:type="pct"/>
            <w:vAlign w:val="center"/>
          </w:tcPr>
          <w:p w14:paraId="2337B6BD" w14:textId="77777777" w:rsidR="0081656D" w:rsidRPr="00EE57FB" w:rsidRDefault="00EE57FB" w:rsidP="008165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r>
      <w:tr w:rsidR="00EE57FB" w:rsidRPr="0053253B" w14:paraId="74F6C277" w14:textId="77777777" w:rsidTr="0081656D">
        <w:trPr>
          <w:cantSplit/>
          <w:jc w:val="center"/>
        </w:trPr>
        <w:tc>
          <w:tcPr>
            <w:tcW w:w="2576" w:type="pct"/>
            <w:vAlign w:val="bottom"/>
          </w:tcPr>
          <w:p w14:paraId="25D31808" w14:textId="77777777" w:rsidR="00EE57FB" w:rsidRPr="0053253B" w:rsidRDefault="00EE57FB" w:rsidP="0081656D">
            <w:pPr>
              <w:spacing w:beforeLines="40" w:before="96" w:after="0" w:line="240" w:lineRule="auto"/>
              <w:ind w:left="170"/>
              <w:rPr>
                <w:rFonts w:ascii="Times New Roman" w:eastAsia="Times New Roman" w:hAnsi="Times New Roman" w:cs="Times New Roman"/>
                <w:sz w:val="24"/>
                <w:szCs w:val="24"/>
                <w:lang w:eastAsia="ru-RU"/>
              </w:rPr>
            </w:pPr>
            <w:r w:rsidRPr="00EE57FB">
              <w:rPr>
                <w:rFonts w:ascii="Times New Roman" w:eastAsia="Times New Roman" w:hAnsi="Times New Roman" w:cs="Times New Roman"/>
                <w:sz w:val="24"/>
                <w:szCs w:val="24"/>
                <w:lang w:eastAsia="ru-RU"/>
              </w:rPr>
              <w:t>ежемесячная выплата в связи с рождением (усыновлением) второго ребенка</w:t>
            </w:r>
          </w:p>
        </w:tc>
        <w:tc>
          <w:tcPr>
            <w:tcW w:w="808" w:type="pct"/>
            <w:vAlign w:val="center"/>
          </w:tcPr>
          <w:p w14:paraId="2E4DA3DA" w14:textId="77777777" w:rsidR="00EE57FB" w:rsidRPr="00EE57FB" w:rsidRDefault="00EE57FB" w:rsidP="008165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08" w:type="pct"/>
            <w:vAlign w:val="center"/>
          </w:tcPr>
          <w:p w14:paraId="7393BDD4" w14:textId="77777777" w:rsidR="00EE57FB" w:rsidRPr="00EE57FB" w:rsidRDefault="00EE57FB" w:rsidP="0081656D">
            <w:pPr>
              <w:spacing w:after="0" w:line="240" w:lineRule="auto"/>
              <w:jc w:val="center"/>
              <w:rPr>
                <w:rFonts w:ascii="Times New Roman" w:hAnsi="Times New Roman"/>
                <w:sz w:val="24"/>
                <w:szCs w:val="24"/>
              </w:rPr>
            </w:pPr>
            <w:r>
              <w:rPr>
                <w:rFonts w:ascii="Times New Roman" w:hAnsi="Times New Roman"/>
                <w:sz w:val="24"/>
                <w:szCs w:val="24"/>
              </w:rPr>
              <w:t>-</w:t>
            </w:r>
          </w:p>
        </w:tc>
        <w:tc>
          <w:tcPr>
            <w:tcW w:w="808" w:type="pct"/>
            <w:vAlign w:val="center"/>
          </w:tcPr>
          <w:p w14:paraId="05E673D7" w14:textId="77777777" w:rsidR="00EE57FB" w:rsidRDefault="00EE57FB" w:rsidP="008165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316 692</w:t>
            </w:r>
          </w:p>
        </w:tc>
      </w:tr>
    </w:tbl>
    <w:p w14:paraId="398F3462" w14:textId="77777777" w:rsidR="003E012B" w:rsidRPr="0053253B" w:rsidRDefault="003E012B" w:rsidP="003E012B">
      <w:pPr>
        <w:spacing w:after="0" w:line="240" w:lineRule="auto"/>
        <w:ind w:firstLine="284"/>
        <w:rPr>
          <w:rFonts w:ascii="Times New Roman" w:hAnsi="Times New Roman"/>
          <w:bCs/>
          <w:vertAlign w:val="superscript"/>
        </w:rPr>
      </w:pPr>
    </w:p>
    <w:p w14:paraId="45D975D5" w14:textId="77777777" w:rsidR="00EE57FB" w:rsidRDefault="00EE57FB" w:rsidP="00DB764F">
      <w:pPr>
        <w:spacing w:after="0" w:line="240" w:lineRule="auto"/>
        <w:ind w:firstLine="284"/>
        <w:rPr>
          <w:rFonts w:ascii="Times New Roman" w:hAnsi="Times New Roman"/>
          <w:bCs/>
        </w:rPr>
      </w:pPr>
      <w:r>
        <w:rPr>
          <w:rFonts w:ascii="Times New Roman" w:hAnsi="Times New Roman"/>
          <w:bCs/>
        </w:rPr>
        <w:t>1) С 2021 г. данные по Российской Федерации приведены с учетом г. Байконур.</w:t>
      </w:r>
    </w:p>
    <w:p w14:paraId="428A4B3D" w14:textId="77777777" w:rsidR="00D03A4F" w:rsidRPr="00EE57FB" w:rsidRDefault="00EE57FB" w:rsidP="00DB764F">
      <w:pPr>
        <w:spacing w:after="0" w:line="240" w:lineRule="auto"/>
        <w:ind w:firstLine="284"/>
        <w:rPr>
          <w:rFonts w:ascii="Times New Roman" w:hAnsi="Times New Roman"/>
          <w:bCs/>
        </w:rPr>
      </w:pPr>
      <w:r>
        <w:rPr>
          <w:rFonts w:ascii="Times New Roman" w:hAnsi="Times New Roman"/>
          <w:bCs/>
        </w:rPr>
        <w:t>2</w:t>
      </w:r>
      <w:r w:rsidR="003E012B" w:rsidRPr="00EE57FB">
        <w:rPr>
          <w:rFonts w:ascii="Times New Roman" w:hAnsi="Times New Roman"/>
          <w:bCs/>
        </w:rPr>
        <w:t xml:space="preserve">) Учитываются лица, получившие государственный сертификат на материнский (семейный) капитал </w:t>
      </w:r>
      <w:r w:rsidR="0053253B" w:rsidRPr="00EE57FB">
        <w:rPr>
          <w:rFonts w:ascii="Times New Roman" w:hAnsi="Times New Roman"/>
          <w:bCs/>
        </w:rPr>
        <w:t xml:space="preserve">в связи с рождением (усыновлением) первого, </w:t>
      </w:r>
      <w:r w:rsidR="003E012B" w:rsidRPr="00EE57FB">
        <w:rPr>
          <w:rFonts w:ascii="Times New Roman" w:hAnsi="Times New Roman"/>
          <w:bCs/>
        </w:rPr>
        <w:t>второго</w:t>
      </w:r>
      <w:r w:rsidR="0053253B" w:rsidRPr="00EE57FB">
        <w:rPr>
          <w:rFonts w:ascii="Times New Roman" w:hAnsi="Times New Roman"/>
          <w:bCs/>
        </w:rPr>
        <w:t xml:space="preserve"> ребенка</w:t>
      </w:r>
      <w:r w:rsidR="003E012B" w:rsidRPr="00EE57FB">
        <w:rPr>
          <w:rFonts w:ascii="Times New Roman" w:hAnsi="Times New Roman"/>
          <w:bCs/>
        </w:rPr>
        <w:t xml:space="preserve"> и последующих детей.</w:t>
      </w:r>
    </w:p>
    <w:p w14:paraId="4E753B5A" w14:textId="77777777" w:rsidR="008737BB" w:rsidRDefault="008737BB" w:rsidP="00D03A4F">
      <w:pPr>
        <w:spacing w:after="0" w:line="240" w:lineRule="auto"/>
        <w:jc w:val="right"/>
        <w:rPr>
          <w:rFonts w:ascii="Times New Roman" w:eastAsia="Times New Roman" w:hAnsi="Times New Roman" w:cs="Times New Roman"/>
          <w:sz w:val="26"/>
          <w:szCs w:val="26"/>
          <w:lang w:eastAsia="ru-RU"/>
        </w:rPr>
      </w:pPr>
    </w:p>
    <w:p w14:paraId="0272BD85" w14:textId="77777777" w:rsidR="008737BB" w:rsidRDefault="008737BB" w:rsidP="00D03A4F">
      <w:pPr>
        <w:spacing w:after="0" w:line="240" w:lineRule="auto"/>
        <w:jc w:val="right"/>
        <w:rPr>
          <w:rFonts w:ascii="Times New Roman" w:eastAsia="Times New Roman" w:hAnsi="Times New Roman" w:cs="Times New Roman"/>
          <w:sz w:val="26"/>
          <w:szCs w:val="26"/>
          <w:lang w:eastAsia="ru-RU"/>
        </w:rPr>
      </w:pPr>
    </w:p>
    <w:p w14:paraId="06DD5848" w14:textId="77777777" w:rsidR="00D03A4F" w:rsidRPr="00C62E68" w:rsidRDefault="00D03A4F" w:rsidP="00D03A4F">
      <w:pPr>
        <w:spacing w:after="0" w:line="240" w:lineRule="auto"/>
        <w:jc w:val="right"/>
        <w:rPr>
          <w:rFonts w:ascii="Times New Roman" w:eastAsia="Times New Roman" w:hAnsi="Times New Roman" w:cs="Times New Roman"/>
          <w:sz w:val="26"/>
          <w:szCs w:val="26"/>
          <w:lang w:eastAsia="ru-RU"/>
        </w:rPr>
      </w:pPr>
      <w:r w:rsidRPr="00C62E68">
        <w:rPr>
          <w:rFonts w:ascii="Times New Roman" w:eastAsia="Times New Roman" w:hAnsi="Times New Roman" w:cs="Times New Roman"/>
          <w:sz w:val="26"/>
          <w:szCs w:val="26"/>
          <w:lang w:eastAsia="ru-RU"/>
        </w:rPr>
        <w:t>Таблица 6</w:t>
      </w:r>
      <w:r w:rsidR="008737BB">
        <w:rPr>
          <w:rFonts w:ascii="Times New Roman" w:eastAsia="Times New Roman" w:hAnsi="Times New Roman" w:cs="Times New Roman"/>
          <w:sz w:val="26"/>
          <w:szCs w:val="26"/>
          <w:lang w:eastAsia="ru-RU"/>
        </w:rPr>
        <w:t>1</w:t>
      </w:r>
    </w:p>
    <w:p w14:paraId="74908824" w14:textId="77777777" w:rsidR="00D03A4F" w:rsidRPr="00C62E68" w:rsidRDefault="00D03A4F" w:rsidP="00D03A4F">
      <w:pPr>
        <w:spacing w:after="0" w:line="240" w:lineRule="auto"/>
        <w:jc w:val="right"/>
        <w:rPr>
          <w:rFonts w:ascii="Times New Roman" w:eastAsia="Times New Roman" w:hAnsi="Times New Roman" w:cs="Times New Roman"/>
          <w:sz w:val="26"/>
          <w:szCs w:val="26"/>
          <w:lang w:eastAsia="ru-RU"/>
        </w:rPr>
      </w:pPr>
    </w:p>
    <w:p w14:paraId="67C3B092" w14:textId="77777777" w:rsidR="00D03A4F" w:rsidRPr="00C62E68" w:rsidRDefault="00D03A4F" w:rsidP="00D03A4F">
      <w:pPr>
        <w:spacing w:after="0" w:line="240" w:lineRule="auto"/>
        <w:jc w:val="center"/>
        <w:rPr>
          <w:rFonts w:ascii="Times New Roman" w:eastAsia="Times New Roman" w:hAnsi="Times New Roman" w:cs="Times New Roman"/>
          <w:b/>
          <w:sz w:val="26"/>
          <w:szCs w:val="26"/>
          <w:lang w:eastAsia="ru-RU"/>
        </w:rPr>
      </w:pPr>
      <w:r w:rsidRPr="00C62E68">
        <w:rPr>
          <w:rFonts w:ascii="Times New Roman" w:eastAsia="Times New Roman" w:hAnsi="Times New Roman" w:cs="Times New Roman"/>
          <w:b/>
          <w:sz w:val="26"/>
          <w:szCs w:val="26"/>
          <w:lang w:eastAsia="ru-RU"/>
        </w:rPr>
        <w:t>Отдельные характеристики условий проживания детей в возрасте до 18 лет</w:t>
      </w:r>
    </w:p>
    <w:p w14:paraId="5959CA7F" w14:textId="77777777" w:rsidR="00D03A4F" w:rsidRPr="00C62E68" w:rsidRDefault="00D03A4F" w:rsidP="00D03A4F">
      <w:pPr>
        <w:spacing w:after="0" w:line="240" w:lineRule="auto"/>
        <w:jc w:val="center"/>
        <w:rPr>
          <w:rFonts w:ascii="Times New Roman" w:eastAsia="Times New Roman" w:hAnsi="Times New Roman" w:cs="Times New Roman"/>
          <w:sz w:val="24"/>
          <w:szCs w:val="24"/>
          <w:lang w:eastAsia="ru-RU"/>
        </w:rPr>
      </w:pPr>
      <w:r w:rsidRPr="00C62E68">
        <w:rPr>
          <w:rFonts w:ascii="Times New Roman" w:eastAsia="Times New Roman" w:hAnsi="Times New Roman" w:cs="Times New Roman"/>
          <w:sz w:val="24"/>
          <w:szCs w:val="24"/>
          <w:lang w:eastAsia="ru-RU"/>
        </w:rPr>
        <w:t>(по данным Комплексного наблюдения условий жизни населения; в процентах)</w:t>
      </w:r>
    </w:p>
    <w:p w14:paraId="64BA54D5" w14:textId="77777777" w:rsidR="00D03A4F" w:rsidRPr="00C62E68" w:rsidRDefault="00D03A4F" w:rsidP="00D03A4F">
      <w:pPr>
        <w:spacing w:after="0" w:line="240" w:lineRule="auto"/>
        <w:jc w:val="center"/>
        <w:rPr>
          <w:rFonts w:ascii="Times New Roman" w:eastAsia="Times New Roman" w:hAnsi="Times New Roman" w:cs="Times New Roman"/>
          <w:sz w:val="24"/>
          <w:szCs w:val="24"/>
          <w:lang w:eastAsia="ru-RU"/>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1"/>
        <w:gridCol w:w="1329"/>
        <w:gridCol w:w="1367"/>
        <w:gridCol w:w="6"/>
        <w:gridCol w:w="1241"/>
        <w:gridCol w:w="1048"/>
        <w:gridCol w:w="1174"/>
        <w:gridCol w:w="1249"/>
        <w:gridCol w:w="1104"/>
      </w:tblGrid>
      <w:tr w:rsidR="00D03A4F" w:rsidRPr="00C62E68" w14:paraId="37882958" w14:textId="77777777" w:rsidTr="00950683">
        <w:trPr>
          <w:tblHeader/>
          <w:jc w:val="center"/>
        </w:trPr>
        <w:tc>
          <w:tcPr>
            <w:tcW w:w="943" w:type="pct"/>
            <w:vMerge w:val="restart"/>
          </w:tcPr>
          <w:p w14:paraId="5B556264" w14:textId="77777777" w:rsidR="00D03A4F" w:rsidRPr="00C62E68" w:rsidRDefault="00D03A4F" w:rsidP="00D03A4F">
            <w:pPr>
              <w:spacing w:after="0" w:line="240" w:lineRule="auto"/>
              <w:jc w:val="center"/>
              <w:rPr>
                <w:rFonts w:ascii="Times New Roman" w:eastAsia="Times New Roman" w:hAnsi="Times New Roman" w:cs="Times New Roman"/>
                <w:i/>
                <w:sz w:val="19"/>
                <w:szCs w:val="19"/>
                <w:lang w:eastAsia="ru-RU"/>
              </w:rPr>
            </w:pPr>
          </w:p>
        </w:tc>
        <w:tc>
          <w:tcPr>
            <w:tcW w:w="633" w:type="pct"/>
            <w:vMerge w:val="restart"/>
          </w:tcPr>
          <w:p w14:paraId="75AC8F8F" w14:textId="77777777" w:rsidR="00D03A4F" w:rsidRPr="00C62E68" w:rsidRDefault="00D03A4F" w:rsidP="00D03A4F">
            <w:pPr>
              <w:spacing w:after="0" w:line="240" w:lineRule="auto"/>
              <w:jc w:val="center"/>
              <w:rPr>
                <w:rFonts w:ascii="Times New Roman" w:eastAsia="Times New Roman" w:hAnsi="Times New Roman" w:cs="Times New Roman"/>
                <w:i/>
                <w:sz w:val="19"/>
                <w:szCs w:val="19"/>
                <w:lang w:eastAsia="ru-RU"/>
              </w:rPr>
            </w:pPr>
            <w:r w:rsidRPr="00C62E68">
              <w:rPr>
                <w:rFonts w:ascii="Times New Roman" w:eastAsia="Times New Roman" w:hAnsi="Times New Roman" w:cs="Times New Roman"/>
                <w:i/>
                <w:sz w:val="19"/>
                <w:szCs w:val="19"/>
                <w:lang w:eastAsia="ru-RU"/>
              </w:rPr>
              <w:t>Все респонденты</w:t>
            </w:r>
          </w:p>
        </w:tc>
        <w:tc>
          <w:tcPr>
            <w:tcW w:w="1245" w:type="pct"/>
            <w:gridSpan w:val="3"/>
          </w:tcPr>
          <w:p w14:paraId="780C5D1A" w14:textId="77777777" w:rsidR="00D03A4F" w:rsidRPr="00C62E68" w:rsidRDefault="00D03A4F" w:rsidP="00D03A4F">
            <w:pPr>
              <w:spacing w:after="0" w:line="240" w:lineRule="auto"/>
              <w:jc w:val="center"/>
              <w:rPr>
                <w:rFonts w:ascii="Times New Roman" w:eastAsia="Times New Roman" w:hAnsi="Times New Roman" w:cs="Times New Roman"/>
                <w:i/>
                <w:sz w:val="20"/>
                <w:szCs w:val="20"/>
                <w:lang w:eastAsia="ru-RU"/>
              </w:rPr>
            </w:pPr>
            <w:r w:rsidRPr="00C62E68">
              <w:rPr>
                <w:rFonts w:ascii="Times New Roman" w:eastAsia="Times New Roman" w:hAnsi="Times New Roman" w:cs="Times New Roman"/>
                <w:i/>
                <w:sz w:val="20"/>
                <w:szCs w:val="20"/>
                <w:lang w:eastAsia="ru-RU"/>
              </w:rPr>
              <w:t>по типу населенных пунктов</w:t>
            </w:r>
          </w:p>
        </w:tc>
        <w:tc>
          <w:tcPr>
            <w:tcW w:w="2179" w:type="pct"/>
            <w:gridSpan w:val="4"/>
          </w:tcPr>
          <w:p w14:paraId="0D5CADE7" w14:textId="77777777" w:rsidR="00D03A4F" w:rsidRPr="00C62E68" w:rsidRDefault="00D03A4F" w:rsidP="00D03A4F">
            <w:pPr>
              <w:spacing w:after="0" w:line="240" w:lineRule="auto"/>
              <w:jc w:val="center"/>
              <w:rPr>
                <w:rFonts w:ascii="Times New Roman" w:eastAsia="Times New Roman" w:hAnsi="Times New Roman" w:cs="Times New Roman"/>
                <w:i/>
                <w:sz w:val="20"/>
                <w:szCs w:val="20"/>
                <w:lang w:eastAsia="ru-RU"/>
              </w:rPr>
            </w:pPr>
            <w:r w:rsidRPr="00C62E68">
              <w:rPr>
                <w:rFonts w:ascii="Times New Roman" w:eastAsia="Times New Roman" w:hAnsi="Times New Roman" w:cs="Times New Roman"/>
                <w:i/>
                <w:sz w:val="20"/>
                <w:szCs w:val="20"/>
                <w:lang w:eastAsia="ru-RU"/>
              </w:rPr>
              <w:t>по возрастным группам</w:t>
            </w:r>
          </w:p>
        </w:tc>
      </w:tr>
      <w:tr w:rsidR="00D03A4F" w:rsidRPr="00C62E68" w14:paraId="33E221B6" w14:textId="77777777" w:rsidTr="00950683">
        <w:trPr>
          <w:tblHeader/>
          <w:jc w:val="center"/>
        </w:trPr>
        <w:tc>
          <w:tcPr>
            <w:tcW w:w="943" w:type="pct"/>
            <w:vMerge/>
          </w:tcPr>
          <w:p w14:paraId="7DA6F82C" w14:textId="77777777" w:rsidR="00D03A4F" w:rsidRPr="00C62E68" w:rsidRDefault="00D03A4F" w:rsidP="00D03A4F">
            <w:pPr>
              <w:spacing w:after="0" w:line="240" w:lineRule="auto"/>
              <w:jc w:val="center"/>
              <w:rPr>
                <w:rFonts w:ascii="Times New Roman" w:eastAsia="Times New Roman" w:hAnsi="Times New Roman" w:cs="Times New Roman"/>
                <w:i/>
                <w:sz w:val="19"/>
                <w:szCs w:val="19"/>
                <w:lang w:eastAsia="ru-RU"/>
              </w:rPr>
            </w:pPr>
          </w:p>
        </w:tc>
        <w:tc>
          <w:tcPr>
            <w:tcW w:w="633" w:type="pct"/>
            <w:vMerge/>
          </w:tcPr>
          <w:p w14:paraId="098B9CB5" w14:textId="77777777" w:rsidR="00D03A4F" w:rsidRPr="00C62E68" w:rsidRDefault="00D03A4F" w:rsidP="00D03A4F">
            <w:pPr>
              <w:spacing w:after="0" w:line="240" w:lineRule="auto"/>
              <w:jc w:val="center"/>
              <w:rPr>
                <w:rFonts w:ascii="Times New Roman" w:eastAsia="Times New Roman" w:hAnsi="Times New Roman" w:cs="Times New Roman"/>
                <w:i/>
                <w:sz w:val="19"/>
                <w:szCs w:val="19"/>
                <w:lang w:eastAsia="ru-RU"/>
              </w:rPr>
            </w:pPr>
          </w:p>
        </w:tc>
        <w:tc>
          <w:tcPr>
            <w:tcW w:w="1245" w:type="pct"/>
            <w:gridSpan w:val="3"/>
          </w:tcPr>
          <w:p w14:paraId="4C0794CF" w14:textId="77777777" w:rsidR="00D03A4F" w:rsidRPr="00C62E68" w:rsidRDefault="00D03A4F" w:rsidP="00D03A4F">
            <w:pPr>
              <w:spacing w:after="0" w:line="240" w:lineRule="auto"/>
              <w:jc w:val="center"/>
              <w:rPr>
                <w:rFonts w:ascii="Times New Roman" w:eastAsia="Times New Roman" w:hAnsi="Times New Roman" w:cs="Times New Roman"/>
                <w:i/>
                <w:sz w:val="20"/>
                <w:szCs w:val="20"/>
                <w:lang w:eastAsia="ru-RU"/>
              </w:rPr>
            </w:pPr>
            <w:r w:rsidRPr="00C62E68">
              <w:rPr>
                <w:rFonts w:ascii="Times New Roman" w:eastAsia="Times New Roman" w:hAnsi="Times New Roman" w:cs="Times New Roman"/>
                <w:i/>
                <w:sz w:val="20"/>
                <w:szCs w:val="20"/>
                <w:lang w:eastAsia="ru-RU"/>
              </w:rPr>
              <w:t>в том числе проживают</w:t>
            </w:r>
          </w:p>
        </w:tc>
        <w:tc>
          <w:tcPr>
            <w:tcW w:w="2179" w:type="pct"/>
            <w:gridSpan w:val="4"/>
          </w:tcPr>
          <w:p w14:paraId="59E4A6DC" w14:textId="77777777" w:rsidR="00D03A4F" w:rsidRPr="00C62E68" w:rsidRDefault="00D03A4F" w:rsidP="00D03A4F">
            <w:pPr>
              <w:spacing w:after="0" w:line="240" w:lineRule="auto"/>
              <w:jc w:val="center"/>
              <w:rPr>
                <w:rFonts w:ascii="Times New Roman" w:eastAsia="Times New Roman" w:hAnsi="Times New Roman" w:cs="Times New Roman"/>
                <w:i/>
                <w:sz w:val="20"/>
                <w:szCs w:val="20"/>
                <w:lang w:eastAsia="ru-RU"/>
              </w:rPr>
            </w:pPr>
            <w:r w:rsidRPr="00C62E68">
              <w:rPr>
                <w:rFonts w:ascii="Times New Roman" w:eastAsia="Times New Roman" w:hAnsi="Times New Roman" w:cs="Times New Roman"/>
                <w:i/>
                <w:sz w:val="20"/>
                <w:szCs w:val="20"/>
                <w:lang w:eastAsia="ru-RU"/>
              </w:rPr>
              <w:t>в том числе в возрасте, лет</w:t>
            </w:r>
          </w:p>
        </w:tc>
      </w:tr>
      <w:tr w:rsidR="009A4CE6" w:rsidRPr="00C62E68" w14:paraId="05576341" w14:textId="77777777" w:rsidTr="00950683">
        <w:trPr>
          <w:tblHeader/>
          <w:jc w:val="center"/>
        </w:trPr>
        <w:tc>
          <w:tcPr>
            <w:tcW w:w="943" w:type="pct"/>
            <w:vMerge/>
          </w:tcPr>
          <w:p w14:paraId="05340A27" w14:textId="77777777" w:rsidR="009A4CE6" w:rsidRPr="00C62E68" w:rsidRDefault="009A4CE6" w:rsidP="00D03A4F">
            <w:pPr>
              <w:spacing w:after="0" w:line="240" w:lineRule="auto"/>
              <w:jc w:val="center"/>
              <w:rPr>
                <w:rFonts w:ascii="Times New Roman" w:eastAsia="Times New Roman" w:hAnsi="Times New Roman" w:cs="Times New Roman"/>
                <w:i/>
                <w:sz w:val="19"/>
                <w:szCs w:val="19"/>
                <w:lang w:eastAsia="ru-RU"/>
              </w:rPr>
            </w:pPr>
          </w:p>
        </w:tc>
        <w:tc>
          <w:tcPr>
            <w:tcW w:w="633" w:type="pct"/>
            <w:vMerge/>
          </w:tcPr>
          <w:p w14:paraId="38763523" w14:textId="77777777" w:rsidR="009A4CE6" w:rsidRPr="00C62E68" w:rsidRDefault="009A4CE6" w:rsidP="00D03A4F">
            <w:pPr>
              <w:spacing w:after="0" w:line="240" w:lineRule="auto"/>
              <w:jc w:val="center"/>
              <w:rPr>
                <w:rFonts w:ascii="Times New Roman" w:eastAsia="Times New Roman" w:hAnsi="Times New Roman" w:cs="Times New Roman"/>
                <w:i/>
                <w:sz w:val="19"/>
                <w:szCs w:val="19"/>
                <w:lang w:eastAsia="ru-RU"/>
              </w:rPr>
            </w:pPr>
          </w:p>
        </w:tc>
        <w:tc>
          <w:tcPr>
            <w:tcW w:w="651" w:type="pct"/>
          </w:tcPr>
          <w:p w14:paraId="29E157AF" w14:textId="77777777" w:rsidR="009A4CE6" w:rsidRPr="00C62E68" w:rsidRDefault="009A4CE6" w:rsidP="00D03A4F">
            <w:pPr>
              <w:spacing w:after="0" w:line="240" w:lineRule="auto"/>
              <w:jc w:val="center"/>
              <w:rPr>
                <w:rFonts w:ascii="Times New Roman" w:eastAsia="Times New Roman" w:hAnsi="Times New Roman" w:cs="Times New Roman"/>
                <w:i/>
                <w:sz w:val="20"/>
                <w:szCs w:val="20"/>
                <w:lang w:eastAsia="ru-RU"/>
              </w:rPr>
            </w:pPr>
            <w:r w:rsidRPr="00C62E68">
              <w:rPr>
                <w:rFonts w:ascii="Times New Roman" w:eastAsia="Times New Roman" w:hAnsi="Times New Roman" w:cs="Times New Roman"/>
                <w:i/>
                <w:sz w:val="20"/>
                <w:szCs w:val="20"/>
                <w:lang w:eastAsia="ru-RU"/>
              </w:rPr>
              <w:t>в городских населенных пунктах</w:t>
            </w:r>
          </w:p>
        </w:tc>
        <w:tc>
          <w:tcPr>
            <w:tcW w:w="594" w:type="pct"/>
            <w:gridSpan w:val="2"/>
          </w:tcPr>
          <w:p w14:paraId="44ED917E" w14:textId="77777777" w:rsidR="009A4CE6" w:rsidRPr="00C62E68" w:rsidRDefault="009A4CE6" w:rsidP="00D03A4F">
            <w:pPr>
              <w:spacing w:after="0" w:line="240" w:lineRule="auto"/>
              <w:jc w:val="center"/>
              <w:rPr>
                <w:rFonts w:ascii="Times New Roman" w:eastAsia="Times New Roman" w:hAnsi="Times New Roman" w:cs="Times New Roman"/>
                <w:i/>
                <w:sz w:val="20"/>
                <w:szCs w:val="20"/>
                <w:lang w:eastAsia="ru-RU"/>
              </w:rPr>
            </w:pPr>
            <w:r w:rsidRPr="00C62E68">
              <w:rPr>
                <w:rFonts w:ascii="Times New Roman" w:eastAsia="Times New Roman" w:hAnsi="Times New Roman" w:cs="Times New Roman"/>
                <w:i/>
                <w:sz w:val="20"/>
                <w:szCs w:val="20"/>
                <w:lang w:eastAsia="ru-RU"/>
              </w:rPr>
              <w:t>в сельских населенных пунктах</w:t>
            </w:r>
          </w:p>
        </w:tc>
        <w:tc>
          <w:tcPr>
            <w:tcW w:w="499" w:type="pct"/>
          </w:tcPr>
          <w:p w14:paraId="68F35C19" w14:textId="77777777" w:rsidR="009A4CE6" w:rsidRPr="00C62E68" w:rsidRDefault="009A4CE6" w:rsidP="00D03A4F">
            <w:pPr>
              <w:spacing w:after="0" w:line="240" w:lineRule="auto"/>
              <w:jc w:val="center"/>
              <w:rPr>
                <w:rFonts w:ascii="Times New Roman" w:eastAsia="Times New Roman" w:hAnsi="Times New Roman" w:cs="Times New Roman"/>
                <w:i/>
                <w:sz w:val="20"/>
                <w:szCs w:val="20"/>
                <w:lang w:eastAsia="ru-RU"/>
              </w:rPr>
            </w:pPr>
            <w:r w:rsidRPr="00C62E68">
              <w:rPr>
                <w:rFonts w:ascii="Times New Roman" w:eastAsia="Times New Roman" w:hAnsi="Times New Roman" w:cs="Times New Roman"/>
                <w:i/>
                <w:sz w:val="20"/>
                <w:szCs w:val="20"/>
                <w:lang w:eastAsia="ru-RU"/>
              </w:rPr>
              <w:t>до 3-х</w:t>
            </w:r>
          </w:p>
        </w:tc>
        <w:tc>
          <w:tcPr>
            <w:tcW w:w="559" w:type="pct"/>
          </w:tcPr>
          <w:p w14:paraId="5B21164E" w14:textId="77777777" w:rsidR="009A4CE6" w:rsidRPr="00C62E68" w:rsidRDefault="009A4CE6" w:rsidP="00D03A4F">
            <w:pPr>
              <w:spacing w:after="0" w:line="240" w:lineRule="auto"/>
              <w:jc w:val="center"/>
              <w:rPr>
                <w:rFonts w:ascii="Times New Roman" w:eastAsia="Times New Roman" w:hAnsi="Times New Roman" w:cs="Times New Roman"/>
                <w:i/>
                <w:sz w:val="20"/>
                <w:szCs w:val="20"/>
                <w:lang w:eastAsia="ru-RU"/>
              </w:rPr>
            </w:pPr>
            <w:r w:rsidRPr="00C62E68">
              <w:rPr>
                <w:rFonts w:ascii="Times New Roman" w:eastAsia="Times New Roman" w:hAnsi="Times New Roman" w:cs="Times New Roman"/>
                <w:i/>
                <w:sz w:val="20"/>
                <w:szCs w:val="20"/>
                <w:lang w:eastAsia="ru-RU"/>
              </w:rPr>
              <w:t>3-6</w:t>
            </w:r>
          </w:p>
        </w:tc>
        <w:tc>
          <w:tcPr>
            <w:tcW w:w="595" w:type="pct"/>
          </w:tcPr>
          <w:p w14:paraId="1F618568" w14:textId="77777777" w:rsidR="009A4CE6" w:rsidRPr="00C62E68" w:rsidRDefault="009A4CE6" w:rsidP="00D03A4F">
            <w:pPr>
              <w:spacing w:after="0" w:line="240" w:lineRule="auto"/>
              <w:jc w:val="center"/>
              <w:rPr>
                <w:rFonts w:ascii="Times New Roman" w:eastAsia="Times New Roman" w:hAnsi="Times New Roman" w:cs="Times New Roman"/>
                <w:i/>
                <w:sz w:val="20"/>
                <w:szCs w:val="20"/>
                <w:lang w:eastAsia="ru-RU"/>
              </w:rPr>
            </w:pPr>
            <w:r w:rsidRPr="00C62E68">
              <w:rPr>
                <w:rFonts w:ascii="Times New Roman" w:eastAsia="Times New Roman" w:hAnsi="Times New Roman" w:cs="Times New Roman"/>
                <w:i/>
                <w:sz w:val="20"/>
                <w:szCs w:val="20"/>
                <w:lang w:eastAsia="ru-RU"/>
              </w:rPr>
              <w:t>7-14</w:t>
            </w:r>
          </w:p>
        </w:tc>
        <w:tc>
          <w:tcPr>
            <w:tcW w:w="526" w:type="pct"/>
          </w:tcPr>
          <w:p w14:paraId="7B479CCD" w14:textId="77777777" w:rsidR="009A4CE6" w:rsidRPr="00C62E68" w:rsidRDefault="009A4CE6" w:rsidP="00D03A4F">
            <w:pPr>
              <w:spacing w:after="0" w:line="240" w:lineRule="auto"/>
              <w:jc w:val="center"/>
              <w:rPr>
                <w:rFonts w:ascii="Times New Roman" w:eastAsia="Times New Roman" w:hAnsi="Times New Roman" w:cs="Times New Roman"/>
                <w:i/>
                <w:sz w:val="20"/>
                <w:szCs w:val="20"/>
                <w:lang w:eastAsia="ru-RU"/>
              </w:rPr>
            </w:pPr>
            <w:r w:rsidRPr="00C62E68">
              <w:rPr>
                <w:rFonts w:ascii="Times New Roman" w:eastAsia="Times New Roman" w:hAnsi="Times New Roman" w:cs="Times New Roman"/>
                <w:i/>
                <w:sz w:val="20"/>
                <w:szCs w:val="20"/>
                <w:lang w:eastAsia="ru-RU"/>
              </w:rPr>
              <w:t>15-17</w:t>
            </w:r>
          </w:p>
        </w:tc>
      </w:tr>
      <w:tr w:rsidR="00D03A4F" w:rsidRPr="00C62E68" w14:paraId="5B9F75C8" w14:textId="77777777" w:rsidTr="00950683">
        <w:trPr>
          <w:trHeight w:val="225"/>
          <w:jc w:val="center"/>
        </w:trPr>
        <w:tc>
          <w:tcPr>
            <w:tcW w:w="5000" w:type="pct"/>
            <w:gridSpan w:val="9"/>
            <w:vAlign w:val="center"/>
          </w:tcPr>
          <w:p w14:paraId="048774FB" w14:textId="77777777" w:rsidR="00D03A4F" w:rsidRPr="00C62E68" w:rsidRDefault="00D03A4F" w:rsidP="00D03A4F">
            <w:pPr>
              <w:tabs>
                <w:tab w:val="left" w:pos="10206"/>
              </w:tabs>
              <w:spacing w:before="120" w:after="120" w:line="240" w:lineRule="auto"/>
              <w:ind w:right="-142"/>
              <w:jc w:val="center"/>
              <w:rPr>
                <w:rFonts w:ascii="Times New Roman" w:eastAsia="Times New Roman" w:hAnsi="Times New Roman" w:cs="Times New Roman"/>
                <w:lang w:eastAsia="ru-RU"/>
              </w:rPr>
            </w:pPr>
            <w:r w:rsidRPr="00C62E68">
              <w:rPr>
                <w:rFonts w:ascii="Times New Roman" w:eastAsia="Times New Roman" w:hAnsi="Times New Roman" w:cs="Times New Roman"/>
                <w:b/>
                <w:lang w:eastAsia="ru-RU"/>
              </w:rPr>
              <w:t>2018 г.</w:t>
            </w:r>
          </w:p>
        </w:tc>
      </w:tr>
      <w:tr w:rsidR="009A4CE6" w:rsidRPr="00C62E68" w14:paraId="62644D10" w14:textId="77777777" w:rsidTr="00950683">
        <w:trPr>
          <w:trHeight w:val="225"/>
          <w:jc w:val="center"/>
        </w:trPr>
        <w:tc>
          <w:tcPr>
            <w:tcW w:w="943" w:type="pct"/>
            <w:vAlign w:val="center"/>
          </w:tcPr>
          <w:p w14:paraId="0F766721" w14:textId="77777777" w:rsidR="009A4CE6" w:rsidRPr="00C62E68" w:rsidRDefault="009A4CE6" w:rsidP="00D03A4F">
            <w:pPr>
              <w:tabs>
                <w:tab w:val="left" w:leader="dot" w:pos="5840"/>
              </w:tabs>
              <w:snapToGrid w:val="0"/>
              <w:spacing w:after="0" w:line="240" w:lineRule="auto"/>
              <w:ind w:right="-57"/>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 xml:space="preserve">Дети в возрасте до 18 лет – всего </w:t>
            </w:r>
          </w:p>
        </w:tc>
        <w:tc>
          <w:tcPr>
            <w:tcW w:w="633" w:type="pct"/>
            <w:vAlign w:val="bottom"/>
          </w:tcPr>
          <w:p w14:paraId="4C5F1EED"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c>
          <w:tcPr>
            <w:tcW w:w="654" w:type="pct"/>
            <w:gridSpan w:val="2"/>
            <w:vAlign w:val="bottom"/>
          </w:tcPr>
          <w:p w14:paraId="78323DF0"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c>
          <w:tcPr>
            <w:tcW w:w="591" w:type="pct"/>
            <w:vAlign w:val="bottom"/>
          </w:tcPr>
          <w:p w14:paraId="3A7F2A35"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c>
          <w:tcPr>
            <w:tcW w:w="499" w:type="pct"/>
            <w:vAlign w:val="bottom"/>
          </w:tcPr>
          <w:p w14:paraId="3B82FD35"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c>
          <w:tcPr>
            <w:tcW w:w="559" w:type="pct"/>
            <w:vAlign w:val="bottom"/>
          </w:tcPr>
          <w:p w14:paraId="2B38BECF"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c>
          <w:tcPr>
            <w:tcW w:w="595" w:type="pct"/>
            <w:vAlign w:val="bottom"/>
          </w:tcPr>
          <w:p w14:paraId="3AFCDBE6"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c>
          <w:tcPr>
            <w:tcW w:w="526" w:type="pct"/>
            <w:vAlign w:val="bottom"/>
          </w:tcPr>
          <w:p w14:paraId="118CD216"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100</w:t>
            </w:r>
          </w:p>
        </w:tc>
      </w:tr>
      <w:tr w:rsidR="009A4CE6" w:rsidRPr="00C62E68" w14:paraId="7813CB16" w14:textId="77777777" w:rsidTr="00950683">
        <w:trPr>
          <w:trHeight w:val="225"/>
          <w:jc w:val="center"/>
        </w:trPr>
        <w:tc>
          <w:tcPr>
            <w:tcW w:w="943" w:type="pct"/>
            <w:vAlign w:val="center"/>
          </w:tcPr>
          <w:p w14:paraId="3CED4C0F" w14:textId="0036D959" w:rsidR="009A4CE6" w:rsidRPr="00C62E68" w:rsidRDefault="009A4CE6" w:rsidP="00D03A4F">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 xml:space="preserve">из них проживающие </w:t>
            </w:r>
            <w:r w:rsidR="00591409" w:rsidRPr="00C62E68">
              <w:rPr>
                <w:rFonts w:ascii="Times New Roman" w:eastAsia="Times New Roman" w:hAnsi="Times New Roman" w:cs="Times New Roman"/>
                <w:lang w:eastAsia="ru-RU"/>
              </w:rPr>
              <w:t xml:space="preserve">в </w:t>
            </w:r>
            <w:r w:rsidRPr="00C62E68">
              <w:rPr>
                <w:rFonts w:ascii="Times New Roman" w:eastAsia="Times New Roman" w:hAnsi="Times New Roman" w:cs="Times New Roman"/>
                <w:lang w:eastAsia="ru-RU"/>
              </w:rPr>
              <w:t xml:space="preserve">домохозяйствах, </w:t>
            </w:r>
          </w:p>
        </w:tc>
        <w:tc>
          <w:tcPr>
            <w:tcW w:w="633" w:type="pct"/>
            <w:vAlign w:val="bottom"/>
          </w:tcPr>
          <w:p w14:paraId="768BAED7"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p>
        </w:tc>
        <w:tc>
          <w:tcPr>
            <w:tcW w:w="654" w:type="pct"/>
            <w:gridSpan w:val="2"/>
            <w:vAlign w:val="bottom"/>
          </w:tcPr>
          <w:p w14:paraId="67BF74AD"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p>
        </w:tc>
        <w:tc>
          <w:tcPr>
            <w:tcW w:w="591" w:type="pct"/>
            <w:vAlign w:val="bottom"/>
          </w:tcPr>
          <w:p w14:paraId="36EBF361"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p>
        </w:tc>
        <w:tc>
          <w:tcPr>
            <w:tcW w:w="499" w:type="pct"/>
            <w:vAlign w:val="bottom"/>
          </w:tcPr>
          <w:p w14:paraId="14E4A49C"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p>
        </w:tc>
        <w:tc>
          <w:tcPr>
            <w:tcW w:w="559" w:type="pct"/>
            <w:vAlign w:val="bottom"/>
          </w:tcPr>
          <w:p w14:paraId="228BBC61"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p>
        </w:tc>
        <w:tc>
          <w:tcPr>
            <w:tcW w:w="595" w:type="pct"/>
            <w:vAlign w:val="bottom"/>
          </w:tcPr>
          <w:p w14:paraId="65C6A88E"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p>
        </w:tc>
        <w:tc>
          <w:tcPr>
            <w:tcW w:w="526" w:type="pct"/>
            <w:vAlign w:val="bottom"/>
          </w:tcPr>
          <w:p w14:paraId="113D4F31"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p>
        </w:tc>
      </w:tr>
      <w:tr w:rsidR="009A4CE6" w:rsidRPr="00C62E68" w14:paraId="7F8B7EED" w14:textId="77777777" w:rsidTr="00950683">
        <w:trPr>
          <w:trHeight w:val="225"/>
          <w:jc w:val="center"/>
        </w:trPr>
        <w:tc>
          <w:tcPr>
            <w:tcW w:w="943" w:type="pct"/>
            <w:vAlign w:val="center"/>
          </w:tcPr>
          <w:p w14:paraId="2A63055A" w14:textId="77777777" w:rsidR="009A4CE6" w:rsidRPr="00C62E68" w:rsidRDefault="009A4CE6" w:rsidP="00D03A4F">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имеющих постоянный доступ к источникам воды более высокого качества</w:t>
            </w:r>
          </w:p>
        </w:tc>
        <w:tc>
          <w:tcPr>
            <w:tcW w:w="633" w:type="pct"/>
            <w:vAlign w:val="bottom"/>
          </w:tcPr>
          <w:p w14:paraId="33D11900"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95,6</w:t>
            </w:r>
          </w:p>
        </w:tc>
        <w:tc>
          <w:tcPr>
            <w:tcW w:w="654" w:type="pct"/>
            <w:gridSpan w:val="2"/>
            <w:vAlign w:val="bottom"/>
          </w:tcPr>
          <w:p w14:paraId="77B8DD87"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98,7</w:t>
            </w:r>
          </w:p>
        </w:tc>
        <w:tc>
          <w:tcPr>
            <w:tcW w:w="591" w:type="pct"/>
            <w:vAlign w:val="bottom"/>
          </w:tcPr>
          <w:p w14:paraId="0A177DA8"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87,6</w:t>
            </w:r>
          </w:p>
        </w:tc>
        <w:tc>
          <w:tcPr>
            <w:tcW w:w="499" w:type="pct"/>
            <w:vAlign w:val="bottom"/>
          </w:tcPr>
          <w:p w14:paraId="423C4204"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95,7</w:t>
            </w:r>
          </w:p>
        </w:tc>
        <w:tc>
          <w:tcPr>
            <w:tcW w:w="559" w:type="pct"/>
            <w:vAlign w:val="bottom"/>
          </w:tcPr>
          <w:p w14:paraId="1CBD5ED5"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95,8</w:t>
            </w:r>
          </w:p>
        </w:tc>
        <w:tc>
          <w:tcPr>
            <w:tcW w:w="595" w:type="pct"/>
            <w:vAlign w:val="bottom"/>
          </w:tcPr>
          <w:p w14:paraId="27EBE0E1"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95,5</w:t>
            </w:r>
          </w:p>
        </w:tc>
        <w:tc>
          <w:tcPr>
            <w:tcW w:w="526" w:type="pct"/>
            <w:vAlign w:val="bottom"/>
          </w:tcPr>
          <w:p w14:paraId="1F1EE6DD"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95,3</w:t>
            </w:r>
          </w:p>
        </w:tc>
      </w:tr>
      <w:tr w:rsidR="009A4CE6" w:rsidRPr="00C62E68" w14:paraId="6BF47E95" w14:textId="77777777" w:rsidTr="00950683">
        <w:trPr>
          <w:trHeight w:val="225"/>
          <w:jc w:val="center"/>
        </w:trPr>
        <w:tc>
          <w:tcPr>
            <w:tcW w:w="943" w:type="pct"/>
            <w:vAlign w:val="center"/>
          </w:tcPr>
          <w:p w14:paraId="259157B7" w14:textId="77777777" w:rsidR="009A4CE6" w:rsidRPr="00C62E68" w:rsidRDefault="009A4CE6" w:rsidP="00D03A4F">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имеющих доступ к улучшенным санитарно-техническим средствам</w:t>
            </w:r>
          </w:p>
        </w:tc>
        <w:tc>
          <w:tcPr>
            <w:tcW w:w="633" w:type="pct"/>
            <w:vAlign w:val="bottom"/>
          </w:tcPr>
          <w:p w14:paraId="53DEC6A5"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73,4</w:t>
            </w:r>
          </w:p>
        </w:tc>
        <w:tc>
          <w:tcPr>
            <w:tcW w:w="654" w:type="pct"/>
            <w:gridSpan w:val="2"/>
            <w:vAlign w:val="bottom"/>
          </w:tcPr>
          <w:p w14:paraId="24778681"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89,9</w:t>
            </w:r>
          </w:p>
        </w:tc>
        <w:tc>
          <w:tcPr>
            <w:tcW w:w="591" w:type="pct"/>
            <w:vAlign w:val="bottom"/>
          </w:tcPr>
          <w:p w14:paraId="186FBF2F"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30,8</w:t>
            </w:r>
          </w:p>
        </w:tc>
        <w:tc>
          <w:tcPr>
            <w:tcW w:w="499" w:type="pct"/>
            <w:vAlign w:val="bottom"/>
          </w:tcPr>
          <w:p w14:paraId="12062A05"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77,1</w:t>
            </w:r>
          </w:p>
        </w:tc>
        <w:tc>
          <w:tcPr>
            <w:tcW w:w="559" w:type="pct"/>
            <w:vAlign w:val="bottom"/>
          </w:tcPr>
          <w:p w14:paraId="1186C149"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75,3</w:t>
            </w:r>
          </w:p>
        </w:tc>
        <w:tc>
          <w:tcPr>
            <w:tcW w:w="595" w:type="pct"/>
            <w:vAlign w:val="bottom"/>
          </w:tcPr>
          <w:p w14:paraId="79B1BB39"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72,0</w:t>
            </w:r>
          </w:p>
        </w:tc>
        <w:tc>
          <w:tcPr>
            <w:tcW w:w="526" w:type="pct"/>
            <w:vAlign w:val="bottom"/>
          </w:tcPr>
          <w:p w14:paraId="32687245"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71,3</w:t>
            </w:r>
          </w:p>
        </w:tc>
      </w:tr>
      <w:tr w:rsidR="009A4CE6" w:rsidRPr="00C62E68" w14:paraId="435EB249" w14:textId="77777777" w:rsidTr="00950683">
        <w:trPr>
          <w:trHeight w:val="225"/>
          <w:jc w:val="center"/>
        </w:trPr>
        <w:tc>
          <w:tcPr>
            <w:tcW w:w="943" w:type="pct"/>
            <w:vAlign w:val="center"/>
          </w:tcPr>
          <w:p w14:paraId="1DA8F8D7" w14:textId="77777777" w:rsidR="009A4CE6" w:rsidRPr="00C62E68" w:rsidRDefault="009A4CE6" w:rsidP="00D03A4F">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испытывающих значительную стесненность при проживании в своем жилом помещении</w:t>
            </w:r>
          </w:p>
        </w:tc>
        <w:tc>
          <w:tcPr>
            <w:tcW w:w="633" w:type="pct"/>
            <w:vAlign w:val="bottom"/>
          </w:tcPr>
          <w:p w14:paraId="765F1A5B"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13,6</w:t>
            </w:r>
          </w:p>
        </w:tc>
        <w:tc>
          <w:tcPr>
            <w:tcW w:w="654" w:type="pct"/>
            <w:gridSpan w:val="2"/>
            <w:vAlign w:val="bottom"/>
          </w:tcPr>
          <w:p w14:paraId="3983157D"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14,8</w:t>
            </w:r>
          </w:p>
        </w:tc>
        <w:tc>
          <w:tcPr>
            <w:tcW w:w="591" w:type="pct"/>
            <w:vAlign w:val="bottom"/>
          </w:tcPr>
          <w:p w14:paraId="74DC1CC5"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10,5</w:t>
            </w:r>
          </w:p>
        </w:tc>
        <w:tc>
          <w:tcPr>
            <w:tcW w:w="499" w:type="pct"/>
            <w:vAlign w:val="bottom"/>
          </w:tcPr>
          <w:p w14:paraId="3B48B2E5"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15,3</w:t>
            </w:r>
          </w:p>
        </w:tc>
        <w:tc>
          <w:tcPr>
            <w:tcW w:w="559" w:type="pct"/>
            <w:vAlign w:val="bottom"/>
          </w:tcPr>
          <w:p w14:paraId="6F03C272"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14,3</w:t>
            </w:r>
          </w:p>
        </w:tc>
        <w:tc>
          <w:tcPr>
            <w:tcW w:w="595" w:type="pct"/>
            <w:vAlign w:val="bottom"/>
          </w:tcPr>
          <w:p w14:paraId="7E4785A6"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13,1</w:t>
            </w:r>
          </w:p>
        </w:tc>
        <w:tc>
          <w:tcPr>
            <w:tcW w:w="526" w:type="pct"/>
            <w:vAlign w:val="bottom"/>
          </w:tcPr>
          <w:p w14:paraId="18DF236C" w14:textId="77777777" w:rsidR="009A4CE6" w:rsidRPr="00C62E68" w:rsidRDefault="009A4CE6" w:rsidP="00D03A4F">
            <w:pPr>
              <w:spacing w:before="240" w:after="0" w:line="240" w:lineRule="auto"/>
              <w:ind w:right="-96"/>
              <w:jc w:val="center"/>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12,3</w:t>
            </w:r>
          </w:p>
        </w:tc>
      </w:tr>
      <w:tr w:rsidR="009A4CE6" w:rsidRPr="00C62E68" w14:paraId="199846EA" w14:textId="77777777" w:rsidTr="00950683">
        <w:trPr>
          <w:trHeight w:val="20"/>
          <w:jc w:val="center"/>
        </w:trPr>
        <w:tc>
          <w:tcPr>
            <w:tcW w:w="5000" w:type="pct"/>
            <w:gridSpan w:val="9"/>
            <w:vAlign w:val="center"/>
          </w:tcPr>
          <w:p w14:paraId="22EA825F" w14:textId="77777777" w:rsidR="009A4CE6" w:rsidRPr="00C62E68" w:rsidRDefault="0052045E" w:rsidP="0052045E">
            <w:pPr>
              <w:tabs>
                <w:tab w:val="left" w:pos="10206"/>
              </w:tabs>
              <w:spacing w:before="120" w:after="120" w:line="240" w:lineRule="auto"/>
              <w:ind w:right="-142"/>
              <w:jc w:val="center"/>
              <w:rPr>
                <w:rFonts w:ascii="Times New Roman" w:eastAsia="Times New Roman" w:hAnsi="Times New Roman" w:cs="Times New Roman"/>
                <w:b/>
                <w:lang w:eastAsia="ru-RU"/>
              </w:rPr>
            </w:pPr>
            <w:r w:rsidRPr="00C62E68">
              <w:rPr>
                <w:rFonts w:ascii="Times New Roman" w:eastAsia="Times New Roman" w:hAnsi="Times New Roman" w:cs="Times New Roman"/>
                <w:b/>
                <w:lang w:eastAsia="ru-RU"/>
              </w:rPr>
              <w:t>2020 г.</w:t>
            </w:r>
          </w:p>
        </w:tc>
      </w:tr>
      <w:tr w:rsidR="0052045E" w:rsidRPr="00C62E68" w14:paraId="0B049900" w14:textId="77777777" w:rsidTr="00950683">
        <w:trPr>
          <w:trHeight w:val="225"/>
          <w:jc w:val="center"/>
        </w:trPr>
        <w:tc>
          <w:tcPr>
            <w:tcW w:w="943" w:type="pct"/>
            <w:vAlign w:val="center"/>
          </w:tcPr>
          <w:p w14:paraId="01E52EAB" w14:textId="77777777" w:rsidR="0052045E" w:rsidRPr="00C62E68" w:rsidRDefault="0052045E" w:rsidP="00B0529B">
            <w:pPr>
              <w:tabs>
                <w:tab w:val="left" w:leader="dot" w:pos="5840"/>
              </w:tabs>
              <w:snapToGrid w:val="0"/>
              <w:spacing w:after="0" w:line="240" w:lineRule="auto"/>
              <w:ind w:right="-57"/>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 xml:space="preserve">Дети в возрасте до 18 лет – всего </w:t>
            </w:r>
          </w:p>
        </w:tc>
        <w:tc>
          <w:tcPr>
            <w:tcW w:w="633" w:type="pct"/>
            <w:vAlign w:val="bottom"/>
          </w:tcPr>
          <w:p w14:paraId="503BF750" w14:textId="77777777"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100</w:t>
            </w:r>
          </w:p>
        </w:tc>
        <w:tc>
          <w:tcPr>
            <w:tcW w:w="654" w:type="pct"/>
            <w:gridSpan w:val="2"/>
            <w:vAlign w:val="bottom"/>
          </w:tcPr>
          <w:p w14:paraId="278BA3D0" w14:textId="77777777"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100</w:t>
            </w:r>
          </w:p>
        </w:tc>
        <w:tc>
          <w:tcPr>
            <w:tcW w:w="591" w:type="pct"/>
            <w:vAlign w:val="bottom"/>
          </w:tcPr>
          <w:p w14:paraId="331834AF" w14:textId="77777777"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100</w:t>
            </w:r>
          </w:p>
        </w:tc>
        <w:tc>
          <w:tcPr>
            <w:tcW w:w="499" w:type="pct"/>
            <w:vAlign w:val="bottom"/>
          </w:tcPr>
          <w:p w14:paraId="42A9FA69" w14:textId="77777777"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100</w:t>
            </w:r>
          </w:p>
        </w:tc>
        <w:tc>
          <w:tcPr>
            <w:tcW w:w="559" w:type="pct"/>
            <w:vAlign w:val="bottom"/>
          </w:tcPr>
          <w:p w14:paraId="0DF86A03" w14:textId="77777777"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100</w:t>
            </w:r>
          </w:p>
        </w:tc>
        <w:tc>
          <w:tcPr>
            <w:tcW w:w="595" w:type="pct"/>
            <w:vAlign w:val="bottom"/>
          </w:tcPr>
          <w:p w14:paraId="0E079CBB" w14:textId="77777777"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100</w:t>
            </w:r>
          </w:p>
        </w:tc>
        <w:tc>
          <w:tcPr>
            <w:tcW w:w="526" w:type="pct"/>
            <w:vAlign w:val="bottom"/>
          </w:tcPr>
          <w:p w14:paraId="551468C8" w14:textId="77777777"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100</w:t>
            </w:r>
          </w:p>
        </w:tc>
      </w:tr>
      <w:tr w:rsidR="0052045E" w:rsidRPr="00C62E68" w14:paraId="4E3AD396" w14:textId="77777777" w:rsidTr="00950683">
        <w:trPr>
          <w:trHeight w:val="225"/>
          <w:jc w:val="center"/>
        </w:trPr>
        <w:tc>
          <w:tcPr>
            <w:tcW w:w="943" w:type="pct"/>
            <w:vAlign w:val="center"/>
          </w:tcPr>
          <w:p w14:paraId="4A6E4E65" w14:textId="136740F0" w:rsidR="0052045E" w:rsidRPr="00C62E68" w:rsidRDefault="0052045E" w:rsidP="00B0529B">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 xml:space="preserve">из них проживающие </w:t>
            </w:r>
            <w:r w:rsidR="00591409" w:rsidRPr="00C62E68">
              <w:rPr>
                <w:rFonts w:ascii="Times New Roman" w:eastAsia="Times New Roman" w:hAnsi="Times New Roman" w:cs="Times New Roman"/>
                <w:lang w:eastAsia="ru-RU"/>
              </w:rPr>
              <w:t xml:space="preserve">в </w:t>
            </w:r>
            <w:r w:rsidRPr="00C62E68">
              <w:rPr>
                <w:rFonts w:ascii="Times New Roman" w:eastAsia="Times New Roman" w:hAnsi="Times New Roman" w:cs="Times New Roman"/>
                <w:lang w:eastAsia="ru-RU"/>
              </w:rPr>
              <w:t xml:space="preserve">домохозяйствах, </w:t>
            </w:r>
          </w:p>
        </w:tc>
        <w:tc>
          <w:tcPr>
            <w:tcW w:w="633" w:type="pct"/>
            <w:vAlign w:val="bottom"/>
          </w:tcPr>
          <w:p w14:paraId="04C257C8" w14:textId="77777777" w:rsidR="0052045E" w:rsidRPr="00C62E68" w:rsidRDefault="0052045E" w:rsidP="00B0529B">
            <w:pPr>
              <w:spacing w:after="0" w:line="240" w:lineRule="auto"/>
              <w:ind w:right="-96"/>
              <w:jc w:val="center"/>
              <w:rPr>
                <w:rFonts w:ascii="Times New Roman" w:hAnsi="Times New Roman"/>
              </w:rPr>
            </w:pPr>
          </w:p>
        </w:tc>
        <w:tc>
          <w:tcPr>
            <w:tcW w:w="654" w:type="pct"/>
            <w:gridSpan w:val="2"/>
            <w:vAlign w:val="bottom"/>
          </w:tcPr>
          <w:p w14:paraId="2EAE3407" w14:textId="77777777" w:rsidR="0052045E" w:rsidRPr="00C62E68" w:rsidRDefault="0052045E" w:rsidP="00B0529B">
            <w:pPr>
              <w:spacing w:after="0" w:line="240" w:lineRule="auto"/>
              <w:ind w:right="-96"/>
              <w:jc w:val="center"/>
              <w:rPr>
                <w:rFonts w:ascii="Times New Roman" w:hAnsi="Times New Roman"/>
              </w:rPr>
            </w:pPr>
          </w:p>
        </w:tc>
        <w:tc>
          <w:tcPr>
            <w:tcW w:w="591" w:type="pct"/>
            <w:vAlign w:val="bottom"/>
          </w:tcPr>
          <w:p w14:paraId="6C0EB600" w14:textId="77777777" w:rsidR="0052045E" w:rsidRPr="00C62E68" w:rsidRDefault="0052045E" w:rsidP="00B0529B">
            <w:pPr>
              <w:spacing w:after="0" w:line="240" w:lineRule="auto"/>
              <w:ind w:right="-96"/>
              <w:jc w:val="center"/>
              <w:rPr>
                <w:rFonts w:ascii="Times New Roman" w:hAnsi="Times New Roman"/>
              </w:rPr>
            </w:pPr>
          </w:p>
        </w:tc>
        <w:tc>
          <w:tcPr>
            <w:tcW w:w="499" w:type="pct"/>
            <w:vAlign w:val="bottom"/>
          </w:tcPr>
          <w:p w14:paraId="0B690674" w14:textId="77777777" w:rsidR="0052045E" w:rsidRPr="00C62E68" w:rsidRDefault="0052045E" w:rsidP="00B0529B">
            <w:pPr>
              <w:spacing w:after="0" w:line="240" w:lineRule="auto"/>
              <w:ind w:right="-96"/>
              <w:jc w:val="center"/>
              <w:rPr>
                <w:rFonts w:ascii="Times New Roman" w:hAnsi="Times New Roman"/>
              </w:rPr>
            </w:pPr>
          </w:p>
        </w:tc>
        <w:tc>
          <w:tcPr>
            <w:tcW w:w="559" w:type="pct"/>
            <w:vAlign w:val="bottom"/>
          </w:tcPr>
          <w:p w14:paraId="57294BB5" w14:textId="77777777" w:rsidR="0052045E" w:rsidRPr="00C62E68" w:rsidRDefault="0052045E" w:rsidP="00B0529B">
            <w:pPr>
              <w:spacing w:after="0" w:line="240" w:lineRule="auto"/>
              <w:ind w:right="-96"/>
              <w:jc w:val="center"/>
              <w:rPr>
                <w:rFonts w:ascii="Times New Roman" w:hAnsi="Times New Roman"/>
              </w:rPr>
            </w:pPr>
          </w:p>
        </w:tc>
        <w:tc>
          <w:tcPr>
            <w:tcW w:w="595" w:type="pct"/>
            <w:vAlign w:val="bottom"/>
          </w:tcPr>
          <w:p w14:paraId="664A481A" w14:textId="77777777" w:rsidR="0052045E" w:rsidRPr="00C62E68" w:rsidRDefault="0052045E" w:rsidP="00B0529B">
            <w:pPr>
              <w:spacing w:after="0" w:line="240" w:lineRule="auto"/>
              <w:ind w:right="-96"/>
              <w:jc w:val="center"/>
              <w:rPr>
                <w:rFonts w:ascii="Times New Roman" w:hAnsi="Times New Roman"/>
              </w:rPr>
            </w:pPr>
          </w:p>
        </w:tc>
        <w:tc>
          <w:tcPr>
            <w:tcW w:w="526" w:type="pct"/>
            <w:vAlign w:val="bottom"/>
          </w:tcPr>
          <w:p w14:paraId="4ABCF61F" w14:textId="77777777" w:rsidR="0052045E" w:rsidRPr="00C62E68" w:rsidRDefault="0052045E" w:rsidP="00B0529B">
            <w:pPr>
              <w:spacing w:after="0" w:line="240" w:lineRule="auto"/>
              <w:ind w:right="-96"/>
              <w:jc w:val="center"/>
              <w:rPr>
                <w:rFonts w:ascii="Times New Roman" w:hAnsi="Times New Roman"/>
              </w:rPr>
            </w:pPr>
          </w:p>
        </w:tc>
      </w:tr>
      <w:tr w:rsidR="0052045E" w:rsidRPr="00C62E68" w14:paraId="5E63F6F0" w14:textId="77777777" w:rsidTr="00950683">
        <w:trPr>
          <w:trHeight w:val="225"/>
          <w:jc w:val="center"/>
        </w:trPr>
        <w:tc>
          <w:tcPr>
            <w:tcW w:w="943" w:type="pct"/>
            <w:vAlign w:val="center"/>
          </w:tcPr>
          <w:p w14:paraId="41D3F08B" w14:textId="77777777" w:rsidR="0052045E" w:rsidRPr="00C62E68" w:rsidRDefault="0052045E" w:rsidP="00B0529B">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имеющих постоянный доступ к источникам воды более высокого качества</w:t>
            </w:r>
          </w:p>
        </w:tc>
        <w:tc>
          <w:tcPr>
            <w:tcW w:w="633" w:type="pct"/>
            <w:vAlign w:val="bottom"/>
          </w:tcPr>
          <w:p w14:paraId="7ABFD02C" w14:textId="77777777"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96,3</w:t>
            </w:r>
          </w:p>
        </w:tc>
        <w:tc>
          <w:tcPr>
            <w:tcW w:w="654" w:type="pct"/>
            <w:gridSpan w:val="2"/>
            <w:vAlign w:val="bottom"/>
          </w:tcPr>
          <w:p w14:paraId="2BA2135C" w14:textId="77777777"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98,8</w:t>
            </w:r>
          </w:p>
        </w:tc>
        <w:tc>
          <w:tcPr>
            <w:tcW w:w="591" w:type="pct"/>
            <w:vAlign w:val="bottom"/>
          </w:tcPr>
          <w:p w14:paraId="03CD6F24" w14:textId="77777777"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89,8</w:t>
            </w:r>
          </w:p>
        </w:tc>
        <w:tc>
          <w:tcPr>
            <w:tcW w:w="499" w:type="pct"/>
            <w:vAlign w:val="bottom"/>
          </w:tcPr>
          <w:p w14:paraId="7B2D6CD3" w14:textId="77777777"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96,4</w:t>
            </w:r>
          </w:p>
        </w:tc>
        <w:tc>
          <w:tcPr>
            <w:tcW w:w="559" w:type="pct"/>
            <w:vAlign w:val="bottom"/>
          </w:tcPr>
          <w:p w14:paraId="18B4D610" w14:textId="77777777"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96,4</w:t>
            </w:r>
          </w:p>
        </w:tc>
        <w:tc>
          <w:tcPr>
            <w:tcW w:w="595" w:type="pct"/>
            <w:vAlign w:val="bottom"/>
          </w:tcPr>
          <w:p w14:paraId="6C84DD94" w14:textId="77777777"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96,3</w:t>
            </w:r>
          </w:p>
        </w:tc>
        <w:tc>
          <w:tcPr>
            <w:tcW w:w="526" w:type="pct"/>
            <w:vAlign w:val="bottom"/>
          </w:tcPr>
          <w:p w14:paraId="403578B1" w14:textId="77777777"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96,5</w:t>
            </w:r>
          </w:p>
        </w:tc>
      </w:tr>
      <w:tr w:rsidR="0052045E" w:rsidRPr="00C62E68" w14:paraId="1FF220F2" w14:textId="77777777" w:rsidTr="00950683">
        <w:trPr>
          <w:trHeight w:val="225"/>
          <w:jc w:val="center"/>
        </w:trPr>
        <w:tc>
          <w:tcPr>
            <w:tcW w:w="943" w:type="pct"/>
            <w:vAlign w:val="center"/>
          </w:tcPr>
          <w:p w14:paraId="3C0550D2" w14:textId="77777777" w:rsidR="0052045E" w:rsidRPr="00C62E68" w:rsidRDefault="0052045E" w:rsidP="00B0529B">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имеющих доступ к улучшенным санитарно-техническим средствам</w:t>
            </w:r>
          </w:p>
        </w:tc>
        <w:tc>
          <w:tcPr>
            <w:tcW w:w="633" w:type="pct"/>
            <w:vAlign w:val="bottom"/>
          </w:tcPr>
          <w:p w14:paraId="32FA56E4" w14:textId="77777777"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74,0</w:t>
            </w:r>
          </w:p>
        </w:tc>
        <w:tc>
          <w:tcPr>
            <w:tcW w:w="654" w:type="pct"/>
            <w:gridSpan w:val="2"/>
            <w:vAlign w:val="bottom"/>
          </w:tcPr>
          <w:p w14:paraId="48E4310F" w14:textId="77777777"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88,8</w:t>
            </w:r>
          </w:p>
        </w:tc>
        <w:tc>
          <w:tcPr>
            <w:tcW w:w="591" w:type="pct"/>
            <w:vAlign w:val="bottom"/>
          </w:tcPr>
          <w:p w14:paraId="753AEA2E" w14:textId="77777777"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34,1</w:t>
            </w:r>
          </w:p>
        </w:tc>
        <w:tc>
          <w:tcPr>
            <w:tcW w:w="499" w:type="pct"/>
            <w:vAlign w:val="bottom"/>
          </w:tcPr>
          <w:p w14:paraId="7036EFD4" w14:textId="77777777"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77,3</w:t>
            </w:r>
          </w:p>
        </w:tc>
        <w:tc>
          <w:tcPr>
            <w:tcW w:w="559" w:type="pct"/>
            <w:vAlign w:val="bottom"/>
          </w:tcPr>
          <w:p w14:paraId="069B8172" w14:textId="77777777"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75,8</w:t>
            </w:r>
          </w:p>
        </w:tc>
        <w:tc>
          <w:tcPr>
            <w:tcW w:w="595" w:type="pct"/>
            <w:vAlign w:val="bottom"/>
          </w:tcPr>
          <w:p w14:paraId="16C19569" w14:textId="77777777"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72,7</w:t>
            </w:r>
          </w:p>
        </w:tc>
        <w:tc>
          <w:tcPr>
            <w:tcW w:w="526" w:type="pct"/>
            <w:vAlign w:val="bottom"/>
          </w:tcPr>
          <w:p w14:paraId="1B8D89F4" w14:textId="77777777"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72,8</w:t>
            </w:r>
          </w:p>
        </w:tc>
      </w:tr>
      <w:tr w:rsidR="0052045E" w:rsidRPr="00BD5A90" w14:paraId="6F9B8735" w14:textId="77777777" w:rsidTr="00950683">
        <w:trPr>
          <w:trHeight w:val="225"/>
          <w:jc w:val="center"/>
        </w:trPr>
        <w:tc>
          <w:tcPr>
            <w:tcW w:w="943" w:type="pct"/>
            <w:vAlign w:val="center"/>
          </w:tcPr>
          <w:p w14:paraId="26E6AC72" w14:textId="77777777" w:rsidR="0052045E" w:rsidRPr="00C62E68" w:rsidRDefault="0052045E" w:rsidP="00B0529B">
            <w:pPr>
              <w:tabs>
                <w:tab w:val="left" w:leader="dot" w:pos="5840"/>
              </w:tabs>
              <w:snapToGrid w:val="0"/>
              <w:spacing w:after="0" w:line="240" w:lineRule="auto"/>
              <w:ind w:left="170"/>
              <w:rPr>
                <w:rFonts w:ascii="Times New Roman" w:eastAsia="Times New Roman" w:hAnsi="Times New Roman" w:cs="Times New Roman"/>
                <w:lang w:eastAsia="ru-RU"/>
              </w:rPr>
            </w:pPr>
            <w:r w:rsidRPr="00C62E68">
              <w:rPr>
                <w:rFonts w:ascii="Times New Roman" w:eastAsia="Times New Roman" w:hAnsi="Times New Roman" w:cs="Times New Roman"/>
                <w:lang w:eastAsia="ru-RU"/>
              </w:rPr>
              <w:t>испытывающих значительную стесненность при проживании в своем жилом помещении</w:t>
            </w:r>
          </w:p>
        </w:tc>
        <w:tc>
          <w:tcPr>
            <w:tcW w:w="633" w:type="pct"/>
            <w:vAlign w:val="bottom"/>
          </w:tcPr>
          <w:p w14:paraId="7A7264A8" w14:textId="77777777"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10,1</w:t>
            </w:r>
          </w:p>
        </w:tc>
        <w:tc>
          <w:tcPr>
            <w:tcW w:w="654" w:type="pct"/>
            <w:gridSpan w:val="2"/>
            <w:vAlign w:val="bottom"/>
          </w:tcPr>
          <w:p w14:paraId="118C79AB" w14:textId="77777777"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10,2</w:t>
            </w:r>
          </w:p>
        </w:tc>
        <w:tc>
          <w:tcPr>
            <w:tcW w:w="591" w:type="pct"/>
            <w:vAlign w:val="bottom"/>
          </w:tcPr>
          <w:p w14:paraId="552459AE" w14:textId="77777777"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9,7</w:t>
            </w:r>
          </w:p>
        </w:tc>
        <w:tc>
          <w:tcPr>
            <w:tcW w:w="499" w:type="pct"/>
            <w:vAlign w:val="bottom"/>
          </w:tcPr>
          <w:p w14:paraId="6E9149C4" w14:textId="77777777"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11,9</w:t>
            </w:r>
          </w:p>
        </w:tc>
        <w:tc>
          <w:tcPr>
            <w:tcW w:w="559" w:type="pct"/>
            <w:vAlign w:val="bottom"/>
          </w:tcPr>
          <w:p w14:paraId="56C7D113" w14:textId="77777777"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10,5</w:t>
            </w:r>
          </w:p>
        </w:tc>
        <w:tc>
          <w:tcPr>
            <w:tcW w:w="595" w:type="pct"/>
            <w:vAlign w:val="bottom"/>
          </w:tcPr>
          <w:p w14:paraId="4AAC9CE5" w14:textId="77777777" w:rsidR="0052045E" w:rsidRPr="00C62E68" w:rsidRDefault="0052045E" w:rsidP="00B0529B">
            <w:pPr>
              <w:spacing w:after="0" w:line="240" w:lineRule="auto"/>
              <w:ind w:right="-96"/>
              <w:jc w:val="center"/>
              <w:rPr>
                <w:rFonts w:ascii="Times New Roman" w:hAnsi="Times New Roman"/>
              </w:rPr>
            </w:pPr>
            <w:r w:rsidRPr="00C62E68">
              <w:rPr>
                <w:rFonts w:ascii="Times New Roman" w:hAnsi="Times New Roman"/>
              </w:rPr>
              <w:t>9,8</w:t>
            </w:r>
          </w:p>
        </w:tc>
        <w:tc>
          <w:tcPr>
            <w:tcW w:w="526" w:type="pct"/>
            <w:vAlign w:val="bottom"/>
          </w:tcPr>
          <w:p w14:paraId="5B0BD29C" w14:textId="77777777" w:rsidR="0052045E" w:rsidRPr="0052045E" w:rsidRDefault="0052045E" w:rsidP="00B0529B">
            <w:pPr>
              <w:spacing w:after="0" w:line="240" w:lineRule="auto"/>
              <w:ind w:right="-96"/>
              <w:jc w:val="center"/>
              <w:rPr>
                <w:rFonts w:ascii="Times New Roman" w:hAnsi="Times New Roman"/>
              </w:rPr>
            </w:pPr>
            <w:r w:rsidRPr="00C62E68">
              <w:rPr>
                <w:rFonts w:ascii="Times New Roman" w:hAnsi="Times New Roman"/>
              </w:rPr>
              <w:t>8,6</w:t>
            </w:r>
          </w:p>
        </w:tc>
      </w:tr>
    </w:tbl>
    <w:p w14:paraId="3C9EE29B" w14:textId="77777777" w:rsidR="00D03A4F" w:rsidRDefault="00D03A4F" w:rsidP="00D03A4F">
      <w:pPr>
        <w:spacing w:after="0" w:line="240" w:lineRule="auto"/>
        <w:rPr>
          <w:rFonts w:ascii="Times New Roman" w:eastAsia="Times New Roman" w:hAnsi="Times New Roman" w:cs="Times New Roman"/>
          <w:sz w:val="26"/>
          <w:szCs w:val="26"/>
          <w:highlight w:val="yellow"/>
          <w:lang w:eastAsia="ru-RU"/>
        </w:rPr>
      </w:pPr>
    </w:p>
    <w:p w14:paraId="366832F2" w14:textId="77777777" w:rsidR="005963A8" w:rsidRDefault="005963A8" w:rsidP="00D03A4F">
      <w:pPr>
        <w:spacing w:after="0" w:line="240" w:lineRule="auto"/>
        <w:rPr>
          <w:rFonts w:ascii="Times New Roman" w:eastAsia="Times New Roman" w:hAnsi="Times New Roman" w:cs="Times New Roman"/>
          <w:sz w:val="26"/>
          <w:szCs w:val="26"/>
          <w:highlight w:val="yellow"/>
          <w:lang w:eastAsia="ru-RU"/>
        </w:rPr>
      </w:pPr>
    </w:p>
    <w:p w14:paraId="3AB2DFA8" w14:textId="77777777" w:rsidR="002F531B" w:rsidRPr="00BD5A90" w:rsidRDefault="002F531B" w:rsidP="00D03A4F">
      <w:pPr>
        <w:spacing w:after="0" w:line="240" w:lineRule="auto"/>
        <w:rPr>
          <w:rFonts w:ascii="Times New Roman" w:eastAsia="Times New Roman" w:hAnsi="Times New Roman" w:cs="Times New Roman"/>
          <w:sz w:val="26"/>
          <w:szCs w:val="26"/>
          <w:highlight w:val="yellow"/>
          <w:lang w:eastAsia="ru-RU"/>
        </w:rPr>
      </w:pPr>
    </w:p>
    <w:p w14:paraId="56773133" w14:textId="77777777" w:rsidR="00D03A4F" w:rsidRPr="000272D5" w:rsidRDefault="00D03A4F" w:rsidP="000272D5">
      <w:pPr>
        <w:spacing w:after="0" w:line="240" w:lineRule="auto"/>
        <w:jc w:val="right"/>
        <w:rPr>
          <w:rFonts w:ascii="Times New Roman" w:eastAsia="Times New Roman" w:hAnsi="Times New Roman" w:cs="Times New Roman"/>
          <w:sz w:val="26"/>
          <w:szCs w:val="26"/>
          <w:lang w:eastAsia="ru-RU"/>
        </w:rPr>
      </w:pPr>
      <w:r w:rsidRPr="000272D5">
        <w:rPr>
          <w:rFonts w:ascii="Times New Roman" w:eastAsia="Times New Roman" w:hAnsi="Times New Roman" w:cs="Times New Roman"/>
          <w:sz w:val="26"/>
          <w:szCs w:val="26"/>
          <w:lang w:eastAsia="ru-RU"/>
        </w:rPr>
        <w:t>Таблица 6</w:t>
      </w:r>
      <w:r w:rsidR="008737BB">
        <w:rPr>
          <w:rFonts w:ascii="Times New Roman" w:eastAsia="Times New Roman" w:hAnsi="Times New Roman" w:cs="Times New Roman"/>
          <w:sz w:val="26"/>
          <w:szCs w:val="26"/>
          <w:lang w:eastAsia="ru-RU"/>
        </w:rPr>
        <w:t>2</w:t>
      </w:r>
    </w:p>
    <w:p w14:paraId="35A74FB7" w14:textId="77777777" w:rsidR="00D03A4F" w:rsidRPr="000272D5" w:rsidRDefault="00D03A4F" w:rsidP="00D03A4F">
      <w:pPr>
        <w:spacing w:after="0" w:line="240" w:lineRule="auto"/>
        <w:jc w:val="right"/>
        <w:rPr>
          <w:rFonts w:ascii="Times New Roman" w:eastAsia="Times New Roman" w:hAnsi="Times New Roman" w:cs="Times New Roman"/>
          <w:sz w:val="26"/>
          <w:szCs w:val="26"/>
          <w:lang w:eastAsia="ru-RU"/>
        </w:rPr>
      </w:pPr>
    </w:p>
    <w:p w14:paraId="6EA9DF51" w14:textId="77777777" w:rsidR="00D03A4F" w:rsidRPr="000272D5"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0272D5">
        <w:rPr>
          <w:rFonts w:ascii="Times New Roman" w:eastAsia="Times New Roman" w:hAnsi="Times New Roman" w:cs="Times New Roman"/>
          <w:b/>
          <w:bCs/>
          <w:sz w:val="26"/>
          <w:szCs w:val="26"/>
          <w:lang w:eastAsia="ru-RU"/>
        </w:rPr>
        <w:t>Физическая активность и состояние здоровья детей в возрасте до 18 лет</w:t>
      </w:r>
    </w:p>
    <w:p w14:paraId="05E91D57" w14:textId="77777777" w:rsidR="00D03A4F" w:rsidRPr="000272D5" w:rsidRDefault="00D03A4F" w:rsidP="00D03A4F">
      <w:pPr>
        <w:spacing w:after="0" w:line="240" w:lineRule="auto"/>
        <w:ind w:left="567" w:right="141"/>
        <w:jc w:val="center"/>
        <w:rPr>
          <w:rFonts w:ascii="Times New Roman" w:eastAsia="Times New Roman" w:hAnsi="Times New Roman" w:cs="Times New Roman"/>
          <w:bCs/>
          <w:sz w:val="24"/>
          <w:szCs w:val="24"/>
          <w:lang w:eastAsia="ru-RU"/>
        </w:rPr>
      </w:pPr>
      <w:r w:rsidRPr="000272D5">
        <w:rPr>
          <w:rFonts w:ascii="Times New Roman" w:eastAsia="Times New Roman" w:hAnsi="Times New Roman" w:cs="Times New Roman"/>
          <w:bCs/>
          <w:sz w:val="24"/>
          <w:szCs w:val="24"/>
          <w:lang w:eastAsia="ru-RU"/>
        </w:rPr>
        <w:t>(по данным Комплексного наблюдения условий жизни населения; в процентах)</w:t>
      </w:r>
    </w:p>
    <w:p w14:paraId="5B175045" w14:textId="77777777" w:rsidR="00D03A4F" w:rsidRPr="000272D5" w:rsidRDefault="00D03A4F" w:rsidP="00D03A4F">
      <w:pPr>
        <w:spacing w:after="0" w:line="240" w:lineRule="auto"/>
        <w:jc w:val="right"/>
        <w:rPr>
          <w:rFonts w:ascii="Times New Roman" w:eastAsia="Times New Roman" w:hAnsi="Times New Roman" w:cs="Times New Roman"/>
          <w:sz w:val="26"/>
          <w:szCs w:val="26"/>
          <w:lang w:eastAsia="ru-RU"/>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5"/>
        <w:gridCol w:w="990"/>
        <w:gridCol w:w="1332"/>
        <w:gridCol w:w="8"/>
        <w:gridCol w:w="1109"/>
        <w:gridCol w:w="6"/>
        <w:gridCol w:w="1103"/>
        <w:gridCol w:w="6"/>
        <w:gridCol w:w="957"/>
        <w:gridCol w:w="6"/>
        <w:gridCol w:w="970"/>
        <w:gridCol w:w="945"/>
        <w:gridCol w:w="841"/>
      </w:tblGrid>
      <w:tr w:rsidR="00D03A4F" w:rsidRPr="000272D5" w14:paraId="36F8CDB9" w14:textId="77777777" w:rsidTr="000272D5">
        <w:trPr>
          <w:trHeight w:val="225"/>
          <w:tblHeader/>
          <w:jc w:val="center"/>
        </w:trPr>
        <w:tc>
          <w:tcPr>
            <w:tcW w:w="956" w:type="pct"/>
            <w:vMerge w:val="restart"/>
          </w:tcPr>
          <w:p w14:paraId="286F53B7" w14:textId="77777777" w:rsidR="00D03A4F" w:rsidRPr="00BB0372" w:rsidRDefault="00D03A4F" w:rsidP="00D03A4F">
            <w:pPr>
              <w:spacing w:after="0" w:line="240" w:lineRule="auto"/>
              <w:jc w:val="center"/>
              <w:rPr>
                <w:rFonts w:ascii="Times New Roman" w:eastAsia="Times New Roman" w:hAnsi="Times New Roman" w:cs="Times New Roman"/>
                <w:i/>
                <w:sz w:val="20"/>
                <w:szCs w:val="20"/>
                <w:lang w:eastAsia="ru-RU"/>
              </w:rPr>
            </w:pPr>
          </w:p>
        </w:tc>
        <w:tc>
          <w:tcPr>
            <w:tcW w:w="484" w:type="pct"/>
            <w:vMerge w:val="restart"/>
          </w:tcPr>
          <w:p w14:paraId="51EB557E" w14:textId="77777777" w:rsidR="00D03A4F" w:rsidRPr="00BB0372" w:rsidRDefault="00D03A4F" w:rsidP="00D03A4F">
            <w:pPr>
              <w:spacing w:after="0" w:line="240" w:lineRule="auto"/>
              <w:jc w:val="center"/>
              <w:rPr>
                <w:rFonts w:ascii="Times New Roman" w:eastAsia="Times New Roman" w:hAnsi="Times New Roman" w:cs="Times New Roman"/>
                <w:i/>
                <w:sz w:val="20"/>
                <w:szCs w:val="20"/>
                <w:lang w:eastAsia="ru-RU"/>
              </w:rPr>
            </w:pPr>
            <w:r w:rsidRPr="00BB0372">
              <w:rPr>
                <w:rFonts w:ascii="Times New Roman" w:eastAsia="Times New Roman" w:hAnsi="Times New Roman" w:cs="Times New Roman"/>
                <w:i/>
                <w:sz w:val="20"/>
                <w:szCs w:val="20"/>
                <w:lang w:eastAsia="ru-RU"/>
              </w:rPr>
              <w:t xml:space="preserve">Все </w:t>
            </w:r>
            <w:proofErr w:type="spellStart"/>
            <w:r w:rsidRPr="00BB0372">
              <w:rPr>
                <w:rFonts w:ascii="Times New Roman" w:eastAsia="Times New Roman" w:hAnsi="Times New Roman" w:cs="Times New Roman"/>
                <w:i/>
                <w:sz w:val="20"/>
                <w:szCs w:val="20"/>
                <w:lang w:eastAsia="ru-RU"/>
              </w:rPr>
              <w:t>респон-денты</w:t>
            </w:r>
            <w:proofErr w:type="spellEnd"/>
          </w:p>
        </w:tc>
        <w:tc>
          <w:tcPr>
            <w:tcW w:w="1199" w:type="pct"/>
            <w:gridSpan w:val="4"/>
          </w:tcPr>
          <w:p w14:paraId="4C3B9D96" w14:textId="77777777" w:rsidR="00D03A4F" w:rsidRPr="00BB0372" w:rsidRDefault="00D03A4F" w:rsidP="00D03A4F">
            <w:pPr>
              <w:spacing w:after="0" w:line="240" w:lineRule="auto"/>
              <w:jc w:val="center"/>
              <w:rPr>
                <w:rFonts w:ascii="Times New Roman" w:eastAsia="Times New Roman" w:hAnsi="Times New Roman" w:cs="Times New Roman"/>
                <w:i/>
                <w:sz w:val="20"/>
                <w:szCs w:val="20"/>
                <w:lang w:eastAsia="ru-RU"/>
              </w:rPr>
            </w:pPr>
            <w:r w:rsidRPr="00BB0372">
              <w:rPr>
                <w:rFonts w:ascii="Times New Roman" w:eastAsia="Times New Roman" w:hAnsi="Times New Roman" w:cs="Times New Roman"/>
                <w:i/>
                <w:sz w:val="20"/>
                <w:szCs w:val="20"/>
                <w:lang w:eastAsia="ru-RU"/>
              </w:rPr>
              <w:t>в том числе проживают</w:t>
            </w:r>
          </w:p>
        </w:tc>
        <w:tc>
          <w:tcPr>
            <w:tcW w:w="2360" w:type="pct"/>
            <w:gridSpan w:val="7"/>
          </w:tcPr>
          <w:p w14:paraId="26196307" w14:textId="77777777" w:rsidR="00D03A4F" w:rsidRPr="00BB0372" w:rsidRDefault="00D03A4F" w:rsidP="00D03A4F">
            <w:pPr>
              <w:spacing w:after="0" w:line="240" w:lineRule="auto"/>
              <w:jc w:val="center"/>
              <w:rPr>
                <w:rFonts w:ascii="Times New Roman" w:eastAsia="Times New Roman" w:hAnsi="Times New Roman" w:cs="Times New Roman"/>
                <w:i/>
                <w:sz w:val="20"/>
                <w:szCs w:val="20"/>
                <w:lang w:eastAsia="ru-RU"/>
              </w:rPr>
            </w:pPr>
            <w:r w:rsidRPr="00BB0372">
              <w:rPr>
                <w:rFonts w:ascii="Times New Roman" w:eastAsia="Times New Roman" w:hAnsi="Times New Roman" w:cs="Times New Roman"/>
                <w:i/>
                <w:sz w:val="20"/>
                <w:szCs w:val="20"/>
                <w:lang w:eastAsia="ru-RU"/>
              </w:rPr>
              <w:t>в том числе в возрасте, лет</w:t>
            </w:r>
          </w:p>
        </w:tc>
      </w:tr>
      <w:tr w:rsidR="000272D5" w:rsidRPr="000272D5" w14:paraId="3C00E32B" w14:textId="77777777" w:rsidTr="000272D5">
        <w:trPr>
          <w:trHeight w:val="939"/>
          <w:tblHeader/>
          <w:jc w:val="center"/>
        </w:trPr>
        <w:tc>
          <w:tcPr>
            <w:tcW w:w="956" w:type="pct"/>
            <w:vMerge/>
          </w:tcPr>
          <w:p w14:paraId="01F9054E" w14:textId="77777777" w:rsidR="000D1F1E" w:rsidRPr="00BB0372" w:rsidRDefault="000D1F1E" w:rsidP="00D03A4F">
            <w:pPr>
              <w:spacing w:after="0" w:line="240" w:lineRule="auto"/>
              <w:jc w:val="center"/>
              <w:rPr>
                <w:rFonts w:ascii="Times New Roman" w:eastAsia="Times New Roman" w:hAnsi="Times New Roman" w:cs="Times New Roman"/>
                <w:i/>
                <w:sz w:val="20"/>
                <w:szCs w:val="20"/>
                <w:lang w:eastAsia="ru-RU"/>
              </w:rPr>
            </w:pPr>
          </w:p>
        </w:tc>
        <w:tc>
          <w:tcPr>
            <w:tcW w:w="484" w:type="pct"/>
            <w:vMerge/>
          </w:tcPr>
          <w:p w14:paraId="494D45AC" w14:textId="77777777" w:rsidR="000D1F1E" w:rsidRPr="00BB0372" w:rsidRDefault="000D1F1E" w:rsidP="00D03A4F">
            <w:pPr>
              <w:spacing w:after="0" w:line="240" w:lineRule="auto"/>
              <w:jc w:val="center"/>
              <w:rPr>
                <w:rFonts w:ascii="Times New Roman" w:eastAsia="Times New Roman" w:hAnsi="Times New Roman" w:cs="Times New Roman"/>
                <w:i/>
                <w:sz w:val="20"/>
                <w:szCs w:val="20"/>
                <w:lang w:eastAsia="ru-RU"/>
              </w:rPr>
            </w:pPr>
          </w:p>
        </w:tc>
        <w:tc>
          <w:tcPr>
            <w:tcW w:w="651" w:type="pct"/>
          </w:tcPr>
          <w:p w14:paraId="3476A424" w14:textId="77777777" w:rsidR="000D1F1E" w:rsidRPr="00BB0372" w:rsidRDefault="00545D67" w:rsidP="000D1F1E">
            <w:pPr>
              <w:spacing w:after="0" w:line="240" w:lineRule="auto"/>
              <w:jc w:val="center"/>
              <w:rPr>
                <w:rFonts w:ascii="Times New Roman" w:eastAsia="Times New Roman" w:hAnsi="Times New Roman" w:cs="Times New Roman"/>
                <w:i/>
                <w:sz w:val="20"/>
                <w:szCs w:val="20"/>
                <w:lang w:eastAsia="ru-RU"/>
              </w:rPr>
            </w:pPr>
            <w:r w:rsidRPr="00BB0372">
              <w:rPr>
                <w:rFonts w:ascii="Times New Roman" w:eastAsia="Times New Roman" w:hAnsi="Times New Roman" w:cs="Times New Roman"/>
                <w:i/>
                <w:sz w:val="20"/>
                <w:szCs w:val="20"/>
                <w:lang w:eastAsia="ru-RU"/>
              </w:rPr>
              <w:t>в городских населен</w:t>
            </w:r>
            <w:r w:rsidR="000D1F1E" w:rsidRPr="00BB0372">
              <w:rPr>
                <w:rFonts w:ascii="Times New Roman" w:eastAsia="Times New Roman" w:hAnsi="Times New Roman" w:cs="Times New Roman"/>
                <w:i/>
                <w:sz w:val="20"/>
                <w:szCs w:val="20"/>
                <w:lang w:eastAsia="ru-RU"/>
              </w:rPr>
              <w:t>ных пунктах</w:t>
            </w:r>
          </w:p>
        </w:tc>
        <w:tc>
          <w:tcPr>
            <w:tcW w:w="549" w:type="pct"/>
            <w:gridSpan w:val="3"/>
          </w:tcPr>
          <w:p w14:paraId="4683BC97" w14:textId="77777777" w:rsidR="000D1F1E" w:rsidRPr="00BB0372" w:rsidRDefault="000D1F1E" w:rsidP="00D03A4F">
            <w:pPr>
              <w:spacing w:after="0" w:line="240" w:lineRule="auto"/>
              <w:jc w:val="center"/>
              <w:rPr>
                <w:rFonts w:ascii="Times New Roman" w:eastAsia="Times New Roman" w:hAnsi="Times New Roman" w:cs="Times New Roman"/>
                <w:i/>
                <w:sz w:val="20"/>
                <w:szCs w:val="20"/>
                <w:lang w:eastAsia="ru-RU"/>
              </w:rPr>
            </w:pPr>
            <w:r w:rsidRPr="00BB0372">
              <w:rPr>
                <w:rFonts w:ascii="Times New Roman" w:eastAsia="Times New Roman" w:hAnsi="Times New Roman" w:cs="Times New Roman"/>
                <w:i/>
                <w:sz w:val="20"/>
                <w:szCs w:val="20"/>
                <w:lang w:eastAsia="ru-RU"/>
              </w:rPr>
              <w:t>в сельских населен-</w:t>
            </w:r>
            <w:proofErr w:type="spellStart"/>
            <w:r w:rsidRPr="00BB0372">
              <w:rPr>
                <w:rFonts w:ascii="Times New Roman" w:eastAsia="Times New Roman" w:hAnsi="Times New Roman" w:cs="Times New Roman"/>
                <w:i/>
                <w:sz w:val="20"/>
                <w:szCs w:val="20"/>
                <w:lang w:eastAsia="ru-RU"/>
              </w:rPr>
              <w:t>ных</w:t>
            </w:r>
            <w:proofErr w:type="spellEnd"/>
            <w:r w:rsidRPr="00BB0372">
              <w:rPr>
                <w:rFonts w:ascii="Times New Roman" w:eastAsia="Times New Roman" w:hAnsi="Times New Roman" w:cs="Times New Roman"/>
                <w:i/>
                <w:sz w:val="20"/>
                <w:szCs w:val="20"/>
                <w:lang w:eastAsia="ru-RU"/>
              </w:rPr>
              <w:t xml:space="preserve"> пунктах</w:t>
            </w:r>
          </w:p>
        </w:tc>
        <w:tc>
          <w:tcPr>
            <w:tcW w:w="542" w:type="pct"/>
            <w:gridSpan w:val="2"/>
          </w:tcPr>
          <w:p w14:paraId="46E6B995" w14:textId="77777777" w:rsidR="000D1F1E" w:rsidRPr="00BB0372" w:rsidRDefault="000D1F1E" w:rsidP="00D03A4F">
            <w:pPr>
              <w:spacing w:after="0" w:line="240" w:lineRule="auto"/>
              <w:jc w:val="center"/>
              <w:rPr>
                <w:rFonts w:ascii="Times New Roman" w:eastAsia="Times New Roman" w:hAnsi="Times New Roman" w:cs="Times New Roman"/>
                <w:i/>
                <w:sz w:val="20"/>
                <w:szCs w:val="20"/>
                <w:lang w:eastAsia="ru-RU"/>
              </w:rPr>
            </w:pPr>
            <w:r w:rsidRPr="00BB0372">
              <w:rPr>
                <w:rFonts w:ascii="Times New Roman" w:eastAsia="Times New Roman" w:hAnsi="Times New Roman" w:cs="Times New Roman"/>
                <w:i/>
                <w:sz w:val="20"/>
                <w:szCs w:val="20"/>
                <w:lang w:eastAsia="ru-RU"/>
              </w:rPr>
              <w:t>до 3-х</w:t>
            </w:r>
          </w:p>
        </w:tc>
        <w:tc>
          <w:tcPr>
            <w:tcW w:w="468" w:type="pct"/>
          </w:tcPr>
          <w:p w14:paraId="1C6A62F8" w14:textId="77777777" w:rsidR="000D1F1E" w:rsidRPr="00BB0372" w:rsidRDefault="000D1F1E" w:rsidP="00D03A4F">
            <w:pPr>
              <w:spacing w:after="0" w:line="240" w:lineRule="auto"/>
              <w:jc w:val="center"/>
              <w:rPr>
                <w:rFonts w:ascii="Times New Roman" w:eastAsia="Times New Roman" w:hAnsi="Times New Roman" w:cs="Times New Roman"/>
                <w:i/>
                <w:sz w:val="20"/>
                <w:szCs w:val="20"/>
                <w:lang w:eastAsia="ru-RU"/>
              </w:rPr>
            </w:pPr>
            <w:r w:rsidRPr="00BB0372">
              <w:rPr>
                <w:rFonts w:ascii="Times New Roman" w:eastAsia="Times New Roman" w:hAnsi="Times New Roman" w:cs="Times New Roman"/>
                <w:i/>
                <w:sz w:val="20"/>
                <w:szCs w:val="20"/>
                <w:lang w:eastAsia="ru-RU"/>
              </w:rPr>
              <w:t>3 - 6</w:t>
            </w:r>
          </w:p>
        </w:tc>
        <w:tc>
          <w:tcPr>
            <w:tcW w:w="477" w:type="pct"/>
            <w:gridSpan w:val="2"/>
          </w:tcPr>
          <w:p w14:paraId="386395C4" w14:textId="77777777" w:rsidR="000D1F1E" w:rsidRPr="00BB0372" w:rsidRDefault="000D1F1E" w:rsidP="00D03A4F">
            <w:pPr>
              <w:spacing w:after="0" w:line="240" w:lineRule="auto"/>
              <w:jc w:val="center"/>
              <w:rPr>
                <w:rFonts w:ascii="Times New Roman" w:eastAsia="Times New Roman" w:hAnsi="Times New Roman" w:cs="Times New Roman"/>
                <w:i/>
                <w:sz w:val="20"/>
                <w:szCs w:val="20"/>
                <w:lang w:eastAsia="ru-RU"/>
              </w:rPr>
            </w:pPr>
            <w:r w:rsidRPr="00BB0372">
              <w:rPr>
                <w:rFonts w:ascii="Times New Roman" w:eastAsia="Times New Roman" w:hAnsi="Times New Roman" w:cs="Times New Roman"/>
                <w:i/>
                <w:sz w:val="20"/>
                <w:szCs w:val="20"/>
                <w:lang w:eastAsia="ru-RU"/>
              </w:rPr>
              <w:t>7 - 11</w:t>
            </w:r>
          </w:p>
        </w:tc>
        <w:tc>
          <w:tcPr>
            <w:tcW w:w="462" w:type="pct"/>
          </w:tcPr>
          <w:p w14:paraId="5F755997" w14:textId="77777777" w:rsidR="000D1F1E" w:rsidRPr="00BB0372" w:rsidRDefault="000D1F1E" w:rsidP="00D03A4F">
            <w:pPr>
              <w:spacing w:after="0" w:line="240" w:lineRule="auto"/>
              <w:jc w:val="center"/>
              <w:rPr>
                <w:rFonts w:ascii="Times New Roman" w:eastAsia="Times New Roman" w:hAnsi="Times New Roman" w:cs="Times New Roman"/>
                <w:i/>
                <w:sz w:val="20"/>
                <w:szCs w:val="20"/>
                <w:lang w:eastAsia="ru-RU"/>
              </w:rPr>
            </w:pPr>
            <w:r w:rsidRPr="00BB0372">
              <w:rPr>
                <w:rFonts w:ascii="Times New Roman" w:eastAsia="Times New Roman" w:hAnsi="Times New Roman" w:cs="Times New Roman"/>
                <w:i/>
                <w:sz w:val="20"/>
                <w:szCs w:val="20"/>
                <w:lang w:eastAsia="ru-RU"/>
              </w:rPr>
              <w:t>12 - 14</w:t>
            </w:r>
          </w:p>
        </w:tc>
        <w:tc>
          <w:tcPr>
            <w:tcW w:w="411" w:type="pct"/>
          </w:tcPr>
          <w:p w14:paraId="33FAEA72" w14:textId="77777777" w:rsidR="000D1F1E" w:rsidRPr="00BB0372" w:rsidRDefault="000D1F1E" w:rsidP="00D03A4F">
            <w:pPr>
              <w:spacing w:after="0" w:line="240" w:lineRule="auto"/>
              <w:jc w:val="center"/>
              <w:rPr>
                <w:rFonts w:ascii="Times New Roman" w:eastAsia="Times New Roman" w:hAnsi="Times New Roman" w:cs="Times New Roman"/>
                <w:i/>
                <w:sz w:val="20"/>
                <w:szCs w:val="20"/>
                <w:lang w:eastAsia="ru-RU"/>
              </w:rPr>
            </w:pPr>
            <w:r w:rsidRPr="00BB0372">
              <w:rPr>
                <w:rFonts w:ascii="Times New Roman" w:eastAsia="Times New Roman" w:hAnsi="Times New Roman" w:cs="Times New Roman"/>
                <w:i/>
                <w:sz w:val="20"/>
                <w:szCs w:val="20"/>
                <w:lang w:eastAsia="ru-RU"/>
              </w:rPr>
              <w:t>15-17</w:t>
            </w:r>
          </w:p>
        </w:tc>
      </w:tr>
      <w:tr w:rsidR="00D03A4F" w:rsidRPr="000272D5" w14:paraId="6D783276" w14:textId="77777777" w:rsidTr="000272D5">
        <w:trPr>
          <w:trHeight w:val="485"/>
          <w:jc w:val="center"/>
        </w:trPr>
        <w:tc>
          <w:tcPr>
            <w:tcW w:w="5000" w:type="pct"/>
            <w:gridSpan w:val="13"/>
            <w:vAlign w:val="center"/>
          </w:tcPr>
          <w:p w14:paraId="0917B49A" w14:textId="77777777" w:rsidR="00D03A4F" w:rsidRPr="00BB0372" w:rsidRDefault="00D03A4F" w:rsidP="00D03A4F">
            <w:pPr>
              <w:spacing w:after="0" w:line="240" w:lineRule="auto"/>
              <w:ind w:right="56"/>
              <w:jc w:val="center"/>
              <w:rPr>
                <w:rFonts w:ascii="Times New Roman" w:eastAsia="Times New Roman" w:hAnsi="Times New Roman" w:cs="Times New Roman"/>
                <w:b/>
                <w:sz w:val="20"/>
                <w:szCs w:val="20"/>
                <w:lang w:eastAsia="ru-RU"/>
              </w:rPr>
            </w:pPr>
            <w:r w:rsidRPr="00BB0372">
              <w:rPr>
                <w:rFonts w:ascii="Times New Roman" w:eastAsia="Times New Roman" w:hAnsi="Times New Roman" w:cs="Times New Roman"/>
                <w:b/>
                <w:sz w:val="20"/>
                <w:szCs w:val="20"/>
                <w:lang w:eastAsia="ru-RU"/>
              </w:rPr>
              <w:t>2018 г.</w:t>
            </w:r>
          </w:p>
        </w:tc>
      </w:tr>
      <w:tr w:rsidR="000272D5" w:rsidRPr="000272D5" w14:paraId="11A26F9E" w14:textId="77777777" w:rsidTr="000272D5">
        <w:trPr>
          <w:trHeight w:val="225"/>
          <w:jc w:val="center"/>
        </w:trPr>
        <w:tc>
          <w:tcPr>
            <w:tcW w:w="956" w:type="pct"/>
            <w:vAlign w:val="center"/>
          </w:tcPr>
          <w:p w14:paraId="3734D3C0" w14:textId="77777777" w:rsidR="000272D5" w:rsidRPr="00BB0372" w:rsidRDefault="000272D5" w:rsidP="00D03A4F">
            <w:pPr>
              <w:tabs>
                <w:tab w:val="left" w:leader="dot" w:pos="5840"/>
              </w:tabs>
              <w:snapToGrid w:val="0"/>
              <w:spacing w:after="0" w:line="240" w:lineRule="auto"/>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 xml:space="preserve">Дети в возрасте до 18 лет, способные вести активный образ жизни – всего </w:t>
            </w:r>
          </w:p>
        </w:tc>
        <w:tc>
          <w:tcPr>
            <w:tcW w:w="484" w:type="pct"/>
            <w:vAlign w:val="bottom"/>
          </w:tcPr>
          <w:p w14:paraId="00AC4266"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100</w:t>
            </w:r>
          </w:p>
        </w:tc>
        <w:tc>
          <w:tcPr>
            <w:tcW w:w="651" w:type="pct"/>
            <w:vAlign w:val="bottom"/>
          </w:tcPr>
          <w:p w14:paraId="6B7BE7C4"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100</w:t>
            </w:r>
          </w:p>
        </w:tc>
        <w:tc>
          <w:tcPr>
            <w:tcW w:w="549" w:type="pct"/>
            <w:gridSpan w:val="3"/>
            <w:vAlign w:val="bottom"/>
          </w:tcPr>
          <w:p w14:paraId="0B774A8F"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100</w:t>
            </w:r>
          </w:p>
        </w:tc>
        <w:tc>
          <w:tcPr>
            <w:tcW w:w="542" w:type="pct"/>
            <w:gridSpan w:val="2"/>
            <w:vAlign w:val="bottom"/>
          </w:tcPr>
          <w:p w14:paraId="7A7414CE"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100</w:t>
            </w:r>
          </w:p>
        </w:tc>
        <w:tc>
          <w:tcPr>
            <w:tcW w:w="468" w:type="pct"/>
            <w:vAlign w:val="bottom"/>
          </w:tcPr>
          <w:p w14:paraId="524F2044"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100</w:t>
            </w:r>
          </w:p>
        </w:tc>
        <w:tc>
          <w:tcPr>
            <w:tcW w:w="477" w:type="pct"/>
            <w:gridSpan w:val="2"/>
            <w:vAlign w:val="bottom"/>
          </w:tcPr>
          <w:p w14:paraId="4095AD3D"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100</w:t>
            </w:r>
          </w:p>
        </w:tc>
        <w:tc>
          <w:tcPr>
            <w:tcW w:w="462" w:type="pct"/>
            <w:vAlign w:val="bottom"/>
          </w:tcPr>
          <w:p w14:paraId="4923E383"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100</w:t>
            </w:r>
          </w:p>
        </w:tc>
        <w:tc>
          <w:tcPr>
            <w:tcW w:w="411" w:type="pct"/>
            <w:vAlign w:val="bottom"/>
          </w:tcPr>
          <w:p w14:paraId="00DBF714"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100</w:t>
            </w:r>
          </w:p>
        </w:tc>
      </w:tr>
      <w:tr w:rsidR="000272D5" w:rsidRPr="000272D5" w14:paraId="69944344" w14:textId="77777777" w:rsidTr="000272D5">
        <w:trPr>
          <w:trHeight w:val="225"/>
          <w:jc w:val="center"/>
        </w:trPr>
        <w:tc>
          <w:tcPr>
            <w:tcW w:w="956" w:type="pct"/>
            <w:vAlign w:val="center"/>
          </w:tcPr>
          <w:p w14:paraId="1FA0C077" w14:textId="77777777" w:rsidR="000272D5" w:rsidRPr="00BB0372" w:rsidRDefault="000272D5" w:rsidP="00D03A4F">
            <w:pPr>
              <w:tabs>
                <w:tab w:val="left" w:leader="dot" w:pos="5840"/>
              </w:tabs>
              <w:snapToGrid w:val="0"/>
              <w:spacing w:after="0" w:line="240" w:lineRule="auto"/>
              <w:ind w:left="170"/>
              <w:rPr>
                <w:rFonts w:ascii="Times New Roman" w:eastAsia="Times New Roman" w:hAnsi="Times New Roman" w:cs="Times New Roman"/>
                <w:sz w:val="20"/>
                <w:szCs w:val="20"/>
                <w:vertAlign w:val="superscript"/>
                <w:lang w:eastAsia="ru-RU"/>
              </w:rPr>
            </w:pPr>
            <w:r w:rsidRPr="00BB0372">
              <w:rPr>
                <w:rFonts w:ascii="Times New Roman" w:eastAsia="Times New Roman" w:hAnsi="Times New Roman" w:cs="Times New Roman"/>
                <w:sz w:val="20"/>
                <w:szCs w:val="20"/>
                <w:lang w:eastAsia="ru-RU"/>
              </w:rPr>
              <w:t xml:space="preserve">из них занимающиеся спортом </w:t>
            </w:r>
            <w:r w:rsidRPr="00BB0372">
              <w:rPr>
                <w:rFonts w:ascii="Times New Roman" w:eastAsia="Times New Roman" w:hAnsi="Times New Roman" w:cs="Times New Roman"/>
                <w:sz w:val="20"/>
                <w:szCs w:val="20"/>
                <w:lang w:eastAsia="ru-RU"/>
              </w:rPr>
              <w:br/>
              <w:t>или активными видами отдыха</w:t>
            </w:r>
            <w:r w:rsidRPr="00BB0372">
              <w:rPr>
                <w:rFonts w:ascii="Times New Roman" w:eastAsia="Times New Roman" w:hAnsi="Times New Roman" w:cs="Times New Roman"/>
                <w:sz w:val="20"/>
                <w:szCs w:val="20"/>
                <w:vertAlign w:val="superscript"/>
                <w:lang w:eastAsia="ru-RU"/>
              </w:rPr>
              <w:t>2)</w:t>
            </w:r>
          </w:p>
        </w:tc>
        <w:tc>
          <w:tcPr>
            <w:tcW w:w="484" w:type="pct"/>
            <w:vAlign w:val="bottom"/>
          </w:tcPr>
          <w:p w14:paraId="75045FD2"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39,1</w:t>
            </w:r>
          </w:p>
        </w:tc>
        <w:tc>
          <w:tcPr>
            <w:tcW w:w="651" w:type="pct"/>
            <w:vAlign w:val="bottom"/>
          </w:tcPr>
          <w:p w14:paraId="43DCE187"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42,1</w:t>
            </w:r>
          </w:p>
        </w:tc>
        <w:tc>
          <w:tcPr>
            <w:tcW w:w="549" w:type="pct"/>
            <w:gridSpan w:val="3"/>
            <w:vAlign w:val="bottom"/>
          </w:tcPr>
          <w:p w14:paraId="0BC4DF5F"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31,4</w:t>
            </w:r>
          </w:p>
        </w:tc>
        <w:tc>
          <w:tcPr>
            <w:tcW w:w="542" w:type="pct"/>
            <w:gridSpan w:val="2"/>
            <w:vAlign w:val="bottom"/>
          </w:tcPr>
          <w:p w14:paraId="1ABA057F"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0,0</w:t>
            </w:r>
          </w:p>
        </w:tc>
        <w:tc>
          <w:tcPr>
            <w:tcW w:w="468" w:type="pct"/>
            <w:vAlign w:val="bottom"/>
          </w:tcPr>
          <w:p w14:paraId="6D71A5A3"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40,9</w:t>
            </w:r>
          </w:p>
        </w:tc>
        <w:tc>
          <w:tcPr>
            <w:tcW w:w="477" w:type="pct"/>
            <w:gridSpan w:val="2"/>
            <w:vAlign w:val="bottom"/>
          </w:tcPr>
          <w:p w14:paraId="3BEC4983"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40,2</w:t>
            </w:r>
          </w:p>
        </w:tc>
        <w:tc>
          <w:tcPr>
            <w:tcW w:w="462" w:type="pct"/>
            <w:vAlign w:val="bottom"/>
          </w:tcPr>
          <w:p w14:paraId="72CD049F"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46,1</w:t>
            </w:r>
          </w:p>
        </w:tc>
        <w:tc>
          <w:tcPr>
            <w:tcW w:w="411" w:type="pct"/>
            <w:vAlign w:val="bottom"/>
          </w:tcPr>
          <w:p w14:paraId="3E374664"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62,5</w:t>
            </w:r>
          </w:p>
        </w:tc>
      </w:tr>
      <w:tr w:rsidR="000272D5" w:rsidRPr="000272D5" w14:paraId="12579267" w14:textId="77777777" w:rsidTr="000272D5">
        <w:trPr>
          <w:trHeight w:val="225"/>
          <w:jc w:val="center"/>
        </w:trPr>
        <w:tc>
          <w:tcPr>
            <w:tcW w:w="956" w:type="pct"/>
            <w:vAlign w:val="center"/>
          </w:tcPr>
          <w:p w14:paraId="77E578D7" w14:textId="77777777" w:rsidR="000272D5" w:rsidRPr="00BB0372" w:rsidRDefault="000272D5" w:rsidP="00D03A4F">
            <w:pPr>
              <w:tabs>
                <w:tab w:val="left" w:leader="dot" w:pos="5840"/>
              </w:tabs>
              <w:snapToGrid w:val="0"/>
              <w:spacing w:after="0" w:line="240" w:lineRule="auto"/>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 xml:space="preserve">Дети в возрасте до 18 лет – всего </w:t>
            </w:r>
          </w:p>
        </w:tc>
        <w:tc>
          <w:tcPr>
            <w:tcW w:w="484" w:type="pct"/>
            <w:vAlign w:val="bottom"/>
          </w:tcPr>
          <w:p w14:paraId="3959DAF3"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100</w:t>
            </w:r>
          </w:p>
        </w:tc>
        <w:tc>
          <w:tcPr>
            <w:tcW w:w="651" w:type="pct"/>
            <w:vAlign w:val="bottom"/>
          </w:tcPr>
          <w:p w14:paraId="47316615"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100</w:t>
            </w:r>
          </w:p>
        </w:tc>
        <w:tc>
          <w:tcPr>
            <w:tcW w:w="549" w:type="pct"/>
            <w:gridSpan w:val="3"/>
            <w:vAlign w:val="bottom"/>
          </w:tcPr>
          <w:p w14:paraId="4D260A3F"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100</w:t>
            </w:r>
          </w:p>
        </w:tc>
        <w:tc>
          <w:tcPr>
            <w:tcW w:w="542" w:type="pct"/>
            <w:gridSpan w:val="2"/>
            <w:vAlign w:val="bottom"/>
          </w:tcPr>
          <w:p w14:paraId="4763EBD4"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100</w:t>
            </w:r>
          </w:p>
        </w:tc>
        <w:tc>
          <w:tcPr>
            <w:tcW w:w="468" w:type="pct"/>
            <w:vAlign w:val="bottom"/>
          </w:tcPr>
          <w:p w14:paraId="5F5AEECB"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100</w:t>
            </w:r>
          </w:p>
        </w:tc>
        <w:tc>
          <w:tcPr>
            <w:tcW w:w="477" w:type="pct"/>
            <w:gridSpan w:val="2"/>
            <w:vAlign w:val="bottom"/>
          </w:tcPr>
          <w:p w14:paraId="3E87C63A"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100</w:t>
            </w:r>
          </w:p>
        </w:tc>
        <w:tc>
          <w:tcPr>
            <w:tcW w:w="462" w:type="pct"/>
            <w:vAlign w:val="bottom"/>
          </w:tcPr>
          <w:p w14:paraId="79CC68CC"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100</w:t>
            </w:r>
          </w:p>
        </w:tc>
        <w:tc>
          <w:tcPr>
            <w:tcW w:w="411" w:type="pct"/>
            <w:vAlign w:val="bottom"/>
          </w:tcPr>
          <w:p w14:paraId="31DD501F"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100</w:t>
            </w:r>
          </w:p>
        </w:tc>
      </w:tr>
      <w:tr w:rsidR="000272D5" w:rsidRPr="000272D5" w14:paraId="4CF2470C" w14:textId="77777777" w:rsidTr="000272D5">
        <w:trPr>
          <w:trHeight w:val="225"/>
          <w:jc w:val="center"/>
        </w:trPr>
        <w:tc>
          <w:tcPr>
            <w:tcW w:w="956" w:type="pct"/>
            <w:vAlign w:val="center"/>
          </w:tcPr>
          <w:p w14:paraId="4498246D" w14:textId="77777777" w:rsidR="000272D5" w:rsidRPr="00BB0372" w:rsidRDefault="000272D5" w:rsidP="00D03A4F">
            <w:pPr>
              <w:tabs>
                <w:tab w:val="left" w:leader="dot" w:pos="5840"/>
              </w:tabs>
              <w:snapToGrid w:val="0"/>
              <w:spacing w:after="0" w:line="240" w:lineRule="auto"/>
              <w:ind w:left="170"/>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 xml:space="preserve">из них по оценке состояния </w:t>
            </w:r>
            <w:r w:rsidRPr="00BB0372">
              <w:rPr>
                <w:rFonts w:ascii="Times New Roman" w:eastAsia="Times New Roman" w:hAnsi="Times New Roman" w:cs="Times New Roman"/>
                <w:sz w:val="20"/>
                <w:szCs w:val="20"/>
                <w:lang w:eastAsia="ru-RU"/>
              </w:rPr>
              <w:br/>
              <w:t>здоровья</w:t>
            </w:r>
            <w:r w:rsidRPr="00BB0372">
              <w:rPr>
                <w:rFonts w:ascii="Times New Roman" w:eastAsia="Times New Roman" w:hAnsi="Times New Roman" w:cs="Times New Roman"/>
                <w:sz w:val="20"/>
                <w:szCs w:val="20"/>
                <w:vertAlign w:val="superscript"/>
                <w:lang w:eastAsia="ru-RU"/>
              </w:rPr>
              <w:t>1)</w:t>
            </w:r>
          </w:p>
        </w:tc>
        <w:tc>
          <w:tcPr>
            <w:tcW w:w="484" w:type="pct"/>
            <w:vAlign w:val="bottom"/>
          </w:tcPr>
          <w:p w14:paraId="1BBA4D7B"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p>
        </w:tc>
        <w:tc>
          <w:tcPr>
            <w:tcW w:w="651" w:type="pct"/>
            <w:vAlign w:val="bottom"/>
          </w:tcPr>
          <w:p w14:paraId="553B2007"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p>
        </w:tc>
        <w:tc>
          <w:tcPr>
            <w:tcW w:w="549" w:type="pct"/>
            <w:gridSpan w:val="3"/>
            <w:vAlign w:val="bottom"/>
          </w:tcPr>
          <w:p w14:paraId="58489D29"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p>
        </w:tc>
        <w:tc>
          <w:tcPr>
            <w:tcW w:w="542" w:type="pct"/>
            <w:gridSpan w:val="2"/>
            <w:vAlign w:val="bottom"/>
          </w:tcPr>
          <w:p w14:paraId="74C207F5"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p>
        </w:tc>
        <w:tc>
          <w:tcPr>
            <w:tcW w:w="468" w:type="pct"/>
            <w:vAlign w:val="bottom"/>
          </w:tcPr>
          <w:p w14:paraId="52B82894"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p>
        </w:tc>
        <w:tc>
          <w:tcPr>
            <w:tcW w:w="477" w:type="pct"/>
            <w:gridSpan w:val="2"/>
            <w:vAlign w:val="bottom"/>
          </w:tcPr>
          <w:p w14:paraId="7DF9A93A"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p>
        </w:tc>
        <w:tc>
          <w:tcPr>
            <w:tcW w:w="462" w:type="pct"/>
            <w:vAlign w:val="bottom"/>
          </w:tcPr>
          <w:p w14:paraId="6DDE12C0"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p>
        </w:tc>
        <w:tc>
          <w:tcPr>
            <w:tcW w:w="411" w:type="pct"/>
            <w:vAlign w:val="bottom"/>
          </w:tcPr>
          <w:p w14:paraId="7B82332D"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p>
        </w:tc>
      </w:tr>
      <w:tr w:rsidR="000272D5" w:rsidRPr="000272D5" w14:paraId="1CE3D329" w14:textId="77777777" w:rsidTr="000272D5">
        <w:trPr>
          <w:trHeight w:val="225"/>
          <w:jc w:val="center"/>
        </w:trPr>
        <w:tc>
          <w:tcPr>
            <w:tcW w:w="956" w:type="pct"/>
          </w:tcPr>
          <w:p w14:paraId="059C8163" w14:textId="77777777" w:rsidR="000272D5" w:rsidRPr="00BB0372" w:rsidRDefault="000272D5" w:rsidP="00D03A4F">
            <w:pPr>
              <w:tabs>
                <w:tab w:val="left" w:leader="dot" w:pos="4593"/>
              </w:tabs>
              <w:spacing w:after="0" w:line="240" w:lineRule="auto"/>
              <w:ind w:left="170"/>
              <w:rPr>
                <w:rFonts w:ascii="Times New Roman" w:eastAsia="Times New Roman" w:hAnsi="Times New Roman" w:cs="Times New Roman"/>
                <w:sz w:val="20"/>
                <w:szCs w:val="20"/>
                <w:vertAlign w:val="superscript"/>
                <w:lang w:eastAsia="ru-RU"/>
              </w:rPr>
            </w:pPr>
            <w:r w:rsidRPr="00BB0372">
              <w:rPr>
                <w:rFonts w:ascii="Times New Roman" w:eastAsia="Times New Roman" w:hAnsi="Times New Roman" w:cs="Times New Roman"/>
                <w:sz w:val="20"/>
                <w:szCs w:val="20"/>
                <w:lang w:eastAsia="ru-RU"/>
              </w:rPr>
              <w:t>хорошее</w:t>
            </w:r>
            <w:r w:rsidRPr="00BB0372">
              <w:rPr>
                <w:rFonts w:ascii="Times New Roman" w:eastAsia="Times New Roman" w:hAnsi="Times New Roman" w:cs="Times New Roman"/>
                <w:sz w:val="20"/>
                <w:szCs w:val="20"/>
                <w:vertAlign w:val="superscript"/>
                <w:lang w:eastAsia="ru-RU"/>
              </w:rPr>
              <w:t>3)</w:t>
            </w:r>
          </w:p>
        </w:tc>
        <w:tc>
          <w:tcPr>
            <w:tcW w:w="484" w:type="pct"/>
            <w:vAlign w:val="bottom"/>
          </w:tcPr>
          <w:p w14:paraId="601C6743"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77,5</w:t>
            </w:r>
          </w:p>
        </w:tc>
        <w:tc>
          <w:tcPr>
            <w:tcW w:w="651" w:type="pct"/>
            <w:vAlign w:val="bottom"/>
          </w:tcPr>
          <w:p w14:paraId="3CB26D4D"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78,4</w:t>
            </w:r>
          </w:p>
        </w:tc>
        <w:tc>
          <w:tcPr>
            <w:tcW w:w="549" w:type="pct"/>
            <w:gridSpan w:val="3"/>
            <w:vAlign w:val="bottom"/>
          </w:tcPr>
          <w:p w14:paraId="2417F565"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75,1</w:t>
            </w:r>
          </w:p>
        </w:tc>
        <w:tc>
          <w:tcPr>
            <w:tcW w:w="542" w:type="pct"/>
            <w:gridSpan w:val="2"/>
            <w:vAlign w:val="bottom"/>
          </w:tcPr>
          <w:p w14:paraId="462DF60A"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80,5</w:t>
            </w:r>
          </w:p>
        </w:tc>
        <w:tc>
          <w:tcPr>
            <w:tcW w:w="468" w:type="pct"/>
            <w:vAlign w:val="bottom"/>
          </w:tcPr>
          <w:p w14:paraId="6C44A902"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76,6</w:t>
            </w:r>
          </w:p>
        </w:tc>
        <w:tc>
          <w:tcPr>
            <w:tcW w:w="477" w:type="pct"/>
            <w:gridSpan w:val="2"/>
            <w:vAlign w:val="bottom"/>
          </w:tcPr>
          <w:p w14:paraId="2114A797"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75,7</w:t>
            </w:r>
          </w:p>
        </w:tc>
        <w:tc>
          <w:tcPr>
            <w:tcW w:w="462" w:type="pct"/>
            <w:vAlign w:val="bottom"/>
          </w:tcPr>
          <w:p w14:paraId="306E1B0E"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74,5</w:t>
            </w:r>
          </w:p>
        </w:tc>
        <w:tc>
          <w:tcPr>
            <w:tcW w:w="411" w:type="pct"/>
            <w:vAlign w:val="bottom"/>
          </w:tcPr>
          <w:p w14:paraId="0B10C1B4"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83,4</w:t>
            </w:r>
          </w:p>
        </w:tc>
      </w:tr>
      <w:tr w:rsidR="000272D5" w:rsidRPr="000272D5" w14:paraId="394CA506" w14:textId="77777777" w:rsidTr="000272D5">
        <w:trPr>
          <w:trHeight w:val="225"/>
          <w:jc w:val="center"/>
        </w:trPr>
        <w:tc>
          <w:tcPr>
            <w:tcW w:w="956" w:type="pct"/>
          </w:tcPr>
          <w:p w14:paraId="6B288B48" w14:textId="77777777" w:rsidR="000272D5" w:rsidRPr="00BB0372" w:rsidRDefault="000272D5" w:rsidP="00D03A4F">
            <w:pPr>
              <w:tabs>
                <w:tab w:val="left" w:leader="dot" w:pos="4593"/>
              </w:tabs>
              <w:spacing w:after="0" w:line="240" w:lineRule="auto"/>
              <w:ind w:left="170"/>
              <w:rPr>
                <w:rFonts w:ascii="Times New Roman" w:eastAsia="Times New Roman" w:hAnsi="Times New Roman" w:cs="Times New Roman"/>
                <w:sz w:val="20"/>
                <w:szCs w:val="20"/>
                <w:lang w:eastAsia="ru-RU"/>
              </w:rPr>
            </w:pPr>
            <w:proofErr w:type="spellStart"/>
            <w:r w:rsidRPr="00BB0372">
              <w:rPr>
                <w:rFonts w:ascii="Times New Roman" w:eastAsia="Times New Roman" w:hAnsi="Times New Roman" w:cs="Times New Roman"/>
                <w:sz w:val="20"/>
                <w:szCs w:val="20"/>
                <w:lang w:eastAsia="ru-RU"/>
              </w:rPr>
              <w:t>удовлетворитель-ное</w:t>
            </w:r>
            <w:proofErr w:type="spellEnd"/>
          </w:p>
        </w:tc>
        <w:tc>
          <w:tcPr>
            <w:tcW w:w="484" w:type="pct"/>
            <w:vAlign w:val="bottom"/>
          </w:tcPr>
          <w:p w14:paraId="0D743CA0"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21,3</w:t>
            </w:r>
          </w:p>
        </w:tc>
        <w:tc>
          <w:tcPr>
            <w:tcW w:w="651" w:type="pct"/>
            <w:vAlign w:val="bottom"/>
          </w:tcPr>
          <w:p w14:paraId="3F467628"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20,4</w:t>
            </w:r>
          </w:p>
        </w:tc>
        <w:tc>
          <w:tcPr>
            <w:tcW w:w="549" w:type="pct"/>
            <w:gridSpan w:val="3"/>
            <w:vAlign w:val="bottom"/>
          </w:tcPr>
          <w:p w14:paraId="0D2FA092"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23,7</w:t>
            </w:r>
          </w:p>
        </w:tc>
        <w:tc>
          <w:tcPr>
            <w:tcW w:w="542" w:type="pct"/>
            <w:gridSpan w:val="2"/>
            <w:vAlign w:val="bottom"/>
          </w:tcPr>
          <w:p w14:paraId="772FB1D0"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18,7</w:t>
            </w:r>
          </w:p>
        </w:tc>
        <w:tc>
          <w:tcPr>
            <w:tcW w:w="468" w:type="pct"/>
            <w:vAlign w:val="bottom"/>
          </w:tcPr>
          <w:p w14:paraId="7BC58247"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21,9</w:t>
            </w:r>
          </w:p>
        </w:tc>
        <w:tc>
          <w:tcPr>
            <w:tcW w:w="477" w:type="pct"/>
            <w:gridSpan w:val="2"/>
            <w:vAlign w:val="bottom"/>
          </w:tcPr>
          <w:p w14:paraId="6323D899"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23,2</w:t>
            </w:r>
          </w:p>
        </w:tc>
        <w:tc>
          <w:tcPr>
            <w:tcW w:w="462" w:type="pct"/>
            <w:vAlign w:val="bottom"/>
          </w:tcPr>
          <w:p w14:paraId="71395AB1"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24,2</w:t>
            </w:r>
          </w:p>
        </w:tc>
        <w:tc>
          <w:tcPr>
            <w:tcW w:w="411" w:type="pct"/>
            <w:vAlign w:val="bottom"/>
          </w:tcPr>
          <w:p w14:paraId="405934D5"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15,6</w:t>
            </w:r>
          </w:p>
        </w:tc>
      </w:tr>
      <w:tr w:rsidR="000272D5" w:rsidRPr="000272D5" w14:paraId="0FB9629D" w14:textId="77777777" w:rsidTr="000272D5">
        <w:trPr>
          <w:trHeight w:val="225"/>
          <w:jc w:val="center"/>
        </w:trPr>
        <w:tc>
          <w:tcPr>
            <w:tcW w:w="956" w:type="pct"/>
          </w:tcPr>
          <w:p w14:paraId="4C63A242" w14:textId="77777777" w:rsidR="000272D5" w:rsidRPr="00BB0372" w:rsidRDefault="000272D5" w:rsidP="00D03A4F">
            <w:pPr>
              <w:tabs>
                <w:tab w:val="left" w:leader="dot" w:pos="4593"/>
              </w:tabs>
              <w:spacing w:after="0" w:line="240" w:lineRule="auto"/>
              <w:ind w:left="170"/>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плохое</w:t>
            </w:r>
          </w:p>
        </w:tc>
        <w:tc>
          <w:tcPr>
            <w:tcW w:w="484" w:type="pct"/>
            <w:vAlign w:val="bottom"/>
          </w:tcPr>
          <w:p w14:paraId="255497F8"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1,0</w:t>
            </w:r>
          </w:p>
        </w:tc>
        <w:tc>
          <w:tcPr>
            <w:tcW w:w="651" w:type="pct"/>
            <w:vAlign w:val="bottom"/>
          </w:tcPr>
          <w:p w14:paraId="3956BE57"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1,0</w:t>
            </w:r>
          </w:p>
        </w:tc>
        <w:tc>
          <w:tcPr>
            <w:tcW w:w="549" w:type="pct"/>
            <w:gridSpan w:val="3"/>
            <w:vAlign w:val="bottom"/>
          </w:tcPr>
          <w:p w14:paraId="4FD0E0C1"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1,0</w:t>
            </w:r>
          </w:p>
        </w:tc>
        <w:tc>
          <w:tcPr>
            <w:tcW w:w="542" w:type="pct"/>
            <w:gridSpan w:val="2"/>
            <w:vAlign w:val="bottom"/>
          </w:tcPr>
          <w:p w14:paraId="1B4B1B17"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0,8</w:t>
            </w:r>
          </w:p>
        </w:tc>
        <w:tc>
          <w:tcPr>
            <w:tcW w:w="468" w:type="pct"/>
            <w:vAlign w:val="bottom"/>
          </w:tcPr>
          <w:p w14:paraId="2B5B0611"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1,3</w:t>
            </w:r>
          </w:p>
        </w:tc>
        <w:tc>
          <w:tcPr>
            <w:tcW w:w="477" w:type="pct"/>
            <w:gridSpan w:val="2"/>
            <w:vAlign w:val="bottom"/>
          </w:tcPr>
          <w:p w14:paraId="5E04834E"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1,0</w:t>
            </w:r>
          </w:p>
        </w:tc>
        <w:tc>
          <w:tcPr>
            <w:tcW w:w="462" w:type="pct"/>
            <w:vAlign w:val="bottom"/>
          </w:tcPr>
          <w:p w14:paraId="6E2E2BF6"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1,1</w:t>
            </w:r>
          </w:p>
        </w:tc>
        <w:tc>
          <w:tcPr>
            <w:tcW w:w="411" w:type="pct"/>
            <w:vAlign w:val="bottom"/>
          </w:tcPr>
          <w:p w14:paraId="7C597A65"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0,9</w:t>
            </w:r>
          </w:p>
        </w:tc>
      </w:tr>
      <w:tr w:rsidR="000272D5" w:rsidRPr="000272D5" w14:paraId="3B8C92BD" w14:textId="77777777" w:rsidTr="000272D5">
        <w:trPr>
          <w:trHeight w:val="225"/>
          <w:jc w:val="center"/>
        </w:trPr>
        <w:tc>
          <w:tcPr>
            <w:tcW w:w="956" w:type="pct"/>
          </w:tcPr>
          <w:p w14:paraId="5608E67E" w14:textId="77777777" w:rsidR="000272D5" w:rsidRPr="00BB0372" w:rsidRDefault="000272D5" w:rsidP="00D03A4F">
            <w:pPr>
              <w:tabs>
                <w:tab w:val="left" w:leader="dot" w:pos="4593"/>
              </w:tabs>
              <w:spacing w:after="0" w:line="240" w:lineRule="auto"/>
              <w:ind w:left="170"/>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очень плохое</w:t>
            </w:r>
          </w:p>
        </w:tc>
        <w:tc>
          <w:tcPr>
            <w:tcW w:w="484" w:type="pct"/>
            <w:vAlign w:val="bottom"/>
          </w:tcPr>
          <w:p w14:paraId="2E7F583A"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0,1</w:t>
            </w:r>
          </w:p>
        </w:tc>
        <w:tc>
          <w:tcPr>
            <w:tcW w:w="651" w:type="pct"/>
            <w:vAlign w:val="bottom"/>
          </w:tcPr>
          <w:p w14:paraId="6668647D"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0,1</w:t>
            </w:r>
          </w:p>
        </w:tc>
        <w:tc>
          <w:tcPr>
            <w:tcW w:w="549" w:type="pct"/>
            <w:gridSpan w:val="3"/>
            <w:vAlign w:val="bottom"/>
          </w:tcPr>
          <w:p w14:paraId="4DE3EAD2"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0,2</w:t>
            </w:r>
          </w:p>
        </w:tc>
        <w:tc>
          <w:tcPr>
            <w:tcW w:w="542" w:type="pct"/>
            <w:gridSpan w:val="2"/>
            <w:vAlign w:val="bottom"/>
          </w:tcPr>
          <w:p w14:paraId="3BB46B35"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0,1</w:t>
            </w:r>
          </w:p>
        </w:tc>
        <w:tc>
          <w:tcPr>
            <w:tcW w:w="468" w:type="pct"/>
            <w:vAlign w:val="bottom"/>
          </w:tcPr>
          <w:p w14:paraId="13819FD5"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0,2</w:t>
            </w:r>
          </w:p>
        </w:tc>
        <w:tc>
          <w:tcPr>
            <w:tcW w:w="477" w:type="pct"/>
            <w:gridSpan w:val="2"/>
            <w:vAlign w:val="bottom"/>
          </w:tcPr>
          <w:p w14:paraId="6EDD5E1B"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0,1</w:t>
            </w:r>
          </w:p>
        </w:tc>
        <w:tc>
          <w:tcPr>
            <w:tcW w:w="462" w:type="pct"/>
            <w:vAlign w:val="bottom"/>
          </w:tcPr>
          <w:p w14:paraId="3D7026B2"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0,1</w:t>
            </w:r>
          </w:p>
        </w:tc>
        <w:tc>
          <w:tcPr>
            <w:tcW w:w="411" w:type="pct"/>
            <w:vAlign w:val="bottom"/>
          </w:tcPr>
          <w:p w14:paraId="1289624B" w14:textId="77777777" w:rsidR="000272D5" w:rsidRPr="00BB0372" w:rsidRDefault="000272D5" w:rsidP="00D03A4F">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0,1</w:t>
            </w:r>
          </w:p>
        </w:tc>
      </w:tr>
      <w:tr w:rsidR="000D1F1E" w:rsidRPr="000272D5" w14:paraId="0E0D4F6F" w14:textId="77777777" w:rsidTr="000272D5">
        <w:trPr>
          <w:trHeight w:val="356"/>
          <w:jc w:val="center"/>
        </w:trPr>
        <w:tc>
          <w:tcPr>
            <w:tcW w:w="5000" w:type="pct"/>
            <w:gridSpan w:val="13"/>
            <w:vAlign w:val="center"/>
          </w:tcPr>
          <w:p w14:paraId="1AE63F0B" w14:textId="77777777" w:rsidR="000D1F1E" w:rsidRPr="00BB0372" w:rsidRDefault="000D1F1E" w:rsidP="000D1F1E">
            <w:pPr>
              <w:spacing w:after="0" w:line="240" w:lineRule="auto"/>
              <w:ind w:right="56"/>
              <w:jc w:val="center"/>
              <w:rPr>
                <w:rFonts w:ascii="Times New Roman" w:eastAsia="Times New Roman" w:hAnsi="Times New Roman" w:cs="Times New Roman"/>
                <w:sz w:val="20"/>
                <w:szCs w:val="20"/>
                <w:lang w:eastAsia="ru-RU"/>
              </w:rPr>
            </w:pPr>
            <w:r w:rsidRPr="00BB0372">
              <w:rPr>
                <w:rFonts w:ascii="Times New Roman" w:eastAsia="Times New Roman" w:hAnsi="Times New Roman" w:cs="Times New Roman"/>
                <w:b/>
                <w:sz w:val="20"/>
                <w:szCs w:val="20"/>
                <w:lang w:eastAsia="ru-RU"/>
              </w:rPr>
              <w:t>2020 г.</w:t>
            </w:r>
          </w:p>
        </w:tc>
      </w:tr>
      <w:tr w:rsidR="000272D5" w:rsidRPr="000272D5" w14:paraId="5BA78A6C" w14:textId="77777777" w:rsidTr="000272D5">
        <w:trPr>
          <w:trHeight w:val="225"/>
          <w:jc w:val="center"/>
        </w:trPr>
        <w:tc>
          <w:tcPr>
            <w:tcW w:w="956" w:type="pct"/>
            <w:vAlign w:val="center"/>
          </w:tcPr>
          <w:p w14:paraId="2FACFEE9" w14:textId="77777777" w:rsidR="000272D5" w:rsidRPr="00BB0372" w:rsidRDefault="000272D5" w:rsidP="00B0529B">
            <w:pPr>
              <w:tabs>
                <w:tab w:val="left" w:leader="dot" w:pos="5840"/>
              </w:tabs>
              <w:snapToGrid w:val="0"/>
              <w:spacing w:after="0" w:line="240" w:lineRule="auto"/>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 xml:space="preserve">Дети в возрасте до 18 лет, способные вести активный образ жизни – всего </w:t>
            </w:r>
          </w:p>
        </w:tc>
        <w:tc>
          <w:tcPr>
            <w:tcW w:w="484" w:type="pct"/>
            <w:vAlign w:val="bottom"/>
          </w:tcPr>
          <w:p w14:paraId="1ABC0338"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100</w:t>
            </w:r>
          </w:p>
        </w:tc>
        <w:tc>
          <w:tcPr>
            <w:tcW w:w="655" w:type="pct"/>
            <w:gridSpan w:val="2"/>
            <w:vAlign w:val="bottom"/>
          </w:tcPr>
          <w:p w14:paraId="39D43544"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100</w:t>
            </w:r>
          </w:p>
        </w:tc>
        <w:tc>
          <w:tcPr>
            <w:tcW w:w="542" w:type="pct"/>
            <w:vAlign w:val="bottom"/>
          </w:tcPr>
          <w:p w14:paraId="1D0C34D7"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100</w:t>
            </w:r>
          </w:p>
        </w:tc>
        <w:tc>
          <w:tcPr>
            <w:tcW w:w="542" w:type="pct"/>
            <w:gridSpan w:val="2"/>
            <w:vAlign w:val="bottom"/>
          </w:tcPr>
          <w:p w14:paraId="7853EC5A"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100</w:t>
            </w:r>
          </w:p>
        </w:tc>
        <w:tc>
          <w:tcPr>
            <w:tcW w:w="474" w:type="pct"/>
            <w:gridSpan w:val="3"/>
            <w:vAlign w:val="bottom"/>
          </w:tcPr>
          <w:p w14:paraId="469F2724"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100</w:t>
            </w:r>
          </w:p>
        </w:tc>
        <w:tc>
          <w:tcPr>
            <w:tcW w:w="474" w:type="pct"/>
            <w:vAlign w:val="bottom"/>
          </w:tcPr>
          <w:p w14:paraId="62AD6006"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100</w:t>
            </w:r>
          </w:p>
        </w:tc>
        <w:tc>
          <w:tcPr>
            <w:tcW w:w="462" w:type="pct"/>
            <w:vAlign w:val="bottom"/>
          </w:tcPr>
          <w:p w14:paraId="3049BF1D"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100</w:t>
            </w:r>
          </w:p>
        </w:tc>
        <w:tc>
          <w:tcPr>
            <w:tcW w:w="411" w:type="pct"/>
            <w:vAlign w:val="bottom"/>
          </w:tcPr>
          <w:p w14:paraId="18359BD2"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100</w:t>
            </w:r>
          </w:p>
        </w:tc>
      </w:tr>
      <w:tr w:rsidR="000272D5" w:rsidRPr="000272D5" w14:paraId="6F285B82" w14:textId="77777777" w:rsidTr="000272D5">
        <w:trPr>
          <w:trHeight w:val="225"/>
          <w:jc w:val="center"/>
        </w:trPr>
        <w:tc>
          <w:tcPr>
            <w:tcW w:w="956" w:type="pct"/>
            <w:vAlign w:val="center"/>
          </w:tcPr>
          <w:p w14:paraId="457647D9" w14:textId="77777777" w:rsidR="000272D5" w:rsidRPr="00BB0372" w:rsidRDefault="000272D5" w:rsidP="00B0529B">
            <w:pPr>
              <w:tabs>
                <w:tab w:val="left" w:leader="dot" w:pos="5840"/>
              </w:tabs>
              <w:snapToGrid w:val="0"/>
              <w:spacing w:after="0" w:line="240" w:lineRule="auto"/>
              <w:ind w:left="170"/>
              <w:rPr>
                <w:rFonts w:ascii="Times New Roman" w:eastAsia="Times New Roman" w:hAnsi="Times New Roman" w:cs="Times New Roman"/>
                <w:sz w:val="20"/>
                <w:szCs w:val="20"/>
                <w:vertAlign w:val="superscript"/>
                <w:lang w:eastAsia="ru-RU"/>
              </w:rPr>
            </w:pPr>
            <w:r w:rsidRPr="00BB0372">
              <w:rPr>
                <w:rFonts w:ascii="Times New Roman" w:eastAsia="Times New Roman" w:hAnsi="Times New Roman" w:cs="Times New Roman"/>
                <w:sz w:val="20"/>
                <w:szCs w:val="20"/>
                <w:lang w:eastAsia="ru-RU"/>
              </w:rPr>
              <w:t xml:space="preserve">из них занимающиеся спортом </w:t>
            </w:r>
            <w:r w:rsidRPr="00BB0372">
              <w:rPr>
                <w:rFonts w:ascii="Times New Roman" w:eastAsia="Times New Roman" w:hAnsi="Times New Roman" w:cs="Times New Roman"/>
                <w:sz w:val="20"/>
                <w:szCs w:val="20"/>
                <w:lang w:eastAsia="ru-RU"/>
              </w:rPr>
              <w:br/>
              <w:t>или активными видами отдыха</w:t>
            </w:r>
            <w:r w:rsidRPr="00BB0372">
              <w:rPr>
                <w:rFonts w:ascii="Times New Roman" w:eastAsia="Times New Roman" w:hAnsi="Times New Roman" w:cs="Times New Roman"/>
                <w:sz w:val="20"/>
                <w:szCs w:val="20"/>
                <w:vertAlign w:val="superscript"/>
                <w:lang w:eastAsia="ru-RU"/>
              </w:rPr>
              <w:t>2)</w:t>
            </w:r>
          </w:p>
        </w:tc>
        <w:tc>
          <w:tcPr>
            <w:tcW w:w="484" w:type="pct"/>
            <w:vAlign w:val="bottom"/>
          </w:tcPr>
          <w:p w14:paraId="65AF17E9"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40,7</w:t>
            </w:r>
          </w:p>
        </w:tc>
        <w:tc>
          <w:tcPr>
            <w:tcW w:w="655" w:type="pct"/>
            <w:gridSpan w:val="2"/>
            <w:vAlign w:val="bottom"/>
          </w:tcPr>
          <w:p w14:paraId="09353BCF"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43,2</w:t>
            </w:r>
          </w:p>
        </w:tc>
        <w:tc>
          <w:tcPr>
            <w:tcW w:w="542" w:type="pct"/>
            <w:vAlign w:val="bottom"/>
          </w:tcPr>
          <w:p w14:paraId="5A4438D5"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33,7</w:t>
            </w:r>
          </w:p>
        </w:tc>
        <w:tc>
          <w:tcPr>
            <w:tcW w:w="542" w:type="pct"/>
            <w:gridSpan w:val="2"/>
            <w:vAlign w:val="bottom"/>
          </w:tcPr>
          <w:p w14:paraId="06452BE8"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0,0</w:t>
            </w:r>
          </w:p>
        </w:tc>
        <w:tc>
          <w:tcPr>
            <w:tcW w:w="474" w:type="pct"/>
            <w:gridSpan w:val="3"/>
            <w:vAlign w:val="bottom"/>
          </w:tcPr>
          <w:p w14:paraId="26B225AB"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43,5</w:t>
            </w:r>
          </w:p>
        </w:tc>
        <w:tc>
          <w:tcPr>
            <w:tcW w:w="474" w:type="pct"/>
            <w:vAlign w:val="bottom"/>
          </w:tcPr>
          <w:p w14:paraId="1B5BE86A"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41,6</w:t>
            </w:r>
          </w:p>
        </w:tc>
        <w:tc>
          <w:tcPr>
            <w:tcW w:w="462" w:type="pct"/>
            <w:vAlign w:val="bottom"/>
          </w:tcPr>
          <w:p w14:paraId="2FEFF570"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43,7</w:t>
            </w:r>
          </w:p>
        </w:tc>
        <w:tc>
          <w:tcPr>
            <w:tcW w:w="411" w:type="pct"/>
            <w:vAlign w:val="bottom"/>
          </w:tcPr>
          <w:p w14:paraId="23A795BE"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64,2</w:t>
            </w:r>
          </w:p>
        </w:tc>
      </w:tr>
      <w:tr w:rsidR="000272D5" w:rsidRPr="000272D5" w14:paraId="2DF09519" w14:textId="77777777" w:rsidTr="000272D5">
        <w:trPr>
          <w:trHeight w:val="225"/>
          <w:jc w:val="center"/>
        </w:trPr>
        <w:tc>
          <w:tcPr>
            <w:tcW w:w="956" w:type="pct"/>
            <w:vAlign w:val="center"/>
          </w:tcPr>
          <w:p w14:paraId="7A4B80FC" w14:textId="77777777" w:rsidR="000272D5" w:rsidRPr="00BB0372" w:rsidRDefault="000272D5" w:rsidP="00B0529B">
            <w:pPr>
              <w:tabs>
                <w:tab w:val="left" w:leader="dot" w:pos="5840"/>
              </w:tabs>
              <w:snapToGrid w:val="0"/>
              <w:spacing w:after="0" w:line="240" w:lineRule="auto"/>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 xml:space="preserve">Дети в возрасте до 18 лет – всего </w:t>
            </w:r>
          </w:p>
        </w:tc>
        <w:tc>
          <w:tcPr>
            <w:tcW w:w="484" w:type="pct"/>
            <w:vAlign w:val="bottom"/>
          </w:tcPr>
          <w:p w14:paraId="3DA04001"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100</w:t>
            </w:r>
          </w:p>
        </w:tc>
        <w:tc>
          <w:tcPr>
            <w:tcW w:w="655" w:type="pct"/>
            <w:gridSpan w:val="2"/>
            <w:vAlign w:val="bottom"/>
          </w:tcPr>
          <w:p w14:paraId="47C434F7"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100</w:t>
            </w:r>
          </w:p>
        </w:tc>
        <w:tc>
          <w:tcPr>
            <w:tcW w:w="542" w:type="pct"/>
            <w:vAlign w:val="bottom"/>
          </w:tcPr>
          <w:p w14:paraId="4D30AFF6"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100</w:t>
            </w:r>
          </w:p>
        </w:tc>
        <w:tc>
          <w:tcPr>
            <w:tcW w:w="542" w:type="pct"/>
            <w:gridSpan w:val="2"/>
            <w:vAlign w:val="bottom"/>
          </w:tcPr>
          <w:p w14:paraId="5FDB4E1A"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100</w:t>
            </w:r>
          </w:p>
        </w:tc>
        <w:tc>
          <w:tcPr>
            <w:tcW w:w="474" w:type="pct"/>
            <w:gridSpan w:val="3"/>
            <w:vAlign w:val="bottom"/>
          </w:tcPr>
          <w:p w14:paraId="7B501E33"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100</w:t>
            </w:r>
          </w:p>
        </w:tc>
        <w:tc>
          <w:tcPr>
            <w:tcW w:w="474" w:type="pct"/>
            <w:vAlign w:val="bottom"/>
          </w:tcPr>
          <w:p w14:paraId="4BA373CD"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100</w:t>
            </w:r>
          </w:p>
        </w:tc>
        <w:tc>
          <w:tcPr>
            <w:tcW w:w="462" w:type="pct"/>
            <w:vAlign w:val="bottom"/>
          </w:tcPr>
          <w:p w14:paraId="589E6141"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100</w:t>
            </w:r>
          </w:p>
        </w:tc>
        <w:tc>
          <w:tcPr>
            <w:tcW w:w="411" w:type="pct"/>
            <w:vAlign w:val="bottom"/>
          </w:tcPr>
          <w:p w14:paraId="4F05D606"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100</w:t>
            </w:r>
          </w:p>
        </w:tc>
      </w:tr>
      <w:tr w:rsidR="000272D5" w:rsidRPr="000272D5" w14:paraId="1D338EA8" w14:textId="77777777" w:rsidTr="000272D5">
        <w:trPr>
          <w:trHeight w:val="225"/>
          <w:jc w:val="center"/>
        </w:trPr>
        <w:tc>
          <w:tcPr>
            <w:tcW w:w="956" w:type="pct"/>
            <w:vAlign w:val="center"/>
          </w:tcPr>
          <w:p w14:paraId="0194AFA9" w14:textId="77777777" w:rsidR="000272D5" w:rsidRPr="00BB0372" w:rsidRDefault="000272D5" w:rsidP="00B0529B">
            <w:pPr>
              <w:tabs>
                <w:tab w:val="left" w:leader="dot" w:pos="5840"/>
              </w:tabs>
              <w:snapToGrid w:val="0"/>
              <w:spacing w:after="0" w:line="240" w:lineRule="auto"/>
              <w:ind w:left="170"/>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 xml:space="preserve">из них по оценке состояния </w:t>
            </w:r>
            <w:r w:rsidRPr="00BB0372">
              <w:rPr>
                <w:rFonts w:ascii="Times New Roman" w:eastAsia="Times New Roman" w:hAnsi="Times New Roman" w:cs="Times New Roman"/>
                <w:sz w:val="20"/>
                <w:szCs w:val="20"/>
                <w:lang w:eastAsia="ru-RU"/>
              </w:rPr>
              <w:br/>
              <w:t>здоровья</w:t>
            </w:r>
            <w:r w:rsidRPr="00BB0372">
              <w:rPr>
                <w:rFonts w:ascii="Times New Roman" w:eastAsia="Times New Roman" w:hAnsi="Times New Roman" w:cs="Times New Roman"/>
                <w:sz w:val="20"/>
                <w:szCs w:val="20"/>
                <w:vertAlign w:val="superscript"/>
                <w:lang w:eastAsia="ru-RU"/>
              </w:rPr>
              <w:t>1)</w:t>
            </w:r>
          </w:p>
        </w:tc>
        <w:tc>
          <w:tcPr>
            <w:tcW w:w="484" w:type="pct"/>
            <w:vAlign w:val="bottom"/>
          </w:tcPr>
          <w:p w14:paraId="40239620" w14:textId="77777777" w:rsidR="000272D5" w:rsidRPr="00BB0372" w:rsidRDefault="000272D5" w:rsidP="00B0529B">
            <w:pPr>
              <w:spacing w:after="0" w:line="240" w:lineRule="auto"/>
              <w:ind w:right="56"/>
              <w:jc w:val="center"/>
              <w:rPr>
                <w:rFonts w:ascii="Times New Roman" w:hAnsi="Times New Roman"/>
                <w:sz w:val="20"/>
                <w:szCs w:val="20"/>
              </w:rPr>
            </w:pPr>
          </w:p>
        </w:tc>
        <w:tc>
          <w:tcPr>
            <w:tcW w:w="655" w:type="pct"/>
            <w:gridSpan w:val="2"/>
            <w:vAlign w:val="bottom"/>
          </w:tcPr>
          <w:p w14:paraId="30431827" w14:textId="77777777" w:rsidR="000272D5" w:rsidRPr="00BB0372" w:rsidRDefault="000272D5" w:rsidP="00B0529B">
            <w:pPr>
              <w:spacing w:after="0" w:line="240" w:lineRule="auto"/>
              <w:ind w:right="56"/>
              <w:jc w:val="center"/>
              <w:rPr>
                <w:rFonts w:ascii="Times New Roman" w:hAnsi="Times New Roman"/>
                <w:sz w:val="20"/>
                <w:szCs w:val="20"/>
              </w:rPr>
            </w:pPr>
          </w:p>
        </w:tc>
        <w:tc>
          <w:tcPr>
            <w:tcW w:w="542" w:type="pct"/>
            <w:vAlign w:val="bottom"/>
          </w:tcPr>
          <w:p w14:paraId="19025CE6" w14:textId="77777777" w:rsidR="000272D5" w:rsidRPr="00BB0372" w:rsidRDefault="000272D5" w:rsidP="00B0529B">
            <w:pPr>
              <w:spacing w:after="0" w:line="240" w:lineRule="auto"/>
              <w:ind w:right="56"/>
              <w:jc w:val="center"/>
              <w:rPr>
                <w:rFonts w:ascii="Times New Roman" w:hAnsi="Times New Roman"/>
                <w:sz w:val="20"/>
                <w:szCs w:val="20"/>
              </w:rPr>
            </w:pPr>
          </w:p>
        </w:tc>
        <w:tc>
          <w:tcPr>
            <w:tcW w:w="542" w:type="pct"/>
            <w:gridSpan w:val="2"/>
            <w:vAlign w:val="bottom"/>
          </w:tcPr>
          <w:p w14:paraId="0AB29709" w14:textId="77777777" w:rsidR="000272D5" w:rsidRPr="00BB0372" w:rsidRDefault="000272D5" w:rsidP="00B0529B">
            <w:pPr>
              <w:spacing w:after="0" w:line="240" w:lineRule="auto"/>
              <w:ind w:right="56"/>
              <w:jc w:val="center"/>
              <w:rPr>
                <w:rFonts w:ascii="Times New Roman" w:hAnsi="Times New Roman"/>
                <w:sz w:val="20"/>
                <w:szCs w:val="20"/>
              </w:rPr>
            </w:pPr>
          </w:p>
        </w:tc>
        <w:tc>
          <w:tcPr>
            <w:tcW w:w="474" w:type="pct"/>
            <w:gridSpan w:val="3"/>
            <w:vAlign w:val="bottom"/>
          </w:tcPr>
          <w:p w14:paraId="0058DF95" w14:textId="77777777" w:rsidR="000272D5" w:rsidRPr="00BB0372" w:rsidRDefault="000272D5" w:rsidP="00B0529B">
            <w:pPr>
              <w:spacing w:after="0" w:line="240" w:lineRule="auto"/>
              <w:ind w:right="56"/>
              <w:jc w:val="center"/>
              <w:rPr>
                <w:rFonts w:ascii="Times New Roman" w:hAnsi="Times New Roman"/>
                <w:sz w:val="20"/>
                <w:szCs w:val="20"/>
              </w:rPr>
            </w:pPr>
          </w:p>
        </w:tc>
        <w:tc>
          <w:tcPr>
            <w:tcW w:w="474" w:type="pct"/>
            <w:vAlign w:val="bottom"/>
          </w:tcPr>
          <w:p w14:paraId="6C860A27" w14:textId="77777777" w:rsidR="000272D5" w:rsidRPr="00BB0372" w:rsidRDefault="000272D5" w:rsidP="00B0529B">
            <w:pPr>
              <w:spacing w:after="0" w:line="240" w:lineRule="auto"/>
              <w:ind w:right="56"/>
              <w:jc w:val="center"/>
              <w:rPr>
                <w:rFonts w:ascii="Times New Roman" w:hAnsi="Times New Roman"/>
                <w:sz w:val="20"/>
                <w:szCs w:val="20"/>
              </w:rPr>
            </w:pPr>
          </w:p>
        </w:tc>
        <w:tc>
          <w:tcPr>
            <w:tcW w:w="462" w:type="pct"/>
            <w:vAlign w:val="bottom"/>
          </w:tcPr>
          <w:p w14:paraId="6D406EC1" w14:textId="77777777" w:rsidR="000272D5" w:rsidRPr="00BB0372" w:rsidRDefault="000272D5" w:rsidP="00B0529B">
            <w:pPr>
              <w:spacing w:after="0" w:line="240" w:lineRule="auto"/>
              <w:ind w:right="56"/>
              <w:jc w:val="center"/>
              <w:rPr>
                <w:rFonts w:ascii="Times New Roman" w:hAnsi="Times New Roman"/>
                <w:sz w:val="20"/>
                <w:szCs w:val="20"/>
              </w:rPr>
            </w:pPr>
          </w:p>
        </w:tc>
        <w:tc>
          <w:tcPr>
            <w:tcW w:w="411" w:type="pct"/>
            <w:vAlign w:val="bottom"/>
          </w:tcPr>
          <w:p w14:paraId="5BE5E29D" w14:textId="77777777" w:rsidR="000272D5" w:rsidRPr="00BB0372" w:rsidRDefault="000272D5" w:rsidP="00B0529B">
            <w:pPr>
              <w:spacing w:after="0" w:line="240" w:lineRule="auto"/>
              <w:ind w:right="56"/>
              <w:jc w:val="center"/>
              <w:rPr>
                <w:rFonts w:ascii="Times New Roman" w:hAnsi="Times New Roman"/>
                <w:sz w:val="20"/>
                <w:szCs w:val="20"/>
              </w:rPr>
            </w:pPr>
          </w:p>
        </w:tc>
      </w:tr>
      <w:tr w:rsidR="000272D5" w:rsidRPr="000272D5" w14:paraId="36571A55" w14:textId="77777777" w:rsidTr="000272D5">
        <w:trPr>
          <w:trHeight w:val="225"/>
          <w:jc w:val="center"/>
        </w:trPr>
        <w:tc>
          <w:tcPr>
            <w:tcW w:w="956" w:type="pct"/>
          </w:tcPr>
          <w:p w14:paraId="5DF492E7" w14:textId="77777777" w:rsidR="000272D5" w:rsidRPr="00BB0372" w:rsidRDefault="000272D5" w:rsidP="00B0529B">
            <w:pPr>
              <w:tabs>
                <w:tab w:val="left" w:leader="dot" w:pos="4593"/>
              </w:tabs>
              <w:spacing w:after="0" w:line="240" w:lineRule="auto"/>
              <w:ind w:left="170"/>
              <w:rPr>
                <w:rFonts w:ascii="Times New Roman" w:eastAsia="Times New Roman" w:hAnsi="Times New Roman" w:cs="Times New Roman"/>
                <w:sz w:val="20"/>
                <w:szCs w:val="20"/>
                <w:vertAlign w:val="superscript"/>
                <w:lang w:eastAsia="ru-RU"/>
              </w:rPr>
            </w:pPr>
            <w:r w:rsidRPr="00BB0372">
              <w:rPr>
                <w:rFonts w:ascii="Times New Roman" w:eastAsia="Times New Roman" w:hAnsi="Times New Roman" w:cs="Times New Roman"/>
                <w:sz w:val="20"/>
                <w:szCs w:val="20"/>
                <w:lang w:eastAsia="ru-RU"/>
              </w:rPr>
              <w:t>хорошее</w:t>
            </w:r>
            <w:r w:rsidRPr="00BB0372">
              <w:rPr>
                <w:rFonts w:ascii="Times New Roman" w:eastAsia="Times New Roman" w:hAnsi="Times New Roman" w:cs="Times New Roman"/>
                <w:sz w:val="20"/>
                <w:szCs w:val="20"/>
                <w:vertAlign w:val="superscript"/>
                <w:lang w:eastAsia="ru-RU"/>
              </w:rPr>
              <w:t>3)</w:t>
            </w:r>
          </w:p>
        </w:tc>
        <w:tc>
          <w:tcPr>
            <w:tcW w:w="484" w:type="pct"/>
            <w:vAlign w:val="bottom"/>
          </w:tcPr>
          <w:p w14:paraId="0AB499E3"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82,4</w:t>
            </w:r>
          </w:p>
        </w:tc>
        <w:tc>
          <w:tcPr>
            <w:tcW w:w="655" w:type="pct"/>
            <w:gridSpan w:val="2"/>
            <w:vAlign w:val="bottom"/>
          </w:tcPr>
          <w:p w14:paraId="4D805781"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82,9</w:t>
            </w:r>
          </w:p>
        </w:tc>
        <w:tc>
          <w:tcPr>
            <w:tcW w:w="542" w:type="pct"/>
            <w:vAlign w:val="bottom"/>
          </w:tcPr>
          <w:p w14:paraId="4FA9D8FD"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81,1</w:t>
            </w:r>
          </w:p>
        </w:tc>
        <w:tc>
          <w:tcPr>
            <w:tcW w:w="542" w:type="pct"/>
            <w:gridSpan w:val="2"/>
            <w:vAlign w:val="bottom"/>
          </w:tcPr>
          <w:p w14:paraId="41F635AE"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84,6</w:t>
            </w:r>
          </w:p>
        </w:tc>
        <w:tc>
          <w:tcPr>
            <w:tcW w:w="474" w:type="pct"/>
            <w:gridSpan w:val="3"/>
            <w:vAlign w:val="bottom"/>
          </w:tcPr>
          <w:p w14:paraId="1D7630E6"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82,0</w:t>
            </w:r>
          </w:p>
        </w:tc>
        <w:tc>
          <w:tcPr>
            <w:tcW w:w="474" w:type="pct"/>
            <w:vAlign w:val="bottom"/>
          </w:tcPr>
          <w:p w14:paraId="5A3EB57B"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80,6</w:t>
            </w:r>
          </w:p>
        </w:tc>
        <w:tc>
          <w:tcPr>
            <w:tcW w:w="462" w:type="pct"/>
            <w:vAlign w:val="bottom"/>
          </w:tcPr>
          <w:p w14:paraId="32C505ED"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79,7</w:t>
            </w:r>
          </w:p>
        </w:tc>
        <w:tc>
          <w:tcPr>
            <w:tcW w:w="411" w:type="pct"/>
            <w:vAlign w:val="bottom"/>
          </w:tcPr>
          <w:p w14:paraId="4B81318F"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88,4</w:t>
            </w:r>
          </w:p>
        </w:tc>
      </w:tr>
      <w:tr w:rsidR="000272D5" w:rsidRPr="000272D5" w14:paraId="2A448D0D" w14:textId="77777777" w:rsidTr="000272D5">
        <w:trPr>
          <w:trHeight w:val="225"/>
          <w:jc w:val="center"/>
        </w:trPr>
        <w:tc>
          <w:tcPr>
            <w:tcW w:w="956" w:type="pct"/>
          </w:tcPr>
          <w:p w14:paraId="469A117C" w14:textId="77777777" w:rsidR="000272D5" w:rsidRPr="00BB0372" w:rsidRDefault="000272D5" w:rsidP="00B0529B">
            <w:pPr>
              <w:tabs>
                <w:tab w:val="left" w:leader="dot" w:pos="4593"/>
              </w:tabs>
              <w:spacing w:after="0" w:line="240" w:lineRule="auto"/>
              <w:ind w:left="170"/>
              <w:rPr>
                <w:rFonts w:ascii="Times New Roman" w:eastAsia="Times New Roman" w:hAnsi="Times New Roman" w:cs="Times New Roman"/>
                <w:sz w:val="20"/>
                <w:szCs w:val="20"/>
                <w:lang w:eastAsia="ru-RU"/>
              </w:rPr>
            </w:pPr>
            <w:proofErr w:type="spellStart"/>
            <w:r w:rsidRPr="00BB0372">
              <w:rPr>
                <w:rFonts w:ascii="Times New Roman" w:eastAsia="Times New Roman" w:hAnsi="Times New Roman" w:cs="Times New Roman"/>
                <w:sz w:val="20"/>
                <w:szCs w:val="20"/>
                <w:lang w:eastAsia="ru-RU"/>
              </w:rPr>
              <w:t>удовлетворитель-ное</w:t>
            </w:r>
            <w:proofErr w:type="spellEnd"/>
          </w:p>
        </w:tc>
        <w:tc>
          <w:tcPr>
            <w:tcW w:w="484" w:type="pct"/>
            <w:vAlign w:val="bottom"/>
          </w:tcPr>
          <w:p w14:paraId="1F9D9D63"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16,9</w:t>
            </w:r>
          </w:p>
        </w:tc>
        <w:tc>
          <w:tcPr>
            <w:tcW w:w="655" w:type="pct"/>
            <w:gridSpan w:val="2"/>
            <w:vAlign w:val="bottom"/>
          </w:tcPr>
          <w:p w14:paraId="7CABA28C"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16,5</w:t>
            </w:r>
          </w:p>
        </w:tc>
        <w:tc>
          <w:tcPr>
            <w:tcW w:w="542" w:type="pct"/>
            <w:vAlign w:val="bottom"/>
          </w:tcPr>
          <w:p w14:paraId="5F87CEEA"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18,1</w:t>
            </w:r>
          </w:p>
        </w:tc>
        <w:tc>
          <w:tcPr>
            <w:tcW w:w="542" w:type="pct"/>
            <w:gridSpan w:val="2"/>
            <w:vAlign w:val="bottom"/>
          </w:tcPr>
          <w:p w14:paraId="7819E329"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14,9</w:t>
            </w:r>
          </w:p>
        </w:tc>
        <w:tc>
          <w:tcPr>
            <w:tcW w:w="474" w:type="pct"/>
            <w:gridSpan w:val="3"/>
            <w:vAlign w:val="bottom"/>
          </w:tcPr>
          <w:p w14:paraId="142C9B47"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16,9</w:t>
            </w:r>
          </w:p>
        </w:tc>
        <w:tc>
          <w:tcPr>
            <w:tcW w:w="474" w:type="pct"/>
            <w:vAlign w:val="bottom"/>
          </w:tcPr>
          <w:p w14:paraId="0E4D9E2E"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18,7</w:t>
            </w:r>
          </w:p>
        </w:tc>
        <w:tc>
          <w:tcPr>
            <w:tcW w:w="462" w:type="pct"/>
            <w:vAlign w:val="bottom"/>
          </w:tcPr>
          <w:p w14:paraId="52BA04B4"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19,6</w:t>
            </w:r>
          </w:p>
        </w:tc>
        <w:tc>
          <w:tcPr>
            <w:tcW w:w="411" w:type="pct"/>
            <w:vAlign w:val="bottom"/>
          </w:tcPr>
          <w:p w14:paraId="45535DDC"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11,0</w:t>
            </w:r>
          </w:p>
        </w:tc>
      </w:tr>
      <w:tr w:rsidR="000272D5" w:rsidRPr="000272D5" w14:paraId="0D600C97" w14:textId="77777777" w:rsidTr="000272D5">
        <w:trPr>
          <w:trHeight w:val="225"/>
          <w:jc w:val="center"/>
        </w:trPr>
        <w:tc>
          <w:tcPr>
            <w:tcW w:w="956" w:type="pct"/>
          </w:tcPr>
          <w:p w14:paraId="22E3F42E" w14:textId="77777777" w:rsidR="000272D5" w:rsidRPr="00BB0372" w:rsidRDefault="000272D5" w:rsidP="00B0529B">
            <w:pPr>
              <w:tabs>
                <w:tab w:val="left" w:leader="dot" w:pos="4593"/>
              </w:tabs>
              <w:spacing w:after="0" w:line="240" w:lineRule="auto"/>
              <w:ind w:left="170"/>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плохое</w:t>
            </w:r>
          </w:p>
        </w:tc>
        <w:tc>
          <w:tcPr>
            <w:tcW w:w="484" w:type="pct"/>
            <w:vAlign w:val="bottom"/>
          </w:tcPr>
          <w:p w14:paraId="1E1B54FE"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0,7</w:t>
            </w:r>
          </w:p>
        </w:tc>
        <w:tc>
          <w:tcPr>
            <w:tcW w:w="655" w:type="pct"/>
            <w:gridSpan w:val="2"/>
            <w:vAlign w:val="bottom"/>
          </w:tcPr>
          <w:p w14:paraId="1998444E"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0,6</w:t>
            </w:r>
          </w:p>
        </w:tc>
        <w:tc>
          <w:tcPr>
            <w:tcW w:w="542" w:type="pct"/>
            <w:vAlign w:val="bottom"/>
          </w:tcPr>
          <w:p w14:paraId="01812860"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0,8</w:t>
            </w:r>
          </w:p>
        </w:tc>
        <w:tc>
          <w:tcPr>
            <w:tcW w:w="542" w:type="pct"/>
            <w:gridSpan w:val="2"/>
            <w:vAlign w:val="bottom"/>
          </w:tcPr>
          <w:p w14:paraId="52F69BA7"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0,5</w:t>
            </w:r>
          </w:p>
        </w:tc>
        <w:tc>
          <w:tcPr>
            <w:tcW w:w="474" w:type="pct"/>
            <w:gridSpan w:val="3"/>
            <w:vAlign w:val="bottom"/>
          </w:tcPr>
          <w:p w14:paraId="59BE3906"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1,0</w:t>
            </w:r>
          </w:p>
        </w:tc>
        <w:tc>
          <w:tcPr>
            <w:tcW w:w="474" w:type="pct"/>
            <w:vAlign w:val="bottom"/>
          </w:tcPr>
          <w:p w14:paraId="719E7AEF"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0,6</w:t>
            </w:r>
          </w:p>
        </w:tc>
        <w:tc>
          <w:tcPr>
            <w:tcW w:w="462" w:type="pct"/>
            <w:vAlign w:val="bottom"/>
          </w:tcPr>
          <w:p w14:paraId="67DF2845"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0,7</w:t>
            </w:r>
          </w:p>
        </w:tc>
        <w:tc>
          <w:tcPr>
            <w:tcW w:w="411" w:type="pct"/>
            <w:vAlign w:val="bottom"/>
          </w:tcPr>
          <w:p w14:paraId="7718CC3C" w14:textId="77777777" w:rsidR="000272D5" w:rsidRPr="00BB0372" w:rsidRDefault="000272D5" w:rsidP="00B0529B">
            <w:pPr>
              <w:spacing w:after="0" w:line="240" w:lineRule="auto"/>
              <w:ind w:right="56"/>
              <w:jc w:val="center"/>
              <w:rPr>
                <w:rFonts w:ascii="Times New Roman" w:hAnsi="Times New Roman"/>
                <w:sz w:val="20"/>
                <w:szCs w:val="20"/>
              </w:rPr>
            </w:pPr>
            <w:r w:rsidRPr="00BB0372">
              <w:rPr>
                <w:rFonts w:ascii="Times New Roman" w:hAnsi="Times New Roman"/>
                <w:sz w:val="20"/>
                <w:szCs w:val="20"/>
              </w:rPr>
              <w:t>0,4</w:t>
            </w:r>
          </w:p>
        </w:tc>
      </w:tr>
      <w:tr w:rsidR="000272D5" w:rsidRPr="000272D5" w14:paraId="1C473130" w14:textId="77777777" w:rsidTr="000272D5">
        <w:trPr>
          <w:trHeight w:val="225"/>
          <w:jc w:val="center"/>
        </w:trPr>
        <w:tc>
          <w:tcPr>
            <w:tcW w:w="956" w:type="pct"/>
          </w:tcPr>
          <w:p w14:paraId="38CFBAD2" w14:textId="77777777" w:rsidR="000272D5" w:rsidRPr="00BB0372" w:rsidRDefault="000272D5" w:rsidP="004827FD">
            <w:pPr>
              <w:tabs>
                <w:tab w:val="left" w:leader="dot" w:pos="4593"/>
              </w:tabs>
              <w:spacing w:after="0" w:line="240" w:lineRule="auto"/>
              <w:ind w:left="170"/>
              <w:rPr>
                <w:rFonts w:ascii="Times New Roman" w:eastAsia="Times New Roman" w:hAnsi="Times New Roman" w:cs="Times New Roman"/>
                <w:sz w:val="20"/>
                <w:szCs w:val="20"/>
                <w:lang w:eastAsia="ru-RU"/>
              </w:rPr>
            </w:pPr>
            <w:r w:rsidRPr="00BB0372">
              <w:rPr>
                <w:rFonts w:ascii="Times New Roman" w:eastAsia="Times New Roman" w:hAnsi="Times New Roman" w:cs="Times New Roman"/>
                <w:sz w:val="20"/>
                <w:szCs w:val="20"/>
                <w:lang w:eastAsia="ru-RU"/>
              </w:rPr>
              <w:t>очень плохое</w:t>
            </w:r>
          </w:p>
        </w:tc>
        <w:tc>
          <w:tcPr>
            <w:tcW w:w="484" w:type="pct"/>
            <w:vAlign w:val="bottom"/>
          </w:tcPr>
          <w:p w14:paraId="143EEC73" w14:textId="77777777" w:rsidR="000272D5" w:rsidRPr="00BB0372" w:rsidRDefault="000272D5" w:rsidP="004827FD">
            <w:pPr>
              <w:spacing w:after="0" w:line="240" w:lineRule="auto"/>
              <w:ind w:right="56"/>
              <w:jc w:val="center"/>
              <w:rPr>
                <w:rFonts w:ascii="Times New Roman" w:hAnsi="Times New Roman"/>
                <w:sz w:val="20"/>
                <w:szCs w:val="20"/>
              </w:rPr>
            </w:pPr>
            <w:r w:rsidRPr="00BB0372">
              <w:rPr>
                <w:rFonts w:ascii="Times New Roman" w:hAnsi="Times New Roman"/>
                <w:sz w:val="20"/>
                <w:szCs w:val="20"/>
              </w:rPr>
              <w:t>0,0</w:t>
            </w:r>
          </w:p>
        </w:tc>
        <w:tc>
          <w:tcPr>
            <w:tcW w:w="655" w:type="pct"/>
            <w:gridSpan w:val="2"/>
            <w:vAlign w:val="bottom"/>
          </w:tcPr>
          <w:p w14:paraId="4D01A94E" w14:textId="77777777" w:rsidR="000272D5" w:rsidRPr="00BB0372" w:rsidRDefault="000272D5" w:rsidP="004827FD">
            <w:pPr>
              <w:spacing w:after="0" w:line="240" w:lineRule="auto"/>
              <w:ind w:right="56"/>
              <w:jc w:val="center"/>
              <w:rPr>
                <w:rFonts w:ascii="Times New Roman" w:hAnsi="Times New Roman"/>
                <w:sz w:val="20"/>
                <w:szCs w:val="20"/>
              </w:rPr>
            </w:pPr>
            <w:r w:rsidRPr="00BB0372">
              <w:rPr>
                <w:rFonts w:ascii="Times New Roman" w:hAnsi="Times New Roman"/>
                <w:sz w:val="20"/>
                <w:szCs w:val="20"/>
              </w:rPr>
              <w:t>0,0</w:t>
            </w:r>
          </w:p>
        </w:tc>
        <w:tc>
          <w:tcPr>
            <w:tcW w:w="542" w:type="pct"/>
            <w:vAlign w:val="bottom"/>
          </w:tcPr>
          <w:p w14:paraId="53C8F1A6" w14:textId="77777777" w:rsidR="000272D5" w:rsidRPr="00BB0372" w:rsidRDefault="000272D5" w:rsidP="004827FD">
            <w:pPr>
              <w:spacing w:after="0" w:line="240" w:lineRule="auto"/>
              <w:ind w:right="56"/>
              <w:jc w:val="center"/>
              <w:rPr>
                <w:rFonts w:ascii="Times New Roman" w:hAnsi="Times New Roman"/>
                <w:sz w:val="20"/>
                <w:szCs w:val="20"/>
              </w:rPr>
            </w:pPr>
            <w:r w:rsidRPr="00BB0372">
              <w:rPr>
                <w:rFonts w:ascii="Times New Roman" w:hAnsi="Times New Roman"/>
                <w:sz w:val="20"/>
                <w:szCs w:val="20"/>
              </w:rPr>
              <w:t>0,0</w:t>
            </w:r>
          </w:p>
        </w:tc>
        <w:tc>
          <w:tcPr>
            <w:tcW w:w="542" w:type="pct"/>
            <w:gridSpan w:val="2"/>
            <w:vAlign w:val="bottom"/>
          </w:tcPr>
          <w:p w14:paraId="5EEB3EC0" w14:textId="77777777" w:rsidR="000272D5" w:rsidRPr="00BB0372" w:rsidRDefault="000272D5" w:rsidP="004827FD">
            <w:pPr>
              <w:spacing w:after="0" w:line="240" w:lineRule="auto"/>
              <w:ind w:right="56"/>
              <w:jc w:val="center"/>
              <w:rPr>
                <w:rFonts w:ascii="Times New Roman" w:hAnsi="Times New Roman"/>
                <w:sz w:val="20"/>
                <w:szCs w:val="20"/>
              </w:rPr>
            </w:pPr>
            <w:r w:rsidRPr="00BB0372">
              <w:rPr>
                <w:rFonts w:ascii="Times New Roman" w:hAnsi="Times New Roman"/>
                <w:sz w:val="20"/>
                <w:szCs w:val="20"/>
              </w:rPr>
              <w:t>0,0</w:t>
            </w:r>
          </w:p>
        </w:tc>
        <w:tc>
          <w:tcPr>
            <w:tcW w:w="474" w:type="pct"/>
            <w:gridSpan w:val="3"/>
            <w:vAlign w:val="bottom"/>
          </w:tcPr>
          <w:p w14:paraId="01D3369A" w14:textId="77777777" w:rsidR="000272D5" w:rsidRPr="00BB0372" w:rsidRDefault="000272D5" w:rsidP="004827FD">
            <w:pPr>
              <w:spacing w:after="0" w:line="240" w:lineRule="auto"/>
              <w:ind w:right="56"/>
              <w:jc w:val="center"/>
              <w:rPr>
                <w:rFonts w:ascii="Times New Roman" w:hAnsi="Times New Roman"/>
                <w:sz w:val="20"/>
                <w:szCs w:val="20"/>
              </w:rPr>
            </w:pPr>
            <w:r w:rsidRPr="00BB0372">
              <w:rPr>
                <w:rFonts w:ascii="Times New Roman" w:hAnsi="Times New Roman"/>
                <w:sz w:val="20"/>
                <w:szCs w:val="20"/>
              </w:rPr>
              <w:t>0,0</w:t>
            </w:r>
          </w:p>
        </w:tc>
        <w:tc>
          <w:tcPr>
            <w:tcW w:w="474" w:type="pct"/>
            <w:vAlign w:val="bottom"/>
          </w:tcPr>
          <w:p w14:paraId="1EE2662C" w14:textId="77777777" w:rsidR="000272D5" w:rsidRPr="00BB0372" w:rsidRDefault="000272D5" w:rsidP="004827FD">
            <w:pPr>
              <w:spacing w:after="0" w:line="240" w:lineRule="auto"/>
              <w:ind w:right="56"/>
              <w:jc w:val="center"/>
              <w:rPr>
                <w:rFonts w:ascii="Times New Roman" w:hAnsi="Times New Roman"/>
                <w:sz w:val="20"/>
                <w:szCs w:val="20"/>
              </w:rPr>
            </w:pPr>
            <w:r w:rsidRPr="00BB0372">
              <w:rPr>
                <w:rFonts w:ascii="Times New Roman" w:hAnsi="Times New Roman"/>
                <w:sz w:val="20"/>
                <w:szCs w:val="20"/>
              </w:rPr>
              <w:t>0,1</w:t>
            </w:r>
          </w:p>
        </w:tc>
        <w:tc>
          <w:tcPr>
            <w:tcW w:w="462" w:type="pct"/>
            <w:vAlign w:val="bottom"/>
          </w:tcPr>
          <w:p w14:paraId="6E76709D" w14:textId="77777777" w:rsidR="000272D5" w:rsidRPr="00BB0372" w:rsidRDefault="000272D5" w:rsidP="004827FD">
            <w:pPr>
              <w:spacing w:after="0" w:line="240" w:lineRule="auto"/>
              <w:ind w:right="56"/>
              <w:jc w:val="center"/>
              <w:rPr>
                <w:rFonts w:ascii="Times New Roman" w:hAnsi="Times New Roman"/>
                <w:sz w:val="20"/>
                <w:szCs w:val="20"/>
              </w:rPr>
            </w:pPr>
            <w:r w:rsidRPr="00BB0372">
              <w:rPr>
                <w:rFonts w:ascii="Times New Roman" w:hAnsi="Times New Roman"/>
                <w:sz w:val="20"/>
                <w:szCs w:val="20"/>
              </w:rPr>
              <w:t>0,0</w:t>
            </w:r>
          </w:p>
        </w:tc>
        <w:tc>
          <w:tcPr>
            <w:tcW w:w="411" w:type="pct"/>
            <w:vAlign w:val="bottom"/>
          </w:tcPr>
          <w:p w14:paraId="50CB2494" w14:textId="77777777" w:rsidR="000272D5" w:rsidRPr="00BB0372" w:rsidRDefault="000272D5" w:rsidP="004827FD">
            <w:pPr>
              <w:spacing w:after="0" w:line="240" w:lineRule="auto"/>
              <w:ind w:right="56"/>
              <w:jc w:val="center"/>
              <w:rPr>
                <w:rFonts w:ascii="Times New Roman" w:hAnsi="Times New Roman"/>
                <w:sz w:val="20"/>
                <w:szCs w:val="20"/>
              </w:rPr>
            </w:pPr>
            <w:r w:rsidRPr="00BB0372">
              <w:rPr>
                <w:rFonts w:ascii="Times New Roman" w:hAnsi="Times New Roman"/>
                <w:sz w:val="20"/>
                <w:szCs w:val="20"/>
              </w:rPr>
              <w:t>0,1</w:t>
            </w:r>
          </w:p>
        </w:tc>
      </w:tr>
    </w:tbl>
    <w:p w14:paraId="7236B5BB" w14:textId="77777777" w:rsidR="00D03A4F" w:rsidRPr="00BB0372" w:rsidRDefault="00D03A4F" w:rsidP="00BB0372">
      <w:pPr>
        <w:spacing w:before="80" w:after="0" w:line="240" w:lineRule="auto"/>
        <w:ind w:firstLine="284"/>
        <w:jc w:val="both"/>
        <w:rPr>
          <w:rFonts w:ascii="Times New Roman" w:eastAsia="Times New Roman" w:hAnsi="Times New Roman" w:cs="Times New Roman"/>
          <w:lang w:eastAsia="ru-RU"/>
        </w:rPr>
      </w:pPr>
      <w:r w:rsidRPr="00BB0372">
        <w:rPr>
          <w:rFonts w:ascii="Times New Roman" w:eastAsia="Times New Roman" w:hAnsi="Times New Roman" w:cs="Times New Roman"/>
          <w:lang w:eastAsia="ru-RU"/>
        </w:rPr>
        <w:t>1)</w:t>
      </w:r>
      <w:r w:rsidR="00BB0372">
        <w:rPr>
          <w:rFonts w:ascii="Times New Roman" w:eastAsia="Times New Roman" w:hAnsi="Times New Roman" w:cs="Times New Roman"/>
          <w:lang w:eastAsia="ru-RU"/>
        </w:rPr>
        <w:t xml:space="preserve"> </w:t>
      </w:r>
      <w:r w:rsidRPr="00BB0372">
        <w:rPr>
          <w:rFonts w:ascii="Times New Roman" w:eastAsia="Times New Roman" w:hAnsi="Times New Roman" w:cs="Times New Roman"/>
          <w:lang w:eastAsia="ru-RU"/>
        </w:rPr>
        <w:t>В возрасте до 15 лет – со слов одного из родителей ребенка, в возрасте 15-18 лет – по собственному мнению ребенка.</w:t>
      </w:r>
    </w:p>
    <w:p w14:paraId="37E6C916" w14:textId="77777777" w:rsidR="001903A7" w:rsidRPr="00BB0372" w:rsidRDefault="00BB0372" w:rsidP="00BB0372">
      <w:pPr>
        <w:spacing w:after="0" w:line="240" w:lineRule="auto"/>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D03A4F" w:rsidRPr="00BB0372">
        <w:rPr>
          <w:rFonts w:ascii="Times New Roman" w:eastAsia="Times New Roman" w:hAnsi="Times New Roman" w:cs="Times New Roman"/>
          <w:lang w:eastAsia="ru-RU"/>
        </w:rPr>
        <w:t>) В возрасте от 15 до 18 лет – хорошее и очень хорошее.</w:t>
      </w:r>
    </w:p>
    <w:p w14:paraId="2BBD181A" w14:textId="77777777" w:rsidR="000C76B1" w:rsidRDefault="000C76B1" w:rsidP="000C76B1">
      <w:pPr>
        <w:spacing w:after="0" w:line="240" w:lineRule="auto"/>
        <w:jc w:val="both"/>
        <w:rPr>
          <w:rFonts w:ascii="Times New Roman" w:eastAsia="Times New Roman" w:hAnsi="Times New Roman" w:cs="Times New Roman"/>
          <w:sz w:val="28"/>
          <w:szCs w:val="28"/>
          <w:lang w:eastAsia="ru-RU"/>
        </w:rPr>
      </w:pPr>
    </w:p>
    <w:p w14:paraId="10525F63" w14:textId="77777777" w:rsidR="004827FD" w:rsidRDefault="004827FD" w:rsidP="00D46545">
      <w:pPr>
        <w:spacing w:after="0" w:line="240" w:lineRule="auto"/>
        <w:ind w:firstLine="284"/>
        <w:jc w:val="right"/>
        <w:rPr>
          <w:rFonts w:ascii="Times New Roman" w:eastAsia="Times New Roman" w:hAnsi="Times New Roman" w:cs="Times New Roman"/>
          <w:sz w:val="28"/>
          <w:szCs w:val="28"/>
          <w:lang w:eastAsia="ru-RU"/>
        </w:rPr>
      </w:pPr>
    </w:p>
    <w:p w14:paraId="43220672" w14:textId="77777777" w:rsidR="00DB764F" w:rsidRDefault="00DB764F" w:rsidP="00D46545">
      <w:pPr>
        <w:spacing w:after="0" w:line="240" w:lineRule="auto"/>
        <w:ind w:firstLine="284"/>
        <w:jc w:val="right"/>
        <w:rPr>
          <w:rFonts w:ascii="Times New Roman" w:eastAsia="Times New Roman" w:hAnsi="Times New Roman" w:cs="Times New Roman"/>
          <w:sz w:val="28"/>
          <w:szCs w:val="28"/>
          <w:lang w:eastAsia="ru-RU"/>
        </w:rPr>
      </w:pPr>
    </w:p>
    <w:p w14:paraId="0B5E2712" w14:textId="77777777" w:rsidR="00D46545" w:rsidRPr="008737BB" w:rsidRDefault="00D46545" w:rsidP="00D46545">
      <w:pPr>
        <w:spacing w:after="0" w:line="240" w:lineRule="auto"/>
        <w:ind w:firstLine="284"/>
        <w:jc w:val="right"/>
        <w:rPr>
          <w:rFonts w:ascii="Times New Roman" w:eastAsia="Times New Roman" w:hAnsi="Times New Roman" w:cs="Times New Roman"/>
          <w:sz w:val="28"/>
          <w:szCs w:val="28"/>
          <w:lang w:eastAsia="ru-RU"/>
        </w:rPr>
      </w:pPr>
      <w:r w:rsidRPr="008737BB">
        <w:rPr>
          <w:rFonts w:ascii="Times New Roman" w:eastAsia="Times New Roman" w:hAnsi="Times New Roman" w:cs="Times New Roman"/>
          <w:sz w:val="28"/>
          <w:szCs w:val="28"/>
          <w:lang w:eastAsia="ru-RU"/>
        </w:rPr>
        <w:t>Таблица 6</w:t>
      </w:r>
      <w:r w:rsidR="008737BB" w:rsidRPr="008737BB">
        <w:rPr>
          <w:rFonts w:ascii="Times New Roman" w:eastAsia="Times New Roman" w:hAnsi="Times New Roman" w:cs="Times New Roman"/>
          <w:sz w:val="28"/>
          <w:szCs w:val="28"/>
          <w:lang w:eastAsia="ru-RU"/>
        </w:rPr>
        <w:t>3</w:t>
      </w:r>
    </w:p>
    <w:p w14:paraId="360DA758" w14:textId="77777777" w:rsidR="004827FD" w:rsidRPr="008737BB" w:rsidRDefault="004827FD" w:rsidP="004827FD">
      <w:pPr>
        <w:spacing w:after="0" w:line="240" w:lineRule="auto"/>
        <w:jc w:val="both"/>
        <w:rPr>
          <w:rFonts w:ascii="Times New Roman" w:eastAsia="Times New Roman" w:hAnsi="Times New Roman" w:cs="Times New Roman"/>
          <w:sz w:val="28"/>
          <w:szCs w:val="28"/>
          <w:lang w:eastAsia="ru-RU"/>
        </w:rPr>
      </w:pPr>
    </w:p>
    <w:p w14:paraId="44D9B196" w14:textId="77777777" w:rsidR="001903A7" w:rsidRPr="008737BB" w:rsidRDefault="00D46545" w:rsidP="00D46545">
      <w:pPr>
        <w:spacing w:after="0" w:line="240" w:lineRule="auto"/>
        <w:ind w:firstLine="284"/>
        <w:jc w:val="center"/>
        <w:rPr>
          <w:rFonts w:ascii="Times New Roman" w:hAnsi="Times New Roman"/>
          <w:b/>
          <w:bCs/>
          <w:sz w:val="26"/>
          <w:szCs w:val="26"/>
          <w:lang w:eastAsia="ru-RU"/>
        </w:rPr>
      </w:pPr>
      <w:r w:rsidRPr="008737BB">
        <w:rPr>
          <w:rFonts w:ascii="Times New Roman" w:hAnsi="Times New Roman"/>
          <w:b/>
          <w:bCs/>
          <w:sz w:val="26"/>
          <w:szCs w:val="26"/>
          <w:lang w:eastAsia="ru-RU"/>
        </w:rPr>
        <w:t xml:space="preserve">Доля </w:t>
      </w:r>
      <w:r w:rsidR="00EA589C">
        <w:rPr>
          <w:rFonts w:ascii="Times New Roman" w:hAnsi="Times New Roman"/>
          <w:b/>
          <w:bCs/>
          <w:sz w:val="26"/>
          <w:szCs w:val="26"/>
          <w:lang w:eastAsia="ru-RU"/>
        </w:rPr>
        <w:t>граждан, ведущих здоровый образ жизни</w:t>
      </w:r>
    </w:p>
    <w:p w14:paraId="6E7EA06E" w14:textId="77777777" w:rsidR="00D46545" w:rsidRPr="00D46545" w:rsidRDefault="00D46545" w:rsidP="00D46545">
      <w:pPr>
        <w:spacing w:after="0" w:line="240" w:lineRule="auto"/>
        <w:ind w:firstLine="284"/>
        <w:jc w:val="center"/>
        <w:rPr>
          <w:rFonts w:ascii="Times New Roman" w:hAnsi="Times New Roman"/>
          <w:bCs/>
          <w:sz w:val="26"/>
          <w:szCs w:val="26"/>
          <w:lang w:eastAsia="ru-RU"/>
        </w:rPr>
      </w:pPr>
      <w:r w:rsidRPr="008737BB">
        <w:rPr>
          <w:rFonts w:ascii="Times New Roman" w:hAnsi="Times New Roman"/>
          <w:bCs/>
          <w:sz w:val="26"/>
          <w:szCs w:val="26"/>
          <w:lang w:eastAsia="ru-RU"/>
        </w:rPr>
        <w:t>(</w:t>
      </w:r>
      <w:r w:rsidR="00EA589C">
        <w:rPr>
          <w:rFonts w:ascii="Times New Roman" w:hAnsi="Times New Roman"/>
          <w:bCs/>
          <w:sz w:val="26"/>
          <w:szCs w:val="26"/>
          <w:lang w:eastAsia="ru-RU"/>
        </w:rPr>
        <w:t xml:space="preserve">по итогам выборочных наблюдений состояния здоровья населения; </w:t>
      </w:r>
      <w:r w:rsidRPr="008737BB">
        <w:rPr>
          <w:rFonts w:ascii="Times New Roman" w:hAnsi="Times New Roman"/>
          <w:bCs/>
          <w:sz w:val="26"/>
          <w:szCs w:val="26"/>
          <w:lang w:eastAsia="ru-RU"/>
        </w:rPr>
        <w:t>в процентах)</w:t>
      </w:r>
    </w:p>
    <w:p w14:paraId="0ADD8D1B" w14:textId="77777777" w:rsidR="00D46545" w:rsidRDefault="00D46545" w:rsidP="00D46545">
      <w:pPr>
        <w:spacing w:after="0" w:line="240" w:lineRule="auto"/>
        <w:ind w:firstLine="284"/>
        <w:jc w:val="center"/>
        <w:rPr>
          <w:rFonts w:ascii="Times New Roman" w:hAnsi="Times New Roman"/>
          <w:b/>
          <w:bCs/>
          <w:sz w:val="26"/>
          <w:szCs w:val="26"/>
          <w:lang w:eastAsia="ru-RU"/>
        </w:rPr>
      </w:pPr>
    </w:p>
    <w:tbl>
      <w:tblPr>
        <w:tblStyle w:val="a5"/>
        <w:tblW w:w="10173" w:type="dxa"/>
        <w:tblLook w:val="04A0" w:firstRow="1" w:lastRow="0" w:firstColumn="1" w:lastColumn="0" w:noHBand="0" w:noVBand="1"/>
      </w:tblPr>
      <w:tblGrid>
        <w:gridCol w:w="4786"/>
        <w:gridCol w:w="1843"/>
        <w:gridCol w:w="1843"/>
        <w:gridCol w:w="1701"/>
      </w:tblGrid>
      <w:tr w:rsidR="00EA589C" w14:paraId="0B445A37" w14:textId="77777777" w:rsidTr="005963A8">
        <w:trPr>
          <w:tblHeader/>
        </w:trPr>
        <w:tc>
          <w:tcPr>
            <w:tcW w:w="4786" w:type="dxa"/>
          </w:tcPr>
          <w:p w14:paraId="707B0312" w14:textId="77777777" w:rsidR="00EA589C" w:rsidRPr="00D46545" w:rsidRDefault="00EA589C" w:rsidP="00D46545">
            <w:pPr>
              <w:jc w:val="center"/>
              <w:rPr>
                <w:rFonts w:ascii="Times New Roman" w:hAnsi="Times New Roman"/>
                <w:b/>
                <w:bCs/>
                <w:lang w:eastAsia="ru-RU"/>
              </w:rPr>
            </w:pPr>
          </w:p>
        </w:tc>
        <w:tc>
          <w:tcPr>
            <w:tcW w:w="1843" w:type="dxa"/>
            <w:vAlign w:val="center"/>
          </w:tcPr>
          <w:p w14:paraId="3A31C792" w14:textId="77777777" w:rsidR="00EA589C" w:rsidRPr="00D46545" w:rsidRDefault="00EA589C" w:rsidP="00D46545">
            <w:pPr>
              <w:jc w:val="center"/>
              <w:rPr>
                <w:rFonts w:ascii="Times New Roman" w:hAnsi="Times New Roman"/>
                <w:b/>
                <w:bCs/>
                <w:lang w:eastAsia="ru-RU"/>
              </w:rPr>
            </w:pPr>
            <w:r>
              <w:rPr>
                <w:rFonts w:ascii="Times New Roman" w:hAnsi="Times New Roman"/>
                <w:b/>
                <w:bCs/>
                <w:lang w:eastAsia="ru-RU"/>
              </w:rPr>
              <w:t>2019 г.</w:t>
            </w:r>
          </w:p>
        </w:tc>
        <w:tc>
          <w:tcPr>
            <w:tcW w:w="1843" w:type="dxa"/>
            <w:vAlign w:val="center"/>
          </w:tcPr>
          <w:p w14:paraId="22C1F399" w14:textId="77777777" w:rsidR="00EA589C" w:rsidRPr="00D46545" w:rsidRDefault="00EA589C" w:rsidP="00D46545">
            <w:pPr>
              <w:jc w:val="center"/>
              <w:rPr>
                <w:rFonts w:ascii="Times New Roman" w:hAnsi="Times New Roman"/>
                <w:b/>
                <w:bCs/>
                <w:lang w:eastAsia="ru-RU"/>
              </w:rPr>
            </w:pPr>
            <w:r>
              <w:rPr>
                <w:rFonts w:ascii="Times New Roman" w:hAnsi="Times New Roman"/>
                <w:b/>
                <w:bCs/>
                <w:lang w:eastAsia="ru-RU"/>
              </w:rPr>
              <w:t>2020 г.</w:t>
            </w:r>
          </w:p>
        </w:tc>
        <w:tc>
          <w:tcPr>
            <w:tcW w:w="1701" w:type="dxa"/>
            <w:vAlign w:val="center"/>
          </w:tcPr>
          <w:p w14:paraId="05AAF9F8" w14:textId="77777777" w:rsidR="00EA589C" w:rsidRPr="00D46545" w:rsidRDefault="00EA589C" w:rsidP="00D46545">
            <w:pPr>
              <w:jc w:val="center"/>
              <w:rPr>
                <w:rFonts w:ascii="Times New Roman" w:hAnsi="Times New Roman"/>
                <w:b/>
                <w:bCs/>
                <w:lang w:eastAsia="ru-RU"/>
              </w:rPr>
            </w:pPr>
            <w:r>
              <w:rPr>
                <w:rFonts w:ascii="Times New Roman" w:hAnsi="Times New Roman"/>
                <w:b/>
                <w:bCs/>
                <w:lang w:eastAsia="ru-RU"/>
              </w:rPr>
              <w:t>2021 г.</w:t>
            </w:r>
          </w:p>
        </w:tc>
      </w:tr>
      <w:tr w:rsidR="00EA589C" w:rsidRPr="00D46545" w14:paraId="023A46A1" w14:textId="77777777" w:rsidTr="00EA589C">
        <w:trPr>
          <w:trHeight w:val="300"/>
        </w:trPr>
        <w:tc>
          <w:tcPr>
            <w:tcW w:w="4786" w:type="dxa"/>
            <w:vAlign w:val="center"/>
            <w:hideMark/>
          </w:tcPr>
          <w:p w14:paraId="5845AF85" w14:textId="77777777" w:rsidR="00EA589C" w:rsidRPr="004827FD" w:rsidRDefault="00EA589C" w:rsidP="00D46545">
            <w:pP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Российская Федерация</w:t>
            </w:r>
          </w:p>
        </w:tc>
        <w:tc>
          <w:tcPr>
            <w:tcW w:w="1843" w:type="dxa"/>
            <w:vAlign w:val="center"/>
          </w:tcPr>
          <w:p w14:paraId="046B5C5C" w14:textId="77777777" w:rsidR="00EA589C" w:rsidRPr="004827FD" w:rsidRDefault="00EA589C" w:rsidP="00D46545">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12,0</w:t>
            </w:r>
          </w:p>
        </w:tc>
        <w:tc>
          <w:tcPr>
            <w:tcW w:w="1843" w:type="dxa"/>
            <w:vAlign w:val="center"/>
          </w:tcPr>
          <w:p w14:paraId="25C2DD23" w14:textId="77777777" w:rsidR="00EA589C" w:rsidRPr="004827FD" w:rsidRDefault="00EA589C" w:rsidP="00D46545">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9,1</w:t>
            </w:r>
          </w:p>
        </w:tc>
        <w:tc>
          <w:tcPr>
            <w:tcW w:w="1701" w:type="dxa"/>
            <w:vAlign w:val="center"/>
          </w:tcPr>
          <w:p w14:paraId="3FAA4588" w14:textId="77777777" w:rsidR="00EA589C" w:rsidRPr="004827FD" w:rsidRDefault="00EA589C" w:rsidP="00D46545">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7,3</w:t>
            </w:r>
          </w:p>
        </w:tc>
      </w:tr>
      <w:tr w:rsidR="00EA589C" w:rsidRPr="00D46545" w14:paraId="17A031C8" w14:textId="77777777" w:rsidTr="00EA589C">
        <w:trPr>
          <w:trHeight w:val="300"/>
        </w:trPr>
        <w:tc>
          <w:tcPr>
            <w:tcW w:w="4786" w:type="dxa"/>
            <w:vAlign w:val="center"/>
            <w:hideMark/>
          </w:tcPr>
          <w:p w14:paraId="10B44843" w14:textId="77777777" w:rsidR="00EA589C" w:rsidRPr="004827FD" w:rsidRDefault="00EA589C" w:rsidP="00D46545">
            <w:pP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Центральный федеральный округ</w:t>
            </w:r>
          </w:p>
        </w:tc>
        <w:tc>
          <w:tcPr>
            <w:tcW w:w="1843" w:type="dxa"/>
            <w:vAlign w:val="center"/>
          </w:tcPr>
          <w:p w14:paraId="6F44E78A" w14:textId="77777777" w:rsidR="00EA589C" w:rsidRPr="004827FD" w:rsidRDefault="00EA589C" w:rsidP="00D46545">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11,1</w:t>
            </w:r>
          </w:p>
        </w:tc>
        <w:tc>
          <w:tcPr>
            <w:tcW w:w="1843" w:type="dxa"/>
            <w:vAlign w:val="center"/>
          </w:tcPr>
          <w:p w14:paraId="417388A0" w14:textId="77777777" w:rsidR="00EA589C" w:rsidRPr="004827FD" w:rsidRDefault="00EA589C" w:rsidP="00D46545">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7,6</w:t>
            </w:r>
          </w:p>
        </w:tc>
        <w:tc>
          <w:tcPr>
            <w:tcW w:w="1701" w:type="dxa"/>
            <w:vAlign w:val="center"/>
          </w:tcPr>
          <w:p w14:paraId="084D46C2" w14:textId="77777777" w:rsidR="00EA589C" w:rsidRPr="004827FD" w:rsidRDefault="00EA589C" w:rsidP="00D46545">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6,4</w:t>
            </w:r>
          </w:p>
        </w:tc>
      </w:tr>
      <w:tr w:rsidR="00EA589C" w:rsidRPr="00D46545" w14:paraId="7315A99B" w14:textId="77777777" w:rsidTr="00EA589C">
        <w:trPr>
          <w:trHeight w:val="300"/>
        </w:trPr>
        <w:tc>
          <w:tcPr>
            <w:tcW w:w="4786" w:type="dxa"/>
            <w:vAlign w:val="center"/>
            <w:hideMark/>
          </w:tcPr>
          <w:p w14:paraId="77A28D0F"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Белгородская область</w:t>
            </w:r>
          </w:p>
        </w:tc>
        <w:tc>
          <w:tcPr>
            <w:tcW w:w="1843" w:type="dxa"/>
            <w:vAlign w:val="center"/>
          </w:tcPr>
          <w:p w14:paraId="320A7CA0" w14:textId="77777777" w:rsidR="00EA589C" w:rsidRPr="004827FD" w:rsidRDefault="00EA589C"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10,2</w:t>
            </w:r>
          </w:p>
        </w:tc>
        <w:tc>
          <w:tcPr>
            <w:tcW w:w="1843" w:type="dxa"/>
            <w:vAlign w:val="center"/>
          </w:tcPr>
          <w:p w14:paraId="575BC97C" w14:textId="77777777" w:rsidR="00EA589C" w:rsidRPr="004827FD" w:rsidRDefault="00EA589C"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c>
          <w:tcPr>
            <w:tcW w:w="1701" w:type="dxa"/>
            <w:vAlign w:val="center"/>
          </w:tcPr>
          <w:p w14:paraId="774D7F32" w14:textId="77777777" w:rsidR="00EA589C" w:rsidRPr="004827FD" w:rsidRDefault="00EA589C"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w:t>
            </w:r>
          </w:p>
        </w:tc>
      </w:tr>
      <w:tr w:rsidR="00EA589C" w:rsidRPr="00D46545" w14:paraId="7CA5484E" w14:textId="77777777" w:rsidTr="00EA589C">
        <w:trPr>
          <w:trHeight w:val="300"/>
        </w:trPr>
        <w:tc>
          <w:tcPr>
            <w:tcW w:w="4786" w:type="dxa"/>
            <w:vAlign w:val="center"/>
            <w:hideMark/>
          </w:tcPr>
          <w:p w14:paraId="211896AC"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Брянская область</w:t>
            </w:r>
          </w:p>
        </w:tc>
        <w:tc>
          <w:tcPr>
            <w:tcW w:w="1843" w:type="dxa"/>
            <w:vAlign w:val="center"/>
          </w:tcPr>
          <w:p w14:paraId="47590599" w14:textId="77777777" w:rsidR="00EA589C" w:rsidRPr="004827FD" w:rsidRDefault="00EA589C"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w:t>
            </w:r>
          </w:p>
        </w:tc>
        <w:tc>
          <w:tcPr>
            <w:tcW w:w="1843" w:type="dxa"/>
            <w:vAlign w:val="center"/>
          </w:tcPr>
          <w:p w14:paraId="3D389281" w14:textId="77777777" w:rsidR="00EA589C" w:rsidRPr="004827FD" w:rsidRDefault="00EA589C"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10,9</w:t>
            </w:r>
          </w:p>
        </w:tc>
        <w:tc>
          <w:tcPr>
            <w:tcW w:w="1701" w:type="dxa"/>
            <w:vAlign w:val="center"/>
          </w:tcPr>
          <w:p w14:paraId="3E592320" w14:textId="77777777" w:rsidR="00EA589C" w:rsidRPr="004827FD" w:rsidRDefault="00EA589C"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6,2</w:t>
            </w:r>
          </w:p>
        </w:tc>
      </w:tr>
      <w:tr w:rsidR="00EA589C" w:rsidRPr="00D46545" w14:paraId="205A5F70" w14:textId="77777777" w:rsidTr="00EA589C">
        <w:trPr>
          <w:trHeight w:val="300"/>
        </w:trPr>
        <w:tc>
          <w:tcPr>
            <w:tcW w:w="4786" w:type="dxa"/>
            <w:vAlign w:val="center"/>
            <w:hideMark/>
          </w:tcPr>
          <w:p w14:paraId="6BD3D5B0"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Владимирская область</w:t>
            </w:r>
          </w:p>
        </w:tc>
        <w:tc>
          <w:tcPr>
            <w:tcW w:w="1843" w:type="dxa"/>
            <w:vAlign w:val="center"/>
          </w:tcPr>
          <w:p w14:paraId="38B9BCCB" w14:textId="77777777" w:rsidR="00EA589C" w:rsidRPr="004827FD" w:rsidRDefault="005C2EE0"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16,9</w:t>
            </w:r>
          </w:p>
        </w:tc>
        <w:tc>
          <w:tcPr>
            <w:tcW w:w="1843" w:type="dxa"/>
            <w:vAlign w:val="center"/>
          </w:tcPr>
          <w:p w14:paraId="488C9B53" w14:textId="77777777" w:rsidR="00EA589C" w:rsidRPr="004827FD" w:rsidRDefault="005C2EE0"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7,7</w:t>
            </w:r>
          </w:p>
        </w:tc>
        <w:tc>
          <w:tcPr>
            <w:tcW w:w="1701" w:type="dxa"/>
            <w:vAlign w:val="center"/>
          </w:tcPr>
          <w:p w14:paraId="552FA85A" w14:textId="77777777" w:rsidR="00EA589C" w:rsidRPr="004827FD" w:rsidRDefault="005C2EE0"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w:t>
            </w:r>
          </w:p>
        </w:tc>
      </w:tr>
      <w:tr w:rsidR="00EA589C" w:rsidRPr="00D46545" w14:paraId="1D5B38B7" w14:textId="77777777" w:rsidTr="00EA589C">
        <w:trPr>
          <w:trHeight w:val="300"/>
        </w:trPr>
        <w:tc>
          <w:tcPr>
            <w:tcW w:w="4786" w:type="dxa"/>
            <w:vAlign w:val="center"/>
            <w:hideMark/>
          </w:tcPr>
          <w:p w14:paraId="460BFDE4"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Воронежская область</w:t>
            </w:r>
          </w:p>
        </w:tc>
        <w:tc>
          <w:tcPr>
            <w:tcW w:w="1843" w:type="dxa"/>
            <w:vAlign w:val="center"/>
          </w:tcPr>
          <w:p w14:paraId="5517E221" w14:textId="77777777" w:rsidR="00EA589C" w:rsidRPr="004827FD" w:rsidRDefault="005C2EE0"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24,2</w:t>
            </w:r>
          </w:p>
        </w:tc>
        <w:tc>
          <w:tcPr>
            <w:tcW w:w="1843" w:type="dxa"/>
            <w:vAlign w:val="center"/>
          </w:tcPr>
          <w:p w14:paraId="104ADEB6" w14:textId="77777777" w:rsidR="00EA589C" w:rsidRPr="004827FD" w:rsidRDefault="005C2EE0"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5,9</w:t>
            </w:r>
          </w:p>
        </w:tc>
        <w:tc>
          <w:tcPr>
            <w:tcW w:w="1701" w:type="dxa"/>
            <w:vAlign w:val="center"/>
          </w:tcPr>
          <w:p w14:paraId="234EB3FA" w14:textId="77777777" w:rsidR="00EA589C" w:rsidRPr="004827FD" w:rsidRDefault="005C2EE0"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w:t>
            </w:r>
          </w:p>
        </w:tc>
      </w:tr>
      <w:tr w:rsidR="00EA589C" w:rsidRPr="00D46545" w14:paraId="5030481A" w14:textId="77777777" w:rsidTr="00EA589C">
        <w:trPr>
          <w:trHeight w:val="300"/>
        </w:trPr>
        <w:tc>
          <w:tcPr>
            <w:tcW w:w="4786" w:type="dxa"/>
            <w:vAlign w:val="center"/>
            <w:hideMark/>
          </w:tcPr>
          <w:p w14:paraId="4F9B957A"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Ивановская область</w:t>
            </w:r>
          </w:p>
        </w:tc>
        <w:tc>
          <w:tcPr>
            <w:tcW w:w="1843" w:type="dxa"/>
            <w:vAlign w:val="center"/>
          </w:tcPr>
          <w:p w14:paraId="1EC250B9" w14:textId="77777777" w:rsidR="00EA589C" w:rsidRPr="004827FD" w:rsidRDefault="005C2EE0"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17,0</w:t>
            </w:r>
          </w:p>
        </w:tc>
        <w:tc>
          <w:tcPr>
            <w:tcW w:w="1843" w:type="dxa"/>
            <w:vAlign w:val="center"/>
          </w:tcPr>
          <w:p w14:paraId="1F9F9629" w14:textId="77777777" w:rsidR="00EA589C" w:rsidRPr="004827FD" w:rsidRDefault="005C2EE0"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7,7</w:t>
            </w:r>
          </w:p>
        </w:tc>
        <w:tc>
          <w:tcPr>
            <w:tcW w:w="1701" w:type="dxa"/>
            <w:vAlign w:val="center"/>
          </w:tcPr>
          <w:p w14:paraId="48506B46" w14:textId="77777777" w:rsidR="00EA589C" w:rsidRPr="004827FD" w:rsidRDefault="005C2EE0"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p>
        </w:tc>
      </w:tr>
      <w:tr w:rsidR="00EA589C" w:rsidRPr="00D46545" w14:paraId="38D1129E" w14:textId="77777777" w:rsidTr="00EA589C">
        <w:trPr>
          <w:trHeight w:val="300"/>
        </w:trPr>
        <w:tc>
          <w:tcPr>
            <w:tcW w:w="4786" w:type="dxa"/>
            <w:vAlign w:val="center"/>
            <w:hideMark/>
          </w:tcPr>
          <w:p w14:paraId="674AE7F5"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Калужская область</w:t>
            </w:r>
          </w:p>
        </w:tc>
        <w:tc>
          <w:tcPr>
            <w:tcW w:w="1843" w:type="dxa"/>
            <w:vAlign w:val="center"/>
          </w:tcPr>
          <w:p w14:paraId="3FB18C07" w14:textId="77777777" w:rsidR="00EA589C" w:rsidRPr="004827FD" w:rsidRDefault="005C2EE0"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p>
        </w:tc>
        <w:tc>
          <w:tcPr>
            <w:tcW w:w="1843" w:type="dxa"/>
            <w:vAlign w:val="center"/>
          </w:tcPr>
          <w:p w14:paraId="1955C335" w14:textId="77777777" w:rsidR="00EA589C" w:rsidRPr="004827FD" w:rsidRDefault="005C2EE0"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1701" w:type="dxa"/>
            <w:vAlign w:val="center"/>
          </w:tcPr>
          <w:p w14:paraId="0A2E99DB" w14:textId="77777777" w:rsidR="00EA589C" w:rsidRPr="004827FD" w:rsidRDefault="005C2EE0"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9,5</w:t>
            </w:r>
          </w:p>
        </w:tc>
      </w:tr>
      <w:tr w:rsidR="00EA589C" w:rsidRPr="00D46545" w14:paraId="01A1CB9A" w14:textId="77777777" w:rsidTr="00EA589C">
        <w:trPr>
          <w:trHeight w:val="300"/>
        </w:trPr>
        <w:tc>
          <w:tcPr>
            <w:tcW w:w="4786" w:type="dxa"/>
            <w:vAlign w:val="center"/>
            <w:hideMark/>
          </w:tcPr>
          <w:p w14:paraId="47C409BF"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Костромская область</w:t>
            </w:r>
          </w:p>
        </w:tc>
        <w:tc>
          <w:tcPr>
            <w:tcW w:w="1843" w:type="dxa"/>
            <w:vAlign w:val="center"/>
          </w:tcPr>
          <w:p w14:paraId="46B6AFC4" w14:textId="77777777" w:rsidR="00EA589C" w:rsidRPr="004827FD" w:rsidRDefault="005C2EE0"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11,0</w:t>
            </w:r>
          </w:p>
        </w:tc>
        <w:tc>
          <w:tcPr>
            <w:tcW w:w="1843" w:type="dxa"/>
            <w:vAlign w:val="center"/>
          </w:tcPr>
          <w:p w14:paraId="6981C1B3" w14:textId="77777777" w:rsidR="00EA589C" w:rsidRPr="004827FD" w:rsidRDefault="005C2EE0"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11,2</w:t>
            </w:r>
          </w:p>
        </w:tc>
        <w:tc>
          <w:tcPr>
            <w:tcW w:w="1701" w:type="dxa"/>
            <w:vAlign w:val="center"/>
          </w:tcPr>
          <w:p w14:paraId="31F0E584" w14:textId="77777777" w:rsidR="00EA589C" w:rsidRPr="004827FD" w:rsidRDefault="005C2EE0"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w:t>
            </w:r>
          </w:p>
        </w:tc>
      </w:tr>
      <w:tr w:rsidR="00EA589C" w:rsidRPr="00D46545" w14:paraId="49B24110" w14:textId="77777777" w:rsidTr="00EA589C">
        <w:trPr>
          <w:trHeight w:val="300"/>
        </w:trPr>
        <w:tc>
          <w:tcPr>
            <w:tcW w:w="4786" w:type="dxa"/>
            <w:vAlign w:val="center"/>
            <w:hideMark/>
          </w:tcPr>
          <w:p w14:paraId="370C93D6"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Курская область</w:t>
            </w:r>
          </w:p>
        </w:tc>
        <w:tc>
          <w:tcPr>
            <w:tcW w:w="1843" w:type="dxa"/>
            <w:vAlign w:val="center"/>
          </w:tcPr>
          <w:p w14:paraId="789037C1" w14:textId="77777777" w:rsidR="00EA589C" w:rsidRPr="004827FD" w:rsidRDefault="005C2EE0"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8,2</w:t>
            </w:r>
          </w:p>
        </w:tc>
        <w:tc>
          <w:tcPr>
            <w:tcW w:w="1843" w:type="dxa"/>
            <w:vAlign w:val="center"/>
          </w:tcPr>
          <w:p w14:paraId="4FB7E990" w14:textId="77777777" w:rsidR="00EA589C" w:rsidRPr="004827FD" w:rsidRDefault="005C2EE0"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10,8</w:t>
            </w:r>
          </w:p>
        </w:tc>
        <w:tc>
          <w:tcPr>
            <w:tcW w:w="1701" w:type="dxa"/>
            <w:vAlign w:val="center"/>
          </w:tcPr>
          <w:p w14:paraId="5D881C4B" w14:textId="77777777" w:rsidR="00EA589C" w:rsidRPr="004827FD" w:rsidRDefault="005C2EE0"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4,4</w:t>
            </w:r>
          </w:p>
        </w:tc>
      </w:tr>
      <w:tr w:rsidR="00EA589C" w:rsidRPr="00D46545" w14:paraId="0CD329E7" w14:textId="77777777" w:rsidTr="00EA589C">
        <w:trPr>
          <w:trHeight w:val="300"/>
        </w:trPr>
        <w:tc>
          <w:tcPr>
            <w:tcW w:w="4786" w:type="dxa"/>
            <w:vAlign w:val="center"/>
            <w:hideMark/>
          </w:tcPr>
          <w:p w14:paraId="5676D828"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Липецкая область</w:t>
            </w:r>
          </w:p>
        </w:tc>
        <w:tc>
          <w:tcPr>
            <w:tcW w:w="1843" w:type="dxa"/>
            <w:vAlign w:val="center"/>
          </w:tcPr>
          <w:p w14:paraId="284F4C1A" w14:textId="77777777" w:rsidR="00EA589C" w:rsidRPr="004827FD" w:rsidRDefault="005C2EE0"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w:t>
            </w:r>
          </w:p>
        </w:tc>
        <w:tc>
          <w:tcPr>
            <w:tcW w:w="1843" w:type="dxa"/>
            <w:vAlign w:val="center"/>
          </w:tcPr>
          <w:p w14:paraId="0527458F" w14:textId="77777777" w:rsidR="00EA589C" w:rsidRPr="004827FD" w:rsidRDefault="005C2EE0"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6,2</w:t>
            </w:r>
          </w:p>
        </w:tc>
        <w:tc>
          <w:tcPr>
            <w:tcW w:w="1701" w:type="dxa"/>
            <w:vAlign w:val="center"/>
          </w:tcPr>
          <w:p w14:paraId="4EA436B2" w14:textId="77777777" w:rsidR="00EA589C" w:rsidRPr="004827FD" w:rsidRDefault="005C2EE0"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9,8</w:t>
            </w:r>
          </w:p>
        </w:tc>
      </w:tr>
      <w:tr w:rsidR="00EA589C" w:rsidRPr="00D46545" w14:paraId="39144DB2" w14:textId="77777777" w:rsidTr="00EA589C">
        <w:trPr>
          <w:trHeight w:val="300"/>
        </w:trPr>
        <w:tc>
          <w:tcPr>
            <w:tcW w:w="4786" w:type="dxa"/>
            <w:vAlign w:val="center"/>
            <w:hideMark/>
          </w:tcPr>
          <w:p w14:paraId="1BFB313A"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Московская область</w:t>
            </w:r>
          </w:p>
        </w:tc>
        <w:tc>
          <w:tcPr>
            <w:tcW w:w="1843" w:type="dxa"/>
            <w:vAlign w:val="center"/>
          </w:tcPr>
          <w:p w14:paraId="0E9C3B4A" w14:textId="77777777" w:rsidR="00EA589C" w:rsidRPr="004827FD" w:rsidRDefault="005C2EE0"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12,4</w:t>
            </w:r>
          </w:p>
        </w:tc>
        <w:tc>
          <w:tcPr>
            <w:tcW w:w="1843" w:type="dxa"/>
            <w:vAlign w:val="center"/>
          </w:tcPr>
          <w:p w14:paraId="1A9B48B9" w14:textId="77777777" w:rsidR="00EA589C" w:rsidRPr="004827FD" w:rsidRDefault="005C2EE0"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11,5</w:t>
            </w:r>
          </w:p>
        </w:tc>
        <w:tc>
          <w:tcPr>
            <w:tcW w:w="1701" w:type="dxa"/>
            <w:vAlign w:val="center"/>
          </w:tcPr>
          <w:p w14:paraId="52419595" w14:textId="77777777" w:rsidR="00EA589C" w:rsidRPr="004827FD" w:rsidRDefault="005C2EE0"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6,5</w:t>
            </w:r>
          </w:p>
        </w:tc>
      </w:tr>
      <w:tr w:rsidR="00EA589C" w:rsidRPr="00D46545" w14:paraId="74ECBF30" w14:textId="77777777" w:rsidTr="00EA589C">
        <w:trPr>
          <w:trHeight w:val="300"/>
        </w:trPr>
        <w:tc>
          <w:tcPr>
            <w:tcW w:w="4786" w:type="dxa"/>
            <w:vAlign w:val="center"/>
            <w:hideMark/>
          </w:tcPr>
          <w:p w14:paraId="5AF573F6"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Орловская область</w:t>
            </w:r>
          </w:p>
        </w:tc>
        <w:tc>
          <w:tcPr>
            <w:tcW w:w="1843" w:type="dxa"/>
            <w:vAlign w:val="center"/>
          </w:tcPr>
          <w:p w14:paraId="156E9D74" w14:textId="77777777" w:rsidR="00EA589C" w:rsidRPr="004827FD" w:rsidRDefault="005C2EE0"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7,1</w:t>
            </w:r>
          </w:p>
        </w:tc>
        <w:tc>
          <w:tcPr>
            <w:tcW w:w="1843" w:type="dxa"/>
            <w:vAlign w:val="center"/>
          </w:tcPr>
          <w:p w14:paraId="4F9B32FF" w14:textId="77777777" w:rsidR="00EA589C" w:rsidRPr="004827FD" w:rsidRDefault="005C2EE0"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14,9</w:t>
            </w:r>
          </w:p>
        </w:tc>
        <w:tc>
          <w:tcPr>
            <w:tcW w:w="1701" w:type="dxa"/>
            <w:vAlign w:val="center"/>
          </w:tcPr>
          <w:p w14:paraId="100041E6" w14:textId="77777777" w:rsidR="00EA589C" w:rsidRPr="004827FD" w:rsidRDefault="005C2EE0"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5,8</w:t>
            </w:r>
          </w:p>
        </w:tc>
      </w:tr>
      <w:tr w:rsidR="00EA589C" w:rsidRPr="00D46545" w14:paraId="1DC42D74" w14:textId="77777777" w:rsidTr="00EA589C">
        <w:trPr>
          <w:trHeight w:val="300"/>
        </w:trPr>
        <w:tc>
          <w:tcPr>
            <w:tcW w:w="4786" w:type="dxa"/>
            <w:vAlign w:val="center"/>
            <w:hideMark/>
          </w:tcPr>
          <w:p w14:paraId="396F7BD7"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Рязанская область</w:t>
            </w:r>
          </w:p>
        </w:tc>
        <w:tc>
          <w:tcPr>
            <w:tcW w:w="1843" w:type="dxa"/>
            <w:vAlign w:val="center"/>
          </w:tcPr>
          <w:p w14:paraId="04EEB410" w14:textId="77777777" w:rsidR="00EA589C" w:rsidRPr="004827FD" w:rsidRDefault="005C2EE0"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18,8</w:t>
            </w:r>
          </w:p>
        </w:tc>
        <w:tc>
          <w:tcPr>
            <w:tcW w:w="1843" w:type="dxa"/>
            <w:vAlign w:val="center"/>
          </w:tcPr>
          <w:p w14:paraId="547E6BD4" w14:textId="77777777" w:rsidR="00EA589C" w:rsidRPr="004827FD" w:rsidRDefault="005C2EE0"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9,5</w:t>
            </w:r>
          </w:p>
        </w:tc>
        <w:tc>
          <w:tcPr>
            <w:tcW w:w="1701" w:type="dxa"/>
            <w:vAlign w:val="center"/>
          </w:tcPr>
          <w:p w14:paraId="10FB8FB1" w14:textId="77777777" w:rsidR="00EA589C" w:rsidRPr="004827FD" w:rsidRDefault="005C2EE0"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6,4</w:t>
            </w:r>
          </w:p>
        </w:tc>
      </w:tr>
      <w:tr w:rsidR="00EA589C" w:rsidRPr="00D46545" w14:paraId="7EB5E764" w14:textId="77777777" w:rsidTr="00EA589C">
        <w:trPr>
          <w:trHeight w:val="300"/>
        </w:trPr>
        <w:tc>
          <w:tcPr>
            <w:tcW w:w="4786" w:type="dxa"/>
            <w:vAlign w:val="center"/>
            <w:hideMark/>
          </w:tcPr>
          <w:p w14:paraId="0A107ECE"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Смоленская область</w:t>
            </w:r>
          </w:p>
        </w:tc>
        <w:tc>
          <w:tcPr>
            <w:tcW w:w="1843" w:type="dxa"/>
            <w:vAlign w:val="center"/>
          </w:tcPr>
          <w:p w14:paraId="35DD5923" w14:textId="77777777" w:rsidR="00EA589C" w:rsidRPr="004827FD" w:rsidRDefault="005C2EE0"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11,3</w:t>
            </w:r>
          </w:p>
        </w:tc>
        <w:tc>
          <w:tcPr>
            <w:tcW w:w="1843" w:type="dxa"/>
            <w:vAlign w:val="center"/>
          </w:tcPr>
          <w:p w14:paraId="07B16551" w14:textId="77777777" w:rsidR="00EA589C" w:rsidRPr="004827FD" w:rsidRDefault="005C2EE0"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6,1</w:t>
            </w:r>
          </w:p>
        </w:tc>
        <w:tc>
          <w:tcPr>
            <w:tcW w:w="1701" w:type="dxa"/>
            <w:vAlign w:val="center"/>
          </w:tcPr>
          <w:p w14:paraId="3B88807C" w14:textId="77777777" w:rsidR="00EA589C" w:rsidRPr="004827FD" w:rsidRDefault="005C2EE0"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w:t>
            </w:r>
          </w:p>
        </w:tc>
      </w:tr>
      <w:tr w:rsidR="00EA589C" w:rsidRPr="00D46545" w14:paraId="07294EEC" w14:textId="77777777" w:rsidTr="00EA589C">
        <w:trPr>
          <w:trHeight w:val="300"/>
        </w:trPr>
        <w:tc>
          <w:tcPr>
            <w:tcW w:w="4786" w:type="dxa"/>
            <w:vAlign w:val="center"/>
            <w:hideMark/>
          </w:tcPr>
          <w:p w14:paraId="237AD912"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Тамбовская область</w:t>
            </w:r>
          </w:p>
        </w:tc>
        <w:tc>
          <w:tcPr>
            <w:tcW w:w="1843" w:type="dxa"/>
            <w:vAlign w:val="center"/>
          </w:tcPr>
          <w:p w14:paraId="3AE65730" w14:textId="77777777" w:rsidR="00EA589C" w:rsidRPr="004827FD" w:rsidRDefault="005C2EE0"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6,2</w:t>
            </w:r>
          </w:p>
        </w:tc>
        <w:tc>
          <w:tcPr>
            <w:tcW w:w="1843" w:type="dxa"/>
            <w:vAlign w:val="center"/>
          </w:tcPr>
          <w:p w14:paraId="31ABA980" w14:textId="77777777" w:rsidR="00EA589C" w:rsidRPr="004827FD" w:rsidRDefault="005C2EE0"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13,7</w:t>
            </w:r>
          </w:p>
        </w:tc>
        <w:tc>
          <w:tcPr>
            <w:tcW w:w="1701" w:type="dxa"/>
            <w:vAlign w:val="center"/>
          </w:tcPr>
          <w:p w14:paraId="21925DE8" w14:textId="77777777" w:rsidR="00EA589C" w:rsidRPr="004827FD" w:rsidRDefault="005C2EE0"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w:t>
            </w:r>
          </w:p>
        </w:tc>
      </w:tr>
      <w:tr w:rsidR="00EA589C" w:rsidRPr="00D46545" w14:paraId="0379A5CC" w14:textId="77777777" w:rsidTr="00EA589C">
        <w:trPr>
          <w:trHeight w:val="300"/>
        </w:trPr>
        <w:tc>
          <w:tcPr>
            <w:tcW w:w="4786" w:type="dxa"/>
            <w:vAlign w:val="center"/>
            <w:hideMark/>
          </w:tcPr>
          <w:p w14:paraId="56C56BB4"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Тверская область</w:t>
            </w:r>
          </w:p>
        </w:tc>
        <w:tc>
          <w:tcPr>
            <w:tcW w:w="1843" w:type="dxa"/>
            <w:vAlign w:val="center"/>
          </w:tcPr>
          <w:p w14:paraId="6EC1CC87" w14:textId="77777777" w:rsidR="00EA589C" w:rsidRPr="004827FD" w:rsidRDefault="005C2EE0"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14,4</w:t>
            </w:r>
          </w:p>
        </w:tc>
        <w:tc>
          <w:tcPr>
            <w:tcW w:w="1843" w:type="dxa"/>
            <w:vAlign w:val="center"/>
          </w:tcPr>
          <w:p w14:paraId="1BD045B7" w14:textId="77777777" w:rsidR="00EA589C" w:rsidRPr="004827FD" w:rsidRDefault="005C2EE0"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c>
          <w:tcPr>
            <w:tcW w:w="1701" w:type="dxa"/>
            <w:vAlign w:val="center"/>
          </w:tcPr>
          <w:p w14:paraId="200F3BE6" w14:textId="77777777" w:rsidR="00EA589C" w:rsidRPr="004827FD" w:rsidRDefault="005C2EE0"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8,4</w:t>
            </w:r>
          </w:p>
        </w:tc>
      </w:tr>
      <w:tr w:rsidR="00EA589C" w:rsidRPr="00D46545" w14:paraId="5EC14A80" w14:textId="77777777" w:rsidTr="00EA589C">
        <w:trPr>
          <w:trHeight w:val="300"/>
        </w:trPr>
        <w:tc>
          <w:tcPr>
            <w:tcW w:w="4786" w:type="dxa"/>
            <w:vAlign w:val="center"/>
            <w:hideMark/>
          </w:tcPr>
          <w:p w14:paraId="6CDA4246"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Тульская область</w:t>
            </w:r>
          </w:p>
        </w:tc>
        <w:tc>
          <w:tcPr>
            <w:tcW w:w="1843" w:type="dxa"/>
            <w:vAlign w:val="center"/>
          </w:tcPr>
          <w:p w14:paraId="0C2D55FE" w14:textId="77777777" w:rsidR="00EA589C" w:rsidRPr="004827FD" w:rsidRDefault="005C2EE0"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6,9</w:t>
            </w:r>
          </w:p>
        </w:tc>
        <w:tc>
          <w:tcPr>
            <w:tcW w:w="1843" w:type="dxa"/>
            <w:vAlign w:val="center"/>
          </w:tcPr>
          <w:p w14:paraId="4248ADBE" w14:textId="77777777" w:rsidR="00EA589C" w:rsidRPr="004827FD" w:rsidRDefault="005C2EE0"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c>
          <w:tcPr>
            <w:tcW w:w="1701" w:type="dxa"/>
            <w:vAlign w:val="center"/>
          </w:tcPr>
          <w:p w14:paraId="793E1BE6" w14:textId="77777777" w:rsidR="00EA589C" w:rsidRPr="004827FD" w:rsidRDefault="005C2EE0"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11,6</w:t>
            </w:r>
          </w:p>
        </w:tc>
      </w:tr>
      <w:tr w:rsidR="00EA589C" w:rsidRPr="00D46545" w14:paraId="0AB6D74D" w14:textId="77777777" w:rsidTr="00EA589C">
        <w:trPr>
          <w:trHeight w:val="300"/>
        </w:trPr>
        <w:tc>
          <w:tcPr>
            <w:tcW w:w="4786" w:type="dxa"/>
            <w:vAlign w:val="center"/>
            <w:hideMark/>
          </w:tcPr>
          <w:p w14:paraId="38540BC2"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Ярославская область</w:t>
            </w:r>
          </w:p>
        </w:tc>
        <w:tc>
          <w:tcPr>
            <w:tcW w:w="1843" w:type="dxa"/>
            <w:vAlign w:val="center"/>
          </w:tcPr>
          <w:p w14:paraId="0B53E39A" w14:textId="77777777" w:rsidR="00EA589C" w:rsidRPr="004827FD" w:rsidRDefault="005C2EE0"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10,5</w:t>
            </w:r>
          </w:p>
        </w:tc>
        <w:tc>
          <w:tcPr>
            <w:tcW w:w="1843" w:type="dxa"/>
            <w:vAlign w:val="center"/>
          </w:tcPr>
          <w:p w14:paraId="2C4F416B" w14:textId="77777777" w:rsidR="00EA589C" w:rsidRPr="004827FD" w:rsidRDefault="005C2EE0"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c>
          <w:tcPr>
            <w:tcW w:w="1701" w:type="dxa"/>
            <w:vAlign w:val="center"/>
          </w:tcPr>
          <w:p w14:paraId="778D81BB" w14:textId="77777777" w:rsidR="00EA589C" w:rsidRPr="004827FD" w:rsidRDefault="005C2EE0"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p>
        </w:tc>
      </w:tr>
      <w:tr w:rsidR="00EA589C" w:rsidRPr="00D46545" w14:paraId="33C77C8F" w14:textId="77777777" w:rsidTr="00EA589C">
        <w:trPr>
          <w:trHeight w:val="300"/>
        </w:trPr>
        <w:tc>
          <w:tcPr>
            <w:tcW w:w="4786" w:type="dxa"/>
            <w:vAlign w:val="center"/>
            <w:hideMark/>
          </w:tcPr>
          <w:p w14:paraId="236E5BE6"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г. Москва</w:t>
            </w:r>
          </w:p>
        </w:tc>
        <w:tc>
          <w:tcPr>
            <w:tcW w:w="1843" w:type="dxa"/>
            <w:vAlign w:val="center"/>
          </w:tcPr>
          <w:p w14:paraId="5BC83F80" w14:textId="77777777" w:rsidR="00EA589C" w:rsidRPr="004827FD" w:rsidRDefault="005C2EE0"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8,8</w:t>
            </w:r>
          </w:p>
        </w:tc>
        <w:tc>
          <w:tcPr>
            <w:tcW w:w="1843" w:type="dxa"/>
            <w:vAlign w:val="center"/>
          </w:tcPr>
          <w:p w14:paraId="2C38ED24" w14:textId="77777777" w:rsidR="00EA589C" w:rsidRPr="004827FD" w:rsidRDefault="005C2EE0"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6,7</w:t>
            </w:r>
          </w:p>
        </w:tc>
        <w:tc>
          <w:tcPr>
            <w:tcW w:w="1701" w:type="dxa"/>
            <w:vAlign w:val="center"/>
          </w:tcPr>
          <w:p w14:paraId="1EEE372D" w14:textId="77777777" w:rsidR="00EA589C" w:rsidRPr="004827FD" w:rsidRDefault="005C2EE0"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w:t>
            </w:r>
          </w:p>
        </w:tc>
      </w:tr>
      <w:tr w:rsidR="00EA589C" w:rsidRPr="00D46545" w14:paraId="2F394A84" w14:textId="77777777" w:rsidTr="00EA589C">
        <w:trPr>
          <w:trHeight w:val="300"/>
        </w:trPr>
        <w:tc>
          <w:tcPr>
            <w:tcW w:w="4786" w:type="dxa"/>
            <w:vAlign w:val="center"/>
            <w:hideMark/>
          </w:tcPr>
          <w:p w14:paraId="0702512B" w14:textId="77777777" w:rsidR="00EA589C" w:rsidRPr="004827FD" w:rsidRDefault="00EA589C" w:rsidP="00D46545">
            <w:pP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Северо-Западный федеральный округ</w:t>
            </w:r>
          </w:p>
        </w:tc>
        <w:tc>
          <w:tcPr>
            <w:tcW w:w="1843" w:type="dxa"/>
            <w:vAlign w:val="center"/>
          </w:tcPr>
          <w:p w14:paraId="7EF0A294" w14:textId="77777777" w:rsidR="00EA589C" w:rsidRPr="004827FD" w:rsidRDefault="005C2EE0" w:rsidP="00D46545">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10,9</w:t>
            </w:r>
          </w:p>
        </w:tc>
        <w:tc>
          <w:tcPr>
            <w:tcW w:w="1843" w:type="dxa"/>
            <w:vAlign w:val="center"/>
          </w:tcPr>
          <w:p w14:paraId="7099FE4D" w14:textId="77777777" w:rsidR="00EA589C" w:rsidRPr="004827FD" w:rsidRDefault="005C2EE0" w:rsidP="00D46545">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10,7</w:t>
            </w:r>
          </w:p>
        </w:tc>
        <w:tc>
          <w:tcPr>
            <w:tcW w:w="1701" w:type="dxa"/>
            <w:vAlign w:val="center"/>
          </w:tcPr>
          <w:p w14:paraId="5EBDB799" w14:textId="77777777" w:rsidR="00EA589C" w:rsidRPr="004827FD" w:rsidRDefault="005C2EE0" w:rsidP="00D46545">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8,8</w:t>
            </w:r>
          </w:p>
        </w:tc>
      </w:tr>
      <w:tr w:rsidR="00EA589C" w:rsidRPr="00D46545" w14:paraId="3EB1FCE3" w14:textId="77777777" w:rsidTr="00EA589C">
        <w:trPr>
          <w:trHeight w:val="300"/>
        </w:trPr>
        <w:tc>
          <w:tcPr>
            <w:tcW w:w="4786" w:type="dxa"/>
            <w:vAlign w:val="center"/>
            <w:hideMark/>
          </w:tcPr>
          <w:p w14:paraId="43EC6CF0"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Карелия</w:t>
            </w:r>
          </w:p>
        </w:tc>
        <w:tc>
          <w:tcPr>
            <w:tcW w:w="1843" w:type="dxa"/>
            <w:vAlign w:val="center"/>
          </w:tcPr>
          <w:p w14:paraId="601C1BDC" w14:textId="77777777" w:rsidR="00EA589C" w:rsidRPr="004827FD" w:rsidRDefault="005C2EE0"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10,6</w:t>
            </w:r>
          </w:p>
        </w:tc>
        <w:tc>
          <w:tcPr>
            <w:tcW w:w="1843" w:type="dxa"/>
            <w:vAlign w:val="center"/>
          </w:tcPr>
          <w:p w14:paraId="3165BD9C" w14:textId="77777777" w:rsidR="00EA589C" w:rsidRPr="004827FD" w:rsidRDefault="005C2EE0"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7,2</w:t>
            </w:r>
          </w:p>
        </w:tc>
        <w:tc>
          <w:tcPr>
            <w:tcW w:w="1701" w:type="dxa"/>
            <w:vAlign w:val="center"/>
          </w:tcPr>
          <w:p w14:paraId="2727D8B9" w14:textId="77777777" w:rsidR="00EA589C" w:rsidRPr="004827FD" w:rsidRDefault="005C2EE0"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8,8</w:t>
            </w:r>
          </w:p>
        </w:tc>
      </w:tr>
      <w:tr w:rsidR="00EA589C" w:rsidRPr="00D46545" w14:paraId="42F599CC" w14:textId="77777777" w:rsidTr="00EA589C">
        <w:trPr>
          <w:trHeight w:val="300"/>
        </w:trPr>
        <w:tc>
          <w:tcPr>
            <w:tcW w:w="4786" w:type="dxa"/>
            <w:vAlign w:val="center"/>
            <w:hideMark/>
          </w:tcPr>
          <w:p w14:paraId="4D3F5579"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Коми</w:t>
            </w:r>
          </w:p>
        </w:tc>
        <w:tc>
          <w:tcPr>
            <w:tcW w:w="1843" w:type="dxa"/>
            <w:vAlign w:val="center"/>
          </w:tcPr>
          <w:p w14:paraId="11BEE7F7" w14:textId="77777777" w:rsidR="00EA589C" w:rsidRPr="004827FD" w:rsidRDefault="00D32AFC"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8,2</w:t>
            </w:r>
          </w:p>
        </w:tc>
        <w:tc>
          <w:tcPr>
            <w:tcW w:w="1843" w:type="dxa"/>
            <w:vAlign w:val="center"/>
          </w:tcPr>
          <w:p w14:paraId="63D59C83" w14:textId="77777777" w:rsidR="00EA589C" w:rsidRPr="004827FD" w:rsidRDefault="00D32AFC"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14,8</w:t>
            </w:r>
          </w:p>
        </w:tc>
        <w:tc>
          <w:tcPr>
            <w:tcW w:w="1701" w:type="dxa"/>
            <w:vAlign w:val="center"/>
          </w:tcPr>
          <w:p w14:paraId="14E226C2" w14:textId="77777777" w:rsidR="00EA589C" w:rsidRPr="004827FD" w:rsidRDefault="00D32AFC"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7,1</w:t>
            </w:r>
          </w:p>
        </w:tc>
      </w:tr>
      <w:tr w:rsidR="00EA589C" w:rsidRPr="00D46545" w14:paraId="46634057" w14:textId="77777777" w:rsidTr="00EA589C">
        <w:trPr>
          <w:trHeight w:val="300"/>
        </w:trPr>
        <w:tc>
          <w:tcPr>
            <w:tcW w:w="4786" w:type="dxa"/>
            <w:vAlign w:val="center"/>
            <w:hideMark/>
          </w:tcPr>
          <w:p w14:paraId="6319FF39"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Архангельская область</w:t>
            </w:r>
          </w:p>
        </w:tc>
        <w:tc>
          <w:tcPr>
            <w:tcW w:w="1843" w:type="dxa"/>
            <w:vAlign w:val="center"/>
          </w:tcPr>
          <w:p w14:paraId="77611EEC" w14:textId="77777777" w:rsidR="00EA589C" w:rsidRPr="004827FD" w:rsidRDefault="00D32AFC"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13,1</w:t>
            </w:r>
          </w:p>
        </w:tc>
        <w:tc>
          <w:tcPr>
            <w:tcW w:w="1843" w:type="dxa"/>
            <w:vAlign w:val="center"/>
          </w:tcPr>
          <w:p w14:paraId="63EC2F2E" w14:textId="77777777" w:rsidR="00EA589C" w:rsidRPr="004827FD" w:rsidRDefault="00D32AFC"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8,5</w:t>
            </w:r>
          </w:p>
        </w:tc>
        <w:tc>
          <w:tcPr>
            <w:tcW w:w="1701" w:type="dxa"/>
            <w:vAlign w:val="center"/>
          </w:tcPr>
          <w:p w14:paraId="76DAE3D4" w14:textId="77777777" w:rsidR="00EA589C" w:rsidRPr="004827FD" w:rsidRDefault="00D32AFC"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w:t>
            </w:r>
          </w:p>
        </w:tc>
      </w:tr>
      <w:tr w:rsidR="00EA589C" w:rsidRPr="00D46545" w14:paraId="28BDE371" w14:textId="77777777" w:rsidTr="00EA589C">
        <w:trPr>
          <w:trHeight w:val="300"/>
        </w:trPr>
        <w:tc>
          <w:tcPr>
            <w:tcW w:w="4786" w:type="dxa"/>
            <w:vAlign w:val="center"/>
            <w:hideMark/>
          </w:tcPr>
          <w:p w14:paraId="68A81B0D" w14:textId="77777777" w:rsidR="00EA589C" w:rsidRPr="004827FD" w:rsidRDefault="00EA589C" w:rsidP="00D46545">
            <w:pPr>
              <w:ind w:firstLineChars="129" w:firstLine="284"/>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Ненецкий авт. округ</w:t>
            </w:r>
          </w:p>
        </w:tc>
        <w:tc>
          <w:tcPr>
            <w:tcW w:w="1843" w:type="dxa"/>
            <w:vAlign w:val="center"/>
          </w:tcPr>
          <w:p w14:paraId="1422AC93" w14:textId="77777777" w:rsidR="00EA589C" w:rsidRPr="004827FD" w:rsidRDefault="00D32AFC"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1843" w:type="dxa"/>
            <w:vAlign w:val="center"/>
          </w:tcPr>
          <w:p w14:paraId="114337A1" w14:textId="77777777" w:rsidR="00EA589C" w:rsidRPr="004827FD" w:rsidRDefault="00D32AFC"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01" w:type="dxa"/>
            <w:vAlign w:val="center"/>
          </w:tcPr>
          <w:p w14:paraId="5AB9E61E" w14:textId="77777777" w:rsidR="00EA589C" w:rsidRPr="004827FD" w:rsidRDefault="00D32AFC"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r>
      <w:tr w:rsidR="00EA589C" w:rsidRPr="00D46545" w14:paraId="6A7FDE2B" w14:textId="77777777" w:rsidTr="00EA589C">
        <w:trPr>
          <w:trHeight w:val="300"/>
        </w:trPr>
        <w:tc>
          <w:tcPr>
            <w:tcW w:w="4786" w:type="dxa"/>
            <w:vAlign w:val="center"/>
            <w:hideMark/>
          </w:tcPr>
          <w:p w14:paraId="17CB3806" w14:textId="77777777" w:rsidR="00EA589C" w:rsidRPr="004827FD" w:rsidRDefault="00EA589C" w:rsidP="00D46545">
            <w:pPr>
              <w:ind w:firstLineChars="129" w:firstLine="284"/>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Архангельская область без автономии</w:t>
            </w:r>
          </w:p>
        </w:tc>
        <w:tc>
          <w:tcPr>
            <w:tcW w:w="1843" w:type="dxa"/>
            <w:vAlign w:val="center"/>
          </w:tcPr>
          <w:p w14:paraId="6A310D14" w14:textId="77777777" w:rsidR="00EA589C" w:rsidRPr="004827FD" w:rsidRDefault="00D32AFC"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13,5</w:t>
            </w:r>
          </w:p>
        </w:tc>
        <w:tc>
          <w:tcPr>
            <w:tcW w:w="1843" w:type="dxa"/>
            <w:vAlign w:val="center"/>
          </w:tcPr>
          <w:p w14:paraId="76CF9C5E" w14:textId="77777777" w:rsidR="00EA589C" w:rsidRPr="004827FD" w:rsidRDefault="00D32AFC"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8,8</w:t>
            </w:r>
          </w:p>
        </w:tc>
        <w:tc>
          <w:tcPr>
            <w:tcW w:w="1701" w:type="dxa"/>
            <w:vAlign w:val="center"/>
          </w:tcPr>
          <w:p w14:paraId="15AEB5C4" w14:textId="77777777" w:rsidR="00EA589C" w:rsidRPr="004827FD" w:rsidRDefault="00D32AFC"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w:t>
            </w:r>
          </w:p>
        </w:tc>
      </w:tr>
      <w:tr w:rsidR="00EA589C" w:rsidRPr="00D46545" w14:paraId="7B574BFD" w14:textId="77777777" w:rsidTr="00EA589C">
        <w:trPr>
          <w:trHeight w:val="300"/>
        </w:trPr>
        <w:tc>
          <w:tcPr>
            <w:tcW w:w="4786" w:type="dxa"/>
            <w:vAlign w:val="center"/>
            <w:hideMark/>
          </w:tcPr>
          <w:p w14:paraId="467AF9C7"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Вологодская область</w:t>
            </w:r>
          </w:p>
        </w:tc>
        <w:tc>
          <w:tcPr>
            <w:tcW w:w="1843" w:type="dxa"/>
            <w:vAlign w:val="center"/>
          </w:tcPr>
          <w:p w14:paraId="76CD1F2E" w14:textId="77777777" w:rsidR="00EA589C" w:rsidRPr="004827FD" w:rsidRDefault="00A54D5A"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10,1</w:t>
            </w:r>
          </w:p>
        </w:tc>
        <w:tc>
          <w:tcPr>
            <w:tcW w:w="1843" w:type="dxa"/>
            <w:vAlign w:val="center"/>
          </w:tcPr>
          <w:p w14:paraId="36322A63" w14:textId="77777777" w:rsidR="00EA589C" w:rsidRPr="004827FD" w:rsidRDefault="00A54D5A"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9,8</w:t>
            </w:r>
          </w:p>
        </w:tc>
        <w:tc>
          <w:tcPr>
            <w:tcW w:w="1701" w:type="dxa"/>
            <w:vAlign w:val="center"/>
          </w:tcPr>
          <w:p w14:paraId="3D90E96A" w14:textId="77777777" w:rsidR="00EA589C" w:rsidRPr="004827FD" w:rsidRDefault="00A54D5A"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5,9</w:t>
            </w:r>
          </w:p>
        </w:tc>
      </w:tr>
      <w:tr w:rsidR="00EA589C" w:rsidRPr="00D46545" w14:paraId="65B04444" w14:textId="77777777" w:rsidTr="00EA589C">
        <w:trPr>
          <w:trHeight w:val="300"/>
        </w:trPr>
        <w:tc>
          <w:tcPr>
            <w:tcW w:w="4786" w:type="dxa"/>
            <w:vAlign w:val="center"/>
            <w:hideMark/>
          </w:tcPr>
          <w:p w14:paraId="5F0B29DC"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Калининградская область</w:t>
            </w:r>
          </w:p>
        </w:tc>
        <w:tc>
          <w:tcPr>
            <w:tcW w:w="1843" w:type="dxa"/>
            <w:vAlign w:val="center"/>
          </w:tcPr>
          <w:p w14:paraId="4A51CDFD" w14:textId="77777777" w:rsidR="00EA589C" w:rsidRPr="004827FD" w:rsidRDefault="00A54D5A"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21,6</w:t>
            </w:r>
          </w:p>
        </w:tc>
        <w:tc>
          <w:tcPr>
            <w:tcW w:w="1843" w:type="dxa"/>
            <w:vAlign w:val="center"/>
          </w:tcPr>
          <w:p w14:paraId="3F58406C" w14:textId="77777777" w:rsidR="00EA589C" w:rsidRPr="004827FD" w:rsidRDefault="00A54D5A"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18,3</w:t>
            </w:r>
          </w:p>
        </w:tc>
        <w:tc>
          <w:tcPr>
            <w:tcW w:w="1701" w:type="dxa"/>
            <w:vAlign w:val="center"/>
          </w:tcPr>
          <w:p w14:paraId="37AC3D16" w14:textId="77777777" w:rsidR="00EA589C" w:rsidRPr="004827FD" w:rsidRDefault="00A54D5A"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14,4</w:t>
            </w:r>
          </w:p>
        </w:tc>
      </w:tr>
      <w:tr w:rsidR="00EA589C" w:rsidRPr="00D46545" w14:paraId="44EC8263" w14:textId="77777777" w:rsidTr="00EA589C">
        <w:trPr>
          <w:trHeight w:val="300"/>
        </w:trPr>
        <w:tc>
          <w:tcPr>
            <w:tcW w:w="4786" w:type="dxa"/>
            <w:vAlign w:val="center"/>
            <w:hideMark/>
          </w:tcPr>
          <w:p w14:paraId="3637C549"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Ленинградская область</w:t>
            </w:r>
          </w:p>
        </w:tc>
        <w:tc>
          <w:tcPr>
            <w:tcW w:w="1843" w:type="dxa"/>
            <w:vAlign w:val="center"/>
          </w:tcPr>
          <w:p w14:paraId="14986088" w14:textId="77777777" w:rsidR="00EA589C" w:rsidRPr="004827FD" w:rsidRDefault="00A54D5A"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15,8</w:t>
            </w:r>
          </w:p>
        </w:tc>
        <w:tc>
          <w:tcPr>
            <w:tcW w:w="1843" w:type="dxa"/>
            <w:vAlign w:val="center"/>
          </w:tcPr>
          <w:p w14:paraId="34BC012C" w14:textId="77777777" w:rsidR="00EA589C" w:rsidRPr="004827FD" w:rsidRDefault="00A54D5A"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10,2</w:t>
            </w:r>
          </w:p>
        </w:tc>
        <w:tc>
          <w:tcPr>
            <w:tcW w:w="1701" w:type="dxa"/>
            <w:vAlign w:val="center"/>
          </w:tcPr>
          <w:p w14:paraId="2B85BE91" w14:textId="77777777" w:rsidR="00EA589C" w:rsidRPr="004827FD" w:rsidRDefault="00A54D5A"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w:t>
            </w:r>
          </w:p>
        </w:tc>
      </w:tr>
      <w:tr w:rsidR="00EA589C" w:rsidRPr="00D46545" w14:paraId="66F7C968" w14:textId="77777777" w:rsidTr="00EA589C">
        <w:trPr>
          <w:trHeight w:val="300"/>
        </w:trPr>
        <w:tc>
          <w:tcPr>
            <w:tcW w:w="4786" w:type="dxa"/>
            <w:vAlign w:val="center"/>
            <w:hideMark/>
          </w:tcPr>
          <w:p w14:paraId="4052F545"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Мурманская область</w:t>
            </w:r>
          </w:p>
        </w:tc>
        <w:tc>
          <w:tcPr>
            <w:tcW w:w="1843" w:type="dxa"/>
            <w:vAlign w:val="center"/>
          </w:tcPr>
          <w:p w14:paraId="499821B8" w14:textId="77777777" w:rsidR="00EA589C" w:rsidRPr="004827FD" w:rsidRDefault="00A54D5A"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10,3</w:t>
            </w:r>
          </w:p>
        </w:tc>
        <w:tc>
          <w:tcPr>
            <w:tcW w:w="1843" w:type="dxa"/>
            <w:vAlign w:val="center"/>
          </w:tcPr>
          <w:p w14:paraId="6C527EE3" w14:textId="77777777" w:rsidR="00EA589C" w:rsidRPr="004827FD" w:rsidRDefault="00A54D5A"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14,4</w:t>
            </w:r>
          </w:p>
        </w:tc>
        <w:tc>
          <w:tcPr>
            <w:tcW w:w="1701" w:type="dxa"/>
            <w:vAlign w:val="center"/>
          </w:tcPr>
          <w:p w14:paraId="33DAABA6" w14:textId="77777777" w:rsidR="00EA589C" w:rsidRPr="004827FD" w:rsidRDefault="00A54D5A"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10,2</w:t>
            </w:r>
          </w:p>
        </w:tc>
      </w:tr>
      <w:tr w:rsidR="00EA589C" w:rsidRPr="00D46545" w14:paraId="4C9005B9" w14:textId="77777777" w:rsidTr="00EA589C">
        <w:trPr>
          <w:trHeight w:val="300"/>
        </w:trPr>
        <w:tc>
          <w:tcPr>
            <w:tcW w:w="4786" w:type="dxa"/>
            <w:vAlign w:val="center"/>
            <w:hideMark/>
          </w:tcPr>
          <w:p w14:paraId="4AF68D45"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Новгородская область</w:t>
            </w:r>
          </w:p>
        </w:tc>
        <w:tc>
          <w:tcPr>
            <w:tcW w:w="1843" w:type="dxa"/>
            <w:vAlign w:val="center"/>
          </w:tcPr>
          <w:p w14:paraId="6F967EE2" w14:textId="77777777" w:rsidR="00EA589C" w:rsidRPr="004827FD" w:rsidRDefault="002F79AD"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13,6</w:t>
            </w:r>
          </w:p>
        </w:tc>
        <w:tc>
          <w:tcPr>
            <w:tcW w:w="1843" w:type="dxa"/>
            <w:vAlign w:val="center"/>
          </w:tcPr>
          <w:p w14:paraId="7B8E96BD" w14:textId="77777777" w:rsidR="00EA589C" w:rsidRPr="004827FD" w:rsidRDefault="002F79AD"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14,2</w:t>
            </w:r>
          </w:p>
        </w:tc>
        <w:tc>
          <w:tcPr>
            <w:tcW w:w="1701" w:type="dxa"/>
            <w:vAlign w:val="center"/>
          </w:tcPr>
          <w:p w14:paraId="2839CD91" w14:textId="77777777" w:rsidR="00EA589C" w:rsidRPr="004827FD" w:rsidRDefault="002F79AD"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22,4</w:t>
            </w:r>
          </w:p>
        </w:tc>
      </w:tr>
      <w:tr w:rsidR="00EA589C" w:rsidRPr="00D46545" w14:paraId="52D239F0" w14:textId="77777777" w:rsidTr="00EA589C">
        <w:trPr>
          <w:trHeight w:val="300"/>
        </w:trPr>
        <w:tc>
          <w:tcPr>
            <w:tcW w:w="4786" w:type="dxa"/>
            <w:vAlign w:val="center"/>
            <w:hideMark/>
          </w:tcPr>
          <w:p w14:paraId="4C386013"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Псковская область</w:t>
            </w:r>
          </w:p>
        </w:tc>
        <w:tc>
          <w:tcPr>
            <w:tcW w:w="1843" w:type="dxa"/>
            <w:vAlign w:val="center"/>
          </w:tcPr>
          <w:p w14:paraId="29CA98E3" w14:textId="77777777" w:rsidR="00EA589C" w:rsidRPr="004827FD" w:rsidRDefault="002F79AD"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14,8</w:t>
            </w:r>
          </w:p>
        </w:tc>
        <w:tc>
          <w:tcPr>
            <w:tcW w:w="1843" w:type="dxa"/>
            <w:vAlign w:val="center"/>
          </w:tcPr>
          <w:p w14:paraId="5C580A17" w14:textId="77777777" w:rsidR="00EA589C" w:rsidRPr="004827FD" w:rsidRDefault="002F79AD"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19,4</w:t>
            </w:r>
          </w:p>
        </w:tc>
        <w:tc>
          <w:tcPr>
            <w:tcW w:w="1701" w:type="dxa"/>
            <w:vAlign w:val="center"/>
          </w:tcPr>
          <w:p w14:paraId="3887F517" w14:textId="77777777" w:rsidR="00EA589C" w:rsidRPr="004827FD" w:rsidRDefault="002F79AD"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22,0</w:t>
            </w:r>
          </w:p>
        </w:tc>
      </w:tr>
      <w:tr w:rsidR="00EA589C" w:rsidRPr="00D46545" w14:paraId="7613D935" w14:textId="77777777" w:rsidTr="00EA589C">
        <w:trPr>
          <w:trHeight w:val="300"/>
        </w:trPr>
        <w:tc>
          <w:tcPr>
            <w:tcW w:w="4786" w:type="dxa"/>
            <w:vAlign w:val="center"/>
            <w:hideMark/>
          </w:tcPr>
          <w:p w14:paraId="66058A12"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 xml:space="preserve"> г. Санкт-Петербург</w:t>
            </w:r>
          </w:p>
        </w:tc>
        <w:tc>
          <w:tcPr>
            <w:tcW w:w="1843" w:type="dxa"/>
            <w:vAlign w:val="center"/>
          </w:tcPr>
          <w:p w14:paraId="7D8EC53A" w14:textId="77777777" w:rsidR="00EA589C" w:rsidRPr="004827FD" w:rsidRDefault="002F79AD"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w:t>
            </w:r>
          </w:p>
        </w:tc>
        <w:tc>
          <w:tcPr>
            <w:tcW w:w="1843" w:type="dxa"/>
            <w:vAlign w:val="center"/>
          </w:tcPr>
          <w:p w14:paraId="69314977" w14:textId="77777777" w:rsidR="00EA589C" w:rsidRPr="004827FD" w:rsidRDefault="002F79AD"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8,1</w:t>
            </w:r>
          </w:p>
        </w:tc>
        <w:tc>
          <w:tcPr>
            <w:tcW w:w="1701" w:type="dxa"/>
            <w:vAlign w:val="center"/>
          </w:tcPr>
          <w:p w14:paraId="22DC3CC3" w14:textId="77777777" w:rsidR="00EA589C" w:rsidRPr="004827FD" w:rsidRDefault="002F79AD"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w:t>
            </w:r>
          </w:p>
        </w:tc>
      </w:tr>
      <w:tr w:rsidR="00EA589C" w:rsidRPr="00D46545" w14:paraId="19F68A04" w14:textId="77777777" w:rsidTr="00EA589C">
        <w:trPr>
          <w:trHeight w:val="300"/>
        </w:trPr>
        <w:tc>
          <w:tcPr>
            <w:tcW w:w="4786" w:type="dxa"/>
            <w:vAlign w:val="center"/>
            <w:hideMark/>
          </w:tcPr>
          <w:p w14:paraId="7280B452" w14:textId="77777777" w:rsidR="00EA589C" w:rsidRPr="004827FD" w:rsidRDefault="00EA589C" w:rsidP="00D46545">
            <w:pP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Южный федеральный округ</w:t>
            </w:r>
          </w:p>
        </w:tc>
        <w:tc>
          <w:tcPr>
            <w:tcW w:w="1843" w:type="dxa"/>
            <w:vAlign w:val="center"/>
          </w:tcPr>
          <w:p w14:paraId="4E92A78C" w14:textId="77777777" w:rsidR="00EA589C" w:rsidRPr="004827FD" w:rsidRDefault="002F79AD" w:rsidP="00D46545">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17,2</w:t>
            </w:r>
          </w:p>
        </w:tc>
        <w:tc>
          <w:tcPr>
            <w:tcW w:w="1843" w:type="dxa"/>
            <w:vAlign w:val="center"/>
          </w:tcPr>
          <w:p w14:paraId="6B328624" w14:textId="77777777" w:rsidR="00EA589C" w:rsidRPr="004827FD" w:rsidRDefault="002F79AD" w:rsidP="00D46545">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12,1</w:t>
            </w:r>
          </w:p>
        </w:tc>
        <w:tc>
          <w:tcPr>
            <w:tcW w:w="1701" w:type="dxa"/>
            <w:vAlign w:val="center"/>
          </w:tcPr>
          <w:p w14:paraId="0C50FC95" w14:textId="77777777" w:rsidR="00EA589C" w:rsidRPr="004827FD" w:rsidRDefault="002F79AD" w:rsidP="00D46545">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13,4</w:t>
            </w:r>
          </w:p>
        </w:tc>
      </w:tr>
      <w:tr w:rsidR="00EA589C" w:rsidRPr="00D46545" w14:paraId="7640FB79" w14:textId="77777777" w:rsidTr="00EA589C">
        <w:trPr>
          <w:trHeight w:val="300"/>
        </w:trPr>
        <w:tc>
          <w:tcPr>
            <w:tcW w:w="4786" w:type="dxa"/>
            <w:vAlign w:val="center"/>
            <w:hideMark/>
          </w:tcPr>
          <w:p w14:paraId="22198389"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Адыгея</w:t>
            </w:r>
          </w:p>
        </w:tc>
        <w:tc>
          <w:tcPr>
            <w:tcW w:w="1843" w:type="dxa"/>
            <w:vAlign w:val="center"/>
          </w:tcPr>
          <w:p w14:paraId="47D7EE91" w14:textId="77777777" w:rsidR="00EA589C" w:rsidRPr="004827FD" w:rsidRDefault="002F79AD"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28,8</w:t>
            </w:r>
          </w:p>
        </w:tc>
        <w:tc>
          <w:tcPr>
            <w:tcW w:w="1843" w:type="dxa"/>
            <w:vAlign w:val="center"/>
          </w:tcPr>
          <w:p w14:paraId="41E81BAC" w14:textId="77777777" w:rsidR="00EA589C" w:rsidRPr="004827FD" w:rsidRDefault="002F79AD"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20,4</w:t>
            </w:r>
          </w:p>
        </w:tc>
        <w:tc>
          <w:tcPr>
            <w:tcW w:w="1701" w:type="dxa"/>
            <w:vAlign w:val="center"/>
          </w:tcPr>
          <w:p w14:paraId="007A7E03" w14:textId="77777777" w:rsidR="00EA589C" w:rsidRPr="004827FD" w:rsidRDefault="002F79AD"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15,5</w:t>
            </w:r>
          </w:p>
        </w:tc>
      </w:tr>
      <w:tr w:rsidR="00EA589C" w:rsidRPr="00D46545" w14:paraId="6772050D" w14:textId="77777777" w:rsidTr="00EA589C">
        <w:trPr>
          <w:trHeight w:val="300"/>
        </w:trPr>
        <w:tc>
          <w:tcPr>
            <w:tcW w:w="4786" w:type="dxa"/>
            <w:vAlign w:val="center"/>
            <w:hideMark/>
          </w:tcPr>
          <w:p w14:paraId="35FC4E9D"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Калмыкия</w:t>
            </w:r>
          </w:p>
        </w:tc>
        <w:tc>
          <w:tcPr>
            <w:tcW w:w="1843" w:type="dxa"/>
            <w:vAlign w:val="center"/>
          </w:tcPr>
          <w:p w14:paraId="2B60B394" w14:textId="77777777" w:rsidR="00EA589C" w:rsidRPr="004827FD" w:rsidRDefault="002F79AD"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8,2</w:t>
            </w:r>
          </w:p>
        </w:tc>
        <w:tc>
          <w:tcPr>
            <w:tcW w:w="1843" w:type="dxa"/>
            <w:vAlign w:val="center"/>
          </w:tcPr>
          <w:p w14:paraId="37D606BD" w14:textId="77777777" w:rsidR="00EA589C" w:rsidRPr="004827FD" w:rsidRDefault="002F79AD"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13,2</w:t>
            </w:r>
          </w:p>
        </w:tc>
        <w:tc>
          <w:tcPr>
            <w:tcW w:w="1701" w:type="dxa"/>
            <w:vAlign w:val="center"/>
          </w:tcPr>
          <w:p w14:paraId="28CD4F90" w14:textId="77777777" w:rsidR="00EA589C" w:rsidRPr="004827FD" w:rsidRDefault="002F79AD"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r>
      <w:tr w:rsidR="00EA589C" w:rsidRPr="00D46545" w14:paraId="54134832" w14:textId="77777777" w:rsidTr="00EA589C">
        <w:trPr>
          <w:trHeight w:val="300"/>
        </w:trPr>
        <w:tc>
          <w:tcPr>
            <w:tcW w:w="4786" w:type="dxa"/>
            <w:vAlign w:val="center"/>
            <w:hideMark/>
          </w:tcPr>
          <w:p w14:paraId="1C38B757"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Крым</w:t>
            </w:r>
          </w:p>
        </w:tc>
        <w:tc>
          <w:tcPr>
            <w:tcW w:w="1843" w:type="dxa"/>
            <w:vAlign w:val="center"/>
          </w:tcPr>
          <w:p w14:paraId="46DE427F" w14:textId="77777777" w:rsidR="00EA589C" w:rsidRPr="004827FD" w:rsidRDefault="002F79AD"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29,2</w:t>
            </w:r>
          </w:p>
        </w:tc>
        <w:tc>
          <w:tcPr>
            <w:tcW w:w="1843" w:type="dxa"/>
            <w:vAlign w:val="center"/>
          </w:tcPr>
          <w:p w14:paraId="57A9DD53" w14:textId="77777777" w:rsidR="00EA589C" w:rsidRPr="004827FD" w:rsidRDefault="002F79AD"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12,3</w:t>
            </w:r>
          </w:p>
        </w:tc>
        <w:tc>
          <w:tcPr>
            <w:tcW w:w="1701" w:type="dxa"/>
            <w:vAlign w:val="center"/>
          </w:tcPr>
          <w:p w14:paraId="2A9C952A" w14:textId="77777777" w:rsidR="00EA589C" w:rsidRPr="004827FD" w:rsidRDefault="002F79AD"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16,3</w:t>
            </w:r>
          </w:p>
        </w:tc>
      </w:tr>
      <w:tr w:rsidR="00EA589C" w:rsidRPr="00D46545" w14:paraId="4750DFB2" w14:textId="77777777" w:rsidTr="00EA589C">
        <w:trPr>
          <w:trHeight w:val="300"/>
        </w:trPr>
        <w:tc>
          <w:tcPr>
            <w:tcW w:w="4786" w:type="dxa"/>
            <w:vAlign w:val="center"/>
            <w:hideMark/>
          </w:tcPr>
          <w:p w14:paraId="02C57B23"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Краснодарский край</w:t>
            </w:r>
          </w:p>
        </w:tc>
        <w:tc>
          <w:tcPr>
            <w:tcW w:w="1843" w:type="dxa"/>
            <w:vAlign w:val="center"/>
          </w:tcPr>
          <w:p w14:paraId="6D11A070" w14:textId="77777777" w:rsidR="00EA589C" w:rsidRPr="004827FD" w:rsidRDefault="002F79AD"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16,9</w:t>
            </w:r>
          </w:p>
        </w:tc>
        <w:tc>
          <w:tcPr>
            <w:tcW w:w="1843" w:type="dxa"/>
            <w:vAlign w:val="center"/>
          </w:tcPr>
          <w:p w14:paraId="5844E7C4" w14:textId="77777777" w:rsidR="00EA589C" w:rsidRPr="004827FD" w:rsidRDefault="002F79AD"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11,3</w:t>
            </w:r>
          </w:p>
        </w:tc>
        <w:tc>
          <w:tcPr>
            <w:tcW w:w="1701" w:type="dxa"/>
            <w:vAlign w:val="center"/>
          </w:tcPr>
          <w:p w14:paraId="667C3D84" w14:textId="77777777" w:rsidR="00EA589C" w:rsidRPr="004827FD" w:rsidRDefault="002F79AD"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6,2</w:t>
            </w:r>
          </w:p>
        </w:tc>
      </w:tr>
      <w:tr w:rsidR="00EA589C" w:rsidRPr="00D46545" w14:paraId="008491B6" w14:textId="77777777" w:rsidTr="00EA589C">
        <w:trPr>
          <w:trHeight w:val="300"/>
        </w:trPr>
        <w:tc>
          <w:tcPr>
            <w:tcW w:w="4786" w:type="dxa"/>
            <w:vAlign w:val="center"/>
            <w:hideMark/>
          </w:tcPr>
          <w:p w14:paraId="04A29B57"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Астраханская область</w:t>
            </w:r>
          </w:p>
        </w:tc>
        <w:tc>
          <w:tcPr>
            <w:tcW w:w="1843" w:type="dxa"/>
            <w:vAlign w:val="center"/>
          </w:tcPr>
          <w:p w14:paraId="6D2E0CC1" w14:textId="77777777" w:rsidR="00EA589C" w:rsidRPr="004827FD" w:rsidRDefault="002F79AD"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7,2</w:t>
            </w:r>
          </w:p>
        </w:tc>
        <w:tc>
          <w:tcPr>
            <w:tcW w:w="1843" w:type="dxa"/>
            <w:vAlign w:val="center"/>
          </w:tcPr>
          <w:p w14:paraId="1AAC3224" w14:textId="77777777" w:rsidR="00EA589C" w:rsidRPr="004827FD" w:rsidRDefault="002F79AD"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11,8</w:t>
            </w:r>
          </w:p>
        </w:tc>
        <w:tc>
          <w:tcPr>
            <w:tcW w:w="1701" w:type="dxa"/>
            <w:vAlign w:val="center"/>
          </w:tcPr>
          <w:p w14:paraId="5B0C4374" w14:textId="77777777" w:rsidR="00EA589C" w:rsidRPr="004827FD" w:rsidRDefault="002F79AD"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r>
      <w:tr w:rsidR="00EA589C" w:rsidRPr="00D46545" w14:paraId="5D339D20" w14:textId="77777777" w:rsidTr="00EA589C">
        <w:trPr>
          <w:trHeight w:val="300"/>
        </w:trPr>
        <w:tc>
          <w:tcPr>
            <w:tcW w:w="4786" w:type="dxa"/>
            <w:vAlign w:val="center"/>
            <w:hideMark/>
          </w:tcPr>
          <w:p w14:paraId="78D69B0D"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Волгоградская область</w:t>
            </w:r>
          </w:p>
        </w:tc>
        <w:tc>
          <w:tcPr>
            <w:tcW w:w="1843" w:type="dxa"/>
            <w:vAlign w:val="center"/>
          </w:tcPr>
          <w:p w14:paraId="5C073ACE" w14:textId="77777777" w:rsidR="00EA589C" w:rsidRPr="004827FD" w:rsidRDefault="002F79AD"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19,5</w:t>
            </w:r>
          </w:p>
        </w:tc>
        <w:tc>
          <w:tcPr>
            <w:tcW w:w="1843" w:type="dxa"/>
            <w:vAlign w:val="center"/>
          </w:tcPr>
          <w:p w14:paraId="1C67EA99" w14:textId="77777777" w:rsidR="00EA589C" w:rsidRPr="004827FD" w:rsidRDefault="002F79AD"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15,4</w:t>
            </w:r>
          </w:p>
        </w:tc>
        <w:tc>
          <w:tcPr>
            <w:tcW w:w="1701" w:type="dxa"/>
            <w:vAlign w:val="center"/>
          </w:tcPr>
          <w:p w14:paraId="599FA96D" w14:textId="77777777" w:rsidR="00EA589C" w:rsidRPr="004827FD" w:rsidRDefault="002F79AD"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10,8</w:t>
            </w:r>
          </w:p>
        </w:tc>
      </w:tr>
      <w:tr w:rsidR="00EA589C" w:rsidRPr="00D46545" w14:paraId="2994F1D7" w14:textId="77777777" w:rsidTr="002F79AD">
        <w:trPr>
          <w:trHeight w:val="351"/>
        </w:trPr>
        <w:tc>
          <w:tcPr>
            <w:tcW w:w="4786" w:type="dxa"/>
            <w:vAlign w:val="center"/>
            <w:hideMark/>
          </w:tcPr>
          <w:p w14:paraId="201FCF5C"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Ростовская область</w:t>
            </w:r>
          </w:p>
        </w:tc>
        <w:tc>
          <w:tcPr>
            <w:tcW w:w="1843" w:type="dxa"/>
            <w:vAlign w:val="center"/>
          </w:tcPr>
          <w:p w14:paraId="7F62C420" w14:textId="77777777" w:rsidR="00EA589C" w:rsidRPr="004827FD" w:rsidRDefault="002F79AD"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12,2</w:t>
            </w:r>
          </w:p>
        </w:tc>
        <w:tc>
          <w:tcPr>
            <w:tcW w:w="1843" w:type="dxa"/>
            <w:vAlign w:val="center"/>
          </w:tcPr>
          <w:p w14:paraId="0B0AF950" w14:textId="77777777" w:rsidR="00EA589C" w:rsidRPr="004827FD" w:rsidRDefault="002F79AD"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w:t>
            </w:r>
          </w:p>
        </w:tc>
        <w:tc>
          <w:tcPr>
            <w:tcW w:w="1701" w:type="dxa"/>
            <w:vAlign w:val="center"/>
          </w:tcPr>
          <w:p w14:paraId="3F0B24F0" w14:textId="77777777" w:rsidR="00EA589C" w:rsidRPr="004827FD" w:rsidRDefault="002F79AD"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23,7</w:t>
            </w:r>
          </w:p>
        </w:tc>
      </w:tr>
      <w:tr w:rsidR="00EA589C" w:rsidRPr="00D46545" w14:paraId="0275D17E" w14:textId="77777777" w:rsidTr="00EA589C">
        <w:trPr>
          <w:trHeight w:val="300"/>
        </w:trPr>
        <w:tc>
          <w:tcPr>
            <w:tcW w:w="4786" w:type="dxa"/>
            <w:vAlign w:val="center"/>
            <w:hideMark/>
          </w:tcPr>
          <w:p w14:paraId="520E9919"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г. Севастополь</w:t>
            </w:r>
          </w:p>
        </w:tc>
        <w:tc>
          <w:tcPr>
            <w:tcW w:w="1843" w:type="dxa"/>
            <w:vAlign w:val="center"/>
          </w:tcPr>
          <w:p w14:paraId="151445AD" w14:textId="77777777" w:rsidR="00EA589C" w:rsidRPr="004827FD" w:rsidRDefault="002F79AD"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19,4</w:t>
            </w:r>
          </w:p>
        </w:tc>
        <w:tc>
          <w:tcPr>
            <w:tcW w:w="1843" w:type="dxa"/>
            <w:vAlign w:val="center"/>
          </w:tcPr>
          <w:p w14:paraId="45C1BF69" w14:textId="77777777" w:rsidR="00EA589C" w:rsidRPr="004827FD" w:rsidRDefault="002F79AD"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33,6</w:t>
            </w:r>
          </w:p>
        </w:tc>
        <w:tc>
          <w:tcPr>
            <w:tcW w:w="1701" w:type="dxa"/>
            <w:vAlign w:val="center"/>
          </w:tcPr>
          <w:p w14:paraId="34D8F683" w14:textId="77777777" w:rsidR="00EA589C" w:rsidRPr="004827FD" w:rsidRDefault="002F79AD"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27,8</w:t>
            </w:r>
          </w:p>
        </w:tc>
      </w:tr>
      <w:tr w:rsidR="00EA589C" w:rsidRPr="00D46545" w14:paraId="2B033023" w14:textId="77777777" w:rsidTr="00EA589C">
        <w:trPr>
          <w:trHeight w:val="300"/>
        </w:trPr>
        <w:tc>
          <w:tcPr>
            <w:tcW w:w="4786" w:type="dxa"/>
            <w:vAlign w:val="center"/>
            <w:hideMark/>
          </w:tcPr>
          <w:p w14:paraId="7CF27057" w14:textId="77777777" w:rsidR="00EA589C" w:rsidRPr="004827FD" w:rsidRDefault="00EA589C" w:rsidP="00D46545">
            <w:pP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Северо-Кавказский федеральный округ</w:t>
            </w:r>
          </w:p>
        </w:tc>
        <w:tc>
          <w:tcPr>
            <w:tcW w:w="1843" w:type="dxa"/>
            <w:vAlign w:val="center"/>
          </w:tcPr>
          <w:p w14:paraId="7BCCA1D4" w14:textId="77777777" w:rsidR="00EA589C" w:rsidRPr="004827FD" w:rsidRDefault="0098685F" w:rsidP="00D46545">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14,9</w:t>
            </w:r>
          </w:p>
        </w:tc>
        <w:tc>
          <w:tcPr>
            <w:tcW w:w="1843" w:type="dxa"/>
            <w:vAlign w:val="center"/>
          </w:tcPr>
          <w:p w14:paraId="74694C41" w14:textId="77777777" w:rsidR="00EA589C" w:rsidRPr="004827FD" w:rsidRDefault="0098685F" w:rsidP="00D46545">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14,7</w:t>
            </w:r>
          </w:p>
        </w:tc>
        <w:tc>
          <w:tcPr>
            <w:tcW w:w="1701" w:type="dxa"/>
            <w:vAlign w:val="center"/>
          </w:tcPr>
          <w:p w14:paraId="069F5EC4" w14:textId="77777777" w:rsidR="00EA589C" w:rsidRPr="004827FD" w:rsidRDefault="0098685F" w:rsidP="00D46545">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8,5</w:t>
            </w:r>
          </w:p>
        </w:tc>
      </w:tr>
      <w:tr w:rsidR="00EA589C" w:rsidRPr="00D46545" w14:paraId="03B16AC3" w14:textId="77777777" w:rsidTr="00EA589C">
        <w:trPr>
          <w:trHeight w:val="300"/>
        </w:trPr>
        <w:tc>
          <w:tcPr>
            <w:tcW w:w="4786" w:type="dxa"/>
            <w:vAlign w:val="center"/>
            <w:hideMark/>
          </w:tcPr>
          <w:p w14:paraId="345A8BA1"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Дагестан</w:t>
            </w:r>
          </w:p>
        </w:tc>
        <w:tc>
          <w:tcPr>
            <w:tcW w:w="1843" w:type="dxa"/>
            <w:vAlign w:val="center"/>
          </w:tcPr>
          <w:p w14:paraId="10AB5BF5" w14:textId="77777777" w:rsidR="00EA589C" w:rsidRPr="004827FD" w:rsidRDefault="0098685F"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13,2</w:t>
            </w:r>
          </w:p>
        </w:tc>
        <w:tc>
          <w:tcPr>
            <w:tcW w:w="1843" w:type="dxa"/>
            <w:vAlign w:val="center"/>
          </w:tcPr>
          <w:p w14:paraId="18F38FE3" w14:textId="77777777" w:rsidR="00EA589C" w:rsidRPr="004827FD" w:rsidRDefault="0098685F"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9,9</w:t>
            </w:r>
          </w:p>
        </w:tc>
        <w:tc>
          <w:tcPr>
            <w:tcW w:w="1701" w:type="dxa"/>
            <w:vAlign w:val="center"/>
          </w:tcPr>
          <w:p w14:paraId="52E3AEB0" w14:textId="77777777" w:rsidR="00EA589C" w:rsidRPr="004827FD" w:rsidRDefault="0098685F"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w:t>
            </w:r>
          </w:p>
        </w:tc>
      </w:tr>
      <w:tr w:rsidR="00EA589C" w:rsidRPr="00D46545" w14:paraId="24351181" w14:textId="77777777" w:rsidTr="00EA589C">
        <w:trPr>
          <w:trHeight w:val="300"/>
        </w:trPr>
        <w:tc>
          <w:tcPr>
            <w:tcW w:w="4786" w:type="dxa"/>
            <w:vAlign w:val="center"/>
            <w:hideMark/>
          </w:tcPr>
          <w:p w14:paraId="48595FA1"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Ингушетия</w:t>
            </w:r>
          </w:p>
        </w:tc>
        <w:tc>
          <w:tcPr>
            <w:tcW w:w="1843" w:type="dxa"/>
            <w:vAlign w:val="center"/>
          </w:tcPr>
          <w:p w14:paraId="27B68473" w14:textId="77777777" w:rsidR="00EA589C" w:rsidRPr="004827FD" w:rsidRDefault="0098685F"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48,8</w:t>
            </w:r>
          </w:p>
        </w:tc>
        <w:tc>
          <w:tcPr>
            <w:tcW w:w="1843" w:type="dxa"/>
            <w:vAlign w:val="center"/>
          </w:tcPr>
          <w:p w14:paraId="2003E4E7" w14:textId="77777777" w:rsidR="00EA589C" w:rsidRPr="004827FD" w:rsidRDefault="0098685F"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38,5</w:t>
            </w:r>
          </w:p>
        </w:tc>
        <w:tc>
          <w:tcPr>
            <w:tcW w:w="1701" w:type="dxa"/>
            <w:vAlign w:val="center"/>
          </w:tcPr>
          <w:p w14:paraId="50714370" w14:textId="77777777" w:rsidR="00EA589C" w:rsidRPr="004827FD" w:rsidRDefault="0098685F"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7,4</w:t>
            </w:r>
          </w:p>
        </w:tc>
      </w:tr>
      <w:tr w:rsidR="00EA589C" w:rsidRPr="00D46545" w14:paraId="2A3BBD0C" w14:textId="77777777" w:rsidTr="00EA589C">
        <w:trPr>
          <w:trHeight w:val="300"/>
        </w:trPr>
        <w:tc>
          <w:tcPr>
            <w:tcW w:w="4786" w:type="dxa"/>
            <w:vAlign w:val="center"/>
            <w:hideMark/>
          </w:tcPr>
          <w:p w14:paraId="22ED5855"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Кабардино-Балкарская Республика</w:t>
            </w:r>
          </w:p>
        </w:tc>
        <w:tc>
          <w:tcPr>
            <w:tcW w:w="1843" w:type="dxa"/>
            <w:vAlign w:val="center"/>
          </w:tcPr>
          <w:p w14:paraId="06627FE3" w14:textId="77777777" w:rsidR="00EA589C" w:rsidRPr="004827FD" w:rsidRDefault="0098685F"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11,3</w:t>
            </w:r>
          </w:p>
        </w:tc>
        <w:tc>
          <w:tcPr>
            <w:tcW w:w="1843" w:type="dxa"/>
            <w:vAlign w:val="center"/>
          </w:tcPr>
          <w:p w14:paraId="0BD0D420" w14:textId="77777777" w:rsidR="00EA589C" w:rsidRPr="004827FD" w:rsidRDefault="0098685F"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10,8</w:t>
            </w:r>
          </w:p>
        </w:tc>
        <w:tc>
          <w:tcPr>
            <w:tcW w:w="1701" w:type="dxa"/>
            <w:vAlign w:val="center"/>
          </w:tcPr>
          <w:p w14:paraId="65668CFD" w14:textId="77777777" w:rsidR="00EA589C" w:rsidRPr="004827FD" w:rsidRDefault="0098685F"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20,7</w:t>
            </w:r>
          </w:p>
        </w:tc>
      </w:tr>
      <w:tr w:rsidR="00EA589C" w:rsidRPr="00D46545" w14:paraId="28900A53" w14:textId="77777777" w:rsidTr="00EA589C">
        <w:trPr>
          <w:trHeight w:val="300"/>
        </w:trPr>
        <w:tc>
          <w:tcPr>
            <w:tcW w:w="4786" w:type="dxa"/>
            <w:vAlign w:val="center"/>
            <w:hideMark/>
          </w:tcPr>
          <w:p w14:paraId="50D047DB"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Карачаево-Черкесская Республика</w:t>
            </w:r>
          </w:p>
        </w:tc>
        <w:tc>
          <w:tcPr>
            <w:tcW w:w="1843" w:type="dxa"/>
            <w:vAlign w:val="center"/>
          </w:tcPr>
          <w:p w14:paraId="616175DF" w14:textId="77777777" w:rsidR="00EA589C" w:rsidRPr="004827FD" w:rsidRDefault="0098685F"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21,1</w:t>
            </w:r>
          </w:p>
        </w:tc>
        <w:tc>
          <w:tcPr>
            <w:tcW w:w="1843" w:type="dxa"/>
            <w:vAlign w:val="center"/>
          </w:tcPr>
          <w:p w14:paraId="72F3D9A1" w14:textId="77777777" w:rsidR="00EA589C" w:rsidRPr="004827FD" w:rsidRDefault="0098685F"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5,7</w:t>
            </w:r>
          </w:p>
        </w:tc>
        <w:tc>
          <w:tcPr>
            <w:tcW w:w="1701" w:type="dxa"/>
            <w:vAlign w:val="center"/>
          </w:tcPr>
          <w:p w14:paraId="0FF0EBBA" w14:textId="77777777" w:rsidR="00EA589C" w:rsidRPr="004827FD" w:rsidRDefault="0098685F"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r>
      <w:tr w:rsidR="00EA589C" w:rsidRPr="00D46545" w14:paraId="51F487CD" w14:textId="77777777" w:rsidTr="00EA589C">
        <w:trPr>
          <w:trHeight w:val="300"/>
        </w:trPr>
        <w:tc>
          <w:tcPr>
            <w:tcW w:w="4786" w:type="dxa"/>
            <w:vAlign w:val="center"/>
            <w:hideMark/>
          </w:tcPr>
          <w:p w14:paraId="38E8DE21"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Северная Осетия-Алания</w:t>
            </w:r>
          </w:p>
        </w:tc>
        <w:tc>
          <w:tcPr>
            <w:tcW w:w="1843" w:type="dxa"/>
            <w:vAlign w:val="center"/>
          </w:tcPr>
          <w:p w14:paraId="589E78DF" w14:textId="77777777" w:rsidR="00EA589C" w:rsidRPr="004827FD" w:rsidRDefault="0098685F"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w:t>
            </w:r>
          </w:p>
        </w:tc>
        <w:tc>
          <w:tcPr>
            <w:tcW w:w="1843" w:type="dxa"/>
            <w:vAlign w:val="center"/>
          </w:tcPr>
          <w:p w14:paraId="528FD788" w14:textId="77777777" w:rsidR="00EA589C" w:rsidRPr="004827FD" w:rsidRDefault="0098685F"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23,4</w:t>
            </w:r>
          </w:p>
        </w:tc>
        <w:tc>
          <w:tcPr>
            <w:tcW w:w="1701" w:type="dxa"/>
            <w:vAlign w:val="center"/>
          </w:tcPr>
          <w:p w14:paraId="734C520C" w14:textId="77777777" w:rsidR="00EA589C" w:rsidRPr="004827FD" w:rsidRDefault="0098685F"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19,8</w:t>
            </w:r>
          </w:p>
        </w:tc>
      </w:tr>
      <w:tr w:rsidR="00EA589C" w:rsidRPr="00D46545" w14:paraId="17CD4A7D" w14:textId="77777777" w:rsidTr="00EA589C">
        <w:trPr>
          <w:trHeight w:val="300"/>
        </w:trPr>
        <w:tc>
          <w:tcPr>
            <w:tcW w:w="4786" w:type="dxa"/>
            <w:vAlign w:val="center"/>
            <w:hideMark/>
          </w:tcPr>
          <w:p w14:paraId="2D0A9D9D"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Чеченская Республика</w:t>
            </w:r>
          </w:p>
        </w:tc>
        <w:tc>
          <w:tcPr>
            <w:tcW w:w="1843" w:type="dxa"/>
            <w:vAlign w:val="center"/>
          </w:tcPr>
          <w:p w14:paraId="0B4D5738" w14:textId="77777777" w:rsidR="00EA589C" w:rsidRPr="004827FD" w:rsidRDefault="0098685F"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10,4</w:t>
            </w:r>
          </w:p>
        </w:tc>
        <w:tc>
          <w:tcPr>
            <w:tcW w:w="1843" w:type="dxa"/>
            <w:vAlign w:val="center"/>
          </w:tcPr>
          <w:p w14:paraId="3117C840" w14:textId="77777777" w:rsidR="00EA589C" w:rsidRPr="004827FD" w:rsidRDefault="0098685F"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15,3</w:t>
            </w:r>
          </w:p>
        </w:tc>
        <w:tc>
          <w:tcPr>
            <w:tcW w:w="1701" w:type="dxa"/>
            <w:vAlign w:val="center"/>
          </w:tcPr>
          <w:p w14:paraId="786A0EF8" w14:textId="77777777" w:rsidR="00EA589C" w:rsidRPr="004827FD" w:rsidRDefault="0098685F"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w:t>
            </w:r>
          </w:p>
        </w:tc>
      </w:tr>
      <w:tr w:rsidR="00EA589C" w:rsidRPr="00D46545" w14:paraId="1E34AE03" w14:textId="77777777" w:rsidTr="00EA589C">
        <w:trPr>
          <w:trHeight w:val="300"/>
        </w:trPr>
        <w:tc>
          <w:tcPr>
            <w:tcW w:w="4786" w:type="dxa"/>
            <w:vAlign w:val="center"/>
            <w:hideMark/>
          </w:tcPr>
          <w:p w14:paraId="39AF63C5"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Ставропольский край</w:t>
            </w:r>
          </w:p>
        </w:tc>
        <w:tc>
          <w:tcPr>
            <w:tcW w:w="1843" w:type="dxa"/>
            <w:vAlign w:val="center"/>
          </w:tcPr>
          <w:p w14:paraId="1893458D" w14:textId="77777777" w:rsidR="00EA589C" w:rsidRPr="004827FD" w:rsidRDefault="0098685F"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15,9</w:t>
            </w:r>
          </w:p>
        </w:tc>
        <w:tc>
          <w:tcPr>
            <w:tcW w:w="1843" w:type="dxa"/>
            <w:vAlign w:val="center"/>
          </w:tcPr>
          <w:p w14:paraId="64DFE28D" w14:textId="77777777" w:rsidR="00EA589C" w:rsidRPr="004827FD" w:rsidRDefault="0098685F"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16,6</w:t>
            </w:r>
          </w:p>
        </w:tc>
        <w:tc>
          <w:tcPr>
            <w:tcW w:w="1701" w:type="dxa"/>
            <w:vAlign w:val="center"/>
          </w:tcPr>
          <w:p w14:paraId="7C031B21" w14:textId="77777777" w:rsidR="00EA589C" w:rsidRPr="004827FD" w:rsidRDefault="0098685F"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7,4</w:t>
            </w:r>
          </w:p>
        </w:tc>
      </w:tr>
      <w:tr w:rsidR="00EA589C" w:rsidRPr="00D46545" w14:paraId="72BEBAAF" w14:textId="77777777" w:rsidTr="00EA589C">
        <w:trPr>
          <w:trHeight w:val="300"/>
        </w:trPr>
        <w:tc>
          <w:tcPr>
            <w:tcW w:w="4786" w:type="dxa"/>
            <w:vAlign w:val="center"/>
            <w:hideMark/>
          </w:tcPr>
          <w:p w14:paraId="660467A7" w14:textId="77777777" w:rsidR="00EA589C" w:rsidRPr="004827FD" w:rsidRDefault="00EA589C" w:rsidP="00D46545">
            <w:pP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Приволжский федеральный округ</w:t>
            </w:r>
          </w:p>
        </w:tc>
        <w:tc>
          <w:tcPr>
            <w:tcW w:w="1843" w:type="dxa"/>
            <w:vAlign w:val="center"/>
          </w:tcPr>
          <w:p w14:paraId="52096535" w14:textId="77777777" w:rsidR="00EA589C" w:rsidRPr="004827FD" w:rsidRDefault="0098685F" w:rsidP="00D46545">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14,9</w:t>
            </w:r>
          </w:p>
        </w:tc>
        <w:tc>
          <w:tcPr>
            <w:tcW w:w="1843" w:type="dxa"/>
            <w:vAlign w:val="center"/>
          </w:tcPr>
          <w:p w14:paraId="4D7C7F8A" w14:textId="77777777" w:rsidR="00EA589C" w:rsidRPr="004827FD" w:rsidRDefault="0098685F" w:rsidP="00D46545">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9,5</w:t>
            </w:r>
          </w:p>
        </w:tc>
        <w:tc>
          <w:tcPr>
            <w:tcW w:w="1701" w:type="dxa"/>
            <w:vAlign w:val="center"/>
          </w:tcPr>
          <w:p w14:paraId="3C35B071" w14:textId="77777777" w:rsidR="00EA589C" w:rsidRPr="004827FD" w:rsidRDefault="0098685F" w:rsidP="00D46545">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7,0</w:t>
            </w:r>
          </w:p>
        </w:tc>
      </w:tr>
      <w:tr w:rsidR="00EA589C" w:rsidRPr="00D46545" w14:paraId="06E13610" w14:textId="77777777" w:rsidTr="00EA589C">
        <w:trPr>
          <w:trHeight w:val="300"/>
        </w:trPr>
        <w:tc>
          <w:tcPr>
            <w:tcW w:w="4786" w:type="dxa"/>
            <w:vAlign w:val="center"/>
            <w:hideMark/>
          </w:tcPr>
          <w:p w14:paraId="1A0CD166"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Башкортостан</w:t>
            </w:r>
          </w:p>
        </w:tc>
        <w:tc>
          <w:tcPr>
            <w:tcW w:w="1843" w:type="dxa"/>
            <w:vAlign w:val="center"/>
          </w:tcPr>
          <w:p w14:paraId="78C9F969" w14:textId="77777777" w:rsidR="00EA589C" w:rsidRPr="004827FD" w:rsidRDefault="00794481"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19,7</w:t>
            </w:r>
          </w:p>
        </w:tc>
        <w:tc>
          <w:tcPr>
            <w:tcW w:w="1843" w:type="dxa"/>
            <w:vAlign w:val="center"/>
          </w:tcPr>
          <w:p w14:paraId="77723CA8" w14:textId="77777777" w:rsidR="00EA589C" w:rsidRPr="004827FD" w:rsidRDefault="00794481"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5,9</w:t>
            </w:r>
          </w:p>
        </w:tc>
        <w:tc>
          <w:tcPr>
            <w:tcW w:w="1701" w:type="dxa"/>
            <w:vAlign w:val="center"/>
          </w:tcPr>
          <w:p w14:paraId="748E019F" w14:textId="77777777" w:rsidR="00EA589C" w:rsidRPr="004827FD" w:rsidRDefault="00794481"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w:t>
            </w:r>
          </w:p>
        </w:tc>
      </w:tr>
      <w:tr w:rsidR="00EA589C" w:rsidRPr="00D46545" w14:paraId="5C784AAE" w14:textId="77777777" w:rsidTr="00EA589C">
        <w:trPr>
          <w:trHeight w:val="300"/>
        </w:trPr>
        <w:tc>
          <w:tcPr>
            <w:tcW w:w="4786" w:type="dxa"/>
            <w:vAlign w:val="center"/>
            <w:hideMark/>
          </w:tcPr>
          <w:p w14:paraId="08E3BCB0"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Марий Эл</w:t>
            </w:r>
          </w:p>
        </w:tc>
        <w:tc>
          <w:tcPr>
            <w:tcW w:w="1843" w:type="dxa"/>
            <w:vAlign w:val="center"/>
          </w:tcPr>
          <w:p w14:paraId="23CA5A3F" w14:textId="77777777" w:rsidR="00EA589C" w:rsidRPr="004827FD" w:rsidRDefault="00794481"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18,8</w:t>
            </w:r>
          </w:p>
        </w:tc>
        <w:tc>
          <w:tcPr>
            <w:tcW w:w="1843" w:type="dxa"/>
            <w:vAlign w:val="center"/>
          </w:tcPr>
          <w:p w14:paraId="24F4E01B" w14:textId="77777777" w:rsidR="00EA589C" w:rsidRPr="004827FD" w:rsidRDefault="00794481"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11,0</w:t>
            </w:r>
          </w:p>
        </w:tc>
        <w:tc>
          <w:tcPr>
            <w:tcW w:w="1701" w:type="dxa"/>
            <w:vAlign w:val="center"/>
          </w:tcPr>
          <w:p w14:paraId="61462EA5" w14:textId="77777777" w:rsidR="00EA589C" w:rsidRPr="004827FD" w:rsidRDefault="00794481"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12,3</w:t>
            </w:r>
          </w:p>
        </w:tc>
      </w:tr>
      <w:tr w:rsidR="00EA589C" w:rsidRPr="00D46545" w14:paraId="21A2461E" w14:textId="77777777" w:rsidTr="00EA589C">
        <w:trPr>
          <w:trHeight w:val="300"/>
        </w:trPr>
        <w:tc>
          <w:tcPr>
            <w:tcW w:w="4786" w:type="dxa"/>
            <w:vAlign w:val="center"/>
            <w:hideMark/>
          </w:tcPr>
          <w:p w14:paraId="0DD5CDC8"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Мордовия</w:t>
            </w:r>
          </w:p>
        </w:tc>
        <w:tc>
          <w:tcPr>
            <w:tcW w:w="1843" w:type="dxa"/>
            <w:vAlign w:val="center"/>
          </w:tcPr>
          <w:p w14:paraId="5E441997" w14:textId="77777777" w:rsidR="00EA589C" w:rsidRPr="004827FD" w:rsidRDefault="00794481"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20,4</w:t>
            </w:r>
          </w:p>
        </w:tc>
        <w:tc>
          <w:tcPr>
            <w:tcW w:w="1843" w:type="dxa"/>
            <w:vAlign w:val="center"/>
          </w:tcPr>
          <w:p w14:paraId="7596AEF0" w14:textId="77777777" w:rsidR="00EA589C" w:rsidRPr="004827FD" w:rsidRDefault="00794481"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10,3</w:t>
            </w:r>
          </w:p>
        </w:tc>
        <w:tc>
          <w:tcPr>
            <w:tcW w:w="1701" w:type="dxa"/>
            <w:vAlign w:val="center"/>
          </w:tcPr>
          <w:p w14:paraId="30C21B69" w14:textId="77777777" w:rsidR="00EA589C" w:rsidRPr="004827FD" w:rsidRDefault="00794481"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7,2</w:t>
            </w:r>
          </w:p>
        </w:tc>
      </w:tr>
      <w:tr w:rsidR="00EA589C" w:rsidRPr="00D46545" w14:paraId="5D90D4D9" w14:textId="77777777" w:rsidTr="00EA589C">
        <w:trPr>
          <w:trHeight w:val="300"/>
        </w:trPr>
        <w:tc>
          <w:tcPr>
            <w:tcW w:w="4786" w:type="dxa"/>
            <w:vAlign w:val="center"/>
            <w:hideMark/>
          </w:tcPr>
          <w:p w14:paraId="69689E80"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Татарстан</w:t>
            </w:r>
          </w:p>
        </w:tc>
        <w:tc>
          <w:tcPr>
            <w:tcW w:w="1843" w:type="dxa"/>
            <w:vAlign w:val="center"/>
          </w:tcPr>
          <w:p w14:paraId="6D9577C7" w14:textId="77777777" w:rsidR="00EA589C" w:rsidRPr="004827FD" w:rsidRDefault="00794481"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14,8</w:t>
            </w:r>
          </w:p>
        </w:tc>
        <w:tc>
          <w:tcPr>
            <w:tcW w:w="1843" w:type="dxa"/>
            <w:vAlign w:val="center"/>
          </w:tcPr>
          <w:p w14:paraId="1A2100FC" w14:textId="77777777" w:rsidR="00EA589C" w:rsidRPr="004827FD" w:rsidRDefault="00794481"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23,2</w:t>
            </w:r>
          </w:p>
        </w:tc>
        <w:tc>
          <w:tcPr>
            <w:tcW w:w="1701" w:type="dxa"/>
            <w:vAlign w:val="center"/>
          </w:tcPr>
          <w:p w14:paraId="7F2F8867" w14:textId="77777777" w:rsidR="00EA589C" w:rsidRPr="004827FD" w:rsidRDefault="00794481"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8,8</w:t>
            </w:r>
          </w:p>
        </w:tc>
      </w:tr>
      <w:tr w:rsidR="00EA589C" w:rsidRPr="00D46545" w14:paraId="5E585A67" w14:textId="77777777" w:rsidTr="00EA589C">
        <w:trPr>
          <w:trHeight w:val="300"/>
        </w:trPr>
        <w:tc>
          <w:tcPr>
            <w:tcW w:w="4786" w:type="dxa"/>
            <w:vAlign w:val="center"/>
            <w:hideMark/>
          </w:tcPr>
          <w:p w14:paraId="1842655F"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Удмуртская Республика</w:t>
            </w:r>
          </w:p>
        </w:tc>
        <w:tc>
          <w:tcPr>
            <w:tcW w:w="1843" w:type="dxa"/>
            <w:vAlign w:val="center"/>
          </w:tcPr>
          <w:p w14:paraId="4637AD80" w14:textId="77777777" w:rsidR="00EA589C" w:rsidRPr="004827FD" w:rsidRDefault="00794481"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w:t>
            </w:r>
          </w:p>
        </w:tc>
        <w:tc>
          <w:tcPr>
            <w:tcW w:w="1843" w:type="dxa"/>
            <w:vAlign w:val="center"/>
          </w:tcPr>
          <w:p w14:paraId="6107E5FC" w14:textId="77777777" w:rsidR="00EA589C" w:rsidRPr="004827FD" w:rsidRDefault="00794481"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6,4</w:t>
            </w:r>
          </w:p>
        </w:tc>
        <w:tc>
          <w:tcPr>
            <w:tcW w:w="1701" w:type="dxa"/>
            <w:vAlign w:val="center"/>
          </w:tcPr>
          <w:p w14:paraId="070ED043" w14:textId="77777777" w:rsidR="00EA589C" w:rsidRPr="004827FD" w:rsidRDefault="00794481"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w:t>
            </w:r>
          </w:p>
        </w:tc>
      </w:tr>
      <w:tr w:rsidR="00EA589C" w:rsidRPr="00D46545" w14:paraId="74B1CDAA" w14:textId="77777777" w:rsidTr="00EA589C">
        <w:trPr>
          <w:trHeight w:val="300"/>
        </w:trPr>
        <w:tc>
          <w:tcPr>
            <w:tcW w:w="4786" w:type="dxa"/>
            <w:vAlign w:val="center"/>
            <w:hideMark/>
          </w:tcPr>
          <w:p w14:paraId="7E9106DE"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Чувашская Республика</w:t>
            </w:r>
          </w:p>
        </w:tc>
        <w:tc>
          <w:tcPr>
            <w:tcW w:w="1843" w:type="dxa"/>
            <w:vAlign w:val="center"/>
          </w:tcPr>
          <w:p w14:paraId="1CC1709B" w14:textId="77777777" w:rsidR="00EA589C" w:rsidRPr="004827FD" w:rsidRDefault="00794481"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24,7</w:t>
            </w:r>
          </w:p>
        </w:tc>
        <w:tc>
          <w:tcPr>
            <w:tcW w:w="1843" w:type="dxa"/>
            <w:vAlign w:val="center"/>
          </w:tcPr>
          <w:p w14:paraId="4409AAD2" w14:textId="77777777" w:rsidR="00EA589C" w:rsidRPr="004827FD" w:rsidRDefault="00794481"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4,8</w:t>
            </w:r>
          </w:p>
        </w:tc>
        <w:tc>
          <w:tcPr>
            <w:tcW w:w="1701" w:type="dxa"/>
            <w:vAlign w:val="center"/>
          </w:tcPr>
          <w:p w14:paraId="41EB2330" w14:textId="77777777" w:rsidR="00EA589C" w:rsidRPr="004827FD" w:rsidRDefault="00794481"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21,2</w:t>
            </w:r>
          </w:p>
        </w:tc>
      </w:tr>
      <w:tr w:rsidR="00EA589C" w:rsidRPr="00D46545" w14:paraId="072B5A63" w14:textId="77777777" w:rsidTr="00EA589C">
        <w:trPr>
          <w:trHeight w:val="300"/>
        </w:trPr>
        <w:tc>
          <w:tcPr>
            <w:tcW w:w="4786" w:type="dxa"/>
            <w:vAlign w:val="center"/>
            <w:hideMark/>
          </w:tcPr>
          <w:p w14:paraId="642BDBCE"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Пермский край</w:t>
            </w:r>
          </w:p>
        </w:tc>
        <w:tc>
          <w:tcPr>
            <w:tcW w:w="1843" w:type="dxa"/>
            <w:vAlign w:val="center"/>
          </w:tcPr>
          <w:p w14:paraId="019C6128" w14:textId="77777777" w:rsidR="00EA589C" w:rsidRPr="004827FD" w:rsidRDefault="004A65F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5,7</w:t>
            </w:r>
          </w:p>
        </w:tc>
        <w:tc>
          <w:tcPr>
            <w:tcW w:w="1843" w:type="dxa"/>
            <w:vAlign w:val="center"/>
          </w:tcPr>
          <w:p w14:paraId="6747DD8C" w14:textId="77777777" w:rsidR="00EA589C" w:rsidRPr="004827FD" w:rsidRDefault="004A65F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w:t>
            </w:r>
          </w:p>
        </w:tc>
        <w:tc>
          <w:tcPr>
            <w:tcW w:w="1701" w:type="dxa"/>
            <w:vAlign w:val="center"/>
          </w:tcPr>
          <w:p w14:paraId="4B0B2F88" w14:textId="77777777" w:rsidR="00EA589C" w:rsidRPr="004827FD" w:rsidRDefault="004A65F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8,0</w:t>
            </w:r>
          </w:p>
        </w:tc>
      </w:tr>
      <w:tr w:rsidR="00EA589C" w:rsidRPr="00D46545" w14:paraId="4C72002C" w14:textId="77777777" w:rsidTr="00EA589C">
        <w:trPr>
          <w:trHeight w:val="300"/>
        </w:trPr>
        <w:tc>
          <w:tcPr>
            <w:tcW w:w="4786" w:type="dxa"/>
            <w:vAlign w:val="center"/>
            <w:hideMark/>
          </w:tcPr>
          <w:p w14:paraId="2537439C"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Кировская область</w:t>
            </w:r>
          </w:p>
        </w:tc>
        <w:tc>
          <w:tcPr>
            <w:tcW w:w="1843" w:type="dxa"/>
            <w:vAlign w:val="center"/>
          </w:tcPr>
          <w:p w14:paraId="542981A0" w14:textId="77777777" w:rsidR="00EA589C" w:rsidRPr="004827FD" w:rsidRDefault="004A65F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6,9</w:t>
            </w:r>
          </w:p>
        </w:tc>
        <w:tc>
          <w:tcPr>
            <w:tcW w:w="1843" w:type="dxa"/>
            <w:vAlign w:val="center"/>
          </w:tcPr>
          <w:p w14:paraId="575EBBAD" w14:textId="77777777" w:rsidR="00EA589C" w:rsidRPr="004827FD" w:rsidRDefault="004A65F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9,2</w:t>
            </w:r>
          </w:p>
        </w:tc>
        <w:tc>
          <w:tcPr>
            <w:tcW w:w="1701" w:type="dxa"/>
            <w:vAlign w:val="center"/>
          </w:tcPr>
          <w:p w14:paraId="6852D2E8" w14:textId="77777777" w:rsidR="00EA589C" w:rsidRPr="004827FD" w:rsidRDefault="004A65F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w:t>
            </w:r>
          </w:p>
        </w:tc>
      </w:tr>
      <w:tr w:rsidR="00EA589C" w:rsidRPr="00D46545" w14:paraId="359282AC" w14:textId="77777777" w:rsidTr="00EA589C">
        <w:trPr>
          <w:trHeight w:val="300"/>
        </w:trPr>
        <w:tc>
          <w:tcPr>
            <w:tcW w:w="4786" w:type="dxa"/>
            <w:vAlign w:val="center"/>
            <w:hideMark/>
          </w:tcPr>
          <w:p w14:paraId="4C7D756B"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Нижегородская область</w:t>
            </w:r>
          </w:p>
        </w:tc>
        <w:tc>
          <w:tcPr>
            <w:tcW w:w="1843" w:type="dxa"/>
            <w:vAlign w:val="center"/>
          </w:tcPr>
          <w:p w14:paraId="040E771F" w14:textId="77777777" w:rsidR="00EA589C" w:rsidRPr="004827FD" w:rsidRDefault="004A65F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w:t>
            </w:r>
          </w:p>
        </w:tc>
        <w:tc>
          <w:tcPr>
            <w:tcW w:w="1843" w:type="dxa"/>
            <w:vAlign w:val="center"/>
          </w:tcPr>
          <w:p w14:paraId="39FC8D4B" w14:textId="77777777" w:rsidR="00EA589C" w:rsidRPr="004827FD" w:rsidRDefault="004A65F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c>
          <w:tcPr>
            <w:tcW w:w="1701" w:type="dxa"/>
            <w:vAlign w:val="center"/>
          </w:tcPr>
          <w:p w14:paraId="28C55675" w14:textId="77777777" w:rsidR="00EA589C" w:rsidRPr="004827FD" w:rsidRDefault="004A65F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5,8</w:t>
            </w:r>
          </w:p>
        </w:tc>
      </w:tr>
      <w:tr w:rsidR="00EA589C" w:rsidRPr="00D46545" w14:paraId="797B8785" w14:textId="77777777" w:rsidTr="00EA589C">
        <w:trPr>
          <w:trHeight w:val="300"/>
        </w:trPr>
        <w:tc>
          <w:tcPr>
            <w:tcW w:w="4786" w:type="dxa"/>
            <w:vAlign w:val="center"/>
            <w:hideMark/>
          </w:tcPr>
          <w:p w14:paraId="50ABD4DA"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Оренбургская область</w:t>
            </w:r>
          </w:p>
        </w:tc>
        <w:tc>
          <w:tcPr>
            <w:tcW w:w="1843" w:type="dxa"/>
            <w:vAlign w:val="center"/>
          </w:tcPr>
          <w:p w14:paraId="6B119D43" w14:textId="77777777" w:rsidR="00EA589C" w:rsidRPr="004827FD" w:rsidRDefault="004A65F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19,1</w:t>
            </w:r>
          </w:p>
        </w:tc>
        <w:tc>
          <w:tcPr>
            <w:tcW w:w="1843" w:type="dxa"/>
            <w:vAlign w:val="center"/>
          </w:tcPr>
          <w:p w14:paraId="1DCB0D07" w14:textId="77777777" w:rsidR="00EA589C" w:rsidRPr="004827FD" w:rsidRDefault="004A65F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w:t>
            </w:r>
          </w:p>
        </w:tc>
        <w:tc>
          <w:tcPr>
            <w:tcW w:w="1701" w:type="dxa"/>
            <w:vAlign w:val="center"/>
          </w:tcPr>
          <w:p w14:paraId="11BF786C" w14:textId="77777777" w:rsidR="00EA589C" w:rsidRPr="004827FD" w:rsidRDefault="004A65F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w:t>
            </w:r>
          </w:p>
        </w:tc>
      </w:tr>
      <w:tr w:rsidR="00EA589C" w:rsidRPr="00D46545" w14:paraId="001938B5" w14:textId="77777777" w:rsidTr="00EA589C">
        <w:trPr>
          <w:trHeight w:val="300"/>
        </w:trPr>
        <w:tc>
          <w:tcPr>
            <w:tcW w:w="4786" w:type="dxa"/>
            <w:vAlign w:val="center"/>
            <w:hideMark/>
          </w:tcPr>
          <w:p w14:paraId="130AF3AD"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Пензенская область</w:t>
            </w:r>
          </w:p>
        </w:tc>
        <w:tc>
          <w:tcPr>
            <w:tcW w:w="1843" w:type="dxa"/>
            <w:vAlign w:val="center"/>
          </w:tcPr>
          <w:p w14:paraId="2632FF27" w14:textId="77777777" w:rsidR="00EA589C" w:rsidRPr="004827FD" w:rsidRDefault="004A65F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16,8</w:t>
            </w:r>
          </w:p>
        </w:tc>
        <w:tc>
          <w:tcPr>
            <w:tcW w:w="1843" w:type="dxa"/>
            <w:vAlign w:val="center"/>
          </w:tcPr>
          <w:p w14:paraId="0D7343B4" w14:textId="77777777" w:rsidR="00EA589C" w:rsidRPr="004827FD" w:rsidRDefault="004A65F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9,7</w:t>
            </w:r>
          </w:p>
        </w:tc>
        <w:tc>
          <w:tcPr>
            <w:tcW w:w="1701" w:type="dxa"/>
            <w:vAlign w:val="center"/>
          </w:tcPr>
          <w:p w14:paraId="19F8FD46" w14:textId="77777777" w:rsidR="00EA589C" w:rsidRPr="004827FD" w:rsidRDefault="004A65F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13,0</w:t>
            </w:r>
          </w:p>
        </w:tc>
      </w:tr>
      <w:tr w:rsidR="00EA589C" w:rsidRPr="00D46545" w14:paraId="098C0370" w14:textId="77777777" w:rsidTr="00EA589C">
        <w:trPr>
          <w:trHeight w:val="300"/>
        </w:trPr>
        <w:tc>
          <w:tcPr>
            <w:tcW w:w="4786" w:type="dxa"/>
            <w:vAlign w:val="center"/>
            <w:hideMark/>
          </w:tcPr>
          <w:p w14:paraId="62A115CC"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Самарская область</w:t>
            </w:r>
          </w:p>
        </w:tc>
        <w:tc>
          <w:tcPr>
            <w:tcW w:w="1843" w:type="dxa"/>
            <w:vAlign w:val="center"/>
          </w:tcPr>
          <w:p w14:paraId="58CE2D18" w14:textId="77777777" w:rsidR="00EA589C" w:rsidRPr="004827FD" w:rsidRDefault="004A65F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20,3</w:t>
            </w:r>
          </w:p>
        </w:tc>
        <w:tc>
          <w:tcPr>
            <w:tcW w:w="1843" w:type="dxa"/>
            <w:vAlign w:val="center"/>
          </w:tcPr>
          <w:p w14:paraId="78A4CE1A" w14:textId="77777777" w:rsidR="00EA589C" w:rsidRPr="004827FD" w:rsidRDefault="004A65F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11,4</w:t>
            </w:r>
          </w:p>
        </w:tc>
        <w:tc>
          <w:tcPr>
            <w:tcW w:w="1701" w:type="dxa"/>
            <w:vAlign w:val="center"/>
          </w:tcPr>
          <w:p w14:paraId="6583BA39" w14:textId="77777777" w:rsidR="00EA589C" w:rsidRPr="004827FD" w:rsidRDefault="004A65F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w:t>
            </w:r>
          </w:p>
        </w:tc>
      </w:tr>
      <w:tr w:rsidR="00EA589C" w:rsidRPr="00D46545" w14:paraId="40DAF886" w14:textId="77777777" w:rsidTr="00EA589C">
        <w:trPr>
          <w:trHeight w:val="300"/>
        </w:trPr>
        <w:tc>
          <w:tcPr>
            <w:tcW w:w="4786" w:type="dxa"/>
            <w:vAlign w:val="center"/>
            <w:hideMark/>
          </w:tcPr>
          <w:p w14:paraId="5B6C9449"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Саратовская область</w:t>
            </w:r>
          </w:p>
        </w:tc>
        <w:tc>
          <w:tcPr>
            <w:tcW w:w="1843" w:type="dxa"/>
            <w:vAlign w:val="center"/>
          </w:tcPr>
          <w:p w14:paraId="6F81A1FD" w14:textId="77777777" w:rsidR="00EA589C" w:rsidRPr="004827FD" w:rsidRDefault="004A65F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14,1</w:t>
            </w:r>
          </w:p>
        </w:tc>
        <w:tc>
          <w:tcPr>
            <w:tcW w:w="1843" w:type="dxa"/>
            <w:vAlign w:val="center"/>
          </w:tcPr>
          <w:p w14:paraId="5B304F36" w14:textId="77777777" w:rsidR="00EA589C" w:rsidRPr="004827FD" w:rsidRDefault="004A65F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10,2</w:t>
            </w:r>
          </w:p>
        </w:tc>
        <w:tc>
          <w:tcPr>
            <w:tcW w:w="1701" w:type="dxa"/>
            <w:vAlign w:val="center"/>
          </w:tcPr>
          <w:p w14:paraId="675B9E76" w14:textId="77777777" w:rsidR="00EA589C" w:rsidRPr="004827FD" w:rsidRDefault="004A65F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w:t>
            </w:r>
          </w:p>
        </w:tc>
      </w:tr>
      <w:tr w:rsidR="00EA589C" w:rsidRPr="00D46545" w14:paraId="6FB4FB2F" w14:textId="77777777" w:rsidTr="00EA589C">
        <w:trPr>
          <w:trHeight w:val="300"/>
        </w:trPr>
        <w:tc>
          <w:tcPr>
            <w:tcW w:w="4786" w:type="dxa"/>
            <w:vAlign w:val="center"/>
            <w:hideMark/>
          </w:tcPr>
          <w:p w14:paraId="2B7CF67C"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Ульяновская область</w:t>
            </w:r>
          </w:p>
        </w:tc>
        <w:tc>
          <w:tcPr>
            <w:tcW w:w="1843" w:type="dxa"/>
            <w:vAlign w:val="center"/>
          </w:tcPr>
          <w:p w14:paraId="7408C9A9" w14:textId="77777777" w:rsidR="00EA589C" w:rsidRPr="004827FD" w:rsidRDefault="004A65F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18,8</w:t>
            </w:r>
          </w:p>
        </w:tc>
        <w:tc>
          <w:tcPr>
            <w:tcW w:w="1843" w:type="dxa"/>
            <w:vAlign w:val="center"/>
          </w:tcPr>
          <w:p w14:paraId="102D57B3" w14:textId="77777777" w:rsidR="00EA589C" w:rsidRPr="004827FD" w:rsidRDefault="004A65F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6,7</w:t>
            </w:r>
          </w:p>
        </w:tc>
        <w:tc>
          <w:tcPr>
            <w:tcW w:w="1701" w:type="dxa"/>
            <w:vAlign w:val="center"/>
          </w:tcPr>
          <w:p w14:paraId="368A38E2" w14:textId="77777777" w:rsidR="00EA589C" w:rsidRPr="004827FD" w:rsidRDefault="004A65F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w:t>
            </w:r>
          </w:p>
        </w:tc>
      </w:tr>
      <w:tr w:rsidR="00EA589C" w:rsidRPr="00D46545" w14:paraId="73249E3C" w14:textId="77777777" w:rsidTr="00EA589C">
        <w:trPr>
          <w:trHeight w:val="300"/>
        </w:trPr>
        <w:tc>
          <w:tcPr>
            <w:tcW w:w="4786" w:type="dxa"/>
            <w:vAlign w:val="center"/>
            <w:hideMark/>
          </w:tcPr>
          <w:p w14:paraId="0D15260D" w14:textId="77777777" w:rsidR="00EA589C" w:rsidRPr="004827FD" w:rsidRDefault="00EA589C" w:rsidP="00D46545">
            <w:pP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Уральский федеральный округ</w:t>
            </w:r>
          </w:p>
        </w:tc>
        <w:tc>
          <w:tcPr>
            <w:tcW w:w="1843" w:type="dxa"/>
            <w:vAlign w:val="center"/>
          </w:tcPr>
          <w:p w14:paraId="7F616A74" w14:textId="77777777" w:rsidR="00EA589C" w:rsidRPr="004827FD" w:rsidRDefault="004A65FB" w:rsidP="00D46545">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8,7</w:t>
            </w:r>
          </w:p>
        </w:tc>
        <w:tc>
          <w:tcPr>
            <w:tcW w:w="1843" w:type="dxa"/>
            <w:vAlign w:val="center"/>
          </w:tcPr>
          <w:p w14:paraId="573DEB03" w14:textId="77777777" w:rsidR="00EA589C" w:rsidRPr="004827FD" w:rsidRDefault="004A65FB" w:rsidP="00D46545">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7,7</w:t>
            </w:r>
          </w:p>
        </w:tc>
        <w:tc>
          <w:tcPr>
            <w:tcW w:w="1701" w:type="dxa"/>
            <w:vAlign w:val="center"/>
          </w:tcPr>
          <w:p w14:paraId="7D6DAA21" w14:textId="77777777" w:rsidR="00EA589C" w:rsidRPr="004827FD" w:rsidRDefault="004A65FB" w:rsidP="00D46545">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6,0</w:t>
            </w:r>
          </w:p>
        </w:tc>
      </w:tr>
      <w:tr w:rsidR="00EA589C" w:rsidRPr="00D46545" w14:paraId="087C2DBA" w14:textId="77777777" w:rsidTr="00EA589C">
        <w:trPr>
          <w:trHeight w:val="300"/>
        </w:trPr>
        <w:tc>
          <w:tcPr>
            <w:tcW w:w="4786" w:type="dxa"/>
            <w:vAlign w:val="center"/>
            <w:hideMark/>
          </w:tcPr>
          <w:p w14:paraId="5ED75383"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Курганская область</w:t>
            </w:r>
          </w:p>
        </w:tc>
        <w:tc>
          <w:tcPr>
            <w:tcW w:w="1843" w:type="dxa"/>
            <w:vAlign w:val="center"/>
          </w:tcPr>
          <w:p w14:paraId="05ABC234" w14:textId="77777777" w:rsidR="00EA589C" w:rsidRPr="004827FD" w:rsidRDefault="004A65F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15,0</w:t>
            </w:r>
          </w:p>
        </w:tc>
        <w:tc>
          <w:tcPr>
            <w:tcW w:w="1843" w:type="dxa"/>
            <w:vAlign w:val="center"/>
          </w:tcPr>
          <w:p w14:paraId="2945F0CD" w14:textId="77777777" w:rsidR="00EA589C" w:rsidRPr="004827FD" w:rsidRDefault="004A65F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15,1</w:t>
            </w:r>
          </w:p>
        </w:tc>
        <w:tc>
          <w:tcPr>
            <w:tcW w:w="1701" w:type="dxa"/>
            <w:vAlign w:val="center"/>
          </w:tcPr>
          <w:p w14:paraId="7B33ACE1" w14:textId="77777777" w:rsidR="00EA589C" w:rsidRPr="004827FD" w:rsidRDefault="004A65F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6,2</w:t>
            </w:r>
          </w:p>
        </w:tc>
      </w:tr>
      <w:tr w:rsidR="00EA589C" w:rsidRPr="00D46545" w14:paraId="742355E1" w14:textId="77777777" w:rsidTr="00EA589C">
        <w:trPr>
          <w:trHeight w:val="300"/>
        </w:trPr>
        <w:tc>
          <w:tcPr>
            <w:tcW w:w="4786" w:type="dxa"/>
            <w:vAlign w:val="center"/>
            <w:hideMark/>
          </w:tcPr>
          <w:p w14:paraId="1EF2E0F6"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Свердловская область</w:t>
            </w:r>
          </w:p>
        </w:tc>
        <w:tc>
          <w:tcPr>
            <w:tcW w:w="1843" w:type="dxa"/>
            <w:vAlign w:val="center"/>
          </w:tcPr>
          <w:p w14:paraId="66ACED2B" w14:textId="77777777" w:rsidR="00EA589C" w:rsidRPr="004827FD" w:rsidRDefault="00DF0856"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8,3</w:t>
            </w:r>
          </w:p>
        </w:tc>
        <w:tc>
          <w:tcPr>
            <w:tcW w:w="1843" w:type="dxa"/>
            <w:vAlign w:val="center"/>
          </w:tcPr>
          <w:p w14:paraId="1313867B" w14:textId="77777777" w:rsidR="00EA589C" w:rsidRPr="004827FD" w:rsidRDefault="00DF0856"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7,4</w:t>
            </w:r>
          </w:p>
        </w:tc>
        <w:tc>
          <w:tcPr>
            <w:tcW w:w="1701" w:type="dxa"/>
            <w:vAlign w:val="center"/>
          </w:tcPr>
          <w:p w14:paraId="6F1AD9D3" w14:textId="77777777" w:rsidR="00EA589C" w:rsidRPr="004827FD" w:rsidRDefault="00DF0856"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w:t>
            </w:r>
          </w:p>
        </w:tc>
      </w:tr>
      <w:tr w:rsidR="00EA589C" w:rsidRPr="00D46545" w14:paraId="2F41A7BF" w14:textId="77777777" w:rsidTr="00EA589C">
        <w:trPr>
          <w:trHeight w:val="300"/>
        </w:trPr>
        <w:tc>
          <w:tcPr>
            <w:tcW w:w="4786" w:type="dxa"/>
            <w:vAlign w:val="center"/>
            <w:hideMark/>
          </w:tcPr>
          <w:p w14:paraId="0AA29E0A"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Тюменская область</w:t>
            </w:r>
          </w:p>
        </w:tc>
        <w:tc>
          <w:tcPr>
            <w:tcW w:w="1843" w:type="dxa"/>
            <w:vAlign w:val="center"/>
          </w:tcPr>
          <w:p w14:paraId="1B959E82" w14:textId="77777777" w:rsidR="00EA589C" w:rsidRPr="004827FD" w:rsidRDefault="00DF0856"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9,9</w:t>
            </w:r>
          </w:p>
        </w:tc>
        <w:tc>
          <w:tcPr>
            <w:tcW w:w="1843" w:type="dxa"/>
            <w:vAlign w:val="center"/>
          </w:tcPr>
          <w:p w14:paraId="55EE8F88" w14:textId="77777777" w:rsidR="00EA589C" w:rsidRPr="004827FD" w:rsidRDefault="00DF0856"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w:t>
            </w:r>
          </w:p>
        </w:tc>
        <w:tc>
          <w:tcPr>
            <w:tcW w:w="1701" w:type="dxa"/>
            <w:vAlign w:val="center"/>
          </w:tcPr>
          <w:p w14:paraId="3C0537FD" w14:textId="77777777" w:rsidR="00EA589C" w:rsidRPr="004827FD" w:rsidRDefault="00DF0856"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w:t>
            </w:r>
          </w:p>
        </w:tc>
      </w:tr>
      <w:tr w:rsidR="00EA589C" w:rsidRPr="00D46545" w14:paraId="792C5079" w14:textId="77777777" w:rsidTr="00EA589C">
        <w:trPr>
          <w:trHeight w:val="300"/>
        </w:trPr>
        <w:tc>
          <w:tcPr>
            <w:tcW w:w="4786" w:type="dxa"/>
            <w:vAlign w:val="center"/>
            <w:hideMark/>
          </w:tcPr>
          <w:p w14:paraId="04CD2521" w14:textId="77777777" w:rsidR="00EA589C" w:rsidRPr="004827FD" w:rsidRDefault="00EA589C" w:rsidP="00D46545">
            <w:pPr>
              <w:ind w:firstLineChars="129" w:firstLine="284"/>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 xml:space="preserve">Ханты-Мансийский авт. округ </w:t>
            </w:r>
            <w:r w:rsidR="009E4017">
              <w:rPr>
                <w:rFonts w:ascii="Times New Roman" w:eastAsia="Times New Roman" w:hAnsi="Times New Roman" w:cs="Times New Roman"/>
                <w:color w:val="000000"/>
                <w:lang w:eastAsia="ru-RU"/>
              </w:rPr>
              <w:t>–</w:t>
            </w:r>
            <w:r w:rsidRPr="004827FD">
              <w:rPr>
                <w:rFonts w:ascii="Times New Roman" w:eastAsia="Times New Roman" w:hAnsi="Times New Roman" w:cs="Times New Roman"/>
                <w:color w:val="000000"/>
                <w:lang w:eastAsia="ru-RU"/>
              </w:rPr>
              <w:t xml:space="preserve"> Югра</w:t>
            </w:r>
          </w:p>
        </w:tc>
        <w:tc>
          <w:tcPr>
            <w:tcW w:w="1843" w:type="dxa"/>
            <w:vAlign w:val="center"/>
          </w:tcPr>
          <w:p w14:paraId="4D161531" w14:textId="77777777" w:rsidR="00EA589C" w:rsidRPr="004827FD" w:rsidRDefault="00B63ABD"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5,4</w:t>
            </w:r>
          </w:p>
        </w:tc>
        <w:tc>
          <w:tcPr>
            <w:tcW w:w="1843" w:type="dxa"/>
            <w:vAlign w:val="center"/>
          </w:tcPr>
          <w:p w14:paraId="6337C719" w14:textId="77777777" w:rsidR="00EA589C" w:rsidRPr="004827FD" w:rsidRDefault="00B63ABD"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3,4</w:t>
            </w:r>
          </w:p>
        </w:tc>
        <w:tc>
          <w:tcPr>
            <w:tcW w:w="1701" w:type="dxa"/>
            <w:vAlign w:val="center"/>
          </w:tcPr>
          <w:p w14:paraId="6DDE032A" w14:textId="77777777" w:rsidR="00EA589C" w:rsidRPr="004827FD" w:rsidRDefault="00B63ABD"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w:t>
            </w:r>
          </w:p>
        </w:tc>
      </w:tr>
      <w:tr w:rsidR="00EA589C" w:rsidRPr="00D46545" w14:paraId="30043246" w14:textId="77777777" w:rsidTr="00EA589C">
        <w:trPr>
          <w:trHeight w:val="300"/>
        </w:trPr>
        <w:tc>
          <w:tcPr>
            <w:tcW w:w="4786" w:type="dxa"/>
            <w:vAlign w:val="center"/>
            <w:hideMark/>
          </w:tcPr>
          <w:p w14:paraId="341839A7" w14:textId="77777777" w:rsidR="00EA589C" w:rsidRPr="004827FD" w:rsidRDefault="00EA589C" w:rsidP="00D46545">
            <w:pPr>
              <w:ind w:firstLineChars="129" w:firstLine="284"/>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Ямало-Ненецкий авт. округ</w:t>
            </w:r>
          </w:p>
        </w:tc>
        <w:tc>
          <w:tcPr>
            <w:tcW w:w="1843" w:type="dxa"/>
            <w:vAlign w:val="center"/>
          </w:tcPr>
          <w:p w14:paraId="206893B6" w14:textId="77777777" w:rsidR="00EA589C" w:rsidRPr="004827FD" w:rsidRDefault="00B63ABD"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w:t>
            </w:r>
          </w:p>
        </w:tc>
        <w:tc>
          <w:tcPr>
            <w:tcW w:w="1843" w:type="dxa"/>
            <w:vAlign w:val="center"/>
          </w:tcPr>
          <w:p w14:paraId="66F77100" w14:textId="77777777" w:rsidR="00EA589C" w:rsidRPr="004827FD" w:rsidRDefault="00B63ABD"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7,8</w:t>
            </w:r>
          </w:p>
        </w:tc>
        <w:tc>
          <w:tcPr>
            <w:tcW w:w="1701" w:type="dxa"/>
            <w:vAlign w:val="center"/>
          </w:tcPr>
          <w:p w14:paraId="3DB6FC92" w14:textId="77777777" w:rsidR="00EA589C" w:rsidRPr="004827FD" w:rsidRDefault="00B63ABD"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8,2</w:t>
            </w:r>
          </w:p>
        </w:tc>
      </w:tr>
      <w:tr w:rsidR="00EA589C" w:rsidRPr="00D46545" w14:paraId="7D730706" w14:textId="77777777" w:rsidTr="00EA589C">
        <w:trPr>
          <w:trHeight w:val="300"/>
        </w:trPr>
        <w:tc>
          <w:tcPr>
            <w:tcW w:w="4786" w:type="dxa"/>
            <w:vAlign w:val="center"/>
            <w:hideMark/>
          </w:tcPr>
          <w:p w14:paraId="2C097AFA" w14:textId="77777777" w:rsidR="00EA589C" w:rsidRPr="004827FD" w:rsidRDefault="00EA589C" w:rsidP="00D46545">
            <w:pPr>
              <w:ind w:firstLineChars="129" w:firstLine="284"/>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Тюменская область без автономий</w:t>
            </w:r>
          </w:p>
        </w:tc>
        <w:tc>
          <w:tcPr>
            <w:tcW w:w="1843" w:type="dxa"/>
            <w:vAlign w:val="center"/>
          </w:tcPr>
          <w:p w14:paraId="02BF909B" w14:textId="77777777" w:rsidR="00EA589C" w:rsidRPr="004827FD" w:rsidRDefault="00B63ABD"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16,9</w:t>
            </w:r>
          </w:p>
        </w:tc>
        <w:tc>
          <w:tcPr>
            <w:tcW w:w="1843" w:type="dxa"/>
            <w:vAlign w:val="center"/>
          </w:tcPr>
          <w:p w14:paraId="0A1B3E3D" w14:textId="77777777" w:rsidR="00EA589C" w:rsidRPr="004827FD" w:rsidRDefault="00B63ABD"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15,6</w:t>
            </w:r>
          </w:p>
        </w:tc>
        <w:tc>
          <w:tcPr>
            <w:tcW w:w="1701" w:type="dxa"/>
            <w:vAlign w:val="center"/>
          </w:tcPr>
          <w:p w14:paraId="522F58EB" w14:textId="77777777" w:rsidR="00EA589C" w:rsidRPr="004827FD" w:rsidRDefault="00B63ABD"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12,3</w:t>
            </w:r>
          </w:p>
        </w:tc>
      </w:tr>
      <w:tr w:rsidR="00EA589C" w:rsidRPr="00D46545" w14:paraId="7880C6DC" w14:textId="77777777" w:rsidTr="00EA589C">
        <w:trPr>
          <w:trHeight w:val="300"/>
        </w:trPr>
        <w:tc>
          <w:tcPr>
            <w:tcW w:w="4786" w:type="dxa"/>
            <w:vAlign w:val="center"/>
            <w:hideMark/>
          </w:tcPr>
          <w:p w14:paraId="40E17607"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Челябинская область</w:t>
            </w:r>
          </w:p>
        </w:tc>
        <w:tc>
          <w:tcPr>
            <w:tcW w:w="1843" w:type="dxa"/>
            <w:vAlign w:val="center"/>
          </w:tcPr>
          <w:p w14:paraId="2479C655" w14:textId="77777777" w:rsidR="00EA589C" w:rsidRPr="004827FD" w:rsidRDefault="00B63ABD"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6,5</w:t>
            </w:r>
          </w:p>
        </w:tc>
        <w:tc>
          <w:tcPr>
            <w:tcW w:w="1843" w:type="dxa"/>
            <w:vAlign w:val="center"/>
          </w:tcPr>
          <w:p w14:paraId="6EBA71E9" w14:textId="77777777" w:rsidR="00EA589C" w:rsidRPr="004827FD" w:rsidRDefault="00B63ABD"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4,9</w:t>
            </w:r>
          </w:p>
        </w:tc>
        <w:tc>
          <w:tcPr>
            <w:tcW w:w="1701" w:type="dxa"/>
            <w:vAlign w:val="center"/>
          </w:tcPr>
          <w:p w14:paraId="01B0D8FB" w14:textId="77777777" w:rsidR="00EA589C" w:rsidRPr="004827FD" w:rsidRDefault="00B63ABD"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w:t>
            </w:r>
          </w:p>
        </w:tc>
      </w:tr>
      <w:tr w:rsidR="00EA589C" w:rsidRPr="00D46545" w14:paraId="6850780C" w14:textId="77777777" w:rsidTr="00EA589C">
        <w:trPr>
          <w:trHeight w:val="300"/>
        </w:trPr>
        <w:tc>
          <w:tcPr>
            <w:tcW w:w="4786" w:type="dxa"/>
            <w:vAlign w:val="center"/>
            <w:hideMark/>
          </w:tcPr>
          <w:p w14:paraId="7F59D02B" w14:textId="77777777" w:rsidR="00EA589C" w:rsidRPr="004827FD" w:rsidRDefault="00EA589C" w:rsidP="00D46545">
            <w:pP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Сибирский федеральный округ</w:t>
            </w:r>
          </w:p>
        </w:tc>
        <w:tc>
          <w:tcPr>
            <w:tcW w:w="1843" w:type="dxa"/>
            <w:vAlign w:val="center"/>
          </w:tcPr>
          <w:p w14:paraId="33940845" w14:textId="77777777" w:rsidR="00EA589C" w:rsidRPr="004827FD" w:rsidRDefault="00B63ABD" w:rsidP="00D46545">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8,2</w:t>
            </w:r>
          </w:p>
        </w:tc>
        <w:tc>
          <w:tcPr>
            <w:tcW w:w="1843" w:type="dxa"/>
            <w:vAlign w:val="center"/>
          </w:tcPr>
          <w:p w14:paraId="510E0247" w14:textId="77777777" w:rsidR="00EA589C" w:rsidRPr="004827FD" w:rsidRDefault="00B63ABD" w:rsidP="00D46545">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6,9</w:t>
            </w:r>
          </w:p>
        </w:tc>
        <w:tc>
          <w:tcPr>
            <w:tcW w:w="1701" w:type="dxa"/>
            <w:vAlign w:val="center"/>
          </w:tcPr>
          <w:p w14:paraId="217A3503" w14:textId="77777777" w:rsidR="00EA589C" w:rsidRPr="004827FD" w:rsidRDefault="00BC6C68" w:rsidP="00D46545">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4,4</w:t>
            </w:r>
          </w:p>
        </w:tc>
      </w:tr>
      <w:tr w:rsidR="00EA589C" w:rsidRPr="00D46545" w14:paraId="57931B6C" w14:textId="77777777" w:rsidTr="00EA589C">
        <w:trPr>
          <w:trHeight w:val="300"/>
        </w:trPr>
        <w:tc>
          <w:tcPr>
            <w:tcW w:w="4786" w:type="dxa"/>
            <w:vAlign w:val="center"/>
            <w:hideMark/>
          </w:tcPr>
          <w:p w14:paraId="721A5AE5"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Алтай</w:t>
            </w:r>
          </w:p>
        </w:tc>
        <w:tc>
          <w:tcPr>
            <w:tcW w:w="1843" w:type="dxa"/>
            <w:vAlign w:val="center"/>
          </w:tcPr>
          <w:p w14:paraId="781DEAAA" w14:textId="77777777" w:rsidR="00EA589C" w:rsidRPr="004827FD" w:rsidRDefault="00575F8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w:t>
            </w:r>
          </w:p>
        </w:tc>
        <w:tc>
          <w:tcPr>
            <w:tcW w:w="1843" w:type="dxa"/>
            <w:vAlign w:val="center"/>
          </w:tcPr>
          <w:p w14:paraId="2EC0761E" w14:textId="77777777" w:rsidR="00EA589C" w:rsidRPr="004827FD" w:rsidRDefault="00575F8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1701" w:type="dxa"/>
            <w:vAlign w:val="center"/>
          </w:tcPr>
          <w:p w14:paraId="28802834" w14:textId="77777777" w:rsidR="00EA589C" w:rsidRPr="004827FD" w:rsidRDefault="00575F8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r>
      <w:tr w:rsidR="00EA589C" w:rsidRPr="00D46545" w14:paraId="134952BE" w14:textId="77777777" w:rsidTr="00EA589C">
        <w:trPr>
          <w:trHeight w:val="300"/>
        </w:trPr>
        <w:tc>
          <w:tcPr>
            <w:tcW w:w="4786" w:type="dxa"/>
            <w:vAlign w:val="center"/>
            <w:hideMark/>
          </w:tcPr>
          <w:p w14:paraId="418FD17B"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Тыва</w:t>
            </w:r>
          </w:p>
        </w:tc>
        <w:tc>
          <w:tcPr>
            <w:tcW w:w="1843" w:type="dxa"/>
            <w:vAlign w:val="center"/>
          </w:tcPr>
          <w:p w14:paraId="45642DF4" w14:textId="77777777" w:rsidR="00EA589C" w:rsidRPr="004827FD" w:rsidRDefault="00575F8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1843" w:type="dxa"/>
            <w:vAlign w:val="center"/>
          </w:tcPr>
          <w:p w14:paraId="2F43D46A" w14:textId="77777777" w:rsidR="00EA589C" w:rsidRPr="004827FD" w:rsidRDefault="00575F8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0,3</w:t>
            </w:r>
          </w:p>
        </w:tc>
        <w:tc>
          <w:tcPr>
            <w:tcW w:w="1701" w:type="dxa"/>
            <w:vAlign w:val="center"/>
          </w:tcPr>
          <w:p w14:paraId="5838BA20" w14:textId="77777777" w:rsidR="00EA589C" w:rsidRPr="004827FD" w:rsidRDefault="00575F8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w:t>
            </w:r>
          </w:p>
        </w:tc>
      </w:tr>
      <w:tr w:rsidR="00EA589C" w:rsidRPr="00D46545" w14:paraId="466F3E02" w14:textId="77777777" w:rsidTr="00EA589C">
        <w:trPr>
          <w:trHeight w:val="300"/>
        </w:trPr>
        <w:tc>
          <w:tcPr>
            <w:tcW w:w="4786" w:type="dxa"/>
            <w:vAlign w:val="center"/>
            <w:hideMark/>
          </w:tcPr>
          <w:p w14:paraId="7EF7F2D3"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Хакасия</w:t>
            </w:r>
          </w:p>
        </w:tc>
        <w:tc>
          <w:tcPr>
            <w:tcW w:w="1843" w:type="dxa"/>
            <w:vAlign w:val="center"/>
          </w:tcPr>
          <w:p w14:paraId="092B8483" w14:textId="77777777" w:rsidR="00EA589C" w:rsidRPr="004827FD" w:rsidRDefault="00575F8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8,9</w:t>
            </w:r>
          </w:p>
        </w:tc>
        <w:tc>
          <w:tcPr>
            <w:tcW w:w="1843" w:type="dxa"/>
            <w:vAlign w:val="center"/>
          </w:tcPr>
          <w:p w14:paraId="658752CE" w14:textId="77777777" w:rsidR="00EA589C" w:rsidRPr="004827FD" w:rsidRDefault="00575F8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6,5</w:t>
            </w:r>
          </w:p>
        </w:tc>
        <w:tc>
          <w:tcPr>
            <w:tcW w:w="1701" w:type="dxa"/>
            <w:vAlign w:val="center"/>
          </w:tcPr>
          <w:p w14:paraId="1380920A" w14:textId="77777777" w:rsidR="00EA589C" w:rsidRPr="004827FD" w:rsidRDefault="00575F8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w:t>
            </w:r>
          </w:p>
        </w:tc>
      </w:tr>
      <w:tr w:rsidR="00EA589C" w:rsidRPr="00D46545" w14:paraId="4D0B3AE1" w14:textId="77777777" w:rsidTr="00EA589C">
        <w:trPr>
          <w:trHeight w:val="300"/>
        </w:trPr>
        <w:tc>
          <w:tcPr>
            <w:tcW w:w="4786" w:type="dxa"/>
            <w:vAlign w:val="center"/>
            <w:hideMark/>
          </w:tcPr>
          <w:p w14:paraId="34AAAB4B"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Алтайский край</w:t>
            </w:r>
          </w:p>
        </w:tc>
        <w:tc>
          <w:tcPr>
            <w:tcW w:w="1843" w:type="dxa"/>
            <w:vAlign w:val="center"/>
          </w:tcPr>
          <w:p w14:paraId="127A2A8D" w14:textId="77777777" w:rsidR="00EA589C" w:rsidRPr="004827FD" w:rsidRDefault="009E4017"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6,6</w:t>
            </w:r>
          </w:p>
        </w:tc>
        <w:tc>
          <w:tcPr>
            <w:tcW w:w="1843" w:type="dxa"/>
            <w:vAlign w:val="center"/>
          </w:tcPr>
          <w:p w14:paraId="73BF0F94" w14:textId="77777777" w:rsidR="00EA589C" w:rsidRPr="004827FD" w:rsidRDefault="009E4017"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9,3</w:t>
            </w:r>
          </w:p>
        </w:tc>
        <w:tc>
          <w:tcPr>
            <w:tcW w:w="1701" w:type="dxa"/>
            <w:vAlign w:val="center"/>
          </w:tcPr>
          <w:p w14:paraId="03C58EFD" w14:textId="77777777" w:rsidR="00EA589C" w:rsidRPr="004827FD" w:rsidRDefault="009E4017"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r>
      <w:tr w:rsidR="00EA589C" w:rsidRPr="00D46545" w14:paraId="42B35E4D" w14:textId="77777777" w:rsidTr="00EA589C">
        <w:trPr>
          <w:trHeight w:val="300"/>
        </w:trPr>
        <w:tc>
          <w:tcPr>
            <w:tcW w:w="4786" w:type="dxa"/>
            <w:vAlign w:val="center"/>
            <w:hideMark/>
          </w:tcPr>
          <w:p w14:paraId="42DEA1B4"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Красноярский край</w:t>
            </w:r>
          </w:p>
        </w:tc>
        <w:tc>
          <w:tcPr>
            <w:tcW w:w="1843" w:type="dxa"/>
            <w:vAlign w:val="center"/>
          </w:tcPr>
          <w:p w14:paraId="71EE59AB" w14:textId="77777777" w:rsidR="00EA589C" w:rsidRPr="004827FD" w:rsidRDefault="009E4017"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8,2</w:t>
            </w:r>
          </w:p>
        </w:tc>
        <w:tc>
          <w:tcPr>
            <w:tcW w:w="1843" w:type="dxa"/>
            <w:vAlign w:val="center"/>
          </w:tcPr>
          <w:p w14:paraId="5FF2E8CF" w14:textId="77777777" w:rsidR="00EA589C" w:rsidRPr="004827FD" w:rsidRDefault="009E4017"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10,2</w:t>
            </w:r>
          </w:p>
        </w:tc>
        <w:tc>
          <w:tcPr>
            <w:tcW w:w="1701" w:type="dxa"/>
            <w:vAlign w:val="center"/>
          </w:tcPr>
          <w:p w14:paraId="04DA386D" w14:textId="77777777" w:rsidR="00EA589C" w:rsidRPr="004827FD" w:rsidRDefault="009E4017"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5,4</w:t>
            </w:r>
          </w:p>
        </w:tc>
      </w:tr>
      <w:tr w:rsidR="00EA589C" w:rsidRPr="00D46545" w14:paraId="2FDBFBEE" w14:textId="77777777" w:rsidTr="00EA589C">
        <w:trPr>
          <w:trHeight w:val="300"/>
        </w:trPr>
        <w:tc>
          <w:tcPr>
            <w:tcW w:w="4786" w:type="dxa"/>
            <w:vAlign w:val="center"/>
            <w:hideMark/>
          </w:tcPr>
          <w:p w14:paraId="76358C5B"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Иркутская область</w:t>
            </w:r>
          </w:p>
        </w:tc>
        <w:tc>
          <w:tcPr>
            <w:tcW w:w="1843" w:type="dxa"/>
            <w:vAlign w:val="center"/>
          </w:tcPr>
          <w:p w14:paraId="7F567DD5" w14:textId="77777777" w:rsidR="00EA589C" w:rsidRPr="004827FD" w:rsidRDefault="009E4017"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6,7</w:t>
            </w:r>
          </w:p>
        </w:tc>
        <w:tc>
          <w:tcPr>
            <w:tcW w:w="1843" w:type="dxa"/>
            <w:vAlign w:val="center"/>
          </w:tcPr>
          <w:p w14:paraId="34266178" w14:textId="77777777" w:rsidR="00EA589C" w:rsidRPr="004827FD" w:rsidRDefault="009E4017"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7,7</w:t>
            </w:r>
          </w:p>
        </w:tc>
        <w:tc>
          <w:tcPr>
            <w:tcW w:w="1701" w:type="dxa"/>
            <w:vAlign w:val="center"/>
          </w:tcPr>
          <w:p w14:paraId="3F7613A2" w14:textId="77777777" w:rsidR="00EA589C" w:rsidRPr="004827FD" w:rsidRDefault="009E4017"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tc>
      </w:tr>
      <w:tr w:rsidR="00EA589C" w:rsidRPr="00D46545" w14:paraId="064EE76E" w14:textId="77777777" w:rsidTr="00EA589C">
        <w:trPr>
          <w:trHeight w:val="300"/>
        </w:trPr>
        <w:tc>
          <w:tcPr>
            <w:tcW w:w="4786" w:type="dxa"/>
            <w:vAlign w:val="center"/>
            <w:hideMark/>
          </w:tcPr>
          <w:p w14:paraId="255C9747"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Кемеровская область</w:t>
            </w:r>
          </w:p>
        </w:tc>
        <w:tc>
          <w:tcPr>
            <w:tcW w:w="1843" w:type="dxa"/>
            <w:vAlign w:val="center"/>
          </w:tcPr>
          <w:p w14:paraId="6C245303" w14:textId="77777777" w:rsidR="00EA589C" w:rsidRPr="004827FD" w:rsidRDefault="009E4017"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11,8</w:t>
            </w:r>
          </w:p>
        </w:tc>
        <w:tc>
          <w:tcPr>
            <w:tcW w:w="1843" w:type="dxa"/>
            <w:vAlign w:val="center"/>
          </w:tcPr>
          <w:p w14:paraId="48917A39" w14:textId="77777777" w:rsidR="00EA589C" w:rsidRPr="004827FD" w:rsidRDefault="009E4017"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p>
        </w:tc>
        <w:tc>
          <w:tcPr>
            <w:tcW w:w="1701" w:type="dxa"/>
            <w:vAlign w:val="center"/>
          </w:tcPr>
          <w:p w14:paraId="100AB859" w14:textId="77777777" w:rsidR="00EA589C" w:rsidRPr="004827FD" w:rsidRDefault="009E4017"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w:t>
            </w:r>
          </w:p>
        </w:tc>
      </w:tr>
      <w:tr w:rsidR="00EA589C" w:rsidRPr="00D46545" w14:paraId="61DE9F9F" w14:textId="77777777" w:rsidTr="00EA589C">
        <w:trPr>
          <w:trHeight w:val="300"/>
        </w:trPr>
        <w:tc>
          <w:tcPr>
            <w:tcW w:w="4786" w:type="dxa"/>
            <w:vAlign w:val="center"/>
            <w:hideMark/>
          </w:tcPr>
          <w:p w14:paraId="1C112A2D"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Новосибирская область</w:t>
            </w:r>
          </w:p>
        </w:tc>
        <w:tc>
          <w:tcPr>
            <w:tcW w:w="1843" w:type="dxa"/>
            <w:vAlign w:val="center"/>
          </w:tcPr>
          <w:p w14:paraId="598BB133" w14:textId="77777777" w:rsidR="00EA589C" w:rsidRPr="004827FD" w:rsidRDefault="009E4017"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w:t>
            </w:r>
          </w:p>
        </w:tc>
        <w:tc>
          <w:tcPr>
            <w:tcW w:w="1843" w:type="dxa"/>
            <w:vAlign w:val="center"/>
          </w:tcPr>
          <w:p w14:paraId="5F19DBD9" w14:textId="77777777" w:rsidR="00EA589C" w:rsidRPr="004827FD" w:rsidRDefault="009E4017"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w:t>
            </w:r>
          </w:p>
        </w:tc>
        <w:tc>
          <w:tcPr>
            <w:tcW w:w="1701" w:type="dxa"/>
            <w:vAlign w:val="center"/>
          </w:tcPr>
          <w:p w14:paraId="7E140A5D" w14:textId="77777777" w:rsidR="00EA589C" w:rsidRPr="004827FD" w:rsidRDefault="009E4017"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w:t>
            </w:r>
          </w:p>
        </w:tc>
      </w:tr>
      <w:tr w:rsidR="00EA589C" w:rsidRPr="00D46545" w14:paraId="61E95091" w14:textId="77777777" w:rsidTr="00EA589C">
        <w:trPr>
          <w:trHeight w:val="300"/>
        </w:trPr>
        <w:tc>
          <w:tcPr>
            <w:tcW w:w="4786" w:type="dxa"/>
            <w:vAlign w:val="center"/>
            <w:hideMark/>
          </w:tcPr>
          <w:p w14:paraId="349E911F"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Омская область</w:t>
            </w:r>
          </w:p>
        </w:tc>
        <w:tc>
          <w:tcPr>
            <w:tcW w:w="1843" w:type="dxa"/>
            <w:vAlign w:val="center"/>
          </w:tcPr>
          <w:p w14:paraId="42321D7D" w14:textId="77777777" w:rsidR="00EA589C" w:rsidRPr="004827FD" w:rsidRDefault="009E4017"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9,8</w:t>
            </w:r>
          </w:p>
        </w:tc>
        <w:tc>
          <w:tcPr>
            <w:tcW w:w="1843" w:type="dxa"/>
            <w:vAlign w:val="center"/>
          </w:tcPr>
          <w:p w14:paraId="17A22C57" w14:textId="77777777" w:rsidR="00EA589C" w:rsidRPr="004827FD" w:rsidRDefault="009E4017"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11,4</w:t>
            </w:r>
          </w:p>
        </w:tc>
        <w:tc>
          <w:tcPr>
            <w:tcW w:w="1701" w:type="dxa"/>
            <w:vAlign w:val="center"/>
          </w:tcPr>
          <w:p w14:paraId="438BB69C" w14:textId="77777777" w:rsidR="00EA589C" w:rsidRPr="004827FD" w:rsidRDefault="009E4017"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w:t>
            </w:r>
          </w:p>
        </w:tc>
      </w:tr>
      <w:tr w:rsidR="00EA589C" w:rsidRPr="00D46545" w14:paraId="511B25F1" w14:textId="77777777" w:rsidTr="00EA589C">
        <w:trPr>
          <w:trHeight w:val="300"/>
        </w:trPr>
        <w:tc>
          <w:tcPr>
            <w:tcW w:w="4786" w:type="dxa"/>
            <w:vAlign w:val="center"/>
            <w:hideMark/>
          </w:tcPr>
          <w:p w14:paraId="4EC4B8F8"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Томская область</w:t>
            </w:r>
          </w:p>
        </w:tc>
        <w:tc>
          <w:tcPr>
            <w:tcW w:w="1843" w:type="dxa"/>
            <w:vAlign w:val="center"/>
          </w:tcPr>
          <w:p w14:paraId="6BF8EA51" w14:textId="77777777" w:rsidR="00EA589C" w:rsidRPr="004827FD" w:rsidRDefault="009E4017"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6,9</w:t>
            </w:r>
          </w:p>
        </w:tc>
        <w:tc>
          <w:tcPr>
            <w:tcW w:w="1843" w:type="dxa"/>
            <w:vAlign w:val="center"/>
          </w:tcPr>
          <w:p w14:paraId="474218AA" w14:textId="77777777" w:rsidR="00EA589C" w:rsidRPr="004827FD" w:rsidRDefault="002C1B0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4,9</w:t>
            </w:r>
          </w:p>
        </w:tc>
        <w:tc>
          <w:tcPr>
            <w:tcW w:w="1701" w:type="dxa"/>
            <w:vAlign w:val="center"/>
          </w:tcPr>
          <w:p w14:paraId="4DB919AF" w14:textId="77777777" w:rsidR="00EA589C" w:rsidRPr="004827FD" w:rsidRDefault="002C1B0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6,9</w:t>
            </w:r>
          </w:p>
        </w:tc>
      </w:tr>
      <w:tr w:rsidR="00EA589C" w:rsidRPr="00D46545" w14:paraId="720B975F" w14:textId="77777777" w:rsidTr="00EA589C">
        <w:trPr>
          <w:trHeight w:val="300"/>
        </w:trPr>
        <w:tc>
          <w:tcPr>
            <w:tcW w:w="4786" w:type="dxa"/>
            <w:vAlign w:val="center"/>
            <w:hideMark/>
          </w:tcPr>
          <w:p w14:paraId="198B6073" w14:textId="77777777" w:rsidR="00EA589C" w:rsidRPr="004827FD" w:rsidRDefault="00EA589C" w:rsidP="00D46545">
            <w:pPr>
              <w:rPr>
                <w:rFonts w:ascii="Times New Roman" w:eastAsia="Times New Roman" w:hAnsi="Times New Roman" w:cs="Times New Roman"/>
                <w:b/>
                <w:bCs/>
                <w:color w:val="000000"/>
                <w:lang w:eastAsia="ru-RU"/>
              </w:rPr>
            </w:pPr>
            <w:r w:rsidRPr="004827FD">
              <w:rPr>
                <w:rFonts w:ascii="Times New Roman" w:eastAsia="Times New Roman" w:hAnsi="Times New Roman" w:cs="Times New Roman"/>
                <w:b/>
                <w:bCs/>
                <w:color w:val="000000"/>
                <w:lang w:eastAsia="ru-RU"/>
              </w:rPr>
              <w:t>Дальневосточный федеральный округ</w:t>
            </w:r>
          </w:p>
        </w:tc>
        <w:tc>
          <w:tcPr>
            <w:tcW w:w="1843" w:type="dxa"/>
            <w:vAlign w:val="center"/>
          </w:tcPr>
          <w:p w14:paraId="12FFE3B6" w14:textId="77777777" w:rsidR="00EA589C" w:rsidRPr="004827FD" w:rsidRDefault="002C1B0B" w:rsidP="00D46545">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6,5</w:t>
            </w:r>
          </w:p>
        </w:tc>
        <w:tc>
          <w:tcPr>
            <w:tcW w:w="1843" w:type="dxa"/>
            <w:vAlign w:val="center"/>
          </w:tcPr>
          <w:p w14:paraId="7DCF7EFA" w14:textId="77777777" w:rsidR="00EA589C" w:rsidRPr="004827FD" w:rsidRDefault="002C1B0B" w:rsidP="00D46545">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5,6</w:t>
            </w:r>
          </w:p>
        </w:tc>
        <w:tc>
          <w:tcPr>
            <w:tcW w:w="1701" w:type="dxa"/>
            <w:vAlign w:val="center"/>
          </w:tcPr>
          <w:p w14:paraId="1C473010" w14:textId="77777777" w:rsidR="00EA589C" w:rsidRPr="004827FD" w:rsidRDefault="002C1B0B" w:rsidP="00D46545">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4,1</w:t>
            </w:r>
          </w:p>
        </w:tc>
      </w:tr>
      <w:tr w:rsidR="00EA589C" w:rsidRPr="00D46545" w14:paraId="36DA2954" w14:textId="77777777" w:rsidTr="00EA589C">
        <w:trPr>
          <w:trHeight w:val="300"/>
        </w:trPr>
        <w:tc>
          <w:tcPr>
            <w:tcW w:w="4786" w:type="dxa"/>
            <w:vAlign w:val="center"/>
            <w:hideMark/>
          </w:tcPr>
          <w:p w14:paraId="41BB153E"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Бурятия</w:t>
            </w:r>
          </w:p>
        </w:tc>
        <w:tc>
          <w:tcPr>
            <w:tcW w:w="1843" w:type="dxa"/>
            <w:vAlign w:val="center"/>
          </w:tcPr>
          <w:p w14:paraId="412ABD92" w14:textId="77777777" w:rsidR="00EA589C" w:rsidRPr="004827FD" w:rsidRDefault="002C1B0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17,6</w:t>
            </w:r>
          </w:p>
        </w:tc>
        <w:tc>
          <w:tcPr>
            <w:tcW w:w="1843" w:type="dxa"/>
            <w:vAlign w:val="center"/>
          </w:tcPr>
          <w:p w14:paraId="1FB75FE9" w14:textId="77777777" w:rsidR="00EA589C" w:rsidRPr="004827FD" w:rsidRDefault="002C1B0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c>
          <w:tcPr>
            <w:tcW w:w="1701" w:type="dxa"/>
            <w:vAlign w:val="center"/>
          </w:tcPr>
          <w:p w14:paraId="58E72743" w14:textId="77777777" w:rsidR="00EA589C" w:rsidRPr="004827FD" w:rsidRDefault="002C1B0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7,1</w:t>
            </w:r>
          </w:p>
        </w:tc>
      </w:tr>
      <w:tr w:rsidR="00EA589C" w:rsidRPr="00D46545" w14:paraId="7B11E0E1" w14:textId="77777777" w:rsidTr="00EA589C">
        <w:trPr>
          <w:trHeight w:val="300"/>
        </w:trPr>
        <w:tc>
          <w:tcPr>
            <w:tcW w:w="4786" w:type="dxa"/>
            <w:vAlign w:val="center"/>
            <w:hideMark/>
          </w:tcPr>
          <w:p w14:paraId="6A705C3F"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Республика Саха (Якутия)</w:t>
            </w:r>
          </w:p>
        </w:tc>
        <w:tc>
          <w:tcPr>
            <w:tcW w:w="1843" w:type="dxa"/>
            <w:vAlign w:val="center"/>
          </w:tcPr>
          <w:p w14:paraId="738FC9D4" w14:textId="77777777" w:rsidR="00EA589C" w:rsidRPr="004827FD" w:rsidRDefault="002C1B0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6,5</w:t>
            </w:r>
          </w:p>
        </w:tc>
        <w:tc>
          <w:tcPr>
            <w:tcW w:w="1843" w:type="dxa"/>
            <w:vAlign w:val="center"/>
          </w:tcPr>
          <w:p w14:paraId="6E3ECE43" w14:textId="77777777" w:rsidR="00EA589C" w:rsidRPr="004827FD" w:rsidRDefault="002C1B0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1701" w:type="dxa"/>
            <w:vAlign w:val="center"/>
          </w:tcPr>
          <w:p w14:paraId="7A7BD11B" w14:textId="77777777" w:rsidR="00EA589C" w:rsidRPr="004827FD" w:rsidRDefault="002C1B0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w:t>
            </w:r>
          </w:p>
        </w:tc>
      </w:tr>
      <w:tr w:rsidR="00EA589C" w:rsidRPr="00D46545" w14:paraId="6A7B1A5E" w14:textId="77777777" w:rsidTr="00EA589C">
        <w:trPr>
          <w:trHeight w:val="300"/>
        </w:trPr>
        <w:tc>
          <w:tcPr>
            <w:tcW w:w="4786" w:type="dxa"/>
            <w:vAlign w:val="center"/>
            <w:hideMark/>
          </w:tcPr>
          <w:p w14:paraId="77ED237A"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Забайкальский край</w:t>
            </w:r>
          </w:p>
        </w:tc>
        <w:tc>
          <w:tcPr>
            <w:tcW w:w="1843" w:type="dxa"/>
            <w:vAlign w:val="center"/>
          </w:tcPr>
          <w:p w14:paraId="5F76F661" w14:textId="77777777" w:rsidR="00EA589C" w:rsidRPr="004827FD" w:rsidRDefault="002C1B0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3,3</w:t>
            </w:r>
          </w:p>
        </w:tc>
        <w:tc>
          <w:tcPr>
            <w:tcW w:w="1843" w:type="dxa"/>
            <w:vAlign w:val="center"/>
          </w:tcPr>
          <w:p w14:paraId="71D6D934" w14:textId="77777777" w:rsidR="00EA589C" w:rsidRPr="004827FD" w:rsidRDefault="002C1B0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w:t>
            </w:r>
          </w:p>
        </w:tc>
        <w:tc>
          <w:tcPr>
            <w:tcW w:w="1701" w:type="dxa"/>
            <w:vAlign w:val="center"/>
          </w:tcPr>
          <w:p w14:paraId="5A57844B" w14:textId="77777777" w:rsidR="00EA589C" w:rsidRPr="004827FD" w:rsidRDefault="002C1B0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w:t>
            </w:r>
          </w:p>
        </w:tc>
      </w:tr>
      <w:tr w:rsidR="00EA589C" w:rsidRPr="00D46545" w14:paraId="1DDAB14A" w14:textId="77777777" w:rsidTr="00EA589C">
        <w:trPr>
          <w:trHeight w:val="300"/>
        </w:trPr>
        <w:tc>
          <w:tcPr>
            <w:tcW w:w="4786" w:type="dxa"/>
            <w:vAlign w:val="center"/>
            <w:hideMark/>
          </w:tcPr>
          <w:p w14:paraId="0FAF8249"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Камчатский край</w:t>
            </w:r>
          </w:p>
        </w:tc>
        <w:tc>
          <w:tcPr>
            <w:tcW w:w="1843" w:type="dxa"/>
            <w:vAlign w:val="center"/>
          </w:tcPr>
          <w:p w14:paraId="5B25E0D7" w14:textId="77777777" w:rsidR="00EA589C" w:rsidRPr="004827FD" w:rsidRDefault="002C1B0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10,8</w:t>
            </w:r>
          </w:p>
        </w:tc>
        <w:tc>
          <w:tcPr>
            <w:tcW w:w="1843" w:type="dxa"/>
            <w:vAlign w:val="center"/>
          </w:tcPr>
          <w:p w14:paraId="572F8C65" w14:textId="77777777" w:rsidR="00EA589C" w:rsidRPr="004827FD" w:rsidRDefault="002C1B0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w:t>
            </w:r>
          </w:p>
        </w:tc>
        <w:tc>
          <w:tcPr>
            <w:tcW w:w="1701" w:type="dxa"/>
            <w:vAlign w:val="center"/>
          </w:tcPr>
          <w:p w14:paraId="5629D4EF" w14:textId="77777777" w:rsidR="00EA589C" w:rsidRPr="004827FD" w:rsidRDefault="002C1B0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6,7</w:t>
            </w:r>
          </w:p>
        </w:tc>
      </w:tr>
      <w:tr w:rsidR="00EA589C" w:rsidRPr="00D46545" w14:paraId="609E85FB" w14:textId="77777777" w:rsidTr="00EA589C">
        <w:trPr>
          <w:trHeight w:val="300"/>
        </w:trPr>
        <w:tc>
          <w:tcPr>
            <w:tcW w:w="4786" w:type="dxa"/>
            <w:vAlign w:val="center"/>
            <w:hideMark/>
          </w:tcPr>
          <w:p w14:paraId="69D01CE7"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Приморский край</w:t>
            </w:r>
          </w:p>
        </w:tc>
        <w:tc>
          <w:tcPr>
            <w:tcW w:w="1843" w:type="dxa"/>
            <w:vAlign w:val="center"/>
          </w:tcPr>
          <w:p w14:paraId="6FF1AC85" w14:textId="77777777" w:rsidR="00EA589C" w:rsidRPr="004827FD" w:rsidRDefault="002C1B0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w:t>
            </w:r>
          </w:p>
        </w:tc>
        <w:tc>
          <w:tcPr>
            <w:tcW w:w="1843" w:type="dxa"/>
            <w:vAlign w:val="center"/>
          </w:tcPr>
          <w:p w14:paraId="25746C05" w14:textId="77777777" w:rsidR="00EA589C" w:rsidRPr="004827FD" w:rsidRDefault="002C1B0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8,6</w:t>
            </w:r>
          </w:p>
        </w:tc>
        <w:tc>
          <w:tcPr>
            <w:tcW w:w="1701" w:type="dxa"/>
            <w:vAlign w:val="center"/>
          </w:tcPr>
          <w:p w14:paraId="7E60BF79" w14:textId="77777777" w:rsidR="00EA589C" w:rsidRPr="004827FD" w:rsidRDefault="002C1B0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r>
      <w:tr w:rsidR="00EA589C" w:rsidRPr="00D46545" w14:paraId="4E6BE6AC" w14:textId="77777777" w:rsidTr="00EA589C">
        <w:trPr>
          <w:trHeight w:val="300"/>
        </w:trPr>
        <w:tc>
          <w:tcPr>
            <w:tcW w:w="4786" w:type="dxa"/>
            <w:vAlign w:val="center"/>
            <w:hideMark/>
          </w:tcPr>
          <w:p w14:paraId="3C86E64B"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Хабаровский край</w:t>
            </w:r>
          </w:p>
        </w:tc>
        <w:tc>
          <w:tcPr>
            <w:tcW w:w="1843" w:type="dxa"/>
            <w:vAlign w:val="center"/>
          </w:tcPr>
          <w:p w14:paraId="1E3DAB9B" w14:textId="77777777" w:rsidR="00EA589C" w:rsidRPr="004827FD" w:rsidRDefault="002C1B0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1843" w:type="dxa"/>
            <w:vAlign w:val="center"/>
          </w:tcPr>
          <w:p w14:paraId="3EED236A" w14:textId="77777777" w:rsidR="00EA589C" w:rsidRPr="004827FD" w:rsidRDefault="002C1B0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w:t>
            </w:r>
          </w:p>
        </w:tc>
        <w:tc>
          <w:tcPr>
            <w:tcW w:w="1701" w:type="dxa"/>
            <w:vAlign w:val="center"/>
          </w:tcPr>
          <w:p w14:paraId="2A7465A3" w14:textId="77777777" w:rsidR="00EA589C" w:rsidRPr="004827FD" w:rsidRDefault="002C1B0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r>
      <w:tr w:rsidR="00EA589C" w:rsidRPr="00D46545" w14:paraId="4C523FAC" w14:textId="77777777" w:rsidTr="00EA589C">
        <w:trPr>
          <w:trHeight w:val="300"/>
        </w:trPr>
        <w:tc>
          <w:tcPr>
            <w:tcW w:w="4786" w:type="dxa"/>
            <w:vAlign w:val="center"/>
            <w:hideMark/>
          </w:tcPr>
          <w:p w14:paraId="1C7D20C4"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Амурская область</w:t>
            </w:r>
          </w:p>
        </w:tc>
        <w:tc>
          <w:tcPr>
            <w:tcW w:w="1843" w:type="dxa"/>
            <w:vAlign w:val="center"/>
          </w:tcPr>
          <w:p w14:paraId="075EAF3C" w14:textId="77777777" w:rsidR="00EA589C" w:rsidRPr="004827FD" w:rsidRDefault="002C1B0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5,4</w:t>
            </w:r>
          </w:p>
        </w:tc>
        <w:tc>
          <w:tcPr>
            <w:tcW w:w="1843" w:type="dxa"/>
            <w:vAlign w:val="center"/>
          </w:tcPr>
          <w:p w14:paraId="567554D5" w14:textId="77777777" w:rsidR="00EA589C" w:rsidRPr="004827FD" w:rsidRDefault="002C1B0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w:t>
            </w:r>
          </w:p>
        </w:tc>
        <w:tc>
          <w:tcPr>
            <w:tcW w:w="1701" w:type="dxa"/>
            <w:vAlign w:val="center"/>
          </w:tcPr>
          <w:p w14:paraId="6E444685" w14:textId="77777777" w:rsidR="00EA589C" w:rsidRPr="004827FD" w:rsidRDefault="002C1B0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w:t>
            </w:r>
          </w:p>
        </w:tc>
      </w:tr>
      <w:tr w:rsidR="00EA589C" w:rsidRPr="00D46545" w14:paraId="546A57E4" w14:textId="77777777" w:rsidTr="00EA589C">
        <w:trPr>
          <w:trHeight w:val="300"/>
        </w:trPr>
        <w:tc>
          <w:tcPr>
            <w:tcW w:w="4786" w:type="dxa"/>
            <w:vAlign w:val="center"/>
            <w:hideMark/>
          </w:tcPr>
          <w:p w14:paraId="0A617DEF"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Магаданская область</w:t>
            </w:r>
          </w:p>
        </w:tc>
        <w:tc>
          <w:tcPr>
            <w:tcW w:w="1843" w:type="dxa"/>
            <w:vAlign w:val="center"/>
          </w:tcPr>
          <w:p w14:paraId="5928E222" w14:textId="77777777" w:rsidR="00EA589C" w:rsidRPr="004827FD" w:rsidRDefault="002C1B0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14,4</w:t>
            </w:r>
          </w:p>
        </w:tc>
        <w:tc>
          <w:tcPr>
            <w:tcW w:w="1843" w:type="dxa"/>
            <w:vAlign w:val="center"/>
          </w:tcPr>
          <w:p w14:paraId="107827EB" w14:textId="77777777" w:rsidR="00EA589C" w:rsidRPr="004827FD" w:rsidRDefault="002C1B0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0,2</w:t>
            </w:r>
          </w:p>
        </w:tc>
        <w:tc>
          <w:tcPr>
            <w:tcW w:w="1701" w:type="dxa"/>
            <w:vAlign w:val="center"/>
          </w:tcPr>
          <w:p w14:paraId="6CA0159F" w14:textId="77777777" w:rsidR="00EA589C" w:rsidRPr="004827FD" w:rsidRDefault="002C1B0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r>
      <w:tr w:rsidR="00EA589C" w:rsidRPr="00D46545" w14:paraId="34551158" w14:textId="77777777" w:rsidTr="00EA589C">
        <w:trPr>
          <w:trHeight w:val="300"/>
        </w:trPr>
        <w:tc>
          <w:tcPr>
            <w:tcW w:w="4786" w:type="dxa"/>
            <w:vAlign w:val="center"/>
            <w:hideMark/>
          </w:tcPr>
          <w:p w14:paraId="0EBAABA9"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Сахалинская область</w:t>
            </w:r>
          </w:p>
        </w:tc>
        <w:tc>
          <w:tcPr>
            <w:tcW w:w="1843" w:type="dxa"/>
            <w:vAlign w:val="center"/>
          </w:tcPr>
          <w:p w14:paraId="2A58201A" w14:textId="77777777" w:rsidR="00EA589C" w:rsidRPr="004827FD" w:rsidRDefault="002C1B0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4,0</w:t>
            </w:r>
          </w:p>
        </w:tc>
        <w:tc>
          <w:tcPr>
            <w:tcW w:w="1843" w:type="dxa"/>
            <w:vAlign w:val="center"/>
          </w:tcPr>
          <w:p w14:paraId="11D457A5" w14:textId="77777777" w:rsidR="00EA589C" w:rsidRPr="004827FD" w:rsidRDefault="002C1B0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11,4</w:t>
            </w:r>
          </w:p>
        </w:tc>
        <w:tc>
          <w:tcPr>
            <w:tcW w:w="1701" w:type="dxa"/>
            <w:vAlign w:val="center"/>
          </w:tcPr>
          <w:p w14:paraId="1A331263" w14:textId="77777777" w:rsidR="00EA589C" w:rsidRPr="004827FD" w:rsidRDefault="002C1B0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9,4</w:t>
            </w:r>
          </w:p>
        </w:tc>
      </w:tr>
      <w:tr w:rsidR="00EA589C" w:rsidRPr="00D46545" w14:paraId="47049F3D" w14:textId="77777777" w:rsidTr="00EA589C">
        <w:trPr>
          <w:trHeight w:val="300"/>
        </w:trPr>
        <w:tc>
          <w:tcPr>
            <w:tcW w:w="4786" w:type="dxa"/>
            <w:vAlign w:val="center"/>
            <w:hideMark/>
          </w:tcPr>
          <w:p w14:paraId="3E872B58"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Еврейская автономная область</w:t>
            </w:r>
          </w:p>
        </w:tc>
        <w:tc>
          <w:tcPr>
            <w:tcW w:w="1843" w:type="dxa"/>
            <w:vAlign w:val="center"/>
          </w:tcPr>
          <w:p w14:paraId="6296A8A8" w14:textId="77777777" w:rsidR="00EA589C" w:rsidRPr="004827FD" w:rsidRDefault="002C1B0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11,5</w:t>
            </w:r>
          </w:p>
        </w:tc>
        <w:tc>
          <w:tcPr>
            <w:tcW w:w="1843" w:type="dxa"/>
            <w:vAlign w:val="center"/>
          </w:tcPr>
          <w:p w14:paraId="48D11F21" w14:textId="77777777" w:rsidR="00EA589C" w:rsidRPr="004827FD" w:rsidRDefault="002C1B0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13,8</w:t>
            </w:r>
          </w:p>
        </w:tc>
        <w:tc>
          <w:tcPr>
            <w:tcW w:w="1701" w:type="dxa"/>
            <w:vAlign w:val="center"/>
          </w:tcPr>
          <w:p w14:paraId="19A4169F" w14:textId="77777777" w:rsidR="00EA589C" w:rsidRPr="004827FD" w:rsidRDefault="002C1B0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13,4</w:t>
            </w:r>
          </w:p>
        </w:tc>
      </w:tr>
      <w:tr w:rsidR="00EA589C" w:rsidRPr="00D46545" w14:paraId="1D76E205" w14:textId="77777777" w:rsidTr="00EA589C">
        <w:trPr>
          <w:trHeight w:val="300"/>
        </w:trPr>
        <w:tc>
          <w:tcPr>
            <w:tcW w:w="4786" w:type="dxa"/>
            <w:vAlign w:val="center"/>
            <w:hideMark/>
          </w:tcPr>
          <w:p w14:paraId="175DB9F5" w14:textId="77777777" w:rsidR="00EA589C" w:rsidRPr="004827FD" w:rsidRDefault="00EA589C" w:rsidP="00D46545">
            <w:pPr>
              <w:rPr>
                <w:rFonts w:ascii="Times New Roman" w:eastAsia="Times New Roman" w:hAnsi="Times New Roman" w:cs="Times New Roman"/>
                <w:color w:val="000000"/>
                <w:lang w:eastAsia="ru-RU"/>
              </w:rPr>
            </w:pPr>
            <w:r w:rsidRPr="004827FD">
              <w:rPr>
                <w:rFonts w:ascii="Times New Roman" w:eastAsia="Times New Roman" w:hAnsi="Times New Roman" w:cs="Times New Roman"/>
                <w:color w:val="000000"/>
                <w:lang w:eastAsia="ru-RU"/>
              </w:rPr>
              <w:t>Чукотский автономный округ</w:t>
            </w:r>
          </w:p>
        </w:tc>
        <w:tc>
          <w:tcPr>
            <w:tcW w:w="1843" w:type="dxa"/>
            <w:vAlign w:val="center"/>
          </w:tcPr>
          <w:p w14:paraId="01B3BAD5" w14:textId="77777777" w:rsidR="00EA589C" w:rsidRPr="004827FD" w:rsidRDefault="002C1B0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w:t>
            </w:r>
          </w:p>
        </w:tc>
        <w:tc>
          <w:tcPr>
            <w:tcW w:w="1843" w:type="dxa"/>
            <w:vAlign w:val="center"/>
          </w:tcPr>
          <w:p w14:paraId="67133426" w14:textId="77777777" w:rsidR="00EA589C" w:rsidRPr="004827FD" w:rsidRDefault="002C1B0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0,4</w:t>
            </w:r>
          </w:p>
        </w:tc>
        <w:tc>
          <w:tcPr>
            <w:tcW w:w="1701" w:type="dxa"/>
            <w:vAlign w:val="center"/>
          </w:tcPr>
          <w:p w14:paraId="66C48D8A" w14:textId="77777777" w:rsidR="00EA589C" w:rsidRPr="004827FD" w:rsidRDefault="002C1B0B" w:rsidP="00D4654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bl>
    <w:p w14:paraId="74C98918" w14:textId="77777777" w:rsidR="00663F82" w:rsidRDefault="00663F82" w:rsidP="00663F82">
      <w:pPr>
        <w:spacing w:after="0" w:line="240" w:lineRule="auto"/>
        <w:rPr>
          <w:rFonts w:ascii="Times New Roman" w:eastAsia="Times New Roman" w:hAnsi="Times New Roman" w:cs="Times New Roman"/>
          <w:sz w:val="28"/>
          <w:szCs w:val="28"/>
          <w:lang w:eastAsia="ru-RU"/>
        </w:rPr>
      </w:pPr>
    </w:p>
    <w:p w14:paraId="64ECDD55" w14:textId="77777777" w:rsidR="002F531B" w:rsidRDefault="002F531B" w:rsidP="0009498F">
      <w:pPr>
        <w:spacing w:after="0" w:line="240" w:lineRule="auto"/>
        <w:ind w:firstLine="284"/>
        <w:jc w:val="right"/>
        <w:rPr>
          <w:rFonts w:ascii="Times New Roman" w:eastAsia="Times New Roman" w:hAnsi="Times New Roman" w:cs="Times New Roman"/>
          <w:sz w:val="28"/>
          <w:szCs w:val="28"/>
          <w:lang w:eastAsia="ru-RU"/>
        </w:rPr>
      </w:pPr>
    </w:p>
    <w:p w14:paraId="6DF3F37F" w14:textId="77777777" w:rsidR="002F531B" w:rsidRDefault="002F531B" w:rsidP="0009498F">
      <w:pPr>
        <w:spacing w:after="0" w:line="240" w:lineRule="auto"/>
        <w:ind w:firstLine="284"/>
        <w:jc w:val="right"/>
        <w:rPr>
          <w:rFonts w:ascii="Times New Roman" w:eastAsia="Times New Roman" w:hAnsi="Times New Roman" w:cs="Times New Roman"/>
          <w:sz w:val="28"/>
          <w:szCs w:val="28"/>
          <w:lang w:eastAsia="ru-RU"/>
        </w:rPr>
      </w:pPr>
    </w:p>
    <w:p w14:paraId="42D14560" w14:textId="77777777" w:rsidR="002F531B" w:rsidRDefault="002F531B" w:rsidP="0009498F">
      <w:pPr>
        <w:spacing w:after="0" w:line="240" w:lineRule="auto"/>
        <w:ind w:firstLine="284"/>
        <w:jc w:val="right"/>
        <w:rPr>
          <w:rFonts w:ascii="Times New Roman" w:eastAsia="Times New Roman" w:hAnsi="Times New Roman" w:cs="Times New Roman"/>
          <w:sz w:val="28"/>
          <w:szCs w:val="28"/>
          <w:lang w:eastAsia="ru-RU"/>
        </w:rPr>
      </w:pPr>
    </w:p>
    <w:p w14:paraId="715F3FA0" w14:textId="77777777" w:rsidR="002F531B" w:rsidRDefault="002F531B" w:rsidP="0009498F">
      <w:pPr>
        <w:spacing w:after="0" w:line="240" w:lineRule="auto"/>
        <w:ind w:firstLine="284"/>
        <w:jc w:val="right"/>
        <w:rPr>
          <w:rFonts w:ascii="Times New Roman" w:eastAsia="Times New Roman" w:hAnsi="Times New Roman" w:cs="Times New Roman"/>
          <w:sz w:val="28"/>
          <w:szCs w:val="28"/>
          <w:lang w:eastAsia="ru-RU"/>
        </w:rPr>
      </w:pPr>
    </w:p>
    <w:p w14:paraId="6E18CF77" w14:textId="77777777" w:rsidR="002F531B" w:rsidRDefault="002F531B" w:rsidP="0009498F">
      <w:pPr>
        <w:spacing w:after="0" w:line="240" w:lineRule="auto"/>
        <w:ind w:firstLine="284"/>
        <w:jc w:val="right"/>
        <w:rPr>
          <w:rFonts w:ascii="Times New Roman" w:eastAsia="Times New Roman" w:hAnsi="Times New Roman" w:cs="Times New Roman"/>
          <w:sz w:val="28"/>
          <w:szCs w:val="28"/>
          <w:lang w:eastAsia="ru-RU"/>
        </w:rPr>
      </w:pPr>
    </w:p>
    <w:p w14:paraId="48DBE943" w14:textId="77777777" w:rsidR="002F531B" w:rsidRDefault="002F531B" w:rsidP="0009498F">
      <w:pPr>
        <w:spacing w:after="0" w:line="240" w:lineRule="auto"/>
        <w:ind w:firstLine="284"/>
        <w:jc w:val="right"/>
        <w:rPr>
          <w:rFonts w:ascii="Times New Roman" w:eastAsia="Times New Roman" w:hAnsi="Times New Roman" w:cs="Times New Roman"/>
          <w:sz w:val="28"/>
          <w:szCs w:val="28"/>
          <w:lang w:eastAsia="ru-RU"/>
        </w:rPr>
      </w:pPr>
    </w:p>
    <w:p w14:paraId="379091DF" w14:textId="77777777" w:rsidR="002F531B" w:rsidRDefault="002F531B" w:rsidP="0009498F">
      <w:pPr>
        <w:spacing w:after="0" w:line="240" w:lineRule="auto"/>
        <w:ind w:firstLine="284"/>
        <w:jc w:val="right"/>
        <w:rPr>
          <w:rFonts w:ascii="Times New Roman" w:eastAsia="Times New Roman" w:hAnsi="Times New Roman" w:cs="Times New Roman"/>
          <w:sz w:val="28"/>
          <w:szCs w:val="28"/>
          <w:lang w:eastAsia="ru-RU"/>
        </w:rPr>
      </w:pPr>
    </w:p>
    <w:p w14:paraId="4038EC62" w14:textId="77777777" w:rsidR="002F531B" w:rsidRDefault="002F531B" w:rsidP="0009498F">
      <w:pPr>
        <w:spacing w:after="0" w:line="240" w:lineRule="auto"/>
        <w:ind w:firstLine="284"/>
        <w:jc w:val="right"/>
        <w:rPr>
          <w:rFonts w:ascii="Times New Roman" w:eastAsia="Times New Roman" w:hAnsi="Times New Roman" w:cs="Times New Roman"/>
          <w:sz w:val="28"/>
          <w:szCs w:val="28"/>
          <w:lang w:eastAsia="ru-RU"/>
        </w:rPr>
      </w:pPr>
    </w:p>
    <w:p w14:paraId="17F2B209" w14:textId="77777777" w:rsidR="0009498F" w:rsidRDefault="0009498F" w:rsidP="0009498F">
      <w:pPr>
        <w:spacing w:after="0" w:line="240" w:lineRule="auto"/>
        <w:ind w:firstLine="284"/>
        <w:jc w:val="right"/>
        <w:rPr>
          <w:rFonts w:ascii="Times New Roman" w:eastAsia="Times New Roman" w:hAnsi="Times New Roman" w:cs="Times New Roman"/>
          <w:sz w:val="28"/>
          <w:szCs w:val="28"/>
          <w:lang w:eastAsia="ru-RU"/>
        </w:rPr>
      </w:pPr>
      <w:r w:rsidRPr="004F2243">
        <w:rPr>
          <w:rFonts w:ascii="Times New Roman" w:eastAsia="Times New Roman" w:hAnsi="Times New Roman" w:cs="Times New Roman"/>
          <w:sz w:val="28"/>
          <w:szCs w:val="28"/>
          <w:lang w:eastAsia="ru-RU"/>
        </w:rPr>
        <w:t>Таблица 6</w:t>
      </w:r>
      <w:r w:rsidR="009E6765">
        <w:rPr>
          <w:rFonts w:ascii="Times New Roman" w:eastAsia="Times New Roman" w:hAnsi="Times New Roman" w:cs="Times New Roman"/>
          <w:sz w:val="28"/>
          <w:szCs w:val="28"/>
          <w:lang w:eastAsia="ru-RU"/>
        </w:rPr>
        <w:t>4</w:t>
      </w:r>
    </w:p>
    <w:p w14:paraId="54A4CA87" w14:textId="77777777" w:rsidR="0009498F" w:rsidRPr="00ED7614" w:rsidRDefault="0009498F" w:rsidP="0009498F">
      <w:pPr>
        <w:spacing w:after="0" w:line="240" w:lineRule="auto"/>
        <w:ind w:firstLine="284"/>
        <w:jc w:val="both"/>
        <w:rPr>
          <w:rFonts w:ascii="Times New Roman" w:eastAsia="Times New Roman" w:hAnsi="Times New Roman" w:cs="Times New Roman"/>
          <w:sz w:val="28"/>
          <w:szCs w:val="28"/>
          <w:lang w:eastAsia="ru-RU"/>
        </w:rPr>
      </w:pPr>
    </w:p>
    <w:p w14:paraId="50FA6CEA" w14:textId="77777777" w:rsidR="0009498F" w:rsidRPr="00ED7614" w:rsidRDefault="0009498F" w:rsidP="0009498F">
      <w:pPr>
        <w:spacing w:after="0" w:line="240" w:lineRule="auto"/>
        <w:ind w:right="141"/>
        <w:jc w:val="center"/>
        <w:rPr>
          <w:rFonts w:ascii="Times New Roman" w:hAnsi="Times New Roman"/>
          <w:b/>
          <w:bCs/>
          <w:sz w:val="26"/>
          <w:szCs w:val="26"/>
          <w:lang w:eastAsia="ru-RU"/>
        </w:rPr>
      </w:pPr>
      <w:r w:rsidRPr="00372E58">
        <w:rPr>
          <w:rFonts w:ascii="Times New Roman" w:hAnsi="Times New Roman"/>
          <w:b/>
          <w:bCs/>
          <w:sz w:val="26"/>
          <w:szCs w:val="26"/>
          <w:lang w:eastAsia="ru-RU"/>
        </w:rPr>
        <w:t xml:space="preserve">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w:t>
      </w:r>
      <w:r>
        <w:rPr>
          <w:rFonts w:ascii="Times New Roman" w:hAnsi="Times New Roman"/>
          <w:b/>
          <w:bCs/>
          <w:sz w:val="26"/>
          <w:szCs w:val="26"/>
          <w:lang w:eastAsia="ru-RU"/>
        </w:rPr>
        <w:t>в 2021</w:t>
      </w:r>
      <w:r w:rsidRPr="00372E58">
        <w:rPr>
          <w:rFonts w:ascii="Times New Roman" w:hAnsi="Times New Roman"/>
          <w:b/>
          <w:bCs/>
          <w:sz w:val="26"/>
          <w:szCs w:val="26"/>
          <w:lang w:eastAsia="ru-RU"/>
        </w:rPr>
        <w:t xml:space="preserve"> году</w:t>
      </w:r>
    </w:p>
    <w:p w14:paraId="32313EFA" w14:textId="77777777" w:rsidR="0009498F" w:rsidRDefault="0009498F" w:rsidP="0009498F">
      <w:pPr>
        <w:spacing w:after="0" w:line="240" w:lineRule="auto"/>
        <w:ind w:firstLine="284"/>
        <w:jc w:val="center"/>
        <w:rPr>
          <w:rFonts w:ascii="Times New Roman" w:hAnsi="Times New Roman"/>
          <w:sz w:val="24"/>
          <w:szCs w:val="24"/>
          <w:lang w:val="en-US"/>
        </w:rPr>
      </w:pPr>
      <w:r>
        <w:rPr>
          <w:rFonts w:ascii="Times New Roman" w:hAnsi="Times New Roman"/>
          <w:sz w:val="24"/>
          <w:szCs w:val="24"/>
        </w:rPr>
        <w:t>(тыс. рублей)</w:t>
      </w:r>
    </w:p>
    <w:p w14:paraId="2649BADD" w14:textId="77777777" w:rsidR="0009498F" w:rsidRPr="001070A1" w:rsidRDefault="0009498F" w:rsidP="0009498F">
      <w:pPr>
        <w:spacing w:after="0" w:line="240" w:lineRule="auto"/>
        <w:ind w:firstLine="284"/>
        <w:jc w:val="center"/>
        <w:rPr>
          <w:rFonts w:ascii="Times New Roman" w:hAnsi="Times New Roman"/>
          <w:sz w:val="24"/>
          <w:szCs w:val="24"/>
          <w:lang w:val="en-US"/>
        </w:rPr>
      </w:pPr>
    </w:p>
    <w:tbl>
      <w:tblPr>
        <w:tblW w:w="10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1801"/>
        <w:gridCol w:w="2123"/>
        <w:gridCol w:w="2002"/>
      </w:tblGrid>
      <w:tr w:rsidR="0009498F" w:rsidRPr="007B3BFB" w14:paraId="7E882F83" w14:textId="77777777" w:rsidTr="0009498F">
        <w:tc>
          <w:tcPr>
            <w:tcW w:w="4686" w:type="dxa"/>
            <w:vMerge w:val="restart"/>
            <w:shd w:val="clear" w:color="auto" w:fill="auto"/>
          </w:tcPr>
          <w:p w14:paraId="7592730B" w14:textId="77777777" w:rsidR="0009498F" w:rsidRPr="007B3BFB" w:rsidRDefault="0009498F" w:rsidP="00917E61">
            <w:pPr>
              <w:rPr>
                <w:rFonts w:ascii="Times New Roman" w:hAnsi="Times New Roman"/>
                <w:lang w:val="en-US"/>
              </w:rPr>
            </w:pPr>
          </w:p>
        </w:tc>
        <w:tc>
          <w:tcPr>
            <w:tcW w:w="1801" w:type="dxa"/>
            <w:vMerge w:val="restart"/>
            <w:shd w:val="clear" w:color="auto" w:fill="auto"/>
            <w:vAlign w:val="center"/>
          </w:tcPr>
          <w:p w14:paraId="0E546722" w14:textId="77777777" w:rsidR="0009498F" w:rsidRPr="007B3BFB" w:rsidRDefault="0009498F" w:rsidP="00917E61">
            <w:pPr>
              <w:jc w:val="center"/>
              <w:rPr>
                <w:rFonts w:ascii="Times New Roman" w:hAnsi="Times New Roman"/>
                <w:b/>
              </w:rPr>
            </w:pPr>
            <w:r w:rsidRPr="007B3BFB">
              <w:rPr>
                <w:rFonts w:ascii="Times New Roman" w:hAnsi="Times New Roman"/>
                <w:b/>
              </w:rPr>
              <w:t>Всего</w:t>
            </w:r>
          </w:p>
        </w:tc>
        <w:tc>
          <w:tcPr>
            <w:tcW w:w="4125" w:type="dxa"/>
            <w:gridSpan w:val="2"/>
            <w:shd w:val="clear" w:color="auto" w:fill="auto"/>
            <w:vAlign w:val="center"/>
          </w:tcPr>
          <w:p w14:paraId="570539D3" w14:textId="77777777" w:rsidR="0009498F" w:rsidRPr="007B3BFB" w:rsidRDefault="0009498F" w:rsidP="00917E61">
            <w:pPr>
              <w:jc w:val="center"/>
              <w:rPr>
                <w:rFonts w:ascii="Times New Roman" w:hAnsi="Times New Roman"/>
                <w:b/>
              </w:rPr>
            </w:pPr>
            <w:r w:rsidRPr="007B3BFB">
              <w:rPr>
                <w:rFonts w:ascii="Times New Roman" w:hAnsi="Times New Roman"/>
                <w:b/>
              </w:rPr>
              <w:t>в том числе:</w:t>
            </w:r>
          </w:p>
        </w:tc>
      </w:tr>
      <w:tr w:rsidR="0009498F" w:rsidRPr="007B3BFB" w14:paraId="128FF968" w14:textId="77777777" w:rsidTr="0009498F">
        <w:tc>
          <w:tcPr>
            <w:tcW w:w="4686" w:type="dxa"/>
            <w:vMerge/>
            <w:shd w:val="clear" w:color="auto" w:fill="auto"/>
          </w:tcPr>
          <w:p w14:paraId="4993A8F4" w14:textId="77777777" w:rsidR="0009498F" w:rsidRPr="007B3BFB" w:rsidRDefault="0009498F" w:rsidP="00917E61">
            <w:pPr>
              <w:rPr>
                <w:rFonts w:ascii="Times New Roman" w:hAnsi="Times New Roman"/>
                <w:lang w:val="en-US"/>
              </w:rPr>
            </w:pPr>
          </w:p>
        </w:tc>
        <w:tc>
          <w:tcPr>
            <w:tcW w:w="1801" w:type="dxa"/>
            <w:vMerge/>
            <w:shd w:val="clear" w:color="auto" w:fill="auto"/>
            <w:vAlign w:val="center"/>
          </w:tcPr>
          <w:p w14:paraId="40C575ED" w14:textId="77777777" w:rsidR="0009498F" w:rsidRPr="007B3BFB" w:rsidRDefault="0009498F" w:rsidP="00917E61">
            <w:pPr>
              <w:jc w:val="center"/>
              <w:rPr>
                <w:rFonts w:ascii="Times New Roman" w:hAnsi="Times New Roman"/>
                <w:b/>
              </w:rPr>
            </w:pPr>
          </w:p>
        </w:tc>
        <w:tc>
          <w:tcPr>
            <w:tcW w:w="2123" w:type="dxa"/>
            <w:shd w:val="clear" w:color="auto" w:fill="auto"/>
            <w:vAlign w:val="center"/>
          </w:tcPr>
          <w:p w14:paraId="7249E467" w14:textId="77777777" w:rsidR="0009498F" w:rsidRPr="007B3BFB" w:rsidRDefault="0009498F" w:rsidP="00917E61">
            <w:pPr>
              <w:jc w:val="center"/>
              <w:rPr>
                <w:rFonts w:ascii="Times New Roman" w:hAnsi="Times New Roman"/>
                <w:b/>
              </w:rPr>
            </w:pPr>
            <w:r w:rsidRPr="007B3BFB">
              <w:rPr>
                <w:rFonts w:ascii="Times New Roman" w:hAnsi="Times New Roman"/>
                <w:b/>
              </w:rPr>
              <w:t>в натуральной форме</w:t>
            </w:r>
          </w:p>
        </w:tc>
        <w:tc>
          <w:tcPr>
            <w:tcW w:w="2002" w:type="dxa"/>
            <w:shd w:val="clear" w:color="auto" w:fill="auto"/>
            <w:vAlign w:val="center"/>
          </w:tcPr>
          <w:p w14:paraId="17CC456C" w14:textId="77777777" w:rsidR="0009498F" w:rsidRPr="007B3BFB" w:rsidRDefault="0009498F" w:rsidP="00917E61">
            <w:pPr>
              <w:jc w:val="center"/>
              <w:rPr>
                <w:rFonts w:ascii="Times New Roman" w:hAnsi="Times New Roman"/>
                <w:b/>
              </w:rPr>
            </w:pPr>
            <w:r w:rsidRPr="007B3BFB">
              <w:rPr>
                <w:rFonts w:ascii="Times New Roman" w:hAnsi="Times New Roman"/>
                <w:b/>
              </w:rPr>
              <w:t>в денежной форме</w:t>
            </w:r>
          </w:p>
        </w:tc>
      </w:tr>
      <w:tr w:rsidR="0009498F" w:rsidRPr="007B3BFB" w14:paraId="1DAA1964" w14:textId="77777777" w:rsidTr="0009498F">
        <w:tc>
          <w:tcPr>
            <w:tcW w:w="4686" w:type="dxa"/>
            <w:shd w:val="clear" w:color="auto" w:fill="auto"/>
            <w:vAlign w:val="center"/>
          </w:tcPr>
          <w:p w14:paraId="385FD4F6" w14:textId="77777777" w:rsidR="0009498F" w:rsidRPr="007B3BFB" w:rsidRDefault="0009498F" w:rsidP="00917E61">
            <w:pPr>
              <w:rPr>
                <w:sz w:val="18"/>
                <w:szCs w:val="18"/>
                <w:lang w:val="en-US"/>
              </w:rPr>
            </w:pPr>
            <w:r w:rsidRPr="007B3BFB">
              <w:rPr>
                <w:rFonts w:ascii="Times New Roman" w:hAnsi="Times New Roman"/>
                <w:b/>
              </w:rPr>
              <w:t>Всего</w:t>
            </w:r>
          </w:p>
        </w:tc>
        <w:tc>
          <w:tcPr>
            <w:tcW w:w="1801" w:type="dxa"/>
            <w:shd w:val="clear" w:color="auto" w:fill="auto"/>
            <w:vAlign w:val="center"/>
          </w:tcPr>
          <w:p w14:paraId="4F79B476" w14:textId="77777777" w:rsidR="0009498F" w:rsidRPr="006D6A9D" w:rsidRDefault="0009498F" w:rsidP="00917E61">
            <w:pPr>
              <w:spacing w:after="0" w:line="240" w:lineRule="auto"/>
              <w:jc w:val="center"/>
              <w:rPr>
                <w:rFonts w:ascii="Times New Roman" w:hAnsi="Times New Roman"/>
                <w:b/>
              </w:rPr>
            </w:pPr>
            <w:r>
              <w:rPr>
                <w:rFonts w:ascii="Times New Roman" w:hAnsi="Times New Roman"/>
                <w:b/>
              </w:rPr>
              <w:t>478618740</w:t>
            </w:r>
          </w:p>
        </w:tc>
        <w:tc>
          <w:tcPr>
            <w:tcW w:w="2123" w:type="dxa"/>
            <w:shd w:val="clear" w:color="auto" w:fill="auto"/>
            <w:vAlign w:val="center"/>
          </w:tcPr>
          <w:p w14:paraId="0B0CFD92" w14:textId="77777777" w:rsidR="0009498F" w:rsidRPr="006D6A9D" w:rsidRDefault="0009498F" w:rsidP="00917E61">
            <w:pPr>
              <w:spacing w:after="0" w:line="240" w:lineRule="auto"/>
              <w:jc w:val="center"/>
              <w:rPr>
                <w:rFonts w:ascii="Times New Roman" w:hAnsi="Times New Roman"/>
                <w:b/>
              </w:rPr>
            </w:pPr>
            <w:r>
              <w:rPr>
                <w:rFonts w:ascii="Times New Roman" w:hAnsi="Times New Roman"/>
                <w:b/>
              </w:rPr>
              <w:t>80749958</w:t>
            </w:r>
          </w:p>
        </w:tc>
        <w:tc>
          <w:tcPr>
            <w:tcW w:w="2002" w:type="dxa"/>
            <w:shd w:val="clear" w:color="auto" w:fill="auto"/>
            <w:vAlign w:val="center"/>
          </w:tcPr>
          <w:p w14:paraId="0C687055" w14:textId="77777777" w:rsidR="0009498F" w:rsidRPr="006D6A9D" w:rsidRDefault="0009498F" w:rsidP="00917E61">
            <w:pPr>
              <w:spacing w:after="0" w:line="240" w:lineRule="auto"/>
              <w:jc w:val="center"/>
              <w:rPr>
                <w:rFonts w:ascii="Times New Roman" w:hAnsi="Times New Roman"/>
                <w:b/>
              </w:rPr>
            </w:pPr>
            <w:r>
              <w:rPr>
                <w:rFonts w:ascii="Times New Roman" w:hAnsi="Times New Roman"/>
                <w:b/>
              </w:rPr>
              <w:t>397868782</w:t>
            </w:r>
          </w:p>
        </w:tc>
      </w:tr>
      <w:tr w:rsidR="0009498F" w:rsidRPr="007B3BFB" w14:paraId="687752C4" w14:textId="77777777" w:rsidTr="0009498F">
        <w:tc>
          <w:tcPr>
            <w:tcW w:w="4686" w:type="dxa"/>
            <w:shd w:val="clear" w:color="auto" w:fill="auto"/>
            <w:vAlign w:val="bottom"/>
          </w:tcPr>
          <w:p w14:paraId="219CC0C3" w14:textId="77777777" w:rsidR="0009498F" w:rsidRPr="007B3BFB" w:rsidRDefault="0009498F" w:rsidP="00917E61">
            <w:pPr>
              <w:spacing w:after="0" w:line="240" w:lineRule="auto"/>
              <w:ind w:firstLine="113"/>
              <w:rPr>
                <w:rFonts w:ascii="Times New Roman" w:hAnsi="Times New Roman"/>
              </w:rPr>
            </w:pPr>
            <w:r w:rsidRPr="007B3BFB">
              <w:rPr>
                <w:rFonts w:ascii="Times New Roman" w:hAnsi="Times New Roman"/>
              </w:rPr>
              <w:t>в том числе по категориям:</w:t>
            </w:r>
          </w:p>
          <w:p w14:paraId="159BAB7F" w14:textId="658F8988" w:rsidR="0009498F" w:rsidRPr="007B3BFB" w:rsidRDefault="0009498F" w:rsidP="00917E61">
            <w:pPr>
              <w:spacing w:after="0" w:line="240" w:lineRule="auto"/>
              <w:rPr>
                <w:rFonts w:ascii="Times New Roman" w:hAnsi="Times New Roman"/>
              </w:rPr>
            </w:pPr>
            <w:r w:rsidRPr="007B3BFB">
              <w:rPr>
                <w:rFonts w:ascii="Times New Roman" w:hAnsi="Times New Roman"/>
              </w:rPr>
              <w:t>дети</w:t>
            </w:r>
            <w:r w:rsidR="003B77D7" w:rsidRPr="00295F0B">
              <w:rPr>
                <w:rFonts w:ascii="Times New Roman" w:hAnsi="Times New Roman"/>
              </w:rPr>
              <w:t xml:space="preserve"> с инвалидностью</w:t>
            </w:r>
          </w:p>
        </w:tc>
        <w:tc>
          <w:tcPr>
            <w:tcW w:w="1801" w:type="dxa"/>
            <w:shd w:val="clear" w:color="auto" w:fill="auto"/>
            <w:vAlign w:val="center"/>
          </w:tcPr>
          <w:p w14:paraId="100ED286" w14:textId="77777777" w:rsidR="0009498F" w:rsidRPr="006D6A9D" w:rsidRDefault="000345EB" w:rsidP="00917E61">
            <w:pPr>
              <w:spacing w:after="0" w:line="240" w:lineRule="auto"/>
              <w:jc w:val="center"/>
              <w:rPr>
                <w:rFonts w:ascii="Times New Roman" w:hAnsi="Times New Roman"/>
              </w:rPr>
            </w:pPr>
            <w:r>
              <w:rPr>
                <w:rFonts w:ascii="Times New Roman" w:hAnsi="Times New Roman"/>
              </w:rPr>
              <w:t>8022183</w:t>
            </w:r>
          </w:p>
        </w:tc>
        <w:tc>
          <w:tcPr>
            <w:tcW w:w="2123" w:type="dxa"/>
            <w:shd w:val="clear" w:color="auto" w:fill="auto"/>
            <w:vAlign w:val="center"/>
          </w:tcPr>
          <w:p w14:paraId="23AF18AD" w14:textId="77777777" w:rsidR="0009498F" w:rsidRPr="006D6A9D" w:rsidRDefault="000345EB" w:rsidP="00917E61">
            <w:pPr>
              <w:spacing w:after="0" w:line="240" w:lineRule="auto"/>
              <w:jc w:val="center"/>
              <w:rPr>
                <w:rFonts w:ascii="Times New Roman" w:hAnsi="Times New Roman"/>
              </w:rPr>
            </w:pPr>
            <w:r>
              <w:rPr>
                <w:rFonts w:ascii="Times New Roman" w:hAnsi="Times New Roman"/>
              </w:rPr>
              <w:t>4941217</w:t>
            </w:r>
          </w:p>
        </w:tc>
        <w:tc>
          <w:tcPr>
            <w:tcW w:w="2002" w:type="dxa"/>
            <w:shd w:val="clear" w:color="auto" w:fill="auto"/>
            <w:vAlign w:val="center"/>
          </w:tcPr>
          <w:p w14:paraId="0F526EF4" w14:textId="77777777" w:rsidR="0009498F" w:rsidRPr="006D6A9D" w:rsidRDefault="000345EB" w:rsidP="00917E61">
            <w:pPr>
              <w:spacing w:after="0" w:line="240" w:lineRule="auto"/>
              <w:jc w:val="center"/>
              <w:rPr>
                <w:rFonts w:ascii="Times New Roman" w:hAnsi="Times New Roman"/>
              </w:rPr>
            </w:pPr>
            <w:r>
              <w:rPr>
                <w:rFonts w:ascii="Times New Roman" w:hAnsi="Times New Roman"/>
              </w:rPr>
              <w:t>3080966</w:t>
            </w:r>
          </w:p>
        </w:tc>
      </w:tr>
      <w:tr w:rsidR="003B1447" w:rsidRPr="007B3BFB" w14:paraId="4C3AC6FF" w14:textId="77777777" w:rsidTr="0009498F">
        <w:tc>
          <w:tcPr>
            <w:tcW w:w="4686" w:type="dxa"/>
            <w:shd w:val="clear" w:color="auto" w:fill="auto"/>
            <w:vAlign w:val="bottom"/>
          </w:tcPr>
          <w:p w14:paraId="44AF1806" w14:textId="77777777" w:rsidR="003B1447" w:rsidRPr="007B3BFB" w:rsidRDefault="003B1447" w:rsidP="003B1447">
            <w:pPr>
              <w:spacing w:after="0" w:line="240" w:lineRule="auto"/>
              <w:rPr>
                <w:rFonts w:ascii="Times New Roman" w:hAnsi="Times New Roman"/>
              </w:rPr>
            </w:pPr>
            <w:r w:rsidRPr="007B3BFB">
              <w:rPr>
                <w:rFonts w:ascii="Times New Roman" w:hAnsi="Times New Roman"/>
              </w:rPr>
              <w:t>дети из отдельных категорий семей</w:t>
            </w:r>
          </w:p>
        </w:tc>
        <w:tc>
          <w:tcPr>
            <w:tcW w:w="1801" w:type="dxa"/>
            <w:shd w:val="clear" w:color="auto" w:fill="auto"/>
            <w:vAlign w:val="center"/>
          </w:tcPr>
          <w:p w14:paraId="0C396A76" w14:textId="77777777" w:rsidR="003B1447" w:rsidRPr="006D6A9D" w:rsidRDefault="003B1447" w:rsidP="003B1447">
            <w:pPr>
              <w:spacing w:after="0" w:line="240" w:lineRule="auto"/>
              <w:jc w:val="center"/>
              <w:rPr>
                <w:rFonts w:ascii="Times New Roman" w:hAnsi="Times New Roman"/>
              </w:rPr>
            </w:pPr>
            <w:r>
              <w:rPr>
                <w:rFonts w:ascii="Times New Roman" w:hAnsi="Times New Roman"/>
              </w:rPr>
              <w:t>63305564</w:t>
            </w:r>
          </w:p>
        </w:tc>
        <w:tc>
          <w:tcPr>
            <w:tcW w:w="2123" w:type="dxa"/>
            <w:shd w:val="clear" w:color="auto" w:fill="auto"/>
            <w:vAlign w:val="center"/>
          </w:tcPr>
          <w:p w14:paraId="11B5E0E6" w14:textId="77777777" w:rsidR="003B1447" w:rsidRPr="006D6A9D" w:rsidRDefault="003B1447" w:rsidP="003B1447">
            <w:pPr>
              <w:spacing w:after="0" w:line="240" w:lineRule="auto"/>
              <w:jc w:val="center"/>
              <w:rPr>
                <w:rFonts w:ascii="Times New Roman" w:hAnsi="Times New Roman"/>
              </w:rPr>
            </w:pPr>
            <w:r>
              <w:rPr>
                <w:rFonts w:ascii="Times New Roman" w:hAnsi="Times New Roman"/>
              </w:rPr>
              <w:t>16072603</w:t>
            </w:r>
          </w:p>
        </w:tc>
        <w:tc>
          <w:tcPr>
            <w:tcW w:w="2002" w:type="dxa"/>
            <w:shd w:val="clear" w:color="auto" w:fill="auto"/>
            <w:vAlign w:val="center"/>
          </w:tcPr>
          <w:p w14:paraId="09819B98" w14:textId="77777777" w:rsidR="003B1447" w:rsidRPr="006D6A9D" w:rsidRDefault="003B1447" w:rsidP="003B1447">
            <w:pPr>
              <w:spacing w:after="0" w:line="240" w:lineRule="auto"/>
              <w:jc w:val="center"/>
              <w:rPr>
                <w:rFonts w:ascii="Times New Roman" w:hAnsi="Times New Roman"/>
              </w:rPr>
            </w:pPr>
            <w:r>
              <w:rPr>
                <w:rFonts w:ascii="Times New Roman" w:hAnsi="Times New Roman"/>
              </w:rPr>
              <w:t>47232961</w:t>
            </w:r>
          </w:p>
        </w:tc>
      </w:tr>
      <w:tr w:rsidR="003B1447" w:rsidRPr="007B3BFB" w14:paraId="3681FE2A" w14:textId="77777777" w:rsidTr="0009498F">
        <w:tc>
          <w:tcPr>
            <w:tcW w:w="4686" w:type="dxa"/>
            <w:shd w:val="clear" w:color="auto" w:fill="auto"/>
            <w:vAlign w:val="bottom"/>
          </w:tcPr>
          <w:p w14:paraId="05F107FF" w14:textId="77777777" w:rsidR="003B1447" w:rsidRPr="007B3BFB" w:rsidRDefault="003B1447" w:rsidP="003B1447">
            <w:pPr>
              <w:spacing w:after="0" w:line="240" w:lineRule="auto"/>
              <w:rPr>
                <w:rFonts w:ascii="Times New Roman" w:hAnsi="Times New Roman"/>
              </w:rPr>
            </w:pPr>
            <w:r w:rsidRPr="007B3BFB">
              <w:rPr>
                <w:rFonts w:ascii="Times New Roman" w:hAnsi="Times New Roman"/>
              </w:rPr>
              <w:t>дети-сироты и дети, оставшиеся без попечения родителей</w:t>
            </w:r>
          </w:p>
        </w:tc>
        <w:tc>
          <w:tcPr>
            <w:tcW w:w="1801" w:type="dxa"/>
            <w:shd w:val="clear" w:color="auto" w:fill="auto"/>
            <w:vAlign w:val="center"/>
          </w:tcPr>
          <w:p w14:paraId="0ACC6F92" w14:textId="77777777" w:rsidR="003B1447" w:rsidRPr="006D6A9D" w:rsidRDefault="003B1447" w:rsidP="003B1447">
            <w:pPr>
              <w:spacing w:after="0" w:line="240" w:lineRule="auto"/>
              <w:jc w:val="center"/>
              <w:rPr>
                <w:rFonts w:ascii="Times New Roman" w:hAnsi="Times New Roman"/>
              </w:rPr>
            </w:pPr>
            <w:r>
              <w:rPr>
                <w:rFonts w:ascii="Times New Roman" w:hAnsi="Times New Roman"/>
              </w:rPr>
              <w:t>108343231</w:t>
            </w:r>
          </w:p>
        </w:tc>
        <w:tc>
          <w:tcPr>
            <w:tcW w:w="2123" w:type="dxa"/>
            <w:shd w:val="clear" w:color="auto" w:fill="auto"/>
            <w:vAlign w:val="center"/>
          </w:tcPr>
          <w:p w14:paraId="5FE0F4C7" w14:textId="77777777" w:rsidR="003B1447" w:rsidRPr="006D6A9D" w:rsidRDefault="003B1447" w:rsidP="003B1447">
            <w:pPr>
              <w:spacing w:after="0" w:line="240" w:lineRule="auto"/>
              <w:jc w:val="center"/>
              <w:rPr>
                <w:rFonts w:ascii="Times New Roman" w:hAnsi="Times New Roman"/>
              </w:rPr>
            </w:pPr>
            <w:r>
              <w:rPr>
                <w:rFonts w:ascii="Times New Roman" w:hAnsi="Times New Roman"/>
              </w:rPr>
              <w:t>27146548</w:t>
            </w:r>
          </w:p>
        </w:tc>
        <w:tc>
          <w:tcPr>
            <w:tcW w:w="2002" w:type="dxa"/>
            <w:shd w:val="clear" w:color="auto" w:fill="auto"/>
            <w:vAlign w:val="center"/>
          </w:tcPr>
          <w:p w14:paraId="541B4DBC" w14:textId="77777777" w:rsidR="003B1447" w:rsidRPr="006D6A9D" w:rsidRDefault="003B1447" w:rsidP="003B1447">
            <w:pPr>
              <w:spacing w:after="0" w:line="240" w:lineRule="auto"/>
              <w:jc w:val="center"/>
              <w:rPr>
                <w:rFonts w:ascii="Times New Roman" w:hAnsi="Times New Roman"/>
              </w:rPr>
            </w:pPr>
            <w:r>
              <w:rPr>
                <w:rFonts w:ascii="Times New Roman" w:hAnsi="Times New Roman"/>
              </w:rPr>
              <w:t>81196683</w:t>
            </w:r>
          </w:p>
        </w:tc>
      </w:tr>
      <w:tr w:rsidR="003B1447" w:rsidRPr="007B3BFB" w14:paraId="6AAB769F" w14:textId="77777777" w:rsidTr="0009498F">
        <w:tc>
          <w:tcPr>
            <w:tcW w:w="4686" w:type="dxa"/>
            <w:shd w:val="clear" w:color="auto" w:fill="auto"/>
            <w:vAlign w:val="bottom"/>
          </w:tcPr>
          <w:p w14:paraId="34005512" w14:textId="77777777" w:rsidR="003B1447" w:rsidRPr="007B3BFB" w:rsidRDefault="003B1447" w:rsidP="003B1447">
            <w:pPr>
              <w:spacing w:after="0" w:line="240" w:lineRule="auto"/>
              <w:rPr>
                <w:rFonts w:ascii="Times New Roman" w:hAnsi="Times New Roman"/>
              </w:rPr>
            </w:pPr>
            <w:r w:rsidRPr="007B3BFB">
              <w:rPr>
                <w:rFonts w:ascii="Times New Roman" w:hAnsi="Times New Roman"/>
              </w:rPr>
              <w:t>студенты, учащиеся, школьники</w:t>
            </w:r>
          </w:p>
        </w:tc>
        <w:tc>
          <w:tcPr>
            <w:tcW w:w="1801" w:type="dxa"/>
            <w:shd w:val="clear" w:color="auto" w:fill="auto"/>
            <w:vAlign w:val="center"/>
          </w:tcPr>
          <w:p w14:paraId="0BCC55C7" w14:textId="77777777" w:rsidR="003B1447" w:rsidRPr="006D6A9D" w:rsidRDefault="003B1447" w:rsidP="003B1447">
            <w:pPr>
              <w:spacing w:after="0" w:line="240" w:lineRule="auto"/>
              <w:jc w:val="center"/>
              <w:rPr>
                <w:rFonts w:ascii="Times New Roman" w:hAnsi="Times New Roman"/>
              </w:rPr>
            </w:pPr>
            <w:r>
              <w:rPr>
                <w:rFonts w:ascii="Times New Roman" w:hAnsi="Times New Roman"/>
              </w:rPr>
              <w:t>31311621</w:t>
            </w:r>
          </w:p>
        </w:tc>
        <w:tc>
          <w:tcPr>
            <w:tcW w:w="2123" w:type="dxa"/>
            <w:shd w:val="clear" w:color="auto" w:fill="auto"/>
            <w:vAlign w:val="center"/>
          </w:tcPr>
          <w:p w14:paraId="39037CA6" w14:textId="77777777" w:rsidR="003B1447" w:rsidRPr="006D6A9D" w:rsidRDefault="003B1447" w:rsidP="003B1447">
            <w:pPr>
              <w:spacing w:after="0" w:line="240" w:lineRule="auto"/>
              <w:jc w:val="center"/>
              <w:rPr>
                <w:rFonts w:ascii="Times New Roman" w:hAnsi="Times New Roman"/>
              </w:rPr>
            </w:pPr>
            <w:r>
              <w:rPr>
                <w:rFonts w:ascii="Times New Roman" w:hAnsi="Times New Roman"/>
              </w:rPr>
              <w:t>18378699</w:t>
            </w:r>
          </w:p>
        </w:tc>
        <w:tc>
          <w:tcPr>
            <w:tcW w:w="2002" w:type="dxa"/>
            <w:shd w:val="clear" w:color="auto" w:fill="auto"/>
            <w:vAlign w:val="center"/>
          </w:tcPr>
          <w:p w14:paraId="55D1BF79" w14:textId="77777777" w:rsidR="003B1447" w:rsidRPr="006D6A9D" w:rsidRDefault="00A85A8B" w:rsidP="003B1447">
            <w:pPr>
              <w:spacing w:after="0" w:line="240" w:lineRule="auto"/>
              <w:jc w:val="center"/>
              <w:rPr>
                <w:rFonts w:ascii="Times New Roman" w:hAnsi="Times New Roman"/>
              </w:rPr>
            </w:pPr>
            <w:r w:rsidRPr="00A85A8B">
              <w:rPr>
                <w:rFonts w:ascii="Times New Roman" w:hAnsi="Times New Roman"/>
              </w:rPr>
              <w:t>12932922</w:t>
            </w:r>
          </w:p>
        </w:tc>
      </w:tr>
      <w:tr w:rsidR="00A85A8B" w:rsidRPr="007B3BFB" w14:paraId="214FA41D" w14:textId="77777777" w:rsidTr="0009498F">
        <w:tc>
          <w:tcPr>
            <w:tcW w:w="4686" w:type="dxa"/>
            <w:shd w:val="clear" w:color="auto" w:fill="auto"/>
            <w:vAlign w:val="bottom"/>
          </w:tcPr>
          <w:p w14:paraId="4EF2A0A8" w14:textId="77777777" w:rsidR="00A85A8B" w:rsidRPr="007B3BFB" w:rsidRDefault="00A85A8B" w:rsidP="00A85A8B">
            <w:pPr>
              <w:spacing w:after="0" w:line="240" w:lineRule="auto"/>
              <w:rPr>
                <w:rFonts w:ascii="Times New Roman" w:hAnsi="Times New Roman"/>
              </w:rPr>
            </w:pPr>
            <w:r w:rsidRPr="007B3BFB">
              <w:rPr>
                <w:rFonts w:ascii="Times New Roman" w:hAnsi="Times New Roman"/>
              </w:rPr>
              <w:t>беременные женщины и кормящие матери</w:t>
            </w:r>
          </w:p>
        </w:tc>
        <w:tc>
          <w:tcPr>
            <w:tcW w:w="1801" w:type="dxa"/>
            <w:shd w:val="clear" w:color="auto" w:fill="auto"/>
            <w:vAlign w:val="center"/>
          </w:tcPr>
          <w:p w14:paraId="4D0A2047" w14:textId="77777777" w:rsidR="00A85A8B" w:rsidRPr="00D5564D" w:rsidRDefault="00A85A8B" w:rsidP="00A85A8B">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5017353</w:t>
            </w:r>
          </w:p>
        </w:tc>
        <w:tc>
          <w:tcPr>
            <w:tcW w:w="2123" w:type="dxa"/>
            <w:shd w:val="clear" w:color="auto" w:fill="auto"/>
            <w:vAlign w:val="center"/>
          </w:tcPr>
          <w:p w14:paraId="18851611" w14:textId="77777777" w:rsidR="00A85A8B" w:rsidRPr="00D5564D" w:rsidRDefault="00A85A8B" w:rsidP="00A85A8B">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1120625</w:t>
            </w:r>
          </w:p>
        </w:tc>
        <w:tc>
          <w:tcPr>
            <w:tcW w:w="2002" w:type="dxa"/>
            <w:shd w:val="clear" w:color="auto" w:fill="auto"/>
            <w:vAlign w:val="center"/>
          </w:tcPr>
          <w:p w14:paraId="44AC4E96" w14:textId="77777777" w:rsidR="00A85A8B" w:rsidRPr="00D5564D" w:rsidRDefault="00A85A8B" w:rsidP="00A85A8B">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3896728</w:t>
            </w:r>
          </w:p>
        </w:tc>
      </w:tr>
      <w:tr w:rsidR="00A85A8B" w:rsidRPr="007B3BFB" w14:paraId="16D16077" w14:textId="77777777" w:rsidTr="0009498F">
        <w:tc>
          <w:tcPr>
            <w:tcW w:w="4686" w:type="dxa"/>
            <w:shd w:val="clear" w:color="auto" w:fill="auto"/>
            <w:vAlign w:val="bottom"/>
          </w:tcPr>
          <w:p w14:paraId="0757BB4A" w14:textId="77777777" w:rsidR="00A85A8B" w:rsidRPr="007B3BFB" w:rsidRDefault="00A85A8B" w:rsidP="00A85A8B">
            <w:pPr>
              <w:spacing w:after="0" w:line="240" w:lineRule="auto"/>
              <w:rPr>
                <w:rFonts w:ascii="Times New Roman" w:hAnsi="Times New Roman"/>
              </w:rPr>
            </w:pPr>
            <w:r>
              <w:rPr>
                <w:rFonts w:ascii="Times New Roman" w:hAnsi="Times New Roman"/>
              </w:rPr>
              <w:t>молодые семьи</w:t>
            </w:r>
          </w:p>
        </w:tc>
        <w:tc>
          <w:tcPr>
            <w:tcW w:w="1801" w:type="dxa"/>
            <w:shd w:val="clear" w:color="auto" w:fill="auto"/>
            <w:vAlign w:val="center"/>
          </w:tcPr>
          <w:p w14:paraId="4BB8B5B0" w14:textId="77777777" w:rsidR="00A85A8B" w:rsidRPr="00D5564D" w:rsidRDefault="00A85A8B" w:rsidP="00A85A8B">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8925009</w:t>
            </w:r>
          </w:p>
        </w:tc>
        <w:tc>
          <w:tcPr>
            <w:tcW w:w="2123" w:type="dxa"/>
            <w:shd w:val="clear" w:color="auto" w:fill="auto"/>
            <w:vAlign w:val="center"/>
          </w:tcPr>
          <w:p w14:paraId="081EF66F" w14:textId="77777777" w:rsidR="00A85A8B" w:rsidRPr="00D5564D" w:rsidRDefault="00A85A8B" w:rsidP="00A85A8B">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1652225</w:t>
            </w:r>
          </w:p>
        </w:tc>
        <w:tc>
          <w:tcPr>
            <w:tcW w:w="2002" w:type="dxa"/>
            <w:shd w:val="clear" w:color="auto" w:fill="auto"/>
            <w:vAlign w:val="center"/>
          </w:tcPr>
          <w:p w14:paraId="26E0BD78" w14:textId="77777777" w:rsidR="00A85A8B" w:rsidRPr="00D5564D" w:rsidRDefault="00A85A8B" w:rsidP="00A85A8B">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7272784</w:t>
            </w:r>
          </w:p>
        </w:tc>
      </w:tr>
      <w:tr w:rsidR="00A85A8B" w:rsidRPr="007B3BFB" w14:paraId="43176515" w14:textId="77777777" w:rsidTr="0009498F">
        <w:tc>
          <w:tcPr>
            <w:tcW w:w="4686" w:type="dxa"/>
            <w:shd w:val="clear" w:color="auto" w:fill="auto"/>
            <w:vAlign w:val="bottom"/>
          </w:tcPr>
          <w:p w14:paraId="796E6DB9" w14:textId="77777777" w:rsidR="00A85A8B" w:rsidRPr="007B3BFB" w:rsidRDefault="00A85A8B" w:rsidP="00A85A8B">
            <w:pPr>
              <w:spacing w:after="0" w:line="240" w:lineRule="auto"/>
              <w:rPr>
                <w:rFonts w:ascii="Times New Roman" w:hAnsi="Times New Roman"/>
              </w:rPr>
            </w:pPr>
            <w:r w:rsidRPr="007B3BFB">
              <w:rPr>
                <w:rFonts w:ascii="Times New Roman" w:hAnsi="Times New Roman"/>
              </w:rPr>
              <w:t>семьи с детьми</w:t>
            </w:r>
          </w:p>
        </w:tc>
        <w:tc>
          <w:tcPr>
            <w:tcW w:w="1801" w:type="dxa"/>
            <w:shd w:val="clear" w:color="auto" w:fill="auto"/>
            <w:vAlign w:val="center"/>
          </w:tcPr>
          <w:p w14:paraId="1C7450C3" w14:textId="77777777" w:rsidR="00A85A8B" w:rsidRPr="00D5564D" w:rsidRDefault="00A85A8B" w:rsidP="00A85A8B">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253693779</w:t>
            </w:r>
          </w:p>
        </w:tc>
        <w:tc>
          <w:tcPr>
            <w:tcW w:w="2123" w:type="dxa"/>
            <w:shd w:val="clear" w:color="auto" w:fill="auto"/>
            <w:vAlign w:val="center"/>
          </w:tcPr>
          <w:p w14:paraId="354B1ABD" w14:textId="77777777" w:rsidR="00A85A8B" w:rsidRPr="00D5564D" w:rsidRDefault="00A85A8B" w:rsidP="00A85A8B">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11438041</w:t>
            </w:r>
          </w:p>
        </w:tc>
        <w:tc>
          <w:tcPr>
            <w:tcW w:w="2002" w:type="dxa"/>
            <w:shd w:val="clear" w:color="auto" w:fill="auto"/>
            <w:vAlign w:val="center"/>
          </w:tcPr>
          <w:p w14:paraId="1D4D8C98" w14:textId="77777777" w:rsidR="00A85A8B" w:rsidRPr="00D5564D" w:rsidRDefault="00A85A8B" w:rsidP="00A85A8B">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242255738</w:t>
            </w:r>
          </w:p>
        </w:tc>
      </w:tr>
      <w:tr w:rsidR="00A85A8B" w:rsidRPr="007B3BFB" w14:paraId="64E18D7C" w14:textId="77777777" w:rsidTr="00A85A8B">
        <w:tc>
          <w:tcPr>
            <w:tcW w:w="4686" w:type="dxa"/>
            <w:shd w:val="clear" w:color="auto" w:fill="auto"/>
            <w:vAlign w:val="bottom"/>
          </w:tcPr>
          <w:p w14:paraId="738DA381" w14:textId="77777777" w:rsidR="00A85A8B" w:rsidRPr="007B3BFB" w:rsidRDefault="00A85A8B" w:rsidP="00A85A8B">
            <w:pPr>
              <w:spacing w:after="0" w:line="240" w:lineRule="auto"/>
              <w:ind w:firstLine="170"/>
              <w:rPr>
                <w:rFonts w:ascii="Times New Roman" w:hAnsi="Times New Roman"/>
                <w:lang w:val="en-US"/>
              </w:rPr>
            </w:pPr>
            <w:r w:rsidRPr="007B3BFB">
              <w:rPr>
                <w:rFonts w:ascii="Times New Roman" w:hAnsi="Times New Roman"/>
              </w:rPr>
              <w:t xml:space="preserve">из них: </w:t>
            </w:r>
          </w:p>
          <w:p w14:paraId="1BC673A4" w14:textId="77777777" w:rsidR="00A85A8B" w:rsidRPr="007B3BFB" w:rsidRDefault="00A85A8B" w:rsidP="00A85A8B">
            <w:pPr>
              <w:spacing w:after="0" w:line="240" w:lineRule="auto"/>
              <w:ind w:firstLine="170"/>
              <w:rPr>
                <w:rFonts w:ascii="Times New Roman" w:hAnsi="Times New Roman"/>
              </w:rPr>
            </w:pPr>
            <w:r w:rsidRPr="007B3BFB">
              <w:rPr>
                <w:rFonts w:ascii="Times New Roman" w:hAnsi="Times New Roman"/>
              </w:rPr>
              <w:t>малоимущие</w:t>
            </w:r>
          </w:p>
        </w:tc>
        <w:tc>
          <w:tcPr>
            <w:tcW w:w="1801" w:type="dxa"/>
            <w:shd w:val="clear" w:color="auto" w:fill="auto"/>
            <w:vAlign w:val="bottom"/>
          </w:tcPr>
          <w:p w14:paraId="274F2416" w14:textId="77777777" w:rsidR="00A85A8B" w:rsidRPr="00D5564D" w:rsidRDefault="00A85A8B" w:rsidP="00A85A8B">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112802080</w:t>
            </w:r>
          </w:p>
        </w:tc>
        <w:tc>
          <w:tcPr>
            <w:tcW w:w="2123" w:type="dxa"/>
            <w:shd w:val="clear" w:color="auto" w:fill="auto"/>
            <w:vAlign w:val="bottom"/>
          </w:tcPr>
          <w:p w14:paraId="22281ABD" w14:textId="77777777" w:rsidR="00A85A8B" w:rsidRPr="00D5564D" w:rsidRDefault="00A85A8B" w:rsidP="00A85A8B">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2478025</w:t>
            </w:r>
          </w:p>
        </w:tc>
        <w:tc>
          <w:tcPr>
            <w:tcW w:w="2002" w:type="dxa"/>
            <w:shd w:val="clear" w:color="auto" w:fill="auto"/>
            <w:vAlign w:val="bottom"/>
          </w:tcPr>
          <w:p w14:paraId="779687B8" w14:textId="77777777" w:rsidR="00A85A8B" w:rsidRPr="00D5564D" w:rsidRDefault="00A85A8B" w:rsidP="00A85A8B">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110324055</w:t>
            </w:r>
          </w:p>
        </w:tc>
      </w:tr>
      <w:tr w:rsidR="00A85A8B" w:rsidRPr="007B3BFB" w14:paraId="776E0287" w14:textId="77777777" w:rsidTr="0009498F">
        <w:tc>
          <w:tcPr>
            <w:tcW w:w="4686" w:type="dxa"/>
            <w:shd w:val="clear" w:color="auto" w:fill="auto"/>
            <w:vAlign w:val="bottom"/>
          </w:tcPr>
          <w:p w14:paraId="3BFDC0C3" w14:textId="77777777" w:rsidR="00A85A8B" w:rsidRPr="007B3BFB" w:rsidRDefault="00A85A8B" w:rsidP="00A85A8B">
            <w:pPr>
              <w:spacing w:after="0" w:line="240" w:lineRule="auto"/>
              <w:ind w:firstLine="170"/>
              <w:jc w:val="both"/>
              <w:rPr>
                <w:rFonts w:ascii="Times New Roman" w:hAnsi="Times New Roman"/>
              </w:rPr>
            </w:pPr>
            <w:r>
              <w:rPr>
                <w:rFonts w:ascii="Times New Roman" w:hAnsi="Times New Roman"/>
              </w:rPr>
              <w:t xml:space="preserve">лица, получающие региональный </w:t>
            </w:r>
            <w:r w:rsidRPr="007B3BFB">
              <w:rPr>
                <w:rFonts w:ascii="Times New Roman" w:hAnsi="Times New Roman"/>
              </w:rPr>
              <w:t>материнский капитал</w:t>
            </w:r>
          </w:p>
        </w:tc>
        <w:tc>
          <w:tcPr>
            <w:tcW w:w="1801" w:type="dxa"/>
            <w:shd w:val="clear" w:color="auto" w:fill="auto"/>
            <w:vAlign w:val="center"/>
          </w:tcPr>
          <w:p w14:paraId="10D8D634" w14:textId="77777777" w:rsidR="00A85A8B" w:rsidRPr="00D5564D" w:rsidRDefault="00A85A8B" w:rsidP="00A85A8B">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17593835</w:t>
            </w:r>
          </w:p>
        </w:tc>
        <w:tc>
          <w:tcPr>
            <w:tcW w:w="2123" w:type="dxa"/>
            <w:shd w:val="clear" w:color="auto" w:fill="auto"/>
            <w:vAlign w:val="center"/>
          </w:tcPr>
          <w:p w14:paraId="699E48CD" w14:textId="77777777" w:rsidR="00A85A8B" w:rsidRPr="00D5564D" w:rsidRDefault="00A85A8B" w:rsidP="00A85A8B">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2002" w:type="dxa"/>
            <w:shd w:val="clear" w:color="auto" w:fill="auto"/>
            <w:vAlign w:val="center"/>
          </w:tcPr>
          <w:p w14:paraId="785BDE59" w14:textId="77777777" w:rsidR="00A85A8B" w:rsidRPr="00D5564D" w:rsidRDefault="00A85A8B" w:rsidP="00A85A8B">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17593835</w:t>
            </w:r>
          </w:p>
        </w:tc>
      </w:tr>
      <w:tr w:rsidR="00A85A8B" w:rsidRPr="007B3BFB" w14:paraId="4BA36BEC" w14:textId="77777777" w:rsidTr="0009498F">
        <w:tc>
          <w:tcPr>
            <w:tcW w:w="4686" w:type="dxa"/>
            <w:shd w:val="clear" w:color="auto" w:fill="auto"/>
            <w:vAlign w:val="bottom"/>
          </w:tcPr>
          <w:p w14:paraId="5263DB2B" w14:textId="77777777" w:rsidR="00A85A8B" w:rsidRPr="007B3BFB" w:rsidRDefault="00A85A8B" w:rsidP="00A85A8B">
            <w:pPr>
              <w:spacing w:after="0" w:line="240" w:lineRule="auto"/>
              <w:ind w:firstLine="170"/>
              <w:jc w:val="both"/>
              <w:rPr>
                <w:rFonts w:ascii="Times New Roman" w:hAnsi="Times New Roman"/>
              </w:rPr>
            </w:pPr>
            <w:r w:rsidRPr="007B3BFB">
              <w:rPr>
                <w:rFonts w:ascii="Times New Roman" w:hAnsi="Times New Roman"/>
              </w:rPr>
              <w:t>пол</w:t>
            </w:r>
            <w:r>
              <w:rPr>
                <w:rFonts w:ascii="Times New Roman" w:hAnsi="Times New Roman"/>
              </w:rPr>
              <w:t xml:space="preserve">учатели ежемесячной денежной </w:t>
            </w:r>
            <w:r w:rsidRPr="007B3BFB">
              <w:rPr>
                <w:rFonts w:ascii="Times New Roman" w:hAnsi="Times New Roman"/>
              </w:rPr>
              <w:t>выплаты при рождении третьего</w:t>
            </w:r>
            <w:r>
              <w:rPr>
                <w:rFonts w:ascii="Times New Roman" w:hAnsi="Times New Roman"/>
              </w:rPr>
              <w:t xml:space="preserve"> и последующих</w:t>
            </w:r>
            <w:r w:rsidRPr="007B3BFB">
              <w:rPr>
                <w:rFonts w:ascii="Times New Roman" w:hAnsi="Times New Roman"/>
              </w:rPr>
              <w:t xml:space="preserve"> детей</w:t>
            </w:r>
          </w:p>
        </w:tc>
        <w:tc>
          <w:tcPr>
            <w:tcW w:w="1801" w:type="dxa"/>
            <w:shd w:val="clear" w:color="auto" w:fill="auto"/>
            <w:vAlign w:val="center"/>
          </w:tcPr>
          <w:p w14:paraId="5BDBF0A3" w14:textId="77777777" w:rsidR="00A85A8B" w:rsidRPr="00D5564D" w:rsidRDefault="00A85A8B" w:rsidP="00A85A8B">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26942245</w:t>
            </w:r>
          </w:p>
        </w:tc>
        <w:tc>
          <w:tcPr>
            <w:tcW w:w="2123" w:type="dxa"/>
            <w:shd w:val="clear" w:color="auto" w:fill="auto"/>
            <w:vAlign w:val="center"/>
          </w:tcPr>
          <w:p w14:paraId="1FAB8C43" w14:textId="77777777" w:rsidR="00A85A8B" w:rsidRPr="00D5564D" w:rsidRDefault="00A85A8B" w:rsidP="00A85A8B">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2002" w:type="dxa"/>
            <w:shd w:val="clear" w:color="auto" w:fill="auto"/>
            <w:vAlign w:val="center"/>
          </w:tcPr>
          <w:p w14:paraId="1330A129" w14:textId="77777777" w:rsidR="00A85A8B" w:rsidRPr="00D5564D" w:rsidRDefault="00A85A8B" w:rsidP="00A85A8B">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26942245</w:t>
            </w:r>
          </w:p>
        </w:tc>
      </w:tr>
      <w:tr w:rsidR="00A85A8B" w:rsidRPr="007B3BFB" w14:paraId="1C126CCC" w14:textId="77777777" w:rsidTr="0009498F">
        <w:tc>
          <w:tcPr>
            <w:tcW w:w="4686" w:type="dxa"/>
            <w:shd w:val="clear" w:color="auto" w:fill="auto"/>
            <w:vAlign w:val="bottom"/>
          </w:tcPr>
          <w:p w14:paraId="57702841" w14:textId="5D663731" w:rsidR="00A85A8B" w:rsidRPr="007B3BFB" w:rsidRDefault="00A85A8B" w:rsidP="00A85A8B">
            <w:pPr>
              <w:spacing w:after="0" w:line="240" w:lineRule="auto"/>
              <w:ind w:firstLine="170"/>
              <w:jc w:val="both"/>
              <w:rPr>
                <w:rFonts w:ascii="Times New Roman" w:hAnsi="Times New Roman"/>
              </w:rPr>
            </w:pPr>
            <w:r w:rsidRPr="007B3BFB">
              <w:rPr>
                <w:rFonts w:ascii="Times New Roman" w:hAnsi="Times New Roman"/>
              </w:rPr>
              <w:t>лица</w:t>
            </w:r>
            <w:r>
              <w:rPr>
                <w:rFonts w:ascii="Times New Roman" w:hAnsi="Times New Roman"/>
              </w:rPr>
              <w:t xml:space="preserve">, получающие компенсацию части </w:t>
            </w:r>
            <w:r w:rsidRPr="007B3BFB">
              <w:rPr>
                <w:rFonts w:ascii="Times New Roman" w:hAnsi="Times New Roman"/>
              </w:rPr>
              <w:t>родительской платы за присмотр</w:t>
            </w:r>
            <w:r w:rsidR="00591409">
              <w:rPr>
                <w:rFonts w:ascii="Times New Roman" w:hAnsi="Times New Roman"/>
              </w:rPr>
              <w:t xml:space="preserve"> и</w:t>
            </w:r>
            <w:r w:rsidRPr="007B3BFB">
              <w:rPr>
                <w:rFonts w:ascii="Times New Roman" w:hAnsi="Times New Roman"/>
              </w:rPr>
              <w:t xml:space="preserve"> уход за детьми в дошкольных образовательных организациях</w:t>
            </w:r>
          </w:p>
        </w:tc>
        <w:tc>
          <w:tcPr>
            <w:tcW w:w="1801" w:type="dxa"/>
            <w:shd w:val="clear" w:color="auto" w:fill="auto"/>
            <w:vAlign w:val="center"/>
          </w:tcPr>
          <w:p w14:paraId="04C5388F" w14:textId="77777777" w:rsidR="00A85A8B" w:rsidRPr="00D5564D" w:rsidRDefault="00A85A8B" w:rsidP="00A85A8B">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20401272</w:t>
            </w:r>
          </w:p>
        </w:tc>
        <w:tc>
          <w:tcPr>
            <w:tcW w:w="2123" w:type="dxa"/>
            <w:shd w:val="clear" w:color="auto" w:fill="auto"/>
            <w:vAlign w:val="center"/>
          </w:tcPr>
          <w:p w14:paraId="1D176B7E" w14:textId="77777777" w:rsidR="00A85A8B" w:rsidRPr="00D5564D" w:rsidRDefault="00A85A8B" w:rsidP="00A85A8B">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2002" w:type="dxa"/>
            <w:shd w:val="clear" w:color="auto" w:fill="auto"/>
            <w:vAlign w:val="center"/>
          </w:tcPr>
          <w:p w14:paraId="26837453" w14:textId="77777777" w:rsidR="00A85A8B" w:rsidRPr="00D5564D" w:rsidRDefault="00A85A8B" w:rsidP="00A85A8B">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20401272</w:t>
            </w:r>
          </w:p>
        </w:tc>
      </w:tr>
    </w:tbl>
    <w:p w14:paraId="09E47D05" w14:textId="77777777" w:rsidR="0009498F" w:rsidRDefault="0009498F" w:rsidP="00420FD7">
      <w:pPr>
        <w:spacing w:after="0"/>
        <w:jc w:val="right"/>
        <w:rPr>
          <w:rFonts w:ascii="Times New Roman" w:hAnsi="Times New Roman"/>
          <w:sz w:val="26"/>
          <w:szCs w:val="26"/>
          <w:lang w:eastAsia="ru-RU"/>
        </w:rPr>
      </w:pPr>
    </w:p>
    <w:p w14:paraId="1D9CD10E" w14:textId="77777777" w:rsidR="0009498F" w:rsidRDefault="0009498F" w:rsidP="00420FD7">
      <w:pPr>
        <w:spacing w:after="0"/>
        <w:jc w:val="right"/>
        <w:rPr>
          <w:rFonts w:ascii="Times New Roman" w:hAnsi="Times New Roman"/>
          <w:sz w:val="26"/>
          <w:szCs w:val="26"/>
          <w:lang w:eastAsia="ru-RU"/>
        </w:rPr>
        <w:sectPr w:rsidR="0009498F" w:rsidSect="00675542">
          <w:pgSz w:w="11906" w:h="16838"/>
          <w:pgMar w:top="1134" w:right="567" w:bottom="1134" w:left="1134" w:header="680" w:footer="680" w:gutter="0"/>
          <w:cols w:space="708"/>
          <w:titlePg/>
          <w:docGrid w:linePitch="360"/>
        </w:sectPr>
      </w:pPr>
    </w:p>
    <w:p w14:paraId="240CCE52" w14:textId="77777777" w:rsidR="0009498F" w:rsidRPr="004F5ACE" w:rsidRDefault="0009498F" w:rsidP="0009498F">
      <w:pPr>
        <w:spacing w:after="0" w:line="240" w:lineRule="auto"/>
        <w:ind w:firstLine="284"/>
        <w:jc w:val="right"/>
        <w:rPr>
          <w:rFonts w:ascii="Times New Roman" w:eastAsia="Times New Roman" w:hAnsi="Times New Roman" w:cs="Times New Roman"/>
          <w:sz w:val="26"/>
          <w:szCs w:val="26"/>
          <w:lang w:eastAsia="ru-RU"/>
        </w:rPr>
      </w:pPr>
      <w:r w:rsidRPr="004F5ACE">
        <w:rPr>
          <w:rFonts w:ascii="Times New Roman" w:eastAsia="Times New Roman" w:hAnsi="Times New Roman" w:cs="Times New Roman"/>
          <w:sz w:val="26"/>
          <w:szCs w:val="26"/>
          <w:lang w:eastAsia="ru-RU"/>
        </w:rPr>
        <w:t>Таблица 6</w:t>
      </w:r>
      <w:r w:rsidR="009E6765">
        <w:rPr>
          <w:rFonts w:ascii="Times New Roman" w:eastAsia="Times New Roman" w:hAnsi="Times New Roman" w:cs="Times New Roman"/>
          <w:sz w:val="26"/>
          <w:szCs w:val="26"/>
          <w:lang w:eastAsia="ru-RU"/>
        </w:rPr>
        <w:t>5</w:t>
      </w:r>
    </w:p>
    <w:p w14:paraId="1A53D72A" w14:textId="77777777" w:rsidR="0009498F" w:rsidRPr="004F5ACE" w:rsidRDefault="0009498F" w:rsidP="0009498F">
      <w:pPr>
        <w:spacing w:after="0" w:line="240" w:lineRule="auto"/>
        <w:ind w:firstLine="284"/>
        <w:jc w:val="right"/>
        <w:rPr>
          <w:rFonts w:ascii="Times New Roman" w:eastAsia="Times New Roman" w:hAnsi="Times New Roman" w:cs="Times New Roman"/>
          <w:sz w:val="26"/>
          <w:szCs w:val="26"/>
          <w:lang w:eastAsia="ru-RU"/>
        </w:rPr>
      </w:pPr>
    </w:p>
    <w:p w14:paraId="1D7222A7" w14:textId="77777777" w:rsidR="0009498F" w:rsidRPr="004F5ACE" w:rsidRDefault="0009498F" w:rsidP="0009498F">
      <w:pPr>
        <w:spacing w:after="0" w:line="240" w:lineRule="auto"/>
        <w:ind w:firstLine="284"/>
        <w:jc w:val="center"/>
        <w:rPr>
          <w:rFonts w:ascii="Times New Roman" w:eastAsia="Times New Roman" w:hAnsi="Times New Roman" w:cs="Times New Roman"/>
          <w:b/>
          <w:sz w:val="26"/>
          <w:szCs w:val="26"/>
          <w:vertAlign w:val="superscript"/>
          <w:lang w:eastAsia="ru-RU"/>
        </w:rPr>
      </w:pPr>
      <w:r w:rsidRPr="004F5ACE">
        <w:rPr>
          <w:rFonts w:ascii="Times New Roman" w:eastAsia="Times New Roman" w:hAnsi="Times New Roman" w:cs="Times New Roman"/>
          <w:b/>
          <w:sz w:val="26"/>
          <w:szCs w:val="26"/>
          <w:lang w:eastAsia="ru-RU"/>
        </w:rPr>
        <w:t>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в 202</w:t>
      </w:r>
      <w:r w:rsidR="00917E61">
        <w:rPr>
          <w:rFonts w:ascii="Times New Roman" w:eastAsia="Times New Roman" w:hAnsi="Times New Roman" w:cs="Times New Roman"/>
          <w:b/>
          <w:sz w:val="26"/>
          <w:szCs w:val="26"/>
          <w:lang w:eastAsia="ru-RU"/>
        </w:rPr>
        <w:t>1</w:t>
      </w:r>
      <w:r w:rsidRPr="004F5ACE">
        <w:rPr>
          <w:rFonts w:ascii="Times New Roman" w:eastAsia="Times New Roman" w:hAnsi="Times New Roman" w:cs="Times New Roman"/>
          <w:b/>
          <w:sz w:val="26"/>
          <w:szCs w:val="26"/>
          <w:lang w:eastAsia="ru-RU"/>
        </w:rPr>
        <w:t xml:space="preserve"> году</w:t>
      </w:r>
      <w:r w:rsidRPr="004F5ACE">
        <w:rPr>
          <w:rFonts w:ascii="Times New Roman" w:eastAsia="Times New Roman" w:hAnsi="Times New Roman" w:cs="Times New Roman"/>
          <w:b/>
          <w:sz w:val="26"/>
          <w:szCs w:val="26"/>
          <w:vertAlign w:val="superscript"/>
          <w:lang w:eastAsia="ru-RU"/>
        </w:rPr>
        <w:t>1)</w:t>
      </w:r>
    </w:p>
    <w:p w14:paraId="3EA82394" w14:textId="77777777" w:rsidR="0009498F" w:rsidRPr="004F5ACE" w:rsidRDefault="0009498F" w:rsidP="0009498F">
      <w:pPr>
        <w:spacing w:after="0" w:line="240" w:lineRule="auto"/>
        <w:ind w:firstLine="284"/>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(тыс. рублей)</w:t>
      </w:r>
    </w:p>
    <w:p w14:paraId="5369C679" w14:textId="77777777" w:rsidR="0009498F" w:rsidRPr="004F5ACE" w:rsidRDefault="0009498F" w:rsidP="0009498F">
      <w:pPr>
        <w:spacing w:after="0" w:line="240" w:lineRule="auto"/>
        <w:ind w:firstLine="284"/>
        <w:jc w:val="center"/>
        <w:rPr>
          <w:rFonts w:ascii="Times New Roman" w:eastAsia="Times New Roman" w:hAnsi="Times New Roman" w:cs="Times New Roman"/>
          <w:sz w:val="24"/>
          <w:szCs w:val="24"/>
          <w:lang w:eastAsia="ru-RU"/>
        </w:rPr>
      </w:pPr>
    </w:p>
    <w:tbl>
      <w:tblPr>
        <w:tblW w:w="164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6"/>
        <w:gridCol w:w="1276"/>
        <w:gridCol w:w="1275"/>
        <w:gridCol w:w="1276"/>
        <w:gridCol w:w="1216"/>
        <w:gridCol w:w="1237"/>
        <w:gridCol w:w="1374"/>
        <w:gridCol w:w="1276"/>
        <w:gridCol w:w="1417"/>
        <w:gridCol w:w="1311"/>
        <w:gridCol w:w="1132"/>
        <w:gridCol w:w="994"/>
      </w:tblGrid>
      <w:tr w:rsidR="0009498F" w:rsidRPr="004F5ACE" w14:paraId="26319DFD" w14:textId="77777777" w:rsidTr="00913B8D">
        <w:trPr>
          <w:tblHeader/>
        </w:trPr>
        <w:tc>
          <w:tcPr>
            <w:tcW w:w="1418" w:type="dxa"/>
            <w:vMerge w:val="restart"/>
          </w:tcPr>
          <w:p w14:paraId="1BEFE467" w14:textId="77777777" w:rsidR="0009498F" w:rsidRPr="004F5ACE" w:rsidRDefault="0009498F" w:rsidP="00917E61">
            <w:pPr>
              <w:spacing w:after="0" w:line="240" w:lineRule="auto"/>
              <w:jc w:val="center"/>
              <w:rPr>
                <w:rFonts w:ascii="Times New Roman" w:eastAsia="Times New Roman" w:hAnsi="Times New Roman" w:cs="Times New Roman"/>
                <w:sz w:val="24"/>
                <w:szCs w:val="24"/>
                <w:lang w:eastAsia="ru-RU"/>
              </w:rPr>
            </w:pPr>
          </w:p>
        </w:tc>
        <w:tc>
          <w:tcPr>
            <w:tcW w:w="1276" w:type="dxa"/>
            <w:vMerge w:val="restart"/>
          </w:tcPr>
          <w:p w14:paraId="5D1A1217" w14:textId="77777777" w:rsidR="0009498F" w:rsidRPr="004F5ACE" w:rsidRDefault="0009498F" w:rsidP="00917E61">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Всего</w:t>
            </w:r>
          </w:p>
        </w:tc>
        <w:tc>
          <w:tcPr>
            <w:tcW w:w="13784" w:type="dxa"/>
            <w:gridSpan w:val="11"/>
          </w:tcPr>
          <w:p w14:paraId="4C34F1EB" w14:textId="77777777" w:rsidR="0009498F" w:rsidRPr="004F5ACE" w:rsidRDefault="0009498F" w:rsidP="00917E61">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из них:</w:t>
            </w:r>
          </w:p>
        </w:tc>
      </w:tr>
      <w:tr w:rsidR="0009498F" w:rsidRPr="004F5ACE" w14:paraId="3F12F22E" w14:textId="77777777" w:rsidTr="00913B8D">
        <w:trPr>
          <w:tblHeader/>
        </w:trPr>
        <w:tc>
          <w:tcPr>
            <w:tcW w:w="1418" w:type="dxa"/>
            <w:vMerge/>
          </w:tcPr>
          <w:p w14:paraId="5886AFAD" w14:textId="77777777" w:rsidR="0009498F" w:rsidRPr="004F5ACE" w:rsidRDefault="0009498F" w:rsidP="00917E61">
            <w:pPr>
              <w:spacing w:after="0" w:line="240" w:lineRule="auto"/>
              <w:jc w:val="center"/>
              <w:rPr>
                <w:rFonts w:ascii="Times New Roman" w:eastAsia="Times New Roman" w:hAnsi="Times New Roman" w:cs="Times New Roman"/>
                <w:sz w:val="24"/>
                <w:szCs w:val="24"/>
                <w:lang w:eastAsia="ru-RU"/>
              </w:rPr>
            </w:pPr>
          </w:p>
        </w:tc>
        <w:tc>
          <w:tcPr>
            <w:tcW w:w="1276" w:type="dxa"/>
            <w:vMerge/>
          </w:tcPr>
          <w:p w14:paraId="420E659A" w14:textId="77777777" w:rsidR="0009498F" w:rsidRPr="004F5ACE" w:rsidRDefault="0009498F" w:rsidP="00917E61">
            <w:pPr>
              <w:spacing w:after="0" w:line="240" w:lineRule="auto"/>
              <w:jc w:val="center"/>
              <w:rPr>
                <w:rFonts w:ascii="Times New Roman" w:eastAsia="Times New Roman" w:hAnsi="Times New Roman" w:cs="Times New Roman"/>
                <w:sz w:val="24"/>
                <w:szCs w:val="24"/>
                <w:lang w:eastAsia="ru-RU"/>
              </w:rPr>
            </w:pPr>
          </w:p>
        </w:tc>
        <w:tc>
          <w:tcPr>
            <w:tcW w:w="1276" w:type="dxa"/>
          </w:tcPr>
          <w:p w14:paraId="3D5C920C" w14:textId="77777777" w:rsidR="0009498F" w:rsidRPr="004F5ACE" w:rsidRDefault="0009498F" w:rsidP="00917E61">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денежная выплата</w:t>
            </w:r>
          </w:p>
        </w:tc>
        <w:tc>
          <w:tcPr>
            <w:tcW w:w="1275" w:type="dxa"/>
          </w:tcPr>
          <w:p w14:paraId="235BACAE" w14:textId="77777777" w:rsidR="0009498F" w:rsidRPr="004F5ACE" w:rsidRDefault="0009498F" w:rsidP="00917E61">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 xml:space="preserve">оплата жилого </w:t>
            </w:r>
            <w:proofErr w:type="spellStart"/>
            <w:r w:rsidRPr="004F5ACE">
              <w:rPr>
                <w:rFonts w:ascii="Times New Roman" w:eastAsia="Times New Roman" w:hAnsi="Times New Roman" w:cs="Times New Roman"/>
                <w:sz w:val="24"/>
                <w:szCs w:val="24"/>
                <w:lang w:eastAsia="ru-RU"/>
              </w:rPr>
              <w:t>помеще</w:t>
            </w:r>
            <w:r>
              <w:rPr>
                <w:rFonts w:ascii="Times New Roman" w:eastAsia="Times New Roman" w:hAnsi="Times New Roman" w:cs="Times New Roman"/>
                <w:sz w:val="24"/>
                <w:szCs w:val="24"/>
                <w:lang w:eastAsia="ru-RU"/>
              </w:rPr>
              <w:t>-</w:t>
            </w:r>
            <w:r w:rsidRPr="004F5ACE">
              <w:rPr>
                <w:rFonts w:ascii="Times New Roman" w:eastAsia="Times New Roman" w:hAnsi="Times New Roman" w:cs="Times New Roman"/>
                <w:sz w:val="24"/>
                <w:szCs w:val="24"/>
                <w:lang w:eastAsia="ru-RU"/>
              </w:rPr>
              <w:t>ния</w:t>
            </w:r>
            <w:proofErr w:type="spellEnd"/>
            <w:r w:rsidRPr="004F5ACE">
              <w:rPr>
                <w:rFonts w:ascii="Times New Roman" w:eastAsia="Times New Roman" w:hAnsi="Times New Roman" w:cs="Times New Roman"/>
                <w:sz w:val="24"/>
                <w:szCs w:val="24"/>
                <w:lang w:eastAsia="ru-RU"/>
              </w:rPr>
              <w:t xml:space="preserve"> и комму</w:t>
            </w:r>
            <w:r>
              <w:rPr>
                <w:rFonts w:ascii="Times New Roman" w:eastAsia="Times New Roman" w:hAnsi="Times New Roman" w:cs="Times New Roman"/>
                <w:sz w:val="24"/>
                <w:szCs w:val="24"/>
                <w:lang w:eastAsia="ru-RU"/>
              </w:rPr>
              <w:t>-</w:t>
            </w:r>
            <w:proofErr w:type="spellStart"/>
            <w:r w:rsidRPr="004F5ACE">
              <w:rPr>
                <w:rFonts w:ascii="Times New Roman" w:eastAsia="Times New Roman" w:hAnsi="Times New Roman" w:cs="Times New Roman"/>
                <w:sz w:val="24"/>
                <w:szCs w:val="24"/>
                <w:lang w:eastAsia="ru-RU"/>
              </w:rPr>
              <w:t>нальных</w:t>
            </w:r>
            <w:proofErr w:type="spellEnd"/>
            <w:r w:rsidRPr="004F5ACE">
              <w:rPr>
                <w:rFonts w:ascii="Times New Roman" w:eastAsia="Times New Roman" w:hAnsi="Times New Roman" w:cs="Times New Roman"/>
                <w:sz w:val="24"/>
                <w:szCs w:val="24"/>
                <w:lang w:eastAsia="ru-RU"/>
              </w:rPr>
              <w:t xml:space="preserve"> услуг</w:t>
            </w:r>
          </w:p>
        </w:tc>
        <w:tc>
          <w:tcPr>
            <w:tcW w:w="1276" w:type="dxa"/>
          </w:tcPr>
          <w:p w14:paraId="0EFC4C48" w14:textId="77777777" w:rsidR="0009498F" w:rsidRPr="004F5ACE" w:rsidRDefault="0009498F" w:rsidP="00917E61">
            <w:pPr>
              <w:spacing w:after="0" w:line="240" w:lineRule="auto"/>
              <w:jc w:val="center"/>
              <w:rPr>
                <w:rFonts w:ascii="Times New Roman" w:eastAsia="Times New Roman" w:hAnsi="Times New Roman" w:cs="Times New Roman"/>
                <w:sz w:val="24"/>
                <w:szCs w:val="24"/>
                <w:lang w:eastAsia="ru-RU"/>
              </w:rPr>
            </w:pPr>
            <w:proofErr w:type="spellStart"/>
            <w:r w:rsidRPr="004F5ACE">
              <w:rPr>
                <w:rFonts w:ascii="Times New Roman" w:eastAsia="Times New Roman" w:hAnsi="Times New Roman" w:cs="Times New Roman"/>
                <w:sz w:val="24"/>
                <w:szCs w:val="24"/>
                <w:lang w:eastAsia="ru-RU"/>
              </w:rPr>
              <w:t>обеспече-ние</w:t>
            </w:r>
            <w:proofErr w:type="spellEnd"/>
            <w:r w:rsidRPr="004F5ACE">
              <w:rPr>
                <w:rFonts w:ascii="Times New Roman" w:eastAsia="Times New Roman" w:hAnsi="Times New Roman" w:cs="Times New Roman"/>
                <w:sz w:val="24"/>
                <w:szCs w:val="24"/>
                <w:lang w:eastAsia="ru-RU"/>
              </w:rPr>
              <w:t xml:space="preserve"> жилыми </w:t>
            </w:r>
            <w:proofErr w:type="spellStart"/>
            <w:r w:rsidRPr="004F5ACE">
              <w:rPr>
                <w:rFonts w:ascii="Times New Roman" w:eastAsia="Times New Roman" w:hAnsi="Times New Roman" w:cs="Times New Roman"/>
                <w:sz w:val="24"/>
                <w:szCs w:val="24"/>
                <w:lang w:eastAsia="ru-RU"/>
              </w:rPr>
              <w:t>помеще-ниями</w:t>
            </w:r>
            <w:proofErr w:type="spellEnd"/>
          </w:p>
        </w:tc>
        <w:tc>
          <w:tcPr>
            <w:tcW w:w="1216" w:type="dxa"/>
          </w:tcPr>
          <w:p w14:paraId="00071B0F" w14:textId="4815C4CC" w:rsidR="0009498F" w:rsidRPr="004F5ACE" w:rsidRDefault="0009498F" w:rsidP="00917E61">
            <w:pPr>
              <w:spacing w:after="0" w:line="240" w:lineRule="auto"/>
              <w:jc w:val="center"/>
              <w:rPr>
                <w:rFonts w:ascii="Times New Roman" w:eastAsia="Times New Roman" w:hAnsi="Times New Roman" w:cs="Times New Roman"/>
                <w:sz w:val="24"/>
                <w:szCs w:val="24"/>
                <w:lang w:eastAsia="ru-RU"/>
              </w:rPr>
            </w:pPr>
            <w:proofErr w:type="spellStart"/>
            <w:r w:rsidRPr="004F5ACE">
              <w:rPr>
                <w:rFonts w:ascii="Times New Roman" w:eastAsia="Times New Roman" w:hAnsi="Times New Roman" w:cs="Times New Roman"/>
                <w:sz w:val="24"/>
                <w:szCs w:val="24"/>
                <w:lang w:eastAsia="ru-RU"/>
              </w:rPr>
              <w:t>обеспече-</w:t>
            </w:r>
            <w:r w:rsidR="00591409">
              <w:rPr>
                <w:rFonts w:ascii="Times New Roman" w:eastAsia="Times New Roman" w:hAnsi="Times New Roman" w:cs="Times New Roman"/>
                <w:sz w:val="24"/>
                <w:szCs w:val="24"/>
                <w:lang w:eastAsia="ru-RU"/>
              </w:rPr>
              <w:t>н</w:t>
            </w:r>
            <w:r w:rsidRPr="004F5ACE">
              <w:rPr>
                <w:rFonts w:ascii="Times New Roman" w:eastAsia="Times New Roman" w:hAnsi="Times New Roman" w:cs="Times New Roman"/>
                <w:sz w:val="24"/>
                <w:szCs w:val="24"/>
                <w:lang w:eastAsia="ru-RU"/>
              </w:rPr>
              <w:t>ие</w:t>
            </w:r>
            <w:proofErr w:type="spellEnd"/>
            <w:r w:rsidRPr="004F5ACE">
              <w:rPr>
                <w:rFonts w:ascii="Times New Roman" w:eastAsia="Times New Roman" w:hAnsi="Times New Roman" w:cs="Times New Roman"/>
                <w:sz w:val="24"/>
                <w:szCs w:val="24"/>
                <w:lang w:eastAsia="ru-RU"/>
              </w:rPr>
              <w:t xml:space="preserve"> топливом</w:t>
            </w:r>
          </w:p>
        </w:tc>
        <w:tc>
          <w:tcPr>
            <w:tcW w:w="1237" w:type="dxa"/>
          </w:tcPr>
          <w:p w14:paraId="2BA5CB11" w14:textId="77777777" w:rsidR="0009498F" w:rsidRPr="004F5ACE" w:rsidRDefault="0009498F" w:rsidP="00917E61">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 xml:space="preserve">оплата и </w:t>
            </w:r>
            <w:proofErr w:type="spellStart"/>
            <w:r w:rsidRPr="004F5ACE">
              <w:rPr>
                <w:rFonts w:ascii="Times New Roman" w:eastAsia="Times New Roman" w:hAnsi="Times New Roman" w:cs="Times New Roman"/>
                <w:sz w:val="24"/>
                <w:szCs w:val="24"/>
                <w:lang w:eastAsia="ru-RU"/>
              </w:rPr>
              <w:t>установ</w:t>
            </w:r>
            <w:proofErr w:type="spellEnd"/>
            <w:r w:rsidRPr="004F5ACE">
              <w:rPr>
                <w:rFonts w:ascii="Times New Roman" w:eastAsia="Times New Roman" w:hAnsi="Times New Roman" w:cs="Times New Roman"/>
                <w:sz w:val="24"/>
                <w:szCs w:val="24"/>
                <w:lang w:eastAsia="ru-RU"/>
              </w:rPr>
              <w:t>-ка телефона</w:t>
            </w:r>
          </w:p>
        </w:tc>
        <w:tc>
          <w:tcPr>
            <w:tcW w:w="1374" w:type="dxa"/>
          </w:tcPr>
          <w:p w14:paraId="126C22FF" w14:textId="77777777" w:rsidR="0009498F" w:rsidRPr="004F5ACE" w:rsidRDefault="0009498F" w:rsidP="00917E61">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проезд городским и пригород-</w:t>
            </w:r>
            <w:proofErr w:type="spellStart"/>
            <w:r w:rsidRPr="004F5ACE">
              <w:rPr>
                <w:rFonts w:ascii="Times New Roman" w:eastAsia="Times New Roman" w:hAnsi="Times New Roman" w:cs="Times New Roman"/>
                <w:sz w:val="24"/>
                <w:szCs w:val="24"/>
                <w:lang w:eastAsia="ru-RU"/>
              </w:rPr>
              <w:t>ным</w:t>
            </w:r>
            <w:proofErr w:type="spellEnd"/>
            <w:r>
              <w:rPr>
                <w:rFonts w:ascii="Times New Roman" w:eastAsia="Times New Roman" w:hAnsi="Times New Roman" w:cs="Times New Roman"/>
                <w:sz w:val="24"/>
                <w:szCs w:val="24"/>
                <w:lang w:eastAsia="ru-RU"/>
              </w:rPr>
              <w:t xml:space="preserve"> </w:t>
            </w:r>
            <w:proofErr w:type="spellStart"/>
            <w:r w:rsidRPr="004F5ACE">
              <w:rPr>
                <w:rFonts w:ascii="Times New Roman" w:eastAsia="Times New Roman" w:hAnsi="Times New Roman" w:cs="Times New Roman"/>
                <w:sz w:val="24"/>
                <w:szCs w:val="24"/>
                <w:lang w:eastAsia="ru-RU"/>
              </w:rPr>
              <w:t>транспор</w:t>
            </w:r>
            <w:proofErr w:type="spellEnd"/>
            <w:r w:rsidRPr="004F5ACE">
              <w:rPr>
                <w:rFonts w:ascii="Times New Roman" w:eastAsia="Times New Roman" w:hAnsi="Times New Roman" w:cs="Times New Roman"/>
                <w:sz w:val="24"/>
                <w:szCs w:val="24"/>
                <w:lang w:eastAsia="ru-RU"/>
              </w:rPr>
              <w:t>-том</w:t>
            </w:r>
          </w:p>
        </w:tc>
        <w:tc>
          <w:tcPr>
            <w:tcW w:w="1276" w:type="dxa"/>
          </w:tcPr>
          <w:p w14:paraId="59874D41" w14:textId="77777777" w:rsidR="0009498F" w:rsidRPr="004F5ACE" w:rsidRDefault="0009498F" w:rsidP="00917E61">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 xml:space="preserve">проезд на </w:t>
            </w:r>
            <w:proofErr w:type="spellStart"/>
            <w:r w:rsidRPr="004F5ACE">
              <w:rPr>
                <w:rFonts w:ascii="Times New Roman" w:eastAsia="Times New Roman" w:hAnsi="Times New Roman" w:cs="Times New Roman"/>
                <w:sz w:val="24"/>
                <w:szCs w:val="24"/>
                <w:lang w:eastAsia="ru-RU"/>
              </w:rPr>
              <w:t>междуго</w:t>
            </w:r>
            <w:proofErr w:type="spellEnd"/>
            <w:r w:rsidRPr="004F5ACE">
              <w:rPr>
                <w:rFonts w:ascii="Times New Roman" w:eastAsia="Times New Roman" w:hAnsi="Times New Roman" w:cs="Times New Roman"/>
                <w:sz w:val="24"/>
                <w:szCs w:val="24"/>
                <w:lang w:eastAsia="ru-RU"/>
              </w:rPr>
              <w:t xml:space="preserve">-родном </w:t>
            </w:r>
            <w:proofErr w:type="spellStart"/>
            <w:r w:rsidRPr="004F5ACE">
              <w:rPr>
                <w:rFonts w:ascii="Times New Roman" w:eastAsia="Times New Roman" w:hAnsi="Times New Roman" w:cs="Times New Roman"/>
                <w:sz w:val="24"/>
                <w:szCs w:val="24"/>
                <w:lang w:eastAsia="ru-RU"/>
              </w:rPr>
              <w:t>транспор</w:t>
            </w:r>
            <w:proofErr w:type="spellEnd"/>
            <w:r w:rsidRPr="004F5ACE">
              <w:rPr>
                <w:rFonts w:ascii="Times New Roman" w:eastAsia="Times New Roman" w:hAnsi="Times New Roman" w:cs="Times New Roman"/>
                <w:sz w:val="24"/>
                <w:szCs w:val="24"/>
                <w:lang w:eastAsia="ru-RU"/>
              </w:rPr>
              <w:t>-те</w:t>
            </w:r>
          </w:p>
        </w:tc>
        <w:tc>
          <w:tcPr>
            <w:tcW w:w="1417" w:type="dxa"/>
          </w:tcPr>
          <w:p w14:paraId="36AB8E6E" w14:textId="77777777" w:rsidR="0009498F" w:rsidRPr="004F5ACE" w:rsidRDefault="0009498F" w:rsidP="00917E61">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 xml:space="preserve">лекарственное </w:t>
            </w:r>
            <w:proofErr w:type="spellStart"/>
            <w:r w:rsidRPr="004F5ACE">
              <w:rPr>
                <w:rFonts w:ascii="Times New Roman" w:eastAsia="Times New Roman" w:hAnsi="Times New Roman" w:cs="Times New Roman"/>
                <w:sz w:val="24"/>
                <w:szCs w:val="24"/>
                <w:lang w:eastAsia="ru-RU"/>
              </w:rPr>
              <w:t>обеспече-ние</w:t>
            </w:r>
            <w:proofErr w:type="spellEnd"/>
            <w:r w:rsidRPr="004F5ACE">
              <w:rPr>
                <w:rFonts w:ascii="Times New Roman" w:eastAsia="Times New Roman" w:hAnsi="Times New Roman" w:cs="Times New Roman"/>
                <w:sz w:val="24"/>
                <w:szCs w:val="24"/>
                <w:lang w:eastAsia="ru-RU"/>
              </w:rPr>
              <w:t xml:space="preserve"> изделиями </w:t>
            </w:r>
            <w:proofErr w:type="spellStart"/>
            <w:r w:rsidRPr="004F5ACE">
              <w:rPr>
                <w:rFonts w:ascii="Times New Roman" w:eastAsia="Times New Roman" w:hAnsi="Times New Roman" w:cs="Times New Roman"/>
                <w:sz w:val="24"/>
                <w:szCs w:val="24"/>
                <w:lang w:eastAsia="ru-RU"/>
              </w:rPr>
              <w:t>медицинс</w:t>
            </w:r>
            <w:proofErr w:type="spellEnd"/>
            <w:r w:rsidRPr="004F5ACE">
              <w:rPr>
                <w:rFonts w:ascii="Times New Roman" w:eastAsia="Times New Roman" w:hAnsi="Times New Roman" w:cs="Times New Roman"/>
                <w:sz w:val="24"/>
                <w:szCs w:val="24"/>
                <w:lang w:eastAsia="ru-RU"/>
              </w:rPr>
              <w:t xml:space="preserve">-кого назначения и </w:t>
            </w:r>
            <w:proofErr w:type="spellStart"/>
            <w:r w:rsidRPr="004F5ACE">
              <w:rPr>
                <w:rFonts w:ascii="Times New Roman" w:eastAsia="Times New Roman" w:hAnsi="Times New Roman" w:cs="Times New Roman"/>
                <w:sz w:val="24"/>
                <w:szCs w:val="24"/>
                <w:lang w:eastAsia="ru-RU"/>
              </w:rPr>
              <w:t>медицинс</w:t>
            </w:r>
            <w:proofErr w:type="spellEnd"/>
            <w:r w:rsidRPr="004F5ACE">
              <w:rPr>
                <w:rFonts w:ascii="Times New Roman" w:eastAsia="Times New Roman" w:hAnsi="Times New Roman" w:cs="Times New Roman"/>
                <w:sz w:val="24"/>
                <w:szCs w:val="24"/>
                <w:lang w:eastAsia="ru-RU"/>
              </w:rPr>
              <w:t>-кие услуги</w:t>
            </w:r>
          </w:p>
        </w:tc>
        <w:tc>
          <w:tcPr>
            <w:tcW w:w="1311" w:type="dxa"/>
          </w:tcPr>
          <w:p w14:paraId="6E83E74D" w14:textId="77777777" w:rsidR="0009498F" w:rsidRPr="004F5ACE" w:rsidRDefault="0009498F" w:rsidP="00917E61">
            <w:pPr>
              <w:spacing w:after="0" w:line="240" w:lineRule="auto"/>
              <w:jc w:val="center"/>
              <w:rPr>
                <w:rFonts w:ascii="Times New Roman" w:eastAsia="Times New Roman" w:hAnsi="Times New Roman" w:cs="Times New Roman"/>
                <w:sz w:val="24"/>
                <w:szCs w:val="24"/>
                <w:lang w:eastAsia="ru-RU"/>
              </w:rPr>
            </w:pPr>
            <w:proofErr w:type="spellStart"/>
            <w:r w:rsidRPr="004F5ACE">
              <w:rPr>
                <w:rFonts w:ascii="Times New Roman" w:eastAsia="Times New Roman" w:hAnsi="Times New Roman" w:cs="Times New Roman"/>
                <w:sz w:val="24"/>
                <w:szCs w:val="24"/>
                <w:lang w:eastAsia="ru-RU"/>
              </w:rPr>
              <w:t>обеспече-ние</w:t>
            </w:r>
            <w:proofErr w:type="spellEnd"/>
            <w:r w:rsidRPr="004F5ACE">
              <w:rPr>
                <w:rFonts w:ascii="Times New Roman" w:eastAsia="Times New Roman" w:hAnsi="Times New Roman" w:cs="Times New Roman"/>
                <w:sz w:val="24"/>
                <w:szCs w:val="24"/>
                <w:lang w:eastAsia="ru-RU"/>
              </w:rPr>
              <w:t xml:space="preserve"> питанием</w:t>
            </w:r>
          </w:p>
        </w:tc>
        <w:tc>
          <w:tcPr>
            <w:tcW w:w="1132" w:type="dxa"/>
          </w:tcPr>
          <w:p w14:paraId="554D70E7" w14:textId="77777777" w:rsidR="0009498F" w:rsidRPr="004F5ACE" w:rsidRDefault="0009498F" w:rsidP="00917E61">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sz w:val="24"/>
                <w:szCs w:val="24"/>
                <w:lang w:eastAsia="ru-RU"/>
              </w:rPr>
              <w:t>санаторно-курорт-</w:t>
            </w:r>
            <w:proofErr w:type="spellStart"/>
            <w:r w:rsidRPr="004F5ACE">
              <w:rPr>
                <w:rFonts w:ascii="Times New Roman" w:eastAsia="Times New Roman" w:hAnsi="Times New Roman" w:cs="Times New Roman"/>
                <w:sz w:val="24"/>
                <w:szCs w:val="24"/>
                <w:lang w:eastAsia="ru-RU"/>
              </w:rPr>
              <w:t>ное</w:t>
            </w:r>
            <w:proofErr w:type="spellEnd"/>
            <w:r w:rsidRPr="004F5ACE">
              <w:rPr>
                <w:rFonts w:ascii="Times New Roman" w:eastAsia="Times New Roman" w:hAnsi="Times New Roman" w:cs="Times New Roman"/>
                <w:sz w:val="24"/>
                <w:szCs w:val="24"/>
                <w:lang w:eastAsia="ru-RU"/>
              </w:rPr>
              <w:t xml:space="preserve"> лечение или пребывание в доме отдыха (</w:t>
            </w:r>
            <w:proofErr w:type="spellStart"/>
            <w:r w:rsidRPr="004F5ACE">
              <w:rPr>
                <w:rFonts w:ascii="Times New Roman" w:eastAsia="Times New Roman" w:hAnsi="Times New Roman" w:cs="Times New Roman"/>
                <w:sz w:val="24"/>
                <w:szCs w:val="24"/>
                <w:lang w:eastAsia="ru-RU"/>
              </w:rPr>
              <w:t>вклю</w:t>
            </w:r>
            <w:proofErr w:type="spellEnd"/>
            <w:r w:rsidRPr="004F5ACE">
              <w:rPr>
                <w:rFonts w:ascii="Times New Roman" w:eastAsia="Times New Roman" w:hAnsi="Times New Roman" w:cs="Times New Roman"/>
                <w:sz w:val="24"/>
                <w:szCs w:val="24"/>
                <w:lang w:eastAsia="ru-RU"/>
              </w:rPr>
              <w:t>-чая проезд)</w:t>
            </w:r>
          </w:p>
        </w:tc>
        <w:tc>
          <w:tcPr>
            <w:tcW w:w="994" w:type="dxa"/>
          </w:tcPr>
          <w:p w14:paraId="16F1388B" w14:textId="77777777" w:rsidR="0009498F" w:rsidRPr="004F5ACE" w:rsidRDefault="0009498F" w:rsidP="00917E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дру</w:t>
            </w:r>
            <w:r w:rsidRPr="004F5ACE">
              <w:rPr>
                <w:rFonts w:ascii="Times New Roman" w:eastAsia="Times New Roman" w:hAnsi="Times New Roman" w:cs="Times New Roman"/>
                <w:sz w:val="24"/>
                <w:szCs w:val="24"/>
                <w:lang w:eastAsia="ru-RU"/>
              </w:rPr>
              <w:t>гие меры со</w:t>
            </w:r>
            <w:r>
              <w:rPr>
                <w:rFonts w:ascii="Times New Roman" w:eastAsia="Times New Roman" w:hAnsi="Times New Roman" w:cs="Times New Roman"/>
                <w:sz w:val="24"/>
                <w:szCs w:val="24"/>
                <w:lang w:eastAsia="ru-RU"/>
              </w:rPr>
              <w:t>-</w:t>
            </w:r>
            <w:proofErr w:type="spellStart"/>
            <w:r w:rsidRPr="004F5ACE">
              <w:rPr>
                <w:rFonts w:ascii="Times New Roman" w:eastAsia="Times New Roman" w:hAnsi="Times New Roman" w:cs="Times New Roman"/>
                <w:sz w:val="24"/>
                <w:szCs w:val="24"/>
                <w:lang w:eastAsia="ru-RU"/>
              </w:rPr>
              <w:t>циаль</w:t>
            </w:r>
            <w:proofErr w:type="spellEnd"/>
            <w:r w:rsidRPr="004F5ACE">
              <w:rPr>
                <w:rFonts w:ascii="Times New Roman" w:eastAsia="Times New Roman" w:hAnsi="Times New Roman" w:cs="Times New Roman"/>
                <w:sz w:val="24"/>
                <w:szCs w:val="24"/>
                <w:lang w:eastAsia="ru-RU"/>
              </w:rPr>
              <w:t>-ной под</w:t>
            </w:r>
            <w:r>
              <w:rPr>
                <w:rFonts w:ascii="Times New Roman" w:eastAsia="Times New Roman" w:hAnsi="Times New Roman" w:cs="Times New Roman"/>
                <w:sz w:val="24"/>
                <w:szCs w:val="24"/>
                <w:lang w:eastAsia="ru-RU"/>
              </w:rPr>
              <w:t>-</w:t>
            </w:r>
            <w:proofErr w:type="spellStart"/>
            <w:r w:rsidRPr="004F5ACE">
              <w:rPr>
                <w:rFonts w:ascii="Times New Roman" w:eastAsia="Times New Roman" w:hAnsi="Times New Roman" w:cs="Times New Roman"/>
                <w:sz w:val="24"/>
                <w:szCs w:val="24"/>
                <w:lang w:eastAsia="ru-RU"/>
              </w:rPr>
              <w:t>держки</w:t>
            </w:r>
            <w:proofErr w:type="spellEnd"/>
          </w:p>
        </w:tc>
      </w:tr>
      <w:tr w:rsidR="0009498F" w:rsidRPr="004F5ACE" w14:paraId="6F9EBFCE" w14:textId="77777777" w:rsidTr="00913B8D">
        <w:trPr>
          <w:trHeight w:val="379"/>
        </w:trPr>
        <w:tc>
          <w:tcPr>
            <w:tcW w:w="16478" w:type="dxa"/>
            <w:gridSpan w:val="13"/>
            <w:vAlign w:val="center"/>
          </w:tcPr>
          <w:p w14:paraId="54E1A5B4" w14:textId="77777777" w:rsidR="0009498F" w:rsidRPr="004F5ACE" w:rsidRDefault="0009498F" w:rsidP="00917E61">
            <w:pPr>
              <w:spacing w:after="0" w:line="240" w:lineRule="auto"/>
              <w:jc w:val="center"/>
              <w:rPr>
                <w:rFonts w:ascii="Times New Roman" w:eastAsia="Times New Roman" w:hAnsi="Times New Roman" w:cs="Times New Roman"/>
                <w:b/>
                <w:sz w:val="24"/>
                <w:szCs w:val="24"/>
                <w:lang w:eastAsia="ru-RU"/>
              </w:rPr>
            </w:pPr>
            <w:r w:rsidRPr="004F5ACE">
              <w:rPr>
                <w:rFonts w:ascii="Times New Roman" w:eastAsia="Times New Roman" w:hAnsi="Times New Roman" w:cs="Times New Roman"/>
                <w:b/>
                <w:sz w:val="24"/>
                <w:szCs w:val="24"/>
                <w:lang w:eastAsia="ru-RU"/>
              </w:rPr>
              <w:t>в натуральной и денежной формах</w:t>
            </w:r>
          </w:p>
        </w:tc>
      </w:tr>
      <w:tr w:rsidR="00C02F52" w:rsidRPr="004F5ACE" w14:paraId="5D09472F" w14:textId="77777777" w:rsidTr="00913B8D">
        <w:trPr>
          <w:trHeight w:val="413"/>
        </w:trPr>
        <w:tc>
          <w:tcPr>
            <w:tcW w:w="1418" w:type="dxa"/>
            <w:vAlign w:val="center"/>
          </w:tcPr>
          <w:p w14:paraId="383144BD" w14:textId="77777777" w:rsidR="00C02F52" w:rsidRPr="004F5ACE" w:rsidRDefault="00C02F52" w:rsidP="00C02F52">
            <w:pPr>
              <w:spacing w:after="0" w:line="240" w:lineRule="auto"/>
              <w:rPr>
                <w:rFonts w:ascii="Times New Roman" w:eastAsia="Times New Roman" w:hAnsi="Times New Roman" w:cs="Times New Roman"/>
                <w:b/>
                <w:sz w:val="24"/>
                <w:szCs w:val="24"/>
                <w:lang w:eastAsia="ru-RU"/>
              </w:rPr>
            </w:pPr>
            <w:r w:rsidRPr="004F5ACE">
              <w:rPr>
                <w:rFonts w:ascii="Times New Roman" w:eastAsia="Times New Roman" w:hAnsi="Times New Roman" w:cs="Times New Roman"/>
                <w:b/>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26C6B9" w14:textId="77777777" w:rsidR="00C02F52" w:rsidRPr="000B116E" w:rsidRDefault="00C02F52" w:rsidP="00C02F52">
            <w:pPr>
              <w:spacing w:after="0" w:line="240" w:lineRule="auto"/>
              <w:jc w:val="center"/>
              <w:rPr>
                <w:rFonts w:ascii="Arial CYR" w:hAnsi="Arial CYR" w:cs="Arial CYR"/>
                <w:b/>
                <w:sz w:val="16"/>
                <w:szCs w:val="16"/>
              </w:rPr>
            </w:pPr>
            <w:r w:rsidRPr="00D5564D">
              <w:rPr>
                <w:rFonts w:ascii="Times New Roman" w:eastAsia="Times New Roman" w:hAnsi="Times New Roman"/>
                <w:b/>
                <w:lang w:eastAsia="ru-RU"/>
              </w:rPr>
              <w:t>478618740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A28CA9" w14:textId="77777777" w:rsidR="00C02F52" w:rsidRPr="00D5564D" w:rsidRDefault="00C02F52" w:rsidP="00C02F52">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347276373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FB06FD" w14:textId="77777777" w:rsidR="00C02F52" w:rsidRPr="00D5564D" w:rsidRDefault="00C02F52" w:rsidP="00C02F52">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17463119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47D858" w14:textId="77777777" w:rsidR="00C02F52" w:rsidRPr="00D5564D" w:rsidRDefault="00C02F52" w:rsidP="00C02F52">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38285944</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3143B044" w14:textId="77777777" w:rsidR="00C02F52" w:rsidRPr="00D5564D" w:rsidRDefault="00C02F52" w:rsidP="00C02F52">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322623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0CCDE3C4" w14:textId="77777777" w:rsidR="00C02F52" w:rsidRPr="00D5564D" w:rsidRDefault="00C02F52" w:rsidP="00C02F52">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915</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51A79F7B" w14:textId="77777777" w:rsidR="00C02F52" w:rsidRPr="00D5564D" w:rsidRDefault="00C02F52" w:rsidP="00C02F52">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6971217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9E2440" w14:textId="77777777" w:rsidR="00C02F52" w:rsidRPr="00D5564D" w:rsidRDefault="00C02F52" w:rsidP="00C02F52">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367538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E17AAD" w14:textId="77777777" w:rsidR="00C02F52" w:rsidRPr="00D5564D" w:rsidRDefault="00C02F52" w:rsidP="00C02F52">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4812323</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42C0701" w14:textId="77777777" w:rsidR="00C02F52" w:rsidRPr="00D5564D" w:rsidRDefault="00C02F52" w:rsidP="00C02F52">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38211823</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18158822" w14:textId="77777777" w:rsidR="00C02F52" w:rsidRPr="00D5564D" w:rsidRDefault="00C02F52" w:rsidP="00C02F52">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4822490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0D1440DE" w14:textId="77777777" w:rsidR="00C02F52" w:rsidRPr="00D5564D" w:rsidRDefault="00C02F52" w:rsidP="00C02F52">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20084375</w:t>
            </w:r>
          </w:p>
        </w:tc>
      </w:tr>
      <w:tr w:rsidR="00C02F52" w:rsidRPr="004F5ACE" w14:paraId="3A1D6FB9" w14:textId="77777777" w:rsidTr="00913B8D">
        <w:tc>
          <w:tcPr>
            <w:tcW w:w="1418" w:type="dxa"/>
            <w:vAlign w:val="bottom"/>
          </w:tcPr>
          <w:p w14:paraId="47FCBB4D" w14:textId="77777777" w:rsidR="00C02F52" w:rsidRPr="004F5ACE" w:rsidRDefault="00C02F52" w:rsidP="00C02F52">
            <w:pPr>
              <w:spacing w:after="0" w:line="240" w:lineRule="auto"/>
              <w:ind w:firstLine="113"/>
              <w:rPr>
                <w:rFonts w:ascii="Times New Roman" w:hAnsi="Times New Roman"/>
              </w:rPr>
            </w:pPr>
            <w:r w:rsidRPr="004F5ACE">
              <w:rPr>
                <w:rFonts w:ascii="Times New Roman" w:hAnsi="Times New Roman"/>
              </w:rPr>
              <w:t>в том числе по категориям:</w:t>
            </w:r>
          </w:p>
          <w:p w14:paraId="45AA6206" w14:textId="4F128962" w:rsidR="00C02F52" w:rsidRPr="004F5ACE" w:rsidRDefault="00C02F52" w:rsidP="00C02F52">
            <w:pPr>
              <w:spacing w:after="0" w:line="240" w:lineRule="auto"/>
              <w:rPr>
                <w:rFonts w:ascii="Times New Roman" w:hAnsi="Times New Roman"/>
              </w:rPr>
            </w:pPr>
            <w:r w:rsidRPr="004F5ACE">
              <w:rPr>
                <w:rFonts w:ascii="Times New Roman" w:hAnsi="Times New Roman"/>
              </w:rPr>
              <w:t>дети</w:t>
            </w:r>
            <w:r w:rsidR="003B77D7" w:rsidRPr="00295F0B">
              <w:rPr>
                <w:rFonts w:ascii="Times New Roman" w:hAnsi="Times New Roman"/>
              </w:rPr>
              <w:t xml:space="preserve"> с инвалидностью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7F4CFB"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8022183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B919FE"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1790040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226F2D3"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556536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3E626C"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470087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3526D92"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3776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3C427DEA"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571</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5DE547DB"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169484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029232"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53687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AF68BF"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3814355</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0D524666"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78615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286376D2"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846264</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0AD21FDF"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238768</w:t>
            </w:r>
          </w:p>
        </w:tc>
      </w:tr>
      <w:tr w:rsidR="00C02F52" w:rsidRPr="004F5ACE" w14:paraId="438C5F65" w14:textId="77777777" w:rsidTr="00913B8D">
        <w:tc>
          <w:tcPr>
            <w:tcW w:w="1418" w:type="dxa"/>
            <w:vAlign w:val="bottom"/>
          </w:tcPr>
          <w:p w14:paraId="1653F183" w14:textId="77777777" w:rsidR="00C02F52" w:rsidRPr="004F5ACE" w:rsidRDefault="00C02F52" w:rsidP="00C02F52">
            <w:pPr>
              <w:spacing w:after="0" w:line="240" w:lineRule="auto"/>
              <w:rPr>
                <w:rFonts w:ascii="Times New Roman" w:hAnsi="Times New Roman"/>
              </w:rPr>
            </w:pPr>
            <w:r w:rsidRPr="004F5ACE">
              <w:rPr>
                <w:rFonts w:ascii="Times New Roman" w:hAnsi="Times New Roman"/>
              </w:rPr>
              <w:t>дети из отдельных категорий семей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64F83F"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63305564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945192"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40857593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60A08DB"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2771999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02A9F3"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12800</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33EBACC"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19457</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28911720"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6130F97E"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1785926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E052EE"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45562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DA4D79"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494467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7DB1311"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13917415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3A77539C"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1613002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0ECF58BF"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1787343</w:t>
            </w:r>
          </w:p>
        </w:tc>
      </w:tr>
      <w:tr w:rsidR="00C02F52" w:rsidRPr="004F5ACE" w14:paraId="43257365" w14:textId="77777777" w:rsidTr="00913B8D">
        <w:tc>
          <w:tcPr>
            <w:tcW w:w="1418" w:type="dxa"/>
            <w:vAlign w:val="bottom"/>
          </w:tcPr>
          <w:p w14:paraId="7B346E85" w14:textId="77777777" w:rsidR="00C02F52" w:rsidRPr="004F5ACE" w:rsidRDefault="00C02F52" w:rsidP="00C02F52">
            <w:pPr>
              <w:spacing w:after="0" w:line="240" w:lineRule="auto"/>
              <w:rPr>
                <w:rFonts w:ascii="Times New Roman" w:hAnsi="Times New Roman"/>
              </w:rPr>
            </w:pPr>
            <w:r w:rsidRPr="004F5ACE">
              <w:rPr>
                <w:rFonts w:ascii="Times New Roman" w:hAnsi="Times New Roman"/>
              </w:rPr>
              <w:t>дети-сироты и дети, оставшиеся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0D370"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108343231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3C318C"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67963665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245BB19"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1148155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2795DB"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26298099</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1ACE25B"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607470D5"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6E1988ED"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450721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A6CC01"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79513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ED2F62"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52769</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F3FA775"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4370814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0807F9DE"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732016</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35095C44"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7247466</w:t>
            </w:r>
          </w:p>
        </w:tc>
      </w:tr>
      <w:tr w:rsidR="00C02F52" w:rsidRPr="004F5ACE" w14:paraId="143C6D0B" w14:textId="77777777" w:rsidTr="00913B8D">
        <w:tc>
          <w:tcPr>
            <w:tcW w:w="1418" w:type="dxa"/>
            <w:vAlign w:val="bottom"/>
          </w:tcPr>
          <w:p w14:paraId="0EC8C99A" w14:textId="77777777" w:rsidR="00C02F52" w:rsidRPr="004F5ACE" w:rsidRDefault="00C02F52" w:rsidP="00C02F52">
            <w:pPr>
              <w:spacing w:after="0" w:line="240" w:lineRule="auto"/>
              <w:rPr>
                <w:rFonts w:ascii="Times New Roman" w:hAnsi="Times New Roman"/>
              </w:rPr>
            </w:pPr>
            <w:r w:rsidRPr="004F5ACE">
              <w:rPr>
                <w:rFonts w:ascii="Times New Roman" w:hAnsi="Times New Roman"/>
              </w:rPr>
              <w:t>студенты, учащиеся, школьники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ADF9A"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31311621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90FBCD"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9017706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18ADAF"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4649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CBCD9F"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10872</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39C0555"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23856D0A"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50B4E655"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1594732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F53294"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49690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A24097"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176</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694BF1E"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14771027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0374A8B6"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759773</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2D78F42F"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5102996</w:t>
            </w:r>
          </w:p>
        </w:tc>
      </w:tr>
      <w:tr w:rsidR="00C02F52" w:rsidRPr="004F5ACE" w14:paraId="62630B1C" w14:textId="77777777" w:rsidTr="00913B8D">
        <w:tc>
          <w:tcPr>
            <w:tcW w:w="1418" w:type="dxa"/>
            <w:vAlign w:val="bottom"/>
          </w:tcPr>
          <w:p w14:paraId="6D2FFAC9" w14:textId="77777777" w:rsidR="00C02F52" w:rsidRPr="004F5ACE" w:rsidRDefault="00C02F52" w:rsidP="00C02F52">
            <w:pPr>
              <w:spacing w:after="0" w:line="240" w:lineRule="auto"/>
              <w:rPr>
                <w:rFonts w:ascii="Times New Roman" w:hAnsi="Times New Roman"/>
              </w:rPr>
            </w:pPr>
            <w:r w:rsidRPr="004F5ACE">
              <w:rPr>
                <w:rFonts w:ascii="Times New Roman" w:hAnsi="Times New Roman"/>
              </w:rPr>
              <w:t>беременные женщины и кормящие матери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B4EF46"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5017353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4C2CD2"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3722980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602657" w14:textId="77777777" w:rsidR="00C02F52" w:rsidRDefault="00C02F52" w:rsidP="00C02F52">
            <w:pPr>
              <w:spacing w:after="0" w:line="240" w:lineRule="auto"/>
              <w:jc w:val="center"/>
            </w:pPr>
            <w:r w:rsidRPr="00D5564D">
              <w:rPr>
                <w:rFonts w:ascii="Times New Roman" w:eastAsia="Times New Roman" w:hAnsi="Times New Roman"/>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ABBE55" w14:textId="77777777" w:rsidR="00C02F52" w:rsidRDefault="00C02F52" w:rsidP="00C02F52">
            <w:pPr>
              <w:spacing w:after="0" w:line="240" w:lineRule="auto"/>
              <w:jc w:val="center"/>
            </w:pPr>
            <w:r w:rsidRPr="00D5564D">
              <w:rPr>
                <w:rFonts w:ascii="Times New Roman" w:eastAsia="Times New Roman" w:hAnsi="Times New Roman"/>
                <w:lang w:eastAsia="ru-RU"/>
              </w:rP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7B19DD8" w14:textId="77777777" w:rsidR="00C02F52" w:rsidRDefault="00C02F52" w:rsidP="00C02F52">
            <w:pPr>
              <w:spacing w:after="0" w:line="240" w:lineRule="auto"/>
              <w:jc w:val="center"/>
            </w:pPr>
            <w:r w:rsidRPr="00D5564D">
              <w:rPr>
                <w:rFonts w:ascii="Times New Roman" w:eastAsia="Times New Roman" w:hAnsi="Times New Roman"/>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14012E94" w14:textId="77777777" w:rsidR="00C02F52" w:rsidRDefault="00C02F52" w:rsidP="00C02F52">
            <w:pPr>
              <w:spacing w:after="0" w:line="240" w:lineRule="auto"/>
              <w:jc w:val="center"/>
            </w:pPr>
            <w:r w:rsidRPr="00BE6A1B">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0C64A5B5"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10366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35BE3D"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17303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CFE775"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8845</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6EF16F2"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1237175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0D501889"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20547</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54C9F258"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137</w:t>
            </w:r>
          </w:p>
        </w:tc>
      </w:tr>
      <w:tr w:rsidR="00C02F52" w:rsidRPr="004F5ACE" w14:paraId="3A64A531" w14:textId="77777777" w:rsidTr="00913B8D">
        <w:tc>
          <w:tcPr>
            <w:tcW w:w="1418" w:type="dxa"/>
            <w:vAlign w:val="bottom"/>
          </w:tcPr>
          <w:p w14:paraId="0CAE15A7" w14:textId="77777777" w:rsidR="00C02F52" w:rsidRPr="004F5ACE" w:rsidRDefault="00C02F52" w:rsidP="00C02F52">
            <w:pPr>
              <w:spacing w:after="0" w:line="240" w:lineRule="auto"/>
              <w:rPr>
                <w:rFonts w:ascii="Times New Roman" w:hAnsi="Times New Roman"/>
              </w:rPr>
            </w:pPr>
            <w:r>
              <w:rPr>
                <w:rFonts w:ascii="Times New Roman" w:hAnsi="Times New Roman"/>
              </w:rPr>
              <w:t>молодые семьи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817167"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8925009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E825B4"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2592858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FB4774"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40072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F0F78B"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5010480</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255777F" w14:textId="77777777" w:rsidR="00C02F52" w:rsidRDefault="00C02F52" w:rsidP="00C02F52">
            <w:pPr>
              <w:spacing w:after="0" w:line="240" w:lineRule="auto"/>
              <w:jc w:val="center"/>
            </w:pPr>
            <w:r w:rsidRPr="00D5564D">
              <w:rPr>
                <w:rFonts w:ascii="Times New Roman" w:eastAsia="Times New Roman" w:hAnsi="Times New Roman"/>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33D62179" w14:textId="77777777" w:rsidR="00C02F52" w:rsidRDefault="00C02F52" w:rsidP="00C02F52">
            <w:pPr>
              <w:spacing w:after="0" w:line="240" w:lineRule="auto"/>
              <w:jc w:val="center"/>
            </w:pPr>
            <w:r w:rsidRPr="00D5564D">
              <w:rPr>
                <w:rFonts w:ascii="Times New Roman" w:eastAsia="Times New Roman" w:hAnsi="Times New Roman"/>
                <w:lang w:eastAsia="ru-RU"/>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38CEECBC" w14:textId="77777777" w:rsidR="00C02F52" w:rsidRDefault="00C02F52" w:rsidP="00C02F52">
            <w:pPr>
              <w:spacing w:after="0" w:line="240" w:lineRule="auto"/>
              <w:jc w:val="center"/>
            </w:pPr>
            <w:r w:rsidRPr="00BE6A1B">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5CB09A" w14:textId="77777777" w:rsidR="00C02F52" w:rsidRDefault="00C02F52" w:rsidP="00C02F52">
            <w:pPr>
              <w:spacing w:after="0" w:line="240" w:lineRule="auto"/>
              <w:jc w:val="center"/>
            </w:pPr>
            <w:r w:rsidRPr="00D5564D">
              <w:rPr>
                <w:rFonts w:ascii="Times New Roman" w:eastAsia="Times New Roman" w:hAnsi="Times New Roman"/>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EFE8A5" w14:textId="77777777" w:rsidR="00C02F52" w:rsidRDefault="00C02F52" w:rsidP="00C02F52">
            <w:pPr>
              <w:spacing w:after="0" w:line="240" w:lineRule="auto"/>
              <w:jc w:val="center"/>
            </w:pPr>
            <w:r w:rsidRPr="00D5564D">
              <w:rPr>
                <w:rFonts w:ascii="Times New Roman" w:eastAsia="Times New Roman" w:hAnsi="Times New Roman"/>
                <w:lang w:eastAsia="ru-RU"/>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1BD06F1"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460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3BC00EE9"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402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5208E5CC"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1280737</w:t>
            </w:r>
          </w:p>
        </w:tc>
      </w:tr>
      <w:tr w:rsidR="00C02F52" w:rsidRPr="004F5ACE" w14:paraId="5C4DB00D" w14:textId="77777777" w:rsidTr="00913B8D">
        <w:tc>
          <w:tcPr>
            <w:tcW w:w="1418" w:type="dxa"/>
            <w:vAlign w:val="bottom"/>
          </w:tcPr>
          <w:p w14:paraId="422219B9" w14:textId="77777777" w:rsidR="00C02F52" w:rsidRPr="004F5ACE" w:rsidRDefault="00C02F52" w:rsidP="00C02F52">
            <w:pPr>
              <w:spacing w:after="0" w:line="240" w:lineRule="auto"/>
              <w:rPr>
                <w:rFonts w:ascii="Times New Roman" w:hAnsi="Times New Roman"/>
              </w:rPr>
            </w:pPr>
            <w:r w:rsidRPr="004F5ACE">
              <w:rPr>
                <w:rFonts w:ascii="Times New Roman" w:hAnsi="Times New Roman"/>
              </w:rPr>
              <w:t>семьи с детьми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41AEA4"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253693779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D59AA7"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221331531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09AC0AE"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12941708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DE75AD"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6483606</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30555CF8"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299377</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55DC6358"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344</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02DC0B3A"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2959988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A764E5"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121783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D68136"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441711</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E279AD4"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3836317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006BA949"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850486</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3D4A0925"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4426928</w:t>
            </w:r>
          </w:p>
        </w:tc>
      </w:tr>
      <w:tr w:rsidR="00C02F52" w:rsidRPr="004F5ACE" w14:paraId="3245D584" w14:textId="77777777" w:rsidTr="00913B8D">
        <w:tc>
          <w:tcPr>
            <w:tcW w:w="1418" w:type="dxa"/>
            <w:vAlign w:val="bottom"/>
          </w:tcPr>
          <w:p w14:paraId="2B67BF56" w14:textId="77777777" w:rsidR="00C02F52" w:rsidRPr="004F5ACE" w:rsidRDefault="00C02F52" w:rsidP="00C02F52">
            <w:pPr>
              <w:spacing w:after="0" w:line="240" w:lineRule="auto"/>
              <w:ind w:firstLine="170"/>
              <w:rPr>
                <w:rFonts w:ascii="Times New Roman" w:hAnsi="Times New Roman"/>
                <w:lang w:val="en-US"/>
              </w:rPr>
            </w:pPr>
            <w:r w:rsidRPr="004F5ACE">
              <w:rPr>
                <w:rFonts w:ascii="Times New Roman" w:hAnsi="Times New Roman"/>
              </w:rPr>
              <w:t xml:space="preserve">из них: </w:t>
            </w:r>
          </w:p>
          <w:p w14:paraId="46240D33" w14:textId="77777777" w:rsidR="00C02F52" w:rsidRPr="004F5ACE" w:rsidRDefault="00C02F52" w:rsidP="00C02F52">
            <w:pPr>
              <w:spacing w:after="0" w:line="240" w:lineRule="auto"/>
              <w:ind w:firstLine="170"/>
              <w:rPr>
                <w:rFonts w:ascii="Times New Roman" w:hAnsi="Times New Roman"/>
              </w:rPr>
            </w:pPr>
            <w:r w:rsidRPr="004F5ACE">
              <w:rPr>
                <w:rFonts w:ascii="Times New Roman" w:hAnsi="Times New Roman"/>
              </w:rPr>
              <w:t>малоимущие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1B37E3"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112802080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3C01EA"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106052059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C2250FE"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2146057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89D1B9"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691548</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213FA1EA"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35673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213363A7" w14:textId="77777777" w:rsidR="00C02F52" w:rsidRPr="00D5564D" w:rsidRDefault="00C02F52" w:rsidP="00C02F52">
            <w:pPr>
              <w:spacing w:after="0" w:line="240" w:lineRule="auto"/>
              <w:jc w:val="center"/>
              <w:rPr>
                <w:rFonts w:ascii="Times New Roman" w:eastAsia="Times New Roman" w:hAnsi="Times New Roman"/>
                <w:lang w:eastAsia="ru-RU"/>
              </w:rPr>
            </w:pPr>
            <w:r w:rsidRPr="00D146EA">
              <w:rPr>
                <w:rFonts w:ascii="Times New Roman" w:eastAsia="Times New Roman" w:hAnsi="Times New Roman"/>
                <w:lang w:eastAsia="ru-RU"/>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4B82C8BF"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252497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5C215F"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20414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793F7C"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137864</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6854932"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2630120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3255D224"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200096</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216B73CA"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635752</w:t>
            </w:r>
          </w:p>
        </w:tc>
      </w:tr>
      <w:tr w:rsidR="00C02F52" w:rsidRPr="004F5ACE" w14:paraId="0DA91595" w14:textId="77777777" w:rsidTr="00913B8D">
        <w:tc>
          <w:tcPr>
            <w:tcW w:w="1418" w:type="dxa"/>
            <w:vAlign w:val="bottom"/>
          </w:tcPr>
          <w:p w14:paraId="3C1CE738" w14:textId="77777777" w:rsidR="00C02F52" w:rsidRPr="004F5ACE" w:rsidRDefault="00C02F52" w:rsidP="00C02F52">
            <w:pPr>
              <w:spacing w:after="0" w:line="240" w:lineRule="auto"/>
              <w:ind w:firstLine="170"/>
              <w:rPr>
                <w:rFonts w:ascii="Times New Roman" w:hAnsi="Times New Roman"/>
              </w:rPr>
            </w:pPr>
            <w:r w:rsidRPr="004F5ACE">
              <w:rPr>
                <w:rFonts w:ascii="Times New Roman" w:hAnsi="Times New Roman"/>
              </w:rPr>
              <w:t xml:space="preserve"> лица,  </w:t>
            </w:r>
          </w:p>
          <w:p w14:paraId="3BDF2703" w14:textId="77777777" w:rsidR="00C02F52" w:rsidRPr="004F5ACE" w:rsidRDefault="00C02F52" w:rsidP="00C02F52">
            <w:pPr>
              <w:spacing w:after="0" w:line="240" w:lineRule="auto"/>
              <w:ind w:firstLine="170"/>
              <w:rPr>
                <w:rFonts w:ascii="Times New Roman" w:hAnsi="Times New Roman"/>
              </w:rPr>
            </w:pPr>
            <w:r w:rsidRPr="004F5ACE">
              <w:rPr>
                <w:rFonts w:ascii="Times New Roman" w:hAnsi="Times New Roman"/>
              </w:rPr>
              <w:t xml:space="preserve">получающие  </w:t>
            </w:r>
          </w:p>
          <w:p w14:paraId="7AE8657E" w14:textId="77777777" w:rsidR="00C02F52" w:rsidRPr="004F5ACE" w:rsidRDefault="00C02F52" w:rsidP="00C02F52">
            <w:pPr>
              <w:spacing w:after="0" w:line="240" w:lineRule="auto"/>
              <w:ind w:firstLine="170"/>
              <w:rPr>
                <w:rFonts w:ascii="Times New Roman" w:hAnsi="Times New Roman"/>
              </w:rPr>
            </w:pPr>
            <w:r w:rsidRPr="004F5ACE">
              <w:rPr>
                <w:rFonts w:ascii="Times New Roman" w:hAnsi="Times New Roman"/>
              </w:rPr>
              <w:t xml:space="preserve">региональный      </w:t>
            </w:r>
          </w:p>
          <w:p w14:paraId="408A96F2" w14:textId="77777777" w:rsidR="00C02F52" w:rsidRPr="004F5ACE" w:rsidRDefault="00C02F52" w:rsidP="00C02F52">
            <w:pPr>
              <w:spacing w:after="0" w:line="240" w:lineRule="auto"/>
              <w:ind w:firstLine="170"/>
              <w:rPr>
                <w:rFonts w:ascii="Times New Roman" w:hAnsi="Times New Roman"/>
              </w:rPr>
            </w:pPr>
            <w:r w:rsidRPr="004F5ACE">
              <w:rPr>
                <w:rFonts w:ascii="Times New Roman" w:hAnsi="Times New Roman"/>
              </w:rPr>
              <w:t xml:space="preserve">материнский  </w:t>
            </w:r>
          </w:p>
          <w:p w14:paraId="1FCDABA4" w14:textId="77777777" w:rsidR="00C02F52" w:rsidRPr="004F5ACE" w:rsidRDefault="00C02F52" w:rsidP="00C02F52">
            <w:pPr>
              <w:spacing w:after="0" w:line="240" w:lineRule="auto"/>
              <w:ind w:firstLine="170"/>
              <w:rPr>
                <w:rFonts w:ascii="Times New Roman" w:hAnsi="Times New Roman"/>
              </w:rPr>
            </w:pPr>
            <w:r w:rsidRPr="004F5ACE">
              <w:rPr>
                <w:rFonts w:ascii="Times New Roman" w:hAnsi="Times New Roman"/>
              </w:rPr>
              <w:t>капитал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3E715F"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17593835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90053A"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17593835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E25795B" w14:textId="77777777" w:rsidR="00C02F52" w:rsidRDefault="00C02F52" w:rsidP="00C02F52">
            <w:pPr>
              <w:spacing w:after="0" w:line="240" w:lineRule="auto"/>
              <w:jc w:val="center"/>
            </w:pPr>
            <w:r w:rsidRPr="00D5564D">
              <w:rPr>
                <w:rFonts w:ascii="Times New Roman" w:eastAsia="Times New Roman" w:hAnsi="Times New Roman"/>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AD787E" w14:textId="77777777" w:rsidR="00C02F52" w:rsidRDefault="00C02F52" w:rsidP="00C02F52">
            <w:pPr>
              <w:spacing w:after="0" w:line="240" w:lineRule="auto"/>
              <w:jc w:val="center"/>
            </w:pPr>
            <w:r w:rsidRPr="00BE6A1B">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FF44AD9" w14:textId="77777777" w:rsidR="00C02F52" w:rsidRDefault="00C02F52" w:rsidP="00C02F52">
            <w:pPr>
              <w:spacing w:after="0" w:line="240" w:lineRule="auto"/>
              <w:jc w:val="center"/>
            </w:pPr>
            <w:r w:rsidRPr="00D5564D">
              <w:rPr>
                <w:rFonts w:ascii="Times New Roman" w:eastAsia="Times New Roman" w:hAnsi="Times New Roman"/>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79E82ED6" w14:textId="77777777" w:rsidR="00C02F52" w:rsidRDefault="00C02F52" w:rsidP="00C02F52">
            <w:pPr>
              <w:spacing w:after="0" w:line="240" w:lineRule="auto"/>
              <w:jc w:val="center"/>
            </w:pPr>
            <w:r w:rsidRPr="00D5564D">
              <w:rPr>
                <w:rFonts w:ascii="Times New Roman" w:eastAsia="Times New Roman" w:hAnsi="Times New Roman"/>
                <w:lang w:eastAsia="ru-RU"/>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5B59B6EF" w14:textId="77777777" w:rsidR="00C02F52" w:rsidRDefault="00C02F52" w:rsidP="00C02F52">
            <w:pPr>
              <w:spacing w:after="0" w:line="240" w:lineRule="auto"/>
              <w:jc w:val="center"/>
            </w:pPr>
            <w:r w:rsidRPr="00D5564D">
              <w:rPr>
                <w:rFonts w:ascii="Times New Roman" w:eastAsia="Times New Roman" w:hAnsi="Times New Roman"/>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CBDDF2" w14:textId="77777777" w:rsidR="00C02F52" w:rsidRDefault="00C02F52" w:rsidP="00C02F52">
            <w:pPr>
              <w:spacing w:after="0" w:line="240" w:lineRule="auto"/>
              <w:jc w:val="center"/>
            </w:pPr>
            <w:r w:rsidRPr="00D5564D">
              <w:rPr>
                <w:rFonts w:ascii="Times New Roman" w:eastAsia="Times New Roman" w:hAnsi="Times New Roman"/>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0E4EB3" w14:textId="77777777" w:rsidR="00C02F52" w:rsidRDefault="00C02F52" w:rsidP="00C02F52">
            <w:pPr>
              <w:spacing w:after="0" w:line="240" w:lineRule="auto"/>
              <w:jc w:val="center"/>
            </w:pPr>
            <w:r w:rsidRPr="00BE6A1B">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AEE154C" w14:textId="77777777" w:rsidR="00C02F52" w:rsidRDefault="00C02F52" w:rsidP="00C02F52">
            <w:pPr>
              <w:spacing w:after="0" w:line="240" w:lineRule="auto"/>
              <w:jc w:val="center"/>
            </w:pPr>
            <w:r w:rsidRPr="00D5564D">
              <w:rPr>
                <w:rFonts w:ascii="Times New Roman" w:eastAsia="Times New Roman" w:hAnsi="Times New Roman"/>
                <w:lang w:eastAsia="ru-RU"/>
              </w:rP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1AB3F095" w14:textId="77777777" w:rsidR="00C02F52" w:rsidRDefault="00C02F52" w:rsidP="00C02F52">
            <w:pPr>
              <w:spacing w:after="0" w:line="240" w:lineRule="auto"/>
              <w:jc w:val="center"/>
            </w:pPr>
            <w:r w:rsidRPr="00D5564D">
              <w:rPr>
                <w:rFonts w:ascii="Times New Roman" w:eastAsia="Times New Roman" w:hAnsi="Times New Roman"/>
                <w:lang w:eastAsia="ru-RU"/>
              </w:rPr>
              <w: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0421543B" w14:textId="77777777" w:rsidR="00C02F52" w:rsidRDefault="00C02F52" w:rsidP="00C02F52">
            <w:pPr>
              <w:spacing w:after="0" w:line="240" w:lineRule="auto"/>
              <w:jc w:val="center"/>
            </w:pPr>
            <w:r w:rsidRPr="00D5564D">
              <w:rPr>
                <w:rFonts w:ascii="Times New Roman" w:eastAsia="Times New Roman" w:hAnsi="Times New Roman"/>
                <w:lang w:eastAsia="ru-RU"/>
              </w:rPr>
              <w:t>-</w:t>
            </w:r>
          </w:p>
        </w:tc>
      </w:tr>
      <w:tr w:rsidR="00C02F52" w:rsidRPr="004F5ACE" w14:paraId="6C481A5D" w14:textId="77777777" w:rsidTr="00913B8D">
        <w:tc>
          <w:tcPr>
            <w:tcW w:w="1418" w:type="dxa"/>
            <w:vAlign w:val="bottom"/>
          </w:tcPr>
          <w:p w14:paraId="2AADA6CF" w14:textId="77777777" w:rsidR="00C02F52" w:rsidRPr="004F5ACE" w:rsidRDefault="00C02F52" w:rsidP="00C02F52">
            <w:pPr>
              <w:spacing w:after="0" w:line="240" w:lineRule="auto"/>
              <w:ind w:firstLine="170"/>
              <w:rPr>
                <w:rFonts w:ascii="Times New Roman" w:hAnsi="Times New Roman"/>
              </w:rPr>
            </w:pPr>
            <w:r w:rsidRPr="004F5ACE">
              <w:rPr>
                <w:rFonts w:ascii="Times New Roman" w:hAnsi="Times New Roman"/>
              </w:rPr>
              <w:t xml:space="preserve">получатели  </w:t>
            </w:r>
          </w:p>
          <w:p w14:paraId="62E51715" w14:textId="77777777" w:rsidR="00C02F52" w:rsidRPr="004F5ACE" w:rsidRDefault="00C02F52" w:rsidP="00C02F52">
            <w:pPr>
              <w:spacing w:after="0" w:line="240" w:lineRule="auto"/>
              <w:ind w:firstLine="170"/>
              <w:rPr>
                <w:rFonts w:ascii="Times New Roman" w:hAnsi="Times New Roman"/>
              </w:rPr>
            </w:pPr>
            <w:r w:rsidRPr="004F5ACE">
              <w:rPr>
                <w:rFonts w:ascii="Times New Roman" w:hAnsi="Times New Roman"/>
              </w:rPr>
              <w:t xml:space="preserve">ежемесячной  </w:t>
            </w:r>
          </w:p>
          <w:p w14:paraId="09B37033" w14:textId="77777777" w:rsidR="00C02F52" w:rsidRPr="004F5ACE" w:rsidRDefault="00C02F52" w:rsidP="00C02F52">
            <w:pPr>
              <w:spacing w:after="0" w:line="240" w:lineRule="auto"/>
              <w:ind w:firstLine="170"/>
              <w:rPr>
                <w:rFonts w:ascii="Times New Roman" w:hAnsi="Times New Roman"/>
              </w:rPr>
            </w:pPr>
            <w:r w:rsidRPr="004F5ACE">
              <w:rPr>
                <w:rFonts w:ascii="Times New Roman" w:hAnsi="Times New Roman"/>
              </w:rPr>
              <w:t xml:space="preserve">денежной  </w:t>
            </w:r>
          </w:p>
          <w:p w14:paraId="43E419C3" w14:textId="77777777" w:rsidR="00C02F52" w:rsidRPr="004F5ACE" w:rsidRDefault="00C02F52" w:rsidP="00C02F52">
            <w:pPr>
              <w:spacing w:after="0" w:line="240" w:lineRule="auto"/>
              <w:ind w:firstLine="170"/>
              <w:rPr>
                <w:rFonts w:ascii="Times New Roman" w:hAnsi="Times New Roman"/>
              </w:rPr>
            </w:pPr>
            <w:r w:rsidRPr="004F5ACE">
              <w:rPr>
                <w:rFonts w:ascii="Times New Roman" w:hAnsi="Times New Roman"/>
              </w:rPr>
              <w:t xml:space="preserve">выплаты при  </w:t>
            </w:r>
          </w:p>
          <w:p w14:paraId="20BD2163" w14:textId="77777777" w:rsidR="00C02F52" w:rsidRPr="004F5ACE" w:rsidRDefault="00C02F52" w:rsidP="00C02F52">
            <w:pPr>
              <w:spacing w:after="0" w:line="240" w:lineRule="auto"/>
              <w:ind w:firstLine="170"/>
              <w:rPr>
                <w:rFonts w:ascii="Times New Roman" w:hAnsi="Times New Roman"/>
              </w:rPr>
            </w:pPr>
            <w:r w:rsidRPr="004F5ACE">
              <w:rPr>
                <w:rFonts w:ascii="Times New Roman" w:hAnsi="Times New Roman"/>
              </w:rPr>
              <w:t xml:space="preserve">рождении  </w:t>
            </w:r>
          </w:p>
          <w:p w14:paraId="12B69AC0" w14:textId="77777777" w:rsidR="00C02F52" w:rsidRPr="004F5ACE" w:rsidRDefault="00C02F52" w:rsidP="00C02F52">
            <w:pPr>
              <w:spacing w:after="0" w:line="240" w:lineRule="auto"/>
              <w:ind w:firstLine="170"/>
              <w:rPr>
                <w:rFonts w:ascii="Times New Roman" w:hAnsi="Times New Roman"/>
              </w:rPr>
            </w:pPr>
            <w:r w:rsidRPr="004F5ACE">
              <w:rPr>
                <w:rFonts w:ascii="Times New Roman" w:hAnsi="Times New Roman"/>
              </w:rPr>
              <w:t xml:space="preserve">третьего и  </w:t>
            </w:r>
          </w:p>
          <w:p w14:paraId="025B6BAE" w14:textId="77777777" w:rsidR="00C02F52" w:rsidRPr="004F5ACE" w:rsidRDefault="00C02F52" w:rsidP="00C02F52">
            <w:pPr>
              <w:spacing w:after="0" w:line="240" w:lineRule="auto"/>
              <w:ind w:firstLine="170"/>
              <w:rPr>
                <w:rFonts w:ascii="Times New Roman" w:hAnsi="Times New Roman"/>
              </w:rPr>
            </w:pPr>
            <w:r w:rsidRPr="004F5ACE">
              <w:rPr>
                <w:rFonts w:ascii="Times New Roman" w:hAnsi="Times New Roman"/>
              </w:rPr>
              <w:t xml:space="preserve">последующих  </w:t>
            </w:r>
          </w:p>
          <w:p w14:paraId="083EA0F8" w14:textId="77777777" w:rsidR="00C02F52" w:rsidRPr="004F5ACE" w:rsidRDefault="00C02F52" w:rsidP="00C02F52">
            <w:pPr>
              <w:spacing w:after="0" w:line="240" w:lineRule="auto"/>
              <w:ind w:firstLine="170"/>
              <w:rPr>
                <w:rFonts w:ascii="Times New Roman" w:hAnsi="Times New Roman"/>
              </w:rPr>
            </w:pPr>
            <w:r w:rsidRPr="004F5ACE">
              <w:rPr>
                <w:rFonts w:ascii="Times New Roman" w:hAnsi="Times New Roman"/>
              </w:rPr>
              <w:t>детей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B20AC2"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26942245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539BF1"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26942245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92578C" w14:textId="77777777" w:rsidR="00C02F52" w:rsidRDefault="00C02F52" w:rsidP="00C02F52">
            <w:pPr>
              <w:spacing w:after="0" w:line="240" w:lineRule="auto"/>
              <w:jc w:val="center"/>
            </w:pPr>
            <w:r w:rsidRPr="00D5564D">
              <w:rPr>
                <w:rFonts w:ascii="Times New Roman" w:eastAsia="Times New Roman" w:hAnsi="Times New Roman"/>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357E63" w14:textId="77777777" w:rsidR="00C02F52" w:rsidRDefault="00C02F52" w:rsidP="00C02F52">
            <w:pPr>
              <w:spacing w:after="0" w:line="240" w:lineRule="auto"/>
              <w:jc w:val="center"/>
            </w:pPr>
            <w:r w:rsidRPr="00D5564D">
              <w:rPr>
                <w:rFonts w:ascii="Times New Roman" w:eastAsia="Times New Roman" w:hAnsi="Times New Roman"/>
                <w:lang w:eastAsia="ru-RU"/>
              </w:rP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83E5E6C" w14:textId="77777777" w:rsidR="00C02F52" w:rsidRDefault="00C02F52" w:rsidP="00C02F52">
            <w:pPr>
              <w:spacing w:after="0" w:line="240" w:lineRule="auto"/>
              <w:jc w:val="center"/>
            </w:pPr>
            <w:r w:rsidRPr="00D5564D">
              <w:rPr>
                <w:rFonts w:ascii="Times New Roman" w:eastAsia="Times New Roman" w:hAnsi="Times New Roman"/>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0BB959DC" w14:textId="77777777" w:rsidR="00C02F52" w:rsidRDefault="00C02F52" w:rsidP="00C02F52">
            <w:pPr>
              <w:spacing w:after="0" w:line="240" w:lineRule="auto"/>
              <w:jc w:val="center"/>
            </w:pPr>
            <w:r w:rsidRPr="00BE6A1B">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60B913E1" w14:textId="77777777" w:rsidR="00C02F52" w:rsidRDefault="00C02F52" w:rsidP="00C02F52">
            <w:pPr>
              <w:spacing w:after="0" w:line="240" w:lineRule="auto"/>
              <w:jc w:val="center"/>
            </w:pPr>
            <w:r w:rsidRPr="00D5564D">
              <w:rPr>
                <w:rFonts w:ascii="Times New Roman" w:eastAsia="Times New Roman" w:hAnsi="Times New Roman"/>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3C791A" w14:textId="77777777" w:rsidR="00C02F52" w:rsidRDefault="00C02F52" w:rsidP="00C02F52">
            <w:pPr>
              <w:spacing w:after="0" w:line="240" w:lineRule="auto"/>
              <w:jc w:val="center"/>
            </w:pPr>
            <w:r w:rsidRPr="00D5564D">
              <w:rPr>
                <w:rFonts w:ascii="Times New Roman" w:eastAsia="Times New Roman" w:hAnsi="Times New Roman"/>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FEB689" w14:textId="77777777" w:rsidR="00C02F52" w:rsidRDefault="00C02F52" w:rsidP="00C02F52">
            <w:pPr>
              <w:spacing w:after="0" w:line="240" w:lineRule="auto"/>
              <w:jc w:val="center"/>
            </w:pPr>
            <w:r w:rsidRPr="00D5564D">
              <w:rPr>
                <w:rFonts w:ascii="Times New Roman" w:eastAsia="Times New Roman" w:hAnsi="Times New Roman"/>
                <w:lang w:eastAsia="ru-RU"/>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7AD6250" w14:textId="77777777" w:rsidR="00C02F52" w:rsidRDefault="00C02F52" w:rsidP="00C02F52">
            <w:pPr>
              <w:spacing w:after="0" w:line="240" w:lineRule="auto"/>
              <w:jc w:val="center"/>
            </w:pPr>
            <w:r w:rsidRPr="00D5564D">
              <w:rPr>
                <w:rFonts w:ascii="Times New Roman" w:eastAsia="Times New Roman" w:hAnsi="Times New Roman"/>
                <w:lang w:eastAsia="ru-RU"/>
              </w:rP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11A167EA" w14:textId="77777777" w:rsidR="00C02F52" w:rsidRDefault="00C02F52" w:rsidP="00C02F52">
            <w:pPr>
              <w:spacing w:after="0" w:line="240" w:lineRule="auto"/>
              <w:jc w:val="center"/>
            </w:pPr>
            <w:r w:rsidRPr="00D5564D">
              <w:rPr>
                <w:rFonts w:ascii="Times New Roman" w:eastAsia="Times New Roman" w:hAnsi="Times New Roman"/>
                <w:lang w:eastAsia="ru-RU"/>
              </w:rPr>
              <w: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781C2F1B" w14:textId="77777777" w:rsidR="00C02F52" w:rsidRDefault="00C02F52" w:rsidP="00C02F52">
            <w:pPr>
              <w:spacing w:after="0" w:line="240" w:lineRule="auto"/>
              <w:jc w:val="center"/>
            </w:pPr>
            <w:r w:rsidRPr="00D5564D">
              <w:rPr>
                <w:rFonts w:ascii="Times New Roman" w:eastAsia="Times New Roman" w:hAnsi="Times New Roman"/>
                <w:lang w:eastAsia="ru-RU"/>
              </w:rPr>
              <w:t>-</w:t>
            </w:r>
          </w:p>
        </w:tc>
      </w:tr>
      <w:tr w:rsidR="00C02F52" w:rsidRPr="004F5ACE" w14:paraId="155235E8" w14:textId="77777777" w:rsidTr="00913B8D">
        <w:tc>
          <w:tcPr>
            <w:tcW w:w="1418" w:type="dxa"/>
            <w:vAlign w:val="bottom"/>
          </w:tcPr>
          <w:p w14:paraId="25284FDB" w14:textId="77777777" w:rsidR="00C02F52" w:rsidRPr="004F5ACE" w:rsidRDefault="00C02F52" w:rsidP="00C02F52">
            <w:pPr>
              <w:spacing w:after="0" w:line="240" w:lineRule="auto"/>
              <w:ind w:firstLine="170"/>
              <w:rPr>
                <w:rFonts w:ascii="Times New Roman" w:hAnsi="Times New Roman"/>
              </w:rPr>
            </w:pPr>
            <w:r w:rsidRPr="004F5ACE">
              <w:rPr>
                <w:rFonts w:ascii="Times New Roman" w:hAnsi="Times New Roman"/>
              </w:rPr>
              <w:t xml:space="preserve">лица,  </w:t>
            </w:r>
          </w:p>
          <w:p w14:paraId="168C57F5" w14:textId="77777777" w:rsidR="00C02F52" w:rsidRPr="004F5ACE" w:rsidRDefault="00C02F52" w:rsidP="00C02F52">
            <w:pPr>
              <w:spacing w:after="0" w:line="240" w:lineRule="auto"/>
              <w:ind w:firstLine="170"/>
              <w:rPr>
                <w:rFonts w:ascii="Times New Roman" w:hAnsi="Times New Roman"/>
              </w:rPr>
            </w:pPr>
            <w:r w:rsidRPr="004F5ACE">
              <w:rPr>
                <w:rFonts w:ascii="Times New Roman" w:hAnsi="Times New Roman"/>
              </w:rPr>
              <w:t xml:space="preserve">получающие  </w:t>
            </w:r>
          </w:p>
          <w:p w14:paraId="21170BDA" w14:textId="77777777" w:rsidR="00C02F52" w:rsidRPr="004F5ACE" w:rsidRDefault="00C02F52" w:rsidP="00C02F52">
            <w:pPr>
              <w:spacing w:after="0" w:line="240" w:lineRule="auto"/>
              <w:ind w:firstLine="170"/>
              <w:rPr>
                <w:rFonts w:ascii="Times New Roman" w:hAnsi="Times New Roman"/>
              </w:rPr>
            </w:pPr>
            <w:r w:rsidRPr="004F5ACE">
              <w:rPr>
                <w:rFonts w:ascii="Times New Roman" w:hAnsi="Times New Roman"/>
              </w:rPr>
              <w:t xml:space="preserve">компенсацию  </w:t>
            </w:r>
          </w:p>
          <w:p w14:paraId="0C2E665E" w14:textId="77777777" w:rsidR="00C02F52" w:rsidRPr="004F5ACE" w:rsidRDefault="00C02F52" w:rsidP="00C02F52">
            <w:pPr>
              <w:spacing w:after="0" w:line="240" w:lineRule="auto"/>
              <w:ind w:firstLine="170"/>
              <w:rPr>
                <w:rFonts w:ascii="Times New Roman" w:hAnsi="Times New Roman"/>
              </w:rPr>
            </w:pPr>
            <w:r w:rsidRPr="004F5ACE">
              <w:rPr>
                <w:rFonts w:ascii="Times New Roman" w:hAnsi="Times New Roman"/>
              </w:rPr>
              <w:t xml:space="preserve">части  </w:t>
            </w:r>
          </w:p>
          <w:p w14:paraId="6B19D227" w14:textId="77777777" w:rsidR="00C02F52" w:rsidRPr="004F5ACE" w:rsidRDefault="00C02F52" w:rsidP="00C02F52">
            <w:pPr>
              <w:spacing w:after="0" w:line="240" w:lineRule="auto"/>
              <w:ind w:firstLine="170"/>
              <w:rPr>
                <w:rFonts w:ascii="Times New Roman" w:hAnsi="Times New Roman"/>
              </w:rPr>
            </w:pPr>
            <w:r w:rsidRPr="004F5ACE">
              <w:rPr>
                <w:rFonts w:ascii="Times New Roman" w:hAnsi="Times New Roman"/>
              </w:rPr>
              <w:t xml:space="preserve">родительской  </w:t>
            </w:r>
          </w:p>
          <w:p w14:paraId="58A0103D" w14:textId="77777777" w:rsidR="00C02F52" w:rsidRPr="004F5ACE" w:rsidRDefault="00C02F52" w:rsidP="00C02F52">
            <w:pPr>
              <w:spacing w:after="0" w:line="240" w:lineRule="auto"/>
              <w:ind w:firstLine="170"/>
              <w:rPr>
                <w:rFonts w:ascii="Times New Roman" w:hAnsi="Times New Roman"/>
              </w:rPr>
            </w:pPr>
            <w:r w:rsidRPr="004F5ACE">
              <w:rPr>
                <w:rFonts w:ascii="Times New Roman" w:hAnsi="Times New Roman"/>
              </w:rPr>
              <w:t xml:space="preserve">платы за  </w:t>
            </w:r>
          </w:p>
          <w:p w14:paraId="0F9BC78F" w14:textId="77777777" w:rsidR="00C02F52" w:rsidRPr="004F5ACE" w:rsidRDefault="00C02F52" w:rsidP="00C02F52">
            <w:pPr>
              <w:spacing w:after="0" w:line="240" w:lineRule="auto"/>
              <w:ind w:firstLine="170"/>
              <w:rPr>
                <w:rFonts w:ascii="Times New Roman" w:hAnsi="Times New Roman"/>
              </w:rPr>
            </w:pPr>
            <w:r w:rsidRPr="004F5ACE">
              <w:rPr>
                <w:rFonts w:ascii="Times New Roman" w:hAnsi="Times New Roman"/>
              </w:rPr>
              <w:t xml:space="preserve">присмотр и уход  </w:t>
            </w:r>
          </w:p>
          <w:p w14:paraId="664372CB" w14:textId="77777777" w:rsidR="00C02F52" w:rsidRPr="004F5ACE" w:rsidRDefault="00C02F52" w:rsidP="00C02F52">
            <w:pPr>
              <w:spacing w:after="0" w:line="240" w:lineRule="auto"/>
              <w:ind w:firstLine="170"/>
              <w:rPr>
                <w:rFonts w:ascii="Times New Roman" w:hAnsi="Times New Roman"/>
              </w:rPr>
            </w:pPr>
            <w:r w:rsidRPr="004F5ACE">
              <w:rPr>
                <w:rFonts w:ascii="Times New Roman" w:hAnsi="Times New Roman"/>
              </w:rPr>
              <w:t xml:space="preserve">за детьми в  </w:t>
            </w:r>
          </w:p>
          <w:p w14:paraId="4497B847" w14:textId="77777777" w:rsidR="00C02F52" w:rsidRPr="004F5ACE" w:rsidRDefault="00C02F52" w:rsidP="00C02F52">
            <w:pPr>
              <w:spacing w:after="0" w:line="240" w:lineRule="auto"/>
              <w:ind w:firstLine="170"/>
              <w:rPr>
                <w:rFonts w:ascii="Times New Roman" w:hAnsi="Times New Roman"/>
              </w:rPr>
            </w:pPr>
            <w:r w:rsidRPr="004F5ACE">
              <w:rPr>
                <w:rFonts w:ascii="Times New Roman" w:hAnsi="Times New Roman"/>
              </w:rPr>
              <w:t xml:space="preserve">дошкольных  </w:t>
            </w:r>
          </w:p>
          <w:p w14:paraId="0B85502A" w14:textId="77777777" w:rsidR="00C02F52" w:rsidRPr="004F5ACE" w:rsidRDefault="00C02F52" w:rsidP="00C02F52">
            <w:pPr>
              <w:spacing w:after="0" w:line="240" w:lineRule="auto"/>
              <w:ind w:firstLine="170"/>
              <w:rPr>
                <w:rFonts w:ascii="Times New Roman" w:hAnsi="Times New Roman"/>
              </w:rPr>
            </w:pPr>
            <w:r w:rsidRPr="004F5ACE">
              <w:rPr>
                <w:rFonts w:ascii="Times New Roman" w:hAnsi="Times New Roman"/>
              </w:rPr>
              <w:t xml:space="preserve">образовательных  </w:t>
            </w:r>
          </w:p>
          <w:p w14:paraId="146122F8" w14:textId="77777777" w:rsidR="00C02F52" w:rsidRPr="004F5ACE" w:rsidRDefault="00C02F52" w:rsidP="00C02F52">
            <w:pPr>
              <w:spacing w:after="0" w:line="240" w:lineRule="auto"/>
              <w:ind w:firstLine="170"/>
              <w:rPr>
                <w:rFonts w:ascii="Times New Roman" w:hAnsi="Times New Roman"/>
              </w:rPr>
            </w:pPr>
            <w:r w:rsidRPr="004F5ACE">
              <w:rPr>
                <w:rFonts w:ascii="Times New Roman" w:hAnsi="Times New Roman"/>
              </w:rPr>
              <w:t>организациях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87310C"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20401272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7198F6" w14:textId="77777777" w:rsidR="00C02F52" w:rsidRPr="00D5564D" w:rsidRDefault="00C02F52" w:rsidP="00C02F52">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20401272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F05FC17" w14:textId="77777777" w:rsidR="00C02F52" w:rsidRDefault="00C02F52" w:rsidP="00C02F52">
            <w:pPr>
              <w:spacing w:after="0" w:line="240" w:lineRule="auto"/>
              <w:jc w:val="center"/>
            </w:pPr>
            <w:r w:rsidRPr="006148EC">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A4FFC2" w14:textId="77777777" w:rsidR="00C02F52" w:rsidRDefault="00C02F52" w:rsidP="00C02F52">
            <w:pPr>
              <w:spacing w:after="0" w:line="240" w:lineRule="auto"/>
              <w:jc w:val="center"/>
            </w:pPr>
            <w:r w:rsidRPr="006148EC">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BF483A1" w14:textId="77777777" w:rsidR="00C02F52" w:rsidRDefault="00C02F52" w:rsidP="00C02F52">
            <w:pPr>
              <w:spacing w:after="0" w:line="240" w:lineRule="auto"/>
              <w:jc w:val="center"/>
            </w:pPr>
            <w:r w:rsidRPr="006148EC">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3E6A7C46" w14:textId="77777777" w:rsidR="00C02F52" w:rsidRDefault="00C02F52" w:rsidP="00C02F52">
            <w:pPr>
              <w:spacing w:after="0" w:line="240" w:lineRule="auto"/>
              <w:jc w:val="center"/>
            </w:pPr>
            <w:r w:rsidRPr="006148EC">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162E5988" w14:textId="77777777" w:rsidR="00C02F52" w:rsidRDefault="00C02F52" w:rsidP="00C02F52">
            <w:pPr>
              <w:spacing w:after="0" w:line="240" w:lineRule="auto"/>
              <w:jc w:val="center"/>
            </w:pPr>
            <w:r w:rsidRPr="006148EC">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2D708E" w14:textId="77777777" w:rsidR="00C02F52" w:rsidRDefault="00C02F52" w:rsidP="00C02F52">
            <w:pPr>
              <w:spacing w:after="0" w:line="240" w:lineRule="auto"/>
              <w:jc w:val="center"/>
            </w:pPr>
            <w:r w:rsidRPr="006148EC">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43A943" w14:textId="77777777" w:rsidR="00C02F52" w:rsidRDefault="00C02F52" w:rsidP="00C02F52">
            <w:pPr>
              <w:spacing w:after="0" w:line="240" w:lineRule="auto"/>
              <w:jc w:val="center"/>
            </w:pPr>
            <w:r w:rsidRPr="006148EC">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3C15996" w14:textId="77777777" w:rsidR="00C02F52" w:rsidRDefault="00C02F52" w:rsidP="00C02F52">
            <w:pPr>
              <w:spacing w:after="0" w:line="240" w:lineRule="auto"/>
              <w:jc w:val="center"/>
            </w:pPr>
            <w:r w:rsidRPr="006148EC">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0B96BF10" w14:textId="77777777" w:rsidR="00C02F52" w:rsidRDefault="00C02F52" w:rsidP="00C02F52">
            <w:pPr>
              <w:spacing w:after="0" w:line="240" w:lineRule="auto"/>
              <w:jc w:val="center"/>
            </w:pPr>
            <w:r w:rsidRPr="006148EC">
              <w: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312C8E0C" w14:textId="77777777" w:rsidR="00C02F52" w:rsidRDefault="00C02F52" w:rsidP="00C02F52">
            <w:pPr>
              <w:spacing w:after="0" w:line="240" w:lineRule="auto"/>
              <w:jc w:val="center"/>
            </w:pPr>
            <w:r w:rsidRPr="006148EC">
              <w:t>-</w:t>
            </w:r>
          </w:p>
        </w:tc>
      </w:tr>
      <w:tr w:rsidR="00C02F52" w:rsidRPr="004F5ACE" w14:paraId="03C9B91B" w14:textId="77777777" w:rsidTr="00913B8D">
        <w:trPr>
          <w:trHeight w:val="412"/>
        </w:trPr>
        <w:tc>
          <w:tcPr>
            <w:tcW w:w="16478" w:type="dxa"/>
            <w:gridSpan w:val="13"/>
            <w:vAlign w:val="center"/>
          </w:tcPr>
          <w:p w14:paraId="0DEACD11" w14:textId="77777777" w:rsidR="00C02F52" w:rsidRPr="004F5ACE" w:rsidRDefault="00C02F52" w:rsidP="00C02F52">
            <w:pPr>
              <w:spacing w:after="0" w:line="240" w:lineRule="auto"/>
              <w:jc w:val="center"/>
              <w:rPr>
                <w:rFonts w:ascii="Times New Roman" w:eastAsia="Times New Roman" w:hAnsi="Times New Roman" w:cs="Times New Roman"/>
                <w:sz w:val="24"/>
                <w:szCs w:val="24"/>
                <w:lang w:eastAsia="ru-RU"/>
              </w:rPr>
            </w:pPr>
            <w:r w:rsidRPr="004F5ACE">
              <w:rPr>
                <w:rFonts w:ascii="Times New Roman" w:eastAsia="Times New Roman" w:hAnsi="Times New Roman" w:cs="Times New Roman"/>
                <w:b/>
                <w:sz w:val="24"/>
                <w:szCs w:val="24"/>
                <w:lang w:eastAsia="ru-RU"/>
              </w:rPr>
              <w:t>в денежной форме</w:t>
            </w:r>
          </w:p>
        </w:tc>
      </w:tr>
      <w:tr w:rsidR="001407B4" w:rsidRPr="004F5ACE" w14:paraId="2F0C137D" w14:textId="77777777" w:rsidTr="00913B8D">
        <w:trPr>
          <w:trHeight w:val="419"/>
        </w:trPr>
        <w:tc>
          <w:tcPr>
            <w:tcW w:w="1418" w:type="dxa"/>
            <w:vAlign w:val="center"/>
          </w:tcPr>
          <w:p w14:paraId="6CCEEF90" w14:textId="77777777" w:rsidR="001407B4" w:rsidRPr="004F5ACE" w:rsidRDefault="001407B4" w:rsidP="001407B4">
            <w:pPr>
              <w:spacing w:after="0" w:line="240" w:lineRule="auto"/>
              <w:rPr>
                <w:rFonts w:ascii="Times New Roman" w:hAnsi="Times New Roman"/>
                <w:b/>
              </w:rPr>
            </w:pPr>
            <w:r w:rsidRPr="004F5ACE">
              <w:rPr>
                <w:rFonts w:ascii="Times New Roman" w:hAnsi="Times New Roman"/>
                <w:b/>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94E56" w14:textId="77777777" w:rsidR="001407B4" w:rsidRPr="00D5564D" w:rsidRDefault="001407B4" w:rsidP="001407B4">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397868782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CF3028" w14:textId="77777777" w:rsidR="001407B4" w:rsidRPr="00D5564D" w:rsidRDefault="001407B4" w:rsidP="001407B4">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347276373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772C20" w14:textId="77777777" w:rsidR="001407B4" w:rsidRPr="00D5564D" w:rsidRDefault="001407B4" w:rsidP="001407B4">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14488007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E486F1" w14:textId="77777777" w:rsidR="001407B4" w:rsidRPr="00D5564D" w:rsidRDefault="001407B4" w:rsidP="001407B4">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15020316</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91991AF" w14:textId="77777777" w:rsidR="001407B4" w:rsidRPr="00D5564D" w:rsidRDefault="001407B4" w:rsidP="001407B4">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318953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44F6C103" w14:textId="77777777" w:rsidR="001407B4" w:rsidRPr="00D5564D" w:rsidRDefault="001407B4" w:rsidP="001407B4">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915</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49577325" w14:textId="77777777" w:rsidR="001407B4" w:rsidRPr="00D5564D" w:rsidRDefault="001407B4" w:rsidP="001407B4">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2185667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E9313A" w14:textId="77777777" w:rsidR="001407B4" w:rsidRPr="00D5564D" w:rsidRDefault="001407B4" w:rsidP="001407B4">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171865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124F4B" w14:textId="77777777" w:rsidR="001407B4" w:rsidRPr="00D5564D" w:rsidRDefault="001407B4" w:rsidP="001407B4">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335292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C78C631" w14:textId="77777777" w:rsidR="001407B4" w:rsidRPr="00D5564D" w:rsidRDefault="001407B4" w:rsidP="001407B4">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6843723</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60580663" w14:textId="77777777" w:rsidR="001407B4" w:rsidRPr="00D5564D" w:rsidRDefault="001407B4" w:rsidP="001407B4">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764337</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2BF9F3D6" w14:textId="77777777" w:rsidR="001407B4" w:rsidRPr="00D5564D" w:rsidRDefault="001407B4" w:rsidP="001407B4">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10463334</w:t>
            </w:r>
          </w:p>
        </w:tc>
      </w:tr>
      <w:tr w:rsidR="001407B4" w:rsidRPr="004F5ACE" w14:paraId="242A241E" w14:textId="77777777" w:rsidTr="00913B8D">
        <w:tc>
          <w:tcPr>
            <w:tcW w:w="1418" w:type="dxa"/>
            <w:vAlign w:val="bottom"/>
          </w:tcPr>
          <w:p w14:paraId="7D546578" w14:textId="77777777" w:rsidR="001407B4" w:rsidRPr="004F5ACE" w:rsidRDefault="001407B4" w:rsidP="001407B4">
            <w:pPr>
              <w:spacing w:after="0" w:line="240" w:lineRule="auto"/>
              <w:ind w:firstLine="113"/>
              <w:rPr>
                <w:rFonts w:ascii="Times New Roman" w:hAnsi="Times New Roman"/>
              </w:rPr>
            </w:pPr>
            <w:r w:rsidRPr="004F5ACE">
              <w:rPr>
                <w:rFonts w:ascii="Times New Roman" w:hAnsi="Times New Roman"/>
              </w:rPr>
              <w:t xml:space="preserve">в том числе </w:t>
            </w:r>
          </w:p>
          <w:p w14:paraId="29C59C3D" w14:textId="77777777" w:rsidR="001407B4" w:rsidRPr="004F5ACE" w:rsidRDefault="001407B4" w:rsidP="001407B4">
            <w:pPr>
              <w:spacing w:after="0" w:line="240" w:lineRule="auto"/>
              <w:ind w:firstLine="113"/>
              <w:rPr>
                <w:rFonts w:ascii="Times New Roman" w:hAnsi="Times New Roman"/>
              </w:rPr>
            </w:pPr>
            <w:r w:rsidRPr="004F5ACE">
              <w:rPr>
                <w:rFonts w:ascii="Times New Roman" w:hAnsi="Times New Roman"/>
              </w:rPr>
              <w:t>по категориям:</w:t>
            </w:r>
          </w:p>
          <w:p w14:paraId="1D079C84" w14:textId="3492FC7E" w:rsidR="001407B4" w:rsidRPr="004F5ACE" w:rsidRDefault="001407B4" w:rsidP="001407B4">
            <w:pPr>
              <w:spacing w:after="0" w:line="240" w:lineRule="auto"/>
              <w:rPr>
                <w:rFonts w:ascii="Times New Roman" w:hAnsi="Times New Roman"/>
              </w:rPr>
            </w:pPr>
            <w:r w:rsidRPr="004F5ACE">
              <w:rPr>
                <w:rFonts w:ascii="Times New Roman" w:hAnsi="Times New Roman"/>
              </w:rPr>
              <w:t>дети</w:t>
            </w:r>
            <w:r w:rsidR="003B77D7" w:rsidRPr="00295F0B">
              <w:rPr>
                <w:rFonts w:ascii="Times New Roman" w:hAnsi="Times New Roman"/>
              </w:rPr>
              <w:t xml:space="preserve"> с инвалидностью</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0C2AF3"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3080966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D8928F"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1790040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07B291A"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485725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E4AA46"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470087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02654BD9"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3776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031B8699"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571</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520748FD"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7437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880597"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44847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4B7BCD"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56137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FD92A63"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13372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393BD34F"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104516</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47265225"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104458</w:t>
            </w:r>
          </w:p>
        </w:tc>
      </w:tr>
      <w:tr w:rsidR="001407B4" w:rsidRPr="004F5ACE" w14:paraId="3752D54A" w14:textId="77777777" w:rsidTr="00913B8D">
        <w:tc>
          <w:tcPr>
            <w:tcW w:w="1418" w:type="dxa"/>
            <w:vAlign w:val="bottom"/>
          </w:tcPr>
          <w:p w14:paraId="7FB86218" w14:textId="77777777" w:rsidR="001407B4" w:rsidRPr="004F5ACE" w:rsidRDefault="001407B4" w:rsidP="001407B4">
            <w:pPr>
              <w:spacing w:after="0" w:line="240" w:lineRule="auto"/>
              <w:rPr>
                <w:rFonts w:ascii="Times New Roman" w:hAnsi="Times New Roman"/>
              </w:rPr>
            </w:pPr>
            <w:r w:rsidRPr="004F5ACE">
              <w:rPr>
                <w:rFonts w:ascii="Times New Roman" w:hAnsi="Times New Roman"/>
              </w:rPr>
              <w:t>дети из отдельных категорий семей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9832B2"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47232961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DDB9CB"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40857593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12D8680"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2771999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8DA9C1"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12800</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47B60F01"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19457</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2E6A748D" w14:textId="77777777" w:rsidR="001407B4" w:rsidRDefault="001407B4" w:rsidP="001407B4">
            <w:pPr>
              <w:spacing w:after="0" w:line="240" w:lineRule="auto"/>
              <w:jc w:val="center"/>
            </w:pPr>
            <w:r w:rsidRPr="006148EC">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4506213C"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1463339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35D6BD"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1721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7BBF45"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101604</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31656CCB"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1067102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1B0B8077"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215582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234C0B1B"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721764</w:t>
            </w:r>
          </w:p>
        </w:tc>
      </w:tr>
      <w:tr w:rsidR="001407B4" w:rsidRPr="004F5ACE" w14:paraId="63E7B981" w14:textId="77777777" w:rsidTr="00913B8D">
        <w:tc>
          <w:tcPr>
            <w:tcW w:w="1418" w:type="dxa"/>
            <w:vAlign w:val="bottom"/>
          </w:tcPr>
          <w:p w14:paraId="7FCD407C" w14:textId="77777777" w:rsidR="001407B4" w:rsidRPr="004F5ACE" w:rsidRDefault="001407B4" w:rsidP="001407B4">
            <w:pPr>
              <w:spacing w:after="0" w:line="240" w:lineRule="auto"/>
              <w:rPr>
                <w:rFonts w:ascii="Times New Roman" w:hAnsi="Times New Roman"/>
              </w:rPr>
            </w:pPr>
            <w:r w:rsidRPr="004F5ACE">
              <w:rPr>
                <w:rFonts w:ascii="Times New Roman" w:hAnsi="Times New Roman"/>
              </w:rPr>
              <w:t>дети-сироты и дети, оставшиеся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2FD5A1"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81196683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232946"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67963665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F34D94"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441062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F40541"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3816279</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17A43F6"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7A8E1ACA" w14:textId="77777777" w:rsidR="001407B4" w:rsidRDefault="001407B4" w:rsidP="001407B4">
            <w:pPr>
              <w:spacing w:after="0" w:line="240" w:lineRule="auto"/>
              <w:jc w:val="center"/>
            </w:pPr>
            <w:r w:rsidRPr="006148EC">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38A6C346"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349952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9E3310"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63773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19D677"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25904</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A454B33"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3118700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4F62D7AB"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221174</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1DF89137"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5196161</w:t>
            </w:r>
          </w:p>
        </w:tc>
      </w:tr>
      <w:tr w:rsidR="001407B4" w:rsidRPr="004F5ACE" w14:paraId="6165D432" w14:textId="77777777" w:rsidTr="00913B8D">
        <w:tc>
          <w:tcPr>
            <w:tcW w:w="1418" w:type="dxa"/>
            <w:vAlign w:val="bottom"/>
          </w:tcPr>
          <w:p w14:paraId="4BC4717D" w14:textId="77777777" w:rsidR="001407B4" w:rsidRPr="004F5ACE" w:rsidRDefault="001407B4" w:rsidP="001407B4">
            <w:pPr>
              <w:spacing w:after="0" w:line="240" w:lineRule="auto"/>
              <w:rPr>
                <w:rFonts w:ascii="Times New Roman" w:hAnsi="Times New Roman"/>
              </w:rPr>
            </w:pPr>
            <w:r w:rsidRPr="004F5ACE">
              <w:rPr>
                <w:rFonts w:ascii="Times New Roman" w:hAnsi="Times New Roman"/>
              </w:rPr>
              <w:t>студенты, учащиеся, школьники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42AA44"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12932922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8AD515"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9017706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1D736D"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4649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E1EC8B"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10399</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3D3C896E" w14:textId="77777777" w:rsidR="001407B4" w:rsidRDefault="001407B4" w:rsidP="001407B4">
            <w:pPr>
              <w:spacing w:after="0" w:line="240" w:lineRule="auto"/>
              <w:jc w:val="center"/>
            </w:pPr>
            <w:r w:rsidRPr="006148EC">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56712165" w14:textId="77777777" w:rsidR="001407B4" w:rsidRDefault="001407B4" w:rsidP="001407B4">
            <w:pPr>
              <w:spacing w:after="0" w:line="240" w:lineRule="auto"/>
              <w:jc w:val="center"/>
            </w:pPr>
            <w:r w:rsidRPr="006148EC">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4D1AF0C3"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119339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935736"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21449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857B73" w14:textId="77777777" w:rsidR="001407B4" w:rsidRPr="00D5564D" w:rsidRDefault="001407B4" w:rsidP="001407B4">
            <w:pPr>
              <w:spacing w:after="0" w:line="240" w:lineRule="auto"/>
              <w:jc w:val="center"/>
              <w:rPr>
                <w:rFonts w:ascii="Times New Roman" w:eastAsia="Times New Roman" w:hAnsi="Times New Roman"/>
                <w:lang w:eastAsia="ru-RU"/>
              </w:rPr>
            </w:pPr>
            <w:r w:rsidRPr="006148EC">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3DDB388"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1741271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1B3D508F"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13778</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1A484403"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2004331</w:t>
            </w:r>
          </w:p>
        </w:tc>
      </w:tr>
      <w:tr w:rsidR="001407B4" w:rsidRPr="004F5ACE" w14:paraId="3BC9819E" w14:textId="77777777" w:rsidTr="00913B8D">
        <w:tc>
          <w:tcPr>
            <w:tcW w:w="1418" w:type="dxa"/>
            <w:vAlign w:val="bottom"/>
          </w:tcPr>
          <w:p w14:paraId="1A8A6958" w14:textId="77777777" w:rsidR="001407B4" w:rsidRPr="004F5ACE" w:rsidRDefault="001407B4" w:rsidP="001407B4">
            <w:pPr>
              <w:spacing w:after="0" w:line="240" w:lineRule="auto"/>
              <w:rPr>
                <w:rFonts w:ascii="Times New Roman" w:hAnsi="Times New Roman"/>
              </w:rPr>
            </w:pPr>
            <w:r w:rsidRPr="004F5ACE">
              <w:rPr>
                <w:rFonts w:ascii="Times New Roman" w:hAnsi="Times New Roman"/>
              </w:rPr>
              <w:t>беременные женщины и кормящие матери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F80D04"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3896728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182733"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3722980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EA493B7" w14:textId="77777777" w:rsidR="001407B4" w:rsidRDefault="001407B4" w:rsidP="001407B4">
            <w:pPr>
              <w:spacing w:after="0" w:line="240" w:lineRule="auto"/>
              <w:jc w:val="center"/>
            </w:pPr>
            <w:r w:rsidRPr="006148EC">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C39232" w14:textId="77777777" w:rsidR="001407B4" w:rsidRDefault="001407B4" w:rsidP="001407B4">
            <w:pPr>
              <w:spacing w:after="0" w:line="240" w:lineRule="auto"/>
              <w:jc w:val="center"/>
            </w:pPr>
            <w:r w:rsidRPr="006148EC">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2BCC6347" w14:textId="77777777" w:rsidR="001407B4" w:rsidRDefault="001407B4" w:rsidP="001407B4">
            <w:pPr>
              <w:spacing w:after="0" w:line="240" w:lineRule="auto"/>
              <w:jc w:val="center"/>
            </w:pPr>
            <w:r w:rsidRPr="006148EC">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5B096FD6" w14:textId="77777777" w:rsidR="001407B4" w:rsidRDefault="001407B4" w:rsidP="001407B4">
            <w:pPr>
              <w:spacing w:after="0" w:line="240" w:lineRule="auto"/>
              <w:jc w:val="center"/>
            </w:pPr>
            <w:r w:rsidRPr="006148EC">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141444CE"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A04111"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13917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ED05C9" w14:textId="77777777" w:rsidR="001407B4" w:rsidRPr="00D5564D" w:rsidRDefault="001407B4" w:rsidP="001407B4">
            <w:pPr>
              <w:spacing w:after="0" w:line="240" w:lineRule="auto"/>
              <w:jc w:val="center"/>
              <w:rPr>
                <w:rFonts w:ascii="Times New Roman" w:eastAsia="Times New Roman" w:hAnsi="Times New Roman"/>
                <w:lang w:eastAsia="ru-RU"/>
              </w:rPr>
            </w:pPr>
            <w:r w:rsidRPr="006148EC">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E03DD57"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159310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654F2CF8" w14:textId="77777777" w:rsidR="001407B4" w:rsidRDefault="001407B4" w:rsidP="001407B4">
            <w:pPr>
              <w:spacing w:after="0" w:line="240" w:lineRule="auto"/>
              <w:jc w:val="center"/>
            </w:pPr>
            <w:r w:rsidRPr="006148EC">
              <w: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297D022F" w14:textId="77777777" w:rsidR="001407B4" w:rsidRDefault="001407B4" w:rsidP="001407B4">
            <w:pPr>
              <w:spacing w:after="0" w:line="240" w:lineRule="auto"/>
              <w:jc w:val="center"/>
            </w:pPr>
            <w:r w:rsidRPr="006148EC">
              <w:t>-</w:t>
            </w:r>
          </w:p>
        </w:tc>
      </w:tr>
      <w:tr w:rsidR="001407B4" w:rsidRPr="004F5ACE" w14:paraId="1A06A7E4" w14:textId="77777777" w:rsidTr="00913B8D">
        <w:tc>
          <w:tcPr>
            <w:tcW w:w="1418" w:type="dxa"/>
            <w:vAlign w:val="bottom"/>
          </w:tcPr>
          <w:p w14:paraId="3C7E5B3F" w14:textId="77777777" w:rsidR="001407B4" w:rsidRPr="004F5ACE" w:rsidRDefault="001407B4" w:rsidP="001407B4">
            <w:pPr>
              <w:spacing w:after="0" w:line="240" w:lineRule="auto"/>
              <w:rPr>
                <w:rFonts w:ascii="Times New Roman" w:hAnsi="Times New Roman"/>
              </w:rPr>
            </w:pPr>
            <w:r>
              <w:rPr>
                <w:rFonts w:ascii="Times New Roman" w:hAnsi="Times New Roman"/>
              </w:rPr>
              <w:t>молодые семьи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7F595A"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7272784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93A6E3"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2592858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1764076"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39582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93BB39"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4474227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E8230B4" w14:textId="77777777" w:rsidR="001407B4" w:rsidRDefault="001407B4" w:rsidP="001407B4">
            <w:pPr>
              <w:spacing w:after="0" w:line="240" w:lineRule="auto"/>
              <w:jc w:val="center"/>
            </w:pPr>
            <w:r w:rsidRPr="006148EC">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43934FAB" w14:textId="77777777" w:rsidR="001407B4" w:rsidRDefault="001407B4" w:rsidP="001407B4">
            <w:pPr>
              <w:spacing w:after="0" w:line="240" w:lineRule="auto"/>
              <w:jc w:val="center"/>
            </w:pPr>
            <w:r w:rsidRPr="006148EC">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05642AA4" w14:textId="77777777" w:rsidR="001407B4" w:rsidRDefault="001407B4" w:rsidP="001407B4">
            <w:pPr>
              <w:spacing w:after="0" w:line="240" w:lineRule="auto"/>
              <w:jc w:val="center"/>
            </w:pPr>
            <w:r w:rsidRPr="006148EC">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C48F0C" w14:textId="77777777" w:rsidR="001407B4" w:rsidRDefault="001407B4" w:rsidP="001407B4">
            <w:pPr>
              <w:spacing w:after="0" w:line="240" w:lineRule="auto"/>
              <w:jc w:val="center"/>
            </w:pPr>
            <w:r w:rsidRPr="006148EC">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B0A56A" w14:textId="77777777" w:rsidR="001407B4" w:rsidRDefault="001407B4" w:rsidP="001407B4">
            <w:pPr>
              <w:spacing w:after="0" w:line="240" w:lineRule="auto"/>
              <w:jc w:val="center"/>
            </w:pPr>
            <w:r w:rsidRPr="006148EC">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4C69644" w14:textId="77777777" w:rsidR="001407B4" w:rsidRDefault="001407B4" w:rsidP="001407B4">
            <w:pPr>
              <w:spacing w:after="0" w:line="240" w:lineRule="auto"/>
              <w:jc w:val="center"/>
            </w:pPr>
            <w:r w:rsidRPr="006148EC">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317FA8D6"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402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097CF66F"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165715</w:t>
            </w:r>
          </w:p>
        </w:tc>
      </w:tr>
      <w:tr w:rsidR="001407B4" w:rsidRPr="004F5ACE" w14:paraId="338C7956" w14:textId="77777777" w:rsidTr="00913B8D">
        <w:tc>
          <w:tcPr>
            <w:tcW w:w="1418" w:type="dxa"/>
            <w:vAlign w:val="bottom"/>
          </w:tcPr>
          <w:p w14:paraId="0C6385B6" w14:textId="77777777" w:rsidR="001407B4" w:rsidRPr="004F5ACE" w:rsidRDefault="001407B4" w:rsidP="001407B4">
            <w:pPr>
              <w:spacing w:after="0" w:line="240" w:lineRule="auto"/>
              <w:rPr>
                <w:rFonts w:ascii="Times New Roman" w:hAnsi="Times New Roman"/>
              </w:rPr>
            </w:pPr>
            <w:r w:rsidRPr="004F5ACE">
              <w:rPr>
                <w:rFonts w:ascii="Times New Roman" w:hAnsi="Times New Roman"/>
              </w:rPr>
              <w:t>семьи с детьми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0D4D37"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242255738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58165D"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221331531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C5ED065"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10744990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6D67AB"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6236524</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7C2ECEB4"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295707</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2ABCC973"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344</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27891692"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245079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33B80E"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26158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28C2D5"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151647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EC745BC"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743968</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1DCB2DC4"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208885</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16A78455"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2270905</w:t>
            </w:r>
          </w:p>
        </w:tc>
      </w:tr>
      <w:tr w:rsidR="001407B4" w:rsidRPr="004F5ACE" w14:paraId="14600639" w14:textId="77777777" w:rsidTr="00913B8D">
        <w:tc>
          <w:tcPr>
            <w:tcW w:w="1418" w:type="dxa"/>
            <w:vAlign w:val="bottom"/>
          </w:tcPr>
          <w:p w14:paraId="2F17A485" w14:textId="77777777" w:rsidR="001407B4" w:rsidRPr="004F5ACE" w:rsidRDefault="001407B4" w:rsidP="001407B4">
            <w:pPr>
              <w:spacing w:after="0" w:line="240" w:lineRule="auto"/>
              <w:ind w:firstLine="170"/>
              <w:rPr>
                <w:rFonts w:ascii="Times New Roman" w:hAnsi="Times New Roman"/>
                <w:lang w:val="en-US"/>
              </w:rPr>
            </w:pPr>
            <w:r w:rsidRPr="004F5ACE">
              <w:rPr>
                <w:rFonts w:ascii="Times New Roman" w:hAnsi="Times New Roman"/>
              </w:rPr>
              <w:t xml:space="preserve">из них: </w:t>
            </w:r>
          </w:p>
          <w:p w14:paraId="390F58B6" w14:textId="77777777" w:rsidR="001407B4" w:rsidRPr="004F5ACE" w:rsidRDefault="001407B4" w:rsidP="001407B4">
            <w:pPr>
              <w:spacing w:after="0" w:line="240" w:lineRule="auto"/>
              <w:ind w:firstLine="170"/>
              <w:rPr>
                <w:rFonts w:ascii="Times New Roman" w:hAnsi="Times New Roman"/>
              </w:rPr>
            </w:pPr>
            <w:r w:rsidRPr="004F5ACE">
              <w:rPr>
                <w:rFonts w:ascii="Times New Roman" w:hAnsi="Times New Roman"/>
              </w:rPr>
              <w:t>малоимущие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CB0228"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110324055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1E6950"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106052059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0BADF0E"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2146053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0BF062"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655003</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4111A057"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33034</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5C41010C" w14:textId="77777777" w:rsidR="001407B4" w:rsidRPr="00D5564D" w:rsidRDefault="001407B4" w:rsidP="001407B4">
            <w:pPr>
              <w:spacing w:after="0" w:line="240" w:lineRule="auto"/>
              <w:jc w:val="center"/>
              <w:rPr>
                <w:rFonts w:ascii="Times New Roman" w:eastAsia="Times New Roman" w:hAnsi="Times New Roman"/>
                <w:lang w:eastAsia="ru-RU"/>
              </w:rPr>
            </w:pPr>
            <w:r w:rsidRPr="00D146EA">
              <w:rPr>
                <w:rFonts w:ascii="Times New Roman" w:eastAsia="Times New Roman" w:hAnsi="Times New Roman"/>
                <w:lang w:eastAsia="ru-RU"/>
              </w:rP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44D20239"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213059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AC2EE1"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18852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8F5657"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128433</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1CF010F6"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549049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40C7808A"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45260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409AF970"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483253</w:t>
            </w:r>
          </w:p>
        </w:tc>
      </w:tr>
      <w:tr w:rsidR="001407B4" w:rsidRPr="004F5ACE" w14:paraId="553107AE" w14:textId="77777777" w:rsidTr="00913B8D">
        <w:tc>
          <w:tcPr>
            <w:tcW w:w="1418" w:type="dxa"/>
            <w:vAlign w:val="bottom"/>
          </w:tcPr>
          <w:p w14:paraId="42DB6597" w14:textId="77777777" w:rsidR="001407B4" w:rsidRPr="004F5ACE" w:rsidRDefault="001407B4" w:rsidP="001407B4">
            <w:pPr>
              <w:spacing w:after="0" w:line="240" w:lineRule="auto"/>
              <w:ind w:firstLine="170"/>
              <w:rPr>
                <w:rFonts w:ascii="Times New Roman" w:hAnsi="Times New Roman"/>
              </w:rPr>
            </w:pPr>
            <w:r w:rsidRPr="004F5ACE">
              <w:rPr>
                <w:rFonts w:ascii="Times New Roman" w:hAnsi="Times New Roman"/>
              </w:rPr>
              <w:t xml:space="preserve">лица,     </w:t>
            </w:r>
          </w:p>
          <w:p w14:paraId="75D52420" w14:textId="77777777" w:rsidR="001407B4" w:rsidRPr="004F5ACE" w:rsidRDefault="001407B4" w:rsidP="001407B4">
            <w:pPr>
              <w:spacing w:after="0" w:line="240" w:lineRule="auto"/>
              <w:ind w:firstLine="170"/>
              <w:rPr>
                <w:rFonts w:ascii="Times New Roman" w:hAnsi="Times New Roman"/>
              </w:rPr>
            </w:pPr>
            <w:r w:rsidRPr="004F5ACE">
              <w:rPr>
                <w:rFonts w:ascii="Times New Roman" w:hAnsi="Times New Roman"/>
              </w:rPr>
              <w:t xml:space="preserve">получающие  </w:t>
            </w:r>
          </w:p>
          <w:p w14:paraId="0CD7CA67" w14:textId="77777777" w:rsidR="001407B4" w:rsidRPr="004F5ACE" w:rsidRDefault="001407B4" w:rsidP="001407B4">
            <w:pPr>
              <w:spacing w:after="0" w:line="240" w:lineRule="auto"/>
              <w:ind w:firstLine="170"/>
              <w:rPr>
                <w:rFonts w:ascii="Times New Roman" w:hAnsi="Times New Roman"/>
              </w:rPr>
            </w:pPr>
            <w:r w:rsidRPr="004F5ACE">
              <w:rPr>
                <w:rFonts w:ascii="Times New Roman" w:hAnsi="Times New Roman"/>
              </w:rPr>
              <w:t xml:space="preserve">региональный материнский  </w:t>
            </w:r>
          </w:p>
          <w:p w14:paraId="4D7C7EC0" w14:textId="77777777" w:rsidR="001407B4" w:rsidRPr="004F5ACE" w:rsidRDefault="001407B4" w:rsidP="001407B4">
            <w:pPr>
              <w:spacing w:after="0" w:line="240" w:lineRule="auto"/>
              <w:ind w:firstLine="170"/>
              <w:rPr>
                <w:rFonts w:ascii="Times New Roman" w:hAnsi="Times New Roman"/>
              </w:rPr>
            </w:pPr>
            <w:r w:rsidRPr="004F5ACE">
              <w:rPr>
                <w:rFonts w:ascii="Times New Roman" w:hAnsi="Times New Roman"/>
              </w:rPr>
              <w:t>капитал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176178"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17593835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030AA3"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17593835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BC0B72" w14:textId="77777777" w:rsidR="001407B4" w:rsidRDefault="001407B4" w:rsidP="001407B4">
            <w:pPr>
              <w:spacing w:after="0" w:line="240" w:lineRule="auto"/>
              <w:jc w:val="center"/>
            </w:pPr>
            <w:r w:rsidRPr="006148EC">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0FF465" w14:textId="77777777" w:rsidR="001407B4" w:rsidRDefault="001407B4" w:rsidP="001407B4">
            <w:pPr>
              <w:spacing w:after="0" w:line="240" w:lineRule="auto"/>
              <w:jc w:val="center"/>
            </w:pPr>
            <w:r w:rsidRPr="006148EC">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31FBAAE" w14:textId="77777777" w:rsidR="001407B4" w:rsidRDefault="001407B4" w:rsidP="001407B4">
            <w:pPr>
              <w:spacing w:after="0" w:line="240" w:lineRule="auto"/>
              <w:jc w:val="center"/>
            </w:pPr>
            <w:r w:rsidRPr="006148EC">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034985F3" w14:textId="77777777" w:rsidR="001407B4" w:rsidRDefault="001407B4" w:rsidP="001407B4">
            <w:pPr>
              <w:spacing w:after="0" w:line="240" w:lineRule="auto"/>
              <w:jc w:val="center"/>
            </w:pPr>
            <w:r w:rsidRPr="006148EC">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36A45B7F" w14:textId="77777777" w:rsidR="001407B4" w:rsidRDefault="001407B4" w:rsidP="001407B4">
            <w:pPr>
              <w:spacing w:after="0" w:line="240" w:lineRule="auto"/>
              <w:jc w:val="center"/>
            </w:pPr>
            <w:r w:rsidRPr="006148EC">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56F506" w14:textId="77777777" w:rsidR="001407B4" w:rsidRDefault="001407B4" w:rsidP="001407B4">
            <w:pPr>
              <w:spacing w:after="0" w:line="240" w:lineRule="auto"/>
              <w:jc w:val="center"/>
            </w:pPr>
            <w:r w:rsidRPr="006148EC">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02C883" w14:textId="77777777" w:rsidR="001407B4" w:rsidRDefault="001407B4" w:rsidP="001407B4">
            <w:pPr>
              <w:spacing w:after="0" w:line="240" w:lineRule="auto"/>
              <w:jc w:val="center"/>
            </w:pPr>
            <w:r w:rsidRPr="006148EC">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6D3218E" w14:textId="77777777" w:rsidR="001407B4" w:rsidRDefault="001407B4" w:rsidP="001407B4">
            <w:pPr>
              <w:spacing w:after="0" w:line="240" w:lineRule="auto"/>
              <w:jc w:val="center"/>
            </w:pPr>
            <w:r w:rsidRPr="006148EC">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4CBB27DE" w14:textId="77777777" w:rsidR="001407B4" w:rsidRDefault="001407B4" w:rsidP="001407B4">
            <w:pPr>
              <w:spacing w:after="0" w:line="240" w:lineRule="auto"/>
              <w:jc w:val="center"/>
            </w:pPr>
            <w:r w:rsidRPr="006148EC">
              <w: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42F53CF9" w14:textId="77777777" w:rsidR="001407B4" w:rsidRDefault="001407B4" w:rsidP="001407B4">
            <w:pPr>
              <w:spacing w:after="0" w:line="240" w:lineRule="auto"/>
              <w:jc w:val="center"/>
            </w:pPr>
            <w:r w:rsidRPr="006148EC">
              <w:t>-</w:t>
            </w:r>
          </w:p>
        </w:tc>
      </w:tr>
      <w:tr w:rsidR="001407B4" w:rsidRPr="004F5ACE" w14:paraId="7D869F54" w14:textId="77777777" w:rsidTr="00913B8D">
        <w:tc>
          <w:tcPr>
            <w:tcW w:w="1418" w:type="dxa"/>
            <w:vAlign w:val="bottom"/>
          </w:tcPr>
          <w:p w14:paraId="55007547" w14:textId="77777777" w:rsidR="001407B4" w:rsidRPr="004F5ACE" w:rsidRDefault="001407B4" w:rsidP="001407B4">
            <w:pPr>
              <w:spacing w:after="0" w:line="240" w:lineRule="auto"/>
              <w:ind w:firstLine="170"/>
              <w:rPr>
                <w:rFonts w:ascii="Times New Roman" w:hAnsi="Times New Roman"/>
              </w:rPr>
            </w:pPr>
            <w:r w:rsidRPr="004F5ACE">
              <w:rPr>
                <w:rFonts w:ascii="Times New Roman" w:hAnsi="Times New Roman"/>
              </w:rPr>
              <w:t xml:space="preserve">получатели  </w:t>
            </w:r>
          </w:p>
          <w:p w14:paraId="0DA0012F" w14:textId="77777777" w:rsidR="001407B4" w:rsidRPr="004F5ACE" w:rsidRDefault="001407B4" w:rsidP="001407B4">
            <w:pPr>
              <w:spacing w:after="0" w:line="240" w:lineRule="auto"/>
              <w:ind w:firstLine="170"/>
              <w:rPr>
                <w:rFonts w:ascii="Times New Roman" w:hAnsi="Times New Roman"/>
              </w:rPr>
            </w:pPr>
            <w:r w:rsidRPr="004F5ACE">
              <w:rPr>
                <w:rFonts w:ascii="Times New Roman" w:hAnsi="Times New Roman"/>
              </w:rPr>
              <w:t xml:space="preserve">ежемесячной  </w:t>
            </w:r>
          </w:p>
          <w:p w14:paraId="4E5A1A20" w14:textId="77777777" w:rsidR="001407B4" w:rsidRPr="004F5ACE" w:rsidRDefault="001407B4" w:rsidP="001407B4">
            <w:pPr>
              <w:spacing w:after="0" w:line="240" w:lineRule="auto"/>
              <w:ind w:firstLine="170"/>
              <w:rPr>
                <w:rFonts w:ascii="Times New Roman" w:hAnsi="Times New Roman"/>
              </w:rPr>
            </w:pPr>
            <w:r w:rsidRPr="004F5ACE">
              <w:rPr>
                <w:rFonts w:ascii="Times New Roman" w:hAnsi="Times New Roman"/>
              </w:rPr>
              <w:t xml:space="preserve">денежной  </w:t>
            </w:r>
          </w:p>
          <w:p w14:paraId="71A92459" w14:textId="77777777" w:rsidR="001407B4" w:rsidRPr="004F5ACE" w:rsidRDefault="001407B4" w:rsidP="001407B4">
            <w:pPr>
              <w:spacing w:after="0" w:line="240" w:lineRule="auto"/>
              <w:ind w:firstLine="170"/>
              <w:rPr>
                <w:rFonts w:ascii="Times New Roman" w:hAnsi="Times New Roman"/>
              </w:rPr>
            </w:pPr>
            <w:r w:rsidRPr="004F5ACE">
              <w:rPr>
                <w:rFonts w:ascii="Times New Roman" w:hAnsi="Times New Roman"/>
              </w:rPr>
              <w:t xml:space="preserve">выплаты при  </w:t>
            </w:r>
          </w:p>
          <w:p w14:paraId="00E46BAA" w14:textId="77777777" w:rsidR="001407B4" w:rsidRPr="004F5ACE" w:rsidRDefault="001407B4" w:rsidP="001407B4">
            <w:pPr>
              <w:spacing w:after="0" w:line="240" w:lineRule="auto"/>
              <w:ind w:firstLine="170"/>
              <w:rPr>
                <w:rFonts w:ascii="Times New Roman" w:hAnsi="Times New Roman"/>
              </w:rPr>
            </w:pPr>
            <w:r w:rsidRPr="004F5ACE">
              <w:rPr>
                <w:rFonts w:ascii="Times New Roman" w:hAnsi="Times New Roman"/>
              </w:rPr>
              <w:t xml:space="preserve">рождении  </w:t>
            </w:r>
          </w:p>
          <w:p w14:paraId="5602F9A6" w14:textId="77777777" w:rsidR="001407B4" w:rsidRPr="004F5ACE" w:rsidRDefault="001407B4" w:rsidP="001407B4">
            <w:pPr>
              <w:spacing w:after="0" w:line="240" w:lineRule="auto"/>
              <w:ind w:firstLine="170"/>
              <w:rPr>
                <w:rFonts w:ascii="Times New Roman" w:hAnsi="Times New Roman"/>
              </w:rPr>
            </w:pPr>
            <w:r w:rsidRPr="004F5ACE">
              <w:rPr>
                <w:rFonts w:ascii="Times New Roman" w:hAnsi="Times New Roman"/>
              </w:rPr>
              <w:t xml:space="preserve">третьего и  </w:t>
            </w:r>
          </w:p>
          <w:p w14:paraId="4B304B8B" w14:textId="77777777" w:rsidR="001407B4" w:rsidRPr="004F5ACE" w:rsidRDefault="001407B4" w:rsidP="001407B4">
            <w:pPr>
              <w:spacing w:after="0" w:line="240" w:lineRule="auto"/>
              <w:ind w:firstLine="170"/>
              <w:rPr>
                <w:rFonts w:ascii="Times New Roman" w:hAnsi="Times New Roman"/>
              </w:rPr>
            </w:pPr>
            <w:r w:rsidRPr="004F5ACE">
              <w:rPr>
                <w:rFonts w:ascii="Times New Roman" w:hAnsi="Times New Roman"/>
              </w:rPr>
              <w:t xml:space="preserve">последующих  </w:t>
            </w:r>
          </w:p>
          <w:p w14:paraId="16CEEA91" w14:textId="77777777" w:rsidR="001407B4" w:rsidRPr="004F5ACE" w:rsidRDefault="001407B4" w:rsidP="001407B4">
            <w:pPr>
              <w:spacing w:after="0" w:line="240" w:lineRule="auto"/>
              <w:ind w:firstLine="170"/>
              <w:rPr>
                <w:rFonts w:ascii="Times New Roman" w:hAnsi="Times New Roman"/>
              </w:rPr>
            </w:pPr>
            <w:r w:rsidRPr="004F5ACE">
              <w:rPr>
                <w:rFonts w:ascii="Times New Roman" w:hAnsi="Times New Roman"/>
              </w:rPr>
              <w:t>детей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0972B4"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26942245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821571"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26942245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D7D76C8" w14:textId="77777777" w:rsidR="001407B4" w:rsidRDefault="001407B4" w:rsidP="001407B4">
            <w:pPr>
              <w:spacing w:after="0" w:line="240" w:lineRule="auto"/>
              <w:jc w:val="center"/>
            </w:pPr>
            <w:r w:rsidRPr="006148EC">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428B41" w14:textId="77777777" w:rsidR="001407B4" w:rsidRDefault="001407B4" w:rsidP="001407B4">
            <w:pPr>
              <w:spacing w:after="0" w:line="240" w:lineRule="auto"/>
              <w:jc w:val="center"/>
            </w:pPr>
            <w:r w:rsidRPr="006148EC">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20E52A16" w14:textId="77777777" w:rsidR="001407B4" w:rsidRDefault="001407B4" w:rsidP="001407B4">
            <w:pPr>
              <w:spacing w:after="0" w:line="240" w:lineRule="auto"/>
              <w:jc w:val="center"/>
            </w:pPr>
            <w:r w:rsidRPr="006148EC">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128C5002" w14:textId="77777777" w:rsidR="001407B4" w:rsidRDefault="001407B4" w:rsidP="001407B4">
            <w:pPr>
              <w:spacing w:after="0" w:line="240" w:lineRule="auto"/>
              <w:jc w:val="center"/>
            </w:pPr>
            <w:r w:rsidRPr="006148EC">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2BE6112E" w14:textId="77777777" w:rsidR="001407B4" w:rsidRDefault="001407B4" w:rsidP="001407B4">
            <w:pPr>
              <w:spacing w:after="0" w:line="240" w:lineRule="auto"/>
              <w:jc w:val="center"/>
            </w:pPr>
            <w:r w:rsidRPr="006148EC">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2DCAE2" w14:textId="77777777" w:rsidR="001407B4" w:rsidRDefault="001407B4" w:rsidP="001407B4">
            <w:pPr>
              <w:spacing w:after="0" w:line="240" w:lineRule="auto"/>
              <w:jc w:val="center"/>
            </w:pPr>
            <w:r w:rsidRPr="006148EC">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CD0A47" w14:textId="77777777" w:rsidR="001407B4" w:rsidRDefault="001407B4" w:rsidP="001407B4">
            <w:pPr>
              <w:spacing w:after="0" w:line="240" w:lineRule="auto"/>
              <w:jc w:val="center"/>
            </w:pPr>
            <w:r w:rsidRPr="006148EC">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4103F40" w14:textId="77777777" w:rsidR="001407B4" w:rsidRDefault="001407B4" w:rsidP="001407B4">
            <w:pPr>
              <w:spacing w:after="0" w:line="240" w:lineRule="auto"/>
              <w:jc w:val="center"/>
            </w:pPr>
            <w:r w:rsidRPr="006148EC">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5E5764F2" w14:textId="77777777" w:rsidR="001407B4" w:rsidRDefault="001407B4" w:rsidP="001407B4">
            <w:pPr>
              <w:spacing w:after="0" w:line="240" w:lineRule="auto"/>
              <w:jc w:val="center"/>
            </w:pPr>
            <w:r w:rsidRPr="006148EC">
              <w: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59C88AEE" w14:textId="77777777" w:rsidR="001407B4" w:rsidRDefault="001407B4" w:rsidP="001407B4">
            <w:pPr>
              <w:spacing w:after="0" w:line="240" w:lineRule="auto"/>
              <w:jc w:val="center"/>
            </w:pPr>
            <w:r w:rsidRPr="006148EC">
              <w:t>-</w:t>
            </w:r>
          </w:p>
        </w:tc>
      </w:tr>
      <w:tr w:rsidR="001407B4" w:rsidRPr="004F5ACE" w14:paraId="137EA240" w14:textId="77777777" w:rsidTr="00913B8D">
        <w:tc>
          <w:tcPr>
            <w:tcW w:w="1418" w:type="dxa"/>
            <w:vAlign w:val="bottom"/>
          </w:tcPr>
          <w:p w14:paraId="309B55AC" w14:textId="77777777" w:rsidR="001407B4" w:rsidRPr="004F5ACE" w:rsidRDefault="001407B4" w:rsidP="001407B4">
            <w:pPr>
              <w:spacing w:after="0" w:line="240" w:lineRule="auto"/>
              <w:ind w:firstLine="170"/>
              <w:rPr>
                <w:rFonts w:ascii="Times New Roman" w:hAnsi="Times New Roman"/>
              </w:rPr>
            </w:pPr>
            <w:r w:rsidRPr="004F5ACE">
              <w:rPr>
                <w:rFonts w:ascii="Times New Roman" w:hAnsi="Times New Roman"/>
              </w:rPr>
              <w:t xml:space="preserve">лица,  </w:t>
            </w:r>
          </w:p>
          <w:p w14:paraId="52328093" w14:textId="77777777" w:rsidR="001407B4" w:rsidRPr="004F5ACE" w:rsidRDefault="001407B4" w:rsidP="001407B4">
            <w:pPr>
              <w:spacing w:after="0" w:line="240" w:lineRule="auto"/>
              <w:ind w:firstLine="170"/>
              <w:rPr>
                <w:rFonts w:ascii="Times New Roman" w:hAnsi="Times New Roman"/>
              </w:rPr>
            </w:pPr>
            <w:r w:rsidRPr="004F5ACE">
              <w:rPr>
                <w:rFonts w:ascii="Times New Roman" w:hAnsi="Times New Roman"/>
              </w:rPr>
              <w:t xml:space="preserve">получающие  </w:t>
            </w:r>
          </w:p>
          <w:p w14:paraId="767B601D" w14:textId="77777777" w:rsidR="001407B4" w:rsidRPr="004F5ACE" w:rsidRDefault="001407B4" w:rsidP="001407B4">
            <w:pPr>
              <w:spacing w:after="0" w:line="240" w:lineRule="auto"/>
              <w:ind w:firstLine="170"/>
              <w:rPr>
                <w:rFonts w:ascii="Times New Roman" w:hAnsi="Times New Roman"/>
              </w:rPr>
            </w:pPr>
            <w:r w:rsidRPr="004F5ACE">
              <w:rPr>
                <w:rFonts w:ascii="Times New Roman" w:hAnsi="Times New Roman"/>
              </w:rPr>
              <w:t xml:space="preserve">компенсацию  </w:t>
            </w:r>
          </w:p>
          <w:p w14:paraId="76233B22" w14:textId="77777777" w:rsidR="001407B4" w:rsidRPr="004F5ACE" w:rsidRDefault="001407B4" w:rsidP="001407B4">
            <w:pPr>
              <w:spacing w:after="0" w:line="240" w:lineRule="auto"/>
              <w:ind w:firstLine="170"/>
              <w:rPr>
                <w:rFonts w:ascii="Times New Roman" w:hAnsi="Times New Roman"/>
              </w:rPr>
            </w:pPr>
            <w:r w:rsidRPr="004F5ACE">
              <w:rPr>
                <w:rFonts w:ascii="Times New Roman" w:hAnsi="Times New Roman"/>
              </w:rPr>
              <w:t xml:space="preserve">части  </w:t>
            </w:r>
          </w:p>
          <w:p w14:paraId="40A07845" w14:textId="77777777" w:rsidR="001407B4" w:rsidRPr="004F5ACE" w:rsidRDefault="001407B4" w:rsidP="001407B4">
            <w:pPr>
              <w:spacing w:after="0" w:line="240" w:lineRule="auto"/>
              <w:ind w:firstLine="170"/>
              <w:rPr>
                <w:rFonts w:ascii="Times New Roman" w:hAnsi="Times New Roman"/>
              </w:rPr>
            </w:pPr>
            <w:r w:rsidRPr="004F5ACE">
              <w:rPr>
                <w:rFonts w:ascii="Times New Roman" w:hAnsi="Times New Roman"/>
              </w:rPr>
              <w:t xml:space="preserve">родительской  </w:t>
            </w:r>
          </w:p>
          <w:p w14:paraId="6732BEB7" w14:textId="77777777" w:rsidR="001407B4" w:rsidRPr="004F5ACE" w:rsidRDefault="001407B4" w:rsidP="001407B4">
            <w:pPr>
              <w:spacing w:after="0" w:line="240" w:lineRule="auto"/>
              <w:ind w:firstLine="170"/>
              <w:rPr>
                <w:rFonts w:ascii="Times New Roman" w:hAnsi="Times New Roman"/>
              </w:rPr>
            </w:pPr>
            <w:r w:rsidRPr="004F5ACE">
              <w:rPr>
                <w:rFonts w:ascii="Times New Roman" w:hAnsi="Times New Roman"/>
              </w:rPr>
              <w:t xml:space="preserve">платы за  </w:t>
            </w:r>
          </w:p>
          <w:p w14:paraId="20CB4F8B" w14:textId="77777777" w:rsidR="001407B4" w:rsidRPr="004F5ACE" w:rsidRDefault="001407B4" w:rsidP="001407B4">
            <w:pPr>
              <w:spacing w:after="0" w:line="240" w:lineRule="auto"/>
              <w:ind w:firstLine="170"/>
              <w:rPr>
                <w:rFonts w:ascii="Times New Roman" w:hAnsi="Times New Roman"/>
              </w:rPr>
            </w:pPr>
            <w:r w:rsidRPr="004F5ACE">
              <w:rPr>
                <w:rFonts w:ascii="Times New Roman" w:hAnsi="Times New Roman"/>
              </w:rPr>
              <w:t xml:space="preserve">присмотр и   </w:t>
            </w:r>
          </w:p>
          <w:p w14:paraId="32B751E7" w14:textId="77777777" w:rsidR="001407B4" w:rsidRPr="004F5ACE" w:rsidRDefault="001407B4" w:rsidP="001407B4">
            <w:pPr>
              <w:spacing w:after="0" w:line="240" w:lineRule="auto"/>
              <w:ind w:firstLine="170"/>
              <w:rPr>
                <w:rFonts w:ascii="Times New Roman" w:hAnsi="Times New Roman"/>
              </w:rPr>
            </w:pPr>
            <w:r w:rsidRPr="004F5ACE">
              <w:rPr>
                <w:rFonts w:ascii="Times New Roman" w:hAnsi="Times New Roman"/>
              </w:rPr>
              <w:t xml:space="preserve">уход за детьми в  </w:t>
            </w:r>
          </w:p>
          <w:p w14:paraId="3DCDCC8E" w14:textId="77777777" w:rsidR="001407B4" w:rsidRPr="004F5ACE" w:rsidRDefault="001407B4" w:rsidP="001407B4">
            <w:pPr>
              <w:spacing w:after="0" w:line="240" w:lineRule="auto"/>
              <w:ind w:firstLine="170"/>
              <w:rPr>
                <w:rFonts w:ascii="Times New Roman" w:hAnsi="Times New Roman"/>
              </w:rPr>
            </w:pPr>
            <w:r w:rsidRPr="004F5ACE">
              <w:rPr>
                <w:rFonts w:ascii="Times New Roman" w:hAnsi="Times New Roman"/>
              </w:rPr>
              <w:t xml:space="preserve">дошкольных  </w:t>
            </w:r>
          </w:p>
          <w:p w14:paraId="1B2D41EC" w14:textId="77777777" w:rsidR="001407B4" w:rsidRPr="004F5ACE" w:rsidRDefault="001407B4" w:rsidP="001407B4">
            <w:pPr>
              <w:spacing w:after="0" w:line="240" w:lineRule="auto"/>
              <w:ind w:firstLine="170"/>
              <w:rPr>
                <w:rFonts w:ascii="Times New Roman" w:hAnsi="Times New Roman"/>
              </w:rPr>
            </w:pPr>
            <w:r w:rsidRPr="004F5ACE">
              <w:rPr>
                <w:rFonts w:ascii="Times New Roman" w:hAnsi="Times New Roman"/>
              </w:rPr>
              <w:t xml:space="preserve">образовательных  </w:t>
            </w:r>
          </w:p>
          <w:p w14:paraId="3246C883" w14:textId="77777777" w:rsidR="001407B4" w:rsidRPr="004F5ACE" w:rsidRDefault="001407B4" w:rsidP="001407B4">
            <w:pPr>
              <w:spacing w:after="0" w:line="240" w:lineRule="auto"/>
              <w:ind w:firstLine="170"/>
              <w:rPr>
                <w:rFonts w:ascii="Times New Roman" w:hAnsi="Times New Roman"/>
              </w:rPr>
            </w:pPr>
            <w:r w:rsidRPr="004F5ACE">
              <w:rPr>
                <w:rFonts w:ascii="Times New Roman" w:hAnsi="Times New Roman"/>
              </w:rPr>
              <w:t>организациях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8711E5"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20401272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C662E5"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20401272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CCC9D4" w14:textId="77777777" w:rsidR="001407B4" w:rsidRDefault="001407B4" w:rsidP="001407B4">
            <w:pPr>
              <w:spacing w:after="0" w:line="240" w:lineRule="auto"/>
              <w:jc w:val="center"/>
            </w:pPr>
            <w:r w:rsidRPr="006148EC">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678D4E" w14:textId="77777777" w:rsidR="001407B4" w:rsidRDefault="001407B4" w:rsidP="001407B4">
            <w:pPr>
              <w:spacing w:after="0" w:line="240" w:lineRule="auto"/>
              <w:jc w:val="center"/>
            </w:pPr>
            <w:r w:rsidRPr="006148EC">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33A4A129" w14:textId="77777777" w:rsidR="001407B4" w:rsidRDefault="001407B4" w:rsidP="001407B4">
            <w:pPr>
              <w:spacing w:after="0" w:line="240" w:lineRule="auto"/>
              <w:jc w:val="center"/>
            </w:pPr>
            <w:r w:rsidRPr="006148EC">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4DC761BC" w14:textId="77777777" w:rsidR="001407B4" w:rsidRDefault="001407B4" w:rsidP="001407B4">
            <w:pPr>
              <w:spacing w:after="0" w:line="240" w:lineRule="auto"/>
              <w:jc w:val="center"/>
            </w:pPr>
            <w:r w:rsidRPr="006148EC">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74FD39D8" w14:textId="77777777" w:rsidR="001407B4" w:rsidRDefault="001407B4" w:rsidP="001407B4">
            <w:pPr>
              <w:spacing w:after="0" w:line="240" w:lineRule="auto"/>
              <w:jc w:val="center"/>
            </w:pPr>
            <w:r w:rsidRPr="006148EC">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A0F76D" w14:textId="77777777" w:rsidR="001407B4" w:rsidRDefault="001407B4" w:rsidP="001407B4">
            <w:pPr>
              <w:spacing w:after="0" w:line="240" w:lineRule="auto"/>
              <w:jc w:val="center"/>
            </w:pPr>
            <w:r w:rsidRPr="006148EC">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40D011" w14:textId="77777777" w:rsidR="001407B4" w:rsidRDefault="001407B4" w:rsidP="001407B4">
            <w:pPr>
              <w:spacing w:after="0" w:line="240" w:lineRule="auto"/>
              <w:jc w:val="center"/>
            </w:pPr>
            <w:r w:rsidRPr="006148EC">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C7AC9E1" w14:textId="77777777" w:rsidR="001407B4" w:rsidRDefault="001407B4" w:rsidP="001407B4">
            <w:pPr>
              <w:spacing w:after="0" w:line="240" w:lineRule="auto"/>
              <w:jc w:val="center"/>
            </w:pPr>
            <w:r w:rsidRPr="006148EC">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6D9FB54C" w14:textId="77777777" w:rsidR="001407B4" w:rsidRDefault="001407B4" w:rsidP="001407B4">
            <w:pPr>
              <w:spacing w:after="0" w:line="240" w:lineRule="auto"/>
              <w:jc w:val="center"/>
            </w:pPr>
            <w:r w:rsidRPr="00D5564D">
              <w:rPr>
                <w:rFonts w:ascii="Times New Roman" w:eastAsia="Times New Roman" w:hAnsi="Times New Roman"/>
                <w:lang w:eastAsia="ru-RU"/>
              </w:rPr>
              <w: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22FB086A" w14:textId="77777777" w:rsidR="001407B4" w:rsidRDefault="001407B4" w:rsidP="001407B4">
            <w:pPr>
              <w:spacing w:after="0" w:line="240" w:lineRule="auto"/>
              <w:jc w:val="center"/>
            </w:pPr>
            <w:r w:rsidRPr="00D5564D">
              <w:rPr>
                <w:rFonts w:ascii="Times New Roman" w:eastAsia="Times New Roman" w:hAnsi="Times New Roman"/>
                <w:lang w:eastAsia="ru-RU"/>
              </w:rPr>
              <w:t>-</w:t>
            </w:r>
          </w:p>
        </w:tc>
      </w:tr>
      <w:tr w:rsidR="001407B4" w:rsidRPr="004F5ACE" w14:paraId="6F4CB6D0" w14:textId="77777777" w:rsidTr="00913B8D">
        <w:trPr>
          <w:trHeight w:val="450"/>
        </w:trPr>
        <w:tc>
          <w:tcPr>
            <w:tcW w:w="16478" w:type="dxa"/>
            <w:gridSpan w:val="13"/>
            <w:vAlign w:val="center"/>
          </w:tcPr>
          <w:p w14:paraId="7C233F9F" w14:textId="77777777" w:rsidR="001407B4" w:rsidRPr="004F5ACE" w:rsidRDefault="001407B4" w:rsidP="001407B4">
            <w:pPr>
              <w:spacing w:after="0" w:line="240" w:lineRule="auto"/>
              <w:jc w:val="center"/>
              <w:rPr>
                <w:rFonts w:ascii="Times New Roman" w:eastAsia="Times New Roman" w:hAnsi="Times New Roman" w:cs="Times New Roman"/>
                <w:b/>
                <w:sz w:val="24"/>
                <w:szCs w:val="24"/>
                <w:lang w:eastAsia="ru-RU"/>
              </w:rPr>
            </w:pPr>
            <w:r w:rsidRPr="004F5ACE">
              <w:rPr>
                <w:rFonts w:ascii="Times New Roman" w:eastAsia="Times New Roman" w:hAnsi="Times New Roman" w:cs="Times New Roman"/>
                <w:b/>
                <w:sz w:val="24"/>
                <w:szCs w:val="24"/>
                <w:lang w:eastAsia="ru-RU"/>
              </w:rPr>
              <w:t>в натуральной форме</w:t>
            </w:r>
          </w:p>
        </w:tc>
      </w:tr>
      <w:tr w:rsidR="001407B4" w:rsidRPr="004F5ACE" w14:paraId="1691B970" w14:textId="77777777" w:rsidTr="00913B8D">
        <w:trPr>
          <w:trHeight w:val="414"/>
        </w:trPr>
        <w:tc>
          <w:tcPr>
            <w:tcW w:w="1418" w:type="dxa"/>
            <w:vAlign w:val="center"/>
          </w:tcPr>
          <w:p w14:paraId="6D0E33BC" w14:textId="77777777" w:rsidR="001407B4" w:rsidRPr="004F5ACE" w:rsidRDefault="001407B4" w:rsidP="001407B4">
            <w:pPr>
              <w:spacing w:after="0" w:line="240" w:lineRule="auto"/>
              <w:rPr>
                <w:rFonts w:ascii="Times New Roman" w:hAnsi="Times New Roman"/>
                <w:b/>
              </w:rPr>
            </w:pPr>
            <w:r w:rsidRPr="004F5ACE">
              <w:rPr>
                <w:rFonts w:ascii="Times New Roman" w:hAnsi="Times New Roman"/>
                <w:b/>
              </w:rPr>
              <w:t>Всего</w:t>
            </w:r>
          </w:p>
        </w:tc>
        <w:tc>
          <w:tcPr>
            <w:tcW w:w="1276" w:type="dxa"/>
            <w:shd w:val="clear" w:color="auto" w:fill="auto"/>
            <w:vAlign w:val="center"/>
          </w:tcPr>
          <w:p w14:paraId="54E39BF9" w14:textId="77777777" w:rsidR="001407B4" w:rsidRPr="00D5564D" w:rsidRDefault="001407B4" w:rsidP="001407B4">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80749958</w:t>
            </w:r>
          </w:p>
        </w:tc>
        <w:tc>
          <w:tcPr>
            <w:tcW w:w="1276" w:type="dxa"/>
            <w:shd w:val="clear" w:color="auto" w:fill="auto"/>
            <w:vAlign w:val="center"/>
          </w:tcPr>
          <w:p w14:paraId="3AE36FDB" w14:textId="77777777" w:rsidR="001407B4" w:rsidRPr="004F5ACE" w:rsidRDefault="001407B4" w:rsidP="001407B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275" w:type="dxa"/>
            <w:shd w:val="clear" w:color="auto" w:fill="auto"/>
            <w:vAlign w:val="center"/>
          </w:tcPr>
          <w:p w14:paraId="4246FA94" w14:textId="77777777" w:rsidR="001407B4" w:rsidRPr="00D5564D" w:rsidRDefault="001407B4" w:rsidP="001407B4">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2975112</w:t>
            </w:r>
          </w:p>
        </w:tc>
        <w:tc>
          <w:tcPr>
            <w:tcW w:w="1276" w:type="dxa"/>
            <w:shd w:val="clear" w:color="auto" w:fill="auto"/>
            <w:vAlign w:val="center"/>
          </w:tcPr>
          <w:p w14:paraId="3807C753" w14:textId="77777777" w:rsidR="001407B4" w:rsidRPr="00D5564D" w:rsidRDefault="001407B4" w:rsidP="001407B4">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23265628</w:t>
            </w:r>
          </w:p>
        </w:tc>
        <w:tc>
          <w:tcPr>
            <w:tcW w:w="1216" w:type="dxa"/>
            <w:shd w:val="clear" w:color="auto" w:fill="auto"/>
            <w:vAlign w:val="center"/>
          </w:tcPr>
          <w:p w14:paraId="1D76808A" w14:textId="77777777" w:rsidR="001407B4" w:rsidRPr="00D5564D" w:rsidRDefault="001407B4" w:rsidP="001407B4">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3670</w:t>
            </w:r>
          </w:p>
        </w:tc>
        <w:tc>
          <w:tcPr>
            <w:tcW w:w="1237" w:type="dxa"/>
            <w:shd w:val="clear" w:color="auto" w:fill="auto"/>
            <w:vAlign w:val="center"/>
          </w:tcPr>
          <w:p w14:paraId="662DE940"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374" w:type="dxa"/>
            <w:shd w:val="clear" w:color="auto" w:fill="auto"/>
            <w:vAlign w:val="center"/>
          </w:tcPr>
          <w:p w14:paraId="0A5A2228" w14:textId="77777777" w:rsidR="001407B4" w:rsidRPr="00D5564D" w:rsidRDefault="001407B4" w:rsidP="001407B4">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4785550</w:t>
            </w:r>
          </w:p>
        </w:tc>
        <w:tc>
          <w:tcPr>
            <w:tcW w:w="1276" w:type="dxa"/>
            <w:shd w:val="clear" w:color="auto" w:fill="auto"/>
            <w:vAlign w:val="center"/>
          </w:tcPr>
          <w:p w14:paraId="3EDD0D35" w14:textId="77777777" w:rsidR="001407B4" w:rsidRPr="00D5564D" w:rsidRDefault="001407B4" w:rsidP="001407B4">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195673</w:t>
            </w:r>
          </w:p>
        </w:tc>
        <w:tc>
          <w:tcPr>
            <w:tcW w:w="1417" w:type="dxa"/>
            <w:shd w:val="clear" w:color="auto" w:fill="auto"/>
            <w:vAlign w:val="center"/>
          </w:tcPr>
          <w:p w14:paraId="41507854" w14:textId="77777777" w:rsidR="001407B4" w:rsidRPr="00D5564D" w:rsidRDefault="001407B4" w:rsidP="001407B4">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4477031</w:t>
            </w:r>
          </w:p>
        </w:tc>
        <w:tc>
          <w:tcPr>
            <w:tcW w:w="1311" w:type="dxa"/>
            <w:shd w:val="clear" w:color="auto" w:fill="auto"/>
            <w:vAlign w:val="center"/>
          </w:tcPr>
          <w:p w14:paraId="472512B2" w14:textId="77777777" w:rsidR="001407B4" w:rsidRPr="00D5564D" w:rsidRDefault="001407B4" w:rsidP="001407B4">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31368100</w:t>
            </w:r>
          </w:p>
        </w:tc>
        <w:tc>
          <w:tcPr>
            <w:tcW w:w="1132" w:type="dxa"/>
            <w:shd w:val="clear" w:color="auto" w:fill="auto"/>
            <w:vAlign w:val="center"/>
          </w:tcPr>
          <w:p w14:paraId="744B0AE1" w14:textId="77777777" w:rsidR="001407B4" w:rsidRPr="00D5564D" w:rsidRDefault="001407B4" w:rsidP="001407B4">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4058153</w:t>
            </w:r>
          </w:p>
        </w:tc>
        <w:tc>
          <w:tcPr>
            <w:tcW w:w="994" w:type="dxa"/>
            <w:shd w:val="clear" w:color="auto" w:fill="auto"/>
            <w:vAlign w:val="center"/>
          </w:tcPr>
          <w:p w14:paraId="7DED603B" w14:textId="77777777" w:rsidR="001407B4" w:rsidRPr="00D5564D" w:rsidRDefault="001407B4" w:rsidP="001407B4">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9621041</w:t>
            </w:r>
          </w:p>
        </w:tc>
      </w:tr>
      <w:tr w:rsidR="001407B4" w:rsidRPr="004F5ACE" w14:paraId="175E3C77" w14:textId="77777777" w:rsidTr="00913B8D">
        <w:tc>
          <w:tcPr>
            <w:tcW w:w="1418" w:type="dxa"/>
            <w:vAlign w:val="center"/>
          </w:tcPr>
          <w:p w14:paraId="6F83B6DB" w14:textId="77777777" w:rsidR="001407B4" w:rsidRPr="004F5ACE" w:rsidRDefault="001407B4" w:rsidP="001407B4">
            <w:pPr>
              <w:spacing w:after="0" w:line="240" w:lineRule="atLeast"/>
              <w:ind w:firstLine="113"/>
              <w:rPr>
                <w:rFonts w:ascii="Times New Roman" w:hAnsi="Times New Roman"/>
              </w:rPr>
            </w:pPr>
            <w:r w:rsidRPr="004F5ACE">
              <w:rPr>
                <w:rFonts w:ascii="Times New Roman" w:hAnsi="Times New Roman"/>
              </w:rPr>
              <w:t xml:space="preserve">в том числе </w:t>
            </w:r>
          </w:p>
          <w:p w14:paraId="2B0AE01A" w14:textId="77777777" w:rsidR="001407B4" w:rsidRPr="004F5ACE" w:rsidRDefault="001407B4" w:rsidP="001407B4">
            <w:pPr>
              <w:spacing w:after="0" w:line="240" w:lineRule="atLeast"/>
              <w:ind w:firstLine="113"/>
              <w:rPr>
                <w:rFonts w:ascii="Times New Roman" w:hAnsi="Times New Roman"/>
              </w:rPr>
            </w:pPr>
            <w:r w:rsidRPr="004F5ACE">
              <w:rPr>
                <w:rFonts w:ascii="Times New Roman" w:hAnsi="Times New Roman"/>
              </w:rPr>
              <w:t>по категориям:</w:t>
            </w:r>
          </w:p>
          <w:p w14:paraId="5B4418B0" w14:textId="388BF28E" w:rsidR="001407B4" w:rsidRPr="004F5ACE" w:rsidRDefault="001407B4" w:rsidP="001407B4">
            <w:pPr>
              <w:spacing w:after="0" w:line="240" w:lineRule="atLeast"/>
              <w:rPr>
                <w:rFonts w:ascii="Times New Roman" w:hAnsi="Times New Roman"/>
              </w:rPr>
            </w:pPr>
            <w:r w:rsidRPr="004F5ACE">
              <w:rPr>
                <w:rFonts w:ascii="Times New Roman" w:hAnsi="Times New Roman"/>
              </w:rPr>
              <w:t>дети</w:t>
            </w:r>
            <w:r w:rsidR="003B77D7" w:rsidRPr="00295F0B">
              <w:rPr>
                <w:rFonts w:ascii="Times New Roman" w:hAnsi="Times New Roman"/>
              </w:rPr>
              <w:t xml:space="preserve"> с инвалидностью</w:t>
            </w:r>
          </w:p>
        </w:tc>
        <w:tc>
          <w:tcPr>
            <w:tcW w:w="1276" w:type="dxa"/>
            <w:shd w:val="clear" w:color="auto" w:fill="auto"/>
            <w:vAlign w:val="center"/>
          </w:tcPr>
          <w:p w14:paraId="5E741092"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4941217</w:t>
            </w:r>
          </w:p>
        </w:tc>
        <w:tc>
          <w:tcPr>
            <w:tcW w:w="1276" w:type="dxa"/>
            <w:vAlign w:val="center"/>
          </w:tcPr>
          <w:p w14:paraId="25AC9BD0" w14:textId="77777777" w:rsidR="001407B4" w:rsidRPr="004F5ACE" w:rsidRDefault="001407B4" w:rsidP="001407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shd w:val="clear" w:color="auto" w:fill="auto"/>
            <w:vAlign w:val="center"/>
          </w:tcPr>
          <w:p w14:paraId="69E24E2E"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70811</w:t>
            </w:r>
          </w:p>
        </w:tc>
        <w:tc>
          <w:tcPr>
            <w:tcW w:w="1276" w:type="dxa"/>
            <w:shd w:val="clear" w:color="auto" w:fill="auto"/>
            <w:vAlign w:val="center"/>
          </w:tcPr>
          <w:p w14:paraId="29DE2FD3"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216" w:type="dxa"/>
            <w:shd w:val="clear" w:color="auto" w:fill="auto"/>
            <w:vAlign w:val="center"/>
          </w:tcPr>
          <w:p w14:paraId="4BDD87D2"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237" w:type="dxa"/>
            <w:shd w:val="clear" w:color="auto" w:fill="auto"/>
            <w:vAlign w:val="center"/>
          </w:tcPr>
          <w:p w14:paraId="0CB058C9"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374" w:type="dxa"/>
            <w:shd w:val="clear" w:color="auto" w:fill="auto"/>
            <w:vAlign w:val="center"/>
          </w:tcPr>
          <w:p w14:paraId="644AD429"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162047</w:t>
            </w:r>
          </w:p>
        </w:tc>
        <w:tc>
          <w:tcPr>
            <w:tcW w:w="1276" w:type="dxa"/>
            <w:shd w:val="clear" w:color="auto" w:fill="auto"/>
            <w:vAlign w:val="center"/>
          </w:tcPr>
          <w:p w14:paraId="25BA0B21"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8840</w:t>
            </w:r>
          </w:p>
        </w:tc>
        <w:tc>
          <w:tcPr>
            <w:tcW w:w="1417" w:type="dxa"/>
            <w:shd w:val="clear" w:color="auto" w:fill="auto"/>
            <w:vAlign w:val="center"/>
          </w:tcPr>
          <w:p w14:paraId="6D49A97B"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3758218</w:t>
            </w:r>
          </w:p>
        </w:tc>
        <w:tc>
          <w:tcPr>
            <w:tcW w:w="1311" w:type="dxa"/>
            <w:shd w:val="clear" w:color="auto" w:fill="auto"/>
            <w:vAlign w:val="center"/>
          </w:tcPr>
          <w:p w14:paraId="3DF7D23D"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65243</w:t>
            </w:r>
          </w:p>
        </w:tc>
        <w:tc>
          <w:tcPr>
            <w:tcW w:w="1132" w:type="dxa"/>
            <w:shd w:val="clear" w:color="auto" w:fill="auto"/>
            <w:vAlign w:val="center"/>
          </w:tcPr>
          <w:p w14:paraId="6749400E"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741748</w:t>
            </w:r>
          </w:p>
        </w:tc>
        <w:tc>
          <w:tcPr>
            <w:tcW w:w="994" w:type="dxa"/>
            <w:shd w:val="clear" w:color="auto" w:fill="auto"/>
            <w:vAlign w:val="center"/>
          </w:tcPr>
          <w:p w14:paraId="002B4762"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134310</w:t>
            </w:r>
          </w:p>
        </w:tc>
      </w:tr>
      <w:tr w:rsidR="001407B4" w:rsidRPr="004F5ACE" w14:paraId="6E5BD9CA" w14:textId="77777777" w:rsidTr="00913B8D">
        <w:tc>
          <w:tcPr>
            <w:tcW w:w="1418" w:type="dxa"/>
            <w:vAlign w:val="center"/>
          </w:tcPr>
          <w:p w14:paraId="15426E1C" w14:textId="77777777" w:rsidR="001407B4" w:rsidRPr="004F5ACE" w:rsidRDefault="001407B4" w:rsidP="001407B4">
            <w:pPr>
              <w:spacing w:after="0" w:line="240" w:lineRule="auto"/>
              <w:rPr>
                <w:rFonts w:ascii="Times New Roman" w:hAnsi="Times New Roman"/>
              </w:rPr>
            </w:pPr>
            <w:r w:rsidRPr="004F5ACE">
              <w:rPr>
                <w:rFonts w:ascii="Times New Roman" w:hAnsi="Times New Roman"/>
              </w:rPr>
              <w:t>дети из отдельных категорий семей</w:t>
            </w:r>
          </w:p>
        </w:tc>
        <w:tc>
          <w:tcPr>
            <w:tcW w:w="1276" w:type="dxa"/>
            <w:shd w:val="clear" w:color="auto" w:fill="auto"/>
            <w:vAlign w:val="center"/>
          </w:tcPr>
          <w:p w14:paraId="3086F7F4"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16072603</w:t>
            </w:r>
          </w:p>
        </w:tc>
        <w:tc>
          <w:tcPr>
            <w:tcW w:w="1276" w:type="dxa"/>
            <w:shd w:val="clear" w:color="auto" w:fill="auto"/>
            <w:vAlign w:val="center"/>
          </w:tcPr>
          <w:p w14:paraId="44E31820" w14:textId="77777777" w:rsidR="001407B4" w:rsidRPr="004F5ACE" w:rsidRDefault="001407B4" w:rsidP="001407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shd w:val="clear" w:color="auto" w:fill="auto"/>
            <w:vAlign w:val="center"/>
          </w:tcPr>
          <w:p w14:paraId="5721506D"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276" w:type="dxa"/>
            <w:shd w:val="clear" w:color="auto" w:fill="auto"/>
            <w:vAlign w:val="center"/>
          </w:tcPr>
          <w:p w14:paraId="34174668"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216" w:type="dxa"/>
            <w:shd w:val="clear" w:color="auto" w:fill="auto"/>
            <w:vAlign w:val="center"/>
          </w:tcPr>
          <w:p w14:paraId="7BF4D154"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237" w:type="dxa"/>
            <w:shd w:val="clear" w:color="auto" w:fill="auto"/>
            <w:vAlign w:val="center"/>
          </w:tcPr>
          <w:p w14:paraId="7A0F83A4"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374" w:type="dxa"/>
            <w:shd w:val="clear" w:color="auto" w:fill="auto"/>
            <w:vAlign w:val="center"/>
          </w:tcPr>
          <w:p w14:paraId="403A1BCC"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322587</w:t>
            </w:r>
          </w:p>
        </w:tc>
        <w:tc>
          <w:tcPr>
            <w:tcW w:w="1276" w:type="dxa"/>
            <w:shd w:val="clear" w:color="auto" w:fill="auto"/>
            <w:vAlign w:val="center"/>
          </w:tcPr>
          <w:p w14:paraId="10492645"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43841</w:t>
            </w:r>
          </w:p>
        </w:tc>
        <w:tc>
          <w:tcPr>
            <w:tcW w:w="1417" w:type="dxa"/>
            <w:shd w:val="clear" w:color="auto" w:fill="auto"/>
            <w:vAlign w:val="center"/>
          </w:tcPr>
          <w:p w14:paraId="614DF1A4"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392863</w:t>
            </w:r>
          </w:p>
        </w:tc>
        <w:tc>
          <w:tcPr>
            <w:tcW w:w="1311" w:type="dxa"/>
            <w:shd w:val="clear" w:color="auto" w:fill="auto"/>
            <w:vAlign w:val="center"/>
          </w:tcPr>
          <w:p w14:paraId="063C12D9"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12850313</w:t>
            </w:r>
          </w:p>
        </w:tc>
        <w:tc>
          <w:tcPr>
            <w:tcW w:w="1132" w:type="dxa"/>
            <w:shd w:val="clear" w:color="auto" w:fill="auto"/>
            <w:vAlign w:val="center"/>
          </w:tcPr>
          <w:p w14:paraId="49ABC262"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1397420</w:t>
            </w:r>
          </w:p>
        </w:tc>
        <w:tc>
          <w:tcPr>
            <w:tcW w:w="994" w:type="dxa"/>
            <w:shd w:val="clear" w:color="auto" w:fill="auto"/>
            <w:vAlign w:val="center"/>
          </w:tcPr>
          <w:p w14:paraId="5D4D023E"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1065579</w:t>
            </w:r>
          </w:p>
        </w:tc>
      </w:tr>
      <w:tr w:rsidR="001407B4" w:rsidRPr="004F5ACE" w14:paraId="2EE3C21A" w14:textId="77777777" w:rsidTr="00913B8D">
        <w:tc>
          <w:tcPr>
            <w:tcW w:w="1418" w:type="dxa"/>
            <w:vAlign w:val="center"/>
          </w:tcPr>
          <w:p w14:paraId="54BF0F58" w14:textId="77777777" w:rsidR="001407B4" w:rsidRPr="004F5ACE" w:rsidRDefault="001407B4" w:rsidP="001407B4">
            <w:pPr>
              <w:spacing w:after="0" w:line="240" w:lineRule="auto"/>
              <w:rPr>
                <w:rFonts w:ascii="Times New Roman" w:hAnsi="Times New Roman"/>
              </w:rPr>
            </w:pPr>
            <w:r w:rsidRPr="004F5ACE">
              <w:rPr>
                <w:rFonts w:ascii="Times New Roman" w:hAnsi="Times New Roman"/>
              </w:rPr>
              <w:t>дети-сироты и дети, оставшиеся без попечения родителей</w:t>
            </w:r>
          </w:p>
        </w:tc>
        <w:tc>
          <w:tcPr>
            <w:tcW w:w="1276" w:type="dxa"/>
            <w:shd w:val="clear" w:color="auto" w:fill="auto"/>
            <w:vAlign w:val="center"/>
          </w:tcPr>
          <w:p w14:paraId="40BC91A3"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27146548</w:t>
            </w:r>
          </w:p>
        </w:tc>
        <w:tc>
          <w:tcPr>
            <w:tcW w:w="1276" w:type="dxa"/>
            <w:shd w:val="clear" w:color="auto" w:fill="auto"/>
            <w:vAlign w:val="center"/>
          </w:tcPr>
          <w:p w14:paraId="1D2BFEEC" w14:textId="77777777" w:rsidR="001407B4" w:rsidRPr="004F5ACE" w:rsidRDefault="001407B4" w:rsidP="001407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shd w:val="clear" w:color="auto" w:fill="auto"/>
            <w:vAlign w:val="center"/>
          </w:tcPr>
          <w:p w14:paraId="3BDF5C02"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707093</w:t>
            </w:r>
          </w:p>
        </w:tc>
        <w:tc>
          <w:tcPr>
            <w:tcW w:w="1276" w:type="dxa"/>
            <w:shd w:val="clear" w:color="auto" w:fill="auto"/>
            <w:vAlign w:val="center"/>
          </w:tcPr>
          <w:p w14:paraId="02D97C04"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22481820</w:t>
            </w:r>
          </w:p>
        </w:tc>
        <w:tc>
          <w:tcPr>
            <w:tcW w:w="1216" w:type="dxa"/>
            <w:shd w:val="clear" w:color="auto" w:fill="auto"/>
            <w:vAlign w:val="center"/>
          </w:tcPr>
          <w:p w14:paraId="6C775D46"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237" w:type="dxa"/>
            <w:shd w:val="clear" w:color="auto" w:fill="auto"/>
            <w:vAlign w:val="center"/>
          </w:tcPr>
          <w:p w14:paraId="3A422CA3"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374" w:type="dxa"/>
            <w:shd w:val="clear" w:color="auto" w:fill="auto"/>
            <w:vAlign w:val="center"/>
          </w:tcPr>
          <w:p w14:paraId="17B72A7B"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100769</w:t>
            </w:r>
          </w:p>
        </w:tc>
        <w:tc>
          <w:tcPr>
            <w:tcW w:w="1276" w:type="dxa"/>
            <w:shd w:val="clear" w:color="auto" w:fill="auto"/>
            <w:vAlign w:val="center"/>
          </w:tcPr>
          <w:p w14:paraId="68E56C2D"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15740</w:t>
            </w:r>
          </w:p>
        </w:tc>
        <w:tc>
          <w:tcPr>
            <w:tcW w:w="1417" w:type="dxa"/>
            <w:shd w:val="clear" w:color="auto" w:fill="auto"/>
            <w:vAlign w:val="center"/>
          </w:tcPr>
          <w:p w14:paraId="4473DCBB"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26865</w:t>
            </w:r>
          </w:p>
        </w:tc>
        <w:tc>
          <w:tcPr>
            <w:tcW w:w="1311" w:type="dxa"/>
            <w:shd w:val="clear" w:color="auto" w:fill="auto"/>
            <w:vAlign w:val="center"/>
          </w:tcPr>
          <w:p w14:paraId="2BE7B85E"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1252114</w:t>
            </w:r>
          </w:p>
        </w:tc>
        <w:tc>
          <w:tcPr>
            <w:tcW w:w="1132" w:type="dxa"/>
            <w:shd w:val="clear" w:color="auto" w:fill="auto"/>
            <w:vAlign w:val="center"/>
          </w:tcPr>
          <w:p w14:paraId="7398BE18"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510842</w:t>
            </w:r>
          </w:p>
        </w:tc>
        <w:tc>
          <w:tcPr>
            <w:tcW w:w="994" w:type="dxa"/>
            <w:shd w:val="clear" w:color="auto" w:fill="auto"/>
            <w:vAlign w:val="center"/>
          </w:tcPr>
          <w:p w14:paraId="45C197A7"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2051305</w:t>
            </w:r>
          </w:p>
        </w:tc>
      </w:tr>
      <w:tr w:rsidR="001407B4" w:rsidRPr="004F5ACE" w14:paraId="4B22FB6F" w14:textId="77777777" w:rsidTr="00913B8D">
        <w:tc>
          <w:tcPr>
            <w:tcW w:w="1418" w:type="dxa"/>
            <w:vAlign w:val="center"/>
          </w:tcPr>
          <w:p w14:paraId="729A3084" w14:textId="77777777" w:rsidR="001407B4" w:rsidRPr="004F5ACE" w:rsidRDefault="001407B4" w:rsidP="001407B4">
            <w:pPr>
              <w:spacing w:after="0" w:line="240" w:lineRule="auto"/>
              <w:rPr>
                <w:rFonts w:ascii="Times New Roman" w:hAnsi="Times New Roman"/>
              </w:rPr>
            </w:pPr>
            <w:r w:rsidRPr="004F5ACE">
              <w:rPr>
                <w:rFonts w:ascii="Times New Roman" w:hAnsi="Times New Roman"/>
              </w:rPr>
              <w:t>студенты, учащиеся, школьники</w:t>
            </w:r>
          </w:p>
        </w:tc>
        <w:tc>
          <w:tcPr>
            <w:tcW w:w="1276" w:type="dxa"/>
            <w:shd w:val="clear" w:color="auto" w:fill="auto"/>
            <w:vAlign w:val="center"/>
          </w:tcPr>
          <w:p w14:paraId="20442653"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18378699</w:t>
            </w:r>
          </w:p>
        </w:tc>
        <w:tc>
          <w:tcPr>
            <w:tcW w:w="1276" w:type="dxa"/>
            <w:shd w:val="clear" w:color="auto" w:fill="auto"/>
            <w:vAlign w:val="center"/>
          </w:tcPr>
          <w:p w14:paraId="717F070E" w14:textId="77777777" w:rsidR="001407B4" w:rsidRPr="004F5ACE" w:rsidRDefault="001407B4" w:rsidP="001407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shd w:val="clear" w:color="auto" w:fill="auto"/>
            <w:vAlign w:val="center"/>
          </w:tcPr>
          <w:p w14:paraId="313E9A2D"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276" w:type="dxa"/>
            <w:shd w:val="clear" w:color="auto" w:fill="auto"/>
            <w:vAlign w:val="center"/>
          </w:tcPr>
          <w:p w14:paraId="49AD6E03"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473</w:t>
            </w:r>
          </w:p>
        </w:tc>
        <w:tc>
          <w:tcPr>
            <w:tcW w:w="1216" w:type="dxa"/>
            <w:shd w:val="clear" w:color="auto" w:fill="auto"/>
            <w:vAlign w:val="center"/>
          </w:tcPr>
          <w:p w14:paraId="1D6255BD" w14:textId="77777777" w:rsidR="001407B4" w:rsidRPr="00D5564D" w:rsidRDefault="001407B4" w:rsidP="001407B4">
            <w:pPr>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237" w:type="dxa"/>
            <w:shd w:val="clear" w:color="auto" w:fill="auto"/>
            <w:vAlign w:val="center"/>
          </w:tcPr>
          <w:p w14:paraId="607FF5AC"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374" w:type="dxa"/>
            <w:shd w:val="clear" w:color="auto" w:fill="auto"/>
            <w:vAlign w:val="center"/>
          </w:tcPr>
          <w:p w14:paraId="2800A24D"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1475393</w:t>
            </w:r>
          </w:p>
        </w:tc>
        <w:tc>
          <w:tcPr>
            <w:tcW w:w="1276" w:type="dxa"/>
            <w:shd w:val="clear" w:color="auto" w:fill="auto"/>
            <w:vAlign w:val="center"/>
          </w:tcPr>
          <w:p w14:paraId="3B5F1D25"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28241</w:t>
            </w:r>
          </w:p>
        </w:tc>
        <w:tc>
          <w:tcPr>
            <w:tcW w:w="1417" w:type="dxa"/>
            <w:shd w:val="clear" w:color="auto" w:fill="auto"/>
            <w:vAlign w:val="center"/>
          </w:tcPr>
          <w:p w14:paraId="4AEDDE9F"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176</w:t>
            </w:r>
          </w:p>
        </w:tc>
        <w:tc>
          <w:tcPr>
            <w:tcW w:w="1311" w:type="dxa"/>
            <w:shd w:val="clear" w:color="auto" w:fill="auto"/>
            <w:vAlign w:val="center"/>
          </w:tcPr>
          <w:p w14:paraId="22824CDC"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13029756</w:t>
            </w:r>
          </w:p>
        </w:tc>
        <w:tc>
          <w:tcPr>
            <w:tcW w:w="1132" w:type="dxa"/>
            <w:shd w:val="clear" w:color="auto" w:fill="auto"/>
            <w:vAlign w:val="center"/>
          </w:tcPr>
          <w:p w14:paraId="7BCB5841"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745995</w:t>
            </w:r>
          </w:p>
        </w:tc>
        <w:tc>
          <w:tcPr>
            <w:tcW w:w="994" w:type="dxa"/>
            <w:shd w:val="clear" w:color="auto" w:fill="auto"/>
            <w:vAlign w:val="center"/>
          </w:tcPr>
          <w:p w14:paraId="4305A8A1"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3098665</w:t>
            </w:r>
          </w:p>
        </w:tc>
      </w:tr>
      <w:tr w:rsidR="001407B4" w:rsidRPr="004F5ACE" w14:paraId="0C10DA07" w14:textId="77777777" w:rsidTr="00913B8D">
        <w:tc>
          <w:tcPr>
            <w:tcW w:w="1418" w:type="dxa"/>
            <w:vAlign w:val="center"/>
          </w:tcPr>
          <w:p w14:paraId="1814AE17" w14:textId="77777777" w:rsidR="001407B4" w:rsidRPr="004F5ACE" w:rsidRDefault="001407B4" w:rsidP="001407B4">
            <w:pPr>
              <w:spacing w:after="0" w:line="240" w:lineRule="auto"/>
              <w:rPr>
                <w:rFonts w:ascii="Times New Roman" w:hAnsi="Times New Roman"/>
              </w:rPr>
            </w:pPr>
            <w:r w:rsidRPr="004F5ACE">
              <w:rPr>
                <w:rFonts w:ascii="Times New Roman" w:hAnsi="Times New Roman"/>
              </w:rPr>
              <w:t>беременные женщины и кормящие матери</w:t>
            </w:r>
          </w:p>
        </w:tc>
        <w:tc>
          <w:tcPr>
            <w:tcW w:w="1276" w:type="dxa"/>
            <w:shd w:val="clear" w:color="auto" w:fill="auto"/>
            <w:vAlign w:val="center"/>
          </w:tcPr>
          <w:p w14:paraId="6C6756E2"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1120625</w:t>
            </w:r>
          </w:p>
        </w:tc>
        <w:tc>
          <w:tcPr>
            <w:tcW w:w="1276" w:type="dxa"/>
            <w:vAlign w:val="center"/>
          </w:tcPr>
          <w:p w14:paraId="537D1496" w14:textId="77777777" w:rsidR="001407B4" w:rsidRPr="004F5ACE" w:rsidRDefault="001407B4" w:rsidP="001407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shd w:val="clear" w:color="auto" w:fill="auto"/>
            <w:vAlign w:val="center"/>
          </w:tcPr>
          <w:p w14:paraId="008B9B55"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276" w:type="dxa"/>
            <w:shd w:val="clear" w:color="auto" w:fill="auto"/>
            <w:vAlign w:val="center"/>
          </w:tcPr>
          <w:p w14:paraId="06D2C162"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216" w:type="dxa"/>
            <w:shd w:val="clear" w:color="auto" w:fill="auto"/>
            <w:vAlign w:val="center"/>
          </w:tcPr>
          <w:p w14:paraId="5E51743D"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237" w:type="dxa"/>
            <w:shd w:val="clear" w:color="auto" w:fill="auto"/>
            <w:vAlign w:val="center"/>
          </w:tcPr>
          <w:p w14:paraId="75E530DF"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374" w:type="dxa"/>
            <w:shd w:val="clear" w:color="auto" w:fill="auto"/>
            <w:vAlign w:val="center"/>
          </w:tcPr>
          <w:p w14:paraId="7490C1F6"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9845</w:t>
            </w:r>
          </w:p>
        </w:tc>
        <w:tc>
          <w:tcPr>
            <w:tcW w:w="1276" w:type="dxa"/>
            <w:shd w:val="clear" w:color="auto" w:fill="auto"/>
            <w:vAlign w:val="center"/>
          </w:tcPr>
          <w:p w14:paraId="706DEA62"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3386</w:t>
            </w:r>
          </w:p>
        </w:tc>
        <w:tc>
          <w:tcPr>
            <w:tcW w:w="1417" w:type="dxa"/>
            <w:shd w:val="clear" w:color="auto" w:fill="auto"/>
            <w:vAlign w:val="center"/>
          </w:tcPr>
          <w:p w14:paraId="43C5A0B8"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8845</w:t>
            </w:r>
          </w:p>
        </w:tc>
        <w:tc>
          <w:tcPr>
            <w:tcW w:w="1311" w:type="dxa"/>
            <w:shd w:val="clear" w:color="auto" w:fill="auto"/>
            <w:vAlign w:val="center"/>
          </w:tcPr>
          <w:p w14:paraId="0FB39B13"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1077865</w:t>
            </w:r>
          </w:p>
        </w:tc>
        <w:tc>
          <w:tcPr>
            <w:tcW w:w="1132" w:type="dxa"/>
            <w:shd w:val="clear" w:color="auto" w:fill="auto"/>
            <w:vAlign w:val="center"/>
          </w:tcPr>
          <w:p w14:paraId="7850CE6A"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20547</w:t>
            </w:r>
          </w:p>
        </w:tc>
        <w:tc>
          <w:tcPr>
            <w:tcW w:w="994" w:type="dxa"/>
            <w:shd w:val="clear" w:color="auto" w:fill="auto"/>
            <w:vAlign w:val="center"/>
          </w:tcPr>
          <w:p w14:paraId="4F0BA048"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137</w:t>
            </w:r>
          </w:p>
        </w:tc>
      </w:tr>
      <w:tr w:rsidR="001407B4" w:rsidRPr="004F5ACE" w14:paraId="0DA9AFF9" w14:textId="77777777" w:rsidTr="00913B8D">
        <w:tc>
          <w:tcPr>
            <w:tcW w:w="1418" w:type="dxa"/>
            <w:vAlign w:val="center"/>
          </w:tcPr>
          <w:p w14:paraId="7D88F949" w14:textId="77777777" w:rsidR="001407B4" w:rsidRPr="004F5ACE" w:rsidRDefault="001407B4" w:rsidP="001407B4">
            <w:pPr>
              <w:spacing w:after="0" w:line="240" w:lineRule="auto"/>
              <w:rPr>
                <w:rFonts w:ascii="Times New Roman" w:hAnsi="Times New Roman"/>
              </w:rPr>
            </w:pPr>
            <w:r>
              <w:rPr>
                <w:rFonts w:ascii="Times New Roman" w:hAnsi="Times New Roman"/>
              </w:rPr>
              <w:t>молодые семьи</w:t>
            </w:r>
          </w:p>
        </w:tc>
        <w:tc>
          <w:tcPr>
            <w:tcW w:w="1276" w:type="dxa"/>
            <w:shd w:val="clear" w:color="auto" w:fill="auto"/>
            <w:vAlign w:val="center"/>
          </w:tcPr>
          <w:p w14:paraId="0AD04EF2"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1652225</w:t>
            </w:r>
          </w:p>
        </w:tc>
        <w:tc>
          <w:tcPr>
            <w:tcW w:w="1276" w:type="dxa"/>
            <w:vAlign w:val="center"/>
          </w:tcPr>
          <w:p w14:paraId="74716344" w14:textId="77777777" w:rsidR="001407B4" w:rsidRDefault="001407B4" w:rsidP="001407B4">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vAlign w:val="center"/>
          </w:tcPr>
          <w:p w14:paraId="3CFA213D"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490</w:t>
            </w:r>
          </w:p>
        </w:tc>
        <w:tc>
          <w:tcPr>
            <w:tcW w:w="1276" w:type="dxa"/>
            <w:shd w:val="clear" w:color="auto" w:fill="auto"/>
            <w:vAlign w:val="center"/>
          </w:tcPr>
          <w:p w14:paraId="62D9EC9C"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536253</w:t>
            </w:r>
          </w:p>
        </w:tc>
        <w:tc>
          <w:tcPr>
            <w:tcW w:w="1216" w:type="dxa"/>
            <w:shd w:val="clear" w:color="auto" w:fill="auto"/>
            <w:vAlign w:val="center"/>
          </w:tcPr>
          <w:p w14:paraId="5D571980"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237" w:type="dxa"/>
            <w:shd w:val="clear" w:color="auto" w:fill="auto"/>
            <w:vAlign w:val="center"/>
          </w:tcPr>
          <w:p w14:paraId="717A34DD"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374" w:type="dxa"/>
            <w:shd w:val="clear" w:color="auto" w:fill="auto"/>
            <w:vAlign w:val="center"/>
          </w:tcPr>
          <w:p w14:paraId="784AFBAA"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276" w:type="dxa"/>
            <w:shd w:val="clear" w:color="auto" w:fill="auto"/>
            <w:vAlign w:val="center"/>
          </w:tcPr>
          <w:p w14:paraId="6FA5B2D9"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417" w:type="dxa"/>
            <w:shd w:val="clear" w:color="auto" w:fill="auto"/>
            <w:vAlign w:val="center"/>
          </w:tcPr>
          <w:p w14:paraId="42CB260B"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311" w:type="dxa"/>
            <w:shd w:val="clear" w:color="auto" w:fill="auto"/>
            <w:vAlign w:val="center"/>
          </w:tcPr>
          <w:p w14:paraId="067F4D8A"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460</w:t>
            </w:r>
          </w:p>
        </w:tc>
        <w:tc>
          <w:tcPr>
            <w:tcW w:w="1132" w:type="dxa"/>
            <w:shd w:val="clear" w:color="auto" w:fill="auto"/>
            <w:vAlign w:val="center"/>
          </w:tcPr>
          <w:p w14:paraId="5CCE5CEE"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994" w:type="dxa"/>
            <w:shd w:val="clear" w:color="auto" w:fill="auto"/>
            <w:vAlign w:val="center"/>
          </w:tcPr>
          <w:p w14:paraId="73D00055"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1115022</w:t>
            </w:r>
          </w:p>
        </w:tc>
      </w:tr>
      <w:tr w:rsidR="001407B4" w:rsidRPr="004F5ACE" w14:paraId="6751BE7E" w14:textId="77777777" w:rsidTr="00913B8D">
        <w:tc>
          <w:tcPr>
            <w:tcW w:w="1418" w:type="dxa"/>
            <w:vAlign w:val="center"/>
          </w:tcPr>
          <w:p w14:paraId="41D096EF" w14:textId="77777777" w:rsidR="001407B4" w:rsidRPr="004F5ACE" w:rsidRDefault="001407B4" w:rsidP="001407B4">
            <w:pPr>
              <w:spacing w:after="0" w:line="240" w:lineRule="auto"/>
              <w:rPr>
                <w:rFonts w:ascii="Times New Roman" w:hAnsi="Times New Roman"/>
              </w:rPr>
            </w:pPr>
            <w:r w:rsidRPr="004F5ACE">
              <w:rPr>
                <w:rFonts w:ascii="Times New Roman" w:hAnsi="Times New Roman"/>
              </w:rPr>
              <w:t>семьи с детьми</w:t>
            </w:r>
          </w:p>
        </w:tc>
        <w:tc>
          <w:tcPr>
            <w:tcW w:w="1276" w:type="dxa"/>
            <w:shd w:val="clear" w:color="auto" w:fill="auto"/>
            <w:vAlign w:val="center"/>
          </w:tcPr>
          <w:p w14:paraId="7A3B207E"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11438041</w:t>
            </w:r>
          </w:p>
        </w:tc>
        <w:tc>
          <w:tcPr>
            <w:tcW w:w="1276" w:type="dxa"/>
            <w:vAlign w:val="center"/>
          </w:tcPr>
          <w:p w14:paraId="495A8187" w14:textId="77777777" w:rsidR="001407B4" w:rsidRPr="004F5ACE" w:rsidRDefault="001407B4" w:rsidP="001407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shd w:val="clear" w:color="auto" w:fill="auto"/>
            <w:vAlign w:val="center"/>
          </w:tcPr>
          <w:p w14:paraId="3027E658"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2196718</w:t>
            </w:r>
          </w:p>
        </w:tc>
        <w:tc>
          <w:tcPr>
            <w:tcW w:w="1276" w:type="dxa"/>
            <w:shd w:val="clear" w:color="auto" w:fill="auto"/>
            <w:vAlign w:val="center"/>
          </w:tcPr>
          <w:p w14:paraId="05BC90B2"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247082</w:t>
            </w:r>
          </w:p>
        </w:tc>
        <w:tc>
          <w:tcPr>
            <w:tcW w:w="1216" w:type="dxa"/>
            <w:shd w:val="clear" w:color="auto" w:fill="auto"/>
            <w:vAlign w:val="center"/>
          </w:tcPr>
          <w:p w14:paraId="2E079E29"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3670</w:t>
            </w:r>
          </w:p>
        </w:tc>
        <w:tc>
          <w:tcPr>
            <w:tcW w:w="1237" w:type="dxa"/>
            <w:shd w:val="clear" w:color="auto" w:fill="auto"/>
            <w:vAlign w:val="center"/>
          </w:tcPr>
          <w:p w14:paraId="754B45C9"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374" w:type="dxa"/>
            <w:shd w:val="clear" w:color="auto" w:fill="auto"/>
            <w:vAlign w:val="center"/>
          </w:tcPr>
          <w:p w14:paraId="63C12761"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2714909</w:t>
            </w:r>
          </w:p>
        </w:tc>
        <w:tc>
          <w:tcPr>
            <w:tcW w:w="1276" w:type="dxa"/>
            <w:shd w:val="clear" w:color="auto" w:fill="auto"/>
            <w:vAlign w:val="center"/>
          </w:tcPr>
          <w:p w14:paraId="04109BB8"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95625</w:t>
            </w:r>
          </w:p>
        </w:tc>
        <w:tc>
          <w:tcPr>
            <w:tcW w:w="1417" w:type="dxa"/>
            <w:shd w:val="clear" w:color="auto" w:fill="auto"/>
            <w:vAlign w:val="center"/>
          </w:tcPr>
          <w:p w14:paraId="0C328F67"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290064</w:t>
            </w:r>
          </w:p>
        </w:tc>
        <w:tc>
          <w:tcPr>
            <w:tcW w:w="1311" w:type="dxa"/>
            <w:shd w:val="clear" w:color="auto" w:fill="auto"/>
            <w:vAlign w:val="center"/>
          </w:tcPr>
          <w:p w14:paraId="0AB426AE"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3092349</w:t>
            </w:r>
          </w:p>
        </w:tc>
        <w:tc>
          <w:tcPr>
            <w:tcW w:w="1132" w:type="dxa"/>
            <w:shd w:val="clear" w:color="auto" w:fill="auto"/>
            <w:vAlign w:val="center"/>
          </w:tcPr>
          <w:p w14:paraId="3C3CA6E5"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641601</w:t>
            </w:r>
          </w:p>
        </w:tc>
        <w:tc>
          <w:tcPr>
            <w:tcW w:w="994" w:type="dxa"/>
            <w:shd w:val="clear" w:color="auto" w:fill="auto"/>
            <w:vAlign w:val="center"/>
          </w:tcPr>
          <w:p w14:paraId="7DDB762E"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2156023</w:t>
            </w:r>
          </w:p>
        </w:tc>
      </w:tr>
      <w:tr w:rsidR="001407B4" w:rsidRPr="004F5ACE" w14:paraId="2BED04A0" w14:textId="77777777" w:rsidTr="00913B8D">
        <w:tc>
          <w:tcPr>
            <w:tcW w:w="1418" w:type="dxa"/>
            <w:vAlign w:val="center"/>
          </w:tcPr>
          <w:p w14:paraId="4605C44F" w14:textId="77777777" w:rsidR="001407B4" w:rsidRPr="004F5ACE" w:rsidRDefault="001407B4" w:rsidP="001407B4">
            <w:pPr>
              <w:spacing w:after="0" w:line="240" w:lineRule="auto"/>
              <w:ind w:firstLine="170"/>
              <w:rPr>
                <w:rFonts w:ascii="Times New Roman" w:hAnsi="Times New Roman"/>
                <w:lang w:val="en-US"/>
              </w:rPr>
            </w:pPr>
            <w:r w:rsidRPr="004F5ACE">
              <w:rPr>
                <w:rFonts w:ascii="Times New Roman" w:hAnsi="Times New Roman"/>
              </w:rPr>
              <w:t xml:space="preserve">из них:   </w:t>
            </w:r>
          </w:p>
          <w:p w14:paraId="6648F10D" w14:textId="77777777" w:rsidR="001407B4" w:rsidRPr="004F5ACE" w:rsidRDefault="001407B4" w:rsidP="001407B4">
            <w:pPr>
              <w:spacing w:after="0" w:line="240" w:lineRule="auto"/>
              <w:ind w:firstLine="170"/>
              <w:rPr>
                <w:rFonts w:ascii="Times New Roman" w:hAnsi="Times New Roman"/>
              </w:rPr>
            </w:pPr>
            <w:r w:rsidRPr="004F5ACE">
              <w:rPr>
                <w:rFonts w:ascii="Times New Roman" w:hAnsi="Times New Roman"/>
              </w:rPr>
              <w:t>малоимущие</w:t>
            </w:r>
          </w:p>
        </w:tc>
        <w:tc>
          <w:tcPr>
            <w:tcW w:w="1276" w:type="dxa"/>
            <w:shd w:val="clear" w:color="auto" w:fill="auto"/>
            <w:vAlign w:val="center"/>
          </w:tcPr>
          <w:p w14:paraId="17545E36"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2478025</w:t>
            </w:r>
          </w:p>
        </w:tc>
        <w:tc>
          <w:tcPr>
            <w:tcW w:w="1276" w:type="dxa"/>
            <w:vAlign w:val="center"/>
          </w:tcPr>
          <w:p w14:paraId="1AAEF2F8" w14:textId="77777777" w:rsidR="001407B4" w:rsidRPr="004F5ACE" w:rsidRDefault="001407B4" w:rsidP="001407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shd w:val="clear" w:color="auto" w:fill="auto"/>
            <w:vAlign w:val="center"/>
          </w:tcPr>
          <w:p w14:paraId="44ABD428"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w:t>
            </w:r>
          </w:p>
        </w:tc>
        <w:tc>
          <w:tcPr>
            <w:tcW w:w="1276" w:type="dxa"/>
            <w:shd w:val="clear" w:color="auto" w:fill="auto"/>
            <w:vAlign w:val="center"/>
          </w:tcPr>
          <w:p w14:paraId="0EF6E7FD"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36545</w:t>
            </w:r>
          </w:p>
        </w:tc>
        <w:tc>
          <w:tcPr>
            <w:tcW w:w="1216" w:type="dxa"/>
            <w:shd w:val="clear" w:color="auto" w:fill="auto"/>
            <w:vAlign w:val="center"/>
          </w:tcPr>
          <w:p w14:paraId="312E8624"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2639</w:t>
            </w:r>
          </w:p>
        </w:tc>
        <w:tc>
          <w:tcPr>
            <w:tcW w:w="1237" w:type="dxa"/>
            <w:shd w:val="clear" w:color="auto" w:fill="auto"/>
            <w:vAlign w:val="center"/>
          </w:tcPr>
          <w:p w14:paraId="60DCD384"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374" w:type="dxa"/>
            <w:shd w:val="clear" w:color="auto" w:fill="auto"/>
            <w:vAlign w:val="center"/>
          </w:tcPr>
          <w:p w14:paraId="12AB50E3"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39438</w:t>
            </w:r>
          </w:p>
        </w:tc>
        <w:tc>
          <w:tcPr>
            <w:tcW w:w="1276" w:type="dxa"/>
            <w:shd w:val="clear" w:color="auto" w:fill="auto"/>
            <w:vAlign w:val="center"/>
          </w:tcPr>
          <w:p w14:paraId="514AD773"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1562</w:t>
            </w:r>
          </w:p>
        </w:tc>
        <w:tc>
          <w:tcPr>
            <w:tcW w:w="1417" w:type="dxa"/>
            <w:shd w:val="clear" w:color="auto" w:fill="auto"/>
            <w:vAlign w:val="center"/>
          </w:tcPr>
          <w:p w14:paraId="3F383F74"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9431</w:t>
            </w:r>
          </w:p>
        </w:tc>
        <w:tc>
          <w:tcPr>
            <w:tcW w:w="1311" w:type="dxa"/>
            <w:shd w:val="clear" w:color="auto" w:fill="auto"/>
            <w:vAlign w:val="center"/>
          </w:tcPr>
          <w:p w14:paraId="6BE71576"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2081071</w:t>
            </w:r>
          </w:p>
        </w:tc>
        <w:tc>
          <w:tcPr>
            <w:tcW w:w="1132" w:type="dxa"/>
            <w:shd w:val="clear" w:color="auto" w:fill="auto"/>
            <w:vAlign w:val="center"/>
          </w:tcPr>
          <w:p w14:paraId="1B2F4548"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154836</w:t>
            </w:r>
          </w:p>
        </w:tc>
        <w:tc>
          <w:tcPr>
            <w:tcW w:w="994" w:type="dxa"/>
            <w:shd w:val="clear" w:color="auto" w:fill="auto"/>
            <w:vAlign w:val="center"/>
          </w:tcPr>
          <w:p w14:paraId="7F81A6E8" w14:textId="77777777" w:rsidR="001407B4" w:rsidRPr="00D5564D" w:rsidRDefault="001407B4" w:rsidP="001407B4">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152499</w:t>
            </w:r>
          </w:p>
        </w:tc>
      </w:tr>
    </w:tbl>
    <w:p w14:paraId="3ED728CB" w14:textId="77777777" w:rsidR="0009498F" w:rsidRDefault="0009498F" w:rsidP="0009498F">
      <w:pPr>
        <w:spacing w:after="0" w:line="240" w:lineRule="auto"/>
        <w:jc w:val="both"/>
        <w:rPr>
          <w:rFonts w:ascii="Times New Roman" w:eastAsia="Times New Roman" w:hAnsi="Times New Roman" w:cs="Times New Roman"/>
          <w:sz w:val="20"/>
          <w:szCs w:val="20"/>
          <w:highlight w:val="yellow"/>
          <w:lang w:eastAsia="ru-RU"/>
        </w:rPr>
      </w:pPr>
    </w:p>
    <w:p w14:paraId="5F44D633" w14:textId="77777777" w:rsidR="0009498F" w:rsidRDefault="0009498F" w:rsidP="0009498F">
      <w:pPr>
        <w:spacing w:after="0" w:line="240" w:lineRule="auto"/>
        <w:jc w:val="both"/>
        <w:rPr>
          <w:rFonts w:ascii="Times New Roman" w:eastAsia="Times New Roman" w:hAnsi="Times New Roman" w:cs="Times New Roman"/>
          <w:sz w:val="20"/>
          <w:szCs w:val="20"/>
          <w:highlight w:val="yellow"/>
          <w:lang w:eastAsia="ru-RU"/>
        </w:rPr>
        <w:sectPr w:rsidR="0009498F" w:rsidSect="001903A7">
          <w:pgSz w:w="16838" w:h="11906" w:orient="landscape"/>
          <w:pgMar w:top="851" w:right="1134" w:bottom="567" w:left="426" w:header="709" w:footer="709" w:gutter="0"/>
          <w:cols w:space="708"/>
          <w:docGrid w:linePitch="360"/>
        </w:sectPr>
      </w:pPr>
    </w:p>
    <w:p w14:paraId="6EDA564A" w14:textId="77777777" w:rsidR="0009498F" w:rsidRPr="009B235E" w:rsidRDefault="0009498F" w:rsidP="0009498F">
      <w:pPr>
        <w:spacing w:after="0" w:line="240" w:lineRule="auto"/>
        <w:ind w:firstLine="284"/>
        <w:jc w:val="right"/>
        <w:rPr>
          <w:rFonts w:ascii="Times New Roman" w:eastAsia="Times New Roman" w:hAnsi="Times New Roman" w:cs="Times New Roman"/>
          <w:sz w:val="26"/>
          <w:szCs w:val="26"/>
          <w:lang w:eastAsia="ru-RU"/>
        </w:rPr>
      </w:pPr>
      <w:r w:rsidRPr="009B235E">
        <w:rPr>
          <w:rFonts w:ascii="Times New Roman" w:eastAsia="Times New Roman" w:hAnsi="Times New Roman" w:cs="Times New Roman"/>
          <w:sz w:val="26"/>
          <w:szCs w:val="26"/>
          <w:lang w:eastAsia="ru-RU"/>
        </w:rPr>
        <w:t>Таблица 6</w:t>
      </w:r>
      <w:r w:rsidR="009E6765">
        <w:rPr>
          <w:rFonts w:ascii="Times New Roman" w:eastAsia="Times New Roman" w:hAnsi="Times New Roman" w:cs="Times New Roman"/>
          <w:sz w:val="26"/>
          <w:szCs w:val="26"/>
          <w:lang w:eastAsia="ru-RU"/>
        </w:rPr>
        <w:t>6</w:t>
      </w:r>
    </w:p>
    <w:p w14:paraId="492D4713" w14:textId="77777777" w:rsidR="0009498F" w:rsidRPr="009B235E" w:rsidRDefault="0009498F" w:rsidP="0009498F">
      <w:pPr>
        <w:spacing w:after="0" w:line="240" w:lineRule="auto"/>
        <w:ind w:firstLine="284"/>
        <w:jc w:val="right"/>
        <w:rPr>
          <w:rFonts w:ascii="Times New Roman" w:eastAsia="Times New Roman" w:hAnsi="Times New Roman" w:cs="Times New Roman"/>
          <w:sz w:val="26"/>
          <w:szCs w:val="26"/>
          <w:lang w:eastAsia="ru-RU"/>
        </w:rPr>
      </w:pPr>
    </w:p>
    <w:p w14:paraId="690C76D9" w14:textId="77777777" w:rsidR="0009498F" w:rsidRPr="009B235E" w:rsidRDefault="0009498F" w:rsidP="0009498F">
      <w:pPr>
        <w:spacing w:after="0" w:line="240" w:lineRule="auto"/>
        <w:ind w:firstLine="284"/>
        <w:jc w:val="center"/>
        <w:rPr>
          <w:rFonts w:ascii="Times New Roman" w:eastAsia="Times New Roman" w:hAnsi="Times New Roman" w:cs="Times New Roman"/>
          <w:b/>
          <w:sz w:val="26"/>
          <w:szCs w:val="26"/>
          <w:vertAlign w:val="superscript"/>
          <w:lang w:eastAsia="ru-RU"/>
        </w:rPr>
      </w:pPr>
      <w:r w:rsidRPr="009B235E">
        <w:rPr>
          <w:rFonts w:ascii="Times New Roman" w:eastAsia="Times New Roman" w:hAnsi="Times New Roman" w:cs="Times New Roman"/>
          <w:b/>
          <w:sz w:val="26"/>
          <w:szCs w:val="26"/>
          <w:lang w:eastAsia="ru-RU"/>
        </w:rPr>
        <w:t>Расходы консолидированных бюджетов субъектов Российской Федерации в натуральной и денежной формах на реализацию мер социальной поддержки детей и семей с детьми по субъектам Российской Федерации в 20</w:t>
      </w:r>
      <w:r>
        <w:rPr>
          <w:rFonts w:ascii="Times New Roman" w:eastAsia="Times New Roman" w:hAnsi="Times New Roman" w:cs="Times New Roman"/>
          <w:b/>
          <w:sz w:val="26"/>
          <w:szCs w:val="26"/>
          <w:lang w:eastAsia="ru-RU"/>
        </w:rPr>
        <w:t>20</w:t>
      </w:r>
      <w:r w:rsidRPr="009B235E">
        <w:rPr>
          <w:rFonts w:ascii="Times New Roman" w:eastAsia="Times New Roman" w:hAnsi="Times New Roman" w:cs="Times New Roman"/>
          <w:b/>
          <w:sz w:val="26"/>
          <w:szCs w:val="26"/>
          <w:lang w:eastAsia="ru-RU"/>
        </w:rPr>
        <w:t xml:space="preserve"> году</w:t>
      </w:r>
      <w:r w:rsidRPr="009B235E">
        <w:rPr>
          <w:rFonts w:ascii="Times New Roman" w:eastAsia="Times New Roman" w:hAnsi="Times New Roman" w:cs="Times New Roman"/>
          <w:b/>
          <w:sz w:val="26"/>
          <w:szCs w:val="26"/>
          <w:vertAlign w:val="superscript"/>
          <w:lang w:eastAsia="ru-RU"/>
        </w:rPr>
        <w:t>1)</w:t>
      </w:r>
    </w:p>
    <w:p w14:paraId="1E383F98" w14:textId="77777777" w:rsidR="0009498F" w:rsidRPr="009B235E" w:rsidRDefault="0009498F" w:rsidP="0009498F">
      <w:pPr>
        <w:spacing w:after="0" w:line="240" w:lineRule="auto"/>
        <w:ind w:firstLine="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(млн</w:t>
      </w:r>
      <w:r w:rsidRPr="009B235E">
        <w:rPr>
          <w:rFonts w:ascii="Times New Roman" w:eastAsia="Times New Roman" w:hAnsi="Times New Roman" w:cs="Times New Roman"/>
          <w:sz w:val="24"/>
          <w:szCs w:val="24"/>
          <w:lang w:eastAsia="ru-RU"/>
        </w:rPr>
        <w:t xml:space="preserve"> рублей)</w:t>
      </w:r>
    </w:p>
    <w:p w14:paraId="6EEC7F1C" w14:textId="77777777" w:rsidR="0009498F" w:rsidRPr="009B235E" w:rsidRDefault="0009498F" w:rsidP="0009498F">
      <w:pPr>
        <w:spacing w:after="0" w:line="240" w:lineRule="auto"/>
        <w:ind w:firstLine="284"/>
        <w:jc w:val="center"/>
        <w:rPr>
          <w:rFonts w:ascii="Times New Roman" w:eastAsia="Times New Roman" w:hAnsi="Times New Roman" w:cs="Times New Roman"/>
          <w:sz w:val="24"/>
          <w:szCs w:val="24"/>
          <w:lang w:eastAsia="ru-RU"/>
        </w:rPr>
      </w:pPr>
    </w:p>
    <w:tbl>
      <w:tblPr>
        <w:tblW w:w="159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1250"/>
        <w:gridCol w:w="1392"/>
        <w:gridCol w:w="1159"/>
        <w:gridCol w:w="1019"/>
        <w:gridCol w:w="992"/>
        <w:gridCol w:w="1161"/>
        <w:gridCol w:w="1134"/>
        <w:gridCol w:w="1328"/>
        <w:gridCol w:w="1418"/>
        <w:gridCol w:w="1364"/>
      </w:tblGrid>
      <w:tr w:rsidR="002B61BC" w:rsidRPr="009B235E" w14:paraId="37E7572D" w14:textId="77777777" w:rsidTr="002B61BC">
        <w:trPr>
          <w:tblHeader/>
        </w:trPr>
        <w:tc>
          <w:tcPr>
            <w:tcW w:w="2552" w:type="dxa"/>
            <w:vMerge w:val="restart"/>
          </w:tcPr>
          <w:p w14:paraId="01D54DA9" w14:textId="77777777" w:rsidR="002B61BC" w:rsidRPr="009B235E" w:rsidRDefault="002B61BC" w:rsidP="00917E61">
            <w:pPr>
              <w:spacing w:after="0" w:line="240" w:lineRule="auto"/>
              <w:jc w:val="center"/>
              <w:rPr>
                <w:rFonts w:ascii="Times New Roman" w:eastAsia="Times New Roman" w:hAnsi="Times New Roman" w:cs="Times New Roman"/>
                <w:sz w:val="24"/>
                <w:szCs w:val="24"/>
                <w:lang w:eastAsia="ru-RU"/>
              </w:rPr>
            </w:pPr>
          </w:p>
        </w:tc>
        <w:tc>
          <w:tcPr>
            <w:tcW w:w="1134" w:type="dxa"/>
            <w:vMerge w:val="restart"/>
          </w:tcPr>
          <w:p w14:paraId="6F1102DD" w14:textId="77777777" w:rsidR="002B61BC" w:rsidRPr="009B235E" w:rsidRDefault="002B61BC" w:rsidP="00917E61">
            <w:pPr>
              <w:spacing w:after="0" w:line="240" w:lineRule="auto"/>
              <w:jc w:val="center"/>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Дети-</w:t>
            </w:r>
            <w:proofErr w:type="spellStart"/>
            <w:r w:rsidRPr="009B235E">
              <w:rPr>
                <w:rFonts w:ascii="Times New Roman" w:eastAsia="Times New Roman" w:hAnsi="Times New Roman" w:cs="Times New Roman"/>
                <w:sz w:val="24"/>
                <w:szCs w:val="24"/>
                <w:lang w:eastAsia="ru-RU"/>
              </w:rPr>
              <w:t>инвали</w:t>
            </w:r>
            <w:proofErr w:type="spellEnd"/>
            <w:r>
              <w:rPr>
                <w:rFonts w:ascii="Times New Roman" w:eastAsia="Times New Roman" w:hAnsi="Times New Roman" w:cs="Times New Roman"/>
                <w:sz w:val="24"/>
                <w:szCs w:val="24"/>
                <w:lang w:eastAsia="ru-RU"/>
              </w:rPr>
              <w:t>-</w:t>
            </w:r>
            <w:proofErr w:type="spellStart"/>
            <w:r w:rsidRPr="009B235E">
              <w:rPr>
                <w:rFonts w:ascii="Times New Roman" w:eastAsia="Times New Roman" w:hAnsi="Times New Roman" w:cs="Times New Roman"/>
                <w:sz w:val="24"/>
                <w:szCs w:val="24"/>
                <w:lang w:eastAsia="ru-RU"/>
              </w:rPr>
              <w:t>ды</w:t>
            </w:r>
            <w:proofErr w:type="spellEnd"/>
          </w:p>
        </w:tc>
        <w:tc>
          <w:tcPr>
            <w:tcW w:w="1250" w:type="dxa"/>
            <w:vMerge w:val="restart"/>
          </w:tcPr>
          <w:p w14:paraId="7AA7DA82" w14:textId="77777777" w:rsidR="002B61BC" w:rsidRPr="002B61BC" w:rsidRDefault="002B61BC" w:rsidP="00917E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Дети из </w:t>
            </w:r>
            <w:proofErr w:type="spellStart"/>
            <w:r>
              <w:rPr>
                <w:rFonts w:ascii="Times New Roman" w:eastAsia="Times New Roman" w:hAnsi="Times New Roman" w:cs="Times New Roman"/>
                <w:sz w:val="24"/>
                <w:szCs w:val="24"/>
                <w:lang w:eastAsia="ru-RU"/>
              </w:rPr>
              <w:t>отде</w:t>
            </w:r>
            <w:r w:rsidRPr="002B61BC">
              <w:rPr>
                <w:rFonts w:ascii="Times New Roman" w:eastAsia="Times New Roman" w:hAnsi="Times New Roman" w:cs="Times New Roman"/>
                <w:sz w:val="24"/>
                <w:szCs w:val="24"/>
                <w:lang w:eastAsia="ru-RU"/>
              </w:rPr>
              <w:t>ль</w:t>
            </w:r>
            <w:r>
              <w:rPr>
                <w:rFonts w:ascii="Times New Roman" w:eastAsia="Times New Roman" w:hAnsi="Times New Roman" w:cs="Times New Roman"/>
                <w:sz w:val="24"/>
                <w:szCs w:val="24"/>
                <w:lang w:eastAsia="ru-RU"/>
              </w:rPr>
              <w:t>-</w:t>
            </w:r>
            <w:r w:rsidRPr="002B61BC">
              <w:rPr>
                <w:rFonts w:ascii="Times New Roman" w:eastAsia="Times New Roman" w:hAnsi="Times New Roman" w:cs="Times New Roman"/>
                <w:sz w:val="24"/>
                <w:szCs w:val="24"/>
                <w:lang w:eastAsia="ru-RU"/>
              </w:rPr>
              <w:t>ных</w:t>
            </w:r>
            <w:proofErr w:type="spellEnd"/>
            <w:r>
              <w:rPr>
                <w:rFonts w:ascii="Times New Roman" w:eastAsia="Times New Roman" w:hAnsi="Times New Roman" w:cs="Times New Roman"/>
                <w:sz w:val="24"/>
                <w:szCs w:val="24"/>
                <w:lang w:eastAsia="ru-RU"/>
              </w:rPr>
              <w:t xml:space="preserve"> категорий семей</w:t>
            </w:r>
          </w:p>
        </w:tc>
        <w:tc>
          <w:tcPr>
            <w:tcW w:w="1392" w:type="dxa"/>
            <w:vMerge w:val="restart"/>
          </w:tcPr>
          <w:p w14:paraId="1476B8AC" w14:textId="77777777" w:rsidR="002B61BC" w:rsidRPr="009B235E" w:rsidRDefault="002B61BC" w:rsidP="00917E61">
            <w:pPr>
              <w:spacing w:after="0" w:line="240" w:lineRule="auto"/>
              <w:jc w:val="center"/>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 xml:space="preserve">Дети-сироты и дети, </w:t>
            </w:r>
            <w:proofErr w:type="spellStart"/>
            <w:r w:rsidRPr="009B235E">
              <w:rPr>
                <w:rFonts w:ascii="Times New Roman" w:eastAsia="Times New Roman" w:hAnsi="Times New Roman" w:cs="Times New Roman"/>
                <w:sz w:val="24"/>
                <w:szCs w:val="24"/>
                <w:lang w:eastAsia="ru-RU"/>
              </w:rPr>
              <w:t>остав-ши</w:t>
            </w:r>
            <w:r>
              <w:rPr>
                <w:rFonts w:ascii="Times New Roman" w:eastAsia="Times New Roman" w:hAnsi="Times New Roman" w:cs="Times New Roman"/>
                <w:sz w:val="24"/>
                <w:szCs w:val="24"/>
                <w:lang w:eastAsia="ru-RU"/>
              </w:rPr>
              <w:t>еся</w:t>
            </w:r>
            <w:proofErr w:type="spellEnd"/>
            <w:r>
              <w:rPr>
                <w:rFonts w:ascii="Times New Roman" w:eastAsia="Times New Roman" w:hAnsi="Times New Roman" w:cs="Times New Roman"/>
                <w:sz w:val="24"/>
                <w:szCs w:val="24"/>
                <w:lang w:eastAsia="ru-RU"/>
              </w:rPr>
              <w:t xml:space="preserve"> без попече</w:t>
            </w:r>
            <w:r w:rsidRPr="009B235E">
              <w:rPr>
                <w:rFonts w:ascii="Times New Roman" w:eastAsia="Times New Roman" w:hAnsi="Times New Roman" w:cs="Times New Roman"/>
                <w:sz w:val="24"/>
                <w:szCs w:val="24"/>
                <w:lang w:eastAsia="ru-RU"/>
              </w:rPr>
              <w:t>ния родителей</w:t>
            </w:r>
          </w:p>
        </w:tc>
        <w:tc>
          <w:tcPr>
            <w:tcW w:w="1159" w:type="dxa"/>
            <w:vMerge w:val="restart"/>
          </w:tcPr>
          <w:p w14:paraId="2997534F" w14:textId="77777777" w:rsidR="002B61BC" w:rsidRPr="009B235E" w:rsidRDefault="002B61BC" w:rsidP="00917E61">
            <w:pPr>
              <w:spacing w:after="0" w:line="240" w:lineRule="auto"/>
              <w:jc w:val="center"/>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Студен</w:t>
            </w:r>
            <w:r>
              <w:rPr>
                <w:rFonts w:ascii="Times New Roman" w:eastAsia="Times New Roman" w:hAnsi="Times New Roman" w:cs="Times New Roman"/>
                <w:sz w:val="24"/>
                <w:szCs w:val="24"/>
                <w:lang w:eastAsia="ru-RU"/>
              </w:rPr>
              <w:t>-</w:t>
            </w:r>
            <w:r w:rsidRPr="009B235E">
              <w:rPr>
                <w:rFonts w:ascii="Times New Roman" w:eastAsia="Times New Roman" w:hAnsi="Times New Roman" w:cs="Times New Roman"/>
                <w:sz w:val="24"/>
                <w:szCs w:val="24"/>
                <w:lang w:eastAsia="ru-RU"/>
              </w:rPr>
              <w:t>ты, учащие</w:t>
            </w:r>
            <w:r>
              <w:rPr>
                <w:rFonts w:ascii="Times New Roman" w:eastAsia="Times New Roman" w:hAnsi="Times New Roman" w:cs="Times New Roman"/>
                <w:sz w:val="24"/>
                <w:szCs w:val="24"/>
                <w:lang w:eastAsia="ru-RU"/>
              </w:rPr>
              <w:t>-</w:t>
            </w:r>
            <w:proofErr w:type="spellStart"/>
            <w:r w:rsidRPr="009B235E">
              <w:rPr>
                <w:rFonts w:ascii="Times New Roman" w:eastAsia="Times New Roman" w:hAnsi="Times New Roman" w:cs="Times New Roman"/>
                <w:sz w:val="24"/>
                <w:szCs w:val="24"/>
                <w:lang w:eastAsia="ru-RU"/>
              </w:rPr>
              <w:t>ся</w:t>
            </w:r>
            <w:proofErr w:type="spellEnd"/>
            <w:r w:rsidRPr="009B235E">
              <w:rPr>
                <w:rFonts w:ascii="Times New Roman" w:eastAsia="Times New Roman" w:hAnsi="Times New Roman" w:cs="Times New Roman"/>
                <w:sz w:val="24"/>
                <w:szCs w:val="24"/>
                <w:lang w:eastAsia="ru-RU"/>
              </w:rPr>
              <w:t>, школьники</w:t>
            </w:r>
          </w:p>
        </w:tc>
        <w:tc>
          <w:tcPr>
            <w:tcW w:w="1019" w:type="dxa"/>
            <w:vMerge w:val="restart"/>
          </w:tcPr>
          <w:p w14:paraId="2D63D9B6" w14:textId="77777777" w:rsidR="002B61BC" w:rsidRPr="009B235E" w:rsidRDefault="002B61BC" w:rsidP="00917E61">
            <w:pPr>
              <w:spacing w:after="0" w:line="240" w:lineRule="auto"/>
              <w:jc w:val="center"/>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Беремен-</w:t>
            </w:r>
            <w:proofErr w:type="spellStart"/>
            <w:r w:rsidRPr="009B235E">
              <w:rPr>
                <w:rFonts w:ascii="Times New Roman" w:eastAsia="Times New Roman" w:hAnsi="Times New Roman" w:cs="Times New Roman"/>
                <w:sz w:val="24"/>
                <w:szCs w:val="24"/>
                <w:lang w:eastAsia="ru-RU"/>
              </w:rPr>
              <w:t>ные</w:t>
            </w:r>
            <w:proofErr w:type="spellEnd"/>
            <w:r w:rsidRPr="009B235E">
              <w:rPr>
                <w:rFonts w:ascii="Times New Roman" w:eastAsia="Times New Roman" w:hAnsi="Times New Roman" w:cs="Times New Roman"/>
                <w:sz w:val="24"/>
                <w:szCs w:val="24"/>
                <w:lang w:eastAsia="ru-RU"/>
              </w:rPr>
              <w:t xml:space="preserve"> женщины и кормящие матери</w:t>
            </w:r>
          </w:p>
        </w:tc>
        <w:tc>
          <w:tcPr>
            <w:tcW w:w="992" w:type="dxa"/>
            <w:vMerge w:val="restart"/>
          </w:tcPr>
          <w:p w14:paraId="6AA3F70D" w14:textId="77777777" w:rsidR="002B61BC" w:rsidRPr="009B235E" w:rsidRDefault="002B61BC" w:rsidP="00917E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Молодые семьи</w:t>
            </w:r>
          </w:p>
        </w:tc>
        <w:tc>
          <w:tcPr>
            <w:tcW w:w="6405" w:type="dxa"/>
            <w:gridSpan w:val="5"/>
          </w:tcPr>
          <w:p w14:paraId="2F49A90E" w14:textId="77777777" w:rsidR="002B61BC" w:rsidRPr="009B235E" w:rsidRDefault="002B61BC" w:rsidP="00917E61">
            <w:pPr>
              <w:spacing w:after="0" w:line="240" w:lineRule="auto"/>
              <w:jc w:val="center"/>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Семьи с детьми</w:t>
            </w:r>
          </w:p>
        </w:tc>
      </w:tr>
      <w:tr w:rsidR="002B61BC" w:rsidRPr="009B235E" w14:paraId="70DC584A" w14:textId="77777777" w:rsidTr="002B61BC">
        <w:trPr>
          <w:tblHeader/>
        </w:trPr>
        <w:tc>
          <w:tcPr>
            <w:tcW w:w="2552" w:type="dxa"/>
            <w:vMerge/>
          </w:tcPr>
          <w:p w14:paraId="41083210" w14:textId="77777777" w:rsidR="002B61BC" w:rsidRPr="009B235E" w:rsidRDefault="002B61BC" w:rsidP="00917E61">
            <w:pPr>
              <w:spacing w:after="0" w:line="240" w:lineRule="auto"/>
              <w:jc w:val="center"/>
              <w:rPr>
                <w:rFonts w:ascii="Times New Roman" w:eastAsia="Times New Roman" w:hAnsi="Times New Roman" w:cs="Times New Roman"/>
                <w:sz w:val="24"/>
                <w:szCs w:val="24"/>
                <w:lang w:eastAsia="ru-RU"/>
              </w:rPr>
            </w:pPr>
          </w:p>
        </w:tc>
        <w:tc>
          <w:tcPr>
            <w:tcW w:w="1134" w:type="dxa"/>
            <w:vMerge/>
          </w:tcPr>
          <w:p w14:paraId="72756C0C" w14:textId="77777777" w:rsidR="002B61BC" w:rsidRPr="009B235E" w:rsidRDefault="002B61BC" w:rsidP="00917E61">
            <w:pPr>
              <w:spacing w:after="0" w:line="240" w:lineRule="auto"/>
              <w:jc w:val="center"/>
              <w:rPr>
                <w:rFonts w:ascii="Times New Roman" w:eastAsia="Times New Roman" w:hAnsi="Times New Roman" w:cs="Times New Roman"/>
                <w:sz w:val="24"/>
                <w:szCs w:val="24"/>
                <w:lang w:eastAsia="ru-RU"/>
              </w:rPr>
            </w:pPr>
          </w:p>
        </w:tc>
        <w:tc>
          <w:tcPr>
            <w:tcW w:w="1250" w:type="dxa"/>
            <w:vMerge/>
          </w:tcPr>
          <w:p w14:paraId="1DBEF934" w14:textId="77777777" w:rsidR="002B61BC" w:rsidRPr="009B235E" w:rsidRDefault="002B61BC" w:rsidP="00917E61">
            <w:pPr>
              <w:spacing w:after="0" w:line="240" w:lineRule="auto"/>
              <w:jc w:val="center"/>
              <w:rPr>
                <w:rFonts w:ascii="Times New Roman" w:eastAsia="Times New Roman" w:hAnsi="Times New Roman" w:cs="Times New Roman"/>
                <w:sz w:val="24"/>
                <w:szCs w:val="24"/>
                <w:lang w:eastAsia="ru-RU"/>
              </w:rPr>
            </w:pPr>
          </w:p>
        </w:tc>
        <w:tc>
          <w:tcPr>
            <w:tcW w:w="1392" w:type="dxa"/>
            <w:vMerge/>
          </w:tcPr>
          <w:p w14:paraId="426B08A5" w14:textId="77777777" w:rsidR="002B61BC" w:rsidRPr="009B235E" w:rsidRDefault="002B61BC" w:rsidP="00917E61">
            <w:pPr>
              <w:spacing w:after="0" w:line="240" w:lineRule="auto"/>
              <w:jc w:val="center"/>
              <w:rPr>
                <w:rFonts w:ascii="Times New Roman" w:eastAsia="Times New Roman" w:hAnsi="Times New Roman" w:cs="Times New Roman"/>
                <w:sz w:val="24"/>
                <w:szCs w:val="24"/>
                <w:lang w:eastAsia="ru-RU"/>
              </w:rPr>
            </w:pPr>
          </w:p>
        </w:tc>
        <w:tc>
          <w:tcPr>
            <w:tcW w:w="1159" w:type="dxa"/>
            <w:vMerge/>
          </w:tcPr>
          <w:p w14:paraId="1F378A18" w14:textId="77777777" w:rsidR="002B61BC" w:rsidRPr="009B235E" w:rsidRDefault="002B61BC" w:rsidP="00917E61">
            <w:pPr>
              <w:spacing w:after="0" w:line="240" w:lineRule="auto"/>
              <w:jc w:val="center"/>
              <w:rPr>
                <w:rFonts w:ascii="Times New Roman" w:eastAsia="Times New Roman" w:hAnsi="Times New Roman" w:cs="Times New Roman"/>
                <w:sz w:val="24"/>
                <w:szCs w:val="24"/>
                <w:lang w:eastAsia="ru-RU"/>
              </w:rPr>
            </w:pPr>
          </w:p>
        </w:tc>
        <w:tc>
          <w:tcPr>
            <w:tcW w:w="1019" w:type="dxa"/>
            <w:vMerge/>
          </w:tcPr>
          <w:p w14:paraId="30B980A1" w14:textId="77777777" w:rsidR="002B61BC" w:rsidRPr="009B235E" w:rsidRDefault="002B61BC" w:rsidP="00917E61">
            <w:pPr>
              <w:spacing w:after="0" w:line="240" w:lineRule="auto"/>
              <w:jc w:val="center"/>
              <w:rPr>
                <w:rFonts w:ascii="Times New Roman" w:eastAsia="Times New Roman" w:hAnsi="Times New Roman" w:cs="Times New Roman"/>
                <w:sz w:val="24"/>
                <w:szCs w:val="24"/>
                <w:lang w:eastAsia="ru-RU"/>
              </w:rPr>
            </w:pPr>
          </w:p>
        </w:tc>
        <w:tc>
          <w:tcPr>
            <w:tcW w:w="992" w:type="dxa"/>
            <w:vMerge/>
          </w:tcPr>
          <w:p w14:paraId="57886605" w14:textId="77777777" w:rsidR="002B61BC" w:rsidRPr="009B235E" w:rsidRDefault="002B61BC" w:rsidP="00917E61">
            <w:pPr>
              <w:spacing w:after="0" w:line="240" w:lineRule="auto"/>
              <w:jc w:val="center"/>
              <w:rPr>
                <w:rFonts w:ascii="Times New Roman" w:eastAsia="Times New Roman" w:hAnsi="Times New Roman" w:cs="Times New Roman"/>
                <w:sz w:val="24"/>
                <w:szCs w:val="24"/>
                <w:lang w:eastAsia="ru-RU"/>
              </w:rPr>
            </w:pPr>
          </w:p>
        </w:tc>
        <w:tc>
          <w:tcPr>
            <w:tcW w:w="1161" w:type="dxa"/>
            <w:vMerge w:val="restart"/>
          </w:tcPr>
          <w:p w14:paraId="26BEBD3D" w14:textId="77777777" w:rsidR="002B61BC" w:rsidRPr="009B235E" w:rsidRDefault="002B61BC" w:rsidP="00917E61">
            <w:pPr>
              <w:spacing w:after="0" w:line="240" w:lineRule="auto"/>
              <w:jc w:val="center"/>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всего</w:t>
            </w:r>
          </w:p>
        </w:tc>
        <w:tc>
          <w:tcPr>
            <w:tcW w:w="5244" w:type="dxa"/>
            <w:gridSpan w:val="4"/>
          </w:tcPr>
          <w:p w14:paraId="7E6E8474" w14:textId="77777777" w:rsidR="002B61BC" w:rsidRPr="009B235E" w:rsidRDefault="002B61BC" w:rsidP="00917E61">
            <w:pPr>
              <w:spacing w:after="0" w:line="240" w:lineRule="auto"/>
              <w:jc w:val="center"/>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из них:</w:t>
            </w:r>
          </w:p>
        </w:tc>
      </w:tr>
      <w:tr w:rsidR="002B61BC" w:rsidRPr="009B235E" w14:paraId="11C39223" w14:textId="77777777" w:rsidTr="002B61BC">
        <w:trPr>
          <w:tblHeader/>
        </w:trPr>
        <w:tc>
          <w:tcPr>
            <w:tcW w:w="2552" w:type="dxa"/>
            <w:vMerge/>
          </w:tcPr>
          <w:p w14:paraId="5033FC5A" w14:textId="77777777" w:rsidR="002B61BC" w:rsidRPr="009B235E" w:rsidRDefault="002B61BC" w:rsidP="00917E61">
            <w:pPr>
              <w:spacing w:after="0" w:line="240" w:lineRule="auto"/>
              <w:jc w:val="center"/>
              <w:rPr>
                <w:rFonts w:ascii="Times New Roman" w:eastAsia="Times New Roman" w:hAnsi="Times New Roman" w:cs="Times New Roman"/>
                <w:sz w:val="24"/>
                <w:szCs w:val="24"/>
                <w:lang w:eastAsia="ru-RU"/>
              </w:rPr>
            </w:pPr>
          </w:p>
        </w:tc>
        <w:tc>
          <w:tcPr>
            <w:tcW w:w="1134" w:type="dxa"/>
            <w:vMerge/>
          </w:tcPr>
          <w:p w14:paraId="7564F111" w14:textId="77777777" w:rsidR="002B61BC" w:rsidRPr="009B235E" w:rsidRDefault="002B61BC" w:rsidP="00917E61">
            <w:pPr>
              <w:spacing w:after="0" w:line="240" w:lineRule="auto"/>
              <w:jc w:val="center"/>
              <w:rPr>
                <w:rFonts w:ascii="Times New Roman" w:eastAsia="Times New Roman" w:hAnsi="Times New Roman" w:cs="Times New Roman"/>
                <w:sz w:val="24"/>
                <w:szCs w:val="24"/>
                <w:lang w:eastAsia="ru-RU"/>
              </w:rPr>
            </w:pPr>
          </w:p>
        </w:tc>
        <w:tc>
          <w:tcPr>
            <w:tcW w:w="1250" w:type="dxa"/>
            <w:vMerge/>
          </w:tcPr>
          <w:p w14:paraId="3C811A5A" w14:textId="77777777" w:rsidR="002B61BC" w:rsidRPr="009B235E" w:rsidRDefault="002B61BC" w:rsidP="00917E61">
            <w:pPr>
              <w:spacing w:after="0" w:line="240" w:lineRule="auto"/>
              <w:jc w:val="center"/>
              <w:rPr>
                <w:rFonts w:ascii="Times New Roman" w:eastAsia="Times New Roman" w:hAnsi="Times New Roman" w:cs="Times New Roman"/>
                <w:sz w:val="24"/>
                <w:szCs w:val="24"/>
                <w:lang w:eastAsia="ru-RU"/>
              </w:rPr>
            </w:pPr>
          </w:p>
        </w:tc>
        <w:tc>
          <w:tcPr>
            <w:tcW w:w="1392" w:type="dxa"/>
            <w:vMerge/>
          </w:tcPr>
          <w:p w14:paraId="3FDCCE3B" w14:textId="77777777" w:rsidR="002B61BC" w:rsidRPr="009B235E" w:rsidRDefault="002B61BC" w:rsidP="00917E61">
            <w:pPr>
              <w:spacing w:after="0" w:line="240" w:lineRule="auto"/>
              <w:jc w:val="center"/>
              <w:rPr>
                <w:rFonts w:ascii="Times New Roman" w:eastAsia="Times New Roman" w:hAnsi="Times New Roman" w:cs="Times New Roman"/>
                <w:sz w:val="24"/>
                <w:szCs w:val="24"/>
                <w:lang w:eastAsia="ru-RU"/>
              </w:rPr>
            </w:pPr>
          </w:p>
        </w:tc>
        <w:tc>
          <w:tcPr>
            <w:tcW w:w="1159" w:type="dxa"/>
            <w:vMerge/>
          </w:tcPr>
          <w:p w14:paraId="14E0779E" w14:textId="77777777" w:rsidR="002B61BC" w:rsidRPr="009B235E" w:rsidRDefault="002B61BC" w:rsidP="00917E61">
            <w:pPr>
              <w:spacing w:after="0" w:line="240" w:lineRule="auto"/>
              <w:jc w:val="center"/>
              <w:rPr>
                <w:rFonts w:ascii="Times New Roman" w:eastAsia="Times New Roman" w:hAnsi="Times New Roman" w:cs="Times New Roman"/>
                <w:sz w:val="24"/>
                <w:szCs w:val="24"/>
                <w:lang w:eastAsia="ru-RU"/>
              </w:rPr>
            </w:pPr>
          </w:p>
        </w:tc>
        <w:tc>
          <w:tcPr>
            <w:tcW w:w="1019" w:type="dxa"/>
            <w:vMerge/>
          </w:tcPr>
          <w:p w14:paraId="02599522" w14:textId="77777777" w:rsidR="002B61BC" w:rsidRPr="009B235E" w:rsidRDefault="002B61BC" w:rsidP="00917E61">
            <w:pPr>
              <w:spacing w:after="0" w:line="240" w:lineRule="auto"/>
              <w:jc w:val="center"/>
              <w:rPr>
                <w:rFonts w:ascii="Times New Roman" w:eastAsia="Times New Roman" w:hAnsi="Times New Roman" w:cs="Times New Roman"/>
                <w:sz w:val="24"/>
                <w:szCs w:val="24"/>
                <w:lang w:eastAsia="ru-RU"/>
              </w:rPr>
            </w:pPr>
          </w:p>
        </w:tc>
        <w:tc>
          <w:tcPr>
            <w:tcW w:w="992" w:type="dxa"/>
            <w:vMerge/>
          </w:tcPr>
          <w:p w14:paraId="41BAFDB0" w14:textId="77777777" w:rsidR="002B61BC" w:rsidRPr="009B235E" w:rsidRDefault="002B61BC" w:rsidP="00917E61">
            <w:pPr>
              <w:spacing w:after="0" w:line="240" w:lineRule="auto"/>
              <w:jc w:val="center"/>
              <w:rPr>
                <w:rFonts w:ascii="Times New Roman" w:eastAsia="Times New Roman" w:hAnsi="Times New Roman" w:cs="Times New Roman"/>
                <w:sz w:val="24"/>
                <w:szCs w:val="24"/>
                <w:lang w:eastAsia="ru-RU"/>
              </w:rPr>
            </w:pPr>
          </w:p>
        </w:tc>
        <w:tc>
          <w:tcPr>
            <w:tcW w:w="1161" w:type="dxa"/>
            <w:vMerge/>
          </w:tcPr>
          <w:p w14:paraId="3DA31598" w14:textId="77777777" w:rsidR="002B61BC" w:rsidRPr="009B235E" w:rsidRDefault="002B61BC" w:rsidP="00917E61">
            <w:pPr>
              <w:spacing w:after="0" w:line="240" w:lineRule="auto"/>
              <w:jc w:val="center"/>
              <w:rPr>
                <w:rFonts w:ascii="Times New Roman" w:eastAsia="Times New Roman" w:hAnsi="Times New Roman" w:cs="Times New Roman"/>
                <w:sz w:val="24"/>
                <w:szCs w:val="24"/>
                <w:lang w:eastAsia="ru-RU"/>
              </w:rPr>
            </w:pPr>
          </w:p>
        </w:tc>
        <w:tc>
          <w:tcPr>
            <w:tcW w:w="1134" w:type="dxa"/>
          </w:tcPr>
          <w:p w14:paraId="34802BBB" w14:textId="77777777" w:rsidR="002B61BC" w:rsidRPr="009B235E" w:rsidRDefault="002B61BC" w:rsidP="00917E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Мало-иму</w:t>
            </w:r>
            <w:r w:rsidRPr="009B235E">
              <w:rPr>
                <w:rFonts w:ascii="Times New Roman" w:eastAsia="Times New Roman" w:hAnsi="Times New Roman" w:cs="Times New Roman"/>
                <w:sz w:val="24"/>
                <w:szCs w:val="24"/>
                <w:lang w:eastAsia="ru-RU"/>
              </w:rPr>
              <w:t>щие</w:t>
            </w:r>
          </w:p>
        </w:tc>
        <w:tc>
          <w:tcPr>
            <w:tcW w:w="1328" w:type="dxa"/>
          </w:tcPr>
          <w:p w14:paraId="341A71A9" w14:textId="77777777" w:rsidR="002B61BC" w:rsidRPr="009B235E" w:rsidRDefault="002B61BC" w:rsidP="00917E61">
            <w:pPr>
              <w:spacing w:after="0" w:line="240" w:lineRule="auto"/>
              <w:jc w:val="center"/>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лица, получаю-</w:t>
            </w:r>
            <w:proofErr w:type="spellStart"/>
            <w:r w:rsidRPr="009B235E">
              <w:rPr>
                <w:rFonts w:ascii="Times New Roman" w:eastAsia="Times New Roman" w:hAnsi="Times New Roman" w:cs="Times New Roman"/>
                <w:sz w:val="24"/>
                <w:szCs w:val="24"/>
                <w:lang w:eastAsia="ru-RU"/>
              </w:rPr>
              <w:t>щие</w:t>
            </w:r>
            <w:proofErr w:type="spellEnd"/>
            <w:r>
              <w:rPr>
                <w:rFonts w:ascii="Times New Roman" w:eastAsia="Times New Roman" w:hAnsi="Times New Roman" w:cs="Times New Roman"/>
                <w:sz w:val="24"/>
                <w:szCs w:val="24"/>
                <w:lang w:eastAsia="ru-RU"/>
              </w:rPr>
              <w:t xml:space="preserve"> </w:t>
            </w:r>
            <w:proofErr w:type="spellStart"/>
            <w:r w:rsidRPr="009B235E">
              <w:rPr>
                <w:rFonts w:ascii="Times New Roman" w:eastAsia="Times New Roman" w:hAnsi="Times New Roman" w:cs="Times New Roman"/>
                <w:sz w:val="24"/>
                <w:szCs w:val="24"/>
                <w:lang w:eastAsia="ru-RU"/>
              </w:rPr>
              <w:t>регио-нальный</w:t>
            </w:r>
            <w:proofErr w:type="spellEnd"/>
            <w:r>
              <w:rPr>
                <w:rFonts w:ascii="Times New Roman" w:eastAsia="Times New Roman" w:hAnsi="Times New Roman" w:cs="Times New Roman"/>
                <w:sz w:val="24"/>
                <w:szCs w:val="24"/>
                <w:lang w:eastAsia="ru-RU"/>
              </w:rPr>
              <w:t xml:space="preserve"> </w:t>
            </w:r>
            <w:proofErr w:type="spellStart"/>
            <w:r w:rsidRPr="009B235E">
              <w:rPr>
                <w:rFonts w:ascii="Times New Roman" w:eastAsia="Times New Roman" w:hAnsi="Times New Roman" w:cs="Times New Roman"/>
                <w:sz w:val="24"/>
                <w:szCs w:val="24"/>
                <w:lang w:eastAsia="ru-RU"/>
              </w:rPr>
              <w:t>материнс</w:t>
            </w:r>
            <w:proofErr w:type="spellEnd"/>
            <w:r w:rsidRPr="009B235E">
              <w:rPr>
                <w:rFonts w:ascii="Times New Roman" w:eastAsia="Times New Roman" w:hAnsi="Times New Roman" w:cs="Times New Roman"/>
                <w:sz w:val="24"/>
                <w:szCs w:val="24"/>
                <w:lang w:eastAsia="ru-RU"/>
              </w:rPr>
              <w:t>-кий капитал</w:t>
            </w:r>
          </w:p>
        </w:tc>
        <w:tc>
          <w:tcPr>
            <w:tcW w:w="1418" w:type="dxa"/>
          </w:tcPr>
          <w:p w14:paraId="75873A3B" w14:textId="77777777" w:rsidR="002B61BC" w:rsidRPr="009B235E" w:rsidRDefault="002B61BC" w:rsidP="00917E61">
            <w:pPr>
              <w:spacing w:after="0" w:line="240" w:lineRule="auto"/>
              <w:jc w:val="center"/>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 xml:space="preserve">получатели </w:t>
            </w:r>
            <w:proofErr w:type="spellStart"/>
            <w:r w:rsidRPr="009B235E">
              <w:rPr>
                <w:rFonts w:ascii="Times New Roman" w:eastAsia="Times New Roman" w:hAnsi="Times New Roman" w:cs="Times New Roman"/>
                <w:sz w:val="24"/>
                <w:szCs w:val="24"/>
                <w:lang w:eastAsia="ru-RU"/>
              </w:rPr>
              <w:t>ежемесяч</w:t>
            </w:r>
            <w:proofErr w:type="spellEnd"/>
            <w:r w:rsidRPr="009B235E">
              <w:rPr>
                <w:rFonts w:ascii="Times New Roman" w:eastAsia="Times New Roman" w:hAnsi="Times New Roman" w:cs="Times New Roman"/>
                <w:sz w:val="24"/>
                <w:szCs w:val="24"/>
                <w:lang w:eastAsia="ru-RU"/>
              </w:rPr>
              <w:t>-ной денежной выплаты при рождении третьего и последую-</w:t>
            </w:r>
            <w:proofErr w:type="spellStart"/>
            <w:r w:rsidRPr="009B235E">
              <w:rPr>
                <w:rFonts w:ascii="Times New Roman" w:eastAsia="Times New Roman" w:hAnsi="Times New Roman" w:cs="Times New Roman"/>
                <w:sz w:val="24"/>
                <w:szCs w:val="24"/>
                <w:lang w:eastAsia="ru-RU"/>
              </w:rPr>
              <w:t>щих</w:t>
            </w:r>
            <w:proofErr w:type="spellEnd"/>
            <w:r w:rsidRPr="009B235E">
              <w:rPr>
                <w:rFonts w:ascii="Times New Roman" w:eastAsia="Times New Roman" w:hAnsi="Times New Roman" w:cs="Times New Roman"/>
                <w:sz w:val="24"/>
                <w:szCs w:val="24"/>
                <w:lang w:eastAsia="ru-RU"/>
              </w:rPr>
              <w:t xml:space="preserve"> детей </w:t>
            </w:r>
          </w:p>
        </w:tc>
        <w:tc>
          <w:tcPr>
            <w:tcW w:w="1364" w:type="dxa"/>
          </w:tcPr>
          <w:p w14:paraId="5FD1E178" w14:textId="77777777" w:rsidR="002B61BC" w:rsidRPr="009B235E" w:rsidRDefault="002B61BC" w:rsidP="00917E61">
            <w:pPr>
              <w:spacing w:after="0" w:line="240" w:lineRule="auto"/>
              <w:jc w:val="center"/>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 xml:space="preserve">лица, получающие </w:t>
            </w:r>
            <w:proofErr w:type="spellStart"/>
            <w:r w:rsidRPr="009B235E">
              <w:rPr>
                <w:rFonts w:ascii="Times New Roman" w:eastAsia="Times New Roman" w:hAnsi="Times New Roman" w:cs="Times New Roman"/>
                <w:sz w:val="24"/>
                <w:szCs w:val="24"/>
                <w:lang w:eastAsia="ru-RU"/>
              </w:rPr>
              <w:t>компенса-цию</w:t>
            </w:r>
            <w:proofErr w:type="spellEnd"/>
            <w:r w:rsidRPr="009B235E">
              <w:rPr>
                <w:rFonts w:ascii="Times New Roman" w:eastAsia="Times New Roman" w:hAnsi="Times New Roman" w:cs="Times New Roman"/>
                <w:sz w:val="24"/>
                <w:szCs w:val="24"/>
                <w:lang w:eastAsia="ru-RU"/>
              </w:rPr>
              <w:t xml:space="preserve"> части </w:t>
            </w:r>
            <w:proofErr w:type="spellStart"/>
            <w:r w:rsidRPr="009B235E">
              <w:rPr>
                <w:rFonts w:ascii="Times New Roman" w:eastAsia="Times New Roman" w:hAnsi="Times New Roman" w:cs="Times New Roman"/>
                <w:sz w:val="24"/>
                <w:szCs w:val="24"/>
                <w:lang w:eastAsia="ru-RU"/>
              </w:rPr>
              <w:t>родительс</w:t>
            </w:r>
            <w:proofErr w:type="spellEnd"/>
            <w:r w:rsidRPr="009B235E">
              <w:rPr>
                <w:rFonts w:ascii="Times New Roman" w:eastAsia="Times New Roman" w:hAnsi="Times New Roman" w:cs="Times New Roman"/>
                <w:sz w:val="24"/>
                <w:szCs w:val="24"/>
                <w:lang w:eastAsia="ru-RU"/>
              </w:rPr>
              <w:t xml:space="preserve">-кой платы за присмотр и уход за детьми в </w:t>
            </w:r>
            <w:proofErr w:type="spellStart"/>
            <w:r w:rsidRPr="009B235E">
              <w:rPr>
                <w:rFonts w:ascii="Times New Roman" w:eastAsia="Times New Roman" w:hAnsi="Times New Roman" w:cs="Times New Roman"/>
                <w:sz w:val="24"/>
                <w:szCs w:val="24"/>
                <w:lang w:eastAsia="ru-RU"/>
              </w:rPr>
              <w:t>дошколь</w:t>
            </w:r>
            <w:r>
              <w:rPr>
                <w:rFonts w:ascii="Times New Roman" w:eastAsia="Times New Roman" w:hAnsi="Times New Roman" w:cs="Times New Roman"/>
                <w:sz w:val="24"/>
                <w:szCs w:val="24"/>
                <w:lang w:eastAsia="ru-RU"/>
              </w:rPr>
              <w:t>-</w:t>
            </w:r>
            <w:r w:rsidRPr="009B235E">
              <w:rPr>
                <w:rFonts w:ascii="Times New Roman" w:eastAsia="Times New Roman" w:hAnsi="Times New Roman" w:cs="Times New Roman"/>
                <w:sz w:val="24"/>
                <w:szCs w:val="24"/>
                <w:lang w:eastAsia="ru-RU"/>
              </w:rPr>
              <w:t>ных</w:t>
            </w:r>
            <w:proofErr w:type="spellEnd"/>
            <w:r w:rsidRPr="009B235E">
              <w:rPr>
                <w:rFonts w:ascii="Times New Roman" w:eastAsia="Times New Roman" w:hAnsi="Times New Roman" w:cs="Times New Roman"/>
                <w:sz w:val="24"/>
                <w:szCs w:val="24"/>
                <w:lang w:eastAsia="ru-RU"/>
              </w:rPr>
              <w:t xml:space="preserve"> </w:t>
            </w:r>
            <w:proofErr w:type="spellStart"/>
            <w:r w:rsidRPr="009B235E">
              <w:rPr>
                <w:rFonts w:ascii="Times New Roman" w:eastAsia="Times New Roman" w:hAnsi="Times New Roman" w:cs="Times New Roman"/>
                <w:sz w:val="24"/>
                <w:szCs w:val="24"/>
                <w:lang w:eastAsia="ru-RU"/>
              </w:rPr>
              <w:t>образова</w:t>
            </w:r>
            <w:proofErr w:type="spellEnd"/>
            <w:r w:rsidRPr="009B235E">
              <w:rPr>
                <w:rFonts w:ascii="Times New Roman" w:eastAsia="Times New Roman" w:hAnsi="Times New Roman" w:cs="Times New Roman"/>
                <w:sz w:val="24"/>
                <w:szCs w:val="24"/>
                <w:lang w:eastAsia="ru-RU"/>
              </w:rPr>
              <w:t xml:space="preserve">-тельных </w:t>
            </w:r>
            <w:proofErr w:type="spellStart"/>
            <w:r w:rsidRPr="009B235E">
              <w:rPr>
                <w:rFonts w:ascii="Times New Roman" w:eastAsia="Times New Roman" w:hAnsi="Times New Roman" w:cs="Times New Roman"/>
                <w:sz w:val="24"/>
                <w:szCs w:val="24"/>
                <w:lang w:eastAsia="ru-RU"/>
              </w:rPr>
              <w:t>организа-циях</w:t>
            </w:r>
            <w:proofErr w:type="spellEnd"/>
          </w:p>
        </w:tc>
      </w:tr>
      <w:tr w:rsidR="002B61BC" w:rsidRPr="009B235E" w14:paraId="38DB4363" w14:textId="77777777" w:rsidTr="002B61BC">
        <w:trPr>
          <w:trHeight w:val="451"/>
        </w:trPr>
        <w:tc>
          <w:tcPr>
            <w:tcW w:w="2552" w:type="dxa"/>
            <w:vAlign w:val="center"/>
          </w:tcPr>
          <w:p w14:paraId="16C9FE84" w14:textId="77777777" w:rsidR="002B61BC" w:rsidRPr="009B235E" w:rsidRDefault="002B61BC" w:rsidP="002B61BC">
            <w:pPr>
              <w:spacing w:after="0" w:line="240" w:lineRule="auto"/>
              <w:rPr>
                <w:rFonts w:ascii="Times New Roman" w:eastAsia="Times New Roman" w:hAnsi="Times New Roman" w:cs="Times New Roman"/>
                <w:b/>
                <w:sz w:val="24"/>
                <w:szCs w:val="24"/>
                <w:lang w:eastAsia="ru-RU"/>
              </w:rPr>
            </w:pPr>
            <w:r w:rsidRPr="009B235E">
              <w:rPr>
                <w:rFonts w:ascii="Times New Roman" w:eastAsia="Times New Roman" w:hAnsi="Times New Roman" w:cs="Times New Roman"/>
                <w:b/>
                <w:sz w:val="24"/>
                <w:szCs w:val="24"/>
                <w:lang w:eastAsia="ru-RU"/>
              </w:rPr>
              <w:t>Российская Федерация</w:t>
            </w:r>
          </w:p>
        </w:tc>
        <w:tc>
          <w:tcPr>
            <w:tcW w:w="1134" w:type="dxa"/>
            <w:shd w:val="clear" w:color="auto" w:fill="auto"/>
            <w:vAlign w:val="center"/>
          </w:tcPr>
          <w:p w14:paraId="5E35D176"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8022,2</w:t>
            </w:r>
          </w:p>
        </w:tc>
        <w:tc>
          <w:tcPr>
            <w:tcW w:w="1250" w:type="dxa"/>
            <w:shd w:val="clear" w:color="auto" w:fill="auto"/>
            <w:vAlign w:val="center"/>
          </w:tcPr>
          <w:p w14:paraId="51B18EF5"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63305,6</w:t>
            </w:r>
          </w:p>
        </w:tc>
        <w:tc>
          <w:tcPr>
            <w:tcW w:w="1392" w:type="dxa"/>
            <w:shd w:val="clear" w:color="auto" w:fill="auto"/>
            <w:vAlign w:val="center"/>
          </w:tcPr>
          <w:p w14:paraId="23C626D8"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108343,2</w:t>
            </w:r>
          </w:p>
        </w:tc>
        <w:tc>
          <w:tcPr>
            <w:tcW w:w="1159" w:type="dxa"/>
            <w:shd w:val="clear" w:color="auto" w:fill="auto"/>
            <w:vAlign w:val="center"/>
          </w:tcPr>
          <w:p w14:paraId="03CCFE25"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31311,6</w:t>
            </w:r>
          </w:p>
        </w:tc>
        <w:tc>
          <w:tcPr>
            <w:tcW w:w="1019" w:type="dxa"/>
            <w:shd w:val="clear" w:color="auto" w:fill="auto"/>
            <w:vAlign w:val="center"/>
          </w:tcPr>
          <w:p w14:paraId="6A3E8477"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5017,4</w:t>
            </w:r>
          </w:p>
        </w:tc>
        <w:tc>
          <w:tcPr>
            <w:tcW w:w="992" w:type="dxa"/>
            <w:shd w:val="clear" w:color="auto" w:fill="auto"/>
            <w:vAlign w:val="center"/>
          </w:tcPr>
          <w:p w14:paraId="7B6CBDD1"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8925,0</w:t>
            </w:r>
          </w:p>
        </w:tc>
        <w:tc>
          <w:tcPr>
            <w:tcW w:w="1161" w:type="dxa"/>
            <w:shd w:val="clear" w:color="auto" w:fill="auto"/>
            <w:vAlign w:val="center"/>
          </w:tcPr>
          <w:p w14:paraId="15BAED0B"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253693,8</w:t>
            </w:r>
          </w:p>
        </w:tc>
        <w:tc>
          <w:tcPr>
            <w:tcW w:w="1134" w:type="dxa"/>
            <w:shd w:val="clear" w:color="auto" w:fill="auto"/>
            <w:vAlign w:val="center"/>
          </w:tcPr>
          <w:p w14:paraId="3F248B0C"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112802,1</w:t>
            </w:r>
          </w:p>
        </w:tc>
        <w:tc>
          <w:tcPr>
            <w:tcW w:w="1328" w:type="dxa"/>
            <w:shd w:val="clear" w:color="auto" w:fill="auto"/>
            <w:vAlign w:val="center"/>
          </w:tcPr>
          <w:p w14:paraId="77F73335"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17593,8</w:t>
            </w:r>
          </w:p>
        </w:tc>
        <w:tc>
          <w:tcPr>
            <w:tcW w:w="1418" w:type="dxa"/>
            <w:shd w:val="clear" w:color="auto" w:fill="auto"/>
            <w:vAlign w:val="center"/>
          </w:tcPr>
          <w:p w14:paraId="61746F03"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26942,2</w:t>
            </w:r>
          </w:p>
        </w:tc>
        <w:tc>
          <w:tcPr>
            <w:tcW w:w="1364" w:type="dxa"/>
            <w:shd w:val="clear" w:color="auto" w:fill="auto"/>
            <w:vAlign w:val="center"/>
          </w:tcPr>
          <w:p w14:paraId="4AD3C28C"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20401,3</w:t>
            </w:r>
          </w:p>
        </w:tc>
      </w:tr>
      <w:tr w:rsidR="002B61BC" w:rsidRPr="009B235E" w14:paraId="3F4F6CF9" w14:textId="77777777" w:rsidTr="002B61BC">
        <w:tc>
          <w:tcPr>
            <w:tcW w:w="2552" w:type="dxa"/>
          </w:tcPr>
          <w:p w14:paraId="4EB4EE3A" w14:textId="77777777" w:rsidR="002B61BC" w:rsidRPr="009B235E" w:rsidRDefault="002B61BC" w:rsidP="002B61BC">
            <w:pPr>
              <w:spacing w:after="0" w:line="240" w:lineRule="auto"/>
              <w:rPr>
                <w:rFonts w:ascii="Times New Roman" w:eastAsia="Times New Roman" w:hAnsi="Times New Roman" w:cs="Times New Roman"/>
                <w:b/>
                <w:bCs/>
                <w:sz w:val="24"/>
                <w:szCs w:val="24"/>
                <w:lang w:eastAsia="ru-RU"/>
              </w:rPr>
            </w:pPr>
            <w:r w:rsidRPr="009B235E">
              <w:rPr>
                <w:rFonts w:ascii="Times New Roman" w:eastAsia="Times New Roman" w:hAnsi="Times New Roman" w:cs="Times New Roman"/>
                <w:b/>
                <w:bCs/>
                <w:sz w:val="24"/>
                <w:szCs w:val="24"/>
                <w:lang w:eastAsia="ru-RU"/>
              </w:rPr>
              <w:t xml:space="preserve">Центральный </w:t>
            </w:r>
            <w:r w:rsidRPr="009B235E">
              <w:rPr>
                <w:rFonts w:ascii="Times New Roman" w:eastAsia="Times New Roman" w:hAnsi="Times New Roman" w:cs="Times New Roman"/>
                <w:b/>
                <w:bCs/>
                <w:sz w:val="24"/>
                <w:szCs w:val="24"/>
                <w:lang w:eastAsia="ru-RU"/>
              </w:rPr>
              <w:br/>
              <w:t>федеральный округ</w:t>
            </w:r>
          </w:p>
        </w:tc>
        <w:tc>
          <w:tcPr>
            <w:tcW w:w="1134" w:type="dxa"/>
            <w:shd w:val="clear" w:color="auto" w:fill="auto"/>
            <w:vAlign w:val="center"/>
          </w:tcPr>
          <w:p w14:paraId="0E2408EE"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1622,6</w:t>
            </w:r>
          </w:p>
        </w:tc>
        <w:tc>
          <w:tcPr>
            <w:tcW w:w="1250" w:type="dxa"/>
            <w:shd w:val="clear" w:color="auto" w:fill="auto"/>
            <w:vAlign w:val="center"/>
          </w:tcPr>
          <w:p w14:paraId="17774E7B"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8304,7</w:t>
            </w:r>
          </w:p>
        </w:tc>
        <w:tc>
          <w:tcPr>
            <w:tcW w:w="1392" w:type="dxa"/>
            <w:shd w:val="clear" w:color="auto" w:fill="auto"/>
            <w:vAlign w:val="center"/>
          </w:tcPr>
          <w:p w14:paraId="570A8B1D"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24107,3</w:t>
            </w:r>
          </w:p>
        </w:tc>
        <w:tc>
          <w:tcPr>
            <w:tcW w:w="1159" w:type="dxa"/>
            <w:shd w:val="clear" w:color="auto" w:fill="auto"/>
            <w:vAlign w:val="center"/>
          </w:tcPr>
          <w:p w14:paraId="4A87CDD9"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5366,3</w:t>
            </w:r>
          </w:p>
        </w:tc>
        <w:tc>
          <w:tcPr>
            <w:tcW w:w="1019" w:type="dxa"/>
            <w:shd w:val="clear" w:color="auto" w:fill="auto"/>
            <w:vAlign w:val="center"/>
          </w:tcPr>
          <w:p w14:paraId="56F0D067"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3588,3</w:t>
            </w:r>
          </w:p>
        </w:tc>
        <w:tc>
          <w:tcPr>
            <w:tcW w:w="992" w:type="dxa"/>
            <w:shd w:val="clear" w:color="auto" w:fill="auto"/>
            <w:vAlign w:val="center"/>
          </w:tcPr>
          <w:p w14:paraId="6F77DFB3"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3113,9</w:t>
            </w:r>
          </w:p>
        </w:tc>
        <w:tc>
          <w:tcPr>
            <w:tcW w:w="1161" w:type="dxa"/>
            <w:shd w:val="clear" w:color="auto" w:fill="auto"/>
            <w:vAlign w:val="center"/>
          </w:tcPr>
          <w:p w14:paraId="64CDBF86"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92222,1</w:t>
            </w:r>
          </w:p>
        </w:tc>
        <w:tc>
          <w:tcPr>
            <w:tcW w:w="1134" w:type="dxa"/>
            <w:shd w:val="clear" w:color="auto" w:fill="auto"/>
            <w:vAlign w:val="center"/>
          </w:tcPr>
          <w:p w14:paraId="44396E4B"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36633,2</w:t>
            </w:r>
          </w:p>
        </w:tc>
        <w:tc>
          <w:tcPr>
            <w:tcW w:w="1328" w:type="dxa"/>
            <w:shd w:val="clear" w:color="auto" w:fill="auto"/>
            <w:vAlign w:val="center"/>
          </w:tcPr>
          <w:p w14:paraId="6A48FB53"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3677,5</w:t>
            </w:r>
          </w:p>
        </w:tc>
        <w:tc>
          <w:tcPr>
            <w:tcW w:w="1418" w:type="dxa"/>
            <w:shd w:val="clear" w:color="auto" w:fill="auto"/>
            <w:vAlign w:val="center"/>
          </w:tcPr>
          <w:p w14:paraId="0CDE9551"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2484,1</w:t>
            </w:r>
          </w:p>
        </w:tc>
        <w:tc>
          <w:tcPr>
            <w:tcW w:w="1364" w:type="dxa"/>
            <w:shd w:val="clear" w:color="auto" w:fill="auto"/>
            <w:vAlign w:val="center"/>
          </w:tcPr>
          <w:p w14:paraId="5213090F"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4337,7</w:t>
            </w:r>
          </w:p>
        </w:tc>
      </w:tr>
      <w:tr w:rsidR="002B61BC" w:rsidRPr="009B235E" w14:paraId="12DD83FF" w14:textId="77777777" w:rsidTr="002B61BC">
        <w:tc>
          <w:tcPr>
            <w:tcW w:w="2552" w:type="dxa"/>
            <w:vAlign w:val="bottom"/>
          </w:tcPr>
          <w:p w14:paraId="65147534"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Белгородская область</w:t>
            </w:r>
          </w:p>
        </w:tc>
        <w:tc>
          <w:tcPr>
            <w:tcW w:w="1134" w:type="dxa"/>
            <w:shd w:val="clear" w:color="auto" w:fill="auto"/>
            <w:vAlign w:val="center"/>
          </w:tcPr>
          <w:p w14:paraId="5CE1498B"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250" w:type="dxa"/>
            <w:shd w:val="clear" w:color="auto" w:fill="auto"/>
            <w:vAlign w:val="center"/>
          </w:tcPr>
          <w:p w14:paraId="49CF4ACA"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207,9</w:t>
            </w:r>
          </w:p>
        </w:tc>
        <w:tc>
          <w:tcPr>
            <w:tcW w:w="1392" w:type="dxa"/>
            <w:shd w:val="clear" w:color="auto" w:fill="auto"/>
            <w:vAlign w:val="center"/>
          </w:tcPr>
          <w:p w14:paraId="3074F370"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0,3</w:t>
            </w:r>
          </w:p>
        </w:tc>
        <w:tc>
          <w:tcPr>
            <w:tcW w:w="1159" w:type="dxa"/>
            <w:shd w:val="clear" w:color="auto" w:fill="auto"/>
            <w:vAlign w:val="center"/>
          </w:tcPr>
          <w:p w14:paraId="11ABD12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019" w:type="dxa"/>
            <w:shd w:val="clear" w:color="auto" w:fill="auto"/>
            <w:vAlign w:val="center"/>
          </w:tcPr>
          <w:p w14:paraId="07847BC0"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992" w:type="dxa"/>
            <w:shd w:val="clear" w:color="auto" w:fill="auto"/>
            <w:vAlign w:val="center"/>
          </w:tcPr>
          <w:p w14:paraId="008C2469"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161" w:type="dxa"/>
            <w:shd w:val="clear" w:color="auto" w:fill="auto"/>
            <w:vAlign w:val="center"/>
          </w:tcPr>
          <w:p w14:paraId="1B5D715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1454,4</w:t>
            </w:r>
          </w:p>
        </w:tc>
        <w:tc>
          <w:tcPr>
            <w:tcW w:w="1134" w:type="dxa"/>
            <w:shd w:val="clear" w:color="auto" w:fill="auto"/>
            <w:vAlign w:val="center"/>
          </w:tcPr>
          <w:p w14:paraId="6AD1DBFD"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328" w:type="dxa"/>
            <w:shd w:val="clear" w:color="auto" w:fill="auto"/>
            <w:vAlign w:val="center"/>
          </w:tcPr>
          <w:p w14:paraId="0FF165E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69,1</w:t>
            </w:r>
          </w:p>
        </w:tc>
        <w:tc>
          <w:tcPr>
            <w:tcW w:w="1418" w:type="dxa"/>
            <w:shd w:val="clear" w:color="auto" w:fill="auto"/>
            <w:vAlign w:val="center"/>
          </w:tcPr>
          <w:p w14:paraId="3ADED07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364" w:type="dxa"/>
            <w:shd w:val="clear" w:color="auto" w:fill="auto"/>
            <w:vAlign w:val="center"/>
          </w:tcPr>
          <w:p w14:paraId="10F1447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491,6</w:t>
            </w:r>
          </w:p>
        </w:tc>
      </w:tr>
      <w:tr w:rsidR="002B61BC" w:rsidRPr="009B235E" w14:paraId="63F0B80A" w14:textId="77777777" w:rsidTr="002B61BC">
        <w:tc>
          <w:tcPr>
            <w:tcW w:w="2552" w:type="dxa"/>
            <w:vAlign w:val="bottom"/>
          </w:tcPr>
          <w:p w14:paraId="571D8887"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Брянская область</w:t>
            </w:r>
          </w:p>
        </w:tc>
        <w:tc>
          <w:tcPr>
            <w:tcW w:w="1134" w:type="dxa"/>
            <w:shd w:val="clear" w:color="auto" w:fill="auto"/>
            <w:vAlign w:val="center"/>
          </w:tcPr>
          <w:p w14:paraId="230B9A6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11,7</w:t>
            </w:r>
          </w:p>
        </w:tc>
        <w:tc>
          <w:tcPr>
            <w:tcW w:w="1250" w:type="dxa"/>
            <w:shd w:val="clear" w:color="auto" w:fill="auto"/>
            <w:vAlign w:val="center"/>
          </w:tcPr>
          <w:p w14:paraId="0F2F48D3"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115,0</w:t>
            </w:r>
          </w:p>
        </w:tc>
        <w:tc>
          <w:tcPr>
            <w:tcW w:w="1392" w:type="dxa"/>
            <w:shd w:val="clear" w:color="auto" w:fill="auto"/>
            <w:vAlign w:val="center"/>
          </w:tcPr>
          <w:p w14:paraId="24096D3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631,0</w:t>
            </w:r>
          </w:p>
        </w:tc>
        <w:tc>
          <w:tcPr>
            <w:tcW w:w="1159" w:type="dxa"/>
            <w:shd w:val="clear" w:color="auto" w:fill="auto"/>
            <w:vAlign w:val="center"/>
          </w:tcPr>
          <w:p w14:paraId="18B0ABE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156,8</w:t>
            </w:r>
          </w:p>
        </w:tc>
        <w:tc>
          <w:tcPr>
            <w:tcW w:w="1019" w:type="dxa"/>
            <w:shd w:val="clear" w:color="auto" w:fill="auto"/>
            <w:vAlign w:val="center"/>
          </w:tcPr>
          <w:p w14:paraId="4CBFA89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2,1</w:t>
            </w:r>
          </w:p>
        </w:tc>
        <w:tc>
          <w:tcPr>
            <w:tcW w:w="992" w:type="dxa"/>
            <w:shd w:val="clear" w:color="auto" w:fill="auto"/>
            <w:vAlign w:val="center"/>
          </w:tcPr>
          <w:p w14:paraId="6FB3835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47,5</w:t>
            </w:r>
          </w:p>
        </w:tc>
        <w:tc>
          <w:tcPr>
            <w:tcW w:w="1161" w:type="dxa"/>
            <w:shd w:val="clear" w:color="auto" w:fill="auto"/>
            <w:vAlign w:val="center"/>
          </w:tcPr>
          <w:p w14:paraId="54C3972C"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1184,2</w:t>
            </w:r>
          </w:p>
        </w:tc>
        <w:tc>
          <w:tcPr>
            <w:tcW w:w="1134" w:type="dxa"/>
            <w:shd w:val="clear" w:color="auto" w:fill="auto"/>
            <w:vAlign w:val="center"/>
          </w:tcPr>
          <w:p w14:paraId="6E8B4DB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762,8</w:t>
            </w:r>
          </w:p>
        </w:tc>
        <w:tc>
          <w:tcPr>
            <w:tcW w:w="1328" w:type="dxa"/>
            <w:shd w:val="clear" w:color="auto" w:fill="auto"/>
            <w:vAlign w:val="center"/>
          </w:tcPr>
          <w:p w14:paraId="71318AC5"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135,0</w:t>
            </w:r>
          </w:p>
        </w:tc>
        <w:tc>
          <w:tcPr>
            <w:tcW w:w="1418" w:type="dxa"/>
            <w:shd w:val="clear" w:color="auto" w:fill="auto"/>
            <w:vAlign w:val="center"/>
          </w:tcPr>
          <w:p w14:paraId="14A59C62"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63,1</w:t>
            </w:r>
          </w:p>
        </w:tc>
        <w:tc>
          <w:tcPr>
            <w:tcW w:w="1364" w:type="dxa"/>
            <w:shd w:val="clear" w:color="auto" w:fill="auto"/>
            <w:vAlign w:val="center"/>
          </w:tcPr>
          <w:p w14:paraId="306D15F9"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105,3</w:t>
            </w:r>
          </w:p>
        </w:tc>
      </w:tr>
      <w:tr w:rsidR="002B61BC" w:rsidRPr="009B235E" w14:paraId="001A1D76" w14:textId="77777777" w:rsidTr="002B61BC">
        <w:tc>
          <w:tcPr>
            <w:tcW w:w="2552" w:type="dxa"/>
            <w:vAlign w:val="bottom"/>
          </w:tcPr>
          <w:p w14:paraId="24D13585"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Владимирская область</w:t>
            </w:r>
          </w:p>
        </w:tc>
        <w:tc>
          <w:tcPr>
            <w:tcW w:w="1134" w:type="dxa"/>
            <w:shd w:val="clear" w:color="auto" w:fill="auto"/>
            <w:vAlign w:val="center"/>
          </w:tcPr>
          <w:p w14:paraId="08FEF9A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240,9</w:t>
            </w:r>
          </w:p>
        </w:tc>
        <w:tc>
          <w:tcPr>
            <w:tcW w:w="1250" w:type="dxa"/>
            <w:shd w:val="clear" w:color="auto" w:fill="auto"/>
            <w:vAlign w:val="center"/>
          </w:tcPr>
          <w:p w14:paraId="38BC0FF9"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822,2</w:t>
            </w:r>
          </w:p>
        </w:tc>
        <w:tc>
          <w:tcPr>
            <w:tcW w:w="1392" w:type="dxa"/>
            <w:shd w:val="clear" w:color="auto" w:fill="auto"/>
            <w:vAlign w:val="center"/>
          </w:tcPr>
          <w:p w14:paraId="21BDA5EA"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932,3</w:t>
            </w:r>
          </w:p>
        </w:tc>
        <w:tc>
          <w:tcPr>
            <w:tcW w:w="1159" w:type="dxa"/>
            <w:shd w:val="clear" w:color="auto" w:fill="auto"/>
            <w:vAlign w:val="center"/>
          </w:tcPr>
          <w:p w14:paraId="0392CF6A"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628,6</w:t>
            </w:r>
          </w:p>
        </w:tc>
        <w:tc>
          <w:tcPr>
            <w:tcW w:w="1019" w:type="dxa"/>
            <w:shd w:val="clear" w:color="auto" w:fill="auto"/>
            <w:vAlign w:val="center"/>
          </w:tcPr>
          <w:p w14:paraId="322BBAF9"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8,0</w:t>
            </w:r>
          </w:p>
        </w:tc>
        <w:tc>
          <w:tcPr>
            <w:tcW w:w="992" w:type="dxa"/>
            <w:shd w:val="clear" w:color="auto" w:fill="auto"/>
            <w:vAlign w:val="center"/>
          </w:tcPr>
          <w:p w14:paraId="52B0B56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15,4</w:t>
            </w:r>
          </w:p>
        </w:tc>
        <w:tc>
          <w:tcPr>
            <w:tcW w:w="1161" w:type="dxa"/>
            <w:shd w:val="clear" w:color="auto" w:fill="auto"/>
            <w:vAlign w:val="center"/>
          </w:tcPr>
          <w:p w14:paraId="602C0D2D"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1259,4</w:t>
            </w:r>
          </w:p>
        </w:tc>
        <w:tc>
          <w:tcPr>
            <w:tcW w:w="1134" w:type="dxa"/>
            <w:shd w:val="clear" w:color="auto" w:fill="auto"/>
            <w:vAlign w:val="center"/>
          </w:tcPr>
          <w:p w14:paraId="1502729C"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707,8</w:t>
            </w:r>
          </w:p>
        </w:tc>
        <w:tc>
          <w:tcPr>
            <w:tcW w:w="1328" w:type="dxa"/>
            <w:shd w:val="clear" w:color="auto" w:fill="auto"/>
            <w:vAlign w:val="center"/>
          </w:tcPr>
          <w:p w14:paraId="19F3766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119,7</w:t>
            </w:r>
          </w:p>
        </w:tc>
        <w:tc>
          <w:tcPr>
            <w:tcW w:w="1418" w:type="dxa"/>
            <w:shd w:val="clear" w:color="auto" w:fill="auto"/>
            <w:vAlign w:val="center"/>
          </w:tcPr>
          <w:p w14:paraId="2C1336CC"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112,1</w:t>
            </w:r>
          </w:p>
        </w:tc>
        <w:tc>
          <w:tcPr>
            <w:tcW w:w="1364" w:type="dxa"/>
            <w:shd w:val="clear" w:color="auto" w:fill="auto"/>
            <w:vAlign w:val="center"/>
          </w:tcPr>
          <w:p w14:paraId="782A0BF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490,2</w:t>
            </w:r>
          </w:p>
        </w:tc>
      </w:tr>
      <w:tr w:rsidR="002B61BC" w:rsidRPr="009B235E" w14:paraId="4E48C662" w14:textId="77777777" w:rsidTr="002B61BC">
        <w:tc>
          <w:tcPr>
            <w:tcW w:w="2552" w:type="dxa"/>
            <w:vAlign w:val="bottom"/>
          </w:tcPr>
          <w:p w14:paraId="04E8EECB"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Воронежская область</w:t>
            </w:r>
          </w:p>
        </w:tc>
        <w:tc>
          <w:tcPr>
            <w:tcW w:w="1134" w:type="dxa"/>
            <w:shd w:val="clear" w:color="auto" w:fill="auto"/>
            <w:vAlign w:val="center"/>
          </w:tcPr>
          <w:p w14:paraId="771D9AB1"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250" w:type="dxa"/>
            <w:shd w:val="clear" w:color="auto" w:fill="auto"/>
            <w:vAlign w:val="center"/>
          </w:tcPr>
          <w:p w14:paraId="45C4624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103,4</w:t>
            </w:r>
          </w:p>
        </w:tc>
        <w:tc>
          <w:tcPr>
            <w:tcW w:w="1392" w:type="dxa"/>
            <w:shd w:val="clear" w:color="auto" w:fill="auto"/>
            <w:vAlign w:val="center"/>
          </w:tcPr>
          <w:p w14:paraId="19FC5AE0"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1651,7</w:t>
            </w:r>
          </w:p>
        </w:tc>
        <w:tc>
          <w:tcPr>
            <w:tcW w:w="1159" w:type="dxa"/>
            <w:shd w:val="clear" w:color="auto" w:fill="auto"/>
            <w:vAlign w:val="center"/>
          </w:tcPr>
          <w:p w14:paraId="0137059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259,7</w:t>
            </w:r>
          </w:p>
        </w:tc>
        <w:tc>
          <w:tcPr>
            <w:tcW w:w="1019" w:type="dxa"/>
            <w:shd w:val="clear" w:color="auto" w:fill="auto"/>
            <w:vAlign w:val="center"/>
          </w:tcPr>
          <w:p w14:paraId="36DF2164"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22,9</w:t>
            </w:r>
          </w:p>
        </w:tc>
        <w:tc>
          <w:tcPr>
            <w:tcW w:w="992" w:type="dxa"/>
            <w:shd w:val="clear" w:color="auto" w:fill="auto"/>
            <w:vAlign w:val="center"/>
          </w:tcPr>
          <w:p w14:paraId="2910CC80"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161" w:type="dxa"/>
            <w:shd w:val="clear" w:color="auto" w:fill="auto"/>
            <w:vAlign w:val="center"/>
          </w:tcPr>
          <w:p w14:paraId="04822145"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2109,3</w:t>
            </w:r>
          </w:p>
        </w:tc>
        <w:tc>
          <w:tcPr>
            <w:tcW w:w="1134" w:type="dxa"/>
            <w:shd w:val="clear" w:color="auto" w:fill="auto"/>
            <w:vAlign w:val="center"/>
          </w:tcPr>
          <w:p w14:paraId="0F431495"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282,8</w:t>
            </w:r>
          </w:p>
        </w:tc>
        <w:tc>
          <w:tcPr>
            <w:tcW w:w="1328" w:type="dxa"/>
            <w:shd w:val="clear" w:color="auto" w:fill="auto"/>
            <w:vAlign w:val="center"/>
          </w:tcPr>
          <w:p w14:paraId="1B795AAB"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250,0</w:t>
            </w:r>
          </w:p>
        </w:tc>
        <w:tc>
          <w:tcPr>
            <w:tcW w:w="1418" w:type="dxa"/>
            <w:shd w:val="clear" w:color="auto" w:fill="auto"/>
            <w:vAlign w:val="center"/>
          </w:tcPr>
          <w:p w14:paraId="199810FD"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176,0</w:t>
            </w:r>
          </w:p>
        </w:tc>
        <w:tc>
          <w:tcPr>
            <w:tcW w:w="1364" w:type="dxa"/>
            <w:shd w:val="clear" w:color="auto" w:fill="auto"/>
            <w:vAlign w:val="center"/>
          </w:tcPr>
          <w:p w14:paraId="79D07C9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14,0</w:t>
            </w:r>
          </w:p>
        </w:tc>
      </w:tr>
      <w:tr w:rsidR="002B61BC" w:rsidRPr="009B235E" w14:paraId="499C4084" w14:textId="77777777" w:rsidTr="002B61BC">
        <w:tc>
          <w:tcPr>
            <w:tcW w:w="2552" w:type="dxa"/>
            <w:vAlign w:val="bottom"/>
          </w:tcPr>
          <w:p w14:paraId="58EF7E7C"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Ивановская область</w:t>
            </w:r>
          </w:p>
        </w:tc>
        <w:tc>
          <w:tcPr>
            <w:tcW w:w="1134" w:type="dxa"/>
            <w:shd w:val="clear" w:color="auto" w:fill="auto"/>
            <w:vAlign w:val="center"/>
          </w:tcPr>
          <w:p w14:paraId="76D42F90"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250" w:type="dxa"/>
            <w:shd w:val="clear" w:color="auto" w:fill="auto"/>
            <w:vAlign w:val="center"/>
          </w:tcPr>
          <w:p w14:paraId="4531A352"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432,2</w:t>
            </w:r>
          </w:p>
        </w:tc>
        <w:tc>
          <w:tcPr>
            <w:tcW w:w="1392" w:type="dxa"/>
            <w:shd w:val="clear" w:color="auto" w:fill="auto"/>
            <w:vAlign w:val="center"/>
          </w:tcPr>
          <w:p w14:paraId="1C534BF2"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188,6</w:t>
            </w:r>
          </w:p>
        </w:tc>
        <w:tc>
          <w:tcPr>
            <w:tcW w:w="1159" w:type="dxa"/>
            <w:shd w:val="clear" w:color="auto" w:fill="auto"/>
            <w:vAlign w:val="center"/>
          </w:tcPr>
          <w:p w14:paraId="42953D82"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019" w:type="dxa"/>
            <w:shd w:val="clear" w:color="auto" w:fill="auto"/>
            <w:vAlign w:val="center"/>
          </w:tcPr>
          <w:p w14:paraId="72657FB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2,0</w:t>
            </w:r>
          </w:p>
        </w:tc>
        <w:tc>
          <w:tcPr>
            <w:tcW w:w="992" w:type="dxa"/>
            <w:shd w:val="clear" w:color="auto" w:fill="auto"/>
            <w:vAlign w:val="center"/>
          </w:tcPr>
          <w:p w14:paraId="3AE16101"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161" w:type="dxa"/>
            <w:shd w:val="clear" w:color="auto" w:fill="auto"/>
            <w:vAlign w:val="center"/>
          </w:tcPr>
          <w:p w14:paraId="73532ED0"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205,3</w:t>
            </w:r>
          </w:p>
        </w:tc>
        <w:tc>
          <w:tcPr>
            <w:tcW w:w="1134" w:type="dxa"/>
            <w:shd w:val="clear" w:color="auto" w:fill="auto"/>
            <w:vAlign w:val="center"/>
          </w:tcPr>
          <w:p w14:paraId="5937DE64"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99,5</w:t>
            </w:r>
          </w:p>
        </w:tc>
        <w:tc>
          <w:tcPr>
            <w:tcW w:w="1328" w:type="dxa"/>
            <w:shd w:val="clear" w:color="auto" w:fill="auto"/>
            <w:vAlign w:val="center"/>
          </w:tcPr>
          <w:p w14:paraId="4F5B93D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418" w:type="dxa"/>
            <w:shd w:val="clear" w:color="auto" w:fill="auto"/>
            <w:vAlign w:val="center"/>
          </w:tcPr>
          <w:p w14:paraId="0743A66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34,0</w:t>
            </w:r>
          </w:p>
        </w:tc>
        <w:tc>
          <w:tcPr>
            <w:tcW w:w="1364" w:type="dxa"/>
            <w:shd w:val="clear" w:color="auto" w:fill="auto"/>
            <w:vAlign w:val="center"/>
          </w:tcPr>
          <w:p w14:paraId="49547F1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r>
      <w:tr w:rsidR="002B61BC" w:rsidRPr="009B235E" w14:paraId="2143CA3C" w14:textId="77777777" w:rsidTr="002B61BC">
        <w:tc>
          <w:tcPr>
            <w:tcW w:w="2552" w:type="dxa"/>
            <w:vAlign w:val="bottom"/>
          </w:tcPr>
          <w:p w14:paraId="0A63D369"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Калужская область</w:t>
            </w:r>
          </w:p>
        </w:tc>
        <w:tc>
          <w:tcPr>
            <w:tcW w:w="1134" w:type="dxa"/>
            <w:shd w:val="clear" w:color="auto" w:fill="auto"/>
            <w:vAlign w:val="center"/>
          </w:tcPr>
          <w:p w14:paraId="32B21340"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36,3</w:t>
            </w:r>
          </w:p>
        </w:tc>
        <w:tc>
          <w:tcPr>
            <w:tcW w:w="1250" w:type="dxa"/>
            <w:shd w:val="clear" w:color="auto" w:fill="auto"/>
            <w:vAlign w:val="center"/>
          </w:tcPr>
          <w:p w14:paraId="74994940"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0,6</w:t>
            </w:r>
          </w:p>
        </w:tc>
        <w:tc>
          <w:tcPr>
            <w:tcW w:w="1392" w:type="dxa"/>
            <w:shd w:val="clear" w:color="auto" w:fill="auto"/>
            <w:vAlign w:val="center"/>
          </w:tcPr>
          <w:p w14:paraId="379C15A2"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722,8</w:t>
            </w:r>
          </w:p>
        </w:tc>
        <w:tc>
          <w:tcPr>
            <w:tcW w:w="1159" w:type="dxa"/>
            <w:shd w:val="clear" w:color="auto" w:fill="auto"/>
            <w:vAlign w:val="center"/>
          </w:tcPr>
          <w:p w14:paraId="79F6CB94"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0,7</w:t>
            </w:r>
          </w:p>
        </w:tc>
        <w:tc>
          <w:tcPr>
            <w:tcW w:w="1019" w:type="dxa"/>
            <w:shd w:val="clear" w:color="auto" w:fill="auto"/>
            <w:vAlign w:val="center"/>
          </w:tcPr>
          <w:p w14:paraId="0BECE3E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0,4</w:t>
            </w:r>
          </w:p>
        </w:tc>
        <w:tc>
          <w:tcPr>
            <w:tcW w:w="992" w:type="dxa"/>
            <w:shd w:val="clear" w:color="auto" w:fill="auto"/>
            <w:vAlign w:val="center"/>
          </w:tcPr>
          <w:p w14:paraId="19EFE791"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161" w:type="dxa"/>
            <w:shd w:val="clear" w:color="auto" w:fill="auto"/>
            <w:vAlign w:val="center"/>
          </w:tcPr>
          <w:p w14:paraId="23936691"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1460,6</w:t>
            </w:r>
          </w:p>
        </w:tc>
        <w:tc>
          <w:tcPr>
            <w:tcW w:w="1134" w:type="dxa"/>
            <w:shd w:val="clear" w:color="auto" w:fill="auto"/>
            <w:vAlign w:val="center"/>
          </w:tcPr>
          <w:p w14:paraId="68D287B0"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3,3</w:t>
            </w:r>
          </w:p>
        </w:tc>
        <w:tc>
          <w:tcPr>
            <w:tcW w:w="1328" w:type="dxa"/>
            <w:shd w:val="clear" w:color="auto" w:fill="auto"/>
            <w:vAlign w:val="center"/>
          </w:tcPr>
          <w:p w14:paraId="6FAC61EC"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396,4</w:t>
            </w:r>
          </w:p>
        </w:tc>
        <w:tc>
          <w:tcPr>
            <w:tcW w:w="1418" w:type="dxa"/>
            <w:shd w:val="clear" w:color="auto" w:fill="auto"/>
            <w:vAlign w:val="center"/>
          </w:tcPr>
          <w:p w14:paraId="433585A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966,7</w:t>
            </w:r>
          </w:p>
        </w:tc>
        <w:tc>
          <w:tcPr>
            <w:tcW w:w="1364" w:type="dxa"/>
            <w:shd w:val="clear" w:color="auto" w:fill="auto"/>
            <w:vAlign w:val="center"/>
          </w:tcPr>
          <w:p w14:paraId="77555FA9"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r>
      <w:tr w:rsidR="002B61BC" w:rsidRPr="009B235E" w14:paraId="302399AB" w14:textId="77777777" w:rsidTr="002B61BC">
        <w:tc>
          <w:tcPr>
            <w:tcW w:w="2552" w:type="dxa"/>
            <w:vAlign w:val="bottom"/>
          </w:tcPr>
          <w:p w14:paraId="40B232BE"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Костромская область</w:t>
            </w:r>
          </w:p>
        </w:tc>
        <w:tc>
          <w:tcPr>
            <w:tcW w:w="1134" w:type="dxa"/>
            <w:shd w:val="clear" w:color="auto" w:fill="auto"/>
            <w:vAlign w:val="center"/>
          </w:tcPr>
          <w:p w14:paraId="0F517FCA"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23,4</w:t>
            </w:r>
          </w:p>
        </w:tc>
        <w:tc>
          <w:tcPr>
            <w:tcW w:w="1250" w:type="dxa"/>
            <w:shd w:val="clear" w:color="auto" w:fill="auto"/>
            <w:vAlign w:val="center"/>
          </w:tcPr>
          <w:p w14:paraId="44A016EA"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17,1</w:t>
            </w:r>
          </w:p>
        </w:tc>
        <w:tc>
          <w:tcPr>
            <w:tcW w:w="1392" w:type="dxa"/>
            <w:shd w:val="clear" w:color="auto" w:fill="auto"/>
            <w:vAlign w:val="center"/>
          </w:tcPr>
          <w:p w14:paraId="4C9BE121"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202,2</w:t>
            </w:r>
          </w:p>
        </w:tc>
        <w:tc>
          <w:tcPr>
            <w:tcW w:w="1159" w:type="dxa"/>
            <w:shd w:val="clear" w:color="auto" w:fill="auto"/>
            <w:vAlign w:val="center"/>
          </w:tcPr>
          <w:p w14:paraId="13188BD4"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16,1</w:t>
            </w:r>
          </w:p>
        </w:tc>
        <w:tc>
          <w:tcPr>
            <w:tcW w:w="1019" w:type="dxa"/>
            <w:shd w:val="clear" w:color="auto" w:fill="auto"/>
            <w:vAlign w:val="center"/>
          </w:tcPr>
          <w:p w14:paraId="2FB8F984"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992" w:type="dxa"/>
            <w:shd w:val="clear" w:color="auto" w:fill="auto"/>
            <w:vAlign w:val="center"/>
          </w:tcPr>
          <w:p w14:paraId="66490AF4"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161" w:type="dxa"/>
            <w:shd w:val="clear" w:color="auto" w:fill="auto"/>
            <w:vAlign w:val="center"/>
          </w:tcPr>
          <w:p w14:paraId="1B360FDB"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386,7</w:t>
            </w:r>
          </w:p>
        </w:tc>
        <w:tc>
          <w:tcPr>
            <w:tcW w:w="1134" w:type="dxa"/>
            <w:shd w:val="clear" w:color="auto" w:fill="auto"/>
            <w:vAlign w:val="center"/>
          </w:tcPr>
          <w:p w14:paraId="040AF68A"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281,4</w:t>
            </w:r>
          </w:p>
        </w:tc>
        <w:tc>
          <w:tcPr>
            <w:tcW w:w="1328" w:type="dxa"/>
            <w:shd w:val="clear" w:color="auto" w:fill="auto"/>
            <w:vAlign w:val="center"/>
          </w:tcPr>
          <w:p w14:paraId="33A0C58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13,7</w:t>
            </w:r>
          </w:p>
        </w:tc>
        <w:tc>
          <w:tcPr>
            <w:tcW w:w="1418" w:type="dxa"/>
            <w:shd w:val="clear" w:color="auto" w:fill="auto"/>
            <w:vAlign w:val="center"/>
          </w:tcPr>
          <w:p w14:paraId="39C6AB21"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23,9</w:t>
            </w:r>
          </w:p>
        </w:tc>
        <w:tc>
          <w:tcPr>
            <w:tcW w:w="1364" w:type="dxa"/>
            <w:shd w:val="clear" w:color="auto" w:fill="auto"/>
            <w:vAlign w:val="center"/>
          </w:tcPr>
          <w:p w14:paraId="159FD7B9"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65,6</w:t>
            </w:r>
          </w:p>
        </w:tc>
      </w:tr>
      <w:tr w:rsidR="002B61BC" w:rsidRPr="009B235E" w14:paraId="2F596B42" w14:textId="77777777" w:rsidTr="002B61BC">
        <w:tc>
          <w:tcPr>
            <w:tcW w:w="2552" w:type="dxa"/>
            <w:vAlign w:val="bottom"/>
          </w:tcPr>
          <w:p w14:paraId="60CAF735"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Курская область</w:t>
            </w:r>
          </w:p>
        </w:tc>
        <w:tc>
          <w:tcPr>
            <w:tcW w:w="1134" w:type="dxa"/>
            <w:shd w:val="clear" w:color="auto" w:fill="auto"/>
            <w:vAlign w:val="center"/>
          </w:tcPr>
          <w:p w14:paraId="657A8E09"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250" w:type="dxa"/>
            <w:shd w:val="clear" w:color="auto" w:fill="auto"/>
            <w:vAlign w:val="center"/>
          </w:tcPr>
          <w:p w14:paraId="29A7CAA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81,8</w:t>
            </w:r>
          </w:p>
        </w:tc>
        <w:tc>
          <w:tcPr>
            <w:tcW w:w="1392" w:type="dxa"/>
            <w:shd w:val="clear" w:color="auto" w:fill="auto"/>
            <w:vAlign w:val="center"/>
          </w:tcPr>
          <w:p w14:paraId="25176621"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436,9</w:t>
            </w:r>
          </w:p>
        </w:tc>
        <w:tc>
          <w:tcPr>
            <w:tcW w:w="1159" w:type="dxa"/>
            <w:shd w:val="clear" w:color="auto" w:fill="auto"/>
            <w:vAlign w:val="center"/>
          </w:tcPr>
          <w:p w14:paraId="0DB5CF91"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019" w:type="dxa"/>
            <w:shd w:val="clear" w:color="auto" w:fill="auto"/>
            <w:vAlign w:val="center"/>
          </w:tcPr>
          <w:p w14:paraId="12E89D6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0,3</w:t>
            </w:r>
          </w:p>
        </w:tc>
        <w:tc>
          <w:tcPr>
            <w:tcW w:w="992" w:type="dxa"/>
            <w:shd w:val="clear" w:color="auto" w:fill="auto"/>
            <w:vAlign w:val="center"/>
          </w:tcPr>
          <w:p w14:paraId="00EB6D4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161" w:type="dxa"/>
            <w:shd w:val="clear" w:color="auto" w:fill="auto"/>
            <w:vAlign w:val="center"/>
          </w:tcPr>
          <w:p w14:paraId="62CD30F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1208,1</w:t>
            </w:r>
          </w:p>
        </w:tc>
        <w:tc>
          <w:tcPr>
            <w:tcW w:w="1134" w:type="dxa"/>
            <w:shd w:val="clear" w:color="auto" w:fill="auto"/>
            <w:vAlign w:val="center"/>
          </w:tcPr>
          <w:p w14:paraId="74DC2F39"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2,7</w:t>
            </w:r>
          </w:p>
        </w:tc>
        <w:tc>
          <w:tcPr>
            <w:tcW w:w="1328" w:type="dxa"/>
            <w:shd w:val="clear" w:color="auto" w:fill="auto"/>
            <w:vAlign w:val="center"/>
          </w:tcPr>
          <w:p w14:paraId="3E0C8B8D"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70,3</w:t>
            </w:r>
          </w:p>
        </w:tc>
        <w:tc>
          <w:tcPr>
            <w:tcW w:w="1418" w:type="dxa"/>
            <w:shd w:val="clear" w:color="auto" w:fill="auto"/>
            <w:vAlign w:val="center"/>
          </w:tcPr>
          <w:p w14:paraId="0252852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88,7</w:t>
            </w:r>
          </w:p>
        </w:tc>
        <w:tc>
          <w:tcPr>
            <w:tcW w:w="1364" w:type="dxa"/>
            <w:shd w:val="clear" w:color="auto" w:fill="auto"/>
            <w:vAlign w:val="center"/>
          </w:tcPr>
          <w:p w14:paraId="32CAF65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r>
      <w:tr w:rsidR="002B61BC" w:rsidRPr="009B235E" w14:paraId="72C1C84F" w14:textId="77777777" w:rsidTr="002B61BC">
        <w:tc>
          <w:tcPr>
            <w:tcW w:w="2552" w:type="dxa"/>
            <w:vAlign w:val="bottom"/>
          </w:tcPr>
          <w:p w14:paraId="147492EE"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Липецкая область</w:t>
            </w:r>
          </w:p>
        </w:tc>
        <w:tc>
          <w:tcPr>
            <w:tcW w:w="1134" w:type="dxa"/>
            <w:shd w:val="clear" w:color="auto" w:fill="auto"/>
            <w:vAlign w:val="center"/>
          </w:tcPr>
          <w:p w14:paraId="573560AB"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250" w:type="dxa"/>
            <w:shd w:val="clear" w:color="auto" w:fill="auto"/>
            <w:vAlign w:val="center"/>
          </w:tcPr>
          <w:p w14:paraId="35CA606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12,7</w:t>
            </w:r>
          </w:p>
        </w:tc>
        <w:tc>
          <w:tcPr>
            <w:tcW w:w="1392" w:type="dxa"/>
            <w:shd w:val="clear" w:color="auto" w:fill="auto"/>
            <w:vAlign w:val="center"/>
          </w:tcPr>
          <w:p w14:paraId="2FE138EB"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723,1</w:t>
            </w:r>
          </w:p>
        </w:tc>
        <w:tc>
          <w:tcPr>
            <w:tcW w:w="1159" w:type="dxa"/>
            <w:shd w:val="clear" w:color="auto" w:fill="auto"/>
            <w:vAlign w:val="center"/>
          </w:tcPr>
          <w:p w14:paraId="6E515F9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23,0</w:t>
            </w:r>
          </w:p>
        </w:tc>
        <w:tc>
          <w:tcPr>
            <w:tcW w:w="1019" w:type="dxa"/>
            <w:shd w:val="clear" w:color="auto" w:fill="auto"/>
            <w:vAlign w:val="center"/>
          </w:tcPr>
          <w:p w14:paraId="42CE1ED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992" w:type="dxa"/>
            <w:shd w:val="clear" w:color="auto" w:fill="auto"/>
            <w:vAlign w:val="center"/>
          </w:tcPr>
          <w:p w14:paraId="7882146A"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74,8</w:t>
            </w:r>
          </w:p>
        </w:tc>
        <w:tc>
          <w:tcPr>
            <w:tcW w:w="1161" w:type="dxa"/>
            <w:shd w:val="clear" w:color="auto" w:fill="auto"/>
            <w:vAlign w:val="center"/>
          </w:tcPr>
          <w:p w14:paraId="31561F71"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2026,8</w:t>
            </w:r>
          </w:p>
        </w:tc>
        <w:tc>
          <w:tcPr>
            <w:tcW w:w="1134" w:type="dxa"/>
            <w:shd w:val="clear" w:color="auto" w:fill="auto"/>
            <w:vAlign w:val="center"/>
          </w:tcPr>
          <w:p w14:paraId="5001127C"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956,3</w:t>
            </w:r>
          </w:p>
        </w:tc>
        <w:tc>
          <w:tcPr>
            <w:tcW w:w="1328" w:type="dxa"/>
            <w:shd w:val="clear" w:color="auto" w:fill="auto"/>
            <w:vAlign w:val="center"/>
          </w:tcPr>
          <w:p w14:paraId="542EF01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246,6</w:t>
            </w:r>
          </w:p>
        </w:tc>
        <w:tc>
          <w:tcPr>
            <w:tcW w:w="1418" w:type="dxa"/>
            <w:shd w:val="clear" w:color="auto" w:fill="auto"/>
            <w:vAlign w:val="center"/>
          </w:tcPr>
          <w:p w14:paraId="27BE9D45"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216,9</w:t>
            </w:r>
          </w:p>
        </w:tc>
        <w:tc>
          <w:tcPr>
            <w:tcW w:w="1364" w:type="dxa"/>
            <w:shd w:val="clear" w:color="auto" w:fill="auto"/>
            <w:vAlign w:val="center"/>
          </w:tcPr>
          <w:p w14:paraId="56A428E5"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123,8</w:t>
            </w:r>
          </w:p>
        </w:tc>
      </w:tr>
      <w:tr w:rsidR="002B61BC" w:rsidRPr="009B235E" w14:paraId="5B2D79E2" w14:textId="77777777" w:rsidTr="002B61BC">
        <w:tc>
          <w:tcPr>
            <w:tcW w:w="2552" w:type="dxa"/>
            <w:vAlign w:val="bottom"/>
          </w:tcPr>
          <w:p w14:paraId="0F2E66DA"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Московская область</w:t>
            </w:r>
          </w:p>
        </w:tc>
        <w:tc>
          <w:tcPr>
            <w:tcW w:w="1134" w:type="dxa"/>
            <w:shd w:val="clear" w:color="auto" w:fill="auto"/>
            <w:vAlign w:val="center"/>
          </w:tcPr>
          <w:p w14:paraId="022C7F42"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836,0</w:t>
            </w:r>
          </w:p>
        </w:tc>
        <w:tc>
          <w:tcPr>
            <w:tcW w:w="1250" w:type="dxa"/>
            <w:shd w:val="clear" w:color="auto" w:fill="auto"/>
            <w:vAlign w:val="center"/>
          </w:tcPr>
          <w:p w14:paraId="001AB41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7,3</w:t>
            </w:r>
          </w:p>
        </w:tc>
        <w:tc>
          <w:tcPr>
            <w:tcW w:w="1392" w:type="dxa"/>
            <w:shd w:val="clear" w:color="auto" w:fill="auto"/>
            <w:vAlign w:val="center"/>
          </w:tcPr>
          <w:p w14:paraId="1B7B70C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7821,5</w:t>
            </w:r>
          </w:p>
        </w:tc>
        <w:tc>
          <w:tcPr>
            <w:tcW w:w="1159" w:type="dxa"/>
            <w:shd w:val="clear" w:color="auto" w:fill="auto"/>
            <w:vAlign w:val="center"/>
          </w:tcPr>
          <w:p w14:paraId="69A3843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2145,5</w:t>
            </w:r>
          </w:p>
        </w:tc>
        <w:tc>
          <w:tcPr>
            <w:tcW w:w="1019" w:type="dxa"/>
            <w:shd w:val="clear" w:color="auto" w:fill="auto"/>
            <w:vAlign w:val="center"/>
          </w:tcPr>
          <w:p w14:paraId="4115204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2815,1</w:t>
            </w:r>
          </w:p>
        </w:tc>
        <w:tc>
          <w:tcPr>
            <w:tcW w:w="992" w:type="dxa"/>
            <w:shd w:val="clear" w:color="auto" w:fill="auto"/>
            <w:vAlign w:val="center"/>
          </w:tcPr>
          <w:p w14:paraId="62852BB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161" w:type="dxa"/>
            <w:shd w:val="clear" w:color="auto" w:fill="auto"/>
            <w:vAlign w:val="center"/>
          </w:tcPr>
          <w:p w14:paraId="29EC2F4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19256,4</w:t>
            </w:r>
          </w:p>
        </w:tc>
        <w:tc>
          <w:tcPr>
            <w:tcW w:w="1134" w:type="dxa"/>
            <w:shd w:val="clear" w:color="auto" w:fill="auto"/>
            <w:vAlign w:val="center"/>
          </w:tcPr>
          <w:p w14:paraId="64DF92E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3,6</w:t>
            </w:r>
          </w:p>
        </w:tc>
        <w:tc>
          <w:tcPr>
            <w:tcW w:w="1328" w:type="dxa"/>
            <w:shd w:val="clear" w:color="auto" w:fill="auto"/>
            <w:vAlign w:val="center"/>
          </w:tcPr>
          <w:p w14:paraId="7013CABC"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1448,2</w:t>
            </w:r>
          </w:p>
        </w:tc>
        <w:tc>
          <w:tcPr>
            <w:tcW w:w="1418" w:type="dxa"/>
            <w:shd w:val="clear" w:color="auto" w:fill="auto"/>
            <w:vAlign w:val="center"/>
          </w:tcPr>
          <w:p w14:paraId="4255832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364" w:type="dxa"/>
            <w:shd w:val="clear" w:color="auto" w:fill="auto"/>
            <w:vAlign w:val="center"/>
          </w:tcPr>
          <w:p w14:paraId="659689B3"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1972,4</w:t>
            </w:r>
          </w:p>
        </w:tc>
      </w:tr>
      <w:tr w:rsidR="002B61BC" w:rsidRPr="009B235E" w14:paraId="6753A944" w14:textId="77777777" w:rsidTr="002B61BC">
        <w:tc>
          <w:tcPr>
            <w:tcW w:w="2552" w:type="dxa"/>
            <w:vAlign w:val="bottom"/>
          </w:tcPr>
          <w:p w14:paraId="7AA9B57B"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Орловская область</w:t>
            </w:r>
          </w:p>
        </w:tc>
        <w:tc>
          <w:tcPr>
            <w:tcW w:w="1134" w:type="dxa"/>
            <w:shd w:val="clear" w:color="auto" w:fill="auto"/>
            <w:vAlign w:val="center"/>
          </w:tcPr>
          <w:p w14:paraId="5BA41C7A"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250" w:type="dxa"/>
            <w:shd w:val="clear" w:color="auto" w:fill="auto"/>
            <w:vAlign w:val="center"/>
          </w:tcPr>
          <w:p w14:paraId="41E56AA2"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266,5</w:t>
            </w:r>
          </w:p>
        </w:tc>
        <w:tc>
          <w:tcPr>
            <w:tcW w:w="1392" w:type="dxa"/>
            <w:shd w:val="clear" w:color="auto" w:fill="auto"/>
            <w:vAlign w:val="center"/>
          </w:tcPr>
          <w:p w14:paraId="19389B6D"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63,6</w:t>
            </w:r>
          </w:p>
        </w:tc>
        <w:tc>
          <w:tcPr>
            <w:tcW w:w="1159" w:type="dxa"/>
            <w:shd w:val="clear" w:color="auto" w:fill="auto"/>
            <w:vAlign w:val="center"/>
          </w:tcPr>
          <w:p w14:paraId="2BAF5E85"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488,7</w:t>
            </w:r>
          </w:p>
        </w:tc>
        <w:tc>
          <w:tcPr>
            <w:tcW w:w="1019" w:type="dxa"/>
            <w:shd w:val="clear" w:color="auto" w:fill="auto"/>
            <w:vAlign w:val="center"/>
          </w:tcPr>
          <w:p w14:paraId="01C9D775"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992" w:type="dxa"/>
            <w:shd w:val="clear" w:color="auto" w:fill="auto"/>
            <w:vAlign w:val="center"/>
          </w:tcPr>
          <w:p w14:paraId="375B4D64"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161" w:type="dxa"/>
            <w:shd w:val="clear" w:color="auto" w:fill="auto"/>
            <w:vAlign w:val="center"/>
          </w:tcPr>
          <w:p w14:paraId="44B4BD69"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521,9</w:t>
            </w:r>
          </w:p>
        </w:tc>
        <w:tc>
          <w:tcPr>
            <w:tcW w:w="1134" w:type="dxa"/>
            <w:shd w:val="clear" w:color="auto" w:fill="auto"/>
            <w:vAlign w:val="center"/>
          </w:tcPr>
          <w:p w14:paraId="64D34BF2"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206,3</w:t>
            </w:r>
          </w:p>
        </w:tc>
        <w:tc>
          <w:tcPr>
            <w:tcW w:w="1328" w:type="dxa"/>
            <w:shd w:val="clear" w:color="auto" w:fill="auto"/>
            <w:vAlign w:val="center"/>
          </w:tcPr>
          <w:p w14:paraId="191564D9"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108,6</w:t>
            </w:r>
          </w:p>
        </w:tc>
        <w:tc>
          <w:tcPr>
            <w:tcW w:w="1418" w:type="dxa"/>
            <w:shd w:val="clear" w:color="auto" w:fill="auto"/>
            <w:vAlign w:val="center"/>
          </w:tcPr>
          <w:p w14:paraId="64CA9BD1"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22,1</w:t>
            </w:r>
          </w:p>
        </w:tc>
        <w:tc>
          <w:tcPr>
            <w:tcW w:w="1364" w:type="dxa"/>
            <w:shd w:val="clear" w:color="auto" w:fill="auto"/>
            <w:vAlign w:val="center"/>
          </w:tcPr>
          <w:p w14:paraId="4BC8899A"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97,9</w:t>
            </w:r>
          </w:p>
        </w:tc>
      </w:tr>
      <w:tr w:rsidR="002B61BC" w:rsidRPr="009B235E" w14:paraId="41BC8BA6" w14:textId="77777777" w:rsidTr="002B61BC">
        <w:tc>
          <w:tcPr>
            <w:tcW w:w="2552" w:type="dxa"/>
            <w:vAlign w:val="bottom"/>
          </w:tcPr>
          <w:p w14:paraId="0F918B1E"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Рязанская область</w:t>
            </w:r>
          </w:p>
        </w:tc>
        <w:tc>
          <w:tcPr>
            <w:tcW w:w="1134" w:type="dxa"/>
            <w:shd w:val="clear" w:color="auto" w:fill="auto"/>
            <w:vAlign w:val="center"/>
          </w:tcPr>
          <w:p w14:paraId="5D92C993"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0,2</w:t>
            </w:r>
          </w:p>
        </w:tc>
        <w:tc>
          <w:tcPr>
            <w:tcW w:w="1250" w:type="dxa"/>
            <w:shd w:val="clear" w:color="auto" w:fill="auto"/>
            <w:vAlign w:val="center"/>
          </w:tcPr>
          <w:p w14:paraId="634BF7C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75,9</w:t>
            </w:r>
          </w:p>
        </w:tc>
        <w:tc>
          <w:tcPr>
            <w:tcW w:w="1392" w:type="dxa"/>
            <w:shd w:val="clear" w:color="auto" w:fill="auto"/>
            <w:vAlign w:val="center"/>
          </w:tcPr>
          <w:p w14:paraId="746D4BE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634,3</w:t>
            </w:r>
          </w:p>
        </w:tc>
        <w:tc>
          <w:tcPr>
            <w:tcW w:w="1159" w:type="dxa"/>
            <w:shd w:val="clear" w:color="auto" w:fill="auto"/>
            <w:vAlign w:val="center"/>
          </w:tcPr>
          <w:p w14:paraId="2006E3F9"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252,2</w:t>
            </w:r>
          </w:p>
        </w:tc>
        <w:tc>
          <w:tcPr>
            <w:tcW w:w="1019" w:type="dxa"/>
            <w:shd w:val="clear" w:color="auto" w:fill="auto"/>
            <w:vAlign w:val="center"/>
          </w:tcPr>
          <w:p w14:paraId="43647A55"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15,1</w:t>
            </w:r>
          </w:p>
        </w:tc>
        <w:tc>
          <w:tcPr>
            <w:tcW w:w="992" w:type="dxa"/>
            <w:shd w:val="clear" w:color="auto" w:fill="auto"/>
            <w:vAlign w:val="center"/>
          </w:tcPr>
          <w:p w14:paraId="00B5F589"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15,9</w:t>
            </w:r>
          </w:p>
        </w:tc>
        <w:tc>
          <w:tcPr>
            <w:tcW w:w="1161" w:type="dxa"/>
            <w:shd w:val="clear" w:color="auto" w:fill="auto"/>
            <w:vAlign w:val="center"/>
          </w:tcPr>
          <w:p w14:paraId="5F99366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972,5</w:t>
            </w:r>
          </w:p>
        </w:tc>
        <w:tc>
          <w:tcPr>
            <w:tcW w:w="1134" w:type="dxa"/>
            <w:shd w:val="clear" w:color="auto" w:fill="auto"/>
            <w:vAlign w:val="center"/>
          </w:tcPr>
          <w:p w14:paraId="13C8D8A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661,7</w:t>
            </w:r>
          </w:p>
        </w:tc>
        <w:tc>
          <w:tcPr>
            <w:tcW w:w="1328" w:type="dxa"/>
            <w:shd w:val="clear" w:color="auto" w:fill="auto"/>
            <w:vAlign w:val="center"/>
          </w:tcPr>
          <w:p w14:paraId="1B2C2555"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59,5</w:t>
            </w:r>
          </w:p>
        </w:tc>
        <w:tc>
          <w:tcPr>
            <w:tcW w:w="1418" w:type="dxa"/>
            <w:shd w:val="clear" w:color="auto" w:fill="auto"/>
            <w:vAlign w:val="center"/>
          </w:tcPr>
          <w:p w14:paraId="07A0FD3B"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118,7</w:t>
            </w:r>
          </w:p>
        </w:tc>
        <w:tc>
          <w:tcPr>
            <w:tcW w:w="1364" w:type="dxa"/>
            <w:shd w:val="clear" w:color="auto" w:fill="auto"/>
            <w:vAlign w:val="center"/>
          </w:tcPr>
          <w:p w14:paraId="461F819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73,4</w:t>
            </w:r>
          </w:p>
        </w:tc>
      </w:tr>
      <w:tr w:rsidR="002B61BC" w:rsidRPr="009B235E" w14:paraId="0DC7200C" w14:textId="77777777" w:rsidTr="002B61BC">
        <w:tc>
          <w:tcPr>
            <w:tcW w:w="2552" w:type="dxa"/>
            <w:vAlign w:val="bottom"/>
          </w:tcPr>
          <w:p w14:paraId="794645CE"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Смоленская область</w:t>
            </w:r>
          </w:p>
        </w:tc>
        <w:tc>
          <w:tcPr>
            <w:tcW w:w="1134" w:type="dxa"/>
            <w:shd w:val="clear" w:color="auto" w:fill="auto"/>
            <w:vAlign w:val="center"/>
          </w:tcPr>
          <w:p w14:paraId="17F0DC43"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3,3</w:t>
            </w:r>
          </w:p>
        </w:tc>
        <w:tc>
          <w:tcPr>
            <w:tcW w:w="1250" w:type="dxa"/>
            <w:shd w:val="clear" w:color="auto" w:fill="auto"/>
            <w:vAlign w:val="center"/>
          </w:tcPr>
          <w:p w14:paraId="0E3EA38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147,2</w:t>
            </w:r>
          </w:p>
        </w:tc>
        <w:tc>
          <w:tcPr>
            <w:tcW w:w="1392" w:type="dxa"/>
            <w:shd w:val="clear" w:color="auto" w:fill="auto"/>
            <w:vAlign w:val="center"/>
          </w:tcPr>
          <w:p w14:paraId="1414137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443,1</w:t>
            </w:r>
          </w:p>
        </w:tc>
        <w:tc>
          <w:tcPr>
            <w:tcW w:w="1159" w:type="dxa"/>
            <w:shd w:val="clear" w:color="auto" w:fill="auto"/>
            <w:vAlign w:val="center"/>
          </w:tcPr>
          <w:p w14:paraId="613B702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32,7</w:t>
            </w:r>
          </w:p>
        </w:tc>
        <w:tc>
          <w:tcPr>
            <w:tcW w:w="1019" w:type="dxa"/>
            <w:shd w:val="clear" w:color="auto" w:fill="auto"/>
            <w:vAlign w:val="center"/>
          </w:tcPr>
          <w:p w14:paraId="404A83A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0,0</w:t>
            </w:r>
          </w:p>
        </w:tc>
        <w:tc>
          <w:tcPr>
            <w:tcW w:w="992" w:type="dxa"/>
            <w:shd w:val="clear" w:color="auto" w:fill="auto"/>
            <w:vAlign w:val="center"/>
          </w:tcPr>
          <w:p w14:paraId="05A95E5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6,7</w:t>
            </w:r>
          </w:p>
        </w:tc>
        <w:tc>
          <w:tcPr>
            <w:tcW w:w="1161" w:type="dxa"/>
            <w:shd w:val="clear" w:color="auto" w:fill="auto"/>
            <w:vAlign w:val="center"/>
          </w:tcPr>
          <w:p w14:paraId="4D94B35A"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949,9</w:t>
            </w:r>
          </w:p>
        </w:tc>
        <w:tc>
          <w:tcPr>
            <w:tcW w:w="1134" w:type="dxa"/>
            <w:shd w:val="clear" w:color="auto" w:fill="auto"/>
            <w:vAlign w:val="center"/>
          </w:tcPr>
          <w:p w14:paraId="5CB160A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554,5</w:t>
            </w:r>
          </w:p>
        </w:tc>
        <w:tc>
          <w:tcPr>
            <w:tcW w:w="1328" w:type="dxa"/>
            <w:shd w:val="clear" w:color="auto" w:fill="auto"/>
            <w:vAlign w:val="center"/>
          </w:tcPr>
          <w:p w14:paraId="1BD6DD03"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254,2</w:t>
            </w:r>
          </w:p>
        </w:tc>
        <w:tc>
          <w:tcPr>
            <w:tcW w:w="1418" w:type="dxa"/>
            <w:shd w:val="clear" w:color="auto" w:fill="auto"/>
            <w:vAlign w:val="center"/>
          </w:tcPr>
          <w:p w14:paraId="1CE981DA"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2,2</w:t>
            </w:r>
          </w:p>
        </w:tc>
        <w:tc>
          <w:tcPr>
            <w:tcW w:w="1364" w:type="dxa"/>
            <w:shd w:val="clear" w:color="auto" w:fill="auto"/>
            <w:vAlign w:val="center"/>
          </w:tcPr>
          <w:p w14:paraId="45273FCB"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2,3</w:t>
            </w:r>
          </w:p>
        </w:tc>
      </w:tr>
      <w:tr w:rsidR="002B61BC" w:rsidRPr="009B235E" w14:paraId="5E8EEAB8" w14:textId="77777777" w:rsidTr="002B61BC">
        <w:tc>
          <w:tcPr>
            <w:tcW w:w="2552" w:type="dxa"/>
            <w:vAlign w:val="bottom"/>
          </w:tcPr>
          <w:p w14:paraId="2B2522E9"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Тамбовская область</w:t>
            </w:r>
          </w:p>
        </w:tc>
        <w:tc>
          <w:tcPr>
            <w:tcW w:w="1134" w:type="dxa"/>
            <w:shd w:val="clear" w:color="auto" w:fill="auto"/>
            <w:vAlign w:val="center"/>
          </w:tcPr>
          <w:p w14:paraId="4AB9011D"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68,7</w:t>
            </w:r>
          </w:p>
        </w:tc>
        <w:tc>
          <w:tcPr>
            <w:tcW w:w="1250" w:type="dxa"/>
            <w:shd w:val="clear" w:color="auto" w:fill="auto"/>
            <w:vAlign w:val="center"/>
          </w:tcPr>
          <w:p w14:paraId="366C7F6A"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178,9</w:t>
            </w:r>
          </w:p>
        </w:tc>
        <w:tc>
          <w:tcPr>
            <w:tcW w:w="1392" w:type="dxa"/>
            <w:shd w:val="clear" w:color="auto" w:fill="auto"/>
            <w:vAlign w:val="center"/>
          </w:tcPr>
          <w:p w14:paraId="7B60E31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555,5</w:t>
            </w:r>
          </w:p>
        </w:tc>
        <w:tc>
          <w:tcPr>
            <w:tcW w:w="1159" w:type="dxa"/>
            <w:shd w:val="clear" w:color="auto" w:fill="auto"/>
            <w:vAlign w:val="center"/>
          </w:tcPr>
          <w:p w14:paraId="4EF4E489"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304,8</w:t>
            </w:r>
          </w:p>
        </w:tc>
        <w:tc>
          <w:tcPr>
            <w:tcW w:w="1019" w:type="dxa"/>
            <w:shd w:val="clear" w:color="auto" w:fill="auto"/>
            <w:vAlign w:val="center"/>
          </w:tcPr>
          <w:p w14:paraId="23F04D4A"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992" w:type="dxa"/>
            <w:shd w:val="clear" w:color="auto" w:fill="auto"/>
            <w:vAlign w:val="center"/>
          </w:tcPr>
          <w:p w14:paraId="54D1CA7A"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163,3</w:t>
            </w:r>
          </w:p>
        </w:tc>
        <w:tc>
          <w:tcPr>
            <w:tcW w:w="1161" w:type="dxa"/>
            <w:shd w:val="clear" w:color="auto" w:fill="auto"/>
            <w:vAlign w:val="center"/>
          </w:tcPr>
          <w:p w14:paraId="0F5185D0"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907,3</w:t>
            </w:r>
          </w:p>
        </w:tc>
        <w:tc>
          <w:tcPr>
            <w:tcW w:w="1134" w:type="dxa"/>
            <w:shd w:val="clear" w:color="auto" w:fill="auto"/>
            <w:vAlign w:val="center"/>
          </w:tcPr>
          <w:p w14:paraId="458727B9"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368,0</w:t>
            </w:r>
          </w:p>
        </w:tc>
        <w:tc>
          <w:tcPr>
            <w:tcW w:w="1328" w:type="dxa"/>
            <w:shd w:val="clear" w:color="auto" w:fill="auto"/>
            <w:vAlign w:val="center"/>
          </w:tcPr>
          <w:p w14:paraId="6D0BAFA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81,9</w:t>
            </w:r>
          </w:p>
        </w:tc>
        <w:tc>
          <w:tcPr>
            <w:tcW w:w="1418" w:type="dxa"/>
            <w:shd w:val="clear" w:color="auto" w:fill="auto"/>
            <w:vAlign w:val="center"/>
          </w:tcPr>
          <w:p w14:paraId="745EBCDC"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52,6</w:t>
            </w:r>
          </w:p>
        </w:tc>
        <w:tc>
          <w:tcPr>
            <w:tcW w:w="1364" w:type="dxa"/>
            <w:shd w:val="clear" w:color="auto" w:fill="auto"/>
            <w:vAlign w:val="center"/>
          </w:tcPr>
          <w:p w14:paraId="7180356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48,9</w:t>
            </w:r>
          </w:p>
        </w:tc>
      </w:tr>
      <w:tr w:rsidR="002B61BC" w:rsidRPr="009B235E" w14:paraId="463B55F3" w14:textId="77777777" w:rsidTr="002B61BC">
        <w:tc>
          <w:tcPr>
            <w:tcW w:w="2552" w:type="dxa"/>
            <w:vAlign w:val="bottom"/>
          </w:tcPr>
          <w:p w14:paraId="2BCF7760"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Тверская область</w:t>
            </w:r>
          </w:p>
        </w:tc>
        <w:tc>
          <w:tcPr>
            <w:tcW w:w="1134" w:type="dxa"/>
            <w:shd w:val="clear" w:color="auto" w:fill="auto"/>
            <w:vAlign w:val="center"/>
          </w:tcPr>
          <w:p w14:paraId="5123723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0,6</w:t>
            </w:r>
          </w:p>
        </w:tc>
        <w:tc>
          <w:tcPr>
            <w:tcW w:w="1250" w:type="dxa"/>
            <w:shd w:val="clear" w:color="auto" w:fill="auto"/>
            <w:vAlign w:val="center"/>
          </w:tcPr>
          <w:p w14:paraId="57E2A29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123,3</w:t>
            </w:r>
          </w:p>
        </w:tc>
        <w:tc>
          <w:tcPr>
            <w:tcW w:w="1392" w:type="dxa"/>
            <w:shd w:val="clear" w:color="auto" w:fill="auto"/>
            <w:vAlign w:val="center"/>
          </w:tcPr>
          <w:p w14:paraId="2C84748A"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502,0</w:t>
            </w:r>
          </w:p>
        </w:tc>
        <w:tc>
          <w:tcPr>
            <w:tcW w:w="1159" w:type="dxa"/>
            <w:shd w:val="clear" w:color="auto" w:fill="auto"/>
            <w:vAlign w:val="center"/>
          </w:tcPr>
          <w:p w14:paraId="7077AB5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4,9</w:t>
            </w:r>
          </w:p>
        </w:tc>
        <w:tc>
          <w:tcPr>
            <w:tcW w:w="1019" w:type="dxa"/>
            <w:shd w:val="clear" w:color="auto" w:fill="auto"/>
            <w:vAlign w:val="center"/>
          </w:tcPr>
          <w:p w14:paraId="39F6422A"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6,6</w:t>
            </w:r>
          </w:p>
        </w:tc>
        <w:tc>
          <w:tcPr>
            <w:tcW w:w="992" w:type="dxa"/>
            <w:shd w:val="clear" w:color="auto" w:fill="auto"/>
            <w:vAlign w:val="center"/>
          </w:tcPr>
          <w:p w14:paraId="3755196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161" w:type="dxa"/>
            <w:shd w:val="clear" w:color="auto" w:fill="auto"/>
            <w:vAlign w:val="center"/>
          </w:tcPr>
          <w:p w14:paraId="56BC5D95"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1421,1</w:t>
            </w:r>
          </w:p>
        </w:tc>
        <w:tc>
          <w:tcPr>
            <w:tcW w:w="1134" w:type="dxa"/>
            <w:shd w:val="clear" w:color="auto" w:fill="auto"/>
            <w:vAlign w:val="center"/>
          </w:tcPr>
          <w:p w14:paraId="135EFCD1"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282,2</w:t>
            </w:r>
          </w:p>
        </w:tc>
        <w:tc>
          <w:tcPr>
            <w:tcW w:w="1328" w:type="dxa"/>
            <w:shd w:val="clear" w:color="auto" w:fill="auto"/>
            <w:vAlign w:val="center"/>
          </w:tcPr>
          <w:p w14:paraId="3E158FA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81,3</w:t>
            </w:r>
          </w:p>
        </w:tc>
        <w:tc>
          <w:tcPr>
            <w:tcW w:w="1418" w:type="dxa"/>
            <w:shd w:val="clear" w:color="auto" w:fill="auto"/>
            <w:vAlign w:val="center"/>
          </w:tcPr>
          <w:p w14:paraId="5C35D110"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137,9</w:t>
            </w:r>
          </w:p>
        </w:tc>
        <w:tc>
          <w:tcPr>
            <w:tcW w:w="1364" w:type="dxa"/>
            <w:shd w:val="clear" w:color="auto" w:fill="auto"/>
            <w:vAlign w:val="center"/>
          </w:tcPr>
          <w:p w14:paraId="17A23E43"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256,4</w:t>
            </w:r>
          </w:p>
        </w:tc>
      </w:tr>
      <w:tr w:rsidR="002B61BC" w:rsidRPr="009B235E" w14:paraId="74BB8F05" w14:textId="77777777" w:rsidTr="002B61BC">
        <w:tc>
          <w:tcPr>
            <w:tcW w:w="2552" w:type="dxa"/>
            <w:vAlign w:val="bottom"/>
          </w:tcPr>
          <w:p w14:paraId="6D5D1B4C"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Тульская область</w:t>
            </w:r>
          </w:p>
        </w:tc>
        <w:tc>
          <w:tcPr>
            <w:tcW w:w="1134" w:type="dxa"/>
            <w:shd w:val="clear" w:color="auto" w:fill="auto"/>
            <w:vAlign w:val="center"/>
          </w:tcPr>
          <w:p w14:paraId="27ED3284"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66,2</w:t>
            </w:r>
          </w:p>
        </w:tc>
        <w:tc>
          <w:tcPr>
            <w:tcW w:w="1250" w:type="dxa"/>
            <w:shd w:val="clear" w:color="auto" w:fill="auto"/>
            <w:vAlign w:val="center"/>
          </w:tcPr>
          <w:p w14:paraId="51B7A7D3"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1564,2</w:t>
            </w:r>
          </w:p>
        </w:tc>
        <w:tc>
          <w:tcPr>
            <w:tcW w:w="1392" w:type="dxa"/>
            <w:shd w:val="clear" w:color="auto" w:fill="auto"/>
            <w:vAlign w:val="center"/>
          </w:tcPr>
          <w:p w14:paraId="0DAE3A7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1265,5</w:t>
            </w:r>
          </w:p>
        </w:tc>
        <w:tc>
          <w:tcPr>
            <w:tcW w:w="1159" w:type="dxa"/>
            <w:shd w:val="clear" w:color="auto" w:fill="auto"/>
            <w:vAlign w:val="center"/>
          </w:tcPr>
          <w:p w14:paraId="7006E2BD"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241,1</w:t>
            </w:r>
          </w:p>
        </w:tc>
        <w:tc>
          <w:tcPr>
            <w:tcW w:w="1019" w:type="dxa"/>
            <w:shd w:val="clear" w:color="auto" w:fill="auto"/>
            <w:vAlign w:val="center"/>
          </w:tcPr>
          <w:p w14:paraId="53356D3C"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123,0</w:t>
            </w:r>
          </w:p>
        </w:tc>
        <w:tc>
          <w:tcPr>
            <w:tcW w:w="992" w:type="dxa"/>
            <w:shd w:val="clear" w:color="auto" w:fill="auto"/>
            <w:vAlign w:val="center"/>
          </w:tcPr>
          <w:p w14:paraId="43AC8B4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265,7</w:t>
            </w:r>
          </w:p>
        </w:tc>
        <w:tc>
          <w:tcPr>
            <w:tcW w:w="1161" w:type="dxa"/>
            <w:shd w:val="clear" w:color="auto" w:fill="auto"/>
            <w:vAlign w:val="center"/>
          </w:tcPr>
          <w:p w14:paraId="4D6940D9"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1977,0</w:t>
            </w:r>
          </w:p>
        </w:tc>
        <w:tc>
          <w:tcPr>
            <w:tcW w:w="1134" w:type="dxa"/>
            <w:shd w:val="clear" w:color="auto" w:fill="auto"/>
            <w:vAlign w:val="center"/>
          </w:tcPr>
          <w:p w14:paraId="59E994E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627,6</w:t>
            </w:r>
          </w:p>
        </w:tc>
        <w:tc>
          <w:tcPr>
            <w:tcW w:w="1328" w:type="dxa"/>
            <w:shd w:val="clear" w:color="auto" w:fill="auto"/>
            <w:vAlign w:val="center"/>
          </w:tcPr>
          <w:p w14:paraId="71034EF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222,5</w:t>
            </w:r>
          </w:p>
        </w:tc>
        <w:tc>
          <w:tcPr>
            <w:tcW w:w="1418" w:type="dxa"/>
            <w:shd w:val="clear" w:color="auto" w:fill="auto"/>
            <w:vAlign w:val="center"/>
          </w:tcPr>
          <w:p w14:paraId="26F95823"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218,9</w:t>
            </w:r>
          </w:p>
        </w:tc>
        <w:tc>
          <w:tcPr>
            <w:tcW w:w="1364" w:type="dxa"/>
            <w:shd w:val="clear" w:color="auto" w:fill="auto"/>
            <w:vAlign w:val="center"/>
          </w:tcPr>
          <w:p w14:paraId="46B6FAAD"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338,3</w:t>
            </w:r>
          </w:p>
        </w:tc>
      </w:tr>
      <w:tr w:rsidR="002B61BC" w:rsidRPr="009B235E" w14:paraId="20A678A2" w14:textId="77777777" w:rsidTr="002B61BC">
        <w:tc>
          <w:tcPr>
            <w:tcW w:w="2552" w:type="dxa"/>
            <w:vAlign w:val="bottom"/>
          </w:tcPr>
          <w:p w14:paraId="5A6A9A4B"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Ярославская область</w:t>
            </w:r>
          </w:p>
        </w:tc>
        <w:tc>
          <w:tcPr>
            <w:tcW w:w="1134" w:type="dxa"/>
            <w:shd w:val="clear" w:color="auto" w:fill="auto"/>
            <w:vAlign w:val="center"/>
          </w:tcPr>
          <w:p w14:paraId="46AE033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96,3</w:t>
            </w:r>
          </w:p>
        </w:tc>
        <w:tc>
          <w:tcPr>
            <w:tcW w:w="1250" w:type="dxa"/>
            <w:shd w:val="clear" w:color="auto" w:fill="auto"/>
            <w:vAlign w:val="center"/>
          </w:tcPr>
          <w:p w14:paraId="1CBF2CC1"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29,3</w:t>
            </w:r>
          </w:p>
        </w:tc>
        <w:tc>
          <w:tcPr>
            <w:tcW w:w="1392" w:type="dxa"/>
            <w:shd w:val="clear" w:color="auto" w:fill="auto"/>
            <w:vAlign w:val="center"/>
          </w:tcPr>
          <w:p w14:paraId="6D24A9AC"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669,8</w:t>
            </w:r>
          </w:p>
        </w:tc>
        <w:tc>
          <w:tcPr>
            <w:tcW w:w="1159" w:type="dxa"/>
            <w:shd w:val="clear" w:color="auto" w:fill="auto"/>
            <w:vAlign w:val="center"/>
          </w:tcPr>
          <w:p w14:paraId="328E293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658,8</w:t>
            </w:r>
          </w:p>
        </w:tc>
        <w:tc>
          <w:tcPr>
            <w:tcW w:w="1019" w:type="dxa"/>
            <w:shd w:val="clear" w:color="auto" w:fill="auto"/>
            <w:vAlign w:val="center"/>
          </w:tcPr>
          <w:p w14:paraId="12CFF50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4,6</w:t>
            </w:r>
          </w:p>
        </w:tc>
        <w:tc>
          <w:tcPr>
            <w:tcW w:w="992" w:type="dxa"/>
            <w:shd w:val="clear" w:color="auto" w:fill="auto"/>
            <w:vAlign w:val="center"/>
          </w:tcPr>
          <w:p w14:paraId="4EF7E369"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49,7</w:t>
            </w:r>
          </w:p>
        </w:tc>
        <w:tc>
          <w:tcPr>
            <w:tcW w:w="1161" w:type="dxa"/>
            <w:shd w:val="clear" w:color="auto" w:fill="auto"/>
            <w:vAlign w:val="center"/>
          </w:tcPr>
          <w:p w14:paraId="16DC1321"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2385,6</w:t>
            </w:r>
          </w:p>
        </w:tc>
        <w:tc>
          <w:tcPr>
            <w:tcW w:w="1134" w:type="dxa"/>
            <w:shd w:val="clear" w:color="auto" w:fill="auto"/>
            <w:vAlign w:val="center"/>
          </w:tcPr>
          <w:p w14:paraId="13D6A69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1255,6</w:t>
            </w:r>
          </w:p>
        </w:tc>
        <w:tc>
          <w:tcPr>
            <w:tcW w:w="1328" w:type="dxa"/>
            <w:shd w:val="clear" w:color="auto" w:fill="auto"/>
            <w:vAlign w:val="center"/>
          </w:tcPr>
          <w:p w14:paraId="2CC2B5C5"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120,6</w:t>
            </w:r>
          </w:p>
        </w:tc>
        <w:tc>
          <w:tcPr>
            <w:tcW w:w="1418" w:type="dxa"/>
            <w:shd w:val="clear" w:color="auto" w:fill="auto"/>
            <w:vAlign w:val="center"/>
          </w:tcPr>
          <w:p w14:paraId="44C40D2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250,4</w:t>
            </w:r>
          </w:p>
        </w:tc>
        <w:tc>
          <w:tcPr>
            <w:tcW w:w="1364" w:type="dxa"/>
            <w:shd w:val="clear" w:color="auto" w:fill="auto"/>
            <w:vAlign w:val="center"/>
          </w:tcPr>
          <w:p w14:paraId="303948B1"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257,0</w:t>
            </w:r>
          </w:p>
        </w:tc>
      </w:tr>
      <w:tr w:rsidR="002B61BC" w:rsidRPr="009B235E" w14:paraId="6F1EC3B5" w14:textId="77777777" w:rsidTr="002B61BC">
        <w:tc>
          <w:tcPr>
            <w:tcW w:w="2552" w:type="dxa"/>
            <w:vAlign w:val="bottom"/>
          </w:tcPr>
          <w:p w14:paraId="2D6E9986"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9B235E">
              <w:rPr>
                <w:rFonts w:ascii="Times New Roman" w:eastAsia="Times New Roman" w:hAnsi="Times New Roman" w:cs="Times New Roman"/>
                <w:sz w:val="24"/>
                <w:szCs w:val="24"/>
                <w:lang w:eastAsia="ru-RU"/>
              </w:rPr>
              <w:t>Москва</w:t>
            </w:r>
          </w:p>
        </w:tc>
        <w:tc>
          <w:tcPr>
            <w:tcW w:w="1134" w:type="dxa"/>
            <w:shd w:val="clear" w:color="auto" w:fill="auto"/>
            <w:vAlign w:val="center"/>
          </w:tcPr>
          <w:p w14:paraId="070465C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238,9</w:t>
            </w:r>
          </w:p>
        </w:tc>
        <w:tc>
          <w:tcPr>
            <w:tcW w:w="1250" w:type="dxa"/>
            <w:shd w:val="clear" w:color="auto" w:fill="auto"/>
            <w:vAlign w:val="center"/>
          </w:tcPr>
          <w:p w14:paraId="4EC12A54"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4119,1</w:t>
            </w:r>
          </w:p>
        </w:tc>
        <w:tc>
          <w:tcPr>
            <w:tcW w:w="1392" w:type="dxa"/>
            <w:shd w:val="clear" w:color="auto" w:fill="auto"/>
            <w:vAlign w:val="center"/>
          </w:tcPr>
          <w:p w14:paraId="6381CAB4"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6663,3</w:t>
            </w:r>
          </w:p>
        </w:tc>
        <w:tc>
          <w:tcPr>
            <w:tcW w:w="1159" w:type="dxa"/>
            <w:shd w:val="clear" w:color="auto" w:fill="auto"/>
            <w:vAlign w:val="center"/>
          </w:tcPr>
          <w:p w14:paraId="054A54B4"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152,6</w:t>
            </w:r>
          </w:p>
        </w:tc>
        <w:tc>
          <w:tcPr>
            <w:tcW w:w="1019" w:type="dxa"/>
            <w:shd w:val="clear" w:color="auto" w:fill="auto"/>
            <w:vAlign w:val="center"/>
          </w:tcPr>
          <w:p w14:paraId="0FA033CB"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588,2</w:t>
            </w:r>
          </w:p>
        </w:tc>
        <w:tc>
          <w:tcPr>
            <w:tcW w:w="992" w:type="dxa"/>
            <w:shd w:val="clear" w:color="auto" w:fill="auto"/>
            <w:vAlign w:val="center"/>
          </w:tcPr>
          <w:p w14:paraId="0FEFA14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2475,0</w:t>
            </w:r>
          </w:p>
        </w:tc>
        <w:tc>
          <w:tcPr>
            <w:tcW w:w="1161" w:type="dxa"/>
            <w:shd w:val="clear" w:color="auto" w:fill="auto"/>
            <w:vAlign w:val="center"/>
          </w:tcPr>
          <w:p w14:paraId="770AF2E9"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52535,5</w:t>
            </w:r>
          </w:p>
        </w:tc>
        <w:tc>
          <w:tcPr>
            <w:tcW w:w="1134" w:type="dxa"/>
            <w:shd w:val="clear" w:color="auto" w:fill="auto"/>
            <w:vAlign w:val="center"/>
          </w:tcPr>
          <w:p w14:paraId="7A15D7D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29577,1</w:t>
            </w:r>
          </w:p>
        </w:tc>
        <w:tc>
          <w:tcPr>
            <w:tcW w:w="1328" w:type="dxa"/>
            <w:shd w:val="clear" w:color="auto" w:fill="auto"/>
            <w:vAlign w:val="center"/>
          </w:tcPr>
          <w:p w14:paraId="3306556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418" w:type="dxa"/>
            <w:shd w:val="clear" w:color="auto" w:fill="auto"/>
            <w:vAlign w:val="center"/>
          </w:tcPr>
          <w:p w14:paraId="15074BD4"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364" w:type="dxa"/>
            <w:shd w:val="clear" w:color="auto" w:fill="auto"/>
            <w:vAlign w:val="center"/>
          </w:tcPr>
          <w:p w14:paraId="53F4BDB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0,5</w:t>
            </w:r>
          </w:p>
        </w:tc>
      </w:tr>
      <w:tr w:rsidR="002B61BC" w:rsidRPr="009B235E" w14:paraId="7D795A03" w14:textId="77777777" w:rsidTr="002B61BC">
        <w:tc>
          <w:tcPr>
            <w:tcW w:w="2552" w:type="dxa"/>
            <w:vAlign w:val="bottom"/>
          </w:tcPr>
          <w:p w14:paraId="0A46F9BB" w14:textId="77777777" w:rsidR="002B61BC" w:rsidRPr="009B235E" w:rsidRDefault="002B61BC" w:rsidP="002B61BC">
            <w:pPr>
              <w:spacing w:after="0" w:line="240" w:lineRule="auto"/>
              <w:rPr>
                <w:rFonts w:ascii="Times New Roman" w:eastAsia="Times New Roman" w:hAnsi="Times New Roman" w:cs="Times New Roman"/>
                <w:b/>
                <w:bCs/>
                <w:sz w:val="24"/>
                <w:szCs w:val="24"/>
                <w:lang w:eastAsia="ru-RU"/>
              </w:rPr>
            </w:pPr>
            <w:r w:rsidRPr="009B235E">
              <w:rPr>
                <w:rFonts w:ascii="Times New Roman" w:eastAsia="Times New Roman" w:hAnsi="Times New Roman" w:cs="Times New Roman"/>
                <w:b/>
                <w:bCs/>
                <w:sz w:val="24"/>
                <w:szCs w:val="24"/>
                <w:lang w:eastAsia="ru-RU"/>
              </w:rPr>
              <w:t xml:space="preserve">Северо-Западный федеральный округ </w:t>
            </w:r>
          </w:p>
        </w:tc>
        <w:tc>
          <w:tcPr>
            <w:tcW w:w="1134" w:type="dxa"/>
            <w:shd w:val="clear" w:color="auto" w:fill="auto"/>
            <w:vAlign w:val="center"/>
          </w:tcPr>
          <w:p w14:paraId="5FE741E4"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1543,1</w:t>
            </w:r>
          </w:p>
        </w:tc>
        <w:tc>
          <w:tcPr>
            <w:tcW w:w="1250" w:type="dxa"/>
            <w:shd w:val="clear" w:color="auto" w:fill="auto"/>
            <w:vAlign w:val="center"/>
          </w:tcPr>
          <w:p w14:paraId="45D7A231"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7488,5</w:t>
            </w:r>
          </w:p>
        </w:tc>
        <w:tc>
          <w:tcPr>
            <w:tcW w:w="1392" w:type="dxa"/>
            <w:shd w:val="clear" w:color="auto" w:fill="auto"/>
            <w:vAlign w:val="center"/>
          </w:tcPr>
          <w:p w14:paraId="7C760DE2"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7786,5</w:t>
            </w:r>
          </w:p>
        </w:tc>
        <w:tc>
          <w:tcPr>
            <w:tcW w:w="1159" w:type="dxa"/>
            <w:shd w:val="clear" w:color="auto" w:fill="auto"/>
            <w:vAlign w:val="center"/>
          </w:tcPr>
          <w:p w14:paraId="57FFA05E"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6141,5</w:t>
            </w:r>
          </w:p>
        </w:tc>
        <w:tc>
          <w:tcPr>
            <w:tcW w:w="1019" w:type="dxa"/>
            <w:shd w:val="clear" w:color="auto" w:fill="auto"/>
            <w:vAlign w:val="center"/>
          </w:tcPr>
          <w:p w14:paraId="04B82D5D"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322,6</w:t>
            </w:r>
          </w:p>
        </w:tc>
        <w:tc>
          <w:tcPr>
            <w:tcW w:w="992" w:type="dxa"/>
            <w:shd w:val="clear" w:color="auto" w:fill="auto"/>
            <w:vAlign w:val="center"/>
          </w:tcPr>
          <w:p w14:paraId="28B0FBE3"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1437,1</w:t>
            </w:r>
          </w:p>
        </w:tc>
        <w:tc>
          <w:tcPr>
            <w:tcW w:w="1161" w:type="dxa"/>
            <w:shd w:val="clear" w:color="auto" w:fill="auto"/>
            <w:vAlign w:val="center"/>
          </w:tcPr>
          <w:p w14:paraId="28BC08A9"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27183,4</w:t>
            </w:r>
          </w:p>
        </w:tc>
        <w:tc>
          <w:tcPr>
            <w:tcW w:w="1134" w:type="dxa"/>
            <w:shd w:val="clear" w:color="auto" w:fill="auto"/>
            <w:vAlign w:val="center"/>
          </w:tcPr>
          <w:p w14:paraId="50A50306"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7441,9</w:t>
            </w:r>
          </w:p>
        </w:tc>
        <w:tc>
          <w:tcPr>
            <w:tcW w:w="1328" w:type="dxa"/>
            <w:shd w:val="clear" w:color="auto" w:fill="auto"/>
            <w:vAlign w:val="center"/>
          </w:tcPr>
          <w:p w14:paraId="6571EFE5"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2448,9</w:t>
            </w:r>
          </w:p>
        </w:tc>
        <w:tc>
          <w:tcPr>
            <w:tcW w:w="1418" w:type="dxa"/>
            <w:shd w:val="clear" w:color="auto" w:fill="auto"/>
            <w:vAlign w:val="center"/>
          </w:tcPr>
          <w:p w14:paraId="5F0D018D"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2957,5</w:t>
            </w:r>
          </w:p>
        </w:tc>
        <w:tc>
          <w:tcPr>
            <w:tcW w:w="1364" w:type="dxa"/>
            <w:shd w:val="clear" w:color="auto" w:fill="auto"/>
            <w:vAlign w:val="center"/>
          </w:tcPr>
          <w:p w14:paraId="11016481"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2234,8</w:t>
            </w:r>
          </w:p>
        </w:tc>
      </w:tr>
      <w:tr w:rsidR="002B61BC" w:rsidRPr="009B235E" w14:paraId="0657BF7F" w14:textId="77777777" w:rsidTr="002B61BC">
        <w:tc>
          <w:tcPr>
            <w:tcW w:w="2552" w:type="dxa"/>
            <w:vAlign w:val="bottom"/>
          </w:tcPr>
          <w:p w14:paraId="337F2B4A"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Карелия</w:t>
            </w:r>
          </w:p>
        </w:tc>
        <w:tc>
          <w:tcPr>
            <w:tcW w:w="1134" w:type="dxa"/>
            <w:shd w:val="clear" w:color="auto" w:fill="auto"/>
            <w:vAlign w:val="center"/>
          </w:tcPr>
          <w:p w14:paraId="30AC75A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1,0</w:t>
            </w:r>
          </w:p>
        </w:tc>
        <w:tc>
          <w:tcPr>
            <w:tcW w:w="1250" w:type="dxa"/>
            <w:shd w:val="clear" w:color="auto" w:fill="auto"/>
            <w:vAlign w:val="center"/>
          </w:tcPr>
          <w:p w14:paraId="632A2AE2"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98,1</w:t>
            </w:r>
          </w:p>
        </w:tc>
        <w:tc>
          <w:tcPr>
            <w:tcW w:w="1392" w:type="dxa"/>
            <w:shd w:val="clear" w:color="auto" w:fill="auto"/>
            <w:vAlign w:val="center"/>
          </w:tcPr>
          <w:p w14:paraId="63BC082D"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456,8</w:t>
            </w:r>
          </w:p>
        </w:tc>
        <w:tc>
          <w:tcPr>
            <w:tcW w:w="1159" w:type="dxa"/>
            <w:shd w:val="clear" w:color="auto" w:fill="auto"/>
            <w:vAlign w:val="center"/>
          </w:tcPr>
          <w:p w14:paraId="3F928BA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40,5</w:t>
            </w:r>
          </w:p>
        </w:tc>
        <w:tc>
          <w:tcPr>
            <w:tcW w:w="1019" w:type="dxa"/>
            <w:shd w:val="clear" w:color="auto" w:fill="auto"/>
            <w:vAlign w:val="center"/>
          </w:tcPr>
          <w:p w14:paraId="74044F52"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992" w:type="dxa"/>
            <w:shd w:val="clear" w:color="auto" w:fill="auto"/>
            <w:vAlign w:val="center"/>
          </w:tcPr>
          <w:p w14:paraId="6463EBD5"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7,9</w:t>
            </w:r>
          </w:p>
        </w:tc>
        <w:tc>
          <w:tcPr>
            <w:tcW w:w="1161" w:type="dxa"/>
            <w:shd w:val="clear" w:color="auto" w:fill="auto"/>
            <w:vAlign w:val="center"/>
          </w:tcPr>
          <w:p w14:paraId="685B2BB5"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849,9</w:t>
            </w:r>
          </w:p>
        </w:tc>
        <w:tc>
          <w:tcPr>
            <w:tcW w:w="1134" w:type="dxa"/>
            <w:shd w:val="clear" w:color="auto" w:fill="auto"/>
            <w:vAlign w:val="center"/>
          </w:tcPr>
          <w:p w14:paraId="0CA8BD1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232,6</w:t>
            </w:r>
          </w:p>
        </w:tc>
        <w:tc>
          <w:tcPr>
            <w:tcW w:w="1328" w:type="dxa"/>
            <w:shd w:val="clear" w:color="auto" w:fill="auto"/>
            <w:vAlign w:val="center"/>
          </w:tcPr>
          <w:p w14:paraId="406AB1E9"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75,3</w:t>
            </w:r>
          </w:p>
        </w:tc>
        <w:tc>
          <w:tcPr>
            <w:tcW w:w="1418" w:type="dxa"/>
            <w:shd w:val="clear" w:color="auto" w:fill="auto"/>
            <w:vAlign w:val="center"/>
          </w:tcPr>
          <w:p w14:paraId="583804F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4,6</w:t>
            </w:r>
          </w:p>
        </w:tc>
        <w:tc>
          <w:tcPr>
            <w:tcW w:w="1364" w:type="dxa"/>
            <w:shd w:val="clear" w:color="auto" w:fill="auto"/>
            <w:vAlign w:val="center"/>
          </w:tcPr>
          <w:p w14:paraId="78238950"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196,4</w:t>
            </w:r>
          </w:p>
        </w:tc>
      </w:tr>
      <w:tr w:rsidR="002B61BC" w:rsidRPr="009B235E" w14:paraId="62232DAC" w14:textId="77777777" w:rsidTr="002B61BC">
        <w:tc>
          <w:tcPr>
            <w:tcW w:w="2552" w:type="dxa"/>
            <w:vAlign w:val="bottom"/>
          </w:tcPr>
          <w:p w14:paraId="6F5A214F"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Коми</w:t>
            </w:r>
          </w:p>
        </w:tc>
        <w:tc>
          <w:tcPr>
            <w:tcW w:w="1134" w:type="dxa"/>
            <w:shd w:val="clear" w:color="auto" w:fill="auto"/>
            <w:vAlign w:val="center"/>
          </w:tcPr>
          <w:p w14:paraId="6FBCBA0C"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45,0</w:t>
            </w:r>
          </w:p>
        </w:tc>
        <w:tc>
          <w:tcPr>
            <w:tcW w:w="1250" w:type="dxa"/>
            <w:shd w:val="clear" w:color="auto" w:fill="auto"/>
            <w:vAlign w:val="center"/>
          </w:tcPr>
          <w:p w14:paraId="363A635C"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90,7</w:t>
            </w:r>
          </w:p>
        </w:tc>
        <w:tc>
          <w:tcPr>
            <w:tcW w:w="1392" w:type="dxa"/>
            <w:shd w:val="clear" w:color="auto" w:fill="auto"/>
            <w:vAlign w:val="center"/>
          </w:tcPr>
          <w:p w14:paraId="790283C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907,8</w:t>
            </w:r>
          </w:p>
        </w:tc>
        <w:tc>
          <w:tcPr>
            <w:tcW w:w="1159" w:type="dxa"/>
            <w:shd w:val="clear" w:color="auto" w:fill="auto"/>
            <w:vAlign w:val="center"/>
          </w:tcPr>
          <w:p w14:paraId="708674C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73,9</w:t>
            </w:r>
          </w:p>
        </w:tc>
        <w:tc>
          <w:tcPr>
            <w:tcW w:w="1019" w:type="dxa"/>
            <w:shd w:val="clear" w:color="auto" w:fill="auto"/>
            <w:vAlign w:val="center"/>
          </w:tcPr>
          <w:p w14:paraId="713C0B6D"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35,5</w:t>
            </w:r>
          </w:p>
        </w:tc>
        <w:tc>
          <w:tcPr>
            <w:tcW w:w="992" w:type="dxa"/>
            <w:shd w:val="clear" w:color="auto" w:fill="auto"/>
            <w:vAlign w:val="center"/>
          </w:tcPr>
          <w:p w14:paraId="278F59E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161" w:type="dxa"/>
            <w:shd w:val="clear" w:color="auto" w:fill="auto"/>
            <w:vAlign w:val="center"/>
          </w:tcPr>
          <w:p w14:paraId="4178856D"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2252,0</w:t>
            </w:r>
          </w:p>
        </w:tc>
        <w:tc>
          <w:tcPr>
            <w:tcW w:w="1134" w:type="dxa"/>
            <w:shd w:val="clear" w:color="auto" w:fill="auto"/>
            <w:vAlign w:val="center"/>
          </w:tcPr>
          <w:p w14:paraId="47A37B44"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476,1</w:t>
            </w:r>
          </w:p>
        </w:tc>
        <w:tc>
          <w:tcPr>
            <w:tcW w:w="1328" w:type="dxa"/>
            <w:shd w:val="clear" w:color="auto" w:fill="auto"/>
            <w:vAlign w:val="center"/>
          </w:tcPr>
          <w:p w14:paraId="65BCC34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371,9</w:t>
            </w:r>
          </w:p>
        </w:tc>
        <w:tc>
          <w:tcPr>
            <w:tcW w:w="1418" w:type="dxa"/>
            <w:shd w:val="clear" w:color="auto" w:fill="auto"/>
            <w:vAlign w:val="center"/>
          </w:tcPr>
          <w:p w14:paraId="159C8A5C"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223,7</w:t>
            </w:r>
          </w:p>
        </w:tc>
        <w:tc>
          <w:tcPr>
            <w:tcW w:w="1364" w:type="dxa"/>
            <w:shd w:val="clear" w:color="auto" w:fill="auto"/>
            <w:vAlign w:val="center"/>
          </w:tcPr>
          <w:p w14:paraId="31749FCC"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200,6</w:t>
            </w:r>
          </w:p>
        </w:tc>
      </w:tr>
      <w:tr w:rsidR="002B61BC" w:rsidRPr="009B235E" w14:paraId="7E6F7205" w14:textId="77777777" w:rsidTr="002B61BC">
        <w:tc>
          <w:tcPr>
            <w:tcW w:w="2552" w:type="dxa"/>
            <w:vAlign w:val="bottom"/>
          </w:tcPr>
          <w:p w14:paraId="7A9C1425"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Архангельская область</w:t>
            </w:r>
          </w:p>
        </w:tc>
        <w:tc>
          <w:tcPr>
            <w:tcW w:w="1134" w:type="dxa"/>
            <w:shd w:val="clear" w:color="auto" w:fill="auto"/>
            <w:vAlign w:val="center"/>
          </w:tcPr>
          <w:p w14:paraId="50BDC88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85,7</w:t>
            </w:r>
          </w:p>
        </w:tc>
        <w:tc>
          <w:tcPr>
            <w:tcW w:w="1250" w:type="dxa"/>
            <w:shd w:val="clear" w:color="auto" w:fill="auto"/>
            <w:vAlign w:val="center"/>
          </w:tcPr>
          <w:p w14:paraId="1BC2AAE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806,6</w:t>
            </w:r>
          </w:p>
        </w:tc>
        <w:tc>
          <w:tcPr>
            <w:tcW w:w="1392" w:type="dxa"/>
            <w:shd w:val="clear" w:color="auto" w:fill="auto"/>
            <w:vAlign w:val="center"/>
          </w:tcPr>
          <w:p w14:paraId="16231AD1"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865,5</w:t>
            </w:r>
          </w:p>
        </w:tc>
        <w:tc>
          <w:tcPr>
            <w:tcW w:w="1159" w:type="dxa"/>
            <w:shd w:val="clear" w:color="auto" w:fill="auto"/>
            <w:vAlign w:val="center"/>
          </w:tcPr>
          <w:p w14:paraId="5BC86E8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36,5</w:t>
            </w:r>
          </w:p>
        </w:tc>
        <w:tc>
          <w:tcPr>
            <w:tcW w:w="1019" w:type="dxa"/>
            <w:shd w:val="clear" w:color="auto" w:fill="auto"/>
            <w:vAlign w:val="center"/>
          </w:tcPr>
          <w:p w14:paraId="33464B5A"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15,1</w:t>
            </w:r>
          </w:p>
        </w:tc>
        <w:tc>
          <w:tcPr>
            <w:tcW w:w="992" w:type="dxa"/>
            <w:shd w:val="clear" w:color="auto" w:fill="auto"/>
            <w:vAlign w:val="center"/>
          </w:tcPr>
          <w:p w14:paraId="2AC588A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161" w:type="dxa"/>
            <w:shd w:val="clear" w:color="auto" w:fill="auto"/>
            <w:vAlign w:val="center"/>
          </w:tcPr>
          <w:p w14:paraId="771810A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1631,8</w:t>
            </w:r>
          </w:p>
        </w:tc>
        <w:tc>
          <w:tcPr>
            <w:tcW w:w="1134" w:type="dxa"/>
            <w:shd w:val="clear" w:color="auto" w:fill="auto"/>
            <w:vAlign w:val="center"/>
          </w:tcPr>
          <w:p w14:paraId="7144F53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162,1</w:t>
            </w:r>
          </w:p>
        </w:tc>
        <w:tc>
          <w:tcPr>
            <w:tcW w:w="1328" w:type="dxa"/>
            <w:shd w:val="clear" w:color="auto" w:fill="auto"/>
            <w:vAlign w:val="center"/>
          </w:tcPr>
          <w:p w14:paraId="7D814C79"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234,7</w:t>
            </w:r>
          </w:p>
        </w:tc>
        <w:tc>
          <w:tcPr>
            <w:tcW w:w="1418" w:type="dxa"/>
            <w:shd w:val="clear" w:color="auto" w:fill="auto"/>
            <w:vAlign w:val="center"/>
          </w:tcPr>
          <w:p w14:paraId="645FAF0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205,8</w:t>
            </w:r>
          </w:p>
        </w:tc>
        <w:tc>
          <w:tcPr>
            <w:tcW w:w="1364" w:type="dxa"/>
            <w:shd w:val="clear" w:color="auto" w:fill="auto"/>
            <w:vAlign w:val="center"/>
          </w:tcPr>
          <w:p w14:paraId="45CA56C4"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511,9</w:t>
            </w:r>
          </w:p>
        </w:tc>
      </w:tr>
      <w:tr w:rsidR="002B61BC" w:rsidRPr="009B235E" w14:paraId="22049A8F" w14:textId="77777777" w:rsidTr="002B61BC">
        <w:tc>
          <w:tcPr>
            <w:tcW w:w="2552" w:type="dxa"/>
            <w:vAlign w:val="bottom"/>
          </w:tcPr>
          <w:p w14:paraId="14761B56"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 xml:space="preserve">Ненецкий </w:t>
            </w:r>
            <w:proofErr w:type="spellStart"/>
            <w:r w:rsidRPr="009B235E">
              <w:rPr>
                <w:rFonts w:ascii="Times New Roman" w:eastAsia="Times New Roman" w:hAnsi="Times New Roman" w:cs="Times New Roman"/>
                <w:sz w:val="24"/>
                <w:szCs w:val="24"/>
                <w:lang w:eastAsia="ru-RU"/>
              </w:rPr>
              <w:t>авт.округ</w:t>
            </w:r>
            <w:proofErr w:type="spellEnd"/>
          </w:p>
        </w:tc>
        <w:tc>
          <w:tcPr>
            <w:tcW w:w="1134" w:type="dxa"/>
            <w:shd w:val="clear" w:color="auto" w:fill="auto"/>
            <w:vAlign w:val="center"/>
          </w:tcPr>
          <w:p w14:paraId="12036CEA"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39,9</w:t>
            </w:r>
          </w:p>
        </w:tc>
        <w:tc>
          <w:tcPr>
            <w:tcW w:w="1250" w:type="dxa"/>
            <w:shd w:val="clear" w:color="auto" w:fill="auto"/>
            <w:vAlign w:val="center"/>
          </w:tcPr>
          <w:p w14:paraId="2876091A"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367,9</w:t>
            </w:r>
          </w:p>
        </w:tc>
        <w:tc>
          <w:tcPr>
            <w:tcW w:w="1392" w:type="dxa"/>
            <w:shd w:val="clear" w:color="auto" w:fill="auto"/>
            <w:vAlign w:val="center"/>
          </w:tcPr>
          <w:p w14:paraId="5347F7D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101,9</w:t>
            </w:r>
          </w:p>
        </w:tc>
        <w:tc>
          <w:tcPr>
            <w:tcW w:w="1159" w:type="dxa"/>
            <w:shd w:val="clear" w:color="auto" w:fill="auto"/>
            <w:vAlign w:val="center"/>
          </w:tcPr>
          <w:p w14:paraId="0AFC0BAA"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25,3</w:t>
            </w:r>
          </w:p>
        </w:tc>
        <w:tc>
          <w:tcPr>
            <w:tcW w:w="1019" w:type="dxa"/>
            <w:shd w:val="clear" w:color="auto" w:fill="auto"/>
            <w:vAlign w:val="center"/>
          </w:tcPr>
          <w:p w14:paraId="0258255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992" w:type="dxa"/>
            <w:shd w:val="clear" w:color="auto" w:fill="auto"/>
            <w:vAlign w:val="center"/>
          </w:tcPr>
          <w:p w14:paraId="0A9D575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161" w:type="dxa"/>
            <w:shd w:val="clear" w:color="auto" w:fill="auto"/>
            <w:vAlign w:val="center"/>
          </w:tcPr>
          <w:p w14:paraId="512D860B"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349,6</w:t>
            </w:r>
          </w:p>
        </w:tc>
        <w:tc>
          <w:tcPr>
            <w:tcW w:w="1134" w:type="dxa"/>
            <w:shd w:val="clear" w:color="auto" w:fill="auto"/>
            <w:vAlign w:val="center"/>
          </w:tcPr>
          <w:p w14:paraId="5A7C3D1C"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6,2</w:t>
            </w:r>
          </w:p>
        </w:tc>
        <w:tc>
          <w:tcPr>
            <w:tcW w:w="1328" w:type="dxa"/>
            <w:shd w:val="clear" w:color="auto" w:fill="auto"/>
            <w:vAlign w:val="center"/>
          </w:tcPr>
          <w:p w14:paraId="6B414604"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55,8</w:t>
            </w:r>
          </w:p>
        </w:tc>
        <w:tc>
          <w:tcPr>
            <w:tcW w:w="1418" w:type="dxa"/>
            <w:shd w:val="clear" w:color="auto" w:fill="auto"/>
            <w:vAlign w:val="center"/>
          </w:tcPr>
          <w:p w14:paraId="4228086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129,9</w:t>
            </w:r>
          </w:p>
        </w:tc>
        <w:tc>
          <w:tcPr>
            <w:tcW w:w="1364" w:type="dxa"/>
            <w:shd w:val="clear" w:color="auto" w:fill="auto"/>
            <w:vAlign w:val="center"/>
          </w:tcPr>
          <w:p w14:paraId="14D7487D"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2,2</w:t>
            </w:r>
          </w:p>
        </w:tc>
      </w:tr>
      <w:tr w:rsidR="002B61BC" w:rsidRPr="009B235E" w14:paraId="2FACBC2E" w14:textId="77777777" w:rsidTr="002B61BC">
        <w:tc>
          <w:tcPr>
            <w:tcW w:w="2552" w:type="dxa"/>
            <w:vAlign w:val="bottom"/>
          </w:tcPr>
          <w:p w14:paraId="25AA2DCD"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 xml:space="preserve">Архангельская область без </w:t>
            </w:r>
            <w:proofErr w:type="spellStart"/>
            <w:r w:rsidRPr="009B235E">
              <w:rPr>
                <w:rFonts w:ascii="Times New Roman" w:eastAsia="Times New Roman" w:hAnsi="Times New Roman" w:cs="Times New Roman"/>
                <w:sz w:val="24"/>
                <w:szCs w:val="24"/>
                <w:lang w:eastAsia="ru-RU"/>
              </w:rPr>
              <w:t>авт.округа</w:t>
            </w:r>
            <w:proofErr w:type="spellEnd"/>
          </w:p>
        </w:tc>
        <w:tc>
          <w:tcPr>
            <w:tcW w:w="1134" w:type="dxa"/>
            <w:shd w:val="clear" w:color="auto" w:fill="auto"/>
            <w:vAlign w:val="center"/>
          </w:tcPr>
          <w:p w14:paraId="0CABE0C0"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45,8</w:t>
            </w:r>
          </w:p>
        </w:tc>
        <w:tc>
          <w:tcPr>
            <w:tcW w:w="1250" w:type="dxa"/>
            <w:shd w:val="clear" w:color="auto" w:fill="auto"/>
            <w:vAlign w:val="center"/>
          </w:tcPr>
          <w:p w14:paraId="38D9DFF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438,7</w:t>
            </w:r>
          </w:p>
        </w:tc>
        <w:tc>
          <w:tcPr>
            <w:tcW w:w="1392" w:type="dxa"/>
            <w:shd w:val="clear" w:color="auto" w:fill="auto"/>
            <w:vAlign w:val="center"/>
          </w:tcPr>
          <w:p w14:paraId="19720C1B"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763,7</w:t>
            </w:r>
          </w:p>
        </w:tc>
        <w:tc>
          <w:tcPr>
            <w:tcW w:w="1159" w:type="dxa"/>
            <w:shd w:val="clear" w:color="auto" w:fill="auto"/>
            <w:vAlign w:val="center"/>
          </w:tcPr>
          <w:p w14:paraId="47472793"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11,2</w:t>
            </w:r>
          </w:p>
        </w:tc>
        <w:tc>
          <w:tcPr>
            <w:tcW w:w="1019" w:type="dxa"/>
            <w:shd w:val="clear" w:color="auto" w:fill="auto"/>
            <w:vAlign w:val="center"/>
          </w:tcPr>
          <w:p w14:paraId="0FC5FBFC"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15,1</w:t>
            </w:r>
          </w:p>
        </w:tc>
        <w:tc>
          <w:tcPr>
            <w:tcW w:w="992" w:type="dxa"/>
            <w:shd w:val="clear" w:color="auto" w:fill="auto"/>
            <w:vAlign w:val="center"/>
          </w:tcPr>
          <w:p w14:paraId="3960B442"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161" w:type="dxa"/>
            <w:shd w:val="clear" w:color="auto" w:fill="auto"/>
            <w:vAlign w:val="center"/>
          </w:tcPr>
          <w:p w14:paraId="4DF02D4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1282,2</w:t>
            </w:r>
          </w:p>
        </w:tc>
        <w:tc>
          <w:tcPr>
            <w:tcW w:w="1134" w:type="dxa"/>
            <w:shd w:val="clear" w:color="auto" w:fill="auto"/>
            <w:vAlign w:val="center"/>
          </w:tcPr>
          <w:p w14:paraId="1205ECD0"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155,9</w:t>
            </w:r>
          </w:p>
        </w:tc>
        <w:tc>
          <w:tcPr>
            <w:tcW w:w="1328" w:type="dxa"/>
            <w:shd w:val="clear" w:color="auto" w:fill="auto"/>
            <w:vAlign w:val="center"/>
          </w:tcPr>
          <w:p w14:paraId="085AB03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178,9</w:t>
            </w:r>
          </w:p>
        </w:tc>
        <w:tc>
          <w:tcPr>
            <w:tcW w:w="1418" w:type="dxa"/>
            <w:shd w:val="clear" w:color="auto" w:fill="auto"/>
            <w:vAlign w:val="center"/>
          </w:tcPr>
          <w:p w14:paraId="1A281BB5"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76,0</w:t>
            </w:r>
          </w:p>
        </w:tc>
        <w:tc>
          <w:tcPr>
            <w:tcW w:w="1364" w:type="dxa"/>
            <w:shd w:val="clear" w:color="auto" w:fill="auto"/>
            <w:vAlign w:val="center"/>
          </w:tcPr>
          <w:p w14:paraId="0FBBB8C9"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509,6</w:t>
            </w:r>
          </w:p>
        </w:tc>
      </w:tr>
      <w:tr w:rsidR="002B61BC" w:rsidRPr="009B235E" w14:paraId="45F3393F" w14:textId="77777777" w:rsidTr="002B61BC">
        <w:tc>
          <w:tcPr>
            <w:tcW w:w="2552" w:type="dxa"/>
            <w:vAlign w:val="bottom"/>
          </w:tcPr>
          <w:p w14:paraId="10BBFD4A"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Вологодская область</w:t>
            </w:r>
          </w:p>
        </w:tc>
        <w:tc>
          <w:tcPr>
            <w:tcW w:w="1134" w:type="dxa"/>
            <w:shd w:val="clear" w:color="auto" w:fill="auto"/>
            <w:vAlign w:val="center"/>
          </w:tcPr>
          <w:p w14:paraId="16F0CBCA"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24,2</w:t>
            </w:r>
          </w:p>
        </w:tc>
        <w:tc>
          <w:tcPr>
            <w:tcW w:w="1250" w:type="dxa"/>
            <w:shd w:val="clear" w:color="auto" w:fill="auto"/>
            <w:vAlign w:val="center"/>
          </w:tcPr>
          <w:p w14:paraId="2EC6B7E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1136,3</w:t>
            </w:r>
          </w:p>
        </w:tc>
        <w:tc>
          <w:tcPr>
            <w:tcW w:w="1392" w:type="dxa"/>
            <w:shd w:val="clear" w:color="auto" w:fill="auto"/>
            <w:vAlign w:val="center"/>
          </w:tcPr>
          <w:p w14:paraId="188B247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612,1</w:t>
            </w:r>
          </w:p>
        </w:tc>
        <w:tc>
          <w:tcPr>
            <w:tcW w:w="1159" w:type="dxa"/>
            <w:shd w:val="clear" w:color="auto" w:fill="auto"/>
            <w:vAlign w:val="center"/>
          </w:tcPr>
          <w:p w14:paraId="2D02BE80"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499,4</w:t>
            </w:r>
          </w:p>
        </w:tc>
        <w:tc>
          <w:tcPr>
            <w:tcW w:w="1019" w:type="dxa"/>
            <w:shd w:val="clear" w:color="auto" w:fill="auto"/>
            <w:vAlign w:val="center"/>
          </w:tcPr>
          <w:p w14:paraId="5D530319"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992" w:type="dxa"/>
            <w:shd w:val="clear" w:color="auto" w:fill="auto"/>
            <w:vAlign w:val="center"/>
          </w:tcPr>
          <w:p w14:paraId="54AAC4AD"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6,7</w:t>
            </w:r>
          </w:p>
        </w:tc>
        <w:tc>
          <w:tcPr>
            <w:tcW w:w="1161" w:type="dxa"/>
            <w:shd w:val="clear" w:color="auto" w:fill="auto"/>
            <w:vAlign w:val="center"/>
          </w:tcPr>
          <w:p w14:paraId="3647FE95"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2089,0</w:t>
            </w:r>
          </w:p>
        </w:tc>
        <w:tc>
          <w:tcPr>
            <w:tcW w:w="1134" w:type="dxa"/>
            <w:shd w:val="clear" w:color="auto" w:fill="auto"/>
            <w:vAlign w:val="center"/>
          </w:tcPr>
          <w:p w14:paraId="02FE7CE3"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343,7</w:t>
            </w:r>
          </w:p>
        </w:tc>
        <w:tc>
          <w:tcPr>
            <w:tcW w:w="1328" w:type="dxa"/>
            <w:shd w:val="clear" w:color="auto" w:fill="auto"/>
            <w:vAlign w:val="center"/>
          </w:tcPr>
          <w:p w14:paraId="7809D35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213,3</w:t>
            </w:r>
          </w:p>
        </w:tc>
        <w:tc>
          <w:tcPr>
            <w:tcW w:w="1418" w:type="dxa"/>
            <w:shd w:val="clear" w:color="auto" w:fill="auto"/>
            <w:vAlign w:val="center"/>
          </w:tcPr>
          <w:p w14:paraId="2BFEEB9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248,5</w:t>
            </w:r>
          </w:p>
        </w:tc>
        <w:tc>
          <w:tcPr>
            <w:tcW w:w="1364" w:type="dxa"/>
            <w:shd w:val="clear" w:color="auto" w:fill="auto"/>
            <w:vAlign w:val="center"/>
          </w:tcPr>
          <w:p w14:paraId="6DA09EA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270,1</w:t>
            </w:r>
          </w:p>
        </w:tc>
      </w:tr>
      <w:tr w:rsidR="002B61BC" w:rsidRPr="009B235E" w14:paraId="6399858F" w14:textId="77777777" w:rsidTr="002B61BC">
        <w:tc>
          <w:tcPr>
            <w:tcW w:w="2552" w:type="dxa"/>
            <w:vAlign w:val="bottom"/>
          </w:tcPr>
          <w:p w14:paraId="1EE7F1F1"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Калининградская область</w:t>
            </w:r>
          </w:p>
        </w:tc>
        <w:tc>
          <w:tcPr>
            <w:tcW w:w="1134" w:type="dxa"/>
            <w:shd w:val="clear" w:color="auto" w:fill="auto"/>
            <w:vAlign w:val="center"/>
          </w:tcPr>
          <w:p w14:paraId="43396C0A"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70,1</w:t>
            </w:r>
          </w:p>
        </w:tc>
        <w:tc>
          <w:tcPr>
            <w:tcW w:w="1250" w:type="dxa"/>
            <w:shd w:val="clear" w:color="auto" w:fill="auto"/>
            <w:vAlign w:val="center"/>
          </w:tcPr>
          <w:p w14:paraId="0CF28C09"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474,2</w:t>
            </w:r>
          </w:p>
        </w:tc>
        <w:tc>
          <w:tcPr>
            <w:tcW w:w="1392" w:type="dxa"/>
            <w:shd w:val="clear" w:color="auto" w:fill="auto"/>
            <w:vAlign w:val="center"/>
          </w:tcPr>
          <w:p w14:paraId="4FF2E4EC"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454,4</w:t>
            </w:r>
          </w:p>
        </w:tc>
        <w:tc>
          <w:tcPr>
            <w:tcW w:w="1159" w:type="dxa"/>
            <w:shd w:val="clear" w:color="auto" w:fill="auto"/>
            <w:vAlign w:val="center"/>
          </w:tcPr>
          <w:p w14:paraId="34451FA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55,7</w:t>
            </w:r>
          </w:p>
        </w:tc>
        <w:tc>
          <w:tcPr>
            <w:tcW w:w="1019" w:type="dxa"/>
            <w:shd w:val="clear" w:color="auto" w:fill="auto"/>
            <w:vAlign w:val="center"/>
          </w:tcPr>
          <w:p w14:paraId="5ADC356A"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2,0</w:t>
            </w:r>
          </w:p>
        </w:tc>
        <w:tc>
          <w:tcPr>
            <w:tcW w:w="992" w:type="dxa"/>
            <w:shd w:val="clear" w:color="auto" w:fill="auto"/>
            <w:vAlign w:val="center"/>
          </w:tcPr>
          <w:p w14:paraId="4CFA04FD"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60,5</w:t>
            </w:r>
          </w:p>
        </w:tc>
        <w:tc>
          <w:tcPr>
            <w:tcW w:w="1161" w:type="dxa"/>
            <w:shd w:val="clear" w:color="auto" w:fill="auto"/>
            <w:vAlign w:val="center"/>
          </w:tcPr>
          <w:p w14:paraId="2E9E43D0"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845,4</w:t>
            </w:r>
          </w:p>
        </w:tc>
        <w:tc>
          <w:tcPr>
            <w:tcW w:w="1134" w:type="dxa"/>
            <w:shd w:val="clear" w:color="auto" w:fill="auto"/>
            <w:vAlign w:val="center"/>
          </w:tcPr>
          <w:p w14:paraId="089C5D9B"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76,3</w:t>
            </w:r>
          </w:p>
        </w:tc>
        <w:tc>
          <w:tcPr>
            <w:tcW w:w="1328" w:type="dxa"/>
            <w:shd w:val="clear" w:color="auto" w:fill="auto"/>
            <w:vAlign w:val="center"/>
          </w:tcPr>
          <w:p w14:paraId="71BFAB05"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243,2</w:t>
            </w:r>
          </w:p>
        </w:tc>
        <w:tc>
          <w:tcPr>
            <w:tcW w:w="1418" w:type="dxa"/>
            <w:shd w:val="clear" w:color="auto" w:fill="auto"/>
            <w:vAlign w:val="center"/>
          </w:tcPr>
          <w:p w14:paraId="6110C2F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364" w:type="dxa"/>
            <w:shd w:val="clear" w:color="auto" w:fill="auto"/>
            <w:vAlign w:val="center"/>
          </w:tcPr>
          <w:p w14:paraId="5B1584E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r>
      <w:tr w:rsidR="002B61BC" w:rsidRPr="009B235E" w14:paraId="1360C65E" w14:textId="77777777" w:rsidTr="002B61BC">
        <w:tc>
          <w:tcPr>
            <w:tcW w:w="2552" w:type="dxa"/>
            <w:vAlign w:val="bottom"/>
          </w:tcPr>
          <w:p w14:paraId="13A5BCC2"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Ленинградская область</w:t>
            </w:r>
          </w:p>
        </w:tc>
        <w:tc>
          <w:tcPr>
            <w:tcW w:w="1134" w:type="dxa"/>
            <w:shd w:val="clear" w:color="auto" w:fill="auto"/>
            <w:vAlign w:val="center"/>
          </w:tcPr>
          <w:p w14:paraId="584710FA"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48,7</w:t>
            </w:r>
          </w:p>
        </w:tc>
        <w:tc>
          <w:tcPr>
            <w:tcW w:w="1250" w:type="dxa"/>
            <w:shd w:val="clear" w:color="auto" w:fill="auto"/>
            <w:vAlign w:val="center"/>
          </w:tcPr>
          <w:p w14:paraId="396330F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1697,7</w:t>
            </w:r>
          </w:p>
        </w:tc>
        <w:tc>
          <w:tcPr>
            <w:tcW w:w="1392" w:type="dxa"/>
            <w:shd w:val="clear" w:color="auto" w:fill="auto"/>
            <w:vAlign w:val="center"/>
          </w:tcPr>
          <w:p w14:paraId="2D5B68E0"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1333,4</w:t>
            </w:r>
          </w:p>
        </w:tc>
        <w:tc>
          <w:tcPr>
            <w:tcW w:w="1159" w:type="dxa"/>
            <w:shd w:val="clear" w:color="auto" w:fill="auto"/>
            <w:vAlign w:val="center"/>
          </w:tcPr>
          <w:p w14:paraId="26D322BB"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848,5</w:t>
            </w:r>
          </w:p>
        </w:tc>
        <w:tc>
          <w:tcPr>
            <w:tcW w:w="1019" w:type="dxa"/>
            <w:shd w:val="clear" w:color="auto" w:fill="auto"/>
            <w:vAlign w:val="center"/>
          </w:tcPr>
          <w:p w14:paraId="0CE8331C"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144,8</w:t>
            </w:r>
          </w:p>
        </w:tc>
        <w:tc>
          <w:tcPr>
            <w:tcW w:w="992" w:type="dxa"/>
            <w:shd w:val="clear" w:color="auto" w:fill="auto"/>
            <w:vAlign w:val="center"/>
          </w:tcPr>
          <w:p w14:paraId="42FD5E1D"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249,9</w:t>
            </w:r>
          </w:p>
        </w:tc>
        <w:tc>
          <w:tcPr>
            <w:tcW w:w="1161" w:type="dxa"/>
            <w:shd w:val="clear" w:color="auto" w:fill="auto"/>
            <w:vAlign w:val="center"/>
          </w:tcPr>
          <w:p w14:paraId="0D104712"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1157,0</w:t>
            </w:r>
          </w:p>
        </w:tc>
        <w:tc>
          <w:tcPr>
            <w:tcW w:w="1134" w:type="dxa"/>
            <w:shd w:val="clear" w:color="auto" w:fill="auto"/>
            <w:vAlign w:val="center"/>
          </w:tcPr>
          <w:p w14:paraId="44832A6C"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39,1</w:t>
            </w:r>
          </w:p>
        </w:tc>
        <w:tc>
          <w:tcPr>
            <w:tcW w:w="1328" w:type="dxa"/>
            <w:shd w:val="clear" w:color="auto" w:fill="auto"/>
            <w:vAlign w:val="center"/>
          </w:tcPr>
          <w:p w14:paraId="76FF4381"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252,7</w:t>
            </w:r>
          </w:p>
        </w:tc>
        <w:tc>
          <w:tcPr>
            <w:tcW w:w="1418" w:type="dxa"/>
            <w:shd w:val="clear" w:color="auto" w:fill="auto"/>
            <w:vAlign w:val="center"/>
          </w:tcPr>
          <w:p w14:paraId="39CD96A3"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614,3</w:t>
            </w:r>
          </w:p>
        </w:tc>
        <w:tc>
          <w:tcPr>
            <w:tcW w:w="1364" w:type="dxa"/>
            <w:shd w:val="clear" w:color="auto" w:fill="auto"/>
            <w:vAlign w:val="center"/>
          </w:tcPr>
          <w:p w14:paraId="1F18BEE9"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251,0</w:t>
            </w:r>
          </w:p>
        </w:tc>
      </w:tr>
      <w:tr w:rsidR="002B61BC" w:rsidRPr="009B235E" w14:paraId="0A501BBD" w14:textId="77777777" w:rsidTr="002B61BC">
        <w:tc>
          <w:tcPr>
            <w:tcW w:w="2552" w:type="dxa"/>
            <w:vAlign w:val="bottom"/>
          </w:tcPr>
          <w:p w14:paraId="02A6AFD6"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Мурманская область</w:t>
            </w:r>
          </w:p>
        </w:tc>
        <w:tc>
          <w:tcPr>
            <w:tcW w:w="1134" w:type="dxa"/>
            <w:shd w:val="clear" w:color="auto" w:fill="auto"/>
            <w:vAlign w:val="center"/>
          </w:tcPr>
          <w:p w14:paraId="4FB4543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250" w:type="dxa"/>
            <w:shd w:val="clear" w:color="auto" w:fill="auto"/>
            <w:vAlign w:val="center"/>
          </w:tcPr>
          <w:p w14:paraId="5410D4D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286,6</w:t>
            </w:r>
          </w:p>
        </w:tc>
        <w:tc>
          <w:tcPr>
            <w:tcW w:w="1392" w:type="dxa"/>
            <w:shd w:val="clear" w:color="auto" w:fill="auto"/>
            <w:vAlign w:val="center"/>
          </w:tcPr>
          <w:p w14:paraId="24C353A4"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710,5</w:t>
            </w:r>
          </w:p>
        </w:tc>
        <w:tc>
          <w:tcPr>
            <w:tcW w:w="1159" w:type="dxa"/>
            <w:shd w:val="clear" w:color="auto" w:fill="auto"/>
            <w:vAlign w:val="center"/>
          </w:tcPr>
          <w:p w14:paraId="746C923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105,3</w:t>
            </w:r>
          </w:p>
        </w:tc>
        <w:tc>
          <w:tcPr>
            <w:tcW w:w="1019" w:type="dxa"/>
            <w:shd w:val="clear" w:color="auto" w:fill="auto"/>
            <w:vAlign w:val="center"/>
          </w:tcPr>
          <w:p w14:paraId="0433424C"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67,3</w:t>
            </w:r>
          </w:p>
        </w:tc>
        <w:tc>
          <w:tcPr>
            <w:tcW w:w="992" w:type="dxa"/>
            <w:shd w:val="clear" w:color="auto" w:fill="auto"/>
            <w:vAlign w:val="center"/>
          </w:tcPr>
          <w:p w14:paraId="3D831522"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161" w:type="dxa"/>
            <w:shd w:val="clear" w:color="auto" w:fill="auto"/>
            <w:vAlign w:val="center"/>
          </w:tcPr>
          <w:p w14:paraId="68CE83A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1475,5</w:t>
            </w:r>
          </w:p>
        </w:tc>
        <w:tc>
          <w:tcPr>
            <w:tcW w:w="1134" w:type="dxa"/>
            <w:shd w:val="clear" w:color="auto" w:fill="auto"/>
            <w:vAlign w:val="center"/>
          </w:tcPr>
          <w:p w14:paraId="559E8B3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517,4</w:t>
            </w:r>
          </w:p>
        </w:tc>
        <w:tc>
          <w:tcPr>
            <w:tcW w:w="1328" w:type="dxa"/>
            <w:shd w:val="clear" w:color="auto" w:fill="auto"/>
            <w:vAlign w:val="center"/>
          </w:tcPr>
          <w:p w14:paraId="3E50ABFB"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172,1</w:t>
            </w:r>
          </w:p>
        </w:tc>
        <w:tc>
          <w:tcPr>
            <w:tcW w:w="1418" w:type="dxa"/>
            <w:shd w:val="clear" w:color="auto" w:fill="auto"/>
            <w:vAlign w:val="center"/>
          </w:tcPr>
          <w:p w14:paraId="37E2899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234,6</w:t>
            </w:r>
          </w:p>
        </w:tc>
        <w:tc>
          <w:tcPr>
            <w:tcW w:w="1364" w:type="dxa"/>
            <w:shd w:val="clear" w:color="auto" w:fill="auto"/>
            <w:vAlign w:val="center"/>
          </w:tcPr>
          <w:p w14:paraId="08C50B53"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210,2</w:t>
            </w:r>
          </w:p>
        </w:tc>
      </w:tr>
      <w:tr w:rsidR="002B61BC" w:rsidRPr="009B235E" w14:paraId="735D3A1A" w14:textId="77777777" w:rsidTr="002B61BC">
        <w:tc>
          <w:tcPr>
            <w:tcW w:w="2552" w:type="dxa"/>
            <w:vAlign w:val="bottom"/>
          </w:tcPr>
          <w:p w14:paraId="3E44D80F"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Новгородская область</w:t>
            </w:r>
          </w:p>
        </w:tc>
        <w:tc>
          <w:tcPr>
            <w:tcW w:w="1134" w:type="dxa"/>
            <w:shd w:val="clear" w:color="auto" w:fill="auto"/>
            <w:vAlign w:val="center"/>
          </w:tcPr>
          <w:p w14:paraId="72218C5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0,3</w:t>
            </w:r>
          </w:p>
        </w:tc>
        <w:tc>
          <w:tcPr>
            <w:tcW w:w="1250" w:type="dxa"/>
            <w:shd w:val="clear" w:color="auto" w:fill="auto"/>
            <w:vAlign w:val="center"/>
          </w:tcPr>
          <w:p w14:paraId="0C11DE1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541,3</w:t>
            </w:r>
          </w:p>
        </w:tc>
        <w:tc>
          <w:tcPr>
            <w:tcW w:w="1392" w:type="dxa"/>
            <w:shd w:val="clear" w:color="auto" w:fill="auto"/>
            <w:vAlign w:val="center"/>
          </w:tcPr>
          <w:p w14:paraId="2481F532"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481,1</w:t>
            </w:r>
          </w:p>
        </w:tc>
        <w:tc>
          <w:tcPr>
            <w:tcW w:w="1159" w:type="dxa"/>
            <w:shd w:val="clear" w:color="auto" w:fill="auto"/>
            <w:vAlign w:val="center"/>
          </w:tcPr>
          <w:p w14:paraId="28A834AA"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21,1</w:t>
            </w:r>
          </w:p>
        </w:tc>
        <w:tc>
          <w:tcPr>
            <w:tcW w:w="1019" w:type="dxa"/>
            <w:shd w:val="clear" w:color="auto" w:fill="auto"/>
            <w:vAlign w:val="center"/>
          </w:tcPr>
          <w:p w14:paraId="57F92BC2"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8,3</w:t>
            </w:r>
          </w:p>
        </w:tc>
        <w:tc>
          <w:tcPr>
            <w:tcW w:w="992" w:type="dxa"/>
            <w:shd w:val="clear" w:color="auto" w:fill="auto"/>
            <w:vAlign w:val="center"/>
          </w:tcPr>
          <w:p w14:paraId="0D108EB1"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161" w:type="dxa"/>
            <w:shd w:val="clear" w:color="auto" w:fill="auto"/>
            <w:vAlign w:val="center"/>
          </w:tcPr>
          <w:p w14:paraId="4F3ECE4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345,6</w:t>
            </w:r>
          </w:p>
        </w:tc>
        <w:tc>
          <w:tcPr>
            <w:tcW w:w="1134" w:type="dxa"/>
            <w:shd w:val="clear" w:color="auto" w:fill="auto"/>
            <w:vAlign w:val="center"/>
          </w:tcPr>
          <w:p w14:paraId="377C598D"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206,5</w:t>
            </w:r>
          </w:p>
        </w:tc>
        <w:tc>
          <w:tcPr>
            <w:tcW w:w="1328" w:type="dxa"/>
            <w:shd w:val="clear" w:color="auto" w:fill="auto"/>
            <w:vAlign w:val="center"/>
          </w:tcPr>
          <w:p w14:paraId="3884554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83,0</w:t>
            </w:r>
          </w:p>
        </w:tc>
        <w:tc>
          <w:tcPr>
            <w:tcW w:w="1418" w:type="dxa"/>
            <w:shd w:val="clear" w:color="auto" w:fill="auto"/>
            <w:vAlign w:val="center"/>
          </w:tcPr>
          <w:p w14:paraId="47C97E6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119,2</w:t>
            </w:r>
          </w:p>
        </w:tc>
        <w:tc>
          <w:tcPr>
            <w:tcW w:w="1364" w:type="dxa"/>
            <w:shd w:val="clear" w:color="auto" w:fill="auto"/>
            <w:vAlign w:val="center"/>
          </w:tcPr>
          <w:p w14:paraId="18042DC9"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21,2</w:t>
            </w:r>
          </w:p>
        </w:tc>
      </w:tr>
      <w:tr w:rsidR="002B61BC" w:rsidRPr="009B235E" w14:paraId="5792B122" w14:textId="77777777" w:rsidTr="002B61BC">
        <w:tc>
          <w:tcPr>
            <w:tcW w:w="2552" w:type="dxa"/>
            <w:vAlign w:val="bottom"/>
          </w:tcPr>
          <w:p w14:paraId="5A8AFF97"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Псковская область</w:t>
            </w:r>
          </w:p>
        </w:tc>
        <w:tc>
          <w:tcPr>
            <w:tcW w:w="1134" w:type="dxa"/>
            <w:shd w:val="clear" w:color="auto" w:fill="auto"/>
            <w:vAlign w:val="center"/>
          </w:tcPr>
          <w:p w14:paraId="217C1F5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250" w:type="dxa"/>
            <w:shd w:val="clear" w:color="auto" w:fill="auto"/>
            <w:vAlign w:val="center"/>
          </w:tcPr>
          <w:p w14:paraId="31CB447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20,0</w:t>
            </w:r>
          </w:p>
        </w:tc>
        <w:tc>
          <w:tcPr>
            <w:tcW w:w="1392" w:type="dxa"/>
            <w:shd w:val="clear" w:color="auto" w:fill="auto"/>
            <w:vAlign w:val="center"/>
          </w:tcPr>
          <w:p w14:paraId="5E0F613A"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283,4</w:t>
            </w:r>
          </w:p>
        </w:tc>
        <w:tc>
          <w:tcPr>
            <w:tcW w:w="1159" w:type="dxa"/>
            <w:shd w:val="clear" w:color="auto" w:fill="auto"/>
            <w:vAlign w:val="center"/>
          </w:tcPr>
          <w:p w14:paraId="0F11C48A"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019" w:type="dxa"/>
            <w:shd w:val="clear" w:color="auto" w:fill="auto"/>
            <w:vAlign w:val="center"/>
          </w:tcPr>
          <w:p w14:paraId="37ADAD23"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992" w:type="dxa"/>
            <w:shd w:val="clear" w:color="auto" w:fill="auto"/>
            <w:vAlign w:val="center"/>
          </w:tcPr>
          <w:p w14:paraId="1CD7EABD"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161" w:type="dxa"/>
            <w:shd w:val="clear" w:color="auto" w:fill="auto"/>
            <w:vAlign w:val="center"/>
          </w:tcPr>
          <w:p w14:paraId="2255120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420,5</w:t>
            </w:r>
          </w:p>
        </w:tc>
        <w:tc>
          <w:tcPr>
            <w:tcW w:w="1134" w:type="dxa"/>
            <w:shd w:val="clear" w:color="auto" w:fill="auto"/>
            <w:vAlign w:val="center"/>
          </w:tcPr>
          <w:p w14:paraId="34A16751"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320,2</w:t>
            </w:r>
          </w:p>
        </w:tc>
        <w:tc>
          <w:tcPr>
            <w:tcW w:w="1328" w:type="dxa"/>
            <w:shd w:val="clear" w:color="auto" w:fill="auto"/>
            <w:vAlign w:val="center"/>
          </w:tcPr>
          <w:p w14:paraId="2F0560EC"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95,0</w:t>
            </w:r>
          </w:p>
        </w:tc>
        <w:tc>
          <w:tcPr>
            <w:tcW w:w="1418" w:type="dxa"/>
            <w:shd w:val="clear" w:color="auto" w:fill="auto"/>
            <w:vAlign w:val="center"/>
          </w:tcPr>
          <w:p w14:paraId="7C64170C"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5,3</w:t>
            </w:r>
          </w:p>
        </w:tc>
        <w:tc>
          <w:tcPr>
            <w:tcW w:w="1364" w:type="dxa"/>
            <w:shd w:val="clear" w:color="auto" w:fill="auto"/>
            <w:vAlign w:val="center"/>
          </w:tcPr>
          <w:p w14:paraId="26D514FB"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r>
      <w:tr w:rsidR="002B61BC" w:rsidRPr="009B235E" w14:paraId="51AAEC79" w14:textId="77777777" w:rsidTr="002B61BC">
        <w:tc>
          <w:tcPr>
            <w:tcW w:w="2552" w:type="dxa"/>
            <w:vAlign w:val="bottom"/>
          </w:tcPr>
          <w:p w14:paraId="31A237EC"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9B235E">
              <w:rPr>
                <w:rFonts w:ascii="Times New Roman" w:eastAsia="Times New Roman" w:hAnsi="Times New Roman" w:cs="Times New Roman"/>
                <w:sz w:val="24"/>
                <w:szCs w:val="24"/>
                <w:lang w:eastAsia="ru-RU"/>
              </w:rPr>
              <w:t>Санкт-Петербург</w:t>
            </w:r>
          </w:p>
        </w:tc>
        <w:tc>
          <w:tcPr>
            <w:tcW w:w="1134" w:type="dxa"/>
            <w:shd w:val="clear" w:color="auto" w:fill="auto"/>
            <w:vAlign w:val="center"/>
          </w:tcPr>
          <w:p w14:paraId="37483905"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1268,0</w:t>
            </w:r>
          </w:p>
        </w:tc>
        <w:tc>
          <w:tcPr>
            <w:tcW w:w="1250" w:type="dxa"/>
            <w:shd w:val="clear" w:color="auto" w:fill="auto"/>
            <w:vAlign w:val="center"/>
          </w:tcPr>
          <w:p w14:paraId="68C037F3"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2337,1</w:t>
            </w:r>
          </w:p>
        </w:tc>
        <w:tc>
          <w:tcPr>
            <w:tcW w:w="1392" w:type="dxa"/>
            <w:shd w:val="clear" w:color="auto" w:fill="auto"/>
            <w:vAlign w:val="center"/>
          </w:tcPr>
          <w:p w14:paraId="312F5BE4"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1681,2</w:t>
            </w:r>
          </w:p>
        </w:tc>
        <w:tc>
          <w:tcPr>
            <w:tcW w:w="1159" w:type="dxa"/>
            <w:shd w:val="clear" w:color="auto" w:fill="auto"/>
            <w:vAlign w:val="center"/>
          </w:tcPr>
          <w:p w14:paraId="00E501EA"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4460,5</w:t>
            </w:r>
          </w:p>
        </w:tc>
        <w:tc>
          <w:tcPr>
            <w:tcW w:w="1019" w:type="dxa"/>
            <w:shd w:val="clear" w:color="auto" w:fill="auto"/>
            <w:vAlign w:val="center"/>
          </w:tcPr>
          <w:p w14:paraId="6C871771"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49,7</w:t>
            </w:r>
          </w:p>
        </w:tc>
        <w:tc>
          <w:tcPr>
            <w:tcW w:w="992" w:type="dxa"/>
            <w:shd w:val="clear" w:color="auto" w:fill="auto"/>
            <w:vAlign w:val="center"/>
          </w:tcPr>
          <w:p w14:paraId="159B350D"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1112,0</w:t>
            </w:r>
          </w:p>
        </w:tc>
        <w:tc>
          <w:tcPr>
            <w:tcW w:w="1161" w:type="dxa"/>
            <w:shd w:val="clear" w:color="auto" w:fill="auto"/>
            <w:vAlign w:val="center"/>
          </w:tcPr>
          <w:p w14:paraId="7E4F016B"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16116,7</w:t>
            </w:r>
          </w:p>
        </w:tc>
        <w:tc>
          <w:tcPr>
            <w:tcW w:w="1134" w:type="dxa"/>
            <w:shd w:val="clear" w:color="auto" w:fill="auto"/>
            <w:vAlign w:val="center"/>
          </w:tcPr>
          <w:p w14:paraId="37F673F0"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5067,9</w:t>
            </w:r>
          </w:p>
        </w:tc>
        <w:tc>
          <w:tcPr>
            <w:tcW w:w="1328" w:type="dxa"/>
            <w:shd w:val="clear" w:color="auto" w:fill="auto"/>
            <w:vAlign w:val="center"/>
          </w:tcPr>
          <w:p w14:paraId="04CA80A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707,7</w:t>
            </w:r>
          </w:p>
        </w:tc>
        <w:tc>
          <w:tcPr>
            <w:tcW w:w="1418" w:type="dxa"/>
            <w:shd w:val="clear" w:color="auto" w:fill="auto"/>
            <w:vAlign w:val="center"/>
          </w:tcPr>
          <w:p w14:paraId="67B63E90"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1301,5</w:t>
            </w:r>
          </w:p>
        </w:tc>
        <w:tc>
          <w:tcPr>
            <w:tcW w:w="1364" w:type="dxa"/>
            <w:shd w:val="clear" w:color="auto" w:fill="auto"/>
            <w:vAlign w:val="center"/>
          </w:tcPr>
          <w:p w14:paraId="558B077B"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573,5</w:t>
            </w:r>
          </w:p>
        </w:tc>
      </w:tr>
      <w:tr w:rsidR="002B61BC" w:rsidRPr="009B235E" w14:paraId="4EEE013B" w14:textId="77777777" w:rsidTr="002B61BC">
        <w:tc>
          <w:tcPr>
            <w:tcW w:w="2552" w:type="dxa"/>
            <w:vAlign w:val="bottom"/>
          </w:tcPr>
          <w:p w14:paraId="253EC24A" w14:textId="77777777" w:rsidR="002B61BC" w:rsidRPr="009B235E" w:rsidRDefault="002B61BC" w:rsidP="002B61BC">
            <w:pPr>
              <w:spacing w:after="0" w:line="240" w:lineRule="auto"/>
              <w:rPr>
                <w:rFonts w:ascii="Times New Roman" w:eastAsia="Times New Roman" w:hAnsi="Times New Roman" w:cs="Times New Roman"/>
                <w:b/>
                <w:bCs/>
                <w:sz w:val="24"/>
                <w:szCs w:val="24"/>
                <w:lang w:eastAsia="ru-RU"/>
              </w:rPr>
            </w:pPr>
            <w:r w:rsidRPr="009B235E">
              <w:rPr>
                <w:rFonts w:ascii="Times New Roman" w:eastAsia="Times New Roman" w:hAnsi="Times New Roman" w:cs="Times New Roman"/>
                <w:b/>
                <w:bCs/>
                <w:sz w:val="24"/>
                <w:szCs w:val="24"/>
                <w:lang w:eastAsia="ru-RU"/>
              </w:rPr>
              <w:t xml:space="preserve">Южный </w:t>
            </w:r>
            <w:r w:rsidRPr="009B235E">
              <w:rPr>
                <w:rFonts w:ascii="Times New Roman" w:eastAsia="Times New Roman" w:hAnsi="Times New Roman" w:cs="Times New Roman"/>
                <w:b/>
                <w:bCs/>
                <w:sz w:val="24"/>
                <w:szCs w:val="24"/>
                <w:lang w:eastAsia="ru-RU"/>
              </w:rPr>
              <w:br/>
              <w:t>федеральный округ</w:t>
            </w:r>
          </w:p>
        </w:tc>
        <w:tc>
          <w:tcPr>
            <w:tcW w:w="1134" w:type="dxa"/>
            <w:shd w:val="clear" w:color="auto" w:fill="auto"/>
            <w:vAlign w:val="center"/>
          </w:tcPr>
          <w:p w14:paraId="73B04CAC"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1121,9</w:t>
            </w:r>
          </w:p>
        </w:tc>
        <w:tc>
          <w:tcPr>
            <w:tcW w:w="1250" w:type="dxa"/>
            <w:shd w:val="clear" w:color="auto" w:fill="auto"/>
            <w:vAlign w:val="center"/>
          </w:tcPr>
          <w:p w14:paraId="4D7A60BD"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9932,3</w:t>
            </w:r>
          </w:p>
        </w:tc>
        <w:tc>
          <w:tcPr>
            <w:tcW w:w="1392" w:type="dxa"/>
            <w:shd w:val="clear" w:color="auto" w:fill="auto"/>
            <w:vAlign w:val="center"/>
          </w:tcPr>
          <w:p w14:paraId="6ADE0F0B"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10947,4</w:t>
            </w:r>
          </w:p>
        </w:tc>
        <w:tc>
          <w:tcPr>
            <w:tcW w:w="1159" w:type="dxa"/>
            <w:shd w:val="clear" w:color="auto" w:fill="auto"/>
            <w:vAlign w:val="center"/>
          </w:tcPr>
          <w:p w14:paraId="63F417C6"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2216,4</w:t>
            </w:r>
          </w:p>
        </w:tc>
        <w:tc>
          <w:tcPr>
            <w:tcW w:w="1019" w:type="dxa"/>
            <w:shd w:val="clear" w:color="auto" w:fill="auto"/>
            <w:vAlign w:val="center"/>
          </w:tcPr>
          <w:p w14:paraId="2640EDA9"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59,7</w:t>
            </w:r>
          </w:p>
        </w:tc>
        <w:tc>
          <w:tcPr>
            <w:tcW w:w="992" w:type="dxa"/>
            <w:shd w:val="clear" w:color="auto" w:fill="auto"/>
            <w:vAlign w:val="center"/>
          </w:tcPr>
          <w:p w14:paraId="23EA20FF"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237,7</w:t>
            </w:r>
          </w:p>
        </w:tc>
        <w:tc>
          <w:tcPr>
            <w:tcW w:w="1161" w:type="dxa"/>
            <w:shd w:val="clear" w:color="auto" w:fill="auto"/>
            <w:vAlign w:val="center"/>
          </w:tcPr>
          <w:p w14:paraId="68009DBE"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19696,7</w:t>
            </w:r>
          </w:p>
        </w:tc>
        <w:tc>
          <w:tcPr>
            <w:tcW w:w="1134" w:type="dxa"/>
            <w:shd w:val="clear" w:color="auto" w:fill="auto"/>
            <w:vAlign w:val="center"/>
          </w:tcPr>
          <w:p w14:paraId="7AB06A52"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8409,8</w:t>
            </w:r>
          </w:p>
        </w:tc>
        <w:tc>
          <w:tcPr>
            <w:tcW w:w="1328" w:type="dxa"/>
            <w:shd w:val="clear" w:color="auto" w:fill="auto"/>
            <w:vAlign w:val="center"/>
          </w:tcPr>
          <w:p w14:paraId="5CEBC5FF"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1623,6</w:t>
            </w:r>
          </w:p>
        </w:tc>
        <w:tc>
          <w:tcPr>
            <w:tcW w:w="1418" w:type="dxa"/>
            <w:shd w:val="clear" w:color="auto" w:fill="auto"/>
            <w:vAlign w:val="center"/>
          </w:tcPr>
          <w:p w14:paraId="5C17AB5D"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4627,1</w:t>
            </w:r>
          </w:p>
        </w:tc>
        <w:tc>
          <w:tcPr>
            <w:tcW w:w="1364" w:type="dxa"/>
            <w:shd w:val="clear" w:color="auto" w:fill="auto"/>
            <w:vAlign w:val="center"/>
          </w:tcPr>
          <w:p w14:paraId="131605ED"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2134,8</w:t>
            </w:r>
          </w:p>
        </w:tc>
      </w:tr>
      <w:tr w:rsidR="002B61BC" w:rsidRPr="009B235E" w14:paraId="33889F7E" w14:textId="77777777" w:rsidTr="002B61BC">
        <w:tc>
          <w:tcPr>
            <w:tcW w:w="2552" w:type="dxa"/>
            <w:vAlign w:val="bottom"/>
          </w:tcPr>
          <w:p w14:paraId="1BB20DC0"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Адыгея</w:t>
            </w:r>
          </w:p>
        </w:tc>
        <w:tc>
          <w:tcPr>
            <w:tcW w:w="1134" w:type="dxa"/>
            <w:shd w:val="clear" w:color="auto" w:fill="auto"/>
            <w:vAlign w:val="center"/>
          </w:tcPr>
          <w:p w14:paraId="18C64602"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250" w:type="dxa"/>
            <w:shd w:val="clear" w:color="auto" w:fill="auto"/>
            <w:vAlign w:val="center"/>
          </w:tcPr>
          <w:p w14:paraId="09788A9B"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116,3</w:t>
            </w:r>
          </w:p>
        </w:tc>
        <w:tc>
          <w:tcPr>
            <w:tcW w:w="1392" w:type="dxa"/>
            <w:shd w:val="clear" w:color="auto" w:fill="auto"/>
            <w:vAlign w:val="center"/>
          </w:tcPr>
          <w:p w14:paraId="706A018C"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264,1</w:t>
            </w:r>
          </w:p>
        </w:tc>
        <w:tc>
          <w:tcPr>
            <w:tcW w:w="1159" w:type="dxa"/>
            <w:shd w:val="clear" w:color="auto" w:fill="auto"/>
            <w:vAlign w:val="center"/>
          </w:tcPr>
          <w:p w14:paraId="2DCA3C44"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156,3</w:t>
            </w:r>
          </w:p>
        </w:tc>
        <w:tc>
          <w:tcPr>
            <w:tcW w:w="1019" w:type="dxa"/>
            <w:shd w:val="clear" w:color="auto" w:fill="auto"/>
            <w:vAlign w:val="center"/>
          </w:tcPr>
          <w:p w14:paraId="4276BF7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0,1</w:t>
            </w:r>
          </w:p>
        </w:tc>
        <w:tc>
          <w:tcPr>
            <w:tcW w:w="992" w:type="dxa"/>
            <w:shd w:val="clear" w:color="auto" w:fill="auto"/>
            <w:vAlign w:val="center"/>
          </w:tcPr>
          <w:p w14:paraId="609C0C00"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101,8</w:t>
            </w:r>
          </w:p>
        </w:tc>
        <w:tc>
          <w:tcPr>
            <w:tcW w:w="1161" w:type="dxa"/>
            <w:shd w:val="clear" w:color="auto" w:fill="auto"/>
            <w:vAlign w:val="center"/>
          </w:tcPr>
          <w:p w14:paraId="5D8538A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304,3</w:t>
            </w:r>
          </w:p>
        </w:tc>
        <w:tc>
          <w:tcPr>
            <w:tcW w:w="1134" w:type="dxa"/>
            <w:shd w:val="clear" w:color="auto" w:fill="auto"/>
            <w:vAlign w:val="center"/>
          </w:tcPr>
          <w:p w14:paraId="5ADC85DD"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64,3</w:t>
            </w:r>
          </w:p>
        </w:tc>
        <w:tc>
          <w:tcPr>
            <w:tcW w:w="1328" w:type="dxa"/>
            <w:shd w:val="clear" w:color="auto" w:fill="auto"/>
            <w:vAlign w:val="center"/>
          </w:tcPr>
          <w:p w14:paraId="5908458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47,3</w:t>
            </w:r>
          </w:p>
        </w:tc>
        <w:tc>
          <w:tcPr>
            <w:tcW w:w="1418" w:type="dxa"/>
            <w:shd w:val="clear" w:color="auto" w:fill="auto"/>
            <w:vAlign w:val="center"/>
          </w:tcPr>
          <w:p w14:paraId="2D602882"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189,5</w:t>
            </w:r>
          </w:p>
        </w:tc>
        <w:tc>
          <w:tcPr>
            <w:tcW w:w="1364" w:type="dxa"/>
            <w:shd w:val="clear" w:color="auto" w:fill="auto"/>
            <w:vAlign w:val="center"/>
          </w:tcPr>
          <w:p w14:paraId="5CFEBC3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2,8</w:t>
            </w:r>
          </w:p>
        </w:tc>
      </w:tr>
      <w:tr w:rsidR="002B61BC" w:rsidRPr="009B235E" w14:paraId="24708364" w14:textId="77777777" w:rsidTr="002B61BC">
        <w:tc>
          <w:tcPr>
            <w:tcW w:w="2552" w:type="dxa"/>
            <w:vAlign w:val="bottom"/>
          </w:tcPr>
          <w:p w14:paraId="1B5B801D"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Калмыкия</w:t>
            </w:r>
          </w:p>
        </w:tc>
        <w:tc>
          <w:tcPr>
            <w:tcW w:w="1134" w:type="dxa"/>
            <w:shd w:val="clear" w:color="auto" w:fill="auto"/>
            <w:vAlign w:val="center"/>
          </w:tcPr>
          <w:p w14:paraId="204E9C1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0,1</w:t>
            </w:r>
          </w:p>
        </w:tc>
        <w:tc>
          <w:tcPr>
            <w:tcW w:w="1250" w:type="dxa"/>
            <w:shd w:val="clear" w:color="auto" w:fill="auto"/>
            <w:vAlign w:val="center"/>
          </w:tcPr>
          <w:p w14:paraId="02C824F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118,5</w:t>
            </w:r>
          </w:p>
        </w:tc>
        <w:tc>
          <w:tcPr>
            <w:tcW w:w="1392" w:type="dxa"/>
            <w:shd w:val="clear" w:color="auto" w:fill="auto"/>
            <w:vAlign w:val="center"/>
          </w:tcPr>
          <w:p w14:paraId="533EA0B9"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66,1</w:t>
            </w:r>
          </w:p>
        </w:tc>
        <w:tc>
          <w:tcPr>
            <w:tcW w:w="1159" w:type="dxa"/>
            <w:shd w:val="clear" w:color="auto" w:fill="auto"/>
            <w:vAlign w:val="center"/>
          </w:tcPr>
          <w:p w14:paraId="24A8AB42"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0,7</w:t>
            </w:r>
          </w:p>
        </w:tc>
        <w:tc>
          <w:tcPr>
            <w:tcW w:w="1019" w:type="dxa"/>
            <w:shd w:val="clear" w:color="auto" w:fill="auto"/>
            <w:vAlign w:val="center"/>
          </w:tcPr>
          <w:p w14:paraId="75BEC97B"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8,2</w:t>
            </w:r>
          </w:p>
        </w:tc>
        <w:tc>
          <w:tcPr>
            <w:tcW w:w="992" w:type="dxa"/>
            <w:shd w:val="clear" w:color="auto" w:fill="auto"/>
            <w:vAlign w:val="center"/>
          </w:tcPr>
          <w:p w14:paraId="334470F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1,0</w:t>
            </w:r>
          </w:p>
        </w:tc>
        <w:tc>
          <w:tcPr>
            <w:tcW w:w="1161" w:type="dxa"/>
            <w:shd w:val="clear" w:color="auto" w:fill="auto"/>
            <w:vAlign w:val="center"/>
          </w:tcPr>
          <w:p w14:paraId="63AE822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1419,3</w:t>
            </w:r>
          </w:p>
        </w:tc>
        <w:tc>
          <w:tcPr>
            <w:tcW w:w="1134" w:type="dxa"/>
            <w:shd w:val="clear" w:color="auto" w:fill="auto"/>
            <w:vAlign w:val="center"/>
          </w:tcPr>
          <w:p w14:paraId="38C4FF5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108,2</w:t>
            </w:r>
          </w:p>
        </w:tc>
        <w:tc>
          <w:tcPr>
            <w:tcW w:w="1328" w:type="dxa"/>
            <w:shd w:val="clear" w:color="auto" w:fill="auto"/>
            <w:vAlign w:val="center"/>
          </w:tcPr>
          <w:p w14:paraId="78859F1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78,6</w:t>
            </w:r>
          </w:p>
        </w:tc>
        <w:tc>
          <w:tcPr>
            <w:tcW w:w="1418" w:type="dxa"/>
            <w:shd w:val="clear" w:color="auto" w:fill="auto"/>
            <w:vAlign w:val="center"/>
          </w:tcPr>
          <w:p w14:paraId="393670A2"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4,4</w:t>
            </w:r>
          </w:p>
        </w:tc>
        <w:tc>
          <w:tcPr>
            <w:tcW w:w="1364" w:type="dxa"/>
            <w:shd w:val="clear" w:color="auto" w:fill="auto"/>
            <w:vAlign w:val="center"/>
          </w:tcPr>
          <w:p w14:paraId="788BC0CD"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29,6</w:t>
            </w:r>
          </w:p>
        </w:tc>
      </w:tr>
      <w:tr w:rsidR="002B61BC" w:rsidRPr="009B235E" w14:paraId="7C32538B" w14:textId="77777777" w:rsidTr="002B61BC">
        <w:tc>
          <w:tcPr>
            <w:tcW w:w="2552" w:type="dxa"/>
            <w:vAlign w:val="bottom"/>
          </w:tcPr>
          <w:p w14:paraId="0B6D642E"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Крым</w:t>
            </w:r>
          </w:p>
        </w:tc>
        <w:tc>
          <w:tcPr>
            <w:tcW w:w="1134" w:type="dxa"/>
            <w:shd w:val="clear" w:color="auto" w:fill="auto"/>
            <w:vAlign w:val="center"/>
          </w:tcPr>
          <w:p w14:paraId="7EA8EBC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49,7</w:t>
            </w:r>
          </w:p>
        </w:tc>
        <w:tc>
          <w:tcPr>
            <w:tcW w:w="1250" w:type="dxa"/>
            <w:shd w:val="clear" w:color="auto" w:fill="auto"/>
            <w:vAlign w:val="center"/>
          </w:tcPr>
          <w:p w14:paraId="316B5FC2"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1269,4</w:t>
            </w:r>
          </w:p>
        </w:tc>
        <w:tc>
          <w:tcPr>
            <w:tcW w:w="1392" w:type="dxa"/>
            <w:shd w:val="clear" w:color="auto" w:fill="auto"/>
            <w:vAlign w:val="center"/>
          </w:tcPr>
          <w:p w14:paraId="7F455D2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2247,5</w:t>
            </w:r>
          </w:p>
        </w:tc>
        <w:tc>
          <w:tcPr>
            <w:tcW w:w="1159" w:type="dxa"/>
            <w:shd w:val="clear" w:color="auto" w:fill="auto"/>
            <w:vAlign w:val="center"/>
          </w:tcPr>
          <w:p w14:paraId="2314A76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623,9</w:t>
            </w:r>
          </w:p>
        </w:tc>
        <w:tc>
          <w:tcPr>
            <w:tcW w:w="1019" w:type="dxa"/>
            <w:shd w:val="clear" w:color="auto" w:fill="auto"/>
            <w:vAlign w:val="center"/>
          </w:tcPr>
          <w:p w14:paraId="6A66A6E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992" w:type="dxa"/>
            <w:shd w:val="clear" w:color="auto" w:fill="auto"/>
            <w:vAlign w:val="center"/>
          </w:tcPr>
          <w:p w14:paraId="7F1EDF1C"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161" w:type="dxa"/>
            <w:shd w:val="clear" w:color="auto" w:fill="auto"/>
            <w:vAlign w:val="center"/>
          </w:tcPr>
          <w:p w14:paraId="5E622F8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1818,1</w:t>
            </w:r>
          </w:p>
        </w:tc>
        <w:tc>
          <w:tcPr>
            <w:tcW w:w="1134" w:type="dxa"/>
            <w:shd w:val="clear" w:color="auto" w:fill="auto"/>
            <w:vAlign w:val="center"/>
          </w:tcPr>
          <w:p w14:paraId="77C63FB5"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556,0</w:t>
            </w:r>
          </w:p>
        </w:tc>
        <w:tc>
          <w:tcPr>
            <w:tcW w:w="1328" w:type="dxa"/>
            <w:shd w:val="clear" w:color="auto" w:fill="auto"/>
            <w:vAlign w:val="center"/>
          </w:tcPr>
          <w:p w14:paraId="0B86F1A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418" w:type="dxa"/>
            <w:shd w:val="clear" w:color="auto" w:fill="auto"/>
            <w:vAlign w:val="center"/>
          </w:tcPr>
          <w:p w14:paraId="52F1408D"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81,1</w:t>
            </w:r>
          </w:p>
        </w:tc>
        <w:tc>
          <w:tcPr>
            <w:tcW w:w="1364" w:type="dxa"/>
            <w:shd w:val="clear" w:color="auto" w:fill="auto"/>
            <w:vAlign w:val="center"/>
          </w:tcPr>
          <w:p w14:paraId="0C46337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745,9</w:t>
            </w:r>
          </w:p>
        </w:tc>
      </w:tr>
      <w:tr w:rsidR="002B61BC" w:rsidRPr="009B235E" w14:paraId="4BD1490B" w14:textId="77777777" w:rsidTr="002B61BC">
        <w:tc>
          <w:tcPr>
            <w:tcW w:w="2552" w:type="dxa"/>
            <w:vAlign w:val="bottom"/>
          </w:tcPr>
          <w:p w14:paraId="31BBF57B"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Краснодарский край</w:t>
            </w:r>
          </w:p>
        </w:tc>
        <w:tc>
          <w:tcPr>
            <w:tcW w:w="1134" w:type="dxa"/>
            <w:shd w:val="clear" w:color="auto" w:fill="auto"/>
            <w:vAlign w:val="center"/>
          </w:tcPr>
          <w:p w14:paraId="12C53E70"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578,8</w:t>
            </w:r>
          </w:p>
        </w:tc>
        <w:tc>
          <w:tcPr>
            <w:tcW w:w="1250" w:type="dxa"/>
            <w:shd w:val="clear" w:color="auto" w:fill="auto"/>
            <w:vAlign w:val="center"/>
          </w:tcPr>
          <w:p w14:paraId="33F8FE7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1384,5</w:t>
            </w:r>
          </w:p>
        </w:tc>
        <w:tc>
          <w:tcPr>
            <w:tcW w:w="1392" w:type="dxa"/>
            <w:shd w:val="clear" w:color="auto" w:fill="auto"/>
            <w:vAlign w:val="center"/>
          </w:tcPr>
          <w:p w14:paraId="7247FD44"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3937,9</w:t>
            </w:r>
          </w:p>
        </w:tc>
        <w:tc>
          <w:tcPr>
            <w:tcW w:w="1159" w:type="dxa"/>
            <w:shd w:val="clear" w:color="auto" w:fill="auto"/>
            <w:vAlign w:val="center"/>
          </w:tcPr>
          <w:p w14:paraId="4ECBFD35"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814,3</w:t>
            </w:r>
          </w:p>
        </w:tc>
        <w:tc>
          <w:tcPr>
            <w:tcW w:w="1019" w:type="dxa"/>
            <w:shd w:val="clear" w:color="auto" w:fill="auto"/>
            <w:vAlign w:val="center"/>
          </w:tcPr>
          <w:p w14:paraId="02BDBC7D"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51,3</w:t>
            </w:r>
          </w:p>
        </w:tc>
        <w:tc>
          <w:tcPr>
            <w:tcW w:w="992" w:type="dxa"/>
            <w:shd w:val="clear" w:color="auto" w:fill="auto"/>
            <w:vAlign w:val="center"/>
          </w:tcPr>
          <w:p w14:paraId="43F4BFE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161" w:type="dxa"/>
            <w:shd w:val="clear" w:color="auto" w:fill="auto"/>
            <w:vAlign w:val="center"/>
          </w:tcPr>
          <w:p w14:paraId="1F72FF7A"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10322,5</w:t>
            </w:r>
          </w:p>
        </w:tc>
        <w:tc>
          <w:tcPr>
            <w:tcW w:w="1134" w:type="dxa"/>
            <w:shd w:val="clear" w:color="auto" w:fill="auto"/>
            <w:vAlign w:val="center"/>
          </w:tcPr>
          <w:p w14:paraId="19BFADC9"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3887,9</w:t>
            </w:r>
          </w:p>
        </w:tc>
        <w:tc>
          <w:tcPr>
            <w:tcW w:w="1328" w:type="dxa"/>
            <w:shd w:val="clear" w:color="auto" w:fill="auto"/>
            <w:vAlign w:val="center"/>
          </w:tcPr>
          <w:p w14:paraId="697AAFEA"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696,4</w:t>
            </w:r>
          </w:p>
        </w:tc>
        <w:tc>
          <w:tcPr>
            <w:tcW w:w="1418" w:type="dxa"/>
            <w:shd w:val="clear" w:color="auto" w:fill="auto"/>
            <w:vAlign w:val="center"/>
          </w:tcPr>
          <w:p w14:paraId="22BB912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3555,8</w:t>
            </w:r>
          </w:p>
        </w:tc>
        <w:tc>
          <w:tcPr>
            <w:tcW w:w="1364" w:type="dxa"/>
            <w:shd w:val="clear" w:color="auto" w:fill="auto"/>
            <w:vAlign w:val="center"/>
          </w:tcPr>
          <w:p w14:paraId="10BD5E24"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536,6</w:t>
            </w:r>
          </w:p>
        </w:tc>
      </w:tr>
      <w:tr w:rsidR="002B61BC" w:rsidRPr="009B235E" w14:paraId="232C2ECC" w14:textId="77777777" w:rsidTr="002B61BC">
        <w:tc>
          <w:tcPr>
            <w:tcW w:w="2552" w:type="dxa"/>
            <w:vAlign w:val="bottom"/>
          </w:tcPr>
          <w:p w14:paraId="36EC0D27"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Астраханская область</w:t>
            </w:r>
          </w:p>
        </w:tc>
        <w:tc>
          <w:tcPr>
            <w:tcW w:w="1134" w:type="dxa"/>
            <w:shd w:val="clear" w:color="auto" w:fill="auto"/>
            <w:vAlign w:val="center"/>
          </w:tcPr>
          <w:p w14:paraId="18C16910"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5,7</w:t>
            </w:r>
          </w:p>
        </w:tc>
        <w:tc>
          <w:tcPr>
            <w:tcW w:w="1250" w:type="dxa"/>
            <w:shd w:val="clear" w:color="auto" w:fill="auto"/>
            <w:vAlign w:val="center"/>
          </w:tcPr>
          <w:p w14:paraId="4EE840C3"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333,1</w:t>
            </w:r>
          </w:p>
        </w:tc>
        <w:tc>
          <w:tcPr>
            <w:tcW w:w="1392" w:type="dxa"/>
            <w:shd w:val="clear" w:color="auto" w:fill="auto"/>
            <w:vAlign w:val="center"/>
          </w:tcPr>
          <w:p w14:paraId="3F094A4A"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898,1</w:t>
            </w:r>
          </w:p>
        </w:tc>
        <w:tc>
          <w:tcPr>
            <w:tcW w:w="1159" w:type="dxa"/>
            <w:shd w:val="clear" w:color="auto" w:fill="auto"/>
            <w:vAlign w:val="center"/>
          </w:tcPr>
          <w:p w14:paraId="6273BD5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141,2</w:t>
            </w:r>
          </w:p>
        </w:tc>
        <w:tc>
          <w:tcPr>
            <w:tcW w:w="1019" w:type="dxa"/>
            <w:shd w:val="clear" w:color="auto" w:fill="auto"/>
            <w:vAlign w:val="center"/>
          </w:tcPr>
          <w:p w14:paraId="0D3499BD"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992" w:type="dxa"/>
            <w:shd w:val="clear" w:color="auto" w:fill="auto"/>
            <w:vAlign w:val="center"/>
          </w:tcPr>
          <w:p w14:paraId="35FAB24A"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11,9</w:t>
            </w:r>
          </w:p>
        </w:tc>
        <w:tc>
          <w:tcPr>
            <w:tcW w:w="1161" w:type="dxa"/>
            <w:shd w:val="clear" w:color="auto" w:fill="auto"/>
            <w:vAlign w:val="center"/>
          </w:tcPr>
          <w:p w14:paraId="6D96976C"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2126,5</w:t>
            </w:r>
          </w:p>
        </w:tc>
        <w:tc>
          <w:tcPr>
            <w:tcW w:w="1134" w:type="dxa"/>
            <w:shd w:val="clear" w:color="auto" w:fill="auto"/>
            <w:vAlign w:val="center"/>
          </w:tcPr>
          <w:p w14:paraId="453C0292"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2126,5</w:t>
            </w:r>
          </w:p>
        </w:tc>
        <w:tc>
          <w:tcPr>
            <w:tcW w:w="1328" w:type="dxa"/>
            <w:shd w:val="clear" w:color="auto" w:fill="auto"/>
            <w:vAlign w:val="center"/>
          </w:tcPr>
          <w:p w14:paraId="2A3B6A1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0,1</w:t>
            </w:r>
          </w:p>
        </w:tc>
        <w:tc>
          <w:tcPr>
            <w:tcW w:w="1418" w:type="dxa"/>
            <w:shd w:val="clear" w:color="auto" w:fill="auto"/>
            <w:vAlign w:val="center"/>
          </w:tcPr>
          <w:p w14:paraId="4461C00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177,8</w:t>
            </w:r>
          </w:p>
        </w:tc>
        <w:tc>
          <w:tcPr>
            <w:tcW w:w="1364" w:type="dxa"/>
            <w:shd w:val="clear" w:color="auto" w:fill="auto"/>
            <w:vAlign w:val="center"/>
          </w:tcPr>
          <w:p w14:paraId="7510DE4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83,8</w:t>
            </w:r>
          </w:p>
        </w:tc>
      </w:tr>
      <w:tr w:rsidR="002B61BC" w:rsidRPr="009B235E" w14:paraId="2C6F0E03" w14:textId="77777777" w:rsidTr="002B61BC">
        <w:tc>
          <w:tcPr>
            <w:tcW w:w="2552" w:type="dxa"/>
            <w:vAlign w:val="bottom"/>
          </w:tcPr>
          <w:p w14:paraId="710C1C40"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Волгоградская область</w:t>
            </w:r>
          </w:p>
        </w:tc>
        <w:tc>
          <w:tcPr>
            <w:tcW w:w="1134" w:type="dxa"/>
            <w:shd w:val="clear" w:color="auto" w:fill="auto"/>
            <w:vAlign w:val="center"/>
          </w:tcPr>
          <w:p w14:paraId="78A4C2C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400,1</w:t>
            </w:r>
          </w:p>
        </w:tc>
        <w:tc>
          <w:tcPr>
            <w:tcW w:w="1250" w:type="dxa"/>
            <w:shd w:val="clear" w:color="auto" w:fill="auto"/>
            <w:vAlign w:val="center"/>
          </w:tcPr>
          <w:p w14:paraId="63D12C20"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2045,6</w:t>
            </w:r>
          </w:p>
        </w:tc>
        <w:tc>
          <w:tcPr>
            <w:tcW w:w="1392" w:type="dxa"/>
            <w:shd w:val="clear" w:color="auto" w:fill="auto"/>
            <w:vAlign w:val="center"/>
          </w:tcPr>
          <w:p w14:paraId="6A96ADC0"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1300,2</w:t>
            </w:r>
          </w:p>
        </w:tc>
        <w:tc>
          <w:tcPr>
            <w:tcW w:w="1159" w:type="dxa"/>
            <w:shd w:val="clear" w:color="auto" w:fill="auto"/>
            <w:vAlign w:val="center"/>
          </w:tcPr>
          <w:p w14:paraId="31948EB2"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289,9</w:t>
            </w:r>
          </w:p>
        </w:tc>
        <w:tc>
          <w:tcPr>
            <w:tcW w:w="1019" w:type="dxa"/>
            <w:shd w:val="clear" w:color="auto" w:fill="auto"/>
            <w:vAlign w:val="center"/>
          </w:tcPr>
          <w:p w14:paraId="2B330461"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992" w:type="dxa"/>
            <w:shd w:val="clear" w:color="auto" w:fill="auto"/>
            <w:vAlign w:val="center"/>
          </w:tcPr>
          <w:p w14:paraId="5F3BBC2D"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29,2</w:t>
            </w:r>
          </w:p>
        </w:tc>
        <w:tc>
          <w:tcPr>
            <w:tcW w:w="1161" w:type="dxa"/>
            <w:shd w:val="clear" w:color="auto" w:fill="auto"/>
            <w:vAlign w:val="center"/>
          </w:tcPr>
          <w:p w14:paraId="11AEFA5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1970,1</w:t>
            </w:r>
          </w:p>
        </w:tc>
        <w:tc>
          <w:tcPr>
            <w:tcW w:w="1134" w:type="dxa"/>
            <w:shd w:val="clear" w:color="auto" w:fill="auto"/>
            <w:vAlign w:val="center"/>
          </w:tcPr>
          <w:p w14:paraId="00C7B0D5"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1484,9</w:t>
            </w:r>
          </w:p>
        </w:tc>
        <w:tc>
          <w:tcPr>
            <w:tcW w:w="1328" w:type="dxa"/>
            <w:shd w:val="clear" w:color="auto" w:fill="auto"/>
            <w:vAlign w:val="center"/>
          </w:tcPr>
          <w:p w14:paraId="07D79634"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228,0</w:t>
            </w:r>
          </w:p>
        </w:tc>
        <w:tc>
          <w:tcPr>
            <w:tcW w:w="1418" w:type="dxa"/>
            <w:shd w:val="clear" w:color="auto" w:fill="auto"/>
            <w:vAlign w:val="center"/>
          </w:tcPr>
          <w:p w14:paraId="74A9EC8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215,3</w:t>
            </w:r>
          </w:p>
        </w:tc>
        <w:tc>
          <w:tcPr>
            <w:tcW w:w="1364" w:type="dxa"/>
            <w:shd w:val="clear" w:color="auto" w:fill="auto"/>
            <w:vAlign w:val="center"/>
          </w:tcPr>
          <w:p w14:paraId="35E4FA9C"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96,5</w:t>
            </w:r>
          </w:p>
        </w:tc>
      </w:tr>
      <w:tr w:rsidR="002B61BC" w:rsidRPr="009B235E" w14:paraId="7D885AEC" w14:textId="77777777" w:rsidTr="002B61BC">
        <w:tc>
          <w:tcPr>
            <w:tcW w:w="2552" w:type="dxa"/>
            <w:vAlign w:val="bottom"/>
          </w:tcPr>
          <w:p w14:paraId="3B794CAD"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Ростовская область</w:t>
            </w:r>
          </w:p>
        </w:tc>
        <w:tc>
          <w:tcPr>
            <w:tcW w:w="1134" w:type="dxa"/>
            <w:shd w:val="clear" w:color="auto" w:fill="auto"/>
            <w:vAlign w:val="center"/>
          </w:tcPr>
          <w:p w14:paraId="377F5C8B"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0,4</w:t>
            </w:r>
          </w:p>
        </w:tc>
        <w:tc>
          <w:tcPr>
            <w:tcW w:w="1250" w:type="dxa"/>
            <w:shd w:val="clear" w:color="auto" w:fill="auto"/>
            <w:vAlign w:val="center"/>
          </w:tcPr>
          <w:p w14:paraId="2C0E163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4506,6</w:t>
            </w:r>
          </w:p>
        </w:tc>
        <w:tc>
          <w:tcPr>
            <w:tcW w:w="1392" w:type="dxa"/>
            <w:shd w:val="clear" w:color="auto" w:fill="auto"/>
            <w:vAlign w:val="center"/>
          </w:tcPr>
          <w:p w14:paraId="33770E0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2045,0</w:t>
            </w:r>
          </w:p>
        </w:tc>
        <w:tc>
          <w:tcPr>
            <w:tcW w:w="1159" w:type="dxa"/>
            <w:shd w:val="clear" w:color="auto" w:fill="auto"/>
            <w:vAlign w:val="center"/>
          </w:tcPr>
          <w:p w14:paraId="7961F86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106,2</w:t>
            </w:r>
          </w:p>
        </w:tc>
        <w:tc>
          <w:tcPr>
            <w:tcW w:w="1019" w:type="dxa"/>
            <w:shd w:val="clear" w:color="auto" w:fill="auto"/>
            <w:vAlign w:val="center"/>
          </w:tcPr>
          <w:p w14:paraId="3E83B421"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992" w:type="dxa"/>
            <w:shd w:val="clear" w:color="auto" w:fill="auto"/>
            <w:vAlign w:val="center"/>
          </w:tcPr>
          <w:p w14:paraId="5DA223B0"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93,8</w:t>
            </w:r>
          </w:p>
        </w:tc>
        <w:tc>
          <w:tcPr>
            <w:tcW w:w="1161" w:type="dxa"/>
            <w:shd w:val="clear" w:color="auto" w:fill="auto"/>
            <w:vAlign w:val="center"/>
          </w:tcPr>
          <w:p w14:paraId="303FFEA4"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1397,8</w:t>
            </w:r>
          </w:p>
        </w:tc>
        <w:tc>
          <w:tcPr>
            <w:tcW w:w="1134" w:type="dxa"/>
            <w:shd w:val="clear" w:color="auto" w:fill="auto"/>
            <w:vAlign w:val="center"/>
          </w:tcPr>
          <w:p w14:paraId="22189C0B"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1,9</w:t>
            </w:r>
          </w:p>
        </w:tc>
        <w:tc>
          <w:tcPr>
            <w:tcW w:w="1328" w:type="dxa"/>
            <w:shd w:val="clear" w:color="auto" w:fill="auto"/>
            <w:vAlign w:val="center"/>
          </w:tcPr>
          <w:p w14:paraId="252709E5"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448,3</w:t>
            </w:r>
          </w:p>
        </w:tc>
        <w:tc>
          <w:tcPr>
            <w:tcW w:w="1418" w:type="dxa"/>
            <w:shd w:val="clear" w:color="auto" w:fill="auto"/>
            <w:vAlign w:val="center"/>
          </w:tcPr>
          <w:p w14:paraId="65B35CF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302,4</w:t>
            </w:r>
          </w:p>
        </w:tc>
        <w:tc>
          <w:tcPr>
            <w:tcW w:w="1364" w:type="dxa"/>
            <w:shd w:val="clear" w:color="auto" w:fill="auto"/>
            <w:vAlign w:val="center"/>
          </w:tcPr>
          <w:p w14:paraId="2D03956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639,7</w:t>
            </w:r>
          </w:p>
        </w:tc>
      </w:tr>
      <w:tr w:rsidR="002B61BC" w:rsidRPr="009B235E" w14:paraId="70A45292" w14:textId="77777777" w:rsidTr="002B61BC">
        <w:tc>
          <w:tcPr>
            <w:tcW w:w="2552" w:type="dxa"/>
            <w:vAlign w:val="bottom"/>
          </w:tcPr>
          <w:p w14:paraId="73151840"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9B235E">
              <w:rPr>
                <w:rFonts w:ascii="Times New Roman" w:eastAsia="Times New Roman" w:hAnsi="Times New Roman" w:cs="Times New Roman"/>
                <w:sz w:val="24"/>
                <w:szCs w:val="24"/>
                <w:lang w:eastAsia="ru-RU"/>
              </w:rPr>
              <w:t>Севастополь</w:t>
            </w:r>
          </w:p>
        </w:tc>
        <w:tc>
          <w:tcPr>
            <w:tcW w:w="1134" w:type="dxa"/>
            <w:shd w:val="clear" w:color="auto" w:fill="auto"/>
            <w:vAlign w:val="center"/>
          </w:tcPr>
          <w:p w14:paraId="0B504DA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87,1</w:t>
            </w:r>
          </w:p>
        </w:tc>
        <w:tc>
          <w:tcPr>
            <w:tcW w:w="1250" w:type="dxa"/>
            <w:shd w:val="clear" w:color="auto" w:fill="auto"/>
            <w:vAlign w:val="center"/>
          </w:tcPr>
          <w:p w14:paraId="22BFE9F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158,3</w:t>
            </w:r>
          </w:p>
        </w:tc>
        <w:tc>
          <w:tcPr>
            <w:tcW w:w="1392" w:type="dxa"/>
            <w:shd w:val="clear" w:color="auto" w:fill="auto"/>
            <w:vAlign w:val="center"/>
          </w:tcPr>
          <w:p w14:paraId="37808573"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188,6</w:t>
            </w:r>
          </w:p>
        </w:tc>
        <w:tc>
          <w:tcPr>
            <w:tcW w:w="1159" w:type="dxa"/>
            <w:shd w:val="clear" w:color="auto" w:fill="auto"/>
            <w:vAlign w:val="center"/>
          </w:tcPr>
          <w:p w14:paraId="588C4DE4"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83,9</w:t>
            </w:r>
          </w:p>
        </w:tc>
        <w:tc>
          <w:tcPr>
            <w:tcW w:w="1019" w:type="dxa"/>
            <w:shd w:val="clear" w:color="auto" w:fill="auto"/>
            <w:vAlign w:val="center"/>
          </w:tcPr>
          <w:p w14:paraId="1994F7C0"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992" w:type="dxa"/>
            <w:shd w:val="clear" w:color="auto" w:fill="auto"/>
            <w:vAlign w:val="center"/>
          </w:tcPr>
          <w:p w14:paraId="02F14504"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161" w:type="dxa"/>
            <w:shd w:val="clear" w:color="auto" w:fill="auto"/>
            <w:vAlign w:val="center"/>
          </w:tcPr>
          <w:p w14:paraId="7CF149C5"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338,2</w:t>
            </w:r>
          </w:p>
        </w:tc>
        <w:tc>
          <w:tcPr>
            <w:tcW w:w="1134" w:type="dxa"/>
            <w:shd w:val="clear" w:color="auto" w:fill="auto"/>
            <w:vAlign w:val="center"/>
          </w:tcPr>
          <w:p w14:paraId="4FA807EC"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180,0</w:t>
            </w:r>
          </w:p>
        </w:tc>
        <w:tc>
          <w:tcPr>
            <w:tcW w:w="1328" w:type="dxa"/>
            <w:shd w:val="clear" w:color="auto" w:fill="auto"/>
            <w:vAlign w:val="center"/>
          </w:tcPr>
          <w:p w14:paraId="7C44D52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124,9</w:t>
            </w:r>
          </w:p>
        </w:tc>
        <w:tc>
          <w:tcPr>
            <w:tcW w:w="1418" w:type="dxa"/>
            <w:shd w:val="clear" w:color="auto" w:fill="auto"/>
            <w:vAlign w:val="center"/>
          </w:tcPr>
          <w:p w14:paraId="77B23300"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100,8</w:t>
            </w:r>
          </w:p>
        </w:tc>
        <w:tc>
          <w:tcPr>
            <w:tcW w:w="1364" w:type="dxa"/>
            <w:shd w:val="clear" w:color="auto" w:fill="auto"/>
            <w:vAlign w:val="center"/>
          </w:tcPr>
          <w:p w14:paraId="0A5B6E54"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r>
      <w:tr w:rsidR="002B61BC" w:rsidRPr="009B235E" w14:paraId="119E1ED9" w14:textId="77777777" w:rsidTr="002B61BC">
        <w:tc>
          <w:tcPr>
            <w:tcW w:w="2552" w:type="dxa"/>
            <w:vAlign w:val="bottom"/>
          </w:tcPr>
          <w:p w14:paraId="6B00A4DF" w14:textId="77777777" w:rsidR="002B61BC" w:rsidRPr="009B235E" w:rsidRDefault="002B61BC" w:rsidP="002B61BC">
            <w:pPr>
              <w:spacing w:after="0" w:line="240" w:lineRule="auto"/>
              <w:rPr>
                <w:rFonts w:ascii="Times New Roman" w:eastAsia="Times New Roman" w:hAnsi="Times New Roman" w:cs="Times New Roman"/>
                <w:b/>
                <w:bCs/>
                <w:sz w:val="24"/>
                <w:szCs w:val="24"/>
                <w:lang w:eastAsia="ru-RU"/>
              </w:rPr>
            </w:pPr>
            <w:r w:rsidRPr="009B235E">
              <w:rPr>
                <w:rFonts w:ascii="Times New Roman" w:eastAsia="Times New Roman" w:hAnsi="Times New Roman" w:cs="Times New Roman"/>
                <w:b/>
                <w:bCs/>
                <w:sz w:val="24"/>
                <w:szCs w:val="24"/>
                <w:lang w:eastAsia="ru-RU"/>
              </w:rPr>
              <w:t>Северо-Кавказский федеральный округ</w:t>
            </w:r>
          </w:p>
        </w:tc>
        <w:tc>
          <w:tcPr>
            <w:tcW w:w="1134" w:type="dxa"/>
            <w:shd w:val="clear" w:color="auto" w:fill="auto"/>
            <w:vAlign w:val="center"/>
          </w:tcPr>
          <w:p w14:paraId="12C1E657"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50,4</w:t>
            </w:r>
          </w:p>
        </w:tc>
        <w:tc>
          <w:tcPr>
            <w:tcW w:w="1250" w:type="dxa"/>
            <w:shd w:val="clear" w:color="auto" w:fill="auto"/>
            <w:vAlign w:val="center"/>
          </w:tcPr>
          <w:p w14:paraId="33AE5DAA"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2537,6</w:t>
            </w:r>
          </w:p>
        </w:tc>
        <w:tc>
          <w:tcPr>
            <w:tcW w:w="1392" w:type="dxa"/>
            <w:shd w:val="clear" w:color="auto" w:fill="auto"/>
            <w:vAlign w:val="center"/>
          </w:tcPr>
          <w:p w14:paraId="434C163A"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1976,4</w:t>
            </w:r>
          </w:p>
        </w:tc>
        <w:tc>
          <w:tcPr>
            <w:tcW w:w="1159" w:type="dxa"/>
            <w:shd w:val="clear" w:color="auto" w:fill="auto"/>
            <w:vAlign w:val="center"/>
          </w:tcPr>
          <w:p w14:paraId="58FD963F"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1508,4</w:t>
            </w:r>
          </w:p>
        </w:tc>
        <w:tc>
          <w:tcPr>
            <w:tcW w:w="1019" w:type="dxa"/>
            <w:shd w:val="clear" w:color="auto" w:fill="auto"/>
            <w:vAlign w:val="center"/>
          </w:tcPr>
          <w:p w14:paraId="1379CD4D"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17,7</w:t>
            </w:r>
          </w:p>
        </w:tc>
        <w:tc>
          <w:tcPr>
            <w:tcW w:w="992" w:type="dxa"/>
            <w:shd w:val="clear" w:color="auto" w:fill="auto"/>
            <w:vAlign w:val="center"/>
          </w:tcPr>
          <w:p w14:paraId="42C5B15A"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w:t>
            </w:r>
          </w:p>
        </w:tc>
        <w:tc>
          <w:tcPr>
            <w:tcW w:w="1161" w:type="dxa"/>
            <w:shd w:val="clear" w:color="auto" w:fill="auto"/>
            <w:vAlign w:val="center"/>
          </w:tcPr>
          <w:p w14:paraId="3531B43F"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5816,7</w:t>
            </w:r>
          </w:p>
        </w:tc>
        <w:tc>
          <w:tcPr>
            <w:tcW w:w="1134" w:type="dxa"/>
            <w:shd w:val="clear" w:color="auto" w:fill="auto"/>
            <w:vAlign w:val="center"/>
          </w:tcPr>
          <w:p w14:paraId="4EDC939A"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1586,8</w:t>
            </w:r>
          </w:p>
        </w:tc>
        <w:tc>
          <w:tcPr>
            <w:tcW w:w="1328" w:type="dxa"/>
            <w:shd w:val="clear" w:color="auto" w:fill="auto"/>
            <w:vAlign w:val="center"/>
          </w:tcPr>
          <w:p w14:paraId="7F17560E"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183,7</w:t>
            </w:r>
          </w:p>
        </w:tc>
        <w:tc>
          <w:tcPr>
            <w:tcW w:w="1418" w:type="dxa"/>
            <w:shd w:val="clear" w:color="auto" w:fill="auto"/>
            <w:vAlign w:val="center"/>
          </w:tcPr>
          <w:p w14:paraId="3D4D527E"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318,9</w:t>
            </w:r>
          </w:p>
        </w:tc>
        <w:tc>
          <w:tcPr>
            <w:tcW w:w="1364" w:type="dxa"/>
            <w:shd w:val="clear" w:color="auto" w:fill="auto"/>
            <w:vAlign w:val="center"/>
          </w:tcPr>
          <w:p w14:paraId="5A628BE8"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741,4</w:t>
            </w:r>
          </w:p>
        </w:tc>
      </w:tr>
      <w:tr w:rsidR="002B61BC" w:rsidRPr="009B235E" w14:paraId="5EED5BFB" w14:textId="77777777" w:rsidTr="002B61BC">
        <w:tc>
          <w:tcPr>
            <w:tcW w:w="2552" w:type="dxa"/>
            <w:vAlign w:val="bottom"/>
          </w:tcPr>
          <w:p w14:paraId="7A121CF5"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Дагестан</w:t>
            </w:r>
          </w:p>
        </w:tc>
        <w:tc>
          <w:tcPr>
            <w:tcW w:w="1134" w:type="dxa"/>
            <w:shd w:val="clear" w:color="auto" w:fill="auto"/>
            <w:vAlign w:val="center"/>
          </w:tcPr>
          <w:p w14:paraId="23EDD0B3"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0,0</w:t>
            </w:r>
          </w:p>
        </w:tc>
        <w:tc>
          <w:tcPr>
            <w:tcW w:w="1250" w:type="dxa"/>
            <w:shd w:val="clear" w:color="auto" w:fill="auto"/>
            <w:vAlign w:val="center"/>
          </w:tcPr>
          <w:p w14:paraId="756C39D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147,2</w:t>
            </w:r>
          </w:p>
        </w:tc>
        <w:tc>
          <w:tcPr>
            <w:tcW w:w="1392" w:type="dxa"/>
            <w:shd w:val="clear" w:color="auto" w:fill="auto"/>
            <w:vAlign w:val="center"/>
          </w:tcPr>
          <w:p w14:paraId="53F4E77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708,6</w:t>
            </w:r>
          </w:p>
        </w:tc>
        <w:tc>
          <w:tcPr>
            <w:tcW w:w="1159" w:type="dxa"/>
            <w:shd w:val="clear" w:color="auto" w:fill="auto"/>
            <w:vAlign w:val="center"/>
          </w:tcPr>
          <w:p w14:paraId="7561B1B3"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172,7</w:t>
            </w:r>
          </w:p>
        </w:tc>
        <w:tc>
          <w:tcPr>
            <w:tcW w:w="1019" w:type="dxa"/>
            <w:shd w:val="clear" w:color="auto" w:fill="auto"/>
            <w:vAlign w:val="center"/>
          </w:tcPr>
          <w:p w14:paraId="3FEB1391"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992" w:type="dxa"/>
            <w:shd w:val="clear" w:color="auto" w:fill="auto"/>
            <w:vAlign w:val="center"/>
          </w:tcPr>
          <w:p w14:paraId="385A7F1D"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161" w:type="dxa"/>
            <w:shd w:val="clear" w:color="auto" w:fill="auto"/>
            <w:vAlign w:val="center"/>
          </w:tcPr>
          <w:p w14:paraId="02CB426C"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1908,6</w:t>
            </w:r>
          </w:p>
        </w:tc>
        <w:tc>
          <w:tcPr>
            <w:tcW w:w="1134" w:type="dxa"/>
            <w:shd w:val="clear" w:color="auto" w:fill="auto"/>
            <w:vAlign w:val="center"/>
          </w:tcPr>
          <w:p w14:paraId="4ABFD644"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897,4</w:t>
            </w:r>
          </w:p>
        </w:tc>
        <w:tc>
          <w:tcPr>
            <w:tcW w:w="1328" w:type="dxa"/>
            <w:shd w:val="clear" w:color="auto" w:fill="auto"/>
            <w:vAlign w:val="center"/>
          </w:tcPr>
          <w:p w14:paraId="3C8BCEEA"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418" w:type="dxa"/>
            <w:shd w:val="clear" w:color="auto" w:fill="auto"/>
            <w:vAlign w:val="center"/>
          </w:tcPr>
          <w:p w14:paraId="5A8DBA2D"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364" w:type="dxa"/>
            <w:shd w:val="clear" w:color="auto" w:fill="auto"/>
            <w:vAlign w:val="center"/>
          </w:tcPr>
          <w:p w14:paraId="0A2C4204"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135,4</w:t>
            </w:r>
          </w:p>
        </w:tc>
      </w:tr>
      <w:tr w:rsidR="002B61BC" w:rsidRPr="009B235E" w14:paraId="15119368" w14:textId="77777777" w:rsidTr="002B61BC">
        <w:tc>
          <w:tcPr>
            <w:tcW w:w="2552" w:type="dxa"/>
            <w:vAlign w:val="bottom"/>
          </w:tcPr>
          <w:p w14:paraId="52EEA5CB"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Ингушетия</w:t>
            </w:r>
          </w:p>
        </w:tc>
        <w:tc>
          <w:tcPr>
            <w:tcW w:w="1134" w:type="dxa"/>
            <w:shd w:val="clear" w:color="auto" w:fill="auto"/>
            <w:vAlign w:val="center"/>
          </w:tcPr>
          <w:p w14:paraId="285B2F05"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250" w:type="dxa"/>
            <w:shd w:val="clear" w:color="auto" w:fill="auto"/>
            <w:vAlign w:val="center"/>
          </w:tcPr>
          <w:p w14:paraId="4D27973A"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392" w:type="dxa"/>
            <w:shd w:val="clear" w:color="auto" w:fill="auto"/>
            <w:vAlign w:val="center"/>
          </w:tcPr>
          <w:p w14:paraId="02E15FB2"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45,7</w:t>
            </w:r>
          </w:p>
        </w:tc>
        <w:tc>
          <w:tcPr>
            <w:tcW w:w="1159" w:type="dxa"/>
            <w:shd w:val="clear" w:color="auto" w:fill="auto"/>
            <w:vAlign w:val="center"/>
          </w:tcPr>
          <w:p w14:paraId="1B20D80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1,3</w:t>
            </w:r>
          </w:p>
        </w:tc>
        <w:tc>
          <w:tcPr>
            <w:tcW w:w="1019" w:type="dxa"/>
            <w:shd w:val="clear" w:color="auto" w:fill="auto"/>
            <w:vAlign w:val="center"/>
          </w:tcPr>
          <w:p w14:paraId="560D40E4"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992" w:type="dxa"/>
            <w:shd w:val="clear" w:color="auto" w:fill="auto"/>
            <w:vAlign w:val="center"/>
          </w:tcPr>
          <w:p w14:paraId="557F5753"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161" w:type="dxa"/>
            <w:shd w:val="clear" w:color="auto" w:fill="auto"/>
            <w:vAlign w:val="center"/>
          </w:tcPr>
          <w:p w14:paraId="1145E59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119,6</w:t>
            </w:r>
          </w:p>
        </w:tc>
        <w:tc>
          <w:tcPr>
            <w:tcW w:w="1134" w:type="dxa"/>
            <w:shd w:val="clear" w:color="auto" w:fill="auto"/>
            <w:vAlign w:val="center"/>
          </w:tcPr>
          <w:p w14:paraId="4185B4E9"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328" w:type="dxa"/>
            <w:shd w:val="clear" w:color="auto" w:fill="auto"/>
            <w:vAlign w:val="center"/>
          </w:tcPr>
          <w:p w14:paraId="417A2D6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418" w:type="dxa"/>
            <w:shd w:val="clear" w:color="auto" w:fill="auto"/>
            <w:vAlign w:val="center"/>
          </w:tcPr>
          <w:p w14:paraId="072DA630"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364" w:type="dxa"/>
            <w:shd w:val="clear" w:color="auto" w:fill="auto"/>
            <w:vAlign w:val="center"/>
          </w:tcPr>
          <w:p w14:paraId="7D4D2F03"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110,0</w:t>
            </w:r>
          </w:p>
        </w:tc>
      </w:tr>
      <w:tr w:rsidR="002B61BC" w:rsidRPr="009B235E" w14:paraId="0B959E6A" w14:textId="77777777" w:rsidTr="002B61BC">
        <w:tc>
          <w:tcPr>
            <w:tcW w:w="2552" w:type="dxa"/>
            <w:vAlign w:val="bottom"/>
          </w:tcPr>
          <w:p w14:paraId="5E50C66F"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Кабардино-Балкарская Республика</w:t>
            </w:r>
          </w:p>
        </w:tc>
        <w:tc>
          <w:tcPr>
            <w:tcW w:w="1134" w:type="dxa"/>
            <w:shd w:val="clear" w:color="auto" w:fill="auto"/>
            <w:vAlign w:val="center"/>
          </w:tcPr>
          <w:p w14:paraId="5BD97F5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250" w:type="dxa"/>
            <w:shd w:val="clear" w:color="auto" w:fill="auto"/>
            <w:vAlign w:val="center"/>
          </w:tcPr>
          <w:p w14:paraId="41F81A55"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150,7</w:t>
            </w:r>
          </w:p>
        </w:tc>
        <w:tc>
          <w:tcPr>
            <w:tcW w:w="1392" w:type="dxa"/>
            <w:shd w:val="clear" w:color="auto" w:fill="auto"/>
            <w:vAlign w:val="center"/>
          </w:tcPr>
          <w:p w14:paraId="6616F8E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249,3</w:t>
            </w:r>
          </w:p>
        </w:tc>
        <w:tc>
          <w:tcPr>
            <w:tcW w:w="1159" w:type="dxa"/>
            <w:shd w:val="clear" w:color="auto" w:fill="auto"/>
            <w:vAlign w:val="center"/>
          </w:tcPr>
          <w:p w14:paraId="1A57C7C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019" w:type="dxa"/>
            <w:shd w:val="clear" w:color="auto" w:fill="auto"/>
            <w:vAlign w:val="center"/>
          </w:tcPr>
          <w:p w14:paraId="3498F66A"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992" w:type="dxa"/>
            <w:shd w:val="clear" w:color="auto" w:fill="auto"/>
            <w:vAlign w:val="center"/>
          </w:tcPr>
          <w:p w14:paraId="6B320C6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161" w:type="dxa"/>
            <w:shd w:val="clear" w:color="auto" w:fill="auto"/>
            <w:vAlign w:val="center"/>
          </w:tcPr>
          <w:p w14:paraId="7A12F20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540,0</w:t>
            </w:r>
          </w:p>
        </w:tc>
        <w:tc>
          <w:tcPr>
            <w:tcW w:w="1134" w:type="dxa"/>
            <w:shd w:val="clear" w:color="auto" w:fill="auto"/>
            <w:vAlign w:val="center"/>
          </w:tcPr>
          <w:p w14:paraId="43DD021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398,8</w:t>
            </w:r>
          </w:p>
        </w:tc>
        <w:tc>
          <w:tcPr>
            <w:tcW w:w="1328" w:type="dxa"/>
            <w:shd w:val="clear" w:color="auto" w:fill="auto"/>
            <w:vAlign w:val="center"/>
          </w:tcPr>
          <w:p w14:paraId="10A601B4"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43,8</w:t>
            </w:r>
          </w:p>
        </w:tc>
        <w:tc>
          <w:tcPr>
            <w:tcW w:w="1418" w:type="dxa"/>
            <w:shd w:val="clear" w:color="auto" w:fill="auto"/>
            <w:vAlign w:val="center"/>
          </w:tcPr>
          <w:p w14:paraId="4B9C059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69,8</w:t>
            </w:r>
          </w:p>
        </w:tc>
        <w:tc>
          <w:tcPr>
            <w:tcW w:w="1364" w:type="dxa"/>
            <w:shd w:val="clear" w:color="auto" w:fill="auto"/>
            <w:vAlign w:val="center"/>
          </w:tcPr>
          <w:p w14:paraId="3B8F82B1"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27,6</w:t>
            </w:r>
          </w:p>
        </w:tc>
      </w:tr>
      <w:tr w:rsidR="002B61BC" w:rsidRPr="009B235E" w14:paraId="4C4B1494" w14:textId="77777777" w:rsidTr="002B61BC">
        <w:tc>
          <w:tcPr>
            <w:tcW w:w="2552" w:type="dxa"/>
            <w:vAlign w:val="bottom"/>
          </w:tcPr>
          <w:p w14:paraId="05EB0162"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Карачаево-Черкесская Республика</w:t>
            </w:r>
          </w:p>
        </w:tc>
        <w:tc>
          <w:tcPr>
            <w:tcW w:w="1134" w:type="dxa"/>
            <w:shd w:val="clear" w:color="auto" w:fill="auto"/>
            <w:vAlign w:val="center"/>
          </w:tcPr>
          <w:p w14:paraId="23A0BAE9"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42,6</w:t>
            </w:r>
          </w:p>
        </w:tc>
        <w:tc>
          <w:tcPr>
            <w:tcW w:w="1250" w:type="dxa"/>
            <w:shd w:val="clear" w:color="auto" w:fill="auto"/>
            <w:vAlign w:val="center"/>
          </w:tcPr>
          <w:p w14:paraId="682F39DC"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316,4</w:t>
            </w:r>
          </w:p>
        </w:tc>
        <w:tc>
          <w:tcPr>
            <w:tcW w:w="1392" w:type="dxa"/>
            <w:shd w:val="clear" w:color="auto" w:fill="auto"/>
            <w:vAlign w:val="center"/>
          </w:tcPr>
          <w:p w14:paraId="76CB961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145,2</w:t>
            </w:r>
          </w:p>
        </w:tc>
        <w:tc>
          <w:tcPr>
            <w:tcW w:w="1159" w:type="dxa"/>
            <w:shd w:val="clear" w:color="auto" w:fill="auto"/>
            <w:vAlign w:val="center"/>
          </w:tcPr>
          <w:p w14:paraId="7B4AFDF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019" w:type="dxa"/>
            <w:shd w:val="clear" w:color="auto" w:fill="auto"/>
            <w:vAlign w:val="center"/>
          </w:tcPr>
          <w:p w14:paraId="06FF1EA5"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992" w:type="dxa"/>
            <w:shd w:val="clear" w:color="auto" w:fill="auto"/>
            <w:vAlign w:val="center"/>
          </w:tcPr>
          <w:p w14:paraId="04474EED"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161" w:type="dxa"/>
            <w:shd w:val="clear" w:color="auto" w:fill="auto"/>
            <w:vAlign w:val="center"/>
          </w:tcPr>
          <w:p w14:paraId="3EAB894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224,9</w:t>
            </w:r>
          </w:p>
        </w:tc>
        <w:tc>
          <w:tcPr>
            <w:tcW w:w="1134" w:type="dxa"/>
            <w:shd w:val="clear" w:color="auto" w:fill="auto"/>
            <w:vAlign w:val="center"/>
          </w:tcPr>
          <w:p w14:paraId="55BF3972"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105,8</w:t>
            </w:r>
          </w:p>
        </w:tc>
        <w:tc>
          <w:tcPr>
            <w:tcW w:w="1328" w:type="dxa"/>
            <w:shd w:val="clear" w:color="auto" w:fill="auto"/>
            <w:vAlign w:val="center"/>
          </w:tcPr>
          <w:p w14:paraId="240BA88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52,3</w:t>
            </w:r>
          </w:p>
        </w:tc>
        <w:tc>
          <w:tcPr>
            <w:tcW w:w="1418" w:type="dxa"/>
            <w:shd w:val="clear" w:color="auto" w:fill="auto"/>
            <w:vAlign w:val="center"/>
          </w:tcPr>
          <w:p w14:paraId="6E4CFBE9"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46,1</w:t>
            </w:r>
          </w:p>
        </w:tc>
        <w:tc>
          <w:tcPr>
            <w:tcW w:w="1364" w:type="dxa"/>
            <w:shd w:val="clear" w:color="auto" w:fill="auto"/>
            <w:vAlign w:val="center"/>
          </w:tcPr>
          <w:p w14:paraId="1A6914A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20,7</w:t>
            </w:r>
          </w:p>
        </w:tc>
      </w:tr>
      <w:tr w:rsidR="002B61BC" w:rsidRPr="009B235E" w14:paraId="2D213F41" w14:textId="77777777" w:rsidTr="002B61BC">
        <w:tc>
          <w:tcPr>
            <w:tcW w:w="2552" w:type="dxa"/>
            <w:vAlign w:val="bottom"/>
          </w:tcPr>
          <w:p w14:paraId="77614289"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Северная Осетия - Алания</w:t>
            </w:r>
          </w:p>
        </w:tc>
        <w:tc>
          <w:tcPr>
            <w:tcW w:w="1134" w:type="dxa"/>
            <w:shd w:val="clear" w:color="auto" w:fill="auto"/>
            <w:vAlign w:val="center"/>
          </w:tcPr>
          <w:p w14:paraId="69427AA0"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250" w:type="dxa"/>
            <w:shd w:val="clear" w:color="auto" w:fill="auto"/>
            <w:vAlign w:val="center"/>
          </w:tcPr>
          <w:p w14:paraId="36674BE1"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304,4</w:t>
            </w:r>
          </w:p>
        </w:tc>
        <w:tc>
          <w:tcPr>
            <w:tcW w:w="1392" w:type="dxa"/>
            <w:shd w:val="clear" w:color="auto" w:fill="auto"/>
            <w:vAlign w:val="center"/>
          </w:tcPr>
          <w:p w14:paraId="33D6C4F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138,5</w:t>
            </w:r>
          </w:p>
        </w:tc>
        <w:tc>
          <w:tcPr>
            <w:tcW w:w="1159" w:type="dxa"/>
            <w:shd w:val="clear" w:color="auto" w:fill="auto"/>
            <w:vAlign w:val="center"/>
          </w:tcPr>
          <w:p w14:paraId="514F037B"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48,0</w:t>
            </w:r>
          </w:p>
        </w:tc>
        <w:tc>
          <w:tcPr>
            <w:tcW w:w="1019" w:type="dxa"/>
            <w:shd w:val="clear" w:color="auto" w:fill="auto"/>
            <w:vAlign w:val="center"/>
          </w:tcPr>
          <w:p w14:paraId="5F45780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992" w:type="dxa"/>
            <w:shd w:val="clear" w:color="auto" w:fill="auto"/>
            <w:vAlign w:val="center"/>
          </w:tcPr>
          <w:p w14:paraId="071A5F11"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161" w:type="dxa"/>
            <w:shd w:val="clear" w:color="auto" w:fill="auto"/>
            <w:vAlign w:val="center"/>
          </w:tcPr>
          <w:p w14:paraId="19BDBD5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387,6</w:t>
            </w:r>
          </w:p>
        </w:tc>
        <w:tc>
          <w:tcPr>
            <w:tcW w:w="1134" w:type="dxa"/>
            <w:shd w:val="clear" w:color="auto" w:fill="auto"/>
            <w:vAlign w:val="center"/>
          </w:tcPr>
          <w:p w14:paraId="1F153B8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182,4</w:t>
            </w:r>
          </w:p>
        </w:tc>
        <w:tc>
          <w:tcPr>
            <w:tcW w:w="1328" w:type="dxa"/>
            <w:shd w:val="clear" w:color="auto" w:fill="auto"/>
            <w:vAlign w:val="center"/>
          </w:tcPr>
          <w:p w14:paraId="0C994EC3"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87,6</w:t>
            </w:r>
          </w:p>
        </w:tc>
        <w:tc>
          <w:tcPr>
            <w:tcW w:w="1418" w:type="dxa"/>
            <w:shd w:val="clear" w:color="auto" w:fill="auto"/>
            <w:vAlign w:val="center"/>
          </w:tcPr>
          <w:p w14:paraId="706F427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72,5</w:t>
            </w:r>
          </w:p>
        </w:tc>
        <w:tc>
          <w:tcPr>
            <w:tcW w:w="1364" w:type="dxa"/>
            <w:shd w:val="clear" w:color="auto" w:fill="auto"/>
            <w:vAlign w:val="center"/>
          </w:tcPr>
          <w:p w14:paraId="7755AED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45,1</w:t>
            </w:r>
          </w:p>
        </w:tc>
      </w:tr>
      <w:tr w:rsidR="002B61BC" w:rsidRPr="009B235E" w14:paraId="4C8957CA" w14:textId="77777777" w:rsidTr="002B61BC">
        <w:tc>
          <w:tcPr>
            <w:tcW w:w="2552" w:type="dxa"/>
            <w:vAlign w:val="bottom"/>
          </w:tcPr>
          <w:p w14:paraId="6F846FA9"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Чеченская Республика</w:t>
            </w:r>
          </w:p>
        </w:tc>
        <w:tc>
          <w:tcPr>
            <w:tcW w:w="1134" w:type="dxa"/>
            <w:shd w:val="clear" w:color="auto" w:fill="auto"/>
            <w:vAlign w:val="center"/>
          </w:tcPr>
          <w:p w14:paraId="46BC986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250" w:type="dxa"/>
            <w:shd w:val="clear" w:color="auto" w:fill="auto"/>
            <w:vAlign w:val="center"/>
          </w:tcPr>
          <w:p w14:paraId="4C30C5D9"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2,9</w:t>
            </w:r>
          </w:p>
        </w:tc>
        <w:tc>
          <w:tcPr>
            <w:tcW w:w="1392" w:type="dxa"/>
            <w:shd w:val="clear" w:color="auto" w:fill="auto"/>
            <w:vAlign w:val="center"/>
          </w:tcPr>
          <w:p w14:paraId="0622E26A"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94,7</w:t>
            </w:r>
          </w:p>
        </w:tc>
        <w:tc>
          <w:tcPr>
            <w:tcW w:w="1159" w:type="dxa"/>
            <w:shd w:val="clear" w:color="auto" w:fill="auto"/>
            <w:vAlign w:val="center"/>
          </w:tcPr>
          <w:p w14:paraId="0354A20D"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019" w:type="dxa"/>
            <w:shd w:val="clear" w:color="auto" w:fill="auto"/>
            <w:vAlign w:val="center"/>
          </w:tcPr>
          <w:p w14:paraId="60D9804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992" w:type="dxa"/>
            <w:shd w:val="clear" w:color="auto" w:fill="auto"/>
            <w:vAlign w:val="center"/>
          </w:tcPr>
          <w:p w14:paraId="131AD613"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161" w:type="dxa"/>
            <w:shd w:val="clear" w:color="auto" w:fill="auto"/>
            <w:vAlign w:val="center"/>
          </w:tcPr>
          <w:p w14:paraId="07935CD0"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134" w:type="dxa"/>
            <w:shd w:val="clear" w:color="auto" w:fill="auto"/>
            <w:vAlign w:val="center"/>
          </w:tcPr>
          <w:p w14:paraId="3B5C5D19"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328" w:type="dxa"/>
            <w:shd w:val="clear" w:color="auto" w:fill="auto"/>
            <w:vAlign w:val="center"/>
          </w:tcPr>
          <w:p w14:paraId="616C5123"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418" w:type="dxa"/>
            <w:shd w:val="clear" w:color="auto" w:fill="auto"/>
            <w:vAlign w:val="center"/>
          </w:tcPr>
          <w:p w14:paraId="13718961"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364" w:type="dxa"/>
            <w:shd w:val="clear" w:color="auto" w:fill="auto"/>
            <w:vAlign w:val="center"/>
          </w:tcPr>
          <w:p w14:paraId="05B003AB"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r>
      <w:tr w:rsidR="002B61BC" w:rsidRPr="009B235E" w14:paraId="48B72060" w14:textId="77777777" w:rsidTr="002B61BC">
        <w:tc>
          <w:tcPr>
            <w:tcW w:w="2552" w:type="dxa"/>
            <w:vAlign w:val="bottom"/>
          </w:tcPr>
          <w:p w14:paraId="4BF9C1B7"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Ставропольский край</w:t>
            </w:r>
          </w:p>
        </w:tc>
        <w:tc>
          <w:tcPr>
            <w:tcW w:w="1134" w:type="dxa"/>
            <w:shd w:val="clear" w:color="auto" w:fill="auto"/>
            <w:vAlign w:val="center"/>
          </w:tcPr>
          <w:p w14:paraId="47896172"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7,8</w:t>
            </w:r>
          </w:p>
        </w:tc>
        <w:tc>
          <w:tcPr>
            <w:tcW w:w="1250" w:type="dxa"/>
            <w:shd w:val="clear" w:color="auto" w:fill="auto"/>
            <w:vAlign w:val="center"/>
          </w:tcPr>
          <w:p w14:paraId="7C6C35B1"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1616,1</w:t>
            </w:r>
          </w:p>
        </w:tc>
        <w:tc>
          <w:tcPr>
            <w:tcW w:w="1392" w:type="dxa"/>
            <w:shd w:val="clear" w:color="auto" w:fill="auto"/>
            <w:vAlign w:val="center"/>
          </w:tcPr>
          <w:p w14:paraId="5E54BAFD"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594,6</w:t>
            </w:r>
          </w:p>
        </w:tc>
        <w:tc>
          <w:tcPr>
            <w:tcW w:w="1159" w:type="dxa"/>
            <w:shd w:val="clear" w:color="auto" w:fill="auto"/>
            <w:vAlign w:val="center"/>
          </w:tcPr>
          <w:p w14:paraId="73966721"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1286,4</w:t>
            </w:r>
          </w:p>
        </w:tc>
        <w:tc>
          <w:tcPr>
            <w:tcW w:w="1019" w:type="dxa"/>
            <w:shd w:val="clear" w:color="auto" w:fill="auto"/>
            <w:vAlign w:val="center"/>
          </w:tcPr>
          <w:p w14:paraId="6BFF5A6A"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17,7</w:t>
            </w:r>
          </w:p>
        </w:tc>
        <w:tc>
          <w:tcPr>
            <w:tcW w:w="992" w:type="dxa"/>
            <w:shd w:val="clear" w:color="auto" w:fill="auto"/>
            <w:vAlign w:val="center"/>
          </w:tcPr>
          <w:p w14:paraId="3E3C976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161" w:type="dxa"/>
            <w:shd w:val="clear" w:color="auto" w:fill="auto"/>
            <w:vAlign w:val="center"/>
          </w:tcPr>
          <w:p w14:paraId="3589573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2635,9</w:t>
            </w:r>
          </w:p>
        </w:tc>
        <w:tc>
          <w:tcPr>
            <w:tcW w:w="1134" w:type="dxa"/>
            <w:shd w:val="clear" w:color="auto" w:fill="auto"/>
            <w:vAlign w:val="center"/>
          </w:tcPr>
          <w:p w14:paraId="70E371B4"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2,3</w:t>
            </w:r>
          </w:p>
        </w:tc>
        <w:tc>
          <w:tcPr>
            <w:tcW w:w="1328" w:type="dxa"/>
            <w:shd w:val="clear" w:color="auto" w:fill="auto"/>
            <w:vAlign w:val="center"/>
          </w:tcPr>
          <w:p w14:paraId="608E045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418" w:type="dxa"/>
            <w:shd w:val="clear" w:color="auto" w:fill="auto"/>
            <w:vAlign w:val="center"/>
          </w:tcPr>
          <w:p w14:paraId="43498AD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130,5</w:t>
            </w:r>
          </w:p>
        </w:tc>
        <w:tc>
          <w:tcPr>
            <w:tcW w:w="1364" w:type="dxa"/>
            <w:shd w:val="clear" w:color="auto" w:fill="auto"/>
            <w:vAlign w:val="center"/>
          </w:tcPr>
          <w:p w14:paraId="7760695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402,6</w:t>
            </w:r>
          </w:p>
        </w:tc>
      </w:tr>
      <w:tr w:rsidR="002B61BC" w:rsidRPr="009B235E" w14:paraId="07E7B2A7" w14:textId="77777777" w:rsidTr="002B61BC">
        <w:tc>
          <w:tcPr>
            <w:tcW w:w="2552" w:type="dxa"/>
            <w:vAlign w:val="bottom"/>
          </w:tcPr>
          <w:p w14:paraId="3461EC00" w14:textId="77777777" w:rsidR="002B61BC" w:rsidRPr="009B235E" w:rsidRDefault="002B61BC" w:rsidP="002B61BC">
            <w:pPr>
              <w:spacing w:after="0" w:line="240" w:lineRule="auto"/>
              <w:rPr>
                <w:rFonts w:ascii="Times New Roman" w:eastAsia="Times New Roman" w:hAnsi="Times New Roman" w:cs="Times New Roman"/>
                <w:b/>
                <w:bCs/>
                <w:sz w:val="24"/>
                <w:szCs w:val="24"/>
                <w:lang w:eastAsia="ru-RU"/>
              </w:rPr>
            </w:pPr>
            <w:r w:rsidRPr="009B235E">
              <w:rPr>
                <w:rFonts w:ascii="Times New Roman" w:eastAsia="Times New Roman" w:hAnsi="Times New Roman" w:cs="Times New Roman"/>
                <w:b/>
                <w:bCs/>
                <w:sz w:val="24"/>
                <w:szCs w:val="24"/>
                <w:lang w:eastAsia="ru-RU"/>
              </w:rPr>
              <w:t xml:space="preserve">Приволжский  </w:t>
            </w:r>
            <w:r w:rsidRPr="009B235E">
              <w:rPr>
                <w:rFonts w:ascii="Times New Roman" w:eastAsia="Times New Roman" w:hAnsi="Times New Roman" w:cs="Times New Roman"/>
                <w:b/>
                <w:bCs/>
                <w:sz w:val="24"/>
                <w:szCs w:val="24"/>
                <w:lang w:eastAsia="ru-RU"/>
              </w:rPr>
              <w:br/>
              <w:t>федеральный округ</w:t>
            </w:r>
          </w:p>
        </w:tc>
        <w:tc>
          <w:tcPr>
            <w:tcW w:w="1134" w:type="dxa"/>
            <w:shd w:val="clear" w:color="auto" w:fill="auto"/>
            <w:vAlign w:val="center"/>
          </w:tcPr>
          <w:p w14:paraId="2BA78FC5"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542,0</w:t>
            </w:r>
          </w:p>
        </w:tc>
        <w:tc>
          <w:tcPr>
            <w:tcW w:w="1250" w:type="dxa"/>
            <w:shd w:val="clear" w:color="auto" w:fill="auto"/>
            <w:vAlign w:val="center"/>
          </w:tcPr>
          <w:p w14:paraId="56435540"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11092,9</w:t>
            </w:r>
          </w:p>
        </w:tc>
        <w:tc>
          <w:tcPr>
            <w:tcW w:w="1392" w:type="dxa"/>
            <w:shd w:val="clear" w:color="auto" w:fill="auto"/>
            <w:vAlign w:val="center"/>
          </w:tcPr>
          <w:p w14:paraId="702A6C89"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17723,1</w:t>
            </w:r>
          </w:p>
        </w:tc>
        <w:tc>
          <w:tcPr>
            <w:tcW w:w="1159" w:type="dxa"/>
            <w:shd w:val="clear" w:color="auto" w:fill="auto"/>
            <w:vAlign w:val="center"/>
          </w:tcPr>
          <w:p w14:paraId="2692C061"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5192,5</w:t>
            </w:r>
          </w:p>
        </w:tc>
        <w:tc>
          <w:tcPr>
            <w:tcW w:w="1019" w:type="dxa"/>
            <w:shd w:val="clear" w:color="auto" w:fill="auto"/>
            <w:vAlign w:val="center"/>
          </w:tcPr>
          <w:p w14:paraId="66EAFF69"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295,5</w:t>
            </w:r>
          </w:p>
        </w:tc>
        <w:tc>
          <w:tcPr>
            <w:tcW w:w="992" w:type="dxa"/>
            <w:shd w:val="clear" w:color="auto" w:fill="auto"/>
            <w:vAlign w:val="center"/>
          </w:tcPr>
          <w:p w14:paraId="6055457F"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1534,4</w:t>
            </w:r>
          </w:p>
        </w:tc>
        <w:tc>
          <w:tcPr>
            <w:tcW w:w="1161" w:type="dxa"/>
            <w:shd w:val="clear" w:color="auto" w:fill="auto"/>
            <w:vAlign w:val="center"/>
          </w:tcPr>
          <w:p w14:paraId="4257F79F"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34728,7</w:t>
            </w:r>
          </w:p>
        </w:tc>
        <w:tc>
          <w:tcPr>
            <w:tcW w:w="1134" w:type="dxa"/>
            <w:shd w:val="clear" w:color="auto" w:fill="auto"/>
            <w:vAlign w:val="center"/>
          </w:tcPr>
          <w:p w14:paraId="43C36A79"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19313,8</w:t>
            </w:r>
          </w:p>
        </w:tc>
        <w:tc>
          <w:tcPr>
            <w:tcW w:w="1328" w:type="dxa"/>
            <w:shd w:val="clear" w:color="auto" w:fill="auto"/>
            <w:vAlign w:val="center"/>
          </w:tcPr>
          <w:p w14:paraId="3AD88A62"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1814,2</w:t>
            </w:r>
          </w:p>
        </w:tc>
        <w:tc>
          <w:tcPr>
            <w:tcW w:w="1418" w:type="dxa"/>
            <w:shd w:val="clear" w:color="auto" w:fill="auto"/>
            <w:vAlign w:val="center"/>
          </w:tcPr>
          <w:p w14:paraId="2041B70F"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5020,9</w:t>
            </w:r>
          </w:p>
        </w:tc>
        <w:tc>
          <w:tcPr>
            <w:tcW w:w="1364" w:type="dxa"/>
            <w:shd w:val="clear" w:color="auto" w:fill="auto"/>
            <w:vAlign w:val="center"/>
          </w:tcPr>
          <w:p w14:paraId="14186BAE"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4525,7</w:t>
            </w:r>
          </w:p>
        </w:tc>
      </w:tr>
      <w:tr w:rsidR="002B61BC" w:rsidRPr="009B235E" w14:paraId="36021362" w14:textId="77777777" w:rsidTr="002B61BC">
        <w:tc>
          <w:tcPr>
            <w:tcW w:w="2552" w:type="dxa"/>
            <w:vAlign w:val="bottom"/>
          </w:tcPr>
          <w:p w14:paraId="5EBD6C3C"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Башкортостан</w:t>
            </w:r>
          </w:p>
        </w:tc>
        <w:tc>
          <w:tcPr>
            <w:tcW w:w="1134" w:type="dxa"/>
            <w:shd w:val="clear" w:color="auto" w:fill="auto"/>
            <w:vAlign w:val="center"/>
          </w:tcPr>
          <w:p w14:paraId="23EE232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1,5</w:t>
            </w:r>
          </w:p>
        </w:tc>
        <w:tc>
          <w:tcPr>
            <w:tcW w:w="1250" w:type="dxa"/>
            <w:shd w:val="clear" w:color="auto" w:fill="auto"/>
            <w:vAlign w:val="center"/>
          </w:tcPr>
          <w:p w14:paraId="01C72B1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2849,6</w:t>
            </w:r>
          </w:p>
        </w:tc>
        <w:tc>
          <w:tcPr>
            <w:tcW w:w="1392" w:type="dxa"/>
            <w:shd w:val="clear" w:color="auto" w:fill="auto"/>
            <w:vAlign w:val="center"/>
          </w:tcPr>
          <w:p w14:paraId="50CDEE39"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1329,4</w:t>
            </w:r>
          </w:p>
        </w:tc>
        <w:tc>
          <w:tcPr>
            <w:tcW w:w="1159" w:type="dxa"/>
            <w:shd w:val="clear" w:color="auto" w:fill="auto"/>
            <w:vAlign w:val="center"/>
          </w:tcPr>
          <w:p w14:paraId="0738CFC3"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734,6</w:t>
            </w:r>
          </w:p>
        </w:tc>
        <w:tc>
          <w:tcPr>
            <w:tcW w:w="1019" w:type="dxa"/>
            <w:shd w:val="clear" w:color="auto" w:fill="auto"/>
            <w:vAlign w:val="center"/>
          </w:tcPr>
          <w:p w14:paraId="29872829"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22,1</w:t>
            </w:r>
          </w:p>
        </w:tc>
        <w:tc>
          <w:tcPr>
            <w:tcW w:w="992" w:type="dxa"/>
            <w:shd w:val="clear" w:color="auto" w:fill="auto"/>
            <w:vAlign w:val="center"/>
          </w:tcPr>
          <w:p w14:paraId="411C68D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9,3</w:t>
            </w:r>
          </w:p>
        </w:tc>
        <w:tc>
          <w:tcPr>
            <w:tcW w:w="1161" w:type="dxa"/>
            <w:shd w:val="clear" w:color="auto" w:fill="auto"/>
            <w:vAlign w:val="center"/>
          </w:tcPr>
          <w:p w14:paraId="79EEBF91"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2945,8</w:t>
            </w:r>
          </w:p>
        </w:tc>
        <w:tc>
          <w:tcPr>
            <w:tcW w:w="1134" w:type="dxa"/>
            <w:shd w:val="clear" w:color="auto" w:fill="auto"/>
            <w:vAlign w:val="center"/>
          </w:tcPr>
          <w:p w14:paraId="5738181C"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1318,7</w:t>
            </w:r>
          </w:p>
        </w:tc>
        <w:tc>
          <w:tcPr>
            <w:tcW w:w="1328" w:type="dxa"/>
            <w:shd w:val="clear" w:color="auto" w:fill="auto"/>
            <w:vAlign w:val="center"/>
          </w:tcPr>
          <w:p w14:paraId="1E01BC85"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418" w:type="dxa"/>
            <w:shd w:val="clear" w:color="auto" w:fill="auto"/>
            <w:vAlign w:val="center"/>
          </w:tcPr>
          <w:p w14:paraId="43AA05B2"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403,0</w:t>
            </w:r>
          </w:p>
        </w:tc>
        <w:tc>
          <w:tcPr>
            <w:tcW w:w="1364" w:type="dxa"/>
            <w:shd w:val="clear" w:color="auto" w:fill="auto"/>
            <w:vAlign w:val="center"/>
          </w:tcPr>
          <w:p w14:paraId="6CA94D29"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944,4</w:t>
            </w:r>
          </w:p>
        </w:tc>
      </w:tr>
      <w:tr w:rsidR="002B61BC" w:rsidRPr="009B235E" w14:paraId="1AA905EF" w14:textId="77777777" w:rsidTr="002B61BC">
        <w:tc>
          <w:tcPr>
            <w:tcW w:w="2552" w:type="dxa"/>
            <w:vAlign w:val="bottom"/>
          </w:tcPr>
          <w:p w14:paraId="08AE6940"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Марий Эл</w:t>
            </w:r>
          </w:p>
        </w:tc>
        <w:tc>
          <w:tcPr>
            <w:tcW w:w="1134" w:type="dxa"/>
            <w:shd w:val="clear" w:color="auto" w:fill="auto"/>
            <w:vAlign w:val="center"/>
          </w:tcPr>
          <w:p w14:paraId="26087D24"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0,2</w:t>
            </w:r>
          </w:p>
        </w:tc>
        <w:tc>
          <w:tcPr>
            <w:tcW w:w="1250" w:type="dxa"/>
            <w:shd w:val="clear" w:color="auto" w:fill="auto"/>
            <w:vAlign w:val="center"/>
          </w:tcPr>
          <w:p w14:paraId="2EB58D1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196,6</w:t>
            </w:r>
          </w:p>
        </w:tc>
        <w:tc>
          <w:tcPr>
            <w:tcW w:w="1392" w:type="dxa"/>
            <w:shd w:val="clear" w:color="auto" w:fill="auto"/>
            <w:vAlign w:val="center"/>
          </w:tcPr>
          <w:p w14:paraId="05F2A25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491,1</w:t>
            </w:r>
          </w:p>
        </w:tc>
        <w:tc>
          <w:tcPr>
            <w:tcW w:w="1159" w:type="dxa"/>
            <w:shd w:val="clear" w:color="auto" w:fill="auto"/>
            <w:vAlign w:val="center"/>
          </w:tcPr>
          <w:p w14:paraId="484ACE8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110,1</w:t>
            </w:r>
          </w:p>
        </w:tc>
        <w:tc>
          <w:tcPr>
            <w:tcW w:w="1019" w:type="dxa"/>
            <w:shd w:val="clear" w:color="auto" w:fill="auto"/>
            <w:vAlign w:val="center"/>
          </w:tcPr>
          <w:p w14:paraId="78E1F299"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992" w:type="dxa"/>
            <w:shd w:val="clear" w:color="auto" w:fill="auto"/>
            <w:vAlign w:val="center"/>
          </w:tcPr>
          <w:p w14:paraId="0F24C475"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41,3</w:t>
            </w:r>
          </w:p>
        </w:tc>
        <w:tc>
          <w:tcPr>
            <w:tcW w:w="1161" w:type="dxa"/>
            <w:shd w:val="clear" w:color="auto" w:fill="auto"/>
            <w:vAlign w:val="center"/>
          </w:tcPr>
          <w:p w14:paraId="10916D23"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345,0</w:t>
            </w:r>
          </w:p>
        </w:tc>
        <w:tc>
          <w:tcPr>
            <w:tcW w:w="1134" w:type="dxa"/>
            <w:shd w:val="clear" w:color="auto" w:fill="auto"/>
            <w:vAlign w:val="center"/>
          </w:tcPr>
          <w:p w14:paraId="361486C5"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129,6</w:t>
            </w:r>
          </w:p>
        </w:tc>
        <w:tc>
          <w:tcPr>
            <w:tcW w:w="1328" w:type="dxa"/>
            <w:shd w:val="clear" w:color="auto" w:fill="auto"/>
            <w:vAlign w:val="center"/>
          </w:tcPr>
          <w:p w14:paraId="4C83101A"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15,2</w:t>
            </w:r>
          </w:p>
        </w:tc>
        <w:tc>
          <w:tcPr>
            <w:tcW w:w="1418" w:type="dxa"/>
            <w:shd w:val="clear" w:color="auto" w:fill="auto"/>
            <w:vAlign w:val="center"/>
          </w:tcPr>
          <w:p w14:paraId="5B0D9BCC"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6,6</w:t>
            </w:r>
          </w:p>
        </w:tc>
        <w:tc>
          <w:tcPr>
            <w:tcW w:w="1364" w:type="dxa"/>
            <w:shd w:val="clear" w:color="auto" w:fill="auto"/>
            <w:vAlign w:val="center"/>
          </w:tcPr>
          <w:p w14:paraId="341EBF9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81,3</w:t>
            </w:r>
          </w:p>
        </w:tc>
      </w:tr>
      <w:tr w:rsidR="002B61BC" w:rsidRPr="009B235E" w14:paraId="0C013019" w14:textId="77777777" w:rsidTr="002B61BC">
        <w:tc>
          <w:tcPr>
            <w:tcW w:w="2552" w:type="dxa"/>
            <w:vAlign w:val="bottom"/>
          </w:tcPr>
          <w:p w14:paraId="615561E3"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Мордовия</w:t>
            </w:r>
          </w:p>
        </w:tc>
        <w:tc>
          <w:tcPr>
            <w:tcW w:w="1134" w:type="dxa"/>
            <w:shd w:val="clear" w:color="auto" w:fill="auto"/>
            <w:vAlign w:val="center"/>
          </w:tcPr>
          <w:p w14:paraId="239926EB"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0,5</w:t>
            </w:r>
          </w:p>
        </w:tc>
        <w:tc>
          <w:tcPr>
            <w:tcW w:w="1250" w:type="dxa"/>
            <w:shd w:val="clear" w:color="auto" w:fill="auto"/>
            <w:vAlign w:val="center"/>
          </w:tcPr>
          <w:p w14:paraId="4576DCF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22,5</w:t>
            </w:r>
          </w:p>
        </w:tc>
        <w:tc>
          <w:tcPr>
            <w:tcW w:w="1392" w:type="dxa"/>
            <w:shd w:val="clear" w:color="auto" w:fill="auto"/>
            <w:vAlign w:val="center"/>
          </w:tcPr>
          <w:p w14:paraId="7C07B02A"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80,7</w:t>
            </w:r>
          </w:p>
        </w:tc>
        <w:tc>
          <w:tcPr>
            <w:tcW w:w="1159" w:type="dxa"/>
            <w:shd w:val="clear" w:color="auto" w:fill="auto"/>
            <w:vAlign w:val="center"/>
          </w:tcPr>
          <w:p w14:paraId="4DFE438D"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1,4</w:t>
            </w:r>
          </w:p>
        </w:tc>
        <w:tc>
          <w:tcPr>
            <w:tcW w:w="1019" w:type="dxa"/>
            <w:shd w:val="clear" w:color="auto" w:fill="auto"/>
            <w:vAlign w:val="center"/>
          </w:tcPr>
          <w:p w14:paraId="2E7261A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992" w:type="dxa"/>
            <w:shd w:val="clear" w:color="auto" w:fill="auto"/>
            <w:vAlign w:val="center"/>
          </w:tcPr>
          <w:p w14:paraId="7518E695"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161" w:type="dxa"/>
            <w:shd w:val="clear" w:color="auto" w:fill="auto"/>
            <w:vAlign w:val="center"/>
          </w:tcPr>
          <w:p w14:paraId="5752D4B1"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826,4</w:t>
            </w:r>
          </w:p>
        </w:tc>
        <w:tc>
          <w:tcPr>
            <w:tcW w:w="1134" w:type="dxa"/>
            <w:shd w:val="clear" w:color="auto" w:fill="auto"/>
            <w:vAlign w:val="center"/>
          </w:tcPr>
          <w:p w14:paraId="1FB6802A"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325,7</w:t>
            </w:r>
          </w:p>
        </w:tc>
        <w:tc>
          <w:tcPr>
            <w:tcW w:w="1328" w:type="dxa"/>
            <w:shd w:val="clear" w:color="auto" w:fill="auto"/>
            <w:vAlign w:val="center"/>
          </w:tcPr>
          <w:p w14:paraId="375F9A62"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87,6</w:t>
            </w:r>
          </w:p>
        </w:tc>
        <w:tc>
          <w:tcPr>
            <w:tcW w:w="1418" w:type="dxa"/>
            <w:shd w:val="clear" w:color="auto" w:fill="auto"/>
            <w:vAlign w:val="center"/>
          </w:tcPr>
          <w:p w14:paraId="69B2743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79,2</w:t>
            </w:r>
          </w:p>
        </w:tc>
        <w:tc>
          <w:tcPr>
            <w:tcW w:w="1364" w:type="dxa"/>
            <w:shd w:val="clear" w:color="auto" w:fill="auto"/>
            <w:vAlign w:val="center"/>
          </w:tcPr>
          <w:p w14:paraId="7E227C22"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105,3</w:t>
            </w:r>
          </w:p>
        </w:tc>
      </w:tr>
      <w:tr w:rsidR="002B61BC" w:rsidRPr="009B235E" w14:paraId="43D7E388" w14:textId="77777777" w:rsidTr="002B61BC">
        <w:tc>
          <w:tcPr>
            <w:tcW w:w="2552" w:type="dxa"/>
            <w:vAlign w:val="bottom"/>
          </w:tcPr>
          <w:p w14:paraId="249ED96B"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Татарстан</w:t>
            </w:r>
          </w:p>
        </w:tc>
        <w:tc>
          <w:tcPr>
            <w:tcW w:w="1134" w:type="dxa"/>
            <w:shd w:val="clear" w:color="auto" w:fill="auto"/>
            <w:vAlign w:val="center"/>
          </w:tcPr>
          <w:p w14:paraId="7D07A965"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250" w:type="dxa"/>
            <w:shd w:val="clear" w:color="auto" w:fill="auto"/>
            <w:vAlign w:val="center"/>
          </w:tcPr>
          <w:p w14:paraId="29FA8B7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3396,0</w:t>
            </w:r>
          </w:p>
        </w:tc>
        <w:tc>
          <w:tcPr>
            <w:tcW w:w="1392" w:type="dxa"/>
            <w:shd w:val="clear" w:color="auto" w:fill="auto"/>
            <w:vAlign w:val="center"/>
          </w:tcPr>
          <w:p w14:paraId="0BC627BC"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2204,1</w:t>
            </w:r>
          </w:p>
        </w:tc>
        <w:tc>
          <w:tcPr>
            <w:tcW w:w="1159" w:type="dxa"/>
            <w:shd w:val="clear" w:color="auto" w:fill="auto"/>
            <w:vAlign w:val="center"/>
          </w:tcPr>
          <w:p w14:paraId="4BEF0B4C"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455,7</w:t>
            </w:r>
          </w:p>
        </w:tc>
        <w:tc>
          <w:tcPr>
            <w:tcW w:w="1019" w:type="dxa"/>
            <w:shd w:val="clear" w:color="auto" w:fill="auto"/>
            <w:vAlign w:val="center"/>
          </w:tcPr>
          <w:p w14:paraId="2C913EB3"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992" w:type="dxa"/>
            <w:shd w:val="clear" w:color="auto" w:fill="auto"/>
            <w:vAlign w:val="center"/>
          </w:tcPr>
          <w:p w14:paraId="5B1F1591"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49,3</w:t>
            </w:r>
          </w:p>
        </w:tc>
        <w:tc>
          <w:tcPr>
            <w:tcW w:w="1161" w:type="dxa"/>
            <w:shd w:val="clear" w:color="auto" w:fill="auto"/>
            <w:vAlign w:val="center"/>
          </w:tcPr>
          <w:p w14:paraId="528B52E3"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2860,3</w:t>
            </w:r>
          </w:p>
        </w:tc>
        <w:tc>
          <w:tcPr>
            <w:tcW w:w="1134" w:type="dxa"/>
            <w:shd w:val="clear" w:color="auto" w:fill="auto"/>
            <w:vAlign w:val="center"/>
          </w:tcPr>
          <w:p w14:paraId="45F7A7E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188,5</w:t>
            </w:r>
          </w:p>
        </w:tc>
        <w:tc>
          <w:tcPr>
            <w:tcW w:w="1328" w:type="dxa"/>
            <w:shd w:val="clear" w:color="auto" w:fill="auto"/>
            <w:vAlign w:val="center"/>
          </w:tcPr>
          <w:p w14:paraId="48F22AA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418" w:type="dxa"/>
            <w:shd w:val="clear" w:color="auto" w:fill="auto"/>
            <w:vAlign w:val="center"/>
          </w:tcPr>
          <w:p w14:paraId="0D5B36AB"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364" w:type="dxa"/>
            <w:shd w:val="clear" w:color="auto" w:fill="auto"/>
            <w:vAlign w:val="center"/>
          </w:tcPr>
          <w:p w14:paraId="7F4CE41B"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909,6</w:t>
            </w:r>
          </w:p>
        </w:tc>
      </w:tr>
      <w:tr w:rsidR="002B61BC" w:rsidRPr="009B235E" w14:paraId="1F05A32C" w14:textId="77777777" w:rsidTr="002B61BC">
        <w:tc>
          <w:tcPr>
            <w:tcW w:w="2552" w:type="dxa"/>
            <w:vAlign w:val="bottom"/>
          </w:tcPr>
          <w:p w14:paraId="4C40BED5"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Удмуртская Республика</w:t>
            </w:r>
          </w:p>
        </w:tc>
        <w:tc>
          <w:tcPr>
            <w:tcW w:w="1134" w:type="dxa"/>
            <w:shd w:val="clear" w:color="auto" w:fill="auto"/>
            <w:vAlign w:val="center"/>
          </w:tcPr>
          <w:p w14:paraId="6AE5D6D4"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4,8</w:t>
            </w:r>
          </w:p>
        </w:tc>
        <w:tc>
          <w:tcPr>
            <w:tcW w:w="1250" w:type="dxa"/>
            <w:shd w:val="clear" w:color="auto" w:fill="auto"/>
            <w:vAlign w:val="center"/>
          </w:tcPr>
          <w:p w14:paraId="0E6F80F9"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1386,4</w:t>
            </w:r>
          </w:p>
        </w:tc>
        <w:tc>
          <w:tcPr>
            <w:tcW w:w="1392" w:type="dxa"/>
            <w:shd w:val="clear" w:color="auto" w:fill="auto"/>
            <w:vAlign w:val="center"/>
          </w:tcPr>
          <w:p w14:paraId="66B390F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557,6</w:t>
            </w:r>
          </w:p>
        </w:tc>
        <w:tc>
          <w:tcPr>
            <w:tcW w:w="1159" w:type="dxa"/>
            <w:shd w:val="clear" w:color="auto" w:fill="auto"/>
            <w:vAlign w:val="center"/>
          </w:tcPr>
          <w:p w14:paraId="11CD62F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1251,3</w:t>
            </w:r>
          </w:p>
        </w:tc>
        <w:tc>
          <w:tcPr>
            <w:tcW w:w="1019" w:type="dxa"/>
            <w:shd w:val="clear" w:color="auto" w:fill="auto"/>
            <w:vAlign w:val="center"/>
          </w:tcPr>
          <w:p w14:paraId="0F5B8F81"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25,6</w:t>
            </w:r>
          </w:p>
        </w:tc>
        <w:tc>
          <w:tcPr>
            <w:tcW w:w="992" w:type="dxa"/>
            <w:shd w:val="clear" w:color="auto" w:fill="auto"/>
            <w:vAlign w:val="center"/>
          </w:tcPr>
          <w:p w14:paraId="469D0A8D"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233,8</w:t>
            </w:r>
          </w:p>
        </w:tc>
        <w:tc>
          <w:tcPr>
            <w:tcW w:w="1161" w:type="dxa"/>
            <w:shd w:val="clear" w:color="auto" w:fill="auto"/>
            <w:vAlign w:val="center"/>
          </w:tcPr>
          <w:p w14:paraId="11AA900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885,4</w:t>
            </w:r>
          </w:p>
        </w:tc>
        <w:tc>
          <w:tcPr>
            <w:tcW w:w="1134" w:type="dxa"/>
            <w:shd w:val="clear" w:color="auto" w:fill="auto"/>
            <w:vAlign w:val="center"/>
          </w:tcPr>
          <w:p w14:paraId="576416FC"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225,7</w:t>
            </w:r>
          </w:p>
        </w:tc>
        <w:tc>
          <w:tcPr>
            <w:tcW w:w="1328" w:type="dxa"/>
            <w:shd w:val="clear" w:color="auto" w:fill="auto"/>
            <w:vAlign w:val="center"/>
          </w:tcPr>
          <w:p w14:paraId="35D2B57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418" w:type="dxa"/>
            <w:shd w:val="clear" w:color="auto" w:fill="auto"/>
            <w:vAlign w:val="center"/>
          </w:tcPr>
          <w:p w14:paraId="6F8849A1"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252,8</w:t>
            </w:r>
          </w:p>
        </w:tc>
        <w:tc>
          <w:tcPr>
            <w:tcW w:w="1364" w:type="dxa"/>
            <w:shd w:val="clear" w:color="auto" w:fill="auto"/>
            <w:vAlign w:val="center"/>
          </w:tcPr>
          <w:p w14:paraId="5A7D968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76,5</w:t>
            </w:r>
          </w:p>
        </w:tc>
      </w:tr>
      <w:tr w:rsidR="002B61BC" w:rsidRPr="009B235E" w14:paraId="326D8EB3" w14:textId="77777777" w:rsidTr="002B61BC">
        <w:tc>
          <w:tcPr>
            <w:tcW w:w="2552" w:type="dxa"/>
            <w:vAlign w:val="bottom"/>
          </w:tcPr>
          <w:p w14:paraId="3651A3CE"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Чувашская Республика</w:t>
            </w:r>
          </w:p>
        </w:tc>
        <w:tc>
          <w:tcPr>
            <w:tcW w:w="1134" w:type="dxa"/>
            <w:shd w:val="clear" w:color="auto" w:fill="auto"/>
            <w:vAlign w:val="center"/>
          </w:tcPr>
          <w:p w14:paraId="7505E0FC"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0,0</w:t>
            </w:r>
          </w:p>
        </w:tc>
        <w:tc>
          <w:tcPr>
            <w:tcW w:w="1250" w:type="dxa"/>
            <w:shd w:val="clear" w:color="auto" w:fill="auto"/>
            <w:vAlign w:val="center"/>
          </w:tcPr>
          <w:p w14:paraId="7D952ADD"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171,7</w:t>
            </w:r>
          </w:p>
        </w:tc>
        <w:tc>
          <w:tcPr>
            <w:tcW w:w="1392" w:type="dxa"/>
            <w:shd w:val="clear" w:color="auto" w:fill="auto"/>
            <w:vAlign w:val="center"/>
          </w:tcPr>
          <w:p w14:paraId="5E9A6249"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604,9</w:t>
            </w:r>
          </w:p>
        </w:tc>
        <w:tc>
          <w:tcPr>
            <w:tcW w:w="1159" w:type="dxa"/>
            <w:shd w:val="clear" w:color="auto" w:fill="auto"/>
            <w:vAlign w:val="center"/>
          </w:tcPr>
          <w:p w14:paraId="63B96A0D"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48,8</w:t>
            </w:r>
          </w:p>
        </w:tc>
        <w:tc>
          <w:tcPr>
            <w:tcW w:w="1019" w:type="dxa"/>
            <w:shd w:val="clear" w:color="auto" w:fill="auto"/>
            <w:vAlign w:val="center"/>
          </w:tcPr>
          <w:p w14:paraId="5B266543"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0,4</w:t>
            </w:r>
          </w:p>
        </w:tc>
        <w:tc>
          <w:tcPr>
            <w:tcW w:w="992" w:type="dxa"/>
            <w:shd w:val="clear" w:color="auto" w:fill="auto"/>
            <w:vAlign w:val="center"/>
          </w:tcPr>
          <w:p w14:paraId="6B07B4CC"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143,8</w:t>
            </w:r>
          </w:p>
        </w:tc>
        <w:tc>
          <w:tcPr>
            <w:tcW w:w="1161" w:type="dxa"/>
            <w:shd w:val="clear" w:color="auto" w:fill="auto"/>
            <w:vAlign w:val="center"/>
          </w:tcPr>
          <w:p w14:paraId="21AFE0C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816,3</w:t>
            </w:r>
          </w:p>
        </w:tc>
        <w:tc>
          <w:tcPr>
            <w:tcW w:w="1134" w:type="dxa"/>
            <w:shd w:val="clear" w:color="auto" w:fill="auto"/>
            <w:vAlign w:val="center"/>
          </w:tcPr>
          <w:p w14:paraId="735031D9"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752,4</w:t>
            </w:r>
          </w:p>
        </w:tc>
        <w:tc>
          <w:tcPr>
            <w:tcW w:w="1328" w:type="dxa"/>
            <w:shd w:val="clear" w:color="auto" w:fill="auto"/>
            <w:vAlign w:val="center"/>
          </w:tcPr>
          <w:p w14:paraId="66954B10"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192,9</w:t>
            </w:r>
          </w:p>
        </w:tc>
        <w:tc>
          <w:tcPr>
            <w:tcW w:w="1418" w:type="dxa"/>
            <w:shd w:val="clear" w:color="auto" w:fill="auto"/>
            <w:vAlign w:val="center"/>
          </w:tcPr>
          <w:p w14:paraId="086DA11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8,9</w:t>
            </w:r>
          </w:p>
        </w:tc>
        <w:tc>
          <w:tcPr>
            <w:tcW w:w="1364" w:type="dxa"/>
            <w:shd w:val="clear" w:color="auto" w:fill="auto"/>
            <w:vAlign w:val="center"/>
          </w:tcPr>
          <w:p w14:paraId="70CAE2D9"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23,3</w:t>
            </w:r>
          </w:p>
        </w:tc>
      </w:tr>
      <w:tr w:rsidR="002B61BC" w:rsidRPr="009B235E" w14:paraId="103CF18D" w14:textId="77777777" w:rsidTr="002B61BC">
        <w:tc>
          <w:tcPr>
            <w:tcW w:w="2552" w:type="dxa"/>
            <w:vAlign w:val="bottom"/>
          </w:tcPr>
          <w:p w14:paraId="30084A36"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Пермский край</w:t>
            </w:r>
          </w:p>
        </w:tc>
        <w:tc>
          <w:tcPr>
            <w:tcW w:w="1134" w:type="dxa"/>
            <w:shd w:val="clear" w:color="auto" w:fill="auto"/>
            <w:vAlign w:val="center"/>
          </w:tcPr>
          <w:p w14:paraId="4913C3A5"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1,0</w:t>
            </w:r>
          </w:p>
        </w:tc>
        <w:tc>
          <w:tcPr>
            <w:tcW w:w="1250" w:type="dxa"/>
            <w:shd w:val="clear" w:color="auto" w:fill="auto"/>
            <w:vAlign w:val="center"/>
          </w:tcPr>
          <w:p w14:paraId="16457C7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1,9</w:t>
            </w:r>
          </w:p>
        </w:tc>
        <w:tc>
          <w:tcPr>
            <w:tcW w:w="1392" w:type="dxa"/>
            <w:shd w:val="clear" w:color="auto" w:fill="auto"/>
            <w:vAlign w:val="center"/>
          </w:tcPr>
          <w:p w14:paraId="02C4ADD0"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3302,6</w:t>
            </w:r>
          </w:p>
        </w:tc>
        <w:tc>
          <w:tcPr>
            <w:tcW w:w="1159" w:type="dxa"/>
            <w:shd w:val="clear" w:color="auto" w:fill="auto"/>
            <w:vAlign w:val="center"/>
          </w:tcPr>
          <w:p w14:paraId="4E4CAA1A"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1025,9</w:t>
            </w:r>
          </w:p>
        </w:tc>
        <w:tc>
          <w:tcPr>
            <w:tcW w:w="1019" w:type="dxa"/>
            <w:shd w:val="clear" w:color="auto" w:fill="auto"/>
            <w:vAlign w:val="center"/>
          </w:tcPr>
          <w:p w14:paraId="6E26815C"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992" w:type="dxa"/>
            <w:shd w:val="clear" w:color="auto" w:fill="auto"/>
            <w:vAlign w:val="center"/>
          </w:tcPr>
          <w:p w14:paraId="563D9610"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48,7</w:t>
            </w:r>
          </w:p>
        </w:tc>
        <w:tc>
          <w:tcPr>
            <w:tcW w:w="1161" w:type="dxa"/>
            <w:shd w:val="clear" w:color="auto" w:fill="auto"/>
            <w:vAlign w:val="center"/>
          </w:tcPr>
          <w:p w14:paraId="13B2D68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8323,7</w:t>
            </w:r>
          </w:p>
        </w:tc>
        <w:tc>
          <w:tcPr>
            <w:tcW w:w="1134" w:type="dxa"/>
            <w:shd w:val="clear" w:color="auto" w:fill="auto"/>
            <w:vAlign w:val="center"/>
          </w:tcPr>
          <w:p w14:paraId="4EDCD66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5825,8</w:t>
            </w:r>
          </w:p>
        </w:tc>
        <w:tc>
          <w:tcPr>
            <w:tcW w:w="1328" w:type="dxa"/>
            <w:shd w:val="clear" w:color="auto" w:fill="auto"/>
            <w:vAlign w:val="center"/>
          </w:tcPr>
          <w:p w14:paraId="091A13B3"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418" w:type="dxa"/>
            <w:shd w:val="clear" w:color="auto" w:fill="auto"/>
            <w:vAlign w:val="center"/>
          </w:tcPr>
          <w:p w14:paraId="48726B2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2152,5</w:t>
            </w:r>
          </w:p>
        </w:tc>
        <w:tc>
          <w:tcPr>
            <w:tcW w:w="1364" w:type="dxa"/>
            <w:shd w:val="clear" w:color="auto" w:fill="auto"/>
            <w:vAlign w:val="center"/>
          </w:tcPr>
          <w:p w14:paraId="6886A38B"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7,4</w:t>
            </w:r>
          </w:p>
        </w:tc>
      </w:tr>
      <w:tr w:rsidR="002B61BC" w:rsidRPr="009B235E" w14:paraId="0A33EABF" w14:textId="77777777" w:rsidTr="002B61BC">
        <w:tc>
          <w:tcPr>
            <w:tcW w:w="2552" w:type="dxa"/>
            <w:vAlign w:val="bottom"/>
          </w:tcPr>
          <w:p w14:paraId="0D0B70D6"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Кировская область</w:t>
            </w:r>
          </w:p>
        </w:tc>
        <w:tc>
          <w:tcPr>
            <w:tcW w:w="1134" w:type="dxa"/>
            <w:shd w:val="clear" w:color="auto" w:fill="auto"/>
            <w:vAlign w:val="center"/>
          </w:tcPr>
          <w:p w14:paraId="0AF48794"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138,8</w:t>
            </w:r>
          </w:p>
        </w:tc>
        <w:tc>
          <w:tcPr>
            <w:tcW w:w="1250" w:type="dxa"/>
            <w:shd w:val="clear" w:color="auto" w:fill="auto"/>
            <w:vAlign w:val="center"/>
          </w:tcPr>
          <w:p w14:paraId="6201F754"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31,4</w:t>
            </w:r>
          </w:p>
        </w:tc>
        <w:tc>
          <w:tcPr>
            <w:tcW w:w="1392" w:type="dxa"/>
            <w:shd w:val="clear" w:color="auto" w:fill="auto"/>
            <w:vAlign w:val="center"/>
          </w:tcPr>
          <w:p w14:paraId="007A450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719,2</w:t>
            </w:r>
          </w:p>
        </w:tc>
        <w:tc>
          <w:tcPr>
            <w:tcW w:w="1159" w:type="dxa"/>
            <w:shd w:val="clear" w:color="auto" w:fill="auto"/>
            <w:vAlign w:val="center"/>
          </w:tcPr>
          <w:p w14:paraId="6DB8075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300,8</w:t>
            </w:r>
          </w:p>
        </w:tc>
        <w:tc>
          <w:tcPr>
            <w:tcW w:w="1019" w:type="dxa"/>
            <w:shd w:val="clear" w:color="auto" w:fill="auto"/>
            <w:vAlign w:val="center"/>
          </w:tcPr>
          <w:p w14:paraId="47FFA6D2"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0,7</w:t>
            </w:r>
          </w:p>
        </w:tc>
        <w:tc>
          <w:tcPr>
            <w:tcW w:w="992" w:type="dxa"/>
            <w:shd w:val="clear" w:color="auto" w:fill="auto"/>
            <w:vAlign w:val="center"/>
          </w:tcPr>
          <w:p w14:paraId="35AFAD7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23,2</w:t>
            </w:r>
          </w:p>
        </w:tc>
        <w:tc>
          <w:tcPr>
            <w:tcW w:w="1161" w:type="dxa"/>
            <w:shd w:val="clear" w:color="auto" w:fill="auto"/>
            <w:vAlign w:val="center"/>
          </w:tcPr>
          <w:p w14:paraId="2F9E8CA4"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1028,8</w:t>
            </w:r>
          </w:p>
        </w:tc>
        <w:tc>
          <w:tcPr>
            <w:tcW w:w="1134" w:type="dxa"/>
            <w:shd w:val="clear" w:color="auto" w:fill="auto"/>
            <w:vAlign w:val="center"/>
          </w:tcPr>
          <w:p w14:paraId="70864452"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579,8</w:t>
            </w:r>
          </w:p>
        </w:tc>
        <w:tc>
          <w:tcPr>
            <w:tcW w:w="1328" w:type="dxa"/>
            <w:shd w:val="clear" w:color="auto" w:fill="auto"/>
            <w:vAlign w:val="center"/>
          </w:tcPr>
          <w:p w14:paraId="69F7E85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163,7</w:t>
            </w:r>
          </w:p>
        </w:tc>
        <w:tc>
          <w:tcPr>
            <w:tcW w:w="1418" w:type="dxa"/>
            <w:shd w:val="clear" w:color="auto" w:fill="auto"/>
            <w:vAlign w:val="center"/>
          </w:tcPr>
          <w:p w14:paraId="6699107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49,6</w:t>
            </w:r>
          </w:p>
        </w:tc>
        <w:tc>
          <w:tcPr>
            <w:tcW w:w="1364" w:type="dxa"/>
            <w:shd w:val="clear" w:color="auto" w:fill="auto"/>
            <w:vAlign w:val="center"/>
          </w:tcPr>
          <w:p w14:paraId="1919B4A5"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69,8</w:t>
            </w:r>
          </w:p>
        </w:tc>
      </w:tr>
      <w:tr w:rsidR="002B61BC" w:rsidRPr="009B235E" w14:paraId="52FEB27D" w14:textId="77777777" w:rsidTr="002B61BC">
        <w:tc>
          <w:tcPr>
            <w:tcW w:w="2552" w:type="dxa"/>
            <w:vAlign w:val="bottom"/>
          </w:tcPr>
          <w:p w14:paraId="04C15BD6"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Нижегородская область</w:t>
            </w:r>
          </w:p>
        </w:tc>
        <w:tc>
          <w:tcPr>
            <w:tcW w:w="1134" w:type="dxa"/>
            <w:shd w:val="clear" w:color="auto" w:fill="auto"/>
            <w:vAlign w:val="center"/>
          </w:tcPr>
          <w:p w14:paraId="08ECC7E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300,7</w:t>
            </w:r>
          </w:p>
        </w:tc>
        <w:tc>
          <w:tcPr>
            <w:tcW w:w="1250" w:type="dxa"/>
            <w:shd w:val="clear" w:color="auto" w:fill="auto"/>
            <w:vAlign w:val="center"/>
          </w:tcPr>
          <w:p w14:paraId="7EBECF39"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2285,4</w:t>
            </w:r>
          </w:p>
        </w:tc>
        <w:tc>
          <w:tcPr>
            <w:tcW w:w="1392" w:type="dxa"/>
            <w:shd w:val="clear" w:color="auto" w:fill="auto"/>
            <w:vAlign w:val="center"/>
          </w:tcPr>
          <w:p w14:paraId="7920AEC5"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2253,1</w:t>
            </w:r>
          </w:p>
        </w:tc>
        <w:tc>
          <w:tcPr>
            <w:tcW w:w="1159" w:type="dxa"/>
            <w:shd w:val="clear" w:color="auto" w:fill="auto"/>
            <w:vAlign w:val="center"/>
          </w:tcPr>
          <w:p w14:paraId="75DDBF83"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490,8</w:t>
            </w:r>
          </w:p>
        </w:tc>
        <w:tc>
          <w:tcPr>
            <w:tcW w:w="1019" w:type="dxa"/>
            <w:shd w:val="clear" w:color="auto" w:fill="auto"/>
            <w:vAlign w:val="center"/>
          </w:tcPr>
          <w:p w14:paraId="5708FFD9"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0,0</w:t>
            </w:r>
          </w:p>
        </w:tc>
        <w:tc>
          <w:tcPr>
            <w:tcW w:w="992" w:type="dxa"/>
            <w:shd w:val="clear" w:color="auto" w:fill="auto"/>
            <w:vAlign w:val="center"/>
          </w:tcPr>
          <w:p w14:paraId="0F4BFA0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84,5</w:t>
            </w:r>
          </w:p>
        </w:tc>
        <w:tc>
          <w:tcPr>
            <w:tcW w:w="1161" w:type="dxa"/>
            <w:shd w:val="clear" w:color="auto" w:fill="auto"/>
            <w:vAlign w:val="center"/>
          </w:tcPr>
          <w:p w14:paraId="70C3C25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2795,6</w:t>
            </w:r>
          </w:p>
        </w:tc>
        <w:tc>
          <w:tcPr>
            <w:tcW w:w="1134" w:type="dxa"/>
            <w:shd w:val="clear" w:color="auto" w:fill="auto"/>
            <w:vAlign w:val="center"/>
          </w:tcPr>
          <w:p w14:paraId="2103A813"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465,8</w:t>
            </w:r>
          </w:p>
        </w:tc>
        <w:tc>
          <w:tcPr>
            <w:tcW w:w="1328" w:type="dxa"/>
            <w:shd w:val="clear" w:color="auto" w:fill="auto"/>
            <w:vAlign w:val="center"/>
          </w:tcPr>
          <w:p w14:paraId="2453AF5B"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250,5</w:t>
            </w:r>
          </w:p>
        </w:tc>
        <w:tc>
          <w:tcPr>
            <w:tcW w:w="1418" w:type="dxa"/>
            <w:shd w:val="clear" w:color="auto" w:fill="auto"/>
            <w:vAlign w:val="center"/>
          </w:tcPr>
          <w:p w14:paraId="397AF05B"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397,8</w:t>
            </w:r>
          </w:p>
        </w:tc>
        <w:tc>
          <w:tcPr>
            <w:tcW w:w="1364" w:type="dxa"/>
            <w:shd w:val="clear" w:color="auto" w:fill="auto"/>
            <w:vAlign w:val="center"/>
          </w:tcPr>
          <w:p w14:paraId="3C6392AC"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950,7</w:t>
            </w:r>
          </w:p>
        </w:tc>
      </w:tr>
      <w:tr w:rsidR="002B61BC" w:rsidRPr="009B235E" w14:paraId="03318BE6" w14:textId="77777777" w:rsidTr="002B61BC">
        <w:tc>
          <w:tcPr>
            <w:tcW w:w="2552" w:type="dxa"/>
            <w:vAlign w:val="bottom"/>
          </w:tcPr>
          <w:p w14:paraId="101255BB"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Оренбургская область</w:t>
            </w:r>
          </w:p>
        </w:tc>
        <w:tc>
          <w:tcPr>
            <w:tcW w:w="1134" w:type="dxa"/>
            <w:shd w:val="clear" w:color="auto" w:fill="auto"/>
            <w:vAlign w:val="center"/>
          </w:tcPr>
          <w:p w14:paraId="2A6FA520"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55,8</w:t>
            </w:r>
          </w:p>
        </w:tc>
        <w:tc>
          <w:tcPr>
            <w:tcW w:w="1250" w:type="dxa"/>
            <w:shd w:val="clear" w:color="auto" w:fill="auto"/>
            <w:vAlign w:val="center"/>
          </w:tcPr>
          <w:p w14:paraId="181E8D53"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44,8</w:t>
            </w:r>
          </w:p>
        </w:tc>
        <w:tc>
          <w:tcPr>
            <w:tcW w:w="1392" w:type="dxa"/>
            <w:shd w:val="clear" w:color="auto" w:fill="auto"/>
            <w:vAlign w:val="center"/>
          </w:tcPr>
          <w:p w14:paraId="672074A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1430,4</w:t>
            </w:r>
          </w:p>
        </w:tc>
        <w:tc>
          <w:tcPr>
            <w:tcW w:w="1159" w:type="dxa"/>
            <w:shd w:val="clear" w:color="auto" w:fill="auto"/>
            <w:vAlign w:val="center"/>
          </w:tcPr>
          <w:p w14:paraId="632914A5"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378,3</w:t>
            </w:r>
          </w:p>
        </w:tc>
        <w:tc>
          <w:tcPr>
            <w:tcW w:w="1019" w:type="dxa"/>
            <w:shd w:val="clear" w:color="auto" w:fill="auto"/>
            <w:vAlign w:val="center"/>
          </w:tcPr>
          <w:p w14:paraId="3A09EB30"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2,5</w:t>
            </w:r>
          </w:p>
        </w:tc>
        <w:tc>
          <w:tcPr>
            <w:tcW w:w="992" w:type="dxa"/>
            <w:shd w:val="clear" w:color="auto" w:fill="auto"/>
            <w:vAlign w:val="center"/>
          </w:tcPr>
          <w:p w14:paraId="299063D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332,2</w:t>
            </w:r>
          </w:p>
        </w:tc>
        <w:tc>
          <w:tcPr>
            <w:tcW w:w="1161" w:type="dxa"/>
            <w:shd w:val="clear" w:color="auto" w:fill="auto"/>
            <w:vAlign w:val="center"/>
          </w:tcPr>
          <w:p w14:paraId="2352C29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3065,2</w:t>
            </w:r>
          </w:p>
        </w:tc>
        <w:tc>
          <w:tcPr>
            <w:tcW w:w="1134" w:type="dxa"/>
            <w:shd w:val="clear" w:color="auto" w:fill="auto"/>
            <w:vAlign w:val="center"/>
          </w:tcPr>
          <w:p w14:paraId="38FFD70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1676,1</w:t>
            </w:r>
          </w:p>
        </w:tc>
        <w:tc>
          <w:tcPr>
            <w:tcW w:w="1328" w:type="dxa"/>
            <w:shd w:val="clear" w:color="auto" w:fill="auto"/>
            <w:vAlign w:val="center"/>
          </w:tcPr>
          <w:p w14:paraId="49E8D58C"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331,3</w:t>
            </w:r>
          </w:p>
        </w:tc>
        <w:tc>
          <w:tcPr>
            <w:tcW w:w="1418" w:type="dxa"/>
            <w:shd w:val="clear" w:color="auto" w:fill="auto"/>
            <w:vAlign w:val="center"/>
          </w:tcPr>
          <w:p w14:paraId="045549E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447,7</w:t>
            </w:r>
          </w:p>
        </w:tc>
        <w:tc>
          <w:tcPr>
            <w:tcW w:w="1364" w:type="dxa"/>
            <w:shd w:val="clear" w:color="auto" w:fill="auto"/>
            <w:vAlign w:val="center"/>
          </w:tcPr>
          <w:p w14:paraId="570202C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182,8</w:t>
            </w:r>
          </w:p>
        </w:tc>
      </w:tr>
      <w:tr w:rsidR="002B61BC" w:rsidRPr="009B235E" w14:paraId="25F8AFE9" w14:textId="77777777" w:rsidTr="002B61BC">
        <w:tc>
          <w:tcPr>
            <w:tcW w:w="2552" w:type="dxa"/>
            <w:vAlign w:val="bottom"/>
          </w:tcPr>
          <w:p w14:paraId="1ED0B6D8"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Пензенская область</w:t>
            </w:r>
          </w:p>
        </w:tc>
        <w:tc>
          <w:tcPr>
            <w:tcW w:w="1134" w:type="dxa"/>
            <w:shd w:val="clear" w:color="auto" w:fill="auto"/>
            <w:vAlign w:val="center"/>
          </w:tcPr>
          <w:p w14:paraId="4803507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250" w:type="dxa"/>
            <w:shd w:val="clear" w:color="auto" w:fill="auto"/>
            <w:vAlign w:val="center"/>
          </w:tcPr>
          <w:p w14:paraId="4232C77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319,8</w:t>
            </w:r>
          </w:p>
        </w:tc>
        <w:tc>
          <w:tcPr>
            <w:tcW w:w="1392" w:type="dxa"/>
            <w:shd w:val="clear" w:color="auto" w:fill="auto"/>
            <w:vAlign w:val="center"/>
          </w:tcPr>
          <w:p w14:paraId="311AD8BA"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859,4</w:t>
            </w:r>
          </w:p>
        </w:tc>
        <w:tc>
          <w:tcPr>
            <w:tcW w:w="1159" w:type="dxa"/>
            <w:shd w:val="clear" w:color="auto" w:fill="auto"/>
            <w:vAlign w:val="center"/>
          </w:tcPr>
          <w:p w14:paraId="6DF92FC2"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147,2</w:t>
            </w:r>
          </w:p>
        </w:tc>
        <w:tc>
          <w:tcPr>
            <w:tcW w:w="1019" w:type="dxa"/>
            <w:shd w:val="clear" w:color="auto" w:fill="auto"/>
            <w:vAlign w:val="center"/>
          </w:tcPr>
          <w:p w14:paraId="0BAA1DAA"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67,1</w:t>
            </w:r>
          </w:p>
        </w:tc>
        <w:tc>
          <w:tcPr>
            <w:tcW w:w="992" w:type="dxa"/>
            <w:shd w:val="clear" w:color="auto" w:fill="auto"/>
            <w:vAlign w:val="center"/>
          </w:tcPr>
          <w:p w14:paraId="1840C3B9"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145,7</w:t>
            </w:r>
          </w:p>
        </w:tc>
        <w:tc>
          <w:tcPr>
            <w:tcW w:w="1161" w:type="dxa"/>
            <w:shd w:val="clear" w:color="auto" w:fill="auto"/>
            <w:vAlign w:val="center"/>
          </w:tcPr>
          <w:p w14:paraId="07A15632"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616,5</w:t>
            </w:r>
          </w:p>
        </w:tc>
        <w:tc>
          <w:tcPr>
            <w:tcW w:w="1134" w:type="dxa"/>
            <w:shd w:val="clear" w:color="auto" w:fill="auto"/>
            <w:vAlign w:val="center"/>
          </w:tcPr>
          <w:p w14:paraId="5374624D"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492,1</w:t>
            </w:r>
          </w:p>
        </w:tc>
        <w:tc>
          <w:tcPr>
            <w:tcW w:w="1328" w:type="dxa"/>
            <w:shd w:val="clear" w:color="auto" w:fill="auto"/>
            <w:vAlign w:val="center"/>
          </w:tcPr>
          <w:p w14:paraId="32EC0F45"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418" w:type="dxa"/>
            <w:shd w:val="clear" w:color="auto" w:fill="auto"/>
            <w:vAlign w:val="center"/>
          </w:tcPr>
          <w:p w14:paraId="2512A81A"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53,1</w:t>
            </w:r>
          </w:p>
        </w:tc>
        <w:tc>
          <w:tcPr>
            <w:tcW w:w="1364" w:type="dxa"/>
            <w:shd w:val="clear" w:color="auto" w:fill="auto"/>
            <w:vAlign w:val="center"/>
          </w:tcPr>
          <w:p w14:paraId="57C7C5B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71,3</w:t>
            </w:r>
          </w:p>
        </w:tc>
      </w:tr>
      <w:tr w:rsidR="002B61BC" w:rsidRPr="009B235E" w14:paraId="43022930" w14:textId="77777777" w:rsidTr="002B61BC">
        <w:tc>
          <w:tcPr>
            <w:tcW w:w="2552" w:type="dxa"/>
            <w:vAlign w:val="bottom"/>
          </w:tcPr>
          <w:p w14:paraId="50813A7C"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Самарская область</w:t>
            </w:r>
          </w:p>
        </w:tc>
        <w:tc>
          <w:tcPr>
            <w:tcW w:w="1134" w:type="dxa"/>
            <w:shd w:val="clear" w:color="auto" w:fill="auto"/>
            <w:vAlign w:val="center"/>
          </w:tcPr>
          <w:p w14:paraId="08AD93C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14,1</w:t>
            </w:r>
          </w:p>
        </w:tc>
        <w:tc>
          <w:tcPr>
            <w:tcW w:w="1250" w:type="dxa"/>
            <w:shd w:val="clear" w:color="auto" w:fill="auto"/>
            <w:vAlign w:val="center"/>
          </w:tcPr>
          <w:p w14:paraId="060AB58D"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90,7</w:t>
            </w:r>
          </w:p>
        </w:tc>
        <w:tc>
          <w:tcPr>
            <w:tcW w:w="1392" w:type="dxa"/>
            <w:shd w:val="clear" w:color="auto" w:fill="auto"/>
            <w:vAlign w:val="center"/>
          </w:tcPr>
          <w:p w14:paraId="63E3928D"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1570,5</w:t>
            </w:r>
          </w:p>
        </w:tc>
        <w:tc>
          <w:tcPr>
            <w:tcW w:w="1159" w:type="dxa"/>
            <w:shd w:val="clear" w:color="auto" w:fill="auto"/>
            <w:vAlign w:val="center"/>
          </w:tcPr>
          <w:p w14:paraId="2C7A0B22"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143,5</w:t>
            </w:r>
          </w:p>
        </w:tc>
        <w:tc>
          <w:tcPr>
            <w:tcW w:w="1019" w:type="dxa"/>
            <w:shd w:val="clear" w:color="auto" w:fill="auto"/>
            <w:vAlign w:val="center"/>
          </w:tcPr>
          <w:p w14:paraId="6109DE02"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992" w:type="dxa"/>
            <w:shd w:val="clear" w:color="auto" w:fill="auto"/>
            <w:vAlign w:val="center"/>
          </w:tcPr>
          <w:p w14:paraId="5296D794"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384,0</w:t>
            </w:r>
          </w:p>
        </w:tc>
        <w:tc>
          <w:tcPr>
            <w:tcW w:w="1161" w:type="dxa"/>
            <w:shd w:val="clear" w:color="auto" w:fill="auto"/>
            <w:vAlign w:val="center"/>
          </w:tcPr>
          <w:p w14:paraId="7FD93555"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5324,7</w:t>
            </w:r>
          </w:p>
        </w:tc>
        <w:tc>
          <w:tcPr>
            <w:tcW w:w="1134" w:type="dxa"/>
            <w:shd w:val="clear" w:color="auto" w:fill="auto"/>
            <w:vAlign w:val="center"/>
          </w:tcPr>
          <w:p w14:paraId="4AE005A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4563,7</w:t>
            </w:r>
          </w:p>
        </w:tc>
        <w:tc>
          <w:tcPr>
            <w:tcW w:w="1328" w:type="dxa"/>
            <w:shd w:val="clear" w:color="auto" w:fill="auto"/>
            <w:vAlign w:val="center"/>
          </w:tcPr>
          <w:p w14:paraId="0F45903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422,7</w:t>
            </w:r>
          </w:p>
        </w:tc>
        <w:tc>
          <w:tcPr>
            <w:tcW w:w="1418" w:type="dxa"/>
            <w:shd w:val="clear" w:color="auto" w:fill="auto"/>
            <w:vAlign w:val="center"/>
          </w:tcPr>
          <w:p w14:paraId="7ABB5351"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836,9</w:t>
            </w:r>
          </w:p>
        </w:tc>
        <w:tc>
          <w:tcPr>
            <w:tcW w:w="1364" w:type="dxa"/>
            <w:shd w:val="clear" w:color="auto" w:fill="auto"/>
            <w:vAlign w:val="center"/>
          </w:tcPr>
          <w:p w14:paraId="7F783E7C"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308,0</w:t>
            </w:r>
          </w:p>
        </w:tc>
      </w:tr>
      <w:tr w:rsidR="002B61BC" w:rsidRPr="009B235E" w14:paraId="4A433F94" w14:textId="77777777" w:rsidTr="002B61BC">
        <w:tc>
          <w:tcPr>
            <w:tcW w:w="2552" w:type="dxa"/>
            <w:vAlign w:val="bottom"/>
          </w:tcPr>
          <w:p w14:paraId="44F2DFF1"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Саратовская область</w:t>
            </w:r>
          </w:p>
        </w:tc>
        <w:tc>
          <w:tcPr>
            <w:tcW w:w="1134" w:type="dxa"/>
            <w:shd w:val="clear" w:color="auto" w:fill="auto"/>
            <w:vAlign w:val="center"/>
          </w:tcPr>
          <w:p w14:paraId="348601A9"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24,6</w:t>
            </w:r>
          </w:p>
        </w:tc>
        <w:tc>
          <w:tcPr>
            <w:tcW w:w="1250" w:type="dxa"/>
            <w:shd w:val="clear" w:color="auto" w:fill="auto"/>
            <w:vAlign w:val="center"/>
          </w:tcPr>
          <w:p w14:paraId="13FA7375"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11,5</w:t>
            </w:r>
          </w:p>
        </w:tc>
        <w:tc>
          <w:tcPr>
            <w:tcW w:w="1392" w:type="dxa"/>
            <w:shd w:val="clear" w:color="auto" w:fill="auto"/>
            <w:vAlign w:val="center"/>
          </w:tcPr>
          <w:p w14:paraId="0A2C18CA"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1459,6</w:t>
            </w:r>
          </w:p>
        </w:tc>
        <w:tc>
          <w:tcPr>
            <w:tcW w:w="1159" w:type="dxa"/>
            <w:shd w:val="clear" w:color="auto" w:fill="auto"/>
            <w:vAlign w:val="center"/>
          </w:tcPr>
          <w:p w14:paraId="58BFA33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2,7</w:t>
            </w:r>
          </w:p>
        </w:tc>
        <w:tc>
          <w:tcPr>
            <w:tcW w:w="1019" w:type="dxa"/>
            <w:shd w:val="clear" w:color="auto" w:fill="auto"/>
            <w:vAlign w:val="center"/>
          </w:tcPr>
          <w:p w14:paraId="4AE59121"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129,2</w:t>
            </w:r>
          </w:p>
        </w:tc>
        <w:tc>
          <w:tcPr>
            <w:tcW w:w="992" w:type="dxa"/>
            <w:shd w:val="clear" w:color="auto" w:fill="auto"/>
            <w:vAlign w:val="center"/>
          </w:tcPr>
          <w:p w14:paraId="63FD8D81"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38,6</w:t>
            </w:r>
          </w:p>
        </w:tc>
        <w:tc>
          <w:tcPr>
            <w:tcW w:w="1161" w:type="dxa"/>
            <w:shd w:val="clear" w:color="auto" w:fill="auto"/>
            <w:vAlign w:val="center"/>
          </w:tcPr>
          <w:p w14:paraId="112A8AF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3092,9</w:t>
            </w:r>
          </w:p>
        </w:tc>
        <w:tc>
          <w:tcPr>
            <w:tcW w:w="1134" w:type="dxa"/>
            <w:shd w:val="clear" w:color="auto" w:fill="auto"/>
            <w:vAlign w:val="center"/>
          </w:tcPr>
          <w:p w14:paraId="2823192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1991,4</w:t>
            </w:r>
          </w:p>
        </w:tc>
        <w:tc>
          <w:tcPr>
            <w:tcW w:w="1328" w:type="dxa"/>
            <w:shd w:val="clear" w:color="auto" w:fill="auto"/>
            <w:vAlign w:val="center"/>
          </w:tcPr>
          <w:p w14:paraId="6588AFB4"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129,3</w:t>
            </w:r>
          </w:p>
        </w:tc>
        <w:tc>
          <w:tcPr>
            <w:tcW w:w="1418" w:type="dxa"/>
            <w:shd w:val="clear" w:color="auto" w:fill="auto"/>
            <w:vAlign w:val="center"/>
          </w:tcPr>
          <w:p w14:paraId="47C9719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167,4</w:t>
            </w:r>
          </w:p>
        </w:tc>
        <w:tc>
          <w:tcPr>
            <w:tcW w:w="1364" w:type="dxa"/>
            <w:shd w:val="clear" w:color="auto" w:fill="auto"/>
            <w:vAlign w:val="center"/>
          </w:tcPr>
          <w:p w14:paraId="1618A373"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473,4</w:t>
            </w:r>
          </w:p>
        </w:tc>
      </w:tr>
      <w:tr w:rsidR="002B61BC" w:rsidRPr="009B235E" w14:paraId="3BD3AE0B" w14:textId="77777777" w:rsidTr="002B61BC">
        <w:tc>
          <w:tcPr>
            <w:tcW w:w="2552" w:type="dxa"/>
            <w:vAlign w:val="bottom"/>
          </w:tcPr>
          <w:p w14:paraId="10EAF194"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Ульяновская область</w:t>
            </w:r>
          </w:p>
        </w:tc>
        <w:tc>
          <w:tcPr>
            <w:tcW w:w="1134" w:type="dxa"/>
            <w:shd w:val="clear" w:color="auto" w:fill="auto"/>
            <w:vAlign w:val="center"/>
          </w:tcPr>
          <w:p w14:paraId="204261F5"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250" w:type="dxa"/>
            <w:shd w:val="clear" w:color="auto" w:fill="auto"/>
            <w:vAlign w:val="center"/>
          </w:tcPr>
          <w:p w14:paraId="2DB4A76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284,5</w:t>
            </w:r>
          </w:p>
        </w:tc>
        <w:tc>
          <w:tcPr>
            <w:tcW w:w="1392" w:type="dxa"/>
            <w:shd w:val="clear" w:color="auto" w:fill="auto"/>
            <w:vAlign w:val="center"/>
          </w:tcPr>
          <w:p w14:paraId="06870B7D"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860,6</w:t>
            </w:r>
          </w:p>
        </w:tc>
        <w:tc>
          <w:tcPr>
            <w:tcW w:w="1159" w:type="dxa"/>
            <w:shd w:val="clear" w:color="auto" w:fill="auto"/>
            <w:vAlign w:val="center"/>
          </w:tcPr>
          <w:p w14:paraId="05D07190"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101,4</w:t>
            </w:r>
          </w:p>
        </w:tc>
        <w:tc>
          <w:tcPr>
            <w:tcW w:w="1019" w:type="dxa"/>
            <w:shd w:val="clear" w:color="auto" w:fill="auto"/>
            <w:vAlign w:val="center"/>
          </w:tcPr>
          <w:p w14:paraId="28A148CD"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47,9</w:t>
            </w:r>
          </w:p>
        </w:tc>
        <w:tc>
          <w:tcPr>
            <w:tcW w:w="992" w:type="dxa"/>
            <w:shd w:val="clear" w:color="auto" w:fill="auto"/>
            <w:vAlign w:val="center"/>
          </w:tcPr>
          <w:p w14:paraId="4E72AFB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161" w:type="dxa"/>
            <w:shd w:val="clear" w:color="auto" w:fill="auto"/>
            <w:vAlign w:val="center"/>
          </w:tcPr>
          <w:p w14:paraId="20CD12F9"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1802,0</w:t>
            </w:r>
          </w:p>
        </w:tc>
        <w:tc>
          <w:tcPr>
            <w:tcW w:w="1134" w:type="dxa"/>
            <w:shd w:val="clear" w:color="auto" w:fill="auto"/>
            <w:vAlign w:val="center"/>
          </w:tcPr>
          <w:p w14:paraId="765D931A"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778,5</w:t>
            </w:r>
          </w:p>
        </w:tc>
        <w:tc>
          <w:tcPr>
            <w:tcW w:w="1328" w:type="dxa"/>
            <w:shd w:val="clear" w:color="auto" w:fill="auto"/>
            <w:vAlign w:val="center"/>
          </w:tcPr>
          <w:p w14:paraId="7EE13292"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220,9</w:t>
            </w:r>
          </w:p>
        </w:tc>
        <w:tc>
          <w:tcPr>
            <w:tcW w:w="1418" w:type="dxa"/>
            <w:shd w:val="clear" w:color="auto" w:fill="auto"/>
            <w:vAlign w:val="center"/>
          </w:tcPr>
          <w:p w14:paraId="205DFB0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165,6</w:t>
            </w:r>
          </w:p>
        </w:tc>
        <w:tc>
          <w:tcPr>
            <w:tcW w:w="1364" w:type="dxa"/>
            <w:shd w:val="clear" w:color="auto" w:fill="auto"/>
            <w:vAlign w:val="center"/>
          </w:tcPr>
          <w:p w14:paraId="50753734"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322,0</w:t>
            </w:r>
          </w:p>
        </w:tc>
      </w:tr>
      <w:tr w:rsidR="002B61BC" w:rsidRPr="009B235E" w14:paraId="16B8F3C7" w14:textId="77777777" w:rsidTr="002B61BC">
        <w:tc>
          <w:tcPr>
            <w:tcW w:w="2552" w:type="dxa"/>
            <w:vAlign w:val="bottom"/>
          </w:tcPr>
          <w:p w14:paraId="42C8A1E8" w14:textId="77777777" w:rsidR="002B61BC" w:rsidRPr="009B235E" w:rsidRDefault="002B61BC" w:rsidP="002B61BC">
            <w:pPr>
              <w:spacing w:after="0" w:line="240" w:lineRule="auto"/>
              <w:rPr>
                <w:rFonts w:ascii="Times New Roman" w:eastAsia="Times New Roman" w:hAnsi="Times New Roman" w:cs="Times New Roman"/>
                <w:b/>
                <w:bCs/>
                <w:sz w:val="24"/>
                <w:szCs w:val="24"/>
                <w:lang w:eastAsia="ru-RU"/>
              </w:rPr>
            </w:pPr>
            <w:r w:rsidRPr="009B235E">
              <w:rPr>
                <w:rFonts w:ascii="Times New Roman" w:eastAsia="Times New Roman" w:hAnsi="Times New Roman" w:cs="Times New Roman"/>
                <w:b/>
                <w:bCs/>
                <w:sz w:val="24"/>
                <w:szCs w:val="24"/>
                <w:lang w:eastAsia="ru-RU"/>
              </w:rPr>
              <w:t xml:space="preserve">Уральский  </w:t>
            </w:r>
            <w:r w:rsidRPr="009B235E">
              <w:rPr>
                <w:rFonts w:ascii="Times New Roman" w:eastAsia="Times New Roman" w:hAnsi="Times New Roman" w:cs="Times New Roman"/>
                <w:b/>
                <w:bCs/>
                <w:sz w:val="24"/>
                <w:szCs w:val="24"/>
                <w:lang w:eastAsia="ru-RU"/>
              </w:rPr>
              <w:br/>
              <w:t>федеральный округ</w:t>
            </w:r>
          </w:p>
        </w:tc>
        <w:tc>
          <w:tcPr>
            <w:tcW w:w="1134" w:type="dxa"/>
            <w:shd w:val="clear" w:color="auto" w:fill="auto"/>
            <w:vAlign w:val="center"/>
          </w:tcPr>
          <w:p w14:paraId="25F806D1"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1595,0</w:t>
            </w:r>
          </w:p>
        </w:tc>
        <w:tc>
          <w:tcPr>
            <w:tcW w:w="1250" w:type="dxa"/>
            <w:shd w:val="clear" w:color="auto" w:fill="auto"/>
            <w:vAlign w:val="center"/>
          </w:tcPr>
          <w:p w14:paraId="372A48FB"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12706,8</w:t>
            </w:r>
          </w:p>
        </w:tc>
        <w:tc>
          <w:tcPr>
            <w:tcW w:w="1392" w:type="dxa"/>
            <w:shd w:val="clear" w:color="auto" w:fill="auto"/>
            <w:vAlign w:val="center"/>
          </w:tcPr>
          <w:p w14:paraId="6C3EA2D7"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17365,7</w:t>
            </w:r>
          </w:p>
        </w:tc>
        <w:tc>
          <w:tcPr>
            <w:tcW w:w="1159" w:type="dxa"/>
            <w:shd w:val="clear" w:color="auto" w:fill="auto"/>
            <w:vAlign w:val="center"/>
          </w:tcPr>
          <w:p w14:paraId="39FA1442"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4473,0</w:t>
            </w:r>
          </w:p>
        </w:tc>
        <w:tc>
          <w:tcPr>
            <w:tcW w:w="1019" w:type="dxa"/>
            <w:shd w:val="clear" w:color="auto" w:fill="auto"/>
            <w:vAlign w:val="center"/>
          </w:tcPr>
          <w:p w14:paraId="49E7EF15"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86,1</w:t>
            </w:r>
          </w:p>
        </w:tc>
        <w:tc>
          <w:tcPr>
            <w:tcW w:w="992" w:type="dxa"/>
            <w:shd w:val="clear" w:color="auto" w:fill="auto"/>
            <w:vAlign w:val="center"/>
          </w:tcPr>
          <w:p w14:paraId="61CBE0ED"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987,7</w:t>
            </w:r>
          </w:p>
        </w:tc>
        <w:tc>
          <w:tcPr>
            <w:tcW w:w="1161" w:type="dxa"/>
            <w:shd w:val="clear" w:color="auto" w:fill="auto"/>
            <w:vAlign w:val="center"/>
          </w:tcPr>
          <w:p w14:paraId="6580DE4E"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32792,2</w:t>
            </w:r>
          </w:p>
        </w:tc>
        <w:tc>
          <w:tcPr>
            <w:tcW w:w="1134" w:type="dxa"/>
            <w:shd w:val="clear" w:color="auto" w:fill="auto"/>
            <w:vAlign w:val="center"/>
          </w:tcPr>
          <w:p w14:paraId="1BDD39FE"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18505,6</w:t>
            </w:r>
          </w:p>
        </w:tc>
        <w:tc>
          <w:tcPr>
            <w:tcW w:w="1328" w:type="dxa"/>
            <w:shd w:val="clear" w:color="auto" w:fill="auto"/>
            <w:vAlign w:val="center"/>
          </w:tcPr>
          <w:p w14:paraId="11068F15"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3476,8</w:t>
            </w:r>
          </w:p>
        </w:tc>
        <w:tc>
          <w:tcPr>
            <w:tcW w:w="1418" w:type="dxa"/>
            <w:shd w:val="clear" w:color="auto" w:fill="auto"/>
            <w:vAlign w:val="center"/>
          </w:tcPr>
          <w:p w14:paraId="43ABC8E2"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5063,7</w:t>
            </w:r>
          </w:p>
        </w:tc>
        <w:tc>
          <w:tcPr>
            <w:tcW w:w="1364" w:type="dxa"/>
            <w:shd w:val="clear" w:color="auto" w:fill="auto"/>
            <w:vAlign w:val="center"/>
          </w:tcPr>
          <w:p w14:paraId="30465F0B"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3675,2</w:t>
            </w:r>
          </w:p>
        </w:tc>
      </w:tr>
      <w:tr w:rsidR="002B61BC" w:rsidRPr="009B235E" w14:paraId="78586350" w14:textId="77777777" w:rsidTr="002B61BC">
        <w:tc>
          <w:tcPr>
            <w:tcW w:w="2552" w:type="dxa"/>
            <w:vAlign w:val="bottom"/>
          </w:tcPr>
          <w:p w14:paraId="506CD768"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Курганская область</w:t>
            </w:r>
          </w:p>
        </w:tc>
        <w:tc>
          <w:tcPr>
            <w:tcW w:w="1134" w:type="dxa"/>
            <w:shd w:val="clear" w:color="auto" w:fill="auto"/>
            <w:vAlign w:val="center"/>
          </w:tcPr>
          <w:p w14:paraId="7A90A0D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39,8</w:t>
            </w:r>
          </w:p>
        </w:tc>
        <w:tc>
          <w:tcPr>
            <w:tcW w:w="1250" w:type="dxa"/>
            <w:shd w:val="clear" w:color="auto" w:fill="auto"/>
            <w:vAlign w:val="center"/>
          </w:tcPr>
          <w:p w14:paraId="1978810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215,4</w:t>
            </w:r>
          </w:p>
        </w:tc>
        <w:tc>
          <w:tcPr>
            <w:tcW w:w="1392" w:type="dxa"/>
            <w:shd w:val="clear" w:color="auto" w:fill="auto"/>
            <w:vAlign w:val="center"/>
          </w:tcPr>
          <w:p w14:paraId="3EFAA051"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973,6</w:t>
            </w:r>
          </w:p>
        </w:tc>
        <w:tc>
          <w:tcPr>
            <w:tcW w:w="1159" w:type="dxa"/>
            <w:shd w:val="clear" w:color="auto" w:fill="auto"/>
            <w:vAlign w:val="center"/>
          </w:tcPr>
          <w:p w14:paraId="2FE514CD"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310,3</w:t>
            </w:r>
          </w:p>
        </w:tc>
        <w:tc>
          <w:tcPr>
            <w:tcW w:w="1019" w:type="dxa"/>
            <w:shd w:val="clear" w:color="auto" w:fill="auto"/>
            <w:vAlign w:val="center"/>
          </w:tcPr>
          <w:p w14:paraId="025BB9F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33,2</w:t>
            </w:r>
          </w:p>
        </w:tc>
        <w:tc>
          <w:tcPr>
            <w:tcW w:w="992" w:type="dxa"/>
            <w:shd w:val="clear" w:color="auto" w:fill="auto"/>
            <w:vAlign w:val="center"/>
          </w:tcPr>
          <w:p w14:paraId="13FAFD9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0,7</w:t>
            </w:r>
          </w:p>
        </w:tc>
        <w:tc>
          <w:tcPr>
            <w:tcW w:w="1161" w:type="dxa"/>
            <w:shd w:val="clear" w:color="auto" w:fill="auto"/>
            <w:vAlign w:val="center"/>
          </w:tcPr>
          <w:p w14:paraId="1EE08705"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813,8</w:t>
            </w:r>
          </w:p>
        </w:tc>
        <w:tc>
          <w:tcPr>
            <w:tcW w:w="1134" w:type="dxa"/>
            <w:shd w:val="clear" w:color="auto" w:fill="auto"/>
            <w:vAlign w:val="center"/>
          </w:tcPr>
          <w:p w14:paraId="26A8958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391,5</w:t>
            </w:r>
          </w:p>
        </w:tc>
        <w:tc>
          <w:tcPr>
            <w:tcW w:w="1328" w:type="dxa"/>
            <w:shd w:val="clear" w:color="auto" w:fill="auto"/>
            <w:vAlign w:val="center"/>
          </w:tcPr>
          <w:p w14:paraId="2C7CECD4"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2,2</w:t>
            </w:r>
          </w:p>
        </w:tc>
        <w:tc>
          <w:tcPr>
            <w:tcW w:w="1418" w:type="dxa"/>
            <w:shd w:val="clear" w:color="auto" w:fill="auto"/>
            <w:vAlign w:val="center"/>
          </w:tcPr>
          <w:p w14:paraId="4F964ED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9,3</w:t>
            </w:r>
          </w:p>
        </w:tc>
        <w:tc>
          <w:tcPr>
            <w:tcW w:w="1364" w:type="dxa"/>
            <w:shd w:val="clear" w:color="auto" w:fill="auto"/>
            <w:vAlign w:val="center"/>
          </w:tcPr>
          <w:p w14:paraId="545C69EC"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85,2</w:t>
            </w:r>
          </w:p>
        </w:tc>
      </w:tr>
      <w:tr w:rsidR="002B61BC" w:rsidRPr="009B235E" w14:paraId="1B4A8B9D" w14:textId="77777777" w:rsidTr="002B61BC">
        <w:tc>
          <w:tcPr>
            <w:tcW w:w="2552" w:type="dxa"/>
            <w:vAlign w:val="bottom"/>
          </w:tcPr>
          <w:p w14:paraId="71E6F96F"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Свердловская область</w:t>
            </w:r>
          </w:p>
        </w:tc>
        <w:tc>
          <w:tcPr>
            <w:tcW w:w="1134" w:type="dxa"/>
            <w:shd w:val="clear" w:color="auto" w:fill="auto"/>
            <w:vAlign w:val="center"/>
          </w:tcPr>
          <w:p w14:paraId="44FBFD74"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302,3</w:t>
            </w:r>
          </w:p>
        </w:tc>
        <w:tc>
          <w:tcPr>
            <w:tcW w:w="1250" w:type="dxa"/>
            <w:shd w:val="clear" w:color="auto" w:fill="auto"/>
            <w:vAlign w:val="center"/>
          </w:tcPr>
          <w:p w14:paraId="123714CC"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4330,0</w:t>
            </w:r>
          </w:p>
        </w:tc>
        <w:tc>
          <w:tcPr>
            <w:tcW w:w="1392" w:type="dxa"/>
            <w:shd w:val="clear" w:color="auto" w:fill="auto"/>
            <w:vAlign w:val="center"/>
          </w:tcPr>
          <w:p w14:paraId="66259ECA"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5614,8</w:t>
            </w:r>
          </w:p>
        </w:tc>
        <w:tc>
          <w:tcPr>
            <w:tcW w:w="1159" w:type="dxa"/>
            <w:shd w:val="clear" w:color="auto" w:fill="auto"/>
            <w:vAlign w:val="center"/>
          </w:tcPr>
          <w:p w14:paraId="4C498C90"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771,4</w:t>
            </w:r>
          </w:p>
        </w:tc>
        <w:tc>
          <w:tcPr>
            <w:tcW w:w="1019" w:type="dxa"/>
            <w:shd w:val="clear" w:color="auto" w:fill="auto"/>
            <w:vAlign w:val="center"/>
          </w:tcPr>
          <w:p w14:paraId="3CA260B5"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25,7</w:t>
            </w:r>
          </w:p>
        </w:tc>
        <w:tc>
          <w:tcPr>
            <w:tcW w:w="992" w:type="dxa"/>
            <w:shd w:val="clear" w:color="auto" w:fill="auto"/>
            <w:vAlign w:val="center"/>
          </w:tcPr>
          <w:p w14:paraId="3C64C4EA"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161" w:type="dxa"/>
            <w:shd w:val="clear" w:color="auto" w:fill="auto"/>
            <w:vAlign w:val="center"/>
          </w:tcPr>
          <w:p w14:paraId="00E3119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7686,9</w:t>
            </w:r>
          </w:p>
        </w:tc>
        <w:tc>
          <w:tcPr>
            <w:tcW w:w="1134" w:type="dxa"/>
            <w:shd w:val="clear" w:color="auto" w:fill="auto"/>
            <w:vAlign w:val="center"/>
          </w:tcPr>
          <w:p w14:paraId="2226736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4585,9</w:t>
            </w:r>
          </w:p>
        </w:tc>
        <w:tc>
          <w:tcPr>
            <w:tcW w:w="1328" w:type="dxa"/>
            <w:shd w:val="clear" w:color="auto" w:fill="auto"/>
            <w:vAlign w:val="center"/>
          </w:tcPr>
          <w:p w14:paraId="3825C39B"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975,6</w:t>
            </w:r>
          </w:p>
        </w:tc>
        <w:tc>
          <w:tcPr>
            <w:tcW w:w="1418" w:type="dxa"/>
            <w:shd w:val="clear" w:color="auto" w:fill="auto"/>
            <w:vAlign w:val="center"/>
          </w:tcPr>
          <w:p w14:paraId="1BCDF574"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1140,8</w:t>
            </w:r>
          </w:p>
        </w:tc>
        <w:tc>
          <w:tcPr>
            <w:tcW w:w="1364" w:type="dxa"/>
            <w:shd w:val="clear" w:color="auto" w:fill="auto"/>
            <w:vAlign w:val="center"/>
          </w:tcPr>
          <w:p w14:paraId="474E20BB"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750,7</w:t>
            </w:r>
          </w:p>
        </w:tc>
      </w:tr>
      <w:tr w:rsidR="002B61BC" w:rsidRPr="009B235E" w14:paraId="423428C8" w14:textId="77777777" w:rsidTr="002B61BC">
        <w:tc>
          <w:tcPr>
            <w:tcW w:w="2552" w:type="dxa"/>
            <w:vAlign w:val="bottom"/>
          </w:tcPr>
          <w:p w14:paraId="15DACC2C"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Тюменская область</w:t>
            </w:r>
          </w:p>
        </w:tc>
        <w:tc>
          <w:tcPr>
            <w:tcW w:w="1134" w:type="dxa"/>
            <w:shd w:val="clear" w:color="auto" w:fill="auto"/>
            <w:vAlign w:val="center"/>
          </w:tcPr>
          <w:p w14:paraId="05D76810"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1184,2</w:t>
            </w:r>
          </w:p>
        </w:tc>
        <w:tc>
          <w:tcPr>
            <w:tcW w:w="1250" w:type="dxa"/>
            <w:shd w:val="clear" w:color="auto" w:fill="auto"/>
            <w:vAlign w:val="center"/>
          </w:tcPr>
          <w:p w14:paraId="33BFEA81"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6437,1</w:t>
            </w:r>
          </w:p>
        </w:tc>
        <w:tc>
          <w:tcPr>
            <w:tcW w:w="1392" w:type="dxa"/>
            <w:shd w:val="clear" w:color="auto" w:fill="auto"/>
            <w:vAlign w:val="center"/>
          </w:tcPr>
          <w:p w14:paraId="649435A5"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8002,5</w:t>
            </w:r>
          </w:p>
        </w:tc>
        <w:tc>
          <w:tcPr>
            <w:tcW w:w="1159" w:type="dxa"/>
            <w:shd w:val="clear" w:color="auto" w:fill="auto"/>
            <w:vAlign w:val="center"/>
          </w:tcPr>
          <w:p w14:paraId="24DAF28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3260,9</w:t>
            </w:r>
          </w:p>
        </w:tc>
        <w:tc>
          <w:tcPr>
            <w:tcW w:w="1019" w:type="dxa"/>
            <w:shd w:val="clear" w:color="auto" w:fill="auto"/>
            <w:vAlign w:val="center"/>
          </w:tcPr>
          <w:p w14:paraId="7E96FAFB"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27,3</w:t>
            </w:r>
          </w:p>
        </w:tc>
        <w:tc>
          <w:tcPr>
            <w:tcW w:w="992" w:type="dxa"/>
            <w:shd w:val="clear" w:color="auto" w:fill="auto"/>
            <w:vAlign w:val="center"/>
          </w:tcPr>
          <w:p w14:paraId="01277C81"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987,0</w:t>
            </w:r>
          </w:p>
        </w:tc>
        <w:tc>
          <w:tcPr>
            <w:tcW w:w="1161" w:type="dxa"/>
            <w:shd w:val="clear" w:color="auto" w:fill="auto"/>
            <w:vAlign w:val="center"/>
          </w:tcPr>
          <w:p w14:paraId="62E0042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20453,5</w:t>
            </w:r>
          </w:p>
        </w:tc>
        <w:tc>
          <w:tcPr>
            <w:tcW w:w="1134" w:type="dxa"/>
            <w:shd w:val="clear" w:color="auto" w:fill="auto"/>
            <w:vAlign w:val="center"/>
          </w:tcPr>
          <w:p w14:paraId="470C3B3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10414,0</w:t>
            </w:r>
          </w:p>
        </w:tc>
        <w:tc>
          <w:tcPr>
            <w:tcW w:w="1328" w:type="dxa"/>
            <w:shd w:val="clear" w:color="auto" w:fill="auto"/>
            <w:vAlign w:val="center"/>
          </w:tcPr>
          <w:p w14:paraId="3B487344"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2069,7</w:t>
            </w:r>
          </w:p>
        </w:tc>
        <w:tc>
          <w:tcPr>
            <w:tcW w:w="1418" w:type="dxa"/>
            <w:shd w:val="clear" w:color="auto" w:fill="auto"/>
            <w:vAlign w:val="center"/>
          </w:tcPr>
          <w:p w14:paraId="657AB9B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3468,0</w:t>
            </w:r>
          </w:p>
        </w:tc>
        <w:tc>
          <w:tcPr>
            <w:tcW w:w="1364" w:type="dxa"/>
            <w:shd w:val="clear" w:color="auto" w:fill="auto"/>
            <w:vAlign w:val="center"/>
          </w:tcPr>
          <w:p w14:paraId="30337C4B"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2254,9</w:t>
            </w:r>
          </w:p>
        </w:tc>
      </w:tr>
      <w:tr w:rsidR="002B61BC" w:rsidRPr="009B235E" w14:paraId="42223255" w14:textId="77777777" w:rsidTr="002B61BC">
        <w:tc>
          <w:tcPr>
            <w:tcW w:w="2552" w:type="dxa"/>
            <w:vAlign w:val="bottom"/>
          </w:tcPr>
          <w:p w14:paraId="660D4AD5"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Ханты-Мансийский авт. округ</w:t>
            </w:r>
          </w:p>
        </w:tc>
        <w:tc>
          <w:tcPr>
            <w:tcW w:w="1134" w:type="dxa"/>
            <w:shd w:val="clear" w:color="auto" w:fill="auto"/>
            <w:vAlign w:val="center"/>
          </w:tcPr>
          <w:p w14:paraId="26FCC6D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409,3</w:t>
            </w:r>
          </w:p>
        </w:tc>
        <w:tc>
          <w:tcPr>
            <w:tcW w:w="1250" w:type="dxa"/>
            <w:shd w:val="clear" w:color="auto" w:fill="auto"/>
            <w:vAlign w:val="center"/>
          </w:tcPr>
          <w:p w14:paraId="4A64EA71"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5049,4</w:t>
            </w:r>
          </w:p>
        </w:tc>
        <w:tc>
          <w:tcPr>
            <w:tcW w:w="1392" w:type="dxa"/>
            <w:shd w:val="clear" w:color="auto" w:fill="auto"/>
            <w:vAlign w:val="center"/>
          </w:tcPr>
          <w:p w14:paraId="1C82BDB4"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5007,9</w:t>
            </w:r>
          </w:p>
        </w:tc>
        <w:tc>
          <w:tcPr>
            <w:tcW w:w="1159" w:type="dxa"/>
            <w:shd w:val="clear" w:color="auto" w:fill="auto"/>
            <w:vAlign w:val="center"/>
          </w:tcPr>
          <w:p w14:paraId="5EB47543"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1236,7</w:t>
            </w:r>
          </w:p>
        </w:tc>
        <w:tc>
          <w:tcPr>
            <w:tcW w:w="1019" w:type="dxa"/>
            <w:shd w:val="clear" w:color="auto" w:fill="auto"/>
            <w:vAlign w:val="center"/>
          </w:tcPr>
          <w:p w14:paraId="4C036122"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16,2</w:t>
            </w:r>
          </w:p>
        </w:tc>
        <w:tc>
          <w:tcPr>
            <w:tcW w:w="992" w:type="dxa"/>
            <w:shd w:val="clear" w:color="auto" w:fill="auto"/>
            <w:vAlign w:val="center"/>
          </w:tcPr>
          <w:p w14:paraId="38B22E5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161" w:type="dxa"/>
            <w:shd w:val="clear" w:color="auto" w:fill="auto"/>
            <w:vAlign w:val="center"/>
          </w:tcPr>
          <w:p w14:paraId="26A99DE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7446,4</w:t>
            </w:r>
          </w:p>
        </w:tc>
        <w:tc>
          <w:tcPr>
            <w:tcW w:w="1134" w:type="dxa"/>
            <w:shd w:val="clear" w:color="auto" w:fill="auto"/>
            <w:vAlign w:val="center"/>
          </w:tcPr>
          <w:p w14:paraId="541B3A8C"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1029,8</w:t>
            </w:r>
          </w:p>
        </w:tc>
        <w:tc>
          <w:tcPr>
            <w:tcW w:w="1328" w:type="dxa"/>
            <w:shd w:val="clear" w:color="auto" w:fill="auto"/>
            <w:vAlign w:val="center"/>
          </w:tcPr>
          <w:p w14:paraId="33A1FD54"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456,2</w:t>
            </w:r>
          </w:p>
        </w:tc>
        <w:tc>
          <w:tcPr>
            <w:tcW w:w="1418" w:type="dxa"/>
            <w:shd w:val="clear" w:color="auto" w:fill="auto"/>
            <w:vAlign w:val="center"/>
          </w:tcPr>
          <w:p w14:paraId="68804BA4"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1631,9</w:t>
            </w:r>
          </w:p>
        </w:tc>
        <w:tc>
          <w:tcPr>
            <w:tcW w:w="1364" w:type="dxa"/>
            <w:shd w:val="clear" w:color="auto" w:fill="auto"/>
            <w:vAlign w:val="center"/>
          </w:tcPr>
          <w:p w14:paraId="1CE2C16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900,0</w:t>
            </w:r>
          </w:p>
        </w:tc>
      </w:tr>
      <w:tr w:rsidR="002B61BC" w:rsidRPr="009B235E" w14:paraId="6F092889" w14:textId="77777777" w:rsidTr="002B61BC">
        <w:tc>
          <w:tcPr>
            <w:tcW w:w="2552" w:type="dxa"/>
            <w:vAlign w:val="bottom"/>
          </w:tcPr>
          <w:p w14:paraId="34F1BD46"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Ямало-</w:t>
            </w:r>
            <w:proofErr w:type="spellStart"/>
            <w:r w:rsidRPr="009B235E">
              <w:rPr>
                <w:rFonts w:ascii="Times New Roman" w:eastAsia="Times New Roman" w:hAnsi="Times New Roman" w:cs="Times New Roman"/>
                <w:sz w:val="24"/>
                <w:szCs w:val="24"/>
                <w:lang w:eastAsia="ru-RU"/>
              </w:rPr>
              <w:t>Hенецкий</w:t>
            </w:r>
            <w:proofErr w:type="spellEnd"/>
            <w:r w:rsidRPr="009B235E">
              <w:rPr>
                <w:rFonts w:ascii="Times New Roman" w:eastAsia="Times New Roman" w:hAnsi="Times New Roman" w:cs="Times New Roman"/>
                <w:sz w:val="24"/>
                <w:szCs w:val="24"/>
                <w:lang w:eastAsia="ru-RU"/>
              </w:rPr>
              <w:t xml:space="preserve"> авт. округ</w:t>
            </w:r>
          </w:p>
        </w:tc>
        <w:tc>
          <w:tcPr>
            <w:tcW w:w="1134" w:type="dxa"/>
            <w:shd w:val="clear" w:color="auto" w:fill="auto"/>
            <w:vAlign w:val="center"/>
          </w:tcPr>
          <w:p w14:paraId="38F6EA7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616,7</w:t>
            </w:r>
          </w:p>
        </w:tc>
        <w:tc>
          <w:tcPr>
            <w:tcW w:w="1250" w:type="dxa"/>
            <w:shd w:val="clear" w:color="auto" w:fill="auto"/>
            <w:vAlign w:val="center"/>
          </w:tcPr>
          <w:p w14:paraId="738DAE5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429,2</w:t>
            </w:r>
          </w:p>
        </w:tc>
        <w:tc>
          <w:tcPr>
            <w:tcW w:w="1392" w:type="dxa"/>
            <w:shd w:val="clear" w:color="auto" w:fill="auto"/>
            <w:vAlign w:val="center"/>
          </w:tcPr>
          <w:p w14:paraId="1D6755D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1184,7</w:t>
            </w:r>
          </w:p>
        </w:tc>
        <w:tc>
          <w:tcPr>
            <w:tcW w:w="1159" w:type="dxa"/>
            <w:shd w:val="clear" w:color="auto" w:fill="auto"/>
            <w:vAlign w:val="center"/>
          </w:tcPr>
          <w:p w14:paraId="2055FA1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28,0</w:t>
            </w:r>
          </w:p>
        </w:tc>
        <w:tc>
          <w:tcPr>
            <w:tcW w:w="1019" w:type="dxa"/>
            <w:shd w:val="clear" w:color="auto" w:fill="auto"/>
            <w:vAlign w:val="center"/>
          </w:tcPr>
          <w:p w14:paraId="1D683965"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7,2</w:t>
            </w:r>
          </w:p>
        </w:tc>
        <w:tc>
          <w:tcPr>
            <w:tcW w:w="992" w:type="dxa"/>
            <w:shd w:val="clear" w:color="auto" w:fill="auto"/>
            <w:vAlign w:val="center"/>
          </w:tcPr>
          <w:p w14:paraId="426EA6E4"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984,3</w:t>
            </w:r>
          </w:p>
        </w:tc>
        <w:tc>
          <w:tcPr>
            <w:tcW w:w="1161" w:type="dxa"/>
            <w:shd w:val="clear" w:color="auto" w:fill="auto"/>
            <w:vAlign w:val="center"/>
          </w:tcPr>
          <w:p w14:paraId="2A055272"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4662,4</w:t>
            </w:r>
          </w:p>
        </w:tc>
        <w:tc>
          <w:tcPr>
            <w:tcW w:w="1134" w:type="dxa"/>
            <w:shd w:val="clear" w:color="auto" w:fill="auto"/>
            <w:vAlign w:val="center"/>
          </w:tcPr>
          <w:p w14:paraId="29389C2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2391,8</w:t>
            </w:r>
          </w:p>
        </w:tc>
        <w:tc>
          <w:tcPr>
            <w:tcW w:w="1328" w:type="dxa"/>
            <w:shd w:val="clear" w:color="auto" w:fill="auto"/>
            <w:vAlign w:val="center"/>
          </w:tcPr>
          <w:p w14:paraId="7BCC767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676,5</w:t>
            </w:r>
          </w:p>
        </w:tc>
        <w:tc>
          <w:tcPr>
            <w:tcW w:w="1418" w:type="dxa"/>
            <w:shd w:val="clear" w:color="auto" w:fill="auto"/>
            <w:vAlign w:val="center"/>
          </w:tcPr>
          <w:p w14:paraId="6DE98054"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929,1</w:t>
            </w:r>
          </w:p>
        </w:tc>
        <w:tc>
          <w:tcPr>
            <w:tcW w:w="1364" w:type="dxa"/>
            <w:shd w:val="clear" w:color="auto" w:fill="auto"/>
            <w:vAlign w:val="center"/>
          </w:tcPr>
          <w:p w14:paraId="31ED134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266,8</w:t>
            </w:r>
          </w:p>
        </w:tc>
      </w:tr>
      <w:tr w:rsidR="002B61BC" w:rsidRPr="009B235E" w14:paraId="05D0381C" w14:textId="77777777" w:rsidTr="002B61BC">
        <w:tc>
          <w:tcPr>
            <w:tcW w:w="2552" w:type="dxa"/>
            <w:vAlign w:val="bottom"/>
          </w:tcPr>
          <w:p w14:paraId="4D65143E"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Тюменская область (кроме Ханты-Мансийского и Ямало-</w:t>
            </w:r>
            <w:proofErr w:type="spellStart"/>
            <w:r w:rsidRPr="009B235E">
              <w:rPr>
                <w:rFonts w:ascii="Times New Roman" w:eastAsia="Times New Roman" w:hAnsi="Times New Roman" w:cs="Times New Roman"/>
                <w:sz w:val="24"/>
                <w:szCs w:val="24"/>
                <w:lang w:eastAsia="ru-RU"/>
              </w:rPr>
              <w:t>Hенецкого</w:t>
            </w:r>
            <w:proofErr w:type="spellEnd"/>
            <w:r w:rsidRPr="003E012B">
              <w:rPr>
                <w:rFonts w:ascii="Times New Roman" w:eastAsia="Times New Roman" w:hAnsi="Times New Roman" w:cs="Times New Roman"/>
                <w:sz w:val="24"/>
                <w:szCs w:val="24"/>
                <w:lang w:eastAsia="ru-RU"/>
              </w:rPr>
              <w:t> </w:t>
            </w:r>
            <w:proofErr w:type="spellStart"/>
            <w:r w:rsidRPr="009B235E">
              <w:rPr>
                <w:rFonts w:ascii="Times New Roman" w:eastAsia="Times New Roman" w:hAnsi="Times New Roman" w:cs="Times New Roman"/>
                <w:sz w:val="24"/>
                <w:szCs w:val="24"/>
                <w:lang w:eastAsia="ru-RU"/>
              </w:rPr>
              <w:t>авт.округов</w:t>
            </w:r>
            <w:proofErr w:type="spellEnd"/>
            <w:r w:rsidRPr="009B235E">
              <w:rPr>
                <w:rFonts w:ascii="Times New Roman" w:eastAsia="Times New Roman" w:hAnsi="Times New Roman" w:cs="Times New Roman"/>
                <w:sz w:val="24"/>
                <w:szCs w:val="24"/>
                <w:lang w:eastAsia="ru-RU"/>
              </w:rPr>
              <w:t>)</w:t>
            </w:r>
          </w:p>
        </w:tc>
        <w:tc>
          <w:tcPr>
            <w:tcW w:w="1134" w:type="dxa"/>
            <w:shd w:val="clear" w:color="auto" w:fill="auto"/>
            <w:vAlign w:val="center"/>
          </w:tcPr>
          <w:p w14:paraId="39C66DC2"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158,2</w:t>
            </w:r>
          </w:p>
        </w:tc>
        <w:tc>
          <w:tcPr>
            <w:tcW w:w="1250" w:type="dxa"/>
            <w:shd w:val="clear" w:color="auto" w:fill="auto"/>
            <w:vAlign w:val="center"/>
          </w:tcPr>
          <w:p w14:paraId="0C6D802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958,5</w:t>
            </w:r>
          </w:p>
        </w:tc>
        <w:tc>
          <w:tcPr>
            <w:tcW w:w="1392" w:type="dxa"/>
            <w:shd w:val="clear" w:color="auto" w:fill="auto"/>
            <w:vAlign w:val="center"/>
          </w:tcPr>
          <w:p w14:paraId="5FD9EF05"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1810,0</w:t>
            </w:r>
          </w:p>
        </w:tc>
        <w:tc>
          <w:tcPr>
            <w:tcW w:w="1159" w:type="dxa"/>
            <w:shd w:val="clear" w:color="auto" w:fill="auto"/>
            <w:vAlign w:val="center"/>
          </w:tcPr>
          <w:p w14:paraId="46B37C04"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1996,2</w:t>
            </w:r>
          </w:p>
        </w:tc>
        <w:tc>
          <w:tcPr>
            <w:tcW w:w="1019" w:type="dxa"/>
            <w:shd w:val="clear" w:color="auto" w:fill="auto"/>
            <w:vAlign w:val="center"/>
          </w:tcPr>
          <w:p w14:paraId="6EA98030"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3,9</w:t>
            </w:r>
          </w:p>
        </w:tc>
        <w:tc>
          <w:tcPr>
            <w:tcW w:w="992" w:type="dxa"/>
            <w:shd w:val="clear" w:color="auto" w:fill="auto"/>
            <w:vAlign w:val="center"/>
          </w:tcPr>
          <w:p w14:paraId="77A7B05D"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2,7</w:t>
            </w:r>
          </w:p>
        </w:tc>
        <w:tc>
          <w:tcPr>
            <w:tcW w:w="1161" w:type="dxa"/>
            <w:shd w:val="clear" w:color="auto" w:fill="auto"/>
            <w:vAlign w:val="center"/>
          </w:tcPr>
          <w:p w14:paraId="7725D49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8344,6</w:t>
            </w:r>
          </w:p>
        </w:tc>
        <w:tc>
          <w:tcPr>
            <w:tcW w:w="1134" w:type="dxa"/>
            <w:shd w:val="clear" w:color="auto" w:fill="auto"/>
            <w:vAlign w:val="center"/>
          </w:tcPr>
          <w:p w14:paraId="0159D252"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6992,4</w:t>
            </w:r>
          </w:p>
        </w:tc>
        <w:tc>
          <w:tcPr>
            <w:tcW w:w="1328" w:type="dxa"/>
            <w:shd w:val="clear" w:color="auto" w:fill="auto"/>
            <w:vAlign w:val="center"/>
          </w:tcPr>
          <w:p w14:paraId="6DE63415"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937,0</w:t>
            </w:r>
          </w:p>
        </w:tc>
        <w:tc>
          <w:tcPr>
            <w:tcW w:w="1418" w:type="dxa"/>
            <w:shd w:val="clear" w:color="auto" w:fill="auto"/>
            <w:vAlign w:val="center"/>
          </w:tcPr>
          <w:p w14:paraId="3368EE7C"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907,0</w:t>
            </w:r>
          </w:p>
        </w:tc>
        <w:tc>
          <w:tcPr>
            <w:tcW w:w="1364" w:type="dxa"/>
            <w:shd w:val="clear" w:color="auto" w:fill="auto"/>
            <w:vAlign w:val="center"/>
          </w:tcPr>
          <w:p w14:paraId="5B91DCCB"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1088,0</w:t>
            </w:r>
          </w:p>
        </w:tc>
      </w:tr>
      <w:tr w:rsidR="002B61BC" w:rsidRPr="009B235E" w14:paraId="6418497A" w14:textId="77777777" w:rsidTr="002B61BC">
        <w:tc>
          <w:tcPr>
            <w:tcW w:w="2552" w:type="dxa"/>
            <w:vAlign w:val="bottom"/>
          </w:tcPr>
          <w:p w14:paraId="20052DEA"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Челябинская область</w:t>
            </w:r>
          </w:p>
        </w:tc>
        <w:tc>
          <w:tcPr>
            <w:tcW w:w="1134" w:type="dxa"/>
            <w:shd w:val="clear" w:color="auto" w:fill="auto"/>
            <w:vAlign w:val="center"/>
          </w:tcPr>
          <w:p w14:paraId="01BF3624"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68,7</w:t>
            </w:r>
          </w:p>
        </w:tc>
        <w:tc>
          <w:tcPr>
            <w:tcW w:w="1250" w:type="dxa"/>
            <w:shd w:val="clear" w:color="auto" w:fill="auto"/>
            <w:vAlign w:val="center"/>
          </w:tcPr>
          <w:p w14:paraId="1F8CA52C"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1724,3</w:t>
            </w:r>
          </w:p>
        </w:tc>
        <w:tc>
          <w:tcPr>
            <w:tcW w:w="1392" w:type="dxa"/>
            <w:shd w:val="clear" w:color="auto" w:fill="auto"/>
            <w:vAlign w:val="center"/>
          </w:tcPr>
          <w:p w14:paraId="71A95543"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2774,7</w:t>
            </w:r>
          </w:p>
        </w:tc>
        <w:tc>
          <w:tcPr>
            <w:tcW w:w="1159" w:type="dxa"/>
            <w:shd w:val="clear" w:color="auto" w:fill="auto"/>
            <w:vAlign w:val="center"/>
          </w:tcPr>
          <w:p w14:paraId="0838D8BD"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130,4</w:t>
            </w:r>
          </w:p>
        </w:tc>
        <w:tc>
          <w:tcPr>
            <w:tcW w:w="1019" w:type="dxa"/>
            <w:shd w:val="clear" w:color="auto" w:fill="auto"/>
            <w:vAlign w:val="center"/>
          </w:tcPr>
          <w:p w14:paraId="07DF85A2"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0,0</w:t>
            </w:r>
          </w:p>
        </w:tc>
        <w:tc>
          <w:tcPr>
            <w:tcW w:w="992" w:type="dxa"/>
            <w:shd w:val="clear" w:color="auto" w:fill="auto"/>
            <w:vAlign w:val="center"/>
          </w:tcPr>
          <w:p w14:paraId="25164975"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161" w:type="dxa"/>
            <w:shd w:val="clear" w:color="auto" w:fill="auto"/>
            <w:vAlign w:val="center"/>
          </w:tcPr>
          <w:p w14:paraId="630CCA6B"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3838,0</w:t>
            </w:r>
          </w:p>
        </w:tc>
        <w:tc>
          <w:tcPr>
            <w:tcW w:w="1134" w:type="dxa"/>
            <w:shd w:val="clear" w:color="auto" w:fill="auto"/>
            <w:vAlign w:val="center"/>
          </w:tcPr>
          <w:p w14:paraId="7CBE5E8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3114,2</w:t>
            </w:r>
          </w:p>
        </w:tc>
        <w:tc>
          <w:tcPr>
            <w:tcW w:w="1328" w:type="dxa"/>
            <w:shd w:val="clear" w:color="auto" w:fill="auto"/>
            <w:vAlign w:val="center"/>
          </w:tcPr>
          <w:p w14:paraId="2E3E7F2C"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429,4</w:t>
            </w:r>
          </w:p>
        </w:tc>
        <w:tc>
          <w:tcPr>
            <w:tcW w:w="1418" w:type="dxa"/>
            <w:shd w:val="clear" w:color="auto" w:fill="auto"/>
            <w:vAlign w:val="center"/>
          </w:tcPr>
          <w:p w14:paraId="2EA19221"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445,5</w:t>
            </w:r>
          </w:p>
        </w:tc>
        <w:tc>
          <w:tcPr>
            <w:tcW w:w="1364" w:type="dxa"/>
            <w:shd w:val="clear" w:color="auto" w:fill="auto"/>
            <w:vAlign w:val="center"/>
          </w:tcPr>
          <w:p w14:paraId="076FB8FC"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584,4</w:t>
            </w:r>
          </w:p>
        </w:tc>
      </w:tr>
      <w:tr w:rsidR="002B61BC" w:rsidRPr="009B235E" w14:paraId="2A272BC2" w14:textId="77777777" w:rsidTr="002B61BC">
        <w:tc>
          <w:tcPr>
            <w:tcW w:w="2552" w:type="dxa"/>
            <w:vAlign w:val="bottom"/>
          </w:tcPr>
          <w:p w14:paraId="12C7B46D" w14:textId="77777777" w:rsidR="002B61BC" w:rsidRPr="009B235E" w:rsidRDefault="002B61BC" w:rsidP="002B61BC">
            <w:pPr>
              <w:spacing w:after="0" w:line="240" w:lineRule="auto"/>
              <w:rPr>
                <w:rFonts w:ascii="Times New Roman" w:eastAsia="Times New Roman" w:hAnsi="Times New Roman" w:cs="Times New Roman"/>
                <w:b/>
                <w:bCs/>
                <w:sz w:val="24"/>
                <w:szCs w:val="24"/>
                <w:lang w:eastAsia="ru-RU"/>
              </w:rPr>
            </w:pPr>
            <w:r w:rsidRPr="009B235E">
              <w:rPr>
                <w:rFonts w:ascii="Times New Roman" w:eastAsia="Times New Roman" w:hAnsi="Times New Roman" w:cs="Times New Roman"/>
                <w:b/>
                <w:bCs/>
                <w:sz w:val="24"/>
                <w:szCs w:val="24"/>
                <w:lang w:eastAsia="ru-RU"/>
              </w:rPr>
              <w:t xml:space="preserve">Сибирский </w:t>
            </w:r>
            <w:r w:rsidRPr="009B235E">
              <w:rPr>
                <w:rFonts w:ascii="Times New Roman" w:eastAsia="Times New Roman" w:hAnsi="Times New Roman" w:cs="Times New Roman"/>
                <w:b/>
                <w:bCs/>
                <w:sz w:val="24"/>
                <w:szCs w:val="24"/>
                <w:lang w:eastAsia="ru-RU"/>
              </w:rPr>
              <w:br/>
              <w:t>федеральный округ</w:t>
            </w:r>
          </w:p>
        </w:tc>
        <w:tc>
          <w:tcPr>
            <w:tcW w:w="1134" w:type="dxa"/>
            <w:shd w:val="clear" w:color="auto" w:fill="auto"/>
            <w:vAlign w:val="center"/>
          </w:tcPr>
          <w:p w14:paraId="12616AAE"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656,8</w:t>
            </w:r>
          </w:p>
        </w:tc>
        <w:tc>
          <w:tcPr>
            <w:tcW w:w="1250" w:type="dxa"/>
            <w:shd w:val="clear" w:color="auto" w:fill="auto"/>
            <w:vAlign w:val="center"/>
          </w:tcPr>
          <w:p w14:paraId="3E4647B7"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6934,4</w:t>
            </w:r>
          </w:p>
        </w:tc>
        <w:tc>
          <w:tcPr>
            <w:tcW w:w="1392" w:type="dxa"/>
            <w:shd w:val="clear" w:color="auto" w:fill="auto"/>
            <w:vAlign w:val="center"/>
          </w:tcPr>
          <w:p w14:paraId="2939FB4B"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17174,2</w:t>
            </w:r>
          </w:p>
        </w:tc>
        <w:tc>
          <w:tcPr>
            <w:tcW w:w="1159" w:type="dxa"/>
            <w:shd w:val="clear" w:color="auto" w:fill="auto"/>
            <w:vAlign w:val="center"/>
          </w:tcPr>
          <w:p w14:paraId="306A2E7C"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3889,5</w:t>
            </w:r>
          </w:p>
        </w:tc>
        <w:tc>
          <w:tcPr>
            <w:tcW w:w="1019" w:type="dxa"/>
            <w:shd w:val="clear" w:color="auto" w:fill="auto"/>
            <w:vAlign w:val="center"/>
          </w:tcPr>
          <w:p w14:paraId="74861466"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80,2</w:t>
            </w:r>
          </w:p>
        </w:tc>
        <w:tc>
          <w:tcPr>
            <w:tcW w:w="992" w:type="dxa"/>
            <w:shd w:val="clear" w:color="auto" w:fill="auto"/>
            <w:vAlign w:val="center"/>
          </w:tcPr>
          <w:p w14:paraId="56C98696"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677,7</w:t>
            </w:r>
          </w:p>
        </w:tc>
        <w:tc>
          <w:tcPr>
            <w:tcW w:w="1161" w:type="dxa"/>
            <w:shd w:val="clear" w:color="auto" w:fill="auto"/>
            <w:vAlign w:val="center"/>
          </w:tcPr>
          <w:p w14:paraId="0C3D1A50"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22598,8</w:t>
            </w:r>
          </w:p>
        </w:tc>
        <w:tc>
          <w:tcPr>
            <w:tcW w:w="1134" w:type="dxa"/>
            <w:shd w:val="clear" w:color="auto" w:fill="auto"/>
            <w:vAlign w:val="center"/>
          </w:tcPr>
          <w:p w14:paraId="1F271F2B"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14280,6</w:t>
            </w:r>
          </w:p>
        </w:tc>
        <w:tc>
          <w:tcPr>
            <w:tcW w:w="1328" w:type="dxa"/>
            <w:shd w:val="clear" w:color="auto" w:fill="auto"/>
            <w:vAlign w:val="center"/>
          </w:tcPr>
          <w:p w14:paraId="3AE37FA0"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2021,3</w:t>
            </w:r>
          </w:p>
        </w:tc>
        <w:tc>
          <w:tcPr>
            <w:tcW w:w="1418" w:type="dxa"/>
            <w:shd w:val="clear" w:color="auto" w:fill="auto"/>
            <w:vAlign w:val="center"/>
          </w:tcPr>
          <w:p w14:paraId="44A3F025"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3469,9</w:t>
            </w:r>
          </w:p>
        </w:tc>
        <w:tc>
          <w:tcPr>
            <w:tcW w:w="1364" w:type="dxa"/>
            <w:shd w:val="clear" w:color="auto" w:fill="auto"/>
            <w:vAlign w:val="center"/>
          </w:tcPr>
          <w:p w14:paraId="60409F2B"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1030,7</w:t>
            </w:r>
          </w:p>
        </w:tc>
      </w:tr>
      <w:tr w:rsidR="002B61BC" w:rsidRPr="009B235E" w14:paraId="58AD1B31" w14:textId="77777777" w:rsidTr="002B61BC">
        <w:tc>
          <w:tcPr>
            <w:tcW w:w="2552" w:type="dxa"/>
            <w:vAlign w:val="bottom"/>
          </w:tcPr>
          <w:p w14:paraId="3BC683F9"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Алтай</w:t>
            </w:r>
          </w:p>
        </w:tc>
        <w:tc>
          <w:tcPr>
            <w:tcW w:w="1134" w:type="dxa"/>
            <w:shd w:val="clear" w:color="auto" w:fill="auto"/>
            <w:vAlign w:val="center"/>
          </w:tcPr>
          <w:p w14:paraId="49C1C0C5"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5,8</w:t>
            </w:r>
          </w:p>
        </w:tc>
        <w:tc>
          <w:tcPr>
            <w:tcW w:w="1250" w:type="dxa"/>
            <w:shd w:val="clear" w:color="auto" w:fill="auto"/>
            <w:vAlign w:val="center"/>
          </w:tcPr>
          <w:p w14:paraId="290D3330"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114,3</w:t>
            </w:r>
          </w:p>
        </w:tc>
        <w:tc>
          <w:tcPr>
            <w:tcW w:w="1392" w:type="dxa"/>
            <w:shd w:val="clear" w:color="auto" w:fill="auto"/>
            <w:vAlign w:val="center"/>
          </w:tcPr>
          <w:p w14:paraId="7A71884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287,5</w:t>
            </w:r>
          </w:p>
        </w:tc>
        <w:tc>
          <w:tcPr>
            <w:tcW w:w="1159" w:type="dxa"/>
            <w:shd w:val="clear" w:color="auto" w:fill="auto"/>
            <w:vAlign w:val="center"/>
          </w:tcPr>
          <w:p w14:paraId="708730AA"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57,0</w:t>
            </w:r>
          </w:p>
        </w:tc>
        <w:tc>
          <w:tcPr>
            <w:tcW w:w="1019" w:type="dxa"/>
            <w:shd w:val="clear" w:color="auto" w:fill="auto"/>
            <w:vAlign w:val="center"/>
          </w:tcPr>
          <w:p w14:paraId="0D62CE3D"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992" w:type="dxa"/>
            <w:shd w:val="clear" w:color="auto" w:fill="auto"/>
            <w:vAlign w:val="center"/>
          </w:tcPr>
          <w:p w14:paraId="228EC3F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5,4</w:t>
            </w:r>
          </w:p>
        </w:tc>
        <w:tc>
          <w:tcPr>
            <w:tcW w:w="1161" w:type="dxa"/>
            <w:shd w:val="clear" w:color="auto" w:fill="auto"/>
            <w:vAlign w:val="center"/>
          </w:tcPr>
          <w:p w14:paraId="5A00B159"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222,2</w:t>
            </w:r>
          </w:p>
        </w:tc>
        <w:tc>
          <w:tcPr>
            <w:tcW w:w="1134" w:type="dxa"/>
            <w:shd w:val="clear" w:color="auto" w:fill="auto"/>
            <w:vAlign w:val="center"/>
          </w:tcPr>
          <w:p w14:paraId="67A07C45"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92,8</w:t>
            </w:r>
          </w:p>
        </w:tc>
        <w:tc>
          <w:tcPr>
            <w:tcW w:w="1328" w:type="dxa"/>
            <w:shd w:val="clear" w:color="auto" w:fill="auto"/>
            <w:vAlign w:val="center"/>
          </w:tcPr>
          <w:p w14:paraId="12CC543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11,0</w:t>
            </w:r>
          </w:p>
        </w:tc>
        <w:tc>
          <w:tcPr>
            <w:tcW w:w="1418" w:type="dxa"/>
            <w:shd w:val="clear" w:color="auto" w:fill="auto"/>
            <w:vAlign w:val="center"/>
          </w:tcPr>
          <w:p w14:paraId="43C759BC"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1,9</w:t>
            </w:r>
          </w:p>
        </w:tc>
        <w:tc>
          <w:tcPr>
            <w:tcW w:w="1364" w:type="dxa"/>
            <w:shd w:val="clear" w:color="auto" w:fill="auto"/>
            <w:vAlign w:val="center"/>
          </w:tcPr>
          <w:p w14:paraId="51CA4B0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42,8</w:t>
            </w:r>
          </w:p>
        </w:tc>
      </w:tr>
      <w:tr w:rsidR="002B61BC" w:rsidRPr="009B235E" w14:paraId="7535078D" w14:textId="77777777" w:rsidTr="002B61BC">
        <w:tc>
          <w:tcPr>
            <w:tcW w:w="2552" w:type="dxa"/>
            <w:vAlign w:val="bottom"/>
          </w:tcPr>
          <w:p w14:paraId="03F903DE"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Тыва</w:t>
            </w:r>
          </w:p>
        </w:tc>
        <w:tc>
          <w:tcPr>
            <w:tcW w:w="1134" w:type="dxa"/>
            <w:shd w:val="clear" w:color="auto" w:fill="auto"/>
            <w:vAlign w:val="center"/>
          </w:tcPr>
          <w:p w14:paraId="0315FFB1"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197,9</w:t>
            </w:r>
          </w:p>
        </w:tc>
        <w:tc>
          <w:tcPr>
            <w:tcW w:w="1250" w:type="dxa"/>
            <w:shd w:val="clear" w:color="auto" w:fill="auto"/>
            <w:vAlign w:val="center"/>
          </w:tcPr>
          <w:p w14:paraId="7DFEEAE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392" w:type="dxa"/>
            <w:shd w:val="clear" w:color="auto" w:fill="auto"/>
            <w:vAlign w:val="center"/>
          </w:tcPr>
          <w:p w14:paraId="3787D78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390,1</w:t>
            </w:r>
          </w:p>
        </w:tc>
        <w:tc>
          <w:tcPr>
            <w:tcW w:w="1159" w:type="dxa"/>
            <w:shd w:val="clear" w:color="auto" w:fill="auto"/>
            <w:vAlign w:val="center"/>
          </w:tcPr>
          <w:p w14:paraId="71641475"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110,0</w:t>
            </w:r>
          </w:p>
        </w:tc>
        <w:tc>
          <w:tcPr>
            <w:tcW w:w="1019" w:type="dxa"/>
            <w:shd w:val="clear" w:color="auto" w:fill="auto"/>
            <w:vAlign w:val="center"/>
          </w:tcPr>
          <w:p w14:paraId="2771B21C"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13,4</w:t>
            </w:r>
          </w:p>
        </w:tc>
        <w:tc>
          <w:tcPr>
            <w:tcW w:w="992" w:type="dxa"/>
            <w:shd w:val="clear" w:color="auto" w:fill="auto"/>
            <w:vAlign w:val="center"/>
          </w:tcPr>
          <w:p w14:paraId="4FCA9B5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1,1</w:t>
            </w:r>
          </w:p>
        </w:tc>
        <w:tc>
          <w:tcPr>
            <w:tcW w:w="1161" w:type="dxa"/>
            <w:shd w:val="clear" w:color="auto" w:fill="auto"/>
            <w:vAlign w:val="center"/>
          </w:tcPr>
          <w:p w14:paraId="2AB610C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330,7</w:t>
            </w:r>
          </w:p>
        </w:tc>
        <w:tc>
          <w:tcPr>
            <w:tcW w:w="1134" w:type="dxa"/>
            <w:shd w:val="clear" w:color="auto" w:fill="auto"/>
            <w:vAlign w:val="center"/>
          </w:tcPr>
          <w:p w14:paraId="25AF6B2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193,6</w:t>
            </w:r>
          </w:p>
        </w:tc>
        <w:tc>
          <w:tcPr>
            <w:tcW w:w="1328" w:type="dxa"/>
            <w:shd w:val="clear" w:color="auto" w:fill="auto"/>
            <w:vAlign w:val="center"/>
          </w:tcPr>
          <w:p w14:paraId="55AE9979"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10,2</w:t>
            </w:r>
          </w:p>
        </w:tc>
        <w:tc>
          <w:tcPr>
            <w:tcW w:w="1418" w:type="dxa"/>
            <w:shd w:val="clear" w:color="auto" w:fill="auto"/>
            <w:vAlign w:val="center"/>
          </w:tcPr>
          <w:p w14:paraId="26429CC9"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6,7</w:t>
            </w:r>
          </w:p>
        </w:tc>
        <w:tc>
          <w:tcPr>
            <w:tcW w:w="1364" w:type="dxa"/>
            <w:shd w:val="clear" w:color="auto" w:fill="auto"/>
            <w:vAlign w:val="center"/>
          </w:tcPr>
          <w:p w14:paraId="64859F1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119,9</w:t>
            </w:r>
          </w:p>
        </w:tc>
      </w:tr>
      <w:tr w:rsidR="002B61BC" w:rsidRPr="009B235E" w14:paraId="4F437672" w14:textId="77777777" w:rsidTr="002B61BC">
        <w:tc>
          <w:tcPr>
            <w:tcW w:w="2552" w:type="dxa"/>
            <w:vAlign w:val="bottom"/>
          </w:tcPr>
          <w:p w14:paraId="0E6F9008"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Хакасия</w:t>
            </w:r>
          </w:p>
        </w:tc>
        <w:tc>
          <w:tcPr>
            <w:tcW w:w="1134" w:type="dxa"/>
            <w:shd w:val="clear" w:color="auto" w:fill="auto"/>
            <w:vAlign w:val="center"/>
          </w:tcPr>
          <w:p w14:paraId="68F5344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250" w:type="dxa"/>
            <w:shd w:val="clear" w:color="auto" w:fill="auto"/>
            <w:vAlign w:val="center"/>
          </w:tcPr>
          <w:p w14:paraId="21E3A2E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169,2</w:t>
            </w:r>
          </w:p>
        </w:tc>
        <w:tc>
          <w:tcPr>
            <w:tcW w:w="1392" w:type="dxa"/>
            <w:shd w:val="clear" w:color="auto" w:fill="auto"/>
            <w:vAlign w:val="center"/>
          </w:tcPr>
          <w:p w14:paraId="34ED04E2"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519,0</w:t>
            </w:r>
          </w:p>
        </w:tc>
        <w:tc>
          <w:tcPr>
            <w:tcW w:w="1159" w:type="dxa"/>
            <w:shd w:val="clear" w:color="auto" w:fill="auto"/>
            <w:vAlign w:val="center"/>
          </w:tcPr>
          <w:p w14:paraId="03E115D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76,4</w:t>
            </w:r>
          </w:p>
        </w:tc>
        <w:tc>
          <w:tcPr>
            <w:tcW w:w="1019" w:type="dxa"/>
            <w:shd w:val="clear" w:color="auto" w:fill="auto"/>
            <w:vAlign w:val="center"/>
          </w:tcPr>
          <w:p w14:paraId="6D0F945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0,4</w:t>
            </w:r>
          </w:p>
        </w:tc>
        <w:tc>
          <w:tcPr>
            <w:tcW w:w="992" w:type="dxa"/>
            <w:shd w:val="clear" w:color="auto" w:fill="auto"/>
            <w:vAlign w:val="center"/>
          </w:tcPr>
          <w:p w14:paraId="09BBF45B"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0,1</w:t>
            </w:r>
          </w:p>
        </w:tc>
        <w:tc>
          <w:tcPr>
            <w:tcW w:w="1161" w:type="dxa"/>
            <w:shd w:val="clear" w:color="auto" w:fill="auto"/>
            <w:vAlign w:val="center"/>
          </w:tcPr>
          <w:p w14:paraId="0A99F3A5"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529,0</w:t>
            </w:r>
          </w:p>
        </w:tc>
        <w:tc>
          <w:tcPr>
            <w:tcW w:w="1134" w:type="dxa"/>
            <w:shd w:val="clear" w:color="auto" w:fill="auto"/>
            <w:vAlign w:val="center"/>
          </w:tcPr>
          <w:p w14:paraId="4F24B75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244,3</w:t>
            </w:r>
          </w:p>
        </w:tc>
        <w:tc>
          <w:tcPr>
            <w:tcW w:w="1328" w:type="dxa"/>
            <w:shd w:val="clear" w:color="auto" w:fill="auto"/>
            <w:vAlign w:val="center"/>
          </w:tcPr>
          <w:p w14:paraId="4E9A5980"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40,4</w:t>
            </w:r>
          </w:p>
        </w:tc>
        <w:tc>
          <w:tcPr>
            <w:tcW w:w="1418" w:type="dxa"/>
            <w:shd w:val="clear" w:color="auto" w:fill="auto"/>
            <w:vAlign w:val="center"/>
          </w:tcPr>
          <w:p w14:paraId="126855A0"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63,8</w:t>
            </w:r>
          </w:p>
        </w:tc>
        <w:tc>
          <w:tcPr>
            <w:tcW w:w="1364" w:type="dxa"/>
            <w:shd w:val="clear" w:color="auto" w:fill="auto"/>
            <w:vAlign w:val="center"/>
          </w:tcPr>
          <w:p w14:paraId="47A99199"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40,6</w:t>
            </w:r>
          </w:p>
        </w:tc>
      </w:tr>
      <w:tr w:rsidR="002B61BC" w:rsidRPr="009B235E" w14:paraId="4DF80613" w14:textId="77777777" w:rsidTr="002B61BC">
        <w:tc>
          <w:tcPr>
            <w:tcW w:w="2552" w:type="dxa"/>
            <w:vAlign w:val="bottom"/>
          </w:tcPr>
          <w:p w14:paraId="6A23C16A"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Алтайский край</w:t>
            </w:r>
          </w:p>
        </w:tc>
        <w:tc>
          <w:tcPr>
            <w:tcW w:w="1134" w:type="dxa"/>
            <w:shd w:val="clear" w:color="auto" w:fill="auto"/>
            <w:vAlign w:val="center"/>
          </w:tcPr>
          <w:p w14:paraId="78BFDCB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250" w:type="dxa"/>
            <w:shd w:val="clear" w:color="auto" w:fill="auto"/>
            <w:vAlign w:val="center"/>
          </w:tcPr>
          <w:p w14:paraId="7383572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1628,9</w:t>
            </w:r>
          </w:p>
        </w:tc>
        <w:tc>
          <w:tcPr>
            <w:tcW w:w="1392" w:type="dxa"/>
            <w:shd w:val="clear" w:color="auto" w:fill="auto"/>
            <w:vAlign w:val="center"/>
          </w:tcPr>
          <w:p w14:paraId="10B485E9"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951,2</w:t>
            </w:r>
          </w:p>
        </w:tc>
        <w:tc>
          <w:tcPr>
            <w:tcW w:w="1159" w:type="dxa"/>
            <w:shd w:val="clear" w:color="auto" w:fill="auto"/>
            <w:vAlign w:val="center"/>
          </w:tcPr>
          <w:p w14:paraId="7881FB6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108,4</w:t>
            </w:r>
          </w:p>
        </w:tc>
        <w:tc>
          <w:tcPr>
            <w:tcW w:w="1019" w:type="dxa"/>
            <w:shd w:val="clear" w:color="auto" w:fill="auto"/>
            <w:vAlign w:val="center"/>
          </w:tcPr>
          <w:p w14:paraId="2D96B4BA"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992" w:type="dxa"/>
            <w:shd w:val="clear" w:color="auto" w:fill="auto"/>
            <w:vAlign w:val="center"/>
          </w:tcPr>
          <w:p w14:paraId="09A00570"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159,5</w:t>
            </w:r>
          </w:p>
        </w:tc>
        <w:tc>
          <w:tcPr>
            <w:tcW w:w="1161" w:type="dxa"/>
            <w:shd w:val="clear" w:color="auto" w:fill="auto"/>
            <w:vAlign w:val="center"/>
          </w:tcPr>
          <w:p w14:paraId="5AFD4033"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316,9</w:t>
            </w:r>
          </w:p>
        </w:tc>
        <w:tc>
          <w:tcPr>
            <w:tcW w:w="1134" w:type="dxa"/>
            <w:shd w:val="clear" w:color="auto" w:fill="auto"/>
            <w:vAlign w:val="center"/>
          </w:tcPr>
          <w:p w14:paraId="4094CC4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245,5</w:t>
            </w:r>
          </w:p>
        </w:tc>
        <w:tc>
          <w:tcPr>
            <w:tcW w:w="1328" w:type="dxa"/>
            <w:shd w:val="clear" w:color="auto" w:fill="auto"/>
            <w:vAlign w:val="center"/>
          </w:tcPr>
          <w:p w14:paraId="276E95C4"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117,4</w:t>
            </w:r>
          </w:p>
        </w:tc>
        <w:tc>
          <w:tcPr>
            <w:tcW w:w="1418" w:type="dxa"/>
            <w:shd w:val="clear" w:color="auto" w:fill="auto"/>
            <w:vAlign w:val="center"/>
          </w:tcPr>
          <w:p w14:paraId="58745A5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20,7</w:t>
            </w:r>
          </w:p>
        </w:tc>
        <w:tc>
          <w:tcPr>
            <w:tcW w:w="1364" w:type="dxa"/>
            <w:shd w:val="clear" w:color="auto" w:fill="auto"/>
            <w:vAlign w:val="center"/>
          </w:tcPr>
          <w:p w14:paraId="02BAA92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169,7</w:t>
            </w:r>
          </w:p>
        </w:tc>
      </w:tr>
      <w:tr w:rsidR="002B61BC" w:rsidRPr="009B235E" w14:paraId="5222C8E8" w14:textId="77777777" w:rsidTr="002B61BC">
        <w:tc>
          <w:tcPr>
            <w:tcW w:w="2552" w:type="dxa"/>
            <w:vAlign w:val="bottom"/>
          </w:tcPr>
          <w:p w14:paraId="3F0DD6A1"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Красноярский край</w:t>
            </w:r>
          </w:p>
        </w:tc>
        <w:tc>
          <w:tcPr>
            <w:tcW w:w="1134" w:type="dxa"/>
            <w:shd w:val="clear" w:color="auto" w:fill="auto"/>
            <w:vAlign w:val="center"/>
          </w:tcPr>
          <w:p w14:paraId="10EFB329"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81,6</w:t>
            </w:r>
          </w:p>
        </w:tc>
        <w:tc>
          <w:tcPr>
            <w:tcW w:w="1250" w:type="dxa"/>
            <w:shd w:val="clear" w:color="auto" w:fill="auto"/>
            <w:vAlign w:val="center"/>
          </w:tcPr>
          <w:p w14:paraId="56B8E91C"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556,5</w:t>
            </w:r>
          </w:p>
        </w:tc>
        <w:tc>
          <w:tcPr>
            <w:tcW w:w="1392" w:type="dxa"/>
            <w:shd w:val="clear" w:color="auto" w:fill="auto"/>
            <w:vAlign w:val="center"/>
          </w:tcPr>
          <w:p w14:paraId="0ED3C060"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4378,3</w:t>
            </w:r>
          </w:p>
        </w:tc>
        <w:tc>
          <w:tcPr>
            <w:tcW w:w="1159" w:type="dxa"/>
            <w:shd w:val="clear" w:color="auto" w:fill="auto"/>
            <w:vAlign w:val="center"/>
          </w:tcPr>
          <w:p w14:paraId="6C87D73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914,1</w:t>
            </w:r>
          </w:p>
        </w:tc>
        <w:tc>
          <w:tcPr>
            <w:tcW w:w="1019" w:type="dxa"/>
            <w:shd w:val="clear" w:color="auto" w:fill="auto"/>
            <w:vAlign w:val="center"/>
          </w:tcPr>
          <w:p w14:paraId="32598AD1"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7,8</w:t>
            </w:r>
          </w:p>
        </w:tc>
        <w:tc>
          <w:tcPr>
            <w:tcW w:w="992" w:type="dxa"/>
            <w:shd w:val="clear" w:color="auto" w:fill="auto"/>
            <w:vAlign w:val="center"/>
          </w:tcPr>
          <w:p w14:paraId="302F4261"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265,5</w:t>
            </w:r>
          </w:p>
        </w:tc>
        <w:tc>
          <w:tcPr>
            <w:tcW w:w="1161" w:type="dxa"/>
            <w:shd w:val="clear" w:color="auto" w:fill="auto"/>
            <w:vAlign w:val="center"/>
          </w:tcPr>
          <w:p w14:paraId="20123D89"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5884,8</w:t>
            </w:r>
          </w:p>
        </w:tc>
        <w:tc>
          <w:tcPr>
            <w:tcW w:w="1134" w:type="dxa"/>
            <w:shd w:val="clear" w:color="auto" w:fill="auto"/>
            <w:vAlign w:val="center"/>
          </w:tcPr>
          <w:p w14:paraId="76CF7061"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4808,3</w:t>
            </w:r>
          </w:p>
        </w:tc>
        <w:tc>
          <w:tcPr>
            <w:tcW w:w="1328" w:type="dxa"/>
            <w:shd w:val="clear" w:color="auto" w:fill="auto"/>
            <w:vAlign w:val="center"/>
          </w:tcPr>
          <w:p w14:paraId="0F17419C"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477,7</w:t>
            </w:r>
          </w:p>
        </w:tc>
        <w:tc>
          <w:tcPr>
            <w:tcW w:w="1418" w:type="dxa"/>
            <w:shd w:val="clear" w:color="auto" w:fill="auto"/>
            <w:vAlign w:val="center"/>
          </w:tcPr>
          <w:p w14:paraId="0A3CC7A1"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367,8</w:t>
            </w:r>
          </w:p>
        </w:tc>
        <w:tc>
          <w:tcPr>
            <w:tcW w:w="1364" w:type="dxa"/>
            <w:shd w:val="clear" w:color="auto" w:fill="auto"/>
            <w:vAlign w:val="center"/>
          </w:tcPr>
          <w:p w14:paraId="58C329AD"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118,0</w:t>
            </w:r>
          </w:p>
        </w:tc>
      </w:tr>
      <w:tr w:rsidR="002B61BC" w:rsidRPr="009B235E" w14:paraId="6A111275" w14:textId="77777777" w:rsidTr="002B61BC">
        <w:tc>
          <w:tcPr>
            <w:tcW w:w="2552" w:type="dxa"/>
            <w:vAlign w:val="bottom"/>
          </w:tcPr>
          <w:p w14:paraId="1B825E2D"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Иркутская область</w:t>
            </w:r>
          </w:p>
        </w:tc>
        <w:tc>
          <w:tcPr>
            <w:tcW w:w="1134" w:type="dxa"/>
            <w:shd w:val="clear" w:color="auto" w:fill="auto"/>
            <w:vAlign w:val="center"/>
          </w:tcPr>
          <w:p w14:paraId="73639B6B"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28,6</w:t>
            </w:r>
          </w:p>
        </w:tc>
        <w:tc>
          <w:tcPr>
            <w:tcW w:w="1250" w:type="dxa"/>
            <w:shd w:val="clear" w:color="auto" w:fill="auto"/>
            <w:vAlign w:val="center"/>
          </w:tcPr>
          <w:p w14:paraId="4F4E451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2731,5</w:t>
            </w:r>
          </w:p>
        </w:tc>
        <w:tc>
          <w:tcPr>
            <w:tcW w:w="1392" w:type="dxa"/>
            <w:shd w:val="clear" w:color="auto" w:fill="auto"/>
            <w:vAlign w:val="center"/>
          </w:tcPr>
          <w:p w14:paraId="08BE6372"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3073,8</w:t>
            </w:r>
          </w:p>
        </w:tc>
        <w:tc>
          <w:tcPr>
            <w:tcW w:w="1159" w:type="dxa"/>
            <w:shd w:val="clear" w:color="auto" w:fill="auto"/>
            <w:vAlign w:val="center"/>
          </w:tcPr>
          <w:p w14:paraId="0AF9D433"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8,0</w:t>
            </w:r>
          </w:p>
        </w:tc>
        <w:tc>
          <w:tcPr>
            <w:tcW w:w="1019" w:type="dxa"/>
            <w:shd w:val="clear" w:color="auto" w:fill="auto"/>
            <w:vAlign w:val="center"/>
          </w:tcPr>
          <w:p w14:paraId="2D4E5C74"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992" w:type="dxa"/>
            <w:shd w:val="clear" w:color="auto" w:fill="auto"/>
            <w:vAlign w:val="center"/>
          </w:tcPr>
          <w:p w14:paraId="323DA343"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161" w:type="dxa"/>
            <w:shd w:val="clear" w:color="auto" w:fill="auto"/>
            <w:vAlign w:val="center"/>
          </w:tcPr>
          <w:p w14:paraId="01AD0202"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2596,5</w:t>
            </w:r>
          </w:p>
        </w:tc>
        <w:tc>
          <w:tcPr>
            <w:tcW w:w="1134" w:type="dxa"/>
            <w:shd w:val="clear" w:color="auto" w:fill="auto"/>
            <w:vAlign w:val="center"/>
          </w:tcPr>
          <w:p w14:paraId="6532B0D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2110,6</w:t>
            </w:r>
          </w:p>
        </w:tc>
        <w:tc>
          <w:tcPr>
            <w:tcW w:w="1328" w:type="dxa"/>
            <w:shd w:val="clear" w:color="auto" w:fill="auto"/>
            <w:vAlign w:val="center"/>
          </w:tcPr>
          <w:p w14:paraId="64B6DEBB"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353,4</w:t>
            </w:r>
          </w:p>
        </w:tc>
        <w:tc>
          <w:tcPr>
            <w:tcW w:w="1418" w:type="dxa"/>
            <w:shd w:val="clear" w:color="auto" w:fill="auto"/>
            <w:vAlign w:val="center"/>
          </w:tcPr>
          <w:p w14:paraId="568B865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531,5</w:t>
            </w:r>
          </w:p>
        </w:tc>
        <w:tc>
          <w:tcPr>
            <w:tcW w:w="1364" w:type="dxa"/>
            <w:shd w:val="clear" w:color="auto" w:fill="auto"/>
            <w:vAlign w:val="center"/>
          </w:tcPr>
          <w:p w14:paraId="41AECD91"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216,9</w:t>
            </w:r>
          </w:p>
        </w:tc>
      </w:tr>
      <w:tr w:rsidR="002B61BC" w:rsidRPr="009B235E" w14:paraId="23546283" w14:textId="77777777" w:rsidTr="002B61BC">
        <w:tc>
          <w:tcPr>
            <w:tcW w:w="2552" w:type="dxa"/>
            <w:vAlign w:val="bottom"/>
          </w:tcPr>
          <w:p w14:paraId="2BFE0A17"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Кемеровская область</w:t>
            </w:r>
          </w:p>
        </w:tc>
        <w:tc>
          <w:tcPr>
            <w:tcW w:w="1134" w:type="dxa"/>
            <w:shd w:val="clear" w:color="auto" w:fill="auto"/>
            <w:vAlign w:val="center"/>
          </w:tcPr>
          <w:p w14:paraId="4BD5EA4C"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94,1</w:t>
            </w:r>
          </w:p>
        </w:tc>
        <w:tc>
          <w:tcPr>
            <w:tcW w:w="1250" w:type="dxa"/>
            <w:shd w:val="clear" w:color="auto" w:fill="auto"/>
            <w:vAlign w:val="center"/>
          </w:tcPr>
          <w:p w14:paraId="688A4C8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1411,2</w:t>
            </w:r>
          </w:p>
        </w:tc>
        <w:tc>
          <w:tcPr>
            <w:tcW w:w="1392" w:type="dxa"/>
            <w:shd w:val="clear" w:color="auto" w:fill="auto"/>
            <w:vAlign w:val="center"/>
          </w:tcPr>
          <w:p w14:paraId="1CA7F9D2"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2995,8</w:t>
            </w:r>
          </w:p>
        </w:tc>
        <w:tc>
          <w:tcPr>
            <w:tcW w:w="1159" w:type="dxa"/>
            <w:shd w:val="clear" w:color="auto" w:fill="auto"/>
            <w:vAlign w:val="center"/>
          </w:tcPr>
          <w:p w14:paraId="7327A80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365,8</w:t>
            </w:r>
          </w:p>
        </w:tc>
        <w:tc>
          <w:tcPr>
            <w:tcW w:w="1019" w:type="dxa"/>
            <w:shd w:val="clear" w:color="auto" w:fill="auto"/>
            <w:vAlign w:val="center"/>
          </w:tcPr>
          <w:p w14:paraId="53662454"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0,5</w:t>
            </w:r>
          </w:p>
        </w:tc>
        <w:tc>
          <w:tcPr>
            <w:tcW w:w="992" w:type="dxa"/>
            <w:shd w:val="clear" w:color="auto" w:fill="auto"/>
            <w:vAlign w:val="center"/>
          </w:tcPr>
          <w:p w14:paraId="108C9A3D"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161" w:type="dxa"/>
            <w:shd w:val="clear" w:color="auto" w:fill="auto"/>
            <w:vAlign w:val="center"/>
          </w:tcPr>
          <w:p w14:paraId="7D05C2F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1964,6</w:t>
            </w:r>
          </w:p>
        </w:tc>
        <w:tc>
          <w:tcPr>
            <w:tcW w:w="1134" w:type="dxa"/>
            <w:shd w:val="clear" w:color="auto" w:fill="auto"/>
            <w:vAlign w:val="center"/>
          </w:tcPr>
          <w:p w14:paraId="61156F65"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988,9</w:t>
            </w:r>
          </w:p>
        </w:tc>
        <w:tc>
          <w:tcPr>
            <w:tcW w:w="1328" w:type="dxa"/>
            <w:shd w:val="clear" w:color="auto" w:fill="auto"/>
            <w:vAlign w:val="center"/>
          </w:tcPr>
          <w:p w14:paraId="0E5F64AA"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302,8</w:t>
            </w:r>
          </w:p>
        </w:tc>
        <w:tc>
          <w:tcPr>
            <w:tcW w:w="1418" w:type="dxa"/>
            <w:shd w:val="clear" w:color="auto" w:fill="auto"/>
            <w:vAlign w:val="center"/>
          </w:tcPr>
          <w:p w14:paraId="7CA5819B"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236,7</w:t>
            </w:r>
          </w:p>
        </w:tc>
        <w:tc>
          <w:tcPr>
            <w:tcW w:w="1364" w:type="dxa"/>
            <w:shd w:val="clear" w:color="auto" w:fill="auto"/>
            <w:vAlign w:val="center"/>
          </w:tcPr>
          <w:p w14:paraId="746A0BD2"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24,5</w:t>
            </w:r>
          </w:p>
        </w:tc>
      </w:tr>
      <w:tr w:rsidR="002B61BC" w:rsidRPr="009B235E" w14:paraId="004A913C" w14:textId="77777777" w:rsidTr="002B61BC">
        <w:tc>
          <w:tcPr>
            <w:tcW w:w="2552" w:type="dxa"/>
            <w:vAlign w:val="bottom"/>
          </w:tcPr>
          <w:p w14:paraId="775412BA"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Новосибирская область</w:t>
            </w:r>
          </w:p>
        </w:tc>
        <w:tc>
          <w:tcPr>
            <w:tcW w:w="1134" w:type="dxa"/>
            <w:shd w:val="clear" w:color="auto" w:fill="auto"/>
            <w:vAlign w:val="center"/>
          </w:tcPr>
          <w:p w14:paraId="6F5F7349"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115,7</w:t>
            </w:r>
          </w:p>
        </w:tc>
        <w:tc>
          <w:tcPr>
            <w:tcW w:w="1250" w:type="dxa"/>
            <w:shd w:val="clear" w:color="auto" w:fill="auto"/>
            <w:vAlign w:val="center"/>
          </w:tcPr>
          <w:p w14:paraId="3BD6B254"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131,7</w:t>
            </w:r>
          </w:p>
        </w:tc>
        <w:tc>
          <w:tcPr>
            <w:tcW w:w="1392" w:type="dxa"/>
            <w:shd w:val="clear" w:color="auto" w:fill="auto"/>
            <w:vAlign w:val="center"/>
          </w:tcPr>
          <w:p w14:paraId="36840F44"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2488,9</w:t>
            </w:r>
          </w:p>
        </w:tc>
        <w:tc>
          <w:tcPr>
            <w:tcW w:w="1159" w:type="dxa"/>
            <w:shd w:val="clear" w:color="auto" w:fill="auto"/>
            <w:vAlign w:val="center"/>
          </w:tcPr>
          <w:p w14:paraId="034A79E0"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238,4</w:t>
            </w:r>
          </w:p>
        </w:tc>
        <w:tc>
          <w:tcPr>
            <w:tcW w:w="1019" w:type="dxa"/>
            <w:shd w:val="clear" w:color="auto" w:fill="auto"/>
            <w:vAlign w:val="center"/>
          </w:tcPr>
          <w:p w14:paraId="5B323581"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992" w:type="dxa"/>
            <w:shd w:val="clear" w:color="auto" w:fill="auto"/>
            <w:vAlign w:val="center"/>
          </w:tcPr>
          <w:p w14:paraId="303B795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54,0</w:t>
            </w:r>
          </w:p>
        </w:tc>
        <w:tc>
          <w:tcPr>
            <w:tcW w:w="1161" w:type="dxa"/>
            <w:shd w:val="clear" w:color="auto" w:fill="auto"/>
            <w:vAlign w:val="center"/>
          </w:tcPr>
          <w:p w14:paraId="74AC0461"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5378,2</w:t>
            </w:r>
          </w:p>
        </w:tc>
        <w:tc>
          <w:tcPr>
            <w:tcW w:w="1134" w:type="dxa"/>
            <w:shd w:val="clear" w:color="auto" w:fill="auto"/>
            <w:vAlign w:val="center"/>
          </w:tcPr>
          <w:p w14:paraId="0630F96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3143,8</w:t>
            </w:r>
          </w:p>
        </w:tc>
        <w:tc>
          <w:tcPr>
            <w:tcW w:w="1328" w:type="dxa"/>
            <w:shd w:val="clear" w:color="auto" w:fill="auto"/>
            <w:vAlign w:val="center"/>
          </w:tcPr>
          <w:p w14:paraId="1FDC70C9"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466,9</w:t>
            </w:r>
          </w:p>
        </w:tc>
        <w:tc>
          <w:tcPr>
            <w:tcW w:w="1418" w:type="dxa"/>
            <w:shd w:val="clear" w:color="auto" w:fill="auto"/>
            <w:vAlign w:val="center"/>
          </w:tcPr>
          <w:p w14:paraId="66DF815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1530,2</w:t>
            </w:r>
          </w:p>
        </w:tc>
        <w:tc>
          <w:tcPr>
            <w:tcW w:w="1364" w:type="dxa"/>
            <w:shd w:val="clear" w:color="auto" w:fill="auto"/>
            <w:vAlign w:val="center"/>
          </w:tcPr>
          <w:p w14:paraId="2772F5C0"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73,8</w:t>
            </w:r>
          </w:p>
        </w:tc>
      </w:tr>
      <w:tr w:rsidR="002B61BC" w:rsidRPr="009B235E" w14:paraId="4D0DCFEA" w14:textId="77777777" w:rsidTr="002B61BC">
        <w:tc>
          <w:tcPr>
            <w:tcW w:w="2552" w:type="dxa"/>
            <w:vAlign w:val="bottom"/>
          </w:tcPr>
          <w:p w14:paraId="47B24D0A"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Омская область</w:t>
            </w:r>
          </w:p>
        </w:tc>
        <w:tc>
          <w:tcPr>
            <w:tcW w:w="1134" w:type="dxa"/>
            <w:shd w:val="clear" w:color="auto" w:fill="auto"/>
            <w:vAlign w:val="center"/>
          </w:tcPr>
          <w:p w14:paraId="1E4252DA"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78,0</w:t>
            </w:r>
          </w:p>
        </w:tc>
        <w:tc>
          <w:tcPr>
            <w:tcW w:w="1250" w:type="dxa"/>
            <w:shd w:val="clear" w:color="auto" w:fill="auto"/>
            <w:vAlign w:val="center"/>
          </w:tcPr>
          <w:p w14:paraId="71712B5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110,8</w:t>
            </w:r>
          </w:p>
        </w:tc>
        <w:tc>
          <w:tcPr>
            <w:tcW w:w="1392" w:type="dxa"/>
            <w:shd w:val="clear" w:color="auto" w:fill="auto"/>
            <w:vAlign w:val="center"/>
          </w:tcPr>
          <w:p w14:paraId="1D999B81"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1024,7</w:t>
            </w:r>
          </w:p>
        </w:tc>
        <w:tc>
          <w:tcPr>
            <w:tcW w:w="1159" w:type="dxa"/>
            <w:shd w:val="clear" w:color="auto" w:fill="auto"/>
            <w:vAlign w:val="center"/>
          </w:tcPr>
          <w:p w14:paraId="28EF5C23"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1058,9</w:t>
            </w:r>
          </w:p>
        </w:tc>
        <w:tc>
          <w:tcPr>
            <w:tcW w:w="1019" w:type="dxa"/>
            <w:shd w:val="clear" w:color="auto" w:fill="auto"/>
            <w:vAlign w:val="center"/>
          </w:tcPr>
          <w:p w14:paraId="01AE6E01"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45,8</w:t>
            </w:r>
          </w:p>
        </w:tc>
        <w:tc>
          <w:tcPr>
            <w:tcW w:w="992" w:type="dxa"/>
            <w:shd w:val="clear" w:color="auto" w:fill="auto"/>
            <w:vAlign w:val="center"/>
          </w:tcPr>
          <w:p w14:paraId="1BBED430"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153,2</w:t>
            </w:r>
          </w:p>
        </w:tc>
        <w:tc>
          <w:tcPr>
            <w:tcW w:w="1161" w:type="dxa"/>
            <w:shd w:val="clear" w:color="auto" w:fill="auto"/>
            <w:vAlign w:val="center"/>
          </w:tcPr>
          <w:p w14:paraId="02DEF54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3945,8</w:t>
            </w:r>
          </w:p>
        </w:tc>
        <w:tc>
          <w:tcPr>
            <w:tcW w:w="1134" w:type="dxa"/>
            <w:shd w:val="clear" w:color="auto" w:fill="auto"/>
            <w:vAlign w:val="center"/>
          </w:tcPr>
          <w:p w14:paraId="3E748C5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1032,5</w:t>
            </w:r>
          </w:p>
        </w:tc>
        <w:tc>
          <w:tcPr>
            <w:tcW w:w="1328" w:type="dxa"/>
            <w:shd w:val="clear" w:color="auto" w:fill="auto"/>
            <w:vAlign w:val="center"/>
          </w:tcPr>
          <w:p w14:paraId="1838E6DD"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157,2</w:t>
            </w:r>
          </w:p>
        </w:tc>
        <w:tc>
          <w:tcPr>
            <w:tcW w:w="1418" w:type="dxa"/>
            <w:shd w:val="clear" w:color="auto" w:fill="auto"/>
            <w:vAlign w:val="center"/>
          </w:tcPr>
          <w:p w14:paraId="59FD5D10"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276,4</w:t>
            </w:r>
          </w:p>
        </w:tc>
        <w:tc>
          <w:tcPr>
            <w:tcW w:w="1364" w:type="dxa"/>
            <w:shd w:val="clear" w:color="auto" w:fill="auto"/>
            <w:vAlign w:val="center"/>
          </w:tcPr>
          <w:p w14:paraId="67E8122A"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85,3</w:t>
            </w:r>
          </w:p>
        </w:tc>
      </w:tr>
      <w:tr w:rsidR="002B61BC" w:rsidRPr="009B235E" w14:paraId="32E529CA" w14:textId="77777777" w:rsidTr="002B61BC">
        <w:tc>
          <w:tcPr>
            <w:tcW w:w="2552" w:type="dxa"/>
            <w:vAlign w:val="bottom"/>
          </w:tcPr>
          <w:p w14:paraId="25EE2B1C"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Томская область</w:t>
            </w:r>
          </w:p>
        </w:tc>
        <w:tc>
          <w:tcPr>
            <w:tcW w:w="1134" w:type="dxa"/>
            <w:shd w:val="clear" w:color="auto" w:fill="auto"/>
            <w:vAlign w:val="center"/>
          </w:tcPr>
          <w:p w14:paraId="3CF8A89D"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55,1</w:t>
            </w:r>
          </w:p>
        </w:tc>
        <w:tc>
          <w:tcPr>
            <w:tcW w:w="1250" w:type="dxa"/>
            <w:shd w:val="clear" w:color="auto" w:fill="auto"/>
            <w:vAlign w:val="center"/>
          </w:tcPr>
          <w:p w14:paraId="2A6967E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80,3</w:t>
            </w:r>
          </w:p>
        </w:tc>
        <w:tc>
          <w:tcPr>
            <w:tcW w:w="1392" w:type="dxa"/>
            <w:shd w:val="clear" w:color="auto" w:fill="auto"/>
            <w:vAlign w:val="center"/>
          </w:tcPr>
          <w:p w14:paraId="28C3CCBB"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1064,8</w:t>
            </w:r>
          </w:p>
        </w:tc>
        <w:tc>
          <w:tcPr>
            <w:tcW w:w="1159" w:type="dxa"/>
            <w:shd w:val="clear" w:color="auto" w:fill="auto"/>
            <w:vAlign w:val="center"/>
          </w:tcPr>
          <w:p w14:paraId="7A91E42B"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952,6</w:t>
            </w:r>
          </w:p>
        </w:tc>
        <w:tc>
          <w:tcPr>
            <w:tcW w:w="1019" w:type="dxa"/>
            <w:shd w:val="clear" w:color="auto" w:fill="auto"/>
            <w:vAlign w:val="center"/>
          </w:tcPr>
          <w:p w14:paraId="49EB355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12,4</w:t>
            </w:r>
          </w:p>
        </w:tc>
        <w:tc>
          <w:tcPr>
            <w:tcW w:w="992" w:type="dxa"/>
            <w:shd w:val="clear" w:color="auto" w:fill="auto"/>
            <w:vAlign w:val="center"/>
          </w:tcPr>
          <w:p w14:paraId="5F6A1DD9"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38,9</w:t>
            </w:r>
          </w:p>
        </w:tc>
        <w:tc>
          <w:tcPr>
            <w:tcW w:w="1161" w:type="dxa"/>
            <w:shd w:val="clear" w:color="auto" w:fill="auto"/>
            <w:vAlign w:val="center"/>
          </w:tcPr>
          <w:p w14:paraId="0508067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1430,0</w:t>
            </w:r>
          </w:p>
        </w:tc>
        <w:tc>
          <w:tcPr>
            <w:tcW w:w="1134" w:type="dxa"/>
            <w:shd w:val="clear" w:color="auto" w:fill="auto"/>
            <w:vAlign w:val="center"/>
          </w:tcPr>
          <w:p w14:paraId="1FECEE01"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1420,3</w:t>
            </w:r>
          </w:p>
        </w:tc>
        <w:tc>
          <w:tcPr>
            <w:tcW w:w="1328" w:type="dxa"/>
            <w:shd w:val="clear" w:color="auto" w:fill="auto"/>
            <w:vAlign w:val="center"/>
          </w:tcPr>
          <w:p w14:paraId="5F736FFB"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84,3</w:t>
            </w:r>
          </w:p>
        </w:tc>
        <w:tc>
          <w:tcPr>
            <w:tcW w:w="1418" w:type="dxa"/>
            <w:shd w:val="clear" w:color="auto" w:fill="auto"/>
            <w:vAlign w:val="center"/>
          </w:tcPr>
          <w:p w14:paraId="6A9BE54B"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434,2</w:t>
            </w:r>
          </w:p>
        </w:tc>
        <w:tc>
          <w:tcPr>
            <w:tcW w:w="1364" w:type="dxa"/>
            <w:shd w:val="clear" w:color="auto" w:fill="auto"/>
            <w:vAlign w:val="center"/>
          </w:tcPr>
          <w:p w14:paraId="79B86AC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139,4</w:t>
            </w:r>
          </w:p>
        </w:tc>
      </w:tr>
      <w:tr w:rsidR="002B61BC" w:rsidRPr="009B235E" w14:paraId="05A5EBED" w14:textId="77777777" w:rsidTr="002B61BC">
        <w:tc>
          <w:tcPr>
            <w:tcW w:w="2552" w:type="dxa"/>
            <w:vAlign w:val="bottom"/>
          </w:tcPr>
          <w:p w14:paraId="1C80E79A" w14:textId="77777777" w:rsidR="002B61BC" w:rsidRPr="009B235E" w:rsidRDefault="002B61BC" w:rsidP="002B61BC">
            <w:pPr>
              <w:spacing w:after="0" w:line="240" w:lineRule="auto"/>
              <w:rPr>
                <w:rFonts w:ascii="Times New Roman" w:eastAsia="Times New Roman" w:hAnsi="Times New Roman" w:cs="Times New Roman"/>
                <w:b/>
                <w:bCs/>
                <w:sz w:val="24"/>
                <w:szCs w:val="24"/>
                <w:lang w:eastAsia="ru-RU"/>
              </w:rPr>
            </w:pPr>
            <w:r w:rsidRPr="009B235E">
              <w:rPr>
                <w:rFonts w:ascii="Times New Roman" w:eastAsia="Times New Roman" w:hAnsi="Times New Roman" w:cs="Times New Roman"/>
                <w:b/>
                <w:bCs/>
                <w:sz w:val="24"/>
                <w:szCs w:val="24"/>
                <w:lang w:eastAsia="ru-RU"/>
              </w:rPr>
              <w:t>Дальневосточный федеральный округ</w:t>
            </w:r>
          </w:p>
        </w:tc>
        <w:tc>
          <w:tcPr>
            <w:tcW w:w="1134" w:type="dxa"/>
            <w:shd w:val="clear" w:color="auto" w:fill="auto"/>
            <w:vAlign w:val="center"/>
          </w:tcPr>
          <w:p w14:paraId="1841C1C9"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890,4</w:t>
            </w:r>
          </w:p>
        </w:tc>
        <w:tc>
          <w:tcPr>
            <w:tcW w:w="1250" w:type="dxa"/>
            <w:shd w:val="clear" w:color="auto" w:fill="auto"/>
            <w:vAlign w:val="center"/>
          </w:tcPr>
          <w:p w14:paraId="2DB3F065"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4308,4</w:t>
            </w:r>
          </w:p>
        </w:tc>
        <w:tc>
          <w:tcPr>
            <w:tcW w:w="1392" w:type="dxa"/>
            <w:shd w:val="clear" w:color="auto" w:fill="auto"/>
            <w:vAlign w:val="center"/>
          </w:tcPr>
          <w:p w14:paraId="6B1A2B41"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11262,8</w:t>
            </w:r>
          </w:p>
        </w:tc>
        <w:tc>
          <w:tcPr>
            <w:tcW w:w="1159" w:type="dxa"/>
            <w:shd w:val="clear" w:color="auto" w:fill="auto"/>
            <w:vAlign w:val="center"/>
          </w:tcPr>
          <w:p w14:paraId="65FA5146"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2524,0</w:t>
            </w:r>
          </w:p>
        </w:tc>
        <w:tc>
          <w:tcPr>
            <w:tcW w:w="1019" w:type="dxa"/>
            <w:shd w:val="clear" w:color="auto" w:fill="auto"/>
            <w:vAlign w:val="center"/>
          </w:tcPr>
          <w:p w14:paraId="4F0CE397"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567,2</w:t>
            </w:r>
          </w:p>
        </w:tc>
        <w:tc>
          <w:tcPr>
            <w:tcW w:w="992" w:type="dxa"/>
            <w:shd w:val="clear" w:color="auto" w:fill="auto"/>
            <w:vAlign w:val="center"/>
          </w:tcPr>
          <w:p w14:paraId="3C83E6AE"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936,5</w:t>
            </w:r>
          </w:p>
        </w:tc>
        <w:tc>
          <w:tcPr>
            <w:tcW w:w="1161" w:type="dxa"/>
            <w:shd w:val="clear" w:color="auto" w:fill="auto"/>
            <w:vAlign w:val="center"/>
          </w:tcPr>
          <w:p w14:paraId="2B357E59"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18655,2</w:t>
            </w:r>
          </w:p>
        </w:tc>
        <w:tc>
          <w:tcPr>
            <w:tcW w:w="1134" w:type="dxa"/>
            <w:shd w:val="clear" w:color="auto" w:fill="auto"/>
            <w:vAlign w:val="center"/>
          </w:tcPr>
          <w:p w14:paraId="3E3CEDB4"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6630,4</w:t>
            </w:r>
          </w:p>
        </w:tc>
        <w:tc>
          <w:tcPr>
            <w:tcW w:w="1328" w:type="dxa"/>
            <w:shd w:val="clear" w:color="auto" w:fill="auto"/>
            <w:vAlign w:val="center"/>
          </w:tcPr>
          <w:p w14:paraId="4277F645"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2347,8</w:t>
            </w:r>
          </w:p>
        </w:tc>
        <w:tc>
          <w:tcPr>
            <w:tcW w:w="1418" w:type="dxa"/>
            <w:shd w:val="clear" w:color="auto" w:fill="auto"/>
            <w:vAlign w:val="center"/>
          </w:tcPr>
          <w:p w14:paraId="0F2F93C7"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3000,1</w:t>
            </w:r>
          </w:p>
        </w:tc>
        <w:tc>
          <w:tcPr>
            <w:tcW w:w="1364" w:type="dxa"/>
            <w:shd w:val="clear" w:color="auto" w:fill="auto"/>
            <w:vAlign w:val="center"/>
          </w:tcPr>
          <w:p w14:paraId="2F45038C" w14:textId="77777777" w:rsidR="002B61BC" w:rsidRPr="00D5564D" w:rsidRDefault="002B61BC" w:rsidP="002B61BC">
            <w:pPr>
              <w:spacing w:after="0" w:line="240" w:lineRule="auto"/>
              <w:jc w:val="center"/>
              <w:rPr>
                <w:rFonts w:ascii="Times New Roman" w:eastAsia="Times New Roman" w:hAnsi="Times New Roman"/>
                <w:b/>
                <w:lang w:eastAsia="ru-RU"/>
              </w:rPr>
            </w:pPr>
            <w:r w:rsidRPr="00D5564D">
              <w:rPr>
                <w:rFonts w:ascii="Times New Roman" w:eastAsia="Times New Roman" w:hAnsi="Times New Roman"/>
                <w:b/>
                <w:lang w:eastAsia="ru-RU"/>
              </w:rPr>
              <w:t>1720,9</w:t>
            </w:r>
          </w:p>
        </w:tc>
      </w:tr>
      <w:tr w:rsidR="002B61BC" w:rsidRPr="009B235E" w14:paraId="407A797C" w14:textId="77777777" w:rsidTr="002B61BC">
        <w:tc>
          <w:tcPr>
            <w:tcW w:w="2552" w:type="dxa"/>
            <w:vAlign w:val="bottom"/>
          </w:tcPr>
          <w:p w14:paraId="4958A350"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Бурятия</w:t>
            </w:r>
          </w:p>
        </w:tc>
        <w:tc>
          <w:tcPr>
            <w:tcW w:w="1134" w:type="dxa"/>
            <w:shd w:val="clear" w:color="auto" w:fill="auto"/>
            <w:vAlign w:val="center"/>
          </w:tcPr>
          <w:p w14:paraId="687E011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5,0</w:t>
            </w:r>
          </w:p>
        </w:tc>
        <w:tc>
          <w:tcPr>
            <w:tcW w:w="1250" w:type="dxa"/>
            <w:shd w:val="clear" w:color="auto" w:fill="auto"/>
            <w:vAlign w:val="center"/>
          </w:tcPr>
          <w:p w14:paraId="44FC9EB4"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828,0</w:t>
            </w:r>
          </w:p>
        </w:tc>
        <w:tc>
          <w:tcPr>
            <w:tcW w:w="1392" w:type="dxa"/>
            <w:shd w:val="clear" w:color="auto" w:fill="auto"/>
            <w:vAlign w:val="center"/>
          </w:tcPr>
          <w:p w14:paraId="2A6146F1"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401,7</w:t>
            </w:r>
          </w:p>
        </w:tc>
        <w:tc>
          <w:tcPr>
            <w:tcW w:w="1159" w:type="dxa"/>
            <w:shd w:val="clear" w:color="auto" w:fill="auto"/>
            <w:vAlign w:val="center"/>
          </w:tcPr>
          <w:p w14:paraId="70EB6670"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019" w:type="dxa"/>
            <w:shd w:val="clear" w:color="auto" w:fill="auto"/>
            <w:vAlign w:val="center"/>
          </w:tcPr>
          <w:p w14:paraId="11C5BD31"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992" w:type="dxa"/>
            <w:shd w:val="clear" w:color="auto" w:fill="auto"/>
            <w:vAlign w:val="center"/>
          </w:tcPr>
          <w:p w14:paraId="69F7C6DB"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161" w:type="dxa"/>
            <w:shd w:val="clear" w:color="auto" w:fill="auto"/>
            <w:vAlign w:val="center"/>
          </w:tcPr>
          <w:p w14:paraId="6194B964"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775,9</w:t>
            </w:r>
          </w:p>
        </w:tc>
        <w:tc>
          <w:tcPr>
            <w:tcW w:w="1134" w:type="dxa"/>
            <w:shd w:val="clear" w:color="auto" w:fill="auto"/>
            <w:vAlign w:val="center"/>
          </w:tcPr>
          <w:p w14:paraId="21991882"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414,3</w:t>
            </w:r>
          </w:p>
        </w:tc>
        <w:tc>
          <w:tcPr>
            <w:tcW w:w="1328" w:type="dxa"/>
            <w:shd w:val="clear" w:color="auto" w:fill="auto"/>
            <w:vAlign w:val="center"/>
          </w:tcPr>
          <w:p w14:paraId="094DEB4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129,8</w:t>
            </w:r>
          </w:p>
        </w:tc>
        <w:tc>
          <w:tcPr>
            <w:tcW w:w="1418" w:type="dxa"/>
            <w:shd w:val="clear" w:color="auto" w:fill="auto"/>
            <w:vAlign w:val="center"/>
          </w:tcPr>
          <w:p w14:paraId="0D47B12D"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106,9</w:t>
            </w:r>
          </w:p>
        </w:tc>
        <w:tc>
          <w:tcPr>
            <w:tcW w:w="1364" w:type="dxa"/>
            <w:shd w:val="clear" w:color="auto" w:fill="auto"/>
            <w:vAlign w:val="center"/>
          </w:tcPr>
          <w:p w14:paraId="1264CF89"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100,9</w:t>
            </w:r>
          </w:p>
        </w:tc>
      </w:tr>
      <w:tr w:rsidR="002B61BC" w:rsidRPr="009B235E" w14:paraId="279797F8" w14:textId="77777777" w:rsidTr="002B61BC">
        <w:tc>
          <w:tcPr>
            <w:tcW w:w="2552" w:type="dxa"/>
            <w:vAlign w:val="bottom"/>
          </w:tcPr>
          <w:p w14:paraId="35936529"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Республика Саха (Якутия)</w:t>
            </w:r>
          </w:p>
        </w:tc>
        <w:tc>
          <w:tcPr>
            <w:tcW w:w="1134" w:type="dxa"/>
            <w:shd w:val="clear" w:color="auto" w:fill="auto"/>
            <w:vAlign w:val="center"/>
          </w:tcPr>
          <w:p w14:paraId="729CAAE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60,3</w:t>
            </w:r>
          </w:p>
        </w:tc>
        <w:tc>
          <w:tcPr>
            <w:tcW w:w="1250" w:type="dxa"/>
            <w:shd w:val="clear" w:color="auto" w:fill="auto"/>
            <w:vAlign w:val="center"/>
          </w:tcPr>
          <w:p w14:paraId="7F56993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150,2</w:t>
            </w:r>
          </w:p>
        </w:tc>
        <w:tc>
          <w:tcPr>
            <w:tcW w:w="1392" w:type="dxa"/>
            <w:shd w:val="clear" w:color="auto" w:fill="auto"/>
            <w:vAlign w:val="center"/>
          </w:tcPr>
          <w:p w14:paraId="3841DAA2"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2182,7</w:t>
            </w:r>
          </w:p>
        </w:tc>
        <w:tc>
          <w:tcPr>
            <w:tcW w:w="1159" w:type="dxa"/>
            <w:shd w:val="clear" w:color="auto" w:fill="auto"/>
            <w:vAlign w:val="center"/>
          </w:tcPr>
          <w:p w14:paraId="516D3D1C"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664,8</w:t>
            </w:r>
          </w:p>
        </w:tc>
        <w:tc>
          <w:tcPr>
            <w:tcW w:w="1019" w:type="dxa"/>
            <w:shd w:val="clear" w:color="auto" w:fill="auto"/>
            <w:vAlign w:val="center"/>
          </w:tcPr>
          <w:p w14:paraId="66CE473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350,3</w:t>
            </w:r>
          </w:p>
        </w:tc>
        <w:tc>
          <w:tcPr>
            <w:tcW w:w="992" w:type="dxa"/>
            <w:shd w:val="clear" w:color="auto" w:fill="auto"/>
            <w:vAlign w:val="center"/>
          </w:tcPr>
          <w:p w14:paraId="128F065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88,5</w:t>
            </w:r>
          </w:p>
        </w:tc>
        <w:tc>
          <w:tcPr>
            <w:tcW w:w="1161" w:type="dxa"/>
            <w:shd w:val="clear" w:color="auto" w:fill="auto"/>
            <w:vAlign w:val="center"/>
          </w:tcPr>
          <w:p w14:paraId="13F2E6AA"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3020,0</w:t>
            </w:r>
          </w:p>
        </w:tc>
        <w:tc>
          <w:tcPr>
            <w:tcW w:w="1134" w:type="dxa"/>
            <w:shd w:val="clear" w:color="auto" w:fill="auto"/>
            <w:vAlign w:val="center"/>
          </w:tcPr>
          <w:p w14:paraId="6887BDE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1597,7</w:t>
            </w:r>
          </w:p>
        </w:tc>
        <w:tc>
          <w:tcPr>
            <w:tcW w:w="1328" w:type="dxa"/>
            <w:shd w:val="clear" w:color="auto" w:fill="auto"/>
            <w:vAlign w:val="center"/>
          </w:tcPr>
          <w:p w14:paraId="3A8E39D0"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378,9</w:t>
            </w:r>
          </w:p>
        </w:tc>
        <w:tc>
          <w:tcPr>
            <w:tcW w:w="1418" w:type="dxa"/>
            <w:shd w:val="clear" w:color="auto" w:fill="auto"/>
            <w:vAlign w:val="center"/>
          </w:tcPr>
          <w:p w14:paraId="7D4CBF0B"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267,9</w:t>
            </w:r>
          </w:p>
        </w:tc>
        <w:tc>
          <w:tcPr>
            <w:tcW w:w="1364" w:type="dxa"/>
            <w:shd w:val="clear" w:color="auto" w:fill="auto"/>
            <w:vAlign w:val="center"/>
          </w:tcPr>
          <w:p w14:paraId="044A0B13"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129,8</w:t>
            </w:r>
          </w:p>
        </w:tc>
      </w:tr>
      <w:tr w:rsidR="002B61BC" w:rsidRPr="009B235E" w14:paraId="13C52996" w14:textId="77777777" w:rsidTr="002B61BC">
        <w:tc>
          <w:tcPr>
            <w:tcW w:w="2552" w:type="dxa"/>
            <w:vAlign w:val="bottom"/>
          </w:tcPr>
          <w:p w14:paraId="7DADC42E"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Забайкальский край</w:t>
            </w:r>
          </w:p>
        </w:tc>
        <w:tc>
          <w:tcPr>
            <w:tcW w:w="1134" w:type="dxa"/>
            <w:shd w:val="clear" w:color="auto" w:fill="auto"/>
            <w:vAlign w:val="center"/>
          </w:tcPr>
          <w:p w14:paraId="0E4C16AB"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8,1</w:t>
            </w:r>
          </w:p>
        </w:tc>
        <w:tc>
          <w:tcPr>
            <w:tcW w:w="1250" w:type="dxa"/>
            <w:shd w:val="clear" w:color="auto" w:fill="auto"/>
            <w:vAlign w:val="center"/>
          </w:tcPr>
          <w:p w14:paraId="180E5EA3"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3,4</w:t>
            </w:r>
          </w:p>
        </w:tc>
        <w:tc>
          <w:tcPr>
            <w:tcW w:w="1392" w:type="dxa"/>
            <w:shd w:val="clear" w:color="auto" w:fill="auto"/>
            <w:vAlign w:val="center"/>
          </w:tcPr>
          <w:p w14:paraId="7A5155B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537,9</w:t>
            </w:r>
          </w:p>
        </w:tc>
        <w:tc>
          <w:tcPr>
            <w:tcW w:w="1159" w:type="dxa"/>
            <w:shd w:val="clear" w:color="auto" w:fill="auto"/>
            <w:vAlign w:val="center"/>
          </w:tcPr>
          <w:p w14:paraId="1D538BFB"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5,2</w:t>
            </w:r>
          </w:p>
        </w:tc>
        <w:tc>
          <w:tcPr>
            <w:tcW w:w="1019" w:type="dxa"/>
            <w:shd w:val="clear" w:color="auto" w:fill="auto"/>
            <w:vAlign w:val="center"/>
          </w:tcPr>
          <w:p w14:paraId="292DDEF2"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992" w:type="dxa"/>
            <w:shd w:val="clear" w:color="auto" w:fill="auto"/>
            <w:vAlign w:val="center"/>
          </w:tcPr>
          <w:p w14:paraId="5FCEBDA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5,5</w:t>
            </w:r>
          </w:p>
        </w:tc>
        <w:tc>
          <w:tcPr>
            <w:tcW w:w="1161" w:type="dxa"/>
            <w:shd w:val="clear" w:color="auto" w:fill="auto"/>
            <w:vAlign w:val="center"/>
          </w:tcPr>
          <w:p w14:paraId="194FBF43"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916,0</w:t>
            </w:r>
          </w:p>
        </w:tc>
        <w:tc>
          <w:tcPr>
            <w:tcW w:w="1134" w:type="dxa"/>
            <w:shd w:val="clear" w:color="auto" w:fill="auto"/>
            <w:vAlign w:val="center"/>
          </w:tcPr>
          <w:p w14:paraId="23693B44"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682,9</w:t>
            </w:r>
          </w:p>
        </w:tc>
        <w:tc>
          <w:tcPr>
            <w:tcW w:w="1328" w:type="dxa"/>
            <w:shd w:val="clear" w:color="auto" w:fill="auto"/>
            <w:vAlign w:val="center"/>
          </w:tcPr>
          <w:p w14:paraId="171375F3"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8,4</w:t>
            </w:r>
          </w:p>
        </w:tc>
        <w:tc>
          <w:tcPr>
            <w:tcW w:w="1418" w:type="dxa"/>
            <w:shd w:val="clear" w:color="auto" w:fill="auto"/>
            <w:vAlign w:val="center"/>
          </w:tcPr>
          <w:p w14:paraId="60A0A160"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189,7</w:t>
            </w:r>
          </w:p>
        </w:tc>
        <w:tc>
          <w:tcPr>
            <w:tcW w:w="1364" w:type="dxa"/>
            <w:shd w:val="clear" w:color="auto" w:fill="auto"/>
            <w:vAlign w:val="center"/>
          </w:tcPr>
          <w:p w14:paraId="0D5BBF43"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23,3</w:t>
            </w:r>
          </w:p>
        </w:tc>
      </w:tr>
      <w:tr w:rsidR="002B61BC" w:rsidRPr="009B235E" w14:paraId="4F0A362A" w14:textId="77777777" w:rsidTr="002B61BC">
        <w:tc>
          <w:tcPr>
            <w:tcW w:w="2552" w:type="dxa"/>
            <w:vAlign w:val="bottom"/>
          </w:tcPr>
          <w:p w14:paraId="0DD91478"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Камчатский край</w:t>
            </w:r>
          </w:p>
        </w:tc>
        <w:tc>
          <w:tcPr>
            <w:tcW w:w="1134" w:type="dxa"/>
            <w:shd w:val="clear" w:color="auto" w:fill="auto"/>
            <w:vAlign w:val="center"/>
          </w:tcPr>
          <w:p w14:paraId="5BF3032D"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148,3</w:t>
            </w:r>
          </w:p>
        </w:tc>
        <w:tc>
          <w:tcPr>
            <w:tcW w:w="1250" w:type="dxa"/>
            <w:shd w:val="clear" w:color="auto" w:fill="auto"/>
            <w:vAlign w:val="center"/>
          </w:tcPr>
          <w:p w14:paraId="14CDCF69"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416,0</w:t>
            </w:r>
          </w:p>
        </w:tc>
        <w:tc>
          <w:tcPr>
            <w:tcW w:w="1392" w:type="dxa"/>
            <w:shd w:val="clear" w:color="auto" w:fill="auto"/>
            <w:vAlign w:val="center"/>
          </w:tcPr>
          <w:p w14:paraId="369A9E80"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749,0</w:t>
            </w:r>
          </w:p>
        </w:tc>
        <w:tc>
          <w:tcPr>
            <w:tcW w:w="1159" w:type="dxa"/>
            <w:shd w:val="clear" w:color="auto" w:fill="auto"/>
            <w:vAlign w:val="center"/>
          </w:tcPr>
          <w:p w14:paraId="64BF668B"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111,2</w:t>
            </w:r>
          </w:p>
        </w:tc>
        <w:tc>
          <w:tcPr>
            <w:tcW w:w="1019" w:type="dxa"/>
            <w:shd w:val="clear" w:color="auto" w:fill="auto"/>
            <w:vAlign w:val="center"/>
          </w:tcPr>
          <w:p w14:paraId="1DCDDEBB"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79,9</w:t>
            </w:r>
          </w:p>
        </w:tc>
        <w:tc>
          <w:tcPr>
            <w:tcW w:w="992" w:type="dxa"/>
            <w:shd w:val="clear" w:color="auto" w:fill="auto"/>
            <w:vAlign w:val="center"/>
          </w:tcPr>
          <w:p w14:paraId="7DE6658D"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88,1</w:t>
            </w:r>
          </w:p>
        </w:tc>
        <w:tc>
          <w:tcPr>
            <w:tcW w:w="1161" w:type="dxa"/>
            <w:shd w:val="clear" w:color="auto" w:fill="auto"/>
            <w:vAlign w:val="center"/>
          </w:tcPr>
          <w:p w14:paraId="0AD2C63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645,6</w:t>
            </w:r>
          </w:p>
        </w:tc>
        <w:tc>
          <w:tcPr>
            <w:tcW w:w="1134" w:type="dxa"/>
            <w:shd w:val="clear" w:color="auto" w:fill="auto"/>
            <w:vAlign w:val="center"/>
          </w:tcPr>
          <w:p w14:paraId="530AE659"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163,7</w:t>
            </w:r>
          </w:p>
        </w:tc>
        <w:tc>
          <w:tcPr>
            <w:tcW w:w="1328" w:type="dxa"/>
            <w:shd w:val="clear" w:color="auto" w:fill="auto"/>
            <w:vAlign w:val="center"/>
          </w:tcPr>
          <w:p w14:paraId="6433D14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93,5</w:t>
            </w:r>
          </w:p>
        </w:tc>
        <w:tc>
          <w:tcPr>
            <w:tcW w:w="1418" w:type="dxa"/>
            <w:shd w:val="clear" w:color="auto" w:fill="auto"/>
            <w:vAlign w:val="center"/>
          </w:tcPr>
          <w:p w14:paraId="32F06EA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29,4</w:t>
            </w:r>
          </w:p>
        </w:tc>
        <w:tc>
          <w:tcPr>
            <w:tcW w:w="1364" w:type="dxa"/>
            <w:shd w:val="clear" w:color="auto" w:fill="auto"/>
            <w:vAlign w:val="center"/>
          </w:tcPr>
          <w:p w14:paraId="4CD2D38A"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163,6</w:t>
            </w:r>
          </w:p>
        </w:tc>
      </w:tr>
      <w:tr w:rsidR="002B61BC" w:rsidRPr="009B235E" w14:paraId="1660BDC7" w14:textId="77777777" w:rsidTr="002B61BC">
        <w:tc>
          <w:tcPr>
            <w:tcW w:w="2552" w:type="dxa"/>
            <w:vAlign w:val="bottom"/>
          </w:tcPr>
          <w:p w14:paraId="55CCCBB6"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Приморский край</w:t>
            </w:r>
          </w:p>
        </w:tc>
        <w:tc>
          <w:tcPr>
            <w:tcW w:w="1134" w:type="dxa"/>
            <w:shd w:val="clear" w:color="auto" w:fill="auto"/>
            <w:vAlign w:val="center"/>
          </w:tcPr>
          <w:p w14:paraId="2CAFF8E2"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60,0</w:t>
            </w:r>
          </w:p>
        </w:tc>
        <w:tc>
          <w:tcPr>
            <w:tcW w:w="1250" w:type="dxa"/>
            <w:shd w:val="clear" w:color="auto" w:fill="auto"/>
            <w:vAlign w:val="center"/>
          </w:tcPr>
          <w:p w14:paraId="75EBC1ED"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1360,1</w:t>
            </w:r>
          </w:p>
        </w:tc>
        <w:tc>
          <w:tcPr>
            <w:tcW w:w="1392" w:type="dxa"/>
            <w:shd w:val="clear" w:color="auto" w:fill="auto"/>
            <w:vAlign w:val="center"/>
          </w:tcPr>
          <w:p w14:paraId="707B9A6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2533,2</w:t>
            </w:r>
          </w:p>
        </w:tc>
        <w:tc>
          <w:tcPr>
            <w:tcW w:w="1159" w:type="dxa"/>
            <w:shd w:val="clear" w:color="auto" w:fill="auto"/>
            <w:vAlign w:val="center"/>
          </w:tcPr>
          <w:p w14:paraId="50DF649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275,6</w:t>
            </w:r>
          </w:p>
        </w:tc>
        <w:tc>
          <w:tcPr>
            <w:tcW w:w="1019" w:type="dxa"/>
            <w:shd w:val="clear" w:color="auto" w:fill="auto"/>
            <w:vAlign w:val="center"/>
          </w:tcPr>
          <w:p w14:paraId="2523DD5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14,4</w:t>
            </w:r>
          </w:p>
        </w:tc>
        <w:tc>
          <w:tcPr>
            <w:tcW w:w="992" w:type="dxa"/>
            <w:shd w:val="clear" w:color="auto" w:fill="auto"/>
            <w:vAlign w:val="center"/>
          </w:tcPr>
          <w:p w14:paraId="6BEF0135"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260,7</w:t>
            </w:r>
          </w:p>
        </w:tc>
        <w:tc>
          <w:tcPr>
            <w:tcW w:w="1161" w:type="dxa"/>
            <w:shd w:val="clear" w:color="auto" w:fill="auto"/>
            <w:vAlign w:val="center"/>
          </w:tcPr>
          <w:p w14:paraId="4B0E4DB5"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2482,6</w:t>
            </w:r>
          </w:p>
        </w:tc>
        <w:tc>
          <w:tcPr>
            <w:tcW w:w="1134" w:type="dxa"/>
            <w:shd w:val="clear" w:color="auto" w:fill="auto"/>
            <w:vAlign w:val="center"/>
          </w:tcPr>
          <w:p w14:paraId="7EC7F18A"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824,7</w:t>
            </w:r>
          </w:p>
        </w:tc>
        <w:tc>
          <w:tcPr>
            <w:tcW w:w="1328" w:type="dxa"/>
            <w:shd w:val="clear" w:color="auto" w:fill="auto"/>
            <w:vAlign w:val="center"/>
          </w:tcPr>
          <w:p w14:paraId="578A44B3"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424,5</w:t>
            </w:r>
          </w:p>
        </w:tc>
        <w:tc>
          <w:tcPr>
            <w:tcW w:w="1418" w:type="dxa"/>
            <w:shd w:val="clear" w:color="auto" w:fill="auto"/>
            <w:vAlign w:val="center"/>
          </w:tcPr>
          <w:p w14:paraId="6E7A73B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231,7</w:t>
            </w:r>
          </w:p>
        </w:tc>
        <w:tc>
          <w:tcPr>
            <w:tcW w:w="1364" w:type="dxa"/>
            <w:shd w:val="clear" w:color="auto" w:fill="auto"/>
            <w:vAlign w:val="center"/>
          </w:tcPr>
          <w:p w14:paraId="6AB755BA"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333,5</w:t>
            </w:r>
          </w:p>
        </w:tc>
      </w:tr>
      <w:tr w:rsidR="002B61BC" w:rsidRPr="009B235E" w14:paraId="6C767A24" w14:textId="77777777" w:rsidTr="002B61BC">
        <w:tc>
          <w:tcPr>
            <w:tcW w:w="2552" w:type="dxa"/>
            <w:vAlign w:val="bottom"/>
          </w:tcPr>
          <w:p w14:paraId="185D42C7"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Хабаровский край</w:t>
            </w:r>
          </w:p>
        </w:tc>
        <w:tc>
          <w:tcPr>
            <w:tcW w:w="1134" w:type="dxa"/>
            <w:shd w:val="clear" w:color="auto" w:fill="auto"/>
            <w:vAlign w:val="center"/>
          </w:tcPr>
          <w:p w14:paraId="4CD78AB5"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25,8</w:t>
            </w:r>
          </w:p>
        </w:tc>
        <w:tc>
          <w:tcPr>
            <w:tcW w:w="1250" w:type="dxa"/>
            <w:shd w:val="clear" w:color="auto" w:fill="auto"/>
            <w:vAlign w:val="center"/>
          </w:tcPr>
          <w:p w14:paraId="03F1275C"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143,8</w:t>
            </w:r>
          </w:p>
        </w:tc>
        <w:tc>
          <w:tcPr>
            <w:tcW w:w="1392" w:type="dxa"/>
            <w:shd w:val="clear" w:color="auto" w:fill="auto"/>
            <w:vAlign w:val="center"/>
          </w:tcPr>
          <w:p w14:paraId="557FB39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1025,1</w:t>
            </w:r>
          </w:p>
        </w:tc>
        <w:tc>
          <w:tcPr>
            <w:tcW w:w="1159" w:type="dxa"/>
            <w:shd w:val="clear" w:color="auto" w:fill="auto"/>
            <w:vAlign w:val="center"/>
          </w:tcPr>
          <w:p w14:paraId="1F19600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236,7</w:t>
            </w:r>
          </w:p>
        </w:tc>
        <w:tc>
          <w:tcPr>
            <w:tcW w:w="1019" w:type="dxa"/>
            <w:shd w:val="clear" w:color="auto" w:fill="auto"/>
            <w:vAlign w:val="center"/>
          </w:tcPr>
          <w:p w14:paraId="2B86B56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0,1</w:t>
            </w:r>
          </w:p>
        </w:tc>
        <w:tc>
          <w:tcPr>
            <w:tcW w:w="992" w:type="dxa"/>
            <w:shd w:val="clear" w:color="auto" w:fill="auto"/>
            <w:vAlign w:val="center"/>
          </w:tcPr>
          <w:p w14:paraId="69EA12B9"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161" w:type="dxa"/>
            <w:shd w:val="clear" w:color="auto" w:fill="auto"/>
            <w:vAlign w:val="center"/>
          </w:tcPr>
          <w:p w14:paraId="53DD2909"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3171,7</w:t>
            </w:r>
          </w:p>
        </w:tc>
        <w:tc>
          <w:tcPr>
            <w:tcW w:w="1134" w:type="dxa"/>
            <w:shd w:val="clear" w:color="auto" w:fill="auto"/>
            <w:vAlign w:val="center"/>
          </w:tcPr>
          <w:p w14:paraId="667C125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2144,1</w:t>
            </w:r>
          </w:p>
        </w:tc>
        <w:tc>
          <w:tcPr>
            <w:tcW w:w="1328" w:type="dxa"/>
            <w:shd w:val="clear" w:color="auto" w:fill="auto"/>
            <w:vAlign w:val="center"/>
          </w:tcPr>
          <w:p w14:paraId="40D865CD"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574,5</w:t>
            </w:r>
          </w:p>
        </w:tc>
        <w:tc>
          <w:tcPr>
            <w:tcW w:w="1418" w:type="dxa"/>
            <w:shd w:val="clear" w:color="auto" w:fill="auto"/>
            <w:vAlign w:val="center"/>
          </w:tcPr>
          <w:p w14:paraId="48C64D4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323,2</w:t>
            </w:r>
          </w:p>
        </w:tc>
        <w:tc>
          <w:tcPr>
            <w:tcW w:w="1364" w:type="dxa"/>
            <w:shd w:val="clear" w:color="auto" w:fill="auto"/>
            <w:vAlign w:val="center"/>
          </w:tcPr>
          <w:p w14:paraId="7A8F748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541,3</w:t>
            </w:r>
          </w:p>
        </w:tc>
      </w:tr>
      <w:tr w:rsidR="002B61BC" w:rsidRPr="009B235E" w14:paraId="116A2497" w14:textId="77777777" w:rsidTr="002B61BC">
        <w:tc>
          <w:tcPr>
            <w:tcW w:w="2552" w:type="dxa"/>
            <w:vAlign w:val="bottom"/>
          </w:tcPr>
          <w:p w14:paraId="1838B748"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Амурская область</w:t>
            </w:r>
          </w:p>
        </w:tc>
        <w:tc>
          <w:tcPr>
            <w:tcW w:w="1134" w:type="dxa"/>
            <w:shd w:val="clear" w:color="auto" w:fill="auto"/>
            <w:vAlign w:val="center"/>
          </w:tcPr>
          <w:p w14:paraId="52DC16E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14,8</w:t>
            </w:r>
          </w:p>
        </w:tc>
        <w:tc>
          <w:tcPr>
            <w:tcW w:w="1250" w:type="dxa"/>
            <w:shd w:val="clear" w:color="auto" w:fill="auto"/>
            <w:vAlign w:val="center"/>
          </w:tcPr>
          <w:p w14:paraId="60677C4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699,4</w:t>
            </w:r>
          </w:p>
        </w:tc>
        <w:tc>
          <w:tcPr>
            <w:tcW w:w="1392" w:type="dxa"/>
            <w:shd w:val="clear" w:color="auto" w:fill="auto"/>
            <w:vAlign w:val="center"/>
          </w:tcPr>
          <w:p w14:paraId="7D1779E5"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1272,9</w:t>
            </w:r>
          </w:p>
        </w:tc>
        <w:tc>
          <w:tcPr>
            <w:tcW w:w="1159" w:type="dxa"/>
            <w:shd w:val="clear" w:color="auto" w:fill="auto"/>
            <w:vAlign w:val="center"/>
          </w:tcPr>
          <w:p w14:paraId="08AC38A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538,0</w:t>
            </w:r>
          </w:p>
        </w:tc>
        <w:tc>
          <w:tcPr>
            <w:tcW w:w="1019" w:type="dxa"/>
            <w:shd w:val="clear" w:color="auto" w:fill="auto"/>
            <w:vAlign w:val="center"/>
          </w:tcPr>
          <w:p w14:paraId="52075A0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38,4</w:t>
            </w:r>
          </w:p>
        </w:tc>
        <w:tc>
          <w:tcPr>
            <w:tcW w:w="992" w:type="dxa"/>
            <w:shd w:val="clear" w:color="auto" w:fill="auto"/>
            <w:vAlign w:val="center"/>
          </w:tcPr>
          <w:p w14:paraId="7F15B12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25,8</w:t>
            </w:r>
          </w:p>
        </w:tc>
        <w:tc>
          <w:tcPr>
            <w:tcW w:w="1161" w:type="dxa"/>
            <w:shd w:val="clear" w:color="auto" w:fill="auto"/>
            <w:vAlign w:val="center"/>
          </w:tcPr>
          <w:p w14:paraId="7E3B2E77"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1192,6</w:t>
            </w:r>
          </w:p>
        </w:tc>
        <w:tc>
          <w:tcPr>
            <w:tcW w:w="1134" w:type="dxa"/>
            <w:shd w:val="clear" w:color="auto" w:fill="auto"/>
            <w:vAlign w:val="center"/>
          </w:tcPr>
          <w:p w14:paraId="3F7275B4"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456,1</w:t>
            </w:r>
          </w:p>
        </w:tc>
        <w:tc>
          <w:tcPr>
            <w:tcW w:w="1328" w:type="dxa"/>
            <w:shd w:val="clear" w:color="auto" w:fill="auto"/>
            <w:vAlign w:val="center"/>
          </w:tcPr>
          <w:p w14:paraId="251A5894"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32,7</w:t>
            </w:r>
          </w:p>
        </w:tc>
        <w:tc>
          <w:tcPr>
            <w:tcW w:w="1418" w:type="dxa"/>
            <w:shd w:val="clear" w:color="auto" w:fill="auto"/>
            <w:vAlign w:val="center"/>
          </w:tcPr>
          <w:p w14:paraId="7EC4E59A"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97,5</w:t>
            </w:r>
          </w:p>
        </w:tc>
        <w:tc>
          <w:tcPr>
            <w:tcW w:w="1364" w:type="dxa"/>
            <w:shd w:val="clear" w:color="auto" w:fill="auto"/>
            <w:vAlign w:val="center"/>
          </w:tcPr>
          <w:p w14:paraId="62A93BDB"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338,6</w:t>
            </w:r>
          </w:p>
        </w:tc>
      </w:tr>
      <w:tr w:rsidR="002B61BC" w:rsidRPr="009B235E" w14:paraId="591D4BCB" w14:textId="77777777" w:rsidTr="002B61BC">
        <w:tc>
          <w:tcPr>
            <w:tcW w:w="2552" w:type="dxa"/>
            <w:vAlign w:val="bottom"/>
          </w:tcPr>
          <w:p w14:paraId="300A7B24"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Магаданская область</w:t>
            </w:r>
          </w:p>
        </w:tc>
        <w:tc>
          <w:tcPr>
            <w:tcW w:w="1134" w:type="dxa"/>
            <w:shd w:val="clear" w:color="auto" w:fill="auto"/>
            <w:vAlign w:val="center"/>
          </w:tcPr>
          <w:p w14:paraId="1D22D61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23,9</w:t>
            </w:r>
          </w:p>
        </w:tc>
        <w:tc>
          <w:tcPr>
            <w:tcW w:w="1250" w:type="dxa"/>
            <w:shd w:val="clear" w:color="auto" w:fill="auto"/>
            <w:vAlign w:val="center"/>
          </w:tcPr>
          <w:p w14:paraId="5C7C0B2B"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152,4</w:t>
            </w:r>
          </w:p>
        </w:tc>
        <w:tc>
          <w:tcPr>
            <w:tcW w:w="1392" w:type="dxa"/>
            <w:shd w:val="clear" w:color="auto" w:fill="auto"/>
            <w:vAlign w:val="center"/>
          </w:tcPr>
          <w:p w14:paraId="1DC5502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352,1</w:t>
            </w:r>
          </w:p>
        </w:tc>
        <w:tc>
          <w:tcPr>
            <w:tcW w:w="1159" w:type="dxa"/>
            <w:shd w:val="clear" w:color="auto" w:fill="auto"/>
            <w:vAlign w:val="center"/>
          </w:tcPr>
          <w:p w14:paraId="35A0D8B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261,5</w:t>
            </w:r>
          </w:p>
        </w:tc>
        <w:tc>
          <w:tcPr>
            <w:tcW w:w="1019" w:type="dxa"/>
            <w:shd w:val="clear" w:color="auto" w:fill="auto"/>
            <w:vAlign w:val="center"/>
          </w:tcPr>
          <w:p w14:paraId="76A6913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0,0</w:t>
            </w:r>
          </w:p>
        </w:tc>
        <w:tc>
          <w:tcPr>
            <w:tcW w:w="992" w:type="dxa"/>
            <w:shd w:val="clear" w:color="auto" w:fill="auto"/>
            <w:vAlign w:val="center"/>
          </w:tcPr>
          <w:p w14:paraId="6F1DAF50"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161" w:type="dxa"/>
            <w:shd w:val="clear" w:color="auto" w:fill="auto"/>
            <w:vAlign w:val="center"/>
          </w:tcPr>
          <w:p w14:paraId="60DB8313"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357,8</w:t>
            </w:r>
          </w:p>
        </w:tc>
        <w:tc>
          <w:tcPr>
            <w:tcW w:w="1134" w:type="dxa"/>
            <w:shd w:val="clear" w:color="auto" w:fill="auto"/>
            <w:vAlign w:val="center"/>
          </w:tcPr>
          <w:p w14:paraId="60406936"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154,9</w:t>
            </w:r>
          </w:p>
        </w:tc>
        <w:tc>
          <w:tcPr>
            <w:tcW w:w="1328" w:type="dxa"/>
            <w:shd w:val="clear" w:color="auto" w:fill="auto"/>
            <w:vAlign w:val="center"/>
          </w:tcPr>
          <w:p w14:paraId="22111961"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59,5</w:t>
            </w:r>
          </w:p>
        </w:tc>
        <w:tc>
          <w:tcPr>
            <w:tcW w:w="1418" w:type="dxa"/>
            <w:shd w:val="clear" w:color="auto" w:fill="auto"/>
            <w:vAlign w:val="center"/>
          </w:tcPr>
          <w:p w14:paraId="05077323"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23,1</w:t>
            </w:r>
          </w:p>
        </w:tc>
        <w:tc>
          <w:tcPr>
            <w:tcW w:w="1364" w:type="dxa"/>
            <w:shd w:val="clear" w:color="auto" w:fill="auto"/>
            <w:vAlign w:val="center"/>
          </w:tcPr>
          <w:p w14:paraId="09D8B17A"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81,8</w:t>
            </w:r>
          </w:p>
        </w:tc>
      </w:tr>
      <w:tr w:rsidR="002B61BC" w:rsidRPr="009B235E" w14:paraId="49097251" w14:textId="77777777" w:rsidTr="002B61BC">
        <w:tc>
          <w:tcPr>
            <w:tcW w:w="2552" w:type="dxa"/>
            <w:vAlign w:val="bottom"/>
          </w:tcPr>
          <w:p w14:paraId="53F1869B"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Сахалинская область</w:t>
            </w:r>
          </w:p>
        </w:tc>
        <w:tc>
          <w:tcPr>
            <w:tcW w:w="1134" w:type="dxa"/>
            <w:shd w:val="clear" w:color="auto" w:fill="auto"/>
            <w:vAlign w:val="center"/>
          </w:tcPr>
          <w:p w14:paraId="73C5DCAB"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542,9</w:t>
            </w:r>
          </w:p>
        </w:tc>
        <w:tc>
          <w:tcPr>
            <w:tcW w:w="1250" w:type="dxa"/>
            <w:shd w:val="clear" w:color="auto" w:fill="auto"/>
            <w:vAlign w:val="center"/>
          </w:tcPr>
          <w:p w14:paraId="08AF8FB3"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363,2</w:t>
            </w:r>
          </w:p>
        </w:tc>
        <w:tc>
          <w:tcPr>
            <w:tcW w:w="1392" w:type="dxa"/>
            <w:shd w:val="clear" w:color="auto" w:fill="auto"/>
            <w:vAlign w:val="center"/>
          </w:tcPr>
          <w:p w14:paraId="52287801"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1939,3</w:t>
            </w:r>
          </w:p>
        </w:tc>
        <w:tc>
          <w:tcPr>
            <w:tcW w:w="1159" w:type="dxa"/>
            <w:shd w:val="clear" w:color="auto" w:fill="auto"/>
            <w:vAlign w:val="center"/>
          </w:tcPr>
          <w:p w14:paraId="75909E1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423,6</w:t>
            </w:r>
          </w:p>
        </w:tc>
        <w:tc>
          <w:tcPr>
            <w:tcW w:w="1019" w:type="dxa"/>
            <w:shd w:val="clear" w:color="auto" w:fill="auto"/>
            <w:vAlign w:val="center"/>
          </w:tcPr>
          <w:p w14:paraId="480EEA5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75,3</w:t>
            </w:r>
          </w:p>
        </w:tc>
        <w:tc>
          <w:tcPr>
            <w:tcW w:w="992" w:type="dxa"/>
            <w:shd w:val="clear" w:color="auto" w:fill="auto"/>
            <w:vAlign w:val="center"/>
          </w:tcPr>
          <w:p w14:paraId="7F411F23"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467,9</w:t>
            </w:r>
          </w:p>
        </w:tc>
        <w:tc>
          <w:tcPr>
            <w:tcW w:w="1161" w:type="dxa"/>
            <w:shd w:val="clear" w:color="auto" w:fill="auto"/>
            <w:vAlign w:val="center"/>
          </w:tcPr>
          <w:p w14:paraId="00547482"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5880,7</w:t>
            </w:r>
          </w:p>
        </w:tc>
        <w:tc>
          <w:tcPr>
            <w:tcW w:w="1134" w:type="dxa"/>
            <w:shd w:val="clear" w:color="auto" w:fill="auto"/>
            <w:vAlign w:val="center"/>
          </w:tcPr>
          <w:p w14:paraId="43065D31"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187,8</w:t>
            </w:r>
          </w:p>
        </w:tc>
        <w:tc>
          <w:tcPr>
            <w:tcW w:w="1328" w:type="dxa"/>
            <w:shd w:val="clear" w:color="auto" w:fill="auto"/>
            <w:vAlign w:val="center"/>
          </w:tcPr>
          <w:p w14:paraId="663202F5"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608,5</w:t>
            </w:r>
          </w:p>
        </w:tc>
        <w:tc>
          <w:tcPr>
            <w:tcW w:w="1418" w:type="dxa"/>
            <w:shd w:val="clear" w:color="auto" w:fill="auto"/>
            <w:vAlign w:val="center"/>
          </w:tcPr>
          <w:p w14:paraId="27A8574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1699,6</w:t>
            </w:r>
          </w:p>
        </w:tc>
        <w:tc>
          <w:tcPr>
            <w:tcW w:w="1364" w:type="dxa"/>
            <w:shd w:val="clear" w:color="auto" w:fill="auto"/>
            <w:vAlign w:val="center"/>
          </w:tcPr>
          <w:p w14:paraId="00293CAD"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r>
      <w:tr w:rsidR="002B61BC" w:rsidRPr="009B235E" w14:paraId="47938F98" w14:textId="77777777" w:rsidTr="002B61BC">
        <w:tc>
          <w:tcPr>
            <w:tcW w:w="2552" w:type="dxa"/>
            <w:vAlign w:val="bottom"/>
          </w:tcPr>
          <w:p w14:paraId="0A73737C"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 xml:space="preserve">Еврейская </w:t>
            </w:r>
            <w:proofErr w:type="spellStart"/>
            <w:r w:rsidRPr="009B235E">
              <w:rPr>
                <w:rFonts w:ascii="Times New Roman" w:eastAsia="Times New Roman" w:hAnsi="Times New Roman" w:cs="Times New Roman"/>
                <w:sz w:val="24"/>
                <w:szCs w:val="24"/>
                <w:lang w:eastAsia="ru-RU"/>
              </w:rPr>
              <w:t>авт.область</w:t>
            </w:r>
            <w:proofErr w:type="spellEnd"/>
          </w:p>
        </w:tc>
        <w:tc>
          <w:tcPr>
            <w:tcW w:w="1134" w:type="dxa"/>
            <w:shd w:val="clear" w:color="auto" w:fill="auto"/>
            <w:vAlign w:val="center"/>
          </w:tcPr>
          <w:p w14:paraId="0A2206A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250" w:type="dxa"/>
            <w:shd w:val="clear" w:color="auto" w:fill="auto"/>
            <w:vAlign w:val="center"/>
          </w:tcPr>
          <w:p w14:paraId="5667289C"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102,2</w:t>
            </w:r>
          </w:p>
        </w:tc>
        <w:tc>
          <w:tcPr>
            <w:tcW w:w="1392" w:type="dxa"/>
            <w:shd w:val="clear" w:color="auto" w:fill="auto"/>
            <w:vAlign w:val="center"/>
          </w:tcPr>
          <w:p w14:paraId="4E8DDBFC"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106,0</w:t>
            </w:r>
          </w:p>
        </w:tc>
        <w:tc>
          <w:tcPr>
            <w:tcW w:w="1159" w:type="dxa"/>
            <w:shd w:val="clear" w:color="auto" w:fill="auto"/>
            <w:vAlign w:val="center"/>
          </w:tcPr>
          <w:p w14:paraId="333D414B"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1,4</w:t>
            </w:r>
          </w:p>
        </w:tc>
        <w:tc>
          <w:tcPr>
            <w:tcW w:w="1019" w:type="dxa"/>
            <w:shd w:val="clear" w:color="auto" w:fill="auto"/>
            <w:vAlign w:val="center"/>
          </w:tcPr>
          <w:p w14:paraId="4FFE9F8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6,8</w:t>
            </w:r>
          </w:p>
        </w:tc>
        <w:tc>
          <w:tcPr>
            <w:tcW w:w="992" w:type="dxa"/>
            <w:shd w:val="clear" w:color="auto" w:fill="auto"/>
            <w:vAlign w:val="center"/>
          </w:tcPr>
          <w:p w14:paraId="763BE519"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161" w:type="dxa"/>
            <w:shd w:val="clear" w:color="auto" w:fill="auto"/>
            <w:vAlign w:val="center"/>
          </w:tcPr>
          <w:p w14:paraId="72D0DA1A"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76,1</w:t>
            </w:r>
          </w:p>
        </w:tc>
        <w:tc>
          <w:tcPr>
            <w:tcW w:w="1134" w:type="dxa"/>
            <w:shd w:val="clear" w:color="auto" w:fill="auto"/>
            <w:vAlign w:val="center"/>
          </w:tcPr>
          <w:p w14:paraId="514C188C"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328" w:type="dxa"/>
            <w:shd w:val="clear" w:color="auto" w:fill="auto"/>
            <w:vAlign w:val="center"/>
          </w:tcPr>
          <w:p w14:paraId="6F568B7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17,1</w:t>
            </w:r>
          </w:p>
        </w:tc>
        <w:tc>
          <w:tcPr>
            <w:tcW w:w="1418" w:type="dxa"/>
            <w:shd w:val="clear" w:color="auto" w:fill="auto"/>
            <w:vAlign w:val="center"/>
          </w:tcPr>
          <w:p w14:paraId="663282C4"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22,6</w:t>
            </w:r>
          </w:p>
        </w:tc>
        <w:tc>
          <w:tcPr>
            <w:tcW w:w="1364" w:type="dxa"/>
            <w:shd w:val="clear" w:color="auto" w:fill="auto"/>
            <w:vAlign w:val="center"/>
          </w:tcPr>
          <w:p w14:paraId="3ACF8E51"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6,3</w:t>
            </w:r>
          </w:p>
        </w:tc>
      </w:tr>
      <w:tr w:rsidR="002B61BC" w:rsidRPr="009B235E" w14:paraId="00360859" w14:textId="77777777" w:rsidTr="002B61BC">
        <w:tc>
          <w:tcPr>
            <w:tcW w:w="2552" w:type="dxa"/>
            <w:vAlign w:val="bottom"/>
          </w:tcPr>
          <w:p w14:paraId="02F88FB7" w14:textId="77777777" w:rsidR="002B61BC" w:rsidRPr="009B235E" w:rsidRDefault="002B61BC" w:rsidP="002B61BC">
            <w:pPr>
              <w:spacing w:after="0" w:line="240" w:lineRule="auto"/>
              <w:rPr>
                <w:rFonts w:ascii="Times New Roman" w:eastAsia="Times New Roman" w:hAnsi="Times New Roman" w:cs="Times New Roman"/>
                <w:sz w:val="24"/>
                <w:szCs w:val="24"/>
                <w:lang w:eastAsia="ru-RU"/>
              </w:rPr>
            </w:pPr>
            <w:r w:rsidRPr="009B235E">
              <w:rPr>
                <w:rFonts w:ascii="Times New Roman" w:eastAsia="Times New Roman" w:hAnsi="Times New Roman" w:cs="Times New Roman"/>
                <w:sz w:val="24"/>
                <w:szCs w:val="24"/>
                <w:lang w:eastAsia="ru-RU"/>
              </w:rPr>
              <w:t xml:space="preserve">Чукотский </w:t>
            </w:r>
            <w:proofErr w:type="spellStart"/>
            <w:r w:rsidRPr="009B235E">
              <w:rPr>
                <w:rFonts w:ascii="Times New Roman" w:eastAsia="Times New Roman" w:hAnsi="Times New Roman" w:cs="Times New Roman"/>
                <w:sz w:val="24"/>
                <w:szCs w:val="24"/>
                <w:lang w:eastAsia="ru-RU"/>
              </w:rPr>
              <w:t>авт.округ</w:t>
            </w:r>
            <w:proofErr w:type="spellEnd"/>
          </w:p>
        </w:tc>
        <w:tc>
          <w:tcPr>
            <w:tcW w:w="1134" w:type="dxa"/>
            <w:shd w:val="clear" w:color="auto" w:fill="auto"/>
            <w:vAlign w:val="center"/>
          </w:tcPr>
          <w:p w14:paraId="14AE1CA0"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1,4</w:t>
            </w:r>
          </w:p>
        </w:tc>
        <w:tc>
          <w:tcPr>
            <w:tcW w:w="1250" w:type="dxa"/>
            <w:shd w:val="clear" w:color="auto" w:fill="auto"/>
            <w:vAlign w:val="center"/>
          </w:tcPr>
          <w:p w14:paraId="768CE1FE"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89,6</w:t>
            </w:r>
          </w:p>
        </w:tc>
        <w:tc>
          <w:tcPr>
            <w:tcW w:w="1392" w:type="dxa"/>
            <w:shd w:val="clear" w:color="auto" w:fill="auto"/>
            <w:vAlign w:val="center"/>
          </w:tcPr>
          <w:p w14:paraId="15C6C323"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162,9</w:t>
            </w:r>
          </w:p>
        </w:tc>
        <w:tc>
          <w:tcPr>
            <w:tcW w:w="1159" w:type="dxa"/>
            <w:shd w:val="clear" w:color="auto" w:fill="auto"/>
            <w:vAlign w:val="center"/>
          </w:tcPr>
          <w:p w14:paraId="0538E4EB"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6,1</w:t>
            </w:r>
          </w:p>
        </w:tc>
        <w:tc>
          <w:tcPr>
            <w:tcW w:w="1019" w:type="dxa"/>
            <w:shd w:val="clear" w:color="auto" w:fill="auto"/>
            <w:vAlign w:val="center"/>
          </w:tcPr>
          <w:p w14:paraId="72B2BE9F"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2,0</w:t>
            </w:r>
          </w:p>
        </w:tc>
        <w:tc>
          <w:tcPr>
            <w:tcW w:w="992" w:type="dxa"/>
            <w:shd w:val="clear" w:color="auto" w:fill="auto"/>
            <w:vAlign w:val="center"/>
          </w:tcPr>
          <w:p w14:paraId="4E47BCE4"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w:t>
            </w:r>
          </w:p>
        </w:tc>
        <w:tc>
          <w:tcPr>
            <w:tcW w:w="1161" w:type="dxa"/>
            <w:shd w:val="clear" w:color="auto" w:fill="auto"/>
            <w:vAlign w:val="center"/>
          </w:tcPr>
          <w:p w14:paraId="31265CA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136,1</w:t>
            </w:r>
          </w:p>
        </w:tc>
        <w:tc>
          <w:tcPr>
            <w:tcW w:w="1134" w:type="dxa"/>
            <w:shd w:val="clear" w:color="auto" w:fill="auto"/>
            <w:vAlign w:val="center"/>
          </w:tcPr>
          <w:p w14:paraId="27BD6D1A"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4,1</w:t>
            </w:r>
          </w:p>
        </w:tc>
        <w:tc>
          <w:tcPr>
            <w:tcW w:w="1328" w:type="dxa"/>
            <w:shd w:val="clear" w:color="auto" w:fill="auto"/>
            <w:vAlign w:val="center"/>
          </w:tcPr>
          <w:p w14:paraId="290F50A5"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20,5</w:t>
            </w:r>
          </w:p>
        </w:tc>
        <w:tc>
          <w:tcPr>
            <w:tcW w:w="1418" w:type="dxa"/>
            <w:shd w:val="clear" w:color="auto" w:fill="auto"/>
            <w:vAlign w:val="center"/>
          </w:tcPr>
          <w:p w14:paraId="4B958762"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8,6</w:t>
            </w:r>
          </w:p>
        </w:tc>
        <w:tc>
          <w:tcPr>
            <w:tcW w:w="1364" w:type="dxa"/>
            <w:shd w:val="clear" w:color="auto" w:fill="auto"/>
            <w:vAlign w:val="center"/>
          </w:tcPr>
          <w:p w14:paraId="42779258" w14:textId="77777777" w:rsidR="002B61BC" w:rsidRPr="00D5564D" w:rsidRDefault="002B61BC" w:rsidP="002B61BC">
            <w:pPr>
              <w:spacing w:after="0" w:line="240" w:lineRule="auto"/>
              <w:jc w:val="center"/>
              <w:rPr>
                <w:rFonts w:ascii="Times New Roman" w:eastAsia="Times New Roman" w:hAnsi="Times New Roman"/>
                <w:lang w:eastAsia="ru-RU"/>
              </w:rPr>
            </w:pPr>
            <w:r w:rsidRPr="00D5564D">
              <w:rPr>
                <w:rFonts w:ascii="Times New Roman" w:eastAsia="Times New Roman" w:hAnsi="Times New Roman"/>
                <w:lang w:eastAsia="ru-RU"/>
              </w:rPr>
              <w:t>1,9</w:t>
            </w:r>
          </w:p>
        </w:tc>
      </w:tr>
    </w:tbl>
    <w:p w14:paraId="33EAF1A9" w14:textId="77777777" w:rsidR="0009498F" w:rsidRDefault="0009498F" w:rsidP="0009498F">
      <w:pPr>
        <w:spacing w:before="60" w:after="0" w:line="240" w:lineRule="auto"/>
        <w:ind w:firstLine="284"/>
        <w:jc w:val="both"/>
        <w:rPr>
          <w:rFonts w:ascii="Times New Roman" w:eastAsia="Times New Roman" w:hAnsi="Times New Roman" w:cs="Times New Roman"/>
          <w:sz w:val="24"/>
          <w:szCs w:val="24"/>
          <w:lang w:eastAsia="ru-RU"/>
        </w:rPr>
      </w:pPr>
    </w:p>
    <w:p w14:paraId="5745A421" w14:textId="77777777" w:rsidR="002B61BC" w:rsidRPr="002B61BC" w:rsidRDefault="002B61BC" w:rsidP="002B61BC">
      <w:pPr>
        <w:tabs>
          <w:tab w:val="left" w:pos="10490"/>
        </w:tabs>
        <w:spacing w:after="0" w:line="240" w:lineRule="auto"/>
        <w:ind w:hanging="567"/>
        <w:jc w:val="both"/>
        <w:rPr>
          <w:iCs/>
        </w:rPr>
      </w:pPr>
      <w:r w:rsidRPr="002B61BC">
        <w:rPr>
          <w:rFonts w:ascii="Times New Roman" w:eastAsia="Times New Roman" w:hAnsi="Times New Roman" w:cs="Times New Roman"/>
          <w:bCs/>
          <w:lang w:eastAsia="ru-RU"/>
        </w:rPr>
        <w:t>1)</w:t>
      </w:r>
      <w:r w:rsidRPr="002B61BC">
        <w:rPr>
          <w:rFonts w:ascii="Times New Roman" w:eastAsia="Times New Roman" w:hAnsi="Times New Roman" w:cs="Times New Roman"/>
          <w:bCs/>
          <w:vertAlign w:val="superscript"/>
          <w:lang w:eastAsia="ru-RU"/>
        </w:rPr>
        <w:t xml:space="preserve"> </w:t>
      </w:r>
      <w:r w:rsidR="0009498F" w:rsidRPr="002B61BC">
        <w:rPr>
          <w:rFonts w:ascii="Times New Roman" w:eastAsia="Times New Roman" w:hAnsi="Times New Roman" w:cs="Times New Roman"/>
          <w:bCs/>
          <w:lang w:eastAsia="ru-RU"/>
        </w:rPr>
        <w:t xml:space="preserve"> </w:t>
      </w:r>
      <w:r w:rsidRPr="002B61BC">
        <w:rPr>
          <w:rFonts w:ascii="Times New Roman" w:eastAsia="Times New Roman" w:hAnsi="Times New Roman"/>
          <w:bCs/>
          <w:lang w:eastAsia="ru-RU"/>
        </w:rPr>
        <w:t xml:space="preserve">Информация размещена на официальном сайте Росстата в сети </w:t>
      </w:r>
      <w:r w:rsidRPr="002B61BC">
        <w:rPr>
          <w:rFonts w:ascii="Times New Roman" w:hAnsi="Times New Roman"/>
        </w:rPr>
        <w:t>Интернет</w:t>
      </w:r>
      <w:r w:rsidRPr="002B61BC">
        <w:rPr>
          <w:rFonts w:ascii="Times New Roman" w:hAnsi="Times New Roman"/>
          <w:iCs/>
        </w:rPr>
        <w:t xml:space="preserve"> по адресу: https://rosstat.gov.ru/statistics/finance</w:t>
      </w:r>
      <w:r w:rsidRPr="002B61BC">
        <w:rPr>
          <w:iCs/>
        </w:rPr>
        <w:t xml:space="preserve">. </w:t>
      </w:r>
    </w:p>
    <w:p w14:paraId="63D9F368" w14:textId="7576AD8C" w:rsidR="0009498F" w:rsidRPr="002F531B" w:rsidRDefault="002B61BC" w:rsidP="002F531B">
      <w:pPr>
        <w:tabs>
          <w:tab w:val="left" w:pos="10490"/>
          <w:tab w:val="left" w:pos="10632"/>
          <w:tab w:val="left" w:pos="10915"/>
          <w:tab w:val="left" w:pos="11057"/>
        </w:tabs>
        <w:spacing w:after="0" w:line="240" w:lineRule="auto"/>
        <w:ind w:left="-567" w:right="-314"/>
        <w:jc w:val="both"/>
        <w:rPr>
          <w:lang w:eastAsia="ru-RU"/>
        </w:rPr>
      </w:pPr>
      <w:r w:rsidRPr="002B61BC">
        <w:rPr>
          <w:rFonts w:ascii="Times New Roman" w:eastAsia="Times New Roman" w:hAnsi="Times New Roman"/>
          <w:bCs/>
          <w:lang w:eastAsia="ru-RU"/>
        </w:rPr>
        <w:t>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14:paraId="3B5BBDF7" w14:textId="77777777" w:rsidR="0009498F" w:rsidRDefault="0009498F" w:rsidP="00420FD7">
      <w:pPr>
        <w:spacing w:after="0"/>
        <w:jc w:val="right"/>
        <w:rPr>
          <w:rFonts w:ascii="Times New Roman" w:hAnsi="Times New Roman"/>
          <w:sz w:val="26"/>
          <w:szCs w:val="26"/>
          <w:lang w:eastAsia="ru-RU"/>
        </w:rPr>
        <w:sectPr w:rsidR="0009498F" w:rsidSect="0009498F">
          <w:pgSz w:w="16838" w:h="11906" w:orient="landscape"/>
          <w:pgMar w:top="1134" w:right="1134" w:bottom="567" w:left="1134" w:header="680" w:footer="680" w:gutter="0"/>
          <w:cols w:space="708"/>
          <w:titlePg/>
          <w:docGrid w:linePitch="360"/>
        </w:sectPr>
      </w:pPr>
    </w:p>
    <w:p w14:paraId="499376C2" w14:textId="77777777" w:rsidR="00420FD7" w:rsidRPr="001F2084" w:rsidRDefault="00420FD7" w:rsidP="00420FD7">
      <w:pPr>
        <w:spacing w:after="0"/>
        <w:jc w:val="right"/>
        <w:rPr>
          <w:rFonts w:ascii="Times New Roman" w:hAnsi="Times New Roman"/>
          <w:sz w:val="26"/>
          <w:szCs w:val="26"/>
          <w:lang w:eastAsia="ru-RU"/>
        </w:rPr>
      </w:pPr>
      <w:r w:rsidRPr="001F2084">
        <w:rPr>
          <w:rFonts w:ascii="Times New Roman" w:hAnsi="Times New Roman"/>
          <w:sz w:val="26"/>
          <w:szCs w:val="26"/>
          <w:lang w:eastAsia="ru-RU"/>
        </w:rPr>
        <w:t xml:space="preserve">Таблица </w:t>
      </w:r>
      <w:r w:rsidR="001903A7" w:rsidRPr="001F2084">
        <w:rPr>
          <w:rFonts w:ascii="Times New Roman" w:hAnsi="Times New Roman"/>
          <w:sz w:val="26"/>
          <w:szCs w:val="26"/>
          <w:lang w:eastAsia="ru-RU"/>
        </w:rPr>
        <w:t>6</w:t>
      </w:r>
      <w:r w:rsidR="009E6765">
        <w:rPr>
          <w:rFonts w:ascii="Times New Roman" w:hAnsi="Times New Roman"/>
          <w:sz w:val="26"/>
          <w:szCs w:val="26"/>
          <w:lang w:eastAsia="ru-RU"/>
        </w:rPr>
        <w:t>7</w:t>
      </w:r>
    </w:p>
    <w:p w14:paraId="393FDC00" w14:textId="77777777" w:rsidR="00420FD7" w:rsidRPr="001F2084" w:rsidRDefault="00420FD7" w:rsidP="00420FD7">
      <w:pPr>
        <w:spacing w:after="0"/>
        <w:jc w:val="right"/>
        <w:rPr>
          <w:rFonts w:ascii="Times New Roman" w:hAnsi="Times New Roman"/>
          <w:sz w:val="26"/>
          <w:szCs w:val="26"/>
          <w:lang w:eastAsia="ru-RU"/>
        </w:rPr>
      </w:pPr>
    </w:p>
    <w:p w14:paraId="61E7B893" w14:textId="77777777" w:rsidR="00420FD7" w:rsidRPr="001F2084" w:rsidRDefault="00420FD7" w:rsidP="004B34B2">
      <w:pPr>
        <w:spacing w:after="0" w:line="240" w:lineRule="auto"/>
        <w:jc w:val="center"/>
        <w:rPr>
          <w:rFonts w:ascii="Times New Roman" w:hAnsi="Times New Roman"/>
          <w:b/>
          <w:bCs/>
          <w:sz w:val="26"/>
          <w:szCs w:val="26"/>
        </w:rPr>
      </w:pPr>
      <w:r w:rsidRPr="001F2084">
        <w:rPr>
          <w:rFonts w:ascii="Times New Roman" w:hAnsi="Times New Roman"/>
          <w:b/>
          <w:bCs/>
          <w:sz w:val="26"/>
          <w:szCs w:val="26"/>
        </w:rPr>
        <w:t>Оценка домашними хозяйствами, имеющими детей в возрасте до 18 лет,</w:t>
      </w:r>
    </w:p>
    <w:p w14:paraId="11A0D1AC" w14:textId="77777777" w:rsidR="00420FD7" w:rsidRPr="001F2084" w:rsidRDefault="00420FD7" w:rsidP="004B34B2">
      <w:pPr>
        <w:spacing w:after="0" w:line="240" w:lineRule="auto"/>
        <w:jc w:val="center"/>
        <w:rPr>
          <w:rFonts w:ascii="Times New Roman" w:hAnsi="Times New Roman"/>
          <w:b/>
          <w:bCs/>
          <w:sz w:val="26"/>
          <w:szCs w:val="26"/>
          <w:vertAlign w:val="superscript"/>
        </w:rPr>
      </w:pPr>
      <w:r w:rsidRPr="001F2084">
        <w:rPr>
          <w:rFonts w:ascii="Times New Roman" w:hAnsi="Times New Roman"/>
          <w:b/>
          <w:bCs/>
          <w:sz w:val="26"/>
          <w:szCs w:val="26"/>
        </w:rPr>
        <w:t>жилищных условий и намерений по их улучшению</w:t>
      </w:r>
    </w:p>
    <w:p w14:paraId="61986709" w14:textId="77777777" w:rsidR="00420FD7" w:rsidRPr="001F2084" w:rsidRDefault="00420FD7" w:rsidP="004B34B2">
      <w:pPr>
        <w:spacing w:after="0" w:line="240" w:lineRule="auto"/>
        <w:jc w:val="center"/>
        <w:rPr>
          <w:rFonts w:ascii="Times New Roman" w:hAnsi="Times New Roman"/>
          <w:bCs/>
          <w:sz w:val="26"/>
          <w:szCs w:val="26"/>
        </w:rPr>
      </w:pPr>
      <w:r w:rsidRPr="001F2084">
        <w:rPr>
          <w:rFonts w:ascii="Times New Roman" w:hAnsi="Times New Roman"/>
          <w:bCs/>
          <w:sz w:val="26"/>
          <w:szCs w:val="26"/>
        </w:rPr>
        <w:t>(по данным Комплексного наблюдения условий жизни населения)</w:t>
      </w:r>
    </w:p>
    <w:p w14:paraId="2EB59CE9" w14:textId="77777777" w:rsidR="00420FD7" w:rsidRPr="00CE50B2" w:rsidRDefault="00420FD7" w:rsidP="00420FD7">
      <w:pPr>
        <w:spacing w:after="0"/>
        <w:jc w:val="right"/>
        <w:rPr>
          <w:rFonts w:ascii="Times New Roman" w:hAnsi="Times New Roman"/>
          <w:bCs/>
        </w:rPr>
      </w:pPr>
      <w:r w:rsidRPr="00CE50B2">
        <w:rPr>
          <w:rFonts w:ascii="Times New Roman" w:hAnsi="Times New Roman"/>
          <w:bCs/>
        </w:rPr>
        <w:t>в процентах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3"/>
        <w:gridCol w:w="1478"/>
        <w:gridCol w:w="1664"/>
        <w:gridCol w:w="1760"/>
        <w:gridCol w:w="1770"/>
      </w:tblGrid>
      <w:tr w:rsidR="00420FD7" w:rsidRPr="00CE50B2" w14:paraId="083FB66D" w14:textId="77777777" w:rsidTr="00420FD7">
        <w:trPr>
          <w:cantSplit/>
          <w:trHeight w:val="457"/>
          <w:tblHeader/>
          <w:jc w:val="center"/>
        </w:trPr>
        <w:tc>
          <w:tcPr>
            <w:tcW w:w="1728" w:type="pct"/>
            <w:vMerge w:val="restart"/>
          </w:tcPr>
          <w:p w14:paraId="08516BEB" w14:textId="77777777" w:rsidR="00420FD7" w:rsidRPr="00CE50B2" w:rsidRDefault="00420FD7" w:rsidP="00420FD7">
            <w:pPr>
              <w:spacing w:after="0" w:line="200" w:lineRule="exact"/>
              <w:jc w:val="center"/>
              <w:rPr>
                <w:rFonts w:ascii="Times New Roman" w:hAnsi="Times New Roman"/>
                <w:b/>
                <w:i/>
              </w:rPr>
            </w:pPr>
          </w:p>
        </w:tc>
        <w:tc>
          <w:tcPr>
            <w:tcW w:w="725" w:type="pct"/>
            <w:vMerge w:val="restart"/>
            <w:vAlign w:val="center"/>
          </w:tcPr>
          <w:p w14:paraId="36A5BE9C" w14:textId="77777777" w:rsidR="00420FD7" w:rsidRPr="00CE50B2" w:rsidRDefault="00420FD7" w:rsidP="00420FD7">
            <w:pPr>
              <w:spacing w:after="0" w:line="200" w:lineRule="exact"/>
              <w:jc w:val="center"/>
              <w:rPr>
                <w:rFonts w:ascii="Times New Roman" w:hAnsi="Times New Roman"/>
              </w:rPr>
            </w:pPr>
            <w:r w:rsidRPr="00CE50B2">
              <w:rPr>
                <w:rFonts w:ascii="Times New Roman" w:hAnsi="Times New Roman"/>
              </w:rPr>
              <w:t>Все домашние хозяйства</w:t>
            </w:r>
          </w:p>
        </w:tc>
        <w:tc>
          <w:tcPr>
            <w:tcW w:w="816" w:type="pct"/>
            <w:vMerge w:val="restart"/>
            <w:vAlign w:val="center"/>
          </w:tcPr>
          <w:p w14:paraId="0F8E2EE8" w14:textId="77777777" w:rsidR="00420FD7" w:rsidRPr="00CE50B2" w:rsidRDefault="00420FD7" w:rsidP="00420FD7">
            <w:pPr>
              <w:spacing w:after="0" w:line="200" w:lineRule="exact"/>
              <w:jc w:val="center"/>
              <w:rPr>
                <w:rFonts w:ascii="Times New Roman" w:hAnsi="Times New Roman"/>
              </w:rPr>
            </w:pPr>
            <w:r w:rsidRPr="00CE50B2">
              <w:rPr>
                <w:rFonts w:ascii="Times New Roman" w:hAnsi="Times New Roman"/>
              </w:rPr>
              <w:t xml:space="preserve">Из них домашние хозяйства с детьми </w:t>
            </w:r>
            <w:r w:rsidRPr="00CE50B2">
              <w:rPr>
                <w:rFonts w:ascii="Times New Roman" w:hAnsi="Times New Roman"/>
              </w:rPr>
              <w:br/>
              <w:t xml:space="preserve">в возрасте </w:t>
            </w:r>
            <w:r w:rsidRPr="00CE50B2">
              <w:rPr>
                <w:rFonts w:ascii="Times New Roman" w:hAnsi="Times New Roman"/>
              </w:rPr>
              <w:br/>
              <w:t>до 18 лет</w:t>
            </w:r>
          </w:p>
        </w:tc>
        <w:tc>
          <w:tcPr>
            <w:tcW w:w="1731" w:type="pct"/>
            <w:gridSpan w:val="2"/>
            <w:vAlign w:val="center"/>
          </w:tcPr>
          <w:p w14:paraId="5CAA31A7" w14:textId="77777777" w:rsidR="00420FD7" w:rsidRPr="00CE50B2" w:rsidRDefault="00420FD7" w:rsidP="00420FD7">
            <w:pPr>
              <w:spacing w:after="0" w:line="200" w:lineRule="exact"/>
              <w:jc w:val="center"/>
              <w:rPr>
                <w:rFonts w:ascii="Times New Roman" w:hAnsi="Times New Roman"/>
              </w:rPr>
            </w:pPr>
            <w:r w:rsidRPr="00CE50B2">
              <w:rPr>
                <w:rFonts w:ascii="Times New Roman" w:hAnsi="Times New Roman"/>
              </w:rPr>
              <w:t>В том числе проживающие</w:t>
            </w:r>
          </w:p>
        </w:tc>
      </w:tr>
      <w:tr w:rsidR="00420FD7" w:rsidRPr="00CE50B2" w14:paraId="2A33EC53" w14:textId="77777777" w:rsidTr="00420FD7">
        <w:trPr>
          <w:cantSplit/>
          <w:tblHeader/>
          <w:jc w:val="center"/>
        </w:trPr>
        <w:tc>
          <w:tcPr>
            <w:tcW w:w="1728" w:type="pct"/>
            <w:vMerge/>
          </w:tcPr>
          <w:p w14:paraId="0F463683" w14:textId="77777777" w:rsidR="00420FD7" w:rsidRPr="00CE50B2" w:rsidRDefault="00420FD7" w:rsidP="00420FD7">
            <w:pPr>
              <w:spacing w:line="200" w:lineRule="exact"/>
              <w:jc w:val="center"/>
              <w:rPr>
                <w:rFonts w:ascii="Times New Roman" w:hAnsi="Times New Roman"/>
                <w:b/>
                <w:i/>
              </w:rPr>
            </w:pPr>
          </w:p>
        </w:tc>
        <w:tc>
          <w:tcPr>
            <w:tcW w:w="725" w:type="pct"/>
            <w:vMerge/>
            <w:vAlign w:val="center"/>
          </w:tcPr>
          <w:p w14:paraId="13A5FAF0" w14:textId="77777777" w:rsidR="00420FD7" w:rsidRPr="00CE50B2" w:rsidRDefault="00420FD7" w:rsidP="00420FD7">
            <w:pPr>
              <w:spacing w:line="200" w:lineRule="exact"/>
              <w:jc w:val="center"/>
              <w:rPr>
                <w:rFonts w:ascii="Times New Roman" w:hAnsi="Times New Roman"/>
              </w:rPr>
            </w:pPr>
          </w:p>
        </w:tc>
        <w:tc>
          <w:tcPr>
            <w:tcW w:w="816" w:type="pct"/>
            <w:vMerge/>
            <w:vAlign w:val="center"/>
          </w:tcPr>
          <w:p w14:paraId="61987744" w14:textId="77777777" w:rsidR="00420FD7" w:rsidRPr="00CE50B2" w:rsidRDefault="00420FD7" w:rsidP="00420FD7">
            <w:pPr>
              <w:spacing w:line="200" w:lineRule="exact"/>
              <w:jc w:val="center"/>
              <w:rPr>
                <w:rFonts w:ascii="Times New Roman" w:hAnsi="Times New Roman"/>
              </w:rPr>
            </w:pPr>
          </w:p>
        </w:tc>
        <w:tc>
          <w:tcPr>
            <w:tcW w:w="863" w:type="pct"/>
            <w:vAlign w:val="center"/>
          </w:tcPr>
          <w:p w14:paraId="312460BE" w14:textId="77777777" w:rsidR="00420FD7" w:rsidRPr="00CE50B2" w:rsidRDefault="00420FD7" w:rsidP="00420FD7">
            <w:pPr>
              <w:spacing w:line="200" w:lineRule="exact"/>
              <w:jc w:val="center"/>
              <w:rPr>
                <w:rFonts w:ascii="Times New Roman" w:hAnsi="Times New Roman"/>
              </w:rPr>
            </w:pPr>
            <w:r w:rsidRPr="00CE50B2">
              <w:rPr>
                <w:rFonts w:ascii="Times New Roman" w:hAnsi="Times New Roman"/>
              </w:rPr>
              <w:t>в городской местности</w:t>
            </w:r>
          </w:p>
        </w:tc>
        <w:tc>
          <w:tcPr>
            <w:tcW w:w="868" w:type="pct"/>
            <w:vAlign w:val="center"/>
          </w:tcPr>
          <w:p w14:paraId="5BA02839" w14:textId="77777777" w:rsidR="00420FD7" w:rsidRPr="00CE50B2" w:rsidRDefault="00420FD7" w:rsidP="00420FD7">
            <w:pPr>
              <w:spacing w:line="200" w:lineRule="exact"/>
              <w:jc w:val="center"/>
              <w:rPr>
                <w:rFonts w:ascii="Times New Roman" w:hAnsi="Times New Roman"/>
              </w:rPr>
            </w:pPr>
            <w:r w:rsidRPr="00CE50B2">
              <w:rPr>
                <w:rFonts w:ascii="Times New Roman" w:hAnsi="Times New Roman"/>
              </w:rPr>
              <w:t>в сельской местности</w:t>
            </w:r>
          </w:p>
        </w:tc>
      </w:tr>
      <w:tr w:rsidR="00420FD7" w:rsidRPr="00CE50B2" w14:paraId="3BDD6520" w14:textId="77777777" w:rsidTr="00514D02">
        <w:trPr>
          <w:jc w:val="center"/>
        </w:trPr>
        <w:tc>
          <w:tcPr>
            <w:tcW w:w="5000" w:type="pct"/>
            <w:gridSpan w:val="5"/>
            <w:tcBorders>
              <w:bottom w:val="single" w:sz="4" w:space="0" w:color="auto"/>
            </w:tcBorders>
            <w:vAlign w:val="center"/>
          </w:tcPr>
          <w:p w14:paraId="24FDE8EC" w14:textId="77777777" w:rsidR="00420FD7" w:rsidRPr="00CE50B2" w:rsidRDefault="00420FD7" w:rsidP="00514D02">
            <w:pPr>
              <w:spacing w:before="80" w:after="20" w:line="240" w:lineRule="auto"/>
              <w:ind w:right="454"/>
              <w:jc w:val="center"/>
              <w:rPr>
                <w:rFonts w:ascii="Times New Roman" w:hAnsi="Times New Roman"/>
                <w:lang w:val="en-US"/>
              </w:rPr>
            </w:pPr>
            <w:r w:rsidRPr="00CE50B2">
              <w:rPr>
                <w:rFonts w:ascii="Times New Roman" w:hAnsi="Times New Roman"/>
                <w:b/>
              </w:rPr>
              <w:t>201</w:t>
            </w:r>
            <w:r w:rsidRPr="00CE50B2">
              <w:rPr>
                <w:rFonts w:ascii="Times New Roman" w:hAnsi="Times New Roman"/>
                <w:b/>
                <w:lang w:val="en-US"/>
              </w:rPr>
              <w:t>8</w:t>
            </w:r>
            <w:r w:rsidRPr="00CE50B2">
              <w:rPr>
                <w:rFonts w:ascii="Times New Roman" w:hAnsi="Times New Roman"/>
                <w:b/>
              </w:rPr>
              <w:t xml:space="preserve"> г.</w:t>
            </w:r>
          </w:p>
        </w:tc>
      </w:tr>
      <w:tr w:rsidR="00420FD7" w:rsidRPr="00CE50B2" w14:paraId="2FDDF727" w14:textId="77777777" w:rsidTr="00514D02">
        <w:trPr>
          <w:jc w:val="center"/>
        </w:trPr>
        <w:tc>
          <w:tcPr>
            <w:tcW w:w="1728" w:type="pct"/>
            <w:tcBorders>
              <w:bottom w:val="nil"/>
            </w:tcBorders>
            <w:vAlign w:val="bottom"/>
          </w:tcPr>
          <w:p w14:paraId="377D49BA" w14:textId="77777777" w:rsidR="00420FD7" w:rsidRPr="00CE50B2" w:rsidRDefault="00420FD7" w:rsidP="00420FD7">
            <w:pPr>
              <w:spacing w:before="80" w:after="20" w:line="240" w:lineRule="auto"/>
              <w:rPr>
                <w:rFonts w:ascii="Times New Roman" w:hAnsi="Times New Roman"/>
              </w:rPr>
            </w:pPr>
            <w:r w:rsidRPr="00CE50B2">
              <w:rPr>
                <w:rFonts w:ascii="Times New Roman" w:hAnsi="Times New Roman"/>
              </w:rPr>
              <w:t xml:space="preserve">Из общего числа домашних хозяйств </w:t>
            </w:r>
          </w:p>
        </w:tc>
        <w:tc>
          <w:tcPr>
            <w:tcW w:w="725" w:type="pct"/>
            <w:tcBorders>
              <w:bottom w:val="nil"/>
            </w:tcBorders>
            <w:vAlign w:val="center"/>
          </w:tcPr>
          <w:p w14:paraId="5C823AE3"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16" w:type="pct"/>
            <w:tcBorders>
              <w:bottom w:val="nil"/>
            </w:tcBorders>
            <w:vAlign w:val="center"/>
          </w:tcPr>
          <w:p w14:paraId="0B19F9E6"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3" w:type="pct"/>
            <w:tcBorders>
              <w:bottom w:val="nil"/>
            </w:tcBorders>
            <w:vAlign w:val="center"/>
          </w:tcPr>
          <w:p w14:paraId="7E94A173"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8" w:type="pct"/>
            <w:tcBorders>
              <w:bottom w:val="nil"/>
            </w:tcBorders>
            <w:vAlign w:val="center"/>
          </w:tcPr>
          <w:p w14:paraId="2702C21F"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r>
      <w:tr w:rsidR="00420FD7" w:rsidRPr="00CE50B2" w14:paraId="46DEB203" w14:textId="77777777" w:rsidTr="00514D02">
        <w:trPr>
          <w:jc w:val="center"/>
        </w:trPr>
        <w:tc>
          <w:tcPr>
            <w:tcW w:w="1728" w:type="pct"/>
            <w:tcBorders>
              <w:top w:val="nil"/>
              <w:left w:val="single" w:sz="4" w:space="0" w:color="auto"/>
              <w:bottom w:val="nil"/>
              <w:right w:val="single" w:sz="4" w:space="0" w:color="auto"/>
            </w:tcBorders>
            <w:vAlign w:val="bottom"/>
          </w:tcPr>
          <w:p w14:paraId="715F6F7A" w14:textId="77777777" w:rsidR="00420FD7" w:rsidRPr="00CE50B2" w:rsidRDefault="00420FD7" w:rsidP="00420FD7">
            <w:pPr>
              <w:spacing w:before="80" w:after="20" w:line="240" w:lineRule="auto"/>
              <w:ind w:left="113"/>
              <w:rPr>
                <w:rFonts w:ascii="Times New Roman" w:hAnsi="Times New Roman"/>
                <w:i/>
              </w:rPr>
            </w:pPr>
            <w:r w:rsidRPr="00CE50B2">
              <w:rPr>
                <w:rFonts w:ascii="Times New Roman" w:hAnsi="Times New Roman"/>
                <w:i/>
              </w:rPr>
              <w:t>оценивают свои жилищные условия как:</w:t>
            </w:r>
          </w:p>
        </w:tc>
        <w:tc>
          <w:tcPr>
            <w:tcW w:w="725" w:type="pct"/>
            <w:tcBorders>
              <w:top w:val="nil"/>
              <w:left w:val="single" w:sz="4" w:space="0" w:color="auto"/>
              <w:bottom w:val="nil"/>
              <w:right w:val="single" w:sz="4" w:space="0" w:color="auto"/>
            </w:tcBorders>
            <w:vAlign w:val="center"/>
          </w:tcPr>
          <w:p w14:paraId="75449321" w14:textId="77777777" w:rsidR="00420FD7" w:rsidRPr="00CE50B2" w:rsidRDefault="00420FD7" w:rsidP="00514D02">
            <w:pPr>
              <w:spacing w:before="80" w:after="20" w:line="240" w:lineRule="auto"/>
              <w:jc w:val="center"/>
              <w:rPr>
                <w:rFonts w:ascii="Times New Roman" w:hAnsi="Times New Roman"/>
              </w:rPr>
            </w:pPr>
          </w:p>
        </w:tc>
        <w:tc>
          <w:tcPr>
            <w:tcW w:w="816" w:type="pct"/>
            <w:tcBorders>
              <w:top w:val="nil"/>
              <w:left w:val="single" w:sz="4" w:space="0" w:color="auto"/>
              <w:bottom w:val="nil"/>
              <w:right w:val="single" w:sz="4" w:space="0" w:color="auto"/>
            </w:tcBorders>
            <w:vAlign w:val="center"/>
          </w:tcPr>
          <w:p w14:paraId="62CD43E9" w14:textId="77777777" w:rsidR="00420FD7" w:rsidRPr="00CE50B2" w:rsidRDefault="00420FD7" w:rsidP="00514D02">
            <w:pPr>
              <w:spacing w:before="80" w:after="20" w:line="240" w:lineRule="auto"/>
              <w:jc w:val="center"/>
              <w:rPr>
                <w:rFonts w:ascii="Times New Roman" w:hAnsi="Times New Roman"/>
              </w:rPr>
            </w:pPr>
          </w:p>
        </w:tc>
        <w:tc>
          <w:tcPr>
            <w:tcW w:w="863" w:type="pct"/>
            <w:tcBorders>
              <w:top w:val="nil"/>
              <w:left w:val="single" w:sz="4" w:space="0" w:color="auto"/>
              <w:bottom w:val="nil"/>
              <w:right w:val="single" w:sz="4" w:space="0" w:color="auto"/>
            </w:tcBorders>
            <w:vAlign w:val="center"/>
          </w:tcPr>
          <w:p w14:paraId="77B32346" w14:textId="77777777" w:rsidR="00420FD7" w:rsidRPr="00CE50B2" w:rsidRDefault="00420FD7" w:rsidP="00514D02">
            <w:pPr>
              <w:spacing w:before="80" w:after="20" w:line="240" w:lineRule="auto"/>
              <w:jc w:val="center"/>
              <w:rPr>
                <w:rFonts w:ascii="Times New Roman" w:hAnsi="Times New Roman"/>
              </w:rPr>
            </w:pPr>
          </w:p>
        </w:tc>
        <w:tc>
          <w:tcPr>
            <w:tcW w:w="868" w:type="pct"/>
            <w:tcBorders>
              <w:top w:val="nil"/>
              <w:left w:val="single" w:sz="4" w:space="0" w:color="auto"/>
              <w:bottom w:val="nil"/>
              <w:right w:val="single" w:sz="4" w:space="0" w:color="auto"/>
            </w:tcBorders>
            <w:vAlign w:val="center"/>
          </w:tcPr>
          <w:p w14:paraId="2E5D2845" w14:textId="77777777" w:rsidR="00420FD7" w:rsidRPr="00CE50B2" w:rsidRDefault="00420FD7" w:rsidP="00514D02">
            <w:pPr>
              <w:spacing w:before="80" w:after="20" w:line="240" w:lineRule="auto"/>
              <w:jc w:val="center"/>
              <w:rPr>
                <w:rFonts w:ascii="Times New Roman" w:hAnsi="Times New Roman"/>
              </w:rPr>
            </w:pPr>
          </w:p>
        </w:tc>
      </w:tr>
      <w:tr w:rsidR="00420FD7" w:rsidRPr="00CE50B2" w14:paraId="42E288B1" w14:textId="77777777" w:rsidTr="00514D02">
        <w:trPr>
          <w:jc w:val="center"/>
        </w:trPr>
        <w:tc>
          <w:tcPr>
            <w:tcW w:w="1728" w:type="pct"/>
            <w:tcBorders>
              <w:top w:val="nil"/>
              <w:left w:val="single" w:sz="4" w:space="0" w:color="auto"/>
              <w:bottom w:val="nil"/>
              <w:right w:val="single" w:sz="4" w:space="0" w:color="auto"/>
            </w:tcBorders>
            <w:vAlign w:val="bottom"/>
          </w:tcPr>
          <w:p w14:paraId="685FF9D9" w14:textId="77777777"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отличные</w:t>
            </w:r>
          </w:p>
        </w:tc>
        <w:tc>
          <w:tcPr>
            <w:tcW w:w="725" w:type="pct"/>
            <w:tcBorders>
              <w:top w:val="nil"/>
              <w:left w:val="single" w:sz="4" w:space="0" w:color="auto"/>
              <w:bottom w:val="nil"/>
              <w:right w:val="single" w:sz="4" w:space="0" w:color="auto"/>
            </w:tcBorders>
            <w:vAlign w:val="center"/>
          </w:tcPr>
          <w:p w14:paraId="4500F517"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5,9</w:t>
            </w:r>
          </w:p>
        </w:tc>
        <w:tc>
          <w:tcPr>
            <w:tcW w:w="816" w:type="pct"/>
            <w:tcBorders>
              <w:top w:val="nil"/>
              <w:left w:val="single" w:sz="4" w:space="0" w:color="auto"/>
              <w:bottom w:val="nil"/>
              <w:right w:val="single" w:sz="4" w:space="0" w:color="auto"/>
            </w:tcBorders>
            <w:vAlign w:val="center"/>
          </w:tcPr>
          <w:p w14:paraId="50C7457A"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6,6</w:t>
            </w:r>
          </w:p>
        </w:tc>
        <w:tc>
          <w:tcPr>
            <w:tcW w:w="863" w:type="pct"/>
            <w:tcBorders>
              <w:top w:val="nil"/>
              <w:left w:val="single" w:sz="4" w:space="0" w:color="auto"/>
              <w:bottom w:val="nil"/>
              <w:right w:val="single" w:sz="4" w:space="0" w:color="auto"/>
            </w:tcBorders>
            <w:vAlign w:val="center"/>
          </w:tcPr>
          <w:p w14:paraId="07C13629"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6,9</w:t>
            </w:r>
          </w:p>
        </w:tc>
        <w:tc>
          <w:tcPr>
            <w:tcW w:w="868" w:type="pct"/>
            <w:tcBorders>
              <w:top w:val="nil"/>
              <w:left w:val="single" w:sz="4" w:space="0" w:color="auto"/>
              <w:bottom w:val="nil"/>
              <w:right w:val="single" w:sz="4" w:space="0" w:color="auto"/>
            </w:tcBorders>
            <w:vAlign w:val="center"/>
          </w:tcPr>
          <w:p w14:paraId="1A477865"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6,0</w:t>
            </w:r>
          </w:p>
        </w:tc>
      </w:tr>
      <w:tr w:rsidR="00420FD7" w:rsidRPr="00CE50B2" w14:paraId="607E50FE" w14:textId="77777777" w:rsidTr="00514D02">
        <w:trPr>
          <w:jc w:val="center"/>
        </w:trPr>
        <w:tc>
          <w:tcPr>
            <w:tcW w:w="1728" w:type="pct"/>
            <w:tcBorders>
              <w:top w:val="nil"/>
              <w:bottom w:val="nil"/>
            </w:tcBorders>
            <w:vAlign w:val="bottom"/>
          </w:tcPr>
          <w:p w14:paraId="07A2CB84" w14:textId="77777777"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 xml:space="preserve">хорошие  </w:t>
            </w:r>
          </w:p>
        </w:tc>
        <w:tc>
          <w:tcPr>
            <w:tcW w:w="725" w:type="pct"/>
            <w:tcBorders>
              <w:top w:val="nil"/>
              <w:bottom w:val="nil"/>
            </w:tcBorders>
            <w:vAlign w:val="center"/>
          </w:tcPr>
          <w:p w14:paraId="0B6638EF"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42,8</w:t>
            </w:r>
          </w:p>
        </w:tc>
        <w:tc>
          <w:tcPr>
            <w:tcW w:w="816" w:type="pct"/>
            <w:tcBorders>
              <w:top w:val="nil"/>
              <w:bottom w:val="nil"/>
            </w:tcBorders>
            <w:vAlign w:val="center"/>
          </w:tcPr>
          <w:p w14:paraId="6BA2E238"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44,8</w:t>
            </w:r>
          </w:p>
        </w:tc>
        <w:tc>
          <w:tcPr>
            <w:tcW w:w="863" w:type="pct"/>
            <w:tcBorders>
              <w:top w:val="nil"/>
              <w:bottom w:val="nil"/>
            </w:tcBorders>
            <w:vAlign w:val="center"/>
          </w:tcPr>
          <w:p w14:paraId="62CD5D6D"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45,7</w:t>
            </w:r>
          </w:p>
        </w:tc>
        <w:tc>
          <w:tcPr>
            <w:tcW w:w="868" w:type="pct"/>
            <w:tcBorders>
              <w:top w:val="nil"/>
              <w:bottom w:val="nil"/>
            </w:tcBorders>
            <w:vAlign w:val="center"/>
          </w:tcPr>
          <w:p w14:paraId="7B860BC4"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42,1</w:t>
            </w:r>
          </w:p>
        </w:tc>
      </w:tr>
      <w:tr w:rsidR="00420FD7" w:rsidRPr="00CE50B2" w14:paraId="216464C2" w14:textId="77777777" w:rsidTr="00514D02">
        <w:trPr>
          <w:jc w:val="center"/>
        </w:trPr>
        <w:tc>
          <w:tcPr>
            <w:tcW w:w="1728" w:type="pct"/>
            <w:tcBorders>
              <w:top w:val="nil"/>
              <w:bottom w:val="nil"/>
            </w:tcBorders>
            <w:vAlign w:val="bottom"/>
          </w:tcPr>
          <w:p w14:paraId="68F6049A" w14:textId="77777777"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 xml:space="preserve">удовлетворительные </w:t>
            </w:r>
          </w:p>
        </w:tc>
        <w:tc>
          <w:tcPr>
            <w:tcW w:w="725" w:type="pct"/>
            <w:tcBorders>
              <w:top w:val="nil"/>
              <w:bottom w:val="nil"/>
            </w:tcBorders>
            <w:vAlign w:val="center"/>
          </w:tcPr>
          <w:p w14:paraId="411B6A1A"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46,3</w:t>
            </w:r>
          </w:p>
        </w:tc>
        <w:tc>
          <w:tcPr>
            <w:tcW w:w="816" w:type="pct"/>
            <w:tcBorders>
              <w:top w:val="nil"/>
              <w:bottom w:val="nil"/>
            </w:tcBorders>
            <w:vAlign w:val="center"/>
          </w:tcPr>
          <w:p w14:paraId="53C23F56"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43,4</w:t>
            </w:r>
          </w:p>
        </w:tc>
        <w:tc>
          <w:tcPr>
            <w:tcW w:w="863" w:type="pct"/>
            <w:tcBorders>
              <w:top w:val="nil"/>
              <w:bottom w:val="nil"/>
            </w:tcBorders>
            <w:vAlign w:val="center"/>
          </w:tcPr>
          <w:p w14:paraId="5E04A28D"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42,9</w:t>
            </w:r>
          </w:p>
        </w:tc>
        <w:tc>
          <w:tcPr>
            <w:tcW w:w="868" w:type="pct"/>
            <w:tcBorders>
              <w:top w:val="nil"/>
              <w:bottom w:val="nil"/>
            </w:tcBorders>
            <w:vAlign w:val="center"/>
          </w:tcPr>
          <w:p w14:paraId="72DCF308"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45,1</w:t>
            </w:r>
          </w:p>
        </w:tc>
      </w:tr>
      <w:tr w:rsidR="00420FD7" w:rsidRPr="00CE50B2" w14:paraId="5D184EC5" w14:textId="77777777" w:rsidTr="00514D02">
        <w:trPr>
          <w:jc w:val="center"/>
        </w:trPr>
        <w:tc>
          <w:tcPr>
            <w:tcW w:w="1728" w:type="pct"/>
            <w:tcBorders>
              <w:top w:val="nil"/>
              <w:bottom w:val="nil"/>
            </w:tcBorders>
            <w:vAlign w:val="bottom"/>
          </w:tcPr>
          <w:p w14:paraId="237A1ADA" w14:textId="77777777"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плохие</w:t>
            </w:r>
          </w:p>
        </w:tc>
        <w:tc>
          <w:tcPr>
            <w:tcW w:w="725" w:type="pct"/>
            <w:tcBorders>
              <w:top w:val="nil"/>
              <w:bottom w:val="nil"/>
            </w:tcBorders>
            <w:vAlign w:val="center"/>
          </w:tcPr>
          <w:p w14:paraId="1E64F5C3"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4,4</w:t>
            </w:r>
          </w:p>
        </w:tc>
        <w:tc>
          <w:tcPr>
            <w:tcW w:w="816" w:type="pct"/>
            <w:tcBorders>
              <w:top w:val="nil"/>
              <w:bottom w:val="nil"/>
            </w:tcBorders>
            <w:vAlign w:val="center"/>
          </w:tcPr>
          <w:p w14:paraId="22350824"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4,4</w:t>
            </w:r>
          </w:p>
        </w:tc>
        <w:tc>
          <w:tcPr>
            <w:tcW w:w="863" w:type="pct"/>
            <w:tcBorders>
              <w:top w:val="nil"/>
              <w:bottom w:val="nil"/>
            </w:tcBorders>
            <w:vAlign w:val="center"/>
          </w:tcPr>
          <w:p w14:paraId="67861FCC"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3,8</w:t>
            </w:r>
          </w:p>
        </w:tc>
        <w:tc>
          <w:tcPr>
            <w:tcW w:w="868" w:type="pct"/>
            <w:tcBorders>
              <w:top w:val="nil"/>
              <w:bottom w:val="nil"/>
            </w:tcBorders>
            <w:vAlign w:val="center"/>
          </w:tcPr>
          <w:p w14:paraId="1F7EC355"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6,1</w:t>
            </w:r>
          </w:p>
        </w:tc>
      </w:tr>
      <w:tr w:rsidR="00420FD7" w:rsidRPr="00CE50B2" w14:paraId="2C7EFF2B" w14:textId="77777777" w:rsidTr="00514D02">
        <w:trPr>
          <w:jc w:val="center"/>
        </w:trPr>
        <w:tc>
          <w:tcPr>
            <w:tcW w:w="1728" w:type="pct"/>
            <w:tcBorders>
              <w:top w:val="nil"/>
              <w:bottom w:val="nil"/>
            </w:tcBorders>
            <w:vAlign w:val="bottom"/>
          </w:tcPr>
          <w:p w14:paraId="0892D2EE" w14:textId="77777777"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очень плохие</w:t>
            </w:r>
          </w:p>
        </w:tc>
        <w:tc>
          <w:tcPr>
            <w:tcW w:w="725" w:type="pct"/>
            <w:tcBorders>
              <w:top w:val="nil"/>
              <w:bottom w:val="nil"/>
            </w:tcBorders>
            <w:vAlign w:val="center"/>
          </w:tcPr>
          <w:p w14:paraId="03B2B581"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0,6</w:t>
            </w:r>
          </w:p>
        </w:tc>
        <w:tc>
          <w:tcPr>
            <w:tcW w:w="816" w:type="pct"/>
            <w:tcBorders>
              <w:top w:val="nil"/>
              <w:bottom w:val="nil"/>
            </w:tcBorders>
            <w:vAlign w:val="center"/>
          </w:tcPr>
          <w:p w14:paraId="79E9BC73"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0,7</w:t>
            </w:r>
          </w:p>
        </w:tc>
        <w:tc>
          <w:tcPr>
            <w:tcW w:w="863" w:type="pct"/>
            <w:tcBorders>
              <w:top w:val="nil"/>
              <w:bottom w:val="nil"/>
            </w:tcBorders>
            <w:vAlign w:val="center"/>
          </w:tcPr>
          <w:p w14:paraId="16EF7686"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0,8</w:t>
            </w:r>
          </w:p>
        </w:tc>
        <w:tc>
          <w:tcPr>
            <w:tcW w:w="868" w:type="pct"/>
            <w:tcBorders>
              <w:top w:val="nil"/>
              <w:bottom w:val="nil"/>
            </w:tcBorders>
            <w:vAlign w:val="center"/>
          </w:tcPr>
          <w:p w14:paraId="7BA2B823"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0,7</w:t>
            </w:r>
          </w:p>
        </w:tc>
      </w:tr>
      <w:tr w:rsidR="00420FD7" w:rsidRPr="00CE50B2" w14:paraId="1B0CCA0C" w14:textId="77777777" w:rsidTr="00514D02">
        <w:trPr>
          <w:jc w:val="center"/>
        </w:trPr>
        <w:tc>
          <w:tcPr>
            <w:tcW w:w="1728" w:type="pct"/>
            <w:tcBorders>
              <w:top w:val="nil"/>
              <w:left w:val="single" w:sz="4" w:space="0" w:color="auto"/>
              <w:bottom w:val="nil"/>
              <w:right w:val="single" w:sz="4" w:space="0" w:color="auto"/>
            </w:tcBorders>
            <w:vAlign w:val="bottom"/>
          </w:tcPr>
          <w:p w14:paraId="1F0FD031" w14:textId="77777777" w:rsidR="00420FD7" w:rsidRPr="00CE50B2" w:rsidRDefault="00420FD7" w:rsidP="00420FD7">
            <w:pPr>
              <w:spacing w:before="80" w:after="20" w:line="240" w:lineRule="auto"/>
              <w:ind w:left="113"/>
              <w:rPr>
                <w:rFonts w:ascii="Times New Roman" w:hAnsi="Times New Roman"/>
                <w:i/>
              </w:rPr>
            </w:pPr>
            <w:r w:rsidRPr="00CE50B2">
              <w:rPr>
                <w:rFonts w:ascii="Times New Roman" w:hAnsi="Times New Roman"/>
                <w:i/>
              </w:rPr>
              <w:t>оценивают степень  стесненности проживания как:</w:t>
            </w:r>
          </w:p>
        </w:tc>
        <w:tc>
          <w:tcPr>
            <w:tcW w:w="725" w:type="pct"/>
            <w:tcBorders>
              <w:top w:val="nil"/>
              <w:left w:val="single" w:sz="4" w:space="0" w:color="auto"/>
              <w:bottom w:val="nil"/>
              <w:right w:val="single" w:sz="4" w:space="0" w:color="auto"/>
            </w:tcBorders>
            <w:vAlign w:val="center"/>
          </w:tcPr>
          <w:p w14:paraId="3CB2AACA" w14:textId="77777777" w:rsidR="00420FD7" w:rsidRPr="00CE50B2" w:rsidRDefault="00420FD7" w:rsidP="00514D02">
            <w:pPr>
              <w:spacing w:before="80" w:after="20" w:line="240" w:lineRule="auto"/>
              <w:jc w:val="center"/>
              <w:rPr>
                <w:rFonts w:ascii="Times New Roman" w:hAnsi="Times New Roman"/>
              </w:rPr>
            </w:pPr>
          </w:p>
        </w:tc>
        <w:tc>
          <w:tcPr>
            <w:tcW w:w="816" w:type="pct"/>
            <w:tcBorders>
              <w:top w:val="nil"/>
              <w:left w:val="single" w:sz="4" w:space="0" w:color="auto"/>
              <w:bottom w:val="nil"/>
              <w:right w:val="single" w:sz="4" w:space="0" w:color="auto"/>
            </w:tcBorders>
            <w:vAlign w:val="center"/>
          </w:tcPr>
          <w:p w14:paraId="2D4EC9B2" w14:textId="77777777" w:rsidR="00420FD7" w:rsidRPr="00CE50B2" w:rsidRDefault="00420FD7" w:rsidP="00514D02">
            <w:pPr>
              <w:spacing w:before="80" w:after="20" w:line="240" w:lineRule="auto"/>
              <w:jc w:val="center"/>
              <w:rPr>
                <w:rFonts w:ascii="Times New Roman" w:hAnsi="Times New Roman"/>
              </w:rPr>
            </w:pPr>
          </w:p>
        </w:tc>
        <w:tc>
          <w:tcPr>
            <w:tcW w:w="863" w:type="pct"/>
            <w:tcBorders>
              <w:top w:val="nil"/>
              <w:left w:val="single" w:sz="4" w:space="0" w:color="auto"/>
              <w:bottom w:val="nil"/>
              <w:right w:val="single" w:sz="4" w:space="0" w:color="auto"/>
            </w:tcBorders>
            <w:vAlign w:val="center"/>
          </w:tcPr>
          <w:p w14:paraId="429C81FD" w14:textId="77777777" w:rsidR="00420FD7" w:rsidRPr="00CE50B2" w:rsidRDefault="00420FD7" w:rsidP="00514D02">
            <w:pPr>
              <w:spacing w:before="80" w:after="20" w:line="240" w:lineRule="auto"/>
              <w:jc w:val="center"/>
              <w:rPr>
                <w:rFonts w:ascii="Times New Roman" w:hAnsi="Times New Roman"/>
              </w:rPr>
            </w:pPr>
          </w:p>
        </w:tc>
        <w:tc>
          <w:tcPr>
            <w:tcW w:w="868" w:type="pct"/>
            <w:tcBorders>
              <w:top w:val="nil"/>
              <w:left w:val="single" w:sz="4" w:space="0" w:color="auto"/>
              <w:bottom w:val="nil"/>
              <w:right w:val="single" w:sz="4" w:space="0" w:color="auto"/>
            </w:tcBorders>
            <w:vAlign w:val="center"/>
          </w:tcPr>
          <w:p w14:paraId="093395F7" w14:textId="77777777" w:rsidR="00420FD7" w:rsidRPr="00CE50B2" w:rsidRDefault="00420FD7" w:rsidP="00514D02">
            <w:pPr>
              <w:spacing w:before="80" w:after="20" w:line="240" w:lineRule="auto"/>
              <w:jc w:val="center"/>
              <w:rPr>
                <w:rFonts w:ascii="Times New Roman" w:hAnsi="Times New Roman"/>
              </w:rPr>
            </w:pPr>
          </w:p>
        </w:tc>
      </w:tr>
      <w:tr w:rsidR="00420FD7" w:rsidRPr="00CE50B2" w14:paraId="5F3CC21E" w14:textId="77777777" w:rsidTr="00514D02">
        <w:trPr>
          <w:jc w:val="center"/>
        </w:trPr>
        <w:tc>
          <w:tcPr>
            <w:tcW w:w="1728" w:type="pct"/>
            <w:tcBorders>
              <w:top w:val="nil"/>
              <w:left w:val="single" w:sz="4" w:space="0" w:color="auto"/>
              <w:bottom w:val="nil"/>
              <w:right w:val="single" w:sz="4" w:space="0" w:color="auto"/>
            </w:tcBorders>
            <w:vAlign w:val="bottom"/>
          </w:tcPr>
          <w:p w14:paraId="54AFF35E" w14:textId="77777777"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не испытывают стесненности</w:t>
            </w:r>
          </w:p>
        </w:tc>
        <w:tc>
          <w:tcPr>
            <w:tcW w:w="725" w:type="pct"/>
            <w:tcBorders>
              <w:top w:val="nil"/>
              <w:left w:val="single" w:sz="4" w:space="0" w:color="auto"/>
              <w:bottom w:val="nil"/>
              <w:right w:val="single" w:sz="4" w:space="0" w:color="auto"/>
            </w:tcBorders>
            <w:vAlign w:val="center"/>
          </w:tcPr>
          <w:p w14:paraId="7D184226"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77,4</w:t>
            </w:r>
          </w:p>
        </w:tc>
        <w:tc>
          <w:tcPr>
            <w:tcW w:w="816" w:type="pct"/>
            <w:tcBorders>
              <w:top w:val="nil"/>
              <w:left w:val="single" w:sz="4" w:space="0" w:color="auto"/>
              <w:bottom w:val="nil"/>
              <w:right w:val="single" w:sz="4" w:space="0" w:color="auto"/>
            </w:tcBorders>
            <w:vAlign w:val="center"/>
          </w:tcPr>
          <w:p w14:paraId="26AEA650"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58,5</w:t>
            </w:r>
          </w:p>
        </w:tc>
        <w:tc>
          <w:tcPr>
            <w:tcW w:w="863" w:type="pct"/>
            <w:tcBorders>
              <w:top w:val="nil"/>
              <w:left w:val="single" w:sz="4" w:space="0" w:color="auto"/>
              <w:bottom w:val="nil"/>
              <w:right w:val="single" w:sz="4" w:space="0" w:color="auto"/>
            </w:tcBorders>
            <w:vAlign w:val="center"/>
          </w:tcPr>
          <w:p w14:paraId="152F244E"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55,8</w:t>
            </w:r>
          </w:p>
        </w:tc>
        <w:tc>
          <w:tcPr>
            <w:tcW w:w="868" w:type="pct"/>
            <w:tcBorders>
              <w:top w:val="nil"/>
              <w:left w:val="single" w:sz="4" w:space="0" w:color="auto"/>
              <w:bottom w:val="nil"/>
              <w:right w:val="single" w:sz="4" w:space="0" w:color="auto"/>
            </w:tcBorders>
            <w:vAlign w:val="center"/>
          </w:tcPr>
          <w:p w14:paraId="4C9084A0"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66,8</w:t>
            </w:r>
          </w:p>
        </w:tc>
      </w:tr>
      <w:tr w:rsidR="00420FD7" w:rsidRPr="00CE50B2" w14:paraId="123BB352" w14:textId="77777777" w:rsidTr="00514D02">
        <w:trPr>
          <w:jc w:val="center"/>
        </w:trPr>
        <w:tc>
          <w:tcPr>
            <w:tcW w:w="1728" w:type="pct"/>
            <w:tcBorders>
              <w:top w:val="nil"/>
              <w:bottom w:val="nil"/>
            </w:tcBorders>
            <w:vAlign w:val="bottom"/>
          </w:tcPr>
          <w:p w14:paraId="38EFEA7E" w14:textId="77777777"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испытывают определенную стесненность</w:t>
            </w:r>
          </w:p>
        </w:tc>
        <w:tc>
          <w:tcPr>
            <w:tcW w:w="725" w:type="pct"/>
            <w:tcBorders>
              <w:top w:val="nil"/>
              <w:bottom w:val="nil"/>
            </w:tcBorders>
            <w:vAlign w:val="center"/>
          </w:tcPr>
          <w:p w14:paraId="6703A555"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17,0</w:t>
            </w:r>
          </w:p>
        </w:tc>
        <w:tc>
          <w:tcPr>
            <w:tcW w:w="816" w:type="pct"/>
            <w:tcBorders>
              <w:top w:val="nil"/>
              <w:bottom w:val="nil"/>
            </w:tcBorders>
            <w:vAlign w:val="center"/>
          </w:tcPr>
          <w:p w14:paraId="11EAAB9D"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29,8</w:t>
            </w:r>
          </w:p>
        </w:tc>
        <w:tc>
          <w:tcPr>
            <w:tcW w:w="863" w:type="pct"/>
            <w:tcBorders>
              <w:top w:val="nil"/>
              <w:bottom w:val="nil"/>
            </w:tcBorders>
            <w:vAlign w:val="center"/>
          </w:tcPr>
          <w:p w14:paraId="72C65191"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31,5</w:t>
            </w:r>
          </w:p>
        </w:tc>
        <w:tc>
          <w:tcPr>
            <w:tcW w:w="868" w:type="pct"/>
            <w:tcBorders>
              <w:top w:val="nil"/>
              <w:bottom w:val="nil"/>
            </w:tcBorders>
            <w:vAlign w:val="center"/>
          </w:tcPr>
          <w:p w14:paraId="3D3415F9"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25,0</w:t>
            </w:r>
          </w:p>
        </w:tc>
      </w:tr>
      <w:tr w:rsidR="00420FD7" w:rsidRPr="00CE50B2" w14:paraId="5D637164" w14:textId="77777777" w:rsidTr="00514D02">
        <w:trPr>
          <w:jc w:val="center"/>
        </w:trPr>
        <w:tc>
          <w:tcPr>
            <w:tcW w:w="1728" w:type="pct"/>
            <w:tcBorders>
              <w:top w:val="nil"/>
              <w:bottom w:val="nil"/>
            </w:tcBorders>
            <w:vAlign w:val="bottom"/>
          </w:tcPr>
          <w:p w14:paraId="175B1DAB" w14:textId="77777777"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испытывают большую стесненность</w:t>
            </w:r>
          </w:p>
        </w:tc>
        <w:tc>
          <w:tcPr>
            <w:tcW w:w="725" w:type="pct"/>
            <w:tcBorders>
              <w:top w:val="nil"/>
              <w:bottom w:val="nil"/>
            </w:tcBorders>
            <w:vAlign w:val="center"/>
          </w:tcPr>
          <w:p w14:paraId="1D8DEA89"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5,5</w:t>
            </w:r>
          </w:p>
        </w:tc>
        <w:tc>
          <w:tcPr>
            <w:tcW w:w="816" w:type="pct"/>
            <w:tcBorders>
              <w:top w:val="nil"/>
              <w:bottom w:val="nil"/>
            </w:tcBorders>
            <w:vAlign w:val="center"/>
          </w:tcPr>
          <w:p w14:paraId="686B5332"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11,6</w:t>
            </w:r>
          </w:p>
        </w:tc>
        <w:tc>
          <w:tcPr>
            <w:tcW w:w="863" w:type="pct"/>
            <w:tcBorders>
              <w:top w:val="nil"/>
              <w:bottom w:val="nil"/>
            </w:tcBorders>
            <w:vAlign w:val="center"/>
          </w:tcPr>
          <w:p w14:paraId="7863A5AA"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12,7</w:t>
            </w:r>
          </w:p>
        </w:tc>
        <w:tc>
          <w:tcPr>
            <w:tcW w:w="868" w:type="pct"/>
            <w:tcBorders>
              <w:top w:val="nil"/>
              <w:bottom w:val="nil"/>
            </w:tcBorders>
            <w:vAlign w:val="center"/>
          </w:tcPr>
          <w:p w14:paraId="21D7584E"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8,2</w:t>
            </w:r>
          </w:p>
        </w:tc>
      </w:tr>
      <w:tr w:rsidR="00420FD7" w:rsidRPr="00CE50B2" w14:paraId="6F8B0BE9" w14:textId="77777777" w:rsidTr="00514D02">
        <w:trPr>
          <w:jc w:val="center"/>
        </w:trPr>
        <w:tc>
          <w:tcPr>
            <w:tcW w:w="1728" w:type="pct"/>
            <w:tcBorders>
              <w:top w:val="nil"/>
              <w:bottom w:val="nil"/>
            </w:tcBorders>
            <w:vAlign w:val="bottom"/>
          </w:tcPr>
          <w:p w14:paraId="4B01E6FD" w14:textId="77777777"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не определено</w:t>
            </w:r>
          </w:p>
        </w:tc>
        <w:tc>
          <w:tcPr>
            <w:tcW w:w="725" w:type="pct"/>
            <w:tcBorders>
              <w:top w:val="nil"/>
              <w:bottom w:val="nil"/>
            </w:tcBorders>
            <w:vAlign w:val="center"/>
          </w:tcPr>
          <w:p w14:paraId="230753B3"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0,1</w:t>
            </w:r>
          </w:p>
        </w:tc>
        <w:tc>
          <w:tcPr>
            <w:tcW w:w="816" w:type="pct"/>
            <w:tcBorders>
              <w:top w:val="nil"/>
              <w:bottom w:val="nil"/>
            </w:tcBorders>
            <w:vAlign w:val="center"/>
          </w:tcPr>
          <w:p w14:paraId="6B22C10F"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0,0</w:t>
            </w:r>
          </w:p>
        </w:tc>
        <w:tc>
          <w:tcPr>
            <w:tcW w:w="863" w:type="pct"/>
            <w:tcBorders>
              <w:top w:val="nil"/>
              <w:bottom w:val="nil"/>
            </w:tcBorders>
            <w:vAlign w:val="center"/>
          </w:tcPr>
          <w:p w14:paraId="2F553DC8"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0,0</w:t>
            </w:r>
          </w:p>
        </w:tc>
        <w:tc>
          <w:tcPr>
            <w:tcW w:w="868" w:type="pct"/>
            <w:tcBorders>
              <w:top w:val="nil"/>
              <w:bottom w:val="nil"/>
            </w:tcBorders>
            <w:vAlign w:val="center"/>
          </w:tcPr>
          <w:p w14:paraId="742FF9B2"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0,0</w:t>
            </w:r>
          </w:p>
        </w:tc>
      </w:tr>
      <w:tr w:rsidR="00420FD7" w:rsidRPr="00CE50B2" w14:paraId="54F126DA" w14:textId="77777777" w:rsidTr="00514D02">
        <w:trPr>
          <w:trHeight w:val="685"/>
          <w:jc w:val="center"/>
        </w:trPr>
        <w:tc>
          <w:tcPr>
            <w:tcW w:w="1728" w:type="pct"/>
            <w:tcBorders>
              <w:top w:val="nil"/>
              <w:bottom w:val="nil"/>
            </w:tcBorders>
            <w:vAlign w:val="bottom"/>
          </w:tcPr>
          <w:p w14:paraId="4454D95D" w14:textId="77777777" w:rsidR="00420FD7" w:rsidRPr="00CE50B2" w:rsidRDefault="00420FD7" w:rsidP="00420FD7">
            <w:pPr>
              <w:spacing w:before="80" w:after="20" w:line="240" w:lineRule="auto"/>
              <w:ind w:left="113"/>
              <w:rPr>
                <w:rFonts w:ascii="Times New Roman" w:hAnsi="Times New Roman"/>
                <w:i/>
              </w:rPr>
            </w:pPr>
            <w:r w:rsidRPr="00CE50B2">
              <w:rPr>
                <w:rFonts w:ascii="Times New Roman" w:hAnsi="Times New Roman"/>
                <w:i/>
              </w:rPr>
              <w:t xml:space="preserve">собираются улучшить свои жилищные условия </w:t>
            </w:r>
          </w:p>
        </w:tc>
        <w:tc>
          <w:tcPr>
            <w:tcW w:w="725" w:type="pct"/>
            <w:tcBorders>
              <w:top w:val="nil"/>
              <w:bottom w:val="nil"/>
            </w:tcBorders>
            <w:vAlign w:val="center"/>
          </w:tcPr>
          <w:p w14:paraId="06239809"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16,3</w:t>
            </w:r>
          </w:p>
        </w:tc>
        <w:tc>
          <w:tcPr>
            <w:tcW w:w="816" w:type="pct"/>
            <w:tcBorders>
              <w:top w:val="nil"/>
              <w:bottom w:val="nil"/>
            </w:tcBorders>
            <w:vAlign w:val="center"/>
          </w:tcPr>
          <w:p w14:paraId="1E8C3D2E"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25,8</w:t>
            </w:r>
          </w:p>
        </w:tc>
        <w:tc>
          <w:tcPr>
            <w:tcW w:w="863" w:type="pct"/>
            <w:tcBorders>
              <w:top w:val="nil"/>
              <w:bottom w:val="nil"/>
            </w:tcBorders>
            <w:vAlign w:val="center"/>
          </w:tcPr>
          <w:p w14:paraId="0513D220"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23,1</w:t>
            </w:r>
          </w:p>
        </w:tc>
        <w:tc>
          <w:tcPr>
            <w:tcW w:w="868" w:type="pct"/>
            <w:tcBorders>
              <w:top w:val="nil"/>
              <w:bottom w:val="nil"/>
            </w:tcBorders>
            <w:vAlign w:val="center"/>
          </w:tcPr>
          <w:p w14:paraId="6470C2E1"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34,0</w:t>
            </w:r>
          </w:p>
        </w:tc>
      </w:tr>
      <w:tr w:rsidR="00420FD7" w:rsidRPr="00CE50B2" w14:paraId="462D81DE" w14:textId="77777777" w:rsidTr="00514D02">
        <w:trPr>
          <w:jc w:val="center"/>
        </w:trPr>
        <w:tc>
          <w:tcPr>
            <w:tcW w:w="1728" w:type="pct"/>
            <w:tcBorders>
              <w:top w:val="nil"/>
              <w:bottom w:val="nil"/>
            </w:tcBorders>
            <w:vAlign w:val="bottom"/>
          </w:tcPr>
          <w:p w14:paraId="426C4F5D" w14:textId="77777777" w:rsidR="00420FD7" w:rsidRPr="00CE50B2" w:rsidRDefault="00420FD7" w:rsidP="00420FD7">
            <w:pPr>
              <w:spacing w:before="80" w:after="20" w:line="240" w:lineRule="auto"/>
              <w:ind w:left="708"/>
              <w:rPr>
                <w:rFonts w:ascii="Times New Roman" w:hAnsi="Times New Roman"/>
              </w:rPr>
            </w:pPr>
            <w:r w:rsidRPr="00CE50B2">
              <w:rPr>
                <w:rFonts w:ascii="Times New Roman" w:hAnsi="Times New Roman"/>
                <w:i/>
              </w:rPr>
              <w:t xml:space="preserve">из числа собирающихся  улучшить свои жилищные условия </w:t>
            </w:r>
          </w:p>
        </w:tc>
        <w:tc>
          <w:tcPr>
            <w:tcW w:w="725" w:type="pct"/>
            <w:tcBorders>
              <w:top w:val="nil"/>
              <w:bottom w:val="nil"/>
            </w:tcBorders>
            <w:vAlign w:val="center"/>
          </w:tcPr>
          <w:p w14:paraId="502D7847"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16" w:type="pct"/>
            <w:tcBorders>
              <w:top w:val="nil"/>
              <w:bottom w:val="nil"/>
            </w:tcBorders>
            <w:vAlign w:val="center"/>
          </w:tcPr>
          <w:p w14:paraId="7B6C1F4B"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3" w:type="pct"/>
            <w:tcBorders>
              <w:top w:val="nil"/>
              <w:bottom w:val="nil"/>
            </w:tcBorders>
            <w:vAlign w:val="center"/>
          </w:tcPr>
          <w:p w14:paraId="7DF988D6"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8" w:type="pct"/>
            <w:tcBorders>
              <w:top w:val="nil"/>
              <w:bottom w:val="nil"/>
            </w:tcBorders>
            <w:vAlign w:val="center"/>
          </w:tcPr>
          <w:p w14:paraId="69037F0A"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r>
      <w:tr w:rsidR="00420FD7" w:rsidRPr="00CE50B2" w14:paraId="301C6B0E" w14:textId="77777777" w:rsidTr="00514D02">
        <w:trPr>
          <w:jc w:val="center"/>
        </w:trPr>
        <w:tc>
          <w:tcPr>
            <w:tcW w:w="1728" w:type="pct"/>
            <w:tcBorders>
              <w:top w:val="nil"/>
              <w:bottom w:val="nil"/>
            </w:tcBorders>
            <w:vAlign w:val="bottom"/>
          </w:tcPr>
          <w:p w14:paraId="5ADBF651" w14:textId="77777777"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планируют вселиться в жилое помещение, строительство которого ведут (участвуют в долевом строительстве)</w:t>
            </w:r>
          </w:p>
        </w:tc>
        <w:tc>
          <w:tcPr>
            <w:tcW w:w="725" w:type="pct"/>
            <w:tcBorders>
              <w:top w:val="nil"/>
              <w:bottom w:val="nil"/>
            </w:tcBorders>
            <w:vAlign w:val="center"/>
          </w:tcPr>
          <w:p w14:paraId="43856501"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9,9</w:t>
            </w:r>
          </w:p>
        </w:tc>
        <w:tc>
          <w:tcPr>
            <w:tcW w:w="816" w:type="pct"/>
            <w:tcBorders>
              <w:top w:val="nil"/>
              <w:bottom w:val="nil"/>
            </w:tcBorders>
            <w:vAlign w:val="center"/>
          </w:tcPr>
          <w:p w14:paraId="6F80C08F"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12,2</w:t>
            </w:r>
          </w:p>
        </w:tc>
        <w:tc>
          <w:tcPr>
            <w:tcW w:w="863" w:type="pct"/>
            <w:tcBorders>
              <w:top w:val="nil"/>
              <w:bottom w:val="nil"/>
            </w:tcBorders>
            <w:vAlign w:val="center"/>
          </w:tcPr>
          <w:p w14:paraId="39682F0D"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13,6</w:t>
            </w:r>
          </w:p>
        </w:tc>
        <w:tc>
          <w:tcPr>
            <w:tcW w:w="868" w:type="pct"/>
            <w:tcBorders>
              <w:top w:val="nil"/>
              <w:bottom w:val="nil"/>
            </w:tcBorders>
            <w:vAlign w:val="center"/>
          </w:tcPr>
          <w:p w14:paraId="6CE1DE5C"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9,3</w:t>
            </w:r>
          </w:p>
        </w:tc>
      </w:tr>
      <w:tr w:rsidR="00420FD7" w:rsidRPr="00CE50B2" w14:paraId="3446AB43" w14:textId="77777777" w:rsidTr="00514D02">
        <w:trPr>
          <w:jc w:val="center"/>
        </w:trPr>
        <w:tc>
          <w:tcPr>
            <w:tcW w:w="1728" w:type="pct"/>
            <w:tcBorders>
              <w:top w:val="nil"/>
              <w:bottom w:val="nil"/>
            </w:tcBorders>
            <w:vAlign w:val="bottom"/>
          </w:tcPr>
          <w:p w14:paraId="4D43C6D6" w14:textId="77777777"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подать документы для постановки на очередь (и/или ожидают прохождения очереди)</w:t>
            </w:r>
          </w:p>
        </w:tc>
        <w:tc>
          <w:tcPr>
            <w:tcW w:w="725" w:type="pct"/>
            <w:tcBorders>
              <w:top w:val="nil"/>
              <w:bottom w:val="nil"/>
            </w:tcBorders>
            <w:vAlign w:val="center"/>
          </w:tcPr>
          <w:p w14:paraId="3C2FD5E9"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4,4</w:t>
            </w:r>
          </w:p>
        </w:tc>
        <w:tc>
          <w:tcPr>
            <w:tcW w:w="816" w:type="pct"/>
            <w:tcBorders>
              <w:top w:val="nil"/>
              <w:bottom w:val="nil"/>
            </w:tcBorders>
            <w:vAlign w:val="center"/>
          </w:tcPr>
          <w:p w14:paraId="122E2124"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5,7</w:t>
            </w:r>
          </w:p>
        </w:tc>
        <w:tc>
          <w:tcPr>
            <w:tcW w:w="863" w:type="pct"/>
            <w:tcBorders>
              <w:top w:val="nil"/>
              <w:bottom w:val="nil"/>
            </w:tcBorders>
            <w:vAlign w:val="center"/>
          </w:tcPr>
          <w:p w14:paraId="0EBA1F39"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6,2</w:t>
            </w:r>
          </w:p>
        </w:tc>
        <w:tc>
          <w:tcPr>
            <w:tcW w:w="868" w:type="pct"/>
            <w:tcBorders>
              <w:top w:val="nil"/>
              <w:bottom w:val="nil"/>
            </w:tcBorders>
            <w:vAlign w:val="center"/>
          </w:tcPr>
          <w:p w14:paraId="154C8994"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4,7</w:t>
            </w:r>
          </w:p>
        </w:tc>
      </w:tr>
      <w:tr w:rsidR="00420FD7" w:rsidRPr="00CE50B2" w14:paraId="2A6FEEA7" w14:textId="77777777" w:rsidTr="00514D02">
        <w:trPr>
          <w:jc w:val="center"/>
        </w:trPr>
        <w:tc>
          <w:tcPr>
            <w:tcW w:w="1728" w:type="pct"/>
            <w:tcBorders>
              <w:top w:val="nil"/>
              <w:bottom w:val="nil"/>
            </w:tcBorders>
            <w:vAlign w:val="bottom"/>
          </w:tcPr>
          <w:p w14:paraId="16250189" w14:textId="77777777"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рассчитывают на получение нового жилья в связи со сносом дома</w:t>
            </w:r>
          </w:p>
        </w:tc>
        <w:tc>
          <w:tcPr>
            <w:tcW w:w="725" w:type="pct"/>
            <w:tcBorders>
              <w:top w:val="nil"/>
              <w:bottom w:val="nil"/>
            </w:tcBorders>
            <w:vAlign w:val="center"/>
          </w:tcPr>
          <w:p w14:paraId="24B8903B"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6,2</w:t>
            </w:r>
          </w:p>
        </w:tc>
        <w:tc>
          <w:tcPr>
            <w:tcW w:w="816" w:type="pct"/>
            <w:tcBorders>
              <w:top w:val="nil"/>
              <w:bottom w:val="nil"/>
            </w:tcBorders>
            <w:vAlign w:val="center"/>
          </w:tcPr>
          <w:p w14:paraId="5781E865"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4,5</w:t>
            </w:r>
          </w:p>
        </w:tc>
        <w:tc>
          <w:tcPr>
            <w:tcW w:w="863" w:type="pct"/>
            <w:tcBorders>
              <w:top w:val="nil"/>
              <w:bottom w:val="nil"/>
            </w:tcBorders>
            <w:vAlign w:val="center"/>
          </w:tcPr>
          <w:p w14:paraId="2DBD570A"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6,3</w:t>
            </w:r>
          </w:p>
        </w:tc>
        <w:tc>
          <w:tcPr>
            <w:tcW w:w="868" w:type="pct"/>
            <w:tcBorders>
              <w:top w:val="nil"/>
              <w:bottom w:val="nil"/>
            </w:tcBorders>
            <w:vAlign w:val="center"/>
          </w:tcPr>
          <w:p w14:paraId="53C0E722"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0,9</w:t>
            </w:r>
          </w:p>
        </w:tc>
      </w:tr>
      <w:tr w:rsidR="00420FD7" w:rsidRPr="00CE50B2" w14:paraId="30CF5605" w14:textId="77777777" w:rsidTr="00514D02">
        <w:trPr>
          <w:jc w:val="center"/>
        </w:trPr>
        <w:tc>
          <w:tcPr>
            <w:tcW w:w="1728" w:type="pct"/>
            <w:tcBorders>
              <w:top w:val="nil"/>
              <w:bottom w:val="nil"/>
            </w:tcBorders>
            <w:vAlign w:val="bottom"/>
          </w:tcPr>
          <w:p w14:paraId="23233457" w14:textId="77777777"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купить (построить) другое жилье</w:t>
            </w:r>
          </w:p>
        </w:tc>
        <w:tc>
          <w:tcPr>
            <w:tcW w:w="725" w:type="pct"/>
            <w:tcBorders>
              <w:top w:val="nil"/>
              <w:bottom w:val="nil"/>
            </w:tcBorders>
            <w:vAlign w:val="center"/>
          </w:tcPr>
          <w:p w14:paraId="189BC5E0"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32,4</w:t>
            </w:r>
          </w:p>
        </w:tc>
        <w:tc>
          <w:tcPr>
            <w:tcW w:w="816" w:type="pct"/>
            <w:tcBorders>
              <w:top w:val="nil"/>
              <w:bottom w:val="nil"/>
            </w:tcBorders>
            <w:vAlign w:val="center"/>
          </w:tcPr>
          <w:p w14:paraId="2B02D4CE"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36,4</w:t>
            </w:r>
          </w:p>
        </w:tc>
        <w:tc>
          <w:tcPr>
            <w:tcW w:w="863" w:type="pct"/>
            <w:tcBorders>
              <w:top w:val="nil"/>
              <w:bottom w:val="nil"/>
            </w:tcBorders>
            <w:vAlign w:val="center"/>
          </w:tcPr>
          <w:p w14:paraId="26AA9FAE"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45,3</w:t>
            </w:r>
          </w:p>
        </w:tc>
        <w:tc>
          <w:tcPr>
            <w:tcW w:w="868" w:type="pct"/>
            <w:tcBorders>
              <w:top w:val="nil"/>
              <w:bottom w:val="nil"/>
            </w:tcBorders>
            <w:vAlign w:val="center"/>
          </w:tcPr>
          <w:p w14:paraId="7ABC9C91"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18,1</w:t>
            </w:r>
          </w:p>
        </w:tc>
      </w:tr>
      <w:tr w:rsidR="00420FD7" w:rsidRPr="00CE50B2" w14:paraId="1991FF94" w14:textId="77777777" w:rsidTr="00514D02">
        <w:trPr>
          <w:jc w:val="center"/>
        </w:trPr>
        <w:tc>
          <w:tcPr>
            <w:tcW w:w="1728" w:type="pct"/>
            <w:tcBorders>
              <w:top w:val="nil"/>
              <w:bottom w:val="nil"/>
            </w:tcBorders>
            <w:vAlign w:val="bottom"/>
          </w:tcPr>
          <w:p w14:paraId="1D23D4A9" w14:textId="77777777"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снимать жилье</w:t>
            </w:r>
          </w:p>
        </w:tc>
        <w:tc>
          <w:tcPr>
            <w:tcW w:w="725" w:type="pct"/>
            <w:tcBorders>
              <w:top w:val="nil"/>
              <w:bottom w:val="nil"/>
            </w:tcBorders>
            <w:vAlign w:val="center"/>
          </w:tcPr>
          <w:p w14:paraId="02A21EE1"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3,7</w:t>
            </w:r>
          </w:p>
        </w:tc>
        <w:tc>
          <w:tcPr>
            <w:tcW w:w="816" w:type="pct"/>
            <w:tcBorders>
              <w:top w:val="nil"/>
              <w:bottom w:val="nil"/>
            </w:tcBorders>
            <w:vAlign w:val="center"/>
          </w:tcPr>
          <w:p w14:paraId="20875C28"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2,1</w:t>
            </w:r>
          </w:p>
        </w:tc>
        <w:tc>
          <w:tcPr>
            <w:tcW w:w="863" w:type="pct"/>
            <w:tcBorders>
              <w:top w:val="nil"/>
              <w:bottom w:val="nil"/>
            </w:tcBorders>
            <w:vAlign w:val="center"/>
          </w:tcPr>
          <w:p w14:paraId="03E729C7"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2,7</w:t>
            </w:r>
          </w:p>
        </w:tc>
        <w:tc>
          <w:tcPr>
            <w:tcW w:w="868" w:type="pct"/>
            <w:tcBorders>
              <w:top w:val="nil"/>
              <w:bottom w:val="nil"/>
            </w:tcBorders>
            <w:vAlign w:val="center"/>
          </w:tcPr>
          <w:p w14:paraId="563A6719"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0,9</w:t>
            </w:r>
          </w:p>
        </w:tc>
      </w:tr>
      <w:tr w:rsidR="00420FD7" w:rsidRPr="00CE50B2" w14:paraId="05308135" w14:textId="77777777" w:rsidTr="00514D02">
        <w:trPr>
          <w:jc w:val="center"/>
        </w:trPr>
        <w:tc>
          <w:tcPr>
            <w:tcW w:w="1728" w:type="pct"/>
            <w:tcBorders>
              <w:top w:val="nil"/>
              <w:bottom w:val="nil"/>
            </w:tcBorders>
            <w:vAlign w:val="bottom"/>
          </w:tcPr>
          <w:p w14:paraId="11068DE9" w14:textId="77777777"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улучшить  свои  жилищные условия  другим способом</w:t>
            </w:r>
          </w:p>
        </w:tc>
        <w:tc>
          <w:tcPr>
            <w:tcW w:w="725" w:type="pct"/>
            <w:tcBorders>
              <w:top w:val="nil"/>
              <w:bottom w:val="nil"/>
            </w:tcBorders>
            <w:vAlign w:val="center"/>
          </w:tcPr>
          <w:p w14:paraId="437EDF83"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43,1</w:t>
            </w:r>
          </w:p>
        </w:tc>
        <w:tc>
          <w:tcPr>
            <w:tcW w:w="816" w:type="pct"/>
            <w:tcBorders>
              <w:top w:val="nil"/>
              <w:bottom w:val="nil"/>
            </w:tcBorders>
            <w:vAlign w:val="center"/>
          </w:tcPr>
          <w:p w14:paraId="75518372"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39,2</w:t>
            </w:r>
          </w:p>
        </w:tc>
        <w:tc>
          <w:tcPr>
            <w:tcW w:w="863" w:type="pct"/>
            <w:tcBorders>
              <w:top w:val="nil"/>
              <w:bottom w:val="nil"/>
            </w:tcBorders>
            <w:vAlign w:val="center"/>
          </w:tcPr>
          <w:p w14:paraId="532CAAF8"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26,1</w:t>
            </w:r>
          </w:p>
        </w:tc>
        <w:tc>
          <w:tcPr>
            <w:tcW w:w="868" w:type="pct"/>
            <w:tcBorders>
              <w:top w:val="nil"/>
              <w:bottom w:val="nil"/>
            </w:tcBorders>
            <w:vAlign w:val="center"/>
          </w:tcPr>
          <w:p w14:paraId="73A7BDFD"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66,2</w:t>
            </w:r>
          </w:p>
        </w:tc>
      </w:tr>
      <w:tr w:rsidR="00420FD7" w:rsidRPr="00CE50B2" w14:paraId="46CA912A" w14:textId="77777777" w:rsidTr="00514D02">
        <w:trPr>
          <w:jc w:val="center"/>
        </w:trPr>
        <w:tc>
          <w:tcPr>
            <w:tcW w:w="1728" w:type="pct"/>
            <w:tcBorders>
              <w:top w:val="nil"/>
            </w:tcBorders>
            <w:vAlign w:val="bottom"/>
          </w:tcPr>
          <w:p w14:paraId="30D9901E" w14:textId="77777777"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не определено</w:t>
            </w:r>
          </w:p>
        </w:tc>
        <w:tc>
          <w:tcPr>
            <w:tcW w:w="725" w:type="pct"/>
            <w:tcBorders>
              <w:top w:val="nil"/>
            </w:tcBorders>
            <w:vAlign w:val="center"/>
          </w:tcPr>
          <w:p w14:paraId="257A9BC7"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0,6</w:t>
            </w:r>
          </w:p>
        </w:tc>
        <w:tc>
          <w:tcPr>
            <w:tcW w:w="816" w:type="pct"/>
            <w:tcBorders>
              <w:top w:val="nil"/>
            </w:tcBorders>
            <w:vAlign w:val="center"/>
          </w:tcPr>
          <w:p w14:paraId="6BB6E2B4"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0,5</w:t>
            </w:r>
          </w:p>
        </w:tc>
        <w:tc>
          <w:tcPr>
            <w:tcW w:w="863" w:type="pct"/>
            <w:tcBorders>
              <w:top w:val="nil"/>
            </w:tcBorders>
            <w:vAlign w:val="center"/>
          </w:tcPr>
          <w:p w14:paraId="6224032F"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0,5</w:t>
            </w:r>
          </w:p>
        </w:tc>
        <w:tc>
          <w:tcPr>
            <w:tcW w:w="868" w:type="pct"/>
            <w:tcBorders>
              <w:top w:val="nil"/>
            </w:tcBorders>
            <w:vAlign w:val="center"/>
          </w:tcPr>
          <w:p w14:paraId="1A9AFC37"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0,5</w:t>
            </w:r>
          </w:p>
        </w:tc>
      </w:tr>
      <w:tr w:rsidR="00420FD7" w:rsidRPr="00CE50B2" w14:paraId="171237FC" w14:textId="77777777" w:rsidTr="00514D02">
        <w:trPr>
          <w:jc w:val="center"/>
        </w:trPr>
        <w:tc>
          <w:tcPr>
            <w:tcW w:w="5000" w:type="pct"/>
            <w:gridSpan w:val="5"/>
            <w:tcBorders>
              <w:bottom w:val="single" w:sz="4" w:space="0" w:color="auto"/>
            </w:tcBorders>
            <w:vAlign w:val="center"/>
          </w:tcPr>
          <w:p w14:paraId="642FC129" w14:textId="77777777" w:rsidR="00420FD7" w:rsidRPr="00CE50B2" w:rsidRDefault="00420FD7" w:rsidP="00514D02">
            <w:pPr>
              <w:spacing w:before="80" w:after="20" w:line="240" w:lineRule="auto"/>
              <w:ind w:right="454"/>
              <w:jc w:val="center"/>
              <w:rPr>
                <w:rFonts w:ascii="Times New Roman" w:hAnsi="Times New Roman"/>
                <w:lang w:val="en-US"/>
              </w:rPr>
            </w:pPr>
            <w:r w:rsidRPr="00CE50B2">
              <w:rPr>
                <w:rFonts w:ascii="Times New Roman" w:hAnsi="Times New Roman"/>
                <w:b/>
              </w:rPr>
              <w:t>2020 г.</w:t>
            </w:r>
          </w:p>
        </w:tc>
      </w:tr>
      <w:tr w:rsidR="00420FD7" w:rsidRPr="00CE50B2" w14:paraId="1D5B77EA" w14:textId="77777777" w:rsidTr="00514D02">
        <w:trPr>
          <w:jc w:val="center"/>
        </w:trPr>
        <w:tc>
          <w:tcPr>
            <w:tcW w:w="1728" w:type="pct"/>
            <w:tcBorders>
              <w:bottom w:val="nil"/>
            </w:tcBorders>
            <w:vAlign w:val="bottom"/>
          </w:tcPr>
          <w:p w14:paraId="30FA7C37" w14:textId="77777777" w:rsidR="00420FD7" w:rsidRPr="00CE50B2" w:rsidRDefault="00420FD7" w:rsidP="00420FD7">
            <w:pPr>
              <w:spacing w:before="80" w:after="20" w:line="240" w:lineRule="auto"/>
              <w:rPr>
                <w:rFonts w:ascii="Times New Roman" w:hAnsi="Times New Roman"/>
              </w:rPr>
            </w:pPr>
            <w:r w:rsidRPr="00CE50B2">
              <w:rPr>
                <w:rFonts w:ascii="Times New Roman" w:hAnsi="Times New Roman"/>
              </w:rPr>
              <w:t xml:space="preserve">Из общего числа домашних хозяйств </w:t>
            </w:r>
          </w:p>
        </w:tc>
        <w:tc>
          <w:tcPr>
            <w:tcW w:w="725" w:type="pct"/>
            <w:tcBorders>
              <w:bottom w:val="nil"/>
            </w:tcBorders>
            <w:vAlign w:val="center"/>
          </w:tcPr>
          <w:p w14:paraId="147C1044"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16" w:type="pct"/>
            <w:tcBorders>
              <w:bottom w:val="nil"/>
            </w:tcBorders>
            <w:vAlign w:val="center"/>
          </w:tcPr>
          <w:p w14:paraId="7688C2B6"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3" w:type="pct"/>
            <w:tcBorders>
              <w:bottom w:val="nil"/>
            </w:tcBorders>
            <w:vAlign w:val="center"/>
          </w:tcPr>
          <w:p w14:paraId="77A2C14A"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8" w:type="pct"/>
            <w:tcBorders>
              <w:bottom w:val="nil"/>
            </w:tcBorders>
            <w:vAlign w:val="center"/>
          </w:tcPr>
          <w:p w14:paraId="39DE39C8"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r>
      <w:tr w:rsidR="00420FD7" w:rsidRPr="00CE50B2" w14:paraId="7FF95384" w14:textId="77777777" w:rsidTr="00514D02">
        <w:trPr>
          <w:jc w:val="center"/>
        </w:trPr>
        <w:tc>
          <w:tcPr>
            <w:tcW w:w="1728" w:type="pct"/>
            <w:tcBorders>
              <w:top w:val="nil"/>
              <w:left w:val="single" w:sz="4" w:space="0" w:color="auto"/>
              <w:bottom w:val="nil"/>
              <w:right w:val="single" w:sz="4" w:space="0" w:color="auto"/>
            </w:tcBorders>
            <w:vAlign w:val="bottom"/>
          </w:tcPr>
          <w:p w14:paraId="5913FFB5" w14:textId="77777777" w:rsidR="00420FD7" w:rsidRPr="00CE50B2" w:rsidRDefault="00420FD7" w:rsidP="00420FD7">
            <w:pPr>
              <w:spacing w:before="80" w:after="20" w:line="240" w:lineRule="auto"/>
              <w:ind w:left="113"/>
              <w:rPr>
                <w:rFonts w:ascii="Times New Roman" w:hAnsi="Times New Roman"/>
                <w:i/>
              </w:rPr>
            </w:pPr>
            <w:r w:rsidRPr="00CE50B2">
              <w:rPr>
                <w:rFonts w:ascii="Times New Roman" w:hAnsi="Times New Roman"/>
                <w:i/>
              </w:rPr>
              <w:t>оценивают свои жилищные условия как:</w:t>
            </w:r>
          </w:p>
        </w:tc>
        <w:tc>
          <w:tcPr>
            <w:tcW w:w="725" w:type="pct"/>
            <w:tcBorders>
              <w:top w:val="nil"/>
              <w:left w:val="single" w:sz="4" w:space="0" w:color="auto"/>
              <w:bottom w:val="nil"/>
              <w:right w:val="single" w:sz="4" w:space="0" w:color="auto"/>
            </w:tcBorders>
            <w:vAlign w:val="center"/>
          </w:tcPr>
          <w:p w14:paraId="6F45A954" w14:textId="77777777" w:rsidR="00420FD7" w:rsidRPr="00CE50B2" w:rsidRDefault="00420FD7" w:rsidP="00514D02">
            <w:pPr>
              <w:spacing w:before="80" w:after="20" w:line="240" w:lineRule="auto"/>
              <w:jc w:val="center"/>
              <w:rPr>
                <w:rFonts w:ascii="Times New Roman" w:hAnsi="Times New Roman"/>
              </w:rPr>
            </w:pPr>
          </w:p>
        </w:tc>
        <w:tc>
          <w:tcPr>
            <w:tcW w:w="816" w:type="pct"/>
            <w:tcBorders>
              <w:top w:val="nil"/>
              <w:left w:val="single" w:sz="4" w:space="0" w:color="auto"/>
              <w:bottom w:val="nil"/>
              <w:right w:val="single" w:sz="4" w:space="0" w:color="auto"/>
            </w:tcBorders>
            <w:vAlign w:val="center"/>
          </w:tcPr>
          <w:p w14:paraId="5E7DEEE7" w14:textId="77777777" w:rsidR="00420FD7" w:rsidRPr="00CE50B2" w:rsidRDefault="00420FD7" w:rsidP="00514D02">
            <w:pPr>
              <w:spacing w:before="80" w:after="20" w:line="240" w:lineRule="auto"/>
              <w:jc w:val="center"/>
              <w:rPr>
                <w:rFonts w:ascii="Times New Roman" w:hAnsi="Times New Roman"/>
              </w:rPr>
            </w:pPr>
          </w:p>
        </w:tc>
        <w:tc>
          <w:tcPr>
            <w:tcW w:w="863" w:type="pct"/>
            <w:tcBorders>
              <w:top w:val="nil"/>
              <w:left w:val="single" w:sz="4" w:space="0" w:color="auto"/>
              <w:bottom w:val="nil"/>
              <w:right w:val="single" w:sz="4" w:space="0" w:color="auto"/>
            </w:tcBorders>
            <w:vAlign w:val="center"/>
          </w:tcPr>
          <w:p w14:paraId="204309A2" w14:textId="77777777" w:rsidR="00420FD7" w:rsidRPr="00CE50B2" w:rsidRDefault="00420FD7" w:rsidP="00514D02">
            <w:pPr>
              <w:spacing w:before="80" w:after="20" w:line="240" w:lineRule="auto"/>
              <w:jc w:val="center"/>
              <w:rPr>
                <w:rFonts w:ascii="Times New Roman" w:hAnsi="Times New Roman"/>
              </w:rPr>
            </w:pPr>
          </w:p>
        </w:tc>
        <w:tc>
          <w:tcPr>
            <w:tcW w:w="868" w:type="pct"/>
            <w:tcBorders>
              <w:top w:val="nil"/>
              <w:left w:val="single" w:sz="4" w:space="0" w:color="auto"/>
              <w:bottom w:val="nil"/>
              <w:right w:val="single" w:sz="4" w:space="0" w:color="auto"/>
            </w:tcBorders>
            <w:vAlign w:val="center"/>
          </w:tcPr>
          <w:p w14:paraId="46D54D0A" w14:textId="77777777" w:rsidR="00420FD7" w:rsidRPr="00CE50B2" w:rsidRDefault="00420FD7" w:rsidP="00514D02">
            <w:pPr>
              <w:spacing w:before="80" w:after="20" w:line="240" w:lineRule="auto"/>
              <w:jc w:val="center"/>
              <w:rPr>
                <w:rFonts w:ascii="Times New Roman" w:hAnsi="Times New Roman"/>
              </w:rPr>
            </w:pPr>
          </w:p>
        </w:tc>
      </w:tr>
      <w:tr w:rsidR="00420FD7" w:rsidRPr="00CE50B2" w14:paraId="3E30C818" w14:textId="77777777" w:rsidTr="00514D02">
        <w:trPr>
          <w:jc w:val="center"/>
        </w:trPr>
        <w:tc>
          <w:tcPr>
            <w:tcW w:w="1728" w:type="pct"/>
            <w:tcBorders>
              <w:top w:val="nil"/>
              <w:left w:val="single" w:sz="4" w:space="0" w:color="auto"/>
              <w:bottom w:val="nil"/>
              <w:right w:val="single" w:sz="4" w:space="0" w:color="auto"/>
            </w:tcBorders>
            <w:vAlign w:val="bottom"/>
          </w:tcPr>
          <w:p w14:paraId="1B05FBD2" w14:textId="77777777"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отличные</w:t>
            </w:r>
          </w:p>
        </w:tc>
        <w:tc>
          <w:tcPr>
            <w:tcW w:w="725" w:type="pct"/>
            <w:tcBorders>
              <w:top w:val="nil"/>
              <w:left w:val="single" w:sz="4" w:space="0" w:color="auto"/>
              <w:bottom w:val="nil"/>
              <w:right w:val="single" w:sz="4" w:space="0" w:color="auto"/>
            </w:tcBorders>
            <w:vAlign w:val="center"/>
          </w:tcPr>
          <w:p w14:paraId="4F9A6D59"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7,3</w:t>
            </w:r>
          </w:p>
        </w:tc>
        <w:tc>
          <w:tcPr>
            <w:tcW w:w="816" w:type="pct"/>
            <w:tcBorders>
              <w:top w:val="nil"/>
              <w:left w:val="single" w:sz="4" w:space="0" w:color="auto"/>
              <w:bottom w:val="nil"/>
              <w:right w:val="single" w:sz="4" w:space="0" w:color="auto"/>
            </w:tcBorders>
            <w:vAlign w:val="center"/>
          </w:tcPr>
          <w:p w14:paraId="7261C2CD"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8,7</w:t>
            </w:r>
          </w:p>
        </w:tc>
        <w:tc>
          <w:tcPr>
            <w:tcW w:w="863" w:type="pct"/>
            <w:tcBorders>
              <w:top w:val="nil"/>
              <w:left w:val="single" w:sz="4" w:space="0" w:color="auto"/>
              <w:bottom w:val="nil"/>
              <w:right w:val="single" w:sz="4" w:space="0" w:color="auto"/>
            </w:tcBorders>
            <w:vAlign w:val="center"/>
          </w:tcPr>
          <w:p w14:paraId="2B7B19A7"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8,8</w:t>
            </w:r>
          </w:p>
        </w:tc>
        <w:tc>
          <w:tcPr>
            <w:tcW w:w="868" w:type="pct"/>
            <w:tcBorders>
              <w:top w:val="nil"/>
              <w:left w:val="single" w:sz="4" w:space="0" w:color="auto"/>
              <w:bottom w:val="nil"/>
              <w:right w:val="single" w:sz="4" w:space="0" w:color="auto"/>
            </w:tcBorders>
            <w:vAlign w:val="center"/>
          </w:tcPr>
          <w:p w14:paraId="2C93D3CA"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8,1</w:t>
            </w:r>
          </w:p>
        </w:tc>
      </w:tr>
      <w:tr w:rsidR="00420FD7" w:rsidRPr="00CE50B2" w14:paraId="412781F8" w14:textId="77777777" w:rsidTr="00514D02">
        <w:trPr>
          <w:jc w:val="center"/>
        </w:trPr>
        <w:tc>
          <w:tcPr>
            <w:tcW w:w="1728" w:type="pct"/>
            <w:tcBorders>
              <w:top w:val="nil"/>
              <w:bottom w:val="nil"/>
            </w:tcBorders>
            <w:vAlign w:val="bottom"/>
          </w:tcPr>
          <w:p w14:paraId="70792725" w14:textId="77777777"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 xml:space="preserve">хорошие  </w:t>
            </w:r>
          </w:p>
        </w:tc>
        <w:tc>
          <w:tcPr>
            <w:tcW w:w="725" w:type="pct"/>
            <w:tcBorders>
              <w:top w:val="nil"/>
              <w:bottom w:val="nil"/>
            </w:tcBorders>
            <w:vAlign w:val="center"/>
          </w:tcPr>
          <w:p w14:paraId="72DF9BE4"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45,5</w:t>
            </w:r>
          </w:p>
        </w:tc>
        <w:tc>
          <w:tcPr>
            <w:tcW w:w="816" w:type="pct"/>
            <w:tcBorders>
              <w:top w:val="nil"/>
              <w:bottom w:val="nil"/>
            </w:tcBorders>
            <w:vAlign w:val="center"/>
          </w:tcPr>
          <w:p w14:paraId="076C77F0"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47,6</w:t>
            </w:r>
          </w:p>
        </w:tc>
        <w:tc>
          <w:tcPr>
            <w:tcW w:w="863" w:type="pct"/>
            <w:tcBorders>
              <w:top w:val="nil"/>
              <w:bottom w:val="nil"/>
            </w:tcBorders>
            <w:vAlign w:val="center"/>
          </w:tcPr>
          <w:p w14:paraId="6741DA46"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48,7</w:t>
            </w:r>
          </w:p>
        </w:tc>
        <w:tc>
          <w:tcPr>
            <w:tcW w:w="868" w:type="pct"/>
            <w:tcBorders>
              <w:top w:val="nil"/>
              <w:bottom w:val="nil"/>
            </w:tcBorders>
            <w:vAlign w:val="center"/>
          </w:tcPr>
          <w:p w14:paraId="645F9016"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43,9</w:t>
            </w:r>
          </w:p>
        </w:tc>
      </w:tr>
      <w:tr w:rsidR="00420FD7" w:rsidRPr="00CE50B2" w14:paraId="4BC206DA" w14:textId="77777777" w:rsidTr="00514D02">
        <w:trPr>
          <w:jc w:val="center"/>
        </w:trPr>
        <w:tc>
          <w:tcPr>
            <w:tcW w:w="1728" w:type="pct"/>
            <w:tcBorders>
              <w:top w:val="nil"/>
              <w:bottom w:val="nil"/>
            </w:tcBorders>
            <w:vAlign w:val="bottom"/>
          </w:tcPr>
          <w:p w14:paraId="23B1E91A" w14:textId="77777777"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 xml:space="preserve">удовлетворительные </w:t>
            </w:r>
          </w:p>
        </w:tc>
        <w:tc>
          <w:tcPr>
            <w:tcW w:w="725" w:type="pct"/>
            <w:tcBorders>
              <w:top w:val="nil"/>
              <w:bottom w:val="nil"/>
            </w:tcBorders>
            <w:vAlign w:val="center"/>
          </w:tcPr>
          <w:p w14:paraId="7B485465"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43,6</w:t>
            </w:r>
          </w:p>
        </w:tc>
        <w:tc>
          <w:tcPr>
            <w:tcW w:w="816" w:type="pct"/>
            <w:tcBorders>
              <w:top w:val="nil"/>
              <w:bottom w:val="nil"/>
            </w:tcBorders>
            <w:vAlign w:val="center"/>
          </w:tcPr>
          <w:p w14:paraId="20DAB19C"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40,5</w:t>
            </w:r>
          </w:p>
        </w:tc>
        <w:tc>
          <w:tcPr>
            <w:tcW w:w="863" w:type="pct"/>
            <w:tcBorders>
              <w:top w:val="nil"/>
              <w:bottom w:val="nil"/>
            </w:tcBorders>
            <w:vAlign w:val="center"/>
          </w:tcPr>
          <w:p w14:paraId="00DC7E86"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39,8</w:t>
            </w:r>
          </w:p>
        </w:tc>
        <w:tc>
          <w:tcPr>
            <w:tcW w:w="868" w:type="pct"/>
            <w:tcBorders>
              <w:top w:val="nil"/>
              <w:bottom w:val="nil"/>
            </w:tcBorders>
            <w:vAlign w:val="center"/>
          </w:tcPr>
          <w:p w14:paraId="25EE8DC8"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42,7</w:t>
            </w:r>
          </w:p>
        </w:tc>
      </w:tr>
      <w:tr w:rsidR="00420FD7" w:rsidRPr="00CE50B2" w14:paraId="73F18AD2" w14:textId="77777777" w:rsidTr="00514D02">
        <w:trPr>
          <w:jc w:val="center"/>
        </w:trPr>
        <w:tc>
          <w:tcPr>
            <w:tcW w:w="1728" w:type="pct"/>
            <w:tcBorders>
              <w:top w:val="nil"/>
              <w:bottom w:val="nil"/>
            </w:tcBorders>
            <w:vAlign w:val="bottom"/>
          </w:tcPr>
          <w:p w14:paraId="6D8DAC53" w14:textId="77777777"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плохие</w:t>
            </w:r>
          </w:p>
        </w:tc>
        <w:tc>
          <w:tcPr>
            <w:tcW w:w="725" w:type="pct"/>
            <w:tcBorders>
              <w:top w:val="nil"/>
              <w:bottom w:val="nil"/>
            </w:tcBorders>
            <w:vAlign w:val="center"/>
          </w:tcPr>
          <w:p w14:paraId="6F18ED7A"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3,3</w:t>
            </w:r>
          </w:p>
        </w:tc>
        <w:tc>
          <w:tcPr>
            <w:tcW w:w="816" w:type="pct"/>
            <w:tcBorders>
              <w:top w:val="nil"/>
              <w:bottom w:val="nil"/>
            </w:tcBorders>
            <w:vAlign w:val="center"/>
          </w:tcPr>
          <w:p w14:paraId="2A5B4EF1"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3,0</w:t>
            </w:r>
          </w:p>
        </w:tc>
        <w:tc>
          <w:tcPr>
            <w:tcW w:w="863" w:type="pct"/>
            <w:tcBorders>
              <w:top w:val="nil"/>
              <w:bottom w:val="nil"/>
            </w:tcBorders>
            <w:vAlign w:val="center"/>
          </w:tcPr>
          <w:p w14:paraId="0BF04381"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2,5</w:t>
            </w:r>
          </w:p>
        </w:tc>
        <w:tc>
          <w:tcPr>
            <w:tcW w:w="868" w:type="pct"/>
            <w:tcBorders>
              <w:top w:val="nil"/>
              <w:bottom w:val="nil"/>
            </w:tcBorders>
            <w:vAlign w:val="center"/>
          </w:tcPr>
          <w:p w14:paraId="1B5A5813"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4,8</w:t>
            </w:r>
          </w:p>
        </w:tc>
      </w:tr>
      <w:tr w:rsidR="00420FD7" w:rsidRPr="00CE50B2" w14:paraId="25555301" w14:textId="77777777" w:rsidTr="00514D02">
        <w:trPr>
          <w:jc w:val="center"/>
        </w:trPr>
        <w:tc>
          <w:tcPr>
            <w:tcW w:w="1728" w:type="pct"/>
            <w:tcBorders>
              <w:top w:val="nil"/>
              <w:bottom w:val="nil"/>
            </w:tcBorders>
            <w:vAlign w:val="bottom"/>
          </w:tcPr>
          <w:p w14:paraId="146783CB" w14:textId="77777777" w:rsidR="00420FD7" w:rsidRPr="00CE50B2" w:rsidRDefault="00420FD7" w:rsidP="00420FD7">
            <w:pPr>
              <w:spacing w:before="80" w:after="20" w:line="240" w:lineRule="auto"/>
              <w:ind w:left="284"/>
              <w:rPr>
                <w:rFonts w:ascii="Times New Roman" w:hAnsi="Times New Roman"/>
              </w:rPr>
            </w:pPr>
            <w:r w:rsidRPr="00CE50B2">
              <w:rPr>
                <w:rFonts w:ascii="Times New Roman" w:hAnsi="Times New Roman"/>
              </w:rPr>
              <w:t>очень плохие</w:t>
            </w:r>
          </w:p>
        </w:tc>
        <w:tc>
          <w:tcPr>
            <w:tcW w:w="725" w:type="pct"/>
            <w:tcBorders>
              <w:top w:val="nil"/>
              <w:bottom w:val="nil"/>
            </w:tcBorders>
            <w:vAlign w:val="center"/>
          </w:tcPr>
          <w:p w14:paraId="6237ACA1"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0,3</w:t>
            </w:r>
          </w:p>
        </w:tc>
        <w:tc>
          <w:tcPr>
            <w:tcW w:w="816" w:type="pct"/>
            <w:tcBorders>
              <w:top w:val="nil"/>
              <w:bottom w:val="nil"/>
            </w:tcBorders>
            <w:vAlign w:val="center"/>
          </w:tcPr>
          <w:p w14:paraId="0CE68AF0"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0,3</w:t>
            </w:r>
          </w:p>
        </w:tc>
        <w:tc>
          <w:tcPr>
            <w:tcW w:w="863" w:type="pct"/>
            <w:tcBorders>
              <w:top w:val="nil"/>
              <w:bottom w:val="nil"/>
            </w:tcBorders>
            <w:vAlign w:val="center"/>
          </w:tcPr>
          <w:p w14:paraId="036CC2A0"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0,3</w:t>
            </w:r>
          </w:p>
        </w:tc>
        <w:tc>
          <w:tcPr>
            <w:tcW w:w="868" w:type="pct"/>
            <w:tcBorders>
              <w:top w:val="nil"/>
              <w:bottom w:val="nil"/>
            </w:tcBorders>
            <w:vAlign w:val="center"/>
          </w:tcPr>
          <w:p w14:paraId="7E7338C1"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0,4</w:t>
            </w:r>
          </w:p>
        </w:tc>
      </w:tr>
      <w:tr w:rsidR="00420FD7" w:rsidRPr="00CE50B2" w14:paraId="2706E556" w14:textId="77777777" w:rsidTr="00514D02">
        <w:trPr>
          <w:jc w:val="center"/>
        </w:trPr>
        <w:tc>
          <w:tcPr>
            <w:tcW w:w="1728" w:type="pct"/>
            <w:tcBorders>
              <w:top w:val="nil"/>
              <w:left w:val="single" w:sz="4" w:space="0" w:color="auto"/>
              <w:bottom w:val="nil"/>
              <w:right w:val="single" w:sz="4" w:space="0" w:color="auto"/>
            </w:tcBorders>
            <w:vAlign w:val="bottom"/>
          </w:tcPr>
          <w:p w14:paraId="555E0FD3" w14:textId="77777777" w:rsidR="00420FD7" w:rsidRPr="00CE50B2" w:rsidRDefault="00420FD7" w:rsidP="00420FD7">
            <w:pPr>
              <w:spacing w:before="80" w:after="20" w:line="240" w:lineRule="auto"/>
              <w:ind w:left="113"/>
              <w:rPr>
                <w:rFonts w:ascii="Times New Roman" w:hAnsi="Times New Roman"/>
                <w:i/>
              </w:rPr>
            </w:pPr>
            <w:r w:rsidRPr="00CE50B2">
              <w:rPr>
                <w:rFonts w:ascii="Times New Roman" w:hAnsi="Times New Roman"/>
                <w:i/>
              </w:rPr>
              <w:t>оценивают степень  стесненности проживания как:</w:t>
            </w:r>
          </w:p>
        </w:tc>
        <w:tc>
          <w:tcPr>
            <w:tcW w:w="725" w:type="pct"/>
            <w:tcBorders>
              <w:top w:val="nil"/>
              <w:left w:val="single" w:sz="4" w:space="0" w:color="auto"/>
              <w:bottom w:val="nil"/>
              <w:right w:val="single" w:sz="4" w:space="0" w:color="auto"/>
            </w:tcBorders>
            <w:vAlign w:val="center"/>
          </w:tcPr>
          <w:p w14:paraId="1491EFEA" w14:textId="77777777" w:rsidR="00420FD7" w:rsidRPr="00CE50B2" w:rsidRDefault="00420FD7" w:rsidP="00514D02">
            <w:pPr>
              <w:spacing w:before="80" w:after="20" w:line="240" w:lineRule="auto"/>
              <w:jc w:val="center"/>
              <w:rPr>
                <w:rFonts w:ascii="Times New Roman" w:hAnsi="Times New Roman"/>
              </w:rPr>
            </w:pPr>
          </w:p>
        </w:tc>
        <w:tc>
          <w:tcPr>
            <w:tcW w:w="816" w:type="pct"/>
            <w:tcBorders>
              <w:top w:val="nil"/>
              <w:left w:val="single" w:sz="4" w:space="0" w:color="auto"/>
              <w:bottom w:val="nil"/>
              <w:right w:val="single" w:sz="4" w:space="0" w:color="auto"/>
            </w:tcBorders>
            <w:vAlign w:val="center"/>
          </w:tcPr>
          <w:p w14:paraId="3DADAAD1" w14:textId="77777777" w:rsidR="00420FD7" w:rsidRPr="00CE50B2" w:rsidRDefault="00420FD7" w:rsidP="00514D02">
            <w:pPr>
              <w:spacing w:before="80" w:after="20" w:line="240" w:lineRule="auto"/>
              <w:jc w:val="center"/>
              <w:rPr>
                <w:rFonts w:ascii="Times New Roman" w:hAnsi="Times New Roman"/>
              </w:rPr>
            </w:pPr>
          </w:p>
        </w:tc>
        <w:tc>
          <w:tcPr>
            <w:tcW w:w="863" w:type="pct"/>
            <w:tcBorders>
              <w:top w:val="nil"/>
              <w:left w:val="single" w:sz="4" w:space="0" w:color="auto"/>
              <w:bottom w:val="nil"/>
              <w:right w:val="single" w:sz="4" w:space="0" w:color="auto"/>
            </w:tcBorders>
            <w:vAlign w:val="center"/>
          </w:tcPr>
          <w:p w14:paraId="4A7EE05A" w14:textId="77777777" w:rsidR="00420FD7" w:rsidRPr="00CE50B2" w:rsidRDefault="00420FD7" w:rsidP="00514D02">
            <w:pPr>
              <w:spacing w:before="80" w:after="20" w:line="240" w:lineRule="auto"/>
              <w:jc w:val="center"/>
              <w:rPr>
                <w:rFonts w:ascii="Times New Roman" w:hAnsi="Times New Roman"/>
              </w:rPr>
            </w:pPr>
          </w:p>
        </w:tc>
        <w:tc>
          <w:tcPr>
            <w:tcW w:w="868" w:type="pct"/>
            <w:tcBorders>
              <w:top w:val="nil"/>
              <w:left w:val="single" w:sz="4" w:space="0" w:color="auto"/>
              <w:bottom w:val="nil"/>
              <w:right w:val="single" w:sz="4" w:space="0" w:color="auto"/>
            </w:tcBorders>
            <w:vAlign w:val="center"/>
          </w:tcPr>
          <w:p w14:paraId="0071C107" w14:textId="77777777" w:rsidR="00420FD7" w:rsidRPr="00CE50B2" w:rsidRDefault="00420FD7" w:rsidP="00514D02">
            <w:pPr>
              <w:spacing w:before="80" w:after="20" w:line="240" w:lineRule="auto"/>
              <w:jc w:val="center"/>
              <w:rPr>
                <w:rFonts w:ascii="Times New Roman" w:hAnsi="Times New Roman"/>
              </w:rPr>
            </w:pPr>
          </w:p>
        </w:tc>
      </w:tr>
      <w:tr w:rsidR="00420FD7" w:rsidRPr="00CE50B2" w14:paraId="7475F9EA" w14:textId="77777777" w:rsidTr="00514D02">
        <w:trPr>
          <w:jc w:val="center"/>
        </w:trPr>
        <w:tc>
          <w:tcPr>
            <w:tcW w:w="1728" w:type="pct"/>
            <w:tcBorders>
              <w:top w:val="nil"/>
              <w:left w:val="single" w:sz="4" w:space="0" w:color="auto"/>
              <w:bottom w:val="nil"/>
              <w:right w:val="single" w:sz="4" w:space="0" w:color="auto"/>
            </w:tcBorders>
            <w:vAlign w:val="bottom"/>
          </w:tcPr>
          <w:p w14:paraId="4E98EC22" w14:textId="77777777"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не испытывают стесненности</w:t>
            </w:r>
          </w:p>
        </w:tc>
        <w:tc>
          <w:tcPr>
            <w:tcW w:w="725" w:type="pct"/>
            <w:tcBorders>
              <w:top w:val="nil"/>
              <w:left w:val="single" w:sz="4" w:space="0" w:color="auto"/>
              <w:bottom w:val="nil"/>
              <w:right w:val="single" w:sz="4" w:space="0" w:color="auto"/>
            </w:tcBorders>
            <w:vAlign w:val="center"/>
          </w:tcPr>
          <w:p w14:paraId="5BA7BC2A"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80,7</w:t>
            </w:r>
          </w:p>
        </w:tc>
        <w:tc>
          <w:tcPr>
            <w:tcW w:w="816" w:type="pct"/>
            <w:tcBorders>
              <w:top w:val="nil"/>
              <w:left w:val="single" w:sz="4" w:space="0" w:color="auto"/>
              <w:bottom w:val="nil"/>
              <w:right w:val="single" w:sz="4" w:space="0" w:color="auto"/>
            </w:tcBorders>
            <w:vAlign w:val="center"/>
          </w:tcPr>
          <w:p w14:paraId="4CEA7751"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62,7</w:t>
            </w:r>
          </w:p>
        </w:tc>
        <w:tc>
          <w:tcPr>
            <w:tcW w:w="863" w:type="pct"/>
            <w:tcBorders>
              <w:top w:val="nil"/>
              <w:left w:val="single" w:sz="4" w:space="0" w:color="auto"/>
              <w:bottom w:val="nil"/>
              <w:right w:val="single" w:sz="4" w:space="0" w:color="auto"/>
            </w:tcBorders>
            <w:vAlign w:val="center"/>
          </w:tcPr>
          <w:p w14:paraId="59F03305"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61,2</w:t>
            </w:r>
          </w:p>
        </w:tc>
        <w:tc>
          <w:tcPr>
            <w:tcW w:w="868" w:type="pct"/>
            <w:tcBorders>
              <w:top w:val="nil"/>
              <w:left w:val="single" w:sz="4" w:space="0" w:color="auto"/>
              <w:bottom w:val="nil"/>
              <w:right w:val="single" w:sz="4" w:space="0" w:color="auto"/>
            </w:tcBorders>
            <w:vAlign w:val="center"/>
          </w:tcPr>
          <w:p w14:paraId="6EE2236D"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67,6</w:t>
            </w:r>
          </w:p>
        </w:tc>
      </w:tr>
      <w:tr w:rsidR="00420FD7" w:rsidRPr="00CE50B2" w14:paraId="106E85B7" w14:textId="77777777" w:rsidTr="00514D02">
        <w:trPr>
          <w:jc w:val="center"/>
        </w:trPr>
        <w:tc>
          <w:tcPr>
            <w:tcW w:w="1728" w:type="pct"/>
            <w:tcBorders>
              <w:top w:val="nil"/>
              <w:bottom w:val="nil"/>
            </w:tcBorders>
            <w:vAlign w:val="bottom"/>
          </w:tcPr>
          <w:p w14:paraId="6D0186CF" w14:textId="77777777"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испытывают определенную стесненность</w:t>
            </w:r>
          </w:p>
        </w:tc>
        <w:tc>
          <w:tcPr>
            <w:tcW w:w="725" w:type="pct"/>
            <w:tcBorders>
              <w:top w:val="nil"/>
              <w:bottom w:val="nil"/>
            </w:tcBorders>
            <w:vAlign w:val="center"/>
          </w:tcPr>
          <w:p w14:paraId="6E9D9654"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15,4</w:t>
            </w:r>
          </w:p>
        </w:tc>
        <w:tc>
          <w:tcPr>
            <w:tcW w:w="816" w:type="pct"/>
            <w:tcBorders>
              <w:top w:val="nil"/>
              <w:bottom w:val="nil"/>
            </w:tcBorders>
            <w:vAlign w:val="center"/>
          </w:tcPr>
          <w:p w14:paraId="2E9CFA58"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29,0</w:t>
            </w:r>
          </w:p>
        </w:tc>
        <w:tc>
          <w:tcPr>
            <w:tcW w:w="863" w:type="pct"/>
            <w:tcBorders>
              <w:top w:val="nil"/>
              <w:bottom w:val="nil"/>
            </w:tcBorders>
            <w:vAlign w:val="center"/>
          </w:tcPr>
          <w:p w14:paraId="573CD61D"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30,2</w:t>
            </w:r>
          </w:p>
        </w:tc>
        <w:tc>
          <w:tcPr>
            <w:tcW w:w="868" w:type="pct"/>
            <w:tcBorders>
              <w:top w:val="nil"/>
              <w:bottom w:val="nil"/>
            </w:tcBorders>
            <w:vAlign w:val="center"/>
          </w:tcPr>
          <w:p w14:paraId="53EEEFB3"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25,1</w:t>
            </w:r>
          </w:p>
        </w:tc>
      </w:tr>
      <w:tr w:rsidR="00420FD7" w:rsidRPr="00CE50B2" w14:paraId="6876C12C" w14:textId="77777777" w:rsidTr="00514D02">
        <w:trPr>
          <w:jc w:val="center"/>
        </w:trPr>
        <w:tc>
          <w:tcPr>
            <w:tcW w:w="1728" w:type="pct"/>
            <w:tcBorders>
              <w:top w:val="nil"/>
              <w:bottom w:val="nil"/>
            </w:tcBorders>
            <w:vAlign w:val="bottom"/>
          </w:tcPr>
          <w:p w14:paraId="7B0C6F3B" w14:textId="77777777"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испытывают большую стесненность</w:t>
            </w:r>
          </w:p>
        </w:tc>
        <w:tc>
          <w:tcPr>
            <w:tcW w:w="725" w:type="pct"/>
            <w:tcBorders>
              <w:top w:val="nil"/>
              <w:bottom w:val="nil"/>
            </w:tcBorders>
            <w:vAlign w:val="center"/>
          </w:tcPr>
          <w:p w14:paraId="27141BA7"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3,8</w:t>
            </w:r>
          </w:p>
        </w:tc>
        <w:tc>
          <w:tcPr>
            <w:tcW w:w="816" w:type="pct"/>
            <w:tcBorders>
              <w:top w:val="nil"/>
              <w:bottom w:val="nil"/>
            </w:tcBorders>
            <w:vAlign w:val="center"/>
          </w:tcPr>
          <w:p w14:paraId="49759AD4"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8,2</w:t>
            </w:r>
          </w:p>
        </w:tc>
        <w:tc>
          <w:tcPr>
            <w:tcW w:w="863" w:type="pct"/>
            <w:tcBorders>
              <w:top w:val="nil"/>
              <w:bottom w:val="nil"/>
            </w:tcBorders>
            <w:vAlign w:val="center"/>
          </w:tcPr>
          <w:p w14:paraId="3FC18398"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8,5</w:t>
            </w:r>
          </w:p>
        </w:tc>
        <w:tc>
          <w:tcPr>
            <w:tcW w:w="868" w:type="pct"/>
            <w:tcBorders>
              <w:top w:val="nil"/>
              <w:bottom w:val="nil"/>
            </w:tcBorders>
            <w:vAlign w:val="center"/>
          </w:tcPr>
          <w:p w14:paraId="7DE22A1E"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7,2</w:t>
            </w:r>
          </w:p>
        </w:tc>
      </w:tr>
      <w:tr w:rsidR="00420FD7" w:rsidRPr="00CE50B2" w14:paraId="61E7C3F0" w14:textId="77777777" w:rsidTr="00514D02">
        <w:trPr>
          <w:jc w:val="center"/>
        </w:trPr>
        <w:tc>
          <w:tcPr>
            <w:tcW w:w="1728" w:type="pct"/>
            <w:tcBorders>
              <w:top w:val="nil"/>
              <w:bottom w:val="nil"/>
            </w:tcBorders>
            <w:vAlign w:val="bottom"/>
          </w:tcPr>
          <w:p w14:paraId="2EDDB3FD" w14:textId="77777777"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не определено</w:t>
            </w:r>
          </w:p>
        </w:tc>
        <w:tc>
          <w:tcPr>
            <w:tcW w:w="725" w:type="pct"/>
            <w:tcBorders>
              <w:top w:val="nil"/>
              <w:bottom w:val="nil"/>
            </w:tcBorders>
            <w:vAlign w:val="center"/>
          </w:tcPr>
          <w:p w14:paraId="0A4EC62F"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0,1</w:t>
            </w:r>
          </w:p>
        </w:tc>
        <w:tc>
          <w:tcPr>
            <w:tcW w:w="816" w:type="pct"/>
            <w:tcBorders>
              <w:top w:val="nil"/>
              <w:bottom w:val="nil"/>
            </w:tcBorders>
            <w:vAlign w:val="center"/>
          </w:tcPr>
          <w:p w14:paraId="0B15A150"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0,1</w:t>
            </w:r>
          </w:p>
        </w:tc>
        <w:tc>
          <w:tcPr>
            <w:tcW w:w="863" w:type="pct"/>
            <w:tcBorders>
              <w:top w:val="nil"/>
              <w:bottom w:val="nil"/>
            </w:tcBorders>
            <w:vAlign w:val="center"/>
          </w:tcPr>
          <w:p w14:paraId="57DA424B"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0,1</w:t>
            </w:r>
          </w:p>
        </w:tc>
        <w:tc>
          <w:tcPr>
            <w:tcW w:w="868" w:type="pct"/>
            <w:tcBorders>
              <w:top w:val="nil"/>
              <w:bottom w:val="nil"/>
            </w:tcBorders>
            <w:vAlign w:val="center"/>
          </w:tcPr>
          <w:p w14:paraId="6B2E14FB"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0,1</w:t>
            </w:r>
          </w:p>
        </w:tc>
      </w:tr>
      <w:tr w:rsidR="00420FD7" w:rsidRPr="00CE50B2" w14:paraId="3CF90406" w14:textId="77777777" w:rsidTr="00514D02">
        <w:trPr>
          <w:trHeight w:val="685"/>
          <w:jc w:val="center"/>
        </w:trPr>
        <w:tc>
          <w:tcPr>
            <w:tcW w:w="1728" w:type="pct"/>
            <w:tcBorders>
              <w:top w:val="nil"/>
              <w:bottom w:val="nil"/>
            </w:tcBorders>
            <w:vAlign w:val="bottom"/>
          </w:tcPr>
          <w:p w14:paraId="1354B79D" w14:textId="77777777" w:rsidR="00420FD7" w:rsidRPr="00CE50B2" w:rsidRDefault="00420FD7" w:rsidP="00420FD7">
            <w:pPr>
              <w:spacing w:before="80" w:after="20" w:line="240" w:lineRule="auto"/>
              <w:ind w:left="113"/>
              <w:rPr>
                <w:rFonts w:ascii="Times New Roman" w:hAnsi="Times New Roman"/>
                <w:i/>
              </w:rPr>
            </w:pPr>
            <w:r w:rsidRPr="00CE50B2">
              <w:rPr>
                <w:rFonts w:ascii="Times New Roman" w:hAnsi="Times New Roman"/>
                <w:i/>
              </w:rPr>
              <w:t xml:space="preserve">собираются улучшить свои жилищные условия </w:t>
            </w:r>
          </w:p>
        </w:tc>
        <w:tc>
          <w:tcPr>
            <w:tcW w:w="725" w:type="pct"/>
            <w:tcBorders>
              <w:top w:val="nil"/>
              <w:bottom w:val="nil"/>
            </w:tcBorders>
            <w:vAlign w:val="center"/>
          </w:tcPr>
          <w:p w14:paraId="3414CB51"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13,9</w:t>
            </w:r>
          </w:p>
        </w:tc>
        <w:tc>
          <w:tcPr>
            <w:tcW w:w="816" w:type="pct"/>
            <w:tcBorders>
              <w:top w:val="nil"/>
              <w:bottom w:val="nil"/>
            </w:tcBorders>
            <w:vAlign w:val="center"/>
          </w:tcPr>
          <w:p w14:paraId="1CC8AEA1"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22,8</w:t>
            </w:r>
          </w:p>
        </w:tc>
        <w:tc>
          <w:tcPr>
            <w:tcW w:w="863" w:type="pct"/>
            <w:tcBorders>
              <w:top w:val="nil"/>
              <w:bottom w:val="nil"/>
            </w:tcBorders>
            <w:vAlign w:val="center"/>
          </w:tcPr>
          <w:p w14:paraId="59E025E9"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21,0</w:t>
            </w:r>
          </w:p>
        </w:tc>
        <w:tc>
          <w:tcPr>
            <w:tcW w:w="868" w:type="pct"/>
            <w:tcBorders>
              <w:top w:val="nil"/>
              <w:bottom w:val="nil"/>
            </w:tcBorders>
            <w:vAlign w:val="center"/>
          </w:tcPr>
          <w:p w14:paraId="071B4A2B"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28,4</w:t>
            </w:r>
          </w:p>
        </w:tc>
      </w:tr>
      <w:tr w:rsidR="00420FD7" w:rsidRPr="00CE50B2" w14:paraId="5B93435A" w14:textId="77777777" w:rsidTr="00514D02">
        <w:trPr>
          <w:jc w:val="center"/>
        </w:trPr>
        <w:tc>
          <w:tcPr>
            <w:tcW w:w="1728" w:type="pct"/>
            <w:tcBorders>
              <w:top w:val="nil"/>
              <w:bottom w:val="nil"/>
            </w:tcBorders>
            <w:vAlign w:val="bottom"/>
          </w:tcPr>
          <w:p w14:paraId="381C410F" w14:textId="77777777" w:rsidR="00420FD7" w:rsidRPr="00CE50B2" w:rsidRDefault="00420FD7" w:rsidP="00420FD7">
            <w:pPr>
              <w:spacing w:before="80" w:after="20" w:line="240" w:lineRule="auto"/>
              <w:ind w:left="708"/>
              <w:rPr>
                <w:rFonts w:ascii="Times New Roman" w:hAnsi="Times New Roman"/>
              </w:rPr>
            </w:pPr>
            <w:r w:rsidRPr="00CE50B2">
              <w:rPr>
                <w:rFonts w:ascii="Times New Roman" w:hAnsi="Times New Roman"/>
                <w:i/>
              </w:rPr>
              <w:t xml:space="preserve">из числа собирающихся  улучшить свои жилищные условия </w:t>
            </w:r>
          </w:p>
        </w:tc>
        <w:tc>
          <w:tcPr>
            <w:tcW w:w="725" w:type="pct"/>
            <w:tcBorders>
              <w:top w:val="nil"/>
              <w:bottom w:val="nil"/>
            </w:tcBorders>
            <w:vAlign w:val="center"/>
          </w:tcPr>
          <w:p w14:paraId="2EF89EFD"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16" w:type="pct"/>
            <w:tcBorders>
              <w:top w:val="nil"/>
              <w:bottom w:val="nil"/>
            </w:tcBorders>
            <w:vAlign w:val="center"/>
          </w:tcPr>
          <w:p w14:paraId="12F80EC7"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3" w:type="pct"/>
            <w:tcBorders>
              <w:top w:val="nil"/>
              <w:bottom w:val="nil"/>
            </w:tcBorders>
            <w:vAlign w:val="center"/>
          </w:tcPr>
          <w:p w14:paraId="515BAAFA"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c>
          <w:tcPr>
            <w:tcW w:w="868" w:type="pct"/>
            <w:tcBorders>
              <w:top w:val="nil"/>
              <w:bottom w:val="nil"/>
            </w:tcBorders>
            <w:vAlign w:val="center"/>
          </w:tcPr>
          <w:p w14:paraId="44BB2BFC"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100</w:t>
            </w:r>
          </w:p>
        </w:tc>
      </w:tr>
      <w:tr w:rsidR="00420FD7" w:rsidRPr="00CE50B2" w14:paraId="2683962C" w14:textId="77777777" w:rsidTr="00514D02">
        <w:trPr>
          <w:jc w:val="center"/>
        </w:trPr>
        <w:tc>
          <w:tcPr>
            <w:tcW w:w="1728" w:type="pct"/>
            <w:tcBorders>
              <w:top w:val="nil"/>
              <w:bottom w:val="nil"/>
            </w:tcBorders>
            <w:vAlign w:val="bottom"/>
          </w:tcPr>
          <w:p w14:paraId="3B8BC79C" w14:textId="77777777"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планируют вселиться в жилое помещение, строительство которого ведут (участвуют в долевом строительстве)</w:t>
            </w:r>
          </w:p>
        </w:tc>
        <w:tc>
          <w:tcPr>
            <w:tcW w:w="725" w:type="pct"/>
            <w:tcBorders>
              <w:top w:val="nil"/>
              <w:bottom w:val="nil"/>
            </w:tcBorders>
            <w:vAlign w:val="center"/>
          </w:tcPr>
          <w:p w14:paraId="7C75856F"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11,1</w:t>
            </w:r>
          </w:p>
        </w:tc>
        <w:tc>
          <w:tcPr>
            <w:tcW w:w="816" w:type="pct"/>
            <w:tcBorders>
              <w:top w:val="nil"/>
              <w:bottom w:val="nil"/>
            </w:tcBorders>
            <w:vAlign w:val="center"/>
          </w:tcPr>
          <w:p w14:paraId="438CE464"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13,4</w:t>
            </w:r>
          </w:p>
        </w:tc>
        <w:tc>
          <w:tcPr>
            <w:tcW w:w="863" w:type="pct"/>
            <w:tcBorders>
              <w:top w:val="nil"/>
              <w:bottom w:val="nil"/>
            </w:tcBorders>
            <w:vAlign w:val="center"/>
          </w:tcPr>
          <w:p w14:paraId="0F22ADEB"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14,9</w:t>
            </w:r>
          </w:p>
        </w:tc>
        <w:tc>
          <w:tcPr>
            <w:tcW w:w="868" w:type="pct"/>
            <w:tcBorders>
              <w:top w:val="nil"/>
              <w:bottom w:val="nil"/>
            </w:tcBorders>
            <w:vAlign w:val="center"/>
          </w:tcPr>
          <w:p w14:paraId="4076BED4"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9,6</w:t>
            </w:r>
          </w:p>
        </w:tc>
      </w:tr>
      <w:tr w:rsidR="00420FD7" w:rsidRPr="00CE50B2" w14:paraId="5283F35C" w14:textId="77777777" w:rsidTr="00514D02">
        <w:trPr>
          <w:jc w:val="center"/>
        </w:trPr>
        <w:tc>
          <w:tcPr>
            <w:tcW w:w="1728" w:type="pct"/>
            <w:tcBorders>
              <w:top w:val="nil"/>
              <w:bottom w:val="nil"/>
            </w:tcBorders>
            <w:vAlign w:val="bottom"/>
          </w:tcPr>
          <w:p w14:paraId="2124D095" w14:textId="77777777"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подать документы для постановки на очередь (и/или ожидают прохождения очереди)</w:t>
            </w:r>
          </w:p>
        </w:tc>
        <w:tc>
          <w:tcPr>
            <w:tcW w:w="725" w:type="pct"/>
            <w:tcBorders>
              <w:top w:val="nil"/>
              <w:bottom w:val="nil"/>
            </w:tcBorders>
            <w:vAlign w:val="center"/>
          </w:tcPr>
          <w:p w14:paraId="1C629941"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3,8</w:t>
            </w:r>
          </w:p>
        </w:tc>
        <w:tc>
          <w:tcPr>
            <w:tcW w:w="816" w:type="pct"/>
            <w:tcBorders>
              <w:top w:val="nil"/>
              <w:bottom w:val="nil"/>
            </w:tcBorders>
            <w:vAlign w:val="center"/>
          </w:tcPr>
          <w:p w14:paraId="0D9E2423"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4,9</w:t>
            </w:r>
          </w:p>
        </w:tc>
        <w:tc>
          <w:tcPr>
            <w:tcW w:w="863" w:type="pct"/>
            <w:tcBorders>
              <w:top w:val="nil"/>
              <w:bottom w:val="nil"/>
            </w:tcBorders>
            <w:vAlign w:val="center"/>
          </w:tcPr>
          <w:p w14:paraId="06DD1E2C"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5,3</w:t>
            </w:r>
          </w:p>
        </w:tc>
        <w:tc>
          <w:tcPr>
            <w:tcW w:w="868" w:type="pct"/>
            <w:tcBorders>
              <w:top w:val="nil"/>
              <w:bottom w:val="nil"/>
            </w:tcBorders>
            <w:vAlign w:val="center"/>
          </w:tcPr>
          <w:p w14:paraId="6BDB2E16"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4,0</w:t>
            </w:r>
          </w:p>
        </w:tc>
      </w:tr>
      <w:tr w:rsidR="00420FD7" w:rsidRPr="00CE50B2" w14:paraId="0ED38375" w14:textId="77777777" w:rsidTr="00514D02">
        <w:trPr>
          <w:jc w:val="center"/>
        </w:trPr>
        <w:tc>
          <w:tcPr>
            <w:tcW w:w="1728" w:type="pct"/>
            <w:tcBorders>
              <w:top w:val="nil"/>
              <w:bottom w:val="nil"/>
            </w:tcBorders>
            <w:vAlign w:val="bottom"/>
          </w:tcPr>
          <w:p w14:paraId="2B1BE385" w14:textId="77777777"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рассчитывают на получение нового жилья в связи со сносом дома</w:t>
            </w:r>
          </w:p>
        </w:tc>
        <w:tc>
          <w:tcPr>
            <w:tcW w:w="725" w:type="pct"/>
            <w:tcBorders>
              <w:top w:val="nil"/>
              <w:bottom w:val="nil"/>
            </w:tcBorders>
            <w:vAlign w:val="center"/>
          </w:tcPr>
          <w:p w14:paraId="67F429A6"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6,3</w:t>
            </w:r>
          </w:p>
        </w:tc>
        <w:tc>
          <w:tcPr>
            <w:tcW w:w="816" w:type="pct"/>
            <w:tcBorders>
              <w:top w:val="nil"/>
              <w:bottom w:val="nil"/>
            </w:tcBorders>
            <w:vAlign w:val="center"/>
          </w:tcPr>
          <w:p w14:paraId="1CEEB852"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4,2</w:t>
            </w:r>
          </w:p>
        </w:tc>
        <w:tc>
          <w:tcPr>
            <w:tcW w:w="863" w:type="pct"/>
            <w:tcBorders>
              <w:top w:val="nil"/>
              <w:bottom w:val="nil"/>
            </w:tcBorders>
            <w:vAlign w:val="center"/>
          </w:tcPr>
          <w:p w14:paraId="0D21F4AA"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5,0</w:t>
            </w:r>
          </w:p>
        </w:tc>
        <w:tc>
          <w:tcPr>
            <w:tcW w:w="868" w:type="pct"/>
            <w:tcBorders>
              <w:top w:val="nil"/>
              <w:bottom w:val="nil"/>
            </w:tcBorders>
            <w:vAlign w:val="center"/>
          </w:tcPr>
          <w:p w14:paraId="6AB3CD2F"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2,1</w:t>
            </w:r>
          </w:p>
        </w:tc>
      </w:tr>
      <w:tr w:rsidR="00420FD7" w:rsidRPr="00CE50B2" w14:paraId="6B39CB5E" w14:textId="77777777" w:rsidTr="00514D02">
        <w:trPr>
          <w:jc w:val="center"/>
        </w:trPr>
        <w:tc>
          <w:tcPr>
            <w:tcW w:w="1728" w:type="pct"/>
            <w:tcBorders>
              <w:top w:val="nil"/>
              <w:bottom w:val="nil"/>
            </w:tcBorders>
            <w:vAlign w:val="bottom"/>
          </w:tcPr>
          <w:p w14:paraId="6366CAE3" w14:textId="77777777"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купить (построить) другое жилье</w:t>
            </w:r>
          </w:p>
        </w:tc>
        <w:tc>
          <w:tcPr>
            <w:tcW w:w="725" w:type="pct"/>
            <w:tcBorders>
              <w:top w:val="nil"/>
              <w:bottom w:val="nil"/>
            </w:tcBorders>
            <w:vAlign w:val="center"/>
          </w:tcPr>
          <w:p w14:paraId="798246D2"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32,1</w:t>
            </w:r>
          </w:p>
        </w:tc>
        <w:tc>
          <w:tcPr>
            <w:tcW w:w="816" w:type="pct"/>
            <w:tcBorders>
              <w:top w:val="nil"/>
              <w:bottom w:val="nil"/>
            </w:tcBorders>
            <w:vAlign w:val="center"/>
          </w:tcPr>
          <w:p w14:paraId="15E3D6C2"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36,2</w:t>
            </w:r>
          </w:p>
        </w:tc>
        <w:tc>
          <w:tcPr>
            <w:tcW w:w="863" w:type="pct"/>
            <w:tcBorders>
              <w:top w:val="nil"/>
              <w:bottom w:val="nil"/>
            </w:tcBorders>
            <w:vAlign w:val="center"/>
          </w:tcPr>
          <w:p w14:paraId="60B29CAD"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44,4</w:t>
            </w:r>
          </w:p>
        </w:tc>
        <w:tc>
          <w:tcPr>
            <w:tcW w:w="868" w:type="pct"/>
            <w:tcBorders>
              <w:top w:val="nil"/>
              <w:bottom w:val="nil"/>
            </w:tcBorders>
            <w:vAlign w:val="center"/>
          </w:tcPr>
          <w:p w14:paraId="3F318EA3"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16,8</w:t>
            </w:r>
          </w:p>
        </w:tc>
      </w:tr>
      <w:tr w:rsidR="00420FD7" w:rsidRPr="00CE50B2" w14:paraId="3E7E68C5" w14:textId="77777777" w:rsidTr="00514D02">
        <w:trPr>
          <w:jc w:val="center"/>
        </w:trPr>
        <w:tc>
          <w:tcPr>
            <w:tcW w:w="1728" w:type="pct"/>
            <w:tcBorders>
              <w:top w:val="nil"/>
              <w:bottom w:val="nil"/>
            </w:tcBorders>
            <w:vAlign w:val="bottom"/>
          </w:tcPr>
          <w:p w14:paraId="233BD248" w14:textId="77777777"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снимать жилье</w:t>
            </w:r>
          </w:p>
        </w:tc>
        <w:tc>
          <w:tcPr>
            <w:tcW w:w="725" w:type="pct"/>
            <w:tcBorders>
              <w:top w:val="nil"/>
              <w:bottom w:val="nil"/>
            </w:tcBorders>
            <w:vAlign w:val="center"/>
          </w:tcPr>
          <w:p w14:paraId="48FED4D2"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4,0</w:t>
            </w:r>
          </w:p>
        </w:tc>
        <w:tc>
          <w:tcPr>
            <w:tcW w:w="816" w:type="pct"/>
            <w:tcBorders>
              <w:top w:val="nil"/>
              <w:bottom w:val="nil"/>
            </w:tcBorders>
            <w:vAlign w:val="center"/>
          </w:tcPr>
          <w:p w14:paraId="73374CC2"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2,2</w:t>
            </w:r>
          </w:p>
        </w:tc>
        <w:tc>
          <w:tcPr>
            <w:tcW w:w="863" w:type="pct"/>
            <w:tcBorders>
              <w:top w:val="nil"/>
              <w:bottom w:val="nil"/>
            </w:tcBorders>
            <w:vAlign w:val="center"/>
          </w:tcPr>
          <w:p w14:paraId="2B88B1D4"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2,5</w:t>
            </w:r>
          </w:p>
        </w:tc>
        <w:tc>
          <w:tcPr>
            <w:tcW w:w="868" w:type="pct"/>
            <w:tcBorders>
              <w:top w:val="nil"/>
              <w:bottom w:val="nil"/>
            </w:tcBorders>
            <w:vAlign w:val="center"/>
          </w:tcPr>
          <w:p w14:paraId="361AD587"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1,3</w:t>
            </w:r>
          </w:p>
        </w:tc>
      </w:tr>
      <w:tr w:rsidR="00420FD7" w:rsidRPr="00CE50B2" w14:paraId="392ED049" w14:textId="77777777" w:rsidTr="00514D02">
        <w:trPr>
          <w:jc w:val="center"/>
        </w:trPr>
        <w:tc>
          <w:tcPr>
            <w:tcW w:w="1728" w:type="pct"/>
            <w:tcBorders>
              <w:top w:val="nil"/>
              <w:bottom w:val="nil"/>
            </w:tcBorders>
            <w:vAlign w:val="bottom"/>
          </w:tcPr>
          <w:p w14:paraId="12862769" w14:textId="77777777"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собираются улучшить  свои  жилищные условия  другим способом</w:t>
            </w:r>
          </w:p>
        </w:tc>
        <w:tc>
          <w:tcPr>
            <w:tcW w:w="725" w:type="pct"/>
            <w:tcBorders>
              <w:top w:val="nil"/>
              <w:bottom w:val="nil"/>
            </w:tcBorders>
            <w:vAlign w:val="center"/>
          </w:tcPr>
          <w:p w14:paraId="3FA29274"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42,6</w:t>
            </w:r>
          </w:p>
        </w:tc>
        <w:tc>
          <w:tcPr>
            <w:tcW w:w="816" w:type="pct"/>
            <w:tcBorders>
              <w:top w:val="nil"/>
              <w:bottom w:val="nil"/>
            </w:tcBorders>
            <w:vAlign w:val="center"/>
          </w:tcPr>
          <w:p w14:paraId="5AD94587"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39,0</w:t>
            </w:r>
          </w:p>
        </w:tc>
        <w:tc>
          <w:tcPr>
            <w:tcW w:w="863" w:type="pct"/>
            <w:tcBorders>
              <w:top w:val="nil"/>
              <w:bottom w:val="nil"/>
            </w:tcBorders>
            <w:vAlign w:val="center"/>
          </w:tcPr>
          <w:p w14:paraId="5C4D40A1"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27,8</w:t>
            </w:r>
          </w:p>
        </w:tc>
        <w:tc>
          <w:tcPr>
            <w:tcW w:w="868" w:type="pct"/>
            <w:tcBorders>
              <w:top w:val="nil"/>
              <w:bottom w:val="nil"/>
            </w:tcBorders>
            <w:vAlign w:val="center"/>
          </w:tcPr>
          <w:p w14:paraId="1AB5529B"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65,5</w:t>
            </w:r>
          </w:p>
        </w:tc>
      </w:tr>
      <w:tr w:rsidR="00420FD7" w:rsidRPr="00CE50B2" w14:paraId="15A4BD63" w14:textId="77777777" w:rsidTr="00514D02">
        <w:trPr>
          <w:jc w:val="center"/>
        </w:trPr>
        <w:tc>
          <w:tcPr>
            <w:tcW w:w="1728" w:type="pct"/>
            <w:tcBorders>
              <w:top w:val="nil"/>
            </w:tcBorders>
            <w:vAlign w:val="bottom"/>
          </w:tcPr>
          <w:p w14:paraId="53F96167" w14:textId="77777777" w:rsidR="00420FD7" w:rsidRPr="00CE50B2" w:rsidRDefault="00420FD7" w:rsidP="00420FD7">
            <w:pPr>
              <w:tabs>
                <w:tab w:val="left" w:leader="dot" w:pos="8505"/>
              </w:tabs>
              <w:spacing w:before="80" w:after="20" w:line="240" w:lineRule="auto"/>
              <w:ind w:left="284"/>
              <w:rPr>
                <w:rFonts w:ascii="Times New Roman" w:hAnsi="Times New Roman"/>
              </w:rPr>
            </w:pPr>
            <w:r w:rsidRPr="00CE50B2">
              <w:rPr>
                <w:rFonts w:ascii="Times New Roman" w:hAnsi="Times New Roman"/>
              </w:rPr>
              <w:t>не определено</w:t>
            </w:r>
          </w:p>
        </w:tc>
        <w:tc>
          <w:tcPr>
            <w:tcW w:w="725" w:type="pct"/>
            <w:tcBorders>
              <w:top w:val="nil"/>
            </w:tcBorders>
            <w:vAlign w:val="center"/>
          </w:tcPr>
          <w:p w14:paraId="211A80F0"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0,7</w:t>
            </w:r>
          </w:p>
        </w:tc>
        <w:tc>
          <w:tcPr>
            <w:tcW w:w="816" w:type="pct"/>
            <w:tcBorders>
              <w:top w:val="nil"/>
            </w:tcBorders>
            <w:vAlign w:val="center"/>
          </w:tcPr>
          <w:p w14:paraId="10D14CD5"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0,8</w:t>
            </w:r>
          </w:p>
        </w:tc>
        <w:tc>
          <w:tcPr>
            <w:tcW w:w="863" w:type="pct"/>
            <w:tcBorders>
              <w:top w:val="nil"/>
            </w:tcBorders>
            <w:vAlign w:val="center"/>
          </w:tcPr>
          <w:p w14:paraId="487D5275"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0,6</w:t>
            </w:r>
          </w:p>
        </w:tc>
        <w:tc>
          <w:tcPr>
            <w:tcW w:w="868" w:type="pct"/>
            <w:tcBorders>
              <w:top w:val="nil"/>
            </w:tcBorders>
            <w:vAlign w:val="center"/>
          </w:tcPr>
          <w:p w14:paraId="0AD12C7F" w14:textId="77777777" w:rsidR="00420FD7" w:rsidRPr="00CE50B2" w:rsidRDefault="00420FD7" w:rsidP="00514D02">
            <w:pPr>
              <w:spacing w:before="80" w:after="20" w:line="240" w:lineRule="auto"/>
              <w:jc w:val="center"/>
              <w:rPr>
                <w:rFonts w:ascii="Times New Roman" w:hAnsi="Times New Roman"/>
              </w:rPr>
            </w:pPr>
            <w:r w:rsidRPr="00CE50B2">
              <w:rPr>
                <w:rFonts w:ascii="Times New Roman" w:hAnsi="Times New Roman"/>
              </w:rPr>
              <w:t>1,1</w:t>
            </w:r>
          </w:p>
        </w:tc>
      </w:tr>
    </w:tbl>
    <w:p w14:paraId="6C0229BF" w14:textId="77777777" w:rsidR="00420FD7" w:rsidRPr="00CE50B2" w:rsidRDefault="00420FD7" w:rsidP="00420FD7">
      <w:pPr>
        <w:spacing w:after="0" w:line="240" w:lineRule="auto"/>
        <w:jc w:val="right"/>
        <w:rPr>
          <w:rFonts w:ascii="Times New Roman" w:hAnsi="Times New Roman"/>
          <w:lang w:eastAsia="ru-RU"/>
        </w:rPr>
      </w:pPr>
    </w:p>
    <w:p w14:paraId="2A0879BA" w14:textId="77777777" w:rsidR="00420FD7" w:rsidRDefault="00420FD7" w:rsidP="001D7BB8">
      <w:pPr>
        <w:spacing w:after="0" w:line="240" w:lineRule="auto"/>
        <w:rPr>
          <w:rFonts w:ascii="Times New Roman" w:hAnsi="Times New Roman"/>
          <w:lang w:eastAsia="ru-RU"/>
        </w:rPr>
      </w:pPr>
    </w:p>
    <w:p w14:paraId="2232996E" w14:textId="77777777" w:rsidR="00B332A5" w:rsidRDefault="00B332A5" w:rsidP="001D7BB8">
      <w:pPr>
        <w:spacing w:after="0" w:line="240" w:lineRule="auto"/>
        <w:rPr>
          <w:rFonts w:ascii="Times New Roman" w:hAnsi="Times New Roman"/>
          <w:lang w:eastAsia="ru-RU"/>
        </w:rPr>
      </w:pPr>
    </w:p>
    <w:p w14:paraId="0A34E808" w14:textId="77777777" w:rsidR="00B332A5" w:rsidRPr="00CE50B2" w:rsidRDefault="00B332A5" w:rsidP="001D7BB8">
      <w:pPr>
        <w:spacing w:after="0" w:line="240" w:lineRule="auto"/>
        <w:rPr>
          <w:rFonts w:ascii="Times New Roman" w:hAnsi="Times New Roman"/>
          <w:lang w:eastAsia="ru-RU"/>
        </w:rPr>
      </w:pPr>
    </w:p>
    <w:p w14:paraId="2AB630EE" w14:textId="77777777" w:rsidR="00420FD7" w:rsidRPr="001F2084" w:rsidRDefault="00420FD7" w:rsidP="002108F8">
      <w:pPr>
        <w:spacing w:after="0" w:line="240" w:lineRule="auto"/>
        <w:ind w:right="-143"/>
        <w:jc w:val="right"/>
        <w:rPr>
          <w:rFonts w:ascii="Times New Roman" w:hAnsi="Times New Roman"/>
          <w:sz w:val="26"/>
          <w:szCs w:val="26"/>
          <w:lang w:eastAsia="ru-RU"/>
        </w:rPr>
      </w:pPr>
      <w:r w:rsidRPr="001F2084">
        <w:rPr>
          <w:rFonts w:ascii="Times New Roman" w:hAnsi="Times New Roman"/>
          <w:sz w:val="26"/>
          <w:szCs w:val="26"/>
          <w:lang w:eastAsia="ru-RU"/>
        </w:rPr>
        <w:t xml:space="preserve">Таблица </w:t>
      </w:r>
      <w:r w:rsidR="008737BB">
        <w:rPr>
          <w:rFonts w:ascii="Times New Roman" w:hAnsi="Times New Roman"/>
          <w:sz w:val="26"/>
          <w:szCs w:val="26"/>
          <w:lang w:eastAsia="ru-RU"/>
        </w:rPr>
        <w:t>6</w:t>
      </w:r>
      <w:r w:rsidR="009E6765">
        <w:rPr>
          <w:rFonts w:ascii="Times New Roman" w:hAnsi="Times New Roman"/>
          <w:sz w:val="26"/>
          <w:szCs w:val="26"/>
          <w:lang w:eastAsia="ru-RU"/>
        </w:rPr>
        <w:t>8</w:t>
      </w:r>
    </w:p>
    <w:p w14:paraId="2A7FF2E1" w14:textId="77777777" w:rsidR="00420FD7" w:rsidRPr="001F2084" w:rsidRDefault="00420FD7" w:rsidP="00420FD7">
      <w:pPr>
        <w:spacing w:after="0" w:line="240" w:lineRule="auto"/>
        <w:ind w:right="-427"/>
        <w:jc w:val="right"/>
        <w:rPr>
          <w:rFonts w:ascii="Times New Roman" w:hAnsi="Times New Roman"/>
          <w:sz w:val="26"/>
          <w:szCs w:val="26"/>
          <w:lang w:eastAsia="ru-RU"/>
        </w:rPr>
      </w:pPr>
    </w:p>
    <w:p w14:paraId="0995621B" w14:textId="77777777" w:rsidR="00420FD7" w:rsidRPr="001F2084" w:rsidRDefault="00420FD7" w:rsidP="00420FD7">
      <w:pPr>
        <w:spacing w:after="0" w:line="240" w:lineRule="auto"/>
        <w:jc w:val="center"/>
        <w:rPr>
          <w:rFonts w:ascii="Times New Roman" w:hAnsi="Times New Roman"/>
          <w:b/>
          <w:sz w:val="26"/>
          <w:szCs w:val="26"/>
        </w:rPr>
      </w:pPr>
      <w:r w:rsidRPr="001F2084">
        <w:rPr>
          <w:rFonts w:ascii="Times New Roman" w:hAnsi="Times New Roman"/>
          <w:b/>
          <w:sz w:val="26"/>
          <w:szCs w:val="26"/>
        </w:rPr>
        <w:t xml:space="preserve">Доля детей в возрасте до 15 лет, проживающих в домохозяйствах </w:t>
      </w:r>
      <w:r w:rsidRPr="001F2084">
        <w:rPr>
          <w:rFonts w:ascii="Times New Roman" w:hAnsi="Times New Roman"/>
          <w:b/>
          <w:sz w:val="26"/>
          <w:szCs w:val="26"/>
        </w:rPr>
        <w:br/>
        <w:t>с различным финансовым положением</w:t>
      </w:r>
    </w:p>
    <w:p w14:paraId="42E15A69" w14:textId="77777777" w:rsidR="00420FD7" w:rsidRPr="001F2084" w:rsidRDefault="00420FD7" w:rsidP="00420FD7">
      <w:pPr>
        <w:spacing w:after="0" w:line="240" w:lineRule="auto"/>
        <w:ind w:right="-427"/>
        <w:jc w:val="center"/>
        <w:rPr>
          <w:rFonts w:ascii="Times New Roman" w:hAnsi="Times New Roman"/>
          <w:sz w:val="26"/>
          <w:szCs w:val="26"/>
        </w:rPr>
      </w:pPr>
      <w:r w:rsidRPr="001F2084">
        <w:rPr>
          <w:rFonts w:ascii="Times New Roman" w:hAnsi="Times New Roman"/>
          <w:sz w:val="26"/>
          <w:szCs w:val="26"/>
        </w:rPr>
        <w:t>(по данным Комплексного наблюдения условий жизни населения, в процентах к общему числу детей в соответствующем возрасте)</w:t>
      </w:r>
    </w:p>
    <w:p w14:paraId="5A563540" w14:textId="77777777" w:rsidR="00420FD7" w:rsidRPr="00CE50B2" w:rsidRDefault="00420FD7" w:rsidP="00420FD7">
      <w:pPr>
        <w:spacing w:after="0" w:line="240" w:lineRule="auto"/>
        <w:jc w:val="right"/>
        <w:rPr>
          <w:rFonts w:ascii="Times New Roman" w:hAnsi="Times New Roman"/>
        </w:rPr>
      </w:pPr>
    </w:p>
    <w:tbl>
      <w:tblPr>
        <w:tblW w:w="50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3"/>
        <w:gridCol w:w="1216"/>
        <w:gridCol w:w="1126"/>
        <w:gridCol w:w="1311"/>
        <w:gridCol w:w="1126"/>
        <w:gridCol w:w="946"/>
        <w:gridCol w:w="759"/>
        <w:gridCol w:w="759"/>
        <w:gridCol w:w="1446"/>
      </w:tblGrid>
      <w:tr w:rsidR="00420FD7" w:rsidRPr="00CE50B2" w14:paraId="118452C5" w14:textId="77777777" w:rsidTr="00BB0372">
        <w:trPr>
          <w:tblHeader/>
          <w:jc w:val="center"/>
        </w:trPr>
        <w:tc>
          <w:tcPr>
            <w:tcW w:w="865" w:type="pct"/>
            <w:vMerge w:val="restart"/>
          </w:tcPr>
          <w:p w14:paraId="3845C08D" w14:textId="77777777" w:rsidR="00420FD7" w:rsidRPr="00CE50B2" w:rsidRDefault="00420FD7" w:rsidP="00420FD7">
            <w:pPr>
              <w:spacing w:after="0" w:line="240" w:lineRule="auto"/>
              <w:rPr>
                <w:rFonts w:ascii="Times New Roman" w:hAnsi="Times New Roman"/>
                <w:sz w:val="18"/>
                <w:szCs w:val="18"/>
              </w:rPr>
            </w:pPr>
          </w:p>
        </w:tc>
        <w:tc>
          <w:tcPr>
            <w:tcW w:w="577" w:type="pct"/>
            <w:vMerge w:val="restart"/>
            <w:vAlign w:val="center"/>
          </w:tcPr>
          <w:p w14:paraId="66F8B511" w14:textId="77777777" w:rsidR="00420FD7" w:rsidRPr="00CE50B2" w:rsidRDefault="00420FD7" w:rsidP="00420FD7">
            <w:pPr>
              <w:spacing w:after="0" w:line="240" w:lineRule="auto"/>
              <w:jc w:val="center"/>
              <w:rPr>
                <w:rFonts w:ascii="Times New Roman" w:hAnsi="Times New Roman"/>
                <w:sz w:val="18"/>
                <w:szCs w:val="18"/>
              </w:rPr>
            </w:pPr>
            <w:r w:rsidRPr="00CE50B2">
              <w:rPr>
                <w:rFonts w:ascii="Times New Roman" w:hAnsi="Times New Roman"/>
                <w:sz w:val="18"/>
                <w:szCs w:val="18"/>
              </w:rPr>
              <w:t>Все респонденты</w:t>
            </w:r>
          </w:p>
        </w:tc>
        <w:tc>
          <w:tcPr>
            <w:tcW w:w="2872" w:type="pct"/>
            <w:gridSpan w:val="6"/>
            <w:vAlign w:val="center"/>
          </w:tcPr>
          <w:p w14:paraId="6E4730D4" w14:textId="77777777" w:rsidR="00420FD7" w:rsidRPr="00CE50B2" w:rsidRDefault="00420FD7" w:rsidP="00420FD7">
            <w:pPr>
              <w:spacing w:after="0" w:line="240" w:lineRule="auto"/>
              <w:jc w:val="center"/>
              <w:rPr>
                <w:rFonts w:ascii="Times New Roman" w:hAnsi="Times New Roman"/>
                <w:sz w:val="18"/>
                <w:szCs w:val="18"/>
              </w:rPr>
            </w:pPr>
            <w:r w:rsidRPr="00CE50B2">
              <w:rPr>
                <w:rFonts w:ascii="Times New Roman" w:hAnsi="Times New Roman"/>
                <w:sz w:val="18"/>
                <w:szCs w:val="18"/>
              </w:rPr>
              <w:t>из них проживающие в домохозяйствах</w:t>
            </w:r>
          </w:p>
        </w:tc>
        <w:tc>
          <w:tcPr>
            <w:tcW w:w="686" w:type="pct"/>
            <w:vAlign w:val="center"/>
          </w:tcPr>
          <w:p w14:paraId="3C29252F" w14:textId="77777777" w:rsidR="00420FD7" w:rsidRPr="00CE50B2" w:rsidRDefault="00420FD7" w:rsidP="00420FD7">
            <w:pPr>
              <w:spacing w:after="0" w:line="240" w:lineRule="auto"/>
              <w:jc w:val="center"/>
              <w:rPr>
                <w:rFonts w:ascii="Times New Roman" w:hAnsi="Times New Roman"/>
                <w:sz w:val="18"/>
                <w:szCs w:val="18"/>
              </w:rPr>
            </w:pPr>
            <w:proofErr w:type="spellStart"/>
            <w:r w:rsidRPr="00CE50B2">
              <w:rPr>
                <w:rFonts w:ascii="Times New Roman" w:hAnsi="Times New Roman"/>
                <w:sz w:val="18"/>
                <w:szCs w:val="18"/>
              </w:rPr>
              <w:t>Справочно</w:t>
            </w:r>
            <w:proofErr w:type="spellEnd"/>
            <w:r w:rsidRPr="00CE50B2">
              <w:rPr>
                <w:rFonts w:ascii="Times New Roman" w:hAnsi="Times New Roman"/>
                <w:sz w:val="18"/>
                <w:szCs w:val="18"/>
              </w:rPr>
              <w:t>: в домохозяйствах первой 10 процентной  группы (с наименьшими доходами)</w:t>
            </w:r>
          </w:p>
        </w:tc>
      </w:tr>
      <w:tr w:rsidR="00420FD7" w:rsidRPr="00CE50B2" w14:paraId="03FB0B8F" w14:textId="77777777" w:rsidTr="00BB0372">
        <w:trPr>
          <w:trHeight w:val="867"/>
          <w:tblHeader/>
          <w:jc w:val="center"/>
        </w:trPr>
        <w:tc>
          <w:tcPr>
            <w:tcW w:w="865" w:type="pct"/>
            <w:vMerge/>
            <w:vAlign w:val="center"/>
          </w:tcPr>
          <w:p w14:paraId="1C68091D" w14:textId="77777777" w:rsidR="00420FD7" w:rsidRPr="00CE50B2" w:rsidRDefault="00420FD7" w:rsidP="00420FD7">
            <w:pPr>
              <w:spacing w:after="0" w:line="240" w:lineRule="auto"/>
              <w:rPr>
                <w:rFonts w:ascii="Times New Roman" w:hAnsi="Times New Roman"/>
                <w:sz w:val="18"/>
                <w:szCs w:val="18"/>
              </w:rPr>
            </w:pPr>
          </w:p>
        </w:tc>
        <w:tc>
          <w:tcPr>
            <w:tcW w:w="577" w:type="pct"/>
            <w:vMerge/>
            <w:vAlign w:val="center"/>
          </w:tcPr>
          <w:p w14:paraId="5E326431" w14:textId="77777777" w:rsidR="00420FD7" w:rsidRPr="00CE50B2" w:rsidRDefault="00420FD7" w:rsidP="00420FD7">
            <w:pPr>
              <w:spacing w:after="0" w:line="240" w:lineRule="auto"/>
              <w:jc w:val="center"/>
              <w:rPr>
                <w:rFonts w:ascii="Times New Roman" w:hAnsi="Times New Roman"/>
                <w:i/>
                <w:sz w:val="18"/>
                <w:szCs w:val="18"/>
              </w:rPr>
            </w:pPr>
          </w:p>
        </w:tc>
        <w:tc>
          <w:tcPr>
            <w:tcW w:w="547" w:type="pct"/>
            <w:vAlign w:val="center"/>
          </w:tcPr>
          <w:p w14:paraId="4E3A90A7" w14:textId="77777777" w:rsidR="00420FD7" w:rsidRPr="00CE50B2" w:rsidRDefault="00420FD7" w:rsidP="00420FD7">
            <w:pPr>
              <w:spacing w:after="0" w:line="240" w:lineRule="auto"/>
              <w:jc w:val="center"/>
              <w:rPr>
                <w:rFonts w:ascii="Times New Roman" w:hAnsi="Times New Roman"/>
                <w:sz w:val="18"/>
                <w:szCs w:val="18"/>
                <w:lang w:val="en-US"/>
              </w:rPr>
            </w:pPr>
            <w:r w:rsidRPr="00CE50B2">
              <w:rPr>
                <w:rFonts w:ascii="Times New Roman" w:hAnsi="Times New Roman"/>
                <w:sz w:val="18"/>
                <w:szCs w:val="18"/>
              </w:rPr>
              <w:t>в городских населенных пунктах</w:t>
            </w:r>
          </w:p>
        </w:tc>
        <w:tc>
          <w:tcPr>
            <w:tcW w:w="622" w:type="pct"/>
            <w:vAlign w:val="center"/>
          </w:tcPr>
          <w:p w14:paraId="37CC433D" w14:textId="77777777" w:rsidR="00420FD7" w:rsidRPr="00CE50B2" w:rsidRDefault="00420FD7" w:rsidP="00420FD7">
            <w:pPr>
              <w:spacing w:after="0" w:line="240" w:lineRule="auto"/>
              <w:jc w:val="center"/>
              <w:rPr>
                <w:rFonts w:ascii="Times New Roman" w:hAnsi="Times New Roman"/>
                <w:sz w:val="18"/>
                <w:szCs w:val="18"/>
              </w:rPr>
            </w:pPr>
            <w:r w:rsidRPr="00CE50B2">
              <w:rPr>
                <w:rFonts w:ascii="Times New Roman" w:hAnsi="Times New Roman"/>
                <w:sz w:val="18"/>
                <w:szCs w:val="18"/>
              </w:rPr>
              <w:t>из них</w:t>
            </w:r>
            <w:r w:rsidR="00E2147E">
              <w:rPr>
                <w:rFonts w:ascii="Times New Roman" w:hAnsi="Times New Roman"/>
                <w:sz w:val="18"/>
                <w:szCs w:val="18"/>
              </w:rPr>
              <w:t xml:space="preserve"> с численностью населения 1 млн</w:t>
            </w:r>
            <w:r w:rsidRPr="00CE50B2">
              <w:rPr>
                <w:rFonts w:ascii="Times New Roman" w:hAnsi="Times New Roman"/>
                <w:sz w:val="18"/>
                <w:szCs w:val="18"/>
              </w:rPr>
              <w:t xml:space="preserve"> и более</w:t>
            </w:r>
          </w:p>
        </w:tc>
        <w:tc>
          <w:tcPr>
            <w:tcW w:w="534" w:type="pct"/>
            <w:vAlign w:val="center"/>
          </w:tcPr>
          <w:p w14:paraId="323C5C91" w14:textId="77777777" w:rsidR="00420FD7" w:rsidRPr="00CE50B2" w:rsidRDefault="00420FD7" w:rsidP="00420FD7">
            <w:pPr>
              <w:spacing w:after="0" w:line="240" w:lineRule="auto"/>
              <w:jc w:val="center"/>
              <w:rPr>
                <w:rFonts w:ascii="Times New Roman" w:hAnsi="Times New Roman"/>
                <w:sz w:val="18"/>
                <w:szCs w:val="18"/>
                <w:lang w:val="en-US"/>
              </w:rPr>
            </w:pPr>
            <w:r w:rsidRPr="00CE50B2">
              <w:rPr>
                <w:rFonts w:ascii="Times New Roman" w:hAnsi="Times New Roman"/>
                <w:sz w:val="18"/>
                <w:szCs w:val="18"/>
              </w:rPr>
              <w:t>в  сельских</w:t>
            </w:r>
            <w:r w:rsidRPr="00CE50B2">
              <w:rPr>
                <w:rFonts w:ascii="Times New Roman" w:hAnsi="Times New Roman"/>
                <w:sz w:val="18"/>
                <w:szCs w:val="18"/>
              </w:rPr>
              <w:br/>
              <w:t>населенных пунктах</w:t>
            </w:r>
          </w:p>
        </w:tc>
        <w:tc>
          <w:tcPr>
            <w:tcW w:w="449" w:type="pct"/>
            <w:vAlign w:val="center"/>
          </w:tcPr>
          <w:p w14:paraId="50B8059C" w14:textId="77777777" w:rsidR="00420FD7" w:rsidRPr="00CE50B2" w:rsidRDefault="00420FD7" w:rsidP="00420FD7">
            <w:pPr>
              <w:spacing w:after="0" w:line="240" w:lineRule="auto"/>
              <w:jc w:val="center"/>
              <w:rPr>
                <w:rFonts w:ascii="Times New Roman" w:hAnsi="Times New Roman"/>
                <w:sz w:val="18"/>
                <w:szCs w:val="18"/>
              </w:rPr>
            </w:pPr>
            <w:r w:rsidRPr="00CE50B2">
              <w:rPr>
                <w:rFonts w:ascii="Times New Roman" w:hAnsi="Times New Roman"/>
                <w:sz w:val="18"/>
                <w:szCs w:val="18"/>
              </w:rPr>
              <w:t>с одним ребенком</w:t>
            </w:r>
          </w:p>
        </w:tc>
        <w:tc>
          <w:tcPr>
            <w:tcW w:w="360" w:type="pct"/>
            <w:vAlign w:val="center"/>
          </w:tcPr>
          <w:p w14:paraId="3EBC10D5" w14:textId="77777777" w:rsidR="00420FD7" w:rsidRPr="00CE50B2" w:rsidRDefault="00420FD7" w:rsidP="00420FD7">
            <w:pPr>
              <w:spacing w:after="0" w:line="240" w:lineRule="auto"/>
              <w:jc w:val="center"/>
              <w:rPr>
                <w:rFonts w:ascii="Times New Roman" w:hAnsi="Times New Roman"/>
                <w:sz w:val="18"/>
                <w:szCs w:val="18"/>
              </w:rPr>
            </w:pPr>
            <w:r w:rsidRPr="00CE50B2">
              <w:rPr>
                <w:rFonts w:ascii="Times New Roman" w:hAnsi="Times New Roman"/>
                <w:sz w:val="18"/>
                <w:szCs w:val="18"/>
              </w:rPr>
              <w:t>с 2-мя детьми</w:t>
            </w:r>
          </w:p>
        </w:tc>
        <w:tc>
          <w:tcPr>
            <w:tcW w:w="360" w:type="pct"/>
            <w:vAlign w:val="center"/>
          </w:tcPr>
          <w:p w14:paraId="4FDE8914" w14:textId="77777777" w:rsidR="00420FD7" w:rsidRPr="00CE50B2" w:rsidRDefault="00420FD7" w:rsidP="00420FD7">
            <w:pPr>
              <w:spacing w:after="0" w:line="240" w:lineRule="auto"/>
              <w:jc w:val="center"/>
              <w:rPr>
                <w:rFonts w:ascii="Times New Roman" w:hAnsi="Times New Roman"/>
                <w:sz w:val="18"/>
                <w:szCs w:val="18"/>
              </w:rPr>
            </w:pPr>
            <w:r w:rsidRPr="00CE50B2">
              <w:rPr>
                <w:rFonts w:ascii="Times New Roman" w:hAnsi="Times New Roman"/>
                <w:sz w:val="18"/>
                <w:szCs w:val="18"/>
              </w:rPr>
              <w:t>с 3-мя и более детьми</w:t>
            </w:r>
          </w:p>
        </w:tc>
        <w:tc>
          <w:tcPr>
            <w:tcW w:w="686" w:type="pct"/>
          </w:tcPr>
          <w:p w14:paraId="273DABF8" w14:textId="77777777" w:rsidR="00420FD7" w:rsidRPr="00CE50B2" w:rsidRDefault="00420FD7" w:rsidP="00420FD7">
            <w:pPr>
              <w:spacing w:after="0" w:line="240" w:lineRule="auto"/>
              <w:jc w:val="center"/>
              <w:rPr>
                <w:rFonts w:ascii="Times New Roman" w:hAnsi="Times New Roman"/>
                <w:i/>
                <w:sz w:val="18"/>
                <w:szCs w:val="18"/>
              </w:rPr>
            </w:pPr>
          </w:p>
        </w:tc>
      </w:tr>
      <w:tr w:rsidR="00420FD7" w:rsidRPr="00CE50B2" w14:paraId="344D5FA4" w14:textId="77777777" w:rsidTr="008F29AD">
        <w:trPr>
          <w:trHeight w:val="320"/>
          <w:jc w:val="center"/>
        </w:trPr>
        <w:tc>
          <w:tcPr>
            <w:tcW w:w="5000" w:type="pct"/>
            <w:gridSpan w:val="9"/>
            <w:tcBorders>
              <w:bottom w:val="single" w:sz="4" w:space="0" w:color="auto"/>
            </w:tcBorders>
            <w:vAlign w:val="center"/>
          </w:tcPr>
          <w:p w14:paraId="50F724D8" w14:textId="77777777" w:rsidR="00420FD7" w:rsidRPr="00CE50B2" w:rsidRDefault="00420FD7" w:rsidP="00BB0372">
            <w:pPr>
              <w:spacing w:after="0" w:line="240" w:lineRule="auto"/>
              <w:jc w:val="center"/>
              <w:rPr>
                <w:rFonts w:ascii="Times New Roman" w:eastAsia="Times New Roman" w:hAnsi="Times New Roman"/>
                <w:sz w:val="18"/>
                <w:szCs w:val="18"/>
                <w:lang w:eastAsia="ru-RU"/>
              </w:rPr>
            </w:pPr>
            <w:r w:rsidRPr="00CE50B2">
              <w:rPr>
                <w:rFonts w:ascii="Times New Roman" w:hAnsi="Times New Roman"/>
                <w:b/>
                <w:sz w:val="18"/>
                <w:szCs w:val="18"/>
              </w:rPr>
              <w:t>2018 г.</w:t>
            </w:r>
          </w:p>
        </w:tc>
      </w:tr>
      <w:tr w:rsidR="00420FD7" w:rsidRPr="00CE50B2" w14:paraId="7CC057C4" w14:textId="77777777" w:rsidTr="00BB0372">
        <w:trPr>
          <w:trHeight w:val="70"/>
          <w:jc w:val="center"/>
        </w:trPr>
        <w:tc>
          <w:tcPr>
            <w:tcW w:w="865" w:type="pct"/>
            <w:tcBorders>
              <w:bottom w:val="single" w:sz="4" w:space="0" w:color="auto"/>
            </w:tcBorders>
          </w:tcPr>
          <w:p w14:paraId="175AE302" w14:textId="77777777" w:rsidR="00420FD7" w:rsidRPr="00CE50B2" w:rsidRDefault="00420FD7" w:rsidP="00420FD7">
            <w:pPr>
              <w:spacing w:after="0" w:line="240" w:lineRule="auto"/>
              <w:rPr>
                <w:rFonts w:ascii="Times New Roman" w:hAnsi="Times New Roman"/>
                <w:sz w:val="18"/>
                <w:szCs w:val="18"/>
              </w:rPr>
            </w:pPr>
            <w:r w:rsidRPr="00CE50B2">
              <w:rPr>
                <w:rFonts w:ascii="Times New Roman" w:hAnsi="Times New Roman"/>
                <w:sz w:val="18"/>
                <w:szCs w:val="18"/>
              </w:rPr>
              <w:t xml:space="preserve">Дети в возрасте 0-14 лет– всего  </w:t>
            </w:r>
          </w:p>
        </w:tc>
        <w:tc>
          <w:tcPr>
            <w:tcW w:w="577" w:type="pct"/>
            <w:tcBorders>
              <w:bottom w:val="single" w:sz="4" w:space="0" w:color="auto"/>
            </w:tcBorders>
            <w:vAlign w:val="center"/>
          </w:tcPr>
          <w:p w14:paraId="14C381B2" w14:textId="77777777"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547" w:type="pct"/>
            <w:tcBorders>
              <w:bottom w:val="single" w:sz="4" w:space="0" w:color="auto"/>
            </w:tcBorders>
            <w:vAlign w:val="center"/>
          </w:tcPr>
          <w:p w14:paraId="2B534575" w14:textId="77777777"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622" w:type="pct"/>
            <w:tcBorders>
              <w:bottom w:val="single" w:sz="4" w:space="0" w:color="auto"/>
            </w:tcBorders>
            <w:vAlign w:val="center"/>
          </w:tcPr>
          <w:p w14:paraId="349C7165" w14:textId="77777777"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534" w:type="pct"/>
            <w:tcBorders>
              <w:bottom w:val="single" w:sz="4" w:space="0" w:color="auto"/>
            </w:tcBorders>
            <w:vAlign w:val="center"/>
          </w:tcPr>
          <w:p w14:paraId="70B70C00" w14:textId="77777777"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449" w:type="pct"/>
            <w:tcBorders>
              <w:bottom w:val="single" w:sz="4" w:space="0" w:color="auto"/>
            </w:tcBorders>
            <w:vAlign w:val="center"/>
          </w:tcPr>
          <w:p w14:paraId="395453D0" w14:textId="77777777"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360" w:type="pct"/>
            <w:tcBorders>
              <w:bottom w:val="single" w:sz="4" w:space="0" w:color="auto"/>
            </w:tcBorders>
            <w:vAlign w:val="center"/>
          </w:tcPr>
          <w:p w14:paraId="7320171E" w14:textId="77777777"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360" w:type="pct"/>
            <w:tcBorders>
              <w:bottom w:val="single" w:sz="4" w:space="0" w:color="auto"/>
            </w:tcBorders>
            <w:vAlign w:val="center"/>
          </w:tcPr>
          <w:p w14:paraId="3123E1D2" w14:textId="77777777"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686" w:type="pct"/>
            <w:tcBorders>
              <w:bottom w:val="single" w:sz="4" w:space="0" w:color="auto"/>
            </w:tcBorders>
            <w:vAlign w:val="center"/>
          </w:tcPr>
          <w:p w14:paraId="489AFBF2" w14:textId="77777777"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r>
      <w:tr w:rsidR="00420FD7" w:rsidRPr="00CE50B2" w14:paraId="6E251182" w14:textId="77777777" w:rsidTr="00BB0372">
        <w:trPr>
          <w:trHeight w:val="70"/>
          <w:jc w:val="center"/>
        </w:trPr>
        <w:tc>
          <w:tcPr>
            <w:tcW w:w="865" w:type="pct"/>
            <w:tcBorders>
              <w:top w:val="single" w:sz="4" w:space="0" w:color="auto"/>
              <w:bottom w:val="single" w:sz="4" w:space="0" w:color="auto"/>
            </w:tcBorders>
            <w:vAlign w:val="bottom"/>
          </w:tcPr>
          <w:p w14:paraId="79F3E6C5" w14:textId="77777777"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в том числе проживающие в домохозяйствах, которые, принимая во внимание доходы всех членов домохозяйства</w:t>
            </w:r>
          </w:p>
        </w:tc>
        <w:tc>
          <w:tcPr>
            <w:tcW w:w="577" w:type="pct"/>
            <w:tcBorders>
              <w:top w:val="single" w:sz="4" w:space="0" w:color="auto"/>
              <w:bottom w:val="single" w:sz="4" w:space="0" w:color="auto"/>
            </w:tcBorders>
            <w:vAlign w:val="center"/>
          </w:tcPr>
          <w:p w14:paraId="1CE91B6A"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47" w:type="pct"/>
            <w:tcBorders>
              <w:top w:val="single" w:sz="4" w:space="0" w:color="auto"/>
              <w:bottom w:val="single" w:sz="4" w:space="0" w:color="auto"/>
            </w:tcBorders>
            <w:vAlign w:val="center"/>
          </w:tcPr>
          <w:p w14:paraId="35CD711F"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622" w:type="pct"/>
            <w:tcBorders>
              <w:top w:val="single" w:sz="4" w:space="0" w:color="auto"/>
              <w:bottom w:val="single" w:sz="4" w:space="0" w:color="auto"/>
            </w:tcBorders>
            <w:vAlign w:val="center"/>
          </w:tcPr>
          <w:p w14:paraId="25799445"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34" w:type="pct"/>
            <w:tcBorders>
              <w:top w:val="single" w:sz="4" w:space="0" w:color="auto"/>
              <w:bottom w:val="single" w:sz="4" w:space="0" w:color="auto"/>
            </w:tcBorders>
            <w:vAlign w:val="center"/>
          </w:tcPr>
          <w:p w14:paraId="4439E505"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49" w:type="pct"/>
            <w:tcBorders>
              <w:top w:val="single" w:sz="4" w:space="0" w:color="auto"/>
              <w:bottom w:val="single" w:sz="4" w:space="0" w:color="auto"/>
            </w:tcBorders>
            <w:vAlign w:val="center"/>
          </w:tcPr>
          <w:p w14:paraId="7C13D55E"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360" w:type="pct"/>
            <w:tcBorders>
              <w:top w:val="single" w:sz="4" w:space="0" w:color="auto"/>
              <w:bottom w:val="single" w:sz="4" w:space="0" w:color="auto"/>
            </w:tcBorders>
            <w:vAlign w:val="center"/>
          </w:tcPr>
          <w:p w14:paraId="1FED6E36"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360" w:type="pct"/>
            <w:tcBorders>
              <w:top w:val="single" w:sz="4" w:space="0" w:color="auto"/>
              <w:bottom w:val="single" w:sz="4" w:space="0" w:color="auto"/>
            </w:tcBorders>
            <w:vAlign w:val="center"/>
          </w:tcPr>
          <w:p w14:paraId="72A9D938"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686" w:type="pct"/>
            <w:tcBorders>
              <w:top w:val="single" w:sz="4" w:space="0" w:color="auto"/>
              <w:bottom w:val="single" w:sz="4" w:space="0" w:color="auto"/>
            </w:tcBorders>
            <w:vAlign w:val="center"/>
          </w:tcPr>
          <w:p w14:paraId="78FF1DBF"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r>
      <w:tr w:rsidR="00420FD7" w:rsidRPr="00CE50B2" w14:paraId="6FCE325A" w14:textId="77777777" w:rsidTr="00BB0372">
        <w:trPr>
          <w:trHeight w:val="70"/>
          <w:jc w:val="center"/>
        </w:trPr>
        <w:tc>
          <w:tcPr>
            <w:tcW w:w="865" w:type="pct"/>
            <w:tcBorders>
              <w:top w:val="single" w:sz="4" w:space="0" w:color="auto"/>
              <w:left w:val="single" w:sz="4" w:space="0" w:color="auto"/>
              <w:bottom w:val="single" w:sz="4" w:space="0" w:color="auto"/>
              <w:right w:val="single" w:sz="4" w:space="0" w:color="auto"/>
            </w:tcBorders>
            <w:vAlign w:val="bottom"/>
          </w:tcPr>
          <w:p w14:paraId="1F1DA270" w14:textId="77777777" w:rsidR="00420FD7" w:rsidRPr="00CE50B2" w:rsidRDefault="00420FD7" w:rsidP="00420FD7">
            <w:pPr>
              <w:spacing w:after="0" w:line="240" w:lineRule="auto"/>
              <w:rPr>
                <w:rFonts w:ascii="Times New Roman" w:hAnsi="Times New Roman"/>
                <w:i/>
                <w:sz w:val="18"/>
                <w:szCs w:val="18"/>
              </w:rPr>
            </w:pPr>
            <w:r w:rsidRPr="00CE50B2">
              <w:rPr>
                <w:rFonts w:ascii="Times New Roman" w:hAnsi="Times New Roman"/>
                <w:i/>
                <w:sz w:val="18"/>
                <w:szCs w:val="18"/>
              </w:rPr>
              <w:t>имеют возможность</w:t>
            </w:r>
          </w:p>
        </w:tc>
        <w:tc>
          <w:tcPr>
            <w:tcW w:w="577" w:type="pct"/>
            <w:tcBorders>
              <w:top w:val="single" w:sz="4" w:space="0" w:color="auto"/>
              <w:left w:val="single" w:sz="4" w:space="0" w:color="auto"/>
              <w:bottom w:val="single" w:sz="4" w:space="0" w:color="auto"/>
              <w:right w:val="single" w:sz="4" w:space="0" w:color="auto"/>
            </w:tcBorders>
            <w:vAlign w:val="center"/>
          </w:tcPr>
          <w:p w14:paraId="4EED600E"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vAlign w:val="center"/>
          </w:tcPr>
          <w:p w14:paraId="038AC9DD"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622" w:type="pct"/>
            <w:tcBorders>
              <w:top w:val="single" w:sz="4" w:space="0" w:color="auto"/>
              <w:left w:val="single" w:sz="4" w:space="0" w:color="auto"/>
              <w:bottom w:val="single" w:sz="4" w:space="0" w:color="auto"/>
              <w:right w:val="single" w:sz="4" w:space="0" w:color="auto"/>
            </w:tcBorders>
            <w:vAlign w:val="center"/>
          </w:tcPr>
          <w:p w14:paraId="7E6ECF6A"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34" w:type="pct"/>
            <w:tcBorders>
              <w:top w:val="single" w:sz="4" w:space="0" w:color="auto"/>
              <w:left w:val="single" w:sz="4" w:space="0" w:color="auto"/>
              <w:bottom w:val="single" w:sz="4" w:space="0" w:color="auto"/>
              <w:right w:val="single" w:sz="4" w:space="0" w:color="auto"/>
            </w:tcBorders>
            <w:vAlign w:val="center"/>
          </w:tcPr>
          <w:p w14:paraId="7C18152F"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49" w:type="pct"/>
            <w:tcBorders>
              <w:top w:val="single" w:sz="4" w:space="0" w:color="auto"/>
              <w:left w:val="single" w:sz="4" w:space="0" w:color="auto"/>
              <w:bottom w:val="single" w:sz="4" w:space="0" w:color="auto"/>
              <w:right w:val="single" w:sz="4" w:space="0" w:color="auto"/>
            </w:tcBorders>
            <w:vAlign w:val="center"/>
          </w:tcPr>
          <w:p w14:paraId="42F199B2"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360" w:type="pct"/>
            <w:tcBorders>
              <w:top w:val="single" w:sz="4" w:space="0" w:color="auto"/>
              <w:left w:val="single" w:sz="4" w:space="0" w:color="auto"/>
              <w:bottom w:val="single" w:sz="4" w:space="0" w:color="auto"/>
              <w:right w:val="single" w:sz="4" w:space="0" w:color="auto"/>
            </w:tcBorders>
            <w:vAlign w:val="center"/>
          </w:tcPr>
          <w:p w14:paraId="49A2119D"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360" w:type="pct"/>
            <w:tcBorders>
              <w:top w:val="single" w:sz="4" w:space="0" w:color="auto"/>
              <w:left w:val="single" w:sz="4" w:space="0" w:color="auto"/>
              <w:bottom w:val="single" w:sz="4" w:space="0" w:color="auto"/>
              <w:right w:val="single" w:sz="4" w:space="0" w:color="auto"/>
            </w:tcBorders>
            <w:vAlign w:val="center"/>
          </w:tcPr>
          <w:p w14:paraId="698A869B"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686" w:type="pct"/>
            <w:tcBorders>
              <w:top w:val="single" w:sz="4" w:space="0" w:color="auto"/>
              <w:left w:val="single" w:sz="4" w:space="0" w:color="auto"/>
              <w:bottom w:val="single" w:sz="4" w:space="0" w:color="auto"/>
              <w:right w:val="single" w:sz="4" w:space="0" w:color="auto"/>
            </w:tcBorders>
            <w:vAlign w:val="center"/>
          </w:tcPr>
          <w:p w14:paraId="025AC898"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r>
      <w:tr w:rsidR="00420FD7" w:rsidRPr="00CE50B2" w14:paraId="7321BA0F" w14:textId="77777777" w:rsidTr="00BB0372">
        <w:trPr>
          <w:trHeight w:val="70"/>
          <w:jc w:val="center"/>
        </w:trPr>
        <w:tc>
          <w:tcPr>
            <w:tcW w:w="865" w:type="pct"/>
            <w:tcBorders>
              <w:top w:val="single" w:sz="4" w:space="0" w:color="auto"/>
              <w:left w:val="single" w:sz="4" w:space="0" w:color="auto"/>
              <w:bottom w:val="single" w:sz="4" w:space="0" w:color="auto"/>
              <w:right w:val="single" w:sz="4" w:space="0" w:color="auto"/>
            </w:tcBorders>
          </w:tcPr>
          <w:p w14:paraId="546E9D4F" w14:textId="77777777"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оплачивать жизненно необходимые (важнейшие) лекарственные препараты</w:t>
            </w:r>
          </w:p>
        </w:tc>
        <w:tc>
          <w:tcPr>
            <w:tcW w:w="577" w:type="pct"/>
            <w:tcBorders>
              <w:top w:val="single" w:sz="4" w:space="0" w:color="auto"/>
              <w:left w:val="single" w:sz="4" w:space="0" w:color="auto"/>
              <w:bottom w:val="single" w:sz="4" w:space="0" w:color="auto"/>
              <w:right w:val="single" w:sz="4" w:space="0" w:color="auto"/>
            </w:tcBorders>
            <w:vAlign w:val="center"/>
          </w:tcPr>
          <w:p w14:paraId="3295BEC9"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90,3</w:t>
            </w:r>
          </w:p>
        </w:tc>
        <w:tc>
          <w:tcPr>
            <w:tcW w:w="547" w:type="pct"/>
            <w:tcBorders>
              <w:top w:val="single" w:sz="4" w:space="0" w:color="auto"/>
              <w:left w:val="single" w:sz="4" w:space="0" w:color="auto"/>
              <w:bottom w:val="single" w:sz="4" w:space="0" w:color="auto"/>
              <w:right w:val="single" w:sz="4" w:space="0" w:color="auto"/>
            </w:tcBorders>
            <w:vAlign w:val="center"/>
          </w:tcPr>
          <w:p w14:paraId="35C4EBC1"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91,0</w:t>
            </w:r>
          </w:p>
        </w:tc>
        <w:tc>
          <w:tcPr>
            <w:tcW w:w="622" w:type="pct"/>
            <w:tcBorders>
              <w:top w:val="single" w:sz="4" w:space="0" w:color="auto"/>
              <w:left w:val="single" w:sz="4" w:space="0" w:color="auto"/>
              <w:bottom w:val="single" w:sz="4" w:space="0" w:color="auto"/>
              <w:right w:val="single" w:sz="4" w:space="0" w:color="auto"/>
            </w:tcBorders>
            <w:vAlign w:val="center"/>
          </w:tcPr>
          <w:p w14:paraId="5E951092"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92,5</w:t>
            </w:r>
          </w:p>
        </w:tc>
        <w:tc>
          <w:tcPr>
            <w:tcW w:w="534" w:type="pct"/>
            <w:tcBorders>
              <w:top w:val="single" w:sz="4" w:space="0" w:color="auto"/>
              <w:left w:val="single" w:sz="4" w:space="0" w:color="auto"/>
              <w:bottom w:val="single" w:sz="4" w:space="0" w:color="auto"/>
              <w:right w:val="single" w:sz="4" w:space="0" w:color="auto"/>
            </w:tcBorders>
            <w:vAlign w:val="center"/>
          </w:tcPr>
          <w:p w14:paraId="17A9997E"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88,3</w:t>
            </w:r>
          </w:p>
        </w:tc>
        <w:tc>
          <w:tcPr>
            <w:tcW w:w="449" w:type="pct"/>
            <w:tcBorders>
              <w:top w:val="single" w:sz="4" w:space="0" w:color="auto"/>
              <w:left w:val="single" w:sz="4" w:space="0" w:color="auto"/>
              <w:bottom w:val="single" w:sz="4" w:space="0" w:color="auto"/>
              <w:right w:val="single" w:sz="4" w:space="0" w:color="auto"/>
            </w:tcBorders>
            <w:vAlign w:val="center"/>
          </w:tcPr>
          <w:p w14:paraId="60723231"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91,9</w:t>
            </w:r>
          </w:p>
        </w:tc>
        <w:tc>
          <w:tcPr>
            <w:tcW w:w="360" w:type="pct"/>
            <w:tcBorders>
              <w:top w:val="single" w:sz="4" w:space="0" w:color="auto"/>
              <w:left w:val="single" w:sz="4" w:space="0" w:color="auto"/>
              <w:bottom w:val="single" w:sz="4" w:space="0" w:color="auto"/>
              <w:right w:val="single" w:sz="4" w:space="0" w:color="auto"/>
            </w:tcBorders>
            <w:vAlign w:val="center"/>
          </w:tcPr>
          <w:p w14:paraId="17FC5D37"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91,3</w:t>
            </w:r>
          </w:p>
        </w:tc>
        <w:tc>
          <w:tcPr>
            <w:tcW w:w="360" w:type="pct"/>
            <w:tcBorders>
              <w:top w:val="single" w:sz="4" w:space="0" w:color="auto"/>
              <w:left w:val="single" w:sz="4" w:space="0" w:color="auto"/>
              <w:bottom w:val="single" w:sz="4" w:space="0" w:color="auto"/>
              <w:right w:val="single" w:sz="4" w:space="0" w:color="auto"/>
            </w:tcBorders>
            <w:vAlign w:val="center"/>
          </w:tcPr>
          <w:p w14:paraId="4790D189"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85,4</w:t>
            </w:r>
          </w:p>
        </w:tc>
        <w:tc>
          <w:tcPr>
            <w:tcW w:w="686" w:type="pct"/>
            <w:tcBorders>
              <w:top w:val="single" w:sz="4" w:space="0" w:color="auto"/>
              <w:left w:val="single" w:sz="4" w:space="0" w:color="auto"/>
              <w:bottom w:val="single" w:sz="4" w:space="0" w:color="auto"/>
              <w:right w:val="single" w:sz="4" w:space="0" w:color="auto"/>
            </w:tcBorders>
            <w:vAlign w:val="center"/>
          </w:tcPr>
          <w:p w14:paraId="19C34459"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78,8</w:t>
            </w:r>
          </w:p>
        </w:tc>
      </w:tr>
      <w:tr w:rsidR="00420FD7" w:rsidRPr="00CE50B2" w14:paraId="03062969" w14:textId="77777777" w:rsidTr="00BB0372">
        <w:trPr>
          <w:trHeight w:val="70"/>
          <w:jc w:val="center"/>
        </w:trPr>
        <w:tc>
          <w:tcPr>
            <w:tcW w:w="865" w:type="pct"/>
            <w:tcBorders>
              <w:top w:val="single" w:sz="4" w:space="0" w:color="auto"/>
              <w:bottom w:val="single" w:sz="4" w:space="0" w:color="auto"/>
            </w:tcBorders>
          </w:tcPr>
          <w:p w14:paraId="6FEBC656" w14:textId="77777777"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справиться с непредвиденными  расходами по ремонту жилья (вставить стекла, отремонтировать сантехнику, ликвидировать протечки крыши и т.д.)</w:t>
            </w:r>
          </w:p>
        </w:tc>
        <w:tc>
          <w:tcPr>
            <w:tcW w:w="577" w:type="pct"/>
            <w:tcBorders>
              <w:top w:val="single" w:sz="4" w:space="0" w:color="auto"/>
              <w:bottom w:val="single" w:sz="4" w:space="0" w:color="auto"/>
            </w:tcBorders>
            <w:vAlign w:val="center"/>
          </w:tcPr>
          <w:p w14:paraId="4324B8DE"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47,7</w:t>
            </w:r>
          </w:p>
        </w:tc>
        <w:tc>
          <w:tcPr>
            <w:tcW w:w="547" w:type="pct"/>
            <w:tcBorders>
              <w:top w:val="single" w:sz="4" w:space="0" w:color="auto"/>
              <w:bottom w:val="single" w:sz="4" w:space="0" w:color="auto"/>
            </w:tcBorders>
            <w:vAlign w:val="center"/>
          </w:tcPr>
          <w:p w14:paraId="72D4FE94"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49,1</w:t>
            </w:r>
          </w:p>
        </w:tc>
        <w:tc>
          <w:tcPr>
            <w:tcW w:w="622" w:type="pct"/>
            <w:tcBorders>
              <w:top w:val="single" w:sz="4" w:space="0" w:color="auto"/>
              <w:bottom w:val="single" w:sz="4" w:space="0" w:color="auto"/>
            </w:tcBorders>
            <w:vAlign w:val="center"/>
          </w:tcPr>
          <w:p w14:paraId="70375D1D"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57,4</w:t>
            </w:r>
          </w:p>
        </w:tc>
        <w:tc>
          <w:tcPr>
            <w:tcW w:w="534" w:type="pct"/>
            <w:tcBorders>
              <w:top w:val="single" w:sz="4" w:space="0" w:color="auto"/>
              <w:bottom w:val="single" w:sz="4" w:space="0" w:color="auto"/>
            </w:tcBorders>
            <w:vAlign w:val="center"/>
          </w:tcPr>
          <w:p w14:paraId="16FC0A5D"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44,0</w:t>
            </w:r>
          </w:p>
        </w:tc>
        <w:tc>
          <w:tcPr>
            <w:tcW w:w="449" w:type="pct"/>
            <w:tcBorders>
              <w:top w:val="single" w:sz="4" w:space="0" w:color="auto"/>
              <w:bottom w:val="single" w:sz="4" w:space="0" w:color="auto"/>
            </w:tcBorders>
            <w:vAlign w:val="center"/>
          </w:tcPr>
          <w:p w14:paraId="5E2649C1"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51,7</w:t>
            </w:r>
          </w:p>
        </w:tc>
        <w:tc>
          <w:tcPr>
            <w:tcW w:w="360" w:type="pct"/>
            <w:tcBorders>
              <w:top w:val="single" w:sz="4" w:space="0" w:color="auto"/>
              <w:bottom w:val="single" w:sz="4" w:space="0" w:color="auto"/>
            </w:tcBorders>
            <w:vAlign w:val="center"/>
          </w:tcPr>
          <w:p w14:paraId="7DE86540"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48,7</w:t>
            </w:r>
          </w:p>
        </w:tc>
        <w:tc>
          <w:tcPr>
            <w:tcW w:w="360" w:type="pct"/>
            <w:tcBorders>
              <w:top w:val="single" w:sz="4" w:space="0" w:color="auto"/>
              <w:bottom w:val="single" w:sz="4" w:space="0" w:color="auto"/>
            </w:tcBorders>
            <w:vAlign w:val="center"/>
          </w:tcPr>
          <w:p w14:paraId="578136EB"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38,4</w:t>
            </w:r>
          </w:p>
        </w:tc>
        <w:tc>
          <w:tcPr>
            <w:tcW w:w="686" w:type="pct"/>
            <w:tcBorders>
              <w:top w:val="single" w:sz="4" w:space="0" w:color="auto"/>
              <w:bottom w:val="single" w:sz="4" w:space="0" w:color="auto"/>
            </w:tcBorders>
            <w:vAlign w:val="center"/>
          </w:tcPr>
          <w:p w14:paraId="1324BA27"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24,8</w:t>
            </w:r>
          </w:p>
        </w:tc>
      </w:tr>
      <w:tr w:rsidR="00420FD7" w:rsidRPr="00CE50B2" w14:paraId="07B9BDF2" w14:textId="77777777" w:rsidTr="00BB0372">
        <w:trPr>
          <w:trHeight w:val="70"/>
          <w:jc w:val="center"/>
        </w:trPr>
        <w:tc>
          <w:tcPr>
            <w:tcW w:w="865" w:type="pct"/>
            <w:tcBorders>
              <w:top w:val="single" w:sz="4" w:space="0" w:color="auto"/>
              <w:bottom w:val="single" w:sz="4" w:space="0" w:color="auto"/>
            </w:tcBorders>
          </w:tcPr>
          <w:p w14:paraId="1E6F6050" w14:textId="77777777"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заменить пришедшие в негодность предметы мебели</w:t>
            </w:r>
          </w:p>
          <w:p w14:paraId="31CE9543" w14:textId="77777777" w:rsidR="00420FD7" w:rsidRPr="00CE50B2" w:rsidRDefault="00420FD7" w:rsidP="00420FD7">
            <w:pPr>
              <w:spacing w:after="0" w:line="240" w:lineRule="auto"/>
              <w:ind w:left="176"/>
              <w:rPr>
                <w:rFonts w:ascii="Times New Roman" w:hAnsi="Times New Roman"/>
                <w:sz w:val="18"/>
                <w:szCs w:val="18"/>
              </w:rPr>
            </w:pPr>
          </w:p>
        </w:tc>
        <w:tc>
          <w:tcPr>
            <w:tcW w:w="577" w:type="pct"/>
            <w:tcBorders>
              <w:top w:val="single" w:sz="4" w:space="0" w:color="auto"/>
              <w:bottom w:val="single" w:sz="4" w:space="0" w:color="auto"/>
            </w:tcBorders>
            <w:vAlign w:val="center"/>
          </w:tcPr>
          <w:p w14:paraId="5D40FEA9"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49,1</w:t>
            </w:r>
          </w:p>
        </w:tc>
        <w:tc>
          <w:tcPr>
            <w:tcW w:w="547" w:type="pct"/>
            <w:tcBorders>
              <w:top w:val="single" w:sz="4" w:space="0" w:color="auto"/>
              <w:bottom w:val="single" w:sz="4" w:space="0" w:color="auto"/>
            </w:tcBorders>
            <w:vAlign w:val="center"/>
          </w:tcPr>
          <w:p w14:paraId="217672A3"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50,7</w:t>
            </w:r>
          </w:p>
        </w:tc>
        <w:tc>
          <w:tcPr>
            <w:tcW w:w="622" w:type="pct"/>
            <w:tcBorders>
              <w:top w:val="single" w:sz="4" w:space="0" w:color="auto"/>
              <w:bottom w:val="single" w:sz="4" w:space="0" w:color="auto"/>
            </w:tcBorders>
            <w:vAlign w:val="center"/>
          </w:tcPr>
          <w:p w14:paraId="58189781"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60,4</w:t>
            </w:r>
          </w:p>
        </w:tc>
        <w:tc>
          <w:tcPr>
            <w:tcW w:w="534" w:type="pct"/>
            <w:tcBorders>
              <w:top w:val="single" w:sz="4" w:space="0" w:color="auto"/>
              <w:bottom w:val="single" w:sz="4" w:space="0" w:color="auto"/>
            </w:tcBorders>
            <w:vAlign w:val="center"/>
          </w:tcPr>
          <w:p w14:paraId="427903DC"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45,1</w:t>
            </w:r>
          </w:p>
        </w:tc>
        <w:tc>
          <w:tcPr>
            <w:tcW w:w="449" w:type="pct"/>
            <w:tcBorders>
              <w:top w:val="single" w:sz="4" w:space="0" w:color="auto"/>
              <w:bottom w:val="single" w:sz="4" w:space="0" w:color="auto"/>
            </w:tcBorders>
            <w:vAlign w:val="center"/>
          </w:tcPr>
          <w:p w14:paraId="3795DA27"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54,0</w:t>
            </w:r>
          </w:p>
        </w:tc>
        <w:tc>
          <w:tcPr>
            <w:tcW w:w="360" w:type="pct"/>
            <w:tcBorders>
              <w:top w:val="single" w:sz="4" w:space="0" w:color="auto"/>
              <w:bottom w:val="single" w:sz="4" w:space="0" w:color="auto"/>
            </w:tcBorders>
            <w:vAlign w:val="center"/>
          </w:tcPr>
          <w:p w14:paraId="0ADECBBC"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48,9</w:t>
            </w:r>
          </w:p>
        </w:tc>
        <w:tc>
          <w:tcPr>
            <w:tcW w:w="360" w:type="pct"/>
            <w:tcBorders>
              <w:top w:val="single" w:sz="4" w:space="0" w:color="auto"/>
              <w:bottom w:val="single" w:sz="4" w:space="0" w:color="auto"/>
            </w:tcBorders>
            <w:vAlign w:val="center"/>
          </w:tcPr>
          <w:p w14:paraId="203A9C4D"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40,9</w:t>
            </w:r>
          </w:p>
        </w:tc>
        <w:tc>
          <w:tcPr>
            <w:tcW w:w="686" w:type="pct"/>
            <w:tcBorders>
              <w:top w:val="single" w:sz="4" w:space="0" w:color="auto"/>
              <w:bottom w:val="single" w:sz="4" w:space="0" w:color="auto"/>
            </w:tcBorders>
            <w:vAlign w:val="center"/>
          </w:tcPr>
          <w:p w14:paraId="038B07E0"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24,1</w:t>
            </w:r>
          </w:p>
        </w:tc>
      </w:tr>
      <w:tr w:rsidR="00420FD7" w:rsidRPr="00CE50B2" w14:paraId="1FD97AC9" w14:textId="77777777" w:rsidTr="00BB0372">
        <w:trPr>
          <w:trHeight w:val="70"/>
          <w:jc w:val="center"/>
        </w:trPr>
        <w:tc>
          <w:tcPr>
            <w:tcW w:w="865" w:type="pct"/>
            <w:tcBorders>
              <w:top w:val="single" w:sz="4" w:space="0" w:color="auto"/>
              <w:bottom w:val="single" w:sz="4" w:space="0" w:color="auto"/>
            </w:tcBorders>
          </w:tcPr>
          <w:p w14:paraId="7BB8AEC6" w14:textId="77777777"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менять членам семьи одежду на новую по мере износа</w:t>
            </w:r>
          </w:p>
        </w:tc>
        <w:tc>
          <w:tcPr>
            <w:tcW w:w="577" w:type="pct"/>
            <w:tcBorders>
              <w:top w:val="single" w:sz="4" w:space="0" w:color="auto"/>
              <w:bottom w:val="single" w:sz="4" w:space="0" w:color="auto"/>
            </w:tcBorders>
            <w:vAlign w:val="center"/>
          </w:tcPr>
          <w:p w14:paraId="7715D52B"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93,9</w:t>
            </w:r>
          </w:p>
        </w:tc>
        <w:tc>
          <w:tcPr>
            <w:tcW w:w="547" w:type="pct"/>
            <w:tcBorders>
              <w:top w:val="single" w:sz="4" w:space="0" w:color="auto"/>
              <w:bottom w:val="single" w:sz="4" w:space="0" w:color="auto"/>
            </w:tcBorders>
            <w:vAlign w:val="center"/>
          </w:tcPr>
          <w:p w14:paraId="1B9FBA8D"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94,3</w:t>
            </w:r>
          </w:p>
        </w:tc>
        <w:tc>
          <w:tcPr>
            <w:tcW w:w="622" w:type="pct"/>
            <w:tcBorders>
              <w:top w:val="single" w:sz="4" w:space="0" w:color="auto"/>
              <w:bottom w:val="single" w:sz="4" w:space="0" w:color="auto"/>
            </w:tcBorders>
            <w:vAlign w:val="center"/>
          </w:tcPr>
          <w:p w14:paraId="59C4644D"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95,3</w:t>
            </w:r>
          </w:p>
        </w:tc>
        <w:tc>
          <w:tcPr>
            <w:tcW w:w="534" w:type="pct"/>
            <w:tcBorders>
              <w:top w:val="single" w:sz="4" w:space="0" w:color="auto"/>
              <w:bottom w:val="single" w:sz="4" w:space="0" w:color="auto"/>
            </w:tcBorders>
            <w:vAlign w:val="center"/>
          </w:tcPr>
          <w:p w14:paraId="5E48B6D6"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92,7</w:t>
            </w:r>
          </w:p>
        </w:tc>
        <w:tc>
          <w:tcPr>
            <w:tcW w:w="449" w:type="pct"/>
            <w:tcBorders>
              <w:top w:val="single" w:sz="4" w:space="0" w:color="auto"/>
              <w:bottom w:val="single" w:sz="4" w:space="0" w:color="auto"/>
            </w:tcBorders>
            <w:vAlign w:val="center"/>
          </w:tcPr>
          <w:p w14:paraId="269B19EB"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95,2</w:t>
            </w:r>
          </w:p>
        </w:tc>
        <w:tc>
          <w:tcPr>
            <w:tcW w:w="360" w:type="pct"/>
            <w:tcBorders>
              <w:top w:val="single" w:sz="4" w:space="0" w:color="auto"/>
              <w:bottom w:val="single" w:sz="4" w:space="0" w:color="auto"/>
            </w:tcBorders>
            <w:vAlign w:val="center"/>
          </w:tcPr>
          <w:p w14:paraId="273E0E9C"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94,4</w:t>
            </w:r>
          </w:p>
        </w:tc>
        <w:tc>
          <w:tcPr>
            <w:tcW w:w="360" w:type="pct"/>
            <w:tcBorders>
              <w:top w:val="single" w:sz="4" w:space="0" w:color="auto"/>
              <w:bottom w:val="single" w:sz="4" w:space="0" w:color="auto"/>
            </w:tcBorders>
            <w:vAlign w:val="center"/>
          </w:tcPr>
          <w:p w14:paraId="12C34008"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90,3</w:t>
            </w:r>
          </w:p>
        </w:tc>
        <w:tc>
          <w:tcPr>
            <w:tcW w:w="686" w:type="pct"/>
            <w:tcBorders>
              <w:top w:val="single" w:sz="4" w:space="0" w:color="auto"/>
              <w:bottom w:val="single" w:sz="4" w:space="0" w:color="auto"/>
            </w:tcBorders>
            <w:vAlign w:val="center"/>
          </w:tcPr>
          <w:p w14:paraId="677C1FB6"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86,2</w:t>
            </w:r>
          </w:p>
        </w:tc>
      </w:tr>
      <w:tr w:rsidR="00420FD7" w:rsidRPr="00CE50B2" w14:paraId="6A86B042" w14:textId="77777777" w:rsidTr="00BB0372">
        <w:trPr>
          <w:trHeight w:val="70"/>
          <w:jc w:val="center"/>
        </w:trPr>
        <w:tc>
          <w:tcPr>
            <w:tcW w:w="865" w:type="pct"/>
            <w:tcBorders>
              <w:top w:val="single" w:sz="4" w:space="0" w:color="auto"/>
              <w:bottom w:val="single" w:sz="4" w:space="0" w:color="auto"/>
            </w:tcBorders>
          </w:tcPr>
          <w:p w14:paraId="7548398C" w14:textId="77777777"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покупать каждому члену семьи две пары подходящей по сезону обуви</w:t>
            </w:r>
          </w:p>
        </w:tc>
        <w:tc>
          <w:tcPr>
            <w:tcW w:w="577" w:type="pct"/>
            <w:tcBorders>
              <w:top w:val="single" w:sz="4" w:space="0" w:color="auto"/>
              <w:bottom w:val="single" w:sz="4" w:space="0" w:color="auto"/>
            </w:tcBorders>
            <w:vAlign w:val="center"/>
          </w:tcPr>
          <w:p w14:paraId="6ED4A977"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67,3</w:t>
            </w:r>
          </w:p>
        </w:tc>
        <w:tc>
          <w:tcPr>
            <w:tcW w:w="547" w:type="pct"/>
            <w:tcBorders>
              <w:top w:val="single" w:sz="4" w:space="0" w:color="auto"/>
              <w:bottom w:val="single" w:sz="4" w:space="0" w:color="auto"/>
            </w:tcBorders>
            <w:vAlign w:val="center"/>
          </w:tcPr>
          <w:p w14:paraId="6F7632F0"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69,0</w:t>
            </w:r>
          </w:p>
        </w:tc>
        <w:tc>
          <w:tcPr>
            <w:tcW w:w="622" w:type="pct"/>
            <w:tcBorders>
              <w:top w:val="single" w:sz="4" w:space="0" w:color="auto"/>
              <w:bottom w:val="single" w:sz="4" w:space="0" w:color="auto"/>
            </w:tcBorders>
            <w:vAlign w:val="center"/>
          </w:tcPr>
          <w:p w14:paraId="248D1301"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74,7</w:t>
            </w:r>
          </w:p>
        </w:tc>
        <w:tc>
          <w:tcPr>
            <w:tcW w:w="534" w:type="pct"/>
            <w:tcBorders>
              <w:top w:val="single" w:sz="4" w:space="0" w:color="auto"/>
              <w:bottom w:val="single" w:sz="4" w:space="0" w:color="auto"/>
            </w:tcBorders>
            <w:vAlign w:val="center"/>
          </w:tcPr>
          <w:p w14:paraId="531EE3E8"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62,7</w:t>
            </w:r>
          </w:p>
        </w:tc>
        <w:tc>
          <w:tcPr>
            <w:tcW w:w="449" w:type="pct"/>
            <w:tcBorders>
              <w:top w:val="single" w:sz="4" w:space="0" w:color="auto"/>
              <w:bottom w:val="single" w:sz="4" w:space="0" w:color="auto"/>
            </w:tcBorders>
            <w:vAlign w:val="center"/>
          </w:tcPr>
          <w:p w14:paraId="631A0D40"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70,9</w:t>
            </w:r>
          </w:p>
        </w:tc>
        <w:tc>
          <w:tcPr>
            <w:tcW w:w="360" w:type="pct"/>
            <w:tcBorders>
              <w:top w:val="single" w:sz="4" w:space="0" w:color="auto"/>
              <w:bottom w:val="single" w:sz="4" w:space="0" w:color="auto"/>
            </w:tcBorders>
            <w:vAlign w:val="center"/>
          </w:tcPr>
          <w:p w14:paraId="797B4582"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68,4</w:t>
            </w:r>
          </w:p>
        </w:tc>
        <w:tc>
          <w:tcPr>
            <w:tcW w:w="360" w:type="pct"/>
            <w:tcBorders>
              <w:top w:val="single" w:sz="4" w:space="0" w:color="auto"/>
              <w:bottom w:val="single" w:sz="4" w:space="0" w:color="auto"/>
            </w:tcBorders>
            <w:vAlign w:val="center"/>
          </w:tcPr>
          <w:p w14:paraId="092696B3"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58,4</w:t>
            </w:r>
          </w:p>
        </w:tc>
        <w:tc>
          <w:tcPr>
            <w:tcW w:w="686" w:type="pct"/>
            <w:tcBorders>
              <w:top w:val="single" w:sz="4" w:space="0" w:color="auto"/>
              <w:bottom w:val="single" w:sz="4" w:space="0" w:color="auto"/>
            </w:tcBorders>
            <w:vAlign w:val="center"/>
          </w:tcPr>
          <w:p w14:paraId="286FF7EB"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46,8</w:t>
            </w:r>
          </w:p>
        </w:tc>
      </w:tr>
      <w:tr w:rsidR="00420FD7" w:rsidRPr="00CE50B2" w14:paraId="3E039FB2" w14:textId="77777777" w:rsidTr="00BB0372">
        <w:trPr>
          <w:trHeight w:val="70"/>
          <w:jc w:val="center"/>
        </w:trPr>
        <w:tc>
          <w:tcPr>
            <w:tcW w:w="865" w:type="pct"/>
            <w:tcBorders>
              <w:top w:val="single" w:sz="4" w:space="0" w:color="auto"/>
              <w:bottom w:val="single" w:sz="4" w:space="0" w:color="auto"/>
            </w:tcBorders>
          </w:tcPr>
          <w:p w14:paraId="4C24D587" w14:textId="77777777"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два раза в неделю употреблять в пищу блюда из мяса, птицы или рыбы (или равноценную вегетарианскую пищу)</w:t>
            </w:r>
          </w:p>
        </w:tc>
        <w:tc>
          <w:tcPr>
            <w:tcW w:w="577" w:type="pct"/>
            <w:tcBorders>
              <w:top w:val="single" w:sz="4" w:space="0" w:color="auto"/>
              <w:bottom w:val="single" w:sz="4" w:space="0" w:color="auto"/>
            </w:tcBorders>
            <w:vAlign w:val="center"/>
          </w:tcPr>
          <w:p w14:paraId="3C20780E"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91,6</w:t>
            </w:r>
          </w:p>
        </w:tc>
        <w:tc>
          <w:tcPr>
            <w:tcW w:w="547" w:type="pct"/>
            <w:tcBorders>
              <w:top w:val="single" w:sz="4" w:space="0" w:color="auto"/>
              <w:bottom w:val="single" w:sz="4" w:space="0" w:color="auto"/>
            </w:tcBorders>
            <w:vAlign w:val="center"/>
          </w:tcPr>
          <w:p w14:paraId="44AA8D06"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92,8</w:t>
            </w:r>
          </w:p>
        </w:tc>
        <w:tc>
          <w:tcPr>
            <w:tcW w:w="622" w:type="pct"/>
            <w:tcBorders>
              <w:top w:val="single" w:sz="4" w:space="0" w:color="auto"/>
              <w:bottom w:val="single" w:sz="4" w:space="0" w:color="auto"/>
            </w:tcBorders>
            <w:vAlign w:val="center"/>
          </w:tcPr>
          <w:p w14:paraId="5DF0F426"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94,0</w:t>
            </w:r>
          </w:p>
        </w:tc>
        <w:tc>
          <w:tcPr>
            <w:tcW w:w="534" w:type="pct"/>
            <w:tcBorders>
              <w:top w:val="single" w:sz="4" w:space="0" w:color="auto"/>
              <w:bottom w:val="single" w:sz="4" w:space="0" w:color="auto"/>
            </w:tcBorders>
            <w:vAlign w:val="center"/>
          </w:tcPr>
          <w:p w14:paraId="7FD32EE4"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88,6</w:t>
            </w:r>
          </w:p>
        </w:tc>
        <w:tc>
          <w:tcPr>
            <w:tcW w:w="449" w:type="pct"/>
            <w:tcBorders>
              <w:top w:val="single" w:sz="4" w:space="0" w:color="auto"/>
              <w:bottom w:val="single" w:sz="4" w:space="0" w:color="auto"/>
            </w:tcBorders>
            <w:vAlign w:val="center"/>
          </w:tcPr>
          <w:p w14:paraId="63BADFE8"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93,1</w:t>
            </w:r>
          </w:p>
        </w:tc>
        <w:tc>
          <w:tcPr>
            <w:tcW w:w="360" w:type="pct"/>
            <w:tcBorders>
              <w:top w:val="single" w:sz="4" w:space="0" w:color="auto"/>
              <w:bottom w:val="single" w:sz="4" w:space="0" w:color="auto"/>
            </w:tcBorders>
            <w:vAlign w:val="center"/>
          </w:tcPr>
          <w:p w14:paraId="132CA385"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91,9</w:t>
            </w:r>
          </w:p>
        </w:tc>
        <w:tc>
          <w:tcPr>
            <w:tcW w:w="360" w:type="pct"/>
            <w:tcBorders>
              <w:top w:val="single" w:sz="4" w:space="0" w:color="auto"/>
              <w:bottom w:val="single" w:sz="4" w:space="0" w:color="auto"/>
            </w:tcBorders>
            <w:vAlign w:val="center"/>
          </w:tcPr>
          <w:p w14:paraId="3289EFCC"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88,5</w:t>
            </w:r>
          </w:p>
        </w:tc>
        <w:tc>
          <w:tcPr>
            <w:tcW w:w="686" w:type="pct"/>
            <w:tcBorders>
              <w:top w:val="single" w:sz="4" w:space="0" w:color="auto"/>
              <w:bottom w:val="single" w:sz="4" w:space="0" w:color="auto"/>
            </w:tcBorders>
            <w:vAlign w:val="center"/>
          </w:tcPr>
          <w:p w14:paraId="70C12DB6"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81,4</w:t>
            </w:r>
          </w:p>
        </w:tc>
      </w:tr>
      <w:tr w:rsidR="00420FD7" w:rsidRPr="00CE50B2" w14:paraId="3DA3D6E8" w14:textId="77777777" w:rsidTr="00BB0372">
        <w:trPr>
          <w:trHeight w:val="70"/>
          <w:jc w:val="center"/>
        </w:trPr>
        <w:tc>
          <w:tcPr>
            <w:tcW w:w="865" w:type="pct"/>
            <w:tcBorders>
              <w:top w:val="single" w:sz="4" w:space="0" w:color="auto"/>
              <w:bottom w:val="single" w:sz="4" w:space="0" w:color="auto"/>
            </w:tcBorders>
          </w:tcPr>
          <w:p w14:paraId="2C123DD1" w14:textId="77777777"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покупать фрукты в любое время года</w:t>
            </w:r>
          </w:p>
        </w:tc>
        <w:tc>
          <w:tcPr>
            <w:tcW w:w="577" w:type="pct"/>
            <w:tcBorders>
              <w:top w:val="single" w:sz="4" w:space="0" w:color="auto"/>
              <w:bottom w:val="single" w:sz="4" w:space="0" w:color="auto"/>
            </w:tcBorders>
            <w:vAlign w:val="center"/>
          </w:tcPr>
          <w:p w14:paraId="52DA3FB6"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83,8</w:t>
            </w:r>
          </w:p>
        </w:tc>
        <w:tc>
          <w:tcPr>
            <w:tcW w:w="547" w:type="pct"/>
            <w:tcBorders>
              <w:top w:val="single" w:sz="4" w:space="0" w:color="auto"/>
              <w:bottom w:val="single" w:sz="4" w:space="0" w:color="auto"/>
            </w:tcBorders>
            <w:vAlign w:val="center"/>
          </w:tcPr>
          <w:p w14:paraId="19CAF938"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86,3</w:t>
            </w:r>
          </w:p>
        </w:tc>
        <w:tc>
          <w:tcPr>
            <w:tcW w:w="622" w:type="pct"/>
            <w:tcBorders>
              <w:top w:val="single" w:sz="4" w:space="0" w:color="auto"/>
              <w:bottom w:val="single" w:sz="4" w:space="0" w:color="auto"/>
            </w:tcBorders>
            <w:vAlign w:val="center"/>
          </w:tcPr>
          <w:p w14:paraId="1AC7937E"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90,1</w:t>
            </w:r>
          </w:p>
        </w:tc>
        <w:tc>
          <w:tcPr>
            <w:tcW w:w="534" w:type="pct"/>
            <w:tcBorders>
              <w:top w:val="single" w:sz="4" w:space="0" w:color="auto"/>
              <w:bottom w:val="single" w:sz="4" w:space="0" w:color="auto"/>
            </w:tcBorders>
            <w:vAlign w:val="center"/>
          </w:tcPr>
          <w:p w14:paraId="7571FA73"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77,0</w:t>
            </w:r>
          </w:p>
        </w:tc>
        <w:tc>
          <w:tcPr>
            <w:tcW w:w="449" w:type="pct"/>
            <w:tcBorders>
              <w:top w:val="single" w:sz="4" w:space="0" w:color="auto"/>
              <w:bottom w:val="single" w:sz="4" w:space="0" w:color="auto"/>
            </w:tcBorders>
            <w:vAlign w:val="center"/>
          </w:tcPr>
          <w:p w14:paraId="30A1F807"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85,9</w:t>
            </w:r>
          </w:p>
        </w:tc>
        <w:tc>
          <w:tcPr>
            <w:tcW w:w="360" w:type="pct"/>
            <w:tcBorders>
              <w:top w:val="single" w:sz="4" w:space="0" w:color="auto"/>
              <w:bottom w:val="single" w:sz="4" w:space="0" w:color="auto"/>
            </w:tcBorders>
            <w:vAlign w:val="center"/>
          </w:tcPr>
          <w:p w14:paraId="50B4EDE6"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84,4</w:t>
            </w:r>
          </w:p>
        </w:tc>
        <w:tc>
          <w:tcPr>
            <w:tcW w:w="360" w:type="pct"/>
            <w:tcBorders>
              <w:top w:val="single" w:sz="4" w:space="0" w:color="auto"/>
              <w:bottom w:val="single" w:sz="4" w:space="0" w:color="auto"/>
            </w:tcBorders>
            <w:vAlign w:val="center"/>
          </w:tcPr>
          <w:p w14:paraId="481763BA"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78,6</w:t>
            </w:r>
          </w:p>
        </w:tc>
        <w:tc>
          <w:tcPr>
            <w:tcW w:w="686" w:type="pct"/>
            <w:tcBorders>
              <w:top w:val="single" w:sz="4" w:space="0" w:color="auto"/>
              <w:bottom w:val="single" w:sz="4" w:space="0" w:color="auto"/>
            </w:tcBorders>
            <w:vAlign w:val="center"/>
          </w:tcPr>
          <w:p w14:paraId="4459A1E0"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65,6</w:t>
            </w:r>
          </w:p>
        </w:tc>
      </w:tr>
      <w:tr w:rsidR="00420FD7" w:rsidRPr="00CE50B2" w14:paraId="0C9C6DFB" w14:textId="77777777" w:rsidTr="00BB0372">
        <w:trPr>
          <w:trHeight w:val="1260"/>
          <w:jc w:val="center"/>
        </w:trPr>
        <w:tc>
          <w:tcPr>
            <w:tcW w:w="865" w:type="pct"/>
            <w:tcBorders>
              <w:top w:val="single" w:sz="4" w:space="0" w:color="auto"/>
              <w:bottom w:val="single" w:sz="4" w:space="0" w:color="auto"/>
            </w:tcBorders>
          </w:tcPr>
          <w:p w14:paraId="51785587" w14:textId="77777777"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приглашать гостей на семейное торжество (день рождения, Новый год и пр.)</w:t>
            </w:r>
          </w:p>
        </w:tc>
        <w:tc>
          <w:tcPr>
            <w:tcW w:w="577" w:type="pct"/>
            <w:tcBorders>
              <w:top w:val="single" w:sz="4" w:space="0" w:color="auto"/>
              <w:bottom w:val="single" w:sz="4" w:space="0" w:color="auto"/>
            </w:tcBorders>
            <w:vAlign w:val="center"/>
          </w:tcPr>
          <w:p w14:paraId="1075EE51"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79,1</w:t>
            </w:r>
          </w:p>
        </w:tc>
        <w:tc>
          <w:tcPr>
            <w:tcW w:w="547" w:type="pct"/>
            <w:tcBorders>
              <w:top w:val="single" w:sz="4" w:space="0" w:color="auto"/>
              <w:bottom w:val="single" w:sz="4" w:space="0" w:color="auto"/>
            </w:tcBorders>
            <w:vAlign w:val="center"/>
          </w:tcPr>
          <w:p w14:paraId="17445DD7"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81,2</w:t>
            </w:r>
          </w:p>
        </w:tc>
        <w:tc>
          <w:tcPr>
            <w:tcW w:w="622" w:type="pct"/>
            <w:tcBorders>
              <w:top w:val="single" w:sz="4" w:space="0" w:color="auto"/>
              <w:bottom w:val="single" w:sz="4" w:space="0" w:color="auto"/>
            </w:tcBorders>
            <w:vAlign w:val="center"/>
          </w:tcPr>
          <w:p w14:paraId="34D0AE5D"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86,7</w:t>
            </w:r>
          </w:p>
        </w:tc>
        <w:tc>
          <w:tcPr>
            <w:tcW w:w="534" w:type="pct"/>
            <w:tcBorders>
              <w:top w:val="single" w:sz="4" w:space="0" w:color="auto"/>
              <w:bottom w:val="single" w:sz="4" w:space="0" w:color="auto"/>
            </w:tcBorders>
            <w:vAlign w:val="center"/>
          </w:tcPr>
          <w:p w14:paraId="44BDF489"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73,6</w:t>
            </w:r>
          </w:p>
        </w:tc>
        <w:tc>
          <w:tcPr>
            <w:tcW w:w="449" w:type="pct"/>
            <w:tcBorders>
              <w:top w:val="single" w:sz="4" w:space="0" w:color="auto"/>
              <w:bottom w:val="single" w:sz="4" w:space="0" w:color="auto"/>
            </w:tcBorders>
            <w:vAlign w:val="center"/>
          </w:tcPr>
          <w:p w14:paraId="465B01F0"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82,2</w:t>
            </w:r>
          </w:p>
        </w:tc>
        <w:tc>
          <w:tcPr>
            <w:tcW w:w="360" w:type="pct"/>
            <w:tcBorders>
              <w:top w:val="single" w:sz="4" w:space="0" w:color="auto"/>
              <w:bottom w:val="single" w:sz="4" w:space="0" w:color="auto"/>
            </w:tcBorders>
            <w:vAlign w:val="center"/>
          </w:tcPr>
          <w:p w14:paraId="2C6629AF"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79,9</w:t>
            </w:r>
          </w:p>
        </w:tc>
        <w:tc>
          <w:tcPr>
            <w:tcW w:w="360" w:type="pct"/>
            <w:tcBorders>
              <w:top w:val="single" w:sz="4" w:space="0" w:color="auto"/>
              <w:bottom w:val="single" w:sz="4" w:space="0" w:color="auto"/>
            </w:tcBorders>
            <w:vAlign w:val="center"/>
          </w:tcPr>
          <w:p w14:paraId="6659DBB7"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71,9</w:t>
            </w:r>
          </w:p>
        </w:tc>
        <w:tc>
          <w:tcPr>
            <w:tcW w:w="686" w:type="pct"/>
            <w:tcBorders>
              <w:top w:val="single" w:sz="4" w:space="0" w:color="auto"/>
              <w:bottom w:val="single" w:sz="4" w:space="0" w:color="auto"/>
            </w:tcBorders>
            <w:vAlign w:val="center"/>
          </w:tcPr>
          <w:p w14:paraId="204EDDB7"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58,1</w:t>
            </w:r>
          </w:p>
        </w:tc>
      </w:tr>
      <w:tr w:rsidR="00FD049A" w:rsidRPr="00CE50B2" w14:paraId="25999BA1" w14:textId="77777777" w:rsidTr="00BB0372">
        <w:trPr>
          <w:jc w:val="center"/>
        </w:trPr>
        <w:tc>
          <w:tcPr>
            <w:tcW w:w="865" w:type="pct"/>
            <w:tcBorders>
              <w:top w:val="single" w:sz="4" w:space="0" w:color="auto"/>
              <w:bottom w:val="nil"/>
            </w:tcBorders>
          </w:tcPr>
          <w:p w14:paraId="6833E802" w14:textId="77777777" w:rsidR="00FD049A" w:rsidRPr="00CE50B2" w:rsidRDefault="00FD049A" w:rsidP="00420FD7">
            <w:pPr>
              <w:spacing w:after="0" w:line="240" w:lineRule="auto"/>
              <w:ind w:left="176"/>
              <w:rPr>
                <w:rFonts w:ascii="Times New Roman" w:hAnsi="Times New Roman"/>
                <w:sz w:val="18"/>
                <w:szCs w:val="18"/>
              </w:rPr>
            </w:pPr>
          </w:p>
        </w:tc>
        <w:tc>
          <w:tcPr>
            <w:tcW w:w="577" w:type="pct"/>
            <w:tcBorders>
              <w:top w:val="single" w:sz="4" w:space="0" w:color="auto"/>
              <w:bottom w:val="nil"/>
            </w:tcBorders>
            <w:vAlign w:val="center"/>
          </w:tcPr>
          <w:p w14:paraId="2A588CEA" w14:textId="77777777" w:rsidR="00FD049A" w:rsidRPr="00CE50B2" w:rsidRDefault="00FD049A" w:rsidP="008F29AD">
            <w:pPr>
              <w:spacing w:after="0" w:line="240" w:lineRule="auto"/>
              <w:jc w:val="center"/>
              <w:rPr>
                <w:rFonts w:ascii="Times New Roman" w:eastAsia="Times New Roman" w:hAnsi="Times New Roman"/>
                <w:sz w:val="18"/>
                <w:szCs w:val="18"/>
                <w:lang w:eastAsia="ru-RU"/>
              </w:rPr>
            </w:pPr>
          </w:p>
        </w:tc>
        <w:tc>
          <w:tcPr>
            <w:tcW w:w="547" w:type="pct"/>
            <w:tcBorders>
              <w:top w:val="single" w:sz="4" w:space="0" w:color="auto"/>
              <w:bottom w:val="nil"/>
            </w:tcBorders>
            <w:vAlign w:val="center"/>
          </w:tcPr>
          <w:p w14:paraId="2222ADF9" w14:textId="77777777" w:rsidR="00FD049A" w:rsidRPr="00CE50B2" w:rsidRDefault="00FD049A" w:rsidP="008F29AD">
            <w:pPr>
              <w:spacing w:after="0" w:line="240" w:lineRule="auto"/>
              <w:jc w:val="center"/>
              <w:rPr>
                <w:rFonts w:ascii="Times New Roman" w:eastAsia="Times New Roman" w:hAnsi="Times New Roman"/>
                <w:sz w:val="18"/>
                <w:szCs w:val="18"/>
                <w:lang w:eastAsia="ru-RU"/>
              </w:rPr>
            </w:pPr>
          </w:p>
        </w:tc>
        <w:tc>
          <w:tcPr>
            <w:tcW w:w="622" w:type="pct"/>
            <w:tcBorders>
              <w:top w:val="single" w:sz="4" w:space="0" w:color="auto"/>
              <w:bottom w:val="nil"/>
            </w:tcBorders>
            <w:vAlign w:val="center"/>
          </w:tcPr>
          <w:p w14:paraId="2778EF71" w14:textId="77777777" w:rsidR="00FD049A" w:rsidRPr="00CE50B2" w:rsidRDefault="00FD049A" w:rsidP="008F29AD">
            <w:pPr>
              <w:spacing w:after="0" w:line="240" w:lineRule="auto"/>
              <w:jc w:val="center"/>
              <w:rPr>
                <w:rFonts w:ascii="Times New Roman" w:eastAsia="Times New Roman" w:hAnsi="Times New Roman"/>
                <w:sz w:val="18"/>
                <w:szCs w:val="18"/>
                <w:lang w:eastAsia="ru-RU"/>
              </w:rPr>
            </w:pPr>
          </w:p>
        </w:tc>
        <w:tc>
          <w:tcPr>
            <w:tcW w:w="534" w:type="pct"/>
            <w:tcBorders>
              <w:top w:val="single" w:sz="4" w:space="0" w:color="auto"/>
              <w:bottom w:val="nil"/>
            </w:tcBorders>
            <w:vAlign w:val="center"/>
          </w:tcPr>
          <w:p w14:paraId="65868E8D" w14:textId="77777777" w:rsidR="00FD049A" w:rsidRPr="00CE50B2" w:rsidRDefault="00FD049A" w:rsidP="008F29AD">
            <w:pPr>
              <w:spacing w:after="0" w:line="240" w:lineRule="auto"/>
              <w:jc w:val="center"/>
              <w:rPr>
                <w:rFonts w:ascii="Times New Roman" w:eastAsia="Times New Roman" w:hAnsi="Times New Roman"/>
                <w:sz w:val="18"/>
                <w:szCs w:val="18"/>
                <w:lang w:eastAsia="ru-RU"/>
              </w:rPr>
            </w:pPr>
          </w:p>
        </w:tc>
        <w:tc>
          <w:tcPr>
            <w:tcW w:w="449" w:type="pct"/>
            <w:tcBorders>
              <w:top w:val="single" w:sz="4" w:space="0" w:color="auto"/>
              <w:bottom w:val="nil"/>
            </w:tcBorders>
            <w:vAlign w:val="center"/>
          </w:tcPr>
          <w:p w14:paraId="7617A284" w14:textId="77777777" w:rsidR="00FD049A" w:rsidRPr="00CE50B2" w:rsidRDefault="00FD049A" w:rsidP="008F29AD">
            <w:pPr>
              <w:spacing w:after="0" w:line="240" w:lineRule="auto"/>
              <w:jc w:val="center"/>
              <w:rPr>
                <w:rFonts w:ascii="Times New Roman" w:eastAsia="Times New Roman" w:hAnsi="Times New Roman"/>
                <w:sz w:val="18"/>
                <w:szCs w:val="18"/>
                <w:lang w:eastAsia="ru-RU"/>
              </w:rPr>
            </w:pPr>
          </w:p>
        </w:tc>
        <w:tc>
          <w:tcPr>
            <w:tcW w:w="360" w:type="pct"/>
            <w:tcBorders>
              <w:top w:val="single" w:sz="4" w:space="0" w:color="auto"/>
              <w:bottom w:val="nil"/>
            </w:tcBorders>
            <w:vAlign w:val="center"/>
          </w:tcPr>
          <w:p w14:paraId="03C2A65B" w14:textId="77777777" w:rsidR="00FD049A" w:rsidRPr="00CE50B2" w:rsidRDefault="00FD049A" w:rsidP="008F29AD">
            <w:pPr>
              <w:spacing w:after="0" w:line="240" w:lineRule="auto"/>
              <w:jc w:val="center"/>
              <w:rPr>
                <w:rFonts w:ascii="Times New Roman" w:eastAsia="Times New Roman" w:hAnsi="Times New Roman"/>
                <w:sz w:val="18"/>
                <w:szCs w:val="18"/>
                <w:lang w:eastAsia="ru-RU"/>
              </w:rPr>
            </w:pPr>
          </w:p>
        </w:tc>
        <w:tc>
          <w:tcPr>
            <w:tcW w:w="360" w:type="pct"/>
            <w:tcBorders>
              <w:top w:val="single" w:sz="4" w:space="0" w:color="auto"/>
              <w:bottom w:val="nil"/>
            </w:tcBorders>
            <w:vAlign w:val="center"/>
          </w:tcPr>
          <w:p w14:paraId="5D74A309" w14:textId="77777777" w:rsidR="00FD049A" w:rsidRPr="00CE50B2" w:rsidRDefault="00FD049A" w:rsidP="008F29AD">
            <w:pPr>
              <w:spacing w:after="0" w:line="240" w:lineRule="auto"/>
              <w:jc w:val="center"/>
              <w:rPr>
                <w:rFonts w:ascii="Times New Roman" w:eastAsia="Times New Roman" w:hAnsi="Times New Roman"/>
                <w:sz w:val="18"/>
                <w:szCs w:val="18"/>
                <w:lang w:eastAsia="ru-RU"/>
              </w:rPr>
            </w:pPr>
          </w:p>
        </w:tc>
        <w:tc>
          <w:tcPr>
            <w:tcW w:w="686" w:type="pct"/>
            <w:tcBorders>
              <w:top w:val="single" w:sz="4" w:space="0" w:color="auto"/>
              <w:bottom w:val="nil"/>
            </w:tcBorders>
            <w:vAlign w:val="center"/>
          </w:tcPr>
          <w:p w14:paraId="5E9F7007" w14:textId="77777777" w:rsidR="00FD049A" w:rsidRPr="00CE50B2" w:rsidRDefault="00FD049A" w:rsidP="008F29AD">
            <w:pPr>
              <w:spacing w:after="0" w:line="240" w:lineRule="auto"/>
              <w:jc w:val="center"/>
              <w:rPr>
                <w:rFonts w:ascii="Times New Roman" w:eastAsia="Times New Roman" w:hAnsi="Times New Roman"/>
                <w:sz w:val="18"/>
                <w:szCs w:val="18"/>
                <w:lang w:eastAsia="ru-RU"/>
              </w:rPr>
            </w:pPr>
          </w:p>
        </w:tc>
      </w:tr>
      <w:tr w:rsidR="00420FD7" w:rsidRPr="00CE50B2" w14:paraId="61251900" w14:textId="77777777" w:rsidTr="00BB0372">
        <w:trPr>
          <w:trHeight w:val="70"/>
          <w:jc w:val="center"/>
        </w:trPr>
        <w:tc>
          <w:tcPr>
            <w:tcW w:w="865" w:type="pct"/>
            <w:tcBorders>
              <w:top w:val="nil"/>
            </w:tcBorders>
          </w:tcPr>
          <w:p w14:paraId="10F43639" w14:textId="77777777"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каждый год одну неделю отпуска проводить вне дома (включая проведенное время во втором жилье, у родственников, у друзей)</w:t>
            </w:r>
          </w:p>
        </w:tc>
        <w:tc>
          <w:tcPr>
            <w:tcW w:w="577" w:type="pct"/>
            <w:tcBorders>
              <w:top w:val="nil"/>
            </w:tcBorders>
            <w:vAlign w:val="center"/>
          </w:tcPr>
          <w:p w14:paraId="03D0EE2B"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53,5</w:t>
            </w:r>
          </w:p>
        </w:tc>
        <w:tc>
          <w:tcPr>
            <w:tcW w:w="547" w:type="pct"/>
            <w:tcBorders>
              <w:top w:val="nil"/>
            </w:tcBorders>
            <w:vAlign w:val="center"/>
          </w:tcPr>
          <w:p w14:paraId="014DA9B6"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59,4</w:t>
            </w:r>
          </w:p>
        </w:tc>
        <w:tc>
          <w:tcPr>
            <w:tcW w:w="622" w:type="pct"/>
            <w:tcBorders>
              <w:top w:val="nil"/>
            </w:tcBorders>
            <w:vAlign w:val="center"/>
          </w:tcPr>
          <w:p w14:paraId="1B74668A"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74,6</w:t>
            </w:r>
          </w:p>
        </w:tc>
        <w:tc>
          <w:tcPr>
            <w:tcW w:w="534" w:type="pct"/>
            <w:tcBorders>
              <w:top w:val="nil"/>
            </w:tcBorders>
            <w:vAlign w:val="center"/>
          </w:tcPr>
          <w:p w14:paraId="5B8E712F"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37,9</w:t>
            </w:r>
          </w:p>
        </w:tc>
        <w:tc>
          <w:tcPr>
            <w:tcW w:w="449" w:type="pct"/>
            <w:tcBorders>
              <w:top w:val="nil"/>
            </w:tcBorders>
            <w:vAlign w:val="center"/>
          </w:tcPr>
          <w:p w14:paraId="0298EE22"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59,5</w:t>
            </w:r>
          </w:p>
        </w:tc>
        <w:tc>
          <w:tcPr>
            <w:tcW w:w="360" w:type="pct"/>
            <w:tcBorders>
              <w:top w:val="nil"/>
            </w:tcBorders>
            <w:vAlign w:val="center"/>
          </w:tcPr>
          <w:p w14:paraId="3FF44640"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54,1</w:t>
            </w:r>
          </w:p>
        </w:tc>
        <w:tc>
          <w:tcPr>
            <w:tcW w:w="360" w:type="pct"/>
            <w:tcBorders>
              <w:top w:val="nil"/>
            </w:tcBorders>
            <w:vAlign w:val="center"/>
          </w:tcPr>
          <w:p w14:paraId="1937CC10"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41,3</w:t>
            </w:r>
          </w:p>
        </w:tc>
        <w:tc>
          <w:tcPr>
            <w:tcW w:w="686" w:type="pct"/>
            <w:tcBorders>
              <w:top w:val="nil"/>
            </w:tcBorders>
            <w:vAlign w:val="center"/>
          </w:tcPr>
          <w:p w14:paraId="0C9C3EE2"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21,8</w:t>
            </w:r>
          </w:p>
        </w:tc>
      </w:tr>
      <w:tr w:rsidR="00420FD7" w:rsidRPr="00CE50B2" w14:paraId="29023000" w14:textId="77777777" w:rsidTr="008F29AD">
        <w:trPr>
          <w:trHeight w:val="396"/>
          <w:jc w:val="center"/>
        </w:trPr>
        <w:tc>
          <w:tcPr>
            <w:tcW w:w="5000" w:type="pct"/>
            <w:gridSpan w:val="9"/>
            <w:tcBorders>
              <w:bottom w:val="single" w:sz="4" w:space="0" w:color="auto"/>
            </w:tcBorders>
            <w:vAlign w:val="center"/>
          </w:tcPr>
          <w:p w14:paraId="673CF7FA"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hAnsi="Times New Roman"/>
                <w:b/>
                <w:sz w:val="18"/>
                <w:szCs w:val="18"/>
              </w:rPr>
              <w:t>2020 г.</w:t>
            </w:r>
          </w:p>
        </w:tc>
      </w:tr>
      <w:tr w:rsidR="00420FD7" w:rsidRPr="00CE50B2" w14:paraId="1A42BE29" w14:textId="77777777" w:rsidTr="00BB0372">
        <w:trPr>
          <w:trHeight w:val="70"/>
          <w:jc w:val="center"/>
        </w:trPr>
        <w:tc>
          <w:tcPr>
            <w:tcW w:w="865" w:type="pct"/>
            <w:tcBorders>
              <w:bottom w:val="single" w:sz="4" w:space="0" w:color="auto"/>
            </w:tcBorders>
          </w:tcPr>
          <w:p w14:paraId="53F84558" w14:textId="77777777" w:rsidR="00420FD7" w:rsidRPr="00CE50B2" w:rsidRDefault="00420FD7" w:rsidP="00420FD7">
            <w:pPr>
              <w:spacing w:after="0" w:line="240" w:lineRule="auto"/>
              <w:rPr>
                <w:rFonts w:ascii="Times New Roman" w:hAnsi="Times New Roman"/>
                <w:sz w:val="18"/>
                <w:szCs w:val="18"/>
              </w:rPr>
            </w:pPr>
            <w:r w:rsidRPr="00CE50B2">
              <w:rPr>
                <w:rFonts w:ascii="Times New Roman" w:hAnsi="Times New Roman"/>
                <w:sz w:val="18"/>
                <w:szCs w:val="18"/>
              </w:rPr>
              <w:t xml:space="preserve">Дети в возрасте 0-14 лет– всего  </w:t>
            </w:r>
          </w:p>
        </w:tc>
        <w:tc>
          <w:tcPr>
            <w:tcW w:w="577" w:type="pct"/>
            <w:tcBorders>
              <w:bottom w:val="single" w:sz="4" w:space="0" w:color="auto"/>
            </w:tcBorders>
            <w:vAlign w:val="center"/>
          </w:tcPr>
          <w:p w14:paraId="76891689" w14:textId="77777777"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547" w:type="pct"/>
            <w:tcBorders>
              <w:bottom w:val="single" w:sz="4" w:space="0" w:color="auto"/>
            </w:tcBorders>
            <w:vAlign w:val="center"/>
          </w:tcPr>
          <w:p w14:paraId="0432703F" w14:textId="77777777"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622" w:type="pct"/>
            <w:tcBorders>
              <w:bottom w:val="single" w:sz="4" w:space="0" w:color="auto"/>
            </w:tcBorders>
            <w:vAlign w:val="center"/>
          </w:tcPr>
          <w:p w14:paraId="1E08D8B6" w14:textId="77777777"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534" w:type="pct"/>
            <w:tcBorders>
              <w:bottom w:val="single" w:sz="4" w:space="0" w:color="auto"/>
            </w:tcBorders>
            <w:vAlign w:val="center"/>
          </w:tcPr>
          <w:p w14:paraId="546E7DF5" w14:textId="77777777"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449" w:type="pct"/>
            <w:tcBorders>
              <w:bottom w:val="single" w:sz="4" w:space="0" w:color="auto"/>
            </w:tcBorders>
            <w:vAlign w:val="center"/>
          </w:tcPr>
          <w:p w14:paraId="2DE2F08E" w14:textId="77777777"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360" w:type="pct"/>
            <w:tcBorders>
              <w:bottom w:val="single" w:sz="4" w:space="0" w:color="auto"/>
            </w:tcBorders>
            <w:vAlign w:val="center"/>
          </w:tcPr>
          <w:p w14:paraId="7633352D" w14:textId="77777777"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360" w:type="pct"/>
            <w:tcBorders>
              <w:bottom w:val="single" w:sz="4" w:space="0" w:color="auto"/>
            </w:tcBorders>
            <w:vAlign w:val="center"/>
          </w:tcPr>
          <w:p w14:paraId="258BE507" w14:textId="77777777"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c>
          <w:tcPr>
            <w:tcW w:w="686" w:type="pct"/>
            <w:tcBorders>
              <w:bottom w:val="single" w:sz="4" w:space="0" w:color="auto"/>
            </w:tcBorders>
            <w:vAlign w:val="center"/>
          </w:tcPr>
          <w:p w14:paraId="02DE03C1" w14:textId="77777777" w:rsidR="00420FD7" w:rsidRPr="00CE50B2" w:rsidRDefault="00420FD7" w:rsidP="008F29AD">
            <w:pPr>
              <w:spacing w:after="0" w:line="240" w:lineRule="auto"/>
              <w:jc w:val="center"/>
              <w:rPr>
                <w:rFonts w:ascii="Times New Roman" w:eastAsia="Times New Roman" w:hAnsi="Times New Roman"/>
                <w:bCs/>
                <w:sz w:val="18"/>
                <w:szCs w:val="18"/>
                <w:lang w:eastAsia="ru-RU"/>
              </w:rPr>
            </w:pPr>
            <w:r w:rsidRPr="00CE50B2">
              <w:rPr>
                <w:rFonts w:ascii="Times New Roman" w:eastAsia="Times New Roman" w:hAnsi="Times New Roman"/>
                <w:bCs/>
                <w:sz w:val="18"/>
                <w:szCs w:val="18"/>
                <w:lang w:eastAsia="ru-RU"/>
              </w:rPr>
              <w:t>100</w:t>
            </w:r>
          </w:p>
        </w:tc>
      </w:tr>
      <w:tr w:rsidR="00420FD7" w:rsidRPr="00CE50B2" w14:paraId="7EA34C53" w14:textId="77777777" w:rsidTr="00BB0372">
        <w:trPr>
          <w:trHeight w:val="70"/>
          <w:jc w:val="center"/>
        </w:trPr>
        <w:tc>
          <w:tcPr>
            <w:tcW w:w="865" w:type="pct"/>
            <w:tcBorders>
              <w:top w:val="single" w:sz="4" w:space="0" w:color="auto"/>
              <w:bottom w:val="single" w:sz="4" w:space="0" w:color="auto"/>
            </w:tcBorders>
            <w:vAlign w:val="bottom"/>
          </w:tcPr>
          <w:p w14:paraId="0D85E379" w14:textId="77777777"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в том числе проживающие в домохозяйствах, которые, принимая во внимание доходы всех членов домохозяйства</w:t>
            </w:r>
          </w:p>
        </w:tc>
        <w:tc>
          <w:tcPr>
            <w:tcW w:w="577" w:type="pct"/>
            <w:tcBorders>
              <w:top w:val="single" w:sz="4" w:space="0" w:color="auto"/>
              <w:bottom w:val="single" w:sz="4" w:space="0" w:color="auto"/>
            </w:tcBorders>
            <w:vAlign w:val="center"/>
          </w:tcPr>
          <w:p w14:paraId="64744264"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47" w:type="pct"/>
            <w:tcBorders>
              <w:top w:val="single" w:sz="4" w:space="0" w:color="auto"/>
              <w:bottom w:val="single" w:sz="4" w:space="0" w:color="auto"/>
            </w:tcBorders>
            <w:vAlign w:val="center"/>
          </w:tcPr>
          <w:p w14:paraId="5B23E153"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622" w:type="pct"/>
            <w:tcBorders>
              <w:top w:val="single" w:sz="4" w:space="0" w:color="auto"/>
              <w:bottom w:val="single" w:sz="4" w:space="0" w:color="auto"/>
            </w:tcBorders>
            <w:vAlign w:val="center"/>
          </w:tcPr>
          <w:p w14:paraId="0A8815AE"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34" w:type="pct"/>
            <w:tcBorders>
              <w:top w:val="single" w:sz="4" w:space="0" w:color="auto"/>
              <w:bottom w:val="single" w:sz="4" w:space="0" w:color="auto"/>
            </w:tcBorders>
            <w:vAlign w:val="center"/>
          </w:tcPr>
          <w:p w14:paraId="21B47699"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49" w:type="pct"/>
            <w:tcBorders>
              <w:top w:val="single" w:sz="4" w:space="0" w:color="auto"/>
              <w:bottom w:val="single" w:sz="4" w:space="0" w:color="auto"/>
            </w:tcBorders>
            <w:vAlign w:val="center"/>
          </w:tcPr>
          <w:p w14:paraId="2336A2E0"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360" w:type="pct"/>
            <w:tcBorders>
              <w:top w:val="single" w:sz="4" w:space="0" w:color="auto"/>
              <w:bottom w:val="single" w:sz="4" w:space="0" w:color="auto"/>
            </w:tcBorders>
            <w:vAlign w:val="center"/>
          </w:tcPr>
          <w:p w14:paraId="0213364F"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360" w:type="pct"/>
            <w:tcBorders>
              <w:top w:val="single" w:sz="4" w:space="0" w:color="auto"/>
              <w:bottom w:val="single" w:sz="4" w:space="0" w:color="auto"/>
            </w:tcBorders>
            <w:vAlign w:val="center"/>
          </w:tcPr>
          <w:p w14:paraId="36171A64"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686" w:type="pct"/>
            <w:tcBorders>
              <w:top w:val="single" w:sz="4" w:space="0" w:color="auto"/>
              <w:bottom w:val="single" w:sz="4" w:space="0" w:color="auto"/>
            </w:tcBorders>
            <w:vAlign w:val="center"/>
          </w:tcPr>
          <w:p w14:paraId="2F5C2FD2"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r>
      <w:tr w:rsidR="00420FD7" w:rsidRPr="00CE50B2" w14:paraId="7236E922" w14:textId="77777777" w:rsidTr="00BB0372">
        <w:trPr>
          <w:trHeight w:val="70"/>
          <w:jc w:val="center"/>
        </w:trPr>
        <w:tc>
          <w:tcPr>
            <w:tcW w:w="865" w:type="pct"/>
            <w:tcBorders>
              <w:top w:val="single" w:sz="4" w:space="0" w:color="auto"/>
              <w:left w:val="single" w:sz="4" w:space="0" w:color="auto"/>
              <w:bottom w:val="single" w:sz="4" w:space="0" w:color="auto"/>
              <w:right w:val="single" w:sz="4" w:space="0" w:color="auto"/>
            </w:tcBorders>
            <w:vAlign w:val="bottom"/>
          </w:tcPr>
          <w:p w14:paraId="59B3FF77" w14:textId="77777777" w:rsidR="00420FD7" w:rsidRPr="00CE50B2" w:rsidRDefault="00420FD7" w:rsidP="00420FD7">
            <w:pPr>
              <w:spacing w:after="0" w:line="240" w:lineRule="auto"/>
              <w:rPr>
                <w:rFonts w:ascii="Times New Roman" w:hAnsi="Times New Roman"/>
                <w:i/>
                <w:sz w:val="18"/>
                <w:szCs w:val="18"/>
              </w:rPr>
            </w:pPr>
            <w:r w:rsidRPr="00CE50B2">
              <w:rPr>
                <w:rFonts w:ascii="Times New Roman" w:hAnsi="Times New Roman"/>
                <w:i/>
                <w:sz w:val="18"/>
                <w:szCs w:val="18"/>
              </w:rPr>
              <w:t>имеют возможность</w:t>
            </w:r>
          </w:p>
        </w:tc>
        <w:tc>
          <w:tcPr>
            <w:tcW w:w="577" w:type="pct"/>
            <w:tcBorders>
              <w:top w:val="single" w:sz="4" w:space="0" w:color="auto"/>
              <w:left w:val="single" w:sz="4" w:space="0" w:color="auto"/>
              <w:bottom w:val="single" w:sz="4" w:space="0" w:color="auto"/>
              <w:right w:val="single" w:sz="4" w:space="0" w:color="auto"/>
            </w:tcBorders>
            <w:vAlign w:val="center"/>
          </w:tcPr>
          <w:p w14:paraId="695C670C"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vAlign w:val="center"/>
          </w:tcPr>
          <w:p w14:paraId="18EA2A01"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622" w:type="pct"/>
            <w:tcBorders>
              <w:top w:val="single" w:sz="4" w:space="0" w:color="auto"/>
              <w:left w:val="single" w:sz="4" w:space="0" w:color="auto"/>
              <w:bottom w:val="single" w:sz="4" w:space="0" w:color="auto"/>
              <w:right w:val="single" w:sz="4" w:space="0" w:color="auto"/>
            </w:tcBorders>
            <w:vAlign w:val="center"/>
          </w:tcPr>
          <w:p w14:paraId="6A5A1864"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534" w:type="pct"/>
            <w:tcBorders>
              <w:top w:val="single" w:sz="4" w:space="0" w:color="auto"/>
              <w:left w:val="single" w:sz="4" w:space="0" w:color="auto"/>
              <w:bottom w:val="single" w:sz="4" w:space="0" w:color="auto"/>
              <w:right w:val="single" w:sz="4" w:space="0" w:color="auto"/>
            </w:tcBorders>
            <w:vAlign w:val="center"/>
          </w:tcPr>
          <w:p w14:paraId="1D669EBB"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449" w:type="pct"/>
            <w:tcBorders>
              <w:top w:val="single" w:sz="4" w:space="0" w:color="auto"/>
              <w:left w:val="single" w:sz="4" w:space="0" w:color="auto"/>
              <w:bottom w:val="single" w:sz="4" w:space="0" w:color="auto"/>
              <w:right w:val="single" w:sz="4" w:space="0" w:color="auto"/>
            </w:tcBorders>
            <w:vAlign w:val="center"/>
          </w:tcPr>
          <w:p w14:paraId="04E41CB7"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360" w:type="pct"/>
            <w:tcBorders>
              <w:top w:val="single" w:sz="4" w:space="0" w:color="auto"/>
              <w:left w:val="single" w:sz="4" w:space="0" w:color="auto"/>
              <w:bottom w:val="single" w:sz="4" w:space="0" w:color="auto"/>
              <w:right w:val="single" w:sz="4" w:space="0" w:color="auto"/>
            </w:tcBorders>
            <w:vAlign w:val="center"/>
          </w:tcPr>
          <w:p w14:paraId="3E2E5579"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360" w:type="pct"/>
            <w:tcBorders>
              <w:top w:val="single" w:sz="4" w:space="0" w:color="auto"/>
              <w:left w:val="single" w:sz="4" w:space="0" w:color="auto"/>
              <w:bottom w:val="single" w:sz="4" w:space="0" w:color="auto"/>
              <w:right w:val="single" w:sz="4" w:space="0" w:color="auto"/>
            </w:tcBorders>
            <w:vAlign w:val="center"/>
          </w:tcPr>
          <w:p w14:paraId="1291D741"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c>
          <w:tcPr>
            <w:tcW w:w="686" w:type="pct"/>
            <w:tcBorders>
              <w:top w:val="single" w:sz="4" w:space="0" w:color="auto"/>
              <w:left w:val="single" w:sz="4" w:space="0" w:color="auto"/>
              <w:bottom w:val="single" w:sz="4" w:space="0" w:color="auto"/>
              <w:right w:val="single" w:sz="4" w:space="0" w:color="auto"/>
            </w:tcBorders>
            <w:vAlign w:val="center"/>
          </w:tcPr>
          <w:p w14:paraId="7FFB9959"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p>
        </w:tc>
      </w:tr>
      <w:tr w:rsidR="00420FD7" w:rsidRPr="00CE50B2" w14:paraId="74E2831A" w14:textId="77777777" w:rsidTr="00BB0372">
        <w:trPr>
          <w:trHeight w:val="70"/>
          <w:jc w:val="center"/>
        </w:trPr>
        <w:tc>
          <w:tcPr>
            <w:tcW w:w="865" w:type="pct"/>
            <w:tcBorders>
              <w:top w:val="single" w:sz="4" w:space="0" w:color="auto"/>
              <w:left w:val="single" w:sz="4" w:space="0" w:color="auto"/>
              <w:bottom w:val="single" w:sz="4" w:space="0" w:color="auto"/>
              <w:right w:val="single" w:sz="4" w:space="0" w:color="auto"/>
            </w:tcBorders>
          </w:tcPr>
          <w:p w14:paraId="3F9ABCA8" w14:textId="77777777"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оплачивать жизненно необходимые (важнейшие) лекарственные препараты</w:t>
            </w:r>
          </w:p>
        </w:tc>
        <w:tc>
          <w:tcPr>
            <w:tcW w:w="577" w:type="pct"/>
            <w:tcBorders>
              <w:top w:val="single" w:sz="4" w:space="0" w:color="auto"/>
              <w:left w:val="single" w:sz="4" w:space="0" w:color="auto"/>
              <w:bottom w:val="single" w:sz="4" w:space="0" w:color="auto"/>
              <w:right w:val="single" w:sz="4" w:space="0" w:color="auto"/>
            </w:tcBorders>
            <w:vAlign w:val="center"/>
          </w:tcPr>
          <w:p w14:paraId="2E4443E3"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93,1</w:t>
            </w:r>
          </w:p>
        </w:tc>
        <w:tc>
          <w:tcPr>
            <w:tcW w:w="547" w:type="pct"/>
            <w:tcBorders>
              <w:top w:val="single" w:sz="4" w:space="0" w:color="auto"/>
              <w:left w:val="single" w:sz="4" w:space="0" w:color="auto"/>
              <w:bottom w:val="single" w:sz="4" w:space="0" w:color="auto"/>
              <w:right w:val="single" w:sz="4" w:space="0" w:color="auto"/>
            </w:tcBorders>
            <w:vAlign w:val="center"/>
          </w:tcPr>
          <w:p w14:paraId="0BED208D"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93,6</w:t>
            </w:r>
          </w:p>
        </w:tc>
        <w:tc>
          <w:tcPr>
            <w:tcW w:w="622" w:type="pct"/>
            <w:tcBorders>
              <w:top w:val="single" w:sz="4" w:space="0" w:color="auto"/>
              <w:left w:val="single" w:sz="4" w:space="0" w:color="auto"/>
              <w:bottom w:val="single" w:sz="4" w:space="0" w:color="auto"/>
              <w:right w:val="single" w:sz="4" w:space="0" w:color="auto"/>
            </w:tcBorders>
            <w:vAlign w:val="center"/>
          </w:tcPr>
          <w:p w14:paraId="230686D5"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93,8</w:t>
            </w:r>
          </w:p>
        </w:tc>
        <w:tc>
          <w:tcPr>
            <w:tcW w:w="534" w:type="pct"/>
            <w:tcBorders>
              <w:top w:val="single" w:sz="4" w:space="0" w:color="auto"/>
              <w:left w:val="single" w:sz="4" w:space="0" w:color="auto"/>
              <w:bottom w:val="single" w:sz="4" w:space="0" w:color="auto"/>
              <w:right w:val="single" w:sz="4" w:space="0" w:color="auto"/>
            </w:tcBorders>
            <w:vAlign w:val="center"/>
          </w:tcPr>
          <w:p w14:paraId="4C6F6967"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91,7</w:t>
            </w:r>
          </w:p>
        </w:tc>
        <w:tc>
          <w:tcPr>
            <w:tcW w:w="449" w:type="pct"/>
            <w:tcBorders>
              <w:top w:val="single" w:sz="4" w:space="0" w:color="auto"/>
              <w:left w:val="single" w:sz="4" w:space="0" w:color="auto"/>
              <w:bottom w:val="single" w:sz="4" w:space="0" w:color="auto"/>
              <w:right w:val="single" w:sz="4" w:space="0" w:color="auto"/>
            </w:tcBorders>
            <w:vAlign w:val="center"/>
          </w:tcPr>
          <w:p w14:paraId="692B6DF5"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94,1</w:t>
            </w:r>
          </w:p>
        </w:tc>
        <w:tc>
          <w:tcPr>
            <w:tcW w:w="360" w:type="pct"/>
            <w:tcBorders>
              <w:top w:val="single" w:sz="4" w:space="0" w:color="auto"/>
              <w:left w:val="single" w:sz="4" w:space="0" w:color="auto"/>
              <w:bottom w:val="single" w:sz="4" w:space="0" w:color="auto"/>
              <w:right w:val="single" w:sz="4" w:space="0" w:color="auto"/>
            </w:tcBorders>
            <w:vAlign w:val="center"/>
          </w:tcPr>
          <w:p w14:paraId="42262C2A"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93,3</w:t>
            </w:r>
          </w:p>
        </w:tc>
        <w:tc>
          <w:tcPr>
            <w:tcW w:w="360" w:type="pct"/>
            <w:tcBorders>
              <w:top w:val="single" w:sz="4" w:space="0" w:color="auto"/>
              <w:left w:val="single" w:sz="4" w:space="0" w:color="auto"/>
              <w:bottom w:val="single" w:sz="4" w:space="0" w:color="auto"/>
              <w:right w:val="single" w:sz="4" w:space="0" w:color="auto"/>
            </w:tcBorders>
            <w:vAlign w:val="center"/>
          </w:tcPr>
          <w:p w14:paraId="4D793122"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91,4</w:t>
            </w:r>
          </w:p>
        </w:tc>
        <w:tc>
          <w:tcPr>
            <w:tcW w:w="686" w:type="pct"/>
            <w:tcBorders>
              <w:top w:val="single" w:sz="4" w:space="0" w:color="auto"/>
              <w:left w:val="single" w:sz="4" w:space="0" w:color="auto"/>
              <w:bottom w:val="single" w:sz="4" w:space="0" w:color="auto"/>
              <w:right w:val="single" w:sz="4" w:space="0" w:color="auto"/>
            </w:tcBorders>
            <w:vAlign w:val="center"/>
          </w:tcPr>
          <w:p w14:paraId="3D5EB214"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85,8</w:t>
            </w:r>
          </w:p>
        </w:tc>
      </w:tr>
      <w:tr w:rsidR="00420FD7" w:rsidRPr="00CE50B2" w14:paraId="25BF7D82" w14:textId="77777777" w:rsidTr="00BB0372">
        <w:trPr>
          <w:trHeight w:val="70"/>
          <w:jc w:val="center"/>
        </w:trPr>
        <w:tc>
          <w:tcPr>
            <w:tcW w:w="865" w:type="pct"/>
            <w:tcBorders>
              <w:top w:val="single" w:sz="4" w:space="0" w:color="auto"/>
              <w:bottom w:val="single" w:sz="4" w:space="0" w:color="auto"/>
            </w:tcBorders>
          </w:tcPr>
          <w:p w14:paraId="30CC747B" w14:textId="77777777"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справиться с неожиданными тратами (расходы на срочный ремонт жилья или замену предметов длительного пользования, срочные медицинские услуги и т.д.)</w:t>
            </w:r>
          </w:p>
        </w:tc>
        <w:tc>
          <w:tcPr>
            <w:tcW w:w="577" w:type="pct"/>
            <w:tcBorders>
              <w:top w:val="single" w:sz="4" w:space="0" w:color="auto"/>
              <w:bottom w:val="single" w:sz="4" w:space="0" w:color="auto"/>
            </w:tcBorders>
            <w:vAlign w:val="center"/>
          </w:tcPr>
          <w:p w14:paraId="2E9D6C39"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50,0</w:t>
            </w:r>
          </w:p>
        </w:tc>
        <w:tc>
          <w:tcPr>
            <w:tcW w:w="547" w:type="pct"/>
            <w:tcBorders>
              <w:top w:val="single" w:sz="4" w:space="0" w:color="auto"/>
              <w:bottom w:val="single" w:sz="4" w:space="0" w:color="auto"/>
            </w:tcBorders>
            <w:vAlign w:val="center"/>
          </w:tcPr>
          <w:p w14:paraId="684DA2DE"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51,4</w:t>
            </w:r>
          </w:p>
        </w:tc>
        <w:tc>
          <w:tcPr>
            <w:tcW w:w="622" w:type="pct"/>
            <w:tcBorders>
              <w:top w:val="single" w:sz="4" w:space="0" w:color="auto"/>
              <w:bottom w:val="single" w:sz="4" w:space="0" w:color="auto"/>
            </w:tcBorders>
            <w:vAlign w:val="center"/>
          </w:tcPr>
          <w:p w14:paraId="056E0887"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58,6</w:t>
            </w:r>
          </w:p>
        </w:tc>
        <w:tc>
          <w:tcPr>
            <w:tcW w:w="534" w:type="pct"/>
            <w:tcBorders>
              <w:top w:val="single" w:sz="4" w:space="0" w:color="auto"/>
              <w:bottom w:val="single" w:sz="4" w:space="0" w:color="auto"/>
            </w:tcBorders>
            <w:vAlign w:val="center"/>
          </w:tcPr>
          <w:p w14:paraId="6949C967"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46,1</w:t>
            </w:r>
          </w:p>
        </w:tc>
        <w:tc>
          <w:tcPr>
            <w:tcW w:w="449" w:type="pct"/>
            <w:tcBorders>
              <w:top w:val="single" w:sz="4" w:space="0" w:color="auto"/>
              <w:bottom w:val="single" w:sz="4" w:space="0" w:color="auto"/>
            </w:tcBorders>
            <w:vAlign w:val="center"/>
          </w:tcPr>
          <w:p w14:paraId="4EC0749F"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54,2</w:t>
            </w:r>
          </w:p>
        </w:tc>
        <w:tc>
          <w:tcPr>
            <w:tcW w:w="360" w:type="pct"/>
            <w:tcBorders>
              <w:top w:val="single" w:sz="4" w:space="0" w:color="auto"/>
              <w:bottom w:val="single" w:sz="4" w:space="0" w:color="auto"/>
            </w:tcBorders>
            <w:vAlign w:val="center"/>
          </w:tcPr>
          <w:p w14:paraId="4846C96F"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49,8</w:t>
            </w:r>
          </w:p>
        </w:tc>
        <w:tc>
          <w:tcPr>
            <w:tcW w:w="360" w:type="pct"/>
            <w:tcBorders>
              <w:top w:val="single" w:sz="4" w:space="0" w:color="auto"/>
              <w:bottom w:val="single" w:sz="4" w:space="0" w:color="auto"/>
            </w:tcBorders>
            <w:vAlign w:val="center"/>
          </w:tcPr>
          <w:p w14:paraId="5EAA80B6"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43,7</w:t>
            </w:r>
          </w:p>
        </w:tc>
        <w:tc>
          <w:tcPr>
            <w:tcW w:w="686" w:type="pct"/>
            <w:tcBorders>
              <w:top w:val="single" w:sz="4" w:space="0" w:color="auto"/>
              <w:bottom w:val="single" w:sz="4" w:space="0" w:color="auto"/>
            </w:tcBorders>
            <w:vAlign w:val="center"/>
          </w:tcPr>
          <w:p w14:paraId="4E18BAB4"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29,7</w:t>
            </w:r>
          </w:p>
        </w:tc>
      </w:tr>
      <w:tr w:rsidR="00420FD7" w:rsidRPr="00CE50B2" w14:paraId="1C929D0B" w14:textId="77777777" w:rsidTr="00BB0372">
        <w:trPr>
          <w:trHeight w:val="70"/>
          <w:jc w:val="center"/>
        </w:trPr>
        <w:tc>
          <w:tcPr>
            <w:tcW w:w="865" w:type="pct"/>
            <w:tcBorders>
              <w:top w:val="single" w:sz="4" w:space="0" w:color="auto"/>
              <w:bottom w:val="single" w:sz="4" w:space="0" w:color="auto"/>
            </w:tcBorders>
          </w:tcPr>
          <w:p w14:paraId="3E3EB034" w14:textId="77777777"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заменить пришедшие в негодность предметы мебели</w:t>
            </w:r>
          </w:p>
          <w:p w14:paraId="05FA9BC7" w14:textId="77777777" w:rsidR="00420FD7" w:rsidRPr="00CE50B2" w:rsidRDefault="00420FD7" w:rsidP="00420FD7">
            <w:pPr>
              <w:spacing w:after="0" w:line="240" w:lineRule="auto"/>
              <w:ind w:left="176"/>
              <w:rPr>
                <w:rFonts w:ascii="Times New Roman" w:hAnsi="Times New Roman"/>
                <w:sz w:val="18"/>
                <w:szCs w:val="18"/>
              </w:rPr>
            </w:pPr>
          </w:p>
        </w:tc>
        <w:tc>
          <w:tcPr>
            <w:tcW w:w="577" w:type="pct"/>
            <w:tcBorders>
              <w:top w:val="single" w:sz="4" w:space="0" w:color="auto"/>
              <w:bottom w:val="single" w:sz="4" w:space="0" w:color="auto"/>
            </w:tcBorders>
            <w:vAlign w:val="center"/>
          </w:tcPr>
          <w:p w14:paraId="7A36CF72"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54,7</w:t>
            </w:r>
          </w:p>
        </w:tc>
        <w:tc>
          <w:tcPr>
            <w:tcW w:w="547" w:type="pct"/>
            <w:tcBorders>
              <w:top w:val="single" w:sz="4" w:space="0" w:color="auto"/>
              <w:bottom w:val="single" w:sz="4" w:space="0" w:color="auto"/>
            </w:tcBorders>
            <w:vAlign w:val="center"/>
          </w:tcPr>
          <w:p w14:paraId="23C1446C"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56,6</w:t>
            </w:r>
          </w:p>
        </w:tc>
        <w:tc>
          <w:tcPr>
            <w:tcW w:w="622" w:type="pct"/>
            <w:tcBorders>
              <w:top w:val="single" w:sz="4" w:space="0" w:color="auto"/>
              <w:bottom w:val="single" w:sz="4" w:space="0" w:color="auto"/>
            </w:tcBorders>
            <w:vAlign w:val="center"/>
          </w:tcPr>
          <w:p w14:paraId="486AAE63"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62,1</w:t>
            </w:r>
          </w:p>
        </w:tc>
        <w:tc>
          <w:tcPr>
            <w:tcW w:w="534" w:type="pct"/>
            <w:tcBorders>
              <w:top w:val="single" w:sz="4" w:space="0" w:color="auto"/>
              <w:bottom w:val="single" w:sz="4" w:space="0" w:color="auto"/>
            </w:tcBorders>
            <w:vAlign w:val="center"/>
          </w:tcPr>
          <w:p w14:paraId="3FB0ECEC"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49,4</w:t>
            </w:r>
          </w:p>
        </w:tc>
        <w:tc>
          <w:tcPr>
            <w:tcW w:w="449" w:type="pct"/>
            <w:tcBorders>
              <w:top w:val="single" w:sz="4" w:space="0" w:color="auto"/>
              <w:bottom w:val="single" w:sz="4" w:space="0" w:color="auto"/>
            </w:tcBorders>
            <w:vAlign w:val="center"/>
          </w:tcPr>
          <w:p w14:paraId="017DF53A"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57,7</w:t>
            </w:r>
          </w:p>
        </w:tc>
        <w:tc>
          <w:tcPr>
            <w:tcW w:w="360" w:type="pct"/>
            <w:tcBorders>
              <w:top w:val="single" w:sz="4" w:space="0" w:color="auto"/>
              <w:bottom w:val="single" w:sz="4" w:space="0" w:color="auto"/>
            </w:tcBorders>
            <w:vAlign w:val="center"/>
          </w:tcPr>
          <w:p w14:paraId="58355D3A"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55,6</w:t>
            </w:r>
          </w:p>
        </w:tc>
        <w:tc>
          <w:tcPr>
            <w:tcW w:w="360" w:type="pct"/>
            <w:tcBorders>
              <w:top w:val="single" w:sz="4" w:space="0" w:color="auto"/>
              <w:bottom w:val="single" w:sz="4" w:space="0" w:color="auto"/>
            </w:tcBorders>
            <w:vAlign w:val="center"/>
          </w:tcPr>
          <w:p w14:paraId="12466BE4"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48,1</w:t>
            </w:r>
          </w:p>
        </w:tc>
        <w:tc>
          <w:tcPr>
            <w:tcW w:w="686" w:type="pct"/>
            <w:tcBorders>
              <w:top w:val="single" w:sz="4" w:space="0" w:color="auto"/>
              <w:bottom w:val="single" w:sz="4" w:space="0" w:color="auto"/>
            </w:tcBorders>
            <w:vAlign w:val="center"/>
          </w:tcPr>
          <w:p w14:paraId="32A5C566"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31,1</w:t>
            </w:r>
          </w:p>
        </w:tc>
      </w:tr>
      <w:tr w:rsidR="00420FD7" w:rsidRPr="00CE50B2" w14:paraId="2AFD3F42" w14:textId="77777777" w:rsidTr="00BB0372">
        <w:trPr>
          <w:trHeight w:val="70"/>
          <w:jc w:val="center"/>
        </w:trPr>
        <w:tc>
          <w:tcPr>
            <w:tcW w:w="865" w:type="pct"/>
            <w:tcBorders>
              <w:top w:val="single" w:sz="4" w:space="0" w:color="auto"/>
              <w:bottom w:val="single" w:sz="4" w:space="0" w:color="auto"/>
            </w:tcBorders>
          </w:tcPr>
          <w:p w14:paraId="3F9F714F" w14:textId="77777777"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менять членам семьи одежду на новую по мере износа</w:t>
            </w:r>
          </w:p>
        </w:tc>
        <w:tc>
          <w:tcPr>
            <w:tcW w:w="577" w:type="pct"/>
            <w:tcBorders>
              <w:top w:val="single" w:sz="4" w:space="0" w:color="auto"/>
              <w:bottom w:val="single" w:sz="4" w:space="0" w:color="auto"/>
            </w:tcBorders>
            <w:vAlign w:val="center"/>
          </w:tcPr>
          <w:p w14:paraId="62CAB405"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95,4</w:t>
            </w:r>
          </w:p>
        </w:tc>
        <w:tc>
          <w:tcPr>
            <w:tcW w:w="547" w:type="pct"/>
            <w:tcBorders>
              <w:top w:val="single" w:sz="4" w:space="0" w:color="auto"/>
              <w:bottom w:val="single" w:sz="4" w:space="0" w:color="auto"/>
            </w:tcBorders>
            <w:vAlign w:val="center"/>
          </w:tcPr>
          <w:p w14:paraId="1569193B"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95,8</w:t>
            </w:r>
          </w:p>
        </w:tc>
        <w:tc>
          <w:tcPr>
            <w:tcW w:w="622" w:type="pct"/>
            <w:tcBorders>
              <w:top w:val="single" w:sz="4" w:space="0" w:color="auto"/>
              <w:bottom w:val="single" w:sz="4" w:space="0" w:color="auto"/>
            </w:tcBorders>
            <w:vAlign w:val="center"/>
          </w:tcPr>
          <w:p w14:paraId="7BF9B81C"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96,5</w:t>
            </w:r>
          </w:p>
        </w:tc>
        <w:tc>
          <w:tcPr>
            <w:tcW w:w="534" w:type="pct"/>
            <w:tcBorders>
              <w:top w:val="single" w:sz="4" w:space="0" w:color="auto"/>
              <w:bottom w:val="single" w:sz="4" w:space="0" w:color="auto"/>
            </w:tcBorders>
            <w:vAlign w:val="center"/>
          </w:tcPr>
          <w:p w14:paraId="3618F58C"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94,2</w:t>
            </w:r>
          </w:p>
        </w:tc>
        <w:tc>
          <w:tcPr>
            <w:tcW w:w="449" w:type="pct"/>
            <w:tcBorders>
              <w:top w:val="single" w:sz="4" w:space="0" w:color="auto"/>
              <w:bottom w:val="single" w:sz="4" w:space="0" w:color="auto"/>
            </w:tcBorders>
            <w:vAlign w:val="center"/>
          </w:tcPr>
          <w:p w14:paraId="7690BA92"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96,4</w:t>
            </w:r>
          </w:p>
        </w:tc>
        <w:tc>
          <w:tcPr>
            <w:tcW w:w="360" w:type="pct"/>
            <w:tcBorders>
              <w:top w:val="single" w:sz="4" w:space="0" w:color="auto"/>
              <w:bottom w:val="single" w:sz="4" w:space="0" w:color="auto"/>
            </w:tcBorders>
            <w:vAlign w:val="center"/>
          </w:tcPr>
          <w:p w14:paraId="29527484"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95,3</w:t>
            </w:r>
          </w:p>
        </w:tc>
        <w:tc>
          <w:tcPr>
            <w:tcW w:w="360" w:type="pct"/>
            <w:tcBorders>
              <w:top w:val="single" w:sz="4" w:space="0" w:color="auto"/>
              <w:bottom w:val="single" w:sz="4" w:space="0" w:color="auto"/>
            </w:tcBorders>
            <w:vAlign w:val="center"/>
          </w:tcPr>
          <w:p w14:paraId="5B4CC0FF"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94,0</w:t>
            </w:r>
          </w:p>
        </w:tc>
        <w:tc>
          <w:tcPr>
            <w:tcW w:w="686" w:type="pct"/>
            <w:tcBorders>
              <w:top w:val="single" w:sz="4" w:space="0" w:color="auto"/>
              <w:bottom w:val="single" w:sz="4" w:space="0" w:color="auto"/>
            </w:tcBorders>
            <w:vAlign w:val="center"/>
          </w:tcPr>
          <w:p w14:paraId="2A94D6B2"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89,4</w:t>
            </w:r>
          </w:p>
        </w:tc>
      </w:tr>
      <w:tr w:rsidR="00420FD7" w:rsidRPr="00CE50B2" w14:paraId="121B6044" w14:textId="77777777" w:rsidTr="00BB0372">
        <w:trPr>
          <w:trHeight w:val="70"/>
          <w:jc w:val="center"/>
        </w:trPr>
        <w:tc>
          <w:tcPr>
            <w:tcW w:w="865" w:type="pct"/>
            <w:tcBorders>
              <w:top w:val="single" w:sz="4" w:space="0" w:color="auto"/>
              <w:bottom w:val="single" w:sz="4" w:space="0" w:color="auto"/>
            </w:tcBorders>
          </w:tcPr>
          <w:p w14:paraId="5070A396" w14:textId="77777777"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покупать каждому члену семьи две пары подходящей по сезону обуви</w:t>
            </w:r>
          </w:p>
        </w:tc>
        <w:tc>
          <w:tcPr>
            <w:tcW w:w="577" w:type="pct"/>
            <w:tcBorders>
              <w:top w:val="single" w:sz="4" w:space="0" w:color="auto"/>
              <w:bottom w:val="single" w:sz="4" w:space="0" w:color="auto"/>
            </w:tcBorders>
            <w:vAlign w:val="center"/>
          </w:tcPr>
          <w:p w14:paraId="0C409ED1"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74,3</w:t>
            </w:r>
          </w:p>
        </w:tc>
        <w:tc>
          <w:tcPr>
            <w:tcW w:w="547" w:type="pct"/>
            <w:tcBorders>
              <w:top w:val="single" w:sz="4" w:space="0" w:color="auto"/>
              <w:bottom w:val="single" w:sz="4" w:space="0" w:color="auto"/>
            </w:tcBorders>
            <w:vAlign w:val="center"/>
          </w:tcPr>
          <w:p w14:paraId="26196BEE"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77,1</w:t>
            </w:r>
          </w:p>
        </w:tc>
        <w:tc>
          <w:tcPr>
            <w:tcW w:w="622" w:type="pct"/>
            <w:tcBorders>
              <w:top w:val="single" w:sz="4" w:space="0" w:color="auto"/>
              <w:bottom w:val="single" w:sz="4" w:space="0" w:color="auto"/>
            </w:tcBorders>
            <w:vAlign w:val="center"/>
          </w:tcPr>
          <w:p w14:paraId="384E3F2F"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81,8</w:t>
            </w:r>
          </w:p>
        </w:tc>
        <w:tc>
          <w:tcPr>
            <w:tcW w:w="534" w:type="pct"/>
            <w:tcBorders>
              <w:top w:val="single" w:sz="4" w:space="0" w:color="auto"/>
              <w:bottom w:val="single" w:sz="4" w:space="0" w:color="auto"/>
            </w:tcBorders>
            <w:vAlign w:val="center"/>
          </w:tcPr>
          <w:p w14:paraId="2CDAD0FB"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66,6</w:t>
            </w:r>
          </w:p>
        </w:tc>
        <w:tc>
          <w:tcPr>
            <w:tcW w:w="449" w:type="pct"/>
            <w:tcBorders>
              <w:top w:val="single" w:sz="4" w:space="0" w:color="auto"/>
              <w:bottom w:val="single" w:sz="4" w:space="0" w:color="auto"/>
            </w:tcBorders>
            <w:vAlign w:val="center"/>
          </w:tcPr>
          <w:p w14:paraId="618FFE08"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76,9</w:t>
            </w:r>
          </w:p>
        </w:tc>
        <w:tc>
          <w:tcPr>
            <w:tcW w:w="360" w:type="pct"/>
            <w:tcBorders>
              <w:top w:val="single" w:sz="4" w:space="0" w:color="auto"/>
              <w:bottom w:val="single" w:sz="4" w:space="0" w:color="auto"/>
            </w:tcBorders>
            <w:vAlign w:val="center"/>
          </w:tcPr>
          <w:p w14:paraId="6C11525E"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74,9</w:t>
            </w:r>
          </w:p>
        </w:tc>
        <w:tc>
          <w:tcPr>
            <w:tcW w:w="360" w:type="pct"/>
            <w:tcBorders>
              <w:top w:val="single" w:sz="4" w:space="0" w:color="auto"/>
              <w:bottom w:val="single" w:sz="4" w:space="0" w:color="auto"/>
            </w:tcBorders>
            <w:vAlign w:val="center"/>
          </w:tcPr>
          <w:p w14:paraId="6F91DBB4"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69,0</w:t>
            </w:r>
          </w:p>
        </w:tc>
        <w:tc>
          <w:tcPr>
            <w:tcW w:w="686" w:type="pct"/>
            <w:tcBorders>
              <w:top w:val="single" w:sz="4" w:space="0" w:color="auto"/>
              <w:bottom w:val="single" w:sz="4" w:space="0" w:color="auto"/>
            </w:tcBorders>
            <w:vAlign w:val="center"/>
          </w:tcPr>
          <w:p w14:paraId="49A67676"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55,2</w:t>
            </w:r>
          </w:p>
        </w:tc>
      </w:tr>
      <w:tr w:rsidR="00420FD7" w:rsidRPr="00CE50B2" w14:paraId="5C260732" w14:textId="77777777" w:rsidTr="00BB0372">
        <w:trPr>
          <w:trHeight w:val="70"/>
          <w:jc w:val="center"/>
        </w:trPr>
        <w:tc>
          <w:tcPr>
            <w:tcW w:w="865" w:type="pct"/>
            <w:tcBorders>
              <w:top w:val="single" w:sz="4" w:space="0" w:color="auto"/>
              <w:bottom w:val="nil"/>
            </w:tcBorders>
          </w:tcPr>
          <w:p w14:paraId="3F48CA8C" w14:textId="77777777"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два раза в неделю употреблять в пищу блюда из мяса, птицы или рыбы (или равноценную вегетарианскую пищу)</w:t>
            </w:r>
          </w:p>
        </w:tc>
        <w:tc>
          <w:tcPr>
            <w:tcW w:w="577" w:type="pct"/>
            <w:tcBorders>
              <w:top w:val="single" w:sz="4" w:space="0" w:color="auto"/>
              <w:bottom w:val="nil"/>
            </w:tcBorders>
            <w:vAlign w:val="center"/>
          </w:tcPr>
          <w:p w14:paraId="668F3F63"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94,4</w:t>
            </w:r>
          </w:p>
        </w:tc>
        <w:tc>
          <w:tcPr>
            <w:tcW w:w="547" w:type="pct"/>
            <w:tcBorders>
              <w:top w:val="single" w:sz="4" w:space="0" w:color="auto"/>
              <w:bottom w:val="nil"/>
            </w:tcBorders>
            <w:vAlign w:val="center"/>
          </w:tcPr>
          <w:p w14:paraId="207FB3B3"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95,5</w:t>
            </w:r>
          </w:p>
        </w:tc>
        <w:tc>
          <w:tcPr>
            <w:tcW w:w="622" w:type="pct"/>
            <w:tcBorders>
              <w:top w:val="single" w:sz="4" w:space="0" w:color="auto"/>
              <w:bottom w:val="nil"/>
            </w:tcBorders>
            <w:vAlign w:val="center"/>
          </w:tcPr>
          <w:p w14:paraId="5E1DA1BB"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94,8</w:t>
            </w:r>
          </w:p>
        </w:tc>
        <w:tc>
          <w:tcPr>
            <w:tcW w:w="534" w:type="pct"/>
            <w:tcBorders>
              <w:top w:val="single" w:sz="4" w:space="0" w:color="auto"/>
              <w:bottom w:val="nil"/>
            </w:tcBorders>
            <w:vAlign w:val="center"/>
          </w:tcPr>
          <w:p w14:paraId="31D27C9E"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91,5</w:t>
            </w:r>
          </w:p>
        </w:tc>
        <w:tc>
          <w:tcPr>
            <w:tcW w:w="449" w:type="pct"/>
            <w:tcBorders>
              <w:top w:val="single" w:sz="4" w:space="0" w:color="auto"/>
              <w:bottom w:val="nil"/>
            </w:tcBorders>
            <w:vAlign w:val="center"/>
          </w:tcPr>
          <w:p w14:paraId="730392A3"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95,2</w:t>
            </w:r>
          </w:p>
        </w:tc>
        <w:tc>
          <w:tcPr>
            <w:tcW w:w="360" w:type="pct"/>
            <w:tcBorders>
              <w:top w:val="single" w:sz="4" w:space="0" w:color="auto"/>
              <w:bottom w:val="nil"/>
            </w:tcBorders>
            <w:vAlign w:val="center"/>
          </w:tcPr>
          <w:p w14:paraId="6B1D5DDD"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95,1</w:t>
            </w:r>
          </w:p>
        </w:tc>
        <w:tc>
          <w:tcPr>
            <w:tcW w:w="360" w:type="pct"/>
            <w:tcBorders>
              <w:top w:val="single" w:sz="4" w:space="0" w:color="auto"/>
              <w:bottom w:val="nil"/>
            </w:tcBorders>
            <w:vAlign w:val="center"/>
          </w:tcPr>
          <w:p w14:paraId="60A6E1CB"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91,9</w:t>
            </w:r>
          </w:p>
        </w:tc>
        <w:tc>
          <w:tcPr>
            <w:tcW w:w="686" w:type="pct"/>
            <w:tcBorders>
              <w:top w:val="single" w:sz="4" w:space="0" w:color="auto"/>
              <w:bottom w:val="nil"/>
            </w:tcBorders>
            <w:vAlign w:val="center"/>
          </w:tcPr>
          <w:p w14:paraId="7D3101FB"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86,5</w:t>
            </w:r>
          </w:p>
        </w:tc>
      </w:tr>
      <w:tr w:rsidR="00420FD7" w:rsidRPr="00CE50B2" w14:paraId="1BAF0372" w14:textId="77777777" w:rsidTr="00BB0372">
        <w:trPr>
          <w:trHeight w:val="70"/>
          <w:jc w:val="center"/>
        </w:trPr>
        <w:tc>
          <w:tcPr>
            <w:tcW w:w="865" w:type="pct"/>
            <w:tcBorders>
              <w:top w:val="single" w:sz="4" w:space="0" w:color="auto"/>
              <w:bottom w:val="single" w:sz="4" w:space="0" w:color="auto"/>
            </w:tcBorders>
          </w:tcPr>
          <w:p w14:paraId="39EF03AC" w14:textId="77777777"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покупать фрукты в любое время года</w:t>
            </w:r>
          </w:p>
        </w:tc>
        <w:tc>
          <w:tcPr>
            <w:tcW w:w="577" w:type="pct"/>
            <w:tcBorders>
              <w:top w:val="single" w:sz="4" w:space="0" w:color="auto"/>
              <w:bottom w:val="single" w:sz="4" w:space="0" w:color="auto"/>
            </w:tcBorders>
            <w:vAlign w:val="center"/>
          </w:tcPr>
          <w:p w14:paraId="216CB6A7"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88,3</w:t>
            </w:r>
          </w:p>
        </w:tc>
        <w:tc>
          <w:tcPr>
            <w:tcW w:w="547" w:type="pct"/>
            <w:tcBorders>
              <w:top w:val="single" w:sz="4" w:space="0" w:color="auto"/>
              <w:bottom w:val="single" w:sz="4" w:space="0" w:color="auto"/>
            </w:tcBorders>
            <w:vAlign w:val="center"/>
          </w:tcPr>
          <w:p w14:paraId="62A7DDFC"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90,6</w:t>
            </w:r>
          </w:p>
        </w:tc>
        <w:tc>
          <w:tcPr>
            <w:tcW w:w="622" w:type="pct"/>
            <w:tcBorders>
              <w:top w:val="single" w:sz="4" w:space="0" w:color="auto"/>
              <w:bottom w:val="single" w:sz="4" w:space="0" w:color="auto"/>
            </w:tcBorders>
            <w:vAlign w:val="center"/>
          </w:tcPr>
          <w:p w14:paraId="5CFC0B06"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91,8</w:t>
            </w:r>
          </w:p>
        </w:tc>
        <w:tc>
          <w:tcPr>
            <w:tcW w:w="534" w:type="pct"/>
            <w:tcBorders>
              <w:top w:val="single" w:sz="4" w:space="0" w:color="auto"/>
              <w:bottom w:val="single" w:sz="4" w:space="0" w:color="auto"/>
            </w:tcBorders>
            <w:vAlign w:val="center"/>
          </w:tcPr>
          <w:p w14:paraId="4C3FD665"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82,3</w:t>
            </w:r>
          </w:p>
        </w:tc>
        <w:tc>
          <w:tcPr>
            <w:tcW w:w="449" w:type="pct"/>
            <w:tcBorders>
              <w:top w:val="single" w:sz="4" w:space="0" w:color="auto"/>
              <w:bottom w:val="single" w:sz="4" w:space="0" w:color="auto"/>
            </w:tcBorders>
            <w:vAlign w:val="center"/>
          </w:tcPr>
          <w:p w14:paraId="4810CC23"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90,4</w:t>
            </w:r>
          </w:p>
        </w:tc>
        <w:tc>
          <w:tcPr>
            <w:tcW w:w="360" w:type="pct"/>
            <w:tcBorders>
              <w:top w:val="single" w:sz="4" w:space="0" w:color="auto"/>
              <w:bottom w:val="single" w:sz="4" w:space="0" w:color="auto"/>
            </w:tcBorders>
            <w:vAlign w:val="center"/>
          </w:tcPr>
          <w:p w14:paraId="477446B0"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89,3</w:t>
            </w:r>
          </w:p>
        </w:tc>
        <w:tc>
          <w:tcPr>
            <w:tcW w:w="360" w:type="pct"/>
            <w:tcBorders>
              <w:top w:val="single" w:sz="4" w:space="0" w:color="auto"/>
              <w:bottom w:val="single" w:sz="4" w:space="0" w:color="auto"/>
            </w:tcBorders>
            <w:vAlign w:val="center"/>
          </w:tcPr>
          <w:p w14:paraId="52C89DF6"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83,4</w:t>
            </w:r>
          </w:p>
        </w:tc>
        <w:tc>
          <w:tcPr>
            <w:tcW w:w="686" w:type="pct"/>
            <w:tcBorders>
              <w:top w:val="single" w:sz="4" w:space="0" w:color="auto"/>
              <w:bottom w:val="single" w:sz="4" w:space="0" w:color="auto"/>
            </w:tcBorders>
            <w:vAlign w:val="center"/>
          </w:tcPr>
          <w:p w14:paraId="7560BFE7"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72,5</w:t>
            </w:r>
          </w:p>
        </w:tc>
      </w:tr>
      <w:tr w:rsidR="00420FD7" w:rsidRPr="00CE50B2" w14:paraId="366B2E19" w14:textId="77777777" w:rsidTr="00BB0372">
        <w:trPr>
          <w:trHeight w:val="70"/>
          <w:jc w:val="center"/>
        </w:trPr>
        <w:tc>
          <w:tcPr>
            <w:tcW w:w="865" w:type="pct"/>
            <w:tcBorders>
              <w:top w:val="single" w:sz="4" w:space="0" w:color="auto"/>
              <w:bottom w:val="single" w:sz="4" w:space="0" w:color="auto"/>
            </w:tcBorders>
          </w:tcPr>
          <w:p w14:paraId="2423F014" w14:textId="77777777"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приглашать гостей на семейное торжество (день рождения, Новый год и пр.)</w:t>
            </w:r>
          </w:p>
        </w:tc>
        <w:tc>
          <w:tcPr>
            <w:tcW w:w="577" w:type="pct"/>
            <w:tcBorders>
              <w:top w:val="single" w:sz="4" w:space="0" w:color="auto"/>
              <w:bottom w:val="single" w:sz="4" w:space="0" w:color="auto"/>
            </w:tcBorders>
            <w:vAlign w:val="center"/>
          </w:tcPr>
          <w:p w14:paraId="11BDE392"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78,9</w:t>
            </w:r>
          </w:p>
        </w:tc>
        <w:tc>
          <w:tcPr>
            <w:tcW w:w="547" w:type="pct"/>
            <w:tcBorders>
              <w:top w:val="single" w:sz="4" w:space="0" w:color="auto"/>
              <w:bottom w:val="single" w:sz="4" w:space="0" w:color="auto"/>
            </w:tcBorders>
            <w:vAlign w:val="center"/>
          </w:tcPr>
          <w:p w14:paraId="3CD00346"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80,8</w:t>
            </w:r>
          </w:p>
        </w:tc>
        <w:tc>
          <w:tcPr>
            <w:tcW w:w="622" w:type="pct"/>
            <w:tcBorders>
              <w:top w:val="single" w:sz="4" w:space="0" w:color="auto"/>
              <w:bottom w:val="single" w:sz="4" w:space="0" w:color="auto"/>
            </w:tcBorders>
            <w:vAlign w:val="center"/>
          </w:tcPr>
          <w:p w14:paraId="131A66DB"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86,8</w:t>
            </w:r>
          </w:p>
        </w:tc>
        <w:tc>
          <w:tcPr>
            <w:tcW w:w="534" w:type="pct"/>
            <w:tcBorders>
              <w:top w:val="single" w:sz="4" w:space="0" w:color="auto"/>
              <w:bottom w:val="single" w:sz="4" w:space="0" w:color="auto"/>
            </w:tcBorders>
            <w:vAlign w:val="center"/>
          </w:tcPr>
          <w:p w14:paraId="76E88B8A"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73,5</w:t>
            </w:r>
          </w:p>
        </w:tc>
        <w:tc>
          <w:tcPr>
            <w:tcW w:w="449" w:type="pct"/>
            <w:tcBorders>
              <w:top w:val="single" w:sz="4" w:space="0" w:color="auto"/>
              <w:bottom w:val="single" w:sz="4" w:space="0" w:color="auto"/>
            </w:tcBorders>
            <w:vAlign w:val="center"/>
          </w:tcPr>
          <w:p w14:paraId="523E1EE0"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82,5</w:t>
            </w:r>
          </w:p>
        </w:tc>
        <w:tc>
          <w:tcPr>
            <w:tcW w:w="360" w:type="pct"/>
            <w:tcBorders>
              <w:top w:val="single" w:sz="4" w:space="0" w:color="auto"/>
              <w:bottom w:val="single" w:sz="4" w:space="0" w:color="auto"/>
            </w:tcBorders>
            <w:vAlign w:val="center"/>
          </w:tcPr>
          <w:p w14:paraId="34334706"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79,8</w:t>
            </w:r>
          </w:p>
        </w:tc>
        <w:tc>
          <w:tcPr>
            <w:tcW w:w="360" w:type="pct"/>
            <w:tcBorders>
              <w:top w:val="single" w:sz="4" w:space="0" w:color="auto"/>
              <w:bottom w:val="single" w:sz="4" w:space="0" w:color="auto"/>
            </w:tcBorders>
            <w:vAlign w:val="center"/>
          </w:tcPr>
          <w:p w14:paraId="2E388E3E"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71,4</w:t>
            </w:r>
          </w:p>
        </w:tc>
        <w:tc>
          <w:tcPr>
            <w:tcW w:w="686" w:type="pct"/>
            <w:tcBorders>
              <w:top w:val="single" w:sz="4" w:space="0" w:color="auto"/>
              <w:bottom w:val="single" w:sz="4" w:space="0" w:color="auto"/>
            </w:tcBorders>
            <w:vAlign w:val="center"/>
          </w:tcPr>
          <w:p w14:paraId="4AB5AAED"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56,8</w:t>
            </w:r>
          </w:p>
        </w:tc>
      </w:tr>
      <w:tr w:rsidR="00420FD7" w:rsidRPr="00CE50B2" w14:paraId="4CEF1FD1" w14:textId="77777777" w:rsidTr="00BB0372">
        <w:trPr>
          <w:trHeight w:val="70"/>
          <w:jc w:val="center"/>
        </w:trPr>
        <w:tc>
          <w:tcPr>
            <w:tcW w:w="865" w:type="pct"/>
            <w:tcBorders>
              <w:top w:val="single" w:sz="4" w:space="0" w:color="auto"/>
            </w:tcBorders>
          </w:tcPr>
          <w:p w14:paraId="48D4536B" w14:textId="77777777" w:rsidR="00420FD7" w:rsidRPr="00CE50B2" w:rsidRDefault="00420FD7" w:rsidP="00420FD7">
            <w:pPr>
              <w:spacing w:after="0" w:line="240" w:lineRule="auto"/>
              <w:ind w:left="176"/>
              <w:rPr>
                <w:rFonts w:ascii="Times New Roman" w:hAnsi="Times New Roman"/>
                <w:sz w:val="18"/>
                <w:szCs w:val="18"/>
              </w:rPr>
            </w:pPr>
            <w:r w:rsidRPr="00CE50B2">
              <w:rPr>
                <w:rFonts w:ascii="Times New Roman" w:hAnsi="Times New Roman"/>
                <w:sz w:val="18"/>
                <w:szCs w:val="18"/>
              </w:rPr>
              <w:t>каждый год одну неделю отпуска проводить вне дома (включая проведенное время во втором жилье, у родственников, у друзей)</w:t>
            </w:r>
          </w:p>
        </w:tc>
        <w:tc>
          <w:tcPr>
            <w:tcW w:w="577" w:type="pct"/>
            <w:tcBorders>
              <w:top w:val="single" w:sz="4" w:space="0" w:color="auto"/>
            </w:tcBorders>
            <w:vAlign w:val="center"/>
          </w:tcPr>
          <w:p w14:paraId="1490FDA6"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53,7</w:t>
            </w:r>
          </w:p>
        </w:tc>
        <w:tc>
          <w:tcPr>
            <w:tcW w:w="547" w:type="pct"/>
            <w:tcBorders>
              <w:top w:val="single" w:sz="4" w:space="0" w:color="auto"/>
            </w:tcBorders>
            <w:vAlign w:val="center"/>
          </w:tcPr>
          <w:p w14:paraId="195F919D"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59,2</w:t>
            </w:r>
          </w:p>
        </w:tc>
        <w:tc>
          <w:tcPr>
            <w:tcW w:w="622" w:type="pct"/>
            <w:tcBorders>
              <w:top w:val="single" w:sz="4" w:space="0" w:color="auto"/>
            </w:tcBorders>
            <w:vAlign w:val="center"/>
          </w:tcPr>
          <w:p w14:paraId="0261F261"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73,5</w:t>
            </w:r>
          </w:p>
        </w:tc>
        <w:tc>
          <w:tcPr>
            <w:tcW w:w="534" w:type="pct"/>
            <w:tcBorders>
              <w:top w:val="single" w:sz="4" w:space="0" w:color="auto"/>
            </w:tcBorders>
            <w:vAlign w:val="center"/>
          </w:tcPr>
          <w:p w14:paraId="029C2B83"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38,8</w:t>
            </w:r>
          </w:p>
        </w:tc>
        <w:tc>
          <w:tcPr>
            <w:tcW w:w="449" w:type="pct"/>
            <w:tcBorders>
              <w:top w:val="single" w:sz="4" w:space="0" w:color="auto"/>
            </w:tcBorders>
            <w:vAlign w:val="center"/>
          </w:tcPr>
          <w:p w14:paraId="3C3E03E1"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60,2</w:t>
            </w:r>
          </w:p>
        </w:tc>
        <w:tc>
          <w:tcPr>
            <w:tcW w:w="360" w:type="pct"/>
            <w:tcBorders>
              <w:top w:val="single" w:sz="4" w:space="0" w:color="auto"/>
            </w:tcBorders>
            <w:vAlign w:val="center"/>
          </w:tcPr>
          <w:p w14:paraId="32279D8F"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54,8</w:t>
            </w:r>
          </w:p>
        </w:tc>
        <w:tc>
          <w:tcPr>
            <w:tcW w:w="360" w:type="pct"/>
            <w:tcBorders>
              <w:top w:val="single" w:sz="4" w:space="0" w:color="auto"/>
            </w:tcBorders>
            <w:vAlign w:val="center"/>
          </w:tcPr>
          <w:p w14:paraId="34D44C72"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41,8</w:t>
            </w:r>
          </w:p>
        </w:tc>
        <w:tc>
          <w:tcPr>
            <w:tcW w:w="686" w:type="pct"/>
            <w:tcBorders>
              <w:top w:val="single" w:sz="4" w:space="0" w:color="auto"/>
            </w:tcBorders>
            <w:vAlign w:val="center"/>
          </w:tcPr>
          <w:p w14:paraId="4F856E8E" w14:textId="77777777" w:rsidR="00420FD7" w:rsidRPr="00CE50B2" w:rsidRDefault="00420FD7" w:rsidP="008F29AD">
            <w:pPr>
              <w:spacing w:after="0" w:line="240" w:lineRule="auto"/>
              <w:jc w:val="center"/>
              <w:rPr>
                <w:rFonts w:ascii="Times New Roman" w:eastAsia="Times New Roman" w:hAnsi="Times New Roman"/>
                <w:sz w:val="18"/>
                <w:szCs w:val="18"/>
                <w:lang w:eastAsia="ru-RU"/>
              </w:rPr>
            </w:pPr>
            <w:r w:rsidRPr="00CE50B2">
              <w:rPr>
                <w:rFonts w:ascii="Times New Roman" w:eastAsia="Times New Roman" w:hAnsi="Times New Roman"/>
                <w:sz w:val="18"/>
                <w:szCs w:val="18"/>
                <w:lang w:eastAsia="ru-RU"/>
              </w:rPr>
              <w:t>22,8</w:t>
            </w:r>
          </w:p>
        </w:tc>
      </w:tr>
    </w:tbl>
    <w:p w14:paraId="78A04E15" w14:textId="77777777" w:rsidR="002F531B" w:rsidRDefault="002F531B" w:rsidP="00D03A4F">
      <w:pPr>
        <w:spacing w:after="0" w:line="240" w:lineRule="auto"/>
        <w:jc w:val="right"/>
        <w:rPr>
          <w:rFonts w:ascii="Times New Roman" w:eastAsia="Times New Roman" w:hAnsi="Times New Roman" w:cs="Times New Roman"/>
          <w:sz w:val="26"/>
          <w:szCs w:val="26"/>
          <w:lang w:eastAsia="ru-RU"/>
        </w:rPr>
      </w:pPr>
    </w:p>
    <w:p w14:paraId="38E063C8" w14:textId="77777777" w:rsidR="002F531B" w:rsidRDefault="002F531B" w:rsidP="00D03A4F">
      <w:pPr>
        <w:spacing w:after="0" w:line="240" w:lineRule="auto"/>
        <w:jc w:val="right"/>
        <w:rPr>
          <w:rFonts w:ascii="Times New Roman" w:eastAsia="Times New Roman" w:hAnsi="Times New Roman" w:cs="Times New Roman"/>
          <w:sz w:val="26"/>
          <w:szCs w:val="26"/>
          <w:lang w:eastAsia="ru-RU"/>
        </w:rPr>
      </w:pPr>
    </w:p>
    <w:p w14:paraId="1360B5B8" w14:textId="77777777" w:rsidR="002F531B" w:rsidRDefault="002F531B" w:rsidP="00D03A4F">
      <w:pPr>
        <w:spacing w:after="0" w:line="240" w:lineRule="auto"/>
        <w:jc w:val="right"/>
        <w:rPr>
          <w:rFonts w:ascii="Times New Roman" w:eastAsia="Times New Roman" w:hAnsi="Times New Roman" w:cs="Times New Roman"/>
          <w:sz w:val="26"/>
          <w:szCs w:val="26"/>
          <w:lang w:eastAsia="ru-RU"/>
        </w:rPr>
      </w:pPr>
    </w:p>
    <w:p w14:paraId="002800F4" w14:textId="77777777" w:rsidR="002F531B" w:rsidRDefault="002F531B" w:rsidP="00D03A4F">
      <w:pPr>
        <w:spacing w:after="0" w:line="240" w:lineRule="auto"/>
        <w:jc w:val="right"/>
        <w:rPr>
          <w:rFonts w:ascii="Times New Roman" w:eastAsia="Times New Roman" w:hAnsi="Times New Roman" w:cs="Times New Roman"/>
          <w:sz w:val="26"/>
          <w:szCs w:val="26"/>
          <w:lang w:eastAsia="ru-RU"/>
        </w:rPr>
      </w:pPr>
    </w:p>
    <w:p w14:paraId="19B95175" w14:textId="77777777" w:rsidR="002F531B" w:rsidRDefault="002F531B" w:rsidP="00D03A4F">
      <w:pPr>
        <w:spacing w:after="0" w:line="240" w:lineRule="auto"/>
        <w:jc w:val="right"/>
        <w:rPr>
          <w:rFonts w:ascii="Times New Roman" w:eastAsia="Times New Roman" w:hAnsi="Times New Roman" w:cs="Times New Roman"/>
          <w:sz w:val="26"/>
          <w:szCs w:val="26"/>
          <w:lang w:eastAsia="ru-RU"/>
        </w:rPr>
      </w:pPr>
    </w:p>
    <w:p w14:paraId="52ECD30F" w14:textId="77777777" w:rsidR="00D03A4F" w:rsidRPr="00832765" w:rsidRDefault="00D03A4F" w:rsidP="00D03A4F">
      <w:pPr>
        <w:spacing w:after="0" w:line="240" w:lineRule="auto"/>
        <w:jc w:val="right"/>
        <w:rPr>
          <w:rFonts w:ascii="Times New Roman" w:eastAsia="Times New Roman" w:hAnsi="Times New Roman" w:cs="Times New Roman"/>
          <w:sz w:val="26"/>
          <w:szCs w:val="26"/>
          <w:lang w:eastAsia="ru-RU"/>
        </w:rPr>
      </w:pPr>
      <w:r w:rsidRPr="00832765">
        <w:rPr>
          <w:rFonts w:ascii="Times New Roman" w:eastAsia="Times New Roman" w:hAnsi="Times New Roman" w:cs="Times New Roman"/>
          <w:sz w:val="26"/>
          <w:szCs w:val="26"/>
          <w:lang w:eastAsia="ru-RU"/>
        </w:rPr>
        <w:t xml:space="preserve">Таблица </w:t>
      </w:r>
      <w:r w:rsidR="009E6765">
        <w:rPr>
          <w:rFonts w:ascii="Times New Roman" w:eastAsia="Times New Roman" w:hAnsi="Times New Roman" w:cs="Times New Roman"/>
          <w:sz w:val="26"/>
          <w:szCs w:val="26"/>
          <w:lang w:eastAsia="ru-RU"/>
        </w:rPr>
        <w:t>69</w:t>
      </w:r>
    </w:p>
    <w:p w14:paraId="6269CDC6" w14:textId="77777777" w:rsidR="00D03A4F" w:rsidRPr="00832765" w:rsidRDefault="00D03A4F" w:rsidP="00D03A4F">
      <w:pPr>
        <w:spacing w:after="0" w:line="240" w:lineRule="auto"/>
        <w:jc w:val="right"/>
        <w:rPr>
          <w:rFonts w:ascii="Times New Roman" w:eastAsia="Times New Roman" w:hAnsi="Times New Roman" w:cs="Times New Roman"/>
          <w:sz w:val="26"/>
          <w:szCs w:val="26"/>
          <w:lang w:eastAsia="ru-RU"/>
        </w:rPr>
      </w:pPr>
    </w:p>
    <w:p w14:paraId="10081147" w14:textId="77777777" w:rsidR="00D03A4F" w:rsidRPr="00832765" w:rsidRDefault="00D03A4F" w:rsidP="00D03A4F">
      <w:pPr>
        <w:spacing w:after="0" w:line="240" w:lineRule="auto"/>
        <w:ind w:left="567" w:right="141"/>
        <w:jc w:val="center"/>
        <w:rPr>
          <w:rFonts w:ascii="Times New Roman" w:eastAsia="Times New Roman" w:hAnsi="Times New Roman" w:cs="Times New Roman"/>
          <w:b/>
          <w:bCs/>
          <w:sz w:val="26"/>
          <w:szCs w:val="26"/>
          <w:lang w:eastAsia="ru-RU"/>
        </w:rPr>
      </w:pPr>
      <w:r w:rsidRPr="00832765">
        <w:rPr>
          <w:rFonts w:ascii="Times New Roman" w:eastAsia="Times New Roman" w:hAnsi="Times New Roman" w:cs="Times New Roman"/>
          <w:b/>
          <w:bCs/>
          <w:sz w:val="26"/>
          <w:szCs w:val="26"/>
          <w:lang w:eastAsia="ru-RU"/>
        </w:rPr>
        <w:t>Расходы государственных внебюджетных социальных фондов, связанные с детьми и семьями, имеющими детей, в Российской Федерации в 20</w:t>
      </w:r>
      <w:r w:rsidR="00647D75" w:rsidRPr="00832765">
        <w:rPr>
          <w:rFonts w:ascii="Times New Roman" w:eastAsia="Times New Roman" w:hAnsi="Times New Roman" w:cs="Times New Roman"/>
          <w:b/>
          <w:bCs/>
          <w:sz w:val="26"/>
          <w:szCs w:val="26"/>
          <w:lang w:eastAsia="ru-RU"/>
        </w:rPr>
        <w:t>2</w:t>
      </w:r>
      <w:r w:rsidR="00832765" w:rsidRPr="00832765">
        <w:rPr>
          <w:rFonts w:ascii="Times New Roman" w:eastAsia="Times New Roman" w:hAnsi="Times New Roman" w:cs="Times New Roman"/>
          <w:b/>
          <w:bCs/>
          <w:sz w:val="26"/>
          <w:szCs w:val="26"/>
          <w:lang w:eastAsia="ru-RU"/>
        </w:rPr>
        <w:t>1</w:t>
      </w:r>
      <w:r w:rsidRPr="00832765">
        <w:rPr>
          <w:rFonts w:ascii="Times New Roman" w:eastAsia="Times New Roman" w:hAnsi="Times New Roman" w:cs="Times New Roman"/>
          <w:b/>
          <w:bCs/>
          <w:sz w:val="26"/>
          <w:szCs w:val="26"/>
          <w:lang w:eastAsia="ru-RU"/>
        </w:rPr>
        <w:t xml:space="preserve"> году</w:t>
      </w:r>
    </w:p>
    <w:p w14:paraId="208B9D4C" w14:textId="77777777" w:rsidR="00D03A4F" w:rsidRPr="00AC2D6D" w:rsidRDefault="00D03A4F" w:rsidP="00D03A4F">
      <w:pPr>
        <w:spacing w:after="0" w:line="240" w:lineRule="auto"/>
        <w:ind w:left="567" w:right="141"/>
        <w:jc w:val="center"/>
        <w:rPr>
          <w:rFonts w:ascii="Times New Roman" w:eastAsia="Times New Roman" w:hAnsi="Times New Roman" w:cs="Times New Roman"/>
          <w:bCs/>
          <w:sz w:val="24"/>
          <w:szCs w:val="24"/>
          <w:lang w:eastAsia="ru-RU"/>
        </w:rPr>
      </w:pPr>
      <w:r w:rsidRPr="00832765">
        <w:rPr>
          <w:rFonts w:ascii="Times New Roman" w:eastAsia="Times New Roman" w:hAnsi="Times New Roman" w:cs="Times New Roman"/>
          <w:bCs/>
          <w:sz w:val="24"/>
          <w:szCs w:val="24"/>
          <w:lang w:eastAsia="ru-RU"/>
        </w:rPr>
        <w:t>(млн рублей)</w:t>
      </w:r>
    </w:p>
    <w:p w14:paraId="271E318C" w14:textId="77777777" w:rsidR="00D03A4F" w:rsidRPr="00AC2D6D" w:rsidRDefault="00D03A4F" w:rsidP="00D03A4F">
      <w:pPr>
        <w:spacing w:after="0" w:line="240" w:lineRule="auto"/>
        <w:jc w:val="right"/>
        <w:rPr>
          <w:rFonts w:ascii="Times New Roman" w:eastAsia="Times New Roman" w:hAnsi="Times New Roman" w:cs="Times New Roman"/>
          <w:sz w:val="26"/>
          <w:szCs w:val="26"/>
          <w:lang w:eastAsia="ru-RU"/>
        </w:rPr>
      </w:pPr>
    </w:p>
    <w:tbl>
      <w:tblPr>
        <w:tblW w:w="10491" w:type="dxa"/>
        <w:tblInd w:w="-176" w:type="dxa"/>
        <w:tblLayout w:type="fixed"/>
        <w:tblLook w:val="0000" w:firstRow="0" w:lastRow="0" w:firstColumn="0" w:lastColumn="0" w:noHBand="0" w:noVBand="0"/>
      </w:tblPr>
      <w:tblGrid>
        <w:gridCol w:w="9073"/>
        <w:gridCol w:w="1418"/>
      </w:tblGrid>
      <w:tr w:rsidR="00D03A4F" w:rsidRPr="00AC2D6D" w14:paraId="1D6C0B47" w14:textId="77777777" w:rsidTr="00B51269">
        <w:trPr>
          <w:cantSplit/>
          <w:tblHeader/>
        </w:trPr>
        <w:tc>
          <w:tcPr>
            <w:tcW w:w="9073" w:type="dxa"/>
            <w:tcBorders>
              <w:top w:val="single" w:sz="4" w:space="0" w:color="000000"/>
              <w:left w:val="single" w:sz="4" w:space="0" w:color="000000"/>
              <w:bottom w:val="single" w:sz="4" w:space="0" w:color="000000"/>
              <w:right w:val="single" w:sz="4" w:space="0" w:color="000000"/>
            </w:tcBorders>
            <w:vAlign w:val="bottom"/>
          </w:tcPr>
          <w:p w14:paraId="4C5F7F88" w14:textId="77777777" w:rsidR="00D03A4F" w:rsidRPr="00AC2D6D" w:rsidRDefault="00D03A4F" w:rsidP="00D03A4F">
            <w:pPr>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6AC5CAD" w14:textId="77777777" w:rsidR="00D03A4F" w:rsidRPr="00AC2D6D" w:rsidRDefault="00D03A4F" w:rsidP="00D03A4F">
            <w:pPr>
              <w:spacing w:after="0" w:line="240" w:lineRule="auto"/>
              <w:jc w:val="center"/>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Расходы</w:t>
            </w:r>
          </w:p>
        </w:tc>
      </w:tr>
      <w:tr w:rsidR="00D03A4F" w:rsidRPr="00AC2D6D" w14:paraId="7DD6B692" w14:textId="77777777" w:rsidTr="00B51269">
        <w:tblPrEx>
          <w:tblCellMar>
            <w:left w:w="107" w:type="dxa"/>
            <w:right w:w="107" w:type="dxa"/>
          </w:tblCellMar>
        </w:tblPrEx>
        <w:trPr>
          <w:cantSplit/>
          <w:trHeight w:val="390"/>
        </w:trPr>
        <w:tc>
          <w:tcPr>
            <w:tcW w:w="10491" w:type="dxa"/>
            <w:gridSpan w:val="2"/>
            <w:tcBorders>
              <w:top w:val="single" w:sz="4" w:space="0" w:color="000000"/>
              <w:left w:val="single" w:sz="4" w:space="0" w:color="000000"/>
              <w:bottom w:val="single" w:sz="4" w:space="0" w:color="000000"/>
              <w:right w:val="single" w:sz="4" w:space="0" w:color="000000"/>
            </w:tcBorders>
            <w:vAlign w:val="center"/>
          </w:tcPr>
          <w:p w14:paraId="54F95FA2" w14:textId="77777777" w:rsidR="00D03A4F" w:rsidRPr="00AC2D6D" w:rsidRDefault="00D03A4F" w:rsidP="00D03A4F">
            <w:pPr>
              <w:spacing w:after="0" w:line="240" w:lineRule="auto"/>
              <w:jc w:val="center"/>
              <w:rPr>
                <w:rFonts w:ascii="Times New Roman" w:eastAsia="Times New Roman" w:hAnsi="Times New Roman" w:cs="Times New Roman"/>
                <w:b/>
                <w:bCs/>
                <w:i/>
                <w:iCs/>
                <w:sz w:val="24"/>
                <w:szCs w:val="24"/>
                <w:lang w:eastAsia="ru-RU"/>
              </w:rPr>
            </w:pPr>
            <w:r w:rsidRPr="00AC2D6D">
              <w:rPr>
                <w:rFonts w:ascii="Times New Roman" w:eastAsia="Times New Roman" w:hAnsi="Times New Roman" w:cs="Times New Roman"/>
                <w:b/>
                <w:bCs/>
                <w:i/>
                <w:iCs/>
                <w:sz w:val="24"/>
                <w:szCs w:val="24"/>
                <w:lang w:eastAsia="ru-RU"/>
              </w:rPr>
              <w:t>Пенсионный фонд Российской Федерации</w:t>
            </w:r>
            <w:r w:rsidR="00AF4A22" w:rsidRPr="00AF4A22">
              <w:rPr>
                <w:rFonts w:ascii="Times New Roman" w:eastAsia="Times New Roman" w:hAnsi="Times New Roman" w:cs="Times New Roman"/>
                <w:b/>
                <w:bCs/>
                <w:i/>
                <w:iCs/>
                <w:sz w:val="24"/>
                <w:szCs w:val="24"/>
                <w:vertAlign w:val="superscript"/>
                <w:lang w:eastAsia="ru-RU"/>
              </w:rPr>
              <w:t>1)</w:t>
            </w:r>
          </w:p>
        </w:tc>
      </w:tr>
      <w:tr w:rsidR="00D03A4F" w:rsidRPr="00AC2D6D" w14:paraId="714868E5" w14:textId="77777777" w:rsidTr="00B51269">
        <w:tblPrEx>
          <w:tblCellMar>
            <w:left w:w="107" w:type="dxa"/>
            <w:right w:w="107" w:type="dxa"/>
          </w:tblCellMar>
        </w:tblPrEx>
        <w:trPr>
          <w:cantSplit/>
        </w:trPr>
        <w:tc>
          <w:tcPr>
            <w:tcW w:w="9073" w:type="dxa"/>
            <w:tcBorders>
              <w:top w:val="single" w:sz="4" w:space="0" w:color="808080"/>
              <w:left w:val="single" w:sz="4" w:space="0" w:color="000000"/>
              <w:bottom w:val="single" w:sz="4" w:space="0" w:color="808080"/>
              <w:right w:val="single" w:sz="4" w:space="0" w:color="000000"/>
            </w:tcBorders>
            <w:vAlign w:val="bottom"/>
          </w:tcPr>
          <w:p w14:paraId="3126EE62" w14:textId="77777777" w:rsidR="00D03A4F" w:rsidRPr="00AC2D6D" w:rsidRDefault="00D03A4F" w:rsidP="00D03A4F">
            <w:pPr>
              <w:spacing w:after="0" w:line="240" w:lineRule="auto"/>
              <w:jc w:val="both"/>
              <w:rPr>
                <w:rFonts w:ascii="Times New Roman" w:eastAsia="Times New Roman" w:hAnsi="Times New Roman" w:cs="Times New Roman"/>
                <w:b/>
                <w:bCs/>
                <w:sz w:val="24"/>
                <w:szCs w:val="24"/>
                <w:lang w:eastAsia="ru-RU"/>
              </w:rPr>
            </w:pPr>
            <w:r w:rsidRPr="00AC2D6D">
              <w:rPr>
                <w:rFonts w:ascii="Times New Roman" w:eastAsia="Times New Roman" w:hAnsi="Times New Roman" w:cs="Times New Roman"/>
                <w:b/>
                <w:bCs/>
                <w:sz w:val="24"/>
                <w:szCs w:val="24"/>
                <w:lang w:eastAsia="ru-RU"/>
              </w:rPr>
              <w:t>Всего</w:t>
            </w:r>
          </w:p>
        </w:tc>
        <w:tc>
          <w:tcPr>
            <w:tcW w:w="1418" w:type="dxa"/>
            <w:tcBorders>
              <w:top w:val="single" w:sz="4" w:space="0" w:color="808080"/>
              <w:left w:val="single" w:sz="4" w:space="0" w:color="000000"/>
              <w:bottom w:val="single" w:sz="4" w:space="0" w:color="808080"/>
              <w:right w:val="single" w:sz="4" w:space="0" w:color="000000"/>
            </w:tcBorders>
            <w:vAlign w:val="center"/>
          </w:tcPr>
          <w:p w14:paraId="3D93FC72" w14:textId="77777777" w:rsidR="00D03A4F" w:rsidRPr="002D1FD1" w:rsidRDefault="002D1FD1" w:rsidP="00D03A4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10125053,0</w:t>
            </w:r>
          </w:p>
        </w:tc>
      </w:tr>
      <w:tr w:rsidR="00D03A4F" w:rsidRPr="00AC2D6D" w14:paraId="7D107953" w14:textId="77777777" w:rsidTr="00B51269">
        <w:tblPrEx>
          <w:tblCellMar>
            <w:left w:w="107" w:type="dxa"/>
            <w:right w:w="107" w:type="dxa"/>
          </w:tblCellMar>
        </w:tblPrEx>
        <w:trPr>
          <w:cantSplit/>
        </w:trPr>
        <w:tc>
          <w:tcPr>
            <w:tcW w:w="9073" w:type="dxa"/>
            <w:tcBorders>
              <w:top w:val="single" w:sz="4" w:space="0" w:color="808080"/>
              <w:left w:val="single" w:sz="4" w:space="0" w:color="000000"/>
              <w:bottom w:val="single" w:sz="4" w:space="0" w:color="808080"/>
              <w:right w:val="single" w:sz="4" w:space="0" w:color="000000"/>
            </w:tcBorders>
            <w:vAlign w:val="bottom"/>
          </w:tcPr>
          <w:p w14:paraId="01ECFDF9" w14:textId="77777777" w:rsidR="00D03A4F" w:rsidRPr="00AC2D6D" w:rsidRDefault="00D03A4F" w:rsidP="00D03A4F">
            <w:pPr>
              <w:spacing w:after="0" w:line="240" w:lineRule="auto"/>
              <w:ind w:left="170"/>
              <w:rPr>
                <w:rFonts w:ascii="Times New Roman" w:eastAsia="Times New Roman" w:hAnsi="Times New Roman" w:cs="Times New Roman"/>
                <w:bCs/>
                <w:sz w:val="24"/>
                <w:szCs w:val="24"/>
                <w:lang w:eastAsia="ru-RU"/>
              </w:rPr>
            </w:pPr>
            <w:r w:rsidRPr="00AC2D6D">
              <w:rPr>
                <w:rFonts w:ascii="Times New Roman" w:eastAsia="Times New Roman" w:hAnsi="Times New Roman" w:cs="Times New Roman"/>
                <w:sz w:val="24"/>
                <w:szCs w:val="24"/>
                <w:lang w:eastAsia="ru-RU"/>
              </w:rPr>
              <w:t>из них</w:t>
            </w:r>
            <w:r w:rsidRPr="00AC2D6D">
              <w:rPr>
                <w:rFonts w:ascii="Times New Roman" w:eastAsia="Times New Roman" w:hAnsi="Times New Roman" w:cs="Times New Roman"/>
                <w:bCs/>
                <w:sz w:val="24"/>
                <w:szCs w:val="24"/>
                <w:lang w:eastAsia="ru-RU"/>
              </w:rPr>
              <w:t xml:space="preserve"> на:</w:t>
            </w:r>
          </w:p>
          <w:p w14:paraId="7BD7F8C5" w14:textId="77777777" w:rsidR="00D03A4F" w:rsidRPr="00AC2D6D" w:rsidRDefault="00D03A4F" w:rsidP="00D03A4F">
            <w:pPr>
              <w:spacing w:after="0" w:line="240" w:lineRule="auto"/>
              <w:ind w:left="170"/>
              <w:rPr>
                <w:rFonts w:ascii="Times New Roman" w:eastAsia="Times New Roman" w:hAnsi="Times New Roman" w:cs="Times New Roman"/>
                <w:bCs/>
                <w:sz w:val="24"/>
                <w:szCs w:val="24"/>
                <w:lang w:eastAsia="ru-RU"/>
              </w:rPr>
            </w:pPr>
            <w:r w:rsidRPr="00AC2D6D">
              <w:rPr>
                <w:rFonts w:ascii="Times New Roman" w:eastAsia="Times New Roman" w:hAnsi="Times New Roman" w:cs="Times New Roman"/>
                <w:bCs/>
                <w:sz w:val="24"/>
                <w:szCs w:val="24"/>
                <w:lang w:eastAsia="ru-RU"/>
              </w:rPr>
              <w:t>предоставление материнского (семейного) капитала</w:t>
            </w:r>
          </w:p>
        </w:tc>
        <w:tc>
          <w:tcPr>
            <w:tcW w:w="1418" w:type="dxa"/>
            <w:tcBorders>
              <w:top w:val="single" w:sz="4" w:space="0" w:color="808080"/>
              <w:left w:val="single" w:sz="4" w:space="0" w:color="000000"/>
              <w:bottom w:val="single" w:sz="4" w:space="0" w:color="808080"/>
              <w:right w:val="single" w:sz="4" w:space="0" w:color="000000"/>
            </w:tcBorders>
            <w:vAlign w:val="center"/>
          </w:tcPr>
          <w:p w14:paraId="276F8A11" w14:textId="77777777" w:rsidR="00D03A4F" w:rsidRPr="00832765" w:rsidRDefault="002D1FD1"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399021,7</w:t>
            </w:r>
          </w:p>
        </w:tc>
      </w:tr>
      <w:tr w:rsidR="002D1FD1" w:rsidRPr="00AC2D6D" w14:paraId="76A75BC0" w14:textId="77777777" w:rsidTr="00B51269">
        <w:tblPrEx>
          <w:tblCellMar>
            <w:left w:w="107" w:type="dxa"/>
            <w:right w:w="107" w:type="dxa"/>
          </w:tblCellMar>
        </w:tblPrEx>
        <w:trPr>
          <w:cantSplit/>
        </w:trPr>
        <w:tc>
          <w:tcPr>
            <w:tcW w:w="9073" w:type="dxa"/>
            <w:tcBorders>
              <w:top w:val="single" w:sz="4" w:space="0" w:color="808080"/>
              <w:left w:val="single" w:sz="4" w:space="0" w:color="000000"/>
              <w:bottom w:val="single" w:sz="4" w:space="0" w:color="808080"/>
              <w:right w:val="single" w:sz="4" w:space="0" w:color="000000"/>
            </w:tcBorders>
            <w:vAlign w:val="bottom"/>
          </w:tcPr>
          <w:p w14:paraId="7C0B6C78" w14:textId="77777777" w:rsidR="002D1FD1" w:rsidRPr="00AC2D6D" w:rsidRDefault="002D1FD1" w:rsidP="00D03A4F">
            <w:pPr>
              <w:spacing w:after="0" w:line="240" w:lineRule="auto"/>
              <w:ind w:left="1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осуществление дополнительных мер социальной поддержки</w:t>
            </w:r>
            <w:r w:rsidR="00AF4A22">
              <w:rPr>
                <w:rFonts w:ascii="Times New Roman" w:eastAsia="Times New Roman" w:hAnsi="Times New Roman" w:cs="Times New Roman"/>
                <w:sz w:val="24"/>
                <w:szCs w:val="24"/>
                <w:lang w:eastAsia="ru-RU"/>
              </w:rPr>
              <w:t xml:space="preserve"> семей, имеющих детей</w:t>
            </w:r>
          </w:p>
        </w:tc>
        <w:tc>
          <w:tcPr>
            <w:tcW w:w="1418" w:type="dxa"/>
            <w:tcBorders>
              <w:top w:val="single" w:sz="4" w:space="0" w:color="808080"/>
              <w:left w:val="single" w:sz="4" w:space="0" w:color="000000"/>
              <w:bottom w:val="single" w:sz="4" w:space="0" w:color="808080"/>
              <w:right w:val="single" w:sz="4" w:space="0" w:color="000000"/>
            </w:tcBorders>
            <w:vAlign w:val="center"/>
          </w:tcPr>
          <w:p w14:paraId="5D4D3998" w14:textId="77777777" w:rsidR="002D1FD1" w:rsidRDefault="009B3AD4"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263558,9</w:t>
            </w:r>
          </w:p>
        </w:tc>
      </w:tr>
      <w:tr w:rsidR="00D03A4F" w:rsidRPr="00AC2D6D" w14:paraId="46D8A17E" w14:textId="77777777" w:rsidTr="00B51269">
        <w:tblPrEx>
          <w:tblCellMar>
            <w:left w:w="107" w:type="dxa"/>
            <w:right w:w="107" w:type="dxa"/>
          </w:tblCellMar>
        </w:tblPrEx>
        <w:trPr>
          <w:cantSplit/>
          <w:trHeight w:val="392"/>
        </w:trPr>
        <w:tc>
          <w:tcPr>
            <w:tcW w:w="10491" w:type="dxa"/>
            <w:gridSpan w:val="2"/>
            <w:tcBorders>
              <w:top w:val="single" w:sz="4" w:space="0" w:color="auto"/>
              <w:left w:val="single" w:sz="4" w:space="0" w:color="000000"/>
              <w:bottom w:val="single" w:sz="4" w:space="0" w:color="auto"/>
              <w:right w:val="single" w:sz="4" w:space="0" w:color="000000"/>
            </w:tcBorders>
            <w:vAlign w:val="center"/>
          </w:tcPr>
          <w:p w14:paraId="0D77C54C" w14:textId="77777777" w:rsidR="00D03A4F" w:rsidRPr="00AC2D6D" w:rsidRDefault="00D03A4F" w:rsidP="00D03A4F">
            <w:pPr>
              <w:spacing w:after="0" w:line="240" w:lineRule="auto"/>
              <w:jc w:val="center"/>
              <w:rPr>
                <w:rFonts w:ascii="Times New Roman" w:eastAsia="Times New Roman" w:hAnsi="Times New Roman" w:cs="Times New Roman"/>
                <w:b/>
                <w:bCs/>
                <w:i/>
                <w:iCs/>
                <w:sz w:val="24"/>
                <w:szCs w:val="24"/>
                <w:lang w:eastAsia="ru-RU"/>
              </w:rPr>
            </w:pPr>
            <w:r w:rsidRPr="00AC2D6D">
              <w:rPr>
                <w:rFonts w:ascii="Times New Roman" w:eastAsia="Times New Roman" w:hAnsi="Times New Roman" w:cs="Times New Roman"/>
                <w:b/>
                <w:bCs/>
                <w:i/>
                <w:iCs/>
                <w:sz w:val="24"/>
                <w:szCs w:val="24"/>
                <w:lang w:eastAsia="ru-RU"/>
              </w:rPr>
              <w:t>Фонд социального страхования Российской Федерации</w:t>
            </w:r>
          </w:p>
        </w:tc>
      </w:tr>
      <w:tr w:rsidR="00D03A4F" w:rsidRPr="00AC2D6D" w14:paraId="6BA02242" w14:textId="77777777" w:rsidTr="00B51269">
        <w:tblPrEx>
          <w:tblCellMar>
            <w:left w:w="107" w:type="dxa"/>
            <w:right w:w="107" w:type="dxa"/>
          </w:tblCellMar>
        </w:tblPrEx>
        <w:trPr>
          <w:cantSplit/>
        </w:trPr>
        <w:tc>
          <w:tcPr>
            <w:tcW w:w="9073" w:type="dxa"/>
            <w:tcBorders>
              <w:top w:val="single" w:sz="4" w:space="0" w:color="808080"/>
              <w:left w:val="single" w:sz="4" w:space="0" w:color="000000"/>
              <w:bottom w:val="single" w:sz="4" w:space="0" w:color="808080"/>
              <w:right w:val="single" w:sz="4" w:space="0" w:color="000000"/>
            </w:tcBorders>
            <w:vAlign w:val="bottom"/>
          </w:tcPr>
          <w:p w14:paraId="7FB8310B" w14:textId="77777777" w:rsidR="00D03A4F" w:rsidRPr="00AC2D6D" w:rsidRDefault="00D03A4F" w:rsidP="00D03A4F">
            <w:pPr>
              <w:spacing w:after="0" w:line="240" w:lineRule="auto"/>
              <w:jc w:val="both"/>
              <w:rPr>
                <w:rFonts w:ascii="Times New Roman" w:eastAsia="Times New Roman" w:hAnsi="Times New Roman" w:cs="Times New Roman"/>
                <w:b/>
                <w:bCs/>
                <w:sz w:val="24"/>
                <w:szCs w:val="24"/>
                <w:lang w:eastAsia="ru-RU"/>
              </w:rPr>
            </w:pPr>
            <w:r w:rsidRPr="00AC2D6D">
              <w:rPr>
                <w:rFonts w:ascii="Times New Roman" w:eastAsia="Times New Roman" w:hAnsi="Times New Roman" w:cs="Times New Roman"/>
                <w:b/>
                <w:bCs/>
                <w:sz w:val="24"/>
                <w:szCs w:val="24"/>
                <w:lang w:eastAsia="ru-RU"/>
              </w:rPr>
              <w:t>Всего</w:t>
            </w:r>
          </w:p>
        </w:tc>
        <w:tc>
          <w:tcPr>
            <w:tcW w:w="1418" w:type="dxa"/>
            <w:tcBorders>
              <w:top w:val="single" w:sz="4" w:space="0" w:color="808080"/>
              <w:left w:val="single" w:sz="4" w:space="0" w:color="000000"/>
              <w:bottom w:val="single" w:sz="4" w:space="0" w:color="808080"/>
              <w:right w:val="single" w:sz="4" w:space="0" w:color="000000"/>
            </w:tcBorders>
            <w:vAlign w:val="center"/>
          </w:tcPr>
          <w:p w14:paraId="583E5DC5" w14:textId="77777777" w:rsidR="00D03A4F" w:rsidRPr="00AC2D6D" w:rsidRDefault="009B3AD4" w:rsidP="00D03A4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1316871,9</w:t>
            </w:r>
          </w:p>
        </w:tc>
      </w:tr>
      <w:tr w:rsidR="00D03A4F" w:rsidRPr="00AC2D6D" w14:paraId="4FD5074B" w14:textId="77777777" w:rsidTr="00B51269">
        <w:tblPrEx>
          <w:tblCellMar>
            <w:left w:w="107" w:type="dxa"/>
            <w:right w:w="107" w:type="dxa"/>
          </w:tblCellMar>
        </w:tblPrEx>
        <w:trPr>
          <w:cantSplit/>
        </w:trPr>
        <w:tc>
          <w:tcPr>
            <w:tcW w:w="9073" w:type="dxa"/>
            <w:tcBorders>
              <w:top w:val="single" w:sz="4" w:space="0" w:color="808080"/>
              <w:left w:val="single" w:sz="4" w:space="0" w:color="000000"/>
              <w:bottom w:val="single" w:sz="4" w:space="0" w:color="808080"/>
              <w:right w:val="single" w:sz="4" w:space="0" w:color="000000"/>
            </w:tcBorders>
            <w:vAlign w:val="bottom"/>
          </w:tcPr>
          <w:p w14:paraId="794F3A0E" w14:textId="77777777" w:rsidR="00D03A4F" w:rsidRPr="00AC2D6D" w:rsidRDefault="00D03A4F" w:rsidP="00D03A4F">
            <w:pPr>
              <w:spacing w:after="0" w:line="240" w:lineRule="auto"/>
              <w:ind w:left="170"/>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 xml:space="preserve">из них </w:t>
            </w:r>
            <w:r w:rsidRPr="00AC2D6D">
              <w:rPr>
                <w:rFonts w:ascii="Times New Roman" w:eastAsia="Times New Roman" w:hAnsi="Times New Roman" w:cs="Times New Roman"/>
                <w:bCs/>
                <w:sz w:val="24"/>
                <w:szCs w:val="24"/>
                <w:lang w:eastAsia="ru-RU"/>
              </w:rPr>
              <w:t>на</w:t>
            </w:r>
            <w:r w:rsidRPr="00AC2D6D">
              <w:rPr>
                <w:rFonts w:ascii="Times New Roman" w:eastAsia="Times New Roman" w:hAnsi="Times New Roman" w:cs="Times New Roman"/>
                <w:sz w:val="24"/>
                <w:szCs w:val="24"/>
                <w:lang w:eastAsia="ru-RU"/>
              </w:rPr>
              <w:t>:</w:t>
            </w:r>
          </w:p>
          <w:p w14:paraId="6F73237E" w14:textId="774F85A8" w:rsidR="00D03A4F" w:rsidRPr="00AC2D6D" w:rsidRDefault="00D03A4F" w:rsidP="00D03A4F">
            <w:pPr>
              <w:spacing w:after="0" w:line="240" w:lineRule="auto"/>
              <w:ind w:left="170"/>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оплату четырех дополнительных выходных дней работающим родителям (опекунам, попечителям) для ухода за детьми</w:t>
            </w:r>
            <w:r w:rsidR="003B77D7" w:rsidRPr="00295F0B">
              <w:rPr>
                <w:rFonts w:ascii="Times New Roman" w:eastAsia="Times New Roman" w:hAnsi="Times New Roman" w:cs="Times New Roman"/>
                <w:sz w:val="24"/>
                <w:szCs w:val="24"/>
                <w:lang w:eastAsia="ru-RU"/>
              </w:rPr>
              <w:t xml:space="preserve"> с инвалидностью</w:t>
            </w:r>
          </w:p>
        </w:tc>
        <w:tc>
          <w:tcPr>
            <w:tcW w:w="1418" w:type="dxa"/>
            <w:tcBorders>
              <w:top w:val="single" w:sz="4" w:space="0" w:color="808080"/>
              <w:left w:val="single" w:sz="4" w:space="0" w:color="000000"/>
              <w:bottom w:val="single" w:sz="4" w:space="0" w:color="808080"/>
              <w:right w:val="single" w:sz="4" w:space="0" w:color="000000"/>
            </w:tcBorders>
            <w:vAlign w:val="center"/>
          </w:tcPr>
          <w:p w14:paraId="2F259515" w14:textId="77777777" w:rsidR="00D03A4F" w:rsidRPr="00AC2D6D" w:rsidRDefault="009B3AD4"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4752,7</w:t>
            </w:r>
          </w:p>
        </w:tc>
      </w:tr>
      <w:tr w:rsidR="00D03A4F" w:rsidRPr="00AC2D6D" w14:paraId="757359D0" w14:textId="77777777" w:rsidTr="00B51269">
        <w:tblPrEx>
          <w:tblCellMar>
            <w:left w:w="107" w:type="dxa"/>
            <w:right w:w="107" w:type="dxa"/>
          </w:tblCellMar>
        </w:tblPrEx>
        <w:trPr>
          <w:cantSplit/>
        </w:trPr>
        <w:tc>
          <w:tcPr>
            <w:tcW w:w="9073" w:type="dxa"/>
            <w:tcBorders>
              <w:top w:val="single" w:sz="4" w:space="0" w:color="808080"/>
              <w:left w:val="single" w:sz="4" w:space="0" w:color="000000"/>
              <w:bottom w:val="single" w:sz="4" w:space="0" w:color="808080"/>
              <w:right w:val="single" w:sz="4" w:space="0" w:color="000000"/>
            </w:tcBorders>
            <w:vAlign w:val="bottom"/>
          </w:tcPr>
          <w:p w14:paraId="3A8598B8" w14:textId="77777777" w:rsidR="00D03A4F" w:rsidRPr="00AC2D6D" w:rsidRDefault="00D03A4F" w:rsidP="00D03A4F">
            <w:pPr>
              <w:spacing w:after="0" w:line="240" w:lineRule="auto"/>
              <w:ind w:left="170"/>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center"/>
          </w:tcPr>
          <w:p w14:paraId="3240A7D5" w14:textId="77777777" w:rsidR="00D03A4F" w:rsidRPr="00AC2D6D" w:rsidRDefault="009B3AD4"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13164,4</w:t>
            </w:r>
          </w:p>
        </w:tc>
      </w:tr>
      <w:tr w:rsidR="00D03A4F" w:rsidRPr="00AC2D6D" w14:paraId="15235FF1" w14:textId="77777777" w:rsidTr="00B51269">
        <w:tblPrEx>
          <w:tblCellMar>
            <w:left w:w="107" w:type="dxa"/>
            <w:right w:w="107" w:type="dxa"/>
          </w:tblCellMar>
        </w:tblPrEx>
        <w:trPr>
          <w:cantSplit/>
        </w:trPr>
        <w:tc>
          <w:tcPr>
            <w:tcW w:w="9073" w:type="dxa"/>
            <w:tcBorders>
              <w:top w:val="single" w:sz="4" w:space="0" w:color="808080"/>
              <w:left w:val="single" w:sz="4" w:space="0" w:color="000000"/>
              <w:bottom w:val="single" w:sz="4" w:space="0" w:color="808080"/>
              <w:right w:val="single" w:sz="4" w:space="0" w:color="000000"/>
            </w:tcBorders>
            <w:vAlign w:val="bottom"/>
          </w:tcPr>
          <w:p w14:paraId="65496CAF" w14:textId="77777777" w:rsidR="00D03A4F" w:rsidRPr="00AC2D6D" w:rsidRDefault="00D03A4F" w:rsidP="00D03A4F">
            <w:pPr>
              <w:spacing w:after="0" w:line="240" w:lineRule="auto"/>
              <w:ind w:left="170"/>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пособия по уходу за ребенком до достижения им возраста полутора лет гражданам, подлежащим обязательному социальному страхованию на случай 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14:paraId="4CDB539C" w14:textId="77777777" w:rsidR="00D03A4F" w:rsidRPr="00AC2D6D" w:rsidRDefault="009B3AD4"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164742,2</w:t>
            </w:r>
          </w:p>
        </w:tc>
      </w:tr>
      <w:tr w:rsidR="00D03A4F" w:rsidRPr="00AC2D6D" w14:paraId="21C2E6E7" w14:textId="77777777" w:rsidTr="00B51269">
        <w:tblPrEx>
          <w:tblCellMar>
            <w:left w:w="107" w:type="dxa"/>
            <w:right w:w="107" w:type="dxa"/>
          </w:tblCellMar>
        </w:tblPrEx>
        <w:trPr>
          <w:cantSplit/>
        </w:trPr>
        <w:tc>
          <w:tcPr>
            <w:tcW w:w="9073" w:type="dxa"/>
            <w:tcBorders>
              <w:top w:val="single" w:sz="4" w:space="0" w:color="808080"/>
              <w:left w:val="single" w:sz="4" w:space="0" w:color="000000"/>
              <w:bottom w:val="single" w:sz="4" w:space="0" w:color="808080"/>
              <w:right w:val="single" w:sz="4" w:space="0" w:color="000000"/>
            </w:tcBorders>
            <w:vAlign w:val="bottom"/>
          </w:tcPr>
          <w:p w14:paraId="092452FB" w14:textId="77777777" w:rsidR="00D03A4F" w:rsidRPr="00AC2D6D" w:rsidRDefault="00D03A4F" w:rsidP="00D03A4F">
            <w:pPr>
              <w:spacing w:after="0" w:line="240" w:lineRule="auto"/>
              <w:ind w:left="170"/>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пособия по беременности и родам гражданам, подлежащим обязательному социальному страхованию на случай 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14:paraId="51902406" w14:textId="77777777" w:rsidR="00D03A4F" w:rsidRPr="00AC2D6D" w:rsidRDefault="00313CE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123404,4</w:t>
            </w:r>
          </w:p>
        </w:tc>
      </w:tr>
      <w:tr w:rsidR="00D03A4F" w:rsidRPr="00AC2D6D" w14:paraId="6FDD3ACB" w14:textId="77777777" w:rsidTr="00B51269">
        <w:tblPrEx>
          <w:tblCellMar>
            <w:left w:w="107" w:type="dxa"/>
            <w:right w:w="107" w:type="dxa"/>
          </w:tblCellMar>
        </w:tblPrEx>
        <w:trPr>
          <w:cantSplit/>
        </w:trPr>
        <w:tc>
          <w:tcPr>
            <w:tcW w:w="9073" w:type="dxa"/>
            <w:tcBorders>
              <w:top w:val="single" w:sz="4" w:space="0" w:color="808080"/>
              <w:left w:val="single" w:sz="4" w:space="0" w:color="000000"/>
              <w:bottom w:val="single" w:sz="4" w:space="0" w:color="808080"/>
              <w:right w:val="single" w:sz="4" w:space="0" w:color="000000"/>
            </w:tcBorders>
            <w:vAlign w:val="bottom"/>
          </w:tcPr>
          <w:p w14:paraId="4D20F4E6" w14:textId="77777777" w:rsidR="00D03A4F" w:rsidRPr="00AC2D6D" w:rsidRDefault="00D03A4F" w:rsidP="00D03A4F">
            <w:pPr>
              <w:spacing w:after="0" w:line="240" w:lineRule="auto"/>
              <w:ind w:left="170"/>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пособия по временной нетрудоспособности по обязательному социальному страхованию на случай 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14:paraId="045FF240" w14:textId="77777777" w:rsidR="00D03A4F" w:rsidRPr="00AC2D6D" w:rsidRDefault="00313CE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522360,1</w:t>
            </w:r>
          </w:p>
        </w:tc>
      </w:tr>
      <w:tr w:rsidR="00D03A4F" w:rsidRPr="00AC2D6D" w14:paraId="0F26D388" w14:textId="77777777" w:rsidTr="00B51269">
        <w:tblPrEx>
          <w:tblCellMar>
            <w:left w:w="107" w:type="dxa"/>
            <w:right w:w="107" w:type="dxa"/>
          </w:tblCellMar>
        </w:tblPrEx>
        <w:trPr>
          <w:cantSplit/>
        </w:trPr>
        <w:tc>
          <w:tcPr>
            <w:tcW w:w="9073" w:type="dxa"/>
            <w:tcBorders>
              <w:top w:val="single" w:sz="4" w:space="0" w:color="808080"/>
              <w:left w:val="single" w:sz="4" w:space="0" w:color="000000"/>
              <w:bottom w:val="single" w:sz="4" w:space="0" w:color="7F7F7F"/>
              <w:right w:val="single" w:sz="4" w:space="0" w:color="000000"/>
            </w:tcBorders>
            <w:vAlign w:val="bottom"/>
          </w:tcPr>
          <w:p w14:paraId="15256AC5" w14:textId="77777777" w:rsidR="00D03A4F" w:rsidRPr="00AC2D6D" w:rsidRDefault="00D03A4F" w:rsidP="00D03A4F">
            <w:pPr>
              <w:spacing w:after="0" w:line="240" w:lineRule="auto"/>
              <w:ind w:left="170"/>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пособия при рождении ребенка гражданам, подлежащим обязательному социальному страхованию на случай временной нетрудоспособности и в связи с материнством</w:t>
            </w:r>
          </w:p>
        </w:tc>
        <w:tc>
          <w:tcPr>
            <w:tcW w:w="1418" w:type="dxa"/>
            <w:tcBorders>
              <w:top w:val="single" w:sz="4" w:space="0" w:color="808080"/>
              <w:left w:val="single" w:sz="4" w:space="0" w:color="000000"/>
              <w:bottom w:val="single" w:sz="4" w:space="0" w:color="7F7F7F"/>
              <w:right w:val="single" w:sz="4" w:space="0" w:color="000000"/>
            </w:tcBorders>
            <w:vAlign w:val="center"/>
          </w:tcPr>
          <w:p w14:paraId="577DC621" w14:textId="77777777" w:rsidR="00D03A4F" w:rsidRPr="00AC2D6D" w:rsidRDefault="00313CEB"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19263,4</w:t>
            </w:r>
          </w:p>
        </w:tc>
      </w:tr>
      <w:tr w:rsidR="00D03A4F" w:rsidRPr="00AC2D6D" w14:paraId="6817F24A" w14:textId="77777777" w:rsidTr="00B51269">
        <w:tblPrEx>
          <w:tblCellMar>
            <w:left w:w="107" w:type="dxa"/>
            <w:right w:w="107" w:type="dxa"/>
          </w:tblCellMar>
        </w:tblPrEx>
        <w:trPr>
          <w:cantSplit/>
        </w:trPr>
        <w:tc>
          <w:tcPr>
            <w:tcW w:w="9073" w:type="dxa"/>
            <w:tcBorders>
              <w:top w:val="single" w:sz="4" w:space="0" w:color="7F7F7F"/>
              <w:left w:val="single" w:sz="4" w:space="0" w:color="000000"/>
              <w:bottom w:val="single" w:sz="4" w:space="0" w:color="auto"/>
              <w:right w:val="single" w:sz="4" w:space="0" w:color="000000"/>
            </w:tcBorders>
            <w:vAlign w:val="bottom"/>
          </w:tcPr>
          <w:p w14:paraId="5F8DBF54" w14:textId="77777777" w:rsidR="00D03A4F" w:rsidRPr="00AC2D6D" w:rsidRDefault="00DA65D6" w:rsidP="00647D75">
            <w:pPr>
              <w:spacing w:after="0" w:line="240" w:lineRule="auto"/>
              <w:ind w:left="1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DF74AE">
              <w:rPr>
                <w:rFonts w:ascii="Times New Roman" w:eastAsia="Times New Roman" w:hAnsi="Times New Roman" w:cs="Times New Roman"/>
                <w:sz w:val="24"/>
                <w:szCs w:val="24"/>
                <w:lang w:eastAsia="ru-RU"/>
              </w:rPr>
              <w:t xml:space="preserve">диновременные </w:t>
            </w:r>
            <w:r w:rsidR="00D03A4F" w:rsidRPr="00AC2D6D">
              <w:rPr>
                <w:rFonts w:ascii="Times New Roman" w:eastAsia="Times New Roman" w:hAnsi="Times New Roman" w:cs="Times New Roman"/>
                <w:sz w:val="24"/>
                <w:szCs w:val="24"/>
                <w:lang w:eastAsia="ru-RU"/>
              </w:rPr>
              <w:t xml:space="preserve">пособия женщинам, вставшим на учет в медицинских </w:t>
            </w:r>
            <w:r w:rsidR="00647D75">
              <w:rPr>
                <w:rFonts w:ascii="Times New Roman" w:eastAsia="Times New Roman" w:hAnsi="Times New Roman" w:cs="Times New Roman"/>
                <w:sz w:val="24"/>
                <w:szCs w:val="24"/>
                <w:lang w:eastAsia="ru-RU"/>
              </w:rPr>
              <w:t>учреждениях</w:t>
            </w:r>
            <w:r w:rsidR="00D03A4F" w:rsidRPr="00AC2D6D">
              <w:rPr>
                <w:rFonts w:ascii="Times New Roman" w:eastAsia="Times New Roman" w:hAnsi="Times New Roman" w:cs="Times New Roman"/>
                <w:sz w:val="24"/>
                <w:szCs w:val="24"/>
                <w:lang w:eastAsia="ru-RU"/>
              </w:rPr>
              <w:t xml:space="preserve"> в ранние сроки беременности, подлежащим обязательному социальному страхованию на случай временной нетрудоспособности и в связи с материнством</w:t>
            </w:r>
          </w:p>
        </w:tc>
        <w:tc>
          <w:tcPr>
            <w:tcW w:w="1418" w:type="dxa"/>
            <w:tcBorders>
              <w:top w:val="single" w:sz="4" w:space="0" w:color="7F7F7F"/>
              <w:left w:val="single" w:sz="4" w:space="0" w:color="000000"/>
              <w:bottom w:val="single" w:sz="4" w:space="0" w:color="auto"/>
              <w:right w:val="single" w:sz="4" w:space="0" w:color="000000"/>
            </w:tcBorders>
            <w:vAlign w:val="center"/>
          </w:tcPr>
          <w:p w14:paraId="5BF1D8D3" w14:textId="77777777" w:rsidR="00D03A4F" w:rsidRPr="00AC2D6D" w:rsidRDefault="003D52AE" w:rsidP="00D03A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434,8</w:t>
            </w:r>
          </w:p>
        </w:tc>
      </w:tr>
      <w:tr w:rsidR="00D03A4F" w:rsidRPr="00AC2D6D" w14:paraId="77C9532D" w14:textId="77777777" w:rsidTr="00B51269">
        <w:tblPrEx>
          <w:tblCellMar>
            <w:left w:w="107" w:type="dxa"/>
            <w:right w:w="107" w:type="dxa"/>
          </w:tblCellMar>
        </w:tblPrEx>
        <w:trPr>
          <w:cantSplit/>
          <w:trHeight w:val="353"/>
        </w:trPr>
        <w:tc>
          <w:tcPr>
            <w:tcW w:w="10491" w:type="dxa"/>
            <w:gridSpan w:val="2"/>
            <w:tcBorders>
              <w:top w:val="single" w:sz="4" w:space="0" w:color="auto"/>
              <w:left w:val="single" w:sz="4" w:space="0" w:color="000000"/>
              <w:bottom w:val="single" w:sz="4" w:space="0" w:color="auto"/>
              <w:right w:val="single" w:sz="4" w:space="0" w:color="000000"/>
            </w:tcBorders>
            <w:vAlign w:val="center"/>
          </w:tcPr>
          <w:p w14:paraId="79B6E057" w14:textId="77777777" w:rsidR="00D03A4F" w:rsidRPr="00AC2D6D" w:rsidRDefault="00D03A4F" w:rsidP="00D03A4F">
            <w:pPr>
              <w:spacing w:after="0" w:line="240" w:lineRule="auto"/>
              <w:jc w:val="center"/>
              <w:rPr>
                <w:rFonts w:ascii="Times New Roman" w:eastAsia="Times New Roman" w:hAnsi="Times New Roman" w:cs="Times New Roman"/>
                <w:b/>
                <w:bCs/>
                <w:i/>
                <w:iCs/>
                <w:sz w:val="24"/>
                <w:szCs w:val="24"/>
                <w:lang w:eastAsia="ru-RU"/>
              </w:rPr>
            </w:pPr>
            <w:r w:rsidRPr="00AC2D6D">
              <w:rPr>
                <w:rFonts w:ascii="Times New Roman" w:eastAsia="Times New Roman" w:hAnsi="Times New Roman" w:cs="Times New Roman"/>
                <w:b/>
                <w:bCs/>
                <w:i/>
                <w:iCs/>
                <w:sz w:val="24"/>
                <w:szCs w:val="24"/>
                <w:lang w:eastAsia="ru-RU"/>
              </w:rPr>
              <w:t>Федеральный фонд обязательного медицинского страхования</w:t>
            </w:r>
            <w:r w:rsidR="003D52AE" w:rsidRPr="003D52AE">
              <w:rPr>
                <w:rFonts w:ascii="Times New Roman" w:eastAsia="Times New Roman" w:hAnsi="Times New Roman" w:cs="Times New Roman"/>
                <w:b/>
                <w:bCs/>
                <w:i/>
                <w:iCs/>
                <w:sz w:val="24"/>
                <w:szCs w:val="24"/>
                <w:vertAlign w:val="superscript"/>
                <w:lang w:eastAsia="ru-RU"/>
              </w:rPr>
              <w:t>2)</w:t>
            </w:r>
          </w:p>
        </w:tc>
      </w:tr>
      <w:tr w:rsidR="00D03A4F" w:rsidRPr="00AC2D6D" w14:paraId="7BA5B12B" w14:textId="77777777" w:rsidTr="00B51269">
        <w:tblPrEx>
          <w:tblCellMar>
            <w:left w:w="107" w:type="dxa"/>
            <w:right w:w="107" w:type="dxa"/>
          </w:tblCellMar>
        </w:tblPrEx>
        <w:trPr>
          <w:cantSplit/>
        </w:trPr>
        <w:tc>
          <w:tcPr>
            <w:tcW w:w="9073" w:type="dxa"/>
            <w:tcBorders>
              <w:top w:val="single" w:sz="4" w:space="0" w:color="808080"/>
              <w:left w:val="single" w:sz="4" w:space="0" w:color="000000"/>
              <w:bottom w:val="single" w:sz="4" w:space="0" w:color="808080"/>
              <w:right w:val="single" w:sz="4" w:space="0" w:color="000000"/>
            </w:tcBorders>
            <w:vAlign w:val="bottom"/>
          </w:tcPr>
          <w:p w14:paraId="0188E302" w14:textId="77777777" w:rsidR="00D03A4F" w:rsidRPr="00AC2D6D" w:rsidRDefault="00D03A4F" w:rsidP="00D03A4F">
            <w:pPr>
              <w:spacing w:after="0" w:line="240" w:lineRule="auto"/>
              <w:jc w:val="both"/>
              <w:rPr>
                <w:rFonts w:ascii="Times New Roman" w:eastAsia="Times New Roman" w:hAnsi="Times New Roman" w:cs="Times New Roman"/>
                <w:b/>
                <w:bCs/>
                <w:sz w:val="24"/>
                <w:szCs w:val="24"/>
                <w:lang w:eastAsia="ru-RU"/>
              </w:rPr>
            </w:pPr>
            <w:r w:rsidRPr="00AC2D6D">
              <w:rPr>
                <w:rFonts w:ascii="Times New Roman" w:eastAsia="Times New Roman" w:hAnsi="Times New Roman" w:cs="Times New Roman"/>
                <w:b/>
                <w:bCs/>
                <w:sz w:val="24"/>
                <w:szCs w:val="24"/>
                <w:lang w:eastAsia="ru-RU"/>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14:paraId="7B79685D" w14:textId="77777777" w:rsidR="00D03A4F" w:rsidRPr="00AC2D6D" w:rsidRDefault="003D52AE" w:rsidP="00D03A4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2569533,8</w:t>
            </w:r>
          </w:p>
        </w:tc>
      </w:tr>
      <w:tr w:rsidR="00D03A4F" w:rsidRPr="00D03A4F" w14:paraId="04C869CA" w14:textId="77777777" w:rsidTr="00B51269">
        <w:tblPrEx>
          <w:tblCellMar>
            <w:left w:w="107" w:type="dxa"/>
            <w:right w:w="107" w:type="dxa"/>
          </w:tblCellMar>
        </w:tblPrEx>
        <w:trPr>
          <w:cantSplit/>
        </w:trPr>
        <w:tc>
          <w:tcPr>
            <w:tcW w:w="9073" w:type="dxa"/>
            <w:tcBorders>
              <w:top w:val="single" w:sz="4" w:space="0" w:color="808080"/>
              <w:left w:val="single" w:sz="4" w:space="0" w:color="000000"/>
              <w:bottom w:val="single" w:sz="4" w:space="0" w:color="000000"/>
              <w:right w:val="single" w:sz="4" w:space="0" w:color="000000"/>
            </w:tcBorders>
            <w:vAlign w:val="bottom"/>
          </w:tcPr>
          <w:p w14:paraId="1E8AADE4" w14:textId="77777777" w:rsidR="00D03A4F" w:rsidRPr="00AC2D6D" w:rsidRDefault="00313CEB" w:rsidP="00D03A4F">
            <w:pPr>
              <w:spacing w:after="0" w:line="240" w:lineRule="auto"/>
              <w:ind w:left="1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них:</w:t>
            </w:r>
          </w:p>
          <w:p w14:paraId="493DD3A0" w14:textId="77777777" w:rsidR="00D03A4F" w:rsidRPr="00AC2D6D" w:rsidRDefault="00D03A4F" w:rsidP="00DF74AE">
            <w:pPr>
              <w:spacing w:after="0" w:line="240" w:lineRule="auto"/>
              <w:ind w:left="170"/>
              <w:rPr>
                <w:rFonts w:ascii="Times New Roman" w:eastAsia="Times New Roman" w:hAnsi="Times New Roman" w:cs="Times New Roman"/>
                <w:sz w:val="24"/>
                <w:szCs w:val="24"/>
                <w:lang w:eastAsia="ru-RU"/>
              </w:rPr>
            </w:pPr>
            <w:r w:rsidRPr="00AC2D6D">
              <w:rPr>
                <w:rFonts w:ascii="Times New Roman" w:eastAsia="Times New Roman" w:hAnsi="Times New Roman" w:cs="Times New Roman"/>
                <w:sz w:val="24"/>
                <w:szCs w:val="24"/>
                <w:lang w:eastAsia="ru-RU"/>
              </w:rPr>
              <w:t xml:space="preserve">межбюджетные трансферты </w:t>
            </w:r>
            <w:r w:rsidR="00826947">
              <w:rPr>
                <w:rFonts w:ascii="Times New Roman" w:eastAsia="Times New Roman" w:hAnsi="Times New Roman" w:cs="Times New Roman"/>
                <w:sz w:val="24"/>
                <w:szCs w:val="24"/>
                <w:lang w:eastAsia="ru-RU"/>
              </w:rPr>
              <w:t xml:space="preserve">из бюджета </w:t>
            </w:r>
            <w:r w:rsidR="00DF74AE">
              <w:rPr>
                <w:rFonts w:ascii="Times New Roman" w:eastAsia="Times New Roman" w:hAnsi="Times New Roman" w:cs="Times New Roman"/>
                <w:sz w:val="24"/>
                <w:szCs w:val="24"/>
                <w:lang w:eastAsia="ru-RU"/>
              </w:rPr>
              <w:t>Федерального фонда ОМС</w:t>
            </w:r>
            <w:r w:rsidR="00117284">
              <w:rPr>
                <w:rFonts w:ascii="Times New Roman" w:eastAsia="Times New Roman" w:hAnsi="Times New Roman" w:cs="Times New Roman"/>
                <w:sz w:val="24"/>
                <w:szCs w:val="24"/>
                <w:lang w:eastAsia="ru-RU"/>
              </w:rPr>
              <w:t xml:space="preserve"> </w:t>
            </w:r>
            <w:r w:rsidRPr="00AC2D6D">
              <w:rPr>
                <w:rFonts w:ascii="Times New Roman" w:eastAsia="Times New Roman" w:hAnsi="Times New Roman" w:cs="Times New Roman"/>
                <w:sz w:val="24"/>
                <w:szCs w:val="24"/>
                <w:lang w:eastAsia="ru-RU"/>
              </w:rPr>
              <w:t>в бюджет Фонда социального страхования Российской Федерации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center"/>
          </w:tcPr>
          <w:p w14:paraId="63EC8C1F" w14:textId="77777777" w:rsidR="00D03A4F" w:rsidRPr="00D03A4F" w:rsidRDefault="003D52AE" w:rsidP="003D52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13324,2</w:t>
            </w:r>
          </w:p>
        </w:tc>
      </w:tr>
    </w:tbl>
    <w:p w14:paraId="178F2CC6" w14:textId="77777777" w:rsidR="00D03A4F" w:rsidRPr="00A371E6" w:rsidRDefault="00A371E6" w:rsidP="00A371E6">
      <w:pPr>
        <w:spacing w:before="120" w:after="0" w:line="240" w:lineRule="auto"/>
        <w:jc w:val="both"/>
        <w:rPr>
          <w:rFonts w:ascii="Times New Roman" w:eastAsia="Times New Roman" w:hAnsi="Times New Roman" w:cs="Times New Roman"/>
          <w:lang w:eastAsia="ru-RU"/>
        </w:rPr>
      </w:pPr>
      <w:r w:rsidRPr="00A371E6">
        <w:rPr>
          <w:rFonts w:ascii="Times New Roman" w:eastAsia="Times New Roman" w:hAnsi="Times New Roman" w:cs="Times New Roman"/>
          <w:lang w:eastAsia="ru-RU"/>
        </w:rPr>
        <w:t>1) По данным Пенсионного фонда Российской Федерации.</w:t>
      </w:r>
    </w:p>
    <w:p w14:paraId="6AB558DB" w14:textId="77777777" w:rsidR="00A371E6" w:rsidRPr="00A371E6" w:rsidRDefault="00A371E6" w:rsidP="00A371E6">
      <w:pPr>
        <w:spacing w:after="0" w:line="240" w:lineRule="auto"/>
        <w:jc w:val="both"/>
        <w:rPr>
          <w:rFonts w:ascii="Times New Roman" w:eastAsia="Times New Roman" w:hAnsi="Times New Roman" w:cs="Times New Roman"/>
          <w:lang w:eastAsia="ru-RU"/>
        </w:rPr>
      </w:pPr>
      <w:r w:rsidRPr="00A371E6">
        <w:rPr>
          <w:rFonts w:ascii="Times New Roman" w:eastAsia="Times New Roman" w:hAnsi="Times New Roman" w:cs="Times New Roman"/>
          <w:lang w:eastAsia="ru-RU"/>
        </w:rPr>
        <w:t>2) По данным Федерального казначейства.</w:t>
      </w:r>
    </w:p>
    <w:p w14:paraId="4A1EBADA" w14:textId="77777777" w:rsidR="004F2243" w:rsidRDefault="004F2243" w:rsidP="00564429">
      <w:pPr>
        <w:spacing w:after="0" w:line="240" w:lineRule="auto"/>
        <w:jc w:val="center"/>
        <w:rPr>
          <w:rFonts w:ascii="Times New Roman" w:hAnsi="Times New Roman" w:cs="Times New Roman"/>
          <w:color w:val="808080"/>
          <w:sz w:val="28"/>
          <w:szCs w:val="28"/>
        </w:rPr>
      </w:pPr>
    </w:p>
    <w:p w14:paraId="17F30940" w14:textId="77777777" w:rsidR="00B332A5" w:rsidRDefault="00B332A5" w:rsidP="00564429">
      <w:pPr>
        <w:spacing w:after="0" w:line="240" w:lineRule="auto"/>
        <w:jc w:val="center"/>
        <w:rPr>
          <w:rFonts w:ascii="Times New Roman" w:hAnsi="Times New Roman" w:cs="Times New Roman"/>
          <w:color w:val="808080"/>
          <w:sz w:val="28"/>
          <w:szCs w:val="28"/>
        </w:rPr>
      </w:pPr>
    </w:p>
    <w:sectPr w:rsidR="00B332A5" w:rsidSect="00B51269">
      <w:pgSz w:w="11906" w:h="16838"/>
      <w:pgMar w:top="851" w:right="567" w:bottom="851"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8973A" w14:textId="77777777" w:rsidR="001E0E7D" w:rsidRDefault="001E0E7D" w:rsidP="00466B1C">
      <w:pPr>
        <w:spacing w:after="0" w:line="240" w:lineRule="auto"/>
      </w:pPr>
      <w:r>
        <w:separator/>
      </w:r>
    </w:p>
  </w:endnote>
  <w:endnote w:type="continuationSeparator" w:id="0">
    <w:p w14:paraId="1A53B2A3" w14:textId="77777777" w:rsidR="001E0E7D" w:rsidRDefault="001E0E7D" w:rsidP="00466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panose1 w:val="00000000000000000000"/>
    <w:charset w:val="00"/>
    <w:family w:val="roman"/>
    <w:notTrueType/>
    <w:pitch w:val="default"/>
  </w:font>
  <w:font w:name="CordiaUPC">
    <w:charset w:val="00"/>
    <w:family w:val="swiss"/>
    <w:pitch w:val="variable"/>
    <w:sig w:usb0="81000003" w:usb1="00000000" w:usb2="00000000" w:usb3="00000000" w:csb0="00010001" w:csb1="00000000"/>
  </w:font>
  <w:font w:name="Arial Black">
    <w:panose1 w:val="020B0A04020102020204"/>
    <w:charset w:val="CC"/>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roman"/>
    <w:pitch w:val="default"/>
  </w:font>
  <w:font w:name="PragmaticaC">
    <w:altName w:val="Courier New"/>
    <w:panose1 w:val="00000000000000000000"/>
    <w:charset w:val="CC"/>
    <w:family w:val="decorative"/>
    <w:notTrueType/>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PT Astra Serif">
    <w:altName w:val="Times New Roman"/>
    <w:charset w:val="00"/>
    <w:family w:val="roman"/>
    <w:pitch w:val="variable"/>
  </w:font>
  <w:font w:name="Source Han Sans CN Regular">
    <w:altName w:val="Times New Roman"/>
    <w:charset w:val="00"/>
    <w:family w:val="auto"/>
    <w:pitch w:val="variable"/>
  </w:font>
  <w:font w:name="Lohit Devanagari">
    <w:altName w:val="Times New Roman"/>
    <w:charset w:val="00"/>
    <w:family w:val="auto"/>
    <w:pitch w:val="variable"/>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56604"/>
      <w:docPartObj>
        <w:docPartGallery w:val="Page Numbers (Bottom of Page)"/>
        <w:docPartUnique/>
      </w:docPartObj>
    </w:sdtPr>
    <w:sdtEndPr>
      <w:rPr>
        <w:rFonts w:ascii="Times New Roman" w:hAnsi="Times New Roman" w:cs="Times New Roman"/>
      </w:rPr>
    </w:sdtEndPr>
    <w:sdtContent>
      <w:p w14:paraId="7C6DE305" w14:textId="77777777" w:rsidR="001E0E7D" w:rsidRPr="00944CB1" w:rsidRDefault="001E0E7D" w:rsidP="00944CB1">
        <w:pPr>
          <w:pStyle w:val="a8"/>
          <w:jc w:val="center"/>
          <w:rPr>
            <w:rFonts w:ascii="Times New Roman" w:hAnsi="Times New Roman" w:cs="Times New Roman"/>
          </w:rPr>
        </w:pPr>
        <w:r w:rsidRPr="00D03A4F">
          <w:rPr>
            <w:rFonts w:ascii="Times New Roman" w:hAnsi="Times New Roman" w:cs="Times New Roman"/>
            <w:noProof/>
          </w:rPr>
          <w:fldChar w:fldCharType="begin"/>
        </w:r>
        <w:r w:rsidRPr="00D03A4F">
          <w:rPr>
            <w:rFonts w:ascii="Times New Roman" w:hAnsi="Times New Roman" w:cs="Times New Roman"/>
            <w:noProof/>
          </w:rPr>
          <w:instrText>PAGE   \* MERGEFORMAT</w:instrText>
        </w:r>
        <w:r w:rsidRPr="00D03A4F">
          <w:rPr>
            <w:rFonts w:ascii="Times New Roman" w:hAnsi="Times New Roman" w:cs="Times New Roman"/>
            <w:noProof/>
          </w:rPr>
          <w:fldChar w:fldCharType="separate"/>
        </w:r>
        <w:r w:rsidR="002546A4">
          <w:rPr>
            <w:rFonts w:ascii="Times New Roman" w:hAnsi="Times New Roman" w:cs="Times New Roman"/>
            <w:noProof/>
          </w:rPr>
          <w:t>251</w:t>
        </w:r>
        <w:r w:rsidRPr="00D03A4F">
          <w:rPr>
            <w:rFonts w:ascii="Times New Roman" w:hAnsi="Times New Roman"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D1A7B" w14:textId="77777777" w:rsidR="001E0E7D" w:rsidRDefault="001E0E7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716529"/>
      <w:docPartObj>
        <w:docPartGallery w:val="Page Numbers (Bottom of Page)"/>
        <w:docPartUnique/>
      </w:docPartObj>
    </w:sdtPr>
    <w:sdtEndPr>
      <w:rPr>
        <w:rFonts w:ascii="Times New Roman" w:hAnsi="Times New Roman" w:cs="Times New Roman"/>
      </w:rPr>
    </w:sdtEndPr>
    <w:sdtContent>
      <w:p w14:paraId="315BD5B2" w14:textId="77777777" w:rsidR="001E0E7D" w:rsidRPr="00675542" w:rsidRDefault="001E0E7D">
        <w:pPr>
          <w:pStyle w:val="a8"/>
          <w:jc w:val="center"/>
          <w:rPr>
            <w:rFonts w:ascii="Times New Roman" w:hAnsi="Times New Roman" w:cs="Times New Roman"/>
          </w:rPr>
        </w:pPr>
        <w:r w:rsidRPr="00675542">
          <w:rPr>
            <w:rFonts w:ascii="Times New Roman" w:hAnsi="Times New Roman" w:cs="Times New Roman"/>
          </w:rPr>
          <w:fldChar w:fldCharType="begin"/>
        </w:r>
        <w:r w:rsidRPr="00675542">
          <w:rPr>
            <w:rFonts w:ascii="Times New Roman" w:hAnsi="Times New Roman" w:cs="Times New Roman"/>
          </w:rPr>
          <w:instrText>PAGE   \* MERGEFORMAT</w:instrText>
        </w:r>
        <w:r w:rsidRPr="00675542">
          <w:rPr>
            <w:rFonts w:ascii="Times New Roman" w:hAnsi="Times New Roman" w:cs="Times New Roman"/>
          </w:rPr>
          <w:fldChar w:fldCharType="separate"/>
        </w:r>
        <w:r w:rsidR="002546A4">
          <w:rPr>
            <w:rFonts w:ascii="Times New Roman" w:hAnsi="Times New Roman" w:cs="Times New Roman"/>
            <w:noProof/>
          </w:rPr>
          <w:t>439</w:t>
        </w:r>
        <w:r w:rsidRPr="00675542">
          <w:rPr>
            <w:rFonts w:ascii="Times New Roman" w:hAnsi="Times New Roman" w:cs="Times New Roman"/>
          </w:rPr>
          <w:fldChar w:fldCharType="end"/>
        </w:r>
      </w:p>
    </w:sdtContent>
  </w:sdt>
  <w:p w14:paraId="2B21C8C9" w14:textId="77777777" w:rsidR="001E0E7D" w:rsidRPr="002D64D5" w:rsidRDefault="001E0E7D">
    <w:pPr>
      <w:pStyle w:val="a8"/>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664370"/>
      <w:docPartObj>
        <w:docPartGallery w:val="Page Numbers (Bottom of Page)"/>
        <w:docPartUnique/>
      </w:docPartObj>
    </w:sdtPr>
    <w:sdtEndPr>
      <w:rPr>
        <w:rFonts w:ascii="Times New Roman" w:hAnsi="Times New Roman" w:cs="Times New Roman"/>
      </w:rPr>
    </w:sdtEndPr>
    <w:sdtContent>
      <w:p w14:paraId="262E48BA" w14:textId="77777777" w:rsidR="001E0E7D" w:rsidRPr="00675542" w:rsidRDefault="001E0E7D">
        <w:pPr>
          <w:pStyle w:val="a8"/>
          <w:jc w:val="center"/>
          <w:rPr>
            <w:rFonts w:ascii="Times New Roman" w:hAnsi="Times New Roman" w:cs="Times New Roman"/>
          </w:rPr>
        </w:pPr>
        <w:r w:rsidRPr="00675542">
          <w:rPr>
            <w:rFonts w:ascii="Times New Roman" w:hAnsi="Times New Roman" w:cs="Times New Roman"/>
          </w:rPr>
          <w:fldChar w:fldCharType="begin"/>
        </w:r>
        <w:r w:rsidRPr="00675542">
          <w:rPr>
            <w:rFonts w:ascii="Times New Roman" w:hAnsi="Times New Roman" w:cs="Times New Roman"/>
          </w:rPr>
          <w:instrText>PAGE   \* MERGEFORMAT</w:instrText>
        </w:r>
        <w:r w:rsidRPr="00675542">
          <w:rPr>
            <w:rFonts w:ascii="Times New Roman" w:hAnsi="Times New Roman" w:cs="Times New Roman"/>
          </w:rPr>
          <w:fldChar w:fldCharType="separate"/>
        </w:r>
        <w:r w:rsidR="002546A4">
          <w:rPr>
            <w:rFonts w:ascii="Times New Roman" w:hAnsi="Times New Roman" w:cs="Times New Roman"/>
            <w:noProof/>
          </w:rPr>
          <w:t>444</w:t>
        </w:r>
        <w:r w:rsidRPr="00675542">
          <w:rPr>
            <w:rFonts w:ascii="Times New Roman" w:hAnsi="Times New Roman" w:cs="Times New Roman"/>
          </w:rPr>
          <w:fldChar w:fldCharType="end"/>
        </w:r>
      </w:p>
    </w:sdtContent>
  </w:sdt>
  <w:p w14:paraId="58A8DBCA" w14:textId="77777777" w:rsidR="001E0E7D" w:rsidRDefault="001E0E7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7D2AE" w14:textId="77777777" w:rsidR="001E0E7D" w:rsidRDefault="001E0E7D" w:rsidP="00466B1C">
      <w:pPr>
        <w:spacing w:after="0" w:line="240" w:lineRule="auto"/>
      </w:pPr>
      <w:r>
        <w:separator/>
      </w:r>
    </w:p>
  </w:footnote>
  <w:footnote w:type="continuationSeparator" w:id="0">
    <w:p w14:paraId="15BE5392" w14:textId="77777777" w:rsidR="001E0E7D" w:rsidRDefault="001E0E7D" w:rsidP="00466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CAFBE" w14:textId="77777777" w:rsidR="001E0E7D" w:rsidRPr="00944CB1" w:rsidRDefault="001E0E7D" w:rsidP="00944CB1">
    <w:pPr>
      <w:pStyle w:val="a6"/>
      <w:jc w:val="cent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16970" w14:textId="77777777" w:rsidR="001E0E7D" w:rsidRDefault="001E0E7D" w:rsidP="00944CB1">
    <w:pPr>
      <w:pStyle w:val="a6"/>
      <w:framePr w:wrap="around" w:vAnchor="text" w:hAnchor="margin" w:xAlign="center" w:y="1"/>
      <w:rPr>
        <w:rStyle w:val="afffc"/>
      </w:rPr>
    </w:pPr>
    <w:r>
      <w:rPr>
        <w:rStyle w:val="afffc"/>
      </w:rPr>
      <w:fldChar w:fldCharType="begin"/>
    </w:r>
    <w:r>
      <w:rPr>
        <w:rStyle w:val="afffc"/>
      </w:rPr>
      <w:instrText xml:space="preserve">PAGE  </w:instrText>
    </w:r>
    <w:r>
      <w:rPr>
        <w:rStyle w:val="afffc"/>
      </w:rPr>
      <w:fldChar w:fldCharType="end"/>
    </w:r>
  </w:p>
  <w:p w14:paraId="60C6B89D" w14:textId="77777777" w:rsidR="001E0E7D" w:rsidRDefault="001E0E7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290A0" w14:textId="77777777" w:rsidR="001E0E7D" w:rsidRDefault="001E0E7D">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6F6FC" w14:textId="77777777" w:rsidR="001E0E7D" w:rsidRDefault="001E0E7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211" w:hanging="360"/>
      </w:pPr>
    </w:lvl>
    <w:lvl w:ilvl="1">
      <w:start w:val="1"/>
      <w:numFmt w:val="decimal"/>
      <w:lvlText w:val="%1.%2."/>
      <w:lvlJc w:val="left"/>
      <w:pPr>
        <w:tabs>
          <w:tab w:val="num" w:pos="0"/>
        </w:tabs>
        <w:ind w:left="1571" w:hanging="720"/>
      </w:pPr>
    </w:lvl>
    <w:lvl w:ilvl="2">
      <w:start w:val="1"/>
      <w:numFmt w:val="decimal"/>
      <w:lvlText w:val="%1.%2.%3."/>
      <w:lvlJc w:val="left"/>
      <w:pPr>
        <w:tabs>
          <w:tab w:val="num" w:pos="0"/>
        </w:tabs>
        <w:ind w:left="1571" w:hanging="720"/>
      </w:pPr>
    </w:lvl>
    <w:lvl w:ilvl="3">
      <w:start w:val="1"/>
      <w:numFmt w:val="decimal"/>
      <w:lvlText w:val="%1.%2.%3.%4."/>
      <w:lvlJc w:val="left"/>
      <w:pPr>
        <w:tabs>
          <w:tab w:val="num" w:pos="0"/>
        </w:tabs>
        <w:ind w:left="1931" w:hanging="1080"/>
      </w:pPr>
    </w:lvl>
    <w:lvl w:ilvl="4">
      <w:start w:val="1"/>
      <w:numFmt w:val="decimal"/>
      <w:lvlText w:val="%1.%2.%3.%4.%5."/>
      <w:lvlJc w:val="left"/>
      <w:pPr>
        <w:tabs>
          <w:tab w:val="num" w:pos="0"/>
        </w:tabs>
        <w:ind w:left="1931" w:hanging="1080"/>
      </w:pPr>
    </w:lvl>
    <w:lvl w:ilvl="5">
      <w:start w:val="1"/>
      <w:numFmt w:val="decimal"/>
      <w:lvlText w:val="%1.%2.%3.%4.%5.%6."/>
      <w:lvlJc w:val="left"/>
      <w:pPr>
        <w:tabs>
          <w:tab w:val="num" w:pos="0"/>
        </w:tabs>
        <w:ind w:left="2291" w:hanging="1440"/>
      </w:pPr>
    </w:lvl>
    <w:lvl w:ilvl="6">
      <w:start w:val="1"/>
      <w:numFmt w:val="decimal"/>
      <w:lvlText w:val="%1.%2.%3.%4.%5.%6.%7."/>
      <w:lvlJc w:val="left"/>
      <w:pPr>
        <w:tabs>
          <w:tab w:val="num" w:pos="0"/>
        </w:tabs>
        <w:ind w:left="2651" w:hanging="1800"/>
      </w:pPr>
    </w:lvl>
    <w:lvl w:ilvl="7">
      <w:start w:val="1"/>
      <w:numFmt w:val="decimal"/>
      <w:lvlText w:val="%1.%2.%3.%4.%5.%6.%7.%8."/>
      <w:lvlJc w:val="left"/>
      <w:pPr>
        <w:tabs>
          <w:tab w:val="num" w:pos="0"/>
        </w:tabs>
        <w:ind w:left="2651" w:hanging="1800"/>
      </w:pPr>
    </w:lvl>
    <w:lvl w:ilvl="8">
      <w:start w:val="1"/>
      <w:numFmt w:val="decimal"/>
      <w:lvlText w:val="%1.%2.%3.%4.%5.%6.%7.%8.%9."/>
      <w:lvlJc w:val="left"/>
      <w:pPr>
        <w:tabs>
          <w:tab w:val="num" w:pos="0"/>
        </w:tabs>
        <w:ind w:left="3011" w:hanging="2160"/>
      </w:pPr>
    </w:lvl>
  </w:abstractNum>
  <w:abstractNum w:abstractNumId="2" w15:restartNumberingAfterBreak="0">
    <w:nsid w:val="02C15190"/>
    <w:multiLevelType w:val="hybridMultilevel"/>
    <w:tmpl w:val="A1D88436"/>
    <w:lvl w:ilvl="0" w:tplc="17B8336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4474606"/>
    <w:multiLevelType w:val="hybridMultilevel"/>
    <w:tmpl w:val="FEB8826E"/>
    <w:lvl w:ilvl="0" w:tplc="44C81C0A">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5C7D58"/>
    <w:multiLevelType w:val="hybridMultilevel"/>
    <w:tmpl w:val="EDEAE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122C60"/>
    <w:multiLevelType w:val="hybridMultilevel"/>
    <w:tmpl w:val="506CC9EC"/>
    <w:lvl w:ilvl="0" w:tplc="ADDA2AFA">
      <w:start w:val="1"/>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534306"/>
    <w:multiLevelType w:val="hybridMultilevel"/>
    <w:tmpl w:val="117E5906"/>
    <w:lvl w:ilvl="0" w:tplc="0FE294CE">
      <w:start w:val="1"/>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555666"/>
    <w:multiLevelType w:val="hybridMultilevel"/>
    <w:tmpl w:val="D23601AA"/>
    <w:lvl w:ilvl="0" w:tplc="144048E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0C4928"/>
    <w:multiLevelType w:val="multilevel"/>
    <w:tmpl w:val="8482F6BA"/>
    <w:lvl w:ilvl="0">
      <w:start w:val="1"/>
      <w:numFmt w:val="decimal"/>
      <w:lvlText w:val="5.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7C0C49"/>
    <w:multiLevelType w:val="hybridMultilevel"/>
    <w:tmpl w:val="E0688E98"/>
    <w:lvl w:ilvl="0" w:tplc="44C81C0A">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AC2D0E"/>
    <w:multiLevelType w:val="hybridMultilevel"/>
    <w:tmpl w:val="DB0E4DD8"/>
    <w:lvl w:ilvl="0" w:tplc="D444D230">
      <w:start w:val="1"/>
      <w:numFmt w:val="decimal"/>
      <w:lvlText w:val="%1)"/>
      <w:lvlJc w:val="left"/>
      <w:pPr>
        <w:ind w:left="720" w:hanging="360"/>
      </w:pPr>
      <w:rPr>
        <w:rFonts w:eastAsiaTheme="minorEastAsia"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A97DFB"/>
    <w:multiLevelType w:val="hybridMultilevel"/>
    <w:tmpl w:val="CA3E5B1A"/>
    <w:lvl w:ilvl="0" w:tplc="909AD31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CF033B3"/>
    <w:multiLevelType w:val="multilevel"/>
    <w:tmpl w:val="2FEE402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680AFC"/>
    <w:multiLevelType w:val="hybridMultilevel"/>
    <w:tmpl w:val="FEB8826E"/>
    <w:lvl w:ilvl="0" w:tplc="44C81C0A">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0342DB"/>
    <w:multiLevelType w:val="hybridMultilevel"/>
    <w:tmpl w:val="29B8BE8C"/>
    <w:lvl w:ilvl="0" w:tplc="36D86508">
      <w:start w:val="1"/>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D02899"/>
    <w:multiLevelType w:val="hybridMultilevel"/>
    <w:tmpl w:val="81DC4F88"/>
    <w:lvl w:ilvl="0" w:tplc="78A6D89C">
      <w:start w:val="1"/>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421EC8"/>
    <w:multiLevelType w:val="multilevel"/>
    <w:tmpl w:val="C68EC2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355F9E"/>
    <w:multiLevelType w:val="hybridMultilevel"/>
    <w:tmpl w:val="5DE8E584"/>
    <w:lvl w:ilvl="0" w:tplc="9EBE6010">
      <w:start w:val="1"/>
      <w:numFmt w:val="decimal"/>
      <w:lvlText w:val="%1)"/>
      <w:lvlJc w:val="left"/>
      <w:pPr>
        <w:ind w:left="749" w:hanging="465"/>
      </w:pPr>
      <w:rPr>
        <w:rFonts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52EE392F"/>
    <w:multiLevelType w:val="hybridMultilevel"/>
    <w:tmpl w:val="0186E16C"/>
    <w:lvl w:ilvl="0" w:tplc="909AD310">
      <w:start w:val="1"/>
      <w:numFmt w:val="decimal"/>
      <w:lvlText w:val="%1."/>
      <w:lvlJc w:val="left"/>
      <w:pPr>
        <w:ind w:left="1713"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15:restartNumberingAfterBreak="0">
    <w:nsid w:val="55490857"/>
    <w:multiLevelType w:val="hybridMultilevel"/>
    <w:tmpl w:val="27AC75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A1066DD"/>
    <w:multiLevelType w:val="multilevel"/>
    <w:tmpl w:val="115E80C6"/>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AEF3F96"/>
    <w:multiLevelType w:val="hybridMultilevel"/>
    <w:tmpl w:val="1C320634"/>
    <w:lvl w:ilvl="0" w:tplc="9D14A308">
      <w:start w:val="1"/>
      <w:numFmt w:val="decimal"/>
      <w:lvlText w:val="%1)"/>
      <w:lvlJc w:val="left"/>
      <w:pPr>
        <w:ind w:left="1616" w:hanging="936"/>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3" w15:restartNumberingAfterBreak="0">
    <w:nsid w:val="5CC361E3"/>
    <w:multiLevelType w:val="hybridMultilevel"/>
    <w:tmpl w:val="F572D5F2"/>
    <w:lvl w:ilvl="0" w:tplc="CB7248A0">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BA0D39"/>
    <w:multiLevelType w:val="hybridMultilevel"/>
    <w:tmpl w:val="F3FA81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1A65B80"/>
    <w:multiLevelType w:val="multilevel"/>
    <w:tmpl w:val="088E78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5B60D0"/>
    <w:multiLevelType w:val="hybridMultilevel"/>
    <w:tmpl w:val="A2E4913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A42890"/>
    <w:multiLevelType w:val="multilevel"/>
    <w:tmpl w:val="AAEA85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5AC563E"/>
    <w:multiLevelType w:val="hybridMultilevel"/>
    <w:tmpl w:val="B8787052"/>
    <w:lvl w:ilvl="0" w:tplc="83584E78">
      <w:start w:val="1"/>
      <w:numFmt w:val="decimal"/>
      <w:lvlText w:val="%1."/>
      <w:lvlJc w:val="left"/>
      <w:pPr>
        <w:ind w:left="644" w:hanging="360"/>
      </w:pPr>
      <w:rPr>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15:restartNumberingAfterBreak="0">
    <w:nsid w:val="67EB701F"/>
    <w:multiLevelType w:val="multilevel"/>
    <w:tmpl w:val="44E20E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977539E"/>
    <w:multiLevelType w:val="multilevel"/>
    <w:tmpl w:val="136EB5AA"/>
    <w:lvl w:ilvl="0">
      <w:start w:val="3"/>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9CA41F3"/>
    <w:multiLevelType w:val="multilevel"/>
    <w:tmpl w:val="8A5C5556"/>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AD82DB1"/>
    <w:multiLevelType w:val="hybridMultilevel"/>
    <w:tmpl w:val="3D6844F4"/>
    <w:lvl w:ilvl="0" w:tplc="144048E6">
      <w:start w:val="1"/>
      <w:numFmt w:val="decimal"/>
      <w:lvlText w:val="%1."/>
      <w:lvlJc w:val="left"/>
      <w:pPr>
        <w:ind w:left="1070"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5F6374D"/>
    <w:multiLevelType w:val="multilevel"/>
    <w:tmpl w:val="AC3C0CD8"/>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9"/>
  </w:num>
  <w:num w:numId="4">
    <w:abstractNumId w:val="7"/>
  </w:num>
  <w:num w:numId="5">
    <w:abstractNumId w:val="32"/>
  </w:num>
  <w:num w:numId="6">
    <w:abstractNumId w:val="10"/>
  </w:num>
  <w:num w:numId="7">
    <w:abstractNumId w:val="30"/>
  </w:num>
  <w:num w:numId="8">
    <w:abstractNumId w:val="21"/>
  </w:num>
  <w:num w:numId="9">
    <w:abstractNumId w:val="25"/>
  </w:num>
  <w:num w:numId="10">
    <w:abstractNumId w:val="16"/>
  </w:num>
  <w:num w:numId="11">
    <w:abstractNumId w:val="18"/>
  </w:num>
  <w:num w:numId="12">
    <w:abstractNumId w:val="14"/>
  </w:num>
  <w:num w:numId="13">
    <w:abstractNumId w:val="12"/>
  </w:num>
  <w:num w:numId="14">
    <w:abstractNumId w:val="31"/>
  </w:num>
  <w:num w:numId="15">
    <w:abstractNumId w:val="8"/>
  </w:num>
  <w:num w:numId="16">
    <w:abstractNumId w:val="27"/>
  </w:num>
  <w:num w:numId="17">
    <w:abstractNumId w:val="22"/>
  </w:num>
  <w:num w:numId="18">
    <w:abstractNumId w:val="17"/>
  </w:num>
  <w:num w:numId="19">
    <w:abstractNumId w:val="0"/>
  </w:num>
  <w:num w:numId="20">
    <w:abstractNumId w:val="33"/>
  </w:num>
  <w:num w:numId="21">
    <w:abstractNumId w:val="29"/>
  </w:num>
  <w:num w:numId="22">
    <w:abstractNumId w:val="28"/>
  </w:num>
  <w:num w:numId="23">
    <w:abstractNumId w:val="2"/>
  </w:num>
  <w:num w:numId="24">
    <w:abstractNumId w:val="9"/>
  </w:num>
  <w:num w:numId="25">
    <w:abstractNumId w:val="3"/>
  </w:num>
  <w:num w:numId="26">
    <w:abstractNumId w:val="13"/>
  </w:num>
  <w:num w:numId="27">
    <w:abstractNumId w:val="4"/>
  </w:num>
  <w:num w:numId="28">
    <w:abstractNumId w:val="23"/>
  </w:num>
  <w:num w:numId="29">
    <w:abstractNumId w:val="24"/>
  </w:num>
  <w:num w:numId="30">
    <w:abstractNumId w:val="11"/>
  </w:num>
  <w:num w:numId="31">
    <w:abstractNumId w:val="26"/>
  </w:num>
  <w:num w:numId="32">
    <w:abstractNumId w:val="5"/>
  </w:num>
  <w:num w:numId="33">
    <w:abstractNumId w:val="6"/>
  </w:num>
  <w:num w:numId="34">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28"/>
    <w:rsid w:val="000030F5"/>
    <w:rsid w:val="0000356F"/>
    <w:rsid w:val="00003640"/>
    <w:rsid w:val="00003695"/>
    <w:rsid w:val="000042F9"/>
    <w:rsid w:val="000043A5"/>
    <w:rsid w:val="00004E37"/>
    <w:rsid w:val="00004EFC"/>
    <w:rsid w:val="0000510A"/>
    <w:rsid w:val="0000640B"/>
    <w:rsid w:val="00006DF3"/>
    <w:rsid w:val="00006FBF"/>
    <w:rsid w:val="00010402"/>
    <w:rsid w:val="00010D84"/>
    <w:rsid w:val="00011403"/>
    <w:rsid w:val="00011430"/>
    <w:rsid w:val="00011C9C"/>
    <w:rsid w:val="00011CE3"/>
    <w:rsid w:val="000121EC"/>
    <w:rsid w:val="00012619"/>
    <w:rsid w:val="00012ECF"/>
    <w:rsid w:val="00012F85"/>
    <w:rsid w:val="000132DF"/>
    <w:rsid w:val="00013524"/>
    <w:rsid w:val="00013706"/>
    <w:rsid w:val="00013938"/>
    <w:rsid w:val="00013D8F"/>
    <w:rsid w:val="00014BBF"/>
    <w:rsid w:val="000171B8"/>
    <w:rsid w:val="000178B4"/>
    <w:rsid w:val="00021939"/>
    <w:rsid w:val="000239B3"/>
    <w:rsid w:val="00023CA0"/>
    <w:rsid w:val="0002489A"/>
    <w:rsid w:val="000248F7"/>
    <w:rsid w:val="000249F3"/>
    <w:rsid w:val="00024B49"/>
    <w:rsid w:val="000266EA"/>
    <w:rsid w:val="000272D5"/>
    <w:rsid w:val="000274C9"/>
    <w:rsid w:val="00027746"/>
    <w:rsid w:val="00027B8E"/>
    <w:rsid w:val="00027CB9"/>
    <w:rsid w:val="0003068E"/>
    <w:rsid w:val="00033A05"/>
    <w:rsid w:val="00033E06"/>
    <w:rsid w:val="00033EEF"/>
    <w:rsid w:val="000345EB"/>
    <w:rsid w:val="00035F5B"/>
    <w:rsid w:val="000363C9"/>
    <w:rsid w:val="00036C1F"/>
    <w:rsid w:val="0003786E"/>
    <w:rsid w:val="00037D59"/>
    <w:rsid w:val="00040137"/>
    <w:rsid w:val="0004059C"/>
    <w:rsid w:val="00040D79"/>
    <w:rsid w:val="00041330"/>
    <w:rsid w:val="00041F56"/>
    <w:rsid w:val="00043A60"/>
    <w:rsid w:val="000447DE"/>
    <w:rsid w:val="00044BED"/>
    <w:rsid w:val="00045EEF"/>
    <w:rsid w:val="00051462"/>
    <w:rsid w:val="0005203A"/>
    <w:rsid w:val="00052050"/>
    <w:rsid w:val="000521AB"/>
    <w:rsid w:val="000529D4"/>
    <w:rsid w:val="00052F52"/>
    <w:rsid w:val="00052F6C"/>
    <w:rsid w:val="00053B82"/>
    <w:rsid w:val="00053C4E"/>
    <w:rsid w:val="000546D7"/>
    <w:rsid w:val="00054CE9"/>
    <w:rsid w:val="0005529E"/>
    <w:rsid w:val="00055A34"/>
    <w:rsid w:val="00055DD9"/>
    <w:rsid w:val="00055DE7"/>
    <w:rsid w:val="0005691B"/>
    <w:rsid w:val="00056B56"/>
    <w:rsid w:val="000577E5"/>
    <w:rsid w:val="00060513"/>
    <w:rsid w:val="00061B2A"/>
    <w:rsid w:val="00061EEE"/>
    <w:rsid w:val="00062360"/>
    <w:rsid w:val="00063580"/>
    <w:rsid w:val="00064EE1"/>
    <w:rsid w:val="00064EE3"/>
    <w:rsid w:val="000658BF"/>
    <w:rsid w:val="00067DCF"/>
    <w:rsid w:val="00070832"/>
    <w:rsid w:val="00071B6E"/>
    <w:rsid w:val="00071CA4"/>
    <w:rsid w:val="00072A0B"/>
    <w:rsid w:val="000736BB"/>
    <w:rsid w:val="000742B5"/>
    <w:rsid w:val="00074E56"/>
    <w:rsid w:val="00075A6D"/>
    <w:rsid w:val="00075ADD"/>
    <w:rsid w:val="00075CBE"/>
    <w:rsid w:val="00075E6A"/>
    <w:rsid w:val="00076519"/>
    <w:rsid w:val="00077CC7"/>
    <w:rsid w:val="00077EBA"/>
    <w:rsid w:val="00080238"/>
    <w:rsid w:val="00080A85"/>
    <w:rsid w:val="00081376"/>
    <w:rsid w:val="0008152A"/>
    <w:rsid w:val="000824F7"/>
    <w:rsid w:val="00082C5C"/>
    <w:rsid w:val="000845F6"/>
    <w:rsid w:val="00086237"/>
    <w:rsid w:val="00086671"/>
    <w:rsid w:val="00087924"/>
    <w:rsid w:val="00091524"/>
    <w:rsid w:val="00091C65"/>
    <w:rsid w:val="0009297A"/>
    <w:rsid w:val="00093385"/>
    <w:rsid w:val="00093867"/>
    <w:rsid w:val="000938B1"/>
    <w:rsid w:val="00093973"/>
    <w:rsid w:val="0009498F"/>
    <w:rsid w:val="00094A62"/>
    <w:rsid w:val="00094C89"/>
    <w:rsid w:val="00094DAC"/>
    <w:rsid w:val="0009501E"/>
    <w:rsid w:val="0009555C"/>
    <w:rsid w:val="00095600"/>
    <w:rsid w:val="0009637D"/>
    <w:rsid w:val="0009651B"/>
    <w:rsid w:val="000967BD"/>
    <w:rsid w:val="0009733A"/>
    <w:rsid w:val="00097541"/>
    <w:rsid w:val="00097C6C"/>
    <w:rsid w:val="000A0627"/>
    <w:rsid w:val="000A0664"/>
    <w:rsid w:val="000A0E51"/>
    <w:rsid w:val="000A11EF"/>
    <w:rsid w:val="000A135D"/>
    <w:rsid w:val="000A15B3"/>
    <w:rsid w:val="000A27EC"/>
    <w:rsid w:val="000A2A26"/>
    <w:rsid w:val="000A2CB3"/>
    <w:rsid w:val="000A309B"/>
    <w:rsid w:val="000A38CF"/>
    <w:rsid w:val="000A432C"/>
    <w:rsid w:val="000A45DF"/>
    <w:rsid w:val="000A4ADF"/>
    <w:rsid w:val="000A53B3"/>
    <w:rsid w:val="000A5785"/>
    <w:rsid w:val="000A630F"/>
    <w:rsid w:val="000A6B42"/>
    <w:rsid w:val="000A6D9F"/>
    <w:rsid w:val="000A70E5"/>
    <w:rsid w:val="000A7228"/>
    <w:rsid w:val="000A7B4F"/>
    <w:rsid w:val="000B0622"/>
    <w:rsid w:val="000B0F7A"/>
    <w:rsid w:val="000B2694"/>
    <w:rsid w:val="000B2D65"/>
    <w:rsid w:val="000B3338"/>
    <w:rsid w:val="000B5896"/>
    <w:rsid w:val="000B59BE"/>
    <w:rsid w:val="000B5B8C"/>
    <w:rsid w:val="000B5CFA"/>
    <w:rsid w:val="000B69B1"/>
    <w:rsid w:val="000B779E"/>
    <w:rsid w:val="000B7892"/>
    <w:rsid w:val="000C0451"/>
    <w:rsid w:val="000C0637"/>
    <w:rsid w:val="000C0BEC"/>
    <w:rsid w:val="000C10AC"/>
    <w:rsid w:val="000C161A"/>
    <w:rsid w:val="000C2335"/>
    <w:rsid w:val="000C37CE"/>
    <w:rsid w:val="000C383D"/>
    <w:rsid w:val="000C4052"/>
    <w:rsid w:val="000C4B84"/>
    <w:rsid w:val="000C4D6A"/>
    <w:rsid w:val="000C5F4E"/>
    <w:rsid w:val="000C6B31"/>
    <w:rsid w:val="000C7210"/>
    <w:rsid w:val="000C7307"/>
    <w:rsid w:val="000C76B1"/>
    <w:rsid w:val="000D0023"/>
    <w:rsid w:val="000D15A8"/>
    <w:rsid w:val="000D1778"/>
    <w:rsid w:val="000D1A5D"/>
    <w:rsid w:val="000D1F1E"/>
    <w:rsid w:val="000D21DF"/>
    <w:rsid w:val="000D2ACF"/>
    <w:rsid w:val="000D2EC2"/>
    <w:rsid w:val="000D39AB"/>
    <w:rsid w:val="000D3CD6"/>
    <w:rsid w:val="000D47D5"/>
    <w:rsid w:val="000D4F33"/>
    <w:rsid w:val="000D5037"/>
    <w:rsid w:val="000D572E"/>
    <w:rsid w:val="000D7742"/>
    <w:rsid w:val="000D78E3"/>
    <w:rsid w:val="000D79C3"/>
    <w:rsid w:val="000D7C0C"/>
    <w:rsid w:val="000E0326"/>
    <w:rsid w:val="000E09F5"/>
    <w:rsid w:val="000E19CD"/>
    <w:rsid w:val="000E19F3"/>
    <w:rsid w:val="000E2D5B"/>
    <w:rsid w:val="000E31F9"/>
    <w:rsid w:val="000E367B"/>
    <w:rsid w:val="000E3F18"/>
    <w:rsid w:val="000E46B4"/>
    <w:rsid w:val="000E4DBF"/>
    <w:rsid w:val="000E55EB"/>
    <w:rsid w:val="000E576F"/>
    <w:rsid w:val="000E5880"/>
    <w:rsid w:val="000E6611"/>
    <w:rsid w:val="000E7254"/>
    <w:rsid w:val="000F03BF"/>
    <w:rsid w:val="000F1E27"/>
    <w:rsid w:val="000F242D"/>
    <w:rsid w:val="000F2621"/>
    <w:rsid w:val="000F37C9"/>
    <w:rsid w:val="000F3A6B"/>
    <w:rsid w:val="000F3D47"/>
    <w:rsid w:val="000F3F3C"/>
    <w:rsid w:val="000F486A"/>
    <w:rsid w:val="000F5B9C"/>
    <w:rsid w:val="000F5D36"/>
    <w:rsid w:val="000F5EA3"/>
    <w:rsid w:val="000F6335"/>
    <w:rsid w:val="000F6383"/>
    <w:rsid w:val="000F65EA"/>
    <w:rsid w:val="000F6726"/>
    <w:rsid w:val="000F6821"/>
    <w:rsid w:val="000F7705"/>
    <w:rsid w:val="0010107D"/>
    <w:rsid w:val="00101179"/>
    <w:rsid w:val="00101294"/>
    <w:rsid w:val="00101877"/>
    <w:rsid w:val="00102244"/>
    <w:rsid w:val="001025ED"/>
    <w:rsid w:val="0010392F"/>
    <w:rsid w:val="001041A9"/>
    <w:rsid w:val="00104812"/>
    <w:rsid w:val="00104BA1"/>
    <w:rsid w:val="00105027"/>
    <w:rsid w:val="00105BA4"/>
    <w:rsid w:val="0011113F"/>
    <w:rsid w:val="0011187A"/>
    <w:rsid w:val="001119BD"/>
    <w:rsid w:val="00111D17"/>
    <w:rsid w:val="00112988"/>
    <w:rsid w:val="001129D0"/>
    <w:rsid w:val="00113F0E"/>
    <w:rsid w:val="00114215"/>
    <w:rsid w:val="00115322"/>
    <w:rsid w:val="001159A8"/>
    <w:rsid w:val="00115A05"/>
    <w:rsid w:val="00117284"/>
    <w:rsid w:val="00117341"/>
    <w:rsid w:val="0011776E"/>
    <w:rsid w:val="00117CDF"/>
    <w:rsid w:val="00121269"/>
    <w:rsid w:val="0012181F"/>
    <w:rsid w:val="00121E3E"/>
    <w:rsid w:val="0012293D"/>
    <w:rsid w:val="00122A13"/>
    <w:rsid w:val="001236BA"/>
    <w:rsid w:val="00124D7F"/>
    <w:rsid w:val="00126DFD"/>
    <w:rsid w:val="00127E0E"/>
    <w:rsid w:val="00130926"/>
    <w:rsid w:val="00132AA4"/>
    <w:rsid w:val="00134216"/>
    <w:rsid w:val="00134361"/>
    <w:rsid w:val="0013494A"/>
    <w:rsid w:val="00135082"/>
    <w:rsid w:val="0013582D"/>
    <w:rsid w:val="00136161"/>
    <w:rsid w:val="0013667C"/>
    <w:rsid w:val="00136E5A"/>
    <w:rsid w:val="00137C3B"/>
    <w:rsid w:val="00140101"/>
    <w:rsid w:val="001407B4"/>
    <w:rsid w:val="00141CB5"/>
    <w:rsid w:val="001428D8"/>
    <w:rsid w:val="00143490"/>
    <w:rsid w:val="001434E2"/>
    <w:rsid w:val="001434E3"/>
    <w:rsid w:val="001436EF"/>
    <w:rsid w:val="001438B5"/>
    <w:rsid w:val="00144699"/>
    <w:rsid w:val="00146781"/>
    <w:rsid w:val="00146B95"/>
    <w:rsid w:val="00150209"/>
    <w:rsid w:val="001503DB"/>
    <w:rsid w:val="001511BB"/>
    <w:rsid w:val="00152252"/>
    <w:rsid w:val="00153082"/>
    <w:rsid w:val="001532E8"/>
    <w:rsid w:val="0015378C"/>
    <w:rsid w:val="001539A8"/>
    <w:rsid w:val="001539F7"/>
    <w:rsid w:val="00153E7A"/>
    <w:rsid w:val="0015446E"/>
    <w:rsid w:val="001548E9"/>
    <w:rsid w:val="001559CF"/>
    <w:rsid w:val="001572D5"/>
    <w:rsid w:val="001577FA"/>
    <w:rsid w:val="00160F2A"/>
    <w:rsid w:val="001615BE"/>
    <w:rsid w:val="0016435A"/>
    <w:rsid w:val="0016512F"/>
    <w:rsid w:val="001664C5"/>
    <w:rsid w:val="00166DB5"/>
    <w:rsid w:val="00167170"/>
    <w:rsid w:val="00167A45"/>
    <w:rsid w:val="00167F6D"/>
    <w:rsid w:val="00172DFC"/>
    <w:rsid w:val="00172F01"/>
    <w:rsid w:val="00173B53"/>
    <w:rsid w:val="001745C9"/>
    <w:rsid w:val="00174D3F"/>
    <w:rsid w:val="00175198"/>
    <w:rsid w:val="00176AB6"/>
    <w:rsid w:val="00177055"/>
    <w:rsid w:val="00177065"/>
    <w:rsid w:val="00177C92"/>
    <w:rsid w:val="00180AC2"/>
    <w:rsid w:val="00180DCA"/>
    <w:rsid w:val="001815E9"/>
    <w:rsid w:val="00181EAF"/>
    <w:rsid w:val="001833C1"/>
    <w:rsid w:val="0018352D"/>
    <w:rsid w:val="0018362A"/>
    <w:rsid w:val="0018383C"/>
    <w:rsid w:val="001849C3"/>
    <w:rsid w:val="00184FD3"/>
    <w:rsid w:val="00185E22"/>
    <w:rsid w:val="0018600B"/>
    <w:rsid w:val="001860D1"/>
    <w:rsid w:val="001862B6"/>
    <w:rsid w:val="00186818"/>
    <w:rsid w:val="00186852"/>
    <w:rsid w:val="00186DE4"/>
    <w:rsid w:val="00186DE7"/>
    <w:rsid w:val="001875AE"/>
    <w:rsid w:val="00187C5A"/>
    <w:rsid w:val="001903A7"/>
    <w:rsid w:val="0019148E"/>
    <w:rsid w:val="00191F2E"/>
    <w:rsid w:val="00192122"/>
    <w:rsid w:val="0019213A"/>
    <w:rsid w:val="001929E1"/>
    <w:rsid w:val="00193A2C"/>
    <w:rsid w:val="00193D98"/>
    <w:rsid w:val="00193E86"/>
    <w:rsid w:val="00195355"/>
    <w:rsid w:val="001955FD"/>
    <w:rsid w:val="001957D8"/>
    <w:rsid w:val="00197524"/>
    <w:rsid w:val="00197F5C"/>
    <w:rsid w:val="001A0132"/>
    <w:rsid w:val="001A1225"/>
    <w:rsid w:val="001A1A95"/>
    <w:rsid w:val="001A2F89"/>
    <w:rsid w:val="001A368F"/>
    <w:rsid w:val="001A40C6"/>
    <w:rsid w:val="001A472B"/>
    <w:rsid w:val="001A56DF"/>
    <w:rsid w:val="001A5C98"/>
    <w:rsid w:val="001A7230"/>
    <w:rsid w:val="001A741A"/>
    <w:rsid w:val="001A74B6"/>
    <w:rsid w:val="001B085E"/>
    <w:rsid w:val="001B1483"/>
    <w:rsid w:val="001B1857"/>
    <w:rsid w:val="001B24B0"/>
    <w:rsid w:val="001B2B8B"/>
    <w:rsid w:val="001B2D70"/>
    <w:rsid w:val="001B2E06"/>
    <w:rsid w:val="001B31C7"/>
    <w:rsid w:val="001B48CA"/>
    <w:rsid w:val="001B5809"/>
    <w:rsid w:val="001B5B21"/>
    <w:rsid w:val="001B6434"/>
    <w:rsid w:val="001B6656"/>
    <w:rsid w:val="001B6810"/>
    <w:rsid w:val="001B7063"/>
    <w:rsid w:val="001B7437"/>
    <w:rsid w:val="001B7841"/>
    <w:rsid w:val="001B7B06"/>
    <w:rsid w:val="001B7BF2"/>
    <w:rsid w:val="001C0A7C"/>
    <w:rsid w:val="001C0BB0"/>
    <w:rsid w:val="001C1781"/>
    <w:rsid w:val="001C2A3A"/>
    <w:rsid w:val="001C2D2D"/>
    <w:rsid w:val="001C2FA9"/>
    <w:rsid w:val="001C343A"/>
    <w:rsid w:val="001C35F5"/>
    <w:rsid w:val="001C3CCB"/>
    <w:rsid w:val="001C3E3C"/>
    <w:rsid w:val="001C3F10"/>
    <w:rsid w:val="001C53CE"/>
    <w:rsid w:val="001C5712"/>
    <w:rsid w:val="001C5C3F"/>
    <w:rsid w:val="001C5FD8"/>
    <w:rsid w:val="001C6EB1"/>
    <w:rsid w:val="001C72C3"/>
    <w:rsid w:val="001C7370"/>
    <w:rsid w:val="001C74FF"/>
    <w:rsid w:val="001C7669"/>
    <w:rsid w:val="001D0406"/>
    <w:rsid w:val="001D064F"/>
    <w:rsid w:val="001D0FC2"/>
    <w:rsid w:val="001D1BD7"/>
    <w:rsid w:val="001D1D20"/>
    <w:rsid w:val="001D1EC4"/>
    <w:rsid w:val="001D25E2"/>
    <w:rsid w:val="001D2951"/>
    <w:rsid w:val="001D3161"/>
    <w:rsid w:val="001D33F0"/>
    <w:rsid w:val="001D536F"/>
    <w:rsid w:val="001D5981"/>
    <w:rsid w:val="001D638D"/>
    <w:rsid w:val="001D6D99"/>
    <w:rsid w:val="001D70C1"/>
    <w:rsid w:val="001D7BB8"/>
    <w:rsid w:val="001E00AF"/>
    <w:rsid w:val="001E021C"/>
    <w:rsid w:val="001E0E7D"/>
    <w:rsid w:val="001E16C5"/>
    <w:rsid w:val="001E1927"/>
    <w:rsid w:val="001E2C1C"/>
    <w:rsid w:val="001E3524"/>
    <w:rsid w:val="001E3A31"/>
    <w:rsid w:val="001E4755"/>
    <w:rsid w:val="001E4CA4"/>
    <w:rsid w:val="001E4DA9"/>
    <w:rsid w:val="001E4FE6"/>
    <w:rsid w:val="001E5AB7"/>
    <w:rsid w:val="001E5E46"/>
    <w:rsid w:val="001E6C2D"/>
    <w:rsid w:val="001E6F5B"/>
    <w:rsid w:val="001E70DD"/>
    <w:rsid w:val="001E7374"/>
    <w:rsid w:val="001E7C11"/>
    <w:rsid w:val="001E7F6A"/>
    <w:rsid w:val="001F001E"/>
    <w:rsid w:val="001F012D"/>
    <w:rsid w:val="001F0299"/>
    <w:rsid w:val="001F0FAD"/>
    <w:rsid w:val="001F2084"/>
    <w:rsid w:val="001F23B8"/>
    <w:rsid w:val="001F2422"/>
    <w:rsid w:val="001F27DA"/>
    <w:rsid w:val="001F28E4"/>
    <w:rsid w:val="001F3369"/>
    <w:rsid w:val="001F4233"/>
    <w:rsid w:val="001F474F"/>
    <w:rsid w:val="001F5148"/>
    <w:rsid w:val="001F5A0C"/>
    <w:rsid w:val="001F5D8F"/>
    <w:rsid w:val="001F6208"/>
    <w:rsid w:val="001F626D"/>
    <w:rsid w:val="001F738B"/>
    <w:rsid w:val="001F75F9"/>
    <w:rsid w:val="002004B2"/>
    <w:rsid w:val="00200AF2"/>
    <w:rsid w:val="00200DF3"/>
    <w:rsid w:val="00201DF2"/>
    <w:rsid w:val="00202724"/>
    <w:rsid w:val="00202A0D"/>
    <w:rsid w:val="0020375D"/>
    <w:rsid w:val="002050C7"/>
    <w:rsid w:val="00205CA2"/>
    <w:rsid w:val="002070ED"/>
    <w:rsid w:val="00207819"/>
    <w:rsid w:val="0020786E"/>
    <w:rsid w:val="00207B87"/>
    <w:rsid w:val="002108F8"/>
    <w:rsid w:val="002111E5"/>
    <w:rsid w:val="00211945"/>
    <w:rsid w:val="00211ABD"/>
    <w:rsid w:val="0021328C"/>
    <w:rsid w:val="00213570"/>
    <w:rsid w:val="00215998"/>
    <w:rsid w:val="00216032"/>
    <w:rsid w:val="002173DF"/>
    <w:rsid w:val="0021766B"/>
    <w:rsid w:val="0022068C"/>
    <w:rsid w:val="0022152E"/>
    <w:rsid w:val="00221E97"/>
    <w:rsid w:val="002220FF"/>
    <w:rsid w:val="00222A3C"/>
    <w:rsid w:val="00224702"/>
    <w:rsid w:val="00224FDF"/>
    <w:rsid w:val="002253AB"/>
    <w:rsid w:val="0022579E"/>
    <w:rsid w:val="0022653B"/>
    <w:rsid w:val="0022654D"/>
    <w:rsid w:val="00226607"/>
    <w:rsid w:val="002266B2"/>
    <w:rsid w:val="002268E7"/>
    <w:rsid w:val="00226F1A"/>
    <w:rsid w:val="00226F37"/>
    <w:rsid w:val="00230B35"/>
    <w:rsid w:val="0023174F"/>
    <w:rsid w:val="00231FB0"/>
    <w:rsid w:val="0023253E"/>
    <w:rsid w:val="002334B6"/>
    <w:rsid w:val="002336E8"/>
    <w:rsid w:val="002343BD"/>
    <w:rsid w:val="002352CF"/>
    <w:rsid w:val="00235D91"/>
    <w:rsid w:val="0023605D"/>
    <w:rsid w:val="002363EF"/>
    <w:rsid w:val="00236B6D"/>
    <w:rsid w:val="002371BB"/>
    <w:rsid w:val="002373A7"/>
    <w:rsid w:val="00237B9B"/>
    <w:rsid w:val="00240C9C"/>
    <w:rsid w:val="00240F10"/>
    <w:rsid w:val="002419BB"/>
    <w:rsid w:val="00241EC3"/>
    <w:rsid w:val="00241FCA"/>
    <w:rsid w:val="002439DF"/>
    <w:rsid w:val="00243CCE"/>
    <w:rsid w:val="00244016"/>
    <w:rsid w:val="00244A06"/>
    <w:rsid w:val="00245107"/>
    <w:rsid w:val="0024537D"/>
    <w:rsid w:val="0024558A"/>
    <w:rsid w:val="00246ADA"/>
    <w:rsid w:val="00246C5C"/>
    <w:rsid w:val="0024761D"/>
    <w:rsid w:val="00247725"/>
    <w:rsid w:val="00250819"/>
    <w:rsid w:val="00250E93"/>
    <w:rsid w:val="002511DD"/>
    <w:rsid w:val="00251831"/>
    <w:rsid w:val="00252E7D"/>
    <w:rsid w:val="00253338"/>
    <w:rsid w:val="002535F3"/>
    <w:rsid w:val="002537C2"/>
    <w:rsid w:val="00253BEA"/>
    <w:rsid w:val="002546A4"/>
    <w:rsid w:val="00254DFC"/>
    <w:rsid w:val="002574C8"/>
    <w:rsid w:val="0025750D"/>
    <w:rsid w:val="00257782"/>
    <w:rsid w:val="00260602"/>
    <w:rsid w:val="002615EC"/>
    <w:rsid w:val="00261710"/>
    <w:rsid w:val="002623D0"/>
    <w:rsid w:val="0026318A"/>
    <w:rsid w:val="0026371A"/>
    <w:rsid w:val="0026394E"/>
    <w:rsid w:val="00264AC9"/>
    <w:rsid w:val="00264D5A"/>
    <w:rsid w:val="00265D38"/>
    <w:rsid w:val="002661F6"/>
    <w:rsid w:val="00266647"/>
    <w:rsid w:val="002666EC"/>
    <w:rsid w:val="00266EEA"/>
    <w:rsid w:val="00267357"/>
    <w:rsid w:val="00267676"/>
    <w:rsid w:val="00267A82"/>
    <w:rsid w:val="00267B2A"/>
    <w:rsid w:val="00267D00"/>
    <w:rsid w:val="002704F8"/>
    <w:rsid w:val="00270E01"/>
    <w:rsid w:val="0027146D"/>
    <w:rsid w:val="00271DF0"/>
    <w:rsid w:val="00271E5F"/>
    <w:rsid w:val="0027284E"/>
    <w:rsid w:val="00273545"/>
    <w:rsid w:val="00273B35"/>
    <w:rsid w:val="00273C8C"/>
    <w:rsid w:val="00274B30"/>
    <w:rsid w:val="00275049"/>
    <w:rsid w:val="0027579C"/>
    <w:rsid w:val="00275841"/>
    <w:rsid w:val="00275B73"/>
    <w:rsid w:val="0027616A"/>
    <w:rsid w:val="0027712F"/>
    <w:rsid w:val="00277EA7"/>
    <w:rsid w:val="0028064A"/>
    <w:rsid w:val="00280788"/>
    <w:rsid w:val="00280A99"/>
    <w:rsid w:val="00280BAF"/>
    <w:rsid w:val="002830B5"/>
    <w:rsid w:val="0028330B"/>
    <w:rsid w:val="00284AB8"/>
    <w:rsid w:val="00284B60"/>
    <w:rsid w:val="00285500"/>
    <w:rsid w:val="002856C4"/>
    <w:rsid w:val="00286066"/>
    <w:rsid w:val="002860EE"/>
    <w:rsid w:val="0028624A"/>
    <w:rsid w:val="00286405"/>
    <w:rsid w:val="002908B8"/>
    <w:rsid w:val="00290FE9"/>
    <w:rsid w:val="002917D0"/>
    <w:rsid w:val="00292AD1"/>
    <w:rsid w:val="00294629"/>
    <w:rsid w:val="00294B83"/>
    <w:rsid w:val="002957A0"/>
    <w:rsid w:val="00295B11"/>
    <w:rsid w:val="00295F0B"/>
    <w:rsid w:val="00296CFA"/>
    <w:rsid w:val="00296F0E"/>
    <w:rsid w:val="00297364"/>
    <w:rsid w:val="00297405"/>
    <w:rsid w:val="002A06DC"/>
    <w:rsid w:val="002A0A82"/>
    <w:rsid w:val="002A0E6E"/>
    <w:rsid w:val="002A13E7"/>
    <w:rsid w:val="002A1448"/>
    <w:rsid w:val="002A1E00"/>
    <w:rsid w:val="002A22C7"/>
    <w:rsid w:val="002A22FB"/>
    <w:rsid w:val="002A255D"/>
    <w:rsid w:val="002A28D3"/>
    <w:rsid w:val="002A4762"/>
    <w:rsid w:val="002A4B6E"/>
    <w:rsid w:val="002A4F74"/>
    <w:rsid w:val="002A56B5"/>
    <w:rsid w:val="002A5F7C"/>
    <w:rsid w:val="002A702F"/>
    <w:rsid w:val="002B163F"/>
    <w:rsid w:val="002B23E1"/>
    <w:rsid w:val="002B2C50"/>
    <w:rsid w:val="002B5644"/>
    <w:rsid w:val="002B57C0"/>
    <w:rsid w:val="002B5DB7"/>
    <w:rsid w:val="002B61BC"/>
    <w:rsid w:val="002C0EBD"/>
    <w:rsid w:val="002C10D9"/>
    <w:rsid w:val="002C150E"/>
    <w:rsid w:val="002C16B8"/>
    <w:rsid w:val="002C1B0B"/>
    <w:rsid w:val="002C2A63"/>
    <w:rsid w:val="002C2FCE"/>
    <w:rsid w:val="002C342A"/>
    <w:rsid w:val="002C3C90"/>
    <w:rsid w:val="002C48D7"/>
    <w:rsid w:val="002C526C"/>
    <w:rsid w:val="002C65C4"/>
    <w:rsid w:val="002C73EA"/>
    <w:rsid w:val="002C7A78"/>
    <w:rsid w:val="002D010D"/>
    <w:rsid w:val="002D0A18"/>
    <w:rsid w:val="002D0AB1"/>
    <w:rsid w:val="002D0C93"/>
    <w:rsid w:val="002D0D23"/>
    <w:rsid w:val="002D140E"/>
    <w:rsid w:val="002D1C91"/>
    <w:rsid w:val="002D1FD1"/>
    <w:rsid w:val="002D389A"/>
    <w:rsid w:val="002D3F2A"/>
    <w:rsid w:val="002D4E37"/>
    <w:rsid w:val="002D4E64"/>
    <w:rsid w:val="002D506B"/>
    <w:rsid w:val="002D50D0"/>
    <w:rsid w:val="002D57FD"/>
    <w:rsid w:val="002D75FD"/>
    <w:rsid w:val="002D7A1F"/>
    <w:rsid w:val="002D7CA8"/>
    <w:rsid w:val="002D7D42"/>
    <w:rsid w:val="002E0045"/>
    <w:rsid w:val="002E153C"/>
    <w:rsid w:val="002E1837"/>
    <w:rsid w:val="002E2B17"/>
    <w:rsid w:val="002E472B"/>
    <w:rsid w:val="002E4ED2"/>
    <w:rsid w:val="002E52A2"/>
    <w:rsid w:val="002E5BBE"/>
    <w:rsid w:val="002E6421"/>
    <w:rsid w:val="002E6608"/>
    <w:rsid w:val="002E6AC7"/>
    <w:rsid w:val="002F194B"/>
    <w:rsid w:val="002F1BE0"/>
    <w:rsid w:val="002F2364"/>
    <w:rsid w:val="002F3F30"/>
    <w:rsid w:val="002F40AE"/>
    <w:rsid w:val="002F4D1C"/>
    <w:rsid w:val="002F4ED1"/>
    <w:rsid w:val="002F5310"/>
    <w:rsid w:val="002F531B"/>
    <w:rsid w:val="002F554D"/>
    <w:rsid w:val="002F5754"/>
    <w:rsid w:val="002F71BF"/>
    <w:rsid w:val="002F76E3"/>
    <w:rsid w:val="002F79AD"/>
    <w:rsid w:val="003005F8"/>
    <w:rsid w:val="0030103D"/>
    <w:rsid w:val="00301280"/>
    <w:rsid w:val="00301E33"/>
    <w:rsid w:val="003028EB"/>
    <w:rsid w:val="00303815"/>
    <w:rsid w:val="00303A1D"/>
    <w:rsid w:val="00304605"/>
    <w:rsid w:val="00304C81"/>
    <w:rsid w:val="0030505F"/>
    <w:rsid w:val="003057A7"/>
    <w:rsid w:val="003058C7"/>
    <w:rsid w:val="003066AB"/>
    <w:rsid w:val="00306880"/>
    <w:rsid w:val="003068BF"/>
    <w:rsid w:val="00306F14"/>
    <w:rsid w:val="00307676"/>
    <w:rsid w:val="00307F6D"/>
    <w:rsid w:val="00307FDF"/>
    <w:rsid w:val="00310107"/>
    <w:rsid w:val="00310E07"/>
    <w:rsid w:val="00311F73"/>
    <w:rsid w:val="003123A4"/>
    <w:rsid w:val="00312453"/>
    <w:rsid w:val="00312C68"/>
    <w:rsid w:val="003134CF"/>
    <w:rsid w:val="00313CEB"/>
    <w:rsid w:val="003145B4"/>
    <w:rsid w:val="0031487B"/>
    <w:rsid w:val="003148ED"/>
    <w:rsid w:val="003168ED"/>
    <w:rsid w:val="003176AC"/>
    <w:rsid w:val="003176AF"/>
    <w:rsid w:val="003208EC"/>
    <w:rsid w:val="00320B58"/>
    <w:rsid w:val="00320DC9"/>
    <w:rsid w:val="003212FD"/>
    <w:rsid w:val="0032274B"/>
    <w:rsid w:val="003264CF"/>
    <w:rsid w:val="00326C39"/>
    <w:rsid w:val="00327441"/>
    <w:rsid w:val="00327940"/>
    <w:rsid w:val="00327C32"/>
    <w:rsid w:val="003308E2"/>
    <w:rsid w:val="00330E59"/>
    <w:rsid w:val="0033119C"/>
    <w:rsid w:val="0033192C"/>
    <w:rsid w:val="003319D9"/>
    <w:rsid w:val="003321ED"/>
    <w:rsid w:val="00333495"/>
    <w:rsid w:val="00333A1A"/>
    <w:rsid w:val="00333B5F"/>
    <w:rsid w:val="00335477"/>
    <w:rsid w:val="00335FA6"/>
    <w:rsid w:val="00335FBB"/>
    <w:rsid w:val="003362CA"/>
    <w:rsid w:val="0033681C"/>
    <w:rsid w:val="0033705B"/>
    <w:rsid w:val="0033727E"/>
    <w:rsid w:val="00337A53"/>
    <w:rsid w:val="00337B69"/>
    <w:rsid w:val="003411A7"/>
    <w:rsid w:val="00344759"/>
    <w:rsid w:val="00344D0B"/>
    <w:rsid w:val="00345329"/>
    <w:rsid w:val="003465A8"/>
    <w:rsid w:val="00346908"/>
    <w:rsid w:val="00346C62"/>
    <w:rsid w:val="0034756B"/>
    <w:rsid w:val="00347EF9"/>
    <w:rsid w:val="003503E0"/>
    <w:rsid w:val="003506F0"/>
    <w:rsid w:val="0035114D"/>
    <w:rsid w:val="00351C43"/>
    <w:rsid w:val="0035214E"/>
    <w:rsid w:val="003521F6"/>
    <w:rsid w:val="00352925"/>
    <w:rsid w:val="00352EFE"/>
    <w:rsid w:val="003538D2"/>
    <w:rsid w:val="003544DE"/>
    <w:rsid w:val="00354633"/>
    <w:rsid w:val="0035500B"/>
    <w:rsid w:val="003552C1"/>
    <w:rsid w:val="00355B57"/>
    <w:rsid w:val="00356443"/>
    <w:rsid w:val="003578D1"/>
    <w:rsid w:val="00360490"/>
    <w:rsid w:val="00360C14"/>
    <w:rsid w:val="003618C2"/>
    <w:rsid w:val="00362D39"/>
    <w:rsid w:val="003642E3"/>
    <w:rsid w:val="0036432A"/>
    <w:rsid w:val="00364580"/>
    <w:rsid w:val="00364AA7"/>
    <w:rsid w:val="00364BDD"/>
    <w:rsid w:val="0036556D"/>
    <w:rsid w:val="00365716"/>
    <w:rsid w:val="00365C18"/>
    <w:rsid w:val="00367DC4"/>
    <w:rsid w:val="0037024E"/>
    <w:rsid w:val="003704DA"/>
    <w:rsid w:val="00371334"/>
    <w:rsid w:val="00371752"/>
    <w:rsid w:val="0037242B"/>
    <w:rsid w:val="00373E5D"/>
    <w:rsid w:val="00373EF4"/>
    <w:rsid w:val="003745AC"/>
    <w:rsid w:val="00374604"/>
    <w:rsid w:val="003747E7"/>
    <w:rsid w:val="00375398"/>
    <w:rsid w:val="003769FA"/>
    <w:rsid w:val="00376F9F"/>
    <w:rsid w:val="003770C5"/>
    <w:rsid w:val="003776EF"/>
    <w:rsid w:val="00377AF0"/>
    <w:rsid w:val="003800E8"/>
    <w:rsid w:val="00380A03"/>
    <w:rsid w:val="00380FBF"/>
    <w:rsid w:val="00381305"/>
    <w:rsid w:val="00381797"/>
    <w:rsid w:val="00382933"/>
    <w:rsid w:val="00382B99"/>
    <w:rsid w:val="003838FC"/>
    <w:rsid w:val="00383907"/>
    <w:rsid w:val="003839D9"/>
    <w:rsid w:val="00384421"/>
    <w:rsid w:val="00384475"/>
    <w:rsid w:val="0038544C"/>
    <w:rsid w:val="003858E3"/>
    <w:rsid w:val="00385BF8"/>
    <w:rsid w:val="00385F61"/>
    <w:rsid w:val="00386280"/>
    <w:rsid w:val="003868E1"/>
    <w:rsid w:val="00386B14"/>
    <w:rsid w:val="00386F51"/>
    <w:rsid w:val="00387024"/>
    <w:rsid w:val="0038740B"/>
    <w:rsid w:val="003875E5"/>
    <w:rsid w:val="0039056F"/>
    <w:rsid w:val="00390714"/>
    <w:rsid w:val="003913CD"/>
    <w:rsid w:val="0039187A"/>
    <w:rsid w:val="00391CEA"/>
    <w:rsid w:val="003923B8"/>
    <w:rsid w:val="00392BD6"/>
    <w:rsid w:val="00393D14"/>
    <w:rsid w:val="00393E92"/>
    <w:rsid w:val="00395317"/>
    <w:rsid w:val="003956C7"/>
    <w:rsid w:val="003958A2"/>
    <w:rsid w:val="00395A78"/>
    <w:rsid w:val="00396D6D"/>
    <w:rsid w:val="00397B2B"/>
    <w:rsid w:val="003A016B"/>
    <w:rsid w:val="003A0CE0"/>
    <w:rsid w:val="003A0E88"/>
    <w:rsid w:val="003A134D"/>
    <w:rsid w:val="003A2076"/>
    <w:rsid w:val="003A2D08"/>
    <w:rsid w:val="003A3715"/>
    <w:rsid w:val="003A4113"/>
    <w:rsid w:val="003A472D"/>
    <w:rsid w:val="003A481C"/>
    <w:rsid w:val="003A4F02"/>
    <w:rsid w:val="003A537E"/>
    <w:rsid w:val="003A53C8"/>
    <w:rsid w:val="003A56D4"/>
    <w:rsid w:val="003A5C59"/>
    <w:rsid w:val="003A5CA6"/>
    <w:rsid w:val="003A5DEC"/>
    <w:rsid w:val="003A7FCC"/>
    <w:rsid w:val="003B0019"/>
    <w:rsid w:val="003B0766"/>
    <w:rsid w:val="003B1447"/>
    <w:rsid w:val="003B14A6"/>
    <w:rsid w:val="003B1512"/>
    <w:rsid w:val="003B16A2"/>
    <w:rsid w:val="003B261A"/>
    <w:rsid w:val="003B386C"/>
    <w:rsid w:val="003B3A7E"/>
    <w:rsid w:val="003B43BB"/>
    <w:rsid w:val="003B44EC"/>
    <w:rsid w:val="003B46C9"/>
    <w:rsid w:val="003B4ADA"/>
    <w:rsid w:val="003B53B0"/>
    <w:rsid w:val="003B601F"/>
    <w:rsid w:val="003B6F34"/>
    <w:rsid w:val="003B77D7"/>
    <w:rsid w:val="003C050E"/>
    <w:rsid w:val="003C0552"/>
    <w:rsid w:val="003C09B8"/>
    <w:rsid w:val="003C0F02"/>
    <w:rsid w:val="003C116C"/>
    <w:rsid w:val="003C1933"/>
    <w:rsid w:val="003C1E6D"/>
    <w:rsid w:val="003C1F63"/>
    <w:rsid w:val="003C2BB7"/>
    <w:rsid w:val="003C2EBD"/>
    <w:rsid w:val="003C30EC"/>
    <w:rsid w:val="003C31F9"/>
    <w:rsid w:val="003C3E0D"/>
    <w:rsid w:val="003C4208"/>
    <w:rsid w:val="003C42D5"/>
    <w:rsid w:val="003C4E2A"/>
    <w:rsid w:val="003C5210"/>
    <w:rsid w:val="003C580E"/>
    <w:rsid w:val="003C5DD3"/>
    <w:rsid w:val="003C5F96"/>
    <w:rsid w:val="003D1661"/>
    <w:rsid w:val="003D1BBF"/>
    <w:rsid w:val="003D1F57"/>
    <w:rsid w:val="003D2522"/>
    <w:rsid w:val="003D2ED7"/>
    <w:rsid w:val="003D30D3"/>
    <w:rsid w:val="003D331C"/>
    <w:rsid w:val="003D37ED"/>
    <w:rsid w:val="003D3969"/>
    <w:rsid w:val="003D498B"/>
    <w:rsid w:val="003D4FBC"/>
    <w:rsid w:val="003D4FBF"/>
    <w:rsid w:val="003D52A2"/>
    <w:rsid w:val="003D52AE"/>
    <w:rsid w:val="003D7A92"/>
    <w:rsid w:val="003E012B"/>
    <w:rsid w:val="003E0D14"/>
    <w:rsid w:val="003E22BD"/>
    <w:rsid w:val="003E2440"/>
    <w:rsid w:val="003E28F8"/>
    <w:rsid w:val="003E3F78"/>
    <w:rsid w:val="003E560F"/>
    <w:rsid w:val="003E570D"/>
    <w:rsid w:val="003E5916"/>
    <w:rsid w:val="003E5944"/>
    <w:rsid w:val="003E6181"/>
    <w:rsid w:val="003F0646"/>
    <w:rsid w:val="003F15CB"/>
    <w:rsid w:val="003F3900"/>
    <w:rsid w:val="003F3F5E"/>
    <w:rsid w:val="003F4E21"/>
    <w:rsid w:val="003F74BF"/>
    <w:rsid w:val="003F7E64"/>
    <w:rsid w:val="00400C15"/>
    <w:rsid w:val="00400CC9"/>
    <w:rsid w:val="00401A1B"/>
    <w:rsid w:val="00401F00"/>
    <w:rsid w:val="004022CB"/>
    <w:rsid w:val="0040274F"/>
    <w:rsid w:val="00402CD8"/>
    <w:rsid w:val="00403204"/>
    <w:rsid w:val="0040379E"/>
    <w:rsid w:val="00403B4B"/>
    <w:rsid w:val="0040410C"/>
    <w:rsid w:val="004048EF"/>
    <w:rsid w:val="00404C7F"/>
    <w:rsid w:val="00404D4B"/>
    <w:rsid w:val="00405B6C"/>
    <w:rsid w:val="00405C8C"/>
    <w:rsid w:val="00405F15"/>
    <w:rsid w:val="0040611E"/>
    <w:rsid w:val="00406531"/>
    <w:rsid w:val="00406A03"/>
    <w:rsid w:val="004070AA"/>
    <w:rsid w:val="00410A01"/>
    <w:rsid w:val="00411205"/>
    <w:rsid w:val="00411B5C"/>
    <w:rsid w:val="00411E5C"/>
    <w:rsid w:val="004123CF"/>
    <w:rsid w:val="00412B0F"/>
    <w:rsid w:val="004130B8"/>
    <w:rsid w:val="00414107"/>
    <w:rsid w:val="004148E1"/>
    <w:rsid w:val="00414E7D"/>
    <w:rsid w:val="00414F23"/>
    <w:rsid w:val="004153A6"/>
    <w:rsid w:val="0041542F"/>
    <w:rsid w:val="004155D9"/>
    <w:rsid w:val="00416692"/>
    <w:rsid w:val="0041722E"/>
    <w:rsid w:val="004173CB"/>
    <w:rsid w:val="00417ED5"/>
    <w:rsid w:val="00420FD7"/>
    <w:rsid w:val="0042195B"/>
    <w:rsid w:val="00421EE8"/>
    <w:rsid w:val="00422074"/>
    <w:rsid w:val="00423309"/>
    <w:rsid w:val="00423463"/>
    <w:rsid w:val="00423851"/>
    <w:rsid w:val="00424D57"/>
    <w:rsid w:val="00425390"/>
    <w:rsid w:val="0042553D"/>
    <w:rsid w:val="00425781"/>
    <w:rsid w:val="00425F25"/>
    <w:rsid w:val="00426757"/>
    <w:rsid w:val="00430944"/>
    <w:rsid w:val="00430BBF"/>
    <w:rsid w:val="00430E6B"/>
    <w:rsid w:val="00430F44"/>
    <w:rsid w:val="00431875"/>
    <w:rsid w:val="00432234"/>
    <w:rsid w:val="004323D0"/>
    <w:rsid w:val="004325FD"/>
    <w:rsid w:val="00432774"/>
    <w:rsid w:val="004328CE"/>
    <w:rsid w:val="004347B1"/>
    <w:rsid w:val="00434825"/>
    <w:rsid w:val="00434968"/>
    <w:rsid w:val="00434C95"/>
    <w:rsid w:val="004352D0"/>
    <w:rsid w:val="00435F2A"/>
    <w:rsid w:val="00436799"/>
    <w:rsid w:val="004372F8"/>
    <w:rsid w:val="00437510"/>
    <w:rsid w:val="00437760"/>
    <w:rsid w:val="00440261"/>
    <w:rsid w:val="0044112A"/>
    <w:rsid w:val="00441EC3"/>
    <w:rsid w:val="00441F0D"/>
    <w:rsid w:val="0044295C"/>
    <w:rsid w:val="004431D8"/>
    <w:rsid w:val="004432C8"/>
    <w:rsid w:val="00443812"/>
    <w:rsid w:val="004439CC"/>
    <w:rsid w:val="00443BAB"/>
    <w:rsid w:val="00443CDF"/>
    <w:rsid w:val="00443DBA"/>
    <w:rsid w:val="00443EEA"/>
    <w:rsid w:val="00444052"/>
    <w:rsid w:val="0044413E"/>
    <w:rsid w:val="0044459D"/>
    <w:rsid w:val="004445BE"/>
    <w:rsid w:val="00444BDE"/>
    <w:rsid w:val="004455A6"/>
    <w:rsid w:val="00445D1C"/>
    <w:rsid w:val="00447111"/>
    <w:rsid w:val="00451197"/>
    <w:rsid w:val="004514EF"/>
    <w:rsid w:val="00451617"/>
    <w:rsid w:val="00451749"/>
    <w:rsid w:val="00451998"/>
    <w:rsid w:val="0045318E"/>
    <w:rsid w:val="00453425"/>
    <w:rsid w:val="00453668"/>
    <w:rsid w:val="00453963"/>
    <w:rsid w:val="004542DD"/>
    <w:rsid w:val="00454471"/>
    <w:rsid w:val="004552F0"/>
    <w:rsid w:val="00455672"/>
    <w:rsid w:val="00455EF6"/>
    <w:rsid w:val="004572DB"/>
    <w:rsid w:val="004577F5"/>
    <w:rsid w:val="0046016B"/>
    <w:rsid w:val="004601BF"/>
    <w:rsid w:val="004617E1"/>
    <w:rsid w:val="00461FAF"/>
    <w:rsid w:val="00463479"/>
    <w:rsid w:val="00465A2C"/>
    <w:rsid w:val="00465B8D"/>
    <w:rsid w:val="004668D9"/>
    <w:rsid w:val="00466B1C"/>
    <w:rsid w:val="00467496"/>
    <w:rsid w:val="00467696"/>
    <w:rsid w:val="00467C19"/>
    <w:rsid w:val="004700A4"/>
    <w:rsid w:val="00470282"/>
    <w:rsid w:val="00472111"/>
    <w:rsid w:val="0047366D"/>
    <w:rsid w:val="00474D2E"/>
    <w:rsid w:val="004753B8"/>
    <w:rsid w:val="00475B58"/>
    <w:rsid w:val="0047630E"/>
    <w:rsid w:val="00476693"/>
    <w:rsid w:val="00476A61"/>
    <w:rsid w:val="00477520"/>
    <w:rsid w:val="00477C84"/>
    <w:rsid w:val="0048009A"/>
    <w:rsid w:val="00480376"/>
    <w:rsid w:val="00481A9E"/>
    <w:rsid w:val="004820B1"/>
    <w:rsid w:val="004822CE"/>
    <w:rsid w:val="0048250F"/>
    <w:rsid w:val="004827FD"/>
    <w:rsid w:val="00482C49"/>
    <w:rsid w:val="00483324"/>
    <w:rsid w:val="004833C4"/>
    <w:rsid w:val="00483C4F"/>
    <w:rsid w:val="0048422C"/>
    <w:rsid w:val="0048758C"/>
    <w:rsid w:val="00490177"/>
    <w:rsid w:val="004903A6"/>
    <w:rsid w:val="00490C32"/>
    <w:rsid w:val="00490F87"/>
    <w:rsid w:val="00491CDB"/>
    <w:rsid w:val="00492713"/>
    <w:rsid w:val="004933D9"/>
    <w:rsid w:val="00494B00"/>
    <w:rsid w:val="00495CBD"/>
    <w:rsid w:val="00495D26"/>
    <w:rsid w:val="00495EC3"/>
    <w:rsid w:val="0049618A"/>
    <w:rsid w:val="004967A3"/>
    <w:rsid w:val="0049697D"/>
    <w:rsid w:val="00496DCD"/>
    <w:rsid w:val="00496F9B"/>
    <w:rsid w:val="00497998"/>
    <w:rsid w:val="004979B4"/>
    <w:rsid w:val="004A0554"/>
    <w:rsid w:val="004A0710"/>
    <w:rsid w:val="004A0866"/>
    <w:rsid w:val="004A0DEB"/>
    <w:rsid w:val="004A129E"/>
    <w:rsid w:val="004A242F"/>
    <w:rsid w:val="004A3091"/>
    <w:rsid w:val="004A3E80"/>
    <w:rsid w:val="004A5205"/>
    <w:rsid w:val="004A6045"/>
    <w:rsid w:val="004A60D2"/>
    <w:rsid w:val="004A64E6"/>
    <w:rsid w:val="004A65FB"/>
    <w:rsid w:val="004A6F04"/>
    <w:rsid w:val="004A7285"/>
    <w:rsid w:val="004A7C23"/>
    <w:rsid w:val="004A7EDE"/>
    <w:rsid w:val="004B020C"/>
    <w:rsid w:val="004B0362"/>
    <w:rsid w:val="004B0B08"/>
    <w:rsid w:val="004B2951"/>
    <w:rsid w:val="004B2CF0"/>
    <w:rsid w:val="004B2FD2"/>
    <w:rsid w:val="004B3198"/>
    <w:rsid w:val="004B34B2"/>
    <w:rsid w:val="004B383D"/>
    <w:rsid w:val="004B395F"/>
    <w:rsid w:val="004B5437"/>
    <w:rsid w:val="004B5C96"/>
    <w:rsid w:val="004B5DF1"/>
    <w:rsid w:val="004B7656"/>
    <w:rsid w:val="004C0010"/>
    <w:rsid w:val="004C04DE"/>
    <w:rsid w:val="004C0A1D"/>
    <w:rsid w:val="004C1379"/>
    <w:rsid w:val="004C13E7"/>
    <w:rsid w:val="004C2373"/>
    <w:rsid w:val="004C309E"/>
    <w:rsid w:val="004C3BAD"/>
    <w:rsid w:val="004C3D80"/>
    <w:rsid w:val="004C4F52"/>
    <w:rsid w:val="004C66F9"/>
    <w:rsid w:val="004C6B53"/>
    <w:rsid w:val="004C7265"/>
    <w:rsid w:val="004C7732"/>
    <w:rsid w:val="004D0529"/>
    <w:rsid w:val="004D1122"/>
    <w:rsid w:val="004D183A"/>
    <w:rsid w:val="004D4703"/>
    <w:rsid w:val="004D47B6"/>
    <w:rsid w:val="004D4A2A"/>
    <w:rsid w:val="004D4B73"/>
    <w:rsid w:val="004D52EC"/>
    <w:rsid w:val="004D64C0"/>
    <w:rsid w:val="004D658F"/>
    <w:rsid w:val="004D65EF"/>
    <w:rsid w:val="004D7255"/>
    <w:rsid w:val="004E02DD"/>
    <w:rsid w:val="004E13F4"/>
    <w:rsid w:val="004E14D9"/>
    <w:rsid w:val="004E1DAD"/>
    <w:rsid w:val="004E24A0"/>
    <w:rsid w:val="004E24EB"/>
    <w:rsid w:val="004E30B9"/>
    <w:rsid w:val="004E31FF"/>
    <w:rsid w:val="004E3515"/>
    <w:rsid w:val="004E3563"/>
    <w:rsid w:val="004E357C"/>
    <w:rsid w:val="004E3E5C"/>
    <w:rsid w:val="004E52DF"/>
    <w:rsid w:val="004E53ED"/>
    <w:rsid w:val="004E5518"/>
    <w:rsid w:val="004E7D0B"/>
    <w:rsid w:val="004F06FB"/>
    <w:rsid w:val="004F08B1"/>
    <w:rsid w:val="004F1211"/>
    <w:rsid w:val="004F1341"/>
    <w:rsid w:val="004F1416"/>
    <w:rsid w:val="004F15D1"/>
    <w:rsid w:val="004F1728"/>
    <w:rsid w:val="004F20B4"/>
    <w:rsid w:val="004F2243"/>
    <w:rsid w:val="004F22A7"/>
    <w:rsid w:val="004F25E4"/>
    <w:rsid w:val="004F2A1A"/>
    <w:rsid w:val="004F34ED"/>
    <w:rsid w:val="004F42D0"/>
    <w:rsid w:val="004F574A"/>
    <w:rsid w:val="004F5952"/>
    <w:rsid w:val="004F5ACE"/>
    <w:rsid w:val="004F5BDF"/>
    <w:rsid w:val="004F5E29"/>
    <w:rsid w:val="004F6379"/>
    <w:rsid w:val="004F6778"/>
    <w:rsid w:val="004F7B2A"/>
    <w:rsid w:val="0050174B"/>
    <w:rsid w:val="00501C42"/>
    <w:rsid w:val="005023AA"/>
    <w:rsid w:val="00502459"/>
    <w:rsid w:val="0050267D"/>
    <w:rsid w:val="00502A7F"/>
    <w:rsid w:val="00502B93"/>
    <w:rsid w:val="00502B9D"/>
    <w:rsid w:val="00503E1D"/>
    <w:rsid w:val="00504178"/>
    <w:rsid w:val="005043E1"/>
    <w:rsid w:val="00504A2F"/>
    <w:rsid w:val="005051B2"/>
    <w:rsid w:val="005056BA"/>
    <w:rsid w:val="00506D3B"/>
    <w:rsid w:val="005077B8"/>
    <w:rsid w:val="005077CB"/>
    <w:rsid w:val="00510B82"/>
    <w:rsid w:val="00511E96"/>
    <w:rsid w:val="00511F59"/>
    <w:rsid w:val="005121CE"/>
    <w:rsid w:val="005122F8"/>
    <w:rsid w:val="00512CE8"/>
    <w:rsid w:val="005135B9"/>
    <w:rsid w:val="00513A7E"/>
    <w:rsid w:val="00513E06"/>
    <w:rsid w:val="00513E69"/>
    <w:rsid w:val="00514D02"/>
    <w:rsid w:val="005150A3"/>
    <w:rsid w:val="00515229"/>
    <w:rsid w:val="00516713"/>
    <w:rsid w:val="00516C9A"/>
    <w:rsid w:val="00516EC1"/>
    <w:rsid w:val="00517DE5"/>
    <w:rsid w:val="0052008D"/>
    <w:rsid w:val="0052035C"/>
    <w:rsid w:val="0052045E"/>
    <w:rsid w:val="005211BE"/>
    <w:rsid w:val="00521936"/>
    <w:rsid w:val="00522056"/>
    <w:rsid w:val="005231B9"/>
    <w:rsid w:val="00523DEF"/>
    <w:rsid w:val="00524415"/>
    <w:rsid w:val="005250A2"/>
    <w:rsid w:val="0052515D"/>
    <w:rsid w:val="00525F42"/>
    <w:rsid w:val="00526AB6"/>
    <w:rsid w:val="00526E10"/>
    <w:rsid w:val="0052705A"/>
    <w:rsid w:val="00527129"/>
    <w:rsid w:val="005274F2"/>
    <w:rsid w:val="00527A16"/>
    <w:rsid w:val="00530795"/>
    <w:rsid w:val="00531C84"/>
    <w:rsid w:val="0053253B"/>
    <w:rsid w:val="005332FF"/>
    <w:rsid w:val="0053345C"/>
    <w:rsid w:val="00534539"/>
    <w:rsid w:val="00534D79"/>
    <w:rsid w:val="005353FD"/>
    <w:rsid w:val="00535C55"/>
    <w:rsid w:val="00535EF3"/>
    <w:rsid w:val="005360FA"/>
    <w:rsid w:val="00536DC7"/>
    <w:rsid w:val="0053724F"/>
    <w:rsid w:val="0053761C"/>
    <w:rsid w:val="00537B0A"/>
    <w:rsid w:val="005402B7"/>
    <w:rsid w:val="00540C4C"/>
    <w:rsid w:val="005410F1"/>
    <w:rsid w:val="005430C5"/>
    <w:rsid w:val="00543CCA"/>
    <w:rsid w:val="00543D4C"/>
    <w:rsid w:val="00543F8B"/>
    <w:rsid w:val="005440F3"/>
    <w:rsid w:val="00544D6E"/>
    <w:rsid w:val="00545CDA"/>
    <w:rsid w:val="00545D67"/>
    <w:rsid w:val="005467D7"/>
    <w:rsid w:val="00546897"/>
    <w:rsid w:val="0054699E"/>
    <w:rsid w:val="005474BC"/>
    <w:rsid w:val="00547BAB"/>
    <w:rsid w:val="00547C34"/>
    <w:rsid w:val="0055060C"/>
    <w:rsid w:val="00551D3E"/>
    <w:rsid w:val="00551F9E"/>
    <w:rsid w:val="005532C7"/>
    <w:rsid w:val="0055371C"/>
    <w:rsid w:val="005538CF"/>
    <w:rsid w:val="00553A55"/>
    <w:rsid w:val="00553CA1"/>
    <w:rsid w:val="00553D4E"/>
    <w:rsid w:val="00553E31"/>
    <w:rsid w:val="005549B4"/>
    <w:rsid w:val="00554DDD"/>
    <w:rsid w:val="00556A6A"/>
    <w:rsid w:val="00556AE2"/>
    <w:rsid w:val="00557341"/>
    <w:rsid w:val="005574F8"/>
    <w:rsid w:val="005579E7"/>
    <w:rsid w:val="0056037B"/>
    <w:rsid w:val="00560A42"/>
    <w:rsid w:val="0056133C"/>
    <w:rsid w:val="005614B7"/>
    <w:rsid w:val="0056243E"/>
    <w:rsid w:val="00562642"/>
    <w:rsid w:val="00562C03"/>
    <w:rsid w:val="00562FE2"/>
    <w:rsid w:val="005633E4"/>
    <w:rsid w:val="00563B26"/>
    <w:rsid w:val="00564429"/>
    <w:rsid w:val="005651AB"/>
    <w:rsid w:val="005664B1"/>
    <w:rsid w:val="00566830"/>
    <w:rsid w:val="005669AE"/>
    <w:rsid w:val="00566C57"/>
    <w:rsid w:val="00567CBE"/>
    <w:rsid w:val="005707B4"/>
    <w:rsid w:val="005708A5"/>
    <w:rsid w:val="00570F47"/>
    <w:rsid w:val="00570FAD"/>
    <w:rsid w:val="005712D1"/>
    <w:rsid w:val="00573313"/>
    <w:rsid w:val="00574525"/>
    <w:rsid w:val="00574589"/>
    <w:rsid w:val="005750DB"/>
    <w:rsid w:val="00575F8B"/>
    <w:rsid w:val="00576FC6"/>
    <w:rsid w:val="00577022"/>
    <w:rsid w:val="005772AA"/>
    <w:rsid w:val="00577C2D"/>
    <w:rsid w:val="00577F28"/>
    <w:rsid w:val="0058060C"/>
    <w:rsid w:val="00581825"/>
    <w:rsid w:val="00581B3F"/>
    <w:rsid w:val="00581EC4"/>
    <w:rsid w:val="005823B3"/>
    <w:rsid w:val="00583800"/>
    <w:rsid w:val="005845C5"/>
    <w:rsid w:val="00584849"/>
    <w:rsid w:val="0058486E"/>
    <w:rsid w:val="00585121"/>
    <w:rsid w:val="00585E83"/>
    <w:rsid w:val="00586AE8"/>
    <w:rsid w:val="00586DA8"/>
    <w:rsid w:val="00586F82"/>
    <w:rsid w:val="0059096A"/>
    <w:rsid w:val="00591409"/>
    <w:rsid w:val="00591C19"/>
    <w:rsid w:val="00591F91"/>
    <w:rsid w:val="00592ED5"/>
    <w:rsid w:val="005940F1"/>
    <w:rsid w:val="00594276"/>
    <w:rsid w:val="005951D5"/>
    <w:rsid w:val="00595C74"/>
    <w:rsid w:val="005963A8"/>
    <w:rsid w:val="00596B15"/>
    <w:rsid w:val="00596FE6"/>
    <w:rsid w:val="0059742B"/>
    <w:rsid w:val="00597D67"/>
    <w:rsid w:val="005A06C4"/>
    <w:rsid w:val="005A0C98"/>
    <w:rsid w:val="005A170D"/>
    <w:rsid w:val="005A1C8C"/>
    <w:rsid w:val="005A209B"/>
    <w:rsid w:val="005A2111"/>
    <w:rsid w:val="005A24F5"/>
    <w:rsid w:val="005A3100"/>
    <w:rsid w:val="005A3823"/>
    <w:rsid w:val="005A5E25"/>
    <w:rsid w:val="005A6135"/>
    <w:rsid w:val="005A656B"/>
    <w:rsid w:val="005A66B0"/>
    <w:rsid w:val="005A68C9"/>
    <w:rsid w:val="005A6DE9"/>
    <w:rsid w:val="005A71AE"/>
    <w:rsid w:val="005B081F"/>
    <w:rsid w:val="005B0C81"/>
    <w:rsid w:val="005B0FE3"/>
    <w:rsid w:val="005B1F20"/>
    <w:rsid w:val="005B1FA7"/>
    <w:rsid w:val="005B25E5"/>
    <w:rsid w:val="005B3191"/>
    <w:rsid w:val="005B3A4F"/>
    <w:rsid w:val="005B44A2"/>
    <w:rsid w:val="005B4D08"/>
    <w:rsid w:val="005B532A"/>
    <w:rsid w:val="005C03AD"/>
    <w:rsid w:val="005C119B"/>
    <w:rsid w:val="005C178D"/>
    <w:rsid w:val="005C1A91"/>
    <w:rsid w:val="005C1D82"/>
    <w:rsid w:val="005C2CEF"/>
    <w:rsid w:val="005C2EE0"/>
    <w:rsid w:val="005C3734"/>
    <w:rsid w:val="005C38D1"/>
    <w:rsid w:val="005C4D14"/>
    <w:rsid w:val="005C516F"/>
    <w:rsid w:val="005C55D8"/>
    <w:rsid w:val="005C56C5"/>
    <w:rsid w:val="005C62BF"/>
    <w:rsid w:val="005C635F"/>
    <w:rsid w:val="005C6A1C"/>
    <w:rsid w:val="005C6D04"/>
    <w:rsid w:val="005C7966"/>
    <w:rsid w:val="005C7A8B"/>
    <w:rsid w:val="005C7DC5"/>
    <w:rsid w:val="005D013F"/>
    <w:rsid w:val="005D121B"/>
    <w:rsid w:val="005D1B92"/>
    <w:rsid w:val="005D29FA"/>
    <w:rsid w:val="005D2D17"/>
    <w:rsid w:val="005D3081"/>
    <w:rsid w:val="005D43EE"/>
    <w:rsid w:val="005D5166"/>
    <w:rsid w:val="005D5573"/>
    <w:rsid w:val="005D57E3"/>
    <w:rsid w:val="005D6CBB"/>
    <w:rsid w:val="005D7BDA"/>
    <w:rsid w:val="005E0230"/>
    <w:rsid w:val="005E0D99"/>
    <w:rsid w:val="005E12A9"/>
    <w:rsid w:val="005E137C"/>
    <w:rsid w:val="005E1405"/>
    <w:rsid w:val="005E2FDC"/>
    <w:rsid w:val="005E31FC"/>
    <w:rsid w:val="005E32F2"/>
    <w:rsid w:val="005E4A48"/>
    <w:rsid w:val="005E5D33"/>
    <w:rsid w:val="005E7417"/>
    <w:rsid w:val="005F00A9"/>
    <w:rsid w:val="005F0864"/>
    <w:rsid w:val="005F0EA9"/>
    <w:rsid w:val="005F1790"/>
    <w:rsid w:val="005F185A"/>
    <w:rsid w:val="005F1D0A"/>
    <w:rsid w:val="005F2B02"/>
    <w:rsid w:val="005F3553"/>
    <w:rsid w:val="005F35CD"/>
    <w:rsid w:val="005F4B03"/>
    <w:rsid w:val="005F4F8C"/>
    <w:rsid w:val="005F4FE0"/>
    <w:rsid w:val="005F5DE2"/>
    <w:rsid w:val="005F6607"/>
    <w:rsid w:val="005F702D"/>
    <w:rsid w:val="005F757F"/>
    <w:rsid w:val="005F7E01"/>
    <w:rsid w:val="0060078D"/>
    <w:rsid w:val="00600B87"/>
    <w:rsid w:val="00602E3C"/>
    <w:rsid w:val="006037AC"/>
    <w:rsid w:val="00604AEB"/>
    <w:rsid w:val="00605AA9"/>
    <w:rsid w:val="00606BF1"/>
    <w:rsid w:val="0060727A"/>
    <w:rsid w:val="00610606"/>
    <w:rsid w:val="00610D77"/>
    <w:rsid w:val="00611069"/>
    <w:rsid w:val="006112D6"/>
    <w:rsid w:val="00613827"/>
    <w:rsid w:val="00613FE9"/>
    <w:rsid w:val="00614092"/>
    <w:rsid w:val="006140A6"/>
    <w:rsid w:val="006140A9"/>
    <w:rsid w:val="006147BC"/>
    <w:rsid w:val="00614CE9"/>
    <w:rsid w:val="00614E03"/>
    <w:rsid w:val="00614FA8"/>
    <w:rsid w:val="006153EB"/>
    <w:rsid w:val="00615A40"/>
    <w:rsid w:val="00615CFC"/>
    <w:rsid w:val="00615DD9"/>
    <w:rsid w:val="006167B8"/>
    <w:rsid w:val="00617846"/>
    <w:rsid w:val="00617B20"/>
    <w:rsid w:val="006207DE"/>
    <w:rsid w:val="00620AB7"/>
    <w:rsid w:val="006211F2"/>
    <w:rsid w:val="00621DD1"/>
    <w:rsid w:val="006221A7"/>
    <w:rsid w:val="00622555"/>
    <w:rsid w:val="006227F7"/>
    <w:rsid w:val="0062430C"/>
    <w:rsid w:val="0062430D"/>
    <w:rsid w:val="00624618"/>
    <w:rsid w:val="00624BEC"/>
    <w:rsid w:val="00624EB7"/>
    <w:rsid w:val="006254CA"/>
    <w:rsid w:val="0062555B"/>
    <w:rsid w:val="00625582"/>
    <w:rsid w:val="00625D46"/>
    <w:rsid w:val="00626321"/>
    <w:rsid w:val="00627A2E"/>
    <w:rsid w:val="00627C12"/>
    <w:rsid w:val="00627DCA"/>
    <w:rsid w:val="00627FA9"/>
    <w:rsid w:val="006304BB"/>
    <w:rsid w:val="00630684"/>
    <w:rsid w:val="00630F73"/>
    <w:rsid w:val="006320F5"/>
    <w:rsid w:val="006323C4"/>
    <w:rsid w:val="00634514"/>
    <w:rsid w:val="00635065"/>
    <w:rsid w:val="006363F7"/>
    <w:rsid w:val="00636559"/>
    <w:rsid w:val="00636ACA"/>
    <w:rsid w:val="00636F28"/>
    <w:rsid w:val="00637CEB"/>
    <w:rsid w:val="006405C7"/>
    <w:rsid w:val="0064191D"/>
    <w:rsid w:val="00641BD7"/>
    <w:rsid w:val="006427BF"/>
    <w:rsid w:val="00642877"/>
    <w:rsid w:val="006433CF"/>
    <w:rsid w:val="00646D3B"/>
    <w:rsid w:val="00647D75"/>
    <w:rsid w:val="00650326"/>
    <w:rsid w:val="0065066C"/>
    <w:rsid w:val="00651104"/>
    <w:rsid w:val="00651149"/>
    <w:rsid w:val="006514DC"/>
    <w:rsid w:val="00652230"/>
    <w:rsid w:val="006523BB"/>
    <w:rsid w:val="006538B9"/>
    <w:rsid w:val="006539F9"/>
    <w:rsid w:val="00653A91"/>
    <w:rsid w:val="00653DAE"/>
    <w:rsid w:val="006560AB"/>
    <w:rsid w:val="00656409"/>
    <w:rsid w:val="0065788C"/>
    <w:rsid w:val="00657B9D"/>
    <w:rsid w:val="00657C59"/>
    <w:rsid w:val="00657E9B"/>
    <w:rsid w:val="00660CDF"/>
    <w:rsid w:val="006611F7"/>
    <w:rsid w:val="006611F9"/>
    <w:rsid w:val="00662BC4"/>
    <w:rsid w:val="00663B7C"/>
    <w:rsid w:val="00663E6C"/>
    <w:rsid w:val="00663F82"/>
    <w:rsid w:val="00664ADC"/>
    <w:rsid w:val="00665288"/>
    <w:rsid w:val="00665618"/>
    <w:rsid w:val="00665CA5"/>
    <w:rsid w:val="00666031"/>
    <w:rsid w:val="006669DA"/>
    <w:rsid w:val="00667540"/>
    <w:rsid w:val="006717CA"/>
    <w:rsid w:val="0067297F"/>
    <w:rsid w:val="00674023"/>
    <w:rsid w:val="0067424C"/>
    <w:rsid w:val="0067428E"/>
    <w:rsid w:val="006752BD"/>
    <w:rsid w:val="00675542"/>
    <w:rsid w:val="006762F2"/>
    <w:rsid w:val="00676309"/>
    <w:rsid w:val="006763C7"/>
    <w:rsid w:val="006812AA"/>
    <w:rsid w:val="006820CF"/>
    <w:rsid w:val="006827F1"/>
    <w:rsid w:val="006829E7"/>
    <w:rsid w:val="006830CA"/>
    <w:rsid w:val="006834CF"/>
    <w:rsid w:val="006837CB"/>
    <w:rsid w:val="00684ECB"/>
    <w:rsid w:val="00686201"/>
    <w:rsid w:val="00686788"/>
    <w:rsid w:val="00686CC9"/>
    <w:rsid w:val="00687D2F"/>
    <w:rsid w:val="00687E54"/>
    <w:rsid w:val="0069006E"/>
    <w:rsid w:val="00692407"/>
    <w:rsid w:val="006926B7"/>
    <w:rsid w:val="00692E42"/>
    <w:rsid w:val="0069360C"/>
    <w:rsid w:val="00694546"/>
    <w:rsid w:val="006947D5"/>
    <w:rsid w:val="00694832"/>
    <w:rsid w:val="0069505F"/>
    <w:rsid w:val="0069540E"/>
    <w:rsid w:val="006958B5"/>
    <w:rsid w:val="00695924"/>
    <w:rsid w:val="00695D0E"/>
    <w:rsid w:val="00695DC9"/>
    <w:rsid w:val="00696E9C"/>
    <w:rsid w:val="00696F8D"/>
    <w:rsid w:val="00696F8E"/>
    <w:rsid w:val="0069714F"/>
    <w:rsid w:val="006A00D4"/>
    <w:rsid w:val="006A090D"/>
    <w:rsid w:val="006A1B9F"/>
    <w:rsid w:val="006A1E1B"/>
    <w:rsid w:val="006A21E8"/>
    <w:rsid w:val="006A24DB"/>
    <w:rsid w:val="006A2E7F"/>
    <w:rsid w:val="006A3AB8"/>
    <w:rsid w:val="006A3C0C"/>
    <w:rsid w:val="006A40F2"/>
    <w:rsid w:val="006A41D5"/>
    <w:rsid w:val="006A4819"/>
    <w:rsid w:val="006A51FE"/>
    <w:rsid w:val="006A54CA"/>
    <w:rsid w:val="006A57EE"/>
    <w:rsid w:val="006A6420"/>
    <w:rsid w:val="006A644C"/>
    <w:rsid w:val="006A6B2B"/>
    <w:rsid w:val="006A73FD"/>
    <w:rsid w:val="006A76DA"/>
    <w:rsid w:val="006A796E"/>
    <w:rsid w:val="006A7B61"/>
    <w:rsid w:val="006A7BE3"/>
    <w:rsid w:val="006A7FE6"/>
    <w:rsid w:val="006B13E0"/>
    <w:rsid w:val="006B1509"/>
    <w:rsid w:val="006B196B"/>
    <w:rsid w:val="006B1AE4"/>
    <w:rsid w:val="006B2FD2"/>
    <w:rsid w:val="006B3214"/>
    <w:rsid w:val="006B3A1F"/>
    <w:rsid w:val="006B493C"/>
    <w:rsid w:val="006B4C95"/>
    <w:rsid w:val="006B536C"/>
    <w:rsid w:val="006B6051"/>
    <w:rsid w:val="006B7184"/>
    <w:rsid w:val="006B74D8"/>
    <w:rsid w:val="006B769E"/>
    <w:rsid w:val="006C0C1D"/>
    <w:rsid w:val="006C0C44"/>
    <w:rsid w:val="006C153B"/>
    <w:rsid w:val="006C179B"/>
    <w:rsid w:val="006C181F"/>
    <w:rsid w:val="006C18F9"/>
    <w:rsid w:val="006C23C5"/>
    <w:rsid w:val="006C2515"/>
    <w:rsid w:val="006C35AD"/>
    <w:rsid w:val="006C35D3"/>
    <w:rsid w:val="006C37AF"/>
    <w:rsid w:val="006C3EE3"/>
    <w:rsid w:val="006C40A3"/>
    <w:rsid w:val="006C44E3"/>
    <w:rsid w:val="006C4843"/>
    <w:rsid w:val="006C4B3C"/>
    <w:rsid w:val="006C4C4B"/>
    <w:rsid w:val="006C4FCF"/>
    <w:rsid w:val="006C5118"/>
    <w:rsid w:val="006C5CE9"/>
    <w:rsid w:val="006C5F47"/>
    <w:rsid w:val="006C6866"/>
    <w:rsid w:val="006C7E0D"/>
    <w:rsid w:val="006D094E"/>
    <w:rsid w:val="006D0FC7"/>
    <w:rsid w:val="006D11A7"/>
    <w:rsid w:val="006D14AD"/>
    <w:rsid w:val="006D1675"/>
    <w:rsid w:val="006D1A5D"/>
    <w:rsid w:val="006D2135"/>
    <w:rsid w:val="006D3854"/>
    <w:rsid w:val="006D543E"/>
    <w:rsid w:val="006D605A"/>
    <w:rsid w:val="006D6704"/>
    <w:rsid w:val="006D679A"/>
    <w:rsid w:val="006D70A5"/>
    <w:rsid w:val="006D73C2"/>
    <w:rsid w:val="006D73E1"/>
    <w:rsid w:val="006D7615"/>
    <w:rsid w:val="006D7A82"/>
    <w:rsid w:val="006E0112"/>
    <w:rsid w:val="006E06C5"/>
    <w:rsid w:val="006E076E"/>
    <w:rsid w:val="006E1766"/>
    <w:rsid w:val="006E1AF7"/>
    <w:rsid w:val="006E2995"/>
    <w:rsid w:val="006E2B38"/>
    <w:rsid w:val="006E2EEB"/>
    <w:rsid w:val="006E32DC"/>
    <w:rsid w:val="006E3987"/>
    <w:rsid w:val="006E3CF3"/>
    <w:rsid w:val="006E3E5F"/>
    <w:rsid w:val="006E47B3"/>
    <w:rsid w:val="006E4B96"/>
    <w:rsid w:val="006E5375"/>
    <w:rsid w:val="006E62DC"/>
    <w:rsid w:val="006E6ADC"/>
    <w:rsid w:val="006E6E14"/>
    <w:rsid w:val="006E71DC"/>
    <w:rsid w:val="006E7BAC"/>
    <w:rsid w:val="006E7C7C"/>
    <w:rsid w:val="006E7CE8"/>
    <w:rsid w:val="006F0FF6"/>
    <w:rsid w:val="006F1140"/>
    <w:rsid w:val="006F1CE0"/>
    <w:rsid w:val="006F2B15"/>
    <w:rsid w:val="006F478A"/>
    <w:rsid w:val="006F4BE7"/>
    <w:rsid w:val="006F6E41"/>
    <w:rsid w:val="006F6FD4"/>
    <w:rsid w:val="006F7E2D"/>
    <w:rsid w:val="00700278"/>
    <w:rsid w:val="007010AA"/>
    <w:rsid w:val="007012F5"/>
    <w:rsid w:val="0070186C"/>
    <w:rsid w:val="007022DB"/>
    <w:rsid w:val="00702765"/>
    <w:rsid w:val="0070276E"/>
    <w:rsid w:val="00702B23"/>
    <w:rsid w:val="00702B9A"/>
    <w:rsid w:val="0070332A"/>
    <w:rsid w:val="00703EC7"/>
    <w:rsid w:val="00704151"/>
    <w:rsid w:val="0070422B"/>
    <w:rsid w:val="00704627"/>
    <w:rsid w:val="00704797"/>
    <w:rsid w:val="00704EC9"/>
    <w:rsid w:val="007055DE"/>
    <w:rsid w:val="00705A25"/>
    <w:rsid w:val="00705A6D"/>
    <w:rsid w:val="00706A68"/>
    <w:rsid w:val="00707456"/>
    <w:rsid w:val="007075F5"/>
    <w:rsid w:val="007078A5"/>
    <w:rsid w:val="00710531"/>
    <w:rsid w:val="00710B68"/>
    <w:rsid w:val="007110D2"/>
    <w:rsid w:val="00711356"/>
    <w:rsid w:val="00711C0A"/>
    <w:rsid w:val="00712527"/>
    <w:rsid w:val="00712B25"/>
    <w:rsid w:val="00713191"/>
    <w:rsid w:val="00713788"/>
    <w:rsid w:val="007138CE"/>
    <w:rsid w:val="00713F80"/>
    <w:rsid w:val="00714526"/>
    <w:rsid w:val="00714591"/>
    <w:rsid w:val="00715950"/>
    <w:rsid w:val="0071690C"/>
    <w:rsid w:val="007178AF"/>
    <w:rsid w:val="007202CA"/>
    <w:rsid w:val="00720316"/>
    <w:rsid w:val="00720AAB"/>
    <w:rsid w:val="007215EF"/>
    <w:rsid w:val="007219E9"/>
    <w:rsid w:val="00722936"/>
    <w:rsid w:val="00722B3C"/>
    <w:rsid w:val="00722B56"/>
    <w:rsid w:val="00723D68"/>
    <w:rsid w:val="00723D8C"/>
    <w:rsid w:val="00724BC7"/>
    <w:rsid w:val="00725774"/>
    <w:rsid w:val="0072592D"/>
    <w:rsid w:val="00725E2E"/>
    <w:rsid w:val="007260B7"/>
    <w:rsid w:val="00726CE6"/>
    <w:rsid w:val="00732922"/>
    <w:rsid w:val="00732F91"/>
    <w:rsid w:val="00733443"/>
    <w:rsid w:val="00733971"/>
    <w:rsid w:val="00733E35"/>
    <w:rsid w:val="007343BF"/>
    <w:rsid w:val="00734E3E"/>
    <w:rsid w:val="007351D0"/>
    <w:rsid w:val="007359ED"/>
    <w:rsid w:val="00735BFF"/>
    <w:rsid w:val="007371A9"/>
    <w:rsid w:val="00737249"/>
    <w:rsid w:val="0073737A"/>
    <w:rsid w:val="0073752B"/>
    <w:rsid w:val="00740185"/>
    <w:rsid w:val="00740392"/>
    <w:rsid w:val="00740C53"/>
    <w:rsid w:val="00740EE5"/>
    <w:rsid w:val="007413D1"/>
    <w:rsid w:val="00742C3C"/>
    <w:rsid w:val="0074433D"/>
    <w:rsid w:val="007447CA"/>
    <w:rsid w:val="00745E83"/>
    <w:rsid w:val="00746764"/>
    <w:rsid w:val="00750798"/>
    <w:rsid w:val="00750ECD"/>
    <w:rsid w:val="0075118B"/>
    <w:rsid w:val="007512DC"/>
    <w:rsid w:val="00752680"/>
    <w:rsid w:val="0075350D"/>
    <w:rsid w:val="00753654"/>
    <w:rsid w:val="007536DB"/>
    <w:rsid w:val="00753B41"/>
    <w:rsid w:val="0075434A"/>
    <w:rsid w:val="00754B07"/>
    <w:rsid w:val="00755D5E"/>
    <w:rsid w:val="00755EF0"/>
    <w:rsid w:val="0075660D"/>
    <w:rsid w:val="00757EC5"/>
    <w:rsid w:val="00760E92"/>
    <w:rsid w:val="00760F00"/>
    <w:rsid w:val="00761C2D"/>
    <w:rsid w:val="007629D2"/>
    <w:rsid w:val="00762F6E"/>
    <w:rsid w:val="007642DA"/>
    <w:rsid w:val="0076443D"/>
    <w:rsid w:val="00764F70"/>
    <w:rsid w:val="00765D8E"/>
    <w:rsid w:val="0076640F"/>
    <w:rsid w:val="0077068A"/>
    <w:rsid w:val="00770A44"/>
    <w:rsid w:val="0077118F"/>
    <w:rsid w:val="007712FA"/>
    <w:rsid w:val="0077204B"/>
    <w:rsid w:val="00772BD8"/>
    <w:rsid w:val="00772DE8"/>
    <w:rsid w:val="00772E18"/>
    <w:rsid w:val="007733C4"/>
    <w:rsid w:val="00773984"/>
    <w:rsid w:val="00773DD1"/>
    <w:rsid w:val="007747B6"/>
    <w:rsid w:val="00774E01"/>
    <w:rsid w:val="00774E16"/>
    <w:rsid w:val="00774F17"/>
    <w:rsid w:val="00775AA0"/>
    <w:rsid w:val="007764AE"/>
    <w:rsid w:val="007765EE"/>
    <w:rsid w:val="0077668E"/>
    <w:rsid w:val="0077696F"/>
    <w:rsid w:val="00776DB6"/>
    <w:rsid w:val="00776EE1"/>
    <w:rsid w:val="007779A2"/>
    <w:rsid w:val="00777D03"/>
    <w:rsid w:val="00780E1D"/>
    <w:rsid w:val="00781A98"/>
    <w:rsid w:val="00781E36"/>
    <w:rsid w:val="00781FF1"/>
    <w:rsid w:val="00784AE4"/>
    <w:rsid w:val="00785523"/>
    <w:rsid w:val="00785975"/>
    <w:rsid w:val="00786160"/>
    <w:rsid w:val="007862E8"/>
    <w:rsid w:val="00786A00"/>
    <w:rsid w:val="00786B1E"/>
    <w:rsid w:val="007872A7"/>
    <w:rsid w:val="007874E2"/>
    <w:rsid w:val="00787935"/>
    <w:rsid w:val="00787AEF"/>
    <w:rsid w:val="0079077A"/>
    <w:rsid w:val="00790AB3"/>
    <w:rsid w:val="00791D39"/>
    <w:rsid w:val="00792593"/>
    <w:rsid w:val="00792672"/>
    <w:rsid w:val="00792A50"/>
    <w:rsid w:val="007937F0"/>
    <w:rsid w:val="0079389A"/>
    <w:rsid w:val="00793ED3"/>
    <w:rsid w:val="00794481"/>
    <w:rsid w:val="0079589A"/>
    <w:rsid w:val="00795C9C"/>
    <w:rsid w:val="00796BBC"/>
    <w:rsid w:val="00796C22"/>
    <w:rsid w:val="007A0748"/>
    <w:rsid w:val="007A1AF1"/>
    <w:rsid w:val="007A20A6"/>
    <w:rsid w:val="007A29F1"/>
    <w:rsid w:val="007A2CC1"/>
    <w:rsid w:val="007A3CF2"/>
    <w:rsid w:val="007A3F6F"/>
    <w:rsid w:val="007A4434"/>
    <w:rsid w:val="007A4AB8"/>
    <w:rsid w:val="007A4BC3"/>
    <w:rsid w:val="007A4CE6"/>
    <w:rsid w:val="007A53F7"/>
    <w:rsid w:val="007A64B7"/>
    <w:rsid w:val="007A6C9D"/>
    <w:rsid w:val="007A6DB1"/>
    <w:rsid w:val="007A6E9B"/>
    <w:rsid w:val="007B016D"/>
    <w:rsid w:val="007B0916"/>
    <w:rsid w:val="007B0A5F"/>
    <w:rsid w:val="007B1784"/>
    <w:rsid w:val="007B1F10"/>
    <w:rsid w:val="007B2B0B"/>
    <w:rsid w:val="007B2B0E"/>
    <w:rsid w:val="007B2E51"/>
    <w:rsid w:val="007B35B0"/>
    <w:rsid w:val="007B35FA"/>
    <w:rsid w:val="007B49F7"/>
    <w:rsid w:val="007B4C21"/>
    <w:rsid w:val="007B4E07"/>
    <w:rsid w:val="007B4E5E"/>
    <w:rsid w:val="007B4E8E"/>
    <w:rsid w:val="007B4F29"/>
    <w:rsid w:val="007B5A2E"/>
    <w:rsid w:val="007B5C7B"/>
    <w:rsid w:val="007B61C1"/>
    <w:rsid w:val="007B6A5F"/>
    <w:rsid w:val="007B6E4E"/>
    <w:rsid w:val="007B73FB"/>
    <w:rsid w:val="007B7CCA"/>
    <w:rsid w:val="007C04F5"/>
    <w:rsid w:val="007C0892"/>
    <w:rsid w:val="007C0B11"/>
    <w:rsid w:val="007C175A"/>
    <w:rsid w:val="007C1BE0"/>
    <w:rsid w:val="007C3605"/>
    <w:rsid w:val="007C3F0D"/>
    <w:rsid w:val="007C5313"/>
    <w:rsid w:val="007C5569"/>
    <w:rsid w:val="007C5AE2"/>
    <w:rsid w:val="007C5F50"/>
    <w:rsid w:val="007C7337"/>
    <w:rsid w:val="007C7AA7"/>
    <w:rsid w:val="007C7C73"/>
    <w:rsid w:val="007D04DA"/>
    <w:rsid w:val="007D144C"/>
    <w:rsid w:val="007D24CD"/>
    <w:rsid w:val="007D3121"/>
    <w:rsid w:val="007D4D02"/>
    <w:rsid w:val="007D5559"/>
    <w:rsid w:val="007D6744"/>
    <w:rsid w:val="007D7152"/>
    <w:rsid w:val="007D7D66"/>
    <w:rsid w:val="007D7ED6"/>
    <w:rsid w:val="007E0411"/>
    <w:rsid w:val="007E0504"/>
    <w:rsid w:val="007E1147"/>
    <w:rsid w:val="007E3E56"/>
    <w:rsid w:val="007E4CD0"/>
    <w:rsid w:val="007E5301"/>
    <w:rsid w:val="007E58C1"/>
    <w:rsid w:val="007E5992"/>
    <w:rsid w:val="007E6259"/>
    <w:rsid w:val="007E67BA"/>
    <w:rsid w:val="007E7AB2"/>
    <w:rsid w:val="007F0DEC"/>
    <w:rsid w:val="007F0EEE"/>
    <w:rsid w:val="007F12D9"/>
    <w:rsid w:val="007F1AA6"/>
    <w:rsid w:val="007F2C1E"/>
    <w:rsid w:val="007F2D4F"/>
    <w:rsid w:val="007F386F"/>
    <w:rsid w:val="007F50B7"/>
    <w:rsid w:val="007F54F9"/>
    <w:rsid w:val="007F5DDC"/>
    <w:rsid w:val="007F612B"/>
    <w:rsid w:val="007F64F0"/>
    <w:rsid w:val="007F69F2"/>
    <w:rsid w:val="007F6A81"/>
    <w:rsid w:val="007F6DAF"/>
    <w:rsid w:val="007F70B5"/>
    <w:rsid w:val="0080122F"/>
    <w:rsid w:val="0080182D"/>
    <w:rsid w:val="00803017"/>
    <w:rsid w:val="008041E3"/>
    <w:rsid w:val="0080431B"/>
    <w:rsid w:val="00804784"/>
    <w:rsid w:val="0080486E"/>
    <w:rsid w:val="0080501D"/>
    <w:rsid w:val="00805725"/>
    <w:rsid w:val="0080724A"/>
    <w:rsid w:val="00807618"/>
    <w:rsid w:val="00807700"/>
    <w:rsid w:val="00807F90"/>
    <w:rsid w:val="008112F0"/>
    <w:rsid w:val="00812C02"/>
    <w:rsid w:val="008132B2"/>
    <w:rsid w:val="008133EF"/>
    <w:rsid w:val="00813EDE"/>
    <w:rsid w:val="00813F11"/>
    <w:rsid w:val="008152A2"/>
    <w:rsid w:val="00816408"/>
    <w:rsid w:val="00816483"/>
    <w:rsid w:val="0081656D"/>
    <w:rsid w:val="00817365"/>
    <w:rsid w:val="00817A1D"/>
    <w:rsid w:val="008204BF"/>
    <w:rsid w:val="00820811"/>
    <w:rsid w:val="00820D8A"/>
    <w:rsid w:val="00821FAE"/>
    <w:rsid w:val="008229DA"/>
    <w:rsid w:val="00823537"/>
    <w:rsid w:val="008246DF"/>
    <w:rsid w:val="008252DC"/>
    <w:rsid w:val="008260EF"/>
    <w:rsid w:val="00826192"/>
    <w:rsid w:val="00826947"/>
    <w:rsid w:val="00827204"/>
    <w:rsid w:val="0082721B"/>
    <w:rsid w:val="008272E2"/>
    <w:rsid w:val="00827936"/>
    <w:rsid w:val="00827E2F"/>
    <w:rsid w:val="008300EB"/>
    <w:rsid w:val="00830EC1"/>
    <w:rsid w:val="0083130B"/>
    <w:rsid w:val="00831566"/>
    <w:rsid w:val="00832765"/>
    <w:rsid w:val="008327D8"/>
    <w:rsid w:val="008333BA"/>
    <w:rsid w:val="008333BB"/>
    <w:rsid w:val="008334D7"/>
    <w:rsid w:val="00833CD6"/>
    <w:rsid w:val="00833E39"/>
    <w:rsid w:val="008343BE"/>
    <w:rsid w:val="00835243"/>
    <w:rsid w:val="008360D3"/>
    <w:rsid w:val="00836164"/>
    <w:rsid w:val="008363DB"/>
    <w:rsid w:val="008366CF"/>
    <w:rsid w:val="0083670B"/>
    <w:rsid w:val="00836D59"/>
    <w:rsid w:val="0083707C"/>
    <w:rsid w:val="00837670"/>
    <w:rsid w:val="0084069D"/>
    <w:rsid w:val="00840755"/>
    <w:rsid w:val="0084133A"/>
    <w:rsid w:val="008414DF"/>
    <w:rsid w:val="00841646"/>
    <w:rsid w:val="00841BA4"/>
    <w:rsid w:val="00841BE9"/>
    <w:rsid w:val="00841F38"/>
    <w:rsid w:val="00842535"/>
    <w:rsid w:val="00842A3A"/>
    <w:rsid w:val="00842D75"/>
    <w:rsid w:val="008441A9"/>
    <w:rsid w:val="008443C3"/>
    <w:rsid w:val="0084496A"/>
    <w:rsid w:val="00845286"/>
    <w:rsid w:val="00845EFC"/>
    <w:rsid w:val="00847634"/>
    <w:rsid w:val="008478DD"/>
    <w:rsid w:val="00850A54"/>
    <w:rsid w:val="0085165F"/>
    <w:rsid w:val="00852022"/>
    <w:rsid w:val="00852BBF"/>
    <w:rsid w:val="00853476"/>
    <w:rsid w:val="008541F4"/>
    <w:rsid w:val="00854357"/>
    <w:rsid w:val="00854676"/>
    <w:rsid w:val="00854C24"/>
    <w:rsid w:val="00855ECD"/>
    <w:rsid w:val="0085665D"/>
    <w:rsid w:val="00856A68"/>
    <w:rsid w:val="00856BF5"/>
    <w:rsid w:val="00857297"/>
    <w:rsid w:val="00857584"/>
    <w:rsid w:val="00857A86"/>
    <w:rsid w:val="00860AE1"/>
    <w:rsid w:val="00860C96"/>
    <w:rsid w:val="00861150"/>
    <w:rsid w:val="0086142B"/>
    <w:rsid w:val="0086212A"/>
    <w:rsid w:val="008622FD"/>
    <w:rsid w:val="00863054"/>
    <w:rsid w:val="0086362A"/>
    <w:rsid w:val="008643C3"/>
    <w:rsid w:val="00865FEF"/>
    <w:rsid w:val="0086637E"/>
    <w:rsid w:val="008664B6"/>
    <w:rsid w:val="00866716"/>
    <w:rsid w:val="00866804"/>
    <w:rsid w:val="0086682B"/>
    <w:rsid w:val="0087135C"/>
    <w:rsid w:val="00871BB6"/>
    <w:rsid w:val="00872D23"/>
    <w:rsid w:val="00873547"/>
    <w:rsid w:val="008736AF"/>
    <w:rsid w:val="008737BB"/>
    <w:rsid w:val="00873952"/>
    <w:rsid w:val="00874B02"/>
    <w:rsid w:val="00874DD4"/>
    <w:rsid w:val="00874FE9"/>
    <w:rsid w:val="008767FC"/>
    <w:rsid w:val="00877B2F"/>
    <w:rsid w:val="00881031"/>
    <w:rsid w:val="00883220"/>
    <w:rsid w:val="00883614"/>
    <w:rsid w:val="00883E01"/>
    <w:rsid w:val="0088423A"/>
    <w:rsid w:val="00885A0E"/>
    <w:rsid w:val="00885CB9"/>
    <w:rsid w:val="0088672C"/>
    <w:rsid w:val="00887D22"/>
    <w:rsid w:val="008924B8"/>
    <w:rsid w:val="0089257F"/>
    <w:rsid w:val="00892F4D"/>
    <w:rsid w:val="00892FC9"/>
    <w:rsid w:val="00893535"/>
    <w:rsid w:val="0089362F"/>
    <w:rsid w:val="00894701"/>
    <w:rsid w:val="0089477E"/>
    <w:rsid w:val="00894FE7"/>
    <w:rsid w:val="008952C6"/>
    <w:rsid w:val="00895B8F"/>
    <w:rsid w:val="00895F49"/>
    <w:rsid w:val="00895F7E"/>
    <w:rsid w:val="00896AEF"/>
    <w:rsid w:val="00896BE7"/>
    <w:rsid w:val="00896DFD"/>
    <w:rsid w:val="008975B3"/>
    <w:rsid w:val="00897A15"/>
    <w:rsid w:val="008A0309"/>
    <w:rsid w:val="008A0504"/>
    <w:rsid w:val="008A1C25"/>
    <w:rsid w:val="008A1D1D"/>
    <w:rsid w:val="008A2637"/>
    <w:rsid w:val="008A33E5"/>
    <w:rsid w:val="008A38B4"/>
    <w:rsid w:val="008A4089"/>
    <w:rsid w:val="008A47B9"/>
    <w:rsid w:val="008A48E8"/>
    <w:rsid w:val="008A4D6E"/>
    <w:rsid w:val="008A5F8C"/>
    <w:rsid w:val="008A612F"/>
    <w:rsid w:val="008A6325"/>
    <w:rsid w:val="008A669B"/>
    <w:rsid w:val="008A669F"/>
    <w:rsid w:val="008B00F1"/>
    <w:rsid w:val="008B1204"/>
    <w:rsid w:val="008B14B6"/>
    <w:rsid w:val="008B195F"/>
    <w:rsid w:val="008B1B1F"/>
    <w:rsid w:val="008B2C2D"/>
    <w:rsid w:val="008B3929"/>
    <w:rsid w:val="008B4385"/>
    <w:rsid w:val="008B43D1"/>
    <w:rsid w:val="008B45F3"/>
    <w:rsid w:val="008B493A"/>
    <w:rsid w:val="008B4D06"/>
    <w:rsid w:val="008B599B"/>
    <w:rsid w:val="008B5F90"/>
    <w:rsid w:val="008B6A85"/>
    <w:rsid w:val="008B6AF0"/>
    <w:rsid w:val="008B7623"/>
    <w:rsid w:val="008B77B1"/>
    <w:rsid w:val="008B780A"/>
    <w:rsid w:val="008B7B9B"/>
    <w:rsid w:val="008B7CC2"/>
    <w:rsid w:val="008B7DE5"/>
    <w:rsid w:val="008B7FB8"/>
    <w:rsid w:val="008C0149"/>
    <w:rsid w:val="008C1129"/>
    <w:rsid w:val="008C1A64"/>
    <w:rsid w:val="008C35CF"/>
    <w:rsid w:val="008C3A88"/>
    <w:rsid w:val="008C3CC6"/>
    <w:rsid w:val="008C43D2"/>
    <w:rsid w:val="008C4434"/>
    <w:rsid w:val="008C4F2F"/>
    <w:rsid w:val="008C4FE8"/>
    <w:rsid w:val="008C5101"/>
    <w:rsid w:val="008C5F6E"/>
    <w:rsid w:val="008C6CF0"/>
    <w:rsid w:val="008C729C"/>
    <w:rsid w:val="008C73B9"/>
    <w:rsid w:val="008C750E"/>
    <w:rsid w:val="008C7BC5"/>
    <w:rsid w:val="008D02D4"/>
    <w:rsid w:val="008D0370"/>
    <w:rsid w:val="008D084C"/>
    <w:rsid w:val="008D2DC8"/>
    <w:rsid w:val="008D393E"/>
    <w:rsid w:val="008D5051"/>
    <w:rsid w:val="008D5615"/>
    <w:rsid w:val="008D59DF"/>
    <w:rsid w:val="008D6636"/>
    <w:rsid w:val="008D787A"/>
    <w:rsid w:val="008E02B7"/>
    <w:rsid w:val="008E095B"/>
    <w:rsid w:val="008E16AB"/>
    <w:rsid w:val="008E1A3E"/>
    <w:rsid w:val="008E1D3F"/>
    <w:rsid w:val="008E1D60"/>
    <w:rsid w:val="008E1DF9"/>
    <w:rsid w:val="008E266C"/>
    <w:rsid w:val="008E2DE0"/>
    <w:rsid w:val="008E3066"/>
    <w:rsid w:val="008E3690"/>
    <w:rsid w:val="008E4601"/>
    <w:rsid w:val="008E4EA1"/>
    <w:rsid w:val="008E50A3"/>
    <w:rsid w:val="008E5A49"/>
    <w:rsid w:val="008E62E4"/>
    <w:rsid w:val="008E7583"/>
    <w:rsid w:val="008E7F36"/>
    <w:rsid w:val="008F0CBB"/>
    <w:rsid w:val="008F1142"/>
    <w:rsid w:val="008F1272"/>
    <w:rsid w:val="008F149A"/>
    <w:rsid w:val="008F1C42"/>
    <w:rsid w:val="008F1EC3"/>
    <w:rsid w:val="008F29AD"/>
    <w:rsid w:val="008F2E7F"/>
    <w:rsid w:val="008F3756"/>
    <w:rsid w:val="008F38C9"/>
    <w:rsid w:val="008F3D40"/>
    <w:rsid w:val="008F4295"/>
    <w:rsid w:val="008F46AB"/>
    <w:rsid w:val="008F4F56"/>
    <w:rsid w:val="008F5014"/>
    <w:rsid w:val="008F50A1"/>
    <w:rsid w:val="008F5676"/>
    <w:rsid w:val="008F618D"/>
    <w:rsid w:val="008F627A"/>
    <w:rsid w:val="008F69C2"/>
    <w:rsid w:val="008F784A"/>
    <w:rsid w:val="008F7E63"/>
    <w:rsid w:val="0090015A"/>
    <w:rsid w:val="009002D1"/>
    <w:rsid w:val="0090130C"/>
    <w:rsid w:val="009016D4"/>
    <w:rsid w:val="0090183F"/>
    <w:rsid w:val="009018E0"/>
    <w:rsid w:val="009027CB"/>
    <w:rsid w:val="009040D5"/>
    <w:rsid w:val="00904FB4"/>
    <w:rsid w:val="00905394"/>
    <w:rsid w:val="00905737"/>
    <w:rsid w:val="00905899"/>
    <w:rsid w:val="009068E4"/>
    <w:rsid w:val="00906C23"/>
    <w:rsid w:val="00906D79"/>
    <w:rsid w:val="0090794F"/>
    <w:rsid w:val="00907E14"/>
    <w:rsid w:val="00910103"/>
    <w:rsid w:val="009106B6"/>
    <w:rsid w:val="00910BEB"/>
    <w:rsid w:val="009113D8"/>
    <w:rsid w:val="00911C21"/>
    <w:rsid w:val="00912E92"/>
    <w:rsid w:val="009132B9"/>
    <w:rsid w:val="009135C2"/>
    <w:rsid w:val="00913A72"/>
    <w:rsid w:val="00913B8D"/>
    <w:rsid w:val="00914FFA"/>
    <w:rsid w:val="00915D63"/>
    <w:rsid w:val="00916EB7"/>
    <w:rsid w:val="00917564"/>
    <w:rsid w:val="0091765A"/>
    <w:rsid w:val="009176C3"/>
    <w:rsid w:val="00917D47"/>
    <w:rsid w:val="00917E61"/>
    <w:rsid w:val="00917FA7"/>
    <w:rsid w:val="00920309"/>
    <w:rsid w:val="00920421"/>
    <w:rsid w:val="00920BE2"/>
    <w:rsid w:val="00920D90"/>
    <w:rsid w:val="009214FC"/>
    <w:rsid w:val="00921E4B"/>
    <w:rsid w:val="0092212B"/>
    <w:rsid w:val="00922DBB"/>
    <w:rsid w:val="00922F54"/>
    <w:rsid w:val="00923403"/>
    <w:rsid w:val="00923E41"/>
    <w:rsid w:val="00924589"/>
    <w:rsid w:val="009250B2"/>
    <w:rsid w:val="00925509"/>
    <w:rsid w:val="0092561F"/>
    <w:rsid w:val="00925A80"/>
    <w:rsid w:val="009268A9"/>
    <w:rsid w:val="00927A4D"/>
    <w:rsid w:val="00931253"/>
    <w:rsid w:val="0093183E"/>
    <w:rsid w:val="00931DBF"/>
    <w:rsid w:val="009329F2"/>
    <w:rsid w:val="00932AE0"/>
    <w:rsid w:val="00932B88"/>
    <w:rsid w:val="00932D1D"/>
    <w:rsid w:val="0093328D"/>
    <w:rsid w:val="00933D5B"/>
    <w:rsid w:val="00934A7C"/>
    <w:rsid w:val="00934B68"/>
    <w:rsid w:val="00936449"/>
    <w:rsid w:val="00936562"/>
    <w:rsid w:val="009372A1"/>
    <w:rsid w:val="00937EC9"/>
    <w:rsid w:val="00941717"/>
    <w:rsid w:val="009417CC"/>
    <w:rsid w:val="00941A2A"/>
    <w:rsid w:val="00941B25"/>
    <w:rsid w:val="00941CCC"/>
    <w:rsid w:val="00942740"/>
    <w:rsid w:val="00942B04"/>
    <w:rsid w:val="00942EAC"/>
    <w:rsid w:val="009435C8"/>
    <w:rsid w:val="009441D7"/>
    <w:rsid w:val="0094440A"/>
    <w:rsid w:val="00944CB1"/>
    <w:rsid w:val="009456E8"/>
    <w:rsid w:val="009458A2"/>
    <w:rsid w:val="009461B6"/>
    <w:rsid w:val="00946325"/>
    <w:rsid w:val="009479E4"/>
    <w:rsid w:val="00947B39"/>
    <w:rsid w:val="00947D8F"/>
    <w:rsid w:val="00950683"/>
    <w:rsid w:val="00952ABE"/>
    <w:rsid w:val="009530A5"/>
    <w:rsid w:val="00953442"/>
    <w:rsid w:val="00954412"/>
    <w:rsid w:val="00954A0E"/>
    <w:rsid w:val="00954C54"/>
    <w:rsid w:val="009554F2"/>
    <w:rsid w:val="00955898"/>
    <w:rsid w:val="00956AEA"/>
    <w:rsid w:val="0095764C"/>
    <w:rsid w:val="00957873"/>
    <w:rsid w:val="00957C77"/>
    <w:rsid w:val="00957EC5"/>
    <w:rsid w:val="00960DC4"/>
    <w:rsid w:val="00961893"/>
    <w:rsid w:val="009619B8"/>
    <w:rsid w:val="009619EC"/>
    <w:rsid w:val="00962139"/>
    <w:rsid w:val="00962391"/>
    <w:rsid w:val="00963B20"/>
    <w:rsid w:val="00963B76"/>
    <w:rsid w:val="0096689D"/>
    <w:rsid w:val="00966D42"/>
    <w:rsid w:val="0096769E"/>
    <w:rsid w:val="00967F5C"/>
    <w:rsid w:val="009717BD"/>
    <w:rsid w:val="00971A42"/>
    <w:rsid w:val="00972218"/>
    <w:rsid w:val="00972929"/>
    <w:rsid w:val="009730F2"/>
    <w:rsid w:val="00973627"/>
    <w:rsid w:val="00973F10"/>
    <w:rsid w:val="00973FD9"/>
    <w:rsid w:val="00974856"/>
    <w:rsid w:val="009748EA"/>
    <w:rsid w:val="00974B29"/>
    <w:rsid w:val="00974BFF"/>
    <w:rsid w:val="00974F89"/>
    <w:rsid w:val="0097630E"/>
    <w:rsid w:val="00977214"/>
    <w:rsid w:val="00981303"/>
    <w:rsid w:val="009828AD"/>
    <w:rsid w:val="00982F2D"/>
    <w:rsid w:val="009837E2"/>
    <w:rsid w:val="00983E23"/>
    <w:rsid w:val="00984107"/>
    <w:rsid w:val="00985D36"/>
    <w:rsid w:val="009860C9"/>
    <w:rsid w:val="0098685F"/>
    <w:rsid w:val="00986C9D"/>
    <w:rsid w:val="00987F61"/>
    <w:rsid w:val="00990227"/>
    <w:rsid w:val="00990D03"/>
    <w:rsid w:val="00991C8F"/>
    <w:rsid w:val="0099232F"/>
    <w:rsid w:val="00992EE2"/>
    <w:rsid w:val="00992F1C"/>
    <w:rsid w:val="0099320B"/>
    <w:rsid w:val="009938B1"/>
    <w:rsid w:val="0099408B"/>
    <w:rsid w:val="0099483C"/>
    <w:rsid w:val="00994BCB"/>
    <w:rsid w:val="00995209"/>
    <w:rsid w:val="00995FB6"/>
    <w:rsid w:val="009965F2"/>
    <w:rsid w:val="009977AB"/>
    <w:rsid w:val="00997977"/>
    <w:rsid w:val="00997A93"/>
    <w:rsid w:val="00997FB9"/>
    <w:rsid w:val="009A07A9"/>
    <w:rsid w:val="009A162F"/>
    <w:rsid w:val="009A2E87"/>
    <w:rsid w:val="009A38F7"/>
    <w:rsid w:val="009A39A9"/>
    <w:rsid w:val="009A4233"/>
    <w:rsid w:val="009A494A"/>
    <w:rsid w:val="009A4B92"/>
    <w:rsid w:val="009A4CE6"/>
    <w:rsid w:val="009A51BE"/>
    <w:rsid w:val="009A56E4"/>
    <w:rsid w:val="009A6C93"/>
    <w:rsid w:val="009A7DE5"/>
    <w:rsid w:val="009B013F"/>
    <w:rsid w:val="009B13E0"/>
    <w:rsid w:val="009B1AB1"/>
    <w:rsid w:val="009B1C25"/>
    <w:rsid w:val="009B235E"/>
    <w:rsid w:val="009B357D"/>
    <w:rsid w:val="009B35AC"/>
    <w:rsid w:val="009B3AD4"/>
    <w:rsid w:val="009B420E"/>
    <w:rsid w:val="009B51B2"/>
    <w:rsid w:val="009B6905"/>
    <w:rsid w:val="009B6A14"/>
    <w:rsid w:val="009B6B57"/>
    <w:rsid w:val="009B6E60"/>
    <w:rsid w:val="009B6FC2"/>
    <w:rsid w:val="009B7BEC"/>
    <w:rsid w:val="009C05F9"/>
    <w:rsid w:val="009C0855"/>
    <w:rsid w:val="009C0CC8"/>
    <w:rsid w:val="009C1216"/>
    <w:rsid w:val="009C1284"/>
    <w:rsid w:val="009C1642"/>
    <w:rsid w:val="009C239B"/>
    <w:rsid w:val="009C2BE0"/>
    <w:rsid w:val="009C3023"/>
    <w:rsid w:val="009C38C0"/>
    <w:rsid w:val="009C3A34"/>
    <w:rsid w:val="009C46CF"/>
    <w:rsid w:val="009C4CAC"/>
    <w:rsid w:val="009C4F03"/>
    <w:rsid w:val="009C5C56"/>
    <w:rsid w:val="009C5DB9"/>
    <w:rsid w:val="009C64B5"/>
    <w:rsid w:val="009C767B"/>
    <w:rsid w:val="009C7A31"/>
    <w:rsid w:val="009D021D"/>
    <w:rsid w:val="009D1626"/>
    <w:rsid w:val="009D19E7"/>
    <w:rsid w:val="009D1A16"/>
    <w:rsid w:val="009D1CA5"/>
    <w:rsid w:val="009D2886"/>
    <w:rsid w:val="009D3AE7"/>
    <w:rsid w:val="009D49E2"/>
    <w:rsid w:val="009D522B"/>
    <w:rsid w:val="009D57B3"/>
    <w:rsid w:val="009D57B7"/>
    <w:rsid w:val="009D5A6F"/>
    <w:rsid w:val="009D62B4"/>
    <w:rsid w:val="009D6E09"/>
    <w:rsid w:val="009E08D5"/>
    <w:rsid w:val="009E13B1"/>
    <w:rsid w:val="009E21D7"/>
    <w:rsid w:val="009E2FFD"/>
    <w:rsid w:val="009E31B7"/>
    <w:rsid w:val="009E328D"/>
    <w:rsid w:val="009E3C17"/>
    <w:rsid w:val="009E4017"/>
    <w:rsid w:val="009E47B3"/>
    <w:rsid w:val="009E4C6E"/>
    <w:rsid w:val="009E523E"/>
    <w:rsid w:val="009E5990"/>
    <w:rsid w:val="009E6765"/>
    <w:rsid w:val="009E6785"/>
    <w:rsid w:val="009E686D"/>
    <w:rsid w:val="009E6B96"/>
    <w:rsid w:val="009E7788"/>
    <w:rsid w:val="009E7AED"/>
    <w:rsid w:val="009F01C0"/>
    <w:rsid w:val="009F0211"/>
    <w:rsid w:val="009F02CA"/>
    <w:rsid w:val="009F055B"/>
    <w:rsid w:val="009F0CE2"/>
    <w:rsid w:val="009F0CF3"/>
    <w:rsid w:val="009F0D85"/>
    <w:rsid w:val="009F0F2E"/>
    <w:rsid w:val="009F1EFB"/>
    <w:rsid w:val="009F2361"/>
    <w:rsid w:val="009F30D7"/>
    <w:rsid w:val="009F4194"/>
    <w:rsid w:val="009F4BAA"/>
    <w:rsid w:val="009F523E"/>
    <w:rsid w:val="009F6EC2"/>
    <w:rsid w:val="009F7387"/>
    <w:rsid w:val="009F744B"/>
    <w:rsid w:val="009F7693"/>
    <w:rsid w:val="00A01E0E"/>
    <w:rsid w:val="00A020E8"/>
    <w:rsid w:val="00A02DC4"/>
    <w:rsid w:val="00A02E97"/>
    <w:rsid w:val="00A03AF1"/>
    <w:rsid w:val="00A0472F"/>
    <w:rsid w:val="00A04A10"/>
    <w:rsid w:val="00A05154"/>
    <w:rsid w:val="00A060DF"/>
    <w:rsid w:val="00A0653F"/>
    <w:rsid w:val="00A07291"/>
    <w:rsid w:val="00A073CB"/>
    <w:rsid w:val="00A07FC3"/>
    <w:rsid w:val="00A10449"/>
    <w:rsid w:val="00A10C4C"/>
    <w:rsid w:val="00A10E36"/>
    <w:rsid w:val="00A1106C"/>
    <w:rsid w:val="00A11BFE"/>
    <w:rsid w:val="00A11D00"/>
    <w:rsid w:val="00A120DB"/>
    <w:rsid w:val="00A1226D"/>
    <w:rsid w:val="00A12DC0"/>
    <w:rsid w:val="00A13C5A"/>
    <w:rsid w:val="00A13F4A"/>
    <w:rsid w:val="00A1569A"/>
    <w:rsid w:val="00A15A4A"/>
    <w:rsid w:val="00A16AF3"/>
    <w:rsid w:val="00A17CDA"/>
    <w:rsid w:val="00A17F44"/>
    <w:rsid w:val="00A210C2"/>
    <w:rsid w:val="00A21663"/>
    <w:rsid w:val="00A22E8B"/>
    <w:rsid w:val="00A23A37"/>
    <w:rsid w:val="00A23EE3"/>
    <w:rsid w:val="00A246E1"/>
    <w:rsid w:val="00A25097"/>
    <w:rsid w:val="00A2551C"/>
    <w:rsid w:val="00A25C13"/>
    <w:rsid w:val="00A26F72"/>
    <w:rsid w:val="00A30E9E"/>
    <w:rsid w:val="00A3121F"/>
    <w:rsid w:val="00A31ECC"/>
    <w:rsid w:val="00A32DD1"/>
    <w:rsid w:val="00A32FD8"/>
    <w:rsid w:val="00A33D50"/>
    <w:rsid w:val="00A33E8C"/>
    <w:rsid w:val="00A35CC9"/>
    <w:rsid w:val="00A3609C"/>
    <w:rsid w:val="00A3625F"/>
    <w:rsid w:val="00A36A9C"/>
    <w:rsid w:val="00A36AEF"/>
    <w:rsid w:val="00A371E6"/>
    <w:rsid w:val="00A37540"/>
    <w:rsid w:val="00A37CCE"/>
    <w:rsid w:val="00A37FAB"/>
    <w:rsid w:val="00A4059C"/>
    <w:rsid w:val="00A4072F"/>
    <w:rsid w:val="00A40C3E"/>
    <w:rsid w:val="00A40CE3"/>
    <w:rsid w:val="00A4100F"/>
    <w:rsid w:val="00A44427"/>
    <w:rsid w:val="00A44EE0"/>
    <w:rsid w:val="00A47777"/>
    <w:rsid w:val="00A479C0"/>
    <w:rsid w:val="00A47E00"/>
    <w:rsid w:val="00A47F4C"/>
    <w:rsid w:val="00A501D6"/>
    <w:rsid w:val="00A509F7"/>
    <w:rsid w:val="00A50C18"/>
    <w:rsid w:val="00A5151D"/>
    <w:rsid w:val="00A51636"/>
    <w:rsid w:val="00A51D8E"/>
    <w:rsid w:val="00A51FA7"/>
    <w:rsid w:val="00A52338"/>
    <w:rsid w:val="00A52730"/>
    <w:rsid w:val="00A52FB9"/>
    <w:rsid w:val="00A53D07"/>
    <w:rsid w:val="00A54D5A"/>
    <w:rsid w:val="00A55622"/>
    <w:rsid w:val="00A55A94"/>
    <w:rsid w:val="00A5611C"/>
    <w:rsid w:val="00A561BD"/>
    <w:rsid w:val="00A56A09"/>
    <w:rsid w:val="00A57090"/>
    <w:rsid w:val="00A57182"/>
    <w:rsid w:val="00A579BC"/>
    <w:rsid w:val="00A61287"/>
    <w:rsid w:val="00A622C2"/>
    <w:rsid w:val="00A63ACC"/>
    <w:rsid w:val="00A63B06"/>
    <w:rsid w:val="00A66B0B"/>
    <w:rsid w:val="00A7222E"/>
    <w:rsid w:val="00A7238F"/>
    <w:rsid w:val="00A7316F"/>
    <w:rsid w:val="00A7474D"/>
    <w:rsid w:val="00A74943"/>
    <w:rsid w:val="00A75492"/>
    <w:rsid w:val="00A75A34"/>
    <w:rsid w:val="00A76151"/>
    <w:rsid w:val="00A76310"/>
    <w:rsid w:val="00A763E0"/>
    <w:rsid w:val="00A76652"/>
    <w:rsid w:val="00A766BC"/>
    <w:rsid w:val="00A76C70"/>
    <w:rsid w:val="00A806A2"/>
    <w:rsid w:val="00A80769"/>
    <w:rsid w:val="00A808CB"/>
    <w:rsid w:val="00A814C4"/>
    <w:rsid w:val="00A81D28"/>
    <w:rsid w:val="00A81DC7"/>
    <w:rsid w:val="00A8292D"/>
    <w:rsid w:val="00A82DA6"/>
    <w:rsid w:val="00A83465"/>
    <w:rsid w:val="00A836ED"/>
    <w:rsid w:val="00A850F3"/>
    <w:rsid w:val="00A85A8B"/>
    <w:rsid w:val="00A85B10"/>
    <w:rsid w:val="00A85D20"/>
    <w:rsid w:val="00A86E59"/>
    <w:rsid w:val="00A8753E"/>
    <w:rsid w:val="00A875D9"/>
    <w:rsid w:val="00A87B18"/>
    <w:rsid w:val="00A87B5B"/>
    <w:rsid w:val="00A87C4C"/>
    <w:rsid w:val="00A90064"/>
    <w:rsid w:val="00A9040A"/>
    <w:rsid w:val="00A9041C"/>
    <w:rsid w:val="00A9053B"/>
    <w:rsid w:val="00A90AFC"/>
    <w:rsid w:val="00A90C75"/>
    <w:rsid w:val="00A90E61"/>
    <w:rsid w:val="00A91012"/>
    <w:rsid w:val="00A917AB"/>
    <w:rsid w:val="00A9186A"/>
    <w:rsid w:val="00A9205D"/>
    <w:rsid w:val="00A92F17"/>
    <w:rsid w:val="00A9391F"/>
    <w:rsid w:val="00A94260"/>
    <w:rsid w:val="00A94C86"/>
    <w:rsid w:val="00A950AB"/>
    <w:rsid w:val="00A95442"/>
    <w:rsid w:val="00A95C7A"/>
    <w:rsid w:val="00A96CE4"/>
    <w:rsid w:val="00A96E87"/>
    <w:rsid w:val="00AA020E"/>
    <w:rsid w:val="00AA1109"/>
    <w:rsid w:val="00AA13B1"/>
    <w:rsid w:val="00AA1460"/>
    <w:rsid w:val="00AA15B1"/>
    <w:rsid w:val="00AA1D5D"/>
    <w:rsid w:val="00AA36BA"/>
    <w:rsid w:val="00AA3AE1"/>
    <w:rsid w:val="00AA439A"/>
    <w:rsid w:val="00AA462E"/>
    <w:rsid w:val="00AA4ED0"/>
    <w:rsid w:val="00AA5057"/>
    <w:rsid w:val="00AA56AF"/>
    <w:rsid w:val="00AA58A9"/>
    <w:rsid w:val="00AA656B"/>
    <w:rsid w:val="00AA6678"/>
    <w:rsid w:val="00AA6A2D"/>
    <w:rsid w:val="00AB016E"/>
    <w:rsid w:val="00AB19DF"/>
    <w:rsid w:val="00AB1A37"/>
    <w:rsid w:val="00AB1D0F"/>
    <w:rsid w:val="00AB1FE9"/>
    <w:rsid w:val="00AB25B3"/>
    <w:rsid w:val="00AB25DD"/>
    <w:rsid w:val="00AB262B"/>
    <w:rsid w:val="00AB27E6"/>
    <w:rsid w:val="00AB31F0"/>
    <w:rsid w:val="00AB37B5"/>
    <w:rsid w:val="00AB390F"/>
    <w:rsid w:val="00AB39B6"/>
    <w:rsid w:val="00AB3F83"/>
    <w:rsid w:val="00AB4FF6"/>
    <w:rsid w:val="00AB6B62"/>
    <w:rsid w:val="00AB73EE"/>
    <w:rsid w:val="00AB774A"/>
    <w:rsid w:val="00AB78EC"/>
    <w:rsid w:val="00AC0A96"/>
    <w:rsid w:val="00AC194A"/>
    <w:rsid w:val="00AC2CBE"/>
    <w:rsid w:val="00AC2D6D"/>
    <w:rsid w:val="00AC394B"/>
    <w:rsid w:val="00AC3C25"/>
    <w:rsid w:val="00AC4C70"/>
    <w:rsid w:val="00AC4C91"/>
    <w:rsid w:val="00AC5A82"/>
    <w:rsid w:val="00AC5BAE"/>
    <w:rsid w:val="00AC5CB1"/>
    <w:rsid w:val="00AC6531"/>
    <w:rsid w:val="00AC706B"/>
    <w:rsid w:val="00AD01A3"/>
    <w:rsid w:val="00AD01B2"/>
    <w:rsid w:val="00AD1189"/>
    <w:rsid w:val="00AD1211"/>
    <w:rsid w:val="00AD127D"/>
    <w:rsid w:val="00AD1FAA"/>
    <w:rsid w:val="00AD3923"/>
    <w:rsid w:val="00AD3BD0"/>
    <w:rsid w:val="00AD4EF5"/>
    <w:rsid w:val="00AD5A2C"/>
    <w:rsid w:val="00AD688A"/>
    <w:rsid w:val="00AD6E1E"/>
    <w:rsid w:val="00AE05CC"/>
    <w:rsid w:val="00AE2269"/>
    <w:rsid w:val="00AE38A5"/>
    <w:rsid w:val="00AE3A3E"/>
    <w:rsid w:val="00AE3A71"/>
    <w:rsid w:val="00AE40D8"/>
    <w:rsid w:val="00AE42AE"/>
    <w:rsid w:val="00AE4839"/>
    <w:rsid w:val="00AE4850"/>
    <w:rsid w:val="00AE4F97"/>
    <w:rsid w:val="00AE5661"/>
    <w:rsid w:val="00AE5995"/>
    <w:rsid w:val="00AE5DF9"/>
    <w:rsid w:val="00AE5E60"/>
    <w:rsid w:val="00AF0D64"/>
    <w:rsid w:val="00AF197C"/>
    <w:rsid w:val="00AF1B35"/>
    <w:rsid w:val="00AF1F01"/>
    <w:rsid w:val="00AF2F33"/>
    <w:rsid w:val="00AF2FA9"/>
    <w:rsid w:val="00AF2FDC"/>
    <w:rsid w:val="00AF34A2"/>
    <w:rsid w:val="00AF47B4"/>
    <w:rsid w:val="00AF49EB"/>
    <w:rsid w:val="00AF49F2"/>
    <w:rsid w:val="00AF4A22"/>
    <w:rsid w:val="00AF4F5A"/>
    <w:rsid w:val="00AF4FF0"/>
    <w:rsid w:val="00AF54A2"/>
    <w:rsid w:val="00AF5C39"/>
    <w:rsid w:val="00AF6AB0"/>
    <w:rsid w:val="00AF7521"/>
    <w:rsid w:val="00AF7EC2"/>
    <w:rsid w:val="00B00779"/>
    <w:rsid w:val="00B008F8"/>
    <w:rsid w:val="00B01D0A"/>
    <w:rsid w:val="00B01D7C"/>
    <w:rsid w:val="00B02679"/>
    <w:rsid w:val="00B0285B"/>
    <w:rsid w:val="00B0295A"/>
    <w:rsid w:val="00B03FD7"/>
    <w:rsid w:val="00B04923"/>
    <w:rsid w:val="00B049D4"/>
    <w:rsid w:val="00B0529B"/>
    <w:rsid w:val="00B059B1"/>
    <w:rsid w:val="00B05FA4"/>
    <w:rsid w:val="00B0607E"/>
    <w:rsid w:val="00B060E9"/>
    <w:rsid w:val="00B06A2C"/>
    <w:rsid w:val="00B073FA"/>
    <w:rsid w:val="00B1138D"/>
    <w:rsid w:val="00B12271"/>
    <w:rsid w:val="00B1274D"/>
    <w:rsid w:val="00B12AA1"/>
    <w:rsid w:val="00B1336B"/>
    <w:rsid w:val="00B1357C"/>
    <w:rsid w:val="00B13753"/>
    <w:rsid w:val="00B13B77"/>
    <w:rsid w:val="00B13EA9"/>
    <w:rsid w:val="00B1472F"/>
    <w:rsid w:val="00B149B4"/>
    <w:rsid w:val="00B14C02"/>
    <w:rsid w:val="00B1517A"/>
    <w:rsid w:val="00B16FBF"/>
    <w:rsid w:val="00B1751F"/>
    <w:rsid w:val="00B17B9D"/>
    <w:rsid w:val="00B20309"/>
    <w:rsid w:val="00B206AE"/>
    <w:rsid w:val="00B20D17"/>
    <w:rsid w:val="00B210C1"/>
    <w:rsid w:val="00B21471"/>
    <w:rsid w:val="00B21D26"/>
    <w:rsid w:val="00B23039"/>
    <w:rsid w:val="00B237CA"/>
    <w:rsid w:val="00B24210"/>
    <w:rsid w:val="00B24C7E"/>
    <w:rsid w:val="00B24DF1"/>
    <w:rsid w:val="00B263E1"/>
    <w:rsid w:val="00B2681C"/>
    <w:rsid w:val="00B26872"/>
    <w:rsid w:val="00B26E53"/>
    <w:rsid w:val="00B2715B"/>
    <w:rsid w:val="00B27569"/>
    <w:rsid w:val="00B307A2"/>
    <w:rsid w:val="00B3156B"/>
    <w:rsid w:val="00B32054"/>
    <w:rsid w:val="00B3284A"/>
    <w:rsid w:val="00B32864"/>
    <w:rsid w:val="00B32C62"/>
    <w:rsid w:val="00B332A5"/>
    <w:rsid w:val="00B3349B"/>
    <w:rsid w:val="00B336F5"/>
    <w:rsid w:val="00B33C3A"/>
    <w:rsid w:val="00B340B1"/>
    <w:rsid w:val="00B342C8"/>
    <w:rsid w:val="00B34EE5"/>
    <w:rsid w:val="00B34F30"/>
    <w:rsid w:val="00B3509C"/>
    <w:rsid w:val="00B35188"/>
    <w:rsid w:val="00B363EC"/>
    <w:rsid w:val="00B36644"/>
    <w:rsid w:val="00B36649"/>
    <w:rsid w:val="00B36F90"/>
    <w:rsid w:val="00B37085"/>
    <w:rsid w:val="00B377D5"/>
    <w:rsid w:val="00B4092D"/>
    <w:rsid w:val="00B41606"/>
    <w:rsid w:val="00B42ACC"/>
    <w:rsid w:val="00B42D53"/>
    <w:rsid w:val="00B44242"/>
    <w:rsid w:val="00B444C4"/>
    <w:rsid w:val="00B45A9C"/>
    <w:rsid w:val="00B45E01"/>
    <w:rsid w:val="00B46C15"/>
    <w:rsid w:val="00B50502"/>
    <w:rsid w:val="00B509E5"/>
    <w:rsid w:val="00B50A09"/>
    <w:rsid w:val="00B51269"/>
    <w:rsid w:val="00B512DF"/>
    <w:rsid w:val="00B5256B"/>
    <w:rsid w:val="00B52B72"/>
    <w:rsid w:val="00B52F51"/>
    <w:rsid w:val="00B53C10"/>
    <w:rsid w:val="00B5434D"/>
    <w:rsid w:val="00B54643"/>
    <w:rsid w:val="00B54E3D"/>
    <w:rsid w:val="00B554A6"/>
    <w:rsid w:val="00B55924"/>
    <w:rsid w:val="00B562DE"/>
    <w:rsid w:val="00B56722"/>
    <w:rsid w:val="00B608C0"/>
    <w:rsid w:val="00B61700"/>
    <w:rsid w:val="00B61789"/>
    <w:rsid w:val="00B61B2A"/>
    <w:rsid w:val="00B620BC"/>
    <w:rsid w:val="00B62814"/>
    <w:rsid w:val="00B62C31"/>
    <w:rsid w:val="00B636F7"/>
    <w:rsid w:val="00B63ABD"/>
    <w:rsid w:val="00B641C0"/>
    <w:rsid w:val="00B6477C"/>
    <w:rsid w:val="00B6479B"/>
    <w:rsid w:val="00B64E45"/>
    <w:rsid w:val="00B65084"/>
    <w:rsid w:val="00B67E63"/>
    <w:rsid w:val="00B67FCB"/>
    <w:rsid w:val="00B700C5"/>
    <w:rsid w:val="00B70258"/>
    <w:rsid w:val="00B70361"/>
    <w:rsid w:val="00B7066E"/>
    <w:rsid w:val="00B7169A"/>
    <w:rsid w:val="00B71E8E"/>
    <w:rsid w:val="00B725EC"/>
    <w:rsid w:val="00B72A4C"/>
    <w:rsid w:val="00B73760"/>
    <w:rsid w:val="00B74311"/>
    <w:rsid w:val="00B7448B"/>
    <w:rsid w:val="00B74792"/>
    <w:rsid w:val="00B74FF7"/>
    <w:rsid w:val="00B7502E"/>
    <w:rsid w:val="00B76D03"/>
    <w:rsid w:val="00B77CE6"/>
    <w:rsid w:val="00B802B0"/>
    <w:rsid w:val="00B803B4"/>
    <w:rsid w:val="00B80CED"/>
    <w:rsid w:val="00B81DB7"/>
    <w:rsid w:val="00B81EE0"/>
    <w:rsid w:val="00B823FE"/>
    <w:rsid w:val="00B82BF9"/>
    <w:rsid w:val="00B82C39"/>
    <w:rsid w:val="00B8307D"/>
    <w:rsid w:val="00B833CA"/>
    <w:rsid w:val="00B83627"/>
    <w:rsid w:val="00B8396B"/>
    <w:rsid w:val="00B83BFD"/>
    <w:rsid w:val="00B841A6"/>
    <w:rsid w:val="00B844DA"/>
    <w:rsid w:val="00B8476B"/>
    <w:rsid w:val="00B84E6F"/>
    <w:rsid w:val="00B852D6"/>
    <w:rsid w:val="00B85362"/>
    <w:rsid w:val="00B85789"/>
    <w:rsid w:val="00B85D6D"/>
    <w:rsid w:val="00B86E08"/>
    <w:rsid w:val="00B8711F"/>
    <w:rsid w:val="00B87CDB"/>
    <w:rsid w:val="00B903D3"/>
    <w:rsid w:val="00B9213F"/>
    <w:rsid w:val="00B92D15"/>
    <w:rsid w:val="00B92D73"/>
    <w:rsid w:val="00B947FF"/>
    <w:rsid w:val="00B94EAC"/>
    <w:rsid w:val="00B958E3"/>
    <w:rsid w:val="00B95E06"/>
    <w:rsid w:val="00B96B5C"/>
    <w:rsid w:val="00B96C44"/>
    <w:rsid w:val="00B96DF7"/>
    <w:rsid w:val="00B9709C"/>
    <w:rsid w:val="00B9772E"/>
    <w:rsid w:val="00B9784B"/>
    <w:rsid w:val="00B97A2A"/>
    <w:rsid w:val="00BA01DF"/>
    <w:rsid w:val="00BA0EEF"/>
    <w:rsid w:val="00BA10FE"/>
    <w:rsid w:val="00BA186A"/>
    <w:rsid w:val="00BA2595"/>
    <w:rsid w:val="00BA26A5"/>
    <w:rsid w:val="00BA4359"/>
    <w:rsid w:val="00BA4810"/>
    <w:rsid w:val="00BA7BF2"/>
    <w:rsid w:val="00BB0372"/>
    <w:rsid w:val="00BB06ED"/>
    <w:rsid w:val="00BB0F99"/>
    <w:rsid w:val="00BB100A"/>
    <w:rsid w:val="00BB1DD3"/>
    <w:rsid w:val="00BB2247"/>
    <w:rsid w:val="00BB2870"/>
    <w:rsid w:val="00BB34CD"/>
    <w:rsid w:val="00BB379B"/>
    <w:rsid w:val="00BB3EE9"/>
    <w:rsid w:val="00BB4346"/>
    <w:rsid w:val="00BB4BD7"/>
    <w:rsid w:val="00BB5821"/>
    <w:rsid w:val="00BB689B"/>
    <w:rsid w:val="00BB71D2"/>
    <w:rsid w:val="00BC0037"/>
    <w:rsid w:val="00BC05B4"/>
    <w:rsid w:val="00BC073A"/>
    <w:rsid w:val="00BC0ADD"/>
    <w:rsid w:val="00BC1513"/>
    <w:rsid w:val="00BC1649"/>
    <w:rsid w:val="00BC47F5"/>
    <w:rsid w:val="00BC53F5"/>
    <w:rsid w:val="00BC54E4"/>
    <w:rsid w:val="00BC5551"/>
    <w:rsid w:val="00BC5623"/>
    <w:rsid w:val="00BC58F3"/>
    <w:rsid w:val="00BC5B80"/>
    <w:rsid w:val="00BC6067"/>
    <w:rsid w:val="00BC6130"/>
    <w:rsid w:val="00BC6793"/>
    <w:rsid w:val="00BC6A54"/>
    <w:rsid w:val="00BC6C68"/>
    <w:rsid w:val="00BC7502"/>
    <w:rsid w:val="00BC7568"/>
    <w:rsid w:val="00BD00D1"/>
    <w:rsid w:val="00BD028C"/>
    <w:rsid w:val="00BD067E"/>
    <w:rsid w:val="00BD09B5"/>
    <w:rsid w:val="00BD1081"/>
    <w:rsid w:val="00BD2037"/>
    <w:rsid w:val="00BD2130"/>
    <w:rsid w:val="00BD2723"/>
    <w:rsid w:val="00BD277C"/>
    <w:rsid w:val="00BD2E69"/>
    <w:rsid w:val="00BD3294"/>
    <w:rsid w:val="00BD3AD5"/>
    <w:rsid w:val="00BD4C1D"/>
    <w:rsid w:val="00BD5345"/>
    <w:rsid w:val="00BD5A90"/>
    <w:rsid w:val="00BD5DAD"/>
    <w:rsid w:val="00BD6276"/>
    <w:rsid w:val="00BD6A1C"/>
    <w:rsid w:val="00BD6D1A"/>
    <w:rsid w:val="00BE08AA"/>
    <w:rsid w:val="00BE097C"/>
    <w:rsid w:val="00BE1883"/>
    <w:rsid w:val="00BE271E"/>
    <w:rsid w:val="00BE284B"/>
    <w:rsid w:val="00BE2943"/>
    <w:rsid w:val="00BE2B60"/>
    <w:rsid w:val="00BE3671"/>
    <w:rsid w:val="00BE47EB"/>
    <w:rsid w:val="00BE5E56"/>
    <w:rsid w:val="00BE62FB"/>
    <w:rsid w:val="00BE6FE0"/>
    <w:rsid w:val="00BE71C3"/>
    <w:rsid w:val="00BF045B"/>
    <w:rsid w:val="00BF1210"/>
    <w:rsid w:val="00BF2703"/>
    <w:rsid w:val="00BF31C6"/>
    <w:rsid w:val="00BF33BF"/>
    <w:rsid w:val="00BF3AA6"/>
    <w:rsid w:val="00BF3C49"/>
    <w:rsid w:val="00BF3DA5"/>
    <w:rsid w:val="00BF3DEF"/>
    <w:rsid w:val="00BF427F"/>
    <w:rsid w:val="00BF4318"/>
    <w:rsid w:val="00BF5A4D"/>
    <w:rsid w:val="00BF6A59"/>
    <w:rsid w:val="00BF6AEE"/>
    <w:rsid w:val="00BF6C63"/>
    <w:rsid w:val="00BF6E9B"/>
    <w:rsid w:val="00BF6EC8"/>
    <w:rsid w:val="00C00381"/>
    <w:rsid w:val="00C01E0F"/>
    <w:rsid w:val="00C023BB"/>
    <w:rsid w:val="00C02F52"/>
    <w:rsid w:val="00C032AB"/>
    <w:rsid w:val="00C044A0"/>
    <w:rsid w:val="00C044B2"/>
    <w:rsid w:val="00C04AB1"/>
    <w:rsid w:val="00C0508A"/>
    <w:rsid w:val="00C050B6"/>
    <w:rsid w:val="00C0565E"/>
    <w:rsid w:val="00C059D4"/>
    <w:rsid w:val="00C07960"/>
    <w:rsid w:val="00C07EB8"/>
    <w:rsid w:val="00C07ECC"/>
    <w:rsid w:val="00C106BF"/>
    <w:rsid w:val="00C10A6A"/>
    <w:rsid w:val="00C1113C"/>
    <w:rsid w:val="00C11279"/>
    <w:rsid w:val="00C11D25"/>
    <w:rsid w:val="00C135FA"/>
    <w:rsid w:val="00C138B3"/>
    <w:rsid w:val="00C13A09"/>
    <w:rsid w:val="00C14424"/>
    <w:rsid w:val="00C14803"/>
    <w:rsid w:val="00C14F81"/>
    <w:rsid w:val="00C159F3"/>
    <w:rsid w:val="00C16180"/>
    <w:rsid w:val="00C1641D"/>
    <w:rsid w:val="00C17589"/>
    <w:rsid w:val="00C17DAD"/>
    <w:rsid w:val="00C17F99"/>
    <w:rsid w:val="00C205A9"/>
    <w:rsid w:val="00C20FAC"/>
    <w:rsid w:val="00C21407"/>
    <w:rsid w:val="00C2335C"/>
    <w:rsid w:val="00C23B47"/>
    <w:rsid w:val="00C23E87"/>
    <w:rsid w:val="00C249C0"/>
    <w:rsid w:val="00C24A8D"/>
    <w:rsid w:val="00C24BF2"/>
    <w:rsid w:val="00C252AE"/>
    <w:rsid w:val="00C25E9D"/>
    <w:rsid w:val="00C27E02"/>
    <w:rsid w:val="00C27EC4"/>
    <w:rsid w:val="00C27EE4"/>
    <w:rsid w:val="00C30869"/>
    <w:rsid w:val="00C3088B"/>
    <w:rsid w:val="00C32202"/>
    <w:rsid w:val="00C32610"/>
    <w:rsid w:val="00C32BF7"/>
    <w:rsid w:val="00C33115"/>
    <w:rsid w:val="00C334F0"/>
    <w:rsid w:val="00C336A6"/>
    <w:rsid w:val="00C33F47"/>
    <w:rsid w:val="00C3402E"/>
    <w:rsid w:val="00C34827"/>
    <w:rsid w:val="00C35664"/>
    <w:rsid w:val="00C35A2F"/>
    <w:rsid w:val="00C35DB5"/>
    <w:rsid w:val="00C36EB2"/>
    <w:rsid w:val="00C36F5A"/>
    <w:rsid w:val="00C3764E"/>
    <w:rsid w:val="00C37A1F"/>
    <w:rsid w:val="00C40A17"/>
    <w:rsid w:val="00C40F63"/>
    <w:rsid w:val="00C426FA"/>
    <w:rsid w:val="00C42CF4"/>
    <w:rsid w:val="00C4319D"/>
    <w:rsid w:val="00C44B0A"/>
    <w:rsid w:val="00C45A00"/>
    <w:rsid w:val="00C45B08"/>
    <w:rsid w:val="00C45B9C"/>
    <w:rsid w:val="00C4618A"/>
    <w:rsid w:val="00C462A6"/>
    <w:rsid w:val="00C46B55"/>
    <w:rsid w:val="00C47389"/>
    <w:rsid w:val="00C47610"/>
    <w:rsid w:val="00C50599"/>
    <w:rsid w:val="00C527DC"/>
    <w:rsid w:val="00C543DD"/>
    <w:rsid w:val="00C543FD"/>
    <w:rsid w:val="00C5440B"/>
    <w:rsid w:val="00C55253"/>
    <w:rsid w:val="00C55EF2"/>
    <w:rsid w:val="00C5664C"/>
    <w:rsid w:val="00C57F80"/>
    <w:rsid w:val="00C60603"/>
    <w:rsid w:val="00C6067A"/>
    <w:rsid w:val="00C60CC9"/>
    <w:rsid w:val="00C60DAC"/>
    <w:rsid w:val="00C610E4"/>
    <w:rsid w:val="00C6122C"/>
    <w:rsid w:val="00C61B1D"/>
    <w:rsid w:val="00C61B48"/>
    <w:rsid w:val="00C61C5D"/>
    <w:rsid w:val="00C61CFE"/>
    <w:rsid w:val="00C62241"/>
    <w:rsid w:val="00C62B12"/>
    <w:rsid w:val="00C62E68"/>
    <w:rsid w:val="00C64F30"/>
    <w:rsid w:val="00C6563F"/>
    <w:rsid w:val="00C66257"/>
    <w:rsid w:val="00C666E3"/>
    <w:rsid w:val="00C66965"/>
    <w:rsid w:val="00C66AD1"/>
    <w:rsid w:val="00C66CBD"/>
    <w:rsid w:val="00C66D27"/>
    <w:rsid w:val="00C67E3E"/>
    <w:rsid w:val="00C705F7"/>
    <w:rsid w:val="00C70DD5"/>
    <w:rsid w:val="00C719D1"/>
    <w:rsid w:val="00C73471"/>
    <w:rsid w:val="00C73CEA"/>
    <w:rsid w:val="00C74ACE"/>
    <w:rsid w:val="00C74B8B"/>
    <w:rsid w:val="00C7510E"/>
    <w:rsid w:val="00C766C2"/>
    <w:rsid w:val="00C767C6"/>
    <w:rsid w:val="00C76CE8"/>
    <w:rsid w:val="00C76E9F"/>
    <w:rsid w:val="00C76F07"/>
    <w:rsid w:val="00C77B7B"/>
    <w:rsid w:val="00C8036F"/>
    <w:rsid w:val="00C804EE"/>
    <w:rsid w:val="00C80F7C"/>
    <w:rsid w:val="00C81E67"/>
    <w:rsid w:val="00C82BFF"/>
    <w:rsid w:val="00C852E7"/>
    <w:rsid w:val="00C85A32"/>
    <w:rsid w:val="00C86825"/>
    <w:rsid w:val="00C86B68"/>
    <w:rsid w:val="00C8717C"/>
    <w:rsid w:val="00C87619"/>
    <w:rsid w:val="00C87F67"/>
    <w:rsid w:val="00C903F9"/>
    <w:rsid w:val="00C90B06"/>
    <w:rsid w:val="00C90BCB"/>
    <w:rsid w:val="00C90EB1"/>
    <w:rsid w:val="00C917DE"/>
    <w:rsid w:val="00C92470"/>
    <w:rsid w:val="00C92BD7"/>
    <w:rsid w:val="00C93073"/>
    <w:rsid w:val="00C93962"/>
    <w:rsid w:val="00C9399E"/>
    <w:rsid w:val="00C93C3C"/>
    <w:rsid w:val="00C9641A"/>
    <w:rsid w:val="00C96982"/>
    <w:rsid w:val="00C96B77"/>
    <w:rsid w:val="00C96DBF"/>
    <w:rsid w:val="00C974EF"/>
    <w:rsid w:val="00C97D8D"/>
    <w:rsid w:val="00CA0DEB"/>
    <w:rsid w:val="00CA0EF6"/>
    <w:rsid w:val="00CA110C"/>
    <w:rsid w:val="00CA1E95"/>
    <w:rsid w:val="00CA2009"/>
    <w:rsid w:val="00CA249B"/>
    <w:rsid w:val="00CA2835"/>
    <w:rsid w:val="00CA4033"/>
    <w:rsid w:val="00CA4B34"/>
    <w:rsid w:val="00CA4BA4"/>
    <w:rsid w:val="00CA4BE9"/>
    <w:rsid w:val="00CA507F"/>
    <w:rsid w:val="00CA5E0D"/>
    <w:rsid w:val="00CA5FF6"/>
    <w:rsid w:val="00CA605A"/>
    <w:rsid w:val="00CA69E9"/>
    <w:rsid w:val="00CA6CA9"/>
    <w:rsid w:val="00CA6E0A"/>
    <w:rsid w:val="00CB0323"/>
    <w:rsid w:val="00CB0633"/>
    <w:rsid w:val="00CB17F5"/>
    <w:rsid w:val="00CB19D1"/>
    <w:rsid w:val="00CB1FED"/>
    <w:rsid w:val="00CB2189"/>
    <w:rsid w:val="00CB2BF8"/>
    <w:rsid w:val="00CB3389"/>
    <w:rsid w:val="00CB5162"/>
    <w:rsid w:val="00CB54AD"/>
    <w:rsid w:val="00CB567D"/>
    <w:rsid w:val="00CB59D7"/>
    <w:rsid w:val="00CB59DF"/>
    <w:rsid w:val="00CB6757"/>
    <w:rsid w:val="00CB6B83"/>
    <w:rsid w:val="00CC09D5"/>
    <w:rsid w:val="00CC19B0"/>
    <w:rsid w:val="00CC222E"/>
    <w:rsid w:val="00CC2E2E"/>
    <w:rsid w:val="00CC2EFB"/>
    <w:rsid w:val="00CC30EF"/>
    <w:rsid w:val="00CC35DF"/>
    <w:rsid w:val="00CC3903"/>
    <w:rsid w:val="00CC4297"/>
    <w:rsid w:val="00CC5645"/>
    <w:rsid w:val="00CC59F7"/>
    <w:rsid w:val="00CC682C"/>
    <w:rsid w:val="00CC6BDE"/>
    <w:rsid w:val="00CC7A57"/>
    <w:rsid w:val="00CD067F"/>
    <w:rsid w:val="00CD087C"/>
    <w:rsid w:val="00CD366F"/>
    <w:rsid w:val="00CD3E42"/>
    <w:rsid w:val="00CD405A"/>
    <w:rsid w:val="00CD4696"/>
    <w:rsid w:val="00CD48B6"/>
    <w:rsid w:val="00CD4E04"/>
    <w:rsid w:val="00CD51FC"/>
    <w:rsid w:val="00CD587A"/>
    <w:rsid w:val="00CD7105"/>
    <w:rsid w:val="00CD764B"/>
    <w:rsid w:val="00CD7767"/>
    <w:rsid w:val="00CE0790"/>
    <w:rsid w:val="00CE07BA"/>
    <w:rsid w:val="00CE0E90"/>
    <w:rsid w:val="00CE3B62"/>
    <w:rsid w:val="00CE5E34"/>
    <w:rsid w:val="00CE6714"/>
    <w:rsid w:val="00CE6764"/>
    <w:rsid w:val="00CE74A3"/>
    <w:rsid w:val="00CE7D4B"/>
    <w:rsid w:val="00CF0FB4"/>
    <w:rsid w:val="00CF12CE"/>
    <w:rsid w:val="00CF14C3"/>
    <w:rsid w:val="00CF1D04"/>
    <w:rsid w:val="00CF3213"/>
    <w:rsid w:val="00CF37FF"/>
    <w:rsid w:val="00CF39A7"/>
    <w:rsid w:val="00CF45DF"/>
    <w:rsid w:val="00CF4730"/>
    <w:rsid w:val="00CF49D3"/>
    <w:rsid w:val="00CF4B78"/>
    <w:rsid w:val="00CF548C"/>
    <w:rsid w:val="00CF6B42"/>
    <w:rsid w:val="00CF71D0"/>
    <w:rsid w:val="00CF7975"/>
    <w:rsid w:val="00D0106E"/>
    <w:rsid w:val="00D0138A"/>
    <w:rsid w:val="00D01F72"/>
    <w:rsid w:val="00D02314"/>
    <w:rsid w:val="00D024A6"/>
    <w:rsid w:val="00D032AD"/>
    <w:rsid w:val="00D036F2"/>
    <w:rsid w:val="00D03A4F"/>
    <w:rsid w:val="00D0430B"/>
    <w:rsid w:val="00D0478B"/>
    <w:rsid w:val="00D04DAF"/>
    <w:rsid w:val="00D05EF3"/>
    <w:rsid w:val="00D062C1"/>
    <w:rsid w:val="00D06326"/>
    <w:rsid w:val="00D06A47"/>
    <w:rsid w:val="00D07DA3"/>
    <w:rsid w:val="00D07E35"/>
    <w:rsid w:val="00D108F1"/>
    <w:rsid w:val="00D110BA"/>
    <w:rsid w:val="00D13C4B"/>
    <w:rsid w:val="00D14271"/>
    <w:rsid w:val="00D14A8F"/>
    <w:rsid w:val="00D16589"/>
    <w:rsid w:val="00D16617"/>
    <w:rsid w:val="00D16DB0"/>
    <w:rsid w:val="00D16F01"/>
    <w:rsid w:val="00D171BE"/>
    <w:rsid w:val="00D20DB8"/>
    <w:rsid w:val="00D21555"/>
    <w:rsid w:val="00D228B6"/>
    <w:rsid w:val="00D22D3D"/>
    <w:rsid w:val="00D22E7D"/>
    <w:rsid w:val="00D236BD"/>
    <w:rsid w:val="00D2389A"/>
    <w:rsid w:val="00D2397F"/>
    <w:rsid w:val="00D2448F"/>
    <w:rsid w:val="00D25931"/>
    <w:rsid w:val="00D26095"/>
    <w:rsid w:val="00D2704F"/>
    <w:rsid w:val="00D30BC3"/>
    <w:rsid w:val="00D30BCF"/>
    <w:rsid w:val="00D30C43"/>
    <w:rsid w:val="00D32082"/>
    <w:rsid w:val="00D32AFC"/>
    <w:rsid w:val="00D3351D"/>
    <w:rsid w:val="00D3373C"/>
    <w:rsid w:val="00D33BA3"/>
    <w:rsid w:val="00D34634"/>
    <w:rsid w:val="00D346E5"/>
    <w:rsid w:val="00D34ADE"/>
    <w:rsid w:val="00D36BCF"/>
    <w:rsid w:val="00D36CDE"/>
    <w:rsid w:val="00D36DD1"/>
    <w:rsid w:val="00D37130"/>
    <w:rsid w:val="00D40249"/>
    <w:rsid w:val="00D40ECA"/>
    <w:rsid w:val="00D40FDA"/>
    <w:rsid w:val="00D42042"/>
    <w:rsid w:val="00D42376"/>
    <w:rsid w:val="00D42E88"/>
    <w:rsid w:val="00D43115"/>
    <w:rsid w:val="00D432CA"/>
    <w:rsid w:val="00D43500"/>
    <w:rsid w:val="00D43B06"/>
    <w:rsid w:val="00D4485E"/>
    <w:rsid w:val="00D44981"/>
    <w:rsid w:val="00D44B28"/>
    <w:rsid w:val="00D44DFE"/>
    <w:rsid w:val="00D4561C"/>
    <w:rsid w:val="00D45B1C"/>
    <w:rsid w:val="00D460DF"/>
    <w:rsid w:val="00D46545"/>
    <w:rsid w:val="00D473FA"/>
    <w:rsid w:val="00D502D0"/>
    <w:rsid w:val="00D50BC5"/>
    <w:rsid w:val="00D514ED"/>
    <w:rsid w:val="00D53755"/>
    <w:rsid w:val="00D54761"/>
    <w:rsid w:val="00D56FCB"/>
    <w:rsid w:val="00D57C9B"/>
    <w:rsid w:val="00D612C2"/>
    <w:rsid w:val="00D617D7"/>
    <w:rsid w:val="00D620EA"/>
    <w:rsid w:val="00D6226F"/>
    <w:rsid w:val="00D62333"/>
    <w:rsid w:val="00D6278E"/>
    <w:rsid w:val="00D62E84"/>
    <w:rsid w:val="00D6420C"/>
    <w:rsid w:val="00D6539B"/>
    <w:rsid w:val="00D65588"/>
    <w:rsid w:val="00D66149"/>
    <w:rsid w:val="00D663E9"/>
    <w:rsid w:val="00D66D20"/>
    <w:rsid w:val="00D67251"/>
    <w:rsid w:val="00D6796B"/>
    <w:rsid w:val="00D711E0"/>
    <w:rsid w:val="00D72F11"/>
    <w:rsid w:val="00D73D29"/>
    <w:rsid w:val="00D7544F"/>
    <w:rsid w:val="00D7545F"/>
    <w:rsid w:val="00D7594C"/>
    <w:rsid w:val="00D76289"/>
    <w:rsid w:val="00D76495"/>
    <w:rsid w:val="00D77262"/>
    <w:rsid w:val="00D806C2"/>
    <w:rsid w:val="00D80A90"/>
    <w:rsid w:val="00D80F32"/>
    <w:rsid w:val="00D81182"/>
    <w:rsid w:val="00D82BB4"/>
    <w:rsid w:val="00D83EB6"/>
    <w:rsid w:val="00D8515D"/>
    <w:rsid w:val="00D85186"/>
    <w:rsid w:val="00D86A49"/>
    <w:rsid w:val="00D87466"/>
    <w:rsid w:val="00D87B9A"/>
    <w:rsid w:val="00D87F30"/>
    <w:rsid w:val="00D90156"/>
    <w:rsid w:val="00D91682"/>
    <w:rsid w:val="00D92050"/>
    <w:rsid w:val="00D921FC"/>
    <w:rsid w:val="00D936A0"/>
    <w:rsid w:val="00D93717"/>
    <w:rsid w:val="00D94857"/>
    <w:rsid w:val="00D950FD"/>
    <w:rsid w:val="00D95223"/>
    <w:rsid w:val="00D959C3"/>
    <w:rsid w:val="00D960EC"/>
    <w:rsid w:val="00D968E9"/>
    <w:rsid w:val="00D96933"/>
    <w:rsid w:val="00D96EDE"/>
    <w:rsid w:val="00D97D4E"/>
    <w:rsid w:val="00D97D72"/>
    <w:rsid w:val="00D97E05"/>
    <w:rsid w:val="00DA03A0"/>
    <w:rsid w:val="00DA03FA"/>
    <w:rsid w:val="00DA09E2"/>
    <w:rsid w:val="00DA0AD0"/>
    <w:rsid w:val="00DA0BDB"/>
    <w:rsid w:val="00DA0F52"/>
    <w:rsid w:val="00DA14FD"/>
    <w:rsid w:val="00DA15C9"/>
    <w:rsid w:val="00DA191C"/>
    <w:rsid w:val="00DA199D"/>
    <w:rsid w:val="00DA217A"/>
    <w:rsid w:val="00DA248B"/>
    <w:rsid w:val="00DA2A1B"/>
    <w:rsid w:val="00DA30B4"/>
    <w:rsid w:val="00DA342E"/>
    <w:rsid w:val="00DA345B"/>
    <w:rsid w:val="00DA4F58"/>
    <w:rsid w:val="00DA5D52"/>
    <w:rsid w:val="00DA625E"/>
    <w:rsid w:val="00DA65D6"/>
    <w:rsid w:val="00DA6C99"/>
    <w:rsid w:val="00DA7162"/>
    <w:rsid w:val="00DA7F35"/>
    <w:rsid w:val="00DB037A"/>
    <w:rsid w:val="00DB0410"/>
    <w:rsid w:val="00DB0F1B"/>
    <w:rsid w:val="00DB14DF"/>
    <w:rsid w:val="00DB1B47"/>
    <w:rsid w:val="00DB1DF8"/>
    <w:rsid w:val="00DB1E6D"/>
    <w:rsid w:val="00DB1FC3"/>
    <w:rsid w:val="00DB21F2"/>
    <w:rsid w:val="00DB2439"/>
    <w:rsid w:val="00DB2626"/>
    <w:rsid w:val="00DB2C17"/>
    <w:rsid w:val="00DB2E28"/>
    <w:rsid w:val="00DB3950"/>
    <w:rsid w:val="00DB4556"/>
    <w:rsid w:val="00DB47FE"/>
    <w:rsid w:val="00DB659C"/>
    <w:rsid w:val="00DB764F"/>
    <w:rsid w:val="00DB7EE5"/>
    <w:rsid w:val="00DC0584"/>
    <w:rsid w:val="00DC13C2"/>
    <w:rsid w:val="00DC1FD5"/>
    <w:rsid w:val="00DC21B4"/>
    <w:rsid w:val="00DC243C"/>
    <w:rsid w:val="00DC3099"/>
    <w:rsid w:val="00DC37F7"/>
    <w:rsid w:val="00DC4D10"/>
    <w:rsid w:val="00DC506D"/>
    <w:rsid w:val="00DC54ED"/>
    <w:rsid w:val="00DC5508"/>
    <w:rsid w:val="00DC6F11"/>
    <w:rsid w:val="00DD128E"/>
    <w:rsid w:val="00DD184B"/>
    <w:rsid w:val="00DD1C0E"/>
    <w:rsid w:val="00DD20D4"/>
    <w:rsid w:val="00DD23DD"/>
    <w:rsid w:val="00DD2C3B"/>
    <w:rsid w:val="00DD38E5"/>
    <w:rsid w:val="00DD3C75"/>
    <w:rsid w:val="00DD4E05"/>
    <w:rsid w:val="00DD53AF"/>
    <w:rsid w:val="00DD6057"/>
    <w:rsid w:val="00DD6A2C"/>
    <w:rsid w:val="00DD7B6C"/>
    <w:rsid w:val="00DD7D10"/>
    <w:rsid w:val="00DE00FD"/>
    <w:rsid w:val="00DE1FD5"/>
    <w:rsid w:val="00DE3182"/>
    <w:rsid w:val="00DE474A"/>
    <w:rsid w:val="00DE51C0"/>
    <w:rsid w:val="00DE51DE"/>
    <w:rsid w:val="00DE5330"/>
    <w:rsid w:val="00DE6066"/>
    <w:rsid w:val="00DE6185"/>
    <w:rsid w:val="00DE6775"/>
    <w:rsid w:val="00DE69E8"/>
    <w:rsid w:val="00DE6E9D"/>
    <w:rsid w:val="00DE792B"/>
    <w:rsid w:val="00DF009B"/>
    <w:rsid w:val="00DF05CB"/>
    <w:rsid w:val="00DF0856"/>
    <w:rsid w:val="00DF0DB4"/>
    <w:rsid w:val="00DF100E"/>
    <w:rsid w:val="00DF1D98"/>
    <w:rsid w:val="00DF1E02"/>
    <w:rsid w:val="00DF26C8"/>
    <w:rsid w:val="00DF419B"/>
    <w:rsid w:val="00DF4B69"/>
    <w:rsid w:val="00DF54D0"/>
    <w:rsid w:val="00DF57BB"/>
    <w:rsid w:val="00DF5873"/>
    <w:rsid w:val="00DF5C78"/>
    <w:rsid w:val="00DF5D94"/>
    <w:rsid w:val="00DF6890"/>
    <w:rsid w:val="00DF74AE"/>
    <w:rsid w:val="00DF7723"/>
    <w:rsid w:val="00DF7B93"/>
    <w:rsid w:val="00E00818"/>
    <w:rsid w:val="00E00B8B"/>
    <w:rsid w:val="00E018B4"/>
    <w:rsid w:val="00E018C3"/>
    <w:rsid w:val="00E02A6A"/>
    <w:rsid w:val="00E039F3"/>
    <w:rsid w:val="00E03BCF"/>
    <w:rsid w:val="00E04905"/>
    <w:rsid w:val="00E05661"/>
    <w:rsid w:val="00E05C2E"/>
    <w:rsid w:val="00E05E89"/>
    <w:rsid w:val="00E06142"/>
    <w:rsid w:val="00E076D3"/>
    <w:rsid w:val="00E1084B"/>
    <w:rsid w:val="00E10F6D"/>
    <w:rsid w:val="00E122CC"/>
    <w:rsid w:val="00E135F9"/>
    <w:rsid w:val="00E13809"/>
    <w:rsid w:val="00E13FC0"/>
    <w:rsid w:val="00E1417E"/>
    <w:rsid w:val="00E15080"/>
    <w:rsid w:val="00E1563B"/>
    <w:rsid w:val="00E15D91"/>
    <w:rsid w:val="00E15F6C"/>
    <w:rsid w:val="00E16191"/>
    <w:rsid w:val="00E17755"/>
    <w:rsid w:val="00E17784"/>
    <w:rsid w:val="00E17973"/>
    <w:rsid w:val="00E17D1C"/>
    <w:rsid w:val="00E17E03"/>
    <w:rsid w:val="00E20112"/>
    <w:rsid w:val="00E204F8"/>
    <w:rsid w:val="00E20C0C"/>
    <w:rsid w:val="00E21152"/>
    <w:rsid w:val="00E213C0"/>
    <w:rsid w:val="00E2147E"/>
    <w:rsid w:val="00E215B0"/>
    <w:rsid w:val="00E219C8"/>
    <w:rsid w:val="00E21D90"/>
    <w:rsid w:val="00E23351"/>
    <w:rsid w:val="00E23905"/>
    <w:rsid w:val="00E24F1C"/>
    <w:rsid w:val="00E25048"/>
    <w:rsid w:val="00E250CB"/>
    <w:rsid w:val="00E26CB5"/>
    <w:rsid w:val="00E26D6C"/>
    <w:rsid w:val="00E27C78"/>
    <w:rsid w:val="00E3155F"/>
    <w:rsid w:val="00E322E6"/>
    <w:rsid w:val="00E34828"/>
    <w:rsid w:val="00E3533F"/>
    <w:rsid w:val="00E353F0"/>
    <w:rsid w:val="00E36759"/>
    <w:rsid w:val="00E3755A"/>
    <w:rsid w:val="00E408C2"/>
    <w:rsid w:val="00E40EFE"/>
    <w:rsid w:val="00E4247E"/>
    <w:rsid w:val="00E42AE1"/>
    <w:rsid w:val="00E43134"/>
    <w:rsid w:val="00E43643"/>
    <w:rsid w:val="00E43A57"/>
    <w:rsid w:val="00E44330"/>
    <w:rsid w:val="00E4517E"/>
    <w:rsid w:val="00E452FA"/>
    <w:rsid w:val="00E454A8"/>
    <w:rsid w:val="00E45D49"/>
    <w:rsid w:val="00E466F5"/>
    <w:rsid w:val="00E467F6"/>
    <w:rsid w:val="00E46D2E"/>
    <w:rsid w:val="00E471B3"/>
    <w:rsid w:val="00E5029F"/>
    <w:rsid w:val="00E51199"/>
    <w:rsid w:val="00E51ACB"/>
    <w:rsid w:val="00E51F44"/>
    <w:rsid w:val="00E52D1E"/>
    <w:rsid w:val="00E52D5A"/>
    <w:rsid w:val="00E53A88"/>
    <w:rsid w:val="00E53D28"/>
    <w:rsid w:val="00E54414"/>
    <w:rsid w:val="00E54C3F"/>
    <w:rsid w:val="00E55B08"/>
    <w:rsid w:val="00E562B9"/>
    <w:rsid w:val="00E56849"/>
    <w:rsid w:val="00E56CA3"/>
    <w:rsid w:val="00E56D87"/>
    <w:rsid w:val="00E56F79"/>
    <w:rsid w:val="00E57819"/>
    <w:rsid w:val="00E57EA1"/>
    <w:rsid w:val="00E604EB"/>
    <w:rsid w:val="00E617ED"/>
    <w:rsid w:val="00E619F5"/>
    <w:rsid w:val="00E624C3"/>
    <w:rsid w:val="00E62A67"/>
    <w:rsid w:val="00E62B59"/>
    <w:rsid w:val="00E62CE3"/>
    <w:rsid w:val="00E63BB2"/>
    <w:rsid w:val="00E646EB"/>
    <w:rsid w:val="00E6477A"/>
    <w:rsid w:val="00E65A8F"/>
    <w:rsid w:val="00E65FF4"/>
    <w:rsid w:val="00E66114"/>
    <w:rsid w:val="00E66180"/>
    <w:rsid w:val="00E67E3E"/>
    <w:rsid w:val="00E71DE8"/>
    <w:rsid w:val="00E7283D"/>
    <w:rsid w:val="00E72FA6"/>
    <w:rsid w:val="00E73A73"/>
    <w:rsid w:val="00E73DE5"/>
    <w:rsid w:val="00E749D2"/>
    <w:rsid w:val="00E76A2D"/>
    <w:rsid w:val="00E76DB0"/>
    <w:rsid w:val="00E77084"/>
    <w:rsid w:val="00E77669"/>
    <w:rsid w:val="00E7772A"/>
    <w:rsid w:val="00E77B75"/>
    <w:rsid w:val="00E81B5C"/>
    <w:rsid w:val="00E827AF"/>
    <w:rsid w:val="00E82BAC"/>
    <w:rsid w:val="00E8322C"/>
    <w:rsid w:val="00E835C7"/>
    <w:rsid w:val="00E83FBE"/>
    <w:rsid w:val="00E83FE4"/>
    <w:rsid w:val="00E84593"/>
    <w:rsid w:val="00E84634"/>
    <w:rsid w:val="00E84664"/>
    <w:rsid w:val="00E846F4"/>
    <w:rsid w:val="00E84F70"/>
    <w:rsid w:val="00E8578C"/>
    <w:rsid w:val="00E860BF"/>
    <w:rsid w:val="00E86A9B"/>
    <w:rsid w:val="00E87073"/>
    <w:rsid w:val="00E87700"/>
    <w:rsid w:val="00E8787F"/>
    <w:rsid w:val="00E87C69"/>
    <w:rsid w:val="00E910AA"/>
    <w:rsid w:val="00E92239"/>
    <w:rsid w:val="00E92579"/>
    <w:rsid w:val="00E92A2A"/>
    <w:rsid w:val="00E931CB"/>
    <w:rsid w:val="00E93C05"/>
    <w:rsid w:val="00E93C21"/>
    <w:rsid w:val="00E93CCF"/>
    <w:rsid w:val="00E94206"/>
    <w:rsid w:val="00E942C0"/>
    <w:rsid w:val="00E94BC9"/>
    <w:rsid w:val="00E94CEC"/>
    <w:rsid w:val="00E95A69"/>
    <w:rsid w:val="00E95A81"/>
    <w:rsid w:val="00E96677"/>
    <w:rsid w:val="00E966B7"/>
    <w:rsid w:val="00E967BC"/>
    <w:rsid w:val="00E9793C"/>
    <w:rsid w:val="00EA061E"/>
    <w:rsid w:val="00EA09FA"/>
    <w:rsid w:val="00EA0B44"/>
    <w:rsid w:val="00EA21C1"/>
    <w:rsid w:val="00EA3186"/>
    <w:rsid w:val="00EA31CC"/>
    <w:rsid w:val="00EA3E28"/>
    <w:rsid w:val="00EA410F"/>
    <w:rsid w:val="00EA4F5E"/>
    <w:rsid w:val="00EA589C"/>
    <w:rsid w:val="00EA692A"/>
    <w:rsid w:val="00EA74A3"/>
    <w:rsid w:val="00EB0190"/>
    <w:rsid w:val="00EB0B54"/>
    <w:rsid w:val="00EB2031"/>
    <w:rsid w:val="00EB2539"/>
    <w:rsid w:val="00EB2968"/>
    <w:rsid w:val="00EB2B29"/>
    <w:rsid w:val="00EB30BE"/>
    <w:rsid w:val="00EB49DB"/>
    <w:rsid w:val="00EB54EC"/>
    <w:rsid w:val="00EB55CB"/>
    <w:rsid w:val="00EB5C70"/>
    <w:rsid w:val="00EB65C6"/>
    <w:rsid w:val="00EB6F4C"/>
    <w:rsid w:val="00EC0037"/>
    <w:rsid w:val="00EC0960"/>
    <w:rsid w:val="00EC0D02"/>
    <w:rsid w:val="00EC2163"/>
    <w:rsid w:val="00EC2FBF"/>
    <w:rsid w:val="00EC3244"/>
    <w:rsid w:val="00EC4073"/>
    <w:rsid w:val="00EC45F8"/>
    <w:rsid w:val="00EC52EE"/>
    <w:rsid w:val="00EC5A14"/>
    <w:rsid w:val="00EC6141"/>
    <w:rsid w:val="00EC6143"/>
    <w:rsid w:val="00EC6725"/>
    <w:rsid w:val="00EC67CC"/>
    <w:rsid w:val="00EC71EC"/>
    <w:rsid w:val="00ED0F51"/>
    <w:rsid w:val="00ED16FD"/>
    <w:rsid w:val="00ED2F8A"/>
    <w:rsid w:val="00ED3FD3"/>
    <w:rsid w:val="00ED55A2"/>
    <w:rsid w:val="00ED5FFD"/>
    <w:rsid w:val="00ED6439"/>
    <w:rsid w:val="00ED7614"/>
    <w:rsid w:val="00ED775A"/>
    <w:rsid w:val="00ED7EC5"/>
    <w:rsid w:val="00EE1656"/>
    <w:rsid w:val="00EE1CA0"/>
    <w:rsid w:val="00EE1D0F"/>
    <w:rsid w:val="00EE25E0"/>
    <w:rsid w:val="00EE2A0B"/>
    <w:rsid w:val="00EE32C9"/>
    <w:rsid w:val="00EE3748"/>
    <w:rsid w:val="00EE3E7A"/>
    <w:rsid w:val="00EE4AAC"/>
    <w:rsid w:val="00EE57FB"/>
    <w:rsid w:val="00EE5CB1"/>
    <w:rsid w:val="00EE5DB7"/>
    <w:rsid w:val="00EE5EEB"/>
    <w:rsid w:val="00EE61CB"/>
    <w:rsid w:val="00EE6F0A"/>
    <w:rsid w:val="00EE71CD"/>
    <w:rsid w:val="00EE7761"/>
    <w:rsid w:val="00EE7950"/>
    <w:rsid w:val="00EE7ADC"/>
    <w:rsid w:val="00EF06A9"/>
    <w:rsid w:val="00EF0D0E"/>
    <w:rsid w:val="00EF17F0"/>
    <w:rsid w:val="00EF1976"/>
    <w:rsid w:val="00EF1FBB"/>
    <w:rsid w:val="00EF214F"/>
    <w:rsid w:val="00EF2A01"/>
    <w:rsid w:val="00EF2CB1"/>
    <w:rsid w:val="00EF3413"/>
    <w:rsid w:val="00EF64AC"/>
    <w:rsid w:val="00EF6640"/>
    <w:rsid w:val="00EF6A46"/>
    <w:rsid w:val="00EF6F4F"/>
    <w:rsid w:val="00EF7572"/>
    <w:rsid w:val="00F00A60"/>
    <w:rsid w:val="00F0169E"/>
    <w:rsid w:val="00F0188D"/>
    <w:rsid w:val="00F01A03"/>
    <w:rsid w:val="00F01EBB"/>
    <w:rsid w:val="00F02218"/>
    <w:rsid w:val="00F02F1D"/>
    <w:rsid w:val="00F02FEC"/>
    <w:rsid w:val="00F032FA"/>
    <w:rsid w:val="00F038C1"/>
    <w:rsid w:val="00F04862"/>
    <w:rsid w:val="00F053D9"/>
    <w:rsid w:val="00F05DDC"/>
    <w:rsid w:val="00F0657B"/>
    <w:rsid w:val="00F06677"/>
    <w:rsid w:val="00F066A2"/>
    <w:rsid w:val="00F070BC"/>
    <w:rsid w:val="00F0746E"/>
    <w:rsid w:val="00F07C7E"/>
    <w:rsid w:val="00F07F29"/>
    <w:rsid w:val="00F07FD0"/>
    <w:rsid w:val="00F112FA"/>
    <w:rsid w:val="00F12529"/>
    <w:rsid w:val="00F127D8"/>
    <w:rsid w:val="00F12830"/>
    <w:rsid w:val="00F136F9"/>
    <w:rsid w:val="00F140D7"/>
    <w:rsid w:val="00F14965"/>
    <w:rsid w:val="00F14BC0"/>
    <w:rsid w:val="00F16238"/>
    <w:rsid w:val="00F16BF1"/>
    <w:rsid w:val="00F16C63"/>
    <w:rsid w:val="00F17B41"/>
    <w:rsid w:val="00F17CCF"/>
    <w:rsid w:val="00F208B4"/>
    <w:rsid w:val="00F20A60"/>
    <w:rsid w:val="00F21656"/>
    <w:rsid w:val="00F21FA1"/>
    <w:rsid w:val="00F221C7"/>
    <w:rsid w:val="00F2233D"/>
    <w:rsid w:val="00F22C31"/>
    <w:rsid w:val="00F22C65"/>
    <w:rsid w:val="00F22F99"/>
    <w:rsid w:val="00F245F8"/>
    <w:rsid w:val="00F24931"/>
    <w:rsid w:val="00F2500D"/>
    <w:rsid w:val="00F2711D"/>
    <w:rsid w:val="00F2784D"/>
    <w:rsid w:val="00F27D57"/>
    <w:rsid w:val="00F27D80"/>
    <w:rsid w:val="00F30AB0"/>
    <w:rsid w:val="00F30BEE"/>
    <w:rsid w:val="00F30E0F"/>
    <w:rsid w:val="00F32A68"/>
    <w:rsid w:val="00F33018"/>
    <w:rsid w:val="00F33670"/>
    <w:rsid w:val="00F34E13"/>
    <w:rsid w:val="00F35920"/>
    <w:rsid w:val="00F36542"/>
    <w:rsid w:val="00F36C87"/>
    <w:rsid w:val="00F37FC4"/>
    <w:rsid w:val="00F4081C"/>
    <w:rsid w:val="00F40F85"/>
    <w:rsid w:val="00F41BA8"/>
    <w:rsid w:val="00F41F7C"/>
    <w:rsid w:val="00F4288B"/>
    <w:rsid w:val="00F43468"/>
    <w:rsid w:val="00F4417F"/>
    <w:rsid w:val="00F4475D"/>
    <w:rsid w:val="00F44A28"/>
    <w:rsid w:val="00F46507"/>
    <w:rsid w:val="00F46794"/>
    <w:rsid w:val="00F47F39"/>
    <w:rsid w:val="00F5006E"/>
    <w:rsid w:val="00F513D9"/>
    <w:rsid w:val="00F52ACF"/>
    <w:rsid w:val="00F52B5A"/>
    <w:rsid w:val="00F52FD1"/>
    <w:rsid w:val="00F53741"/>
    <w:rsid w:val="00F5394D"/>
    <w:rsid w:val="00F54346"/>
    <w:rsid w:val="00F54ABC"/>
    <w:rsid w:val="00F54D24"/>
    <w:rsid w:val="00F55750"/>
    <w:rsid w:val="00F56BFF"/>
    <w:rsid w:val="00F56CC2"/>
    <w:rsid w:val="00F577B6"/>
    <w:rsid w:val="00F579FF"/>
    <w:rsid w:val="00F60252"/>
    <w:rsid w:val="00F608AC"/>
    <w:rsid w:val="00F61176"/>
    <w:rsid w:val="00F612A6"/>
    <w:rsid w:val="00F6133E"/>
    <w:rsid w:val="00F6256F"/>
    <w:rsid w:val="00F63132"/>
    <w:rsid w:val="00F637A6"/>
    <w:rsid w:val="00F63EB8"/>
    <w:rsid w:val="00F645AB"/>
    <w:rsid w:val="00F64CD0"/>
    <w:rsid w:val="00F65C64"/>
    <w:rsid w:val="00F65E61"/>
    <w:rsid w:val="00F660EC"/>
    <w:rsid w:val="00F666D1"/>
    <w:rsid w:val="00F6671A"/>
    <w:rsid w:val="00F66B2B"/>
    <w:rsid w:val="00F66D95"/>
    <w:rsid w:val="00F67310"/>
    <w:rsid w:val="00F67AE5"/>
    <w:rsid w:val="00F70282"/>
    <w:rsid w:val="00F707C9"/>
    <w:rsid w:val="00F72D6C"/>
    <w:rsid w:val="00F749AC"/>
    <w:rsid w:val="00F74CEC"/>
    <w:rsid w:val="00F75A78"/>
    <w:rsid w:val="00F761BD"/>
    <w:rsid w:val="00F81317"/>
    <w:rsid w:val="00F82219"/>
    <w:rsid w:val="00F8270D"/>
    <w:rsid w:val="00F82C31"/>
    <w:rsid w:val="00F83CAA"/>
    <w:rsid w:val="00F857DC"/>
    <w:rsid w:val="00F86328"/>
    <w:rsid w:val="00F86483"/>
    <w:rsid w:val="00F86638"/>
    <w:rsid w:val="00F91453"/>
    <w:rsid w:val="00F91566"/>
    <w:rsid w:val="00F915C8"/>
    <w:rsid w:val="00F916B0"/>
    <w:rsid w:val="00F91D28"/>
    <w:rsid w:val="00F9315A"/>
    <w:rsid w:val="00F93240"/>
    <w:rsid w:val="00F93510"/>
    <w:rsid w:val="00F93E45"/>
    <w:rsid w:val="00F942C6"/>
    <w:rsid w:val="00F94364"/>
    <w:rsid w:val="00F947A4"/>
    <w:rsid w:val="00F94A95"/>
    <w:rsid w:val="00F94B7F"/>
    <w:rsid w:val="00F95848"/>
    <w:rsid w:val="00F95B1B"/>
    <w:rsid w:val="00F95E13"/>
    <w:rsid w:val="00F96359"/>
    <w:rsid w:val="00F96CAC"/>
    <w:rsid w:val="00F96F15"/>
    <w:rsid w:val="00F9769C"/>
    <w:rsid w:val="00F97EBA"/>
    <w:rsid w:val="00FA019A"/>
    <w:rsid w:val="00FA11E4"/>
    <w:rsid w:val="00FA187D"/>
    <w:rsid w:val="00FA1DFD"/>
    <w:rsid w:val="00FA1FC7"/>
    <w:rsid w:val="00FA21B5"/>
    <w:rsid w:val="00FA43F0"/>
    <w:rsid w:val="00FA44F1"/>
    <w:rsid w:val="00FA4744"/>
    <w:rsid w:val="00FA4915"/>
    <w:rsid w:val="00FA5E83"/>
    <w:rsid w:val="00FA5E95"/>
    <w:rsid w:val="00FA674D"/>
    <w:rsid w:val="00FA6768"/>
    <w:rsid w:val="00FA67EE"/>
    <w:rsid w:val="00FA751F"/>
    <w:rsid w:val="00FA7FD6"/>
    <w:rsid w:val="00FB020B"/>
    <w:rsid w:val="00FB148D"/>
    <w:rsid w:val="00FB15A7"/>
    <w:rsid w:val="00FB1635"/>
    <w:rsid w:val="00FB1B52"/>
    <w:rsid w:val="00FB31FC"/>
    <w:rsid w:val="00FB360D"/>
    <w:rsid w:val="00FB508F"/>
    <w:rsid w:val="00FB5971"/>
    <w:rsid w:val="00FB59CD"/>
    <w:rsid w:val="00FB5B33"/>
    <w:rsid w:val="00FB6205"/>
    <w:rsid w:val="00FB6373"/>
    <w:rsid w:val="00FB69EB"/>
    <w:rsid w:val="00FB73B8"/>
    <w:rsid w:val="00FB73C2"/>
    <w:rsid w:val="00FB7770"/>
    <w:rsid w:val="00FC0139"/>
    <w:rsid w:val="00FC0248"/>
    <w:rsid w:val="00FC03F1"/>
    <w:rsid w:val="00FC0BBB"/>
    <w:rsid w:val="00FC2418"/>
    <w:rsid w:val="00FC2688"/>
    <w:rsid w:val="00FC296D"/>
    <w:rsid w:val="00FC3784"/>
    <w:rsid w:val="00FC383E"/>
    <w:rsid w:val="00FC4D30"/>
    <w:rsid w:val="00FC4E44"/>
    <w:rsid w:val="00FC6AEE"/>
    <w:rsid w:val="00FC7B6E"/>
    <w:rsid w:val="00FD049A"/>
    <w:rsid w:val="00FD080E"/>
    <w:rsid w:val="00FD0D14"/>
    <w:rsid w:val="00FD128A"/>
    <w:rsid w:val="00FD14A0"/>
    <w:rsid w:val="00FD15A9"/>
    <w:rsid w:val="00FD1A2E"/>
    <w:rsid w:val="00FD2373"/>
    <w:rsid w:val="00FD2475"/>
    <w:rsid w:val="00FD260B"/>
    <w:rsid w:val="00FD288F"/>
    <w:rsid w:val="00FD320D"/>
    <w:rsid w:val="00FD34DD"/>
    <w:rsid w:val="00FD38D5"/>
    <w:rsid w:val="00FD3995"/>
    <w:rsid w:val="00FD3CFC"/>
    <w:rsid w:val="00FD4898"/>
    <w:rsid w:val="00FD6C77"/>
    <w:rsid w:val="00FD71CB"/>
    <w:rsid w:val="00FD79FB"/>
    <w:rsid w:val="00FD7A5D"/>
    <w:rsid w:val="00FD7E5F"/>
    <w:rsid w:val="00FE01F0"/>
    <w:rsid w:val="00FE0A09"/>
    <w:rsid w:val="00FE0FC6"/>
    <w:rsid w:val="00FE28AC"/>
    <w:rsid w:val="00FE3088"/>
    <w:rsid w:val="00FE344C"/>
    <w:rsid w:val="00FE4852"/>
    <w:rsid w:val="00FE5023"/>
    <w:rsid w:val="00FE60EB"/>
    <w:rsid w:val="00FE6984"/>
    <w:rsid w:val="00FE6F4C"/>
    <w:rsid w:val="00FE7E71"/>
    <w:rsid w:val="00FE7E94"/>
    <w:rsid w:val="00FF1123"/>
    <w:rsid w:val="00FF1188"/>
    <w:rsid w:val="00FF13D6"/>
    <w:rsid w:val="00FF22E6"/>
    <w:rsid w:val="00FF2BF1"/>
    <w:rsid w:val="00FF3A75"/>
    <w:rsid w:val="00FF4562"/>
    <w:rsid w:val="00FF5253"/>
    <w:rsid w:val="00FF5388"/>
    <w:rsid w:val="00FF547E"/>
    <w:rsid w:val="00FF5F91"/>
    <w:rsid w:val="00FF61DB"/>
    <w:rsid w:val="00FF62DF"/>
    <w:rsid w:val="00FF6BFB"/>
    <w:rsid w:val="00FF77F2"/>
    <w:rsid w:val="00FF7977"/>
    <w:rsid w:val="00FF7C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268C9"/>
  <w15:docId w15:val="{D6C701DD-C3ED-4CDB-8D94-FF8BE161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F82"/>
  </w:style>
  <w:style w:type="paragraph" w:styleId="10">
    <w:name w:val="heading 1"/>
    <w:basedOn w:val="a"/>
    <w:next w:val="a"/>
    <w:link w:val="11"/>
    <w:uiPriority w:val="99"/>
    <w:qFormat/>
    <w:rsid w:val="00D03A4F"/>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uiPriority w:val="99"/>
    <w:qFormat/>
    <w:rsid w:val="00D03A4F"/>
    <w:pPr>
      <w:keepNext/>
      <w:spacing w:after="0" w:line="240" w:lineRule="auto"/>
      <w:jc w:val="center"/>
      <w:outlineLvl w:val="1"/>
    </w:pPr>
    <w:rPr>
      <w:rFonts w:ascii="Times New Roman" w:eastAsia="Times New Roman" w:hAnsi="Times New Roman" w:cs="Times New Roman"/>
      <w:b/>
      <w:sz w:val="16"/>
      <w:szCs w:val="20"/>
      <w:lang w:eastAsia="ru-RU"/>
    </w:rPr>
  </w:style>
  <w:style w:type="paragraph" w:styleId="3">
    <w:name w:val="heading 3"/>
    <w:basedOn w:val="a"/>
    <w:next w:val="a"/>
    <w:link w:val="30"/>
    <w:uiPriority w:val="99"/>
    <w:qFormat/>
    <w:rsid w:val="00D03A4F"/>
    <w:pPr>
      <w:keepNext/>
      <w:spacing w:before="60" w:after="60" w:line="270" w:lineRule="exact"/>
      <w:jc w:val="center"/>
      <w:outlineLvl w:val="2"/>
    </w:pPr>
    <w:rPr>
      <w:rFonts w:ascii="TimesET" w:eastAsia="Times New Roman" w:hAnsi="TimesET" w:cs="Times New Roman"/>
      <w:b/>
      <w:sz w:val="20"/>
      <w:szCs w:val="20"/>
      <w:lang w:eastAsia="ru-RU"/>
    </w:rPr>
  </w:style>
  <w:style w:type="paragraph" w:styleId="4">
    <w:name w:val="heading 4"/>
    <w:basedOn w:val="a"/>
    <w:next w:val="a"/>
    <w:link w:val="40"/>
    <w:uiPriority w:val="99"/>
    <w:qFormat/>
    <w:rsid w:val="00D03A4F"/>
    <w:pPr>
      <w:keepNext/>
      <w:spacing w:before="240" w:after="60"/>
      <w:outlineLvl w:val="3"/>
    </w:pPr>
    <w:rPr>
      <w:rFonts w:ascii="Times New Roman" w:eastAsia="Calibri" w:hAnsi="Times New Roman" w:cs="Times New Roman"/>
      <w:b/>
      <w:bCs/>
      <w:sz w:val="28"/>
      <w:szCs w:val="28"/>
    </w:rPr>
  </w:style>
  <w:style w:type="paragraph" w:styleId="5">
    <w:name w:val="heading 5"/>
    <w:basedOn w:val="a"/>
    <w:next w:val="a"/>
    <w:link w:val="50"/>
    <w:uiPriority w:val="99"/>
    <w:unhideWhenUsed/>
    <w:qFormat/>
    <w:rsid w:val="00D03A4F"/>
    <w:pPr>
      <w:keepNext/>
      <w:keepLines/>
      <w:spacing w:before="40" w:after="0"/>
      <w:outlineLvl w:val="4"/>
    </w:pPr>
    <w:rPr>
      <w:rFonts w:ascii="Calibri Light" w:eastAsia="Times New Roman" w:hAnsi="Calibri Light" w:cs="Times New Roman"/>
      <w:color w:val="1F4D78"/>
      <w:sz w:val="28"/>
      <w:szCs w:val="28"/>
    </w:rPr>
  </w:style>
  <w:style w:type="paragraph" w:styleId="6">
    <w:name w:val="heading 6"/>
    <w:basedOn w:val="a"/>
    <w:next w:val="a"/>
    <w:link w:val="60"/>
    <w:uiPriority w:val="99"/>
    <w:qFormat/>
    <w:rsid w:val="00D03A4F"/>
    <w:pPr>
      <w:spacing w:before="240" w:after="60"/>
      <w:outlineLvl w:val="5"/>
    </w:pPr>
    <w:rPr>
      <w:rFonts w:ascii="Times New Roman" w:eastAsia="Calibri" w:hAnsi="Times New Roman" w:cs="Times New Roman"/>
      <w:b/>
      <w:bCs/>
    </w:rPr>
  </w:style>
  <w:style w:type="paragraph" w:styleId="7">
    <w:name w:val="heading 7"/>
    <w:basedOn w:val="a"/>
    <w:next w:val="a"/>
    <w:link w:val="70"/>
    <w:uiPriority w:val="99"/>
    <w:qFormat/>
    <w:rsid w:val="00D03A4F"/>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420FD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qFormat/>
    <w:rsid w:val="00D03A4F"/>
    <w:pPr>
      <w:keepNext/>
      <w:spacing w:before="60" w:after="0" w:line="204" w:lineRule="exact"/>
      <w:ind w:left="113" w:hanging="113"/>
      <w:outlineLvl w:val="8"/>
    </w:pPr>
    <w:rPr>
      <w:rFonts w:ascii="Times New Roman" w:eastAsia="Times New Roman" w:hAnsi="Times New Roman" w:cs="Times New Roman"/>
      <w:b/>
      <w:color w:val="000000"/>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66B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6B1C"/>
  </w:style>
  <w:style w:type="paragraph" w:styleId="a8">
    <w:name w:val="footer"/>
    <w:basedOn w:val="a"/>
    <w:link w:val="a9"/>
    <w:uiPriority w:val="99"/>
    <w:unhideWhenUsed/>
    <w:rsid w:val="00466B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6B1C"/>
  </w:style>
  <w:style w:type="table" w:customStyle="1" w:styleId="12">
    <w:name w:val="Сетка таблицы1"/>
    <w:basedOn w:val="a1"/>
    <w:next w:val="a5"/>
    <w:uiPriority w:val="59"/>
    <w:rsid w:val="00DA5D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9"/>
    <w:rsid w:val="00D03A4F"/>
    <w:rPr>
      <w:rFonts w:ascii="Arial" w:eastAsia="Calibri" w:hAnsi="Arial" w:cs="Arial"/>
      <w:b/>
      <w:bCs/>
      <w:kern w:val="32"/>
      <w:sz w:val="32"/>
      <w:szCs w:val="32"/>
    </w:rPr>
  </w:style>
  <w:style w:type="character" w:customStyle="1" w:styleId="20">
    <w:name w:val="Заголовок 2 Знак"/>
    <w:basedOn w:val="a0"/>
    <w:link w:val="2"/>
    <w:uiPriority w:val="99"/>
    <w:rsid w:val="00D03A4F"/>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D03A4F"/>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D03A4F"/>
    <w:rPr>
      <w:rFonts w:ascii="Times New Roman" w:eastAsia="Calibri" w:hAnsi="Times New Roman" w:cs="Times New Roman"/>
      <w:b/>
      <w:bCs/>
      <w:sz w:val="28"/>
      <w:szCs w:val="28"/>
    </w:rPr>
  </w:style>
  <w:style w:type="paragraph" w:customStyle="1" w:styleId="51">
    <w:name w:val="Заголовок 51"/>
    <w:basedOn w:val="a"/>
    <w:next w:val="a"/>
    <w:uiPriority w:val="99"/>
    <w:unhideWhenUsed/>
    <w:qFormat/>
    <w:rsid w:val="00D03A4F"/>
    <w:pPr>
      <w:keepNext/>
      <w:keepLines/>
      <w:spacing w:before="200" w:after="0"/>
      <w:outlineLvl w:val="4"/>
    </w:pPr>
    <w:rPr>
      <w:rFonts w:ascii="Calibri Light" w:eastAsia="Times New Roman" w:hAnsi="Calibri Light" w:cs="Times New Roman"/>
      <w:color w:val="1F4D78"/>
      <w:sz w:val="28"/>
      <w:szCs w:val="28"/>
    </w:rPr>
  </w:style>
  <w:style w:type="character" w:customStyle="1" w:styleId="60">
    <w:name w:val="Заголовок 6 Знак"/>
    <w:basedOn w:val="a0"/>
    <w:link w:val="6"/>
    <w:uiPriority w:val="99"/>
    <w:rsid w:val="00D03A4F"/>
    <w:rPr>
      <w:rFonts w:ascii="Times New Roman" w:eastAsia="Calibri" w:hAnsi="Times New Roman" w:cs="Times New Roman"/>
      <w:b/>
      <w:bCs/>
    </w:rPr>
  </w:style>
  <w:style w:type="character" w:customStyle="1" w:styleId="70">
    <w:name w:val="Заголовок 7 Знак"/>
    <w:basedOn w:val="a0"/>
    <w:link w:val="7"/>
    <w:uiPriority w:val="99"/>
    <w:rsid w:val="00D03A4F"/>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D03A4F"/>
    <w:rPr>
      <w:rFonts w:ascii="Times New Roman" w:eastAsia="Times New Roman" w:hAnsi="Times New Roman" w:cs="Times New Roman"/>
      <w:b/>
      <w:color w:val="000000"/>
      <w:sz w:val="16"/>
      <w:szCs w:val="20"/>
      <w:lang w:eastAsia="ru-RU"/>
    </w:rPr>
  </w:style>
  <w:style w:type="numbering" w:customStyle="1" w:styleId="13">
    <w:name w:val="Нет списка1"/>
    <w:next w:val="a2"/>
    <w:uiPriority w:val="99"/>
    <w:semiHidden/>
    <w:unhideWhenUsed/>
    <w:rsid w:val="00D03A4F"/>
  </w:style>
  <w:style w:type="character" w:customStyle="1" w:styleId="50">
    <w:name w:val="Заголовок 5 Знак"/>
    <w:basedOn w:val="a0"/>
    <w:link w:val="5"/>
    <w:uiPriority w:val="99"/>
    <w:rsid w:val="00D03A4F"/>
    <w:rPr>
      <w:rFonts w:ascii="Calibri Light" w:eastAsia="Times New Roman" w:hAnsi="Calibri Light" w:cs="Times New Roman"/>
      <w:color w:val="1F4D78"/>
      <w:sz w:val="28"/>
      <w:szCs w:val="28"/>
    </w:rPr>
  </w:style>
  <w:style w:type="paragraph" w:customStyle="1" w:styleId="41">
    <w:name w:val="Основной текст4"/>
    <w:basedOn w:val="a"/>
    <w:rsid w:val="00D03A4F"/>
    <w:pPr>
      <w:widowControl w:val="0"/>
      <w:shd w:val="clear" w:color="auto" w:fill="FFFFFF"/>
      <w:spacing w:after="60" w:line="300" w:lineRule="exact"/>
      <w:ind w:hanging="1580"/>
      <w:jc w:val="center"/>
    </w:pPr>
    <w:rPr>
      <w:rFonts w:ascii="Times New Roman" w:eastAsia="Times New Roman" w:hAnsi="Times New Roman" w:cs="Times New Roman"/>
      <w:sz w:val="28"/>
      <w:szCs w:val="28"/>
    </w:rPr>
  </w:style>
  <w:style w:type="paragraph" w:styleId="aa">
    <w:name w:val="Body Text Indent"/>
    <w:basedOn w:val="a"/>
    <w:link w:val="ab"/>
    <w:uiPriority w:val="99"/>
    <w:rsid w:val="00D03A4F"/>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rsid w:val="00D03A4F"/>
    <w:rPr>
      <w:rFonts w:ascii="Times New Roman" w:eastAsia="Times New Roman" w:hAnsi="Times New Roman" w:cs="Times New Roman"/>
      <w:sz w:val="24"/>
      <w:szCs w:val="24"/>
      <w:lang w:eastAsia="ru-RU"/>
    </w:rPr>
  </w:style>
  <w:style w:type="paragraph" w:customStyle="1" w:styleId="14">
    <w:name w:val="Основной текст1"/>
    <w:basedOn w:val="a"/>
    <w:rsid w:val="00D03A4F"/>
    <w:pPr>
      <w:widowControl w:val="0"/>
      <w:shd w:val="clear" w:color="auto" w:fill="FFFFFF"/>
      <w:spacing w:after="0" w:line="312" w:lineRule="exact"/>
      <w:jc w:val="center"/>
    </w:pPr>
    <w:rPr>
      <w:rFonts w:ascii="Times New Roman" w:eastAsia="Times New Roman" w:hAnsi="Times New Roman"/>
      <w:sz w:val="28"/>
    </w:rPr>
  </w:style>
  <w:style w:type="paragraph" w:customStyle="1" w:styleId="ConsPlusNormal">
    <w:name w:val="ConsPlusNormal"/>
    <w:link w:val="ConsPlusNormal0"/>
    <w:uiPriority w:val="99"/>
    <w:rsid w:val="00D03A4F"/>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basedOn w:val="a0"/>
    <w:link w:val="ConsPlusNormal"/>
    <w:rsid w:val="00D03A4F"/>
    <w:rPr>
      <w:rFonts w:ascii="Times New Roman" w:hAnsi="Times New Roman" w:cs="Times New Roman"/>
      <w:sz w:val="28"/>
      <w:szCs w:val="28"/>
    </w:rPr>
  </w:style>
  <w:style w:type="character" w:styleId="ac">
    <w:name w:val="annotation reference"/>
    <w:basedOn w:val="a0"/>
    <w:uiPriority w:val="99"/>
    <w:semiHidden/>
    <w:unhideWhenUsed/>
    <w:rsid w:val="00D03A4F"/>
    <w:rPr>
      <w:sz w:val="16"/>
      <w:szCs w:val="16"/>
    </w:rPr>
  </w:style>
  <w:style w:type="paragraph" w:styleId="ad">
    <w:name w:val="annotation text"/>
    <w:basedOn w:val="a"/>
    <w:link w:val="ae"/>
    <w:uiPriority w:val="99"/>
    <w:semiHidden/>
    <w:unhideWhenUsed/>
    <w:rsid w:val="00D03A4F"/>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semiHidden/>
    <w:rsid w:val="00D03A4F"/>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D03A4F"/>
    <w:rPr>
      <w:b/>
      <w:bCs/>
    </w:rPr>
  </w:style>
  <w:style w:type="character" w:customStyle="1" w:styleId="af0">
    <w:name w:val="Тема примечания Знак"/>
    <w:basedOn w:val="ae"/>
    <w:link w:val="af"/>
    <w:uiPriority w:val="99"/>
    <w:semiHidden/>
    <w:rsid w:val="00D03A4F"/>
    <w:rPr>
      <w:rFonts w:ascii="Times New Roman" w:eastAsia="Times New Roman" w:hAnsi="Times New Roman" w:cs="Times New Roman"/>
      <w:b/>
      <w:bCs/>
      <w:sz w:val="20"/>
      <w:szCs w:val="20"/>
      <w:lang w:eastAsia="ru-RU"/>
    </w:rPr>
  </w:style>
  <w:style w:type="character" w:styleId="af1">
    <w:name w:val="Hyperlink"/>
    <w:basedOn w:val="a0"/>
    <w:uiPriority w:val="99"/>
    <w:unhideWhenUsed/>
    <w:rsid w:val="00D03A4F"/>
    <w:rPr>
      <w:color w:val="0000FF"/>
      <w:u w:val="single"/>
    </w:rPr>
  </w:style>
  <w:style w:type="character" w:customStyle="1" w:styleId="CharStyle3">
    <w:name w:val="Char Style 3"/>
    <w:basedOn w:val="a0"/>
    <w:link w:val="Style2"/>
    <w:rsid w:val="00D03A4F"/>
    <w:rPr>
      <w:sz w:val="26"/>
      <w:szCs w:val="26"/>
      <w:shd w:val="clear" w:color="auto" w:fill="FFFFFF"/>
    </w:rPr>
  </w:style>
  <w:style w:type="paragraph" w:customStyle="1" w:styleId="Style2">
    <w:name w:val="Style 2"/>
    <w:basedOn w:val="a"/>
    <w:link w:val="CharStyle3"/>
    <w:rsid w:val="00D03A4F"/>
    <w:pPr>
      <w:widowControl w:val="0"/>
      <w:shd w:val="clear" w:color="auto" w:fill="FFFFFF"/>
      <w:spacing w:after="420" w:line="0" w:lineRule="atLeast"/>
      <w:jc w:val="right"/>
    </w:pPr>
    <w:rPr>
      <w:sz w:val="26"/>
      <w:szCs w:val="26"/>
    </w:rPr>
  </w:style>
  <w:style w:type="character" w:customStyle="1" w:styleId="CharStyle6">
    <w:name w:val="Char Style 6"/>
    <w:basedOn w:val="CharStyle3"/>
    <w:link w:val="Style5"/>
    <w:rsid w:val="00D03A4F"/>
    <w:rPr>
      <w:rFonts w:ascii="Times New Roman" w:eastAsia="Times New Roman" w:hAnsi="Times New Roman" w:cs="Times New Roman"/>
      <w:color w:val="000000"/>
      <w:sz w:val="26"/>
      <w:szCs w:val="26"/>
      <w:u w:val="single"/>
      <w:shd w:val="clear" w:color="auto" w:fill="FFFFFF"/>
      <w:lang w:eastAsia="ru-RU" w:bidi="ru-RU"/>
    </w:rPr>
  </w:style>
  <w:style w:type="paragraph" w:customStyle="1" w:styleId="130">
    <w:name w:val="Основной текст13"/>
    <w:basedOn w:val="a"/>
    <w:rsid w:val="00D03A4F"/>
    <w:pPr>
      <w:widowControl w:val="0"/>
      <w:shd w:val="clear" w:color="auto" w:fill="FFFFFF"/>
      <w:spacing w:after="0" w:line="283" w:lineRule="exact"/>
      <w:ind w:hanging="2020"/>
      <w:jc w:val="center"/>
    </w:pPr>
    <w:rPr>
      <w:rFonts w:ascii="Times New Roman" w:eastAsia="Times New Roman" w:hAnsi="Times New Roman" w:cs="Times New Roman"/>
      <w:color w:val="000000"/>
      <w:sz w:val="26"/>
      <w:szCs w:val="26"/>
      <w:lang w:eastAsia="ru-RU" w:bidi="ru-RU"/>
    </w:rPr>
  </w:style>
  <w:style w:type="character" w:customStyle="1" w:styleId="11pt">
    <w:name w:val="Основной текст + 11 pt;Полужирный"/>
    <w:basedOn w:val="a0"/>
    <w:rsid w:val="00D03A4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FontStyle12">
    <w:name w:val="Font Style12"/>
    <w:basedOn w:val="a0"/>
    <w:uiPriority w:val="99"/>
    <w:rsid w:val="00D03A4F"/>
    <w:rPr>
      <w:rFonts w:ascii="Times New Roman" w:hAnsi="Times New Roman" w:cs="Times New Roman"/>
      <w:sz w:val="26"/>
      <w:szCs w:val="26"/>
    </w:rPr>
  </w:style>
  <w:style w:type="paragraph" w:customStyle="1" w:styleId="21">
    <w:name w:val="Основной текст2"/>
    <w:basedOn w:val="a"/>
    <w:rsid w:val="00D03A4F"/>
    <w:pPr>
      <w:widowControl w:val="0"/>
      <w:shd w:val="clear" w:color="auto" w:fill="FFFFFF"/>
      <w:spacing w:before="660" w:after="0" w:line="326" w:lineRule="exact"/>
    </w:pPr>
    <w:rPr>
      <w:rFonts w:ascii="Times New Roman" w:eastAsia="Times New Roman" w:hAnsi="Times New Roman" w:cs="Times New Roman"/>
      <w:color w:val="000000"/>
      <w:sz w:val="26"/>
      <w:szCs w:val="26"/>
      <w:lang w:eastAsia="ru-RU" w:bidi="ru-RU"/>
    </w:rPr>
  </w:style>
  <w:style w:type="paragraph" w:styleId="af2">
    <w:name w:val="Body Text"/>
    <w:aliases w:val="Основной текст Знак Знак Знак,bt,Основной текст Знак Знак"/>
    <w:basedOn w:val="a"/>
    <w:link w:val="15"/>
    <w:uiPriority w:val="99"/>
    <w:qFormat/>
    <w:rsid w:val="00D03A4F"/>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aliases w:val="Основной текст Знак Знак Знак Знак1,bt Знак1,Основной текст Знак Знак Знак2"/>
    <w:basedOn w:val="a0"/>
    <w:uiPriority w:val="99"/>
    <w:rsid w:val="00D03A4F"/>
  </w:style>
  <w:style w:type="character" w:customStyle="1" w:styleId="15">
    <w:name w:val="Основной текст Знак1"/>
    <w:aliases w:val="Основной текст Знак Знак Знак Знак,bt Знак,Основной текст Знак Знак Знак1"/>
    <w:link w:val="af2"/>
    <w:locked/>
    <w:rsid w:val="00D03A4F"/>
    <w:rPr>
      <w:rFonts w:ascii="Times New Roman" w:eastAsia="Times New Roman" w:hAnsi="Times New Roman" w:cs="Times New Roman"/>
      <w:sz w:val="24"/>
      <w:szCs w:val="24"/>
      <w:lang w:eastAsia="ru-RU"/>
    </w:rPr>
  </w:style>
  <w:style w:type="paragraph" w:styleId="af4">
    <w:name w:val="Body Text First Indent"/>
    <w:basedOn w:val="af2"/>
    <w:link w:val="af5"/>
    <w:rsid w:val="00D03A4F"/>
    <w:pPr>
      <w:ind w:firstLine="210"/>
    </w:pPr>
  </w:style>
  <w:style w:type="character" w:customStyle="1" w:styleId="af5">
    <w:name w:val="Красная строка Знак"/>
    <w:basedOn w:val="af3"/>
    <w:link w:val="af4"/>
    <w:rsid w:val="00D03A4F"/>
    <w:rPr>
      <w:rFonts w:ascii="Times New Roman" w:eastAsia="Times New Roman" w:hAnsi="Times New Roman" w:cs="Times New Roman"/>
      <w:sz w:val="24"/>
      <w:szCs w:val="24"/>
      <w:lang w:eastAsia="ru-RU"/>
    </w:rPr>
  </w:style>
  <w:style w:type="paragraph" w:customStyle="1" w:styleId="Style4">
    <w:name w:val="Style4"/>
    <w:basedOn w:val="a"/>
    <w:uiPriority w:val="99"/>
    <w:rsid w:val="00D03A4F"/>
    <w:pPr>
      <w:widowControl w:val="0"/>
      <w:autoSpaceDE w:val="0"/>
      <w:autoSpaceDN w:val="0"/>
      <w:adjustRightInd w:val="0"/>
      <w:spacing w:after="0" w:line="312" w:lineRule="exact"/>
      <w:ind w:firstLine="710"/>
      <w:jc w:val="both"/>
    </w:pPr>
    <w:rPr>
      <w:rFonts w:ascii="Times New Roman" w:eastAsia="Calibri" w:hAnsi="Times New Roman" w:cs="Times New Roman"/>
      <w:sz w:val="24"/>
      <w:szCs w:val="24"/>
      <w:lang w:eastAsia="ru-RU"/>
    </w:rPr>
  </w:style>
  <w:style w:type="paragraph" w:styleId="af6">
    <w:name w:val="List Paragraph"/>
    <w:basedOn w:val="a"/>
    <w:link w:val="af7"/>
    <w:uiPriority w:val="34"/>
    <w:qFormat/>
    <w:rsid w:val="00D03A4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1">
    <w:name w:val="s_1"/>
    <w:basedOn w:val="a"/>
    <w:rsid w:val="00D03A4F"/>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character" w:styleId="af8">
    <w:name w:val="footnote reference"/>
    <w:aliases w:val="fr,ОР,Знак сноски-FN,Ciae niinee-FN,Текст сновски,FZ,Знак сноски 1,Referencia nota al pie,Appel note de bas de page,Ciae niinee I,Знак сноски Н,Footnote Reference/,Сноска Сергея,Ciae niinee 1,Footnote Reference,SUPERS,Footnotes refss,BVI fnr"/>
    <w:basedOn w:val="a0"/>
    <w:uiPriority w:val="99"/>
    <w:unhideWhenUsed/>
    <w:qFormat/>
    <w:rsid w:val="00D03A4F"/>
    <w:rPr>
      <w:vertAlign w:val="superscript"/>
    </w:rPr>
  </w:style>
  <w:style w:type="character" w:customStyle="1" w:styleId="22">
    <w:name w:val="Основной текст (2)_"/>
    <w:basedOn w:val="a0"/>
    <w:link w:val="23"/>
    <w:rsid w:val="00D03A4F"/>
    <w:rPr>
      <w:rFonts w:ascii="Times New Roman" w:eastAsia="Times New Roman" w:hAnsi="Times New Roman" w:cs="Times New Roman"/>
      <w:sz w:val="30"/>
      <w:szCs w:val="30"/>
      <w:shd w:val="clear" w:color="auto" w:fill="FFFFFF"/>
    </w:rPr>
  </w:style>
  <w:style w:type="paragraph" w:customStyle="1" w:styleId="23">
    <w:name w:val="Основной текст (2)"/>
    <w:basedOn w:val="a"/>
    <w:link w:val="22"/>
    <w:rsid w:val="00D03A4F"/>
    <w:pPr>
      <w:widowControl w:val="0"/>
      <w:shd w:val="clear" w:color="auto" w:fill="FFFFFF"/>
      <w:spacing w:after="300" w:line="346" w:lineRule="exact"/>
    </w:pPr>
    <w:rPr>
      <w:rFonts w:ascii="Times New Roman" w:eastAsia="Times New Roman" w:hAnsi="Times New Roman" w:cs="Times New Roman"/>
      <w:sz w:val="30"/>
      <w:szCs w:val="30"/>
    </w:rPr>
  </w:style>
  <w:style w:type="paragraph" w:styleId="af9">
    <w:name w:val="footnote text"/>
    <w:aliases w:val="Texto de nota al pie,Текст сноски Знак Знак,Table_Footnote_last Знак,Table_Footnote_last Знак Знак,Table_Footnote_last,ft,Used by Word for text of Help footnotes,single space,-++ Знак,Текст сноски Знак1 Знак,Текст сноски-FN,Oaeno niinee-FN"/>
    <w:basedOn w:val="a"/>
    <w:link w:val="afa"/>
    <w:uiPriority w:val="99"/>
    <w:unhideWhenUsed/>
    <w:qFormat/>
    <w:rsid w:val="00D03A4F"/>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aliases w:val="Texto de nota al pie Знак,Текст сноски Знак Знак Знак,Table_Footnote_last Знак Знак1,Table_Footnote_last Знак Знак Знак,Table_Footnote_last Знак1,ft Знак,Used by Word for text of Help footnotes Знак,single space Знак,-++ Знак Знак"/>
    <w:basedOn w:val="a0"/>
    <w:link w:val="af9"/>
    <w:uiPriority w:val="99"/>
    <w:rsid w:val="00D03A4F"/>
    <w:rPr>
      <w:rFonts w:ascii="Times New Roman" w:eastAsia="Times New Roman" w:hAnsi="Times New Roman" w:cs="Times New Roman"/>
      <w:sz w:val="20"/>
      <w:szCs w:val="20"/>
      <w:lang w:eastAsia="ru-RU"/>
    </w:rPr>
  </w:style>
  <w:style w:type="paragraph" w:styleId="afb">
    <w:name w:val="Title"/>
    <w:aliases w:val="Знак Знак"/>
    <w:basedOn w:val="a"/>
    <w:link w:val="afc"/>
    <w:uiPriority w:val="99"/>
    <w:qFormat/>
    <w:rsid w:val="00D03A4F"/>
    <w:pPr>
      <w:spacing w:after="0" w:line="240" w:lineRule="auto"/>
      <w:ind w:left="142" w:right="-159"/>
      <w:jc w:val="center"/>
    </w:pPr>
    <w:rPr>
      <w:rFonts w:ascii="Times New Roman" w:eastAsia="Calibri" w:hAnsi="Times New Roman" w:cs="Times New Roman"/>
      <w:sz w:val="28"/>
      <w:szCs w:val="20"/>
      <w:lang w:eastAsia="ru-RU"/>
    </w:rPr>
  </w:style>
  <w:style w:type="character" w:customStyle="1" w:styleId="afc">
    <w:name w:val="Название Знак"/>
    <w:aliases w:val="Знак Знак Знак"/>
    <w:basedOn w:val="a0"/>
    <w:link w:val="afb"/>
    <w:uiPriority w:val="99"/>
    <w:rsid w:val="00D03A4F"/>
    <w:rPr>
      <w:rFonts w:ascii="Times New Roman" w:eastAsia="Calibri" w:hAnsi="Times New Roman" w:cs="Times New Roman"/>
      <w:sz w:val="28"/>
      <w:szCs w:val="20"/>
      <w:lang w:eastAsia="ru-RU"/>
    </w:rPr>
  </w:style>
  <w:style w:type="character" w:customStyle="1" w:styleId="16">
    <w:name w:val="Заголовок №1_"/>
    <w:basedOn w:val="a0"/>
    <w:link w:val="17"/>
    <w:rsid w:val="00D03A4F"/>
    <w:rPr>
      <w:rFonts w:ascii="Times New Roman" w:eastAsia="Times New Roman" w:hAnsi="Times New Roman" w:cs="Times New Roman"/>
      <w:b/>
      <w:bCs/>
      <w:sz w:val="28"/>
      <w:szCs w:val="28"/>
      <w:shd w:val="clear" w:color="auto" w:fill="FFFFFF"/>
    </w:rPr>
  </w:style>
  <w:style w:type="paragraph" w:customStyle="1" w:styleId="17">
    <w:name w:val="Заголовок №1"/>
    <w:basedOn w:val="a"/>
    <w:link w:val="16"/>
    <w:rsid w:val="00D03A4F"/>
    <w:pPr>
      <w:widowControl w:val="0"/>
      <w:shd w:val="clear" w:color="auto" w:fill="FFFFFF"/>
      <w:spacing w:before="300" w:after="480" w:line="370" w:lineRule="exact"/>
      <w:ind w:hanging="700"/>
      <w:jc w:val="center"/>
      <w:outlineLvl w:val="0"/>
    </w:pPr>
    <w:rPr>
      <w:rFonts w:ascii="Times New Roman" w:eastAsia="Times New Roman" w:hAnsi="Times New Roman" w:cs="Times New Roman"/>
      <w:b/>
      <w:bCs/>
      <w:sz w:val="28"/>
      <w:szCs w:val="28"/>
    </w:rPr>
  </w:style>
  <w:style w:type="character" w:customStyle="1" w:styleId="HTML">
    <w:name w:val="Стандартный HTML Знак"/>
    <w:basedOn w:val="a0"/>
    <w:link w:val="HTML0"/>
    <w:uiPriority w:val="99"/>
    <w:semiHidden/>
    <w:rsid w:val="00D03A4F"/>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D03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D03A4F"/>
    <w:rPr>
      <w:rFonts w:ascii="Consolas" w:hAnsi="Consolas"/>
      <w:sz w:val="20"/>
      <w:szCs w:val="20"/>
    </w:rPr>
  </w:style>
  <w:style w:type="paragraph" w:customStyle="1" w:styleId="afd">
    <w:name w:val="Абзац_письма"/>
    <w:basedOn w:val="a"/>
    <w:rsid w:val="00D03A4F"/>
    <w:pPr>
      <w:widowControl w:val="0"/>
      <w:spacing w:after="0" w:line="360" w:lineRule="auto"/>
      <w:ind w:firstLine="709"/>
      <w:jc w:val="both"/>
    </w:pPr>
    <w:rPr>
      <w:rFonts w:ascii="Times New Roman" w:eastAsia="Times New Roman" w:hAnsi="Times New Roman" w:cs="Times New Roman"/>
      <w:sz w:val="26"/>
      <w:szCs w:val="20"/>
      <w:lang w:eastAsia="ru-RU"/>
    </w:rPr>
  </w:style>
  <w:style w:type="paragraph" w:styleId="afe">
    <w:name w:val="Normal (Web)"/>
    <w:aliases w:val="Обычный (веб)1,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f"/>
    <w:uiPriority w:val="99"/>
    <w:qFormat/>
    <w:rsid w:val="00D03A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Обычный (веб) Знак"/>
    <w:aliases w:val="Обычный (веб)1 Знак,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e"/>
    <w:locked/>
    <w:rsid w:val="00D03A4F"/>
    <w:rPr>
      <w:rFonts w:ascii="Times New Roman" w:eastAsia="Times New Roman" w:hAnsi="Times New Roman" w:cs="Times New Roman"/>
      <w:sz w:val="24"/>
      <w:szCs w:val="24"/>
      <w:lang w:eastAsia="ru-RU"/>
    </w:rPr>
  </w:style>
  <w:style w:type="paragraph" w:customStyle="1" w:styleId="p1">
    <w:name w:val="p1"/>
    <w:basedOn w:val="a"/>
    <w:rsid w:val="00D03A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5">
    <w:name w:val="Font Style35"/>
    <w:uiPriority w:val="99"/>
    <w:rsid w:val="00D03A4F"/>
    <w:rPr>
      <w:rFonts w:ascii="Times New Roman" w:hAnsi="Times New Roman" w:cs="Times New Roman"/>
      <w:sz w:val="26"/>
      <w:szCs w:val="26"/>
    </w:rPr>
  </w:style>
  <w:style w:type="character" w:customStyle="1" w:styleId="220">
    <w:name w:val="Основной текст (2)2"/>
    <w:basedOn w:val="22"/>
    <w:rsid w:val="00D03A4F"/>
    <w:rPr>
      <w:rFonts w:ascii="Times New Roman" w:eastAsia="Times New Roman" w:hAnsi="Times New Roman" w:cs="Times New Roman"/>
      <w:color w:val="000000"/>
      <w:spacing w:val="0"/>
      <w:w w:val="100"/>
      <w:position w:val="0"/>
      <w:sz w:val="28"/>
      <w:szCs w:val="28"/>
      <w:u w:val="single"/>
      <w:shd w:val="clear" w:color="auto" w:fill="FFFFFF"/>
      <w:lang w:val="ru-RU" w:eastAsia="ru-RU"/>
    </w:rPr>
  </w:style>
  <w:style w:type="paragraph" w:customStyle="1" w:styleId="210">
    <w:name w:val="Основной текст (2)1"/>
    <w:basedOn w:val="a"/>
    <w:rsid w:val="00D03A4F"/>
    <w:pPr>
      <w:widowControl w:val="0"/>
      <w:shd w:val="clear" w:color="auto" w:fill="FFFFFF"/>
      <w:spacing w:after="300" w:line="326" w:lineRule="exact"/>
      <w:jc w:val="right"/>
    </w:pPr>
    <w:rPr>
      <w:rFonts w:ascii="Times New Roman" w:eastAsia="Arial Unicode MS" w:hAnsi="Times New Roman" w:cs="Times New Roman"/>
      <w:color w:val="000000"/>
      <w:sz w:val="28"/>
      <w:szCs w:val="28"/>
      <w:lang w:eastAsia="ru-RU"/>
    </w:rPr>
  </w:style>
  <w:style w:type="paragraph" w:styleId="aff0">
    <w:name w:val="List Bullet"/>
    <w:basedOn w:val="a"/>
    <w:uiPriority w:val="99"/>
    <w:unhideWhenUsed/>
    <w:rsid w:val="00D03A4F"/>
    <w:pPr>
      <w:tabs>
        <w:tab w:val="num" w:pos="360"/>
      </w:tabs>
      <w:spacing w:after="0" w:line="240" w:lineRule="auto"/>
      <w:ind w:left="360" w:hanging="360"/>
      <w:contextualSpacing/>
    </w:pPr>
    <w:rPr>
      <w:rFonts w:ascii="Times New Roman" w:eastAsia="Times New Roman" w:hAnsi="Times New Roman" w:cs="Times New Roman"/>
      <w:sz w:val="24"/>
      <w:szCs w:val="24"/>
      <w:lang w:eastAsia="ru-RU"/>
    </w:rPr>
  </w:style>
  <w:style w:type="character" w:customStyle="1" w:styleId="2105pt">
    <w:name w:val="Основной текст (2) + 10;5 pt;Полужирный;Малые прописные"/>
    <w:basedOn w:val="22"/>
    <w:rsid w:val="00D03A4F"/>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pt">
    <w:name w:val="Основной текст + Интервал 1 pt"/>
    <w:basedOn w:val="a0"/>
    <w:rsid w:val="00D03A4F"/>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font01">
    <w:name w:val="font01"/>
    <w:rsid w:val="00D03A4F"/>
    <w:rPr>
      <w:rFonts w:ascii="Times New Roman" w:hAnsi="Times New Roman"/>
      <w:sz w:val="24"/>
    </w:rPr>
  </w:style>
  <w:style w:type="character" w:customStyle="1" w:styleId="FontStyle11">
    <w:name w:val="Font Style11"/>
    <w:uiPriority w:val="99"/>
    <w:rsid w:val="00D03A4F"/>
    <w:rPr>
      <w:rFonts w:ascii="Times New Roman" w:hAnsi="Times New Roman" w:cs="Times New Roman"/>
      <w:sz w:val="26"/>
      <w:szCs w:val="26"/>
    </w:rPr>
  </w:style>
  <w:style w:type="paragraph" w:customStyle="1" w:styleId="18">
    <w:name w:val="Обычный1"/>
    <w:rsid w:val="00D03A4F"/>
    <w:pPr>
      <w:widowControl w:val="0"/>
      <w:suppressAutoHyphens/>
      <w:spacing w:after="0" w:line="240" w:lineRule="auto"/>
      <w:textAlignment w:val="baseline"/>
    </w:pPr>
    <w:rPr>
      <w:rFonts w:ascii="Times New Roman" w:eastAsia="Andale Sans UI" w:hAnsi="Times New Roman" w:cs="Tahoma"/>
      <w:color w:val="00000A"/>
      <w:sz w:val="24"/>
      <w:szCs w:val="24"/>
      <w:lang w:val="de-DE" w:eastAsia="ja-JP" w:bidi="fa-IR"/>
    </w:rPr>
  </w:style>
  <w:style w:type="paragraph" w:customStyle="1" w:styleId="Default">
    <w:name w:val="Default"/>
    <w:rsid w:val="00D03A4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1">
    <w:name w:val="Subtitle"/>
    <w:basedOn w:val="a"/>
    <w:link w:val="aff2"/>
    <w:qFormat/>
    <w:rsid w:val="00D03A4F"/>
    <w:pPr>
      <w:spacing w:after="0" w:line="240" w:lineRule="auto"/>
      <w:jc w:val="center"/>
    </w:pPr>
    <w:rPr>
      <w:rFonts w:ascii="Tahoma" w:eastAsia="Times New Roman" w:hAnsi="Tahoma" w:cs="Times New Roman"/>
      <w:sz w:val="28"/>
      <w:szCs w:val="20"/>
      <w:lang w:eastAsia="ru-RU"/>
    </w:rPr>
  </w:style>
  <w:style w:type="character" w:customStyle="1" w:styleId="aff2">
    <w:name w:val="Подзаголовок Знак"/>
    <w:basedOn w:val="a0"/>
    <w:link w:val="aff1"/>
    <w:rsid w:val="00D03A4F"/>
    <w:rPr>
      <w:rFonts w:ascii="Tahoma" w:eastAsia="Times New Roman" w:hAnsi="Tahoma" w:cs="Times New Roman"/>
      <w:sz w:val="28"/>
      <w:szCs w:val="20"/>
      <w:lang w:eastAsia="ru-RU"/>
    </w:rPr>
  </w:style>
  <w:style w:type="character" w:customStyle="1" w:styleId="81">
    <w:name w:val="Основной текст (8)_"/>
    <w:basedOn w:val="a0"/>
    <w:link w:val="82"/>
    <w:rsid w:val="00D03A4F"/>
    <w:rPr>
      <w:rFonts w:ascii="Times New Roman" w:eastAsia="Times New Roman" w:hAnsi="Times New Roman" w:cs="Times New Roman"/>
      <w:b/>
      <w:bCs/>
      <w:i/>
      <w:iCs/>
      <w:shd w:val="clear" w:color="auto" w:fill="FFFFFF"/>
    </w:rPr>
  </w:style>
  <w:style w:type="paragraph" w:customStyle="1" w:styleId="82">
    <w:name w:val="Основной текст (8)"/>
    <w:basedOn w:val="a"/>
    <w:link w:val="81"/>
    <w:rsid w:val="00D03A4F"/>
    <w:pPr>
      <w:widowControl w:val="0"/>
      <w:shd w:val="clear" w:color="auto" w:fill="FFFFFF"/>
      <w:spacing w:after="0" w:line="274" w:lineRule="exact"/>
      <w:jc w:val="both"/>
    </w:pPr>
    <w:rPr>
      <w:rFonts w:ascii="Times New Roman" w:eastAsia="Times New Roman" w:hAnsi="Times New Roman" w:cs="Times New Roman"/>
      <w:b/>
      <w:bCs/>
      <w:i/>
      <w:iCs/>
    </w:rPr>
  </w:style>
  <w:style w:type="character" w:customStyle="1" w:styleId="212pt">
    <w:name w:val="Основной текст (2) + 12 pt;Не полужирный"/>
    <w:rsid w:val="00D03A4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msonormalcxspmiddle">
    <w:name w:val="msonormalcxspmiddle"/>
    <w:basedOn w:val="a"/>
    <w:rsid w:val="00D03A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Без интервала1"/>
    <w:rsid w:val="00D03A4F"/>
    <w:pPr>
      <w:spacing w:after="0" w:line="240" w:lineRule="auto"/>
    </w:pPr>
    <w:rPr>
      <w:rFonts w:ascii="Times New Roman" w:eastAsia="Calibri" w:hAnsi="Times New Roman" w:cs="Times New Roman"/>
      <w:sz w:val="24"/>
      <w:szCs w:val="24"/>
      <w:lang w:eastAsia="ru-RU"/>
    </w:rPr>
  </w:style>
  <w:style w:type="character" w:customStyle="1" w:styleId="aff3">
    <w:name w:val="Колонтитул"/>
    <w:basedOn w:val="a0"/>
    <w:rsid w:val="00D03A4F"/>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
    <w:name w:val="Основной текст (2)7"/>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 10"/>
    <w:aliases w:val="5 pt,Основной текст + 11,Полужирный"/>
    <w:rsid w:val="00D03A4F"/>
    <w:rPr>
      <w:rFonts w:ascii="Times New Roman" w:eastAsia="Times New Roman" w:hAnsi="Times New Roman" w:cs="Times New Roman" w:hint="default"/>
      <w:b w:val="0"/>
      <w:bCs w:val="0"/>
      <w:i w:val="0"/>
      <w:iCs w:val="0"/>
      <w:smallCaps w:val="0"/>
      <w:strike w:val="0"/>
      <w:dstrike w:val="0"/>
      <w:color w:val="000000"/>
      <w:spacing w:val="-1"/>
      <w:w w:val="100"/>
      <w:position w:val="0"/>
      <w:sz w:val="21"/>
      <w:szCs w:val="21"/>
      <w:u w:val="none"/>
      <w:effect w:val="none"/>
      <w:shd w:val="clear" w:color="auto" w:fill="FFFFFF"/>
      <w:lang w:val="ru-RU"/>
    </w:rPr>
  </w:style>
  <w:style w:type="paragraph" w:customStyle="1" w:styleId="Style3">
    <w:name w:val="Style3"/>
    <w:basedOn w:val="a"/>
    <w:uiPriority w:val="99"/>
    <w:rsid w:val="00D03A4F"/>
    <w:pPr>
      <w:widowControl w:val="0"/>
      <w:autoSpaceDE w:val="0"/>
      <w:autoSpaceDN w:val="0"/>
      <w:adjustRightInd w:val="0"/>
      <w:spacing w:after="0" w:line="559" w:lineRule="exact"/>
      <w:ind w:firstLine="715"/>
      <w:jc w:val="both"/>
    </w:pPr>
    <w:rPr>
      <w:rFonts w:ascii="Times New Roman" w:eastAsia="Times New Roman" w:hAnsi="Times New Roman" w:cs="Times New Roman"/>
      <w:sz w:val="24"/>
      <w:szCs w:val="24"/>
      <w:lang w:eastAsia="ru-RU"/>
    </w:rPr>
  </w:style>
  <w:style w:type="character" w:customStyle="1" w:styleId="aff4">
    <w:name w:val="Сноска"/>
    <w:rsid w:val="00D03A4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61">
    <w:name w:val="Основной текст (6)_"/>
    <w:basedOn w:val="a0"/>
    <w:rsid w:val="00D03A4F"/>
    <w:rPr>
      <w:rFonts w:ascii="Times New Roman" w:eastAsia="Times New Roman" w:hAnsi="Times New Roman" w:cs="Times New Roman"/>
      <w:b w:val="0"/>
      <w:bCs w:val="0"/>
      <w:i w:val="0"/>
      <w:iCs w:val="0"/>
      <w:smallCaps w:val="0"/>
      <w:strike w:val="0"/>
      <w:u w:val="none"/>
    </w:rPr>
  </w:style>
  <w:style w:type="character" w:customStyle="1" w:styleId="614pt">
    <w:name w:val="Основной текст (6) + 14 pt"/>
    <w:basedOn w:val="61"/>
    <w:rsid w:val="00D03A4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2">
    <w:name w:val="Основной текст (6)"/>
    <w:basedOn w:val="61"/>
    <w:rsid w:val="00D03A4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Arial18pt-1pt">
    <w:name w:val="Основной текст (2) + Arial;18 pt;Интервал -1 pt"/>
    <w:basedOn w:val="22"/>
    <w:rsid w:val="00D03A4F"/>
    <w:rPr>
      <w:rFonts w:ascii="Arial" w:eastAsia="Arial" w:hAnsi="Arial" w:cs="Arial"/>
      <w:b w:val="0"/>
      <w:bCs w:val="0"/>
      <w:i w:val="0"/>
      <w:iCs w:val="0"/>
      <w:smallCaps w:val="0"/>
      <w:strike w:val="0"/>
      <w:color w:val="000000"/>
      <w:spacing w:val="-30"/>
      <w:w w:val="100"/>
      <w:position w:val="0"/>
      <w:sz w:val="36"/>
      <w:szCs w:val="36"/>
      <w:u w:val="none"/>
      <w:shd w:val="clear" w:color="auto" w:fill="FFFFFF"/>
      <w:lang w:val="ru-RU" w:eastAsia="ru-RU" w:bidi="ru-RU"/>
    </w:rPr>
  </w:style>
  <w:style w:type="character" w:customStyle="1" w:styleId="CharStyle4">
    <w:name w:val="Char Style 4"/>
    <w:basedOn w:val="CharStyle3"/>
    <w:rsid w:val="00D03A4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harStyle12">
    <w:name w:val="Char Style 12"/>
    <w:basedOn w:val="a0"/>
    <w:link w:val="Style11"/>
    <w:rsid w:val="00D03A4F"/>
    <w:rPr>
      <w:sz w:val="28"/>
      <w:szCs w:val="28"/>
      <w:shd w:val="clear" w:color="auto" w:fill="FFFFFF"/>
    </w:rPr>
  </w:style>
  <w:style w:type="paragraph" w:customStyle="1" w:styleId="Style5">
    <w:name w:val="Style 5"/>
    <w:basedOn w:val="a"/>
    <w:link w:val="CharStyle6"/>
    <w:rsid w:val="00D03A4F"/>
    <w:pPr>
      <w:widowControl w:val="0"/>
      <w:shd w:val="clear" w:color="auto" w:fill="FFFFFF"/>
      <w:spacing w:after="0" w:line="245" w:lineRule="exact"/>
    </w:pPr>
    <w:rPr>
      <w:rFonts w:ascii="Times New Roman" w:eastAsia="Times New Roman" w:hAnsi="Times New Roman" w:cs="Times New Roman"/>
      <w:color w:val="000000"/>
      <w:sz w:val="26"/>
      <w:szCs w:val="26"/>
      <w:u w:val="single"/>
      <w:lang w:eastAsia="ru-RU" w:bidi="ru-RU"/>
    </w:rPr>
  </w:style>
  <w:style w:type="paragraph" w:customStyle="1" w:styleId="Style11">
    <w:name w:val="Style 11"/>
    <w:basedOn w:val="a"/>
    <w:link w:val="CharStyle12"/>
    <w:rsid w:val="00D03A4F"/>
    <w:pPr>
      <w:widowControl w:val="0"/>
      <w:shd w:val="clear" w:color="auto" w:fill="FFFFFF"/>
      <w:spacing w:after="0" w:line="322" w:lineRule="exact"/>
      <w:jc w:val="center"/>
    </w:pPr>
    <w:rPr>
      <w:sz w:val="28"/>
      <w:szCs w:val="28"/>
    </w:rPr>
  </w:style>
  <w:style w:type="character" w:customStyle="1" w:styleId="CharStyle7">
    <w:name w:val="Char Style 7"/>
    <w:basedOn w:val="CharStyle6"/>
    <w:link w:val="Style6"/>
    <w:uiPriority w:val="99"/>
    <w:rsid w:val="00D03A4F"/>
    <w:rPr>
      <w:rFonts w:ascii="Times New Roman" w:eastAsia="Times New Roman" w:hAnsi="Times New Roman" w:cs="Times New Roman"/>
      <w:color w:val="000000"/>
      <w:sz w:val="20"/>
      <w:szCs w:val="20"/>
      <w:u w:val="single"/>
      <w:shd w:val="clear" w:color="auto" w:fill="FFFFFF"/>
      <w:lang w:eastAsia="ru-RU" w:bidi="ru-RU"/>
    </w:rPr>
  </w:style>
  <w:style w:type="character" w:customStyle="1" w:styleId="CharStyle11">
    <w:name w:val="Char Style 11"/>
    <w:basedOn w:val="a0"/>
    <w:link w:val="Style10"/>
    <w:uiPriority w:val="99"/>
    <w:rsid w:val="00D03A4F"/>
    <w:rPr>
      <w:sz w:val="26"/>
      <w:szCs w:val="26"/>
      <w:shd w:val="clear" w:color="auto" w:fill="FFFFFF"/>
    </w:rPr>
  </w:style>
  <w:style w:type="character" w:customStyle="1" w:styleId="CharStyle25">
    <w:name w:val="Char Style 25"/>
    <w:basedOn w:val="CharStyle11"/>
    <w:rsid w:val="00D03A4F"/>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CharStyle26">
    <w:name w:val="Char Style 26"/>
    <w:basedOn w:val="CharStyle11"/>
    <w:link w:val="Style25"/>
    <w:rsid w:val="00D03A4F"/>
    <w:rPr>
      <w:rFonts w:ascii="Times New Roman" w:eastAsia="Times New Roman" w:hAnsi="Times New Roman" w:cs="Times New Roman"/>
      <w:color w:val="000000"/>
      <w:sz w:val="26"/>
      <w:szCs w:val="26"/>
      <w:shd w:val="clear" w:color="auto" w:fill="FFFFFF"/>
      <w:lang w:eastAsia="ru-RU" w:bidi="ru-RU"/>
    </w:rPr>
  </w:style>
  <w:style w:type="character" w:customStyle="1" w:styleId="CharStyle27">
    <w:name w:val="Char Style 27"/>
    <w:basedOn w:val="CharStyle11"/>
    <w:rsid w:val="00D03A4F"/>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CharStyle28">
    <w:name w:val="Char Style 28"/>
    <w:basedOn w:val="CharStyle11"/>
    <w:rsid w:val="00D03A4F"/>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CharStyle29">
    <w:name w:val="Char Style 29"/>
    <w:basedOn w:val="CharStyle11"/>
    <w:rsid w:val="00D03A4F"/>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Style10">
    <w:name w:val="Style 10"/>
    <w:basedOn w:val="a"/>
    <w:link w:val="CharStyle11"/>
    <w:uiPriority w:val="99"/>
    <w:rsid w:val="00D03A4F"/>
    <w:pPr>
      <w:widowControl w:val="0"/>
      <w:shd w:val="clear" w:color="auto" w:fill="FFFFFF"/>
      <w:spacing w:after="0" w:line="311" w:lineRule="exact"/>
      <w:jc w:val="center"/>
    </w:pPr>
    <w:rPr>
      <w:sz w:val="26"/>
      <w:szCs w:val="26"/>
    </w:rPr>
  </w:style>
  <w:style w:type="character" w:customStyle="1" w:styleId="CharStyle10">
    <w:name w:val="Char Style 10"/>
    <w:basedOn w:val="CharStyle3"/>
    <w:link w:val="Style9"/>
    <w:rsid w:val="00D03A4F"/>
    <w:rPr>
      <w:sz w:val="26"/>
      <w:szCs w:val="26"/>
      <w:u w:val="single"/>
      <w:shd w:val="clear" w:color="auto" w:fill="FFFFFF"/>
    </w:rPr>
  </w:style>
  <w:style w:type="character" w:customStyle="1" w:styleId="CharStyle9">
    <w:name w:val="Char Style 9"/>
    <w:basedOn w:val="a0"/>
    <w:link w:val="Style8"/>
    <w:uiPriority w:val="99"/>
    <w:rsid w:val="00D03A4F"/>
    <w:rPr>
      <w:sz w:val="26"/>
      <w:szCs w:val="26"/>
      <w:shd w:val="clear" w:color="auto" w:fill="FFFFFF"/>
    </w:rPr>
  </w:style>
  <w:style w:type="paragraph" w:customStyle="1" w:styleId="Style8">
    <w:name w:val="Style 8"/>
    <w:basedOn w:val="a"/>
    <w:link w:val="CharStyle9"/>
    <w:uiPriority w:val="99"/>
    <w:rsid w:val="00D03A4F"/>
    <w:pPr>
      <w:widowControl w:val="0"/>
      <w:shd w:val="clear" w:color="auto" w:fill="FFFFFF"/>
      <w:spacing w:after="420" w:line="322" w:lineRule="exact"/>
      <w:jc w:val="both"/>
    </w:pPr>
    <w:rPr>
      <w:sz w:val="26"/>
      <w:szCs w:val="26"/>
    </w:rPr>
  </w:style>
  <w:style w:type="paragraph" w:styleId="24">
    <w:name w:val="Body Text Indent 2"/>
    <w:basedOn w:val="a"/>
    <w:link w:val="25"/>
    <w:uiPriority w:val="99"/>
    <w:rsid w:val="00D03A4F"/>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rsid w:val="00D03A4F"/>
    <w:rPr>
      <w:rFonts w:ascii="Times New Roman" w:eastAsia="Times New Roman" w:hAnsi="Times New Roman" w:cs="Times New Roman"/>
      <w:sz w:val="24"/>
      <w:szCs w:val="24"/>
      <w:lang w:eastAsia="ru-RU"/>
    </w:rPr>
  </w:style>
  <w:style w:type="paragraph" w:customStyle="1" w:styleId="Style1">
    <w:name w:val="Style1"/>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D03A4F"/>
    <w:rPr>
      <w:rFonts w:ascii="Times New Roman" w:hAnsi="Times New Roman" w:cs="Times New Roman"/>
      <w:sz w:val="26"/>
      <w:szCs w:val="26"/>
    </w:rPr>
  </w:style>
  <w:style w:type="paragraph" w:customStyle="1" w:styleId="1a">
    <w:name w:val="Текст1"/>
    <w:basedOn w:val="a"/>
    <w:rsid w:val="00D03A4F"/>
    <w:pPr>
      <w:spacing w:after="0" w:line="360" w:lineRule="auto"/>
      <w:ind w:firstLine="720"/>
      <w:jc w:val="both"/>
    </w:pPr>
    <w:rPr>
      <w:rFonts w:ascii="Times New Roman" w:eastAsia="Times New Roman" w:hAnsi="Times New Roman" w:cs="Times New Roman"/>
      <w:noProof/>
      <w:sz w:val="28"/>
      <w:szCs w:val="20"/>
      <w:lang w:eastAsia="ru-RU"/>
    </w:rPr>
  </w:style>
  <w:style w:type="paragraph" w:customStyle="1" w:styleId="Style6">
    <w:name w:val="Style 6"/>
    <w:basedOn w:val="a"/>
    <w:link w:val="CharStyle7"/>
    <w:uiPriority w:val="99"/>
    <w:rsid w:val="00D03A4F"/>
    <w:pPr>
      <w:widowControl w:val="0"/>
      <w:shd w:val="clear" w:color="auto" w:fill="FFFFFF"/>
      <w:spacing w:after="0" w:line="337" w:lineRule="exact"/>
    </w:pPr>
    <w:rPr>
      <w:rFonts w:ascii="Times New Roman" w:eastAsia="Times New Roman" w:hAnsi="Times New Roman" w:cs="Times New Roman"/>
      <w:color w:val="000000"/>
      <w:sz w:val="20"/>
      <w:szCs w:val="20"/>
      <w:u w:val="single"/>
      <w:lang w:eastAsia="ru-RU" w:bidi="ru-RU"/>
    </w:rPr>
  </w:style>
  <w:style w:type="character" w:customStyle="1" w:styleId="CharStyle5">
    <w:name w:val="Char Style 5"/>
    <w:basedOn w:val="a0"/>
    <w:link w:val="Style40"/>
    <w:rsid w:val="00D03A4F"/>
    <w:rPr>
      <w:sz w:val="28"/>
      <w:szCs w:val="28"/>
      <w:shd w:val="clear" w:color="auto" w:fill="FFFFFF"/>
    </w:rPr>
  </w:style>
  <w:style w:type="paragraph" w:customStyle="1" w:styleId="Style40">
    <w:name w:val="Style 4"/>
    <w:basedOn w:val="a"/>
    <w:link w:val="CharStyle5"/>
    <w:uiPriority w:val="99"/>
    <w:rsid w:val="00D03A4F"/>
    <w:pPr>
      <w:widowControl w:val="0"/>
      <w:shd w:val="clear" w:color="auto" w:fill="FFFFFF"/>
      <w:spacing w:after="0" w:line="322" w:lineRule="exact"/>
      <w:jc w:val="center"/>
    </w:pPr>
    <w:rPr>
      <w:sz w:val="28"/>
      <w:szCs w:val="28"/>
    </w:rPr>
  </w:style>
  <w:style w:type="character" w:customStyle="1" w:styleId="CharStyle30">
    <w:name w:val="Char Style 30"/>
    <w:basedOn w:val="CharStyle7"/>
    <w:rsid w:val="00D03A4F"/>
    <w:rPr>
      <w:rFonts w:ascii="Times New Roman" w:eastAsia="Times New Roman" w:hAnsi="Times New Roman" w:cs="Times New Roman"/>
      <w:color w:val="000000"/>
      <w:sz w:val="26"/>
      <w:szCs w:val="26"/>
      <w:u w:val="none"/>
      <w:shd w:val="clear" w:color="auto" w:fill="FFFFFF"/>
      <w:lang w:eastAsia="ru-RU" w:bidi="ru-RU"/>
    </w:rPr>
  </w:style>
  <w:style w:type="paragraph" w:customStyle="1" w:styleId="Style25">
    <w:name w:val="Style 25"/>
    <w:basedOn w:val="a"/>
    <w:link w:val="CharStyle26"/>
    <w:rsid w:val="00D03A4F"/>
    <w:pPr>
      <w:widowControl w:val="0"/>
      <w:shd w:val="clear" w:color="auto" w:fill="FFFFFF"/>
      <w:spacing w:after="0" w:line="274" w:lineRule="exact"/>
      <w:ind w:firstLine="860"/>
      <w:jc w:val="both"/>
    </w:pPr>
    <w:rPr>
      <w:rFonts w:ascii="Times New Roman" w:eastAsia="Times New Roman" w:hAnsi="Times New Roman" w:cs="Times New Roman"/>
      <w:color w:val="000000"/>
      <w:sz w:val="26"/>
      <w:szCs w:val="26"/>
      <w:lang w:eastAsia="ru-RU" w:bidi="ru-RU"/>
    </w:rPr>
  </w:style>
  <w:style w:type="character" w:customStyle="1" w:styleId="FontStyle41">
    <w:name w:val="Font Style41"/>
    <w:uiPriority w:val="99"/>
    <w:rsid w:val="00D03A4F"/>
    <w:rPr>
      <w:rFonts w:ascii="Times New Roman" w:hAnsi="Times New Roman" w:cs="Times New Roman"/>
      <w:sz w:val="24"/>
      <w:szCs w:val="24"/>
    </w:rPr>
  </w:style>
  <w:style w:type="character" w:customStyle="1" w:styleId="CharStyle44">
    <w:name w:val="Char Style 44"/>
    <w:basedOn w:val="CharStyle5"/>
    <w:uiPriority w:val="99"/>
    <w:rsid w:val="00D03A4F"/>
    <w:rPr>
      <w:rFonts w:ascii="Times New Roman" w:hAnsi="Times New Roman" w:cs="Times New Roman"/>
      <w:sz w:val="28"/>
      <w:szCs w:val="28"/>
      <w:u w:val="single"/>
      <w:shd w:val="clear" w:color="auto" w:fill="FFFFFF"/>
      <w:lang w:val="en-US" w:eastAsia="en-US"/>
    </w:rPr>
  </w:style>
  <w:style w:type="character" w:customStyle="1" w:styleId="aff5">
    <w:name w:val="Основной текст_"/>
    <w:basedOn w:val="a0"/>
    <w:link w:val="63"/>
    <w:rsid w:val="00D03A4F"/>
    <w:rPr>
      <w:rFonts w:ascii="Times New Roman" w:eastAsia="Times New Roman" w:hAnsi="Times New Roman" w:cs="Times New Roman"/>
      <w:sz w:val="26"/>
      <w:szCs w:val="26"/>
      <w:shd w:val="clear" w:color="auto" w:fill="FFFFFF"/>
    </w:rPr>
  </w:style>
  <w:style w:type="paragraph" w:customStyle="1" w:styleId="63">
    <w:name w:val="Основной текст6"/>
    <w:basedOn w:val="a"/>
    <w:link w:val="aff5"/>
    <w:rsid w:val="00D03A4F"/>
    <w:pPr>
      <w:widowControl w:val="0"/>
      <w:shd w:val="clear" w:color="auto" w:fill="FFFFFF"/>
      <w:spacing w:before="900" w:after="300" w:line="322" w:lineRule="exact"/>
      <w:jc w:val="both"/>
    </w:pPr>
    <w:rPr>
      <w:rFonts w:ascii="Times New Roman" w:eastAsia="Times New Roman" w:hAnsi="Times New Roman" w:cs="Times New Roman"/>
      <w:sz w:val="26"/>
      <w:szCs w:val="26"/>
    </w:rPr>
  </w:style>
  <w:style w:type="character" w:customStyle="1" w:styleId="42">
    <w:name w:val="Основной текст (4)_"/>
    <w:basedOn w:val="a0"/>
    <w:link w:val="43"/>
    <w:rsid w:val="00D03A4F"/>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D03A4F"/>
    <w:pPr>
      <w:widowControl w:val="0"/>
      <w:shd w:val="clear" w:color="auto" w:fill="FFFFFF"/>
      <w:spacing w:after="0" w:line="322" w:lineRule="exact"/>
      <w:ind w:hanging="2020"/>
      <w:jc w:val="center"/>
    </w:pPr>
    <w:rPr>
      <w:rFonts w:ascii="Times New Roman" w:eastAsia="Times New Roman" w:hAnsi="Times New Roman" w:cs="Times New Roman"/>
      <w:b/>
      <w:bCs/>
      <w:sz w:val="26"/>
      <w:szCs w:val="26"/>
    </w:rPr>
  </w:style>
  <w:style w:type="character" w:customStyle="1" w:styleId="aff6">
    <w:name w:val="Основной текст + Полужирный"/>
    <w:aliases w:val="Курсив,Интервал 0 pt"/>
    <w:basedOn w:val="aff5"/>
    <w:rsid w:val="00D03A4F"/>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2">
    <w:name w:val="Основной текст5"/>
    <w:basedOn w:val="aff5"/>
    <w:rsid w:val="00D03A4F"/>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31">
    <w:name w:val="Основной текст (3)_"/>
    <w:basedOn w:val="a0"/>
    <w:link w:val="32"/>
    <w:rsid w:val="00D03A4F"/>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03A4F"/>
    <w:pPr>
      <w:widowControl w:val="0"/>
      <w:shd w:val="clear" w:color="auto" w:fill="FFFFFF"/>
      <w:spacing w:before="420" w:after="600" w:line="0" w:lineRule="atLeast"/>
    </w:pPr>
    <w:rPr>
      <w:rFonts w:ascii="Times New Roman" w:eastAsia="Times New Roman" w:hAnsi="Times New Roman" w:cs="Times New Roman"/>
      <w:b/>
      <w:bCs/>
      <w:sz w:val="28"/>
      <w:szCs w:val="28"/>
    </w:rPr>
  </w:style>
  <w:style w:type="character" w:customStyle="1" w:styleId="53">
    <w:name w:val="Основной текст (5)_"/>
    <w:basedOn w:val="a0"/>
    <w:link w:val="54"/>
    <w:rsid w:val="00D03A4F"/>
    <w:rPr>
      <w:rFonts w:ascii="Times New Roman" w:eastAsia="Times New Roman" w:hAnsi="Times New Roman" w:cs="Times New Roman"/>
      <w:i/>
      <w:iCs/>
      <w:sz w:val="13"/>
      <w:szCs w:val="13"/>
      <w:shd w:val="clear" w:color="auto" w:fill="FFFFFF"/>
    </w:rPr>
  </w:style>
  <w:style w:type="paragraph" w:customStyle="1" w:styleId="54">
    <w:name w:val="Основной текст (5)"/>
    <w:basedOn w:val="a"/>
    <w:link w:val="53"/>
    <w:rsid w:val="00D03A4F"/>
    <w:pPr>
      <w:widowControl w:val="0"/>
      <w:shd w:val="clear" w:color="auto" w:fill="FFFFFF"/>
      <w:spacing w:after="0" w:line="0" w:lineRule="atLeast"/>
    </w:pPr>
    <w:rPr>
      <w:rFonts w:ascii="Times New Roman" w:eastAsia="Times New Roman" w:hAnsi="Times New Roman" w:cs="Times New Roman"/>
      <w:i/>
      <w:iCs/>
      <w:sz w:val="13"/>
      <w:szCs w:val="13"/>
    </w:rPr>
  </w:style>
  <w:style w:type="character" w:customStyle="1" w:styleId="12pt">
    <w:name w:val="Основной текст + 12 pt"/>
    <w:basedOn w:val="aff5"/>
    <w:rsid w:val="00D03A4F"/>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f7">
    <w:name w:val="Основной текст + Курсив"/>
    <w:basedOn w:val="aff5"/>
    <w:rsid w:val="00D03A4F"/>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rsid w:val="00D03A4F"/>
    <w:rPr>
      <w:rFonts w:ascii="CordiaUPC" w:eastAsia="CordiaUPC" w:hAnsi="CordiaUPC" w:cs="CordiaUPC"/>
      <w:sz w:val="16"/>
      <w:szCs w:val="16"/>
      <w:shd w:val="clear" w:color="auto" w:fill="FFFFFF"/>
      <w:lang w:val="en-US" w:bidi="en-US"/>
    </w:rPr>
  </w:style>
  <w:style w:type="character" w:customStyle="1" w:styleId="Exact">
    <w:name w:val="Основной текст Exact"/>
    <w:basedOn w:val="a0"/>
    <w:rsid w:val="00D03A4F"/>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D03A4F"/>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D03A4F"/>
    <w:pPr>
      <w:widowControl w:val="0"/>
      <w:shd w:val="clear" w:color="auto" w:fill="FFFFFF"/>
      <w:spacing w:before="720" w:after="0" w:line="465" w:lineRule="exact"/>
      <w:ind w:hanging="2020"/>
      <w:jc w:val="both"/>
    </w:pPr>
    <w:rPr>
      <w:rFonts w:ascii="Times New Roman" w:eastAsia="Times New Roman" w:hAnsi="Times New Roman" w:cs="Times New Roman"/>
      <w:i/>
      <w:iCs/>
      <w:sz w:val="28"/>
      <w:szCs w:val="28"/>
    </w:rPr>
  </w:style>
  <w:style w:type="character" w:customStyle="1" w:styleId="33">
    <w:name w:val="Основной текст3"/>
    <w:basedOn w:val="aff5"/>
    <w:rsid w:val="00D03A4F"/>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15pt">
    <w:name w:val="Основной текст + 11;5 pt;Полужирный"/>
    <w:basedOn w:val="aff5"/>
    <w:rsid w:val="00D03A4F"/>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ff5"/>
    <w:rsid w:val="00D03A4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ff5"/>
    <w:rsid w:val="00D03A4F"/>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ff5"/>
    <w:rsid w:val="00D03A4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f8">
    <w:name w:val="No Spacing"/>
    <w:aliases w:val="Без интервала Стандарт,14 _одинарный"/>
    <w:link w:val="aff9"/>
    <w:uiPriority w:val="1"/>
    <w:qFormat/>
    <w:rsid w:val="00D03A4F"/>
    <w:pPr>
      <w:suppressAutoHyphens/>
      <w:spacing w:after="0" w:line="240" w:lineRule="auto"/>
    </w:pPr>
    <w:rPr>
      <w:rFonts w:ascii="Times New Roman" w:eastAsia="Calibri" w:hAnsi="Times New Roman" w:cs="Times New Roman"/>
      <w:sz w:val="24"/>
      <w:szCs w:val="24"/>
      <w:lang w:eastAsia="ar-SA"/>
    </w:rPr>
  </w:style>
  <w:style w:type="character" w:customStyle="1" w:styleId="aff9">
    <w:name w:val="Без интервала Знак"/>
    <w:aliases w:val="Без интервала Стандарт Знак,14 _одинарный Знак"/>
    <w:basedOn w:val="a0"/>
    <w:link w:val="aff8"/>
    <w:uiPriority w:val="1"/>
    <w:rsid w:val="00D03A4F"/>
    <w:rPr>
      <w:rFonts w:ascii="Times New Roman" w:eastAsia="Calibri" w:hAnsi="Times New Roman" w:cs="Times New Roman"/>
      <w:sz w:val="24"/>
      <w:szCs w:val="24"/>
      <w:lang w:eastAsia="ar-SA"/>
    </w:rPr>
  </w:style>
  <w:style w:type="paragraph" w:customStyle="1" w:styleId="Style20">
    <w:name w:val="Style2"/>
    <w:basedOn w:val="a"/>
    <w:uiPriority w:val="99"/>
    <w:rsid w:val="00D03A4F"/>
    <w:pPr>
      <w:widowControl w:val="0"/>
      <w:autoSpaceDE w:val="0"/>
      <w:autoSpaceDN w:val="0"/>
      <w:adjustRightInd w:val="0"/>
      <w:spacing w:after="0" w:line="319" w:lineRule="exact"/>
      <w:ind w:firstLine="686"/>
      <w:jc w:val="both"/>
    </w:pPr>
    <w:rPr>
      <w:rFonts w:ascii="Times New Roman" w:eastAsia="Times New Roman" w:hAnsi="Times New Roman" w:cs="Times New Roman"/>
      <w:sz w:val="24"/>
      <w:szCs w:val="24"/>
      <w:lang w:eastAsia="ru-RU"/>
    </w:rPr>
  </w:style>
  <w:style w:type="character" w:customStyle="1" w:styleId="FontStyle16">
    <w:name w:val="Font Style16"/>
    <w:uiPriority w:val="99"/>
    <w:rsid w:val="00D03A4F"/>
    <w:rPr>
      <w:rFonts w:ascii="Times New Roman" w:hAnsi="Times New Roman" w:cs="Times New Roman"/>
      <w:sz w:val="26"/>
      <w:szCs w:val="26"/>
    </w:rPr>
  </w:style>
  <w:style w:type="paragraph" w:customStyle="1" w:styleId="Style50">
    <w:name w:val="Style5"/>
    <w:basedOn w:val="a"/>
    <w:uiPriority w:val="99"/>
    <w:rsid w:val="00D03A4F"/>
    <w:pPr>
      <w:widowControl w:val="0"/>
      <w:autoSpaceDE w:val="0"/>
      <w:autoSpaceDN w:val="0"/>
      <w:adjustRightInd w:val="0"/>
      <w:spacing w:after="0" w:line="480" w:lineRule="exact"/>
      <w:ind w:firstLine="730"/>
      <w:jc w:val="both"/>
    </w:pPr>
    <w:rPr>
      <w:rFonts w:ascii="Arial Black" w:eastAsia="Times New Roman" w:hAnsi="Arial Black"/>
      <w:sz w:val="24"/>
      <w:szCs w:val="24"/>
      <w:lang w:eastAsia="ru-RU"/>
    </w:rPr>
  </w:style>
  <w:style w:type="character" w:customStyle="1" w:styleId="af7">
    <w:name w:val="Абзац списка Знак"/>
    <w:link w:val="af6"/>
    <w:uiPriority w:val="99"/>
    <w:locked/>
    <w:rsid w:val="00D03A4F"/>
    <w:rPr>
      <w:rFonts w:ascii="Times New Roman" w:eastAsia="Times New Roman" w:hAnsi="Times New Roman" w:cs="Times New Roman"/>
      <w:sz w:val="24"/>
      <w:szCs w:val="24"/>
      <w:lang w:eastAsia="ru-RU"/>
    </w:rPr>
  </w:style>
  <w:style w:type="character" w:styleId="affa">
    <w:name w:val="Strong"/>
    <w:basedOn w:val="a0"/>
    <w:uiPriority w:val="22"/>
    <w:qFormat/>
    <w:rsid w:val="00D03A4F"/>
    <w:rPr>
      <w:b/>
      <w:bCs/>
    </w:rPr>
  </w:style>
  <w:style w:type="paragraph" w:customStyle="1" w:styleId="211">
    <w:name w:val="Основной текст 21"/>
    <w:basedOn w:val="a"/>
    <w:uiPriority w:val="99"/>
    <w:rsid w:val="00D03A4F"/>
    <w:pPr>
      <w:overflowPunct w:val="0"/>
      <w:autoSpaceDE w:val="0"/>
      <w:autoSpaceDN w:val="0"/>
      <w:adjustRightInd w:val="0"/>
      <w:spacing w:after="0" w:line="216" w:lineRule="auto"/>
      <w:ind w:firstLine="709"/>
      <w:jc w:val="both"/>
      <w:textAlignment w:val="baseline"/>
    </w:pPr>
    <w:rPr>
      <w:rFonts w:ascii="Arial" w:eastAsia="Times New Roman" w:hAnsi="Arial" w:cs="Times New Roman"/>
      <w:sz w:val="28"/>
      <w:szCs w:val="20"/>
      <w:lang w:val="en-US" w:eastAsia="ru-RU"/>
    </w:rPr>
  </w:style>
  <w:style w:type="paragraph" w:styleId="34">
    <w:name w:val="Body Text 3"/>
    <w:aliases w:val="Знак2 Знак,Знак2"/>
    <w:basedOn w:val="a"/>
    <w:link w:val="35"/>
    <w:uiPriority w:val="99"/>
    <w:rsid w:val="00D03A4F"/>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aliases w:val="Знак2 Знак Знак,Знак2 Знак1"/>
    <w:basedOn w:val="a0"/>
    <w:link w:val="34"/>
    <w:uiPriority w:val="99"/>
    <w:rsid w:val="00D03A4F"/>
    <w:rPr>
      <w:rFonts w:ascii="Times New Roman" w:eastAsia="Times New Roman" w:hAnsi="Times New Roman" w:cs="Times New Roman"/>
      <w:sz w:val="16"/>
      <w:szCs w:val="16"/>
      <w:lang w:eastAsia="ru-RU"/>
    </w:rPr>
  </w:style>
  <w:style w:type="character" w:customStyle="1" w:styleId="FontStyle27">
    <w:name w:val="Font Style27"/>
    <w:basedOn w:val="a0"/>
    <w:rsid w:val="00D03A4F"/>
    <w:rPr>
      <w:rFonts w:ascii="Times New Roman" w:hAnsi="Times New Roman" w:cs="Times New Roman"/>
      <w:sz w:val="26"/>
      <w:szCs w:val="26"/>
    </w:rPr>
  </w:style>
  <w:style w:type="character" w:customStyle="1" w:styleId="FontStyle28">
    <w:name w:val="Font Style28"/>
    <w:basedOn w:val="a0"/>
    <w:uiPriority w:val="99"/>
    <w:rsid w:val="00D03A4F"/>
    <w:rPr>
      <w:rFonts w:ascii="Times New Roman" w:hAnsi="Times New Roman" w:cs="Times New Roman"/>
      <w:b/>
      <w:bCs/>
      <w:spacing w:val="-10"/>
      <w:sz w:val="28"/>
      <w:szCs w:val="28"/>
    </w:rPr>
  </w:style>
  <w:style w:type="paragraph" w:customStyle="1" w:styleId="Style16">
    <w:name w:val="Style16"/>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1">
    <w:name w:val="Font Style31"/>
    <w:basedOn w:val="a0"/>
    <w:uiPriority w:val="99"/>
    <w:rsid w:val="00D03A4F"/>
    <w:rPr>
      <w:rFonts w:ascii="Times New Roman" w:hAnsi="Times New Roman" w:cs="Times New Roman"/>
      <w:sz w:val="22"/>
      <w:szCs w:val="22"/>
    </w:rPr>
  </w:style>
  <w:style w:type="paragraph" w:customStyle="1" w:styleId="consplustitle">
    <w:name w:val="consplustitle"/>
    <w:basedOn w:val="a"/>
    <w:rsid w:val="00D03A4F"/>
    <w:pPr>
      <w:autoSpaceDE w:val="0"/>
      <w:autoSpaceDN w:val="0"/>
      <w:spacing w:after="0" w:line="240" w:lineRule="auto"/>
    </w:pPr>
    <w:rPr>
      <w:rFonts w:ascii="Times New Roman" w:eastAsia="Times New Roman" w:hAnsi="Times New Roman" w:cs="Times New Roman"/>
      <w:b/>
      <w:bCs/>
      <w:sz w:val="24"/>
      <w:szCs w:val="24"/>
      <w:lang w:eastAsia="ru-RU"/>
    </w:rPr>
  </w:style>
  <w:style w:type="character" w:customStyle="1" w:styleId="FontStyle46">
    <w:name w:val="Font Style46"/>
    <w:basedOn w:val="a0"/>
    <w:uiPriority w:val="99"/>
    <w:rsid w:val="00D03A4F"/>
    <w:rPr>
      <w:rFonts w:ascii="Times New Roman" w:hAnsi="Times New Roman" w:cs="Times New Roman"/>
      <w:sz w:val="28"/>
      <w:szCs w:val="28"/>
    </w:rPr>
  </w:style>
  <w:style w:type="paragraph" w:customStyle="1" w:styleId="ConsNormal">
    <w:name w:val="ConsNormal"/>
    <w:rsid w:val="00D03A4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b">
    <w:name w:val="Îáû÷íûé1"/>
    <w:rsid w:val="00D03A4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c">
    <w:name w:val="1"/>
    <w:basedOn w:val="a"/>
    <w:rsid w:val="00D03A4F"/>
    <w:pPr>
      <w:overflowPunct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110">
    <w:name w:val="Основной_текст_1.1."/>
    <w:basedOn w:val="a"/>
    <w:rsid w:val="00D03A4F"/>
    <w:pPr>
      <w:shd w:val="clear" w:color="auto" w:fill="FFFFFF"/>
      <w:tabs>
        <w:tab w:val="left" w:pos="567"/>
        <w:tab w:val="left" w:pos="1134"/>
        <w:tab w:val="left" w:pos="1701"/>
        <w:tab w:val="left" w:pos="2268"/>
      </w:tabs>
      <w:autoSpaceDE w:val="0"/>
      <w:autoSpaceDN w:val="0"/>
      <w:adjustRightInd w:val="0"/>
      <w:spacing w:after="0" w:line="240" w:lineRule="auto"/>
      <w:ind w:firstLine="567"/>
      <w:jc w:val="both"/>
    </w:pPr>
    <w:rPr>
      <w:rFonts w:ascii="Times New Roman" w:eastAsia="Calibri" w:hAnsi="Times New Roman" w:cs="Times New Roman"/>
      <w:sz w:val="28"/>
      <w:szCs w:val="20"/>
      <w:lang w:eastAsia="ru-RU"/>
    </w:rPr>
  </w:style>
  <w:style w:type="paragraph" w:styleId="26">
    <w:name w:val="Body Text 2"/>
    <w:basedOn w:val="a"/>
    <w:link w:val="28"/>
    <w:uiPriority w:val="99"/>
    <w:rsid w:val="00D03A4F"/>
    <w:pPr>
      <w:spacing w:after="120" w:line="480" w:lineRule="auto"/>
    </w:pPr>
    <w:rPr>
      <w:rFonts w:ascii="Calibri" w:eastAsia="Times New Roman" w:hAnsi="Calibri" w:cs="Times New Roman"/>
    </w:rPr>
  </w:style>
  <w:style w:type="character" w:customStyle="1" w:styleId="28">
    <w:name w:val="Основной текст 2 Знак"/>
    <w:basedOn w:val="a0"/>
    <w:link w:val="26"/>
    <w:uiPriority w:val="99"/>
    <w:rsid w:val="00D03A4F"/>
    <w:rPr>
      <w:rFonts w:ascii="Calibri" w:eastAsia="Times New Roman" w:hAnsi="Calibri" w:cs="Times New Roman"/>
    </w:rPr>
  </w:style>
  <w:style w:type="paragraph" w:styleId="affb">
    <w:name w:val="Plain Text"/>
    <w:basedOn w:val="a"/>
    <w:link w:val="affc"/>
    <w:uiPriority w:val="99"/>
    <w:rsid w:val="00D03A4F"/>
    <w:pPr>
      <w:spacing w:after="0" w:line="240" w:lineRule="auto"/>
    </w:pPr>
    <w:rPr>
      <w:rFonts w:ascii="Courier New" w:eastAsia="Times New Roman" w:hAnsi="Courier New" w:cs="Times New Roman"/>
      <w:sz w:val="20"/>
      <w:szCs w:val="20"/>
      <w:lang w:eastAsia="ru-RU"/>
    </w:rPr>
  </w:style>
  <w:style w:type="character" w:customStyle="1" w:styleId="affc">
    <w:name w:val="Текст Знак"/>
    <w:basedOn w:val="a0"/>
    <w:link w:val="affb"/>
    <w:uiPriority w:val="99"/>
    <w:rsid w:val="00D03A4F"/>
    <w:rPr>
      <w:rFonts w:ascii="Courier New" w:eastAsia="Times New Roman" w:hAnsi="Courier New" w:cs="Times New Roman"/>
      <w:sz w:val="20"/>
      <w:szCs w:val="20"/>
      <w:lang w:eastAsia="ru-RU"/>
    </w:rPr>
  </w:style>
  <w:style w:type="paragraph" w:customStyle="1" w:styleId="Body1">
    <w:name w:val="Body 1"/>
    <w:rsid w:val="00D03A4F"/>
    <w:pPr>
      <w:spacing w:after="0" w:line="240" w:lineRule="auto"/>
    </w:pPr>
    <w:rPr>
      <w:rFonts w:ascii="Helvetica" w:eastAsia="Arial Unicode MS" w:hAnsi="Helvetica" w:cs="Times New Roman"/>
      <w:color w:val="000000"/>
      <w:sz w:val="24"/>
      <w:szCs w:val="20"/>
      <w:lang w:eastAsia="ru-RU"/>
    </w:rPr>
  </w:style>
  <w:style w:type="paragraph" w:customStyle="1" w:styleId="affd">
    <w:name w:val="МОН"/>
    <w:basedOn w:val="a"/>
    <w:link w:val="affe"/>
    <w:qFormat/>
    <w:rsid w:val="00D03A4F"/>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e">
    <w:name w:val="МОН Знак"/>
    <w:basedOn w:val="a0"/>
    <w:link w:val="affd"/>
    <w:locked/>
    <w:rsid w:val="00D03A4F"/>
    <w:rPr>
      <w:rFonts w:ascii="Times New Roman" w:eastAsia="Times New Roman" w:hAnsi="Times New Roman" w:cs="Times New Roman"/>
      <w:sz w:val="28"/>
      <w:szCs w:val="20"/>
      <w:lang w:eastAsia="ru-RU"/>
    </w:rPr>
  </w:style>
  <w:style w:type="character" w:customStyle="1" w:styleId="FontStyle24">
    <w:name w:val="Font Style24"/>
    <w:rsid w:val="00D03A4F"/>
    <w:rPr>
      <w:rFonts w:ascii="Times New Roman" w:hAnsi="Times New Roman" w:cs="Times New Roman"/>
      <w:b/>
      <w:bCs/>
      <w:sz w:val="26"/>
      <w:szCs w:val="26"/>
    </w:rPr>
  </w:style>
  <w:style w:type="paragraph" w:customStyle="1" w:styleId="Style60">
    <w:name w:val="Style6"/>
    <w:basedOn w:val="a"/>
    <w:uiPriority w:val="99"/>
    <w:rsid w:val="00D03A4F"/>
    <w:pPr>
      <w:widowControl w:val="0"/>
      <w:autoSpaceDE w:val="0"/>
      <w:autoSpaceDN w:val="0"/>
      <w:adjustRightInd w:val="0"/>
      <w:spacing w:after="0" w:line="411" w:lineRule="exact"/>
      <w:ind w:firstLine="691"/>
      <w:jc w:val="both"/>
    </w:pPr>
    <w:rPr>
      <w:rFonts w:ascii="Times New Roman" w:eastAsia="Times New Roman" w:hAnsi="Times New Roman" w:cs="Times New Roman"/>
      <w:sz w:val="24"/>
      <w:szCs w:val="24"/>
      <w:lang w:eastAsia="ru-RU"/>
    </w:rPr>
  </w:style>
  <w:style w:type="paragraph" w:styleId="36">
    <w:name w:val="Body Text Indent 3"/>
    <w:basedOn w:val="a"/>
    <w:link w:val="37"/>
    <w:uiPriority w:val="99"/>
    <w:unhideWhenUsed/>
    <w:rsid w:val="00D03A4F"/>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rsid w:val="00D03A4F"/>
    <w:rPr>
      <w:rFonts w:ascii="Times New Roman" w:eastAsia="Times New Roman" w:hAnsi="Times New Roman" w:cs="Times New Roman"/>
      <w:sz w:val="16"/>
      <w:szCs w:val="16"/>
      <w:lang w:eastAsia="ru-RU"/>
    </w:rPr>
  </w:style>
  <w:style w:type="paragraph" w:customStyle="1" w:styleId="s3">
    <w:name w:val="s_3"/>
    <w:basedOn w:val="a"/>
    <w:rsid w:val="00D03A4F"/>
    <w:pPr>
      <w:spacing w:before="100" w:beforeAutospacing="1" w:after="100" w:afterAutospacing="1" w:line="240" w:lineRule="auto"/>
      <w:jc w:val="center"/>
    </w:pPr>
    <w:rPr>
      <w:rFonts w:ascii="Times New Roman" w:eastAsia="Times New Roman" w:hAnsi="Times New Roman" w:cs="Times New Roman"/>
      <w:b/>
      <w:bCs/>
      <w:color w:val="000080"/>
      <w:sz w:val="23"/>
      <w:szCs w:val="23"/>
      <w:lang w:eastAsia="ru-RU"/>
    </w:rPr>
  </w:style>
  <w:style w:type="paragraph" w:styleId="afff">
    <w:name w:val="Block Text"/>
    <w:basedOn w:val="a"/>
    <w:uiPriority w:val="99"/>
    <w:rsid w:val="00D03A4F"/>
    <w:pPr>
      <w:suppressAutoHyphens/>
      <w:spacing w:after="0" w:line="288" w:lineRule="auto"/>
      <w:ind w:left="140" w:right="-161" w:firstLine="700"/>
      <w:jc w:val="both"/>
    </w:pPr>
    <w:rPr>
      <w:rFonts w:ascii="Times New Roman" w:eastAsia="Times New Roman" w:hAnsi="Times New Roman" w:cs="Times New Roman"/>
      <w:sz w:val="28"/>
      <w:szCs w:val="28"/>
      <w:lang w:eastAsia="ar-SA"/>
    </w:rPr>
  </w:style>
  <w:style w:type="paragraph" w:customStyle="1" w:styleId="Style7">
    <w:name w:val="Style7"/>
    <w:basedOn w:val="a"/>
    <w:uiPriority w:val="99"/>
    <w:rsid w:val="00D03A4F"/>
    <w:pPr>
      <w:widowControl w:val="0"/>
      <w:autoSpaceDE w:val="0"/>
      <w:autoSpaceDN w:val="0"/>
      <w:adjustRightInd w:val="0"/>
      <w:spacing w:after="0" w:line="485" w:lineRule="exact"/>
      <w:ind w:firstLine="701"/>
      <w:jc w:val="both"/>
    </w:pPr>
    <w:rPr>
      <w:rFonts w:ascii="Times New Roman" w:eastAsia="Times New Roman" w:hAnsi="Times New Roman" w:cs="Times New Roman"/>
      <w:sz w:val="24"/>
      <w:szCs w:val="24"/>
      <w:lang w:eastAsia="ru-RU"/>
    </w:rPr>
  </w:style>
  <w:style w:type="character" w:customStyle="1" w:styleId="FontStyle20">
    <w:name w:val="Font Style20"/>
    <w:basedOn w:val="a0"/>
    <w:uiPriority w:val="99"/>
    <w:rsid w:val="00D03A4F"/>
    <w:rPr>
      <w:rFonts w:ascii="Times New Roman" w:hAnsi="Times New Roman" w:cs="Times New Roman"/>
      <w:sz w:val="26"/>
      <w:szCs w:val="26"/>
    </w:rPr>
  </w:style>
  <w:style w:type="paragraph" w:customStyle="1" w:styleId="Style23">
    <w:name w:val="Style23"/>
    <w:basedOn w:val="a"/>
    <w:uiPriority w:val="99"/>
    <w:rsid w:val="00D03A4F"/>
    <w:pPr>
      <w:widowControl w:val="0"/>
      <w:autoSpaceDE w:val="0"/>
      <w:autoSpaceDN w:val="0"/>
      <w:adjustRightInd w:val="0"/>
      <w:spacing w:after="0" w:line="485" w:lineRule="exact"/>
      <w:ind w:firstLine="566"/>
      <w:jc w:val="both"/>
    </w:pPr>
    <w:rPr>
      <w:rFonts w:ascii="Cambria" w:eastAsia="Times New Roman" w:hAnsi="Cambria"/>
      <w:sz w:val="24"/>
      <w:szCs w:val="24"/>
      <w:lang w:eastAsia="ru-RU"/>
    </w:rPr>
  </w:style>
  <w:style w:type="character" w:customStyle="1" w:styleId="FontStyle34">
    <w:name w:val="Font Style34"/>
    <w:basedOn w:val="a0"/>
    <w:uiPriority w:val="99"/>
    <w:rsid w:val="00D03A4F"/>
    <w:rPr>
      <w:rFonts w:ascii="Times New Roman" w:hAnsi="Times New Roman" w:cs="Times New Roman"/>
      <w:sz w:val="26"/>
      <w:szCs w:val="26"/>
    </w:rPr>
  </w:style>
  <w:style w:type="paragraph" w:customStyle="1" w:styleId="Style14">
    <w:name w:val="Style14"/>
    <w:basedOn w:val="a"/>
    <w:uiPriority w:val="99"/>
    <w:rsid w:val="00D03A4F"/>
    <w:pPr>
      <w:widowControl w:val="0"/>
      <w:autoSpaceDE w:val="0"/>
      <w:autoSpaceDN w:val="0"/>
      <w:adjustRightInd w:val="0"/>
      <w:spacing w:after="0" w:line="482" w:lineRule="exact"/>
      <w:ind w:firstLine="902"/>
      <w:jc w:val="both"/>
    </w:pPr>
    <w:rPr>
      <w:rFonts w:ascii="Cambria" w:eastAsia="Times New Roman" w:hAnsi="Cambria"/>
      <w:sz w:val="24"/>
      <w:szCs w:val="24"/>
      <w:lang w:eastAsia="ru-RU"/>
    </w:rPr>
  </w:style>
  <w:style w:type="paragraph" w:customStyle="1" w:styleId="Style19">
    <w:name w:val="Style19"/>
    <w:basedOn w:val="a"/>
    <w:uiPriority w:val="99"/>
    <w:rsid w:val="00D03A4F"/>
    <w:pPr>
      <w:widowControl w:val="0"/>
      <w:autoSpaceDE w:val="0"/>
      <w:autoSpaceDN w:val="0"/>
      <w:adjustRightInd w:val="0"/>
      <w:spacing w:after="0" w:line="480" w:lineRule="exact"/>
      <w:jc w:val="right"/>
    </w:pPr>
    <w:rPr>
      <w:rFonts w:ascii="Cambria" w:eastAsia="Times New Roman" w:hAnsi="Cambria"/>
      <w:sz w:val="24"/>
      <w:szCs w:val="24"/>
      <w:lang w:eastAsia="ru-RU"/>
    </w:rPr>
  </w:style>
  <w:style w:type="paragraph" w:customStyle="1" w:styleId="Style200">
    <w:name w:val="Style20"/>
    <w:basedOn w:val="a"/>
    <w:uiPriority w:val="99"/>
    <w:rsid w:val="00D03A4F"/>
    <w:pPr>
      <w:widowControl w:val="0"/>
      <w:autoSpaceDE w:val="0"/>
      <w:autoSpaceDN w:val="0"/>
      <w:adjustRightInd w:val="0"/>
      <w:spacing w:after="0" w:line="254" w:lineRule="exact"/>
      <w:jc w:val="center"/>
    </w:pPr>
    <w:rPr>
      <w:rFonts w:ascii="Cambria" w:eastAsia="Times New Roman" w:hAnsi="Cambria"/>
      <w:sz w:val="24"/>
      <w:szCs w:val="24"/>
      <w:lang w:eastAsia="ru-RU"/>
    </w:rPr>
  </w:style>
  <w:style w:type="paragraph" w:customStyle="1" w:styleId="Style24">
    <w:name w:val="Style24"/>
    <w:basedOn w:val="a"/>
    <w:uiPriority w:val="99"/>
    <w:rsid w:val="00D03A4F"/>
    <w:pPr>
      <w:widowControl w:val="0"/>
      <w:autoSpaceDE w:val="0"/>
      <w:autoSpaceDN w:val="0"/>
      <w:adjustRightInd w:val="0"/>
      <w:spacing w:after="0" w:line="482" w:lineRule="exact"/>
      <w:ind w:firstLine="576"/>
      <w:jc w:val="both"/>
    </w:pPr>
    <w:rPr>
      <w:rFonts w:ascii="Cambria" w:eastAsia="Times New Roman" w:hAnsi="Cambria"/>
      <w:sz w:val="24"/>
      <w:szCs w:val="24"/>
      <w:lang w:eastAsia="ru-RU"/>
    </w:rPr>
  </w:style>
  <w:style w:type="character" w:customStyle="1" w:styleId="FontStyle33">
    <w:name w:val="Font Style33"/>
    <w:basedOn w:val="a0"/>
    <w:uiPriority w:val="99"/>
    <w:rsid w:val="00D03A4F"/>
    <w:rPr>
      <w:rFonts w:ascii="Times New Roman" w:hAnsi="Times New Roman" w:cs="Times New Roman"/>
      <w:b/>
      <w:bCs/>
      <w:sz w:val="20"/>
      <w:szCs w:val="20"/>
    </w:rPr>
  </w:style>
  <w:style w:type="paragraph" w:customStyle="1" w:styleId="Style80">
    <w:name w:val="Style8"/>
    <w:basedOn w:val="a"/>
    <w:uiPriority w:val="99"/>
    <w:rsid w:val="00D03A4F"/>
    <w:pPr>
      <w:widowControl w:val="0"/>
      <w:autoSpaceDE w:val="0"/>
      <w:autoSpaceDN w:val="0"/>
      <w:adjustRightInd w:val="0"/>
      <w:spacing w:after="0" w:line="211" w:lineRule="exact"/>
    </w:pPr>
    <w:rPr>
      <w:rFonts w:ascii="Times New Roman" w:eastAsia="Times New Roman" w:hAnsi="Times New Roman" w:cs="Times New Roman"/>
      <w:sz w:val="24"/>
      <w:szCs w:val="24"/>
      <w:lang w:eastAsia="ru-RU"/>
    </w:rPr>
  </w:style>
  <w:style w:type="paragraph" w:customStyle="1" w:styleId="Style110">
    <w:name w:val="Style11"/>
    <w:basedOn w:val="a"/>
    <w:uiPriority w:val="99"/>
    <w:rsid w:val="00D03A4F"/>
    <w:pPr>
      <w:widowControl w:val="0"/>
      <w:autoSpaceDE w:val="0"/>
      <w:autoSpaceDN w:val="0"/>
      <w:adjustRightInd w:val="0"/>
      <w:spacing w:after="0" w:line="429" w:lineRule="exact"/>
      <w:jc w:val="both"/>
    </w:pPr>
    <w:rPr>
      <w:rFonts w:ascii="Times New Roman" w:eastAsia="Times New Roman" w:hAnsi="Times New Roman" w:cs="Times New Roman"/>
      <w:sz w:val="24"/>
      <w:szCs w:val="24"/>
      <w:lang w:eastAsia="ru-RU"/>
    </w:rPr>
  </w:style>
  <w:style w:type="paragraph" w:customStyle="1" w:styleId="Style29">
    <w:name w:val="Style29"/>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7">
    <w:name w:val="Font Style37"/>
    <w:basedOn w:val="a0"/>
    <w:uiPriority w:val="99"/>
    <w:rsid w:val="00D03A4F"/>
    <w:rPr>
      <w:rFonts w:ascii="Sylfaen" w:hAnsi="Sylfaen" w:cs="Sylfaen"/>
      <w:b/>
      <w:bCs/>
      <w:sz w:val="18"/>
      <w:szCs w:val="18"/>
    </w:rPr>
  </w:style>
  <w:style w:type="character" w:customStyle="1" w:styleId="FontStyle38">
    <w:name w:val="Font Style38"/>
    <w:basedOn w:val="a0"/>
    <w:uiPriority w:val="99"/>
    <w:rsid w:val="00D03A4F"/>
    <w:rPr>
      <w:rFonts w:ascii="Times New Roman" w:hAnsi="Times New Roman" w:cs="Times New Roman"/>
      <w:sz w:val="26"/>
      <w:szCs w:val="26"/>
    </w:rPr>
  </w:style>
  <w:style w:type="character" w:customStyle="1" w:styleId="FontStyle17">
    <w:name w:val="Font Style17"/>
    <w:basedOn w:val="a0"/>
    <w:uiPriority w:val="99"/>
    <w:rsid w:val="00D03A4F"/>
    <w:rPr>
      <w:rFonts w:ascii="Times New Roman" w:hAnsi="Times New Roman" w:cs="Times New Roman"/>
      <w:sz w:val="26"/>
      <w:szCs w:val="26"/>
    </w:rPr>
  </w:style>
  <w:style w:type="paragraph" w:customStyle="1" w:styleId="Style15">
    <w:name w:val="Style15"/>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4">
    <w:name w:val="Font Style74"/>
    <w:basedOn w:val="a0"/>
    <w:uiPriority w:val="99"/>
    <w:rsid w:val="00D03A4F"/>
    <w:rPr>
      <w:rFonts w:ascii="Times New Roman" w:hAnsi="Times New Roman" w:cs="Times New Roman"/>
      <w:sz w:val="26"/>
      <w:szCs w:val="26"/>
    </w:rPr>
  </w:style>
  <w:style w:type="paragraph" w:customStyle="1" w:styleId="ConsNonformat">
    <w:name w:val="ConsNonformat"/>
    <w:uiPriority w:val="99"/>
    <w:rsid w:val="00D03A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0">
    <w:name w:val="Цветовое выделение"/>
    <w:rsid w:val="00D03A4F"/>
    <w:rPr>
      <w:b/>
      <w:bCs/>
      <w:color w:val="000080"/>
    </w:rPr>
  </w:style>
  <w:style w:type="character" w:customStyle="1" w:styleId="FontStyle88">
    <w:name w:val="Font Style88"/>
    <w:basedOn w:val="a0"/>
    <w:uiPriority w:val="99"/>
    <w:rsid w:val="00D03A4F"/>
    <w:rPr>
      <w:rFonts w:ascii="Times New Roman" w:hAnsi="Times New Roman" w:cs="Times New Roman"/>
      <w:sz w:val="18"/>
      <w:szCs w:val="18"/>
    </w:rPr>
  </w:style>
  <w:style w:type="paragraph" w:customStyle="1" w:styleId="Style77">
    <w:name w:val="Style77"/>
    <w:basedOn w:val="a"/>
    <w:uiPriority w:val="99"/>
    <w:rsid w:val="00D03A4F"/>
    <w:pPr>
      <w:widowControl w:val="0"/>
      <w:autoSpaceDE w:val="0"/>
      <w:autoSpaceDN w:val="0"/>
      <w:adjustRightInd w:val="0"/>
      <w:spacing w:after="0" w:line="217" w:lineRule="exact"/>
      <w:ind w:firstLine="490"/>
      <w:jc w:val="both"/>
    </w:pPr>
    <w:rPr>
      <w:rFonts w:ascii="Times New Roman" w:eastAsia="Times New Roman" w:hAnsi="Times New Roman" w:cs="Times New Roman"/>
      <w:sz w:val="24"/>
      <w:szCs w:val="24"/>
      <w:lang w:eastAsia="ru-RU"/>
    </w:rPr>
  </w:style>
  <w:style w:type="paragraph" w:customStyle="1" w:styleId="ConsPlusTitle0">
    <w:name w:val="ConsPlusTitle"/>
    <w:rsid w:val="00D03A4F"/>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13">
    <w:name w:val="Font Style13"/>
    <w:basedOn w:val="a0"/>
    <w:uiPriority w:val="99"/>
    <w:rsid w:val="00D03A4F"/>
    <w:rPr>
      <w:rFonts w:ascii="Times New Roman" w:hAnsi="Times New Roman" w:cs="Times New Roman"/>
      <w:sz w:val="28"/>
      <w:szCs w:val="28"/>
    </w:rPr>
  </w:style>
  <w:style w:type="paragraph" w:customStyle="1" w:styleId="afff1">
    <w:name w:val="Письмо"/>
    <w:basedOn w:val="a"/>
    <w:rsid w:val="00D03A4F"/>
    <w:pPr>
      <w:spacing w:after="0" w:line="320" w:lineRule="exact"/>
      <w:ind w:firstLine="720"/>
      <w:jc w:val="both"/>
    </w:pPr>
    <w:rPr>
      <w:rFonts w:ascii="Times New Roman" w:eastAsia="Calibri" w:hAnsi="Times New Roman" w:cs="Times New Roman"/>
      <w:sz w:val="28"/>
      <w:szCs w:val="20"/>
      <w:lang w:eastAsia="ru-RU"/>
    </w:rPr>
  </w:style>
  <w:style w:type="paragraph" w:customStyle="1" w:styleId="1d">
    <w:name w:val="Абзац списка1"/>
    <w:basedOn w:val="a"/>
    <w:rsid w:val="00D03A4F"/>
    <w:pPr>
      <w:ind w:left="720"/>
      <w:contextualSpacing/>
    </w:pPr>
    <w:rPr>
      <w:rFonts w:ascii="Calibri" w:eastAsia="Times New Roman" w:hAnsi="Calibri" w:cs="Times New Roman"/>
    </w:rPr>
  </w:style>
  <w:style w:type="character" w:customStyle="1" w:styleId="FontStyle18">
    <w:name w:val="Font Style18"/>
    <w:uiPriority w:val="99"/>
    <w:rsid w:val="00D03A4F"/>
    <w:rPr>
      <w:rFonts w:ascii="Times New Roman" w:hAnsi="Times New Roman" w:cs="Times New Roman" w:hint="default"/>
      <w:sz w:val="28"/>
      <w:szCs w:val="28"/>
    </w:rPr>
  </w:style>
  <w:style w:type="paragraph" w:customStyle="1" w:styleId="1">
    <w:name w:val="Знак Знак1 Знак"/>
    <w:basedOn w:val="a"/>
    <w:semiHidden/>
    <w:rsid w:val="00D03A4F"/>
    <w:pPr>
      <w:numPr>
        <w:numId w:val="1"/>
      </w:numPr>
      <w:tabs>
        <w:tab w:val="clear" w:pos="709"/>
        <w:tab w:val="num" w:pos="360"/>
      </w:tabs>
      <w:spacing w:before="120" w:after="160" w:line="240" w:lineRule="exact"/>
      <w:ind w:left="0" w:firstLine="0"/>
      <w:jc w:val="both"/>
    </w:pPr>
    <w:rPr>
      <w:rFonts w:ascii="Verdana" w:eastAsia="Times New Roman" w:hAnsi="Verdana" w:cs="Times New Roman"/>
      <w:sz w:val="20"/>
      <w:szCs w:val="20"/>
      <w:lang w:val="en-US"/>
    </w:rPr>
  </w:style>
  <w:style w:type="character" w:customStyle="1" w:styleId="FontStyle19">
    <w:name w:val="Font Style19"/>
    <w:basedOn w:val="a0"/>
    <w:uiPriority w:val="99"/>
    <w:rsid w:val="00D03A4F"/>
    <w:rPr>
      <w:rFonts w:ascii="Times New Roman" w:hAnsi="Times New Roman" w:cs="Times New Roman"/>
      <w:sz w:val="26"/>
      <w:szCs w:val="26"/>
    </w:rPr>
  </w:style>
  <w:style w:type="character" w:customStyle="1" w:styleId="FontStyle25">
    <w:name w:val="Font Style25"/>
    <w:basedOn w:val="a0"/>
    <w:uiPriority w:val="99"/>
    <w:rsid w:val="00D03A4F"/>
    <w:rPr>
      <w:rFonts w:ascii="Times New Roman" w:hAnsi="Times New Roman" w:cs="Times New Roman"/>
      <w:sz w:val="26"/>
      <w:szCs w:val="26"/>
    </w:rPr>
  </w:style>
  <w:style w:type="paragraph" w:customStyle="1" w:styleId="Style22">
    <w:name w:val="Style22"/>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basedOn w:val="a0"/>
    <w:uiPriority w:val="99"/>
    <w:rsid w:val="00D03A4F"/>
    <w:rPr>
      <w:rFonts w:ascii="Times New Roman" w:hAnsi="Times New Roman" w:cs="Times New Roman"/>
      <w:b/>
      <w:bCs/>
      <w:sz w:val="20"/>
      <w:szCs w:val="20"/>
    </w:rPr>
  </w:style>
  <w:style w:type="character" w:customStyle="1" w:styleId="FontStyle48">
    <w:name w:val="Font Style48"/>
    <w:basedOn w:val="a0"/>
    <w:uiPriority w:val="99"/>
    <w:rsid w:val="00D03A4F"/>
    <w:rPr>
      <w:rFonts w:ascii="Times New Roman" w:hAnsi="Times New Roman" w:cs="Times New Roman"/>
      <w:sz w:val="26"/>
      <w:szCs w:val="26"/>
    </w:rPr>
  </w:style>
  <w:style w:type="paragraph" w:customStyle="1" w:styleId="Style100">
    <w:name w:val="Style10"/>
    <w:basedOn w:val="a"/>
    <w:uiPriority w:val="99"/>
    <w:rsid w:val="00D03A4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90">
    <w:name w:val="Style9"/>
    <w:basedOn w:val="a"/>
    <w:uiPriority w:val="99"/>
    <w:rsid w:val="00D03A4F"/>
    <w:pPr>
      <w:widowControl w:val="0"/>
      <w:autoSpaceDE w:val="0"/>
      <w:autoSpaceDN w:val="0"/>
      <w:adjustRightInd w:val="0"/>
      <w:spacing w:after="0" w:line="458" w:lineRule="exact"/>
      <w:ind w:firstLine="629"/>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Page">
    <w:name w:val="ConsPlusTitlePage"/>
    <w:rsid w:val="00D03A4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f2">
    <w:name w:val="Сноска_"/>
    <w:basedOn w:val="a0"/>
    <w:rsid w:val="00D03A4F"/>
    <w:rPr>
      <w:rFonts w:eastAsia="Times New Roman" w:cs="Times New Roman"/>
      <w:sz w:val="20"/>
      <w:szCs w:val="20"/>
      <w:shd w:val="clear" w:color="auto" w:fill="FFFFFF"/>
    </w:rPr>
  </w:style>
  <w:style w:type="character" w:customStyle="1" w:styleId="afff3">
    <w:name w:val="Колонтитул_"/>
    <w:basedOn w:val="a0"/>
    <w:rsid w:val="00D03A4F"/>
    <w:rPr>
      <w:rFonts w:ascii="Times New Roman" w:eastAsia="Times New Roman" w:hAnsi="Times New Roman" w:cs="Times New Roman"/>
      <w:b w:val="0"/>
      <w:bCs w:val="0"/>
      <w:i w:val="0"/>
      <w:iCs w:val="0"/>
      <w:smallCaps w:val="0"/>
      <w:strike w:val="0"/>
      <w:sz w:val="20"/>
      <w:szCs w:val="20"/>
      <w:u w:val="none"/>
    </w:rPr>
  </w:style>
  <w:style w:type="character" w:customStyle="1" w:styleId="105pt0">
    <w:name w:val="Основной текст + 10;5 pt;Полужирный"/>
    <w:basedOn w:val="aff5"/>
    <w:rsid w:val="00D03A4F"/>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
    <w:name w:val="Подпись к таблице (2)_"/>
    <w:basedOn w:val="a0"/>
    <w:rsid w:val="00D03A4F"/>
    <w:rPr>
      <w:rFonts w:ascii="Times New Roman" w:eastAsia="Times New Roman" w:hAnsi="Times New Roman" w:cs="Times New Roman"/>
      <w:b/>
      <w:bCs/>
      <w:i w:val="0"/>
      <w:iCs w:val="0"/>
      <w:smallCaps w:val="0"/>
      <w:strike w:val="0"/>
      <w:u w:val="none"/>
    </w:rPr>
  </w:style>
  <w:style w:type="character" w:customStyle="1" w:styleId="2a">
    <w:name w:val="Подпись к таблице (2)"/>
    <w:basedOn w:val="29"/>
    <w:rsid w:val="00D03A4F"/>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f4">
    <w:name w:val="Подпись к таблице_"/>
    <w:basedOn w:val="a0"/>
    <w:link w:val="afff5"/>
    <w:rsid w:val="00D03A4F"/>
    <w:rPr>
      <w:rFonts w:eastAsia="Times New Roman" w:cs="Times New Roman"/>
      <w:sz w:val="20"/>
      <w:szCs w:val="20"/>
      <w:shd w:val="clear" w:color="auto" w:fill="FFFFFF"/>
    </w:rPr>
  </w:style>
  <w:style w:type="paragraph" w:customStyle="1" w:styleId="afff5">
    <w:name w:val="Подпись к таблице"/>
    <w:basedOn w:val="a"/>
    <w:link w:val="afff4"/>
    <w:rsid w:val="00D03A4F"/>
    <w:pPr>
      <w:widowControl w:val="0"/>
      <w:shd w:val="clear" w:color="auto" w:fill="FFFFFF"/>
      <w:spacing w:after="0" w:line="230" w:lineRule="exact"/>
      <w:ind w:firstLine="720"/>
      <w:jc w:val="both"/>
    </w:pPr>
    <w:rPr>
      <w:rFonts w:eastAsia="Times New Roman" w:cs="Times New Roman"/>
      <w:sz w:val="20"/>
      <w:szCs w:val="20"/>
    </w:rPr>
  </w:style>
  <w:style w:type="character" w:customStyle="1" w:styleId="afff6">
    <w:name w:val="Подпись к картинке_"/>
    <w:basedOn w:val="a0"/>
    <w:link w:val="afff7"/>
    <w:rsid w:val="00D03A4F"/>
    <w:rPr>
      <w:rFonts w:eastAsia="Times New Roman" w:cs="Times New Roman"/>
      <w:b/>
      <w:bCs/>
      <w:i/>
      <w:iCs/>
      <w:sz w:val="23"/>
      <w:szCs w:val="23"/>
      <w:shd w:val="clear" w:color="auto" w:fill="FFFFFF"/>
    </w:rPr>
  </w:style>
  <w:style w:type="paragraph" w:customStyle="1" w:styleId="afff7">
    <w:name w:val="Подпись к картинке"/>
    <w:basedOn w:val="a"/>
    <w:link w:val="afff6"/>
    <w:rsid w:val="00D03A4F"/>
    <w:pPr>
      <w:widowControl w:val="0"/>
      <w:shd w:val="clear" w:color="auto" w:fill="FFFFFF"/>
      <w:spacing w:after="0" w:line="278" w:lineRule="exact"/>
      <w:ind w:firstLine="100"/>
    </w:pPr>
    <w:rPr>
      <w:rFonts w:eastAsia="Times New Roman" w:cs="Times New Roman"/>
      <w:b/>
      <w:bCs/>
      <w:i/>
      <w:iCs/>
      <w:sz w:val="23"/>
      <w:szCs w:val="23"/>
    </w:rPr>
  </w:style>
  <w:style w:type="character" w:customStyle="1" w:styleId="9pt">
    <w:name w:val="Основной текст + 9 pt"/>
    <w:basedOn w:val="aff5"/>
    <w:rsid w:val="00D03A4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ff5"/>
    <w:rsid w:val="00D03A4F"/>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MicrosoftSansSerif115pt">
    <w:name w:val="Основной текст + Microsoft Sans Serif;11;5 pt"/>
    <w:basedOn w:val="aff5"/>
    <w:rsid w:val="00D03A4F"/>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b">
    <w:name w:val="Основной текст (2) + Не полужирный"/>
    <w:basedOn w:val="22"/>
    <w:rsid w:val="00D03A4F"/>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styleId="afff8">
    <w:name w:val="Revision"/>
    <w:hidden/>
    <w:uiPriority w:val="99"/>
    <w:semiHidden/>
    <w:rsid w:val="00D03A4F"/>
    <w:pPr>
      <w:spacing w:after="0" w:line="240" w:lineRule="auto"/>
    </w:pPr>
    <w:rPr>
      <w:rFonts w:ascii="Times New Roman" w:eastAsia="Times New Roman" w:hAnsi="Times New Roman" w:cs="Times New Roman"/>
      <w:sz w:val="24"/>
      <w:szCs w:val="24"/>
      <w:lang w:eastAsia="ru-RU"/>
    </w:rPr>
  </w:style>
  <w:style w:type="paragraph" w:styleId="afff9">
    <w:name w:val="Document Map"/>
    <w:basedOn w:val="a"/>
    <w:link w:val="afffa"/>
    <w:uiPriority w:val="99"/>
    <w:semiHidden/>
    <w:unhideWhenUsed/>
    <w:rsid w:val="00D03A4F"/>
    <w:pPr>
      <w:spacing w:after="0" w:line="240" w:lineRule="auto"/>
    </w:pPr>
    <w:rPr>
      <w:rFonts w:ascii="Tahoma" w:eastAsia="Times New Roman" w:hAnsi="Tahoma" w:cs="Tahoma"/>
      <w:sz w:val="16"/>
      <w:szCs w:val="16"/>
      <w:lang w:eastAsia="ru-RU"/>
    </w:rPr>
  </w:style>
  <w:style w:type="character" w:customStyle="1" w:styleId="afffa">
    <w:name w:val="Схема документа Знак"/>
    <w:basedOn w:val="a0"/>
    <w:link w:val="afff9"/>
    <w:uiPriority w:val="99"/>
    <w:semiHidden/>
    <w:rsid w:val="00D03A4F"/>
    <w:rPr>
      <w:rFonts w:ascii="Tahoma" w:eastAsia="Times New Roman" w:hAnsi="Tahoma" w:cs="Tahoma"/>
      <w:sz w:val="16"/>
      <w:szCs w:val="16"/>
      <w:lang w:eastAsia="ru-RU"/>
    </w:rPr>
  </w:style>
  <w:style w:type="character" w:customStyle="1" w:styleId="1pt0">
    <w:name w:val="Основной текст + Курсив;Интервал 1 pt"/>
    <w:basedOn w:val="aff5"/>
    <w:rsid w:val="00D03A4F"/>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character" w:customStyle="1" w:styleId="11pt0pt">
    <w:name w:val="Основной текст + 11 pt;Интервал 0 pt"/>
    <w:basedOn w:val="aff5"/>
    <w:rsid w:val="00D03A4F"/>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3">
    <w:name w:val="Основной текст8"/>
    <w:basedOn w:val="aff5"/>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ff5"/>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ff5"/>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ff5"/>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10"/>
    <w:basedOn w:val="aff5"/>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2">
    <w:name w:val="Основной текст (10)_"/>
    <w:basedOn w:val="a0"/>
    <w:link w:val="103"/>
    <w:rsid w:val="00D03A4F"/>
    <w:rPr>
      <w:rFonts w:ascii="Times New Roman" w:eastAsia="Times New Roman" w:hAnsi="Times New Roman" w:cs="Times New Roman"/>
      <w:b/>
      <w:bCs/>
      <w:i/>
      <w:iCs/>
      <w:sz w:val="26"/>
      <w:szCs w:val="26"/>
      <w:shd w:val="clear" w:color="auto" w:fill="FFFFFF"/>
    </w:rPr>
  </w:style>
  <w:style w:type="paragraph" w:customStyle="1" w:styleId="103">
    <w:name w:val="Основной текст (10)"/>
    <w:basedOn w:val="a"/>
    <w:link w:val="102"/>
    <w:rsid w:val="00D03A4F"/>
    <w:pPr>
      <w:widowControl w:val="0"/>
      <w:shd w:val="clear" w:color="auto" w:fill="FFFFFF"/>
      <w:spacing w:after="0" w:line="456" w:lineRule="exact"/>
      <w:jc w:val="both"/>
    </w:pPr>
    <w:rPr>
      <w:rFonts w:ascii="Times New Roman" w:eastAsia="Times New Roman" w:hAnsi="Times New Roman" w:cs="Times New Roman"/>
      <w:b/>
      <w:bCs/>
      <w:i/>
      <w:iCs/>
      <w:sz w:val="26"/>
      <w:szCs w:val="26"/>
    </w:rPr>
  </w:style>
  <w:style w:type="character" w:customStyle="1" w:styleId="120">
    <w:name w:val="Основной текст12"/>
    <w:basedOn w:val="aff5"/>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13pt">
    <w:name w:val="Основной текст (6) + 13 pt"/>
    <w:basedOn w:val="61"/>
    <w:rsid w:val="00D03A4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ff5"/>
    <w:rsid w:val="00D03A4F"/>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c">
    <w:name w:val="Основной текст (2) + Полужирный"/>
    <w:basedOn w:val="22"/>
    <w:rsid w:val="00D03A4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D03A4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1"/>
    <w:rsid w:val="00D03A4F"/>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d">
    <w:name w:val="Подпись к картинке (2)_"/>
    <w:basedOn w:val="a0"/>
    <w:link w:val="2e"/>
    <w:rsid w:val="00D03A4F"/>
    <w:rPr>
      <w:rFonts w:ascii="Times New Roman" w:eastAsia="Times New Roman" w:hAnsi="Times New Roman" w:cs="Times New Roman"/>
      <w:b/>
      <w:bCs/>
      <w:spacing w:val="10"/>
      <w:sz w:val="18"/>
      <w:szCs w:val="18"/>
      <w:shd w:val="clear" w:color="auto" w:fill="FFFFFF"/>
    </w:rPr>
  </w:style>
  <w:style w:type="paragraph" w:customStyle="1" w:styleId="2e">
    <w:name w:val="Подпись к картинке (2)"/>
    <w:basedOn w:val="a"/>
    <w:link w:val="2d"/>
    <w:rsid w:val="00D03A4F"/>
    <w:pPr>
      <w:widowControl w:val="0"/>
      <w:shd w:val="clear" w:color="auto" w:fill="FFFFFF"/>
      <w:spacing w:after="120" w:line="0" w:lineRule="atLeast"/>
      <w:jc w:val="center"/>
    </w:pPr>
    <w:rPr>
      <w:rFonts w:ascii="Times New Roman" w:eastAsia="Times New Roman" w:hAnsi="Times New Roman" w:cs="Times New Roman"/>
      <w:b/>
      <w:bCs/>
      <w:spacing w:val="10"/>
      <w:sz w:val="18"/>
      <w:szCs w:val="18"/>
    </w:rPr>
  </w:style>
  <w:style w:type="character" w:customStyle="1" w:styleId="74">
    <w:name w:val="Основной текст (7) + Не курсив"/>
    <w:basedOn w:val="71"/>
    <w:rsid w:val="00D03A4F"/>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D03A4F"/>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ff5"/>
    <w:rsid w:val="00D03A4F"/>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3"/>
    <w:rsid w:val="00D03A4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3"/>
    <w:rsid w:val="00D03A4F"/>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ff5"/>
    <w:rsid w:val="00D03A4F"/>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ff5"/>
    <w:rsid w:val="00D03A4F"/>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ff5"/>
    <w:rsid w:val="00D03A4F"/>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ff5"/>
    <w:rsid w:val="00D03A4F"/>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ff5"/>
    <w:rsid w:val="00D03A4F"/>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character" w:customStyle="1" w:styleId="CharStyle19">
    <w:name w:val="Char Style 19"/>
    <w:basedOn w:val="a0"/>
    <w:uiPriority w:val="99"/>
    <w:rsid w:val="00D03A4F"/>
    <w:rPr>
      <w:sz w:val="26"/>
      <w:szCs w:val="26"/>
      <w:shd w:val="clear" w:color="auto" w:fill="FFFFFF"/>
    </w:rPr>
  </w:style>
  <w:style w:type="character" w:customStyle="1" w:styleId="CharStyle20">
    <w:name w:val="Char Style 20"/>
    <w:basedOn w:val="CharStyle19"/>
    <w:link w:val="Style190"/>
    <w:uiPriority w:val="99"/>
    <w:rsid w:val="00D03A4F"/>
    <w:rPr>
      <w:sz w:val="26"/>
      <w:szCs w:val="26"/>
      <w:u w:val="single"/>
      <w:shd w:val="clear" w:color="auto" w:fill="FFFFFF"/>
    </w:rPr>
  </w:style>
  <w:style w:type="paragraph" w:customStyle="1" w:styleId="Style190">
    <w:name w:val="Style 19"/>
    <w:basedOn w:val="a"/>
    <w:link w:val="CharStyle20"/>
    <w:uiPriority w:val="99"/>
    <w:rsid w:val="00D03A4F"/>
    <w:pPr>
      <w:widowControl w:val="0"/>
      <w:shd w:val="clear" w:color="auto" w:fill="FFFFFF"/>
      <w:spacing w:after="600" w:line="418" w:lineRule="exact"/>
      <w:jc w:val="both"/>
    </w:pPr>
    <w:rPr>
      <w:sz w:val="26"/>
      <w:szCs w:val="26"/>
      <w:u w:val="single"/>
    </w:rPr>
  </w:style>
  <w:style w:type="character" w:customStyle="1" w:styleId="CharStyle15">
    <w:name w:val="Char Style 15"/>
    <w:basedOn w:val="a0"/>
    <w:uiPriority w:val="99"/>
    <w:rsid w:val="00D03A4F"/>
    <w:rPr>
      <w:sz w:val="26"/>
      <w:szCs w:val="26"/>
      <w:u w:val="none"/>
    </w:rPr>
  </w:style>
  <w:style w:type="character" w:customStyle="1" w:styleId="CharStyle36">
    <w:name w:val="Char Style 36"/>
    <w:basedOn w:val="CharStyle15"/>
    <w:link w:val="Style35"/>
    <w:uiPriority w:val="99"/>
    <w:rsid w:val="00D03A4F"/>
    <w:rPr>
      <w:b/>
      <w:bCs/>
      <w:i/>
      <w:iCs/>
      <w:sz w:val="28"/>
      <w:szCs w:val="28"/>
      <w:u w:val="none"/>
      <w:shd w:val="clear" w:color="auto" w:fill="FFFFFF"/>
    </w:rPr>
  </w:style>
  <w:style w:type="paragraph" w:customStyle="1" w:styleId="Style35">
    <w:name w:val="Style 35"/>
    <w:basedOn w:val="a"/>
    <w:link w:val="CharStyle36"/>
    <w:uiPriority w:val="99"/>
    <w:rsid w:val="00D03A4F"/>
    <w:pPr>
      <w:widowControl w:val="0"/>
      <w:shd w:val="clear" w:color="auto" w:fill="FFFFFF"/>
      <w:spacing w:after="0" w:line="240" w:lineRule="atLeast"/>
    </w:pPr>
    <w:rPr>
      <w:b/>
      <w:bCs/>
      <w:i/>
      <w:iCs/>
      <w:sz w:val="28"/>
      <w:szCs w:val="28"/>
    </w:rPr>
  </w:style>
  <w:style w:type="character" w:customStyle="1" w:styleId="CharStyle8">
    <w:name w:val="Char Style 8"/>
    <w:basedOn w:val="a0"/>
    <w:link w:val="Style70"/>
    <w:uiPriority w:val="99"/>
    <w:rsid w:val="00D03A4F"/>
    <w:rPr>
      <w:sz w:val="28"/>
      <w:szCs w:val="28"/>
      <w:shd w:val="clear" w:color="auto" w:fill="FFFFFF"/>
    </w:rPr>
  </w:style>
  <w:style w:type="paragraph" w:customStyle="1" w:styleId="Style70">
    <w:name w:val="Style 7"/>
    <w:basedOn w:val="a"/>
    <w:link w:val="CharStyle8"/>
    <w:uiPriority w:val="99"/>
    <w:rsid w:val="00D03A4F"/>
    <w:pPr>
      <w:widowControl w:val="0"/>
      <w:shd w:val="clear" w:color="auto" w:fill="FFFFFF"/>
      <w:spacing w:after="0" w:line="312" w:lineRule="exact"/>
      <w:ind w:hanging="340"/>
    </w:pPr>
    <w:rPr>
      <w:sz w:val="28"/>
      <w:szCs w:val="28"/>
    </w:rPr>
  </w:style>
  <w:style w:type="character" w:customStyle="1" w:styleId="apple-converted-space">
    <w:name w:val="apple-converted-space"/>
    <w:rsid w:val="00D03A4F"/>
  </w:style>
  <w:style w:type="character" w:customStyle="1" w:styleId="CharStyle33">
    <w:name w:val="Char Style 33"/>
    <w:basedOn w:val="CharStyle8"/>
    <w:uiPriority w:val="99"/>
    <w:rsid w:val="00D03A4F"/>
    <w:rPr>
      <w:rFonts w:cs="Times New Roman"/>
      <w:sz w:val="28"/>
      <w:szCs w:val="28"/>
      <w:u w:val="none"/>
      <w:shd w:val="clear" w:color="auto" w:fill="FFFFFF"/>
    </w:rPr>
  </w:style>
  <w:style w:type="character" w:customStyle="1" w:styleId="CharStyle37">
    <w:name w:val="Char Style 37"/>
    <w:basedOn w:val="CharStyle36"/>
    <w:rsid w:val="00D03A4F"/>
    <w:rPr>
      <w:rFonts w:cs="Times New Roman"/>
      <w:b w:val="0"/>
      <w:bCs w:val="0"/>
      <w:i w:val="0"/>
      <w:iCs w:val="0"/>
      <w:sz w:val="23"/>
      <w:szCs w:val="23"/>
      <w:u w:val="none"/>
      <w:shd w:val="clear" w:color="auto" w:fill="FFFFFF"/>
    </w:rPr>
  </w:style>
  <w:style w:type="character" w:customStyle="1" w:styleId="CharStyle38">
    <w:name w:val="Char Style 38"/>
    <w:basedOn w:val="CharStyle36"/>
    <w:rsid w:val="00D03A4F"/>
    <w:rPr>
      <w:rFonts w:cs="Times New Roman"/>
      <w:b w:val="0"/>
      <w:bCs w:val="0"/>
      <w:i w:val="0"/>
      <w:iCs w:val="0"/>
      <w:sz w:val="18"/>
      <w:szCs w:val="18"/>
      <w:u w:val="none"/>
      <w:shd w:val="clear" w:color="auto" w:fill="FFFFFF"/>
    </w:rPr>
  </w:style>
  <w:style w:type="character" w:customStyle="1" w:styleId="CharStyle39">
    <w:name w:val="Char Style 39"/>
    <w:basedOn w:val="CharStyle36"/>
    <w:rsid w:val="00D03A4F"/>
    <w:rPr>
      <w:rFonts w:cs="Times New Roman"/>
      <w:b/>
      <w:bCs/>
      <w:i w:val="0"/>
      <w:iCs w:val="0"/>
      <w:sz w:val="18"/>
      <w:szCs w:val="18"/>
      <w:u w:val="none"/>
      <w:shd w:val="clear" w:color="auto" w:fill="FFFFFF"/>
    </w:rPr>
  </w:style>
  <w:style w:type="character" w:customStyle="1" w:styleId="CharStyle46">
    <w:name w:val="Char Style 46"/>
    <w:basedOn w:val="a0"/>
    <w:link w:val="Style45"/>
    <w:uiPriority w:val="99"/>
    <w:locked/>
    <w:rsid w:val="00D03A4F"/>
    <w:rPr>
      <w:rFonts w:cs="Times New Roman"/>
      <w:b/>
      <w:bCs/>
      <w:sz w:val="19"/>
      <w:szCs w:val="19"/>
      <w:shd w:val="clear" w:color="auto" w:fill="FFFFFF"/>
    </w:rPr>
  </w:style>
  <w:style w:type="paragraph" w:customStyle="1" w:styleId="Style45">
    <w:name w:val="Style 45"/>
    <w:basedOn w:val="a"/>
    <w:link w:val="CharStyle46"/>
    <w:uiPriority w:val="99"/>
    <w:rsid w:val="00D03A4F"/>
    <w:pPr>
      <w:widowControl w:val="0"/>
      <w:shd w:val="clear" w:color="auto" w:fill="FFFFFF"/>
      <w:spacing w:before="180" w:after="0" w:line="230" w:lineRule="exact"/>
      <w:jc w:val="both"/>
    </w:pPr>
    <w:rPr>
      <w:rFonts w:cs="Times New Roman"/>
      <w:b/>
      <w:bCs/>
      <w:sz w:val="19"/>
      <w:szCs w:val="19"/>
    </w:rPr>
  </w:style>
  <w:style w:type="character" w:customStyle="1" w:styleId="CharStyle47">
    <w:name w:val="Char Style 47"/>
    <w:basedOn w:val="CharStyle46"/>
    <w:uiPriority w:val="99"/>
    <w:rsid w:val="00D03A4F"/>
    <w:rPr>
      <w:rFonts w:cs="Times New Roman"/>
      <w:b/>
      <w:bCs/>
      <w:sz w:val="19"/>
      <w:szCs w:val="19"/>
      <w:shd w:val="clear" w:color="auto" w:fill="FFFFFF"/>
    </w:rPr>
  </w:style>
  <w:style w:type="character" w:customStyle="1" w:styleId="CharStyle51">
    <w:name w:val="Char Style 51"/>
    <w:basedOn w:val="CharStyle8"/>
    <w:uiPriority w:val="99"/>
    <w:rsid w:val="00D03A4F"/>
    <w:rPr>
      <w:rFonts w:cs="Times New Roman"/>
      <w:sz w:val="18"/>
      <w:szCs w:val="18"/>
      <w:u w:val="none"/>
      <w:shd w:val="clear" w:color="auto" w:fill="FFFFFF"/>
    </w:rPr>
  </w:style>
  <w:style w:type="paragraph" w:customStyle="1" w:styleId="afffb">
    <w:name w:val="По умолчанию"/>
    <w:rsid w:val="00D03A4F"/>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ru-RU"/>
    </w:rPr>
  </w:style>
  <w:style w:type="character" w:customStyle="1" w:styleId="Hyperlink0">
    <w:name w:val="Hyperlink.0"/>
    <w:basedOn w:val="a0"/>
    <w:rsid w:val="00D03A4F"/>
    <w:rPr>
      <w:rFonts w:ascii="Times New Roman" w:eastAsia="Times New Roman" w:hAnsi="Times New Roman" w:cs="Times New Roman"/>
      <w:sz w:val="28"/>
      <w:szCs w:val="28"/>
    </w:rPr>
  </w:style>
  <w:style w:type="character" w:customStyle="1" w:styleId="CharStyle21">
    <w:name w:val="Char Style 21"/>
    <w:basedOn w:val="CharStyle20"/>
    <w:uiPriority w:val="99"/>
    <w:rsid w:val="00D03A4F"/>
    <w:rPr>
      <w:color w:val="161616"/>
      <w:sz w:val="26"/>
      <w:szCs w:val="26"/>
      <w:u w:val="none"/>
      <w:shd w:val="clear" w:color="auto" w:fill="FFFFFF"/>
    </w:rPr>
  </w:style>
  <w:style w:type="character" w:customStyle="1" w:styleId="CharStyle40">
    <w:name w:val="Char Style 40"/>
    <w:basedOn w:val="CharStyle20"/>
    <w:uiPriority w:val="99"/>
    <w:rsid w:val="00D03A4F"/>
    <w:rPr>
      <w:color w:val="4F4F4F"/>
      <w:sz w:val="26"/>
      <w:szCs w:val="26"/>
      <w:u w:val="none"/>
      <w:shd w:val="clear" w:color="auto" w:fill="FFFFFF"/>
    </w:rPr>
  </w:style>
  <w:style w:type="character" w:customStyle="1" w:styleId="CharStyle41">
    <w:name w:val="Char Style 41"/>
    <w:basedOn w:val="CharStyle20"/>
    <w:link w:val="Style400"/>
    <w:rsid w:val="00D03A4F"/>
    <w:rPr>
      <w:color w:val="969696"/>
      <w:sz w:val="26"/>
      <w:szCs w:val="26"/>
      <w:u w:val="none"/>
      <w:shd w:val="clear" w:color="auto" w:fill="FFFFFF"/>
    </w:rPr>
  </w:style>
  <w:style w:type="character" w:customStyle="1" w:styleId="CharStyle13">
    <w:name w:val="Char Style 13"/>
    <w:basedOn w:val="CharStyle6"/>
    <w:uiPriority w:val="99"/>
    <w:rsid w:val="00D03A4F"/>
    <w:rPr>
      <w:rFonts w:ascii="Times New Roman" w:eastAsia="Times New Roman" w:hAnsi="Times New Roman" w:cs="Times New Roman"/>
      <w:color w:val="000000"/>
      <w:sz w:val="26"/>
      <w:szCs w:val="26"/>
      <w:u w:val="single"/>
      <w:shd w:val="clear" w:color="auto" w:fill="FFFFFF"/>
      <w:lang w:eastAsia="ru-RU" w:bidi="ru-RU"/>
    </w:rPr>
  </w:style>
  <w:style w:type="character" w:customStyle="1" w:styleId="CharStyle32">
    <w:name w:val="Char Style 32"/>
    <w:basedOn w:val="CharStyle6"/>
    <w:link w:val="Style31"/>
    <w:uiPriority w:val="99"/>
    <w:rsid w:val="00D03A4F"/>
    <w:rPr>
      <w:rFonts w:ascii="Times New Roman" w:eastAsia="Times New Roman" w:hAnsi="Times New Roman" w:cs="Times New Roman"/>
      <w:b/>
      <w:bCs/>
      <w:i/>
      <w:iCs/>
      <w:color w:val="000000"/>
      <w:sz w:val="26"/>
      <w:szCs w:val="26"/>
      <w:u w:val="single"/>
      <w:shd w:val="clear" w:color="auto" w:fill="FFFFFF"/>
      <w:lang w:eastAsia="ru-RU" w:bidi="ru-RU"/>
    </w:rPr>
  </w:style>
  <w:style w:type="paragraph" w:customStyle="1" w:styleId="Style31">
    <w:name w:val="Style 31"/>
    <w:basedOn w:val="a"/>
    <w:link w:val="CharStyle32"/>
    <w:uiPriority w:val="99"/>
    <w:rsid w:val="00D03A4F"/>
    <w:pPr>
      <w:widowControl w:val="0"/>
      <w:shd w:val="clear" w:color="auto" w:fill="FFFFFF"/>
      <w:spacing w:after="0" w:line="240" w:lineRule="atLeast"/>
    </w:pPr>
    <w:rPr>
      <w:rFonts w:ascii="Times New Roman" w:eastAsia="Times New Roman" w:hAnsi="Times New Roman" w:cs="Times New Roman"/>
      <w:b/>
      <w:bCs/>
      <w:i/>
      <w:iCs/>
      <w:color w:val="000000"/>
      <w:sz w:val="26"/>
      <w:szCs w:val="26"/>
      <w:u w:val="single"/>
      <w:lang w:eastAsia="ru-RU" w:bidi="ru-RU"/>
    </w:rPr>
  </w:style>
  <w:style w:type="character" w:styleId="afffc">
    <w:name w:val="page number"/>
    <w:basedOn w:val="a0"/>
    <w:uiPriority w:val="99"/>
    <w:rsid w:val="00D03A4F"/>
    <w:rPr>
      <w:rFonts w:cs="Times New Roman"/>
    </w:rPr>
  </w:style>
  <w:style w:type="paragraph" w:customStyle="1" w:styleId="font5">
    <w:name w:val="font5"/>
    <w:basedOn w:val="a"/>
    <w:uiPriority w:val="99"/>
    <w:rsid w:val="00D03A4F"/>
    <w:pPr>
      <w:spacing w:before="100" w:after="100" w:line="240" w:lineRule="auto"/>
    </w:pPr>
    <w:rPr>
      <w:rFonts w:ascii="Times New Roman" w:eastAsia="Arial Unicode MS" w:hAnsi="Times New Roman" w:cs="Times New Roman"/>
      <w:sz w:val="16"/>
      <w:szCs w:val="20"/>
      <w:lang w:eastAsia="ru-RU"/>
    </w:rPr>
  </w:style>
  <w:style w:type="paragraph" w:customStyle="1" w:styleId="xl24">
    <w:name w:val="xl24"/>
    <w:basedOn w:val="a"/>
    <w:uiPriority w:val="99"/>
    <w:rsid w:val="00D03A4F"/>
    <w:pPr>
      <w:spacing w:before="100" w:beforeAutospacing="1" w:after="100" w:afterAutospacing="1" w:line="240" w:lineRule="auto"/>
    </w:pPr>
    <w:rPr>
      <w:rFonts w:ascii="Arial" w:eastAsia="Arial Unicode MS" w:hAnsi="Arial" w:cs="Arial Unicode MS"/>
      <w:sz w:val="16"/>
      <w:szCs w:val="16"/>
      <w:lang w:eastAsia="ru-RU"/>
    </w:rPr>
  </w:style>
  <w:style w:type="paragraph" w:customStyle="1" w:styleId="xl25">
    <w:name w:val="xl25"/>
    <w:basedOn w:val="a"/>
    <w:uiPriority w:val="99"/>
    <w:rsid w:val="00D03A4F"/>
    <w:pPr>
      <w:spacing w:before="100" w:beforeAutospacing="1" w:after="100" w:afterAutospacing="1" w:line="240" w:lineRule="auto"/>
      <w:jc w:val="center"/>
      <w:textAlignment w:val="center"/>
    </w:pPr>
    <w:rPr>
      <w:rFonts w:ascii="Arial" w:eastAsia="Arial Unicode MS" w:hAnsi="Arial" w:cs="Arial"/>
      <w:sz w:val="14"/>
      <w:szCs w:val="14"/>
      <w:lang w:eastAsia="ru-RU"/>
    </w:rPr>
  </w:style>
  <w:style w:type="paragraph" w:customStyle="1" w:styleId="Tablehead">
    <w:name w:val="Table head"/>
    <w:uiPriority w:val="99"/>
    <w:rsid w:val="00D03A4F"/>
    <w:pPr>
      <w:spacing w:before="60" w:after="40" w:line="120" w:lineRule="exact"/>
      <w:jc w:val="center"/>
    </w:pPr>
    <w:rPr>
      <w:rFonts w:ascii="Arial" w:eastAsia="Times New Roman" w:hAnsi="Arial" w:cs="Times New Roman"/>
      <w:noProof/>
      <w:sz w:val="12"/>
      <w:szCs w:val="20"/>
      <w:lang w:eastAsia="ru-RU"/>
    </w:rPr>
  </w:style>
  <w:style w:type="paragraph" w:customStyle="1" w:styleId="afffd">
    <w:name w:val="Боковик"/>
    <w:uiPriority w:val="99"/>
    <w:rsid w:val="00D03A4F"/>
    <w:pPr>
      <w:widowControl w:val="0"/>
      <w:spacing w:before="40" w:after="0" w:line="240" w:lineRule="auto"/>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D03A4F"/>
    <w:pPr>
      <w:spacing w:before="100" w:beforeAutospacing="1" w:after="100" w:afterAutospacing="1" w:line="240" w:lineRule="auto"/>
    </w:pPr>
    <w:rPr>
      <w:rFonts w:ascii="Arial Unicode MS" w:eastAsia="Arial Unicode MS" w:hAnsi="Arial Unicode MS" w:cs="Arial Unicode MS"/>
      <w:sz w:val="10"/>
      <w:szCs w:val="10"/>
      <w:lang w:eastAsia="ru-RU"/>
    </w:rPr>
  </w:style>
  <w:style w:type="paragraph" w:customStyle="1" w:styleId="310">
    <w:name w:val="Основной текст 31"/>
    <w:basedOn w:val="a"/>
    <w:uiPriority w:val="99"/>
    <w:rsid w:val="00D03A4F"/>
    <w:pPr>
      <w:overflowPunct w:val="0"/>
      <w:autoSpaceDE w:val="0"/>
      <w:autoSpaceDN w:val="0"/>
      <w:adjustRightInd w:val="0"/>
      <w:spacing w:before="120" w:after="0" w:line="240" w:lineRule="auto"/>
      <w:jc w:val="center"/>
      <w:textAlignment w:val="baseline"/>
    </w:pPr>
    <w:rPr>
      <w:rFonts w:ascii="Arial" w:eastAsia="Times New Roman" w:hAnsi="Arial" w:cs="Times New Roman"/>
      <w:b/>
      <w:sz w:val="16"/>
      <w:szCs w:val="20"/>
      <w:lang w:eastAsia="ru-RU"/>
    </w:rPr>
  </w:style>
  <w:style w:type="paragraph" w:styleId="1e">
    <w:name w:val="index 1"/>
    <w:basedOn w:val="a"/>
    <w:next w:val="a"/>
    <w:uiPriority w:val="99"/>
    <w:semiHidden/>
    <w:rsid w:val="00D03A4F"/>
    <w:pPr>
      <w:spacing w:after="0" w:line="240" w:lineRule="auto"/>
    </w:pPr>
    <w:rPr>
      <w:rFonts w:ascii="Arial" w:eastAsia="Times New Roman" w:hAnsi="Arial" w:cs="Times New Roman"/>
      <w:sz w:val="14"/>
      <w:szCs w:val="20"/>
      <w:lang w:eastAsia="ru-RU"/>
    </w:rPr>
  </w:style>
  <w:style w:type="paragraph" w:customStyle="1" w:styleId="01-golovka">
    <w:name w:val="01-golovka"/>
    <w:basedOn w:val="a"/>
    <w:uiPriority w:val="99"/>
    <w:rsid w:val="00D03A4F"/>
    <w:pPr>
      <w:widowControl w:val="0"/>
      <w:spacing w:before="80" w:after="80" w:line="240" w:lineRule="auto"/>
      <w:jc w:val="center"/>
    </w:pPr>
    <w:rPr>
      <w:rFonts w:ascii="PragmaticaC" w:eastAsia="Times New Roman" w:hAnsi="PragmaticaC" w:cs="Times New Roman"/>
      <w:sz w:val="14"/>
      <w:szCs w:val="20"/>
      <w:lang w:eastAsia="ru-RU"/>
    </w:rPr>
  </w:style>
  <w:style w:type="paragraph" w:customStyle="1" w:styleId="1f">
    <w:name w:val="заголовок 1"/>
    <w:basedOn w:val="a"/>
    <w:next w:val="a"/>
    <w:uiPriority w:val="99"/>
    <w:rsid w:val="00D03A4F"/>
    <w:pPr>
      <w:keepNext/>
      <w:widowControl w:val="0"/>
      <w:spacing w:after="0" w:line="240" w:lineRule="auto"/>
      <w:ind w:right="-403"/>
      <w:jc w:val="center"/>
    </w:pPr>
    <w:rPr>
      <w:rFonts w:ascii="Times New Roman" w:eastAsia="Times New Roman" w:hAnsi="Times New Roman" w:cs="Times New Roman"/>
      <w:b/>
      <w:sz w:val="20"/>
      <w:szCs w:val="20"/>
      <w:lang w:eastAsia="ru-RU"/>
    </w:rPr>
  </w:style>
  <w:style w:type="paragraph" w:customStyle="1" w:styleId="2f">
    <w:name w:val="заголовок 2"/>
    <w:basedOn w:val="a"/>
    <w:next w:val="a"/>
    <w:uiPriority w:val="99"/>
    <w:rsid w:val="00D03A4F"/>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8">
    <w:name w:val="заголовок 3"/>
    <w:basedOn w:val="a"/>
    <w:next w:val="a"/>
    <w:uiPriority w:val="99"/>
    <w:rsid w:val="00D03A4F"/>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4">
    <w:name w:val="заголовок 4"/>
    <w:basedOn w:val="a"/>
    <w:next w:val="a"/>
    <w:uiPriority w:val="99"/>
    <w:rsid w:val="00D03A4F"/>
    <w:pPr>
      <w:keepNext/>
      <w:widowControl w:val="0"/>
      <w:spacing w:after="0" w:line="240" w:lineRule="auto"/>
      <w:jc w:val="center"/>
    </w:pPr>
    <w:rPr>
      <w:rFonts w:ascii="Times New Roman" w:eastAsia="Times New Roman" w:hAnsi="Times New Roman" w:cs="Times New Roman"/>
      <w:b/>
      <w:sz w:val="18"/>
      <w:szCs w:val="20"/>
      <w:lang w:eastAsia="ru-RU"/>
    </w:rPr>
  </w:style>
  <w:style w:type="paragraph" w:customStyle="1" w:styleId="55">
    <w:name w:val="заголовок 5"/>
    <w:basedOn w:val="a"/>
    <w:next w:val="a"/>
    <w:uiPriority w:val="99"/>
    <w:rsid w:val="00D03A4F"/>
    <w:pPr>
      <w:keepNext/>
      <w:widowControl w:val="0"/>
      <w:spacing w:before="40" w:after="0" w:line="160" w:lineRule="exact"/>
      <w:ind w:left="113"/>
      <w:jc w:val="both"/>
    </w:pPr>
    <w:rPr>
      <w:rFonts w:ascii="Times New Roman" w:eastAsia="Times New Roman" w:hAnsi="Times New Roman" w:cs="Times New Roman"/>
      <w:b/>
      <w:sz w:val="16"/>
      <w:szCs w:val="20"/>
      <w:lang w:eastAsia="ru-RU"/>
    </w:rPr>
  </w:style>
  <w:style w:type="paragraph" w:customStyle="1" w:styleId="64">
    <w:name w:val="заголовок 6"/>
    <w:basedOn w:val="a"/>
    <w:next w:val="a"/>
    <w:uiPriority w:val="99"/>
    <w:rsid w:val="00D03A4F"/>
    <w:pPr>
      <w:keepNext/>
      <w:widowControl w:val="0"/>
      <w:spacing w:before="40" w:after="0" w:line="160" w:lineRule="exact"/>
      <w:ind w:right="-57"/>
    </w:pPr>
    <w:rPr>
      <w:rFonts w:ascii="Times New Roman" w:eastAsia="Times New Roman" w:hAnsi="Times New Roman" w:cs="Times New Roman"/>
      <w:b/>
      <w:sz w:val="16"/>
      <w:szCs w:val="20"/>
      <w:lang w:eastAsia="ru-RU"/>
    </w:rPr>
  </w:style>
  <w:style w:type="paragraph" w:customStyle="1" w:styleId="2f0">
    <w:name w:val="Заголовок обложки2"/>
    <w:basedOn w:val="afffe"/>
    <w:next w:val="af2"/>
    <w:uiPriority w:val="99"/>
    <w:rsid w:val="00D03A4F"/>
    <w:pPr>
      <w:spacing w:before="1520"/>
      <w:ind w:right="1680"/>
    </w:pPr>
    <w:rPr>
      <w:rFonts w:ascii="Times New Roman" w:hAnsi="Times New Roman"/>
      <w:b w:val="0"/>
      <w:i/>
      <w:spacing w:val="-20"/>
      <w:sz w:val="40"/>
    </w:rPr>
  </w:style>
  <w:style w:type="paragraph" w:customStyle="1" w:styleId="afffe">
    <w:name w:val="Заголовок обложки"/>
    <w:basedOn w:val="a"/>
    <w:next w:val="2f0"/>
    <w:uiPriority w:val="99"/>
    <w:rsid w:val="00D03A4F"/>
    <w:pPr>
      <w:keepNext/>
      <w:keepLines/>
      <w:widowControl w:val="0"/>
      <w:spacing w:before="1800" w:after="0" w:line="240" w:lineRule="atLeast"/>
      <w:ind w:left="1080"/>
    </w:pPr>
    <w:rPr>
      <w:rFonts w:ascii="Arial" w:eastAsia="Times New Roman" w:hAnsi="Arial" w:cs="Times New Roman"/>
      <w:b/>
      <w:spacing w:val="-48"/>
      <w:kern w:val="28"/>
      <w:sz w:val="72"/>
      <w:szCs w:val="20"/>
      <w:lang w:eastAsia="ru-RU"/>
    </w:rPr>
  </w:style>
  <w:style w:type="paragraph" w:customStyle="1" w:styleId="affff">
    <w:name w:val="обратный адрес"/>
    <w:basedOn w:val="a"/>
    <w:uiPriority w:val="99"/>
    <w:rsid w:val="00D03A4F"/>
    <w:pPr>
      <w:keepLines/>
      <w:framePr w:w="2160" w:h="1200" w:wrap="notBeside" w:vAnchor="page" w:hAnchor="page" w:x="9241" w:y="673"/>
      <w:widowControl w:val="0"/>
      <w:spacing w:after="0" w:line="220" w:lineRule="atLeast"/>
    </w:pPr>
    <w:rPr>
      <w:rFonts w:ascii="Times New Roman" w:eastAsia="Times New Roman" w:hAnsi="Times New Roman" w:cs="Times New Roman"/>
      <w:sz w:val="16"/>
      <w:szCs w:val="20"/>
      <w:lang w:eastAsia="ru-RU"/>
    </w:rPr>
  </w:style>
  <w:style w:type="character" w:customStyle="1" w:styleId="affff0">
    <w:name w:val="номер страницы"/>
    <w:uiPriority w:val="99"/>
    <w:rsid w:val="00D03A4F"/>
    <w:rPr>
      <w:sz w:val="20"/>
    </w:rPr>
  </w:style>
  <w:style w:type="paragraph" w:customStyle="1" w:styleId="112">
    <w:name w:val="заголовок 11"/>
    <w:basedOn w:val="a"/>
    <w:next w:val="a"/>
    <w:uiPriority w:val="99"/>
    <w:rsid w:val="00D03A4F"/>
    <w:pPr>
      <w:keepNext/>
      <w:widowControl w:val="0"/>
      <w:spacing w:after="0" w:line="240" w:lineRule="auto"/>
      <w:jc w:val="right"/>
    </w:pPr>
    <w:rPr>
      <w:rFonts w:ascii="Times New Roman" w:eastAsia="Times New Roman" w:hAnsi="Times New Roman" w:cs="Times New Roman"/>
      <w:b/>
      <w:sz w:val="20"/>
      <w:szCs w:val="20"/>
      <w:lang w:eastAsia="ru-RU"/>
    </w:rPr>
  </w:style>
  <w:style w:type="paragraph" w:customStyle="1" w:styleId="1f0">
    <w:name w:val="Нижний колонтитул1"/>
    <w:basedOn w:val="a"/>
    <w:uiPriority w:val="99"/>
    <w:rsid w:val="00D03A4F"/>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fff1">
    <w:name w:val="знак сноски"/>
    <w:uiPriority w:val="99"/>
    <w:rsid w:val="00D03A4F"/>
    <w:rPr>
      <w:sz w:val="20"/>
      <w:vertAlign w:val="superscript"/>
    </w:rPr>
  </w:style>
  <w:style w:type="paragraph" w:customStyle="1" w:styleId="affff2">
    <w:name w:val="текст сноски"/>
    <w:basedOn w:val="a"/>
    <w:uiPriority w:val="99"/>
    <w:rsid w:val="00D03A4F"/>
    <w:pPr>
      <w:widowControl w:val="0"/>
      <w:spacing w:after="0" w:line="240" w:lineRule="auto"/>
    </w:pPr>
    <w:rPr>
      <w:rFonts w:ascii="Times New Roman" w:eastAsia="Times New Roman" w:hAnsi="Times New Roman" w:cs="Times New Roman"/>
      <w:sz w:val="20"/>
      <w:szCs w:val="20"/>
      <w:lang w:eastAsia="ru-RU"/>
    </w:rPr>
  </w:style>
  <w:style w:type="paragraph" w:customStyle="1" w:styleId="1f1">
    <w:name w:val="Верхний колонтитул1"/>
    <w:basedOn w:val="a"/>
    <w:uiPriority w:val="99"/>
    <w:rsid w:val="00D03A4F"/>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2f1">
    <w:name w:val="Нижний колонтитул2"/>
    <w:basedOn w:val="a"/>
    <w:uiPriority w:val="99"/>
    <w:rsid w:val="00D03A4F"/>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2f2">
    <w:name w:val="Верхний колонтитул2"/>
    <w:basedOn w:val="a"/>
    <w:uiPriority w:val="99"/>
    <w:rsid w:val="00D03A4F"/>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affff3">
    <w:name w:val="Стиль"/>
    <w:uiPriority w:val="99"/>
    <w:rsid w:val="00D03A4F"/>
    <w:pPr>
      <w:keepNext/>
      <w:widowControl w:val="0"/>
      <w:spacing w:after="0" w:line="240" w:lineRule="auto"/>
      <w:ind w:left="113"/>
    </w:pPr>
    <w:rPr>
      <w:rFonts w:ascii="Times New Roman" w:eastAsia="Times New Roman" w:hAnsi="Times New Roman" w:cs="Times New Roman"/>
      <w:b/>
      <w:sz w:val="16"/>
      <w:szCs w:val="20"/>
      <w:lang w:eastAsia="ru-RU"/>
    </w:rPr>
  </w:style>
  <w:style w:type="paragraph" w:customStyle="1" w:styleId="212">
    <w:name w:val="заголовок 21"/>
    <w:basedOn w:val="a"/>
    <w:next w:val="a"/>
    <w:uiPriority w:val="99"/>
    <w:rsid w:val="00D03A4F"/>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9">
    <w:name w:val="Нижний колонтитул3"/>
    <w:basedOn w:val="a"/>
    <w:uiPriority w:val="99"/>
    <w:rsid w:val="00D03A4F"/>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121">
    <w:name w:val="заголовок 12"/>
    <w:basedOn w:val="a"/>
    <w:next w:val="a"/>
    <w:uiPriority w:val="99"/>
    <w:rsid w:val="00D03A4F"/>
    <w:pPr>
      <w:keepNext/>
      <w:widowControl w:val="0"/>
      <w:spacing w:after="0" w:line="240" w:lineRule="auto"/>
      <w:ind w:right="-403"/>
      <w:jc w:val="center"/>
    </w:pPr>
    <w:rPr>
      <w:rFonts w:ascii="Times New Roman" w:eastAsia="Times New Roman" w:hAnsi="Times New Roman" w:cs="Times New Roman"/>
      <w:b/>
      <w:sz w:val="20"/>
      <w:szCs w:val="20"/>
      <w:lang w:eastAsia="ru-RU"/>
    </w:rPr>
  </w:style>
  <w:style w:type="paragraph" w:customStyle="1" w:styleId="xl22">
    <w:name w:val="xl22"/>
    <w:basedOn w:val="a"/>
    <w:uiPriority w:val="99"/>
    <w:rsid w:val="00D03A4F"/>
    <w:pPr>
      <w:spacing w:before="100" w:beforeAutospacing="1" w:after="100" w:afterAutospacing="1" w:line="240" w:lineRule="auto"/>
    </w:pPr>
    <w:rPr>
      <w:rFonts w:ascii="Arial" w:eastAsia="Arial Unicode MS" w:hAnsi="Arial" w:cs="Arial Unicode MS"/>
      <w:sz w:val="16"/>
      <w:szCs w:val="16"/>
      <w:lang w:eastAsia="ru-RU"/>
    </w:rPr>
  </w:style>
  <w:style w:type="paragraph" w:customStyle="1" w:styleId="xl23">
    <w:name w:val="xl23"/>
    <w:basedOn w:val="a"/>
    <w:uiPriority w:val="99"/>
    <w:rsid w:val="00D03A4F"/>
    <w:pPr>
      <w:spacing w:before="100" w:beforeAutospacing="1" w:after="100" w:afterAutospacing="1" w:line="240" w:lineRule="auto"/>
    </w:pPr>
    <w:rPr>
      <w:rFonts w:ascii="Arial" w:eastAsia="Arial Unicode MS" w:hAnsi="Arial" w:cs="Arial Unicode MS"/>
      <w:sz w:val="16"/>
      <w:szCs w:val="16"/>
      <w:lang w:eastAsia="ru-RU"/>
    </w:rPr>
  </w:style>
  <w:style w:type="paragraph" w:customStyle="1" w:styleId="1f2">
    <w:name w:val="çàãîëîâîê 1"/>
    <w:basedOn w:val="a"/>
    <w:next w:val="a"/>
    <w:uiPriority w:val="99"/>
    <w:rsid w:val="00D03A4F"/>
    <w:pPr>
      <w:keepNext/>
      <w:widowControl w:val="0"/>
      <w:autoSpaceDE w:val="0"/>
      <w:autoSpaceDN w:val="0"/>
      <w:adjustRightInd w:val="0"/>
      <w:spacing w:after="0" w:line="240" w:lineRule="auto"/>
      <w:ind w:right="-403"/>
      <w:jc w:val="center"/>
    </w:pPr>
    <w:rPr>
      <w:rFonts w:ascii="Times New Roman" w:eastAsia="Times New Roman" w:hAnsi="Times New Roman" w:cs="Times New Roman"/>
      <w:b/>
      <w:bCs/>
      <w:sz w:val="20"/>
      <w:szCs w:val="20"/>
      <w:lang w:eastAsia="ru-RU"/>
    </w:rPr>
  </w:style>
  <w:style w:type="paragraph" w:customStyle="1" w:styleId="2f3">
    <w:name w:val="çàãîëîâîê 2"/>
    <w:basedOn w:val="a"/>
    <w:next w:val="a"/>
    <w:uiPriority w:val="99"/>
    <w:rsid w:val="00D03A4F"/>
    <w:pPr>
      <w:keepNext/>
      <w:widowControl w:val="0"/>
      <w:autoSpaceDE w:val="0"/>
      <w:autoSpaceDN w:val="0"/>
      <w:adjustRightInd w:val="0"/>
      <w:spacing w:before="60" w:after="0" w:line="240" w:lineRule="auto"/>
      <w:ind w:left="284"/>
      <w:jc w:val="both"/>
    </w:pPr>
    <w:rPr>
      <w:rFonts w:ascii="Times New Roman" w:eastAsia="Times New Roman" w:hAnsi="Times New Roman" w:cs="Times New Roman"/>
      <w:b/>
      <w:bCs/>
      <w:sz w:val="18"/>
      <w:szCs w:val="18"/>
      <w:lang w:eastAsia="ru-RU"/>
    </w:rPr>
  </w:style>
  <w:style w:type="paragraph" w:customStyle="1" w:styleId="3a">
    <w:name w:val="çàãîëîâîê 3"/>
    <w:basedOn w:val="a"/>
    <w:next w:val="a"/>
    <w:uiPriority w:val="99"/>
    <w:rsid w:val="00D03A4F"/>
    <w:pPr>
      <w:keepNext/>
      <w:widowControl w:val="0"/>
      <w:autoSpaceDE w:val="0"/>
      <w:autoSpaceDN w:val="0"/>
      <w:adjustRightInd w:val="0"/>
      <w:spacing w:after="0" w:line="180" w:lineRule="exact"/>
    </w:pPr>
    <w:rPr>
      <w:rFonts w:ascii="Times New Roman" w:eastAsia="Times New Roman" w:hAnsi="Times New Roman" w:cs="Times New Roman"/>
      <w:b/>
      <w:bCs/>
      <w:sz w:val="16"/>
      <w:szCs w:val="16"/>
      <w:lang w:eastAsia="ru-RU"/>
    </w:rPr>
  </w:style>
  <w:style w:type="paragraph" w:customStyle="1" w:styleId="45">
    <w:name w:val="çàãîëîâîê 4"/>
    <w:basedOn w:val="a"/>
    <w:next w:val="a"/>
    <w:uiPriority w:val="99"/>
    <w:rsid w:val="00D03A4F"/>
    <w:pPr>
      <w:keepNext/>
      <w:widowControl w:val="0"/>
      <w:autoSpaceDE w:val="0"/>
      <w:autoSpaceDN w:val="0"/>
      <w:adjustRightInd w:val="0"/>
      <w:spacing w:after="0" w:line="240" w:lineRule="auto"/>
      <w:jc w:val="center"/>
    </w:pPr>
    <w:rPr>
      <w:rFonts w:ascii="Times New Roman" w:eastAsia="Times New Roman" w:hAnsi="Times New Roman" w:cs="Times New Roman"/>
      <w:b/>
      <w:bCs/>
      <w:sz w:val="18"/>
      <w:szCs w:val="18"/>
      <w:lang w:eastAsia="ru-RU"/>
    </w:rPr>
  </w:style>
  <w:style w:type="paragraph" w:customStyle="1" w:styleId="56">
    <w:name w:val="çàãîëîâîê 5"/>
    <w:basedOn w:val="a"/>
    <w:next w:val="a"/>
    <w:uiPriority w:val="99"/>
    <w:rsid w:val="00D03A4F"/>
    <w:pPr>
      <w:keepNext/>
      <w:widowControl w:val="0"/>
      <w:autoSpaceDE w:val="0"/>
      <w:autoSpaceDN w:val="0"/>
      <w:adjustRightInd w:val="0"/>
      <w:spacing w:before="40" w:after="0" w:line="160" w:lineRule="exact"/>
      <w:ind w:left="113"/>
      <w:jc w:val="both"/>
    </w:pPr>
    <w:rPr>
      <w:rFonts w:ascii="Times New Roman" w:eastAsia="Times New Roman" w:hAnsi="Times New Roman" w:cs="Times New Roman"/>
      <w:b/>
      <w:bCs/>
      <w:sz w:val="16"/>
      <w:szCs w:val="16"/>
      <w:lang w:eastAsia="ru-RU"/>
    </w:rPr>
  </w:style>
  <w:style w:type="paragraph" w:customStyle="1" w:styleId="65">
    <w:name w:val="çàãîëîâîê 6"/>
    <w:basedOn w:val="a"/>
    <w:next w:val="a"/>
    <w:uiPriority w:val="99"/>
    <w:rsid w:val="00D03A4F"/>
    <w:pPr>
      <w:keepNext/>
      <w:widowControl w:val="0"/>
      <w:autoSpaceDE w:val="0"/>
      <w:autoSpaceDN w:val="0"/>
      <w:adjustRightInd w:val="0"/>
      <w:spacing w:before="40" w:after="0" w:line="160" w:lineRule="exact"/>
      <w:ind w:right="-57"/>
    </w:pPr>
    <w:rPr>
      <w:rFonts w:ascii="Times New Roman" w:eastAsia="Times New Roman" w:hAnsi="Times New Roman" w:cs="Times New Roman"/>
      <w:b/>
      <w:bCs/>
      <w:sz w:val="16"/>
      <w:szCs w:val="16"/>
      <w:lang w:eastAsia="ru-RU"/>
    </w:rPr>
  </w:style>
  <w:style w:type="paragraph" w:customStyle="1" w:styleId="2f4">
    <w:name w:val="Çàãîëîâîê îáëîæêè2"/>
    <w:basedOn w:val="affff4"/>
    <w:next w:val="af2"/>
    <w:uiPriority w:val="99"/>
    <w:rsid w:val="00D03A4F"/>
    <w:pPr>
      <w:spacing w:before="1520"/>
      <w:ind w:right="1680"/>
    </w:pPr>
    <w:rPr>
      <w:rFonts w:ascii="Times New Roman" w:hAnsi="Times New Roman" w:cs="Times New Roman"/>
      <w:b w:val="0"/>
      <w:bCs w:val="0"/>
      <w:i/>
      <w:iCs/>
      <w:spacing w:val="-20"/>
      <w:sz w:val="40"/>
      <w:szCs w:val="40"/>
    </w:rPr>
  </w:style>
  <w:style w:type="paragraph" w:customStyle="1" w:styleId="affff4">
    <w:name w:val="Çàãîëîâîê îáëîæêè"/>
    <w:basedOn w:val="a"/>
    <w:next w:val="2f4"/>
    <w:uiPriority w:val="99"/>
    <w:rsid w:val="00D03A4F"/>
    <w:pPr>
      <w:keepNext/>
      <w:keepLines/>
      <w:widowControl w:val="0"/>
      <w:autoSpaceDE w:val="0"/>
      <w:autoSpaceDN w:val="0"/>
      <w:adjustRightInd w:val="0"/>
      <w:spacing w:before="1800" w:after="0" w:line="240" w:lineRule="atLeast"/>
      <w:ind w:left="1080"/>
    </w:pPr>
    <w:rPr>
      <w:rFonts w:ascii="Arial" w:eastAsia="Times New Roman" w:hAnsi="Arial" w:cs="Arial"/>
      <w:b/>
      <w:bCs/>
      <w:spacing w:val="-48"/>
      <w:kern w:val="28"/>
      <w:sz w:val="72"/>
      <w:szCs w:val="72"/>
      <w:lang w:eastAsia="ru-RU"/>
    </w:rPr>
  </w:style>
  <w:style w:type="paragraph" w:customStyle="1" w:styleId="affff5">
    <w:name w:val="îáðàòíûé àäðåñ"/>
    <w:basedOn w:val="a"/>
    <w:uiPriority w:val="99"/>
    <w:rsid w:val="00D03A4F"/>
    <w:pPr>
      <w:keepLines/>
      <w:framePr w:w="2160" w:h="1200" w:wrap="notBeside" w:vAnchor="page" w:hAnchor="page" w:x="9241" w:y="673"/>
      <w:widowControl w:val="0"/>
      <w:autoSpaceDE w:val="0"/>
      <w:autoSpaceDN w:val="0"/>
      <w:adjustRightInd w:val="0"/>
      <w:spacing w:after="0" w:line="220" w:lineRule="atLeast"/>
    </w:pPr>
    <w:rPr>
      <w:rFonts w:ascii="Times New Roman" w:eastAsia="Times New Roman" w:hAnsi="Times New Roman" w:cs="Times New Roman"/>
      <w:sz w:val="16"/>
      <w:szCs w:val="16"/>
      <w:lang w:eastAsia="ru-RU"/>
    </w:rPr>
  </w:style>
  <w:style w:type="paragraph" w:customStyle="1" w:styleId="affff6">
    <w:name w:val="Íèæíèé êîëîíòèòóë"/>
    <w:basedOn w:val="a"/>
    <w:uiPriority w:val="99"/>
    <w:rsid w:val="00D03A4F"/>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f7">
    <w:name w:val="íîìåð ñòðàíèöû"/>
    <w:basedOn w:val="a0"/>
    <w:uiPriority w:val="99"/>
    <w:rsid w:val="00D03A4F"/>
    <w:rPr>
      <w:rFonts w:cs="Times New Roman"/>
    </w:rPr>
  </w:style>
  <w:style w:type="paragraph" w:customStyle="1" w:styleId="113">
    <w:name w:val="çàãîëîâîê 11"/>
    <w:basedOn w:val="a"/>
    <w:next w:val="a"/>
    <w:uiPriority w:val="99"/>
    <w:rsid w:val="00D03A4F"/>
    <w:pPr>
      <w:keepNext/>
      <w:widowControl w:val="0"/>
      <w:autoSpaceDE w:val="0"/>
      <w:autoSpaceDN w:val="0"/>
      <w:adjustRightInd w:val="0"/>
      <w:spacing w:after="0" w:line="240" w:lineRule="auto"/>
      <w:jc w:val="right"/>
    </w:pPr>
    <w:rPr>
      <w:rFonts w:ascii="Times New Roman" w:eastAsia="Times New Roman" w:hAnsi="Times New Roman" w:cs="Times New Roman"/>
      <w:b/>
      <w:bCs/>
      <w:sz w:val="20"/>
      <w:szCs w:val="20"/>
      <w:lang w:eastAsia="ru-RU"/>
    </w:rPr>
  </w:style>
  <w:style w:type="paragraph" w:customStyle="1" w:styleId="1f3">
    <w:name w:val="Íèæíèé êîëîíòèòóë1"/>
    <w:basedOn w:val="a"/>
    <w:uiPriority w:val="99"/>
    <w:rsid w:val="00D03A4F"/>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f8">
    <w:name w:val="çíàê ñíîñêè"/>
    <w:uiPriority w:val="99"/>
    <w:rsid w:val="00D03A4F"/>
    <w:rPr>
      <w:sz w:val="20"/>
      <w:vertAlign w:val="superscript"/>
    </w:rPr>
  </w:style>
  <w:style w:type="paragraph" w:customStyle="1" w:styleId="affff9">
    <w:name w:val="òåêñò ñíîñêè"/>
    <w:basedOn w:val="a"/>
    <w:uiPriority w:val="99"/>
    <w:rsid w:val="00D03A4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ffa">
    <w:name w:val="Âåðõíèé êîëîíòèòóë"/>
    <w:basedOn w:val="a"/>
    <w:uiPriority w:val="99"/>
    <w:rsid w:val="00D03A4F"/>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f5">
    <w:name w:val="Îñíîâíîé òåêñò 2"/>
    <w:basedOn w:val="a"/>
    <w:uiPriority w:val="99"/>
    <w:rsid w:val="00D03A4F"/>
    <w:pPr>
      <w:autoSpaceDE w:val="0"/>
      <w:autoSpaceDN w:val="0"/>
      <w:adjustRightInd w:val="0"/>
      <w:spacing w:after="0" w:line="240" w:lineRule="auto"/>
      <w:jc w:val="center"/>
    </w:pPr>
    <w:rPr>
      <w:rFonts w:ascii="Times New Roman" w:eastAsia="Times New Roman" w:hAnsi="Times New Roman" w:cs="Times New Roman"/>
      <w:b/>
      <w:bCs/>
      <w:sz w:val="18"/>
      <w:szCs w:val="18"/>
      <w:lang w:eastAsia="ru-RU"/>
    </w:rPr>
  </w:style>
  <w:style w:type="paragraph" w:customStyle="1" w:styleId="1f4">
    <w:name w:val="Âåðõíèé êîëîíòèòóë1"/>
    <w:basedOn w:val="a"/>
    <w:uiPriority w:val="99"/>
    <w:rsid w:val="00D03A4F"/>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f6">
    <w:name w:val="Íèæíèé êîëîíòèòóë2"/>
    <w:basedOn w:val="a"/>
    <w:uiPriority w:val="99"/>
    <w:rsid w:val="00D03A4F"/>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xl26">
    <w:name w:val="xl26"/>
    <w:basedOn w:val="a"/>
    <w:uiPriority w:val="99"/>
    <w:rsid w:val="00D03A4F"/>
    <w:pPr>
      <w:spacing w:before="100" w:beforeAutospacing="1" w:after="100" w:afterAutospacing="1" w:line="240" w:lineRule="auto"/>
    </w:pPr>
    <w:rPr>
      <w:rFonts w:ascii="Times New Roman" w:eastAsia="Arial Unicode MS" w:hAnsi="Times New Roman" w:cs="Times New Roman"/>
      <w:sz w:val="16"/>
      <w:szCs w:val="16"/>
      <w:lang w:eastAsia="ru-RU"/>
    </w:rPr>
  </w:style>
  <w:style w:type="paragraph" w:customStyle="1" w:styleId="xl27">
    <w:name w:val="xl27"/>
    <w:basedOn w:val="a"/>
    <w:uiPriority w:val="99"/>
    <w:rsid w:val="00D03A4F"/>
    <w:pPr>
      <w:pBdr>
        <w:right w:val="single" w:sz="8" w:space="0" w:color="auto"/>
      </w:pBdr>
      <w:spacing w:before="100" w:beforeAutospacing="1" w:after="100" w:afterAutospacing="1" w:line="240" w:lineRule="auto"/>
    </w:pPr>
    <w:rPr>
      <w:rFonts w:ascii="Times New Roman" w:eastAsia="Arial Unicode MS" w:hAnsi="Times New Roman" w:cs="Times New Roman"/>
      <w:sz w:val="16"/>
      <w:szCs w:val="16"/>
      <w:lang w:eastAsia="ru-RU"/>
    </w:rPr>
  </w:style>
  <w:style w:type="paragraph" w:customStyle="1" w:styleId="xl28">
    <w:name w:val="xl28"/>
    <w:basedOn w:val="a"/>
    <w:uiPriority w:val="99"/>
    <w:rsid w:val="00D03A4F"/>
    <w:pPr>
      <w:spacing w:before="100" w:beforeAutospacing="1" w:after="100" w:afterAutospacing="1" w:line="240" w:lineRule="auto"/>
      <w:jc w:val="right"/>
    </w:pPr>
    <w:rPr>
      <w:rFonts w:ascii="Times New Roman" w:eastAsia="Arial Unicode MS" w:hAnsi="Times New Roman" w:cs="Times New Roman"/>
      <w:sz w:val="16"/>
      <w:szCs w:val="16"/>
      <w:lang w:eastAsia="ru-RU"/>
    </w:rPr>
  </w:style>
  <w:style w:type="paragraph" w:customStyle="1" w:styleId="xl29">
    <w:name w:val="xl29"/>
    <w:basedOn w:val="a"/>
    <w:uiPriority w:val="99"/>
    <w:rsid w:val="00D03A4F"/>
    <w:pPr>
      <w:pBdr>
        <w:bottom w:val="single" w:sz="8" w:space="0" w:color="auto"/>
      </w:pBdr>
      <w:spacing w:before="100" w:beforeAutospacing="1" w:after="100" w:afterAutospacing="1" w:line="240" w:lineRule="auto"/>
      <w:jc w:val="right"/>
    </w:pPr>
    <w:rPr>
      <w:rFonts w:ascii="Times New Roman" w:eastAsia="Arial Unicode MS" w:hAnsi="Times New Roman" w:cs="Times New Roman"/>
      <w:sz w:val="16"/>
      <w:szCs w:val="16"/>
      <w:lang w:eastAsia="ru-RU"/>
    </w:rPr>
  </w:style>
  <w:style w:type="paragraph" w:customStyle="1" w:styleId="xl30">
    <w:name w:val="xl30"/>
    <w:basedOn w:val="a"/>
    <w:uiPriority w:val="99"/>
    <w:rsid w:val="00D03A4F"/>
    <w:pPr>
      <w:pBdr>
        <w:bottom w:val="single" w:sz="8" w:space="0" w:color="auto"/>
      </w:pBdr>
      <w:spacing w:before="100" w:beforeAutospacing="1" w:after="100" w:afterAutospacing="1" w:line="240" w:lineRule="auto"/>
    </w:pPr>
    <w:rPr>
      <w:rFonts w:ascii="Times New Roman" w:eastAsia="Arial Unicode MS" w:hAnsi="Times New Roman" w:cs="Times New Roman"/>
      <w:sz w:val="16"/>
      <w:szCs w:val="16"/>
      <w:lang w:eastAsia="ru-RU"/>
    </w:rPr>
  </w:style>
  <w:style w:type="paragraph" w:customStyle="1" w:styleId="xl31">
    <w:name w:val="xl31"/>
    <w:basedOn w:val="a"/>
    <w:uiPriority w:val="99"/>
    <w:rsid w:val="00D03A4F"/>
    <w:pPr>
      <w:pBdr>
        <w:bottom w:val="single" w:sz="8" w:space="0" w:color="auto"/>
        <w:right w:val="single" w:sz="8" w:space="0" w:color="auto"/>
      </w:pBdr>
      <w:spacing w:before="100" w:beforeAutospacing="1" w:after="100" w:afterAutospacing="1" w:line="240" w:lineRule="auto"/>
    </w:pPr>
    <w:rPr>
      <w:rFonts w:ascii="Times New Roman" w:eastAsia="Arial Unicode MS" w:hAnsi="Times New Roman" w:cs="Times New Roman"/>
      <w:sz w:val="16"/>
      <w:szCs w:val="16"/>
      <w:lang w:eastAsia="ru-RU"/>
    </w:rPr>
  </w:style>
  <w:style w:type="paragraph" w:customStyle="1" w:styleId="caaieiaie4">
    <w:name w:val="caaieiaie 4"/>
    <w:basedOn w:val="a"/>
    <w:next w:val="a"/>
    <w:uiPriority w:val="99"/>
    <w:rsid w:val="00D03A4F"/>
    <w:pPr>
      <w:keepNext/>
      <w:widowControl w:val="0"/>
      <w:spacing w:before="60" w:after="0" w:line="160" w:lineRule="exact"/>
      <w:ind w:left="-57" w:right="-113"/>
      <w:jc w:val="center"/>
    </w:pPr>
    <w:rPr>
      <w:rFonts w:ascii="Times New Roman" w:eastAsia="Times New Roman" w:hAnsi="Times New Roman" w:cs="Times New Roman"/>
      <w:b/>
      <w:sz w:val="14"/>
      <w:szCs w:val="20"/>
      <w:lang w:eastAsia="ru-RU"/>
    </w:rPr>
  </w:style>
  <w:style w:type="paragraph" w:customStyle="1" w:styleId="caaieiaie6">
    <w:name w:val="caaieiaie 6"/>
    <w:basedOn w:val="a"/>
    <w:next w:val="a"/>
    <w:uiPriority w:val="99"/>
    <w:rsid w:val="00D03A4F"/>
    <w:pPr>
      <w:keepNext/>
      <w:widowControl w:val="0"/>
      <w:spacing w:after="0" w:line="240" w:lineRule="auto"/>
      <w:jc w:val="right"/>
    </w:pPr>
    <w:rPr>
      <w:rFonts w:ascii="Times New Roman" w:eastAsia="Times New Roman" w:hAnsi="Times New Roman" w:cs="Times New Roman"/>
      <w:b/>
      <w:sz w:val="20"/>
      <w:szCs w:val="20"/>
      <w:lang w:eastAsia="ru-RU"/>
    </w:rPr>
  </w:style>
  <w:style w:type="paragraph" w:customStyle="1" w:styleId="caaieiaie2">
    <w:name w:val="caaieiaie 2"/>
    <w:basedOn w:val="a"/>
    <w:next w:val="a"/>
    <w:uiPriority w:val="99"/>
    <w:rsid w:val="00D03A4F"/>
    <w:pPr>
      <w:keepNext/>
      <w:widowControl w:val="0"/>
      <w:spacing w:before="120" w:after="0" w:line="260" w:lineRule="exact"/>
      <w:ind w:left="57"/>
    </w:pPr>
    <w:rPr>
      <w:rFonts w:ascii="Times New Roman" w:eastAsia="Times New Roman" w:hAnsi="Times New Roman" w:cs="Times New Roman"/>
      <w:b/>
      <w:color w:val="000000"/>
      <w:sz w:val="16"/>
      <w:szCs w:val="20"/>
      <w:lang w:eastAsia="ru-RU"/>
    </w:rPr>
  </w:style>
  <w:style w:type="paragraph" w:customStyle="1" w:styleId="xl17">
    <w:name w:val="xl17"/>
    <w:basedOn w:val="a"/>
    <w:uiPriority w:val="99"/>
    <w:rsid w:val="00D03A4F"/>
    <w:pPr>
      <w:spacing w:before="100" w:beforeAutospacing="1" w:after="100" w:afterAutospacing="1" w:line="240" w:lineRule="auto"/>
    </w:pPr>
    <w:rPr>
      <w:rFonts w:ascii="Times New Roman" w:eastAsia="Arial Unicode MS" w:hAnsi="Times New Roman" w:cs="Times New Roman"/>
      <w:sz w:val="16"/>
      <w:szCs w:val="16"/>
      <w:lang w:eastAsia="ru-RU"/>
    </w:rPr>
  </w:style>
  <w:style w:type="character" w:styleId="affffb">
    <w:name w:val="FollowedHyperlink"/>
    <w:basedOn w:val="a0"/>
    <w:uiPriority w:val="99"/>
    <w:rsid w:val="00D03A4F"/>
    <w:rPr>
      <w:rFonts w:cs="Times New Roman"/>
      <w:color w:val="800080"/>
      <w:u w:val="single"/>
    </w:rPr>
  </w:style>
  <w:style w:type="paragraph" w:customStyle="1" w:styleId="caaieiaie1">
    <w:name w:val="caaieiaie 1"/>
    <w:basedOn w:val="a"/>
    <w:next w:val="a"/>
    <w:uiPriority w:val="99"/>
    <w:rsid w:val="00D03A4F"/>
    <w:pPr>
      <w:keepNext/>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ru-RU"/>
    </w:rPr>
  </w:style>
  <w:style w:type="paragraph" w:customStyle="1" w:styleId="caaieiaie3">
    <w:name w:val="caaieiaie 3"/>
    <w:basedOn w:val="a"/>
    <w:next w:val="a"/>
    <w:uiPriority w:val="99"/>
    <w:rsid w:val="00D03A4F"/>
    <w:pPr>
      <w:keepNext/>
      <w:widowControl w:val="0"/>
      <w:overflowPunct w:val="0"/>
      <w:autoSpaceDE w:val="0"/>
      <w:autoSpaceDN w:val="0"/>
      <w:adjustRightInd w:val="0"/>
      <w:spacing w:after="0" w:line="180" w:lineRule="exact"/>
      <w:textAlignment w:val="baseline"/>
    </w:pPr>
    <w:rPr>
      <w:rFonts w:ascii="Times New Roman" w:eastAsia="Times New Roman" w:hAnsi="Times New Roman" w:cs="Times New Roman"/>
      <w:b/>
      <w:sz w:val="16"/>
      <w:szCs w:val="20"/>
      <w:lang w:eastAsia="ru-RU"/>
    </w:rPr>
  </w:style>
  <w:style w:type="paragraph" w:customStyle="1" w:styleId="caaieiaie31">
    <w:name w:val="caaieiaie 31"/>
    <w:basedOn w:val="a"/>
    <w:next w:val="a"/>
    <w:uiPriority w:val="99"/>
    <w:rsid w:val="00D03A4F"/>
    <w:pPr>
      <w:keepNext/>
      <w:widowControl w:val="0"/>
      <w:overflowPunct w:val="0"/>
      <w:autoSpaceDE w:val="0"/>
      <w:autoSpaceDN w:val="0"/>
      <w:adjustRightInd w:val="0"/>
      <w:spacing w:after="0" w:line="180" w:lineRule="exact"/>
      <w:textAlignment w:val="baseline"/>
    </w:pPr>
    <w:rPr>
      <w:rFonts w:ascii="Times New Roman" w:eastAsia="Times New Roman" w:hAnsi="Times New Roman" w:cs="Times New Roman"/>
      <w:b/>
      <w:sz w:val="16"/>
      <w:szCs w:val="20"/>
      <w:lang w:eastAsia="ru-RU"/>
    </w:rPr>
  </w:style>
  <w:style w:type="paragraph" w:customStyle="1" w:styleId="caaieiaie21">
    <w:name w:val="caaieiaie 21"/>
    <w:basedOn w:val="a"/>
    <w:next w:val="a"/>
    <w:uiPriority w:val="99"/>
    <w:rsid w:val="00D03A4F"/>
    <w:pPr>
      <w:keepNext/>
      <w:widowControl w:val="0"/>
      <w:overflowPunct w:val="0"/>
      <w:autoSpaceDE w:val="0"/>
      <w:autoSpaceDN w:val="0"/>
      <w:adjustRightInd w:val="0"/>
      <w:spacing w:before="60" w:after="0" w:line="240" w:lineRule="auto"/>
      <w:ind w:left="284"/>
      <w:jc w:val="both"/>
      <w:textAlignment w:val="baseline"/>
    </w:pPr>
    <w:rPr>
      <w:rFonts w:ascii="Times New Roman" w:eastAsia="Times New Roman" w:hAnsi="Times New Roman" w:cs="Times New Roman"/>
      <w:b/>
      <w:sz w:val="18"/>
      <w:szCs w:val="20"/>
      <w:lang w:eastAsia="ru-RU"/>
    </w:rPr>
  </w:style>
  <w:style w:type="paragraph" w:customStyle="1" w:styleId="caaieiaie11">
    <w:name w:val="caaieiaie 11"/>
    <w:basedOn w:val="a"/>
    <w:next w:val="a"/>
    <w:uiPriority w:val="99"/>
    <w:rsid w:val="00D03A4F"/>
    <w:pPr>
      <w:keepNext/>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b/>
      <w:sz w:val="20"/>
      <w:szCs w:val="20"/>
      <w:lang w:eastAsia="ru-RU"/>
    </w:rPr>
  </w:style>
  <w:style w:type="paragraph" w:customStyle="1" w:styleId="caaieiaie41">
    <w:name w:val="caaieiaie 41"/>
    <w:basedOn w:val="a"/>
    <w:next w:val="a"/>
    <w:uiPriority w:val="99"/>
    <w:rsid w:val="00D03A4F"/>
    <w:pPr>
      <w:keepNext/>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18"/>
      <w:szCs w:val="20"/>
      <w:lang w:eastAsia="ru-RU"/>
    </w:rPr>
  </w:style>
  <w:style w:type="paragraph" w:customStyle="1" w:styleId="caaieiaie61">
    <w:name w:val="caaieiaie 61"/>
    <w:basedOn w:val="a"/>
    <w:next w:val="a"/>
    <w:uiPriority w:val="99"/>
    <w:rsid w:val="00D03A4F"/>
    <w:pPr>
      <w:keepNext/>
      <w:widowControl w:val="0"/>
      <w:overflowPunct w:val="0"/>
      <w:autoSpaceDE w:val="0"/>
      <w:autoSpaceDN w:val="0"/>
      <w:adjustRightInd w:val="0"/>
      <w:spacing w:before="40" w:after="0" w:line="160" w:lineRule="exact"/>
      <w:ind w:right="-57"/>
      <w:textAlignment w:val="baseline"/>
    </w:pPr>
    <w:rPr>
      <w:rFonts w:ascii="Times New Roman" w:eastAsia="Times New Roman" w:hAnsi="Times New Roman" w:cs="Times New Roman"/>
      <w:b/>
      <w:sz w:val="16"/>
      <w:szCs w:val="20"/>
      <w:lang w:eastAsia="ru-RU"/>
    </w:rPr>
  </w:style>
  <w:style w:type="paragraph" w:customStyle="1" w:styleId="Ieieeeieiioeooe2">
    <w:name w:val="Ie?iee eieiioeooe2"/>
    <w:basedOn w:val="a"/>
    <w:uiPriority w:val="99"/>
    <w:rsid w:val="00D03A4F"/>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xl37">
    <w:name w:val="xl37"/>
    <w:basedOn w:val="a"/>
    <w:uiPriority w:val="99"/>
    <w:rsid w:val="00D03A4F"/>
    <w:pPr>
      <w:pBdr>
        <w:right w:val="single" w:sz="4" w:space="0" w:color="808080"/>
      </w:pBdr>
      <w:spacing w:before="100" w:beforeAutospacing="1" w:after="100" w:afterAutospacing="1" w:line="240" w:lineRule="auto"/>
      <w:jc w:val="right"/>
    </w:pPr>
    <w:rPr>
      <w:rFonts w:ascii="Times New Roman" w:eastAsia="Arial Unicode MS" w:hAnsi="Times New Roman" w:cs="Times New Roman"/>
      <w:sz w:val="24"/>
      <w:szCs w:val="24"/>
      <w:lang w:eastAsia="ru-RU"/>
    </w:rPr>
  </w:style>
  <w:style w:type="paragraph" w:customStyle="1" w:styleId="1f5">
    <w:name w:val="Стиль1"/>
    <w:basedOn w:val="212"/>
    <w:autoRedefine/>
    <w:uiPriority w:val="99"/>
    <w:rsid w:val="00D03A4F"/>
    <w:pPr>
      <w:spacing w:before="0"/>
      <w:ind w:left="0"/>
      <w:jc w:val="center"/>
    </w:pPr>
    <w:rPr>
      <w:b w:val="0"/>
      <w:bCs/>
    </w:rPr>
  </w:style>
  <w:style w:type="paragraph" w:customStyle="1" w:styleId="xl18">
    <w:name w:val="xl18"/>
    <w:basedOn w:val="a"/>
    <w:uiPriority w:val="99"/>
    <w:rsid w:val="00D03A4F"/>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16"/>
      <w:szCs w:val="16"/>
      <w:lang w:eastAsia="ru-RU"/>
    </w:rPr>
  </w:style>
  <w:style w:type="paragraph" w:customStyle="1" w:styleId="Aaoieeeieiioeooe1">
    <w:name w:val="Aa?oiee eieiioeooe1"/>
    <w:basedOn w:val="a"/>
    <w:uiPriority w:val="99"/>
    <w:rsid w:val="00D03A4F"/>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fffc">
    <w:name w:val="Текст концевой сноски Знак"/>
    <w:basedOn w:val="a0"/>
    <w:link w:val="affffd"/>
    <w:uiPriority w:val="99"/>
    <w:semiHidden/>
    <w:rsid w:val="00D03A4F"/>
    <w:rPr>
      <w:rFonts w:ascii="Times New Roman" w:eastAsia="Times New Roman" w:hAnsi="Times New Roman" w:cs="Times New Roman"/>
      <w:sz w:val="20"/>
      <w:szCs w:val="20"/>
      <w:lang w:eastAsia="ru-RU"/>
    </w:rPr>
  </w:style>
  <w:style w:type="paragraph" w:styleId="affffd">
    <w:name w:val="endnote text"/>
    <w:basedOn w:val="a"/>
    <w:link w:val="affffc"/>
    <w:uiPriority w:val="99"/>
    <w:semiHidden/>
    <w:rsid w:val="00D03A4F"/>
    <w:pPr>
      <w:spacing w:after="0" w:line="240" w:lineRule="auto"/>
    </w:pPr>
    <w:rPr>
      <w:rFonts w:ascii="Times New Roman" w:eastAsia="Times New Roman" w:hAnsi="Times New Roman" w:cs="Times New Roman"/>
      <w:sz w:val="20"/>
      <w:szCs w:val="20"/>
      <w:lang w:eastAsia="ru-RU"/>
    </w:rPr>
  </w:style>
  <w:style w:type="character" w:customStyle="1" w:styleId="1f6">
    <w:name w:val="Текст концевой сноски Знак1"/>
    <w:basedOn w:val="a0"/>
    <w:uiPriority w:val="99"/>
    <w:semiHidden/>
    <w:rsid w:val="00D03A4F"/>
    <w:rPr>
      <w:sz w:val="20"/>
      <w:szCs w:val="20"/>
    </w:rPr>
  </w:style>
  <w:style w:type="paragraph" w:customStyle="1" w:styleId="xl32">
    <w:name w:val="xl32"/>
    <w:basedOn w:val="a"/>
    <w:uiPriority w:val="99"/>
    <w:rsid w:val="00D03A4F"/>
    <w:pPr>
      <w:pBdr>
        <w:bottom w:val="single" w:sz="4" w:space="0" w:color="auto"/>
      </w:pBdr>
      <w:spacing w:before="100" w:beforeAutospacing="1" w:after="100" w:afterAutospacing="1" w:line="240" w:lineRule="auto"/>
      <w:jc w:val="right"/>
    </w:pPr>
    <w:rPr>
      <w:rFonts w:ascii="Times New Roman" w:eastAsia="Arial Unicode MS" w:hAnsi="Times New Roman" w:cs="Times New Roman"/>
      <w:sz w:val="16"/>
      <w:szCs w:val="16"/>
      <w:lang w:eastAsia="ru-RU"/>
    </w:rPr>
  </w:style>
  <w:style w:type="paragraph" w:customStyle="1" w:styleId="xl33">
    <w:name w:val="xl33"/>
    <w:basedOn w:val="a"/>
    <w:uiPriority w:val="99"/>
    <w:rsid w:val="00D03A4F"/>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16"/>
      <w:szCs w:val="16"/>
      <w:lang w:eastAsia="ru-RU"/>
    </w:rPr>
  </w:style>
  <w:style w:type="paragraph" w:customStyle="1" w:styleId="1f7">
    <w:name w:val="боковик1"/>
    <w:basedOn w:val="a"/>
    <w:uiPriority w:val="99"/>
    <w:rsid w:val="00D03A4F"/>
    <w:pPr>
      <w:spacing w:before="72" w:after="0" w:line="240" w:lineRule="auto"/>
      <w:ind w:left="113"/>
      <w:jc w:val="both"/>
    </w:pPr>
    <w:rPr>
      <w:rFonts w:ascii="JournalRub" w:eastAsia="Times New Roman" w:hAnsi="JournalRub" w:cs="Times New Roman"/>
      <w:sz w:val="14"/>
      <w:szCs w:val="20"/>
      <w:lang w:eastAsia="ru-RU"/>
    </w:rPr>
  </w:style>
  <w:style w:type="paragraph" w:customStyle="1" w:styleId="affffe">
    <w:name w:val="Абзац"/>
    <w:basedOn w:val="a"/>
    <w:uiPriority w:val="99"/>
    <w:rsid w:val="00D03A4F"/>
    <w:pPr>
      <w:spacing w:before="120" w:after="0" w:line="360" w:lineRule="auto"/>
      <w:ind w:firstLine="851"/>
      <w:jc w:val="both"/>
    </w:pPr>
    <w:rPr>
      <w:rFonts w:ascii="Times New Roman" w:eastAsia="Times New Roman" w:hAnsi="Times New Roman" w:cs="Times New Roman"/>
      <w:sz w:val="28"/>
      <w:szCs w:val="20"/>
      <w:lang w:eastAsia="ru-RU"/>
    </w:rPr>
  </w:style>
  <w:style w:type="paragraph" w:customStyle="1" w:styleId="311">
    <w:name w:val="заголовок 31"/>
    <w:basedOn w:val="a"/>
    <w:next w:val="a"/>
    <w:uiPriority w:val="99"/>
    <w:rsid w:val="00D03A4F"/>
    <w:pPr>
      <w:keepNext/>
      <w:widowControl w:val="0"/>
      <w:spacing w:after="0" w:line="180" w:lineRule="exact"/>
    </w:pPr>
    <w:rPr>
      <w:rFonts w:ascii="Times New Roman" w:eastAsia="Calibri" w:hAnsi="Times New Roman" w:cs="Times New Roman"/>
      <w:b/>
      <w:sz w:val="16"/>
      <w:szCs w:val="20"/>
      <w:lang w:eastAsia="ru-RU"/>
    </w:rPr>
  </w:style>
  <w:style w:type="paragraph" w:customStyle="1" w:styleId="320">
    <w:name w:val="Основной текст 32"/>
    <w:basedOn w:val="a"/>
    <w:rsid w:val="00D03A4F"/>
    <w:pPr>
      <w:overflowPunct w:val="0"/>
      <w:autoSpaceDE w:val="0"/>
      <w:autoSpaceDN w:val="0"/>
      <w:adjustRightInd w:val="0"/>
      <w:spacing w:before="120" w:after="0" w:line="240" w:lineRule="auto"/>
      <w:jc w:val="center"/>
      <w:textAlignment w:val="baseline"/>
    </w:pPr>
    <w:rPr>
      <w:rFonts w:ascii="Arial" w:eastAsia="Times New Roman" w:hAnsi="Arial" w:cs="Times New Roman"/>
      <w:b/>
      <w:sz w:val="16"/>
      <w:szCs w:val="20"/>
      <w:lang w:eastAsia="ru-RU"/>
    </w:rPr>
  </w:style>
  <w:style w:type="table" w:customStyle="1" w:styleId="114">
    <w:name w:val="Сетка таблицы11"/>
    <w:basedOn w:val="a1"/>
    <w:next w:val="a5"/>
    <w:uiPriority w:val="59"/>
    <w:rsid w:val="00D03A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Заголовок 5 Знак1"/>
    <w:basedOn w:val="a0"/>
    <w:uiPriority w:val="9"/>
    <w:semiHidden/>
    <w:rsid w:val="00D03A4F"/>
    <w:rPr>
      <w:rFonts w:asciiTheme="majorHAnsi" w:eastAsiaTheme="majorEastAsia" w:hAnsiTheme="majorHAnsi" w:cstheme="majorBidi"/>
      <w:color w:val="365F91" w:themeColor="accent1" w:themeShade="BF"/>
    </w:rPr>
  </w:style>
  <w:style w:type="character" w:customStyle="1" w:styleId="CharStyle17">
    <w:name w:val="Char Style 17"/>
    <w:basedOn w:val="a0"/>
    <w:rsid w:val="00711C0A"/>
    <w:rPr>
      <w:b w:val="0"/>
      <w:bCs w:val="0"/>
      <w:i w:val="0"/>
      <w:iCs w:val="0"/>
      <w:smallCaps w:val="0"/>
      <w:strike w:val="0"/>
      <w:sz w:val="26"/>
      <w:szCs w:val="26"/>
      <w:u w:val="none"/>
    </w:rPr>
  </w:style>
  <w:style w:type="character" w:customStyle="1" w:styleId="80">
    <w:name w:val="Заголовок 8 Знак"/>
    <w:basedOn w:val="a0"/>
    <w:link w:val="8"/>
    <w:semiHidden/>
    <w:rsid w:val="00420FD7"/>
    <w:rPr>
      <w:rFonts w:asciiTheme="majorHAnsi" w:eastAsiaTheme="majorEastAsia" w:hAnsiTheme="majorHAnsi" w:cstheme="majorBidi"/>
      <w:color w:val="404040" w:themeColor="text1" w:themeTint="BF"/>
      <w:sz w:val="20"/>
      <w:szCs w:val="20"/>
    </w:rPr>
  </w:style>
  <w:style w:type="character" w:styleId="afffff">
    <w:name w:val="endnote reference"/>
    <w:basedOn w:val="a0"/>
    <w:uiPriority w:val="99"/>
    <w:semiHidden/>
    <w:rsid w:val="00420FD7"/>
    <w:rPr>
      <w:rFonts w:cs="Times New Roman"/>
      <w:vertAlign w:val="superscript"/>
    </w:rPr>
  </w:style>
  <w:style w:type="paragraph" w:customStyle="1" w:styleId="221">
    <w:name w:val="Основной текст 22"/>
    <w:basedOn w:val="a"/>
    <w:rsid w:val="00420FD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16"/>
      <w:szCs w:val="20"/>
      <w:lang w:eastAsia="ru-RU"/>
    </w:rPr>
  </w:style>
  <w:style w:type="character" w:styleId="afffff0">
    <w:name w:val="Emphasis"/>
    <w:basedOn w:val="a0"/>
    <w:qFormat/>
    <w:rsid w:val="00420FD7"/>
    <w:rPr>
      <w:i/>
      <w:iCs/>
    </w:rPr>
  </w:style>
  <w:style w:type="character" w:customStyle="1" w:styleId="FontStyle21">
    <w:name w:val="Font Style21"/>
    <w:uiPriority w:val="99"/>
    <w:rsid w:val="001E7374"/>
    <w:rPr>
      <w:rFonts w:ascii="Times New Roman" w:hAnsi="Times New Roman" w:cs="Times New Roman" w:hint="default"/>
      <w:b/>
      <w:bCs/>
      <w:sz w:val="26"/>
      <w:szCs w:val="26"/>
    </w:rPr>
  </w:style>
  <w:style w:type="character" w:customStyle="1" w:styleId="FontStyle23">
    <w:name w:val="Font Style23"/>
    <w:basedOn w:val="a0"/>
    <w:uiPriority w:val="99"/>
    <w:rsid w:val="001E7374"/>
    <w:rPr>
      <w:rFonts w:ascii="Times New Roman" w:hAnsi="Times New Roman" w:cs="Times New Roman"/>
      <w:sz w:val="26"/>
      <w:szCs w:val="26"/>
    </w:rPr>
  </w:style>
  <w:style w:type="paragraph" w:customStyle="1" w:styleId="Style9">
    <w:name w:val="Style 9"/>
    <w:basedOn w:val="a"/>
    <w:link w:val="CharStyle10"/>
    <w:rsid w:val="00A51FA7"/>
    <w:pPr>
      <w:widowControl w:val="0"/>
      <w:shd w:val="clear" w:color="auto" w:fill="FFFFFF"/>
      <w:spacing w:after="240" w:line="322" w:lineRule="exact"/>
      <w:jc w:val="both"/>
    </w:pPr>
    <w:rPr>
      <w:sz w:val="26"/>
      <w:szCs w:val="26"/>
      <w:u w:val="single"/>
    </w:rPr>
  </w:style>
  <w:style w:type="character" w:customStyle="1" w:styleId="CharStyle23">
    <w:name w:val="Char Style 23"/>
    <w:basedOn w:val="CharStyle10"/>
    <w:rsid w:val="00A51FA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fontstyle01">
    <w:name w:val="fontstyle01"/>
    <w:basedOn w:val="a0"/>
    <w:rsid w:val="005940F1"/>
    <w:rPr>
      <w:rFonts w:ascii="TimesNewRomanPSMT" w:hAnsi="TimesNewRomanPSMT" w:hint="default"/>
      <w:b w:val="0"/>
      <w:bCs w:val="0"/>
      <w:i w:val="0"/>
      <w:iCs w:val="0"/>
      <w:color w:val="000000"/>
      <w:sz w:val="28"/>
      <w:szCs w:val="28"/>
    </w:rPr>
  </w:style>
  <w:style w:type="character" w:customStyle="1" w:styleId="CharStyle14">
    <w:name w:val="Char Style 14"/>
    <w:basedOn w:val="CharStyle3"/>
    <w:link w:val="Style13"/>
    <w:rsid w:val="003068BF"/>
    <w:rPr>
      <w:sz w:val="26"/>
      <w:szCs w:val="26"/>
      <w:u w:val="single"/>
      <w:shd w:val="clear" w:color="auto" w:fill="FFFFFF"/>
    </w:rPr>
  </w:style>
  <w:style w:type="character" w:customStyle="1" w:styleId="CharStyle16">
    <w:name w:val="Char Style 16"/>
    <w:basedOn w:val="CharStyle5"/>
    <w:uiPriority w:val="99"/>
    <w:rsid w:val="00012ECF"/>
    <w:rPr>
      <w:sz w:val="26"/>
      <w:szCs w:val="26"/>
      <w:u w:val="single"/>
      <w:shd w:val="clear" w:color="auto" w:fill="FFFFFF"/>
    </w:rPr>
  </w:style>
  <w:style w:type="character" w:customStyle="1" w:styleId="CharStyle42">
    <w:name w:val="Char Style 42"/>
    <w:basedOn w:val="CharStyle14"/>
    <w:rsid w:val="0060727A"/>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paragraph" w:customStyle="1" w:styleId="Style13">
    <w:name w:val="Style 13"/>
    <w:basedOn w:val="a"/>
    <w:link w:val="CharStyle14"/>
    <w:rsid w:val="0060727A"/>
    <w:pPr>
      <w:widowControl w:val="0"/>
      <w:shd w:val="clear" w:color="auto" w:fill="FFFFFF"/>
      <w:spacing w:after="0" w:line="322" w:lineRule="exact"/>
      <w:jc w:val="center"/>
    </w:pPr>
    <w:rPr>
      <w:sz w:val="26"/>
      <w:szCs w:val="26"/>
      <w:u w:val="single"/>
    </w:rPr>
  </w:style>
  <w:style w:type="paragraph" w:customStyle="1" w:styleId="Style400">
    <w:name w:val="Style 40"/>
    <w:basedOn w:val="a"/>
    <w:link w:val="CharStyle41"/>
    <w:rsid w:val="0060727A"/>
    <w:pPr>
      <w:widowControl w:val="0"/>
      <w:shd w:val="clear" w:color="auto" w:fill="FFFFFF"/>
      <w:spacing w:after="0" w:line="312" w:lineRule="exact"/>
    </w:pPr>
    <w:rPr>
      <w:color w:val="969696"/>
      <w:sz w:val="26"/>
      <w:szCs w:val="26"/>
    </w:rPr>
  </w:style>
  <w:style w:type="character" w:styleId="HTML2">
    <w:name w:val="HTML Typewriter"/>
    <w:basedOn w:val="a0"/>
    <w:uiPriority w:val="99"/>
    <w:semiHidden/>
    <w:unhideWhenUsed/>
    <w:rsid w:val="004C3BAD"/>
    <w:rPr>
      <w:rFonts w:ascii="Courier New" w:eastAsia="Times New Roman" w:hAnsi="Courier New" w:cs="Courier New"/>
      <w:sz w:val="20"/>
      <w:szCs w:val="20"/>
    </w:rPr>
  </w:style>
  <w:style w:type="table" w:customStyle="1" w:styleId="2f7">
    <w:name w:val="Сетка таблицы2"/>
    <w:basedOn w:val="a1"/>
    <w:next w:val="a5"/>
    <w:uiPriority w:val="39"/>
    <w:rsid w:val="004C3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2"/>
    <w:uiPriority w:val="99"/>
    <w:semiHidden/>
    <w:unhideWhenUsed/>
    <w:rsid w:val="00BD5345"/>
  </w:style>
  <w:style w:type="character" w:customStyle="1" w:styleId="afffff1">
    <w:name w:val="Сноска + Не полужирный"/>
    <w:uiPriority w:val="99"/>
    <w:rsid w:val="00BD534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ConsPlusNonformat">
    <w:name w:val="ConsPlusNonformat"/>
    <w:rsid w:val="00BD5345"/>
    <w:pPr>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customStyle="1" w:styleId="Style130">
    <w:name w:val="Style13"/>
    <w:basedOn w:val="a"/>
    <w:rsid w:val="00BD5345"/>
    <w:pPr>
      <w:widowControl w:val="0"/>
      <w:autoSpaceDE w:val="0"/>
      <w:autoSpaceDN w:val="0"/>
      <w:adjustRightInd w:val="0"/>
      <w:spacing w:after="0" w:line="321" w:lineRule="exact"/>
      <w:ind w:firstLine="696"/>
      <w:jc w:val="both"/>
    </w:pPr>
    <w:rPr>
      <w:rFonts w:ascii="Times New Roman" w:eastAsia="Times New Roman" w:hAnsi="Times New Roman" w:cs="Times New Roman"/>
      <w:sz w:val="24"/>
      <w:szCs w:val="24"/>
      <w:lang w:eastAsia="ru-RU"/>
    </w:rPr>
  </w:style>
  <w:style w:type="character" w:customStyle="1" w:styleId="714pt">
    <w:name w:val="Основной текст (7) + 14 pt;Не курсив"/>
    <w:rsid w:val="00BD534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7">
    <w:name w:val="Основной текст (5) + Полужирный"/>
    <w:rsid w:val="00BD5345"/>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ru-RU" w:eastAsia="ru-RU" w:bidi="ru-RU"/>
    </w:rPr>
  </w:style>
  <w:style w:type="character" w:customStyle="1" w:styleId="54pt">
    <w:name w:val="Основной текст (5) + 4 pt"/>
    <w:aliases w:val="Не курсив"/>
    <w:rsid w:val="00BD5345"/>
    <w:rPr>
      <w:rFonts w:ascii="Times New Roman" w:eastAsia="Times New Roman" w:hAnsi="Times New Roman" w:cs="Times New Roman" w:hint="default"/>
      <w:b w:val="0"/>
      <w:bCs w:val="0"/>
      <w:i/>
      <w:iCs/>
      <w:smallCaps w:val="0"/>
      <w:strike w:val="0"/>
      <w:dstrike w:val="0"/>
      <w:color w:val="000000"/>
      <w:spacing w:val="0"/>
      <w:w w:val="100"/>
      <w:position w:val="0"/>
      <w:sz w:val="8"/>
      <w:szCs w:val="8"/>
      <w:u w:val="none"/>
      <w:effect w:val="none"/>
      <w:lang w:val="ru-RU" w:eastAsia="ru-RU" w:bidi="ru-RU"/>
    </w:rPr>
  </w:style>
  <w:style w:type="paragraph" w:customStyle="1" w:styleId="headertext">
    <w:name w:val="headertext"/>
    <w:basedOn w:val="a"/>
    <w:rsid w:val="00BD534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table" w:customStyle="1" w:styleId="3b">
    <w:name w:val="Сетка таблицы3"/>
    <w:basedOn w:val="a1"/>
    <w:next w:val="a5"/>
    <w:uiPriority w:val="59"/>
    <w:rsid w:val="00BD5345"/>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3pt">
    <w:name w:val="Основной текст (7) + 13 pt"/>
    <w:basedOn w:val="71"/>
    <w:rsid w:val="00BD534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p4">
    <w:name w:val="p4"/>
    <w:basedOn w:val="a"/>
    <w:rsid w:val="00BD5345"/>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customStyle="1" w:styleId="afffff2">
    <w:name w:val="Сноска + Не полужирный;Курсив"/>
    <w:basedOn w:val="afff2"/>
    <w:rsid w:val="00BD5345"/>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character" w:customStyle="1" w:styleId="2f9">
    <w:name w:val="Основной текст (2) + Полужирный;Курсив"/>
    <w:basedOn w:val="22"/>
    <w:rsid w:val="00BD5345"/>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12pt0">
    <w:name w:val="Основной текст (2) + 12 pt;Курсив"/>
    <w:basedOn w:val="22"/>
    <w:rsid w:val="00BD534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2pt1">
    <w:name w:val="Основной текст (2) + 12 pt"/>
    <w:basedOn w:val="22"/>
    <w:rsid w:val="00BD534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c">
    <w:name w:val="Основной текст (3) + Полужирный"/>
    <w:basedOn w:val="31"/>
    <w:rsid w:val="00BD5345"/>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fa">
    <w:name w:val="Основной текст (2) + Курсив"/>
    <w:basedOn w:val="22"/>
    <w:rsid w:val="00BD534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fb">
    <w:name w:val="Основной шрифт абзаца2"/>
    <w:rsid w:val="00BD5345"/>
  </w:style>
  <w:style w:type="paragraph" w:customStyle="1" w:styleId="3d">
    <w:name w:val="Без интервала3"/>
    <w:uiPriority w:val="99"/>
    <w:rsid w:val="00BD5345"/>
    <w:pPr>
      <w:spacing w:after="0" w:line="240" w:lineRule="auto"/>
      <w:ind w:firstLine="709"/>
      <w:jc w:val="both"/>
    </w:pPr>
    <w:rPr>
      <w:rFonts w:ascii="Calibri" w:eastAsia="Times New Roman" w:hAnsi="Calibri" w:cs="Times New Roman"/>
    </w:rPr>
  </w:style>
  <w:style w:type="paragraph" w:customStyle="1" w:styleId="afffff3">
    <w:name w:val="Знак Знак Знак Знак Знак Знак Знак Знак Знак Знак Знак Знак Знак Знак Знак Знак"/>
    <w:basedOn w:val="a"/>
    <w:rsid w:val="00BD534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andard">
    <w:name w:val="Standard"/>
    <w:qFormat/>
    <w:rsid w:val="00657B9D"/>
    <w:pPr>
      <w:widowControl w:val="0"/>
      <w:suppressAutoHyphens/>
      <w:spacing w:after="0" w:line="240" w:lineRule="auto"/>
      <w:jc w:val="center"/>
      <w:textAlignment w:val="baseline"/>
    </w:pPr>
    <w:rPr>
      <w:rFonts w:ascii="PT Astra Serif" w:eastAsia="Source Han Sans CN Regular" w:hAnsi="PT Astra Serif" w:cs="Lohit Devanagari"/>
      <w:kern w:val="2"/>
      <w:sz w:val="28"/>
      <w:szCs w:val="24"/>
      <w:lang w:eastAsia="ru-RU"/>
    </w:rPr>
  </w:style>
  <w:style w:type="character" w:customStyle="1" w:styleId="CharStyle18">
    <w:name w:val="Char Style 18"/>
    <w:basedOn w:val="a0"/>
    <w:link w:val="Style17"/>
    <w:rsid w:val="00E931CB"/>
    <w:rPr>
      <w:sz w:val="26"/>
      <w:szCs w:val="26"/>
      <w:shd w:val="clear" w:color="auto" w:fill="FFFFFF"/>
    </w:rPr>
  </w:style>
  <w:style w:type="character" w:customStyle="1" w:styleId="CharStyle34">
    <w:name w:val="Char Style 34"/>
    <w:basedOn w:val="CharStyle18"/>
    <w:rsid w:val="00E931CB"/>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Style17">
    <w:name w:val="Style 17"/>
    <w:basedOn w:val="a"/>
    <w:link w:val="CharStyle18"/>
    <w:rsid w:val="00E931CB"/>
    <w:pPr>
      <w:widowControl w:val="0"/>
      <w:shd w:val="clear" w:color="auto" w:fill="FFFFFF"/>
      <w:spacing w:after="0" w:line="324" w:lineRule="exact"/>
      <w:jc w:val="center"/>
    </w:pPr>
    <w:rPr>
      <w:sz w:val="26"/>
      <w:szCs w:val="26"/>
    </w:rPr>
  </w:style>
  <w:style w:type="character" w:customStyle="1" w:styleId="CharStyle31">
    <w:name w:val="Char Style 31"/>
    <w:basedOn w:val="CharStyle6"/>
    <w:rsid w:val="00C92470"/>
    <w:rPr>
      <w:rFonts w:ascii="Times New Roman" w:eastAsia="Times New Roman" w:hAnsi="Times New Roman" w:cs="Times New Roman"/>
      <w:b w:val="0"/>
      <w:bCs w:val="0"/>
      <w:i w:val="0"/>
      <w:iCs w:val="0"/>
      <w:smallCaps w:val="0"/>
      <w:strike w:val="0"/>
      <w:color w:val="000000"/>
      <w:spacing w:val="60"/>
      <w:w w:val="100"/>
      <w:position w:val="0"/>
      <w:sz w:val="26"/>
      <w:szCs w:val="2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593028">
      <w:bodyDiv w:val="1"/>
      <w:marLeft w:val="0"/>
      <w:marRight w:val="0"/>
      <w:marTop w:val="0"/>
      <w:marBottom w:val="0"/>
      <w:divBdr>
        <w:top w:val="none" w:sz="0" w:space="0" w:color="auto"/>
        <w:left w:val="none" w:sz="0" w:space="0" w:color="auto"/>
        <w:bottom w:val="none" w:sz="0" w:space="0" w:color="auto"/>
        <w:right w:val="none" w:sz="0" w:space="0" w:color="auto"/>
      </w:divBdr>
    </w:div>
    <w:div w:id="473332815">
      <w:bodyDiv w:val="1"/>
      <w:marLeft w:val="0"/>
      <w:marRight w:val="0"/>
      <w:marTop w:val="0"/>
      <w:marBottom w:val="0"/>
      <w:divBdr>
        <w:top w:val="none" w:sz="0" w:space="0" w:color="auto"/>
        <w:left w:val="none" w:sz="0" w:space="0" w:color="auto"/>
        <w:bottom w:val="none" w:sz="0" w:space="0" w:color="auto"/>
        <w:right w:val="none" w:sz="0" w:space="0" w:color="auto"/>
      </w:divBdr>
    </w:div>
    <w:div w:id="667904520">
      <w:bodyDiv w:val="1"/>
      <w:marLeft w:val="0"/>
      <w:marRight w:val="0"/>
      <w:marTop w:val="0"/>
      <w:marBottom w:val="0"/>
      <w:divBdr>
        <w:top w:val="none" w:sz="0" w:space="0" w:color="auto"/>
        <w:left w:val="none" w:sz="0" w:space="0" w:color="auto"/>
        <w:bottom w:val="none" w:sz="0" w:space="0" w:color="auto"/>
        <w:right w:val="none" w:sz="0" w:space="0" w:color="auto"/>
      </w:divBdr>
    </w:div>
    <w:div w:id="691077789">
      <w:bodyDiv w:val="1"/>
      <w:marLeft w:val="0"/>
      <w:marRight w:val="0"/>
      <w:marTop w:val="0"/>
      <w:marBottom w:val="0"/>
      <w:divBdr>
        <w:top w:val="none" w:sz="0" w:space="0" w:color="auto"/>
        <w:left w:val="none" w:sz="0" w:space="0" w:color="auto"/>
        <w:bottom w:val="none" w:sz="0" w:space="0" w:color="auto"/>
        <w:right w:val="none" w:sz="0" w:space="0" w:color="auto"/>
      </w:divBdr>
    </w:div>
    <w:div w:id="816728268">
      <w:bodyDiv w:val="1"/>
      <w:marLeft w:val="0"/>
      <w:marRight w:val="0"/>
      <w:marTop w:val="0"/>
      <w:marBottom w:val="0"/>
      <w:divBdr>
        <w:top w:val="none" w:sz="0" w:space="0" w:color="auto"/>
        <w:left w:val="none" w:sz="0" w:space="0" w:color="auto"/>
        <w:bottom w:val="none" w:sz="0" w:space="0" w:color="auto"/>
        <w:right w:val="none" w:sz="0" w:space="0" w:color="auto"/>
      </w:divBdr>
    </w:div>
    <w:div w:id="1114206412">
      <w:bodyDiv w:val="1"/>
      <w:marLeft w:val="0"/>
      <w:marRight w:val="0"/>
      <w:marTop w:val="0"/>
      <w:marBottom w:val="0"/>
      <w:divBdr>
        <w:top w:val="none" w:sz="0" w:space="0" w:color="auto"/>
        <w:left w:val="none" w:sz="0" w:space="0" w:color="auto"/>
        <w:bottom w:val="none" w:sz="0" w:space="0" w:color="auto"/>
        <w:right w:val="none" w:sz="0" w:space="0" w:color="auto"/>
      </w:divBdr>
    </w:div>
    <w:div w:id="1393112237">
      <w:bodyDiv w:val="1"/>
      <w:marLeft w:val="0"/>
      <w:marRight w:val="0"/>
      <w:marTop w:val="0"/>
      <w:marBottom w:val="0"/>
      <w:divBdr>
        <w:top w:val="none" w:sz="0" w:space="0" w:color="auto"/>
        <w:left w:val="none" w:sz="0" w:space="0" w:color="auto"/>
        <w:bottom w:val="none" w:sz="0" w:space="0" w:color="auto"/>
        <w:right w:val="none" w:sz="0" w:space="0" w:color="auto"/>
      </w:divBdr>
    </w:div>
    <w:div w:id="1398170114">
      <w:bodyDiv w:val="1"/>
      <w:marLeft w:val="0"/>
      <w:marRight w:val="0"/>
      <w:marTop w:val="0"/>
      <w:marBottom w:val="0"/>
      <w:divBdr>
        <w:top w:val="none" w:sz="0" w:space="0" w:color="auto"/>
        <w:left w:val="none" w:sz="0" w:space="0" w:color="auto"/>
        <w:bottom w:val="none" w:sz="0" w:space="0" w:color="auto"/>
        <w:right w:val="none" w:sz="0" w:space="0" w:color="auto"/>
      </w:divBdr>
    </w:div>
    <w:div w:id="1429497458">
      <w:bodyDiv w:val="1"/>
      <w:marLeft w:val="0"/>
      <w:marRight w:val="0"/>
      <w:marTop w:val="0"/>
      <w:marBottom w:val="0"/>
      <w:divBdr>
        <w:top w:val="none" w:sz="0" w:space="0" w:color="auto"/>
        <w:left w:val="none" w:sz="0" w:space="0" w:color="auto"/>
        <w:bottom w:val="none" w:sz="0" w:space="0" w:color="auto"/>
        <w:right w:val="none" w:sz="0" w:space="0" w:color="auto"/>
      </w:divBdr>
    </w:div>
    <w:div w:id="1483737680">
      <w:bodyDiv w:val="1"/>
      <w:marLeft w:val="0"/>
      <w:marRight w:val="0"/>
      <w:marTop w:val="0"/>
      <w:marBottom w:val="0"/>
      <w:divBdr>
        <w:top w:val="none" w:sz="0" w:space="0" w:color="auto"/>
        <w:left w:val="none" w:sz="0" w:space="0" w:color="auto"/>
        <w:bottom w:val="none" w:sz="0" w:space="0" w:color="auto"/>
        <w:right w:val="none" w:sz="0" w:space="0" w:color="auto"/>
      </w:divBdr>
    </w:div>
    <w:div w:id="1597471718">
      <w:bodyDiv w:val="1"/>
      <w:marLeft w:val="0"/>
      <w:marRight w:val="0"/>
      <w:marTop w:val="0"/>
      <w:marBottom w:val="0"/>
      <w:divBdr>
        <w:top w:val="none" w:sz="0" w:space="0" w:color="auto"/>
        <w:left w:val="none" w:sz="0" w:space="0" w:color="auto"/>
        <w:bottom w:val="none" w:sz="0" w:space="0" w:color="auto"/>
        <w:right w:val="none" w:sz="0" w:space="0" w:color="auto"/>
      </w:divBdr>
    </w:div>
    <w:div w:id="1650476603">
      <w:bodyDiv w:val="1"/>
      <w:marLeft w:val="0"/>
      <w:marRight w:val="0"/>
      <w:marTop w:val="0"/>
      <w:marBottom w:val="0"/>
      <w:divBdr>
        <w:top w:val="none" w:sz="0" w:space="0" w:color="auto"/>
        <w:left w:val="none" w:sz="0" w:space="0" w:color="auto"/>
        <w:bottom w:val="none" w:sz="0" w:space="0" w:color="auto"/>
        <w:right w:val="none" w:sz="0" w:space="0" w:color="auto"/>
      </w:divBdr>
    </w:div>
    <w:div w:id="1699694728">
      <w:bodyDiv w:val="1"/>
      <w:marLeft w:val="0"/>
      <w:marRight w:val="0"/>
      <w:marTop w:val="0"/>
      <w:marBottom w:val="0"/>
      <w:divBdr>
        <w:top w:val="none" w:sz="0" w:space="0" w:color="auto"/>
        <w:left w:val="none" w:sz="0" w:space="0" w:color="auto"/>
        <w:bottom w:val="none" w:sz="0" w:space="0" w:color="auto"/>
        <w:right w:val="none" w:sz="0" w:space="0" w:color="auto"/>
      </w:divBdr>
    </w:div>
    <w:div w:id="1828091362">
      <w:bodyDiv w:val="1"/>
      <w:marLeft w:val="0"/>
      <w:marRight w:val="0"/>
      <w:marTop w:val="0"/>
      <w:marBottom w:val="0"/>
      <w:divBdr>
        <w:top w:val="none" w:sz="0" w:space="0" w:color="auto"/>
        <w:left w:val="none" w:sz="0" w:space="0" w:color="auto"/>
        <w:bottom w:val="none" w:sz="0" w:space="0" w:color="auto"/>
        <w:right w:val="none" w:sz="0" w:space="0" w:color="auto"/>
      </w:divBdr>
    </w:div>
    <w:div w:id="205738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portunros.ru/" TargetMode="External"/><Relationship Id="rId18" Type="http://schemas.openxmlformats.org/officeDocument/2006/relationships/hyperlink" Target="https://&#1091;&#1088;&#1086;&#1082;&#1094;&#1080;&#1092;&#1088;&#1099;.&#1088;&#1092;/" TargetMode="External"/><Relationship Id="rId26" Type="http://schemas.openxmlformats.org/officeDocument/2006/relationships/hyperlink" Target="http://job.orl.ru" TargetMode="External"/><Relationship Id="rId39" Type="http://schemas.openxmlformats.org/officeDocument/2006/relationships/footer" Target="footer2.xml"/><Relationship Id="rId21" Type="http://schemas.openxmlformats.org/officeDocument/2006/relationships/hyperlink" Target="https://&#1075;esh.edu.&#1096;/page/cybe&#1075;project-3" TargetMode="External"/><Relationship Id="rId34" Type="http://schemas.openxmlformats.org/officeDocument/2006/relationships/hyperlink" Target="https://irkobl.ru/sites/kdnizp/index.php" TargetMode="External"/><Relationship Id="rId42"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mc-spo.ru/activity/rop/" TargetMode="External"/><Relationship Id="rId29" Type="http://schemas.openxmlformats.org/officeDocument/2006/relationships/hyperlink" Target="consultantplus://offline/ref=7579D5B6CBF19C730ADEA420ED08C66F8250BD65E60706C857DEA9011283E278205ED83EF0618B45F4FA74092B91B8371A05A94F78A75576c6WC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s://resh.edu.ru/page/cybe&#1075;pi-oject-6" TargetMode="External"/><Relationship Id="rId32" Type="http://schemas.openxmlformats.org/officeDocument/2006/relationships/hyperlink" Target="https://fcprc.ru/wp-content/uploads/2021/12/material-konception-do-2025-7-2.pdf" TargetMode="External"/><Relationship Id="rId37" Type="http://schemas.openxmlformats.org/officeDocument/2006/relationships/header" Target="header2.xml"/><Relationship Id="rId40" Type="http://schemas.openxmlformats.org/officeDocument/2006/relationships/footer" Target="footer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let.worldskills.ru" TargetMode="External"/><Relationship Id="rId23" Type="http://schemas.openxmlformats.org/officeDocument/2006/relationships/hyperlink" Target="https://&#1075;esh.edu.ru/page/cybei-p&#1075;oject-5" TargetMode="External"/><Relationship Id="rId28" Type="http://schemas.openxmlformats.org/officeDocument/2006/relationships/hyperlink" Target="consultantplus://offline/ref=7579D5B6CBF19C730ADEA420ED08C66F8250BD65E60706C857DEA9011283E278205ED83EF0618B45F1FA74092B91B8371A05A94F78A75576c6WCJ" TargetMode="External"/><Relationship Id="rId36" Type="http://schemas.openxmlformats.org/officeDocument/2006/relationships/hyperlink" Target="http://www.classmag.ru" TargetMode="External"/><Relationship Id="rId10" Type="http://schemas.openxmlformats.org/officeDocument/2006/relationships/image" Target="media/image1.emf"/><Relationship Id="rId19" Type="http://schemas.openxmlformats.org/officeDocument/2006/relationships/hyperlink" Target="https://resh.edu.ru/page/cyber-project" TargetMode="External"/><Relationship Id="rId31" Type="http://schemas.openxmlformats.org/officeDocument/2006/relationships/hyperlink" Target="consultantplus://offline/ref=7579D5B6CBF19C730ADEA420ED08C66F8250BD65E60706C857DEA9011283E278205ED83EF0618A4DF6FA74092B91B8371A05A94F78A75576c6WCJ"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aif.ru/health/life/tehnologii_v_pomoshch_kak_mozhno_borotsya_s_kureniem" TargetMode="External"/><Relationship Id="rId22" Type="http://schemas.openxmlformats.org/officeDocument/2006/relationships/hyperlink" Target="https://resh.edu.ru/page/cybe&#1075;project-4" TargetMode="External"/><Relationship Id="rId27" Type="http://schemas.openxmlformats.org/officeDocument/2006/relationships/hyperlink" Target="consultantplus://offline/ref=7579D5B6CBF19C730ADEA420ED08C66F8250BD65E60706C857DEA9011283E278325E8032F2629544F7EF22586DcCW6J" TargetMode="External"/><Relationship Id="rId30" Type="http://schemas.openxmlformats.org/officeDocument/2006/relationships/hyperlink" Target="consultantplus://offline/ref=7579D5B6CBF19C730ADEA420ED08C66F8250BD65E60706C857DEA9011283E278205ED83EF0618B40F5FA74092B91B8371A05A94F78A75576c6WCJ" TargetMode="External"/><Relationship Id="rId35" Type="http://schemas.openxmlformats.org/officeDocument/2006/relationships/hyperlink" Target="https://vk.coni/gigyena" TargetMode="External"/><Relationship Id="rId43" Type="http://schemas.openxmlformats.org/officeDocument/2006/relationships/hyperlink" Target="https://mintrud.gov.ru/social/social/1269"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edu.gov.ru/" TargetMode="External"/><Relationship Id="rId17" Type="http://schemas.openxmlformats.org/officeDocument/2006/relationships/hyperlink" Target="https://&#1080;&#1085;&#1082;&#1083;&#1102;&#1079;&#1080;&#1074;&#1085;&#1086;&#1077;&#1086;&#1073;&#1088;&#1072;&#1079;&#1086;&#1074;&#1072;&#1085;&#1080;&#1077;.&#1088;&#1092;/" TargetMode="External"/><Relationship Id="rId25" Type="http://schemas.openxmlformats.org/officeDocument/2006/relationships/hyperlink" Target="https://docs.edu.gov.ru/document/f9f90ed22419ee2738e66ea467bf52ae/" TargetMode="External"/><Relationship Id="rId33" Type="http://schemas.openxmlformats.org/officeDocument/2006/relationships/hyperlink" Target="http://www.krskstate.ru/kdns/mediacii" TargetMode="External"/><Relationship Id="rId38" Type="http://schemas.openxmlformats.org/officeDocument/2006/relationships/header" Target="header3.xml"/><Relationship Id="rId20" Type="http://schemas.openxmlformats.org/officeDocument/2006/relationships/hyperlink" Target="https://i-esh.edu.ru/page/cybe&#1075;project-2" TargetMode="External"/><Relationship Id="rId41"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C3700-A44E-466B-8559-6EBDFCDD9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449</Pages>
  <Words>136524</Words>
  <Characters>778189</Characters>
  <Application>Microsoft Office Word</Application>
  <DocSecurity>0</DocSecurity>
  <Lines>6484</Lines>
  <Paragraphs>1825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912888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ЭОС</dc:creator>
  <cp:keywords/>
  <dc:description/>
  <cp:lastModifiedBy>Котова Евгения Олеговна</cp:lastModifiedBy>
  <cp:revision>4</cp:revision>
  <cp:lastPrinted>2023-02-16T14:31:00Z</cp:lastPrinted>
  <dcterms:created xsi:type="dcterms:W3CDTF">2023-04-28T11:19:00Z</dcterms:created>
  <dcterms:modified xsi:type="dcterms:W3CDTF">2023-04-28T12:14:00Z</dcterms:modified>
  <cp:category>Файлы документов</cp:category>
</cp:coreProperties>
</file>